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13" w:lineRule="auto"/>
      </w:pPr>
    </w:p>
    <w:p>
      <w:pPr>
        <w:pStyle w:val="2"/>
        <w:spacing w:line="314" w:lineRule="auto"/>
      </w:pPr>
    </w:p>
    <w:p>
      <w:pPr>
        <w:pStyle w:val="2"/>
        <w:spacing w:line="314" w:lineRule="auto"/>
      </w:pPr>
    </w:p>
    <w:p>
      <w:pPr>
        <w:spacing w:before="208" w:line="936" w:lineRule="exact"/>
        <w:jc w:val="right"/>
        <w:rPr>
          <w:rFonts w:ascii="黑体" w:hAnsi="黑体" w:eastAsia="黑体" w:cs="黑体"/>
          <w:sz w:val="64"/>
          <w:szCs w:val="64"/>
        </w:rPr>
      </w:pPr>
      <w:r>
        <w:rPr>
          <w:rFonts w:ascii="黑体" w:hAnsi="黑体" w:eastAsia="黑体" w:cs="黑体"/>
          <w:spacing w:val="-16"/>
          <w:position w:val="20"/>
          <w:sz w:val="64"/>
          <w:szCs w:val="64"/>
        </w:rPr>
        <w:t>溧阳至宁德高速公路（</w:t>
      </w:r>
      <w:r>
        <w:rPr>
          <w:rFonts w:ascii="Times New Roman" w:hAnsi="Times New Roman" w:eastAsia="Times New Roman" w:cs="Times New Roman"/>
          <w:spacing w:val="-16"/>
          <w:position w:val="20"/>
          <w:sz w:val="64"/>
          <w:szCs w:val="64"/>
        </w:rPr>
        <w:t>G4012</w:t>
      </w:r>
      <w:r>
        <w:rPr>
          <w:rFonts w:ascii="黑体" w:hAnsi="黑体" w:eastAsia="黑体" w:cs="黑体"/>
          <w:spacing w:val="-16"/>
          <w:position w:val="20"/>
          <w:sz w:val="64"/>
          <w:szCs w:val="64"/>
        </w:rPr>
        <w:t>）</w:t>
      </w:r>
    </w:p>
    <w:p>
      <w:pPr>
        <w:spacing w:before="1" w:line="218" w:lineRule="auto"/>
        <w:ind w:left="999"/>
        <w:rPr>
          <w:rFonts w:ascii="黑体" w:hAnsi="黑体" w:eastAsia="黑体" w:cs="黑体"/>
          <w:sz w:val="64"/>
          <w:szCs w:val="64"/>
        </w:rPr>
      </w:pPr>
      <w:r>
        <w:rPr>
          <w:rFonts w:ascii="黑体" w:hAnsi="黑体" w:eastAsia="黑体" w:cs="黑体"/>
          <w:spacing w:val="-4"/>
          <w:sz w:val="64"/>
          <w:szCs w:val="64"/>
        </w:rPr>
        <w:t>浙江景宁至文成段工程</w:t>
      </w:r>
    </w:p>
    <w:p>
      <w:pPr>
        <w:spacing w:before="210" w:line="217" w:lineRule="auto"/>
        <w:ind w:left="1972"/>
        <w:outlineLvl w:val="0"/>
        <w:rPr>
          <w:rFonts w:ascii="黑体" w:hAnsi="黑体" w:eastAsia="黑体" w:cs="黑体"/>
          <w:sz w:val="64"/>
          <w:szCs w:val="64"/>
        </w:rPr>
      </w:pPr>
      <w:r>
        <w:rPr>
          <w:rFonts w:ascii="黑体" w:hAnsi="黑体" w:eastAsia="黑体" w:cs="黑体"/>
          <w:spacing w:val="-7"/>
          <w:sz w:val="64"/>
          <w:szCs w:val="64"/>
        </w:rPr>
        <w:t>西坑互通连接线</w:t>
      </w:r>
    </w:p>
    <w:p>
      <w:pPr>
        <w:spacing w:before="215" w:line="219" w:lineRule="auto"/>
        <w:ind w:left="1952"/>
        <w:outlineLvl w:val="0"/>
        <w:rPr>
          <w:rFonts w:ascii="黑体" w:hAnsi="黑体" w:eastAsia="黑体" w:cs="黑体"/>
          <w:sz w:val="64"/>
          <w:szCs w:val="64"/>
        </w:rPr>
      </w:pPr>
      <w:r>
        <w:rPr>
          <w:rFonts w:ascii="黑体" w:hAnsi="黑体" w:eastAsia="黑体" w:cs="黑体"/>
          <w:spacing w:val="-4"/>
          <w:sz w:val="64"/>
          <w:szCs w:val="64"/>
        </w:rPr>
        <w:t>环境影响报告书</w:t>
      </w:r>
    </w:p>
    <w:p>
      <w:pPr>
        <w:spacing w:before="208" w:line="219" w:lineRule="auto"/>
        <w:ind w:left="2636"/>
        <w:outlineLvl w:val="0"/>
        <w:rPr>
          <w:rFonts w:ascii="黑体" w:hAnsi="黑体" w:eastAsia="黑体" w:cs="黑体"/>
          <w:sz w:val="64"/>
          <w:szCs w:val="64"/>
        </w:rPr>
      </w:pPr>
      <w:r>
        <w:rPr>
          <w:rFonts w:ascii="黑体" w:hAnsi="黑体" w:eastAsia="黑体" w:cs="黑体"/>
          <w:spacing w:val="-14"/>
          <w:sz w:val="64"/>
          <w:szCs w:val="64"/>
        </w:rPr>
        <w:t>（报批稿）</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spacing w:before="91" w:line="624" w:lineRule="exact"/>
        <w:ind w:left="2427"/>
        <w:rPr>
          <w:rFonts w:ascii="宋体" w:hAnsi="宋体" w:eastAsia="宋体" w:cs="宋体"/>
          <w:sz w:val="28"/>
          <w:szCs w:val="28"/>
        </w:rPr>
      </w:pPr>
      <w:r>
        <w:rPr>
          <w:rFonts w:ascii="宋体" w:hAnsi="宋体" w:eastAsia="宋体" w:cs="宋体"/>
          <w:spacing w:val="44"/>
          <w:position w:val="26"/>
          <w:sz w:val="28"/>
          <w:szCs w:val="28"/>
          <w14:textOutline w14:w="5094" w14:cap="flat" w14:cmpd="sng">
            <w14:solidFill>
              <w14:srgbClr w14:val="000000"/>
            </w14:solidFill>
            <w14:prstDash w14:val="solid"/>
            <w14:miter w14:val="0"/>
          </w14:textOutline>
        </w:rPr>
        <w:t>浙江景文高速公路有限公司</w:t>
      </w:r>
    </w:p>
    <w:p>
      <w:pPr>
        <w:spacing w:line="219" w:lineRule="auto"/>
        <w:ind w:left="2844"/>
        <w:rPr>
          <w:rFonts w:ascii="宋体" w:hAnsi="宋体" w:eastAsia="宋体" w:cs="宋体"/>
          <w:sz w:val="28"/>
          <w:szCs w:val="28"/>
        </w:rPr>
      </w:pPr>
      <w:r>
        <w:rPr>
          <w:rFonts w:ascii="宋体" w:hAnsi="宋体" w:eastAsia="宋体" w:cs="宋体"/>
          <w:spacing w:val="-1"/>
          <w:sz w:val="28"/>
          <w:szCs w:val="28"/>
          <w14:textOutline w14:w="5094" w14:cap="flat" w14:cmpd="sng">
            <w14:solidFill>
              <w14:srgbClr w14:val="000000"/>
            </w14:solidFill>
            <w14:prstDash w14:val="solid"/>
            <w14:miter w14:val="0"/>
          </w14:textOutline>
        </w:rPr>
        <w:t>浙江省环境科技有限公司</w:t>
      </w:r>
    </w:p>
    <w:p>
      <w:pPr>
        <w:pStyle w:val="2"/>
        <w:spacing w:line="318" w:lineRule="auto"/>
      </w:pPr>
    </w:p>
    <w:p>
      <w:pPr>
        <w:spacing w:before="91" w:line="220" w:lineRule="auto"/>
        <w:ind w:left="3436"/>
        <w:rPr>
          <w:rFonts w:ascii="宋体" w:hAnsi="宋体" w:eastAsia="宋体" w:cs="宋体"/>
          <w:sz w:val="28"/>
          <w:szCs w:val="28"/>
        </w:rPr>
      </w:pPr>
      <w:r>
        <w:rPr>
          <w:rFonts w:ascii="Times New Roman" w:hAnsi="Times New Roman" w:eastAsia="Times New Roman" w:cs="Times New Roman"/>
          <w:b/>
          <w:bCs/>
          <w:spacing w:val="-2"/>
          <w:sz w:val="28"/>
          <w:szCs w:val="28"/>
        </w:rPr>
        <w:t xml:space="preserve">2024 </w:t>
      </w:r>
      <w:r>
        <w:rPr>
          <w:rFonts w:ascii="宋体" w:hAnsi="宋体" w:eastAsia="宋体" w:cs="宋体"/>
          <w:spacing w:val="-2"/>
          <w:sz w:val="28"/>
          <w:szCs w:val="28"/>
          <w14:textOutline w14:w="5094" w14:cap="flat" w14:cmpd="sng">
            <w14:solidFill>
              <w14:srgbClr w14:val="000000"/>
            </w14:solidFill>
            <w14:prstDash w14:val="solid"/>
            <w14:miter w14:val="0"/>
          </w14:textOutline>
        </w:rPr>
        <w:t>年</w:t>
      </w:r>
      <w:r>
        <w:rPr>
          <w:rFonts w:ascii="宋体" w:hAnsi="宋体" w:eastAsia="宋体" w:cs="宋体"/>
          <w:spacing w:val="-57"/>
          <w:sz w:val="28"/>
          <w:szCs w:val="28"/>
        </w:rPr>
        <w:t xml:space="preserve"> </w:t>
      </w:r>
      <w:r>
        <w:rPr>
          <w:rFonts w:ascii="Times New Roman" w:hAnsi="Times New Roman" w:eastAsia="Times New Roman" w:cs="Times New Roman"/>
          <w:b/>
          <w:bCs/>
          <w:spacing w:val="-2"/>
          <w:sz w:val="28"/>
          <w:szCs w:val="28"/>
        </w:rPr>
        <w:t>4</w:t>
      </w:r>
      <w:r>
        <w:rPr>
          <w:rFonts w:ascii="Times New Roman" w:hAnsi="Times New Roman" w:eastAsia="Times New Roman" w:cs="Times New Roman"/>
          <w:b/>
          <w:bCs/>
          <w:spacing w:val="16"/>
          <w:sz w:val="28"/>
          <w:szCs w:val="28"/>
        </w:rPr>
        <w:t xml:space="preserve"> </w:t>
      </w:r>
      <w:r>
        <w:rPr>
          <w:rFonts w:ascii="宋体" w:hAnsi="宋体" w:eastAsia="宋体" w:cs="宋体"/>
          <w:spacing w:val="-2"/>
          <w:sz w:val="28"/>
          <w:szCs w:val="28"/>
          <w14:textOutline w14:w="5094" w14:cap="flat" w14:cmpd="sng">
            <w14:solidFill>
              <w14:srgbClr w14:val="000000"/>
            </w14:solidFill>
            <w14:prstDash w14:val="solid"/>
            <w14:miter w14:val="0"/>
          </w14:textOutline>
        </w:rPr>
        <w:t>月</w:t>
      </w:r>
    </w:p>
    <w:p>
      <w:pPr>
        <w:spacing w:line="220" w:lineRule="auto"/>
        <w:rPr>
          <w:rFonts w:ascii="宋体" w:hAnsi="宋体" w:eastAsia="宋体" w:cs="宋体"/>
          <w:sz w:val="28"/>
          <w:szCs w:val="28"/>
        </w:rPr>
        <w:sectPr>
          <w:pgSz w:w="11907" w:h="16839"/>
          <w:pgMar w:top="1431" w:right="1542" w:bottom="0" w:left="1785" w:header="0" w:footer="0" w:gutter="0"/>
          <w:cols w:space="720" w:num="1"/>
        </w:sectPr>
      </w:pPr>
    </w:p>
    <w:p>
      <w:pPr>
        <w:pStyle w:val="2"/>
      </w:pPr>
    </w:p>
    <w:p>
      <w:pPr>
        <w:sectPr>
          <w:headerReference r:id="rId5" w:type="default"/>
          <w:footerReference r:id="rId6" w:type="default"/>
          <w:pgSz w:w="11907" w:h="16839"/>
          <w:pgMar w:top="0" w:right="0" w:bottom="0" w:left="0" w:header="0" w:footer="0" w:gutter="0"/>
          <w:cols w:space="720" w:num="1"/>
        </w:sectPr>
      </w:pPr>
    </w:p>
    <w:p>
      <w:pPr>
        <w:pStyle w:val="2"/>
        <w:spacing w:line="262" w:lineRule="auto"/>
      </w:pPr>
    </w:p>
    <w:p>
      <w:pPr>
        <w:pStyle w:val="2"/>
        <w:spacing w:line="262" w:lineRule="auto"/>
      </w:pPr>
    </w:p>
    <w:p>
      <w:pPr>
        <w:pStyle w:val="2"/>
        <w:spacing w:line="262" w:lineRule="auto"/>
      </w:pPr>
    </w:p>
    <w:p>
      <w:pPr>
        <w:pStyle w:val="2"/>
        <w:spacing w:line="262" w:lineRule="auto"/>
      </w:pPr>
    </w:p>
    <w:sdt>
      <w:sdtPr>
        <w:rPr>
          <w:rFonts w:ascii="宋体" w:hAnsi="宋体" w:eastAsia="宋体" w:cs="宋体"/>
          <w:sz w:val="30"/>
          <w:szCs w:val="30"/>
        </w:rPr>
        <w:id w:val="1"/>
        <w:docPartObj>
          <w:docPartGallery w:val="Table of Contents"/>
          <w:docPartUnique/>
        </w:docPartObj>
      </w:sdtPr>
      <w:sdtEndPr>
        <w:rPr>
          <w:rFonts w:ascii="Times New Roman" w:hAnsi="Times New Roman" w:eastAsia="Times New Roman" w:cs="Times New Roman"/>
          <w:sz w:val="28"/>
          <w:szCs w:val="28"/>
        </w:rPr>
      </w:sdtEndPr>
      <w:sdtContent>
        <w:p>
          <w:pPr>
            <w:spacing w:before="97" w:line="214" w:lineRule="auto"/>
            <w:ind w:left="3784"/>
            <w:rPr>
              <w:rFonts w:ascii="宋体" w:hAnsi="宋体" w:eastAsia="宋体" w:cs="宋体"/>
              <w:sz w:val="30"/>
              <w:szCs w:val="30"/>
            </w:rPr>
          </w:pPr>
          <w:r>
            <w:rPr>
              <w:rFonts w:ascii="宋体" w:hAnsi="宋体" w:eastAsia="宋体" w:cs="宋体"/>
              <w:spacing w:val="-35"/>
              <w:sz w:val="30"/>
              <w:szCs w:val="30"/>
              <w14:textOutline w14:w="5442" w14:cap="flat" w14:cmpd="sng">
                <w14:solidFill>
                  <w14:srgbClr w14:val="000000"/>
                </w14:solidFill>
                <w14:prstDash w14:val="solid"/>
                <w14:miter w14:val="0"/>
              </w14:textOutline>
            </w:rPr>
            <w:t>目</w:t>
          </w:r>
          <w:r>
            <w:rPr>
              <w:rFonts w:ascii="宋体" w:hAnsi="宋体" w:eastAsia="宋体" w:cs="宋体"/>
              <w:spacing w:val="6"/>
              <w:sz w:val="30"/>
              <w:szCs w:val="30"/>
            </w:rPr>
            <w:t xml:space="preserve">  </w:t>
          </w:r>
          <w:r>
            <w:rPr>
              <w:rFonts w:ascii="宋体" w:hAnsi="宋体" w:eastAsia="宋体" w:cs="宋体"/>
              <w:spacing w:val="-35"/>
              <w:sz w:val="30"/>
              <w:szCs w:val="30"/>
              <w14:textOutline w14:w="5442" w14:cap="flat" w14:cmpd="sng">
                <w14:solidFill>
                  <w14:srgbClr w14:val="000000"/>
                </w14:solidFill>
                <w14:prstDash w14:val="solid"/>
                <w14:miter w14:val="0"/>
              </w14:textOutline>
            </w:rPr>
            <w:t>录</w:t>
          </w:r>
        </w:p>
        <w:p>
          <w:pPr>
            <w:tabs>
              <w:tab w:val="right" w:leader="dot" w:pos="8322"/>
            </w:tabs>
            <w:spacing w:before="43" w:line="199" w:lineRule="auto"/>
            <w:ind w:left="33"/>
            <w:rPr>
              <w:rFonts w:ascii="Times New Roman" w:hAnsi="Times New Roman" w:eastAsia="Times New Roman" w:cs="Times New Roman"/>
              <w:sz w:val="28"/>
              <w:szCs w:val="28"/>
            </w:rPr>
          </w:pPr>
          <w:r>
            <w:fldChar w:fldCharType="begin"/>
          </w:r>
          <w:r>
            <w:instrText xml:space="preserve"> HYPERLINK \l "bookmark1" </w:instrText>
          </w:r>
          <w:r>
            <w:fldChar w:fldCharType="separate"/>
          </w:r>
          <w:r>
            <w:rPr>
              <w:rFonts w:ascii="Times New Roman" w:hAnsi="Times New Roman" w:eastAsia="Times New Roman" w:cs="Times New Roman"/>
              <w:b/>
              <w:bCs/>
              <w:spacing w:val="-10"/>
              <w:sz w:val="28"/>
              <w:szCs w:val="28"/>
            </w:rPr>
            <w:t>1</w:t>
          </w:r>
          <w:r>
            <w:rPr>
              <w:rFonts w:ascii="Times New Roman" w:hAnsi="Times New Roman" w:eastAsia="Times New Roman" w:cs="Times New Roman"/>
              <w:b/>
              <w:bCs/>
              <w:spacing w:val="13"/>
              <w:sz w:val="28"/>
              <w:szCs w:val="28"/>
            </w:rPr>
            <w:t xml:space="preserve"> </w:t>
          </w:r>
          <w:r>
            <w:rPr>
              <w:rFonts w:ascii="宋体" w:hAnsi="宋体" w:eastAsia="宋体" w:cs="宋体"/>
              <w:spacing w:val="-10"/>
              <w:sz w:val="28"/>
              <w:szCs w:val="28"/>
              <w14:textOutline w14:w="5094" w14:cap="flat" w14:cmpd="sng">
                <w14:solidFill>
                  <w14:srgbClr w14:val="000000"/>
                </w14:solidFill>
                <w14:prstDash w14:val="solid"/>
                <w14:miter w14:val="0"/>
              </w14:textOutline>
            </w:rPr>
            <w:t>概述</w:t>
          </w:r>
          <w:r>
            <w:rPr>
              <w:rFonts w:ascii="宋体" w:hAnsi="宋体" w:eastAsia="宋体" w:cs="宋体"/>
              <w:sz w:val="28"/>
              <w:szCs w:val="28"/>
            </w:rPr>
            <w:tab/>
          </w:r>
          <w:r>
            <w:rPr>
              <w:rFonts w:ascii="Times New Roman" w:hAnsi="Times New Roman" w:eastAsia="Times New Roman" w:cs="Times New Roman"/>
              <w:b/>
              <w:bCs/>
              <w:spacing w:val="14"/>
              <w:sz w:val="28"/>
              <w:szCs w:val="28"/>
            </w:rPr>
            <w:t>1</w:t>
          </w:r>
          <w:r>
            <w:rPr>
              <w:rFonts w:ascii="Times New Roman" w:hAnsi="Times New Roman" w:eastAsia="Times New Roman" w:cs="Times New Roman"/>
              <w:b/>
              <w:bCs/>
              <w:spacing w:val="14"/>
              <w:sz w:val="28"/>
              <w:szCs w:val="28"/>
            </w:rPr>
            <w:fldChar w:fldCharType="end"/>
          </w:r>
        </w:p>
        <w:p>
          <w:pPr>
            <w:tabs>
              <w:tab w:val="right" w:leader="dot" w:pos="8322"/>
            </w:tabs>
            <w:spacing w:before="198" w:line="185" w:lineRule="auto"/>
            <w:ind w:left="253"/>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Times New Roman" w:hAnsi="Times New Roman" w:eastAsia="Times New Roman" w:cs="Times New Roman"/>
              <w:spacing w:val="-6"/>
              <w:sz w:val="24"/>
              <w:szCs w:val="24"/>
            </w:rPr>
            <w:t>1.1</w:t>
          </w:r>
          <w:r>
            <w:rPr>
              <w:rFonts w:ascii="Times New Roman" w:hAnsi="Times New Roman" w:eastAsia="Times New Roman" w:cs="Times New Roman"/>
              <w:spacing w:val="13"/>
              <w:sz w:val="24"/>
              <w:szCs w:val="24"/>
            </w:rPr>
            <w:t xml:space="preserve"> </w:t>
          </w:r>
          <w:r>
            <w:rPr>
              <w:rFonts w:ascii="宋体" w:hAnsi="宋体" w:eastAsia="宋体" w:cs="宋体"/>
              <w:spacing w:val="-6"/>
              <w:sz w:val="24"/>
              <w:szCs w:val="24"/>
            </w:rPr>
            <w:t>项目背景</w:t>
          </w:r>
          <w:r>
            <w:rPr>
              <w:rFonts w:ascii="宋体" w:hAnsi="宋体" w:eastAsia="宋体" w:cs="宋体"/>
              <w:sz w:val="24"/>
              <w:szCs w:val="24"/>
            </w:rPr>
            <w:tab/>
          </w:r>
          <w:r>
            <w:rPr>
              <w:rFonts w:ascii="Times New Roman" w:hAnsi="Times New Roman" w:eastAsia="Times New Roman" w:cs="Times New Roman"/>
              <w:spacing w:val="26"/>
              <w:sz w:val="24"/>
              <w:szCs w:val="24"/>
            </w:rPr>
            <w:t>1</w:t>
          </w:r>
          <w:r>
            <w:rPr>
              <w:rFonts w:ascii="Times New Roman" w:hAnsi="Times New Roman" w:eastAsia="Times New Roman" w:cs="Times New Roman"/>
              <w:spacing w:val="26"/>
              <w:sz w:val="24"/>
              <w:szCs w:val="24"/>
            </w:rPr>
            <w:fldChar w:fldCharType="end"/>
          </w:r>
        </w:p>
        <w:p>
          <w:pPr>
            <w:tabs>
              <w:tab w:val="right" w:leader="dot" w:pos="8322"/>
            </w:tabs>
            <w:spacing w:before="196" w:line="185" w:lineRule="auto"/>
            <w:ind w:left="253"/>
            <w:rPr>
              <w:rFonts w:ascii="Times New Roman" w:hAnsi="Times New Roman" w:eastAsia="Times New Roman" w:cs="Times New Roman"/>
              <w:sz w:val="24"/>
              <w:szCs w:val="24"/>
            </w:rPr>
          </w:pPr>
          <w:r>
            <w:fldChar w:fldCharType="begin"/>
          </w:r>
          <w:r>
            <w:instrText xml:space="preserve"> HYPERLINK \l "bookmark3" </w:instrText>
          </w:r>
          <w:r>
            <w:fldChar w:fldCharType="separate"/>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环境影响评价工作过程</w:t>
          </w:r>
          <w:r>
            <w:rPr>
              <w:rFonts w:ascii="宋体" w:hAnsi="宋体" w:eastAsia="宋体" w:cs="宋体"/>
              <w:sz w:val="24"/>
              <w:szCs w:val="24"/>
            </w:rPr>
            <w:tab/>
          </w:r>
          <w:r>
            <w:rPr>
              <w:rFonts w:ascii="Times New Roman" w:hAnsi="Times New Roman" w:eastAsia="Times New Roman" w:cs="Times New Roman"/>
              <w:spacing w:val="26"/>
              <w:sz w:val="24"/>
              <w:szCs w:val="24"/>
            </w:rPr>
            <w:t>2</w:t>
          </w:r>
          <w:r>
            <w:rPr>
              <w:rFonts w:ascii="Times New Roman" w:hAnsi="Times New Roman" w:eastAsia="Times New Roman" w:cs="Times New Roman"/>
              <w:spacing w:val="26"/>
              <w:sz w:val="24"/>
              <w:szCs w:val="24"/>
            </w:rPr>
            <w:fldChar w:fldCharType="end"/>
          </w:r>
        </w:p>
        <w:p>
          <w:pPr>
            <w:tabs>
              <w:tab w:val="right" w:leader="dot" w:pos="8322"/>
            </w:tabs>
            <w:spacing w:before="196" w:line="185" w:lineRule="auto"/>
            <w:ind w:left="253"/>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Times New Roman" w:hAnsi="Times New Roman" w:eastAsia="Times New Roman" w:cs="Times New Roman"/>
              <w:spacing w:val="-3"/>
              <w:sz w:val="24"/>
              <w:szCs w:val="24"/>
            </w:rPr>
            <w:t xml:space="preserve">1.3 </w:t>
          </w:r>
          <w:r>
            <w:rPr>
              <w:rFonts w:ascii="宋体" w:hAnsi="宋体" w:eastAsia="宋体" w:cs="宋体"/>
              <w:spacing w:val="-3"/>
              <w:sz w:val="24"/>
              <w:szCs w:val="24"/>
            </w:rPr>
            <w:t>分析判定相关情况</w:t>
          </w:r>
          <w:r>
            <w:rPr>
              <w:rFonts w:ascii="宋体" w:hAnsi="宋体" w:eastAsia="宋体" w:cs="宋体"/>
              <w:sz w:val="24"/>
              <w:szCs w:val="24"/>
            </w:rPr>
            <w:tab/>
          </w:r>
          <w:r>
            <w:rPr>
              <w:rFonts w:ascii="Times New Roman" w:hAnsi="Times New Roman" w:eastAsia="Times New Roman" w:cs="Times New Roman"/>
              <w:spacing w:val="27"/>
              <w:sz w:val="24"/>
              <w:szCs w:val="24"/>
            </w:rPr>
            <w:t>3</w:t>
          </w:r>
          <w:r>
            <w:rPr>
              <w:rFonts w:ascii="Times New Roman" w:hAnsi="Times New Roman" w:eastAsia="Times New Roman" w:cs="Times New Roman"/>
              <w:spacing w:val="27"/>
              <w:sz w:val="24"/>
              <w:szCs w:val="24"/>
            </w:rPr>
            <w:fldChar w:fldCharType="end"/>
          </w:r>
        </w:p>
        <w:p>
          <w:pPr>
            <w:tabs>
              <w:tab w:val="right" w:leader="dot" w:pos="8322"/>
            </w:tabs>
            <w:spacing w:before="193" w:line="185" w:lineRule="auto"/>
            <w:ind w:left="253"/>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Times New Roman" w:hAnsi="Times New Roman" w:eastAsia="Times New Roman" w:cs="Times New Roman"/>
              <w:spacing w:val="-2"/>
              <w:sz w:val="24"/>
              <w:szCs w:val="24"/>
            </w:rPr>
            <w:t xml:space="preserve">1.4 </w:t>
          </w:r>
          <w:r>
            <w:rPr>
              <w:rFonts w:ascii="宋体" w:hAnsi="宋体" w:eastAsia="宋体" w:cs="宋体"/>
              <w:spacing w:val="-2"/>
              <w:sz w:val="24"/>
              <w:szCs w:val="24"/>
            </w:rPr>
            <w:t>项目特点、主要关注的环境问题和环境影响</w:t>
          </w:r>
          <w:r>
            <w:rPr>
              <w:rFonts w:ascii="宋体" w:hAnsi="宋体" w:eastAsia="宋体" w:cs="宋体"/>
              <w:sz w:val="24"/>
              <w:szCs w:val="24"/>
            </w:rPr>
            <w:tab/>
          </w:r>
          <w:r>
            <w:rPr>
              <w:rFonts w:ascii="Times New Roman" w:hAnsi="Times New Roman" w:eastAsia="Times New Roman" w:cs="Times New Roman"/>
              <w:spacing w:val="26"/>
              <w:sz w:val="24"/>
              <w:szCs w:val="24"/>
            </w:rPr>
            <w:t>6</w:t>
          </w:r>
          <w:r>
            <w:rPr>
              <w:rFonts w:ascii="Times New Roman" w:hAnsi="Times New Roman" w:eastAsia="Times New Roman" w:cs="Times New Roman"/>
              <w:spacing w:val="26"/>
              <w:sz w:val="24"/>
              <w:szCs w:val="24"/>
            </w:rPr>
            <w:fldChar w:fldCharType="end"/>
          </w:r>
        </w:p>
        <w:p>
          <w:pPr>
            <w:tabs>
              <w:tab w:val="right" w:leader="dot" w:pos="8322"/>
            </w:tabs>
            <w:spacing w:before="197" w:line="185" w:lineRule="auto"/>
            <w:ind w:left="253"/>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Times New Roman" w:hAnsi="Times New Roman" w:eastAsia="Times New Roman" w:cs="Times New Roman"/>
              <w:spacing w:val="-2"/>
              <w:sz w:val="24"/>
              <w:szCs w:val="24"/>
            </w:rPr>
            <w:t xml:space="preserve">1.5 </w:t>
          </w:r>
          <w:r>
            <w:rPr>
              <w:rFonts w:ascii="宋体" w:hAnsi="宋体" w:eastAsia="宋体" w:cs="宋体"/>
              <w:spacing w:val="-2"/>
              <w:sz w:val="24"/>
              <w:szCs w:val="24"/>
            </w:rPr>
            <w:t>环境影响报告书主要结论</w:t>
          </w:r>
          <w:r>
            <w:rPr>
              <w:rFonts w:ascii="宋体" w:hAnsi="宋体" w:eastAsia="宋体" w:cs="宋体"/>
              <w:sz w:val="24"/>
              <w:szCs w:val="24"/>
            </w:rPr>
            <w:tab/>
          </w:r>
          <w:r>
            <w:rPr>
              <w:rFonts w:ascii="Times New Roman" w:hAnsi="Times New Roman" w:eastAsia="Times New Roman" w:cs="Times New Roman"/>
              <w:spacing w:val="26"/>
              <w:sz w:val="24"/>
              <w:szCs w:val="24"/>
            </w:rPr>
            <w:t>6</w:t>
          </w:r>
          <w:r>
            <w:rPr>
              <w:rFonts w:ascii="Times New Roman" w:hAnsi="Times New Roman" w:eastAsia="Times New Roman" w:cs="Times New Roman"/>
              <w:spacing w:val="26"/>
              <w:sz w:val="24"/>
              <w:szCs w:val="24"/>
            </w:rPr>
            <w:fldChar w:fldCharType="end"/>
          </w:r>
        </w:p>
        <w:p>
          <w:pPr>
            <w:tabs>
              <w:tab w:val="right" w:leader="dot" w:pos="8322"/>
            </w:tabs>
            <w:spacing w:before="200" w:line="199" w:lineRule="auto"/>
            <w:ind w:left="21"/>
            <w:rPr>
              <w:rFonts w:ascii="Times New Roman" w:hAnsi="Times New Roman" w:eastAsia="Times New Roman" w:cs="Times New Roman"/>
              <w:sz w:val="28"/>
              <w:szCs w:val="28"/>
            </w:rPr>
          </w:pPr>
          <w:r>
            <w:fldChar w:fldCharType="begin"/>
          </w:r>
          <w:r>
            <w:instrText xml:space="preserve"> HYPERLINK \l "bookmark7" </w:instrText>
          </w:r>
          <w:r>
            <w:fldChar w:fldCharType="separate"/>
          </w:r>
          <w:r>
            <w:rPr>
              <w:rFonts w:ascii="Times New Roman" w:hAnsi="Times New Roman" w:eastAsia="Times New Roman" w:cs="Times New Roman"/>
              <w:b/>
              <w:bCs/>
              <w:spacing w:val="-8"/>
              <w:sz w:val="28"/>
              <w:szCs w:val="28"/>
            </w:rPr>
            <w:t>2</w:t>
          </w:r>
          <w:r>
            <w:rPr>
              <w:rFonts w:ascii="Times New Roman" w:hAnsi="Times New Roman" w:eastAsia="Times New Roman" w:cs="Times New Roman"/>
              <w:b/>
              <w:bCs/>
              <w:spacing w:val="9"/>
              <w:sz w:val="28"/>
              <w:szCs w:val="28"/>
            </w:rPr>
            <w:t xml:space="preserve">  </w:t>
          </w:r>
          <w:r>
            <w:rPr>
              <w:rFonts w:ascii="宋体" w:hAnsi="宋体" w:eastAsia="宋体" w:cs="宋体"/>
              <w:spacing w:val="-8"/>
              <w:sz w:val="28"/>
              <w:szCs w:val="28"/>
              <w14:textOutline w14:w="5094" w14:cap="flat" w14:cmpd="sng">
                <w14:solidFill>
                  <w14:srgbClr w14:val="000000"/>
                </w14:solidFill>
                <w14:prstDash w14:val="solid"/>
                <w14:miter w14:val="0"/>
              </w14:textOutline>
            </w:rPr>
            <w:t>总则</w:t>
          </w:r>
          <w:r>
            <w:rPr>
              <w:rFonts w:ascii="宋体" w:hAnsi="宋体" w:eastAsia="宋体" w:cs="宋体"/>
              <w:sz w:val="28"/>
              <w:szCs w:val="28"/>
            </w:rPr>
            <w:tab/>
          </w:r>
          <w:r>
            <w:rPr>
              <w:rFonts w:ascii="Times New Roman" w:hAnsi="Times New Roman" w:eastAsia="Times New Roman" w:cs="Times New Roman"/>
              <w:b/>
              <w:bCs/>
              <w:spacing w:val="14"/>
              <w:sz w:val="28"/>
              <w:szCs w:val="28"/>
            </w:rPr>
            <w:t>8</w:t>
          </w:r>
          <w:r>
            <w:rPr>
              <w:rFonts w:ascii="Times New Roman" w:hAnsi="Times New Roman" w:eastAsia="Times New Roman" w:cs="Times New Roman"/>
              <w:b/>
              <w:bCs/>
              <w:spacing w:val="14"/>
              <w:sz w:val="28"/>
              <w:szCs w:val="28"/>
            </w:rPr>
            <w:fldChar w:fldCharType="end"/>
          </w:r>
        </w:p>
        <w:p>
          <w:pPr>
            <w:tabs>
              <w:tab w:val="right" w:leader="dot" w:pos="8322"/>
            </w:tabs>
            <w:spacing w:before="201" w:line="185" w:lineRule="auto"/>
            <w:ind w:left="230"/>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Times New Roman" w:hAnsi="Times New Roman" w:eastAsia="Times New Roman" w:cs="Times New Roman"/>
              <w:spacing w:val="-3"/>
              <w:sz w:val="24"/>
              <w:szCs w:val="24"/>
            </w:rPr>
            <w:t>2.1</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编制依据</w:t>
          </w:r>
          <w:r>
            <w:rPr>
              <w:rFonts w:ascii="宋体" w:hAnsi="宋体" w:eastAsia="宋体" w:cs="宋体"/>
              <w:sz w:val="24"/>
              <w:szCs w:val="24"/>
            </w:rPr>
            <w:tab/>
          </w:r>
          <w:r>
            <w:rPr>
              <w:rFonts w:ascii="Times New Roman" w:hAnsi="Times New Roman" w:eastAsia="Times New Roman" w:cs="Times New Roman"/>
              <w:spacing w:val="26"/>
              <w:sz w:val="24"/>
              <w:szCs w:val="24"/>
            </w:rPr>
            <w:t>8</w:t>
          </w:r>
          <w:r>
            <w:rPr>
              <w:rFonts w:ascii="Times New Roman" w:hAnsi="Times New Roman" w:eastAsia="Times New Roman" w:cs="Times New Roman"/>
              <w:spacing w:val="26"/>
              <w:sz w:val="24"/>
              <w:szCs w:val="24"/>
            </w:rPr>
            <w:fldChar w:fldCharType="end"/>
          </w:r>
        </w:p>
        <w:p>
          <w:pPr>
            <w:tabs>
              <w:tab w:val="right" w:leader="dot" w:pos="8322"/>
            </w:tabs>
            <w:spacing w:before="196" w:line="185" w:lineRule="auto"/>
            <w:ind w:left="230"/>
            <w:rPr>
              <w:rFonts w:ascii="Times New Roman" w:hAnsi="Times New Roman" w:eastAsia="Times New Roman" w:cs="Times New Roman"/>
              <w:sz w:val="24"/>
              <w:szCs w:val="24"/>
            </w:rPr>
          </w:pPr>
          <w:r>
            <w:fldChar w:fldCharType="begin"/>
          </w:r>
          <w:r>
            <w:instrText xml:space="preserve"> HYPERLINK \l "bookmark9" </w:instrText>
          </w:r>
          <w:r>
            <w:fldChar w:fldCharType="separate"/>
          </w:r>
          <w:r>
            <w:rPr>
              <w:rFonts w:ascii="Times New Roman" w:hAnsi="Times New Roman" w:eastAsia="Times New Roman" w:cs="Times New Roman"/>
              <w:spacing w:val="-1"/>
              <w:sz w:val="24"/>
              <w:szCs w:val="24"/>
            </w:rPr>
            <w:t xml:space="preserve">2.2 </w:t>
          </w:r>
          <w:r>
            <w:rPr>
              <w:rFonts w:ascii="宋体" w:hAnsi="宋体" w:eastAsia="宋体" w:cs="宋体"/>
              <w:spacing w:val="-1"/>
              <w:sz w:val="24"/>
              <w:szCs w:val="24"/>
            </w:rPr>
            <w:t>评价因子与评价标准</w:t>
          </w:r>
          <w:r>
            <w:rPr>
              <w:rFonts w:ascii="宋体" w:hAnsi="宋体" w:eastAsia="宋体" w:cs="宋体"/>
              <w:sz w:val="24"/>
              <w:szCs w:val="24"/>
            </w:rPr>
            <w:tab/>
          </w:r>
          <w:r>
            <w:rPr>
              <w:rFonts w:ascii="Times New Roman" w:hAnsi="Times New Roman" w:eastAsia="Times New Roman" w:cs="Times New Roman"/>
              <w:spacing w:val="13"/>
              <w:sz w:val="24"/>
              <w:szCs w:val="24"/>
            </w:rPr>
            <w:t>12</w:t>
          </w:r>
          <w:r>
            <w:rPr>
              <w:rFonts w:ascii="Times New Roman" w:hAnsi="Times New Roman" w:eastAsia="Times New Roman" w:cs="Times New Roman"/>
              <w:spacing w:val="13"/>
              <w:sz w:val="24"/>
              <w:szCs w:val="24"/>
            </w:rPr>
            <w:fldChar w:fldCharType="end"/>
          </w:r>
        </w:p>
        <w:p>
          <w:pPr>
            <w:tabs>
              <w:tab w:val="right" w:leader="dot" w:pos="8322"/>
            </w:tabs>
            <w:spacing w:before="194" w:line="185" w:lineRule="auto"/>
            <w:ind w:left="230"/>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Times New Roman" w:hAnsi="Times New Roman" w:eastAsia="Times New Roman" w:cs="Times New Roman"/>
              <w:spacing w:val="-1"/>
              <w:sz w:val="24"/>
              <w:szCs w:val="24"/>
            </w:rPr>
            <w:t xml:space="preserve">2.3 </w:t>
          </w:r>
          <w:r>
            <w:rPr>
              <w:rFonts w:ascii="宋体" w:hAnsi="宋体" w:eastAsia="宋体" w:cs="宋体"/>
              <w:spacing w:val="-1"/>
              <w:sz w:val="24"/>
              <w:szCs w:val="24"/>
            </w:rPr>
            <w:t>评价工作等级及评价范围</w:t>
          </w:r>
          <w:r>
            <w:rPr>
              <w:rFonts w:ascii="宋体" w:hAnsi="宋体" w:eastAsia="宋体" w:cs="宋体"/>
              <w:sz w:val="24"/>
              <w:szCs w:val="24"/>
            </w:rPr>
            <w:tab/>
          </w:r>
          <w:r>
            <w:rPr>
              <w:rFonts w:ascii="Times New Roman" w:hAnsi="Times New Roman" w:eastAsia="Times New Roman" w:cs="Times New Roman"/>
              <w:spacing w:val="13"/>
              <w:sz w:val="24"/>
              <w:szCs w:val="24"/>
            </w:rPr>
            <w:t>16</w:t>
          </w:r>
          <w:r>
            <w:rPr>
              <w:rFonts w:ascii="Times New Roman" w:hAnsi="Times New Roman" w:eastAsia="Times New Roman" w:cs="Times New Roman"/>
              <w:spacing w:val="13"/>
              <w:sz w:val="24"/>
              <w:szCs w:val="24"/>
            </w:rPr>
            <w:fldChar w:fldCharType="end"/>
          </w:r>
        </w:p>
        <w:p>
          <w:pPr>
            <w:tabs>
              <w:tab w:val="right" w:leader="dot" w:pos="8322"/>
            </w:tabs>
            <w:spacing w:before="197" w:line="185" w:lineRule="auto"/>
            <w:ind w:left="230"/>
            <w:rPr>
              <w:rFonts w:ascii="Times New Roman" w:hAnsi="Times New Roman" w:eastAsia="Times New Roman" w:cs="Times New Roman"/>
              <w:sz w:val="24"/>
              <w:szCs w:val="24"/>
            </w:rPr>
          </w:pPr>
          <w:r>
            <w:fldChar w:fldCharType="begin"/>
          </w:r>
          <w:r>
            <w:instrText xml:space="preserve"> HYPERLINK \l "bookmark11" </w:instrText>
          </w:r>
          <w:r>
            <w:fldChar w:fldCharType="separate"/>
          </w:r>
          <w:r>
            <w:rPr>
              <w:rFonts w:ascii="Times New Roman" w:hAnsi="Times New Roman" w:eastAsia="Times New Roman" w:cs="Times New Roman"/>
              <w:spacing w:val="-1"/>
              <w:sz w:val="24"/>
              <w:szCs w:val="24"/>
            </w:rPr>
            <w:t xml:space="preserve">2.4  </w:t>
          </w:r>
          <w:r>
            <w:rPr>
              <w:rFonts w:ascii="宋体" w:hAnsi="宋体" w:eastAsia="宋体" w:cs="宋体"/>
              <w:spacing w:val="-1"/>
              <w:sz w:val="24"/>
              <w:szCs w:val="24"/>
            </w:rPr>
            <w:t>相关规划及环境功能区划</w:t>
          </w:r>
          <w:r>
            <w:rPr>
              <w:rFonts w:ascii="宋体" w:hAnsi="宋体" w:eastAsia="宋体" w:cs="宋体"/>
              <w:sz w:val="24"/>
              <w:szCs w:val="24"/>
            </w:rPr>
            <w:tab/>
          </w:r>
          <w:r>
            <w:rPr>
              <w:rFonts w:ascii="Times New Roman" w:hAnsi="Times New Roman" w:eastAsia="Times New Roman" w:cs="Times New Roman"/>
              <w:spacing w:val="13"/>
              <w:sz w:val="24"/>
              <w:szCs w:val="24"/>
            </w:rPr>
            <w:t>18</w:t>
          </w:r>
          <w:r>
            <w:rPr>
              <w:rFonts w:ascii="Times New Roman" w:hAnsi="Times New Roman" w:eastAsia="Times New Roman" w:cs="Times New Roman"/>
              <w:spacing w:val="13"/>
              <w:sz w:val="24"/>
              <w:szCs w:val="24"/>
            </w:rPr>
            <w:fldChar w:fldCharType="end"/>
          </w:r>
        </w:p>
        <w:p>
          <w:pPr>
            <w:tabs>
              <w:tab w:val="right" w:leader="dot" w:pos="8322"/>
            </w:tabs>
            <w:spacing w:before="193" w:line="185" w:lineRule="auto"/>
            <w:ind w:left="230"/>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Times New Roman" w:hAnsi="Times New Roman" w:eastAsia="Times New Roman" w:cs="Times New Roman"/>
              <w:spacing w:val="-1"/>
              <w:sz w:val="24"/>
              <w:szCs w:val="24"/>
            </w:rPr>
            <w:t xml:space="preserve">2.5 </w:t>
          </w:r>
          <w:r>
            <w:rPr>
              <w:rFonts w:ascii="宋体" w:hAnsi="宋体" w:eastAsia="宋体" w:cs="宋体"/>
              <w:spacing w:val="-1"/>
              <w:sz w:val="24"/>
              <w:szCs w:val="24"/>
            </w:rPr>
            <w:t>评价时段和评价重点</w:t>
          </w:r>
          <w:r>
            <w:rPr>
              <w:rFonts w:ascii="宋体" w:hAnsi="宋体" w:eastAsia="宋体" w:cs="宋体"/>
              <w:sz w:val="24"/>
              <w:szCs w:val="24"/>
            </w:rPr>
            <w:tab/>
          </w:r>
          <w:r>
            <w:rPr>
              <w:rFonts w:ascii="Times New Roman" w:hAnsi="Times New Roman" w:eastAsia="Times New Roman" w:cs="Times New Roman"/>
              <w:spacing w:val="13"/>
              <w:sz w:val="24"/>
              <w:szCs w:val="24"/>
            </w:rPr>
            <w:t>43</w:t>
          </w:r>
          <w:r>
            <w:rPr>
              <w:rFonts w:ascii="Times New Roman" w:hAnsi="Times New Roman" w:eastAsia="Times New Roman" w:cs="Times New Roman"/>
              <w:spacing w:val="13"/>
              <w:sz w:val="24"/>
              <w:szCs w:val="24"/>
            </w:rPr>
            <w:fldChar w:fldCharType="end"/>
          </w:r>
        </w:p>
        <w:p>
          <w:pPr>
            <w:tabs>
              <w:tab w:val="right" w:leader="dot" w:pos="8322"/>
            </w:tabs>
            <w:spacing w:before="197" w:line="185" w:lineRule="auto"/>
            <w:ind w:left="230"/>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Times New Roman" w:hAnsi="Times New Roman" w:eastAsia="Times New Roman" w:cs="Times New Roman"/>
              <w:spacing w:val="-1"/>
              <w:sz w:val="24"/>
              <w:szCs w:val="24"/>
            </w:rPr>
            <w:t xml:space="preserve">2.6 </w:t>
          </w:r>
          <w:r>
            <w:rPr>
              <w:rFonts w:ascii="宋体" w:hAnsi="宋体" w:eastAsia="宋体" w:cs="宋体"/>
              <w:spacing w:val="-1"/>
              <w:sz w:val="24"/>
              <w:szCs w:val="24"/>
            </w:rPr>
            <w:t>环境保护目标</w:t>
          </w:r>
          <w:r>
            <w:rPr>
              <w:rFonts w:ascii="宋体" w:hAnsi="宋体" w:eastAsia="宋体" w:cs="宋体"/>
              <w:sz w:val="24"/>
              <w:szCs w:val="24"/>
            </w:rPr>
            <w:tab/>
          </w:r>
          <w:r>
            <w:rPr>
              <w:rFonts w:ascii="Times New Roman" w:hAnsi="Times New Roman" w:eastAsia="Times New Roman" w:cs="Times New Roman"/>
              <w:spacing w:val="13"/>
              <w:sz w:val="24"/>
              <w:szCs w:val="24"/>
            </w:rPr>
            <w:t>43</w:t>
          </w:r>
          <w:r>
            <w:rPr>
              <w:rFonts w:ascii="Times New Roman" w:hAnsi="Times New Roman" w:eastAsia="Times New Roman" w:cs="Times New Roman"/>
              <w:spacing w:val="13"/>
              <w:sz w:val="24"/>
              <w:szCs w:val="24"/>
            </w:rPr>
            <w:fldChar w:fldCharType="end"/>
          </w:r>
        </w:p>
        <w:p>
          <w:pPr>
            <w:tabs>
              <w:tab w:val="right" w:leader="dot" w:pos="8322"/>
            </w:tabs>
            <w:spacing w:before="202" w:line="199" w:lineRule="auto"/>
            <w:ind w:left="19"/>
            <w:rPr>
              <w:rFonts w:ascii="Times New Roman" w:hAnsi="Times New Roman" w:eastAsia="Times New Roman" w:cs="Times New Roman"/>
              <w:sz w:val="28"/>
              <w:szCs w:val="28"/>
            </w:rPr>
          </w:pPr>
          <w:r>
            <w:fldChar w:fldCharType="begin"/>
          </w:r>
          <w:r>
            <w:instrText xml:space="preserve"> HYPERLINK \l "bookmark14" </w:instrText>
          </w:r>
          <w:r>
            <w:fldChar w:fldCharType="separate"/>
          </w:r>
          <w:r>
            <w:rPr>
              <w:rFonts w:ascii="Times New Roman" w:hAnsi="Times New Roman" w:eastAsia="Times New Roman" w:cs="Times New Roman"/>
              <w:b/>
              <w:bCs/>
              <w:sz w:val="28"/>
              <w:szCs w:val="28"/>
            </w:rPr>
            <w:t xml:space="preserve">3  </w:t>
          </w:r>
          <w:r>
            <w:rPr>
              <w:rFonts w:ascii="宋体" w:hAnsi="宋体" w:eastAsia="宋体" w:cs="宋体"/>
              <w:sz w:val="28"/>
              <w:szCs w:val="28"/>
              <w14:textOutline w14:w="5094" w14:cap="flat" w14:cmpd="sng">
                <w14:solidFill>
                  <w14:srgbClr w14:val="000000"/>
                </w14:solidFill>
                <w14:prstDash w14:val="solid"/>
                <w14:miter w14:val="0"/>
              </w14:textOutline>
            </w:rPr>
            <w:t>工程概况和工程分析</w:t>
          </w:r>
          <w:r>
            <w:rPr>
              <w:rFonts w:ascii="宋体" w:hAnsi="宋体" w:eastAsia="宋体" w:cs="宋体"/>
              <w:spacing w:val="-70"/>
              <w:sz w:val="28"/>
              <w:szCs w:val="28"/>
            </w:rPr>
            <w:t xml:space="preserve"> </w:t>
          </w:r>
          <w:r>
            <w:rPr>
              <w:rFonts w:ascii="宋体" w:hAnsi="宋体" w:eastAsia="宋体" w:cs="宋体"/>
              <w:sz w:val="28"/>
              <w:szCs w:val="28"/>
            </w:rPr>
            <w:tab/>
          </w:r>
          <w:r>
            <w:rPr>
              <w:rFonts w:ascii="Times New Roman" w:hAnsi="Times New Roman" w:eastAsia="Times New Roman" w:cs="Times New Roman"/>
              <w:b/>
              <w:bCs/>
              <w:spacing w:val="6"/>
              <w:sz w:val="28"/>
              <w:szCs w:val="28"/>
            </w:rPr>
            <w:t>59</w:t>
          </w:r>
          <w:r>
            <w:rPr>
              <w:rFonts w:ascii="Times New Roman" w:hAnsi="Times New Roman" w:eastAsia="Times New Roman" w:cs="Times New Roman"/>
              <w:b/>
              <w:bCs/>
              <w:spacing w:val="6"/>
              <w:sz w:val="28"/>
              <w:szCs w:val="28"/>
            </w:rPr>
            <w:fldChar w:fldCharType="end"/>
          </w:r>
        </w:p>
        <w:p>
          <w:pPr>
            <w:tabs>
              <w:tab w:val="right" w:leader="dot" w:pos="8322"/>
            </w:tabs>
            <w:spacing w:before="199" w:line="185" w:lineRule="auto"/>
            <w:ind w:left="235"/>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Times New Roman" w:hAnsi="Times New Roman" w:eastAsia="Times New Roman" w:cs="Times New Roman"/>
              <w:spacing w:val="-4"/>
              <w:sz w:val="24"/>
              <w:szCs w:val="24"/>
            </w:rPr>
            <w:t>3.1</w:t>
          </w:r>
          <w:r>
            <w:rPr>
              <w:rFonts w:ascii="Times New Roman" w:hAnsi="Times New Roman" w:eastAsia="Times New Roman" w:cs="Times New Roman"/>
              <w:spacing w:val="8"/>
              <w:sz w:val="24"/>
              <w:szCs w:val="24"/>
            </w:rPr>
            <w:t xml:space="preserve">  </w:t>
          </w:r>
          <w:r>
            <w:rPr>
              <w:rFonts w:ascii="宋体" w:hAnsi="宋体" w:eastAsia="宋体" w:cs="宋体"/>
              <w:spacing w:val="-4"/>
              <w:sz w:val="24"/>
              <w:szCs w:val="24"/>
            </w:rPr>
            <w:t>工程概况</w:t>
          </w:r>
          <w:r>
            <w:rPr>
              <w:rFonts w:ascii="宋体" w:hAnsi="宋体" w:eastAsia="宋体" w:cs="宋体"/>
              <w:sz w:val="24"/>
              <w:szCs w:val="24"/>
            </w:rPr>
            <w:tab/>
          </w:r>
          <w:r>
            <w:rPr>
              <w:rFonts w:ascii="Times New Roman" w:hAnsi="Times New Roman" w:eastAsia="Times New Roman" w:cs="Times New Roman"/>
              <w:spacing w:val="13"/>
              <w:sz w:val="24"/>
              <w:szCs w:val="24"/>
            </w:rPr>
            <w:t>59</w:t>
          </w:r>
          <w:r>
            <w:rPr>
              <w:rFonts w:ascii="Times New Roman" w:hAnsi="Times New Roman" w:eastAsia="Times New Roman" w:cs="Times New Roman"/>
              <w:spacing w:val="13"/>
              <w:sz w:val="24"/>
              <w:szCs w:val="24"/>
            </w:rPr>
            <w:fldChar w:fldCharType="end"/>
          </w:r>
        </w:p>
        <w:p>
          <w:pPr>
            <w:tabs>
              <w:tab w:val="right" w:leader="dot" w:pos="8322"/>
            </w:tabs>
            <w:spacing w:before="196" w:line="185" w:lineRule="auto"/>
            <w:ind w:left="235"/>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Times New Roman" w:hAnsi="Times New Roman" w:eastAsia="Times New Roman" w:cs="Times New Roman"/>
              <w:spacing w:val="-1"/>
              <w:sz w:val="24"/>
              <w:szCs w:val="24"/>
            </w:rPr>
            <w:t xml:space="preserve">3.2  </w:t>
          </w:r>
          <w:r>
            <w:rPr>
              <w:rFonts w:ascii="宋体" w:hAnsi="宋体" w:eastAsia="宋体" w:cs="宋体"/>
              <w:spacing w:val="-1"/>
              <w:sz w:val="24"/>
              <w:szCs w:val="24"/>
            </w:rPr>
            <w:t>主要工程内容</w:t>
          </w:r>
          <w:r>
            <w:rPr>
              <w:rFonts w:ascii="宋体" w:hAnsi="宋体" w:eastAsia="宋体" w:cs="宋体"/>
              <w:sz w:val="24"/>
              <w:szCs w:val="24"/>
            </w:rPr>
            <w:tab/>
          </w:r>
          <w:r>
            <w:rPr>
              <w:rFonts w:ascii="Times New Roman" w:hAnsi="Times New Roman" w:eastAsia="Times New Roman" w:cs="Times New Roman"/>
              <w:spacing w:val="13"/>
              <w:sz w:val="24"/>
              <w:szCs w:val="24"/>
            </w:rPr>
            <w:t>61</w:t>
          </w:r>
          <w:r>
            <w:rPr>
              <w:rFonts w:ascii="Times New Roman" w:hAnsi="Times New Roman" w:eastAsia="Times New Roman" w:cs="Times New Roman"/>
              <w:spacing w:val="13"/>
              <w:sz w:val="24"/>
              <w:szCs w:val="24"/>
            </w:rPr>
            <w:fldChar w:fldCharType="end"/>
          </w:r>
        </w:p>
        <w:p>
          <w:pPr>
            <w:tabs>
              <w:tab w:val="right" w:leader="dot" w:pos="8322"/>
            </w:tabs>
            <w:spacing w:before="194" w:line="185" w:lineRule="auto"/>
            <w:ind w:left="235"/>
            <w:rPr>
              <w:rFonts w:ascii="Times New Roman" w:hAnsi="Times New Roman" w:eastAsia="Times New Roman" w:cs="Times New Roman"/>
              <w:sz w:val="24"/>
              <w:szCs w:val="24"/>
            </w:rPr>
          </w:pPr>
          <w:r>
            <w:fldChar w:fldCharType="begin"/>
          </w:r>
          <w:r>
            <w:instrText xml:space="preserve"> HYPERLINK \l "bookmark17" </w:instrText>
          </w:r>
          <w:r>
            <w:fldChar w:fldCharType="separate"/>
          </w:r>
          <w:r>
            <w:rPr>
              <w:rFonts w:ascii="Times New Roman" w:hAnsi="Times New Roman" w:eastAsia="Times New Roman" w:cs="Times New Roman"/>
              <w:spacing w:val="-4"/>
              <w:sz w:val="24"/>
              <w:szCs w:val="24"/>
            </w:rPr>
            <w:t>3.2.8</w:t>
          </w:r>
          <w:r>
            <w:rPr>
              <w:rFonts w:ascii="Times New Roman" w:hAnsi="Times New Roman" w:eastAsia="Times New Roman" w:cs="Times New Roman"/>
              <w:spacing w:val="25"/>
              <w:sz w:val="24"/>
              <w:szCs w:val="24"/>
            </w:rPr>
            <w:t xml:space="preserve"> </w:t>
          </w:r>
          <w:r>
            <w:rPr>
              <w:rFonts w:ascii="宋体" w:hAnsi="宋体" w:eastAsia="宋体" w:cs="宋体"/>
              <w:spacing w:val="-4"/>
              <w:sz w:val="24"/>
              <w:szCs w:val="24"/>
            </w:rPr>
            <w:t>改移工程</w:t>
          </w:r>
          <w:r>
            <w:rPr>
              <w:rFonts w:ascii="宋体" w:hAnsi="宋体" w:eastAsia="宋体" w:cs="宋体"/>
              <w:sz w:val="24"/>
              <w:szCs w:val="24"/>
            </w:rPr>
            <w:tab/>
          </w:r>
          <w:r>
            <w:rPr>
              <w:rFonts w:ascii="Times New Roman" w:hAnsi="Times New Roman" w:eastAsia="Times New Roman" w:cs="Times New Roman"/>
              <w:spacing w:val="13"/>
              <w:sz w:val="24"/>
              <w:szCs w:val="24"/>
            </w:rPr>
            <w:t>81</w:t>
          </w:r>
          <w:r>
            <w:rPr>
              <w:rFonts w:ascii="Times New Roman" w:hAnsi="Times New Roman" w:eastAsia="Times New Roman" w:cs="Times New Roman"/>
              <w:spacing w:val="13"/>
              <w:sz w:val="24"/>
              <w:szCs w:val="24"/>
            </w:rPr>
            <w:fldChar w:fldCharType="end"/>
          </w:r>
        </w:p>
        <w:p>
          <w:pPr>
            <w:tabs>
              <w:tab w:val="right" w:leader="dot" w:pos="8322"/>
            </w:tabs>
            <w:spacing w:before="197" w:line="185" w:lineRule="auto"/>
            <w:ind w:left="235"/>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Times New Roman" w:hAnsi="Times New Roman" w:eastAsia="Times New Roman" w:cs="Times New Roman"/>
              <w:spacing w:val="-3"/>
              <w:sz w:val="24"/>
              <w:szCs w:val="24"/>
            </w:rPr>
            <w:t>3.3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项目交通量</w:t>
          </w:r>
          <w:r>
            <w:rPr>
              <w:rFonts w:ascii="宋体" w:hAnsi="宋体" w:eastAsia="宋体" w:cs="宋体"/>
              <w:sz w:val="24"/>
              <w:szCs w:val="24"/>
            </w:rPr>
            <w:tab/>
          </w:r>
          <w:r>
            <w:rPr>
              <w:rFonts w:ascii="Times New Roman" w:hAnsi="Times New Roman" w:eastAsia="Times New Roman" w:cs="Times New Roman"/>
              <w:spacing w:val="13"/>
              <w:sz w:val="24"/>
              <w:szCs w:val="24"/>
            </w:rPr>
            <w:t>81</w:t>
          </w:r>
          <w:r>
            <w:rPr>
              <w:rFonts w:ascii="Times New Roman" w:hAnsi="Times New Roman" w:eastAsia="Times New Roman" w:cs="Times New Roman"/>
              <w:spacing w:val="13"/>
              <w:sz w:val="24"/>
              <w:szCs w:val="24"/>
            </w:rPr>
            <w:fldChar w:fldCharType="end"/>
          </w:r>
        </w:p>
        <w:p>
          <w:pPr>
            <w:tabs>
              <w:tab w:val="right" w:leader="dot" w:pos="8322"/>
            </w:tabs>
            <w:spacing w:before="196" w:line="185" w:lineRule="auto"/>
            <w:ind w:left="235"/>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Times New Roman" w:hAnsi="Times New Roman" w:eastAsia="Times New Roman" w:cs="Times New Roman"/>
              <w:spacing w:val="-1"/>
              <w:sz w:val="24"/>
              <w:szCs w:val="24"/>
            </w:rPr>
            <w:t xml:space="preserve">3.4  </w:t>
          </w:r>
          <w:r>
            <w:rPr>
              <w:rFonts w:ascii="宋体" w:hAnsi="宋体" w:eastAsia="宋体" w:cs="宋体"/>
              <w:spacing w:val="-1"/>
              <w:sz w:val="24"/>
              <w:szCs w:val="24"/>
            </w:rPr>
            <w:t>施工组织、主要施工方案和施工工艺</w:t>
          </w:r>
          <w:r>
            <w:rPr>
              <w:rFonts w:ascii="宋体" w:hAnsi="宋体" w:eastAsia="宋体" w:cs="宋体"/>
              <w:sz w:val="24"/>
              <w:szCs w:val="24"/>
            </w:rPr>
            <w:tab/>
          </w:r>
          <w:r>
            <w:rPr>
              <w:rFonts w:ascii="Times New Roman" w:hAnsi="Times New Roman" w:eastAsia="Times New Roman" w:cs="Times New Roman"/>
              <w:spacing w:val="13"/>
              <w:sz w:val="24"/>
              <w:szCs w:val="24"/>
            </w:rPr>
            <w:t>84</w:t>
          </w:r>
          <w:r>
            <w:rPr>
              <w:rFonts w:ascii="Times New Roman" w:hAnsi="Times New Roman" w:eastAsia="Times New Roman" w:cs="Times New Roman"/>
              <w:spacing w:val="13"/>
              <w:sz w:val="24"/>
              <w:szCs w:val="24"/>
            </w:rPr>
            <w:fldChar w:fldCharType="end"/>
          </w:r>
        </w:p>
        <w:p>
          <w:pPr>
            <w:tabs>
              <w:tab w:val="right" w:leader="dot" w:pos="8322"/>
            </w:tabs>
            <w:spacing w:before="194" w:line="185" w:lineRule="auto"/>
            <w:ind w:left="235"/>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Times New Roman" w:hAnsi="Times New Roman" w:eastAsia="Times New Roman" w:cs="Times New Roman"/>
              <w:spacing w:val="-1"/>
              <w:sz w:val="24"/>
              <w:szCs w:val="24"/>
            </w:rPr>
            <w:t xml:space="preserve">3.5 </w:t>
          </w:r>
          <w:r>
            <w:rPr>
              <w:rFonts w:ascii="宋体" w:hAnsi="宋体" w:eastAsia="宋体" w:cs="宋体"/>
              <w:spacing w:val="-1"/>
              <w:sz w:val="24"/>
              <w:szCs w:val="24"/>
            </w:rPr>
            <w:t>工程占地和拆迁安置</w:t>
          </w:r>
          <w:r>
            <w:rPr>
              <w:rFonts w:ascii="宋体" w:hAnsi="宋体" w:eastAsia="宋体" w:cs="宋体"/>
              <w:sz w:val="24"/>
              <w:szCs w:val="24"/>
            </w:rPr>
            <w:tab/>
          </w:r>
          <w:r>
            <w:rPr>
              <w:rFonts w:ascii="Times New Roman" w:hAnsi="Times New Roman" w:eastAsia="Times New Roman" w:cs="Times New Roman"/>
              <w:spacing w:val="13"/>
              <w:sz w:val="24"/>
              <w:szCs w:val="24"/>
            </w:rPr>
            <w:t>92</w:t>
          </w:r>
          <w:r>
            <w:rPr>
              <w:rFonts w:ascii="Times New Roman" w:hAnsi="Times New Roman" w:eastAsia="Times New Roman" w:cs="Times New Roman"/>
              <w:spacing w:val="13"/>
              <w:sz w:val="24"/>
              <w:szCs w:val="24"/>
            </w:rPr>
            <w:fldChar w:fldCharType="end"/>
          </w:r>
        </w:p>
        <w:p>
          <w:pPr>
            <w:tabs>
              <w:tab w:val="right" w:leader="dot" w:pos="8322"/>
            </w:tabs>
            <w:spacing w:before="196" w:line="185" w:lineRule="auto"/>
            <w:ind w:left="235"/>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Times New Roman" w:hAnsi="Times New Roman" w:eastAsia="Times New Roman" w:cs="Times New Roman"/>
              <w:spacing w:val="-1"/>
              <w:sz w:val="24"/>
              <w:szCs w:val="24"/>
            </w:rPr>
            <w:t xml:space="preserve">3.6 </w:t>
          </w:r>
          <w:r>
            <w:rPr>
              <w:rFonts w:ascii="宋体" w:hAnsi="宋体" w:eastAsia="宋体" w:cs="宋体"/>
              <w:spacing w:val="-1"/>
              <w:sz w:val="24"/>
              <w:szCs w:val="24"/>
            </w:rPr>
            <w:t>工程土石方平衡</w:t>
          </w:r>
          <w:r>
            <w:rPr>
              <w:rFonts w:ascii="宋体" w:hAnsi="宋体" w:eastAsia="宋体" w:cs="宋体"/>
              <w:sz w:val="24"/>
              <w:szCs w:val="24"/>
            </w:rPr>
            <w:tab/>
          </w:r>
          <w:r>
            <w:rPr>
              <w:rFonts w:ascii="Times New Roman" w:hAnsi="Times New Roman" w:eastAsia="Times New Roman" w:cs="Times New Roman"/>
              <w:spacing w:val="13"/>
              <w:sz w:val="24"/>
              <w:szCs w:val="24"/>
            </w:rPr>
            <w:t>92</w:t>
          </w:r>
          <w:r>
            <w:rPr>
              <w:rFonts w:ascii="Times New Roman" w:hAnsi="Times New Roman" w:eastAsia="Times New Roman" w:cs="Times New Roman"/>
              <w:spacing w:val="13"/>
              <w:sz w:val="24"/>
              <w:szCs w:val="24"/>
            </w:rPr>
            <w:fldChar w:fldCharType="end"/>
          </w:r>
        </w:p>
        <w:p>
          <w:pPr>
            <w:tabs>
              <w:tab w:val="right" w:leader="dot" w:pos="8322"/>
            </w:tabs>
            <w:spacing w:before="194" w:line="185" w:lineRule="auto"/>
            <w:ind w:left="235"/>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Times New Roman" w:hAnsi="Times New Roman" w:eastAsia="Times New Roman" w:cs="Times New Roman"/>
              <w:spacing w:val="-2"/>
              <w:sz w:val="24"/>
              <w:szCs w:val="24"/>
            </w:rPr>
            <w:t xml:space="preserve">3.7 </w:t>
          </w:r>
          <w:r>
            <w:rPr>
              <w:rFonts w:ascii="宋体" w:hAnsi="宋体" w:eastAsia="宋体" w:cs="宋体"/>
              <w:spacing w:val="-2"/>
              <w:sz w:val="24"/>
              <w:szCs w:val="24"/>
            </w:rPr>
            <w:t>工程总投资</w:t>
          </w:r>
          <w:r>
            <w:rPr>
              <w:rFonts w:ascii="宋体" w:hAnsi="宋体" w:eastAsia="宋体" w:cs="宋体"/>
              <w:sz w:val="24"/>
              <w:szCs w:val="24"/>
            </w:rPr>
            <w:tab/>
          </w:r>
          <w:r>
            <w:rPr>
              <w:rFonts w:ascii="Times New Roman" w:hAnsi="Times New Roman" w:eastAsia="Times New Roman" w:cs="Times New Roman"/>
              <w:spacing w:val="13"/>
              <w:sz w:val="24"/>
              <w:szCs w:val="24"/>
            </w:rPr>
            <w:t>92</w:t>
          </w:r>
          <w:r>
            <w:rPr>
              <w:rFonts w:ascii="Times New Roman" w:hAnsi="Times New Roman" w:eastAsia="Times New Roman" w:cs="Times New Roman"/>
              <w:spacing w:val="13"/>
              <w:sz w:val="24"/>
              <w:szCs w:val="24"/>
            </w:rPr>
            <w:fldChar w:fldCharType="end"/>
          </w:r>
        </w:p>
        <w:p>
          <w:pPr>
            <w:tabs>
              <w:tab w:val="right" w:leader="dot" w:pos="8322"/>
            </w:tabs>
            <w:spacing w:before="197" w:line="185" w:lineRule="auto"/>
            <w:ind w:left="235"/>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Times New Roman" w:hAnsi="Times New Roman" w:eastAsia="Times New Roman" w:cs="Times New Roman"/>
              <w:spacing w:val="-4"/>
              <w:sz w:val="24"/>
              <w:szCs w:val="24"/>
            </w:rPr>
            <w:t>3.8</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工程分析</w:t>
          </w:r>
          <w:r>
            <w:rPr>
              <w:rFonts w:ascii="宋体" w:hAnsi="宋体" w:eastAsia="宋体" w:cs="宋体"/>
              <w:sz w:val="24"/>
              <w:szCs w:val="24"/>
            </w:rPr>
            <w:tab/>
          </w:r>
          <w:r>
            <w:rPr>
              <w:rFonts w:ascii="Times New Roman" w:hAnsi="Times New Roman" w:eastAsia="Times New Roman" w:cs="Times New Roman"/>
              <w:spacing w:val="13"/>
              <w:sz w:val="24"/>
              <w:szCs w:val="24"/>
            </w:rPr>
            <w:t>92</w:t>
          </w:r>
          <w:r>
            <w:rPr>
              <w:rFonts w:ascii="Times New Roman" w:hAnsi="Times New Roman" w:eastAsia="Times New Roman" w:cs="Times New Roman"/>
              <w:spacing w:val="13"/>
              <w:sz w:val="24"/>
              <w:szCs w:val="24"/>
            </w:rPr>
            <w:fldChar w:fldCharType="end"/>
          </w:r>
        </w:p>
        <w:p>
          <w:pPr>
            <w:tabs>
              <w:tab w:val="right" w:leader="dot" w:pos="8322"/>
            </w:tabs>
            <w:spacing w:before="200" w:line="199" w:lineRule="auto"/>
            <w:ind w:left="21"/>
            <w:rPr>
              <w:rFonts w:ascii="Times New Roman" w:hAnsi="Times New Roman" w:eastAsia="Times New Roman" w:cs="Times New Roman"/>
              <w:sz w:val="28"/>
              <w:szCs w:val="28"/>
            </w:rPr>
          </w:pPr>
          <w:r>
            <w:fldChar w:fldCharType="begin"/>
          </w:r>
          <w:r>
            <w:instrText xml:space="preserve"> HYPERLINK \l "bookmark24" </w:instrText>
          </w:r>
          <w:r>
            <w:fldChar w:fldCharType="separate"/>
          </w:r>
          <w:r>
            <w:rPr>
              <w:rFonts w:ascii="Times New Roman" w:hAnsi="Times New Roman" w:eastAsia="Times New Roman" w:cs="Times New Roman"/>
              <w:b/>
              <w:bCs/>
              <w:sz w:val="28"/>
              <w:szCs w:val="28"/>
            </w:rPr>
            <w:t xml:space="preserve">4 </w:t>
          </w:r>
          <w:r>
            <w:rPr>
              <w:rFonts w:ascii="宋体" w:hAnsi="宋体" w:eastAsia="宋体" w:cs="宋体"/>
              <w:sz w:val="28"/>
              <w:szCs w:val="28"/>
              <w14:textOutline w14:w="5094" w14:cap="flat" w14:cmpd="sng">
                <w14:solidFill>
                  <w14:srgbClr w14:val="000000"/>
                </w14:solidFill>
                <w14:prstDash w14:val="solid"/>
                <w14:miter w14:val="0"/>
              </w14:textOutline>
            </w:rPr>
            <w:t>环境现状调查与评价</w:t>
          </w:r>
          <w:r>
            <w:rPr>
              <w:rFonts w:ascii="宋体" w:hAnsi="宋体" w:eastAsia="宋体" w:cs="宋体"/>
              <w:spacing w:val="-72"/>
              <w:sz w:val="28"/>
              <w:szCs w:val="28"/>
            </w:rPr>
            <w:t xml:space="preserve"> </w:t>
          </w:r>
          <w:r>
            <w:rPr>
              <w:rFonts w:ascii="宋体" w:hAnsi="宋体" w:eastAsia="宋体" w:cs="宋体"/>
              <w:sz w:val="28"/>
              <w:szCs w:val="28"/>
            </w:rPr>
            <w:tab/>
          </w:r>
          <w:r>
            <w:rPr>
              <w:rFonts w:ascii="Times New Roman" w:hAnsi="Times New Roman" w:eastAsia="Times New Roman" w:cs="Times New Roman"/>
              <w:b/>
              <w:bCs/>
              <w:spacing w:val="4"/>
              <w:sz w:val="28"/>
              <w:szCs w:val="28"/>
            </w:rPr>
            <w:t>108</w:t>
          </w:r>
          <w:r>
            <w:rPr>
              <w:rFonts w:ascii="Times New Roman" w:hAnsi="Times New Roman" w:eastAsia="Times New Roman" w:cs="Times New Roman"/>
              <w:b/>
              <w:bCs/>
              <w:spacing w:val="4"/>
              <w:sz w:val="28"/>
              <w:szCs w:val="28"/>
            </w:rPr>
            <w:fldChar w:fldCharType="end"/>
          </w:r>
        </w:p>
        <w:p>
          <w:pPr>
            <w:tabs>
              <w:tab w:val="right" w:leader="dot" w:pos="8322"/>
            </w:tabs>
            <w:spacing w:before="201" w:line="185" w:lineRule="auto"/>
            <w:ind w:left="229"/>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Times New Roman" w:hAnsi="Times New Roman" w:eastAsia="Times New Roman" w:cs="Times New Roman"/>
              <w:spacing w:val="-6"/>
              <w:sz w:val="24"/>
              <w:szCs w:val="24"/>
            </w:rPr>
            <w:t>4.1</w:t>
          </w:r>
          <w:r>
            <w:rPr>
              <w:rFonts w:ascii="Times New Roman" w:hAnsi="Times New Roman" w:eastAsia="Times New Roman" w:cs="Times New Roman"/>
              <w:spacing w:val="49"/>
              <w:sz w:val="24"/>
              <w:szCs w:val="24"/>
            </w:rPr>
            <w:t xml:space="preserve"> </w:t>
          </w:r>
          <w:r>
            <w:rPr>
              <w:rFonts w:ascii="宋体" w:hAnsi="宋体" w:eastAsia="宋体" w:cs="宋体"/>
              <w:spacing w:val="-6"/>
              <w:sz w:val="24"/>
              <w:szCs w:val="24"/>
            </w:rPr>
            <w:t>自然环境概况</w:t>
          </w:r>
          <w:r>
            <w:rPr>
              <w:rFonts w:ascii="宋体" w:hAnsi="宋体" w:eastAsia="宋体" w:cs="宋体"/>
              <w:sz w:val="24"/>
              <w:szCs w:val="24"/>
            </w:rPr>
            <w:tab/>
          </w:r>
          <w:r>
            <w:rPr>
              <w:rFonts w:ascii="Times New Roman" w:hAnsi="Times New Roman" w:eastAsia="Times New Roman" w:cs="Times New Roman"/>
              <w:spacing w:val="8"/>
              <w:sz w:val="24"/>
              <w:szCs w:val="24"/>
            </w:rPr>
            <w:t>108</w:t>
          </w:r>
          <w:r>
            <w:rPr>
              <w:rFonts w:ascii="Times New Roman" w:hAnsi="Times New Roman" w:eastAsia="Times New Roman" w:cs="Times New Roman"/>
              <w:spacing w:val="8"/>
              <w:sz w:val="24"/>
              <w:szCs w:val="24"/>
            </w:rPr>
            <w:fldChar w:fldCharType="end"/>
          </w:r>
        </w:p>
        <w:p>
          <w:pPr>
            <w:tabs>
              <w:tab w:val="right" w:leader="dot" w:pos="8322"/>
            </w:tabs>
            <w:spacing w:before="196" w:line="185" w:lineRule="auto"/>
            <w:ind w:left="229"/>
            <w:rPr>
              <w:rFonts w:ascii="Times New Roman" w:hAnsi="Times New Roman" w:eastAsia="Times New Roman" w:cs="Times New Roman"/>
              <w:sz w:val="24"/>
              <w:szCs w:val="24"/>
            </w:rPr>
          </w:pPr>
          <w:r>
            <w:fldChar w:fldCharType="begin"/>
          </w:r>
          <w:r>
            <w:instrText xml:space="preserve"> HYPERLINK \l "bookmark26" </w:instrText>
          </w:r>
          <w:r>
            <w:fldChar w:fldCharType="separate"/>
          </w:r>
          <w:r>
            <w:rPr>
              <w:rFonts w:ascii="Times New Roman" w:hAnsi="Times New Roman" w:eastAsia="Times New Roman" w:cs="Times New Roman"/>
              <w:spacing w:val="-1"/>
              <w:sz w:val="24"/>
              <w:szCs w:val="24"/>
            </w:rPr>
            <w:t xml:space="preserve">4.2 </w:t>
          </w:r>
          <w:r>
            <w:rPr>
              <w:rFonts w:ascii="宋体" w:hAnsi="宋体" w:eastAsia="宋体" w:cs="宋体"/>
              <w:spacing w:val="-1"/>
              <w:sz w:val="24"/>
              <w:szCs w:val="24"/>
            </w:rPr>
            <w:t>地表水环境现状调查与评价</w:t>
          </w:r>
          <w:r>
            <w:rPr>
              <w:rFonts w:ascii="宋体" w:hAnsi="宋体" w:eastAsia="宋体" w:cs="宋体"/>
              <w:sz w:val="24"/>
              <w:szCs w:val="24"/>
            </w:rPr>
            <w:tab/>
          </w:r>
          <w:r>
            <w:rPr>
              <w:rFonts w:ascii="Times New Roman" w:hAnsi="Times New Roman" w:eastAsia="Times New Roman" w:cs="Times New Roman"/>
              <w:spacing w:val="10"/>
              <w:sz w:val="24"/>
              <w:szCs w:val="24"/>
            </w:rPr>
            <w:t>110</w:t>
          </w:r>
          <w:r>
            <w:rPr>
              <w:rFonts w:ascii="Times New Roman" w:hAnsi="Times New Roman" w:eastAsia="Times New Roman" w:cs="Times New Roman"/>
              <w:spacing w:val="10"/>
              <w:sz w:val="24"/>
              <w:szCs w:val="24"/>
            </w:rPr>
            <w:fldChar w:fldCharType="end"/>
          </w:r>
        </w:p>
        <w:p>
          <w:pPr>
            <w:tabs>
              <w:tab w:val="right" w:leader="dot" w:pos="8322"/>
            </w:tabs>
            <w:spacing w:before="194" w:line="185" w:lineRule="auto"/>
            <w:ind w:left="229"/>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Times New Roman" w:hAnsi="Times New Roman" w:eastAsia="Times New Roman" w:cs="Times New Roman"/>
              <w:spacing w:val="-1"/>
              <w:sz w:val="24"/>
              <w:szCs w:val="24"/>
            </w:rPr>
            <w:t xml:space="preserve">4.3 </w:t>
          </w:r>
          <w:r>
            <w:rPr>
              <w:rFonts w:ascii="宋体" w:hAnsi="宋体" w:eastAsia="宋体" w:cs="宋体"/>
              <w:spacing w:val="-1"/>
              <w:sz w:val="24"/>
              <w:szCs w:val="24"/>
            </w:rPr>
            <w:t>大气环境质量现状监测与评价</w:t>
          </w:r>
          <w:r>
            <w:rPr>
              <w:rFonts w:ascii="宋体" w:hAnsi="宋体" w:eastAsia="宋体" w:cs="宋体"/>
              <w:sz w:val="24"/>
              <w:szCs w:val="24"/>
            </w:rPr>
            <w:tab/>
          </w:r>
          <w:r>
            <w:rPr>
              <w:rFonts w:ascii="Times New Roman" w:hAnsi="Times New Roman" w:eastAsia="Times New Roman" w:cs="Times New Roman"/>
              <w:spacing w:val="10"/>
              <w:sz w:val="24"/>
              <w:szCs w:val="24"/>
            </w:rPr>
            <w:t>115</w:t>
          </w:r>
          <w:r>
            <w:rPr>
              <w:rFonts w:ascii="Times New Roman" w:hAnsi="Times New Roman" w:eastAsia="Times New Roman" w:cs="Times New Roman"/>
              <w:spacing w:val="10"/>
              <w:sz w:val="24"/>
              <w:szCs w:val="24"/>
            </w:rPr>
            <w:fldChar w:fldCharType="end"/>
          </w:r>
        </w:p>
        <w:p>
          <w:pPr>
            <w:tabs>
              <w:tab w:val="right" w:leader="dot" w:pos="8322"/>
            </w:tabs>
            <w:spacing w:before="196" w:line="185" w:lineRule="auto"/>
            <w:ind w:left="229"/>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Times New Roman" w:hAnsi="Times New Roman" w:eastAsia="Times New Roman" w:cs="Times New Roman"/>
              <w:spacing w:val="-1"/>
              <w:sz w:val="24"/>
              <w:szCs w:val="24"/>
            </w:rPr>
            <w:t xml:space="preserve">4.4 </w:t>
          </w:r>
          <w:r>
            <w:rPr>
              <w:rFonts w:ascii="宋体" w:hAnsi="宋体" w:eastAsia="宋体" w:cs="宋体"/>
              <w:spacing w:val="-1"/>
              <w:sz w:val="24"/>
              <w:szCs w:val="24"/>
            </w:rPr>
            <w:t>声环境质量现状调查与评价</w:t>
          </w:r>
          <w:r>
            <w:rPr>
              <w:rFonts w:ascii="宋体" w:hAnsi="宋体" w:eastAsia="宋体" w:cs="宋体"/>
              <w:sz w:val="24"/>
              <w:szCs w:val="24"/>
            </w:rPr>
            <w:tab/>
          </w:r>
          <w:r>
            <w:rPr>
              <w:rFonts w:ascii="Times New Roman" w:hAnsi="Times New Roman" w:eastAsia="Times New Roman" w:cs="Times New Roman"/>
              <w:spacing w:val="10"/>
              <w:sz w:val="24"/>
              <w:szCs w:val="24"/>
            </w:rPr>
            <w:t>116</w:t>
          </w:r>
          <w:r>
            <w:rPr>
              <w:rFonts w:ascii="Times New Roman" w:hAnsi="Times New Roman" w:eastAsia="Times New Roman" w:cs="Times New Roman"/>
              <w:spacing w:val="10"/>
              <w:sz w:val="24"/>
              <w:szCs w:val="24"/>
            </w:rPr>
            <w:fldChar w:fldCharType="end"/>
          </w:r>
        </w:p>
        <w:p>
          <w:pPr>
            <w:tabs>
              <w:tab w:val="right" w:leader="dot" w:pos="8322"/>
            </w:tabs>
            <w:spacing w:before="194" w:line="185" w:lineRule="auto"/>
            <w:ind w:left="229"/>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Times New Roman" w:hAnsi="Times New Roman" w:eastAsia="Times New Roman" w:cs="Times New Roman"/>
              <w:spacing w:val="-1"/>
              <w:sz w:val="24"/>
              <w:szCs w:val="24"/>
            </w:rPr>
            <w:t xml:space="preserve">4.5 </w:t>
          </w:r>
          <w:r>
            <w:rPr>
              <w:rFonts w:ascii="宋体" w:hAnsi="宋体" w:eastAsia="宋体" w:cs="宋体"/>
              <w:spacing w:val="-1"/>
              <w:sz w:val="24"/>
              <w:szCs w:val="24"/>
            </w:rPr>
            <w:t>生态环境现状调查与分析</w:t>
          </w:r>
          <w:r>
            <w:rPr>
              <w:rFonts w:ascii="宋体" w:hAnsi="宋体" w:eastAsia="宋体" w:cs="宋体"/>
              <w:sz w:val="24"/>
              <w:szCs w:val="24"/>
            </w:rPr>
            <w:tab/>
          </w:r>
          <w:r>
            <w:rPr>
              <w:rFonts w:ascii="Times New Roman" w:hAnsi="Times New Roman" w:eastAsia="Times New Roman" w:cs="Times New Roman"/>
              <w:spacing w:val="8"/>
              <w:sz w:val="24"/>
              <w:szCs w:val="24"/>
            </w:rPr>
            <w:t>136</w:t>
          </w:r>
          <w:r>
            <w:rPr>
              <w:rFonts w:ascii="Times New Roman" w:hAnsi="Times New Roman" w:eastAsia="Times New Roman" w:cs="Times New Roman"/>
              <w:spacing w:val="8"/>
              <w:sz w:val="24"/>
              <w:szCs w:val="24"/>
            </w:rPr>
            <w:fldChar w:fldCharType="end"/>
          </w:r>
        </w:p>
        <w:p>
          <w:pPr>
            <w:tabs>
              <w:tab w:val="right" w:leader="dot" w:pos="8322"/>
            </w:tabs>
            <w:spacing w:before="204" w:line="232" w:lineRule="auto"/>
            <w:ind w:left="24"/>
            <w:rPr>
              <w:rFonts w:ascii="Times New Roman" w:hAnsi="Times New Roman" w:eastAsia="Times New Roman" w:cs="Times New Roman"/>
              <w:sz w:val="28"/>
              <w:szCs w:val="28"/>
            </w:rPr>
          </w:pPr>
          <w:r>
            <w:fldChar w:fldCharType="begin"/>
          </w:r>
          <w:r>
            <w:instrText xml:space="preserve"> HYPERLINK \l "bookmark30" </w:instrText>
          </w:r>
          <w:r>
            <w:fldChar w:fldCharType="separate"/>
          </w:r>
          <w:r>
            <w:rPr>
              <w:rFonts w:ascii="Times New Roman" w:hAnsi="Times New Roman" w:eastAsia="Times New Roman" w:cs="Times New Roman"/>
              <w:b/>
              <w:bCs/>
              <w:sz w:val="28"/>
              <w:szCs w:val="28"/>
            </w:rPr>
            <w:t xml:space="preserve">5 </w:t>
          </w:r>
          <w:r>
            <w:rPr>
              <w:rFonts w:ascii="宋体" w:hAnsi="宋体" w:eastAsia="宋体" w:cs="宋体"/>
              <w:sz w:val="28"/>
              <w:szCs w:val="28"/>
              <w14:textOutline w14:w="5094" w14:cap="flat" w14:cmpd="sng">
                <w14:solidFill>
                  <w14:srgbClr w14:val="000000"/>
                </w14:solidFill>
                <w14:prstDash w14:val="solid"/>
                <w14:miter w14:val="0"/>
              </w14:textOutline>
            </w:rPr>
            <w:t>环境影响预测评价分析</w:t>
          </w:r>
          <w:r>
            <w:rPr>
              <w:rFonts w:ascii="宋体" w:hAnsi="宋体" w:eastAsia="宋体" w:cs="宋体"/>
              <w:spacing w:val="-76"/>
              <w:sz w:val="28"/>
              <w:szCs w:val="28"/>
            </w:rPr>
            <w:t xml:space="preserve"> </w:t>
          </w:r>
          <w:r>
            <w:rPr>
              <w:rFonts w:ascii="宋体" w:hAnsi="宋体" w:eastAsia="宋体" w:cs="宋体"/>
              <w:sz w:val="28"/>
              <w:szCs w:val="28"/>
            </w:rPr>
            <w:tab/>
          </w:r>
          <w:r>
            <w:rPr>
              <w:rFonts w:ascii="Times New Roman" w:hAnsi="Times New Roman" w:eastAsia="Times New Roman" w:cs="Times New Roman"/>
              <w:b/>
              <w:bCs/>
              <w:spacing w:val="4"/>
              <w:sz w:val="28"/>
              <w:szCs w:val="28"/>
            </w:rPr>
            <w:t>151</w:t>
          </w:r>
          <w:r>
            <w:rPr>
              <w:rFonts w:ascii="Times New Roman" w:hAnsi="Times New Roman" w:eastAsia="Times New Roman" w:cs="Times New Roman"/>
              <w:b/>
              <w:bCs/>
              <w:spacing w:val="4"/>
              <w:sz w:val="28"/>
              <w:szCs w:val="28"/>
            </w:rPr>
            <w:fldChar w:fldCharType="end"/>
          </w:r>
        </w:p>
      </w:sdtContent>
    </w:sdt>
    <w:p>
      <w:pPr>
        <w:spacing w:line="232" w:lineRule="auto"/>
        <w:rPr>
          <w:rFonts w:ascii="Times New Roman" w:hAnsi="Times New Roman" w:eastAsia="Times New Roman" w:cs="Times New Roman"/>
          <w:sz w:val="28"/>
          <w:szCs w:val="28"/>
        </w:rPr>
        <w:sectPr>
          <w:footerReference r:id="rId7" w:type="default"/>
          <w:pgSz w:w="11907" w:h="16839"/>
          <w:pgMar w:top="400" w:right="1785" w:bottom="1175" w:left="1785" w:header="0" w:footer="1013" w:gutter="0"/>
          <w:cols w:space="720" w:num="1"/>
        </w:sectPr>
      </w:pPr>
    </w:p>
    <w:p>
      <w:pPr>
        <w:pStyle w:val="2"/>
        <w:spacing w:line="248" w:lineRule="auto"/>
      </w:pPr>
    </w:p>
    <w:p>
      <w:pPr>
        <w:pStyle w:val="2"/>
        <w:spacing w:line="248" w:lineRule="auto"/>
      </w:pPr>
    </w:p>
    <w:p>
      <w:pPr>
        <w:pStyle w:val="2"/>
        <w:spacing w:line="248" w:lineRule="auto"/>
      </w:pPr>
    </w:p>
    <w:p>
      <w:pPr>
        <w:pStyle w:val="2"/>
        <w:spacing w:line="248" w:lineRule="auto"/>
      </w:pPr>
    </w:p>
    <w:sdt>
      <w:sdtPr>
        <w:rPr>
          <w:rFonts w:ascii="Times New Roman" w:hAnsi="Times New Roman" w:eastAsia="Times New Roman" w:cs="Times New Roman"/>
          <w:sz w:val="24"/>
          <w:szCs w:val="24"/>
        </w:rPr>
        <w:id w:val="2"/>
        <w:docPartObj>
          <w:docPartGallery w:val="Table of Contents"/>
          <w:docPartUnique/>
        </w:docPartObj>
      </w:sdtPr>
      <w:sdtEndPr>
        <w:rPr>
          <w:rFonts w:ascii="Times New Roman" w:hAnsi="Times New Roman" w:eastAsia="Times New Roman" w:cs="Times New Roman"/>
          <w:sz w:val="24"/>
          <w:szCs w:val="24"/>
        </w:rPr>
      </w:sdtEndPr>
      <w:sdtContent>
        <w:p>
          <w:pPr>
            <w:tabs>
              <w:tab w:val="right" w:leader="dot" w:pos="8322"/>
            </w:tabs>
            <w:spacing w:before="78" w:line="185" w:lineRule="auto"/>
            <w:ind w:left="237"/>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Times New Roman" w:hAnsi="Times New Roman" w:eastAsia="Times New Roman" w:cs="Times New Roman"/>
              <w:spacing w:val="-1"/>
              <w:sz w:val="24"/>
              <w:szCs w:val="24"/>
            </w:rPr>
            <w:t xml:space="preserve">5.1 </w:t>
          </w:r>
          <w:r>
            <w:rPr>
              <w:rFonts w:ascii="宋体" w:hAnsi="宋体" w:eastAsia="宋体" w:cs="宋体"/>
              <w:spacing w:val="-1"/>
              <w:sz w:val="24"/>
              <w:szCs w:val="24"/>
            </w:rPr>
            <w:t>地表水环境影响分析</w:t>
          </w:r>
          <w:r>
            <w:rPr>
              <w:rFonts w:ascii="宋体" w:hAnsi="宋体" w:eastAsia="宋体" w:cs="宋体"/>
              <w:sz w:val="24"/>
              <w:szCs w:val="24"/>
            </w:rPr>
            <w:tab/>
          </w:r>
          <w:r>
            <w:rPr>
              <w:rFonts w:ascii="Times New Roman" w:hAnsi="Times New Roman" w:eastAsia="Times New Roman" w:cs="Times New Roman"/>
              <w:spacing w:val="8"/>
              <w:sz w:val="24"/>
              <w:szCs w:val="24"/>
            </w:rPr>
            <w:t>151</w:t>
          </w:r>
          <w:r>
            <w:rPr>
              <w:rFonts w:ascii="Times New Roman" w:hAnsi="Times New Roman" w:eastAsia="Times New Roman" w:cs="Times New Roman"/>
              <w:spacing w:val="8"/>
              <w:sz w:val="24"/>
              <w:szCs w:val="24"/>
            </w:rPr>
            <w:fldChar w:fldCharType="end"/>
          </w:r>
        </w:p>
        <w:p>
          <w:pPr>
            <w:tabs>
              <w:tab w:val="right" w:leader="dot" w:pos="8322"/>
            </w:tabs>
            <w:spacing w:before="196" w:line="185" w:lineRule="auto"/>
            <w:ind w:left="237"/>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Times New Roman" w:hAnsi="Times New Roman" w:eastAsia="Times New Roman" w:cs="Times New Roman"/>
              <w:spacing w:val="-1"/>
              <w:sz w:val="24"/>
              <w:szCs w:val="24"/>
            </w:rPr>
            <w:t xml:space="preserve">5.2 </w:t>
          </w:r>
          <w:r>
            <w:rPr>
              <w:rFonts w:ascii="宋体" w:hAnsi="宋体" w:eastAsia="宋体" w:cs="宋体"/>
              <w:spacing w:val="-1"/>
              <w:sz w:val="24"/>
              <w:szCs w:val="24"/>
            </w:rPr>
            <w:t>环境空气影响分析</w:t>
          </w:r>
          <w:r>
            <w:rPr>
              <w:rFonts w:ascii="宋体" w:hAnsi="宋体" w:eastAsia="宋体" w:cs="宋体"/>
              <w:sz w:val="24"/>
              <w:szCs w:val="24"/>
            </w:rPr>
            <w:tab/>
          </w:r>
          <w:r>
            <w:rPr>
              <w:rFonts w:ascii="Times New Roman" w:hAnsi="Times New Roman" w:eastAsia="Times New Roman" w:cs="Times New Roman"/>
              <w:spacing w:val="9"/>
              <w:sz w:val="24"/>
              <w:szCs w:val="24"/>
            </w:rPr>
            <w:t>154</w:t>
          </w:r>
          <w:r>
            <w:rPr>
              <w:rFonts w:ascii="Times New Roman" w:hAnsi="Times New Roman" w:eastAsia="Times New Roman" w:cs="Times New Roman"/>
              <w:spacing w:val="9"/>
              <w:sz w:val="24"/>
              <w:szCs w:val="24"/>
            </w:rPr>
            <w:fldChar w:fldCharType="end"/>
          </w:r>
        </w:p>
        <w:p>
          <w:pPr>
            <w:tabs>
              <w:tab w:val="right" w:leader="dot" w:pos="8322"/>
            </w:tabs>
            <w:spacing w:before="193" w:line="185" w:lineRule="auto"/>
            <w:ind w:left="237"/>
            <w:rPr>
              <w:rFonts w:ascii="Times New Roman" w:hAnsi="Times New Roman" w:eastAsia="Times New Roman" w:cs="Times New Roman"/>
              <w:sz w:val="24"/>
              <w:szCs w:val="24"/>
            </w:rPr>
          </w:pPr>
          <w:r>
            <w:fldChar w:fldCharType="begin"/>
          </w:r>
          <w:r>
            <w:instrText xml:space="preserve"> HYPERLINK \l "bookmark33" </w:instrText>
          </w:r>
          <w:r>
            <w:fldChar w:fldCharType="separate"/>
          </w:r>
          <w:r>
            <w:rPr>
              <w:rFonts w:ascii="Times New Roman" w:hAnsi="Times New Roman" w:eastAsia="Times New Roman" w:cs="Times New Roman"/>
              <w:spacing w:val="-1"/>
              <w:sz w:val="24"/>
              <w:szCs w:val="24"/>
            </w:rPr>
            <w:t xml:space="preserve">5.3 </w:t>
          </w:r>
          <w:r>
            <w:rPr>
              <w:rFonts w:ascii="宋体" w:hAnsi="宋体" w:eastAsia="宋体" w:cs="宋体"/>
              <w:spacing w:val="-1"/>
              <w:sz w:val="24"/>
              <w:szCs w:val="24"/>
            </w:rPr>
            <w:t xml:space="preserve">声环境影响预测与评价                   </w:t>
          </w:r>
          <w:r>
            <w:rPr>
              <w:rFonts w:ascii="宋体" w:hAnsi="宋体" w:eastAsia="宋体" w:cs="宋体"/>
              <w:sz w:val="24"/>
              <w:szCs w:val="24"/>
            </w:rPr>
            <w:tab/>
          </w:r>
          <w:r>
            <w:rPr>
              <w:rFonts w:ascii="Times New Roman" w:hAnsi="Times New Roman" w:eastAsia="Times New Roman" w:cs="Times New Roman"/>
              <w:spacing w:val="8"/>
              <w:sz w:val="24"/>
              <w:szCs w:val="24"/>
            </w:rPr>
            <w:t>156</w:t>
          </w:r>
          <w:r>
            <w:rPr>
              <w:rFonts w:ascii="Times New Roman" w:hAnsi="Times New Roman" w:eastAsia="Times New Roman" w:cs="Times New Roman"/>
              <w:spacing w:val="8"/>
              <w:sz w:val="24"/>
              <w:szCs w:val="24"/>
            </w:rPr>
            <w:fldChar w:fldCharType="end"/>
          </w:r>
        </w:p>
        <w:p>
          <w:pPr>
            <w:tabs>
              <w:tab w:val="right" w:leader="dot" w:pos="8322"/>
            </w:tabs>
            <w:spacing w:before="196" w:line="185" w:lineRule="auto"/>
            <w:ind w:left="237"/>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rFonts w:ascii="Times New Roman" w:hAnsi="Times New Roman" w:eastAsia="Times New Roman" w:cs="Times New Roman"/>
              <w:spacing w:val="-4"/>
              <w:sz w:val="24"/>
              <w:szCs w:val="24"/>
            </w:rPr>
            <w:t>5.4</w:t>
          </w:r>
          <w:r>
            <w:rPr>
              <w:rFonts w:ascii="Times New Roman" w:hAnsi="Times New Roman" w:eastAsia="Times New Roman" w:cs="Times New Roman"/>
              <w:spacing w:val="39"/>
              <w:sz w:val="24"/>
              <w:szCs w:val="24"/>
            </w:rPr>
            <w:t xml:space="preserve"> </w:t>
          </w:r>
          <w:r>
            <w:rPr>
              <w:rFonts w:ascii="宋体" w:hAnsi="宋体" w:eastAsia="宋体" w:cs="宋体"/>
              <w:spacing w:val="-4"/>
              <w:sz w:val="24"/>
              <w:szCs w:val="24"/>
            </w:rPr>
            <w:t>固体废物处置影响分析</w:t>
          </w:r>
          <w:r>
            <w:rPr>
              <w:rFonts w:ascii="宋体" w:hAnsi="宋体" w:eastAsia="宋体" w:cs="宋体"/>
              <w:sz w:val="24"/>
              <w:szCs w:val="24"/>
            </w:rPr>
            <w:tab/>
          </w:r>
          <w:r>
            <w:rPr>
              <w:rFonts w:ascii="Times New Roman" w:hAnsi="Times New Roman" w:eastAsia="Times New Roman" w:cs="Times New Roman"/>
              <w:spacing w:val="8"/>
              <w:sz w:val="24"/>
              <w:szCs w:val="24"/>
            </w:rPr>
            <w:t>173</w:t>
          </w:r>
          <w:r>
            <w:rPr>
              <w:rFonts w:ascii="Times New Roman" w:hAnsi="Times New Roman" w:eastAsia="Times New Roman" w:cs="Times New Roman"/>
              <w:spacing w:val="8"/>
              <w:sz w:val="24"/>
              <w:szCs w:val="24"/>
            </w:rPr>
            <w:fldChar w:fldCharType="end"/>
          </w:r>
        </w:p>
        <w:p>
          <w:pPr>
            <w:tabs>
              <w:tab w:val="right" w:leader="dot" w:pos="8322"/>
            </w:tabs>
            <w:spacing w:before="193" w:line="185" w:lineRule="auto"/>
            <w:ind w:left="237"/>
            <w:rPr>
              <w:rFonts w:ascii="Times New Roman" w:hAnsi="Times New Roman" w:eastAsia="Times New Roman" w:cs="Times New Roman"/>
              <w:sz w:val="24"/>
              <w:szCs w:val="24"/>
            </w:rPr>
          </w:pPr>
          <w:r>
            <w:fldChar w:fldCharType="begin"/>
          </w:r>
          <w:r>
            <w:instrText xml:space="preserve"> HYPERLINK \l "bookmark35" </w:instrText>
          </w:r>
          <w:r>
            <w:fldChar w:fldCharType="separate"/>
          </w:r>
          <w:r>
            <w:rPr>
              <w:rFonts w:ascii="Times New Roman" w:hAnsi="Times New Roman" w:eastAsia="Times New Roman" w:cs="Times New Roman"/>
              <w:spacing w:val="-1"/>
              <w:sz w:val="24"/>
              <w:szCs w:val="24"/>
            </w:rPr>
            <w:t xml:space="preserve">5.5 </w:t>
          </w:r>
          <w:r>
            <w:rPr>
              <w:rFonts w:ascii="宋体" w:hAnsi="宋体" w:eastAsia="宋体" w:cs="宋体"/>
              <w:spacing w:val="-1"/>
              <w:sz w:val="24"/>
              <w:szCs w:val="24"/>
            </w:rPr>
            <w:t>生态环境影响分析</w:t>
          </w:r>
          <w:r>
            <w:rPr>
              <w:rFonts w:ascii="宋体" w:hAnsi="宋体" w:eastAsia="宋体" w:cs="宋体"/>
              <w:sz w:val="24"/>
              <w:szCs w:val="24"/>
            </w:rPr>
            <w:tab/>
          </w:r>
          <w:r>
            <w:rPr>
              <w:rFonts w:ascii="Times New Roman" w:hAnsi="Times New Roman" w:eastAsia="Times New Roman" w:cs="Times New Roman"/>
              <w:spacing w:val="9"/>
              <w:sz w:val="24"/>
              <w:szCs w:val="24"/>
            </w:rPr>
            <w:t>173</w:t>
          </w:r>
          <w:r>
            <w:rPr>
              <w:rFonts w:ascii="Times New Roman" w:hAnsi="Times New Roman" w:eastAsia="Times New Roman" w:cs="Times New Roman"/>
              <w:spacing w:val="9"/>
              <w:sz w:val="24"/>
              <w:szCs w:val="24"/>
            </w:rPr>
            <w:fldChar w:fldCharType="end"/>
          </w:r>
        </w:p>
        <w:p>
          <w:pPr>
            <w:tabs>
              <w:tab w:val="right" w:leader="dot" w:pos="8322"/>
            </w:tabs>
            <w:spacing w:before="196" w:line="185" w:lineRule="auto"/>
            <w:ind w:left="237"/>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rFonts w:ascii="Times New Roman" w:hAnsi="Times New Roman" w:eastAsia="Times New Roman" w:cs="Times New Roman"/>
              <w:spacing w:val="-2"/>
              <w:sz w:val="24"/>
              <w:szCs w:val="24"/>
            </w:rPr>
            <w:t xml:space="preserve">5.6 </w:t>
          </w:r>
          <w:r>
            <w:rPr>
              <w:rFonts w:ascii="宋体" w:hAnsi="宋体" w:eastAsia="宋体" w:cs="宋体"/>
              <w:spacing w:val="-2"/>
              <w:sz w:val="24"/>
              <w:szCs w:val="24"/>
            </w:rPr>
            <w:t>环境风险分析</w:t>
          </w:r>
          <w:r>
            <w:rPr>
              <w:rFonts w:ascii="宋体" w:hAnsi="宋体" w:eastAsia="宋体" w:cs="宋体"/>
              <w:sz w:val="24"/>
              <w:szCs w:val="24"/>
            </w:rPr>
            <w:tab/>
          </w:r>
          <w:r>
            <w:rPr>
              <w:rFonts w:ascii="Times New Roman" w:hAnsi="Times New Roman" w:eastAsia="Times New Roman" w:cs="Times New Roman"/>
              <w:spacing w:val="8"/>
              <w:sz w:val="24"/>
              <w:szCs w:val="24"/>
            </w:rPr>
            <w:t>181</w:t>
          </w:r>
          <w:r>
            <w:rPr>
              <w:rFonts w:ascii="Times New Roman" w:hAnsi="Times New Roman" w:eastAsia="Times New Roman" w:cs="Times New Roman"/>
              <w:spacing w:val="8"/>
              <w:sz w:val="24"/>
              <w:szCs w:val="24"/>
            </w:rPr>
            <w:fldChar w:fldCharType="end"/>
          </w:r>
        </w:p>
        <w:p>
          <w:pPr>
            <w:tabs>
              <w:tab w:val="right" w:leader="dot" w:pos="8322"/>
            </w:tabs>
            <w:spacing w:before="200" w:line="199" w:lineRule="auto"/>
            <w:ind w:left="24"/>
            <w:rPr>
              <w:rFonts w:ascii="Times New Roman" w:hAnsi="Times New Roman" w:eastAsia="Times New Roman" w:cs="Times New Roman"/>
              <w:sz w:val="28"/>
              <w:szCs w:val="28"/>
            </w:rPr>
          </w:pPr>
          <w:r>
            <w:fldChar w:fldCharType="begin"/>
          </w:r>
          <w:r>
            <w:instrText xml:space="preserve"> HYPERLINK \l "bookmark37" </w:instrText>
          </w:r>
          <w:r>
            <w:fldChar w:fldCharType="separate"/>
          </w:r>
          <w:r>
            <w:rPr>
              <w:rFonts w:ascii="Times New Roman" w:hAnsi="Times New Roman" w:eastAsia="Times New Roman" w:cs="Times New Roman"/>
              <w:b/>
              <w:bCs/>
              <w:sz w:val="28"/>
              <w:szCs w:val="28"/>
            </w:rPr>
            <w:t xml:space="preserve">6 </w:t>
          </w:r>
          <w:r>
            <w:rPr>
              <w:rFonts w:ascii="宋体" w:hAnsi="宋体" w:eastAsia="宋体" w:cs="宋体"/>
              <w:sz w:val="28"/>
              <w:szCs w:val="28"/>
              <w14:textOutline w14:w="5094" w14:cap="flat" w14:cmpd="sng">
                <w14:solidFill>
                  <w14:srgbClr w14:val="000000"/>
                </w14:solidFill>
                <w14:prstDash w14:val="solid"/>
                <w14:miter w14:val="0"/>
              </w14:textOutline>
            </w:rPr>
            <w:t>环境保护措施及其可行性论证</w:t>
          </w:r>
          <w:r>
            <w:rPr>
              <w:rFonts w:ascii="宋体" w:hAnsi="宋体" w:eastAsia="宋体" w:cs="宋体"/>
              <w:spacing w:val="-82"/>
              <w:sz w:val="28"/>
              <w:szCs w:val="28"/>
            </w:rPr>
            <w:t xml:space="preserve"> </w:t>
          </w:r>
          <w:r>
            <w:rPr>
              <w:rFonts w:ascii="宋体" w:hAnsi="宋体" w:eastAsia="宋体" w:cs="宋体"/>
              <w:sz w:val="28"/>
              <w:szCs w:val="28"/>
            </w:rPr>
            <w:tab/>
          </w:r>
          <w:r>
            <w:rPr>
              <w:rFonts w:ascii="Times New Roman" w:hAnsi="Times New Roman" w:eastAsia="Times New Roman" w:cs="Times New Roman"/>
              <w:b/>
              <w:bCs/>
              <w:spacing w:val="4"/>
              <w:sz w:val="28"/>
              <w:szCs w:val="28"/>
            </w:rPr>
            <w:t>187</w:t>
          </w:r>
          <w:r>
            <w:rPr>
              <w:rFonts w:ascii="Times New Roman" w:hAnsi="Times New Roman" w:eastAsia="Times New Roman" w:cs="Times New Roman"/>
              <w:b/>
              <w:bCs/>
              <w:spacing w:val="4"/>
              <w:sz w:val="28"/>
              <w:szCs w:val="28"/>
            </w:rPr>
            <w:fldChar w:fldCharType="end"/>
          </w:r>
        </w:p>
        <w:p>
          <w:pPr>
            <w:tabs>
              <w:tab w:val="right" w:leader="dot" w:pos="8322"/>
            </w:tabs>
            <w:spacing w:before="201" w:line="185" w:lineRule="auto"/>
            <w:ind w:left="235"/>
            <w:rPr>
              <w:rFonts w:ascii="Times New Roman" w:hAnsi="Times New Roman" w:eastAsia="Times New Roman" w:cs="Times New Roman"/>
              <w:sz w:val="24"/>
              <w:szCs w:val="24"/>
            </w:rPr>
          </w:pPr>
          <w:r>
            <w:fldChar w:fldCharType="begin"/>
          </w:r>
          <w:r>
            <w:instrText xml:space="preserve"> HYPERLINK \l "bookmark38" </w:instrText>
          </w:r>
          <w:r>
            <w:fldChar w:fldCharType="separate"/>
          </w:r>
          <w:r>
            <w:rPr>
              <w:rFonts w:ascii="Times New Roman" w:hAnsi="Times New Roman" w:eastAsia="Times New Roman" w:cs="Times New Roman"/>
              <w:spacing w:val="-1"/>
              <w:sz w:val="24"/>
              <w:szCs w:val="24"/>
            </w:rPr>
            <w:t xml:space="preserve">6.1 </w:t>
          </w:r>
          <w:r>
            <w:rPr>
              <w:rFonts w:ascii="宋体" w:hAnsi="宋体" w:eastAsia="宋体" w:cs="宋体"/>
              <w:spacing w:val="-1"/>
              <w:sz w:val="24"/>
              <w:szCs w:val="24"/>
            </w:rPr>
            <w:t>地表水环境污染防治措施</w:t>
          </w:r>
          <w:r>
            <w:rPr>
              <w:rFonts w:ascii="宋体" w:hAnsi="宋体" w:eastAsia="宋体" w:cs="宋体"/>
              <w:sz w:val="24"/>
              <w:szCs w:val="24"/>
            </w:rPr>
            <w:tab/>
          </w:r>
          <w:r>
            <w:rPr>
              <w:rFonts w:ascii="Times New Roman" w:hAnsi="Times New Roman" w:eastAsia="Times New Roman" w:cs="Times New Roman"/>
              <w:spacing w:val="8"/>
              <w:sz w:val="24"/>
              <w:szCs w:val="24"/>
            </w:rPr>
            <w:t>187</w:t>
          </w:r>
          <w:r>
            <w:rPr>
              <w:rFonts w:ascii="Times New Roman" w:hAnsi="Times New Roman" w:eastAsia="Times New Roman" w:cs="Times New Roman"/>
              <w:spacing w:val="8"/>
              <w:sz w:val="24"/>
              <w:szCs w:val="24"/>
            </w:rPr>
            <w:fldChar w:fldCharType="end"/>
          </w:r>
        </w:p>
        <w:p>
          <w:pPr>
            <w:tabs>
              <w:tab w:val="right" w:leader="dot" w:pos="8322"/>
            </w:tabs>
            <w:spacing w:before="197" w:line="185" w:lineRule="auto"/>
            <w:ind w:left="235"/>
            <w:rPr>
              <w:rFonts w:ascii="Times New Roman" w:hAnsi="Times New Roman" w:eastAsia="Times New Roman" w:cs="Times New Roman"/>
              <w:sz w:val="24"/>
              <w:szCs w:val="24"/>
            </w:rPr>
          </w:pPr>
          <w:r>
            <w:fldChar w:fldCharType="begin"/>
          </w:r>
          <w:r>
            <w:instrText xml:space="preserve"> HYPERLINK \l "bookmark39" </w:instrText>
          </w:r>
          <w:r>
            <w:fldChar w:fldCharType="separate"/>
          </w:r>
          <w:r>
            <w:rPr>
              <w:rFonts w:ascii="Times New Roman" w:hAnsi="Times New Roman" w:eastAsia="Times New Roman" w:cs="Times New Roman"/>
              <w:spacing w:val="-1"/>
              <w:sz w:val="24"/>
              <w:szCs w:val="24"/>
            </w:rPr>
            <w:t xml:space="preserve">6.2 </w:t>
          </w:r>
          <w:r>
            <w:rPr>
              <w:rFonts w:ascii="宋体" w:hAnsi="宋体" w:eastAsia="宋体" w:cs="宋体"/>
              <w:spacing w:val="-1"/>
              <w:sz w:val="24"/>
              <w:szCs w:val="24"/>
            </w:rPr>
            <w:t>环境空气污染防治措施</w:t>
          </w:r>
          <w:r>
            <w:rPr>
              <w:rFonts w:ascii="宋体" w:hAnsi="宋体" w:eastAsia="宋体" w:cs="宋体"/>
              <w:sz w:val="24"/>
              <w:szCs w:val="24"/>
            </w:rPr>
            <w:tab/>
          </w:r>
          <w:r>
            <w:rPr>
              <w:rFonts w:ascii="Times New Roman" w:hAnsi="Times New Roman" w:eastAsia="Times New Roman" w:cs="Times New Roman"/>
              <w:spacing w:val="8"/>
              <w:sz w:val="24"/>
              <w:szCs w:val="24"/>
            </w:rPr>
            <w:t>188</w:t>
          </w:r>
          <w:r>
            <w:rPr>
              <w:rFonts w:ascii="Times New Roman" w:hAnsi="Times New Roman" w:eastAsia="Times New Roman" w:cs="Times New Roman"/>
              <w:spacing w:val="8"/>
              <w:sz w:val="24"/>
              <w:szCs w:val="24"/>
            </w:rPr>
            <w:fldChar w:fldCharType="end"/>
          </w:r>
        </w:p>
        <w:p>
          <w:pPr>
            <w:tabs>
              <w:tab w:val="right" w:leader="dot" w:pos="8322"/>
            </w:tabs>
            <w:spacing w:before="194" w:line="185" w:lineRule="auto"/>
            <w:ind w:left="235"/>
            <w:rPr>
              <w:rFonts w:ascii="Times New Roman" w:hAnsi="Times New Roman" w:eastAsia="Times New Roman" w:cs="Times New Roman"/>
              <w:sz w:val="24"/>
              <w:szCs w:val="24"/>
            </w:rPr>
          </w:pPr>
          <w:r>
            <w:fldChar w:fldCharType="begin"/>
          </w:r>
          <w:r>
            <w:instrText xml:space="preserve"> HYPERLINK \l "bookmark40" </w:instrText>
          </w:r>
          <w:r>
            <w:fldChar w:fldCharType="separate"/>
          </w:r>
          <w:r>
            <w:rPr>
              <w:rFonts w:ascii="Times New Roman" w:hAnsi="Times New Roman" w:eastAsia="Times New Roman" w:cs="Times New Roman"/>
              <w:spacing w:val="-1"/>
              <w:sz w:val="24"/>
              <w:szCs w:val="24"/>
            </w:rPr>
            <w:t xml:space="preserve">6.3 </w:t>
          </w:r>
          <w:r>
            <w:rPr>
              <w:rFonts w:ascii="宋体" w:hAnsi="宋体" w:eastAsia="宋体" w:cs="宋体"/>
              <w:spacing w:val="-1"/>
              <w:sz w:val="24"/>
              <w:szCs w:val="24"/>
            </w:rPr>
            <w:t>声环境影响减缓措施</w:t>
          </w:r>
          <w:r>
            <w:rPr>
              <w:rFonts w:ascii="宋体" w:hAnsi="宋体" w:eastAsia="宋体" w:cs="宋体"/>
              <w:sz w:val="24"/>
              <w:szCs w:val="24"/>
            </w:rPr>
            <w:tab/>
          </w:r>
          <w:r>
            <w:rPr>
              <w:rFonts w:ascii="Times New Roman" w:hAnsi="Times New Roman" w:eastAsia="Times New Roman" w:cs="Times New Roman"/>
              <w:spacing w:val="8"/>
              <w:sz w:val="24"/>
              <w:szCs w:val="24"/>
            </w:rPr>
            <w:t>190</w:t>
          </w:r>
          <w:r>
            <w:rPr>
              <w:rFonts w:ascii="Times New Roman" w:hAnsi="Times New Roman" w:eastAsia="Times New Roman" w:cs="Times New Roman"/>
              <w:spacing w:val="8"/>
              <w:sz w:val="24"/>
              <w:szCs w:val="24"/>
            </w:rPr>
            <w:fldChar w:fldCharType="end"/>
          </w:r>
        </w:p>
        <w:p>
          <w:pPr>
            <w:tabs>
              <w:tab w:val="right" w:leader="dot" w:pos="8322"/>
            </w:tabs>
            <w:spacing w:before="196" w:line="185" w:lineRule="auto"/>
            <w:ind w:left="235"/>
            <w:rPr>
              <w:rFonts w:ascii="Times New Roman" w:hAnsi="Times New Roman" w:eastAsia="Times New Roman" w:cs="Times New Roman"/>
              <w:sz w:val="24"/>
              <w:szCs w:val="24"/>
            </w:rPr>
          </w:pPr>
          <w:r>
            <w:fldChar w:fldCharType="begin"/>
          </w:r>
          <w:r>
            <w:instrText xml:space="preserve"> HYPERLINK \l "bookmark41" </w:instrText>
          </w:r>
          <w:r>
            <w:fldChar w:fldCharType="separate"/>
          </w:r>
          <w:r>
            <w:rPr>
              <w:rFonts w:ascii="Times New Roman" w:hAnsi="Times New Roman" w:eastAsia="Times New Roman" w:cs="Times New Roman"/>
              <w:spacing w:val="-4"/>
              <w:sz w:val="24"/>
              <w:szCs w:val="24"/>
            </w:rPr>
            <w:t>6.4</w:t>
          </w:r>
          <w:r>
            <w:rPr>
              <w:rFonts w:ascii="Times New Roman" w:hAnsi="Times New Roman" w:eastAsia="Times New Roman" w:cs="Times New Roman"/>
              <w:spacing w:val="32"/>
              <w:w w:val="101"/>
              <w:sz w:val="24"/>
              <w:szCs w:val="24"/>
            </w:rPr>
            <w:t xml:space="preserve"> </w:t>
          </w:r>
          <w:r>
            <w:rPr>
              <w:rFonts w:ascii="宋体" w:hAnsi="宋体" w:eastAsia="宋体" w:cs="宋体"/>
              <w:spacing w:val="-4"/>
              <w:sz w:val="24"/>
              <w:szCs w:val="24"/>
            </w:rPr>
            <w:t>固体废物处置措施</w:t>
          </w:r>
          <w:r>
            <w:rPr>
              <w:rFonts w:ascii="宋体" w:hAnsi="宋体" w:eastAsia="宋体" w:cs="宋体"/>
              <w:sz w:val="24"/>
              <w:szCs w:val="24"/>
            </w:rPr>
            <w:tab/>
          </w:r>
          <w:r>
            <w:rPr>
              <w:rFonts w:ascii="Times New Roman" w:hAnsi="Times New Roman" w:eastAsia="Times New Roman" w:cs="Times New Roman"/>
              <w:spacing w:val="9"/>
              <w:sz w:val="24"/>
              <w:szCs w:val="24"/>
            </w:rPr>
            <w:t>202</w:t>
          </w:r>
          <w:r>
            <w:rPr>
              <w:rFonts w:ascii="Times New Roman" w:hAnsi="Times New Roman" w:eastAsia="Times New Roman" w:cs="Times New Roman"/>
              <w:spacing w:val="9"/>
              <w:sz w:val="24"/>
              <w:szCs w:val="24"/>
            </w:rPr>
            <w:fldChar w:fldCharType="end"/>
          </w:r>
        </w:p>
        <w:p>
          <w:pPr>
            <w:tabs>
              <w:tab w:val="right" w:leader="dot" w:pos="8322"/>
            </w:tabs>
            <w:spacing w:before="194" w:line="185" w:lineRule="auto"/>
            <w:ind w:left="235"/>
            <w:rPr>
              <w:rFonts w:ascii="Times New Roman" w:hAnsi="Times New Roman" w:eastAsia="Times New Roman" w:cs="Times New Roman"/>
              <w:sz w:val="24"/>
              <w:szCs w:val="24"/>
            </w:rPr>
          </w:pPr>
          <w:r>
            <w:fldChar w:fldCharType="begin"/>
          </w:r>
          <w:r>
            <w:instrText xml:space="preserve"> HYPERLINK \l "bookmark42" </w:instrText>
          </w:r>
          <w:r>
            <w:fldChar w:fldCharType="separate"/>
          </w:r>
          <w:r>
            <w:rPr>
              <w:rFonts w:ascii="Times New Roman" w:hAnsi="Times New Roman" w:eastAsia="Times New Roman" w:cs="Times New Roman"/>
              <w:spacing w:val="-1"/>
              <w:sz w:val="24"/>
              <w:szCs w:val="24"/>
            </w:rPr>
            <w:t xml:space="preserve">6.5 </w:t>
          </w:r>
          <w:r>
            <w:rPr>
              <w:rFonts w:ascii="宋体" w:hAnsi="宋体" w:eastAsia="宋体" w:cs="宋体"/>
              <w:spacing w:val="-1"/>
              <w:sz w:val="24"/>
              <w:szCs w:val="24"/>
            </w:rPr>
            <w:t>生态环境保护措施</w:t>
          </w:r>
          <w:r>
            <w:rPr>
              <w:rFonts w:ascii="宋体" w:hAnsi="宋体" w:eastAsia="宋体" w:cs="宋体"/>
              <w:sz w:val="24"/>
              <w:szCs w:val="24"/>
            </w:rPr>
            <w:tab/>
          </w:r>
          <w:r>
            <w:rPr>
              <w:rFonts w:ascii="Times New Roman" w:hAnsi="Times New Roman" w:eastAsia="Times New Roman" w:cs="Times New Roman"/>
              <w:spacing w:val="9"/>
              <w:sz w:val="24"/>
              <w:szCs w:val="24"/>
            </w:rPr>
            <w:t>202</w:t>
          </w:r>
          <w:r>
            <w:rPr>
              <w:rFonts w:ascii="Times New Roman" w:hAnsi="Times New Roman" w:eastAsia="Times New Roman" w:cs="Times New Roman"/>
              <w:spacing w:val="9"/>
              <w:sz w:val="24"/>
              <w:szCs w:val="24"/>
            </w:rPr>
            <w:fldChar w:fldCharType="end"/>
          </w:r>
        </w:p>
        <w:p>
          <w:pPr>
            <w:tabs>
              <w:tab w:val="right" w:leader="dot" w:pos="8322"/>
            </w:tabs>
            <w:spacing w:before="196" w:line="185" w:lineRule="auto"/>
            <w:ind w:left="235"/>
            <w:rPr>
              <w:rFonts w:ascii="Times New Roman" w:hAnsi="Times New Roman" w:eastAsia="Times New Roman" w:cs="Times New Roman"/>
              <w:sz w:val="24"/>
              <w:szCs w:val="24"/>
            </w:rPr>
          </w:pPr>
          <w:r>
            <w:fldChar w:fldCharType="begin"/>
          </w:r>
          <w:r>
            <w:instrText xml:space="preserve"> HYPERLINK \l "bookmark43" </w:instrText>
          </w:r>
          <w:r>
            <w:fldChar w:fldCharType="separate"/>
          </w:r>
          <w:r>
            <w:rPr>
              <w:rFonts w:ascii="Times New Roman" w:hAnsi="Times New Roman" w:eastAsia="Times New Roman" w:cs="Times New Roman"/>
              <w:spacing w:val="-1"/>
              <w:sz w:val="24"/>
              <w:szCs w:val="24"/>
            </w:rPr>
            <w:t xml:space="preserve">6.6 </w:t>
          </w:r>
          <w:r>
            <w:rPr>
              <w:rFonts w:ascii="宋体" w:hAnsi="宋体" w:eastAsia="宋体" w:cs="宋体"/>
              <w:spacing w:val="-1"/>
              <w:sz w:val="24"/>
              <w:szCs w:val="24"/>
            </w:rPr>
            <w:t>环境风险防范措施及应急预案</w:t>
          </w:r>
          <w:r>
            <w:rPr>
              <w:rFonts w:ascii="宋体" w:hAnsi="宋体" w:eastAsia="宋体" w:cs="宋体"/>
              <w:sz w:val="24"/>
              <w:szCs w:val="24"/>
            </w:rPr>
            <w:tab/>
          </w:r>
          <w:r>
            <w:rPr>
              <w:rFonts w:ascii="Times New Roman" w:hAnsi="Times New Roman" w:eastAsia="Times New Roman" w:cs="Times New Roman"/>
              <w:spacing w:val="8"/>
              <w:sz w:val="24"/>
              <w:szCs w:val="24"/>
            </w:rPr>
            <w:t>204</w:t>
          </w:r>
          <w:r>
            <w:rPr>
              <w:rFonts w:ascii="Times New Roman" w:hAnsi="Times New Roman" w:eastAsia="Times New Roman" w:cs="Times New Roman"/>
              <w:spacing w:val="8"/>
              <w:sz w:val="24"/>
              <w:szCs w:val="24"/>
            </w:rPr>
            <w:fldChar w:fldCharType="end"/>
          </w:r>
        </w:p>
        <w:p>
          <w:pPr>
            <w:tabs>
              <w:tab w:val="right" w:leader="dot" w:pos="8322"/>
            </w:tabs>
            <w:spacing w:before="203" w:line="199" w:lineRule="auto"/>
            <w:ind w:left="24"/>
            <w:rPr>
              <w:rFonts w:ascii="Times New Roman" w:hAnsi="Times New Roman" w:eastAsia="Times New Roman" w:cs="Times New Roman"/>
              <w:sz w:val="28"/>
              <w:szCs w:val="28"/>
            </w:rPr>
          </w:pPr>
          <w:r>
            <w:fldChar w:fldCharType="begin"/>
          </w:r>
          <w:r>
            <w:instrText xml:space="preserve"> HYPERLINK \l "bookmark44" </w:instrText>
          </w:r>
          <w:r>
            <w:fldChar w:fldCharType="separate"/>
          </w:r>
          <w:r>
            <w:rPr>
              <w:rFonts w:ascii="Times New Roman" w:hAnsi="Times New Roman" w:eastAsia="Times New Roman" w:cs="Times New Roman"/>
              <w:b/>
              <w:bCs/>
              <w:sz w:val="28"/>
              <w:szCs w:val="28"/>
            </w:rPr>
            <w:t xml:space="preserve">7 </w:t>
          </w:r>
          <w:r>
            <w:rPr>
              <w:rFonts w:ascii="宋体" w:hAnsi="宋体" w:eastAsia="宋体" w:cs="宋体"/>
              <w:sz w:val="28"/>
              <w:szCs w:val="28"/>
              <w14:textOutline w14:w="5094" w14:cap="flat" w14:cmpd="sng">
                <w14:solidFill>
                  <w14:srgbClr w14:val="000000"/>
                </w14:solidFill>
                <w14:prstDash w14:val="solid"/>
                <w14:miter w14:val="0"/>
              </w14:textOutline>
            </w:rPr>
            <w:t>环境管理和监测计划</w:t>
          </w:r>
          <w:r>
            <w:rPr>
              <w:rFonts w:ascii="宋体" w:hAnsi="宋体" w:eastAsia="宋体" w:cs="宋体"/>
              <w:spacing w:val="-75"/>
              <w:sz w:val="28"/>
              <w:szCs w:val="28"/>
            </w:rPr>
            <w:t xml:space="preserve"> </w:t>
          </w:r>
          <w:r>
            <w:rPr>
              <w:rFonts w:ascii="宋体" w:hAnsi="宋体" w:eastAsia="宋体" w:cs="宋体"/>
              <w:sz w:val="28"/>
              <w:szCs w:val="28"/>
            </w:rPr>
            <w:tab/>
          </w:r>
          <w:r>
            <w:rPr>
              <w:rFonts w:ascii="Times New Roman" w:hAnsi="Times New Roman" w:eastAsia="Times New Roman" w:cs="Times New Roman"/>
              <w:b/>
              <w:bCs/>
              <w:spacing w:val="4"/>
              <w:sz w:val="28"/>
              <w:szCs w:val="28"/>
            </w:rPr>
            <w:t>211</w:t>
          </w:r>
          <w:r>
            <w:rPr>
              <w:rFonts w:ascii="Times New Roman" w:hAnsi="Times New Roman" w:eastAsia="Times New Roman" w:cs="Times New Roman"/>
              <w:b/>
              <w:bCs/>
              <w:spacing w:val="4"/>
              <w:sz w:val="28"/>
              <w:szCs w:val="28"/>
            </w:rPr>
            <w:fldChar w:fldCharType="end"/>
          </w:r>
        </w:p>
        <w:p>
          <w:pPr>
            <w:tabs>
              <w:tab w:val="right" w:leader="dot" w:pos="8322"/>
            </w:tabs>
            <w:spacing w:before="198" w:line="185" w:lineRule="auto"/>
            <w:ind w:left="234"/>
            <w:rPr>
              <w:rFonts w:ascii="Times New Roman" w:hAnsi="Times New Roman" w:eastAsia="Times New Roman" w:cs="Times New Roman"/>
              <w:sz w:val="24"/>
              <w:szCs w:val="24"/>
            </w:rPr>
          </w:pPr>
          <w:r>
            <w:fldChar w:fldCharType="begin"/>
          </w:r>
          <w:r>
            <w:instrText xml:space="preserve"> HYPERLINK \l "bookmark45" </w:instrText>
          </w:r>
          <w:r>
            <w:fldChar w:fldCharType="separate"/>
          </w:r>
          <w:r>
            <w:rPr>
              <w:rFonts w:ascii="Times New Roman" w:hAnsi="Times New Roman" w:eastAsia="Times New Roman" w:cs="Times New Roman"/>
              <w:spacing w:val="-1"/>
              <w:sz w:val="24"/>
              <w:szCs w:val="24"/>
            </w:rPr>
            <w:t xml:space="preserve">7.1 </w:t>
          </w:r>
          <w:r>
            <w:rPr>
              <w:rFonts w:ascii="宋体" w:hAnsi="宋体" w:eastAsia="宋体" w:cs="宋体"/>
              <w:spacing w:val="-1"/>
              <w:sz w:val="24"/>
              <w:szCs w:val="24"/>
            </w:rPr>
            <w:t>环境保护管理和监督计划</w:t>
          </w:r>
          <w:r>
            <w:rPr>
              <w:rFonts w:ascii="宋体" w:hAnsi="宋体" w:eastAsia="宋体" w:cs="宋体"/>
              <w:sz w:val="24"/>
              <w:szCs w:val="24"/>
            </w:rPr>
            <w:tab/>
          </w:r>
          <w:r>
            <w:rPr>
              <w:rFonts w:ascii="Times New Roman" w:hAnsi="Times New Roman" w:eastAsia="Times New Roman" w:cs="Times New Roman"/>
              <w:spacing w:val="12"/>
              <w:sz w:val="24"/>
              <w:szCs w:val="24"/>
            </w:rPr>
            <w:t>211</w:t>
          </w:r>
          <w:r>
            <w:rPr>
              <w:rFonts w:ascii="Times New Roman" w:hAnsi="Times New Roman" w:eastAsia="Times New Roman" w:cs="Times New Roman"/>
              <w:spacing w:val="12"/>
              <w:sz w:val="24"/>
              <w:szCs w:val="24"/>
            </w:rPr>
            <w:fldChar w:fldCharType="end"/>
          </w:r>
        </w:p>
        <w:p>
          <w:pPr>
            <w:tabs>
              <w:tab w:val="right" w:leader="dot" w:pos="8322"/>
            </w:tabs>
            <w:spacing w:before="197" w:line="185" w:lineRule="auto"/>
            <w:ind w:left="234"/>
            <w:rPr>
              <w:rFonts w:ascii="Times New Roman" w:hAnsi="Times New Roman" w:eastAsia="Times New Roman" w:cs="Times New Roman"/>
              <w:sz w:val="24"/>
              <w:szCs w:val="24"/>
            </w:rPr>
          </w:pPr>
          <w:r>
            <w:fldChar w:fldCharType="begin"/>
          </w:r>
          <w:r>
            <w:instrText xml:space="preserve"> HYPERLINK \l "bookmark46" </w:instrText>
          </w:r>
          <w:r>
            <w:fldChar w:fldCharType="separate"/>
          </w:r>
          <w:r>
            <w:rPr>
              <w:rFonts w:ascii="Times New Roman" w:hAnsi="Times New Roman" w:eastAsia="Times New Roman" w:cs="Times New Roman"/>
              <w:spacing w:val="-1"/>
              <w:sz w:val="24"/>
              <w:szCs w:val="24"/>
            </w:rPr>
            <w:t xml:space="preserve">7.2 </w:t>
          </w:r>
          <w:r>
            <w:rPr>
              <w:rFonts w:ascii="宋体" w:hAnsi="宋体" w:eastAsia="宋体" w:cs="宋体"/>
              <w:spacing w:val="-1"/>
              <w:sz w:val="24"/>
              <w:szCs w:val="24"/>
            </w:rPr>
            <w:t>环境监测计划</w:t>
          </w:r>
          <w:r>
            <w:rPr>
              <w:rFonts w:ascii="宋体" w:hAnsi="宋体" w:eastAsia="宋体" w:cs="宋体"/>
              <w:sz w:val="24"/>
              <w:szCs w:val="24"/>
            </w:rPr>
            <w:tab/>
          </w:r>
          <w:r>
            <w:rPr>
              <w:rFonts w:ascii="Times New Roman" w:hAnsi="Times New Roman" w:eastAsia="Times New Roman" w:cs="Times New Roman"/>
              <w:spacing w:val="8"/>
              <w:sz w:val="24"/>
              <w:szCs w:val="24"/>
            </w:rPr>
            <w:t>213</w:t>
          </w:r>
          <w:r>
            <w:rPr>
              <w:rFonts w:ascii="Times New Roman" w:hAnsi="Times New Roman" w:eastAsia="Times New Roman" w:cs="Times New Roman"/>
              <w:spacing w:val="8"/>
              <w:sz w:val="24"/>
              <w:szCs w:val="24"/>
            </w:rPr>
            <w:fldChar w:fldCharType="end"/>
          </w:r>
        </w:p>
        <w:p>
          <w:pPr>
            <w:tabs>
              <w:tab w:val="right" w:leader="dot" w:pos="8322"/>
            </w:tabs>
            <w:spacing w:before="196" w:line="185" w:lineRule="auto"/>
            <w:ind w:left="234"/>
            <w:rPr>
              <w:rFonts w:ascii="Times New Roman" w:hAnsi="Times New Roman" w:eastAsia="Times New Roman" w:cs="Times New Roman"/>
              <w:sz w:val="24"/>
              <w:szCs w:val="24"/>
            </w:rPr>
          </w:pPr>
          <w:r>
            <w:fldChar w:fldCharType="begin"/>
          </w:r>
          <w:r>
            <w:instrText xml:space="preserve"> HYPERLINK \l "bookmark47" </w:instrText>
          </w:r>
          <w:r>
            <w:fldChar w:fldCharType="separate"/>
          </w:r>
          <w:r>
            <w:rPr>
              <w:rFonts w:ascii="Times New Roman" w:hAnsi="Times New Roman" w:eastAsia="Times New Roman" w:cs="Times New Roman"/>
              <w:spacing w:val="-1"/>
              <w:sz w:val="24"/>
              <w:szCs w:val="24"/>
            </w:rPr>
            <w:t xml:space="preserve">7.3 </w:t>
          </w:r>
          <w:r>
            <w:rPr>
              <w:rFonts w:ascii="宋体" w:hAnsi="宋体" w:eastAsia="宋体" w:cs="宋体"/>
              <w:spacing w:val="-1"/>
              <w:sz w:val="24"/>
              <w:szCs w:val="24"/>
            </w:rPr>
            <w:t>工程竣工环保验收</w:t>
          </w:r>
          <w:r>
            <w:rPr>
              <w:rFonts w:ascii="宋体" w:hAnsi="宋体" w:eastAsia="宋体" w:cs="宋体"/>
              <w:sz w:val="24"/>
              <w:szCs w:val="24"/>
            </w:rPr>
            <w:tab/>
          </w:r>
          <w:r>
            <w:rPr>
              <w:rFonts w:ascii="Times New Roman" w:hAnsi="Times New Roman" w:eastAsia="Times New Roman" w:cs="Times New Roman"/>
              <w:spacing w:val="9"/>
              <w:sz w:val="24"/>
              <w:szCs w:val="24"/>
            </w:rPr>
            <w:t>213</w:t>
          </w:r>
          <w:r>
            <w:rPr>
              <w:rFonts w:ascii="Times New Roman" w:hAnsi="Times New Roman" w:eastAsia="Times New Roman" w:cs="Times New Roman"/>
              <w:spacing w:val="9"/>
              <w:sz w:val="24"/>
              <w:szCs w:val="24"/>
            </w:rPr>
            <w:fldChar w:fldCharType="end"/>
          </w:r>
        </w:p>
        <w:p>
          <w:pPr>
            <w:tabs>
              <w:tab w:val="right" w:leader="dot" w:pos="8322"/>
            </w:tabs>
            <w:spacing w:before="200" w:line="199" w:lineRule="auto"/>
            <w:ind w:left="24"/>
            <w:rPr>
              <w:rFonts w:ascii="Times New Roman" w:hAnsi="Times New Roman" w:eastAsia="Times New Roman" w:cs="Times New Roman"/>
              <w:sz w:val="28"/>
              <w:szCs w:val="28"/>
            </w:rPr>
          </w:pPr>
          <w:r>
            <w:fldChar w:fldCharType="begin"/>
          </w:r>
          <w:r>
            <w:instrText xml:space="preserve"> HYPERLINK \l "bookmark48" </w:instrText>
          </w:r>
          <w:r>
            <w:fldChar w:fldCharType="separate"/>
          </w:r>
          <w:r>
            <w:rPr>
              <w:rFonts w:ascii="Times New Roman" w:hAnsi="Times New Roman" w:eastAsia="Times New Roman" w:cs="Times New Roman"/>
              <w:b/>
              <w:bCs/>
              <w:spacing w:val="-1"/>
              <w:sz w:val="28"/>
              <w:szCs w:val="28"/>
            </w:rPr>
            <w:t xml:space="preserve">8 </w:t>
          </w:r>
          <w:r>
            <w:rPr>
              <w:rFonts w:ascii="宋体" w:hAnsi="宋体" w:eastAsia="宋体" w:cs="宋体"/>
              <w:spacing w:val="-1"/>
              <w:sz w:val="28"/>
              <w:szCs w:val="28"/>
              <w14:textOutline w14:w="5094" w14:cap="flat" w14:cmpd="sng">
                <w14:solidFill>
                  <w14:srgbClr w14:val="000000"/>
                </w14:solidFill>
                <w14:prstDash w14:val="solid"/>
                <w14:miter w14:val="0"/>
              </w14:textOutline>
            </w:rPr>
            <w:t>环境经济损益分析</w:t>
          </w:r>
          <w:r>
            <w:rPr>
              <w:rFonts w:ascii="宋体" w:hAnsi="宋体" w:eastAsia="宋体" w:cs="宋体"/>
              <w:spacing w:val="-63"/>
              <w:sz w:val="28"/>
              <w:szCs w:val="28"/>
            </w:rPr>
            <w:t xml:space="preserve"> </w:t>
          </w:r>
          <w:r>
            <w:rPr>
              <w:rFonts w:ascii="宋体" w:hAnsi="宋体" w:eastAsia="宋体" w:cs="宋体"/>
              <w:sz w:val="28"/>
              <w:szCs w:val="28"/>
            </w:rPr>
            <w:tab/>
          </w:r>
          <w:r>
            <w:rPr>
              <w:rFonts w:ascii="Times New Roman" w:hAnsi="Times New Roman" w:eastAsia="Times New Roman" w:cs="Times New Roman"/>
              <w:b/>
              <w:bCs/>
              <w:spacing w:val="4"/>
              <w:sz w:val="28"/>
              <w:szCs w:val="28"/>
            </w:rPr>
            <w:t>215</w:t>
          </w:r>
          <w:r>
            <w:rPr>
              <w:rFonts w:ascii="Times New Roman" w:hAnsi="Times New Roman" w:eastAsia="Times New Roman" w:cs="Times New Roman"/>
              <w:b/>
              <w:bCs/>
              <w:spacing w:val="4"/>
              <w:sz w:val="28"/>
              <w:szCs w:val="28"/>
            </w:rPr>
            <w:fldChar w:fldCharType="end"/>
          </w:r>
        </w:p>
        <w:p>
          <w:pPr>
            <w:tabs>
              <w:tab w:val="right" w:leader="dot" w:pos="8322"/>
            </w:tabs>
            <w:spacing w:before="201" w:line="185" w:lineRule="auto"/>
            <w:ind w:left="240"/>
            <w:rPr>
              <w:rFonts w:ascii="Times New Roman" w:hAnsi="Times New Roman" w:eastAsia="Times New Roman" w:cs="Times New Roman"/>
              <w:sz w:val="24"/>
              <w:szCs w:val="24"/>
            </w:rPr>
          </w:pPr>
          <w:r>
            <w:fldChar w:fldCharType="begin"/>
          </w:r>
          <w:r>
            <w:instrText xml:space="preserve"> HYPERLINK \l "bookmark49" </w:instrText>
          </w:r>
          <w:r>
            <w:fldChar w:fldCharType="separate"/>
          </w:r>
          <w:r>
            <w:rPr>
              <w:rFonts w:ascii="Times New Roman" w:hAnsi="Times New Roman" w:eastAsia="Times New Roman" w:cs="Times New Roman"/>
              <w:spacing w:val="-2"/>
              <w:sz w:val="24"/>
              <w:szCs w:val="24"/>
            </w:rPr>
            <w:t xml:space="preserve">8.1 </w:t>
          </w:r>
          <w:r>
            <w:rPr>
              <w:rFonts w:ascii="宋体" w:hAnsi="宋体" w:eastAsia="宋体" w:cs="宋体"/>
              <w:spacing w:val="-2"/>
              <w:sz w:val="24"/>
              <w:szCs w:val="24"/>
            </w:rPr>
            <w:t>工程产生的效益分析</w:t>
          </w:r>
          <w:r>
            <w:rPr>
              <w:rFonts w:ascii="宋体" w:hAnsi="宋体" w:eastAsia="宋体" w:cs="宋体"/>
              <w:sz w:val="24"/>
              <w:szCs w:val="24"/>
            </w:rPr>
            <w:tab/>
          </w:r>
          <w:r>
            <w:rPr>
              <w:rFonts w:ascii="Times New Roman" w:hAnsi="Times New Roman" w:eastAsia="Times New Roman" w:cs="Times New Roman"/>
              <w:spacing w:val="8"/>
              <w:sz w:val="24"/>
              <w:szCs w:val="24"/>
            </w:rPr>
            <w:t>215</w:t>
          </w:r>
          <w:r>
            <w:rPr>
              <w:rFonts w:ascii="Times New Roman" w:hAnsi="Times New Roman" w:eastAsia="Times New Roman" w:cs="Times New Roman"/>
              <w:spacing w:val="8"/>
              <w:sz w:val="24"/>
              <w:szCs w:val="24"/>
            </w:rPr>
            <w:fldChar w:fldCharType="end"/>
          </w:r>
        </w:p>
        <w:p>
          <w:pPr>
            <w:tabs>
              <w:tab w:val="right" w:leader="dot" w:pos="8322"/>
            </w:tabs>
            <w:spacing w:before="194" w:line="185" w:lineRule="auto"/>
            <w:ind w:left="240"/>
            <w:rPr>
              <w:rFonts w:ascii="Times New Roman" w:hAnsi="Times New Roman" w:eastAsia="Times New Roman" w:cs="Times New Roman"/>
              <w:sz w:val="24"/>
              <w:szCs w:val="24"/>
            </w:rPr>
          </w:pPr>
          <w:r>
            <w:fldChar w:fldCharType="begin"/>
          </w:r>
          <w:r>
            <w:instrText xml:space="preserve"> HYPERLINK \l "bookmark50" </w:instrText>
          </w:r>
          <w:r>
            <w:fldChar w:fldCharType="separate"/>
          </w:r>
          <w:r>
            <w:rPr>
              <w:rFonts w:ascii="Times New Roman" w:hAnsi="Times New Roman" w:eastAsia="Times New Roman" w:cs="Times New Roman"/>
              <w:spacing w:val="-2"/>
              <w:sz w:val="24"/>
              <w:szCs w:val="24"/>
            </w:rPr>
            <w:t xml:space="preserve">8.2 </w:t>
          </w:r>
          <w:r>
            <w:rPr>
              <w:rFonts w:ascii="宋体" w:hAnsi="宋体" w:eastAsia="宋体" w:cs="宋体"/>
              <w:spacing w:val="-2"/>
              <w:sz w:val="24"/>
              <w:szCs w:val="24"/>
            </w:rPr>
            <w:t>环保投资估算</w:t>
          </w:r>
          <w:r>
            <w:rPr>
              <w:rFonts w:ascii="宋体" w:hAnsi="宋体" w:eastAsia="宋体" w:cs="宋体"/>
              <w:sz w:val="24"/>
              <w:szCs w:val="24"/>
            </w:rPr>
            <w:tab/>
          </w:r>
          <w:r>
            <w:rPr>
              <w:rFonts w:ascii="Times New Roman" w:hAnsi="Times New Roman" w:eastAsia="Times New Roman" w:cs="Times New Roman"/>
              <w:spacing w:val="8"/>
              <w:sz w:val="24"/>
              <w:szCs w:val="24"/>
            </w:rPr>
            <w:t>215</w:t>
          </w:r>
          <w:r>
            <w:rPr>
              <w:rFonts w:ascii="Times New Roman" w:hAnsi="Times New Roman" w:eastAsia="Times New Roman" w:cs="Times New Roman"/>
              <w:spacing w:val="8"/>
              <w:sz w:val="24"/>
              <w:szCs w:val="24"/>
            </w:rPr>
            <w:fldChar w:fldCharType="end"/>
          </w:r>
        </w:p>
        <w:p>
          <w:pPr>
            <w:tabs>
              <w:tab w:val="right" w:leader="dot" w:pos="8322"/>
            </w:tabs>
            <w:spacing w:before="196" w:line="185" w:lineRule="auto"/>
            <w:ind w:left="240"/>
            <w:rPr>
              <w:rFonts w:ascii="Times New Roman" w:hAnsi="Times New Roman" w:eastAsia="Times New Roman" w:cs="Times New Roman"/>
              <w:sz w:val="24"/>
              <w:szCs w:val="24"/>
            </w:rPr>
          </w:pPr>
          <w:r>
            <w:fldChar w:fldCharType="begin"/>
          </w:r>
          <w:r>
            <w:instrText xml:space="preserve"> HYPERLINK \l "bookmark51" </w:instrText>
          </w:r>
          <w:r>
            <w:fldChar w:fldCharType="separate"/>
          </w:r>
          <w:r>
            <w:rPr>
              <w:rFonts w:ascii="Times New Roman" w:hAnsi="Times New Roman" w:eastAsia="Times New Roman" w:cs="Times New Roman"/>
              <w:spacing w:val="-2"/>
              <w:sz w:val="24"/>
              <w:szCs w:val="24"/>
            </w:rPr>
            <w:t xml:space="preserve">8.3 </w:t>
          </w:r>
          <w:r>
            <w:rPr>
              <w:rFonts w:ascii="宋体" w:hAnsi="宋体" w:eastAsia="宋体" w:cs="宋体"/>
              <w:spacing w:val="-2"/>
              <w:sz w:val="24"/>
              <w:szCs w:val="24"/>
            </w:rPr>
            <w:t>环境经济损益分析</w:t>
          </w:r>
          <w:r>
            <w:rPr>
              <w:rFonts w:ascii="宋体" w:hAnsi="宋体" w:eastAsia="宋体" w:cs="宋体"/>
              <w:sz w:val="24"/>
              <w:szCs w:val="24"/>
            </w:rPr>
            <w:tab/>
          </w:r>
          <w:r>
            <w:rPr>
              <w:rFonts w:ascii="Times New Roman" w:hAnsi="Times New Roman" w:eastAsia="Times New Roman" w:cs="Times New Roman"/>
              <w:spacing w:val="9"/>
              <w:sz w:val="24"/>
              <w:szCs w:val="24"/>
            </w:rPr>
            <w:t>216</w:t>
          </w:r>
          <w:r>
            <w:rPr>
              <w:rFonts w:ascii="Times New Roman" w:hAnsi="Times New Roman" w:eastAsia="Times New Roman" w:cs="Times New Roman"/>
              <w:spacing w:val="9"/>
              <w:sz w:val="24"/>
              <w:szCs w:val="24"/>
            </w:rPr>
            <w:fldChar w:fldCharType="end"/>
          </w:r>
        </w:p>
        <w:p>
          <w:pPr>
            <w:tabs>
              <w:tab w:val="right" w:leader="dot" w:pos="8322"/>
            </w:tabs>
            <w:spacing w:before="203" w:line="199" w:lineRule="auto"/>
            <w:ind w:left="23"/>
            <w:rPr>
              <w:rFonts w:ascii="Times New Roman" w:hAnsi="Times New Roman" w:eastAsia="Times New Roman" w:cs="Times New Roman"/>
              <w:sz w:val="28"/>
              <w:szCs w:val="28"/>
            </w:rPr>
          </w:pPr>
          <w:r>
            <w:fldChar w:fldCharType="begin"/>
          </w:r>
          <w:r>
            <w:instrText xml:space="preserve"> HYPERLINK \l "bookmark52" </w:instrText>
          </w:r>
          <w:r>
            <w:fldChar w:fldCharType="separate"/>
          </w:r>
          <w:r>
            <w:rPr>
              <w:rFonts w:ascii="Times New Roman" w:hAnsi="Times New Roman" w:eastAsia="Times New Roman" w:cs="Times New Roman"/>
              <w:b/>
              <w:bCs/>
              <w:sz w:val="28"/>
              <w:szCs w:val="28"/>
            </w:rPr>
            <w:t xml:space="preserve">9 </w:t>
          </w:r>
          <w:r>
            <w:rPr>
              <w:rFonts w:ascii="宋体" w:hAnsi="宋体" w:eastAsia="宋体" w:cs="宋体"/>
              <w:sz w:val="28"/>
              <w:szCs w:val="28"/>
              <w14:textOutline w14:w="5094" w14:cap="flat" w14:cmpd="sng">
                <w14:solidFill>
                  <w14:srgbClr w14:val="000000"/>
                </w14:solidFill>
                <w14:prstDash w14:val="solid"/>
                <w14:miter w14:val="0"/>
              </w14:textOutline>
            </w:rPr>
            <w:t>选址选线合理性分析</w:t>
          </w:r>
          <w:r>
            <w:rPr>
              <w:rFonts w:ascii="宋体" w:hAnsi="宋体" w:eastAsia="宋体" w:cs="宋体"/>
              <w:spacing w:val="-74"/>
              <w:sz w:val="28"/>
              <w:szCs w:val="28"/>
            </w:rPr>
            <w:t xml:space="preserve"> </w:t>
          </w:r>
          <w:r>
            <w:rPr>
              <w:rFonts w:ascii="宋体" w:hAnsi="宋体" w:eastAsia="宋体" w:cs="宋体"/>
              <w:sz w:val="28"/>
              <w:szCs w:val="28"/>
            </w:rPr>
            <w:tab/>
          </w:r>
          <w:r>
            <w:rPr>
              <w:rFonts w:ascii="Times New Roman" w:hAnsi="Times New Roman" w:eastAsia="Times New Roman" w:cs="Times New Roman"/>
              <w:b/>
              <w:bCs/>
              <w:spacing w:val="4"/>
              <w:sz w:val="28"/>
              <w:szCs w:val="28"/>
            </w:rPr>
            <w:t>218</w:t>
          </w:r>
          <w:r>
            <w:rPr>
              <w:rFonts w:ascii="Times New Roman" w:hAnsi="Times New Roman" w:eastAsia="Times New Roman" w:cs="Times New Roman"/>
              <w:b/>
              <w:bCs/>
              <w:spacing w:val="4"/>
              <w:sz w:val="28"/>
              <w:szCs w:val="28"/>
            </w:rPr>
            <w:fldChar w:fldCharType="end"/>
          </w:r>
        </w:p>
        <w:p>
          <w:pPr>
            <w:tabs>
              <w:tab w:val="right" w:leader="dot" w:pos="8322"/>
            </w:tabs>
            <w:spacing w:before="198" w:line="185" w:lineRule="auto"/>
            <w:ind w:left="235"/>
            <w:rPr>
              <w:rFonts w:ascii="Times New Roman" w:hAnsi="Times New Roman" w:eastAsia="Times New Roman" w:cs="Times New Roman"/>
              <w:sz w:val="24"/>
              <w:szCs w:val="24"/>
            </w:rPr>
          </w:pPr>
          <w:r>
            <w:fldChar w:fldCharType="begin"/>
          </w:r>
          <w:r>
            <w:instrText xml:space="preserve"> HYPERLINK \l "bookmark53" </w:instrText>
          </w:r>
          <w:r>
            <w:fldChar w:fldCharType="separate"/>
          </w:r>
          <w:r>
            <w:rPr>
              <w:rFonts w:ascii="Times New Roman" w:hAnsi="Times New Roman" w:eastAsia="Times New Roman" w:cs="Times New Roman"/>
              <w:spacing w:val="-3"/>
              <w:sz w:val="24"/>
              <w:szCs w:val="24"/>
            </w:rPr>
            <w:t>9.1</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临时工程布置合理性分析</w:t>
          </w:r>
          <w:r>
            <w:rPr>
              <w:rFonts w:ascii="宋体" w:hAnsi="宋体" w:eastAsia="宋体" w:cs="宋体"/>
              <w:sz w:val="24"/>
              <w:szCs w:val="24"/>
            </w:rPr>
            <w:tab/>
          </w:r>
          <w:r>
            <w:rPr>
              <w:rFonts w:ascii="Times New Roman" w:hAnsi="Times New Roman" w:eastAsia="Times New Roman" w:cs="Times New Roman"/>
              <w:spacing w:val="8"/>
              <w:sz w:val="24"/>
              <w:szCs w:val="24"/>
            </w:rPr>
            <w:t>218</w:t>
          </w:r>
          <w:r>
            <w:rPr>
              <w:rFonts w:ascii="Times New Roman" w:hAnsi="Times New Roman" w:eastAsia="Times New Roman" w:cs="Times New Roman"/>
              <w:spacing w:val="8"/>
              <w:sz w:val="24"/>
              <w:szCs w:val="24"/>
            </w:rPr>
            <w:fldChar w:fldCharType="end"/>
          </w:r>
        </w:p>
        <w:p>
          <w:pPr>
            <w:tabs>
              <w:tab w:val="right" w:leader="dot" w:pos="8322"/>
            </w:tabs>
            <w:spacing w:before="197" w:line="185" w:lineRule="auto"/>
            <w:ind w:left="235"/>
            <w:rPr>
              <w:rFonts w:ascii="Times New Roman" w:hAnsi="Times New Roman" w:eastAsia="Times New Roman" w:cs="Times New Roman"/>
              <w:sz w:val="24"/>
              <w:szCs w:val="24"/>
            </w:rPr>
          </w:pPr>
          <w:r>
            <w:fldChar w:fldCharType="begin"/>
          </w:r>
          <w:r>
            <w:instrText xml:space="preserve"> HYPERLINK \l "bookmark54" </w:instrText>
          </w:r>
          <w:r>
            <w:fldChar w:fldCharType="separate"/>
          </w:r>
          <w:r>
            <w:rPr>
              <w:rFonts w:ascii="Times New Roman" w:hAnsi="Times New Roman" w:eastAsia="Times New Roman" w:cs="Times New Roman"/>
              <w:spacing w:val="-3"/>
              <w:sz w:val="24"/>
              <w:szCs w:val="24"/>
            </w:rPr>
            <w:t>9.2</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审批符合性分析性</w:t>
          </w:r>
          <w:r>
            <w:rPr>
              <w:rFonts w:ascii="宋体" w:hAnsi="宋体" w:eastAsia="宋体" w:cs="宋体"/>
              <w:sz w:val="24"/>
              <w:szCs w:val="24"/>
            </w:rPr>
            <w:tab/>
          </w:r>
          <w:r>
            <w:rPr>
              <w:rFonts w:ascii="Times New Roman" w:hAnsi="Times New Roman" w:eastAsia="Times New Roman" w:cs="Times New Roman"/>
              <w:spacing w:val="9"/>
              <w:sz w:val="24"/>
              <w:szCs w:val="24"/>
            </w:rPr>
            <w:t>218</w:t>
          </w:r>
          <w:r>
            <w:rPr>
              <w:rFonts w:ascii="Times New Roman" w:hAnsi="Times New Roman" w:eastAsia="Times New Roman" w:cs="Times New Roman"/>
              <w:spacing w:val="9"/>
              <w:sz w:val="24"/>
              <w:szCs w:val="24"/>
            </w:rPr>
            <w:fldChar w:fldCharType="end"/>
          </w:r>
        </w:p>
        <w:p>
          <w:pPr>
            <w:tabs>
              <w:tab w:val="right" w:leader="dot" w:pos="8322"/>
            </w:tabs>
            <w:spacing w:before="203" w:line="199" w:lineRule="auto"/>
            <w:ind w:left="33"/>
            <w:rPr>
              <w:rFonts w:ascii="Times New Roman" w:hAnsi="Times New Roman" w:eastAsia="Times New Roman" w:cs="Times New Roman"/>
              <w:sz w:val="28"/>
              <w:szCs w:val="28"/>
            </w:rPr>
          </w:pPr>
          <w:r>
            <w:fldChar w:fldCharType="begin"/>
          </w:r>
          <w:r>
            <w:instrText xml:space="preserve"> HYPERLINK \l "bookmark55" </w:instrText>
          </w:r>
          <w:r>
            <w:fldChar w:fldCharType="separate"/>
          </w:r>
          <w:r>
            <w:rPr>
              <w:rFonts w:ascii="Times New Roman" w:hAnsi="Times New Roman" w:eastAsia="Times New Roman" w:cs="Times New Roman"/>
              <w:b/>
              <w:bCs/>
              <w:spacing w:val="-3"/>
              <w:sz w:val="28"/>
              <w:szCs w:val="28"/>
            </w:rPr>
            <w:t xml:space="preserve">10 </w:t>
          </w:r>
          <w:r>
            <w:rPr>
              <w:rFonts w:ascii="宋体" w:hAnsi="宋体" w:eastAsia="宋体" w:cs="宋体"/>
              <w:spacing w:val="-3"/>
              <w:sz w:val="28"/>
              <w:szCs w:val="28"/>
              <w14:textOutline w14:w="5094" w14:cap="flat" w14:cmpd="sng">
                <w14:solidFill>
                  <w14:srgbClr w14:val="000000"/>
                </w14:solidFill>
                <w14:prstDash w14:val="solid"/>
                <w14:miter w14:val="0"/>
              </w14:textOutline>
            </w:rPr>
            <w:t>环评结论</w:t>
          </w:r>
          <w:r>
            <w:rPr>
              <w:rFonts w:ascii="宋体" w:hAnsi="宋体" w:eastAsia="宋体" w:cs="宋体"/>
              <w:spacing w:val="-56"/>
              <w:sz w:val="28"/>
              <w:szCs w:val="28"/>
            </w:rPr>
            <w:t xml:space="preserve"> </w:t>
          </w:r>
          <w:r>
            <w:rPr>
              <w:rFonts w:ascii="宋体" w:hAnsi="宋体" w:eastAsia="宋体" w:cs="宋体"/>
              <w:sz w:val="28"/>
              <w:szCs w:val="28"/>
            </w:rPr>
            <w:tab/>
          </w:r>
          <w:r>
            <w:rPr>
              <w:rFonts w:ascii="Times New Roman" w:hAnsi="Times New Roman" w:eastAsia="Times New Roman" w:cs="Times New Roman"/>
              <w:b/>
              <w:bCs/>
              <w:spacing w:val="4"/>
              <w:sz w:val="28"/>
              <w:szCs w:val="28"/>
            </w:rPr>
            <w:t>223</w:t>
          </w:r>
          <w:r>
            <w:rPr>
              <w:rFonts w:ascii="Times New Roman" w:hAnsi="Times New Roman" w:eastAsia="Times New Roman" w:cs="Times New Roman"/>
              <w:b/>
              <w:bCs/>
              <w:spacing w:val="4"/>
              <w:sz w:val="28"/>
              <w:szCs w:val="28"/>
            </w:rPr>
            <w:fldChar w:fldCharType="end"/>
          </w:r>
        </w:p>
        <w:p>
          <w:pPr>
            <w:tabs>
              <w:tab w:val="right" w:leader="dot" w:pos="8322"/>
            </w:tabs>
            <w:spacing w:before="198" w:line="185" w:lineRule="auto"/>
            <w:ind w:left="253"/>
            <w:rPr>
              <w:rFonts w:ascii="Times New Roman" w:hAnsi="Times New Roman" w:eastAsia="Times New Roman" w:cs="Times New Roman"/>
              <w:sz w:val="24"/>
              <w:szCs w:val="24"/>
            </w:rPr>
          </w:pPr>
          <w:r>
            <w:fldChar w:fldCharType="begin"/>
          </w:r>
          <w:r>
            <w:instrText xml:space="preserve"> HYPERLINK \l "bookmark56" </w:instrText>
          </w:r>
          <w:r>
            <w:fldChar w:fldCharType="separate"/>
          </w:r>
          <w:r>
            <w:rPr>
              <w:rFonts w:ascii="Times New Roman" w:hAnsi="Times New Roman" w:eastAsia="Times New Roman" w:cs="Times New Roman"/>
              <w:spacing w:val="-6"/>
              <w:sz w:val="24"/>
              <w:szCs w:val="24"/>
            </w:rPr>
            <w:t>10.1</w:t>
          </w:r>
          <w:r>
            <w:rPr>
              <w:rFonts w:ascii="Times New Roman" w:hAnsi="Times New Roman" w:eastAsia="Times New Roman" w:cs="Times New Roman"/>
              <w:spacing w:val="18"/>
              <w:w w:val="101"/>
              <w:sz w:val="24"/>
              <w:szCs w:val="24"/>
            </w:rPr>
            <w:t xml:space="preserve"> </w:t>
          </w:r>
          <w:r>
            <w:rPr>
              <w:rFonts w:ascii="宋体" w:hAnsi="宋体" w:eastAsia="宋体" w:cs="宋体"/>
              <w:spacing w:val="-6"/>
              <w:sz w:val="24"/>
              <w:szCs w:val="24"/>
            </w:rPr>
            <w:t>工程概况</w:t>
          </w:r>
          <w:r>
            <w:rPr>
              <w:rFonts w:ascii="宋体" w:hAnsi="宋体" w:eastAsia="宋体" w:cs="宋体"/>
              <w:sz w:val="24"/>
              <w:szCs w:val="24"/>
            </w:rPr>
            <w:tab/>
          </w:r>
          <w:r>
            <w:rPr>
              <w:rFonts w:ascii="Times New Roman" w:hAnsi="Times New Roman" w:eastAsia="Times New Roman" w:cs="Times New Roman"/>
              <w:spacing w:val="8"/>
              <w:sz w:val="24"/>
              <w:szCs w:val="24"/>
            </w:rPr>
            <w:t>223</w:t>
          </w:r>
          <w:r>
            <w:rPr>
              <w:rFonts w:ascii="Times New Roman" w:hAnsi="Times New Roman" w:eastAsia="Times New Roman" w:cs="Times New Roman"/>
              <w:spacing w:val="8"/>
              <w:sz w:val="24"/>
              <w:szCs w:val="24"/>
            </w:rPr>
            <w:fldChar w:fldCharType="end"/>
          </w:r>
        </w:p>
        <w:p>
          <w:pPr>
            <w:tabs>
              <w:tab w:val="right" w:leader="dot" w:pos="8322"/>
            </w:tabs>
            <w:spacing w:before="196" w:line="185" w:lineRule="auto"/>
            <w:ind w:left="253"/>
            <w:rPr>
              <w:rFonts w:ascii="Times New Roman" w:hAnsi="Times New Roman" w:eastAsia="Times New Roman" w:cs="Times New Roman"/>
              <w:sz w:val="24"/>
              <w:szCs w:val="24"/>
            </w:rPr>
          </w:pPr>
          <w:r>
            <w:fldChar w:fldCharType="begin"/>
          </w:r>
          <w:r>
            <w:instrText xml:space="preserve"> HYPERLINK \l "bookmark57" </w:instrText>
          </w:r>
          <w:r>
            <w:fldChar w:fldCharType="separate"/>
          </w:r>
          <w:r>
            <w:rPr>
              <w:rFonts w:ascii="Times New Roman" w:hAnsi="Times New Roman" w:eastAsia="Times New Roman" w:cs="Times New Roman"/>
              <w:spacing w:val="-2"/>
              <w:sz w:val="24"/>
              <w:szCs w:val="24"/>
            </w:rPr>
            <w:t xml:space="preserve">10.2 </w:t>
          </w:r>
          <w:r>
            <w:rPr>
              <w:rFonts w:ascii="宋体" w:hAnsi="宋体" w:eastAsia="宋体" w:cs="宋体"/>
              <w:spacing w:val="-2"/>
              <w:sz w:val="24"/>
              <w:szCs w:val="24"/>
            </w:rPr>
            <w:t>环境质量现状评价结论</w:t>
          </w:r>
          <w:r>
            <w:rPr>
              <w:rFonts w:ascii="宋体" w:hAnsi="宋体" w:eastAsia="宋体" w:cs="宋体"/>
              <w:sz w:val="24"/>
              <w:szCs w:val="24"/>
            </w:rPr>
            <w:tab/>
          </w:r>
          <w:r>
            <w:rPr>
              <w:rFonts w:ascii="Times New Roman" w:hAnsi="Times New Roman" w:eastAsia="Times New Roman" w:cs="Times New Roman"/>
              <w:spacing w:val="8"/>
              <w:sz w:val="24"/>
              <w:szCs w:val="24"/>
            </w:rPr>
            <w:t>223</w:t>
          </w:r>
          <w:r>
            <w:rPr>
              <w:rFonts w:ascii="Times New Roman" w:hAnsi="Times New Roman" w:eastAsia="Times New Roman" w:cs="Times New Roman"/>
              <w:spacing w:val="8"/>
              <w:sz w:val="24"/>
              <w:szCs w:val="24"/>
            </w:rPr>
            <w:fldChar w:fldCharType="end"/>
          </w:r>
        </w:p>
        <w:p>
          <w:pPr>
            <w:tabs>
              <w:tab w:val="right" w:leader="dot" w:pos="8322"/>
            </w:tabs>
            <w:spacing w:before="197" w:line="185" w:lineRule="auto"/>
            <w:ind w:left="253"/>
            <w:rPr>
              <w:rFonts w:ascii="Times New Roman" w:hAnsi="Times New Roman" w:eastAsia="Times New Roman" w:cs="Times New Roman"/>
              <w:sz w:val="24"/>
              <w:szCs w:val="24"/>
            </w:rPr>
          </w:pPr>
          <w:r>
            <w:fldChar w:fldCharType="begin"/>
          </w:r>
          <w:r>
            <w:instrText xml:space="preserve"> HYPERLINK \l "bookmark58" </w:instrText>
          </w:r>
          <w:r>
            <w:fldChar w:fldCharType="separate"/>
          </w:r>
          <w:r>
            <w:rPr>
              <w:rFonts w:ascii="Times New Roman" w:hAnsi="Times New Roman" w:eastAsia="Times New Roman" w:cs="Times New Roman"/>
              <w:spacing w:val="-3"/>
              <w:sz w:val="24"/>
              <w:szCs w:val="24"/>
            </w:rPr>
            <w:t xml:space="preserve">10.3 </w:t>
          </w:r>
          <w:r>
            <w:rPr>
              <w:rFonts w:ascii="宋体" w:hAnsi="宋体" w:eastAsia="宋体" w:cs="宋体"/>
              <w:spacing w:val="-3"/>
              <w:sz w:val="24"/>
              <w:szCs w:val="24"/>
            </w:rPr>
            <w:t>环境影响评价结论</w:t>
          </w:r>
          <w:r>
            <w:rPr>
              <w:rFonts w:ascii="宋体" w:hAnsi="宋体" w:eastAsia="宋体" w:cs="宋体"/>
              <w:sz w:val="24"/>
              <w:szCs w:val="24"/>
            </w:rPr>
            <w:tab/>
          </w:r>
          <w:r>
            <w:rPr>
              <w:rFonts w:ascii="Times New Roman" w:hAnsi="Times New Roman" w:eastAsia="Times New Roman" w:cs="Times New Roman"/>
              <w:spacing w:val="8"/>
              <w:sz w:val="24"/>
              <w:szCs w:val="24"/>
            </w:rPr>
            <w:t>225</w:t>
          </w:r>
          <w:r>
            <w:rPr>
              <w:rFonts w:ascii="Times New Roman" w:hAnsi="Times New Roman" w:eastAsia="Times New Roman" w:cs="Times New Roman"/>
              <w:spacing w:val="8"/>
              <w:sz w:val="24"/>
              <w:szCs w:val="24"/>
            </w:rPr>
            <w:fldChar w:fldCharType="end"/>
          </w:r>
        </w:p>
        <w:p>
          <w:pPr>
            <w:tabs>
              <w:tab w:val="right" w:leader="dot" w:pos="8322"/>
            </w:tabs>
            <w:spacing w:before="194" w:line="185" w:lineRule="auto"/>
            <w:ind w:left="253"/>
            <w:rPr>
              <w:rFonts w:ascii="Times New Roman" w:hAnsi="Times New Roman" w:eastAsia="Times New Roman" w:cs="Times New Roman"/>
              <w:sz w:val="24"/>
              <w:szCs w:val="24"/>
            </w:rPr>
          </w:pPr>
          <w:r>
            <w:fldChar w:fldCharType="begin"/>
          </w:r>
          <w:r>
            <w:instrText xml:space="preserve"> HYPERLINK \l "bookmark59" </w:instrText>
          </w:r>
          <w:r>
            <w:fldChar w:fldCharType="separate"/>
          </w:r>
          <w:r>
            <w:rPr>
              <w:rFonts w:ascii="Times New Roman" w:hAnsi="Times New Roman" w:eastAsia="Times New Roman" w:cs="Times New Roman"/>
              <w:spacing w:val="-3"/>
              <w:sz w:val="24"/>
              <w:szCs w:val="24"/>
            </w:rPr>
            <w:t xml:space="preserve">10.4 </w:t>
          </w:r>
          <w:r>
            <w:rPr>
              <w:rFonts w:ascii="宋体" w:hAnsi="宋体" w:eastAsia="宋体" w:cs="宋体"/>
              <w:spacing w:val="-3"/>
              <w:sz w:val="24"/>
              <w:szCs w:val="24"/>
            </w:rPr>
            <w:t>污染防治措施结论</w:t>
          </w:r>
          <w:r>
            <w:rPr>
              <w:rFonts w:ascii="宋体" w:hAnsi="宋体" w:eastAsia="宋体" w:cs="宋体"/>
              <w:sz w:val="24"/>
              <w:szCs w:val="24"/>
            </w:rPr>
            <w:tab/>
          </w:r>
          <w:r>
            <w:rPr>
              <w:rFonts w:ascii="Times New Roman" w:hAnsi="Times New Roman" w:eastAsia="Times New Roman" w:cs="Times New Roman"/>
              <w:spacing w:val="8"/>
              <w:sz w:val="24"/>
              <w:szCs w:val="24"/>
            </w:rPr>
            <w:t>228</w:t>
          </w:r>
          <w:r>
            <w:rPr>
              <w:rFonts w:ascii="Times New Roman" w:hAnsi="Times New Roman" w:eastAsia="Times New Roman" w:cs="Times New Roman"/>
              <w:spacing w:val="8"/>
              <w:sz w:val="24"/>
              <w:szCs w:val="24"/>
            </w:rPr>
            <w:fldChar w:fldCharType="end"/>
          </w:r>
        </w:p>
        <w:p>
          <w:pPr>
            <w:tabs>
              <w:tab w:val="right" w:leader="dot" w:pos="8322"/>
            </w:tabs>
            <w:spacing w:before="196" w:line="185" w:lineRule="auto"/>
            <w:ind w:left="253"/>
            <w:rPr>
              <w:rFonts w:ascii="Times New Roman" w:hAnsi="Times New Roman" w:eastAsia="Times New Roman" w:cs="Times New Roman"/>
              <w:sz w:val="24"/>
              <w:szCs w:val="24"/>
            </w:rPr>
          </w:pPr>
          <w:r>
            <w:fldChar w:fldCharType="begin"/>
          </w:r>
          <w:r>
            <w:instrText xml:space="preserve"> HYPERLINK \l "bookmark60" </w:instrText>
          </w:r>
          <w:r>
            <w:fldChar w:fldCharType="separate"/>
          </w:r>
          <w:r>
            <w:rPr>
              <w:rFonts w:ascii="Times New Roman" w:hAnsi="Times New Roman" w:eastAsia="Times New Roman" w:cs="Times New Roman"/>
              <w:spacing w:val="-5"/>
              <w:sz w:val="24"/>
              <w:szCs w:val="24"/>
            </w:rPr>
            <w:t>10.5</w:t>
          </w:r>
          <w:r>
            <w:rPr>
              <w:rFonts w:ascii="Times New Roman" w:hAnsi="Times New Roman" w:eastAsia="Times New Roman" w:cs="Times New Roman"/>
              <w:spacing w:val="20"/>
              <w:w w:val="101"/>
              <w:sz w:val="24"/>
              <w:szCs w:val="24"/>
            </w:rPr>
            <w:t xml:space="preserve"> </w:t>
          </w:r>
          <w:r>
            <w:rPr>
              <w:rFonts w:ascii="宋体" w:hAnsi="宋体" w:eastAsia="宋体" w:cs="宋体"/>
              <w:spacing w:val="-5"/>
              <w:sz w:val="24"/>
              <w:szCs w:val="24"/>
            </w:rPr>
            <w:t>公众参与结论</w:t>
          </w:r>
          <w:r>
            <w:rPr>
              <w:rFonts w:ascii="宋体" w:hAnsi="宋体" w:eastAsia="宋体" w:cs="宋体"/>
              <w:sz w:val="24"/>
              <w:szCs w:val="24"/>
            </w:rPr>
            <w:tab/>
          </w:r>
          <w:r>
            <w:rPr>
              <w:rFonts w:ascii="Times New Roman" w:hAnsi="Times New Roman" w:eastAsia="Times New Roman" w:cs="Times New Roman"/>
              <w:spacing w:val="9"/>
              <w:sz w:val="24"/>
              <w:szCs w:val="24"/>
            </w:rPr>
            <w:t>231</w:t>
          </w:r>
          <w:r>
            <w:rPr>
              <w:rFonts w:ascii="Times New Roman" w:hAnsi="Times New Roman" w:eastAsia="Times New Roman" w:cs="Times New Roman"/>
              <w:spacing w:val="9"/>
              <w:sz w:val="24"/>
              <w:szCs w:val="24"/>
            </w:rPr>
            <w:fldChar w:fldCharType="end"/>
          </w:r>
        </w:p>
        <w:p>
          <w:pPr>
            <w:tabs>
              <w:tab w:val="right" w:leader="dot" w:pos="8322"/>
            </w:tabs>
            <w:spacing w:before="195" w:line="221" w:lineRule="auto"/>
            <w:ind w:left="253"/>
            <w:rPr>
              <w:rFonts w:ascii="Times New Roman" w:hAnsi="Times New Roman" w:eastAsia="Times New Roman" w:cs="Times New Roman"/>
              <w:sz w:val="24"/>
              <w:szCs w:val="24"/>
            </w:rPr>
          </w:pPr>
          <w:r>
            <w:fldChar w:fldCharType="begin"/>
          </w:r>
          <w:r>
            <w:instrText xml:space="preserve"> HYPERLINK \l "bookmark61" </w:instrText>
          </w:r>
          <w:r>
            <w:fldChar w:fldCharType="separate"/>
          </w:r>
          <w:r>
            <w:rPr>
              <w:rFonts w:ascii="Times New Roman" w:hAnsi="Times New Roman" w:eastAsia="Times New Roman" w:cs="Times New Roman"/>
              <w:spacing w:val="-7"/>
              <w:sz w:val="24"/>
              <w:szCs w:val="24"/>
            </w:rPr>
            <w:t>10.6</w:t>
          </w:r>
          <w:r>
            <w:rPr>
              <w:rFonts w:ascii="Times New Roman" w:hAnsi="Times New Roman" w:eastAsia="Times New Roman" w:cs="Times New Roman"/>
              <w:spacing w:val="19"/>
              <w:w w:val="101"/>
              <w:sz w:val="24"/>
              <w:szCs w:val="24"/>
            </w:rPr>
            <w:t xml:space="preserve"> </w:t>
          </w:r>
          <w:r>
            <w:rPr>
              <w:rFonts w:ascii="宋体" w:hAnsi="宋体" w:eastAsia="宋体" w:cs="宋体"/>
              <w:spacing w:val="-7"/>
              <w:sz w:val="24"/>
              <w:szCs w:val="24"/>
            </w:rPr>
            <w:t>总结论</w:t>
          </w:r>
          <w:r>
            <w:rPr>
              <w:rFonts w:ascii="宋体" w:hAnsi="宋体" w:eastAsia="宋体" w:cs="宋体"/>
              <w:sz w:val="24"/>
              <w:szCs w:val="24"/>
            </w:rPr>
            <w:tab/>
          </w:r>
          <w:r>
            <w:rPr>
              <w:rFonts w:ascii="Times New Roman" w:hAnsi="Times New Roman" w:eastAsia="Times New Roman" w:cs="Times New Roman"/>
              <w:spacing w:val="8"/>
              <w:sz w:val="24"/>
              <w:szCs w:val="24"/>
            </w:rPr>
            <w:t>231</w:t>
          </w:r>
          <w:r>
            <w:rPr>
              <w:rFonts w:ascii="Times New Roman" w:hAnsi="Times New Roman" w:eastAsia="Times New Roman" w:cs="Times New Roman"/>
              <w:spacing w:val="8"/>
              <w:sz w:val="24"/>
              <w:szCs w:val="24"/>
            </w:rPr>
            <w:fldChar w:fldCharType="end"/>
          </w:r>
        </w:p>
      </w:sdtContent>
    </w:sdt>
    <w:p>
      <w:pPr>
        <w:spacing w:line="221" w:lineRule="auto"/>
        <w:rPr>
          <w:rFonts w:ascii="Times New Roman" w:hAnsi="Times New Roman" w:eastAsia="Times New Roman" w:cs="Times New Roman"/>
          <w:sz w:val="24"/>
          <w:szCs w:val="24"/>
        </w:rPr>
        <w:sectPr>
          <w:pgSz w:w="11907" w:h="16839"/>
          <w:pgMar w:top="400" w:right="1785" w:bottom="1175" w:left="1785" w:header="0" w:footer="1013" w:gutter="0"/>
          <w:cols w:space="720" w:num="1"/>
        </w:sectPr>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78" w:line="219" w:lineRule="auto"/>
        <w:ind w:left="42"/>
        <w:rPr>
          <w:rFonts w:ascii="宋体" w:hAnsi="宋体" w:eastAsia="宋体" w:cs="宋体"/>
          <w:sz w:val="24"/>
          <w:szCs w:val="24"/>
        </w:rPr>
      </w:pPr>
      <w:r>
        <w:rPr>
          <w:rFonts w:ascii="宋体" w:hAnsi="宋体" w:eastAsia="宋体" w:cs="宋体"/>
          <w:spacing w:val="-13"/>
          <w:sz w:val="24"/>
          <w:szCs w:val="24"/>
          <w14:textOutline w14:w="4354" w14:cap="flat" w14:cmpd="sng">
            <w14:solidFill>
              <w14:srgbClr w14:val="000000"/>
            </w14:solidFill>
            <w14:prstDash w14:val="solid"/>
            <w14:miter w14:val="0"/>
          </w14:textOutline>
        </w:rPr>
        <w:t>附表</w:t>
      </w:r>
    </w:p>
    <w:p>
      <w:pPr>
        <w:spacing w:line="183" w:lineRule="exact"/>
      </w:pPr>
    </w:p>
    <w:tbl>
      <w:tblPr>
        <w:tblStyle w:val="5"/>
        <w:tblW w:w="3991" w:type="dxa"/>
        <w:tblInd w:w="4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6"/>
        <w:gridCol w:w="311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876" w:type="dxa"/>
            <w:vAlign w:val="top"/>
          </w:tcPr>
          <w:p>
            <w:pPr>
              <w:spacing w:before="1" w:line="218" w:lineRule="auto"/>
              <w:rPr>
                <w:rFonts w:ascii="Times New Roman" w:hAnsi="Times New Roman" w:eastAsia="Times New Roman" w:cs="Times New Roman"/>
                <w:sz w:val="24"/>
                <w:szCs w:val="24"/>
              </w:rPr>
            </w:pPr>
            <w:r>
              <w:rPr>
                <w:rFonts w:ascii="宋体" w:hAnsi="宋体" w:eastAsia="宋体" w:cs="宋体"/>
                <w:spacing w:val="-10"/>
                <w:sz w:val="24"/>
                <w:szCs w:val="24"/>
              </w:rPr>
              <w:t>附表</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1</w:t>
            </w:r>
          </w:p>
        </w:tc>
        <w:tc>
          <w:tcPr>
            <w:tcW w:w="3115" w:type="dxa"/>
            <w:vAlign w:val="top"/>
          </w:tcPr>
          <w:p>
            <w:pPr>
              <w:spacing w:line="218" w:lineRule="auto"/>
              <w:jc w:val="right"/>
              <w:rPr>
                <w:rFonts w:ascii="宋体" w:hAnsi="宋体" w:eastAsia="宋体" w:cs="宋体"/>
                <w:sz w:val="24"/>
                <w:szCs w:val="24"/>
              </w:rPr>
            </w:pPr>
            <w:r>
              <w:rPr>
                <w:rFonts w:ascii="宋体" w:hAnsi="宋体" w:eastAsia="宋体" w:cs="宋体"/>
                <w:spacing w:val="-1"/>
                <w:sz w:val="24"/>
                <w:szCs w:val="24"/>
              </w:rPr>
              <w:t>地表水环境影响评价自查表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876" w:type="dxa"/>
            <w:vAlign w:val="top"/>
          </w:tcPr>
          <w:p>
            <w:pPr>
              <w:spacing w:before="97" w:line="219" w:lineRule="auto"/>
              <w:rPr>
                <w:rFonts w:ascii="Times New Roman" w:hAnsi="Times New Roman" w:eastAsia="Times New Roman" w:cs="Times New Roman"/>
                <w:sz w:val="24"/>
                <w:szCs w:val="24"/>
              </w:rPr>
            </w:pPr>
            <w:r>
              <w:rPr>
                <w:rFonts w:ascii="宋体" w:hAnsi="宋体" w:eastAsia="宋体" w:cs="宋体"/>
                <w:spacing w:val="-10"/>
                <w:sz w:val="24"/>
                <w:szCs w:val="24"/>
              </w:rPr>
              <w:t>附表</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2</w:t>
            </w:r>
          </w:p>
        </w:tc>
        <w:tc>
          <w:tcPr>
            <w:tcW w:w="3115" w:type="dxa"/>
            <w:vAlign w:val="top"/>
          </w:tcPr>
          <w:p>
            <w:pPr>
              <w:spacing w:before="97" w:line="218" w:lineRule="auto"/>
              <w:ind w:left="248"/>
              <w:rPr>
                <w:rFonts w:ascii="宋体" w:hAnsi="宋体" w:eastAsia="宋体" w:cs="宋体"/>
                <w:sz w:val="24"/>
                <w:szCs w:val="24"/>
              </w:rPr>
            </w:pPr>
            <w:r>
              <w:rPr>
                <w:rFonts w:ascii="宋体" w:hAnsi="宋体" w:eastAsia="宋体" w:cs="宋体"/>
                <w:spacing w:val="-2"/>
                <w:sz w:val="24"/>
                <w:szCs w:val="24"/>
              </w:rPr>
              <w:t>大气环境影响评价自查表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6" w:hRule="atLeast"/>
        </w:trPr>
        <w:tc>
          <w:tcPr>
            <w:tcW w:w="876" w:type="dxa"/>
            <w:vAlign w:val="top"/>
          </w:tcPr>
          <w:p>
            <w:pPr>
              <w:spacing w:before="98" w:line="219" w:lineRule="auto"/>
              <w:rPr>
                <w:rFonts w:ascii="Times New Roman" w:hAnsi="Times New Roman" w:eastAsia="Times New Roman" w:cs="Times New Roman"/>
                <w:sz w:val="24"/>
                <w:szCs w:val="24"/>
              </w:rPr>
            </w:pPr>
            <w:r>
              <w:rPr>
                <w:rFonts w:ascii="宋体" w:hAnsi="宋体" w:eastAsia="宋体" w:cs="宋体"/>
                <w:spacing w:val="-10"/>
                <w:sz w:val="24"/>
                <w:szCs w:val="24"/>
              </w:rPr>
              <w:t>附表</w:t>
            </w:r>
            <w:r>
              <w:rPr>
                <w:rFonts w:ascii="宋体" w:hAnsi="宋体" w:eastAsia="宋体" w:cs="宋体"/>
                <w:spacing w:val="-50"/>
                <w:sz w:val="24"/>
                <w:szCs w:val="24"/>
              </w:rPr>
              <w:t xml:space="preserve"> </w:t>
            </w:r>
            <w:r>
              <w:rPr>
                <w:rFonts w:ascii="Times New Roman" w:hAnsi="Times New Roman" w:eastAsia="Times New Roman" w:cs="Times New Roman"/>
                <w:spacing w:val="-10"/>
                <w:sz w:val="24"/>
                <w:szCs w:val="24"/>
              </w:rPr>
              <w:t>3</w:t>
            </w:r>
          </w:p>
        </w:tc>
        <w:tc>
          <w:tcPr>
            <w:tcW w:w="3115" w:type="dxa"/>
            <w:vAlign w:val="top"/>
          </w:tcPr>
          <w:p>
            <w:pPr>
              <w:spacing w:before="99" w:line="218" w:lineRule="auto"/>
              <w:ind w:left="250"/>
              <w:rPr>
                <w:rFonts w:ascii="宋体" w:hAnsi="宋体" w:eastAsia="宋体" w:cs="宋体"/>
                <w:sz w:val="24"/>
                <w:szCs w:val="24"/>
              </w:rPr>
            </w:pPr>
            <w:r>
              <w:rPr>
                <w:rFonts w:ascii="宋体" w:hAnsi="宋体" w:eastAsia="宋体" w:cs="宋体"/>
                <w:spacing w:val="-2"/>
                <w:sz w:val="24"/>
                <w:szCs w:val="24"/>
              </w:rPr>
              <w:t>声环境影响评价自查表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876" w:type="dxa"/>
            <w:vAlign w:val="top"/>
          </w:tcPr>
          <w:p>
            <w:pPr>
              <w:spacing w:before="98" w:line="176" w:lineRule="auto"/>
              <w:rPr>
                <w:rFonts w:ascii="Times New Roman" w:hAnsi="Times New Roman" w:eastAsia="Times New Roman" w:cs="Times New Roman"/>
                <w:sz w:val="24"/>
                <w:szCs w:val="24"/>
              </w:rPr>
            </w:pPr>
            <w:r>
              <w:rPr>
                <w:rFonts w:ascii="宋体" w:hAnsi="宋体" w:eastAsia="宋体" w:cs="宋体"/>
                <w:spacing w:val="-10"/>
                <w:sz w:val="24"/>
                <w:szCs w:val="24"/>
              </w:rPr>
              <w:t>附表</w:t>
            </w:r>
            <w:r>
              <w:rPr>
                <w:rFonts w:ascii="宋体" w:hAnsi="宋体" w:eastAsia="宋体" w:cs="宋体"/>
                <w:spacing w:val="-56"/>
                <w:sz w:val="24"/>
                <w:szCs w:val="24"/>
              </w:rPr>
              <w:t xml:space="preserve"> </w:t>
            </w:r>
            <w:r>
              <w:rPr>
                <w:rFonts w:ascii="Times New Roman" w:hAnsi="Times New Roman" w:eastAsia="Times New Roman" w:cs="Times New Roman"/>
                <w:spacing w:val="-10"/>
                <w:sz w:val="24"/>
                <w:szCs w:val="24"/>
              </w:rPr>
              <w:t>4</w:t>
            </w:r>
          </w:p>
        </w:tc>
        <w:tc>
          <w:tcPr>
            <w:tcW w:w="3115" w:type="dxa"/>
            <w:vAlign w:val="top"/>
          </w:tcPr>
          <w:p>
            <w:pPr>
              <w:spacing w:before="98" w:line="176" w:lineRule="auto"/>
              <w:ind w:left="247"/>
              <w:rPr>
                <w:rFonts w:ascii="宋体" w:hAnsi="宋体" w:eastAsia="宋体" w:cs="宋体"/>
                <w:sz w:val="24"/>
                <w:szCs w:val="24"/>
              </w:rPr>
            </w:pPr>
            <w:r>
              <w:rPr>
                <w:rFonts w:ascii="宋体" w:hAnsi="宋体" w:eastAsia="宋体" w:cs="宋体"/>
                <w:spacing w:val="-1"/>
                <w:sz w:val="24"/>
                <w:szCs w:val="24"/>
              </w:rPr>
              <w:t>生态环境影响评价自查表</w:t>
            </w:r>
          </w:p>
        </w:tc>
      </w:tr>
    </w:tbl>
    <w:p>
      <w:pPr>
        <w:pStyle w:val="2"/>
      </w:pPr>
    </w:p>
    <w:p>
      <w:pPr>
        <w:sectPr>
          <w:footerReference r:id="rId8" w:type="default"/>
          <w:pgSz w:w="11907" w:h="16839"/>
          <w:pgMar w:top="400" w:right="1785" w:bottom="1175" w:left="1785" w:header="0" w:footer="1013" w:gutter="0"/>
          <w:cols w:space="720" w:num="1"/>
        </w:sectPr>
      </w:pPr>
    </w:p>
    <w:p>
      <w:pPr>
        <w:pStyle w:val="2"/>
        <w:spacing w:line="271" w:lineRule="auto"/>
      </w:pPr>
    </w:p>
    <w:p>
      <w:pPr>
        <w:spacing w:before="91" w:line="220" w:lineRule="auto"/>
        <w:ind w:left="47"/>
        <w:rPr>
          <w:rFonts w:ascii="宋体" w:hAnsi="宋体" w:eastAsia="宋体" w:cs="宋体"/>
          <w:sz w:val="28"/>
          <w:szCs w:val="28"/>
        </w:rPr>
      </w:pPr>
      <w:bookmarkStart w:id="0" w:name="bookmark1"/>
      <w:bookmarkEnd w:id="0"/>
      <w:bookmarkStart w:id="1" w:name="bookmark2"/>
      <w:bookmarkEnd w:id="1"/>
      <w:r>
        <w:rPr>
          <w:rFonts w:ascii="Times New Roman" w:hAnsi="Times New Roman" w:eastAsia="Times New Roman" w:cs="Times New Roman"/>
          <w:b/>
          <w:bCs/>
          <w:spacing w:val="-8"/>
          <w:sz w:val="28"/>
          <w:szCs w:val="28"/>
        </w:rPr>
        <w:t>1</w:t>
      </w:r>
      <w:r>
        <w:rPr>
          <w:rFonts w:ascii="Times New Roman" w:hAnsi="Times New Roman" w:eastAsia="Times New Roman" w:cs="Times New Roman"/>
          <w:b/>
          <w:bCs/>
          <w:spacing w:val="11"/>
          <w:sz w:val="28"/>
          <w:szCs w:val="28"/>
        </w:rPr>
        <w:t xml:space="preserve"> </w:t>
      </w:r>
      <w:r>
        <w:rPr>
          <w:rFonts w:ascii="宋体" w:hAnsi="宋体" w:eastAsia="宋体" w:cs="宋体"/>
          <w:spacing w:val="-8"/>
          <w:sz w:val="28"/>
          <w:szCs w:val="28"/>
          <w14:textOutline w14:w="5094" w14:cap="flat" w14:cmpd="sng">
            <w14:solidFill>
              <w14:srgbClr w14:val="000000"/>
            </w14:solidFill>
            <w14:prstDash w14:val="solid"/>
            <w14:miter w14:val="0"/>
          </w14:textOutline>
        </w:rPr>
        <w:t>概述</w:t>
      </w:r>
    </w:p>
    <w:p>
      <w:pPr>
        <w:spacing w:before="204" w:line="220" w:lineRule="auto"/>
        <w:ind w:left="44"/>
        <w:outlineLvl w:val="0"/>
        <w:rPr>
          <w:rFonts w:ascii="宋体" w:hAnsi="宋体" w:eastAsia="宋体" w:cs="宋体"/>
          <w:sz w:val="24"/>
          <w:szCs w:val="24"/>
        </w:rPr>
      </w:pPr>
      <w:r>
        <w:rPr>
          <w:rFonts w:ascii="Times New Roman" w:hAnsi="Times New Roman" w:eastAsia="Times New Roman" w:cs="Times New Roman"/>
          <w:b/>
          <w:bCs/>
          <w:spacing w:val="-4"/>
          <w:sz w:val="24"/>
          <w:szCs w:val="24"/>
        </w:rPr>
        <w:t>1.1</w:t>
      </w:r>
      <w:r>
        <w:rPr>
          <w:rFonts w:ascii="Times New Roman" w:hAnsi="Times New Roman" w:eastAsia="Times New Roman" w:cs="Times New Roman"/>
          <w:b/>
          <w:bCs/>
          <w:spacing w:val="15"/>
          <w:sz w:val="24"/>
          <w:szCs w:val="24"/>
        </w:rPr>
        <w:t xml:space="preserve"> </w:t>
      </w:r>
      <w:r>
        <w:rPr>
          <w:rFonts w:ascii="宋体" w:hAnsi="宋体" w:eastAsia="宋体" w:cs="宋体"/>
          <w:spacing w:val="-4"/>
          <w:sz w:val="24"/>
          <w:szCs w:val="24"/>
          <w14:textOutline w14:w="4354" w14:cap="flat" w14:cmpd="sng">
            <w14:solidFill>
              <w14:srgbClr w14:val="000000"/>
            </w14:solidFill>
            <w14:prstDash w14:val="solid"/>
            <w14:miter w14:val="0"/>
          </w14:textOutline>
        </w:rPr>
        <w:t>项目背景</w:t>
      </w:r>
    </w:p>
    <w:p>
      <w:pPr>
        <w:spacing w:before="182" w:line="359" w:lineRule="auto"/>
        <w:ind w:left="37" w:right="45" w:firstLine="484"/>
        <w:jc w:val="both"/>
        <w:rPr>
          <w:rFonts w:ascii="宋体" w:hAnsi="宋体" w:eastAsia="宋体" w:cs="宋体"/>
          <w:sz w:val="24"/>
          <w:szCs w:val="24"/>
        </w:rPr>
      </w:pPr>
      <w:r>
        <w:rPr>
          <w:rFonts w:ascii="宋体" w:hAnsi="宋体" w:eastAsia="宋体" w:cs="宋体"/>
          <w:spacing w:val="-12"/>
          <w:sz w:val="24"/>
          <w:szCs w:val="24"/>
        </w:rPr>
        <w:t>景宁、文成两县是丽水市、温州市， 也是浙江省西南部区域较为落后的地区，</w:t>
      </w:r>
      <w:r>
        <w:rPr>
          <w:rFonts w:ascii="宋体" w:hAnsi="宋体" w:eastAsia="宋体" w:cs="宋体"/>
          <w:spacing w:val="18"/>
          <w:sz w:val="24"/>
          <w:szCs w:val="24"/>
        </w:rPr>
        <w:t xml:space="preserve"> </w:t>
      </w:r>
      <w:r>
        <w:rPr>
          <w:rFonts w:ascii="宋体" w:hAnsi="宋体" w:eastAsia="宋体" w:cs="宋体"/>
          <w:spacing w:val="-7"/>
          <w:sz w:val="24"/>
          <w:szCs w:val="24"/>
        </w:rPr>
        <w:t>交通的落后是社会经济发展滞后的主要因素之一。多年</w:t>
      </w:r>
      <w:r>
        <w:rPr>
          <w:rFonts w:ascii="宋体" w:hAnsi="宋体" w:eastAsia="宋体" w:cs="宋体"/>
          <w:spacing w:val="-8"/>
          <w:sz w:val="24"/>
          <w:szCs w:val="24"/>
        </w:rPr>
        <w:t>来，</w:t>
      </w:r>
      <w:r>
        <w:rPr>
          <w:rFonts w:ascii="宋体" w:hAnsi="宋体" w:eastAsia="宋体" w:cs="宋体"/>
          <w:spacing w:val="33"/>
          <w:sz w:val="24"/>
          <w:szCs w:val="24"/>
        </w:rPr>
        <w:t xml:space="preserve"> </w:t>
      </w:r>
      <w:r>
        <w:rPr>
          <w:rFonts w:ascii="宋体" w:hAnsi="宋体" w:eastAsia="宋体" w:cs="宋体"/>
          <w:spacing w:val="-8"/>
          <w:sz w:val="24"/>
          <w:szCs w:val="24"/>
        </w:rPr>
        <w:t>两县政府、人大及社</w:t>
      </w:r>
      <w:r>
        <w:rPr>
          <w:rFonts w:ascii="宋体" w:hAnsi="宋体" w:eastAsia="宋体" w:cs="宋体"/>
          <w:sz w:val="24"/>
          <w:szCs w:val="24"/>
        </w:rPr>
        <w:t xml:space="preserve"> </w:t>
      </w:r>
      <w:r>
        <w:rPr>
          <w:rFonts w:ascii="宋体" w:hAnsi="宋体" w:eastAsia="宋体" w:cs="宋体"/>
          <w:spacing w:val="-2"/>
          <w:sz w:val="24"/>
          <w:szCs w:val="24"/>
        </w:rPr>
        <w:t>会各界要求建设高速公路的呼声高涨，但由于地形、地质复杂，建设条件恶劣，</w:t>
      </w:r>
      <w:r>
        <w:rPr>
          <w:rFonts w:ascii="宋体" w:hAnsi="宋体" w:eastAsia="宋体" w:cs="宋体"/>
          <w:spacing w:val="7"/>
          <w:sz w:val="24"/>
          <w:szCs w:val="24"/>
        </w:rPr>
        <w:t xml:space="preserve"> </w:t>
      </w:r>
      <w:r>
        <w:rPr>
          <w:rFonts w:ascii="宋体" w:hAnsi="宋体" w:eastAsia="宋体" w:cs="宋体"/>
          <w:spacing w:val="-17"/>
          <w:sz w:val="24"/>
          <w:szCs w:val="24"/>
        </w:rPr>
        <w:t>工程造价高昂，</w:t>
      </w:r>
      <w:r>
        <w:rPr>
          <w:rFonts w:ascii="宋体" w:hAnsi="宋体" w:eastAsia="宋体" w:cs="宋体"/>
          <w:spacing w:val="47"/>
          <w:sz w:val="24"/>
          <w:szCs w:val="24"/>
        </w:rPr>
        <w:t xml:space="preserve"> </w:t>
      </w:r>
      <w:r>
        <w:rPr>
          <w:rFonts w:ascii="宋体" w:hAnsi="宋体" w:eastAsia="宋体" w:cs="宋体"/>
          <w:spacing w:val="-17"/>
          <w:sz w:val="24"/>
          <w:szCs w:val="24"/>
        </w:rPr>
        <w:t>经济效益差等原因，</w:t>
      </w:r>
      <w:r>
        <w:rPr>
          <w:rFonts w:ascii="宋体" w:hAnsi="宋体" w:eastAsia="宋体" w:cs="宋体"/>
          <w:spacing w:val="42"/>
          <w:sz w:val="24"/>
          <w:szCs w:val="24"/>
        </w:rPr>
        <w:t xml:space="preserve"> </w:t>
      </w:r>
      <w:r>
        <w:rPr>
          <w:rFonts w:ascii="宋体" w:hAnsi="宋体" w:eastAsia="宋体" w:cs="宋体"/>
          <w:spacing w:val="-17"/>
          <w:sz w:val="24"/>
          <w:szCs w:val="24"/>
        </w:rPr>
        <w:t>一直未能实施。因此，</w:t>
      </w:r>
      <w:r>
        <w:rPr>
          <w:rFonts w:ascii="宋体" w:hAnsi="宋体" w:eastAsia="宋体" w:cs="宋体"/>
          <w:spacing w:val="40"/>
          <w:sz w:val="24"/>
          <w:szCs w:val="24"/>
        </w:rPr>
        <w:t xml:space="preserve"> </w:t>
      </w:r>
      <w:r>
        <w:rPr>
          <w:rFonts w:ascii="宋体" w:hAnsi="宋体" w:eastAsia="宋体" w:cs="宋体"/>
          <w:spacing w:val="-17"/>
          <w:sz w:val="24"/>
          <w:szCs w:val="24"/>
        </w:rPr>
        <w:t>溧阳至宁德高速公路</w:t>
      </w:r>
      <w:r>
        <w:rPr>
          <w:rFonts w:ascii="宋体" w:hAnsi="宋体" w:eastAsia="宋体" w:cs="宋体"/>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G4012</w:t>
      </w:r>
      <w:r>
        <w:rPr>
          <w:rFonts w:ascii="宋体" w:hAnsi="宋体" w:eastAsia="宋体" w:cs="宋体"/>
          <w:spacing w:val="-6"/>
          <w:sz w:val="24"/>
          <w:szCs w:val="24"/>
        </w:rPr>
        <w:t>）浙江景宁至文成段工程的建设改变了这种局面，</w:t>
      </w:r>
      <w:r>
        <w:rPr>
          <w:rFonts w:ascii="宋体" w:hAnsi="宋体" w:eastAsia="宋体" w:cs="宋体"/>
          <w:spacing w:val="65"/>
          <w:sz w:val="24"/>
          <w:szCs w:val="24"/>
        </w:rPr>
        <w:t xml:space="preserve"> </w:t>
      </w:r>
      <w:r>
        <w:rPr>
          <w:rFonts w:ascii="宋体" w:hAnsi="宋体" w:eastAsia="宋体" w:cs="宋体"/>
          <w:spacing w:val="-6"/>
          <w:sz w:val="24"/>
          <w:szCs w:val="24"/>
        </w:rPr>
        <w:t>工程由西向东串联起</w:t>
      </w:r>
      <w:r>
        <w:rPr>
          <w:rFonts w:ascii="宋体" w:hAnsi="宋体" w:eastAsia="宋体" w:cs="宋体"/>
          <w:sz w:val="24"/>
          <w:szCs w:val="24"/>
        </w:rPr>
        <w:t xml:space="preserve"> </w:t>
      </w:r>
      <w:r>
        <w:rPr>
          <w:rFonts w:ascii="宋体" w:hAnsi="宋体" w:eastAsia="宋体" w:cs="宋体"/>
          <w:spacing w:val="-10"/>
          <w:sz w:val="24"/>
          <w:szCs w:val="24"/>
        </w:rPr>
        <w:t>沿线</w:t>
      </w:r>
      <w:r>
        <w:rPr>
          <w:rFonts w:ascii="宋体" w:hAnsi="宋体" w:eastAsia="宋体" w:cs="宋体"/>
          <w:spacing w:val="-49"/>
          <w:sz w:val="24"/>
          <w:szCs w:val="24"/>
        </w:rPr>
        <w:t xml:space="preserve"> </w:t>
      </w:r>
      <w:r>
        <w:rPr>
          <w:rFonts w:ascii="Times New Roman" w:hAnsi="Times New Roman" w:eastAsia="Times New Roman" w:cs="Times New Roman"/>
          <w:spacing w:val="-10"/>
          <w:sz w:val="24"/>
          <w:szCs w:val="24"/>
        </w:rPr>
        <w:t xml:space="preserve">9 </w:t>
      </w:r>
      <w:r>
        <w:rPr>
          <w:rFonts w:ascii="宋体" w:hAnsi="宋体" w:eastAsia="宋体" w:cs="宋体"/>
          <w:spacing w:val="-10"/>
          <w:sz w:val="24"/>
          <w:szCs w:val="24"/>
        </w:rPr>
        <w:t>个乡镇（街道） 、</w:t>
      </w:r>
      <w:r>
        <w:rPr>
          <w:rFonts w:ascii="Times New Roman" w:hAnsi="Times New Roman" w:eastAsia="Times New Roman" w:cs="Times New Roman"/>
          <w:spacing w:val="-10"/>
          <w:sz w:val="24"/>
          <w:szCs w:val="24"/>
        </w:rPr>
        <w:t xml:space="preserve">39 </w:t>
      </w:r>
      <w:r>
        <w:rPr>
          <w:rFonts w:ascii="宋体" w:hAnsi="宋体" w:eastAsia="宋体" w:cs="宋体"/>
          <w:spacing w:val="-10"/>
          <w:sz w:val="24"/>
          <w:szCs w:val="24"/>
        </w:rPr>
        <w:t>个村以及</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 xml:space="preserve">17 </w:t>
      </w:r>
      <w:r>
        <w:rPr>
          <w:rFonts w:ascii="宋体" w:hAnsi="宋体" w:eastAsia="宋体" w:cs="宋体"/>
          <w:spacing w:val="-10"/>
          <w:sz w:val="24"/>
          <w:szCs w:val="24"/>
        </w:rPr>
        <w:t>个自然人文景区，</w:t>
      </w:r>
      <w:r>
        <w:rPr>
          <w:rFonts w:ascii="宋体" w:hAnsi="宋体" w:eastAsia="宋体" w:cs="宋体"/>
          <w:spacing w:val="59"/>
          <w:sz w:val="24"/>
          <w:szCs w:val="24"/>
        </w:rPr>
        <w:t xml:space="preserve"> </w:t>
      </w:r>
      <w:r>
        <w:rPr>
          <w:rFonts w:ascii="宋体" w:hAnsi="宋体" w:eastAsia="宋体" w:cs="宋体"/>
          <w:spacing w:val="-10"/>
          <w:sz w:val="24"/>
          <w:szCs w:val="24"/>
        </w:rPr>
        <w:t>原来景宁至文成</w:t>
      </w:r>
      <w:r>
        <w:rPr>
          <w:rFonts w:ascii="宋体" w:hAnsi="宋体" w:eastAsia="宋体" w:cs="宋体"/>
          <w:spacing w:val="-53"/>
          <w:sz w:val="24"/>
          <w:szCs w:val="24"/>
        </w:rPr>
        <w:t xml:space="preserve"> </w:t>
      </w:r>
      <w:r>
        <w:rPr>
          <w:rFonts w:ascii="Times New Roman" w:hAnsi="Times New Roman" w:eastAsia="Times New Roman" w:cs="Times New Roman"/>
          <w:spacing w:val="-10"/>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10"/>
          <w:sz w:val="24"/>
          <w:szCs w:val="24"/>
        </w:rPr>
        <w:t>小</w:t>
      </w:r>
      <w:r>
        <w:rPr>
          <w:rFonts w:ascii="宋体" w:hAnsi="宋体" w:eastAsia="宋体" w:cs="宋体"/>
          <w:sz w:val="24"/>
          <w:szCs w:val="24"/>
        </w:rPr>
        <w:t xml:space="preserve"> </w:t>
      </w:r>
      <w:r>
        <w:rPr>
          <w:rFonts w:ascii="宋体" w:hAnsi="宋体" w:eastAsia="宋体" w:cs="宋体"/>
          <w:spacing w:val="-5"/>
          <w:sz w:val="24"/>
          <w:szCs w:val="24"/>
        </w:rPr>
        <w:t>时</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 xml:space="preserve">30 </w:t>
      </w:r>
      <w:r>
        <w:rPr>
          <w:rFonts w:ascii="宋体" w:hAnsi="宋体" w:eastAsia="宋体" w:cs="宋体"/>
          <w:spacing w:val="-5"/>
          <w:sz w:val="24"/>
          <w:szCs w:val="24"/>
        </w:rPr>
        <w:t>分钟的车程将缩短至</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 xml:space="preserve">50 </w:t>
      </w:r>
      <w:r>
        <w:rPr>
          <w:rFonts w:ascii="宋体" w:hAnsi="宋体" w:eastAsia="宋体" w:cs="宋体"/>
          <w:spacing w:val="-5"/>
          <w:sz w:val="24"/>
          <w:szCs w:val="24"/>
        </w:rPr>
        <w:t>分钟，</w:t>
      </w:r>
      <w:r>
        <w:rPr>
          <w:rFonts w:ascii="宋体" w:hAnsi="宋体" w:eastAsia="宋体" w:cs="宋体"/>
          <w:spacing w:val="-44"/>
          <w:sz w:val="24"/>
          <w:szCs w:val="24"/>
        </w:rPr>
        <w:t xml:space="preserve"> </w:t>
      </w:r>
      <w:r>
        <w:rPr>
          <w:rFonts w:ascii="宋体" w:hAnsi="宋体" w:eastAsia="宋体" w:cs="宋体"/>
          <w:spacing w:val="-5"/>
          <w:sz w:val="24"/>
          <w:szCs w:val="24"/>
        </w:rPr>
        <w:t>极大改善浙西</w:t>
      </w:r>
      <w:r>
        <w:rPr>
          <w:rFonts w:ascii="宋体" w:hAnsi="宋体" w:eastAsia="宋体" w:cs="宋体"/>
          <w:spacing w:val="-6"/>
          <w:sz w:val="24"/>
          <w:szCs w:val="24"/>
        </w:rPr>
        <w:t>南发展地区的交通条件。溧阳</w:t>
      </w:r>
      <w:r>
        <w:rPr>
          <w:rFonts w:ascii="宋体" w:hAnsi="宋体" w:eastAsia="宋体" w:cs="宋体"/>
          <w:sz w:val="24"/>
          <w:szCs w:val="24"/>
        </w:rPr>
        <w:t xml:space="preserve"> </w:t>
      </w:r>
      <w:r>
        <w:rPr>
          <w:rFonts w:ascii="宋体" w:hAnsi="宋体" w:eastAsia="宋体" w:cs="宋体"/>
          <w:spacing w:val="-2"/>
          <w:sz w:val="24"/>
          <w:szCs w:val="24"/>
        </w:rPr>
        <w:t>至宁德高速公路（</w:t>
      </w:r>
      <w:r>
        <w:rPr>
          <w:rFonts w:ascii="Times New Roman" w:hAnsi="Times New Roman" w:eastAsia="Times New Roman" w:cs="Times New Roman"/>
          <w:spacing w:val="-2"/>
          <w:sz w:val="24"/>
          <w:szCs w:val="24"/>
        </w:rPr>
        <w:t>G4012</w:t>
      </w:r>
      <w:r>
        <w:rPr>
          <w:rFonts w:ascii="宋体" w:hAnsi="宋体" w:eastAsia="宋体" w:cs="宋体"/>
          <w:spacing w:val="-2"/>
          <w:sz w:val="24"/>
          <w:szCs w:val="24"/>
        </w:rPr>
        <w:t>）浙江景宁至文</w:t>
      </w:r>
      <w:r>
        <w:rPr>
          <w:rFonts w:ascii="宋体" w:hAnsi="宋体" w:eastAsia="宋体" w:cs="宋体"/>
          <w:spacing w:val="-3"/>
          <w:sz w:val="24"/>
          <w:szCs w:val="24"/>
        </w:rPr>
        <w:t>成段工程是国高网</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G4012 </w:t>
      </w:r>
      <w:r>
        <w:rPr>
          <w:rFonts w:ascii="宋体" w:hAnsi="宋体" w:eastAsia="宋体" w:cs="宋体"/>
          <w:spacing w:val="-3"/>
          <w:sz w:val="24"/>
          <w:szCs w:val="24"/>
        </w:rPr>
        <w:t>溧阳至宁德高</w:t>
      </w:r>
      <w:r>
        <w:rPr>
          <w:rFonts w:ascii="宋体" w:hAnsi="宋体" w:eastAsia="宋体" w:cs="宋体"/>
          <w:sz w:val="24"/>
          <w:szCs w:val="24"/>
        </w:rPr>
        <w:t xml:space="preserve"> </w:t>
      </w:r>
      <w:r>
        <w:rPr>
          <w:rFonts w:ascii="宋体" w:hAnsi="宋体" w:eastAsia="宋体" w:cs="宋体"/>
          <w:spacing w:val="-6"/>
          <w:sz w:val="24"/>
          <w:szCs w:val="24"/>
        </w:rPr>
        <w:t>速公路的一段，将丽水市丽龙高速公路和温州市绕城高速公路相接</w:t>
      </w:r>
      <w:r>
        <w:rPr>
          <w:rFonts w:ascii="宋体" w:hAnsi="宋体" w:eastAsia="宋体" w:cs="宋体"/>
          <w:spacing w:val="-7"/>
          <w:sz w:val="24"/>
          <w:szCs w:val="24"/>
        </w:rPr>
        <w:t>， 形成浙江南</w:t>
      </w:r>
    </w:p>
    <w:p>
      <w:pPr>
        <w:spacing w:line="219" w:lineRule="auto"/>
        <w:ind w:left="41"/>
        <w:rPr>
          <w:rFonts w:ascii="宋体" w:hAnsi="宋体" w:eastAsia="宋体" w:cs="宋体"/>
          <w:sz w:val="24"/>
          <w:szCs w:val="24"/>
        </w:rPr>
      </w:pPr>
      <w:r>
        <w:rPr>
          <w:rFonts w:ascii="宋体" w:hAnsi="宋体" w:eastAsia="宋体" w:cs="宋体"/>
          <w:spacing w:val="-5"/>
          <w:sz w:val="24"/>
          <w:szCs w:val="24"/>
        </w:rPr>
        <w:t>部出省重要高速走廊。</w:t>
      </w:r>
    </w:p>
    <w:p>
      <w:pPr>
        <w:spacing w:before="184" w:line="359" w:lineRule="auto"/>
        <w:ind w:left="39" w:right="111" w:firstLine="479"/>
        <w:jc w:val="both"/>
        <w:rPr>
          <w:rFonts w:ascii="宋体" w:hAnsi="宋体" w:eastAsia="宋体" w:cs="宋体"/>
          <w:sz w:val="24"/>
          <w:szCs w:val="24"/>
        </w:rPr>
      </w:pPr>
      <w:r>
        <w:rPr>
          <w:rFonts w:ascii="宋体" w:hAnsi="宋体" w:eastAsia="宋体" w:cs="宋体"/>
          <w:spacing w:val="-1"/>
          <w:sz w:val="24"/>
          <w:szCs w:val="24"/>
        </w:rPr>
        <w:t>本项目西坑互通连接线是溧阳至宁德高速公路（</w:t>
      </w:r>
      <w:r>
        <w:rPr>
          <w:rFonts w:ascii="Times New Roman" w:hAnsi="Times New Roman" w:eastAsia="Times New Roman" w:cs="Times New Roman"/>
          <w:spacing w:val="-1"/>
          <w:sz w:val="24"/>
          <w:szCs w:val="24"/>
        </w:rPr>
        <w:t>G4012</w:t>
      </w:r>
      <w:r>
        <w:rPr>
          <w:rFonts w:ascii="宋体" w:hAnsi="宋体" w:eastAsia="宋体" w:cs="宋体"/>
          <w:spacing w:val="-1"/>
          <w:sz w:val="24"/>
          <w:szCs w:val="24"/>
        </w:rPr>
        <w:t>）浙江景宁</w:t>
      </w:r>
      <w:r>
        <w:rPr>
          <w:rFonts w:ascii="宋体" w:hAnsi="宋体" w:eastAsia="宋体" w:cs="宋体"/>
          <w:spacing w:val="-2"/>
          <w:sz w:val="24"/>
          <w:szCs w:val="24"/>
        </w:rPr>
        <w:t>至文成段</w:t>
      </w:r>
      <w:r>
        <w:rPr>
          <w:rFonts w:ascii="宋体" w:hAnsi="宋体" w:eastAsia="宋体" w:cs="宋体"/>
          <w:sz w:val="24"/>
          <w:szCs w:val="24"/>
        </w:rPr>
        <w:t xml:space="preserve"> </w:t>
      </w:r>
      <w:r>
        <w:rPr>
          <w:rFonts w:ascii="宋体" w:hAnsi="宋体" w:eastAsia="宋体" w:cs="宋体"/>
          <w:spacing w:val="-2"/>
          <w:sz w:val="24"/>
          <w:szCs w:val="24"/>
        </w:rPr>
        <w:t>工程（下称</w:t>
      </w:r>
      <w:r>
        <w:rPr>
          <w:rFonts w:ascii="Times New Roman" w:hAnsi="Times New Roman" w:eastAsia="Times New Roman" w:cs="Times New Roman"/>
          <w:spacing w:val="-2"/>
          <w:sz w:val="24"/>
          <w:szCs w:val="24"/>
        </w:rPr>
        <w:t>“</w:t>
      </w:r>
      <w:r>
        <w:rPr>
          <w:rFonts w:ascii="宋体" w:hAnsi="宋体" w:eastAsia="宋体" w:cs="宋体"/>
          <w:spacing w:val="-2"/>
          <w:sz w:val="24"/>
          <w:szCs w:val="24"/>
        </w:rPr>
        <w:t>景文高速公路</w:t>
      </w:r>
      <w:r>
        <w:rPr>
          <w:rFonts w:ascii="Times New Roman" w:hAnsi="Times New Roman" w:eastAsia="Times New Roman" w:cs="Times New Roman"/>
          <w:spacing w:val="-2"/>
          <w:sz w:val="24"/>
          <w:szCs w:val="24"/>
        </w:rPr>
        <w:t>”</w:t>
      </w:r>
      <w:r>
        <w:rPr>
          <w:rFonts w:ascii="宋体" w:hAnsi="宋体" w:eastAsia="宋体" w:cs="宋体"/>
          <w:spacing w:val="-2"/>
          <w:sz w:val="24"/>
          <w:szCs w:val="24"/>
        </w:rPr>
        <w:t>）西坑互通所连接的部分。本项目的建</w:t>
      </w:r>
      <w:r>
        <w:rPr>
          <w:rFonts w:ascii="宋体" w:hAnsi="宋体" w:eastAsia="宋体" w:cs="宋体"/>
          <w:spacing w:val="-3"/>
          <w:sz w:val="24"/>
          <w:szCs w:val="24"/>
        </w:rPr>
        <w:t>设将完善浙江</w:t>
      </w:r>
      <w:r>
        <w:rPr>
          <w:rFonts w:ascii="宋体" w:hAnsi="宋体" w:eastAsia="宋体" w:cs="宋体"/>
          <w:sz w:val="24"/>
          <w:szCs w:val="24"/>
        </w:rPr>
        <w:t xml:space="preserve"> </w:t>
      </w:r>
      <w:r>
        <w:rPr>
          <w:rFonts w:ascii="宋体" w:hAnsi="宋体" w:eastAsia="宋体" w:cs="宋体"/>
          <w:spacing w:val="-6"/>
          <w:sz w:val="24"/>
          <w:szCs w:val="24"/>
        </w:rPr>
        <w:t>西南部山区旅游景点与高速公路有机结合路网布局的需要，</w:t>
      </w:r>
      <w:r>
        <w:rPr>
          <w:rFonts w:ascii="宋体" w:hAnsi="宋体" w:eastAsia="宋体" w:cs="宋体"/>
          <w:spacing w:val="-15"/>
          <w:sz w:val="24"/>
          <w:szCs w:val="24"/>
        </w:rPr>
        <w:t xml:space="preserve"> </w:t>
      </w:r>
      <w:r>
        <w:rPr>
          <w:rFonts w:ascii="宋体" w:hAnsi="宋体" w:eastAsia="宋体" w:cs="宋体"/>
          <w:spacing w:val="-6"/>
          <w:sz w:val="24"/>
          <w:szCs w:val="24"/>
        </w:rPr>
        <w:t>是实现城乡交通一体</w:t>
      </w:r>
      <w:r>
        <w:rPr>
          <w:rFonts w:ascii="宋体" w:hAnsi="宋体" w:eastAsia="宋体" w:cs="宋体"/>
          <w:sz w:val="24"/>
          <w:szCs w:val="24"/>
        </w:rPr>
        <w:t xml:space="preserve"> </w:t>
      </w:r>
      <w:r>
        <w:rPr>
          <w:rFonts w:ascii="宋体" w:hAnsi="宋体" w:eastAsia="宋体" w:cs="宋体"/>
          <w:spacing w:val="-3"/>
          <w:sz w:val="24"/>
          <w:szCs w:val="24"/>
        </w:rPr>
        <w:t>化的需要。本项目的建设能够连接文成百丈漈、南田、西坑至景文高速公路与地</w:t>
      </w:r>
      <w:r>
        <w:rPr>
          <w:rFonts w:ascii="宋体" w:hAnsi="宋体" w:eastAsia="宋体" w:cs="宋体"/>
          <w:sz w:val="24"/>
          <w:szCs w:val="24"/>
        </w:rPr>
        <w:t xml:space="preserve"> </w:t>
      </w:r>
      <w:r>
        <w:rPr>
          <w:rFonts w:ascii="宋体" w:hAnsi="宋体" w:eastAsia="宋体" w:cs="宋体"/>
          <w:spacing w:val="-9"/>
          <w:sz w:val="24"/>
          <w:szCs w:val="24"/>
        </w:rPr>
        <w:t>方上公路， 使得西坑互通的交通转换功能大幅提</w:t>
      </w:r>
      <w:r>
        <w:rPr>
          <w:rFonts w:ascii="宋体" w:hAnsi="宋体" w:eastAsia="宋体" w:cs="宋体"/>
          <w:spacing w:val="-10"/>
          <w:sz w:val="24"/>
          <w:szCs w:val="24"/>
        </w:rPr>
        <w:t>升， 建设后将极大地完善周边区</w:t>
      </w:r>
      <w:r>
        <w:rPr>
          <w:rFonts w:ascii="宋体" w:hAnsi="宋体" w:eastAsia="宋体" w:cs="宋体"/>
          <w:sz w:val="24"/>
          <w:szCs w:val="24"/>
        </w:rPr>
        <w:t xml:space="preserve"> </w:t>
      </w:r>
      <w:r>
        <w:rPr>
          <w:rFonts w:ascii="宋体" w:hAnsi="宋体" w:eastAsia="宋体" w:cs="宋体"/>
          <w:spacing w:val="-12"/>
          <w:sz w:val="24"/>
          <w:szCs w:val="24"/>
        </w:rPr>
        <w:t>域的路网结构，</w:t>
      </w:r>
      <w:r>
        <w:rPr>
          <w:rFonts w:ascii="宋体" w:hAnsi="宋体" w:eastAsia="宋体" w:cs="宋体"/>
          <w:spacing w:val="44"/>
          <w:sz w:val="24"/>
          <w:szCs w:val="24"/>
        </w:rPr>
        <w:t xml:space="preserve"> </w:t>
      </w:r>
      <w:r>
        <w:rPr>
          <w:rFonts w:ascii="宋体" w:hAnsi="宋体" w:eastAsia="宋体" w:cs="宋体"/>
          <w:spacing w:val="-12"/>
          <w:sz w:val="24"/>
          <w:szCs w:val="24"/>
        </w:rPr>
        <w:t>改善交通出行条件，</w:t>
      </w:r>
      <w:r>
        <w:rPr>
          <w:rFonts w:ascii="宋体" w:hAnsi="宋体" w:eastAsia="宋体" w:cs="宋体"/>
          <w:spacing w:val="31"/>
          <w:sz w:val="24"/>
          <w:szCs w:val="24"/>
        </w:rPr>
        <w:t xml:space="preserve"> </w:t>
      </w:r>
      <w:r>
        <w:rPr>
          <w:rFonts w:ascii="宋体" w:hAnsi="宋体" w:eastAsia="宋体" w:cs="宋体"/>
          <w:spacing w:val="-12"/>
          <w:sz w:val="24"/>
          <w:szCs w:val="24"/>
        </w:rPr>
        <w:t>解决困扰区域发展的交通出行要求。本项目</w:t>
      </w:r>
    </w:p>
    <w:p>
      <w:pPr>
        <w:spacing w:before="1" w:line="218" w:lineRule="auto"/>
        <w:ind w:left="57"/>
        <w:rPr>
          <w:rFonts w:ascii="宋体" w:hAnsi="宋体" w:eastAsia="宋体" w:cs="宋体"/>
          <w:sz w:val="24"/>
          <w:szCs w:val="24"/>
        </w:rPr>
      </w:pPr>
      <w:r>
        <w:rPr>
          <w:rFonts w:ascii="宋体" w:hAnsi="宋体" w:eastAsia="宋体" w:cs="宋体"/>
          <w:spacing w:val="-2"/>
          <w:sz w:val="24"/>
          <w:szCs w:val="24"/>
        </w:rPr>
        <w:t>的建设对文成县域旅游、工业等发展平台的促进作用得到进一步凸显。</w:t>
      </w:r>
    </w:p>
    <w:p>
      <w:pPr>
        <w:spacing w:before="185" w:line="359" w:lineRule="auto"/>
        <w:ind w:left="37" w:firstLine="486"/>
        <w:jc w:val="both"/>
        <w:rPr>
          <w:rFonts w:ascii="宋体" w:hAnsi="宋体" w:eastAsia="宋体" w:cs="宋体"/>
          <w:sz w:val="24"/>
          <w:szCs w:val="24"/>
        </w:rPr>
      </w:pPr>
      <w:r>
        <w:rPr>
          <w:rFonts w:ascii="宋体" w:hAnsi="宋体" w:eastAsia="宋体" w:cs="宋体"/>
          <w:spacing w:val="4"/>
          <w:sz w:val="24"/>
          <w:szCs w:val="24"/>
        </w:rPr>
        <w:t>西坑互通连接线位于文成县，主要连接西坑畲族镇和百丈漈镇，线路全长</w:t>
      </w:r>
      <w:r>
        <w:rPr>
          <w:rFonts w:ascii="宋体" w:hAnsi="宋体" w:eastAsia="宋体" w:cs="宋体"/>
          <w:spacing w:val="2"/>
          <w:sz w:val="24"/>
          <w:szCs w:val="24"/>
        </w:rPr>
        <w:t xml:space="preserve">  </w:t>
      </w:r>
      <w:r>
        <w:rPr>
          <w:rFonts w:ascii="Times New Roman" w:hAnsi="Times New Roman" w:eastAsia="Times New Roman" w:cs="Times New Roman"/>
          <w:spacing w:val="2"/>
          <w:sz w:val="24"/>
          <w:szCs w:val="24"/>
        </w:rPr>
        <w:t>8.244</w:t>
      </w:r>
      <w:r>
        <w:rPr>
          <w:rFonts w:ascii="Times New Roman" w:hAnsi="Times New Roman" w:eastAsia="Times New Roman" w:cs="Times New Roman"/>
          <w:sz w:val="24"/>
          <w:szCs w:val="24"/>
        </w:rPr>
        <w:t>km</w:t>
      </w:r>
      <w:r>
        <w:rPr>
          <w:rFonts w:ascii="宋体" w:hAnsi="宋体" w:eastAsia="宋体" w:cs="宋体"/>
          <w:spacing w:val="2"/>
          <w:sz w:val="24"/>
          <w:szCs w:val="24"/>
        </w:rPr>
        <w:t>，项目起点连接溧阳至宁德高速公路（</w:t>
      </w:r>
      <w:r>
        <w:rPr>
          <w:rFonts w:ascii="Times New Roman" w:hAnsi="Times New Roman" w:eastAsia="Times New Roman" w:cs="Times New Roman"/>
          <w:spacing w:val="2"/>
          <w:sz w:val="24"/>
          <w:szCs w:val="24"/>
        </w:rPr>
        <w:t>G4012</w:t>
      </w:r>
      <w:r>
        <w:rPr>
          <w:rFonts w:ascii="宋体" w:hAnsi="宋体" w:eastAsia="宋体" w:cs="宋体"/>
          <w:spacing w:val="2"/>
          <w:sz w:val="24"/>
          <w:szCs w:val="24"/>
        </w:rPr>
        <w:t>）浙江景宁至文成</w:t>
      </w:r>
      <w:r>
        <w:rPr>
          <w:rFonts w:ascii="宋体" w:hAnsi="宋体" w:eastAsia="宋体" w:cs="宋体"/>
          <w:spacing w:val="1"/>
          <w:sz w:val="24"/>
          <w:szCs w:val="24"/>
        </w:rPr>
        <w:t>段工程</w:t>
      </w:r>
      <w:r>
        <w:rPr>
          <w:rFonts w:ascii="宋体" w:hAnsi="宋体" w:eastAsia="宋体" w:cs="宋体"/>
          <w:sz w:val="24"/>
          <w:szCs w:val="24"/>
        </w:rPr>
        <w:t xml:space="preserve">  </w:t>
      </w:r>
      <w:r>
        <w:rPr>
          <w:rFonts w:ascii="宋体" w:hAnsi="宋体" w:eastAsia="宋体" w:cs="宋体"/>
          <w:spacing w:val="-9"/>
          <w:sz w:val="24"/>
          <w:szCs w:val="24"/>
        </w:rPr>
        <w:t xml:space="preserve">西坑互通， 终点分别位于西坑畲族镇和百丈漈镇， </w:t>
      </w:r>
      <w:r>
        <w:rPr>
          <w:rFonts w:ascii="宋体" w:hAnsi="宋体" w:eastAsia="宋体" w:cs="宋体"/>
          <w:spacing w:val="-10"/>
          <w:sz w:val="24"/>
          <w:szCs w:val="24"/>
        </w:rPr>
        <w:t>其中连接西坑畲族镇路段长度</w:t>
      </w:r>
      <w:r>
        <w:rPr>
          <w:rFonts w:ascii="宋体" w:hAnsi="宋体" w:eastAsia="宋体" w:cs="宋体"/>
          <w:sz w:val="24"/>
          <w:szCs w:val="24"/>
        </w:rPr>
        <w:t xml:space="preserve">  </w:t>
      </w:r>
      <w:r>
        <w:rPr>
          <w:rFonts w:ascii="宋体" w:hAnsi="宋体" w:eastAsia="宋体" w:cs="宋体"/>
          <w:spacing w:val="-7"/>
          <w:sz w:val="24"/>
          <w:szCs w:val="24"/>
        </w:rPr>
        <w:t>为</w:t>
      </w:r>
      <w:r>
        <w:rPr>
          <w:rFonts w:ascii="宋体" w:hAnsi="宋体" w:eastAsia="宋体" w:cs="宋体"/>
          <w:spacing w:val="-22"/>
          <w:sz w:val="24"/>
          <w:szCs w:val="24"/>
        </w:rPr>
        <w:t xml:space="preserve"> </w:t>
      </w:r>
      <w:r>
        <w:rPr>
          <w:rFonts w:ascii="Times New Roman" w:hAnsi="Times New Roman" w:eastAsia="Times New Roman" w:cs="Times New Roman"/>
          <w:spacing w:val="-7"/>
          <w:sz w:val="24"/>
          <w:szCs w:val="24"/>
        </w:rPr>
        <w:t>1.63km</w:t>
      </w:r>
      <w:r>
        <w:rPr>
          <w:rFonts w:ascii="宋体" w:hAnsi="宋体" w:eastAsia="宋体" w:cs="宋体"/>
          <w:spacing w:val="-7"/>
          <w:sz w:val="24"/>
          <w:szCs w:val="24"/>
        </w:rPr>
        <w:t>，连接百丈漈镇路段长度为</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6.614km</w:t>
      </w:r>
      <w:r>
        <w:rPr>
          <w:rFonts w:ascii="宋体" w:hAnsi="宋体" w:eastAsia="宋体" w:cs="宋体"/>
          <w:spacing w:val="-7"/>
          <w:sz w:val="24"/>
          <w:szCs w:val="24"/>
        </w:rPr>
        <w:t>。连接线采用《公路工程技术标准》</w:t>
      </w:r>
      <w:r>
        <w:rPr>
          <w:rFonts w:ascii="宋体" w:hAnsi="宋体" w:eastAsia="宋体" w:cs="宋体"/>
          <w:sz w:val="24"/>
          <w:szCs w:val="24"/>
        </w:rPr>
        <w:t xml:space="preserve"> </w:t>
      </w:r>
      <w:r>
        <w:rPr>
          <w:rFonts w:ascii="Times New Roman" w:hAnsi="Times New Roman" w:eastAsia="Times New Roman" w:cs="Times New Roman"/>
          <w:spacing w:val="-1"/>
          <w:sz w:val="24"/>
          <w:szCs w:val="24"/>
        </w:rPr>
        <w:t>(JTGB01-2014)</w:t>
      </w:r>
      <w:r>
        <w:rPr>
          <w:rFonts w:ascii="宋体" w:hAnsi="宋体" w:eastAsia="宋体" w:cs="宋体"/>
          <w:spacing w:val="-1"/>
          <w:sz w:val="24"/>
          <w:szCs w:val="24"/>
        </w:rPr>
        <w:t>双车道二级公路公路建设标准，设计速度</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60km/h</w:t>
      </w:r>
      <w:r>
        <w:rPr>
          <w:rFonts w:ascii="宋体" w:hAnsi="宋体" w:eastAsia="宋体" w:cs="宋体"/>
          <w:spacing w:val="-1"/>
          <w:sz w:val="24"/>
          <w:szCs w:val="24"/>
        </w:rPr>
        <w:t>（局部困难路段</w:t>
      </w:r>
      <w:r>
        <w:rPr>
          <w:rFonts w:ascii="宋体" w:hAnsi="宋体" w:eastAsia="宋体" w:cs="宋体"/>
          <w:sz w:val="24"/>
          <w:szCs w:val="24"/>
        </w:rPr>
        <w:t xml:space="preserve">  </w:t>
      </w:r>
      <w:r>
        <w:rPr>
          <w:rFonts w:ascii="宋体" w:hAnsi="宋体" w:eastAsia="宋体" w:cs="宋体"/>
          <w:spacing w:val="-8"/>
          <w:sz w:val="24"/>
          <w:szCs w:val="24"/>
        </w:rPr>
        <w:t>采用</w:t>
      </w:r>
      <w:r>
        <w:rPr>
          <w:rFonts w:ascii="宋体" w:hAnsi="宋体" w:eastAsia="宋体" w:cs="宋体"/>
          <w:spacing w:val="-56"/>
          <w:sz w:val="24"/>
          <w:szCs w:val="24"/>
        </w:rPr>
        <w:t xml:space="preserve"> </w:t>
      </w:r>
      <w:r>
        <w:rPr>
          <w:rFonts w:ascii="Times New Roman" w:hAnsi="Times New Roman" w:eastAsia="Times New Roman" w:cs="Times New Roman"/>
          <w:spacing w:val="-8"/>
          <w:sz w:val="24"/>
          <w:szCs w:val="24"/>
        </w:rPr>
        <w:t>40km/h</w:t>
      </w:r>
      <w:r>
        <w:rPr>
          <w:rFonts w:ascii="宋体" w:hAnsi="宋体" w:eastAsia="宋体" w:cs="宋体"/>
          <w:spacing w:val="-34"/>
          <w:w w:val="54"/>
          <w:sz w:val="24"/>
          <w:szCs w:val="24"/>
        </w:rPr>
        <w:t>），</w:t>
      </w:r>
      <w:r>
        <w:rPr>
          <w:rFonts w:ascii="宋体" w:hAnsi="宋体" w:eastAsia="宋体" w:cs="宋体"/>
          <w:spacing w:val="-8"/>
          <w:sz w:val="24"/>
          <w:szCs w:val="24"/>
        </w:rPr>
        <w:t>双向双车道，路基宽度为</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 xml:space="preserve">10 </w:t>
      </w:r>
      <w:r>
        <w:rPr>
          <w:rFonts w:ascii="宋体" w:hAnsi="宋体" w:eastAsia="宋体" w:cs="宋体"/>
          <w:spacing w:val="-8"/>
          <w:sz w:val="24"/>
          <w:szCs w:val="24"/>
        </w:rPr>
        <w:t>米。由于溧阳至宁德高速公路</w:t>
      </w:r>
      <w:r>
        <w:rPr>
          <w:rFonts w:ascii="宋体" w:hAnsi="宋体" w:eastAsia="宋体" w:cs="宋体"/>
          <w:spacing w:val="-9"/>
          <w:sz w:val="24"/>
          <w:szCs w:val="24"/>
        </w:rPr>
        <w:t>（</w:t>
      </w:r>
      <w:r>
        <w:rPr>
          <w:rFonts w:ascii="Times New Roman" w:hAnsi="Times New Roman" w:eastAsia="Times New Roman" w:cs="Times New Roman"/>
          <w:spacing w:val="-9"/>
          <w:sz w:val="24"/>
          <w:szCs w:val="24"/>
        </w:rPr>
        <w:t>G4012</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1"/>
          <w:sz w:val="24"/>
          <w:szCs w:val="24"/>
        </w:rPr>
        <w:t>浙江景宁至文成段工程环境影响报告书于</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2017</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年批复，批复时间早于工可批复</w:t>
      </w:r>
      <w:r>
        <w:rPr>
          <w:rFonts w:ascii="宋体" w:hAnsi="宋体" w:eastAsia="宋体" w:cs="宋体"/>
          <w:sz w:val="24"/>
          <w:szCs w:val="24"/>
        </w:rPr>
        <w:t xml:space="preserve">  </w:t>
      </w:r>
      <w:r>
        <w:rPr>
          <w:rFonts w:ascii="宋体" w:hAnsi="宋体" w:eastAsia="宋体" w:cs="宋体"/>
          <w:spacing w:val="-9"/>
          <w:sz w:val="24"/>
          <w:szCs w:val="24"/>
        </w:rPr>
        <w:t>时间，</w:t>
      </w:r>
      <w:r>
        <w:rPr>
          <w:rFonts w:ascii="宋体" w:hAnsi="宋体" w:eastAsia="宋体" w:cs="宋体"/>
          <w:spacing w:val="-22"/>
          <w:sz w:val="24"/>
          <w:szCs w:val="24"/>
        </w:rPr>
        <w:t xml:space="preserve"> </w:t>
      </w:r>
      <w:r>
        <w:rPr>
          <w:rFonts w:ascii="宋体" w:hAnsi="宋体" w:eastAsia="宋体" w:cs="宋体"/>
          <w:spacing w:val="-9"/>
          <w:sz w:val="24"/>
          <w:szCs w:val="24"/>
        </w:rPr>
        <w:t>出现了连接线建设规模环评审批与实际建设不相符的情况， 环评批复的西</w:t>
      </w:r>
      <w:r>
        <w:rPr>
          <w:rFonts w:ascii="宋体" w:hAnsi="宋体" w:eastAsia="宋体" w:cs="宋体"/>
          <w:sz w:val="24"/>
          <w:szCs w:val="24"/>
        </w:rPr>
        <w:t xml:space="preserve">  </w:t>
      </w:r>
      <w:r>
        <w:rPr>
          <w:rFonts w:ascii="宋体" w:hAnsi="宋体" w:eastAsia="宋体" w:cs="宋体"/>
          <w:spacing w:val="-1"/>
          <w:sz w:val="24"/>
          <w:szCs w:val="24"/>
        </w:rPr>
        <w:t>坑互通连接线长度仅为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2.7km</w:t>
      </w:r>
      <w:r>
        <w:rPr>
          <w:rFonts w:ascii="宋体" w:hAnsi="宋体" w:eastAsia="宋体" w:cs="宋体"/>
          <w:spacing w:val="-1"/>
          <w:sz w:val="24"/>
          <w:szCs w:val="24"/>
        </w:rPr>
        <w:t>，而连接</w:t>
      </w:r>
      <w:r>
        <w:rPr>
          <w:rFonts w:ascii="宋体" w:hAnsi="宋体" w:eastAsia="宋体" w:cs="宋体"/>
          <w:spacing w:val="-2"/>
          <w:sz w:val="24"/>
          <w:szCs w:val="24"/>
        </w:rPr>
        <w:t>线设计及建设应文成县政府的实际需求进</w:t>
      </w:r>
      <w:r>
        <w:rPr>
          <w:rFonts w:ascii="宋体" w:hAnsi="宋体" w:eastAsia="宋体" w:cs="宋体"/>
          <w:sz w:val="24"/>
          <w:szCs w:val="24"/>
        </w:rPr>
        <w:t xml:space="preserve">  </w:t>
      </w:r>
      <w:r>
        <w:rPr>
          <w:rFonts w:ascii="宋体" w:hAnsi="宋体" w:eastAsia="宋体" w:cs="宋体"/>
          <w:spacing w:val="-2"/>
          <w:sz w:val="24"/>
          <w:szCs w:val="24"/>
        </w:rPr>
        <w:t xml:space="preserve">行了延长，实际建设长度为 </w:t>
      </w:r>
      <w:r>
        <w:rPr>
          <w:rFonts w:ascii="Times New Roman" w:hAnsi="Times New Roman" w:eastAsia="Times New Roman" w:cs="Times New Roman"/>
          <w:spacing w:val="-2"/>
          <w:sz w:val="24"/>
          <w:szCs w:val="24"/>
        </w:rPr>
        <w:t>8.244km</w:t>
      </w:r>
      <w:r>
        <w:rPr>
          <w:rFonts w:ascii="宋体" w:hAnsi="宋体" w:eastAsia="宋体" w:cs="宋体"/>
          <w:spacing w:val="-2"/>
          <w:sz w:val="24"/>
          <w:szCs w:val="24"/>
        </w:rPr>
        <w:t xml:space="preserve">。工程于 </w:t>
      </w:r>
      <w:r>
        <w:rPr>
          <w:rFonts w:ascii="Times New Roman" w:hAnsi="Times New Roman" w:eastAsia="Times New Roman" w:cs="Times New Roman"/>
          <w:spacing w:val="-2"/>
          <w:sz w:val="24"/>
          <w:szCs w:val="24"/>
        </w:rPr>
        <w:t>2019</w:t>
      </w:r>
      <w:r>
        <w:rPr>
          <w:rFonts w:ascii="Times New Roman" w:hAnsi="Times New Roman" w:eastAsia="Times New Roman" w:cs="Times New Roman"/>
          <w:spacing w:val="37"/>
          <w:sz w:val="24"/>
          <w:szCs w:val="24"/>
        </w:rPr>
        <w:t xml:space="preserve"> </w:t>
      </w:r>
      <w:r>
        <w:rPr>
          <w:rFonts w:ascii="宋体" w:hAnsi="宋体" w:eastAsia="宋体" w:cs="宋体"/>
          <w:spacing w:val="-2"/>
          <w:sz w:val="24"/>
          <w:szCs w:val="24"/>
        </w:rPr>
        <w:t>年开始施工，现阶段</w:t>
      </w:r>
      <w:r>
        <w:rPr>
          <w:rFonts w:ascii="宋体" w:hAnsi="宋体" w:eastAsia="宋体" w:cs="宋体"/>
          <w:spacing w:val="-3"/>
          <w:sz w:val="24"/>
          <w:szCs w:val="24"/>
        </w:rPr>
        <w:t>已建成</w:t>
      </w:r>
    </w:p>
    <w:p>
      <w:pPr>
        <w:spacing w:before="1" w:line="218" w:lineRule="auto"/>
        <w:ind w:left="38"/>
        <w:rPr>
          <w:rFonts w:ascii="宋体" w:hAnsi="宋体" w:eastAsia="宋体" w:cs="宋体"/>
          <w:sz w:val="24"/>
          <w:szCs w:val="24"/>
        </w:rPr>
      </w:pPr>
      <w:r>
        <w:rPr>
          <w:rFonts w:ascii="宋体" w:hAnsi="宋体" w:eastAsia="宋体" w:cs="宋体"/>
          <w:spacing w:val="-8"/>
          <w:sz w:val="24"/>
          <w:szCs w:val="24"/>
        </w:rPr>
        <w:t>通车。经与省生态环境主管部门沟通，</w:t>
      </w:r>
      <w:r>
        <w:rPr>
          <w:rFonts w:ascii="宋体" w:hAnsi="宋体" w:eastAsia="宋体" w:cs="宋体"/>
          <w:spacing w:val="52"/>
          <w:sz w:val="24"/>
          <w:szCs w:val="24"/>
        </w:rPr>
        <w:t xml:space="preserve"> </w:t>
      </w:r>
      <w:r>
        <w:rPr>
          <w:rFonts w:ascii="宋体" w:hAnsi="宋体" w:eastAsia="宋体" w:cs="宋体"/>
          <w:spacing w:val="-8"/>
          <w:sz w:val="24"/>
          <w:szCs w:val="24"/>
        </w:rPr>
        <w:t>该连接线工程的实施应依照《中华人民共</w:t>
      </w:r>
    </w:p>
    <w:p>
      <w:pPr>
        <w:spacing w:line="218" w:lineRule="auto"/>
        <w:rPr>
          <w:rFonts w:ascii="宋体" w:hAnsi="宋体" w:eastAsia="宋体" w:cs="宋体"/>
          <w:sz w:val="24"/>
          <w:szCs w:val="24"/>
        </w:rPr>
        <w:sectPr>
          <w:headerReference r:id="rId9" w:type="default"/>
          <w:footerReference r:id="rId10" w:type="default"/>
          <w:pgSz w:w="11907" w:h="16839"/>
          <w:pgMar w:top="1118" w:right="1688" w:bottom="1175" w:left="1771" w:header="879" w:footer="1013" w:gutter="0"/>
          <w:cols w:space="720" w:num="1"/>
        </w:sectPr>
      </w:pPr>
    </w:p>
    <w:p>
      <w:pPr>
        <w:pStyle w:val="2"/>
        <w:spacing w:line="278" w:lineRule="auto"/>
      </w:pPr>
    </w:p>
    <w:p>
      <w:pPr>
        <w:spacing w:before="78" w:line="359" w:lineRule="auto"/>
        <w:ind w:left="39" w:right="84"/>
        <w:jc w:val="both"/>
        <w:rPr>
          <w:rFonts w:ascii="宋体" w:hAnsi="宋体" w:eastAsia="宋体" w:cs="宋体"/>
          <w:sz w:val="24"/>
          <w:szCs w:val="24"/>
        </w:rPr>
      </w:pPr>
      <w:r>
        <w:rPr>
          <w:rFonts w:ascii="宋体" w:hAnsi="宋体" w:eastAsia="宋体" w:cs="宋体"/>
          <w:spacing w:val="-8"/>
          <w:sz w:val="24"/>
          <w:szCs w:val="24"/>
        </w:rPr>
        <w:t>和国环境影响评价法》和《建设项目环境保护管理条例》进行环境影响评价，</w:t>
      </w:r>
      <w:r>
        <w:rPr>
          <w:rFonts w:ascii="宋体" w:hAnsi="宋体" w:eastAsia="宋体" w:cs="宋体"/>
          <w:spacing w:val="52"/>
          <w:sz w:val="24"/>
          <w:szCs w:val="24"/>
        </w:rPr>
        <w:t xml:space="preserve"> </w:t>
      </w:r>
      <w:r>
        <w:rPr>
          <w:rFonts w:ascii="宋体" w:hAnsi="宋体" w:eastAsia="宋体" w:cs="宋体"/>
          <w:spacing w:val="-8"/>
          <w:sz w:val="24"/>
          <w:szCs w:val="24"/>
        </w:rPr>
        <w:t>但</w:t>
      </w:r>
      <w:r>
        <w:rPr>
          <w:rFonts w:ascii="宋体" w:hAnsi="宋体" w:eastAsia="宋体" w:cs="宋体"/>
          <w:sz w:val="24"/>
          <w:szCs w:val="24"/>
        </w:rPr>
        <w:t xml:space="preserve"> </w:t>
      </w:r>
      <w:r>
        <w:rPr>
          <w:rFonts w:ascii="宋体" w:hAnsi="宋体" w:eastAsia="宋体" w:cs="宋体"/>
          <w:spacing w:val="-7"/>
          <w:sz w:val="24"/>
          <w:szCs w:val="24"/>
        </w:rPr>
        <w:t>由于政策、审批权限变化等原因，</w:t>
      </w:r>
      <w:r>
        <w:rPr>
          <w:rFonts w:ascii="宋体" w:hAnsi="宋体" w:eastAsia="宋体" w:cs="宋体"/>
          <w:spacing w:val="33"/>
          <w:sz w:val="24"/>
          <w:szCs w:val="24"/>
        </w:rPr>
        <w:t xml:space="preserve"> </w:t>
      </w:r>
      <w:r>
        <w:rPr>
          <w:rFonts w:ascii="宋体" w:hAnsi="宋体" w:eastAsia="宋体" w:cs="宋体"/>
          <w:spacing w:val="-7"/>
          <w:sz w:val="24"/>
          <w:szCs w:val="24"/>
        </w:rPr>
        <w:t>本工程未及时</w:t>
      </w:r>
      <w:r>
        <w:rPr>
          <w:rFonts w:ascii="宋体" w:hAnsi="宋体" w:eastAsia="宋体" w:cs="宋体"/>
          <w:spacing w:val="-8"/>
          <w:sz w:val="24"/>
          <w:szCs w:val="24"/>
        </w:rPr>
        <w:t>办理环评手续。根据省生态环境</w:t>
      </w:r>
      <w:r>
        <w:rPr>
          <w:rFonts w:ascii="宋体" w:hAnsi="宋体" w:eastAsia="宋体" w:cs="宋体"/>
          <w:sz w:val="24"/>
          <w:szCs w:val="24"/>
        </w:rPr>
        <w:t xml:space="preserve"> </w:t>
      </w:r>
      <w:r>
        <w:rPr>
          <w:rFonts w:ascii="宋体" w:hAnsi="宋体" w:eastAsia="宋体" w:cs="宋体"/>
          <w:spacing w:val="-9"/>
          <w:sz w:val="24"/>
          <w:szCs w:val="24"/>
        </w:rPr>
        <w:t>主管部门的要求， 文成县人民政府对此问题召</w:t>
      </w:r>
      <w:r>
        <w:rPr>
          <w:rFonts w:ascii="宋体" w:hAnsi="宋体" w:eastAsia="宋体" w:cs="宋体"/>
          <w:spacing w:val="-10"/>
          <w:sz w:val="24"/>
          <w:szCs w:val="24"/>
        </w:rPr>
        <w:t>开了专题协调会， 要求本项目尽快</w:t>
      </w:r>
      <w:r>
        <w:rPr>
          <w:rFonts w:ascii="宋体" w:hAnsi="宋体" w:eastAsia="宋体" w:cs="宋体"/>
          <w:sz w:val="24"/>
          <w:szCs w:val="24"/>
        </w:rPr>
        <w:t xml:space="preserve"> </w:t>
      </w:r>
      <w:r>
        <w:rPr>
          <w:rFonts w:ascii="宋体" w:hAnsi="宋体" w:eastAsia="宋体" w:cs="宋体"/>
          <w:spacing w:val="-6"/>
          <w:sz w:val="24"/>
          <w:szCs w:val="24"/>
        </w:rPr>
        <w:t>完成环保审批手续（具体见附件</w:t>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2</w:t>
      </w:r>
      <w:r>
        <w:rPr>
          <w:rFonts w:ascii="宋体" w:hAnsi="宋体" w:eastAsia="宋体" w:cs="宋体"/>
          <w:spacing w:val="-6"/>
          <w:sz w:val="24"/>
          <w:szCs w:val="24"/>
        </w:rPr>
        <w:t>）。为了完善西坑互通线的相关</w:t>
      </w:r>
      <w:r>
        <w:rPr>
          <w:rFonts w:ascii="宋体" w:hAnsi="宋体" w:eastAsia="宋体" w:cs="宋体"/>
          <w:spacing w:val="-7"/>
          <w:sz w:val="24"/>
          <w:szCs w:val="24"/>
        </w:rPr>
        <w:t>环保手续，</w:t>
      </w:r>
      <w:r>
        <w:rPr>
          <w:rFonts w:ascii="宋体" w:hAnsi="宋体" w:eastAsia="宋体" w:cs="宋体"/>
          <w:spacing w:val="54"/>
          <w:sz w:val="24"/>
          <w:szCs w:val="24"/>
        </w:rPr>
        <w:t xml:space="preserve"> </w:t>
      </w:r>
      <w:r>
        <w:rPr>
          <w:rFonts w:ascii="宋体" w:hAnsi="宋体" w:eastAsia="宋体" w:cs="宋体"/>
          <w:spacing w:val="-7"/>
          <w:sz w:val="24"/>
          <w:szCs w:val="24"/>
        </w:rPr>
        <w:t>本</w:t>
      </w:r>
    </w:p>
    <w:p>
      <w:pPr>
        <w:spacing w:line="218" w:lineRule="auto"/>
        <w:ind w:left="44"/>
        <w:rPr>
          <w:rFonts w:ascii="宋体" w:hAnsi="宋体" w:eastAsia="宋体" w:cs="宋体"/>
          <w:sz w:val="24"/>
          <w:szCs w:val="24"/>
        </w:rPr>
      </w:pPr>
      <w:r>
        <w:rPr>
          <w:rFonts w:ascii="宋体" w:hAnsi="宋体" w:eastAsia="宋体" w:cs="宋体"/>
          <w:spacing w:val="-3"/>
          <w:sz w:val="24"/>
          <w:szCs w:val="24"/>
        </w:rPr>
        <w:t>次拟单独对西坑互通连接线进行环境影响评价。</w:t>
      </w:r>
    </w:p>
    <w:p>
      <w:pPr>
        <w:spacing w:before="185" w:line="359" w:lineRule="auto"/>
        <w:ind w:left="38" w:firstLine="479"/>
        <w:jc w:val="both"/>
        <w:rPr>
          <w:rFonts w:ascii="宋体" w:hAnsi="宋体" w:eastAsia="宋体" w:cs="宋体"/>
          <w:sz w:val="24"/>
          <w:szCs w:val="24"/>
        </w:rPr>
      </w:pPr>
      <w:r>
        <w:rPr>
          <w:rFonts w:ascii="宋体" w:hAnsi="宋体" w:eastAsia="宋体" w:cs="宋体"/>
          <w:spacing w:val="-8"/>
          <w:sz w:val="24"/>
          <w:szCs w:val="24"/>
        </w:rPr>
        <w:t>根据《中华人民共和国环境保护法》、《中华人民共和国环境影响评价法》、</w:t>
      </w:r>
      <w:r>
        <w:rPr>
          <w:rFonts w:ascii="宋体" w:hAnsi="宋体" w:eastAsia="宋体" w:cs="宋体"/>
          <w:spacing w:val="12"/>
          <w:sz w:val="24"/>
          <w:szCs w:val="24"/>
        </w:rPr>
        <w:t xml:space="preserve"> </w:t>
      </w:r>
      <w:r>
        <w:rPr>
          <w:rFonts w:ascii="宋体" w:hAnsi="宋体" w:eastAsia="宋体" w:cs="宋体"/>
          <w:spacing w:val="-9"/>
          <w:sz w:val="24"/>
          <w:szCs w:val="24"/>
        </w:rPr>
        <w:t>《建设项目环境保护管理条例》以及《建设项目环境影响评价分类管理名录（</w:t>
      </w:r>
      <w:r>
        <w:rPr>
          <w:rFonts w:ascii="Times New Roman" w:hAnsi="Times New Roman" w:eastAsia="Times New Roman" w:cs="Times New Roman"/>
          <w:spacing w:val="-9"/>
          <w:sz w:val="24"/>
          <w:szCs w:val="24"/>
        </w:rPr>
        <w:t xml:space="preserve">2021  </w:t>
      </w:r>
      <w:r>
        <w:rPr>
          <w:rFonts w:ascii="宋体" w:hAnsi="宋体" w:eastAsia="宋体" w:cs="宋体"/>
          <w:spacing w:val="-12"/>
          <w:sz w:val="24"/>
          <w:szCs w:val="24"/>
        </w:rPr>
        <w:t>年版）》（生态环境部令第</w:t>
      </w:r>
      <w:r>
        <w:rPr>
          <w:rFonts w:ascii="宋体" w:hAnsi="宋体" w:eastAsia="宋体" w:cs="宋体"/>
          <w:spacing w:val="-31"/>
          <w:sz w:val="24"/>
          <w:szCs w:val="24"/>
        </w:rPr>
        <w:t xml:space="preserve"> </w:t>
      </w:r>
      <w:r>
        <w:rPr>
          <w:rFonts w:ascii="Times New Roman" w:hAnsi="Times New Roman" w:eastAsia="Times New Roman" w:cs="Times New Roman"/>
          <w:spacing w:val="-12"/>
          <w:sz w:val="24"/>
          <w:szCs w:val="24"/>
        </w:rPr>
        <w:t>16</w:t>
      </w:r>
      <w:r>
        <w:rPr>
          <w:rFonts w:ascii="Times New Roman" w:hAnsi="Times New Roman" w:eastAsia="Times New Roman" w:cs="Times New Roman"/>
          <w:spacing w:val="15"/>
          <w:sz w:val="24"/>
          <w:szCs w:val="24"/>
        </w:rPr>
        <w:t xml:space="preserve"> </w:t>
      </w:r>
      <w:r>
        <w:rPr>
          <w:rFonts w:ascii="宋体" w:hAnsi="宋体" w:eastAsia="宋体" w:cs="宋体"/>
          <w:spacing w:val="-12"/>
          <w:sz w:val="24"/>
          <w:szCs w:val="24"/>
        </w:rPr>
        <w:t>号</w:t>
      </w:r>
      <w:r>
        <w:rPr>
          <w:rFonts w:ascii="宋体" w:hAnsi="宋体" w:eastAsia="宋体" w:cs="宋体"/>
          <w:spacing w:val="-17"/>
          <w:sz w:val="24"/>
          <w:szCs w:val="24"/>
        </w:rPr>
        <w:t>），</w:t>
      </w:r>
      <w:r>
        <w:rPr>
          <w:rFonts w:ascii="Times New Roman" w:hAnsi="Times New Roman" w:eastAsia="Times New Roman" w:cs="Times New Roman"/>
          <w:spacing w:val="-12"/>
          <w:sz w:val="24"/>
          <w:szCs w:val="24"/>
        </w:rPr>
        <w:t>“</w:t>
      </w:r>
      <w:r>
        <w:rPr>
          <w:rFonts w:ascii="宋体" w:hAnsi="宋体" w:eastAsia="宋体" w:cs="宋体"/>
          <w:spacing w:val="-12"/>
          <w:sz w:val="24"/>
          <w:szCs w:val="24"/>
        </w:rPr>
        <w:t>五十二、交通运输业、管道运输业</w:t>
      </w:r>
      <w:r>
        <w:rPr>
          <w:rFonts w:ascii="Times New Roman" w:hAnsi="Times New Roman" w:eastAsia="Times New Roman" w:cs="Times New Roman"/>
          <w:spacing w:val="-12"/>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12"/>
          <w:sz w:val="24"/>
          <w:szCs w:val="24"/>
        </w:rPr>
        <w:t>中的</w:t>
      </w:r>
      <w:r>
        <w:rPr>
          <w:rFonts w:ascii="Times New Roman" w:hAnsi="Times New Roman" w:eastAsia="Times New Roman" w:cs="Times New Roman"/>
          <w:spacing w:val="-12"/>
          <w:sz w:val="24"/>
          <w:szCs w:val="24"/>
        </w:rPr>
        <w:t xml:space="preserve">“130  </w:t>
      </w:r>
      <w:r>
        <w:rPr>
          <w:rFonts w:ascii="宋体" w:hAnsi="宋体" w:eastAsia="宋体" w:cs="宋体"/>
          <w:spacing w:val="-13"/>
          <w:sz w:val="24"/>
          <w:szCs w:val="24"/>
        </w:rPr>
        <w:t>等级公路（不含维护；</w:t>
      </w:r>
      <w:r>
        <w:rPr>
          <w:rFonts w:ascii="宋体" w:hAnsi="宋体" w:eastAsia="宋体" w:cs="宋体"/>
          <w:spacing w:val="63"/>
          <w:sz w:val="24"/>
          <w:szCs w:val="24"/>
        </w:rPr>
        <w:t xml:space="preserve"> </w:t>
      </w:r>
      <w:r>
        <w:rPr>
          <w:rFonts w:ascii="宋体" w:hAnsi="宋体" w:eastAsia="宋体" w:cs="宋体"/>
          <w:spacing w:val="-13"/>
          <w:sz w:val="24"/>
          <w:szCs w:val="24"/>
        </w:rPr>
        <w:t>不含生命救援、应急保通工程以及国防交通保障项目；</w:t>
      </w:r>
      <w:r>
        <w:rPr>
          <w:rFonts w:ascii="宋体" w:hAnsi="宋体" w:eastAsia="宋体" w:cs="宋体"/>
          <w:spacing w:val="45"/>
          <w:sz w:val="24"/>
          <w:szCs w:val="24"/>
        </w:rPr>
        <w:t xml:space="preserve"> </w:t>
      </w:r>
      <w:r>
        <w:rPr>
          <w:rFonts w:ascii="宋体" w:hAnsi="宋体" w:eastAsia="宋体" w:cs="宋体"/>
          <w:spacing w:val="-13"/>
          <w:sz w:val="24"/>
          <w:szCs w:val="24"/>
        </w:rPr>
        <w:t xml:space="preserve">不 </w:t>
      </w:r>
      <w:r>
        <w:rPr>
          <w:rFonts w:ascii="宋体" w:hAnsi="宋体" w:eastAsia="宋体" w:cs="宋体"/>
          <w:sz w:val="24"/>
          <w:szCs w:val="24"/>
        </w:rPr>
        <w:t>含改扩建四级公路）</w:t>
      </w:r>
      <w:r>
        <w:rPr>
          <w:rFonts w:ascii="Times New Roman" w:hAnsi="Times New Roman" w:eastAsia="Times New Roman" w:cs="Times New Roman"/>
          <w:sz w:val="24"/>
          <w:szCs w:val="24"/>
        </w:rPr>
        <w:t>”</w:t>
      </w:r>
      <w:r>
        <w:rPr>
          <w:rFonts w:ascii="宋体" w:hAnsi="宋体" w:eastAsia="宋体" w:cs="宋体"/>
          <w:sz w:val="24"/>
          <w:szCs w:val="24"/>
        </w:rPr>
        <w:t>之</w:t>
      </w:r>
      <w:r>
        <w:rPr>
          <w:rFonts w:ascii="Times New Roman" w:hAnsi="Times New Roman" w:eastAsia="Times New Roman" w:cs="Times New Roman"/>
          <w:sz w:val="24"/>
          <w:szCs w:val="24"/>
        </w:rPr>
        <w:t>“</w:t>
      </w:r>
      <w:r>
        <w:rPr>
          <w:rFonts w:ascii="宋体" w:hAnsi="宋体" w:eastAsia="宋体" w:cs="宋体"/>
          <w:sz w:val="24"/>
          <w:szCs w:val="24"/>
        </w:rPr>
        <w:t>新建涉及环境敏感区的二级以上等级公路</w:t>
      </w:r>
      <w:r>
        <w:rPr>
          <w:rFonts w:ascii="Times New Roman" w:hAnsi="Times New Roman" w:eastAsia="Times New Roman" w:cs="Times New Roman"/>
          <w:sz w:val="24"/>
          <w:szCs w:val="24"/>
        </w:rPr>
        <w:t>”</w:t>
      </w:r>
      <w:r>
        <w:rPr>
          <w:rFonts w:ascii="Times New Roman" w:hAnsi="Times New Roman" w:eastAsia="Times New Roman" w:cs="Times New Roman"/>
          <w:spacing w:val="-19"/>
          <w:sz w:val="24"/>
          <w:szCs w:val="24"/>
        </w:rPr>
        <w:t xml:space="preserve"> </w:t>
      </w:r>
      <w:r>
        <w:rPr>
          <w:rFonts w:ascii="宋体" w:hAnsi="宋体" w:eastAsia="宋体" w:cs="宋体"/>
          <w:sz w:val="24"/>
          <w:szCs w:val="24"/>
        </w:rPr>
        <w:t xml:space="preserve">，需编制环 </w:t>
      </w:r>
      <w:r>
        <w:rPr>
          <w:rFonts w:ascii="宋体" w:hAnsi="宋体" w:eastAsia="宋体" w:cs="宋体"/>
          <w:spacing w:val="-10"/>
          <w:sz w:val="24"/>
          <w:szCs w:val="24"/>
        </w:rPr>
        <w:t>境影响报告书；</w:t>
      </w:r>
      <w:r>
        <w:rPr>
          <w:rFonts w:ascii="宋体" w:hAnsi="宋体" w:eastAsia="宋体" w:cs="宋体"/>
          <w:spacing w:val="-36"/>
          <w:sz w:val="24"/>
          <w:szCs w:val="24"/>
        </w:rPr>
        <w:t xml:space="preserve"> </w:t>
      </w:r>
      <w:r>
        <w:rPr>
          <w:rFonts w:ascii="宋体" w:hAnsi="宋体" w:eastAsia="宋体" w:cs="宋体"/>
          <w:spacing w:val="-10"/>
          <w:sz w:val="24"/>
          <w:szCs w:val="24"/>
        </w:rPr>
        <w:t>本项目为二级公路项目，且工程沿线分布有村庄等环境保护目标，</w:t>
      </w:r>
    </w:p>
    <w:p>
      <w:pPr>
        <w:spacing w:line="218" w:lineRule="auto"/>
        <w:ind w:left="56"/>
        <w:rPr>
          <w:rFonts w:ascii="宋体" w:hAnsi="宋体" w:eastAsia="宋体" w:cs="宋体"/>
          <w:sz w:val="24"/>
          <w:szCs w:val="24"/>
        </w:rPr>
      </w:pPr>
      <w:r>
        <w:rPr>
          <w:rFonts w:ascii="宋体" w:hAnsi="宋体" w:eastAsia="宋体" w:cs="宋体"/>
          <w:spacing w:val="-4"/>
          <w:sz w:val="24"/>
          <w:szCs w:val="24"/>
        </w:rPr>
        <w:t>因此，本工程需编制环境影响报告书。</w:t>
      </w:r>
    </w:p>
    <w:p>
      <w:pPr>
        <w:spacing w:before="184" w:line="359" w:lineRule="auto"/>
        <w:ind w:left="37" w:right="44" w:firstLine="480"/>
        <w:jc w:val="both"/>
        <w:rPr>
          <w:rFonts w:ascii="宋体" w:hAnsi="宋体" w:eastAsia="宋体" w:cs="宋体"/>
          <w:sz w:val="24"/>
          <w:szCs w:val="24"/>
        </w:rPr>
      </w:pPr>
      <w:r>
        <w:rPr>
          <w:rFonts w:ascii="宋体" w:hAnsi="宋体" w:eastAsia="宋体" w:cs="宋体"/>
          <w:spacing w:val="-11"/>
          <w:sz w:val="24"/>
          <w:szCs w:val="24"/>
        </w:rPr>
        <w:t>根据我国有关环保法律、法规要求，</w:t>
      </w:r>
      <w:r>
        <w:rPr>
          <w:rFonts w:ascii="宋体" w:hAnsi="宋体" w:eastAsia="宋体" w:cs="宋体"/>
          <w:spacing w:val="45"/>
          <w:sz w:val="24"/>
          <w:szCs w:val="24"/>
        </w:rPr>
        <w:t xml:space="preserve"> </w:t>
      </w:r>
      <w:r>
        <w:rPr>
          <w:rFonts w:ascii="宋体" w:hAnsi="宋体" w:eastAsia="宋体" w:cs="宋体"/>
          <w:spacing w:val="-11"/>
          <w:sz w:val="24"/>
          <w:szCs w:val="24"/>
        </w:rPr>
        <w:t>受浙江景文高速公路公司委托，</w:t>
      </w:r>
      <w:r>
        <w:rPr>
          <w:rFonts w:ascii="宋体" w:hAnsi="宋体" w:eastAsia="宋体" w:cs="宋体"/>
          <w:spacing w:val="-25"/>
          <w:sz w:val="24"/>
          <w:szCs w:val="24"/>
        </w:rPr>
        <w:t xml:space="preserve"> </w:t>
      </w:r>
      <w:r>
        <w:rPr>
          <w:rFonts w:ascii="宋体" w:hAnsi="宋体" w:eastAsia="宋体" w:cs="宋体"/>
          <w:spacing w:val="-11"/>
          <w:sz w:val="24"/>
          <w:szCs w:val="24"/>
        </w:rPr>
        <w:t>浙江省</w:t>
      </w:r>
      <w:r>
        <w:rPr>
          <w:rFonts w:ascii="宋体" w:hAnsi="宋体" w:eastAsia="宋体" w:cs="宋体"/>
          <w:sz w:val="24"/>
          <w:szCs w:val="24"/>
        </w:rPr>
        <w:t xml:space="preserve"> </w:t>
      </w:r>
      <w:r>
        <w:rPr>
          <w:rFonts w:ascii="宋体" w:hAnsi="宋体" w:eastAsia="宋体" w:cs="宋体"/>
          <w:spacing w:val="-2"/>
          <w:sz w:val="24"/>
          <w:szCs w:val="24"/>
        </w:rPr>
        <w:t>环境科技有限公司承担该项目的环境影响评价工作。课题组从</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2023</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年</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2"/>
          <w:w w:val="101"/>
          <w:sz w:val="24"/>
          <w:szCs w:val="24"/>
        </w:rPr>
        <w:t xml:space="preserve"> </w:t>
      </w:r>
      <w:r>
        <w:rPr>
          <w:rFonts w:ascii="宋体" w:hAnsi="宋体" w:eastAsia="宋体" w:cs="宋体"/>
          <w:spacing w:val="-2"/>
          <w:sz w:val="24"/>
          <w:szCs w:val="24"/>
        </w:rPr>
        <w:t>月开始</w:t>
      </w:r>
      <w:r>
        <w:rPr>
          <w:rFonts w:ascii="宋体" w:hAnsi="宋体" w:eastAsia="宋体" w:cs="宋体"/>
          <w:sz w:val="24"/>
          <w:szCs w:val="24"/>
        </w:rPr>
        <w:t xml:space="preserve"> </w:t>
      </w:r>
      <w:r>
        <w:rPr>
          <w:rFonts w:ascii="宋体" w:hAnsi="宋体" w:eastAsia="宋体" w:cs="宋体"/>
          <w:spacing w:val="-9"/>
          <w:sz w:val="24"/>
          <w:szCs w:val="24"/>
        </w:rPr>
        <w:t>组织人员对现场进行踏勘， 并在沿线收集了大量基础</w:t>
      </w:r>
      <w:r>
        <w:rPr>
          <w:rFonts w:ascii="宋体" w:hAnsi="宋体" w:eastAsia="宋体" w:cs="宋体"/>
          <w:spacing w:val="-10"/>
          <w:sz w:val="24"/>
          <w:szCs w:val="24"/>
        </w:rPr>
        <w:t>资料， 再委托监测和调查单</w:t>
      </w:r>
      <w:r>
        <w:rPr>
          <w:rFonts w:ascii="宋体" w:hAnsi="宋体" w:eastAsia="宋体" w:cs="宋体"/>
          <w:sz w:val="24"/>
          <w:szCs w:val="24"/>
        </w:rPr>
        <w:t xml:space="preserve"> </w:t>
      </w:r>
      <w:r>
        <w:rPr>
          <w:rFonts w:ascii="宋体" w:hAnsi="宋体" w:eastAsia="宋体" w:cs="宋体"/>
          <w:spacing w:val="-8"/>
          <w:sz w:val="24"/>
          <w:szCs w:val="24"/>
        </w:rPr>
        <w:t>位对环境现状进行了监测和生态调查， 最终，</w:t>
      </w:r>
      <w:r>
        <w:rPr>
          <w:rFonts w:ascii="宋体" w:hAnsi="宋体" w:eastAsia="宋体" w:cs="宋体"/>
          <w:spacing w:val="-46"/>
          <w:sz w:val="24"/>
          <w:szCs w:val="24"/>
        </w:rPr>
        <w:t xml:space="preserve"> </w:t>
      </w:r>
      <w:r>
        <w:rPr>
          <w:rFonts w:ascii="宋体" w:hAnsi="宋体" w:eastAsia="宋体" w:cs="宋体"/>
          <w:spacing w:val="-8"/>
          <w:sz w:val="24"/>
          <w:szCs w:val="24"/>
        </w:rPr>
        <w:t>课题组在参照工</w:t>
      </w:r>
      <w:r>
        <w:rPr>
          <w:rFonts w:ascii="宋体" w:hAnsi="宋体" w:eastAsia="宋体" w:cs="宋体"/>
          <w:spacing w:val="-9"/>
          <w:sz w:val="24"/>
          <w:szCs w:val="24"/>
        </w:rPr>
        <w:t>程设计方案和实际</w:t>
      </w:r>
      <w:r>
        <w:rPr>
          <w:rFonts w:ascii="宋体" w:hAnsi="宋体" w:eastAsia="宋体" w:cs="宋体"/>
          <w:sz w:val="24"/>
          <w:szCs w:val="24"/>
        </w:rPr>
        <w:t xml:space="preserve"> </w:t>
      </w:r>
      <w:r>
        <w:rPr>
          <w:rFonts w:ascii="宋体" w:hAnsi="宋体" w:eastAsia="宋体" w:cs="宋体"/>
          <w:spacing w:val="-1"/>
          <w:sz w:val="24"/>
          <w:szCs w:val="24"/>
        </w:rPr>
        <w:t>施工过程的基础上编制完成了《溧阳至宁德高速公路（</w:t>
      </w:r>
      <w:r>
        <w:rPr>
          <w:rFonts w:ascii="Times New Roman" w:hAnsi="Times New Roman" w:eastAsia="Times New Roman" w:cs="Times New Roman"/>
          <w:spacing w:val="-1"/>
          <w:sz w:val="24"/>
          <w:szCs w:val="24"/>
        </w:rPr>
        <w:t>G4012</w:t>
      </w:r>
      <w:r>
        <w:rPr>
          <w:rFonts w:ascii="宋体" w:hAnsi="宋体" w:eastAsia="宋体" w:cs="宋体"/>
          <w:spacing w:val="-1"/>
          <w:sz w:val="24"/>
          <w:szCs w:val="24"/>
        </w:rPr>
        <w:t>）浙江景宁至文成</w:t>
      </w:r>
      <w:r>
        <w:rPr>
          <w:rFonts w:ascii="宋体" w:hAnsi="宋体" w:eastAsia="宋体" w:cs="宋体"/>
          <w:spacing w:val="1"/>
          <w:sz w:val="24"/>
          <w:szCs w:val="24"/>
        </w:rPr>
        <w:t xml:space="preserve"> </w:t>
      </w:r>
      <w:r>
        <w:rPr>
          <w:rFonts w:ascii="宋体" w:hAnsi="宋体" w:eastAsia="宋体" w:cs="宋体"/>
          <w:spacing w:val="-8"/>
          <w:sz w:val="24"/>
          <w:szCs w:val="24"/>
        </w:rPr>
        <w:t>段工程西坑互通连接线环境影响报告书</w:t>
      </w:r>
      <w:r>
        <w:rPr>
          <w:rFonts w:hint="eastAsia" w:ascii="宋体" w:hAnsi="宋体" w:eastAsia="宋体" w:cs="宋体"/>
          <w:spacing w:val="-8"/>
          <w:sz w:val="24"/>
          <w:szCs w:val="24"/>
          <w:lang w:eastAsia="zh-CN"/>
        </w:rPr>
        <w:t>（送审稿）》</w:t>
      </w:r>
      <w:r>
        <w:rPr>
          <w:rFonts w:ascii="宋体" w:hAnsi="宋体" w:eastAsia="宋体" w:cs="宋体"/>
          <w:spacing w:val="-8"/>
          <w:sz w:val="24"/>
          <w:szCs w:val="24"/>
        </w:rPr>
        <w:t>。</w:t>
      </w:r>
      <w:r>
        <w:rPr>
          <w:rFonts w:ascii="宋体" w:hAnsi="宋体" w:eastAsia="宋体" w:cs="宋体"/>
          <w:spacing w:val="42"/>
          <w:sz w:val="24"/>
          <w:szCs w:val="24"/>
        </w:rPr>
        <w:t xml:space="preserve"> </w:t>
      </w:r>
      <w:r>
        <w:rPr>
          <w:rFonts w:ascii="Times New Roman" w:hAnsi="Times New Roman" w:eastAsia="Times New Roman" w:cs="Times New Roman"/>
          <w:spacing w:val="-8"/>
          <w:sz w:val="24"/>
          <w:szCs w:val="24"/>
        </w:rPr>
        <w:t>2023</w:t>
      </w:r>
      <w:r>
        <w:rPr>
          <w:rFonts w:ascii="Times New Roman" w:hAnsi="Times New Roman" w:eastAsia="Times New Roman" w:cs="Times New Roman"/>
          <w:spacing w:val="30"/>
          <w:sz w:val="24"/>
          <w:szCs w:val="24"/>
        </w:rPr>
        <w:t xml:space="preserve"> </w:t>
      </w:r>
      <w:r>
        <w:rPr>
          <w:rFonts w:ascii="宋体" w:hAnsi="宋体" w:eastAsia="宋体" w:cs="宋体"/>
          <w:spacing w:val="-8"/>
          <w:sz w:val="24"/>
          <w:szCs w:val="24"/>
        </w:rPr>
        <w:t xml:space="preserve">年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34"/>
          <w:sz w:val="24"/>
          <w:szCs w:val="24"/>
        </w:rPr>
        <w:t xml:space="preserve"> </w:t>
      </w:r>
      <w:r>
        <w:rPr>
          <w:rFonts w:ascii="宋体" w:hAnsi="宋体" w:eastAsia="宋体" w:cs="宋体"/>
          <w:spacing w:val="-8"/>
          <w:sz w:val="24"/>
          <w:szCs w:val="24"/>
        </w:rPr>
        <w:t xml:space="preserve">月 </w:t>
      </w:r>
      <w:r>
        <w:rPr>
          <w:rFonts w:ascii="Times New Roman" w:hAnsi="Times New Roman" w:eastAsia="Times New Roman" w:cs="Times New Roman"/>
          <w:spacing w:val="-8"/>
          <w:sz w:val="24"/>
          <w:szCs w:val="24"/>
        </w:rPr>
        <w:t xml:space="preserve">15  </w:t>
      </w:r>
      <w:r>
        <w:rPr>
          <w:rFonts w:ascii="宋体" w:hAnsi="宋体" w:eastAsia="宋体" w:cs="宋体"/>
          <w:spacing w:val="-8"/>
          <w:sz w:val="24"/>
          <w:szCs w:val="24"/>
        </w:rPr>
        <w:t>日在文</w:t>
      </w:r>
      <w:r>
        <w:rPr>
          <w:rFonts w:ascii="宋体" w:hAnsi="宋体" w:eastAsia="宋体" w:cs="宋体"/>
          <w:sz w:val="24"/>
          <w:szCs w:val="24"/>
        </w:rPr>
        <w:t xml:space="preserve"> </w:t>
      </w:r>
      <w:r>
        <w:rPr>
          <w:rFonts w:ascii="宋体" w:hAnsi="宋体" w:eastAsia="宋体" w:cs="宋体"/>
          <w:spacing w:val="-1"/>
          <w:sz w:val="24"/>
          <w:szCs w:val="24"/>
        </w:rPr>
        <w:t>成县召开了《溧阳至宁德高速公路（</w:t>
      </w:r>
      <w:r>
        <w:rPr>
          <w:rFonts w:ascii="Times New Roman" w:hAnsi="Times New Roman" w:eastAsia="Times New Roman" w:cs="Times New Roman"/>
          <w:spacing w:val="-1"/>
          <w:sz w:val="24"/>
          <w:szCs w:val="24"/>
        </w:rPr>
        <w:t>G4012</w:t>
      </w:r>
      <w:r>
        <w:rPr>
          <w:rFonts w:ascii="宋体" w:hAnsi="宋体" w:eastAsia="宋体" w:cs="宋体"/>
          <w:spacing w:val="-1"/>
          <w:sz w:val="24"/>
          <w:szCs w:val="24"/>
        </w:rPr>
        <w:t>）浙江景宁至文成段工程西坑互通连</w:t>
      </w:r>
      <w:r>
        <w:rPr>
          <w:rFonts w:ascii="宋体" w:hAnsi="宋体" w:eastAsia="宋体" w:cs="宋体"/>
          <w:spacing w:val="1"/>
          <w:sz w:val="24"/>
          <w:szCs w:val="24"/>
        </w:rPr>
        <w:t xml:space="preserve"> </w:t>
      </w:r>
      <w:r>
        <w:rPr>
          <w:rFonts w:ascii="宋体" w:hAnsi="宋体" w:eastAsia="宋体" w:cs="宋体"/>
          <w:spacing w:val="-2"/>
          <w:sz w:val="24"/>
          <w:szCs w:val="24"/>
        </w:rPr>
        <w:t>接线环境影响报告书》技术评估会，形成专家组意见。会后，根据专家组意见，</w:t>
      </w:r>
      <w:r>
        <w:rPr>
          <w:rFonts w:ascii="宋体" w:hAnsi="宋体" w:eastAsia="宋体" w:cs="宋体"/>
          <w:spacing w:val="7"/>
          <w:sz w:val="24"/>
          <w:szCs w:val="24"/>
        </w:rPr>
        <w:t xml:space="preserve"> </w:t>
      </w:r>
      <w:r>
        <w:rPr>
          <w:rFonts w:ascii="宋体" w:hAnsi="宋体" w:eastAsia="宋体" w:cs="宋体"/>
          <w:spacing w:val="-1"/>
          <w:sz w:val="24"/>
          <w:szCs w:val="24"/>
        </w:rPr>
        <w:t>课题组修改完成了《溧阳至宁德高速公路（</w:t>
      </w:r>
      <w:r>
        <w:rPr>
          <w:rFonts w:ascii="Times New Roman" w:hAnsi="Times New Roman" w:eastAsia="Times New Roman" w:cs="Times New Roman"/>
          <w:spacing w:val="-1"/>
          <w:sz w:val="24"/>
          <w:szCs w:val="24"/>
        </w:rPr>
        <w:t>G4012</w:t>
      </w:r>
      <w:r>
        <w:rPr>
          <w:rFonts w:ascii="宋体" w:hAnsi="宋体" w:eastAsia="宋体" w:cs="宋体"/>
          <w:spacing w:val="-1"/>
          <w:sz w:val="24"/>
          <w:szCs w:val="24"/>
        </w:rPr>
        <w:t>）浙江景宁至文成段工程西坑</w:t>
      </w:r>
    </w:p>
    <w:p>
      <w:pPr>
        <w:spacing w:line="218" w:lineRule="auto"/>
        <w:ind w:left="41"/>
        <w:rPr>
          <w:rFonts w:ascii="宋体" w:hAnsi="宋体" w:eastAsia="宋体" w:cs="宋体"/>
          <w:sz w:val="24"/>
          <w:szCs w:val="24"/>
        </w:rPr>
      </w:pPr>
      <w:r>
        <w:rPr>
          <w:rFonts w:ascii="宋体" w:hAnsi="宋体" w:eastAsia="宋体" w:cs="宋体"/>
          <w:spacing w:val="-9"/>
          <w:sz w:val="24"/>
          <w:szCs w:val="24"/>
        </w:rPr>
        <w:t>互通连接线环境影响报告书》 （报批稿）。</w:t>
      </w:r>
    </w:p>
    <w:p>
      <w:pPr>
        <w:spacing w:before="185" w:line="218" w:lineRule="auto"/>
        <w:ind w:left="44"/>
        <w:outlineLvl w:val="0"/>
        <w:rPr>
          <w:rFonts w:ascii="宋体" w:hAnsi="宋体" w:eastAsia="宋体" w:cs="宋体"/>
          <w:sz w:val="24"/>
          <w:szCs w:val="24"/>
        </w:rPr>
      </w:pPr>
      <w:bookmarkStart w:id="2" w:name="bookmark3"/>
      <w:bookmarkEnd w:id="2"/>
      <w:r>
        <w:rPr>
          <w:rFonts w:ascii="Times New Roman" w:hAnsi="Times New Roman" w:eastAsia="Times New Roman" w:cs="Times New Roman"/>
          <w:b/>
          <w:bCs/>
          <w:spacing w:val="-1"/>
          <w:sz w:val="24"/>
          <w:szCs w:val="24"/>
        </w:rPr>
        <w:t xml:space="preserve">1.2 </w:t>
      </w:r>
      <w:r>
        <w:rPr>
          <w:rFonts w:ascii="宋体" w:hAnsi="宋体" w:eastAsia="宋体" w:cs="宋体"/>
          <w:spacing w:val="-1"/>
          <w:sz w:val="24"/>
          <w:szCs w:val="24"/>
          <w14:textOutline w14:w="4354" w14:cap="flat" w14:cmpd="sng">
            <w14:solidFill>
              <w14:srgbClr w14:val="000000"/>
            </w14:solidFill>
            <w14:prstDash w14:val="solid"/>
            <w14:miter w14:val="0"/>
          </w14:textOutline>
        </w:rPr>
        <w:t>环境影响评价工作过程</w:t>
      </w:r>
    </w:p>
    <w:p>
      <w:pPr>
        <w:spacing w:before="183" w:line="359" w:lineRule="auto"/>
        <w:ind w:left="48" w:right="84" w:firstLine="470"/>
        <w:jc w:val="both"/>
        <w:rPr>
          <w:rFonts w:ascii="宋体" w:hAnsi="宋体" w:eastAsia="宋体" w:cs="宋体"/>
          <w:sz w:val="24"/>
          <w:szCs w:val="24"/>
        </w:rPr>
      </w:pPr>
      <w:r>
        <w:rPr>
          <w:rFonts w:ascii="宋体" w:hAnsi="宋体" w:eastAsia="宋体" w:cs="宋体"/>
          <w:spacing w:val="-8"/>
          <w:sz w:val="24"/>
          <w:szCs w:val="24"/>
        </w:rPr>
        <w:t>本次环境影响报告书编制工作分为三个阶段，</w:t>
      </w:r>
      <w:r>
        <w:rPr>
          <w:rFonts w:ascii="宋体" w:hAnsi="宋体" w:eastAsia="宋体" w:cs="宋体"/>
          <w:spacing w:val="36"/>
          <w:sz w:val="24"/>
          <w:szCs w:val="24"/>
        </w:rPr>
        <w:t xml:space="preserve"> </w:t>
      </w:r>
      <w:r>
        <w:rPr>
          <w:rFonts w:ascii="宋体" w:hAnsi="宋体" w:eastAsia="宋体" w:cs="宋体"/>
          <w:spacing w:val="-8"/>
          <w:sz w:val="24"/>
          <w:szCs w:val="24"/>
        </w:rPr>
        <w:t>即前期准备、调研和工作方案</w:t>
      </w:r>
      <w:r>
        <w:rPr>
          <w:rFonts w:ascii="宋体" w:hAnsi="宋体" w:eastAsia="宋体" w:cs="宋体"/>
          <w:sz w:val="24"/>
          <w:szCs w:val="24"/>
        </w:rPr>
        <w:t xml:space="preserve"> </w:t>
      </w:r>
      <w:r>
        <w:rPr>
          <w:rFonts w:ascii="宋体" w:hAnsi="宋体" w:eastAsia="宋体" w:cs="宋体"/>
          <w:spacing w:val="-10"/>
          <w:sz w:val="24"/>
          <w:szCs w:val="24"/>
        </w:rPr>
        <w:t>阶段，</w:t>
      </w:r>
      <w:r>
        <w:rPr>
          <w:rFonts w:ascii="宋体" w:hAnsi="宋体" w:eastAsia="宋体" w:cs="宋体"/>
          <w:spacing w:val="-29"/>
          <w:sz w:val="24"/>
          <w:szCs w:val="24"/>
        </w:rPr>
        <w:t xml:space="preserve"> </w:t>
      </w:r>
      <w:r>
        <w:rPr>
          <w:rFonts w:ascii="宋体" w:hAnsi="宋体" w:eastAsia="宋体" w:cs="宋体"/>
          <w:spacing w:val="-10"/>
          <w:sz w:val="24"/>
          <w:szCs w:val="24"/>
        </w:rPr>
        <w:t>分析论证和预测评价阶段，</w:t>
      </w:r>
      <w:r>
        <w:rPr>
          <w:rFonts w:ascii="宋体" w:hAnsi="宋体" w:eastAsia="宋体" w:cs="宋体"/>
          <w:spacing w:val="31"/>
          <w:sz w:val="24"/>
          <w:szCs w:val="24"/>
        </w:rPr>
        <w:t xml:space="preserve"> </w:t>
      </w:r>
      <w:r>
        <w:rPr>
          <w:rFonts w:ascii="宋体" w:hAnsi="宋体" w:eastAsia="宋体" w:cs="宋体"/>
          <w:spacing w:val="-10"/>
          <w:sz w:val="24"/>
          <w:szCs w:val="24"/>
        </w:rPr>
        <w:t>环境影响评价文件编制阶段。</w:t>
      </w:r>
      <w:r>
        <w:rPr>
          <w:rFonts w:ascii="宋体" w:hAnsi="宋体" w:eastAsia="宋体" w:cs="宋体"/>
          <w:spacing w:val="-11"/>
          <w:sz w:val="24"/>
          <w:szCs w:val="24"/>
        </w:rPr>
        <w:t>具体工作流程见</w:t>
      </w:r>
    </w:p>
    <w:p>
      <w:pPr>
        <w:spacing w:before="1" w:line="220" w:lineRule="auto"/>
        <w:ind w:left="61"/>
        <w:rPr>
          <w:rFonts w:ascii="宋体" w:hAnsi="宋体" w:eastAsia="宋体" w:cs="宋体"/>
          <w:sz w:val="24"/>
          <w:szCs w:val="24"/>
        </w:rPr>
      </w:pPr>
      <w:r>
        <w:rPr>
          <w:rFonts w:ascii="宋体" w:hAnsi="宋体" w:eastAsia="宋体" w:cs="宋体"/>
          <w:spacing w:val="-13"/>
          <w:sz w:val="24"/>
          <w:szCs w:val="24"/>
        </w:rPr>
        <w:t>图</w:t>
      </w:r>
      <w:r>
        <w:rPr>
          <w:rFonts w:ascii="宋体" w:hAnsi="宋体" w:eastAsia="宋体" w:cs="宋体"/>
          <w:spacing w:val="28"/>
          <w:sz w:val="24"/>
          <w:szCs w:val="24"/>
        </w:rPr>
        <w:t xml:space="preserve"> </w:t>
      </w:r>
      <w:r>
        <w:rPr>
          <w:rFonts w:ascii="Times New Roman" w:hAnsi="Times New Roman" w:eastAsia="Times New Roman" w:cs="Times New Roman"/>
          <w:spacing w:val="-13"/>
          <w:sz w:val="24"/>
          <w:szCs w:val="24"/>
        </w:rPr>
        <w:t>1.2-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3"/>
          <w:sz w:val="24"/>
          <w:szCs w:val="24"/>
        </w:rPr>
        <w:t>1</w:t>
      </w:r>
      <w:r>
        <w:rPr>
          <w:rFonts w:ascii="宋体" w:hAnsi="宋体" w:eastAsia="宋体" w:cs="宋体"/>
          <w:spacing w:val="-13"/>
          <w:sz w:val="24"/>
          <w:szCs w:val="24"/>
        </w:rPr>
        <w:t>。</w:t>
      </w:r>
    </w:p>
    <w:p>
      <w:pPr>
        <w:spacing w:line="220" w:lineRule="auto"/>
        <w:rPr>
          <w:rFonts w:ascii="宋体" w:hAnsi="宋体" w:eastAsia="宋体" w:cs="宋体"/>
          <w:sz w:val="24"/>
          <w:szCs w:val="24"/>
        </w:rPr>
        <w:sectPr>
          <w:headerReference r:id="rId11" w:type="default"/>
          <w:footerReference r:id="rId12" w:type="default"/>
          <w:pgSz w:w="11907" w:h="16839"/>
          <w:pgMar w:top="1118" w:right="1714" w:bottom="1177" w:left="1771" w:header="879" w:footer="1013" w:gutter="0"/>
          <w:cols w:space="720" w:num="1"/>
        </w:sectPr>
      </w:pPr>
    </w:p>
    <w:p>
      <w:pPr>
        <w:pStyle w:val="2"/>
        <w:spacing w:line="348" w:lineRule="auto"/>
      </w:pPr>
    </w:p>
    <w:p>
      <w:pPr>
        <w:spacing w:line="7745" w:lineRule="exact"/>
        <w:ind w:firstLine="28"/>
      </w:pPr>
      <w:r>
        <w:rPr>
          <w:position w:val="-154"/>
        </w:rPr>
        <w:drawing>
          <wp:inline distT="0" distB="0" distL="0" distR="0">
            <wp:extent cx="5146675" cy="491744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03"/>
                    <a:stretch>
                      <a:fillRect/>
                    </a:stretch>
                  </pic:blipFill>
                  <pic:spPr>
                    <a:xfrm>
                      <a:off x="0" y="0"/>
                      <a:ext cx="5146675" cy="4918074"/>
                    </a:xfrm>
                    <a:prstGeom prst="rect">
                      <a:avLst/>
                    </a:prstGeom>
                  </pic:spPr>
                </pic:pic>
              </a:graphicData>
            </a:graphic>
          </wp:inline>
        </w:drawing>
      </w:r>
    </w:p>
    <w:p>
      <w:pPr>
        <w:spacing w:before="183" w:line="218" w:lineRule="auto"/>
        <w:ind w:left="2464"/>
        <w:rPr>
          <w:rFonts w:ascii="宋体" w:hAnsi="宋体" w:eastAsia="宋体" w:cs="宋体"/>
          <w:sz w:val="24"/>
          <w:szCs w:val="24"/>
        </w:rPr>
      </w:pPr>
      <w:r>
        <w:rPr>
          <w:rFonts w:ascii="宋体" w:hAnsi="宋体" w:eastAsia="宋体" w:cs="宋体"/>
          <w:spacing w:val="-5"/>
          <w:sz w:val="24"/>
          <w:szCs w:val="24"/>
        </w:rPr>
        <w:t>图</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1.2-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环境影响评价工作流程</w:t>
      </w:r>
    </w:p>
    <w:p>
      <w:pPr>
        <w:spacing w:before="184" w:line="220" w:lineRule="auto"/>
        <w:ind w:left="44"/>
        <w:outlineLvl w:val="0"/>
        <w:rPr>
          <w:rFonts w:ascii="宋体" w:hAnsi="宋体" w:eastAsia="宋体" w:cs="宋体"/>
          <w:sz w:val="24"/>
          <w:szCs w:val="24"/>
        </w:rPr>
      </w:pPr>
      <w:bookmarkStart w:id="3" w:name="bookmark4"/>
      <w:bookmarkEnd w:id="3"/>
      <w:r>
        <w:rPr>
          <w:rFonts w:ascii="Times New Roman" w:hAnsi="Times New Roman" w:eastAsia="Times New Roman" w:cs="Times New Roman"/>
          <w:b/>
          <w:bCs/>
          <w:spacing w:val="-1"/>
          <w:sz w:val="24"/>
          <w:szCs w:val="24"/>
        </w:rPr>
        <w:t xml:space="preserve">1.3 </w:t>
      </w:r>
      <w:r>
        <w:rPr>
          <w:rFonts w:ascii="宋体" w:hAnsi="宋体" w:eastAsia="宋体" w:cs="宋体"/>
          <w:spacing w:val="-1"/>
          <w:sz w:val="24"/>
          <w:szCs w:val="24"/>
          <w14:textOutline w14:w="4354" w14:cap="flat" w14:cmpd="sng">
            <w14:solidFill>
              <w14:srgbClr w14:val="000000"/>
            </w14:solidFill>
            <w14:prstDash w14:val="solid"/>
            <w14:miter w14:val="0"/>
          </w14:textOutline>
        </w:rPr>
        <w:t>分析判定相关情况</w:t>
      </w:r>
    </w:p>
    <w:p>
      <w:pPr>
        <w:spacing w:before="178" w:line="220" w:lineRule="auto"/>
        <w:ind w:left="44"/>
        <w:outlineLvl w:val="0"/>
        <w:rPr>
          <w:rFonts w:ascii="宋体" w:hAnsi="宋体" w:eastAsia="宋体" w:cs="宋体"/>
          <w:sz w:val="24"/>
          <w:szCs w:val="24"/>
        </w:rPr>
      </w:pPr>
      <w:r>
        <w:rPr>
          <w:rFonts w:ascii="Times New Roman" w:hAnsi="Times New Roman" w:eastAsia="Times New Roman" w:cs="Times New Roman"/>
          <w:b/>
          <w:bCs/>
          <w:spacing w:val="-1"/>
          <w:sz w:val="24"/>
          <w:szCs w:val="24"/>
        </w:rPr>
        <w:t xml:space="preserve">1.3.1 </w:t>
      </w:r>
      <w:r>
        <w:rPr>
          <w:rFonts w:ascii="宋体" w:hAnsi="宋体" w:eastAsia="宋体" w:cs="宋体"/>
          <w:spacing w:val="-1"/>
          <w:sz w:val="24"/>
          <w:szCs w:val="24"/>
          <w14:textOutline w14:w="4354" w14:cap="flat" w14:cmpd="sng">
            <w14:solidFill>
              <w14:srgbClr w14:val="000000"/>
            </w14:solidFill>
            <w14:prstDash w14:val="solid"/>
            <w14:miter w14:val="0"/>
          </w14:textOutline>
        </w:rPr>
        <w:t>产业政策符合性判定</w:t>
      </w:r>
    </w:p>
    <w:p>
      <w:pPr>
        <w:spacing w:before="184" w:line="359" w:lineRule="auto"/>
        <w:ind w:left="39" w:right="63" w:firstLine="479"/>
        <w:jc w:val="both"/>
        <w:rPr>
          <w:rFonts w:ascii="宋体" w:hAnsi="宋体" w:eastAsia="宋体" w:cs="宋体"/>
          <w:sz w:val="24"/>
          <w:szCs w:val="24"/>
        </w:rPr>
      </w:pPr>
      <w:r>
        <w:rPr>
          <w:rFonts w:ascii="宋体" w:hAnsi="宋体" w:eastAsia="宋体" w:cs="宋体"/>
          <w:spacing w:val="-5"/>
          <w:sz w:val="24"/>
          <w:szCs w:val="24"/>
        </w:rPr>
        <w:t>本项目为二级公路建设， 为溧阳至宁德高速公路（</w:t>
      </w:r>
      <w:r>
        <w:rPr>
          <w:rFonts w:ascii="Times New Roman" w:hAnsi="Times New Roman" w:eastAsia="Times New Roman" w:cs="Times New Roman"/>
          <w:spacing w:val="-5"/>
          <w:sz w:val="24"/>
          <w:szCs w:val="24"/>
        </w:rPr>
        <w:t>G4012</w:t>
      </w:r>
      <w:r>
        <w:rPr>
          <w:rFonts w:ascii="宋体" w:hAnsi="宋体" w:eastAsia="宋体" w:cs="宋体"/>
          <w:spacing w:val="-5"/>
          <w:sz w:val="24"/>
          <w:szCs w:val="24"/>
        </w:rPr>
        <w:t>）浙江景宁至文成</w:t>
      </w:r>
      <w:r>
        <w:rPr>
          <w:rFonts w:ascii="宋体" w:hAnsi="宋体" w:eastAsia="宋体" w:cs="宋体"/>
          <w:spacing w:val="11"/>
          <w:sz w:val="24"/>
          <w:szCs w:val="24"/>
        </w:rPr>
        <w:t xml:space="preserve"> </w:t>
      </w:r>
      <w:r>
        <w:rPr>
          <w:rFonts w:ascii="宋体" w:hAnsi="宋体" w:eastAsia="宋体" w:cs="宋体"/>
          <w:spacing w:val="-7"/>
          <w:sz w:val="24"/>
          <w:szCs w:val="24"/>
        </w:rPr>
        <w:t>段工程的配套连接线，</w:t>
      </w:r>
      <w:r>
        <w:rPr>
          <w:rFonts w:ascii="宋体" w:hAnsi="宋体" w:eastAsia="宋体" w:cs="宋体"/>
          <w:spacing w:val="57"/>
          <w:sz w:val="24"/>
          <w:szCs w:val="24"/>
        </w:rPr>
        <w:t xml:space="preserve"> </w:t>
      </w:r>
      <w:r>
        <w:rPr>
          <w:rFonts w:ascii="宋体" w:hAnsi="宋体" w:eastAsia="宋体" w:cs="宋体"/>
          <w:spacing w:val="-7"/>
          <w:sz w:val="24"/>
          <w:szCs w:val="24"/>
        </w:rPr>
        <w:t>不属于国家《产业结构调整指导目录</w:t>
      </w:r>
      <w:r>
        <w:rPr>
          <w:rFonts w:ascii="Times New Roman" w:hAnsi="Times New Roman" w:eastAsia="Times New Roman" w:cs="Times New Roman"/>
          <w:spacing w:val="-7"/>
          <w:sz w:val="24"/>
          <w:szCs w:val="24"/>
        </w:rPr>
        <w:t xml:space="preserve">(2024 </w:t>
      </w:r>
      <w:r>
        <w:rPr>
          <w:rFonts w:ascii="宋体" w:hAnsi="宋体" w:eastAsia="宋体" w:cs="宋体"/>
          <w:spacing w:val="-7"/>
          <w:sz w:val="24"/>
          <w:szCs w:val="24"/>
        </w:rPr>
        <w:t>年本</w:t>
      </w:r>
      <w:r>
        <w:rPr>
          <w:rFonts w:ascii="Times New Roman" w:hAnsi="Times New Roman" w:eastAsia="Times New Roman" w:cs="Times New Roman"/>
          <w:spacing w:val="-7"/>
          <w:sz w:val="24"/>
          <w:szCs w:val="24"/>
        </w:rPr>
        <w:t>)</w:t>
      </w:r>
      <w:r>
        <w:rPr>
          <w:rFonts w:ascii="宋体" w:hAnsi="宋体" w:eastAsia="宋体" w:cs="宋体"/>
          <w:spacing w:val="-7"/>
          <w:sz w:val="24"/>
          <w:szCs w:val="24"/>
        </w:rPr>
        <w:t>》中限制</w:t>
      </w:r>
    </w:p>
    <w:p>
      <w:pPr>
        <w:spacing w:line="219" w:lineRule="auto"/>
        <w:ind w:left="38"/>
        <w:rPr>
          <w:rFonts w:ascii="宋体" w:hAnsi="宋体" w:eastAsia="宋体" w:cs="宋体"/>
          <w:sz w:val="24"/>
          <w:szCs w:val="24"/>
        </w:rPr>
      </w:pPr>
      <w:r>
        <w:rPr>
          <w:rFonts w:ascii="宋体" w:hAnsi="宋体" w:eastAsia="宋体" w:cs="宋体"/>
          <w:spacing w:val="-2"/>
          <w:sz w:val="24"/>
          <w:szCs w:val="24"/>
        </w:rPr>
        <w:t>类和淘汰类项目。工程的建设符合国家的产业政策。</w:t>
      </w:r>
    </w:p>
    <w:p>
      <w:pPr>
        <w:spacing w:before="180" w:line="220" w:lineRule="auto"/>
        <w:ind w:left="44"/>
        <w:outlineLvl w:val="0"/>
        <w:rPr>
          <w:rFonts w:ascii="宋体" w:hAnsi="宋体" w:eastAsia="宋体" w:cs="宋体"/>
          <w:sz w:val="24"/>
          <w:szCs w:val="24"/>
        </w:rPr>
      </w:pPr>
      <w:r>
        <w:rPr>
          <w:rFonts w:ascii="Times New Roman" w:hAnsi="Times New Roman" w:eastAsia="Times New Roman" w:cs="Times New Roman"/>
          <w:b/>
          <w:bCs/>
          <w:spacing w:val="-1"/>
          <w:sz w:val="24"/>
          <w:szCs w:val="24"/>
        </w:rPr>
        <w:t>1.3.2“</w:t>
      </w:r>
      <w:r>
        <w:rPr>
          <w:rFonts w:ascii="宋体" w:hAnsi="宋体" w:eastAsia="宋体" w:cs="宋体"/>
          <w:spacing w:val="-1"/>
          <w:sz w:val="24"/>
          <w:szCs w:val="24"/>
          <w14:textOutline w14:w="4354" w14:cap="flat" w14:cmpd="sng">
            <w14:solidFill>
              <w14:srgbClr w14:val="000000"/>
            </w14:solidFill>
            <w14:prstDash w14:val="solid"/>
            <w14:miter w14:val="0"/>
          </w14:textOutline>
        </w:rPr>
        <w:t>三线一单</w:t>
      </w:r>
      <w:r>
        <w:rPr>
          <w:rFonts w:ascii="Times New Roman" w:hAnsi="Times New Roman" w:eastAsia="Times New Roman" w:cs="Times New Roman"/>
          <w:b/>
          <w:bCs/>
          <w:spacing w:val="-1"/>
          <w:sz w:val="24"/>
          <w:szCs w:val="24"/>
        </w:rPr>
        <w:t>”</w:t>
      </w:r>
      <w:r>
        <w:rPr>
          <w:rFonts w:ascii="宋体" w:hAnsi="宋体" w:eastAsia="宋体" w:cs="宋体"/>
          <w:spacing w:val="-1"/>
          <w:sz w:val="24"/>
          <w:szCs w:val="24"/>
          <w14:textOutline w14:w="4354" w14:cap="flat" w14:cmpd="sng">
            <w14:solidFill>
              <w14:srgbClr w14:val="000000"/>
            </w14:solidFill>
            <w14:prstDash w14:val="solid"/>
            <w14:miter w14:val="0"/>
          </w14:textOutline>
        </w:rPr>
        <w:t>符合性判定</w:t>
      </w:r>
    </w:p>
    <w:p>
      <w:pPr>
        <w:spacing w:before="182" w:line="466" w:lineRule="exact"/>
        <w:jc w:val="right"/>
        <w:rPr>
          <w:rFonts w:ascii="Times New Roman" w:hAnsi="Times New Roman" w:eastAsia="Times New Roman" w:cs="Times New Roman"/>
          <w:sz w:val="24"/>
          <w:szCs w:val="24"/>
        </w:rPr>
      </w:pPr>
      <w:r>
        <w:rPr>
          <w:rFonts w:ascii="宋体" w:hAnsi="宋体" w:eastAsia="宋体" w:cs="宋体"/>
          <w:position w:val="17"/>
          <w:sz w:val="24"/>
          <w:szCs w:val="24"/>
        </w:rPr>
        <w:t>根据《文成县</w:t>
      </w:r>
      <w:r>
        <w:rPr>
          <w:rFonts w:ascii="Times New Roman" w:hAnsi="Times New Roman" w:eastAsia="Times New Roman" w:cs="Times New Roman"/>
          <w:position w:val="17"/>
          <w:sz w:val="24"/>
          <w:szCs w:val="24"/>
        </w:rPr>
        <w:t>“</w:t>
      </w:r>
      <w:r>
        <w:rPr>
          <w:rFonts w:ascii="宋体" w:hAnsi="宋体" w:eastAsia="宋体" w:cs="宋体"/>
          <w:position w:val="17"/>
          <w:sz w:val="24"/>
          <w:szCs w:val="24"/>
        </w:rPr>
        <w:t>三线一单</w:t>
      </w:r>
      <w:r>
        <w:rPr>
          <w:rFonts w:ascii="Times New Roman" w:hAnsi="Times New Roman" w:eastAsia="Times New Roman" w:cs="Times New Roman"/>
          <w:position w:val="17"/>
          <w:sz w:val="24"/>
          <w:szCs w:val="24"/>
        </w:rPr>
        <w:t>”</w:t>
      </w:r>
      <w:r>
        <w:rPr>
          <w:rFonts w:ascii="宋体" w:hAnsi="宋体" w:eastAsia="宋体" w:cs="宋体"/>
          <w:position w:val="17"/>
          <w:sz w:val="24"/>
          <w:szCs w:val="24"/>
        </w:rPr>
        <w:t>生态环境分区管控方案</w:t>
      </w:r>
      <w:bookmarkStart w:id="69" w:name="_GoBack"/>
      <w:bookmarkEnd w:id="69"/>
      <w:r>
        <w:rPr>
          <w:rFonts w:ascii="宋体" w:hAnsi="宋体" w:eastAsia="宋体" w:cs="宋体"/>
          <w:position w:val="17"/>
          <w:sz w:val="24"/>
          <w:szCs w:val="24"/>
        </w:rPr>
        <w:t>》及新划定的</w:t>
      </w:r>
      <w:r>
        <w:rPr>
          <w:rFonts w:ascii="Times New Roman" w:hAnsi="Times New Roman" w:eastAsia="Times New Roman" w:cs="Times New Roman"/>
          <w:position w:val="17"/>
          <w:sz w:val="24"/>
          <w:szCs w:val="24"/>
        </w:rPr>
        <w:t>“</w:t>
      </w:r>
      <w:r>
        <w:rPr>
          <w:rFonts w:ascii="宋体" w:hAnsi="宋体" w:eastAsia="宋体" w:cs="宋体"/>
          <w:position w:val="17"/>
          <w:sz w:val="24"/>
          <w:szCs w:val="24"/>
        </w:rPr>
        <w:t>三区三线</w:t>
      </w:r>
      <w:r>
        <w:rPr>
          <w:rFonts w:ascii="Times New Roman" w:hAnsi="Times New Roman" w:eastAsia="Times New Roman" w:cs="Times New Roman"/>
          <w:position w:val="17"/>
          <w:sz w:val="24"/>
          <w:szCs w:val="24"/>
        </w:rPr>
        <w:t>”</w:t>
      </w:r>
    </w:p>
    <w:p>
      <w:pPr>
        <w:spacing w:before="1" w:line="218" w:lineRule="auto"/>
        <w:ind w:left="57"/>
        <w:rPr>
          <w:rFonts w:ascii="宋体" w:hAnsi="宋体" w:eastAsia="宋体" w:cs="宋体"/>
          <w:sz w:val="24"/>
          <w:szCs w:val="24"/>
        </w:rPr>
      </w:pPr>
      <w:r>
        <w:rPr>
          <w:rFonts w:ascii="宋体" w:hAnsi="宋体" w:eastAsia="宋体" w:cs="宋体"/>
          <w:spacing w:val="-4"/>
          <w:sz w:val="24"/>
          <w:szCs w:val="24"/>
        </w:rPr>
        <w:t>的要求，本项目与</w:t>
      </w:r>
      <w:r>
        <w:rPr>
          <w:rFonts w:ascii="Times New Roman" w:hAnsi="Times New Roman" w:eastAsia="Times New Roman" w:cs="Times New Roman"/>
          <w:spacing w:val="-4"/>
          <w:sz w:val="24"/>
          <w:szCs w:val="24"/>
        </w:rPr>
        <w:t>“</w:t>
      </w:r>
      <w:r>
        <w:rPr>
          <w:rFonts w:ascii="宋体" w:hAnsi="宋体" w:eastAsia="宋体" w:cs="宋体"/>
          <w:spacing w:val="-4"/>
          <w:sz w:val="24"/>
          <w:szCs w:val="24"/>
        </w:rPr>
        <w:t>三线一单</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w:t>
      </w:r>
      <w:r>
        <w:rPr>
          <w:rFonts w:ascii="宋体" w:hAnsi="宋体" w:eastAsia="宋体" w:cs="宋体"/>
          <w:spacing w:val="-4"/>
          <w:sz w:val="24"/>
          <w:szCs w:val="24"/>
        </w:rPr>
        <w:t>三区三线</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的管控要求相符。</w:t>
      </w:r>
    </w:p>
    <w:p>
      <w:pPr>
        <w:spacing w:before="184" w:line="220" w:lineRule="auto"/>
        <w:ind w:left="44"/>
        <w:outlineLvl w:val="0"/>
        <w:rPr>
          <w:rFonts w:ascii="宋体" w:hAnsi="宋体" w:eastAsia="宋体" w:cs="宋体"/>
          <w:sz w:val="24"/>
          <w:szCs w:val="24"/>
        </w:rPr>
      </w:pPr>
      <w:r>
        <w:fldChar w:fldCharType="begin"/>
      </w:r>
      <w:r>
        <w:instrText xml:space="preserve"> HYPERLINK "1.3.2.1" </w:instrText>
      </w:r>
      <w:r>
        <w:fldChar w:fldCharType="separate"/>
      </w:r>
      <w:r>
        <w:rPr>
          <w:rFonts w:ascii="Times New Roman" w:hAnsi="Times New Roman" w:eastAsia="Times New Roman" w:cs="Times New Roman"/>
          <w:b/>
          <w:bCs/>
          <w:spacing w:val="-1"/>
          <w:sz w:val="24"/>
          <w:szCs w:val="24"/>
        </w:rPr>
        <w:t>1.3.2.1</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生态保护红线</w:t>
      </w:r>
    </w:p>
    <w:p>
      <w:pPr>
        <w:spacing w:before="180" w:line="359" w:lineRule="auto"/>
        <w:ind w:left="40" w:right="49" w:firstLine="478"/>
        <w:jc w:val="both"/>
        <w:rPr>
          <w:rFonts w:ascii="宋体" w:hAnsi="宋体" w:eastAsia="宋体" w:cs="宋体"/>
          <w:sz w:val="24"/>
          <w:szCs w:val="24"/>
        </w:rPr>
      </w:pPr>
      <w:r>
        <w:rPr>
          <w:rFonts w:ascii="宋体" w:hAnsi="宋体" w:eastAsia="宋体" w:cs="宋体"/>
          <w:spacing w:val="1"/>
          <w:sz w:val="24"/>
          <w:szCs w:val="24"/>
        </w:rPr>
        <w:t>本项目为二级公路建设项目，建设地点位于文成县，根据《文成县</w:t>
      </w:r>
      <w:r>
        <w:rPr>
          <w:rFonts w:ascii="Times New Roman" w:hAnsi="Times New Roman" w:eastAsia="Times New Roman" w:cs="Times New Roman"/>
          <w:spacing w:val="1"/>
          <w:sz w:val="24"/>
          <w:szCs w:val="24"/>
        </w:rPr>
        <w:t>“</w:t>
      </w:r>
      <w:r>
        <w:rPr>
          <w:rFonts w:ascii="宋体" w:hAnsi="宋体" w:eastAsia="宋体" w:cs="宋体"/>
          <w:spacing w:val="1"/>
          <w:sz w:val="24"/>
          <w:szCs w:val="24"/>
        </w:rPr>
        <w:t>三线一</w:t>
      </w:r>
      <w:r>
        <w:rPr>
          <w:rFonts w:ascii="宋体" w:hAnsi="宋体" w:eastAsia="宋体" w:cs="宋体"/>
          <w:sz w:val="24"/>
          <w:szCs w:val="24"/>
        </w:rPr>
        <w:t xml:space="preserve"> </w:t>
      </w:r>
      <w:r>
        <w:rPr>
          <w:rFonts w:ascii="宋体" w:hAnsi="宋体" w:eastAsia="宋体" w:cs="宋体"/>
          <w:spacing w:val="-3"/>
          <w:sz w:val="24"/>
          <w:szCs w:val="24"/>
        </w:rPr>
        <w:t>单</w:t>
      </w:r>
      <w:r>
        <w:rPr>
          <w:rFonts w:ascii="Times New Roman" w:hAnsi="Times New Roman" w:eastAsia="Times New Roman" w:cs="Times New Roman"/>
          <w:spacing w:val="-3"/>
          <w:sz w:val="24"/>
          <w:szCs w:val="24"/>
        </w:rPr>
        <w:t>”</w:t>
      </w:r>
      <w:r>
        <w:rPr>
          <w:rFonts w:ascii="宋体" w:hAnsi="宋体" w:eastAsia="宋体" w:cs="宋体"/>
          <w:spacing w:val="-3"/>
          <w:sz w:val="24"/>
          <w:szCs w:val="24"/>
        </w:rPr>
        <w:t>生态环境分区管控方案》（文政办发〔</w:t>
      </w:r>
      <w:r>
        <w:rPr>
          <w:rFonts w:ascii="Times New Roman" w:hAnsi="Times New Roman" w:eastAsia="Times New Roman" w:cs="Times New Roman"/>
          <w:spacing w:val="-3"/>
          <w:sz w:val="24"/>
          <w:szCs w:val="24"/>
        </w:rPr>
        <w:t>2020</w:t>
      </w:r>
      <w:r>
        <w:rPr>
          <w:rFonts w:ascii="宋体" w:hAnsi="宋体" w:eastAsia="宋体" w:cs="宋体"/>
          <w:spacing w:val="-3"/>
          <w:sz w:val="24"/>
          <w:szCs w:val="24"/>
        </w:rPr>
        <w:t>〕</w:t>
      </w:r>
      <w:r>
        <w:rPr>
          <w:rFonts w:ascii="Times New Roman" w:hAnsi="Times New Roman" w:eastAsia="Times New Roman" w:cs="Times New Roman"/>
          <w:spacing w:val="-3"/>
          <w:sz w:val="24"/>
          <w:szCs w:val="24"/>
        </w:rPr>
        <w:t>59</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号</w:t>
      </w:r>
      <w:r>
        <w:rPr>
          <w:rFonts w:ascii="宋体" w:hAnsi="宋体" w:eastAsia="宋体" w:cs="宋体"/>
          <w:spacing w:val="-10"/>
          <w:sz w:val="24"/>
          <w:szCs w:val="24"/>
        </w:rPr>
        <w:t>）</w:t>
      </w:r>
      <w:r>
        <w:rPr>
          <w:rFonts w:ascii="宋体" w:hAnsi="宋体" w:eastAsia="宋体" w:cs="宋体"/>
          <w:spacing w:val="-33"/>
          <w:sz w:val="24"/>
          <w:szCs w:val="24"/>
        </w:rPr>
        <w:t xml:space="preserve"> </w:t>
      </w:r>
      <w:r>
        <w:rPr>
          <w:rFonts w:ascii="宋体" w:hAnsi="宋体" w:eastAsia="宋体" w:cs="宋体"/>
          <w:spacing w:val="-10"/>
          <w:sz w:val="24"/>
          <w:szCs w:val="24"/>
        </w:rPr>
        <w:t>，</w:t>
      </w:r>
      <w:r>
        <w:rPr>
          <w:rFonts w:ascii="宋体" w:hAnsi="宋体" w:eastAsia="宋体" w:cs="宋体"/>
          <w:spacing w:val="-3"/>
          <w:sz w:val="24"/>
          <w:szCs w:val="24"/>
        </w:rPr>
        <w:t>项目</w:t>
      </w:r>
      <w:r>
        <w:rPr>
          <w:rFonts w:ascii="宋体" w:hAnsi="宋体" w:eastAsia="宋体" w:cs="宋体"/>
          <w:spacing w:val="-4"/>
          <w:sz w:val="24"/>
          <w:szCs w:val="24"/>
        </w:rPr>
        <w:t>涉及温州市文成</w:t>
      </w:r>
    </w:p>
    <w:p>
      <w:pPr>
        <w:spacing w:before="1" w:line="219" w:lineRule="auto"/>
        <w:ind w:left="39"/>
        <w:rPr>
          <w:rFonts w:ascii="宋体" w:hAnsi="宋体" w:eastAsia="宋体" w:cs="宋体"/>
          <w:sz w:val="24"/>
          <w:szCs w:val="24"/>
        </w:rPr>
      </w:pPr>
      <w:r>
        <w:rPr>
          <w:rFonts w:ascii="宋体" w:hAnsi="宋体" w:eastAsia="宋体" w:cs="宋体"/>
          <w:spacing w:val="-1"/>
          <w:sz w:val="24"/>
          <w:szCs w:val="24"/>
        </w:rPr>
        <w:t>县飞云江饮用水源保护区水源涵养生态保护红线优先保护单元；根据</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2022</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年新</w:t>
      </w:r>
    </w:p>
    <w:p>
      <w:pPr>
        <w:spacing w:line="219" w:lineRule="auto"/>
        <w:rPr>
          <w:rFonts w:ascii="宋体" w:hAnsi="宋体" w:eastAsia="宋体" w:cs="宋体"/>
          <w:sz w:val="24"/>
          <w:szCs w:val="24"/>
        </w:rPr>
        <w:sectPr>
          <w:headerReference r:id="rId13" w:type="default"/>
          <w:footerReference r:id="rId14" w:type="default"/>
          <w:pgSz w:w="11907" w:h="16839"/>
          <w:pgMar w:top="1118" w:right="1746" w:bottom="1177" w:left="1771" w:header="879" w:footer="1013" w:gutter="0"/>
          <w:cols w:space="720" w:num="1"/>
        </w:sectPr>
      </w:pPr>
    </w:p>
    <w:p>
      <w:pPr>
        <w:pStyle w:val="2"/>
        <w:spacing w:line="278" w:lineRule="auto"/>
      </w:pPr>
    </w:p>
    <w:p>
      <w:pPr>
        <w:spacing w:before="78" w:line="359" w:lineRule="auto"/>
        <w:ind w:left="38" w:right="3" w:hanging="1"/>
        <w:jc w:val="both"/>
        <w:rPr>
          <w:rFonts w:ascii="宋体" w:hAnsi="宋体" w:eastAsia="宋体" w:cs="宋体"/>
          <w:sz w:val="24"/>
          <w:szCs w:val="24"/>
        </w:rPr>
      </w:pPr>
      <w:r>
        <w:rPr>
          <w:rFonts w:ascii="宋体" w:hAnsi="宋体" w:eastAsia="宋体" w:cs="宋体"/>
          <w:spacing w:val="-11"/>
          <w:sz w:val="24"/>
          <w:szCs w:val="24"/>
        </w:rPr>
        <w:t>划定的</w:t>
      </w:r>
      <w:r>
        <w:rPr>
          <w:rFonts w:ascii="Times New Roman" w:hAnsi="Times New Roman" w:eastAsia="Times New Roman" w:cs="Times New Roman"/>
          <w:spacing w:val="-11"/>
          <w:sz w:val="24"/>
          <w:szCs w:val="24"/>
        </w:rPr>
        <w:t>“</w:t>
      </w:r>
      <w:r>
        <w:rPr>
          <w:rFonts w:ascii="宋体" w:hAnsi="宋体" w:eastAsia="宋体" w:cs="宋体"/>
          <w:spacing w:val="-11"/>
          <w:sz w:val="24"/>
          <w:szCs w:val="24"/>
        </w:rPr>
        <w:t>三区三线</w:t>
      </w:r>
      <w:r>
        <w:rPr>
          <w:rFonts w:ascii="Times New Roman" w:hAnsi="Times New Roman" w:eastAsia="Times New Roman" w:cs="Times New Roman"/>
          <w:spacing w:val="-11"/>
          <w:sz w:val="24"/>
          <w:szCs w:val="24"/>
        </w:rPr>
        <w:t>”</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中生态保护红线分布图， 工程不涉及生态保护红线，</w:t>
      </w:r>
      <w:r>
        <w:rPr>
          <w:rFonts w:ascii="宋体" w:hAnsi="宋体" w:eastAsia="宋体" w:cs="宋体"/>
          <w:spacing w:val="35"/>
          <w:sz w:val="24"/>
          <w:szCs w:val="24"/>
        </w:rPr>
        <w:t xml:space="preserve"> </w:t>
      </w:r>
      <w:r>
        <w:rPr>
          <w:rFonts w:ascii="宋体" w:hAnsi="宋体" w:eastAsia="宋体" w:cs="宋体"/>
          <w:spacing w:val="-11"/>
          <w:sz w:val="24"/>
          <w:szCs w:val="24"/>
        </w:rPr>
        <w:t xml:space="preserve">与生态保 </w:t>
      </w:r>
      <w:r>
        <w:rPr>
          <w:rFonts w:ascii="宋体" w:hAnsi="宋体" w:eastAsia="宋体" w:cs="宋体"/>
          <w:spacing w:val="-1"/>
          <w:sz w:val="24"/>
          <w:szCs w:val="24"/>
        </w:rPr>
        <w:t>护红线（文成县百丈漈飞云湖国家级风景名胜区生物多样性保护生态保护红线）</w:t>
      </w:r>
    </w:p>
    <w:p>
      <w:pPr>
        <w:spacing w:line="219" w:lineRule="auto"/>
        <w:ind w:left="41"/>
        <w:rPr>
          <w:rFonts w:ascii="宋体" w:hAnsi="宋体" w:eastAsia="宋体" w:cs="宋体"/>
          <w:sz w:val="24"/>
          <w:szCs w:val="24"/>
        </w:rPr>
      </w:pPr>
      <w:r>
        <w:rPr>
          <w:rFonts w:ascii="宋体" w:hAnsi="宋体" w:eastAsia="宋体" w:cs="宋体"/>
          <w:spacing w:val="-4"/>
          <w:sz w:val="24"/>
          <w:szCs w:val="24"/>
        </w:rPr>
        <w:t>最近的距离约</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1.85km</w:t>
      </w:r>
      <w:r>
        <w:rPr>
          <w:rFonts w:ascii="宋体" w:hAnsi="宋体" w:eastAsia="宋体" w:cs="宋体"/>
          <w:spacing w:val="-4"/>
          <w:sz w:val="24"/>
          <w:szCs w:val="24"/>
        </w:rPr>
        <w:t>。</w:t>
      </w:r>
    </w:p>
    <w:p>
      <w:pPr>
        <w:spacing w:before="182" w:line="359" w:lineRule="auto"/>
        <w:ind w:left="37" w:firstLine="481"/>
        <w:jc w:val="both"/>
        <w:rPr>
          <w:rFonts w:ascii="宋体" w:hAnsi="宋体" w:eastAsia="宋体" w:cs="宋体"/>
          <w:sz w:val="24"/>
          <w:szCs w:val="24"/>
        </w:rPr>
      </w:pPr>
      <w:r>
        <w:rPr>
          <w:rFonts w:ascii="宋体" w:hAnsi="宋体" w:eastAsia="宋体" w:cs="宋体"/>
          <w:spacing w:val="1"/>
          <w:sz w:val="24"/>
          <w:szCs w:val="24"/>
        </w:rPr>
        <w:t>本工程位于珊溪水库饮用水源保护区准保护区范围内。根据最新的</w:t>
      </w:r>
      <w:r>
        <w:rPr>
          <w:rFonts w:ascii="Times New Roman" w:hAnsi="Times New Roman" w:eastAsia="Times New Roman" w:cs="Times New Roman"/>
          <w:spacing w:val="1"/>
          <w:sz w:val="24"/>
          <w:szCs w:val="24"/>
        </w:rPr>
        <w:t>“</w:t>
      </w:r>
      <w:r>
        <w:rPr>
          <w:rFonts w:ascii="宋体" w:hAnsi="宋体" w:eastAsia="宋体" w:cs="宋体"/>
          <w:spacing w:val="1"/>
          <w:sz w:val="24"/>
          <w:szCs w:val="24"/>
        </w:rPr>
        <w:t>三区三</w:t>
      </w:r>
      <w:r>
        <w:rPr>
          <w:rFonts w:ascii="宋体" w:hAnsi="宋体" w:eastAsia="宋体" w:cs="宋体"/>
          <w:sz w:val="24"/>
          <w:szCs w:val="24"/>
        </w:rPr>
        <w:t xml:space="preserve"> 线</w:t>
      </w:r>
      <w:r>
        <w:rPr>
          <w:rFonts w:ascii="Times New Roman" w:hAnsi="Times New Roman" w:eastAsia="Times New Roman" w:cs="Times New Roman"/>
          <w:sz w:val="24"/>
          <w:szCs w:val="24"/>
        </w:rPr>
        <w:t>”</w:t>
      </w:r>
      <w:r>
        <w:rPr>
          <w:rFonts w:ascii="宋体" w:hAnsi="宋体" w:eastAsia="宋体" w:cs="宋体"/>
          <w:sz w:val="24"/>
          <w:szCs w:val="24"/>
        </w:rPr>
        <w:t>划定成果，已取消</w:t>
      </w:r>
      <w:r>
        <w:rPr>
          <w:rFonts w:ascii="Times New Roman" w:hAnsi="Times New Roman" w:eastAsia="Times New Roman" w:cs="Times New Roman"/>
          <w:sz w:val="24"/>
          <w:szCs w:val="24"/>
        </w:rPr>
        <w:t>“</w:t>
      </w:r>
      <w:r>
        <w:rPr>
          <w:rFonts w:ascii="宋体" w:hAnsi="宋体" w:eastAsia="宋体" w:cs="宋体"/>
          <w:sz w:val="24"/>
          <w:szCs w:val="24"/>
        </w:rPr>
        <w:t>三线一单</w:t>
      </w:r>
      <w:r>
        <w:rPr>
          <w:rFonts w:ascii="Times New Roman" w:hAnsi="Times New Roman" w:eastAsia="Times New Roman" w:cs="Times New Roman"/>
          <w:sz w:val="24"/>
          <w:szCs w:val="24"/>
        </w:rPr>
        <w:t>”</w:t>
      </w:r>
      <w:r>
        <w:rPr>
          <w:rFonts w:ascii="Times New Roman" w:hAnsi="Times New Roman" w:eastAsia="Times New Roman" w:cs="Times New Roman"/>
          <w:spacing w:val="-11"/>
          <w:sz w:val="24"/>
          <w:szCs w:val="24"/>
        </w:rPr>
        <w:t xml:space="preserve"> </w:t>
      </w:r>
      <w:r>
        <w:rPr>
          <w:rFonts w:ascii="宋体" w:hAnsi="宋体" w:eastAsia="宋体" w:cs="宋体"/>
          <w:sz w:val="24"/>
          <w:szCs w:val="24"/>
        </w:rPr>
        <w:t>中此处生态保护红线，</w:t>
      </w:r>
      <w:r>
        <w:rPr>
          <w:rFonts w:ascii="Times New Roman" w:hAnsi="Times New Roman" w:eastAsia="Times New Roman" w:cs="Times New Roman"/>
          <w:sz w:val="24"/>
          <w:szCs w:val="24"/>
        </w:rPr>
        <w:t>“</w:t>
      </w:r>
      <w:r>
        <w:rPr>
          <w:rFonts w:ascii="宋体" w:hAnsi="宋体" w:eastAsia="宋体" w:cs="宋体"/>
          <w:sz w:val="24"/>
          <w:szCs w:val="24"/>
        </w:rPr>
        <w:t>三线一单</w:t>
      </w:r>
      <w:r>
        <w:rPr>
          <w:rFonts w:ascii="Times New Roman" w:hAnsi="Times New Roman" w:eastAsia="Times New Roman" w:cs="Times New Roman"/>
          <w:sz w:val="24"/>
          <w:szCs w:val="24"/>
        </w:rPr>
        <w:t>”</w:t>
      </w:r>
      <w:r>
        <w:rPr>
          <w:rFonts w:ascii="Times New Roman" w:hAnsi="Times New Roman" w:eastAsia="Times New Roman" w:cs="Times New Roman"/>
          <w:spacing w:val="-42"/>
          <w:sz w:val="24"/>
          <w:szCs w:val="24"/>
        </w:rPr>
        <w:t xml:space="preserve"> </w:t>
      </w:r>
      <w:r>
        <w:rPr>
          <w:rFonts w:ascii="宋体" w:hAnsi="宋体" w:eastAsia="宋体" w:cs="宋体"/>
          <w:sz w:val="24"/>
          <w:szCs w:val="24"/>
        </w:rPr>
        <w:t xml:space="preserve">正在进行动 </w:t>
      </w:r>
      <w:r>
        <w:rPr>
          <w:rFonts w:ascii="宋体" w:hAnsi="宋体" w:eastAsia="宋体" w:cs="宋体"/>
          <w:spacing w:val="-9"/>
          <w:sz w:val="24"/>
          <w:szCs w:val="24"/>
        </w:rPr>
        <w:t>态调整。本项目施工期生产废水经处理后回用，</w:t>
      </w:r>
      <w:r>
        <w:rPr>
          <w:rFonts w:ascii="宋体" w:hAnsi="宋体" w:eastAsia="宋体" w:cs="宋体"/>
          <w:spacing w:val="-43"/>
          <w:sz w:val="24"/>
          <w:szCs w:val="24"/>
        </w:rPr>
        <w:t xml:space="preserve"> </w:t>
      </w:r>
      <w:r>
        <w:rPr>
          <w:rFonts w:ascii="宋体" w:hAnsi="宋体" w:eastAsia="宋体" w:cs="宋体"/>
          <w:spacing w:val="-9"/>
          <w:sz w:val="24"/>
          <w:szCs w:val="24"/>
        </w:rPr>
        <w:t>生</w:t>
      </w:r>
      <w:r>
        <w:rPr>
          <w:rFonts w:ascii="宋体" w:hAnsi="宋体" w:eastAsia="宋体" w:cs="宋体"/>
          <w:spacing w:val="-10"/>
          <w:sz w:val="24"/>
          <w:szCs w:val="24"/>
        </w:rPr>
        <w:t>活污水经处理后清运灌溉山林。</w:t>
      </w:r>
      <w:r>
        <w:rPr>
          <w:rFonts w:ascii="宋体" w:hAnsi="宋体" w:eastAsia="宋体" w:cs="宋体"/>
          <w:sz w:val="24"/>
          <w:szCs w:val="24"/>
        </w:rPr>
        <w:t xml:space="preserve"> </w:t>
      </w:r>
      <w:r>
        <w:rPr>
          <w:rFonts w:ascii="宋体" w:hAnsi="宋体" w:eastAsia="宋体" w:cs="宋体"/>
          <w:spacing w:val="-2"/>
          <w:sz w:val="24"/>
          <w:szCs w:val="24"/>
        </w:rPr>
        <w:t>施工期扬尘等采用洒水降尘，运营期主要为汽车尾气，随着新能源车辆的推广，</w:t>
      </w:r>
      <w:r>
        <w:rPr>
          <w:rFonts w:ascii="宋体" w:hAnsi="宋体" w:eastAsia="宋体" w:cs="宋体"/>
          <w:spacing w:val="7"/>
          <w:sz w:val="24"/>
          <w:szCs w:val="24"/>
        </w:rPr>
        <w:t xml:space="preserve"> </w:t>
      </w:r>
      <w:r>
        <w:rPr>
          <w:rFonts w:ascii="宋体" w:hAnsi="宋体" w:eastAsia="宋体" w:cs="宋体"/>
          <w:spacing w:val="-6"/>
          <w:sz w:val="24"/>
          <w:szCs w:val="24"/>
        </w:rPr>
        <w:t>尾气产生量降低， 对周边环境影响较小。施工期采用隔声</w:t>
      </w:r>
      <w:r>
        <w:rPr>
          <w:rFonts w:ascii="宋体" w:hAnsi="宋体" w:eastAsia="宋体" w:cs="宋体"/>
          <w:spacing w:val="-7"/>
          <w:sz w:val="24"/>
          <w:szCs w:val="24"/>
        </w:rPr>
        <w:t>降噪措施降低对周边环</w:t>
      </w:r>
    </w:p>
    <w:p>
      <w:pPr>
        <w:spacing w:before="1" w:line="218" w:lineRule="auto"/>
        <w:ind w:left="39"/>
        <w:rPr>
          <w:rFonts w:ascii="宋体" w:hAnsi="宋体" w:eastAsia="宋体" w:cs="宋体"/>
          <w:sz w:val="24"/>
          <w:szCs w:val="24"/>
        </w:rPr>
      </w:pPr>
      <w:r>
        <w:rPr>
          <w:rFonts w:ascii="宋体" w:hAnsi="宋体" w:eastAsia="宋体" w:cs="宋体"/>
          <w:spacing w:val="-1"/>
          <w:sz w:val="24"/>
          <w:szCs w:val="24"/>
        </w:rPr>
        <w:t>境的影响。运营期采用隔声屏障及隔声窗等措施降低</w:t>
      </w:r>
      <w:r>
        <w:rPr>
          <w:rFonts w:ascii="宋体" w:hAnsi="宋体" w:eastAsia="宋体" w:cs="宋体"/>
          <w:spacing w:val="-2"/>
          <w:sz w:val="24"/>
          <w:szCs w:val="24"/>
        </w:rPr>
        <w:t>对周边环境目标的影响。</w:t>
      </w:r>
    </w:p>
    <w:p>
      <w:pPr>
        <w:spacing w:before="183" w:line="219" w:lineRule="auto"/>
        <w:ind w:left="536"/>
        <w:rPr>
          <w:rFonts w:ascii="宋体" w:hAnsi="宋体" w:eastAsia="宋体" w:cs="宋体"/>
          <w:sz w:val="24"/>
          <w:szCs w:val="24"/>
        </w:rPr>
      </w:pPr>
      <w:r>
        <w:rPr>
          <w:rFonts w:ascii="宋体" w:hAnsi="宋体" w:eastAsia="宋体" w:cs="宋体"/>
          <w:spacing w:val="-4"/>
          <w:sz w:val="24"/>
          <w:szCs w:val="24"/>
        </w:rPr>
        <w:t>因此，本项目符合生态保护红线的要求。</w:t>
      </w:r>
    </w:p>
    <w:p>
      <w:pPr>
        <w:spacing w:before="181" w:line="220" w:lineRule="auto"/>
        <w:ind w:left="44"/>
        <w:outlineLvl w:val="0"/>
        <w:rPr>
          <w:rFonts w:ascii="宋体" w:hAnsi="宋体" w:eastAsia="宋体" w:cs="宋体"/>
          <w:sz w:val="24"/>
          <w:szCs w:val="24"/>
        </w:rPr>
      </w:pPr>
      <w:r>
        <w:fldChar w:fldCharType="begin"/>
      </w:r>
      <w:r>
        <w:instrText xml:space="preserve"> HYPERLINK "1.3.2.2" </w:instrText>
      </w:r>
      <w:r>
        <w:fldChar w:fldCharType="separate"/>
      </w:r>
      <w:r>
        <w:rPr>
          <w:rFonts w:ascii="Times New Roman" w:hAnsi="Times New Roman" w:eastAsia="Times New Roman" w:cs="Times New Roman"/>
          <w:b/>
          <w:bCs/>
          <w:spacing w:val="-1"/>
          <w:sz w:val="24"/>
          <w:szCs w:val="24"/>
        </w:rPr>
        <w:t>1.3.2.2</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环境质量底线</w:t>
      </w:r>
    </w:p>
    <w:p>
      <w:pPr>
        <w:spacing w:before="182" w:line="219" w:lineRule="auto"/>
        <w:ind w:left="519"/>
        <w:rPr>
          <w:rFonts w:ascii="宋体" w:hAnsi="宋体" w:eastAsia="宋体" w:cs="宋体"/>
          <w:sz w:val="24"/>
          <w:szCs w:val="24"/>
        </w:rPr>
      </w:pPr>
      <w:r>
        <w:rPr>
          <w:rFonts w:ascii="宋体" w:hAnsi="宋体" w:eastAsia="宋体" w:cs="宋体"/>
          <w:spacing w:val="-2"/>
          <w:sz w:val="24"/>
          <w:szCs w:val="24"/>
        </w:rPr>
        <w:t>本项目营运期对环境的影响主要为汽车尾气、交通噪声等。</w:t>
      </w:r>
    </w:p>
    <w:p>
      <w:pPr>
        <w:spacing w:before="184" w:line="359" w:lineRule="auto"/>
        <w:ind w:left="39" w:right="78" w:firstLine="478"/>
        <w:rPr>
          <w:rFonts w:ascii="宋体" w:hAnsi="宋体" w:eastAsia="宋体" w:cs="宋体"/>
          <w:sz w:val="24"/>
          <w:szCs w:val="24"/>
        </w:rPr>
      </w:pPr>
      <w:r>
        <w:rPr>
          <w:rFonts w:ascii="宋体" w:hAnsi="宋体" w:eastAsia="宋体" w:cs="宋体"/>
          <w:spacing w:val="-6"/>
          <w:sz w:val="24"/>
          <w:szCs w:val="24"/>
        </w:rPr>
        <w:t>根据《文成县环境空气质量功能区划》，</w:t>
      </w:r>
      <w:r>
        <w:rPr>
          <w:rFonts w:ascii="宋体" w:hAnsi="宋体" w:eastAsia="宋体" w:cs="宋体"/>
          <w:spacing w:val="-27"/>
          <w:sz w:val="24"/>
          <w:szCs w:val="24"/>
        </w:rPr>
        <w:t xml:space="preserve"> </w:t>
      </w:r>
      <w:r>
        <w:rPr>
          <w:rFonts w:ascii="宋体" w:hAnsi="宋体" w:eastAsia="宋体" w:cs="宋体"/>
          <w:spacing w:val="-6"/>
          <w:sz w:val="24"/>
          <w:szCs w:val="24"/>
        </w:rPr>
        <w:t>工程途</w:t>
      </w:r>
      <w:r>
        <w:rPr>
          <w:rFonts w:ascii="宋体" w:hAnsi="宋体" w:eastAsia="宋体" w:cs="宋体"/>
          <w:spacing w:val="-7"/>
          <w:sz w:val="24"/>
          <w:szCs w:val="24"/>
        </w:rPr>
        <w:t>经区域环境空气执行《环境</w:t>
      </w:r>
      <w:r>
        <w:rPr>
          <w:rFonts w:ascii="宋体" w:hAnsi="宋体" w:eastAsia="宋体" w:cs="宋体"/>
          <w:sz w:val="24"/>
          <w:szCs w:val="24"/>
        </w:rPr>
        <w:t xml:space="preserve"> </w:t>
      </w:r>
      <w:r>
        <w:rPr>
          <w:rFonts w:ascii="宋体" w:hAnsi="宋体" w:eastAsia="宋体" w:cs="宋体"/>
          <w:spacing w:val="-7"/>
          <w:sz w:val="24"/>
          <w:szCs w:val="24"/>
        </w:rPr>
        <w:t>空气质量标准》</w:t>
      </w:r>
      <w:r>
        <w:rPr>
          <w:rFonts w:ascii="Times New Roman" w:hAnsi="Times New Roman" w:eastAsia="Times New Roman" w:cs="Times New Roman"/>
          <w:spacing w:val="-7"/>
          <w:sz w:val="24"/>
          <w:szCs w:val="24"/>
        </w:rPr>
        <w:t>(GB3095-2012)</w:t>
      </w:r>
      <w:r>
        <w:rPr>
          <w:rFonts w:ascii="宋体" w:hAnsi="宋体" w:eastAsia="宋体" w:cs="宋体"/>
          <w:spacing w:val="-7"/>
          <w:sz w:val="24"/>
          <w:szCs w:val="24"/>
        </w:rPr>
        <w:t>中的二级标准， 根据《文成县环境质量年报（</w:t>
      </w:r>
      <w:r>
        <w:rPr>
          <w:rFonts w:ascii="Times New Roman" w:hAnsi="Times New Roman" w:eastAsia="Times New Roman" w:cs="Times New Roman"/>
          <w:spacing w:val="-7"/>
          <w:sz w:val="24"/>
          <w:szCs w:val="24"/>
        </w:rPr>
        <w:t>2022</w:t>
      </w:r>
      <w:r>
        <w:rPr>
          <w:rFonts w:ascii="Times New Roman" w:hAnsi="Times New Roman" w:eastAsia="Times New Roman" w:cs="Times New Roman"/>
          <w:sz w:val="24"/>
          <w:szCs w:val="24"/>
        </w:rPr>
        <w:t xml:space="preserve"> </w:t>
      </w:r>
      <w:r>
        <w:rPr>
          <w:rFonts w:ascii="宋体" w:hAnsi="宋体" w:eastAsia="宋体" w:cs="宋体"/>
          <w:spacing w:val="-11"/>
          <w:sz w:val="24"/>
          <w:szCs w:val="24"/>
        </w:rPr>
        <w:t>年）》， 文成县属于达标区。本工程营运期废气主要为汽车尾气，</w:t>
      </w:r>
      <w:r>
        <w:rPr>
          <w:rFonts w:ascii="宋体" w:hAnsi="宋体" w:eastAsia="宋体" w:cs="宋体"/>
          <w:spacing w:val="57"/>
          <w:sz w:val="24"/>
          <w:szCs w:val="24"/>
        </w:rPr>
        <w:t xml:space="preserve"> </w:t>
      </w:r>
      <w:r>
        <w:rPr>
          <w:rFonts w:ascii="宋体" w:hAnsi="宋体" w:eastAsia="宋体" w:cs="宋体"/>
          <w:spacing w:val="-12"/>
          <w:sz w:val="24"/>
          <w:szCs w:val="24"/>
        </w:rPr>
        <w:t>随着我国执行</w:t>
      </w:r>
      <w:r>
        <w:rPr>
          <w:rFonts w:ascii="宋体" w:hAnsi="宋体" w:eastAsia="宋体" w:cs="宋体"/>
          <w:sz w:val="24"/>
          <w:szCs w:val="24"/>
        </w:rPr>
        <w:t xml:space="preserve"> </w:t>
      </w:r>
      <w:r>
        <w:rPr>
          <w:rFonts w:ascii="宋体" w:hAnsi="宋体" w:eastAsia="宋体" w:cs="宋体"/>
          <w:spacing w:val="-6"/>
          <w:sz w:val="24"/>
          <w:szCs w:val="24"/>
        </w:rPr>
        <w:t>单车排放标准的不断提高， 单车尾气的排放量将会不</w:t>
      </w:r>
      <w:r>
        <w:rPr>
          <w:rFonts w:ascii="宋体" w:hAnsi="宋体" w:eastAsia="宋体" w:cs="宋体"/>
          <w:spacing w:val="-7"/>
          <w:sz w:val="24"/>
          <w:szCs w:val="24"/>
        </w:rPr>
        <w:t>断降低。同时浙江省大气污</w:t>
      </w:r>
      <w:r>
        <w:rPr>
          <w:rFonts w:ascii="宋体" w:hAnsi="宋体" w:eastAsia="宋体" w:cs="宋体"/>
          <w:sz w:val="24"/>
          <w:szCs w:val="24"/>
        </w:rPr>
        <w:t xml:space="preserve"> </w:t>
      </w:r>
      <w:r>
        <w:rPr>
          <w:rFonts w:ascii="宋体" w:hAnsi="宋体" w:eastAsia="宋体" w:cs="宋体"/>
          <w:spacing w:val="-9"/>
          <w:sz w:val="24"/>
          <w:szCs w:val="24"/>
        </w:rPr>
        <w:t>染物防治行动和措施的实施， 文成县将深化机动车</w:t>
      </w:r>
      <w:r>
        <w:rPr>
          <w:rFonts w:ascii="宋体" w:hAnsi="宋体" w:eastAsia="宋体" w:cs="宋体"/>
          <w:spacing w:val="-10"/>
          <w:sz w:val="24"/>
          <w:szCs w:val="24"/>
        </w:rPr>
        <w:t>污染防治， 进一步优化车辆结</w:t>
      </w:r>
      <w:r>
        <w:rPr>
          <w:rFonts w:ascii="宋体" w:hAnsi="宋体" w:eastAsia="宋体" w:cs="宋体"/>
          <w:sz w:val="24"/>
          <w:szCs w:val="24"/>
        </w:rPr>
        <w:t xml:space="preserve"> </w:t>
      </w:r>
      <w:r>
        <w:rPr>
          <w:rFonts w:ascii="宋体" w:hAnsi="宋体" w:eastAsia="宋体" w:cs="宋体"/>
          <w:spacing w:val="-6"/>
          <w:sz w:val="24"/>
          <w:szCs w:val="24"/>
        </w:rPr>
        <w:t>构，新能源车比例的逐步提高使得汽车尾气排放量将得到进一步</w:t>
      </w:r>
      <w:r>
        <w:rPr>
          <w:rFonts w:ascii="宋体" w:hAnsi="宋体" w:eastAsia="宋体" w:cs="宋体"/>
          <w:spacing w:val="-7"/>
          <w:sz w:val="24"/>
          <w:szCs w:val="24"/>
        </w:rPr>
        <w:t>降低， 公路对沿</w:t>
      </w:r>
    </w:p>
    <w:p>
      <w:pPr>
        <w:spacing w:before="1" w:line="219" w:lineRule="auto"/>
        <w:ind w:left="41"/>
        <w:rPr>
          <w:rFonts w:ascii="宋体" w:hAnsi="宋体" w:eastAsia="宋体" w:cs="宋体"/>
          <w:sz w:val="24"/>
          <w:szCs w:val="24"/>
        </w:rPr>
      </w:pPr>
      <w:r>
        <w:rPr>
          <w:rFonts w:ascii="宋体" w:hAnsi="宋体" w:eastAsia="宋体" w:cs="宋体"/>
          <w:spacing w:val="-4"/>
          <w:sz w:val="24"/>
          <w:szCs w:val="24"/>
        </w:rPr>
        <w:t>线空气质量带来的影响较小。</w:t>
      </w:r>
    </w:p>
    <w:p>
      <w:pPr>
        <w:spacing w:before="181" w:line="359" w:lineRule="auto"/>
        <w:ind w:left="37" w:right="14" w:firstLine="481"/>
        <w:rPr>
          <w:rFonts w:ascii="宋体" w:hAnsi="宋体" w:eastAsia="宋体" w:cs="宋体"/>
          <w:sz w:val="24"/>
          <w:szCs w:val="24"/>
        </w:rPr>
      </w:pPr>
      <w:r>
        <w:rPr>
          <w:rFonts w:ascii="宋体" w:hAnsi="宋体" w:eastAsia="宋体" w:cs="宋体"/>
          <w:spacing w:val="-1"/>
          <w:sz w:val="24"/>
          <w:szCs w:val="24"/>
        </w:rPr>
        <w:t>本项目涉及的声环境功能区包括</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类、</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28"/>
          <w:w w:val="101"/>
          <w:sz w:val="24"/>
          <w:szCs w:val="24"/>
        </w:rPr>
        <w:t xml:space="preserve"> </w:t>
      </w:r>
      <w:r>
        <w:rPr>
          <w:rFonts w:ascii="宋体" w:hAnsi="宋体" w:eastAsia="宋体" w:cs="宋体"/>
          <w:spacing w:val="-1"/>
          <w:sz w:val="24"/>
          <w:szCs w:val="24"/>
        </w:rPr>
        <w:t>类和</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4a</w:t>
      </w:r>
      <w:r>
        <w:rPr>
          <w:rFonts w:ascii="Times New Roman" w:hAnsi="Times New Roman" w:eastAsia="Times New Roman" w:cs="Times New Roman"/>
          <w:spacing w:val="27"/>
          <w:w w:val="101"/>
          <w:sz w:val="24"/>
          <w:szCs w:val="24"/>
        </w:rPr>
        <w:t xml:space="preserve"> </w:t>
      </w:r>
      <w:r>
        <w:rPr>
          <w:rFonts w:ascii="宋体" w:hAnsi="宋体" w:eastAsia="宋体" w:cs="宋体"/>
          <w:spacing w:val="-2"/>
          <w:sz w:val="24"/>
          <w:szCs w:val="24"/>
        </w:rPr>
        <w:t>类区，根据现状监测结果</w:t>
      </w:r>
      <w:r>
        <w:rPr>
          <w:rFonts w:ascii="宋体" w:hAnsi="宋体" w:eastAsia="宋体" w:cs="宋体"/>
          <w:sz w:val="24"/>
          <w:szCs w:val="24"/>
        </w:rPr>
        <w:t xml:space="preserve"> </w:t>
      </w:r>
      <w:r>
        <w:rPr>
          <w:rFonts w:ascii="宋体" w:hAnsi="宋体" w:eastAsia="宋体" w:cs="宋体"/>
          <w:spacing w:val="-5"/>
          <w:sz w:val="24"/>
          <w:szCs w:val="24"/>
        </w:rPr>
        <w:t>表明， 除蔡处</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2023</w:t>
      </w:r>
      <w:r>
        <w:rPr>
          <w:rFonts w:ascii="Times New Roman" w:hAnsi="Times New Roman" w:eastAsia="Times New Roman" w:cs="Times New Roman"/>
          <w:spacing w:val="18"/>
          <w:sz w:val="24"/>
          <w:szCs w:val="24"/>
        </w:rPr>
        <w:t xml:space="preserve"> </w:t>
      </w:r>
      <w:r>
        <w:rPr>
          <w:rFonts w:ascii="宋体" w:hAnsi="宋体" w:eastAsia="宋体" w:cs="宋体"/>
          <w:spacing w:val="-5"/>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22"/>
          <w:sz w:val="24"/>
          <w:szCs w:val="24"/>
        </w:rPr>
        <w:t xml:space="preserve"> </w:t>
      </w:r>
      <w:r>
        <w:rPr>
          <w:rFonts w:ascii="宋体" w:hAnsi="宋体" w:eastAsia="宋体" w:cs="宋体"/>
          <w:spacing w:val="-5"/>
          <w:sz w:val="24"/>
          <w:szCs w:val="24"/>
        </w:rPr>
        <w:t>月受交通噪声的影响、夜间等效声级不能达标外，其他</w:t>
      </w:r>
      <w:r>
        <w:rPr>
          <w:rFonts w:ascii="宋体" w:hAnsi="宋体" w:eastAsia="宋体" w:cs="宋体"/>
          <w:sz w:val="24"/>
          <w:szCs w:val="24"/>
        </w:rPr>
        <w:t xml:space="preserve"> </w:t>
      </w:r>
      <w:r>
        <w:rPr>
          <w:rFonts w:ascii="宋体" w:hAnsi="宋体" w:eastAsia="宋体" w:cs="宋体"/>
          <w:spacing w:val="-6"/>
          <w:sz w:val="24"/>
          <w:szCs w:val="24"/>
        </w:rPr>
        <w:t>声环境保护目标昼夜噪声能满足标准要求。本工程建成运营后</w:t>
      </w:r>
      <w:r>
        <w:rPr>
          <w:rFonts w:ascii="宋体" w:hAnsi="宋体" w:eastAsia="宋体" w:cs="宋体"/>
          <w:spacing w:val="-7"/>
          <w:sz w:val="24"/>
          <w:szCs w:val="24"/>
        </w:rPr>
        <w:t>， 通过采取隔声屏</w:t>
      </w:r>
      <w:r>
        <w:rPr>
          <w:rFonts w:ascii="宋体" w:hAnsi="宋体" w:eastAsia="宋体" w:cs="宋体"/>
          <w:sz w:val="24"/>
          <w:szCs w:val="24"/>
        </w:rPr>
        <w:t xml:space="preserve"> </w:t>
      </w:r>
      <w:r>
        <w:rPr>
          <w:rFonts w:ascii="宋体" w:hAnsi="宋体" w:eastAsia="宋体" w:cs="宋体"/>
          <w:spacing w:val="-8"/>
          <w:sz w:val="24"/>
          <w:szCs w:val="24"/>
        </w:rPr>
        <w:t>障、绿化、安装隔声窗等措施后，</w:t>
      </w:r>
      <w:r>
        <w:rPr>
          <w:rFonts w:ascii="宋体" w:hAnsi="宋体" w:eastAsia="宋体" w:cs="宋体"/>
          <w:spacing w:val="42"/>
          <w:sz w:val="24"/>
          <w:szCs w:val="24"/>
        </w:rPr>
        <w:t xml:space="preserve"> </w:t>
      </w:r>
      <w:r>
        <w:rPr>
          <w:rFonts w:ascii="宋体" w:hAnsi="宋体" w:eastAsia="宋体" w:cs="宋体"/>
          <w:spacing w:val="-8"/>
          <w:sz w:val="24"/>
          <w:szCs w:val="24"/>
        </w:rPr>
        <w:t>工程周边环境保护目标室内</w:t>
      </w:r>
      <w:r>
        <w:rPr>
          <w:rFonts w:ascii="宋体" w:hAnsi="宋体" w:eastAsia="宋体" w:cs="宋体"/>
          <w:spacing w:val="-9"/>
          <w:sz w:val="24"/>
          <w:szCs w:val="24"/>
        </w:rPr>
        <w:t xml:space="preserve">声环境能符合《建 </w:t>
      </w:r>
      <w:r>
        <w:rPr>
          <w:rFonts w:ascii="宋体" w:hAnsi="宋体" w:eastAsia="宋体" w:cs="宋体"/>
          <w:spacing w:val="-2"/>
          <w:sz w:val="24"/>
          <w:szCs w:val="24"/>
        </w:rPr>
        <w:t>筑环境通用规划》</w:t>
      </w:r>
      <w:r>
        <w:rPr>
          <w:rFonts w:ascii="Times New Roman" w:hAnsi="Times New Roman" w:eastAsia="Times New Roman" w:cs="Times New Roman"/>
          <w:spacing w:val="-2"/>
          <w:sz w:val="24"/>
          <w:szCs w:val="24"/>
        </w:rPr>
        <w:t>(GB 55016-2021)</w:t>
      </w:r>
      <w:r>
        <w:rPr>
          <w:rFonts w:ascii="宋体" w:hAnsi="宋体" w:eastAsia="宋体" w:cs="宋体"/>
          <w:spacing w:val="-2"/>
          <w:sz w:val="24"/>
          <w:szCs w:val="24"/>
        </w:rPr>
        <w:t>，本项目的建设是为了便利区域交通的转换，</w:t>
      </w:r>
      <w:r>
        <w:rPr>
          <w:rFonts w:ascii="宋体" w:hAnsi="宋体" w:eastAsia="宋体" w:cs="宋体"/>
          <w:spacing w:val="17"/>
          <w:sz w:val="24"/>
          <w:szCs w:val="24"/>
        </w:rPr>
        <w:t xml:space="preserve"> </w:t>
      </w:r>
      <w:r>
        <w:rPr>
          <w:rFonts w:ascii="宋体" w:hAnsi="宋体" w:eastAsia="宋体" w:cs="宋体"/>
          <w:spacing w:val="2"/>
          <w:sz w:val="24"/>
          <w:szCs w:val="24"/>
        </w:rPr>
        <w:t>带动百丈漈</w:t>
      </w:r>
      <w:r>
        <w:rPr>
          <w:rFonts w:ascii="Times New Roman" w:hAnsi="Times New Roman" w:eastAsia="Times New Roman" w:cs="Times New Roman"/>
          <w:spacing w:val="2"/>
          <w:sz w:val="24"/>
          <w:szCs w:val="24"/>
        </w:rPr>
        <w:t>-</w:t>
      </w:r>
      <w:r>
        <w:rPr>
          <w:rFonts w:ascii="宋体" w:hAnsi="宋体" w:eastAsia="宋体" w:cs="宋体"/>
          <w:spacing w:val="2"/>
          <w:sz w:val="24"/>
          <w:szCs w:val="24"/>
        </w:rPr>
        <w:t>飞云湖风景名胜区的发展。本</w:t>
      </w:r>
      <w:r>
        <w:rPr>
          <w:rFonts w:ascii="宋体" w:hAnsi="宋体" w:eastAsia="宋体" w:cs="宋体"/>
          <w:spacing w:val="1"/>
          <w:sz w:val="24"/>
          <w:szCs w:val="24"/>
        </w:rPr>
        <w:t>项目噪声防治措施符合《地面交通噪</w:t>
      </w:r>
    </w:p>
    <w:p>
      <w:pPr>
        <w:spacing w:before="1" w:line="212" w:lineRule="auto"/>
        <w:ind w:left="42"/>
        <w:rPr>
          <w:rFonts w:ascii="宋体" w:hAnsi="宋体" w:eastAsia="宋体" w:cs="宋体"/>
          <w:sz w:val="24"/>
          <w:szCs w:val="24"/>
        </w:rPr>
      </w:pPr>
      <w:r>
        <w:rPr>
          <w:rFonts w:ascii="宋体" w:hAnsi="宋体" w:eastAsia="宋体" w:cs="宋体"/>
          <w:spacing w:val="-1"/>
          <w:sz w:val="24"/>
          <w:szCs w:val="24"/>
        </w:rPr>
        <w:t>声污染防治技术政策》</w:t>
      </w:r>
      <w:r>
        <w:rPr>
          <w:rFonts w:ascii="Times New Roman" w:hAnsi="Times New Roman" w:eastAsia="Times New Roman" w:cs="Times New Roman"/>
          <w:spacing w:val="-1"/>
          <w:sz w:val="24"/>
          <w:szCs w:val="24"/>
        </w:rPr>
        <w:t>(</w:t>
      </w:r>
      <w:r>
        <w:rPr>
          <w:rFonts w:ascii="宋体" w:hAnsi="宋体" w:eastAsia="宋体" w:cs="宋体"/>
          <w:spacing w:val="-1"/>
          <w:sz w:val="24"/>
          <w:szCs w:val="24"/>
        </w:rPr>
        <w:t>环发</w:t>
      </w:r>
      <w:r>
        <w:rPr>
          <w:rFonts w:ascii="Times New Roman" w:hAnsi="Times New Roman" w:eastAsia="Times New Roman" w:cs="Times New Roman"/>
          <w:spacing w:val="-1"/>
          <w:sz w:val="24"/>
          <w:szCs w:val="24"/>
        </w:rPr>
        <w:t>[2010]</w:t>
      </w:r>
      <w:r>
        <w:rPr>
          <w:rFonts w:ascii="Times New Roman" w:hAnsi="Times New Roman" w:eastAsia="Times New Roman" w:cs="Times New Roman"/>
          <w:spacing w:val="-2"/>
          <w:sz w:val="24"/>
          <w:szCs w:val="24"/>
        </w:rPr>
        <w:t xml:space="preserve">7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w:t>
      </w:r>
      <w:r>
        <w:rPr>
          <w:rFonts w:ascii="宋体" w:hAnsi="宋体" w:eastAsia="宋体" w:cs="宋体"/>
          <w:spacing w:val="-2"/>
          <w:sz w:val="24"/>
          <w:szCs w:val="24"/>
        </w:rPr>
        <w:t>的相关要求。</w:t>
      </w:r>
    </w:p>
    <w:p>
      <w:pPr>
        <w:spacing w:before="191" w:line="359" w:lineRule="auto"/>
        <w:ind w:left="34" w:right="12" w:firstLine="484"/>
        <w:rPr>
          <w:rFonts w:ascii="宋体" w:hAnsi="宋体" w:eastAsia="宋体" w:cs="宋体"/>
          <w:sz w:val="24"/>
          <w:szCs w:val="24"/>
        </w:rPr>
      </w:pPr>
      <w:r>
        <w:rPr>
          <w:rFonts w:ascii="宋体" w:hAnsi="宋体" w:eastAsia="宋体" w:cs="宋体"/>
          <w:spacing w:val="-1"/>
          <w:sz w:val="24"/>
          <w:szCs w:val="24"/>
        </w:rPr>
        <w:t>本项目附近地表水环境能满足《地表水环境质量标准》</w:t>
      </w:r>
      <w:r>
        <w:rPr>
          <w:rFonts w:ascii="Times New Roman" w:hAnsi="Times New Roman" w:eastAsia="Times New Roman" w:cs="Times New Roman"/>
          <w:spacing w:val="-1"/>
          <w:sz w:val="24"/>
          <w:szCs w:val="24"/>
        </w:rPr>
        <w:t>(GB3838-2002</w:t>
      </w:r>
      <w:r>
        <w:rPr>
          <w:rFonts w:ascii="Times New Roman" w:hAnsi="Times New Roman" w:eastAsia="Times New Roman" w:cs="Times New Roman"/>
          <w:spacing w:val="-2"/>
          <w:sz w:val="24"/>
          <w:szCs w:val="24"/>
        </w:rPr>
        <w:t>)Ⅱ</w:t>
      </w:r>
      <w:r>
        <w:rPr>
          <w:rFonts w:ascii="仿宋" w:hAnsi="仿宋" w:eastAsia="仿宋" w:cs="仿宋"/>
          <w:spacing w:val="-2"/>
          <w:sz w:val="24"/>
          <w:szCs w:val="24"/>
        </w:rPr>
        <w:t>类</w:t>
      </w:r>
      <w:r>
        <w:rPr>
          <w:rFonts w:ascii="宋体" w:hAnsi="宋体" w:eastAsia="宋体" w:cs="宋体"/>
          <w:spacing w:val="-2"/>
          <w:sz w:val="24"/>
          <w:szCs w:val="24"/>
        </w:rPr>
        <w:t>、</w:t>
      </w:r>
      <w:r>
        <w:rPr>
          <w:rFonts w:ascii="宋体" w:hAnsi="宋体" w:eastAsia="宋体" w:cs="宋体"/>
          <w:sz w:val="24"/>
          <w:szCs w:val="24"/>
        </w:rPr>
        <w:t xml:space="preserve"> </w:t>
      </w:r>
      <w:r>
        <w:rPr>
          <w:rFonts w:ascii="Times New Roman" w:hAnsi="Times New Roman" w:eastAsia="Times New Roman" w:cs="Times New Roman"/>
          <w:spacing w:val="-7"/>
          <w:sz w:val="24"/>
          <w:szCs w:val="24"/>
        </w:rPr>
        <w:t>Ⅲ</w:t>
      </w:r>
      <w:r>
        <w:rPr>
          <w:rFonts w:ascii="宋体" w:hAnsi="宋体" w:eastAsia="宋体" w:cs="宋体"/>
          <w:spacing w:val="-7"/>
          <w:sz w:val="24"/>
          <w:szCs w:val="24"/>
        </w:rPr>
        <w:t>类标准的要求，</w:t>
      </w:r>
      <w:r>
        <w:rPr>
          <w:rFonts w:ascii="宋体" w:hAnsi="宋体" w:eastAsia="宋体" w:cs="宋体"/>
          <w:spacing w:val="34"/>
          <w:sz w:val="24"/>
          <w:szCs w:val="24"/>
        </w:rPr>
        <w:t xml:space="preserve"> </w:t>
      </w:r>
      <w:r>
        <w:rPr>
          <w:rFonts w:ascii="宋体" w:hAnsi="宋体" w:eastAsia="宋体" w:cs="宋体"/>
          <w:spacing w:val="-7"/>
          <w:sz w:val="24"/>
          <w:szCs w:val="24"/>
        </w:rPr>
        <w:t>当地地表水环境质量现状较好。本项目施工期生活污水利用已</w:t>
      </w:r>
      <w:r>
        <w:rPr>
          <w:rFonts w:ascii="宋体" w:hAnsi="宋体" w:eastAsia="宋体" w:cs="宋体"/>
          <w:sz w:val="24"/>
          <w:szCs w:val="24"/>
        </w:rPr>
        <w:t xml:space="preserve"> </w:t>
      </w:r>
      <w:r>
        <w:rPr>
          <w:rFonts w:ascii="宋体" w:hAnsi="宋体" w:eastAsia="宋体" w:cs="宋体"/>
          <w:spacing w:val="-9"/>
          <w:sz w:val="24"/>
          <w:szCs w:val="24"/>
        </w:rPr>
        <w:t xml:space="preserve">有的设施进行处理或预处理后清运， 生产废水处理后回用， </w:t>
      </w:r>
      <w:r>
        <w:rPr>
          <w:rFonts w:ascii="宋体" w:hAnsi="宋体" w:eastAsia="宋体" w:cs="宋体"/>
          <w:spacing w:val="-10"/>
          <w:sz w:val="24"/>
          <w:szCs w:val="24"/>
        </w:rPr>
        <w:t>营运期加强对路面和</w:t>
      </w:r>
    </w:p>
    <w:p>
      <w:pPr>
        <w:spacing w:before="1" w:line="219" w:lineRule="auto"/>
        <w:ind w:left="38"/>
        <w:rPr>
          <w:rFonts w:ascii="宋体" w:hAnsi="宋体" w:eastAsia="宋体" w:cs="宋体"/>
          <w:sz w:val="24"/>
          <w:szCs w:val="24"/>
        </w:rPr>
      </w:pPr>
      <w:r>
        <w:rPr>
          <w:rFonts w:ascii="宋体" w:hAnsi="宋体" w:eastAsia="宋体" w:cs="宋体"/>
          <w:spacing w:val="-9"/>
          <w:sz w:val="24"/>
          <w:szCs w:val="24"/>
        </w:rPr>
        <w:t>桥面的日常维护与管理， 保持路面和桥面清洁， 及</w:t>
      </w:r>
      <w:r>
        <w:rPr>
          <w:rFonts w:ascii="宋体" w:hAnsi="宋体" w:eastAsia="宋体" w:cs="宋体"/>
          <w:spacing w:val="-10"/>
          <w:sz w:val="24"/>
          <w:szCs w:val="24"/>
        </w:rPr>
        <w:t>时清理路面和桥面上累积的尘</w:t>
      </w:r>
    </w:p>
    <w:p>
      <w:pPr>
        <w:spacing w:line="219" w:lineRule="auto"/>
        <w:rPr>
          <w:rFonts w:ascii="宋体" w:hAnsi="宋体" w:eastAsia="宋体" w:cs="宋体"/>
          <w:sz w:val="24"/>
          <w:szCs w:val="24"/>
        </w:rPr>
        <w:sectPr>
          <w:headerReference r:id="rId15" w:type="default"/>
          <w:footerReference r:id="rId16" w:type="default"/>
          <w:pgSz w:w="11907" w:h="16839"/>
          <w:pgMar w:top="1118" w:right="1716" w:bottom="1175" w:left="1771" w:header="879" w:footer="1013" w:gutter="0"/>
          <w:cols w:space="720" w:num="1"/>
        </w:sectPr>
      </w:pPr>
    </w:p>
    <w:p>
      <w:pPr>
        <w:pStyle w:val="2"/>
        <w:spacing w:line="278" w:lineRule="auto"/>
      </w:pPr>
    </w:p>
    <w:p>
      <w:pPr>
        <w:spacing w:before="78" w:line="219" w:lineRule="auto"/>
        <w:ind w:left="39"/>
        <w:rPr>
          <w:rFonts w:ascii="宋体" w:hAnsi="宋体" w:eastAsia="宋体" w:cs="宋体"/>
          <w:sz w:val="24"/>
          <w:szCs w:val="24"/>
        </w:rPr>
      </w:pPr>
      <w:r>
        <w:rPr>
          <w:rFonts w:ascii="宋体" w:hAnsi="宋体" w:eastAsia="宋体" w:cs="宋体"/>
          <w:spacing w:val="-1"/>
          <w:sz w:val="24"/>
          <w:szCs w:val="24"/>
        </w:rPr>
        <w:t>土、碎屑、油污和吸附物，因此，基本不会</w:t>
      </w:r>
      <w:r>
        <w:rPr>
          <w:rFonts w:ascii="宋体" w:hAnsi="宋体" w:eastAsia="宋体" w:cs="宋体"/>
          <w:spacing w:val="-2"/>
          <w:sz w:val="24"/>
          <w:szCs w:val="24"/>
        </w:rPr>
        <w:t>对地表水体水质造成影响。</w:t>
      </w:r>
    </w:p>
    <w:p>
      <w:pPr>
        <w:spacing w:before="183" w:line="466" w:lineRule="exact"/>
        <w:ind w:left="519"/>
        <w:rPr>
          <w:rFonts w:ascii="宋体" w:hAnsi="宋体" w:eastAsia="宋体" w:cs="宋体"/>
          <w:sz w:val="24"/>
          <w:szCs w:val="24"/>
        </w:rPr>
      </w:pPr>
      <w:r>
        <w:rPr>
          <w:rFonts w:ascii="宋体" w:hAnsi="宋体" w:eastAsia="宋体" w:cs="宋体"/>
          <w:spacing w:val="-6"/>
          <w:position w:val="17"/>
          <w:sz w:val="24"/>
          <w:szCs w:val="24"/>
        </w:rPr>
        <w:t>本项目营运期无土壤环境风险，</w:t>
      </w:r>
      <w:r>
        <w:rPr>
          <w:rFonts w:ascii="宋体" w:hAnsi="宋体" w:eastAsia="宋体" w:cs="宋体"/>
          <w:spacing w:val="-27"/>
          <w:position w:val="17"/>
          <w:sz w:val="24"/>
          <w:szCs w:val="24"/>
        </w:rPr>
        <w:t xml:space="preserve"> </w:t>
      </w:r>
      <w:r>
        <w:rPr>
          <w:rFonts w:ascii="宋体" w:hAnsi="宋体" w:eastAsia="宋体" w:cs="宋体"/>
          <w:spacing w:val="-6"/>
          <w:position w:val="17"/>
          <w:sz w:val="24"/>
          <w:szCs w:val="24"/>
        </w:rPr>
        <w:t>本工程的建设符合沿线区域土壤环境风险防</w:t>
      </w:r>
    </w:p>
    <w:p>
      <w:pPr>
        <w:spacing w:line="220" w:lineRule="auto"/>
        <w:ind w:left="37"/>
        <w:rPr>
          <w:rFonts w:ascii="宋体" w:hAnsi="宋体" w:eastAsia="宋体" w:cs="宋体"/>
          <w:sz w:val="24"/>
          <w:szCs w:val="24"/>
        </w:rPr>
      </w:pPr>
      <w:r>
        <w:rPr>
          <w:rFonts w:ascii="宋体" w:hAnsi="宋体" w:eastAsia="宋体" w:cs="宋体"/>
          <w:spacing w:val="-5"/>
          <w:sz w:val="24"/>
          <w:szCs w:val="24"/>
        </w:rPr>
        <w:t>控底线目标要求。</w:t>
      </w:r>
    </w:p>
    <w:p>
      <w:pPr>
        <w:spacing w:before="180" w:line="359" w:lineRule="auto"/>
        <w:ind w:left="43" w:right="83" w:firstLine="477"/>
        <w:rPr>
          <w:rFonts w:ascii="宋体" w:hAnsi="宋体" w:eastAsia="宋体" w:cs="宋体"/>
          <w:sz w:val="24"/>
          <w:szCs w:val="24"/>
        </w:rPr>
      </w:pPr>
      <w:r>
        <w:rPr>
          <w:rFonts w:ascii="宋体" w:hAnsi="宋体" w:eastAsia="宋体" w:cs="宋体"/>
          <w:spacing w:val="-3"/>
          <w:sz w:val="24"/>
          <w:szCs w:val="24"/>
        </w:rPr>
        <w:t>综上分析，本项目为公路工程建设项目，排放的各污</w:t>
      </w:r>
      <w:r>
        <w:rPr>
          <w:rFonts w:ascii="宋体" w:hAnsi="宋体" w:eastAsia="宋体" w:cs="宋体"/>
          <w:spacing w:val="-4"/>
          <w:sz w:val="24"/>
          <w:szCs w:val="24"/>
        </w:rPr>
        <w:t>染物在采取相应的污染</w:t>
      </w:r>
      <w:r>
        <w:rPr>
          <w:rFonts w:ascii="宋体" w:hAnsi="宋体" w:eastAsia="宋体" w:cs="宋体"/>
          <w:sz w:val="24"/>
          <w:szCs w:val="24"/>
        </w:rPr>
        <w:t xml:space="preserve"> </w:t>
      </w:r>
      <w:r>
        <w:rPr>
          <w:rFonts w:ascii="宋体" w:hAnsi="宋体" w:eastAsia="宋体" w:cs="宋体"/>
          <w:spacing w:val="-3"/>
          <w:sz w:val="24"/>
          <w:szCs w:val="24"/>
        </w:rPr>
        <w:t>治理措施和持续改善要求后，能够保证沿线区域大气环境、水环境、土</w:t>
      </w:r>
      <w:r>
        <w:rPr>
          <w:rFonts w:ascii="宋体" w:hAnsi="宋体" w:eastAsia="宋体" w:cs="宋体"/>
          <w:spacing w:val="-4"/>
          <w:sz w:val="24"/>
          <w:szCs w:val="24"/>
        </w:rPr>
        <w:t>壤环境风</w:t>
      </w:r>
      <w:r>
        <w:rPr>
          <w:rFonts w:ascii="宋体" w:hAnsi="宋体" w:eastAsia="宋体" w:cs="宋体"/>
          <w:sz w:val="24"/>
          <w:szCs w:val="24"/>
        </w:rPr>
        <w:t xml:space="preserve"> </w:t>
      </w:r>
      <w:r>
        <w:rPr>
          <w:rFonts w:ascii="宋体" w:hAnsi="宋体" w:eastAsia="宋体" w:cs="宋体"/>
          <w:spacing w:val="-10"/>
          <w:sz w:val="24"/>
          <w:szCs w:val="24"/>
        </w:rPr>
        <w:t>险不因本项目的实施而超出沿线区域大气环境质量、水环境质量、土壤环境风险防</w:t>
      </w:r>
    </w:p>
    <w:p>
      <w:pPr>
        <w:spacing w:before="1" w:line="218" w:lineRule="auto"/>
        <w:ind w:left="37"/>
        <w:rPr>
          <w:rFonts w:ascii="宋体" w:hAnsi="宋体" w:eastAsia="宋体" w:cs="宋体"/>
          <w:sz w:val="24"/>
          <w:szCs w:val="24"/>
        </w:rPr>
      </w:pPr>
      <w:r>
        <w:rPr>
          <w:rFonts w:ascii="宋体" w:hAnsi="宋体" w:eastAsia="宋体" w:cs="宋体"/>
          <w:spacing w:val="-6"/>
          <w:sz w:val="24"/>
          <w:szCs w:val="24"/>
        </w:rPr>
        <w:t>控底线目标。因此，本项目的建设符合环境质量底线目标要求。</w:t>
      </w:r>
    </w:p>
    <w:p>
      <w:pPr>
        <w:spacing w:before="184" w:line="220" w:lineRule="auto"/>
        <w:ind w:left="44"/>
        <w:outlineLvl w:val="0"/>
        <w:rPr>
          <w:rFonts w:ascii="宋体" w:hAnsi="宋体" w:eastAsia="宋体" w:cs="宋体"/>
          <w:sz w:val="24"/>
          <w:szCs w:val="24"/>
        </w:rPr>
      </w:pPr>
      <w:r>
        <w:fldChar w:fldCharType="begin"/>
      </w:r>
      <w:r>
        <w:instrText xml:space="preserve"> HYPERLINK "1.3.2.3" </w:instrText>
      </w:r>
      <w:r>
        <w:fldChar w:fldCharType="separate"/>
      </w:r>
      <w:r>
        <w:rPr>
          <w:rFonts w:ascii="Times New Roman" w:hAnsi="Times New Roman" w:eastAsia="Times New Roman" w:cs="Times New Roman"/>
          <w:b/>
          <w:bCs/>
          <w:spacing w:val="-3"/>
          <w:sz w:val="24"/>
          <w:szCs w:val="24"/>
        </w:rPr>
        <w:t>1.3.2.3</w:t>
      </w:r>
      <w:r>
        <w:rPr>
          <w:rFonts w:ascii="Times New Roman" w:hAnsi="Times New Roman" w:eastAsia="Times New Roman" w:cs="Times New Roman"/>
          <w:b/>
          <w:bCs/>
          <w:spacing w:val="-3"/>
          <w:sz w:val="24"/>
          <w:szCs w:val="24"/>
        </w:rPr>
        <w:fldChar w:fldCharType="end"/>
      </w:r>
      <w:r>
        <w:rPr>
          <w:rFonts w:ascii="Times New Roman" w:hAnsi="Times New Roman" w:eastAsia="Times New Roman" w:cs="Times New Roman"/>
          <w:b/>
          <w:bCs/>
          <w:spacing w:val="14"/>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资源利用上线</w:t>
      </w:r>
    </w:p>
    <w:p>
      <w:pPr>
        <w:spacing w:before="179" w:line="359" w:lineRule="auto"/>
        <w:ind w:left="33" w:firstLine="485"/>
        <w:jc w:val="both"/>
        <w:rPr>
          <w:rFonts w:ascii="宋体" w:hAnsi="宋体" w:eastAsia="宋体" w:cs="宋体"/>
          <w:sz w:val="24"/>
          <w:szCs w:val="24"/>
        </w:rPr>
      </w:pPr>
      <w:r>
        <w:rPr>
          <w:rFonts w:ascii="宋体" w:hAnsi="宋体" w:eastAsia="宋体" w:cs="宋体"/>
          <w:spacing w:val="-2"/>
          <w:sz w:val="24"/>
          <w:szCs w:val="24"/>
        </w:rPr>
        <w:t xml:space="preserve">本工程用地红线及边坡占地面积共 </w:t>
      </w:r>
      <w:r>
        <w:rPr>
          <w:rFonts w:ascii="Times New Roman" w:hAnsi="Times New Roman" w:eastAsia="Times New Roman" w:cs="Times New Roman"/>
          <w:spacing w:val="-2"/>
          <w:sz w:val="24"/>
          <w:szCs w:val="24"/>
        </w:rPr>
        <w:t xml:space="preserve">31.0501  </w:t>
      </w:r>
      <w:r>
        <w:rPr>
          <w:rFonts w:ascii="宋体" w:hAnsi="宋体" w:eastAsia="宋体" w:cs="宋体"/>
          <w:spacing w:val="-2"/>
          <w:sz w:val="24"/>
          <w:szCs w:val="24"/>
        </w:rPr>
        <w:t>公顷</w:t>
      </w:r>
      <w:r>
        <w:rPr>
          <w:rFonts w:ascii="宋体" w:hAnsi="宋体" w:eastAsia="宋体" w:cs="宋体"/>
          <w:spacing w:val="-3"/>
          <w:sz w:val="24"/>
          <w:szCs w:val="24"/>
        </w:rPr>
        <w:t>，</w:t>
      </w:r>
      <w:r>
        <w:rPr>
          <w:rFonts w:ascii="宋体" w:hAnsi="宋体" w:eastAsia="宋体" w:cs="宋体"/>
          <w:spacing w:val="30"/>
          <w:sz w:val="24"/>
          <w:szCs w:val="24"/>
        </w:rPr>
        <w:t xml:space="preserve"> </w:t>
      </w:r>
      <w:r>
        <w:rPr>
          <w:rFonts w:ascii="宋体" w:hAnsi="宋体" w:eastAsia="宋体" w:cs="宋体"/>
          <w:spacing w:val="-3"/>
          <w:sz w:val="24"/>
          <w:szCs w:val="24"/>
        </w:rPr>
        <w:t xml:space="preserve">已审批用地红线内面积 </w:t>
      </w:r>
      <w:r>
        <w:rPr>
          <w:rFonts w:ascii="Times New Roman" w:hAnsi="Times New Roman" w:eastAsia="Times New Roman" w:cs="Times New Roman"/>
          <w:spacing w:val="-1"/>
          <w:sz w:val="24"/>
          <w:szCs w:val="24"/>
        </w:rPr>
        <w:t>20.8837</w:t>
      </w:r>
      <w:r>
        <w:rPr>
          <w:rFonts w:ascii="Times New Roman" w:hAnsi="Times New Roman" w:eastAsia="Times New Roman" w:cs="Times New Roman"/>
          <w:spacing w:val="44"/>
          <w:sz w:val="24"/>
          <w:szCs w:val="24"/>
        </w:rPr>
        <w:t xml:space="preserve"> </w:t>
      </w:r>
      <w:r>
        <w:rPr>
          <w:rFonts w:ascii="宋体" w:hAnsi="宋体" w:eastAsia="宋体" w:cs="宋体"/>
          <w:spacing w:val="-1"/>
          <w:sz w:val="24"/>
          <w:szCs w:val="24"/>
        </w:rPr>
        <w:t xml:space="preserve">公顷，边坡用地应按要求办理相关手续，项目用地对于区域可建设用地 </w:t>
      </w:r>
      <w:r>
        <w:rPr>
          <w:rFonts w:ascii="宋体" w:hAnsi="宋体" w:eastAsia="宋体" w:cs="宋体"/>
          <w:spacing w:val="-13"/>
          <w:sz w:val="24"/>
          <w:szCs w:val="24"/>
        </w:rPr>
        <w:t>来说， 占比较小。建设项目涉及占用耕地， 应当补充数量相同、质量相当的耕地。</w:t>
      </w:r>
      <w:r>
        <w:rPr>
          <w:rFonts w:ascii="宋体" w:hAnsi="宋体" w:eastAsia="宋体" w:cs="宋体"/>
          <w:sz w:val="24"/>
          <w:szCs w:val="24"/>
        </w:rPr>
        <w:t xml:space="preserve"> </w:t>
      </w:r>
      <w:r>
        <w:rPr>
          <w:rFonts w:ascii="宋体" w:hAnsi="宋体" w:eastAsia="宋体" w:cs="宋体"/>
          <w:spacing w:val="-11"/>
          <w:sz w:val="24"/>
          <w:szCs w:val="24"/>
        </w:rPr>
        <w:t>涉及占用的林地包括生态公益林，</w:t>
      </w:r>
      <w:r>
        <w:rPr>
          <w:rFonts w:ascii="宋体" w:hAnsi="宋体" w:eastAsia="宋体" w:cs="宋体"/>
          <w:spacing w:val="32"/>
          <w:sz w:val="24"/>
          <w:szCs w:val="24"/>
        </w:rPr>
        <w:t xml:space="preserve"> </w:t>
      </w:r>
      <w:r>
        <w:rPr>
          <w:rFonts w:ascii="宋体" w:hAnsi="宋体" w:eastAsia="宋体" w:cs="宋体"/>
          <w:spacing w:val="-11"/>
          <w:sz w:val="24"/>
          <w:szCs w:val="24"/>
        </w:rPr>
        <w:t>应按有关规</w:t>
      </w:r>
      <w:r>
        <w:rPr>
          <w:rFonts w:ascii="宋体" w:hAnsi="宋体" w:eastAsia="宋体" w:cs="宋体"/>
          <w:spacing w:val="-12"/>
          <w:sz w:val="24"/>
          <w:szCs w:val="24"/>
        </w:rPr>
        <w:t>定办理占用相关手续。因此，</w:t>
      </w:r>
      <w:r>
        <w:rPr>
          <w:rFonts w:ascii="宋体" w:hAnsi="宋体" w:eastAsia="宋体" w:cs="宋体"/>
          <w:spacing w:val="34"/>
          <w:sz w:val="24"/>
          <w:szCs w:val="24"/>
        </w:rPr>
        <w:t xml:space="preserve"> </w:t>
      </w:r>
      <w:r>
        <w:rPr>
          <w:rFonts w:ascii="宋体" w:hAnsi="宋体" w:eastAsia="宋体" w:cs="宋体"/>
          <w:spacing w:val="-12"/>
          <w:sz w:val="24"/>
          <w:szCs w:val="24"/>
        </w:rPr>
        <w:t>工程</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用地资源不会超过文成县土地资源利用上线。</w:t>
      </w:r>
    </w:p>
    <w:p>
      <w:pPr>
        <w:spacing w:before="184" w:line="359" w:lineRule="auto"/>
        <w:ind w:left="39" w:right="84" w:firstLine="479"/>
        <w:jc w:val="both"/>
        <w:rPr>
          <w:rFonts w:ascii="宋体" w:hAnsi="宋体" w:eastAsia="宋体" w:cs="宋体"/>
          <w:sz w:val="24"/>
          <w:szCs w:val="24"/>
        </w:rPr>
      </w:pPr>
      <w:r>
        <w:rPr>
          <w:rFonts w:ascii="宋体" w:hAnsi="宋体" w:eastAsia="宋体" w:cs="宋体"/>
          <w:spacing w:val="-7"/>
          <w:sz w:val="24"/>
          <w:szCs w:val="24"/>
        </w:rPr>
        <w:t>本工程施工期用水较少， 生产废水处理后回用，生活污水经过处理后灌溉山</w:t>
      </w:r>
      <w:r>
        <w:rPr>
          <w:rFonts w:ascii="宋体" w:hAnsi="宋体" w:eastAsia="宋体" w:cs="宋体"/>
          <w:spacing w:val="11"/>
          <w:sz w:val="24"/>
          <w:szCs w:val="24"/>
        </w:rPr>
        <w:t xml:space="preserve"> </w:t>
      </w:r>
      <w:r>
        <w:rPr>
          <w:rFonts w:ascii="宋体" w:hAnsi="宋体" w:eastAsia="宋体" w:cs="宋体"/>
          <w:spacing w:val="-8"/>
          <w:sz w:val="24"/>
          <w:szCs w:val="24"/>
        </w:rPr>
        <w:t>林。运营期无生产废水及生活污水排放，主要用水为消防的高位水池，</w:t>
      </w:r>
      <w:r>
        <w:rPr>
          <w:rFonts w:ascii="宋体" w:hAnsi="宋体" w:eastAsia="宋体" w:cs="宋体"/>
          <w:spacing w:val="56"/>
          <w:sz w:val="24"/>
          <w:szCs w:val="24"/>
        </w:rPr>
        <w:t xml:space="preserve"> </w:t>
      </w:r>
      <w:r>
        <w:rPr>
          <w:rFonts w:ascii="宋体" w:hAnsi="宋体" w:eastAsia="宋体" w:cs="宋体"/>
          <w:spacing w:val="-8"/>
          <w:sz w:val="24"/>
          <w:szCs w:val="24"/>
        </w:rPr>
        <w:t>高位水池</w:t>
      </w:r>
    </w:p>
    <w:p>
      <w:pPr>
        <w:spacing w:before="1" w:line="218" w:lineRule="auto"/>
        <w:ind w:left="42"/>
        <w:rPr>
          <w:rFonts w:ascii="宋体" w:hAnsi="宋体" w:eastAsia="宋体" w:cs="宋体"/>
          <w:sz w:val="24"/>
          <w:szCs w:val="24"/>
        </w:rPr>
      </w:pPr>
      <w:r>
        <w:rPr>
          <w:rFonts w:ascii="宋体" w:hAnsi="宋体" w:eastAsia="宋体" w:cs="宋体"/>
          <w:spacing w:val="-7"/>
          <w:sz w:val="24"/>
          <w:szCs w:val="24"/>
        </w:rPr>
        <w:t>消防用水一般进行定期补充，</w:t>
      </w:r>
      <w:r>
        <w:rPr>
          <w:rFonts w:ascii="宋体" w:hAnsi="宋体" w:eastAsia="宋体" w:cs="宋体"/>
          <w:spacing w:val="82"/>
          <w:sz w:val="24"/>
          <w:szCs w:val="24"/>
        </w:rPr>
        <w:t xml:space="preserve"> </w:t>
      </w:r>
      <w:r>
        <w:rPr>
          <w:rFonts w:ascii="宋体" w:hAnsi="宋体" w:eastAsia="宋体" w:cs="宋体"/>
          <w:spacing w:val="-7"/>
          <w:sz w:val="24"/>
          <w:szCs w:val="24"/>
        </w:rPr>
        <w:t>因此本项目用水不会超</w:t>
      </w:r>
      <w:r>
        <w:rPr>
          <w:rFonts w:ascii="宋体" w:hAnsi="宋体" w:eastAsia="宋体" w:cs="宋体"/>
          <w:spacing w:val="-8"/>
          <w:sz w:val="24"/>
          <w:szCs w:val="24"/>
        </w:rPr>
        <w:t>过区域水资源利用上线。</w:t>
      </w:r>
    </w:p>
    <w:p>
      <w:pPr>
        <w:spacing w:before="184" w:line="219" w:lineRule="auto"/>
        <w:ind w:left="520"/>
        <w:rPr>
          <w:rFonts w:ascii="宋体" w:hAnsi="宋体" w:eastAsia="宋体" w:cs="宋体"/>
          <w:sz w:val="24"/>
          <w:szCs w:val="24"/>
        </w:rPr>
      </w:pPr>
      <w:r>
        <w:rPr>
          <w:rFonts w:ascii="宋体" w:hAnsi="宋体" w:eastAsia="宋体" w:cs="宋体"/>
          <w:spacing w:val="-2"/>
          <w:sz w:val="24"/>
          <w:szCs w:val="24"/>
        </w:rPr>
        <w:t>综上，本工程建设不会超过区域土地和水资源利用上线。</w:t>
      </w:r>
    </w:p>
    <w:p>
      <w:pPr>
        <w:spacing w:before="180" w:line="220" w:lineRule="auto"/>
        <w:ind w:left="44"/>
        <w:outlineLvl w:val="0"/>
        <w:rPr>
          <w:rFonts w:ascii="宋体" w:hAnsi="宋体" w:eastAsia="宋体" w:cs="宋体"/>
          <w:sz w:val="24"/>
          <w:szCs w:val="24"/>
        </w:rPr>
      </w:pPr>
      <w:r>
        <w:fldChar w:fldCharType="begin"/>
      </w:r>
      <w:r>
        <w:instrText xml:space="preserve"> HYPERLINK "1.3.2.4" </w:instrText>
      </w:r>
      <w:r>
        <w:fldChar w:fldCharType="separate"/>
      </w:r>
      <w:r>
        <w:rPr>
          <w:rFonts w:ascii="Times New Roman" w:hAnsi="Times New Roman" w:eastAsia="Times New Roman" w:cs="Times New Roman"/>
          <w:b/>
          <w:bCs/>
          <w:spacing w:val="-1"/>
          <w:sz w:val="24"/>
          <w:szCs w:val="24"/>
        </w:rPr>
        <w:t>1.3.2.4</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生态环境准入清单管控要求</w:t>
      </w:r>
    </w:p>
    <w:p>
      <w:pPr>
        <w:spacing w:before="183" w:line="359" w:lineRule="auto"/>
        <w:ind w:left="40" w:right="18" w:firstLine="478"/>
        <w:jc w:val="both"/>
        <w:rPr>
          <w:rFonts w:ascii="宋体" w:hAnsi="宋体" w:eastAsia="宋体" w:cs="宋体"/>
          <w:sz w:val="24"/>
          <w:szCs w:val="24"/>
        </w:rPr>
      </w:pPr>
      <w:r>
        <w:rPr>
          <w:rFonts w:ascii="宋体" w:hAnsi="宋体" w:eastAsia="宋体" w:cs="宋体"/>
          <w:spacing w:val="-7"/>
          <w:sz w:val="24"/>
          <w:szCs w:val="24"/>
        </w:rPr>
        <w:t>本项目属于公路建设项目，</w:t>
      </w:r>
      <w:r>
        <w:rPr>
          <w:rFonts w:ascii="宋体" w:hAnsi="宋体" w:eastAsia="宋体" w:cs="宋体"/>
          <w:spacing w:val="41"/>
          <w:sz w:val="24"/>
          <w:szCs w:val="24"/>
        </w:rPr>
        <w:t xml:space="preserve"> </w:t>
      </w:r>
      <w:r>
        <w:rPr>
          <w:rFonts w:ascii="宋体" w:hAnsi="宋体" w:eastAsia="宋体" w:cs="宋体"/>
          <w:spacing w:val="-7"/>
          <w:sz w:val="24"/>
          <w:szCs w:val="24"/>
        </w:rPr>
        <w:t>经对照《文成县</w:t>
      </w:r>
      <w:r>
        <w:rPr>
          <w:rFonts w:ascii="Times New Roman" w:hAnsi="Times New Roman" w:eastAsia="Times New Roman" w:cs="Times New Roman"/>
          <w:spacing w:val="-7"/>
          <w:sz w:val="24"/>
          <w:szCs w:val="24"/>
        </w:rPr>
        <w:t>“</w:t>
      </w:r>
      <w:r>
        <w:rPr>
          <w:rFonts w:ascii="宋体" w:hAnsi="宋体" w:eastAsia="宋体" w:cs="宋体"/>
          <w:spacing w:val="-7"/>
          <w:sz w:val="24"/>
          <w:szCs w:val="24"/>
        </w:rPr>
        <w:t>三线一单</w:t>
      </w:r>
      <w:r>
        <w:rPr>
          <w:rFonts w:ascii="Times New Roman" w:hAnsi="Times New Roman" w:eastAsia="Times New Roman" w:cs="Times New Roman"/>
          <w:spacing w:val="-7"/>
          <w:sz w:val="24"/>
          <w:szCs w:val="24"/>
        </w:rPr>
        <w:t>”</w:t>
      </w:r>
      <w:r>
        <w:rPr>
          <w:rFonts w:ascii="宋体" w:hAnsi="宋体" w:eastAsia="宋体" w:cs="宋体"/>
          <w:spacing w:val="-7"/>
          <w:sz w:val="24"/>
          <w:szCs w:val="24"/>
        </w:rPr>
        <w:t>生态环境分区管控方</w:t>
      </w:r>
      <w:r>
        <w:rPr>
          <w:rFonts w:ascii="宋体" w:hAnsi="宋体" w:eastAsia="宋体" w:cs="宋体"/>
          <w:sz w:val="24"/>
          <w:szCs w:val="24"/>
        </w:rPr>
        <w:t xml:space="preserve"> </w:t>
      </w:r>
      <w:r>
        <w:rPr>
          <w:rFonts w:ascii="宋体" w:hAnsi="宋体" w:eastAsia="宋体" w:cs="宋体"/>
          <w:spacing w:val="-11"/>
          <w:sz w:val="24"/>
          <w:szCs w:val="24"/>
        </w:rPr>
        <w:t>案》管控要求， 项目所属行业、规划选址及环境保护措施等均满足准入基本条件，</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未列入管控负面清单内，符合管控要求。</w:t>
      </w:r>
    </w:p>
    <w:p>
      <w:pPr>
        <w:spacing w:before="180" w:line="219" w:lineRule="auto"/>
        <w:ind w:left="520"/>
        <w:rPr>
          <w:rFonts w:ascii="宋体" w:hAnsi="宋体" w:eastAsia="宋体" w:cs="宋体"/>
          <w:sz w:val="24"/>
          <w:szCs w:val="24"/>
        </w:rPr>
      </w:pPr>
      <w:r>
        <w:rPr>
          <w:rFonts w:ascii="宋体" w:hAnsi="宋体" w:eastAsia="宋体" w:cs="宋体"/>
          <w:spacing w:val="-3"/>
          <w:sz w:val="24"/>
          <w:szCs w:val="24"/>
        </w:rPr>
        <w:t>综上所述，本工程能够符合</w:t>
      </w:r>
      <w:r>
        <w:rPr>
          <w:rFonts w:ascii="Times New Roman" w:hAnsi="Times New Roman" w:eastAsia="Times New Roman" w:cs="Times New Roman"/>
          <w:spacing w:val="-3"/>
          <w:sz w:val="24"/>
          <w:szCs w:val="24"/>
        </w:rPr>
        <w:t>“</w:t>
      </w:r>
      <w:r>
        <w:rPr>
          <w:rFonts w:ascii="宋体" w:hAnsi="宋体" w:eastAsia="宋体" w:cs="宋体"/>
          <w:spacing w:val="-3"/>
          <w:sz w:val="24"/>
          <w:szCs w:val="24"/>
        </w:rPr>
        <w:t>三线一单</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的管理要求。</w:t>
      </w:r>
    </w:p>
    <w:p>
      <w:pPr>
        <w:spacing w:before="183" w:line="220" w:lineRule="auto"/>
        <w:ind w:left="44"/>
        <w:outlineLvl w:val="0"/>
        <w:rPr>
          <w:rFonts w:ascii="宋体" w:hAnsi="宋体" w:eastAsia="宋体" w:cs="宋体"/>
          <w:sz w:val="24"/>
          <w:szCs w:val="24"/>
        </w:rPr>
      </w:pPr>
      <w:r>
        <w:rPr>
          <w:rFonts w:ascii="Times New Roman" w:hAnsi="Times New Roman" w:eastAsia="Times New Roman" w:cs="Times New Roman"/>
          <w:b/>
          <w:bCs/>
          <w:spacing w:val="-1"/>
          <w:sz w:val="24"/>
          <w:szCs w:val="24"/>
        </w:rPr>
        <w:t xml:space="preserve">1.3.3 </w:t>
      </w:r>
      <w:r>
        <w:rPr>
          <w:rFonts w:ascii="宋体" w:hAnsi="宋体" w:eastAsia="宋体" w:cs="宋体"/>
          <w:spacing w:val="-1"/>
          <w:sz w:val="24"/>
          <w:szCs w:val="24"/>
          <w14:textOutline w14:w="4354" w14:cap="flat" w14:cmpd="sng">
            <w14:solidFill>
              <w14:srgbClr w14:val="000000"/>
            </w14:solidFill>
            <w14:prstDash w14:val="solid"/>
            <w14:miter w14:val="0"/>
          </w14:textOutline>
        </w:rPr>
        <w:t>规划及规划环评符合性判断</w:t>
      </w:r>
    </w:p>
    <w:p>
      <w:pPr>
        <w:spacing w:before="181" w:line="233" w:lineRule="auto"/>
        <w:ind w:left="44"/>
        <w:outlineLvl w:val="0"/>
        <w:rPr>
          <w:rFonts w:ascii="宋体" w:hAnsi="宋体" w:eastAsia="宋体" w:cs="宋体"/>
          <w:sz w:val="24"/>
          <w:szCs w:val="24"/>
        </w:rPr>
      </w:pPr>
      <w:r>
        <w:fldChar w:fldCharType="begin"/>
      </w:r>
      <w:r>
        <w:instrText xml:space="preserve"> HYPERLINK "1.3.3.1" </w:instrText>
      </w:r>
      <w:r>
        <w:fldChar w:fldCharType="separate"/>
      </w:r>
      <w:r>
        <w:rPr>
          <w:rFonts w:ascii="Times New Roman" w:hAnsi="Times New Roman" w:eastAsia="Times New Roman" w:cs="Times New Roman"/>
          <w:b/>
          <w:bCs/>
          <w:spacing w:val="-1"/>
          <w:sz w:val="24"/>
          <w:szCs w:val="24"/>
        </w:rPr>
        <w:t>1.3.3.1</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w:t>
      </w:r>
      <w:r>
        <w:rPr>
          <w:rFonts w:ascii="宋体" w:hAnsi="宋体" w:eastAsia="宋体" w:cs="宋体"/>
          <w:spacing w:val="-1"/>
          <w:sz w:val="24"/>
          <w:szCs w:val="24"/>
          <w14:textOutline w14:w="4354" w14:cap="flat" w14:cmpd="sng">
            <w14:solidFill>
              <w14:srgbClr w14:val="000000"/>
            </w14:solidFill>
            <w14:prstDash w14:val="solid"/>
            <w14:miter w14:val="0"/>
          </w14:textOutline>
        </w:rPr>
        <w:t>三区三线</w:t>
      </w:r>
      <w:r>
        <w:rPr>
          <w:rFonts w:ascii="Times New Roman" w:hAnsi="Times New Roman" w:eastAsia="Times New Roman" w:cs="Times New Roman"/>
          <w:b/>
          <w:bCs/>
          <w:spacing w:val="-1"/>
          <w:sz w:val="24"/>
          <w:szCs w:val="24"/>
        </w:rPr>
        <w:t>”</w:t>
      </w:r>
      <w:r>
        <w:rPr>
          <w:rFonts w:ascii="宋体" w:hAnsi="宋体" w:eastAsia="宋体" w:cs="宋体"/>
          <w:spacing w:val="-1"/>
          <w:sz w:val="24"/>
          <w:szCs w:val="24"/>
          <w14:textOutline w14:w="4354" w14:cap="flat" w14:cmpd="sng">
            <w14:solidFill>
              <w14:srgbClr w14:val="000000"/>
            </w14:solidFill>
            <w14:prstDash w14:val="solid"/>
            <w14:miter w14:val="0"/>
          </w14:textOutline>
        </w:rPr>
        <w:t>符合性分析</w:t>
      </w:r>
    </w:p>
    <w:p>
      <w:pPr>
        <w:spacing w:before="164" w:line="359" w:lineRule="auto"/>
        <w:ind w:left="38" w:right="85" w:firstLine="481"/>
        <w:jc w:val="both"/>
        <w:rPr>
          <w:rFonts w:ascii="宋体" w:hAnsi="宋体" w:eastAsia="宋体" w:cs="宋体"/>
          <w:sz w:val="24"/>
          <w:szCs w:val="24"/>
        </w:rPr>
      </w:pPr>
      <w:r>
        <w:rPr>
          <w:rFonts w:ascii="宋体" w:hAnsi="宋体" w:eastAsia="宋体" w:cs="宋体"/>
          <w:spacing w:val="-6"/>
          <w:sz w:val="24"/>
          <w:szCs w:val="24"/>
        </w:rPr>
        <w:t>经对照，</w:t>
      </w:r>
      <w:r>
        <w:rPr>
          <w:rFonts w:ascii="宋体" w:hAnsi="宋体" w:eastAsia="宋体" w:cs="宋体"/>
          <w:spacing w:val="-29"/>
          <w:sz w:val="24"/>
          <w:szCs w:val="24"/>
        </w:rPr>
        <w:t xml:space="preserve"> </w:t>
      </w:r>
      <w:r>
        <w:rPr>
          <w:rFonts w:ascii="宋体" w:hAnsi="宋体" w:eastAsia="宋体" w:cs="宋体"/>
          <w:spacing w:val="-6"/>
          <w:sz w:val="24"/>
          <w:szCs w:val="24"/>
        </w:rPr>
        <w:t>本项目公路沿线占地不涉及生态保护红线，隧道穿越了城镇开发边</w:t>
      </w:r>
      <w:r>
        <w:rPr>
          <w:rFonts w:ascii="宋体" w:hAnsi="宋体" w:eastAsia="宋体" w:cs="宋体"/>
          <w:sz w:val="24"/>
          <w:szCs w:val="24"/>
        </w:rPr>
        <w:t xml:space="preserve"> </w:t>
      </w:r>
      <w:r>
        <w:rPr>
          <w:rFonts w:ascii="宋体" w:hAnsi="宋体" w:eastAsia="宋体" w:cs="宋体"/>
          <w:spacing w:val="-3"/>
          <w:sz w:val="24"/>
          <w:szCs w:val="24"/>
        </w:rPr>
        <w:t>界，少量涉及永久基本农田。占用基本农田的应当按照县级以上地方人民政</w:t>
      </w:r>
      <w:r>
        <w:rPr>
          <w:rFonts w:ascii="宋体" w:hAnsi="宋体" w:eastAsia="宋体" w:cs="宋体"/>
          <w:spacing w:val="-4"/>
          <w:sz w:val="24"/>
          <w:szCs w:val="24"/>
        </w:rPr>
        <w:t>府的</w:t>
      </w:r>
      <w:r>
        <w:rPr>
          <w:rFonts w:ascii="宋体" w:hAnsi="宋体" w:eastAsia="宋体" w:cs="宋体"/>
          <w:sz w:val="24"/>
          <w:szCs w:val="24"/>
        </w:rPr>
        <w:t xml:space="preserve"> </w:t>
      </w:r>
      <w:r>
        <w:rPr>
          <w:rFonts w:ascii="宋体" w:hAnsi="宋体" w:eastAsia="宋体" w:cs="宋体"/>
          <w:spacing w:val="-5"/>
          <w:sz w:val="24"/>
          <w:szCs w:val="24"/>
        </w:rPr>
        <w:t>要求，</w:t>
      </w:r>
      <w:r>
        <w:rPr>
          <w:rFonts w:ascii="宋体" w:hAnsi="宋体" w:eastAsia="宋体" w:cs="宋体"/>
          <w:spacing w:val="-48"/>
          <w:sz w:val="24"/>
          <w:szCs w:val="24"/>
        </w:rPr>
        <w:t xml:space="preserve"> </w:t>
      </w:r>
      <w:r>
        <w:rPr>
          <w:rFonts w:ascii="宋体" w:hAnsi="宋体" w:eastAsia="宋体" w:cs="宋体"/>
          <w:spacing w:val="-5"/>
          <w:sz w:val="24"/>
          <w:szCs w:val="24"/>
        </w:rPr>
        <w:t>将所占用基本农田耕作层的土壤用于新开垦耕地、劣质地或者其</w:t>
      </w:r>
      <w:r>
        <w:rPr>
          <w:rFonts w:ascii="宋体" w:hAnsi="宋体" w:eastAsia="宋体" w:cs="宋体"/>
          <w:spacing w:val="-6"/>
          <w:sz w:val="24"/>
          <w:szCs w:val="24"/>
        </w:rPr>
        <w:t>他耕地的</w:t>
      </w:r>
      <w:r>
        <w:rPr>
          <w:rFonts w:ascii="宋体" w:hAnsi="宋体" w:eastAsia="宋体" w:cs="宋体"/>
          <w:sz w:val="24"/>
          <w:szCs w:val="24"/>
        </w:rPr>
        <w:t xml:space="preserve"> </w:t>
      </w:r>
      <w:r>
        <w:rPr>
          <w:rFonts w:ascii="宋体" w:hAnsi="宋体" w:eastAsia="宋体" w:cs="宋体"/>
          <w:spacing w:val="-3"/>
          <w:sz w:val="24"/>
          <w:szCs w:val="24"/>
        </w:rPr>
        <w:t>土壤改良。由于建设单位、设计单位已对项目永久性工程征地进行统筹，在解决</w:t>
      </w:r>
      <w:r>
        <w:rPr>
          <w:rFonts w:ascii="宋体" w:hAnsi="宋体" w:eastAsia="宋体" w:cs="宋体"/>
          <w:spacing w:val="1"/>
          <w:sz w:val="24"/>
          <w:szCs w:val="24"/>
        </w:rPr>
        <w:t xml:space="preserve"> </w:t>
      </w:r>
      <w:r>
        <w:rPr>
          <w:rFonts w:ascii="宋体" w:hAnsi="宋体" w:eastAsia="宋体" w:cs="宋体"/>
          <w:spacing w:val="-6"/>
          <w:sz w:val="24"/>
          <w:szCs w:val="24"/>
        </w:rPr>
        <w:t>好地方基本农田规调工作的前提下，</w:t>
      </w:r>
      <w:r>
        <w:rPr>
          <w:rFonts w:ascii="宋体" w:hAnsi="宋体" w:eastAsia="宋体" w:cs="宋体"/>
          <w:spacing w:val="-14"/>
          <w:sz w:val="24"/>
          <w:szCs w:val="24"/>
        </w:rPr>
        <w:t xml:space="preserve"> </w:t>
      </w:r>
      <w:r>
        <w:rPr>
          <w:rFonts w:ascii="宋体" w:hAnsi="宋体" w:eastAsia="宋体" w:cs="宋体"/>
          <w:spacing w:val="-6"/>
          <w:sz w:val="24"/>
          <w:szCs w:val="24"/>
        </w:rPr>
        <w:t>可以认为项目永久性工程对沿途基本农田环</w:t>
      </w:r>
    </w:p>
    <w:p>
      <w:pPr>
        <w:spacing w:before="1" w:line="219" w:lineRule="auto"/>
        <w:ind w:left="39"/>
        <w:rPr>
          <w:rFonts w:ascii="宋体" w:hAnsi="宋体" w:eastAsia="宋体" w:cs="宋体"/>
          <w:sz w:val="24"/>
          <w:szCs w:val="24"/>
        </w:rPr>
      </w:pPr>
      <w:r>
        <w:rPr>
          <w:rFonts w:ascii="宋体" w:hAnsi="宋体" w:eastAsia="宋体" w:cs="宋体"/>
          <w:spacing w:val="-11"/>
          <w:sz w:val="24"/>
          <w:szCs w:val="24"/>
        </w:rPr>
        <w:t>境影响相对较小。项目为公路工程， 利于各城镇交通，</w:t>
      </w:r>
      <w:r>
        <w:rPr>
          <w:rFonts w:ascii="宋体" w:hAnsi="宋体" w:eastAsia="宋体" w:cs="宋体"/>
          <w:spacing w:val="49"/>
          <w:sz w:val="24"/>
          <w:szCs w:val="24"/>
        </w:rPr>
        <w:t xml:space="preserve"> </w:t>
      </w:r>
      <w:r>
        <w:rPr>
          <w:rFonts w:ascii="宋体" w:hAnsi="宋体" w:eastAsia="宋体" w:cs="宋体"/>
          <w:spacing w:val="-11"/>
          <w:sz w:val="24"/>
          <w:szCs w:val="24"/>
        </w:rPr>
        <w:t>符合城镇空间要求。因此</w:t>
      </w:r>
    </w:p>
    <w:p>
      <w:pPr>
        <w:spacing w:line="219" w:lineRule="auto"/>
        <w:rPr>
          <w:rFonts w:ascii="宋体" w:hAnsi="宋体" w:eastAsia="宋体" w:cs="宋体"/>
          <w:sz w:val="24"/>
          <w:szCs w:val="24"/>
        </w:rPr>
        <w:sectPr>
          <w:headerReference r:id="rId17" w:type="default"/>
          <w:footerReference r:id="rId18" w:type="default"/>
          <w:pgSz w:w="11907" w:h="16839"/>
          <w:pgMar w:top="1118" w:right="1714" w:bottom="1175" w:left="1771" w:header="879" w:footer="1013" w:gutter="0"/>
          <w:cols w:space="720" w:num="1"/>
        </w:sectPr>
      </w:pPr>
    </w:p>
    <w:p>
      <w:pPr>
        <w:pStyle w:val="2"/>
        <w:spacing w:line="277" w:lineRule="auto"/>
      </w:pPr>
    </w:p>
    <w:p>
      <w:pPr>
        <w:spacing w:before="78" w:line="220" w:lineRule="auto"/>
        <w:ind w:left="40"/>
        <w:rPr>
          <w:rFonts w:ascii="宋体" w:hAnsi="宋体" w:eastAsia="宋体" w:cs="宋体"/>
          <w:sz w:val="24"/>
          <w:szCs w:val="24"/>
        </w:rPr>
      </w:pPr>
      <w:r>
        <w:rPr>
          <w:rFonts w:ascii="宋体" w:hAnsi="宋体" w:eastAsia="宋体" w:cs="宋体"/>
          <w:spacing w:val="-3"/>
          <w:sz w:val="24"/>
          <w:szCs w:val="24"/>
        </w:rPr>
        <w:t>可满足文成县</w:t>
      </w:r>
      <w:r>
        <w:rPr>
          <w:rFonts w:ascii="Times New Roman" w:hAnsi="Times New Roman" w:eastAsia="Times New Roman" w:cs="Times New Roman"/>
          <w:spacing w:val="-3"/>
          <w:sz w:val="24"/>
          <w:szCs w:val="24"/>
        </w:rPr>
        <w:t>“</w:t>
      </w:r>
      <w:r>
        <w:rPr>
          <w:rFonts w:ascii="宋体" w:hAnsi="宋体" w:eastAsia="宋体" w:cs="宋体"/>
          <w:spacing w:val="-3"/>
          <w:sz w:val="24"/>
          <w:szCs w:val="24"/>
        </w:rPr>
        <w:t>三区三线</w:t>
      </w:r>
      <w:r>
        <w:rPr>
          <w:rFonts w:ascii="Times New Roman" w:hAnsi="Times New Roman" w:eastAsia="Times New Roman" w:cs="Times New Roman"/>
          <w:spacing w:val="-3"/>
          <w:sz w:val="24"/>
          <w:szCs w:val="24"/>
        </w:rPr>
        <w:t>”</w:t>
      </w:r>
      <w:r>
        <w:rPr>
          <w:rFonts w:ascii="宋体" w:hAnsi="宋体" w:eastAsia="宋体" w:cs="宋体"/>
          <w:spacing w:val="-3"/>
          <w:sz w:val="24"/>
          <w:szCs w:val="24"/>
        </w:rPr>
        <w:t>要求。</w:t>
      </w:r>
    </w:p>
    <w:p>
      <w:pPr>
        <w:spacing w:before="182" w:line="466" w:lineRule="exact"/>
        <w:ind w:right="58"/>
        <w:jc w:val="right"/>
        <w:rPr>
          <w:rFonts w:ascii="宋体" w:hAnsi="宋体" w:eastAsia="宋体" w:cs="宋体"/>
          <w:sz w:val="24"/>
          <w:szCs w:val="24"/>
        </w:rPr>
      </w:pPr>
      <w:r>
        <w:rPr>
          <w:rFonts w:ascii="宋体" w:hAnsi="宋体" w:eastAsia="宋体" w:cs="宋体"/>
          <w:spacing w:val="-7"/>
          <w:position w:val="17"/>
          <w:sz w:val="24"/>
          <w:szCs w:val="24"/>
        </w:rPr>
        <w:t>综上所述， 本项目建设可满足生态保护红线、环境质量底线、资源利用上线</w:t>
      </w:r>
    </w:p>
    <w:p>
      <w:pPr>
        <w:spacing w:line="219" w:lineRule="auto"/>
        <w:ind w:left="39"/>
        <w:rPr>
          <w:rFonts w:ascii="宋体" w:hAnsi="宋体" w:eastAsia="宋体" w:cs="宋体"/>
          <w:sz w:val="24"/>
          <w:szCs w:val="24"/>
        </w:rPr>
      </w:pPr>
      <w:r>
        <w:rPr>
          <w:rFonts w:ascii="宋体" w:hAnsi="宋体" w:eastAsia="宋体" w:cs="宋体"/>
          <w:spacing w:val="-3"/>
          <w:sz w:val="24"/>
          <w:szCs w:val="24"/>
        </w:rPr>
        <w:t>和生态环境准入清单管控要求。</w:t>
      </w:r>
    </w:p>
    <w:p>
      <w:pPr>
        <w:spacing w:before="181" w:line="220" w:lineRule="auto"/>
        <w:ind w:left="44"/>
        <w:outlineLvl w:val="0"/>
        <w:rPr>
          <w:rFonts w:ascii="宋体" w:hAnsi="宋体" w:eastAsia="宋体" w:cs="宋体"/>
          <w:sz w:val="24"/>
          <w:szCs w:val="24"/>
        </w:rPr>
      </w:pPr>
      <w:r>
        <w:fldChar w:fldCharType="begin"/>
      </w:r>
      <w:r>
        <w:instrText xml:space="preserve"> HYPERLINK "1.3.3.2" </w:instrText>
      </w:r>
      <w:r>
        <w:fldChar w:fldCharType="separate"/>
      </w:r>
      <w:r>
        <w:rPr>
          <w:rFonts w:ascii="Times New Roman" w:hAnsi="Times New Roman" w:eastAsia="Times New Roman" w:cs="Times New Roman"/>
          <w:b/>
          <w:bCs/>
          <w:spacing w:val="-1"/>
          <w:sz w:val="24"/>
          <w:szCs w:val="24"/>
        </w:rPr>
        <w:t>1.3.3.2</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规划符合性</w:t>
      </w:r>
    </w:p>
    <w:p>
      <w:pPr>
        <w:spacing w:before="182" w:line="359" w:lineRule="auto"/>
        <w:ind w:left="37" w:right="30" w:firstLine="481"/>
        <w:jc w:val="both"/>
        <w:rPr>
          <w:rFonts w:ascii="宋体" w:hAnsi="宋体" w:eastAsia="宋体" w:cs="宋体"/>
          <w:sz w:val="24"/>
          <w:szCs w:val="24"/>
        </w:rPr>
      </w:pPr>
      <w:r>
        <w:rPr>
          <w:rFonts w:ascii="宋体" w:hAnsi="宋体" w:eastAsia="宋体" w:cs="宋体"/>
          <w:spacing w:val="-13"/>
          <w:sz w:val="24"/>
          <w:szCs w:val="24"/>
        </w:rPr>
        <w:t>本项目为二级公路建设，</w:t>
      </w:r>
      <w:r>
        <w:rPr>
          <w:rFonts w:ascii="宋体" w:hAnsi="宋体" w:eastAsia="宋体" w:cs="宋体"/>
          <w:spacing w:val="36"/>
          <w:sz w:val="24"/>
          <w:szCs w:val="24"/>
        </w:rPr>
        <w:t xml:space="preserve"> </w:t>
      </w:r>
      <w:r>
        <w:rPr>
          <w:rFonts w:ascii="宋体" w:hAnsi="宋体" w:eastAsia="宋体" w:cs="宋体"/>
          <w:spacing w:val="-13"/>
          <w:sz w:val="24"/>
          <w:szCs w:val="24"/>
        </w:rPr>
        <w:t>是重要基础设施工程，</w:t>
      </w:r>
      <w:r>
        <w:rPr>
          <w:rFonts w:ascii="宋体" w:hAnsi="宋体" w:eastAsia="宋体" w:cs="宋体"/>
          <w:spacing w:val="33"/>
          <w:sz w:val="24"/>
          <w:szCs w:val="24"/>
        </w:rPr>
        <w:t xml:space="preserve"> </w:t>
      </w:r>
      <w:r>
        <w:rPr>
          <w:rFonts w:ascii="宋体" w:hAnsi="宋体" w:eastAsia="宋体" w:cs="宋体"/>
          <w:spacing w:val="-13"/>
          <w:sz w:val="24"/>
          <w:szCs w:val="24"/>
        </w:rPr>
        <w:t>本项目的建设</w:t>
      </w:r>
      <w:r>
        <w:rPr>
          <w:rFonts w:ascii="宋体" w:hAnsi="宋体" w:eastAsia="宋体" w:cs="宋体"/>
          <w:spacing w:val="-14"/>
          <w:sz w:val="24"/>
          <w:szCs w:val="24"/>
        </w:rPr>
        <w:t>符合《浙江省</w:t>
      </w:r>
      <w:r>
        <w:rPr>
          <w:rFonts w:ascii="宋体" w:hAnsi="宋体" w:eastAsia="宋体" w:cs="宋体"/>
          <w:sz w:val="24"/>
          <w:szCs w:val="24"/>
        </w:rPr>
        <w:t xml:space="preserve"> </w:t>
      </w:r>
      <w:r>
        <w:rPr>
          <w:rFonts w:ascii="宋体" w:hAnsi="宋体" w:eastAsia="宋体" w:cs="宋体"/>
          <w:spacing w:val="-1"/>
          <w:sz w:val="24"/>
          <w:szCs w:val="24"/>
        </w:rPr>
        <w:t>综合交通运输发展</w:t>
      </w:r>
      <w:r>
        <w:rPr>
          <w:rFonts w:ascii="Times New Roman" w:hAnsi="Times New Roman" w:eastAsia="Times New Roman" w:cs="Times New Roman"/>
          <w:spacing w:val="-1"/>
          <w:sz w:val="24"/>
          <w:szCs w:val="24"/>
        </w:rPr>
        <w:t>“</w:t>
      </w:r>
      <w:r>
        <w:rPr>
          <w:rFonts w:ascii="宋体" w:hAnsi="宋体" w:eastAsia="宋体" w:cs="宋体"/>
          <w:spacing w:val="-1"/>
          <w:sz w:val="24"/>
          <w:szCs w:val="24"/>
        </w:rPr>
        <w:t>十四五</w:t>
      </w:r>
      <w:r>
        <w:rPr>
          <w:rFonts w:ascii="Times New Roman" w:hAnsi="Times New Roman" w:eastAsia="Times New Roman" w:cs="Times New Roman"/>
          <w:spacing w:val="-1"/>
          <w:sz w:val="24"/>
          <w:szCs w:val="24"/>
        </w:rPr>
        <w:t>”</w:t>
      </w:r>
      <w:r>
        <w:rPr>
          <w:rFonts w:ascii="宋体" w:hAnsi="宋体" w:eastAsia="宋体" w:cs="宋体"/>
          <w:spacing w:val="-1"/>
          <w:sz w:val="24"/>
          <w:szCs w:val="24"/>
        </w:rPr>
        <w:t>规划》、《温州市综合交通运输发展</w:t>
      </w:r>
      <w:r>
        <w:rPr>
          <w:rFonts w:ascii="Times New Roman" w:hAnsi="Times New Roman" w:eastAsia="Times New Roman" w:cs="Times New Roman"/>
          <w:spacing w:val="-1"/>
          <w:sz w:val="24"/>
          <w:szCs w:val="24"/>
        </w:rPr>
        <w:t>“</w:t>
      </w:r>
      <w:r>
        <w:rPr>
          <w:rFonts w:ascii="宋体" w:hAnsi="宋体" w:eastAsia="宋体" w:cs="宋体"/>
          <w:spacing w:val="-1"/>
          <w:sz w:val="24"/>
          <w:szCs w:val="24"/>
        </w:rPr>
        <w:t>十四五</w:t>
      </w:r>
      <w:r>
        <w:rPr>
          <w:rFonts w:ascii="Times New Roman" w:hAnsi="Times New Roman" w:eastAsia="Times New Roman" w:cs="Times New Roman"/>
          <w:spacing w:val="-1"/>
          <w:sz w:val="24"/>
          <w:szCs w:val="24"/>
        </w:rPr>
        <w:t>”</w:t>
      </w:r>
      <w:r>
        <w:rPr>
          <w:rFonts w:ascii="宋体" w:hAnsi="宋体" w:eastAsia="宋体" w:cs="宋体"/>
          <w:spacing w:val="-1"/>
          <w:sz w:val="24"/>
          <w:szCs w:val="24"/>
        </w:rPr>
        <w:t>规划》</w:t>
      </w:r>
      <w:r>
        <w:rPr>
          <w:rFonts w:ascii="宋体" w:hAnsi="宋体" w:eastAsia="宋体" w:cs="宋体"/>
          <w:spacing w:val="16"/>
          <w:sz w:val="24"/>
          <w:szCs w:val="24"/>
        </w:rPr>
        <w:t xml:space="preserve"> </w:t>
      </w:r>
      <w:r>
        <w:rPr>
          <w:rFonts w:ascii="宋体" w:hAnsi="宋体" w:eastAsia="宋体" w:cs="宋体"/>
          <w:sz w:val="24"/>
          <w:szCs w:val="24"/>
        </w:rPr>
        <w:t>及其规划环评、《文成县域总体规划（</w:t>
      </w:r>
      <w:r>
        <w:rPr>
          <w:rFonts w:ascii="Times New Roman" w:hAnsi="Times New Roman" w:eastAsia="Times New Roman" w:cs="Times New Roman"/>
          <w:sz w:val="24"/>
          <w:szCs w:val="24"/>
        </w:rPr>
        <w:t>200</w:t>
      </w:r>
      <w:r>
        <w:rPr>
          <w:rFonts w:ascii="Times New Roman" w:hAnsi="Times New Roman" w:eastAsia="Times New Roman" w:cs="Times New Roman"/>
          <w:spacing w:val="-1"/>
          <w:sz w:val="24"/>
          <w:szCs w:val="24"/>
        </w:rPr>
        <w:t>6-2020</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年）》、《文成县国土空间总</w:t>
      </w:r>
      <w:r>
        <w:rPr>
          <w:rFonts w:ascii="宋体" w:hAnsi="宋体" w:eastAsia="宋体" w:cs="宋体"/>
          <w:sz w:val="24"/>
          <w:szCs w:val="24"/>
        </w:rPr>
        <w:t xml:space="preserve"> </w:t>
      </w:r>
      <w:r>
        <w:rPr>
          <w:rFonts w:ascii="宋体" w:hAnsi="宋体" w:eastAsia="宋体" w:cs="宋体"/>
          <w:spacing w:val="-1"/>
          <w:sz w:val="24"/>
          <w:szCs w:val="24"/>
        </w:rPr>
        <w:t>体规划（</w:t>
      </w:r>
      <w:r>
        <w:rPr>
          <w:rFonts w:ascii="Times New Roman" w:hAnsi="Times New Roman" w:eastAsia="Times New Roman" w:cs="Times New Roman"/>
          <w:spacing w:val="-1"/>
          <w:sz w:val="24"/>
          <w:szCs w:val="24"/>
        </w:rPr>
        <w:t>2021-2035</w:t>
      </w:r>
      <w:r>
        <w:rPr>
          <w:rFonts w:ascii="Times New Roman" w:hAnsi="Times New Roman" w:eastAsia="Times New Roman" w:cs="Times New Roman"/>
          <w:spacing w:val="36"/>
          <w:sz w:val="24"/>
          <w:szCs w:val="24"/>
        </w:rPr>
        <w:t xml:space="preserve"> </w:t>
      </w:r>
      <w:r>
        <w:rPr>
          <w:rFonts w:ascii="宋体" w:hAnsi="宋体" w:eastAsia="宋体" w:cs="宋体"/>
          <w:spacing w:val="-1"/>
          <w:sz w:val="24"/>
          <w:szCs w:val="24"/>
        </w:rPr>
        <w:t>年）》（评审稿）的要求。项目的建设有利于区域的交通发</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展，有利于促进区域的经济建设。</w:t>
      </w:r>
    </w:p>
    <w:p>
      <w:pPr>
        <w:spacing w:before="183" w:line="220" w:lineRule="auto"/>
        <w:ind w:left="44"/>
        <w:outlineLvl w:val="0"/>
        <w:rPr>
          <w:rFonts w:ascii="宋体" w:hAnsi="宋体" w:eastAsia="宋体" w:cs="宋体"/>
          <w:sz w:val="24"/>
          <w:szCs w:val="24"/>
        </w:rPr>
      </w:pPr>
      <w:bookmarkStart w:id="4" w:name="bookmark5"/>
      <w:bookmarkEnd w:id="4"/>
      <w:r>
        <w:rPr>
          <w:rFonts w:ascii="Times New Roman" w:hAnsi="Times New Roman" w:eastAsia="Times New Roman" w:cs="Times New Roman"/>
          <w:b/>
          <w:bCs/>
          <w:sz w:val="24"/>
          <w:szCs w:val="24"/>
        </w:rPr>
        <w:t xml:space="preserve">1.4 </w:t>
      </w:r>
      <w:r>
        <w:rPr>
          <w:rFonts w:ascii="宋体" w:hAnsi="宋体" w:eastAsia="宋体" w:cs="宋体"/>
          <w:sz w:val="24"/>
          <w:szCs w:val="24"/>
          <w14:textOutline w14:w="4354" w14:cap="flat" w14:cmpd="sng">
            <w14:solidFill>
              <w14:srgbClr w14:val="000000"/>
            </w14:solidFill>
            <w14:prstDash w14:val="solid"/>
            <w14:miter w14:val="0"/>
          </w14:textOutline>
        </w:rPr>
        <w:t>项目特点、主要关注的环境问题和环境</w:t>
      </w:r>
      <w:r>
        <w:rPr>
          <w:rFonts w:ascii="宋体" w:hAnsi="宋体" w:eastAsia="宋体" w:cs="宋体"/>
          <w:spacing w:val="-1"/>
          <w:sz w:val="24"/>
          <w:szCs w:val="24"/>
          <w14:textOutline w14:w="4354" w14:cap="flat" w14:cmpd="sng">
            <w14:solidFill>
              <w14:srgbClr w14:val="000000"/>
            </w14:solidFill>
            <w14:prstDash w14:val="solid"/>
            <w14:miter w14:val="0"/>
          </w14:textOutline>
        </w:rPr>
        <w:t>影响</w:t>
      </w:r>
    </w:p>
    <w:p>
      <w:pPr>
        <w:spacing w:before="181" w:line="359" w:lineRule="auto"/>
        <w:ind w:left="38" w:right="57" w:firstLine="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）本项目沿线评价范围涉及的声环境功能区包</w:t>
      </w:r>
      <w:r>
        <w:rPr>
          <w:rFonts w:ascii="宋体" w:hAnsi="宋体" w:eastAsia="宋体" w:cs="宋体"/>
          <w:spacing w:val="-3"/>
          <w:sz w:val="24"/>
          <w:szCs w:val="24"/>
        </w:rPr>
        <w:t>括</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类、</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类和</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4a </w:t>
      </w:r>
      <w:r>
        <w:rPr>
          <w:rFonts w:ascii="宋体" w:hAnsi="宋体" w:eastAsia="宋体" w:cs="宋体"/>
          <w:spacing w:val="-3"/>
          <w:sz w:val="24"/>
          <w:szCs w:val="24"/>
        </w:rPr>
        <w:t>类区，</w:t>
      </w:r>
      <w:r>
        <w:rPr>
          <w:rFonts w:ascii="宋体" w:hAnsi="宋体" w:eastAsia="宋体" w:cs="宋体"/>
          <w:sz w:val="24"/>
          <w:szCs w:val="24"/>
        </w:rPr>
        <w:t xml:space="preserve"> 大气环境为二类区，经过区域附近地表水体为</w:t>
      </w:r>
      <w:r>
        <w:rPr>
          <w:rFonts w:ascii="Times New Roman" w:hAnsi="Times New Roman" w:eastAsia="Times New Roman" w:cs="Times New Roman"/>
          <w:sz w:val="24"/>
          <w:szCs w:val="24"/>
        </w:rPr>
        <w:t>Ⅱ</w:t>
      </w:r>
      <w:r>
        <w:rPr>
          <w:rFonts w:ascii="宋体" w:hAnsi="宋体" w:eastAsia="宋体" w:cs="宋体"/>
          <w:sz w:val="24"/>
          <w:szCs w:val="24"/>
        </w:rPr>
        <w:t>类和</w:t>
      </w:r>
      <w:r>
        <w:rPr>
          <w:rFonts w:ascii="Times New Roman" w:hAnsi="Times New Roman" w:eastAsia="Times New Roman" w:cs="Times New Roman"/>
          <w:sz w:val="24"/>
          <w:szCs w:val="24"/>
        </w:rPr>
        <w:t>Ⅲ</w:t>
      </w:r>
      <w:r>
        <w:rPr>
          <w:rFonts w:ascii="宋体" w:hAnsi="宋体" w:eastAsia="宋体" w:cs="宋体"/>
          <w:sz w:val="24"/>
          <w:szCs w:val="24"/>
        </w:rPr>
        <w:t>类，</w:t>
      </w:r>
      <w:r>
        <w:rPr>
          <w:rFonts w:ascii="宋体" w:hAnsi="宋体" w:eastAsia="宋体" w:cs="宋体"/>
          <w:spacing w:val="-1"/>
          <w:sz w:val="24"/>
          <w:szCs w:val="24"/>
        </w:rPr>
        <w:t>项目线位及评价范围</w:t>
      </w:r>
      <w:r>
        <w:rPr>
          <w:rFonts w:ascii="宋体" w:hAnsi="宋体" w:eastAsia="宋体" w:cs="宋体"/>
          <w:sz w:val="24"/>
          <w:szCs w:val="24"/>
        </w:rPr>
        <w:t xml:space="preserve"> </w:t>
      </w:r>
      <w:r>
        <w:rPr>
          <w:rFonts w:ascii="宋体" w:hAnsi="宋体" w:eastAsia="宋体" w:cs="宋体"/>
          <w:spacing w:val="1"/>
          <w:sz w:val="24"/>
          <w:szCs w:val="24"/>
        </w:rPr>
        <w:t>位于珊溪水库饮用水水源保护区准保护区范围内，线路距离包垟水</w:t>
      </w:r>
      <w:r>
        <w:rPr>
          <w:rFonts w:ascii="宋体" w:hAnsi="宋体" w:eastAsia="宋体" w:cs="宋体"/>
          <w:sz w:val="24"/>
          <w:szCs w:val="24"/>
        </w:rPr>
        <w:t>库农村</w:t>
      </w:r>
      <w:r>
        <w:rPr>
          <w:rFonts w:ascii="Times New Roman" w:hAnsi="Times New Roman" w:eastAsia="Times New Roman" w:cs="Times New Roman"/>
          <w:sz w:val="24"/>
          <w:szCs w:val="24"/>
        </w:rPr>
        <w:t>“</w:t>
      </w:r>
      <w:r>
        <w:rPr>
          <w:rFonts w:ascii="宋体" w:hAnsi="宋体" w:eastAsia="宋体" w:cs="宋体"/>
          <w:sz w:val="24"/>
          <w:szCs w:val="24"/>
        </w:rPr>
        <w:t>千吨</w:t>
      </w:r>
    </w:p>
    <w:p>
      <w:pPr>
        <w:spacing w:before="1" w:line="219" w:lineRule="auto"/>
        <w:ind w:left="43"/>
        <w:rPr>
          <w:rFonts w:ascii="宋体" w:hAnsi="宋体" w:eastAsia="宋体" w:cs="宋体"/>
          <w:sz w:val="24"/>
          <w:szCs w:val="24"/>
        </w:rPr>
      </w:pPr>
      <w:r>
        <w:rPr>
          <w:rFonts w:ascii="宋体" w:hAnsi="宋体" w:eastAsia="宋体" w:cs="宋体"/>
          <w:spacing w:val="-2"/>
          <w:sz w:val="24"/>
          <w:szCs w:val="24"/>
        </w:rPr>
        <w:t>万人</w:t>
      </w:r>
      <w:r>
        <w:rPr>
          <w:rFonts w:ascii="Times New Roman" w:hAnsi="Times New Roman" w:eastAsia="Times New Roman" w:cs="Times New Roman"/>
          <w:spacing w:val="-2"/>
          <w:sz w:val="24"/>
          <w:szCs w:val="24"/>
        </w:rPr>
        <w:t>”</w:t>
      </w:r>
      <w:r>
        <w:rPr>
          <w:rFonts w:ascii="宋体" w:hAnsi="宋体" w:eastAsia="宋体" w:cs="宋体"/>
          <w:spacing w:val="-2"/>
          <w:sz w:val="24"/>
          <w:szCs w:val="24"/>
        </w:rPr>
        <w:t>水源地范围（暂未最终批复）约</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300m</w:t>
      </w:r>
      <w:r>
        <w:rPr>
          <w:rFonts w:ascii="宋体" w:hAnsi="宋体" w:eastAsia="宋体" w:cs="宋体"/>
          <w:spacing w:val="-2"/>
          <w:sz w:val="24"/>
          <w:szCs w:val="24"/>
        </w:rPr>
        <w:t>。</w:t>
      </w:r>
    </w:p>
    <w:p>
      <w:pPr>
        <w:spacing w:before="180" w:line="469" w:lineRule="exact"/>
        <w:ind w:right="54"/>
        <w:jc w:val="right"/>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2</w:t>
      </w:r>
      <w:r>
        <w:rPr>
          <w:rFonts w:ascii="宋体" w:hAnsi="宋体" w:eastAsia="宋体" w:cs="宋体"/>
          <w:spacing w:val="-8"/>
          <w:position w:val="17"/>
          <w:sz w:val="24"/>
          <w:szCs w:val="24"/>
        </w:rPr>
        <w:t xml:space="preserve">）本项目沿线涉及环境管控单元主要为 </w:t>
      </w:r>
      <w:r>
        <w:rPr>
          <w:rFonts w:ascii="Times New Roman" w:hAnsi="Times New Roman" w:eastAsia="Times New Roman" w:cs="Times New Roman"/>
          <w:spacing w:val="-8"/>
          <w:position w:val="17"/>
          <w:sz w:val="24"/>
          <w:szCs w:val="24"/>
        </w:rPr>
        <w:t>1</w:t>
      </w:r>
      <w:r>
        <w:rPr>
          <w:rFonts w:ascii="Times New Roman" w:hAnsi="Times New Roman" w:eastAsia="Times New Roman" w:cs="Times New Roman"/>
          <w:spacing w:val="45"/>
          <w:position w:val="17"/>
          <w:sz w:val="24"/>
          <w:szCs w:val="24"/>
        </w:rPr>
        <w:t xml:space="preserve"> </w:t>
      </w:r>
      <w:r>
        <w:rPr>
          <w:rFonts w:ascii="宋体" w:hAnsi="宋体" w:eastAsia="宋体" w:cs="宋体"/>
          <w:spacing w:val="-8"/>
          <w:position w:val="17"/>
          <w:sz w:val="24"/>
          <w:szCs w:val="24"/>
        </w:rPr>
        <w:t>个优先保护单元，</w:t>
      </w:r>
      <w:r>
        <w:rPr>
          <w:rFonts w:ascii="宋体" w:hAnsi="宋体" w:eastAsia="宋体" w:cs="宋体"/>
          <w:spacing w:val="82"/>
          <w:position w:val="17"/>
          <w:sz w:val="24"/>
          <w:szCs w:val="24"/>
        </w:rPr>
        <w:t xml:space="preserve"> </w:t>
      </w:r>
      <w:r>
        <w:rPr>
          <w:rFonts w:ascii="Times New Roman" w:hAnsi="Times New Roman" w:eastAsia="Times New Roman" w:cs="Times New Roman"/>
          <w:spacing w:val="-8"/>
          <w:position w:val="17"/>
          <w:sz w:val="24"/>
          <w:szCs w:val="24"/>
        </w:rPr>
        <w:t>1</w:t>
      </w:r>
      <w:r>
        <w:rPr>
          <w:rFonts w:ascii="Times New Roman" w:hAnsi="Times New Roman" w:eastAsia="Times New Roman" w:cs="Times New Roman"/>
          <w:spacing w:val="38"/>
          <w:position w:val="17"/>
          <w:sz w:val="24"/>
          <w:szCs w:val="24"/>
        </w:rPr>
        <w:t xml:space="preserve"> </w:t>
      </w:r>
      <w:r>
        <w:rPr>
          <w:rFonts w:ascii="宋体" w:hAnsi="宋体" w:eastAsia="宋体" w:cs="宋体"/>
          <w:spacing w:val="-8"/>
          <w:position w:val="17"/>
          <w:sz w:val="24"/>
          <w:szCs w:val="24"/>
        </w:rPr>
        <w:t>个产业集</w:t>
      </w:r>
    </w:p>
    <w:p>
      <w:pPr>
        <w:spacing w:line="219" w:lineRule="auto"/>
        <w:ind w:left="47"/>
        <w:rPr>
          <w:rFonts w:ascii="宋体" w:hAnsi="宋体" w:eastAsia="宋体" w:cs="宋体"/>
          <w:sz w:val="24"/>
          <w:szCs w:val="24"/>
        </w:rPr>
      </w:pPr>
      <w:r>
        <w:rPr>
          <w:rFonts w:ascii="宋体" w:hAnsi="宋体" w:eastAsia="宋体" w:cs="宋体"/>
          <w:spacing w:val="-1"/>
          <w:sz w:val="24"/>
          <w:szCs w:val="24"/>
        </w:rPr>
        <w:t>聚重点管控单元，项目不涉及生态保护红线。</w:t>
      </w:r>
    </w:p>
    <w:p>
      <w:pPr>
        <w:spacing w:before="182" w:line="359" w:lineRule="auto"/>
        <w:ind w:left="59" w:right="59" w:firstLine="46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）本项目沿线不在最新划定的百丈漈</w:t>
      </w:r>
      <w:r>
        <w:rPr>
          <w:rFonts w:ascii="Times New Roman" w:hAnsi="Times New Roman" w:eastAsia="Times New Roman" w:cs="Times New Roman"/>
          <w:spacing w:val="-3"/>
          <w:sz w:val="24"/>
          <w:szCs w:val="24"/>
        </w:rPr>
        <w:t>-</w:t>
      </w:r>
      <w:r>
        <w:rPr>
          <w:rFonts w:ascii="宋体" w:hAnsi="宋体" w:eastAsia="宋体" w:cs="宋体"/>
          <w:spacing w:val="-3"/>
          <w:sz w:val="24"/>
          <w:szCs w:val="24"/>
        </w:rPr>
        <w:t>飞云湖风景名胜区范围内（位于外</w:t>
      </w:r>
      <w:r>
        <w:rPr>
          <w:rFonts w:ascii="宋体" w:hAnsi="宋体" w:eastAsia="宋体" w:cs="宋体"/>
          <w:spacing w:val="17"/>
          <w:sz w:val="24"/>
          <w:szCs w:val="24"/>
        </w:rPr>
        <w:t xml:space="preserve"> </w:t>
      </w:r>
      <w:r>
        <w:rPr>
          <w:rFonts w:ascii="宋体" w:hAnsi="宋体" w:eastAsia="宋体" w:cs="宋体"/>
          <w:spacing w:val="-15"/>
          <w:sz w:val="24"/>
          <w:szCs w:val="24"/>
        </w:rPr>
        <w:t>围保护地带</w:t>
      </w:r>
      <w:r>
        <w:rPr>
          <w:rFonts w:ascii="宋体" w:hAnsi="宋体" w:eastAsia="宋体" w:cs="宋体"/>
          <w:spacing w:val="-32"/>
          <w:sz w:val="24"/>
          <w:szCs w:val="24"/>
        </w:rPr>
        <w:t>）</w:t>
      </w:r>
      <w:r>
        <w:rPr>
          <w:rFonts w:ascii="宋体" w:hAnsi="宋体" w:eastAsia="宋体" w:cs="宋体"/>
          <w:spacing w:val="27"/>
          <w:sz w:val="24"/>
          <w:szCs w:val="24"/>
        </w:rPr>
        <w:t xml:space="preserve"> </w:t>
      </w:r>
      <w:r>
        <w:rPr>
          <w:rFonts w:ascii="宋体" w:hAnsi="宋体" w:eastAsia="宋体" w:cs="宋体"/>
          <w:spacing w:val="-32"/>
          <w:sz w:val="24"/>
          <w:szCs w:val="24"/>
        </w:rPr>
        <w:t>，</w:t>
      </w:r>
      <w:r>
        <w:rPr>
          <w:rFonts w:ascii="宋体" w:hAnsi="宋体" w:eastAsia="宋体" w:cs="宋体"/>
          <w:spacing w:val="-15"/>
          <w:sz w:val="24"/>
          <w:szCs w:val="24"/>
        </w:rPr>
        <w:t>不涉及自然保护区、</w:t>
      </w:r>
      <w:r>
        <w:rPr>
          <w:rFonts w:ascii="宋体" w:hAnsi="宋体" w:eastAsia="宋体" w:cs="宋体"/>
          <w:spacing w:val="25"/>
          <w:sz w:val="24"/>
          <w:szCs w:val="24"/>
        </w:rPr>
        <w:t xml:space="preserve"> </w:t>
      </w:r>
      <w:r>
        <w:rPr>
          <w:rFonts w:ascii="宋体" w:hAnsi="宋体" w:eastAsia="宋体" w:cs="宋体"/>
          <w:spacing w:val="-15"/>
          <w:sz w:val="24"/>
          <w:szCs w:val="24"/>
        </w:rPr>
        <w:t>森林公园、</w:t>
      </w:r>
      <w:r>
        <w:rPr>
          <w:rFonts w:ascii="宋体" w:hAnsi="宋体" w:eastAsia="宋体" w:cs="宋体"/>
          <w:spacing w:val="25"/>
          <w:sz w:val="24"/>
          <w:szCs w:val="24"/>
        </w:rPr>
        <w:t xml:space="preserve"> </w:t>
      </w:r>
      <w:r>
        <w:rPr>
          <w:rFonts w:ascii="宋体" w:hAnsi="宋体" w:eastAsia="宋体" w:cs="宋体"/>
          <w:spacing w:val="-15"/>
          <w:sz w:val="24"/>
          <w:szCs w:val="24"/>
        </w:rPr>
        <w:t>世界自然遗产地等，</w:t>
      </w:r>
      <w:r>
        <w:rPr>
          <w:rFonts w:ascii="宋体" w:hAnsi="宋体" w:eastAsia="宋体" w:cs="宋体"/>
          <w:spacing w:val="-16"/>
          <w:sz w:val="24"/>
          <w:szCs w:val="24"/>
        </w:rPr>
        <w:t>不涉及其他</w:t>
      </w:r>
      <w:r>
        <w:rPr>
          <w:rFonts w:ascii="宋体" w:hAnsi="宋体" w:eastAsia="宋体" w:cs="宋体"/>
          <w:sz w:val="24"/>
          <w:szCs w:val="24"/>
        </w:rPr>
        <w:t xml:space="preserve"> </w:t>
      </w:r>
      <w:r>
        <w:rPr>
          <w:rFonts w:ascii="宋体" w:hAnsi="宋体" w:eastAsia="宋体" w:cs="宋体"/>
          <w:spacing w:val="-4"/>
          <w:sz w:val="24"/>
          <w:szCs w:val="24"/>
        </w:rPr>
        <w:t>自然保护地和环境敏感区。工程沿线主要环境保护目标为沿线的村庄、安置小区</w:t>
      </w:r>
    </w:p>
    <w:p>
      <w:pPr>
        <w:spacing w:before="1" w:line="219" w:lineRule="auto"/>
        <w:ind w:left="40"/>
        <w:rPr>
          <w:rFonts w:ascii="宋体" w:hAnsi="宋体" w:eastAsia="宋体" w:cs="宋体"/>
          <w:sz w:val="24"/>
          <w:szCs w:val="24"/>
        </w:rPr>
      </w:pPr>
      <w:r>
        <w:rPr>
          <w:rFonts w:ascii="宋体" w:hAnsi="宋体" w:eastAsia="宋体" w:cs="宋体"/>
          <w:spacing w:val="-12"/>
          <w:sz w:val="24"/>
          <w:szCs w:val="24"/>
        </w:rPr>
        <w:t>等。</w:t>
      </w:r>
    </w:p>
    <w:p>
      <w:pPr>
        <w:spacing w:before="182" w:line="359" w:lineRule="auto"/>
        <w:ind w:left="37"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）本项目的环境影响主要包括施工期和营运期的影响，其中施工期主要</w:t>
      </w:r>
      <w:r>
        <w:rPr>
          <w:rFonts w:ascii="宋体" w:hAnsi="宋体" w:eastAsia="宋体" w:cs="宋体"/>
          <w:spacing w:val="2"/>
          <w:sz w:val="24"/>
          <w:szCs w:val="24"/>
        </w:rPr>
        <w:t xml:space="preserve"> </w:t>
      </w:r>
      <w:r>
        <w:rPr>
          <w:rFonts w:ascii="宋体" w:hAnsi="宋体" w:eastAsia="宋体" w:cs="宋体"/>
          <w:spacing w:val="-1"/>
          <w:sz w:val="24"/>
          <w:szCs w:val="24"/>
        </w:rPr>
        <w:t>是土地占用、工程开挖造成植被破坏、水土流失等的生态</w:t>
      </w:r>
      <w:r>
        <w:rPr>
          <w:rFonts w:ascii="宋体" w:hAnsi="宋体" w:eastAsia="宋体" w:cs="宋体"/>
          <w:spacing w:val="-2"/>
          <w:sz w:val="24"/>
          <w:szCs w:val="24"/>
        </w:rPr>
        <w:t>环境影响；施工扬尘、</w:t>
      </w:r>
      <w:r>
        <w:rPr>
          <w:rFonts w:ascii="宋体" w:hAnsi="宋体" w:eastAsia="宋体" w:cs="宋体"/>
          <w:sz w:val="24"/>
          <w:szCs w:val="24"/>
        </w:rPr>
        <w:t xml:space="preserve"> </w:t>
      </w:r>
      <w:r>
        <w:rPr>
          <w:rFonts w:ascii="宋体" w:hAnsi="宋体" w:eastAsia="宋体" w:cs="宋体"/>
          <w:spacing w:val="-5"/>
          <w:sz w:val="24"/>
          <w:szCs w:val="24"/>
        </w:rPr>
        <w:t>粉尘、沥青烟气对环境空气造成一定的影响；</w:t>
      </w:r>
      <w:r>
        <w:rPr>
          <w:rFonts w:ascii="宋体" w:hAnsi="宋体" w:eastAsia="宋体" w:cs="宋体"/>
          <w:spacing w:val="-42"/>
          <w:sz w:val="24"/>
          <w:szCs w:val="24"/>
        </w:rPr>
        <w:t xml:space="preserve"> </w:t>
      </w:r>
      <w:r>
        <w:rPr>
          <w:rFonts w:ascii="宋体" w:hAnsi="宋体" w:eastAsia="宋体" w:cs="宋体"/>
          <w:spacing w:val="-5"/>
          <w:sz w:val="24"/>
          <w:szCs w:val="24"/>
        </w:rPr>
        <w:t>施工机械噪声对周</w:t>
      </w:r>
      <w:r>
        <w:rPr>
          <w:rFonts w:ascii="宋体" w:hAnsi="宋体" w:eastAsia="宋体" w:cs="宋体"/>
          <w:spacing w:val="-6"/>
          <w:sz w:val="24"/>
          <w:szCs w:val="24"/>
        </w:rPr>
        <w:t>围声环境及声环</w:t>
      </w:r>
      <w:r>
        <w:rPr>
          <w:rFonts w:ascii="宋体" w:hAnsi="宋体" w:eastAsia="宋体" w:cs="宋体"/>
          <w:sz w:val="24"/>
          <w:szCs w:val="24"/>
        </w:rPr>
        <w:t xml:space="preserve"> </w:t>
      </w:r>
      <w:r>
        <w:rPr>
          <w:rFonts w:ascii="宋体" w:hAnsi="宋体" w:eastAsia="宋体" w:cs="宋体"/>
          <w:spacing w:val="-5"/>
          <w:sz w:val="24"/>
          <w:szCs w:val="24"/>
        </w:rPr>
        <w:t>境保护目标造成一定的影响；</w:t>
      </w:r>
      <w:r>
        <w:rPr>
          <w:rFonts w:ascii="宋体" w:hAnsi="宋体" w:eastAsia="宋体" w:cs="宋体"/>
          <w:spacing w:val="-42"/>
          <w:sz w:val="24"/>
          <w:szCs w:val="24"/>
        </w:rPr>
        <w:t xml:space="preserve"> </w:t>
      </w:r>
      <w:r>
        <w:rPr>
          <w:rFonts w:ascii="宋体" w:hAnsi="宋体" w:eastAsia="宋体" w:cs="宋体"/>
          <w:spacing w:val="-5"/>
          <w:sz w:val="24"/>
          <w:szCs w:val="24"/>
        </w:rPr>
        <w:t>施工期生活污水和生产废水的影</w:t>
      </w:r>
      <w:r>
        <w:rPr>
          <w:rFonts w:ascii="宋体" w:hAnsi="宋体" w:eastAsia="宋体" w:cs="宋体"/>
          <w:spacing w:val="-6"/>
          <w:sz w:val="24"/>
          <w:szCs w:val="24"/>
        </w:rPr>
        <w:t>响。营运期主要是</w:t>
      </w:r>
      <w:r>
        <w:rPr>
          <w:rFonts w:ascii="宋体" w:hAnsi="宋体" w:eastAsia="宋体" w:cs="宋体"/>
          <w:sz w:val="24"/>
          <w:szCs w:val="24"/>
        </w:rPr>
        <w:t xml:space="preserve"> </w:t>
      </w:r>
      <w:r>
        <w:rPr>
          <w:rFonts w:ascii="宋体" w:hAnsi="宋体" w:eastAsia="宋体" w:cs="宋体"/>
          <w:spacing w:val="-7"/>
          <w:sz w:val="24"/>
          <w:szCs w:val="24"/>
        </w:rPr>
        <w:t>车辆行驶过程中的噪声、汽车尾气对沿线居民点等的影响</w:t>
      </w:r>
      <w:r>
        <w:rPr>
          <w:rFonts w:ascii="宋体" w:hAnsi="宋体" w:eastAsia="宋体" w:cs="宋体"/>
          <w:spacing w:val="-8"/>
          <w:sz w:val="24"/>
          <w:szCs w:val="24"/>
        </w:rPr>
        <w:t>，</w:t>
      </w:r>
      <w:r>
        <w:rPr>
          <w:rFonts w:ascii="宋体" w:hAnsi="宋体" w:eastAsia="宋体" w:cs="宋体"/>
          <w:spacing w:val="31"/>
          <w:sz w:val="24"/>
          <w:szCs w:val="24"/>
        </w:rPr>
        <w:t xml:space="preserve"> </w:t>
      </w:r>
      <w:r>
        <w:rPr>
          <w:rFonts w:ascii="宋体" w:hAnsi="宋体" w:eastAsia="宋体" w:cs="宋体"/>
          <w:spacing w:val="-8"/>
          <w:sz w:val="24"/>
          <w:szCs w:val="24"/>
        </w:rPr>
        <w:t>地面径流、交通事故</w:t>
      </w:r>
      <w:r>
        <w:rPr>
          <w:rFonts w:ascii="宋体" w:hAnsi="宋体" w:eastAsia="宋体" w:cs="宋体"/>
          <w:sz w:val="24"/>
          <w:szCs w:val="24"/>
        </w:rPr>
        <w:t xml:space="preserve"> </w:t>
      </w:r>
      <w:r>
        <w:rPr>
          <w:rFonts w:ascii="宋体" w:hAnsi="宋体" w:eastAsia="宋体" w:cs="宋体"/>
          <w:spacing w:val="-3"/>
          <w:sz w:val="24"/>
          <w:szCs w:val="24"/>
        </w:rPr>
        <w:t>风险等对水环境和周围居民点等环境保护目标的影响。在对各污染物防治采取有</w:t>
      </w:r>
      <w:r>
        <w:rPr>
          <w:rFonts w:ascii="宋体" w:hAnsi="宋体" w:eastAsia="宋体" w:cs="宋体"/>
          <w:spacing w:val="1"/>
          <w:sz w:val="24"/>
          <w:szCs w:val="24"/>
        </w:rPr>
        <w:t xml:space="preserve"> </w:t>
      </w:r>
      <w:r>
        <w:rPr>
          <w:rFonts w:ascii="宋体" w:hAnsi="宋体" w:eastAsia="宋体" w:cs="宋体"/>
          <w:spacing w:val="-9"/>
          <w:sz w:val="24"/>
          <w:szCs w:val="24"/>
        </w:rPr>
        <w:t>效措施及对生态进行保护的前提下， 根据实际建设情况和预</w:t>
      </w:r>
      <w:r>
        <w:rPr>
          <w:rFonts w:ascii="宋体" w:hAnsi="宋体" w:eastAsia="宋体" w:cs="宋体"/>
          <w:spacing w:val="-10"/>
          <w:sz w:val="24"/>
          <w:szCs w:val="24"/>
        </w:rPr>
        <w:t>测分析， 排放的污染</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物对环境影响可以降到最低程度。</w:t>
      </w:r>
    </w:p>
    <w:p>
      <w:pPr>
        <w:spacing w:before="183" w:line="218" w:lineRule="auto"/>
        <w:ind w:left="44"/>
        <w:outlineLvl w:val="0"/>
        <w:rPr>
          <w:rFonts w:ascii="宋体" w:hAnsi="宋体" w:eastAsia="宋体" w:cs="宋体"/>
          <w:sz w:val="24"/>
          <w:szCs w:val="24"/>
        </w:rPr>
      </w:pPr>
      <w:bookmarkStart w:id="5" w:name="bookmark6"/>
      <w:bookmarkEnd w:id="5"/>
      <w:r>
        <w:rPr>
          <w:rFonts w:ascii="Times New Roman" w:hAnsi="Times New Roman" w:eastAsia="Times New Roman" w:cs="Times New Roman"/>
          <w:b/>
          <w:bCs/>
          <w:spacing w:val="-1"/>
          <w:sz w:val="24"/>
          <w:szCs w:val="24"/>
        </w:rPr>
        <w:t xml:space="preserve">1.5 </w:t>
      </w:r>
      <w:r>
        <w:rPr>
          <w:rFonts w:ascii="宋体" w:hAnsi="宋体" w:eastAsia="宋体" w:cs="宋体"/>
          <w:spacing w:val="-1"/>
          <w:sz w:val="24"/>
          <w:szCs w:val="24"/>
          <w14:textOutline w14:w="4354" w14:cap="flat" w14:cmpd="sng">
            <w14:solidFill>
              <w14:srgbClr w14:val="000000"/>
            </w14:solidFill>
            <w14:prstDash w14:val="solid"/>
            <w14:miter w14:val="0"/>
          </w14:textOutline>
        </w:rPr>
        <w:t>环境影响报告书主要结论</w:t>
      </w:r>
    </w:p>
    <w:p>
      <w:pPr>
        <w:spacing w:before="182" w:line="220" w:lineRule="auto"/>
        <w:ind w:left="519"/>
        <w:rPr>
          <w:rFonts w:ascii="宋体" w:hAnsi="宋体" w:eastAsia="宋体" w:cs="宋体"/>
          <w:sz w:val="24"/>
          <w:szCs w:val="24"/>
        </w:rPr>
      </w:pPr>
      <w:r>
        <w:rPr>
          <w:rFonts w:ascii="宋体" w:hAnsi="宋体" w:eastAsia="宋体" w:cs="宋体"/>
          <w:spacing w:val="-1"/>
          <w:sz w:val="24"/>
          <w:szCs w:val="24"/>
        </w:rPr>
        <w:t>溧阳至宁德高速公路（</w:t>
      </w:r>
      <w:r>
        <w:rPr>
          <w:rFonts w:ascii="Times New Roman" w:hAnsi="Times New Roman" w:eastAsia="Times New Roman" w:cs="Times New Roman"/>
          <w:spacing w:val="-1"/>
          <w:sz w:val="24"/>
          <w:szCs w:val="24"/>
        </w:rPr>
        <w:t>G4012</w:t>
      </w:r>
      <w:r>
        <w:rPr>
          <w:rFonts w:ascii="宋体" w:hAnsi="宋体" w:eastAsia="宋体" w:cs="宋体"/>
          <w:spacing w:val="-1"/>
          <w:sz w:val="24"/>
          <w:szCs w:val="24"/>
        </w:rPr>
        <w:t>）浙江景宁至文成段工程西坑互通连接线</w:t>
      </w:r>
      <w:r>
        <w:rPr>
          <w:rFonts w:ascii="宋体" w:hAnsi="宋体" w:eastAsia="宋体" w:cs="宋体"/>
          <w:spacing w:val="-2"/>
          <w:sz w:val="24"/>
          <w:szCs w:val="24"/>
        </w:rPr>
        <w:t>是二</w:t>
      </w:r>
    </w:p>
    <w:p>
      <w:pPr>
        <w:spacing w:line="220" w:lineRule="auto"/>
        <w:rPr>
          <w:rFonts w:ascii="宋体" w:hAnsi="宋体" w:eastAsia="宋体" w:cs="宋体"/>
          <w:sz w:val="24"/>
          <w:szCs w:val="24"/>
        </w:rPr>
        <w:sectPr>
          <w:headerReference r:id="rId19" w:type="default"/>
          <w:footerReference r:id="rId20" w:type="default"/>
          <w:pgSz w:w="11907" w:h="16839"/>
          <w:pgMar w:top="1118" w:right="1740" w:bottom="1177" w:left="1771" w:header="879" w:footer="1013" w:gutter="0"/>
          <w:cols w:space="720" w:num="1"/>
        </w:sectPr>
      </w:pPr>
    </w:p>
    <w:p>
      <w:pPr>
        <w:pStyle w:val="2"/>
        <w:spacing w:line="281" w:lineRule="auto"/>
      </w:pPr>
    </w:p>
    <w:p>
      <w:pPr>
        <w:spacing w:before="78" w:line="359" w:lineRule="auto"/>
        <w:ind w:left="37" w:firstLine="4"/>
        <w:jc w:val="both"/>
        <w:rPr>
          <w:rFonts w:ascii="宋体" w:hAnsi="宋体" w:eastAsia="宋体" w:cs="宋体"/>
          <w:sz w:val="24"/>
          <w:szCs w:val="24"/>
        </w:rPr>
      </w:pPr>
      <w:r>
        <w:rPr>
          <w:rFonts w:ascii="宋体" w:hAnsi="宋体" w:eastAsia="宋体" w:cs="宋体"/>
          <w:spacing w:val="-12"/>
          <w:sz w:val="24"/>
          <w:szCs w:val="24"/>
        </w:rPr>
        <w:t>级公路建设项目，</w:t>
      </w:r>
      <w:r>
        <w:rPr>
          <w:rFonts w:ascii="宋体" w:hAnsi="宋体" w:eastAsia="宋体" w:cs="宋体"/>
          <w:spacing w:val="34"/>
          <w:sz w:val="24"/>
          <w:szCs w:val="24"/>
        </w:rPr>
        <w:t xml:space="preserve"> </w:t>
      </w:r>
      <w:r>
        <w:rPr>
          <w:rFonts w:ascii="宋体" w:hAnsi="宋体" w:eastAsia="宋体" w:cs="宋体"/>
          <w:spacing w:val="-12"/>
          <w:sz w:val="24"/>
          <w:szCs w:val="24"/>
        </w:rPr>
        <w:t>符合国家产业政策；</w:t>
      </w:r>
      <w:r>
        <w:rPr>
          <w:rFonts w:ascii="宋体" w:hAnsi="宋体" w:eastAsia="宋体" w:cs="宋体"/>
          <w:spacing w:val="35"/>
          <w:sz w:val="24"/>
          <w:szCs w:val="24"/>
        </w:rPr>
        <w:t xml:space="preserve"> </w:t>
      </w:r>
      <w:r>
        <w:rPr>
          <w:rFonts w:ascii="宋体" w:hAnsi="宋体" w:eastAsia="宋体" w:cs="宋体"/>
          <w:spacing w:val="-12"/>
          <w:sz w:val="24"/>
          <w:szCs w:val="24"/>
        </w:rPr>
        <w:t>本项目的建设符合《浙江省综合交通运</w:t>
      </w:r>
      <w:r>
        <w:rPr>
          <w:rFonts w:ascii="宋体" w:hAnsi="宋体" w:eastAsia="宋体" w:cs="宋体"/>
          <w:spacing w:val="-13"/>
          <w:sz w:val="24"/>
          <w:szCs w:val="24"/>
        </w:rPr>
        <w:t xml:space="preserve">输 </w:t>
      </w:r>
      <w:r>
        <w:rPr>
          <w:rFonts w:ascii="宋体" w:hAnsi="宋体" w:eastAsia="宋体" w:cs="宋体"/>
          <w:spacing w:val="-5"/>
          <w:sz w:val="24"/>
          <w:szCs w:val="24"/>
        </w:rPr>
        <w:t>发展</w:t>
      </w:r>
      <w:r>
        <w:rPr>
          <w:rFonts w:ascii="Times New Roman" w:hAnsi="Times New Roman" w:eastAsia="Times New Roman" w:cs="Times New Roman"/>
          <w:spacing w:val="-5"/>
          <w:sz w:val="24"/>
          <w:szCs w:val="24"/>
        </w:rPr>
        <w:t>“</w:t>
      </w:r>
      <w:r>
        <w:rPr>
          <w:rFonts w:ascii="宋体" w:hAnsi="宋体" w:eastAsia="宋体" w:cs="宋体"/>
          <w:spacing w:val="-5"/>
          <w:sz w:val="24"/>
          <w:szCs w:val="24"/>
        </w:rPr>
        <w:t>十四五</w:t>
      </w:r>
      <w:r>
        <w:rPr>
          <w:rFonts w:ascii="Times New Roman" w:hAnsi="Times New Roman" w:eastAsia="Times New Roman" w:cs="Times New Roman"/>
          <w:spacing w:val="-5"/>
          <w:sz w:val="24"/>
          <w:szCs w:val="24"/>
        </w:rPr>
        <w:t>”</w:t>
      </w:r>
      <w:r>
        <w:rPr>
          <w:rFonts w:ascii="宋体" w:hAnsi="宋体" w:eastAsia="宋体" w:cs="宋体"/>
          <w:spacing w:val="-5"/>
          <w:sz w:val="24"/>
          <w:szCs w:val="24"/>
        </w:rPr>
        <w:t>规划》、《温州市综合交通运输发</w:t>
      </w:r>
      <w:r>
        <w:rPr>
          <w:rFonts w:ascii="宋体" w:hAnsi="宋体" w:eastAsia="宋体" w:cs="宋体"/>
          <w:spacing w:val="-6"/>
          <w:sz w:val="24"/>
          <w:szCs w:val="24"/>
        </w:rPr>
        <w:t>展</w:t>
      </w:r>
      <w:r>
        <w:rPr>
          <w:rFonts w:ascii="Times New Roman" w:hAnsi="Times New Roman" w:eastAsia="Times New Roman" w:cs="Times New Roman"/>
          <w:spacing w:val="-6"/>
          <w:sz w:val="24"/>
          <w:szCs w:val="24"/>
        </w:rPr>
        <w:t>“</w:t>
      </w:r>
      <w:r>
        <w:rPr>
          <w:rFonts w:ascii="宋体" w:hAnsi="宋体" w:eastAsia="宋体" w:cs="宋体"/>
          <w:spacing w:val="-6"/>
          <w:sz w:val="24"/>
          <w:szCs w:val="24"/>
        </w:rPr>
        <w:t>十四五</w:t>
      </w:r>
      <w:r>
        <w:rPr>
          <w:rFonts w:ascii="Times New Roman" w:hAnsi="Times New Roman" w:eastAsia="Times New Roman" w:cs="Times New Roman"/>
          <w:spacing w:val="-6"/>
          <w:sz w:val="24"/>
          <w:szCs w:val="24"/>
        </w:rPr>
        <w:t>”</w:t>
      </w:r>
      <w:r>
        <w:rPr>
          <w:rFonts w:ascii="宋体" w:hAnsi="宋体" w:eastAsia="宋体" w:cs="宋体"/>
          <w:spacing w:val="-6"/>
          <w:sz w:val="24"/>
          <w:szCs w:val="24"/>
        </w:rPr>
        <w:t>规划》及其规划环评、</w:t>
      </w:r>
      <w:r>
        <w:rPr>
          <w:rFonts w:ascii="宋体" w:hAnsi="宋体" w:eastAsia="宋体" w:cs="宋体"/>
          <w:sz w:val="24"/>
          <w:szCs w:val="24"/>
        </w:rPr>
        <w:t xml:space="preserve"> </w:t>
      </w:r>
      <w:r>
        <w:rPr>
          <w:rFonts w:ascii="宋体" w:hAnsi="宋体" w:eastAsia="宋体" w:cs="宋体"/>
          <w:spacing w:val="-7"/>
          <w:sz w:val="24"/>
          <w:szCs w:val="24"/>
        </w:rPr>
        <w:t>《文成县域总体规划（</w:t>
      </w:r>
      <w:r>
        <w:rPr>
          <w:rFonts w:ascii="Times New Roman" w:hAnsi="Times New Roman" w:eastAsia="Times New Roman" w:cs="Times New Roman"/>
          <w:spacing w:val="-7"/>
          <w:sz w:val="24"/>
          <w:szCs w:val="24"/>
        </w:rPr>
        <w:t xml:space="preserve">2006-2020 </w:t>
      </w:r>
      <w:r>
        <w:rPr>
          <w:rFonts w:ascii="宋体" w:hAnsi="宋体" w:eastAsia="宋体" w:cs="宋体"/>
          <w:spacing w:val="-7"/>
          <w:sz w:val="24"/>
          <w:szCs w:val="24"/>
        </w:rPr>
        <w:t>年）》、《文成县国土空间总体规划（</w:t>
      </w:r>
      <w:r>
        <w:rPr>
          <w:rFonts w:ascii="Times New Roman" w:hAnsi="Times New Roman" w:eastAsia="Times New Roman" w:cs="Times New Roman"/>
          <w:spacing w:val="-7"/>
          <w:sz w:val="24"/>
          <w:szCs w:val="24"/>
        </w:rPr>
        <w:t>2021-20</w:t>
      </w:r>
      <w:r>
        <w:rPr>
          <w:rFonts w:ascii="Times New Roman" w:hAnsi="Times New Roman" w:eastAsia="Times New Roman" w:cs="Times New Roman"/>
          <w:spacing w:val="-8"/>
          <w:sz w:val="24"/>
          <w:szCs w:val="24"/>
        </w:rPr>
        <w:t xml:space="preserve">35  </w:t>
      </w:r>
      <w:r>
        <w:rPr>
          <w:rFonts w:ascii="宋体" w:hAnsi="宋体" w:eastAsia="宋体" w:cs="宋体"/>
          <w:spacing w:val="-9"/>
          <w:sz w:val="24"/>
          <w:szCs w:val="24"/>
        </w:rPr>
        <w:t>年）》（评审稿）</w:t>
      </w:r>
      <w:r>
        <w:rPr>
          <w:rFonts w:ascii="宋体" w:hAnsi="宋体" w:eastAsia="宋体" w:cs="宋体"/>
          <w:spacing w:val="-66"/>
          <w:sz w:val="24"/>
          <w:szCs w:val="24"/>
        </w:rPr>
        <w:t xml:space="preserve"> </w:t>
      </w:r>
      <w:r>
        <w:rPr>
          <w:rFonts w:ascii="宋体" w:hAnsi="宋体" w:eastAsia="宋体" w:cs="宋体"/>
          <w:spacing w:val="-9"/>
          <w:sz w:val="24"/>
          <w:szCs w:val="24"/>
        </w:rPr>
        <w:t>的要求。项目位于珊溪水库饮用水水源保护区准保</w:t>
      </w:r>
      <w:r>
        <w:rPr>
          <w:rFonts w:ascii="宋体" w:hAnsi="宋体" w:eastAsia="宋体" w:cs="宋体"/>
          <w:spacing w:val="-10"/>
          <w:sz w:val="24"/>
          <w:szCs w:val="24"/>
        </w:rPr>
        <w:t>护区范围内，</w:t>
      </w:r>
      <w:r>
        <w:rPr>
          <w:rFonts w:ascii="宋体" w:hAnsi="宋体" w:eastAsia="宋体" w:cs="宋体"/>
          <w:sz w:val="24"/>
          <w:szCs w:val="24"/>
        </w:rPr>
        <w:t xml:space="preserve"> </w:t>
      </w:r>
      <w:r>
        <w:rPr>
          <w:rFonts w:ascii="宋体" w:hAnsi="宋体" w:eastAsia="宋体" w:cs="宋体"/>
          <w:spacing w:val="2"/>
          <w:sz w:val="24"/>
          <w:szCs w:val="24"/>
        </w:rPr>
        <w:t xml:space="preserve">距离包垟水库水源地（拟划定）约 </w:t>
      </w:r>
      <w:r>
        <w:rPr>
          <w:rFonts w:ascii="Times New Roman" w:hAnsi="Times New Roman" w:eastAsia="Times New Roman" w:cs="Times New Roman"/>
          <w:spacing w:val="2"/>
          <w:sz w:val="24"/>
          <w:szCs w:val="24"/>
        </w:rPr>
        <w:t>300m</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。工程经过区域不涉及最新的百丈漈</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 xml:space="preserve">  </w:t>
      </w:r>
      <w:r>
        <w:rPr>
          <w:rFonts w:ascii="宋体" w:hAnsi="宋体" w:eastAsia="宋体" w:cs="宋体"/>
          <w:spacing w:val="-3"/>
          <w:sz w:val="24"/>
          <w:szCs w:val="24"/>
        </w:rPr>
        <w:t>飞云湖风景名胜区范围，不涉及生态保护红线及其他敏</w:t>
      </w:r>
      <w:r>
        <w:rPr>
          <w:rFonts w:ascii="宋体" w:hAnsi="宋体" w:eastAsia="宋体" w:cs="宋体"/>
          <w:spacing w:val="-4"/>
          <w:sz w:val="24"/>
          <w:szCs w:val="24"/>
        </w:rPr>
        <w:t xml:space="preserve">感区。在采取各项有效的 </w:t>
      </w:r>
      <w:r>
        <w:rPr>
          <w:rFonts w:ascii="宋体" w:hAnsi="宋体" w:eastAsia="宋体" w:cs="宋体"/>
          <w:spacing w:val="-7"/>
          <w:sz w:val="24"/>
          <w:szCs w:val="24"/>
        </w:rPr>
        <w:t>生态保护和生态恢复措施、污染防治措施后，</w:t>
      </w:r>
      <w:r>
        <w:rPr>
          <w:rFonts w:ascii="宋体" w:hAnsi="宋体" w:eastAsia="宋体" w:cs="宋体"/>
          <w:spacing w:val="36"/>
          <w:sz w:val="24"/>
          <w:szCs w:val="24"/>
        </w:rPr>
        <w:t xml:space="preserve"> </w:t>
      </w:r>
      <w:r>
        <w:rPr>
          <w:rFonts w:ascii="宋体" w:hAnsi="宋体" w:eastAsia="宋体" w:cs="宋体"/>
          <w:spacing w:val="-7"/>
          <w:sz w:val="24"/>
          <w:szCs w:val="24"/>
        </w:rPr>
        <w:t>项</w:t>
      </w:r>
      <w:r>
        <w:rPr>
          <w:rFonts w:ascii="宋体" w:hAnsi="宋体" w:eastAsia="宋体" w:cs="宋体"/>
          <w:spacing w:val="-8"/>
          <w:sz w:val="24"/>
          <w:szCs w:val="24"/>
        </w:rPr>
        <w:t>目建设符合生态保护红线、环境</w:t>
      </w:r>
    </w:p>
    <w:p>
      <w:pPr>
        <w:spacing w:line="219" w:lineRule="auto"/>
        <w:jc w:val="right"/>
        <w:rPr>
          <w:rFonts w:ascii="宋体" w:hAnsi="宋体" w:eastAsia="宋体" w:cs="宋体"/>
          <w:sz w:val="24"/>
          <w:szCs w:val="24"/>
        </w:rPr>
      </w:pPr>
      <w:r>
        <w:rPr>
          <w:rFonts w:ascii="宋体" w:hAnsi="宋体" w:eastAsia="宋体" w:cs="宋体"/>
          <w:spacing w:val="-9"/>
          <w:sz w:val="24"/>
          <w:szCs w:val="24"/>
        </w:rPr>
        <w:t>质量底线、资源利用上线及生态环境准入清单的要求，</w:t>
      </w:r>
      <w:r>
        <w:rPr>
          <w:rFonts w:ascii="宋体" w:hAnsi="宋体" w:eastAsia="宋体" w:cs="宋体"/>
          <w:spacing w:val="-21"/>
          <w:sz w:val="24"/>
          <w:szCs w:val="24"/>
        </w:rPr>
        <w:t xml:space="preserve"> </w:t>
      </w:r>
      <w:r>
        <w:rPr>
          <w:rFonts w:ascii="宋体" w:hAnsi="宋体" w:eastAsia="宋体" w:cs="宋体"/>
          <w:spacing w:val="-9"/>
          <w:sz w:val="24"/>
          <w:szCs w:val="24"/>
        </w:rPr>
        <w:t>符合</w:t>
      </w:r>
      <w:r>
        <w:rPr>
          <w:rFonts w:ascii="Times New Roman" w:hAnsi="Times New Roman" w:eastAsia="Times New Roman" w:cs="Times New Roman"/>
          <w:spacing w:val="-9"/>
          <w:sz w:val="24"/>
          <w:szCs w:val="24"/>
        </w:rPr>
        <w:t>“</w:t>
      </w:r>
      <w:r>
        <w:rPr>
          <w:rFonts w:ascii="宋体" w:hAnsi="宋体" w:eastAsia="宋体" w:cs="宋体"/>
          <w:spacing w:val="-9"/>
          <w:sz w:val="24"/>
          <w:szCs w:val="24"/>
        </w:rPr>
        <w:t>三线一单</w:t>
      </w:r>
      <w:r>
        <w:rPr>
          <w:rFonts w:ascii="Times New Roman" w:hAnsi="Times New Roman" w:eastAsia="Times New Roman" w:cs="Times New Roman"/>
          <w:spacing w:val="-9"/>
          <w:sz w:val="24"/>
          <w:szCs w:val="24"/>
        </w:rPr>
        <w:t>”</w:t>
      </w:r>
      <w:r>
        <w:rPr>
          <w:rFonts w:ascii="宋体" w:hAnsi="宋体" w:eastAsia="宋体" w:cs="宋体"/>
          <w:spacing w:val="-9"/>
          <w:sz w:val="24"/>
          <w:szCs w:val="24"/>
        </w:rPr>
        <w:t>管控要求。</w:t>
      </w:r>
    </w:p>
    <w:p>
      <w:pPr>
        <w:spacing w:before="180" w:line="359" w:lineRule="auto"/>
        <w:ind w:left="38" w:right="52" w:firstLine="479"/>
        <w:jc w:val="both"/>
        <w:rPr>
          <w:rFonts w:ascii="宋体" w:hAnsi="宋体" w:eastAsia="宋体" w:cs="宋体"/>
          <w:sz w:val="24"/>
          <w:szCs w:val="24"/>
        </w:rPr>
      </w:pPr>
      <w:r>
        <w:rPr>
          <w:rFonts w:ascii="宋体" w:hAnsi="宋体" w:eastAsia="宋体" w:cs="宋体"/>
          <w:spacing w:val="-6"/>
          <w:sz w:val="24"/>
          <w:szCs w:val="24"/>
        </w:rPr>
        <w:t>根据预测结果显示，</w:t>
      </w:r>
      <w:r>
        <w:rPr>
          <w:rFonts w:ascii="宋体" w:hAnsi="宋体" w:eastAsia="宋体" w:cs="宋体"/>
          <w:spacing w:val="-26"/>
          <w:sz w:val="24"/>
          <w:szCs w:val="24"/>
        </w:rPr>
        <w:t xml:space="preserve"> </w:t>
      </w:r>
      <w:r>
        <w:rPr>
          <w:rFonts w:ascii="宋体" w:hAnsi="宋体" w:eastAsia="宋体" w:cs="宋体"/>
          <w:spacing w:val="-6"/>
          <w:sz w:val="24"/>
          <w:szCs w:val="24"/>
        </w:rPr>
        <w:t>工程施工期和营运期将会对工程沿线区域产生一定不利</w:t>
      </w:r>
      <w:r>
        <w:rPr>
          <w:rFonts w:ascii="宋体" w:hAnsi="宋体" w:eastAsia="宋体" w:cs="宋体"/>
          <w:sz w:val="24"/>
          <w:szCs w:val="24"/>
        </w:rPr>
        <w:t xml:space="preserve"> </w:t>
      </w:r>
      <w:r>
        <w:rPr>
          <w:rFonts w:ascii="宋体" w:hAnsi="宋体" w:eastAsia="宋体" w:cs="宋体"/>
          <w:spacing w:val="-9"/>
          <w:sz w:val="24"/>
          <w:szCs w:val="24"/>
        </w:rPr>
        <w:t>环境影响， 建设单位及施工单位应严格执行国家的</w:t>
      </w:r>
      <w:r>
        <w:rPr>
          <w:rFonts w:ascii="宋体" w:hAnsi="宋体" w:eastAsia="宋体" w:cs="宋体"/>
          <w:spacing w:val="-10"/>
          <w:sz w:val="24"/>
          <w:szCs w:val="24"/>
        </w:rPr>
        <w:t>有关环保法规， 充分落实本报</w:t>
      </w:r>
      <w:r>
        <w:rPr>
          <w:rFonts w:ascii="宋体" w:hAnsi="宋体" w:eastAsia="宋体" w:cs="宋体"/>
          <w:sz w:val="24"/>
          <w:szCs w:val="24"/>
        </w:rPr>
        <w:t xml:space="preserve"> </w:t>
      </w:r>
      <w:r>
        <w:rPr>
          <w:rFonts w:ascii="宋体" w:hAnsi="宋体" w:eastAsia="宋体" w:cs="宋体"/>
          <w:spacing w:val="-9"/>
          <w:sz w:val="24"/>
          <w:szCs w:val="24"/>
        </w:rPr>
        <w:t>告书提出的各项环保建议和要求， 加强施工期环境</w:t>
      </w:r>
      <w:r>
        <w:rPr>
          <w:rFonts w:ascii="宋体" w:hAnsi="宋体" w:eastAsia="宋体" w:cs="宋体"/>
          <w:spacing w:val="-10"/>
          <w:sz w:val="24"/>
          <w:szCs w:val="24"/>
        </w:rPr>
        <w:t>管理， 做好施工期和运营期的</w:t>
      </w:r>
      <w:r>
        <w:rPr>
          <w:rFonts w:ascii="宋体" w:hAnsi="宋体" w:eastAsia="宋体" w:cs="宋体"/>
          <w:sz w:val="24"/>
          <w:szCs w:val="24"/>
        </w:rPr>
        <w:t xml:space="preserve"> </w:t>
      </w:r>
      <w:r>
        <w:rPr>
          <w:rFonts w:ascii="宋体" w:hAnsi="宋体" w:eastAsia="宋体" w:cs="宋体"/>
          <w:spacing w:val="-2"/>
          <w:sz w:val="24"/>
          <w:szCs w:val="24"/>
        </w:rPr>
        <w:t>各项污染防治措施及事故防范应急措施，达到与主体工程实现</w:t>
      </w:r>
      <w:r>
        <w:rPr>
          <w:rFonts w:ascii="Times New Roman" w:hAnsi="Times New Roman" w:eastAsia="Times New Roman" w:cs="Times New Roman"/>
          <w:spacing w:val="-2"/>
          <w:sz w:val="24"/>
          <w:szCs w:val="24"/>
        </w:rPr>
        <w:t>“</w:t>
      </w:r>
      <w:r>
        <w:rPr>
          <w:rFonts w:ascii="宋体" w:hAnsi="宋体" w:eastAsia="宋体" w:cs="宋体"/>
          <w:spacing w:val="-2"/>
          <w:sz w:val="24"/>
          <w:szCs w:val="24"/>
        </w:rPr>
        <w:t>三同时</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的要</w:t>
      </w:r>
      <w:r>
        <w:rPr>
          <w:rFonts w:ascii="宋体" w:hAnsi="宋体" w:eastAsia="宋体" w:cs="宋体"/>
          <w:spacing w:val="-3"/>
          <w:sz w:val="24"/>
          <w:szCs w:val="24"/>
        </w:rPr>
        <w:t>求。</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在此基础上，从环境保护角度而言，工程建设可行。</w:t>
      </w:r>
    </w:p>
    <w:p>
      <w:pPr>
        <w:spacing w:line="218" w:lineRule="auto"/>
        <w:rPr>
          <w:rFonts w:ascii="宋体" w:hAnsi="宋体" w:eastAsia="宋体" w:cs="宋体"/>
          <w:sz w:val="24"/>
          <w:szCs w:val="24"/>
        </w:rPr>
        <w:sectPr>
          <w:headerReference r:id="rId21" w:type="default"/>
          <w:footerReference r:id="rId22" w:type="default"/>
          <w:pgSz w:w="11907" w:h="16839"/>
          <w:pgMar w:top="1118" w:right="1715" w:bottom="1175" w:left="1771" w:header="879" w:footer="1013" w:gutter="0"/>
          <w:cols w:space="720" w:num="1"/>
        </w:sectPr>
      </w:pPr>
    </w:p>
    <w:p>
      <w:pPr>
        <w:pStyle w:val="2"/>
        <w:spacing w:line="270" w:lineRule="auto"/>
      </w:pPr>
    </w:p>
    <w:p>
      <w:pPr>
        <w:spacing w:before="91" w:line="221" w:lineRule="auto"/>
        <w:ind w:left="35"/>
        <w:rPr>
          <w:rFonts w:ascii="宋体" w:hAnsi="宋体" w:eastAsia="宋体" w:cs="宋体"/>
          <w:sz w:val="28"/>
          <w:szCs w:val="28"/>
        </w:rPr>
      </w:pPr>
      <w:bookmarkStart w:id="6" w:name="bookmark7"/>
      <w:bookmarkEnd w:id="6"/>
      <w:bookmarkStart w:id="7" w:name="bookmark8"/>
      <w:bookmarkEnd w:id="7"/>
      <w:r>
        <w:rPr>
          <w:rFonts w:ascii="Times New Roman" w:hAnsi="Times New Roman" w:eastAsia="Times New Roman" w:cs="Times New Roman"/>
          <w:b/>
          <w:bCs/>
          <w:spacing w:val="-5"/>
          <w:sz w:val="28"/>
          <w:szCs w:val="28"/>
        </w:rPr>
        <w:t>2</w:t>
      </w:r>
      <w:r>
        <w:rPr>
          <w:rFonts w:ascii="Times New Roman" w:hAnsi="Times New Roman" w:eastAsia="Times New Roman" w:cs="Times New Roman"/>
          <w:b/>
          <w:bCs/>
          <w:spacing w:val="9"/>
          <w:sz w:val="28"/>
          <w:szCs w:val="28"/>
        </w:rPr>
        <w:t xml:space="preserve">  </w:t>
      </w:r>
      <w:r>
        <w:rPr>
          <w:rFonts w:ascii="宋体" w:hAnsi="宋体" w:eastAsia="宋体" w:cs="宋体"/>
          <w:spacing w:val="-5"/>
          <w:sz w:val="28"/>
          <w:szCs w:val="28"/>
          <w14:textOutline w14:w="5094" w14:cap="flat" w14:cmpd="sng">
            <w14:solidFill>
              <w14:srgbClr w14:val="000000"/>
            </w14:solidFill>
            <w14:prstDash w14:val="solid"/>
            <w14:miter w14:val="0"/>
          </w14:textOutline>
        </w:rPr>
        <w:t>总则</w:t>
      </w:r>
    </w:p>
    <w:p>
      <w:pPr>
        <w:spacing w:before="203" w:line="219" w:lineRule="auto"/>
        <w:ind w:left="34"/>
        <w:rPr>
          <w:rFonts w:ascii="宋体" w:hAnsi="宋体" w:eastAsia="宋体" w:cs="宋体"/>
          <w:sz w:val="24"/>
          <w:szCs w:val="24"/>
        </w:rPr>
      </w:pPr>
      <w:r>
        <w:rPr>
          <w:rFonts w:ascii="Times New Roman" w:hAnsi="Times New Roman" w:eastAsia="Times New Roman" w:cs="Times New Roman"/>
          <w:b/>
          <w:bCs/>
          <w:spacing w:val="-1"/>
          <w:sz w:val="24"/>
          <w:szCs w:val="24"/>
        </w:rPr>
        <w:t xml:space="preserve">2.1 </w:t>
      </w:r>
      <w:r>
        <w:rPr>
          <w:rFonts w:ascii="宋体" w:hAnsi="宋体" w:eastAsia="宋体" w:cs="宋体"/>
          <w:spacing w:val="-1"/>
          <w:sz w:val="24"/>
          <w:szCs w:val="24"/>
          <w14:textOutline w14:w="4354" w14:cap="flat" w14:cmpd="sng">
            <w14:solidFill>
              <w14:srgbClr w14:val="000000"/>
            </w14:solidFill>
            <w14:prstDash w14:val="solid"/>
            <w14:miter w14:val="0"/>
          </w14:textOutline>
        </w:rPr>
        <w:t>编制依据</w:t>
      </w:r>
    </w:p>
    <w:p>
      <w:pPr>
        <w:spacing w:before="180" w:line="219" w:lineRule="auto"/>
        <w:ind w:left="34"/>
        <w:outlineLvl w:val="0"/>
        <w:rPr>
          <w:rFonts w:ascii="宋体" w:hAnsi="宋体" w:eastAsia="宋体" w:cs="宋体"/>
          <w:sz w:val="24"/>
          <w:szCs w:val="24"/>
        </w:rPr>
      </w:pPr>
      <w:r>
        <w:rPr>
          <w:rFonts w:ascii="Times New Roman" w:hAnsi="Times New Roman" w:eastAsia="Times New Roman" w:cs="Times New Roman"/>
          <w:b/>
          <w:bCs/>
          <w:spacing w:val="-2"/>
          <w:sz w:val="24"/>
          <w:szCs w:val="24"/>
        </w:rPr>
        <w:t>2.1.1</w:t>
      </w:r>
      <w:r>
        <w:rPr>
          <w:rFonts w:ascii="Times New Roman" w:hAnsi="Times New Roman" w:eastAsia="Times New Roman" w:cs="Times New Roman"/>
          <w:b/>
          <w:bCs/>
          <w:spacing w:val="35"/>
          <w:w w:val="101"/>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国家有关法律法规和规章</w:t>
      </w:r>
    </w:p>
    <w:p>
      <w:pPr>
        <w:spacing w:before="183" w:line="213" w:lineRule="auto"/>
        <w:ind w:left="518"/>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《中华人民共和国环境保护法》（</w:t>
      </w:r>
      <w:r>
        <w:rPr>
          <w:rFonts w:ascii="Times New Roman" w:hAnsi="Times New Roman" w:eastAsia="Times New Roman" w:cs="Times New Roman"/>
          <w:spacing w:val="-4"/>
          <w:sz w:val="24"/>
          <w:szCs w:val="24"/>
        </w:rPr>
        <w:t xml:space="preserve">2015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w:t>
      </w:r>
      <w:r>
        <w:rPr>
          <w:rFonts w:ascii="宋体" w:hAnsi="宋体" w:eastAsia="宋体" w:cs="宋体"/>
          <w:spacing w:val="-18"/>
          <w:sz w:val="24"/>
          <w:szCs w:val="24"/>
        </w:rPr>
        <w:t>）；</w:t>
      </w:r>
    </w:p>
    <w:p>
      <w:pPr>
        <w:spacing w:before="192" w:line="466" w:lineRule="exact"/>
        <w:ind w:left="518"/>
        <w:rPr>
          <w:rFonts w:ascii="宋体" w:hAnsi="宋体" w:eastAsia="宋体" w:cs="宋体"/>
          <w:sz w:val="24"/>
          <w:szCs w:val="24"/>
        </w:rPr>
      </w:pPr>
      <w:r>
        <w:rPr>
          <w:rFonts w:ascii="Times New Roman" w:hAnsi="Times New Roman" w:eastAsia="Times New Roman" w:cs="Times New Roman"/>
          <w:spacing w:val="-4"/>
          <w:position w:val="17"/>
          <w:sz w:val="24"/>
          <w:szCs w:val="24"/>
        </w:rPr>
        <w:t>(2)</w:t>
      </w:r>
      <w:r>
        <w:rPr>
          <w:rFonts w:ascii="宋体" w:hAnsi="宋体" w:eastAsia="宋体" w:cs="宋体"/>
          <w:spacing w:val="-4"/>
          <w:position w:val="17"/>
          <w:sz w:val="24"/>
          <w:szCs w:val="24"/>
        </w:rPr>
        <w:t>《中华人民共和国环境影响评价法》（</w:t>
      </w:r>
      <w:r>
        <w:rPr>
          <w:rFonts w:ascii="Times New Roman" w:hAnsi="Times New Roman" w:eastAsia="Times New Roman" w:cs="Times New Roman"/>
          <w:spacing w:val="-4"/>
          <w:position w:val="17"/>
          <w:sz w:val="24"/>
          <w:szCs w:val="24"/>
        </w:rPr>
        <w:t xml:space="preserve">2018 </w:t>
      </w:r>
      <w:r>
        <w:rPr>
          <w:rFonts w:ascii="宋体" w:hAnsi="宋体" w:eastAsia="宋体" w:cs="宋体"/>
          <w:spacing w:val="-4"/>
          <w:position w:val="17"/>
          <w:sz w:val="24"/>
          <w:szCs w:val="24"/>
        </w:rPr>
        <w:t>年</w:t>
      </w:r>
      <w:r>
        <w:rPr>
          <w:rFonts w:ascii="宋体" w:hAnsi="宋体" w:eastAsia="宋体" w:cs="宋体"/>
          <w:spacing w:val="-32"/>
          <w:position w:val="17"/>
          <w:sz w:val="24"/>
          <w:szCs w:val="24"/>
        </w:rPr>
        <w:t xml:space="preserve"> </w:t>
      </w:r>
      <w:r>
        <w:rPr>
          <w:rFonts w:ascii="Times New Roman" w:hAnsi="Times New Roman" w:eastAsia="Times New Roman" w:cs="Times New Roman"/>
          <w:spacing w:val="-4"/>
          <w:position w:val="17"/>
          <w:sz w:val="24"/>
          <w:szCs w:val="24"/>
        </w:rPr>
        <w:t>12</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55"/>
          <w:position w:val="17"/>
          <w:sz w:val="24"/>
          <w:szCs w:val="24"/>
        </w:rPr>
        <w:t xml:space="preserve"> </w:t>
      </w:r>
      <w:r>
        <w:rPr>
          <w:rFonts w:ascii="Times New Roman" w:hAnsi="Times New Roman" w:eastAsia="Times New Roman" w:cs="Times New Roman"/>
          <w:spacing w:val="-4"/>
          <w:position w:val="17"/>
          <w:sz w:val="24"/>
          <w:szCs w:val="24"/>
        </w:rPr>
        <w:t xml:space="preserve">29  </w:t>
      </w:r>
      <w:r>
        <w:rPr>
          <w:rFonts w:ascii="宋体" w:hAnsi="宋体" w:eastAsia="宋体" w:cs="宋体"/>
          <w:spacing w:val="-4"/>
          <w:position w:val="17"/>
          <w:sz w:val="24"/>
          <w:szCs w:val="24"/>
        </w:rPr>
        <w:t>日修正）；</w:t>
      </w:r>
    </w:p>
    <w:p>
      <w:pPr>
        <w:spacing w:line="212" w:lineRule="auto"/>
        <w:ind w:left="518"/>
        <w:rPr>
          <w:rFonts w:ascii="宋体" w:hAnsi="宋体" w:eastAsia="宋体" w:cs="宋体"/>
          <w:sz w:val="24"/>
          <w:szCs w:val="24"/>
        </w:rPr>
      </w:pPr>
      <w:r>
        <w:rPr>
          <w:rFonts w:ascii="Times New Roman" w:hAnsi="Times New Roman" w:eastAsia="Times New Roman" w:cs="Times New Roman"/>
          <w:spacing w:val="-4"/>
          <w:sz w:val="24"/>
          <w:szCs w:val="24"/>
        </w:rPr>
        <w:t>(3)</w:t>
      </w:r>
      <w:r>
        <w:rPr>
          <w:rFonts w:ascii="宋体" w:hAnsi="宋体" w:eastAsia="宋体" w:cs="宋体"/>
          <w:spacing w:val="-4"/>
          <w:sz w:val="24"/>
          <w:szCs w:val="24"/>
        </w:rPr>
        <w:t>《中华人民共和国水污染防治法》（</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日</w:t>
      </w:r>
      <w:r>
        <w:rPr>
          <w:rFonts w:ascii="宋体" w:hAnsi="宋体" w:eastAsia="宋体" w:cs="宋体"/>
          <w:spacing w:val="-18"/>
          <w:sz w:val="24"/>
          <w:szCs w:val="24"/>
        </w:rPr>
        <w:t>）；</w:t>
      </w:r>
    </w:p>
    <w:p>
      <w:pPr>
        <w:spacing w:before="192" w:line="213" w:lineRule="auto"/>
        <w:ind w:left="518"/>
        <w:rPr>
          <w:rFonts w:ascii="宋体" w:hAnsi="宋体" w:eastAsia="宋体" w:cs="宋体"/>
          <w:sz w:val="24"/>
          <w:szCs w:val="24"/>
        </w:rPr>
      </w:pPr>
      <w:r>
        <w:rPr>
          <w:rFonts w:ascii="Times New Roman" w:hAnsi="Times New Roman" w:eastAsia="Times New Roman" w:cs="Times New Roman"/>
          <w:spacing w:val="-4"/>
          <w:sz w:val="24"/>
          <w:szCs w:val="24"/>
        </w:rPr>
        <w:t>(4)</w:t>
      </w:r>
      <w:r>
        <w:rPr>
          <w:rFonts w:ascii="宋体" w:hAnsi="宋体" w:eastAsia="宋体" w:cs="宋体"/>
          <w:spacing w:val="-4"/>
          <w:sz w:val="24"/>
          <w:szCs w:val="24"/>
        </w:rPr>
        <w:t>《中华人民共和国大气污染防治法》（</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26  </w:t>
      </w:r>
      <w:r>
        <w:rPr>
          <w:rFonts w:ascii="宋体" w:hAnsi="宋体" w:eastAsia="宋体" w:cs="宋体"/>
          <w:spacing w:val="-4"/>
          <w:sz w:val="24"/>
          <w:szCs w:val="24"/>
        </w:rPr>
        <w:t>日修正）；</w:t>
      </w:r>
    </w:p>
    <w:p>
      <w:pPr>
        <w:spacing w:before="189" w:line="468" w:lineRule="exact"/>
        <w:ind w:right="18"/>
        <w:jc w:val="right"/>
        <w:rPr>
          <w:rFonts w:ascii="宋体" w:hAnsi="宋体" w:eastAsia="宋体" w:cs="宋体"/>
          <w:sz w:val="24"/>
          <w:szCs w:val="24"/>
        </w:rPr>
      </w:pPr>
      <w:r>
        <w:rPr>
          <w:rFonts w:ascii="Times New Roman" w:hAnsi="Times New Roman" w:eastAsia="Times New Roman" w:cs="Times New Roman"/>
          <w:spacing w:val="-5"/>
          <w:position w:val="17"/>
          <w:sz w:val="24"/>
          <w:szCs w:val="24"/>
        </w:rPr>
        <w:t>(5)</w:t>
      </w:r>
      <w:r>
        <w:rPr>
          <w:rFonts w:ascii="宋体" w:hAnsi="宋体" w:eastAsia="宋体" w:cs="宋体"/>
          <w:spacing w:val="-5"/>
          <w:position w:val="17"/>
          <w:sz w:val="24"/>
          <w:szCs w:val="24"/>
        </w:rPr>
        <w:t>《中华人民共和国噪声污染防治法》（</w:t>
      </w:r>
      <w:r>
        <w:rPr>
          <w:rFonts w:ascii="Times New Roman" w:hAnsi="Times New Roman" w:eastAsia="Times New Roman" w:cs="Times New Roman"/>
          <w:spacing w:val="-5"/>
          <w:position w:val="17"/>
          <w:sz w:val="24"/>
          <w:szCs w:val="24"/>
        </w:rPr>
        <w:t>202</w:t>
      </w:r>
      <w:r>
        <w:rPr>
          <w:rFonts w:ascii="Times New Roman" w:hAnsi="Times New Roman" w:eastAsia="Times New Roman" w:cs="Times New Roman"/>
          <w:spacing w:val="-6"/>
          <w:position w:val="17"/>
          <w:sz w:val="24"/>
          <w:szCs w:val="24"/>
        </w:rPr>
        <w:t xml:space="preserve">1 </w:t>
      </w:r>
      <w:r>
        <w:rPr>
          <w:rFonts w:ascii="宋体" w:hAnsi="宋体" w:eastAsia="宋体" w:cs="宋体"/>
          <w:spacing w:val="-6"/>
          <w:position w:val="17"/>
          <w:sz w:val="24"/>
          <w:szCs w:val="24"/>
        </w:rPr>
        <w:t>年</w:t>
      </w:r>
      <w:r>
        <w:rPr>
          <w:rFonts w:ascii="宋体" w:hAnsi="宋体" w:eastAsia="宋体" w:cs="宋体"/>
          <w:spacing w:val="-32"/>
          <w:position w:val="17"/>
          <w:sz w:val="24"/>
          <w:szCs w:val="24"/>
        </w:rPr>
        <w:t xml:space="preserve"> </w:t>
      </w:r>
      <w:r>
        <w:rPr>
          <w:rFonts w:ascii="Times New Roman" w:hAnsi="Times New Roman" w:eastAsia="Times New Roman" w:cs="Times New Roman"/>
          <w:spacing w:val="-6"/>
          <w:position w:val="17"/>
          <w:sz w:val="24"/>
          <w:szCs w:val="24"/>
        </w:rPr>
        <w:t>12</w:t>
      </w:r>
      <w:r>
        <w:rPr>
          <w:rFonts w:ascii="Times New Roman" w:hAnsi="Times New Roman" w:eastAsia="Times New Roman" w:cs="Times New Roman"/>
          <w:spacing w:val="15"/>
          <w:position w:val="17"/>
          <w:sz w:val="24"/>
          <w:szCs w:val="24"/>
        </w:rPr>
        <w:t xml:space="preserve"> </w:t>
      </w:r>
      <w:r>
        <w:rPr>
          <w:rFonts w:ascii="宋体" w:hAnsi="宋体" w:eastAsia="宋体" w:cs="宋体"/>
          <w:spacing w:val="-6"/>
          <w:position w:val="17"/>
          <w:sz w:val="24"/>
          <w:szCs w:val="24"/>
        </w:rPr>
        <w:t>月</w:t>
      </w:r>
      <w:r>
        <w:rPr>
          <w:rFonts w:ascii="宋体" w:hAnsi="宋体" w:eastAsia="宋体" w:cs="宋体"/>
          <w:spacing w:val="-55"/>
          <w:position w:val="17"/>
          <w:sz w:val="24"/>
          <w:szCs w:val="24"/>
        </w:rPr>
        <w:t xml:space="preserve"> </w:t>
      </w:r>
      <w:r>
        <w:rPr>
          <w:rFonts w:ascii="Times New Roman" w:hAnsi="Times New Roman" w:eastAsia="Times New Roman" w:cs="Times New Roman"/>
          <w:spacing w:val="-6"/>
          <w:position w:val="17"/>
          <w:sz w:val="24"/>
          <w:szCs w:val="24"/>
        </w:rPr>
        <w:t xml:space="preserve">24  </w:t>
      </w:r>
      <w:r>
        <w:rPr>
          <w:rFonts w:ascii="宋体" w:hAnsi="宋体" w:eastAsia="宋体" w:cs="宋体"/>
          <w:spacing w:val="-6"/>
          <w:position w:val="17"/>
          <w:sz w:val="24"/>
          <w:szCs w:val="24"/>
        </w:rPr>
        <w:t xml:space="preserve">日发布， </w:t>
      </w:r>
      <w:r>
        <w:rPr>
          <w:rFonts w:ascii="Times New Roman" w:hAnsi="Times New Roman" w:eastAsia="Times New Roman" w:cs="Times New Roman"/>
          <w:spacing w:val="-6"/>
          <w:position w:val="17"/>
          <w:sz w:val="24"/>
          <w:szCs w:val="24"/>
        </w:rPr>
        <w:t xml:space="preserve">2022 </w:t>
      </w:r>
      <w:r>
        <w:rPr>
          <w:rFonts w:ascii="宋体" w:hAnsi="宋体" w:eastAsia="宋体" w:cs="宋体"/>
          <w:spacing w:val="-6"/>
          <w:position w:val="17"/>
          <w:sz w:val="24"/>
          <w:szCs w:val="24"/>
        </w:rPr>
        <w:t>年</w:t>
      </w:r>
    </w:p>
    <w:p>
      <w:pPr>
        <w:spacing w:before="1" w:line="219" w:lineRule="auto"/>
        <w:ind w:left="39"/>
        <w:rPr>
          <w:rFonts w:ascii="宋体" w:hAnsi="宋体" w:eastAsia="宋体" w:cs="宋体"/>
          <w:sz w:val="24"/>
          <w:szCs w:val="24"/>
        </w:rPr>
      </w:pPr>
      <w:r>
        <w:rPr>
          <w:rFonts w:ascii="Times New Roman" w:hAnsi="Times New Roman" w:eastAsia="Times New Roman" w:cs="Times New Roman"/>
          <w:spacing w:val="-16"/>
          <w:sz w:val="24"/>
          <w:szCs w:val="24"/>
        </w:rPr>
        <w:t>6</w:t>
      </w:r>
      <w:r>
        <w:rPr>
          <w:rFonts w:ascii="Times New Roman" w:hAnsi="Times New Roman" w:eastAsia="Times New Roman" w:cs="Times New Roman"/>
          <w:spacing w:val="16"/>
          <w:sz w:val="24"/>
          <w:szCs w:val="24"/>
        </w:rPr>
        <w:t xml:space="preserve"> </w:t>
      </w:r>
      <w:r>
        <w:rPr>
          <w:rFonts w:ascii="宋体" w:hAnsi="宋体" w:eastAsia="宋体" w:cs="宋体"/>
          <w:spacing w:val="-16"/>
          <w:sz w:val="24"/>
          <w:szCs w:val="24"/>
        </w:rPr>
        <w:t>月</w:t>
      </w:r>
      <w:r>
        <w:rPr>
          <w:rFonts w:ascii="宋体" w:hAnsi="宋体" w:eastAsia="宋体" w:cs="宋体"/>
          <w:spacing w:val="-49"/>
          <w:sz w:val="24"/>
          <w:szCs w:val="24"/>
        </w:rPr>
        <w:t xml:space="preserve"> </w:t>
      </w:r>
      <w:r>
        <w:rPr>
          <w:rFonts w:ascii="Times New Roman" w:hAnsi="Times New Roman" w:eastAsia="Times New Roman" w:cs="Times New Roman"/>
          <w:spacing w:val="-16"/>
          <w:sz w:val="24"/>
          <w:szCs w:val="24"/>
        </w:rPr>
        <w:t>5</w:t>
      </w:r>
      <w:r>
        <w:rPr>
          <w:rFonts w:ascii="Times New Roman" w:hAnsi="Times New Roman" w:eastAsia="Times New Roman" w:cs="Times New Roman"/>
          <w:spacing w:val="51"/>
          <w:sz w:val="24"/>
          <w:szCs w:val="24"/>
        </w:rPr>
        <w:t xml:space="preserve"> </w:t>
      </w:r>
      <w:r>
        <w:rPr>
          <w:rFonts w:ascii="宋体" w:hAnsi="宋体" w:eastAsia="宋体" w:cs="宋体"/>
          <w:spacing w:val="-16"/>
          <w:sz w:val="24"/>
          <w:szCs w:val="24"/>
        </w:rPr>
        <w:t>日起实施</w:t>
      </w:r>
      <w:r>
        <w:rPr>
          <w:rFonts w:ascii="宋体" w:hAnsi="宋体" w:eastAsia="宋体" w:cs="宋体"/>
          <w:spacing w:val="-8"/>
          <w:sz w:val="24"/>
          <w:szCs w:val="24"/>
        </w:rPr>
        <w:t>）；</w:t>
      </w:r>
    </w:p>
    <w:p>
      <w:pPr>
        <w:spacing w:before="180" w:line="468" w:lineRule="exact"/>
        <w:jc w:val="right"/>
        <w:rPr>
          <w:rFonts w:ascii="宋体" w:hAnsi="宋体" w:eastAsia="宋体" w:cs="宋体"/>
          <w:sz w:val="24"/>
          <w:szCs w:val="24"/>
        </w:rPr>
      </w:pPr>
      <w:r>
        <w:rPr>
          <w:rFonts w:ascii="Times New Roman" w:hAnsi="Times New Roman" w:eastAsia="Times New Roman" w:cs="Times New Roman"/>
          <w:spacing w:val="-4"/>
          <w:position w:val="17"/>
          <w:sz w:val="24"/>
          <w:szCs w:val="24"/>
        </w:rPr>
        <w:t>(6)</w:t>
      </w:r>
      <w:r>
        <w:rPr>
          <w:rFonts w:ascii="宋体" w:hAnsi="宋体" w:eastAsia="宋体" w:cs="宋体"/>
          <w:spacing w:val="-4"/>
          <w:position w:val="17"/>
          <w:sz w:val="24"/>
          <w:szCs w:val="24"/>
        </w:rPr>
        <w:t>《中华人民共和国固体废物污染环境防治法》（</w:t>
      </w:r>
      <w:r>
        <w:rPr>
          <w:rFonts w:ascii="Times New Roman" w:hAnsi="Times New Roman" w:eastAsia="Times New Roman" w:cs="Times New Roman"/>
          <w:spacing w:val="-4"/>
          <w:position w:val="17"/>
          <w:sz w:val="24"/>
          <w:szCs w:val="24"/>
        </w:rPr>
        <w:t xml:space="preserve">2020 </w:t>
      </w:r>
      <w:r>
        <w:rPr>
          <w:rFonts w:ascii="宋体" w:hAnsi="宋体" w:eastAsia="宋体" w:cs="宋体"/>
          <w:spacing w:val="-4"/>
          <w:position w:val="17"/>
          <w:sz w:val="24"/>
          <w:szCs w:val="24"/>
        </w:rPr>
        <w:t>年</w:t>
      </w:r>
      <w:r>
        <w:rPr>
          <w:rFonts w:ascii="宋体" w:hAnsi="宋体" w:eastAsia="宋体" w:cs="宋体"/>
          <w:spacing w:val="-42"/>
          <w:position w:val="17"/>
          <w:sz w:val="24"/>
          <w:szCs w:val="24"/>
        </w:rPr>
        <w:t xml:space="preserve"> </w:t>
      </w:r>
      <w:r>
        <w:rPr>
          <w:rFonts w:ascii="Times New Roman" w:hAnsi="Times New Roman" w:eastAsia="Times New Roman" w:cs="Times New Roman"/>
          <w:spacing w:val="-4"/>
          <w:position w:val="17"/>
          <w:sz w:val="24"/>
          <w:szCs w:val="24"/>
        </w:rPr>
        <w:t>4</w:t>
      </w:r>
      <w:r>
        <w:rPr>
          <w:rFonts w:ascii="Times New Roman" w:hAnsi="Times New Roman" w:eastAsia="Times New Roman" w:cs="Times New Roman"/>
          <w:spacing w:val="15"/>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55"/>
          <w:position w:val="17"/>
          <w:sz w:val="24"/>
          <w:szCs w:val="24"/>
        </w:rPr>
        <w:t xml:space="preserve"> </w:t>
      </w:r>
      <w:r>
        <w:rPr>
          <w:rFonts w:ascii="Times New Roman" w:hAnsi="Times New Roman" w:eastAsia="Times New Roman" w:cs="Times New Roman"/>
          <w:spacing w:val="-4"/>
          <w:position w:val="17"/>
          <w:sz w:val="24"/>
          <w:szCs w:val="24"/>
        </w:rPr>
        <w:t xml:space="preserve">29  </w:t>
      </w:r>
      <w:r>
        <w:rPr>
          <w:rFonts w:ascii="宋体" w:hAnsi="宋体" w:eastAsia="宋体" w:cs="宋体"/>
          <w:spacing w:val="-4"/>
          <w:position w:val="17"/>
          <w:sz w:val="24"/>
          <w:szCs w:val="24"/>
        </w:rPr>
        <w:t>日修订，</w:t>
      </w:r>
    </w:p>
    <w:p>
      <w:pPr>
        <w:spacing w:before="1" w:line="219" w:lineRule="auto"/>
        <w:ind w:left="33"/>
        <w:rPr>
          <w:rFonts w:ascii="宋体" w:hAnsi="宋体" w:eastAsia="宋体" w:cs="宋体"/>
          <w:sz w:val="24"/>
          <w:szCs w:val="24"/>
        </w:rPr>
      </w:pPr>
      <w:r>
        <w:rPr>
          <w:rFonts w:ascii="Times New Roman" w:hAnsi="Times New Roman" w:eastAsia="Times New Roman" w:cs="Times New Roman"/>
          <w:spacing w:val="-8"/>
          <w:sz w:val="24"/>
          <w:szCs w:val="24"/>
        </w:rPr>
        <w:t xml:space="preserve">20220 </w:t>
      </w:r>
      <w:r>
        <w:rPr>
          <w:rFonts w:ascii="宋体" w:hAnsi="宋体" w:eastAsia="宋体" w:cs="宋体"/>
          <w:spacing w:val="-8"/>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日施行</w:t>
      </w:r>
      <w:r>
        <w:rPr>
          <w:rFonts w:ascii="宋体" w:hAnsi="宋体" w:eastAsia="宋体" w:cs="宋体"/>
          <w:spacing w:val="-14"/>
          <w:sz w:val="24"/>
          <w:szCs w:val="24"/>
        </w:rPr>
        <w:t>）；</w:t>
      </w:r>
    </w:p>
    <w:p>
      <w:pPr>
        <w:spacing w:before="180" w:line="468" w:lineRule="exact"/>
        <w:ind w:left="518"/>
        <w:rPr>
          <w:rFonts w:ascii="宋体" w:hAnsi="宋体" w:eastAsia="宋体" w:cs="宋体"/>
          <w:sz w:val="24"/>
          <w:szCs w:val="24"/>
        </w:rPr>
      </w:pPr>
      <w:r>
        <w:rPr>
          <w:rFonts w:ascii="Times New Roman" w:hAnsi="Times New Roman" w:eastAsia="Times New Roman" w:cs="Times New Roman"/>
          <w:spacing w:val="-4"/>
          <w:position w:val="17"/>
          <w:sz w:val="24"/>
          <w:szCs w:val="24"/>
        </w:rPr>
        <w:t>(7)</w:t>
      </w:r>
      <w:r>
        <w:rPr>
          <w:rFonts w:ascii="宋体" w:hAnsi="宋体" w:eastAsia="宋体" w:cs="宋体"/>
          <w:spacing w:val="-4"/>
          <w:position w:val="17"/>
          <w:sz w:val="24"/>
          <w:szCs w:val="24"/>
        </w:rPr>
        <w:t>《中华人民共和国土壤污染防治法》（</w:t>
      </w:r>
      <w:r>
        <w:rPr>
          <w:rFonts w:ascii="Times New Roman" w:hAnsi="Times New Roman" w:eastAsia="Times New Roman" w:cs="Times New Roman"/>
          <w:spacing w:val="-4"/>
          <w:position w:val="17"/>
          <w:sz w:val="24"/>
          <w:szCs w:val="24"/>
        </w:rPr>
        <w:t xml:space="preserve">2019 </w:t>
      </w:r>
      <w:r>
        <w:rPr>
          <w:rFonts w:ascii="宋体" w:hAnsi="宋体" w:eastAsia="宋体" w:cs="宋体"/>
          <w:spacing w:val="-4"/>
          <w:position w:val="17"/>
          <w:sz w:val="24"/>
          <w:szCs w:val="24"/>
        </w:rPr>
        <w:t>年</w:t>
      </w:r>
      <w:r>
        <w:rPr>
          <w:rFonts w:ascii="宋体" w:hAnsi="宋体" w:eastAsia="宋体" w:cs="宋体"/>
          <w:spacing w:val="-31"/>
          <w:position w:val="17"/>
          <w:sz w:val="24"/>
          <w:szCs w:val="24"/>
        </w:rPr>
        <w:t xml:space="preserve"> </w:t>
      </w:r>
      <w:r>
        <w:rPr>
          <w:rFonts w:ascii="Times New Roman" w:hAnsi="Times New Roman" w:eastAsia="Times New Roman" w:cs="Times New Roman"/>
          <w:spacing w:val="-4"/>
          <w:position w:val="17"/>
          <w:sz w:val="24"/>
          <w:szCs w:val="24"/>
        </w:rPr>
        <w:t>1</w:t>
      </w:r>
      <w:r>
        <w:rPr>
          <w:rFonts w:ascii="Times New Roman" w:hAnsi="Times New Roman" w:eastAsia="Times New Roman" w:cs="Times New Roman"/>
          <w:spacing w:val="15"/>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32"/>
          <w:position w:val="17"/>
          <w:sz w:val="24"/>
          <w:szCs w:val="24"/>
        </w:rPr>
        <w:t xml:space="preserve"> </w:t>
      </w:r>
      <w:r>
        <w:rPr>
          <w:rFonts w:ascii="Times New Roman" w:hAnsi="Times New Roman" w:eastAsia="Times New Roman" w:cs="Times New Roman"/>
          <w:spacing w:val="-4"/>
          <w:position w:val="17"/>
          <w:sz w:val="24"/>
          <w:szCs w:val="24"/>
        </w:rPr>
        <w:t xml:space="preserve">1  </w:t>
      </w:r>
      <w:r>
        <w:rPr>
          <w:rFonts w:ascii="宋体" w:hAnsi="宋体" w:eastAsia="宋体" w:cs="宋体"/>
          <w:spacing w:val="-4"/>
          <w:position w:val="17"/>
          <w:sz w:val="24"/>
          <w:szCs w:val="24"/>
        </w:rPr>
        <w:t>日</w:t>
      </w:r>
      <w:r>
        <w:rPr>
          <w:rFonts w:ascii="宋体" w:hAnsi="宋体" w:eastAsia="宋体" w:cs="宋体"/>
          <w:spacing w:val="-17"/>
          <w:position w:val="17"/>
          <w:sz w:val="24"/>
          <w:szCs w:val="24"/>
        </w:rPr>
        <w:t>）；</w:t>
      </w:r>
    </w:p>
    <w:p>
      <w:pPr>
        <w:spacing w:before="1" w:line="212" w:lineRule="auto"/>
        <w:ind w:left="518"/>
        <w:rPr>
          <w:rFonts w:ascii="宋体" w:hAnsi="宋体" w:eastAsia="宋体" w:cs="宋体"/>
          <w:sz w:val="24"/>
          <w:szCs w:val="24"/>
        </w:rPr>
      </w:pPr>
      <w:r>
        <w:rPr>
          <w:rFonts w:ascii="Times New Roman" w:hAnsi="Times New Roman" w:eastAsia="Times New Roman" w:cs="Times New Roman"/>
          <w:spacing w:val="-3"/>
          <w:sz w:val="24"/>
          <w:szCs w:val="24"/>
        </w:rPr>
        <w:t>(8)</w:t>
      </w:r>
      <w:r>
        <w:rPr>
          <w:rFonts w:ascii="宋体" w:hAnsi="宋体" w:eastAsia="宋体" w:cs="宋体"/>
          <w:spacing w:val="-3"/>
          <w:sz w:val="24"/>
          <w:szCs w:val="24"/>
        </w:rPr>
        <w:t>《中华人民共和国土地管理法》</w:t>
      </w: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26  </w:t>
      </w:r>
      <w:r>
        <w:rPr>
          <w:rFonts w:ascii="宋体" w:hAnsi="宋体" w:eastAsia="宋体" w:cs="宋体"/>
          <w:spacing w:val="-3"/>
          <w:sz w:val="24"/>
          <w:szCs w:val="24"/>
        </w:rPr>
        <w:t>日修订</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p>
    <w:p>
      <w:pPr>
        <w:spacing w:before="189" w:line="468" w:lineRule="exact"/>
        <w:ind w:left="518"/>
        <w:rPr>
          <w:rFonts w:ascii="宋体" w:hAnsi="宋体" w:eastAsia="宋体" w:cs="宋体"/>
          <w:sz w:val="24"/>
          <w:szCs w:val="24"/>
        </w:rPr>
      </w:pPr>
      <w:r>
        <w:rPr>
          <w:rFonts w:ascii="Times New Roman" w:hAnsi="Times New Roman" w:eastAsia="Times New Roman" w:cs="Times New Roman"/>
          <w:spacing w:val="-4"/>
          <w:position w:val="17"/>
          <w:sz w:val="24"/>
          <w:szCs w:val="24"/>
        </w:rPr>
        <w:t>(9)</w:t>
      </w:r>
      <w:r>
        <w:rPr>
          <w:rFonts w:ascii="宋体" w:hAnsi="宋体" w:eastAsia="宋体" w:cs="宋体"/>
          <w:spacing w:val="-4"/>
          <w:position w:val="17"/>
          <w:sz w:val="24"/>
          <w:szCs w:val="24"/>
        </w:rPr>
        <w:t>《中华人民共和国水土保持法》（</w:t>
      </w:r>
      <w:r>
        <w:rPr>
          <w:rFonts w:ascii="Times New Roman" w:hAnsi="Times New Roman" w:eastAsia="Times New Roman" w:cs="Times New Roman"/>
          <w:spacing w:val="-4"/>
          <w:position w:val="17"/>
          <w:sz w:val="24"/>
          <w:szCs w:val="24"/>
        </w:rPr>
        <w:t xml:space="preserve">2011 </w:t>
      </w:r>
      <w:r>
        <w:rPr>
          <w:rFonts w:ascii="宋体" w:hAnsi="宋体" w:eastAsia="宋体" w:cs="宋体"/>
          <w:spacing w:val="-4"/>
          <w:position w:val="17"/>
          <w:sz w:val="24"/>
          <w:szCs w:val="24"/>
        </w:rPr>
        <w:t>年</w:t>
      </w:r>
      <w:r>
        <w:rPr>
          <w:rFonts w:ascii="宋体" w:hAnsi="宋体" w:eastAsia="宋体" w:cs="宋体"/>
          <w:spacing w:val="-49"/>
          <w:position w:val="17"/>
          <w:sz w:val="24"/>
          <w:szCs w:val="24"/>
        </w:rPr>
        <w:t xml:space="preserve"> </w:t>
      </w:r>
      <w:r>
        <w:rPr>
          <w:rFonts w:ascii="Times New Roman" w:hAnsi="Times New Roman" w:eastAsia="Times New Roman" w:cs="Times New Roman"/>
          <w:spacing w:val="-4"/>
          <w:position w:val="17"/>
          <w:sz w:val="24"/>
          <w:szCs w:val="24"/>
        </w:rPr>
        <w:t>3</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32"/>
          <w:position w:val="17"/>
          <w:sz w:val="24"/>
          <w:szCs w:val="24"/>
        </w:rPr>
        <w:t xml:space="preserve"> </w:t>
      </w:r>
      <w:r>
        <w:rPr>
          <w:rFonts w:ascii="Times New Roman" w:hAnsi="Times New Roman" w:eastAsia="Times New Roman" w:cs="Times New Roman"/>
          <w:spacing w:val="-4"/>
          <w:position w:val="17"/>
          <w:sz w:val="24"/>
          <w:szCs w:val="24"/>
        </w:rPr>
        <w:t xml:space="preserve">1  </w:t>
      </w:r>
      <w:r>
        <w:rPr>
          <w:rFonts w:ascii="宋体" w:hAnsi="宋体" w:eastAsia="宋体" w:cs="宋体"/>
          <w:spacing w:val="-4"/>
          <w:position w:val="17"/>
          <w:sz w:val="24"/>
          <w:szCs w:val="24"/>
        </w:rPr>
        <w:t>日</w:t>
      </w:r>
      <w:r>
        <w:rPr>
          <w:rFonts w:ascii="宋体" w:hAnsi="宋体" w:eastAsia="宋体" w:cs="宋体"/>
          <w:spacing w:val="-17"/>
          <w:position w:val="17"/>
          <w:sz w:val="24"/>
          <w:szCs w:val="24"/>
        </w:rPr>
        <w:t>）；</w:t>
      </w:r>
    </w:p>
    <w:p>
      <w:pPr>
        <w:spacing w:before="1" w:line="212" w:lineRule="auto"/>
        <w:ind w:left="518"/>
        <w:rPr>
          <w:rFonts w:ascii="宋体" w:hAnsi="宋体" w:eastAsia="宋体" w:cs="宋体"/>
          <w:sz w:val="24"/>
          <w:szCs w:val="24"/>
        </w:rPr>
      </w:pPr>
      <w:r>
        <w:rPr>
          <w:rFonts w:ascii="Times New Roman" w:hAnsi="Times New Roman" w:eastAsia="Times New Roman" w:cs="Times New Roman"/>
          <w:spacing w:val="-4"/>
          <w:sz w:val="24"/>
          <w:szCs w:val="24"/>
        </w:rPr>
        <w:t>(10)</w:t>
      </w:r>
      <w:r>
        <w:rPr>
          <w:rFonts w:ascii="宋体" w:hAnsi="宋体" w:eastAsia="宋体" w:cs="宋体"/>
          <w:spacing w:val="-4"/>
          <w:sz w:val="24"/>
          <w:szCs w:val="24"/>
        </w:rPr>
        <w:t>《中华人民共和国水法》（</w:t>
      </w:r>
      <w:r>
        <w:rPr>
          <w:rFonts w:ascii="Times New Roman" w:hAnsi="Times New Roman" w:eastAsia="Times New Roman" w:cs="Times New Roman"/>
          <w:spacing w:val="-4"/>
          <w:sz w:val="24"/>
          <w:szCs w:val="24"/>
        </w:rPr>
        <w:t xml:space="preserve">2016 </w:t>
      </w:r>
      <w:r>
        <w:rPr>
          <w:rFonts w:ascii="宋体" w:hAnsi="宋体" w:eastAsia="宋体" w:cs="宋体"/>
          <w:spacing w:val="-4"/>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日修订</w:t>
      </w:r>
      <w:r>
        <w:rPr>
          <w:rFonts w:ascii="宋体" w:hAnsi="宋体" w:eastAsia="宋体" w:cs="宋体"/>
          <w:spacing w:val="-7"/>
          <w:sz w:val="24"/>
          <w:szCs w:val="24"/>
        </w:rPr>
        <w:t>）；</w:t>
      </w:r>
    </w:p>
    <w:p>
      <w:pPr>
        <w:spacing w:before="189" w:line="213" w:lineRule="auto"/>
        <w:ind w:left="518"/>
        <w:rPr>
          <w:rFonts w:ascii="宋体" w:hAnsi="宋体" w:eastAsia="宋体" w:cs="宋体"/>
          <w:sz w:val="24"/>
          <w:szCs w:val="24"/>
        </w:rPr>
      </w:pPr>
      <w:r>
        <w:rPr>
          <w:rFonts w:ascii="Times New Roman" w:hAnsi="Times New Roman" w:eastAsia="Times New Roman" w:cs="Times New Roman"/>
          <w:spacing w:val="-5"/>
          <w:sz w:val="24"/>
          <w:szCs w:val="24"/>
        </w:rPr>
        <w:t>(11)</w:t>
      </w:r>
      <w:r>
        <w:rPr>
          <w:rFonts w:ascii="宋体" w:hAnsi="宋体" w:eastAsia="宋体" w:cs="宋体"/>
          <w:spacing w:val="-5"/>
          <w:sz w:val="24"/>
          <w:szCs w:val="24"/>
        </w:rPr>
        <w:t>《中华人民共和国公路法》（</w:t>
      </w:r>
      <w:r>
        <w:rPr>
          <w:rFonts w:ascii="Times New Roman" w:hAnsi="Times New Roman" w:eastAsia="Times New Roman" w:cs="Times New Roman"/>
          <w:spacing w:val="-5"/>
          <w:sz w:val="24"/>
          <w:szCs w:val="24"/>
        </w:rPr>
        <w:t xml:space="preserve">2017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日修订）；</w:t>
      </w:r>
    </w:p>
    <w:p>
      <w:pPr>
        <w:spacing w:before="192" w:line="465" w:lineRule="exact"/>
        <w:ind w:right="27"/>
        <w:jc w:val="right"/>
        <w:rPr>
          <w:rFonts w:ascii="Times New Roman" w:hAnsi="Times New Roman" w:eastAsia="Times New Roman" w:cs="Times New Roman"/>
          <w:sz w:val="24"/>
          <w:szCs w:val="24"/>
        </w:rPr>
      </w:pPr>
      <w:r>
        <w:rPr>
          <w:rFonts w:ascii="Times New Roman" w:hAnsi="Times New Roman" w:eastAsia="Times New Roman" w:cs="Times New Roman"/>
          <w:spacing w:val="-3"/>
          <w:position w:val="17"/>
          <w:sz w:val="24"/>
          <w:szCs w:val="24"/>
        </w:rPr>
        <w:t>(12)</w:t>
      </w:r>
      <w:r>
        <w:rPr>
          <w:rFonts w:ascii="宋体" w:hAnsi="宋体" w:eastAsia="宋体" w:cs="宋体"/>
          <w:spacing w:val="-3"/>
          <w:position w:val="17"/>
          <w:sz w:val="24"/>
          <w:szCs w:val="24"/>
        </w:rPr>
        <w:t>《中华人民共和国野生动物保护法》（</w:t>
      </w:r>
      <w:r>
        <w:rPr>
          <w:rFonts w:ascii="Times New Roman" w:hAnsi="Times New Roman" w:eastAsia="Times New Roman" w:cs="Times New Roman"/>
          <w:spacing w:val="-3"/>
          <w:position w:val="17"/>
          <w:sz w:val="24"/>
          <w:szCs w:val="24"/>
        </w:rPr>
        <w:t>2022</w:t>
      </w:r>
      <w:r>
        <w:rPr>
          <w:rFonts w:ascii="Times New Roman" w:hAnsi="Times New Roman" w:eastAsia="Times New Roman" w:cs="Times New Roman"/>
          <w:spacing w:val="58"/>
          <w:w w:val="101"/>
          <w:position w:val="17"/>
          <w:sz w:val="24"/>
          <w:szCs w:val="24"/>
        </w:rPr>
        <w:t xml:space="preserve"> </w:t>
      </w:r>
      <w:r>
        <w:rPr>
          <w:rFonts w:ascii="宋体" w:hAnsi="宋体" w:eastAsia="宋体" w:cs="宋体"/>
          <w:spacing w:val="-3"/>
          <w:position w:val="17"/>
          <w:sz w:val="24"/>
          <w:szCs w:val="24"/>
        </w:rPr>
        <w:t xml:space="preserve">年 </w:t>
      </w:r>
      <w:r>
        <w:rPr>
          <w:rFonts w:ascii="Times New Roman" w:hAnsi="Times New Roman" w:eastAsia="Times New Roman" w:cs="Times New Roman"/>
          <w:spacing w:val="-3"/>
          <w:position w:val="17"/>
          <w:sz w:val="24"/>
          <w:szCs w:val="24"/>
        </w:rPr>
        <w:t>12</w:t>
      </w:r>
      <w:r>
        <w:rPr>
          <w:rFonts w:ascii="Times New Roman" w:hAnsi="Times New Roman" w:eastAsia="Times New Roman" w:cs="Times New Roman"/>
          <w:spacing w:val="48"/>
          <w:w w:val="101"/>
          <w:position w:val="17"/>
          <w:sz w:val="24"/>
          <w:szCs w:val="24"/>
        </w:rPr>
        <w:t xml:space="preserve"> </w:t>
      </w:r>
      <w:r>
        <w:rPr>
          <w:rFonts w:ascii="宋体" w:hAnsi="宋体" w:eastAsia="宋体" w:cs="宋体"/>
          <w:spacing w:val="-3"/>
          <w:position w:val="17"/>
          <w:sz w:val="24"/>
          <w:szCs w:val="24"/>
        </w:rPr>
        <w:t xml:space="preserve">月 </w:t>
      </w:r>
      <w:r>
        <w:rPr>
          <w:rFonts w:ascii="Times New Roman" w:hAnsi="Times New Roman" w:eastAsia="Times New Roman" w:cs="Times New Roman"/>
          <w:spacing w:val="-3"/>
          <w:position w:val="17"/>
          <w:sz w:val="24"/>
          <w:szCs w:val="24"/>
        </w:rPr>
        <w:t xml:space="preserve">30  </w:t>
      </w:r>
      <w:r>
        <w:rPr>
          <w:rFonts w:ascii="宋体" w:hAnsi="宋体" w:eastAsia="宋体" w:cs="宋体"/>
          <w:spacing w:val="-3"/>
          <w:position w:val="17"/>
          <w:sz w:val="24"/>
          <w:szCs w:val="24"/>
        </w:rPr>
        <w:t>日修订，</w:t>
      </w:r>
      <w:r>
        <w:rPr>
          <w:rFonts w:ascii="Times New Roman" w:hAnsi="Times New Roman" w:eastAsia="Times New Roman" w:cs="Times New Roman"/>
          <w:spacing w:val="-3"/>
          <w:position w:val="17"/>
          <w:sz w:val="24"/>
          <w:szCs w:val="24"/>
        </w:rPr>
        <w:t>2023</w:t>
      </w:r>
    </w:p>
    <w:p>
      <w:pPr>
        <w:spacing w:before="1" w:line="219" w:lineRule="auto"/>
        <w:ind w:left="39"/>
        <w:rPr>
          <w:rFonts w:ascii="宋体" w:hAnsi="宋体" w:eastAsia="宋体" w:cs="宋体"/>
          <w:sz w:val="24"/>
          <w:szCs w:val="24"/>
        </w:rPr>
      </w:pPr>
      <w:r>
        <w:rPr>
          <w:rFonts w:ascii="宋体" w:hAnsi="宋体" w:eastAsia="宋体" w:cs="宋体"/>
          <w:spacing w:val="-14"/>
          <w:sz w:val="24"/>
          <w:szCs w:val="24"/>
        </w:rPr>
        <w:t>年</w:t>
      </w:r>
      <w:r>
        <w:rPr>
          <w:rFonts w:ascii="宋体" w:hAnsi="宋体" w:eastAsia="宋体" w:cs="宋体"/>
          <w:spacing w:val="-47"/>
          <w:sz w:val="24"/>
          <w:szCs w:val="24"/>
        </w:rPr>
        <w:t xml:space="preserve"> </w:t>
      </w:r>
      <w:r>
        <w:rPr>
          <w:rFonts w:ascii="Times New Roman" w:hAnsi="Times New Roman" w:eastAsia="Times New Roman" w:cs="Times New Roman"/>
          <w:spacing w:val="-14"/>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1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4"/>
          <w:sz w:val="24"/>
          <w:szCs w:val="24"/>
        </w:rPr>
        <w:t xml:space="preserve">1  </w:t>
      </w:r>
      <w:r>
        <w:rPr>
          <w:rFonts w:ascii="宋体" w:hAnsi="宋体" w:eastAsia="宋体" w:cs="宋体"/>
          <w:spacing w:val="-14"/>
          <w:sz w:val="24"/>
          <w:szCs w:val="24"/>
        </w:rPr>
        <w:t>日施行</w:t>
      </w:r>
      <w:r>
        <w:rPr>
          <w:rFonts w:ascii="宋体" w:hAnsi="宋体" w:eastAsia="宋体" w:cs="宋体"/>
          <w:spacing w:val="-15"/>
          <w:sz w:val="24"/>
          <w:szCs w:val="24"/>
        </w:rPr>
        <w:t>）；</w:t>
      </w:r>
    </w:p>
    <w:p>
      <w:pPr>
        <w:spacing w:before="182" w:line="213" w:lineRule="auto"/>
        <w:ind w:left="518"/>
        <w:rPr>
          <w:rFonts w:ascii="宋体" w:hAnsi="宋体" w:eastAsia="宋体" w:cs="宋体"/>
          <w:sz w:val="24"/>
          <w:szCs w:val="24"/>
        </w:rPr>
      </w:pPr>
      <w:r>
        <w:rPr>
          <w:rFonts w:ascii="Times New Roman" w:hAnsi="Times New Roman" w:eastAsia="Times New Roman" w:cs="Times New Roman"/>
          <w:spacing w:val="-3"/>
          <w:sz w:val="24"/>
          <w:szCs w:val="24"/>
        </w:rPr>
        <w:t>(13)</w:t>
      </w:r>
      <w:r>
        <w:rPr>
          <w:rFonts w:ascii="宋体" w:hAnsi="宋体" w:eastAsia="宋体" w:cs="宋体"/>
          <w:spacing w:val="-3"/>
          <w:sz w:val="24"/>
          <w:szCs w:val="24"/>
        </w:rPr>
        <w:t>《中华人民共和国城乡规划法》（</w:t>
      </w: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23  </w:t>
      </w:r>
      <w:r>
        <w:rPr>
          <w:rFonts w:ascii="宋体" w:hAnsi="宋体" w:eastAsia="宋体" w:cs="宋体"/>
          <w:spacing w:val="-3"/>
          <w:sz w:val="24"/>
          <w:szCs w:val="24"/>
        </w:rPr>
        <w:t>日</w:t>
      </w:r>
      <w:r>
        <w:rPr>
          <w:rFonts w:ascii="宋体" w:hAnsi="宋体" w:eastAsia="宋体" w:cs="宋体"/>
          <w:spacing w:val="-9"/>
          <w:sz w:val="24"/>
          <w:szCs w:val="24"/>
        </w:rPr>
        <w:t>）；</w:t>
      </w:r>
    </w:p>
    <w:p>
      <w:pPr>
        <w:spacing w:before="191" w:line="213" w:lineRule="auto"/>
        <w:ind w:left="518"/>
        <w:rPr>
          <w:rFonts w:ascii="宋体" w:hAnsi="宋体" w:eastAsia="宋体" w:cs="宋体"/>
          <w:sz w:val="24"/>
          <w:szCs w:val="24"/>
        </w:rPr>
      </w:pPr>
      <w:r>
        <w:rPr>
          <w:rFonts w:ascii="Times New Roman" w:hAnsi="Times New Roman" w:eastAsia="Times New Roman" w:cs="Times New Roman"/>
          <w:spacing w:val="-3"/>
          <w:sz w:val="24"/>
          <w:szCs w:val="24"/>
        </w:rPr>
        <w:t>(14)</w:t>
      </w:r>
      <w:r>
        <w:rPr>
          <w:rFonts w:ascii="宋体" w:hAnsi="宋体" w:eastAsia="宋体" w:cs="宋体"/>
          <w:spacing w:val="-3"/>
          <w:sz w:val="24"/>
          <w:szCs w:val="24"/>
        </w:rPr>
        <w:t>《中华人民共和国野生植物保护条例》（</w:t>
      </w:r>
      <w:r>
        <w:rPr>
          <w:rFonts w:ascii="Times New Roman" w:hAnsi="Times New Roman" w:eastAsia="Times New Roman" w:cs="Times New Roman"/>
          <w:spacing w:val="-3"/>
          <w:sz w:val="24"/>
          <w:szCs w:val="24"/>
        </w:rPr>
        <w:t xml:space="preserve">2017 </w:t>
      </w:r>
      <w:r>
        <w:rPr>
          <w:rFonts w:ascii="宋体" w:hAnsi="宋体" w:eastAsia="宋体" w:cs="宋体"/>
          <w:spacing w:val="-4"/>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 xml:space="preserve">7  </w:t>
      </w:r>
      <w:r>
        <w:rPr>
          <w:rFonts w:ascii="宋体" w:hAnsi="宋体" w:eastAsia="宋体" w:cs="宋体"/>
          <w:spacing w:val="-4"/>
          <w:sz w:val="24"/>
          <w:szCs w:val="24"/>
        </w:rPr>
        <w:t>日修订</w:t>
      </w:r>
      <w:r>
        <w:rPr>
          <w:rFonts w:ascii="宋体" w:hAnsi="宋体" w:eastAsia="宋体" w:cs="宋体"/>
          <w:spacing w:val="-15"/>
          <w:sz w:val="24"/>
          <w:szCs w:val="24"/>
        </w:rPr>
        <w:t>）；</w:t>
      </w:r>
    </w:p>
    <w:p>
      <w:pPr>
        <w:spacing w:before="189" w:line="468" w:lineRule="exact"/>
        <w:ind w:left="518"/>
        <w:rPr>
          <w:rFonts w:ascii="宋体" w:hAnsi="宋体" w:eastAsia="宋体" w:cs="宋体"/>
          <w:sz w:val="24"/>
          <w:szCs w:val="24"/>
        </w:rPr>
      </w:pPr>
      <w:r>
        <w:rPr>
          <w:rFonts w:ascii="Times New Roman" w:hAnsi="Times New Roman" w:eastAsia="Times New Roman" w:cs="Times New Roman"/>
          <w:spacing w:val="-3"/>
          <w:position w:val="17"/>
          <w:sz w:val="24"/>
          <w:szCs w:val="24"/>
        </w:rPr>
        <w:t>(15)</w:t>
      </w:r>
      <w:r>
        <w:rPr>
          <w:rFonts w:ascii="宋体" w:hAnsi="宋体" w:eastAsia="宋体" w:cs="宋体"/>
          <w:spacing w:val="-3"/>
          <w:position w:val="17"/>
          <w:sz w:val="24"/>
          <w:szCs w:val="24"/>
        </w:rPr>
        <w:t>《风景名胜区条例》（</w:t>
      </w:r>
      <w:r>
        <w:rPr>
          <w:rFonts w:ascii="Times New Roman" w:hAnsi="Times New Roman" w:eastAsia="Times New Roman" w:cs="Times New Roman"/>
          <w:spacing w:val="-3"/>
          <w:position w:val="17"/>
          <w:sz w:val="24"/>
          <w:szCs w:val="24"/>
        </w:rPr>
        <w:t xml:space="preserve">2016 </w:t>
      </w:r>
      <w:r>
        <w:rPr>
          <w:rFonts w:ascii="宋体" w:hAnsi="宋体" w:eastAsia="宋体" w:cs="宋体"/>
          <w:spacing w:val="-4"/>
          <w:position w:val="17"/>
          <w:sz w:val="24"/>
          <w:szCs w:val="24"/>
        </w:rPr>
        <w:t>年</w:t>
      </w:r>
      <w:r>
        <w:rPr>
          <w:rFonts w:ascii="宋体" w:hAnsi="宋体" w:eastAsia="宋体" w:cs="宋体"/>
          <w:spacing w:val="-54"/>
          <w:position w:val="17"/>
          <w:sz w:val="24"/>
          <w:szCs w:val="24"/>
        </w:rPr>
        <w:t xml:space="preserve"> </w:t>
      </w:r>
      <w:r>
        <w:rPr>
          <w:rFonts w:ascii="Times New Roman" w:hAnsi="Times New Roman" w:eastAsia="Times New Roman" w:cs="Times New Roman"/>
          <w:spacing w:val="-4"/>
          <w:position w:val="17"/>
          <w:sz w:val="24"/>
          <w:szCs w:val="24"/>
        </w:rPr>
        <w:t>2</w:t>
      </w:r>
      <w:r>
        <w:rPr>
          <w:rFonts w:ascii="Times New Roman" w:hAnsi="Times New Roman" w:eastAsia="Times New Roman" w:cs="Times New Roman"/>
          <w:spacing w:val="15"/>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50"/>
          <w:position w:val="17"/>
          <w:sz w:val="24"/>
          <w:szCs w:val="24"/>
        </w:rPr>
        <w:t xml:space="preserve"> </w:t>
      </w:r>
      <w:r>
        <w:rPr>
          <w:rFonts w:ascii="Times New Roman" w:hAnsi="Times New Roman" w:eastAsia="Times New Roman" w:cs="Times New Roman"/>
          <w:spacing w:val="-4"/>
          <w:position w:val="17"/>
          <w:sz w:val="24"/>
          <w:szCs w:val="24"/>
        </w:rPr>
        <w:t xml:space="preserve">6  </w:t>
      </w:r>
      <w:r>
        <w:rPr>
          <w:rFonts w:ascii="宋体" w:hAnsi="宋体" w:eastAsia="宋体" w:cs="宋体"/>
          <w:spacing w:val="-4"/>
          <w:position w:val="17"/>
          <w:sz w:val="24"/>
          <w:szCs w:val="24"/>
        </w:rPr>
        <w:t>日</w:t>
      </w:r>
      <w:r>
        <w:rPr>
          <w:rFonts w:ascii="宋体" w:hAnsi="宋体" w:eastAsia="宋体" w:cs="宋体"/>
          <w:spacing w:val="-18"/>
          <w:position w:val="17"/>
          <w:sz w:val="24"/>
          <w:szCs w:val="24"/>
        </w:rPr>
        <w:t>）；</w:t>
      </w:r>
    </w:p>
    <w:p>
      <w:pPr>
        <w:spacing w:before="1" w:line="212" w:lineRule="auto"/>
        <w:ind w:left="518"/>
        <w:rPr>
          <w:rFonts w:ascii="宋体" w:hAnsi="宋体" w:eastAsia="宋体" w:cs="宋体"/>
          <w:sz w:val="24"/>
          <w:szCs w:val="24"/>
        </w:rPr>
      </w:pPr>
      <w:r>
        <w:rPr>
          <w:rFonts w:ascii="Times New Roman" w:hAnsi="Times New Roman" w:eastAsia="Times New Roman" w:cs="Times New Roman"/>
          <w:spacing w:val="-4"/>
          <w:sz w:val="24"/>
          <w:szCs w:val="24"/>
        </w:rPr>
        <w:t>(16)</w:t>
      </w:r>
      <w:r>
        <w:rPr>
          <w:rFonts w:ascii="宋体" w:hAnsi="宋体" w:eastAsia="宋体" w:cs="宋体"/>
          <w:spacing w:val="-4"/>
          <w:sz w:val="24"/>
          <w:szCs w:val="24"/>
        </w:rPr>
        <w:t>《公路安全保护条例》（</w:t>
      </w:r>
      <w:r>
        <w:rPr>
          <w:rFonts w:ascii="Times New Roman" w:hAnsi="Times New Roman" w:eastAsia="Times New Roman" w:cs="Times New Roman"/>
          <w:spacing w:val="-4"/>
          <w:sz w:val="24"/>
          <w:szCs w:val="24"/>
        </w:rPr>
        <w:t>2011</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w:t>
      </w:r>
      <w:r>
        <w:rPr>
          <w:rFonts w:ascii="宋体" w:hAnsi="宋体" w:eastAsia="宋体" w:cs="宋体"/>
          <w:spacing w:val="-18"/>
          <w:sz w:val="24"/>
          <w:szCs w:val="24"/>
        </w:rPr>
        <w:t>）；</w:t>
      </w:r>
    </w:p>
    <w:p>
      <w:pPr>
        <w:spacing w:before="189" w:line="213" w:lineRule="auto"/>
        <w:ind w:left="518"/>
        <w:rPr>
          <w:rFonts w:ascii="宋体" w:hAnsi="宋体" w:eastAsia="宋体" w:cs="宋体"/>
          <w:sz w:val="24"/>
          <w:szCs w:val="24"/>
        </w:rPr>
      </w:pPr>
      <w:r>
        <w:rPr>
          <w:rFonts w:ascii="Times New Roman" w:hAnsi="Times New Roman" w:eastAsia="Times New Roman" w:cs="Times New Roman"/>
          <w:spacing w:val="-4"/>
          <w:sz w:val="24"/>
          <w:szCs w:val="24"/>
        </w:rPr>
        <w:t>(17)</w:t>
      </w:r>
      <w:r>
        <w:rPr>
          <w:rFonts w:ascii="宋体" w:hAnsi="宋体" w:eastAsia="宋体" w:cs="宋体"/>
          <w:spacing w:val="-4"/>
          <w:sz w:val="24"/>
          <w:szCs w:val="24"/>
        </w:rPr>
        <w:t>《危险化学品安全管理条例》（</w:t>
      </w:r>
      <w:r>
        <w:rPr>
          <w:rFonts w:ascii="Times New Roman" w:hAnsi="Times New Roman" w:eastAsia="Times New Roman" w:cs="Times New Roman"/>
          <w:spacing w:val="-4"/>
          <w:sz w:val="24"/>
          <w:szCs w:val="24"/>
        </w:rPr>
        <w:t xml:space="preserve">2013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 xml:space="preserve">7  </w:t>
      </w:r>
      <w:r>
        <w:rPr>
          <w:rFonts w:ascii="宋体" w:hAnsi="宋体" w:eastAsia="宋体" w:cs="宋体"/>
          <w:spacing w:val="-5"/>
          <w:sz w:val="24"/>
          <w:szCs w:val="24"/>
        </w:rPr>
        <w:t>日修订</w:t>
      </w:r>
      <w:r>
        <w:rPr>
          <w:rFonts w:ascii="宋体" w:hAnsi="宋体" w:eastAsia="宋体" w:cs="宋体"/>
          <w:spacing w:val="-11"/>
          <w:sz w:val="24"/>
          <w:szCs w:val="24"/>
        </w:rPr>
        <w:t>）；</w:t>
      </w:r>
    </w:p>
    <w:p>
      <w:pPr>
        <w:spacing w:before="192" w:line="213" w:lineRule="auto"/>
        <w:ind w:left="518"/>
        <w:rPr>
          <w:rFonts w:ascii="宋体" w:hAnsi="宋体" w:eastAsia="宋体" w:cs="宋体"/>
          <w:sz w:val="24"/>
          <w:szCs w:val="24"/>
        </w:rPr>
      </w:pPr>
      <w:r>
        <w:rPr>
          <w:rFonts w:ascii="Times New Roman" w:hAnsi="Times New Roman" w:eastAsia="Times New Roman" w:cs="Times New Roman"/>
          <w:spacing w:val="-4"/>
          <w:sz w:val="24"/>
          <w:szCs w:val="24"/>
        </w:rPr>
        <w:t>(18)</w:t>
      </w:r>
      <w:r>
        <w:rPr>
          <w:rFonts w:ascii="宋体" w:hAnsi="宋体" w:eastAsia="宋体" w:cs="宋体"/>
          <w:spacing w:val="-4"/>
          <w:sz w:val="24"/>
          <w:szCs w:val="24"/>
        </w:rPr>
        <w:t>《中华人民共和国河道管理条例》（</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19  </w:t>
      </w:r>
      <w:r>
        <w:rPr>
          <w:rFonts w:ascii="宋体" w:hAnsi="宋体" w:eastAsia="宋体" w:cs="宋体"/>
          <w:spacing w:val="-4"/>
          <w:sz w:val="24"/>
          <w:szCs w:val="24"/>
        </w:rPr>
        <w:t>日修订</w:t>
      </w:r>
      <w:r>
        <w:rPr>
          <w:rFonts w:ascii="宋体" w:hAnsi="宋体" w:eastAsia="宋体" w:cs="宋体"/>
          <w:spacing w:val="-9"/>
          <w:sz w:val="24"/>
          <w:szCs w:val="24"/>
        </w:rPr>
        <w:t>）；</w:t>
      </w:r>
    </w:p>
    <w:p>
      <w:pPr>
        <w:spacing w:before="188" w:line="213" w:lineRule="auto"/>
        <w:ind w:left="518"/>
        <w:rPr>
          <w:rFonts w:ascii="宋体" w:hAnsi="宋体" w:eastAsia="宋体" w:cs="宋体"/>
          <w:sz w:val="24"/>
          <w:szCs w:val="24"/>
        </w:rPr>
      </w:pPr>
      <w:r>
        <w:fldChar w:fldCharType="begin"/>
      </w:r>
      <w:r>
        <w:instrText xml:space="preserve"> HYPERLINK "http://www.baidu.com/link?url=3CuP-R-9QS2xGnoeTTQnEFm8FvRhW0-yJYdc143wWAro8miRIF7cuN3-suANdInM-0jJ-F-0PWY2xLTSU1SVti7aBQ-gZGlWprIv4j6NrwZn1a9yCjVv4IU756zS0huH" </w:instrText>
      </w:r>
      <w:r>
        <w:fldChar w:fldCharType="separate"/>
      </w:r>
      <w:r>
        <w:rPr>
          <w:rFonts w:ascii="Times New Roman" w:hAnsi="Times New Roman" w:eastAsia="Times New Roman" w:cs="Times New Roman"/>
          <w:spacing w:val="-4"/>
          <w:sz w:val="24"/>
          <w:szCs w:val="24"/>
        </w:rPr>
        <w:t>(19)</w:t>
      </w:r>
      <w:r>
        <w:rPr>
          <w:rFonts w:ascii="宋体" w:hAnsi="宋体" w:eastAsia="宋体" w:cs="宋体"/>
          <w:spacing w:val="-4"/>
          <w:sz w:val="24"/>
          <w:szCs w:val="24"/>
        </w:rPr>
        <w:t>《建设项目环境保护管理条例》</w:t>
      </w:r>
      <w:r>
        <w:rPr>
          <w:rFonts w:ascii="Times New Roman" w:hAnsi="Times New Roman" w:eastAsia="Times New Roman" w:cs="Times New Roman"/>
          <w:spacing w:val="-4"/>
          <w:sz w:val="24"/>
          <w:szCs w:val="24"/>
        </w:rPr>
        <w:t xml:space="preserve">(2017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日</w:t>
      </w:r>
      <w:r>
        <w:rPr>
          <w:rFonts w:ascii="Times New Roman" w:hAnsi="Times New Roman" w:eastAsia="Times New Roman" w:cs="Times New Roman"/>
          <w:spacing w:val="-5"/>
          <w:sz w:val="24"/>
          <w:szCs w:val="24"/>
        </w:rPr>
        <w:t>)</w:t>
      </w:r>
      <w:r>
        <w:rPr>
          <w:rFonts w:ascii="宋体" w:hAnsi="宋体" w:eastAsia="宋体" w:cs="宋体"/>
          <w:spacing w:val="-5"/>
          <w:sz w:val="24"/>
          <w:szCs w:val="24"/>
        </w:rPr>
        <w:t>；</w:t>
      </w:r>
      <w:r>
        <w:rPr>
          <w:rFonts w:ascii="宋体" w:hAnsi="宋体" w:eastAsia="宋体" w:cs="宋体"/>
          <w:spacing w:val="-5"/>
          <w:sz w:val="24"/>
          <w:szCs w:val="24"/>
        </w:rPr>
        <w:fldChar w:fldCharType="end"/>
      </w:r>
    </w:p>
    <w:p>
      <w:pPr>
        <w:spacing w:before="192" w:line="465" w:lineRule="exact"/>
        <w:ind w:right="26"/>
        <w:jc w:val="right"/>
        <w:rPr>
          <w:rFonts w:ascii="宋体" w:hAnsi="宋体" w:eastAsia="宋体" w:cs="宋体"/>
          <w:sz w:val="24"/>
          <w:szCs w:val="24"/>
        </w:rPr>
      </w:pPr>
      <w:r>
        <w:rPr>
          <w:rFonts w:ascii="Times New Roman" w:hAnsi="Times New Roman" w:eastAsia="Times New Roman" w:cs="Times New Roman"/>
          <w:spacing w:val="-5"/>
          <w:position w:val="17"/>
          <w:sz w:val="24"/>
          <w:szCs w:val="24"/>
        </w:rPr>
        <w:t>(20)</w:t>
      </w:r>
      <w:r>
        <w:rPr>
          <w:rFonts w:ascii="宋体" w:hAnsi="宋体" w:eastAsia="宋体" w:cs="宋体"/>
          <w:spacing w:val="-5"/>
          <w:position w:val="17"/>
          <w:sz w:val="24"/>
          <w:szCs w:val="24"/>
        </w:rPr>
        <w:t>《建设项目环境影响评价分类管理名录（</w:t>
      </w:r>
      <w:r>
        <w:rPr>
          <w:rFonts w:ascii="Times New Roman" w:hAnsi="Times New Roman" w:eastAsia="Times New Roman" w:cs="Times New Roman"/>
          <w:spacing w:val="-5"/>
          <w:position w:val="17"/>
          <w:sz w:val="24"/>
          <w:szCs w:val="24"/>
        </w:rPr>
        <w:t xml:space="preserve">2021 </w:t>
      </w:r>
      <w:r>
        <w:rPr>
          <w:rFonts w:ascii="宋体" w:hAnsi="宋体" w:eastAsia="宋体" w:cs="宋体"/>
          <w:spacing w:val="-5"/>
          <w:position w:val="17"/>
          <w:sz w:val="24"/>
          <w:szCs w:val="24"/>
        </w:rPr>
        <w:t>年版）</w:t>
      </w:r>
      <w:r>
        <w:rPr>
          <w:rFonts w:ascii="宋体" w:hAnsi="宋体" w:eastAsia="宋体" w:cs="宋体"/>
          <w:spacing w:val="-11"/>
          <w:position w:val="17"/>
          <w:sz w:val="24"/>
          <w:szCs w:val="24"/>
        </w:rPr>
        <w:t xml:space="preserve"> </w:t>
      </w:r>
      <w:r>
        <w:rPr>
          <w:rFonts w:ascii="宋体" w:hAnsi="宋体" w:eastAsia="宋体" w:cs="宋体"/>
          <w:spacing w:val="-5"/>
          <w:position w:val="17"/>
          <w:sz w:val="24"/>
          <w:szCs w:val="24"/>
        </w:rPr>
        <w:t>》（生态环境部令</w:t>
      </w:r>
    </w:p>
    <w:p>
      <w:pPr>
        <w:spacing w:before="1" w:line="219" w:lineRule="auto"/>
        <w:ind w:left="38"/>
        <w:rPr>
          <w:rFonts w:ascii="宋体" w:hAnsi="宋体" w:eastAsia="宋体" w:cs="宋体"/>
          <w:sz w:val="24"/>
          <w:szCs w:val="24"/>
        </w:rPr>
      </w:pPr>
      <w:r>
        <w:rPr>
          <w:rFonts w:ascii="宋体" w:hAnsi="宋体" w:eastAsia="宋体" w:cs="宋体"/>
          <w:spacing w:val="-13"/>
          <w:sz w:val="24"/>
          <w:szCs w:val="24"/>
        </w:rPr>
        <w:t>第</w:t>
      </w:r>
      <w:r>
        <w:rPr>
          <w:rFonts w:ascii="宋体" w:hAnsi="宋体" w:eastAsia="宋体" w:cs="宋体"/>
          <w:spacing w:val="-31"/>
          <w:sz w:val="24"/>
          <w:szCs w:val="24"/>
        </w:rPr>
        <w:t xml:space="preserve"> </w:t>
      </w:r>
      <w:r>
        <w:rPr>
          <w:rFonts w:ascii="Times New Roman" w:hAnsi="Times New Roman" w:eastAsia="Times New Roman" w:cs="Times New Roman"/>
          <w:spacing w:val="-13"/>
          <w:sz w:val="24"/>
          <w:szCs w:val="24"/>
        </w:rPr>
        <w:t>16</w:t>
      </w:r>
      <w:r>
        <w:rPr>
          <w:rFonts w:ascii="Times New Roman" w:hAnsi="Times New Roman" w:eastAsia="Times New Roman" w:cs="Times New Roman"/>
          <w:spacing w:val="15"/>
          <w:w w:val="101"/>
          <w:sz w:val="24"/>
          <w:szCs w:val="24"/>
        </w:rPr>
        <w:t xml:space="preserve"> </w:t>
      </w:r>
      <w:r>
        <w:rPr>
          <w:rFonts w:ascii="宋体" w:hAnsi="宋体" w:eastAsia="宋体" w:cs="宋体"/>
          <w:spacing w:val="-13"/>
          <w:sz w:val="24"/>
          <w:szCs w:val="24"/>
        </w:rPr>
        <w:t>号，</w:t>
      </w:r>
      <w:r>
        <w:rPr>
          <w:rFonts w:ascii="Times New Roman" w:hAnsi="Times New Roman" w:eastAsia="Times New Roman" w:cs="Times New Roman"/>
          <w:spacing w:val="-13"/>
          <w:sz w:val="24"/>
          <w:szCs w:val="24"/>
        </w:rPr>
        <w:t>2021</w:t>
      </w:r>
      <w:r>
        <w:rPr>
          <w:rFonts w:ascii="Times New Roman" w:hAnsi="Times New Roman" w:eastAsia="Times New Roman" w:cs="Times New Roman"/>
          <w:spacing w:val="10"/>
          <w:sz w:val="24"/>
          <w:szCs w:val="24"/>
        </w:rPr>
        <w:t xml:space="preserve"> </w:t>
      </w:r>
      <w:r>
        <w:rPr>
          <w:rFonts w:ascii="宋体" w:hAnsi="宋体" w:eastAsia="宋体" w:cs="宋体"/>
          <w:spacing w:val="-13"/>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13"/>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51"/>
          <w:sz w:val="24"/>
          <w:szCs w:val="24"/>
        </w:rPr>
        <w:t xml:space="preserve"> </w:t>
      </w:r>
      <w:r>
        <w:rPr>
          <w:rFonts w:ascii="宋体" w:hAnsi="宋体" w:eastAsia="宋体" w:cs="宋体"/>
          <w:spacing w:val="-13"/>
          <w:sz w:val="24"/>
          <w:szCs w:val="24"/>
        </w:rPr>
        <w:t>日）；</w:t>
      </w:r>
    </w:p>
    <w:p>
      <w:pPr>
        <w:spacing w:before="182" w:line="213" w:lineRule="auto"/>
        <w:ind w:left="518"/>
        <w:rPr>
          <w:rFonts w:ascii="宋体" w:hAnsi="宋体" w:eastAsia="宋体" w:cs="宋体"/>
          <w:sz w:val="24"/>
          <w:szCs w:val="24"/>
        </w:rPr>
      </w:pPr>
      <w:r>
        <w:rPr>
          <w:rFonts w:ascii="Times New Roman" w:hAnsi="Times New Roman" w:eastAsia="Times New Roman" w:cs="Times New Roman"/>
          <w:spacing w:val="-3"/>
          <w:sz w:val="24"/>
          <w:szCs w:val="24"/>
        </w:rPr>
        <w:t>(21)</w:t>
      </w:r>
      <w:r>
        <w:rPr>
          <w:rFonts w:ascii="宋体" w:hAnsi="宋体" w:eastAsia="宋体" w:cs="宋体"/>
          <w:spacing w:val="-3"/>
          <w:sz w:val="24"/>
          <w:szCs w:val="24"/>
        </w:rPr>
        <w:t>《产业结构调整指导目录</w:t>
      </w:r>
      <w:r>
        <w:rPr>
          <w:rFonts w:ascii="Times New Roman" w:hAnsi="Times New Roman" w:eastAsia="Times New Roman" w:cs="Times New Roman"/>
          <w:spacing w:val="-3"/>
          <w:sz w:val="24"/>
          <w:szCs w:val="24"/>
        </w:rPr>
        <w:t xml:space="preserve">(2024 </w:t>
      </w:r>
      <w:r>
        <w:rPr>
          <w:rFonts w:ascii="宋体" w:hAnsi="宋体" w:eastAsia="宋体" w:cs="宋体"/>
          <w:spacing w:val="-3"/>
          <w:sz w:val="24"/>
          <w:szCs w:val="24"/>
        </w:rPr>
        <w:t>年本</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2024 </w:t>
      </w:r>
      <w:r>
        <w:rPr>
          <w:rFonts w:ascii="宋体" w:hAnsi="宋体" w:eastAsia="宋体" w:cs="宋体"/>
          <w:spacing w:val="-3"/>
          <w:sz w:val="24"/>
          <w:szCs w:val="24"/>
        </w:rPr>
        <w:t>年</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日</w:t>
      </w:r>
      <w:r>
        <w:rPr>
          <w:rFonts w:ascii="宋体" w:hAnsi="宋体" w:eastAsia="宋体" w:cs="宋体"/>
          <w:spacing w:val="-12"/>
          <w:sz w:val="24"/>
          <w:szCs w:val="24"/>
        </w:rPr>
        <w:t>）；</w:t>
      </w:r>
    </w:p>
    <w:p>
      <w:pPr>
        <w:spacing w:before="189" w:line="469" w:lineRule="exact"/>
        <w:ind w:right="47"/>
        <w:jc w:val="right"/>
        <w:rPr>
          <w:rFonts w:ascii="宋体" w:hAnsi="宋体" w:eastAsia="宋体" w:cs="宋体"/>
          <w:sz w:val="24"/>
          <w:szCs w:val="24"/>
        </w:rPr>
      </w:pPr>
      <w:r>
        <w:rPr>
          <w:rFonts w:ascii="Times New Roman" w:hAnsi="Times New Roman" w:eastAsia="Times New Roman" w:cs="Times New Roman"/>
          <w:spacing w:val="13"/>
          <w:position w:val="17"/>
          <w:sz w:val="24"/>
          <w:szCs w:val="24"/>
        </w:rPr>
        <w:t>(22)</w:t>
      </w:r>
      <w:r>
        <w:rPr>
          <w:rFonts w:ascii="宋体" w:hAnsi="宋体" w:eastAsia="宋体" w:cs="宋体"/>
          <w:spacing w:val="13"/>
          <w:position w:val="17"/>
          <w:sz w:val="24"/>
          <w:szCs w:val="24"/>
        </w:rPr>
        <w:t>《建设项目主要污染物排放总量指标审核及管理暂行办法》（环发</w:t>
      </w:r>
    </w:p>
    <w:p>
      <w:pPr>
        <w:spacing w:line="215" w:lineRule="auto"/>
        <w:ind w:left="48"/>
        <w:rPr>
          <w:rFonts w:ascii="宋体" w:hAnsi="宋体" w:eastAsia="宋体" w:cs="宋体"/>
          <w:sz w:val="24"/>
          <w:szCs w:val="24"/>
        </w:rPr>
      </w:pPr>
      <w:r>
        <w:rPr>
          <w:rFonts w:ascii="Times New Roman" w:hAnsi="Times New Roman" w:eastAsia="Times New Roman" w:cs="Times New Roman"/>
          <w:spacing w:val="-6"/>
          <w:sz w:val="24"/>
          <w:szCs w:val="24"/>
        </w:rPr>
        <w:t>[2014]197</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号，</w:t>
      </w:r>
      <w:r>
        <w:rPr>
          <w:rFonts w:ascii="Times New Roman" w:hAnsi="Times New Roman" w:eastAsia="Times New Roman" w:cs="Times New Roman"/>
          <w:spacing w:val="-6"/>
          <w:sz w:val="24"/>
          <w:szCs w:val="24"/>
        </w:rPr>
        <w:t xml:space="preserve">2014 </w:t>
      </w:r>
      <w:r>
        <w:rPr>
          <w:rFonts w:ascii="宋体" w:hAnsi="宋体" w:eastAsia="宋体" w:cs="宋体"/>
          <w:spacing w:val="-6"/>
          <w:sz w:val="24"/>
          <w:szCs w:val="24"/>
        </w:rPr>
        <w:t>年</w:t>
      </w:r>
      <w:r>
        <w:rPr>
          <w:rFonts w:ascii="宋体" w:hAnsi="宋体" w:eastAsia="宋体" w:cs="宋体"/>
          <w:spacing w:val="-29"/>
          <w:sz w:val="24"/>
          <w:szCs w:val="24"/>
        </w:rPr>
        <w:t xml:space="preserve"> </w:t>
      </w:r>
      <w:r>
        <w:rPr>
          <w:rFonts w:ascii="Times New Roman" w:hAnsi="Times New Roman" w:eastAsia="Times New Roman" w:cs="Times New Roman"/>
          <w:spacing w:val="-6"/>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 xml:space="preserve">31  </w:t>
      </w:r>
      <w:r>
        <w:rPr>
          <w:rFonts w:ascii="宋体" w:hAnsi="宋体" w:eastAsia="宋体" w:cs="宋体"/>
          <w:spacing w:val="-6"/>
          <w:sz w:val="24"/>
          <w:szCs w:val="24"/>
        </w:rPr>
        <w:t>日</w:t>
      </w:r>
      <w:r>
        <w:rPr>
          <w:rFonts w:ascii="宋体" w:hAnsi="宋体" w:eastAsia="宋体" w:cs="宋体"/>
          <w:spacing w:val="-10"/>
          <w:sz w:val="24"/>
          <w:szCs w:val="24"/>
        </w:rPr>
        <w:t>）；</w:t>
      </w:r>
    </w:p>
    <w:p>
      <w:pPr>
        <w:spacing w:line="215" w:lineRule="auto"/>
        <w:rPr>
          <w:rFonts w:ascii="宋体" w:hAnsi="宋体" w:eastAsia="宋体" w:cs="宋体"/>
          <w:sz w:val="24"/>
          <w:szCs w:val="24"/>
        </w:rPr>
        <w:sectPr>
          <w:headerReference r:id="rId23" w:type="default"/>
          <w:footerReference r:id="rId24" w:type="default"/>
          <w:pgSz w:w="11907" w:h="16839"/>
          <w:pgMar w:top="1118" w:right="1769" w:bottom="1184" w:left="1771" w:header="879" w:footer="1024" w:gutter="0"/>
          <w:cols w:space="720" w:num="1"/>
        </w:sectPr>
      </w:pPr>
    </w:p>
    <w:p>
      <w:pPr>
        <w:pStyle w:val="2"/>
        <w:spacing w:line="278" w:lineRule="auto"/>
      </w:pPr>
    </w:p>
    <w:p>
      <w:pPr>
        <w:spacing w:before="78" w:line="468" w:lineRule="exact"/>
        <w:ind w:right="68"/>
        <w:jc w:val="right"/>
        <w:rPr>
          <w:rFonts w:ascii="宋体" w:hAnsi="宋体" w:eastAsia="宋体" w:cs="宋体"/>
          <w:sz w:val="24"/>
          <w:szCs w:val="24"/>
        </w:rPr>
      </w:pPr>
      <w:r>
        <w:rPr>
          <w:rFonts w:ascii="Times New Roman" w:hAnsi="Times New Roman" w:eastAsia="Times New Roman" w:cs="Times New Roman"/>
          <w:spacing w:val="2"/>
          <w:position w:val="17"/>
          <w:sz w:val="24"/>
          <w:szCs w:val="24"/>
        </w:rPr>
        <w:t>(23)</w:t>
      </w:r>
      <w:r>
        <w:rPr>
          <w:rFonts w:ascii="宋体" w:hAnsi="宋体" w:eastAsia="宋体" w:cs="宋体"/>
          <w:spacing w:val="2"/>
          <w:position w:val="17"/>
          <w:sz w:val="24"/>
          <w:szCs w:val="24"/>
        </w:rPr>
        <w:t>《关于公路、铁路</w:t>
      </w:r>
      <w:r>
        <w:rPr>
          <w:rFonts w:ascii="Times New Roman" w:hAnsi="Times New Roman" w:eastAsia="Times New Roman" w:cs="Times New Roman"/>
          <w:spacing w:val="2"/>
          <w:position w:val="17"/>
          <w:sz w:val="24"/>
          <w:szCs w:val="24"/>
        </w:rPr>
        <w:t>(</w:t>
      </w:r>
      <w:r>
        <w:rPr>
          <w:rFonts w:ascii="宋体" w:hAnsi="宋体" w:eastAsia="宋体" w:cs="宋体"/>
          <w:spacing w:val="2"/>
          <w:position w:val="17"/>
          <w:sz w:val="24"/>
          <w:szCs w:val="24"/>
        </w:rPr>
        <w:t>含轻轨</w:t>
      </w:r>
      <w:r>
        <w:rPr>
          <w:rFonts w:ascii="Times New Roman" w:hAnsi="Times New Roman" w:eastAsia="Times New Roman" w:cs="Times New Roman"/>
          <w:spacing w:val="2"/>
          <w:position w:val="17"/>
          <w:sz w:val="24"/>
          <w:szCs w:val="24"/>
        </w:rPr>
        <w:t>)</w:t>
      </w:r>
      <w:r>
        <w:rPr>
          <w:rFonts w:ascii="宋体" w:hAnsi="宋体" w:eastAsia="宋体" w:cs="宋体"/>
          <w:spacing w:val="2"/>
          <w:position w:val="17"/>
          <w:sz w:val="24"/>
          <w:szCs w:val="24"/>
        </w:rPr>
        <w:t>等建</w:t>
      </w:r>
      <w:r>
        <w:rPr>
          <w:rFonts w:ascii="宋体" w:hAnsi="宋体" w:eastAsia="宋体" w:cs="宋体"/>
          <w:spacing w:val="1"/>
          <w:position w:val="17"/>
          <w:sz w:val="24"/>
          <w:szCs w:val="24"/>
        </w:rPr>
        <w:t>设项目环境影响评价中环境噪声有关问</w:t>
      </w:r>
    </w:p>
    <w:p>
      <w:pPr>
        <w:spacing w:line="215" w:lineRule="auto"/>
        <w:ind w:left="38"/>
        <w:rPr>
          <w:rFonts w:ascii="宋体" w:hAnsi="宋体" w:eastAsia="宋体" w:cs="宋体"/>
          <w:sz w:val="24"/>
          <w:szCs w:val="24"/>
        </w:rPr>
      </w:pPr>
      <w:r>
        <w:rPr>
          <w:rFonts w:ascii="宋体" w:hAnsi="宋体" w:eastAsia="宋体" w:cs="宋体"/>
          <w:spacing w:val="-3"/>
          <w:sz w:val="24"/>
          <w:szCs w:val="24"/>
        </w:rPr>
        <w:t>题的通知》（国家环境保护总局，环发</w:t>
      </w:r>
      <w:r>
        <w:rPr>
          <w:rFonts w:ascii="Times New Roman" w:hAnsi="Times New Roman" w:eastAsia="Times New Roman" w:cs="Times New Roman"/>
          <w:spacing w:val="-3"/>
          <w:sz w:val="24"/>
          <w:szCs w:val="24"/>
        </w:rPr>
        <w:t>[2003]94</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号</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2003 </w:t>
      </w:r>
      <w:r>
        <w:rPr>
          <w:rFonts w:ascii="宋体" w:hAnsi="宋体" w:eastAsia="宋体" w:cs="宋体"/>
          <w:spacing w:val="-3"/>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27  </w:t>
      </w:r>
      <w:r>
        <w:rPr>
          <w:rFonts w:ascii="宋体" w:hAnsi="宋体" w:eastAsia="宋体" w:cs="宋体"/>
          <w:spacing w:val="-3"/>
          <w:sz w:val="24"/>
          <w:szCs w:val="24"/>
        </w:rPr>
        <w:t>日</w:t>
      </w:r>
      <w:r>
        <w:rPr>
          <w:rFonts w:ascii="宋体" w:hAnsi="宋体" w:eastAsia="宋体" w:cs="宋体"/>
          <w:spacing w:val="-13"/>
          <w:sz w:val="24"/>
          <w:szCs w:val="24"/>
        </w:rPr>
        <w:t>）；</w:t>
      </w:r>
    </w:p>
    <w:p>
      <w:pPr>
        <w:spacing w:before="185" w:line="468" w:lineRule="exact"/>
        <w:ind w:right="68"/>
        <w:jc w:val="right"/>
        <w:rPr>
          <w:rFonts w:ascii="Times New Roman" w:hAnsi="Times New Roman" w:eastAsia="Times New Roman" w:cs="Times New Roman"/>
          <w:sz w:val="24"/>
          <w:szCs w:val="24"/>
        </w:rPr>
      </w:pPr>
      <w:r>
        <w:rPr>
          <w:rFonts w:ascii="Times New Roman" w:hAnsi="Times New Roman" w:eastAsia="Times New Roman" w:cs="Times New Roman"/>
          <w:spacing w:val="4"/>
          <w:position w:val="17"/>
          <w:sz w:val="24"/>
          <w:szCs w:val="24"/>
        </w:rPr>
        <w:t>(24)</w:t>
      </w:r>
      <w:r>
        <w:rPr>
          <w:rFonts w:ascii="宋体" w:hAnsi="宋体" w:eastAsia="宋体" w:cs="宋体"/>
          <w:spacing w:val="4"/>
          <w:position w:val="17"/>
          <w:sz w:val="24"/>
          <w:szCs w:val="24"/>
        </w:rPr>
        <w:t>《关于发布</w:t>
      </w:r>
      <w:r>
        <w:rPr>
          <w:rFonts w:ascii="Times New Roman" w:hAnsi="Times New Roman" w:eastAsia="Times New Roman" w:cs="Times New Roman"/>
          <w:spacing w:val="4"/>
          <w:position w:val="17"/>
          <w:sz w:val="24"/>
          <w:szCs w:val="24"/>
        </w:rPr>
        <w:t>&lt;</w:t>
      </w:r>
      <w:r>
        <w:rPr>
          <w:rFonts w:ascii="宋体" w:hAnsi="宋体" w:eastAsia="宋体" w:cs="宋体"/>
          <w:spacing w:val="4"/>
          <w:position w:val="17"/>
          <w:sz w:val="24"/>
          <w:szCs w:val="24"/>
        </w:rPr>
        <w:t>地面交通噪声污染防治技术政策</w:t>
      </w:r>
      <w:r>
        <w:rPr>
          <w:rFonts w:ascii="Times New Roman" w:hAnsi="Times New Roman" w:eastAsia="Times New Roman" w:cs="Times New Roman"/>
          <w:spacing w:val="4"/>
          <w:position w:val="17"/>
          <w:sz w:val="24"/>
          <w:szCs w:val="24"/>
        </w:rPr>
        <w:t>&gt;</w:t>
      </w:r>
      <w:r>
        <w:rPr>
          <w:rFonts w:ascii="宋体" w:hAnsi="宋体" w:eastAsia="宋体" w:cs="宋体"/>
          <w:spacing w:val="4"/>
          <w:position w:val="17"/>
          <w:sz w:val="24"/>
          <w:szCs w:val="24"/>
        </w:rPr>
        <w:t>的通</w:t>
      </w:r>
      <w:r>
        <w:rPr>
          <w:rFonts w:ascii="宋体" w:hAnsi="宋体" w:eastAsia="宋体" w:cs="宋体"/>
          <w:spacing w:val="3"/>
          <w:position w:val="17"/>
          <w:sz w:val="24"/>
          <w:szCs w:val="24"/>
        </w:rPr>
        <w:t>知》（环发</w:t>
      </w:r>
      <w:r>
        <w:rPr>
          <w:rFonts w:ascii="Times New Roman" w:hAnsi="Times New Roman" w:eastAsia="Times New Roman" w:cs="Times New Roman"/>
          <w:spacing w:val="3"/>
          <w:position w:val="17"/>
          <w:sz w:val="24"/>
          <w:szCs w:val="24"/>
        </w:rPr>
        <w:t>[2010]7</w:t>
      </w:r>
    </w:p>
    <w:p>
      <w:pPr>
        <w:spacing w:line="219" w:lineRule="auto"/>
        <w:ind w:left="43"/>
        <w:rPr>
          <w:rFonts w:ascii="宋体" w:hAnsi="宋体" w:eastAsia="宋体" w:cs="宋体"/>
          <w:sz w:val="24"/>
          <w:szCs w:val="24"/>
        </w:rPr>
      </w:pPr>
      <w:r>
        <w:rPr>
          <w:rFonts w:ascii="宋体" w:hAnsi="宋体" w:eastAsia="宋体" w:cs="宋体"/>
          <w:spacing w:val="-12"/>
          <w:sz w:val="24"/>
          <w:szCs w:val="24"/>
        </w:rPr>
        <w:t>号，</w:t>
      </w:r>
      <w:r>
        <w:rPr>
          <w:rFonts w:ascii="Times New Roman" w:hAnsi="Times New Roman" w:eastAsia="Times New Roman" w:cs="Times New Roman"/>
          <w:spacing w:val="-12"/>
          <w:sz w:val="24"/>
          <w:szCs w:val="24"/>
        </w:rPr>
        <w:t>2010</w:t>
      </w:r>
      <w:r>
        <w:rPr>
          <w:rFonts w:ascii="Times New Roman" w:hAnsi="Times New Roman" w:eastAsia="Times New Roman" w:cs="Times New Roman"/>
          <w:spacing w:val="11"/>
          <w:sz w:val="24"/>
          <w:szCs w:val="24"/>
        </w:rPr>
        <w:t xml:space="preserve"> </w:t>
      </w:r>
      <w:r>
        <w:rPr>
          <w:rFonts w:ascii="宋体" w:hAnsi="宋体" w:eastAsia="宋体" w:cs="宋体"/>
          <w:spacing w:val="-12"/>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12"/>
          <w:sz w:val="24"/>
          <w:szCs w:val="24"/>
        </w:rPr>
        <w:t>月</w:t>
      </w:r>
      <w:r>
        <w:rPr>
          <w:rFonts w:ascii="宋体" w:hAnsi="宋体" w:eastAsia="宋体" w:cs="宋体"/>
          <w:spacing w:val="-31"/>
          <w:sz w:val="24"/>
          <w:szCs w:val="24"/>
        </w:rPr>
        <w:t xml:space="preserve"> </w:t>
      </w:r>
      <w:r>
        <w:rPr>
          <w:rFonts w:ascii="Times New Roman" w:hAnsi="Times New Roman" w:eastAsia="Times New Roman" w:cs="Times New Roman"/>
          <w:spacing w:val="-12"/>
          <w:sz w:val="24"/>
          <w:szCs w:val="24"/>
        </w:rPr>
        <w:t>11</w:t>
      </w:r>
      <w:r>
        <w:rPr>
          <w:rFonts w:ascii="Times New Roman" w:hAnsi="Times New Roman" w:eastAsia="Times New Roman" w:cs="Times New Roman"/>
          <w:spacing w:val="50"/>
          <w:w w:val="101"/>
          <w:sz w:val="24"/>
          <w:szCs w:val="24"/>
        </w:rPr>
        <w:t xml:space="preserve"> </w:t>
      </w:r>
      <w:r>
        <w:rPr>
          <w:rFonts w:ascii="宋体" w:hAnsi="宋体" w:eastAsia="宋体" w:cs="宋体"/>
          <w:spacing w:val="-12"/>
          <w:sz w:val="24"/>
          <w:szCs w:val="24"/>
        </w:rPr>
        <w:t>日</w:t>
      </w:r>
      <w:r>
        <w:rPr>
          <w:rFonts w:ascii="宋体" w:hAnsi="宋体" w:eastAsia="宋体" w:cs="宋体"/>
          <w:spacing w:val="-18"/>
          <w:sz w:val="24"/>
          <w:szCs w:val="24"/>
        </w:rPr>
        <w:t>）；</w:t>
      </w:r>
    </w:p>
    <w:p>
      <w:pPr>
        <w:spacing w:before="180" w:line="468" w:lineRule="exact"/>
        <w:ind w:right="66"/>
        <w:jc w:val="right"/>
        <w:rPr>
          <w:rFonts w:ascii="宋体" w:hAnsi="宋体" w:eastAsia="宋体" w:cs="宋体"/>
          <w:sz w:val="24"/>
          <w:szCs w:val="24"/>
        </w:rPr>
      </w:pPr>
      <w:r>
        <w:rPr>
          <w:rFonts w:ascii="Times New Roman" w:hAnsi="Times New Roman" w:eastAsia="Times New Roman" w:cs="Times New Roman"/>
          <w:spacing w:val="-7"/>
          <w:position w:val="17"/>
          <w:sz w:val="24"/>
          <w:szCs w:val="24"/>
        </w:rPr>
        <w:t>(25)</w:t>
      </w:r>
      <w:r>
        <w:rPr>
          <w:rFonts w:ascii="宋体" w:hAnsi="宋体" w:eastAsia="宋体" w:cs="宋体"/>
          <w:spacing w:val="-7"/>
          <w:position w:val="17"/>
          <w:sz w:val="24"/>
          <w:szCs w:val="24"/>
        </w:rPr>
        <w:t>《关于加强环境噪声污染防治工作改善城乡声环</w:t>
      </w:r>
      <w:r>
        <w:rPr>
          <w:rFonts w:ascii="宋体" w:hAnsi="宋体" w:eastAsia="宋体" w:cs="宋体"/>
          <w:spacing w:val="-8"/>
          <w:position w:val="17"/>
          <w:sz w:val="24"/>
          <w:szCs w:val="24"/>
        </w:rPr>
        <w:t>境质量的指导意见》（环</w:t>
      </w:r>
    </w:p>
    <w:p>
      <w:pPr>
        <w:spacing w:before="1" w:line="215" w:lineRule="auto"/>
        <w:ind w:left="41"/>
        <w:rPr>
          <w:rFonts w:ascii="宋体" w:hAnsi="宋体" w:eastAsia="宋体" w:cs="宋体"/>
          <w:sz w:val="24"/>
          <w:szCs w:val="24"/>
        </w:rPr>
      </w:pPr>
      <w:r>
        <w:rPr>
          <w:rFonts w:ascii="宋体" w:hAnsi="宋体" w:eastAsia="宋体" w:cs="宋体"/>
          <w:spacing w:val="-7"/>
          <w:sz w:val="24"/>
          <w:szCs w:val="24"/>
        </w:rPr>
        <w:t>发</w:t>
      </w:r>
      <w:r>
        <w:rPr>
          <w:rFonts w:ascii="Times New Roman" w:hAnsi="Times New Roman" w:eastAsia="Times New Roman" w:cs="Times New Roman"/>
          <w:spacing w:val="-7"/>
          <w:sz w:val="24"/>
          <w:szCs w:val="24"/>
        </w:rPr>
        <w:t>[2010]144</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号，</w:t>
      </w:r>
      <w:r>
        <w:rPr>
          <w:rFonts w:ascii="Times New Roman" w:hAnsi="Times New Roman" w:eastAsia="Times New Roman" w:cs="Times New Roman"/>
          <w:spacing w:val="-7"/>
          <w:sz w:val="24"/>
          <w:szCs w:val="24"/>
        </w:rPr>
        <w:t>2010</w:t>
      </w:r>
      <w:r>
        <w:rPr>
          <w:rFonts w:ascii="Times New Roman" w:hAnsi="Times New Roman" w:eastAsia="Times New Roman" w:cs="Times New Roman"/>
          <w:spacing w:val="12"/>
          <w:sz w:val="24"/>
          <w:szCs w:val="24"/>
        </w:rPr>
        <w:t xml:space="preserve"> </w:t>
      </w:r>
      <w:r>
        <w:rPr>
          <w:rFonts w:ascii="宋体" w:hAnsi="宋体" w:eastAsia="宋体" w:cs="宋体"/>
          <w:spacing w:val="-7"/>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15</w:t>
      </w:r>
      <w:r>
        <w:rPr>
          <w:rFonts w:ascii="Times New Roman" w:hAnsi="Times New Roman" w:eastAsia="Times New Roman" w:cs="Times New Roman"/>
          <w:spacing w:val="51"/>
          <w:sz w:val="24"/>
          <w:szCs w:val="24"/>
        </w:rPr>
        <w:t xml:space="preserve"> </w:t>
      </w:r>
      <w:r>
        <w:rPr>
          <w:rFonts w:ascii="宋体" w:hAnsi="宋体" w:eastAsia="宋体" w:cs="宋体"/>
          <w:spacing w:val="-7"/>
          <w:sz w:val="24"/>
          <w:szCs w:val="24"/>
        </w:rPr>
        <w:t>日</w:t>
      </w:r>
      <w:r>
        <w:rPr>
          <w:rFonts w:ascii="宋体" w:hAnsi="宋体" w:eastAsia="宋体" w:cs="宋体"/>
          <w:spacing w:val="-11"/>
          <w:sz w:val="24"/>
          <w:szCs w:val="24"/>
        </w:rPr>
        <w:t>）；</w:t>
      </w:r>
    </w:p>
    <w:p>
      <w:pPr>
        <w:spacing w:before="185" w:line="469" w:lineRule="exact"/>
        <w:ind w:right="67"/>
        <w:jc w:val="right"/>
        <w:rPr>
          <w:rFonts w:ascii="Times New Roman" w:hAnsi="Times New Roman" w:eastAsia="Times New Roman" w:cs="Times New Roman"/>
          <w:sz w:val="24"/>
          <w:szCs w:val="24"/>
        </w:rPr>
      </w:pPr>
      <w:r>
        <w:rPr>
          <w:rFonts w:ascii="Times New Roman" w:hAnsi="Times New Roman" w:eastAsia="Times New Roman" w:cs="Times New Roman"/>
          <w:spacing w:val="-4"/>
          <w:position w:val="17"/>
          <w:sz w:val="24"/>
          <w:szCs w:val="24"/>
        </w:rPr>
        <w:t>(26)</w:t>
      </w:r>
      <w:r>
        <w:rPr>
          <w:rFonts w:ascii="宋体" w:hAnsi="宋体" w:eastAsia="宋体" w:cs="宋体"/>
          <w:spacing w:val="-4"/>
          <w:position w:val="17"/>
          <w:sz w:val="24"/>
          <w:szCs w:val="24"/>
        </w:rPr>
        <w:t>《关于加强公路规划和建设环境影响评价工作的通知》</w:t>
      </w:r>
      <w:r>
        <w:rPr>
          <w:rFonts w:ascii="宋体" w:hAnsi="宋体" w:eastAsia="宋体" w:cs="宋体"/>
          <w:spacing w:val="-23"/>
          <w:position w:val="17"/>
          <w:sz w:val="24"/>
          <w:szCs w:val="24"/>
        </w:rPr>
        <w:t xml:space="preserve"> </w:t>
      </w:r>
      <w:r>
        <w:rPr>
          <w:rFonts w:ascii="宋体" w:hAnsi="宋体" w:eastAsia="宋体" w:cs="宋体"/>
          <w:spacing w:val="-4"/>
          <w:position w:val="17"/>
          <w:sz w:val="24"/>
          <w:szCs w:val="24"/>
        </w:rPr>
        <w:t>（环发</w:t>
      </w:r>
      <w:r>
        <w:rPr>
          <w:rFonts w:ascii="Times New Roman" w:hAnsi="Times New Roman" w:eastAsia="Times New Roman" w:cs="Times New Roman"/>
          <w:spacing w:val="-4"/>
          <w:position w:val="17"/>
          <w:sz w:val="24"/>
          <w:szCs w:val="24"/>
        </w:rPr>
        <w:t>[2007]1</w:t>
      </w:r>
      <w:r>
        <w:rPr>
          <w:rFonts w:ascii="Times New Roman" w:hAnsi="Times New Roman" w:eastAsia="Times New Roman" w:cs="Times New Roman"/>
          <w:spacing w:val="-5"/>
          <w:position w:val="17"/>
          <w:sz w:val="24"/>
          <w:szCs w:val="24"/>
        </w:rPr>
        <w:t>84</w:t>
      </w:r>
    </w:p>
    <w:p>
      <w:pPr>
        <w:spacing w:before="1" w:line="220" w:lineRule="auto"/>
        <w:ind w:left="43"/>
        <w:rPr>
          <w:rFonts w:ascii="宋体" w:hAnsi="宋体" w:eastAsia="宋体" w:cs="宋体"/>
          <w:sz w:val="24"/>
          <w:szCs w:val="24"/>
        </w:rPr>
      </w:pPr>
      <w:r>
        <w:rPr>
          <w:rFonts w:ascii="宋体" w:hAnsi="宋体" w:eastAsia="宋体" w:cs="宋体"/>
          <w:spacing w:val="-16"/>
          <w:sz w:val="24"/>
          <w:szCs w:val="24"/>
        </w:rPr>
        <w:t>号</w:t>
      </w:r>
      <w:r>
        <w:rPr>
          <w:rFonts w:ascii="宋体" w:hAnsi="宋体" w:eastAsia="宋体" w:cs="宋体"/>
          <w:sz w:val="24"/>
          <w:szCs w:val="24"/>
        </w:rPr>
        <w:t>）；</w:t>
      </w:r>
    </w:p>
    <w:p>
      <w:pPr>
        <w:spacing w:before="178" w:line="468" w:lineRule="exact"/>
        <w:ind w:right="66"/>
        <w:jc w:val="right"/>
        <w:rPr>
          <w:rFonts w:ascii="宋体" w:hAnsi="宋体" w:eastAsia="宋体" w:cs="宋体"/>
          <w:sz w:val="24"/>
          <w:szCs w:val="24"/>
        </w:rPr>
      </w:pPr>
      <w:r>
        <w:rPr>
          <w:rFonts w:ascii="Times New Roman" w:hAnsi="Times New Roman" w:eastAsia="Times New Roman" w:cs="Times New Roman"/>
          <w:spacing w:val="-4"/>
          <w:position w:val="17"/>
          <w:sz w:val="24"/>
          <w:szCs w:val="24"/>
        </w:rPr>
        <w:t>(27)</w:t>
      </w:r>
      <w:r>
        <w:rPr>
          <w:rFonts w:ascii="宋体" w:hAnsi="宋体" w:eastAsia="宋体" w:cs="宋体"/>
          <w:spacing w:val="-4"/>
          <w:position w:val="17"/>
          <w:sz w:val="24"/>
          <w:szCs w:val="24"/>
        </w:rPr>
        <w:t>《关于以改善环境质量为核心加强环境影响评价管理的通知》 （环境保</w:t>
      </w:r>
    </w:p>
    <w:p>
      <w:pPr>
        <w:spacing w:before="1" w:line="215" w:lineRule="auto"/>
        <w:ind w:left="39"/>
        <w:rPr>
          <w:rFonts w:ascii="宋体" w:hAnsi="宋体" w:eastAsia="宋体" w:cs="宋体"/>
          <w:sz w:val="24"/>
          <w:szCs w:val="24"/>
        </w:rPr>
      </w:pPr>
      <w:r>
        <w:rPr>
          <w:rFonts w:ascii="宋体" w:hAnsi="宋体" w:eastAsia="宋体" w:cs="宋体"/>
          <w:spacing w:val="-2"/>
          <w:sz w:val="24"/>
          <w:szCs w:val="24"/>
        </w:rPr>
        <w:t>护部，环环评</w:t>
      </w:r>
      <w:r>
        <w:rPr>
          <w:rFonts w:ascii="Times New Roman" w:hAnsi="Times New Roman" w:eastAsia="Times New Roman" w:cs="Times New Roman"/>
          <w:spacing w:val="-2"/>
          <w:sz w:val="24"/>
          <w:szCs w:val="24"/>
        </w:rPr>
        <w:t>[2016]150</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w:t>
      </w:r>
      <w:r>
        <w:rPr>
          <w:rFonts w:ascii="宋体" w:hAnsi="宋体" w:eastAsia="宋体" w:cs="宋体"/>
          <w:spacing w:val="3"/>
          <w:sz w:val="24"/>
          <w:szCs w:val="24"/>
        </w:rPr>
        <w:t>）；</w:t>
      </w:r>
    </w:p>
    <w:p>
      <w:pPr>
        <w:spacing w:before="185" w:line="213" w:lineRule="auto"/>
        <w:ind w:left="518"/>
        <w:rPr>
          <w:rFonts w:ascii="宋体" w:hAnsi="宋体" w:eastAsia="宋体" w:cs="宋体"/>
          <w:sz w:val="24"/>
          <w:szCs w:val="24"/>
        </w:rPr>
      </w:pPr>
      <w:r>
        <w:rPr>
          <w:rFonts w:ascii="Times New Roman" w:hAnsi="Times New Roman" w:eastAsia="Times New Roman" w:cs="Times New Roman"/>
          <w:spacing w:val="-3"/>
          <w:sz w:val="24"/>
          <w:szCs w:val="24"/>
        </w:rPr>
        <w:t>(28)</w:t>
      </w:r>
      <w:r>
        <w:rPr>
          <w:rFonts w:ascii="宋体" w:hAnsi="宋体" w:eastAsia="宋体" w:cs="宋体"/>
          <w:spacing w:val="-3"/>
          <w:sz w:val="24"/>
          <w:szCs w:val="24"/>
        </w:rPr>
        <w:t>《国家危险废物名录（</w:t>
      </w:r>
      <w:r>
        <w:rPr>
          <w:rFonts w:ascii="Times New Roman" w:hAnsi="Times New Roman" w:eastAsia="Times New Roman" w:cs="Times New Roman"/>
          <w:spacing w:val="-3"/>
          <w:sz w:val="24"/>
          <w:szCs w:val="24"/>
        </w:rPr>
        <w:t xml:space="preserve">2021 </w:t>
      </w:r>
      <w:r>
        <w:rPr>
          <w:rFonts w:ascii="宋体" w:hAnsi="宋体" w:eastAsia="宋体" w:cs="宋体"/>
          <w:spacing w:val="-4"/>
          <w:sz w:val="24"/>
          <w:szCs w:val="24"/>
        </w:rPr>
        <w:t>年版）》（</w:t>
      </w:r>
      <w:r>
        <w:rPr>
          <w:rFonts w:ascii="Times New Roman" w:hAnsi="Times New Roman" w:eastAsia="Times New Roman" w:cs="Times New Roman"/>
          <w:spacing w:val="-4"/>
          <w:sz w:val="24"/>
          <w:szCs w:val="24"/>
        </w:rPr>
        <w:t xml:space="preserve">2021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日</w:t>
      </w:r>
      <w:r>
        <w:rPr>
          <w:rFonts w:ascii="宋体" w:hAnsi="宋体" w:eastAsia="宋体" w:cs="宋体"/>
          <w:spacing w:val="-18"/>
          <w:sz w:val="24"/>
          <w:szCs w:val="24"/>
        </w:rPr>
        <w:t>）；</w:t>
      </w:r>
    </w:p>
    <w:p>
      <w:pPr>
        <w:spacing w:before="192" w:line="465" w:lineRule="exact"/>
        <w:ind w:right="51"/>
        <w:jc w:val="right"/>
        <w:rPr>
          <w:rFonts w:ascii="宋体" w:hAnsi="宋体" w:eastAsia="宋体" w:cs="宋体"/>
          <w:sz w:val="24"/>
          <w:szCs w:val="24"/>
        </w:rPr>
      </w:pPr>
      <w:r>
        <w:rPr>
          <w:rFonts w:ascii="Times New Roman" w:hAnsi="Times New Roman" w:eastAsia="Times New Roman" w:cs="Times New Roman"/>
          <w:spacing w:val="-5"/>
          <w:position w:val="17"/>
          <w:sz w:val="24"/>
          <w:szCs w:val="24"/>
        </w:rPr>
        <w:t>(29)</w:t>
      </w:r>
      <w:r>
        <w:rPr>
          <w:rFonts w:ascii="宋体" w:hAnsi="宋体" w:eastAsia="宋体" w:cs="宋体"/>
          <w:spacing w:val="-5"/>
          <w:position w:val="17"/>
          <w:sz w:val="24"/>
          <w:szCs w:val="24"/>
        </w:rPr>
        <w:t>《</w:t>
      </w:r>
      <w:r>
        <w:rPr>
          <w:rFonts w:ascii="Times New Roman" w:hAnsi="Times New Roman" w:eastAsia="Times New Roman" w:cs="Times New Roman"/>
          <w:spacing w:val="-5"/>
          <w:position w:val="17"/>
          <w:sz w:val="24"/>
          <w:szCs w:val="24"/>
        </w:rPr>
        <w:t>“</w:t>
      </w:r>
      <w:r>
        <w:rPr>
          <w:rFonts w:ascii="宋体" w:hAnsi="宋体" w:eastAsia="宋体" w:cs="宋体"/>
          <w:spacing w:val="-5"/>
          <w:position w:val="17"/>
          <w:sz w:val="24"/>
          <w:szCs w:val="24"/>
        </w:rPr>
        <w:t>十四五</w:t>
      </w:r>
      <w:r>
        <w:rPr>
          <w:rFonts w:ascii="Times New Roman" w:hAnsi="Times New Roman" w:eastAsia="Times New Roman" w:cs="Times New Roman"/>
          <w:spacing w:val="-5"/>
          <w:position w:val="17"/>
          <w:sz w:val="24"/>
          <w:szCs w:val="24"/>
        </w:rPr>
        <w:t>”</w:t>
      </w:r>
      <w:r>
        <w:rPr>
          <w:rFonts w:ascii="Times New Roman" w:hAnsi="Times New Roman" w:eastAsia="Times New Roman" w:cs="Times New Roman"/>
          <w:spacing w:val="-40"/>
          <w:position w:val="17"/>
          <w:sz w:val="24"/>
          <w:szCs w:val="24"/>
        </w:rPr>
        <w:t xml:space="preserve"> </w:t>
      </w:r>
      <w:r>
        <w:rPr>
          <w:rFonts w:ascii="宋体" w:hAnsi="宋体" w:eastAsia="宋体" w:cs="宋体"/>
          <w:spacing w:val="-5"/>
          <w:position w:val="17"/>
          <w:sz w:val="24"/>
          <w:szCs w:val="24"/>
        </w:rPr>
        <w:t>噪声污染防治行动计划》</w:t>
      </w:r>
      <w:r>
        <w:rPr>
          <w:rFonts w:ascii="Times New Roman" w:hAnsi="Times New Roman" w:eastAsia="Times New Roman" w:cs="Times New Roman"/>
          <w:spacing w:val="-5"/>
          <w:position w:val="17"/>
          <w:sz w:val="24"/>
          <w:szCs w:val="24"/>
        </w:rPr>
        <w:t>(</w:t>
      </w:r>
      <w:r>
        <w:rPr>
          <w:rFonts w:ascii="宋体" w:hAnsi="宋体" w:eastAsia="宋体" w:cs="宋体"/>
          <w:spacing w:val="-5"/>
          <w:position w:val="17"/>
          <w:sz w:val="24"/>
          <w:szCs w:val="24"/>
        </w:rPr>
        <w:t>环大气〔</w:t>
      </w:r>
      <w:r>
        <w:rPr>
          <w:rFonts w:ascii="Times New Roman" w:hAnsi="Times New Roman" w:eastAsia="Times New Roman" w:cs="Times New Roman"/>
          <w:spacing w:val="-5"/>
          <w:position w:val="17"/>
          <w:sz w:val="24"/>
          <w:szCs w:val="24"/>
        </w:rPr>
        <w:t>2023</w:t>
      </w:r>
      <w:r>
        <w:rPr>
          <w:rFonts w:ascii="宋体" w:hAnsi="宋体" w:eastAsia="宋体" w:cs="宋体"/>
          <w:spacing w:val="-5"/>
          <w:position w:val="17"/>
          <w:sz w:val="24"/>
          <w:szCs w:val="24"/>
        </w:rPr>
        <w:t>〕</w:t>
      </w:r>
      <w:r>
        <w:rPr>
          <w:rFonts w:ascii="Times New Roman" w:hAnsi="Times New Roman" w:eastAsia="Times New Roman" w:cs="Times New Roman"/>
          <w:spacing w:val="-5"/>
          <w:position w:val="17"/>
          <w:sz w:val="24"/>
          <w:szCs w:val="24"/>
        </w:rPr>
        <w:t>1</w:t>
      </w:r>
      <w:r>
        <w:rPr>
          <w:rFonts w:ascii="Times New Roman" w:hAnsi="Times New Roman" w:eastAsia="Times New Roman" w:cs="Times New Roman"/>
          <w:spacing w:val="16"/>
          <w:position w:val="17"/>
          <w:sz w:val="24"/>
          <w:szCs w:val="24"/>
        </w:rPr>
        <w:t xml:space="preserve"> </w:t>
      </w:r>
      <w:r>
        <w:rPr>
          <w:rFonts w:ascii="宋体" w:hAnsi="宋体" w:eastAsia="宋体" w:cs="宋体"/>
          <w:spacing w:val="-5"/>
          <w:position w:val="17"/>
          <w:sz w:val="24"/>
          <w:szCs w:val="24"/>
        </w:rPr>
        <w:t>号，</w:t>
      </w:r>
      <w:r>
        <w:rPr>
          <w:rFonts w:ascii="宋体" w:hAnsi="宋体" w:eastAsia="宋体" w:cs="宋体"/>
          <w:spacing w:val="-50"/>
          <w:position w:val="17"/>
          <w:sz w:val="24"/>
          <w:szCs w:val="24"/>
        </w:rPr>
        <w:t xml:space="preserve"> </w:t>
      </w:r>
      <w:r>
        <w:rPr>
          <w:rFonts w:ascii="Times New Roman" w:hAnsi="Times New Roman" w:eastAsia="Times New Roman" w:cs="Times New Roman"/>
          <w:spacing w:val="-5"/>
          <w:position w:val="17"/>
          <w:sz w:val="24"/>
          <w:szCs w:val="24"/>
        </w:rPr>
        <w:t xml:space="preserve">2023 </w:t>
      </w:r>
      <w:r>
        <w:rPr>
          <w:rFonts w:ascii="宋体" w:hAnsi="宋体" w:eastAsia="宋体" w:cs="宋体"/>
          <w:spacing w:val="-5"/>
          <w:position w:val="17"/>
          <w:sz w:val="24"/>
          <w:szCs w:val="24"/>
        </w:rPr>
        <w:t>年</w:t>
      </w:r>
      <w:r>
        <w:rPr>
          <w:rFonts w:ascii="宋体" w:hAnsi="宋体" w:eastAsia="宋体" w:cs="宋体"/>
          <w:spacing w:val="-32"/>
          <w:position w:val="17"/>
          <w:sz w:val="24"/>
          <w:szCs w:val="24"/>
        </w:rPr>
        <w:t xml:space="preserve"> </w:t>
      </w:r>
      <w:r>
        <w:rPr>
          <w:rFonts w:ascii="Times New Roman" w:hAnsi="Times New Roman" w:eastAsia="Times New Roman" w:cs="Times New Roman"/>
          <w:spacing w:val="-5"/>
          <w:position w:val="17"/>
          <w:sz w:val="24"/>
          <w:szCs w:val="24"/>
        </w:rPr>
        <w:t>1</w:t>
      </w:r>
      <w:r>
        <w:rPr>
          <w:rFonts w:ascii="Times New Roman" w:hAnsi="Times New Roman" w:eastAsia="Times New Roman" w:cs="Times New Roman"/>
          <w:spacing w:val="15"/>
          <w:position w:val="17"/>
          <w:sz w:val="24"/>
          <w:szCs w:val="24"/>
        </w:rPr>
        <w:t xml:space="preserve"> </w:t>
      </w:r>
      <w:r>
        <w:rPr>
          <w:rFonts w:ascii="宋体" w:hAnsi="宋体" w:eastAsia="宋体" w:cs="宋体"/>
          <w:spacing w:val="-5"/>
          <w:position w:val="17"/>
          <w:sz w:val="24"/>
          <w:szCs w:val="24"/>
        </w:rPr>
        <w:t>月</w:t>
      </w:r>
    </w:p>
    <w:p>
      <w:pPr>
        <w:spacing w:before="1" w:line="220" w:lineRule="auto"/>
        <w:ind w:left="38"/>
        <w:rPr>
          <w:rFonts w:ascii="宋体" w:hAnsi="宋体" w:eastAsia="宋体" w:cs="宋体"/>
          <w:sz w:val="24"/>
          <w:szCs w:val="24"/>
        </w:rPr>
      </w:pPr>
      <w:r>
        <w:rPr>
          <w:rFonts w:ascii="Times New Roman" w:hAnsi="Times New Roman" w:eastAsia="Times New Roman" w:cs="Times New Roman"/>
          <w:spacing w:val="-17"/>
          <w:sz w:val="24"/>
          <w:szCs w:val="24"/>
        </w:rPr>
        <w:t>3</w:t>
      </w:r>
      <w:r>
        <w:rPr>
          <w:rFonts w:ascii="Times New Roman" w:hAnsi="Times New Roman" w:eastAsia="Times New Roman" w:cs="Times New Roman"/>
          <w:spacing w:val="15"/>
          <w:sz w:val="24"/>
          <w:szCs w:val="24"/>
        </w:rPr>
        <w:t xml:space="preserve"> </w:t>
      </w:r>
      <w:r>
        <w:rPr>
          <w:rFonts w:ascii="宋体" w:hAnsi="宋体" w:eastAsia="宋体" w:cs="宋体"/>
          <w:spacing w:val="-17"/>
          <w:sz w:val="24"/>
          <w:szCs w:val="24"/>
        </w:rPr>
        <w:t>号</w:t>
      </w:r>
      <w:r>
        <w:rPr>
          <w:rFonts w:ascii="宋体" w:hAnsi="宋体" w:eastAsia="宋体" w:cs="宋体"/>
          <w:spacing w:val="-12"/>
          <w:sz w:val="24"/>
          <w:szCs w:val="24"/>
        </w:rPr>
        <w:t>）；</w:t>
      </w:r>
    </w:p>
    <w:p>
      <w:pPr>
        <w:spacing w:before="181" w:line="466" w:lineRule="exact"/>
        <w:ind w:right="66"/>
        <w:jc w:val="right"/>
        <w:rPr>
          <w:rFonts w:ascii="宋体" w:hAnsi="宋体" w:eastAsia="宋体" w:cs="宋体"/>
          <w:sz w:val="24"/>
          <w:szCs w:val="24"/>
        </w:rPr>
      </w:pPr>
      <w:r>
        <w:rPr>
          <w:rFonts w:ascii="Times New Roman" w:hAnsi="Times New Roman" w:eastAsia="Times New Roman" w:cs="Times New Roman"/>
          <w:spacing w:val="-3"/>
          <w:position w:val="17"/>
          <w:sz w:val="24"/>
          <w:szCs w:val="24"/>
        </w:rPr>
        <w:t>(30)</w:t>
      </w:r>
      <w:r>
        <w:rPr>
          <w:rFonts w:ascii="宋体" w:hAnsi="宋体" w:eastAsia="宋体" w:cs="宋体"/>
          <w:spacing w:val="-3"/>
          <w:position w:val="17"/>
          <w:sz w:val="24"/>
          <w:szCs w:val="24"/>
        </w:rPr>
        <w:t>《自然资源部办公厅关于浙江等省（市） 启用</w:t>
      </w:r>
      <w:r>
        <w:rPr>
          <w:rFonts w:ascii="Times New Roman" w:hAnsi="Times New Roman" w:eastAsia="Times New Roman" w:cs="Times New Roman"/>
          <w:spacing w:val="-3"/>
          <w:position w:val="17"/>
          <w:sz w:val="24"/>
          <w:szCs w:val="24"/>
        </w:rPr>
        <w:t>“</w:t>
      </w:r>
      <w:r>
        <w:rPr>
          <w:rFonts w:ascii="宋体" w:hAnsi="宋体" w:eastAsia="宋体" w:cs="宋体"/>
          <w:spacing w:val="-3"/>
          <w:position w:val="17"/>
          <w:sz w:val="24"/>
          <w:szCs w:val="24"/>
        </w:rPr>
        <w:t>三区三线</w:t>
      </w:r>
      <w:r>
        <w:rPr>
          <w:rFonts w:ascii="Times New Roman" w:hAnsi="Times New Roman" w:eastAsia="Times New Roman" w:cs="Times New Roman"/>
          <w:spacing w:val="-3"/>
          <w:position w:val="17"/>
          <w:sz w:val="24"/>
          <w:szCs w:val="24"/>
        </w:rPr>
        <w:t>”</w:t>
      </w:r>
      <w:r>
        <w:rPr>
          <w:rFonts w:ascii="宋体" w:hAnsi="宋体" w:eastAsia="宋体" w:cs="宋体"/>
          <w:spacing w:val="-4"/>
          <w:position w:val="17"/>
          <w:sz w:val="24"/>
          <w:szCs w:val="24"/>
        </w:rPr>
        <w:t>划定成果作为</w:t>
      </w:r>
    </w:p>
    <w:p>
      <w:pPr>
        <w:spacing w:line="215" w:lineRule="auto"/>
        <w:jc w:val="right"/>
        <w:rPr>
          <w:rFonts w:ascii="宋体" w:hAnsi="宋体" w:eastAsia="宋体" w:cs="宋体"/>
          <w:sz w:val="24"/>
          <w:szCs w:val="24"/>
        </w:rPr>
      </w:pPr>
      <w:r>
        <w:rPr>
          <w:rFonts w:ascii="宋体" w:hAnsi="宋体" w:eastAsia="宋体" w:cs="宋体"/>
          <w:spacing w:val="-7"/>
          <w:sz w:val="24"/>
          <w:szCs w:val="24"/>
        </w:rPr>
        <w:t>报批建设用地用海依据的函》（自然资办函</w:t>
      </w:r>
      <w:r>
        <w:rPr>
          <w:rFonts w:ascii="Times New Roman" w:hAnsi="Times New Roman" w:eastAsia="Times New Roman" w:cs="Times New Roman"/>
          <w:spacing w:val="-7"/>
          <w:sz w:val="24"/>
          <w:szCs w:val="24"/>
        </w:rPr>
        <w:t>[2022]2080</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号，</w:t>
      </w:r>
      <w:r>
        <w:rPr>
          <w:rFonts w:ascii="宋体" w:hAnsi="宋体" w:eastAsia="宋体" w:cs="宋体"/>
          <w:spacing w:val="-70"/>
          <w:sz w:val="24"/>
          <w:szCs w:val="24"/>
        </w:rPr>
        <w:t xml:space="preserve"> </w:t>
      </w:r>
      <w:r>
        <w:rPr>
          <w:rFonts w:ascii="Times New Roman" w:hAnsi="Times New Roman" w:eastAsia="Times New Roman" w:cs="Times New Roman"/>
          <w:spacing w:val="-7"/>
          <w:sz w:val="24"/>
          <w:szCs w:val="24"/>
        </w:rPr>
        <w:t xml:space="preserve">2022 </w:t>
      </w:r>
      <w:r>
        <w:rPr>
          <w:rFonts w:ascii="宋体" w:hAnsi="宋体" w:eastAsia="宋体" w:cs="宋体"/>
          <w:spacing w:val="-7"/>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9</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3</w:t>
      </w:r>
      <w:r>
        <w:rPr>
          <w:rFonts w:ascii="Times New Roman" w:hAnsi="Times New Roman" w:eastAsia="Times New Roman" w:cs="Times New Roman"/>
          <w:spacing w:val="-8"/>
          <w:sz w:val="24"/>
          <w:szCs w:val="24"/>
        </w:rPr>
        <w:t xml:space="preserve">0  </w:t>
      </w:r>
      <w:r>
        <w:rPr>
          <w:rFonts w:ascii="宋体" w:hAnsi="宋体" w:eastAsia="宋体" w:cs="宋体"/>
          <w:spacing w:val="-8"/>
          <w:sz w:val="24"/>
          <w:szCs w:val="24"/>
        </w:rPr>
        <w:t>日</w:t>
      </w:r>
      <w:r>
        <w:rPr>
          <w:rFonts w:ascii="宋体" w:hAnsi="宋体" w:eastAsia="宋体" w:cs="宋体"/>
          <w:spacing w:val="-24"/>
          <w:sz w:val="24"/>
          <w:szCs w:val="24"/>
        </w:rPr>
        <w:t>）；</w:t>
      </w:r>
    </w:p>
    <w:p>
      <w:pPr>
        <w:spacing w:before="189" w:line="468" w:lineRule="exact"/>
        <w:ind w:left="518"/>
        <w:rPr>
          <w:rFonts w:ascii="宋体" w:hAnsi="宋体" w:eastAsia="宋体" w:cs="宋体"/>
          <w:sz w:val="24"/>
          <w:szCs w:val="24"/>
        </w:rPr>
      </w:pPr>
      <w:r>
        <w:rPr>
          <w:rFonts w:ascii="Times New Roman" w:hAnsi="Times New Roman" w:eastAsia="Times New Roman" w:cs="Times New Roman"/>
          <w:spacing w:val="-5"/>
          <w:position w:val="17"/>
          <w:sz w:val="24"/>
          <w:szCs w:val="24"/>
        </w:rPr>
        <w:t>(31)</w:t>
      </w:r>
      <w:r>
        <w:rPr>
          <w:rFonts w:ascii="宋体" w:hAnsi="宋体" w:eastAsia="宋体" w:cs="宋体"/>
          <w:spacing w:val="-5"/>
          <w:position w:val="17"/>
          <w:sz w:val="24"/>
          <w:szCs w:val="24"/>
        </w:rPr>
        <w:t>《关于印发</w:t>
      </w:r>
      <w:r>
        <w:rPr>
          <w:rFonts w:ascii="Times New Roman" w:hAnsi="Times New Roman" w:eastAsia="Times New Roman" w:cs="Times New Roman"/>
          <w:spacing w:val="-5"/>
          <w:position w:val="17"/>
          <w:sz w:val="24"/>
          <w:szCs w:val="24"/>
        </w:rPr>
        <w:t>&lt;</w:t>
      </w:r>
      <w:r>
        <w:rPr>
          <w:rFonts w:ascii="宋体" w:hAnsi="宋体" w:eastAsia="宋体" w:cs="宋体"/>
          <w:spacing w:val="-5"/>
          <w:position w:val="17"/>
          <w:sz w:val="24"/>
          <w:szCs w:val="24"/>
        </w:rPr>
        <w:t>生态保护红线生态环境监督办法（试行）</w:t>
      </w:r>
      <w:r>
        <w:rPr>
          <w:rFonts w:ascii="宋体" w:hAnsi="宋体" w:eastAsia="宋体" w:cs="宋体"/>
          <w:spacing w:val="-9"/>
          <w:position w:val="17"/>
          <w:sz w:val="24"/>
          <w:szCs w:val="24"/>
        </w:rPr>
        <w:t xml:space="preserve"> </w:t>
      </w:r>
      <w:r>
        <w:rPr>
          <w:rFonts w:ascii="Times New Roman" w:hAnsi="Times New Roman" w:eastAsia="Times New Roman" w:cs="Times New Roman"/>
          <w:spacing w:val="-5"/>
          <w:position w:val="17"/>
          <w:sz w:val="24"/>
          <w:szCs w:val="24"/>
        </w:rPr>
        <w:t>&gt;</w:t>
      </w:r>
      <w:r>
        <w:rPr>
          <w:rFonts w:ascii="宋体" w:hAnsi="宋体" w:eastAsia="宋体" w:cs="宋体"/>
          <w:spacing w:val="-5"/>
          <w:position w:val="17"/>
          <w:sz w:val="24"/>
          <w:szCs w:val="24"/>
        </w:rPr>
        <w:t>的通知》（国环</w:t>
      </w:r>
    </w:p>
    <w:p>
      <w:pPr>
        <w:spacing w:line="215" w:lineRule="auto"/>
        <w:ind w:left="39"/>
        <w:rPr>
          <w:rFonts w:ascii="宋体" w:hAnsi="宋体" w:eastAsia="宋体" w:cs="宋体"/>
          <w:sz w:val="24"/>
          <w:szCs w:val="24"/>
        </w:rPr>
      </w:pPr>
      <w:r>
        <w:rPr>
          <w:rFonts w:ascii="宋体" w:hAnsi="宋体" w:eastAsia="宋体" w:cs="宋体"/>
          <w:spacing w:val="-8"/>
          <w:sz w:val="24"/>
          <w:szCs w:val="24"/>
        </w:rPr>
        <w:t>规生态</w:t>
      </w:r>
      <w:r>
        <w:rPr>
          <w:rFonts w:ascii="Times New Roman" w:hAnsi="Times New Roman" w:eastAsia="Times New Roman" w:cs="Times New Roman"/>
          <w:spacing w:val="-8"/>
          <w:sz w:val="24"/>
          <w:szCs w:val="24"/>
        </w:rPr>
        <w:t>[2022]2</w:t>
      </w:r>
      <w:r>
        <w:rPr>
          <w:rFonts w:ascii="Times New Roman" w:hAnsi="Times New Roman" w:eastAsia="Times New Roman" w:cs="Times New Roman"/>
          <w:spacing w:val="14"/>
          <w:sz w:val="24"/>
          <w:szCs w:val="24"/>
        </w:rPr>
        <w:t xml:space="preserve"> </w:t>
      </w:r>
      <w:r>
        <w:rPr>
          <w:rFonts w:ascii="宋体" w:hAnsi="宋体" w:eastAsia="宋体" w:cs="宋体"/>
          <w:spacing w:val="-8"/>
          <w:sz w:val="24"/>
          <w:szCs w:val="24"/>
        </w:rPr>
        <w:t>号，</w:t>
      </w:r>
      <w:r>
        <w:rPr>
          <w:rFonts w:ascii="宋体" w:hAnsi="宋体" w:eastAsia="宋体" w:cs="宋体"/>
          <w:spacing w:val="-35"/>
          <w:sz w:val="24"/>
          <w:szCs w:val="24"/>
        </w:rPr>
        <w:t xml:space="preserve"> </w:t>
      </w:r>
      <w:r>
        <w:rPr>
          <w:rFonts w:ascii="Times New Roman" w:hAnsi="Times New Roman" w:eastAsia="Times New Roman" w:cs="Times New Roman"/>
          <w:spacing w:val="-8"/>
          <w:sz w:val="24"/>
          <w:szCs w:val="24"/>
        </w:rPr>
        <w:t xml:space="preserve">2022 </w:t>
      </w:r>
      <w:r>
        <w:rPr>
          <w:rFonts w:ascii="宋体" w:hAnsi="宋体" w:eastAsia="宋体" w:cs="宋体"/>
          <w:spacing w:val="-8"/>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8"/>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27  </w:t>
      </w:r>
      <w:r>
        <w:rPr>
          <w:rFonts w:ascii="宋体" w:hAnsi="宋体" w:eastAsia="宋体" w:cs="宋体"/>
          <w:spacing w:val="-8"/>
          <w:sz w:val="24"/>
          <w:szCs w:val="24"/>
        </w:rPr>
        <w:t>日）。</w:t>
      </w:r>
    </w:p>
    <w:p>
      <w:pPr>
        <w:spacing w:before="185" w:line="219" w:lineRule="auto"/>
        <w:ind w:left="34"/>
        <w:outlineLvl w:val="0"/>
        <w:rPr>
          <w:rFonts w:ascii="宋体" w:hAnsi="宋体" w:eastAsia="宋体" w:cs="宋体"/>
          <w:sz w:val="24"/>
          <w:szCs w:val="24"/>
        </w:rPr>
      </w:pPr>
      <w:r>
        <w:rPr>
          <w:rFonts w:ascii="Times New Roman" w:hAnsi="Times New Roman" w:eastAsia="Times New Roman" w:cs="Times New Roman"/>
          <w:b/>
          <w:bCs/>
          <w:sz w:val="24"/>
          <w:szCs w:val="24"/>
        </w:rPr>
        <w:t xml:space="preserve">2.1.2 </w:t>
      </w:r>
      <w:r>
        <w:rPr>
          <w:rFonts w:ascii="宋体" w:hAnsi="宋体" w:eastAsia="宋体" w:cs="宋体"/>
          <w:sz w:val="24"/>
          <w:szCs w:val="24"/>
          <w14:textOutline w14:w="4354" w14:cap="flat" w14:cmpd="sng">
            <w14:solidFill>
              <w14:srgbClr w14:val="000000"/>
            </w14:solidFill>
            <w14:prstDash w14:val="solid"/>
            <w14:miter w14:val="0"/>
          </w14:textOutline>
        </w:rPr>
        <w:t>地方有关法规和政府规范性文件</w:t>
      </w:r>
    </w:p>
    <w:p>
      <w:pPr>
        <w:spacing w:before="184" w:line="213" w:lineRule="auto"/>
        <w:ind w:left="518"/>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《浙江省大气污染防治条例》（</w:t>
      </w:r>
      <w:r>
        <w:rPr>
          <w:rFonts w:ascii="Times New Roman" w:hAnsi="Times New Roman" w:eastAsia="Times New Roman" w:cs="Times New Roman"/>
          <w:spacing w:val="-4"/>
          <w:sz w:val="24"/>
          <w:szCs w:val="24"/>
        </w:rPr>
        <w:t xml:space="preserve">2020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27  </w:t>
      </w:r>
      <w:r>
        <w:rPr>
          <w:rFonts w:ascii="宋体" w:hAnsi="宋体" w:eastAsia="宋体" w:cs="宋体"/>
          <w:spacing w:val="-5"/>
          <w:sz w:val="24"/>
          <w:szCs w:val="24"/>
        </w:rPr>
        <w:t>日修正</w:t>
      </w:r>
      <w:r>
        <w:rPr>
          <w:rFonts w:ascii="宋体" w:hAnsi="宋体" w:eastAsia="宋体" w:cs="宋体"/>
          <w:spacing w:val="-11"/>
          <w:sz w:val="24"/>
          <w:szCs w:val="24"/>
        </w:rPr>
        <w:t>）；</w:t>
      </w:r>
    </w:p>
    <w:p>
      <w:pPr>
        <w:spacing w:before="189" w:line="468" w:lineRule="exact"/>
        <w:ind w:right="64"/>
        <w:jc w:val="right"/>
        <w:rPr>
          <w:rFonts w:ascii="Times New Roman" w:hAnsi="Times New Roman" w:eastAsia="Times New Roman" w:cs="Times New Roman"/>
          <w:sz w:val="24"/>
          <w:szCs w:val="24"/>
        </w:rPr>
      </w:pPr>
      <w:r>
        <w:rPr>
          <w:rFonts w:ascii="Times New Roman" w:hAnsi="Times New Roman" w:eastAsia="Times New Roman" w:cs="Times New Roman"/>
          <w:spacing w:val="-3"/>
          <w:position w:val="17"/>
          <w:sz w:val="24"/>
          <w:szCs w:val="24"/>
        </w:rPr>
        <w:t>(2)</w:t>
      </w:r>
      <w:r>
        <w:rPr>
          <w:rFonts w:ascii="宋体" w:hAnsi="宋体" w:eastAsia="宋体" w:cs="宋体"/>
          <w:spacing w:val="-3"/>
          <w:position w:val="17"/>
          <w:sz w:val="24"/>
          <w:szCs w:val="24"/>
        </w:rPr>
        <w:t>《浙江省固体废物污染环境防治条例》（</w:t>
      </w:r>
      <w:r>
        <w:rPr>
          <w:rFonts w:ascii="Times New Roman" w:hAnsi="Times New Roman" w:eastAsia="Times New Roman" w:cs="Times New Roman"/>
          <w:spacing w:val="-3"/>
          <w:position w:val="17"/>
          <w:sz w:val="24"/>
          <w:szCs w:val="24"/>
        </w:rPr>
        <w:t>2022</w:t>
      </w:r>
      <w:r>
        <w:rPr>
          <w:rFonts w:ascii="Times New Roman" w:hAnsi="Times New Roman" w:eastAsia="Times New Roman" w:cs="Times New Roman"/>
          <w:spacing w:val="55"/>
          <w:w w:val="101"/>
          <w:position w:val="17"/>
          <w:sz w:val="24"/>
          <w:szCs w:val="24"/>
        </w:rPr>
        <w:t xml:space="preserve"> </w:t>
      </w:r>
      <w:r>
        <w:rPr>
          <w:rFonts w:ascii="宋体" w:hAnsi="宋体" w:eastAsia="宋体" w:cs="宋体"/>
          <w:spacing w:val="-3"/>
          <w:position w:val="17"/>
          <w:sz w:val="24"/>
          <w:szCs w:val="24"/>
        </w:rPr>
        <w:t xml:space="preserve">年 </w:t>
      </w:r>
      <w:r>
        <w:rPr>
          <w:rFonts w:ascii="Times New Roman" w:hAnsi="Times New Roman" w:eastAsia="Times New Roman" w:cs="Times New Roman"/>
          <w:spacing w:val="-3"/>
          <w:position w:val="17"/>
          <w:sz w:val="24"/>
          <w:szCs w:val="24"/>
        </w:rPr>
        <w:t>9</w:t>
      </w:r>
      <w:r>
        <w:rPr>
          <w:rFonts w:ascii="Times New Roman" w:hAnsi="Times New Roman" w:eastAsia="Times New Roman" w:cs="Times New Roman"/>
          <w:spacing w:val="48"/>
          <w:w w:val="101"/>
          <w:position w:val="17"/>
          <w:sz w:val="24"/>
          <w:szCs w:val="24"/>
        </w:rPr>
        <w:t xml:space="preserve"> </w:t>
      </w:r>
      <w:r>
        <w:rPr>
          <w:rFonts w:ascii="宋体" w:hAnsi="宋体" w:eastAsia="宋体" w:cs="宋体"/>
          <w:spacing w:val="-3"/>
          <w:position w:val="17"/>
          <w:sz w:val="24"/>
          <w:szCs w:val="24"/>
        </w:rPr>
        <w:t xml:space="preserve">月 </w:t>
      </w:r>
      <w:r>
        <w:rPr>
          <w:rFonts w:ascii="Times New Roman" w:hAnsi="Times New Roman" w:eastAsia="Times New Roman" w:cs="Times New Roman"/>
          <w:spacing w:val="-3"/>
          <w:position w:val="17"/>
          <w:sz w:val="24"/>
          <w:szCs w:val="24"/>
        </w:rPr>
        <w:t xml:space="preserve">29  </w:t>
      </w:r>
      <w:r>
        <w:rPr>
          <w:rFonts w:ascii="宋体" w:hAnsi="宋体" w:eastAsia="宋体" w:cs="宋体"/>
          <w:spacing w:val="-3"/>
          <w:position w:val="17"/>
          <w:sz w:val="24"/>
          <w:szCs w:val="24"/>
        </w:rPr>
        <w:t>日修订，</w:t>
      </w:r>
      <w:r>
        <w:rPr>
          <w:rFonts w:ascii="Times New Roman" w:hAnsi="Times New Roman" w:eastAsia="Times New Roman" w:cs="Times New Roman"/>
          <w:spacing w:val="-3"/>
          <w:position w:val="17"/>
          <w:sz w:val="24"/>
          <w:szCs w:val="24"/>
        </w:rPr>
        <w:t>2023</w:t>
      </w:r>
    </w:p>
    <w:p>
      <w:pPr>
        <w:spacing w:line="219" w:lineRule="auto"/>
        <w:ind w:left="39"/>
        <w:rPr>
          <w:rFonts w:ascii="宋体" w:hAnsi="宋体" w:eastAsia="宋体" w:cs="宋体"/>
          <w:sz w:val="24"/>
          <w:szCs w:val="24"/>
        </w:rPr>
      </w:pPr>
      <w:r>
        <w:rPr>
          <w:rFonts w:ascii="宋体" w:hAnsi="宋体" w:eastAsia="宋体" w:cs="宋体"/>
          <w:spacing w:val="-17"/>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17"/>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17"/>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7"/>
          <w:sz w:val="24"/>
          <w:szCs w:val="24"/>
        </w:rPr>
        <w:t xml:space="preserve">1  </w:t>
      </w:r>
      <w:r>
        <w:rPr>
          <w:rFonts w:ascii="宋体" w:hAnsi="宋体" w:eastAsia="宋体" w:cs="宋体"/>
          <w:spacing w:val="-17"/>
          <w:sz w:val="24"/>
          <w:szCs w:val="24"/>
        </w:rPr>
        <w:t>日起施行</w:t>
      </w:r>
      <w:r>
        <w:rPr>
          <w:rFonts w:ascii="宋体" w:hAnsi="宋体" w:eastAsia="宋体" w:cs="宋体"/>
          <w:spacing w:val="-6"/>
          <w:sz w:val="24"/>
          <w:szCs w:val="24"/>
        </w:rPr>
        <w:t>）；</w:t>
      </w:r>
    </w:p>
    <w:p>
      <w:pPr>
        <w:spacing w:before="181" w:line="468" w:lineRule="exact"/>
        <w:ind w:left="518"/>
        <w:rPr>
          <w:rFonts w:ascii="宋体" w:hAnsi="宋体" w:eastAsia="宋体" w:cs="宋体"/>
          <w:sz w:val="24"/>
          <w:szCs w:val="24"/>
        </w:rPr>
      </w:pPr>
      <w:r>
        <w:rPr>
          <w:rFonts w:ascii="Times New Roman" w:hAnsi="Times New Roman" w:eastAsia="Times New Roman" w:cs="Times New Roman"/>
          <w:spacing w:val="-4"/>
          <w:position w:val="17"/>
          <w:sz w:val="24"/>
          <w:szCs w:val="24"/>
        </w:rPr>
        <w:t>(3)</w:t>
      </w:r>
      <w:r>
        <w:rPr>
          <w:rFonts w:ascii="宋体" w:hAnsi="宋体" w:eastAsia="宋体" w:cs="宋体"/>
          <w:spacing w:val="-4"/>
          <w:position w:val="17"/>
          <w:sz w:val="24"/>
          <w:szCs w:val="24"/>
        </w:rPr>
        <w:t>《浙江省水污染防治条例》（</w:t>
      </w:r>
      <w:r>
        <w:rPr>
          <w:rFonts w:ascii="Times New Roman" w:hAnsi="Times New Roman" w:eastAsia="Times New Roman" w:cs="Times New Roman"/>
          <w:spacing w:val="-4"/>
          <w:position w:val="17"/>
          <w:sz w:val="24"/>
          <w:szCs w:val="24"/>
        </w:rPr>
        <w:t>202</w:t>
      </w:r>
      <w:r>
        <w:rPr>
          <w:rFonts w:ascii="Times New Roman" w:hAnsi="Times New Roman" w:eastAsia="Times New Roman" w:cs="Times New Roman"/>
          <w:spacing w:val="-5"/>
          <w:position w:val="17"/>
          <w:sz w:val="24"/>
          <w:szCs w:val="24"/>
        </w:rPr>
        <w:t xml:space="preserve">0 </w:t>
      </w:r>
      <w:r>
        <w:rPr>
          <w:rFonts w:ascii="宋体" w:hAnsi="宋体" w:eastAsia="宋体" w:cs="宋体"/>
          <w:spacing w:val="-5"/>
          <w:position w:val="17"/>
          <w:sz w:val="24"/>
          <w:szCs w:val="24"/>
        </w:rPr>
        <w:t>年</w:t>
      </w:r>
      <w:r>
        <w:rPr>
          <w:rFonts w:ascii="宋体" w:hAnsi="宋体" w:eastAsia="宋体" w:cs="宋体"/>
          <w:spacing w:val="-31"/>
          <w:position w:val="17"/>
          <w:sz w:val="24"/>
          <w:szCs w:val="24"/>
        </w:rPr>
        <w:t xml:space="preserve"> </w:t>
      </w:r>
      <w:r>
        <w:rPr>
          <w:rFonts w:ascii="Times New Roman" w:hAnsi="Times New Roman" w:eastAsia="Times New Roman" w:cs="Times New Roman"/>
          <w:spacing w:val="-5"/>
          <w:position w:val="17"/>
          <w:sz w:val="24"/>
          <w:szCs w:val="24"/>
        </w:rPr>
        <w:t>11</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5"/>
          <w:position w:val="17"/>
          <w:sz w:val="24"/>
          <w:szCs w:val="24"/>
        </w:rPr>
        <w:t>月</w:t>
      </w:r>
      <w:r>
        <w:rPr>
          <w:rFonts w:ascii="宋体" w:hAnsi="宋体" w:eastAsia="宋体" w:cs="宋体"/>
          <w:spacing w:val="-55"/>
          <w:position w:val="17"/>
          <w:sz w:val="24"/>
          <w:szCs w:val="24"/>
        </w:rPr>
        <w:t xml:space="preserve"> </w:t>
      </w:r>
      <w:r>
        <w:rPr>
          <w:rFonts w:ascii="Times New Roman" w:hAnsi="Times New Roman" w:eastAsia="Times New Roman" w:cs="Times New Roman"/>
          <w:spacing w:val="-5"/>
          <w:position w:val="17"/>
          <w:sz w:val="24"/>
          <w:szCs w:val="24"/>
        </w:rPr>
        <w:t xml:space="preserve">27  </w:t>
      </w:r>
      <w:r>
        <w:rPr>
          <w:rFonts w:ascii="宋体" w:hAnsi="宋体" w:eastAsia="宋体" w:cs="宋体"/>
          <w:spacing w:val="-5"/>
          <w:position w:val="17"/>
          <w:sz w:val="24"/>
          <w:szCs w:val="24"/>
        </w:rPr>
        <w:t>日修正</w:t>
      </w:r>
      <w:r>
        <w:rPr>
          <w:rFonts w:ascii="宋体" w:hAnsi="宋体" w:eastAsia="宋体" w:cs="宋体"/>
          <w:spacing w:val="-11"/>
          <w:position w:val="17"/>
          <w:sz w:val="24"/>
          <w:szCs w:val="24"/>
        </w:rPr>
        <w:t>）；</w:t>
      </w:r>
    </w:p>
    <w:p>
      <w:pPr>
        <w:spacing w:before="1" w:line="212" w:lineRule="auto"/>
        <w:ind w:left="518"/>
        <w:rPr>
          <w:rFonts w:ascii="宋体" w:hAnsi="宋体" w:eastAsia="宋体" w:cs="宋体"/>
          <w:sz w:val="24"/>
          <w:szCs w:val="24"/>
        </w:rPr>
      </w:pPr>
      <w:r>
        <w:rPr>
          <w:rFonts w:ascii="Times New Roman" w:hAnsi="Times New Roman" w:eastAsia="Times New Roman" w:cs="Times New Roman"/>
          <w:spacing w:val="-5"/>
          <w:sz w:val="24"/>
          <w:szCs w:val="24"/>
        </w:rPr>
        <w:t>(4)</w:t>
      </w:r>
      <w:r>
        <w:rPr>
          <w:rFonts w:ascii="宋体" w:hAnsi="宋体" w:eastAsia="宋体" w:cs="宋体"/>
          <w:spacing w:val="-5"/>
          <w:sz w:val="24"/>
          <w:szCs w:val="24"/>
        </w:rPr>
        <w:t>《浙江省水土保持条例》（</w:t>
      </w:r>
      <w:r>
        <w:rPr>
          <w:rFonts w:ascii="Times New Roman" w:hAnsi="Times New Roman" w:eastAsia="Times New Roman" w:cs="Times New Roman"/>
          <w:spacing w:val="-5"/>
          <w:sz w:val="24"/>
          <w:szCs w:val="24"/>
        </w:rPr>
        <w:t xml:space="preserve">2020 </w:t>
      </w:r>
      <w:r>
        <w:rPr>
          <w:rFonts w:ascii="宋体" w:hAnsi="宋体" w:eastAsia="宋体" w:cs="宋体"/>
          <w:spacing w:val="-5"/>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27  </w:t>
      </w:r>
      <w:r>
        <w:rPr>
          <w:rFonts w:ascii="宋体" w:hAnsi="宋体" w:eastAsia="宋体" w:cs="宋体"/>
          <w:spacing w:val="-5"/>
          <w:sz w:val="24"/>
          <w:szCs w:val="24"/>
        </w:rPr>
        <w:t>日修正</w:t>
      </w:r>
      <w:r>
        <w:rPr>
          <w:rFonts w:ascii="宋体" w:hAnsi="宋体" w:eastAsia="宋体" w:cs="宋体"/>
          <w:spacing w:val="-4"/>
          <w:sz w:val="24"/>
          <w:szCs w:val="24"/>
        </w:rPr>
        <w:t>）；</w:t>
      </w:r>
    </w:p>
    <w:p>
      <w:pPr>
        <w:spacing w:before="189" w:line="213" w:lineRule="auto"/>
        <w:ind w:left="518"/>
        <w:rPr>
          <w:rFonts w:ascii="宋体" w:hAnsi="宋体" w:eastAsia="宋体" w:cs="宋体"/>
          <w:sz w:val="24"/>
          <w:szCs w:val="24"/>
        </w:rPr>
      </w:pPr>
      <w:r>
        <w:rPr>
          <w:rFonts w:ascii="Times New Roman" w:hAnsi="Times New Roman" w:eastAsia="Times New Roman" w:cs="Times New Roman"/>
          <w:spacing w:val="-4"/>
          <w:sz w:val="24"/>
          <w:szCs w:val="24"/>
        </w:rPr>
        <w:t>(5)</w:t>
      </w:r>
      <w:r>
        <w:rPr>
          <w:rFonts w:ascii="宋体" w:hAnsi="宋体" w:eastAsia="宋体" w:cs="宋体"/>
          <w:spacing w:val="-4"/>
          <w:sz w:val="24"/>
          <w:szCs w:val="24"/>
        </w:rPr>
        <w:t>《浙江省风景名胜区条例》（</w:t>
      </w:r>
      <w:r>
        <w:rPr>
          <w:rFonts w:ascii="Times New Roman" w:hAnsi="Times New Roman" w:eastAsia="Times New Roman" w:cs="Times New Roman"/>
          <w:spacing w:val="-4"/>
          <w:sz w:val="24"/>
          <w:szCs w:val="24"/>
        </w:rPr>
        <w:t xml:space="preserve">2014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28  </w:t>
      </w:r>
      <w:r>
        <w:rPr>
          <w:rFonts w:ascii="宋体" w:hAnsi="宋体" w:eastAsia="宋体" w:cs="宋体"/>
          <w:spacing w:val="-4"/>
          <w:sz w:val="24"/>
          <w:szCs w:val="24"/>
        </w:rPr>
        <w:t>日</w:t>
      </w:r>
      <w:r>
        <w:rPr>
          <w:rFonts w:ascii="宋体" w:hAnsi="宋体" w:eastAsia="宋体" w:cs="宋体"/>
          <w:spacing w:val="-14"/>
          <w:sz w:val="24"/>
          <w:szCs w:val="24"/>
        </w:rPr>
        <w:t>）；</w:t>
      </w:r>
    </w:p>
    <w:p>
      <w:pPr>
        <w:spacing w:before="191" w:line="466" w:lineRule="exact"/>
        <w:ind w:right="64"/>
        <w:jc w:val="right"/>
        <w:rPr>
          <w:rFonts w:ascii="Times New Roman" w:hAnsi="Times New Roman" w:eastAsia="Times New Roman" w:cs="Times New Roman"/>
          <w:sz w:val="24"/>
          <w:szCs w:val="24"/>
        </w:rPr>
      </w:pPr>
      <w:r>
        <w:rPr>
          <w:rFonts w:ascii="Times New Roman" w:hAnsi="Times New Roman" w:eastAsia="Times New Roman" w:cs="Times New Roman"/>
          <w:spacing w:val="-7"/>
          <w:position w:val="17"/>
          <w:sz w:val="24"/>
          <w:szCs w:val="24"/>
        </w:rPr>
        <w:t>(6)</w:t>
      </w:r>
      <w:r>
        <w:rPr>
          <w:rFonts w:ascii="宋体" w:hAnsi="宋体" w:eastAsia="宋体" w:cs="宋体"/>
          <w:spacing w:val="-7"/>
          <w:position w:val="17"/>
          <w:sz w:val="24"/>
          <w:szCs w:val="24"/>
        </w:rPr>
        <w:t>《浙江省生态环境保护</w:t>
      </w:r>
      <w:r>
        <w:rPr>
          <w:rFonts w:ascii="Times New Roman" w:hAnsi="Times New Roman" w:eastAsia="Times New Roman" w:cs="Times New Roman"/>
          <w:spacing w:val="-7"/>
          <w:position w:val="17"/>
          <w:sz w:val="24"/>
          <w:szCs w:val="24"/>
        </w:rPr>
        <w:t>“</w:t>
      </w:r>
      <w:r>
        <w:rPr>
          <w:rFonts w:ascii="宋体" w:hAnsi="宋体" w:eastAsia="宋体" w:cs="宋体"/>
          <w:spacing w:val="-7"/>
          <w:position w:val="17"/>
          <w:sz w:val="24"/>
          <w:szCs w:val="24"/>
        </w:rPr>
        <w:t>十四五</w:t>
      </w:r>
      <w:r>
        <w:rPr>
          <w:rFonts w:ascii="Times New Roman" w:hAnsi="Times New Roman" w:eastAsia="Times New Roman" w:cs="Times New Roman"/>
          <w:spacing w:val="-7"/>
          <w:position w:val="17"/>
          <w:sz w:val="24"/>
          <w:szCs w:val="24"/>
        </w:rPr>
        <w:t>”</w:t>
      </w:r>
      <w:r>
        <w:rPr>
          <w:rFonts w:ascii="宋体" w:hAnsi="宋体" w:eastAsia="宋体" w:cs="宋体"/>
          <w:spacing w:val="-7"/>
          <w:position w:val="17"/>
          <w:sz w:val="24"/>
          <w:szCs w:val="24"/>
        </w:rPr>
        <w:t>规划》（浙发改规</w:t>
      </w:r>
      <w:r>
        <w:rPr>
          <w:rFonts w:ascii="宋体" w:hAnsi="宋体" w:eastAsia="宋体" w:cs="宋体"/>
          <w:spacing w:val="-8"/>
          <w:position w:val="17"/>
          <w:sz w:val="24"/>
          <w:szCs w:val="24"/>
        </w:rPr>
        <w:t>划〔</w:t>
      </w:r>
      <w:r>
        <w:rPr>
          <w:rFonts w:ascii="Times New Roman" w:hAnsi="Times New Roman" w:eastAsia="Times New Roman" w:cs="Times New Roman"/>
          <w:spacing w:val="-8"/>
          <w:position w:val="17"/>
          <w:sz w:val="24"/>
          <w:szCs w:val="24"/>
        </w:rPr>
        <w:t>2021</w:t>
      </w: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204</w:t>
      </w:r>
      <w:r>
        <w:rPr>
          <w:rFonts w:ascii="Times New Roman" w:hAnsi="Times New Roman" w:eastAsia="Times New Roman" w:cs="Times New Roman"/>
          <w:spacing w:val="15"/>
          <w:position w:val="17"/>
          <w:sz w:val="24"/>
          <w:szCs w:val="24"/>
        </w:rPr>
        <w:t xml:space="preserve"> </w:t>
      </w:r>
      <w:r>
        <w:rPr>
          <w:rFonts w:ascii="宋体" w:hAnsi="宋体" w:eastAsia="宋体" w:cs="宋体"/>
          <w:spacing w:val="-8"/>
          <w:position w:val="17"/>
          <w:sz w:val="24"/>
          <w:szCs w:val="24"/>
        </w:rPr>
        <w:t>号，</w:t>
      </w:r>
      <w:r>
        <w:rPr>
          <w:rFonts w:ascii="Times New Roman" w:hAnsi="Times New Roman" w:eastAsia="Times New Roman" w:cs="Times New Roman"/>
          <w:spacing w:val="-8"/>
          <w:position w:val="17"/>
          <w:sz w:val="24"/>
          <w:szCs w:val="24"/>
        </w:rPr>
        <w:t>2021</w:t>
      </w:r>
    </w:p>
    <w:p>
      <w:pPr>
        <w:spacing w:before="1" w:line="219" w:lineRule="auto"/>
        <w:ind w:left="39"/>
        <w:rPr>
          <w:rFonts w:ascii="宋体" w:hAnsi="宋体" w:eastAsia="宋体" w:cs="宋体"/>
          <w:sz w:val="24"/>
          <w:szCs w:val="24"/>
        </w:rPr>
      </w:pPr>
      <w:r>
        <w:rPr>
          <w:rFonts w:ascii="宋体" w:hAnsi="宋体" w:eastAsia="宋体" w:cs="宋体"/>
          <w:spacing w:val="-14"/>
          <w:sz w:val="24"/>
          <w:szCs w:val="24"/>
        </w:rPr>
        <w:t>年</w:t>
      </w:r>
      <w:r>
        <w:rPr>
          <w:rFonts w:ascii="宋体" w:hAnsi="宋体" w:eastAsia="宋体" w:cs="宋体"/>
          <w:spacing w:val="-48"/>
          <w:sz w:val="24"/>
          <w:szCs w:val="24"/>
        </w:rPr>
        <w:t xml:space="preserve"> </w:t>
      </w:r>
      <w:r>
        <w:rPr>
          <w:rFonts w:ascii="Times New Roman" w:hAnsi="Times New Roman" w:eastAsia="Times New Roman" w:cs="Times New Roman"/>
          <w:spacing w:val="-14"/>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14"/>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14"/>
          <w:sz w:val="24"/>
          <w:szCs w:val="24"/>
        </w:rPr>
        <w:t>31</w:t>
      </w:r>
      <w:r>
        <w:rPr>
          <w:rFonts w:ascii="Times New Roman" w:hAnsi="Times New Roman" w:eastAsia="Times New Roman" w:cs="Times New Roman"/>
          <w:spacing w:val="51"/>
          <w:sz w:val="24"/>
          <w:szCs w:val="24"/>
        </w:rPr>
        <w:t xml:space="preserve"> </w:t>
      </w:r>
      <w:r>
        <w:rPr>
          <w:rFonts w:ascii="宋体" w:hAnsi="宋体" w:eastAsia="宋体" w:cs="宋体"/>
          <w:spacing w:val="-14"/>
          <w:sz w:val="24"/>
          <w:szCs w:val="24"/>
        </w:rPr>
        <w:t>日</w:t>
      </w:r>
      <w:r>
        <w:rPr>
          <w:rFonts w:ascii="宋体" w:hAnsi="宋体" w:eastAsia="宋体" w:cs="宋体"/>
          <w:spacing w:val="-18"/>
          <w:sz w:val="24"/>
          <w:szCs w:val="24"/>
        </w:rPr>
        <w:t>）；</w:t>
      </w:r>
    </w:p>
    <w:p>
      <w:pPr>
        <w:spacing w:before="182" w:line="466" w:lineRule="exact"/>
        <w:jc w:val="right"/>
        <w:rPr>
          <w:rFonts w:ascii="宋体" w:hAnsi="宋体" w:eastAsia="宋体" w:cs="宋体"/>
          <w:sz w:val="24"/>
          <w:szCs w:val="24"/>
        </w:rPr>
      </w:pPr>
      <w:r>
        <w:rPr>
          <w:rFonts w:ascii="Times New Roman" w:hAnsi="Times New Roman" w:eastAsia="Times New Roman" w:cs="Times New Roman"/>
          <w:spacing w:val="-8"/>
          <w:position w:val="17"/>
          <w:sz w:val="24"/>
          <w:szCs w:val="24"/>
        </w:rPr>
        <w:t>(7)</w:t>
      </w:r>
      <w:r>
        <w:rPr>
          <w:rFonts w:ascii="宋体" w:hAnsi="宋体" w:eastAsia="宋体" w:cs="宋体"/>
          <w:spacing w:val="-8"/>
          <w:position w:val="17"/>
          <w:sz w:val="24"/>
          <w:szCs w:val="24"/>
        </w:rPr>
        <w:t>《浙江省噪声污染防治行动计划（</w:t>
      </w:r>
      <w:r>
        <w:rPr>
          <w:rFonts w:ascii="Times New Roman" w:hAnsi="Times New Roman" w:eastAsia="Times New Roman" w:cs="Times New Roman"/>
          <w:spacing w:val="-8"/>
          <w:position w:val="17"/>
          <w:sz w:val="24"/>
          <w:szCs w:val="24"/>
        </w:rPr>
        <w:t>20</w:t>
      </w:r>
      <w:r>
        <w:rPr>
          <w:rFonts w:ascii="Times New Roman" w:hAnsi="Times New Roman" w:eastAsia="Times New Roman" w:cs="Times New Roman"/>
          <w:spacing w:val="-9"/>
          <w:position w:val="17"/>
          <w:sz w:val="24"/>
          <w:szCs w:val="24"/>
        </w:rPr>
        <w:t xml:space="preserve">23-2025 </w:t>
      </w:r>
      <w:r>
        <w:rPr>
          <w:rFonts w:ascii="宋体" w:hAnsi="宋体" w:eastAsia="宋体" w:cs="宋体"/>
          <w:spacing w:val="-9"/>
          <w:position w:val="17"/>
          <w:sz w:val="24"/>
          <w:szCs w:val="24"/>
        </w:rPr>
        <w:t>年）》（</w:t>
      </w:r>
      <w:r>
        <w:rPr>
          <w:rFonts w:ascii="Times New Roman" w:hAnsi="Times New Roman" w:eastAsia="Times New Roman" w:cs="Times New Roman"/>
          <w:spacing w:val="-9"/>
          <w:position w:val="17"/>
          <w:sz w:val="24"/>
          <w:szCs w:val="24"/>
        </w:rPr>
        <w:t xml:space="preserve">2023 </w:t>
      </w:r>
      <w:r>
        <w:rPr>
          <w:rFonts w:ascii="宋体" w:hAnsi="宋体" w:eastAsia="宋体" w:cs="宋体"/>
          <w:spacing w:val="-9"/>
          <w:position w:val="17"/>
          <w:sz w:val="24"/>
          <w:szCs w:val="24"/>
        </w:rPr>
        <w:t>年</w:t>
      </w:r>
      <w:r>
        <w:rPr>
          <w:rFonts w:ascii="宋体" w:hAnsi="宋体" w:eastAsia="宋体" w:cs="宋体"/>
          <w:spacing w:val="-45"/>
          <w:position w:val="17"/>
          <w:sz w:val="24"/>
          <w:szCs w:val="24"/>
        </w:rPr>
        <w:t xml:space="preserve"> </w:t>
      </w:r>
      <w:r>
        <w:rPr>
          <w:rFonts w:ascii="Times New Roman" w:hAnsi="Times New Roman" w:eastAsia="Times New Roman" w:cs="Times New Roman"/>
          <w:spacing w:val="-9"/>
          <w:position w:val="17"/>
          <w:sz w:val="24"/>
          <w:szCs w:val="24"/>
        </w:rPr>
        <w:t>8</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9"/>
          <w:position w:val="17"/>
          <w:sz w:val="24"/>
          <w:szCs w:val="24"/>
        </w:rPr>
        <w:t>月</w:t>
      </w:r>
      <w:r>
        <w:rPr>
          <w:rFonts w:ascii="宋体" w:hAnsi="宋体" w:eastAsia="宋体" w:cs="宋体"/>
          <w:spacing w:val="-50"/>
          <w:position w:val="17"/>
          <w:sz w:val="24"/>
          <w:szCs w:val="24"/>
        </w:rPr>
        <w:t xml:space="preserve"> </w:t>
      </w:r>
      <w:r>
        <w:rPr>
          <w:rFonts w:ascii="Times New Roman" w:hAnsi="Times New Roman" w:eastAsia="Times New Roman" w:cs="Times New Roman"/>
          <w:spacing w:val="-9"/>
          <w:position w:val="17"/>
          <w:sz w:val="24"/>
          <w:szCs w:val="24"/>
        </w:rPr>
        <w:t xml:space="preserve">30  </w:t>
      </w:r>
      <w:r>
        <w:rPr>
          <w:rFonts w:ascii="宋体" w:hAnsi="宋体" w:eastAsia="宋体" w:cs="宋体"/>
          <w:spacing w:val="-9"/>
          <w:position w:val="17"/>
          <w:sz w:val="24"/>
          <w:szCs w:val="24"/>
        </w:rPr>
        <w:t>日</w:t>
      </w:r>
      <w:r>
        <w:rPr>
          <w:rFonts w:ascii="宋体" w:hAnsi="宋体" w:eastAsia="宋体" w:cs="宋体"/>
          <w:spacing w:val="-56"/>
          <w:position w:val="17"/>
          <w:sz w:val="24"/>
          <w:szCs w:val="24"/>
        </w:rPr>
        <w:t>）；</w:t>
      </w:r>
    </w:p>
    <w:p>
      <w:pPr>
        <w:spacing w:before="1" w:line="212" w:lineRule="auto"/>
        <w:ind w:left="518"/>
        <w:rPr>
          <w:rFonts w:ascii="宋体" w:hAnsi="宋体" w:eastAsia="宋体" w:cs="宋体"/>
          <w:sz w:val="24"/>
          <w:szCs w:val="24"/>
        </w:rPr>
      </w:pPr>
      <w:r>
        <w:rPr>
          <w:rFonts w:ascii="Times New Roman" w:hAnsi="Times New Roman" w:eastAsia="Times New Roman" w:cs="Times New Roman"/>
          <w:spacing w:val="-4"/>
          <w:sz w:val="24"/>
          <w:szCs w:val="24"/>
        </w:rPr>
        <w:t>(8)</w:t>
      </w:r>
      <w:r>
        <w:rPr>
          <w:rFonts w:ascii="宋体" w:hAnsi="宋体" w:eastAsia="宋体" w:cs="宋体"/>
          <w:spacing w:val="-4"/>
          <w:sz w:val="24"/>
          <w:szCs w:val="24"/>
        </w:rPr>
        <w:t>《关于切实加强建设项目环保</w:t>
      </w:r>
      <w:r>
        <w:rPr>
          <w:rFonts w:ascii="Times New Roman" w:hAnsi="Times New Roman" w:eastAsia="Times New Roman" w:cs="Times New Roman"/>
          <w:spacing w:val="-4"/>
          <w:sz w:val="24"/>
          <w:szCs w:val="24"/>
        </w:rPr>
        <w:t>“</w:t>
      </w:r>
      <w:r>
        <w:rPr>
          <w:rFonts w:ascii="宋体" w:hAnsi="宋体" w:eastAsia="宋体" w:cs="宋体"/>
          <w:spacing w:val="-4"/>
          <w:sz w:val="24"/>
          <w:szCs w:val="24"/>
        </w:rPr>
        <w:t>三同时</w:t>
      </w:r>
      <w:r>
        <w:rPr>
          <w:rFonts w:ascii="Times New Roman" w:hAnsi="Times New Roman" w:eastAsia="Times New Roman" w:cs="Times New Roman"/>
          <w:spacing w:val="-4"/>
          <w:sz w:val="24"/>
          <w:szCs w:val="24"/>
        </w:rPr>
        <w:t>”</w:t>
      </w:r>
      <w:r>
        <w:rPr>
          <w:rFonts w:ascii="宋体" w:hAnsi="宋体" w:eastAsia="宋体" w:cs="宋体"/>
          <w:spacing w:val="-4"/>
          <w:sz w:val="24"/>
          <w:szCs w:val="24"/>
        </w:rPr>
        <w:t>监督管理工作的通知》（浙江省环</w:t>
      </w:r>
    </w:p>
    <w:p>
      <w:pPr>
        <w:spacing w:before="192" w:line="220" w:lineRule="auto"/>
        <w:ind w:left="39"/>
        <w:rPr>
          <w:rFonts w:ascii="宋体" w:hAnsi="宋体" w:eastAsia="宋体" w:cs="宋体"/>
          <w:sz w:val="24"/>
          <w:szCs w:val="24"/>
        </w:rPr>
      </w:pPr>
      <w:r>
        <w:rPr>
          <w:rFonts w:ascii="宋体" w:hAnsi="宋体" w:eastAsia="宋体" w:cs="宋体"/>
          <w:spacing w:val="-2"/>
          <w:sz w:val="24"/>
          <w:szCs w:val="24"/>
        </w:rPr>
        <w:t>境保护厅，浙环发〔</w:t>
      </w:r>
      <w:r>
        <w:rPr>
          <w:rFonts w:ascii="Times New Roman" w:hAnsi="Times New Roman" w:eastAsia="Times New Roman" w:cs="Times New Roman"/>
          <w:spacing w:val="-2"/>
          <w:sz w:val="24"/>
          <w:szCs w:val="24"/>
        </w:rPr>
        <w:t>2014</w:t>
      </w:r>
      <w:r>
        <w:rPr>
          <w:rFonts w:ascii="宋体" w:hAnsi="宋体" w:eastAsia="宋体" w:cs="宋体"/>
          <w:spacing w:val="-2"/>
          <w:sz w:val="24"/>
          <w:szCs w:val="24"/>
        </w:rPr>
        <w:t>〕</w:t>
      </w:r>
      <w:r>
        <w:rPr>
          <w:rFonts w:ascii="Times New Roman" w:hAnsi="Times New Roman" w:eastAsia="Times New Roman" w:cs="Times New Roman"/>
          <w:spacing w:val="-2"/>
          <w:sz w:val="24"/>
          <w:szCs w:val="24"/>
        </w:rPr>
        <w:t>26</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w:t>
      </w:r>
      <w:r>
        <w:rPr>
          <w:rFonts w:ascii="宋体" w:hAnsi="宋体" w:eastAsia="宋体" w:cs="宋体"/>
          <w:spacing w:val="-12"/>
          <w:sz w:val="24"/>
          <w:szCs w:val="24"/>
        </w:rPr>
        <w:t>）；</w:t>
      </w:r>
    </w:p>
    <w:p>
      <w:pPr>
        <w:spacing w:before="179" w:line="213" w:lineRule="auto"/>
        <w:ind w:left="518"/>
        <w:rPr>
          <w:rFonts w:ascii="宋体" w:hAnsi="宋体" w:eastAsia="宋体" w:cs="宋体"/>
          <w:sz w:val="24"/>
          <w:szCs w:val="24"/>
        </w:rPr>
      </w:pPr>
      <w:r>
        <w:rPr>
          <w:rFonts w:ascii="Times New Roman" w:hAnsi="Times New Roman" w:eastAsia="Times New Roman" w:cs="Times New Roman"/>
          <w:spacing w:val="-1"/>
          <w:sz w:val="24"/>
          <w:szCs w:val="24"/>
        </w:rPr>
        <w:t>(9)</w:t>
      </w:r>
      <w:r>
        <w:rPr>
          <w:rFonts w:ascii="宋体" w:hAnsi="宋体" w:eastAsia="宋体" w:cs="宋体"/>
          <w:spacing w:val="-1"/>
          <w:sz w:val="24"/>
          <w:szCs w:val="24"/>
        </w:rPr>
        <w:t>《浙江省生态环境厅关于发布</w:t>
      </w:r>
      <w:r>
        <w:rPr>
          <w:rFonts w:ascii="Times New Roman" w:hAnsi="Times New Roman" w:eastAsia="Times New Roman" w:cs="Times New Roman"/>
          <w:spacing w:val="-1"/>
          <w:sz w:val="24"/>
          <w:szCs w:val="24"/>
        </w:rPr>
        <w:t>&lt;</w:t>
      </w:r>
      <w:r>
        <w:rPr>
          <w:rFonts w:ascii="宋体" w:hAnsi="宋体" w:eastAsia="宋体" w:cs="宋体"/>
          <w:spacing w:val="-1"/>
          <w:sz w:val="24"/>
          <w:szCs w:val="24"/>
        </w:rPr>
        <w:t>省生态环境主管部门负责审批环</w:t>
      </w:r>
      <w:r>
        <w:rPr>
          <w:rFonts w:ascii="宋体" w:hAnsi="宋体" w:eastAsia="宋体" w:cs="宋体"/>
          <w:spacing w:val="-2"/>
          <w:sz w:val="24"/>
          <w:szCs w:val="24"/>
        </w:rPr>
        <w:t>境影响评</w:t>
      </w:r>
    </w:p>
    <w:p>
      <w:pPr>
        <w:spacing w:line="213" w:lineRule="auto"/>
        <w:rPr>
          <w:rFonts w:ascii="宋体" w:hAnsi="宋体" w:eastAsia="宋体" w:cs="宋体"/>
          <w:sz w:val="24"/>
          <w:szCs w:val="24"/>
        </w:rPr>
        <w:sectPr>
          <w:headerReference r:id="rId25" w:type="default"/>
          <w:footerReference r:id="rId26" w:type="default"/>
          <w:pgSz w:w="11907" w:h="16839"/>
          <w:pgMar w:top="1118" w:right="1731" w:bottom="1184" w:left="1771" w:header="879" w:footer="1024" w:gutter="0"/>
          <w:cols w:space="720" w:num="1"/>
        </w:sectPr>
      </w:pPr>
    </w:p>
    <w:p>
      <w:pPr>
        <w:pStyle w:val="2"/>
        <w:spacing w:line="279" w:lineRule="auto"/>
      </w:pPr>
    </w:p>
    <w:p>
      <w:pPr>
        <w:spacing w:before="78" w:line="215" w:lineRule="auto"/>
        <w:ind w:left="39"/>
        <w:rPr>
          <w:rFonts w:ascii="宋体" w:hAnsi="宋体" w:eastAsia="宋体" w:cs="宋体"/>
          <w:sz w:val="24"/>
          <w:szCs w:val="24"/>
        </w:rPr>
      </w:pPr>
      <w:r>
        <w:rPr>
          <w:rFonts w:ascii="宋体" w:hAnsi="宋体" w:eastAsia="宋体" w:cs="宋体"/>
          <w:spacing w:val="-3"/>
          <w:sz w:val="24"/>
          <w:szCs w:val="24"/>
        </w:rPr>
        <w:t>价文件的建设项目清单（</w:t>
      </w:r>
      <w:r>
        <w:rPr>
          <w:rFonts w:ascii="Times New Roman" w:hAnsi="Times New Roman" w:eastAsia="Times New Roman" w:cs="Times New Roman"/>
          <w:spacing w:val="-3"/>
          <w:sz w:val="24"/>
          <w:szCs w:val="24"/>
        </w:rPr>
        <w:t xml:space="preserve">2023 </w:t>
      </w:r>
      <w:r>
        <w:rPr>
          <w:rFonts w:ascii="宋体" w:hAnsi="宋体" w:eastAsia="宋体" w:cs="宋体"/>
          <w:spacing w:val="-3"/>
          <w:sz w:val="24"/>
          <w:szCs w:val="24"/>
        </w:rPr>
        <w:t>年本）</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&gt;</w:t>
      </w:r>
      <w:r>
        <w:rPr>
          <w:rFonts w:ascii="宋体" w:hAnsi="宋体" w:eastAsia="宋体" w:cs="宋体"/>
          <w:spacing w:val="-3"/>
          <w:sz w:val="24"/>
          <w:szCs w:val="24"/>
        </w:rPr>
        <w:t>的通知》（浙环发</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
          <w:sz w:val="24"/>
          <w:szCs w:val="24"/>
        </w:rPr>
        <w:t>2023]33</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号</w:t>
      </w:r>
      <w:r>
        <w:rPr>
          <w:rFonts w:ascii="宋体" w:hAnsi="宋体" w:eastAsia="宋体" w:cs="宋体"/>
          <w:spacing w:val="-14"/>
          <w:sz w:val="24"/>
          <w:szCs w:val="24"/>
        </w:rPr>
        <w:t>）；</w:t>
      </w:r>
    </w:p>
    <w:p>
      <w:pPr>
        <w:spacing w:before="187" w:line="466" w:lineRule="exact"/>
        <w:ind w:left="518"/>
        <w:rPr>
          <w:rFonts w:ascii="宋体" w:hAnsi="宋体" w:eastAsia="宋体" w:cs="宋体"/>
          <w:sz w:val="24"/>
          <w:szCs w:val="24"/>
        </w:rPr>
      </w:pPr>
      <w:r>
        <w:rPr>
          <w:rFonts w:ascii="Times New Roman" w:hAnsi="Times New Roman" w:eastAsia="Times New Roman" w:cs="Times New Roman"/>
          <w:spacing w:val="13"/>
          <w:position w:val="17"/>
          <w:sz w:val="24"/>
          <w:szCs w:val="24"/>
        </w:rPr>
        <w:t>(10)</w:t>
      </w:r>
      <w:r>
        <w:rPr>
          <w:rFonts w:ascii="宋体" w:hAnsi="宋体" w:eastAsia="宋体" w:cs="宋体"/>
          <w:spacing w:val="13"/>
          <w:position w:val="17"/>
          <w:sz w:val="24"/>
          <w:szCs w:val="24"/>
        </w:rPr>
        <w:t>《关于印发浙江省机动车排气污染防治实施方案的通知》（浙政发</w:t>
      </w:r>
    </w:p>
    <w:p>
      <w:pPr>
        <w:spacing w:line="215" w:lineRule="auto"/>
        <w:ind w:left="48"/>
        <w:rPr>
          <w:rFonts w:ascii="宋体" w:hAnsi="宋体" w:eastAsia="宋体" w:cs="宋体"/>
          <w:sz w:val="24"/>
          <w:szCs w:val="24"/>
        </w:rPr>
      </w:pPr>
      <w:r>
        <w:rPr>
          <w:rFonts w:ascii="Times New Roman" w:hAnsi="Times New Roman" w:eastAsia="Times New Roman" w:cs="Times New Roman"/>
          <w:spacing w:val="-5"/>
          <w:sz w:val="24"/>
          <w:szCs w:val="24"/>
        </w:rPr>
        <w:t>[2009]56</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号</w:t>
      </w:r>
      <w:r>
        <w:rPr>
          <w:rFonts w:ascii="宋体" w:hAnsi="宋体" w:eastAsia="宋体" w:cs="宋体"/>
          <w:spacing w:val="-12"/>
          <w:sz w:val="24"/>
          <w:szCs w:val="24"/>
        </w:rPr>
        <w:t>）；</w:t>
      </w:r>
    </w:p>
    <w:p>
      <w:pPr>
        <w:spacing w:before="187" w:line="466" w:lineRule="exact"/>
        <w:ind w:left="518"/>
        <w:rPr>
          <w:rFonts w:ascii="宋体" w:hAnsi="宋体" w:eastAsia="宋体" w:cs="宋体"/>
          <w:sz w:val="24"/>
          <w:szCs w:val="24"/>
        </w:rPr>
      </w:pPr>
      <w:r>
        <w:rPr>
          <w:rFonts w:ascii="Times New Roman" w:hAnsi="Times New Roman" w:eastAsia="Times New Roman" w:cs="Times New Roman"/>
          <w:spacing w:val="-4"/>
          <w:position w:val="17"/>
          <w:sz w:val="24"/>
          <w:szCs w:val="24"/>
        </w:rPr>
        <w:t>(11)</w:t>
      </w:r>
      <w:r>
        <w:rPr>
          <w:rFonts w:ascii="宋体" w:hAnsi="宋体" w:eastAsia="宋体" w:cs="宋体"/>
          <w:spacing w:val="-4"/>
          <w:position w:val="17"/>
          <w:sz w:val="24"/>
          <w:szCs w:val="24"/>
        </w:rPr>
        <w:t>《浙江省建设项目环境保护管理办法（</w:t>
      </w:r>
      <w:r>
        <w:rPr>
          <w:rFonts w:ascii="Times New Roman" w:hAnsi="Times New Roman" w:eastAsia="Times New Roman" w:cs="Times New Roman"/>
          <w:spacing w:val="-5"/>
          <w:position w:val="17"/>
          <w:sz w:val="24"/>
          <w:szCs w:val="24"/>
        </w:rPr>
        <w:t xml:space="preserve">2021 </w:t>
      </w:r>
      <w:r>
        <w:rPr>
          <w:rFonts w:ascii="宋体" w:hAnsi="宋体" w:eastAsia="宋体" w:cs="宋体"/>
          <w:spacing w:val="-5"/>
          <w:position w:val="17"/>
          <w:sz w:val="24"/>
          <w:szCs w:val="24"/>
        </w:rPr>
        <w:t>年修正）</w:t>
      </w:r>
      <w:r>
        <w:rPr>
          <w:rFonts w:ascii="宋体" w:hAnsi="宋体" w:eastAsia="宋体" w:cs="宋体"/>
          <w:spacing w:val="-32"/>
          <w:position w:val="17"/>
          <w:sz w:val="24"/>
          <w:szCs w:val="24"/>
        </w:rPr>
        <w:t xml:space="preserve"> </w:t>
      </w:r>
      <w:r>
        <w:rPr>
          <w:rFonts w:ascii="宋体" w:hAnsi="宋体" w:eastAsia="宋体" w:cs="宋体"/>
          <w:spacing w:val="-5"/>
          <w:position w:val="17"/>
          <w:sz w:val="24"/>
          <w:szCs w:val="24"/>
        </w:rPr>
        <w:t>》（浙江省人民政</w:t>
      </w:r>
    </w:p>
    <w:p>
      <w:pPr>
        <w:spacing w:before="1" w:line="218" w:lineRule="auto"/>
        <w:ind w:left="37"/>
        <w:rPr>
          <w:rFonts w:ascii="宋体" w:hAnsi="宋体" w:eastAsia="宋体" w:cs="宋体"/>
          <w:sz w:val="24"/>
          <w:szCs w:val="24"/>
        </w:rPr>
      </w:pPr>
      <w:r>
        <w:rPr>
          <w:rFonts w:ascii="宋体" w:hAnsi="宋体" w:eastAsia="宋体" w:cs="宋体"/>
          <w:spacing w:val="-13"/>
          <w:sz w:val="24"/>
          <w:szCs w:val="24"/>
        </w:rPr>
        <w:t>府令第</w:t>
      </w:r>
      <w:r>
        <w:rPr>
          <w:rFonts w:ascii="宋体" w:hAnsi="宋体" w:eastAsia="宋体" w:cs="宋体"/>
          <w:spacing w:val="-49"/>
          <w:sz w:val="24"/>
          <w:szCs w:val="24"/>
        </w:rPr>
        <w:t xml:space="preserve"> </w:t>
      </w:r>
      <w:r>
        <w:rPr>
          <w:rFonts w:ascii="Times New Roman" w:hAnsi="Times New Roman" w:eastAsia="Times New Roman" w:cs="Times New Roman"/>
          <w:spacing w:val="-13"/>
          <w:sz w:val="24"/>
          <w:szCs w:val="24"/>
        </w:rPr>
        <w:t>388</w:t>
      </w:r>
      <w:r>
        <w:rPr>
          <w:rFonts w:ascii="Times New Roman" w:hAnsi="Times New Roman" w:eastAsia="Times New Roman" w:cs="Times New Roman"/>
          <w:spacing w:val="15"/>
          <w:sz w:val="24"/>
          <w:szCs w:val="24"/>
        </w:rPr>
        <w:t xml:space="preserve"> </w:t>
      </w:r>
      <w:r>
        <w:rPr>
          <w:rFonts w:ascii="宋体" w:hAnsi="宋体" w:eastAsia="宋体" w:cs="宋体"/>
          <w:spacing w:val="-13"/>
          <w:sz w:val="24"/>
          <w:szCs w:val="24"/>
        </w:rPr>
        <w:t>号，</w:t>
      </w:r>
      <w:r>
        <w:rPr>
          <w:rFonts w:ascii="宋体" w:hAnsi="宋体" w:eastAsia="宋体" w:cs="宋体"/>
          <w:spacing w:val="-36"/>
          <w:sz w:val="24"/>
          <w:szCs w:val="24"/>
        </w:rPr>
        <w:t xml:space="preserve"> </w:t>
      </w:r>
      <w:r>
        <w:rPr>
          <w:rFonts w:ascii="Times New Roman" w:hAnsi="Times New Roman" w:eastAsia="Times New Roman" w:cs="Times New Roman"/>
          <w:spacing w:val="-13"/>
          <w:sz w:val="24"/>
          <w:szCs w:val="24"/>
        </w:rPr>
        <w:t>2021</w:t>
      </w:r>
      <w:r>
        <w:rPr>
          <w:rFonts w:ascii="Times New Roman" w:hAnsi="Times New Roman" w:eastAsia="Times New Roman" w:cs="Times New Roman"/>
          <w:spacing w:val="11"/>
          <w:sz w:val="24"/>
          <w:szCs w:val="24"/>
        </w:rPr>
        <w:t xml:space="preserve"> </w:t>
      </w:r>
      <w:r>
        <w:rPr>
          <w:rFonts w:ascii="宋体" w:hAnsi="宋体" w:eastAsia="宋体" w:cs="宋体"/>
          <w:spacing w:val="-13"/>
          <w:sz w:val="24"/>
          <w:szCs w:val="24"/>
        </w:rPr>
        <w:t>年</w:t>
      </w:r>
      <w:r>
        <w:rPr>
          <w:rFonts w:ascii="宋体" w:hAnsi="宋体" w:eastAsia="宋体" w:cs="宋体"/>
          <w:spacing w:val="-55"/>
          <w:sz w:val="24"/>
          <w:szCs w:val="24"/>
        </w:rPr>
        <w:t xml:space="preserve"> </w:t>
      </w:r>
      <w:r>
        <w:rPr>
          <w:rFonts w:ascii="Times New Roman" w:hAnsi="Times New Roman" w:eastAsia="Times New Roman" w:cs="Times New Roman"/>
          <w:spacing w:val="-13"/>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13"/>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3"/>
          <w:sz w:val="24"/>
          <w:szCs w:val="24"/>
        </w:rPr>
        <w:t>10</w:t>
      </w:r>
      <w:r>
        <w:rPr>
          <w:rFonts w:ascii="Times New Roman" w:hAnsi="Times New Roman" w:eastAsia="Times New Roman" w:cs="Times New Roman"/>
          <w:spacing w:val="50"/>
          <w:w w:val="101"/>
          <w:sz w:val="24"/>
          <w:szCs w:val="24"/>
        </w:rPr>
        <w:t xml:space="preserve"> </w:t>
      </w:r>
      <w:r>
        <w:rPr>
          <w:rFonts w:ascii="宋体" w:hAnsi="宋体" w:eastAsia="宋体" w:cs="宋体"/>
          <w:spacing w:val="-13"/>
          <w:sz w:val="24"/>
          <w:szCs w:val="24"/>
        </w:rPr>
        <w:t>日修正</w:t>
      </w:r>
      <w:r>
        <w:rPr>
          <w:rFonts w:ascii="宋体" w:hAnsi="宋体" w:eastAsia="宋体" w:cs="宋体"/>
          <w:spacing w:val="-2"/>
          <w:sz w:val="24"/>
          <w:szCs w:val="24"/>
        </w:rPr>
        <w:t>）；</w:t>
      </w:r>
    </w:p>
    <w:p>
      <w:pPr>
        <w:spacing w:before="183" w:line="213" w:lineRule="auto"/>
        <w:ind w:left="518"/>
        <w:rPr>
          <w:rFonts w:ascii="宋体" w:hAnsi="宋体" w:eastAsia="宋体" w:cs="宋体"/>
          <w:sz w:val="24"/>
          <w:szCs w:val="24"/>
        </w:rPr>
      </w:pPr>
      <w:r>
        <w:rPr>
          <w:rFonts w:ascii="Times New Roman" w:hAnsi="Times New Roman" w:eastAsia="Times New Roman" w:cs="Times New Roman"/>
          <w:spacing w:val="-5"/>
          <w:sz w:val="24"/>
          <w:szCs w:val="24"/>
        </w:rPr>
        <w:t>(12)</w:t>
      </w:r>
      <w:r>
        <w:rPr>
          <w:rFonts w:ascii="宋体" w:hAnsi="宋体" w:eastAsia="宋体" w:cs="宋体"/>
          <w:spacing w:val="-5"/>
          <w:sz w:val="24"/>
          <w:szCs w:val="24"/>
        </w:rPr>
        <w:t xml:space="preserve">《浙江省饮用水水源保护条例》 </w:t>
      </w:r>
      <w:r>
        <w:rPr>
          <w:rFonts w:ascii="宋体" w:hAnsi="宋体" w:eastAsia="宋体" w:cs="宋体"/>
          <w:spacing w:val="-6"/>
          <w:sz w:val="24"/>
          <w:szCs w:val="24"/>
        </w:rPr>
        <w:t>（修正</w:t>
      </w:r>
      <w:r>
        <w:rPr>
          <w:rFonts w:ascii="宋体" w:hAnsi="宋体" w:eastAsia="宋体" w:cs="宋体"/>
          <w:spacing w:val="-18"/>
          <w:sz w:val="24"/>
          <w:szCs w:val="24"/>
        </w:rPr>
        <w:t>）（</w:t>
      </w:r>
      <w:r>
        <w:rPr>
          <w:rFonts w:ascii="Times New Roman" w:hAnsi="Times New Roman" w:eastAsia="Times New Roman" w:cs="Times New Roman"/>
          <w:spacing w:val="-6"/>
          <w:sz w:val="24"/>
          <w:szCs w:val="24"/>
        </w:rPr>
        <w:t xml:space="preserve">2020 </w:t>
      </w:r>
      <w:r>
        <w:rPr>
          <w:rFonts w:ascii="宋体" w:hAnsi="宋体" w:eastAsia="宋体" w:cs="宋体"/>
          <w:spacing w:val="-6"/>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11</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27  </w:t>
      </w:r>
      <w:r>
        <w:rPr>
          <w:rFonts w:ascii="宋体" w:hAnsi="宋体" w:eastAsia="宋体" w:cs="宋体"/>
          <w:spacing w:val="-6"/>
          <w:sz w:val="24"/>
          <w:szCs w:val="24"/>
        </w:rPr>
        <w:t>日</w:t>
      </w:r>
      <w:r>
        <w:rPr>
          <w:rFonts w:ascii="宋体" w:hAnsi="宋体" w:eastAsia="宋体" w:cs="宋体"/>
          <w:spacing w:val="-18"/>
          <w:sz w:val="24"/>
          <w:szCs w:val="24"/>
        </w:rPr>
        <w:t>）；</w:t>
      </w:r>
    </w:p>
    <w:p>
      <w:pPr>
        <w:spacing w:before="189" w:line="468" w:lineRule="exact"/>
        <w:ind w:left="518"/>
        <w:rPr>
          <w:rFonts w:ascii="宋体" w:hAnsi="宋体" w:eastAsia="宋体" w:cs="宋体"/>
          <w:sz w:val="24"/>
          <w:szCs w:val="24"/>
        </w:rPr>
      </w:pPr>
      <w:r>
        <w:rPr>
          <w:rFonts w:ascii="Times New Roman" w:hAnsi="Times New Roman" w:eastAsia="Times New Roman" w:cs="Times New Roman"/>
          <w:spacing w:val="-2"/>
          <w:position w:val="17"/>
          <w:sz w:val="24"/>
          <w:szCs w:val="24"/>
        </w:rPr>
        <w:t>(13)</w:t>
      </w:r>
      <w:r>
        <w:rPr>
          <w:rFonts w:ascii="宋体" w:hAnsi="宋体" w:eastAsia="宋体" w:cs="宋体"/>
          <w:spacing w:val="-2"/>
          <w:position w:val="17"/>
          <w:sz w:val="24"/>
          <w:szCs w:val="24"/>
        </w:rPr>
        <w:t>《浙江省生态环境保护条例》（浙江省第十三届人民代表大会常务委员</w:t>
      </w:r>
    </w:p>
    <w:p>
      <w:pPr>
        <w:spacing w:line="218" w:lineRule="auto"/>
        <w:ind w:left="37"/>
        <w:rPr>
          <w:rFonts w:ascii="宋体" w:hAnsi="宋体" w:eastAsia="宋体" w:cs="宋体"/>
          <w:sz w:val="24"/>
          <w:szCs w:val="24"/>
        </w:rPr>
      </w:pPr>
      <w:r>
        <w:rPr>
          <w:rFonts w:ascii="宋体" w:hAnsi="宋体" w:eastAsia="宋体" w:cs="宋体"/>
          <w:spacing w:val="-13"/>
          <w:sz w:val="24"/>
          <w:szCs w:val="24"/>
        </w:rPr>
        <w:t>会公告第</w:t>
      </w:r>
      <w:r>
        <w:rPr>
          <w:rFonts w:ascii="宋体" w:hAnsi="宋体" w:eastAsia="宋体" w:cs="宋体"/>
          <w:spacing w:val="-50"/>
          <w:sz w:val="24"/>
          <w:szCs w:val="24"/>
        </w:rPr>
        <w:t xml:space="preserve"> </w:t>
      </w:r>
      <w:r>
        <w:rPr>
          <w:rFonts w:ascii="Times New Roman" w:hAnsi="Times New Roman" w:eastAsia="Times New Roman" w:cs="Times New Roman"/>
          <w:spacing w:val="-13"/>
          <w:sz w:val="24"/>
          <w:szCs w:val="24"/>
        </w:rPr>
        <w:t>71</w:t>
      </w:r>
      <w:r>
        <w:rPr>
          <w:rFonts w:ascii="Times New Roman" w:hAnsi="Times New Roman" w:eastAsia="Times New Roman" w:cs="Times New Roman"/>
          <w:spacing w:val="15"/>
          <w:sz w:val="24"/>
          <w:szCs w:val="24"/>
        </w:rPr>
        <w:t xml:space="preserve"> </w:t>
      </w:r>
      <w:r>
        <w:rPr>
          <w:rFonts w:ascii="宋体" w:hAnsi="宋体" w:eastAsia="宋体" w:cs="宋体"/>
          <w:spacing w:val="-13"/>
          <w:sz w:val="24"/>
          <w:szCs w:val="24"/>
        </w:rPr>
        <w:t>号，</w:t>
      </w:r>
      <w:r>
        <w:rPr>
          <w:rFonts w:ascii="宋体" w:hAnsi="宋体" w:eastAsia="宋体" w:cs="宋体"/>
          <w:spacing w:val="-36"/>
          <w:sz w:val="24"/>
          <w:szCs w:val="24"/>
        </w:rPr>
        <w:t xml:space="preserve"> </w:t>
      </w:r>
      <w:r>
        <w:rPr>
          <w:rFonts w:ascii="Times New Roman" w:hAnsi="Times New Roman" w:eastAsia="Times New Roman" w:cs="Times New Roman"/>
          <w:spacing w:val="-13"/>
          <w:sz w:val="24"/>
          <w:szCs w:val="24"/>
        </w:rPr>
        <w:t>2022</w:t>
      </w:r>
      <w:r>
        <w:rPr>
          <w:rFonts w:ascii="Times New Roman" w:hAnsi="Times New Roman" w:eastAsia="Times New Roman" w:cs="Times New Roman"/>
          <w:spacing w:val="11"/>
          <w:sz w:val="24"/>
          <w:szCs w:val="24"/>
        </w:rPr>
        <w:t xml:space="preserve"> </w:t>
      </w:r>
      <w:r>
        <w:rPr>
          <w:rFonts w:ascii="宋体" w:hAnsi="宋体" w:eastAsia="宋体" w:cs="宋体"/>
          <w:spacing w:val="-13"/>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13"/>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13"/>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50"/>
          <w:w w:val="101"/>
          <w:sz w:val="24"/>
          <w:szCs w:val="24"/>
        </w:rPr>
        <w:t xml:space="preserve"> </w:t>
      </w:r>
      <w:r>
        <w:rPr>
          <w:rFonts w:ascii="宋体" w:hAnsi="宋体" w:eastAsia="宋体" w:cs="宋体"/>
          <w:spacing w:val="-13"/>
          <w:sz w:val="24"/>
          <w:szCs w:val="24"/>
        </w:rPr>
        <w:t>日起施行</w:t>
      </w:r>
      <w:r>
        <w:rPr>
          <w:rFonts w:ascii="宋体" w:hAnsi="宋体" w:eastAsia="宋体" w:cs="宋体"/>
          <w:spacing w:val="-8"/>
          <w:sz w:val="24"/>
          <w:szCs w:val="24"/>
        </w:rPr>
        <w:t>）；</w:t>
      </w:r>
    </w:p>
    <w:p>
      <w:pPr>
        <w:spacing w:before="182" w:line="468" w:lineRule="exact"/>
        <w:ind w:left="518"/>
        <w:rPr>
          <w:rFonts w:ascii="宋体" w:hAnsi="宋体" w:eastAsia="宋体" w:cs="宋体"/>
          <w:sz w:val="24"/>
          <w:szCs w:val="24"/>
        </w:rPr>
      </w:pPr>
      <w:r>
        <w:rPr>
          <w:rFonts w:ascii="Times New Roman" w:hAnsi="Times New Roman" w:eastAsia="Times New Roman" w:cs="Times New Roman"/>
          <w:spacing w:val="-1"/>
          <w:position w:val="17"/>
          <w:sz w:val="24"/>
          <w:szCs w:val="24"/>
        </w:rPr>
        <w:t>(14)</w:t>
      </w:r>
      <w:r>
        <w:rPr>
          <w:rFonts w:ascii="宋体" w:hAnsi="宋体" w:eastAsia="宋体" w:cs="宋体"/>
          <w:spacing w:val="-1"/>
          <w:position w:val="17"/>
          <w:sz w:val="24"/>
          <w:szCs w:val="24"/>
        </w:rPr>
        <w:t>《浙江省人民政府办公厅关于加强生态保护红线监管的实施意见》（浙</w:t>
      </w:r>
    </w:p>
    <w:p>
      <w:pPr>
        <w:spacing w:before="1" w:line="215" w:lineRule="auto"/>
        <w:ind w:left="37"/>
        <w:rPr>
          <w:rFonts w:ascii="宋体" w:hAnsi="宋体" w:eastAsia="宋体" w:cs="宋体"/>
          <w:sz w:val="24"/>
          <w:szCs w:val="24"/>
        </w:rPr>
      </w:pPr>
      <w:r>
        <w:rPr>
          <w:rFonts w:ascii="宋体" w:hAnsi="宋体" w:eastAsia="宋体" w:cs="宋体"/>
          <w:spacing w:val="-8"/>
          <w:sz w:val="24"/>
          <w:szCs w:val="24"/>
        </w:rPr>
        <w:t>政办法</w:t>
      </w:r>
      <w:r>
        <w:rPr>
          <w:rFonts w:ascii="Times New Roman" w:hAnsi="Times New Roman" w:eastAsia="Times New Roman" w:cs="Times New Roman"/>
          <w:spacing w:val="-8"/>
          <w:sz w:val="24"/>
          <w:szCs w:val="24"/>
        </w:rPr>
        <w:t>[2022]70</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号，</w:t>
      </w:r>
      <w:r>
        <w:rPr>
          <w:rFonts w:ascii="宋体" w:hAnsi="宋体" w:eastAsia="宋体" w:cs="宋体"/>
          <w:spacing w:val="-36"/>
          <w:sz w:val="24"/>
          <w:szCs w:val="24"/>
        </w:rPr>
        <w:t xml:space="preserve"> </w:t>
      </w:r>
      <w:r>
        <w:rPr>
          <w:rFonts w:ascii="Times New Roman" w:hAnsi="Times New Roman" w:eastAsia="Times New Roman" w:cs="Times New Roman"/>
          <w:spacing w:val="-8"/>
          <w:sz w:val="24"/>
          <w:szCs w:val="24"/>
        </w:rPr>
        <w:t xml:space="preserve">2022 </w:t>
      </w:r>
      <w:r>
        <w:rPr>
          <w:rFonts w:ascii="宋体" w:hAnsi="宋体" w:eastAsia="宋体" w:cs="宋体"/>
          <w:spacing w:val="-8"/>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16"/>
          <w:sz w:val="24"/>
          <w:szCs w:val="24"/>
        </w:rPr>
        <w:t xml:space="preserve"> </w:t>
      </w:r>
      <w:r>
        <w:rPr>
          <w:rFonts w:ascii="宋体" w:hAnsi="宋体" w:eastAsia="宋体" w:cs="宋体"/>
          <w:spacing w:val="-8"/>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29</w:t>
      </w:r>
      <w:r>
        <w:rPr>
          <w:rFonts w:ascii="Times New Roman" w:hAnsi="Times New Roman" w:eastAsia="Times New Roman" w:cs="Times New Roman"/>
          <w:spacing w:val="-9"/>
          <w:sz w:val="24"/>
          <w:szCs w:val="24"/>
        </w:rPr>
        <w:t xml:space="preserve">  </w:t>
      </w:r>
      <w:r>
        <w:rPr>
          <w:rFonts w:ascii="宋体" w:hAnsi="宋体" w:eastAsia="宋体" w:cs="宋体"/>
          <w:spacing w:val="-9"/>
          <w:sz w:val="24"/>
          <w:szCs w:val="24"/>
        </w:rPr>
        <w:t>日起试行）；</w:t>
      </w:r>
    </w:p>
    <w:p>
      <w:pPr>
        <w:spacing w:before="185" w:line="468" w:lineRule="exact"/>
        <w:ind w:left="518"/>
        <w:rPr>
          <w:rFonts w:ascii="宋体" w:hAnsi="宋体" w:eastAsia="宋体" w:cs="宋体"/>
          <w:sz w:val="24"/>
          <w:szCs w:val="24"/>
        </w:rPr>
      </w:pPr>
      <w:r>
        <w:rPr>
          <w:rFonts w:ascii="Times New Roman" w:hAnsi="Times New Roman" w:eastAsia="Times New Roman" w:cs="Times New Roman"/>
          <w:position w:val="17"/>
          <w:sz w:val="24"/>
          <w:szCs w:val="24"/>
        </w:rPr>
        <w:t>(15)</w:t>
      </w:r>
      <w:r>
        <w:rPr>
          <w:rFonts w:ascii="宋体" w:hAnsi="宋体" w:eastAsia="宋体" w:cs="宋体"/>
          <w:position w:val="17"/>
          <w:sz w:val="24"/>
          <w:szCs w:val="24"/>
        </w:rPr>
        <w:t>《浙江省生态环境厅关于做好</w:t>
      </w:r>
      <w:r>
        <w:rPr>
          <w:rFonts w:ascii="Times New Roman" w:hAnsi="Times New Roman" w:eastAsia="Times New Roman" w:cs="Times New Roman"/>
          <w:position w:val="17"/>
          <w:sz w:val="24"/>
          <w:szCs w:val="24"/>
        </w:rPr>
        <w:t>“</w:t>
      </w:r>
      <w:r>
        <w:rPr>
          <w:rFonts w:ascii="宋体" w:hAnsi="宋体" w:eastAsia="宋体" w:cs="宋体"/>
          <w:position w:val="17"/>
          <w:sz w:val="24"/>
          <w:szCs w:val="24"/>
        </w:rPr>
        <w:t>三线一单</w:t>
      </w:r>
      <w:r>
        <w:rPr>
          <w:rFonts w:ascii="Times New Roman" w:hAnsi="Times New Roman" w:eastAsia="Times New Roman" w:cs="Times New Roman"/>
          <w:position w:val="17"/>
          <w:sz w:val="24"/>
          <w:szCs w:val="24"/>
        </w:rPr>
        <w:t>”</w:t>
      </w:r>
      <w:r>
        <w:rPr>
          <w:rFonts w:ascii="宋体" w:hAnsi="宋体" w:eastAsia="宋体" w:cs="宋体"/>
          <w:position w:val="17"/>
          <w:sz w:val="24"/>
          <w:szCs w:val="24"/>
        </w:rPr>
        <w:t>生态环境分区管控动态更新工</w:t>
      </w:r>
    </w:p>
    <w:p>
      <w:pPr>
        <w:spacing w:before="1" w:line="219" w:lineRule="auto"/>
        <w:ind w:left="39"/>
        <w:rPr>
          <w:rFonts w:ascii="宋体" w:hAnsi="宋体" w:eastAsia="宋体" w:cs="宋体"/>
          <w:sz w:val="24"/>
          <w:szCs w:val="24"/>
        </w:rPr>
      </w:pPr>
      <w:r>
        <w:rPr>
          <w:rFonts w:ascii="宋体" w:hAnsi="宋体" w:eastAsia="宋体" w:cs="宋体"/>
          <w:spacing w:val="-8"/>
          <w:sz w:val="24"/>
          <w:szCs w:val="24"/>
        </w:rPr>
        <w:t>作的指导意见》（浙环函〔</w:t>
      </w:r>
      <w:r>
        <w:rPr>
          <w:rFonts w:ascii="Times New Roman" w:hAnsi="Times New Roman" w:eastAsia="Times New Roman" w:cs="Times New Roman"/>
          <w:spacing w:val="-8"/>
          <w:sz w:val="24"/>
          <w:szCs w:val="24"/>
        </w:rPr>
        <w:t>2022</w:t>
      </w:r>
      <w:r>
        <w:rPr>
          <w:rFonts w:ascii="宋体" w:hAnsi="宋体" w:eastAsia="宋体" w:cs="宋体"/>
          <w:spacing w:val="-8"/>
          <w:sz w:val="24"/>
          <w:szCs w:val="24"/>
        </w:rPr>
        <w:t>〕</w:t>
      </w:r>
      <w:r>
        <w:rPr>
          <w:rFonts w:ascii="Times New Roman" w:hAnsi="Times New Roman" w:eastAsia="Times New Roman" w:cs="Times New Roman"/>
          <w:spacing w:val="-8"/>
          <w:sz w:val="24"/>
          <w:szCs w:val="24"/>
        </w:rPr>
        <w:t>272</w:t>
      </w:r>
      <w:r>
        <w:rPr>
          <w:rFonts w:ascii="Times New Roman" w:hAnsi="Times New Roman" w:eastAsia="Times New Roman" w:cs="Times New Roman"/>
          <w:spacing w:val="17"/>
          <w:sz w:val="24"/>
          <w:szCs w:val="24"/>
        </w:rPr>
        <w:t xml:space="preserve"> </w:t>
      </w:r>
      <w:r>
        <w:rPr>
          <w:rFonts w:ascii="宋体" w:hAnsi="宋体" w:eastAsia="宋体" w:cs="宋体"/>
          <w:spacing w:val="-9"/>
          <w:sz w:val="24"/>
          <w:szCs w:val="24"/>
        </w:rPr>
        <w:t>号，</w:t>
      </w:r>
      <w:r>
        <w:rPr>
          <w:rFonts w:ascii="宋体" w:hAnsi="宋体" w:eastAsia="宋体" w:cs="宋体"/>
          <w:spacing w:val="-36"/>
          <w:sz w:val="24"/>
          <w:szCs w:val="24"/>
        </w:rPr>
        <w:t xml:space="preserve"> </w:t>
      </w:r>
      <w:r>
        <w:rPr>
          <w:rFonts w:ascii="Times New Roman" w:hAnsi="Times New Roman" w:eastAsia="Times New Roman" w:cs="Times New Roman"/>
          <w:spacing w:val="-9"/>
          <w:sz w:val="24"/>
          <w:szCs w:val="24"/>
        </w:rPr>
        <w:t xml:space="preserve">2022 </w:t>
      </w:r>
      <w:r>
        <w:rPr>
          <w:rFonts w:ascii="宋体" w:hAnsi="宋体" w:eastAsia="宋体" w:cs="宋体"/>
          <w:spacing w:val="-9"/>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11</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 xml:space="preserve">11  </w:t>
      </w:r>
      <w:r>
        <w:rPr>
          <w:rFonts w:ascii="宋体" w:hAnsi="宋体" w:eastAsia="宋体" w:cs="宋体"/>
          <w:spacing w:val="-9"/>
          <w:sz w:val="24"/>
          <w:szCs w:val="24"/>
        </w:rPr>
        <w:t>日</w:t>
      </w:r>
      <w:r>
        <w:rPr>
          <w:rFonts w:ascii="宋体" w:hAnsi="宋体" w:eastAsia="宋体" w:cs="宋体"/>
          <w:spacing w:val="21"/>
          <w:sz w:val="24"/>
          <w:szCs w:val="24"/>
        </w:rPr>
        <w:t>）；</w:t>
      </w:r>
    </w:p>
    <w:p>
      <w:pPr>
        <w:spacing w:before="180" w:line="468" w:lineRule="exact"/>
        <w:ind w:left="518"/>
        <w:rPr>
          <w:rFonts w:ascii="宋体" w:hAnsi="宋体" w:eastAsia="宋体" w:cs="宋体"/>
          <w:sz w:val="24"/>
          <w:szCs w:val="24"/>
        </w:rPr>
      </w:pPr>
      <w:r>
        <w:rPr>
          <w:rFonts w:ascii="Times New Roman" w:hAnsi="Times New Roman" w:eastAsia="Times New Roman" w:cs="Times New Roman"/>
          <w:spacing w:val="-5"/>
          <w:position w:val="17"/>
          <w:sz w:val="24"/>
          <w:szCs w:val="24"/>
        </w:rPr>
        <w:t>(16)</w:t>
      </w:r>
      <w:r>
        <w:rPr>
          <w:rFonts w:ascii="宋体" w:hAnsi="宋体" w:eastAsia="宋体" w:cs="宋体"/>
          <w:spacing w:val="-5"/>
          <w:position w:val="17"/>
          <w:sz w:val="24"/>
          <w:szCs w:val="24"/>
        </w:rPr>
        <w:t>《温州市扬尘污染防治管理办法》（温政发〔</w:t>
      </w:r>
      <w:r>
        <w:rPr>
          <w:rFonts w:ascii="Times New Roman" w:hAnsi="Times New Roman" w:eastAsia="Times New Roman" w:cs="Times New Roman"/>
          <w:spacing w:val="-5"/>
          <w:position w:val="17"/>
          <w:sz w:val="24"/>
          <w:szCs w:val="24"/>
        </w:rPr>
        <w:t>2020</w:t>
      </w:r>
      <w:r>
        <w:rPr>
          <w:rFonts w:ascii="宋体" w:hAnsi="宋体" w:eastAsia="宋体" w:cs="宋体"/>
          <w:spacing w:val="-5"/>
          <w:position w:val="17"/>
          <w:sz w:val="24"/>
          <w:szCs w:val="24"/>
        </w:rPr>
        <w:t>〕</w:t>
      </w:r>
      <w:r>
        <w:rPr>
          <w:rFonts w:ascii="Times New Roman" w:hAnsi="Times New Roman" w:eastAsia="Times New Roman" w:cs="Times New Roman"/>
          <w:spacing w:val="-5"/>
          <w:position w:val="17"/>
          <w:sz w:val="24"/>
          <w:szCs w:val="24"/>
        </w:rPr>
        <w:t>31</w:t>
      </w:r>
      <w:r>
        <w:rPr>
          <w:rFonts w:ascii="Times New Roman" w:hAnsi="Times New Roman" w:eastAsia="Times New Roman" w:cs="Times New Roman"/>
          <w:spacing w:val="33"/>
          <w:position w:val="17"/>
          <w:sz w:val="24"/>
          <w:szCs w:val="24"/>
        </w:rPr>
        <w:t xml:space="preserve"> </w:t>
      </w:r>
      <w:r>
        <w:rPr>
          <w:rFonts w:ascii="宋体" w:hAnsi="宋体" w:eastAsia="宋体" w:cs="宋体"/>
          <w:spacing w:val="-5"/>
          <w:position w:val="17"/>
          <w:sz w:val="24"/>
          <w:szCs w:val="24"/>
        </w:rPr>
        <w:t>号，</w:t>
      </w:r>
      <w:r>
        <w:rPr>
          <w:rFonts w:ascii="宋体" w:hAnsi="宋体" w:eastAsia="宋体" w:cs="宋体"/>
          <w:spacing w:val="-42"/>
          <w:position w:val="17"/>
          <w:sz w:val="24"/>
          <w:szCs w:val="24"/>
        </w:rPr>
        <w:t xml:space="preserve"> </w:t>
      </w:r>
      <w:r>
        <w:rPr>
          <w:rFonts w:ascii="宋体" w:hAnsi="宋体" w:eastAsia="宋体" w:cs="宋体"/>
          <w:spacing w:val="-5"/>
          <w:position w:val="17"/>
          <w:sz w:val="24"/>
          <w:szCs w:val="24"/>
        </w:rPr>
        <w:t>温州市人民</w:t>
      </w:r>
    </w:p>
    <w:p>
      <w:pPr>
        <w:spacing w:before="1" w:line="218" w:lineRule="auto"/>
        <w:ind w:left="37"/>
        <w:rPr>
          <w:rFonts w:ascii="宋体" w:hAnsi="宋体" w:eastAsia="宋体" w:cs="宋体"/>
          <w:sz w:val="24"/>
          <w:szCs w:val="24"/>
        </w:rPr>
      </w:pPr>
      <w:r>
        <w:rPr>
          <w:rFonts w:ascii="宋体" w:hAnsi="宋体" w:eastAsia="宋体" w:cs="宋体"/>
          <w:spacing w:val="-14"/>
          <w:sz w:val="24"/>
          <w:szCs w:val="24"/>
        </w:rPr>
        <w:t xml:space="preserve">政府， </w:t>
      </w:r>
      <w:r>
        <w:rPr>
          <w:rFonts w:ascii="Times New Roman" w:hAnsi="Times New Roman" w:eastAsia="Times New Roman" w:cs="Times New Roman"/>
          <w:spacing w:val="-14"/>
          <w:sz w:val="24"/>
          <w:szCs w:val="24"/>
        </w:rPr>
        <w:t>2020</w:t>
      </w:r>
      <w:r>
        <w:rPr>
          <w:rFonts w:ascii="Times New Roman" w:hAnsi="Times New Roman" w:eastAsia="Times New Roman" w:cs="Times New Roman"/>
          <w:spacing w:val="10"/>
          <w:sz w:val="24"/>
          <w:szCs w:val="24"/>
        </w:rPr>
        <w:t xml:space="preserve"> </w:t>
      </w:r>
      <w:r>
        <w:rPr>
          <w:rFonts w:ascii="宋体" w:hAnsi="宋体" w:eastAsia="宋体" w:cs="宋体"/>
          <w:spacing w:val="-1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14"/>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14"/>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14"/>
          <w:sz w:val="24"/>
          <w:szCs w:val="24"/>
        </w:rPr>
        <w:t xml:space="preserve">31  </w:t>
      </w:r>
      <w:r>
        <w:rPr>
          <w:rFonts w:ascii="宋体" w:hAnsi="宋体" w:eastAsia="宋体" w:cs="宋体"/>
          <w:spacing w:val="-14"/>
          <w:sz w:val="24"/>
          <w:szCs w:val="24"/>
        </w:rPr>
        <w:t>日</w:t>
      </w:r>
      <w:r>
        <w:rPr>
          <w:rFonts w:ascii="宋体" w:hAnsi="宋体" w:eastAsia="宋体" w:cs="宋体"/>
          <w:spacing w:val="-18"/>
          <w:sz w:val="24"/>
          <w:szCs w:val="24"/>
        </w:rPr>
        <w:t>）；</w:t>
      </w:r>
    </w:p>
    <w:p>
      <w:pPr>
        <w:spacing w:before="182" w:line="468" w:lineRule="exact"/>
        <w:jc w:val="right"/>
        <w:rPr>
          <w:rFonts w:ascii="宋体" w:hAnsi="宋体" w:eastAsia="宋体" w:cs="宋体"/>
          <w:sz w:val="24"/>
          <w:szCs w:val="24"/>
        </w:rPr>
      </w:pPr>
      <w:r>
        <w:rPr>
          <w:rFonts w:ascii="Times New Roman" w:hAnsi="Times New Roman" w:eastAsia="Times New Roman" w:cs="Times New Roman"/>
          <w:spacing w:val="-3"/>
          <w:position w:val="17"/>
          <w:sz w:val="24"/>
          <w:szCs w:val="24"/>
        </w:rPr>
        <w:t>(17)</w:t>
      </w:r>
      <w:r>
        <w:rPr>
          <w:rFonts w:ascii="宋体" w:hAnsi="宋体" w:eastAsia="宋体" w:cs="宋体"/>
          <w:spacing w:val="-3"/>
          <w:position w:val="17"/>
          <w:sz w:val="24"/>
          <w:szCs w:val="24"/>
        </w:rPr>
        <w:t>《温州市建筑施工噪声污染防治管理办法》（市政府令第〔</w:t>
      </w:r>
      <w:r>
        <w:rPr>
          <w:rFonts w:ascii="Times New Roman" w:hAnsi="Times New Roman" w:eastAsia="Times New Roman" w:cs="Times New Roman"/>
          <w:spacing w:val="-3"/>
          <w:position w:val="17"/>
          <w:sz w:val="24"/>
          <w:szCs w:val="24"/>
        </w:rPr>
        <w:t>2020</w:t>
      </w: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6</w:t>
      </w:r>
      <w:r>
        <w:rPr>
          <w:rFonts w:ascii="Times New Roman" w:hAnsi="Times New Roman" w:eastAsia="Times New Roman" w:cs="Times New Roman"/>
          <w:spacing w:val="15"/>
          <w:position w:val="17"/>
          <w:sz w:val="24"/>
          <w:szCs w:val="24"/>
        </w:rPr>
        <w:t xml:space="preserve"> </w:t>
      </w:r>
      <w:r>
        <w:rPr>
          <w:rFonts w:ascii="宋体" w:hAnsi="宋体" w:eastAsia="宋体" w:cs="宋体"/>
          <w:spacing w:val="-3"/>
          <w:position w:val="17"/>
          <w:sz w:val="24"/>
          <w:szCs w:val="24"/>
        </w:rPr>
        <w:t>号，</w:t>
      </w:r>
    </w:p>
    <w:p>
      <w:pPr>
        <w:spacing w:before="1" w:line="218" w:lineRule="auto"/>
        <w:ind w:left="40"/>
        <w:rPr>
          <w:rFonts w:ascii="宋体" w:hAnsi="宋体" w:eastAsia="宋体" w:cs="宋体"/>
          <w:sz w:val="24"/>
          <w:szCs w:val="24"/>
        </w:rPr>
      </w:pPr>
      <w:r>
        <w:rPr>
          <w:rFonts w:ascii="宋体" w:hAnsi="宋体" w:eastAsia="宋体" w:cs="宋体"/>
          <w:spacing w:val="-11"/>
          <w:sz w:val="24"/>
          <w:szCs w:val="24"/>
        </w:rPr>
        <w:t>温州市人民政府办公室，</w:t>
      </w:r>
      <w:r>
        <w:rPr>
          <w:rFonts w:ascii="宋体" w:hAnsi="宋体" w:eastAsia="宋体" w:cs="宋体"/>
          <w:spacing w:val="64"/>
          <w:sz w:val="24"/>
          <w:szCs w:val="24"/>
        </w:rPr>
        <w:t xml:space="preserve"> </w:t>
      </w:r>
      <w:r>
        <w:rPr>
          <w:rFonts w:ascii="Times New Roman" w:hAnsi="Times New Roman" w:eastAsia="Times New Roman" w:cs="Times New Roman"/>
          <w:spacing w:val="-11"/>
          <w:sz w:val="24"/>
          <w:szCs w:val="24"/>
        </w:rPr>
        <w:t xml:space="preserve">2020 </w:t>
      </w:r>
      <w:r>
        <w:rPr>
          <w:rFonts w:ascii="宋体" w:hAnsi="宋体" w:eastAsia="宋体" w:cs="宋体"/>
          <w:spacing w:val="-11"/>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11"/>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1"/>
          <w:sz w:val="24"/>
          <w:szCs w:val="24"/>
        </w:rPr>
        <w:t xml:space="preserve">21  </w:t>
      </w:r>
      <w:r>
        <w:rPr>
          <w:rFonts w:ascii="宋体" w:hAnsi="宋体" w:eastAsia="宋体" w:cs="宋体"/>
          <w:spacing w:val="-11"/>
          <w:sz w:val="24"/>
          <w:szCs w:val="24"/>
        </w:rPr>
        <w:t>日）。</w:t>
      </w:r>
    </w:p>
    <w:p>
      <w:pPr>
        <w:spacing w:before="184" w:line="220" w:lineRule="auto"/>
        <w:ind w:left="34"/>
        <w:outlineLvl w:val="0"/>
        <w:rPr>
          <w:rFonts w:ascii="宋体" w:hAnsi="宋体" w:eastAsia="宋体" w:cs="宋体"/>
          <w:sz w:val="24"/>
          <w:szCs w:val="24"/>
        </w:rPr>
      </w:pPr>
      <w:r>
        <w:rPr>
          <w:rFonts w:ascii="Times New Roman" w:hAnsi="Times New Roman" w:eastAsia="Times New Roman" w:cs="Times New Roman"/>
          <w:b/>
          <w:bCs/>
          <w:sz w:val="24"/>
          <w:szCs w:val="24"/>
        </w:rPr>
        <w:t xml:space="preserve">2.1.3 </w:t>
      </w:r>
      <w:r>
        <w:rPr>
          <w:rFonts w:ascii="宋体" w:hAnsi="宋体" w:eastAsia="宋体" w:cs="宋体"/>
          <w:sz w:val="24"/>
          <w:szCs w:val="24"/>
          <w14:textOutline w14:w="4354" w14:cap="flat" w14:cmpd="sng">
            <w14:solidFill>
              <w14:srgbClr w14:val="000000"/>
            </w14:solidFill>
            <w14:prstDash w14:val="solid"/>
            <w14:miter w14:val="0"/>
          </w14:textOutline>
        </w:rPr>
        <w:t>相关规划资料</w:t>
      </w:r>
    </w:p>
    <w:p>
      <w:pPr>
        <w:spacing w:before="179" w:line="468" w:lineRule="exact"/>
        <w:jc w:val="right"/>
        <w:rPr>
          <w:rFonts w:ascii="宋体" w:hAnsi="宋体" w:eastAsia="宋体" w:cs="宋体"/>
          <w:sz w:val="24"/>
          <w:szCs w:val="24"/>
        </w:rPr>
      </w:pPr>
      <w:r>
        <w:rPr>
          <w:rFonts w:ascii="宋体" w:hAnsi="宋体" w:eastAsia="宋体" w:cs="宋体"/>
          <w:spacing w:val="-5"/>
          <w:position w:val="17"/>
          <w:sz w:val="24"/>
          <w:szCs w:val="24"/>
        </w:rPr>
        <w:t>（</w:t>
      </w:r>
      <w:r>
        <w:rPr>
          <w:rFonts w:ascii="Times New Roman" w:hAnsi="Times New Roman" w:eastAsia="Times New Roman" w:cs="Times New Roman"/>
          <w:spacing w:val="-5"/>
          <w:position w:val="17"/>
          <w:sz w:val="24"/>
          <w:szCs w:val="24"/>
        </w:rPr>
        <w:t>1</w:t>
      </w:r>
      <w:r>
        <w:rPr>
          <w:rFonts w:ascii="宋体" w:hAnsi="宋体" w:eastAsia="宋体" w:cs="宋体"/>
          <w:spacing w:val="-5"/>
          <w:position w:val="17"/>
          <w:sz w:val="24"/>
          <w:szCs w:val="24"/>
        </w:rPr>
        <w:t>）</w:t>
      </w:r>
      <w:r>
        <w:rPr>
          <w:rFonts w:ascii="宋体" w:hAnsi="宋体" w:eastAsia="宋体" w:cs="宋体"/>
          <w:spacing w:val="-52"/>
          <w:position w:val="17"/>
          <w:sz w:val="24"/>
          <w:szCs w:val="24"/>
        </w:rPr>
        <w:t xml:space="preserve"> </w:t>
      </w:r>
      <w:r>
        <w:rPr>
          <w:rFonts w:ascii="宋体" w:hAnsi="宋体" w:eastAsia="宋体" w:cs="宋体"/>
          <w:spacing w:val="-5"/>
          <w:position w:val="17"/>
          <w:sz w:val="24"/>
          <w:szCs w:val="24"/>
        </w:rPr>
        <w:t>《浙江省人民政府关于浙江省水功能区水环境</w:t>
      </w:r>
      <w:r>
        <w:rPr>
          <w:rFonts w:ascii="宋体" w:hAnsi="宋体" w:eastAsia="宋体" w:cs="宋体"/>
          <w:spacing w:val="-6"/>
          <w:position w:val="17"/>
          <w:sz w:val="24"/>
          <w:szCs w:val="24"/>
        </w:rPr>
        <w:t>功能区划分方案（</w:t>
      </w:r>
      <w:r>
        <w:rPr>
          <w:rFonts w:ascii="Times New Roman" w:hAnsi="Times New Roman" w:eastAsia="Times New Roman" w:cs="Times New Roman"/>
          <w:spacing w:val="-6"/>
          <w:position w:val="17"/>
          <w:sz w:val="24"/>
          <w:szCs w:val="24"/>
        </w:rPr>
        <w:t>2015</w:t>
      </w:r>
      <w:r>
        <w:rPr>
          <w:rFonts w:ascii="宋体" w:hAnsi="宋体" w:eastAsia="宋体" w:cs="宋体"/>
          <w:spacing w:val="-6"/>
          <w:position w:val="17"/>
          <w:sz w:val="24"/>
          <w:szCs w:val="24"/>
        </w:rPr>
        <w:t>）</w:t>
      </w:r>
    </w:p>
    <w:p>
      <w:pPr>
        <w:spacing w:before="1" w:line="215" w:lineRule="auto"/>
        <w:ind w:left="57"/>
        <w:rPr>
          <w:rFonts w:ascii="宋体" w:hAnsi="宋体" w:eastAsia="宋体" w:cs="宋体"/>
          <w:sz w:val="24"/>
          <w:szCs w:val="24"/>
        </w:rPr>
      </w:pPr>
      <w:r>
        <w:rPr>
          <w:rFonts w:ascii="宋体" w:hAnsi="宋体" w:eastAsia="宋体" w:cs="宋体"/>
          <w:spacing w:val="-7"/>
          <w:sz w:val="24"/>
          <w:szCs w:val="24"/>
        </w:rPr>
        <w:t>的批复》（浙政函</w:t>
      </w:r>
      <w:r>
        <w:rPr>
          <w:rFonts w:ascii="Times New Roman" w:hAnsi="Times New Roman" w:eastAsia="Times New Roman" w:cs="Times New Roman"/>
          <w:spacing w:val="-7"/>
          <w:sz w:val="24"/>
          <w:szCs w:val="24"/>
        </w:rPr>
        <w:t>[2015]71</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号，</w:t>
      </w:r>
      <w:r>
        <w:rPr>
          <w:rFonts w:ascii="宋体" w:hAnsi="宋体" w:eastAsia="宋体" w:cs="宋体"/>
          <w:spacing w:val="-36"/>
          <w:sz w:val="24"/>
          <w:szCs w:val="24"/>
        </w:rPr>
        <w:t xml:space="preserve"> </w:t>
      </w:r>
      <w:r>
        <w:rPr>
          <w:rFonts w:ascii="Times New Roman" w:hAnsi="Times New Roman" w:eastAsia="Times New Roman" w:cs="Times New Roman"/>
          <w:spacing w:val="-7"/>
          <w:sz w:val="24"/>
          <w:szCs w:val="24"/>
        </w:rPr>
        <w:t xml:space="preserve">2015 </w:t>
      </w:r>
      <w:r>
        <w:rPr>
          <w:rFonts w:ascii="宋体" w:hAnsi="宋体" w:eastAsia="宋体" w:cs="宋体"/>
          <w:spacing w:val="-7"/>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 xml:space="preserve">29  </w:t>
      </w:r>
      <w:r>
        <w:rPr>
          <w:rFonts w:ascii="宋体" w:hAnsi="宋体" w:eastAsia="宋体" w:cs="宋体"/>
          <w:spacing w:val="-7"/>
          <w:sz w:val="24"/>
          <w:szCs w:val="24"/>
        </w:rPr>
        <w:t>日</w:t>
      </w:r>
      <w:r>
        <w:rPr>
          <w:rFonts w:ascii="宋体" w:hAnsi="宋体" w:eastAsia="宋体" w:cs="宋体"/>
          <w:spacing w:val="-12"/>
          <w:sz w:val="24"/>
          <w:szCs w:val="24"/>
        </w:rPr>
        <w:t>）；</w:t>
      </w:r>
    </w:p>
    <w:p>
      <w:pPr>
        <w:spacing w:before="185" w:line="468" w:lineRule="exact"/>
        <w:ind w:left="524"/>
        <w:rPr>
          <w:rFonts w:ascii="宋体" w:hAnsi="宋体" w:eastAsia="宋体" w:cs="宋体"/>
          <w:sz w:val="24"/>
          <w:szCs w:val="24"/>
        </w:rPr>
      </w:pPr>
      <w:r>
        <w:rPr>
          <w:rFonts w:ascii="宋体" w:hAnsi="宋体" w:eastAsia="宋体" w:cs="宋体"/>
          <w:spacing w:val="-7"/>
          <w:position w:val="17"/>
          <w:sz w:val="24"/>
          <w:szCs w:val="24"/>
        </w:rPr>
        <w:t>（</w:t>
      </w:r>
      <w:r>
        <w:rPr>
          <w:rFonts w:ascii="Times New Roman" w:hAnsi="Times New Roman" w:eastAsia="Times New Roman" w:cs="Times New Roman"/>
          <w:spacing w:val="-7"/>
          <w:position w:val="17"/>
          <w:sz w:val="24"/>
          <w:szCs w:val="24"/>
        </w:rPr>
        <w:t>2</w:t>
      </w:r>
      <w:r>
        <w:rPr>
          <w:rFonts w:ascii="宋体" w:hAnsi="宋体" w:eastAsia="宋体" w:cs="宋体"/>
          <w:spacing w:val="-7"/>
          <w:position w:val="17"/>
          <w:sz w:val="24"/>
          <w:szCs w:val="24"/>
        </w:rPr>
        <w:t>）</w:t>
      </w:r>
      <w:r>
        <w:rPr>
          <w:rFonts w:ascii="宋体" w:hAnsi="宋体" w:eastAsia="宋体" w:cs="宋体"/>
          <w:spacing w:val="-38"/>
          <w:position w:val="17"/>
          <w:sz w:val="24"/>
          <w:szCs w:val="24"/>
        </w:rPr>
        <w:t xml:space="preserve"> </w:t>
      </w:r>
      <w:r>
        <w:rPr>
          <w:rFonts w:ascii="宋体" w:hAnsi="宋体" w:eastAsia="宋体" w:cs="宋体"/>
          <w:spacing w:val="-7"/>
          <w:position w:val="17"/>
          <w:sz w:val="24"/>
          <w:szCs w:val="24"/>
        </w:rPr>
        <w:t>《浙江省生态环境厅关于珊溪</w:t>
      </w:r>
      <w:r>
        <w:rPr>
          <w:rFonts w:ascii="Times New Roman" w:hAnsi="Times New Roman" w:eastAsia="Times New Roman" w:cs="Times New Roman"/>
          <w:spacing w:val="-7"/>
          <w:position w:val="17"/>
          <w:sz w:val="24"/>
          <w:szCs w:val="24"/>
        </w:rPr>
        <w:t>-</w:t>
      </w:r>
      <w:r>
        <w:rPr>
          <w:rFonts w:ascii="宋体" w:hAnsi="宋体" w:eastAsia="宋体" w:cs="宋体"/>
          <w:spacing w:val="-7"/>
          <w:position w:val="17"/>
          <w:sz w:val="24"/>
          <w:szCs w:val="24"/>
        </w:rPr>
        <w:t>赵山渡水库（飞云</w:t>
      </w:r>
      <w:r>
        <w:rPr>
          <w:rFonts w:ascii="宋体" w:hAnsi="宋体" w:eastAsia="宋体" w:cs="宋体"/>
          <w:spacing w:val="-36"/>
          <w:position w:val="17"/>
          <w:sz w:val="24"/>
          <w:szCs w:val="24"/>
        </w:rPr>
        <w:t xml:space="preserve"> </w:t>
      </w:r>
      <w:r>
        <w:rPr>
          <w:rFonts w:ascii="Times New Roman" w:hAnsi="Times New Roman" w:eastAsia="Times New Roman" w:cs="Times New Roman"/>
          <w:spacing w:val="-7"/>
          <w:position w:val="17"/>
          <w:sz w:val="24"/>
          <w:szCs w:val="24"/>
        </w:rPr>
        <w:t>3#</w:t>
      </w:r>
      <w:r>
        <w:rPr>
          <w:rFonts w:ascii="宋体" w:hAnsi="宋体" w:eastAsia="宋体" w:cs="宋体"/>
          <w:spacing w:val="-7"/>
          <w:position w:val="17"/>
          <w:sz w:val="24"/>
          <w:szCs w:val="24"/>
        </w:rPr>
        <w:t>）水功能区水环境</w:t>
      </w:r>
    </w:p>
    <w:p>
      <w:pPr>
        <w:spacing w:before="1" w:line="219" w:lineRule="auto"/>
        <w:ind w:left="41"/>
        <w:rPr>
          <w:rFonts w:ascii="宋体" w:hAnsi="宋体" w:eastAsia="宋体" w:cs="宋体"/>
          <w:sz w:val="24"/>
          <w:szCs w:val="24"/>
        </w:rPr>
      </w:pPr>
      <w:r>
        <w:rPr>
          <w:rFonts w:ascii="宋体" w:hAnsi="宋体" w:eastAsia="宋体" w:cs="宋体"/>
          <w:spacing w:val="-2"/>
          <w:sz w:val="24"/>
          <w:szCs w:val="24"/>
        </w:rPr>
        <w:t>功能区优化调整方案的复函》（浙环函〔</w:t>
      </w:r>
      <w:r>
        <w:rPr>
          <w:rFonts w:ascii="Times New Roman" w:hAnsi="Times New Roman" w:eastAsia="Times New Roman" w:cs="Times New Roman"/>
          <w:spacing w:val="-2"/>
          <w:sz w:val="24"/>
          <w:szCs w:val="24"/>
        </w:rPr>
        <w:t>2020</w:t>
      </w:r>
      <w:r>
        <w:rPr>
          <w:rFonts w:ascii="宋体" w:hAnsi="宋体" w:eastAsia="宋体" w:cs="宋体"/>
          <w:spacing w:val="-2"/>
          <w:sz w:val="24"/>
          <w:szCs w:val="24"/>
        </w:rPr>
        <w:t>〕</w:t>
      </w:r>
      <w:r>
        <w:rPr>
          <w:rFonts w:ascii="Times New Roman" w:hAnsi="Times New Roman" w:eastAsia="Times New Roman" w:cs="Times New Roman"/>
          <w:spacing w:val="-2"/>
          <w:sz w:val="24"/>
          <w:szCs w:val="24"/>
        </w:rPr>
        <w:t>241</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w:t>
      </w:r>
      <w:r>
        <w:rPr>
          <w:rFonts w:ascii="宋体" w:hAnsi="宋体" w:eastAsia="宋体" w:cs="宋体"/>
          <w:spacing w:val="-4"/>
          <w:sz w:val="24"/>
          <w:szCs w:val="24"/>
        </w:rPr>
        <w:t>）；</w:t>
      </w:r>
    </w:p>
    <w:p>
      <w:pPr>
        <w:spacing w:before="180" w:line="469" w:lineRule="exact"/>
        <w:ind w:left="524"/>
        <w:rPr>
          <w:rFonts w:ascii="宋体" w:hAnsi="宋体" w:eastAsia="宋体" w:cs="宋体"/>
          <w:sz w:val="24"/>
          <w:szCs w:val="24"/>
        </w:rPr>
      </w:pP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3</w:t>
      </w:r>
      <w:r>
        <w:rPr>
          <w:rFonts w:ascii="宋体" w:hAnsi="宋体" w:eastAsia="宋体" w:cs="宋体"/>
          <w:spacing w:val="-3"/>
          <w:position w:val="17"/>
          <w:sz w:val="24"/>
          <w:szCs w:val="24"/>
        </w:rPr>
        <w:t>）《温州市综合交通运输发展</w:t>
      </w:r>
      <w:r>
        <w:rPr>
          <w:rFonts w:ascii="Times New Roman" w:hAnsi="Times New Roman" w:eastAsia="Times New Roman" w:cs="Times New Roman"/>
          <w:spacing w:val="-3"/>
          <w:position w:val="17"/>
          <w:sz w:val="24"/>
          <w:szCs w:val="24"/>
        </w:rPr>
        <w:t>“</w:t>
      </w:r>
      <w:r>
        <w:rPr>
          <w:rFonts w:ascii="宋体" w:hAnsi="宋体" w:eastAsia="宋体" w:cs="宋体"/>
          <w:spacing w:val="-3"/>
          <w:position w:val="17"/>
          <w:sz w:val="24"/>
          <w:szCs w:val="24"/>
        </w:rPr>
        <w:t>十四五</w:t>
      </w:r>
      <w:r>
        <w:rPr>
          <w:rFonts w:ascii="Times New Roman" w:hAnsi="Times New Roman" w:eastAsia="Times New Roman" w:cs="Times New Roman"/>
          <w:spacing w:val="-3"/>
          <w:position w:val="17"/>
          <w:sz w:val="24"/>
          <w:szCs w:val="24"/>
        </w:rPr>
        <w:t>”</w:t>
      </w:r>
      <w:r>
        <w:rPr>
          <w:rFonts w:ascii="宋体" w:hAnsi="宋体" w:eastAsia="宋体" w:cs="宋体"/>
          <w:spacing w:val="-3"/>
          <w:position w:val="17"/>
          <w:sz w:val="24"/>
          <w:szCs w:val="24"/>
        </w:rPr>
        <w:t>规划》；</w:t>
      </w:r>
    </w:p>
    <w:p>
      <w:pPr>
        <w:spacing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）《文成县环境空气质量功能区划分》；</w:t>
      </w:r>
    </w:p>
    <w:p>
      <w:pPr>
        <w:spacing w:before="179" w:line="468" w:lineRule="exact"/>
        <w:ind w:left="524"/>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5</w:t>
      </w:r>
      <w:r>
        <w:rPr>
          <w:rFonts w:ascii="宋体" w:hAnsi="宋体" w:eastAsia="宋体" w:cs="宋体"/>
          <w:spacing w:val="-1"/>
          <w:position w:val="17"/>
          <w:sz w:val="24"/>
          <w:szCs w:val="24"/>
        </w:rPr>
        <w:t>）《文成县</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三线一单</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生态环境分区管控方案》（</w:t>
      </w:r>
      <w:r>
        <w:rPr>
          <w:rFonts w:ascii="Times New Roman" w:hAnsi="Times New Roman" w:eastAsia="Times New Roman" w:cs="Times New Roman"/>
          <w:spacing w:val="-1"/>
          <w:position w:val="17"/>
          <w:sz w:val="24"/>
          <w:szCs w:val="24"/>
        </w:rPr>
        <w:t xml:space="preserve">2020 </w:t>
      </w:r>
      <w:r>
        <w:rPr>
          <w:rFonts w:ascii="宋体" w:hAnsi="宋体" w:eastAsia="宋体" w:cs="宋体"/>
          <w:spacing w:val="-1"/>
          <w:position w:val="17"/>
          <w:sz w:val="24"/>
          <w:szCs w:val="24"/>
        </w:rPr>
        <w:t>年</w:t>
      </w:r>
      <w:r>
        <w:rPr>
          <w:rFonts w:ascii="宋体" w:hAnsi="宋体" w:eastAsia="宋体" w:cs="宋体"/>
          <w:spacing w:val="-11"/>
          <w:position w:val="17"/>
          <w:sz w:val="24"/>
          <w:szCs w:val="24"/>
        </w:rPr>
        <w:t>）；</w:t>
      </w:r>
    </w:p>
    <w:p>
      <w:pPr>
        <w:spacing w:before="1" w:line="219"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）《文成县域总体规划（</w:t>
      </w:r>
      <w:r>
        <w:rPr>
          <w:rFonts w:ascii="Times New Roman" w:hAnsi="Times New Roman" w:eastAsia="Times New Roman" w:cs="Times New Roman"/>
          <w:spacing w:val="-2"/>
          <w:sz w:val="24"/>
          <w:szCs w:val="24"/>
        </w:rPr>
        <w:t xml:space="preserve">2006-2020 </w:t>
      </w:r>
      <w:r>
        <w:rPr>
          <w:rFonts w:ascii="宋体" w:hAnsi="宋体" w:eastAsia="宋体" w:cs="宋体"/>
          <w:spacing w:val="-2"/>
          <w:sz w:val="24"/>
          <w:szCs w:val="24"/>
        </w:rPr>
        <w:t>年</w:t>
      </w:r>
      <w:r>
        <w:rPr>
          <w:rFonts w:ascii="宋体" w:hAnsi="宋体" w:eastAsia="宋体" w:cs="宋体"/>
          <w:spacing w:val="-3"/>
          <w:sz w:val="24"/>
          <w:szCs w:val="24"/>
        </w:rPr>
        <w:t>）》；</w:t>
      </w:r>
    </w:p>
    <w:p>
      <w:pPr>
        <w:spacing w:before="180" w:line="468" w:lineRule="exact"/>
        <w:ind w:left="524"/>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7</w:t>
      </w:r>
      <w:r>
        <w:rPr>
          <w:rFonts w:ascii="宋体" w:hAnsi="宋体" w:eastAsia="宋体" w:cs="宋体"/>
          <w:spacing w:val="-1"/>
          <w:position w:val="17"/>
          <w:sz w:val="24"/>
          <w:szCs w:val="24"/>
        </w:rPr>
        <w:t>）《文成县国土空间总体规划（</w:t>
      </w:r>
      <w:r>
        <w:rPr>
          <w:rFonts w:ascii="Times New Roman" w:hAnsi="Times New Roman" w:eastAsia="Times New Roman" w:cs="Times New Roman"/>
          <w:spacing w:val="-1"/>
          <w:position w:val="17"/>
          <w:sz w:val="24"/>
          <w:szCs w:val="24"/>
        </w:rPr>
        <w:t xml:space="preserve">2020-2035 </w:t>
      </w:r>
      <w:r>
        <w:rPr>
          <w:rFonts w:ascii="宋体" w:hAnsi="宋体" w:eastAsia="宋体" w:cs="宋体"/>
          <w:spacing w:val="-1"/>
          <w:position w:val="17"/>
          <w:sz w:val="24"/>
          <w:szCs w:val="24"/>
        </w:rPr>
        <w:t>年）》（</w:t>
      </w:r>
      <w:r>
        <w:rPr>
          <w:rFonts w:ascii="宋体" w:hAnsi="宋体" w:eastAsia="宋体" w:cs="宋体"/>
          <w:spacing w:val="-2"/>
          <w:position w:val="17"/>
          <w:sz w:val="24"/>
          <w:szCs w:val="24"/>
        </w:rPr>
        <w:t>评审稿</w:t>
      </w:r>
      <w:r>
        <w:rPr>
          <w:rFonts w:ascii="宋体" w:hAnsi="宋体" w:eastAsia="宋体" w:cs="宋体"/>
          <w:spacing w:val="-9"/>
          <w:position w:val="17"/>
          <w:sz w:val="24"/>
          <w:szCs w:val="24"/>
        </w:rPr>
        <w:t>）；</w:t>
      </w:r>
    </w:p>
    <w:p>
      <w:pPr>
        <w:spacing w:before="1" w:line="219" w:lineRule="auto"/>
        <w:ind w:left="52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）《文成县国土空间规划</w:t>
      </w:r>
      <w:r>
        <w:rPr>
          <w:rFonts w:ascii="Times New Roman" w:hAnsi="Times New Roman" w:eastAsia="Times New Roman" w:cs="Times New Roman"/>
          <w:spacing w:val="-1"/>
          <w:sz w:val="24"/>
          <w:szCs w:val="24"/>
        </w:rPr>
        <w:t>“</w:t>
      </w:r>
      <w:r>
        <w:rPr>
          <w:rFonts w:ascii="宋体" w:hAnsi="宋体" w:eastAsia="宋体" w:cs="宋体"/>
          <w:spacing w:val="-1"/>
          <w:sz w:val="24"/>
          <w:szCs w:val="24"/>
        </w:rPr>
        <w:t>三区三线</w:t>
      </w:r>
      <w:r>
        <w:rPr>
          <w:rFonts w:ascii="Times New Roman" w:hAnsi="Times New Roman" w:eastAsia="Times New Roman" w:cs="Times New Roman"/>
          <w:spacing w:val="-1"/>
          <w:sz w:val="24"/>
          <w:szCs w:val="24"/>
        </w:rPr>
        <w:t>”</w:t>
      </w:r>
      <w:r>
        <w:rPr>
          <w:rFonts w:ascii="宋体" w:hAnsi="宋体" w:eastAsia="宋体" w:cs="宋体"/>
          <w:spacing w:val="-1"/>
          <w:sz w:val="24"/>
          <w:szCs w:val="24"/>
        </w:rPr>
        <w:t>划定成果》（</w:t>
      </w:r>
      <w:r>
        <w:rPr>
          <w:rFonts w:ascii="Times New Roman" w:hAnsi="Times New Roman" w:eastAsia="Times New Roman" w:cs="Times New Roman"/>
          <w:spacing w:val="-1"/>
          <w:sz w:val="24"/>
          <w:szCs w:val="24"/>
        </w:rPr>
        <w:t xml:space="preserve">2022 </w:t>
      </w:r>
      <w:r>
        <w:rPr>
          <w:rFonts w:ascii="宋体" w:hAnsi="宋体" w:eastAsia="宋体" w:cs="宋体"/>
          <w:spacing w:val="-1"/>
          <w:sz w:val="24"/>
          <w:szCs w:val="24"/>
        </w:rPr>
        <w:t>年</w:t>
      </w:r>
      <w:r>
        <w:rPr>
          <w:rFonts w:ascii="宋体" w:hAnsi="宋体" w:eastAsia="宋体" w:cs="宋体"/>
          <w:spacing w:val="-9"/>
          <w:sz w:val="24"/>
          <w:szCs w:val="24"/>
        </w:rPr>
        <w:t>）；</w:t>
      </w:r>
    </w:p>
    <w:p>
      <w:pPr>
        <w:spacing w:before="180" w:line="468" w:lineRule="exact"/>
        <w:ind w:left="524"/>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9</w:t>
      </w:r>
      <w:r>
        <w:rPr>
          <w:rFonts w:ascii="宋体" w:hAnsi="宋体" w:eastAsia="宋体" w:cs="宋体"/>
          <w:position w:val="17"/>
          <w:sz w:val="24"/>
          <w:szCs w:val="24"/>
        </w:rPr>
        <w:t>）《文成县中心城区声环境功能区调整方案环境噪声功</w:t>
      </w:r>
      <w:r>
        <w:rPr>
          <w:rFonts w:ascii="宋体" w:hAnsi="宋体" w:eastAsia="宋体" w:cs="宋体"/>
          <w:spacing w:val="-1"/>
          <w:position w:val="17"/>
          <w:sz w:val="24"/>
          <w:szCs w:val="24"/>
        </w:rPr>
        <w:t>能区规定》（文</w:t>
      </w:r>
    </w:p>
    <w:p>
      <w:pPr>
        <w:spacing w:before="1" w:line="219" w:lineRule="auto"/>
        <w:ind w:left="37"/>
        <w:rPr>
          <w:rFonts w:ascii="宋体" w:hAnsi="宋体" w:eastAsia="宋体" w:cs="宋体"/>
          <w:sz w:val="24"/>
          <w:szCs w:val="24"/>
        </w:rPr>
      </w:pPr>
      <w:r>
        <w:rPr>
          <w:rFonts w:ascii="宋体" w:hAnsi="宋体" w:eastAsia="宋体" w:cs="宋体"/>
          <w:spacing w:val="-6"/>
          <w:sz w:val="24"/>
          <w:szCs w:val="24"/>
        </w:rPr>
        <w:t>政办发〔</w:t>
      </w:r>
      <w:r>
        <w:rPr>
          <w:rFonts w:ascii="Times New Roman" w:hAnsi="Times New Roman" w:eastAsia="Times New Roman" w:cs="Times New Roman"/>
          <w:spacing w:val="-6"/>
          <w:sz w:val="24"/>
          <w:szCs w:val="24"/>
        </w:rPr>
        <w:t>2014</w:t>
      </w:r>
      <w:r>
        <w:rPr>
          <w:rFonts w:ascii="宋体" w:hAnsi="宋体" w:eastAsia="宋体" w:cs="宋体"/>
          <w:spacing w:val="-6"/>
          <w:sz w:val="24"/>
          <w:szCs w:val="24"/>
        </w:rPr>
        <w:t>〕</w:t>
      </w:r>
      <w:r>
        <w:rPr>
          <w:rFonts w:ascii="Times New Roman" w:hAnsi="Times New Roman" w:eastAsia="Times New Roman" w:cs="Times New Roman"/>
          <w:spacing w:val="-6"/>
          <w:sz w:val="24"/>
          <w:szCs w:val="24"/>
        </w:rPr>
        <w:t>144</w:t>
      </w:r>
      <w:r>
        <w:rPr>
          <w:rFonts w:ascii="Times New Roman" w:hAnsi="Times New Roman" w:eastAsia="Times New Roman" w:cs="Times New Roman"/>
          <w:spacing w:val="16"/>
          <w:w w:val="101"/>
          <w:sz w:val="24"/>
          <w:szCs w:val="24"/>
        </w:rPr>
        <w:t xml:space="preserve"> </w:t>
      </w:r>
      <w:r>
        <w:rPr>
          <w:rFonts w:ascii="宋体" w:hAnsi="宋体" w:eastAsia="宋体" w:cs="宋体"/>
          <w:spacing w:val="-6"/>
          <w:sz w:val="24"/>
          <w:szCs w:val="24"/>
        </w:rPr>
        <w:t>号，</w:t>
      </w:r>
      <w:r>
        <w:rPr>
          <w:rFonts w:ascii="宋体" w:hAnsi="宋体" w:eastAsia="宋体" w:cs="宋体"/>
          <w:spacing w:val="-36"/>
          <w:sz w:val="24"/>
          <w:szCs w:val="24"/>
        </w:rPr>
        <w:t xml:space="preserve"> </w:t>
      </w:r>
      <w:r>
        <w:rPr>
          <w:rFonts w:ascii="Times New Roman" w:hAnsi="Times New Roman" w:eastAsia="Times New Roman" w:cs="Times New Roman"/>
          <w:spacing w:val="-6"/>
          <w:sz w:val="24"/>
          <w:szCs w:val="24"/>
        </w:rPr>
        <w:t xml:space="preserve">2014 </w:t>
      </w:r>
      <w:r>
        <w:rPr>
          <w:rFonts w:ascii="宋体" w:hAnsi="宋体" w:eastAsia="宋体" w:cs="宋体"/>
          <w:spacing w:val="-6"/>
          <w:sz w:val="24"/>
          <w:szCs w:val="24"/>
        </w:rPr>
        <w:t>年</w:t>
      </w:r>
      <w:r>
        <w:rPr>
          <w:rFonts w:ascii="宋体" w:hAnsi="宋体" w:eastAsia="宋体" w:cs="宋体"/>
          <w:spacing w:val="-12"/>
          <w:sz w:val="24"/>
          <w:szCs w:val="24"/>
        </w:rPr>
        <w:t>）；</w:t>
      </w:r>
    </w:p>
    <w:p>
      <w:pPr>
        <w:spacing w:before="181" w:line="221" w:lineRule="auto"/>
        <w:ind w:left="524"/>
        <w:rPr>
          <w:rFonts w:ascii="Times New Roman" w:hAnsi="Times New Roman" w:eastAsia="Times New Roman" w:cs="Times New Roman"/>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10</w:t>
      </w:r>
      <w:r>
        <w:rPr>
          <w:rFonts w:ascii="宋体" w:hAnsi="宋体" w:eastAsia="宋体" w:cs="宋体"/>
          <w:spacing w:val="-4"/>
          <w:sz w:val="24"/>
          <w:szCs w:val="24"/>
        </w:rPr>
        <w:t>）《文成县综合交通运输发展</w:t>
      </w:r>
      <w:r>
        <w:rPr>
          <w:rFonts w:ascii="Times New Roman" w:hAnsi="Times New Roman" w:eastAsia="Times New Roman" w:cs="Times New Roman"/>
          <w:spacing w:val="-4"/>
          <w:sz w:val="24"/>
          <w:szCs w:val="24"/>
        </w:rPr>
        <w:t>“</w:t>
      </w:r>
      <w:r>
        <w:rPr>
          <w:rFonts w:ascii="宋体" w:hAnsi="宋体" w:eastAsia="宋体" w:cs="宋体"/>
          <w:spacing w:val="-4"/>
          <w:sz w:val="24"/>
          <w:szCs w:val="24"/>
        </w:rPr>
        <w:t>十四五</w:t>
      </w:r>
      <w:r>
        <w:rPr>
          <w:rFonts w:ascii="Times New Roman" w:hAnsi="Times New Roman" w:eastAsia="Times New Roman" w:cs="Times New Roman"/>
          <w:spacing w:val="-4"/>
          <w:sz w:val="24"/>
          <w:szCs w:val="24"/>
        </w:rPr>
        <w:t>”</w:t>
      </w:r>
      <w:r>
        <w:rPr>
          <w:rFonts w:ascii="宋体" w:hAnsi="宋体" w:eastAsia="宋体" w:cs="宋体"/>
          <w:spacing w:val="-4"/>
          <w:sz w:val="24"/>
          <w:szCs w:val="24"/>
        </w:rPr>
        <w:t>规划》</w:t>
      </w:r>
      <w:r>
        <w:rPr>
          <w:rFonts w:ascii="宋体" w:hAnsi="宋体" w:eastAsia="宋体" w:cs="宋体"/>
          <w:spacing w:val="-19"/>
          <w:sz w:val="24"/>
          <w:szCs w:val="24"/>
        </w:rPr>
        <w:t xml:space="preserve"> </w:t>
      </w:r>
      <w:r>
        <w:rPr>
          <w:rFonts w:ascii="Times New Roman" w:hAnsi="Times New Roman" w:eastAsia="Times New Roman" w:cs="Times New Roman"/>
          <w:spacing w:val="-4"/>
          <w:sz w:val="24"/>
          <w:szCs w:val="24"/>
        </w:rPr>
        <w:t>;</w:t>
      </w:r>
    </w:p>
    <w:p>
      <w:pPr>
        <w:spacing w:line="221" w:lineRule="auto"/>
        <w:rPr>
          <w:rFonts w:ascii="Times New Roman" w:hAnsi="Times New Roman" w:eastAsia="Times New Roman" w:cs="Times New Roman"/>
          <w:sz w:val="24"/>
          <w:szCs w:val="24"/>
        </w:rPr>
        <w:sectPr>
          <w:headerReference r:id="rId27" w:type="default"/>
          <w:footerReference r:id="rId28" w:type="default"/>
          <w:pgSz w:w="11907" w:h="16839"/>
          <w:pgMar w:top="1118" w:right="1693" w:bottom="1184" w:left="1771" w:header="879" w:footer="1024" w:gutter="0"/>
          <w:cols w:space="720" w:num="1"/>
        </w:sectPr>
      </w:pPr>
    </w:p>
    <w:p>
      <w:pPr>
        <w:pStyle w:val="2"/>
        <w:spacing w:line="278" w:lineRule="auto"/>
      </w:pPr>
    </w:p>
    <w:p>
      <w:pPr>
        <w:spacing w:before="78" w:line="219"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11</w:t>
      </w:r>
      <w:r>
        <w:rPr>
          <w:rFonts w:ascii="宋体" w:hAnsi="宋体" w:eastAsia="宋体" w:cs="宋体"/>
          <w:spacing w:val="-2"/>
          <w:sz w:val="24"/>
          <w:szCs w:val="24"/>
        </w:rPr>
        <w:t>）《百丈漈</w:t>
      </w:r>
      <w:r>
        <w:rPr>
          <w:rFonts w:ascii="Times New Roman" w:hAnsi="Times New Roman" w:eastAsia="Times New Roman" w:cs="Times New Roman"/>
          <w:spacing w:val="-2"/>
          <w:sz w:val="24"/>
          <w:szCs w:val="24"/>
        </w:rPr>
        <w:t>--</w:t>
      </w:r>
      <w:r>
        <w:rPr>
          <w:rFonts w:ascii="宋体" w:hAnsi="宋体" w:eastAsia="宋体" w:cs="宋体"/>
          <w:spacing w:val="-2"/>
          <w:sz w:val="24"/>
          <w:szCs w:val="24"/>
        </w:rPr>
        <w:t>飞云湖风景名胜区总体规划（</w:t>
      </w:r>
      <w:r>
        <w:rPr>
          <w:rFonts w:ascii="Times New Roman" w:hAnsi="Times New Roman" w:eastAsia="Times New Roman" w:cs="Times New Roman"/>
          <w:spacing w:val="-2"/>
          <w:sz w:val="24"/>
          <w:szCs w:val="24"/>
        </w:rPr>
        <w:t xml:space="preserve">2013-2025 </w:t>
      </w:r>
      <w:r>
        <w:rPr>
          <w:rFonts w:ascii="宋体" w:hAnsi="宋体" w:eastAsia="宋体" w:cs="宋体"/>
          <w:spacing w:val="-2"/>
          <w:sz w:val="24"/>
          <w:szCs w:val="24"/>
        </w:rPr>
        <w:t>年）》；</w:t>
      </w:r>
    </w:p>
    <w:p>
      <w:pPr>
        <w:spacing w:before="183" w:line="466" w:lineRule="exact"/>
        <w:jc w:val="right"/>
        <w:rPr>
          <w:rFonts w:ascii="宋体" w:hAnsi="宋体" w:eastAsia="宋体" w:cs="宋体"/>
          <w:sz w:val="24"/>
          <w:szCs w:val="24"/>
        </w:rPr>
      </w:pPr>
      <w:r>
        <w:rPr>
          <w:rFonts w:ascii="宋体" w:hAnsi="宋体" w:eastAsia="宋体" w:cs="宋体"/>
          <w:spacing w:val="-9"/>
          <w:position w:val="17"/>
          <w:sz w:val="24"/>
          <w:szCs w:val="24"/>
        </w:rPr>
        <w:t>（</w:t>
      </w:r>
      <w:r>
        <w:rPr>
          <w:rFonts w:ascii="Times New Roman" w:hAnsi="Times New Roman" w:eastAsia="Times New Roman" w:cs="Times New Roman"/>
          <w:spacing w:val="-9"/>
          <w:position w:val="17"/>
          <w:sz w:val="24"/>
          <w:szCs w:val="24"/>
        </w:rPr>
        <w:t>12</w:t>
      </w:r>
      <w:r>
        <w:rPr>
          <w:rFonts w:ascii="宋体" w:hAnsi="宋体" w:eastAsia="宋体" w:cs="宋体"/>
          <w:spacing w:val="-9"/>
          <w:position w:val="17"/>
          <w:sz w:val="24"/>
          <w:szCs w:val="24"/>
        </w:rPr>
        <w:t>）《百丈漈</w:t>
      </w:r>
      <w:r>
        <w:rPr>
          <w:rFonts w:ascii="Times New Roman" w:hAnsi="Times New Roman" w:eastAsia="Times New Roman" w:cs="Times New Roman"/>
          <w:spacing w:val="-9"/>
          <w:position w:val="17"/>
          <w:sz w:val="24"/>
          <w:szCs w:val="24"/>
        </w:rPr>
        <w:t>--</w:t>
      </w:r>
      <w:r>
        <w:rPr>
          <w:rFonts w:ascii="宋体" w:hAnsi="宋体" w:eastAsia="宋体" w:cs="宋体"/>
          <w:spacing w:val="-9"/>
          <w:position w:val="17"/>
          <w:sz w:val="24"/>
          <w:szCs w:val="24"/>
        </w:rPr>
        <w:t>飞云湖风景名胜区总体规划（</w:t>
      </w:r>
      <w:r>
        <w:rPr>
          <w:rFonts w:ascii="Times New Roman" w:hAnsi="Times New Roman" w:eastAsia="Times New Roman" w:cs="Times New Roman"/>
          <w:spacing w:val="-9"/>
          <w:position w:val="17"/>
          <w:sz w:val="24"/>
          <w:szCs w:val="24"/>
        </w:rPr>
        <w:t xml:space="preserve">2021-2035 </w:t>
      </w:r>
      <w:r>
        <w:rPr>
          <w:rFonts w:ascii="宋体" w:hAnsi="宋体" w:eastAsia="宋体" w:cs="宋体"/>
          <w:spacing w:val="-9"/>
          <w:position w:val="17"/>
          <w:sz w:val="24"/>
          <w:szCs w:val="24"/>
        </w:rPr>
        <w:t>年）》（上报稿</w:t>
      </w:r>
      <w:r>
        <w:rPr>
          <w:rFonts w:ascii="宋体" w:hAnsi="宋体" w:eastAsia="宋体" w:cs="宋体"/>
          <w:spacing w:val="-21"/>
          <w:position w:val="17"/>
          <w:sz w:val="24"/>
          <w:szCs w:val="24"/>
        </w:rPr>
        <w:t>）</w:t>
      </w:r>
      <w:r>
        <w:rPr>
          <w:rFonts w:ascii="宋体" w:hAnsi="宋体" w:eastAsia="宋体" w:cs="宋体"/>
          <w:spacing w:val="-64"/>
          <w:position w:val="17"/>
          <w:sz w:val="24"/>
          <w:szCs w:val="24"/>
        </w:rPr>
        <w:t xml:space="preserve"> </w:t>
      </w:r>
      <w:r>
        <w:rPr>
          <w:rFonts w:ascii="宋体" w:hAnsi="宋体" w:eastAsia="宋体" w:cs="宋体"/>
          <w:spacing w:val="-21"/>
          <w:position w:val="17"/>
          <w:sz w:val="24"/>
          <w:szCs w:val="24"/>
        </w:rPr>
        <w:t>；</w:t>
      </w:r>
    </w:p>
    <w:p>
      <w:pPr>
        <w:spacing w:line="219"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13</w:t>
      </w:r>
      <w:r>
        <w:rPr>
          <w:rFonts w:ascii="宋体" w:hAnsi="宋体" w:eastAsia="宋体" w:cs="宋体"/>
          <w:spacing w:val="-2"/>
          <w:sz w:val="24"/>
          <w:szCs w:val="24"/>
        </w:rPr>
        <w:t>）《文成县西坑畲族镇总体规划修编（</w:t>
      </w:r>
      <w:r>
        <w:rPr>
          <w:rFonts w:ascii="Times New Roman" w:hAnsi="Times New Roman" w:eastAsia="Times New Roman" w:cs="Times New Roman"/>
          <w:spacing w:val="-2"/>
          <w:sz w:val="24"/>
          <w:szCs w:val="24"/>
        </w:rPr>
        <w:t>2011-2020</w:t>
      </w:r>
      <w:r>
        <w:rPr>
          <w:rFonts w:ascii="宋体" w:hAnsi="宋体" w:eastAsia="宋体" w:cs="宋体"/>
          <w:spacing w:val="-2"/>
          <w:sz w:val="24"/>
          <w:szCs w:val="24"/>
        </w:rPr>
        <w:t>）》；</w:t>
      </w:r>
    </w:p>
    <w:p>
      <w:pPr>
        <w:spacing w:before="181"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14</w:t>
      </w:r>
      <w:r>
        <w:rPr>
          <w:rFonts w:ascii="宋体" w:hAnsi="宋体" w:eastAsia="宋体" w:cs="宋体"/>
          <w:spacing w:val="-3"/>
          <w:sz w:val="24"/>
          <w:szCs w:val="24"/>
        </w:rPr>
        <w:t>）《文成县西坑畲族镇控制性详细规划》（调整</w:t>
      </w:r>
      <w:r>
        <w:rPr>
          <w:rFonts w:ascii="宋体" w:hAnsi="宋体" w:eastAsia="宋体" w:cs="宋体"/>
          <w:sz w:val="24"/>
          <w:szCs w:val="24"/>
        </w:rPr>
        <w:t>）；</w:t>
      </w:r>
    </w:p>
    <w:p>
      <w:pPr>
        <w:spacing w:before="180" w:line="468" w:lineRule="exact"/>
        <w:ind w:left="524"/>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15</w:t>
      </w:r>
      <w:r>
        <w:rPr>
          <w:rFonts w:ascii="宋体" w:hAnsi="宋体" w:eastAsia="宋体" w:cs="宋体"/>
          <w:spacing w:val="-2"/>
          <w:position w:val="17"/>
          <w:sz w:val="24"/>
          <w:szCs w:val="24"/>
        </w:rPr>
        <w:t>）《文成县百丈漈镇城镇总体规划（</w:t>
      </w:r>
      <w:r>
        <w:rPr>
          <w:rFonts w:ascii="Times New Roman" w:hAnsi="Times New Roman" w:eastAsia="Times New Roman" w:cs="Times New Roman"/>
          <w:spacing w:val="-2"/>
          <w:position w:val="17"/>
          <w:sz w:val="24"/>
          <w:szCs w:val="24"/>
        </w:rPr>
        <w:t>2011-2020</w:t>
      </w:r>
      <w:r>
        <w:rPr>
          <w:rFonts w:ascii="宋体" w:hAnsi="宋体" w:eastAsia="宋体" w:cs="宋体"/>
          <w:spacing w:val="-2"/>
          <w:position w:val="17"/>
          <w:sz w:val="24"/>
          <w:szCs w:val="24"/>
        </w:rPr>
        <w:t>）</w:t>
      </w:r>
      <w:r>
        <w:rPr>
          <w:rFonts w:ascii="宋体" w:hAnsi="宋体" w:eastAsia="宋体" w:cs="宋体"/>
          <w:spacing w:val="-3"/>
          <w:position w:val="17"/>
          <w:sz w:val="24"/>
          <w:szCs w:val="24"/>
        </w:rPr>
        <w:t>》；</w:t>
      </w:r>
    </w:p>
    <w:p>
      <w:pPr>
        <w:spacing w:before="1" w:line="218"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16</w:t>
      </w:r>
      <w:r>
        <w:rPr>
          <w:rFonts w:ascii="宋体" w:hAnsi="宋体" w:eastAsia="宋体" w:cs="宋体"/>
          <w:spacing w:val="-3"/>
          <w:sz w:val="24"/>
          <w:szCs w:val="24"/>
        </w:rPr>
        <w:t>）《文成县百丈漈镇镇区控制性详细规划》（调整</w:t>
      </w:r>
      <w:r>
        <w:rPr>
          <w:rFonts w:ascii="宋体" w:hAnsi="宋体" w:eastAsia="宋体" w:cs="宋体"/>
          <w:spacing w:val="2"/>
          <w:sz w:val="24"/>
          <w:szCs w:val="24"/>
        </w:rPr>
        <w:t>）；</w:t>
      </w:r>
    </w:p>
    <w:p>
      <w:pPr>
        <w:spacing w:before="181" w:line="469" w:lineRule="exact"/>
        <w:ind w:left="524"/>
        <w:rPr>
          <w:rFonts w:ascii="宋体" w:hAnsi="宋体" w:eastAsia="宋体" w:cs="宋体"/>
          <w:sz w:val="24"/>
          <w:szCs w:val="24"/>
        </w:rPr>
      </w:pP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17</w:t>
      </w:r>
      <w:r>
        <w:rPr>
          <w:rFonts w:ascii="宋体" w:hAnsi="宋体" w:eastAsia="宋体" w:cs="宋体"/>
          <w:spacing w:val="-3"/>
          <w:position w:val="17"/>
          <w:sz w:val="24"/>
          <w:szCs w:val="24"/>
        </w:rPr>
        <w:t>）《温州市文成县西坑畲族镇让川村村庄规划》（调整</w:t>
      </w:r>
      <w:r>
        <w:rPr>
          <w:rFonts w:ascii="宋体" w:hAnsi="宋体" w:eastAsia="宋体" w:cs="宋体"/>
          <w:spacing w:val="5"/>
          <w:position w:val="17"/>
          <w:sz w:val="24"/>
          <w:szCs w:val="24"/>
        </w:rPr>
        <w:t>）；</w:t>
      </w:r>
    </w:p>
    <w:p>
      <w:pPr>
        <w:spacing w:before="1" w:line="218"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18</w:t>
      </w:r>
      <w:r>
        <w:rPr>
          <w:rFonts w:ascii="宋体" w:hAnsi="宋体" w:eastAsia="宋体" w:cs="宋体"/>
          <w:spacing w:val="-3"/>
          <w:sz w:val="24"/>
          <w:szCs w:val="24"/>
        </w:rPr>
        <w:t>）《文成县西坑畲族镇敖里村村庄规划》（调整</w:t>
      </w:r>
      <w:r>
        <w:rPr>
          <w:rFonts w:ascii="宋体" w:hAnsi="宋体" w:eastAsia="宋体" w:cs="宋体"/>
          <w:sz w:val="24"/>
          <w:szCs w:val="24"/>
        </w:rPr>
        <w:t>）；</w:t>
      </w:r>
    </w:p>
    <w:p>
      <w:pPr>
        <w:spacing w:before="181" w:line="219"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19</w:t>
      </w:r>
      <w:r>
        <w:rPr>
          <w:rFonts w:ascii="宋体" w:hAnsi="宋体" w:eastAsia="宋体" w:cs="宋体"/>
          <w:spacing w:val="-2"/>
          <w:sz w:val="24"/>
          <w:szCs w:val="24"/>
        </w:rPr>
        <w:t>）《文成县西坑畲族镇南坑垟村村庄规划》（调整）。</w:t>
      </w:r>
    </w:p>
    <w:p>
      <w:pPr>
        <w:spacing w:before="183" w:line="220" w:lineRule="auto"/>
        <w:ind w:left="34"/>
        <w:outlineLvl w:val="0"/>
        <w:rPr>
          <w:rFonts w:ascii="宋体" w:hAnsi="宋体" w:eastAsia="宋体" w:cs="宋体"/>
          <w:sz w:val="24"/>
          <w:szCs w:val="24"/>
        </w:rPr>
      </w:pPr>
      <w:r>
        <w:rPr>
          <w:rFonts w:ascii="Times New Roman" w:hAnsi="Times New Roman" w:eastAsia="Times New Roman" w:cs="Times New Roman"/>
          <w:b/>
          <w:bCs/>
          <w:sz w:val="24"/>
          <w:szCs w:val="24"/>
        </w:rPr>
        <w:t xml:space="preserve">2.1.4 </w:t>
      </w:r>
      <w:r>
        <w:rPr>
          <w:rFonts w:ascii="宋体" w:hAnsi="宋体" w:eastAsia="宋体" w:cs="宋体"/>
          <w:sz w:val="24"/>
          <w:szCs w:val="24"/>
          <w14:textOutline w14:w="4354" w14:cap="flat" w14:cmpd="sng">
            <w14:solidFill>
              <w14:srgbClr w14:val="000000"/>
            </w14:solidFill>
            <w14:prstDash w14:val="solid"/>
            <w14:miter w14:val="0"/>
          </w14:textOutline>
        </w:rPr>
        <w:t>有关技术规范</w:t>
      </w:r>
    </w:p>
    <w:p>
      <w:pPr>
        <w:spacing w:before="180" w:line="468" w:lineRule="exact"/>
        <w:ind w:left="518"/>
        <w:rPr>
          <w:rFonts w:ascii="宋体" w:hAnsi="宋体" w:eastAsia="宋体" w:cs="宋体"/>
          <w:sz w:val="24"/>
          <w:szCs w:val="24"/>
        </w:rPr>
      </w:pPr>
      <w:r>
        <w:rPr>
          <w:rFonts w:ascii="Times New Roman" w:hAnsi="Times New Roman" w:eastAsia="Times New Roman" w:cs="Times New Roman"/>
          <w:position w:val="17"/>
          <w:sz w:val="24"/>
          <w:szCs w:val="24"/>
        </w:rPr>
        <w:t>(1)</w:t>
      </w:r>
      <w:r>
        <w:rPr>
          <w:rFonts w:ascii="宋体" w:hAnsi="宋体" w:eastAsia="宋体" w:cs="宋体"/>
          <w:position w:val="17"/>
          <w:sz w:val="24"/>
          <w:szCs w:val="24"/>
        </w:rPr>
        <w:t>《建设项目环境影响评价技术导则 总纲》（</w:t>
      </w:r>
      <w:r>
        <w:rPr>
          <w:rFonts w:ascii="Times New Roman" w:hAnsi="Times New Roman" w:eastAsia="Times New Roman" w:cs="Times New Roman"/>
          <w:spacing w:val="-1"/>
          <w:position w:val="17"/>
          <w:sz w:val="24"/>
          <w:szCs w:val="24"/>
        </w:rPr>
        <w:t>HJ2.1-2016</w:t>
      </w:r>
      <w:r>
        <w:rPr>
          <w:rFonts w:ascii="宋体" w:hAnsi="宋体" w:eastAsia="宋体" w:cs="宋体"/>
          <w:spacing w:val="-14"/>
          <w:position w:val="17"/>
          <w:sz w:val="24"/>
          <w:szCs w:val="24"/>
        </w:rPr>
        <w:t>）；</w:t>
      </w:r>
    </w:p>
    <w:p>
      <w:pPr>
        <w:spacing w:before="1" w:line="212" w:lineRule="auto"/>
        <w:ind w:left="518"/>
        <w:rPr>
          <w:rFonts w:ascii="宋体" w:hAnsi="宋体" w:eastAsia="宋体" w:cs="宋体"/>
          <w:sz w:val="24"/>
          <w:szCs w:val="24"/>
        </w:rPr>
      </w:pPr>
      <w:r>
        <w:rPr>
          <w:rFonts w:ascii="Times New Roman" w:hAnsi="Times New Roman" w:eastAsia="Times New Roman" w:cs="Times New Roman"/>
          <w:sz w:val="24"/>
          <w:szCs w:val="24"/>
        </w:rPr>
        <w:t>(2)</w:t>
      </w:r>
      <w:r>
        <w:rPr>
          <w:rFonts w:ascii="宋体" w:hAnsi="宋体" w:eastAsia="宋体" w:cs="宋体"/>
          <w:sz w:val="24"/>
          <w:szCs w:val="24"/>
        </w:rPr>
        <w:t>《环境影响评价技术导则 大气环境》（</w:t>
      </w:r>
      <w:r>
        <w:rPr>
          <w:rFonts w:ascii="Times New Roman" w:hAnsi="Times New Roman" w:eastAsia="Times New Roman" w:cs="Times New Roman"/>
          <w:spacing w:val="-1"/>
          <w:sz w:val="24"/>
          <w:szCs w:val="24"/>
        </w:rPr>
        <w:t>HJ2.2-2018</w:t>
      </w:r>
      <w:r>
        <w:rPr>
          <w:rFonts w:ascii="宋体" w:hAnsi="宋体" w:eastAsia="宋体" w:cs="宋体"/>
          <w:spacing w:val="-15"/>
          <w:sz w:val="24"/>
          <w:szCs w:val="24"/>
        </w:rPr>
        <w:t>）；</w:t>
      </w:r>
    </w:p>
    <w:p>
      <w:pPr>
        <w:spacing w:before="189" w:line="468" w:lineRule="exact"/>
        <w:ind w:left="518"/>
        <w:rPr>
          <w:rFonts w:ascii="宋体" w:hAnsi="宋体" w:eastAsia="宋体" w:cs="宋体"/>
          <w:sz w:val="24"/>
          <w:szCs w:val="24"/>
        </w:rPr>
      </w:pPr>
      <w:r>
        <w:rPr>
          <w:rFonts w:ascii="Times New Roman" w:hAnsi="Times New Roman" w:eastAsia="Times New Roman" w:cs="Times New Roman"/>
          <w:position w:val="17"/>
          <w:sz w:val="24"/>
          <w:szCs w:val="24"/>
        </w:rPr>
        <w:t>(3)</w:t>
      </w:r>
      <w:r>
        <w:rPr>
          <w:rFonts w:ascii="宋体" w:hAnsi="宋体" w:eastAsia="宋体" w:cs="宋体"/>
          <w:position w:val="17"/>
          <w:sz w:val="24"/>
          <w:szCs w:val="24"/>
        </w:rPr>
        <w:t>《环境影响评价技术导则 地表水环境》（</w:t>
      </w:r>
      <w:r>
        <w:rPr>
          <w:rFonts w:ascii="Times New Roman" w:hAnsi="Times New Roman" w:eastAsia="Times New Roman" w:cs="Times New Roman"/>
          <w:spacing w:val="-1"/>
          <w:position w:val="17"/>
          <w:sz w:val="24"/>
          <w:szCs w:val="24"/>
        </w:rPr>
        <w:t>HJ2.3-2018</w:t>
      </w:r>
      <w:r>
        <w:rPr>
          <w:rFonts w:ascii="宋体" w:hAnsi="宋体" w:eastAsia="宋体" w:cs="宋体"/>
          <w:spacing w:val="-15"/>
          <w:position w:val="17"/>
          <w:sz w:val="24"/>
          <w:szCs w:val="24"/>
        </w:rPr>
        <w:t>）；</w:t>
      </w:r>
    </w:p>
    <w:p>
      <w:pPr>
        <w:spacing w:before="1" w:line="212" w:lineRule="auto"/>
        <w:ind w:left="518"/>
        <w:rPr>
          <w:rFonts w:ascii="宋体" w:hAnsi="宋体" w:eastAsia="宋体" w:cs="宋体"/>
          <w:sz w:val="24"/>
          <w:szCs w:val="24"/>
        </w:rPr>
      </w:pPr>
      <w:r>
        <w:rPr>
          <w:rFonts w:ascii="Times New Roman" w:hAnsi="Times New Roman" w:eastAsia="Times New Roman" w:cs="Times New Roman"/>
          <w:sz w:val="24"/>
          <w:szCs w:val="24"/>
        </w:rPr>
        <w:t>(4)</w:t>
      </w:r>
      <w:r>
        <w:rPr>
          <w:rFonts w:ascii="宋体" w:hAnsi="宋体" w:eastAsia="宋体" w:cs="宋体"/>
          <w:sz w:val="24"/>
          <w:szCs w:val="24"/>
        </w:rPr>
        <w:t>《环境影响评价技术导则 声环境》（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2.4-2021</w:t>
      </w:r>
      <w:r>
        <w:rPr>
          <w:rFonts w:ascii="宋体" w:hAnsi="宋体" w:eastAsia="宋体" w:cs="宋体"/>
          <w:spacing w:val="-14"/>
          <w:sz w:val="24"/>
          <w:szCs w:val="24"/>
        </w:rPr>
        <w:t>）；</w:t>
      </w:r>
    </w:p>
    <w:p>
      <w:pPr>
        <w:spacing w:before="188" w:line="213" w:lineRule="auto"/>
        <w:ind w:left="518"/>
        <w:rPr>
          <w:rFonts w:ascii="宋体" w:hAnsi="宋体" w:eastAsia="宋体" w:cs="宋体"/>
          <w:sz w:val="24"/>
          <w:szCs w:val="24"/>
        </w:rPr>
      </w:pPr>
      <w:r>
        <w:rPr>
          <w:rFonts w:ascii="Times New Roman" w:hAnsi="Times New Roman" w:eastAsia="Times New Roman" w:cs="Times New Roman"/>
          <w:sz w:val="24"/>
          <w:szCs w:val="24"/>
        </w:rPr>
        <w:t>(5)</w:t>
      </w:r>
      <w:r>
        <w:rPr>
          <w:rFonts w:ascii="宋体" w:hAnsi="宋体" w:eastAsia="宋体" w:cs="宋体"/>
          <w:sz w:val="24"/>
          <w:szCs w:val="24"/>
        </w:rPr>
        <w:t>《环境影响评价技术导则 生态影响》</w:t>
      </w:r>
      <w:r>
        <w:rPr>
          <w:rFonts w:ascii="宋体" w:hAnsi="宋体" w:eastAsia="宋体" w:cs="宋体"/>
          <w:spacing w:val="-1"/>
          <w:sz w:val="24"/>
          <w:szCs w:val="24"/>
        </w:rPr>
        <w:t>（</w:t>
      </w:r>
      <w:r>
        <w:rPr>
          <w:rFonts w:ascii="Times New Roman" w:hAnsi="Times New Roman" w:eastAsia="Times New Roman" w:cs="Times New Roman"/>
          <w:spacing w:val="-1"/>
          <w:sz w:val="24"/>
          <w:szCs w:val="24"/>
        </w:rPr>
        <w:t>HJ19-2022</w:t>
      </w:r>
      <w:r>
        <w:rPr>
          <w:rFonts w:ascii="宋体" w:hAnsi="宋体" w:eastAsia="宋体" w:cs="宋体"/>
          <w:spacing w:val="-15"/>
          <w:sz w:val="24"/>
          <w:szCs w:val="24"/>
        </w:rPr>
        <w:t>）；</w:t>
      </w:r>
    </w:p>
    <w:p>
      <w:pPr>
        <w:spacing w:before="192" w:line="468" w:lineRule="exact"/>
        <w:ind w:left="518"/>
        <w:rPr>
          <w:rFonts w:ascii="宋体" w:hAnsi="宋体" w:eastAsia="宋体" w:cs="宋体"/>
          <w:sz w:val="24"/>
          <w:szCs w:val="24"/>
        </w:rPr>
      </w:pPr>
      <w:r>
        <w:rPr>
          <w:rFonts w:ascii="Times New Roman" w:hAnsi="Times New Roman" w:eastAsia="Times New Roman" w:cs="Times New Roman"/>
          <w:position w:val="17"/>
          <w:sz w:val="24"/>
          <w:szCs w:val="24"/>
        </w:rPr>
        <w:t>(6)</w:t>
      </w:r>
      <w:r>
        <w:rPr>
          <w:rFonts w:ascii="宋体" w:hAnsi="宋体" w:eastAsia="宋体" w:cs="宋体"/>
          <w:position w:val="17"/>
          <w:sz w:val="24"/>
          <w:szCs w:val="24"/>
        </w:rPr>
        <w:t>《环境影响评价技术导则 地下水环境》（</w:t>
      </w:r>
      <w:r>
        <w:rPr>
          <w:rFonts w:ascii="Times New Roman" w:hAnsi="Times New Roman" w:eastAsia="Times New Roman" w:cs="Times New Roman"/>
          <w:spacing w:val="-1"/>
          <w:position w:val="17"/>
          <w:sz w:val="24"/>
          <w:szCs w:val="24"/>
        </w:rPr>
        <w:t>HJ610-2016</w:t>
      </w:r>
      <w:r>
        <w:rPr>
          <w:rFonts w:ascii="宋体" w:hAnsi="宋体" w:eastAsia="宋体" w:cs="宋体"/>
          <w:spacing w:val="-15"/>
          <w:position w:val="17"/>
          <w:sz w:val="24"/>
          <w:szCs w:val="24"/>
        </w:rPr>
        <w:t>）；</w:t>
      </w:r>
    </w:p>
    <w:p>
      <w:pPr>
        <w:spacing w:before="1" w:line="212" w:lineRule="auto"/>
        <w:ind w:left="518"/>
        <w:rPr>
          <w:rFonts w:ascii="宋体" w:hAnsi="宋体" w:eastAsia="宋体" w:cs="宋体"/>
          <w:sz w:val="24"/>
          <w:szCs w:val="24"/>
        </w:rPr>
      </w:pPr>
      <w:r>
        <w:rPr>
          <w:rFonts w:ascii="Times New Roman" w:hAnsi="Times New Roman" w:eastAsia="Times New Roman" w:cs="Times New Roman"/>
          <w:sz w:val="24"/>
          <w:szCs w:val="24"/>
        </w:rPr>
        <w:t>(7)</w:t>
      </w:r>
      <w:r>
        <w:rPr>
          <w:rFonts w:ascii="宋体" w:hAnsi="宋体" w:eastAsia="宋体" w:cs="宋体"/>
          <w:sz w:val="24"/>
          <w:szCs w:val="24"/>
        </w:rPr>
        <w:t>《建设项目环境风险评价技术导则》（</w:t>
      </w:r>
      <w:r>
        <w:rPr>
          <w:rFonts w:ascii="Times New Roman" w:hAnsi="Times New Roman" w:eastAsia="Times New Roman" w:cs="Times New Roman"/>
          <w:spacing w:val="-1"/>
          <w:sz w:val="24"/>
          <w:szCs w:val="24"/>
        </w:rPr>
        <w:t>HJ169-2018</w:t>
      </w:r>
      <w:r>
        <w:rPr>
          <w:rFonts w:ascii="宋体" w:hAnsi="宋体" w:eastAsia="宋体" w:cs="宋体"/>
          <w:spacing w:val="-15"/>
          <w:sz w:val="24"/>
          <w:szCs w:val="24"/>
        </w:rPr>
        <w:t>）；</w:t>
      </w:r>
    </w:p>
    <w:p>
      <w:pPr>
        <w:spacing w:before="189" w:line="468" w:lineRule="exact"/>
        <w:ind w:left="518"/>
        <w:rPr>
          <w:rFonts w:ascii="宋体" w:hAnsi="宋体" w:eastAsia="宋体" w:cs="宋体"/>
          <w:sz w:val="24"/>
          <w:szCs w:val="24"/>
        </w:rPr>
      </w:pPr>
      <w:r>
        <w:rPr>
          <w:rFonts w:ascii="Times New Roman" w:hAnsi="Times New Roman" w:eastAsia="Times New Roman" w:cs="Times New Roman"/>
          <w:position w:val="17"/>
          <w:sz w:val="24"/>
          <w:szCs w:val="24"/>
        </w:rPr>
        <w:t>(8)</w:t>
      </w:r>
      <w:r>
        <w:rPr>
          <w:rFonts w:ascii="宋体" w:hAnsi="宋体" w:eastAsia="宋体" w:cs="宋体"/>
          <w:position w:val="17"/>
          <w:sz w:val="24"/>
          <w:szCs w:val="24"/>
        </w:rPr>
        <w:t>《环境影响评价技术导则 土壤环境（试行）》（</w:t>
      </w:r>
      <w:r>
        <w:rPr>
          <w:rFonts w:ascii="Times New Roman" w:hAnsi="Times New Roman" w:eastAsia="Times New Roman" w:cs="Times New Roman"/>
          <w:spacing w:val="-1"/>
          <w:position w:val="17"/>
          <w:sz w:val="24"/>
          <w:szCs w:val="24"/>
        </w:rPr>
        <w:t>HJ964-2018</w:t>
      </w:r>
      <w:r>
        <w:rPr>
          <w:rFonts w:ascii="宋体" w:hAnsi="宋体" w:eastAsia="宋体" w:cs="宋体"/>
          <w:spacing w:val="-14"/>
          <w:position w:val="17"/>
          <w:sz w:val="24"/>
          <w:szCs w:val="24"/>
        </w:rPr>
        <w:t>）；</w:t>
      </w:r>
    </w:p>
    <w:p>
      <w:pPr>
        <w:spacing w:before="1" w:line="212" w:lineRule="auto"/>
        <w:ind w:left="518"/>
        <w:rPr>
          <w:rFonts w:ascii="宋体" w:hAnsi="宋体" w:eastAsia="宋体" w:cs="宋体"/>
          <w:sz w:val="24"/>
          <w:szCs w:val="24"/>
        </w:rPr>
      </w:pPr>
      <w:r>
        <w:rPr>
          <w:rFonts w:ascii="Times New Roman" w:hAnsi="Times New Roman" w:eastAsia="Times New Roman" w:cs="Times New Roman"/>
          <w:sz w:val="24"/>
          <w:szCs w:val="24"/>
        </w:rPr>
        <w:t>(9)</w:t>
      </w:r>
      <w:r>
        <w:rPr>
          <w:rFonts w:ascii="宋体" w:hAnsi="宋体" w:eastAsia="宋体" w:cs="宋体"/>
          <w:sz w:val="24"/>
          <w:szCs w:val="24"/>
        </w:rPr>
        <w:t>《环境噪声与振动控制工程技术导则》（</w:t>
      </w:r>
      <w:r>
        <w:rPr>
          <w:rFonts w:ascii="Times New Roman" w:hAnsi="Times New Roman" w:eastAsia="Times New Roman" w:cs="Times New Roman"/>
          <w:sz w:val="24"/>
          <w:szCs w:val="24"/>
        </w:rPr>
        <w:t>H</w:t>
      </w:r>
      <w:r>
        <w:rPr>
          <w:rFonts w:ascii="Times New Roman" w:hAnsi="Times New Roman" w:eastAsia="Times New Roman" w:cs="Times New Roman"/>
          <w:spacing w:val="-1"/>
          <w:sz w:val="24"/>
          <w:szCs w:val="24"/>
        </w:rPr>
        <w:t>J2034-2013</w:t>
      </w:r>
      <w:r>
        <w:rPr>
          <w:rFonts w:ascii="宋体" w:hAnsi="宋体" w:eastAsia="宋体" w:cs="宋体"/>
          <w:spacing w:val="-15"/>
          <w:sz w:val="24"/>
          <w:szCs w:val="24"/>
        </w:rPr>
        <w:t>）；</w:t>
      </w:r>
    </w:p>
    <w:p>
      <w:pPr>
        <w:spacing w:before="189" w:line="468" w:lineRule="exact"/>
        <w:ind w:left="518"/>
        <w:rPr>
          <w:rFonts w:ascii="宋体" w:hAnsi="宋体" w:eastAsia="宋体" w:cs="宋体"/>
          <w:sz w:val="24"/>
          <w:szCs w:val="24"/>
        </w:rPr>
      </w:pPr>
      <w:r>
        <w:rPr>
          <w:rFonts w:ascii="Times New Roman" w:hAnsi="Times New Roman" w:eastAsia="Times New Roman" w:cs="Times New Roman"/>
          <w:spacing w:val="-1"/>
          <w:position w:val="17"/>
          <w:sz w:val="24"/>
          <w:szCs w:val="24"/>
        </w:rPr>
        <w:t>(10)</w:t>
      </w:r>
      <w:r>
        <w:rPr>
          <w:rFonts w:ascii="宋体" w:hAnsi="宋体" w:eastAsia="宋体" w:cs="宋体"/>
          <w:spacing w:val="-1"/>
          <w:position w:val="17"/>
          <w:sz w:val="24"/>
          <w:szCs w:val="24"/>
        </w:rPr>
        <w:t>《公路工程项目建设用地指标》（建标</w:t>
      </w:r>
      <w:r>
        <w:rPr>
          <w:rFonts w:ascii="Times New Roman" w:hAnsi="Times New Roman" w:eastAsia="Times New Roman" w:cs="Times New Roman"/>
          <w:spacing w:val="-1"/>
          <w:position w:val="17"/>
          <w:sz w:val="24"/>
          <w:szCs w:val="24"/>
        </w:rPr>
        <w:t xml:space="preserve">[2011]124 </w:t>
      </w:r>
      <w:r>
        <w:rPr>
          <w:rFonts w:ascii="宋体" w:hAnsi="宋体" w:eastAsia="宋体" w:cs="宋体"/>
          <w:spacing w:val="-1"/>
          <w:position w:val="17"/>
          <w:sz w:val="24"/>
          <w:szCs w:val="24"/>
        </w:rPr>
        <w:t>号</w:t>
      </w:r>
      <w:r>
        <w:rPr>
          <w:rFonts w:ascii="宋体" w:hAnsi="宋体" w:eastAsia="宋体" w:cs="宋体"/>
          <w:spacing w:val="-11"/>
          <w:position w:val="17"/>
          <w:sz w:val="24"/>
          <w:szCs w:val="24"/>
        </w:rPr>
        <w:t>）；</w:t>
      </w:r>
    </w:p>
    <w:p>
      <w:pPr>
        <w:spacing w:before="1" w:line="212" w:lineRule="auto"/>
        <w:ind w:left="518"/>
        <w:rPr>
          <w:rFonts w:ascii="宋体" w:hAnsi="宋体" w:eastAsia="宋体" w:cs="宋体"/>
          <w:sz w:val="24"/>
          <w:szCs w:val="24"/>
        </w:rPr>
      </w:pPr>
      <w:r>
        <w:rPr>
          <w:rFonts w:ascii="Times New Roman" w:hAnsi="Times New Roman" w:eastAsia="Times New Roman" w:cs="Times New Roman"/>
          <w:spacing w:val="-1"/>
          <w:sz w:val="24"/>
          <w:szCs w:val="24"/>
        </w:rPr>
        <w:t>(11)</w:t>
      </w:r>
      <w:r>
        <w:rPr>
          <w:rFonts w:ascii="宋体" w:hAnsi="宋体" w:eastAsia="宋体" w:cs="宋体"/>
          <w:spacing w:val="-1"/>
          <w:sz w:val="24"/>
          <w:szCs w:val="24"/>
        </w:rPr>
        <w:t>《公路工程技术标准》（</w:t>
      </w:r>
      <w:r>
        <w:rPr>
          <w:rFonts w:ascii="Times New Roman" w:hAnsi="Times New Roman" w:eastAsia="Times New Roman" w:cs="Times New Roman"/>
          <w:spacing w:val="-1"/>
          <w:sz w:val="24"/>
          <w:szCs w:val="24"/>
        </w:rPr>
        <w:t>JTGB01-2014</w:t>
      </w:r>
      <w:r>
        <w:rPr>
          <w:rFonts w:ascii="宋体" w:hAnsi="宋体" w:eastAsia="宋体" w:cs="宋体"/>
          <w:spacing w:val="-11"/>
          <w:sz w:val="24"/>
          <w:szCs w:val="24"/>
        </w:rPr>
        <w:t>）；</w:t>
      </w:r>
    </w:p>
    <w:p>
      <w:pPr>
        <w:spacing w:before="189" w:line="469" w:lineRule="exact"/>
        <w:ind w:left="518"/>
        <w:rPr>
          <w:rFonts w:ascii="宋体" w:hAnsi="宋体" w:eastAsia="宋体" w:cs="宋体"/>
          <w:sz w:val="24"/>
          <w:szCs w:val="24"/>
        </w:rPr>
      </w:pPr>
      <w:r>
        <w:rPr>
          <w:rFonts w:ascii="Times New Roman" w:hAnsi="Times New Roman" w:eastAsia="Times New Roman" w:cs="Times New Roman"/>
          <w:position w:val="17"/>
          <w:sz w:val="24"/>
          <w:szCs w:val="24"/>
        </w:rPr>
        <w:t>(12)</w:t>
      </w:r>
      <w:r>
        <w:rPr>
          <w:rFonts w:ascii="宋体" w:hAnsi="宋体" w:eastAsia="宋体" w:cs="宋体"/>
          <w:position w:val="17"/>
          <w:sz w:val="24"/>
          <w:szCs w:val="24"/>
        </w:rPr>
        <w:t>《公路环境保护设计规范》（</w:t>
      </w:r>
      <w:r>
        <w:rPr>
          <w:rFonts w:ascii="Times New Roman" w:hAnsi="Times New Roman" w:eastAsia="Times New Roman" w:cs="Times New Roman"/>
          <w:position w:val="17"/>
          <w:sz w:val="24"/>
          <w:szCs w:val="24"/>
        </w:rPr>
        <w:t>JT</w:t>
      </w:r>
      <w:r>
        <w:rPr>
          <w:rFonts w:ascii="Times New Roman" w:hAnsi="Times New Roman" w:eastAsia="Times New Roman" w:cs="Times New Roman"/>
          <w:spacing w:val="-1"/>
          <w:position w:val="17"/>
          <w:sz w:val="24"/>
          <w:szCs w:val="24"/>
        </w:rPr>
        <w:t>G B04-2010</w:t>
      </w:r>
      <w:r>
        <w:rPr>
          <w:rFonts w:ascii="宋体" w:hAnsi="宋体" w:eastAsia="宋体" w:cs="宋体"/>
          <w:spacing w:val="-14"/>
          <w:position w:val="17"/>
          <w:sz w:val="24"/>
          <w:szCs w:val="24"/>
        </w:rPr>
        <w:t>）；</w:t>
      </w:r>
    </w:p>
    <w:p>
      <w:pPr>
        <w:spacing w:before="1" w:line="212" w:lineRule="auto"/>
        <w:ind w:left="518"/>
        <w:rPr>
          <w:rFonts w:ascii="宋体" w:hAnsi="宋体" w:eastAsia="宋体" w:cs="宋体"/>
          <w:sz w:val="24"/>
          <w:szCs w:val="24"/>
        </w:rPr>
      </w:pPr>
      <w:r>
        <w:rPr>
          <w:rFonts w:ascii="Times New Roman" w:hAnsi="Times New Roman" w:eastAsia="Times New Roman" w:cs="Times New Roman"/>
          <w:spacing w:val="-1"/>
          <w:sz w:val="24"/>
          <w:szCs w:val="24"/>
        </w:rPr>
        <w:t>(13)</w:t>
      </w:r>
      <w:r>
        <w:rPr>
          <w:rFonts w:ascii="宋体" w:hAnsi="宋体" w:eastAsia="宋体" w:cs="宋体"/>
          <w:spacing w:val="-1"/>
          <w:sz w:val="24"/>
          <w:szCs w:val="24"/>
        </w:rPr>
        <w:t>《建筑环境通用规范》（</w:t>
      </w:r>
      <w:r>
        <w:rPr>
          <w:rFonts w:ascii="Times New Roman" w:hAnsi="Times New Roman" w:eastAsia="Times New Roman" w:cs="Times New Roman"/>
          <w:spacing w:val="-1"/>
          <w:sz w:val="24"/>
          <w:szCs w:val="24"/>
        </w:rPr>
        <w:t>GB 55016-2021</w:t>
      </w:r>
      <w:r>
        <w:rPr>
          <w:rFonts w:ascii="宋体" w:hAnsi="宋体" w:eastAsia="宋体" w:cs="宋体"/>
          <w:spacing w:val="-5"/>
          <w:sz w:val="24"/>
          <w:szCs w:val="24"/>
        </w:rPr>
        <w:t>）；</w:t>
      </w:r>
    </w:p>
    <w:p>
      <w:pPr>
        <w:spacing w:before="189" w:line="468" w:lineRule="exact"/>
        <w:ind w:left="518"/>
        <w:rPr>
          <w:rFonts w:ascii="宋体" w:hAnsi="宋体" w:eastAsia="宋体" w:cs="宋体"/>
          <w:sz w:val="24"/>
          <w:szCs w:val="24"/>
        </w:rPr>
      </w:pPr>
      <w:r>
        <w:rPr>
          <w:rFonts w:ascii="Times New Roman" w:hAnsi="Times New Roman" w:eastAsia="Times New Roman" w:cs="Times New Roman"/>
          <w:position w:val="17"/>
          <w:sz w:val="24"/>
          <w:szCs w:val="24"/>
        </w:rPr>
        <w:t>(14)</w:t>
      </w:r>
      <w:r>
        <w:rPr>
          <w:rFonts w:ascii="宋体" w:hAnsi="宋体" w:eastAsia="宋体" w:cs="宋体"/>
          <w:position w:val="17"/>
          <w:sz w:val="24"/>
          <w:szCs w:val="24"/>
        </w:rPr>
        <w:t>《声环境功能区划分技术规范》</w:t>
      </w:r>
      <w:r>
        <w:rPr>
          <w:rFonts w:ascii="Times New Roman" w:hAnsi="Times New Roman" w:eastAsia="Times New Roman" w:cs="Times New Roman"/>
          <w:position w:val="17"/>
          <w:sz w:val="24"/>
          <w:szCs w:val="24"/>
        </w:rPr>
        <w:t>(GB/T15</w:t>
      </w:r>
      <w:r>
        <w:rPr>
          <w:rFonts w:ascii="Times New Roman" w:hAnsi="Times New Roman" w:eastAsia="Times New Roman" w:cs="Times New Roman"/>
          <w:spacing w:val="-1"/>
          <w:position w:val="17"/>
          <w:sz w:val="24"/>
          <w:szCs w:val="24"/>
        </w:rPr>
        <w:t>190-2014)</w:t>
      </w:r>
      <w:r>
        <w:rPr>
          <w:rFonts w:ascii="宋体" w:hAnsi="宋体" w:eastAsia="宋体" w:cs="宋体"/>
          <w:spacing w:val="-1"/>
          <w:position w:val="17"/>
          <w:sz w:val="24"/>
          <w:szCs w:val="24"/>
        </w:rPr>
        <w:t>；</w:t>
      </w:r>
    </w:p>
    <w:p>
      <w:pPr>
        <w:spacing w:before="1" w:line="212" w:lineRule="auto"/>
        <w:ind w:left="518"/>
        <w:rPr>
          <w:rFonts w:ascii="宋体" w:hAnsi="宋体" w:eastAsia="宋体" w:cs="宋体"/>
          <w:sz w:val="24"/>
          <w:szCs w:val="24"/>
        </w:rPr>
      </w:pPr>
      <w:r>
        <w:rPr>
          <w:rFonts w:ascii="Times New Roman" w:hAnsi="Times New Roman" w:eastAsia="Times New Roman" w:cs="Times New Roman"/>
          <w:spacing w:val="-1"/>
          <w:sz w:val="24"/>
          <w:szCs w:val="24"/>
        </w:rPr>
        <w:t>(15)</w:t>
      </w:r>
      <w:r>
        <w:rPr>
          <w:rFonts w:ascii="宋体" w:hAnsi="宋体" w:eastAsia="宋体" w:cs="宋体"/>
          <w:spacing w:val="-1"/>
          <w:sz w:val="24"/>
          <w:szCs w:val="24"/>
        </w:rPr>
        <w:t>《民用建筑隔声设计规划》（</w:t>
      </w:r>
      <w:r>
        <w:rPr>
          <w:rFonts w:ascii="Times New Roman" w:hAnsi="Times New Roman" w:eastAsia="Times New Roman" w:cs="Times New Roman"/>
          <w:spacing w:val="-1"/>
          <w:sz w:val="24"/>
          <w:szCs w:val="24"/>
        </w:rPr>
        <w:t>GB50118-20</w:t>
      </w:r>
      <w:r>
        <w:rPr>
          <w:rFonts w:ascii="Times New Roman" w:hAnsi="Times New Roman" w:eastAsia="Times New Roman" w:cs="Times New Roman"/>
          <w:spacing w:val="-2"/>
          <w:sz w:val="24"/>
          <w:szCs w:val="24"/>
        </w:rPr>
        <w:t>10</w:t>
      </w:r>
      <w:r>
        <w:rPr>
          <w:rFonts w:ascii="宋体" w:hAnsi="宋体" w:eastAsia="宋体" w:cs="宋体"/>
          <w:spacing w:val="-2"/>
          <w:sz w:val="24"/>
          <w:szCs w:val="24"/>
        </w:rPr>
        <w:t>）。</w:t>
      </w:r>
    </w:p>
    <w:p>
      <w:pPr>
        <w:spacing w:before="189" w:line="219" w:lineRule="auto"/>
        <w:ind w:left="34"/>
        <w:outlineLvl w:val="0"/>
        <w:rPr>
          <w:rFonts w:ascii="宋体" w:hAnsi="宋体" w:eastAsia="宋体" w:cs="宋体"/>
          <w:sz w:val="24"/>
          <w:szCs w:val="24"/>
        </w:rPr>
      </w:pPr>
      <w:r>
        <w:rPr>
          <w:rFonts w:ascii="Times New Roman" w:hAnsi="Times New Roman" w:eastAsia="Times New Roman" w:cs="Times New Roman"/>
          <w:b/>
          <w:bCs/>
          <w:sz w:val="24"/>
          <w:szCs w:val="24"/>
        </w:rPr>
        <w:t xml:space="preserve">2.1.5 </w:t>
      </w:r>
      <w:r>
        <w:rPr>
          <w:rFonts w:ascii="宋体" w:hAnsi="宋体" w:eastAsia="宋体" w:cs="宋体"/>
          <w:sz w:val="24"/>
          <w:szCs w:val="24"/>
          <w14:textOutline w14:w="4354" w14:cap="flat" w14:cmpd="sng">
            <w14:solidFill>
              <w14:srgbClr w14:val="000000"/>
            </w14:solidFill>
            <w14:prstDash w14:val="solid"/>
            <w14:miter w14:val="0"/>
          </w14:textOutline>
        </w:rPr>
        <w:t>工程技术文件和其他文件依据</w:t>
      </w:r>
    </w:p>
    <w:p>
      <w:pPr>
        <w:spacing w:before="183" w:line="466" w:lineRule="exact"/>
        <w:ind w:right="69"/>
        <w:jc w:val="right"/>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1</w:t>
      </w:r>
      <w:r>
        <w:rPr>
          <w:rFonts w:ascii="宋体" w:hAnsi="宋体" w:eastAsia="宋体" w:cs="宋体"/>
          <w:spacing w:val="2"/>
          <w:position w:val="17"/>
          <w:sz w:val="24"/>
          <w:szCs w:val="24"/>
        </w:rPr>
        <w:t>）《溧阳至宁德高速公路（</w:t>
      </w:r>
      <w:r>
        <w:rPr>
          <w:rFonts w:ascii="Times New Roman" w:hAnsi="Times New Roman" w:eastAsia="Times New Roman" w:cs="Times New Roman"/>
          <w:spacing w:val="2"/>
          <w:position w:val="17"/>
          <w:sz w:val="24"/>
          <w:szCs w:val="24"/>
        </w:rPr>
        <w:t>G4012</w:t>
      </w:r>
      <w:r>
        <w:rPr>
          <w:rFonts w:ascii="宋体" w:hAnsi="宋体" w:eastAsia="宋体" w:cs="宋体"/>
          <w:spacing w:val="2"/>
          <w:position w:val="17"/>
          <w:sz w:val="24"/>
          <w:szCs w:val="24"/>
        </w:rPr>
        <w:t>）浙江景宁至文成段工程备案基本信</w:t>
      </w:r>
    </w:p>
    <w:p>
      <w:pPr>
        <w:spacing w:line="219" w:lineRule="auto"/>
        <w:ind w:left="48"/>
        <w:rPr>
          <w:rFonts w:ascii="宋体" w:hAnsi="宋体" w:eastAsia="宋体" w:cs="宋体"/>
          <w:sz w:val="24"/>
          <w:szCs w:val="24"/>
        </w:rPr>
      </w:pPr>
      <w:r>
        <w:rPr>
          <w:rFonts w:ascii="宋体" w:hAnsi="宋体" w:eastAsia="宋体" w:cs="宋体"/>
          <w:spacing w:val="-8"/>
          <w:sz w:val="24"/>
          <w:szCs w:val="24"/>
        </w:rPr>
        <w:t>息表》（</w:t>
      </w:r>
      <w:r>
        <w:rPr>
          <w:rFonts w:ascii="Times New Roman" w:hAnsi="Times New Roman" w:eastAsia="Times New Roman" w:cs="Times New Roman"/>
          <w:spacing w:val="-8"/>
          <w:sz w:val="24"/>
          <w:szCs w:val="24"/>
        </w:rPr>
        <w:t xml:space="preserve">2023 </w:t>
      </w:r>
      <w:r>
        <w:rPr>
          <w:rFonts w:ascii="宋体" w:hAnsi="宋体" w:eastAsia="宋体" w:cs="宋体"/>
          <w:spacing w:val="-8"/>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8"/>
          <w:sz w:val="24"/>
          <w:szCs w:val="24"/>
        </w:rPr>
        <w:t xml:space="preserve">9  </w:t>
      </w:r>
      <w:r>
        <w:rPr>
          <w:rFonts w:ascii="宋体" w:hAnsi="宋体" w:eastAsia="宋体" w:cs="宋体"/>
          <w:spacing w:val="-8"/>
          <w:sz w:val="24"/>
          <w:szCs w:val="24"/>
        </w:rPr>
        <w:t>日</w:t>
      </w:r>
      <w:r>
        <w:rPr>
          <w:rFonts w:ascii="宋体" w:hAnsi="宋体" w:eastAsia="宋体" w:cs="宋体"/>
          <w:spacing w:val="-13"/>
          <w:sz w:val="24"/>
          <w:szCs w:val="24"/>
        </w:rPr>
        <w:t>）；</w:t>
      </w:r>
    </w:p>
    <w:p>
      <w:pPr>
        <w:spacing w:before="183" w:line="466" w:lineRule="exact"/>
        <w:ind w:right="55"/>
        <w:jc w:val="right"/>
        <w:rPr>
          <w:rFonts w:ascii="宋体" w:hAnsi="宋体" w:eastAsia="宋体" w:cs="宋体"/>
          <w:sz w:val="24"/>
          <w:szCs w:val="24"/>
        </w:rPr>
      </w:pPr>
      <w:r>
        <w:rPr>
          <w:rFonts w:ascii="宋体" w:hAnsi="宋体" w:eastAsia="宋体" w:cs="宋体"/>
          <w:spacing w:val="-5"/>
          <w:position w:val="17"/>
          <w:sz w:val="24"/>
          <w:szCs w:val="24"/>
        </w:rPr>
        <w:t>（</w:t>
      </w:r>
      <w:r>
        <w:rPr>
          <w:rFonts w:ascii="Times New Roman" w:hAnsi="Times New Roman" w:eastAsia="Times New Roman" w:cs="Times New Roman"/>
          <w:spacing w:val="-5"/>
          <w:position w:val="17"/>
          <w:sz w:val="24"/>
          <w:szCs w:val="24"/>
        </w:rPr>
        <w:t>2</w:t>
      </w:r>
      <w:r>
        <w:rPr>
          <w:rFonts w:ascii="宋体" w:hAnsi="宋体" w:eastAsia="宋体" w:cs="宋体"/>
          <w:spacing w:val="-5"/>
          <w:position w:val="17"/>
          <w:sz w:val="24"/>
          <w:szCs w:val="24"/>
        </w:rPr>
        <w:t>） 《溧阳至宁德高速公路（</w:t>
      </w:r>
      <w:r>
        <w:rPr>
          <w:rFonts w:ascii="Times New Roman" w:hAnsi="Times New Roman" w:eastAsia="Times New Roman" w:cs="Times New Roman"/>
          <w:spacing w:val="-5"/>
          <w:position w:val="17"/>
          <w:sz w:val="24"/>
          <w:szCs w:val="24"/>
        </w:rPr>
        <w:t>G4012</w:t>
      </w:r>
      <w:r>
        <w:rPr>
          <w:rFonts w:ascii="宋体" w:hAnsi="宋体" w:eastAsia="宋体" w:cs="宋体"/>
          <w:spacing w:val="-5"/>
          <w:position w:val="17"/>
          <w:sz w:val="24"/>
          <w:szCs w:val="24"/>
        </w:rPr>
        <w:t>）浙江景宁至文成段工程第</w:t>
      </w:r>
      <w:r>
        <w:rPr>
          <w:rFonts w:ascii="宋体" w:hAnsi="宋体" w:eastAsia="宋体" w:cs="宋体"/>
          <w:spacing w:val="-55"/>
          <w:position w:val="17"/>
          <w:sz w:val="24"/>
          <w:szCs w:val="24"/>
        </w:rPr>
        <w:t xml:space="preserve"> </w:t>
      </w:r>
      <w:r>
        <w:rPr>
          <w:rFonts w:ascii="Times New Roman" w:hAnsi="Times New Roman" w:eastAsia="Times New Roman" w:cs="Times New Roman"/>
          <w:spacing w:val="-5"/>
          <w:position w:val="17"/>
          <w:sz w:val="24"/>
          <w:szCs w:val="24"/>
        </w:rPr>
        <w:t xml:space="preserve">JWTJ-4 </w:t>
      </w:r>
      <w:r>
        <w:rPr>
          <w:rFonts w:ascii="宋体" w:hAnsi="宋体" w:eastAsia="宋体" w:cs="宋体"/>
          <w:spacing w:val="-5"/>
          <w:position w:val="17"/>
          <w:sz w:val="24"/>
          <w:szCs w:val="24"/>
        </w:rPr>
        <w:t>合</w:t>
      </w:r>
    </w:p>
    <w:p>
      <w:pPr>
        <w:spacing w:before="1" w:line="219" w:lineRule="auto"/>
        <w:ind w:left="61"/>
        <w:rPr>
          <w:rFonts w:ascii="宋体" w:hAnsi="宋体" w:eastAsia="宋体" w:cs="宋体"/>
          <w:sz w:val="24"/>
          <w:szCs w:val="24"/>
        </w:rPr>
      </w:pPr>
      <w:r>
        <w:rPr>
          <w:rFonts w:ascii="宋体" w:hAnsi="宋体" w:eastAsia="宋体" w:cs="宋体"/>
          <w:spacing w:val="-3"/>
          <w:sz w:val="24"/>
          <w:szCs w:val="24"/>
        </w:rPr>
        <w:t>同两阶段施工图设计》（</w:t>
      </w:r>
      <w:r>
        <w:rPr>
          <w:rFonts w:ascii="Times New Roman" w:hAnsi="Times New Roman" w:eastAsia="Times New Roman" w:cs="Times New Roman"/>
          <w:spacing w:val="-3"/>
          <w:sz w:val="24"/>
          <w:szCs w:val="24"/>
        </w:rPr>
        <w:t xml:space="preserve">2018 </w:t>
      </w:r>
      <w:r>
        <w:rPr>
          <w:rFonts w:ascii="宋体" w:hAnsi="宋体" w:eastAsia="宋体" w:cs="宋体"/>
          <w:spacing w:val="-3"/>
          <w:sz w:val="24"/>
          <w:szCs w:val="24"/>
        </w:rPr>
        <w:t>年</w:t>
      </w:r>
      <w:r>
        <w:rPr>
          <w:rFonts w:ascii="宋体" w:hAnsi="宋体" w:eastAsia="宋体" w:cs="宋体"/>
          <w:spacing w:val="-9"/>
          <w:sz w:val="24"/>
          <w:szCs w:val="24"/>
        </w:rPr>
        <w:t>）；</w:t>
      </w:r>
    </w:p>
    <w:p>
      <w:pPr>
        <w:spacing w:line="219" w:lineRule="auto"/>
        <w:rPr>
          <w:rFonts w:ascii="宋体" w:hAnsi="宋体" w:eastAsia="宋体" w:cs="宋体"/>
          <w:sz w:val="24"/>
          <w:szCs w:val="24"/>
        </w:rPr>
        <w:sectPr>
          <w:headerReference r:id="rId29" w:type="default"/>
          <w:footerReference r:id="rId30" w:type="default"/>
          <w:pgSz w:w="11907" w:h="16839"/>
          <w:pgMar w:top="1118" w:right="1734" w:bottom="1184" w:left="1771" w:header="879" w:footer="1024" w:gutter="0"/>
          <w:cols w:space="720" w:num="1"/>
        </w:sectPr>
      </w:pPr>
    </w:p>
    <w:p>
      <w:pPr>
        <w:pStyle w:val="2"/>
        <w:spacing w:line="278" w:lineRule="auto"/>
      </w:pPr>
    </w:p>
    <w:p>
      <w:pPr>
        <w:spacing w:before="78" w:line="468" w:lineRule="exact"/>
        <w:ind w:left="538"/>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3</w:t>
      </w:r>
      <w:r>
        <w:rPr>
          <w:rFonts w:ascii="宋体" w:hAnsi="宋体" w:eastAsia="宋体" w:cs="宋体"/>
          <w:spacing w:val="2"/>
          <w:position w:val="17"/>
          <w:sz w:val="24"/>
          <w:szCs w:val="24"/>
        </w:rPr>
        <w:t>）《浙江省人民政府关于溧阳至宁德高速公路（</w:t>
      </w:r>
      <w:r>
        <w:rPr>
          <w:rFonts w:ascii="Times New Roman" w:hAnsi="Times New Roman" w:eastAsia="Times New Roman" w:cs="Times New Roman"/>
          <w:spacing w:val="2"/>
          <w:position w:val="17"/>
          <w:sz w:val="24"/>
          <w:szCs w:val="24"/>
        </w:rPr>
        <w:t>G4012</w:t>
      </w:r>
      <w:r>
        <w:rPr>
          <w:rFonts w:ascii="宋体" w:hAnsi="宋体" w:eastAsia="宋体" w:cs="宋体"/>
          <w:spacing w:val="2"/>
          <w:position w:val="17"/>
          <w:sz w:val="24"/>
          <w:szCs w:val="24"/>
        </w:rPr>
        <w:t>）浙江景宁至文</w:t>
      </w:r>
    </w:p>
    <w:p>
      <w:pPr>
        <w:spacing w:line="215" w:lineRule="auto"/>
        <w:ind w:left="54"/>
        <w:rPr>
          <w:rFonts w:ascii="宋体" w:hAnsi="宋体" w:eastAsia="宋体" w:cs="宋体"/>
          <w:sz w:val="24"/>
          <w:szCs w:val="24"/>
        </w:rPr>
      </w:pPr>
      <w:r>
        <w:rPr>
          <w:rFonts w:ascii="宋体" w:hAnsi="宋体" w:eastAsia="宋体" w:cs="宋体"/>
          <w:spacing w:val="-1"/>
          <w:sz w:val="24"/>
          <w:szCs w:val="24"/>
        </w:rPr>
        <w:t>成段（文成段）工程建设用地的批复》（国委浙土审</w:t>
      </w:r>
      <w:r>
        <w:rPr>
          <w:rFonts w:ascii="Times New Roman" w:hAnsi="Times New Roman" w:eastAsia="Times New Roman" w:cs="Times New Roman"/>
          <w:spacing w:val="-1"/>
          <w:sz w:val="24"/>
          <w:szCs w:val="24"/>
        </w:rPr>
        <w:t xml:space="preserve">[2020]3 </w:t>
      </w:r>
      <w:r>
        <w:rPr>
          <w:rFonts w:ascii="宋体" w:hAnsi="宋体" w:eastAsia="宋体" w:cs="宋体"/>
          <w:spacing w:val="-1"/>
          <w:sz w:val="24"/>
          <w:szCs w:val="24"/>
        </w:rPr>
        <w:t>号</w:t>
      </w:r>
      <w:r>
        <w:rPr>
          <w:rFonts w:ascii="宋体" w:hAnsi="宋体" w:eastAsia="宋体" w:cs="宋体"/>
          <w:spacing w:val="-7"/>
          <w:sz w:val="24"/>
          <w:szCs w:val="24"/>
        </w:rPr>
        <w:t>）；</w:t>
      </w:r>
    </w:p>
    <w:p>
      <w:pPr>
        <w:spacing w:before="185" w:line="468" w:lineRule="exact"/>
        <w:ind w:left="538"/>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4</w:t>
      </w:r>
      <w:r>
        <w:rPr>
          <w:rFonts w:ascii="宋体" w:hAnsi="宋体" w:eastAsia="宋体" w:cs="宋体"/>
          <w:spacing w:val="2"/>
          <w:position w:val="17"/>
          <w:sz w:val="24"/>
          <w:szCs w:val="24"/>
        </w:rPr>
        <w:t>）《溧阳至宁德高速公路（</w:t>
      </w:r>
      <w:r>
        <w:rPr>
          <w:rFonts w:ascii="Times New Roman" w:hAnsi="Times New Roman" w:eastAsia="Times New Roman" w:cs="Times New Roman"/>
          <w:spacing w:val="2"/>
          <w:position w:val="17"/>
          <w:sz w:val="24"/>
          <w:szCs w:val="24"/>
        </w:rPr>
        <w:t>G4012</w:t>
      </w:r>
      <w:r>
        <w:rPr>
          <w:rFonts w:ascii="宋体" w:hAnsi="宋体" w:eastAsia="宋体" w:cs="宋体"/>
          <w:spacing w:val="2"/>
          <w:position w:val="17"/>
          <w:sz w:val="24"/>
          <w:szCs w:val="24"/>
        </w:rPr>
        <w:t>）浙江景宁至泰顺段水土保持方案报</w:t>
      </w:r>
    </w:p>
    <w:p>
      <w:pPr>
        <w:spacing w:line="218" w:lineRule="auto"/>
        <w:ind w:left="58"/>
        <w:rPr>
          <w:rFonts w:ascii="宋体" w:hAnsi="宋体" w:eastAsia="宋体" w:cs="宋体"/>
          <w:sz w:val="24"/>
          <w:szCs w:val="24"/>
        </w:rPr>
      </w:pPr>
      <w:r>
        <w:rPr>
          <w:rFonts w:ascii="宋体" w:hAnsi="宋体" w:eastAsia="宋体" w:cs="宋体"/>
          <w:spacing w:val="-3"/>
          <w:sz w:val="24"/>
          <w:szCs w:val="24"/>
        </w:rPr>
        <w:t>告书》（</w:t>
      </w:r>
      <w:r>
        <w:rPr>
          <w:rFonts w:ascii="Times New Roman" w:hAnsi="Times New Roman" w:eastAsia="Times New Roman" w:cs="Times New Roman"/>
          <w:spacing w:val="-3"/>
          <w:sz w:val="24"/>
          <w:szCs w:val="24"/>
        </w:rPr>
        <w:t xml:space="preserve">2014 </w:t>
      </w:r>
      <w:r>
        <w:rPr>
          <w:rFonts w:ascii="宋体" w:hAnsi="宋体" w:eastAsia="宋体" w:cs="宋体"/>
          <w:spacing w:val="-3"/>
          <w:sz w:val="24"/>
          <w:szCs w:val="24"/>
        </w:rPr>
        <w:t>年</w:t>
      </w:r>
      <w:r>
        <w:rPr>
          <w:rFonts w:ascii="宋体" w:hAnsi="宋体" w:eastAsia="宋体" w:cs="宋体"/>
          <w:spacing w:val="-11"/>
          <w:sz w:val="24"/>
          <w:szCs w:val="24"/>
        </w:rPr>
        <w:t>）；</w:t>
      </w:r>
    </w:p>
    <w:p>
      <w:pPr>
        <w:spacing w:before="182" w:line="468" w:lineRule="exact"/>
        <w:ind w:left="538"/>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5</w:t>
      </w:r>
      <w:r>
        <w:rPr>
          <w:rFonts w:ascii="宋体" w:hAnsi="宋体" w:eastAsia="宋体" w:cs="宋体"/>
          <w:spacing w:val="2"/>
          <w:position w:val="17"/>
          <w:sz w:val="24"/>
          <w:szCs w:val="24"/>
        </w:rPr>
        <w:t>）《水利部关于溧阳至宁德高速公路（</w:t>
      </w:r>
      <w:r>
        <w:rPr>
          <w:rFonts w:ascii="Times New Roman" w:hAnsi="Times New Roman" w:eastAsia="Times New Roman" w:cs="Times New Roman"/>
          <w:spacing w:val="2"/>
          <w:position w:val="17"/>
          <w:sz w:val="24"/>
          <w:szCs w:val="24"/>
        </w:rPr>
        <w:t>G4012</w:t>
      </w:r>
      <w:r>
        <w:rPr>
          <w:rFonts w:ascii="宋体" w:hAnsi="宋体" w:eastAsia="宋体" w:cs="宋体"/>
          <w:spacing w:val="2"/>
          <w:position w:val="17"/>
          <w:sz w:val="24"/>
          <w:szCs w:val="24"/>
        </w:rPr>
        <w:t>）浙江景宁至泰顺段水土</w:t>
      </w:r>
    </w:p>
    <w:p>
      <w:pPr>
        <w:spacing w:line="215" w:lineRule="auto"/>
        <w:ind w:left="53"/>
        <w:rPr>
          <w:rFonts w:ascii="宋体" w:hAnsi="宋体" w:eastAsia="宋体" w:cs="宋体"/>
          <w:sz w:val="24"/>
          <w:szCs w:val="24"/>
        </w:rPr>
      </w:pPr>
      <w:r>
        <w:rPr>
          <w:rFonts w:ascii="宋体" w:hAnsi="宋体" w:eastAsia="宋体" w:cs="宋体"/>
          <w:spacing w:val="-7"/>
          <w:sz w:val="24"/>
          <w:szCs w:val="24"/>
        </w:rPr>
        <w:t>保持方案的批复》（水保审</w:t>
      </w:r>
      <w:r>
        <w:rPr>
          <w:rFonts w:ascii="Times New Roman" w:hAnsi="Times New Roman" w:eastAsia="Times New Roman" w:cs="Times New Roman"/>
          <w:spacing w:val="-7"/>
          <w:sz w:val="24"/>
          <w:szCs w:val="24"/>
        </w:rPr>
        <w:t>[2015]3</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号，</w:t>
      </w:r>
      <w:r>
        <w:rPr>
          <w:rFonts w:ascii="宋体" w:hAnsi="宋体" w:eastAsia="宋体" w:cs="宋体"/>
          <w:spacing w:val="-36"/>
          <w:sz w:val="24"/>
          <w:szCs w:val="24"/>
        </w:rPr>
        <w:t xml:space="preserve"> </w:t>
      </w:r>
      <w:r>
        <w:rPr>
          <w:rFonts w:ascii="Times New Roman" w:hAnsi="Times New Roman" w:eastAsia="Times New Roman" w:cs="Times New Roman"/>
          <w:spacing w:val="-7"/>
          <w:sz w:val="24"/>
          <w:szCs w:val="24"/>
        </w:rPr>
        <w:t>2015</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月</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5</w:t>
      </w:r>
      <w:r>
        <w:rPr>
          <w:rFonts w:ascii="Times New Roman" w:hAnsi="Times New Roman" w:eastAsia="Times New Roman" w:cs="Times New Roman"/>
          <w:spacing w:val="51"/>
          <w:sz w:val="24"/>
          <w:szCs w:val="24"/>
        </w:rPr>
        <w:t xml:space="preserve"> </w:t>
      </w:r>
      <w:r>
        <w:rPr>
          <w:rFonts w:ascii="宋体" w:hAnsi="宋体" w:eastAsia="宋体" w:cs="宋体"/>
          <w:spacing w:val="-8"/>
          <w:sz w:val="24"/>
          <w:szCs w:val="24"/>
        </w:rPr>
        <w:t>日</w:t>
      </w:r>
      <w:r>
        <w:rPr>
          <w:rFonts w:ascii="宋体" w:hAnsi="宋体" w:eastAsia="宋体" w:cs="宋体"/>
          <w:spacing w:val="-18"/>
          <w:sz w:val="24"/>
          <w:szCs w:val="24"/>
        </w:rPr>
        <w:t>）；</w:t>
      </w:r>
    </w:p>
    <w:p>
      <w:pPr>
        <w:spacing w:before="185" w:line="469" w:lineRule="exact"/>
        <w:ind w:left="538"/>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6</w:t>
      </w:r>
      <w:r>
        <w:rPr>
          <w:rFonts w:ascii="宋体" w:hAnsi="宋体" w:eastAsia="宋体" w:cs="宋体"/>
          <w:spacing w:val="-1"/>
          <w:position w:val="17"/>
          <w:sz w:val="24"/>
          <w:szCs w:val="24"/>
        </w:rPr>
        <w:t>）</w:t>
      </w:r>
      <w:r>
        <w:rPr>
          <w:rFonts w:ascii="宋体" w:hAnsi="宋体" w:eastAsia="宋体" w:cs="宋体"/>
          <w:spacing w:val="-40"/>
          <w:position w:val="17"/>
          <w:sz w:val="24"/>
          <w:szCs w:val="24"/>
        </w:rPr>
        <w:t xml:space="preserve"> </w:t>
      </w:r>
      <w:r>
        <w:rPr>
          <w:rFonts w:ascii="宋体" w:hAnsi="宋体" w:eastAsia="宋体" w:cs="宋体"/>
          <w:spacing w:val="-1"/>
          <w:position w:val="17"/>
          <w:sz w:val="24"/>
          <w:szCs w:val="24"/>
        </w:rPr>
        <w:t>《溧阳至宁德高速公路（</w:t>
      </w:r>
      <w:r>
        <w:rPr>
          <w:rFonts w:ascii="Times New Roman" w:hAnsi="Times New Roman" w:eastAsia="Times New Roman" w:cs="Times New Roman"/>
          <w:spacing w:val="-1"/>
          <w:position w:val="17"/>
          <w:sz w:val="24"/>
          <w:szCs w:val="24"/>
        </w:rPr>
        <w:t>G4012</w:t>
      </w:r>
      <w:r>
        <w:rPr>
          <w:rFonts w:ascii="宋体" w:hAnsi="宋体" w:eastAsia="宋体" w:cs="宋体"/>
          <w:spacing w:val="-1"/>
          <w:position w:val="17"/>
          <w:sz w:val="24"/>
          <w:szCs w:val="24"/>
        </w:rPr>
        <w:t>）浙</w:t>
      </w:r>
      <w:r>
        <w:rPr>
          <w:rFonts w:ascii="宋体" w:hAnsi="宋体" w:eastAsia="宋体" w:cs="宋体"/>
          <w:spacing w:val="-2"/>
          <w:position w:val="17"/>
          <w:sz w:val="24"/>
          <w:szCs w:val="24"/>
        </w:rPr>
        <w:t xml:space="preserve">江景宁至泰顺段工程 </w:t>
      </w:r>
      <w:r>
        <w:rPr>
          <w:rFonts w:ascii="Times New Roman" w:hAnsi="Times New Roman" w:eastAsia="Times New Roman" w:cs="Times New Roman"/>
          <w:spacing w:val="-2"/>
          <w:position w:val="17"/>
          <w:sz w:val="24"/>
          <w:szCs w:val="24"/>
        </w:rPr>
        <w:t xml:space="preserve">JWYJ-4  </w:t>
      </w:r>
      <w:r>
        <w:rPr>
          <w:rFonts w:ascii="宋体" w:hAnsi="宋体" w:eastAsia="宋体" w:cs="宋体"/>
          <w:spacing w:val="-2"/>
          <w:position w:val="17"/>
          <w:sz w:val="24"/>
          <w:szCs w:val="24"/>
        </w:rPr>
        <w:t>标</w:t>
      </w:r>
    </w:p>
    <w:p>
      <w:pPr>
        <w:spacing w:line="218" w:lineRule="auto"/>
        <w:ind w:left="71"/>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弃渣场等</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处弃渣场变更水土保持方案补充报告书》（</w:t>
      </w:r>
      <w:r>
        <w:rPr>
          <w:rFonts w:ascii="Times New Roman" w:hAnsi="Times New Roman" w:eastAsia="Times New Roman" w:cs="Times New Roman"/>
          <w:spacing w:val="-2"/>
          <w:sz w:val="24"/>
          <w:szCs w:val="24"/>
        </w:rPr>
        <w:t xml:space="preserve">2022 </w:t>
      </w:r>
      <w:r>
        <w:rPr>
          <w:rFonts w:ascii="宋体" w:hAnsi="宋体" w:eastAsia="宋体" w:cs="宋体"/>
          <w:spacing w:val="-2"/>
          <w:sz w:val="24"/>
          <w:szCs w:val="24"/>
        </w:rPr>
        <w:t>年</w:t>
      </w:r>
      <w:r>
        <w:rPr>
          <w:rFonts w:ascii="宋体" w:hAnsi="宋体" w:eastAsia="宋体" w:cs="宋体"/>
          <w:spacing w:val="-4"/>
          <w:sz w:val="24"/>
          <w:szCs w:val="24"/>
        </w:rPr>
        <w:t>）；</w:t>
      </w:r>
    </w:p>
    <w:p>
      <w:pPr>
        <w:spacing w:before="182" w:line="359" w:lineRule="auto"/>
        <w:ind w:left="53" w:right="4" w:firstLine="48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 《关于溧阳至宁德高速公路（</w:t>
      </w:r>
      <w:r>
        <w:rPr>
          <w:rFonts w:ascii="Times New Roman" w:hAnsi="Times New Roman" w:eastAsia="Times New Roman" w:cs="Times New Roman"/>
          <w:spacing w:val="-5"/>
          <w:sz w:val="24"/>
          <w:szCs w:val="24"/>
        </w:rPr>
        <w:t>G4012</w:t>
      </w:r>
      <w:r>
        <w:rPr>
          <w:rFonts w:ascii="宋体" w:hAnsi="宋体" w:eastAsia="宋体" w:cs="宋体"/>
          <w:spacing w:val="-5"/>
          <w:sz w:val="24"/>
          <w:szCs w:val="24"/>
        </w:rPr>
        <w:t>）浙江景宁至泰顺段工程</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 xml:space="preserve">JWYJ-4  </w:t>
      </w:r>
      <w:r>
        <w:rPr>
          <w:rFonts w:ascii="宋体" w:hAnsi="宋体" w:eastAsia="宋体" w:cs="宋体"/>
          <w:spacing w:val="-10"/>
          <w:sz w:val="24"/>
          <w:szCs w:val="24"/>
        </w:rPr>
        <w:t>标</w:t>
      </w:r>
      <w:r>
        <w:rPr>
          <w:rFonts w:ascii="宋体" w:hAnsi="宋体" w:eastAsia="宋体" w:cs="宋体"/>
          <w:spacing w:val="-20"/>
          <w:sz w:val="24"/>
          <w:szCs w:val="24"/>
        </w:rPr>
        <w:t xml:space="preserve"> </w:t>
      </w:r>
      <w:r>
        <w:rPr>
          <w:rFonts w:ascii="Times New Roman" w:hAnsi="Times New Roman" w:eastAsia="Times New Roman" w:cs="Times New Roman"/>
          <w:spacing w:val="-10"/>
          <w:sz w:val="24"/>
          <w:szCs w:val="24"/>
        </w:rPr>
        <w:t>1#</w:t>
      </w:r>
      <w:r>
        <w:rPr>
          <w:rFonts w:ascii="宋体" w:hAnsi="宋体" w:eastAsia="宋体" w:cs="宋体"/>
          <w:spacing w:val="-10"/>
          <w:sz w:val="24"/>
          <w:szCs w:val="24"/>
        </w:rPr>
        <w:t>弃渣场等</w:t>
      </w:r>
      <w:r>
        <w:rPr>
          <w:rFonts w:ascii="宋体" w:hAnsi="宋体" w:eastAsia="宋体" w:cs="宋体"/>
          <w:spacing w:val="-48"/>
          <w:sz w:val="24"/>
          <w:szCs w:val="24"/>
        </w:rPr>
        <w:t xml:space="preserve"> </w:t>
      </w:r>
      <w:r>
        <w:rPr>
          <w:rFonts w:ascii="Times New Roman" w:hAnsi="Times New Roman" w:eastAsia="Times New Roman" w:cs="Times New Roman"/>
          <w:spacing w:val="-10"/>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10"/>
          <w:sz w:val="24"/>
          <w:szCs w:val="24"/>
        </w:rPr>
        <w:t>处弃渣场变更水土保持方案补充报告书的批复》（文水政〔</w:t>
      </w:r>
      <w:r>
        <w:rPr>
          <w:rFonts w:ascii="Times New Roman" w:hAnsi="Times New Roman" w:eastAsia="Times New Roman" w:cs="Times New Roman"/>
          <w:spacing w:val="-10"/>
          <w:sz w:val="24"/>
          <w:szCs w:val="24"/>
        </w:rPr>
        <w:t>2022</w:t>
      </w:r>
      <w:r>
        <w:rPr>
          <w:rFonts w:ascii="宋体" w:hAnsi="宋体" w:eastAsia="宋体" w:cs="宋体"/>
          <w:spacing w:val="-10"/>
          <w:sz w:val="24"/>
          <w:szCs w:val="24"/>
        </w:rPr>
        <w:t>〕</w:t>
      </w:r>
    </w:p>
    <w:p>
      <w:pPr>
        <w:spacing w:before="2" w:line="220" w:lineRule="auto"/>
        <w:ind w:left="71"/>
        <w:rPr>
          <w:rFonts w:ascii="宋体" w:hAnsi="宋体" w:eastAsia="宋体" w:cs="宋体"/>
          <w:sz w:val="24"/>
          <w:szCs w:val="24"/>
        </w:rPr>
      </w:pPr>
      <w:r>
        <w:rPr>
          <w:rFonts w:ascii="Times New Roman" w:hAnsi="Times New Roman" w:eastAsia="Times New Roman" w:cs="Times New Roman"/>
          <w:spacing w:val="-13"/>
          <w:sz w:val="24"/>
          <w:szCs w:val="24"/>
        </w:rPr>
        <w:t>103</w:t>
      </w:r>
      <w:r>
        <w:rPr>
          <w:rFonts w:ascii="Times New Roman" w:hAnsi="Times New Roman" w:eastAsia="Times New Roman" w:cs="Times New Roman"/>
          <w:spacing w:val="15"/>
          <w:sz w:val="24"/>
          <w:szCs w:val="24"/>
        </w:rPr>
        <w:t xml:space="preserve"> </w:t>
      </w:r>
      <w:r>
        <w:rPr>
          <w:rFonts w:ascii="宋体" w:hAnsi="宋体" w:eastAsia="宋体" w:cs="宋体"/>
          <w:spacing w:val="-13"/>
          <w:sz w:val="24"/>
          <w:szCs w:val="24"/>
        </w:rPr>
        <w:t>号</w:t>
      </w:r>
      <w:r>
        <w:rPr>
          <w:rFonts w:ascii="宋体" w:hAnsi="宋体" w:eastAsia="宋体" w:cs="宋体"/>
          <w:spacing w:val="-12"/>
          <w:sz w:val="24"/>
          <w:szCs w:val="24"/>
        </w:rPr>
        <w:t>）；</w:t>
      </w:r>
    </w:p>
    <w:p>
      <w:pPr>
        <w:spacing w:before="181" w:line="217" w:lineRule="auto"/>
        <w:ind w:left="53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8</w:t>
      </w:r>
      <w:r>
        <w:rPr>
          <w:rFonts w:ascii="宋体" w:hAnsi="宋体" w:eastAsia="宋体" w:cs="宋体"/>
          <w:spacing w:val="-3"/>
          <w:sz w:val="24"/>
          <w:szCs w:val="24"/>
        </w:rPr>
        <w:t>）建设单位提供的本工程相关的其他资料。</w:t>
      </w:r>
    </w:p>
    <w:p>
      <w:pPr>
        <w:spacing w:before="183" w:line="218" w:lineRule="auto"/>
        <w:ind w:left="48"/>
        <w:outlineLvl w:val="0"/>
        <w:rPr>
          <w:rFonts w:ascii="宋体" w:hAnsi="宋体" w:eastAsia="宋体" w:cs="宋体"/>
          <w:sz w:val="24"/>
          <w:szCs w:val="24"/>
        </w:rPr>
      </w:pPr>
      <w:bookmarkStart w:id="8" w:name="bookmark9"/>
      <w:bookmarkEnd w:id="8"/>
      <w:r>
        <w:rPr>
          <w:rFonts w:ascii="Times New Roman" w:hAnsi="Times New Roman" w:eastAsia="Times New Roman" w:cs="Times New Roman"/>
          <w:b/>
          <w:bCs/>
          <w:sz w:val="24"/>
          <w:szCs w:val="24"/>
        </w:rPr>
        <w:t xml:space="preserve">2.2 </w:t>
      </w:r>
      <w:r>
        <w:rPr>
          <w:rFonts w:ascii="宋体" w:hAnsi="宋体" w:eastAsia="宋体" w:cs="宋体"/>
          <w:sz w:val="24"/>
          <w:szCs w:val="24"/>
          <w14:textOutline w14:w="4354" w14:cap="flat" w14:cmpd="sng">
            <w14:solidFill>
              <w14:srgbClr w14:val="000000"/>
            </w14:solidFill>
            <w14:prstDash w14:val="solid"/>
            <w14:miter w14:val="0"/>
          </w14:textOutline>
        </w:rPr>
        <w:t>评价因子与评价标准</w:t>
      </w:r>
    </w:p>
    <w:p>
      <w:pPr>
        <w:spacing w:before="185" w:line="218" w:lineRule="auto"/>
        <w:ind w:left="48"/>
        <w:outlineLvl w:val="0"/>
        <w:rPr>
          <w:rFonts w:ascii="宋体" w:hAnsi="宋体" w:eastAsia="宋体" w:cs="宋体"/>
          <w:sz w:val="24"/>
          <w:szCs w:val="24"/>
        </w:rPr>
      </w:pPr>
      <w:r>
        <w:rPr>
          <w:rFonts w:ascii="Times New Roman" w:hAnsi="Times New Roman" w:eastAsia="Times New Roman" w:cs="Times New Roman"/>
          <w:b/>
          <w:bCs/>
          <w:spacing w:val="-1"/>
          <w:sz w:val="24"/>
          <w:szCs w:val="24"/>
        </w:rPr>
        <w:t xml:space="preserve">2.2.1 </w:t>
      </w:r>
      <w:r>
        <w:rPr>
          <w:rFonts w:ascii="宋体" w:hAnsi="宋体" w:eastAsia="宋体" w:cs="宋体"/>
          <w:spacing w:val="-1"/>
          <w:sz w:val="24"/>
          <w:szCs w:val="24"/>
          <w14:textOutline w14:w="4354" w14:cap="flat" w14:cmpd="sng">
            <w14:solidFill>
              <w14:srgbClr w14:val="000000"/>
            </w14:solidFill>
            <w14:prstDash w14:val="solid"/>
            <w14:miter w14:val="0"/>
          </w14:textOutline>
        </w:rPr>
        <w:t>评价因子</w:t>
      </w:r>
    </w:p>
    <w:p>
      <w:pPr>
        <w:spacing w:before="182" w:line="468" w:lineRule="exact"/>
        <w:jc w:val="right"/>
        <w:rPr>
          <w:rFonts w:ascii="宋体" w:hAnsi="宋体" w:eastAsia="宋体" w:cs="宋体"/>
          <w:sz w:val="24"/>
          <w:szCs w:val="24"/>
        </w:rPr>
      </w:pPr>
      <w:r>
        <w:rPr>
          <w:rFonts w:ascii="宋体" w:hAnsi="宋体" w:eastAsia="宋体" w:cs="宋体"/>
          <w:spacing w:val="-7"/>
          <w:position w:val="17"/>
          <w:sz w:val="24"/>
          <w:szCs w:val="24"/>
        </w:rPr>
        <w:t>根据本工程特点及工程分析， 确定各环境影响要素的评价因子见表表</w:t>
      </w:r>
      <w:r>
        <w:rPr>
          <w:rFonts w:ascii="宋体" w:hAnsi="宋体" w:eastAsia="宋体" w:cs="宋体"/>
          <w:spacing w:val="-46"/>
          <w:position w:val="17"/>
          <w:sz w:val="24"/>
          <w:szCs w:val="24"/>
        </w:rPr>
        <w:t xml:space="preserve"> </w:t>
      </w:r>
      <w:r>
        <w:rPr>
          <w:rFonts w:ascii="Times New Roman" w:hAnsi="Times New Roman" w:eastAsia="Times New Roman" w:cs="Times New Roman"/>
          <w:spacing w:val="-7"/>
          <w:position w:val="17"/>
          <w:sz w:val="24"/>
          <w:szCs w:val="24"/>
        </w:rPr>
        <w:t>2.2-</w:t>
      </w:r>
      <w:r>
        <w:rPr>
          <w:rFonts w:ascii="Times New Roman" w:hAnsi="Times New Roman" w:eastAsia="Times New Roman" w:cs="Times New Roman"/>
          <w:spacing w:val="-33"/>
          <w:position w:val="17"/>
          <w:sz w:val="24"/>
          <w:szCs w:val="24"/>
        </w:rPr>
        <w:t xml:space="preserve"> </w:t>
      </w:r>
      <w:r>
        <w:rPr>
          <w:rFonts w:ascii="Times New Roman" w:hAnsi="Times New Roman" w:eastAsia="Times New Roman" w:cs="Times New Roman"/>
          <w:spacing w:val="-7"/>
          <w:position w:val="17"/>
          <w:sz w:val="24"/>
          <w:szCs w:val="24"/>
        </w:rPr>
        <w:t>1</w:t>
      </w:r>
      <w:r>
        <w:rPr>
          <w:rFonts w:ascii="宋体" w:hAnsi="宋体" w:eastAsia="宋体" w:cs="宋体"/>
          <w:spacing w:val="-7"/>
          <w:position w:val="17"/>
          <w:sz w:val="24"/>
          <w:szCs w:val="24"/>
        </w:rPr>
        <w:t>。</w:t>
      </w:r>
    </w:p>
    <w:p>
      <w:pPr>
        <w:spacing w:line="218" w:lineRule="auto"/>
        <w:ind w:left="1945"/>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2.2-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本工程环境影响评价因子一览表</w:t>
      </w:r>
    </w:p>
    <w:p>
      <w:pPr>
        <w:spacing w:line="148" w:lineRule="exact"/>
      </w:pPr>
    </w:p>
    <w:tbl>
      <w:tblPr>
        <w:tblStyle w:val="5"/>
        <w:tblW w:w="83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3"/>
        <w:gridCol w:w="559"/>
        <w:gridCol w:w="3438"/>
        <w:gridCol w:w="35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62" w:type="dxa"/>
            <w:gridSpan w:val="2"/>
            <w:vAlign w:val="top"/>
          </w:tcPr>
          <w:p>
            <w:pPr>
              <w:pStyle w:val="6"/>
              <w:spacing w:before="55" w:line="221" w:lineRule="auto"/>
              <w:ind w:left="267"/>
            </w:pPr>
            <w:r>
              <w:rPr>
                <w:spacing w:val="-2"/>
              </w:rPr>
              <w:t>环境要素</w:t>
            </w:r>
          </w:p>
        </w:tc>
        <w:tc>
          <w:tcPr>
            <w:tcW w:w="3438" w:type="dxa"/>
            <w:vAlign w:val="top"/>
          </w:tcPr>
          <w:p>
            <w:pPr>
              <w:pStyle w:val="6"/>
              <w:spacing w:before="56" w:line="219" w:lineRule="auto"/>
              <w:ind w:left="1096"/>
            </w:pPr>
            <w:r>
              <w:rPr>
                <w:spacing w:val="-2"/>
              </w:rPr>
              <w:t>现状评价因子</w:t>
            </w:r>
          </w:p>
        </w:tc>
        <w:tc>
          <w:tcPr>
            <w:tcW w:w="3586" w:type="dxa"/>
            <w:vAlign w:val="top"/>
          </w:tcPr>
          <w:p>
            <w:pPr>
              <w:pStyle w:val="6"/>
              <w:spacing w:before="56" w:line="219" w:lineRule="auto"/>
              <w:ind w:left="1169"/>
            </w:pPr>
            <w:r>
              <w:rPr>
                <w:spacing w:val="-2"/>
              </w:rPr>
              <w:t>预测评价因子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62" w:type="dxa"/>
            <w:gridSpan w:val="2"/>
            <w:vMerge w:val="restart"/>
            <w:tcBorders>
              <w:bottom w:val="nil"/>
            </w:tcBorders>
            <w:vAlign w:val="top"/>
          </w:tcPr>
          <w:p>
            <w:pPr>
              <w:spacing w:line="278" w:lineRule="auto"/>
              <w:rPr>
                <w:rFonts w:ascii="Arial"/>
                <w:sz w:val="21"/>
              </w:rPr>
            </w:pPr>
          </w:p>
          <w:p>
            <w:pPr>
              <w:pStyle w:val="6"/>
              <w:spacing w:before="68" w:line="221" w:lineRule="auto"/>
              <w:ind w:left="370"/>
            </w:pPr>
            <w:r>
              <w:rPr>
                <w:spacing w:val="-2"/>
              </w:rPr>
              <w:t>地表水</w:t>
            </w:r>
          </w:p>
        </w:tc>
        <w:tc>
          <w:tcPr>
            <w:tcW w:w="3438" w:type="dxa"/>
            <w:vAlign w:val="top"/>
          </w:tcPr>
          <w:p>
            <w:pPr>
              <w:pStyle w:val="6"/>
              <w:spacing w:before="52" w:line="247" w:lineRule="auto"/>
              <w:ind w:left="1099" w:right="155" w:hanging="977"/>
            </w:pPr>
            <w:r>
              <w:rPr>
                <w:rFonts w:ascii="Times New Roman" w:hAnsi="Times New Roman" w:eastAsia="Times New Roman" w:cs="Times New Roman"/>
                <w:spacing w:val="-5"/>
              </w:rPr>
              <w:t>pH</w:t>
            </w:r>
            <w:r>
              <w:rPr>
                <w:rFonts w:ascii="Times New Roman" w:hAnsi="Times New Roman" w:eastAsia="Times New Roman" w:cs="Times New Roman"/>
                <w:spacing w:val="-29"/>
              </w:rPr>
              <w:t xml:space="preserve"> </w:t>
            </w:r>
            <w:r>
              <w:rPr>
                <w:spacing w:val="-5"/>
              </w:rPr>
              <w:t>、</w:t>
            </w:r>
            <w:r>
              <w:rPr>
                <w:rFonts w:ascii="Times New Roman" w:hAnsi="Times New Roman" w:eastAsia="Times New Roman" w:cs="Times New Roman"/>
                <w:spacing w:val="-5"/>
              </w:rPr>
              <w:t>DO</w:t>
            </w:r>
            <w:r>
              <w:rPr>
                <w:rFonts w:ascii="Times New Roman" w:hAnsi="Times New Roman" w:eastAsia="Times New Roman" w:cs="Times New Roman"/>
                <w:spacing w:val="-31"/>
              </w:rPr>
              <w:t xml:space="preserve"> </w:t>
            </w:r>
            <w:r>
              <w:rPr>
                <w:spacing w:val="-5"/>
              </w:rPr>
              <w:t>、</w:t>
            </w:r>
            <w:r>
              <w:rPr>
                <w:rFonts w:ascii="Times New Roman" w:hAnsi="Times New Roman" w:eastAsia="Times New Roman" w:cs="Times New Roman"/>
                <w:spacing w:val="-5"/>
              </w:rPr>
              <w:t>COD</w:t>
            </w:r>
            <w:r>
              <w:rPr>
                <w:rFonts w:ascii="Times New Roman" w:hAnsi="Times New Roman" w:eastAsia="Times New Roman" w:cs="Times New Roman"/>
                <w:spacing w:val="-5"/>
                <w:position w:val="-1"/>
                <w:sz w:val="13"/>
                <w:szCs w:val="13"/>
              </w:rPr>
              <w:t>Mn</w:t>
            </w:r>
            <w:r>
              <w:rPr>
                <w:rFonts w:ascii="Times New Roman" w:hAnsi="Times New Roman" w:eastAsia="Times New Roman" w:cs="Times New Roman"/>
                <w:spacing w:val="-9"/>
                <w:position w:val="-1"/>
                <w:sz w:val="13"/>
                <w:szCs w:val="13"/>
              </w:rPr>
              <w:t xml:space="preserve"> </w:t>
            </w:r>
            <w:r>
              <w:rPr>
                <w:spacing w:val="-5"/>
              </w:rPr>
              <w:t>、</w:t>
            </w:r>
            <w:r>
              <w:rPr>
                <w:rFonts w:ascii="Times New Roman" w:hAnsi="Times New Roman" w:eastAsia="Times New Roman" w:cs="Times New Roman"/>
                <w:spacing w:val="-5"/>
              </w:rPr>
              <w:t>BOD</w:t>
            </w:r>
            <w:r>
              <w:rPr>
                <w:rFonts w:ascii="Times New Roman" w:hAnsi="Times New Roman" w:eastAsia="Times New Roman" w:cs="Times New Roman"/>
                <w:spacing w:val="-5"/>
                <w:position w:val="-1"/>
                <w:sz w:val="13"/>
                <w:szCs w:val="13"/>
              </w:rPr>
              <w:t>5</w:t>
            </w:r>
            <w:r>
              <w:rPr>
                <w:rFonts w:ascii="Times New Roman" w:hAnsi="Times New Roman" w:eastAsia="Times New Roman" w:cs="Times New Roman"/>
                <w:spacing w:val="-10"/>
                <w:position w:val="-1"/>
                <w:sz w:val="13"/>
                <w:szCs w:val="13"/>
              </w:rPr>
              <w:t xml:space="preserve"> </w:t>
            </w:r>
            <w:r>
              <w:rPr>
                <w:spacing w:val="-5"/>
              </w:rPr>
              <w:t>、氨氮、</w:t>
            </w:r>
            <w:r>
              <w:t xml:space="preserve"> </w:t>
            </w:r>
            <w:r>
              <w:rPr>
                <w:spacing w:val="-2"/>
              </w:rPr>
              <w:t>总磷、石油类</w:t>
            </w:r>
          </w:p>
        </w:tc>
        <w:tc>
          <w:tcPr>
            <w:tcW w:w="3586" w:type="dxa"/>
            <w:vAlign w:val="top"/>
          </w:tcPr>
          <w:p>
            <w:pPr>
              <w:pStyle w:val="6"/>
              <w:spacing w:before="207" w:line="214" w:lineRule="auto"/>
              <w:ind w:left="377"/>
              <w:rPr>
                <w:rFonts w:ascii="Times New Roman" w:hAnsi="Times New Roman" w:eastAsia="Times New Roman" w:cs="Times New Roman"/>
              </w:rPr>
            </w:pPr>
            <w:r>
              <w:rPr>
                <w:rFonts w:ascii="Times New Roman" w:hAnsi="Times New Roman" w:eastAsia="Times New Roman" w:cs="Times New Roman"/>
                <w:spacing w:val="-2"/>
              </w:rPr>
              <w:t>pH</w:t>
            </w:r>
            <w:r>
              <w:rPr>
                <w:rFonts w:ascii="Times New Roman" w:hAnsi="Times New Roman" w:eastAsia="Times New Roman" w:cs="Times New Roman"/>
                <w:spacing w:val="-18"/>
              </w:rPr>
              <w:t xml:space="preserve"> </w:t>
            </w:r>
            <w:r>
              <w:rPr>
                <w:spacing w:val="-2"/>
              </w:rPr>
              <w:t>、</w:t>
            </w:r>
            <w:r>
              <w:rPr>
                <w:rFonts w:ascii="Times New Roman" w:hAnsi="Times New Roman" w:eastAsia="Times New Roman" w:cs="Times New Roman"/>
                <w:spacing w:val="-2"/>
              </w:rPr>
              <w:t>COD</w:t>
            </w:r>
            <w:r>
              <w:rPr>
                <w:spacing w:val="-2"/>
              </w:rPr>
              <w:t>、氨氮、石油类、</w:t>
            </w:r>
            <w:r>
              <w:rPr>
                <w:rFonts w:ascii="Times New Roman" w:hAnsi="Times New Roman" w:eastAsia="Times New Roman" w:cs="Times New Roman"/>
                <w:spacing w:val="-2"/>
              </w:rPr>
              <w:t>SS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362" w:type="dxa"/>
            <w:gridSpan w:val="2"/>
            <w:vMerge w:val="continue"/>
            <w:tcBorders>
              <w:top w:val="nil"/>
            </w:tcBorders>
            <w:vAlign w:val="top"/>
          </w:tcPr>
          <w:p>
            <w:pPr>
              <w:rPr>
                <w:rFonts w:ascii="Arial"/>
                <w:sz w:val="21"/>
              </w:rPr>
            </w:pPr>
          </w:p>
        </w:tc>
        <w:tc>
          <w:tcPr>
            <w:tcW w:w="3438" w:type="dxa"/>
            <w:vAlign w:val="top"/>
          </w:tcPr>
          <w:p>
            <w:pPr>
              <w:pStyle w:val="6"/>
              <w:spacing w:before="32" w:line="204" w:lineRule="auto"/>
              <w:ind w:left="885"/>
            </w:pPr>
            <w:r>
              <w:rPr>
                <w:spacing w:val="-1"/>
              </w:rPr>
              <w:t>水面面积、水位等</w:t>
            </w:r>
          </w:p>
        </w:tc>
        <w:tc>
          <w:tcPr>
            <w:tcW w:w="3586" w:type="dxa"/>
            <w:vAlign w:val="top"/>
          </w:tcPr>
          <w:p>
            <w:pPr>
              <w:pStyle w:val="6"/>
              <w:spacing w:before="32" w:line="204" w:lineRule="auto"/>
              <w:ind w:left="959"/>
            </w:pPr>
            <w:r>
              <w:rPr>
                <w:spacing w:val="-1"/>
              </w:rPr>
              <w:t>水面面积、水位等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362" w:type="dxa"/>
            <w:gridSpan w:val="2"/>
            <w:vAlign w:val="top"/>
          </w:tcPr>
          <w:p>
            <w:pPr>
              <w:spacing w:line="297" w:lineRule="auto"/>
              <w:rPr>
                <w:rFonts w:ascii="Arial"/>
                <w:sz w:val="21"/>
              </w:rPr>
            </w:pPr>
          </w:p>
          <w:p>
            <w:pPr>
              <w:pStyle w:val="6"/>
              <w:spacing w:before="68" w:line="220" w:lineRule="auto"/>
              <w:ind w:left="267"/>
            </w:pPr>
            <w:r>
              <w:rPr>
                <w:spacing w:val="-2"/>
              </w:rPr>
              <w:t>环境空气</w:t>
            </w:r>
          </w:p>
        </w:tc>
        <w:tc>
          <w:tcPr>
            <w:tcW w:w="3438" w:type="dxa"/>
            <w:vAlign w:val="top"/>
          </w:tcPr>
          <w:p>
            <w:pPr>
              <w:spacing w:line="336" w:lineRule="auto"/>
              <w:rPr>
                <w:rFonts w:ascii="Arial"/>
                <w:sz w:val="21"/>
              </w:rPr>
            </w:pPr>
          </w:p>
          <w:p>
            <w:pPr>
              <w:pStyle w:val="6"/>
              <w:spacing w:before="68" w:line="187" w:lineRule="auto"/>
              <w:ind w:left="129"/>
              <w:rPr>
                <w:rFonts w:ascii="Times New Roman" w:hAnsi="Times New Roman" w:eastAsia="Times New Roman" w:cs="Times New Roman"/>
                <w:sz w:val="13"/>
                <w:szCs w:val="13"/>
              </w:rPr>
            </w:pP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8"/>
                <w:position w:val="-1"/>
                <w:sz w:val="13"/>
                <w:szCs w:val="13"/>
              </w:rPr>
              <w:t xml:space="preserve"> </w:t>
            </w:r>
            <w:r>
              <w:rPr>
                <w:spacing w:val="-4"/>
              </w:rPr>
              <w:t>、</w:t>
            </w:r>
            <w:r>
              <w:rPr>
                <w:rFonts w:ascii="Times New Roman" w:hAnsi="Times New Roman" w:eastAsia="Times New Roman" w:cs="Times New Roman"/>
                <w:spacing w:val="-4"/>
              </w:rPr>
              <w:t>NO</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pacing w:val="-10"/>
                <w:position w:val="-1"/>
                <w:sz w:val="13"/>
                <w:szCs w:val="13"/>
              </w:rPr>
              <w:t xml:space="preserve"> </w:t>
            </w:r>
            <w:r>
              <w:rPr>
                <w:spacing w:val="-4"/>
              </w:rPr>
              <w:t>、</w:t>
            </w:r>
            <w:r>
              <w:rPr>
                <w:rFonts w:ascii="Times New Roman" w:hAnsi="Times New Roman" w:eastAsia="Times New Roman" w:cs="Times New Roman"/>
                <w:spacing w:val="-4"/>
              </w:rPr>
              <w:t>PM</w:t>
            </w:r>
            <w:r>
              <w:rPr>
                <w:rFonts w:ascii="Times New Roman" w:hAnsi="Times New Roman" w:eastAsia="Times New Roman" w:cs="Times New Roman"/>
                <w:spacing w:val="-4"/>
                <w:position w:val="-1"/>
                <w:sz w:val="13"/>
                <w:szCs w:val="13"/>
              </w:rPr>
              <w:t>10</w:t>
            </w:r>
            <w:r>
              <w:rPr>
                <w:rFonts w:ascii="Times New Roman" w:hAnsi="Times New Roman" w:eastAsia="Times New Roman" w:cs="Times New Roman"/>
                <w:spacing w:val="-9"/>
                <w:position w:val="-1"/>
                <w:sz w:val="13"/>
                <w:szCs w:val="13"/>
              </w:rPr>
              <w:t xml:space="preserve"> </w:t>
            </w:r>
            <w:r>
              <w:rPr>
                <w:spacing w:val="-4"/>
              </w:rPr>
              <w:t>、</w:t>
            </w:r>
            <w:r>
              <w:rPr>
                <w:rFonts w:ascii="Times New Roman" w:hAnsi="Times New Roman" w:eastAsia="Times New Roman" w:cs="Times New Roman"/>
                <w:spacing w:val="-4"/>
              </w:rPr>
              <w:t>PM</w:t>
            </w:r>
            <w:r>
              <w:rPr>
                <w:rFonts w:ascii="Times New Roman" w:hAnsi="Times New Roman" w:eastAsia="Times New Roman" w:cs="Times New Roman"/>
                <w:spacing w:val="-4"/>
                <w:position w:val="-1"/>
                <w:sz w:val="13"/>
                <w:szCs w:val="13"/>
              </w:rPr>
              <w:t>2.5</w:t>
            </w:r>
            <w:r>
              <w:rPr>
                <w:rFonts w:ascii="Times New Roman" w:hAnsi="Times New Roman" w:eastAsia="Times New Roman" w:cs="Times New Roman"/>
                <w:spacing w:val="-12"/>
                <w:position w:val="-1"/>
                <w:sz w:val="13"/>
                <w:szCs w:val="13"/>
              </w:rPr>
              <w:t xml:space="preserve"> </w:t>
            </w:r>
            <w:r>
              <w:rPr>
                <w:spacing w:val="-4"/>
              </w:rPr>
              <w:t>、</w:t>
            </w:r>
            <w:r>
              <w:rPr>
                <w:rFonts w:ascii="Times New Roman" w:hAnsi="Times New Roman" w:eastAsia="Times New Roman" w:cs="Times New Roman"/>
                <w:spacing w:val="-4"/>
              </w:rPr>
              <w:t>CO</w:t>
            </w:r>
            <w:r>
              <w:rPr>
                <w:rFonts w:ascii="Times New Roman" w:hAnsi="Times New Roman" w:eastAsia="Times New Roman" w:cs="Times New Roman"/>
                <w:spacing w:val="-28"/>
              </w:rPr>
              <w:t xml:space="preserve"> </w:t>
            </w:r>
            <w:r>
              <w:rPr>
                <w:spacing w:val="-4"/>
              </w:rPr>
              <w:t>、</w:t>
            </w:r>
            <w:r>
              <w:rPr>
                <w:rFonts w:ascii="Times New Roman" w:hAnsi="Times New Roman" w:eastAsia="Times New Roman" w:cs="Times New Roman"/>
                <w:spacing w:val="-4"/>
              </w:rPr>
              <w:t>O</w:t>
            </w:r>
            <w:r>
              <w:rPr>
                <w:rFonts w:ascii="Times New Roman" w:hAnsi="Times New Roman" w:eastAsia="Times New Roman" w:cs="Times New Roman"/>
                <w:spacing w:val="-4"/>
                <w:position w:val="-1"/>
                <w:sz w:val="13"/>
                <w:szCs w:val="13"/>
              </w:rPr>
              <w:t>3</w:t>
            </w:r>
          </w:p>
        </w:tc>
        <w:tc>
          <w:tcPr>
            <w:tcW w:w="3586" w:type="dxa"/>
            <w:vAlign w:val="top"/>
          </w:tcPr>
          <w:p>
            <w:pPr>
              <w:pStyle w:val="6"/>
              <w:spacing w:before="54" w:line="217" w:lineRule="auto"/>
              <w:ind w:right="13"/>
              <w:jc w:val="right"/>
            </w:pPr>
            <w:r>
              <w:rPr>
                <w:spacing w:val="-8"/>
              </w:rPr>
              <w:t>施工期：粉尘、沥青烟气、苯并</w:t>
            </w:r>
            <w:r>
              <w:rPr>
                <w:rFonts w:ascii="Times New Roman" w:hAnsi="Times New Roman" w:eastAsia="Times New Roman" w:cs="Times New Roman"/>
                <w:spacing w:val="-8"/>
              </w:rPr>
              <w:t>[a]</w:t>
            </w:r>
            <w:r>
              <w:rPr>
                <w:spacing w:val="-8"/>
              </w:rPr>
              <w:t>芘、</w:t>
            </w:r>
          </w:p>
          <w:p>
            <w:pPr>
              <w:pStyle w:val="6"/>
              <w:spacing w:before="104" w:line="187" w:lineRule="auto"/>
              <w:ind w:left="1055"/>
              <w:rPr>
                <w:rFonts w:ascii="Times New Roman" w:hAnsi="Times New Roman" w:eastAsia="Times New Roman" w:cs="Times New Roman"/>
              </w:rPr>
            </w:pP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3"/>
                <w:position w:val="-1"/>
                <w:sz w:val="13"/>
                <w:szCs w:val="13"/>
              </w:rPr>
              <w:t xml:space="preserve"> </w:t>
            </w:r>
            <w:r>
              <w:rPr>
                <w:spacing w:val="-6"/>
              </w:rPr>
              <w:t>、</w:t>
            </w:r>
            <w:r>
              <w:rPr>
                <w:rFonts w:ascii="Times New Roman" w:hAnsi="Times New Roman" w:eastAsia="Times New Roman" w:cs="Times New Roman"/>
                <w:spacing w:val="-6"/>
              </w:rPr>
              <w:t>NO</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10"/>
                <w:position w:val="-1"/>
                <w:sz w:val="13"/>
                <w:szCs w:val="13"/>
              </w:rPr>
              <w:t xml:space="preserve"> </w:t>
            </w:r>
            <w:r>
              <w:rPr>
                <w:spacing w:val="-6"/>
              </w:rPr>
              <w:t>、</w:t>
            </w:r>
            <w:r>
              <w:rPr>
                <w:rFonts w:ascii="Times New Roman" w:hAnsi="Times New Roman" w:eastAsia="Times New Roman" w:cs="Times New Roman"/>
                <w:spacing w:val="-6"/>
              </w:rPr>
              <w:t>TSP</w:t>
            </w:r>
          </w:p>
          <w:p>
            <w:pPr>
              <w:pStyle w:val="6"/>
              <w:spacing w:before="60" w:line="222" w:lineRule="auto"/>
              <w:ind w:left="946"/>
              <w:rPr>
                <w:rFonts w:ascii="Times New Roman" w:hAnsi="Times New Roman" w:eastAsia="Times New Roman" w:cs="Times New Roman"/>
                <w:sz w:val="13"/>
                <w:szCs w:val="13"/>
              </w:rPr>
            </w:pPr>
            <w:r>
              <w:rPr>
                <w:spacing w:val="-3"/>
              </w:rPr>
              <w:t>营运期：</w:t>
            </w:r>
            <w:r>
              <w:rPr>
                <w:rFonts w:ascii="Times New Roman" w:hAnsi="Times New Roman" w:eastAsia="Times New Roman" w:cs="Times New Roman"/>
                <w:spacing w:val="-3"/>
              </w:rPr>
              <w:t>CO</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spacing w:val="-3"/>
              </w:rPr>
              <w:t>NO</w:t>
            </w:r>
            <w:r>
              <w:rPr>
                <w:rFonts w:ascii="Times New Roman" w:hAnsi="Times New Roman" w:eastAsia="Times New Roman" w:cs="Times New Roman"/>
                <w:spacing w:val="-3"/>
                <w:position w:val="-1"/>
                <w:sz w:val="13"/>
                <w:szCs w:val="13"/>
              </w:rPr>
              <w:t>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2" w:type="dxa"/>
            <w:gridSpan w:val="2"/>
            <w:vAlign w:val="top"/>
          </w:tcPr>
          <w:p>
            <w:pPr>
              <w:pStyle w:val="6"/>
              <w:spacing w:before="54" w:line="221" w:lineRule="auto"/>
              <w:ind w:left="374"/>
            </w:pPr>
            <w:r>
              <w:rPr>
                <w:spacing w:val="-2"/>
              </w:rPr>
              <w:t>声环境</w:t>
            </w:r>
          </w:p>
        </w:tc>
        <w:tc>
          <w:tcPr>
            <w:tcW w:w="3438" w:type="dxa"/>
            <w:vAlign w:val="top"/>
          </w:tcPr>
          <w:p>
            <w:pPr>
              <w:pStyle w:val="6"/>
              <w:spacing w:before="53" w:line="222" w:lineRule="auto"/>
              <w:ind w:left="231"/>
              <w:rPr>
                <w:rFonts w:ascii="Times New Roman" w:hAnsi="Times New Roman" w:eastAsia="Times New Roman" w:cs="Times New Roman"/>
                <w:sz w:val="13"/>
                <w:szCs w:val="13"/>
              </w:rPr>
            </w:pPr>
            <w:r>
              <w:t>昼间、夜间等效连续</w:t>
            </w:r>
            <w:r>
              <w:rPr>
                <w:spacing w:val="-46"/>
              </w:rPr>
              <w:t xml:space="preserve"> </w:t>
            </w:r>
            <w:r>
              <w:rPr>
                <w:rFonts w:ascii="Times New Roman" w:hAnsi="Times New Roman" w:eastAsia="Times New Roman" w:cs="Times New Roman"/>
              </w:rPr>
              <w:t xml:space="preserve">A </w:t>
            </w:r>
            <w:r>
              <w:t>声级</w:t>
            </w:r>
            <w:r>
              <w:rPr>
                <w:spacing w:val="-48"/>
              </w:rPr>
              <w:t xml:space="preserve"> </w:t>
            </w:r>
            <w:r>
              <w:rPr>
                <w:rFonts w:ascii="Times New Roman" w:hAnsi="Times New Roman" w:eastAsia="Times New Roman" w:cs="Times New Roman"/>
              </w:rPr>
              <w:t>L</w:t>
            </w:r>
            <w:r>
              <w:rPr>
                <w:rFonts w:ascii="Times New Roman" w:hAnsi="Times New Roman" w:eastAsia="Times New Roman" w:cs="Times New Roman"/>
                <w:position w:val="-1"/>
                <w:sz w:val="13"/>
                <w:szCs w:val="13"/>
              </w:rPr>
              <w:t>Aeq</w:t>
            </w:r>
          </w:p>
        </w:tc>
        <w:tc>
          <w:tcPr>
            <w:tcW w:w="3586" w:type="dxa"/>
            <w:vAlign w:val="top"/>
          </w:tcPr>
          <w:p>
            <w:pPr>
              <w:pStyle w:val="6"/>
              <w:spacing w:before="53" w:line="222" w:lineRule="auto"/>
              <w:ind w:left="305"/>
              <w:rPr>
                <w:rFonts w:ascii="Times New Roman" w:hAnsi="Times New Roman" w:eastAsia="Times New Roman" w:cs="Times New Roman"/>
                <w:sz w:val="13"/>
                <w:szCs w:val="13"/>
              </w:rPr>
            </w:pPr>
            <w:r>
              <w:t>昼间、夜间等效连续</w:t>
            </w:r>
            <w:r>
              <w:rPr>
                <w:spacing w:val="-46"/>
              </w:rPr>
              <w:t xml:space="preserve"> </w:t>
            </w:r>
            <w:r>
              <w:rPr>
                <w:rFonts w:ascii="Times New Roman" w:hAnsi="Times New Roman" w:eastAsia="Times New Roman" w:cs="Times New Roman"/>
              </w:rPr>
              <w:t xml:space="preserve">A </w:t>
            </w:r>
            <w:r>
              <w:t>声级</w:t>
            </w:r>
            <w:r>
              <w:rPr>
                <w:spacing w:val="-48"/>
              </w:rPr>
              <w:t xml:space="preserve"> </w:t>
            </w:r>
            <w:r>
              <w:rPr>
                <w:rFonts w:ascii="Times New Roman" w:hAnsi="Times New Roman" w:eastAsia="Times New Roman" w:cs="Times New Roman"/>
              </w:rPr>
              <w:t>L</w:t>
            </w:r>
            <w:r>
              <w:rPr>
                <w:rFonts w:ascii="Times New Roman" w:hAnsi="Times New Roman" w:eastAsia="Times New Roman" w:cs="Times New Roman"/>
                <w:position w:val="-1"/>
                <w:sz w:val="13"/>
                <w:szCs w:val="13"/>
              </w:rPr>
              <w:t>Aeq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803" w:type="dxa"/>
            <w:vAlign w:val="top"/>
          </w:tcPr>
          <w:p>
            <w:pPr>
              <w:spacing w:line="452" w:lineRule="auto"/>
              <w:rPr>
                <w:rFonts w:ascii="Arial"/>
                <w:sz w:val="21"/>
              </w:rPr>
            </w:pPr>
          </w:p>
          <w:p>
            <w:pPr>
              <w:pStyle w:val="6"/>
              <w:spacing w:before="68" w:line="312" w:lineRule="exact"/>
              <w:ind w:left="199"/>
            </w:pPr>
            <w:r>
              <w:rPr>
                <w:spacing w:val="-2"/>
                <w:position w:val="7"/>
              </w:rPr>
              <w:t>生态</w:t>
            </w:r>
          </w:p>
          <w:p>
            <w:pPr>
              <w:pStyle w:val="6"/>
              <w:spacing w:line="221" w:lineRule="auto"/>
              <w:ind w:left="197"/>
            </w:pPr>
            <w:r>
              <w:rPr>
                <w:spacing w:val="-2"/>
              </w:rPr>
              <w:t>环境</w:t>
            </w:r>
          </w:p>
        </w:tc>
        <w:tc>
          <w:tcPr>
            <w:tcW w:w="559" w:type="dxa"/>
            <w:textDirection w:val="tbRlV"/>
            <w:vAlign w:val="top"/>
          </w:tcPr>
          <w:p>
            <w:pPr>
              <w:pStyle w:val="6"/>
              <w:spacing w:before="174" w:line="208" w:lineRule="auto"/>
              <w:ind w:left="523"/>
            </w:pPr>
            <w:r>
              <w:rPr>
                <w:spacing w:val="1"/>
              </w:rPr>
              <w:t>陆</w:t>
            </w:r>
            <w:r>
              <w:rPr>
                <w:spacing w:val="-5"/>
              </w:rPr>
              <w:t xml:space="preserve"> </w:t>
            </w:r>
            <w:r>
              <w:rPr>
                <w:spacing w:val="1"/>
              </w:rPr>
              <w:t>域</w:t>
            </w:r>
          </w:p>
        </w:tc>
        <w:tc>
          <w:tcPr>
            <w:tcW w:w="3438" w:type="dxa"/>
            <w:vAlign w:val="top"/>
          </w:tcPr>
          <w:p>
            <w:pPr>
              <w:pStyle w:val="6"/>
              <w:spacing w:before="54" w:line="220" w:lineRule="auto"/>
              <w:ind w:right="12"/>
              <w:jc w:val="right"/>
            </w:pPr>
            <w:r>
              <w:rPr>
                <w:spacing w:val="-4"/>
              </w:rPr>
              <w:t>耕地、水土保持、景观、植被类型、</w:t>
            </w:r>
          </w:p>
          <w:p>
            <w:pPr>
              <w:pStyle w:val="6"/>
              <w:spacing w:before="62" w:line="221" w:lineRule="auto"/>
              <w:ind w:right="13"/>
              <w:jc w:val="right"/>
            </w:pPr>
            <w:r>
              <w:rPr>
                <w:spacing w:val="-4"/>
              </w:rPr>
              <w:t>植物种类、植被生物量、陆生动物、</w:t>
            </w:r>
          </w:p>
          <w:p>
            <w:pPr>
              <w:pStyle w:val="6"/>
              <w:spacing w:before="60" w:line="221" w:lineRule="auto"/>
              <w:ind w:left="148"/>
            </w:pPr>
            <w:r>
              <w:rPr>
                <w:spacing w:val="-1"/>
              </w:rPr>
              <w:t>物种多样性、古树名木、重点保护</w:t>
            </w:r>
          </w:p>
          <w:p>
            <w:pPr>
              <w:pStyle w:val="6"/>
              <w:spacing w:before="60" w:line="220" w:lineRule="auto"/>
              <w:ind w:left="149"/>
            </w:pPr>
            <w:r>
              <w:rPr>
                <w:spacing w:val="-7"/>
              </w:rPr>
              <w:t>植物、 生态公益林、百丈漈飞云湖</w:t>
            </w:r>
          </w:p>
          <w:p>
            <w:pPr>
              <w:pStyle w:val="6"/>
              <w:spacing w:before="61" w:line="220" w:lineRule="auto"/>
              <w:ind w:left="1095"/>
            </w:pPr>
            <w:r>
              <w:rPr>
                <w:spacing w:val="-1"/>
              </w:rPr>
              <w:t>风景名胜区等</w:t>
            </w:r>
          </w:p>
        </w:tc>
        <w:tc>
          <w:tcPr>
            <w:tcW w:w="3586" w:type="dxa"/>
            <w:vAlign w:val="top"/>
          </w:tcPr>
          <w:p>
            <w:pPr>
              <w:pStyle w:val="6"/>
              <w:spacing w:before="53" w:line="261" w:lineRule="auto"/>
              <w:ind w:left="116" w:right="106"/>
            </w:pPr>
            <w:r>
              <w:rPr>
                <w:spacing w:val="-3"/>
              </w:rPr>
              <w:t>耕地、水土保持、景观、植被类型、</w:t>
            </w:r>
            <w:r>
              <w:rPr>
                <w:spacing w:val="12"/>
              </w:rPr>
              <w:t xml:space="preserve"> </w:t>
            </w:r>
            <w:r>
              <w:rPr>
                <w:spacing w:val="-3"/>
              </w:rPr>
              <w:t>植物种类、植被生物量、陆生动物、</w:t>
            </w:r>
            <w:r>
              <w:rPr>
                <w:spacing w:val="12"/>
              </w:rPr>
              <w:t xml:space="preserve"> </w:t>
            </w:r>
            <w:r>
              <w:rPr>
                <w:spacing w:val="-1"/>
              </w:rPr>
              <w:t>物种多样性、古树名木、重点保护植</w:t>
            </w:r>
            <w:r>
              <w:rPr>
                <w:spacing w:val="11"/>
              </w:rPr>
              <w:t xml:space="preserve"> </w:t>
            </w:r>
            <w:r>
              <w:rPr>
                <w:spacing w:val="-5"/>
              </w:rPr>
              <w:t>物、</w:t>
            </w:r>
            <w:r>
              <w:rPr>
                <w:spacing w:val="-29"/>
              </w:rPr>
              <w:t xml:space="preserve"> </w:t>
            </w:r>
            <w:r>
              <w:rPr>
                <w:spacing w:val="-5"/>
              </w:rPr>
              <w:t>生态公益林、百丈漈飞云湖风景</w:t>
            </w:r>
          </w:p>
          <w:p>
            <w:pPr>
              <w:pStyle w:val="6"/>
              <w:spacing w:before="61" w:line="220" w:lineRule="auto"/>
              <w:ind w:left="1379"/>
            </w:pPr>
            <w:r>
              <w:rPr>
                <w:spacing w:val="-2"/>
              </w:rPr>
              <w:t>名胜区等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62" w:type="dxa"/>
            <w:gridSpan w:val="2"/>
            <w:vAlign w:val="top"/>
          </w:tcPr>
          <w:p>
            <w:pPr>
              <w:pStyle w:val="6"/>
              <w:spacing w:before="57" w:line="221" w:lineRule="auto"/>
              <w:ind w:left="267"/>
            </w:pPr>
            <w:r>
              <w:rPr>
                <w:spacing w:val="-2"/>
              </w:rPr>
              <w:t>环境风险</w:t>
            </w:r>
          </w:p>
        </w:tc>
        <w:tc>
          <w:tcPr>
            <w:tcW w:w="7024" w:type="dxa"/>
            <w:gridSpan w:val="2"/>
            <w:vAlign w:val="top"/>
          </w:tcPr>
          <w:p>
            <w:pPr>
              <w:pStyle w:val="6"/>
              <w:spacing w:before="57" w:line="221" w:lineRule="auto"/>
              <w:ind w:left="2782"/>
            </w:pPr>
            <w:r>
              <w:rPr>
                <w:spacing w:val="-2"/>
              </w:rPr>
              <w:t>危化品事故风险</w:t>
            </w:r>
          </w:p>
        </w:tc>
      </w:tr>
    </w:tbl>
    <w:p>
      <w:pPr>
        <w:spacing w:before="193" w:line="220" w:lineRule="auto"/>
        <w:ind w:left="48"/>
        <w:outlineLvl w:val="0"/>
        <w:rPr>
          <w:rFonts w:ascii="宋体" w:hAnsi="宋体" w:eastAsia="宋体" w:cs="宋体"/>
          <w:sz w:val="24"/>
          <w:szCs w:val="24"/>
        </w:rPr>
      </w:pPr>
      <w:r>
        <w:rPr>
          <w:rFonts w:ascii="Times New Roman" w:hAnsi="Times New Roman" w:eastAsia="Times New Roman" w:cs="Times New Roman"/>
          <w:b/>
          <w:bCs/>
          <w:sz w:val="24"/>
          <w:szCs w:val="24"/>
        </w:rPr>
        <w:t xml:space="preserve">2.2.2 </w:t>
      </w:r>
      <w:r>
        <w:rPr>
          <w:rFonts w:ascii="宋体" w:hAnsi="宋体" w:eastAsia="宋体" w:cs="宋体"/>
          <w:sz w:val="24"/>
          <w:szCs w:val="24"/>
          <w14:textOutline w14:w="4354" w14:cap="flat" w14:cmpd="sng">
            <w14:solidFill>
              <w14:srgbClr w14:val="000000"/>
            </w14:solidFill>
            <w14:prstDash w14:val="solid"/>
            <w14:miter w14:val="0"/>
          </w14:textOutline>
        </w:rPr>
        <w:t>环境质量标准</w:t>
      </w:r>
    </w:p>
    <w:p>
      <w:pPr>
        <w:spacing w:before="181" w:line="220" w:lineRule="auto"/>
        <w:ind w:left="551"/>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、地表水水环境</w:t>
      </w:r>
    </w:p>
    <w:p>
      <w:pPr>
        <w:spacing w:before="180" w:line="469" w:lineRule="exact"/>
        <w:ind w:left="533"/>
        <w:rPr>
          <w:rFonts w:ascii="宋体" w:hAnsi="宋体" w:eastAsia="宋体" w:cs="宋体"/>
          <w:sz w:val="24"/>
          <w:szCs w:val="24"/>
        </w:rPr>
      </w:pPr>
      <w:r>
        <w:rPr>
          <w:rFonts w:ascii="宋体" w:hAnsi="宋体" w:eastAsia="宋体" w:cs="宋体"/>
          <w:spacing w:val="-7"/>
          <w:position w:val="17"/>
          <w:sz w:val="24"/>
          <w:szCs w:val="24"/>
        </w:rPr>
        <w:t>本项目跨越的水体主要为区域的无名小溪流、包垟溪等， 所在区域周边涉及</w:t>
      </w:r>
    </w:p>
    <w:p>
      <w:pPr>
        <w:spacing w:before="1" w:line="216" w:lineRule="auto"/>
        <w:ind w:left="72"/>
        <w:rPr>
          <w:rFonts w:ascii="宋体" w:hAnsi="宋体" w:eastAsia="宋体" w:cs="宋体"/>
          <w:sz w:val="24"/>
          <w:szCs w:val="24"/>
        </w:rPr>
      </w:pPr>
      <w:r>
        <w:rPr>
          <w:rFonts w:ascii="宋体" w:hAnsi="宋体" w:eastAsia="宋体" w:cs="宋体"/>
          <w:spacing w:val="-7"/>
          <w:sz w:val="24"/>
          <w:szCs w:val="24"/>
        </w:rPr>
        <w:t>的主要水域主要为高岭头二级水库、梧溪（峃作口溪） 、包垟水库、百丈漈水库</w:t>
      </w:r>
    </w:p>
    <w:p>
      <w:pPr>
        <w:spacing w:line="216" w:lineRule="auto"/>
        <w:rPr>
          <w:rFonts w:ascii="宋体" w:hAnsi="宋体" w:eastAsia="宋体" w:cs="宋体"/>
          <w:sz w:val="24"/>
          <w:szCs w:val="24"/>
        </w:rPr>
        <w:sectPr>
          <w:headerReference r:id="rId31" w:type="default"/>
          <w:footerReference r:id="rId32" w:type="default"/>
          <w:pgSz w:w="11907" w:h="16839"/>
          <w:pgMar w:top="1118" w:right="1712" w:bottom="1184" w:left="1757" w:header="879" w:footer="1024" w:gutter="0"/>
          <w:cols w:space="720" w:num="1"/>
        </w:sectPr>
      </w:pPr>
    </w:p>
    <w:p>
      <w:pPr>
        <w:pStyle w:val="2"/>
        <w:spacing w:line="280" w:lineRule="auto"/>
      </w:pPr>
    </w:p>
    <w:p>
      <w:pPr>
        <w:spacing w:before="78" w:line="359" w:lineRule="auto"/>
        <w:ind w:left="346" w:right="253" w:firstLine="2"/>
        <w:jc w:val="both"/>
        <w:rPr>
          <w:rFonts w:ascii="宋体" w:hAnsi="宋体" w:eastAsia="宋体" w:cs="宋体"/>
          <w:sz w:val="24"/>
          <w:szCs w:val="24"/>
        </w:rPr>
      </w:pPr>
      <w:r>
        <w:rPr>
          <w:rFonts w:ascii="宋体" w:hAnsi="宋体" w:eastAsia="宋体" w:cs="宋体"/>
          <w:spacing w:val="-6"/>
          <w:sz w:val="24"/>
          <w:szCs w:val="24"/>
        </w:rPr>
        <w:t>等，根据《浙江省水功能区水环境功能区划分方案》（</w:t>
      </w:r>
      <w:r>
        <w:rPr>
          <w:rFonts w:ascii="Times New Roman" w:hAnsi="Times New Roman" w:eastAsia="Times New Roman" w:cs="Times New Roman"/>
          <w:spacing w:val="-6"/>
          <w:sz w:val="24"/>
          <w:szCs w:val="24"/>
        </w:rPr>
        <w:t>2015</w:t>
      </w:r>
      <w:r>
        <w:rPr>
          <w:rFonts w:ascii="宋体" w:hAnsi="宋体" w:eastAsia="宋体" w:cs="宋体"/>
          <w:spacing w:val="-47"/>
          <w:sz w:val="24"/>
          <w:szCs w:val="24"/>
        </w:rPr>
        <w:t>），</w:t>
      </w:r>
      <w:r>
        <w:rPr>
          <w:rFonts w:ascii="宋体" w:hAnsi="宋体" w:eastAsia="宋体" w:cs="宋体"/>
          <w:spacing w:val="-70"/>
          <w:sz w:val="24"/>
          <w:szCs w:val="24"/>
        </w:rPr>
        <w:t xml:space="preserve"> </w:t>
      </w:r>
      <w:r>
        <w:rPr>
          <w:rFonts w:ascii="宋体" w:hAnsi="宋体" w:eastAsia="宋体" w:cs="宋体"/>
          <w:spacing w:val="-6"/>
          <w:sz w:val="24"/>
          <w:szCs w:val="24"/>
        </w:rPr>
        <w:t>高岭头二级水库、</w:t>
      </w:r>
      <w:r>
        <w:rPr>
          <w:rFonts w:ascii="宋体" w:hAnsi="宋体" w:eastAsia="宋体" w:cs="宋体"/>
          <w:sz w:val="24"/>
          <w:szCs w:val="24"/>
        </w:rPr>
        <w:t xml:space="preserve"> </w:t>
      </w:r>
      <w:r>
        <w:rPr>
          <w:rFonts w:ascii="宋体" w:hAnsi="宋体" w:eastAsia="宋体" w:cs="宋体"/>
          <w:spacing w:val="-15"/>
          <w:sz w:val="24"/>
          <w:szCs w:val="24"/>
        </w:rPr>
        <w:t>梧溪（峃作口溪） 、包垟水库未进行水环境功能区划分，</w:t>
      </w:r>
      <w:r>
        <w:rPr>
          <w:rFonts w:ascii="宋体" w:hAnsi="宋体" w:eastAsia="宋体" w:cs="宋体"/>
          <w:spacing w:val="44"/>
          <w:sz w:val="24"/>
          <w:szCs w:val="24"/>
        </w:rPr>
        <w:t xml:space="preserve"> </w:t>
      </w:r>
      <w:r>
        <w:rPr>
          <w:rFonts w:ascii="宋体" w:hAnsi="宋体" w:eastAsia="宋体" w:cs="宋体"/>
          <w:spacing w:val="-16"/>
          <w:sz w:val="24"/>
          <w:szCs w:val="24"/>
        </w:rPr>
        <w:t>根据流域情况，</w:t>
      </w:r>
      <w:r>
        <w:rPr>
          <w:rFonts w:ascii="宋体" w:hAnsi="宋体" w:eastAsia="宋体" w:cs="宋体"/>
          <w:spacing w:val="45"/>
          <w:sz w:val="24"/>
          <w:szCs w:val="24"/>
        </w:rPr>
        <w:t xml:space="preserve"> </w:t>
      </w:r>
      <w:r>
        <w:rPr>
          <w:rFonts w:ascii="宋体" w:hAnsi="宋体" w:eastAsia="宋体" w:cs="宋体"/>
          <w:spacing w:val="-16"/>
          <w:sz w:val="24"/>
          <w:szCs w:val="24"/>
        </w:rPr>
        <w:t xml:space="preserve">本次参 </w:t>
      </w:r>
      <w:r>
        <w:rPr>
          <w:rFonts w:ascii="宋体" w:hAnsi="宋体" w:eastAsia="宋体" w:cs="宋体"/>
          <w:spacing w:val="-2"/>
          <w:sz w:val="24"/>
          <w:szCs w:val="24"/>
        </w:rPr>
        <w:t xml:space="preserve">照附近飞云 </w:t>
      </w:r>
      <w:r>
        <w:rPr>
          <w:rFonts w:ascii="Times New Roman" w:hAnsi="Times New Roman" w:eastAsia="Times New Roman" w:cs="Times New Roman"/>
          <w:spacing w:val="-2"/>
          <w:sz w:val="24"/>
          <w:szCs w:val="24"/>
        </w:rPr>
        <w:t>13</w:t>
      </w:r>
      <w:r>
        <w:rPr>
          <w:rFonts w:ascii="Times New Roman" w:hAnsi="Times New Roman" w:eastAsia="Times New Roman" w:cs="Times New Roman"/>
          <w:spacing w:val="24"/>
          <w:sz w:val="24"/>
          <w:szCs w:val="24"/>
        </w:rPr>
        <w:t xml:space="preserve"> </w:t>
      </w:r>
      <w:r>
        <w:rPr>
          <w:rFonts w:ascii="宋体" w:hAnsi="宋体" w:eastAsia="宋体" w:cs="宋体"/>
          <w:spacing w:val="-2"/>
          <w:sz w:val="24"/>
          <w:szCs w:val="24"/>
        </w:rPr>
        <w:t>水环境功能划分和《文成县百丈漈镇包垟水库工程</w:t>
      </w:r>
      <w:r>
        <w:rPr>
          <w:rFonts w:ascii="宋体" w:hAnsi="宋体" w:eastAsia="宋体" w:cs="宋体"/>
          <w:spacing w:val="-3"/>
          <w:sz w:val="24"/>
          <w:szCs w:val="24"/>
        </w:rPr>
        <w:t xml:space="preserve">环境影响报告 </w:t>
      </w:r>
      <w:r>
        <w:rPr>
          <w:rFonts w:ascii="宋体" w:hAnsi="宋体" w:eastAsia="宋体" w:cs="宋体"/>
          <w:spacing w:val="1"/>
          <w:sz w:val="24"/>
          <w:szCs w:val="24"/>
        </w:rPr>
        <w:t>表》，水环境质量参照执行《地表水环境质量标准》（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3838-2002</w:t>
      </w:r>
      <w:r>
        <w:rPr>
          <w:rFonts w:ascii="宋体" w:hAnsi="宋体" w:eastAsia="宋体" w:cs="宋体"/>
          <w:spacing w:val="1"/>
          <w:sz w:val="24"/>
          <w:szCs w:val="24"/>
        </w:rPr>
        <w:t>）中</w:t>
      </w:r>
      <w:r>
        <w:rPr>
          <w:rFonts w:ascii="Times New Roman" w:hAnsi="Times New Roman" w:eastAsia="Times New Roman" w:cs="Times New Roman"/>
          <w:sz w:val="24"/>
          <w:szCs w:val="24"/>
        </w:rPr>
        <w:t>Ⅱ</w:t>
      </w:r>
      <w:r>
        <w:rPr>
          <w:rFonts w:ascii="宋体" w:hAnsi="宋体" w:eastAsia="宋体" w:cs="宋体"/>
          <w:sz w:val="24"/>
          <w:szCs w:val="24"/>
        </w:rPr>
        <w:t xml:space="preserve">类水 </w:t>
      </w:r>
      <w:r>
        <w:rPr>
          <w:rFonts w:ascii="宋体" w:hAnsi="宋体" w:eastAsia="宋体" w:cs="宋体"/>
          <w:spacing w:val="1"/>
          <w:sz w:val="24"/>
          <w:szCs w:val="24"/>
        </w:rPr>
        <w:t xml:space="preserve">质标准，百丈漈水库属于飞云 </w:t>
      </w:r>
      <w:r>
        <w:rPr>
          <w:rFonts w:ascii="Times New Roman" w:hAnsi="Times New Roman" w:eastAsia="Times New Roman" w:cs="Times New Roman"/>
          <w:spacing w:val="1"/>
          <w:sz w:val="24"/>
          <w:szCs w:val="24"/>
        </w:rPr>
        <w:t>15</w:t>
      </w:r>
      <w:r>
        <w:rPr>
          <w:rFonts w:ascii="宋体" w:hAnsi="宋体" w:eastAsia="宋体" w:cs="宋体"/>
          <w:spacing w:val="1"/>
          <w:sz w:val="24"/>
          <w:szCs w:val="24"/>
        </w:rPr>
        <w:t>，水环境参照执行</w:t>
      </w:r>
      <w:r>
        <w:rPr>
          <w:rFonts w:ascii="Times New Roman" w:hAnsi="Times New Roman" w:eastAsia="Times New Roman" w:cs="Times New Roman"/>
          <w:spacing w:val="1"/>
          <w:sz w:val="24"/>
          <w:szCs w:val="24"/>
        </w:rPr>
        <w:t>Ⅲ</w:t>
      </w:r>
      <w:r>
        <w:rPr>
          <w:rFonts w:ascii="宋体" w:hAnsi="宋体" w:eastAsia="宋体" w:cs="宋体"/>
          <w:spacing w:val="1"/>
          <w:sz w:val="24"/>
          <w:szCs w:val="24"/>
        </w:rPr>
        <w:t>类标准</w:t>
      </w:r>
      <w:r>
        <w:rPr>
          <w:rFonts w:ascii="宋体" w:hAnsi="宋体" w:eastAsia="宋体" w:cs="宋体"/>
          <w:sz w:val="24"/>
          <w:szCs w:val="24"/>
        </w:rPr>
        <w:t>，包垟溪水环境参</w:t>
      </w:r>
    </w:p>
    <w:p>
      <w:pPr>
        <w:spacing w:line="219" w:lineRule="auto"/>
        <w:ind w:left="355"/>
        <w:rPr>
          <w:rFonts w:ascii="宋体" w:hAnsi="宋体" w:eastAsia="宋体" w:cs="宋体"/>
          <w:sz w:val="24"/>
          <w:szCs w:val="24"/>
        </w:rPr>
      </w:pPr>
      <w:r>
        <w:rPr>
          <w:rFonts w:ascii="宋体" w:hAnsi="宋体" w:eastAsia="宋体" w:cs="宋体"/>
          <w:spacing w:val="-7"/>
          <w:sz w:val="24"/>
          <w:szCs w:val="24"/>
        </w:rPr>
        <w:t>照执行</w:t>
      </w:r>
      <w:r>
        <w:rPr>
          <w:rFonts w:ascii="Times New Roman" w:hAnsi="Times New Roman" w:eastAsia="Times New Roman" w:cs="Times New Roman"/>
          <w:spacing w:val="-7"/>
          <w:sz w:val="24"/>
          <w:szCs w:val="24"/>
        </w:rPr>
        <w:t>Ⅲ</w:t>
      </w:r>
      <w:r>
        <w:rPr>
          <w:rFonts w:ascii="宋体" w:hAnsi="宋体" w:eastAsia="宋体" w:cs="宋体"/>
          <w:spacing w:val="-7"/>
          <w:sz w:val="24"/>
          <w:szCs w:val="24"/>
        </w:rPr>
        <w:t>类标准。 具体标准值见表</w:t>
      </w:r>
      <w:r>
        <w:rPr>
          <w:rFonts w:ascii="宋体" w:hAnsi="宋体" w:eastAsia="宋体" w:cs="宋体"/>
          <w:spacing w:val="-44"/>
          <w:sz w:val="24"/>
          <w:szCs w:val="24"/>
        </w:rPr>
        <w:t xml:space="preserve"> </w:t>
      </w:r>
      <w:r>
        <w:rPr>
          <w:rFonts w:ascii="Times New Roman" w:hAnsi="Times New Roman" w:eastAsia="Times New Roman" w:cs="Times New Roman"/>
          <w:spacing w:val="-7"/>
          <w:sz w:val="24"/>
          <w:szCs w:val="24"/>
        </w:rPr>
        <w:t>2.2-2</w:t>
      </w:r>
      <w:r>
        <w:rPr>
          <w:rFonts w:ascii="宋体" w:hAnsi="宋体" w:eastAsia="宋体" w:cs="宋体"/>
          <w:spacing w:val="-7"/>
          <w:sz w:val="24"/>
          <w:szCs w:val="24"/>
        </w:rPr>
        <w:t>。</w:t>
      </w:r>
    </w:p>
    <w:p>
      <w:pPr>
        <w:spacing w:before="180" w:line="212" w:lineRule="auto"/>
        <w:ind w:left="771"/>
        <w:rPr>
          <w:rFonts w:ascii="宋体" w:hAnsi="宋体" w:eastAsia="宋体" w:cs="宋体"/>
          <w:sz w:val="24"/>
          <w:szCs w:val="24"/>
        </w:rPr>
      </w:pPr>
      <w:r>
        <w:rPr>
          <w:rFonts w:ascii="宋体" w:hAnsi="宋体" w:eastAsia="宋体" w:cs="宋体"/>
          <w:spacing w:val="-7"/>
          <w:sz w:val="24"/>
          <w:szCs w:val="24"/>
        </w:rPr>
        <w:t>表</w:t>
      </w:r>
      <w:r>
        <w:rPr>
          <w:rFonts w:ascii="Times New Roman" w:hAnsi="Times New Roman" w:eastAsia="Times New Roman" w:cs="Times New Roman"/>
          <w:spacing w:val="-7"/>
          <w:sz w:val="24"/>
          <w:szCs w:val="24"/>
        </w:rPr>
        <w:t xml:space="preserve">2.2-2     </w:t>
      </w:r>
      <w:r>
        <w:rPr>
          <w:rFonts w:ascii="宋体" w:hAnsi="宋体" w:eastAsia="宋体" w:cs="宋体"/>
          <w:spacing w:val="-7"/>
          <w:sz w:val="24"/>
          <w:szCs w:val="24"/>
        </w:rPr>
        <w:t>《地表水环境质量标准》（</w:t>
      </w:r>
      <w:r>
        <w:rPr>
          <w:rFonts w:ascii="Times New Roman" w:hAnsi="Times New Roman" w:eastAsia="Times New Roman" w:cs="Times New Roman"/>
          <w:spacing w:val="-7"/>
          <w:sz w:val="24"/>
          <w:szCs w:val="24"/>
        </w:rPr>
        <w:t>GB</w:t>
      </w:r>
      <w:r>
        <w:rPr>
          <w:rFonts w:ascii="Times New Roman" w:hAnsi="Times New Roman" w:eastAsia="Times New Roman" w:cs="Times New Roman"/>
          <w:spacing w:val="-8"/>
          <w:sz w:val="24"/>
          <w:szCs w:val="24"/>
        </w:rPr>
        <w:t>3838-2002</w:t>
      </w:r>
      <w:r>
        <w:rPr>
          <w:rFonts w:ascii="宋体" w:hAnsi="宋体" w:eastAsia="宋体" w:cs="宋体"/>
          <w:spacing w:val="-5"/>
          <w:sz w:val="24"/>
          <w:szCs w:val="24"/>
        </w:rPr>
        <w:t>）（</w:t>
      </w:r>
      <w:r>
        <w:rPr>
          <w:rFonts w:ascii="宋体" w:hAnsi="宋体" w:eastAsia="宋体" w:cs="宋体"/>
          <w:spacing w:val="-8"/>
          <w:sz w:val="24"/>
          <w:szCs w:val="24"/>
        </w:rPr>
        <w:t>单位：</w:t>
      </w:r>
      <w:r>
        <w:rPr>
          <w:rFonts w:ascii="宋体" w:hAnsi="宋体" w:eastAsia="宋体" w:cs="宋体"/>
          <w:spacing w:val="-32"/>
          <w:sz w:val="24"/>
          <w:szCs w:val="24"/>
        </w:rPr>
        <w:t xml:space="preserve"> </w:t>
      </w:r>
      <w:r>
        <w:rPr>
          <w:rFonts w:ascii="宋体" w:hAnsi="宋体" w:eastAsia="宋体" w:cs="宋体"/>
          <w:spacing w:val="-8"/>
          <w:sz w:val="24"/>
          <w:szCs w:val="24"/>
        </w:rPr>
        <w:t>除</w:t>
      </w:r>
      <w:r>
        <w:rPr>
          <w:rFonts w:ascii="Times New Roman" w:hAnsi="Times New Roman" w:eastAsia="Times New Roman" w:cs="Times New Roman"/>
          <w:spacing w:val="-8"/>
          <w:sz w:val="24"/>
          <w:szCs w:val="24"/>
        </w:rPr>
        <w:t>pH</w:t>
      </w:r>
      <w:r>
        <w:rPr>
          <w:rFonts w:ascii="宋体" w:hAnsi="宋体" w:eastAsia="宋体" w:cs="宋体"/>
          <w:spacing w:val="-8"/>
          <w:sz w:val="24"/>
          <w:szCs w:val="24"/>
        </w:rPr>
        <w:t>均为</w:t>
      </w:r>
      <w:r>
        <w:rPr>
          <w:rFonts w:ascii="Times New Roman" w:hAnsi="Times New Roman" w:eastAsia="Times New Roman" w:cs="Times New Roman"/>
          <w:spacing w:val="-8"/>
          <w:sz w:val="24"/>
          <w:szCs w:val="24"/>
        </w:rPr>
        <w:t>mg/L</w:t>
      </w:r>
      <w:r>
        <w:rPr>
          <w:rFonts w:ascii="宋体" w:hAnsi="宋体" w:eastAsia="宋体" w:cs="宋体"/>
          <w:spacing w:val="-8"/>
          <w:sz w:val="24"/>
          <w:szCs w:val="24"/>
        </w:rPr>
        <w:t>）</w:t>
      </w:r>
    </w:p>
    <w:p>
      <w:pPr>
        <w:spacing w:line="155" w:lineRule="exact"/>
      </w:pPr>
    </w:p>
    <w:tbl>
      <w:tblPr>
        <w:tblStyle w:val="5"/>
        <w:tblW w:w="89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2"/>
        <w:gridCol w:w="1123"/>
        <w:gridCol w:w="1120"/>
        <w:gridCol w:w="1123"/>
        <w:gridCol w:w="1123"/>
        <w:gridCol w:w="1122"/>
        <w:gridCol w:w="1123"/>
        <w:gridCol w:w="11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122" w:type="dxa"/>
            <w:vAlign w:val="top"/>
          </w:tcPr>
          <w:p>
            <w:pPr>
              <w:pStyle w:val="6"/>
              <w:spacing w:before="136" w:line="221" w:lineRule="auto"/>
              <w:ind w:left="148"/>
            </w:pPr>
            <w:r>
              <w:rPr>
                <w:spacing w:val="-2"/>
              </w:rPr>
              <w:t>污染因子</w:t>
            </w:r>
          </w:p>
        </w:tc>
        <w:tc>
          <w:tcPr>
            <w:tcW w:w="1123" w:type="dxa"/>
            <w:vAlign w:val="top"/>
          </w:tcPr>
          <w:p>
            <w:pPr>
              <w:spacing w:before="171" w:line="191" w:lineRule="auto"/>
              <w:ind w:left="427"/>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1120" w:type="dxa"/>
            <w:vAlign w:val="top"/>
          </w:tcPr>
          <w:p>
            <w:pPr>
              <w:spacing w:before="174" w:line="196" w:lineRule="auto"/>
              <w:ind w:left="246"/>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COD</w:t>
            </w:r>
            <w:r>
              <w:rPr>
                <w:rFonts w:ascii="Times New Roman" w:hAnsi="Times New Roman" w:eastAsia="Times New Roman" w:cs="Times New Roman"/>
                <w:spacing w:val="1"/>
                <w:position w:val="-1"/>
                <w:sz w:val="13"/>
                <w:szCs w:val="13"/>
              </w:rPr>
              <w:t>Mn</w:t>
            </w:r>
          </w:p>
        </w:tc>
        <w:tc>
          <w:tcPr>
            <w:tcW w:w="1123" w:type="dxa"/>
            <w:vAlign w:val="top"/>
          </w:tcPr>
          <w:p>
            <w:pPr>
              <w:spacing w:before="174" w:line="187" w:lineRule="auto"/>
              <w:ind w:left="4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DO</w:t>
            </w:r>
          </w:p>
        </w:tc>
        <w:tc>
          <w:tcPr>
            <w:tcW w:w="1123" w:type="dxa"/>
            <w:vAlign w:val="top"/>
          </w:tcPr>
          <w:p>
            <w:pPr>
              <w:pStyle w:val="6"/>
              <w:spacing w:before="135" w:line="220" w:lineRule="auto"/>
              <w:ind w:left="356"/>
            </w:pPr>
            <w:r>
              <w:rPr>
                <w:spacing w:val="-2"/>
              </w:rPr>
              <w:t>氨氮</w:t>
            </w:r>
          </w:p>
        </w:tc>
        <w:tc>
          <w:tcPr>
            <w:tcW w:w="1122" w:type="dxa"/>
            <w:vAlign w:val="top"/>
          </w:tcPr>
          <w:p>
            <w:pPr>
              <w:spacing w:before="177" w:line="184" w:lineRule="auto"/>
              <w:ind w:left="4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TP</w:t>
            </w:r>
          </w:p>
        </w:tc>
        <w:tc>
          <w:tcPr>
            <w:tcW w:w="1123" w:type="dxa"/>
            <w:vAlign w:val="top"/>
          </w:tcPr>
          <w:p>
            <w:pPr>
              <w:spacing w:before="174" w:line="196" w:lineRule="auto"/>
              <w:ind w:left="308"/>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1"/>
                <w:sz w:val="13"/>
                <w:szCs w:val="13"/>
              </w:rPr>
              <w:t>5</w:t>
            </w:r>
          </w:p>
        </w:tc>
        <w:tc>
          <w:tcPr>
            <w:tcW w:w="1123" w:type="dxa"/>
            <w:vAlign w:val="top"/>
          </w:tcPr>
          <w:p>
            <w:pPr>
              <w:pStyle w:val="6"/>
              <w:spacing w:before="135" w:line="221" w:lineRule="auto"/>
              <w:ind w:left="254"/>
            </w:pPr>
            <w:r>
              <w:rPr>
                <w:spacing w:val="-2"/>
              </w:rPr>
              <w:t>石油类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122" w:type="dxa"/>
            <w:vAlign w:val="top"/>
          </w:tcPr>
          <w:p>
            <w:pPr>
              <w:pStyle w:val="6"/>
              <w:spacing w:before="138" w:line="221" w:lineRule="auto"/>
              <w:ind w:left="180"/>
            </w:pPr>
            <w:r>
              <w:rPr>
                <w:rFonts w:ascii="Times New Roman" w:hAnsi="Times New Roman" w:eastAsia="Times New Roman" w:cs="Times New Roman"/>
                <w:spacing w:val="-1"/>
              </w:rPr>
              <w:t>Ⅱ</w:t>
            </w:r>
            <w:r>
              <w:rPr>
                <w:spacing w:val="-1"/>
              </w:rPr>
              <w:t>类标准</w:t>
            </w:r>
          </w:p>
        </w:tc>
        <w:tc>
          <w:tcPr>
            <w:tcW w:w="1123" w:type="dxa"/>
            <w:vAlign w:val="top"/>
          </w:tcPr>
          <w:p>
            <w:pPr>
              <w:spacing w:before="177" w:line="187"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c>
          <w:tcPr>
            <w:tcW w:w="1120" w:type="dxa"/>
            <w:vAlign w:val="top"/>
          </w:tcPr>
          <w:p>
            <w:pPr>
              <w:spacing w:before="174" w:line="219"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p>
        </w:tc>
        <w:tc>
          <w:tcPr>
            <w:tcW w:w="1123" w:type="dxa"/>
            <w:vAlign w:val="top"/>
          </w:tcPr>
          <w:p>
            <w:pPr>
              <w:spacing w:before="174" w:line="219"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w:t>
            </w:r>
          </w:p>
        </w:tc>
        <w:tc>
          <w:tcPr>
            <w:tcW w:w="1123" w:type="dxa"/>
            <w:vAlign w:val="top"/>
          </w:tcPr>
          <w:p>
            <w:pPr>
              <w:spacing w:before="174" w:line="219" w:lineRule="auto"/>
              <w:ind w:left="3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c>
          <w:tcPr>
            <w:tcW w:w="1122" w:type="dxa"/>
            <w:vAlign w:val="top"/>
          </w:tcPr>
          <w:p>
            <w:pPr>
              <w:spacing w:before="174" w:line="219" w:lineRule="auto"/>
              <w:ind w:left="3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w:t>
            </w:r>
          </w:p>
        </w:tc>
        <w:tc>
          <w:tcPr>
            <w:tcW w:w="1123" w:type="dxa"/>
            <w:vAlign w:val="top"/>
          </w:tcPr>
          <w:p>
            <w:pPr>
              <w:spacing w:before="174" w:line="219" w:lineRule="auto"/>
              <w:ind w:left="4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p>
        </w:tc>
        <w:tc>
          <w:tcPr>
            <w:tcW w:w="1123" w:type="dxa"/>
            <w:vAlign w:val="top"/>
          </w:tcPr>
          <w:p>
            <w:pPr>
              <w:spacing w:before="174" w:line="219"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122" w:type="dxa"/>
            <w:vAlign w:val="top"/>
          </w:tcPr>
          <w:p>
            <w:pPr>
              <w:pStyle w:val="6"/>
              <w:spacing w:before="195" w:line="221" w:lineRule="auto"/>
              <w:ind w:left="149"/>
            </w:pPr>
            <w:r>
              <w:rPr>
                <w:rFonts w:ascii="Times New Roman" w:hAnsi="Times New Roman" w:eastAsia="Times New Roman" w:cs="Times New Roman"/>
                <w:spacing w:val="-1"/>
              </w:rPr>
              <w:t>Ⅲ</w:t>
            </w:r>
            <w:r>
              <w:rPr>
                <w:spacing w:val="-1"/>
              </w:rPr>
              <w:t>类标准</w:t>
            </w:r>
          </w:p>
        </w:tc>
        <w:tc>
          <w:tcPr>
            <w:tcW w:w="1123" w:type="dxa"/>
            <w:vAlign w:val="top"/>
          </w:tcPr>
          <w:p>
            <w:pPr>
              <w:spacing w:before="234" w:line="187"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c>
          <w:tcPr>
            <w:tcW w:w="1120" w:type="dxa"/>
            <w:vAlign w:val="top"/>
          </w:tcPr>
          <w:p>
            <w:pPr>
              <w:spacing w:before="231" w:line="219"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w:t>
            </w:r>
          </w:p>
        </w:tc>
        <w:tc>
          <w:tcPr>
            <w:tcW w:w="1123" w:type="dxa"/>
            <w:vAlign w:val="top"/>
          </w:tcPr>
          <w:p>
            <w:pPr>
              <w:spacing w:before="231" w:line="219"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w:t>
            </w:r>
          </w:p>
        </w:tc>
        <w:tc>
          <w:tcPr>
            <w:tcW w:w="1123" w:type="dxa"/>
            <w:vAlign w:val="top"/>
          </w:tcPr>
          <w:p>
            <w:pPr>
              <w:spacing w:before="231" w:line="219" w:lineRule="auto"/>
              <w:ind w:left="3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1122" w:type="dxa"/>
            <w:vAlign w:val="top"/>
          </w:tcPr>
          <w:p>
            <w:pPr>
              <w:spacing w:before="231" w:line="219" w:lineRule="auto"/>
              <w:ind w:left="3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w:t>
            </w:r>
          </w:p>
        </w:tc>
        <w:tc>
          <w:tcPr>
            <w:tcW w:w="1123" w:type="dxa"/>
            <w:vAlign w:val="top"/>
          </w:tcPr>
          <w:p>
            <w:pPr>
              <w:spacing w:before="231" w:line="219" w:lineRule="auto"/>
              <w:ind w:left="4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p>
        </w:tc>
        <w:tc>
          <w:tcPr>
            <w:tcW w:w="1123" w:type="dxa"/>
            <w:vAlign w:val="top"/>
          </w:tcPr>
          <w:p>
            <w:pPr>
              <w:spacing w:before="231" w:line="219"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r>
    </w:tbl>
    <w:p>
      <w:pPr>
        <w:spacing w:before="192" w:line="220" w:lineRule="auto"/>
        <w:ind w:left="823"/>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、环境空气</w:t>
      </w:r>
    </w:p>
    <w:p>
      <w:pPr>
        <w:spacing w:before="182" w:line="359" w:lineRule="auto"/>
        <w:ind w:left="347" w:right="299" w:firstLine="479"/>
        <w:rPr>
          <w:rFonts w:ascii="宋体" w:hAnsi="宋体" w:eastAsia="宋体" w:cs="宋体"/>
          <w:sz w:val="24"/>
          <w:szCs w:val="24"/>
        </w:rPr>
      </w:pPr>
      <w:r>
        <w:rPr>
          <w:rFonts w:ascii="宋体" w:hAnsi="宋体" w:eastAsia="宋体" w:cs="宋体"/>
          <w:spacing w:val="-2"/>
          <w:sz w:val="24"/>
          <w:szCs w:val="24"/>
        </w:rPr>
        <w:t>根据《文成县环境空气质量功能区划分》，本项目线路经过区域为二类区，</w:t>
      </w:r>
      <w:r>
        <w:rPr>
          <w:rFonts w:ascii="宋体" w:hAnsi="宋体" w:eastAsia="宋体" w:cs="宋体"/>
          <w:spacing w:val="2"/>
          <w:sz w:val="24"/>
          <w:szCs w:val="24"/>
        </w:rPr>
        <w:t xml:space="preserve"> </w:t>
      </w:r>
      <w:r>
        <w:rPr>
          <w:rFonts w:ascii="宋体" w:hAnsi="宋体" w:eastAsia="宋体" w:cs="宋体"/>
          <w:spacing w:val="1"/>
          <w:sz w:val="24"/>
          <w:szCs w:val="24"/>
        </w:rPr>
        <w:t>环境空气执行《环境空气质量标准》</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3095-2012)</w:t>
      </w:r>
      <w:r>
        <w:rPr>
          <w:rFonts w:ascii="宋体" w:hAnsi="宋体" w:eastAsia="宋体" w:cs="宋体"/>
          <w:spacing w:val="1"/>
          <w:sz w:val="24"/>
          <w:szCs w:val="24"/>
        </w:rPr>
        <w:t>及其修改单（生态环境部公</w:t>
      </w:r>
    </w:p>
    <w:p>
      <w:pPr>
        <w:spacing w:line="218" w:lineRule="auto"/>
        <w:ind w:left="353"/>
        <w:rPr>
          <w:rFonts w:ascii="宋体" w:hAnsi="宋体" w:eastAsia="宋体" w:cs="宋体"/>
          <w:sz w:val="24"/>
          <w:szCs w:val="24"/>
        </w:rPr>
      </w:pPr>
      <w:r>
        <w:rPr>
          <w:rFonts w:ascii="宋体" w:hAnsi="宋体" w:eastAsia="宋体" w:cs="宋体"/>
          <w:spacing w:val="-4"/>
          <w:sz w:val="24"/>
          <w:szCs w:val="24"/>
        </w:rPr>
        <w:t>告</w:t>
      </w:r>
      <w:r>
        <w:rPr>
          <w:rFonts w:ascii="宋体" w:hAnsi="宋体" w:eastAsia="宋体" w:cs="宋体"/>
          <w:spacing w:val="-53"/>
          <w:sz w:val="24"/>
          <w:szCs w:val="24"/>
        </w:rPr>
        <w:t xml:space="preserve"> </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年第</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29</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号）中二级标准。</w:t>
      </w:r>
    </w:p>
    <w:p>
      <w:pPr>
        <w:spacing w:before="182" w:line="220" w:lineRule="auto"/>
        <w:ind w:left="272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2.2-3      </w:t>
      </w:r>
      <w:r>
        <w:rPr>
          <w:rFonts w:ascii="宋体" w:hAnsi="宋体" w:eastAsia="宋体" w:cs="宋体"/>
          <w:spacing w:val="-1"/>
          <w:sz w:val="24"/>
          <w:szCs w:val="24"/>
        </w:rPr>
        <w:t>环境空气质量执行标准</w:t>
      </w:r>
    </w:p>
    <w:p>
      <w:pPr>
        <w:spacing w:line="147" w:lineRule="exact"/>
      </w:pPr>
    </w:p>
    <w:tbl>
      <w:tblPr>
        <w:tblStyle w:val="5"/>
        <w:tblW w:w="8110" w:type="dxa"/>
        <w:tblInd w:w="4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2"/>
        <w:gridCol w:w="1871"/>
        <w:gridCol w:w="1634"/>
        <w:gridCol w:w="1614"/>
        <w:gridCol w:w="17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192" w:type="dxa"/>
            <w:vMerge w:val="restart"/>
            <w:tcBorders>
              <w:bottom w:val="nil"/>
            </w:tcBorders>
            <w:vAlign w:val="top"/>
          </w:tcPr>
          <w:p>
            <w:pPr>
              <w:pStyle w:val="6"/>
              <w:spacing w:before="248" w:line="221" w:lineRule="auto"/>
              <w:ind w:left="297"/>
            </w:pPr>
            <w:r>
              <w:rPr>
                <w:spacing w:val="-2"/>
              </w:rPr>
              <w:t>污染物</w:t>
            </w:r>
          </w:p>
        </w:tc>
        <w:tc>
          <w:tcPr>
            <w:tcW w:w="1871" w:type="dxa"/>
            <w:vMerge w:val="restart"/>
            <w:tcBorders>
              <w:bottom w:val="nil"/>
            </w:tcBorders>
            <w:vAlign w:val="top"/>
          </w:tcPr>
          <w:p>
            <w:pPr>
              <w:pStyle w:val="6"/>
              <w:spacing w:before="247" w:line="221" w:lineRule="auto"/>
              <w:ind w:left="535"/>
            </w:pPr>
            <w:r>
              <w:rPr>
                <w:spacing w:val="-2"/>
              </w:rPr>
              <w:t>取值时间</w:t>
            </w:r>
          </w:p>
        </w:tc>
        <w:tc>
          <w:tcPr>
            <w:tcW w:w="3248" w:type="dxa"/>
            <w:gridSpan w:val="2"/>
            <w:vAlign w:val="top"/>
          </w:tcPr>
          <w:p>
            <w:pPr>
              <w:pStyle w:val="6"/>
              <w:spacing w:before="53" w:line="213" w:lineRule="auto"/>
              <w:ind w:left="548"/>
            </w:pPr>
            <w:r>
              <w:rPr>
                <w:spacing w:val="7"/>
              </w:rPr>
              <w:t>标准浓度限值(</w:t>
            </w:r>
            <w:r>
              <w:rPr>
                <w:rFonts w:ascii="Times New Roman" w:hAnsi="Times New Roman" w:eastAsia="Times New Roman" w:cs="Times New Roman"/>
                <w:spacing w:val="7"/>
              </w:rPr>
              <w:t>μg/m</w:t>
            </w:r>
            <w:r>
              <w:rPr>
                <w:rFonts w:ascii="Times New Roman" w:hAnsi="Times New Roman" w:eastAsia="Times New Roman" w:cs="Times New Roman"/>
                <w:spacing w:val="7"/>
                <w:position w:val="7"/>
                <w:sz w:val="13"/>
                <w:szCs w:val="13"/>
              </w:rPr>
              <w:t>3</w:t>
            </w:r>
            <w:r>
              <w:rPr>
                <w:spacing w:val="7"/>
              </w:rPr>
              <w:t>）</w:t>
            </w:r>
          </w:p>
        </w:tc>
        <w:tc>
          <w:tcPr>
            <w:tcW w:w="1799" w:type="dxa"/>
            <w:vMerge w:val="restart"/>
            <w:tcBorders>
              <w:bottom w:val="nil"/>
            </w:tcBorders>
            <w:vAlign w:val="top"/>
          </w:tcPr>
          <w:p>
            <w:pPr>
              <w:pStyle w:val="6"/>
              <w:spacing w:before="247" w:line="220" w:lineRule="auto"/>
              <w:ind w:left="496"/>
            </w:pPr>
            <w:r>
              <w:rPr>
                <w:spacing w:val="-1"/>
              </w:rPr>
              <w:t>采用标准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192" w:type="dxa"/>
            <w:vMerge w:val="continue"/>
            <w:tcBorders>
              <w:top w:val="nil"/>
            </w:tcBorders>
            <w:vAlign w:val="top"/>
          </w:tcPr>
          <w:p>
            <w:pPr>
              <w:rPr>
                <w:rFonts w:ascii="Arial"/>
                <w:sz w:val="21"/>
              </w:rPr>
            </w:pPr>
          </w:p>
        </w:tc>
        <w:tc>
          <w:tcPr>
            <w:tcW w:w="1871" w:type="dxa"/>
            <w:vMerge w:val="continue"/>
            <w:tcBorders>
              <w:top w:val="nil"/>
            </w:tcBorders>
            <w:vAlign w:val="top"/>
          </w:tcPr>
          <w:p>
            <w:pPr>
              <w:rPr>
                <w:rFonts w:ascii="Arial"/>
                <w:sz w:val="21"/>
              </w:rPr>
            </w:pPr>
          </w:p>
        </w:tc>
        <w:tc>
          <w:tcPr>
            <w:tcW w:w="1634" w:type="dxa"/>
            <w:vAlign w:val="top"/>
          </w:tcPr>
          <w:p>
            <w:pPr>
              <w:pStyle w:val="6"/>
              <w:spacing w:before="51" w:line="223" w:lineRule="auto"/>
              <w:ind w:left="628"/>
            </w:pPr>
            <w:r>
              <w:rPr>
                <w:spacing w:val="-5"/>
              </w:rPr>
              <w:t>一级</w:t>
            </w:r>
          </w:p>
        </w:tc>
        <w:tc>
          <w:tcPr>
            <w:tcW w:w="1614" w:type="dxa"/>
            <w:vAlign w:val="top"/>
          </w:tcPr>
          <w:p>
            <w:pPr>
              <w:pStyle w:val="6"/>
              <w:spacing w:before="51" w:line="223" w:lineRule="auto"/>
              <w:ind w:left="619"/>
            </w:pPr>
            <w:r>
              <w:rPr>
                <w:spacing w:val="-3"/>
              </w:rPr>
              <w:t>二级</w:t>
            </w:r>
          </w:p>
        </w:tc>
        <w:tc>
          <w:tcPr>
            <w:tcW w:w="179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92" w:type="dxa"/>
            <w:vMerge w:val="restart"/>
            <w:tcBorders>
              <w:bottom w:val="nil"/>
            </w:tcBorders>
            <w:vAlign w:val="top"/>
          </w:tcPr>
          <w:p>
            <w:pPr>
              <w:spacing w:before="231" w:line="192" w:lineRule="auto"/>
              <w:ind w:left="372"/>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PM</w:t>
            </w:r>
            <w:r>
              <w:rPr>
                <w:rFonts w:ascii="Times New Roman" w:hAnsi="Times New Roman" w:eastAsia="Times New Roman" w:cs="Times New Roman"/>
                <w:spacing w:val="5"/>
                <w:position w:val="-2"/>
                <w:sz w:val="13"/>
                <w:szCs w:val="13"/>
              </w:rPr>
              <w:t>10</w:t>
            </w:r>
          </w:p>
        </w:tc>
        <w:tc>
          <w:tcPr>
            <w:tcW w:w="1871" w:type="dxa"/>
            <w:vAlign w:val="top"/>
          </w:tcPr>
          <w:p>
            <w:pPr>
              <w:pStyle w:val="6"/>
              <w:spacing w:before="73" w:line="221" w:lineRule="auto"/>
              <w:ind w:left="624"/>
            </w:pPr>
            <w:r>
              <w:rPr>
                <w:spacing w:val="-2"/>
              </w:rPr>
              <w:t>年平均</w:t>
            </w:r>
          </w:p>
        </w:tc>
        <w:tc>
          <w:tcPr>
            <w:tcW w:w="1634" w:type="dxa"/>
            <w:vAlign w:val="top"/>
          </w:tcPr>
          <w:p>
            <w:pPr>
              <w:spacing w:before="112" w:line="187" w:lineRule="auto"/>
              <w:ind w:left="7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614" w:type="dxa"/>
            <w:vAlign w:val="top"/>
          </w:tcPr>
          <w:p>
            <w:pPr>
              <w:spacing w:before="112" w:line="187" w:lineRule="auto"/>
              <w:ind w:left="7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799"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9" w:line="231" w:lineRule="auto"/>
              <w:ind w:left="589" w:right="167" w:hanging="419"/>
            </w:pPr>
            <w:r>
              <w:rPr>
                <w:spacing w:val="-3"/>
              </w:rPr>
              <w:t>《环境空气质量</w:t>
            </w:r>
            <w:r>
              <w:rPr>
                <w:spacing w:val="5"/>
              </w:rPr>
              <w:t xml:space="preserve"> </w:t>
            </w:r>
            <w:r>
              <w:rPr>
                <w:spacing w:val="-4"/>
              </w:rPr>
              <w:t>标准》</w:t>
            </w:r>
          </w:p>
          <w:p>
            <w:pPr>
              <w:pStyle w:val="6"/>
              <w:spacing w:before="19" w:line="233" w:lineRule="auto"/>
              <w:ind w:left="122"/>
            </w:pPr>
            <w:r>
              <w:rPr>
                <w:spacing w:val="-1"/>
              </w:rPr>
              <w:t>（</w:t>
            </w:r>
            <w:r>
              <w:rPr>
                <w:rFonts w:ascii="Times New Roman" w:hAnsi="Times New Roman" w:eastAsia="Times New Roman" w:cs="Times New Roman"/>
                <w:spacing w:val="-1"/>
              </w:rPr>
              <w:t>GB3095-2012</w:t>
            </w:r>
            <w:r>
              <w:rPr>
                <w:spacing w:val="-1"/>
              </w:rPr>
              <w:t>）</w:t>
            </w:r>
          </w:p>
          <w:p>
            <w:pPr>
              <w:pStyle w:val="6"/>
              <w:spacing w:before="8" w:line="221" w:lineRule="auto"/>
              <w:ind w:left="168"/>
            </w:pPr>
            <w:r>
              <w:rPr>
                <w:spacing w:val="-1"/>
              </w:rPr>
              <w:t>及修改单二级标</w:t>
            </w:r>
          </w:p>
          <w:p>
            <w:pPr>
              <w:pStyle w:val="6"/>
              <w:spacing w:before="20" w:line="222" w:lineRule="auto"/>
              <w:ind w:left="801"/>
            </w:pPr>
            <w: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92" w:type="dxa"/>
            <w:vMerge w:val="continue"/>
            <w:tcBorders>
              <w:top w:val="nil"/>
            </w:tcBorders>
            <w:vAlign w:val="top"/>
          </w:tcPr>
          <w:p>
            <w:pPr>
              <w:rPr>
                <w:rFonts w:ascii="Arial"/>
                <w:sz w:val="21"/>
              </w:rPr>
            </w:pPr>
          </w:p>
        </w:tc>
        <w:tc>
          <w:tcPr>
            <w:tcW w:w="1871" w:type="dxa"/>
            <w:vAlign w:val="top"/>
          </w:tcPr>
          <w:p>
            <w:pPr>
              <w:pStyle w:val="6"/>
              <w:spacing w:before="72" w:line="221" w:lineRule="auto"/>
              <w:ind w:left="357"/>
            </w:pPr>
            <w:r>
              <w:rPr>
                <w:rFonts w:ascii="Times New Roman" w:hAnsi="Times New Roman" w:eastAsia="Times New Roman" w:cs="Times New Roman"/>
                <w:spacing w:val="-3"/>
              </w:rPr>
              <w:t>24</w:t>
            </w:r>
            <w:r>
              <w:rPr>
                <w:rFonts w:ascii="Times New Roman" w:hAnsi="Times New Roman" w:eastAsia="Times New Roman" w:cs="Times New Roman"/>
                <w:spacing w:val="8"/>
              </w:rPr>
              <w:t xml:space="preserve">  </w:t>
            </w:r>
            <w:r>
              <w:rPr>
                <w:spacing w:val="-3"/>
              </w:rPr>
              <w:t>小时平均</w:t>
            </w:r>
          </w:p>
        </w:tc>
        <w:tc>
          <w:tcPr>
            <w:tcW w:w="1634" w:type="dxa"/>
            <w:vAlign w:val="top"/>
          </w:tcPr>
          <w:p>
            <w:pPr>
              <w:spacing w:before="110" w:line="187" w:lineRule="auto"/>
              <w:ind w:left="71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614" w:type="dxa"/>
            <w:vAlign w:val="top"/>
          </w:tcPr>
          <w:p>
            <w:pPr>
              <w:spacing w:before="110" w:line="187" w:lineRule="auto"/>
              <w:ind w:left="67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150</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92" w:type="dxa"/>
            <w:vMerge w:val="restart"/>
            <w:tcBorders>
              <w:bottom w:val="nil"/>
            </w:tcBorders>
            <w:vAlign w:val="top"/>
          </w:tcPr>
          <w:p>
            <w:pPr>
              <w:spacing w:before="231" w:line="192" w:lineRule="auto"/>
              <w:ind w:left="356"/>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PM</w:t>
            </w:r>
            <w:r>
              <w:rPr>
                <w:rFonts w:ascii="Times New Roman" w:hAnsi="Times New Roman" w:eastAsia="Times New Roman" w:cs="Times New Roman"/>
                <w:spacing w:val="3"/>
                <w:position w:val="-2"/>
                <w:sz w:val="13"/>
                <w:szCs w:val="13"/>
              </w:rPr>
              <w:t>2.5</w:t>
            </w:r>
          </w:p>
        </w:tc>
        <w:tc>
          <w:tcPr>
            <w:tcW w:w="1871" w:type="dxa"/>
            <w:vAlign w:val="top"/>
          </w:tcPr>
          <w:p>
            <w:pPr>
              <w:pStyle w:val="6"/>
              <w:spacing w:before="71" w:line="221" w:lineRule="auto"/>
              <w:ind w:left="624"/>
            </w:pPr>
            <w:r>
              <w:rPr>
                <w:spacing w:val="-2"/>
              </w:rPr>
              <w:t>年平均</w:t>
            </w:r>
          </w:p>
        </w:tc>
        <w:tc>
          <w:tcPr>
            <w:tcW w:w="1634" w:type="dxa"/>
            <w:vAlign w:val="top"/>
          </w:tcPr>
          <w:p>
            <w:pPr>
              <w:spacing w:before="110" w:line="187" w:lineRule="auto"/>
              <w:ind w:left="7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614" w:type="dxa"/>
            <w:vAlign w:val="top"/>
          </w:tcPr>
          <w:p>
            <w:pPr>
              <w:spacing w:before="110" w:line="187" w:lineRule="auto"/>
              <w:ind w:left="7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92" w:type="dxa"/>
            <w:vMerge w:val="continue"/>
            <w:tcBorders>
              <w:top w:val="nil"/>
            </w:tcBorders>
            <w:vAlign w:val="top"/>
          </w:tcPr>
          <w:p>
            <w:pPr>
              <w:rPr>
                <w:rFonts w:ascii="Arial"/>
                <w:sz w:val="21"/>
              </w:rPr>
            </w:pPr>
          </w:p>
        </w:tc>
        <w:tc>
          <w:tcPr>
            <w:tcW w:w="1871" w:type="dxa"/>
            <w:vAlign w:val="top"/>
          </w:tcPr>
          <w:p>
            <w:pPr>
              <w:pStyle w:val="6"/>
              <w:spacing w:before="72" w:line="221" w:lineRule="auto"/>
              <w:ind w:left="357"/>
            </w:pPr>
            <w:r>
              <w:rPr>
                <w:rFonts w:ascii="Times New Roman" w:hAnsi="Times New Roman" w:eastAsia="Times New Roman" w:cs="Times New Roman"/>
                <w:spacing w:val="-3"/>
              </w:rPr>
              <w:t>24</w:t>
            </w:r>
            <w:r>
              <w:rPr>
                <w:rFonts w:ascii="Times New Roman" w:hAnsi="Times New Roman" w:eastAsia="Times New Roman" w:cs="Times New Roman"/>
                <w:spacing w:val="8"/>
              </w:rPr>
              <w:t xml:space="preserve">  </w:t>
            </w:r>
            <w:r>
              <w:rPr>
                <w:spacing w:val="-3"/>
              </w:rPr>
              <w:t>小时平均</w:t>
            </w:r>
          </w:p>
        </w:tc>
        <w:tc>
          <w:tcPr>
            <w:tcW w:w="1634" w:type="dxa"/>
            <w:vAlign w:val="top"/>
          </w:tcPr>
          <w:p>
            <w:pPr>
              <w:spacing w:before="110" w:line="187" w:lineRule="auto"/>
              <w:ind w:left="7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614" w:type="dxa"/>
            <w:vAlign w:val="top"/>
          </w:tcPr>
          <w:p>
            <w:pPr>
              <w:spacing w:before="113" w:line="184" w:lineRule="auto"/>
              <w:ind w:left="7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92" w:type="dxa"/>
            <w:vMerge w:val="restart"/>
            <w:tcBorders>
              <w:bottom w:val="nil"/>
            </w:tcBorders>
            <w:vAlign w:val="top"/>
          </w:tcPr>
          <w:p>
            <w:pPr>
              <w:spacing w:line="360" w:lineRule="auto"/>
              <w:rPr>
                <w:rFonts w:ascii="Arial"/>
                <w:sz w:val="21"/>
              </w:rPr>
            </w:pPr>
          </w:p>
          <w:p>
            <w:pPr>
              <w:spacing w:before="60" w:line="196" w:lineRule="auto"/>
              <w:ind w:left="402"/>
              <w:rPr>
                <w:rFonts w:ascii="Times New Roman" w:hAnsi="Times New Roman" w:eastAsia="Times New Roman" w:cs="Times New Roman"/>
                <w:sz w:val="13"/>
                <w:szCs w:val="13"/>
              </w:rPr>
            </w:pPr>
            <w:r>
              <w:rPr>
                <w:rFonts w:ascii="Times New Roman" w:hAnsi="Times New Roman" w:eastAsia="Times New Roman" w:cs="Times New Roman"/>
                <w:sz w:val="21"/>
                <w:szCs w:val="21"/>
              </w:rPr>
              <w:t>NO</w:t>
            </w:r>
            <w:r>
              <w:rPr>
                <w:rFonts w:ascii="Times New Roman" w:hAnsi="Times New Roman" w:eastAsia="Times New Roman" w:cs="Times New Roman"/>
                <w:spacing w:val="8"/>
                <w:position w:val="-3"/>
                <w:sz w:val="13"/>
                <w:szCs w:val="13"/>
              </w:rPr>
              <w:t>2</w:t>
            </w:r>
          </w:p>
        </w:tc>
        <w:tc>
          <w:tcPr>
            <w:tcW w:w="1871" w:type="dxa"/>
            <w:vAlign w:val="top"/>
          </w:tcPr>
          <w:p>
            <w:pPr>
              <w:pStyle w:val="6"/>
              <w:spacing w:before="72" w:line="221" w:lineRule="auto"/>
              <w:ind w:left="624"/>
            </w:pPr>
            <w:r>
              <w:rPr>
                <w:spacing w:val="-2"/>
              </w:rPr>
              <w:t>年平均</w:t>
            </w:r>
          </w:p>
        </w:tc>
        <w:tc>
          <w:tcPr>
            <w:tcW w:w="1634" w:type="dxa"/>
            <w:vAlign w:val="top"/>
          </w:tcPr>
          <w:p>
            <w:pPr>
              <w:spacing w:before="111" w:line="187" w:lineRule="auto"/>
              <w:ind w:left="7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614" w:type="dxa"/>
            <w:vAlign w:val="top"/>
          </w:tcPr>
          <w:p>
            <w:pPr>
              <w:spacing w:before="111" w:line="187" w:lineRule="auto"/>
              <w:ind w:left="7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92" w:type="dxa"/>
            <w:vMerge w:val="continue"/>
            <w:tcBorders>
              <w:top w:val="nil"/>
              <w:bottom w:val="nil"/>
            </w:tcBorders>
            <w:vAlign w:val="top"/>
          </w:tcPr>
          <w:p>
            <w:pPr>
              <w:rPr>
                <w:rFonts w:ascii="Arial"/>
                <w:sz w:val="21"/>
              </w:rPr>
            </w:pPr>
          </w:p>
        </w:tc>
        <w:tc>
          <w:tcPr>
            <w:tcW w:w="1871" w:type="dxa"/>
            <w:vAlign w:val="top"/>
          </w:tcPr>
          <w:p>
            <w:pPr>
              <w:pStyle w:val="6"/>
              <w:spacing w:before="73" w:line="221" w:lineRule="auto"/>
              <w:ind w:left="357"/>
            </w:pPr>
            <w:r>
              <w:rPr>
                <w:rFonts w:ascii="Times New Roman" w:hAnsi="Times New Roman" w:eastAsia="Times New Roman" w:cs="Times New Roman"/>
                <w:spacing w:val="-3"/>
              </w:rPr>
              <w:t>24</w:t>
            </w:r>
            <w:r>
              <w:rPr>
                <w:rFonts w:ascii="Times New Roman" w:hAnsi="Times New Roman" w:eastAsia="Times New Roman" w:cs="Times New Roman"/>
                <w:spacing w:val="8"/>
              </w:rPr>
              <w:t xml:space="preserve">  </w:t>
            </w:r>
            <w:r>
              <w:rPr>
                <w:spacing w:val="-3"/>
              </w:rPr>
              <w:t>小时平均</w:t>
            </w:r>
          </w:p>
        </w:tc>
        <w:tc>
          <w:tcPr>
            <w:tcW w:w="1634" w:type="dxa"/>
            <w:vAlign w:val="top"/>
          </w:tcPr>
          <w:p>
            <w:pPr>
              <w:spacing w:before="111" w:line="187" w:lineRule="auto"/>
              <w:ind w:left="72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614" w:type="dxa"/>
            <w:vAlign w:val="top"/>
          </w:tcPr>
          <w:p>
            <w:pPr>
              <w:spacing w:before="111" w:line="187" w:lineRule="auto"/>
              <w:ind w:left="71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92" w:type="dxa"/>
            <w:vMerge w:val="continue"/>
            <w:tcBorders>
              <w:top w:val="nil"/>
            </w:tcBorders>
            <w:vAlign w:val="top"/>
          </w:tcPr>
          <w:p>
            <w:pPr>
              <w:rPr>
                <w:rFonts w:ascii="Arial"/>
                <w:sz w:val="21"/>
              </w:rPr>
            </w:pPr>
          </w:p>
        </w:tc>
        <w:tc>
          <w:tcPr>
            <w:tcW w:w="1871" w:type="dxa"/>
            <w:vAlign w:val="top"/>
          </w:tcPr>
          <w:p>
            <w:pPr>
              <w:pStyle w:val="6"/>
              <w:spacing w:before="73" w:line="221" w:lineRule="auto"/>
              <w:ind w:left="431"/>
            </w:pPr>
            <w:r>
              <w:rPr>
                <w:rFonts w:ascii="Times New Roman" w:hAnsi="Times New Roman" w:eastAsia="Times New Roman" w:cs="Times New Roman"/>
                <w:spacing w:val="-8"/>
              </w:rPr>
              <w:t>1</w:t>
            </w:r>
            <w:r>
              <w:rPr>
                <w:rFonts w:ascii="Times New Roman" w:hAnsi="Times New Roman" w:eastAsia="Times New Roman" w:cs="Times New Roman"/>
                <w:spacing w:val="8"/>
              </w:rPr>
              <w:t xml:space="preserve">  </w:t>
            </w:r>
            <w:r>
              <w:rPr>
                <w:spacing w:val="-8"/>
              </w:rPr>
              <w:t>小时平均</w:t>
            </w:r>
          </w:p>
        </w:tc>
        <w:tc>
          <w:tcPr>
            <w:tcW w:w="1634" w:type="dxa"/>
            <w:vAlign w:val="top"/>
          </w:tcPr>
          <w:p>
            <w:pPr>
              <w:spacing w:before="112" w:line="187" w:lineRule="auto"/>
              <w:ind w:left="6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614" w:type="dxa"/>
            <w:vAlign w:val="top"/>
          </w:tcPr>
          <w:p>
            <w:pPr>
              <w:spacing w:before="112"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92" w:type="dxa"/>
            <w:vMerge w:val="restart"/>
            <w:tcBorders>
              <w:bottom w:val="nil"/>
            </w:tcBorders>
            <w:vAlign w:val="top"/>
          </w:tcPr>
          <w:p>
            <w:pPr>
              <w:spacing w:line="361" w:lineRule="auto"/>
              <w:rPr>
                <w:rFonts w:ascii="Arial"/>
                <w:sz w:val="21"/>
              </w:rPr>
            </w:pPr>
          </w:p>
          <w:p>
            <w:pPr>
              <w:spacing w:before="60" w:line="251" w:lineRule="exact"/>
              <w:ind w:left="385"/>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rPr>
              <w:t>NOx</w:t>
            </w:r>
          </w:p>
        </w:tc>
        <w:tc>
          <w:tcPr>
            <w:tcW w:w="1871" w:type="dxa"/>
            <w:vAlign w:val="top"/>
          </w:tcPr>
          <w:p>
            <w:pPr>
              <w:pStyle w:val="6"/>
              <w:spacing w:before="73" w:line="221" w:lineRule="auto"/>
              <w:ind w:left="624"/>
            </w:pPr>
            <w:r>
              <w:rPr>
                <w:spacing w:val="-2"/>
              </w:rPr>
              <w:t>年平均</w:t>
            </w:r>
          </w:p>
        </w:tc>
        <w:tc>
          <w:tcPr>
            <w:tcW w:w="1634" w:type="dxa"/>
            <w:vAlign w:val="top"/>
          </w:tcPr>
          <w:p>
            <w:pPr>
              <w:spacing w:before="112" w:line="187" w:lineRule="auto"/>
              <w:ind w:left="71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614" w:type="dxa"/>
            <w:vAlign w:val="top"/>
          </w:tcPr>
          <w:p>
            <w:pPr>
              <w:spacing w:before="112" w:line="187" w:lineRule="auto"/>
              <w:ind w:left="70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92" w:type="dxa"/>
            <w:vMerge w:val="continue"/>
            <w:tcBorders>
              <w:top w:val="nil"/>
              <w:bottom w:val="nil"/>
            </w:tcBorders>
            <w:vAlign w:val="top"/>
          </w:tcPr>
          <w:p>
            <w:pPr>
              <w:rPr>
                <w:rFonts w:ascii="Arial"/>
                <w:sz w:val="21"/>
              </w:rPr>
            </w:pPr>
          </w:p>
        </w:tc>
        <w:tc>
          <w:tcPr>
            <w:tcW w:w="1871" w:type="dxa"/>
            <w:vAlign w:val="top"/>
          </w:tcPr>
          <w:p>
            <w:pPr>
              <w:pStyle w:val="6"/>
              <w:spacing w:before="74" w:line="221" w:lineRule="auto"/>
              <w:ind w:left="357"/>
            </w:pPr>
            <w:r>
              <w:rPr>
                <w:rFonts w:ascii="Times New Roman" w:hAnsi="Times New Roman" w:eastAsia="Times New Roman" w:cs="Times New Roman"/>
                <w:spacing w:val="-3"/>
              </w:rPr>
              <w:t>24</w:t>
            </w:r>
            <w:r>
              <w:rPr>
                <w:rFonts w:ascii="Times New Roman" w:hAnsi="Times New Roman" w:eastAsia="Times New Roman" w:cs="Times New Roman"/>
                <w:spacing w:val="8"/>
              </w:rPr>
              <w:t xml:space="preserve">  </w:t>
            </w:r>
            <w:r>
              <w:rPr>
                <w:spacing w:val="-3"/>
              </w:rPr>
              <w:t>小时平均</w:t>
            </w:r>
          </w:p>
        </w:tc>
        <w:tc>
          <w:tcPr>
            <w:tcW w:w="1634" w:type="dxa"/>
            <w:vAlign w:val="top"/>
          </w:tcPr>
          <w:p>
            <w:pPr>
              <w:spacing w:before="112" w:line="187" w:lineRule="auto"/>
              <w:ind w:left="68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614" w:type="dxa"/>
            <w:vAlign w:val="top"/>
          </w:tcPr>
          <w:p>
            <w:pPr>
              <w:spacing w:before="112" w:line="187" w:lineRule="auto"/>
              <w:ind w:left="67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92" w:type="dxa"/>
            <w:vMerge w:val="continue"/>
            <w:tcBorders>
              <w:top w:val="nil"/>
            </w:tcBorders>
            <w:vAlign w:val="top"/>
          </w:tcPr>
          <w:p>
            <w:pPr>
              <w:rPr>
                <w:rFonts w:ascii="Arial"/>
                <w:sz w:val="21"/>
              </w:rPr>
            </w:pPr>
          </w:p>
        </w:tc>
        <w:tc>
          <w:tcPr>
            <w:tcW w:w="1871" w:type="dxa"/>
            <w:vAlign w:val="top"/>
          </w:tcPr>
          <w:p>
            <w:pPr>
              <w:pStyle w:val="6"/>
              <w:spacing w:before="74" w:line="221" w:lineRule="auto"/>
              <w:ind w:left="431"/>
            </w:pPr>
            <w:r>
              <w:rPr>
                <w:rFonts w:ascii="Times New Roman" w:hAnsi="Times New Roman" w:eastAsia="Times New Roman" w:cs="Times New Roman"/>
                <w:spacing w:val="-8"/>
              </w:rPr>
              <w:t>1</w:t>
            </w:r>
            <w:r>
              <w:rPr>
                <w:rFonts w:ascii="Times New Roman" w:hAnsi="Times New Roman" w:eastAsia="Times New Roman" w:cs="Times New Roman"/>
                <w:spacing w:val="8"/>
              </w:rPr>
              <w:t xml:space="preserve">  </w:t>
            </w:r>
            <w:r>
              <w:rPr>
                <w:spacing w:val="-8"/>
              </w:rPr>
              <w:t>小时平均</w:t>
            </w:r>
          </w:p>
        </w:tc>
        <w:tc>
          <w:tcPr>
            <w:tcW w:w="1634" w:type="dxa"/>
            <w:vAlign w:val="top"/>
          </w:tcPr>
          <w:p>
            <w:pPr>
              <w:spacing w:before="112" w:line="187" w:lineRule="auto"/>
              <w:ind w:left="6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1614" w:type="dxa"/>
            <w:vAlign w:val="top"/>
          </w:tcPr>
          <w:p>
            <w:pPr>
              <w:spacing w:before="112"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92" w:type="dxa"/>
            <w:vMerge w:val="restart"/>
            <w:tcBorders>
              <w:bottom w:val="nil"/>
            </w:tcBorders>
            <w:vAlign w:val="top"/>
          </w:tcPr>
          <w:p>
            <w:pPr>
              <w:spacing w:line="359" w:lineRule="auto"/>
              <w:rPr>
                <w:rFonts w:ascii="Arial"/>
                <w:sz w:val="21"/>
              </w:rPr>
            </w:pPr>
          </w:p>
          <w:p>
            <w:pPr>
              <w:spacing w:before="60" w:line="196" w:lineRule="auto"/>
              <w:ind w:left="435"/>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3"/>
                <w:sz w:val="13"/>
                <w:szCs w:val="13"/>
              </w:rPr>
              <w:t>2</w:t>
            </w:r>
          </w:p>
        </w:tc>
        <w:tc>
          <w:tcPr>
            <w:tcW w:w="1871" w:type="dxa"/>
            <w:vAlign w:val="top"/>
          </w:tcPr>
          <w:p>
            <w:pPr>
              <w:pStyle w:val="6"/>
              <w:spacing w:before="73" w:line="221" w:lineRule="auto"/>
              <w:ind w:left="624"/>
            </w:pPr>
            <w:r>
              <w:rPr>
                <w:spacing w:val="-2"/>
              </w:rPr>
              <w:t>年平均</w:t>
            </w:r>
          </w:p>
        </w:tc>
        <w:tc>
          <w:tcPr>
            <w:tcW w:w="1634" w:type="dxa"/>
            <w:vAlign w:val="top"/>
          </w:tcPr>
          <w:p>
            <w:pPr>
              <w:spacing w:before="112" w:line="187" w:lineRule="auto"/>
              <w:ind w:left="7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614" w:type="dxa"/>
            <w:vAlign w:val="top"/>
          </w:tcPr>
          <w:p>
            <w:pPr>
              <w:spacing w:before="112" w:line="187" w:lineRule="auto"/>
              <w:ind w:left="7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192" w:type="dxa"/>
            <w:vMerge w:val="continue"/>
            <w:tcBorders>
              <w:top w:val="nil"/>
              <w:bottom w:val="nil"/>
            </w:tcBorders>
            <w:vAlign w:val="top"/>
          </w:tcPr>
          <w:p>
            <w:pPr>
              <w:rPr>
                <w:rFonts w:ascii="Arial"/>
                <w:sz w:val="21"/>
              </w:rPr>
            </w:pPr>
          </w:p>
        </w:tc>
        <w:tc>
          <w:tcPr>
            <w:tcW w:w="1871" w:type="dxa"/>
            <w:vAlign w:val="top"/>
          </w:tcPr>
          <w:p>
            <w:pPr>
              <w:pStyle w:val="6"/>
              <w:spacing w:before="74" w:line="221" w:lineRule="auto"/>
              <w:ind w:left="357"/>
            </w:pPr>
            <w:r>
              <w:rPr>
                <w:rFonts w:ascii="Times New Roman" w:hAnsi="Times New Roman" w:eastAsia="Times New Roman" w:cs="Times New Roman"/>
                <w:spacing w:val="-3"/>
              </w:rPr>
              <w:t>24</w:t>
            </w:r>
            <w:r>
              <w:rPr>
                <w:rFonts w:ascii="Times New Roman" w:hAnsi="Times New Roman" w:eastAsia="Times New Roman" w:cs="Times New Roman"/>
                <w:spacing w:val="8"/>
              </w:rPr>
              <w:t xml:space="preserve">  </w:t>
            </w:r>
            <w:r>
              <w:rPr>
                <w:spacing w:val="-3"/>
              </w:rPr>
              <w:t>小时平均</w:t>
            </w:r>
          </w:p>
        </w:tc>
        <w:tc>
          <w:tcPr>
            <w:tcW w:w="1634" w:type="dxa"/>
            <w:vAlign w:val="top"/>
          </w:tcPr>
          <w:p>
            <w:pPr>
              <w:spacing w:before="113" w:line="187" w:lineRule="auto"/>
              <w:ind w:left="71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614" w:type="dxa"/>
            <w:vAlign w:val="top"/>
          </w:tcPr>
          <w:p>
            <w:pPr>
              <w:spacing w:before="113" w:line="187" w:lineRule="auto"/>
              <w:ind w:left="67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150</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92" w:type="dxa"/>
            <w:vMerge w:val="continue"/>
            <w:tcBorders>
              <w:top w:val="nil"/>
            </w:tcBorders>
            <w:vAlign w:val="top"/>
          </w:tcPr>
          <w:p>
            <w:pPr>
              <w:rPr>
                <w:rFonts w:ascii="Arial"/>
                <w:sz w:val="21"/>
              </w:rPr>
            </w:pPr>
          </w:p>
        </w:tc>
        <w:tc>
          <w:tcPr>
            <w:tcW w:w="1871" w:type="dxa"/>
            <w:vAlign w:val="top"/>
          </w:tcPr>
          <w:p>
            <w:pPr>
              <w:pStyle w:val="6"/>
              <w:spacing w:before="78" w:line="221" w:lineRule="auto"/>
              <w:ind w:left="431"/>
            </w:pPr>
            <w:r>
              <w:rPr>
                <w:rFonts w:ascii="Times New Roman" w:hAnsi="Times New Roman" w:eastAsia="Times New Roman" w:cs="Times New Roman"/>
                <w:spacing w:val="-8"/>
              </w:rPr>
              <w:t>1</w:t>
            </w:r>
            <w:r>
              <w:rPr>
                <w:rFonts w:ascii="Times New Roman" w:hAnsi="Times New Roman" w:eastAsia="Times New Roman" w:cs="Times New Roman"/>
                <w:spacing w:val="8"/>
              </w:rPr>
              <w:t xml:space="preserve">  </w:t>
            </w:r>
            <w:r>
              <w:rPr>
                <w:spacing w:val="-8"/>
              </w:rPr>
              <w:t>小时平均</w:t>
            </w:r>
          </w:p>
        </w:tc>
        <w:tc>
          <w:tcPr>
            <w:tcW w:w="1634" w:type="dxa"/>
            <w:vAlign w:val="top"/>
          </w:tcPr>
          <w:p>
            <w:pPr>
              <w:spacing w:before="116" w:line="187" w:lineRule="auto"/>
              <w:ind w:left="68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150</w:t>
            </w:r>
          </w:p>
        </w:tc>
        <w:tc>
          <w:tcPr>
            <w:tcW w:w="1614" w:type="dxa"/>
            <w:vAlign w:val="top"/>
          </w:tcPr>
          <w:p>
            <w:pPr>
              <w:spacing w:before="116" w:line="187"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192" w:type="dxa"/>
            <w:vAlign w:val="top"/>
          </w:tcPr>
          <w:p>
            <w:pPr>
              <w:spacing w:before="53"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w:t>
            </w:r>
          </w:p>
        </w:tc>
        <w:tc>
          <w:tcPr>
            <w:tcW w:w="1871" w:type="dxa"/>
            <w:vAlign w:val="top"/>
          </w:tcPr>
          <w:p>
            <w:pPr>
              <w:pStyle w:val="6"/>
              <w:spacing w:before="75" w:line="221" w:lineRule="auto"/>
              <w:ind w:left="357"/>
            </w:pPr>
            <w:r>
              <w:rPr>
                <w:rFonts w:ascii="Times New Roman" w:hAnsi="Times New Roman" w:eastAsia="Times New Roman" w:cs="Times New Roman"/>
                <w:spacing w:val="-3"/>
              </w:rPr>
              <w:t>24</w:t>
            </w:r>
            <w:r>
              <w:rPr>
                <w:rFonts w:ascii="Times New Roman" w:hAnsi="Times New Roman" w:eastAsia="Times New Roman" w:cs="Times New Roman"/>
                <w:spacing w:val="8"/>
              </w:rPr>
              <w:t xml:space="preserve">  </w:t>
            </w:r>
            <w:r>
              <w:rPr>
                <w:spacing w:val="-3"/>
              </w:rPr>
              <w:t>小时平均</w:t>
            </w:r>
          </w:p>
        </w:tc>
        <w:tc>
          <w:tcPr>
            <w:tcW w:w="1634" w:type="dxa"/>
            <w:vAlign w:val="top"/>
          </w:tcPr>
          <w:p>
            <w:pPr>
              <w:spacing w:before="114" w:line="187" w:lineRule="auto"/>
              <w:ind w:left="76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14" w:type="dxa"/>
            <w:vAlign w:val="top"/>
          </w:tcPr>
          <w:p>
            <w:pPr>
              <w:spacing w:before="114" w:line="187" w:lineRule="auto"/>
              <w:ind w:left="5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w:t>
            </w:r>
          </w:p>
        </w:tc>
        <w:tc>
          <w:tcPr>
            <w:tcW w:w="1799" w:type="dxa"/>
            <w:vMerge w:val="continue"/>
            <w:tcBorders>
              <w:top w:val="nil"/>
            </w:tcBorders>
            <w:vAlign w:val="top"/>
          </w:tcPr>
          <w:p>
            <w:pPr>
              <w:rPr>
                <w:rFonts w:ascii="Arial"/>
                <w:sz w:val="21"/>
              </w:rPr>
            </w:pPr>
          </w:p>
        </w:tc>
      </w:tr>
    </w:tbl>
    <w:p>
      <w:pPr>
        <w:pStyle w:val="2"/>
      </w:pPr>
    </w:p>
    <w:p>
      <w:pPr>
        <w:sectPr>
          <w:headerReference r:id="rId33" w:type="default"/>
          <w:footerReference r:id="rId34" w:type="default"/>
          <w:pgSz w:w="11907" w:h="16839"/>
          <w:pgMar w:top="1118" w:right="1459" w:bottom="1184" w:left="1462" w:header="879" w:footer="1024" w:gutter="0"/>
          <w:cols w:space="720" w:num="1"/>
        </w:sectPr>
      </w:pPr>
    </w:p>
    <w:p>
      <w:pPr>
        <w:spacing w:before="80"/>
      </w:pPr>
    </w:p>
    <w:tbl>
      <w:tblPr>
        <w:tblStyle w:val="5"/>
        <w:tblW w:w="8110" w:type="dxa"/>
        <w:tblInd w:w="3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2"/>
        <w:gridCol w:w="1871"/>
        <w:gridCol w:w="1634"/>
        <w:gridCol w:w="1614"/>
        <w:gridCol w:w="17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192" w:type="dxa"/>
            <w:vAlign w:val="top"/>
          </w:tcPr>
          <w:p>
            <w:pPr>
              <w:rPr>
                <w:rFonts w:ascii="Arial"/>
                <w:sz w:val="21"/>
              </w:rPr>
            </w:pPr>
          </w:p>
        </w:tc>
        <w:tc>
          <w:tcPr>
            <w:tcW w:w="1871" w:type="dxa"/>
            <w:vAlign w:val="top"/>
          </w:tcPr>
          <w:p>
            <w:pPr>
              <w:pStyle w:val="6"/>
              <w:spacing w:before="73" w:line="221" w:lineRule="auto"/>
              <w:ind w:left="431"/>
            </w:pPr>
            <w:r>
              <w:rPr>
                <w:rFonts w:ascii="Times New Roman" w:hAnsi="Times New Roman" w:eastAsia="Times New Roman" w:cs="Times New Roman"/>
                <w:spacing w:val="-8"/>
              </w:rPr>
              <w:t>1</w:t>
            </w:r>
            <w:r>
              <w:rPr>
                <w:rFonts w:ascii="Times New Roman" w:hAnsi="Times New Roman" w:eastAsia="Times New Roman" w:cs="Times New Roman"/>
                <w:spacing w:val="8"/>
              </w:rPr>
              <w:t xml:space="preserve">  </w:t>
            </w:r>
            <w:r>
              <w:rPr>
                <w:spacing w:val="-8"/>
              </w:rPr>
              <w:t>小时平均</w:t>
            </w:r>
          </w:p>
        </w:tc>
        <w:tc>
          <w:tcPr>
            <w:tcW w:w="1634" w:type="dxa"/>
            <w:vAlign w:val="top"/>
          </w:tcPr>
          <w:p>
            <w:pPr>
              <w:spacing w:before="111" w:line="187" w:lineRule="auto"/>
              <w:ind w:left="7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614" w:type="dxa"/>
            <w:vAlign w:val="top"/>
          </w:tcPr>
          <w:p>
            <w:pPr>
              <w:spacing w:before="111" w:line="187" w:lineRule="auto"/>
              <w:ind w:left="56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10000</w:t>
            </w:r>
          </w:p>
        </w:tc>
        <w:tc>
          <w:tcPr>
            <w:tcW w:w="1799"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192" w:type="dxa"/>
            <w:vMerge w:val="restart"/>
            <w:tcBorders>
              <w:bottom w:val="nil"/>
            </w:tcBorders>
            <w:vAlign w:val="top"/>
          </w:tcPr>
          <w:p>
            <w:pPr>
              <w:spacing w:before="244" w:line="187" w:lineRule="auto"/>
              <w:ind w:left="4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TSP</w:t>
            </w:r>
          </w:p>
        </w:tc>
        <w:tc>
          <w:tcPr>
            <w:tcW w:w="1871" w:type="dxa"/>
            <w:vAlign w:val="top"/>
          </w:tcPr>
          <w:p>
            <w:pPr>
              <w:pStyle w:val="6"/>
              <w:spacing w:before="70" w:line="221" w:lineRule="auto"/>
              <w:ind w:left="624"/>
            </w:pPr>
            <w:r>
              <w:rPr>
                <w:spacing w:val="-2"/>
              </w:rPr>
              <w:t>年平均</w:t>
            </w:r>
          </w:p>
        </w:tc>
        <w:tc>
          <w:tcPr>
            <w:tcW w:w="1634" w:type="dxa"/>
            <w:vAlign w:val="top"/>
          </w:tcPr>
          <w:p>
            <w:pPr>
              <w:spacing w:before="109" w:line="187" w:lineRule="auto"/>
              <w:ind w:left="72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614" w:type="dxa"/>
            <w:vAlign w:val="top"/>
          </w:tcPr>
          <w:p>
            <w:pPr>
              <w:spacing w:before="109"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192" w:type="dxa"/>
            <w:vMerge w:val="continue"/>
            <w:tcBorders>
              <w:top w:val="nil"/>
            </w:tcBorders>
            <w:vAlign w:val="top"/>
          </w:tcPr>
          <w:p>
            <w:pPr>
              <w:rPr>
                <w:rFonts w:ascii="Arial"/>
                <w:sz w:val="21"/>
              </w:rPr>
            </w:pPr>
          </w:p>
        </w:tc>
        <w:tc>
          <w:tcPr>
            <w:tcW w:w="1871" w:type="dxa"/>
            <w:vAlign w:val="top"/>
          </w:tcPr>
          <w:p>
            <w:pPr>
              <w:pStyle w:val="6"/>
              <w:spacing w:before="72" w:line="221" w:lineRule="auto"/>
              <w:ind w:left="411"/>
            </w:pPr>
            <w:r>
              <w:rPr>
                <w:rFonts w:ascii="Times New Roman" w:hAnsi="Times New Roman" w:eastAsia="Times New Roman" w:cs="Times New Roman"/>
                <w:spacing w:val="-1"/>
              </w:rPr>
              <w:t>24</w:t>
            </w:r>
            <w:r>
              <w:rPr>
                <w:spacing w:val="-1"/>
              </w:rPr>
              <w:t>小时平均</w:t>
            </w:r>
          </w:p>
        </w:tc>
        <w:tc>
          <w:tcPr>
            <w:tcW w:w="1634" w:type="dxa"/>
            <w:vAlign w:val="top"/>
          </w:tcPr>
          <w:p>
            <w:pPr>
              <w:spacing w:before="111" w:line="187" w:lineRule="auto"/>
              <w:ind w:left="68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1614" w:type="dxa"/>
            <w:vAlign w:val="top"/>
          </w:tcPr>
          <w:p>
            <w:pPr>
              <w:spacing w:before="111" w:line="187" w:lineRule="auto"/>
              <w:ind w:left="6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192" w:type="dxa"/>
            <w:vMerge w:val="restart"/>
            <w:tcBorders>
              <w:bottom w:val="nil"/>
            </w:tcBorders>
            <w:vAlign w:val="top"/>
          </w:tcPr>
          <w:p>
            <w:pPr>
              <w:pStyle w:val="6"/>
              <w:spacing w:before="282" w:line="217" w:lineRule="auto"/>
              <w:ind w:left="161"/>
            </w:pPr>
            <w:r>
              <w:rPr>
                <w:spacing w:val="-2"/>
              </w:rPr>
              <w:t>苯并</w:t>
            </w:r>
            <w:r>
              <w:rPr>
                <w:rFonts w:ascii="Times New Roman" w:hAnsi="Times New Roman" w:eastAsia="Times New Roman" w:cs="Times New Roman"/>
                <w:spacing w:val="-2"/>
              </w:rPr>
              <w:t>[α]</w:t>
            </w:r>
            <w:r>
              <w:rPr>
                <w:spacing w:val="-2"/>
              </w:rPr>
              <w:t>芘</w:t>
            </w:r>
          </w:p>
        </w:tc>
        <w:tc>
          <w:tcPr>
            <w:tcW w:w="1871" w:type="dxa"/>
            <w:vAlign w:val="top"/>
          </w:tcPr>
          <w:p>
            <w:pPr>
              <w:pStyle w:val="6"/>
              <w:spacing w:before="73" w:line="221" w:lineRule="auto"/>
              <w:ind w:left="624"/>
            </w:pPr>
            <w:r>
              <w:rPr>
                <w:spacing w:val="-2"/>
              </w:rPr>
              <w:t>年平均</w:t>
            </w:r>
          </w:p>
        </w:tc>
        <w:tc>
          <w:tcPr>
            <w:tcW w:w="1634" w:type="dxa"/>
            <w:vAlign w:val="top"/>
          </w:tcPr>
          <w:p>
            <w:pPr>
              <w:spacing w:before="112" w:line="187" w:lineRule="auto"/>
              <w:ind w:left="5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0.001</w:t>
            </w:r>
          </w:p>
        </w:tc>
        <w:tc>
          <w:tcPr>
            <w:tcW w:w="1614" w:type="dxa"/>
            <w:vAlign w:val="top"/>
          </w:tcPr>
          <w:p>
            <w:pPr>
              <w:spacing w:before="112" w:line="18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0.001</w:t>
            </w:r>
          </w:p>
        </w:tc>
        <w:tc>
          <w:tcPr>
            <w:tcW w:w="1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192" w:type="dxa"/>
            <w:vMerge w:val="continue"/>
            <w:tcBorders>
              <w:top w:val="nil"/>
            </w:tcBorders>
            <w:vAlign w:val="top"/>
          </w:tcPr>
          <w:p>
            <w:pPr>
              <w:rPr>
                <w:rFonts w:ascii="Arial"/>
                <w:sz w:val="21"/>
              </w:rPr>
            </w:pPr>
          </w:p>
        </w:tc>
        <w:tc>
          <w:tcPr>
            <w:tcW w:w="1871" w:type="dxa"/>
            <w:vAlign w:val="top"/>
          </w:tcPr>
          <w:p>
            <w:pPr>
              <w:pStyle w:val="6"/>
              <w:spacing w:before="75" w:line="221" w:lineRule="auto"/>
              <w:ind w:left="411"/>
            </w:pPr>
            <w:r>
              <w:rPr>
                <w:rFonts w:ascii="Times New Roman" w:hAnsi="Times New Roman" w:eastAsia="Times New Roman" w:cs="Times New Roman"/>
                <w:spacing w:val="-1"/>
              </w:rPr>
              <w:t>24</w:t>
            </w:r>
            <w:r>
              <w:rPr>
                <w:spacing w:val="-1"/>
              </w:rPr>
              <w:t>小时平均</w:t>
            </w:r>
          </w:p>
        </w:tc>
        <w:tc>
          <w:tcPr>
            <w:tcW w:w="1634" w:type="dxa"/>
            <w:vAlign w:val="top"/>
          </w:tcPr>
          <w:p>
            <w:pPr>
              <w:spacing w:before="113" w:line="187" w:lineRule="auto"/>
              <w:ind w:left="5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0.0025</w:t>
            </w:r>
          </w:p>
        </w:tc>
        <w:tc>
          <w:tcPr>
            <w:tcW w:w="1614" w:type="dxa"/>
            <w:vAlign w:val="top"/>
          </w:tcPr>
          <w:p>
            <w:pPr>
              <w:spacing w:before="113" w:line="187" w:lineRule="auto"/>
              <w:ind w:left="5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0.0025</w:t>
            </w:r>
          </w:p>
        </w:tc>
        <w:tc>
          <w:tcPr>
            <w:tcW w:w="1799" w:type="dxa"/>
            <w:vMerge w:val="continue"/>
            <w:tcBorders>
              <w:top w:val="nil"/>
            </w:tcBorders>
            <w:vAlign w:val="top"/>
          </w:tcPr>
          <w:p>
            <w:pPr>
              <w:rPr>
                <w:rFonts w:ascii="Arial"/>
                <w:sz w:val="21"/>
              </w:rPr>
            </w:pPr>
          </w:p>
        </w:tc>
      </w:tr>
    </w:tbl>
    <w:p>
      <w:pPr>
        <w:spacing w:before="192" w:line="220" w:lineRule="auto"/>
        <w:ind w:left="700"/>
        <w:rPr>
          <w:rFonts w:ascii="宋体" w:hAnsi="宋体" w:eastAsia="宋体" w:cs="宋体"/>
          <w:sz w:val="24"/>
          <w:szCs w:val="24"/>
        </w:rPr>
      </w:pPr>
      <w:r>
        <w:rPr>
          <w:rFonts w:ascii="Times New Roman" w:hAnsi="Times New Roman" w:eastAsia="Times New Roman" w:cs="Times New Roman"/>
          <w:spacing w:val="-4"/>
          <w:sz w:val="24"/>
          <w:szCs w:val="24"/>
        </w:rPr>
        <w:t>3</w:t>
      </w:r>
      <w:r>
        <w:rPr>
          <w:rFonts w:ascii="宋体" w:hAnsi="宋体" w:eastAsia="宋体" w:cs="宋体"/>
          <w:spacing w:val="-4"/>
          <w:sz w:val="24"/>
          <w:szCs w:val="24"/>
        </w:rPr>
        <w:t>、声环境</w:t>
      </w:r>
    </w:p>
    <w:p>
      <w:pPr>
        <w:spacing w:before="177" w:line="360" w:lineRule="auto"/>
        <w:ind w:left="224" w:right="199" w:firstLine="477"/>
        <w:rPr>
          <w:rFonts w:ascii="宋体" w:hAnsi="宋体" w:eastAsia="宋体" w:cs="宋体"/>
          <w:sz w:val="24"/>
          <w:szCs w:val="24"/>
        </w:rPr>
      </w:pPr>
      <w:r>
        <w:rPr>
          <w:rFonts w:ascii="宋体" w:hAnsi="宋体" w:eastAsia="宋体" w:cs="宋体"/>
          <w:spacing w:val="-10"/>
          <w:sz w:val="24"/>
          <w:szCs w:val="24"/>
        </w:rPr>
        <w:t>本项目位于文成县西坑镇和百丈漈镇， 项目地处农村地区， 所在区域未划定</w:t>
      </w:r>
      <w:r>
        <w:rPr>
          <w:rFonts w:ascii="宋体" w:hAnsi="宋体" w:eastAsia="宋体" w:cs="宋体"/>
          <w:spacing w:val="2"/>
          <w:sz w:val="24"/>
          <w:szCs w:val="24"/>
        </w:rPr>
        <w:t xml:space="preserve"> </w:t>
      </w:r>
      <w:r>
        <w:rPr>
          <w:rFonts w:ascii="宋体" w:hAnsi="宋体" w:eastAsia="宋体" w:cs="宋体"/>
          <w:spacing w:val="-12"/>
          <w:sz w:val="24"/>
          <w:szCs w:val="24"/>
        </w:rPr>
        <w:t>声环境功能区，</w:t>
      </w:r>
      <w:r>
        <w:rPr>
          <w:rFonts w:ascii="宋体" w:hAnsi="宋体" w:eastAsia="宋体" w:cs="宋体"/>
          <w:spacing w:val="50"/>
          <w:sz w:val="24"/>
          <w:szCs w:val="24"/>
        </w:rPr>
        <w:t xml:space="preserve"> </w:t>
      </w:r>
      <w:r>
        <w:rPr>
          <w:rFonts w:ascii="宋体" w:hAnsi="宋体" w:eastAsia="宋体" w:cs="宋体"/>
          <w:spacing w:val="-12"/>
          <w:sz w:val="24"/>
          <w:szCs w:val="24"/>
        </w:rPr>
        <w:t>根据《声环境质量标准》（</w:t>
      </w:r>
      <w:r>
        <w:rPr>
          <w:rFonts w:ascii="Times New Roman" w:hAnsi="Times New Roman" w:eastAsia="Times New Roman" w:cs="Times New Roman"/>
          <w:spacing w:val="-12"/>
          <w:sz w:val="24"/>
          <w:szCs w:val="24"/>
        </w:rPr>
        <w:t>GB 3096-2008</w:t>
      </w:r>
      <w:r>
        <w:rPr>
          <w:rFonts w:ascii="宋体" w:hAnsi="宋体" w:eastAsia="宋体" w:cs="宋体"/>
          <w:spacing w:val="-46"/>
          <w:sz w:val="24"/>
          <w:szCs w:val="24"/>
        </w:rPr>
        <w:t>），</w:t>
      </w:r>
      <w:r>
        <w:rPr>
          <w:rFonts w:ascii="宋体" w:hAnsi="宋体" w:eastAsia="宋体" w:cs="宋体"/>
          <w:spacing w:val="-47"/>
          <w:sz w:val="24"/>
          <w:szCs w:val="24"/>
        </w:rPr>
        <w:t xml:space="preserve"> </w:t>
      </w:r>
      <w:r>
        <w:rPr>
          <w:rFonts w:ascii="宋体" w:hAnsi="宋体" w:eastAsia="宋体" w:cs="宋体"/>
          <w:spacing w:val="-12"/>
          <w:sz w:val="24"/>
          <w:szCs w:val="24"/>
        </w:rPr>
        <w:t>百丈漈镇工业区块执</w:t>
      </w:r>
      <w:r>
        <w:rPr>
          <w:rFonts w:ascii="宋体" w:hAnsi="宋体" w:eastAsia="宋体" w:cs="宋体"/>
          <w:sz w:val="24"/>
          <w:szCs w:val="24"/>
        </w:rPr>
        <w:t xml:space="preserve"> </w:t>
      </w:r>
      <w:r>
        <w:rPr>
          <w:rFonts w:ascii="宋体" w:hAnsi="宋体" w:eastAsia="宋体" w:cs="宋体"/>
          <w:spacing w:val="-11"/>
          <w:sz w:val="24"/>
          <w:szCs w:val="24"/>
        </w:rPr>
        <w:t>行</w:t>
      </w:r>
      <w:r>
        <w:rPr>
          <w:rFonts w:ascii="宋体" w:hAnsi="宋体" w:eastAsia="宋体" w:cs="宋体"/>
          <w:spacing w:val="-62"/>
          <w:sz w:val="24"/>
          <w:szCs w:val="24"/>
        </w:rPr>
        <w:t xml:space="preserve"> </w:t>
      </w:r>
      <w:r>
        <w:rPr>
          <w:rFonts w:ascii="Times New Roman" w:hAnsi="Times New Roman" w:eastAsia="Times New Roman" w:cs="Times New Roman"/>
          <w:spacing w:val="-11"/>
          <w:sz w:val="24"/>
          <w:szCs w:val="24"/>
        </w:rPr>
        <w:t xml:space="preserve">3 </w:t>
      </w:r>
      <w:r>
        <w:rPr>
          <w:rFonts w:ascii="宋体" w:hAnsi="宋体" w:eastAsia="宋体" w:cs="宋体"/>
          <w:spacing w:val="-11"/>
          <w:sz w:val="24"/>
          <w:szCs w:val="24"/>
        </w:rPr>
        <w:t>类，位于交通干线附近的声环境保护目标一定区域内执行</w:t>
      </w:r>
      <w:r>
        <w:rPr>
          <w:rFonts w:ascii="宋体" w:hAnsi="宋体" w:eastAsia="宋体" w:cs="宋体"/>
          <w:spacing w:val="-67"/>
          <w:sz w:val="24"/>
          <w:szCs w:val="24"/>
        </w:rPr>
        <w:t xml:space="preserve"> </w:t>
      </w:r>
      <w:r>
        <w:rPr>
          <w:rFonts w:ascii="Times New Roman" w:hAnsi="Times New Roman" w:eastAsia="Times New Roman" w:cs="Times New Roman"/>
          <w:spacing w:val="-11"/>
          <w:sz w:val="24"/>
          <w:szCs w:val="24"/>
        </w:rPr>
        <w:t xml:space="preserve">4a </w:t>
      </w:r>
      <w:r>
        <w:rPr>
          <w:rFonts w:ascii="宋体" w:hAnsi="宋体" w:eastAsia="宋体" w:cs="宋体"/>
          <w:spacing w:val="-11"/>
          <w:sz w:val="24"/>
          <w:szCs w:val="24"/>
        </w:rPr>
        <w:t>类标准，其</w:t>
      </w:r>
      <w:r>
        <w:rPr>
          <w:rFonts w:ascii="宋体" w:hAnsi="宋体" w:eastAsia="宋体" w:cs="宋体"/>
          <w:spacing w:val="-12"/>
          <w:sz w:val="24"/>
          <w:szCs w:val="24"/>
        </w:rPr>
        <w:t>他参照</w:t>
      </w:r>
    </w:p>
    <w:p>
      <w:pPr>
        <w:spacing w:line="219" w:lineRule="auto"/>
        <w:ind w:left="220"/>
        <w:rPr>
          <w:rFonts w:ascii="宋体" w:hAnsi="宋体" w:eastAsia="宋体" w:cs="宋体"/>
          <w:sz w:val="24"/>
          <w:szCs w:val="24"/>
        </w:rPr>
      </w:pPr>
      <w:r>
        <w:rPr>
          <w:rFonts w:ascii="宋体" w:hAnsi="宋体" w:eastAsia="宋体" w:cs="宋体"/>
          <w:spacing w:val="-10"/>
          <w:sz w:val="24"/>
          <w:szCs w:val="24"/>
        </w:rPr>
        <w:t>执行</w:t>
      </w:r>
      <w:r>
        <w:rPr>
          <w:rFonts w:ascii="宋体" w:hAnsi="宋体" w:eastAsia="宋体" w:cs="宋体"/>
          <w:spacing w:val="-65"/>
          <w:sz w:val="24"/>
          <w:szCs w:val="24"/>
        </w:rPr>
        <w:t xml:space="preserve"> </w:t>
      </w:r>
      <w:r>
        <w:rPr>
          <w:rFonts w:ascii="Times New Roman" w:hAnsi="Times New Roman" w:eastAsia="Times New Roman" w:cs="Times New Roman"/>
          <w:spacing w:val="-10"/>
          <w:sz w:val="24"/>
          <w:szCs w:val="24"/>
        </w:rPr>
        <w:t xml:space="preserve">2 </w:t>
      </w:r>
      <w:r>
        <w:rPr>
          <w:rFonts w:ascii="宋体" w:hAnsi="宋体" w:eastAsia="宋体" w:cs="宋体"/>
          <w:spacing w:val="-10"/>
          <w:sz w:val="24"/>
          <w:szCs w:val="24"/>
        </w:rPr>
        <w:t>类标准。</w:t>
      </w:r>
    </w:p>
    <w:p>
      <w:pPr>
        <w:spacing w:before="179" w:line="213" w:lineRule="auto"/>
        <w:ind w:left="2226"/>
        <w:rPr>
          <w:rFonts w:ascii="Times New Roman" w:hAnsi="Times New Roman" w:eastAsia="Times New Roman" w:cs="Times New Roman"/>
          <w:sz w:val="24"/>
          <w:szCs w:val="24"/>
        </w:rPr>
      </w:pPr>
      <w:r>
        <w:rPr>
          <w:rFonts w:ascii="宋体" w:hAnsi="宋体" w:eastAsia="宋体" w:cs="宋体"/>
          <w:spacing w:val="-5"/>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2.2-4        </w:t>
      </w:r>
      <w:r>
        <w:rPr>
          <w:rFonts w:ascii="宋体" w:hAnsi="宋体" w:eastAsia="宋体" w:cs="宋体"/>
          <w:spacing w:val="-5"/>
          <w:sz w:val="24"/>
          <w:szCs w:val="24"/>
        </w:rPr>
        <w:t>声环境质量标准</w:t>
      </w:r>
      <w:r>
        <w:rPr>
          <w:rFonts w:ascii="宋体" w:hAnsi="宋体" w:eastAsia="宋体" w:cs="宋体"/>
          <w:spacing w:val="3"/>
          <w:sz w:val="24"/>
          <w:szCs w:val="24"/>
        </w:rPr>
        <w:t xml:space="preserve">   </w:t>
      </w:r>
      <w:r>
        <w:rPr>
          <w:rFonts w:ascii="宋体" w:hAnsi="宋体" w:eastAsia="宋体" w:cs="宋体"/>
          <w:spacing w:val="-5"/>
          <w:sz w:val="24"/>
          <w:szCs w:val="24"/>
        </w:rPr>
        <w:t>单位：</w:t>
      </w:r>
      <w:r>
        <w:rPr>
          <w:rFonts w:ascii="宋体" w:hAnsi="宋体" w:eastAsia="宋体" w:cs="宋体"/>
          <w:spacing w:val="1"/>
          <w:sz w:val="24"/>
          <w:szCs w:val="24"/>
        </w:rPr>
        <w:t xml:space="preserve">  </w:t>
      </w:r>
      <w:r>
        <w:rPr>
          <w:rFonts w:ascii="Times New Roman" w:hAnsi="Times New Roman" w:eastAsia="Times New Roman" w:cs="Times New Roman"/>
          <w:spacing w:val="-5"/>
          <w:sz w:val="24"/>
          <w:szCs w:val="24"/>
        </w:rPr>
        <w:t>dB(</w:t>
      </w:r>
      <w:r>
        <w:rPr>
          <w:rFonts w:ascii="Times New Roman" w:hAnsi="Times New Roman" w:eastAsia="Times New Roman" w:cs="Times New Roman"/>
          <w:spacing w:val="-6"/>
          <w:sz w:val="24"/>
          <w:szCs w:val="24"/>
        </w:rPr>
        <w:t>A)</w:t>
      </w:r>
    </w:p>
    <w:p>
      <w:pPr>
        <w:spacing w:line="155" w:lineRule="exact"/>
      </w:pPr>
    </w:p>
    <w:tbl>
      <w:tblPr>
        <w:tblStyle w:val="5"/>
        <w:tblW w:w="8466" w:type="dxa"/>
        <w:tblInd w:w="1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08"/>
        <w:gridCol w:w="2408"/>
        <w:gridCol w:w="2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908" w:type="dxa"/>
            <w:vAlign w:val="top"/>
          </w:tcPr>
          <w:p>
            <w:pPr>
              <w:pStyle w:val="6"/>
              <w:spacing w:before="53" w:line="221" w:lineRule="auto"/>
              <w:ind w:left="1332"/>
            </w:pPr>
            <w:r>
              <w:rPr>
                <w:spacing w:val="-2"/>
              </w:rPr>
              <w:t>声功能区类别</w:t>
            </w:r>
          </w:p>
        </w:tc>
        <w:tc>
          <w:tcPr>
            <w:tcW w:w="2408" w:type="dxa"/>
            <w:vAlign w:val="top"/>
          </w:tcPr>
          <w:p>
            <w:pPr>
              <w:pStyle w:val="6"/>
              <w:spacing w:before="53" w:line="223" w:lineRule="auto"/>
              <w:ind w:left="998"/>
            </w:pPr>
            <w:r>
              <w:rPr>
                <w:spacing w:val="-2"/>
              </w:rPr>
              <w:t>昼间</w:t>
            </w:r>
          </w:p>
        </w:tc>
        <w:tc>
          <w:tcPr>
            <w:tcW w:w="2150" w:type="dxa"/>
            <w:vAlign w:val="top"/>
          </w:tcPr>
          <w:p>
            <w:pPr>
              <w:pStyle w:val="6"/>
              <w:spacing w:before="53" w:line="221" w:lineRule="auto"/>
              <w:ind w:left="875"/>
            </w:pPr>
            <w:r>
              <w:rPr>
                <w:spacing w:val="-3"/>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3908" w:type="dxa"/>
            <w:vAlign w:val="top"/>
          </w:tcPr>
          <w:p>
            <w:pPr>
              <w:pStyle w:val="6"/>
              <w:spacing w:before="55" w:line="221" w:lineRule="auto"/>
              <w:ind w:left="1618"/>
            </w:pPr>
            <w:r>
              <w:rPr>
                <w:rFonts w:ascii="Times New Roman" w:hAnsi="Times New Roman" w:eastAsia="Times New Roman" w:cs="Times New Roman"/>
                <w:spacing w:val="-2"/>
              </w:rPr>
              <w:t>4a</w:t>
            </w:r>
            <w:r>
              <w:rPr>
                <w:rFonts w:ascii="Times New Roman" w:hAnsi="Times New Roman" w:eastAsia="Times New Roman" w:cs="Times New Roman"/>
                <w:spacing w:val="9"/>
              </w:rPr>
              <w:t xml:space="preserve"> </w:t>
            </w:r>
            <w:r>
              <w:rPr>
                <w:spacing w:val="-2"/>
              </w:rPr>
              <w:t>类区</w:t>
            </w:r>
          </w:p>
        </w:tc>
        <w:tc>
          <w:tcPr>
            <w:tcW w:w="2408" w:type="dxa"/>
            <w:vAlign w:val="top"/>
          </w:tcPr>
          <w:p>
            <w:pPr>
              <w:spacing w:before="94" w:line="187" w:lineRule="auto"/>
              <w:ind w:left="11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2150" w:type="dxa"/>
            <w:vAlign w:val="top"/>
          </w:tcPr>
          <w:p>
            <w:pPr>
              <w:spacing w:before="97" w:line="184" w:lineRule="auto"/>
              <w:ind w:left="97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908" w:type="dxa"/>
            <w:vAlign w:val="top"/>
          </w:tcPr>
          <w:p>
            <w:pPr>
              <w:pStyle w:val="6"/>
              <w:spacing w:before="53" w:line="221" w:lineRule="auto"/>
              <w:ind w:left="1664"/>
            </w:pPr>
            <w:r>
              <w:rPr>
                <w:rFonts w:ascii="Times New Roman" w:hAnsi="Times New Roman" w:eastAsia="Times New Roman" w:cs="Times New Roman"/>
                <w:spacing w:val="-3"/>
              </w:rPr>
              <w:t>2</w:t>
            </w:r>
            <w:r>
              <w:rPr>
                <w:rFonts w:ascii="Times New Roman" w:hAnsi="Times New Roman" w:eastAsia="Times New Roman" w:cs="Times New Roman"/>
                <w:spacing w:val="10"/>
              </w:rPr>
              <w:t xml:space="preserve"> </w:t>
            </w:r>
            <w:r>
              <w:rPr>
                <w:spacing w:val="-3"/>
              </w:rPr>
              <w:t>类区</w:t>
            </w:r>
          </w:p>
        </w:tc>
        <w:tc>
          <w:tcPr>
            <w:tcW w:w="2408" w:type="dxa"/>
            <w:vAlign w:val="top"/>
          </w:tcPr>
          <w:p>
            <w:pPr>
              <w:spacing w:before="92" w:line="187" w:lineRule="auto"/>
              <w:ind w:left="110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2150" w:type="dxa"/>
            <w:vAlign w:val="top"/>
          </w:tcPr>
          <w:p>
            <w:pPr>
              <w:spacing w:before="92" w:line="187" w:lineRule="auto"/>
              <w:ind w:left="97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3908" w:type="dxa"/>
            <w:vAlign w:val="top"/>
          </w:tcPr>
          <w:p>
            <w:pPr>
              <w:pStyle w:val="6"/>
              <w:spacing w:before="55" w:line="221" w:lineRule="auto"/>
              <w:ind w:left="1669"/>
            </w:pPr>
            <w:r>
              <w:rPr>
                <w:rFonts w:ascii="Times New Roman" w:hAnsi="Times New Roman" w:eastAsia="Times New Roman" w:cs="Times New Roman"/>
                <w:spacing w:val="-4"/>
              </w:rPr>
              <w:t>3</w:t>
            </w:r>
            <w:r>
              <w:rPr>
                <w:rFonts w:ascii="Times New Roman" w:hAnsi="Times New Roman" w:eastAsia="Times New Roman" w:cs="Times New Roman"/>
                <w:spacing w:val="9"/>
              </w:rPr>
              <w:t xml:space="preserve"> </w:t>
            </w:r>
            <w:r>
              <w:rPr>
                <w:spacing w:val="-4"/>
              </w:rPr>
              <w:t>类区</w:t>
            </w:r>
          </w:p>
        </w:tc>
        <w:tc>
          <w:tcPr>
            <w:tcW w:w="2408" w:type="dxa"/>
            <w:vAlign w:val="top"/>
          </w:tcPr>
          <w:p>
            <w:pPr>
              <w:spacing w:before="94" w:line="187" w:lineRule="auto"/>
              <w:ind w:left="110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2150" w:type="dxa"/>
            <w:vAlign w:val="top"/>
          </w:tcPr>
          <w:p>
            <w:pPr>
              <w:spacing w:before="97" w:line="184" w:lineRule="auto"/>
              <w:ind w:left="97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r>
    </w:tbl>
    <w:p>
      <w:pPr>
        <w:spacing w:before="193" w:line="220" w:lineRule="auto"/>
        <w:ind w:left="216"/>
        <w:outlineLvl w:val="0"/>
        <w:rPr>
          <w:rFonts w:ascii="宋体" w:hAnsi="宋体" w:eastAsia="宋体" w:cs="宋体"/>
          <w:sz w:val="24"/>
          <w:szCs w:val="24"/>
        </w:rPr>
      </w:pPr>
      <w:r>
        <w:rPr>
          <w:rFonts w:ascii="Times New Roman" w:hAnsi="Times New Roman" w:eastAsia="Times New Roman" w:cs="Times New Roman"/>
          <w:b/>
          <w:bCs/>
          <w:sz w:val="24"/>
          <w:szCs w:val="24"/>
        </w:rPr>
        <w:t xml:space="preserve">2.2.3 </w:t>
      </w:r>
      <w:r>
        <w:rPr>
          <w:rFonts w:ascii="宋体" w:hAnsi="宋体" w:eastAsia="宋体" w:cs="宋体"/>
          <w:sz w:val="24"/>
          <w:szCs w:val="24"/>
          <w14:textOutline w14:w="4354" w14:cap="flat" w14:cmpd="sng">
            <w14:solidFill>
              <w14:srgbClr w14:val="000000"/>
            </w14:solidFill>
            <w14:prstDash w14:val="solid"/>
            <w14:miter w14:val="0"/>
          </w14:textOutline>
        </w:rPr>
        <w:t>污染物排放标准</w:t>
      </w:r>
    </w:p>
    <w:p>
      <w:pPr>
        <w:spacing w:before="181" w:line="220" w:lineRule="auto"/>
        <w:ind w:left="719"/>
        <w:rPr>
          <w:rFonts w:ascii="宋体" w:hAnsi="宋体" w:eastAsia="宋体" w:cs="宋体"/>
          <w:sz w:val="24"/>
          <w:szCs w:val="24"/>
        </w:rPr>
      </w:pPr>
      <w:r>
        <w:rPr>
          <w:rFonts w:ascii="Times New Roman" w:hAnsi="Times New Roman" w:eastAsia="Times New Roman" w:cs="Times New Roman"/>
          <w:spacing w:val="-9"/>
          <w:sz w:val="24"/>
          <w:szCs w:val="24"/>
        </w:rPr>
        <w:t>1</w:t>
      </w:r>
      <w:r>
        <w:rPr>
          <w:rFonts w:ascii="宋体" w:hAnsi="宋体" w:eastAsia="宋体" w:cs="宋体"/>
          <w:spacing w:val="-9"/>
          <w:sz w:val="24"/>
          <w:szCs w:val="24"/>
        </w:rPr>
        <w:t>、废水</w:t>
      </w:r>
    </w:p>
    <w:p>
      <w:pPr>
        <w:spacing w:before="181" w:line="359" w:lineRule="auto"/>
        <w:ind w:left="227" w:right="220" w:firstLine="472"/>
        <w:rPr>
          <w:rFonts w:ascii="宋体" w:hAnsi="宋体" w:eastAsia="宋体" w:cs="宋体"/>
          <w:sz w:val="24"/>
          <w:szCs w:val="24"/>
        </w:rPr>
      </w:pPr>
      <w:r>
        <w:rPr>
          <w:rFonts w:ascii="宋体" w:hAnsi="宋体" w:eastAsia="宋体" w:cs="宋体"/>
          <w:spacing w:val="15"/>
          <w:sz w:val="24"/>
          <w:szCs w:val="24"/>
        </w:rPr>
        <w:t>施工废水经处理后回用，执行《城市污水再生利用</w:t>
      </w:r>
      <w:r>
        <w:rPr>
          <w:rFonts w:ascii="宋体" w:hAnsi="宋体" w:eastAsia="宋体" w:cs="宋体"/>
          <w:spacing w:val="44"/>
          <w:sz w:val="24"/>
          <w:szCs w:val="24"/>
        </w:rPr>
        <w:t xml:space="preserve"> </w:t>
      </w:r>
      <w:r>
        <w:rPr>
          <w:rFonts w:ascii="宋体" w:hAnsi="宋体" w:eastAsia="宋体" w:cs="宋体"/>
          <w:spacing w:val="14"/>
          <w:sz w:val="24"/>
          <w:szCs w:val="24"/>
        </w:rPr>
        <w:t>城市杂用水水质》</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GB/T18920-2020</w:t>
      </w:r>
      <w:r>
        <w:rPr>
          <w:rFonts w:ascii="宋体" w:hAnsi="宋体" w:eastAsia="宋体" w:cs="宋体"/>
          <w:spacing w:val="-3"/>
          <w:sz w:val="24"/>
          <w:szCs w:val="24"/>
        </w:rPr>
        <w:t>）水质标</w:t>
      </w:r>
      <w:r>
        <w:rPr>
          <w:rFonts w:ascii="宋体" w:hAnsi="宋体" w:eastAsia="宋体" w:cs="宋体"/>
          <w:spacing w:val="-4"/>
          <w:sz w:val="24"/>
          <w:szCs w:val="24"/>
        </w:rPr>
        <w:t xml:space="preserve">准， 具体见表 </w:t>
      </w:r>
      <w:r>
        <w:rPr>
          <w:rFonts w:ascii="Times New Roman" w:hAnsi="Times New Roman" w:eastAsia="Times New Roman" w:cs="Times New Roman"/>
          <w:spacing w:val="-4"/>
          <w:sz w:val="24"/>
          <w:szCs w:val="24"/>
        </w:rPr>
        <w:t>2.2-5</w:t>
      </w:r>
      <w:r>
        <w:rPr>
          <w:rFonts w:ascii="宋体" w:hAnsi="宋体" w:eastAsia="宋体" w:cs="宋体"/>
          <w:spacing w:val="-4"/>
          <w:sz w:val="24"/>
          <w:szCs w:val="24"/>
        </w:rPr>
        <w:t>；施工营地生活污水经临时厕所</w:t>
      </w:r>
    </w:p>
    <w:p>
      <w:pPr>
        <w:spacing w:before="1" w:line="219" w:lineRule="auto"/>
        <w:ind w:left="228"/>
        <w:rPr>
          <w:rFonts w:ascii="宋体" w:hAnsi="宋体" w:eastAsia="宋体" w:cs="宋体"/>
          <w:sz w:val="24"/>
          <w:szCs w:val="24"/>
        </w:rPr>
      </w:pPr>
      <w:r>
        <w:rPr>
          <w:rFonts w:ascii="宋体" w:hAnsi="宋体" w:eastAsia="宋体" w:cs="宋体"/>
          <w:spacing w:val="-5"/>
          <w:sz w:val="24"/>
          <w:szCs w:val="24"/>
        </w:rPr>
        <w:t>收集后定期清运处理。</w:t>
      </w:r>
    </w:p>
    <w:p>
      <w:pPr>
        <w:spacing w:before="183" w:line="212" w:lineRule="auto"/>
        <w:ind w:left="699"/>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2.2-5    </w:t>
      </w:r>
      <w:r>
        <w:rPr>
          <w:rFonts w:ascii="宋体" w:hAnsi="宋体" w:eastAsia="宋体" w:cs="宋体"/>
          <w:spacing w:val="-3"/>
          <w:sz w:val="24"/>
          <w:szCs w:val="24"/>
        </w:rPr>
        <w:t>城市污水再生利用 城市杂用水</w:t>
      </w:r>
      <w:r>
        <w:rPr>
          <w:rFonts w:ascii="宋体" w:hAnsi="宋体" w:eastAsia="宋体" w:cs="宋体"/>
          <w:spacing w:val="-4"/>
          <w:sz w:val="24"/>
          <w:szCs w:val="24"/>
        </w:rPr>
        <w:t xml:space="preserve">水质  单位： </w:t>
      </w:r>
      <w:r>
        <w:rPr>
          <w:rFonts w:ascii="Times New Roman" w:hAnsi="Times New Roman" w:eastAsia="Times New Roman" w:cs="Times New Roman"/>
          <w:spacing w:val="-4"/>
          <w:sz w:val="24"/>
          <w:szCs w:val="24"/>
        </w:rPr>
        <w:t>mg/L</w:t>
      </w:r>
      <w:r>
        <w:rPr>
          <w:rFonts w:ascii="宋体" w:hAnsi="宋体" w:eastAsia="宋体" w:cs="宋体"/>
          <w:spacing w:val="-4"/>
          <w:sz w:val="24"/>
          <w:szCs w:val="24"/>
        </w:rPr>
        <w:t xml:space="preserve">（除 </w:t>
      </w:r>
      <w:r>
        <w:rPr>
          <w:rFonts w:ascii="Times New Roman" w:hAnsi="Times New Roman" w:eastAsia="Times New Roman" w:cs="Times New Roman"/>
          <w:spacing w:val="-4"/>
          <w:sz w:val="24"/>
          <w:szCs w:val="24"/>
        </w:rPr>
        <w:t>pH</w:t>
      </w:r>
      <w:r>
        <w:rPr>
          <w:rFonts w:ascii="Times New Roman" w:hAnsi="Times New Roman" w:eastAsia="Times New Roman" w:cs="Times New Roman"/>
          <w:spacing w:val="6"/>
          <w:sz w:val="24"/>
          <w:szCs w:val="24"/>
        </w:rPr>
        <w:t xml:space="preserve">  </w:t>
      </w:r>
      <w:r>
        <w:rPr>
          <w:rFonts w:ascii="宋体" w:hAnsi="宋体" w:eastAsia="宋体" w:cs="宋体"/>
          <w:spacing w:val="-4"/>
          <w:sz w:val="24"/>
          <w:szCs w:val="24"/>
        </w:rPr>
        <w:t>外）</w:t>
      </w:r>
    </w:p>
    <w:p>
      <w:pPr>
        <w:spacing w:line="153" w:lineRule="exact"/>
      </w:pPr>
    </w:p>
    <w:tbl>
      <w:tblPr>
        <w:tblStyle w:val="5"/>
        <w:tblW w:w="8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895"/>
        <w:gridCol w:w="1602"/>
        <w:gridCol w:w="2234"/>
        <w:gridCol w:w="23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679" w:type="dxa"/>
            <w:vAlign w:val="top"/>
          </w:tcPr>
          <w:p>
            <w:pPr>
              <w:pStyle w:val="6"/>
              <w:spacing w:before="171" w:line="222" w:lineRule="auto"/>
              <w:ind w:left="134"/>
            </w:pPr>
            <w:r>
              <w:rPr>
                <w:spacing w:val="-2"/>
              </w:rPr>
              <w:t>序号</w:t>
            </w:r>
          </w:p>
        </w:tc>
        <w:tc>
          <w:tcPr>
            <w:tcW w:w="1895" w:type="dxa"/>
            <w:vAlign w:val="top"/>
          </w:tcPr>
          <w:p>
            <w:pPr>
              <w:pStyle w:val="6"/>
              <w:spacing w:before="171" w:line="221" w:lineRule="auto"/>
              <w:ind w:left="743"/>
            </w:pPr>
            <w:r>
              <w:rPr>
                <w:spacing w:val="-3"/>
              </w:rPr>
              <w:t>项目</w:t>
            </w:r>
          </w:p>
        </w:tc>
        <w:tc>
          <w:tcPr>
            <w:tcW w:w="1602" w:type="dxa"/>
            <w:vAlign w:val="top"/>
          </w:tcPr>
          <w:p>
            <w:pPr>
              <w:pStyle w:val="6"/>
              <w:spacing w:before="171" w:line="221" w:lineRule="auto"/>
              <w:ind w:left="597"/>
            </w:pPr>
            <w:r>
              <w:rPr>
                <w:spacing w:val="-2"/>
              </w:rPr>
              <w:t>单位</w:t>
            </w:r>
          </w:p>
        </w:tc>
        <w:tc>
          <w:tcPr>
            <w:tcW w:w="2234" w:type="dxa"/>
            <w:vAlign w:val="top"/>
          </w:tcPr>
          <w:p>
            <w:pPr>
              <w:pStyle w:val="6"/>
              <w:spacing w:before="170" w:line="221" w:lineRule="auto"/>
              <w:ind w:left="386"/>
            </w:pPr>
            <w:r>
              <w:rPr>
                <w:spacing w:val="-1"/>
              </w:rPr>
              <w:t>冲厕、车辆冲洗</w:t>
            </w:r>
          </w:p>
        </w:tc>
        <w:tc>
          <w:tcPr>
            <w:tcW w:w="2315" w:type="dxa"/>
            <w:vAlign w:val="top"/>
          </w:tcPr>
          <w:p>
            <w:pPr>
              <w:pStyle w:val="6"/>
              <w:spacing w:before="36" w:line="224" w:lineRule="auto"/>
              <w:ind w:left="534" w:right="131" w:hanging="420"/>
            </w:pPr>
            <w:r>
              <w:rPr>
                <w:spacing w:val="-4"/>
              </w:rPr>
              <w:t>城市绿化、道路清扫、</w:t>
            </w:r>
            <w:r>
              <w:rPr>
                <w:spacing w:val="2"/>
              </w:rPr>
              <w:t xml:space="preserve"> </w:t>
            </w:r>
            <w:r>
              <w:rPr>
                <w:spacing w:val="-2"/>
              </w:rPr>
              <w:t>建筑施工用水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679" w:type="dxa"/>
            <w:vAlign w:val="top"/>
          </w:tcPr>
          <w:p>
            <w:pPr>
              <w:spacing w:before="51" w:line="181" w:lineRule="auto"/>
              <w:ind w:left="31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95" w:type="dxa"/>
            <w:vAlign w:val="top"/>
          </w:tcPr>
          <w:p>
            <w:pPr>
              <w:spacing w:before="48" w:line="184" w:lineRule="auto"/>
              <w:ind w:left="813"/>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1602" w:type="dxa"/>
            <w:vAlign w:val="top"/>
          </w:tcPr>
          <w:p>
            <w:pPr>
              <w:spacing w:before="139" w:line="95" w:lineRule="exact"/>
              <w:ind w:left="770"/>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2234" w:type="dxa"/>
            <w:vAlign w:val="top"/>
          </w:tcPr>
          <w:p>
            <w:pPr>
              <w:spacing w:before="51" w:line="181" w:lineRule="auto"/>
              <w:ind w:left="8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6.0~9.0</w:t>
            </w:r>
          </w:p>
        </w:tc>
        <w:tc>
          <w:tcPr>
            <w:tcW w:w="2315" w:type="dxa"/>
            <w:vAlign w:val="top"/>
          </w:tcPr>
          <w:p>
            <w:pPr>
              <w:spacing w:before="51" w:line="181" w:lineRule="auto"/>
              <w:ind w:left="8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9" w:type="dxa"/>
            <w:vAlign w:val="top"/>
          </w:tcPr>
          <w:p>
            <w:pPr>
              <w:spacing w:before="71" w:line="187" w:lineRule="auto"/>
              <w:ind w:left="28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95" w:type="dxa"/>
            <w:vAlign w:val="top"/>
          </w:tcPr>
          <w:p>
            <w:pPr>
              <w:pStyle w:val="6"/>
              <w:spacing w:before="33" w:line="206" w:lineRule="auto"/>
              <w:ind w:left="742"/>
            </w:pPr>
            <w:r>
              <w:rPr>
                <w:spacing w:val="-3"/>
              </w:rPr>
              <w:t>色度</w:t>
            </w:r>
          </w:p>
        </w:tc>
        <w:tc>
          <w:tcPr>
            <w:tcW w:w="1602" w:type="dxa"/>
            <w:vAlign w:val="top"/>
          </w:tcPr>
          <w:p>
            <w:pPr>
              <w:pStyle w:val="6"/>
              <w:spacing w:before="33" w:line="206" w:lineRule="auto"/>
              <w:ind w:left="176"/>
            </w:pPr>
            <w:r>
              <w:rPr>
                <w:spacing w:val="-1"/>
              </w:rPr>
              <w:t>铂钴色度单位</w:t>
            </w:r>
          </w:p>
        </w:tc>
        <w:tc>
          <w:tcPr>
            <w:tcW w:w="2234" w:type="dxa"/>
            <w:vAlign w:val="top"/>
          </w:tcPr>
          <w:p>
            <w:pPr>
              <w:spacing w:before="67" w:line="199" w:lineRule="auto"/>
              <w:ind w:left="9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w:t>
            </w:r>
          </w:p>
        </w:tc>
        <w:tc>
          <w:tcPr>
            <w:tcW w:w="2315" w:type="dxa"/>
            <w:vAlign w:val="top"/>
          </w:tcPr>
          <w:p>
            <w:pPr>
              <w:spacing w:before="67" w:line="199" w:lineRule="auto"/>
              <w:ind w:left="9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9" w:type="dxa"/>
            <w:vAlign w:val="top"/>
          </w:tcPr>
          <w:p>
            <w:pPr>
              <w:spacing w:before="70" w:line="187" w:lineRule="auto"/>
              <w:ind w:left="29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895" w:type="dxa"/>
            <w:vAlign w:val="top"/>
          </w:tcPr>
          <w:p>
            <w:pPr>
              <w:pStyle w:val="6"/>
              <w:spacing w:before="31" w:line="208" w:lineRule="auto"/>
              <w:ind w:left="856"/>
            </w:pPr>
            <w:r>
              <w:t>嗅</w:t>
            </w:r>
          </w:p>
        </w:tc>
        <w:tc>
          <w:tcPr>
            <w:tcW w:w="1602" w:type="dxa"/>
            <w:vAlign w:val="top"/>
          </w:tcPr>
          <w:p>
            <w:pPr>
              <w:spacing w:before="157" w:line="101" w:lineRule="exact"/>
              <w:ind w:left="770"/>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2234" w:type="dxa"/>
            <w:vAlign w:val="top"/>
          </w:tcPr>
          <w:p>
            <w:pPr>
              <w:pStyle w:val="6"/>
              <w:spacing w:before="31" w:line="208" w:lineRule="auto"/>
              <w:ind w:left="701"/>
            </w:pPr>
            <w:r>
              <w:rPr>
                <w:spacing w:val="-2"/>
              </w:rPr>
              <w:t>无不快感</w:t>
            </w:r>
          </w:p>
        </w:tc>
        <w:tc>
          <w:tcPr>
            <w:tcW w:w="2315" w:type="dxa"/>
            <w:vAlign w:val="top"/>
          </w:tcPr>
          <w:p>
            <w:pPr>
              <w:pStyle w:val="6"/>
              <w:spacing w:before="31" w:line="208" w:lineRule="auto"/>
              <w:ind w:left="743"/>
            </w:pPr>
            <w:r>
              <w:rPr>
                <w:spacing w:val="-2"/>
              </w:rPr>
              <w:t>无不快感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79" w:type="dxa"/>
            <w:vAlign w:val="top"/>
          </w:tcPr>
          <w:p>
            <w:pPr>
              <w:spacing w:before="70" w:line="187" w:lineRule="auto"/>
              <w:ind w:left="28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895" w:type="dxa"/>
            <w:vAlign w:val="top"/>
          </w:tcPr>
          <w:p>
            <w:pPr>
              <w:pStyle w:val="6"/>
              <w:spacing w:before="31" w:line="206" w:lineRule="auto"/>
              <w:ind w:left="742"/>
            </w:pPr>
            <w:r>
              <w:rPr>
                <w:spacing w:val="-3"/>
              </w:rPr>
              <w:t>浊度</w:t>
            </w:r>
          </w:p>
        </w:tc>
        <w:tc>
          <w:tcPr>
            <w:tcW w:w="1602" w:type="dxa"/>
            <w:vAlign w:val="top"/>
          </w:tcPr>
          <w:p>
            <w:pPr>
              <w:spacing w:before="73" w:line="184" w:lineRule="auto"/>
              <w:ind w:left="5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NTU</w:t>
            </w:r>
          </w:p>
        </w:tc>
        <w:tc>
          <w:tcPr>
            <w:tcW w:w="2234" w:type="dxa"/>
            <w:vAlign w:val="top"/>
          </w:tcPr>
          <w:p>
            <w:pPr>
              <w:spacing w:before="66" w:line="198" w:lineRule="auto"/>
              <w:ind w:left="10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w:t>
            </w:r>
          </w:p>
        </w:tc>
        <w:tc>
          <w:tcPr>
            <w:tcW w:w="2315" w:type="dxa"/>
            <w:vAlign w:val="top"/>
          </w:tcPr>
          <w:p>
            <w:pPr>
              <w:spacing w:before="66" w:line="198" w:lineRule="auto"/>
              <w:ind w:left="9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9" w:type="dxa"/>
            <w:vAlign w:val="top"/>
          </w:tcPr>
          <w:p>
            <w:pPr>
              <w:spacing w:before="73" w:line="184" w:lineRule="auto"/>
              <w:ind w:left="29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895" w:type="dxa"/>
            <w:vAlign w:val="top"/>
          </w:tcPr>
          <w:p>
            <w:pPr>
              <w:pStyle w:val="6"/>
              <w:spacing w:before="31" w:line="208" w:lineRule="auto"/>
              <w:ind w:left="217"/>
            </w:pPr>
            <w:r>
              <w:rPr>
                <w:spacing w:val="-2"/>
              </w:rPr>
              <w:t>五日生化需氧量</w:t>
            </w:r>
          </w:p>
        </w:tc>
        <w:tc>
          <w:tcPr>
            <w:tcW w:w="1602" w:type="dxa"/>
            <w:vAlign w:val="top"/>
          </w:tcPr>
          <w:p>
            <w:pPr>
              <w:spacing w:before="66" w:line="191" w:lineRule="auto"/>
              <w:ind w:left="5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2234" w:type="dxa"/>
            <w:vAlign w:val="top"/>
          </w:tcPr>
          <w:p>
            <w:pPr>
              <w:spacing w:before="66" w:line="200" w:lineRule="auto"/>
              <w:ind w:left="9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2315" w:type="dxa"/>
            <w:vAlign w:val="top"/>
          </w:tcPr>
          <w:p>
            <w:pPr>
              <w:spacing w:before="66" w:line="200" w:lineRule="auto"/>
              <w:ind w:left="9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9" w:type="dxa"/>
            <w:vAlign w:val="top"/>
          </w:tcPr>
          <w:p>
            <w:pPr>
              <w:spacing w:before="70" w:line="187" w:lineRule="auto"/>
              <w:ind w:left="294"/>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895" w:type="dxa"/>
            <w:vAlign w:val="top"/>
          </w:tcPr>
          <w:p>
            <w:pPr>
              <w:pStyle w:val="6"/>
              <w:spacing w:before="31" w:line="208" w:lineRule="auto"/>
              <w:ind w:left="740"/>
            </w:pPr>
            <w:r>
              <w:rPr>
                <w:spacing w:val="-2"/>
              </w:rPr>
              <w:t>氨氮</w:t>
            </w:r>
          </w:p>
        </w:tc>
        <w:tc>
          <w:tcPr>
            <w:tcW w:w="1602" w:type="dxa"/>
            <w:vAlign w:val="top"/>
          </w:tcPr>
          <w:p>
            <w:pPr>
              <w:spacing w:before="66" w:line="191" w:lineRule="auto"/>
              <w:ind w:left="5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2234" w:type="dxa"/>
            <w:vAlign w:val="top"/>
          </w:tcPr>
          <w:p>
            <w:pPr>
              <w:spacing w:before="66" w:line="200" w:lineRule="auto"/>
              <w:ind w:left="10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w:t>
            </w:r>
          </w:p>
        </w:tc>
        <w:tc>
          <w:tcPr>
            <w:tcW w:w="2315" w:type="dxa"/>
            <w:vAlign w:val="top"/>
          </w:tcPr>
          <w:p>
            <w:pPr>
              <w:spacing w:before="66" w:line="200" w:lineRule="auto"/>
              <w:ind w:left="10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679" w:type="dxa"/>
            <w:vAlign w:val="top"/>
          </w:tcPr>
          <w:p>
            <w:pPr>
              <w:spacing w:before="73" w:line="184"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895" w:type="dxa"/>
            <w:vAlign w:val="top"/>
          </w:tcPr>
          <w:p>
            <w:pPr>
              <w:pStyle w:val="6"/>
              <w:spacing w:before="31" w:line="205" w:lineRule="auto"/>
              <w:ind w:left="127"/>
            </w:pPr>
            <w:r>
              <w:rPr>
                <w:spacing w:val="-3"/>
              </w:rPr>
              <w:t>阴离子表面活性剂</w:t>
            </w:r>
          </w:p>
        </w:tc>
        <w:tc>
          <w:tcPr>
            <w:tcW w:w="1602" w:type="dxa"/>
            <w:vAlign w:val="top"/>
          </w:tcPr>
          <w:p>
            <w:pPr>
              <w:spacing w:before="66" w:line="191" w:lineRule="auto"/>
              <w:ind w:left="5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2234" w:type="dxa"/>
            <w:vAlign w:val="top"/>
          </w:tcPr>
          <w:p>
            <w:pPr>
              <w:spacing w:before="66" w:line="197" w:lineRule="auto"/>
              <w:ind w:left="9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c>
          <w:tcPr>
            <w:tcW w:w="2315" w:type="dxa"/>
            <w:vAlign w:val="top"/>
          </w:tcPr>
          <w:p>
            <w:pPr>
              <w:spacing w:before="66" w:line="197" w:lineRule="auto"/>
              <w:ind w:left="9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9" w:type="dxa"/>
            <w:vAlign w:val="top"/>
          </w:tcPr>
          <w:p>
            <w:pPr>
              <w:spacing w:before="71"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895" w:type="dxa"/>
            <w:vAlign w:val="top"/>
          </w:tcPr>
          <w:p>
            <w:pPr>
              <w:pStyle w:val="6"/>
              <w:spacing w:before="32" w:line="207" w:lineRule="auto"/>
              <w:ind w:left="322"/>
            </w:pPr>
            <w:r>
              <w:rPr>
                <w:spacing w:val="-2"/>
              </w:rPr>
              <w:t>溶解性总固体</w:t>
            </w:r>
          </w:p>
        </w:tc>
        <w:tc>
          <w:tcPr>
            <w:tcW w:w="1602" w:type="dxa"/>
            <w:vAlign w:val="top"/>
          </w:tcPr>
          <w:p>
            <w:pPr>
              <w:spacing w:before="67" w:line="191" w:lineRule="auto"/>
              <w:ind w:left="5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2234" w:type="dxa"/>
            <w:vAlign w:val="top"/>
          </w:tcPr>
          <w:p>
            <w:pPr>
              <w:pStyle w:val="6"/>
              <w:spacing w:before="32" w:line="207" w:lineRule="auto"/>
              <w:ind w:left="396"/>
              <w:rPr>
                <w:rFonts w:ascii="Times New Roman" w:hAnsi="Times New Roman" w:eastAsia="Times New Roman" w:cs="Times New Roman"/>
                <w:sz w:val="13"/>
                <w:szCs w:val="13"/>
              </w:rPr>
            </w:pPr>
            <w:r>
              <w:rPr>
                <w:rFonts w:ascii="Times New Roman" w:hAnsi="Times New Roman" w:eastAsia="Times New Roman" w:cs="Times New Roman"/>
              </w:rPr>
              <w:t>≤1000</w:t>
            </w:r>
            <w:r>
              <w:t>（</w:t>
            </w:r>
            <w:r>
              <w:rPr>
                <w:rFonts w:ascii="Times New Roman" w:hAnsi="Times New Roman" w:eastAsia="Times New Roman" w:cs="Times New Roman"/>
              </w:rPr>
              <w:t>2000</w:t>
            </w:r>
            <w:r>
              <w:t>）</w:t>
            </w:r>
            <w:r>
              <w:rPr>
                <w:rFonts w:ascii="Times New Roman" w:hAnsi="Times New Roman" w:eastAsia="Times New Roman" w:cs="Times New Roman"/>
                <w:position w:val="6"/>
                <w:sz w:val="13"/>
                <w:szCs w:val="13"/>
              </w:rPr>
              <w:t>a</w:t>
            </w:r>
          </w:p>
        </w:tc>
        <w:tc>
          <w:tcPr>
            <w:tcW w:w="2315" w:type="dxa"/>
            <w:vAlign w:val="top"/>
          </w:tcPr>
          <w:p>
            <w:pPr>
              <w:pStyle w:val="6"/>
              <w:spacing w:before="32" w:line="207" w:lineRule="auto"/>
              <w:ind w:left="438"/>
              <w:rPr>
                <w:rFonts w:ascii="Times New Roman" w:hAnsi="Times New Roman" w:eastAsia="Times New Roman" w:cs="Times New Roman"/>
                <w:sz w:val="13"/>
                <w:szCs w:val="13"/>
              </w:rPr>
            </w:pPr>
            <w:r>
              <w:rPr>
                <w:rFonts w:ascii="Times New Roman" w:hAnsi="Times New Roman" w:eastAsia="Times New Roman" w:cs="Times New Roman"/>
              </w:rPr>
              <w:t>≤1000</w:t>
            </w:r>
            <w:r>
              <w:t>（</w:t>
            </w:r>
            <w:r>
              <w:rPr>
                <w:rFonts w:ascii="Times New Roman" w:hAnsi="Times New Roman" w:eastAsia="Times New Roman" w:cs="Times New Roman"/>
              </w:rPr>
              <w:t>2000</w:t>
            </w:r>
            <w:r>
              <w:t>）</w:t>
            </w:r>
            <w:r>
              <w:rPr>
                <w:rFonts w:ascii="Times New Roman" w:hAnsi="Times New Roman" w:eastAsia="Times New Roman" w:cs="Times New Roman"/>
                <w:position w:val="6"/>
                <w:sz w:val="13"/>
                <w:szCs w:val="13"/>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79" w:type="dxa"/>
            <w:vAlign w:val="top"/>
          </w:tcPr>
          <w:p>
            <w:pPr>
              <w:spacing w:before="71" w:line="187"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895" w:type="dxa"/>
            <w:vAlign w:val="top"/>
          </w:tcPr>
          <w:p>
            <w:pPr>
              <w:pStyle w:val="6"/>
              <w:spacing w:before="32" w:line="205" w:lineRule="auto"/>
              <w:ind w:left="637"/>
            </w:pPr>
            <w:r>
              <w:rPr>
                <w:spacing w:val="-2"/>
              </w:rPr>
              <w:t>溶解氧</w:t>
            </w:r>
          </w:p>
        </w:tc>
        <w:tc>
          <w:tcPr>
            <w:tcW w:w="1602" w:type="dxa"/>
            <w:vAlign w:val="top"/>
          </w:tcPr>
          <w:p>
            <w:pPr>
              <w:spacing w:before="67" w:line="191" w:lineRule="auto"/>
              <w:ind w:left="5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2234" w:type="dxa"/>
            <w:vAlign w:val="top"/>
          </w:tcPr>
          <w:p>
            <w:pPr>
              <w:spacing w:before="67" w:line="197" w:lineRule="auto"/>
              <w:ind w:left="9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2315" w:type="dxa"/>
            <w:vAlign w:val="top"/>
          </w:tcPr>
          <w:p>
            <w:pPr>
              <w:spacing w:before="67" w:line="197" w:lineRule="auto"/>
              <w:ind w:left="9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79" w:type="dxa"/>
            <w:vAlign w:val="top"/>
          </w:tcPr>
          <w:p>
            <w:pPr>
              <w:spacing w:before="208"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895" w:type="dxa"/>
            <w:vAlign w:val="top"/>
          </w:tcPr>
          <w:p>
            <w:pPr>
              <w:pStyle w:val="6"/>
              <w:spacing w:before="169" w:line="222" w:lineRule="auto"/>
              <w:ind w:left="745"/>
            </w:pPr>
            <w:r>
              <w:rPr>
                <w:spacing w:val="-3"/>
              </w:rPr>
              <w:t>总氯</w:t>
            </w:r>
          </w:p>
        </w:tc>
        <w:tc>
          <w:tcPr>
            <w:tcW w:w="1602" w:type="dxa"/>
            <w:vAlign w:val="top"/>
          </w:tcPr>
          <w:p>
            <w:pPr>
              <w:spacing w:before="204" w:line="191" w:lineRule="auto"/>
              <w:ind w:left="5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2234" w:type="dxa"/>
            <w:vAlign w:val="top"/>
          </w:tcPr>
          <w:p>
            <w:pPr>
              <w:pStyle w:val="6"/>
              <w:spacing w:before="35" w:line="222" w:lineRule="auto"/>
              <w:ind w:left="716" w:right="127" w:hanging="576"/>
            </w:pPr>
            <w:r>
              <w:rPr>
                <w:rFonts w:ascii="Times New Roman" w:hAnsi="Times New Roman" w:eastAsia="Times New Roman" w:cs="Times New Roman"/>
                <w:spacing w:val="-4"/>
              </w:rPr>
              <w:t>1.0</w:t>
            </w:r>
            <w:r>
              <w:rPr>
                <w:spacing w:val="-4"/>
              </w:rPr>
              <w:t>（出厂</w:t>
            </w:r>
            <w:r>
              <w:rPr>
                <w:spacing w:val="-38"/>
              </w:rPr>
              <w:t>），</w:t>
            </w:r>
            <w:r>
              <w:rPr>
                <w:spacing w:val="-21"/>
              </w:rPr>
              <w:t xml:space="preserve"> </w:t>
            </w:r>
            <w:r>
              <w:rPr>
                <w:rFonts w:ascii="Times New Roman" w:hAnsi="Times New Roman" w:eastAsia="Times New Roman" w:cs="Times New Roman"/>
                <w:spacing w:val="-4"/>
              </w:rPr>
              <w:t>0.2</w:t>
            </w:r>
            <w:r>
              <w:rPr>
                <w:spacing w:val="-4"/>
              </w:rPr>
              <w:t>（管</w:t>
            </w:r>
            <w:r>
              <w:t xml:space="preserve"> </w:t>
            </w:r>
            <w:r>
              <w:rPr>
                <w:spacing w:val="-6"/>
              </w:rPr>
              <w:t>网末端）</w:t>
            </w:r>
          </w:p>
        </w:tc>
        <w:tc>
          <w:tcPr>
            <w:tcW w:w="2315" w:type="dxa"/>
            <w:vAlign w:val="top"/>
          </w:tcPr>
          <w:p>
            <w:pPr>
              <w:pStyle w:val="6"/>
              <w:spacing w:before="35" w:line="222" w:lineRule="auto"/>
              <w:ind w:left="757" w:right="133" w:hanging="612"/>
            </w:pPr>
            <w:r>
              <w:rPr>
                <w:rFonts w:ascii="Times New Roman" w:hAnsi="Times New Roman" w:eastAsia="Times New Roman" w:cs="Times New Roman"/>
                <w:spacing w:val="-3"/>
              </w:rPr>
              <w:t>1.0</w:t>
            </w:r>
            <w:r>
              <w:rPr>
                <w:spacing w:val="-3"/>
              </w:rPr>
              <w:t>（出厂</w:t>
            </w:r>
            <w:r>
              <w:rPr>
                <w:spacing w:val="-38"/>
              </w:rPr>
              <w:t>），</w:t>
            </w:r>
            <w:r>
              <w:rPr>
                <w:spacing w:val="-24"/>
              </w:rPr>
              <w:t xml:space="preserve"> </w:t>
            </w:r>
            <w:r>
              <w:rPr>
                <w:rFonts w:ascii="Times New Roman" w:hAnsi="Times New Roman" w:eastAsia="Times New Roman" w:cs="Times New Roman"/>
                <w:spacing w:val="-3"/>
              </w:rPr>
              <w:t>2.0</w:t>
            </w:r>
            <w:r>
              <w:rPr>
                <w:rFonts w:ascii="Times New Roman" w:hAnsi="Times New Roman" w:eastAsia="Times New Roman" w:cs="Times New Roman"/>
                <w:spacing w:val="-3"/>
                <w:position w:val="6"/>
                <w:sz w:val="13"/>
                <w:szCs w:val="13"/>
              </w:rPr>
              <w:t>b</w:t>
            </w:r>
            <w:r>
              <w:rPr>
                <w:rFonts w:ascii="Times New Roman" w:hAnsi="Times New Roman" w:eastAsia="Times New Roman" w:cs="Times New Roman"/>
                <w:spacing w:val="22"/>
                <w:position w:val="6"/>
                <w:sz w:val="13"/>
                <w:szCs w:val="13"/>
              </w:rPr>
              <w:t xml:space="preserve"> </w:t>
            </w:r>
            <w:r>
              <w:rPr>
                <w:spacing w:val="-30"/>
              </w:rPr>
              <w:t>（管</w:t>
            </w:r>
            <w:r>
              <w:t xml:space="preserve"> </w:t>
            </w:r>
            <w:r>
              <w:rPr>
                <w:spacing w:val="-6"/>
              </w:rPr>
              <w:t>网末端）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79" w:type="dxa"/>
            <w:vAlign w:val="top"/>
          </w:tcPr>
          <w:p>
            <w:pPr>
              <w:spacing w:before="72"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1895" w:type="dxa"/>
            <w:vAlign w:val="top"/>
          </w:tcPr>
          <w:p>
            <w:pPr>
              <w:pStyle w:val="6"/>
              <w:spacing w:before="33" w:line="204" w:lineRule="auto"/>
              <w:ind w:left="322"/>
            </w:pPr>
            <w:r>
              <w:rPr>
                <w:spacing w:val="-2"/>
              </w:rPr>
              <w:t>大肠埃希氏菌</w:t>
            </w:r>
          </w:p>
        </w:tc>
        <w:tc>
          <w:tcPr>
            <w:tcW w:w="1602" w:type="dxa"/>
            <w:vAlign w:val="top"/>
          </w:tcPr>
          <w:p>
            <w:pPr>
              <w:spacing w:before="69" w:line="190" w:lineRule="auto"/>
              <w:ind w:left="2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MPN/100mL</w:t>
            </w:r>
          </w:p>
        </w:tc>
        <w:tc>
          <w:tcPr>
            <w:tcW w:w="2234" w:type="dxa"/>
            <w:vAlign w:val="top"/>
          </w:tcPr>
          <w:p>
            <w:pPr>
              <w:pStyle w:val="6"/>
              <w:spacing w:before="33" w:line="204" w:lineRule="auto"/>
              <w:ind w:left="961"/>
              <w:rPr>
                <w:rFonts w:ascii="Times New Roman" w:hAnsi="Times New Roman" w:eastAsia="Times New Roman" w:cs="Times New Roman"/>
                <w:sz w:val="13"/>
                <w:szCs w:val="13"/>
              </w:rPr>
            </w:pPr>
            <w:r>
              <w:rPr>
                <w:spacing w:val="-5"/>
                <w:position w:val="-1"/>
              </w:rPr>
              <w:t>无</w:t>
            </w:r>
            <w:r>
              <w:rPr>
                <w:spacing w:val="-48"/>
                <w:position w:val="-1"/>
              </w:rPr>
              <w:t xml:space="preserve"> </w:t>
            </w:r>
            <w:r>
              <w:rPr>
                <w:rFonts w:ascii="Times New Roman" w:hAnsi="Times New Roman" w:eastAsia="Times New Roman" w:cs="Times New Roman"/>
                <w:spacing w:val="-5"/>
                <w:position w:val="5"/>
                <w:sz w:val="13"/>
                <w:szCs w:val="13"/>
              </w:rPr>
              <w:t>c</w:t>
            </w:r>
          </w:p>
        </w:tc>
        <w:tc>
          <w:tcPr>
            <w:tcW w:w="2315" w:type="dxa"/>
            <w:vAlign w:val="top"/>
          </w:tcPr>
          <w:p>
            <w:pPr>
              <w:pStyle w:val="6"/>
              <w:spacing w:before="33" w:line="204" w:lineRule="auto"/>
              <w:ind w:left="1002"/>
              <w:rPr>
                <w:rFonts w:ascii="Times New Roman" w:hAnsi="Times New Roman" w:eastAsia="Times New Roman" w:cs="Times New Roman"/>
                <w:sz w:val="13"/>
                <w:szCs w:val="13"/>
              </w:rPr>
            </w:pPr>
            <w:r>
              <w:rPr>
                <w:spacing w:val="-5"/>
                <w:position w:val="-1"/>
              </w:rPr>
              <w:t>无</w:t>
            </w:r>
            <w:r>
              <w:rPr>
                <w:spacing w:val="-48"/>
                <w:position w:val="-1"/>
              </w:rPr>
              <w:t xml:space="preserve"> </w:t>
            </w:r>
            <w:r>
              <w:rPr>
                <w:rFonts w:ascii="Times New Roman" w:hAnsi="Times New Roman" w:eastAsia="Times New Roman" w:cs="Times New Roman"/>
                <w:spacing w:val="-5"/>
                <w:position w:val="5"/>
                <w:sz w:val="13"/>
                <w:szCs w:val="13"/>
              </w:rPr>
              <w:t>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8725" w:type="dxa"/>
            <w:gridSpan w:val="5"/>
            <w:vAlign w:val="top"/>
          </w:tcPr>
          <w:p>
            <w:pPr>
              <w:pStyle w:val="6"/>
              <w:spacing w:before="33" w:line="234" w:lineRule="auto"/>
              <w:ind w:left="115"/>
            </w:pPr>
            <w:r>
              <w:rPr>
                <w:rFonts w:ascii="Times New Roman" w:hAnsi="Times New Roman" w:eastAsia="Times New Roman" w:cs="Times New Roman"/>
                <w:spacing w:val="-1"/>
              </w:rPr>
              <w:t xml:space="preserve">a </w:t>
            </w:r>
            <w:r>
              <w:rPr>
                <w:spacing w:val="-1"/>
              </w:rPr>
              <w:t>括号内指标值为沿海及本地水源中溶解性固体含量较高的区域的指标。</w:t>
            </w:r>
          </w:p>
          <w:p>
            <w:pPr>
              <w:pStyle w:val="6"/>
              <w:spacing w:before="7" w:line="239" w:lineRule="auto"/>
              <w:ind w:left="107"/>
              <w:rPr>
                <w:rFonts w:ascii="Times New Roman" w:hAnsi="Times New Roman" w:eastAsia="Times New Roman" w:cs="Times New Roman"/>
              </w:rPr>
            </w:pPr>
            <w:r>
              <w:rPr>
                <w:rFonts w:ascii="Times New Roman" w:hAnsi="Times New Roman" w:eastAsia="Times New Roman" w:cs="Times New Roman"/>
                <w:spacing w:val="-5"/>
              </w:rPr>
              <w:t xml:space="preserve">b  </w:t>
            </w:r>
            <w:r>
              <w:rPr>
                <w:spacing w:val="-5"/>
              </w:rPr>
              <w:t>用于城市绿化时， 不应超过</w:t>
            </w:r>
            <w:r>
              <w:rPr>
                <w:spacing w:val="-39"/>
              </w:rPr>
              <w:t xml:space="preserve"> </w:t>
            </w:r>
            <w:r>
              <w:rPr>
                <w:rFonts w:ascii="Times New Roman" w:hAnsi="Times New Roman" w:eastAsia="Times New Roman" w:cs="Times New Roman"/>
                <w:spacing w:val="-5"/>
              </w:rPr>
              <w:t>2.5mg/L</w:t>
            </w:r>
          </w:p>
          <w:p>
            <w:pPr>
              <w:pStyle w:val="6"/>
              <w:spacing w:line="209" w:lineRule="auto"/>
              <w:ind w:left="114"/>
            </w:pPr>
            <w:r>
              <w:rPr>
                <w:rFonts w:ascii="Times New Roman" w:hAnsi="Times New Roman" w:eastAsia="Times New Roman" w:cs="Times New Roman"/>
                <w:spacing w:val="-1"/>
              </w:rPr>
              <w:t xml:space="preserve">c  </w:t>
            </w:r>
            <w:r>
              <w:rPr>
                <w:spacing w:val="-1"/>
              </w:rPr>
              <w:t>大肠埃希氏菌不应检出。</w:t>
            </w:r>
          </w:p>
        </w:tc>
      </w:tr>
    </w:tbl>
    <w:p>
      <w:pPr>
        <w:pStyle w:val="2"/>
      </w:pPr>
    </w:p>
    <w:p>
      <w:pPr>
        <w:sectPr>
          <w:headerReference r:id="rId35" w:type="default"/>
          <w:footerReference r:id="rId36" w:type="default"/>
          <w:pgSz w:w="11907" w:h="16839"/>
          <w:pgMar w:top="1118" w:right="1586" w:bottom="1184" w:left="1589" w:header="879" w:footer="1024" w:gutter="0"/>
          <w:cols w:space="720" w:num="1"/>
        </w:sectPr>
      </w:pPr>
    </w:p>
    <w:p>
      <w:pPr>
        <w:pStyle w:val="2"/>
        <w:spacing w:line="278" w:lineRule="auto"/>
      </w:pPr>
    </w:p>
    <w:p>
      <w:pPr>
        <w:spacing w:before="78" w:line="220" w:lineRule="auto"/>
        <w:ind w:left="696"/>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、废气</w:t>
      </w:r>
    </w:p>
    <w:p>
      <w:pPr>
        <w:spacing w:before="182" w:line="359" w:lineRule="auto"/>
        <w:ind w:left="220" w:right="212" w:firstLine="480"/>
        <w:rPr>
          <w:rFonts w:ascii="宋体" w:hAnsi="宋体" w:eastAsia="宋体" w:cs="宋体"/>
          <w:sz w:val="24"/>
          <w:szCs w:val="24"/>
        </w:rPr>
      </w:pPr>
      <w:r>
        <w:rPr>
          <w:rFonts w:ascii="宋体" w:hAnsi="宋体" w:eastAsia="宋体" w:cs="宋体"/>
          <w:spacing w:val="-6"/>
          <w:sz w:val="24"/>
          <w:szCs w:val="24"/>
        </w:rPr>
        <w:t>本项目施工期不设置沥青拌和站，</w:t>
      </w:r>
      <w:r>
        <w:rPr>
          <w:rFonts w:ascii="宋体" w:hAnsi="宋体" w:eastAsia="宋体" w:cs="宋体"/>
          <w:spacing w:val="-27"/>
          <w:sz w:val="24"/>
          <w:szCs w:val="24"/>
        </w:rPr>
        <w:t xml:space="preserve"> </w:t>
      </w:r>
      <w:r>
        <w:rPr>
          <w:rFonts w:ascii="宋体" w:hAnsi="宋体" w:eastAsia="宋体" w:cs="宋体"/>
          <w:spacing w:val="-6"/>
          <w:sz w:val="24"/>
          <w:szCs w:val="24"/>
        </w:rPr>
        <w:t>沥青由景文高速公路建设的沥青拌合站供</w:t>
      </w:r>
      <w:r>
        <w:rPr>
          <w:rFonts w:ascii="宋体" w:hAnsi="宋体" w:eastAsia="宋体" w:cs="宋体"/>
          <w:sz w:val="24"/>
          <w:szCs w:val="24"/>
        </w:rPr>
        <w:t xml:space="preserve"> </w:t>
      </w:r>
      <w:r>
        <w:rPr>
          <w:rFonts w:ascii="宋体" w:hAnsi="宋体" w:eastAsia="宋体" w:cs="宋体"/>
          <w:spacing w:val="-6"/>
          <w:sz w:val="24"/>
          <w:szCs w:val="24"/>
        </w:rPr>
        <w:t>给，</w:t>
      </w:r>
      <w:r>
        <w:rPr>
          <w:rFonts w:ascii="宋体" w:hAnsi="宋体" w:eastAsia="宋体" w:cs="宋体"/>
          <w:spacing w:val="-58"/>
          <w:sz w:val="24"/>
          <w:szCs w:val="24"/>
        </w:rPr>
        <w:t xml:space="preserve"> </w:t>
      </w:r>
      <w:r>
        <w:rPr>
          <w:rFonts w:ascii="宋体" w:hAnsi="宋体" w:eastAsia="宋体" w:cs="宋体"/>
          <w:spacing w:val="-6"/>
          <w:sz w:val="24"/>
          <w:szCs w:val="24"/>
        </w:rPr>
        <w:t>施工期废气粉尘、机械和汽车尾气、沥青摊铺的烟气和苯并</w:t>
      </w:r>
      <w:r>
        <w:rPr>
          <w:rFonts w:ascii="Times New Roman" w:hAnsi="Times New Roman" w:eastAsia="Times New Roman" w:cs="Times New Roman"/>
          <w:spacing w:val="-6"/>
          <w:sz w:val="24"/>
          <w:szCs w:val="24"/>
        </w:rPr>
        <w:t>[α]</w:t>
      </w:r>
      <w:r>
        <w:rPr>
          <w:rFonts w:ascii="宋体" w:hAnsi="宋体" w:eastAsia="宋体" w:cs="宋体"/>
          <w:spacing w:val="-6"/>
          <w:sz w:val="24"/>
          <w:szCs w:val="24"/>
        </w:rPr>
        <w:t>芘等执行《大</w:t>
      </w:r>
      <w:r>
        <w:rPr>
          <w:rFonts w:ascii="宋体" w:hAnsi="宋体" w:eastAsia="宋体" w:cs="宋体"/>
          <w:sz w:val="24"/>
          <w:szCs w:val="24"/>
        </w:rPr>
        <w:t xml:space="preserve"> </w:t>
      </w:r>
      <w:r>
        <w:rPr>
          <w:rFonts w:ascii="宋体" w:hAnsi="宋体" w:eastAsia="宋体" w:cs="宋体"/>
          <w:spacing w:val="1"/>
          <w:sz w:val="24"/>
          <w:szCs w:val="24"/>
        </w:rPr>
        <w:t>气污染物综合排放标准》（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16297-</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1"/>
          <w:sz w:val="24"/>
          <w:szCs w:val="24"/>
        </w:rPr>
        <w:t>1996</w:t>
      </w:r>
      <w:r>
        <w:rPr>
          <w:rFonts w:ascii="宋体" w:hAnsi="宋体" w:eastAsia="宋体" w:cs="宋体"/>
          <w:spacing w:val="1"/>
          <w:sz w:val="24"/>
          <w:szCs w:val="24"/>
        </w:rPr>
        <w:t>）中新污染源二级标准；运营期汽车</w:t>
      </w:r>
      <w:r>
        <w:rPr>
          <w:rFonts w:ascii="宋体" w:hAnsi="宋体" w:eastAsia="宋体" w:cs="宋体"/>
          <w:sz w:val="24"/>
          <w:szCs w:val="24"/>
        </w:rPr>
        <w:t xml:space="preserve"> </w:t>
      </w:r>
      <w:r>
        <w:rPr>
          <w:rFonts w:ascii="宋体" w:hAnsi="宋体" w:eastAsia="宋体" w:cs="宋体"/>
          <w:spacing w:val="1"/>
          <w:sz w:val="24"/>
          <w:szCs w:val="24"/>
        </w:rPr>
        <w:t>尾气执行《大气污染物综合排放标准》（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16297-</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1"/>
          <w:sz w:val="24"/>
          <w:szCs w:val="24"/>
        </w:rPr>
        <w:t>1996</w:t>
      </w:r>
      <w:r>
        <w:rPr>
          <w:rFonts w:ascii="宋体" w:hAnsi="宋体" w:eastAsia="宋体" w:cs="宋体"/>
          <w:spacing w:val="1"/>
          <w:sz w:val="24"/>
          <w:szCs w:val="24"/>
        </w:rPr>
        <w:t>）无组织排放浓度限值</w:t>
      </w:r>
    </w:p>
    <w:p>
      <w:pPr>
        <w:spacing w:line="219" w:lineRule="auto"/>
        <w:ind w:left="221"/>
        <w:rPr>
          <w:rFonts w:ascii="宋体" w:hAnsi="宋体" w:eastAsia="宋体" w:cs="宋体"/>
          <w:sz w:val="24"/>
          <w:szCs w:val="24"/>
        </w:rPr>
      </w:pPr>
      <w:r>
        <w:rPr>
          <w:rFonts w:ascii="宋体" w:hAnsi="宋体" w:eastAsia="宋体" w:cs="宋体"/>
          <w:spacing w:val="-10"/>
          <w:sz w:val="24"/>
          <w:szCs w:val="24"/>
        </w:rPr>
        <w:t>要求， 具体见表</w:t>
      </w:r>
      <w:r>
        <w:rPr>
          <w:rFonts w:ascii="宋体" w:hAnsi="宋体" w:eastAsia="宋体" w:cs="宋体"/>
          <w:spacing w:val="-52"/>
          <w:sz w:val="24"/>
          <w:szCs w:val="24"/>
        </w:rPr>
        <w:t xml:space="preserve"> </w:t>
      </w:r>
      <w:r>
        <w:rPr>
          <w:rFonts w:ascii="Times New Roman" w:hAnsi="Times New Roman" w:eastAsia="Times New Roman" w:cs="Times New Roman"/>
          <w:spacing w:val="-10"/>
          <w:sz w:val="24"/>
          <w:szCs w:val="24"/>
        </w:rPr>
        <w:t>2.2-6</w:t>
      </w:r>
      <w:r>
        <w:rPr>
          <w:rFonts w:ascii="宋体" w:hAnsi="宋体" w:eastAsia="宋体" w:cs="宋体"/>
          <w:spacing w:val="-10"/>
          <w:sz w:val="24"/>
          <w:szCs w:val="24"/>
        </w:rPr>
        <w:t>。</w:t>
      </w:r>
    </w:p>
    <w:p>
      <w:pPr>
        <w:spacing w:before="180" w:line="220" w:lineRule="auto"/>
        <w:ind w:left="262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2.2-6        </w:t>
      </w:r>
      <w:r>
        <w:rPr>
          <w:rFonts w:ascii="宋体" w:hAnsi="宋体" w:eastAsia="宋体" w:cs="宋体"/>
          <w:spacing w:val="-1"/>
          <w:sz w:val="24"/>
          <w:szCs w:val="24"/>
        </w:rPr>
        <w:t>大气污染物综合排放标准</w:t>
      </w:r>
    </w:p>
    <w:p>
      <w:pPr>
        <w:spacing w:line="145" w:lineRule="exact"/>
      </w:pPr>
    </w:p>
    <w:tbl>
      <w:tblPr>
        <w:tblStyle w:val="5"/>
        <w:tblW w:w="8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2"/>
        <w:gridCol w:w="1787"/>
        <w:gridCol w:w="1742"/>
        <w:gridCol w:w="871"/>
        <w:gridCol w:w="1161"/>
        <w:gridCol w:w="17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372" w:type="dxa"/>
            <w:vMerge w:val="restart"/>
            <w:tcBorders>
              <w:bottom w:val="nil"/>
            </w:tcBorders>
            <w:vAlign w:val="top"/>
          </w:tcPr>
          <w:p>
            <w:pPr>
              <w:pStyle w:val="6"/>
              <w:spacing w:before="296" w:line="221" w:lineRule="auto"/>
              <w:ind w:left="376"/>
            </w:pPr>
            <w:r>
              <w:rPr>
                <w:spacing w:val="-2"/>
              </w:rPr>
              <w:t>污染物</w:t>
            </w:r>
          </w:p>
        </w:tc>
        <w:tc>
          <w:tcPr>
            <w:tcW w:w="1787" w:type="dxa"/>
            <w:vMerge w:val="restart"/>
            <w:tcBorders>
              <w:bottom w:val="nil"/>
            </w:tcBorders>
            <w:vAlign w:val="top"/>
          </w:tcPr>
          <w:p>
            <w:pPr>
              <w:pStyle w:val="6"/>
              <w:spacing w:before="116" w:line="265" w:lineRule="auto"/>
              <w:ind w:left="484" w:right="154" w:hanging="320"/>
              <w:rPr>
                <w:rFonts w:ascii="Times New Roman" w:hAnsi="Times New Roman" w:eastAsia="Times New Roman" w:cs="Times New Roman"/>
                <w:sz w:val="13"/>
                <w:szCs w:val="13"/>
              </w:rPr>
            </w:pPr>
            <w:r>
              <w:rPr>
                <w:spacing w:val="-2"/>
              </w:rPr>
              <w:t>最高允许排放浓</w:t>
            </w:r>
            <w:r>
              <w:rPr>
                <w:spacing w:val="5"/>
              </w:rPr>
              <w:t xml:space="preserve"> </w:t>
            </w:r>
            <w:r>
              <w:rPr>
                <w:spacing w:val="-1"/>
              </w:rPr>
              <w:t>度</w:t>
            </w:r>
            <w:r>
              <w:rPr>
                <w:spacing w:val="-49"/>
              </w:rPr>
              <w:t xml:space="preserve"> </w:t>
            </w:r>
            <w:r>
              <w:rPr>
                <w:rFonts w:ascii="Times New Roman" w:hAnsi="Times New Roman" w:eastAsia="Times New Roman" w:cs="Times New Roman"/>
                <w:spacing w:val="-1"/>
              </w:rPr>
              <w:t>mg/m</w:t>
            </w:r>
            <w:r>
              <w:rPr>
                <w:rFonts w:ascii="Times New Roman" w:hAnsi="Times New Roman" w:eastAsia="Times New Roman" w:cs="Times New Roman"/>
                <w:spacing w:val="-1"/>
                <w:position w:val="6"/>
                <w:sz w:val="13"/>
                <w:szCs w:val="13"/>
              </w:rPr>
              <w:t>3</w:t>
            </w:r>
          </w:p>
        </w:tc>
        <w:tc>
          <w:tcPr>
            <w:tcW w:w="2613" w:type="dxa"/>
            <w:gridSpan w:val="2"/>
            <w:vAlign w:val="top"/>
          </w:tcPr>
          <w:p>
            <w:pPr>
              <w:pStyle w:val="6"/>
              <w:spacing w:before="112" w:line="213" w:lineRule="auto"/>
              <w:ind w:left="260"/>
              <w:rPr>
                <w:rFonts w:ascii="Times New Roman" w:hAnsi="Times New Roman" w:eastAsia="Times New Roman" w:cs="Times New Roman"/>
              </w:rPr>
            </w:pPr>
            <w:r>
              <w:rPr>
                <w:spacing w:val="-1"/>
              </w:rPr>
              <w:t>最高允许排放速率</w:t>
            </w:r>
            <w:r>
              <w:rPr>
                <w:spacing w:val="-50"/>
              </w:rPr>
              <w:t xml:space="preserve"> </w:t>
            </w:r>
            <w:r>
              <w:rPr>
                <w:rFonts w:ascii="Times New Roman" w:hAnsi="Times New Roman" w:eastAsia="Times New Roman" w:cs="Times New Roman"/>
                <w:spacing w:val="-1"/>
              </w:rPr>
              <w:t>kg/h</w:t>
            </w:r>
          </w:p>
        </w:tc>
        <w:tc>
          <w:tcPr>
            <w:tcW w:w="2953" w:type="dxa"/>
            <w:gridSpan w:val="2"/>
            <w:vAlign w:val="top"/>
          </w:tcPr>
          <w:p>
            <w:pPr>
              <w:pStyle w:val="6"/>
              <w:spacing w:before="112" w:line="217" w:lineRule="auto"/>
              <w:ind w:left="327"/>
            </w:pPr>
            <w:r>
              <w:rPr>
                <w:spacing w:val="-1"/>
              </w:rPr>
              <w:t>无组织排放监控浓度限值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372" w:type="dxa"/>
            <w:vMerge w:val="continue"/>
            <w:tcBorders>
              <w:top w:val="nil"/>
            </w:tcBorders>
            <w:vAlign w:val="top"/>
          </w:tcPr>
          <w:p>
            <w:pPr>
              <w:rPr>
                <w:rFonts w:ascii="Arial"/>
                <w:sz w:val="21"/>
              </w:rPr>
            </w:pPr>
          </w:p>
        </w:tc>
        <w:tc>
          <w:tcPr>
            <w:tcW w:w="1787" w:type="dxa"/>
            <w:vMerge w:val="continue"/>
            <w:tcBorders>
              <w:top w:val="nil"/>
            </w:tcBorders>
            <w:vAlign w:val="top"/>
          </w:tcPr>
          <w:p>
            <w:pPr>
              <w:rPr>
                <w:rFonts w:ascii="Arial"/>
                <w:sz w:val="21"/>
              </w:rPr>
            </w:pPr>
          </w:p>
        </w:tc>
        <w:tc>
          <w:tcPr>
            <w:tcW w:w="1742" w:type="dxa"/>
            <w:vAlign w:val="top"/>
          </w:tcPr>
          <w:p>
            <w:pPr>
              <w:pStyle w:val="6"/>
              <w:spacing w:before="107" w:line="217" w:lineRule="auto"/>
              <w:ind w:left="243"/>
              <w:rPr>
                <w:rFonts w:ascii="Times New Roman" w:hAnsi="Times New Roman" w:eastAsia="Times New Roman" w:cs="Times New Roman"/>
              </w:rPr>
            </w:pPr>
            <w:r>
              <w:rPr>
                <w:spacing w:val="-2"/>
              </w:rPr>
              <w:t>排气筒高度</w:t>
            </w:r>
            <w:r>
              <w:rPr>
                <w:spacing w:val="-47"/>
              </w:rPr>
              <w:t xml:space="preserve"> </w:t>
            </w:r>
            <w:r>
              <w:rPr>
                <w:rFonts w:ascii="Times New Roman" w:hAnsi="Times New Roman" w:eastAsia="Times New Roman" w:cs="Times New Roman"/>
                <w:spacing w:val="-2"/>
              </w:rPr>
              <w:t>m</w:t>
            </w:r>
          </w:p>
        </w:tc>
        <w:tc>
          <w:tcPr>
            <w:tcW w:w="871" w:type="dxa"/>
            <w:vAlign w:val="top"/>
          </w:tcPr>
          <w:p>
            <w:pPr>
              <w:pStyle w:val="6"/>
              <w:spacing w:before="107" w:line="217" w:lineRule="auto"/>
              <w:ind w:left="232"/>
            </w:pPr>
            <w:r>
              <w:rPr>
                <w:spacing w:val="-3"/>
              </w:rPr>
              <w:t>二级</w:t>
            </w:r>
          </w:p>
        </w:tc>
        <w:tc>
          <w:tcPr>
            <w:tcW w:w="1161" w:type="dxa"/>
            <w:vAlign w:val="top"/>
          </w:tcPr>
          <w:p>
            <w:pPr>
              <w:pStyle w:val="6"/>
              <w:spacing w:before="107" w:line="217" w:lineRule="auto"/>
              <w:ind w:left="271"/>
            </w:pPr>
            <w:r>
              <w:rPr>
                <w:spacing w:val="-2"/>
              </w:rPr>
              <w:t>监控点</w:t>
            </w:r>
          </w:p>
        </w:tc>
        <w:tc>
          <w:tcPr>
            <w:tcW w:w="1792" w:type="dxa"/>
            <w:vAlign w:val="top"/>
          </w:tcPr>
          <w:p>
            <w:pPr>
              <w:pStyle w:val="6"/>
              <w:spacing w:before="107" w:line="213" w:lineRule="auto"/>
              <w:ind w:left="341"/>
              <w:rPr>
                <w:rFonts w:ascii="Times New Roman" w:hAnsi="Times New Roman" w:eastAsia="Times New Roman" w:cs="Times New Roman"/>
              </w:rPr>
            </w:pPr>
            <w:r>
              <w:rPr>
                <w:spacing w:val="-1"/>
              </w:rPr>
              <w:t>浓度</w:t>
            </w:r>
            <w:r>
              <w:rPr>
                <w:rFonts w:ascii="Times New Roman" w:hAnsi="Times New Roman" w:eastAsia="Times New Roman" w:cs="Times New Roman"/>
                <w:spacing w:val="-1"/>
              </w:rPr>
              <w:t>(mg/m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372" w:type="dxa"/>
            <w:vMerge w:val="restart"/>
            <w:tcBorders>
              <w:bottom w:val="nil"/>
            </w:tcBorders>
            <w:vAlign w:val="top"/>
          </w:tcPr>
          <w:p>
            <w:pPr>
              <w:spacing w:line="407" w:lineRule="auto"/>
              <w:rPr>
                <w:rFonts w:ascii="Arial"/>
                <w:sz w:val="21"/>
              </w:rPr>
            </w:pPr>
          </w:p>
          <w:p>
            <w:pPr>
              <w:pStyle w:val="6"/>
              <w:spacing w:before="68" w:line="221" w:lineRule="auto"/>
              <w:ind w:left="374"/>
            </w:pPr>
            <w:r>
              <w:rPr>
                <w:spacing w:val="-1"/>
              </w:rPr>
              <w:t>颗粒物</w:t>
            </w:r>
          </w:p>
        </w:tc>
        <w:tc>
          <w:tcPr>
            <w:tcW w:w="1787" w:type="dxa"/>
            <w:vMerge w:val="restart"/>
            <w:tcBorders>
              <w:bottom w:val="nil"/>
            </w:tcBorders>
            <w:vAlign w:val="top"/>
          </w:tcPr>
          <w:p>
            <w:pPr>
              <w:spacing w:line="274" w:lineRule="auto"/>
              <w:rPr>
                <w:rFonts w:ascii="Arial"/>
                <w:sz w:val="21"/>
              </w:rPr>
            </w:pPr>
          </w:p>
          <w:p>
            <w:pPr>
              <w:spacing w:before="60" w:line="187" w:lineRule="auto"/>
              <w:ind w:left="75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p>
            <w:pPr>
              <w:pStyle w:val="6"/>
              <w:spacing w:before="133" w:line="221" w:lineRule="auto"/>
              <w:ind w:left="483"/>
            </w:pPr>
            <w:r>
              <w:rPr>
                <w:spacing w:val="-5"/>
              </w:rPr>
              <w:t>（其他）</w:t>
            </w:r>
          </w:p>
        </w:tc>
        <w:tc>
          <w:tcPr>
            <w:tcW w:w="1742" w:type="dxa"/>
            <w:vAlign w:val="top"/>
          </w:tcPr>
          <w:p>
            <w:pPr>
              <w:spacing w:before="146" w:line="187" w:lineRule="auto"/>
              <w:ind w:left="78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871" w:type="dxa"/>
            <w:vAlign w:val="top"/>
          </w:tcPr>
          <w:p>
            <w:pPr>
              <w:spacing w:before="146"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161" w:type="dxa"/>
            <w:vMerge w:val="restart"/>
            <w:tcBorders>
              <w:bottom w:val="nil"/>
            </w:tcBorders>
            <w:vAlign w:val="top"/>
          </w:tcPr>
          <w:p>
            <w:pPr>
              <w:pStyle w:val="6"/>
              <w:spacing w:before="296" w:line="269" w:lineRule="auto"/>
              <w:ind w:left="166" w:right="154" w:firstLine="1"/>
            </w:pPr>
            <w:r>
              <w:rPr>
                <w:spacing w:val="-2"/>
              </w:rPr>
              <w:t>周界外浓</w:t>
            </w:r>
            <w:r>
              <w:t xml:space="preserve"> </w:t>
            </w:r>
            <w:r>
              <w:rPr>
                <w:spacing w:val="-2"/>
              </w:rPr>
              <w:t>度最高点</w:t>
            </w:r>
          </w:p>
        </w:tc>
        <w:tc>
          <w:tcPr>
            <w:tcW w:w="1792" w:type="dxa"/>
            <w:vMerge w:val="restart"/>
            <w:tcBorders>
              <w:bottom w:val="nil"/>
            </w:tcBorders>
            <w:vAlign w:val="top"/>
          </w:tcPr>
          <w:p>
            <w:pPr>
              <w:spacing w:line="452" w:lineRule="auto"/>
              <w:rPr>
                <w:rFonts w:ascii="Arial"/>
                <w:sz w:val="21"/>
              </w:rPr>
            </w:pPr>
          </w:p>
          <w:p>
            <w:pPr>
              <w:spacing w:before="61" w:line="187" w:lineRule="auto"/>
              <w:ind w:left="78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372" w:type="dxa"/>
            <w:vMerge w:val="continue"/>
            <w:tcBorders>
              <w:top w:val="nil"/>
              <w:bottom w:val="nil"/>
            </w:tcBorders>
            <w:vAlign w:val="top"/>
          </w:tcPr>
          <w:p>
            <w:pPr>
              <w:rPr>
                <w:rFonts w:ascii="Arial"/>
                <w:sz w:val="21"/>
              </w:rPr>
            </w:pPr>
          </w:p>
        </w:tc>
        <w:tc>
          <w:tcPr>
            <w:tcW w:w="1787" w:type="dxa"/>
            <w:vMerge w:val="continue"/>
            <w:tcBorders>
              <w:top w:val="nil"/>
              <w:bottom w:val="nil"/>
            </w:tcBorders>
            <w:vAlign w:val="top"/>
          </w:tcPr>
          <w:p>
            <w:pPr>
              <w:rPr>
                <w:rFonts w:ascii="Arial"/>
                <w:sz w:val="21"/>
              </w:rPr>
            </w:pPr>
          </w:p>
        </w:tc>
        <w:tc>
          <w:tcPr>
            <w:tcW w:w="1742" w:type="dxa"/>
            <w:vAlign w:val="top"/>
          </w:tcPr>
          <w:p>
            <w:pPr>
              <w:spacing w:before="147" w:line="187" w:lineRule="auto"/>
              <w:ind w:left="7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871" w:type="dxa"/>
            <w:vAlign w:val="top"/>
          </w:tcPr>
          <w:p>
            <w:pPr>
              <w:spacing w:before="147"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w:t>
            </w:r>
          </w:p>
        </w:tc>
        <w:tc>
          <w:tcPr>
            <w:tcW w:w="1161" w:type="dxa"/>
            <w:vMerge w:val="continue"/>
            <w:tcBorders>
              <w:top w:val="nil"/>
              <w:bottom w:val="nil"/>
            </w:tcBorders>
            <w:vAlign w:val="top"/>
          </w:tcPr>
          <w:p>
            <w:pPr>
              <w:rPr>
                <w:rFonts w:ascii="Arial"/>
                <w:sz w:val="21"/>
              </w:rPr>
            </w:pPr>
          </w:p>
        </w:tc>
        <w:tc>
          <w:tcPr>
            <w:tcW w:w="179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372" w:type="dxa"/>
            <w:vMerge w:val="continue"/>
            <w:tcBorders>
              <w:top w:val="nil"/>
            </w:tcBorders>
            <w:vAlign w:val="top"/>
          </w:tcPr>
          <w:p>
            <w:pPr>
              <w:rPr>
                <w:rFonts w:ascii="Arial"/>
                <w:sz w:val="21"/>
              </w:rPr>
            </w:pPr>
          </w:p>
        </w:tc>
        <w:tc>
          <w:tcPr>
            <w:tcW w:w="1787" w:type="dxa"/>
            <w:vMerge w:val="continue"/>
            <w:tcBorders>
              <w:top w:val="nil"/>
            </w:tcBorders>
            <w:vAlign w:val="top"/>
          </w:tcPr>
          <w:p>
            <w:pPr>
              <w:rPr>
                <w:rFonts w:ascii="Arial"/>
                <w:sz w:val="21"/>
              </w:rPr>
            </w:pPr>
          </w:p>
        </w:tc>
        <w:tc>
          <w:tcPr>
            <w:tcW w:w="1742" w:type="dxa"/>
            <w:vAlign w:val="top"/>
          </w:tcPr>
          <w:p>
            <w:pPr>
              <w:spacing w:before="150" w:line="187" w:lineRule="auto"/>
              <w:ind w:left="7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871" w:type="dxa"/>
            <w:vAlign w:val="top"/>
          </w:tcPr>
          <w:p>
            <w:pPr>
              <w:spacing w:before="150" w:line="187"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1161" w:type="dxa"/>
            <w:vMerge w:val="continue"/>
            <w:tcBorders>
              <w:top w:val="nil"/>
            </w:tcBorders>
            <w:vAlign w:val="top"/>
          </w:tcPr>
          <w:p>
            <w:pPr>
              <w:rPr>
                <w:rFonts w:ascii="Arial"/>
                <w:sz w:val="21"/>
              </w:rPr>
            </w:pPr>
          </w:p>
        </w:tc>
        <w:tc>
          <w:tcPr>
            <w:tcW w:w="179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72" w:type="dxa"/>
            <w:vAlign w:val="top"/>
          </w:tcPr>
          <w:p>
            <w:pPr>
              <w:spacing w:before="209" w:line="196" w:lineRule="auto"/>
              <w:ind w:left="526"/>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1"/>
                <w:sz w:val="13"/>
                <w:szCs w:val="13"/>
              </w:rPr>
              <w:t>2</w:t>
            </w:r>
          </w:p>
        </w:tc>
        <w:tc>
          <w:tcPr>
            <w:tcW w:w="1787" w:type="dxa"/>
            <w:vAlign w:val="top"/>
          </w:tcPr>
          <w:p>
            <w:pPr>
              <w:spacing w:before="205" w:line="233" w:lineRule="auto"/>
              <w:ind w:left="8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42" w:type="dxa"/>
            <w:vAlign w:val="top"/>
          </w:tcPr>
          <w:p>
            <w:pPr>
              <w:spacing w:before="205" w:line="233" w:lineRule="auto"/>
              <w:ind w:left="83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205" w:line="233" w:lineRule="auto"/>
              <w:ind w:left="40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61" w:type="dxa"/>
            <w:vAlign w:val="top"/>
          </w:tcPr>
          <w:p>
            <w:pPr>
              <w:pStyle w:val="6"/>
              <w:spacing w:before="33" w:line="222" w:lineRule="auto"/>
              <w:ind w:left="166" w:right="154" w:firstLine="1"/>
            </w:pPr>
            <w:r>
              <w:rPr>
                <w:spacing w:val="-2"/>
              </w:rPr>
              <w:t>周界外浓</w:t>
            </w:r>
            <w:r>
              <w:t xml:space="preserve"> </w:t>
            </w:r>
            <w:r>
              <w:rPr>
                <w:spacing w:val="-2"/>
              </w:rPr>
              <w:t>度最高点</w:t>
            </w:r>
          </w:p>
        </w:tc>
        <w:tc>
          <w:tcPr>
            <w:tcW w:w="1792" w:type="dxa"/>
            <w:vAlign w:val="top"/>
          </w:tcPr>
          <w:p>
            <w:pPr>
              <w:spacing w:before="208" w:line="187" w:lineRule="auto"/>
              <w:ind w:left="7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72" w:type="dxa"/>
            <w:vAlign w:val="top"/>
          </w:tcPr>
          <w:p>
            <w:pPr>
              <w:spacing w:before="209"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NOx</w:t>
            </w:r>
          </w:p>
        </w:tc>
        <w:tc>
          <w:tcPr>
            <w:tcW w:w="1787" w:type="dxa"/>
            <w:vAlign w:val="top"/>
          </w:tcPr>
          <w:p>
            <w:pPr>
              <w:spacing w:before="205" w:line="233" w:lineRule="auto"/>
              <w:ind w:left="8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42" w:type="dxa"/>
            <w:vAlign w:val="top"/>
          </w:tcPr>
          <w:p>
            <w:pPr>
              <w:spacing w:before="205" w:line="233" w:lineRule="auto"/>
              <w:ind w:left="83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205" w:line="233" w:lineRule="auto"/>
              <w:ind w:left="40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61" w:type="dxa"/>
            <w:vAlign w:val="top"/>
          </w:tcPr>
          <w:p>
            <w:pPr>
              <w:pStyle w:val="6"/>
              <w:spacing w:before="33" w:line="222" w:lineRule="auto"/>
              <w:ind w:left="166" w:right="154" w:firstLine="1"/>
            </w:pPr>
            <w:r>
              <w:rPr>
                <w:spacing w:val="-2"/>
              </w:rPr>
              <w:t>周界外浓</w:t>
            </w:r>
            <w:r>
              <w:t xml:space="preserve"> </w:t>
            </w:r>
            <w:r>
              <w:rPr>
                <w:spacing w:val="-2"/>
              </w:rPr>
              <w:t>度最高点</w:t>
            </w:r>
          </w:p>
        </w:tc>
        <w:tc>
          <w:tcPr>
            <w:tcW w:w="1792" w:type="dxa"/>
            <w:vAlign w:val="top"/>
          </w:tcPr>
          <w:p>
            <w:pPr>
              <w:spacing w:before="209" w:line="187" w:lineRule="auto"/>
              <w:ind w:left="7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72" w:type="dxa"/>
            <w:vAlign w:val="top"/>
          </w:tcPr>
          <w:p>
            <w:pPr>
              <w:pStyle w:val="6"/>
              <w:spacing w:before="170" w:line="217" w:lineRule="auto"/>
              <w:ind w:left="252"/>
            </w:pPr>
            <w:r>
              <w:rPr>
                <w:spacing w:val="-2"/>
              </w:rPr>
              <w:t>苯并</w:t>
            </w:r>
            <w:r>
              <w:rPr>
                <w:rFonts w:ascii="Times New Roman" w:hAnsi="Times New Roman" w:eastAsia="Times New Roman" w:cs="Times New Roman"/>
                <w:spacing w:val="-2"/>
              </w:rPr>
              <w:t>[α]</w:t>
            </w:r>
            <w:r>
              <w:rPr>
                <w:spacing w:val="-2"/>
              </w:rPr>
              <w:t>芘</w:t>
            </w:r>
          </w:p>
        </w:tc>
        <w:tc>
          <w:tcPr>
            <w:tcW w:w="1787" w:type="dxa"/>
            <w:vAlign w:val="top"/>
          </w:tcPr>
          <w:p>
            <w:pPr>
              <w:spacing w:before="206" w:line="233" w:lineRule="auto"/>
              <w:ind w:left="8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42" w:type="dxa"/>
            <w:vAlign w:val="top"/>
          </w:tcPr>
          <w:p>
            <w:pPr>
              <w:spacing w:before="206" w:line="233" w:lineRule="auto"/>
              <w:ind w:left="83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206" w:line="233" w:lineRule="auto"/>
              <w:ind w:left="40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61" w:type="dxa"/>
            <w:vAlign w:val="top"/>
          </w:tcPr>
          <w:p>
            <w:pPr>
              <w:pStyle w:val="6"/>
              <w:spacing w:before="33" w:line="222" w:lineRule="auto"/>
              <w:ind w:left="166" w:right="154" w:firstLine="1"/>
            </w:pPr>
            <w:r>
              <w:rPr>
                <w:spacing w:val="-2"/>
              </w:rPr>
              <w:t>周界外浓</w:t>
            </w:r>
            <w:r>
              <w:t xml:space="preserve"> </w:t>
            </w:r>
            <w:r>
              <w:rPr>
                <w:spacing w:val="-2"/>
              </w:rPr>
              <w:t>度最高点</w:t>
            </w:r>
          </w:p>
        </w:tc>
        <w:tc>
          <w:tcPr>
            <w:tcW w:w="1792" w:type="dxa"/>
            <w:vAlign w:val="top"/>
          </w:tcPr>
          <w:p>
            <w:pPr>
              <w:spacing w:before="188" w:line="208" w:lineRule="auto"/>
              <w:ind w:left="410"/>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0.008μg/m</w:t>
            </w:r>
            <w:r>
              <w:rPr>
                <w:rFonts w:ascii="Times New Roman" w:hAnsi="Times New Roman" w:eastAsia="Times New Roman" w:cs="Times New Roman"/>
                <w:spacing w:val="-1"/>
                <w:position w:val="6"/>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372" w:type="dxa"/>
            <w:vAlign w:val="top"/>
          </w:tcPr>
          <w:p>
            <w:pPr>
              <w:pStyle w:val="6"/>
              <w:spacing w:before="112" w:line="217" w:lineRule="auto"/>
              <w:ind w:left="375"/>
            </w:pPr>
            <w:r>
              <w:rPr>
                <w:spacing w:val="-2"/>
              </w:rPr>
              <w:t>沥青烟</w:t>
            </w:r>
          </w:p>
        </w:tc>
        <w:tc>
          <w:tcPr>
            <w:tcW w:w="1787" w:type="dxa"/>
            <w:vAlign w:val="top"/>
          </w:tcPr>
          <w:p>
            <w:pPr>
              <w:pStyle w:val="6"/>
              <w:spacing w:before="112" w:line="217" w:lineRule="auto"/>
              <w:ind w:left="476"/>
            </w:pPr>
            <w:r>
              <w:rPr>
                <w:spacing w:val="-2"/>
              </w:rPr>
              <w:t>沥青摊铺</w:t>
            </w:r>
          </w:p>
        </w:tc>
        <w:tc>
          <w:tcPr>
            <w:tcW w:w="5566" w:type="dxa"/>
            <w:gridSpan w:val="4"/>
            <w:vAlign w:val="top"/>
          </w:tcPr>
          <w:p>
            <w:pPr>
              <w:pStyle w:val="6"/>
              <w:spacing w:before="112" w:line="217" w:lineRule="auto"/>
              <w:ind w:left="1212"/>
            </w:pPr>
            <w:r>
              <w:rPr>
                <w:spacing w:val="-1"/>
              </w:rPr>
              <w:t>生产不得有明显的无组织排放存在</w:t>
            </w:r>
          </w:p>
        </w:tc>
      </w:tr>
    </w:tbl>
    <w:p>
      <w:pPr>
        <w:spacing w:before="193" w:line="220" w:lineRule="auto"/>
        <w:ind w:left="700"/>
        <w:rPr>
          <w:rFonts w:ascii="宋体" w:hAnsi="宋体" w:eastAsia="宋体" w:cs="宋体"/>
          <w:sz w:val="24"/>
          <w:szCs w:val="24"/>
        </w:rPr>
      </w:pPr>
      <w:r>
        <w:rPr>
          <w:rFonts w:ascii="Times New Roman" w:hAnsi="Times New Roman" w:eastAsia="Times New Roman" w:cs="Times New Roman"/>
          <w:spacing w:val="-6"/>
          <w:sz w:val="24"/>
          <w:szCs w:val="24"/>
        </w:rPr>
        <w:t>3</w:t>
      </w:r>
      <w:r>
        <w:rPr>
          <w:rFonts w:ascii="宋体" w:hAnsi="宋体" w:eastAsia="宋体" w:cs="宋体"/>
          <w:spacing w:val="-6"/>
          <w:sz w:val="24"/>
          <w:szCs w:val="24"/>
        </w:rPr>
        <w:t>、噪声</w:t>
      </w:r>
    </w:p>
    <w:p>
      <w:pPr>
        <w:spacing w:before="182" w:line="359" w:lineRule="auto"/>
        <w:ind w:left="227" w:right="219" w:firstLine="472"/>
        <w:rPr>
          <w:rFonts w:ascii="宋体" w:hAnsi="宋体" w:eastAsia="宋体" w:cs="宋体"/>
          <w:sz w:val="24"/>
          <w:szCs w:val="24"/>
        </w:rPr>
      </w:pPr>
      <w:r>
        <w:rPr>
          <w:rFonts w:ascii="宋体" w:hAnsi="宋体" w:eastAsia="宋体" w:cs="宋体"/>
          <w:spacing w:val="4"/>
          <w:sz w:val="24"/>
          <w:szCs w:val="24"/>
        </w:rPr>
        <w:t>施工期过程中场界噪声排放限值执行《建筑施工场界环境噪声排放标准》</w:t>
      </w:r>
      <w:r>
        <w:rPr>
          <w:rFonts w:ascii="宋体" w:hAnsi="宋体" w:eastAsia="宋体" w:cs="宋体"/>
          <w:spacing w:val="2"/>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12523-2011</w:t>
      </w:r>
      <w:r>
        <w:rPr>
          <w:rFonts w:ascii="宋体" w:hAnsi="宋体" w:eastAsia="宋体" w:cs="宋体"/>
          <w:spacing w:val="2"/>
          <w:sz w:val="24"/>
          <w:szCs w:val="24"/>
        </w:rPr>
        <w:t>）中的噪声限值。本项目振动参</w:t>
      </w:r>
      <w:r>
        <w:rPr>
          <w:rFonts w:ascii="宋体" w:hAnsi="宋体" w:eastAsia="宋体" w:cs="宋体"/>
          <w:spacing w:val="1"/>
          <w:sz w:val="24"/>
          <w:szCs w:val="24"/>
        </w:rPr>
        <w:t>照《城市区域环境振动标准》</w:t>
      </w:r>
    </w:p>
    <w:p>
      <w:pPr>
        <w:spacing w:line="212" w:lineRule="auto"/>
        <w:ind w:left="22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GB10070-88)</w:t>
      </w:r>
      <w:r>
        <w:rPr>
          <w:rFonts w:ascii="宋体" w:hAnsi="宋体" w:eastAsia="宋体" w:cs="宋体"/>
          <w:spacing w:val="-3"/>
          <w:sz w:val="24"/>
          <w:szCs w:val="24"/>
        </w:rPr>
        <w:t>执行， 爆破时参照《爆破安全规程》（</w:t>
      </w:r>
      <w:r>
        <w:rPr>
          <w:rFonts w:ascii="Times New Roman" w:hAnsi="Times New Roman" w:eastAsia="Times New Roman" w:cs="Times New Roman"/>
          <w:spacing w:val="-3"/>
          <w:sz w:val="24"/>
          <w:szCs w:val="24"/>
        </w:rPr>
        <w:t>GB6722-</w:t>
      </w:r>
      <w:r>
        <w:rPr>
          <w:rFonts w:ascii="Times New Roman" w:hAnsi="Times New Roman" w:eastAsia="Times New Roman" w:cs="Times New Roman"/>
          <w:spacing w:val="-4"/>
          <w:sz w:val="24"/>
          <w:szCs w:val="24"/>
        </w:rPr>
        <w:t>2014)</w:t>
      </w:r>
      <w:r>
        <w:rPr>
          <w:rFonts w:ascii="宋体" w:hAnsi="宋体" w:eastAsia="宋体" w:cs="宋体"/>
          <w:spacing w:val="-4"/>
          <w:sz w:val="24"/>
          <w:szCs w:val="24"/>
        </w:rPr>
        <w:t>。</w:t>
      </w:r>
    </w:p>
    <w:p>
      <w:pPr>
        <w:spacing w:before="190" w:line="220" w:lineRule="auto"/>
        <w:ind w:left="1225"/>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2.2-7        </w:t>
      </w:r>
      <w:r>
        <w:rPr>
          <w:rFonts w:ascii="宋体" w:hAnsi="宋体" w:eastAsia="宋体" w:cs="宋体"/>
          <w:spacing w:val="-3"/>
          <w:sz w:val="24"/>
          <w:szCs w:val="24"/>
        </w:rPr>
        <w:t xml:space="preserve">建筑施工场界环境噪声排放标准   </w:t>
      </w:r>
      <w:r>
        <w:rPr>
          <w:rFonts w:ascii="宋体" w:hAnsi="宋体" w:eastAsia="宋体" w:cs="宋体"/>
          <w:spacing w:val="-4"/>
          <w:sz w:val="24"/>
          <w:szCs w:val="24"/>
        </w:rPr>
        <w:t xml:space="preserve"> 单位： </w:t>
      </w:r>
      <w:r>
        <w:rPr>
          <w:rFonts w:ascii="Times New Roman" w:hAnsi="Times New Roman" w:eastAsia="Times New Roman" w:cs="Times New Roman"/>
          <w:spacing w:val="-4"/>
          <w:sz w:val="24"/>
          <w:szCs w:val="24"/>
        </w:rPr>
        <w:t>dB</w:t>
      </w:r>
      <w:r>
        <w:rPr>
          <w:rFonts w:ascii="宋体" w:hAnsi="宋体" w:eastAsia="宋体" w:cs="宋体"/>
          <w:spacing w:val="-4"/>
          <w:sz w:val="24"/>
          <w:szCs w:val="24"/>
        </w:rPr>
        <w:t>（</w:t>
      </w:r>
      <w:r>
        <w:rPr>
          <w:rFonts w:ascii="Times New Roman" w:hAnsi="Times New Roman" w:eastAsia="Times New Roman" w:cs="Times New Roman"/>
          <w:spacing w:val="-4"/>
          <w:sz w:val="24"/>
          <w:szCs w:val="24"/>
        </w:rPr>
        <w:t>A</w:t>
      </w:r>
      <w:r>
        <w:rPr>
          <w:rFonts w:ascii="宋体" w:hAnsi="宋体" w:eastAsia="宋体" w:cs="宋体"/>
          <w:spacing w:val="-4"/>
          <w:sz w:val="24"/>
          <w:szCs w:val="24"/>
        </w:rPr>
        <w:t>）</w:t>
      </w:r>
    </w:p>
    <w:p>
      <w:pPr>
        <w:spacing w:line="145" w:lineRule="exact"/>
      </w:pPr>
    </w:p>
    <w:tbl>
      <w:tblPr>
        <w:tblStyle w:val="5"/>
        <w:tblW w:w="8528"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4263" w:type="dxa"/>
            <w:vAlign w:val="top"/>
          </w:tcPr>
          <w:p>
            <w:pPr>
              <w:pStyle w:val="6"/>
              <w:spacing w:before="80" w:line="208" w:lineRule="auto"/>
              <w:ind w:left="1927"/>
            </w:pPr>
            <w:r>
              <w:rPr>
                <w:spacing w:val="-2"/>
              </w:rPr>
              <w:t>昼间</w:t>
            </w:r>
          </w:p>
        </w:tc>
        <w:tc>
          <w:tcPr>
            <w:tcW w:w="4265" w:type="dxa"/>
            <w:vAlign w:val="top"/>
          </w:tcPr>
          <w:p>
            <w:pPr>
              <w:pStyle w:val="6"/>
              <w:spacing w:before="80" w:line="208" w:lineRule="auto"/>
              <w:ind w:left="1929"/>
            </w:pPr>
            <w:r>
              <w:rPr>
                <w:spacing w:val="-3"/>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263" w:type="dxa"/>
            <w:vAlign w:val="top"/>
          </w:tcPr>
          <w:p>
            <w:pPr>
              <w:spacing w:before="118" w:line="187" w:lineRule="auto"/>
              <w:ind w:left="20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4265" w:type="dxa"/>
            <w:vAlign w:val="top"/>
          </w:tcPr>
          <w:p>
            <w:pPr>
              <w:spacing w:before="121" w:line="184" w:lineRule="auto"/>
              <w:ind w:left="203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8528" w:type="dxa"/>
            <w:gridSpan w:val="2"/>
            <w:vAlign w:val="top"/>
          </w:tcPr>
          <w:p>
            <w:pPr>
              <w:pStyle w:val="6"/>
              <w:spacing w:before="77" w:line="219" w:lineRule="auto"/>
              <w:ind w:left="10"/>
            </w:pPr>
            <w:r>
              <w:rPr>
                <w:spacing w:val="-1"/>
              </w:rPr>
              <w:t>注：夜间噪声最大声级超过限值的幅度不得高于</w:t>
            </w:r>
            <w:r>
              <w:rPr>
                <w:spacing w:val="-28"/>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
              </w:rPr>
              <w:t>5dB</w:t>
            </w:r>
            <w:r>
              <w:rPr>
                <w:spacing w:val="-2"/>
              </w:rPr>
              <w:t>（</w:t>
            </w:r>
            <w:r>
              <w:rPr>
                <w:rFonts w:ascii="Times New Roman" w:hAnsi="Times New Roman" w:eastAsia="Times New Roman" w:cs="Times New Roman"/>
                <w:spacing w:val="-2"/>
              </w:rPr>
              <w:t>A</w:t>
            </w:r>
            <w:r>
              <w:rPr>
                <w:spacing w:val="-12"/>
              </w:rPr>
              <w:t>）；</w:t>
            </w:r>
          </w:p>
          <w:p>
            <w:pPr>
              <w:pStyle w:val="6"/>
              <w:spacing w:before="69" w:line="246" w:lineRule="auto"/>
              <w:ind w:left="15" w:firstLine="427"/>
            </w:pPr>
            <w:r>
              <w:rPr>
                <w:spacing w:val="-8"/>
              </w:rPr>
              <w:t>当场界距噪声敏感建筑物较近，其室外不满足测量条件时，可在噪声敏感建筑物室内测</w:t>
            </w:r>
            <w:r>
              <w:rPr>
                <w:spacing w:val="-9"/>
              </w:rPr>
              <w:t>量，</w:t>
            </w:r>
            <w:r>
              <w:t xml:space="preserve"> </w:t>
            </w:r>
            <w:r>
              <w:rPr>
                <w:spacing w:val="-3"/>
              </w:rPr>
              <w:t>并将表内中相应的限值减</w:t>
            </w:r>
            <w:r>
              <w:rPr>
                <w:spacing w:val="-23"/>
              </w:rPr>
              <w:t xml:space="preserve"> </w:t>
            </w:r>
            <w:r>
              <w:rPr>
                <w:rFonts w:ascii="Times New Roman" w:hAnsi="Times New Roman" w:eastAsia="Times New Roman" w:cs="Times New Roman"/>
                <w:spacing w:val="-3"/>
              </w:rPr>
              <w:t>10dB</w:t>
            </w:r>
            <w:r>
              <w:rPr>
                <w:spacing w:val="-3"/>
              </w:rPr>
              <w:t>（</w:t>
            </w:r>
            <w:r>
              <w:rPr>
                <w:rFonts w:ascii="Times New Roman" w:hAnsi="Times New Roman" w:eastAsia="Times New Roman" w:cs="Times New Roman"/>
                <w:spacing w:val="-3"/>
              </w:rPr>
              <w:t>A</w:t>
            </w:r>
            <w:r>
              <w:rPr>
                <w:spacing w:val="-3"/>
              </w:rPr>
              <w:t>）作为评价依据。</w:t>
            </w:r>
          </w:p>
        </w:tc>
      </w:tr>
    </w:tbl>
    <w:p>
      <w:pPr>
        <w:spacing w:before="192" w:line="220" w:lineRule="auto"/>
        <w:ind w:left="1093"/>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2.2-8        </w:t>
      </w:r>
      <w:r>
        <w:rPr>
          <w:rFonts w:ascii="宋体" w:hAnsi="宋体" w:eastAsia="宋体" w:cs="宋体"/>
          <w:spacing w:val="-3"/>
          <w:sz w:val="24"/>
          <w:szCs w:val="24"/>
        </w:rPr>
        <w:t>城市各类区域铅垂向</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 xml:space="preserve">Z </w:t>
      </w:r>
      <w:r>
        <w:rPr>
          <w:rFonts w:ascii="宋体" w:hAnsi="宋体" w:eastAsia="宋体" w:cs="宋体"/>
          <w:spacing w:val="-3"/>
          <w:sz w:val="24"/>
          <w:szCs w:val="24"/>
        </w:rPr>
        <w:t>振级标准值    单</w:t>
      </w:r>
      <w:r>
        <w:rPr>
          <w:rFonts w:ascii="宋体" w:hAnsi="宋体" w:eastAsia="宋体" w:cs="宋体"/>
          <w:spacing w:val="-4"/>
          <w:sz w:val="24"/>
          <w:szCs w:val="24"/>
        </w:rPr>
        <w:t xml:space="preserve">位： </w:t>
      </w:r>
      <w:r>
        <w:rPr>
          <w:rFonts w:ascii="Times New Roman" w:hAnsi="Times New Roman" w:eastAsia="Times New Roman" w:cs="Times New Roman"/>
          <w:spacing w:val="-4"/>
          <w:sz w:val="24"/>
          <w:szCs w:val="24"/>
        </w:rPr>
        <w:t>dB</w:t>
      </w:r>
      <w:r>
        <w:rPr>
          <w:rFonts w:ascii="宋体" w:hAnsi="宋体" w:eastAsia="宋体" w:cs="宋体"/>
          <w:spacing w:val="-4"/>
          <w:sz w:val="24"/>
          <w:szCs w:val="24"/>
        </w:rPr>
        <w:t>（</w:t>
      </w:r>
      <w:r>
        <w:rPr>
          <w:rFonts w:ascii="Times New Roman" w:hAnsi="Times New Roman" w:eastAsia="Times New Roman" w:cs="Times New Roman"/>
          <w:spacing w:val="-4"/>
          <w:sz w:val="24"/>
          <w:szCs w:val="24"/>
        </w:rPr>
        <w:t>A</w:t>
      </w:r>
      <w:r>
        <w:rPr>
          <w:rFonts w:ascii="宋体" w:hAnsi="宋体" w:eastAsia="宋体" w:cs="宋体"/>
          <w:spacing w:val="-4"/>
          <w:sz w:val="24"/>
          <w:szCs w:val="24"/>
        </w:rPr>
        <w:t>）</w:t>
      </w:r>
    </w:p>
    <w:p>
      <w:pPr>
        <w:spacing w:line="146" w:lineRule="exact"/>
      </w:pPr>
    </w:p>
    <w:tbl>
      <w:tblPr>
        <w:tblStyle w:val="5"/>
        <w:tblW w:w="7947" w:type="dxa"/>
        <w:tblInd w:w="3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1"/>
        <w:gridCol w:w="2643"/>
        <w:gridCol w:w="26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651" w:type="dxa"/>
            <w:vAlign w:val="top"/>
          </w:tcPr>
          <w:p>
            <w:pPr>
              <w:pStyle w:val="6"/>
              <w:spacing w:before="34" w:line="207" w:lineRule="auto"/>
              <w:ind w:left="701"/>
            </w:pPr>
            <w:r>
              <w:rPr>
                <w:spacing w:val="-1"/>
              </w:rPr>
              <w:t>适用地带范围</w:t>
            </w:r>
          </w:p>
        </w:tc>
        <w:tc>
          <w:tcPr>
            <w:tcW w:w="2643" w:type="dxa"/>
            <w:vAlign w:val="top"/>
          </w:tcPr>
          <w:p>
            <w:pPr>
              <w:pStyle w:val="6"/>
              <w:spacing w:before="34" w:line="207" w:lineRule="auto"/>
              <w:ind w:left="1115"/>
            </w:pPr>
            <w:r>
              <w:rPr>
                <w:spacing w:val="-2"/>
              </w:rPr>
              <w:t>昼间</w:t>
            </w:r>
          </w:p>
        </w:tc>
        <w:tc>
          <w:tcPr>
            <w:tcW w:w="2653" w:type="dxa"/>
            <w:vAlign w:val="top"/>
          </w:tcPr>
          <w:p>
            <w:pPr>
              <w:pStyle w:val="6"/>
              <w:spacing w:before="34" w:line="207" w:lineRule="auto"/>
              <w:ind w:left="1124"/>
            </w:pPr>
            <w:r>
              <w:rPr>
                <w:spacing w:val="-3"/>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651" w:type="dxa"/>
            <w:vAlign w:val="top"/>
          </w:tcPr>
          <w:p>
            <w:pPr>
              <w:pStyle w:val="6"/>
              <w:spacing w:before="32" w:line="206" w:lineRule="auto"/>
              <w:ind w:left="703"/>
            </w:pPr>
            <w:r>
              <w:rPr>
                <w:spacing w:val="-2"/>
              </w:rPr>
              <w:t>居民、文教区</w:t>
            </w:r>
          </w:p>
        </w:tc>
        <w:tc>
          <w:tcPr>
            <w:tcW w:w="2643" w:type="dxa"/>
            <w:vAlign w:val="top"/>
          </w:tcPr>
          <w:p>
            <w:pPr>
              <w:spacing w:before="71" w:line="187" w:lineRule="auto"/>
              <w:ind w:left="1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2653" w:type="dxa"/>
            <w:vAlign w:val="top"/>
          </w:tcPr>
          <w:p>
            <w:pPr>
              <w:spacing w:before="71" w:line="187" w:lineRule="auto"/>
              <w:ind w:left="122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651" w:type="dxa"/>
            <w:vAlign w:val="top"/>
          </w:tcPr>
          <w:p>
            <w:pPr>
              <w:pStyle w:val="6"/>
              <w:spacing w:before="33" w:line="205" w:lineRule="auto"/>
              <w:ind w:left="387"/>
            </w:pPr>
            <w:r>
              <w:rPr>
                <w:spacing w:val="-1"/>
              </w:rPr>
              <w:t>混合区、商业集中区</w:t>
            </w:r>
          </w:p>
        </w:tc>
        <w:tc>
          <w:tcPr>
            <w:tcW w:w="2643" w:type="dxa"/>
            <w:vAlign w:val="top"/>
          </w:tcPr>
          <w:p>
            <w:pPr>
              <w:spacing w:before="75" w:line="184" w:lineRule="auto"/>
              <w:ind w:left="1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2653" w:type="dxa"/>
            <w:vAlign w:val="top"/>
          </w:tcPr>
          <w:p>
            <w:pPr>
              <w:spacing w:before="72" w:line="187" w:lineRule="auto"/>
              <w:ind w:left="1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651" w:type="dxa"/>
            <w:vAlign w:val="top"/>
          </w:tcPr>
          <w:p>
            <w:pPr>
              <w:pStyle w:val="6"/>
              <w:spacing w:before="34" w:line="204" w:lineRule="auto"/>
              <w:ind w:left="807"/>
            </w:pPr>
            <w:r>
              <w:rPr>
                <w:spacing w:val="-2"/>
              </w:rPr>
              <w:t>工业集中区</w:t>
            </w:r>
          </w:p>
        </w:tc>
        <w:tc>
          <w:tcPr>
            <w:tcW w:w="2643" w:type="dxa"/>
            <w:vAlign w:val="top"/>
          </w:tcPr>
          <w:p>
            <w:pPr>
              <w:spacing w:before="76" w:line="184" w:lineRule="auto"/>
              <w:ind w:left="1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2653" w:type="dxa"/>
            <w:vAlign w:val="top"/>
          </w:tcPr>
          <w:p>
            <w:pPr>
              <w:spacing w:before="73" w:line="187" w:lineRule="auto"/>
              <w:ind w:left="1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2651" w:type="dxa"/>
            <w:vAlign w:val="top"/>
          </w:tcPr>
          <w:p>
            <w:pPr>
              <w:pStyle w:val="6"/>
              <w:spacing w:before="47" w:line="220" w:lineRule="auto"/>
              <w:ind w:left="494"/>
            </w:pPr>
            <w:r>
              <w:rPr>
                <w:spacing w:val="-2"/>
              </w:rPr>
              <w:t>交通干线道路两侧</w:t>
            </w:r>
          </w:p>
        </w:tc>
        <w:tc>
          <w:tcPr>
            <w:tcW w:w="2643" w:type="dxa"/>
            <w:vAlign w:val="top"/>
          </w:tcPr>
          <w:p>
            <w:pPr>
              <w:spacing w:before="89" w:line="184" w:lineRule="auto"/>
              <w:ind w:left="1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2653" w:type="dxa"/>
            <w:vAlign w:val="top"/>
          </w:tcPr>
          <w:p>
            <w:pPr>
              <w:spacing w:before="86" w:line="187" w:lineRule="auto"/>
              <w:ind w:left="1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r>
    </w:tbl>
    <w:p>
      <w:pPr>
        <w:pStyle w:val="2"/>
      </w:pPr>
    </w:p>
    <w:p>
      <w:pPr>
        <w:sectPr>
          <w:pgSz w:w="11907" w:h="16839"/>
          <w:pgMar w:top="1118" w:right="1586" w:bottom="1184" w:left="1589" w:header="879" w:footer="1024" w:gutter="0"/>
          <w:cols w:space="720" w:num="1"/>
        </w:sectPr>
      </w:pPr>
    </w:p>
    <w:p>
      <w:pPr>
        <w:pStyle w:val="2"/>
        <w:spacing w:line="278" w:lineRule="auto"/>
      </w:pPr>
    </w:p>
    <w:p>
      <w:pPr>
        <w:spacing w:before="78" w:line="218" w:lineRule="auto"/>
        <w:ind w:left="267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2.2-9        </w:t>
      </w:r>
      <w:r>
        <w:rPr>
          <w:rFonts w:ascii="宋体" w:hAnsi="宋体" w:eastAsia="宋体" w:cs="宋体"/>
          <w:spacing w:val="-1"/>
          <w:sz w:val="24"/>
          <w:szCs w:val="24"/>
        </w:rPr>
        <w:t>爆破振动安全允许标准</w:t>
      </w:r>
    </w:p>
    <w:p>
      <w:pPr>
        <w:spacing w:line="14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2282"/>
        <w:gridCol w:w="1706"/>
        <w:gridCol w:w="1706"/>
        <w:gridCol w:w="17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132" w:type="dxa"/>
            <w:vMerge w:val="restart"/>
            <w:tcBorders>
              <w:bottom w:val="nil"/>
            </w:tcBorders>
            <w:vAlign w:val="top"/>
          </w:tcPr>
          <w:p>
            <w:pPr>
              <w:pStyle w:val="6"/>
              <w:spacing w:before="175" w:line="222" w:lineRule="auto"/>
              <w:ind w:left="359"/>
            </w:pPr>
            <w:r>
              <w:rPr>
                <w:spacing w:val="-2"/>
              </w:rPr>
              <w:t>序号</w:t>
            </w:r>
          </w:p>
        </w:tc>
        <w:tc>
          <w:tcPr>
            <w:tcW w:w="2282" w:type="dxa"/>
            <w:vMerge w:val="restart"/>
            <w:tcBorders>
              <w:bottom w:val="nil"/>
            </w:tcBorders>
            <w:vAlign w:val="top"/>
          </w:tcPr>
          <w:p>
            <w:pPr>
              <w:pStyle w:val="6"/>
              <w:spacing w:before="175" w:line="221" w:lineRule="auto"/>
              <w:ind w:left="516"/>
            </w:pPr>
            <w:r>
              <w:rPr>
                <w:spacing w:val="-1"/>
              </w:rPr>
              <w:t>保护对象类别</w:t>
            </w:r>
          </w:p>
        </w:tc>
        <w:tc>
          <w:tcPr>
            <w:tcW w:w="5112" w:type="dxa"/>
            <w:gridSpan w:val="3"/>
            <w:vAlign w:val="top"/>
          </w:tcPr>
          <w:p>
            <w:pPr>
              <w:pStyle w:val="6"/>
              <w:spacing w:before="34" w:line="207" w:lineRule="auto"/>
              <w:ind w:left="1113"/>
              <w:rPr>
                <w:rFonts w:ascii="Times New Roman" w:hAnsi="Times New Roman" w:eastAsia="Times New Roman" w:cs="Times New Roman"/>
              </w:rPr>
            </w:pPr>
            <w:r>
              <w:rPr>
                <w:spacing w:val="-1"/>
              </w:rPr>
              <w:t>安全允许质点振动速度</w:t>
            </w:r>
            <w:r>
              <w:rPr>
                <w:spacing w:val="-47"/>
              </w:rPr>
              <w:t xml:space="preserve"> </w:t>
            </w:r>
            <w:r>
              <w:rPr>
                <w:rFonts w:ascii="Times New Roman" w:hAnsi="Times New Roman" w:eastAsia="Times New Roman" w:cs="Times New Roman"/>
                <w:spacing w:val="-1"/>
              </w:rPr>
              <w:t>V/(cm/s)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32" w:type="dxa"/>
            <w:vMerge w:val="continue"/>
            <w:tcBorders>
              <w:top w:val="nil"/>
            </w:tcBorders>
            <w:vAlign w:val="top"/>
          </w:tcPr>
          <w:p>
            <w:pPr>
              <w:rPr>
                <w:rFonts w:ascii="Arial"/>
                <w:sz w:val="21"/>
              </w:rPr>
            </w:pPr>
          </w:p>
        </w:tc>
        <w:tc>
          <w:tcPr>
            <w:tcW w:w="2282" w:type="dxa"/>
            <w:vMerge w:val="continue"/>
            <w:tcBorders>
              <w:top w:val="nil"/>
            </w:tcBorders>
            <w:vAlign w:val="top"/>
          </w:tcPr>
          <w:p>
            <w:pPr>
              <w:rPr>
                <w:rFonts w:ascii="Arial"/>
                <w:sz w:val="21"/>
              </w:rPr>
            </w:pPr>
          </w:p>
        </w:tc>
        <w:tc>
          <w:tcPr>
            <w:tcW w:w="1706" w:type="dxa"/>
            <w:vAlign w:val="top"/>
          </w:tcPr>
          <w:p>
            <w:pPr>
              <w:spacing w:before="64" w:line="202" w:lineRule="auto"/>
              <w:ind w:left="5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f≤10 Hz</w:t>
            </w:r>
          </w:p>
        </w:tc>
        <w:tc>
          <w:tcPr>
            <w:tcW w:w="1706" w:type="dxa"/>
            <w:vAlign w:val="top"/>
          </w:tcPr>
          <w:p>
            <w:pPr>
              <w:pStyle w:val="6"/>
              <w:spacing w:before="30" w:line="209" w:lineRule="auto"/>
              <w:ind w:left="221"/>
              <w:rPr>
                <w:rFonts w:ascii="Times New Roman" w:hAnsi="Times New Roman" w:eastAsia="Times New Roman" w:cs="Times New Roman"/>
              </w:rPr>
            </w:pPr>
            <w:r>
              <w:rPr>
                <w:rFonts w:ascii="Times New Roman" w:hAnsi="Times New Roman" w:eastAsia="Times New Roman" w:cs="Times New Roman"/>
                <w:spacing w:val="-2"/>
              </w:rPr>
              <w:t>10Hz</w:t>
            </w:r>
            <w:r>
              <w:rPr>
                <w:spacing w:val="-2"/>
              </w:rPr>
              <w:t>＜</w:t>
            </w:r>
            <w:r>
              <w:rPr>
                <w:rFonts w:ascii="Times New Roman" w:hAnsi="Times New Roman" w:eastAsia="Times New Roman" w:cs="Times New Roman"/>
                <w:spacing w:val="-2"/>
              </w:rPr>
              <w:t>f≤50Hz</w:t>
            </w:r>
          </w:p>
        </w:tc>
        <w:tc>
          <w:tcPr>
            <w:tcW w:w="1700" w:type="dxa"/>
            <w:vAlign w:val="top"/>
          </w:tcPr>
          <w:p>
            <w:pPr>
              <w:pStyle w:val="6"/>
              <w:spacing w:before="30" w:line="209" w:lineRule="auto"/>
              <w:ind w:left="457"/>
              <w:rPr>
                <w:rFonts w:ascii="Times New Roman" w:hAnsi="Times New Roman" w:eastAsia="Times New Roman" w:cs="Times New Roman"/>
              </w:rPr>
            </w:pPr>
            <w:r>
              <w:rPr>
                <w:rFonts w:ascii="Times New Roman" w:hAnsi="Times New Roman" w:eastAsia="Times New Roman" w:cs="Times New Roman"/>
                <w:spacing w:val="-1"/>
              </w:rPr>
              <w:t>f</w:t>
            </w:r>
            <w:r>
              <w:rPr>
                <w:spacing w:val="-1"/>
              </w:rPr>
              <w:t>＞</w:t>
            </w:r>
            <w:r>
              <w:rPr>
                <w:rFonts w:ascii="Times New Roman" w:hAnsi="Times New Roman" w:eastAsia="Times New Roman" w:cs="Times New Roman"/>
                <w:spacing w:val="-1"/>
              </w:rPr>
              <w:t>50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32" w:type="dxa"/>
            <w:vAlign w:val="top"/>
          </w:tcPr>
          <w:p>
            <w:pPr>
              <w:spacing w:before="205" w:line="187" w:lineRule="auto"/>
              <w:ind w:left="53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282" w:type="dxa"/>
            <w:vAlign w:val="top"/>
          </w:tcPr>
          <w:p>
            <w:pPr>
              <w:pStyle w:val="6"/>
              <w:spacing w:before="30" w:line="223" w:lineRule="auto"/>
              <w:ind w:left="935" w:right="104" w:hanging="823"/>
            </w:pPr>
            <w:r>
              <w:rPr>
                <w:spacing w:val="-5"/>
              </w:rPr>
              <w:t>土窑洞、土坯房、毛石</w:t>
            </w:r>
            <w:r>
              <w:rPr>
                <w:spacing w:val="8"/>
              </w:rPr>
              <w:t xml:space="preserve"> </w:t>
            </w:r>
            <w:r>
              <w:rPr>
                <w:spacing w:val="-2"/>
              </w:rPr>
              <w:t>房屋</w:t>
            </w:r>
          </w:p>
        </w:tc>
        <w:tc>
          <w:tcPr>
            <w:tcW w:w="1706" w:type="dxa"/>
            <w:vAlign w:val="top"/>
          </w:tcPr>
          <w:p>
            <w:pPr>
              <w:spacing w:before="205" w:line="187"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0.15~0.45</w:t>
            </w:r>
          </w:p>
        </w:tc>
        <w:tc>
          <w:tcPr>
            <w:tcW w:w="1706" w:type="dxa"/>
            <w:vAlign w:val="top"/>
          </w:tcPr>
          <w:p>
            <w:pPr>
              <w:spacing w:before="205" w:line="187" w:lineRule="auto"/>
              <w:ind w:left="4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0.45~0.9</w:t>
            </w:r>
          </w:p>
        </w:tc>
        <w:tc>
          <w:tcPr>
            <w:tcW w:w="1700" w:type="dxa"/>
            <w:vAlign w:val="top"/>
          </w:tcPr>
          <w:p>
            <w:pPr>
              <w:spacing w:before="205"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32" w:type="dxa"/>
            <w:vAlign w:val="top"/>
          </w:tcPr>
          <w:p>
            <w:pPr>
              <w:spacing w:before="70" w:line="187" w:lineRule="auto"/>
              <w:ind w:left="51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282" w:type="dxa"/>
            <w:vAlign w:val="top"/>
          </w:tcPr>
          <w:p>
            <w:pPr>
              <w:pStyle w:val="6"/>
              <w:spacing w:before="31" w:line="207" w:lineRule="auto"/>
              <w:ind w:left="412"/>
            </w:pPr>
            <w:r>
              <w:rPr>
                <w:spacing w:val="-2"/>
              </w:rPr>
              <w:t>一般民用建筑物</w:t>
            </w:r>
          </w:p>
        </w:tc>
        <w:tc>
          <w:tcPr>
            <w:tcW w:w="1706" w:type="dxa"/>
            <w:vAlign w:val="top"/>
          </w:tcPr>
          <w:p>
            <w:pPr>
              <w:spacing w:before="70" w:line="187" w:lineRule="auto"/>
              <w:ind w:left="55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1.5~2.0</w:t>
            </w:r>
          </w:p>
        </w:tc>
        <w:tc>
          <w:tcPr>
            <w:tcW w:w="1706" w:type="dxa"/>
            <w:vAlign w:val="top"/>
          </w:tcPr>
          <w:p>
            <w:pPr>
              <w:spacing w:before="70" w:line="187"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2.0~2.5</w:t>
            </w:r>
          </w:p>
        </w:tc>
        <w:tc>
          <w:tcPr>
            <w:tcW w:w="1700" w:type="dxa"/>
            <w:vAlign w:val="top"/>
          </w:tcPr>
          <w:p>
            <w:pPr>
              <w:spacing w:before="70"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132" w:type="dxa"/>
            <w:vAlign w:val="top"/>
          </w:tcPr>
          <w:p>
            <w:pPr>
              <w:spacing w:before="71" w:line="187" w:lineRule="auto"/>
              <w:ind w:left="51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282" w:type="dxa"/>
            <w:vAlign w:val="top"/>
          </w:tcPr>
          <w:p>
            <w:pPr>
              <w:pStyle w:val="6"/>
              <w:spacing w:before="32" w:line="204" w:lineRule="auto"/>
              <w:ind w:left="306"/>
            </w:pPr>
            <w:r>
              <w:rPr>
                <w:spacing w:val="-1"/>
              </w:rPr>
              <w:t>工业和商业建筑物</w:t>
            </w:r>
          </w:p>
        </w:tc>
        <w:tc>
          <w:tcPr>
            <w:tcW w:w="1706" w:type="dxa"/>
            <w:vAlign w:val="top"/>
          </w:tcPr>
          <w:p>
            <w:pPr>
              <w:spacing w:before="71"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2.5~3.5</w:t>
            </w:r>
          </w:p>
        </w:tc>
        <w:tc>
          <w:tcPr>
            <w:tcW w:w="1706" w:type="dxa"/>
            <w:vAlign w:val="top"/>
          </w:tcPr>
          <w:p>
            <w:pPr>
              <w:spacing w:before="71" w:line="187" w:lineRule="auto"/>
              <w:ind w:left="5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3.5~4.5</w:t>
            </w:r>
          </w:p>
        </w:tc>
        <w:tc>
          <w:tcPr>
            <w:tcW w:w="1700" w:type="dxa"/>
            <w:vAlign w:val="top"/>
          </w:tcPr>
          <w:p>
            <w:pPr>
              <w:spacing w:before="71" w:line="187" w:lineRule="auto"/>
              <w:ind w:left="5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32" w:type="dxa"/>
            <w:vAlign w:val="top"/>
          </w:tcPr>
          <w:p>
            <w:pPr>
              <w:spacing w:before="72" w:line="187" w:lineRule="auto"/>
              <w:ind w:left="51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282" w:type="dxa"/>
            <w:vAlign w:val="top"/>
          </w:tcPr>
          <w:p>
            <w:pPr>
              <w:pStyle w:val="6"/>
              <w:spacing w:before="33" w:line="206" w:lineRule="auto"/>
              <w:ind w:left="307"/>
            </w:pPr>
            <w:r>
              <w:rPr>
                <w:spacing w:val="-1"/>
              </w:rPr>
              <w:t>一般古建筑与古迹</w:t>
            </w:r>
          </w:p>
        </w:tc>
        <w:tc>
          <w:tcPr>
            <w:tcW w:w="1706" w:type="dxa"/>
            <w:vAlign w:val="top"/>
          </w:tcPr>
          <w:p>
            <w:pPr>
              <w:spacing w:before="72"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0.1~0.2</w:t>
            </w:r>
          </w:p>
        </w:tc>
        <w:tc>
          <w:tcPr>
            <w:tcW w:w="1706" w:type="dxa"/>
            <w:vAlign w:val="top"/>
          </w:tcPr>
          <w:p>
            <w:pPr>
              <w:spacing w:before="72"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0.2~0.3</w:t>
            </w:r>
          </w:p>
        </w:tc>
        <w:tc>
          <w:tcPr>
            <w:tcW w:w="1700" w:type="dxa"/>
            <w:vAlign w:val="top"/>
          </w:tcPr>
          <w:p>
            <w:pPr>
              <w:spacing w:before="72"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32" w:type="dxa"/>
            <w:vAlign w:val="top"/>
          </w:tcPr>
          <w:p>
            <w:pPr>
              <w:spacing w:before="75" w:line="184" w:lineRule="auto"/>
              <w:ind w:left="52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282" w:type="dxa"/>
            <w:vAlign w:val="top"/>
          </w:tcPr>
          <w:p>
            <w:pPr>
              <w:pStyle w:val="6"/>
              <w:spacing w:before="34" w:line="209" w:lineRule="auto"/>
              <w:ind w:left="728"/>
            </w:pPr>
            <w:r>
              <w:rPr>
                <w:spacing w:val="-3"/>
              </w:rPr>
              <w:t>交通隧道</w:t>
            </w:r>
          </w:p>
        </w:tc>
        <w:tc>
          <w:tcPr>
            <w:tcW w:w="1706" w:type="dxa"/>
            <w:vAlign w:val="top"/>
          </w:tcPr>
          <w:p>
            <w:pPr>
              <w:spacing w:before="72" w:line="18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10~12</w:t>
            </w:r>
          </w:p>
        </w:tc>
        <w:tc>
          <w:tcPr>
            <w:tcW w:w="1706" w:type="dxa"/>
            <w:vAlign w:val="top"/>
          </w:tcPr>
          <w:p>
            <w:pPr>
              <w:spacing w:before="72" w:line="18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12~15</w:t>
            </w:r>
          </w:p>
        </w:tc>
        <w:tc>
          <w:tcPr>
            <w:tcW w:w="1700" w:type="dxa"/>
            <w:vAlign w:val="top"/>
          </w:tcPr>
          <w:p>
            <w:pPr>
              <w:spacing w:before="72"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15~20</w:t>
            </w:r>
          </w:p>
        </w:tc>
      </w:tr>
    </w:tbl>
    <w:p>
      <w:pPr>
        <w:spacing w:before="192" w:line="220" w:lineRule="auto"/>
        <w:ind w:left="596"/>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、固废控制标准</w:t>
      </w:r>
    </w:p>
    <w:p>
      <w:pPr>
        <w:spacing w:before="180" w:line="359" w:lineRule="auto"/>
        <w:ind w:left="125" w:right="112" w:firstLine="477"/>
        <w:rPr>
          <w:rFonts w:ascii="宋体" w:hAnsi="宋体" w:eastAsia="宋体" w:cs="宋体"/>
          <w:sz w:val="24"/>
          <w:szCs w:val="24"/>
        </w:rPr>
      </w:pPr>
      <w:r>
        <w:rPr>
          <w:rFonts w:ascii="宋体" w:hAnsi="宋体" w:eastAsia="宋体" w:cs="宋体"/>
          <w:spacing w:val="-7"/>
          <w:sz w:val="24"/>
          <w:szCs w:val="24"/>
        </w:rPr>
        <w:t>本项目生活垃圾定点收集， 环卫清运。运行过程中等产生的一般固废暂存满</w:t>
      </w:r>
      <w:r>
        <w:rPr>
          <w:rFonts w:ascii="宋体" w:hAnsi="宋体" w:eastAsia="宋体" w:cs="宋体"/>
          <w:spacing w:val="12"/>
          <w:sz w:val="24"/>
          <w:szCs w:val="24"/>
        </w:rPr>
        <w:t xml:space="preserve"> </w:t>
      </w:r>
      <w:r>
        <w:rPr>
          <w:rFonts w:ascii="宋体" w:hAnsi="宋体" w:eastAsia="宋体" w:cs="宋体"/>
          <w:spacing w:val="-2"/>
          <w:sz w:val="24"/>
          <w:szCs w:val="24"/>
        </w:rPr>
        <w:t>足《一般工业固体废物贮存和填埋污染控制标准》</w:t>
      </w:r>
      <w:r>
        <w:rPr>
          <w:rFonts w:ascii="Times New Roman" w:hAnsi="Times New Roman" w:eastAsia="Times New Roman" w:cs="Times New Roman"/>
          <w:spacing w:val="-2"/>
          <w:sz w:val="24"/>
          <w:szCs w:val="24"/>
        </w:rPr>
        <w:t>(GB18599-2020)</w:t>
      </w:r>
      <w:r>
        <w:rPr>
          <w:rFonts w:ascii="宋体" w:hAnsi="宋体" w:eastAsia="宋体" w:cs="宋体"/>
          <w:spacing w:val="-2"/>
          <w:sz w:val="24"/>
          <w:szCs w:val="24"/>
        </w:rPr>
        <w:t>和《中华人民</w:t>
      </w:r>
    </w:p>
    <w:p>
      <w:pPr>
        <w:spacing w:line="219" w:lineRule="auto"/>
        <w:ind w:left="121"/>
        <w:rPr>
          <w:rFonts w:ascii="宋体" w:hAnsi="宋体" w:eastAsia="宋体" w:cs="宋体"/>
          <w:sz w:val="24"/>
          <w:szCs w:val="24"/>
        </w:rPr>
      </w:pPr>
      <w:r>
        <w:rPr>
          <w:rFonts w:ascii="宋体" w:hAnsi="宋体" w:eastAsia="宋体" w:cs="宋体"/>
          <w:spacing w:val="-2"/>
          <w:sz w:val="24"/>
          <w:szCs w:val="24"/>
        </w:rPr>
        <w:t>共和国固体废物污染环境防治法》等其他相关环保要求。</w:t>
      </w:r>
    </w:p>
    <w:p>
      <w:pPr>
        <w:spacing w:before="182" w:line="218" w:lineRule="auto"/>
        <w:ind w:left="118"/>
        <w:outlineLvl w:val="0"/>
        <w:rPr>
          <w:rFonts w:ascii="宋体" w:hAnsi="宋体" w:eastAsia="宋体" w:cs="宋体"/>
          <w:sz w:val="24"/>
          <w:szCs w:val="24"/>
        </w:rPr>
      </w:pPr>
      <w:bookmarkStart w:id="9" w:name="bookmark10"/>
      <w:bookmarkEnd w:id="9"/>
      <w:r>
        <w:rPr>
          <w:rFonts w:ascii="Times New Roman" w:hAnsi="Times New Roman" w:eastAsia="Times New Roman" w:cs="Times New Roman"/>
          <w:b/>
          <w:bCs/>
          <w:sz w:val="24"/>
          <w:szCs w:val="24"/>
        </w:rPr>
        <w:t xml:space="preserve">2.3 </w:t>
      </w:r>
      <w:r>
        <w:rPr>
          <w:rFonts w:ascii="宋体" w:hAnsi="宋体" w:eastAsia="宋体" w:cs="宋体"/>
          <w:sz w:val="24"/>
          <w:szCs w:val="24"/>
          <w14:textOutline w14:w="4354" w14:cap="flat" w14:cmpd="sng">
            <w14:solidFill>
              <w14:srgbClr w14:val="000000"/>
            </w14:solidFill>
            <w14:prstDash w14:val="solid"/>
            <w14:miter w14:val="0"/>
          </w14:textOutline>
        </w:rPr>
        <w:t>评价工作等级及评价范围</w:t>
      </w:r>
    </w:p>
    <w:p>
      <w:pPr>
        <w:spacing w:before="183" w:line="218" w:lineRule="auto"/>
        <w:ind w:left="118"/>
        <w:outlineLvl w:val="0"/>
        <w:rPr>
          <w:rFonts w:ascii="宋体" w:hAnsi="宋体" w:eastAsia="宋体" w:cs="宋体"/>
          <w:sz w:val="24"/>
          <w:szCs w:val="24"/>
        </w:rPr>
      </w:pPr>
      <w:r>
        <w:rPr>
          <w:rFonts w:ascii="Times New Roman" w:hAnsi="Times New Roman" w:eastAsia="Times New Roman" w:cs="Times New Roman"/>
          <w:b/>
          <w:bCs/>
          <w:sz w:val="24"/>
          <w:szCs w:val="24"/>
        </w:rPr>
        <w:t xml:space="preserve">2.3.1 </w:t>
      </w:r>
      <w:r>
        <w:rPr>
          <w:rFonts w:ascii="宋体" w:hAnsi="宋体" w:eastAsia="宋体" w:cs="宋体"/>
          <w:sz w:val="24"/>
          <w:szCs w:val="24"/>
          <w14:textOutline w14:w="4354" w14:cap="flat" w14:cmpd="sng">
            <w14:solidFill>
              <w14:srgbClr w14:val="000000"/>
            </w14:solidFill>
            <w14:prstDash w14:val="solid"/>
            <w14:miter w14:val="0"/>
          </w14:textOutline>
        </w:rPr>
        <w:t>评价工作等级</w:t>
      </w:r>
    </w:p>
    <w:p>
      <w:pPr>
        <w:spacing w:before="184" w:line="220" w:lineRule="auto"/>
        <w:ind w:left="60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）地表水环境</w:t>
      </w:r>
    </w:p>
    <w:p>
      <w:pPr>
        <w:spacing w:before="180" w:line="359" w:lineRule="auto"/>
        <w:ind w:left="123" w:right="124" w:firstLine="479"/>
        <w:rPr>
          <w:rFonts w:ascii="宋体" w:hAnsi="宋体" w:eastAsia="宋体" w:cs="宋体"/>
          <w:sz w:val="24"/>
          <w:szCs w:val="24"/>
        </w:rPr>
      </w:pPr>
      <w:r>
        <w:rPr>
          <w:rFonts w:ascii="宋体" w:hAnsi="宋体" w:eastAsia="宋体" w:cs="宋体"/>
          <w:spacing w:val="-8"/>
          <w:sz w:val="24"/>
          <w:szCs w:val="24"/>
        </w:rPr>
        <w:t>本工程施工期施工废水处理后回用，</w:t>
      </w:r>
      <w:r>
        <w:rPr>
          <w:rFonts w:ascii="宋体" w:hAnsi="宋体" w:eastAsia="宋体" w:cs="宋体"/>
          <w:spacing w:val="30"/>
          <w:sz w:val="24"/>
          <w:szCs w:val="24"/>
        </w:rPr>
        <w:t xml:space="preserve"> </w:t>
      </w:r>
      <w:r>
        <w:rPr>
          <w:rFonts w:ascii="宋体" w:hAnsi="宋体" w:eastAsia="宋体" w:cs="宋体"/>
          <w:spacing w:val="-8"/>
          <w:sz w:val="24"/>
          <w:szCs w:val="24"/>
        </w:rPr>
        <w:t>施工期生活污水由定期清运。</w:t>
      </w:r>
      <w:r>
        <w:rPr>
          <w:rFonts w:ascii="宋体" w:hAnsi="宋体" w:eastAsia="宋体" w:cs="宋体"/>
          <w:spacing w:val="-9"/>
          <w:sz w:val="24"/>
          <w:szCs w:val="24"/>
        </w:rPr>
        <w:t>根据《环</w:t>
      </w:r>
      <w:r>
        <w:rPr>
          <w:rFonts w:ascii="宋体" w:hAnsi="宋体" w:eastAsia="宋体" w:cs="宋体"/>
          <w:sz w:val="24"/>
          <w:szCs w:val="24"/>
        </w:rPr>
        <w:t xml:space="preserve"> </w:t>
      </w:r>
      <w:r>
        <w:rPr>
          <w:rFonts w:ascii="宋体" w:hAnsi="宋体" w:eastAsia="宋体" w:cs="宋体"/>
          <w:spacing w:val="2"/>
          <w:sz w:val="24"/>
          <w:szCs w:val="24"/>
        </w:rPr>
        <w:t>境影响评价技术导则 地表水环境》（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2.3</w:t>
      </w:r>
      <w:r>
        <w:rPr>
          <w:rFonts w:ascii="Times New Roman" w:hAnsi="Times New Roman" w:eastAsia="Times New Roman" w:cs="Times New Roman"/>
          <w:spacing w:val="1"/>
          <w:sz w:val="24"/>
          <w:szCs w:val="24"/>
        </w:rPr>
        <w:t>-2018</w:t>
      </w:r>
      <w:r>
        <w:rPr>
          <w:rFonts w:ascii="宋体" w:hAnsi="宋体" w:eastAsia="宋体" w:cs="宋体"/>
          <w:spacing w:val="10"/>
          <w:sz w:val="24"/>
          <w:szCs w:val="24"/>
        </w:rPr>
        <w:t>），</w:t>
      </w:r>
      <w:r>
        <w:rPr>
          <w:rFonts w:ascii="宋体" w:hAnsi="宋体" w:eastAsia="宋体" w:cs="宋体"/>
          <w:spacing w:val="1"/>
          <w:sz w:val="24"/>
          <w:szCs w:val="24"/>
        </w:rPr>
        <w:t>本工程水污染影响型地表</w:t>
      </w:r>
    </w:p>
    <w:p>
      <w:pPr>
        <w:spacing w:line="218" w:lineRule="auto"/>
        <w:ind w:left="125"/>
        <w:rPr>
          <w:rFonts w:ascii="宋体" w:hAnsi="宋体" w:eastAsia="宋体" w:cs="宋体"/>
          <w:sz w:val="24"/>
          <w:szCs w:val="24"/>
        </w:rPr>
      </w:pPr>
      <w:r>
        <w:rPr>
          <w:rFonts w:ascii="宋体" w:hAnsi="宋体" w:eastAsia="宋体" w:cs="宋体"/>
          <w:spacing w:val="-2"/>
          <w:sz w:val="24"/>
          <w:szCs w:val="24"/>
        </w:rPr>
        <w:t>水环境影响评价等级为三级</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B</w:t>
      </w:r>
      <w:r>
        <w:rPr>
          <w:rFonts w:ascii="宋体" w:hAnsi="宋体" w:eastAsia="宋体" w:cs="宋体"/>
          <w:spacing w:val="-2"/>
          <w:sz w:val="24"/>
          <w:szCs w:val="24"/>
        </w:rPr>
        <w:t>。</w:t>
      </w:r>
    </w:p>
    <w:p>
      <w:pPr>
        <w:spacing w:before="187" w:line="359" w:lineRule="auto"/>
        <w:ind w:left="121" w:right="109" w:firstLine="481"/>
        <w:rPr>
          <w:rFonts w:ascii="宋体" w:hAnsi="宋体" w:eastAsia="宋体" w:cs="宋体"/>
          <w:sz w:val="24"/>
          <w:szCs w:val="24"/>
        </w:rPr>
      </w:pPr>
      <w:r>
        <w:rPr>
          <w:rFonts w:ascii="宋体" w:hAnsi="宋体" w:eastAsia="宋体" w:cs="宋体"/>
          <w:spacing w:val="-7"/>
          <w:sz w:val="24"/>
          <w:szCs w:val="24"/>
        </w:rPr>
        <w:t>本项目无桥梁等跨越水体， 主要采用涵洞和盖板涵等引流和跨越小溪沟。工</w:t>
      </w:r>
      <w:r>
        <w:rPr>
          <w:rFonts w:ascii="宋体" w:hAnsi="宋体" w:eastAsia="宋体" w:cs="宋体"/>
          <w:spacing w:val="11"/>
          <w:sz w:val="24"/>
          <w:szCs w:val="24"/>
        </w:rPr>
        <w:t xml:space="preserve"> </w:t>
      </w:r>
      <w:r>
        <w:rPr>
          <w:rFonts w:ascii="宋体" w:hAnsi="宋体" w:eastAsia="宋体" w:cs="宋体"/>
          <w:spacing w:val="-1"/>
          <w:sz w:val="24"/>
          <w:szCs w:val="24"/>
        </w:rPr>
        <w:t xml:space="preserve">程垂直投影面积约 </w:t>
      </w:r>
      <w:r>
        <w:rPr>
          <w:rFonts w:ascii="Times New Roman" w:hAnsi="Times New Roman" w:eastAsia="Times New Roman" w:cs="Times New Roman"/>
          <w:spacing w:val="-1"/>
          <w:sz w:val="24"/>
          <w:szCs w:val="24"/>
        </w:rPr>
        <w:t>230m</w:t>
      </w:r>
      <w:r>
        <w:rPr>
          <w:rFonts w:ascii="Times New Roman" w:hAnsi="Times New Roman" w:eastAsia="Times New Roman" w:cs="Times New Roman"/>
          <w:spacing w:val="-1"/>
          <w:position w:val="8"/>
          <w:sz w:val="16"/>
          <w:szCs w:val="16"/>
        </w:rPr>
        <w:t>2</w:t>
      </w:r>
      <w:r>
        <w:rPr>
          <w:rFonts w:ascii="Times New Roman" w:hAnsi="Times New Roman" w:eastAsia="Times New Roman" w:cs="Times New Roman"/>
          <w:spacing w:val="-1"/>
          <w:sz w:val="24"/>
          <w:szCs w:val="24"/>
        </w:rPr>
        <w:t>≤0.05km</w:t>
      </w:r>
      <w:r>
        <w:rPr>
          <w:rFonts w:ascii="Times New Roman" w:hAnsi="Times New Roman" w:eastAsia="Times New Roman" w:cs="Times New Roman"/>
          <w:spacing w:val="-1"/>
          <w:position w:val="8"/>
          <w:sz w:val="16"/>
          <w:szCs w:val="16"/>
        </w:rPr>
        <w:t>2</w:t>
      </w:r>
      <w:r>
        <w:rPr>
          <w:rFonts w:ascii="Times New Roman" w:hAnsi="Times New Roman" w:eastAsia="Times New Roman" w:cs="Times New Roman"/>
          <w:spacing w:val="8"/>
          <w:position w:val="8"/>
          <w:sz w:val="16"/>
          <w:szCs w:val="16"/>
        </w:rPr>
        <w:t xml:space="preserve"> </w:t>
      </w:r>
      <w:r>
        <w:rPr>
          <w:rFonts w:ascii="宋体" w:hAnsi="宋体" w:eastAsia="宋体" w:cs="宋体"/>
          <w:spacing w:val="-1"/>
          <w:sz w:val="24"/>
          <w:szCs w:val="24"/>
        </w:rPr>
        <w:t>，扰动水底面积</w:t>
      </w:r>
      <w:r>
        <w:rPr>
          <w:rFonts w:ascii="Times New Roman" w:hAnsi="Times New Roman" w:eastAsia="Times New Roman" w:cs="Times New Roman"/>
          <w:spacing w:val="-1"/>
          <w:sz w:val="24"/>
          <w:szCs w:val="24"/>
        </w:rPr>
        <w:t>≤0.2km</w:t>
      </w:r>
      <w:r>
        <w:rPr>
          <w:rFonts w:ascii="Times New Roman" w:hAnsi="Times New Roman" w:eastAsia="Times New Roman" w:cs="Times New Roman"/>
          <w:spacing w:val="-1"/>
          <w:position w:val="8"/>
          <w:sz w:val="16"/>
          <w:szCs w:val="16"/>
        </w:rPr>
        <w:t>2</w:t>
      </w:r>
      <w:r>
        <w:rPr>
          <w:rFonts w:ascii="Times New Roman" w:hAnsi="Times New Roman" w:eastAsia="Times New Roman" w:cs="Times New Roman"/>
          <w:spacing w:val="-8"/>
          <w:position w:val="8"/>
          <w:sz w:val="16"/>
          <w:szCs w:val="16"/>
        </w:rPr>
        <w:t xml:space="preserve"> </w:t>
      </w:r>
      <w:r>
        <w:rPr>
          <w:rFonts w:ascii="宋体" w:hAnsi="宋体" w:eastAsia="宋体" w:cs="宋体"/>
          <w:spacing w:val="-1"/>
          <w:sz w:val="24"/>
          <w:szCs w:val="24"/>
        </w:rPr>
        <w:t>，过水断面占用水域</w:t>
      </w:r>
      <w:r>
        <w:rPr>
          <w:rFonts w:ascii="宋体" w:hAnsi="宋体" w:eastAsia="宋体" w:cs="宋体"/>
          <w:sz w:val="24"/>
          <w:szCs w:val="24"/>
        </w:rPr>
        <w:t xml:space="preserve"> </w:t>
      </w:r>
      <w:r>
        <w:rPr>
          <w:rFonts w:ascii="宋体" w:hAnsi="宋体" w:eastAsia="宋体" w:cs="宋体"/>
          <w:spacing w:val="-8"/>
          <w:sz w:val="24"/>
          <w:szCs w:val="24"/>
        </w:rPr>
        <w:t>面积比例</w:t>
      </w:r>
      <w:r>
        <w:rPr>
          <w:rFonts w:ascii="Times New Roman" w:hAnsi="Times New Roman" w:eastAsia="Times New Roman" w:cs="Times New Roman"/>
          <w:spacing w:val="-8"/>
          <w:sz w:val="24"/>
          <w:szCs w:val="24"/>
        </w:rPr>
        <w:t>≤5%</w:t>
      </w:r>
      <w:r>
        <w:rPr>
          <w:rFonts w:ascii="宋体" w:hAnsi="宋体" w:eastAsia="宋体" w:cs="宋体"/>
          <w:spacing w:val="-8"/>
          <w:sz w:val="24"/>
          <w:szCs w:val="24"/>
        </w:rPr>
        <w:t>。项目位于饮用水源准保护区范围内，</w:t>
      </w:r>
      <w:r>
        <w:rPr>
          <w:rFonts w:ascii="宋体" w:hAnsi="宋体" w:eastAsia="宋体" w:cs="宋体"/>
          <w:spacing w:val="30"/>
          <w:sz w:val="24"/>
          <w:szCs w:val="24"/>
        </w:rPr>
        <w:t xml:space="preserve"> </w:t>
      </w:r>
      <w:r>
        <w:rPr>
          <w:rFonts w:ascii="宋体" w:hAnsi="宋体" w:eastAsia="宋体" w:cs="宋体"/>
          <w:spacing w:val="-8"/>
          <w:sz w:val="24"/>
          <w:szCs w:val="24"/>
        </w:rPr>
        <w:t>根据</w:t>
      </w:r>
      <w:r>
        <w:rPr>
          <w:rFonts w:ascii="宋体" w:hAnsi="宋体" w:eastAsia="宋体" w:cs="宋体"/>
          <w:spacing w:val="-54"/>
          <w:sz w:val="24"/>
          <w:szCs w:val="24"/>
        </w:rPr>
        <w:t xml:space="preserve"> </w:t>
      </w:r>
      <w:r>
        <w:rPr>
          <w:rFonts w:ascii="Times New Roman" w:hAnsi="Times New Roman" w:eastAsia="Times New Roman" w:cs="Times New Roman"/>
          <w:spacing w:val="-9"/>
          <w:sz w:val="24"/>
          <w:szCs w:val="24"/>
        </w:rPr>
        <w:t xml:space="preserve">2019 </w:t>
      </w:r>
      <w:r>
        <w:rPr>
          <w:rFonts w:ascii="宋体" w:hAnsi="宋体" w:eastAsia="宋体" w:cs="宋体"/>
          <w:spacing w:val="-9"/>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 xml:space="preserve">11  </w:t>
      </w:r>
      <w:r>
        <w:rPr>
          <w:rFonts w:ascii="宋体" w:hAnsi="宋体" w:eastAsia="宋体" w:cs="宋体"/>
          <w:spacing w:val="-9"/>
          <w:sz w:val="24"/>
          <w:szCs w:val="24"/>
        </w:rPr>
        <w:t>日生态</w:t>
      </w:r>
      <w:r>
        <w:rPr>
          <w:rFonts w:ascii="宋体" w:hAnsi="宋体" w:eastAsia="宋体" w:cs="宋体"/>
          <w:sz w:val="24"/>
          <w:szCs w:val="24"/>
        </w:rPr>
        <w:t xml:space="preserve"> </w:t>
      </w:r>
      <w:r>
        <w:rPr>
          <w:rFonts w:ascii="宋体" w:hAnsi="宋体" w:eastAsia="宋体" w:cs="宋体"/>
          <w:spacing w:val="-2"/>
          <w:sz w:val="24"/>
          <w:szCs w:val="24"/>
        </w:rPr>
        <w:t>环境部部长信箱对于</w:t>
      </w:r>
      <w:r>
        <w:rPr>
          <w:rFonts w:ascii="Times New Roman" w:hAnsi="Times New Roman" w:eastAsia="Times New Roman" w:cs="Times New Roman"/>
          <w:spacing w:val="-2"/>
          <w:sz w:val="24"/>
          <w:szCs w:val="24"/>
        </w:rPr>
        <w:t>“</w:t>
      </w:r>
      <w:r>
        <w:rPr>
          <w:rFonts w:ascii="宋体" w:hAnsi="宋体" w:eastAsia="宋体" w:cs="宋体"/>
          <w:spacing w:val="-2"/>
          <w:sz w:val="24"/>
          <w:szCs w:val="24"/>
        </w:rPr>
        <w:t>关于明确准保护区到底是不是保护区的回复</w:t>
      </w:r>
      <w:r>
        <w:rPr>
          <w:rFonts w:ascii="Times New Roman" w:hAnsi="Times New Roman" w:eastAsia="Times New Roman" w:cs="Times New Roman"/>
          <w:spacing w:val="-2"/>
          <w:sz w:val="24"/>
          <w:szCs w:val="24"/>
        </w:rPr>
        <w:t>”</w:t>
      </w:r>
      <w:r>
        <w:rPr>
          <w:rFonts w:ascii="宋体" w:hAnsi="宋体" w:eastAsia="宋体" w:cs="宋体"/>
          <w:spacing w:val="-2"/>
          <w:sz w:val="24"/>
          <w:szCs w:val="24"/>
        </w:rPr>
        <w:t>，饮用</w:t>
      </w:r>
      <w:r>
        <w:rPr>
          <w:rFonts w:ascii="宋体" w:hAnsi="宋体" w:eastAsia="宋体" w:cs="宋体"/>
          <w:spacing w:val="-3"/>
          <w:sz w:val="24"/>
          <w:szCs w:val="24"/>
        </w:rPr>
        <w:t>水水源</w:t>
      </w:r>
      <w:r>
        <w:rPr>
          <w:rFonts w:ascii="宋体" w:hAnsi="宋体" w:eastAsia="宋体" w:cs="宋体"/>
          <w:sz w:val="24"/>
          <w:szCs w:val="24"/>
        </w:rPr>
        <w:t xml:space="preserve"> </w:t>
      </w:r>
      <w:r>
        <w:rPr>
          <w:rFonts w:ascii="宋体" w:hAnsi="宋体" w:eastAsia="宋体" w:cs="宋体"/>
          <w:spacing w:val="-9"/>
          <w:sz w:val="24"/>
          <w:szCs w:val="24"/>
        </w:rPr>
        <w:t>准保护区不属于饮用水水源保护区范畴。因此， 根据《环境影</w:t>
      </w:r>
      <w:r>
        <w:rPr>
          <w:rFonts w:ascii="宋体" w:hAnsi="宋体" w:eastAsia="宋体" w:cs="宋体"/>
          <w:spacing w:val="-10"/>
          <w:sz w:val="24"/>
          <w:szCs w:val="24"/>
        </w:rPr>
        <w:t>响评价技术导则 地</w:t>
      </w:r>
    </w:p>
    <w:p>
      <w:pPr>
        <w:spacing w:line="218" w:lineRule="auto"/>
        <w:ind w:left="121"/>
        <w:rPr>
          <w:rFonts w:ascii="宋体" w:hAnsi="宋体" w:eastAsia="宋体" w:cs="宋体"/>
          <w:sz w:val="24"/>
          <w:szCs w:val="24"/>
        </w:rPr>
      </w:pPr>
      <w:r>
        <w:rPr>
          <w:rFonts w:ascii="宋体" w:hAnsi="宋体" w:eastAsia="宋体" w:cs="宋体"/>
          <w:spacing w:val="-1"/>
          <w:sz w:val="24"/>
          <w:szCs w:val="24"/>
        </w:rPr>
        <w:t>表水环境》（</w:t>
      </w:r>
      <w:r>
        <w:rPr>
          <w:rFonts w:ascii="Times New Roman" w:hAnsi="Times New Roman" w:eastAsia="Times New Roman" w:cs="Times New Roman"/>
          <w:spacing w:val="-1"/>
          <w:sz w:val="24"/>
          <w:szCs w:val="24"/>
        </w:rPr>
        <w:t>HJ2.3-2018</w:t>
      </w:r>
      <w:r>
        <w:rPr>
          <w:rFonts w:ascii="宋体" w:hAnsi="宋体" w:eastAsia="宋体" w:cs="宋体"/>
          <w:spacing w:val="-37"/>
          <w:sz w:val="24"/>
          <w:szCs w:val="24"/>
        </w:rPr>
        <w:t>），</w:t>
      </w:r>
      <w:r>
        <w:rPr>
          <w:rFonts w:ascii="宋体" w:hAnsi="宋体" w:eastAsia="宋体" w:cs="宋体"/>
          <w:spacing w:val="-22"/>
          <w:sz w:val="24"/>
          <w:szCs w:val="24"/>
        </w:rPr>
        <w:t xml:space="preserve"> </w:t>
      </w:r>
      <w:r>
        <w:rPr>
          <w:rFonts w:ascii="宋体" w:hAnsi="宋体" w:eastAsia="宋体" w:cs="宋体"/>
          <w:spacing w:val="-1"/>
          <w:sz w:val="24"/>
          <w:szCs w:val="24"/>
        </w:rPr>
        <w:t>本次水文要素影响评价等级为三级。</w:t>
      </w:r>
    </w:p>
    <w:p>
      <w:pPr>
        <w:spacing w:before="183" w:line="220" w:lineRule="auto"/>
        <w:ind w:left="608"/>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）环境空气</w:t>
      </w:r>
    </w:p>
    <w:p>
      <w:pPr>
        <w:spacing w:before="181" w:line="466" w:lineRule="exact"/>
        <w:ind w:left="602"/>
        <w:rPr>
          <w:rFonts w:ascii="宋体" w:hAnsi="宋体" w:eastAsia="宋体" w:cs="宋体"/>
          <w:sz w:val="24"/>
          <w:szCs w:val="24"/>
        </w:rPr>
      </w:pPr>
      <w:r>
        <w:rPr>
          <w:rFonts w:ascii="宋体" w:hAnsi="宋体" w:eastAsia="宋体" w:cs="宋体"/>
          <w:spacing w:val="2"/>
          <w:position w:val="17"/>
          <w:sz w:val="24"/>
          <w:szCs w:val="24"/>
        </w:rPr>
        <w:t>根据《环境影响评价技术导则 大气环境》（</w:t>
      </w:r>
      <w:r>
        <w:rPr>
          <w:rFonts w:ascii="Times New Roman" w:hAnsi="Times New Roman" w:eastAsia="Times New Roman" w:cs="Times New Roman"/>
          <w:position w:val="17"/>
          <w:sz w:val="24"/>
          <w:szCs w:val="24"/>
        </w:rPr>
        <w:t>HJ</w:t>
      </w:r>
      <w:r>
        <w:rPr>
          <w:rFonts w:ascii="Times New Roman" w:hAnsi="Times New Roman" w:eastAsia="Times New Roman" w:cs="Times New Roman"/>
          <w:spacing w:val="2"/>
          <w:position w:val="17"/>
          <w:sz w:val="24"/>
          <w:szCs w:val="24"/>
        </w:rPr>
        <w:t>2.2-2018</w:t>
      </w:r>
      <w:r>
        <w:rPr>
          <w:rFonts w:ascii="宋体" w:hAnsi="宋体" w:eastAsia="宋体" w:cs="宋体"/>
          <w:spacing w:val="10"/>
          <w:position w:val="17"/>
          <w:sz w:val="24"/>
          <w:szCs w:val="24"/>
        </w:rPr>
        <w:t>），</w:t>
      </w:r>
      <w:r>
        <w:rPr>
          <w:rFonts w:ascii="宋体" w:hAnsi="宋体" w:eastAsia="宋体" w:cs="宋体"/>
          <w:spacing w:val="2"/>
          <w:position w:val="17"/>
          <w:sz w:val="24"/>
          <w:szCs w:val="24"/>
        </w:rPr>
        <w:t>本项</w:t>
      </w:r>
      <w:r>
        <w:rPr>
          <w:rFonts w:ascii="宋体" w:hAnsi="宋体" w:eastAsia="宋体" w:cs="宋体"/>
          <w:spacing w:val="1"/>
          <w:position w:val="17"/>
          <w:sz w:val="24"/>
          <w:szCs w:val="24"/>
        </w:rPr>
        <w:t>目不涉及</w:t>
      </w:r>
    </w:p>
    <w:p>
      <w:pPr>
        <w:spacing w:line="218" w:lineRule="auto"/>
        <w:ind w:left="122"/>
        <w:rPr>
          <w:rFonts w:ascii="宋体" w:hAnsi="宋体" w:eastAsia="宋体" w:cs="宋体"/>
          <w:sz w:val="24"/>
          <w:szCs w:val="24"/>
        </w:rPr>
      </w:pPr>
      <w:r>
        <w:rPr>
          <w:rFonts w:ascii="宋体" w:hAnsi="宋体" w:eastAsia="宋体" w:cs="宋体"/>
          <w:spacing w:val="-1"/>
          <w:sz w:val="24"/>
          <w:szCs w:val="24"/>
        </w:rPr>
        <w:t>服务区、车站等大气污染源集中排放源，无需进行</w:t>
      </w:r>
      <w:r>
        <w:rPr>
          <w:rFonts w:ascii="宋体" w:hAnsi="宋体" w:eastAsia="宋体" w:cs="宋体"/>
          <w:spacing w:val="-2"/>
          <w:sz w:val="24"/>
          <w:szCs w:val="24"/>
        </w:rPr>
        <w:t>环境空气评价等级计算。</w:t>
      </w:r>
    </w:p>
    <w:p>
      <w:pPr>
        <w:spacing w:before="185" w:line="220" w:lineRule="auto"/>
        <w:ind w:left="60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）声环境</w:t>
      </w:r>
    </w:p>
    <w:p>
      <w:pPr>
        <w:spacing w:before="181" w:line="359" w:lineRule="auto"/>
        <w:ind w:left="122" w:right="46" w:firstLine="480"/>
        <w:rPr>
          <w:rFonts w:ascii="宋体" w:hAnsi="宋体" w:eastAsia="宋体" w:cs="宋体"/>
          <w:sz w:val="24"/>
          <w:szCs w:val="24"/>
        </w:rPr>
      </w:pPr>
      <w:r>
        <w:rPr>
          <w:rFonts w:ascii="宋体" w:hAnsi="宋体" w:eastAsia="宋体" w:cs="宋体"/>
          <w:spacing w:val="-4"/>
          <w:sz w:val="24"/>
          <w:szCs w:val="24"/>
        </w:rPr>
        <w:t>本工程位于《声环境质量标准》（</w:t>
      </w:r>
      <w:r>
        <w:rPr>
          <w:rFonts w:ascii="Times New Roman" w:hAnsi="Times New Roman" w:eastAsia="Times New Roman" w:cs="Times New Roman"/>
          <w:spacing w:val="-4"/>
          <w:sz w:val="24"/>
          <w:szCs w:val="24"/>
        </w:rPr>
        <w:t>GB3096-2008</w:t>
      </w:r>
      <w:r>
        <w:rPr>
          <w:rFonts w:ascii="宋体" w:hAnsi="宋体" w:eastAsia="宋体" w:cs="宋体"/>
          <w:spacing w:val="-4"/>
          <w:sz w:val="24"/>
          <w:szCs w:val="24"/>
        </w:rPr>
        <w:t xml:space="preserve">）中规定的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26"/>
          <w:w w:val="101"/>
          <w:sz w:val="24"/>
          <w:szCs w:val="24"/>
        </w:rPr>
        <w:t xml:space="preserve"> </w:t>
      </w:r>
      <w:r>
        <w:rPr>
          <w:rFonts w:ascii="宋体" w:hAnsi="宋体" w:eastAsia="宋体" w:cs="宋体"/>
          <w:spacing w:val="-4"/>
          <w:sz w:val="24"/>
          <w:szCs w:val="24"/>
        </w:rPr>
        <w:t>类、</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26"/>
          <w:w w:val="101"/>
          <w:sz w:val="24"/>
          <w:szCs w:val="24"/>
        </w:rPr>
        <w:t xml:space="preserve"> </w:t>
      </w:r>
      <w:r>
        <w:rPr>
          <w:rFonts w:ascii="宋体" w:hAnsi="宋体" w:eastAsia="宋体" w:cs="宋体"/>
          <w:spacing w:val="-4"/>
          <w:sz w:val="24"/>
          <w:szCs w:val="24"/>
        </w:rPr>
        <w:t>类、</w:t>
      </w:r>
      <w:r>
        <w:rPr>
          <w:rFonts w:ascii="Times New Roman" w:hAnsi="Times New Roman" w:eastAsia="Times New Roman" w:cs="Times New Roman"/>
          <w:spacing w:val="-4"/>
          <w:sz w:val="24"/>
          <w:szCs w:val="24"/>
        </w:rPr>
        <w:t>4a</w:t>
      </w:r>
      <w:r>
        <w:rPr>
          <w:rFonts w:ascii="Times New Roman" w:hAnsi="Times New Roman" w:eastAsia="Times New Roman" w:cs="Times New Roman"/>
          <w:sz w:val="24"/>
          <w:szCs w:val="24"/>
        </w:rPr>
        <w:t xml:space="preserve">  </w:t>
      </w:r>
      <w:r>
        <w:rPr>
          <w:rFonts w:ascii="宋体" w:hAnsi="宋体" w:eastAsia="宋体" w:cs="宋体"/>
          <w:spacing w:val="-9"/>
          <w:sz w:val="24"/>
          <w:szCs w:val="24"/>
        </w:rPr>
        <w:t>类地区； 工程实施后评价范围内声环境保护目标的噪声级增量在</w:t>
      </w:r>
      <w:r>
        <w:rPr>
          <w:rFonts w:ascii="宋体" w:hAnsi="宋体" w:eastAsia="宋体" w:cs="宋体"/>
          <w:spacing w:val="-30"/>
          <w:sz w:val="24"/>
          <w:szCs w:val="24"/>
        </w:rPr>
        <w:t xml:space="preserve"> </w:t>
      </w:r>
      <w:r>
        <w:rPr>
          <w:rFonts w:ascii="Times New Roman" w:hAnsi="Times New Roman" w:eastAsia="Times New Roman" w:cs="Times New Roman"/>
          <w:spacing w:val="-9"/>
          <w:sz w:val="24"/>
          <w:szCs w:val="24"/>
        </w:rPr>
        <w:t>5dB</w:t>
      </w:r>
      <w:r>
        <w:rPr>
          <w:rFonts w:ascii="宋体" w:hAnsi="宋体" w:eastAsia="宋体" w:cs="宋体"/>
          <w:spacing w:val="-9"/>
          <w:sz w:val="24"/>
          <w:szCs w:val="24"/>
        </w:rPr>
        <w:t>（</w:t>
      </w:r>
      <w:r>
        <w:rPr>
          <w:rFonts w:ascii="Times New Roman" w:hAnsi="Times New Roman" w:eastAsia="Times New Roman" w:cs="Times New Roman"/>
          <w:spacing w:val="-9"/>
          <w:sz w:val="24"/>
          <w:szCs w:val="24"/>
        </w:rPr>
        <w:t>A</w:t>
      </w:r>
      <w:r>
        <w:rPr>
          <w:rFonts w:ascii="宋体" w:hAnsi="宋体" w:eastAsia="宋体" w:cs="宋体"/>
          <w:spacing w:val="-9"/>
          <w:sz w:val="24"/>
          <w:szCs w:val="24"/>
        </w:rPr>
        <w:t>）以上，</w:t>
      </w:r>
      <w:r>
        <w:rPr>
          <w:rFonts w:ascii="宋体" w:hAnsi="宋体" w:eastAsia="宋体" w:cs="宋体"/>
          <w:sz w:val="24"/>
          <w:szCs w:val="24"/>
        </w:rPr>
        <w:t xml:space="preserve"> </w:t>
      </w:r>
      <w:r>
        <w:rPr>
          <w:rFonts w:ascii="宋体" w:hAnsi="宋体" w:eastAsia="宋体" w:cs="宋体"/>
          <w:spacing w:val="21"/>
          <w:sz w:val="24"/>
          <w:szCs w:val="24"/>
        </w:rPr>
        <w:t>受噪声影响人口数量增加较多。结合《环境影响评价技术导则</w:t>
      </w:r>
      <w:r>
        <w:rPr>
          <w:rFonts w:ascii="宋体" w:hAnsi="宋体" w:eastAsia="宋体" w:cs="宋体"/>
          <w:spacing w:val="74"/>
          <w:sz w:val="24"/>
          <w:szCs w:val="24"/>
        </w:rPr>
        <w:t xml:space="preserve"> </w:t>
      </w:r>
      <w:r>
        <w:rPr>
          <w:rFonts w:ascii="宋体" w:hAnsi="宋体" w:eastAsia="宋体" w:cs="宋体"/>
          <w:spacing w:val="21"/>
          <w:sz w:val="24"/>
          <w:szCs w:val="24"/>
        </w:rPr>
        <w:t>声环境》</w:t>
      </w:r>
    </w:p>
    <w:p>
      <w:pPr>
        <w:spacing w:line="218" w:lineRule="auto"/>
        <w:ind w:left="12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HJ2.4-2021</w:t>
      </w:r>
      <w:r>
        <w:rPr>
          <w:rFonts w:ascii="宋体" w:hAnsi="宋体" w:eastAsia="宋体" w:cs="宋体"/>
          <w:spacing w:val="-4"/>
          <w:sz w:val="24"/>
          <w:szCs w:val="24"/>
        </w:rPr>
        <w:t>）要求， 本工程声环境影响评价</w:t>
      </w:r>
      <w:r>
        <w:rPr>
          <w:rFonts w:ascii="宋体" w:hAnsi="宋体" w:eastAsia="宋体" w:cs="宋体"/>
          <w:spacing w:val="-5"/>
          <w:sz w:val="24"/>
          <w:szCs w:val="24"/>
        </w:rPr>
        <w:t>工作等级确定为一级。</w:t>
      </w:r>
    </w:p>
    <w:p>
      <w:pPr>
        <w:spacing w:line="218" w:lineRule="auto"/>
        <w:rPr>
          <w:rFonts w:ascii="宋体" w:hAnsi="宋体" w:eastAsia="宋体" w:cs="宋体"/>
          <w:sz w:val="24"/>
          <w:szCs w:val="24"/>
        </w:rPr>
        <w:sectPr>
          <w:headerReference r:id="rId37" w:type="default"/>
          <w:footerReference r:id="rId38" w:type="default"/>
          <w:pgSz w:w="11907" w:h="16839"/>
          <w:pgMar w:top="1118" w:right="1687" w:bottom="1184" w:left="1687" w:header="879" w:footer="1024" w:gutter="0"/>
          <w:cols w:space="720" w:num="1"/>
        </w:sectPr>
      </w:pPr>
    </w:p>
    <w:p>
      <w:pPr>
        <w:pStyle w:val="2"/>
        <w:spacing w:line="277" w:lineRule="auto"/>
      </w:pPr>
    </w:p>
    <w:p>
      <w:pPr>
        <w:spacing w:before="78"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）地下水环境</w:t>
      </w:r>
    </w:p>
    <w:p>
      <w:pPr>
        <w:spacing w:before="182" w:line="359" w:lineRule="auto"/>
        <w:ind w:left="39" w:right="237" w:firstLine="478"/>
        <w:rPr>
          <w:rFonts w:ascii="宋体" w:hAnsi="宋体" w:eastAsia="宋体" w:cs="宋体"/>
          <w:sz w:val="24"/>
          <w:szCs w:val="24"/>
        </w:rPr>
      </w:pPr>
      <w:r>
        <w:rPr>
          <w:rFonts w:ascii="宋体" w:hAnsi="宋体" w:eastAsia="宋体" w:cs="宋体"/>
          <w:spacing w:val="-12"/>
          <w:sz w:val="24"/>
          <w:szCs w:val="24"/>
        </w:rPr>
        <w:t>根据导则， 本项目为二级公路工程，</w:t>
      </w:r>
      <w:r>
        <w:rPr>
          <w:rFonts w:ascii="宋体" w:hAnsi="宋体" w:eastAsia="宋体" w:cs="宋体"/>
          <w:spacing w:val="50"/>
          <w:sz w:val="24"/>
          <w:szCs w:val="24"/>
        </w:rPr>
        <w:t xml:space="preserve"> </w:t>
      </w:r>
      <w:r>
        <w:rPr>
          <w:rFonts w:ascii="宋体" w:hAnsi="宋体" w:eastAsia="宋体" w:cs="宋体"/>
          <w:spacing w:val="-12"/>
          <w:sz w:val="24"/>
          <w:szCs w:val="24"/>
        </w:rPr>
        <w:t>沿线未设置服务区和加油站。根据《环</w:t>
      </w:r>
      <w:r>
        <w:rPr>
          <w:rFonts w:ascii="宋体" w:hAnsi="宋体" w:eastAsia="宋体" w:cs="宋体"/>
          <w:sz w:val="24"/>
          <w:szCs w:val="24"/>
        </w:rPr>
        <w:t xml:space="preserve"> </w:t>
      </w:r>
      <w:r>
        <w:rPr>
          <w:rFonts w:ascii="宋体" w:hAnsi="宋体" w:eastAsia="宋体" w:cs="宋体"/>
          <w:spacing w:val="-5"/>
          <w:sz w:val="24"/>
          <w:szCs w:val="24"/>
        </w:rPr>
        <w:t>境影响评价技术导则 地下水环境》（</w:t>
      </w:r>
      <w:r>
        <w:rPr>
          <w:rFonts w:ascii="Times New Roman" w:hAnsi="Times New Roman" w:eastAsia="Times New Roman" w:cs="Times New Roman"/>
          <w:spacing w:val="-5"/>
          <w:sz w:val="24"/>
          <w:szCs w:val="24"/>
        </w:rPr>
        <w:t>HJ610-2016</w:t>
      </w:r>
      <w:r>
        <w:rPr>
          <w:rFonts w:ascii="宋体" w:hAnsi="宋体" w:eastAsia="宋体" w:cs="宋体"/>
          <w:spacing w:val="-14"/>
          <w:sz w:val="24"/>
          <w:szCs w:val="24"/>
        </w:rPr>
        <w:t>），</w:t>
      </w:r>
      <w:r>
        <w:rPr>
          <w:rFonts w:ascii="宋体" w:hAnsi="宋体" w:eastAsia="宋体" w:cs="宋体"/>
          <w:spacing w:val="-5"/>
          <w:sz w:val="24"/>
          <w:szCs w:val="24"/>
        </w:rPr>
        <w:t>本项目属于</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 xml:space="preserve">IV </w:t>
      </w:r>
      <w:r>
        <w:rPr>
          <w:rFonts w:ascii="宋体" w:hAnsi="宋体" w:eastAsia="宋体" w:cs="宋体"/>
          <w:spacing w:val="-5"/>
          <w:sz w:val="24"/>
          <w:szCs w:val="24"/>
        </w:rPr>
        <w:t>类项目， 无</w:t>
      </w:r>
    </w:p>
    <w:p>
      <w:pPr>
        <w:spacing w:line="218" w:lineRule="auto"/>
        <w:ind w:left="51"/>
        <w:rPr>
          <w:rFonts w:ascii="宋体" w:hAnsi="宋体" w:eastAsia="宋体" w:cs="宋体"/>
          <w:sz w:val="24"/>
          <w:szCs w:val="24"/>
        </w:rPr>
      </w:pPr>
      <w:r>
        <w:rPr>
          <w:rFonts w:ascii="宋体" w:hAnsi="宋体" w:eastAsia="宋体" w:cs="宋体"/>
          <w:spacing w:val="-5"/>
          <w:sz w:val="24"/>
          <w:szCs w:val="24"/>
        </w:rPr>
        <w:t>需开展地下水环境影响评价。</w:t>
      </w:r>
    </w:p>
    <w:p>
      <w:pPr>
        <w:spacing w:before="182" w:line="221" w:lineRule="auto"/>
        <w:ind w:left="52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）土壤</w:t>
      </w:r>
    </w:p>
    <w:p>
      <w:pPr>
        <w:spacing w:before="181" w:line="359" w:lineRule="auto"/>
        <w:ind w:left="39" w:right="240" w:firstLine="479"/>
        <w:rPr>
          <w:rFonts w:ascii="宋体" w:hAnsi="宋体" w:eastAsia="宋体" w:cs="宋体"/>
          <w:sz w:val="24"/>
          <w:szCs w:val="24"/>
        </w:rPr>
      </w:pPr>
      <w:r>
        <w:rPr>
          <w:rFonts w:ascii="宋体" w:hAnsi="宋体" w:eastAsia="宋体" w:cs="宋体"/>
          <w:spacing w:val="-13"/>
          <w:sz w:val="24"/>
          <w:szCs w:val="24"/>
        </w:rPr>
        <w:t>本项目为二级公路工程，</w:t>
      </w:r>
      <w:r>
        <w:rPr>
          <w:rFonts w:ascii="宋体" w:hAnsi="宋体" w:eastAsia="宋体" w:cs="宋体"/>
          <w:spacing w:val="42"/>
          <w:sz w:val="24"/>
          <w:szCs w:val="24"/>
        </w:rPr>
        <w:t xml:space="preserve"> </w:t>
      </w:r>
      <w:r>
        <w:rPr>
          <w:rFonts w:ascii="宋体" w:hAnsi="宋体" w:eastAsia="宋体" w:cs="宋体"/>
          <w:spacing w:val="-13"/>
          <w:sz w:val="24"/>
          <w:szCs w:val="24"/>
        </w:rPr>
        <w:t>沿线未设置服务区和加油站，</w:t>
      </w:r>
      <w:r>
        <w:rPr>
          <w:rFonts w:ascii="宋体" w:hAnsi="宋体" w:eastAsia="宋体" w:cs="宋体"/>
          <w:spacing w:val="32"/>
          <w:sz w:val="24"/>
          <w:szCs w:val="24"/>
        </w:rPr>
        <w:t xml:space="preserve"> </w:t>
      </w:r>
      <w:r>
        <w:rPr>
          <w:rFonts w:ascii="宋体" w:hAnsi="宋体" w:eastAsia="宋体" w:cs="宋体"/>
          <w:spacing w:val="-13"/>
          <w:sz w:val="24"/>
          <w:szCs w:val="24"/>
        </w:rPr>
        <w:t>根据《环境影响评价</w:t>
      </w:r>
      <w:r>
        <w:rPr>
          <w:rFonts w:ascii="宋体" w:hAnsi="宋体" w:eastAsia="宋体" w:cs="宋体"/>
          <w:sz w:val="24"/>
          <w:szCs w:val="24"/>
        </w:rPr>
        <w:t xml:space="preserve"> </w:t>
      </w:r>
      <w:r>
        <w:rPr>
          <w:rFonts w:ascii="宋体" w:hAnsi="宋体" w:eastAsia="宋体" w:cs="宋体"/>
          <w:spacing w:val="-7"/>
          <w:sz w:val="24"/>
          <w:szCs w:val="24"/>
        </w:rPr>
        <w:t>技术导则 土壤环境（试行）</w:t>
      </w:r>
      <w:r>
        <w:rPr>
          <w:rFonts w:ascii="宋体" w:hAnsi="宋体" w:eastAsia="宋体" w:cs="宋体"/>
          <w:spacing w:val="-36"/>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HJ964-2018</w:t>
      </w:r>
      <w:r>
        <w:rPr>
          <w:rFonts w:ascii="宋体" w:hAnsi="宋体" w:eastAsia="宋体" w:cs="宋体"/>
          <w:spacing w:val="-8"/>
          <w:sz w:val="24"/>
          <w:szCs w:val="24"/>
        </w:rPr>
        <w:t>），本项目属于</w:t>
      </w:r>
      <w:r>
        <w:rPr>
          <w:rFonts w:ascii="宋体" w:hAnsi="宋体" w:eastAsia="宋体" w:cs="宋体"/>
          <w:spacing w:val="-51"/>
          <w:sz w:val="24"/>
          <w:szCs w:val="24"/>
        </w:rPr>
        <w:t xml:space="preserve"> </w:t>
      </w:r>
      <w:r>
        <w:rPr>
          <w:rFonts w:ascii="Times New Roman" w:hAnsi="Times New Roman" w:eastAsia="Times New Roman" w:cs="Times New Roman"/>
          <w:spacing w:val="-8"/>
          <w:sz w:val="24"/>
          <w:szCs w:val="24"/>
        </w:rPr>
        <w:t xml:space="preserve">IV </w:t>
      </w:r>
      <w:r>
        <w:rPr>
          <w:rFonts w:ascii="宋体" w:hAnsi="宋体" w:eastAsia="宋体" w:cs="宋体"/>
          <w:spacing w:val="-8"/>
          <w:sz w:val="24"/>
          <w:szCs w:val="24"/>
        </w:rPr>
        <w:t>类项目， 无需开</w:t>
      </w:r>
    </w:p>
    <w:p>
      <w:pPr>
        <w:spacing w:line="218" w:lineRule="auto"/>
        <w:ind w:left="40"/>
        <w:rPr>
          <w:rFonts w:ascii="宋体" w:hAnsi="宋体" w:eastAsia="宋体" w:cs="宋体"/>
          <w:sz w:val="24"/>
          <w:szCs w:val="24"/>
        </w:rPr>
      </w:pPr>
      <w:r>
        <w:rPr>
          <w:rFonts w:ascii="宋体" w:hAnsi="宋体" w:eastAsia="宋体" w:cs="宋体"/>
          <w:spacing w:val="-5"/>
          <w:sz w:val="24"/>
          <w:szCs w:val="24"/>
        </w:rPr>
        <w:t>展土壤环境影响评价。</w:t>
      </w:r>
    </w:p>
    <w:p>
      <w:pPr>
        <w:spacing w:before="182"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）生态环境</w:t>
      </w:r>
    </w:p>
    <w:p>
      <w:pPr>
        <w:spacing w:before="181" w:line="359" w:lineRule="auto"/>
        <w:ind w:left="39" w:right="156" w:firstLine="479"/>
        <w:rPr>
          <w:rFonts w:ascii="宋体" w:hAnsi="宋体" w:eastAsia="宋体" w:cs="宋体"/>
          <w:sz w:val="24"/>
          <w:szCs w:val="24"/>
        </w:rPr>
      </w:pPr>
      <w:r>
        <w:rPr>
          <w:rFonts w:ascii="宋体" w:hAnsi="宋体" w:eastAsia="宋体" w:cs="宋体"/>
          <w:spacing w:val="-3"/>
          <w:sz w:val="24"/>
          <w:szCs w:val="24"/>
        </w:rPr>
        <w:t>本工程占地面积共计</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31.0501hm²</w:t>
      </w:r>
      <w:r>
        <w:rPr>
          <w:rFonts w:ascii="宋体" w:hAnsi="宋体" w:eastAsia="宋体" w:cs="宋体"/>
          <w:spacing w:val="-3"/>
          <w:sz w:val="24"/>
          <w:szCs w:val="24"/>
        </w:rPr>
        <w:t>, 小于</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20km</w:t>
      </w:r>
      <w:r>
        <w:rPr>
          <w:rFonts w:ascii="Times New Roman" w:hAnsi="Times New Roman" w:eastAsia="Times New Roman" w:cs="Times New Roman"/>
          <w:spacing w:val="-3"/>
          <w:position w:val="9"/>
          <w:sz w:val="16"/>
          <w:szCs w:val="16"/>
        </w:rPr>
        <w:t>2</w:t>
      </w:r>
      <w:r>
        <w:rPr>
          <w:rFonts w:ascii="宋体" w:hAnsi="宋体" w:eastAsia="宋体" w:cs="宋体"/>
          <w:spacing w:val="-3"/>
          <w:sz w:val="24"/>
          <w:szCs w:val="24"/>
        </w:rPr>
        <w:t xml:space="preserve">。本工程不涉及国家公园、自 </w:t>
      </w:r>
      <w:r>
        <w:rPr>
          <w:rFonts w:ascii="宋体" w:hAnsi="宋体" w:eastAsia="宋体" w:cs="宋体"/>
          <w:spacing w:val="-11"/>
          <w:sz w:val="24"/>
          <w:szCs w:val="24"/>
        </w:rPr>
        <w:t>然保护区、世界自然遗产等区域， 不涉及湿地等自然公园，不涉及生态保护红线，</w:t>
      </w:r>
      <w:r>
        <w:rPr>
          <w:rFonts w:ascii="宋体" w:hAnsi="宋体" w:eastAsia="宋体" w:cs="宋体"/>
          <w:spacing w:val="7"/>
          <w:sz w:val="24"/>
          <w:szCs w:val="24"/>
        </w:rPr>
        <w:t xml:space="preserve"> </w:t>
      </w:r>
      <w:r>
        <w:rPr>
          <w:rFonts w:ascii="宋体" w:hAnsi="宋体" w:eastAsia="宋体" w:cs="宋体"/>
          <w:spacing w:val="-10"/>
          <w:sz w:val="24"/>
          <w:szCs w:val="24"/>
        </w:rPr>
        <w:t>也不涉及重要物种的天然集中分布区、栖息地， 迁徙</w:t>
      </w:r>
      <w:r>
        <w:rPr>
          <w:rFonts w:ascii="宋体" w:hAnsi="宋体" w:eastAsia="宋体" w:cs="宋体"/>
          <w:spacing w:val="-11"/>
          <w:sz w:val="24"/>
          <w:szCs w:val="24"/>
        </w:rPr>
        <w:t>鸟类的重要繁殖地、停歇地、</w:t>
      </w:r>
    </w:p>
    <w:p>
      <w:pPr>
        <w:spacing w:before="1" w:line="219" w:lineRule="auto"/>
        <w:ind w:left="37"/>
        <w:rPr>
          <w:rFonts w:ascii="宋体" w:hAnsi="宋体" w:eastAsia="宋体" w:cs="宋体"/>
          <w:sz w:val="24"/>
          <w:szCs w:val="24"/>
        </w:rPr>
      </w:pPr>
      <w:r>
        <w:rPr>
          <w:rFonts w:ascii="宋体" w:hAnsi="宋体" w:eastAsia="宋体" w:cs="宋体"/>
          <w:spacing w:val="-3"/>
          <w:sz w:val="24"/>
          <w:szCs w:val="24"/>
        </w:rPr>
        <w:t>越冬地以及野生动物迁徙通道等重要生境。</w:t>
      </w:r>
    </w:p>
    <w:p>
      <w:pPr>
        <w:spacing w:before="184" w:line="359" w:lineRule="auto"/>
        <w:ind w:left="43" w:right="239" w:firstLine="475"/>
        <w:rPr>
          <w:rFonts w:ascii="宋体" w:hAnsi="宋体" w:eastAsia="宋体" w:cs="宋体"/>
          <w:sz w:val="24"/>
          <w:szCs w:val="24"/>
        </w:rPr>
      </w:pPr>
      <w:r>
        <w:rPr>
          <w:rFonts w:ascii="宋体" w:hAnsi="宋体" w:eastAsia="宋体" w:cs="宋体"/>
          <w:spacing w:val="-6"/>
          <w:sz w:val="24"/>
          <w:szCs w:val="24"/>
        </w:rPr>
        <w:t>本项目位于珊溪水库饮用水水源保护区准保护区范围内，</w:t>
      </w:r>
      <w:r>
        <w:rPr>
          <w:rFonts w:ascii="宋体" w:hAnsi="宋体" w:eastAsia="宋体" w:cs="宋体"/>
          <w:spacing w:val="-27"/>
          <w:sz w:val="24"/>
          <w:szCs w:val="24"/>
        </w:rPr>
        <w:t xml:space="preserve"> </w:t>
      </w:r>
      <w:r>
        <w:rPr>
          <w:rFonts w:ascii="宋体" w:hAnsi="宋体" w:eastAsia="宋体" w:cs="宋体"/>
          <w:spacing w:val="-6"/>
          <w:sz w:val="24"/>
          <w:szCs w:val="24"/>
        </w:rPr>
        <w:t>项目位于百丈漈飞</w:t>
      </w:r>
      <w:r>
        <w:rPr>
          <w:rFonts w:ascii="宋体" w:hAnsi="宋体" w:eastAsia="宋体" w:cs="宋体"/>
          <w:sz w:val="24"/>
          <w:szCs w:val="24"/>
        </w:rPr>
        <w:t xml:space="preserve"> </w:t>
      </w:r>
      <w:r>
        <w:rPr>
          <w:rFonts w:ascii="宋体" w:hAnsi="宋体" w:eastAsia="宋体" w:cs="宋体"/>
          <w:spacing w:val="-6"/>
          <w:sz w:val="24"/>
          <w:szCs w:val="24"/>
        </w:rPr>
        <w:t>云湖风景名胜区外围保护地带，</w:t>
      </w:r>
      <w:r>
        <w:rPr>
          <w:rFonts w:ascii="宋体" w:hAnsi="宋体" w:eastAsia="宋体" w:cs="宋体"/>
          <w:spacing w:val="-20"/>
          <w:sz w:val="24"/>
          <w:szCs w:val="24"/>
        </w:rPr>
        <w:t xml:space="preserve"> </w:t>
      </w:r>
      <w:r>
        <w:rPr>
          <w:rFonts w:ascii="宋体" w:hAnsi="宋体" w:eastAsia="宋体" w:cs="宋体"/>
          <w:spacing w:val="-6"/>
          <w:sz w:val="24"/>
          <w:szCs w:val="24"/>
        </w:rPr>
        <w:t>与百丈漈飞云湖风景名胜区最新划定的范围距离</w:t>
      </w:r>
      <w:r>
        <w:rPr>
          <w:rFonts w:ascii="宋体" w:hAnsi="宋体" w:eastAsia="宋体" w:cs="宋体"/>
          <w:sz w:val="24"/>
          <w:szCs w:val="24"/>
        </w:rPr>
        <w:t xml:space="preserve"> </w:t>
      </w:r>
      <w:r>
        <w:rPr>
          <w:rFonts w:ascii="宋体" w:hAnsi="宋体" w:eastAsia="宋体" w:cs="宋体"/>
          <w:spacing w:val="-8"/>
          <w:sz w:val="24"/>
          <w:szCs w:val="24"/>
        </w:rPr>
        <w:t>约</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1305m</w:t>
      </w:r>
      <w:r>
        <w:rPr>
          <w:rFonts w:ascii="宋体" w:hAnsi="宋体" w:eastAsia="宋体" w:cs="宋体"/>
          <w:spacing w:val="-8"/>
          <w:sz w:val="24"/>
          <w:szCs w:val="24"/>
        </w:rPr>
        <w:t>。本项目不涉及地下水及土壤环境影响评价，</w:t>
      </w:r>
      <w:r>
        <w:rPr>
          <w:rFonts w:ascii="宋体" w:hAnsi="宋体" w:eastAsia="宋体" w:cs="宋体"/>
          <w:spacing w:val="31"/>
          <w:sz w:val="24"/>
          <w:szCs w:val="24"/>
        </w:rPr>
        <w:t xml:space="preserve"> </w:t>
      </w:r>
      <w:r>
        <w:rPr>
          <w:rFonts w:ascii="宋体" w:hAnsi="宋体" w:eastAsia="宋体" w:cs="宋体"/>
          <w:spacing w:val="-8"/>
          <w:sz w:val="24"/>
          <w:szCs w:val="24"/>
        </w:rPr>
        <w:t>根据《环境影</w:t>
      </w:r>
      <w:r>
        <w:rPr>
          <w:rFonts w:ascii="宋体" w:hAnsi="宋体" w:eastAsia="宋体" w:cs="宋体"/>
          <w:spacing w:val="-9"/>
          <w:sz w:val="24"/>
          <w:szCs w:val="24"/>
        </w:rPr>
        <w:t>响评价技术</w:t>
      </w:r>
    </w:p>
    <w:p>
      <w:pPr>
        <w:spacing w:before="1" w:line="218" w:lineRule="auto"/>
        <w:ind w:left="44"/>
        <w:rPr>
          <w:rFonts w:ascii="宋体" w:hAnsi="宋体" w:eastAsia="宋体" w:cs="宋体"/>
          <w:sz w:val="24"/>
          <w:szCs w:val="24"/>
        </w:rPr>
      </w:pPr>
      <w:r>
        <w:rPr>
          <w:rFonts w:ascii="宋体" w:hAnsi="宋体" w:eastAsia="宋体" w:cs="宋体"/>
          <w:sz w:val="24"/>
          <w:szCs w:val="24"/>
        </w:rPr>
        <w:t>导则 生态影响》（</w:t>
      </w:r>
      <w:r>
        <w:rPr>
          <w:rFonts w:ascii="Times New Roman" w:hAnsi="Times New Roman" w:eastAsia="Times New Roman" w:cs="Times New Roman"/>
          <w:sz w:val="24"/>
          <w:szCs w:val="24"/>
        </w:rPr>
        <w:t>HJ19-2022</w:t>
      </w:r>
      <w:r>
        <w:rPr>
          <w:rFonts w:ascii="宋体" w:hAnsi="宋体" w:eastAsia="宋体" w:cs="宋体"/>
          <w:sz w:val="24"/>
          <w:szCs w:val="24"/>
        </w:rPr>
        <w:t>）中</w:t>
      </w:r>
      <w:r>
        <w:rPr>
          <w:rFonts w:ascii="宋体" w:hAnsi="宋体" w:eastAsia="宋体" w:cs="宋体"/>
          <w:spacing w:val="-1"/>
          <w:sz w:val="24"/>
          <w:szCs w:val="24"/>
        </w:rPr>
        <w:t>有关规定，项目生态评价等级为三级。</w:t>
      </w:r>
    </w:p>
    <w:p>
      <w:pPr>
        <w:spacing w:before="182"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7</w:t>
      </w:r>
      <w:r>
        <w:rPr>
          <w:rFonts w:ascii="宋体" w:hAnsi="宋体" w:eastAsia="宋体" w:cs="宋体"/>
          <w:spacing w:val="-4"/>
          <w:sz w:val="24"/>
          <w:szCs w:val="24"/>
        </w:rPr>
        <w:t>）环境风险</w:t>
      </w:r>
    </w:p>
    <w:p>
      <w:pPr>
        <w:spacing w:before="182" w:line="359" w:lineRule="auto"/>
        <w:ind w:left="39" w:right="239" w:firstLine="479"/>
        <w:rPr>
          <w:rFonts w:ascii="宋体" w:hAnsi="宋体" w:eastAsia="宋体" w:cs="宋体"/>
          <w:sz w:val="24"/>
          <w:szCs w:val="24"/>
        </w:rPr>
      </w:pPr>
      <w:r>
        <w:rPr>
          <w:rFonts w:ascii="宋体" w:hAnsi="宋体" w:eastAsia="宋体" w:cs="宋体"/>
          <w:spacing w:val="-10"/>
          <w:sz w:val="24"/>
          <w:szCs w:val="24"/>
        </w:rPr>
        <w:t>本工程属于非污染生态型项目， 工程不设置加油站， 不涉及有毒有害和易燃</w:t>
      </w:r>
      <w:r>
        <w:rPr>
          <w:rFonts w:ascii="宋体" w:hAnsi="宋体" w:eastAsia="宋体" w:cs="宋体"/>
          <w:spacing w:val="2"/>
          <w:sz w:val="24"/>
          <w:szCs w:val="24"/>
        </w:rPr>
        <w:t xml:space="preserve"> </w:t>
      </w:r>
      <w:r>
        <w:rPr>
          <w:rFonts w:ascii="宋体" w:hAnsi="宋体" w:eastAsia="宋体" w:cs="宋体"/>
          <w:spacing w:val="-12"/>
          <w:sz w:val="24"/>
          <w:szCs w:val="24"/>
        </w:rPr>
        <w:t>易爆危险物质生产、使用、存储，</w:t>
      </w:r>
      <w:r>
        <w:rPr>
          <w:rFonts w:ascii="宋体" w:hAnsi="宋体" w:eastAsia="宋体" w:cs="宋体"/>
          <w:spacing w:val="41"/>
          <w:sz w:val="24"/>
          <w:szCs w:val="24"/>
        </w:rPr>
        <w:t xml:space="preserve"> </w:t>
      </w:r>
      <w:r>
        <w:rPr>
          <w:rFonts w:ascii="宋体" w:hAnsi="宋体" w:eastAsia="宋体" w:cs="宋体"/>
          <w:spacing w:val="-12"/>
          <w:sz w:val="24"/>
          <w:szCs w:val="24"/>
        </w:rPr>
        <w:t>工程本身不存在重大危险</w:t>
      </w:r>
      <w:r>
        <w:rPr>
          <w:rFonts w:ascii="宋体" w:hAnsi="宋体" w:eastAsia="宋体" w:cs="宋体"/>
          <w:spacing w:val="-13"/>
          <w:sz w:val="24"/>
          <w:szCs w:val="24"/>
        </w:rPr>
        <w:t>物质，</w:t>
      </w:r>
      <w:r>
        <w:rPr>
          <w:rFonts w:ascii="宋体" w:hAnsi="宋体" w:eastAsia="宋体" w:cs="宋体"/>
          <w:spacing w:val="40"/>
          <w:sz w:val="24"/>
          <w:szCs w:val="24"/>
        </w:rPr>
        <w:t xml:space="preserve"> </w:t>
      </w:r>
      <w:r>
        <w:rPr>
          <w:rFonts w:ascii="宋体" w:hAnsi="宋体" w:eastAsia="宋体" w:cs="宋体"/>
          <w:spacing w:val="-13"/>
          <w:sz w:val="24"/>
          <w:szCs w:val="24"/>
        </w:rPr>
        <w:t>本工程的环境</w:t>
      </w:r>
      <w:r>
        <w:rPr>
          <w:rFonts w:ascii="宋体" w:hAnsi="宋体" w:eastAsia="宋体" w:cs="宋体"/>
          <w:sz w:val="24"/>
          <w:szCs w:val="24"/>
        </w:rPr>
        <w:t xml:space="preserve"> </w:t>
      </w:r>
      <w:r>
        <w:rPr>
          <w:rFonts w:ascii="宋体" w:hAnsi="宋体" w:eastAsia="宋体" w:cs="宋体"/>
          <w:spacing w:val="-3"/>
          <w:sz w:val="24"/>
          <w:szCs w:val="24"/>
        </w:rPr>
        <w:t>风险主要为危险品运输车辆发生交通事故时造成的环境污染问题。现行环境风险</w:t>
      </w:r>
      <w:r>
        <w:rPr>
          <w:rFonts w:ascii="宋体" w:hAnsi="宋体" w:eastAsia="宋体" w:cs="宋体"/>
          <w:sz w:val="24"/>
          <w:szCs w:val="24"/>
        </w:rPr>
        <w:t xml:space="preserve"> </w:t>
      </w:r>
      <w:r>
        <w:rPr>
          <w:rFonts w:ascii="宋体" w:hAnsi="宋体" w:eastAsia="宋体" w:cs="宋体"/>
          <w:spacing w:val="-12"/>
          <w:sz w:val="24"/>
          <w:szCs w:val="24"/>
        </w:rPr>
        <w:t>导则明确不适用于生态类项目环境风险评价。因此，</w:t>
      </w:r>
      <w:r>
        <w:rPr>
          <w:rFonts w:ascii="宋体" w:hAnsi="宋体" w:eastAsia="宋体" w:cs="宋体"/>
          <w:spacing w:val="33"/>
          <w:sz w:val="24"/>
          <w:szCs w:val="24"/>
        </w:rPr>
        <w:t xml:space="preserve"> </w:t>
      </w:r>
      <w:r>
        <w:rPr>
          <w:rFonts w:ascii="宋体" w:hAnsi="宋体" w:eastAsia="宋体" w:cs="宋体"/>
          <w:spacing w:val="-12"/>
          <w:sz w:val="24"/>
          <w:szCs w:val="24"/>
        </w:rPr>
        <w:t>本次不作风险等级</w:t>
      </w:r>
      <w:r>
        <w:rPr>
          <w:rFonts w:ascii="宋体" w:hAnsi="宋体" w:eastAsia="宋体" w:cs="宋体"/>
          <w:spacing w:val="-13"/>
          <w:sz w:val="24"/>
          <w:szCs w:val="24"/>
        </w:rPr>
        <w:t>判定，</w:t>
      </w:r>
      <w:r>
        <w:rPr>
          <w:rFonts w:ascii="宋体" w:hAnsi="宋体" w:eastAsia="宋体" w:cs="宋体"/>
          <w:spacing w:val="46"/>
          <w:sz w:val="24"/>
          <w:szCs w:val="24"/>
        </w:rPr>
        <w:t xml:space="preserve"> </w:t>
      </w:r>
      <w:r>
        <w:rPr>
          <w:rFonts w:ascii="宋体" w:hAnsi="宋体" w:eastAsia="宋体" w:cs="宋体"/>
          <w:spacing w:val="-13"/>
          <w:sz w:val="24"/>
          <w:szCs w:val="24"/>
        </w:rPr>
        <w:t>只</w:t>
      </w:r>
      <w:r>
        <w:rPr>
          <w:rFonts w:ascii="宋体" w:hAnsi="宋体" w:eastAsia="宋体" w:cs="宋体"/>
          <w:sz w:val="24"/>
          <w:szCs w:val="24"/>
        </w:rPr>
        <w:t xml:space="preserve"> </w:t>
      </w:r>
      <w:r>
        <w:rPr>
          <w:rFonts w:ascii="宋体" w:hAnsi="宋体" w:eastAsia="宋体" w:cs="宋体"/>
          <w:spacing w:val="-2"/>
          <w:sz w:val="24"/>
          <w:szCs w:val="24"/>
        </w:rPr>
        <w:t>参照《建设项目环境风险评价技术导则》（</w:t>
      </w:r>
      <w:r>
        <w:rPr>
          <w:rFonts w:ascii="Times New Roman" w:hAnsi="Times New Roman" w:eastAsia="Times New Roman" w:cs="Times New Roman"/>
          <w:spacing w:val="-2"/>
          <w:sz w:val="24"/>
          <w:szCs w:val="24"/>
        </w:rPr>
        <w:t>HJ169-2018</w:t>
      </w:r>
      <w:r>
        <w:rPr>
          <w:rFonts w:ascii="宋体" w:hAnsi="宋体" w:eastAsia="宋体" w:cs="宋体"/>
          <w:spacing w:val="-8"/>
          <w:sz w:val="24"/>
          <w:szCs w:val="24"/>
        </w:rPr>
        <w:t>），</w:t>
      </w:r>
      <w:r>
        <w:rPr>
          <w:rFonts w:ascii="宋体" w:hAnsi="宋体" w:eastAsia="宋体" w:cs="宋体"/>
          <w:spacing w:val="-2"/>
          <w:sz w:val="24"/>
          <w:szCs w:val="24"/>
        </w:rPr>
        <w:t>进行简单分析并提出</w:t>
      </w:r>
    </w:p>
    <w:p>
      <w:pPr>
        <w:spacing w:line="220" w:lineRule="auto"/>
        <w:ind w:left="53"/>
        <w:rPr>
          <w:rFonts w:ascii="宋体" w:hAnsi="宋体" w:eastAsia="宋体" w:cs="宋体"/>
          <w:sz w:val="24"/>
          <w:szCs w:val="24"/>
        </w:rPr>
      </w:pPr>
      <w:r>
        <w:rPr>
          <w:rFonts w:ascii="宋体" w:hAnsi="宋体" w:eastAsia="宋体" w:cs="宋体"/>
          <w:spacing w:val="-6"/>
          <w:sz w:val="24"/>
          <w:szCs w:val="24"/>
        </w:rPr>
        <w:t>防范及应急措施要求。</w:t>
      </w:r>
    </w:p>
    <w:p>
      <w:pPr>
        <w:spacing w:before="182" w:line="218" w:lineRule="auto"/>
        <w:ind w:left="34"/>
        <w:outlineLvl w:val="0"/>
        <w:rPr>
          <w:rFonts w:ascii="宋体" w:hAnsi="宋体" w:eastAsia="宋体" w:cs="宋体"/>
          <w:sz w:val="24"/>
          <w:szCs w:val="24"/>
        </w:rPr>
      </w:pPr>
      <w:r>
        <w:rPr>
          <w:rFonts w:ascii="Times New Roman" w:hAnsi="Times New Roman" w:eastAsia="Times New Roman" w:cs="Times New Roman"/>
          <w:b/>
          <w:bCs/>
          <w:spacing w:val="-1"/>
          <w:sz w:val="24"/>
          <w:szCs w:val="24"/>
        </w:rPr>
        <w:t xml:space="preserve">2.3.2 </w:t>
      </w:r>
      <w:r>
        <w:rPr>
          <w:rFonts w:ascii="宋体" w:hAnsi="宋体" w:eastAsia="宋体" w:cs="宋体"/>
          <w:spacing w:val="-1"/>
          <w:sz w:val="24"/>
          <w:szCs w:val="24"/>
          <w14:textOutline w14:w="4354" w14:cap="flat" w14:cmpd="sng">
            <w14:solidFill>
              <w14:srgbClr w14:val="000000"/>
            </w14:solidFill>
            <w14:prstDash w14:val="solid"/>
            <w14:miter w14:val="0"/>
          </w14:textOutline>
        </w:rPr>
        <w:t>评价范围</w:t>
      </w:r>
    </w:p>
    <w:p>
      <w:pPr>
        <w:spacing w:before="182" w:line="468" w:lineRule="exact"/>
        <w:ind w:left="518"/>
        <w:rPr>
          <w:rFonts w:ascii="宋体" w:hAnsi="宋体" w:eastAsia="宋体" w:cs="宋体"/>
          <w:sz w:val="24"/>
          <w:szCs w:val="24"/>
        </w:rPr>
      </w:pPr>
      <w:r>
        <w:rPr>
          <w:rFonts w:ascii="宋体" w:hAnsi="宋体" w:eastAsia="宋体" w:cs="宋体"/>
          <w:spacing w:val="-10"/>
          <w:position w:val="17"/>
          <w:sz w:val="24"/>
          <w:szCs w:val="24"/>
        </w:rPr>
        <w:t>根据上述各环境要素评价等级的确定情况， 按导则要求， 结合工程沿线实际</w:t>
      </w:r>
    </w:p>
    <w:p>
      <w:pPr>
        <w:spacing w:line="218" w:lineRule="auto"/>
        <w:ind w:left="39"/>
        <w:rPr>
          <w:rFonts w:ascii="宋体" w:hAnsi="宋体" w:eastAsia="宋体" w:cs="宋体"/>
          <w:sz w:val="24"/>
          <w:szCs w:val="24"/>
        </w:rPr>
      </w:pPr>
      <w:r>
        <w:rPr>
          <w:rFonts w:ascii="宋体" w:hAnsi="宋体" w:eastAsia="宋体" w:cs="宋体"/>
          <w:spacing w:val="-1"/>
          <w:sz w:val="24"/>
          <w:szCs w:val="24"/>
        </w:rPr>
        <w:t>情况，确定工程评价范围，具体见表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2.3-2</w:t>
      </w:r>
      <w:r>
        <w:rPr>
          <w:rFonts w:ascii="宋体" w:hAnsi="宋体" w:eastAsia="宋体" w:cs="宋体"/>
          <w:spacing w:val="-1"/>
          <w:sz w:val="24"/>
          <w:szCs w:val="24"/>
        </w:rPr>
        <w:t>。</w:t>
      </w:r>
    </w:p>
    <w:p>
      <w:pPr>
        <w:spacing w:before="182" w:line="218" w:lineRule="auto"/>
        <w:ind w:left="205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2.3-2      </w:t>
      </w:r>
      <w:r>
        <w:rPr>
          <w:rFonts w:ascii="宋体" w:hAnsi="宋体" w:eastAsia="宋体" w:cs="宋体"/>
          <w:spacing w:val="-1"/>
          <w:sz w:val="24"/>
          <w:szCs w:val="24"/>
        </w:rPr>
        <w:t>工程环境影响评价范围一览表</w:t>
      </w:r>
    </w:p>
    <w:p>
      <w:pPr>
        <w:spacing w:line="148" w:lineRule="exact"/>
      </w:pPr>
    </w:p>
    <w:tbl>
      <w:tblPr>
        <w:tblStyle w:val="5"/>
        <w:tblW w:w="8545"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4"/>
        <w:gridCol w:w="71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44" w:type="dxa"/>
            <w:vAlign w:val="top"/>
          </w:tcPr>
          <w:p>
            <w:pPr>
              <w:pStyle w:val="6"/>
              <w:spacing w:before="34" w:line="208" w:lineRule="auto"/>
              <w:ind w:left="307"/>
            </w:pPr>
            <w:r>
              <w:rPr>
                <w:spacing w:val="-1"/>
              </w:rPr>
              <w:t>评价内容</w:t>
            </w:r>
          </w:p>
        </w:tc>
        <w:tc>
          <w:tcPr>
            <w:tcW w:w="7101" w:type="dxa"/>
            <w:vAlign w:val="top"/>
          </w:tcPr>
          <w:p>
            <w:pPr>
              <w:pStyle w:val="6"/>
              <w:spacing w:before="34" w:line="208" w:lineRule="auto"/>
              <w:ind w:left="2975"/>
            </w:pPr>
            <w:r>
              <w:rPr>
                <w:spacing w:val="-7"/>
              </w:rPr>
              <w:t>评</w:t>
            </w:r>
            <w:r>
              <w:rPr>
                <w:spacing w:val="10"/>
              </w:rPr>
              <w:t xml:space="preserve"> </w:t>
            </w:r>
            <w:r>
              <w:rPr>
                <w:spacing w:val="-7"/>
              </w:rPr>
              <w:t>价</w:t>
            </w:r>
            <w:r>
              <w:rPr>
                <w:spacing w:val="12"/>
              </w:rPr>
              <w:t xml:space="preserve"> </w:t>
            </w:r>
            <w:r>
              <w:rPr>
                <w:spacing w:val="-7"/>
              </w:rPr>
              <w:t>范</w:t>
            </w:r>
            <w:r>
              <w:rPr>
                <w:spacing w:val="25"/>
              </w:rPr>
              <w:t xml:space="preserve"> </w:t>
            </w:r>
            <w:r>
              <w:rPr>
                <w:spacing w:val="-7"/>
              </w:rPr>
              <w:t>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444" w:type="dxa"/>
            <w:vAlign w:val="top"/>
          </w:tcPr>
          <w:p>
            <w:pPr>
              <w:pStyle w:val="6"/>
              <w:spacing w:before="165" w:line="221" w:lineRule="auto"/>
              <w:ind w:left="411"/>
            </w:pPr>
            <w:r>
              <w:rPr>
                <w:spacing w:val="-2"/>
              </w:rPr>
              <w:t>地表水</w:t>
            </w:r>
          </w:p>
        </w:tc>
        <w:tc>
          <w:tcPr>
            <w:tcW w:w="7101" w:type="dxa"/>
            <w:vAlign w:val="top"/>
          </w:tcPr>
          <w:p>
            <w:pPr>
              <w:pStyle w:val="6"/>
              <w:spacing w:before="31" w:line="220" w:lineRule="auto"/>
              <w:ind w:left="114"/>
            </w:pPr>
            <w:r>
              <w:rPr>
                <w:spacing w:val="-4"/>
              </w:rPr>
              <w:t>水污染影响型：</w:t>
            </w:r>
            <w:r>
              <w:rPr>
                <w:spacing w:val="-22"/>
              </w:rPr>
              <w:t xml:space="preserve"> </w:t>
            </w:r>
            <w:r>
              <w:rPr>
                <w:spacing w:val="-4"/>
              </w:rPr>
              <w:t>考虑地表水环境风险，水体上游</w:t>
            </w:r>
            <w:r>
              <w:rPr>
                <w:spacing w:val="-41"/>
              </w:rPr>
              <w:t xml:space="preserve"> </w:t>
            </w:r>
            <w:r>
              <w:rPr>
                <w:rFonts w:ascii="Times New Roman" w:hAnsi="Times New Roman" w:eastAsia="Times New Roman" w:cs="Times New Roman"/>
                <w:spacing w:val="-4"/>
              </w:rPr>
              <w:t>500m</w:t>
            </w:r>
            <w:r>
              <w:rPr>
                <w:spacing w:val="-4"/>
              </w:rPr>
              <w:t>、</w:t>
            </w:r>
            <w:r>
              <w:rPr>
                <w:spacing w:val="-5"/>
              </w:rPr>
              <w:t>下游</w:t>
            </w:r>
            <w:r>
              <w:rPr>
                <w:spacing w:val="-28"/>
              </w:rPr>
              <w:t xml:space="preserve"> </w:t>
            </w:r>
            <w:r>
              <w:rPr>
                <w:rFonts w:ascii="Times New Roman" w:hAnsi="Times New Roman" w:eastAsia="Times New Roman" w:cs="Times New Roman"/>
                <w:spacing w:val="-5"/>
              </w:rPr>
              <w:t>1000m</w:t>
            </w:r>
            <w:r>
              <w:rPr>
                <w:rFonts w:ascii="Times New Roman" w:hAnsi="Times New Roman" w:eastAsia="Times New Roman" w:cs="Times New Roman"/>
                <w:spacing w:val="12"/>
              </w:rPr>
              <w:t xml:space="preserve"> </w:t>
            </w:r>
            <w:r>
              <w:rPr>
                <w:spacing w:val="-5"/>
              </w:rPr>
              <w:t>范围。</w:t>
            </w:r>
          </w:p>
          <w:p>
            <w:pPr>
              <w:pStyle w:val="6"/>
              <w:spacing w:before="21" w:line="209" w:lineRule="auto"/>
              <w:ind w:left="530"/>
            </w:pPr>
            <w:r>
              <w:rPr>
                <w:spacing w:val="-3"/>
              </w:rPr>
              <w:t>水文要素影响型：箱涵设置断面及上游</w:t>
            </w:r>
            <w:r>
              <w:rPr>
                <w:spacing w:val="-42"/>
              </w:rPr>
              <w:t xml:space="preserve"> </w:t>
            </w:r>
            <w:r>
              <w:rPr>
                <w:rFonts w:ascii="Times New Roman" w:hAnsi="Times New Roman" w:eastAsia="Times New Roman" w:cs="Times New Roman"/>
                <w:spacing w:val="-3"/>
              </w:rPr>
              <w:t>500m</w:t>
            </w:r>
            <w:r>
              <w:rPr>
                <w:spacing w:val="-3"/>
              </w:rPr>
              <w:t xml:space="preserve">、下游 </w:t>
            </w:r>
            <w:r>
              <w:rPr>
                <w:rFonts w:ascii="Times New Roman" w:hAnsi="Times New Roman" w:eastAsia="Times New Roman" w:cs="Times New Roman"/>
                <w:spacing w:val="-3"/>
              </w:rPr>
              <w:t>1000m</w:t>
            </w:r>
            <w:r>
              <w:rPr>
                <w:rFonts w:ascii="Times New Roman" w:hAnsi="Times New Roman" w:eastAsia="Times New Roman" w:cs="Times New Roman"/>
                <w:spacing w:val="13"/>
              </w:rPr>
              <w:t xml:space="preserve"> </w:t>
            </w:r>
            <w:r>
              <w:rPr>
                <w:spacing w:val="-3"/>
              </w:rPr>
              <w:t>范围。</w:t>
            </w:r>
          </w:p>
        </w:tc>
      </w:tr>
    </w:tbl>
    <w:p>
      <w:pPr>
        <w:pStyle w:val="2"/>
      </w:pPr>
    </w:p>
    <w:p>
      <w:pPr>
        <w:sectPr>
          <w:headerReference r:id="rId39" w:type="default"/>
          <w:footerReference r:id="rId40" w:type="default"/>
          <w:pgSz w:w="11907" w:h="16839"/>
          <w:pgMar w:top="1118" w:right="1560" w:bottom="1184" w:left="1771" w:header="879" w:footer="1024" w:gutter="0"/>
          <w:cols w:space="720" w:num="1"/>
        </w:sectPr>
      </w:pPr>
    </w:p>
    <w:p>
      <w:pPr>
        <w:spacing w:before="80"/>
      </w:pPr>
    </w:p>
    <w:tbl>
      <w:tblPr>
        <w:tblStyle w:val="5"/>
        <w:tblW w:w="8545"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4"/>
        <w:gridCol w:w="71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44" w:type="dxa"/>
            <w:vAlign w:val="top"/>
          </w:tcPr>
          <w:p>
            <w:pPr>
              <w:pStyle w:val="6"/>
              <w:spacing w:before="35" w:line="209" w:lineRule="auto"/>
              <w:ind w:left="307"/>
            </w:pPr>
            <w:r>
              <w:rPr>
                <w:spacing w:val="-2"/>
              </w:rPr>
              <w:t>环境空气</w:t>
            </w:r>
          </w:p>
        </w:tc>
        <w:tc>
          <w:tcPr>
            <w:tcW w:w="7101" w:type="dxa"/>
            <w:vAlign w:val="top"/>
          </w:tcPr>
          <w:p>
            <w:pPr>
              <w:pStyle w:val="6"/>
              <w:spacing w:before="35" w:line="209" w:lineRule="auto"/>
              <w:ind w:left="115"/>
            </w:pPr>
            <w:r>
              <w:rPr>
                <w:spacing w:val="-3"/>
              </w:rPr>
              <w:t>不需设置评价范围。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444" w:type="dxa"/>
            <w:vAlign w:val="top"/>
          </w:tcPr>
          <w:p>
            <w:pPr>
              <w:pStyle w:val="6"/>
              <w:spacing w:before="167" w:line="221" w:lineRule="auto"/>
              <w:ind w:left="415"/>
            </w:pPr>
            <w:r>
              <w:rPr>
                <w:spacing w:val="-2"/>
              </w:rPr>
              <w:t>声环境</w:t>
            </w:r>
          </w:p>
        </w:tc>
        <w:tc>
          <w:tcPr>
            <w:tcW w:w="7101" w:type="dxa"/>
            <w:vAlign w:val="top"/>
          </w:tcPr>
          <w:p>
            <w:pPr>
              <w:pStyle w:val="6"/>
              <w:spacing w:before="30" w:line="223" w:lineRule="auto"/>
              <w:ind w:left="111" w:right="30"/>
            </w:pPr>
            <w:r>
              <w:rPr>
                <w:spacing w:val="-1"/>
              </w:rPr>
              <w:t>道路中心线两侧</w:t>
            </w:r>
            <w:r>
              <w:rPr>
                <w:spacing w:val="-32"/>
              </w:rPr>
              <w:t xml:space="preserve"> </w:t>
            </w:r>
            <w:r>
              <w:rPr>
                <w:rFonts w:ascii="Times New Roman" w:hAnsi="Times New Roman" w:eastAsia="Times New Roman" w:cs="Times New Roman"/>
                <w:spacing w:val="-1"/>
              </w:rPr>
              <w:t xml:space="preserve">200m </w:t>
            </w:r>
            <w:r>
              <w:rPr>
                <w:spacing w:val="-1"/>
              </w:rPr>
              <w:t xml:space="preserve">范围以内区域，仍不能满足相应功能区标准值时，将 </w:t>
            </w:r>
            <w:r>
              <w:rPr>
                <w:spacing w:val="-5"/>
              </w:rPr>
              <w:t>评价范围扩大到满足标准值的距离。临时施工场地等边界向外</w:t>
            </w:r>
            <w:r>
              <w:rPr>
                <w:spacing w:val="-40"/>
              </w:rPr>
              <w:t xml:space="preserve"> </w:t>
            </w:r>
            <w:r>
              <w:rPr>
                <w:rFonts w:ascii="Times New Roman" w:hAnsi="Times New Roman" w:eastAsia="Times New Roman" w:cs="Times New Roman"/>
                <w:spacing w:val="-5"/>
              </w:rPr>
              <w:t>200m</w:t>
            </w:r>
            <w:r>
              <w:rPr>
                <w:rFonts w:ascii="Times New Roman" w:hAnsi="Times New Roman" w:eastAsia="Times New Roman" w:cs="Times New Roman"/>
                <w:spacing w:val="22"/>
              </w:rPr>
              <w:t xml:space="preserve"> </w:t>
            </w:r>
            <w:r>
              <w:rPr>
                <w:spacing w:val="-5"/>
              </w:rPr>
              <w:t>的范围。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444" w:type="dxa"/>
            <w:vAlign w:val="top"/>
          </w:tcPr>
          <w:p>
            <w:pPr>
              <w:pStyle w:val="6"/>
              <w:spacing w:before="31" w:line="205" w:lineRule="auto"/>
              <w:ind w:left="309"/>
            </w:pPr>
            <w:r>
              <w:rPr>
                <w:spacing w:val="-2"/>
              </w:rPr>
              <w:t>生态环境</w:t>
            </w:r>
          </w:p>
        </w:tc>
        <w:tc>
          <w:tcPr>
            <w:tcW w:w="7101" w:type="dxa"/>
            <w:vAlign w:val="top"/>
          </w:tcPr>
          <w:p>
            <w:pPr>
              <w:pStyle w:val="6"/>
              <w:spacing w:before="31" w:line="205" w:lineRule="auto"/>
              <w:ind w:left="118"/>
            </w:pPr>
            <w:r>
              <w:rPr>
                <w:spacing w:val="-2"/>
              </w:rPr>
              <w:t>公路中心线两侧及两端外延</w:t>
            </w:r>
            <w:r>
              <w:rPr>
                <w:spacing w:val="-42"/>
              </w:rPr>
              <w:t xml:space="preserve"> </w:t>
            </w:r>
            <w:r>
              <w:rPr>
                <w:rFonts w:ascii="Times New Roman" w:hAnsi="Times New Roman" w:eastAsia="Times New Roman" w:cs="Times New Roman"/>
                <w:spacing w:val="-2"/>
              </w:rPr>
              <w:t xml:space="preserve">300m </w:t>
            </w:r>
            <w:r>
              <w:rPr>
                <w:spacing w:val="-2"/>
              </w:rPr>
              <w:t>范围；临时用地界外</w:t>
            </w:r>
            <w:r>
              <w:rPr>
                <w:spacing w:val="-44"/>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3"/>
              </w:rPr>
              <w:t>00m</w:t>
            </w:r>
            <w:r>
              <w:rPr>
                <w:rFonts w:ascii="Times New Roman" w:hAnsi="Times New Roman" w:eastAsia="Times New Roman" w:cs="Times New Roman"/>
                <w:spacing w:val="33"/>
                <w:w w:val="101"/>
              </w:rPr>
              <w:t xml:space="preserve"> </w:t>
            </w:r>
            <w:r>
              <w:rPr>
                <w:spacing w:val="-3"/>
              </w:rPr>
              <w:t>内的区域。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44" w:type="dxa"/>
            <w:vAlign w:val="top"/>
          </w:tcPr>
          <w:p>
            <w:pPr>
              <w:pStyle w:val="6"/>
              <w:spacing w:before="34" w:line="204" w:lineRule="auto"/>
              <w:ind w:left="517"/>
            </w:pPr>
            <w:r>
              <w:rPr>
                <w:spacing w:val="-2"/>
              </w:rPr>
              <w:t>土壤</w:t>
            </w:r>
          </w:p>
        </w:tc>
        <w:tc>
          <w:tcPr>
            <w:tcW w:w="7101" w:type="dxa"/>
            <w:vAlign w:val="top"/>
          </w:tcPr>
          <w:p>
            <w:pPr>
              <w:spacing w:before="69" w:line="196" w:lineRule="auto"/>
              <w:ind w:left="10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44" w:type="dxa"/>
            <w:vAlign w:val="top"/>
          </w:tcPr>
          <w:p>
            <w:pPr>
              <w:pStyle w:val="6"/>
              <w:spacing w:before="33" w:line="205" w:lineRule="auto"/>
              <w:ind w:left="411"/>
            </w:pPr>
            <w:r>
              <w:rPr>
                <w:spacing w:val="-2"/>
              </w:rPr>
              <w:t>地下水</w:t>
            </w:r>
          </w:p>
        </w:tc>
        <w:tc>
          <w:tcPr>
            <w:tcW w:w="7101" w:type="dxa"/>
            <w:vAlign w:val="top"/>
          </w:tcPr>
          <w:p>
            <w:pPr>
              <w:spacing w:before="68" w:line="197" w:lineRule="auto"/>
              <w:ind w:left="10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44" w:type="dxa"/>
            <w:vAlign w:val="top"/>
          </w:tcPr>
          <w:p>
            <w:pPr>
              <w:pStyle w:val="6"/>
              <w:spacing w:before="34" w:line="209" w:lineRule="auto"/>
              <w:ind w:left="307"/>
            </w:pPr>
            <w:r>
              <w:rPr>
                <w:spacing w:val="-2"/>
              </w:rPr>
              <w:t>环境风险</w:t>
            </w:r>
          </w:p>
        </w:tc>
        <w:tc>
          <w:tcPr>
            <w:tcW w:w="7101" w:type="dxa"/>
            <w:vAlign w:val="top"/>
          </w:tcPr>
          <w:p>
            <w:pPr>
              <w:pStyle w:val="6"/>
              <w:spacing w:before="34" w:line="209" w:lineRule="auto"/>
              <w:ind w:left="116"/>
            </w:pPr>
            <w:r>
              <w:rPr>
                <w:spacing w:val="-1"/>
              </w:rPr>
              <w:t>简单分析不设定评价范围</w:t>
            </w:r>
          </w:p>
        </w:tc>
      </w:tr>
    </w:tbl>
    <w:p>
      <w:pPr>
        <w:spacing w:before="192" w:line="220" w:lineRule="auto"/>
        <w:ind w:left="34"/>
        <w:outlineLvl w:val="0"/>
        <w:rPr>
          <w:rFonts w:ascii="宋体" w:hAnsi="宋体" w:eastAsia="宋体" w:cs="宋体"/>
          <w:sz w:val="24"/>
          <w:szCs w:val="24"/>
        </w:rPr>
      </w:pPr>
      <w:bookmarkStart w:id="10" w:name="bookmark11"/>
      <w:bookmarkEnd w:id="10"/>
      <w:r>
        <w:rPr>
          <w:rFonts w:ascii="Times New Roman" w:hAnsi="Times New Roman" w:eastAsia="Times New Roman" w:cs="Times New Roman"/>
          <w:b/>
          <w:bCs/>
          <w:sz w:val="24"/>
          <w:szCs w:val="24"/>
        </w:rPr>
        <w:t xml:space="preserve">2.4  </w:t>
      </w:r>
      <w:r>
        <w:rPr>
          <w:rFonts w:ascii="宋体" w:hAnsi="宋体" w:eastAsia="宋体" w:cs="宋体"/>
          <w:sz w:val="24"/>
          <w:szCs w:val="24"/>
          <w14:textOutline w14:w="4354" w14:cap="flat" w14:cmpd="sng">
            <w14:solidFill>
              <w14:srgbClr w14:val="000000"/>
            </w14:solidFill>
            <w14:prstDash w14:val="solid"/>
            <w14:miter w14:val="0"/>
          </w14:textOutline>
        </w:rPr>
        <w:t>相关规划及环境功能区划</w:t>
      </w:r>
    </w:p>
    <w:p>
      <w:pPr>
        <w:spacing w:before="179" w:line="220" w:lineRule="auto"/>
        <w:ind w:left="34"/>
        <w:outlineLvl w:val="0"/>
        <w:rPr>
          <w:rFonts w:ascii="宋体" w:hAnsi="宋体" w:eastAsia="宋体" w:cs="宋体"/>
          <w:sz w:val="24"/>
          <w:szCs w:val="24"/>
        </w:rPr>
      </w:pPr>
      <w:r>
        <w:rPr>
          <w:rFonts w:ascii="Times New Roman" w:hAnsi="Times New Roman" w:eastAsia="Times New Roman" w:cs="Times New Roman"/>
          <w:b/>
          <w:bCs/>
          <w:sz w:val="24"/>
          <w:szCs w:val="24"/>
        </w:rPr>
        <w:t xml:space="preserve">2.4.1 </w:t>
      </w:r>
      <w:r>
        <w:rPr>
          <w:rFonts w:ascii="宋体" w:hAnsi="宋体" w:eastAsia="宋体" w:cs="宋体"/>
          <w:sz w:val="24"/>
          <w:szCs w:val="24"/>
          <w14:textOutline w14:w="4354" w14:cap="flat" w14:cmpd="sng">
            <w14:solidFill>
              <w14:srgbClr w14:val="000000"/>
            </w14:solidFill>
            <w14:prstDash w14:val="solid"/>
            <w14:miter w14:val="0"/>
          </w14:textOutline>
        </w:rPr>
        <w:t>相关专题及区域规划</w:t>
      </w:r>
    </w:p>
    <w:p>
      <w:pPr>
        <w:spacing w:before="181" w:line="220" w:lineRule="auto"/>
        <w:ind w:left="34"/>
        <w:outlineLvl w:val="0"/>
        <w:rPr>
          <w:rFonts w:ascii="宋体" w:hAnsi="宋体" w:eastAsia="宋体" w:cs="宋体"/>
          <w:sz w:val="24"/>
          <w:szCs w:val="24"/>
        </w:rPr>
      </w:pPr>
      <w:r>
        <w:fldChar w:fldCharType="begin"/>
      </w:r>
      <w:r>
        <w:instrText xml:space="preserve"> HYPERLINK "2.4.1.1" </w:instrText>
      </w:r>
      <w:r>
        <w:fldChar w:fldCharType="separate"/>
      </w:r>
      <w:r>
        <w:rPr>
          <w:rFonts w:ascii="Times New Roman" w:hAnsi="Times New Roman" w:eastAsia="Times New Roman" w:cs="Times New Roman"/>
          <w:b/>
          <w:bCs/>
          <w:spacing w:val="1"/>
          <w:sz w:val="24"/>
          <w:szCs w:val="24"/>
        </w:rPr>
        <w:t>2.4.1.1</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与《浙江省综合交通运输</w:t>
      </w:r>
      <w:r>
        <w:rPr>
          <w:rFonts w:ascii="宋体" w:hAnsi="宋体" w:eastAsia="宋体" w:cs="宋体"/>
          <w:sz w:val="24"/>
          <w:szCs w:val="24"/>
          <w14:textOutline w14:w="4354" w14:cap="flat" w14:cmpd="sng">
            <w14:solidFill>
              <w14:srgbClr w14:val="000000"/>
            </w14:solidFill>
            <w14:prstDash w14:val="solid"/>
            <w14:miter w14:val="0"/>
          </w14:textOutline>
        </w:rPr>
        <w:t>发展</w:t>
      </w:r>
      <w:r>
        <w:rPr>
          <w:rFonts w:ascii="Times New Roman" w:hAnsi="Times New Roman" w:eastAsia="Times New Roman" w:cs="Times New Roman"/>
          <w:b/>
          <w:bCs/>
          <w:sz w:val="24"/>
          <w:szCs w:val="24"/>
        </w:rPr>
        <w:t>“</w:t>
      </w:r>
      <w:r>
        <w:rPr>
          <w:rFonts w:ascii="宋体" w:hAnsi="宋体" w:eastAsia="宋体" w:cs="宋体"/>
          <w:sz w:val="24"/>
          <w:szCs w:val="24"/>
          <w14:textOutline w14:w="4354" w14:cap="flat" w14:cmpd="sng">
            <w14:solidFill>
              <w14:srgbClr w14:val="000000"/>
            </w14:solidFill>
            <w14:prstDash w14:val="solid"/>
            <w14:miter w14:val="0"/>
          </w14:textOutline>
        </w:rPr>
        <w:t>十四五</w:t>
      </w:r>
      <w:r>
        <w:rPr>
          <w:rFonts w:ascii="Times New Roman" w:hAnsi="Times New Roman" w:eastAsia="Times New Roman" w:cs="Times New Roman"/>
          <w:b/>
          <w:bCs/>
          <w:sz w:val="24"/>
          <w:szCs w:val="24"/>
        </w:rPr>
        <w:t>”</w:t>
      </w:r>
      <w:r>
        <w:rPr>
          <w:rFonts w:ascii="宋体" w:hAnsi="宋体" w:eastAsia="宋体" w:cs="宋体"/>
          <w:sz w:val="24"/>
          <w:szCs w:val="24"/>
          <w14:textOutline w14:w="4354" w14:cap="flat" w14:cmpd="sng">
            <w14:solidFill>
              <w14:srgbClr w14:val="000000"/>
            </w14:solidFill>
            <w14:prstDash w14:val="solid"/>
            <w14:miter w14:val="0"/>
          </w14:textOutline>
        </w:rPr>
        <w:t>规划》的符合性分析</w:t>
      </w:r>
    </w:p>
    <w:p>
      <w:pPr>
        <w:spacing w:before="180" w:line="468" w:lineRule="exact"/>
        <w:ind w:left="524"/>
        <w:rPr>
          <w:rFonts w:ascii="宋体" w:hAnsi="宋体" w:eastAsia="宋体" w:cs="宋体"/>
          <w:sz w:val="24"/>
          <w:szCs w:val="24"/>
        </w:rPr>
      </w:pP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1</w:t>
      </w:r>
      <w:r>
        <w:rPr>
          <w:rFonts w:ascii="宋体" w:hAnsi="宋体" w:eastAsia="宋体" w:cs="宋体"/>
          <w:spacing w:val="-4"/>
          <w:position w:val="17"/>
          <w:sz w:val="24"/>
          <w:szCs w:val="24"/>
        </w:rPr>
        <w:t>）规划概况</w:t>
      </w:r>
    </w:p>
    <w:p>
      <w:pPr>
        <w:spacing w:line="217" w:lineRule="auto"/>
        <w:ind w:left="517"/>
        <w:rPr>
          <w:rFonts w:ascii="宋体" w:hAnsi="宋体" w:eastAsia="宋体" w:cs="宋体"/>
          <w:sz w:val="24"/>
          <w:szCs w:val="24"/>
        </w:rPr>
      </w:pPr>
      <w:r>
        <w:rPr>
          <w:rFonts w:ascii="宋体" w:hAnsi="宋体" w:eastAsia="宋体" w:cs="宋体"/>
          <w:spacing w:val="-2"/>
          <w:sz w:val="24"/>
          <w:szCs w:val="24"/>
        </w:rPr>
        <w:t>①规划期限</w:t>
      </w:r>
    </w:p>
    <w:p>
      <w:pPr>
        <w:spacing w:before="183" w:line="468" w:lineRule="exact"/>
        <w:ind w:left="519"/>
        <w:rPr>
          <w:rFonts w:ascii="宋体" w:hAnsi="宋体" w:eastAsia="宋体" w:cs="宋体"/>
          <w:sz w:val="24"/>
          <w:szCs w:val="24"/>
        </w:rPr>
      </w:pPr>
      <w:r>
        <w:rPr>
          <w:rFonts w:ascii="宋体" w:hAnsi="宋体" w:eastAsia="宋体" w:cs="宋体"/>
          <w:spacing w:val="-1"/>
          <w:position w:val="17"/>
          <w:sz w:val="24"/>
          <w:szCs w:val="24"/>
        </w:rPr>
        <w:t>规划期限为</w:t>
      </w:r>
      <w:r>
        <w:rPr>
          <w:rFonts w:ascii="宋体" w:hAnsi="宋体" w:eastAsia="宋体" w:cs="宋体"/>
          <w:spacing w:val="-54"/>
          <w:position w:val="17"/>
          <w:sz w:val="24"/>
          <w:szCs w:val="24"/>
        </w:rPr>
        <w:t xml:space="preserve"> </w:t>
      </w:r>
      <w:r>
        <w:rPr>
          <w:rFonts w:ascii="Times New Roman" w:hAnsi="Times New Roman" w:eastAsia="Times New Roman" w:cs="Times New Roman"/>
          <w:spacing w:val="-1"/>
          <w:position w:val="17"/>
          <w:sz w:val="24"/>
          <w:szCs w:val="24"/>
        </w:rPr>
        <w:t xml:space="preserve">2021-2025 </w:t>
      </w:r>
      <w:r>
        <w:rPr>
          <w:rFonts w:ascii="宋体" w:hAnsi="宋体" w:eastAsia="宋体" w:cs="宋体"/>
          <w:spacing w:val="-1"/>
          <w:position w:val="17"/>
          <w:sz w:val="24"/>
          <w:szCs w:val="24"/>
        </w:rPr>
        <w:t>年，展望</w:t>
      </w:r>
      <w:r>
        <w:rPr>
          <w:rFonts w:ascii="宋体" w:hAnsi="宋体" w:eastAsia="宋体" w:cs="宋体"/>
          <w:spacing w:val="-2"/>
          <w:position w:val="17"/>
          <w:sz w:val="24"/>
          <w:szCs w:val="24"/>
        </w:rPr>
        <w:t>至</w:t>
      </w:r>
      <w:r>
        <w:rPr>
          <w:rFonts w:ascii="宋体" w:hAnsi="宋体" w:eastAsia="宋体" w:cs="宋体"/>
          <w:spacing w:val="-55"/>
          <w:position w:val="17"/>
          <w:sz w:val="24"/>
          <w:szCs w:val="24"/>
        </w:rPr>
        <w:t xml:space="preserve"> </w:t>
      </w:r>
      <w:r>
        <w:rPr>
          <w:rFonts w:ascii="Times New Roman" w:hAnsi="Times New Roman" w:eastAsia="Times New Roman" w:cs="Times New Roman"/>
          <w:spacing w:val="-2"/>
          <w:position w:val="17"/>
          <w:sz w:val="24"/>
          <w:szCs w:val="24"/>
        </w:rPr>
        <w:t xml:space="preserve">2035 </w:t>
      </w:r>
      <w:r>
        <w:rPr>
          <w:rFonts w:ascii="宋体" w:hAnsi="宋体" w:eastAsia="宋体" w:cs="宋体"/>
          <w:spacing w:val="-2"/>
          <w:position w:val="17"/>
          <w:sz w:val="24"/>
          <w:szCs w:val="24"/>
        </w:rPr>
        <w:t>年。</w:t>
      </w:r>
    </w:p>
    <w:p>
      <w:pPr>
        <w:spacing w:before="1" w:line="217" w:lineRule="auto"/>
        <w:ind w:left="516"/>
        <w:rPr>
          <w:rFonts w:ascii="宋体" w:hAnsi="宋体" w:eastAsia="宋体" w:cs="宋体"/>
          <w:sz w:val="24"/>
          <w:szCs w:val="24"/>
        </w:rPr>
      </w:pPr>
      <w:r>
        <w:rPr>
          <w:rFonts w:ascii="宋体" w:hAnsi="宋体" w:eastAsia="宋体" w:cs="宋体"/>
          <w:spacing w:val="-2"/>
          <w:sz w:val="24"/>
          <w:szCs w:val="24"/>
        </w:rPr>
        <w:t>②发展目标</w:t>
      </w:r>
    </w:p>
    <w:p>
      <w:pPr>
        <w:spacing w:before="185" w:line="359" w:lineRule="auto"/>
        <w:ind w:left="38" w:right="179" w:firstLine="475"/>
        <w:rPr>
          <w:rFonts w:ascii="宋体" w:hAnsi="宋体" w:eastAsia="宋体" w:cs="宋体"/>
          <w:sz w:val="24"/>
          <w:szCs w:val="24"/>
        </w:rPr>
      </w:pPr>
      <w:r>
        <w:rPr>
          <w:rFonts w:ascii="Times New Roman" w:hAnsi="Times New Roman" w:eastAsia="Times New Roman" w:cs="Times New Roman"/>
          <w:sz w:val="24"/>
          <w:szCs w:val="24"/>
        </w:rPr>
        <w:t xml:space="preserve">2025 </w:t>
      </w:r>
      <w:r>
        <w:rPr>
          <w:rFonts w:ascii="宋体" w:hAnsi="宋体" w:eastAsia="宋体" w:cs="宋体"/>
          <w:sz w:val="24"/>
          <w:szCs w:val="24"/>
        </w:rPr>
        <w:t>年，基本形成内畅外联、经济高效、泛在先进、安全</w:t>
      </w:r>
      <w:r>
        <w:rPr>
          <w:rFonts w:ascii="宋体" w:hAnsi="宋体" w:eastAsia="宋体" w:cs="宋体"/>
          <w:spacing w:val="-1"/>
          <w:sz w:val="24"/>
          <w:szCs w:val="24"/>
        </w:rPr>
        <w:t>绿色、整体智治</w:t>
      </w:r>
      <w:r>
        <w:rPr>
          <w:rFonts w:ascii="宋体" w:hAnsi="宋体" w:eastAsia="宋体" w:cs="宋体"/>
          <w:sz w:val="24"/>
          <w:szCs w:val="24"/>
        </w:rPr>
        <w:t xml:space="preserve">  </w:t>
      </w:r>
      <w:r>
        <w:rPr>
          <w:rFonts w:ascii="宋体" w:hAnsi="宋体" w:eastAsia="宋体" w:cs="宋体"/>
          <w:spacing w:val="-2"/>
          <w:sz w:val="24"/>
          <w:szCs w:val="24"/>
        </w:rPr>
        <w:t>的现代综合交通运输体系，完成</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万亿元综合交通投资，基本建成省域、市域、</w:t>
      </w:r>
      <w:r>
        <w:rPr>
          <w:rFonts w:ascii="宋体" w:hAnsi="宋体" w:eastAsia="宋体" w:cs="宋体"/>
          <w:sz w:val="24"/>
          <w:szCs w:val="24"/>
        </w:rPr>
        <w:t xml:space="preserve"> </w:t>
      </w:r>
      <w:r>
        <w:rPr>
          <w:rFonts w:ascii="宋体" w:hAnsi="宋体" w:eastAsia="宋体" w:cs="宋体"/>
          <w:spacing w:val="-3"/>
          <w:sz w:val="24"/>
          <w:szCs w:val="24"/>
        </w:rPr>
        <w:t>城区</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个</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小时左右交通圈</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，实现</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个先行引领，打造</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大标志性成果，争</w:t>
      </w:r>
    </w:p>
    <w:p>
      <w:pPr>
        <w:spacing w:line="219" w:lineRule="auto"/>
        <w:ind w:left="38"/>
        <w:rPr>
          <w:rFonts w:ascii="宋体" w:hAnsi="宋体" w:eastAsia="宋体" w:cs="宋体"/>
          <w:sz w:val="24"/>
          <w:szCs w:val="24"/>
        </w:rPr>
      </w:pPr>
      <w:r>
        <w:rPr>
          <w:rFonts w:ascii="宋体" w:hAnsi="宋体" w:eastAsia="宋体" w:cs="宋体"/>
          <w:spacing w:val="-4"/>
          <w:sz w:val="24"/>
          <w:szCs w:val="24"/>
        </w:rPr>
        <w:t>创交通运输现代化先行省。</w:t>
      </w:r>
    </w:p>
    <w:p>
      <w:pPr>
        <w:spacing w:before="182" w:line="359" w:lineRule="auto"/>
        <w:ind w:left="39" w:right="240" w:firstLine="474"/>
        <w:rPr>
          <w:rFonts w:ascii="宋体" w:hAnsi="宋体" w:eastAsia="宋体" w:cs="宋体"/>
          <w:sz w:val="24"/>
          <w:szCs w:val="24"/>
        </w:rPr>
      </w:pPr>
      <w:r>
        <w:rPr>
          <w:rFonts w:ascii="Times New Roman" w:hAnsi="Times New Roman" w:eastAsia="Times New Roman" w:cs="Times New Roman"/>
          <w:spacing w:val="-1"/>
          <w:sz w:val="24"/>
          <w:szCs w:val="24"/>
        </w:rPr>
        <w:t xml:space="preserve">2035 </w:t>
      </w:r>
      <w:r>
        <w:rPr>
          <w:rFonts w:ascii="宋体" w:hAnsi="宋体" w:eastAsia="宋体" w:cs="宋体"/>
          <w:spacing w:val="-1"/>
          <w:sz w:val="24"/>
          <w:szCs w:val="24"/>
        </w:rPr>
        <w:t xml:space="preserve">年，基本建成高水平交通强省，基本实现高水平交通运输现代化，形 </w:t>
      </w:r>
      <w:r>
        <w:rPr>
          <w:rFonts w:ascii="宋体" w:hAnsi="宋体" w:eastAsia="宋体" w:cs="宋体"/>
          <w:sz w:val="24"/>
          <w:szCs w:val="24"/>
        </w:rPr>
        <w:t xml:space="preserve">成 </w:t>
      </w:r>
      <w:r>
        <w:rPr>
          <w:rFonts w:ascii="Times New Roman" w:hAnsi="Times New Roman" w:eastAsia="Times New Roman" w:cs="Times New Roman"/>
          <w:sz w:val="24"/>
          <w:szCs w:val="24"/>
        </w:rPr>
        <w:t>“</w:t>
      </w:r>
      <w:r>
        <w:rPr>
          <w:rFonts w:ascii="宋体" w:hAnsi="宋体" w:eastAsia="宋体" w:cs="宋体"/>
          <w:sz w:val="24"/>
          <w:szCs w:val="24"/>
        </w:rPr>
        <w:t>六纵六横</w:t>
      </w:r>
      <w:r>
        <w:rPr>
          <w:rFonts w:ascii="Times New Roman" w:hAnsi="Times New Roman" w:eastAsia="Times New Roman" w:cs="Times New Roman"/>
          <w:sz w:val="24"/>
          <w:szCs w:val="24"/>
        </w:rPr>
        <w:t>”</w:t>
      </w:r>
      <w:r>
        <w:rPr>
          <w:rFonts w:ascii="宋体" w:hAnsi="宋体" w:eastAsia="宋体" w:cs="宋体"/>
          <w:sz w:val="24"/>
          <w:szCs w:val="24"/>
        </w:rPr>
        <w:t>综合运输通道和以杭州、宁波（舟山</w:t>
      </w:r>
      <w:r>
        <w:rPr>
          <w:rFonts w:ascii="宋体" w:hAnsi="宋体" w:eastAsia="宋体" w:cs="宋体"/>
          <w:spacing w:val="-1"/>
          <w:sz w:val="24"/>
          <w:szCs w:val="24"/>
        </w:rPr>
        <w:t>）国际性综合交通枢纽与温</w:t>
      </w:r>
      <w:r>
        <w:rPr>
          <w:rFonts w:ascii="宋体" w:hAnsi="宋体" w:eastAsia="宋体" w:cs="宋体"/>
          <w:sz w:val="24"/>
          <w:szCs w:val="24"/>
        </w:rPr>
        <w:t xml:space="preserve"> 州、金华（义乌）全国性 综合交通枢纽为核心的现代</w:t>
      </w:r>
      <w:r>
        <w:rPr>
          <w:rFonts w:ascii="宋体" w:hAnsi="宋体" w:eastAsia="宋体" w:cs="宋体"/>
          <w:spacing w:val="-1"/>
          <w:sz w:val="24"/>
          <w:szCs w:val="24"/>
        </w:rPr>
        <w:t>都市枢纽体系。全面形成</w:t>
      </w:r>
      <w:r>
        <w:rPr>
          <w:rFonts w:ascii="宋体" w:hAnsi="宋体" w:eastAsia="宋体" w:cs="宋体"/>
          <w:sz w:val="24"/>
          <w:szCs w:val="24"/>
        </w:rPr>
        <w:t xml:space="preserve"> </w:t>
      </w:r>
      <w:r>
        <w:rPr>
          <w:rFonts w:ascii="宋体" w:hAnsi="宋体" w:eastAsia="宋体" w:cs="宋体"/>
          <w:spacing w:val="-5"/>
          <w:sz w:val="24"/>
          <w:szCs w:val="24"/>
        </w:rPr>
        <w:t>高品质的</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 xml:space="preserve">个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7"/>
          <w:sz w:val="24"/>
          <w:szCs w:val="24"/>
        </w:rPr>
        <w:t xml:space="preserve"> </w:t>
      </w:r>
      <w:r>
        <w:rPr>
          <w:rFonts w:ascii="宋体" w:hAnsi="宋体" w:eastAsia="宋体" w:cs="宋体"/>
          <w:spacing w:val="-5"/>
          <w:sz w:val="24"/>
          <w:szCs w:val="24"/>
        </w:rPr>
        <w:t>小时左右交通圈</w:t>
      </w:r>
      <w:r>
        <w:rPr>
          <w:rFonts w:ascii="Times New Roman" w:hAnsi="Times New Roman" w:eastAsia="Times New Roman" w:cs="Times New Roman"/>
          <w:spacing w:val="-5"/>
          <w:sz w:val="24"/>
          <w:szCs w:val="24"/>
        </w:rPr>
        <w:t>”</w:t>
      </w:r>
      <w:r>
        <w:rPr>
          <w:rFonts w:ascii="宋体" w:hAnsi="宋体" w:eastAsia="宋体" w:cs="宋体"/>
          <w:spacing w:val="-5"/>
          <w:sz w:val="24"/>
          <w:szCs w:val="24"/>
        </w:rPr>
        <w:t>和</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 xml:space="preserve">个 </w:t>
      </w:r>
      <w:r>
        <w:rPr>
          <w:rFonts w:ascii="Times New Roman" w:hAnsi="Times New Roman" w:eastAsia="Times New Roman" w:cs="Times New Roman"/>
          <w:spacing w:val="-5"/>
          <w:sz w:val="24"/>
          <w:szCs w:val="24"/>
        </w:rPr>
        <w:t>“123</w:t>
      </w:r>
      <w:r>
        <w:rPr>
          <w:rFonts w:ascii="Times New Roman" w:hAnsi="Times New Roman" w:eastAsia="Times New Roman" w:cs="Times New Roman"/>
          <w:spacing w:val="12"/>
          <w:sz w:val="24"/>
          <w:szCs w:val="24"/>
        </w:rPr>
        <w:t xml:space="preserve"> </w:t>
      </w:r>
      <w:r>
        <w:rPr>
          <w:rFonts w:ascii="宋体" w:hAnsi="宋体" w:eastAsia="宋体" w:cs="宋体"/>
          <w:spacing w:val="-5"/>
          <w:sz w:val="24"/>
          <w:szCs w:val="24"/>
        </w:rPr>
        <w:t>快</w:t>
      </w:r>
      <w:r>
        <w:rPr>
          <w:rFonts w:ascii="宋体" w:hAnsi="宋体" w:eastAsia="宋体" w:cs="宋体"/>
          <w:spacing w:val="-6"/>
          <w:sz w:val="24"/>
          <w:szCs w:val="24"/>
        </w:rPr>
        <w:t>货物流圈</w:t>
      </w:r>
      <w:r>
        <w:rPr>
          <w:rFonts w:ascii="Times New Roman" w:hAnsi="Times New Roman" w:eastAsia="Times New Roman" w:cs="Times New Roman"/>
          <w:spacing w:val="-6"/>
          <w:sz w:val="24"/>
          <w:szCs w:val="24"/>
        </w:rPr>
        <w:t>”</w:t>
      </w:r>
      <w:r>
        <w:rPr>
          <w:rFonts w:ascii="Times New Roman" w:hAnsi="Times New Roman" w:eastAsia="Times New Roman" w:cs="Times New Roman"/>
          <w:spacing w:val="19"/>
          <w:sz w:val="24"/>
          <w:szCs w:val="24"/>
        </w:rPr>
        <w:t xml:space="preserve"> </w:t>
      </w:r>
      <w:r>
        <w:rPr>
          <w:rFonts w:ascii="宋体" w:hAnsi="宋体" w:eastAsia="宋体" w:cs="宋体"/>
          <w:spacing w:val="-6"/>
          <w:sz w:val="24"/>
          <w:szCs w:val="24"/>
        </w:rPr>
        <w:t xml:space="preserve">（国内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 xml:space="preserve">天、周边 </w:t>
      </w:r>
      <w:r>
        <w:rPr>
          <w:rFonts w:ascii="宋体" w:hAnsi="宋体" w:eastAsia="宋体" w:cs="宋体"/>
          <w:spacing w:val="-9"/>
          <w:sz w:val="24"/>
          <w:szCs w:val="24"/>
        </w:rPr>
        <w:t>国家</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天、全球主要城市</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3</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天送达， 城乡</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6"/>
          <w:w w:val="101"/>
          <w:sz w:val="24"/>
          <w:szCs w:val="24"/>
        </w:rPr>
        <w:t xml:space="preserve"> </w:t>
      </w:r>
      <w:r>
        <w:rPr>
          <w:rFonts w:ascii="宋体" w:hAnsi="宋体" w:eastAsia="宋体" w:cs="宋体"/>
          <w:spacing w:val="-9"/>
          <w:sz w:val="24"/>
          <w:szCs w:val="24"/>
        </w:rPr>
        <w:t>小时、省</w:t>
      </w:r>
      <w:r>
        <w:rPr>
          <w:rFonts w:ascii="宋体" w:hAnsi="宋体" w:eastAsia="宋体" w:cs="宋体"/>
          <w:spacing w:val="-10"/>
          <w:sz w:val="24"/>
          <w:szCs w:val="24"/>
        </w:rPr>
        <w:t>内</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2</w:t>
      </w:r>
      <w:r>
        <w:rPr>
          <w:rFonts w:ascii="Times New Roman" w:hAnsi="Times New Roman" w:eastAsia="Times New Roman" w:cs="Times New Roman"/>
          <w:spacing w:val="16"/>
          <w:sz w:val="24"/>
          <w:szCs w:val="24"/>
        </w:rPr>
        <w:t xml:space="preserve"> </w:t>
      </w:r>
      <w:r>
        <w:rPr>
          <w:rFonts w:ascii="宋体" w:hAnsi="宋体" w:eastAsia="宋体" w:cs="宋体"/>
          <w:spacing w:val="-10"/>
          <w:sz w:val="24"/>
          <w:szCs w:val="24"/>
        </w:rPr>
        <w:t>小时、长三角主要城市</w:t>
      </w:r>
    </w:p>
    <w:p>
      <w:pPr>
        <w:spacing w:before="1" w:line="218" w:lineRule="auto"/>
        <w:ind w:left="3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 xml:space="preserve">小时送达），为建设 </w:t>
      </w:r>
      <w:r>
        <w:rPr>
          <w:rFonts w:ascii="Times New Roman" w:hAnsi="Times New Roman" w:eastAsia="Times New Roman" w:cs="Times New Roman"/>
          <w:spacing w:val="-2"/>
          <w:sz w:val="24"/>
          <w:szCs w:val="24"/>
        </w:rPr>
        <w:t>“</w:t>
      </w:r>
      <w:r>
        <w:rPr>
          <w:rFonts w:ascii="宋体" w:hAnsi="宋体" w:eastAsia="宋体" w:cs="宋体"/>
          <w:spacing w:val="-2"/>
          <w:sz w:val="24"/>
          <w:szCs w:val="24"/>
        </w:rPr>
        <w:t>重要窗口</w:t>
      </w:r>
      <w:r>
        <w:rPr>
          <w:rFonts w:ascii="Times New Roman" w:hAnsi="Times New Roman" w:eastAsia="Times New Roman" w:cs="Times New Roman"/>
          <w:spacing w:val="-2"/>
          <w:sz w:val="24"/>
          <w:szCs w:val="24"/>
        </w:rPr>
        <w:t>”</w:t>
      </w:r>
      <w:r>
        <w:rPr>
          <w:rFonts w:ascii="宋体" w:hAnsi="宋体" w:eastAsia="宋体" w:cs="宋体"/>
          <w:spacing w:val="-2"/>
          <w:sz w:val="24"/>
          <w:szCs w:val="24"/>
        </w:rPr>
        <w:t>提供全方位</w:t>
      </w:r>
      <w:r>
        <w:rPr>
          <w:rFonts w:ascii="宋体" w:hAnsi="宋体" w:eastAsia="宋体" w:cs="宋体"/>
          <w:spacing w:val="-3"/>
          <w:sz w:val="24"/>
          <w:szCs w:val="24"/>
        </w:rPr>
        <w:t>支撑。</w:t>
      </w:r>
    </w:p>
    <w:p>
      <w:pPr>
        <w:spacing w:before="185" w:line="217" w:lineRule="auto"/>
        <w:ind w:left="516"/>
        <w:rPr>
          <w:rFonts w:ascii="宋体" w:hAnsi="宋体" w:eastAsia="宋体" w:cs="宋体"/>
          <w:sz w:val="24"/>
          <w:szCs w:val="24"/>
        </w:rPr>
      </w:pPr>
      <w:r>
        <w:rPr>
          <w:rFonts w:ascii="宋体" w:hAnsi="宋体" w:eastAsia="宋体" w:cs="宋体"/>
          <w:spacing w:val="-2"/>
          <w:sz w:val="24"/>
          <w:szCs w:val="24"/>
        </w:rPr>
        <w:t>③公路建设重点</w:t>
      </w:r>
    </w:p>
    <w:p>
      <w:pPr>
        <w:spacing w:before="184" w:line="359" w:lineRule="auto"/>
        <w:ind w:left="37" w:right="241" w:firstLine="484"/>
        <w:rPr>
          <w:rFonts w:ascii="宋体" w:hAnsi="宋体" w:eastAsia="宋体" w:cs="宋体"/>
          <w:sz w:val="24"/>
          <w:szCs w:val="24"/>
        </w:rPr>
      </w:pPr>
      <w:r>
        <w:rPr>
          <w:rFonts w:ascii="宋体" w:hAnsi="宋体" w:eastAsia="宋体" w:cs="宋体"/>
          <w:spacing w:val="-3"/>
          <w:sz w:val="24"/>
          <w:szCs w:val="24"/>
        </w:rPr>
        <w:t>省级主导高速公路。杭绍甬高速公路威海互通至</w:t>
      </w:r>
      <w:r>
        <w:rPr>
          <w:rFonts w:ascii="宋体" w:hAnsi="宋体" w:eastAsia="宋体" w:cs="宋体"/>
          <w:spacing w:val="-4"/>
          <w:sz w:val="24"/>
          <w:szCs w:val="24"/>
        </w:rPr>
        <w:t>柴桥枢纽段、杭州至上饶高</w:t>
      </w:r>
      <w:r>
        <w:rPr>
          <w:rFonts w:ascii="宋体" w:hAnsi="宋体" w:eastAsia="宋体" w:cs="宋体"/>
          <w:sz w:val="24"/>
          <w:szCs w:val="24"/>
        </w:rPr>
        <w:t xml:space="preserve"> </w:t>
      </w:r>
      <w:r>
        <w:rPr>
          <w:rFonts w:ascii="宋体" w:hAnsi="宋体" w:eastAsia="宋体" w:cs="宋体"/>
          <w:spacing w:val="-3"/>
          <w:sz w:val="24"/>
          <w:szCs w:val="24"/>
        </w:rPr>
        <w:t>速公路杭州中环至浙赣界、合肥至温州高速公路桐庐至义乌段、甬金衢上高速公</w:t>
      </w:r>
      <w:r>
        <w:rPr>
          <w:rFonts w:ascii="宋体" w:hAnsi="宋体" w:eastAsia="宋体" w:cs="宋体"/>
          <w:sz w:val="24"/>
          <w:szCs w:val="24"/>
        </w:rPr>
        <w:t xml:space="preserve"> </w:t>
      </w:r>
      <w:r>
        <w:rPr>
          <w:rFonts w:ascii="宋体" w:hAnsi="宋体" w:eastAsia="宋体" w:cs="宋体"/>
          <w:spacing w:val="-3"/>
          <w:sz w:val="24"/>
          <w:szCs w:val="24"/>
        </w:rPr>
        <w:t>路金华城区段、甬金衢上高速公路塘溪至裘村段与下陈至大堰段、义龙庆高速公</w:t>
      </w:r>
    </w:p>
    <w:p>
      <w:pPr>
        <w:spacing w:before="1" w:line="219" w:lineRule="auto"/>
        <w:ind w:left="40"/>
        <w:rPr>
          <w:rFonts w:ascii="宋体" w:hAnsi="宋体" w:eastAsia="宋体" w:cs="宋体"/>
          <w:sz w:val="24"/>
          <w:szCs w:val="24"/>
        </w:rPr>
      </w:pPr>
      <w:r>
        <w:rPr>
          <w:rFonts w:ascii="宋体" w:hAnsi="宋体" w:eastAsia="宋体" w:cs="宋体"/>
          <w:spacing w:val="-6"/>
          <w:sz w:val="24"/>
          <w:szCs w:val="24"/>
        </w:rPr>
        <w:t>路义乌至龙泉段。</w:t>
      </w:r>
    </w:p>
    <w:p>
      <w:pPr>
        <w:spacing w:before="180" w:line="359" w:lineRule="auto"/>
        <w:ind w:left="37" w:right="239" w:firstLine="480"/>
        <w:rPr>
          <w:rFonts w:ascii="宋体" w:hAnsi="宋体" w:eastAsia="宋体" w:cs="宋体"/>
          <w:sz w:val="24"/>
          <w:szCs w:val="24"/>
        </w:rPr>
      </w:pPr>
      <w:r>
        <w:rPr>
          <w:rFonts w:ascii="宋体" w:hAnsi="宋体" w:eastAsia="宋体" w:cs="宋体"/>
          <w:spacing w:val="-3"/>
          <w:sz w:val="24"/>
          <w:szCs w:val="24"/>
        </w:rPr>
        <w:t>地方主导高速公路。苏台高速公路南浔至桐乡段及桐乡至</w:t>
      </w:r>
      <w:r>
        <w:rPr>
          <w:rFonts w:ascii="宋体" w:hAnsi="宋体" w:eastAsia="宋体" w:cs="宋体"/>
          <w:spacing w:val="-4"/>
          <w:sz w:val="24"/>
          <w:szCs w:val="24"/>
        </w:rPr>
        <w:t>德清联络线（一期</w:t>
      </w:r>
      <w:r>
        <w:rPr>
          <w:rFonts w:ascii="宋体" w:hAnsi="宋体" w:eastAsia="宋体" w:cs="宋体"/>
          <w:sz w:val="24"/>
          <w:szCs w:val="24"/>
        </w:rPr>
        <w:t xml:space="preserve"> </w:t>
      </w:r>
      <w:r>
        <w:rPr>
          <w:rFonts w:ascii="宋体" w:hAnsi="宋体" w:eastAsia="宋体" w:cs="宋体"/>
          <w:spacing w:val="-5"/>
          <w:sz w:val="24"/>
          <w:szCs w:val="24"/>
        </w:rPr>
        <w:t>及二期）</w:t>
      </w:r>
      <w:r>
        <w:rPr>
          <w:rFonts w:ascii="宋体" w:hAnsi="宋体" w:eastAsia="宋体" w:cs="宋体"/>
          <w:spacing w:val="-49"/>
          <w:sz w:val="24"/>
          <w:szCs w:val="24"/>
        </w:rPr>
        <w:t xml:space="preserve"> </w:t>
      </w:r>
      <w:r>
        <w:rPr>
          <w:rFonts w:ascii="宋体" w:hAnsi="宋体" w:eastAsia="宋体" w:cs="宋体"/>
          <w:spacing w:val="-5"/>
          <w:sz w:val="24"/>
          <w:szCs w:val="24"/>
        </w:rPr>
        <w:t>、义东高速公路东阳南市至南马段、杭绍甬高速公路甬绍界至小曹娥互</w:t>
      </w:r>
    </w:p>
    <w:p>
      <w:pPr>
        <w:spacing w:before="1" w:line="218" w:lineRule="auto"/>
        <w:ind w:left="38"/>
        <w:rPr>
          <w:rFonts w:ascii="宋体" w:hAnsi="宋体" w:eastAsia="宋体" w:cs="宋体"/>
          <w:sz w:val="24"/>
          <w:szCs w:val="24"/>
        </w:rPr>
      </w:pPr>
      <w:r>
        <w:rPr>
          <w:rFonts w:ascii="宋体" w:hAnsi="宋体" w:eastAsia="宋体" w:cs="宋体"/>
          <w:spacing w:val="-6"/>
          <w:sz w:val="24"/>
          <w:szCs w:val="24"/>
        </w:rPr>
        <w:t>通（宁波二期西段） 、甬舟高速公路复线金塘至舟山本岛段、</w:t>
      </w:r>
      <w:r>
        <w:rPr>
          <w:rFonts w:ascii="宋体" w:hAnsi="宋体" w:eastAsia="宋体" w:cs="宋体"/>
          <w:spacing w:val="-7"/>
          <w:sz w:val="24"/>
          <w:szCs w:val="24"/>
        </w:rPr>
        <w:t>沪杭甬高速公路杭</w:t>
      </w:r>
    </w:p>
    <w:p>
      <w:pPr>
        <w:spacing w:line="218" w:lineRule="auto"/>
        <w:rPr>
          <w:rFonts w:ascii="宋体" w:hAnsi="宋体" w:eastAsia="宋体" w:cs="宋体"/>
          <w:sz w:val="24"/>
          <w:szCs w:val="24"/>
        </w:rPr>
        <w:sectPr>
          <w:pgSz w:w="11907" w:h="16839"/>
          <w:pgMar w:top="1118" w:right="1560" w:bottom="1184" w:left="1771" w:header="879" w:footer="1024" w:gutter="0"/>
          <w:cols w:space="720" w:num="1"/>
        </w:sectPr>
      </w:pPr>
    </w:p>
    <w:p>
      <w:pPr>
        <w:pStyle w:val="2"/>
        <w:spacing w:line="279" w:lineRule="auto"/>
      </w:pPr>
    </w:p>
    <w:p>
      <w:pPr>
        <w:spacing w:before="78" w:line="359" w:lineRule="auto"/>
        <w:ind w:left="37" w:right="3" w:firstLine="1"/>
        <w:jc w:val="both"/>
        <w:rPr>
          <w:rFonts w:ascii="宋体" w:hAnsi="宋体" w:eastAsia="宋体" w:cs="宋体"/>
          <w:sz w:val="24"/>
          <w:szCs w:val="24"/>
        </w:rPr>
      </w:pPr>
      <w:r>
        <w:rPr>
          <w:rFonts w:ascii="宋体" w:hAnsi="宋体" w:eastAsia="宋体" w:cs="宋体"/>
          <w:spacing w:val="-3"/>
          <w:sz w:val="24"/>
          <w:szCs w:val="24"/>
        </w:rPr>
        <w:t>州市区段改建、甬台温高速公路至沿海高速公路</w:t>
      </w:r>
      <w:r>
        <w:rPr>
          <w:rFonts w:ascii="宋体" w:hAnsi="宋体" w:eastAsia="宋体" w:cs="宋体"/>
          <w:spacing w:val="-4"/>
          <w:sz w:val="24"/>
          <w:szCs w:val="24"/>
        </w:rPr>
        <w:t xml:space="preserve">三门联络线、柯桥至诸暨高速公 </w:t>
      </w:r>
      <w:r>
        <w:rPr>
          <w:rFonts w:ascii="宋体" w:hAnsi="宋体" w:eastAsia="宋体" w:cs="宋体"/>
          <w:spacing w:val="-3"/>
          <w:sz w:val="24"/>
          <w:szCs w:val="24"/>
        </w:rPr>
        <w:t>路、甬台温高速公路复线瑞安联络线、诸暨至义乌高</w:t>
      </w:r>
      <w:r>
        <w:rPr>
          <w:rFonts w:ascii="宋体" w:hAnsi="宋体" w:eastAsia="宋体" w:cs="宋体"/>
          <w:spacing w:val="-4"/>
          <w:sz w:val="24"/>
          <w:szCs w:val="24"/>
        </w:rPr>
        <w:t xml:space="preserve">速公路、沪杭高速公路海宁 </w:t>
      </w:r>
      <w:r>
        <w:rPr>
          <w:rFonts w:ascii="宋体" w:hAnsi="宋体" w:eastAsia="宋体" w:cs="宋体"/>
          <w:spacing w:val="-3"/>
          <w:sz w:val="24"/>
          <w:szCs w:val="24"/>
        </w:rPr>
        <w:t>联络线、苍南至泰顺高速公路、德清至安吉高速公路</w:t>
      </w:r>
      <w:r>
        <w:rPr>
          <w:rFonts w:ascii="宋体" w:hAnsi="宋体" w:eastAsia="宋体" w:cs="宋体"/>
          <w:spacing w:val="-4"/>
          <w:sz w:val="24"/>
          <w:szCs w:val="24"/>
        </w:rPr>
        <w:t xml:space="preserve">、建德至武义高速公路婺城 </w:t>
      </w:r>
      <w:r>
        <w:rPr>
          <w:rFonts w:ascii="宋体" w:hAnsi="宋体" w:eastAsia="宋体" w:cs="宋体"/>
          <w:spacing w:val="-7"/>
          <w:sz w:val="24"/>
          <w:szCs w:val="24"/>
        </w:rPr>
        <w:t>段、甬金高速公路奉化联络线、沪杭高速公路嘉善联络线、长</w:t>
      </w:r>
      <w:r>
        <w:rPr>
          <w:rFonts w:ascii="宋体" w:hAnsi="宋体" w:eastAsia="宋体" w:cs="宋体"/>
          <w:spacing w:val="-8"/>
          <w:sz w:val="24"/>
          <w:szCs w:val="24"/>
        </w:rPr>
        <w:t>兴至广德高速公路、</w:t>
      </w:r>
      <w:r>
        <w:rPr>
          <w:rFonts w:ascii="宋体" w:hAnsi="宋体" w:eastAsia="宋体" w:cs="宋体"/>
          <w:sz w:val="24"/>
          <w:szCs w:val="24"/>
        </w:rPr>
        <w:t xml:space="preserve"> </w:t>
      </w:r>
      <w:r>
        <w:rPr>
          <w:rFonts w:ascii="宋体" w:hAnsi="宋体" w:eastAsia="宋体" w:cs="宋体"/>
          <w:spacing w:val="-3"/>
          <w:sz w:val="24"/>
          <w:szCs w:val="24"/>
        </w:rPr>
        <w:t>杭宁高速公路湖州市区联络线、义龙庆高速公路永康</w:t>
      </w:r>
      <w:r>
        <w:rPr>
          <w:rFonts w:ascii="宋体" w:hAnsi="宋体" w:eastAsia="宋体" w:cs="宋体"/>
          <w:spacing w:val="-4"/>
          <w:sz w:val="24"/>
          <w:szCs w:val="24"/>
        </w:rPr>
        <w:t>联络线、杭浦高速公路海盐 联络线（一期）</w:t>
      </w:r>
      <w:r>
        <w:rPr>
          <w:rFonts w:ascii="宋体" w:hAnsi="宋体" w:eastAsia="宋体" w:cs="宋体"/>
          <w:spacing w:val="-72"/>
          <w:sz w:val="24"/>
          <w:szCs w:val="24"/>
        </w:rPr>
        <w:t xml:space="preserve"> </w:t>
      </w:r>
      <w:r>
        <w:rPr>
          <w:rFonts w:ascii="宋体" w:hAnsi="宋体" w:eastAsia="宋体" w:cs="宋体"/>
          <w:spacing w:val="-4"/>
          <w:sz w:val="24"/>
          <w:szCs w:val="24"/>
        </w:rPr>
        <w:t>、乐清至青田高速公路乐清至永嘉段</w:t>
      </w:r>
      <w:r>
        <w:rPr>
          <w:rFonts w:ascii="宋体" w:hAnsi="宋体" w:eastAsia="宋体" w:cs="宋体"/>
          <w:spacing w:val="-5"/>
          <w:sz w:val="24"/>
          <w:szCs w:val="24"/>
        </w:rPr>
        <w:t>、青田至文成高速公路、慈</w:t>
      </w:r>
    </w:p>
    <w:p>
      <w:pPr>
        <w:spacing w:line="219" w:lineRule="auto"/>
        <w:ind w:left="38"/>
        <w:rPr>
          <w:rFonts w:ascii="宋体" w:hAnsi="宋体" w:eastAsia="宋体" w:cs="宋体"/>
          <w:sz w:val="24"/>
          <w:szCs w:val="24"/>
        </w:rPr>
      </w:pPr>
      <w:r>
        <w:rPr>
          <w:rFonts w:ascii="宋体" w:hAnsi="宋体" w:eastAsia="宋体" w:cs="宋体"/>
          <w:spacing w:val="-1"/>
          <w:sz w:val="24"/>
          <w:szCs w:val="24"/>
        </w:rPr>
        <w:t>溪至宁海高速公路奉化至宁海段及朝阳至西坞</w:t>
      </w:r>
      <w:r>
        <w:rPr>
          <w:rFonts w:ascii="宋体" w:hAnsi="宋体" w:eastAsia="宋体" w:cs="宋体"/>
          <w:spacing w:val="-2"/>
          <w:sz w:val="24"/>
          <w:szCs w:val="24"/>
        </w:rPr>
        <w:t>联络线（象山港二通道）。</w:t>
      </w:r>
    </w:p>
    <w:p>
      <w:pPr>
        <w:spacing w:before="182" w:line="359" w:lineRule="auto"/>
        <w:ind w:left="41" w:right="86" w:firstLine="485"/>
        <w:rPr>
          <w:rFonts w:ascii="宋体" w:hAnsi="宋体" w:eastAsia="宋体" w:cs="宋体"/>
          <w:sz w:val="24"/>
          <w:szCs w:val="24"/>
        </w:rPr>
      </w:pPr>
      <w:r>
        <w:rPr>
          <w:rFonts w:ascii="宋体" w:hAnsi="宋体" w:eastAsia="宋体" w:cs="宋体"/>
          <w:spacing w:val="-4"/>
          <w:sz w:val="24"/>
          <w:szCs w:val="24"/>
        </w:rPr>
        <w:t>改扩建高速公路。甬金高速公路改扩建宁波至金华段、甬台温高速公路改扩</w:t>
      </w:r>
      <w:r>
        <w:rPr>
          <w:rFonts w:ascii="宋体" w:hAnsi="宋体" w:eastAsia="宋体" w:cs="宋体"/>
          <w:spacing w:val="17"/>
          <w:sz w:val="24"/>
          <w:szCs w:val="24"/>
        </w:rPr>
        <w:t xml:space="preserve"> </w:t>
      </w:r>
      <w:r>
        <w:rPr>
          <w:rFonts w:ascii="宋体" w:hAnsi="宋体" w:eastAsia="宋体" w:cs="宋体"/>
          <w:spacing w:val="-3"/>
          <w:sz w:val="24"/>
          <w:szCs w:val="24"/>
        </w:rPr>
        <w:t>建宁波大碶枢纽至浙闽界、申苏浙皖高速公路改扩建长兴西互通至浙</w:t>
      </w:r>
      <w:r>
        <w:rPr>
          <w:rFonts w:ascii="宋体" w:hAnsi="宋体" w:eastAsia="宋体" w:cs="宋体"/>
          <w:spacing w:val="-4"/>
          <w:sz w:val="24"/>
          <w:szCs w:val="24"/>
        </w:rPr>
        <w:t>皖界、乍嘉</w:t>
      </w:r>
      <w:r>
        <w:rPr>
          <w:rFonts w:ascii="宋体" w:hAnsi="宋体" w:eastAsia="宋体" w:cs="宋体"/>
          <w:sz w:val="24"/>
          <w:szCs w:val="24"/>
        </w:rPr>
        <w:t xml:space="preserve"> </w:t>
      </w:r>
      <w:r>
        <w:rPr>
          <w:rFonts w:ascii="宋体" w:hAnsi="宋体" w:eastAsia="宋体" w:cs="宋体"/>
          <w:spacing w:val="-3"/>
          <w:sz w:val="24"/>
          <w:szCs w:val="24"/>
        </w:rPr>
        <w:t>苏高速公路改扩建南湖互通至浙苏界、诸永高速公路改扩建诸暨直埠至街亭</w:t>
      </w:r>
      <w:r>
        <w:rPr>
          <w:rFonts w:ascii="宋体" w:hAnsi="宋体" w:eastAsia="宋体" w:cs="宋体"/>
          <w:spacing w:val="-4"/>
          <w:sz w:val="24"/>
          <w:szCs w:val="24"/>
        </w:rPr>
        <w:t>枢纽</w:t>
      </w:r>
    </w:p>
    <w:p>
      <w:pPr>
        <w:spacing w:before="1" w:line="220" w:lineRule="auto"/>
        <w:ind w:left="39"/>
        <w:rPr>
          <w:rFonts w:ascii="宋体" w:hAnsi="宋体" w:eastAsia="宋体" w:cs="宋体"/>
          <w:sz w:val="24"/>
          <w:szCs w:val="24"/>
        </w:rPr>
      </w:pPr>
      <w:r>
        <w:rPr>
          <w:rFonts w:ascii="宋体" w:hAnsi="宋体" w:eastAsia="宋体" w:cs="宋体"/>
          <w:spacing w:val="-12"/>
          <w:sz w:val="24"/>
          <w:szCs w:val="24"/>
        </w:rPr>
        <w:t>段。</w:t>
      </w:r>
    </w:p>
    <w:p>
      <w:pPr>
        <w:spacing w:before="181" w:line="359" w:lineRule="auto"/>
        <w:ind w:left="39" w:right="86" w:firstLine="480"/>
        <w:rPr>
          <w:rFonts w:ascii="宋体" w:hAnsi="宋体" w:eastAsia="宋体" w:cs="宋体"/>
          <w:sz w:val="24"/>
          <w:szCs w:val="24"/>
        </w:rPr>
      </w:pPr>
      <w:r>
        <w:rPr>
          <w:rFonts w:ascii="宋体" w:hAnsi="宋体" w:eastAsia="宋体" w:cs="宋体"/>
          <w:spacing w:val="-3"/>
          <w:sz w:val="24"/>
          <w:szCs w:val="24"/>
        </w:rPr>
        <w:t>预备类高速公路。宁波舟山港六横公路大桥六横至梅</w:t>
      </w:r>
      <w:r>
        <w:rPr>
          <w:rFonts w:ascii="宋体" w:hAnsi="宋体" w:eastAsia="宋体" w:cs="宋体"/>
          <w:spacing w:val="-4"/>
          <w:sz w:val="24"/>
          <w:szCs w:val="24"/>
        </w:rPr>
        <w:t>山互通段、甬舟高速公</w:t>
      </w:r>
      <w:r>
        <w:rPr>
          <w:rFonts w:ascii="宋体" w:hAnsi="宋体" w:eastAsia="宋体" w:cs="宋体"/>
          <w:sz w:val="24"/>
          <w:szCs w:val="24"/>
        </w:rPr>
        <w:t xml:space="preserve"> </w:t>
      </w:r>
      <w:r>
        <w:rPr>
          <w:rFonts w:ascii="宋体" w:hAnsi="宋体" w:eastAsia="宋体" w:cs="宋体"/>
          <w:spacing w:val="-3"/>
          <w:sz w:val="24"/>
          <w:szCs w:val="24"/>
        </w:rPr>
        <w:t>路复线宁波好思房至金塘段、合肥至温州高速公路浙皖界至桐庐段及永康至永嘉</w:t>
      </w:r>
      <w:r>
        <w:rPr>
          <w:rFonts w:ascii="宋体" w:hAnsi="宋体" w:eastAsia="宋体" w:cs="宋体"/>
          <w:sz w:val="24"/>
          <w:szCs w:val="24"/>
        </w:rPr>
        <w:t xml:space="preserve"> </w:t>
      </w:r>
      <w:r>
        <w:rPr>
          <w:rFonts w:ascii="宋体" w:hAnsi="宋体" w:eastAsia="宋体" w:cs="宋体"/>
          <w:spacing w:val="-3"/>
          <w:sz w:val="24"/>
          <w:szCs w:val="24"/>
        </w:rPr>
        <w:t>段、甬金衢上高速公路新昌至金华金东段及金华婺城至浙赣界、建德至武</w:t>
      </w:r>
      <w:r>
        <w:rPr>
          <w:rFonts w:ascii="宋体" w:hAnsi="宋体" w:eastAsia="宋体" w:cs="宋体"/>
          <w:spacing w:val="-4"/>
          <w:sz w:val="24"/>
          <w:szCs w:val="24"/>
        </w:rPr>
        <w:t>义高速</w:t>
      </w:r>
      <w:r>
        <w:rPr>
          <w:rFonts w:ascii="宋体" w:hAnsi="宋体" w:eastAsia="宋体" w:cs="宋体"/>
          <w:sz w:val="24"/>
          <w:szCs w:val="24"/>
        </w:rPr>
        <w:t xml:space="preserve"> </w:t>
      </w:r>
      <w:r>
        <w:rPr>
          <w:rFonts w:ascii="宋体" w:hAnsi="宋体" w:eastAsia="宋体" w:cs="宋体"/>
          <w:spacing w:val="-5"/>
          <w:sz w:val="24"/>
          <w:szCs w:val="24"/>
        </w:rPr>
        <w:t>公路兰溪段、杭浦高速公路海盐联络线（二期）</w:t>
      </w:r>
      <w:r>
        <w:rPr>
          <w:rFonts w:ascii="宋体" w:hAnsi="宋体" w:eastAsia="宋体" w:cs="宋体"/>
          <w:spacing w:val="-42"/>
          <w:sz w:val="24"/>
          <w:szCs w:val="24"/>
        </w:rPr>
        <w:t xml:space="preserve"> </w:t>
      </w:r>
      <w:r>
        <w:rPr>
          <w:rFonts w:ascii="宋体" w:hAnsi="宋体" w:eastAsia="宋体" w:cs="宋体"/>
          <w:spacing w:val="-5"/>
          <w:sz w:val="24"/>
          <w:szCs w:val="24"/>
        </w:rPr>
        <w:t>、义龙</w:t>
      </w:r>
      <w:r>
        <w:rPr>
          <w:rFonts w:ascii="宋体" w:hAnsi="宋体" w:eastAsia="宋体" w:cs="宋体"/>
          <w:spacing w:val="-6"/>
          <w:sz w:val="24"/>
          <w:szCs w:val="24"/>
        </w:rPr>
        <w:t>庆高速公路庆元段、慈余</w:t>
      </w:r>
    </w:p>
    <w:p>
      <w:pPr>
        <w:spacing w:before="1" w:line="218" w:lineRule="auto"/>
        <w:ind w:left="44"/>
        <w:rPr>
          <w:rFonts w:ascii="宋体" w:hAnsi="宋体" w:eastAsia="宋体" w:cs="宋体"/>
          <w:sz w:val="24"/>
          <w:szCs w:val="24"/>
        </w:rPr>
      </w:pPr>
      <w:r>
        <w:rPr>
          <w:rFonts w:ascii="宋体" w:hAnsi="宋体" w:eastAsia="宋体" w:cs="宋体"/>
          <w:spacing w:val="-2"/>
          <w:sz w:val="24"/>
          <w:szCs w:val="24"/>
        </w:rPr>
        <w:t>高速公路连接线二期（肖东枢纽至梁弄段）、沪甬跨海通道。</w:t>
      </w:r>
    </w:p>
    <w:p>
      <w:pPr>
        <w:spacing w:before="183" w:line="359" w:lineRule="auto"/>
        <w:ind w:left="39" w:right="27" w:firstLine="478"/>
        <w:rPr>
          <w:rFonts w:ascii="宋体" w:hAnsi="宋体" w:eastAsia="宋体" w:cs="宋体"/>
          <w:sz w:val="24"/>
          <w:szCs w:val="24"/>
        </w:rPr>
      </w:pPr>
      <w:r>
        <w:rPr>
          <w:rFonts w:ascii="宋体" w:hAnsi="宋体" w:eastAsia="宋体" w:cs="宋体"/>
          <w:spacing w:val="-3"/>
          <w:sz w:val="24"/>
          <w:szCs w:val="24"/>
        </w:rPr>
        <w:t>研究类高速公路。杭州绕城高速公路扩容、金丽温高速公</w:t>
      </w:r>
      <w:r>
        <w:rPr>
          <w:rFonts w:ascii="宋体" w:hAnsi="宋体" w:eastAsia="宋体" w:cs="宋体"/>
          <w:spacing w:val="-4"/>
          <w:sz w:val="24"/>
          <w:szCs w:val="24"/>
        </w:rPr>
        <w:t>路温州市区段改扩</w:t>
      </w:r>
      <w:r>
        <w:rPr>
          <w:rFonts w:ascii="宋体" w:hAnsi="宋体" w:eastAsia="宋体" w:cs="宋体"/>
          <w:sz w:val="24"/>
          <w:szCs w:val="24"/>
        </w:rPr>
        <w:t xml:space="preserve"> </w:t>
      </w:r>
      <w:r>
        <w:rPr>
          <w:rFonts w:ascii="宋体" w:hAnsi="宋体" w:eastAsia="宋体" w:cs="宋体"/>
          <w:spacing w:val="-3"/>
          <w:sz w:val="24"/>
          <w:szCs w:val="24"/>
        </w:rPr>
        <w:t>建、金丽温高速公路金华市区段改扩建、练杭高速公路改扩建、杭徽高速公路杭</w:t>
      </w:r>
      <w:r>
        <w:rPr>
          <w:rFonts w:ascii="宋体" w:hAnsi="宋体" w:eastAsia="宋体" w:cs="宋体"/>
          <w:sz w:val="24"/>
          <w:szCs w:val="24"/>
        </w:rPr>
        <w:t xml:space="preserve"> </w:t>
      </w:r>
      <w:r>
        <w:rPr>
          <w:rFonts w:ascii="宋体" w:hAnsi="宋体" w:eastAsia="宋体" w:cs="宋体"/>
          <w:spacing w:val="-3"/>
          <w:sz w:val="24"/>
          <w:szCs w:val="24"/>
        </w:rPr>
        <w:t>州绕城至临建高速公路段、沪舟甬通道、乐清至青田高速公路永嘉至青田段、杭</w:t>
      </w:r>
      <w:r>
        <w:rPr>
          <w:rFonts w:ascii="宋体" w:hAnsi="宋体" w:eastAsia="宋体" w:cs="宋体"/>
          <w:sz w:val="24"/>
          <w:szCs w:val="24"/>
        </w:rPr>
        <w:t xml:space="preserve"> </w:t>
      </w:r>
      <w:r>
        <w:rPr>
          <w:rFonts w:ascii="宋体" w:hAnsi="宋体" w:eastAsia="宋体" w:cs="宋体"/>
          <w:spacing w:val="-1"/>
          <w:sz w:val="24"/>
          <w:szCs w:val="24"/>
        </w:rPr>
        <w:t>甬高速公路南复线、慈溪至宁海高速公路余姚至奉化</w:t>
      </w:r>
      <w:r>
        <w:rPr>
          <w:rFonts w:ascii="宋体" w:hAnsi="宋体" w:eastAsia="宋体" w:cs="宋体"/>
          <w:spacing w:val="-2"/>
          <w:sz w:val="24"/>
          <w:szCs w:val="24"/>
        </w:rPr>
        <w:t>段、诸暨至嵊州高速公路、</w:t>
      </w:r>
    </w:p>
    <w:p>
      <w:pPr>
        <w:spacing w:before="1" w:line="218" w:lineRule="auto"/>
        <w:ind w:left="37"/>
        <w:rPr>
          <w:rFonts w:ascii="宋体" w:hAnsi="宋体" w:eastAsia="宋体" w:cs="宋体"/>
          <w:sz w:val="24"/>
          <w:szCs w:val="24"/>
        </w:rPr>
      </w:pPr>
      <w:r>
        <w:rPr>
          <w:rFonts w:ascii="宋体" w:hAnsi="宋体" w:eastAsia="宋体" w:cs="宋体"/>
          <w:spacing w:val="-4"/>
          <w:sz w:val="24"/>
          <w:szCs w:val="24"/>
        </w:rPr>
        <w:t>杭绍台高速公路台州段二期。</w:t>
      </w:r>
    </w:p>
    <w:p>
      <w:pPr>
        <w:spacing w:before="182" w:line="359" w:lineRule="auto"/>
        <w:ind w:left="37" w:firstLine="479"/>
        <w:rPr>
          <w:rFonts w:ascii="宋体" w:hAnsi="宋体" w:eastAsia="宋体" w:cs="宋体"/>
          <w:sz w:val="24"/>
          <w:szCs w:val="24"/>
        </w:rPr>
      </w:pPr>
      <w:r>
        <w:rPr>
          <w:rFonts w:ascii="宋体" w:hAnsi="宋体" w:eastAsia="宋体" w:cs="宋体"/>
          <w:spacing w:val="-10"/>
          <w:sz w:val="24"/>
          <w:szCs w:val="24"/>
        </w:rPr>
        <w:t>普通国省道提升改造。</w:t>
      </w:r>
      <w:r>
        <w:rPr>
          <w:rFonts w:ascii="Times New Roman" w:hAnsi="Times New Roman" w:eastAsia="Times New Roman" w:cs="Times New Roman"/>
          <w:spacing w:val="-10"/>
          <w:sz w:val="24"/>
          <w:szCs w:val="24"/>
        </w:rPr>
        <w:t>G318</w:t>
      </w:r>
      <w:r>
        <w:rPr>
          <w:rFonts w:ascii="宋体" w:hAnsi="宋体" w:eastAsia="宋体" w:cs="宋体"/>
          <w:spacing w:val="-10"/>
          <w:sz w:val="24"/>
          <w:szCs w:val="24"/>
        </w:rPr>
        <w:t>、</w:t>
      </w:r>
      <w:r>
        <w:rPr>
          <w:rFonts w:ascii="Times New Roman" w:hAnsi="Times New Roman" w:eastAsia="Times New Roman" w:cs="Times New Roman"/>
          <w:spacing w:val="-10"/>
          <w:sz w:val="24"/>
          <w:szCs w:val="24"/>
        </w:rPr>
        <w:t>G524</w:t>
      </w:r>
      <w:r>
        <w:rPr>
          <w:rFonts w:ascii="宋体" w:hAnsi="宋体" w:eastAsia="宋体" w:cs="宋体"/>
          <w:spacing w:val="-10"/>
          <w:sz w:val="24"/>
          <w:szCs w:val="24"/>
        </w:rPr>
        <w:t>、</w:t>
      </w:r>
      <w:r>
        <w:rPr>
          <w:rFonts w:ascii="Times New Roman" w:hAnsi="Times New Roman" w:eastAsia="Times New Roman" w:cs="Times New Roman"/>
          <w:spacing w:val="-10"/>
          <w:sz w:val="24"/>
          <w:szCs w:val="24"/>
        </w:rPr>
        <w:t xml:space="preserve">G525 </w:t>
      </w:r>
      <w:r>
        <w:rPr>
          <w:rFonts w:ascii="宋体" w:hAnsi="宋体" w:eastAsia="宋体" w:cs="宋体"/>
          <w:spacing w:val="-10"/>
          <w:sz w:val="24"/>
          <w:szCs w:val="24"/>
        </w:rPr>
        <w:t>达到一级公路标</w:t>
      </w:r>
      <w:r>
        <w:rPr>
          <w:rFonts w:ascii="宋体" w:hAnsi="宋体" w:eastAsia="宋体" w:cs="宋体"/>
          <w:spacing w:val="-11"/>
          <w:sz w:val="24"/>
          <w:szCs w:val="24"/>
        </w:rPr>
        <w:t xml:space="preserve">准， </w:t>
      </w:r>
      <w:r>
        <w:rPr>
          <w:rFonts w:ascii="Times New Roman" w:hAnsi="Times New Roman" w:eastAsia="Times New Roman" w:cs="Times New Roman"/>
          <w:spacing w:val="-11"/>
          <w:sz w:val="24"/>
          <w:szCs w:val="24"/>
        </w:rPr>
        <w:t>G205</w:t>
      </w:r>
      <w:r>
        <w:rPr>
          <w:rFonts w:ascii="宋体" w:hAnsi="宋体" w:eastAsia="宋体" w:cs="宋体"/>
          <w:spacing w:val="-11"/>
          <w:sz w:val="24"/>
          <w:szCs w:val="24"/>
        </w:rPr>
        <w:t>、</w:t>
      </w:r>
      <w:r>
        <w:rPr>
          <w:rFonts w:ascii="Times New Roman" w:hAnsi="Times New Roman" w:eastAsia="Times New Roman" w:cs="Times New Roman"/>
          <w:spacing w:val="-11"/>
          <w:sz w:val="24"/>
          <w:szCs w:val="24"/>
        </w:rPr>
        <w:t>G228</w:t>
      </w:r>
      <w:r>
        <w:rPr>
          <w:rFonts w:ascii="宋体" w:hAnsi="宋体" w:eastAsia="宋体" w:cs="宋体"/>
          <w:spacing w:val="-11"/>
          <w:sz w:val="24"/>
          <w:szCs w:val="24"/>
        </w:rPr>
        <w:t>、</w:t>
      </w:r>
      <w:r>
        <w:rPr>
          <w:rFonts w:ascii="宋体" w:hAnsi="宋体" w:eastAsia="宋体" w:cs="宋体"/>
          <w:sz w:val="24"/>
          <w:szCs w:val="24"/>
        </w:rPr>
        <w:t xml:space="preserve"> </w:t>
      </w:r>
      <w:r>
        <w:rPr>
          <w:rFonts w:ascii="Times New Roman" w:hAnsi="Times New Roman" w:eastAsia="Times New Roman" w:cs="Times New Roman"/>
          <w:spacing w:val="-7"/>
          <w:sz w:val="24"/>
          <w:szCs w:val="24"/>
        </w:rPr>
        <w:t>G330</w:t>
      </w:r>
      <w:r>
        <w:rPr>
          <w:rFonts w:ascii="宋体" w:hAnsi="宋体" w:eastAsia="宋体" w:cs="宋体"/>
          <w:spacing w:val="-7"/>
          <w:sz w:val="24"/>
          <w:szCs w:val="24"/>
        </w:rPr>
        <w:t>、</w:t>
      </w:r>
      <w:r>
        <w:rPr>
          <w:rFonts w:ascii="Times New Roman" w:hAnsi="Times New Roman" w:eastAsia="Times New Roman" w:cs="Times New Roman"/>
          <w:spacing w:val="-7"/>
          <w:sz w:val="24"/>
          <w:szCs w:val="24"/>
        </w:rPr>
        <w:t>G351</w:t>
      </w:r>
      <w:r>
        <w:rPr>
          <w:rFonts w:ascii="宋体" w:hAnsi="宋体" w:eastAsia="宋体" w:cs="宋体"/>
          <w:spacing w:val="-7"/>
          <w:sz w:val="24"/>
          <w:szCs w:val="24"/>
        </w:rPr>
        <w:t>、</w:t>
      </w:r>
      <w:r>
        <w:rPr>
          <w:rFonts w:ascii="Times New Roman" w:hAnsi="Times New Roman" w:eastAsia="Times New Roman" w:cs="Times New Roman"/>
          <w:spacing w:val="-7"/>
          <w:sz w:val="24"/>
          <w:szCs w:val="24"/>
        </w:rPr>
        <w:t>G526</w:t>
      </w:r>
      <w:r>
        <w:rPr>
          <w:rFonts w:ascii="宋体" w:hAnsi="宋体" w:eastAsia="宋体" w:cs="宋体"/>
          <w:spacing w:val="-7"/>
          <w:sz w:val="24"/>
          <w:szCs w:val="24"/>
        </w:rPr>
        <w:t>、</w:t>
      </w:r>
      <w:r>
        <w:rPr>
          <w:rFonts w:ascii="Times New Roman" w:hAnsi="Times New Roman" w:eastAsia="Times New Roman" w:cs="Times New Roman"/>
          <w:spacing w:val="-7"/>
          <w:sz w:val="24"/>
          <w:szCs w:val="24"/>
        </w:rPr>
        <w:t>G528</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和</w:t>
      </w:r>
      <w:r>
        <w:rPr>
          <w:rFonts w:ascii="宋体" w:hAnsi="宋体" w:eastAsia="宋体" w:cs="宋体"/>
          <w:spacing w:val="-45"/>
          <w:sz w:val="24"/>
          <w:szCs w:val="24"/>
        </w:rPr>
        <w:t xml:space="preserve"> </w:t>
      </w:r>
      <w:r>
        <w:rPr>
          <w:rFonts w:ascii="Times New Roman" w:hAnsi="Times New Roman" w:eastAsia="Times New Roman" w:cs="Times New Roman"/>
          <w:spacing w:val="-8"/>
          <w:sz w:val="24"/>
          <w:szCs w:val="24"/>
        </w:rPr>
        <w:t>S208</w:t>
      </w:r>
      <w:r>
        <w:rPr>
          <w:rFonts w:ascii="宋体" w:hAnsi="宋体" w:eastAsia="宋体" w:cs="宋体"/>
          <w:spacing w:val="-8"/>
          <w:sz w:val="24"/>
          <w:szCs w:val="24"/>
        </w:rPr>
        <w:t>、</w:t>
      </w:r>
      <w:r>
        <w:rPr>
          <w:rFonts w:ascii="Times New Roman" w:hAnsi="Times New Roman" w:eastAsia="Times New Roman" w:cs="Times New Roman"/>
          <w:spacing w:val="-8"/>
          <w:sz w:val="24"/>
          <w:szCs w:val="24"/>
        </w:rPr>
        <w:t>S301</w:t>
      </w:r>
      <w:r>
        <w:rPr>
          <w:rFonts w:ascii="宋体" w:hAnsi="宋体" w:eastAsia="宋体" w:cs="宋体"/>
          <w:spacing w:val="-8"/>
          <w:sz w:val="24"/>
          <w:szCs w:val="24"/>
        </w:rPr>
        <w:t>、</w:t>
      </w:r>
      <w:r>
        <w:rPr>
          <w:rFonts w:ascii="Times New Roman" w:hAnsi="Times New Roman" w:eastAsia="Times New Roman" w:cs="Times New Roman"/>
          <w:spacing w:val="-8"/>
          <w:sz w:val="24"/>
          <w:szCs w:val="24"/>
        </w:rPr>
        <w:t xml:space="preserve">S319 </w:t>
      </w:r>
      <w:r>
        <w:rPr>
          <w:rFonts w:ascii="宋体" w:hAnsi="宋体" w:eastAsia="宋体" w:cs="宋体"/>
          <w:spacing w:val="-8"/>
          <w:sz w:val="24"/>
          <w:szCs w:val="24"/>
        </w:rPr>
        <w:t>达到二级以上公路标准，</w:t>
      </w:r>
      <w:r>
        <w:rPr>
          <w:rFonts w:ascii="宋体" w:hAnsi="宋体" w:eastAsia="宋体" w:cs="宋体"/>
          <w:spacing w:val="38"/>
          <w:sz w:val="24"/>
          <w:szCs w:val="24"/>
        </w:rPr>
        <w:t xml:space="preserve"> </w:t>
      </w:r>
      <w:r>
        <w:rPr>
          <w:rFonts w:ascii="Times New Roman" w:hAnsi="Times New Roman" w:eastAsia="Times New Roman" w:cs="Times New Roman"/>
          <w:spacing w:val="-8"/>
          <w:sz w:val="24"/>
          <w:szCs w:val="24"/>
        </w:rPr>
        <w:t>S304</w:t>
      </w:r>
      <w:r>
        <w:rPr>
          <w:rFonts w:ascii="宋体" w:hAnsi="宋体" w:eastAsia="宋体" w:cs="宋体"/>
          <w:spacing w:val="-8"/>
          <w:sz w:val="24"/>
          <w:szCs w:val="24"/>
        </w:rPr>
        <w:t>、</w:t>
      </w:r>
    </w:p>
    <w:p>
      <w:pPr>
        <w:spacing w:before="1" w:line="218" w:lineRule="auto"/>
        <w:ind w:left="43"/>
        <w:rPr>
          <w:rFonts w:ascii="宋体" w:hAnsi="宋体" w:eastAsia="宋体" w:cs="宋体"/>
          <w:sz w:val="24"/>
          <w:szCs w:val="24"/>
        </w:rPr>
      </w:pPr>
      <w:r>
        <w:rPr>
          <w:rFonts w:ascii="Times New Roman" w:hAnsi="Times New Roman" w:eastAsia="Times New Roman" w:cs="Times New Roman"/>
          <w:spacing w:val="-6"/>
          <w:sz w:val="24"/>
          <w:szCs w:val="24"/>
        </w:rPr>
        <w:t xml:space="preserve">S309 </w:t>
      </w:r>
      <w:r>
        <w:rPr>
          <w:rFonts w:ascii="宋体" w:hAnsi="宋体" w:eastAsia="宋体" w:cs="宋体"/>
          <w:spacing w:val="-6"/>
          <w:sz w:val="24"/>
          <w:szCs w:val="24"/>
        </w:rPr>
        <w:t>等</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 xml:space="preserve">16 </w:t>
      </w:r>
      <w:r>
        <w:rPr>
          <w:rFonts w:ascii="宋体" w:hAnsi="宋体" w:eastAsia="宋体" w:cs="宋体"/>
          <w:spacing w:val="-6"/>
          <w:sz w:val="24"/>
          <w:szCs w:val="24"/>
        </w:rPr>
        <w:t>条省道全面贯通，加快建设杭州中环、</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G228</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G</w:t>
      </w:r>
      <w:r>
        <w:rPr>
          <w:rFonts w:ascii="Times New Roman" w:hAnsi="Times New Roman" w:eastAsia="Times New Roman" w:cs="Times New Roman"/>
          <w:spacing w:val="-7"/>
          <w:sz w:val="24"/>
          <w:szCs w:val="24"/>
        </w:rPr>
        <w:t>527</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 xml:space="preserve">G212 </w:t>
      </w:r>
      <w:r>
        <w:rPr>
          <w:rFonts w:ascii="宋体" w:hAnsi="宋体" w:eastAsia="宋体" w:cs="宋体"/>
          <w:spacing w:val="-7"/>
          <w:sz w:val="24"/>
          <w:szCs w:val="24"/>
        </w:rPr>
        <w:t>等。</w:t>
      </w:r>
    </w:p>
    <w:p>
      <w:pPr>
        <w:spacing w:before="183"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）符合性分析</w:t>
      </w:r>
    </w:p>
    <w:p>
      <w:pPr>
        <w:spacing w:before="182" w:line="359" w:lineRule="auto"/>
        <w:ind w:left="41" w:right="83" w:firstLine="477"/>
        <w:rPr>
          <w:rFonts w:ascii="宋体" w:hAnsi="宋体" w:eastAsia="宋体" w:cs="宋体"/>
          <w:sz w:val="24"/>
          <w:szCs w:val="24"/>
        </w:rPr>
      </w:pPr>
      <w:r>
        <w:rPr>
          <w:rFonts w:ascii="宋体" w:hAnsi="宋体" w:eastAsia="宋体" w:cs="宋体"/>
          <w:spacing w:val="-1"/>
          <w:sz w:val="24"/>
          <w:szCs w:val="24"/>
        </w:rPr>
        <w:t>本项目为溧阳至宁德高速公路（</w:t>
      </w:r>
      <w:r>
        <w:rPr>
          <w:rFonts w:ascii="Times New Roman" w:hAnsi="Times New Roman" w:eastAsia="Times New Roman" w:cs="Times New Roman"/>
          <w:spacing w:val="-1"/>
          <w:sz w:val="24"/>
          <w:szCs w:val="24"/>
        </w:rPr>
        <w:t>G4012</w:t>
      </w:r>
      <w:r>
        <w:rPr>
          <w:rFonts w:ascii="宋体" w:hAnsi="宋体" w:eastAsia="宋体" w:cs="宋体"/>
          <w:spacing w:val="-1"/>
          <w:sz w:val="24"/>
          <w:szCs w:val="24"/>
        </w:rPr>
        <w:t>）浙江景宁至文成段工程配套</w:t>
      </w:r>
      <w:r>
        <w:rPr>
          <w:rFonts w:ascii="宋体" w:hAnsi="宋体" w:eastAsia="宋体" w:cs="宋体"/>
          <w:spacing w:val="-2"/>
          <w:sz w:val="24"/>
          <w:szCs w:val="24"/>
        </w:rPr>
        <w:t>的西坑</w:t>
      </w:r>
      <w:r>
        <w:rPr>
          <w:rFonts w:ascii="宋体" w:hAnsi="宋体" w:eastAsia="宋体" w:cs="宋体"/>
          <w:sz w:val="24"/>
          <w:szCs w:val="24"/>
        </w:rPr>
        <w:t xml:space="preserve"> </w:t>
      </w:r>
      <w:r>
        <w:rPr>
          <w:rFonts w:ascii="宋体" w:hAnsi="宋体" w:eastAsia="宋体" w:cs="宋体"/>
          <w:spacing w:val="-12"/>
          <w:sz w:val="24"/>
          <w:szCs w:val="24"/>
        </w:rPr>
        <w:t>互通连接线项目，建成后将加强区域的通道功能，</w:t>
      </w:r>
      <w:r>
        <w:rPr>
          <w:rFonts w:ascii="宋体" w:hAnsi="宋体" w:eastAsia="宋体" w:cs="宋体"/>
          <w:spacing w:val="40"/>
          <w:sz w:val="24"/>
          <w:szCs w:val="24"/>
        </w:rPr>
        <w:t xml:space="preserve"> </w:t>
      </w:r>
      <w:r>
        <w:rPr>
          <w:rFonts w:ascii="宋体" w:hAnsi="宋体" w:eastAsia="宋体" w:cs="宋体"/>
          <w:spacing w:val="-12"/>
          <w:sz w:val="24"/>
          <w:szCs w:val="24"/>
        </w:rPr>
        <w:t>提升区域价值，</w:t>
      </w:r>
      <w:r>
        <w:rPr>
          <w:rFonts w:ascii="宋体" w:hAnsi="宋体" w:eastAsia="宋体" w:cs="宋体"/>
          <w:spacing w:val="32"/>
          <w:sz w:val="24"/>
          <w:szCs w:val="24"/>
        </w:rPr>
        <w:t xml:space="preserve"> </w:t>
      </w:r>
      <w:r>
        <w:rPr>
          <w:rFonts w:ascii="宋体" w:hAnsi="宋体" w:eastAsia="宋体" w:cs="宋体"/>
          <w:spacing w:val="-12"/>
          <w:sz w:val="24"/>
          <w:szCs w:val="24"/>
        </w:rPr>
        <w:t>加速推进区域</w:t>
      </w:r>
      <w:r>
        <w:rPr>
          <w:rFonts w:ascii="宋体" w:hAnsi="宋体" w:eastAsia="宋体" w:cs="宋体"/>
          <w:sz w:val="24"/>
          <w:szCs w:val="24"/>
        </w:rPr>
        <w:t xml:space="preserve"> </w:t>
      </w:r>
      <w:r>
        <w:rPr>
          <w:rFonts w:ascii="宋体" w:hAnsi="宋体" w:eastAsia="宋体" w:cs="宋体"/>
          <w:spacing w:val="-2"/>
          <w:sz w:val="24"/>
          <w:szCs w:val="24"/>
        </w:rPr>
        <w:t>的联系。本项目的建设符合《浙江省综合交通运输发展</w:t>
      </w:r>
      <w:r>
        <w:rPr>
          <w:rFonts w:ascii="Times New Roman" w:hAnsi="Times New Roman" w:eastAsia="Times New Roman" w:cs="Times New Roman"/>
          <w:spacing w:val="-2"/>
          <w:sz w:val="24"/>
          <w:szCs w:val="24"/>
        </w:rPr>
        <w:t>“</w:t>
      </w:r>
      <w:r>
        <w:rPr>
          <w:rFonts w:ascii="宋体" w:hAnsi="宋体" w:eastAsia="宋体" w:cs="宋体"/>
          <w:spacing w:val="-2"/>
          <w:sz w:val="24"/>
          <w:szCs w:val="24"/>
        </w:rPr>
        <w:t>十四五</w:t>
      </w:r>
      <w:r>
        <w:rPr>
          <w:rFonts w:ascii="Times New Roman" w:hAnsi="Times New Roman" w:eastAsia="Times New Roman" w:cs="Times New Roman"/>
          <w:spacing w:val="-2"/>
          <w:sz w:val="24"/>
          <w:szCs w:val="24"/>
        </w:rPr>
        <w:t>”</w:t>
      </w:r>
      <w:r>
        <w:rPr>
          <w:rFonts w:ascii="宋体" w:hAnsi="宋体" w:eastAsia="宋体" w:cs="宋体"/>
          <w:spacing w:val="-2"/>
          <w:sz w:val="24"/>
          <w:szCs w:val="24"/>
        </w:rPr>
        <w:t>规</w:t>
      </w:r>
      <w:r>
        <w:rPr>
          <w:rFonts w:ascii="宋体" w:hAnsi="宋体" w:eastAsia="宋体" w:cs="宋体"/>
          <w:spacing w:val="-3"/>
          <w:sz w:val="24"/>
          <w:szCs w:val="24"/>
        </w:rPr>
        <w:t>划》的相关要</w:t>
      </w:r>
    </w:p>
    <w:p>
      <w:pPr>
        <w:spacing w:before="1" w:line="220" w:lineRule="auto"/>
        <w:ind w:left="40"/>
        <w:rPr>
          <w:rFonts w:ascii="宋体" w:hAnsi="宋体" w:eastAsia="宋体" w:cs="宋体"/>
          <w:sz w:val="24"/>
          <w:szCs w:val="24"/>
        </w:rPr>
      </w:pPr>
      <w:r>
        <w:rPr>
          <w:rFonts w:ascii="宋体" w:hAnsi="宋体" w:eastAsia="宋体" w:cs="宋体"/>
          <w:spacing w:val="-12"/>
          <w:sz w:val="24"/>
          <w:szCs w:val="24"/>
        </w:rPr>
        <w:t>求。</w:t>
      </w:r>
    </w:p>
    <w:p>
      <w:pPr>
        <w:spacing w:before="179" w:line="219" w:lineRule="auto"/>
        <w:ind w:left="34"/>
        <w:outlineLvl w:val="0"/>
        <w:rPr>
          <w:rFonts w:ascii="宋体" w:hAnsi="宋体" w:eastAsia="宋体" w:cs="宋体"/>
          <w:sz w:val="24"/>
          <w:szCs w:val="24"/>
        </w:rPr>
      </w:pPr>
      <w:r>
        <w:fldChar w:fldCharType="begin"/>
      </w:r>
      <w:r>
        <w:instrText xml:space="preserve"> HYPERLINK "2.4.1.2" </w:instrText>
      </w:r>
      <w:r>
        <w:fldChar w:fldCharType="separate"/>
      </w:r>
      <w:r>
        <w:rPr>
          <w:rFonts w:ascii="Times New Roman" w:hAnsi="Times New Roman" w:eastAsia="Times New Roman" w:cs="Times New Roman"/>
          <w:b/>
          <w:bCs/>
          <w:spacing w:val="1"/>
          <w:sz w:val="24"/>
          <w:szCs w:val="24"/>
        </w:rPr>
        <w:t>2.4.1.2</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与《温州市综合交通运输发展</w:t>
      </w:r>
      <w:r>
        <w:rPr>
          <w:rFonts w:ascii="Times New Roman" w:hAnsi="Times New Roman" w:eastAsia="Times New Roman" w:cs="Times New Roman"/>
          <w:b/>
          <w:bCs/>
          <w:spacing w:val="1"/>
          <w:sz w:val="24"/>
          <w:szCs w:val="24"/>
        </w:rPr>
        <w:t>“</w:t>
      </w:r>
      <w:r>
        <w:rPr>
          <w:rFonts w:ascii="宋体" w:hAnsi="宋体" w:eastAsia="宋体" w:cs="宋体"/>
          <w:spacing w:val="1"/>
          <w:sz w:val="24"/>
          <w:szCs w:val="24"/>
          <w14:textOutline w14:w="4354" w14:cap="flat" w14:cmpd="sng">
            <w14:solidFill>
              <w14:srgbClr w14:val="000000"/>
            </w14:solidFill>
            <w14:prstDash w14:val="solid"/>
            <w14:miter w14:val="0"/>
          </w14:textOutline>
        </w:rPr>
        <w:t>十</w:t>
      </w:r>
      <w:r>
        <w:rPr>
          <w:rFonts w:ascii="宋体" w:hAnsi="宋体" w:eastAsia="宋体" w:cs="宋体"/>
          <w:sz w:val="24"/>
          <w:szCs w:val="24"/>
          <w14:textOutline w14:w="4354" w14:cap="flat" w14:cmpd="sng">
            <w14:solidFill>
              <w14:srgbClr w14:val="000000"/>
            </w14:solidFill>
            <w14:prstDash w14:val="solid"/>
            <w14:miter w14:val="0"/>
          </w14:textOutline>
        </w:rPr>
        <w:t>四五</w:t>
      </w:r>
      <w:r>
        <w:rPr>
          <w:rFonts w:ascii="Times New Roman" w:hAnsi="Times New Roman" w:eastAsia="Times New Roman" w:cs="Times New Roman"/>
          <w:b/>
          <w:bCs/>
          <w:sz w:val="24"/>
          <w:szCs w:val="24"/>
        </w:rPr>
        <w:t>”</w:t>
      </w:r>
      <w:r>
        <w:rPr>
          <w:rFonts w:ascii="宋体" w:hAnsi="宋体" w:eastAsia="宋体" w:cs="宋体"/>
          <w:sz w:val="24"/>
          <w:szCs w:val="24"/>
          <w14:textOutline w14:w="4354" w14:cap="flat" w14:cmpd="sng">
            <w14:solidFill>
              <w14:srgbClr w14:val="000000"/>
            </w14:solidFill>
            <w14:prstDash w14:val="solid"/>
            <w14:miter w14:val="0"/>
          </w14:textOutline>
        </w:rPr>
        <w:t>规划》及规划环评的符合性分析</w:t>
      </w:r>
    </w:p>
    <w:p>
      <w:pPr>
        <w:spacing w:line="219" w:lineRule="auto"/>
        <w:rPr>
          <w:rFonts w:ascii="宋体" w:hAnsi="宋体" w:eastAsia="宋体" w:cs="宋体"/>
          <w:sz w:val="24"/>
          <w:szCs w:val="24"/>
        </w:rPr>
        <w:sectPr>
          <w:headerReference r:id="rId41" w:type="default"/>
          <w:footerReference r:id="rId42" w:type="default"/>
          <w:pgSz w:w="11907" w:h="16839"/>
          <w:pgMar w:top="1118" w:right="1712" w:bottom="1184" w:left="1771" w:header="879" w:footer="1024" w:gutter="0"/>
          <w:cols w:space="720" w:num="1"/>
        </w:sectPr>
      </w:pPr>
    </w:p>
    <w:p>
      <w:pPr>
        <w:pStyle w:val="2"/>
        <w:spacing w:line="278" w:lineRule="auto"/>
      </w:pPr>
    </w:p>
    <w:p>
      <w:pPr>
        <w:spacing w:before="78" w:line="219" w:lineRule="auto"/>
        <w:ind w:left="536"/>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、《温州市综合交通运输发展</w:t>
      </w:r>
      <w:r>
        <w:rPr>
          <w:rFonts w:ascii="Times New Roman" w:hAnsi="Times New Roman" w:eastAsia="Times New Roman" w:cs="Times New Roman"/>
          <w:spacing w:val="-2"/>
          <w:sz w:val="24"/>
          <w:szCs w:val="24"/>
        </w:rPr>
        <w:t>“</w:t>
      </w:r>
      <w:r>
        <w:rPr>
          <w:rFonts w:ascii="宋体" w:hAnsi="宋体" w:eastAsia="宋体" w:cs="宋体"/>
          <w:spacing w:val="-2"/>
          <w:sz w:val="24"/>
          <w:szCs w:val="24"/>
        </w:rPr>
        <w:t>十四五</w:t>
      </w:r>
      <w:r>
        <w:rPr>
          <w:rFonts w:ascii="Times New Roman" w:hAnsi="Times New Roman" w:eastAsia="Times New Roman" w:cs="Times New Roman"/>
          <w:spacing w:val="-2"/>
          <w:sz w:val="24"/>
          <w:szCs w:val="24"/>
        </w:rPr>
        <w:t>”</w:t>
      </w:r>
      <w:r>
        <w:rPr>
          <w:rFonts w:ascii="宋体" w:hAnsi="宋体" w:eastAsia="宋体" w:cs="宋体"/>
          <w:spacing w:val="-2"/>
          <w:sz w:val="24"/>
          <w:szCs w:val="24"/>
        </w:rPr>
        <w:t>规划》</w:t>
      </w:r>
    </w:p>
    <w:p>
      <w:pPr>
        <w:spacing w:before="183" w:line="466" w:lineRule="exact"/>
        <w:ind w:left="518"/>
        <w:rPr>
          <w:rFonts w:ascii="宋体" w:hAnsi="宋体" w:eastAsia="宋体" w:cs="宋体"/>
          <w:sz w:val="24"/>
          <w:szCs w:val="24"/>
        </w:rPr>
      </w:pPr>
      <w:r>
        <w:rPr>
          <w:rFonts w:ascii="宋体" w:hAnsi="宋体" w:eastAsia="宋体" w:cs="宋体"/>
          <w:spacing w:val="-2"/>
          <w:position w:val="17"/>
          <w:sz w:val="24"/>
          <w:szCs w:val="24"/>
        </w:rPr>
        <w:t>根据《温州市综合交通运输发展</w:t>
      </w:r>
      <w:r>
        <w:rPr>
          <w:rFonts w:ascii="Times New Roman" w:hAnsi="Times New Roman" w:eastAsia="Times New Roman" w:cs="Times New Roman"/>
          <w:spacing w:val="-2"/>
          <w:position w:val="17"/>
          <w:sz w:val="24"/>
          <w:szCs w:val="24"/>
        </w:rPr>
        <w:t>“</w:t>
      </w:r>
      <w:r>
        <w:rPr>
          <w:rFonts w:ascii="宋体" w:hAnsi="宋体" w:eastAsia="宋体" w:cs="宋体"/>
          <w:spacing w:val="-2"/>
          <w:position w:val="17"/>
          <w:sz w:val="24"/>
          <w:szCs w:val="24"/>
        </w:rPr>
        <w:t>十四五</w:t>
      </w:r>
      <w:r>
        <w:rPr>
          <w:rFonts w:ascii="Times New Roman" w:hAnsi="Times New Roman" w:eastAsia="Times New Roman" w:cs="Times New Roman"/>
          <w:spacing w:val="-2"/>
          <w:position w:val="17"/>
          <w:sz w:val="24"/>
          <w:szCs w:val="24"/>
        </w:rPr>
        <w:t>”</w:t>
      </w:r>
      <w:r>
        <w:rPr>
          <w:rFonts w:ascii="宋体" w:hAnsi="宋体" w:eastAsia="宋体" w:cs="宋体"/>
          <w:spacing w:val="-2"/>
          <w:position w:val="17"/>
          <w:sz w:val="24"/>
          <w:szCs w:val="24"/>
        </w:rPr>
        <w:t>规划》：</w:t>
      </w:r>
    </w:p>
    <w:p>
      <w:pPr>
        <w:spacing w:line="219" w:lineRule="auto"/>
        <w:ind w:left="518"/>
        <w:rPr>
          <w:rFonts w:ascii="宋体" w:hAnsi="宋体" w:eastAsia="宋体" w:cs="宋体"/>
          <w:sz w:val="24"/>
          <w:szCs w:val="24"/>
        </w:rPr>
      </w:pPr>
      <w:r>
        <w:rPr>
          <w:rFonts w:ascii="宋体" w:hAnsi="宋体" w:eastAsia="宋体" w:cs="宋体"/>
          <w:spacing w:val="-1"/>
          <w:sz w:val="24"/>
          <w:szCs w:val="24"/>
        </w:rPr>
        <w:t>三、构建现代化高质量综合立体交通网</w:t>
      </w:r>
    </w:p>
    <w:p>
      <w:pPr>
        <w:spacing w:before="182" w:line="359" w:lineRule="auto"/>
        <w:ind w:left="41" w:right="82" w:firstLine="477"/>
        <w:rPr>
          <w:rFonts w:ascii="宋体" w:hAnsi="宋体" w:eastAsia="宋体" w:cs="宋体"/>
          <w:sz w:val="24"/>
          <w:szCs w:val="24"/>
        </w:rPr>
      </w:pPr>
      <w:r>
        <w:rPr>
          <w:rFonts w:ascii="宋体" w:hAnsi="宋体" w:eastAsia="宋体" w:cs="宋体"/>
          <w:spacing w:val="-3"/>
          <w:sz w:val="24"/>
          <w:szCs w:val="24"/>
        </w:rPr>
        <w:t>深入实施轨道上的温州、区域性国际枢纽机场、现代化亿吨级港</w:t>
      </w:r>
      <w:r>
        <w:rPr>
          <w:rFonts w:ascii="宋体" w:hAnsi="宋体" w:eastAsia="宋体" w:cs="宋体"/>
          <w:spacing w:val="-4"/>
          <w:sz w:val="24"/>
          <w:szCs w:val="24"/>
        </w:rPr>
        <w:t>口、高质量</w:t>
      </w:r>
      <w:r>
        <w:rPr>
          <w:rFonts w:ascii="宋体" w:hAnsi="宋体" w:eastAsia="宋体" w:cs="宋体"/>
          <w:sz w:val="24"/>
          <w:szCs w:val="24"/>
        </w:rPr>
        <w:t xml:space="preserve"> </w:t>
      </w:r>
      <w:r>
        <w:rPr>
          <w:rFonts w:ascii="宋体" w:hAnsi="宋体" w:eastAsia="宋体" w:cs="宋体"/>
          <w:spacing w:val="-7"/>
          <w:sz w:val="24"/>
          <w:szCs w:val="24"/>
        </w:rPr>
        <w:t>快速道路网、一体化综合交通枢纽等五大重点工</w:t>
      </w:r>
      <w:r>
        <w:rPr>
          <w:rFonts w:ascii="宋体" w:hAnsi="宋体" w:eastAsia="宋体" w:cs="宋体"/>
          <w:spacing w:val="-8"/>
          <w:sz w:val="24"/>
          <w:szCs w:val="24"/>
        </w:rPr>
        <w:t>程，</w:t>
      </w:r>
      <w:r>
        <w:rPr>
          <w:rFonts w:ascii="宋体" w:hAnsi="宋体" w:eastAsia="宋体" w:cs="宋体"/>
          <w:spacing w:val="32"/>
          <w:sz w:val="24"/>
          <w:szCs w:val="24"/>
        </w:rPr>
        <w:t xml:space="preserve"> </w:t>
      </w:r>
      <w:r>
        <w:rPr>
          <w:rFonts w:ascii="宋体" w:hAnsi="宋体" w:eastAsia="宋体" w:cs="宋体"/>
          <w:spacing w:val="-8"/>
          <w:sz w:val="24"/>
          <w:szCs w:val="24"/>
        </w:rPr>
        <w:t>着力构建大通道、大路网和</w:t>
      </w:r>
    </w:p>
    <w:p>
      <w:pPr>
        <w:spacing w:line="219" w:lineRule="auto"/>
        <w:ind w:left="41"/>
        <w:rPr>
          <w:rFonts w:ascii="宋体" w:hAnsi="宋体" w:eastAsia="宋体" w:cs="宋体"/>
          <w:sz w:val="24"/>
          <w:szCs w:val="24"/>
        </w:rPr>
      </w:pPr>
      <w:r>
        <w:rPr>
          <w:rFonts w:ascii="宋体" w:hAnsi="宋体" w:eastAsia="宋体" w:cs="宋体"/>
          <w:spacing w:val="-9"/>
          <w:sz w:val="24"/>
          <w:szCs w:val="24"/>
        </w:rPr>
        <w:t>大枢纽。</w:t>
      </w:r>
    </w:p>
    <w:p>
      <w:pPr>
        <w:spacing w:before="180" w:line="469" w:lineRule="exact"/>
        <w:ind w:left="518"/>
        <w:rPr>
          <w:rFonts w:ascii="宋体" w:hAnsi="宋体" w:eastAsia="宋体" w:cs="宋体"/>
          <w:sz w:val="24"/>
          <w:szCs w:val="24"/>
        </w:rPr>
      </w:pPr>
      <w:r>
        <w:rPr>
          <w:rFonts w:ascii="宋体" w:hAnsi="宋体" w:eastAsia="宋体" w:cs="宋体"/>
          <w:spacing w:val="-12"/>
          <w:position w:val="17"/>
          <w:sz w:val="24"/>
          <w:szCs w:val="24"/>
        </w:rPr>
        <w:t>加快优化路网结构，</w:t>
      </w:r>
      <w:r>
        <w:rPr>
          <w:rFonts w:ascii="宋体" w:hAnsi="宋体" w:eastAsia="宋体" w:cs="宋体"/>
          <w:spacing w:val="33"/>
          <w:position w:val="17"/>
          <w:sz w:val="24"/>
          <w:szCs w:val="24"/>
        </w:rPr>
        <w:t xml:space="preserve"> </w:t>
      </w:r>
      <w:r>
        <w:rPr>
          <w:rFonts w:ascii="宋体" w:hAnsi="宋体" w:eastAsia="宋体" w:cs="宋体"/>
          <w:spacing w:val="-12"/>
          <w:position w:val="17"/>
          <w:sz w:val="24"/>
          <w:szCs w:val="24"/>
        </w:rPr>
        <w:t>提升路网品质和效能，</w:t>
      </w:r>
      <w:r>
        <w:rPr>
          <w:rFonts w:ascii="宋体" w:hAnsi="宋体" w:eastAsia="宋体" w:cs="宋体"/>
          <w:spacing w:val="32"/>
          <w:position w:val="17"/>
          <w:sz w:val="24"/>
          <w:szCs w:val="24"/>
        </w:rPr>
        <w:t xml:space="preserve"> </w:t>
      </w:r>
      <w:r>
        <w:rPr>
          <w:rFonts w:ascii="宋体" w:hAnsi="宋体" w:eastAsia="宋体" w:cs="宋体"/>
          <w:spacing w:val="-12"/>
          <w:position w:val="17"/>
          <w:sz w:val="24"/>
          <w:szCs w:val="24"/>
        </w:rPr>
        <w:t>推</w:t>
      </w:r>
      <w:r>
        <w:rPr>
          <w:rFonts w:ascii="宋体" w:hAnsi="宋体" w:eastAsia="宋体" w:cs="宋体"/>
          <w:spacing w:val="-13"/>
          <w:position w:val="17"/>
          <w:sz w:val="24"/>
          <w:szCs w:val="24"/>
        </w:rPr>
        <w:t>动高速公路网、干线公路网和</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城市快速路网融合发展，不断扩大路网覆盖，提高服务水平。</w:t>
      </w:r>
    </w:p>
    <w:p>
      <w:pPr>
        <w:spacing w:before="183" w:line="359" w:lineRule="auto"/>
        <w:ind w:left="37" w:firstLine="484"/>
        <w:rPr>
          <w:rFonts w:ascii="宋体" w:hAnsi="宋体" w:eastAsia="宋体" w:cs="宋体"/>
          <w:sz w:val="24"/>
          <w:szCs w:val="24"/>
        </w:rPr>
      </w:pPr>
      <w:r>
        <w:rPr>
          <w:rFonts w:ascii="宋体" w:hAnsi="宋体" w:eastAsia="宋体" w:cs="宋体"/>
          <w:spacing w:val="3"/>
          <w:sz w:val="24"/>
          <w:szCs w:val="24"/>
        </w:rPr>
        <w:t>打造互联互通的高速公路网。加快推进</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0"/>
          <w:sz w:val="24"/>
          <w:szCs w:val="24"/>
        </w:rPr>
        <w:t xml:space="preserve"> </w:t>
      </w:r>
      <w:r>
        <w:rPr>
          <w:rFonts w:ascii="宋体" w:hAnsi="宋体" w:eastAsia="宋体" w:cs="宋体"/>
          <w:spacing w:val="3"/>
          <w:sz w:val="24"/>
          <w:szCs w:val="24"/>
        </w:rPr>
        <w:t>一环一绕九射五连</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0"/>
          <w:sz w:val="24"/>
          <w:szCs w:val="24"/>
        </w:rPr>
        <w:t xml:space="preserve"> </w:t>
      </w:r>
      <w:r>
        <w:rPr>
          <w:rFonts w:ascii="宋体" w:hAnsi="宋体" w:eastAsia="宋体" w:cs="宋体"/>
          <w:spacing w:val="3"/>
          <w:sz w:val="24"/>
          <w:szCs w:val="24"/>
        </w:rPr>
        <w:t xml:space="preserve">高速公路网建 </w:t>
      </w:r>
      <w:r>
        <w:rPr>
          <w:rFonts w:ascii="宋体" w:hAnsi="宋体" w:eastAsia="宋体" w:cs="宋体"/>
          <w:spacing w:val="-12"/>
          <w:sz w:val="24"/>
          <w:szCs w:val="24"/>
        </w:rPr>
        <w:t>设，</w:t>
      </w:r>
      <w:r>
        <w:rPr>
          <w:rFonts w:ascii="宋体" w:hAnsi="宋体" w:eastAsia="宋体" w:cs="宋体"/>
          <w:spacing w:val="-24"/>
          <w:sz w:val="24"/>
          <w:szCs w:val="24"/>
        </w:rPr>
        <w:t xml:space="preserve"> </w:t>
      </w:r>
      <w:r>
        <w:rPr>
          <w:rFonts w:ascii="宋体" w:hAnsi="宋体" w:eastAsia="宋体" w:cs="宋体"/>
          <w:spacing w:val="-12"/>
          <w:sz w:val="24"/>
          <w:szCs w:val="24"/>
        </w:rPr>
        <w:t>提升温州与周边区域互联互通水平，</w:t>
      </w:r>
      <w:r>
        <w:rPr>
          <w:rFonts w:ascii="宋体" w:hAnsi="宋体" w:eastAsia="宋体" w:cs="宋体"/>
          <w:spacing w:val="57"/>
          <w:sz w:val="24"/>
          <w:szCs w:val="24"/>
        </w:rPr>
        <w:t xml:space="preserve"> </w:t>
      </w:r>
      <w:r>
        <w:rPr>
          <w:rFonts w:ascii="宋体" w:hAnsi="宋体" w:eastAsia="宋体" w:cs="宋体"/>
          <w:spacing w:val="-12"/>
          <w:sz w:val="24"/>
          <w:szCs w:val="24"/>
        </w:rPr>
        <w:t>到</w:t>
      </w:r>
      <w:r>
        <w:rPr>
          <w:rFonts w:ascii="宋体" w:hAnsi="宋体" w:eastAsia="宋体" w:cs="宋体"/>
          <w:spacing w:val="-54"/>
          <w:sz w:val="24"/>
          <w:szCs w:val="24"/>
        </w:rPr>
        <w:t xml:space="preserve"> </w:t>
      </w:r>
      <w:r>
        <w:rPr>
          <w:rFonts w:ascii="Times New Roman" w:hAnsi="Times New Roman" w:eastAsia="Times New Roman" w:cs="Times New Roman"/>
          <w:spacing w:val="-12"/>
          <w:sz w:val="24"/>
          <w:szCs w:val="24"/>
        </w:rPr>
        <w:t xml:space="preserve">2025 </w:t>
      </w:r>
      <w:r>
        <w:rPr>
          <w:rFonts w:ascii="宋体" w:hAnsi="宋体" w:eastAsia="宋体" w:cs="宋体"/>
          <w:spacing w:val="-12"/>
          <w:sz w:val="24"/>
          <w:szCs w:val="24"/>
        </w:rPr>
        <w:t>年，</w:t>
      </w:r>
      <w:r>
        <w:rPr>
          <w:rFonts w:ascii="宋体" w:hAnsi="宋体" w:eastAsia="宋体" w:cs="宋体"/>
          <w:spacing w:val="-35"/>
          <w:sz w:val="24"/>
          <w:szCs w:val="24"/>
        </w:rPr>
        <w:t xml:space="preserve"> </w:t>
      </w:r>
      <w:r>
        <w:rPr>
          <w:rFonts w:ascii="宋体" w:hAnsi="宋体" w:eastAsia="宋体" w:cs="宋体"/>
          <w:spacing w:val="-12"/>
          <w:sz w:val="24"/>
          <w:szCs w:val="24"/>
        </w:rPr>
        <w:t>实现</w:t>
      </w:r>
      <w:r>
        <w:rPr>
          <w:rFonts w:ascii="宋体" w:hAnsi="宋体" w:eastAsia="宋体" w:cs="宋体"/>
          <w:spacing w:val="-49"/>
          <w:sz w:val="24"/>
          <w:szCs w:val="24"/>
        </w:rPr>
        <w:t xml:space="preserve"> </w:t>
      </w:r>
      <w:r>
        <w:rPr>
          <w:rFonts w:ascii="Times New Roman" w:hAnsi="Times New Roman" w:eastAsia="Times New Roman" w:cs="Times New Roman"/>
          <w:spacing w:val="-12"/>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12"/>
          <w:sz w:val="24"/>
          <w:szCs w:val="24"/>
        </w:rPr>
        <w:t>万以上人口乡镇</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 xml:space="preserve">15  </w:t>
      </w:r>
      <w:r>
        <w:rPr>
          <w:rFonts w:ascii="宋体" w:hAnsi="宋体" w:eastAsia="宋体" w:cs="宋体"/>
          <w:spacing w:val="-12"/>
          <w:sz w:val="24"/>
          <w:szCs w:val="24"/>
        </w:rPr>
        <w:t>分钟上高速。加快建成高速公路</w:t>
      </w:r>
      <w:r>
        <w:rPr>
          <w:rFonts w:ascii="Times New Roman" w:hAnsi="Times New Roman" w:eastAsia="Times New Roman" w:cs="Times New Roman"/>
          <w:spacing w:val="-12"/>
          <w:sz w:val="24"/>
          <w:szCs w:val="24"/>
        </w:rPr>
        <w:t>“</w:t>
      </w:r>
      <w:r>
        <w:rPr>
          <w:rFonts w:ascii="宋体" w:hAnsi="宋体" w:eastAsia="宋体" w:cs="宋体"/>
          <w:spacing w:val="-12"/>
          <w:sz w:val="24"/>
          <w:szCs w:val="24"/>
        </w:rPr>
        <w:t>环线</w:t>
      </w:r>
      <w:r>
        <w:rPr>
          <w:rFonts w:ascii="Times New Roman" w:hAnsi="Times New Roman" w:eastAsia="Times New Roman" w:cs="Times New Roman"/>
          <w:spacing w:val="-12"/>
          <w:sz w:val="24"/>
          <w:szCs w:val="24"/>
        </w:rPr>
        <w:t>”</w:t>
      </w:r>
      <w:r>
        <w:rPr>
          <w:rFonts w:ascii="宋体" w:hAnsi="宋体" w:eastAsia="宋体" w:cs="宋体"/>
          <w:spacing w:val="-12"/>
          <w:sz w:val="24"/>
          <w:szCs w:val="24"/>
        </w:rPr>
        <w:t>。建成瓯江北口大桥，</w:t>
      </w:r>
      <w:r>
        <w:rPr>
          <w:rFonts w:ascii="宋体" w:hAnsi="宋体" w:eastAsia="宋体" w:cs="宋体"/>
          <w:spacing w:val="66"/>
          <w:sz w:val="24"/>
          <w:szCs w:val="24"/>
        </w:rPr>
        <w:t xml:space="preserve"> </w:t>
      </w:r>
      <w:r>
        <w:rPr>
          <w:rFonts w:ascii="宋体" w:hAnsi="宋体" w:eastAsia="宋体" w:cs="宋体"/>
          <w:spacing w:val="-12"/>
          <w:sz w:val="24"/>
          <w:szCs w:val="24"/>
        </w:rPr>
        <w:t>贯通绕城高速，</w:t>
      </w:r>
      <w:r>
        <w:rPr>
          <w:rFonts w:ascii="宋体" w:hAnsi="宋体" w:eastAsia="宋体" w:cs="宋体"/>
          <w:spacing w:val="44"/>
          <w:sz w:val="24"/>
          <w:szCs w:val="24"/>
        </w:rPr>
        <w:t xml:space="preserve"> </w:t>
      </w:r>
      <w:r>
        <w:rPr>
          <w:rFonts w:ascii="宋体" w:hAnsi="宋体" w:eastAsia="宋体" w:cs="宋体"/>
          <w:spacing w:val="-12"/>
          <w:sz w:val="24"/>
          <w:szCs w:val="24"/>
        </w:rPr>
        <w:t xml:space="preserve">进 </w:t>
      </w:r>
      <w:r>
        <w:rPr>
          <w:rFonts w:ascii="宋体" w:hAnsi="宋体" w:eastAsia="宋体" w:cs="宋体"/>
          <w:spacing w:val="-3"/>
          <w:sz w:val="24"/>
          <w:szCs w:val="24"/>
        </w:rPr>
        <w:t>一步拉开城市发展框架。开工建设乐永青高速乐清至</w:t>
      </w:r>
      <w:r>
        <w:rPr>
          <w:rFonts w:ascii="宋体" w:hAnsi="宋体" w:eastAsia="宋体" w:cs="宋体"/>
          <w:spacing w:val="-4"/>
          <w:sz w:val="24"/>
          <w:szCs w:val="24"/>
        </w:rPr>
        <w:t xml:space="preserve">永嘉段、青文高速、苍南至 </w:t>
      </w:r>
      <w:r>
        <w:rPr>
          <w:rFonts w:ascii="宋体" w:hAnsi="宋体" w:eastAsia="宋体" w:cs="宋体"/>
          <w:spacing w:val="-6"/>
          <w:sz w:val="24"/>
          <w:szCs w:val="24"/>
        </w:rPr>
        <w:t>泰顺高速等项目，</w:t>
      </w:r>
      <w:r>
        <w:rPr>
          <w:rFonts w:ascii="宋体" w:hAnsi="宋体" w:eastAsia="宋体" w:cs="宋体"/>
          <w:spacing w:val="48"/>
          <w:sz w:val="24"/>
          <w:szCs w:val="24"/>
        </w:rPr>
        <w:t xml:space="preserve"> </w:t>
      </w:r>
      <w:r>
        <w:rPr>
          <w:rFonts w:ascii="宋体" w:hAnsi="宋体" w:eastAsia="宋体" w:cs="宋体"/>
          <w:spacing w:val="-6"/>
          <w:sz w:val="24"/>
          <w:szCs w:val="24"/>
        </w:rPr>
        <w:t>加快构建都市区</w:t>
      </w:r>
      <w:r>
        <w:rPr>
          <w:rFonts w:ascii="Times New Roman" w:hAnsi="Times New Roman" w:eastAsia="Times New Roman" w:cs="Times New Roman"/>
          <w:spacing w:val="-6"/>
          <w:sz w:val="24"/>
          <w:szCs w:val="24"/>
        </w:rPr>
        <w:t>“</w:t>
      </w:r>
      <w:r>
        <w:rPr>
          <w:rFonts w:ascii="宋体" w:hAnsi="宋体" w:eastAsia="宋体" w:cs="宋体"/>
          <w:spacing w:val="-6"/>
          <w:sz w:val="24"/>
          <w:szCs w:val="24"/>
        </w:rPr>
        <w:t>大环线</w:t>
      </w:r>
      <w:r>
        <w:rPr>
          <w:rFonts w:ascii="Times New Roman" w:hAnsi="Times New Roman" w:eastAsia="Times New Roman" w:cs="Times New Roman"/>
          <w:spacing w:val="-6"/>
          <w:sz w:val="24"/>
          <w:szCs w:val="24"/>
        </w:rPr>
        <w:t>”</w:t>
      </w:r>
      <w:r>
        <w:rPr>
          <w:rFonts w:ascii="宋体" w:hAnsi="宋体" w:eastAsia="宋体" w:cs="宋体"/>
          <w:spacing w:val="-6"/>
          <w:sz w:val="24"/>
          <w:szCs w:val="24"/>
        </w:rPr>
        <w:t>。加快完善高速公路</w:t>
      </w:r>
      <w:r>
        <w:rPr>
          <w:rFonts w:ascii="Times New Roman" w:hAnsi="Times New Roman" w:eastAsia="Times New Roman" w:cs="Times New Roman"/>
          <w:spacing w:val="-6"/>
          <w:sz w:val="24"/>
          <w:szCs w:val="24"/>
        </w:rPr>
        <w:t>“</w:t>
      </w:r>
      <w:r>
        <w:rPr>
          <w:rFonts w:ascii="宋体" w:hAnsi="宋体" w:eastAsia="宋体" w:cs="宋体"/>
          <w:spacing w:val="-6"/>
          <w:sz w:val="24"/>
          <w:szCs w:val="24"/>
        </w:rPr>
        <w:t>射</w:t>
      </w:r>
      <w:r>
        <w:rPr>
          <w:rFonts w:ascii="宋体" w:hAnsi="宋体" w:eastAsia="宋体" w:cs="宋体"/>
          <w:spacing w:val="-7"/>
          <w:sz w:val="24"/>
          <w:szCs w:val="24"/>
        </w:rPr>
        <w:t>线</w:t>
      </w:r>
      <w:r>
        <w:rPr>
          <w:rFonts w:ascii="Times New Roman" w:hAnsi="Times New Roman" w:eastAsia="Times New Roman" w:cs="Times New Roman"/>
          <w:spacing w:val="-7"/>
          <w:sz w:val="24"/>
          <w:szCs w:val="24"/>
        </w:rPr>
        <w:t>”</w:t>
      </w:r>
      <w:r>
        <w:rPr>
          <w:rFonts w:ascii="宋体" w:hAnsi="宋体" w:eastAsia="宋体" w:cs="宋体"/>
          <w:spacing w:val="-7"/>
          <w:sz w:val="24"/>
          <w:szCs w:val="24"/>
        </w:rPr>
        <w:t xml:space="preserve">。开工建 </w:t>
      </w:r>
      <w:r>
        <w:rPr>
          <w:rFonts w:ascii="宋体" w:hAnsi="宋体" w:eastAsia="宋体" w:cs="宋体"/>
          <w:spacing w:val="-12"/>
          <w:sz w:val="24"/>
          <w:szCs w:val="24"/>
        </w:rPr>
        <w:t>设合肥至温州高速，</w:t>
      </w:r>
      <w:r>
        <w:rPr>
          <w:rFonts w:ascii="宋体" w:hAnsi="宋体" w:eastAsia="宋体" w:cs="宋体"/>
          <w:spacing w:val="36"/>
          <w:sz w:val="24"/>
          <w:szCs w:val="24"/>
        </w:rPr>
        <w:t xml:space="preserve"> </w:t>
      </w:r>
      <w:r>
        <w:rPr>
          <w:rFonts w:ascii="宋体" w:hAnsi="宋体" w:eastAsia="宋体" w:cs="宋体"/>
          <w:spacing w:val="-12"/>
          <w:sz w:val="24"/>
          <w:szCs w:val="24"/>
        </w:rPr>
        <w:t>加快融入长三角一体化。建成溧宁高速景文段，</w:t>
      </w:r>
      <w:r>
        <w:rPr>
          <w:rFonts w:ascii="宋体" w:hAnsi="宋体" w:eastAsia="宋体" w:cs="宋体"/>
          <w:spacing w:val="35"/>
          <w:sz w:val="24"/>
          <w:szCs w:val="24"/>
        </w:rPr>
        <w:t xml:space="preserve"> </w:t>
      </w:r>
      <w:r>
        <w:rPr>
          <w:rFonts w:ascii="宋体" w:hAnsi="宋体" w:eastAsia="宋体" w:cs="宋体"/>
          <w:spacing w:val="-12"/>
          <w:sz w:val="24"/>
          <w:szCs w:val="24"/>
        </w:rPr>
        <w:t xml:space="preserve">打通闽浙边 </w:t>
      </w:r>
      <w:r>
        <w:rPr>
          <w:rFonts w:ascii="宋体" w:hAnsi="宋体" w:eastAsia="宋体" w:cs="宋体"/>
          <w:spacing w:val="-10"/>
          <w:sz w:val="24"/>
          <w:szCs w:val="24"/>
        </w:rPr>
        <w:t>山海联动大通道。开展高速繁忙路段、瓶颈路段扩能改造，</w:t>
      </w:r>
      <w:r>
        <w:rPr>
          <w:rFonts w:ascii="宋体" w:hAnsi="宋体" w:eastAsia="宋体" w:cs="宋体"/>
          <w:spacing w:val="-11"/>
          <w:sz w:val="24"/>
          <w:szCs w:val="24"/>
        </w:rPr>
        <w:t xml:space="preserve"> 实施沈海高速温州段、</w:t>
      </w:r>
      <w:r>
        <w:rPr>
          <w:rFonts w:ascii="宋体" w:hAnsi="宋体" w:eastAsia="宋体" w:cs="宋体"/>
          <w:sz w:val="24"/>
          <w:szCs w:val="24"/>
        </w:rPr>
        <w:t xml:space="preserve"> </w:t>
      </w:r>
      <w:r>
        <w:rPr>
          <w:rFonts w:ascii="宋体" w:hAnsi="宋体" w:eastAsia="宋体" w:cs="宋体"/>
          <w:spacing w:val="4"/>
          <w:sz w:val="24"/>
          <w:szCs w:val="24"/>
        </w:rPr>
        <w:t>温丽高速温州段改扩建，同步推进</w:t>
      </w:r>
      <w:r>
        <w:rPr>
          <w:rFonts w:ascii="Times New Roman" w:hAnsi="Times New Roman" w:eastAsia="Times New Roman" w:cs="Times New Roman"/>
          <w:spacing w:val="4"/>
          <w:sz w:val="24"/>
          <w:szCs w:val="24"/>
        </w:rPr>
        <w:t>“</w:t>
      </w:r>
      <w:r>
        <w:rPr>
          <w:rFonts w:ascii="宋体" w:hAnsi="宋体" w:eastAsia="宋体" w:cs="宋体"/>
          <w:spacing w:val="4"/>
          <w:sz w:val="24"/>
          <w:szCs w:val="24"/>
        </w:rPr>
        <w:t>迎亚运</w:t>
      </w:r>
      <w:r>
        <w:rPr>
          <w:rFonts w:ascii="宋体" w:hAnsi="宋体" w:eastAsia="宋体" w:cs="宋体"/>
          <w:spacing w:val="3"/>
          <w:sz w:val="24"/>
          <w:szCs w:val="24"/>
        </w:rPr>
        <w:t>建窗口</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1"/>
          <w:sz w:val="24"/>
          <w:szCs w:val="24"/>
        </w:rPr>
        <w:t xml:space="preserve"> </w:t>
      </w:r>
      <w:r>
        <w:rPr>
          <w:rFonts w:ascii="宋体" w:hAnsi="宋体" w:eastAsia="宋体" w:cs="宋体"/>
          <w:spacing w:val="3"/>
          <w:sz w:val="24"/>
          <w:szCs w:val="24"/>
        </w:rPr>
        <w:t xml:space="preserve">高速公路服务区改造提升行 </w:t>
      </w:r>
      <w:r>
        <w:rPr>
          <w:rFonts w:ascii="宋体" w:hAnsi="宋体" w:eastAsia="宋体" w:cs="宋体"/>
          <w:spacing w:val="-10"/>
          <w:sz w:val="24"/>
          <w:szCs w:val="24"/>
        </w:rPr>
        <w:t>动，</w:t>
      </w:r>
      <w:r>
        <w:rPr>
          <w:rFonts w:ascii="宋体" w:hAnsi="宋体" w:eastAsia="宋体" w:cs="宋体"/>
          <w:spacing w:val="-44"/>
          <w:sz w:val="24"/>
          <w:szCs w:val="24"/>
        </w:rPr>
        <w:t xml:space="preserve"> </w:t>
      </w:r>
      <w:r>
        <w:rPr>
          <w:rFonts w:ascii="宋体" w:hAnsi="宋体" w:eastAsia="宋体" w:cs="宋体"/>
          <w:spacing w:val="-10"/>
          <w:sz w:val="24"/>
          <w:szCs w:val="24"/>
        </w:rPr>
        <w:t>增设沈海高速丽岙停车区、七都服务区，</w:t>
      </w:r>
      <w:r>
        <w:rPr>
          <w:rFonts w:ascii="宋体" w:hAnsi="宋体" w:eastAsia="宋体" w:cs="宋体"/>
          <w:spacing w:val="43"/>
          <w:sz w:val="24"/>
          <w:szCs w:val="24"/>
        </w:rPr>
        <w:t xml:space="preserve"> </w:t>
      </w:r>
      <w:r>
        <w:rPr>
          <w:rFonts w:ascii="宋体" w:hAnsi="宋体" w:eastAsia="宋体" w:cs="宋体"/>
          <w:spacing w:val="-10"/>
          <w:sz w:val="24"/>
          <w:szCs w:val="24"/>
        </w:rPr>
        <w:t xml:space="preserve">扩建苍南服务区、清江服务区。加 </w:t>
      </w:r>
      <w:r>
        <w:rPr>
          <w:rFonts w:ascii="宋体" w:hAnsi="宋体" w:eastAsia="宋体" w:cs="宋体"/>
          <w:spacing w:val="-7"/>
          <w:sz w:val="24"/>
          <w:szCs w:val="24"/>
        </w:rPr>
        <w:t>快推进高速公路</w:t>
      </w:r>
      <w:r>
        <w:rPr>
          <w:rFonts w:ascii="Times New Roman" w:hAnsi="Times New Roman" w:eastAsia="Times New Roman" w:cs="Times New Roman"/>
          <w:spacing w:val="-7"/>
          <w:sz w:val="24"/>
          <w:szCs w:val="24"/>
        </w:rPr>
        <w:t>“</w:t>
      </w:r>
      <w:r>
        <w:rPr>
          <w:rFonts w:ascii="宋体" w:hAnsi="宋体" w:eastAsia="宋体" w:cs="宋体"/>
          <w:spacing w:val="-7"/>
          <w:sz w:val="24"/>
          <w:szCs w:val="24"/>
        </w:rPr>
        <w:t>联络线</w:t>
      </w:r>
      <w:r>
        <w:rPr>
          <w:rFonts w:ascii="Times New Roman" w:hAnsi="Times New Roman" w:eastAsia="Times New Roman" w:cs="Times New Roman"/>
          <w:spacing w:val="-7"/>
          <w:sz w:val="24"/>
          <w:szCs w:val="24"/>
        </w:rPr>
        <w:t>”</w:t>
      </w:r>
      <w:r>
        <w:rPr>
          <w:rFonts w:ascii="宋体" w:hAnsi="宋体" w:eastAsia="宋体" w:cs="宋体"/>
          <w:spacing w:val="-7"/>
          <w:sz w:val="24"/>
          <w:szCs w:val="24"/>
        </w:rPr>
        <w:t>。建成瑞平苍高速，</w:t>
      </w:r>
      <w:r>
        <w:rPr>
          <w:rFonts w:ascii="宋体" w:hAnsi="宋体" w:eastAsia="宋体" w:cs="宋体"/>
          <w:spacing w:val="45"/>
          <w:sz w:val="24"/>
          <w:szCs w:val="24"/>
        </w:rPr>
        <w:t xml:space="preserve"> </w:t>
      </w:r>
      <w:r>
        <w:rPr>
          <w:rFonts w:ascii="宋体" w:hAnsi="宋体" w:eastAsia="宋体" w:cs="宋体"/>
          <w:spacing w:val="-7"/>
          <w:sz w:val="24"/>
          <w:szCs w:val="24"/>
        </w:rPr>
        <w:t xml:space="preserve">提升鳌江流域副中心高速公路网络 </w:t>
      </w:r>
      <w:r>
        <w:rPr>
          <w:rFonts w:ascii="宋体" w:hAnsi="宋体" w:eastAsia="宋体" w:cs="宋体"/>
          <w:spacing w:val="-8"/>
          <w:sz w:val="24"/>
          <w:szCs w:val="24"/>
        </w:rPr>
        <w:t>化水平。建成金丽温高速东延线、甬台温高速公路复线瑞安联络线，</w:t>
      </w:r>
      <w:r>
        <w:rPr>
          <w:rFonts w:ascii="宋体" w:hAnsi="宋体" w:eastAsia="宋体" w:cs="宋体"/>
          <w:spacing w:val="47"/>
          <w:sz w:val="24"/>
          <w:szCs w:val="24"/>
        </w:rPr>
        <w:t xml:space="preserve"> </w:t>
      </w:r>
      <w:r>
        <w:rPr>
          <w:rFonts w:ascii="宋体" w:hAnsi="宋体" w:eastAsia="宋体" w:cs="宋体"/>
          <w:spacing w:val="-8"/>
          <w:sz w:val="24"/>
          <w:szCs w:val="24"/>
        </w:rPr>
        <w:t xml:space="preserve">完善中心城 </w:t>
      </w:r>
      <w:r>
        <w:rPr>
          <w:rFonts w:ascii="宋体" w:hAnsi="宋体" w:eastAsia="宋体" w:cs="宋体"/>
          <w:spacing w:val="-7"/>
          <w:sz w:val="24"/>
          <w:szCs w:val="24"/>
        </w:rPr>
        <w:t xml:space="preserve">区东西向快速通达。积极开展温岭至永嘉高速等项目前期， 加快填补区域高速路 </w:t>
      </w:r>
      <w:r>
        <w:rPr>
          <w:rFonts w:ascii="宋体" w:hAnsi="宋体" w:eastAsia="宋体" w:cs="宋体"/>
          <w:spacing w:val="-10"/>
          <w:sz w:val="24"/>
          <w:szCs w:val="24"/>
        </w:rPr>
        <w:t>网空白， 加密互通布局扩大高速公路覆盖面，</w:t>
      </w:r>
      <w:r>
        <w:rPr>
          <w:rFonts w:ascii="宋体" w:hAnsi="宋体" w:eastAsia="宋体" w:cs="宋体"/>
          <w:spacing w:val="31"/>
          <w:sz w:val="24"/>
          <w:szCs w:val="24"/>
        </w:rPr>
        <w:t xml:space="preserve"> </w:t>
      </w:r>
      <w:r>
        <w:rPr>
          <w:rFonts w:ascii="宋体" w:hAnsi="宋体" w:eastAsia="宋体" w:cs="宋体"/>
          <w:spacing w:val="-11"/>
          <w:sz w:val="24"/>
          <w:szCs w:val="24"/>
        </w:rPr>
        <w:t>加强互通节点至重要城镇、景区等</w:t>
      </w:r>
    </w:p>
    <w:p>
      <w:pPr>
        <w:spacing w:line="220" w:lineRule="auto"/>
        <w:ind w:left="55"/>
        <w:rPr>
          <w:rFonts w:ascii="宋体" w:hAnsi="宋体" w:eastAsia="宋体" w:cs="宋体"/>
          <w:sz w:val="24"/>
          <w:szCs w:val="24"/>
        </w:rPr>
      </w:pPr>
      <w:r>
        <w:rPr>
          <w:rFonts w:ascii="宋体" w:hAnsi="宋体" w:eastAsia="宋体" w:cs="宋体"/>
          <w:spacing w:val="-8"/>
          <w:sz w:val="24"/>
          <w:szCs w:val="24"/>
        </w:rPr>
        <w:t>区域的连接线。</w:t>
      </w:r>
    </w:p>
    <w:p>
      <w:pPr>
        <w:spacing w:before="182" w:line="359" w:lineRule="auto"/>
        <w:ind w:left="38" w:right="82" w:firstLine="481"/>
        <w:rPr>
          <w:rFonts w:ascii="宋体" w:hAnsi="宋体" w:eastAsia="宋体" w:cs="宋体"/>
          <w:sz w:val="24"/>
          <w:szCs w:val="24"/>
        </w:rPr>
      </w:pPr>
      <w:r>
        <w:rPr>
          <w:rFonts w:ascii="宋体" w:hAnsi="宋体" w:eastAsia="宋体" w:cs="宋体"/>
          <w:spacing w:val="-13"/>
          <w:sz w:val="24"/>
          <w:szCs w:val="24"/>
        </w:rPr>
        <w:t>完善覆盖广泛的普通公路网。推进普通公路高质量发展，</w:t>
      </w:r>
      <w:r>
        <w:rPr>
          <w:rFonts w:ascii="宋体" w:hAnsi="宋体" w:eastAsia="宋体" w:cs="宋体"/>
          <w:spacing w:val="50"/>
          <w:sz w:val="24"/>
          <w:szCs w:val="24"/>
        </w:rPr>
        <w:t xml:space="preserve"> </w:t>
      </w:r>
      <w:r>
        <w:rPr>
          <w:rFonts w:ascii="宋体" w:hAnsi="宋体" w:eastAsia="宋体" w:cs="宋体"/>
          <w:spacing w:val="-13"/>
          <w:sz w:val="24"/>
          <w:szCs w:val="24"/>
        </w:rPr>
        <w:t>扩大路网规模，</w:t>
      </w:r>
      <w:r>
        <w:rPr>
          <w:rFonts w:ascii="宋体" w:hAnsi="宋体" w:eastAsia="宋体" w:cs="宋体"/>
          <w:spacing w:val="33"/>
          <w:sz w:val="24"/>
          <w:szCs w:val="24"/>
        </w:rPr>
        <w:t xml:space="preserve"> </w:t>
      </w:r>
      <w:r>
        <w:rPr>
          <w:rFonts w:ascii="宋体" w:hAnsi="宋体" w:eastAsia="宋体" w:cs="宋体"/>
          <w:spacing w:val="-13"/>
          <w:sz w:val="24"/>
          <w:szCs w:val="24"/>
        </w:rPr>
        <w:t>提</w:t>
      </w:r>
      <w:r>
        <w:rPr>
          <w:rFonts w:ascii="宋体" w:hAnsi="宋体" w:eastAsia="宋体" w:cs="宋体"/>
          <w:sz w:val="24"/>
          <w:szCs w:val="24"/>
        </w:rPr>
        <w:t xml:space="preserve"> </w:t>
      </w:r>
      <w:r>
        <w:rPr>
          <w:rFonts w:ascii="宋体" w:hAnsi="宋体" w:eastAsia="宋体" w:cs="宋体"/>
          <w:spacing w:val="-9"/>
          <w:sz w:val="24"/>
          <w:szCs w:val="24"/>
        </w:rPr>
        <w:t>升网络覆盖和通达能力， 加快推进乡镇三级公路全</w:t>
      </w:r>
      <w:r>
        <w:rPr>
          <w:rFonts w:ascii="宋体" w:hAnsi="宋体" w:eastAsia="宋体" w:cs="宋体"/>
          <w:spacing w:val="-10"/>
          <w:sz w:val="24"/>
          <w:szCs w:val="24"/>
        </w:rPr>
        <w:t>覆盖， 有序推进万人以上乡镇</w:t>
      </w:r>
      <w:r>
        <w:rPr>
          <w:rFonts w:ascii="宋体" w:hAnsi="宋体" w:eastAsia="宋体" w:cs="宋体"/>
          <w:sz w:val="24"/>
          <w:szCs w:val="24"/>
        </w:rPr>
        <w:t xml:space="preserve"> </w:t>
      </w:r>
      <w:r>
        <w:rPr>
          <w:rFonts w:ascii="宋体" w:hAnsi="宋体" w:eastAsia="宋体" w:cs="宋体"/>
          <w:spacing w:val="-12"/>
          <w:sz w:val="24"/>
          <w:szCs w:val="24"/>
        </w:rPr>
        <w:t>通二级公路，</w:t>
      </w:r>
      <w:r>
        <w:rPr>
          <w:rFonts w:ascii="宋体" w:hAnsi="宋体" w:eastAsia="宋体" w:cs="宋体"/>
          <w:spacing w:val="32"/>
          <w:sz w:val="24"/>
          <w:szCs w:val="24"/>
        </w:rPr>
        <w:t xml:space="preserve"> </w:t>
      </w:r>
      <w:r>
        <w:rPr>
          <w:rFonts w:ascii="宋体" w:hAnsi="宋体" w:eastAsia="宋体" w:cs="宋体"/>
          <w:spacing w:val="-12"/>
          <w:sz w:val="24"/>
          <w:szCs w:val="24"/>
        </w:rPr>
        <w:t>稳步推进</w:t>
      </w:r>
      <w:r>
        <w:rPr>
          <w:rFonts w:ascii="宋体" w:hAnsi="宋体" w:eastAsia="宋体" w:cs="宋体"/>
          <w:spacing w:val="-48"/>
          <w:sz w:val="24"/>
          <w:szCs w:val="24"/>
        </w:rPr>
        <w:t xml:space="preserve"> </w:t>
      </w:r>
      <w:r>
        <w:rPr>
          <w:rFonts w:ascii="Times New Roman" w:hAnsi="Times New Roman" w:eastAsia="Times New Roman" w:cs="Times New Roman"/>
          <w:spacing w:val="-12"/>
          <w:sz w:val="24"/>
          <w:szCs w:val="24"/>
        </w:rPr>
        <w:t>5</w:t>
      </w:r>
      <w:r>
        <w:rPr>
          <w:rFonts w:ascii="Times New Roman" w:hAnsi="Times New Roman" w:eastAsia="Times New Roman" w:cs="Times New Roman"/>
          <w:spacing w:val="15"/>
          <w:w w:val="101"/>
          <w:sz w:val="24"/>
          <w:szCs w:val="24"/>
        </w:rPr>
        <w:t xml:space="preserve"> </w:t>
      </w:r>
      <w:r>
        <w:rPr>
          <w:rFonts w:ascii="宋体" w:hAnsi="宋体" w:eastAsia="宋体" w:cs="宋体"/>
          <w:spacing w:val="-12"/>
          <w:sz w:val="24"/>
          <w:szCs w:val="24"/>
        </w:rPr>
        <w:t>万人以上乡镇通一级</w:t>
      </w:r>
      <w:r>
        <w:rPr>
          <w:rFonts w:ascii="宋体" w:hAnsi="宋体" w:eastAsia="宋体" w:cs="宋体"/>
          <w:spacing w:val="-13"/>
          <w:sz w:val="24"/>
          <w:szCs w:val="24"/>
        </w:rPr>
        <w:t>公路。推进国省干线升级改造，</w:t>
      </w:r>
      <w:r>
        <w:rPr>
          <w:rFonts w:ascii="宋体" w:hAnsi="宋体" w:eastAsia="宋体" w:cs="宋体"/>
          <w:spacing w:val="31"/>
          <w:sz w:val="24"/>
          <w:szCs w:val="24"/>
        </w:rPr>
        <w:t xml:space="preserve"> </w:t>
      </w:r>
      <w:r>
        <w:rPr>
          <w:rFonts w:ascii="宋体" w:hAnsi="宋体" w:eastAsia="宋体" w:cs="宋体"/>
          <w:spacing w:val="-13"/>
          <w:sz w:val="24"/>
          <w:szCs w:val="24"/>
        </w:rPr>
        <w:t>全</w:t>
      </w:r>
      <w:r>
        <w:rPr>
          <w:rFonts w:ascii="宋体" w:hAnsi="宋体" w:eastAsia="宋体" w:cs="宋体"/>
          <w:sz w:val="24"/>
          <w:szCs w:val="24"/>
        </w:rPr>
        <w:t xml:space="preserve"> </w:t>
      </w:r>
      <w:r>
        <w:rPr>
          <w:rFonts w:ascii="宋体" w:hAnsi="宋体" w:eastAsia="宋体" w:cs="宋体"/>
          <w:spacing w:val="-8"/>
          <w:sz w:val="24"/>
          <w:szCs w:val="24"/>
        </w:rPr>
        <w:t>面消除</w:t>
      </w:r>
      <w:r>
        <w:rPr>
          <w:rFonts w:ascii="Times New Roman" w:hAnsi="Times New Roman" w:eastAsia="Times New Roman" w:cs="Times New Roman"/>
          <w:spacing w:val="-8"/>
          <w:sz w:val="24"/>
          <w:szCs w:val="24"/>
        </w:rPr>
        <w:t>“</w:t>
      </w:r>
      <w:r>
        <w:rPr>
          <w:rFonts w:ascii="Times New Roman" w:hAnsi="Times New Roman" w:eastAsia="Times New Roman" w:cs="Times New Roman"/>
          <w:spacing w:val="-43"/>
          <w:sz w:val="24"/>
          <w:szCs w:val="24"/>
        </w:rPr>
        <w:t xml:space="preserve"> </w:t>
      </w:r>
      <w:r>
        <w:rPr>
          <w:rFonts w:ascii="宋体" w:hAnsi="宋体" w:eastAsia="宋体" w:cs="宋体"/>
          <w:spacing w:val="-8"/>
          <w:sz w:val="24"/>
          <w:szCs w:val="24"/>
        </w:rPr>
        <w:t>断头路、梗阻路、盲肠路</w:t>
      </w:r>
      <w:r>
        <w:rPr>
          <w:rFonts w:ascii="Times New Roman" w:hAnsi="Times New Roman" w:eastAsia="Times New Roman" w:cs="Times New Roman"/>
          <w:spacing w:val="-8"/>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8"/>
          <w:sz w:val="24"/>
          <w:szCs w:val="24"/>
        </w:rPr>
        <w:t>，强化干线公路养护，</w:t>
      </w:r>
      <w:r>
        <w:rPr>
          <w:rFonts w:ascii="宋体" w:hAnsi="宋体" w:eastAsia="宋体" w:cs="宋体"/>
          <w:spacing w:val="47"/>
          <w:sz w:val="24"/>
          <w:szCs w:val="24"/>
        </w:rPr>
        <w:t xml:space="preserve"> </w:t>
      </w:r>
      <w:r>
        <w:rPr>
          <w:rFonts w:ascii="宋体" w:hAnsi="宋体" w:eastAsia="宋体" w:cs="宋体"/>
          <w:spacing w:val="-8"/>
          <w:sz w:val="24"/>
          <w:szCs w:val="24"/>
        </w:rPr>
        <w:t>提高干线公路</w:t>
      </w:r>
      <w:r>
        <w:rPr>
          <w:rFonts w:ascii="宋体" w:hAnsi="宋体" w:eastAsia="宋体" w:cs="宋体"/>
          <w:spacing w:val="-9"/>
          <w:sz w:val="24"/>
          <w:szCs w:val="24"/>
        </w:rPr>
        <w:t>优良率和</w:t>
      </w:r>
      <w:r>
        <w:rPr>
          <w:rFonts w:ascii="宋体" w:hAnsi="宋体" w:eastAsia="宋体" w:cs="宋体"/>
          <w:sz w:val="24"/>
          <w:szCs w:val="24"/>
        </w:rPr>
        <w:t xml:space="preserve"> </w:t>
      </w:r>
      <w:r>
        <w:rPr>
          <w:rFonts w:ascii="宋体" w:hAnsi="宋体" w:eastAsia="宋体" w:cs="宋体"/>
          <w:spacing w:val="-6"/>
          <w:sz w:val="24"/>
          <w:szCs w:val="24"/>
        </w:rPr>
        <w:t>畅通能力，至十四五末，普通国道、省道通车里程达</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560</w:t>
      </w:r>
      <w:r>
        <w:rPr>
          <w:rFonts w:ascii="Times New Roman" w:hAnsi="Times New Roman" w:eastAsia="Times New Roman" w:cs="Times New Roman"/>
          <w:spacing w:val="16"/>
          <w:w w:val="101"/>
          <w:sz w:val="24"/>
          <w:szCs w:val="24"/>
        </w:rPr>
        <w:t xml:space="preserve"> </w:t>
      </w:r>
      <w:r>
        <w:rPr>
          <w:rFonts w:ascii="宋体" w:hAnsi="宋体" w:eastAsia="宋体" w:cs="宋体"/>
          <w:spacing w:val="-6"/>
          <w:sz w:val="24"/>
          <w:szCs w:val="24"/>
        </w:rPr>
        <w:t xml:space="preserve">公里、 </w:t>
      </w:r>
      <w:r>
        <w:rPr>
          <w:rFonts w:ascii="Times New Roman" w:hAnsi="Times New Roman" w:eastAsia="Times New Roman" w:cs="Times New Roman"/>
          <w:spacing w:val="-6"/>
          <w:sz w:val="24"/>
          <w:szCs w:val="24"/>
        </w:rPr>
        <w:t>380</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公里以上，</w:t>
      </w:r>
      <w:r>
        <w:rPr>
          <w:rFonts w:ascii="宋体" w:hAnsi="宋体" w:eastAsia="宋体" w:cs="宋体"/>
          <w:sz w:val="24"/>
          <w:szCs w:val="24"/>
        </w:rPr>
        <w:t xml:space="preserve"> </w:t>
      </w:r>
      <w:r>
        <w:rPr>
          <w:rFonts w:ascii="宋体" w:hAnsi="宋体" w:eastAsia="宋体" w:cs="宋体"/>
          <w:spacing w:val="-3"/>
          <w:sz w:val="24"/>
          <w:szCs w:val="24"/>
        </w:rPr>
        <w:t>国道二级及以上公路比重达</w:t>
      </w:r>
      <w:r>
        <w:rPr>
          <w:rFonts w:ascii="宋体" w:hAnsi="宋体" w:eastAsia="宋体" w:cs="宋体"/>
          <w:spacing w:val="-18"/>
          <w:sz w:val="24"/>
          <w:szCs w:val="24"/>
        </w:rPr>
        <w:t xml:space="preserve"> </w:t>
      </w:r>
      <w:r>
        <w:rPr>
          <w:rFonts w:ascii="Times New Roman" w:hAnsi="Times New Roman" w:eastAsia="Times New Roman" w:cs="Times New Roman"/>
          <w:spacing w:val="-3"/>
          <w:sz w:val="24"/>
          <w:szCs w:val="24"/>
        </w:rPr>
        <w:t>100%</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，一级公路比重达</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88%</w:t>
      </w:r>
      <w:r>
        <w:rPr>
          <w:rFonts w:ascii="宋体" w:hAnsi="宋体" w:eastAsia="宋体" w:cs="宋体"/>
          <w:spacing w:val="-3"/>
          <w:sz w:val="24"/>
          <w:szCs w:val="24"/>
        </w:rPr>
        <w:t>，实现县城一级公路全</w:t>
      </w:r>
      <w:r>
        <w:rPr>
          <w:rFonts w:ascii="宋体" w:hAnsi="宋体" w:eastAsia="宋体" w:cs="宋体"/>
          <w:sz w:val="24"/>
          <w:szCs w:val="24"/>
        </w:rPr>
        <w:t xml:space="preserve"> </w:t>
      </w:r>
      <w:r>
        <w:rPr>
          <w:rFonts w:ascii="宋体" w:hAnsi="宋体" w:eastAsia="宋体" w:cs="宋体"/>
          <w:spacing w:val="-12"/>
          <w:sz w:val="24"/>
          <w:szCs w:val="24"/>
        </w:rPr>
        <w:t>覆盖。推进</w:t>
      </w:r>
      <w:r>
        <w:rPr>
          <w:rFonts w:ascii="Times New Roman" w:hAnsi="Times New Roman" w:eastAsia="Times New Roman" w:cs="Times New Roman"/>
          <w:spacing w:val="-12"/>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12"/>
          <w:sz w:val="24"/>
          <w:szCs w:val="24"/>
        </w:rPr>
        <w:t>四好农村路</w:t>
      </w:r>
      <w:r>
        <w:rPr>
          <w:rFonts w:ascii="Times New Roman" w:hAnsi="Times New Roman" w:eastAsia="Times New Roman" w:cs="Times New Roman"/>
          <w:spacing w:val="-12"/>
          <w:sz w:val="24"/>
          <w:szCs w:val="24"/>
        </w:rPr>
        <w:t>”</w:t>
      </w:r>
      <w:r>
        <w:rPr>
          <w:rFonts w:ascii="宋体" w:hAnsi="宋体" w:eastAsia="宋体" w:cs="宋体"/>
          <w:spacing w:val="-12"/>
          <w:sz w:val="24"/>
          <w:szCs w:val="24"/>
        </w:rPr>
        <w:t>高质量发展，</w:t>
      </w:r>
      <w:r>
        <w:rPr>
          <w:rFonts w:ascii="宋体" w:hAnsi="宋体" w:eastAsia="宋体" w:cs="宋体"/>
          <w:spacing w:val="42"/>
          <w:sz w:val="24"/>
          <w:szCs w:val="24"/>
        </w:rPr>
        <w:t xml:space="preserve"> </w:t>
      </w:r>
      <w:r>
        <w:rPr>
          <w:rFonts w:ascii="宋体" w:hAnsi="宋体" w:eastAsia="宋体" w:cs="宋体"/>
          <w:spacing w:val="-12"/>
          <w:sz w:val="24"/>
          <w:szCs w:val="24"/>
        </w:rPr>
        <w:t>加大通乡镇公路升级改造力度，</w:t>
      </w:r>
      <w:r>
        <w:rPr>
          <w:rFonts w:ascii="宋体" w:hAnsi="宋体" w:eastAsia="宋体" w:cs="宋体"/>
          <w:spacing w:val="42"/>
          <w:sz w:val="24"/>
          <w:szCs w:val="24"/>
        </w:rPr>
        <w:t xml:space="preserve"> </w:t>
      </w:r>
      <w:r>
        <w:rPr>
          <w:rFonts w:ascii="宋体" w:hAnsi="宋体" w:eastAsia="宋体" w:cs="宋体"/>
          <w:spacing w:val="-12"/>
          <w:sz w:val="24"/>
          <w:szCs w:val="24"/>
        </w:rPr>
        <w:t>提升山区</w:t>
      </w:r>
    </w:p>
    <w:p>
      <w:pPr>
        <w:spacing w:before="1" w:line="219" w:lineRule="auto"/>
        <w:ind w:left="40"/>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39"/>
          <w:sz w:val="24"/>
          <w:szCs w:val="24"/>
        </w:rPr>
        <w:t xml:space="preserve"> </w:t>
      </w:r>
      <w:r>
        <w:rPr>
          <w:rFonts w:ascii="宋体" w:hAnsi="宋体" w:eastAsia="宋体" w:cs="宋体"/>
          <w:spacing w:val="-1"/>
          <w:sz w:val="24"/>
          <w:szCs w:val="24"/>
        </w:rPr>
        <w:t>县、乐清北部、瓯海西部、鹿城西部等区域路网覆盖率，到</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2025</w:t>
      </w:r>
      <w:r>
        <w:rPr>
          <w:rFonts w:ascii="Times New Roman" w:hAnsi="Times New Roman" w:eastAsia="Times New Roman" w:cs="Times New Roman"/>
          <w:spacing w:val="39"/>
          <w:sz w:val="24"/>
          <w:szCs w:val="24"/>
        </w:rPr>
        <w:t xml:space="preserve"> </w:t>
      </w:r>
      <w:r>
        <w:rPr>
          <w:rFonts w:ascii="宋体" w:hAnsi="宋体" w:eastAsia="宋体" w:cs="宋体"/>
          <w:spacing w:val="-1"/>
          <w:sz w:val="24"/>
          <w:szCs w:val="24"/>
        </w:rPr>
        <w:t>年，全市农</w:t>
      </w:r>
    </w:p>
    <w:p>
      <w:pPr>
        <w:spacing w:line="219" w:lineRule="auto"/>
        <w:rPr>
          <w:rFonts w:ascii="宋体" w:hAnsi="宋体" w:eastAsia="宋体" w:cs="宋体"/>
          <w:sz w:val="24"/>
          <w:szCs w:val="24"/>
        </w:rPr>
        <w:sectPr>
          <w:headerReference r:id="rId43" w:type="default"/>
          <w:footerReference r:id="rId44" w:type="default"/>
          <w:pgSz w:w="11907" w:h="16839"/>
          <w:pgMar w:top="1118" w:right="1716" w:bottom="1184" w:left="1771" w:header="879" w:footer="1024" w:gutter="0"/>
          <w:cols w:space="720" w:num="1"/>
        </w:sectPr>
      </w:pPr>
    </w:p>
    <w:p>
      <w:pPr>
        <w:pStyle w:val="2"/>
        <w:spacing w:line="278" w:lineRule="auto"/>
      </w:pPr>
    </w:p>
    <w:p>
      <w:pPr>
        <w:spacing w:before="78" w:line="468" w:lineRule="exact"/>
        <w:ind w:left="123"/>
        <w:rPr>
          <w:rFonts w:ascii="宋体" w:hAnsi="宋体" w:eastAsia="宋体" w:cs="宋体"/>
          <w:sz w:val="24"/>
          <w:szCs w:val="24"/>
        </w:rPr>
      </w:pPr>
      <w:r>
        <w:rPr>
          <w:rFonts w:ascii="宋体" w:hAnsi="宋体" w:eastAsia="宋体" w:cs="宋体"/>
          <w:spacing w:val="-3"/>
          <w:position w:val="17"/>
          <w:sz w:val="24"/>
          <w:szCs w:val="24"/>
        </w:rPr>
        <w:t xml:space="preserve">村公路里程达 </w:t>
      </w:r>
      <w:r>
        <w:rPr>
          <w:rFonts w:ascii="Times New Roman" w:hAnsi="Times New Roman" w:eastAsia="Times New Roman" w:cs="Times New Roman"/>
          <w:spacing w:val="-3"/>
          <w:position w:val="17"/>
          <w:sz w:val="24"/>
          <w:szCs w:val="24"/>
        </w:rPr>
        <w:t>14700</w:t>
      </w:r>
      <w:r>
        <w:rPr>
          <w:rFonts w:ascii="Times New Roman" w:hAnsi="Times New Roman" w:eastAsia="Times New Roman" w:cs="Times New Roman"/>
          <w:spacing w:val="44"/>
          <w:position w:val="17"/>
          <w:sz w:val="24"/>
          <w:szCs w:val="24"/>
        </w:rPr>
        <w:t xml:space="preserve"> </w:t>
      </w:r>
      <w:r>
        <w:rPr>
          <w:rFonts w:ascii="宋体" w:hAnsi="宋体" w:eastAsia="宋体" w:cs="宋体"/>
          <w:spacing w:val="-3"/>
          <w:position w:val="17"/>
          <w:sz w:val="24"/>
          <w:szCs w:val="24"/>
        </w:rPr>
        <w:t xml:space="preserve">公里，建制村公路通畅率达 </w:t>
      </w:r>
      <w:r>
        <w:rPr>
          <w:rFonts w:ascii="Times New Roman" w:hAnsi="Times New Roman" w:eastAsia="Times New Roman" w:cs="Times New Roman"/>
          <w:spacing w:val="-3"/>
          <w:position w:val="17"/>
          <w:sz w:val="24"/>
          <w:szCs w:val="24"/>
        </w:rPr>
        <w:t>100%</w:t>
      </w:r>
      <w:r>
        <w:rPr>
          <w:rFonts w:ascii="宋体" w:hAnsi="宋体" w:eastAsia="宋体" w:cs="宋体"/>
          <w:spacing w:val="-3"/>
          <w:position w:val="17"/>
          <w:sz w:val="24"/>
          <w:szCs w:val="24"/>
        </w:rPr>
        <w:t xml:space="preserve">，等级路比重达 </w:t>
      </w:r>
      <w:r>
        <w:rPr>
          <w:rFonts w:ascii="Times New Roman" w:hAnsi="Times New Roman" w:eastAsia="Times New Roman" w:cs="Times New Roman"/>
          <w:spacing w:val="-3"/>
          <w:position w:val="17"/>
          <w:sz w:val="24"/>
          <w:szCs w:val="24"/>
        </w:rPr>
        <w:t>10</w:t>
      </w:r>
      <w:r>
        <w:rPr>
          <w:rFonts w:ascii="Times New Roman" w:hAnsi="Times New Roman" w:eastAsia="Times New Roman" w:cs="Times New Roman"/>
          <w:spacing w:val="-4"/>
          <w:position w:val="17"/>
          <w:sz w:val="24"/>
          <w:szCs w:val="24"/>
        </w:rPr>
        <w:t>0%</w:t>
      </w:r>
      <w:r>
        <w:rPr>
          <w:rFonts w:ascii="宋体" w:hAnsi="宋体" w:eastAsia="宋体" w:cs="宋体"/>
          <w:spacing w:val="-4"/>
          <w:position w:val="17"/>
          <w:sz w:val="24"/>
          <w:szCs w:val="24"/>
        </w:rPr>
        <w:t>，</w:t>
      </w:r>
    </w:p>
    <w:p>
      <w:pPr>
        <w:spacing w:line="219" w:lineRule="auto"/>
        <w:ind w:left="122"/>
        <w:rPr>
          <w:rFonts w:ascii="宋体" w:hAnsi="宋体" w:eastAsia="宋体" w:cs="宋体"/>
          <w:sz w:val="24"/>
          <w:szCs w:val="24"/>
        </w:rPr>
      </w:pPr>
      <w:r>
        <w:rPr>
          <w:rFonts w:ascii="宋体" w:hAnsi="宋体" w:eastAsia="宋体" w:cs="宋体"/>
          <w:spacing w:val="-3"/>
          <w:sz w:val="24"/>
          <w:szCs w:val="24"/>
        </w:rPr>
        <w:t>通客车公路达标率</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100%</w:t>
      </w:r>
      <w:r>
        <w:rPr>
          <w:rFonts w:ascii="宋体" w:hAnsi="宋体" w:eastAsia="宋体" w:cs="宋体"/>
          <w:spacing w:val="-3"/>
          <w:sz w:val="24"/>
          <w:szCs w:val="24"/>
        </w:rPr>
        <w:t>。</w:t>
      </w:r>
    </w:p>
    <w:p>
      <w:pPr>
        <w:spacing w:before="182" w:line="359" w:lineRule="auto"/>
        <w:ind w:left="124" w:right="29" w:firstLine="481"/>
        <w:rPr>
          <w:rFonts w:ascii="宋体" w:hAnsi="宋体" w:eastAsia="宋体" w:cs="宋体"/>
          <w:sz w:val="24"/>
          <w:szCs w:val="24"/>
        </w:rPr>
      </w:pPr>
      <w:r>
        <w:rPr>
          <w:rFonts w:ascii="宋体" w:hAnsi="宋体" w:eastAsia="宋体" w:cs="宋体"/>
          <w:spacing w:val="-7"/>
          <w:sz w:val="24"/>
          <w:szCs w:val="24"/>
        </w:rPr>
        <w:t>打造便捷顺畅的城市交通网。加快推进</w:t>
      </w:r>
      <w:r>
        <w:rPr>
          <w:rFonts w:ascii="Times New Roman" w:hAnsi="Times New Roman" w:eastAsia="Times New Roman" w:cs="Times New Roman"/>
          <w:spacing w:val="-7"/>
          <w:sz w:val="24"/>
          <w:szCs w:val="24"/>
        </w:rPr>
        <w:t>“</w:t>
      </w:r>
      <w:r>
        <w:rPr>
          <w:rFonts w:ascii="宋体" w:hAnsi="宋体" w:eastAsia="宋体" w:cs="宋体"/>
          <w:spacing w:val="-7"/>
          <w:sz w:val="24"/>
          <w:szCs w:val="24"/>
        </w:rPr>
        <w:t>七纵七横</w:t>
      </w:r>
      <w:r>
        <w:rPr>
          <w:rFonts w:ascii="Times New Roman" w:hAnsi="Times New Roman" w:eastAsia="Times New Roman" w:cs="Times New Roman"/>
          <w:spacing w:val="-7"/>
          <w:sz w:val="24"/>
          <w:szCs w:val="24"/>
        </w:rPr>
        <w:t>”</w:t>
      </w:r>
      <w:r>
        <w:rPr>
          <w:rFonts w:ascii="宋体" w:hAnsi="宋体" w:eastAsia="宋体" w:cs="宋体"/>
          <w:spacing w:val="-7"/>
          <w:sz w:val="24"/>
          <w:szCs w:val="24"/>
        </w:rPr>
        <w:t>快速路建设，</w:t>
      </w:r>
      <w:r>
        <w:rPr>
          <w:rFonts w:ascii="宋体" w:hAnsi="宋体" w:eastAsia="宋体" w:cs="宋体"/>
          <w:spacing w:val="30"/>
          <w:sz w:val="24"/>
          <w:szCs w:val="24"/>
        </w:rPr>
        <w:t xml:space="preserve"> </w:t>
      </w:r>
      <w:r>
        <w:rPr>
          <w:rFonts w:ascii="宋体" w:hAnsi="宋体" w:eastAsia="宋体" w:cs="宋体"/>
          <w:spacing w:val="-7"/>
          <w:sz w:val="24"/>
          <w:szCs w:val="24"/>
        </w:rPr>
        <w:t xml:space="preserve">提高中心城 </w:t>
      </w:r>
      <w:r>
        <w:rPr>
          <w:rFonts w:ascii="宋体" w:hAnsi="宋体" w:eastAsia="宋体" w:cs="宋体"/>
          <w:spacing w:val="-8"/>
          <w:sz w:val="24"/>
          <w:szCs w:val="24"/>
        </w:rPr>
        <w:t>区快速路网络化水平，</w:t>
      </w:r>
      <w:r>
        <w:rPr>
          <w:rFonts w:ascii="宋体" w:hAnsi="宋体" w:eastAsia="宋体" w:cs="宋体"/>
          <w:spacing w:val="47"/>
          <w:sz w:val="24"/>
          <w:szCs w:val="24"/>
        </w:rPr>
        <w:t xml:space="preserve"> </w:t>
      </w:r>
      <w:r>
        <w:rPr>
          <w:rFonts w:ascii="宋体" w:hAnsi="宋体" w:eastAsia="宋体" w:cs="宋体"/>
          <w:spacing w:val="-8"/>
          <w:sz w:val="24"/>
          <w:szCs w:val="24"/>
        </w:rPr>
        <w:t xml:space="preserve">重点推进沿江快速路、温瑞大道、滨海大道高架等快速路 </w:t>
      </w:r>
      <w:r>
        <w:rPr>
          <w:rFonts w:ascii="宋体" w:hAnsi="宋体" w:eastAsia="宋体" w:cs="宋体"/>
          <w:spacing w:val="-4"/>
          <w:sz w:val="24"/>
          <w:szCs w:val="24"/>
        </w:rPr>
        <w:t>建设，到</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2025</w:t>
      </w:r>
      <w:r>
        <w:rPr>
          <w:rFonts w:ascii="Times New Roman" w:hAnsi="Times New Roman" w:eastAsia="Times New Roman" w:cs="Times New Roman"/>
          <w:spacing w:val="17"/>
          <w:w w:val="101"/>
          <w:sz w:val="24"/>
          <w:szCs w:val="24"/>
        </w:rPr>
        <w:t xml:space="preserve"> </w:t>
      </w:r>
      <w:r>
        <w:rPr>
          <w:rFonts w:ascii="宋体" w:hAnsi="宋体" w:eastAsia="宋体" w:cs="宋体"/>
          <w:spacing w:val="-4"/>
          <w:sz w:val="24"/>
          <w:szCs w:val="24"/>
        </w:rPr>
        <w:t>年，快速路里程达</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120</w:t>
      </w:r>
      <w:r>
        <w:rPr>
          <w:rFonts w:ascii="Times New Roman" w:hAnsi="Times New Roman" w:eastAsia="Times New Roman" w:cs="Times New Roman"/>
          <w:spacing w:val="24"/>
          <w:sz w:val="24"/>
          <w:szCs w:val="24"/>
        </w:rPr>
        <w:t xml:space="preserve"> </w:t>
      </w:r>
      <w:r>
        <w:rPr>
          <w:rFonts w:ascii="宋体" w:hAnsi="宋体" w:eastAsia="宋体" w:cs="宋体"/>
          <w:spacing w:val="-4"/>
          <w:sz w:val="24"/>
          <w:szCs w:val="24"/>
        </w:rPr>
        <w:t>公里以上。加快环大罗山交通路网建设，</w:t>
      </w:r>
      <w:r>
        <w:rPr>
          <w:rFonts w:ascii="宋体" w:hAnsi="宋体" w:eastAsia="宋体" w:cs="宋体"/>
          <w:sz w:val="24"/>
          <w:szCs w:val="24"/>
        </w:rPr>
        <w:t xml:space="preserve">  </w:t>
      </w:r>
      <w:r>
        <w:rPr>
          <w:rFonts w:ascii="宋体" w:hAnsi="宋体" w:eastAsia="宋体" w:cs="宋体"/>
          <w:spacing w:val="-6"/>
          <w:sz w:val="24"/>
          <w:szCs w:val="24"/>
        </w:rPr>
        <w:t>打造</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39"/>
          <w:sz w:val="24"/>
          <w:szCs w:val="24"/>
        </w:rPr>
        <w:t xml:space="preserve"> </w:t>
      </w:r>
      <w:r>
        <w:rPr>
          <w:rFonts w:ascii="宋体" w:hAnsi="宋体" w:eastAsia="宋体" w:cs="宋体"/>
          <w:spacing w:val="-6"/>
          <w:sz w:val="24"/>
          <w:szCs w:val="24"/>
        </w:rPr>
        <w:t>分钟入环，</w:t>
      </w:r>
      <w:r>
        <w:rPr>
          <w:rFonts w:ascii="宋体" w:hAnsi="宋体" w:eastAsia="宋体" w:cs="宋体"/>
          <w:spacing w:val="27"/>
          <w:sz w:val="24"/>
          <w:szCs w:val="24"/>
        </w:rPr>
        <w:t xml:space="preserve"> </w:t>
      </w:r>
      <w:r>
        <w:rPr>
          <w:rFonts w:ascii="Times New Roman" w:hAnsi="Times New Roman" w:eastAsia="Times New Roman" w:cs="Times New Roman"/>
          <w:spacing w:val="-6"/>
          <w:sz w:val="24"/>
          <w:szCs w:val="24"/>
        </w:rPr>
        <w:t>30</w:t>
      </w:r>
      <w:r>
        <w:rPr>
          <w:rFonts w:ascii="Times New Roman" w:hAnsi="Times New Roman" w:eastAsia="Times New Roman" w:cs="Times New Roman"/>
          <w:spacing w:val="41"/>
          <w:sz w:val="24"/>
          <w:szCs w:val="24"/>
        </w:rPr>
        <w:t xml:space="preserve"> </w:t>
      </w:r>
      <w:r>
        <w:rPr>
          <w:rFonts w:ascii="宋体" w:hAnsi="宋体" w:eastAsia="宋体" w:cs="宋体"/>
          <w:spacing w:val="-6"/>
          <w:sz w:val="24"/>
          <w:szCs w:val="24"/>
        </w:rPr>
        <w:t>分钟通环</w:t>
      </w:r>
      <w:r>
        <w:rPr>
          <w:rFonts w:ascii="Times New Roman" w:hAnsi="Times New Roman" w:eastAsia="Times New Roman" w:cs="Times New Roman"/>
          <w:spacing w:val="-6"/>
          <w:sz w:val="24"/>
          <w:szCs w:val="24"/>
        </w:rPr>
        <w:t>”</w:t>
      </w:r>
      <w:r>
        <w:rPr>
          <w:rFonts w:ascii="宋体" w:hAnsi="宋体" w:eastAsia="宋体" w:cs="宋体"/>
          <w:spacing w:val="-6"/>
          <w:sz w:val="24"/>
          <w:szCs w:val="24"/>
        </w:rPr>
        <w:t>高效通</w:t>
      </w:r>
      <w:r>
        <w:rPr>
          <w:rFonts w:ascii="宋体" w:hAnsi="宋体" w:eastAsia="宋体" w:cs="宋体"/>
          <w:spacing w:val="-7"/>
          <w:sz w:val="24"/>
          <w:szCs w:val="24"/>
        </w:rPr>
        <w:t>勤圈。全面推广高速公路差异化收费，</w:t>
      </w:r>
      <w:r>
        <w:rPr>
          <w:rFonts w:ascii="宋体" w:hAnsi="宋体" w:eastAsia="宋体" w:cs="宋体"/>
          <w:sz w:val="24"/>
          <w:szCs w:val="24"/>
        </w:rPr>
        <w:t xml:space="preserve">  </w:t>
      </w:r>
      <w:r>
        <w:rPr>
          <w:rFonts w:ascii="宋体" w:hAnsi="宋体" w:eastAsia="宋体" w:cs="宋体"/>
          <w:spacing w:val="-14"/>
          <w:sz w:val="24"/>
          <w:szCs w:val="24"/>
        </w:rPr>
        <w:t>落实普通国省道</w:t>
      </w:r>
      <w:r>
        <w:rPr>
          <w:rFonts w:ascii="Times New Roman" w:hAnsi="Times New Roman" w:eastAsia="Times New Roman" w:cs="Times New Roman"/>
          <w:spacing w:val="-14"/>
          <w:sz w:val="24"/>
          <w:szCs w:val="24"/>
        </w:rPr>
        <w:t>“</w:t>
      </w:r>
      <w:r>
        <w:rPr>
          <w:rFonts w:ascii="宋体" w:hAnsi="宋体" w:eastAsia="宋体" w:cs="宋体"/>
          <w:spacing w:val="-14"/>
          <w:sz w:val="24"/>
          <w:szCs w:val="24"/>
        </w:rPr>
        <w:t>三提</w:t>
      </w:r>
      <w:r>
        <w:rPr>
          <w:rFonts w:ascii="Times New Roman" w:hAnsi="Times New Roman" w:eastAsia="Times New Roman" w:cs="Times New Roman"/>
          <w:spacing w:val="-14"/>
          <w:sz w:val="24"/>
          <w:szCs w:val="24"/>
        </w:rPr>
        <w:t>”</w:t>
      </w:r>
      <w:r>
        <w:rPr>
          <w:rFonts w:ascii="Times New Roman" w:hAnsi="Times New Roman" w:eastAsia="Times New Roman" w:cs="Times New Roman"/>
          <w:spacing w:val="-41"/>
          <w:sz w:val="24"/>
          <w:szCs w:val="24"/>
        </w:rPr>
        <w:t xml:space="preserve"> </w:t>
      </w:r>
      <w:r>
        <w:rPr>
          <w:rFonts w:ascii="宋体" w:hAnsi="宋体" w:eastAsia="宋体" w:cs="宋体"/>
          <w:spacing w:val="-14"/>
          <w:sz w:val="24"/>
          <w:szCs w:val="24"/>
        </w:rPr>
        <w:t>改造，</w:t>
      </w:r>
      <w:r>
        <w:rPr>
          <w:rFonts w:ascii="宋体" w:hAnsi="宋体" w:eastAsia="宋体" w:cs="宋体"/>
          <w:spacing w:val="-69"/>
          <w:sz w:val="24"/>
          <w:szCs w:val="24"/>
        </w:rPr>
        <w:t xml:space="preserve"> </w:t>
      </w:r>
      <w:r>
        <w:rPr>
          <w:rFonts w:ascii="宋体" w:hAnsi="宋体" w:eastAsia="宋体" w:cs="宋体"/>
          <w:spacing w:val="-14"/>
          <w:sz w:val="24"/>
          <w:szCs w:val="24"/>
        </w:rPr>
        <w:t>打造高速公路（差异化收费</w:t>
      </w:r>
      <w:r>
        <w:rPr>
          <w:rFonts w:ascii="宋体" w:hAnsi="宋体" w:eastAsia="宋体" w:cs="宋体"/>
          <w:spacing w:val="-15"/>
          <w:sz w:val="24"/>
          <w:szCs w:val="24"/>
        </w:rPr>
        <w:t>）、普通国省道（三提）、</w:t>
      </w:r>
    </w:p>
    <w:p>
      <w:pPr>
        <w:spacing w:line="219" w:lineRule="auto"/>
        <w:ind w:left="122"/>
        <w:rPr>
          <w:rFonts w:ascii="宋体" w:hAnsi="宋体" w:eastAsia="宋体" w:cs="宋体"/>
          <w:sz w:val="24"/>
          <w:szCs w:val="24"/>
        </w:rPr>
      </w:pPr>
      <w:r>
        <w:rPr>
          <w:rFonts w:ascii="宋体" w:hAnsi="宋体" w:eastAsia="宋体" w:cs="宋体"/>
          <w:spacing w:val="-4"/>
          <w:sz w:val="24"/>
          <w:szCs w:val="24"/>
        </w:rPr>
        <w:t>城市快速路</w:t>
      </w:r>
      <w:r>
        <w:rPr>
          <w:rFonts w:ascii="Times New Roman" w:hAnsi="Times New Roman" w:eastAsia="Times New Roman" w:cs="Times New Roman"/>
          <w:spacing w:val="-4"/>
          <w:sz w:val="24"/>
          <w:szCs w:val="24"/>
        </w:rPr>
        <w:t>“</w:t>
      </w:r>
      <w:r>
        <w:rPr>
          <w:rFonts w:ascii="宋体" w:hAnsi="宋体" w:eastAsia="宋体" w:cs="宋体"/>
          <w:spacing w:val="-4"/>
          <w:sz w:val="24"/>
          <w:szCs w:val="24"/>
        </w:rPr>
        <w:t>三路融合</w:t>
      </w:r>
      <w:r>
        <w:rPr>
          <w:rFonts w:ascii="Times New Roman" w:hAnsi="Times New Roman" w:eastAsia="Times New Roman" w:cs="Times New Roman"/>
          <w:spacing w:val="-4"/>
          <w:sz w:val="24"/>
          <w:szCs w:val="24"/>
        </w:rPr>
        <w:t>”</w:t>
      </w:r>
      <w:r>
        <w:rPr>
          <w:rFonts w:ascii="Times New Roman" w:hAnsi="Times New Roman" w:eastAsia="Times New Roman" w:cs="Times New Roman"/>
          <w:spacing w:val="-21"/>
          <w:sz w:val="24"/>
          <w:szCs w:val="24"/>
        </w:rPr>
        <w:t xml:space="preserve"> </w:t>
      </w:r>
      <w:r>
        <w:rPr>
          <w:rFonts w:ascii="宋体" w:hAnsi="宋体" w:eastAsia="宋体" w:cs="宋体"/>
          <w:spacing w:val="-4"/>
          <w:sz w:val="24"/>
          <w:szCs w:val="24"/>
        </w:rPr>
        <w:t>的快速交通系统。</w:t>
      </w:r>
    </w:p>
    <w:p>
      <w:pPr>
        <w:spacing w:line="144"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9816" w:hRule="atLeast"/>
        </w:trPr>
        <w:tc>
          <w:tcPr>
            <w:tcW w:w="8528" w:type="dxa"/>
            <w:vAlign w:val="top"/>
          </w:tcPr>
          <w:p>
            <w:pPr>
              <w:pStyle w:val="6"/>
              <w:spacing w:before="40" w:line="220" w:lineRule="auto"/>
              <w:ind w:left="3250"/>
              <w:rPr>
                <w:sz w:val="24"/>
                <w:szCs w:val="24"/>
              </w:rPr>
            </w:pPr>
            <w:r>
              <w:rPr>
                <w:spacing w:val="-1"/>
                <w:sz w:val="24"/>
                <w:szCs w:val="24"/>
              </w:rPr>
              <w:t xml:space="preserve">专栏 </w:t>
            </w:r>
            <w:r>
              <w:rPr>
                <w:rFonts w:ascii="Times New Roman" w:hAnsi="Times New Roman" w:eastAsia="Times New Roman" w:cs="Times New Roman"/>
                <w:spacing w:val="-1"/>
                <w:sz w:val="24"/>
                <w:szCs w:val="24"/>
              </w:rPr>
              <w:t xml:space="preserve">4      </w:t>
            </w:r>
            <w:r>
              <w:rPr>
                <w:spacing w:val="-1"/>
                <w:sz w:val="24"/>
                <w:szCs w:val="24"/>
              </w:rPr>
              <w:t>道路建设重点</w:t>
            </w:r>
          </w:p>
          <w:p>
            <w:pPr>
              <w:pStyle w:val="6"/>
              <w:spacing w:before="184" w:line="359" w:lineRule="auto"/>
              <w:ind w:left="118" w:right="107" w:firstLine="485"/>
              <w:jc w:val="both"/>
              <w:rPr>
                <w:sz w:val="24"/>
                <w:szCs w:val="24"/>
              </w:rPr>
            </w:pPr>
            <w:r>
              <w:rPr>
                <w:spacing w:val="-7"/>
                <w:sz w:val="24"/>
                <w:szCs w:val="24"/>
              </w:rPr>
              <w:t>高速公路： 建成瓯江北口大桥、</w:t>
            </w:r>
            <w:r>
              <w:rPr>
                <w:spacing w:val="-7"/>
                <w:sz w:val="24"/>
                <w:szCs w:val="24"/>
                <w14:textOutline w14:w="4354" w14:cap="flat" w14:cmpd="sng">
                  <w14:solidFill>
                    <w14:srgbClr w14:val="000000"/>
                  </w14:solidFill>
                  <w14:prstDash w14:val="solid"/>
                  <w14:miter w14:val="0"/>
                </w14:textOutline>
              </w:rPr>
              <w:t>溧宁高速景文段、</w:t>
            </w:r>
            <w:r>
              <w:rPr>
                <w:spacing w:val="-7"/>
                <w:sz w:val="24"/>
                <w:szCs w:val="24"/>
              </w:rPr>
              <w:t>金丽温高速东延线、瑞平</w:t>
            </w:r>
            <w:r>
              <w:rPr>
                <w:spacing w:val="8"/>
                <w:sz w:val="24"/>
                <w:szCs w:val="24"/>
              </w:rPr>
              <w:t xml:space="preserve"> </w:t>
            </w:r>
            <w:r>
              <w:rPr>
                <w:spacing w:val="-5"/>
                <w:sz w:val="24"/>
                <w:szCs w:val="24"/>
              </w:rPr>
              <w:t>苍高速、甬台温高速公路复线瑞安联络线。开工建</w:t>
            </w:r>
            <w:r>
              <w:rPr>
                <w:spacing w:val="-6"/>
                <w:sz w:val="24"/>
                <w:szCs w:val="24"/>
              </w:rPr>
              <w:t>设苍南至泰顺高速公路、</w:t>
            </w:r>
            <w:r>
              <w:rPr>
                <w:spacing w:val="35"/>
                <w:sz w:val="24"/>
                <w:szCs w:val="24"/>
              </w:rPr>
              <w:t xml:space="preserve"> </w:t>
            </w:r>
            <w:r>
              <w:rPr>
                <w:rFonts w:ascii="Times New Roman" w:hAnsi="Times New Roman" w:eastAsia="Times New Roman" w:cs="Times New Roman"/>
                <w:spacing w:val="-6"/>
                <w:sz w:val="24"/>
                <w:szCs w:val="24"/>
              </w:rPr>
              <w:t>G15</w:t>
            </w:r>
            <w:r>
              <w:rPr>
                <w:rFonts w:ascii="Times New Roman" w:hAnsi="Times New Roman" w:eastAsia="Times New Roman" w:cs="Times New Roman"/>
                <w:sz w:val="24"/>
                <w:szCs w:val="24"/>
              </w:rPr>
              <w:t xml:space="preserve"> </w:t>
            </w:r>
            <w:r>
              <w:rPr>
                <w:spacing w:val="-3"/>
                <w:sz w:val="24"/>
                <w:szCs w:val="24"/>
              </w:rPr>
              <w:t>沈海高速公路温州段改扩建工程、乐清至青田高速乐清至永嘉段工程、青</w:t>
            </w:r>
            <w:r>
              <w:rPr>
                <w:spacing w:val="-4"/>
                <w:sz w:val="24"/>
                <w:szCs w:val="24"/>
              </w:rPr>
              <w:t>田至文</w:t>
            </w:r>
            <w:r>
              <w:rPr>
                <w:sz w:val="24"/>
                <w:szCs w:val="24"/>
              </w:rPr>
              <w:t xml:space="preserve"> </w:t>
            </w:r>
            <w:r>
              <w:rPr>
                <w:spacing w:val="2"/>
                <w:sz w:val="24"/>
                <w:szCs w:val="24"/>
              </w:rPr>
              <w:t>成高速（文成段）、合肥至温州高速（温州段）、</w:t>
            </w:r>
            <w:r>
              <w:rPr>
                <w:rFonts w:ascii="Times New Roman" w:hAnsi="Times New Roman" w:eastAsia="Times New Roman" w:cs="Times New Roman"/>
                <w:spacing w:val="2"/>
                <w:sz w:val="24"/>
                <w:szCs w:val="24"/>
              </w:rPr>
              <w:t xml:space="preserve">G1513  </w:t>
            </w:r>
            <w:r>
              <w:rPr>
                <w:spacing w:val="2"/>
                <w:sz w:val="24"/>
                <w:szCs w:val="24"/>
              </w:rPr>
              <w:t>温丽高速公路温州市</w:t>
            </w:r>
            <w:r>
              <w:rPr>
                <w:spacing w:val="4"/>
                <w:sz w:val="24"/>
                <w:szCs w:val="24"/>
              </w:rPr>
              <w:t xml:space="preserve"> </w:t>
            </w:r>
            <w:r>
              <w:rPr>
                <w:spacing w:val="-6"/>
                <w:sz w:val="24"/>
                <w:szCs w:val="24"/>
              </w:rPr>
              <w:t xml:space="preserve">区段改扩建工程。加快推进温岭至永嘉高速前期研究， </w:t>
            </w:r>
            <w:r>
              <w:rPr>
                <w:spacing w:val="-7"/>
                <w:sz w:val="24"/>
                <w:szCs w:val="24"/>
              </w:rPr>
              <w:t>谋划景宁至柘荣高速泰顺</w:t>
            </w:r>
          </w:p>
          <w:p>
            <w:pPr>
              <w:pStyle w:val="6"/>
              <w:spacing w:line="219" w:lineRule="auto"/>
              <w:ind w:left="117"/>
              <w:rPr>
                <w:sz w:val="24"/>
                <w:szCs w:val="24"/>
              </w:rPr>
            </w:pPr>
            <w:r>
              <w:rPr>
                <w:spacing w:val="-4"/>
                <w:sz w:val="24"/>
                <w:szCs w:val="24"/>
              </w:rPr>
              <w:t>三魁至浙闽界段等项目。</w:t>
            </w:r>
          </w:p>
          <w:p>
            <w:pPr>
              <w:pStyle w:val="6"/>
              <w:spacing w:before="183" w:line="359" w:lineRule="auto"/>
              <w:ind w:left="116" w:right="22" w:firstLine="479"/>
              <w:jc w:val="both"/>
              <w:rPr>
                <w:sz w:val="24"/>
                <w:szCs w:val="24"/>
              </w:rPr>
            </w:pPr>
            <w:r>
              <w:rPr>
                <w:spacing w:val="-8"/>
                <w:sz w:val="24"/>
                <w:szCs w:val="24"/>
              </w:rPr>
              <w:t>普通国道： 建成</w:t>
            </w:r>
            <w:r>
              <w:rPr>
                <w:spacing w:val="-31"/>
                <w:sz w:val="24"/>
                <w:szCs w:val="24"/>
              </w:rPr>
              <w:t xml:space="preserve"> </w:t>
            </w:r>
            <w:r>
              <w:rPr>
                <w:rFonts w:ascii="Times New Roman" w:hAnsi="Times New Roman" w:eastAsia="Times New Roman" w:cs="Times New Roman"/>
                <w:spacing w:val="-8"/>
                <w:sz w:val="24"/>
                <w:szCs w:val="24"/>
              </w:rPr>
              <w:t>104</w:t>
            </w:r>
            <w:r>
              <w:rPr>
                <w:rFonts w:ascii="Times New Roman" w:hAnsi="Times New Roman" w:eastAsia="Times New Roman" w:cs="Times New Roman"/>
                <w:spacing w:val="33"/>
                <w:sz w:val="24"/>
                <w:szCs w:val="24"/>
              </w:rPr>
              <w:t xml:space="preserve"> </w:t>
            </w:r>
            <w:r>
              <w:rPr>
                <w:spacing w:val="-8"/>
                <w:sz w:val="24"/>
                <w:szCs w:val="24"/>
              </w:rPr>
              <w:t>国道乐清虹桥至乐成段、永嘉张</w:t>
            </w:r>
            <w:r>
              <w:rPr>
                <w:spacing w:val="-9"/>
                <w:sz w:val="24"/>
                <w:szCs w:val="24"/>
              </w:rPr>
              <w:t xml:space="preserve">堡至瓯海桐岭段、瑞安 </w:t>
            </w:r>
            <w:r>
              <w:rPr>
                <w:spacing w:val="-6"/>
                <w:sz w:val="24"/>
                <w:szCs w:val="24"/>
              </w:rPr>
              <w:t xml:space="preserve">仙降至平阳萧江段、苍南段； </w:t>
            </w:r>
            <w:r>
              <w:rPr>
                <w:rFonts w:ascii="Times New Roman" w:hAnsi="Times New Roman" w:eastAsia="Times New Roman" w:cs="Times New Roman"/>
                <w:spacing w:val="-6"/>
                <w:sz w:val="24"/>
                <w:szCs w:val="24"/>
              </w:rPr>
              <w:t>228</w:t>
            </w:r>
            <w:r>
              <w:rPr>
                <w:rFonts w:ascii="Times New Roman" w:hAnsi="Times New Roman" w:eastAsia="Times New Roman" w:cs="Times New Roman"/>
                <w:spacing w:val="51"/>
                <w:sz w:val="24"/>
                <w:szCs w:val="24"/>
              </w:rPr>
              <w:t xml:space="preserve"> </w:t>
            </w:r>
            <w:r>
              <w:rPr>
                <w:spacing w:val="-6"/>
                <w:sz w:val="24"/>
                <w:szCs w:val="24"/>
              </w:rPr>
              <w:t xml:space="preserve">国道乐清乐成至黄华段、洞头灵昆段、瑞安飞 </w:t>
            </w:r>
            <w:r>
              <w:rPr>
                <w:spacing w:val="-5"/>
                <w:sz w:val="24"/>
                <w:szCs w:val="24"/>
              </w:rPr>
              <w:t>云江三桥南延伸线、平阳榆垟至鳌江段、龙港至龙沙段、龙沙至岱岭段，</w:t>
            </w:r>
            <w:r>
              <w:rPr>
                <w:spacing w:val="-25"/>
                <w:sz w:val="24"/>
                <w:szCs w:val="24"/>
              </w:rPr>
              <w:t xml:space="preserve"> </w:t>
            </w:r>
            <w:r>
              <w:rPr>
                <w:rFonts w:ascii="Times New Roman" w:hAnsi="Times New Roman" w:eastAsia="Times New Roman" w:cs="Times New Roman"/>
                <w:spacing w:val="-5"/>
                <w:sz w:val="24"/>
                <w:szCs w:val="24"/>
              </w:rPr>
              <w:t>235</w:t>
            </w:r>
            <w:r>
              <w:rPr>
                <w:rFonts w:ascii="Times New Roman" w:hAnsi="Times New Roman" w:eastAsia="Times New Roman" w:cs="Times New Roman"/>
                <w:spacing w:val="33"/>
                <w:sz w:val="24"/>
                <w:szCs w:val="24"/>
              </w:rPr>
              <w:t xml:space="preserve"> </w:t>
            </w:r>
            <w:r>
              <w:rPr>
                <w:spacing w:val="-5"/>
                <w:sz w:val="24"/>
                <w:szCs w:val="24"/>
              </w:rPr>
              <w:t xml:space="preserve">国 </w:t>
            </w:r>
            <w:r>
              <w:rPr>
                <w:spacing w:val="-12"/>
                <w:sz w:val="24"/>
                <w:szCs w:val="24"/>
              </w:rPr>
              <w:t>道泰顺司前至罗阳段，</w:t>
            </w:r>
            <w:r>
              <w:rPr>
                <w:spacing w:val="65"/>
                <w:sz w:val="24"/>
                <w:szCs w:val="24"/>
              </w:rPr>
              <w:t xml:space="preserve"> </w:t>
            </w:r>
            <w:r>
              <w:rPr>
                <w:rFonts w:ascii="Times New Roman" w:hAnsi="Times New Roman" w:eastAsia="Times New Roman" w:cs="Times New Roman"/>
                <w:spacing w:val="-12"/>
                <w:sz w:val="24"/>
                <w:szCs w:val="24"/>
              </w:rPr>
              <w:t>322</w:t>
            </w:r>
            <w:r>
              <w:rPr>
                <w:rFonts w:ascii="Times New Roman" w:hAnsi="Times New Roman" w:eastAsia="Times New Roman" w:cs="Times New Roman"/>
                <w:spacing w:val="45"/>
                <w:sz w:val="24"/>
                <w:szCs w:val="24"/>
              </w:rPr>
              <w:t xml:space="preserve"> </w:t>
            </w:r>
            <w:r>
              <w:rPr>
                <w:spacing w:val="-12"/>
                <w:sz w:val="24"/>
                <w:szCs w:val="24"/>
              </w:rPr>
              <w:t>国道文成西坑至景宁交界段，</w:t>
            </w:r>
            <w:r>
              <w:rPr>
                <w:spacing w:val="64"/>
                <w:sz w:val="24"/>
                <w:szCs w:val="24"/>
              </w:rPr>
              <w:t xml:space="preserve"> </w:t>
            </w:r>
            <w:r>
              <w:rPr>
                <w:rFonts w:ascii="Times New Roman" w:hAnsi="Times New Roman" w:eastAsia="Times New Roman" w:cs="Times New Roman"/>
                <w:spacing w:val="-12"/>
                <w:sz w:val="24"/>
                <w:szCs w:val="24"/>
              </w:rPr>
              <w:t>330</w:t>
            </w:r>
            <w:r>
              <w:rPr>
                <w:rFonts w:ascii="Times New Roman" w:hAnsi="Times New Roman" w:eastAsia="Times New Roman" w:cs="Times New Roman"/>
                <w:spacing w:val="45"/>
                <w:sz w:val="24"/>
                <w:szCs w:val="24"/>
              </w:rPr>
              <w:t xml:space="preserve"> </w:t>
            </w:r>
            <w:r>
              <w:rPr>
                <w:spacing w:val="-12"/>
                <w:sz w:val="24"/>
                <w:szCs w:val="24"/>
              </w:rPr>
              <w:t xml:space="preserve">国道瓯海区仙岩至 </w:t>
            </w:r>
            <w:r>
              <w:rPr>
                <w:spacing w:val="-2"/>
                <w:sz w:val="24"/>
                <w:szCs w:val="24"/>
              </w:rPr>
              <w:t>丽岙段、鹿城官岭隧道、永嘉桥下至桥头段、瑞安场桥至罗凤</w:t>
            </w:r>
            <w:r>
              <w:rPr>
                <w:spacing w:val="-3"/>
                <w:sz w:val="24"/>
                <w:szCs w:val="24"/>
              </w:rPr>
              <w:t>段。开工建设</w:t>
            </w:r>
            <w:r>
              <w:rPr>
                <w:spacing w:val="-30"/>
                <w:sz w:val="24"/>
                <w:szCs w:val="24"/>
              </w:rPr>
              <w:t xml:space="preserve"> </w:t>
            </w:r>
            <w:r>
              <w:rPr>
                <w:rFonts w:ascii="Times New Roman" w:hAnsi="Times New Roman" w:eastAsia="Times New Roman" w:cs="Times New Roman"/>
                <w:spacing w:val="-3"/>
                <w:sz w:val="24"/>
                <w:szCs w:val="24"/>
              </w:rPr>
              <w:t xml:space="preserve">104  </w:t>
            </w:r>
            <w:r>
              <w:rPr>
                <w:spacing w:val="-7"/>
                <w:sz w:val="24"/>
                <w:szCs w:val="24"/>
              </w:rPr>
              <w:t>国道永嘉三江至黄田段、瑞安罗凤至塘下段、永嘉乌牛至三江段，</w:t>
            </w:r>
            <w:r>
              <w:rPr>
                <w:spacing w:val="49"/>
                <w:sz w:val="24"/>
                <w:szCs w:val="24"/>
              </w:rPr>
              <w:t xml:space="preserve"> </w:t>
            </w:r>
            <w:r>
              <w:rPr>
                <w:rFonts w:ascii="Times New Roman" w:hAnsi="Times New Roman" w:eastAsia="Times New Roman" w:cs="Times New Roman"/>
                <w:spacing w:val="-7"/>
                <w:sz w:val="24"/>
                <w:szCs w:val="24"/>
              </w:rPr>
              <w:t>228</w:t>
            </w:r>
            <w:r>
              <w:rPr>
                <w:rFonts w:ascii="Times New Roman" w:hAnsi="Times New Roman" w:eastAsia="Times New Roman" w:cs="Times New Roman"/>
                <w:spacing w:val="33"/>
                <w:sz w:val="24"/>
                <w:szCs w:val="24"/>
              </w:rPr>
              <w:t xml:space="preserve"> </w:t>
            </w:r>
            <w:r>
              <w:rPr>
                <w:spacing w:val="-7"/>
                <w:sz w:val="24"/>
                <w:szCs w:val="24"/>
              </w:rPr>
              <w:t>国道龙湾 永兴至海城段高架工程、乐清蒲岐至经济开发区段，</w:t>
            </w:r>
            <w:r>
              <w:rPr>
                <w:spacing w:val="49"/>
                <w:sz w:val="24"/>
                <w:szCs w:val="24"/>
              </w:rPr>
              <w:t xml:space="preserve"> </w:t>
            </w:r>
            <w:r>
              <w:rPr>
                <w:rFonts w:ascii="Times New Roman" w:hAnsi="Times New Roman" w:eastAsia="Times New Roman" w:cs="Times New Roman"/>
                <w:spacing w:val="-7"/>
                <w:sz w:val="24"/>
                <w:szCs w:val="24"/>
              </w:rPr>
              <w:t>235</w:t>
            </w:r>
            <w:r>
              <w:rPr>
                <w:rFonts w:ascii="Times New Roman" w:hAnsi="Times New Roman" w:eastAsia="Times New Roman" w:cs="Times New Roman"/>
                <w:spacing w:val="33"/>
                <w:sz w:val="24"/>
                <w:szCs w:val="24"/>
              </w:rPr>
              <w:t xml:space="preserve"> </w:t>
            </w:r>
            <w:r>
              <w:rPr>
                <w:spacing w:val="-7"/>
                <w:sz w:val="24"/>
                <w:szCs w:val="24"/>
              </w:rPr>
              <w:t xml:space="preserve">国道景泰交界至泰顺司 </w:t>
            </w:r>
            <w:r>
              <w:rPr>
                <w:spacing w:val="-12"/>
                <w:sz w:val="24"/>
                <w:szCs w:val="24"/>
              </w:rPr>
              <w:t>前段，</w:t>
            </w:r>
            <w:r>
              <w:rPr>
                <w:spacing w:val="-20"/>
                <w:sz w:val="24"/>
                <w:szCs w:val="24"/>
              </w:rPr>
              <w:t xml:space="preserve"> </w:t>
            </w:r>
            <w:r>
              <w:rPr>
                <w:rFonts w:ascii="Times New Roman" w:hAnsi="Times New Roman" w:eastAsia="Times New Roman" w:cs="Times New Roman"/>
                <w:spacing w:val="-12"/>
                <w:sz w:val="24"/>
                <w:szCs w:val="24"/>
              </w:rPr>
              <w:t>322</w:t>
            </w:r>
            <w:r>
              <w:rPr>
                <w:rFonts w:ascii="Times New Roman" w:hAnsi="Times New Roman" w:eastAsia="Times New Roman" w:cs="Times New Roman"/>
                <w:spacing w:val="33"/>
                <w:sz w:val="24"/>
                <w:szCs w:val="24"/>
              </w:rPr>
              <w:t xml:space="preserve"> </w:t>
            </w:r>
            <w:r>
              <w:rPr>
                <w:spacing w:val="-12"/>
                <w:sz w:val="24"/>
                <w:szCs w:val="24"/>
              </w:rPr>
              <w:t>国道瑞安南滨至仙降段、乙甲至岭脚段，</w:t>
            </w:r>
            <w:r>
              <w:rPr>
                <w:spacing w:val="33"/>
                <w:sz w:val="24"/>
                <w:szCs w:val="24"/>
              </w:rPr>
              <w:t xml:space="preserve"> </w:t>
            </w:r>
            <w:r>
              <w:rPr>
                <w:rFonts w:ascii="Times New Roman" w:hAnsi="Times New Roman" w:eastAsia="Times New Roman" w:cs="Times New Roman"/>
                <w:spacing w:val="-12"/>
                <w:sz w:val="24"/>
                <w:szCs w:val="24"/>
              </w:rPr>
              <w:t>330</w:t>
            </w:r>
            <w:r>
              <w:rPr>
                <w:rFonts w:ascii="Times New Roman" w:hAnsi="Times New Roman" w:eastAsia="Times New Roman" w:cs="Times New Roman"/>
                <w:spacing w:val="33"/>
                <w:sz w:val="24"/>
                <w:szCs w:val="24"/>
              </w:rPr>
              <w:t xml:space="preserve"> </w:t>
            </w:r>
            <w:r>
              <w:rPr>
                <w:spacing w:val="-12"/>
                <w:sz w:val="24"/>
                <w:szCs w:val="24"/>
              </w:rPr>
              <w:t>国道瓯海潘桥至泽雅段、</w:t>
            </w:r>
            <w:r>
              <w:rPr>
                <w:sz w:val="24"/>
                <w:szCs w:val="24"/>
              </w:rPr>
              <w:t xml:space="preserve"> </w:t>
            </w:r>
            <w:r>
              <w:rPr>
                <w:spacing w:val="-5"/>
                <w:sz w:val="24"/>
                <w:szCs w:val="24"/>
              </w:rPr>
              <w:t>鹿城藤桥段、鹿城藤桥至永嘉桥下段。推进</w:t>
            </w:r>
            <w:r>
              <w:rPr>
                <w:spacing w:val="-25"/>
                <w:sz w:val="24"/>
                <w:szCs w:val="24"/>
              </w:rPr>
              <w:t xml:space="preserve"> </w:t>
            </w:r>
            <w:r>
              <w:rPr>
                <w:rFonts w:ascii="Times New Roman" w:hAnsi="Times New Roman" w:eastAsia="Times New Roman" w:cs="Times New Roman"/>
                <w:spacing w:val="-5"/>
                <w:sz w:val="24"/>
                <w:szCs w:val="24"/>
              </w:rPr>
              <w:t>104</w:t>
            </w:r>
            <w:r>
              <w:rPr>
                <w:rFonts w:ascii="Times New Roman" w:hAnsi="Times New Roman" w:eastAsia="Times New Roman" w:cs="Times New Roman"/>
                <w:spacing w:val="33"/>
                <w:sz w:val="24"/>
                <w:szCs w:val="24"/>
              </w:rPr>
              <w:t xml:space="preserve"> </w:t>
            </w:r>
            <w:r>
              <w:rPr>
                <w:spacing w:val="-5"/>
                <w:sz w:val="24"/>
                <w:szCs w:val="24"/>
              </w:rPr>
              <w:t xml:space="preserve">国道乐清乐成至北白象段、瓯海 </w:t>
            </w:r>
            <w:r>
              <w:rPr>
                <w:spacing w:val="-7"/>
                <w:sz w:val="24"/>
                <w:szCs w:val="24"/>
              </w:rPr>
              <w:t>郭溪至桐岭段高架工程、永嘉瓯北段改建工程，</w:t>
            </w:r>
            <w:r>
              <w:rPr>
                <w:spacing w:val="53"/>
                <w:sz w:val="24"/>
                <w:szCs w:val="24"/>
              </w:rPr>
              <w:t xml:space="preserve"> </w:t>
            </w:r>
            <w:r>
              <w:rPr>
                <w:rFonts w:ascii="Times New Roman" w:hAnsi="Times New Roman" w:eastAsia="Times New Roman" w:cs="Times New Roman"/>
                <w:spacing w:val="-7"/>
                <w:sz w:val="24"/>
                <w:szCs w:val="24"/>
              </w:rPr>
              <w:t>322</w:t>
            </w:r>
            <w:r>
              <w:rPr>
                <w:rFonts w:ascii="Times New Roman" w:hAnsi="Times New Roman" w:eastAsia="Times New Roman" w:cs="Times New Roman"/>
                <w:spacing w:val="33"/>
                <w:sz w:val="24"/>
                <w:szCs w:val="24"/>
              </w:rPr>
              <w:t xml:space="preserve"> </w:t>
            </w:r>
            <w:r>
              <w:rPr>
                <w:spacing w:val="-7"/>
                <w:sz w:val="24"/>
                <w:szCs w:val="24"/>
              </w:rPr>
              <w:t>国道瑞安岭脚至石溪</w:t>
            </w:r>
            <w:r>
              <w:rPr>
                <w:spacing w:val="-8"/>
                <w:sz w:val="24"/>
                <w:szCs w:val="24"/>
              </w:rPr>
              <w:t xml:space="preserve">段、文 </w:t>
            </w:r>
            <w:r>
              <w:rPr>
                <w:spacing w:val="-1"/>
                <w:sz w:val="24"/>
                <w:szCs w:val="24"/>
              </w:rPr>
              <w:t xml:space="preserve">成瑞安交界至畔峃段等项目前期研究。积极谋划 </w:t>
            </w:r>
            <w:r>
              <w:rPr>
                <w:rFonts w:ascii="Times New Roman" w:hAnsi="Times New Roman" w:eastAsia="Times New Roman" w:cs="Times New Roman"/>
                <w:spacing w:val="-1"/>
                <w:sz w:val="24"/>
                <w:szCs w:val="24"/>
              </w:rPr>
              <w:t>228</w:t>
            </w:r>
            <w:r>
              <w:rPr>
                <w:rFonts w:ascii="Times New Roman" w:hAnsi="Times New Roman" w:eastAsia="Times New Roman" w:cs="Times New Roman"/>
                <w:spacing w:val="24"/>
                <w:sz w:val="24"/>
                <w:szCs w:val="24"/>
              </w:rPr>
              <w:t xml:space="preserve">  </w:t>
            </w:r>
            <w:r>
              <w:rPr>
                <w:spacing w:val="-1"/>
                <w:sz w:val="24"/>
                <w:szCs w:val="24"/>
              </w:rPr>
              <w:t>国道南塘至蒲岐段改建工</w:t>
            </w:r>
          </w:p>
          <w:p>
            <w:pPr>
              <w:pStyle w:val="6"/>
              <w:spacing w:line="219" w:lineRule="auto"/>
              <w:ind w:left="116"/>
              <w:rPr>
                <w:sz w:val="24"/>
                <w:szCs w:val="24"/>
              </w:rPr>
            </w:pPr>
            <w:r>
              <w:rPr>
                <w:spacing w:val="-9"/>
                <w:sz w:val="24"/>
                <w:szCs w:val="24"/>
              </w:rPr>
              <w:t>程、瑞安场桥至东山段高架工程，</w:t>
            </w:r>
            <w:r>
              <w:rPr>
                <w:spacing w:val="70"/>
                <w:sz w:val="24"/>
                <w:szCs w:val="24"/>
              </w:rPr>
              <w:t xml:space="preserve"> </w:t>
            </w:r>
            <w:r>
              <w:rPr>
                <w:rFonts w:ascii="Times New Roman" w:hAnsi="Times New Roman" w:eastAsia="Times New Roman" w:cs="Times New Roman"/>
                <w:spacing w:val="-9"/>
                <w:sz w:val="24"/>
                <w:szCs w:val="24"/>
              </w:rPr>
              <w:t>330</w:t>
            </w:r>
            <w:r>
              <w:rPr>
                <w:rFonts w:ascii="Times New Roman" w:hAnsi="Times New Roman" w:eastAsia="Times New Roman" w:cs="Times New Roman"/>
                <w:spacing w:val="16"/>
                <w:w w:val="101"/>
                <w:sz w:val="24"/>
                <w:szCs w:val="24"/>
              </w:rPr>
              <w:t xml:space="preserve">  </w:t>
            </w:r>
            <w:r>
              <w:rPr>
                <w:spacing w:val="-9"/>
                <w:sz w:val="24"/>
                <w:szCs w:val="24"/>
              </w:rPr>
              <w:t>国道鹿城山福段等项目。</w:t>
            </w:r>
          </w:p>
          <w:p>
            <w:pPr>
              <w:pStyle w:val="6"/>
              <w:spacing w:before="183" w:line="465" w:lineRule="exact"/>
              <w:ind w:left="596"/>
              <w:rPr>
                <w:sz w:val="24"/>
                <w:szCs w:val="24"/>
              </w:rPr>
            </w:pPr>
            <w:r>
              <w:rPr>
                <w:spacing w:val="-10"/>
                <w:position w:val="17"/>
                <w:sz w:val="24"/>
                <w:szCs w:val="24"/>
              </w:rPr>
              <w:t>普通省道： 建成</w:t>
            </w:r>
            <w:r>
              <w:rPr>
                <w:spacing w:val="-45"/>
                <w:position w:val="17"/>
                <w:sz w:val="24"/>
                <w:szCs w:val="24"/>
              </w:rPr>
              <w:t xml:space="preserve"> </w:t>
            </w:r>
            <w:r>
              <w:rPr>
                <w:rFonts w:ascii="Times New Roman" w:hAnsi="Times New Roman" w:eastAsia="Times New Roman" w:cs="Times New Roman"/>
                <w:spacing w:val="-10"/>
                <w:position w:val="17"/>
                <w:sz w:val="24"/>
                <w:szCs w:val="24"/>
              </w:rPr>
              <w:t>S211</w:t>
            </w:r>
            <w:r>
              <w:rPr>
                <w:rFonts w:ascii="Times New Roman" w:hAnsi="Times New Roman" w:eastAsia="Times New Roman" w:cs="Times New Roman"/>
                <w:spacing w:val="12"/>
                <w:position w:val="17"/>
                <w:sz w:val="24"/>
                <w:szCs w:val="24"/>
              </w:rPr>
              <w:t xml:space="preserve"> </w:t>
            </w:r>
            <w:r>
              <w:rPr>
                <w:spacing w:val="-10"/>
                <w:position w:val="17"/>
                <w:sz w:val="24"/>
                <w:szCs w:val="24"/>
              </w:rPr>
              <w:t>永嘉巽宅至桥下段、鹿城临江至藤桥段，</w:t>
            </w:r>
            <w:r>
              <w:rPr>
                <w:spacing w:val="53"/>
                <w:position w:val="17"/>
                <w:sz w:val="24"/>
                <w:szCs w:val="24"/>
              </w:rPr>
              <w:t xml:space="preserve"> </w:t>
            </w:r>
            <w:r>
              <w:rPr>
                <w:rFonts w:ascii="Times New Roman" w:hAnsi="Times New Roman" w:eastAsia="Times New Roman" w:cs="Times New Roman"/>
                <w:spacing w:val="-10"/>
                <w:position w:val="17"/>
                <w:sz w:val="24"/>
                <w:szCs w:val="24"/>
              </w:rPr>
              <w:t>S32</w:t>
            </w:r>
            <w:r>
              <w:rPr>
                <w:rFonts w:ascii="Times New Roman" w:hAnsi="Times New Roman" w:eastAsia="Times New Roman" w:cs="Times New Roman"/>
                <w:spacing w:val="-11"/>
                <w:position w:val="17"/>
                <w:sz w:val="24"/>
                <w:szCs w:val="24"/>
              </w:rPr>
              <w:t xml:space="preserve">5 </w:t>
            </w:r>
            <w:r>
              <w:rPr>
                <w:spacing w:val="-11"/>
                <w:position w:val="17"/>
                <w:sz w:val="24"/>
                <w:szCs w:val="24"/>
              </w:rPr>
              <w:t>洞头沙</w:t>
            </w:r>
          </w:p>
          <w:p>
            <w:pPr>
              <w:pStyle w:val="6"/>
              <w:spacing w:before="1" w:line="219" w:lineRule="auto"/>
              <w:ind w:left="117"/>
              <w:rPr>
                <w:sz w:val="24"/>
                <w:szCs w:val="24"/>
              </w:rPr>
            </w:pPr>
            <w:r>
              <w:rPr>
                <w:spacing w:val="-7"/>
                <w:sz w:val="24"/>
                <w:szCs w:val="24"/>
              </w:rPr>
              <w:t>岙至岙底段，</w:t>
            </w:r>
            <w:r>
              <w:rPr>
                <w:spacing w:val="32"/>
                <w:sz w:val="24"/>
                <w:szCs w:val="24"/>
              </w:rPr>
              <w:t xml:space="preserve"> </w:t>
            </w:r>
            <w:r>
              <w:rPr>
                <w:rFonts w:ascii="Times New Roman" w:hAnsi="Times New Roman" w:eastAsia="Times New Roman" w:cs="Times New Roman"/>
                <w:spacing w:val="-7"/>
                <w:sz w:val="24"/>
                <w:szCs w:val="24"/>
              </w:rPr>
              <w:t>57</w:t>
            </w:r>
            <w:r>
              <w:rPr>
                <w:rFonts w:ascii="Times New Roman" w:hAnsi="Times New Roman" w:eastAsia="Times New Roman" w:cs="Times New Roman"/>
                <w:spacing w:val="14"/>
                <w:sz w:val="24"/>
                <w:szCs w:val="24"/>
              </w:rPr>
              <w:t xml:space="preserve"> </w:t>
            </w:r>
            <w:r>
              <w:rPr>
                <w:spacing w:val="-7"/>
                <w:sz w:val="24"/>
                <w:szCs w:val="24"/>
              </w:rPr>
              <w:t xml:space="preserve">省道瑞安宁益至龙湖段。开工建设 </w:t>
            </w:r>
            <w:r>
              <w:rPr>
                <w:rFonts w:ascii="Times New Roman" w:hAnsi="Times New Roman" w:eastAsia="Times New Roman" w:cs="Times New Roman"/>
                <w:spacing w:val="-7"/>
                <w:sz w:val="24"/>
                <w:szCs w:val="24"/>
              </w:rPr>
              <w:t>S21</w:t>
            </w:r>
            <w:r>
              <w:rPr>
                <w:rFonts w:ascii="Times New Roman" w:hAnsi="Times New Roman" w:eastAsia="Times New Roman" w:cs="Times New Roman"/>
                <w:spacing w:val="-8"/>
                <w:sz w:val="24"/>
                <w:szCs w:val="24"/>
              </w:rPr>
              <w:t xml:space="preserve">1 </w:t>
            </w:r>
            <w:r>
              <w:rPr>
                <w:spacing w:val="-8"/>
                <w:sz w:val="24"/>
                <w:szCs w:val="24"/>
              </w:rPr>
              <w:t>洞头霓屿至北岙段、瓯</w:t>
            </w:r>
          </w:p>
        </w:tc>
      </w:tr>
    </w:tbl>
    <w:p>
      <w:pPr>
        <w:pStyle w:val="2"/>
      </w:pPr>
    </w:p>
    <w:p>
      <w:pPr>
        <w:sectPr>
          <w:headerReference r:id="rId45" w:type="default"/>
          <w:footerReference r:id="rId46" w:type="default"/>
          <w:pgSz w:w="11907" w:h="16839"/>
          <w:pgMar w:top="1118" w:right="1685" w:bottom="1184" w:left="1687" w:header="879" w:footer="1024" w:gutter="0"/>
          <w:cols w:space="720" w:num="1"/>
        </w:sectPr>
      </w:pPr>
    </w:p>
    <w:p>
      <w:pPr>
        <w:spacing w:before="80"/>
      </w:pPr>
    </w:p>
    <w:tbl>
      <w:tblPr>
        <w:tblStyle w:val="5"/>
        <w:tblW w:w="852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547" w:hRule="atLeast"/>
        </w:trPr>
        <w:tc>
          <w:tcPr>
            <w:tcW w:w="8528" w:type="dxa"/>
            <w:vAlign w:val="top"/>
          </w:tcPr>
          <w:p>
            <w:pPr>
              <w:pStyle w:val="6"/>
              <w:spacing w:before="42" w:line="359" w:lineRule="auto"/>
              <w:ind w:left="116" w:right="104"/>
              <w:jc w:val="both"/>
              <w:rPr>
                <w:sz w:val="24"/>
                <w:szCs w:val="24"/>
              </w:rPr>
            </w:pPr>
            <w:r>
              <w:rPr>
                <w:spacing w:val="-5"/>
                <w:sz w:val="24"/>
                <w:szCs w:val="24"/>
              </w:rPr>
              <w:t>海段工程、龙湾海城至洞头灵昆段、瑞安林川至湖岭段，</w:t>
            </w:r>
            <w:r>
              <w:rPr>
                <w:spacing w:val="74"/>
                <w:sz w:val="24"/>
                <w:szCs w:val="24"/>
              </w:rPr>
              <w:t xml:space="preserve"> </w:t>
            </w:r>
            <w:r>
              <w:rPr>
                <w:rFonts w:ascii="Times New Roman" w:hAnsi="Times New Roman" w:eastAsia="Times New Roman" w:cs="Times New Roman"/>
                <w:spacing w:val="-5"/>
                <w:sz w:val="24"/>
                <w:szCs w:val="24"/>
              </w:rPr>
              <w:t xml:space="preserve">S218  </w:t>
            </w:r>
            <w:r>
              <w:rPr>
                <w:spacing w:val="-5"/>
                <w:sz w:val="24"/>
                <w:szCs w:val="24"/>
              </w:rPr>
              <w:t>苍南灵溪至龙港</w:t>
            </w:r>
            <w:r>
              <w:rPr>
                <w:sz w:val="24"/>
                <w:szCs w:val="24"/>
              </w:rPr>
              <w:t xml:space="preserve"> </w:t>
            </w:r>
            <w:r>
              <w:rPr>
                <w:spacing w:val="-8"/>
                <w:sz w:val="24"/>
                <w:szCs w:val="24"/>
              </w:rPr>
              <w:t xml:space="preserve">新城段， </w:t>
            </w:r>
            <w:r>
              <w:rPr>
                <w:rFonts w:ascii="Times New Roman" w:hAnsi="Times New Roman" w:eastAsia="Times New Roman" w:cs="Times New Roman"/>
                <w:spacing w:val="-8"/>
                <w:sz w:val="24"/>
                <w:szCs w:val="24"/>
              </w:rPr>
              <w:t xml:space="preserve">S220 </w:t>
            </w:r>
            <w:r>
              <w:rPr>
                <w:spacing w:val="-8"/>
                <w:sz w:val="24"/>
                <w:szCs w:val="24"/>
              </w:rPr>
              <w:t>文成玉壶至渡渎段、泰顺南浦溪至浙闽界段，</w:t>
            </w:r>
            <w:r>
              <w:rPr>
                <w:spacing w:val="81"/>
                <w:sz w:val="24"/>
                <w:szCs w:val="24"/>
              </w:rPr>
              <w:t xml:space="preserve"> </w:t>
            </w:r>
            <w:r>
              <w:rPr>
                <w:rFonts w:ascii="Times New Roman" w:hAnsi="Times New Roman" w:eastAsia="Times New Roman" w:cs="Times New Roman"/>
                <w:spacing w:val="-8"/>
                <w:sz w:val="24"/>
                <w:szCs w:val="24"/>
              </w:rPr>
              <w:t xml:space="preserve">S323 </w:t>
            </w:r>
            <w:r>
              <w:rPr>
                <w:spacing w:val="-8"/>
                <w:sz w:val="24"/>
                <w:szCs w:val="24"/>
              </w:rPr>
              <w:t>永嘉张溪至岩</w:t>
            </w:r>
            <w:r>
              <w:rPr>
                <w:sz w:val="24"/>
                <w:szCs w:val="24"/>
              </w:rPr>
              <w:t xml:space="preserve"> </w:t>
            </w:r>
            <w:r>
              <w:rPr>
                <w:spacing w:val="-10"/>
                <w:sz w:val="24"/>
                <w:szCs w:val="24"/>
              </w:rPr>
              <w:t xml:space="preserve">坦段， </w:t>
            </w:r>
            <w:r>
              <w:rPr>
                <w:rFonts w:ascii="Times New Roman" w:hAnsi="Times New Roman" w:eastAsia="Times New Roman" w:cs="Times New Roman"/>
                <w:spacing w:val="-10"/>
                <w:sz w:val="24"/>
                <w:szCs w:val="24"/>
              </w:rPr>
              <w:t>S325</w:t>
            </w:r>
            <w:r>
              <w:rPr>
                <w:rFonts w:ascii="Times New Roman" w:hAnsi="Times New Roman" w:eastAsia="Times New Roman" w:cs="Times New Roman"/>
                <w:spacing w:val="35"/>
                <w:w w:val="101"/>
                <w:sz w:val="24"/>
                <w:szCs w:val="24"/>
              </w:rPr>
              <w:t xml:space="preserve"> </w:t>
            </w:r>
            <w:r>
              <w:rPr>
                <w:spacing w:val="-10"/>
                <w:sz w:val="24"/>
                <w:szCs w:val="24"/>
              </w:rPr>
              <w:t>乐清翁垟至永嘉上塘段，</w:t>
            </w:r>
            <w:r>
              <w:rPr>
                <w:spacing w:val="47"/>
                <w:sz w:val="24"/>
                <w:szCs w:val="24"/>
              </w:rPr>
              <w:t xml:space="preserve"> </w:t>
            </w:r>
            <w:r>
              <w:rPr>
                <w:rFonts w:ascii="Times New Roman" w:hAnsi="Times New Roman" w:eastAsia="Times New Roman" w:cs="Times New Roman"/>
                <w:spacing w:val="-10"/>
                <w:sz w:val="24"/>
                <w:szCs w:val="24"/>
              </w:rPr>
              <w:t xml:space="preserve">S326 </w:t>
            </w:r>
            <w:r>
              <w:rPr>
                <w:spacing w:val="-10"/>
                <w:sz w:val="24"/>
                <w:szCs w:val="24"/>
              </w:rPr>
              <w:t>泰顺川山垟至牛栏岗段程。推进</w:t>
            </w:r>
            <w:r>
              <w:rPr>
                <w:spacing w:val="-44"/>
                <w:sz w:val="24"/>
                <w:szCs w:val="24"/>
              </w:rPr>
              <w:t xml:space="preserve"> </w:t>
            </w:r>
            <w:r>
              <w:rPr>
                <w:rFonts w:ascii="Times New Roman" w:hAnsi="Times New Roman" w:eastAsia="Times New Roman" w:cs="Times New Roman"/>
                <w:spacing w:val="-10"/>
                <w:sz w:val="24"/>
                <w:szCs w:val="24"/>
              </w:rPr>
              <w:t>S211</w:t>
            </w:r>
            <w:r>
              <w:rPr>
                <w:rFonts w:ascii="Times New Roman" w:hAnsi="Times New Roman" w:eastAsia="Times New Roman" w:cs="Times New Roman"/>
                <w:sz w:val="24"/>
                <w:szCs w:val="24"/>
              </w:rPr>
              <w:t xml:space="preserve"> </w:t>
            </w:r>
            <w:r>
              <w:rPr>
                <w:spacing w:val="-10"/>
                <w:sz w:val="24"/>
                <w:szCs w:val="24"/>
              </w:rPr>
              <w:t>瑞安华表至汀田段、瑞安湖岭至陶山段，</w:t>
            </w:r>
            <w:r>
              <w:rPr>
                <w:spacing w:val="83"/>
                <w:sz w:val="24"/>
                <w:szCs w:val="24"/>
              </w:rPr>
              <w:t xml:space="preserve"> </w:t>
            </w:r>
            <w:r>
              <w:rPr>
                <w:rFonts w:ascii="Times New Roman" w:hAnsi="Times New Roman" w:eastAsia="Times New Roman" w:cs="Times New Roman"/>
                <w:spacing w:val="-10"/>
                <w:sz w:val="24"/>
                <w:szCs w:val="24"/>
              </w:rPr>
              <w:t xml:space="preserve">S218 </w:t>
            </w:r>
            <w:r>
              <w:rPr>
                <w:spacing w:val="-10"/>
                <w:sz w:val="24"/>
                <w:szCs w:val="24"/>
              </w:rPr>
              <w:t>平阳腾蛟至萧江段，</w:t>
            </w:r>
            <w:r>
              <w:rPr>
                <w:spacing w:val="70"/>
                <w:sz w:val="24"/>
                <w:szCs w:val="24"/>
              </w:rPr>
              <w:t xml:space="preserve"> </w:t>
            </w:r>
            <w:r>
              <w:rPr>
                <w:rFonts w:ascii="Times New Roman" w:hAnsi="Times New Roman" w:eastAsia="Times New Roman" w:cs="Times New Roman"/>
                <w:spacing w:val="-10"/>
                <w:sz w:val="24"/>
                <w:szCs w:val="24"/>
              </w:rPr>
              <w:t xml:space="preserve">S219 </w:t>
            </w:r>
            <w:r>
              <w:rPr>
                <w:spacing w:val="-10"/>
                <w:sz w:val="24"/>
                <w:szCs w:val="24"/>
              </w:rPr>
              <w:t>文成黄</w:t>
            </w:r>
            <w:r>
              <w:rPr>
                <w:sz w:val="24"/>
                <w:szCs w:val="24"/>
              </w:rPr>
              <w:t xml:space="preserve"> </w:t>
            </w:r>
            <w:r>
              <w:rPr>
                <w:spacing w:val="-3"/>
                <w:sz w:val="24"/>
                <w:szCs w:val="24"/>
              </w:rPr>
              <w:t xml:space="preserve">坦至珊溪段、平阳怀溪至闹村段、苍南灵溪至炎亭段， </w:t>
            </w:r>
            <w:r>
              <w:rPr>
                <w:rFonts w:ascii="Times New Roman" w:hAnsi="Times New Roman" w:eastAsia="Times New Roman" w:cs="Times New Roman"/>
                <w:spacing w:val="-3"/>
                <w:sz w:val="24"/>
                <w:szCs w:val="24"/>
              </w:rPr>
              <w:t xml:space="preserve">S220  </w:t>
            </w:r>
            <w:r>
              <w:rPr>
                <w:spacing w:val="-3"/>
                <w:sz w:val="24"/>
                <w:szCs w:val="24"/>
              </w:rPr>
              <w:t>文成珊溪至泰顺交</w:t>
            </w:r>
            <w:r>
              <w:rPr>
                <w:sz w:val="24"/>
                <w:szCs w:val="24"/>
              </w:rPr>
              <w:t xml:space="preserve"> </w:t>
            </w:r>
            <w:r>
              <w:rPr>
                <w:spacing w:val="-12"/>
                <w:sz w:val="24"/>
                <w:szCs w:val="24"/>
              </w:rPr>
              <w:t xml:space="preserve">界段、泰顺文泰  界至南浦溪段， </w:t>
            </w:r>
            <w:r>
              <w:rPr>
                <w:rFonts w:ascii="Times New Roman" w:hAnsi="Times New Roman" w:eastAsia="Times New Roman" w:cs="Times New Roman"/>
                <w:spacing w:val="-12"/>
                <w:sz w:val="24"/>
                <w:szCs w:val="24"/>
              </w:rPr>
              <w:t>S324</w:t>
            </w:r>
            <w:r>
              <w:rPr>
                <w:rFonts w:ascii="Times New Roman" w:hAnsi="Times New Roman" w:eastAsia="Times New Roman" w:cs="Times New Roman"/>
                <w:spacing w:val="8"/>
                <w:sz w:val="24"/>
                <w:szCs w:val="24"/>
              </w:rPr>
              <w:t xml:space="preserve">  </w:t>
            </w:r>
            <w:r>
              <w:rPr>
                <w:spacing w:val="-12"/>
                <w:sz w:val="24"/>
                <w:szCs w:val="24"/>
              </w:rPr>
              <w:t xml:space="preserve">乐清雁荡段、永嘉大若岩至巽宅段， </w:t>
            </w:r>
            <w:r>
              <w:rPr>
                <w:rFonts w:ascii="Times New Roman" w:hAnsi="Times New Roman" w:eastAsia="Times New Roman" w:cs="Times New Roman"/>
                <w:spacing w:val="-12"/>
                <w:sz w:val="24"/>
                <w:szCs w:val="24"/>
              </w:rPr>
              <w:t>S325</w:t>
            </w:r>
            <w:r>
              <w:rPr>
                <w:rFonts w:ascii="Times New Roman" w:hAnsi="Times New Roman" w:eastAsia="Times New Roman" w:cs="Times New Roman"/>
                <w:sz w:val="24"/>
                <w:szCs w:val="24"/>
              </w:rPr>
              <w:t xml:space="preserve"> </w:t>
            </w:r>
            <w:r>
              <w:rPr>
                <w:spacing w:val="-6"/>
                <w:sz w:val="24"/>
                <w:szCs w:val="24"/>
              </w:rPr>
              <w:t>洞头岙底至大门段，</w:t>
            </w:r>
            <w:r>
              <w:rPr>
                <w:spacing w:val="43"/>
                <w:sz w:val="24"/>
                <w:szCs w:val="24"/>
              </w:rPr>
              <w:t xml:space="preserve"> </w:t>
            </w:r>
            <w:r>
              <w:rPr>
                <w:rFonts w:ascii="Times New Roman" w:hAnsi="Times New Roman" w:eastAsia="Times New Roman" w:cs="Times New Roman"/>
                <w:spacing w:val="-6"/>
                <w:sz w:val="24"/>
                <w:szCs w:val="24"/>
              </w:rPr>
              <w:t xml:space="preserve">S326 </w:t>
            </w:r>
            <w:r>
              <w:rPr>
                <w:spacing w:val="-6"/>
                <w:sz w:val="24"/>
                <w:szCs w:val="24"/>
              </w:rPr>
              <w:t>苍南霞关至桥墩段等项目前期研究。积</w:t>
            </w:r>
            <w:r>
              <w:rPr>
                <w:spacing w:val="-7"/>
                <w:sz w:val="24"/>
                <w:szCs w:val="24"/>
              </w:rPr>
              <w:t>极谋划</w:t>
            </w:r>
            <w:r>
              <w:rPr>
                <w:spacing w:val="-44"/>
                <w:sz w:val="24"/>
                <w:szCs w:val="24"/>
              </w:rPr>
              <w:t xml:space="preserve"> </w:t>
            </w:r>
            <w:r>
              <w:rPr>
                <w:rFonts w:ascii="Times New Roman" w:hAnsi="Times New Roman" w:eastAsia="Times New Roman" w:cs="Times New Roman"/>
                <w:spacing w:val="-7"/>
                <w:sz w:val="24"/>
                <w:szCs w:val="24"/>
              </w:rPr>
              <w:t xml:space="preserve">S211 </w:t>
            </w:r>
            <w:r>
              <w:rPr>
                <w:spacing w:val="-7"/>
                <w:sz w:val="24"/>
                <w:szCs w:val="24"/>
              </w:rPr>
              <w:t>洞</w:t>
            </w:r>
            <w:r>
              <w:rPr>
                <w:sz w:val="24"/>
                <w:szCs w:val="24"/>
              </w:rPr>
              <w:t xml:space="preserve"> </w:t>
            </w:r>
            <w:r>
              <w:rPr>
                <w:spacing w:val="-11"/>
                <w:sz w:val="24"/>
                <w:szCs w:val="24"/>
              </w:rPr>
              <w:t>头灵昆至霓屿段，</w:t>
            </w:r>
            <w:r>
              <w:rPr>
                <w:spacing w:val="78"/>
                <w:sz w:val="24"/>
                <w:szCs w:val="24"/>
              </w:rPr>
              <w:t xml:space="preserve"> </w:t>
            </w:r>
            <w:r>
              <w:rPr>
                <w:rFonts w:ascii="Times New Roman" w:hAnsi="Times New Roman" w:eastAsia="Times New Roman" w:cs="Times New Roman"/>
                <w:spacing w:val="-11"/>
                <w:sz w:val="24"/>
                <w:szCs w:val="24"/>
              </w:rPr>
              <w:t>S323</w:t>
            </w:r>
            <w:r>
              <w:rPr>
                <w:rFonts w:ascii="Times New Roman" w:hAnsi="Times New Roman" w:eastAsia="Times New Roman" w:cs="Times New Roman"/>
                <w:spacing w:val="11"/>
                <w:sz w:val="24"/>
                <w:szCs w:val="24"/>
              </w:rPr>
              <w:t xml:space="preserve"> </w:t>
            </w:r>
            <w:r>
              <w:rPr>
                <w:spacing w:val="-11"/>
                <w:sz w:val="24"/>
                <w:szCs w:val="24"/>
              </w:rPr>
              <w:t>永嘉岩坦至山坑段、永嘉张溪至台州界，</w:t>
            </w:r>
            <w:r>
              <w:rPr>
                <w:spacing w:val="70"/>
                <w:sz w:val="24"/>
                <w:szCs w:val="24"/>
              </w:rPr>
              <w:t xml:space="preserve"> </w:t>
            </w:r>
            <w:r>
              <w:rPr>
                <w:rFonts w:ascii="Times New Roman" w:hAnsi="Times New Roman" w:eastAsia="Times New Roman" w:cs="Times New Roman"/>
                <w:spacing w:val="-11"/>
                <w:sz w:val="24"/>
                <w:szCs w:val="24"/>
              </w:rPr>
              <w:t>S325</w:t>
            </w:r>
            <w:r>
              <w:rPr>
                <w:rFonts w:ascii="Times New Roman" w:hAnsi="Times New Roman" w:eastAsia="Times New Roman" w:cs="Times New Roman"/>
                <w:spacing w:val="12"/>
                <w:sz w:val="24"/>
                <w:szCs w:val="24"/>
              </w:rPr>
              <w:t xml:space="preserve"> </w:t>
            </w:r>
            <w:r>
              <w:rPr>
                <w:spacing w:val="-11"/>
                <w:sz w:val="24"/>
                <w:szCs w:val="24"/>
              </w:rPr>
              <w:t>永嘉上塘</w:t>
            </w:r>
          </w:p>
          <w:p>
            <w:pPr>
              <w:pStyle w:val="6"/>
              <w:spacing w:line="219" w:lineRule="auto"/>
              <w:ind w:left="119"/>
              <w:rPr>
                <w:sz w:val="24"/>
                <w:szCs w:val="24"/>
              </w:rPr>
            </w:pPr>
            <w:r>
              <w:rPr>
                <w:spacing w:val="-6"/>
                <w:sz w:val="24"/>
                <w:szCs w:val="24"/>
              </w:rPr>
              <w:t>至桥头段等项目。</w:t>
            </w:r>
          </w:p>
          <w:p>
            <w:pPr>
              <w:pStyle w:val="6"/>
              <w:spacing w:before="182" w:line="466" w:lineRule="exact"/>
              <w:ind w:left="619"/>
              <w:rPr>
                <w:sz w:val="24"/>
                <w:szCs w:val="24"/>
              </w:rPr>
            </w:pPr>
            <w:r>
              <w:rPr>
                <w:spacing w:val="-4"/>
                <w:position w:val="17"/>
                <w:sz w:val="24"/>
                <w:szCs w:val="24"/>
              </w:rPr>
              <w:t>四好农村路： 新改建及提升改造</w:t>
            </w:r>
            <w:r>
              <w:rPr>
                <w:rFonts w:ascii="Times New Roman" w:hAnsi="Times New Roman" w:eastAsia="Times New Roman" w:cs="Times New Roman"/>
                <w:spacing w:val="-4"/>
                <w:position w:val="17"/>
                <w:sz w:val="24"/>
                <w:szCs w:val="24"/>
              </w:rPr>
              <w:t>“</w:t>
            </w:r>
            <w:r>
              <w:rPr>
                <w:rFonts w:ascii="Times New Roman" w:hAnsi="Times New Roman" w:eastAsia="Times New Roman" w:cs="Times New Roman"/>
                <w:spacing w:val="-9"/>
                <w:position w:val="17"/>
                <w:sz w:val="24"/>
                <w:szCs w:val="24"/>
              </w:rPr>
              <w:t xml:space="preserve"> </w:t>
            </w:r>
            <w:r>
              <w:rPr>
                <w:spacing w:val="-4"/>
                <w:position w:val="17"/>
                <w:sz w:val="24"/>
                <w:szCs w:val="24"/>
              </w:rPr>
              <w:t>四好农村路</w:t>
            </w:r>
            <w:r>
              <w:rPr>
                <w:rFonts w:ascii="Times New Roman" w:hAnsi="Times New Roman" w:eastAsia="Times New Roman" w:cs="Times New Roman"/>
                <w:spacing w:val="-4"/>
                <w:position w:val="17"/>
                <w:sz w:val="24"/>
                <w:szCs w:val="24"/>
              </w:rPr>
              <w:t xml:space="preserve">”2000  </w:t>
            </w:r>
            <w:r>
              <w:rPr>
                <w:spacing w:val="-4"/>
                <w:position w:val="17"/>
                <w:sz w:val="24"/>
                <w:szCs w:val="24"/>
              </w:rPr>
              <w:t>公里，其中，新建、改</w:t>
            </w:r>
          </w:p>
          <w:p>
            <w:pPr>
              <w:pStyle w:val="6"/>
              <w:spacing w:before="1" w:line="218" w:lineRule="auto"/>
              <w:ind w:left="117"/>
              <w:rPr>
                <w:sz w:val="24"/>
                <w:szCs w:val="24"/>
              </w:rPr>
            </w:pPr>
            <w:r>
              <w:rPr>
                <w:spacing w:val="-4"/>
                <w:sz w:val="24"/>
                <w:szCs w:val="24"/>
              </w:rPr>
              <w:t>扩建县道</w:t>
            </w:r>
            <w:r>
              <w:rPr>
                <w:spacing w:val="-34"/>
                <w:sz w:val="24"/>
                <w:szCs w:val="24"/>
              </w:rPr>
              <w:t xml:space="preserve"> </w:t>
            </w:r>
            <w:r>
              <w:rPr>
                <w:rFonts w:ascii="Times New Roman" w:hAnsi="Times New Roman" w:eastAsia="Times New Roman" w:cs="Times New Roman"/>
                <w:spacing w:val="-4"/>
                <w:sz w:val="24"/>
                <w:szCs w:val="24"/>
              </w:rPr>
              <w:t>500</w:t>
            </w:r>
            <w:r>
              <w:rPr>
                <w:rFonts w:ascii="Times New Roman" w:hAnsi="Times New Roman" w:eastAsia="Times New Roman" w:cs="Times New Roman"/>
                <w:spacing w:val="17"/>
                <w:sz w:val="24"/>
                <w:szCs w:val="24"/>
              </w:rPr>
              <w:t xml:space="preserve"> </w:t>
            </w:r>
            <w:r>
              <w:rPr>
                <w:spacing w:val="-4"/>
                <w:sz w:val="24"/>
                <w:szCs w:val="24"/>
              </w:rPr>
              <w:t>公里，新建和改造提升乡道、村道</w:t>
            </w:r>
            <w:r>
              <w:rPr>
                <w:spacing w:val="-31"/>
                <w:sz w:val="24"/>
                <w:szCs w:val="24"/>
              </w:rPr>
              <w:t xml:space="preserve"> </w:t>
            </w:r>
            <w:r>
              <w:rPr>
                <w:rFonts w:ascii="Times New Roman" w:hAnsi="Times New Roman" w:eastAsia="Times New Roman" w:cs="Times New Roman"/>
                <w:spacing w:val="-4"/>
                <w:sz w:val="24"/>
                <w:szCs w:val="24"/>
              </w:rPr>
              <w:t>1500</w:t>
            </w:r>
            <w:r>
              <w:rPr>
                <w:rFonts w:ascii="Times New Roman" w:hAnsi="Times New Roman" w:eastAsia="Times New Roman" w:cs="Times New Roman"/>
                <w:spacing w:val="16"/>
                <w:w w:val="101"/>
                <w:sz w:val="24"/>
                <w:szCs w:val="24"/>
              </w:rPr>
              <w:t xml:space="preserve"> </w:t>
            </w:r>
            <w:r>
              <w:rPr>
                <w:spacing w:val="-4"/>
                <w:sz w:val="24"/>
                <w:szCs w:val="24"/>
              </w:rPr>
              <w:t>公里。</w:t>
            </w:r>
          </w:p>
          <w:p>
            <w:pPr>
              <w:pStyle w:val="6"/>
              <w:spacing w:before="183" w:line="359" w:lineRule="auto"/>
              <w:ind w:left="118" w:right="108" w:firstLine="478"/>
              <w:rPr>
                <w:sz w:val="24"/>
                <w:szCs w:val="24"/>
              </w:rPr>
            </w:pPr>
            <w:r>
              <w:rPr>
                <w:spacing w:val="-8"/>
                <w:sz w:val="24"/>
                <w:szCs w:val="24"/>
              </w:rPr>
              <w:t>城市快速路：</w:t>
            </w:r>
            <w:r>
              <w:rPr>
                <w:spacing w:val="40"/>
                <w:sz w:val="24"/>
                <w:szCs w:val="24"/>
              </w:rPr>
              <w:t xml:space="preserve"> </w:t>
            </w:r>
            <w:r>
              <w:rPr>
                <w:spacing w:val="-8"/>
                <w:sz w:val="24"/>
                <w:szCs w:val="24"/>
              </w:rPr>
              <w:t>建成温瑞大道南段快速路。开工建设沿江快速路、瓯海大道高</w:t>
            </w:r>
            <w:r>
              <w:rPr>
                <w:sz w:val="24"/>
                <w:szCs w:val="24"/>
              </w:rPr>
              <w:t xml:space="preserve"> </w:t>
            </w:r>
            <w:r>
              <w:rPr>
                <w:spacing w:val="-6"/>
                <w:sz w:val="24"/>
                <w:szCs w:val="24"/>
              </w:rPr>
              <w:t>架快速路（福州路－三溪路） 、温瑞大道快速路瑞安</w:t>
            </w:r>
            <w:r>
              <w:rPr>
                <w:spacing w:val="-7"/>
                <w:sz w:val="24"/>
                <w:szCs w:val="24"/>
              </w:rPr>
              <w:t>段。谋划七都至乐清快速路</w:t>
            </w:r>
          </w:p>
          <w:p>
            <w:pPr>
              <w:pStyle w:val="6"/>
              <w:spacing w:before="1" w:line="218" w:lineRule="auto"/>
              <w:ind w:left="117"/>
              <w:rPr>
                <w:sz w:val="24"/>
                <w:szCs w:val="24"/>
              </w:rPr>
            </w:pPr>
            <w:r>
              <w:rPr>
                <w:spacing w:val="-2"/>
                <w:sz w:val="24"/>
                <w:szCs w:val="24"/>
              </w:rPr>
              <w:t>三期、鳌江至萧江快速路、瓯江越江通道（府东路）等项目。</w:t>
            </w:r>
          </w:p>
        </w:tc>
      </w:tr>
    </w:tbl>
    <w:p>
      <w:pPr>
        <w:spacing w:before="193" w:line="359" w:lineRule="auto"/>
        <w:ind w:left="122" w:right="55" w:firstLine="480"/>
        <w:rPr>
          <w:rFonts w:ascii="宋体" w:hAnsi="宋体" w:eastAsia="宋体" w:cs="宋体"/>
          <w:sz w:val="24"/>
          <w:szCs w:val="24"/>
        </w:rPr>
      </w:pPr>
      <w:r>
        <w:rPr>
          <w:rFonts w:ascii="宋体" w:hAnsi="宋体" w:eastAsia="宋体" w:cs="宋体"/>
          <w:spacing w:val="-5"/>
          <w:sz w:val="24"/>
          <w:szCs w:val="24"/>
        </w:rPr>
        <w:t>本项目为重点建设项目</w:t>
      </w:r>
      <w:r>
        <w:rPr>
          <w:rFonts w:ascii="宋体" w:hAnsi="宋体" w:eastAsia="宋体" w:cs="宋体"/>
          <w:spacing w:val="-5"/>
          <w:sz w:val="24"/>
          <w:szCs w:val="24"/>
          <w14:textOutline w14:w="4354" w14:cap="flat" w14:cmpd="sng">
            <w14:solidFill>
              <w14:srgbClr w14:val="000000"/>
            </w14:solidFill>
            <w14:prstDash w14:val="solid"/>
            <w14:miter w14:val="0"/>
          </w14:textOutline>
        </w:rPr>
        <w:t>溧宁高速景文段中的配套连接线，</w:t>
      </w:r>
      <w:r>
        <w:rPr>
          <w:rFonts w:ascii="宋体" w:hAnsi="宋体" w:eastAsia="宋体" w:cs="宋体"/>
          <w:spacing w:val="-5"/>
          <w:sz w:val="24"/>
          <w:szCs w:val="24"/>
        </w:rPr>
        <w:t xml:space="preserve"> 项目为二级公路，</w:t>
      </w:r>
      <w:r>
        <w:rPr>
          <w:rFonts w:ascii="宋体" w:hAnsi="宋体" w:eastAsia="宋体" w:cs="宋体"/>
          <w:spacing w:val="1"/>
          <w:sz w:val="24"/>
          <w:szCs w:val="24"/>
        </w:rPr>
        <w:t xml:space="preserve"> </w:t>
      </w:r>
      <w:r>
        <w:rPr>
          <w:rFonts w:ascii="宋体" w:hAnsi="宋体" w:eastAsia="宋体" w:cs="宋体"/>
          <w:spacing w:val="-6"/>
          <w:sz w:val="24"/>
          <w:szCs w:val="24"/>
        </w:rPr>
        <w:t>满足规划中</w:t>
      </w:r>
      <w:r>
        <w:rPr>
          <w:rFonts w:ascii="Times New Roman" w:hAnsi="Times New Roman" w:eastAsia="Times New Roman" w:cs="Times New Roman"/>
          <w:spacing w:val="-6"/>
          <w:sz w:val="24"/>
          <w:szCs w:val="24"/>
        </w:rPr>
        <w:t>“</w:t>
      </w:r>
      <w:r>
        <w:rPr>
          <w:rFonts w:ascii="宋体" w:hAnsi="宋体" w:eastAsia="宋体" w:cs="宋体"/>
          <w:spacing w:val="-6"/>
          <w:sz w:val="24"/>
          <w:szCs w:val="24"/>
        </w:rPr>
        <w:t>加快推进高速公路联络线</w:t>
      </w:r>
      <w:r>
        <w:rPr>
          <w:rFonts w:ascii="Times New Roman" w:hAnsi="Times New Roman" w:eastAsia="Times New Roman" w:cs="Times New Roman"/>
          <w:spacing w:val="-6"/>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6"/>
          <w:sz w:val="24"/>
          <w:szCs w:val="24"/>
        </w:rPr>
        <w:t>的要求， 满足普通公路网覆盖的</w:t>
      </w:r>
      <w:r>
        <w:rPr>
          <w:rFonts w:ascii="宋体" w:hAnsi="宋体" w:eastAsia="宋体" w:cs="宋体"/>
          <w:spacing w:val="-7"/>
          <w:sz w:val="24"/>
          <w:szCs w:val="24"/>
        </w:rPr>
        <w:t>要求。本</w:t>
      </w:r>
      <w:r>
        <w:rPr>
          <w:rFonts w:ascii="宋体" w:hAnsi="宋体" w:eastAsia="宋体" w:cs="宋体"/>
          <w:sz w:val="24"/>
          <w:szCs w:val="24"/>
        </w:rPr>
        <w:t xml:space="preserve"> </w:t>
      </w:r>
      <w:r>
        <w:rPr>
          <w:rFonts w:ascii="宋体" w:hAnsi="宋体" w:eastAsia="宋体" w:cs="宋体"/>
          <w:spacing w:val="4"/>
          <w:sz w:val="24"/>
          <w:szCs w:val="24"/>
        </w:rPr>
        <w:t>项目的建设将完善浙江西南部山区旅游景点与高速公路有机结合路网布局的需</w:t>
      </w:r>
      <w:r>
        <w:rPr>
          <w:rFonts w:ascii="宋体" w:hAnsi="宋体" w:eastAsia="宋体" w:cs="宋体"/>
          <w:spacing w:val="2"/>
          <w:sz w:val="24"/>
          <w:szCs w:val="24"/>
        </w:rPr>
        <w:t xml:space="preserve"> </w:t>
      </w:r>
      <w:r>
        <w:rPr>
          <w:rFonts w:ascii="宋体" w:hAnsi="宋体" w:eastAsia="宋体" w:cs="宋体"/>
          <w:spacing w:val="-1"/>
          <w:sz w:val="24"/>
          <w:szCs w:val="24"/>
        </w:rPr>
        <w:t>要，是实现城乡交通一体化的需要。本项目的建设能够</w:t>
      </w:r>
      <w:r>
        <w:rPr>
          <w:rFonts w:ascii="宋体" w:hAnsi="宋体" w:eastAsia="宋体" w:cs="宋体"/>
          <w:spacing w:val="-2"/>
          <w:sz w:val="24"/>
          <w:szCs w:val="24"/>
        </w:rPr>
        <w:t>连接文成百丈漈、南田、</w:t>
      </w:r>
      <w:r>
        <w:rPr>
          <w:rFonts w:ascii="宋体" w:hAnsi="宋体" w:eastAsia="宋体" w:cs="宋体"/>
          <w:sz w:val="24"/>
          <w:szCs w:val="24"/>
        </w:rPr>
        <w:t xml:space="preserve"> </w:t>
      </w:r>
      <w:r>
        <w:rPr>
          <w:rFonts w:ascii="宋体" w:hAnsi="宋体" w:eastAsia="宋体" w:cs="宋体"/>
          <w:spacing w:val="-9"/>
          <w:sz w:val="24"/>
          <w:szCs w:val="24"/>
        </w:rPr>
        <w:t>西坑至景文高速公路与地方上公路， 使得西坑互通</w:t>
      </w:r>
      <w:r>
        <w:rPr>
          <w:rFonts w:ascii="宋体" w:hAnsi="宋体" w:eastAsia="宋体" w:cs="宋体"/>
          <w:spacing w:val="-10"/>
          <w:sz w:val="24"/>
          <w:szCs w:val="24"/>
        </w:rPr>
        <w:t>的交通转换功能大幅提升， 建</w:t>
      </w:r>
      <w:r>
        <w:rPr>
          <w:rFonts w:ascii="宋体" w:hAnsi="宋体" w:eastAsia="宋体" w:cs="宋体"/>
          <w:sz w:val="24"/>
          <w:szCs w:val="24"/>
        </w:rPr>
        <w:t xml:space="preserve"> </w:t>
      </w:r>
      <w:r>
        <w:rPr>
          <w:rFonts w:ascii="宋体" w:hAnsi="宋体" w:eastAsia="宋体" w:cs="宋体"/>
          <w:spacing w:val="-9"/>
          <w:sz w:val="24"/>
          <w:szCs w:val="24"/>
        </w:rPr>
        <w:t>设后将极大地完善周边区域的路网结构， 改善交通出</w:t>
      </w:r>
      <w:r>
        <w:rPr>
          <w:rFonts w:ascii="宋体" w:hAnsi="宋体" w:eastAsia="宋体" w:cs="宋体"/>
          <w:spacing w:val="-10"/>
          <w:sz w:val="24"/>
          <w:szCs w:val="24"/>
        </w:rPr>
        <w:t>行条件， 解决困扰区域发展</w:t>
      </w:r>
    </w:p>
    <w:p>
      <w:pPr>
        <w:spacing w:before="1" w:line="218" w:lineRule="auto"/>
        <w:ind w:left="141"/>
        <w:rPr>
          <w:rFonts w:ascii="宋体" w:hAnsi="宋体" w:eastAsia="宋体" w:cs="宋体"/>
          <w:sz w:val="24"/>
          <w:szCs w:val="24"/>
        </w:rPr>
      </w:pPr>
      <w:r>
        <w:rPr>
          <w:rFonts w:ascii="宋体" w:hAnsi="宋体" w:eastAsia="宋体" w:cs="宋体"/>
          <w:spacing w:val="-2"/>
          <w:sz w:val="24"/>
          <w:szCs w:val="24"/>
        </w:rPr>
        <w:t>的交通出行要求。因此，本项目的建设符合温州市综合交通运输</w:t>
      </w:r>
      <w:r>
        <w:rPr>
          <w:rFonts w:ascii="Times New Roman" w:hAnsi="Times New Roman" w:eastAsia="Times New Roman" w:cs="Times New Roman"/>
          <w:spacing w:val="-2"/>
          <w:sz w:val="24"/>
          <w:szCs w:val="24"/>
        </w:rPr>
        <w:t>“</w:t>
      </w:r>
      <w:r>
        <w:rPr>
          <w:rFonts w:ascii="宋体" w:hAnsi="宋体" w:eastAsia="宋体" w:cs="宋体"/>
          <w:spacing w:val="-2"/>
          <w:sz w:val="24"/>
          <w:szCs w:val="24"/>
        </w:rPr>
        <w:t>十四五</w:t>
      </w:r>
      <w:r>
        <w:rPr>
          <w:rFonts w:ascii="Times New Roman" w:hAnsi="Times New Roman" w:eastAsia="Times New Roman" w:cs="Times New Roman"/>
          <w:spacing w:val="-2"/>
          <w:sz w:val="24"/>
          <w:szCs w:val="24"/>
        </w:rPr>
        <w:t>”</w:t>
      </w:r>
      <w:r>
        <w:rPr>
          <w:rFonts w:ascii="宋体" w:hAnsi="宋体" w:eastAsia="宋体" w:cs="宋体"/>
          <w:spacing w:val="-2"/>
          <w:sz w:val="24"/>
          <w:szCs w:val="24"/>
        </w:rPr>
        <w:t>规划。</w:t>
      </w:r>
    </w:p>
    <w:p>
      <w:pPr>
        <w:spacing w:before="180" w:line="220" w:lineRule="auto"/>
        <w:ind w:left="597"/>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、规划环评符合性分析</w:t>
      </w:r>
    </w:p>
    <w:p>
      <w:pPr>
        <w:spacing w:before="183" w:line="468" w:lineRule="exact"/>
        <w:ind w:left="603"/>
        <w:rPr>
          <w:rFonts w:ascii="宋体" w:hAnsi="宋体" w:eastAsia="宋体" w:cs="宋体"/>
          <w:sz w:val="24"/>
          <w:szCs w:val="24"/>
        </w:rPr>
      </w:pPr>
      <w:r>
        <w:rPr>
          <w:rFonts w:ascii="宋体" w:hAnsi="宋体" w:eastAsia="宋体" w:cs="宋体"/>
          <w:spacing w:val="-1"/>
          <w:position w:val="17"/>
          <w:sz w:val="24"/>
          <w:szCs w:val="24"/>
        </w:rPr>
        <w:t>《温州市综合交通运输发展</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十四五</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规划环境影响报告书》已于</w:t>
      </w:r>
      <w:r>
        <w:rPr>
          <w:rFonts w:ascii="宋体" w:hAnsi="宋体" w:eastAsia="宋体" w:cs="宋体"/>
          <w:spacing w:val="-13"/>
          <w:position w:val="17"/>
          <w:sz w:val="24"/>
          <w:szCs w:val="24"/>
        </w:rPr>
        <w:t xml:space="preserve"> </w:t>
      </w:r>
      <w:r>
        <w:rPr>
          <w:rFonts w:ascii="Times New Roman" w:hAnsi="Times New Roman" w:eastAsia="Times New Roman" w:cs="Times New Roman"/>
          <w:spacing w:val="-1"/>
          <w:position w:val="17"/>
          <w:sz w:val="24"/>
          <w:szCs w:val="24"/>
        </w:rPr>
        <w:t>2021</w:t>
      </w:r>
      <w:r>
        <w:rPr>
          <w:rFonts w:ascii="Times New Roman" w:hAnsi="Times New Roman" w:eastAsia="Times New Roman" w:cs="Times New Roman"/>
          <w:spacing w:val="36"/>
          <w:w w:val="101"/>
          <w:position w:val="17"/>
          <w:sz w:val="24"/>
          <w:szCs w:val="24"/>
        </w:rPr>
        <w:t xml:space="preserve"> </w:t>
      </w:r>
      <w:r>
        <w:rPr>
          <w:rFonts w:ascii="宋体" w:hAnsi="宋体" w:eastAsia="宋体" w:cs="宋体"/>
          <w:spacing w:val="-1"/>
          <w:position w:val="17"/>
          <w:sz w:val="24"/>
          <w:szCs w:val="24"/>
        </w:rPr>
        <w:t>年通</w:t>
      </w:r>
    </w:p>
    <w:p>
      <w:pPr>
        <w:spacing w:line="215" w:lineRule="auto"/>
        <w:ind w:left="123"/>
        <w:rPr>
          <w:rFonts w:ascii="宋体" w:hAnsi="宋体" w:eastAsia="宋体" w:cs="宋体"/>
          <w:sz w:val="24"/>
          <w:szCs w:val="24"/>
        </w:rPr>
      </w:pPr>
      <w:r>
        <w:rPr>
          <w:rFonts w:ascii="宋体" w:hAnsi="宋体" w:eastAsia="宋体" w:cs="宋体"/>
          <w:spacing w:val="-2"/>
          <w:sz w:val="24"/>
          <w:szCs w:val="24"/>
        </w:rPr>
        <w:t>过了温州市生态环境局的审查（温环函</w:t>
      </w:r>
      <w:r>
        <w:rPr>
          <w:rFonts w:ascii="Times New Roman" w:hAnsi="Times New Roman" w:eastAsia="Times New Roman" w:cs="Times New Roman"/>
          <w:spacing w:val="-2"/>
          <w:sz w:val="24"/>
          <w:szCs w:val="24"/>
        </w:rPr>
        <w:t>[2021]44</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号）。</w:t>
      </w:r>
    </w:p>
    <w:p>
      <w:pPr>
        <w:spacing w:before="185" w:line="220"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）规划环评结论</w:t>
      </w:r>
    </w:p>
    <w:p>
      <w:pPr>
        <w:spacing w:before="181" w:line="359" w:lineRule="auto"/>
        <w:ind w:left="124" w:right="104" w:firstLine="478"/>
        <w:rPr>
          <w:rFonts w:ascii="宋体" w:hAnsi="宋体" w:eastAsia="宋体" w:cs="宋体"/>
          <w:sz w:val="24"/>
          <w:szCs w:val="24"/>
        </w:rPr>
      </w:pPr>
      <w:r>
        <w:rPr>
          <w:rFonts w:ascii="宋体" w:hAnsi="宋体" w:eastAsia="宋体" w:cs="宋体"/>
          <w:spacing w:val="-2"/>
          <w:sz w:val="24"/>
          <w:szCs w:val="24"/>
        </w:rPr>
        <w:t>《温州市综合交通运输发展</w:t>
      </w:r>
      <w:r>
        <w:rPr>
          <w:rFonts w:ascii="Times New Roman" w:hAnsi="Times New Roman" w:eastAsia="Times New Roman" w:cs="Times New Roman"/>
          <w:spacing w:val="-2"/>
          <w:sz w:val="24"/>
          <w:szCs w:val="24"/>
        </w:rPr>
        <w:t>“</w:t>
      </w:r>
      <w:r>
        <w:rPr>
          <w:rFonts w:ascii="宋体" w:hAnsi="宋体" w:eastAsia="宋体" w:cs="宋体"/>
          <w:spacing w:val="-2"/>
          <w:sz w:val="24"/>
          <w:szCs w:val="24"/>
        </w:rPr>
        <w:t>十四五</w:t>
      </w:r>
      <w:r>
        <w:rPr>
          <w:rFonts w:ascii="Times New Roman" w:hAnsi="Times New Roman" w:eastAsia="Times New Roman" w:cs="Times New Roman"/>
          <w:spacing w:val="-2"/>
          <w:sz w:val="24"/>
          <w:szCs w:val="24"/>
        </w:rPr>
        <w:t>”</w:t>
      </w:r>
      <w:r>
        <w:rPr>
          <w:rFonts w:ascii="宋体" w:hAnsi="宋体" w:eastAsia="宋体" w:cs="宋体"/>
          <w:spacing w:val="-2"/>
          <w:sz w:val="24"/>
          <w:szCs w:val="24"/>
        </w:rPr>
        <w:t>规划》的实施将</w:t>
      </w:r>
      <w:r>
        <w:rPr>
          <w:rFonts w:ascii="宋体" w:hAnsi="宋体" w:eastAsia="宋体" w:cs="宋体"/>
          <w:spacing w:val="-3"/>
          <w:sz w:val="24"/>
          <w:szCs w:val="24"/>
        </w:rPr>
        <w:t>为推动温州市的经济发</w:t>
      </w:r>
      <w:r>
        <w:rPr>
          <w:rFonts w:ascii="宋体" w:hAnsi="宋体" w:eastAsia="宋体" w:cs="宋体"/>
          <w:sz w:val="24"/>
          <w:szCs w:val="24"/>
        </w:rPr>
        <w:t xml:space="preserve"> </w:t>
      </w:r>
      <w:r>
        <w:rPr>
          <w:rFonts w:ascii="宋体" w:hAnsi="宋体" w:eastAsia="宋体" w:cs="宋体"/>
          <w:spacing w:val="4"/>
          <w:sz w:val="24"/>
          <w:szCs w:val="24"/>
        </w:rPr>
        <w:t>展提供重要的交通基础，将带动温州社会经济的跨域发展和战略地位的全面提</w:t>
      </w:r>
      <w:r>
        <w:rPr>
          <w:rFonts w:ascii="宋体" w:hAnsi="宋体" w:eastAsia="宋体" w:cs="宋体"/>
          <w:sz w:val="24"/>
          <w:szCs w:val="24"/>
        </w:rPr>
        <w:t xml:space="preserve"> 升。总体上本规划与《温州市城市总体规划（</w:t>
      </w:r>
      <w:r>
        <w:rPr>
          <w:rFonts w:ascii="Times New Roman" w:hAnsi="Times New Roman" w:eastAsia="Times New Roman" w:cs="Times New Roman"/>
          <w:sz w:val="24"/>
          <w:szCs w:val="24"/>
        </w:rPr>
        <w:t>2003~2020</w:t>
      </w:r>
      <w:r>
        <w:rPr>
          <w:rFonts w:ascii="宋体" w:hAnsi="宋体" w:eastAsia="宋体" w:cs="宋体"/>
          <w:spacing w:val="-18"/>
          <w:sz w:val="24"/>
          <w:szCs w:val="24"/>
        </w:rPr>
        <w:t>）（</w:t>
      </w:r>
      <w:r>
        <w:rPr>
          <w:rFonts w:ascii="Times New Roman" w:hAnsi="Times New Roman" w:eastAsia="Times New Roman" w:cs="Times New Roman"/>
          <w:spacing w:val="-1"/>
          <w:sz w:val="24"/>
          <w:szCs w:val="24"/>
        </w:rPr>
        <w:t xml:space="preserve">2017 </w:t>
      </w:r>
      <w:r>
        <w:rPr>
          <w:rFonts w:ascii="宋体" w:hAnsi="宋体" w:eastAsia="宋体" w:cs="宋体"/>
          <w:spacing w:val="-1"/>
          <w:sz w:val="24"/>
          <w:szCs w:val="24"/>
        </w:rPr>
        <w:t>年修订）》、</w:t>
      </w:r>
    </w:p>
    <w:p>
      <w:pPr>
        <w:spacing w:before="1" w:line="218" w:lineRule="auto"/>
        <w:ind w:left="123"/>
        <w:rPr>
          <w:rFonts w:ascii="宋体" w:hAnsi="宋体" w:eastAsia="宋体" w:cs="宋体"/>
          <w:sz w:val="24"/>
          <w:szCs w:val="24"/>
        </w:rPr>
      </w:pPr>
      <w:r>
        <w:rPr>
          <w:rFonts w:ascii="宋体" w:hAnsi="宋体" w:eastAsia="宋体" w:cs="宋体"/>
          <w:spacing w:val="-1"/>
          <w:sz w:val="24"/>
          <w:szCs w:val="24"/>
        </w:rPr>
        <w:t>《温州市国民经济和社会发展第十四个五年规划和二〇三</w:t>
      </w:r>
      <w:r>
        <w:rPr>
          <w:rFonts w:ascii="宋体" w:hAnsi="宋体" w:eastAsia="宋体" w:cs="宋体"/>
          <w:spacing w:val="-2"/>
          <w:sz w:val="24"/>
          <w:szCs w:val="24"/>
        </w:rPr>
        <w:t>五年远景目标纲要》、</w:t>
      </w:r>
    </w:p>
    <w:p>
      <w:pPr>
        <w:spacing w:line="218" w:lineRule="auto"/>
        <w:rPr>
          <w:rFonts w:ascii="宋体" w:hAnsi="宋体" w:eastAsia="宋体" w:cs="宋体"/>
          <w:sz w:val="24"/>
          <w:szCs w:val="24"/>
        </w:rPr>
        <w:sectPr>
          <w:pgSz w:w="11907" w:h="16839"/>
          <w:pgMar w:top="1118" w:right="1685" w:bottom="1184" w:left="1687" w:header="879" w:footer="1024" w:gutter="0"/>
          <w:cols w:space="720" w:num="1"/>
        </w:sectPr>
      </w:pPr>
    </w:p>
    <w:p>
      <w:pPr>
        <w:pStyle w:val="2"/>
        <w:spacing w:line="278" w:lineRule="auto"/>
      </w:pPr>
    </w:p>
    <w:p>
      <w:pPr>
        <w:spacing w:before="78" w:line="359" w:lineRule="auto"/>
        <w:ind w:left="122" w:right="415"/>
        <w:jc w:val="both"/>
        <w:rPr>
          <w:rFonts w:ascii="宋体" w:hAnsi="宋体" w:eastAsia="宋体" w:cs="宋体"/>
          <w:sz w:val="24"/>
          <w:szCs w:val="24"/>
        </w:rPr>
      </w:pPr>
      <w:r>
        <w:rPr>
          <w:rFonts w:ascii="宋体" w:hAnsi="宋体" w:eastAsia="宋体" w:cs="宋体"/>
          <w:spacing w:val="-5"/>
          <w:sz w:val="24"/>
          <w:szCs w:val="24"/>
        </w:rPr>
        <w:t>《浙江省生态环境保护</w:t>
      </w:r>
      <w:r>
        <w:rPr>
          <w:rFonts w:ascii="Times New Roman" w:hAnsi="Times New Roman" w:eastAsia="Times New Roman" w:cs="Times New Roman"/>
          <w:spacing w:val="-5"/>
          <w:sz w:val="24"/>
          <w:szCs w:val="24"/>
        </w:rPr>
        <w:t>“</w:t>
      </w:r>
      <w:r>
        <w:rPr>
          <w:rFonts w:ascii="宋体" w:hAnsi="宋体" w:eastAsia="宋体" w:cs="宋体"/>
          <w:spacing w:val="-5"/>
          <w:sz w:val="24"/>
          <w:szCs w:val="24"/>
        </w:rPr>
        <w:t>十四五</w:t>
      </w:r>
      <w:r>
        <w:rPr>
          <w:rFonts w:ascii="Times New Roman" w:hAnsi="Times New Roman" w:eastAsia="Times New Roman" w:cs="Times New Roman"/>
          <w:spacing w:val="-5"/>
          <w:sz w:val="24"/>
          <w:szCs w:val="24"/>
        </w:rPr>
        <w:t>”</w:t>
      </w:r>
      <w:r>
        <w:rPr>
          <w:rFonts w:ascii="宋体" w:hAnsi="宋体" w:eastAsia="宋体" w:cs="宋体"/>
          <w:spacing w:val="-5"/>
          <w:sz w:val="24"/>
          <w:szCs w:val="24"/>
        </w:rPr>
        <w:t>规划》等基本协调，</w:t>
      </w:r>
      <w:r>
        <w:rPr>
          <w:rFonts w:ascii="宋体" w:hAnsi="宋体" w:eastAsia="宋体" w:cs="宋体"/>
          <w:spacing w:val="-6"/>
          <w:sz w:val="24"/>
          <w:szCs w:val="24"/>
        </w:rPr>
        <w:t xml:space="preserve"> 区域资源和环境承载力可以</w:t>
      </w:r>
      <w:r>
        <w:rPr>
          <w:rFonts w:ascii="宋体" w:hAnsi="宋体" w:eastAsia="宋体" w:cs="宋体"/>
          <w:sz w:val="24"/>
          <w:szCs w:val="24"/>
        </w:rPr>
        <w:t xml:space="preserve"> </w:t>
      </w:r>
      <w:r>
        <w:rPr>
          <w:rFonts w:ascii="宋体" w:hAnsi="宋体" w:eastAsia="宋体" w:cs="宋体"/>
          <w:spacing w:val="-3"/>
          <w:sz w:val="24"/>
          <w:szCs w:val="24"/>
        </w:rPr>
        <w:t>支撑规划的实施。但本规划与部分环境敏感区（如乌岩岭自然保护区、珊溪赵山</w:t>
      </w:r>
      <w:r>
        <w:rPr>
          <w:rFonts w:ascii="宋体" w:hAnsi="宋体" w:eastAsia="宋体" w:cs="宋体"/>
          <w:spacing w:val="1"/>
          <w:sz w:val="24"/>
          <w:szCs w:val="24"/>
        </w:rPr>
        <w:t xml:space="preserve"> </w:t>
      </w:r>
      <w:r>
        <w:rPr>
          <w:rFonts w:ascii="宋体" w:hAnsi="宋体" w:eastAsia="宋体" w:cs="宋体"/>
          <w:spacing w:val="-8"/>
          <w:sz w:val="24"/>
          <w:szCs w:val="24"/>
        </w:rPr>
        <w:t>渡饮用水水源保护区等）存在一定冲突。在对规划方案进行进一步的优化与完善，</w:t>
      </w:r>
      <w:r>
        <w:rPr>
          <w:rFonts w:ascii="宋体" w:hAnsi="宋体" w:eastAsia="宋体" w:cs="宋体"/>
          <w:spacing w:val="10"/>
          <w:sz w:val="24"/>
          <w:szCs w:val="24"/>
        </w:rPr>
        <w:t xml:space="preserve"> </w:t>
      </w:r>
      <w:r>
        <w:rPr>
          <w:rFonts w:ascii="宋体" w:hAnsi="宋体" w:eastAsia="宋体" w:cs="宋体"/>
          <w:spacing w:val="-2"/>
          <w:sz w:val="24"/>
          <w:szCs w:val="24"/>
        </w:rPr>
        <w:t>严格落实有关生态、环境保护和风险防范措施的基础上，从环境保护角度分析，</w:t>
      </w:r>
    </w:p>
    <w:p>
      <w:pPr>
        <w:spacing w:before="1" w:line="218" w:lineRule="auto"/>
        <w:ind w:left="125"/>
        <w:rPr>
          <w:rFonts w:ascii="宋体" w:hAnsi="宋体" w:eastAsia="宋体" w:cs="宋体"/>
          <w:sz w:val="24"/>
          <w:szCs w:val="24"/>
        </w:rPr>
      </w:pPr>
      <w:r>
        <w:rPr>
          <w:rFonts w:ascii="宋体" w:hAnsi="宋体" w:eastAsia="宋体" w:cs="宋体"/>
          <w:spacing w:val="-5"/>
          <w:sz w:val="24"/>
          <w:szCs w:val="24"/>
        </w:rPr>
        <w:t>该规划是基本可行的。</w:t>
      </w:r>
    </w:p>
    <w:p>
      <w:pPr>
        <w:spacing w:before="182" w:line="220" w:lineRule="auto"/>
        <w:ind w:left="60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）符合性分析</w:t>
      </w:r>
    </w:p>
    <w:p>
      <w:pPr>
        <w:spacing w:before="181" w:line="359" w:lineRule="auto"/>
        <w:ind w:left="121" w:right="422" w:firstLine="480"/>
        <w:jc w:val="both"/>
        <w:rPr>
          <w:rFonts w:ascii="宋体" w:hAnsi="宋体" w:eastAsia="宋体" w:cs="宋体"/>
          <w:sz w:val="24"/>
          <w:szCs w:val="24"/>
        </w:rPr>
      </w:pPr>
      <w:r>
        <w:rPr>
          <w:rFonts w:ascii="宋体" w:hAnsi="宋体" w:eastAsia="宋体" w:cs="宋体"/>
          <w:spacing w:val="-7"/>
          <w:sz w:val="24"/>
          <w:szCs w:val="24"/>
        </w:rPr>
        <w:t>根据规划环评， 本项目为景文高速公路的连接线建设项目。本项目与规划环</w:t>
      </w:r>
      <w:r>
        <w:rPr>
          <w:rFonts w:ascii="宋体" w:hAnsi="宋体" w:eastAsia="宋体" w:cs="宋体"/>
          <w:spacing w:val="12"/>
          <w:sz w:val="24"/>
          <w:szCs w:val="24"/>
        </w:rPr>
        <w:t xml:space="preserve"> </w:t>
      </w:r>
      <w:r>
        <w:rPr>
          <w:rFonts w:ascii="宋体" w:hAnsi="宋体" w:eastAsia="宋体" w:cs="宋体"/>
          <w:spacing w:val="-2"/>
          <w:sz w:val="24"/>
          <w:szCs w:val="24"/>
        </w:rPr>
        <w:t>评环保意见的符合性见表</w:t>
      </w:r>
      <w:r>
        <w:rPr>
          <w:rFonts w:ascii="宋体" w:hAnsi="宋体" w:eastAsia="宋体" w:cs="宋体"/>
          <w:spacing w:val="-43"/>
          <w:sz w:val="24"/>
          <w:szCs w:val="24"/>
        </w:rPr>
        <w:t xml:space="preserve"> </w:t>
      </w:r>
      <w:r>
        <w:fldChar w:fldCharType="begin"/>
      </w:r>
      <w:r>
        <w:instrText xml:space="preserve"> HYPERLINK "2.4.1.2" </w:instrText>
      </w:r>
      <w:r>
        <w:fldChar w:fldCharType="separate"/>
      </w:r>
      <w:r>
        <w:rPr>
          <w:rFonts w:ascii="Times New Roman" w:hAnsi="Times New Roman" w:eastAsia="Times New Roman" w:cs="Times New Roman"/>
          <w:spacing w:val="-2"/>
          <w:sz w:val="24"/>
          <w:szCs w:val="24"/>
        </w:rPr>
        <w:t>2.4.1.2</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。根据《温州市综合交通运输发展</w:t>
      </w:r>
      <w:r>
        <w:rPr>
          <w:rFonts w:ascii="Times New Roman" w:hAnsi="Times New Roman" w:eastAsia="Times New Roman" w:cs="Times New Roman"/>
          <w:spacing w:val="-2"/>
          <w:sz w:val="24"/>
          <w:szCs w:val="24"/>
        </w:rPr>
        <w:t>“</w:t>
      </w:r>
      <w:r>
        <w:rPr>
          <w:rFonts w:ascii="宋体" w:hAnsi="宋体" w:eastAsia="宋体" w:cs="宋体"/>
          <w:spacing w:val="-2"/>
          <w:sz w:val="24"/>
          <w:szCs w:val="24"/>
        </w:rPr>
        <w:t>十四五</w:t>
      </w:r>
      <w:r>
        <w:rPr>
          <w:rFonts w:ascii="Times New Roman" w:hAnsi="Times New Roman" w:eastAsia="Times New Roman" w:cs="Times New Roman"/>
          <w:spacing w:val="-2"/>
          <w:sz w:val="24"/>
          <w:szCs w:val="24"/>
        </w:rPr>
        <w:t>”</w:t>
      </w:r>
      <w:r>
        <w:rPr>
          <w:rFonts w:ascii="宋体" w:hAnsi="宋体" w:eastAsia="宋体" w:cs="宋体"/>
          <w:spacing w:val="-2"/>
          <w:sz w:val="24"/>
          <w:szCs w:val="24"/>
        </w:rPr>
        <w:t>规</w:t>
      </w:r>
      <w:r>
        <w:rPr>
          <w:rFonts w:ascii="宋体" w:hAnsi="宋体" w:eastAsia="宋体" w:cs="宋体"/>
          <w:sz w:val="24"/>
          <w:szCs w:val="24"/>
        </w:rPr>
        <w:t xml:space="preserve"> </w:t>
      </w:r>
      <w:r>
        <w:rPr>
          <w:rFonts w:ascii="宋体" w:hAnsi="宋体" w:eastAsia="宋体" w:cs="宋体"/>
          <w:spacing w:val="2"/>
          <w:sz w:val="24"/>
          <w:szCs w:val="24"/>
        </w:rPr>
        <w:t>划环境影响报告书》优化调整建议，本项目不在最新</w:t>
      </w:r>
      <w:r>
        <w:rPr>
          <w:rFonts w:ascii="宋体" w:hAnsi="宋体" w:eastAsia="宋体" w:cs="宋体"/>
          <w:spacing w:val="1"/>
          <w:sz w:val="24"/>
          <w:szCs w:val="24"/>
        </w:rPr>
        <w:t>划定的百丈漈</w:t>
      </w:r>
      <w:r>
        <w:rPr>
          <w:rFonts w:ascii="Times New Roman" w:hAnsi="Times New Roman" w:eastAsia="Times New Roman" w:cs="Times New Roman"/>
          <w:spacing w:val="1"/>
          <w:sz w:val="24"/>
          <w:szCs w:val="24"/>
        </w:rPr>
        <w:t>-</w:t>
      </w:r>
      <w:r>
        <w:rPr>
          <w:rFonts w:ascii="宋体" w:hAnsi="宋体" w:eastAsia="宋体" w:cs="宋体"/>
          <w:spacing w:val="1"/>
          <w:sz w:val="24"/>
          <w:szCs w:val="24"/>
        </w:rPr>
        <w:t>飞云湖风景</w:t>
      </w:r>
      <w:r>
        <w:rPr>
          <w:rFonts w:ascii="宋体" w:hAnsi="宋体" w:eastAsia="宋体" w:cs="宋体"/>
          <w:sz w:val="24"/>
          <w:szCs w:val="24"/>
        </w:rPr>
        <w:t xml:space="preserve"> </w:t>
      </w:r>
      <w:r>
        <w:rPr>
          <w:rFonts w:ascii="宋体" w:hAnsi="宋体" w:eastAsia="宋体" w:cs="宋体"/>
          <w:spacing w:val="-6"/>
          <w:sz w:val="24"/>
          <w:szCs w:val="24"/>
        </w:rPr>
        <w:t>名胜区范围内， 不涉及其他森林公园、自然保护区等敏感区；本</w:t>
      </w:r>
      <w:r>
        <w:rPr>
          <w:rFonts w:ascii="宋体" w:hAnsi="宋体" w:eastAsia="宋体" w:cs="宋体"/>
          <w:spacing w:val="-7"/>
          <w:sz w:val="24"/>
          <w:szCs w:val="24"/>
        </w:rPr>
        <w:t>项目位于珊溪水</w:t>
      </w:r>
      <w:r>
        <w:rPr>
          <w:rFonts w:ascii="宋体" w:hAnsi="宋体" w:eastAsia="宋体" w:cs="宋体"/>
          <w:sz w:val="24"/>
          <w:szCs w:val="24"/>
        </w:rPr>
        <w:t xml:space="preserve"> </w:t>
      </w:r>
      <w:r>
        <w:rPr>
          <w:rFonts w:ascii="宋体" w:hAnsi="宋体" w:eastAsia="宋体" w:cs="宋体"/>
          <w:spacing w:val="-1"/>
          <w:sz w:val="24"/>
          <w:szCs w:val="24"/>
        </w:rPr>
        <w:t>库饮用水水源保护区准保护区范围内，采取措施后，对水</w:t>
      </w:r>
      <w:r>
        <w:rPr>
          <w:rFonts w:ascii="宋体" w:hAnsi="宋体" w:eastAsia="宋体" w:cs="宋体"/>
          <w:spacing w:val="-2"/>
          <w:sz w:val="24"/>
          <w:szCs w:val="24"/>
        </w:rPr>
        <w:t>源保护区的影响较小。</w:t>
      </w:r>
      <w:r>
        <w:rPr>
          <w:rFonts w:ascii="宋体" w:hAnsi="宋体" w:eastAsia="宋体" w:cs="宋体"/>
          <w:sz w:val="24"/>
          <w:szCs w:val="24"/>
        </w:rPr>
        <w:t xml:space="preserve"> </w:t>
      </w:r>
      <w:r>
        <w:rPr>
          <w:rFonts w:ascii="宋体" w:hAnsi="宋体" w:eastAsia="宋体" w:cs="宋体"/>
          <w:spacing w:val="-9"/>
          <w:sz w:val="24"/>
          <w:szCs w:val="24"/>
        </w:rPr>
        <w:t>项目沿线占用生态公益林， 按要求办理林地占用手续，</w:t>
      </w:r>
      <w:r>
        <w:rPr>
          <w:rFonts w:ascii="宋体" w:hAnsi="宋体" w:eastAsia="宋体" w:cs="宋体"/>
          <w:spacing w:val="-10"/>
          <w:sz w:val="24"/>
          <w:szCs w:val="24"/>
        </w:rPr>
        <w:t xml:space="preserve"> 并协调工程建设与生态工</w:t>
      </w:r>
    </w:p>
    <w:p>
      <w:pPr>
        <w:spacing w:before="1" w:line="219" w:lineRule="auto"/>
        <w:ind w:left="127"/>
        <w:rPr>
          <w:rFonts w:ascii="宋体" w:hAnsi="宋体" w:eastAsia="宋体" w:cs="宋体"/>
          <w:sz w:val="24"/>
          <w:szCs w:val="24"/>
        </w:rPr>
      </w:pPr>
      <w:r>
        <w:rPr>
          <w:rFonts w:ascii="宋体" w:hAnsi="宋体" w:eastAsia="宋体" w:cs="宋体"/>
          <w:spacing w:val="-5"/>
          <w:sz w:val="24"/>
          <w:szCs w:val="24"/>
        </w:rPr>
        <w:t>艺林保护与补偿的关系。</w:t>
      </w:r>
    </w:p>
    <w:p>
      <w:pPr>
        <w:spacing w:before="182" w:line="466" w:lineRule="exact"/>
        <w:ind w:left="603"/>
        <w:rPr>
          <w:rFonts w:ascii="宋体" w:hAnsi="宋体" w:eastAsia="宋体" w:cs="宋体"/>
          <w:sz w:val="24"/>
          <w:szCs w:val="24"/>
        </w:rPr>
      </w:pPr>
      <w:r>
        <w:rPr>
          <w:rFonts w:ascii="宋体" w:hAnsi="宋体" w:eastAsia="宋体" w:cs="宋体"/>
          <w:spacing w:val="5"/>
          <w:position w:val="17"/>
          <w:sz w:val="24"/>
          <w:szCs w:val="24"/>
        </w:rPr>
        <w:t>本项目的建设符合《温州市综合交通运输发展</w:t>
      </w:r>
      <w:r>
        <w:rPr>
          <w:rFonts w:ascii="Times New Roman" w:hAnsi="Times New Roman" w:eastAsia="Times New Roman" w:cs="Times New Roman"/>
          <w:spacing w:val="5"/>
          <w:position w:val="17"/>
          <w:sz w:val="24"/>
          <w:szCs w:val="24"/>
        </w:rPr>
        <w:t>“</w:t>
      </w:r>
      <w:r>
        <w:rPr>
          <w:rFonts w:ascii="宋体" w:hAnsi="宋体" w:eastAsia="宋体" w:cs="宋体"/>
          <w:spacing w:val="5"/>
          <w:position w:val="17"/>
          <w:sz w:val="24"/>
          <w:szCs w:val="24"/>
        </w:rPr>
        <w:t>十四五</w:t>
      </w:r>
      <w:r>
        <w:rPr>
          <w:rFonts w:ascii="Times New Roman" w:hAnsi="Times New Roman" w:eastAsia="Times New Roman" w:cs="Times New Roman"/>
          <w:spacing w:val="5"/>
          <w:position w:val="17"/>
          <w:sz w:val="24"/>
          <w:szCs w:val="24"/>
        </w:rPr>
        <w:t>”</w:t>
      </w:r>
      <w:r>
        <w:rPr>
          <w:rFonts w:ascii="宋体" w:hAnsi="宋体" w:eastAsia="宋体" w:cs="宋体"/>
          <w:spacing w:val="5"/>
          <w:position w:val="17"/>
          <w:sz w:val="24"/>
          <w:szCs w:val="24"/>
        </w:rPr>
        <w:t>规划环境影响</w:t>
      </w:r>
      <w:r>
        <w:rPr>
          <w:rFonts w:ascii="宋体" w:hAnsi="宋体" w:eastAsia="宋体" w:cs="宋体"/>
          <w:spacing w:val="4"/>
          <w:position w:val="17"/>
          <w:sz w:val="24"/>
          <w:szCs w:val="24"/>
        </w:rPr>
        <w:t>报告</w:t>
      </w:r>
    </w:p>
    <w:p>
      <w:pPr>
        <w:spacing w:before="1" w:line="218" w:lineRule="auto"/>
        <w:ind w:left="126"/>
        <w:rPr>
          <w:rFonts w:ascii="宋体" w:hAnsi="宋体" w:eastAsia="宋体" w:cs="宋体"/>
          <w:sz w:val="24"/>
          <w:szCs w:val="24"/>
        </w:rPr>
      </w:pPr>
      <w:r>
        <w:rPr>
          <w:rFonts w:ascii="宋体" w:hAnsi="宋体" w:eastAsia="宋体" w:cs="宋体"/>
          <w:spacing w:val="-7"/>
          <w:sz w:val="24"/>
          <w:szCs w:val="24"/>
        </w:rPr>
        <w:t>书》的要求。</w:t>
      </w:r>
    </w:p>
    <w:p>
      <w:pPr>
        <w:spacing w:before="183" w:line="220" w:lineRule="auto"/>
        <w:ind w:left="2495"/>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7"/>
          <w:sz w:val="24"/>
          <w:szCs w:val="24"/>
        </w:rPr>
        <w:t xml:space="preserve"> </w:t>
      </w:r>
      <w:r>
        <w:fldChar w:fldCharType="begin"/>
      </w:r>
      <w:r>
        <w:instrText xml:space="preserve"> HYPERLINK "2.4.1.2" </w:instrText>
      </w:r>
      <w:r>
        <w:fldChar w:fldCharType="separate"/>
      </w:r>
      <w:r>
        <w:rPr>
          <w:rFonts w:ascii="Times New Roman" w:hAnsi="Times New Roman" w:eastAsia="Times New Roman" w:cs="Times New Roman"/>
          <w:spacing w:val="-2"/>
          <w:sz w:val="24"/>
          <w:szCs w:val="24"/>
        </w:rPr>
        <w:t>2.4.1.2</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与规划环评的符合性分析</w:t>
      </w:r>
    </w:p>
    <w:p>
      <w:pPr>
        <w:spacing w:line="146" w:lineRule="exact"/>
      </w:pPr>
    </w:p>
    <w:tbl>
      <w:tblPr>
        <w:tblStyle w:val="5"/>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2"/>
        <w:gridCol w:w="4400"/>
        <w:gridCol w:w="34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072" w:type="dxa"/>
            <w:vAlign w:val="top"/>
          </w:tcPr>
          <w:p>
            <w:pPr>
              <w:pStyle w:val="6"/>
              <w:spacing w:before="34" w:line="207" w:lineRule="auto"/>
              <w:ind w:left="357"/>
            </w:pPr>
            <w:r>
              <w:rPr>
                <w:spacing w:val="-8"/>
              </w:rPr>
              <w:t>内容</w:t>
            </w:r>
          </w:p>
        </w:tc>
        <w:tc>
          <w:tcPr>
            <w:tcW w:w="4400" w:type="dxa"/>
            <w:vAlign w:val="top"/>
          </w:tcPr>
          <w:p>
            <w:pPr>
              <w:pStyle w:val="6"/>
              <w:spacing w:before="34" w:line="207" w:lineRule="auto"/>
              <w:ind w:left="1995"/>
            </w:pPr>
            <w:r>
              <w:rPr>
                <w:spacing w:val="-2"/>
              </w:rPr>
              <w:t>要求</w:t>
            </w:r>
          </w:p>
        </w:tc>
        <w:tc>
          <w:tcPr>
            <w:tcW w:w="3423" w:type="dxa"/>
            <w:vAlign w:val="top"/>
          </w:tcPr>
          <w:p>
            <w:pPr>
              <w:pStyle w:val="6"/>
              <w:spacing w:before="34" w:line="207" w:lineRule="auto"/>
              <w:ind w:left="1403"/>
            </w:pPr>
            <w:r>
              <w:rPr>
                <w:spacing w:val="-2"/>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4" w:hRule="atLeast"/>
        </w:trPr>
        <w:tc>
          <w:tcPr>
            <w:tcW w:w="1072"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8" w:line="236" w:lineRule="auto"/>
              <w:ind w:left="116" w:right="104"/>
              <w:jc w:val="both"/>
            </w:pPr>
            <w:r>
              <w:rPr>
                <w:spacing w:val="1"/>
              </w:rPr>
              <w:t>加强生态</w:t>
            </w:r>
            <w:r>
              <w:t xml:space="preserve"> </w:t>
            </w:r>
            <w:r>
              <w:rPr>
                <w:spacing w:val="-8"/>
              </w:rPr>
              <w:t>环</w:t>
            </w:r>
            <w:r>
              <w:rPr>
                <w:spacing w:val="14"/>
              </w:rPr>
              <w:t xml:space="preserve"> </w:t>
            </w:r>
            <w:r>
              <w:rPr>
                <w:spacing w:val="-8"/>
              </w:rPr>
              <w:t>境</w:t>
            </w:r>
            <w:r>
              <w:rPr>
                <w:spacing w:val="15"/>
              </w:rPr>
              <w:t xml:space="preserve"> </w:t>
            </w:r>
            <w:r>
              <w:rPr>
                <w:spacing w:val="-8"/>
              </w:rPr>
              <w:t>保</w:t>
            </w:r>
            <w:r>
              <w:t xml:space="preserve"> </w:t>
            </w:r>
            <w:r>
              <w:rPr>
                <w:spacing w:val="1"/>
              </w:rPr>
              <w:t>护、落实</w:t>
            </w:r>
            <w:r>
              <w:t xml:space="preserve"> </w:t>
            </w:r>
            <w:r>
              <w:rPr>
                <w:spacing w:val="1"/>
              </w:rPr>
              <w:t>环境减缓</w:t>
            </w:r>
            <w:r>
              <w:t xml:space="preserve"> </w:t>
            </w:r>
            <w:r>
              <w:rPr>
                <w:spacing w:val="-2"/>
              </w:rPr>
              <w:t>措施</w:t>
            </w:r>
          </w:p>
        </w:tc>
        <w:tc>
          <w:tcPr>
            <w:tcW w:w="4400"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8" w:line="233" w:lineRule="auto"/>
              <w:ind w:left="111" w:right="44" w:firstLine="480"/>
            </w:pPr>
            <w:r>
              <w:rPr>
                <w:rFonts w:ascii="Times New Roman" w:hAnsi="Times New Roman" w:eastAsia="Times New Roman" w:cs="Times New Roman"/>
                <w:spacing w:val="-3"/>
              </w:rPr>
              <w:t>1</w:t>
            </w:r>
            <w:r>
              <w:rPr>
                <w:rFonts w:ascii="Times New Roman" w:hAnsi="Times New Roman" w:eastAsia="Times New Roman" w:cs="Times New Roman"/>
                <w:spacing w:val="-21"/>
              </w:rPr>
              <w:t xml:space="preserve"> </w:t>
            </w:r>
            <w:r>
              <w:rPr>
                <w:spacing w:val="-3"/>
              </w:rPr>
              <w:t>、规划项目施工期重点落实施工噪声、</w:t>
            </w:r>
            <w:r>
              <w:t xml:space="preserve">  </w:t>
            </w:r>
            <w:r>
              <w:rPr>
                <w:spacing w:val="-9"/>
              </w:rPr>
              <w:t>扬尘、沥青烟气、泥浆、弃渣等污染防治措施，</w:t>
            </w:r>
            <w:r>
              <w:rPr>
                <w:spacing w:val="17"/>
              </w:rPr>
              <w:t xml:space="preserve"> </w:t>
            </w:r>
            <w:r>
              <w:rPr>
                <w:spacing w:val="-1"/>
              </w:rPr>
              <w:t>加强学校、医院和居民区等敏感点附近的施工</w:t>
            </w:r>
          </w:p>
          <w:p>
            <w:pPr>
              <w:pStyle w:val="6"/>
              <w:spacing w:before="23" w:line="221" w:lineRule="auto"/>
              <w:ind w:left="948"/>
            </w:pPr>
            <w:r>
              <w:rPr>
                <w:spacing w:val="-9"/>
              </w:rPr>
              <w:t>管理， 合理制定施工计划。</w:t>
            </w:r>
          </w:p>
        </w:tc>
        <w:tc>
          <w:tcPr>
            <w:tcW w:w="3423" w:type="dxa"/>
            <w:vAlign w:val="top"/>
          </w:tcPr>
          <w:p>
            <w:pPr>
              <w:pStyle w:val="6"/>
              <w:spacing w:before="37" w:line="238" w:lineRule="auto"/>
              <w:ind w:left="124" w:right="27" w:firstLine="437"/>
            </w:pPr>
            <w:r>
              <w:rPr>
                <w:spacing w:val="-1"/>
              </w:rPr>
              <w:t>本项目不设沥青搅拌站。对施</w:t>
            </w:r>
            <w:r>
              <w:rPr>
                <w:spacing w:val="3"/>
              </w:rPr>
              <w:t xml:space="preserve">  </w:t>
            </w:r>
            <w:r>
              <w:t>工期道路扬尘、堆场扬尘采取洒水</w:t>
            </w:r>
            <w:r>
              <w:rPr>
                <w:spacing w:val="5"/>
              </w:rPr>
              <w:t xml:space="preserve">  </w:t>
            </w:r>
            <w:r>
              <w:t>降尘等防治措施；拌和站配备降尘</w:t>
            </w:r>
            <w:r>
              <w:rPr>
                <w:spacing w:val="5"/>
              </w:rPr>
              <w:t xml:space="preserve">  </w:t>
            </w:r>
            <w:r>
              <w:rPr>
                <w:spacing w:val="-6"/>
              </w:rPr>
              <w:t>防尘装备，场地内清扫和洒水降尘。</w:t>
            </w:r>
            <w:r>
              <w:t xml:space="preserve"> </w:t>
            </w:r>
            <w:r>
              <w:rPr>
                <w:spacing w:val="-5"/>
              </w:rPr>
              <w:t>其他易产生扬尘的作业，</w:t>
            </w:r>
            <w:r>
              <w:rPr>
                <w:spacing w:val="-19"/>
              </w:rPr>
              <w:t xml:space="preserve"> </w:t>
            </w:r>
            <w:r>
              <w:rPr>
                <w:spacing w:val="-5"/>
              </w:rPr>
              <w:t>采取喷雾</w:t>
            </w:r>
            <w:r>
              <w:t xml:space="preserve">  </w:t>
            </w:r>
            <w:r>
              <w:rPr>
                <w:spacing w:val="-2"/>
              </w:rPr>
              <w:t>洒水降尘；水泥、粉煤灰、石灰、</w:t>
            </w:r>
            <w:r>
              <w:rPr>
                <w:spacing w:val="5"/>
              </w:rPr>
              <w:t xml:space="preserve">  </w:t>
            </w:r>
            <w:r>
              <w:rPr>
                <w:spacing w:val="8"/>
              </w:rPr>
              <w:t>矿粉等细颗粒散体材料存放在罐</w:t>
            </w:r>
            <w:r>
              <w:rPr>
                <w:spacing w:val="1"/>
              </w:rPr>
              <w:t xml:space="preserve">   </w:t>
            </w:r>
            <w:r>
              <w:t>内；路面沥青摊铺时，尽量选择扩</w:t>
            </w:r>
            <w:r>
              <w:rPr>
                <w:spacing w:val="5"/>
              </w:rPr>
              <w:t xml:space="preserve">  </w:t>
            </w:r>
            <w:r>
              <w:t>散条件好的天气，尽量降低对周边</w:t>
            </w:r>
            <w:r>
              <w:rPr>
                <w:spacing w:val="5"/>
              </w:rPr>
              <w:t xml:space="preserve">  </w:t>
            </w:r>
            <w:r>
              <w:t>环境保护目标的影响。施工废水经</w:t>
            </w:r>
            <w:r>
              <w:rPr>
                <w:spacing w:val="5"/>
              </w:rPr>
              <w:t xml:space="preserve">  </w:t>
            </w:r>
            <w:r>
              <w:t>沉淀后回用，泥浆水经沉淀后上清</w:t>
            </w:r>
            <w:r>
              <w:rPr>
                <w:spacing w:val="5"/>
              </w:rPr>
              <w:t xml:space="preserve">  </w:t>
            </w:r>
            <w:r>
              <w:t>液回用于绿化或路面洒水，沉渣干</w:t>
            </w:r>
            <w:r>
              <w:rPr>
                <w:spacing w:val="5"/>
              </w:rPr>
              <w:t xml:space="preserve">  </w:t>
            </w:r>
            <w:r>
              <w:rPr>
                <w:spacing w:val="-5"/>
              </w:rPr>
              <w:t>化后用于路基回填；</w:t>
            </w:r>
            <w:r>
              <w:rPr>
                <w:spacing w:val="-19"/>
              </w:rPr>
              <w:t xml:space="preserve"> </w:t>
            </w:r>
            <w:r>
              <w:rPr>
                <w:spacing w:val="-5"/>
              </w:rPr>
              <w:t>施工单位合理</w:t>
            </w:r>
            <w:r>
              <w:t xml:space="preserve">  </w:t>
            </w:r>
            <w:r>
              <w:rPr>
                <w:spacing w:val="-5"/>
              </w:rPr>
              <w:t>组织施工作业流程，</w:t>
            </w:r>
            <w:r>
              <w:rPr>
                <w:spacing w:val="-18"/>
              </w:rPr>
              <w:t xml:space="preserve"> </w:t>
            </w:r>
            <w:r>
              <w:rPr>
                <w:spacing w:val="-5"/>
              </w:rPr>
              <w:t>选用效率高、</w:t>
            </w:r>
            <w:r>
              <w:t xml:space="preserve">  </w:t>
            </w:r>
            <w:r>
              <w:rPr>
                <w:spacing w:val="-6"/>
              </w:rPr>
              <w:t>噪声低的机械，施工场地设置围挡。</w:t>
            </w:r>
            <w:r>
              <w:t xml:space="preserve"> 本项目利用景文高速公路弃渣场，</w:t>
            </w:r>
            <w:r>
              <w:rPr>
                <w:spacing w:val="6"/>
              </w:rPr>
              <w:t xml:space="preserve">  </w:t>
            </w:r>
            <w:r>
              <w:rPr>
                <w:spacing w:val="-6"/>
              </w:rPr>
              <w:t>废弃的土石方等运送至弃渣场， 不</w:t>
            </w:r>
          </w:p>
          <w:p>
            <w:pPr>
              <w:pStyle w:val="6"/>
              <w:spacing w:before="20" w:line="205" w:lineRule="auto"/>
              <w:ind w:left="1201"/>
            </w:pPr>
            <w:r>
              <w:rPr>
                <w:spacing w:val="-7"/>
              </w:rPr>
              <w:t>随意丢弃。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2" w:type="dxa"/>
            <w:vMerge w:val="continue"/>
            <w:tcBorders>
              <w:top w:val="nil"/>
            </w:tcBorders>
            <w:vAlign w:val="top"/>
          </w:tcPr>
          <w:p>
            <w:pPr>
              <w:rPr>
                <w:rFonts w:ascii="Arial"/>
                <w:sz w:val="21"/>
              </w:rPr>
            </w:pPr>
          </w:p>
        </w:tc>
        <w:tc>
          <w:tcPr>
            <w:tcW w:w="4400" w:type="dxa"/>
            <w:vAlign w:val="top"/>
          </w:tcPr>
          <w:p>
            <w:pPr>
              <w:pStyle w:val="6"/>
              <w:spacing w:before="33" w:line="232" w:lineRule="auto"/>
              <w:ind w:left="112" w:right="102" w:firstLine="38"/>
              <w:jc w:val="both"/>
            </w:pPr>
            <w:r>
              <w:rPr>
                <w:rFonts w:ascii="Times New Roman" w:hAnsi="Times New Roman" w:eastAsia="Times New Roman" w:cs="Times New Roman"/>
                <w:spacing w:val="-1"/>
              </w:rPr>
              <w:t>2</w:t>
            </w:r>
            <w:r>
              <w:rPr>
                <w:spacing w:val="-1"/>
              </w:rPr>
              <w:t>、公路、铁路项目线路尽量远离居民区、学</w:t>
            </w:r>
            <w:r>
              <w:rPr>
                <w:spacing w:val="17"/>
              </w:rPr>
              <w:t xml:space="preserve"> </w:t>
            </w:r>
            <w:r>
              <w:rPr>
                <w:spacing w:val="-2"/>
              </w:rPr>
              <w:t>校、医院等声敏感建筑，难以避让的应对各敏</w:t>
            </w:r>
            <w:r>
              <w:rPr>
                <w:spacing w:val="18"/>
              </w:rPr>
              <w:t xml:space="preserve"> </w:t>
            </w:r>
            <w:r>
              <w:rPr>
                <w:spacing w:val="-2"/>
              </w:rPr>
              <w:t>感点采取声屏障、隔声窗、低噪路面等噪声防</w:t>
            </w:r>
            <w:r>
              <w:rPr>
                <w:spacing w:val="16"/>
              </w:rPr>
              <w:t xml:space="preserve"> </w:t>
            </w:r>
            <w:r>
              <w:rPr>
                <w:spacing w:val="-2"/>
              </w:rPr>
              <w:t>治措施，辅以局部少量拆迁达到声环境保护的</w:t>
            </w:r>
          </w:p>
        </w:tc>
        <w:tc>
          <w:tcPr>
            <w:tcW w:w="3423" w:type="dxa"/>
            <w:vAlign w:val="top"/>
          </w:tcPr>
          <w:p>
            <w:pPr>
              <w:pStyle w:val="6"/>
              <w:spacing w:before="33" w:line="232" w:lineRule="auto"/>
              <w:ind w:left="141" w:right="131"/>
              <w:jc w:val="both"/>
            </w:pPr>
            <w:r>
              <w:rPr>
                <w:spacing w:val="-1"/>
              </w:rPr>
              <w:t>本项目对居民等敏感点采取隔声屏</w:t>
            </w:r>
            <w:r>
              <w:rPr>
                <w:spacing w:val="8"/>
              </w:rPr>
              <w:t xml:space="preserve"> </w:t>
            </w:r>
            <w:r>
              <w:rPr>
                <w:spacing w:val="-1"/>
              </w:rPr>
              <w:t>障、隔声窗及加强绿化等措施。公</w:t>
            </w:r>
            <w:r>
              <w:rPr>
                <w:spacing w:val="8"/>
              </w:rPr>
              <w:t xml:space="preserve"> </w:t>
            </w:r>
            <w:r>
              <w:rPr>
                <w:spacing w:val="-1"/>
              </w:rPr>
              <w:t>路采用排水边沟进行路面桥面径流</w:t>
            </w:r>
            <w:r>
              <w:rPr>
                <w:spacing w:val="8"/>
              </w:rPr>
              <w:t xml:space="preserve"> </w:t>
            </w:r>
            <w:r>
              <w:rPr>
                <w:spacing w:val="-1"/>
              </w:rPr>
              <w:t>的收集，加强排水。隧道采用机械</w:t>
            </w:r>
          </w:p>
        </w:tc>
      </w:tr>
    </w:tbl>
    <w:p>
      <w:pPr>
        <w:pStyle w:val="2"/>
      </w:pPr>
    </w:p>
    <w:p>
      <w:pPr>
        <w:sectPr>
          <w:headerReference r:id="rId47" w:type="default"/>
          <w:footerReference r:id="rId48" w:type="default"/>
          <w:pgSz w:w="11907" w:h="16839"/>
          <w:pgMar w:top="1118" w:right="1317" w:bottom="1184" w:left="1687" w:header="879" w:footer="1024" w:gutter="0"/>
          <w:cols w:space="720" w:num="1"/>
        </w:sectPr>
      </w:pPr>
    </w:p>
    <w:p>
      <w:pPr>
        <w:spacing w:before="80"/>
      </w:pPr>
    </w:p>
    <w:tbl>
      <w:tblPr>
        <w:tblStyle w:val="5"/>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2"/>
        <w:gridCol w:w="4400"/>
        <w:gridCol w:w="34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1072" w:type="dxa"/>
            <w:vMerge w:val="restart"/>
            <w:tcBorders>
              <w:bottom w:val="nil"/>
            </w:tcBorders>
            <w:vAlign w:val="top"/>
          </w:tcPr>
          <w:p>
            <w:pPr>
              <w:rPr>
                <w:rFonts w:ascii="Arial"/>
                <w:sz w:val="21"/>
              </w:rPr>
            </w:pPr>
          </w:p>
        </w:tc>
        <w:tc>
          <w:tcPr>
            <w:tcW w:w="4400" w:type="dxa"/>
            <w:vAlign w:val="top"/>
          </w:tcPr>
          <w:p>
            <w:pPr>
              <w:pStyle w:val="6"/>
              <w:spacing w:before="34" w:line="221" w:lineRule="auto"/>
              <w:ind w:left="152"/>
            </w:pPr>
            <w:r>
              <w:rPr>
                <w:spacing w:val="-4"/>
              </w:rPr>
              <w:t>目的；公路项目还应完善路面径流、桥面径流</w:t>
            </w:r>
          </w:p>
          <w:p>
            <w:pPr>
              <w:pStyle w:val="6"/>
              <w:spacing w:before="22" w:line="224" w:lineRule="auto"/>
              <w:ind w:left="1780" w:right="104" w:hanging="1661"/>
            </w:pPr>
            <w:r>
              <w:rPr>
                <w:spacing w:val="-2"/>
              </w:rPr>
              <w:t>收集和排水系统，加强隧道通风设计，合理设</w:t>
            </w:r>
            <w:r>
              <w:rPr>
                <w:spacing w:val="9"/>
              </w:rPr>
              <w:t xml:space="preserve"> </w:t>
            </w:r>
            <w:r>
              <w:rPr>
                <w:spacing w:val="-1"/>
              </w:rPr>
              <w:t>置风亭。</w:t>
            </w:r>
          </w:p>
        </w:tc>
        <w:tc>
          <w:tcPr>
            <w:tcW w:w="3423" w:type="dxa"/>
            <w:vAlign w:val="top"/>
          </w:tcPr>
          <w:p>
            <w:pPr>
              <w:pStyle w:val="6"/>
              <w:spacing w:before="35" w:line="221" w:lineRule="auto"/>
              <w:ind w:left="1401"/>
            </w:pPr>
            <w:r>
              <w:rPr>
                <w:spacing w:val="-8"/>
              </w:rPr>
              <w:t>通风。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072" w:type="dxa"/>
            <w:vMerge w:val="continue"/>
            <w:tcBorders>
              <w:top w:val="nil"/>
              <w:bottom w:val="nil"/>
            </w:tcBorders>
            <w:vAlign w:val="top"/>
          </w:tcPr>
          <w:p>
            <w:pPr>
              <w:rPr>
                <w:rFonts w:ascii="Arial"/>
                <w:sz w:val="21"/>
              </w:rPr>
            </w:pPr>
          </w:p>
        </w:tc>
        <w:tc>
          <w:tcPr>
            <w:tcW w:w="4400" w:type="dxa"/>
            <w:vAlign w:val="top"/>
          </w:tcPr>
          <w:p>
            <w:pPr>
              <w:pStyle w:val="6"/>
              <w:spacing w:before="30" w:line="236" w:lineRule="auto"/>
              <w:ind w:left="113" w:right="102" w:firstLine="41"/>
              <w:jc w:val="both"/>
            </w:pPr>
            <w:r>
              <w:rPr>
                <w:rFonts w:ascii="Times New Roman" w:hAnsi="Times New Roman" w:eastAsia="Times New Roman" w:cs="Times New Roman"/>
                <w:spacing w:val="-1"/>
              </w:rPr>
              <w:t>3</w:t>
            </w:r>
            <w:r>
              <w:rPr>
                <w:spacing w:val="-1"/>
              </w:rPr>
              <w:t>、客货站场、高速公路服务区项目应完善雨</w:t>
            </w:r>
            <w:r>
              <w:rPr>
                <w:spacing w:val="12"/>
              </w:rPr>
              <w:t xml:space="preserve"> </w:t>
            </w:r>
            <w:r>
              <w:rPr>
                <w:spacing w:val="-2"/>
              </w:rPr>
              <w:t>污分流，维修冲洗废水、餐饮废水须分别经隔</w:t>
            </w:r>
            <w:r>
              <w:rPr>
                <w:spacing w:val="17"/>
              </w:rPr>
              <w:t xml:space="preserve"> </w:t>
            </w:r>
            <w:r>
              <w:rPr>
                <w:spacing w:val="-6"/>
              </w:rPr>
              <w:t>油处理后与生活污水一并处理， 排入市政</w:t>
            </w:r>
            <w:r>
              <w:rPr>
                <w:spacing w:val="-7"/>
              </w:rPr>
              <w:t>污水</w:t>
            </w:r>
            <w:r>
              <w:t xml:space="preserve"> </w:t>
            </w:r>
            <w:r>
              <w:rPr>
                <w:spacing w:val="-6"/>
              </w:rPr>
              <w:t>管网或自建生活污水处理设施； 强化餐饮</w:t>
            </w:r>
            <w:r>
              <w:rPr>
                <w:spacing w:val="-7"/>
              </w:rPr>
              <w:t>油烟</w:t>
            </w:r>
            <w:r>
              <w:t xml:space="preserve"> </w:t>
            </w:r>
            <w:r>
              <w:rPr>
                <w:spacing w:val="-2"/>
              </w:rPr>
              <w:t>的收集净化措施；优化项目布局，加强车辆管</w:t>
            </w:r>
            <w:r>
              <w:rPr>
                <w:spacing w:val="15"/>
              </w:rPr>
              <w:t xml:space="preserve"> </w:t>
            </w:r>
            <w:r>
              <w:rPr>
                <w:spacing w:val="-5"/>
              </w:rPr>
              <w:t>理，</w:t>
            </w:r>
            <w:r>
              <w:rPr>
                <w:spacing w:val="-29"/>
              </w:rPr>
              <w:t xml:space="preserve"> </w:t>
            </w:r>
            <w:r>
              <w:rPr>
                <w:spacing w:val="-5"/>
              </w:rPr>
              <w:t>加强道路硬化和绿化，降低噪声、汽车尾</w:t>
            </w:r>
          </w:p>
          <w:p>
            <w:pPr>
              <w:pStyle w:val="6"/>
              <w:spacing w:before="23" w:line="206" w:lineRule="auto"/>
              <w:ind w:left="1363"/>
            </w:pPr>
            <w:r>
              <w:rPr>
                <w:spacing w:val="-1"/>
              </w:rPr>
              <w:t>气和扬尘的影响。</w:t>
            </w:r>
          </w:p>
        </w:tc>
        <w:tc>
          <w:tcPr>
            <w:tcW w:w="3423" w:type="dxa"/>
            <w:vAlign w:val="top"/>
          </w:tcPr>
          <w:p>
            <w:pPr>
              <w:pStyle w:val="6"/>
              <w:spacing w:before="30" w:line="236" w:lineRule="auto"/>
              <w:ind w:left="140" w:right="131"/>
            </w:pPr>
            <w:r>
              <w:rPr>
                <w:spacing w:val="-1"/>
              </w:rPr>
              <w:t>本项目为景文高速公路配套连接线</w:t>
            </w:r>
            <w:r>
              <w:rPr>
                <w:spacing w:val="8"/>
              </w:rPr>
              <w:t xml:space="preserve"> </w:t>
            </w:r>
            <w:r>
              <w:rPr>
                <w:spacing w:val="-7"/>
              </w:rPr>
              <w:t>项目， 项目未设置服务区，无其他</w:t>
            </w:r>
            <w:r>
              <w:rPr>
                <w:spacing w:val="1"/>
              </w:rPr>
              <w:t xml:space="preserve"> </w:t>
            </w:r>
            <w:r>
              <w:rPr>
                <w:spacing w:val="-1"/>
              </w:rPr>
              <w:t>配套产生生活污水等设施。本项目</w:t>
            </w:r>
            <w:r>
              <w:rPr>
                <w:spacing w:val="9"/>
              </w:rPr>
              <w:t xml:space="preserve"> </w:t>
            </w:r>
            <w:r>
              <w:rPr>
                <w:spacing w:val="7"/>
              </w:rPr>
              <w:t>主要是噪声会对周边环境产生影</w:t>
            </w:r>
            <w:r>
              <w:t xml:space="preserve">  </w:t>
            </w:r>
            <w:r>
              <w:rPr>
                <w:spacing w:val="-1"/>
              </w:rPr>
              <w:t>响，本次采用隔声屏障、隔声窗、</w:t>
            </w:r>
            <w:r>
              <w:rPr>
                <w:spacing w:val="9"/>
              </w:rPr>
              <w:t xml:space="preserve"> </w:t>
            </w:r>
            <w:r>
              <w:rPr>
                <w:spacing w:val="-1"/>
              </w:rPr>
              <w:t>加强绿化等，降低对周边环境的影</w:t>
            </w:r>
          </w:p>
          <w:p>
            <w:pPr>
              <w:pStyle w:val="6"/>
              <w:spacing w:before="23" w:line="206" w:lineRule="auto"/>
              <w:ind w:left="1517"/>
            </w:pPr>
            <w:r>
              <w:rPr>
                <w:spacing w:val="-12"/>
              </w:rPr>
              <w:t>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trPr>
        <w:tc>
          <w:tcPr>
            <w:tcW w:w="1072" w:type="dxa"/>
            <w:vMerge w:val="continue"/>
            <w:tcBorders>
              <w:top w:val="nil"/>
              <w:bottom w:val="nil"/>
            </w:tcBorders>
            <w:vAlign w:val="top"/>
          </w:tcPr>
          <w:p>
            <w:pPr>
              <w:rPr>
                <w:rFonts w:ascii="Arial"/>
                <w:sz w:val="21"/>
              </w:rPr>
            </w:pPr>
          </w:p>
        </w:tc>
        <w:tc>
          <w:tcPr>
            <w:tcW w:w="4400" w:type="dxa"/>
            <w:vAlign w:val="top"/>
          </w:tcPr>
          <w:p>
            <w:pPr>
              <w:pStyle w:val="6"/>
              <w:spacing w:before="34" w:line="237" w:lineRule="auto"/>
              <w:ind w:left="112" w:right="102" w:firstLine="37"/>
            </w:pPr>
            <w:r>
              <w:rPr>
                <w:rFonts w:ascii="Times New Roman" w:hAnsi="Times New Roman" w:eastAsia="Times New Roman" w:cs="Times New Roman"/>
                <w:spacing w:val="-5"/>
              </w:rPr>
              <w:t>4</w:t>
            </w:r>
            <w:r>
              <w:rPr>
                <w:spacing w:val="-5"/>
              </w:rPr>
              <w:t>、水运项目应合理布局港口作业区，</w:t>
            </w:r>
            <w:r>
              <w:rPr>
                <w:spacing w:val="-7"/>
              </w:rPr>
              <w:t xml:space="preserve"> </w:t>
            </w:r>
            <w:r>
              <w:rPr>
                <w:spacing w:val="-5"/>
              </w:rPr>
              <w:t>产生废</w:t>
            </w:r>
            <w:r>
              <w:t xml:space="preserve"> </w:t>
            </w:r>
            <w:r>
              <w:rPr>
                <w:spacing w:val="-2"/>
              </w:rPr>
              <w:t>气、粉尘、噪声的作业场地应保持与居民区等</w:t>
            </w:r>
            <w:r>
              <w:rPr>
                <w:spacing w:val="18"/>
              </w:rPr>
              <w:t xml:space="preserve"> </w:t>
            </w:r>
            <w:r>
              <w:rPr>
                <w:spacing w:val="-2"/>
              </w:rPr>
              <w:t>敏感点的一定距离，落实内河航道船舶、港区</w:t>
            </w:r>
            <w:r>
              <w:rPr>
                <w:spacing w:val="16"/>
              </w:rPr>
              <w:t xml:space="preserve"> </w:t>
            </w:r>
            <w:r>
              <w:rPr>
                <w:spacing w:val="-5"/>
              </w:rPr>
              <w:t>噪声控制措施；</w:t>
            </w:r>
            <w:r>
              <w:rPr>
                <w:spacing w:val="-27"/>
              </w:rPr>
              <w:t xml:space="preserve"> </w:t>
            </w:r>
            <w:r>
              <w:rPr>
                <w:spacing w:val="-5"/>
              </w:rPr>
              <w:t>加强港口作业区油污水处理系</w:t>
            </w:r>
            <w:r>
              <w:t xml:space="preserve"> </w:t>
            </w:r>
            <w:r>
              <w:rPr>
                <w:spacing w:val="-5"/>
              </w:rPr>
              <w:t>统的建设，</w:t>
            </w:r>
            <w:r>
              <w:rPr>
                <w:spacing w:val="-27"/>
              </w:rPr>
              <w:t xml:space="preserve"> </w:t>
            </w:r>
            <w:r>
              <w:rPr>
                <w:spacing w:val="-5"/>
              </w:rPr>
              <w:t>妥善处置船舶污水和港口作业区生</w:t>
            </w:r>
            <w:r>
              <w:t xml:space="preserve"> </w:t>
            </w:r>
            <w:r>
              <w:rPr>
                <w:spacing w:val="2"/>
              </w:rPr>
              <w:t>活污水和含油废水</w:t>
            </w:r>
            <w:r>
              <w:rPr>
                <w:rFonts w:ascii="Times New Roman" w:hAnsi="Times New Roman" w:eastAsia="Times New Roman" w:cs="Times New Roman"/>
                <w:spacing w:val="2"/>
              </w:rPr>
              <w:t>;</w:t>
            </w:r>
            <w:r>
              <w:rPr>
                <w:spacing w:val="2"/>
              </w:rPr>
              <w:t xml:space="preserve">装卸矿石煤炭等散货的码 </w:t>
            </w:r>
            <w:r>
              <w:rPr>
                <w:spacing w:val="-2"/>
              </w:rPr>
              <w:t>头应采取堆场设置加湿站、作业区定期洒水、</w:t>
            </w:r>
            <w:r>
              <w:rPr>
                <w:spacing w:val="4"/>
              </w:rPr>
              <w:t xml:space="preserve"> </w:t>
            </w:r>
            <w:r>
              <w:rPr>
                <w:spacing w:val="-6"/>
              </w:rPr>
              <w:t>设备除尘等措施进行粉尘控制； 油码头鼓励采</w:t>
            </w:r>
            <w:r>
              <w:t xml:space="preserve"> </w:t>
            </w:r>
            <w:r>
              <w:rPr>
                <w:spacing w:val="-2"/>
              </w:rPr>
              <w:t>用浮顶罐储存、密闭装车、有机废气回收等先</w:t>
            </w:r>
          </w:p>
          <w:p>
            <w:pPr>
              <w:pStyle w:val="6"/>
              <w:spacing w:before="23" w:line="205" w:lineRule="auto"/>
              <w:ind w:left="415"/>
            </w:pPr>
            <w:r>
              <w:rPr>
                <w:spacing w:val="-1"/>
              </w:rPr>
              <w:t>进技术，减少油气排放。项目不涉及。</w:t>
            </w:r>
          </w:p>
        </w:tc>
        <w:tc>
          <w:tcPr>
            <w:tcW w:w="3423"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9" w:line="221" w:lineRule="auto"/>
              <w:ind w:left="1089"/>
            </w:pPr>
            <w:r>
              <w:rPr>
                <w:spacing w:val="-2"/>
              </w:rPr>
              <w:t>项目不涉及。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1072" w:type="dxa"/>
            <w:vMerge w:val="continue"/>
            <w:tcBorders>
              <w:top w:val="nil"/>
              <w:bottom w:val="nil"/>
            </w:tcBorders>
            <w:vAlign w:val="top"/>
          </w:tcPr>
          <w:p>
            <w:pPr>
              <w:rPr>
                <w:rFonts w:ascii="Arial"/>
                <w:sz w:val="21"/>
              </w:rPr>
            </w:pPr>
          </w:p>
        </w:tc>
        <w:tc>
          <w:tcPr>
            <w:tcW w:w="4400" w:type="dxa"/>
            <w:vAlign w:val="top"/>
          </w:tcPr>
          <w:p>
            <w:pPr>
              <w:pStyle w:val="6"/>
              <w:spacing w:before="29" w:line="237" w:lineRule="auto"/>
              <w:ind w:left="111" w:right="44" w:firstLine="2"/>
              <w:jc w:val="both"/>
            </w:pPr>
            <w:r>
              <w:rPr>
                <w:rFonts w:ascii="Times New Roman" w:hAnsi="Times New Roman" w:eastAsia="Times New Roman" w:cs="Times New Roman"/>
                <w:spacing w:val="-4"/>
              </w:rPr>
              <w:t>5</w:t>
            </w:r>
            <w:r>
              <w:rPr>
                <w:spacing w:val="-4"/>
              </w:rPr>
              <w:t>、民用机场项目运输车辆尽量采用清洁能源，</w:t>
            </w:r>
            <w:r>
              <w:rPr>
                <w:spacing w:val="14"/>
              </w:rPr>
              <w:t xml:space="preserve"> </w:t>
            </w:r>
            <w:r>
              <w:rPr>
                <w:spacing w:val="-2"/>
              </w:rPr>
              <w:t>减少废气排放，</w:t>
            </w:r>
            <w:r>
              <w:rPr>
                <w:spacing w:val="-5"/>
              </w:rPr>
              <w:t xml:space="preserve"> </w:t>
            </w:r>
            <w:r>
              <w:rPr>
                <w:spacing w:val="-2"/>
              </w:rPr>
              <w:t>油料储运鼓励采用浮顶罐储  存、密闭装车、有机废气回收等先进技术，减</w:t>
            </w:r>
            <w:r>
              <w:rPr>
                <w:spacing w:val="17"/>
              </w:rPr>
              <w:t xml:space="preserve"> </w:t>
            </w:r>
            <w:r>
              <w:rPr>
                <w:spacing w:val="-1"/>
              </w:rPr>
              <w:t>少油气排放；机场生活、生产废水尽量纳入市</w:t>
            </w:r>
            <w:r>
              <w:t xml:space="preserve"> </w:t>
            </w:r>
            <w:r>
              <w:rPr>
                <w:spacing w:val="-1"/>
              </w:rPr>
              <w:t>政管网进入附近城镇生活污水处理厂，确实无</w:t>
            </w:r>
            <w:r>
              <w:t xml:space="preserve"> </w:t>
            </w:r>
            <w:r>
              <w:rPr>
                <w:spacing w:val="4"/>
              </w:rPr>
              <w:t>法纳管的应自行建设污水处理设施处理达标</w:t>
            </w:r>
            <w:r>
              <w:rPr>
                <w:spacing w:val="7"/>
              </w:rPr>
              <w:t xml:space="preserve">  </w:t>
            </w:r>
            <w:r>
              <w:rPr>
                <w:spacing w:val="-1"/>
              </w:rPr>
              <w:t>后排放；合理安排机场周边土地开发，避免声</w:t>
            </w:r>
          </w:p>
          <w:p>
            <w:pPr>
              <w:pStyle w:val="6"/>
              <w:spacing w:before="23" w:line="204" w:lineRule="auto"/>
              <w:ind w:left="1469"/>
            </w:pPr>
            <w:r>
              <w:rPr>
                <w:spacing w:val="-3"/>
              </w:rPr>
              <w:t>敏感建筑建设。</w:t>
            </w:r>
          </w:p>
        </w:tc>
        <w:tc>
          <w:tcPr>
            <w:tcW w:w="3423"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8" w:line="221" w:lineRule="auto"/>
              <w:ind w:left="1089"/>
            </w:pPr>
            <w:r>
              <w:rPr>
                <w:spacing w:val="-2"/>
              </w:rPr>
              <w:t>项目不涉及。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072" w:type="dxa"/>
            <w:vMerge w:val="continue"/>
            <w:tcBorders>
              <w:top w:val="nil"/>
            </w:tcBorders>
            <w:vAlign w:val="top"/>
          </w:tcPr>
          <w:p>
            <w:pPr>
              <w:rPr>
                <w:rFonts w:ascii="Arial"/>
                <w:sz w:val="21"/>
              </w:rPr>
            </w:pPr>
          </w:p>
        </w:tc>
        <w:tc>
          <w:tcPr>
            <w:tcW w:w="4400" w:type="dxa"/>
            <w:vAlign w:val="top"/>
          </w:tcPr>
          <w:p>
            <w:pPr>
              <w:pStyle w:val="6"/>
              <w:spacing w:before="33" w:line="233" w:lineRule="auto"/>
              <w:ind w:left="111" w:right="28" w:firstLine="44"/>
              <w:jc w:val="both"/>
            </w:pPr>
            <w:r>
              <w:rPr>
                <w:rFonts w:ascii="Times New Roman" w:hAnsi="Times New Roman" w:eastAsia="Times New Roman" w:cs="Times New Roman"/>
                <w:spacing w:val="-1"/>
              </w:rPr>
              <w:t>6</w:t>
            </w:r>
            <w:r>
              <w:rPr>
                <w:spacing w:val="-1"/>
              </w:rPr>
              <w:t>、落实客货站场、服务区、港口作业区、机</w:t>
            </w:r>
            <w:r>
              <w:rPr>
                <w:spacing w:val="6"/>
              </w:rPr>
              <w:t xml:space="preserve">  </w:t>
            </w:r>
            <w:r>
              <w:rPr>
                <w:spacing w:val="-2"/>
              </w:rPr>
              <w:t xml:space="preserve">场等区域的固体废弃物处置措施，危险废物须 </w:t>
            </w:r>
            <w:r>
              <w:rPr>
                <w:spacing w:val="-10"/>
              </w:rPr>
              <w:t>按要求分类收集，妥善贮存、处置，</w:t>
            </w:r>
            <w:r>
              <w:rPr>
                <w:spacing w:val="-51"/>
              </w:rPr>
              <w:t xml:space="preserve"> </w:t>
            </w:r>
            <w:r>
              <w:rPr>
                <w:spacing w:val="-10"/>
              </w:rPr>
              <w:t>一般固废、</w:t>
            </w:r>
          </w:p>
          <w:p>
            <w:pPr>
              <w:pStyle w:val="6"/>
              <w:spacing w:before="22" w:line="204" w:lineRule="auto"/>
              <w:ind w:left="1050"/>
            </w:pPr>
            <w:r>
              <w:rPr>
                <w:spacing w:val="-2"/>
              </w:rPr>
              <w:t>生活垃圾及时收集清运。</w:t>
            </w:r>
          </w:p>
        </w:tc>
        <w:tc>
          <w:tcPr>
            <w:tcW w:w="3423" w:type="dxa"/>
            <w:vAlign w:val="top"/>
          </w:tcPr>
          <w:p>
            <w:pPr>
              <w:pStyle w:val="6"/>
              <w:spacing w:before="169" w:line="221" w:lineRule="auto"/>
              <w:ind w:left="144"/>
            </w:pPr>
            <w:r>
              <w:rPr>
                <w:spacing w:val="-1"/>
              </w:rPr>
              <w:t>项目未设置服务区。运营期间产生</w:t>
            </w:r>
          </w:p>
          <w:p>
            <w:pPr>
              <w:pStyle w:val="6"/>
              <w:spacing w:before="19" w:line="236" w:lineRule="auto"/>
              <w:ind w:left="1509" w:right="131" w:hanging="1351"/>
            </w:pPr>
            <w:r>
              <w:rPr>
                <w:spacing w:val="-2"/>
              </w:rPr>
              <w:t>的生活垃圾等及时收集分类清运处</w:t>
            </w:r>
            <w:r>
              <w:rPr>
                <w:spacing w:val="7"/>
              </w:rPr>
              <w:t xml:space="preserve"> </w:t>
            </w:r>
            <w:r>
              <w:rPr>
                <w:spacing w:val="-1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1072" w:type="dxa"/>
            <w:vAlign w:val="top"/>
          </w:tcPr>
          <w:p>
            <w:pPr>
              <w:pStyle w:val="6"/>
              <w:spacing w:before="33" w:line="221" w:lineRule="auto"/>
              <w:ind w:left="120"/>
            </w:pPr>
            <w:r>
              <w:rPr>
                <w:spacing w:val="-2"/>
              </w:rPr>
              <w:t>加强环境</w:t>
            </w:r>
          </w:p>
          <w:p>
            <w:pPr>
              <w:pStyle w:val="6"/>
              <w:spacing w:before="22" w:line="221" w:lineRule="auto"/>
              <w:ind w:left="227"/>
            </w:pPr>
            <w:r>
              <w:rPr>
                <w:spacing w:val="-2"/>
              </w:rPr>
              <w:t>风险防</w:t>
            </w:r>
          </w:p>
          <w:p>
            <w:pPr>
              <w:pStyle w:val="6"/>
              <w:spacing w:before="19" w:line="221" w:lineRule="auto"/>
              <w:ind w:left="125"/>
            </w:pPr>
            <w:r>
              <w:rPr>
                <w:spacing w:val="-3"/>
              </w:rPr>
              <w:t>范，制定</w:t>
            </w:r>
          </w:p>
          <w:p>
            <w:pPr>
              <w:pStyle w:val="6"/>
              <w:spacing w:before="21" w:line="222" w:lineRule="auto"/>
              <w:ind w:left="436"/>
            </w:pPr>
            <w:r>
              <w:t>落</w:t>
            </w:r>
          </w:p>
          <w:p>
            <w:pPr>
              <w:pStyle w:val="6"/>
              <w:spacing w:before="19" w:line="224" w:lineRule="auto"/>
              <w:ind w:left="332" w:right="112" w:hanging="207"/>
            </w:pPr>
            <w:r>
              <w:rPr>
                <w:spacing w:val="-3"/>
              </w:rPr>
              <w:t>实应急预</w:t>
            </w:r>
            <w:r>
              <w:t xml:space="preserve"> </w:t>
            </w:r>
            <w:r>
              <w:rPr>
                <w:spacing w:val="-5"/>
              </w:rPr>
              <w:t>案。</w:t>
            </w:r>
          </w:p>
        </w:tc>
        <w:tc>
          <w:tcPr>
            <w:tcW w:w="4400" w:type="dxa"/>
            <w:vAlign w:val="top"/>
          </w:tcPr>
          <w:p>
            <w:pPr>
              <w:pStyle w:val="6"/>
              <w:spacing w:before="168" w:line="236" w:lineRule="auto"/>
              <w:ind w:left="111" w:right="102"/>
              <w:jc w:val="both"/>
            </w:pPr>
            <w:r>
              <w:rPr>
                <w:spacing w:val="-6"/>
              </w:rPr>
              <w:t>加强公路运输、水运运输、油气管线管理，</w:t>
            </w:r>
            <w:r>
              <w:rPr>
                <w:spacing w:val="-9"/>
              </w:rPr>
              <w:t xml:space="preserve"> </w:t>
            </w:r>
            <w:r>
              <w:rPr>
                <w:spacing w:val="-6"/>
              </w:rPr>
              <w:t>完</w:t>
            </w:r>
            <w:r>
              <w:t xml:space="preserve"> </w:t>
            </w:r>
            <w:r>
              <w:rPr>
                <w:spacing w:val="-1"/>
              </w:rPr>
              <w:t>善事故环境风险防范工作。相关业主单位应制</w:t>
            </w:r>
            <w:r>
              <w:t xml:space="preserve"> </w:t>
            </w:r>
            <w:r>
              <w:rPr>
                <w:spacing w:val="-5"/>
              </w:rPr>
              <w:t>定完善的事故风险防范措施及应急预案，</w:t>
            </w:r>
            <w:r>
              <w:rPr>
                <w:spacing w:val="-25"/>
              </w:rPr>
              <w:t xml:space="preserve"> </w:t>
            </w:r>
            <w:r>
              <w:rPr>
                <w:spacing w:val="-5"/>
              </w:rPr>
              <w:t>建立</w:t>
            </w:r>
            <w:r>
              <w:t xml:space="preserve"> </w:t>
            </w:r>
            <w:r>
              <w:rPr>
                <w:spacing w:val="-5"/>
              </w:rPr>
              <w:t>事故风险应急救援管理体系，</w:t>
            </w:r>
            <w:r>
              <w:rPr>
                <w:spacing w:val="-25"/>
              </w:rPr>
              <w:t xml:space="preserve"> </w:t>
            </w:r>
            <w:r>
              <w:rPr>
                <w:spacing w:val="-5"/>
              </w:rPr>
              <w:t>配置应急响应设</w:t>
            </w:r>
            <w:r>
              <w:t xml:space="preserve"> </w:t>
            </w:r>
            <w:r>
              <w:rPr>
                <w:spacing w:val="-7"/>
              </w:rPr>
              <w:t>施和人员， 形成区域联动，并定期进行演练。</w:t>
            </w:r>
          </w:p>
        </w:tc>
        <w:tc>
          <w:tcPr>
            <w:tcW w:w="3423" w:type="dxa"/>
            <w:vAlign w:val="top"/>
          </w:tcPr>
          <w:p>
            <w:pPr>
              <w:pStyle w:val="6"/>
              <w:spacing w:before="172" w:line="234" w:lineRule="auto"/>
              <w:ind w:left="141" w:right="130"/>
              <w:jc w:val="both"/>
            </w:pPr>
            <w:r>
              <w:rPr>
                <w:spacing w:val="-1"/>
              </w:rPr>
              <w:t>本项目接线的景文高速公路禁止危</w:t>
            </w:r>
            <w:r>
              <w:rPr>
                <w:spacing w:val="8"/>
              </w:rPr>
              <w:t xml:space="preserve"> </w:t>
            </w:r>
            <w:r>
              <w:rPr>
                <w:spacing w:val="-7"/>
              </w:rPr>
              <w:t>化品车辆通行， 因此，本项目危化</w:t>
            </w:r>
            <w:r>
              <w:t xml:space="preserve"> </w:t>
            </w:r>
            <w:r>
              <w:rPr>
                <w:spacing w:val="-1"/>
              </w:rPr>
              <w:t>品通行车辆较少，建成后按照要求</w:t>
            </w:r>
            <w:r>
              <w:rPr>
                <w:spacing w:val="9"/>
              </w:rPr>
              <w:t xml:space="preserve"> </w:t>
            </w:r>
            <w:r>
              <w:rPr>
                <w:spacing w:val="-1"/>
              </w:rPr>
              <w:t>完善相应的事故风险防措施及制定</w:t>
            </w:r>
          </w:p>
          <w:p>
            <w:pPr>
              <w:pStyle w:val="6"/>
              <w:spacing w:before="23" w:line="221" w:lineRule="auto"/>
              <w:ind w:left="1190"/>
            </w:pPr>
            <w:r>
              <w:rPr>
                <w:spacing w:val="-5"/>
              </w:rPr>
              <w:t>应急预案。</w:t>
            </w:r>
          </w:p>
        </w:tc>
      </w:tr>
    </w:tbl>
    <w:p>
      <w:pPr>
        <w:spacing w:before="192" w:line="468" w:lineRule="exact"/>
        <w:ind w:left="118"/>
        <w:rPr>
          <w:rFonts w:ascii="宋体" w:hAnsi="宋体" w:eastAsia="宋体" w:cs="宋体"/>
          <w:sz w:val="24"/>
          <w:szCs w:val="24"/>
        </w:rPr>
      </w:pPr>
      <w:r>
        <w:fldChar w:fldCharType="begin"/>
      </w:r>
      <w:r>
        <w:instrText xml:space="preserve"> HYPERLINK "2.4.1.3" </w:instrText>
      </w:r>
      <w:r>
        <w:fldChar w:fldCharType="separate"/>
      </w:r>
      <w:r>
        <w:rPr>
          <w:rFonts w:ascii="Times New Roman" w:hAnsi="Times New Roman" w:eastAsia="Times New Roman" w:cs="Times New Roman"/>
          <w:b/>
          <w:bCs/>
          <w:spacing w:val="1"/>
          <w:position w:val="17"/>
          <w:sz w:val="24"/>
          <w:szCs w:val="24"/>
        </w:rPr>
        <w:t>2.4.1.3</w:t>
      </w:r>
      <w:r>
        <w:rPr>
          <w:rFonts w:ascii="Times New Roman" w:hAnsi="Times New Roman" w:eastAsia="Times New Roman" w:cs="Times New Roman"/>
          <w:b/>
          <w:bCs/>
          <w:spacing w:val="1"/>
          <w:position w:val="17"/>
          <w:sz w:val="24"/>
          <w:szCs w:val="24"/>
        </w:rPr>
        <w:fldChar w:fldCharType="end"/>
      </w:r>
      <w:r>
        <w:rPr>
          <w:rFonts w:ascii="Times New Roman" w:hAnsi="Times New Roman" w:eastAsia="Times New Roman" w:cs="Times New Roman"/>
          <w:b/>
          <w:bCs/>
          <w:spacing w:val="1"/>
          <w:position w:val="17"/>
          <w:sz w:val="24"/>
          <w:szCs w:val="24"/>
        </w:rPr>
        <w:t xml:space="preserve"> </w:t>
      </w:r>
      <w:r>
        <w:rPr>
          <w:rFonts w:ascii="宋体" w:hAnsi="宋体" w:eastAsia="宋体" w:cs="宋体"/>
          <w:spacing w:val="1"/>
          <w:position w:val="17"/>
          <w:sz w:val="24"/>
          <w:szCs w:val="24"/>
          <w14:textOutline w14:w="4354" w14:cap="flat" w14:cmpd="sng">
            <w14:solidFill>
              <w14:srgbClr w14:val="000000"/>
            </w14:solidFill>
            <w14:prstDash w14:val="solid"/>
            <w14:miter w14:val="0"/>
          </w14:textOutline>
        </w:rPr>
        <w:t>与《文成县综合交通运输</w:t>
      </w:r>
      <w:r>
        <w:rPr>
          <w:rFonts w:ascii="宋体" w:hAnsi="宋体" w:eastAsia="宋体" w:cs="宋体"/>
          <w:position w:val="17"/>
          <w:sz w:val="24"/>
          <w:szCs w:val="24"/>
          <w14:textOutline w14:w="4354" w14:cap="flat" w14:cmpd="sng">
            <w14:solidFill>
              <w14:srgbClr w14:val="000000"/>
            </w14:solidFill>
            <w14:prstDash w14:val="solid"/>
            <w14:miter w14:val="0"/>
          </w14:textOutline>
        </w:rPr>
        <w:t>发展</w:t>
      </w:r>
      <w:r>
        <w:rPr>
          <w:rFonts w:ascii="Times New Roman" w:hAnsi="Times New Roman" w:eastAsia="Times New Roman" w:cs="Times New Roman"/>
          <w:b/>
          <w:bCs/>
          <w:position w:val="17"/>
          <w:sz w:val="24"/>
          <w:szCs w:val="24"/>
        </w:rPr>
        <w:t>“</w:t>
      </w:r>
      <w:r>
        <w:rPr>
          <w:rFonts w:ascii="宋体" w:hAnsi="宋体" w:eastAsia="宋体" w:cs="宋体"/>
          <w:position w:val="17"/>
          <w:sz w:val="24"/>
          <w:szCs w:val="24"/>
          <w14:textOutline w14:w="4354" w14:cap="flat" w14:cmpd="sng">
            <w14:solidFill>
              <w14:srgbClr w14:val="000000"/>
            </w14:solidFill>
            <w14:prstDash w14:val="solid"/>
            <w14:miter w14:val="0"/>
          </w14:textOutline>
        </w:rPr>
        <w:t>十四五</w:t>
      </w:r>
      <w:r>
        <w:rPr>
          <w:rFonts w:ascii="Times New Roman" w:hAnsi="Times New Roman" w:eastAsia="Times New Roman" w:cs="Times New Roman"/>
          <w:b/>
          <w:bCs/>
          <w:position w:val="17"/>
          <w:sz w:val="24"/>
          <w:szCs w:val="24"/>
        </w:rPr>
        <w:t>”</w:t>
      </w:r>
      <w:r>
        <w:rPr>
          <w:rFonts w:ascii="宋体" w:hAnsi="宋体" w:eastAsia="宋体" w:cs="宋体"/>
          <w:position w:val="17"/>
          <w:sz w:val="24"/>
          <w:szCs w:val="24"/>
          <w14:textOutline w14:w="4354" w14:cap="flat" w14:cmpd="sng">
            <w14:solidFill>
              <w14:srgbClr w14:val="000000"/>
            </w14:solidFill>
            <w14:prstDash w14:val="solid"/>
            <w14:miter w14:val="0"/>
          </w14:textOutline>
        </w:rPr>
        <w:t>规划》的符合性分析</w:t>
      </w:r>
    </w:p>
    <w:p>
      <w:pPr>
        <w:spacing w:line="219" w:lineRule="auto"/>
        <w:ind w:left="128"/>
        <w:rPr>
          <w:rFonts w:ascii="宋体" w:hAnsi="宋体" w:eastAsia="宋体" w:cs="宋体"/>
          <w:sz w:val="24"/>
          <w:szCs w:val="24"/>
        </w:rPr>
      </w:pPr>
      <w:r>
        <w:rPr>
          <w:rFonts w:ascii="Times New Roman" w:hAnsi="Times New Roman" w:eastAsia="Times New Roman" w:cs="Times New Roman"/>
          <w:b/>
          <w:bCs/>
          <w:spacing w:val="-3"/>
          <w:sz w:val="24"/>
          <w:szCs w:val="24"/>
        </w:rPr>
        <w:t>1</w:t>
      </w:r>
      <w:r>
        <w:rPr>
          <w:rFonts w:ascii="宋体" w:hAnsi="宋体" w:eastAsia="宋体" w:cs="宋体"/>
          <w:spacing w:val="-3"/>
          <w:sz w:val="24"/>
          <w:szCs w:val="24"/>
          <w14:textOutline w14:w="4354" w14:cap="flat" w14:cmpd="sng">
            <w14:solidFill>
              <w14:srgbClr w14:val="000000"/>
            </w14:solidFill>
            <w14:prstDash w14:val="solid"/>
            <w14:miter w14:val="0"/>
          </w14:textOutline>
        </w:rPr>
        <w:t>、规划概况</w:t>
      </w:r>
    </w:p>
    <w:p>
      <w:pPr>
        <w:spacing w:before="180" w:line="220" w:lineRule="auto"/>
        <w:ind w:left="60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）发展定位</w:t>
      </w:r>
    </w:p>
    <w:p>
      <w:pPr>
        <w:spacing w:before="181" w:line="359" w:lineRule="auto"/>
        <w:ind w:left="122" w:right="417" w:firstLine="481"/>
        <w:jc w:val="both"/>
        <w:rPr>
          <w:rFonts w:ascii="宋体" w:hAnsi="宋体" w:eastAsia="宋体" w:cs="宋体"/>
          <w:sz w:val="24"/>
          <w:szCs w:val="24"/>
        </w:rPr>
      </w:pPr>
      <w:r>
        <w:rPr>
          <w:rFonts w:ascii="宋体" w:hAnsi="宋体" w:eastAsia="宋体" w:cs="宋体"/>
          <w:spacing w:val="-7"/>
          <w:sz w:val="24"/>
          <w:szCs w:val="24"/>
        </w:rPr>
        <w:t>按县委县政府</w:t>
      </w:r>
      <w:r>
        <w:rPr>
          <w:rFonts w:ascii="Times New Roman" w:hAnsi="Times New Roman" w:eastAsia="Times New Roman" w:cs="Times New Roman"/>
          <w:spacing w:val="-7"/>
          <w:sz w:val="24"/>
          <w:szCs w:val="24"/>
        </w:rPr>
        <w:t>“</w:t>
      </w:r>
      <w:r>
        <w:rPr>
          <w:rFonts w:ascii="宋体" w:hAnsi="宋体" w:eastAsia="宋体" w:cs="宋体"/>
          <w:spacing w:val="-7"/>
          <w:sz w:val="24"/>
          <w:szCs w:val="24"/>
        </w:rPr>
        <w:t>宜游宜居生态县</w:t>
      </w:r>
      <w:r>
        <w:rPr>
          <w:rFonts w:ascii="Times New Roman" w:hAnsi="Times New Roman" w:eastAsia="Times New Roman" w:cs="Times New Roman"/>
          <w:spacing w:val="-7"/>
          <w:sz w:val="24"/>
          <w:szCs w:val="24"/>
        </w:rPr>
        <w:t>”</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的总体战略部署， 紧紧围绕打造温州西部交</w:t>
      </w:r>
      <w:r>
        <w:rPr>
          <w:rFonts w:ascii="宋体" w:hAnsi="宋体" w:eastAsia="宋体" w:cs="宋体"/>
          <w:sz w:val="24"/>
          <w:szCs w:val="24"/>
        </w:rPr>
        <w:t xml:space="preserve"> </w:t>
      </w:r>
      <w:r>
        <w:rPr>
          <w:rFonts w:ascii="宋体" w:hAnsi="宋体" w:eastAsia="宋体" w:cs="宋体"/>
          <w:spacing w:val="-8"/>
          <w:sz w:val="24"/>
          <w:szCs w:val="24"/>
        </w:rPr>
        <w:t>通枢纽的交通发展定位，</w:t>
      </w:r>
      <w:r>
        <w:rPr>
          <w:rFonts w:ascii="宋体" w:hAnsi="宋体" w:eastAsia="宋体" w:cs="宋体"/>
          <w:spacing w:val="59"/>
          <w:sz w:val="24"/>
          <w:szCs w:val="24"/>
        </w:rPr>
        <w:t xml:space="preserve"> </w:t>
      </w:r>
      <w:r>
        <w:rPr>
          <w:rFonts w:ascii="宋体" w:hAnsi="宋体" w:eastAsia="宋体" w:cs="宋体"/>
          <w:spacing w:val="-8"/>
          <w:sz w:val="24"/>
          <w:szCs w:val="24"/>
        </w:rPr>
        <w:t>以支撑城市功能提升、县域空间整合、融入温州</w:t>
      </w:r>
      <w:r>
        <w:rPr>
          <w:rFonts w:ascii="宋体" w:hAnsi="宋体" w:eastAsia="宋体" w:cs="宋体"/>
          <w:spacing w:val="-9"/>
          <w:sz w:val="24"/>
          <w:szCs w:val="24"/>
        </w:rPr>
        <w:t>市全国</w:t>
      </w:r>
      <w:r>
        <w:rPr>
          <w:rFonts w:ascii="宋体" w:hAnsi="宋体" w:eastAsia="宋体" w:cs="宋体"/>
          <w:sz w:val="24"/>
          <w:szCs w:val="24"/>
        </w:rPr>
        <w:t xml:space="preserve"> </w:t>
      </w:r>
      <w:r>
        <w:rPr>
          <w:rFonts w:ascii="宋体" w:hAnsi="宋体" w:eastAsia="宋体" w:cs="宋体"/>
          <w:spacing w:val="-8"/>
          <w:sz w:val="24"/>
          <w:szCs w:val="24"/>
        </w:rPr>
        <w:t>性综合交通枢纽、辐射浙南闽北赣东地区、融入长三角、对接粤闽浙的发展要求，</w:t>
      </w:r>
    </w:p>
    <w:p>
      <w:pPr>
        <w:spacing w:line="219" w:lineRule="auto"/>
        <w:ind w:left="122"/>
        <w:rPr>
          <w:rFonts w:ascii="宋体" w:hAnsi="宋体" w:eastAsia="宋体" w:cs="宋体"/>
          <w:sz w:val="24"/>
          <w:szCs w:val="24"/>
        </w:rPr>
      </w:pPr>
      <w:r>
        <w:rPr>
          <w:rFonts w:ascii="宋体" w:hAnsi="宋体" w:eastAsia="宋体" w:cs="宋体"/>
          <w:spacing w:val="-3"/>
          <w:sz w:val="24"/>
          <w:szCs w:val="24"/>
        </w:rPr>
        <w:t>把文成建设成开放、畅达、安全、高效区域综合交通枢纽中心和生态集约创新智</w:t>
      </w:r>
    </w:p>
    <w:p>
      <w:pPr>
        <w:spacing w:line="219" w:lineRule="auto"/>
        <w:rPr>
          <w:rFonts w:ascii="宋体" w:hAnsi="宋体" w:eastAsia="宋体" w:cs="宋体"/>
          <w:sz w:val="24"/>
          <w:szCs w:val="24"/>
        </w:rPr>
        <w:sectPr>
          <w:pgSz w:w="11907" w:h="16839"/>
          <w:pgMar w:top="1118" w:right="1317" w:bottom="1184" w:left="1687" w:header="879" w:footer="1024" w:gutter="0"/>
          <w:cols w:space="720" w:num="1"/>
        </w:sectPr>
      </w:pPr>
    </w:p>
    <w:p>
      <w:pPr>
        <w:pStyle w:val="2"/>
        <w:spacing w:line="278" w:lineRule="auto"/>
      </w:pPr>
    </w:p>
    <w:p>
      <w:pPr>
        <w:spacing w:before="78" w:line="468" w:lineRule="exact"/>
        <w:ind w:left="131"/>
        <w:rPr>
          <w:rFonts w:ascii="宋体" w:hAnsi="宋体" w:eastAsia="宋体" w:cs="宋体"/>
          <w:sz w:val="24"/>
          <w:szCs w:val="24"/>
        </w:rPr>
      </w:pPr>
      <w:r>
        <w:rPr>
          <w:rFonts w:ascii="宋体" w:hAnsi="宋体" w:eastAsia="宋体" w:cs="宋体"/>
          <w:spacing w:val="-6"/>
          <w:position w:val="17"/>
          <w:sz w:val="24"/>
          <w:szCs w:val="24"/>
        </w:rPr>
        <w:t>能的现代化绿色交通县城，</w:t>
      </w:r>
      <w:r>
        <w:rPr>
          <w:rFonts w:ascii="宋体" w:hAnsi="宋体" w:eastAsia="宋体" w:cs="宋体"/>
          <w:spacing w:val="-24"/>
          <w:position w:val="17"/>
          <w:sz w:val="24"/>
          <w:szCs w:val="24"/>
        </w:rPr>
        <w:t xml:space="preserve"> </w:t>
      </w:r>
      <w:r>
        <w:rPr>
          <w:rFonts w:ascii="宋体" w:hAnsi="宋体" w:eastAsia="宋体" w:cs="宋体"/>
          <w:spacing w:val="-6"/>
          <w:position w:val="17"/>
          <w:sz w:val="24"/>
          <w:szCs w:val="24"/>
        </w:rPr>
        <w:t>积极打造推动区域综合交通高质量一体化发展的样板</w:t>
      </w:r>
    </w:p>
    <w:p>
      <w:pPr>
        <w:spacing w:line="219" w:lineRule="auto"/>
        <w:ind w:left="122"/>
        <w:rPr>
          <w:rFonts w:ascii="宋体" w:hAnsi="宋体" w:eastAsia="宋体" w:cs="宋体"/>
          <w:sz w:val="24"/>
          <w:szCs w:val="24"/>
        </w:rPr>
      </w:pPr>
      <w:r>
        <w:rPr>
          <w:rFonts w:ascii="宋体" w:hAnsi="宋体" w:eastAsia="宋体" w:cs="宋体"/>
          <w:spacing w:val="-10"/>
          <w:sz w:val="24"/>
          <w:szCs w:val="24"/>
        </w:rPr>
        <w:t>城市。</w:t>
      </w:r>
    </w:p>
    <w:p>
      <w:pPr>
        <w:spacing w:before="180" w:line="220" w:lineRule="auto"/>
        <w:ind w:left="60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）发展目标</w:t>
      </w:r>
    </w:p>
    <w:p>
      <w:pPr>
        <w:spacing w:before="181" w:line="359" w:lineRule="auto"/>
        <w:ind w:left="123" w:right="111" w:firstLine="485"/>
        <w:rPr>
          <w:rFonts w:ascii="宋体" w:hAnsi="宋体" w:eastAsia="宋体" w:cs="宋体"/>
          <w:sz w:val="24"/>
          <w:szCs w:val="24"/>
        </w:rPr>
      </w:pPr>
      <w:r>
        <w:rPr>
          <w:rFonts w:ascii="宋体" w:hAnsi="宋体" w:eastAsia="宋体" w:cs="宋体"/>
          <w:spacing w:val="-1"/>
          <w:sz w:val="24"/>
          <w:szCs w:val="24"/>
        </w:rPr>
        <w:t>到</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2025</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年，综合交通网络建设取得明显突破，主要路网骨架基本成形，基</w:t>
      </w:r>
      <w:r>
        <w:rPr>
          <w:rFonts w:ascii="宋体" w:hAnsi="宋体" w:eastAsia="宋体" w:cs="宋体"/>
          <w:sz w:val="24"/>
          <w:szCs w:val="24"/>
        </w:rPr>
        <w:t xml:space="preserve"> </w:t>
      </w:r>
      <w:r>
        <w:rPr>
          <w:rFonts w:ascii="宋体" w:hAnsi="宋体" w:eastAsia="宋体" w:cs="宋体"/>
          <w:spacing w:val="-14"/>
          <w:sz w:val="24"/>
          <w:szCs w:val="24"/>
        </w:rPr>
        <w:t>本构建对外快速通道，</w:t>
      </w:r>
      <w:r>
        <w:rPr>
          <w:rFonts w:ascii="宋体" w:hAnsi="宋体" w:eastAsia="宋体" w:cs="宋体"/>
          <w:spacing w:val="65"/>
          <w:sz w:val="24"/>
          <w:szCs w:val="24"/>
        </w:rPr>
        <w:t xml:space="preserve"> </w:t>
      </w:r>
      <w:r>
        <w:rPr>
          <w:rFonts w:ascii="宋体" w:hAnsi="宋体" w:eastAsia="宋体" w:cs="宋体"/>
          <w:spacing w:val="-14"/>
          <w:sz w:val="24"/>
          <w:szCs w:val="24"/>
        </w:rPr>
        <w:t>融入温州都市区发展格局，</w:t>
      </w:r>
      <w:r>
        <w:rPr>
          <w:rFonts w:ascii="宋体" w:hAnsi="宋体" w:eastAsia="宋体" w:cs="宋体"/>
          <w:spacing w:val="45"/>
          <w:sz w:val="24"/>
          <w:szCs w:val="24"/>
        </w:rPr>
        <w:t xml:space="preserve"> </w:t>
      </w:r>
      <w:r>
        <w:rPr>
          <w:rFonts w:ascii="宋体" w:hAnsi="宋体" w:eastAsia="宋体" w:cs="宋体"/>
          <w:spacing w:val="-14"/>
          <w:sz w:val="24"/>
          <w:szCs w:val="24"/>
        </w:rPr>
        <w:t>打造</w:t>
      </w:r>
      <w:r>
        <w:rPr>
          <w:rFonts w:ascii="Times New Roman" w:hAnsi="Times New Roman" w:eastAsia="Times New Roman" w:cs="Times New Roman"/>
          <w:spacing w:val="-14"/>
          <w:sz w:val="24"/>
          <w:szCs w:val="24"/>
        </w:rPr>
        <w:t>“</w:t>
      </w:r>
      <w:r>
        <w:rPr>
          <w:rFonts w:ascii="宋体" w:hAnsi="宋体" w:eastAsia="宋体" w:cs="宋体"/>
          <w:spacing w:val="-14"/>
          <w:sz w:val="24"/>
          <w:szCs w:val="24"/>
        </w:rPr>
        <w:t>十字</w:t>
      </w:r>
      <w:r>
        <w:rPr>
          <w:rFonts w:ascii="Times New Roman" w:hAnsi="Times New Roman" w:eastAsia="Times New Roman" w:cs="Times New Roman"/>
          <w:spacing w:val="-14"/>
          <w:sz w:val="24"/>
          <w:szCs w:val="24"/>
        </w:rPr>
        <w:t>”</w:t>
      </w:r>
      <w:r>
        <w:rPr>
          <w:rFonts w:ascii="宋体" w:hAnsi="宋体" w:eastAsia="宋体" w:cs="宋体"/>
          <w:spacing w:val="-14"/>
          <w:sz w:val="24"/>
          <w:szCs w:val="24"/>
        </w:rPr>
        <w:t>高速路网，</w:t>
      </w:r>
      <w:r>
        <w:rPr>
          <w:rFonts w:ascii="宋体" w:hAnsi="宋体" w:eastAsia="宋体" w:cs="宋体"/>
          <w:spacing w:val="-41"/>
          <w:sz w:val="24"/>
          <w:szCs w:val="24"/>
        </w:rPr>
        <w:t xml:space="preserve"> </w:t>
      </w:r>
      <w:r>
        <w:rPr>
          <w:rFonts w:ascii="宋体" w:hAnsi="宋体" w:eastAsia="宋体" w:cs="宋体"/>
          <w:spacing w:val="-14"/>
          <w:sz w:val="24"/>
          <w:szCs w:val="24"/>
        </w:rPr>
        <w:t>各区块</w:t>
      </w:r>
    </w:p>
    <w:p>
      <w:pPr>
        <w:spacing w:before="1" w:line="218" w:lineRule="auto"/>
        <w:ind w:left="124"/>
        <w:rPr>
          <w:rFonts w:ascii="宋体" w:hAnsi="宋体" w:eastAsia="宋体" w:cs="宋体"/>
          <w:sz w:val="24"/>
          <w:szCs w:val="24"/>
        </w:rPr>
      </w:pPr>
      <w:r>
        <w:rPr>
          <w:rFonts w:ascii="宋体" w:hAnsi="宋体" w:eastAsia="宋体" w:cs="宋体"/>
          <w:spacing w:val="-1"/>
          <w:sz w:val="24"/>
          <w:szCs w:val="24"/>
        </w:rPr>
        <w:t>路网成环，各种运输方式协调发展，较好地适</w:t>
      </w:r>
      <w:r>
        <w:rPr>
          <w:rFonts w:ascii="宋体" w:hAnsi="宋体" w:eastAsia="宋体" w:cs="宋体"/>
          <w:spacing w:val="-2"/>
          <w:sz w:val="24"/>
          <w:szCs w:val="24"/>
        </w:rPr>
        <w:t>应文成县经济社会发展需要。</w:t>
      </w:r>
    </w:p>
    <w:p>
      <w:pPr>
        <w:spacing w:before="181" w:line="469" w:lineRule="exact"/>
        <w:ind w:left="608"/>
        <w:rPr>
          <w:rFonts w:ascii="宋体" w:hAnsi="宋体" w:eastAsia="宋体" w:cs="宋体"/>
          <w:sz w:val="24"/>
          <w:szCs w:val="24"/>
        </w:rPr>
      </w:pP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3</w:t>
      </w:r>
      <w:r>
        <w:rPr>
          <w:rFonts w:ascii="宋体" w:hAnsi="宋体" w:eastAsia="宋体" w:cs="宋体"/>
          <w:spacing w:val="-3"/>
          <w:position w:val="17"/>
          <w:sz w:val="24"/>
          <w:szCs w:val="24"/>
        </w:rPr>
        <w:t>）建设内畅外快公路网络</w:t>
      </w:r>
    </w:p>
    <w:p>
      <w:pPr>
        <w:spacing w:before="1" w:line="218" w:lineRule="auto"/>
        <w:ind w:left="620"/>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）完善高速快捷骨干网</w:t>
      </w:r>
    </w:p>
    <w:p>
      <w:pPr>
        <w:spacing w:before="185" w:line="359" w:lineRule="auto"/>
        <w:ind w:left="122" w:right="50" w:firstLine="482"/>
        <w:jc w:val="both"/>
        <w:rPr>
          <w:rFonts w:ascii="宋体" w:hAnsi="宋体" w:eastAsia="宋体" w:cs="宋体"/>
          <w:sz w:val="24"/>
          <w:szCs w:val="24"/>
        </w:rPr>
      </w:pPr>
      <w:r>
        <w:rPr>
          <w:rFonts w:ascii="宋体" w:hAnsi="宋体" w:eastAsia="宋体" w:cs="宋体"/>
          <w:spacing w:val="-11"/>
          <w:sz w:val="24"/>
          <w:szCs w:val="24"/>
        </w:rPr>
        <w:t>构建高速各向互联通道。加快推进规划高速公路建设，</w:t>
      </w:r>
      <w:r>
        <w:rPr>
          <w:rFonts w:ascii="宋体" w:hAnsi="宋体" w:eastAsia="宋体" w:cs="宋体"/>
          <w:spacing w:val="-29"/>
          <w:sz w:val="24"/>
          <w:szCs w:val="24"/>
        </w:rPr>
        <w:t xml:space="preserve"> </w:t>
      </w:r>
      <w:r>
        <w:rPr>
          <w:rFonts w:ascii="宋体" w:hAnsi="宋体" w:eastAsia="宋体" w:cs="宋体"/>
          <w:spacing w:val="-11"/>
          <w:sz w:val="24"/>
          <w:szCs w:val="24"/>
        </w:rPr>
        <w:t>完善高速快捷骨干网，</w:t>
      </w:r>
      <w:r>
        <w:rPr>
          <w:rFonts w:ascii="宋体" w:hAnsi="宋体" w:eastAsia="宋体" w:cs="宋体"/>
          <w:sz w:val="24"/>
          <w:szCs w:val="24"/>
        </w:rPr>
        <w:t xml:space="preserve"> </w:t>
      </w:r>
      <w:r>
        <w:rPr>
          <w:rFonts w:ascii="宋体" w:hAnsi="宋体" w:eastAsia="宋体" w:cs="宋体"/>
          <w:spacing w:val="4"/>
          <w:sz w:val="24"/>
          <w:szCs w:val="24"/>
        </w:rPr>
        <w:t>发挥高速公路对外开放大通道的重要作用。积极融入温州大都市区高速路网布</w:t>
      </w:r>
      <w:r>
        <w:rPr>
          <w:rFonts w:ascii="宋体" w:hAnsi="宋体" w:eastAsia="宋体" w:cs="宋体"/>
          <w:spacing w:val="2"/>
          <w:sz w:val="24"/>
          <w:szCs w:val="24"/>
        </w:rPr>
        <w:t xml:space="preserve"> </w:t>
      </w:r>
      <w:r>
        <w:rPr>
          <w:rFonts w:ascii="宋体" w:hAnsi="宋体" w:eastAsia="宋体" w:cs="宋体"/>
          <w:spacing w:val="-8"/>
          <w:sz w:val="24"/>
          <w:szCs w:val="24"/>
        </w:rPr>
        <w:t>局，</w:t>
      </w:r>
      <w:r>
        <w:rPr>
          <w:rFonts w:ascii="宋体" w:hAnsi="宋体" w:eastAsia="宋体" w:cs="宋体"/>
          <w:spacing w:val="-59"/>
          <w:sz w:val="24"/>
          <w:szCs w:val="24"/>
        </w:rPr>
        <w:t xml:space="preserve"> </w:t>
      </w:r>
      <w:r>
        <w:rPr>
          <w:rFonts w:ascii="宋体" w:hAnsi="宋体" w:eastAsia="宋体" w:cs="宋体"/>
          <w:spacing w:val="-8"/>
          <w:sz w:val="24"/>
          <w:szCs w:val="24"/>
        </w:rPr>
        <w:t>强化温州市与周边重要城市联系， 承担浙南闽北赣东地区相互联系的过境交</w:t>
      </w:r>
      <w:r>
        <w:rPr>
          <w:rFonts w:ascii="宋体" w:hAnsi="宋体" w:eastAsia="宋体" w:cs="宋体"/>
          <w:sz w:val="24"/>
          <w:szCs w:val="24"/>
        </w:rPr>
        <w:t xml:space="preserve"> </w:t>
      </w:r>
      <w:r>
        <w:rPr>
          <w:rFonts w:ascii="宋体" w:hAnsi="宋体" w:eastAsia="宋体" w:cs="宋体"/>
          <w:spacing w:val="-10"/>
          <w:sz w:val="24"/>
          <w:szCs w:val="24"/>
        </w:rPr>
        <w:t>通；</w:t>
      </w:r>
      <w:r>
        <w:rPr>
          <w:rFonts w:ascii="宋体" w:hAnsi="宋体" w:eastAsia="宋体" w:cs="宋体"/>
          <w:spacing w:val="-41"/>
          <w:sz w:val="24"/>
          <w:szCs w:val="24"/>
        </w:rPr>
        <w:t xml:space="preserve"> </w:t>
      </w:r>
      <w:r>
        <w:rPr>
          <w:rFonts w:ascii="宋体" w:hAnsi="宋体" w:eastAsia="宋体" w:cs="宋体"/>
          <w:spacing w:val="-10"/>
          <w:sz w:val="24"/>
          <w:szCs w:val="24"/>
        </w:rPr>
        <w:t>使文成县与温州大都市区、省会杭州、浙南闽北赣东等地区便捷连接，</w:t>
      </w:r>
      <w:r>
        <w:rPr>
          <w:rFonts w:ascii="宋体" w:hAnsi="宋体" w:eastAsia="宋体" w:cs="宋体"/>
          <w:spacing w:val="44"/>
          <w:sz w:val="24"/>
          <w:szCs w:val="24"/>
        </w:rPr>
        <w:t xml:space="preserve"> </w:t>
      </w:r>
      <w:r>
        <w:rPr>
          <w:rFonts w:ascii="宋体" w:hAnsi="宋体" w:eastAsia="宋体" w:cs="宋体"/>
          <w:spacing w:val="-10"/>
          <w:sz w:val="24"/>
          <w:szCs w:val="24"/>
        </w:rPr>
        <w:t>与区</w:t>
      </w:r>
      <w:r>
        <w:rPr>
          <w:rFonts w:ascii="宋体" w:hAnsi="宋体" w:eastAsia="宋体" w:cs="宋体"/>
          <w:sz w:val="24"/>
          <w:szCs w:val="24"/>
        </w:rPr>
        <w:t xml:space="preserve"> </w:t>
      </w:r>
      <w:r>
        <w:rPr>
          <w:rFonts w:ascii="宋体" w:hAnsi="宋体" w:eastAsia="宋体" w:cs="宋体"/>
          <w:spacing w:val="-2"/>
          <w:sz w:val="24"/>
          <w:szCs w:val="24"/>
        </w:rPr>
        <w:t>域重要交通枢纽等快速衔接，提供文成对外交通即长距离、大运量的交通出行，</w:t>
      </w:r>
      <w:r>
        <w:rPr>
          <w:rFonts w:ascii="宋体" w:hAnsi="宋体" w:eastAsia="宋体" w:cs="宋体"/>
          <w:spacing w:val="6"/>
          <w:sz w:val="24"/>
          <w:szCs w:val="24"/>
        </w:rPr>
        <w:t xml:space="preserve"> </w:t>
      </w:r>
      <w:r>
        <w:rPr>
          <w:rFonts w:ascii="宋体" w:hAnsi="宋体" w:eastAsia="宋体" w:cs="宋体"/>
          <w:spacing w:val="-8"/>
          <w:sz w:val="24"/>
          <w:szCs w:val="24"/>
        </w:rPr>
        <w:t xml:space="preserve">以实现快捷性为主要目的。 </w:t>
      </w:r>
      <w:r>
        <w:rPr>
          <w:rFonts w:ascii="Times New Roman" w:hAnsi="Times New Roman" w:eastAsia="Times New Roman" w:cs="Times New Roman"/>
          <w:spacing w:val="-8"/>
          <w:sz w:val="24"/>
          <w:szCs w:val="24"/>
        </w:rPr>
        <w:t>“</w:t>
      </w:r>
      <w:r>
        <w:rPr>
          <w:rFonts w:ascii="宋体" w:hAnsi="宋体" w:eastAsia="宋体" w:cs="宋体"/>
          <w:spacing w:val="-8"/>
          <w:sz w:val="24"/>
          <w:szCs w:val="24"/>
        </w:rPr>
        <w:t>十四五</w:t>
      </w:r>
      <w:r>
        <w:rPr>
          <w:rFonts w:ascii="Times New Roman" w:hAnsi="Times New Roman" w:eastAsia="Times New Roman" w:cs="Times New Roman"/>
          <w:spacing w:val="-8"/>
          <w:sz w:val="24"/>
          <w:szCs w:val="24"/>
        </w:rPr>
        <w:t>”</w:t>
      </w:r>
      <w:r>
        <w:rPr>
          <w:rFonts w:ascii="Times New Roman" w:hAnsi="Times New Roman" w:eastAsia="Times New Roman" w:cs="Times New Roman"/>
          <w:spacing w:val="-40"/>
          <w:sz w:val="24"/>
          <w:szCs w:val="24"/>
        </w:rPr>
        <w:t xml:space="preserve"> </w:t>
      </w:r>
      <w:r>
        <w:rPr>
          <w:rFonts w:ascii="宋体" w:hAnsi="宋体" w:eastAsia="宋体" w:cs="宋体"/>
          <w:spacing w:val="-8"/>
          <w:sz w:val="24"/>
          <w:szCs w:val="24"/>
        </w:rPr>
        <w:t>时期，</w:t>
      </w:r>
      <w:r>
        <w:rPr>
          <w:rFonts w:ascii="宋体" w:hAnsi="宋体" w:eastAsia="宋体" w:cs="宋体"/>
          <w:spacing w:val="-36"/>
          <w:sz w:val="24"/>
          <w:szCs w:val="24"/>
        </w:rPr>
        <w:t xml:space="preserve"> </w:t>
      </w:r>
      <w:r>
        <w:rPr>
          <w:rFonts w:ascii="宋体" w:hAnsi="宋体" w:eastAsia="宋体" w:cs="宋体"/>
          <w:spacing w:val="-8"/>
          <w:sz w:val="24"/>
          <w:szCs w:val="24"/>
        </w:rPr>
        <w:t>在实现高速公路连通温州</w:t>
      </w:r>
      <w:r>
        <w:rPr>
          <w:rFonts w:ascii="宋体" w:hAnsi="宋体" w:eastAsia="宋体" w:cs="宋体"/>
          <w:spacing w:val="-9"/>
          <w:sz w:val="24"/>
          <w:szCs w:val="24"/>
        </w:rPr>
        <w:t>大都市区主</w:t>
      </w:r>
      <w:r>
        <w:rPr>
          <w:rFonts w:ascii="宋体" w:hAnsi="宋体" w:eastAsia="宋体" w:cs="宋体"/>
          <w:sz w:val="24"/>
          <w:szCs w:val="24"/>
        </w:rPr>
        <w:t xml:space="preserve"> </w:t>
      </w:r>
      <w:r>
        <w:rPr>
          <w:rFonts w:ascii="宋体" w:hAnsi="宋体" w:eastAsia="宋体" w:cs="宋体"/>
          <w:spacing w:val="-17"/>
          <w:sz w:val="24"/>
          <w:szCs w:val="24"/>
        </w:rPr>
        <w:t>中心的基础上，</w:t>
      </w:r>
      <w:r>
        <w:rPr>
          <w:rFonts w:ascii="宋体" w:hAnsi="宋体" w:eastAsia="宋体" w:cs="宋体"/>
          <w:spacing w:val="69"/>
          <w:sz w:val="24"/>
          <w:szCs w:val="24"/>
        </w:rPr>
        <w:t xml:space="preserve"> </w:t>
      </w:r>
      <w:r>
        <w:rPr>
          <w:rFonts w:ascii="宋体" w:hAnsi="宋体" w:eastAsia="宋体" w:cs="宋体"/>
          <w:spacing w:val="-17"/>
          <w:sz w:val="24"/>
          <w:szCs w:val="24"/>
        </w:rPr>
        <w:t>以周边毗邻区域路网衔接为重点，</w:t>
      </w:r>
      <w:r>
        <w:rPr>
          <w:rFonts w:ascii="宋体" w:hAnsi="宋体" w:eastAsia="宋体" w:cs="宋体"/>
          <w:spacing w:val="30"/>
          <w:sz w:val="24"/>
          <w:szCs w:val="24"/>
        </w:rPr>
        <w:t xml:space="preserve"> </w:t>
      </w:r>
      <w:r>
        <w:rPr>
          <w:rFonts w:ascii="宋体" w:hAnsi="宋体" w:eastAsia="宋体" w:cs="宋体"/>
          <w:spacing w:val="-17"/>
          <w:sz w:val="24"/>
          <w:szCs w:val="24"/>
        </w:rPr>
        <w:t>进一步扩大对外高速通道，</w:t>
      </w:r>
      <w:r>
        <w:rPr>
          <w:rFonts w:ascii="宋体" w:hAnsi="宋体" w:eastAsia="宋体" w:cs="宋体"/>
          <w:spacing w:val="32"/>
          <w:sz w:val="24"/>
          <w:szCs w:val="24"/>
        </w:rPr>
        <w:t xml:space="preserve"> </w:t>
      </w:r>
      <w:r>
        <w:rPr>
          <w:rFonts w:ascii="宋体" w:hAnsi="宋体" w:eastAsia="宋体" w:cs="宋体"/>
          <w:spacing w:val="-17"/>
          <w:sz w:val="24"/>
          <w:szCs w:val="24"/>
        </w:rPr>
        <w:t>加</w:t>
      </w:r>
      <w:r>
        <w:rPr>
          <w:rFonts w:ascii="宋体" w:hAnsi="宋体" w:eastAsia="宋体" w:cs="宋体"/>
          <w:sz w:val="24"/>
          <w:szCs w:val="24"/>
        </w:rPr>
        <w:t xml:space="preserve"> </w:t>
      </w:r>
      <w:r>
        <w:rPr>
          <w:rFonts w:ascii="宋体" w:hAnsi="宋体" w:eastAsia="宋体" w:cs="宋体"/>
          <w:spacing w:val="-16"/>
          <w:sz w:val="24"/>
          <w:szCs w:val="24"/>
        </w:rPr>
        <w:t>快推进在建高速和规划高速建设，</w:t>
      </w:r>
      <w:r>
        <w:rPr>
          <w:rFonts w:ascii="宋体" w:hAnsi="宋体" w:eastAsia="宋体" w:cs="宋体"/>
          <w:spacing w:val="34"/>
          <w:sz w:val="24"/>
          <w:szCs w:val="24"/>
        </w:rPr>
        <w:t xml:space="preserve"> </w:t>
      </w:r>
      <w:r>
        <w:rPr>
          <w:rFonts w:ascii="宋体" w:hAnsi="宋体" w:eastAsia="宋体" w:cs="宋体"/>
          <w:spacing w:val="-16"/>
          <w:sz w:val="24"/>
          <w:szCs w:val="24"/>
        </w:rPr>
        <w:t>建成溧宁高速景文段，</w:t>
      </w:r>
      <w:r>
        <w:rPr>
          <w:rFonts w:ascii="宋体" w:hAnsi="宋体" w:eastAsia="宋体" w:cs="宋体"/>
          <w:spacing w:val="32"/>
          <w:sz w:val="24"/>
          <w:szCs w:val="24"/>
        </w:rPr>
        <w:t xml:space="preserve"> </w:t>
      </w:r>
      <w:r>
        <w:rPr>
          <w:rFonts w:ascii="宋体" w:hAnsi="宋体" w:eastAsia="宋体" w:cs="宋体"/>
          <w:spacing w:val="-16"/>
          <w:sz w:val="24"/>
          <w:szCs w:val="24"/>
        </w:rPr>
        <w:t>加快青文</w:t>
      </w:r>
      <w:r>
        <w:rPr>
          <w:rFonts w:ascii="宋体" w:hAnsi="宋体" w:eastAsia="宋体" w:cs="宋体"/>
          <w:spacing w:val="-17"/>
          <w:sz w:val="24"/>
          <w:szCs w:val="24"/>
        </w:rPr>
        <w:t>高速建设，</w:t>
      </w:r>
      <w:r>
        <w:rPr>
          <w:rFonts w:ascii="宋体" w:hAnsi="宋体" w:eastAsia="宋体" w:cs="宋体"/>
          <w:spacing w:val="36"/>
          <w:sz w:val="24"/>
          <w:szCs w:val="24"/>
        </w:rPr>
        <w:t xml:space="preserve"> </w:t>
      </w:r>
      <w:r>
        <w:rPr>
          <w:rFonts w:ascii="宋体" w:hAnsi="宋体" w:eastAsia="宋体" w:cs="宋体"/>
          <w:spacing w:val="-17"/>
          <w:sz w:val="24"/>
          <w:szCs w:val="24"/>
        </w:rPr>
        <w:t>打</w:t>
      </w:r>
      <w:r>
        <w:rPr>
          <w:rFonts w:ascii="宋体" w:hAnsi="宋体" w:eastAsia="宋体" w:cs="宋体"/>
          <w:sz w:val="24"/>
          <w:szCs w:val="24"/>
        </w:rPr>
        <w:t xml:space="preserve"> </w:t>
      </w:r>
      <w:r>
        <w:rPr>
          <w:rFonts w:ascii="宋体" w:hAnsi="宋体" w:eastAsia="宋体" w:cs="宋体"/>
          <w:spacing w:val="-8"/>
          <w:sz w:val="24"/>
          <w:szCs w:val="24"/>
        </w:rPr>
        <w:t>通文成至温州、瑞安、泰顺、景宁、青田的东、南、西、北多向快速通道</w:t>
      </w:r>
      <w:r>
        <w:rPr>
          <w:rFonts w:ascii="宋体" w:hAnsi="宋体" w:eastAsia="宋体" w:cs="宋体"/>
          <w:spacing w:val="-9"/>
          <w:sz w:val="24"/>
          <w:szCs w:val="24"/>
        </w:rPr>
        <w:t>，</w:t>
      </w:r>
      <w:r>
        <w:rPr>
          <w:rFonts w:ascii="宋体" w:hAnsi="宋体" w:eastAsia="宋体" w:cs="宋体"/>
          <w:spacing w:val="56"/>
          <w:sz w:val="24"/>
          <w:szCs w:val="24"/>
        </w:rPr>
        <w:t xml:space="preserve"> </w:t>
      </w:r>
      <w:r>
        <w:rPr>
          <w:rFonts w:ascii="宋体" w:hAnsi="宋体" w:eastAsia="宋体" w:cs="宋体"/>
          <w:spacing w:val="-9"/>
          <w:sz w:val="24"/>
          <w:szCs w:val="24"/>
        </w:rPr>
        <w:t>争取</w:t>
      </w:r>
      <w:r>
        <w:rPr>
          <w:rFonts w:ascii="宋体" w:hAnsi="宋体" w:eastAsia="宋体" w:cs="宋体"/>
          <w:sz w:val="24"/>
          <w:szCs w:val="24"/>
        </w:rPr>
        <w:t xml:space="preserve"> </w:t>
      </w:r>
      <w:r>
        <w:rPr>
          <w:rFonts w:ascii="宋体" w:hAnsi="宋体" w:eastAsia="宋体" w:cs="宋体"/>
          <w:spacing w:val="-2"/>
          <w:sz w:val="24"/>
          <w:szCs w:val="24"/>
        </w:rPr>
        <w:t>形成一纵一横的</w:t>
      </w:r>
      <w:r>
        <w:rPr>
          <w:rFonts w:ascii="Times New Roman" w:hAnsi="Times New Roman" w:eastAsia="Times New Roman" w:cs="Times New Roman"/>
          <w:spacing w:val="-2"/>
          <w:sz w:val="24"/>
          <w:szCs w:val="24"/>
        </w:rPr>
        <w:t>“</w:t>
      </w:r>
      <w:r>
        <w:rPr>
          <w:rFonts w:ascii="宋体" w:hAnsi="宋体" w:eastAsia="宋体" w:cs="宋体"/>
          <w:spacing w:val="-2"/>
          <w:sz w:val="24"/>
          <w:szCs w:val="24"/>
        </w:rPr>
        <w:t>十</w:t>
      </w:r>
      <w:r>
        <w:rPr>
          <w:rFonts w:ascii="Times New Roman" w:hAnsi="Times New Roman" w:eastAsia="Times New Roman" w:cs="Times New Roman"/>
          <w:spacing w:val="-2"/>
          <w:sz w:val="24"/>
          <w:szCs w:val="24"/>
        </w:rPr>
        <w:t>”</w:t>
      </w:r>
      <w:r>
        <w:rPr>
          <w:rFonts w:ascii="宋体" w:hAnsi="宋体" w:eastAsia="宋体" w:cs="宋体"/>
          <w:spacing w:val="-2"/>
          <w:sz w:val="24"/>
          <w:szCs w:val="24"/>
        </w:rPr>
        <w:t>字型高速公路格局。有序推进文成南互通及连接</w:t>
      </w:r>
      <w:r>
        <w:rPr>
          <w:rFonts w:ascii="宋体" w:hAnsi="宋体" w:eastAsia="宋体" w:cs="宋体"/>
          <w:spacing w:val="-3"/>
          <w:sz w:val="24"/>
          <w:szCs w:val="24"/>
        </w:rPr>
        <w:t>线工程等项</w:t>
      </w:r>
    </w:p>
    <w:p>
      <w:pPr>
        <w:spacing w:before="1" w:line="219" w:lineRule="auto"/>
        <w:ind w:left="167"/>
        <w:rPr>
          <w:rFonts w:ascii="宋体" w:hAnsi="宋体" w:eastAsia="宋体" w:cs="宋体"/>
          <w:sz w:val="24"/>
          <w:szCs w:val="24"/>
        </w:rPr>
      </w:pPr>
      <w:r>
        <w:rPr>
          <w:rFonts w:ascii="宋体" w:hAnsi="宋体" w:eastAsia="宋体" w:cs="宋体"/>
          <w:spacing w:val="-3"/>
          <w:sz w:val="24"/>
          <w:szCs w:val="24"/>
        </w:rPr>
        <w:t>目建设，进一步加密高速互通，扩大高速覆盖面、提升服务便捷性。</w:t>
      </w:r>
    </w:p>
    <w:p>
      <w:pPr>
        <w:spacing w:line="144"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757" w:hRule="atLeast"/>
        </w:trPr>
        <w:tc>
          <w:tcPr>
            <w:tcW w:w="8528" w:type="dxa"/>
            <w:vAlign w:val="top"/>
          </w:tcPr>
          <w:p>
            <w:pPr>
              <w:pStyle w:val="6"/>
              <w:spacing w:before="46" w:line="221" w:lineRule="auto"/>
              <w:ind w:left="4061"/>
              <w:rPr>
                <w:sz w:val="28"/>
                <w:szCs w:val="28"/>
              </w:rPr>
            </w:pPr>
            <w:r>
              <w:rPr>
                <w:spacing w:val="-17"/>
                <w:sz w:val="28"/>
                <w:szCs w:val="28"/>
                <w14:textOutline w14:w="5094" w14:cap="flat" w14:cmpd="sng">
                  <w14:solidFill>
                    <w14:srgbClr w14:val="000000"/>
                  </w14:solidFill>
                  <w14:prstDash w14:val="solid"/>
                  <w14:miter w14:val="0"/>
                </w14:textOutline>
              </w:rPr>
              <w:t>专</w:t>
            </w:r>
            <w:r>
              <w:rPr>
                <w:spacing w:val="14"/>
                <w:sz w:val="28"/>
                <w:szCs w:val="28"/>
              </w:rPr>
              <w:t xml:space="preserve"> </w:t>
            </w:r>
            <w:r>
              <w:rPr>
                <w:spacing w:val="-17"/>
                <w:sz w:val="28"/>
                <w:szCs w:val="28"/>
                <w14:textOutline w14:w="5094" w14:cap="flat" w14:cmpd="sng">
                  <w14:solidFill>
                    <w14:srgbClr w14:val="000000"/>
                  </w14:solidFill>
                  <w14:prstDash w14:val="solid"/>
                  <w14:miter w14:val="0"/>
                </w14:textOutline>
              </w:rPr>
              <w:t>栏：</w:t>
            </w:r>
          </w:p>
          <w:p>
            <w:pPr>
              <w:pStyle w:val="6"/>
              <w:spacing w:before="202" w:line="360" w:lineRule="auto"/>
              <w:ind w:left="118" w:right="50" w:firstLine="479"/>
              <w:rPr>
                <w:sz w:val="24"/>
                <w:szCs w:val="24"/>
              </w:rPr>
            </w:pPr>
            <w:r>
              <w:rPr>
                <w:spacing w:val="-1"/>
                <w:sz w:val="24"/>
                <w:szCs w:val="24"/>
              </w:rPr>
              <w:t>溧宁高速景文段，起于云景高速，途经文成</w:t>
            </w:r>
            <w:r>
              <w:rPr>
                <w:spacing w:val="-2"/>
                <w:sz w:val="24"/>
                <w:szCs w:val="24"/>
              </w:rPr>
              <w:t>县铜铃山镇、西坑镇、黄坦镇、</w:t>
            </w:r>
            <w:r>
              <w:rPr>
                <w:sz w:val="24"/>
                <w:szCs w:val="24"/>
              </w:rPr>
              <w:t xml:space="preserve"> </w:t>
            </w:r>
            <w:r>
              <w:rPr>
                <w:spacing w:val="-15"/>
                <w:sz w:val="24"/>
                <w:szCs w:val="24"/>
              </w:rPr>
              <w:t>大峃街道， 终点鸭卵坑，</w:t>
            </w:r>
            <w:r>
              <w:rPr>
                <w:spacing w:val="39"/>
                <w:sz w:val="24"/>
                <w:szCs w:val="24"/>
              </w:rPr>
              <w:t xml:space="preserve"> </w:t>
            </w:r>
            <w:r>
              <w:rPr>
                <w:spacing w:val="-15"/>
                <w:sz w:val="24"/>
                <w:szCs w:val="24"/>
              </w:rPr>
              <w:t>通过文成枢纽与文瑞高速、文泰高速实现</w:t>
            </w:r>
            <w:r>
              <w:rPr>
                <w:spacing w:val="-16"/>
                <w:sz w:val="24"/>
                <w:szCs w:val="24"/>
              </w:rPr>
              <w:t>交通转换，</w:t>
            </w:r>
            <w:r>
              <w:rPr>
                <w:spacing w:val="39"/>
                <w:sz w:val="24"/>
                <w:szCs w:val="24"/>
              </w:rPr>
              <w:t xml:space="preserve"> </w:t>
            </w:r>
            <w:r>
              <w:rPr>
                <w:spacing w:val="-16"/>
                <w:sz w:val="24"/>
                <w:szCs w:val="24"/>
              </w:rPr>
              <w:t>全</w:t>
            </w:r>
            <w:r>
              <w:rPr>
                <w:sz w:val="24"/>
                <w:szCs w:val="24"/>
              </w:rPr>
              <w:t xml:space="preserve"> </w:t>
            </w:r>
            <w:r>
              <w:rPr>
                <w:spacing w:val="-14"/>
                <w:sz w:val="24"/>
                <w:szCs w:val="24"/>
              </w:rPr>
              <w:t>长约</w:t>
            </w:r>
            <w:r>
              <w:rPr>
                <w:spacing w:val="-50"/>
                <w:sz w:val="24"/>
                <w:szCs w:val="24"/>
              </w:rPr>
              <w:t xml:space="preserve"> </w:t>
            </w:r>
            <w:r>
              <w:rPr>
                <w:rFonts w:ascii="Times New Roman" w:hAnsi="Times New Roman" w:eastAsia="Times New Roman" w:cs="Times New Roman"/>
                <w:spacing w:val="-14"/>
                <w:sz w:val="24"/>
                <w:szCs w:val="24"/>
              </w:rPr>
              <w:t>68</w:t>
            </w:r>
            <w:r>
              <w:rPr>
                <w:rFonts w:ascii="Times New Roman" w:hAnsi="Times New Roman" w:eastAsia="Times New Roman" w:cs="Times New Roman"/>
                <w:spacing w:val="17"/>
                <w:w w:val="101"/>
                <w:sz w:val="24"/>
                <w:szCs w:val="24"/>
              </w:rPr>
              <w:t xml:space="preserve"> </w:t>
            </w:r>
            <w:r>
              <w:rPr>
                <w:spacing w:val="-14"/>
                <w:sz w:val="24"/>
                <w:szCs w:val="24"/>
              </w:rPr>
              <w:t>公里。文成段长约</w:t>
            </w:r>
            <w:r>
              <w:rPr>
                <w:spacing w:val="-50"/>
                <w:sz w:val="24"/>
                <w:szCs w:val="24"/>
              </w:rPr>
              <w:t xml:space="preserve"> </w:t>
            </w:r>
            <w:r>
              <w:rPr>
                <w:rFonts w:ascii="Times New Roman" w:hAnsi="Times New Roman" w:eastAsia="Times New Roman" w:cs="Times New Roman"/>
                <w:spacing w:val="-14"/>
                <w:sz w:val="24"/>
                <w:szCs w:val="24"/>
              </w:rPr>
              <w:t>34.3</w:t>
            </w:r>
            <w:r>
              <w:rPr>
                <w:rFonts w:ascii="Times New Roman" w:hAnsi="Times New Roman" w:eastAsia="Times New Roman" w:cs="Times New Roman"/>
                <w:spacing w:val="17"/>
                <w:sz w:val="24"/>
                <w:szCs w:val="24"/>
              </w:rPr>
              <w:t xml:space="preserve"> </w:t>
            </w:r>
            <w:r>
              <w:rPr>
                <w:spacing w:val="-14"/>
                <w:sz w:val="24"/>
                <w:szCs w:val="24"/>
              </w:rPr>
              <w:t>公里， 双向四车道，</w:t>
            </w:r>
            <w:r>
              <w:rPr>
                <w:spacing w:val="45"/>
                <w:sz w:val="24"/>
                <w:szCs w:val="24"/>
              </w:rPr>
              <w:t xml:space="preserve"> </w:t>
            </w:r>
            <w:r>
              <w:rPr>
                <w:spacing w:val="-14"/>
                <w:sz w:val="24"/>
                <w:szCs w:val="24"/>
              </w:rPr>
              <w:t>总投资</w:t>
            </w:r>
            <w:r>
              <w:rPr>
                <w:spacing w:val="-51"/>
                <w:sz w:val="24"/>
                <w:szCs w:val="24"/>
              </w:rPr>
              <w:t xml:space="preserve"> </w:t>
            </w:r>
            <w:r>
              <w:rPr>
                <w:rFonts w:ascii="Times New Roman" w:hAnsi="Times New Roman" w:eastAsia="Times New Roman" w:cs="Times New Roman"/>
                <w:spacing w:val="-14"/>
                <w:sz w:val="24"/>
                <w:szCs w:val="24"/>
              </w:rPr>
              <w:t>71.</w:t>
            </w:r>
            <w:r>
              <w:rPr>
                <w:rFonts w:ascii="Times New Roman" w:hAnsi="Times New Roman" w:eastAsia="Times New Roman" w:cs="Times New Roman"/>
                <w:spacing w:val="-15"/>
                <w:sz w:val="24"/>
                <w:szCs w:val="24"/>
              </w:rPr>
              <w:t>3</w:t>
            </w:r>
            <w:r>
              <w:rPr>
                <w:rFonts w:ascii="Times New Roman" w:hAnsi="Times New Roman" w:eastAsia="Times New Roman" w:cs="Times New Roman"/>
                <w:spacing w:val="11"/>
                <w:sz w:val="24"/>
                <w:szCs w:val="24"/>
              </w:rPr>
              <w:t xml:space="preserve"> </w:t>
            </w:r>
            <w:r>
              <w:rPr>
                <w:spacing w:val="-15"/>
                <w:sz w:val="24"/>
                <w:szCs w:val="24"/>
              </w:rPr>
              <w:t>亿元； 设置枢纽</w:t>
            </w:r>
          </w:p>
          <w:p>
            <w:pPr>
              <w:pStyle w:val="6"/>
              <w:spacing w:line="219" w:lineRule="auto"/>
              <w:ind w:left="135"/>
              <w:rPr>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19"/>
                <w:w w:val="101"/>
                <w:sz w:val="24"/>
                <w:szCs w:val="24"/>
              </w:rPr>
              <w:t xml:space="preserve"> </w:t>
            </w:r>
            <w:r>
              <w:rPr>
                <w:spacing w:val="-4"/>
                <w:sz w:val="24"/>
                <w:szCs w:val="24"/>
              </w:rPr>
              <w:t>处、互通</w:t>
            </w:r>
            <w:r>
              <w:rPr>
                <w:spacing w:val="-57"/>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5"/>
                <w:sz w:val="24"/>
                <w:szCs w:val="24"/>
              </w:rPr>
              <w:t xml:space="preserve"> </w:t>
            </w:r>
            <w:r>
              <w:rPr>
                <w:spacing w:val="-4"/>
                <w:sz w:val="24"/>
                <w:szCs w:val="24"/>
              </w:rPr>
              <w:t>处、服务区</w:t>
            </w:r>
            <w:r>
              <w:rPr>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4"/>
                <w:sz w:val="24"/>
                <w:szCs w:val="24"/>
              </w:rPr>
              <w:t xml:space="preserve"> </w:t>
            </w:r>
            <w:r>
              <w:rPr>
                <w:spacing w:val="-4"/>
                <w:sz w:val="24"/>
                <w:szCs w:val="24"/>
              </w:rPr>
              <w:t>处。其中，西坑互通连接线</w:t>
            </w:r>
            <w:r>
              <w:rPr>
                <w:spacing w:val="-50"/>
                <w:sz w:val="24"/>
                <w:szCs w:val="24"/>
              </w:rPr>
              <w:t xml:space="preserve"> </w:t>
            </w:r>
            <w:r>
              <w:rPr>
                <w:rFonts w:ascii="Times New Roman" w:hAnsi="Times New Roman" w:eastAsia="Times New Roman" w:cs="Times New Roman"/>
                <w:spacing w:val="-4"/>
                <w:sz w:val="24"/>
                <w:szCs w:val="24"/>
              </w:rPr>
              <w:t>7.6</w:t>
            </w:r>
            <w:r>
              <w:rPr>
                <w:rFonts w:ascii="Times New Roman" w:hAnsi="Times New Roman" w:eastAsia="Times New Roman" w:cs="Times New Roman"/>
                <w:spacing w:val="16"/>
                <w:w w:val="101"/>
                <w:sz w:val="24"/>
                <w:szCs w:val="24"/>
              </w:rPr>
              <w:t xml:space="preserve"> </w:t>
            </w:r>
            <w:r>
              <w:rPr>
                <w:spacing w:val="-4"/>
                <w:sz w:val="24"/>
                <w:szCs w:val="24"/>
              </w:rPr>
              <w:t>公里，二级公路。</w:t>
            </w:r>
          </w:p>
          <w:p>
            <w:pPr>
              <w:pStyle w:val="6"/>
              <w:spacing w:before="181" w:line="359" w:lineRule="auto"/>
              <w:ind w:left="116" w:right="109" w:firstLine="480"/>
              <w:rPr>
                <w:rFonts w:ascii="Times New Roman" w:hAnsi="Times New Roman" w:eastAsia="Times New Roman" w:cs="Times New Roman"/>
                <w:sz w:val="24"/>
                <w:szCs w:val="24"/>
              </w:rPr>
            </w:pPr>
            <w:r>
              <w:rPr>
                <w:spacing w:val="-10"/>
                <w:sz w:val="24"/>
                <w:szCs w:val="24"/>
              </w:rPr>
              <w:t>青文高速： 起点位于丽水青田三溪口街道沙湾村附近， 与金丽温高速公路相</w:t>
            </w:r>
            <w:r>
              <w:rPr>
                <w:spacing w:val="3"/>
                <w:sz w:val="24"/>
                <w:szCs w:val="24"/>
              </w:rPr>
              <w:t xml:space="preserve"> </w:t>
            </w:r>
            <w:r>
              <w:rPr>
                <w:spacing w:val="-2"/>
                <w:sz w:val="24"/>
                <w:szCs w:val="24"/>
              </w:rPr>
              <w:t>接，途经文成县玉壶镇、大峃镇，终点接龙丽温</w:t>
            </w:r>
            <w:r>
              <w:rPr>
                <w:spacing w:val="-3"/>
                <w:sz w:val="24"/>
                <w:szCs w:val="24"/>
              </w:rPr>
              <w:t xml:space="preserve">高速，主线全长约 </w:t>
            </w:r>
            <w:r>
              <w:rPr>
                <w:rFonts w:ascii="Times New Roman" w:hAnsi="Times New Roman" w:eastAsia="Times New Roman" w:cs="Times New Roman"/>
                <w:spacing w:val="-3"/>
                <w:sz w:val="24"/>
                <w:szCs w:val="24"/>
              </w:rPr>
              <w:t xml:space="preserve">58.9  </w:t>
            </w:r>
            <w:r>
              <w:rPr>
                <w:spacing w:val="-3"/>
                <w:sz w:val="24"/>
                <w:szCs w:val="24"/>
              </w:rPr>
              <w:t>公里，</w:t>
            </w:r>
            <w:r>
              <w:rPr>
                <w:sz w:val="24"/>
                <w:szCs w:val="24"/>
              </w:rPr>
              <w:t xml:space="preserve"> </w:t>
            </w:r>
            <w:r>
              <w:rPr>
                <w:spacing w:val="-2"/>
                <w:sz w:val="24"/>
                <w:szCs w:val="24"/>
              </w:rPr>
              <w:t xml:space="preserve">总投资 </w:t>
            </w:r>
            <w:r>
              <w:rPr>
                <w:rFonts w:ascii="Times New Roman" w:hAnsi="Times New Roman" w:eastAsia="Times New Roman" w:cs="Times New Roman"/>
                <w:spacing w:val="-2"/>
                <w:sz w:val="24"/>
                <w:szCs w:val="24"/>
              </w:rPr>
              <w:t>145.3</w:t>
            </w:r>
            <w:r>
              <w:rPr>
                <w:rFonts w:ascii="Times New Roman" w:hAnsi="Times New Roman" w:eastAsia="Times New Roman" w:cs="Times New Roman"/>
                <w:spacing w:val="27"/>
                <w:w w:val="101"/>
                <w:sz w:val="24"/>
                <w:szCs w:val="24"/>
              </w:rPr>
              <w:t xml:space="preserve"> </w:t>
            </w:r>
            <w:r>
              <w:rPr>
                <w:spacing w:val="-2"/>
                <w:sz w:val="24"/>
                <w:szCs w:val="24"/>
              </w:rPr>
              <w:t>亿元。其中，文成段境内约</w:t>
            </w:r>
            <w:r>
              <w:rPr>
                <w:spacing w:val="-37"/>
                <w:sz w:val="24"/>
                <w:szCs w:val="24"/>
              </w:rPr>
              <w:t xml:space="preserve"> </w:t>
            </w:r>
            <w:r>
              <w:rPr>
                <w:rFonts w:ascii="Times New Roman" w:hAnsi="Times New Roman" w:eastAsia="Times New Roman" w:cs="Times New Roman"/>
                <w:spacing w:val="-2"/>
                <w:sz w:val="24"/>
                <w:szCs w:val="24"/>
              </w:rPr>
              <w:t>21</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33"/>
                <w:w w:val="101"/>
                <w:sz w:val="24"/>
                <w:szCs w:val="24"/>
              </w:rPr>
              <w:t xml:space="preserve"> </w:t>
            </w:r>
            <w:r>
              <w:rPr>
                <w:spacing w:val="-3"/>
                <w:sz w:val="24"/>
                <w:szCs w:val="24"/>
              </w:rPr>
              <w:t>公里，双向四车道，总投资约</w:t>
            </w:r>
            <w:r>
              <w:rPr>
                <w:spacing w:val="-32"/>
                <w:sz w:val="24"/>
                <w:szCs w:val="24"/>
              </w:rPr>
              <w:t xml:space="preserve"> </w:t>
            </w:r>
            <w:r>
              <w:rPr>
                <w:rFonts w:ascii="Times New Roman" w:hAnsi="Times New Roman" w:eastAsia="Times New Roman" w:cs="Times New Roman"/>
                <w:spacing w:val="-3"/>
                <w:sz w:val="24"/>
                <w:szCs w:val="24"/>
              </w:rPr>
              <w:t>50</w:t>
            </w:r>
          </w:p>
          <w:p>
            <w:pPr>
              <w:pStyle w:val="6"/>
              <w:spacing w:line="220" w:lineRule="auto"/>
              <w:ind w:left="118"/>
              <w:rPr>
                <w:sz w:val="24"/>
                <w:szCs w:val="24"/>
              </w:rPr>
            </w:pPr>
            <w:r>
              <w:rPr>
                <w:spacing w:val="-11"/>
                <w:sz w:val="24"/>
                <w:szCs w:val="24"/>
              </w:rPr>
              <w:t>亿元。</w:t>
            </w:r>
          </w:p>
          <w:p>
            <w:pPr>
              <w:pStyle w:val="6"/>
              <w:spacing w:before="179" w:line="219" w:lineRule="auto"/>
              <w:ind w:left="598"/>
              <w:rPr>
                <w:sz w:val="24"/>
                <w:szCs w:val="24"/>
              </w:rPr>
            </w:pPr>
            <w:r>
              <w:rPr>
                <w:spacing w:val="4"/>
                <w:sz w:val="24"/>
                <w:szCs w:val="24"/>
              </w:rPr>
              <w:t>文成南互通：位于文成南互通位于溧宁高速景文段文成县大峃镇凤垟村附</w:t>
            </w:r>
          </w:p>
        </w:tc>
      </w:tr>
    </w:tbl>
    <w:p>
      <w:pPr>
        <w:pStyle w:val="2"/>
      </w:pPr>
    </w:p>
    <w:p>
      <w:pPr>
        <w:sectPr>
          <w:headerReference r:id="rId49" w:type="default"/>
          <w:footerReference r:id="rId50" w:type="default"/>
          <w:pgSz w:w="11907" w:h="16839"/>
          <w:pgMar w:top="1118" w:right="1685" w:bottom="1184" w:left="1687" w:header="879" w:footer="1024" w:gutter="0"/>
          <w:cols w:space="720" w:num="1"/>
        </w:sectPr>
      </w:pPr>
    </w:p>
    <w:p>
      <w:pPr>
        <w:spacing w:before="80"/>
      </w:pPr>
    </w:p>
    <w:tbl>
      <w:tblPr>
        <w:tblStyle w:val="5"/>
        <w:tblW w:w="852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943" w:hRule="atLeast"/>
        </w:trPr>
        <w:tc>
          <w:tcPr>
            <w:tcW w:w="8528" w:type="dxa"/>
            <w:vAlign w:val="top"/>
          </w:tcPr>
          <w:p>
            <w:pPr>
              <w:pStyle w:val="6"/>
              <w:spacing w:before="41" w:line="468" w:lineRule="exact"/>
              <w:ind w:left="116"/>
              <w:rPr>
                <w:sz w:val="24"/>
                <w:szCs w:val="24"/>
              </w:rPr>
            </w:pPr>
            <w:r>
              <w:rPr>
                <w:spacing w:val="-3"/>
                <w:position w:val="17"/>
                <w:sz w:val="24"/>
                <w:szCs w:val="24"/>
              </w:rPr>
              <w:t>近，互通主线全长</w:t>
            </w:r>
            <w:r>
              <w:rPr>
                <w:spacing w:val="-15"/>
                <w:position w:val="17"/>
                <w:sz w:val="24"/>
                <w:szCs w:val="24"/>
              </w:rPr>
              <w:t xml:space="preserve"> </w:t>
            </w:r>
            <w:r>
              <w:rPr>
                <w:rFonts w:ascii="Times New Roman" w:hAnsi="Times New Roman" w:eastAsia="Times New Roman" w:cs="Times New Roman"/>
                <w:spacing w:val="-3"/>
                <w:position w:val="17"/>
                <w:sz w:val="24"/>
                <w:szCs w:val="24"/>
              </w:rPr>
              <w:t>1.1</w:t>
            </w:r>
            <w:r>
              <w:rPr>
                <w:rFonts w:ascii="Times New Roman" w:hAnsi="Times New Roman" w:eastAsia="Times New Roman" w:cs="Times New Roman"/>
                <w:spacing w:val="21"/>
                <w:w w:val="101"/>
                <w:position w:val="17"/>
                <w:sz w:val="24"/>
                <w:szCs w:val="24"/>
              </w:rPr>
              <w:t xml:space="preserve"> </w:t>
            </w:r>
            <w:r>
              <w:rPr>
                <w:spacing w:val="-3"/>
                <w:position w:val="17"/>
                <w:sz w:val="24"/>
                <w:szCs w:val="24"/>
              </w:rPr>
              <w:t>公里，连接线长</w:t>
            </w:r>
            <w:r>
              <w:rPr>
                <w:spacing w:val="-25"/>
                <w:position w:val="17"/>
                <w:sz w:val="24"/>
                <w:szCs w:val="24"/>
              </w:rPr>
              <w:t xml:space="preserve"> </w:t>
            </w:r>
            <w:r>
              <w:rPr>
                <w:rFonts w:ascii="Times New Roman" w:hAnsi="Times New Roman" w:eastAsia="Times New Roman" w:cs="Times New Roman"/>
                <w:spacing w:val="-3"/>
                <w:position w:val="17"/>
                <w:sz w:val="24"/>
                <w:szCs w:val="24"/>
              </w:rPr>
              <w:t>1.6</w:t>
            </w:r>
            <w:r>
              <w:rPr>
                <w:rFonts w:ascii="Times New Roman" w:hAnsi="Times New Roman" w:eastAsia="Times New Roman" w:cs="Times New Roman"/>
                <w:spacing w:val="24"/>
                <w:w w:val="101"/>
                <w:position w:val="17"/>
                <w:sz w:val="24"/>
                <w:szCs w:val="24"/>
              </w:rPr>
              <w:t xml:space="preserve"> </w:t>
            </w:r>
            <w:r>
              <w:rPr>
                <w:spacing w:val="-3"/>
                <w:position w:val="17"/>
                <w:sz w:val="24"/>
                <w:szCs w:val="24"/>
              </w:rPr>
              <w:t>公里，按双向四车道高速一级公路标</w:t>
            </w:r>
          </w:p>
          <w:p>
            <w:pPr>
              <w:pStyle w:val="6"/>
              <w:spacing w:line="234" w:lineRule="auto"/>
              <w:ind w:left="119"/>
              <w:rPr>
                <w:sz w:val="24"/>
                <w:szCs w:val="24"/>
              </w:rPr>
            </w:pPr>
            <w:r>
              <w:rPr>
                <w:spacing w:val="-3"/>
                <w:sz w:val="24"/>
                <w:szCs w:val="24"/>
              </w:rPr>
              <w:t>准设计，设计速度为</w:t>
            </w:r>
            <w:r>
              <w:rPr>
                <w:spacing w:val="-39"/>
                <w:sz w:val="24"/>
                <w:szCs w:val="24"/>
              </w:rPr>
              <w:t xml:space="preserve"> </w:t>
            </w:r>
            <w:r>
              <w:rPr>
                <w:rFonts w:ascii="Times New Roman" w:hAnsi="Times New Roman" w:eastAsia="Times New Roman" w:cs="Times New Roman"/>
                <w:spacing w:val="-3"/>
                <w:sz w:val="24"/>
                <w:szCs w:val="24"/>
              </w:rPr>
              <w:t>60</w:t>
            </w:r>
            <w:r>
              <w:rPr>
                <w:rFonts w:ascii="Times New Roman" w:hAnsi="Times New Roman" w:eastAsia="Times New Roman" w:cs="Times New Roman"/>
                <w:spacing w:val="17"/>
                <w:sz w:val="24"/>
                <w:szCs w:val="24"/>
              </w:rPr>
              <w:t xml:space="preserve"> </w:t>
            </w:r>
            <w:r>
              <w:rPr>
                <w:spacing w:val="-3"/>
                <w:sz w:val="24"/>
                <w:szCs w:val="24"/>
              </w:rPr>
              <w:t>公里</w:t>
            </w:r>
            <w:r>
              <w:rPr>
                <w:rFonts w:ascii="Times New Roman" w:hAnsi="Times New Roman" w:eastAsia="Times New Roman" w:cs="Times New Roman"/>
                <w:spacing w:val="-3"/>
                <w:sz w:val="24"/>
                <w:szCs w:val="24"/>
              </w:rPr>
              <w:t>/</w:t>
            </w:r>
            <w:r>
              <w:rPr>
                <w:spacing w:val="-3"/>
                <w:sz w:val="24"/>
                <w:szCs w:val="24"/>
              </w:rPr>
              <w:t>小时，总投资</w:t>
            </w:r>
            <w:r>
              <w:rPr>
                <w:spacing w:val="-48"/>
                <w:sz w:val="24"/>
                <w:szCs w:val="24"/>
              </w:rPr>
              <w:t xml:space="preserve"> </w:t>
            </w:r>
            <w:r>
              <w:rPr>
                <w:rFonts w:ascii="Times New Roman" w:hAnsi="Times New Roman" w:eastAsia="Times New Roman" w:cs="Times New Roman"/>
                <w:spacing w:val="-3"/>
                <w:sz w:val="24"/>
                <w:szCs w:val="24"/>
              </w:rPr>
              <w:t xml:space="preserve">5.4 </w:t>
            </w:r>
            <w:r>
              <w:rPr>
                <w:spacing w:val="-3"/>
                <w:sz w:val="24"/>
                <w:szCs w:val="24"/>
              </w:rPr>
              <w:t>亿元。</w:t>
            </w:r>
          </w:p>
        </w:tc>
      </w:tr>
    </w:tbl>
    <w:p>
      <w:pPr>
        <w:spacing w:before="191" w:line="220" w:lineRule="auto"/>
        <w:ind w:left="597"/>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、规划符合性分析</w:t>
      </w:r>
    </w:p>
    <w:p>
      <w:pPr>
        <w:spacing w:before="183" w:line="359" w:lineRule="auto"/>
        <w:ind w:left="121" w:right="114" w:firstLine="481"/>
        <w:rPr>
          <w:rFonts w:ascii="宋体" w:hAnsi="宋体" w:eastAsia="宋体" w:cs="宋体"/>
          <w:sz w:val="24"/>
          <w:szCs w:val="24"/>
        </w:rPr>
      </w:pPr>
      <w:r>
        <w:rPr>
          <w:rFonts w:ascii="宋体" w:hAnsi="宋体" w:eastAsia="宋体" w:cs="宋体"/>
          <w:spacing w:val="-6"/>
          <w:sz w:val="24"/>
          <w:szCs w:val="24"/>
        </w:rPr>
        <w:t>本项目为高速快捷骨干网中溧宁高速景文段的配套西坑互通连接线，</w:t>
      </w:r>
      <w:r>
        <w:rPr>
          <w:rFonts w:ascii="宋体" w:hAnsi="宋体" w:eastAsia="宋体" w:cs="宋体"/>
          <w:spacing w:val="-27"/>
          <w:sz w:val="24"/>
          <w:szCs w:val="24"/>
        </w:rPr>
        <w:t xml:space="preserve"> </w:t>
      </w:r>
      <w:r>
        <w:rPr>
          <w:rFonts w:ascii="宋体" w:hAnsi="宋体" w:eastAsia="宋体" w:cs="宋体"/>
          <w:spacing w:val="-6"/>
          <w:sz w:val="24"/>
          <w:szCs w:val="24"/>
        </w:rPr>
        <w:t>连接线</w:t>
      </w:r>
      <w:r>
        <w:rPr>
          <w:rFonts w:ascii="宋体" w:hAnsi="宋体" w:eastAsia="宋体" w:cs="宋体"/>
          <w:sz w:val="24"/>
          <w:szCs w:val="24"/>
        </w:rPr>
        <w:t xml:space="preserve"> </w:t>
      </w:r>
      <w:r>
        <w:rPr>
          <w:rFonts w:ascii="宋体" w:hAnsi="宋体" w:eastAsia="宋体" w:cs="宋体"/>
          <w:spacing w:val="-12"/>
          <w:sz w:val="24"/>
          <w:szCs w:val="24"/>
        </w:rPr>
        <w:t>为二级公路，</w:t>
      </w:r>
      <w:r>
        <w:rPr>
          <w:rFonts w:ascii="宋体" w:hAnsi="宋体" w:eastAsia="宋体" w:cs="宋体"/>
          <w:spacing w:val="41"/>
          <w:sz w:val="24"/>
          <w:szCs w:val="24"/>
        </w:rPr>
        <w:t xml:space="preserve"> </w:t>
      </w:r>
      <w:r>
        <w:rPr>
          <w:rFonts w:ascii="宋体" w:hAnsi="宋体" w:eastAsia="宋体" w:cs="宋体"/>
          <w:spacing w:val="-12"/>
          <w:sz w:val="24"/>
          <w:szCs w:val="24"/>
        </w:rPr>
        <w:t>线路走向不变，</w:t>
      </w:r>
      <w:r>
        <w:rPr>
          <w:rFonts w:ascii="宋体" w:hAnsi="宋体" w:eastAsia="宋体" w:cs="宋体"/>
          <w:spacing w:val="42"/>
          <w:sz w:val="24"/>
          <w:szCs w:val="24"/>
        </w:rPr>
        <w:t xml:space="preserve"> </w:t>
      </w:r>
      <w:r>
        <w:rPr>
          <w:rFonts w:ascii="宋体" w:hAnsi="宋体" w:eastAsia="宋体" w:cs="宋体"/>
          <w:spacing w:val="-12"/>
          <w:sz w:val="24"/>
          <w:szCs w:val="24"/>
        </w:rPr>
        <w:t>线路连接文成百丈漈、南田、</w:t>
      </w:r>
      <w:r>
        <w:rPr>
          <w:rFonts w:ascii="宋体" w:hAnsi="宋体" w:eastAsia="宋体" w:cs="宋体"/>
          <w:spacing w:val="-13"/>
          <w:sz w:val="24"/>
          <w:szCs w:val="24"/>
        </w:rPr>
        <w:t>西坑至景文高速公路</w:t>
      </w:r>
      <w:r>
        <w:rPr>
          <w:rFonts w:ascii="宋体" w:hAnsi="宋体" w:eastAsia="宋体" w:cs="宋体"/>
          <w:sz w:val="24"/>
          <w:szCs w:val="24"/>
        </w:rPr>
        <w:t xml:space="preserve"> </w:t>
      </w:r>
      <w:r>
        <w:rPr>
          <w:rFonts w:ascii="宋体" w:hAnsi="宋体" w:eastAsia="宋体" w:cs="宋体"/>
          <w:spacing w:val="-9"/>
          <w:sz w:val="24"/>
          <w:szCs w:val="24"/>
        </w:rPr>
        <w:t>与地方上公路， 使得西坑互通的交通转换功能大幅提</w:t>
      </w:r>
      <w:r>
        <w:rPr>
          <w:rFonts w:ascii="宋体" w:hAnsi="宋体" w:eastAsia="宋体" w:cs="宋体"/>
          <w:spacing w:val="-10"/>
          <w:sz w:val="24"/>
          <w:szCs w:val="24"/>
        </w:rPr>
        <w:t>升， 建设后将极大地完善周</w:t>
      </w:r>
      <w:r>
        <w:rPr>
          <w:rFonts w:ascii="宋体" w:hAnsi="宋体" w:eastAsia="宋体" w:cs="宋体"/>
          <w:sz w:val="24"/>
          <w:szCs w:val="24"/>
        </w:rPr>
        <w:t xml:space="preserve"> </w:t>
      </w:r>
      <w:r>
        <w:rPr>
          <w:rFonts w:ascii="宋体" w:hAnsi="宋体" w:eastAsia="宋体" w:cs="宋体"/>
          <w:spacing w:val="-12"/>
          <w:sz w:val="24"/>
          <w:szCs w:val="24"/>
        </w:rPr>
        <w:t>边区域的路网结构，</w:t>
      </w:r>
      <w:r>
        <w:rPr>
          <w:rFonts w:ascii="宋体" w:hAnsi="宋体" w:eastAsia="宋体" w:cs="宋体"/>
          <w:spacing w:val="46"/>
          <w:sz w:val="24"/>
          <w:szCs w:val="24"/>
        </w:rPr>
        <w:t xml:space="preserve"> </w:t>
      </w:r>
      <w:r>
        <w:rPr>
          <w:rFonts w:ascii="宋体" w:hAnsi="宋体" w:eastAsia="宋体" w:cs="宋体"/>
          <w:spacing w:val="-12"/>
          <w:sz w:val="24"/>
          <w:szCs w:val="24"/>
        </w:rPr>
        <w:t>改善交通出行条件，</w:t>
      </w:r>
      <w:r>
        <w:rPr>
          <w:rFonts w:ascii="宋体" w:hAnsi="宋体" w:eastAsia="宋体" w:cs="宋体"/>
          <w:spacing w:val="30"/>
          <w:sz w:val="24"/>
          <w:szCs w:val="24"/>
        </w:rPr>
        <w:t xml:space="preserve"> </w:t>
      </w:r>
      <w:r>
        <w:rPr>
          <w:rFonts w:ascii="宋体" w:hAnsi="宋体" w:eastAsia="宋体" w:cs="宋体"/>
          <w:spacing w:val="-12"/>
          <w:sz w:val="24"/>
          <w:szCs w:val="24"/>
        </w:rPr>
        <w:t>解决困扰区域发展的交通出行要求。因</w:t>
      </w:r>
    </w:p>
    <w:p>
      <w:pPr>
        <w:spacing w:before="1" w:line="218" w:lineRule="auto"/>
        <w:ind w:left="123"/>
        <w:rPr>
          <w:rFonts w:ascii="宋体" w:hAnsi="宋体" w:eastAsia="宋体" w:cs="宋体"/>
          <w:sz w:val="24"/>
          <w:szCs w:val="24"/>
        </w:rPr>
      </w:pPr>
      <w:r>
        <w:rPr>
          <w:rFonts w:ascii="宋体" w:hAnsi="宋体" w:eastAsia="宋体" w:cs="宋体"/>
          <w:spacing w:val="-2"/>
          <w:sz w:val="24"/>
          <w:szCs w:val="24"/>
        </w:rPr>
        <w:t>此，本项目的建设符合文成县综合交通运输</w:t>
      </w:r>
      <w:r>
        <w:rPr>
          <w:rFonts w:ascii="Times New Roman" w:hAnsi="Times New Roman" w:eastAsia="Times New Roman" w:cs="Times New Roman"/>
          <w:spacing w:val="-2"/>
          <w:sz w:val="24"/>
          <w:szCs w:val="24"/>
        </w:rPr>
        <w:t>“</w:t>
      </w:r>
      <w:r>
        <w:rPr>
          <w:rFonts w:ascii="宋体" w:hAnsi="宋体" w:eastAsia="宋体" w:cs="宋体"/>
          <w:spacing w:val="-2"/>
          <w:sz w:val="24"/>
          <w:szCs w:val="24"/>
        </w:rPr>
        <w:t>十四五</w:t>
      </w:r>
      <w:r>
        <w:rPr>
          <w:rFonts w:ascii="Times New Roman" w:hAnsi="Times New Roman" w:eastAsia="Times New Roman" w:cs="Times New Roman"/>
          <w:spacing w:val="-2"/>
          <w:sz w:val="24"/>
          <w:szCs w:val="24"/>
        </w:rPr>
        <w:t>”</w:t>
      </w:r>
      <w:r>
        <w:rPr>
          <w:rFonts w:ascii="宋体" w:hAnsi="宋体" w:eastAsia="宋体" w:cs="宋体"/>
          <w:spacing w:val="-2"/>
          <w:sz w:val="24"/>
          <w:szCs w:val="24"/>
        </w:rPr>
        <w:t>规划。</w:t>
      </w:r>
    </w:p>
    <w:p>
      <w:pPr>
        <w:pStyle w:val="2"/>
        <w:spacing w:line="259" w:lineRule="auto"/>
      </w:pPr>
    </w:p>
    <w:p>
      <w:pPr>
        <w:spacing w:before="78" w:line="220" w:lineRule="auto"/>
        <w:ind w:left="118"/>
        <w:outlineLvl w:val="0"/>
        <w:rPr>
          <w:rFonts w:ascii="宋体" w:hAnsi="宋体" w:eastAsia="宋体" w:cs="宋体"/>
          <w:sz w:val="24"/>
          <w:szCs w:val="24"/>
        </w:rPr>
      </w:pPr>
      <w:r>
        <w:fldChar w:fldCharType="begin"/>
      </w:r>
      <w:r>
        <w:instrText xml:space="preserve"> HYPERLINK "2.4.1.4" </w:instrText>
      </w:r>
      <w:r>
        <w:fldChar w:fldCharType="separate"/>
      </w:r>
      <w:r>
        <w:rPr>
          <w:rFonts w:ascii="Times New Roman" w:hAnsi="Times New Roman" w:eastAsia="Times New Roman" w:cs="Times New Roman"/>
          <w:b/>
          <w:bCs/>
          <w:spacing w:val="-2"/>
          <w:sz w:val="24"/>
          <w:szCs w:val="24"/>
        </w:rPr>
        <w:t>2.4.1.4</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14"/>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与《文成县域总体规划（</w:t>
      </w:r>
      <w:r>
        <w:rPr>
          <w:rFonts w:ascii="Times New Roman" w:hAnsi="Times New Roman" w:eastAsia="Times New Roman" w:cs="Times New Roman"/>
          <w:b/>
          <w:bCs/>
          <w:spacing w:val="-2"/>
          <w:sz w:val="24"/>
          <w:szCs w:val="24"/>
        </w:rPr>
        <w:t>200</w:t>
      </w:r>
      <w:r>
        <w:rPr>
          <w:rFonts w:ascii="Times New Roman" w:hAnsi="Times New Roman" w:eastAsia="Times New Roman" w:cs="Times New Roman"/>
          <w:b/>
          <w:bCs/>
          <w:spacing w:val="-3"/>
          <w:sz w:val="24"/>
          <w:szCs w:val="24"/>
        </w:rPr>
        <w:t xml:space="preserve">6-2020 </w:t>
      </w:r>
      <w:r>
        <w:rPr>
          <w:rFonts w:ascii="宋体" w:hAnsi="宋体" w:eastAsia="宋体" w:cs="宋体"/>
          <w:spacing w:val="-3"/>
          <w:sz w:val="24"/>
          <w:szCs w:val="24"/>
          <w14:textOutline w14:w="4354" w14:cap="flat" w14:cmpd="sng">
            <w14:solidFill>
              <w14:srgbClr w14:val="000000"/>
            </w14:solidFill>
            <w14:prstDash w14:val="solid"/>
            <w14:miter w14:val="0"/>
          </w14:textOutline>
        </w:rPr>
        <w:t>年）</w:t>
      </w:r>
      <w:r>
        <w:rPr>
          <w:rFonts w:ascii="宋体" w:hAnsi="宋体" w:eastAsia="宋体" w:cs="宋体"/>
          <w:spacing w:val="-33"/>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》的符合性分析</w:t>
      </w:r>
    </w:p>
    <w:p>
      <w:pPr>
        <w:spacing w:before="179" w:line="220" w:lineRule="auto"/>
        <w:ind w:left="620"/>
        <w:rPr>
          <w:rFonts w:ascii="宋体" w:hAnsi="宋体" w:eastAsia="宋体" w:cs="宋体"/>
          <w:sz w:val="24"/>
          <w:szCs w:val="24"/>
        </w:rPr>
      </w:pPr>
      <w:r>
        <w:rPr>
          <w:rFonts w:ascii="Times New Roman" w:hAnsi="Times New Roman" w:eastAsia="Times New Roman" w:cs="Times New Roman"/>
          <w:spacing w:val="-9"/>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9"/>
          <w:sz w:val="24"/>
          <w:szCs w:val="24"/>
        </w:rPr>
        <w:t>、规划概述</w:t>
      </w:r>
    </w:p>
    <w:p>
      <w:pPr>
        <w:spacing w:before="183" w:line="220" w:lineRule="auto"/>
        <w:ind w:left="60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）规划期限</w:t>
      </w:r>
    </w:p>
    <w:p>
      <w:pPr>
        <w:spacing w:before="179" w:line="468" w:lineRule="exact"/>
        <w:ind w:left="603"/>
        <w:rPr>
          <w:rFonts w:ascii="宋体" w:hAnsi="宋体" w:eastAsia="宋体" w:cs="宋体"/>
          <w:sz w:val="24"/>
          <w:szCs w:val="24"/>
        </w:rPr>
      </w:pPr>
      <w:r>
        <w:rPr>
          <w:rFonts w:ascii="宋体" w:hAnsi="宋体" w:eastAsia="宋体" w:cs="宋体"/>
          <w:spacing w:val="-2"/>
          <w:position w:val="17"/>
          <w:sz w:val="24"/>
          <w:szCs w:val="24"/>
        </w:rPr>
        <w:t>本次规划期限为</w:t>
      </w:r>
      <w:r>
        <w:rPr>
          <w:rFonts w:ascii="宋体" w:hAnsi="宋体" w:eastAsia="宋体" w:cs="宋体"/>
          <w:spacing w:val="-45"/>
          <w:position w:val="17"/>
          <w:sz w:val="24"/>
          <w:szCs w:val="24"/>
        </w:rPr>
        <w:t xml:space="preserve"> </w:t>
      </w:r>
      <w:r>
        <w:rPr>
          <w:rFonts w:ascii="Times New Roman" w:hAnsi="Times New Roman" w:eastAsia="Times New Roman" w:cs="Times New Roman"/>
          <w:spacing w:val="-2"/>
          <w:position w:val="17"/>
          <w:sz w:val="24"/>
          <w:szCs w:val="24"/>
        </w:rPr>
        <w:t>2006</w:t>
      </w: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 xml:space="preserve">2020 </w:t>
      </w:r>
      <w:r>
        <w:rPr>
          <w:rFonts w:ascii="宋体" w:hAnsi="宋体" w:eastAsia="宋体" w:cs="宋体"/>
          <w:spacing w:val="-2"/>
          <w:position w:val="17"/>
          <w:sz w:val="24"/>
          <w:szCs w:val="24"/>
        </w:rPr>
        <w:t>年。</w:t>
      </w:r>
    </w:p>
    <w:p>
      <w:pPr>
        <w:spacing w:line="220" w:lineRule="auto"/>
        <w:ind w:left="608"/>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）规划范围</w:t>
      </w:r>
    </w:p>
    <w:p>
      <w:pPr>
        <w:spacing w:before="180" w:line="468" w:lineRule="exact"/>
        <w:ind w:left="603"/>
        <w:rPr>
          <w:rFonts w:ascii="宋体" w:hAnsi="宋体" w:eastAsia="宋体" w:cs="宋体"/>
          <w:sz w:val="24"/>
          <w:szCs w:val="24"/>
        </w:rPr>
      </w:pPr>
      <w:r>
        <w:rPr>
          <w:rFonts w:ascii="宋体" w:hAnsi="宋体" w:eastAsia="宋体" w:cs="宋体"/>
          <w:spacing w:val="-2"/>
          <w:position w:val="17"/>
          <w:sz w:val="24"/>
          <w:szCs w:val="24"/>
        </w:rPr>
        <w:t>本次规划范围为文成县域行政管辖范围，面积</w:t>
      </w:r>
      <w:r>
        <w:rPr>
          <w:rFonts w:ascii="宋体" w:hAnsi="宋体" w:eastAsia="宋体" w:cs="宋体"/>
          <w:spacing w:val="-31"/>
          <w:position w:val="17"/>
          <w:sz w:val="24"/>
          <w:szCs w:val="24"/>
        </w:rPr>
        <w:t xml:space="preserve"> </w:t>
      </w:r>
      <w:r>
        <w:rPr>
          <w:rFonts w:ascii="Times New Roman" w:hAnsi="Times New Roman" w:eastAsia="Times New Roman" w:cs="Times New Roman"/>
          <w:spacing w:val="-2"/>
          <w:position w:val="17"/>
          <w:sz w:val="24"/>
          <w:szCs w:val="24"/>
        </w:rPr>
        <w:t xml:space="preserve">1296.44 </w:t>
      </w:r>
      <w:r>
        <w:rPr>
          <w:rFonts w:ascii="宋体" w:hAnsi="宋体" w:eastAsia="宋体" w:cs="宋体"/>
          <w:spacing w:val="-2"/>
          <w:position w:val="17"/>
          <w:sz w:val="24"/>
          <w:szCs w:val="24"/>
        </w:rPr>
        <w:t>平方公里。</w:t>
      </w:r>
    </w:p>
    <w:p>
      <w:pPr>
        <w:spacing w:line="220" w:lineRule="auto"/>
        <w:ind w:left="60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 综合交通发展规划</w:t>
      </w:r>
    </w:p>
    <w:p>
      <w:pPr>
        <w:spacing w:before="180" w:line="468" w:lineRule="exact"/>
        <w:ind w:left="603"/>
        <w:rPr>
          <w:rFonts w:ascii="宋体" w:hAnsi="宋体" w:eastAsia="宋体" w:cs="宋体"/>
          <w:sz w:val="24"/>
          <w:szCs w:val="24"/>
        </w:rPr>
      </w:pPr>
      <w:r>
        <w:rPr>
          <w:rFonts w:ascii="宋体" w:hAnsi="宋体" w:eastAsia="宋体" w:cs="宋体"/>
          <w:spacing w:val="-10"/>
          <w:position w:val="17"/>
          <w:sz w:val="24"/>
          <w:szCs w:val="24"/>
        </w:rPr>
        <w:t>文成县公路网由四个层次构成， 第一层次为高速公路， 第二层次为县域主干</w:t>
      </w:r>
    </w:p>
    <w:p>
      <w:pPr>
        <w:spacing w:before="1" w:line="218" w:lineRule="auto"/>
        <w:ind w:left="129"/>
        <w:rPr>
          <w:rFonts w:ascii="宋体" w:hAnsi="宋体" w:eastAsia="宋体" w:cs="宋体"/>
          <w:sz w:val="24"/>
          <w:szCs w:val="24"/>
        </w:rPr>
      </w:pPr>
      <w:r>
        <w:rPr>
          <w:rFonts w:ascii="宋体" w:hAnsi="宋体" w:eastAsia="宋体" w:cs="宋体"/>
          <w:spacing w:val="-1"/>
          <w:sz w:val="24"/>
          <w:szCs w:val="24"/>
        </w:rPr>
        <w:t>公路，第三层次为次干公路，第四层次为主要通镇（乡、林场、村）公路</w:t>
      </w:r>
    </w:p>
    <w:p>
      <w:pPr>
        <w:spacing w:before="180" w:line="220" w:lineRule="auto"/>
        <w:ind w:left="611"/>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0"/>
          </w14:textOutline>
        </w:rPr>
        <w:t>公路网规划</w:t>
      </w:r>
    </w:p>
    <w:p>
      <w:pPr>
        <w:spacing w:before="183" w:line="465" w:lineRule="exact"/>
        <w:ind w:left="608"/>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1</w:t>
      </w:r>
      <w:r>
        <w:rPr>
          <w:rFonts w:ascii="宋体" w:hAnsi="宋体" w:eastAsia="宋体" w:cs="宋体"/>
          <w:spacing w:val="-2"/>
          <w:position w:val="17"/>
          <w:sz w:val="24"/>
          <w:szCs w:val="24"/>
        </w:rPr>
        <w:t>）高速公路</w:t>
      </w:r>
    </w:p>
    <w:p>
      <w:pPr>
        <w:spacing w:before="1" w:line="220" w:lineRule="auto"/>
        <w:ind w:left="620"/>
        <w:rPr>
          <w:rFonts w:ascii="宋体" w:hAnsi="宋体" w:eastAsia="宋体" w:cs="宋体"/>
          <w:sz w:val="24"/>
          <w:szCs w:val="24"/>
        </w:rPr>
      </w:pPr>
      <w:r>
        <w:rPr>
          <w:rFonts w:ascii="Times New Roman" w:hAnsi="Times New Roman" w:eastAsia="Times New Roman" w:cs="Times New Roman"/>
          <w:spacing w:val="-7"/>
          <w:sz w:val="24"/>
          <w:szCs w:val="24"/>
        </w:rPr>
        <w:t>1</w:t>
      </w:r>
      <w:r>
        <w:rPr>
          <w:rFonts w:ascii="宋体" w:hAnsi="宋体" w:eastAsia="宋体" w:cs="宋体"/>
          <w:spacing w:val="-7"/>
          <w:sz w:val="24"/>
          <w:szCs w:val="24"/>
        </w:rPr>
        <w:t>）方案比较</w:t>
      </w:r>
    </w:p>
    <w:p>
      <w:pPr>
        <w:spacing w:before="184" w:line="359" w:lineRule="auto"/>
        <w:ind w:left="120" w:right="47" w:firstLine="483"/>
        <w:jc w:val="both"/>
        <w:rPr>
          <w:rFonts w:ascii="宋体" w:hAnsi="宋体" w:eastAsia="宋体" w:cs="宋体"/>
          <w:sz w:val="24"/>
          <w:szCs w:val="24"/>
        </w:rPr>
      </w:pPr>
      <w:r>
        <w:rPr>
          <w:rFonts w:ascii="宋体" w:hAnsi="宋体" w:eastAsia="宋体" w:cs="宋体"/>
          <w:spacing w:val="-6"/>
          <w:sz w:val="24"/>
          <w:szCs w:val="24"/>
        </w:rPr>
        <w:t>龙丽温高速公路向东经瑞安接温州目前共有两个方案，</w:t>
      </w:r>
      <w:r>
        <w:rPr>
          <w:rFonts w:ascii="宋体" w:hAnsi="宋体" w:eastAsia="宋体" w:cs="宋体"/>
          <w:spacing w:val="-27"/>
          <w:sz w:val="24"/>
          <w:szCs w:val="24"/>
        </w:rPr>
        <w:t xml:space="preserve"> </w:t>
      </w:r>
      <w:r>
        <w:rPr>
          <w:rFonts w:ascii="宋体" w:hAnsi="宋体" w:eastAsia="宋体" w:cs="宋体"/>
          <w:spacing w:val="-6"/>
          <w:sz w:val="24"/>
          <w:szCs w:val="24"/>
        </w:rPr>
        <w:t>一是接温州绕城高速</w:t>
      </w:r>
      <w:r>
        <w:rPr>
          <w:rFonts w:ascii="宋体" w:hAnsi="宋体" w:eastAsia="宋体" w:cs="宋体"/>
          <w:sz w:val="24"/>
          <w:szCs w:val="24"/>
        </w:rPr>
        <w:t xml:space="preserve"> </w:t>
      </w:r>
      <w:r>
        <w:rPr>
          <w:rFonts w:ascii="宋体" w:hAnsi="宋体" w:eastAsia="宋体" w:cs="宋体"/>
          <w:spacing w:val="-17"/>
          <w:sz w:val="24"/>
          <w:szCs w:val="24"/>
        </w:rPr>
        <w:t>（规划中</w:t>
      </w:r>
      <w:r>
        <w:rPr>
          <w:rFonts w:ascii="宋体" w:hAnsi="宋体" w:eastAsia="宋体" w:cs="宋体"/>
          <w:spacing w:val="-15"/>
          <w:sz w:val="24"/>
          <w:szCs w:val="24"/>
        </w:rPr>
        <w:t>）</w:t>
      </w:r>
      <w:r>
        <w:rPr>
          <w:rFonts w:ascii="宋体" w:hAnsi="宋体" w:eastAsia="宋体" w:cs="宋体"/>
          <w:spacing w:val="-37"/>
          <w:sz w:val="24"/>
          <w:szCs w:val="24"/>
        </w:rPr>
        <w:t xml:space="preserve"> </w:t>
      </w:r>
      <w:r>
        <w:rPr>
          <w:rFonts w:ascii="宋体" w:hAnsi="宋体" w:eastAsia="宋体" w:cs="宋体"/>
          <w:spacing w:val="-15"/>
          <w:sz w:val="24"/>
          <w:szCs w:val="24"/>
        </w:rPr>
        <w:t>，</w:t>
      </w:r>
      <w:r>
        <w:rPr>
          <w:rFonts w:ascii="宋体" w:hAnsi="宋体" w:eastAsia="宋体" w:cs="宋体"/>
          <w:spacing w:val="-17"/>
          <w:sz w:val="24"/>
          <w:szCs w:val="24"/>
        </w:rPr>
        <w:t>向东再连接甬台温高速公路及其复线， 该方案工程难度小，</w:t>
      </w:r>
      <w:r>
        <w:rPr>
          <w:rFonts w:ascii="宋体" w:hAnsi="宋体" w:eastAsia="宋体" w:cs="宋体"/>
          <w:spacing w:val="26"/>
          <w:sz w:val="24"/>
          <w:szCs w:val="24"/>
        </w:rPr>
        <w:t xml:space="preserve"> </w:t>
      </w:r>
      <w:r>
        <w:rPr>
          <w:rFonts w:ascii="宋体" w:hAnsi="宋体" w:eastAsia="宋体" w:cs="宋体"/>
          <w:spacing w:val="-17"/>
          <w:sz w:val="24"/>
          <w:szCs w:val="24"/>
        </w:rPr>
        <w:t>易操作，</w:t>
      </w:r>
      <w:r>
        <w:rPr>
          <w:rFonts w:ascii="宋体" w:hAnsi="宋体" w:eastAsia="宋体" w:cs="宋体"/>
          <w:sz w:val="24"/>
          <w:szCs w:val="24"/>
        </w:rPr>
        <w:t xml:space="preserve"> </w:t>
      </w:r>
      <w:r>
        <w:rPr>
          <w:rFonts w:ascii="宋体" w:hAnsi="宋体" w:eastAsia="宋体" w:cs="宋体"/>
          <w:spacing w:val="-10"/>
          <w:sz w:val="24"/>
          <w:szCs w:val="24"/>
        </w:rPr>
        <w:t>但与港口接驳条件、通达性稍差，</w:t>
      </w:r>
      <w:r>
        <w:rPr>
          <w:rFonts w:ascii="宋体" w:hAnsi="宋体" w:eastAsia="宋体" w:cs="宋体"/>
          <w:spacing w:val="-38"/>
          <w:sz w:val="24"/>
          <w:szCs w:val="24"/>
        </w:rPr>
        <w:t xml:space="preserve"> </w:t>
      </w:r>
      <w:r>
        <w:rPr>
          <w:rFonts w:ascii="宋体" w:hAnsi="宋体" w:eastAsia="宋体" w:cs="宋体"/>
          <w:spacing w:val="-10"/>
          <w:sz w:val="24"/>
          <w:szCs w:val="24"/>
        </w:rPr>
        <w:t>二是龙丽温高速向东接甬台温高速飞云互通口，</w:t>
      </w:r>
      <w:r>
        <w:rPr>
          <w:rFonts w:ascii="宋体" w:hAnsi="宋体" w:eastAsia="宋体" w:cs="宋体"/>
          <w:sz w:val="24"/>
          <w:szCs w:val="24"/>
        </w:rPr>
        <w:t xml:space="preserve"> </w:t>
      </w:r>
      <w:r>
        <w:rPr>
          <w:rFonts w:ascii="宋体" w:hAnsi="宋体" w:eastAsia="宋体" w:cs="宋体"/>
          <w:spacing w:val="-9"/>
          <w:sz w:val="24"/>
          <w:szCs w:val="24"/>
        </w:rPr>
        <w:t>向东再连甬台温高速公路复线， 该方案中飞云互通将成</w:t>
      </w:r>
      <w:r>
        <w:rPr>
          <w:rFonts w:ascii="宋体" w:hAnsi="宋体" w:eastAsia="宋体" w:cs="宋体"/>
          <w:spacing w:val="-10"/>
          <w:sz w:val="24"/>
          <w:szCs w:val="24"/>
        </w:rPr>
        <w:t>为高速立交枢纽， 工程难</w:t>
      </w:r>
      <w:r>
        <w:rPr>
          <w:rFonts w:ascii="宋体" w:hAnsi="宋体" w:eastAsia="宋体" w:cs="宋体"/>
          <w:sz w:val="24"/>
          <w:szCs w:val="24"/>
        </w:rPr>
        <w:t xml:space="preserve"> </w:t>
      </w:r>
      <w:r>
        <w:rPr>
          <w:rFonts w:ascii="宋体" w:hAnsi="宋体" w:eastAsia="宋体" w:cs="宋体"/>
          <w:spacing w:val="-10"/>
          <w:sz w:val="24"/>
          <w:szCs w:val="24"/>
        </w:rPr>
        <w:t>度稍大， 但可使瑞安、文成等城市与沿海港口具有</w:t>
      </w:r>
      <w:r>
        <w:rPr>
          <w:rFonts w:ascii="宋体" w:hAnsi="宋体" w:eastAsia="宋体" w:cs="宋体"/>
          <w:spacing w:val="-11"/>
          <w:sz w:val="24"/>
          <w:szCs w:val="24"/>
        </w:rPr>
        <w:t>较好的接驳条件，</w:t>
      </w:r>
      <w:r>
        <w:rPr>
          <w:rFonts w:ascii="宋体" w:hAnsi="宋体" w:eastAsia="宋体" w:cs="宋体"/>
          <w:spacing w:val="33"/>
          <w:sz w:val="24"/>
          <w:szCs w:val="24"/>
        </w:rPr>
        <w:t xml:space="preserve"> </w:t>
      </w:r>
      <w:r>
        <w:rPr>
          <w:rFonts w:ascii="宋体" w:hAnsi="宋体" w:eastAsia="宋体" w:cs="宋体"/>
          <w:spacing w:val="-11"/>
          <w:sz w:val="24"/>
          <w:szCs w:val="24"/>
        </w:rPr>
        <w:t>两个方案的</w:t>
      </w:r>
    </w:p>
    <w:p>
      <w:pPr>
        <w:spacing w:before="1" w:line="218" w:lineRule="auto"/>
        <w:ind w:left="124"/>
        <w:rPr>
          <w:rFonts w:ascii="宋体" w:hAnsi="宋体" w:eastAsia="宋体" w:cs="宋体"/>
          <w:sz w:val="24"/>
          <w:szCs w:val="24"/>
        </w:rPr>
      </w:pPr>
      <w:r>
        <w:rPr>
          <w:rFonts w:ascii="宋体" w:hAnsi="宋体" w:eastAsia="宋体" w:cs="宋体"/>
          <w:spacing w:val="-2"/>
          <w:sz w:val="24"/>
          <w:szCs w:val="24"/>
        </w:rPr>
        <w:t>路线距离相差较少，因此，本次规划建议采用方案二。</w:t>
      </w:r>
    </w:p>
    <w:p>
      <w:pPr>
        <w:spacing w:before="182" w:line="359" w:lineRule="auto"/>
        <w:ind w:left="129" w:right="111" w:firstLine="473"/>
        <w:jc w:val="both"/>
        <w:rPr>
          <w:rFonts w:ascii="宋体" w:hAnsi="宋体" w:eastAsia="宋体" w:cs="宋体"/>
          <w:sz w:val="24"/>
          <w:szCs w:val="24"/>
        </w:rPr>
      </w:pPr>
      <w:r>
        <w:rPr>
          <w:rFonts w:ascii="宋体" w:hAnsi="宋体" w:eastAsia="宋体" w:cs="宋体"/>
          <w:spacing w:val="-5"/>
          <w:sz w:val="24"/>
          <w:szCs w:val="24"/>
        </w:rPr>
        <w:t>《浙江省公路水路交通</w:t>
      </w:r>
      <w:r>
        <w:rPr>
          <w:rFonts w:ascii="Times New Roman" w:hAnsi="Times New Roman" w:eastAsia="Times New Roman" w:cs="Times New Roman"/>
          <w:spacing w:val="-5"/>
          <w:sz w:val="24"/>
          <w:szCs w:val="24"/>
        </w:rPr>
        <w:t>“</w:t>
      </w:r>
      <w:r>
        <w:rPr>
          <w:rFonts w:ascii="宋体" w:hAnsi="宋体" w:eastAsia="宋体" w:cs="宋体"/>
          <w:spacing w:val="-5"/>
          <w:sz w:val="24"/>
          <w:szCs w:val="24"/>
        </w:rPr>
        <w:t>十一五</w:t>
      </w:r>
      <w:r>
        <w:rPr>
          <w:rFonts w:ascii="Times New Roman" w:hAnsi="Times New Roman" w:eastAsia="Times New Roman" w:cs="Times New Roman"/>
          <w:spacing w:val="-5"/>
          <w:sz w:val="24"/>
          <w:szCs w:val="24"/>
        </w:rPr>
        <w:t>”</w:t>
      </w:r>
      <w:r>
        <w:rPr>
          <w:rFonts w:ascii="宋体" w:hAnsi="宋体" w:eastAsia="宋体" w:cs="宋体"/>
          <w:spacing w:val="-5"/>
          <w:sz w:val="24"/>
          <w:szCs w:val="24"/>
        </w:rPr>
        <w:t>规划》中确定的文（文成）</w:t>
      </w:r>
      <w:r>
        <w:rPr>
          <w:rFonts w:ascii="宋体" w:hAnsi="宋体" w:eastAsia="宋体" w:cs="宋体"/>
          <w:spacing w:val="-28"/>
          <w:sz w:val="24"/>
          <w:szCs w:val="24"/>
        </w:rPr>
        <w:t xml:space="preserve"> </w:t>
      </w:r>
      <w:r>
        <w:rPr>
          <w:rFonts w:ascii="宋体" w:hAnsi="宋体" w:eastAsia="宋体" w:cs="宋体"/>
          <w:spacing w:val="-5"/>
          <w:sz w:val="24"/>
          <w:szCs w:val="24"/>
        </w:rPr>
        <w:t>泰（泰顺</w:t>
      </w:r>
      <w:r>
        <w:rPr>
          <w:rFonts w:ascii="宋体" w:hAnsi="宋体" w:eastAsia="宋体" w:cs="宋体"/>
          <w:spacing w:val="-6"/>
          <w:sz w:val="24"/>
          <w:szCs w:val="24"/>
        </w:rPr>
        <w:t>）高速</w:t>
      </w:r>
      <w:r>
        <w:rPr>
          <w:rFonts w:ascii="宋体" w:hAnsi="宋体" w:eastAsia="宋体" w:cs="宋体"/>
          <w:sz w:val="24"/>
          <w:szCs w:val="24"/>
        </w:rPr>
        <w:t xml:space="preserve"> </w:t>
      </w:r>
      <w:r>
        <w:rPr>
          <w:rFonts w:ascii="宋体" w:hAnsi="宋体" w:eastAsia="宋体" w:cs="宋体"/>
          <w:spacing w:val="4"/>
          <w:sz w:val="24"/>
          <w:szCs w:val="24"/>
        </w:rPr>
        <w:t>公路由龙丽温高速文成段的西坑畲族镇处接入，向南经过叶胜林</w:t>
      </w:r>
      <w:r>
        <w:rPr>
          <w:rFonts w:ascii="宋体" w:hAnsi="宋体" w:eastAsia="宋体" w:cs="宋体"/>
          <w:spacing w:val="3"/>
          <w:sz w:val="24"/>
          <w:szCs w:val="24"/>
        </w:rPr>
        <w:t>场进入泰顺境</w:t>
      </w:r>
    </w:p>
    <w:p>
      <w:pPr>
        <w:spacing w:line="218" w:lineRule="auto"/>
        <w:ind w:left="151"/>
        <w:rPr>
          <w:rFonts w:ascii="宋体" w:hAnsi="宋体" w:eastAsia="宋体" w:cs="宋体"/>
          <w:sz w:val="24"/>
          <w:szCs w:val="24"/>
        </w:rPr>
      </w:pPr>
      <w:r>
        <w:rPr>
          <w:rFonts w:ascii="宋体" w:hAnsi="宋体" w:eastAsia="宋体" w:cs="宋体"/>
          <w:spacing w:val="-24"/>
          <w:sz w:val="24"/>
          <w:szCs w:val="24"/>
        </w:rPr>
        <w:t>内，</w:t>
      </w:r>
      <w:r>
        <w:rPr>
          <w:rFonts w:ascii="宋体" w:hAnsi="宋体" w:eastAsia="宋体" w:cs="宋体"/>
          <w:spacing w:val="-58"/>
          <w:sz w:val="24"/>
          <w:szCs w:val="24"/>
        </w:rPr>
        <w:t xml:space="preserve"> </w:t>
      </w:r>
      <w:r>
        <w:rPr>
          <w:rFonts w:ascii="宋体" w:hAnsi="宋体" w:eastAsia="宋体" w:cs="宋体"/>
          <w:spacing w:val="-24"/>
          <w:sz w:val="24"/>
          <w:szCs w:val="24"/>
        </w:rPr>
        <w:t>该方案优点是线路距离短，</w:t>
      </w:r>
      <w:r>
        <w:rPr>
          <w:rFonts w:ascii="宋体" w:hAnsi="宋体" w:eastAsia="宋体" w:cs="宋体"/>
          <w:spacing w:val="42"/>
          <w:sz w:val="24"/>
          <w:szCs w:val="24"/>
        </w:rPr>
        <w:t xml:space="preserve"> </w:t>
      </w:r>
      <w:r>
        <w:rPr>
          <w:rFonts w:ascii="宋体" w:hAnsi="宋体" w:eastAsia="宋体" w:cs="宋体"/>
          <w:spacing w:val="-24"/>
          <w:sz w:val="24"/>
          <w:szCs w:val="24"/>
        </w:rPr>
        <w:t>但线位穿越山区，</w:t>
      </w:r>
      <w:r>
        <w:rPr>
          <w:rFonts w:ascii="宋体" w:hAnsi="宋体" w:eastAsia="宋体" w:cs="宋体"/>
          <w:spacing w:val="46"/>
          <w:sz w:val="24"/>
          <w:szCs w:val="24"/>
        </w:rPr>
        <w:t xml:space="preserve"> </w:t>
      </w:r>
      <w:r>
        <w:rPr>
          <w:rFonts w:ascii="宋体" w:hAnsi="宋体" w:eastAsia="宋体" w:cs="宋体"/>
          <w:spacing w:val="-24"/>
          <w:sz w:val="24"/>
          <w:szCs w:val="24"/>
        </w:rPr>
        <w:t>工程难度大，</w:t>
      </w:r>
      <w:r>
        <w:rPr>
          <w:rFonts w:ascii="宋体" w:hAnsi="宋体" w:eastAsia="宋体" w:cs="宋体"/>
          <w:spacing w:val="46"/>
          <w:sz w:val="24"/>
          <w:szCs w:val="24"/>
        </w:rPr>
        <w:t xml:space="preserve"> </w:t>
      </w:r>
      <w:r>
        <w:rPr>
          <w:rFonts w:ascii="宋体" w:hAnsi="宋体" w:eastAsia="宋体" w:cs="宋体"/>
          <w:spacing w:val="-24"/>
          <w:sz w:val="24"/>
          <w:szCs w:val="24"/>
        </w:rPr>
        <w:t>单</w:t>
      </w:r>
      <w:r>
        <w:rPr>
          <w:rFonts w:ascii="宋体" w:hAnsi="宋体" w:eastAsia="宋体" w:cs="宋体"/>
          <w:spacing w:val="-25"/>
          <w:sz w:val="24"/>
          <w:szCs w:val="24"/>
        </w:rPr>
        <w:t>价投资高，</w:t>
      </w:r>
      <w:r>
        <w:rPr>
          <w:rFonts w:ascii="宋体" w:hAnsi="宋体" w:eastAsia="宋体" w:cs="宋体"/>
          <w:spacing w:val="43"/>
          <w:sz w:val="24"/>
          <w:szCs w:val="24"/>
        </w:rPr>
        <w:t xml:space="preserve"> </w:t>
      </w:r>
      <w:r>
        <w:rPr>
          <w:rFonts w:ascii="宋体" w:hAnsi="宋体" w:eastAsia="宋体" w:cs="宋体"/>
          <w:spacing w:val="-25"/>
          <w:sz w:val="24"/>
          <w:szCs w:val="24"/>
        </w:rPr>
        <w:t>且</w:t>
      </w:r>
    </w:p>
    <w:p>
      <w:pPr>
        <w:spacing w:line="218" w:lineRule="auto"/>
        <w:rPr>
          <w:rFonts w:ascii="宋体" w:hAnsi="宋体" w:eastAsia="宋体" w:cs="宋体"/>
          <w:sz w:val="24"/>
          <w:szCs w:val="24"/>
        </w:rPr>
        <w:sectPr>
          <w:pgSz w:w="11907" w:h="16839"/>
          <w:pgMar w:top="1118" w:right="1685" w:bottom="1184" w:left="1687" w:header="879" w:footer="1024" w:gutter="0"/>
          <w:cols w:space="720" w:num="1"/>
        </w:sectPr>
      </w:pPr>
    </w:p>
    <w:p>
      <w:pPr>
        <w:pStyle w:val="2"/>
        <w:spacing w:line="278" w:lineRule="auto"/>
      </w:pPr>
    </w:p>
    <w:p>
      <w:pPr>
        <w:spacing w:before="78" w:line="359" w:lineRule="auto"/>
        <w:ind w:left="531" w:right="522"/>
        <w:jc w:val="both"/>
        <w:rPr>
          <w:rFonts w:ascii="宋体" w:hAnsi="宋体" w:eastAsia="宋体" w:cs="宋体"/>
          <w:sz w:val="24"/>
          <w:szCs w:val="24"/>
        </w:rPr>
      </w:pPr>
      <w:r>
        <w:rPr>
          <w:rFonts w:ascii="宋体" w:hAnsi="宋体" w:eastAsia="宋体" w:cs="宋体"/>
          <w:spacing w:val="-15"/>
          <w:sz w:val="24"/>
          <w:szCs w:val="24"/>
        </w:rPr>
        <w:t>文成境内沿线无大规模的乡镇，</w:t>
      </w:r>
      <w:r>
        <w:rPr>
          <w:rFonts w:ascii="宋体" w:hAnsi="宋体" w:eastAsia="宋体" w:cs="宋体"/>
          <w:spacing w:val="43"/>
          <w:sz w:val="24"/>
          <w:szCs w:val="24"/>
        </w:rPr>
        <w:t xml:space="preserve"> </w:t>
      </w:r>
      <w:r>
        <w:rPr>
          <w:rFonts w:ascii="宋体" w:hAnsi="宋体" w:eastAsia="宋体" w:cs="宋体"/>
          <w:spacing w:val="-15"/>
          <w:sz w:val="24"/>
          <w:szCs w:val="24"/>
        </w:rPr>
        <w:t>经济效益差，</w:t>
      </w:r>
      <w:r>
        <w:rPr>
          <w:rFonts w:ascii="宋体" w:hAnsi="宋体" w:eastAsia="宋体" w:cs="宋体"/>
          <w:spacing w:val="50"/>
          <w:sz w:val="24"/>
          <w:szCs w:val="24"/>
        </w:rPr>
        <w:t xml:space="preserve"> </w:t>
      </w:r>
      <w:r>
        <w:rPr>
          <w:rFonts w:ascii="宋体" w:hAnsi="宋体" w:eastAsia="宋体" w:cs="宋体"/>
          <w:spacing w:val="-15"/>
          <w:sz w:val="24"/>
          <w:szCs w:val="24"/>
        </w:rPr>
        <w:t>因此，</w:t>
      </w:r>
      <w:r>
        <w:rPr>
          <w:rFonts w:ascii="宋体" w:hAnsi="宋体" w:eastAsia="宋体" w:cs="宋体"/>
          <w:spacing w:val="-34"/>
          <w:sz w:val="24"/>
          <w:szCs w:val="24"/>
        </w:rPr>
        <w:t xml:space="preserve"> </w:t>
      </w:r>
      <w:r>
        <w:rPr>
          <w:rFonts w:ascii="宋体" w:hAnsi="宋体" w:eastAsia="宋体" w:cs="宋体"/>
          <w:spacing w:val="-15"/>
          <w:sz w:val="24"/>
          <w:szCs w:val="24"/>
        </w:rPr>
        <w:t>本次规划建议该线路由龙丽</w:t>
      </w:r>
      <w:r>
        <w:rPr>
          <w:rFonts w:ascii="宋体" w:hAnsi="宋体" w:eastAsia="宋体" w:cs="宋体"/>
          <w:sz w:val="24"/>
          <w:szCs w:val="24"/>
        </w:rPr>
        <w:t xml:space="preserve"> </w:t>
      </w:r>
      <w:r>
        <w:rPr>
          <w:rFonts w:ascii="宋体" w:hAnsi="宋体" w:eastAsia="宋体" w:cs="宋体"/>
          <w:spacing w:val="-18"/>
          <w:sz w:val="24"/>
          <w:szCs w:val="24"/>
        </w:rPr>
        <w:t>温高速公路文成段樟台乡处接入，</w:t>
      </w:r>
      <w:r>
        <w:rPr>
          <w:rFonts w:ascii="宋体" w:hAnsi="宋体" w:eastAsia="宋体" w:cs="宋体"/>
          <w:spacing w:val="81"/>
          <w:sz w:val="24"/>
          <w:szCs w:val="24"/>
        </w:rPr>
        <w:t xml:space="preserve"> </w:t>
      </w:r>
      <w:r>
        <w:rPr>
          <w:rFonts w:ascii="宋体" w:hAnsi="宋体" w:eastAsia="宋体" w:cs="宋体"/>
          <w:spacing w:val="-18"/>
          <w:sz w:val="24"/>
          <w:szCs w:val="24"/>
        </w:rPr>
        <w:t>向南经过巨屿、珊溪等乡镇，</w:t>
      </w:r>
      <w:r>
        <w:rPr>
          <w:rFonts w:ascii="宋体" w:hAnsi="宋体" w:eastAsia="宋体" w:cs="宋体"/>
          <w:spacing w:val="40"/>
          <w:sz w:val="24"/>
          <w:szCs w:val="24"/>
        </w:rPr>
        <w:t xml:space="preserve"> </w:t>
      </w:r>
      <w:r>
        <w:rPr>
          <w:rFonts w:ascii="宋体" w:hAnsi="宋体" w:eastAsia="宋体" w:cs="宋体"/>
          <w:spacing w:val="-18"/>
          <w:sz w:val="24"/>
          <w:szCs w:val="24"/>
        </w:rPr>
        <w:t>经济效益强，</w:t>
      </w:r>
      <w:r>
        <w:rPr>
          <w:rFonts w:ascii="宋体" w:hAnsi="宋体" w:eastAsia="宋体" w:cs="宋体"/>
          <w:spacing w:val="41"/>
          <w:sz w:val="24"/>
          <w:szCs w:val="24"/>
        </w:rPr>
        <w:t xml:space="preserve"> </w:t>
      </w:r>
      <w:r>
        <w:rPr>
          <w:rFonts w:ascii="宋体" w:hAnsi="宋体" w:eastAsia="宋体" w:cs="宋体"/>
          <w:spacing w:val="-18"/>
          <w:sz w:val="24"/>
          <w:szCs w:val="24"/>
        </w:rPr>
        <w:t>单</w:t>
      </w:r>
      <w:r>
        <w:rPr>
          <w:rFonts w:ascii="宋体" w:hAnsi="宋体" w:eastAsia="宋体" w:cs="宋体"/>
          <w:sz w:val="24"/>
          <w:szCs w:val="24"/>
        </w:rPr>
        <w:t xml:space="preserve"> </w:t>
      </w:r>
      <w:r>
        <w:rPr>
          <w:rFonts w:ascii="宋体" w:hAnsi="宋体" w:eastAsia="宋体" w:cs="宋体"/>
          <w:spacing w:val="-15"/>
          <w:sz w:val="24"/>
          <w:szCs w:val="24"/>
        </w:rPr>
        <w:t>价投资低， 也符合文成泰顺间的经济流向，</w:t>
      </w:r>
      <w:r>
        <w:rPr>
          <w:rFonts w:ascii="宋体" w:hAnsi="宋体" w:eastAsia="宋体" w:cs="宋体"/>
          <w:spacing w:val="41"/>
          <w:sz w:val="24"/>
          <w:szCs w:val="24"/>
        </w:rPr>
        <w:t xml:space="preserve"> </w:t>
      </w:r>
      <w:r>
        <w:rPr>
          <w:rFonts w:ascii="宋体" w:hAnsi="宋体" w:eastAsia="宋体" w:cs="宋体"/>
          <w:spacing w:val="-15"/>
          <w:sz w:val="24"/>
          <w:szCs w:val="24"/>
        </w:rPr>
        <w:t>并建议远景向北延伸，</w:t>
      </w:r>
      <w:r>
        <w:rPr>
          <w:rFonts w:ascii="宋体" w:hAnsi="宋体" w:eastAsia="宋体" w:cs="宋体"/>
          <w:spacing w:val="34"/>
          <w:sz w:val="24"/>
          <w:szCs w:val="24"/>
        </w:rPr>
        <w:t xml:space="preserve"> </w:t>
      </w:r>
      <w:r>
        <w:rPr>
          <w:rFonts w:ascii="宋体" w:hAnsi="宋体" w:eastAsia="宋体" w:cs="宋体"/>
          <w:spacing w:val="-15"/>
          <w:sz w:val="24"/>
          <w:szCs w:val="24"/>
        </w:rPr>
        <w:t>经玉壶与青田</w:t>
      </w:r>
      <w:r>
        <w:rPr>
          <w:rFonts w:ascii="宋体" w:hAnsi="宋体" w:eastAsia="宋体" w:cs="宋体"/>
          <w:sz w:val="24"/>
          <w:szCs w:val="24"/>
        </w:rPr>
        <w:t xml:space="preserve"> </w:t>
      </w:r>
      <w:r>
        <w:rPr>
          <w:rFonts w:ascii="宋体" w:hAnsi="宋体" w:eastAsia="宋体" w:cs="宋体"/>
          <w:spacing w:val="-11"/>
          <w:sz w:val="24"/>
          <w:szCs w:val="24"/>
        </w:rPr>
        <w:t>连接， 实现</w:t>
      </w:r>
      <w:r>
        <w:rPr>
          <w:rFonts w:ascii="Times New Roman" w:hAnsi="Times New Roman" w:eastAsia="Times New Roman" w:cs="Times New Roman"/>
          <w:spacing w:val="-11"/>
          <w:sz w:val="24"/>
          <w:szCs w:val="24"/>
        </w:rPr>
        <w:t>“</w:t>
      </w:r>
      <w:r>
        <w:rPr>
          <w:rFonts w:ascii="宋体" w:hAnsi="宋体" w:eastAsia="宋体" w:cs="宋体"/>
          <w:spacing w:val="-11"/>
          <w:sz w:val="24"/>
          <w:szCs w:val="24"/>
        </w:rPr>
        <w:t>通铁</w:t>
      </w:r>
      <w:r>
        <w:rPr>
          <w:rFonts w:ascii="Times New Roman" w:hAnsi="Times New Roman" w:eastAsia="Times New Roman" w:cs="Times New Roman"/>
          <w:spacing w:val="-11"/>
          <w:sz w:val="24"/>
          <w:szCs w:val="24"/>
        </w:rPr>
        <w:t>”</w:t>
      </w:r>
      <w:r>
        <w:rPr>
          <w:rFonts w:ascii="Times New Roman" w:hAnsi="Times New Roman" w:eastAsia="Times New Roman" w:cs="Times New Roman"/>
          <w:spacing w:val="-18"/>
          <w:sz w:val="24"/>
          <w:szCs w:val="24"/>
        </w:rPr>
        <w:t xml:space="preserve"> </w:t>
      </w:r>
      <w:r>
        <w:rPr>
          <w:rFonts w:ascii="宋体" w:hAnsi="宋体" w:eastAsia="宋体" w:cs="宋体"/>
          <w:spacing w:val="-11"/>
          <w:sz w:val="24"/>
          <w:szCs w:val="24"/>
        </w:rPr>
        <w:t>，并与金丽温高速公路相连。由此，</w:t>
      </w:r>
      <w:r>
        <w:rPr>
          <w:rFonts w:ascii="宋体" w:hAnsi="宋体" w:eastAsia="宋体" w:cs="宋体"/>
          <w:spacing w:val="48"/>
          <w:sz w:val="24"/>
          <w:szCs w:val="24"/>
        </w:rPr>
        <w:t xml:space="preserve"> </w:t>
      </w:r>
      <w:r>
        <w:rPr>
          <w:rFonts w:ascii="宋体" w:hAnsi="宋体" w:eastAsia="宋体" w:cs="宋体"/>
          <w:spacing w:val="-11"/>
          <w:sz w:val="24"/>
          <w:szCs w:val="24"/>
        </w:rPr>
        <w:t>文成与青田火车站的交通</w:t>
      </w:r>
    </w:p>
    <w:p>
      <w:pPr>
        <w:spacing w:before="1" w:line="218" w:lineRule="auto"/>
        <w:ind w:left="541"/>
        <w:rPr>
          <w:rFonts w:ascii="宋体" w:hAnsi="宋体" w:eastAsia="宋体" w:cs="宋体"/>
          <w:sz w:val="24"/>
          <w:szCs w:val="24"/>
        </w:rPr>
      </w:pPr>
      <w:r>
        <w:rPr>
          <w:rFonts w:ascii="宋体" w:hAnsi="宋体" w:eastAsia="宋体" w:cs="宋体"/>
          <w:spacing w:val="-4"/>
          <w:sz w:val="24"/>
          <w:szCs w:val="24"/>
        </w:rPr>
        <w:t>时距可缩短至</w:t>
      </w:r>
      <w:r>
        <w:rPr>
          <w:rFonts w:ascii="宋体" w:hAnsi="宋体" w:eastAsia="宋体" w:cs="宋体"/>
          <w:spacing w:val="-53"/>
          <w:sz w:val="24"/>
          <w:szCs w:val="24"/>
        </w:rPr>
        <w:t xml:space="preserve"> </w:t>
      </w:r>
      <w:r>
        <w:rPr>
          <w:rFonts w:ascii="Times New Roman" w:hAnsi="Times New Roman" w:eastAsia="Times New Roman" w:cs="Times New Roman"/>
          <w:spacing w:val="-4"/>
          <w:sz w:val="24"/>
          <w:szCs w:val="24"/>
        </w:rPr>
        <w:t xml:space="preserve">20 </w:t>
      </w:r>
      <w:r>
        <w:rPr>
          <w:rFonts w:ascii="宋体" w:hAnsi="宋体" w:eastAsia="宋体" w:cs="宋体"/>
          <w:spacing w:val="-4"/>
          <w:sz w:val="24"/>
          <w:szCs w:val="24"/>
        </w:rPr>
        <w:t>分钟。</w:t>
      </w:r>
    </w:p>
    <w:p>
      <w:pPr>
        <w:spacing w:before="182" w:line="220" w:lineRule="auto"/>
        <w:ind w:left="1005"/>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）高速公路规划</w:t>
      </w:r>
    </w:p>
    <w:p>
      <w:pPr>
        <w:spacing w:before="182" w:line="359" w:lineRule="auto"/>
        <w:ind w:left="531" w:right="521" w:firstLine="479"/>
        <w:rPr>
          <w:rFonts w:ascii="宋体" w:hAnsi="宋体" w:eastAsia="宋体" w:cs="宋体"/>
          <w:sz w:val="24"/>
          <w:szCs w:val="24"/>
        </w:rPr>
      </w:pPr>
      <w:r>
        <w:rPr>
          <w:rFonts w:ascii="宋体" w:hAnsi="宋体" w:eastAsia="宋体" w:cs="宋体"/>
          <w:spacing w:val="-10"/>
          <w:sz w:val="24"/>
          <w:szCs w:val="24"/>
        </w:rPr>
        <w:t>规划形成</w:t>
      </w:r>
      <w:r>
        <w:rPr>
          <w:rFonts w:ascii="Times New Roman" w:hAnsi="Times New Roman" w:eastAsia="Times New Roman" w:cs="Times New Roman"/>
          <w:spacing w:val="-10"/>
          <w:sz w:val="24"/>
          <w:szCs w:val="24"/>
        </w:rPr>
        <w:t>“</w:t>
      </w:r>
      <w:r>
        <w:rPr>
          <w:rFonts w:ascii="宋体" w:hAnsi="宋体" w:eastAsia="宋体" w:cs="宋体"/>
          <w:spacing w:val="-10"/>
          <w:sz w:val="24"/>
          <w:szCs w:val="24"/>
        </w:rPr>
        <w:t>一横一纵</w:t>
      </w:r>
      <w:r>
        <w:rPr>
          <w:rFonts w:ascii="Times New Roman" w:hAnsi="Times New Roman" w:eastAsia="Times New Roman" w:cs="Times New Roman"/>
          <w:spacing w:val="-10"/>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10"/>
          <w:sz w:val="24"/>
          <w:szCs w:val="24"/>
        </w:rPr>
        <w:t xml:space="preserve">的高速公路系统。 </w:t>
      </w:r>
      <w:r>
        <w:rPr>
          <w:rFonts w:ascii="Times New Roman" w:hAnsi="Times New Roman" w:eastAsia="Times New Roman" w:cs="Times New Roman"/>
          <w:spacing w:val="-10"/>
          <w:sz w:val="24"/>
          <w:szCs w:val="24"/>
        </w:rPr>
        <w:t>“</w:t>
      </w:r>
      <w:r>
        <w:rPr>
          <w:rFonts w:ascii="宋体" w:hAnsi="宋体" w:eastAsia="宋体" w:cs="宋体"/>
          <w:spacing w:val="-10"/>
          <w:sz w:val="24"/>
          <w:szCs w:val="24"/>
        </w:rPr>
        <w:t>一横</w:t>
      </w:r>
      <w:r>
        <w:rPr>
          <w:rFonts w:ascii="Times New Roman" w:hAnsi="Times New Roman" w:eastAsia="Times New Roman" w:cs="Times New Roman"/>
          <w:spacing w:val="-10"/>
          <w:sz w:val="24"/>
          <w:szCs w:val="24"/>
        </w:rPr>
        <w:t>”</w:t>
      </w:r>
      <w:r>
        <w:rPr>
          <w:rFonts w:ascii="宋体" w:hAnsi="宋体" w:eastAsia="宋体" w:cs="宋体"/>
          <w:spacing w:val="-10"/>
          <w:sz w:val="24"/>
          <w:szCs w:val="24"/>
        </w:rPr>
        <w:t>是龙丽温高速公路文成段，</w:t>
      </w:r>
      <w:r>
        <w:rPr>
          <w:rFonts w:ascii="宋体" w:hAnsi="宋体" w:eastAsia="宋体" w:cs="宋体"/>
          <w:spacing w:val="41"/>
          <w:sz w:val="24"/>
          <w:szCs w:val="24"/>
        </w:rPr>
        <w:t xml:space="preserve"> </w:t>
      </w:r>
      <w:r>
        <w:rPr>
          <w:rFonts w:ascii="宋体" w:hAnsi="宋体" w:eastAsia="宋体" w:cs="宋体"/>
          <w:spacing w:val="-10"/>
          <w:sz w:val="24"/>
          <w:szCs w:val="24"/>
        </w:rPr>
        <w:t>将</w:t>
      </w:r>
      <w:r>
        <w:rPr>
          <w:rFonts w:ascii="宋体" w:hAnsi="宋体" w:eastAsia="宋体" w:cs="宋体"/>
          <w:sz w:val="24"/>
          <w:szCs w:val="24"/>
        </w:rPr>
        <w:t xml:space="preserve"> </w:t>
      </w:r>
      <w:r>
        <w:rPr>
          <w:rFonts w:ascii="宋体" w:hAnsi="宋体" w:eastAsia="宋体" w:cs="宋体"/>
          <w:spacing w:val="-8"/>
          <w:sz w:val="24"/>
          <w:szCs w:val="24"/>
        </w:rPr>
        <w:t>浙东南、浙中、浙西贯通。向西经景宁畲族自治县接云湖县，</w:t>
      </w:r>
      <w:r>
        <w:rPr>
          <w:rFonts w:ascii="宋体" w:hAnsi="宋体" w:eastAsia="宋体" w:cs="宋体"/>
          <w:spacing w:val="52"/>
          <w:sz w:val="24"/>
          <w:szCs w:val="24"/>
        </w:rPr>
        <w:t xml:space="preserve"> </w:t>
      </w:r>
      <w:r>
        <w:rPr>
          <w:rFonts w:ascii="宋体" w:hAnsi="宋体" w:eastAsia="宋体" w:cs="宋体"/>
          <w:spacing w:val="-8"/>
          <w:sz w:val="24"/>
          <w:szCs w:val="24"/>
        </w:rPr>
        <w:t>往东经瑞安接温州</w:t>
      </w:r>
      <w:r>
        <w:rPr>
          <w:rFonts w:ascii="宋体" w:hAnsi="宋体" w:eastAsia="宋体" w:cs="宋体"/>
          <w:sz w:val="24"/>
          <w:szCs w:val="24"/>
        </w:rPr>
        <w:t xml:space="preserve"> </w:t>
      </w:r>
      <w:r>
        <w:rPr>
          <w:rFonts w:ascii="宋体" w:hAnsi="宋体" w:eastAsia="宋体" w:cs="宋体"/>
          <w:spacing w:val="-10"/>
          <w:sz w:val="24"/>
          <w:szCs w:val="24"/>
        </w:rPr>
        <w:t>甬台温高速飞云互通口后连通甬台温高速公路复线，</w:t>
      </w:r>
      <w:r>
        <w:rPr>
          <w:rFonts w:ascii="宋体" w:hAnsi="宋体" w:eastAsia="宋体" w:cs="宋体"/>
          <w:spacing w:val="58"/>
          <w:sz w:val="24"/>
          <w:szCs w:val="24"/>
        </w:rPr>
        <w:t xml:space="preserve"> </w:t>
      </w:r>
      <w:r>
        <w:rPr>
          <w:rFonts w:ascii="宋体" w:hAnsi="宋体" w:eastAsia="宋体" w:cs="宋体"/>
          <w:spacing w:val="-10"/>
          <w:sz w:val="24"/>
          <w:szCs w:val="24"/>
        </w:rPr>
        <w:t>由此，</w:t>
      </w:r>
      <w:r>
        <w:rPr>
          <w:rFonts w:ascii="宋体" w:hAnsi="宋体" w:eastAsia="宋体" w:cs="宋体"/>
          <w:spacing w:val="-54"/>
          <w:sz w:val="24"/>
          <w:szCs w:val="24"/>
        </w:rPr>
        <w:t xml:space="preserve"> </w:t>
      </w:r>
      <w:r>
        <w:rPr>
          <w:rFonts w:ascii="宋体" w:hAnsi="宋体" w:eastAsia="宋体" w:cs="宋体"/>
          <w:spacing w:val="-10"/>
          <w:sz w:val="24"/>
          <w:szCs w:val="24"/>
        </w:rPr>
        <w:t>文成县城至温州市区</w:t>
      </w:r>
      <w:r>
        <w:rPr>
          <w:rFonts w:ascii="宋体" w:hAnsi="宋体" w:eastAsia="宋体" w:cs="宋体"/>
          <w:sz w:val="24"/>
          <w:szCs w:val="24"/>
        </w:rPr>
        <w:t xml:space="preserve"> </w:t>
      </w:r>
      <w:r>
        <w:rPr>
          <w:rFonts w:ascii="宋体" w:hAnsi="宋体" w:eastAsia="宋体" w:cs="宋体"/>
          <w:spacing w:val="-4"/>
          <w:sz w:val="24"/>
          <w:szCs w:val="24"/>
        </w:rPr>
        <w:t>的交通时距可缩短至</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40</w:t>
      </w:r>
      <w:r>
        <w:rPr>
          <w:rFonts w:ascii="Times New Roman" w:hAnsi="Times New Roman" w:eastAsia="Times New Roman" w:cs="Times New Roman"/>
          <w:spacing w:val="38"/>
          <w:w w:val="101"/>
          <w:sz w:val="24"/>
          <w:szCs w:val="24"/>
        </w:rPr>
        <w:t xml:space="preserve"> </w:t>
      </w:r>
      <w:r>
        <w:rPr>
          <w:rFonts w:ascii="宋体" w:hAnsi="宋体" w:eastAsia="宋体" w:cs="宋体"/>
          <w:spacing w:val="-4"/>
          <w:sz w:val="24"/>
          <w:szCs w:val="24"/>
        </w:rPr>
        <w:t xml:space="preserve">分钟以内； </w:t>
      </w:r>
      <w:r>
        <w:rPr>
          <w:rFonts w:ascii="Times New Roman" w:hAnsi="Times New Roman" w:eastAsia="Times New Roman" w:cs="Times New Roman"/>
          <w:spacing w:val="-4"/>
          <w:sz w:val="24"/>
          <w:szCs w:val="24"/>
        </w:rPr>
        <w:t>“</w:t>
      </w:r>
      <w:r>
        <w:rPr>
          <w:rFonts w:ascii="宋体" w:hAnsi="宋体" w:eastAsia="宋体" w:cs="宋体"/>
          <w:spacing w:val="-4"/>
          <w:sz w:val="24"/>
          <w:szCs w:val="24"/>
        </w:rPr>
        <w:t>一纵</w:t>
      </w:r>
      <w:r>
        <w:rPr>
          <w:rFonts w:ascii="Times New Roman" w:hAnsi="Times New Roman" w:eastAsia="Times New Roman" w:cs="Times New Roman"/>
          <w:spacing w:val="-4"/>
          <w:sz w:val="24"/>
          <w:szCs w:val="24"/>
        </w:rPr>
        <w:t>”</w:t>
      </w:r>
      <w:r>
        <w:rPr>
          <w:rFonts w:ascii="宋体" w:hAnsi="宋体" w:eastAsia="宋体" w:cs="宋体"/>
          <w:spacing w:val="-4"/>
          <w:sz w:val="24"/>
          <w:szCs w:val="24"/>
        </w:rPr>
        <w:t>为青（田）文（成）泰（泰顺）高速</w:t>
      </w:r>
      <w:r>
        <w:rPr>
          <w:rFonts w:ascii="宋体" w:hAnsi="宋体" w:eastAsia="宋体" w:cs="宋体"/>
          <w:sz w:val="24"/>
          <w:szCs w:val="24"/>
        </w:rPr>
        <w:t xml:space="preserve"> </w:t>
      </w:r>
      <w:r>
        <w:rPr>
          <w:rFonts w:ascii="宋体" w:hAnsi="宋体" w:eastAsia="宋体" w:cs="宋体"/>
          <w:spacing w:val="-15"/>
          <w:sz w:val="24"/>
          <w:szCs w:val="24"/>
        </w:rPr>
        <w:t>公路，</w:t>
      </w:r>
      <w:r>
        <w:rPr>
          <w:rFonts w:ascii="宋体" w:hAnsi="宋体" w:eastAsia="宋体" w:cs="宋体"/>
          <w:spacing w:val="-27"/>
          <w:sz w:val="24"/>
          <w:szCs w:val="24"/>
        </w:rPr>
        <w:t xml:space="preserve"> </w:t>
      </w:r>
      <w:r>
        <w:rPr>
          <w:rFonts w:ascii="宋体" w:hAnsi="宋体" w:eastAsia="宋体" w:cs="宋体"/>
          <w:spacing w:val="-15"/>
          <w:sz w:val="24"/>
          <w:szCs w:val="24"/>
        </w:rPr>
        <w:t>纳入远景规划范畴，</w:t>
      </w:r>
      <w:r>
        <w:rPr>
          <w:rFonts w:ascii="宋体" w:hAnsi="宋体" w:eastAsia="宋体" w:cs="宋体"/>
          <w:spacing w:val="30"/>
          <w:sz w:val="24"/>
          <w:szCs w:val="24"/>
        </w:rPr>
        <w:t xml:space="preserve"> </w:t>
      </w:r>
      <w:r>
        <w:rPr>
          <w:rFonts w:ascii="宋体" w:hAnsi="宋体" w:eastAsia="宋体" w:cs="宋体"/>
          <w:spacing w:val="-15"/>
          <w:sz w:val="24"/>
          <w:szCs w:val="24"/>
        </w:rPr>
        <w:t>往北接金丽温高速公路，</w:t>
      </w:r>
      <w:r>
        <w:rPr>
          <w:rFonts w:ascii="宋体" w:hAnsi="宋体" w:eastAsia="宋体" w:cs="宋体"/>
          <w:spacing w:val="57"/>
          <w:sz w:val="24"/>
          <w:szCs w:val="24"/>
        </w:rPr>
        <w:t xml:space="preserve"> </w:t>
      </w:r>
      <w:r>
        <w:rPr>
          <w:rFonts w:ascii="宋体" w:hAnsi="宋体" w:eastAsia="宋体" w:cs="宋体"/>
          <w:spacing w:val="-15"/>
          <w:sz w:val="24"/>
          <w:szCs w:val="24"/>
        </w:rPr>
        <w:t>向南打通与福建福安的高速</w:t>
      </w:r>
    </w:p>
    <w:p>
      <w:pPr>
        <w:spacing w:before="1" w:line="220" w:lineRule="auto"/>
        <w:ind w:left="534"/>
        <w:rPr>
          <w:rFonts w:ascii="宋体" w:hAnsi="宋体" w:eastAsia="宋体" w:cs="宋体"/>
          <w:sz w:val="24"/>
          <w:szCs w:val="24"/>
        </w:rPr>
      </w:pPr>
      <w:r>
        <w:rPr>
          <w:rFonts w:ascii="宋体" w:hAnsi="宋体" w:eastAsia="宋体" w:cs="宋体"/>
          <w:spacing w:val="-8"/>
          <w:sz w:val="24"/>
          <w:szCs w:val="24"/>
        </w:rPr>
        <w:t>交通联系。</w:t>
      </w:r>
    </w:p>
    <w:p>
      <w:pPr>
        <w:spacing w:before="178" w:line="220" w:lineRule="auto"/>
        <w:ind w:left="3023"/>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4"/>
          <w:sz w:val="24"/>
          <w:szCs w:val="24"/>
        </w:rPr>
        <w:t xml:space="preserve"> </w:t>
      </w:r>
      <w:r>
        <w:fldChar w:fldCharType="begin"/>
      </w:r>
      <w:r>
        <w:instrText xml:space="preserve"> HYPERLINK "2.4.1.3" </w:instrText>
      </w:r>
      <w:r>
        <w:fldChar w:fldCharType="separate"/>
      </w:r>
      <w:r>
        <w:rPr>
          <w:rFonts w:ascii="Times New Roman" w:hAnsi="Times New Roman" w:eastAsia="Times New Roman" w:cs="Times New Roman"/>
          <w:spacing w:val="-2"/>
          <w:sz w:val="24"/>
          <w:szCs w:val="24"/>
        </w:rPr>
        <w:t>2.4.1.3</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规划高速公路一览表</w:t>
      </w:r>
    </w:p>
    <w:p>
      <w:pPr>
        <w:spacing w:line="146" w:lineRule="exact"/>
      </w:pPr>
    </w:p>
    <w:tbl>
      <w:tblPr>
        <w:tblStyle w:val="5"/>
        <w:tblW w:w="9270"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7"/>
        <w:gridCol w:w="1982"/>
        <w:gridCol w:w="2358"/>
        <w:gridCol w:w="880"/>
        <w:gridCol w:w="830"/>
        <w:gridCol w:w="26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607" w:type="dxa"/>
            <w:textDirection w:val="tbRlV"/>
            <w:vAlign w:val="top"/>
          </w:tcPr>
          <w:p>
            <w:pPr>
              <w:pStyle w:val="6"/>
              <w:spacing w:before="196" w:line="211" w:lineRule="auto"/>
              <w:ind w:left="34"/>
            </w:pPr>
            <w:r>
              <w:rPr>
                <w:spacing w:val="1"/>
              </w:rPr>
              <w:t>序</w:t>
            </w:r>
            <w:r>
              <w:rPr>
                <w:spacing w:val="-43"/>
              </w:rPr>
              <w:t xml:space="preserve"> </w:t>
            </w:r>
            <w:r>
              <w:rPr>
                <w:spacing w:val="1"/>
              </w:rPr>
              <w:t>号</w:t>
            </w:r>
          </w:p>
        </w:tc>
        <w:tc>
          <w:tcPr>
            <w:tcW w:w="1982" w:type="dxa"/>
            <w:vAlign w:val="top"/>
          </w:tcPr>
          <w:p>
            <w:pPr>
              <w:pStyle w:val="6"/>
              <w:spacing w:before="170" w:line="221" w:lineRule="auto"/>
              <w:ind w:left="785"/>
            </w:pPr>
            <w:r>
              <w:rPr>
                <w:spacing w:val="-2"/>
              </w:rPr>
              <w:t>路名</w:t>
            </w:r>
          </w:p>
        </w:tc>
        <w:tc>
          <w:tcPr>
            <w:tcW w:w="2358" w:type="dxa"/>
            <w:vAlign w:val="top"/>
          </w:tcPr>
          <w:p>
            <w:pPr>
              <w:pStyle w:val="6"/>
              <w:spacing w:before="170" w:line="221" w:lineRule="auto"/>
              <w:ind w:left="976"/>
            </w:pPr>
            <w:r>
              <w:rPr>
                <w:spacing w:val="-3"/>
              </w:rPr>
              <w:t>线路</w:t>
            </w:r>
          </w:p>
        </w:tc>
        <w:tc>
          <w:tcPr>
            <w:tcW w:w="880" w:type="dxa"/>
            <w:vAlign w:val="top"/>
          </w:tcPr>
          <w:p>
            <w:pPr>
              <w:pStyle w:val="6"/>
              <w:spacing w:before="170" w:line="221" w:lineRule="auto"/>
              <w:ind w:left="238"/>
            </w:pPr>
            <w:r>
              <w:rPr>
                <w:spacing w:val="-2"/>
              </w:rPr>
              <w:t>车道</w:t>
            </w:r>
          </w:p>
        </w:tc>
        <w:tc>
          <w:tcPr>
            <w:tcW w:w="830" w:type="dxa"/>
            <w:vAlign w:val="top"/>
          </w:tcPr>
          <w:p>
            <w:pPr>
              <w:pStyle w:val="6"/>
              <w:spacing w:before="51" w:line="292" w:lineRule="exact"/>
              <w:ind w:left="213"/>
            </w:pPr>
            <w:r>
              <w:rPr>
                <w:spacing w:val="-3"/>
                <w:position w:val="5"/>
              </w:rPr>
              <w:t>里程</w:t>
            </w:r>
          </w:p>
          <w:p>
            <w:pPr>
              <w:spacing w:line="191" w:lineRule="auto"/>
              <w:ind w:left="21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(km)</w:t>
            </w:r>
          </w:p>
        </w:tc>
        <w:tc>
          <w:tcPr>
            <w:tcW w:w="2613" w:type="dxa"/>
            <w:vAlign w:val="top"/>
          </w:tcPr>
          <w:p>
            <w:pPr>
              <w:pStyle w:val="6"/>
              <w:spacing w:before="170" w:line="228" w:lineRule="auto"/>
              <w:ind w:left="1105"/>
            </w:pPr>
            <w:r>
              <w:rPr>
                <w:spacing w:val="-3"/>
              </w:rPr>
              <w:t>互通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07" w:type="dxa"/>
            <w:vAlign w:val="top"/>
          </w:tcPr>
          <w:p>
            <w:pPr>
              <w:spacing w:line="281" w:lineRule="auto"/>
              <w:rPr>
                <w:rFonts w:ascii="Arial"/>
                <w:sz w:val="21"/>
              </w:rPr>
            </w:pPr>
          </w:p>
          <w:p>
            <w:pPr>
              <w:spacing w:before="60" w:line="187" w:lineRule="auto"/>
              <w:ind w:left="27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82" w:type="dxa"/>
            <w:vAlign w:val="top"/>
          </w:tcPr>
          <w:p>
            <w:pPr>
              <w:pStyle w:val="6"/>
              <w:spacing w:before="168" w:line="230" w:lineRule="auto"/>
              <w:ind w:left="784" w:right="145" w:hanging="633"/>
            </w:pPr>
            <w:r>
              <w:rPr>
                <w:spacing w:val="-1"/>
                <w14:textOutline w14:w="3831" w14:cap="flat" w14:cmpd="sng">
                  <w14:solidFill>
                    <w14:srgbClr w14:val="000000"/>
                  </w14:solidFill>
                  <w14:prstDash w14:val="solid"/>
                  <w14:miter w14:val="0"/>
                </w14:textOutline>
              </w:rPr>
              <w:t>龙丽温高速公路文</w:t>
            </w:r>
            <w:r>
              <w:rPr>
                <w:spacing w:val="6"/>
              </w:rPr>
              <w:t xml:space="preserve"> </w:t>
            </w:r>
            <w:r>
              <w:rPr>
                <w:spacing w:val="-2"/>
                <w14:textOutline w14:w="3831" w14:cap="flat" w14:cmpd="sng">
                  <w14:solidFill>
                    <w14:srgbClr w14:val="000000"/>
                  </w14:solidFill>
                  <w14:prstDash w14:val="solid"/>
                  <w14:miter w14:val="0"/>
                </w14:textOutline>
              </w:rPr>
              <w:t>成段</w:t>
            </w:r>
          </w:p>
        </w:tc>
        <w:tc>
          <w:tcPr>
            <w:tcW w:w="2358" w:type="dxa"/>
            <w:vAlign w:val="top"/>
          </w:tcPr>
          <w:p>
            <w:pPr>
              <w:pStyle w:val="6"/>
              <w:spacing w:before="30" w:line="221" w:lineRule="auto"/>
              <w:ind w:left="240"/>
            </w:pPr>
            <w:r>
              <w:rPr>
                <w:spacing w:val="-1"/>
              </w:rPr>
              <w:t>景宁县－西坑－富岙</w:t>
            </w:r>
          </w:p>
          <w:p>
            <w:pPr>
              <w:pStyle w:val="6"/>
              <w:spacing w:before="22" w:line="221" w:lineRule="auto"/>
              <w:ind w:left="186"/>
            </w:pPr>
            <w:r>
              <w:rPr>
                <w:spacing w:val="8"/>
              </w:rPr>
              <w:t>-龙川－大峃</w:t>
            </w:r>
            <w:r>
              <w:rPr>
                <w:rFonts w:ascii="Times New Roman" w:hAnsi="Times New Roman" w:eastAsia="Times New Roman" w:cs="Times New Roman"/>
                <w:spacing w:val="8"/>
              </w:rPr>
              <w:t>-</w:t>
            </w:r>
            <w:r>
              <w:rPr>
                <w:spacing w:val="8"/>
              </w:rPr>
              <w:t>樟台</w:t>
            </w:r>
            <w:r>
              <w:rPr>
                <w:rFonts w:ascii="Times New Roman" w:hAnsi="Times New Roman" w:eastAsia="Times New Roman" w:cs="Times New Roman"/>
                <w:spacing w:val="8"/>
              </w:rPr>
              <w:t>-</w:t>
            </w:r>
            <w:r>
              <w:rPr>
                <w:spacing w:val="8"/>
              </w:rPr>
              <w:t>峃</w:t>
            </w:r>
          </w:p>
          <w:p>
            <w:pPr>
              <w:pStyle w:val="6"/>
              <w:spacing w:before="19" w:line="207" w:lineRule="auto"/>
              <w:ind w:left="1109"/>
            </w:pPr>
            <w:r>
              <w:t>口</w:t>
            </w:r>
          </w:p>
        </w:tc>
        <w:tc>
          <w:tcPr>
            <w:tcW w:w="880" w:type="dxa"/>
            <w:vAlign w:val="top"/>
          </w:tcPr>
          <w:p>
            <w:pPr>
              <w:pStyle w:val="6"/>
              <w:spacing w:before="169" w:line="229" w:lineRule="auto"/>
              <w:ind w:left="237" w:right="145" w:hanging="80"/>
            </w:pPr>
            <w:r>
              <w:rPr>
                <w:spacing w:val="-3"/>
              </w:rPr>
              <w:t>双向</w:t>
            </w:r>
            <w:r>
              <w:rPr>
                <w:spacing w:val="-49"/>
              </w:rPr>
              <w:t xml:space="preserve"> </w:t>
            </w:r>
            <w:r>
              <w:rPr>
                <w:rFonts w:ascii="Times New Roman" w:hAnsi="Times New Roman" w:eastAsia="Times New Roman" w:cs="Times New Roman"/>
                <w:spacing w:val="-3"/>
              </w:rPr>
              <w:t>4</w:t>
            </w:r>
            <w:r>
              <w:rPr>
                <w:rFonts w:ascii="Times New Roman" w:hAnsi="Times New Roman" w:eastAsia="Times New Roman" w:cs="Times New Roman"/>
              </w:rPr>
              <w:t xml:space="preserve"> </w:t>
            </w:r>
            <w:r>
              <w:rPr>
                <w:spacing w:val="-2"/>
              </w:rPr>
              <w:t>车道</w:t>
            </w:r>
          </w:p>
        </w:tc>
        <w:tc>
          <w:tcPr>
            <w:tcW w:w="830" w:type="dxa"/>
            <w:vAlign w:val="top"/>
          </w:tcPr>
          <w:p>
            <w:pPr>
              <w:spacing w:line="281" w:lineRule="auto"/>
              <w:rPr>
                <w:rFonts w:ascii="Arial"/>
                <w:sz w:val="21"/>
              </w:rPr>
            </w:pPr>
          </w:p>
          <w:p>
            <w:pPr>
              <w:spacing w:before="60" w:line="187"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2613" w:type="dxa"/>
            <w:vAlign w:val="top"/>
          </w:tcPr>
          <w:p>
            <w:pPr>
              <w:pStyle w:val="6"/>
              <w:spacing w:before="169" w:line="229" w:lineRule="auto"/>
              <w:ind w:left="131" w:right="28" w:hanging="20"/>
            </w:pPr>
            <w:r>
              <w:rPr>
                <w:rFonts w:ascii="Times New Roman" w:hAnsi="Times New Roman" w:eastAsia="Times New Roman" w:cs="Times New Roman"/>
                <w:spacing w:val="-17"/>
              </w:rPr>
              <w:t>2</w:t>
            </w:r>
            <w:r>
              <w:rPr>
                <w:rFonts w:ascii="Times New Roman" w:hAnsi="Times New Roman" w:eastAsia="Times New Roman" w:cs="Times New Roman"/>
                <w:spacing w:val="10"/>
              </w:rPr>
              <w:t xml:space="preserve"> </w:t>
            </w:r>
            <w:r>
              <w:rPr>
                <w:spacing w:val="-17"/>
              </w:rPr>
              <w:t>个互通口（西坑、樟台）、</w:t>
            </w:r>
            <w:r>
              <w:t xml:space="preserve"> </w:t>
            </w:r>
            <w:r>
              <w:rPr>
                <w:rFonts w:ascii="Times New Roman" w:hAnsi="Times New Roman" w:eastAsia="Times New Roman" w:cs="Times New Roman"/>
                <w:spacing w:val="-3"/>
              </w:rPr>
              <w:t xml:space="preserve">1 </w:t>
            </w:r>
            <w:r>
              <w:rPr>
                <w:spacing w:val="-3"/>
              </w:rPr>
              <w:t>个高速公路枢纽（樟台）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607" w:type="dxa"/>
            <w:vAlign w:val="top"/>
          </w:tcPr>
          <w:p>
            <w:pPr>
              <w:spacing w:line="280" w:lineRule="auto"/>
              <w:rPr>
                <w:rFonts w:ascii="Arial"/>
                <w:sz w:val="21"/>
              </w:rPr>
            </w:pPr>
          </w:p>
          <w:p>
            <w:pPr>
              <w:spacing w:before="61" w:line="187" w:lineRule="auto"/>
              <w:ind w:left="25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82" w:type="dxa"/>
            <w:vAlign w:val="top"/>
          </w:tcPr>
          <w:p>
            <w:pPr>
              <w:pStyle w:val="6"/>
              <w:spacing w:before="304" w:line="220" w:lineRule="auto"/>
              <w:ind w:left="257"/>
            </w:pPr>
            <w:r>
              <w:rPr>
                <w:spacing w:val="-1"/>
              </w:rPr>
              <w:t>青文泰高速公路</w:t>
            </w:r>
          </w:p>
        </w:tc>
        <w:tc>
          <w:tcPr>
            <w:tcW w:w="2358" w:type="dxa"/>
            <w:vAlign w:val="top"/>
          </w:tcPr>
          <w:p>
            <w:pPr>
              <w:pStyle w:val="6"/>
              <w:spacing w:before="33" w:line="221" w:lineRule="auto"/>
              <w:ind w:left="133"/>
            </w:pPr>
            <w:r>
              <w:rPr>
                <w:spacing w:val="-1"/>
              </w:rPr>
              <w:t>樟台－巨屿－珊溪－泰</w:t>
            </w:r>
          </w:p>
          <w:p>
            <w:pPr>
              <w:pStyle w:val="6"/>
              <w:spacing w:before="18" w:line="224" w:lineRule="auto"/>
              <w:ind w:left="446" w:right="124" w:hanging="312"/>
            </w:pPr>
            <w:r>
              <w:rPr>
                <w:spacing w:val="-1"/>
              </w:rPr>
              <w:t>顺联云（远景可向北连</w:t>
            </w:r>
            <w:r>
              <w:rPr>
                <w:spacing w:val="2"/>
              </w:rPr>
              <w:t xml:space="preserve"> </w:t>
            </w:r>
            <w:r>
              <w:rPr>
                <w:spacing w:val="-2"/>
              </w:rPr>
              <w:t>接金丽温高速）</w:t>
            </w:r>
          </w:p>
        </w:tc>
        <w:tc>
          <w:tcPr>
            <w:tcW w:w="880" w:type="dxa"/>
            <w:vAlign w:val="top"/>
          </w:tcPr>
          <w:p>
            <w:pPr>
              <w:pStyle w:val="6"/>
              <w:spacing w:before="171" w:line="229" w:lineRule="auto"/>
              <w:ind w:left="237" w:right="145" w:hanging="80"/>
            </w:pPr>
            <w:r>
              <w:rPr>
                <w:spacing w:val="-3"/>
              </w:rPr>
              <w:t>双向</w:t>
            </w:r>
            <w:r>
              <w:rPr>
                <w:spacing w:val="-49"/>
              </w:rPr>
              <w:t xml:space="preserve"> </w:t>
            </w:r>
            <w:r>
              <w:rPr>
                <w:rFonts w:ascii="Times New Roman" w:hAnsi="Times New Roman" w:eastAsia="Times New Roman" w:cs="Times New Roman"/>
                <w:spacing w:val="-3"/>
              </w:rPr>
              <w:t>4</w:t>
            </w:r>
            <w:r>
              <w:rPr>
                <w:rFonts w:ascii="Times New Roman" w:hAnsi="Times New Roman" w:eastAsia="Times New Roman" w:cs="Times New Roman"/>
              </w:rPr>
              <w:t xml:space="preserve"> </w:t>
            </w:r>
            <w:r>
              <w:rPr>
                <w:spacing w:val="-2"/>
              </w:rPr>
              <w:t>车道</w:t>
            </w:r>
          </w:p>
        </w:tc>
        <w:tc>
          <w:tcPr>
            <w:tcW w:w="830" w:type="dxa"/>
            <w:vAlign w:val="top"/>
          </w:tcPr>
          <w:p>
            <w:pPr>
              <w:spacing w:line="280" w:lineRule="auto"/>
              <w:rPr>
                <w:rFonts w:ascii="Arial"/>
                <w:sz w:val="21"/>
              </w:rPr>
            </w:pPr>
          </w:p>
          <w:p>
            <w:pPr>
              <w:spacing w:before="61" w:line="187"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2613" w:type="dxa"/>
            <w:vAlign w:val="top"/>
          </w:tcPr>
          <w:p>
            <w:pPr>
              <w:pStyle w:val="6"/>
              <w:spacing w:before="303" w:line="221" w:lineRule="auto"/>
              <w:ind w:left="111"/>
            </w:pPr>
            <w:r>
              <w:rPr>
                <w:rFonts w:ascii="Times New Roman" w:hAnsi="Times New Roman" w:eastAsia="Times New Roman" w:cs="Times New Roman"/>
                <w:spacing w:val="-2"/>
              </w:rPr>
              <w:t xml:space="preserve">2 </w:t>
            </w:r>
            <w:r>
              <w:rPr>
                <w:spacing w:val="-2"/>
              </w:rPr>
              <w:t>个互通口（珊溪、玉壶）</w:t>
            </w:r>
          </w:p>
        </w:tc>
      </w:tr>
    </w:tbl>
    <w:p>
      <w:pPr>
        <w:spacing w:before="192" w:line="219" w:lineRule="auto"/>
        <w:ind w:left="101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）干线公路</w:t>
      </w:r>
    </w:p>
    <w:p>
      <w:pPr>
        <w:spacing w:before="184" w:line="216" w:lineRule="auto"/>
        <w:ind w:left="1011"/>
        <w:rPr>
          <w:rFonts w:ascii="宋体" w:hAnsi="宋体" w:eastAsia="宋体" w:cs="宋体"/>
          <w:sz w:val="24"/>
          <w:szCs w:val="24"/>
        </w:rPr>
      </w:pPr>
      <w:r>
        <w:rPr>
          <w:rFonts w:ascii="宋体" w:hAnsi="宋体" w:eastAsia="宋体" w:cs="宋体"/>
          <w:spacing w:val="-3"/>
          <w:sz w:val="24"/>
          <w:szCs w:val="24"/>
        </w:rPr>
        <w:t>规划形成</w:t>
      </w:r>
      <w:r>
        <w:rPr>
          <w:rFonts w:ascii="Times New Roman" w:hAnsi="Times New Roman" w:eastAsia="Times New Roman" w:cs="Times New Roman"/>
          <w:spacing w:val="-3"/>
          <w:sz w:val="24"/>
          <w:szCs w:val="24"/>
        </w:rPr>
        <w:t>“</w:t>
      </w:r>
      <w:r>
        <w:rPr>
          <w:rFonts w:ascii="宋体" w:hAnsi="宋体" w:eastAsia="宋体" w:cs="宋体"/>
          <w:spacing w:val="-3"/>
          <w:sz w:val="24"/>
          <w:szCs w:val="24"/>
        </w:rPr>
        <w:t>一横三纵两连两环</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的干线公路系</w:t>
      </w:r>
      <w:r>
        <w:rPr>
          <w:rFonts w:ascii="宋体" w:hAnsi="宋体" w:eastAsia="宋体" w:cs="宋体"/>
          <w:spacing w:val="-4"/>
          <w:sz w:val="24"/>
          <w:szCs w:val="24"/>
        </w:rPr>
        <w:t>统。</w:t>
      </w:r>
    </w:p>
    <w:p>
      <w:pPr>
        <w:spacing w:before="185" w:line="468" w:lineRule="exact"/>
        <w:ind w:left="1012"/>
        <w:rPr>
          <w:rFonts w:ascii="宋体" w:hAnsi="宋体" w:eastAsia="宋体" w:cs="宋体"/>
          <w:sz w:val="24"/>
          <w:szCs w:val="24"/>
        </w:rPr>
      </w:pPr>
      <w:r>
        <w:rPr>
          <w:rFonts w:ascii="宋体" w:hAnsi="宋体" w:eastAsia="宋体" w:cs="宋体"/>
          <w:spacing w:val="-6"/>
          <w:position w:val="17"/>
          <w:sz w:val="24"/>
          <w:szCs w:val="24"/>
        </w:rPr>
        <w:t>为加强县域主副中心间的交通联系，</w:t>
      </w:r>
      <w:r>
        <w:rPr>
          <w:rFonts w:ascii="宋体" w:hAnsi="宋体" w:eastAsia="宋体" w:cs="宋体"/>
          <w:spacing w:val="-29"/>
          <w:position w:val="17"/>
          <w:sz w:val="24"/>
          <w:szCs w:val="24"/>
        </w:rPr>
        <w:t xml:space="preserve"> </w:t>
      </w:r>
      <w:r>
        <w:rPr>
          <w:rFonts w:ascii="宋体" w:hAnsi="宋体" w:eastAsia="宋体" w:cs="宋体"/>
          <w:spacing w:val="-6"/>
          <w:position w:val="17"/>
          <w:sz w:val="24"/>
          <w:szCs w:val="24"/>
        </w:rPr>
        <w:t>规划沿凤溪规划一条二级公路向南通过</w:t>
      </w:r>
    </w:p>
    <w:p>
      <w:pPr>
        <w:spacing w:line="218" w:lineRule="auto"/>
        <w:ind w:left="542"/>
        <w:rPr>
          <w:rFonts w:ascii="宋体" w:hAnsi="宋体" w:eastAsia="宋体" w:cs="宋体"/>
          <w:sz w:val="24"/>
          <w:szCs w:val="24"/>
        </w:rPr>
      </w:pPr>
      <w:r>
        <w:rPr>
          <w:rFonts w:ascii="宋体" w:hAnsi="宋体" w:eastAsia="宋体" w:cs="宋体"/>
          <w:spacing w:val="-3"/>
          <w:sz w:val="24"/>
          <w:szCs w:val="24"/>
        </w:rPr>
        <w:t>隧道连接巨屿及珊溪，在中心城区内接入环城南路。</w:t>
      </w:r>
    </w:p>
    <w:p>
      <w:pPr>
        <w:spacing w:before="185" w:line="465" w:lineRule="exact"/>
        <w:ind w:left="1012"/>
        <w:rPr>
          <w:rFonts w:ascii="宋体" w:hAnsi="宋体" w:eastAsia="宋体" w:cs="宋体"/>
          <w:sz w:val="24"/>
          <w:szCs w:val="24"/>
        </w:rPr>
      </w:pPr>
      <w:r>
        <w:rPr>
          <w:rFonts w:ascii="宋体" w:hAnsi="宋体" w:eastAsia="宋体" w:cs="宋体"/>
          <w:spacing w:val="-1"/>
          <w:position w:val="17"/>
          <w:sz w:val="24"/>
          <w:szCs w:val="24"/>
        </w:rPr>
        <w:t>为改善县域北部南田、百丈漈至县城的交通条件，规划新建</w:t>
      </w:r>
      <w:r>
        <w:rPr>
          <w:rFonts w:ascii="宋体" w:hAnsi="宋体" w:eastAsia="宋体" w:cs="宋体"/>
          <w:spacing w:val="-2"/>
          <w:position w:val="17"/>
          <w:sz w:val="24"/>
          <w:szCs w:val="24"/>
        </w:rPr>
        <w:t>二级公路一条，</w:t>
      </w:r>
    </w:p>
    <w:p>
      <w:pPr>
        <w:spacing w:before="2" w:line="215" w:lineRule="auto"/>
        <w:ind w:left="559"/>
        <w:rPr>
          <w:rFonts w:ascii="宋体" w:hAnsi="宋体" w:eastAsia="宋体" w:cs="宋体"/>
          <w:sz w:val="24"/>
          <w:szCs w:val="24"/>
        </w:rPr>
      </w:pPr>
      <w:r>
        <w:rPr>
          <w:rFonts w:ascii="宋体" w:hAnsi="宋体" w:eastAsia="宋体" w:cs="宋体"/>
          <w:spacing w:val="-4"/>
          <w:sz w:val="24"/>
          <w:szCs w:val="24"/>
        </w:rPr>
        <w:t>由</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 xml:space="preserve">56 </w:t>
      </w:r>
      <w:r>
        <w:rPr>
          <w:rFonts w:ascii="宋体" w:hAnsi="宋体" w:eastAsia="宋体" w:cs="宋体"/>
          <w:spacing w:val="-4"/>
          <w:sz w:val="24"/>
          <w:szCs w:val="24"/>
        </w:rPr>
        <w:t>省道复线通过隧道往北接百丈漈镇及南田镇。</w:t>
      </w:r>
    </w:p>
    <w:p>
      <w:pPr>
        <w:spacing w:before="187" w:line="219" w:lineRule="auto"/>
        <w:ind w:left="3143"/>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8"/>
          <w:sz w:val="24"/>
          <w:szCs w:val="24"/>
        </w:rPr>
        <w:t xml:space="preserve"> </w:t>
      </w:r>
      <w:r>
        <w:fldChar w:fldCharType="begin"/>
      </w:r>
      <w:r>
        <w:instrText xml:space="preserve"> HYPERLINK "2.4.1.3" </w:instrText>
      </w:r>
      <w:r>
        <w:fldChar w:fldCharType="separate"/>
      </w:r>
      <w:r>
        <w:rPr>
          <w:rFonts w:ascii="Times New Roman" w:hAnsi="Times New Roman" w:eastAsia="Times New Roman" w:cs="Times New Roman"/>
          <w:spacing w:val="-1"/>
          <w:sz w:val="24"/>
          <w:szCs w:val="24"/>
        </w:rPr>
        <w:t>2.4.1.3</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规划干线公路一览表</w:t>
      </w:r>
    </w:p>
    <w:p>
      <w:pPr>
        <w:spacing w:line="145" w:lineRule="exact"/>
      </w:pPr>
    </w:p>
    <w:tbl>
      <w:tblPr>
        <w:tblStyle w:val="5"/>
        <w:tblW w:w="93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4"/>
        <w:gridCol w:w="554"/>
        <w:gridCol w:w="1641"/>
        <w:gridCol w:w="2522"/>
        <w:gridCol w:w="2171"/>
        <w:gridCol w:w="17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664" w:type="dxa"/>
            <w:vAlign w:val="top"/>
          </w:tcPr>
          <w:p>
            <w:pPr>
              <w:pStyle w:val="6"/>
              <w:spacing w:before="34" w:line="208" w:lineRule="auto"/>
              <w:ind w:left="127"/>
            </w:pPr>
            <w:r>
              <w:rPr>
                <w:spacing w:val="-2"/>
              </w:rPr>
              <w:t>序号</w:t>
            </w:r>
          </w:p>
        </w:tc>
        <w:tc>
          <w:tcPr>
            <w:tcW w:w="2195" w:type="dxa"/>
            <w:gridSpan w:val="2"/>
            <w:vAlign w:val="top"/>
          </w:tcPr>
          <w:p>
            <w:pPr>
              <w:pStyle w:val="6"/>
              <w:spacing w:before="34" w:line="208" w:lineRule="auto"/>
              <w:ind w:left="473"/>
            </w:pPr>
            <w:r>
              <w:rPr>
                <w:spacing w:val="-2"/>
              </w:rPr>
              <w:t>路名（代码）</w:t>
            </w:r>
          </w:p>
        </w:tc>
        <w:tc>
          <w:tcPr>
            <w:tcW w:w="2522" w:type="dxa"/>
            <w:vAlign w:val="top"/>
          </w:tcPr>
          <w:p>
            <w:pPr>
              <w:pStyle w:val="6"/>
              <w:spacing w:before="34" w:line="208" w:lineRule="auto"/>
              <w:ind w:left="1059"/>
            </w:pPr>
            <w:r>
              <w:rPr>
                <w:spacing w:val="-3"/>
              </w:rPr>
              <w:t>线路</w:t>
            </w:r>
          </w:p>
        </w:tc>
        <w:tc>
          <w:tcPr>
            <w:tcW w:w="2171" w:type="dxa"/>
            <w:vAlign w:val="top"/>
          </w:tcPr>
          <w:p>
            <w:pPr>
              <w:pStyle w:val="6"/>
              <w:spacing w:before="34" w:line="208" w:lineRule="auto"/>
              <w:ind w:left="672"/>
            </w:pPr>
            <w:r>
              <w:rPr>
                <w:spacing w:val="-2"/>
              </w:rPr>
              <w:t>技术标准</w:t>
            </w:r>
          </w:p>
        </w:tc>
        <w:tc>
          <w:tcPr>
            <w:tcW w:w="1792" w:type="dxa"/>
            <w:vAlign w:val="top"/>
          </w:tcPr>
          <w:p>
            <w:pPr>
              <w:pStyle w:val="6"/>
              <w:spacing w:before="34" w:line="208" w:lineRule="auto"/>
              <w:ind w:left="694"/>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664" w:type="dxa"/>
            <w:vAlign w:val="top"/>
          </w:tcPr>
          <w:p>
            <w:pPr>
              <w:spacing w:line="279" w:lineRule="auto"/>
              <w:rPr>
                <w:rFonts w:ascii="Arial"/>
                <w:sz w:val="21"/>
              </w:rPr>
            </w:pPr>
          </w:p>
          <w:p>
            <w:pPr>
              <w:spacing w:before="60" w:line="187" w:lineRule="auto"/>
              <w:ind w:left="30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554" w:type="dxa"/>
            <w:vAlign w:val="top"/>
          </w:tcPr>
          <w:p>
            <w:pPr>
              <w:spacing w:line="246" w:lineRule="auto"/>
              <w:rPr>
                <w:rFonts w:ascii="Arial"/>
                <w:sz w:val="21"/>
              </w:rPr>
            </w:pPr>
          </w:p>
          <w:p>
            <w:pPr>
              <w:spacing w:line="22" w:lineRule="exact"/>
              <w:ind w:firstLine="180"/>
            </w:pPr>
            <w:r>
              <w:drawing>
                <wp:inline distT="0" distB="0" distL="0" distR="0">
                  <wp:extent cx="126365" cy="1397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04"/>
                          <a:stretch>
                            <a:fillRect/>
                          </a:stretch>
                        </pic:blipFill>
                        <pic:spPr>
                          <a:xfrm>
                            <a:off x="0" y="0"/>
                            <a:ext cx="126735" cy="14081"/>
                          </a:xfrm>
                          <a:prstGeom prst="rect">
                            <a:avLst/>
                          </a:prstGeom>
                        </pic:spPr>
                      </pic:pic>
                    </a:graphicData>
                  </a:graphic>
                </wp:inline>
              </w:drawing>
            </w:r>
          </w:p>
          <w:p>
            <w:pPr>
              <w:pStyle w:val="6"/>
              <w:spacing w:before="169" w:line="217" w:lineRule="auto"/>
              <w:ind w:left="175"/>
            </w:pPr>
            <w:r>
              <w:t>横</w:t>
            </w:r>
          </w:p>
        </w:tc>
        <w:tc>
          <w:tcPr>
            <w:tcW w:w="1641" w:type="dxa"/>
            <w:vAlign w:val="top"/>
          </w:tcPr>
          <w:p>
            <w:pPr>
              <w:pStyle w:val="6"/>
              <w:spacing w:before="302" w:line="221" w:lineRule="auto"/>
              <w:ind w:left="275"/>
            </w:pPr>
            <w:r>
              <w:rPr>
                <w:rFonts w:ascii="Times New Roman" w:hAnsi="Times New Roman" w:eastAsia="Times New Roman" w:cs="Times New Roman"/>
                <w:spacing w:val="-4"/>
              </w:rPr>
              <w:t>56</w:t>
            </w:r>
            <w:r>
              <w:rPr>
                <w:rFonts w:ascii="Times New Roman" w:hAnsi="Times New Roman" w:eastAsia="Times New Roman" w:cs="Times New Roman"/>
                <w:spacing w:val="15"/>
                <w:w w:val="101"/>
              </w:rPr>
              <w:t xml:space="preserve"> </w:t>
            </w:r>
            <w:r>
              <w:rPr>
                <w:spacing w:val="-4"/>
              </w:rPr>
              <w:t>省道复线</w:t>
            </w:r>
          </w:p>
        </w:tc>
        <w:tc>
          <w:tcPr>
            <w:tcW w:w="2522" w:type="dxa"/>
            <w:vAlign w:val="top"/>
          </w:tcPr>
          <w:p>
            <w:pPr>
              <w:pStyle w:val="6"/>
              <w:spacing w:before="31" w:line="216" w:lineRule="auto"/>
              <w:ind w:left="216"/>
            </w:pPr>
            <w:r>
              <w:rPr>
                <w:spacing w:val="-1"/>
              </w:rPr>
              <w:t>瑞安－樟台－县城－黄</w:t>
            </w:r>
          </w:p>
          <w:p>
            <w:pPr>
              <w:pStyle w:val="6"/>
              <w:spacing w:before="24" w:line="221" w:lineRule="auto"/>
              <w:ind w:left="217"/>
            </w:pPr>
            <w:r>
              <w:rPr>
                <w:spacing w:val="7"/>
              </w:rPr>
              <w:t>坦－西坑－石垟林场-</w:t>
            </w:r>
          </w:p>
          <w:p>
            <w:pPr>
              <w:pStyle w:val="6"/>
              <w:spacing w:before="22" w:line="209" w:lineRule="auto"/>
              <w:ind w:left="851"/>
            </w:pPr>
            <w:r>
              <w:rPr>
                <w:spacing w:val="-3"/>
              </w:rPr>
              <w:t>景宁东坑</w:t>
            </w:r>
          </w:p>
        </w:tc>
        <w:tc>
          <w:tcPr>
            <w:tcW w:w="2171" w:type="dxa"/>
            <w:vAlign w:val="top"/>
          </w:tcPr>
          <w:p>
            <w:pPr>
              <w:pStyle w:val="6"/>
              <w:spacing w:before="168" w:line="219" w:lineRule="auto"/>
              <w:ind w:left="251"/>
            </w:pPr>
            <w:r>
              <w:t>瑞安至县城段为一</w:t>
            </w:r>
          </w:p>
          <w:p>
            <w:pPr>
              <w:pStyle w:val="6"/>
              <w:spacing w:before="22" w:line="218" w:lineRule="auto"/>
              <w:ind w:left="360"/>
            </w:pPr>
            <w:r>
              <w:rPr>
                <w:spacing w:val="-2"/>
              </w:rPr>
              <w:t>级，其余为二级</w:t>
            </w:r>
          </w:p>
        </w:tc>
        <w:tc>
          <w:tcPr>
            <w:tcW w:w="1792" w:type="dxa"/>
            <w:vAlign w:val="top"/>
          </w:tcPr>
          <w:p>
            <w:pPr>
              <w:pStyle w:val="6"/>
              <w:spacing w:before="32" w:line="218" w:lineRule="auto"/>
              <w:ind w:left="115"/>
            </w:pPr>
            <w:r>
              <w:rPr>
                <w:spacing w:val="-4"/>
              </w:rPr>
              <w:t>共</w:t>
            </w:r>
            <w:r>
              <w:rPr>
                <w:spacing w:val="-41"/>
              </w:rPr>
              <w:t xml:space="preserve"> </w:t>
            </w:r>
            <w:r>
              <w:rPr>
                <w:rFonts w:ascii="Times New Roman" w:hAnsi="Times New Roman" w:eastAsia="Times New Roman" w:cs="Times New Roman"/>
                <w:spacing w:val="-4"/>
              </w:rPr>
              <w:t>50</w:t>
            </w:r>
            <w:r>
              <w:rPr>
                <w:rFonts w:ascii="Times New Roman" w:hAnsi="Times New Roman" w:eastAsia="Times New Roman" w:cs="Times New Roman"/>
                <w:spacing w:val="12"/>
              </w:rPr>
              <w:t xml:space="preserve"> </w:t>
            </w:r>
            <w:r>
              <w:rPr>
                <w:spacing w:val="-4"/>
              </w:rPr>
              <w:t>公里，其中</w:t>
            </w:r>
          </w:p>
          <w:p>
            <w:pPr>
              <w:pStyle w:val="6"/>
              <w:spacing w:before="22" w:line="219" w:lineRule="auto"/>
              <w:ind w:left="167"/>
            </w:pPr>
            <w:r>
              <w:rPr>
                <w:spacing w:val="-1"/>
              </w:rPr>
              <w:t>县城至景宁县界</w:t>
            </w:r>
          </w:p>
          <w:p>
            <w:pPr>
              <w:pStyle w:val="6"/>
              <w:spacing w:before="24" w:line="209" w:lineRule="auto"/>
              <w:ind w:left="532"/>
              <w:rPr>
                <w:rFonts w:ascii="Times New Roman" w:hAnsi="Times New Roman" w:eastAsia="Times New Roman" w:cs="Times New Roman"/>
              </w:rPr>
            </w:pPr>
            <w:r>
              <w:rPr>
                <w:spacing w:val="-2"/>
              </w:rPr>
              <w:t>段</w:t>
            </w:r>
            <w:r>
              <w:rPr>
                <w:spacing w:val="-48"/>
              </w:rPr>
              <w:t xml:space="preserve"> </w:t>
            </w:r>
            <w:r>
              <w:rPr>
                <w:rFonts w:ascii="Times New Roman" w:hAnsi="Times New Roman" w:eastAsia="Times New Roman" w:cs="Times New Roman"/>
                <w:spacing w:val="-2"/>
              </w:rPr>
              <w:t>20km</w:t>
            </w:r>
          </w:p>
        </w:tc>
      </w:tr>
    </w:tbl>
    <w:p>
      <w:pPr>
        <w:pStyle w:val="2"/>
      </w:pPr>
    </w:p>
    <w:p>
      <w:pPr>
        <w:sectPr>
          <w:headerReference r:id="rId51" w:type="default"/>
          <w:footerReference r:id="rId52" w:type="default"/>
          <w:pgSz w:w="11907" w:h="16839"/>
          <w:pgMar w:top="1118" w:right="1277" w:bottom="1184" w:left="1279" w:header="879" w:footer="1024" w:gutter="0"/>
          <w:cols w:space="720" w:num="1"/>
        </w:sectPr>
      </w:pPr>
    </w:p>
    <w:p>
      <w:pPr>
        <w:spacing w:before="80"/>
      </w:pPr>
    </w:p>
    <w:tbl>
      <w:tblPr>
        <w:tblStyle w:val="5"/>
        <w:tblW w:w="93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4"/>
        <w:gridCol w:w="554"/>
        <w:gridCol w:w="1641"/>
        <w:gridCol w:w="2522"/>
        <w:gridCol w:w="2171"/>
        <w:gridCol w:w="17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 w:hRule="atLeast"/>
        </w:trPr>
        <w:tc>
          <w:tcPr>
            <w:tcW w:w="664" w:type="dxa"/>
            <w:vAlign w:val="top"/>
          </w:tcPr>
          <w:p>
            <w:pPr>
              <w:spacing w:line="277" w:lineRule="auto"/>
              <w:rPr>
                <w:rFonts w:ascii="Arial"/>
                <w:sz w:val="21"/>
              </w:rPr>
            </w:pPr>
          </w:p>
          <w:p>
            <w:pPr>
              <w:spacing w:line="277" w:lineRule="auto"/>
              <w:rPr>
                <w:rFonts w:ascii="Arial"/>
                <w:sz w:val="21"/>
              </w:rPr>
            </w:pPr>
          </w:p>
          <w:p>
            <w:pPr>
              <w:spacing w:before="60" w:line="187" w:lineRule="auto"/>
              <w:ind w:left="280"/>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554" w:type="dxa"/>
            <w:vMerge w:val="restart"/>
            <w:tcBorders>
              <w:bottom w:val="nil"/>
            </w:tcBorders>
            <w:textDirection w:val="tbRlV"/>
            <w:vAlign w:val="top"/>
          </w:tcPr>
          <w:p>
            <w:pPr>
              <w:pStyle w:val="6"/>
              <w:spacing w:before="168" w:line="212" w:lineRule="auto"/>
              <w:ind w:left="1270"/>
            </w:pPr>
            <w:r>
              <w:rPr>
                <w:spacing w:val="31"/>
              </w:rPr>
              <w:t>三纵</w:t>
            </w:r>
          </w:p>
        </w:tc>
        <w:tc>
          <w:tcPr>
            <w:tcW w:w="1641" w:type="dxa"/>
            <w:vAlign w:val="top"/>
          </w:tcPr>
          <w:p>
            <w:pPr>
              <w:spacing w:line="254" w:lineRule="auto"/>
              <w:rPr>
                <w:rFonts w:ascii="Arial"/>
                <w:sz w:val="21"/>
              </w:rPr>
            </w:pPr>
          </w:p>
          <w:p>
            <w:pPr>
              <w:spacing w:line="254" w:lineRule="auto"/>
              <w:rPr>
                <w:rFonts w:ascii="Arial"/>
                <w:sz w:val="21"/>
              </w:rPr>
            </w:pPr>
          </w:p>
          <w:p>
            <w:pPr>
              <w:pStyle w:val="6"/>
              <w:spacing w:before="68" w:line="220" w:lineRule="auto"/>
              <w:ind w:left="297"/>
            </w:pPr>
            <w:r>
              <w:rPr>
                <w:spacing w:val="-1"/>
              </w:rPr>
              <w:t>青文泰公路</w:t>
            </w:r>
          </w:p>
        </w:tc>
        <w:tc>
          <w:tcPr>
            <w:tcW w:w="2522" w:type="dxa"/>
            <w:vAlign w:val="top"/>
          </w:tcPr>
          <w:p>
            <w:pPr>
              <w:spacing w:line="372" w:lineRule="auto"/>
              <w:rPr>
                <w:rFonts w:ascii="Arial"/>
                <w:sz w:val="21"/>
              </w:rPr>
            </w:pPr>
          </w:p>
          <w:p>
            <w:pPr>
              <w:pStyle w:val="6"/>
              <w:spacing w:before="68" w:line="231" w:lineRule="auto"/>
              <w:ind w:left="538" w:right="205" w:hanging="322"/>
            </w:pPr>
            <w:r>
              <w:rPr>
                <w:spacing w:val="-1"/>
              </w:rPr>
              <w:t>青田－玉壶－县城－巨</w:t>
            </w:r>
            <w:r>
              <w:rPr>
                <w:spacing w:val="3"/>
              </w:rPr>
              <w:t xml:space="preserve"> </w:t>
            </w:r>
            <w:r>
              <w:rPr>
                <w:spacing w:val="-2"/>
              </w:rPr>
              <w:t>屿－珊溪－泰顺</w:t>
            </w:r>
          </w:p>
        </w:tc>
        <w:tc>
          <w:tcPr>
            <w:tcW w:w="2171" w:type="dxa"/>
            <w:vAlign w:val="top"/>
          </w:tcPr>
          <w:p>
            <w:pPr>
              <w:rPr>
                <w:rFonts w:ascii="Arial"/>
                <w:sz w:val="21"/>
              </w:rPr>
            </w:pPr>
          </w:p>
          <w:p>
            <w:pPr>
              <w:pStyle w:val="6"/>
              <w:spacing w:before="68" w:line="232" w:lineRule="auto"/>
              <w:ind w:left="148" w:right="134" w:firstLine="103"/>
              <w:jc w:val="both"/>
            </w:pPr>
            <w:r>
              <w:rPr>
                <w:spacing w:val="-1"/>
              </w:rPr>
              <w:t>县城至玉壶段为一</w:t>
            </w:r>
            <w:r>
              <w:t xml:space="preserve">  </w:t>
            </w:r>
            <w:r>
              <w:rPr>
                <w:spacing w:val="-1"/>
              </w:rPr>
              <w:t>级，玉壶至青田段为</w:t>
            </w:r>
            <w:r>
              <w:t xml:space="preserve"> </w:t>
            </w:r>
            <w:r>
              <w:rPr>
                <w:spacing w:val="-8"/>
              </w:rPr>
              <w:t>三级，</w:t>
            </w:r>
            <w:r>
              <w:rPr>
                <w:spacing w:val="55"/>
              </w:rPr>
              <w:t xml:space="preserve"> </w:t>
            </w:r>
            <w:r>
              <w:rPr>
                <w:spacing w:val="-8"/>
              </w:rPr>
              <w:t>其余为二级</w:t>
            </w:r>
          </w:p>
        </w:tc>
        <w:tc>
          <w:tcPr>
            <w:tcW w:w="1792" w:type="dxa"/>
            <w:vAlign w:val="top"/>
          </w:tcPr>
          <w:p>
            <w:pPr>
              <w:pStyle w:val="6"/>
              <w:spacing w:before="33" w:line="235" w:lineRule="auto"/>
              <w:ind w:left="166" w:right="155" w:hanging="1"/>
            </w:pPr>
            <w:r>
              <w:rPr>
                <w:spacing w:val="-1"/>
              </w:rPr>
              <w:t>珊溪至巨屿段位</w:t>
            </w:r>
            <w:r>
              <w:rPr>
                <w:spacing w:val="2"/>
              </w:rPr>
              <w:t xml:space="preserve"> </w:t>
            </w:r>
            <w:r>
              <w:rPr>
                <w:spacing w:val="-8"/>
              </w:rPr>
              <w:t>于飞云江西岸，</w:t>
            </w:r>
            <w:r>
              <w:rPr>
                <w:spacing w:val="1"/>
              </w:rPr>
              <w:t xml:space="preserve"> </w:t>
            </w:r>
            <w:r>
              <w:rPr>
                <w:spacing w:val="-1"/>
              </w:rPr>
              <w:t>巨屿至县城段通</w:t>
            </w:r>
            <w:r>
              <w:t xml:space="preserve"> </w:t>
            </w:r>
            <w:r>
              <w:rPr>
                <w:spacing w:val="-1"/>
              </w:rPr>
              <w:t>过隧道连接县城</w:t>
            </w:r>
          </w:p>
          <w:p>
            <w:pPr>
              <w:pStyle w:val="6"/>
              <w:spacing w:before="21" w:line="209" w:lineRule="auto"/>
              <w:ind w:left="392"/>
            </w:pPr>
            <w:r>
              <w:rPr>
                <w:spacing w:val="-5"/>
              </w:rPr>
              <w:t>的环城南路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4" w:type="dxa"/>
            <w:vAlign w:val="top"/>
          </w:tcPr>
          <w:p>
            <w:pPr>
              <w:spacing w:before="203" w:line="187"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554" w:type="dxa"/>
            <w:vMerge w:val="continue"/>
            <w:tcBorders>
              <w:top w:val="nil"/>
              <w:bottom w:val="nil"/>
            </w:tcBorders>
            <w:textDirection w:val="tbRlV"/>
            <w:vAlign w:val="top"/>
          </w:tcPr>
          <w:p>
            <w:pPr>
              <w:rPr>
                <w:rFonts w:ascii="Arial"/>
                <w:sz w:val="21"/>
              </w:rPr>
            </w:pPr>
          </w:p>
        </w:tc>
        <w:tc>
          <w:tcPr>
            <w:tcW w:w="1641" w:type="dxa"/>
            <w:vAlign w:val="top"/>
          </w:tcPr>
          <w:p>
            <w:pPr>
              <w:pStyle w:val="6"/>
              <w:spacing w:before="31" w:line="223" w:lineRule="auto"/>
              <w:ind w:left="718" w:right="187" w:hanging="522"/>
            </w:pPr>
            <w:r>
              <w:rPr>
                <w:spacing w:val="-2"/>
              </w:rPr>
              <w:t>南田至云湖公</w:t>
            </w:r>
            <w:r>
              <w:rPr>
                <w:spacing w:val="2"/>
              </w:rPr>
              <w:t xml:space="preserve"> </w:t>
            </w:r>
            <w:r>
              <w:t>路</w:t>
            </w:r>
          </w:p>
        </w:tc>
        <w:tc>
          <w:tcPr>
            <w:tcW w:w="2522" w:type="dxa"/>
            <w:vAlign w:val="top"/>
          </w:tcPr>
          <w:p>
            <w:pPr>
              <w:pStyle w:val="6"/>
              <w:spacing w:before="31" w:line="223" w:lineRule="auto"/>
              <w:ind w:left="322" w:right="233" w:hanging="103"/>
            </w:pPr>
            <w:r>
              <w:rPr>
                <w:spacing w:val="6"/>
              </w:rPr>
              <w:t>南田－西坑－高二电-</w:t>
            </w:r>
            <w:r>
              <w:rPr>
                <w:spacing w:val="8"/>
              </w:rPr>
              <w:t xml:space="preserve"> </w:t>
            </w:r>
            <w:r>
              <w:rPr>
                <w:spacing w:val="-2"/>
              </w:rPr>
              <w:t>岩门－双溪（云湖）</w:t>
            </w:r>
          </w:p>
        </w:tc>
        <w:tc>
          <w:tcPr>
            <w:tcW w:w="2171" w:type="dxa"/>
            <w:vAlign w:val="top"/>
          </w:tcPr>
          <w:p>
            <w:pPr>
              <w:pStyle w:val="6"/>
              <w:spacing w:before="164" w:line="223" w:lineRule="auto"/>
              <w:ind w:left="885"/>
            </w:pPr>
            <w:r>
              <w:rPr>
                <w:spacing w:val="-3"/>
              </w:rPr>
              <w:t>二级</w:t>
            </w:r>
          </w:p>
        </w:tc>
        <w:tc>
          <w:tcPr>
            <w:tcW w:w="1792" w:type="dxa"/>
            <w:vAlign w:val="top"/>
          </w:tcPr>
          <w:p>
            <w:pPr>
              <w:spacing w:before="199" w:line="191" w:lineRule="auto"/>
              <w:ind w:left="6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20km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64" w:type="dxa"/>
            <w:vAlign w:val="top"/>
          </w:tcPr>
          <w:p>
            <w:pPr>
              <w:spacing w:line="414" w:lineRule="auto"/>
              <w:rPr>
                <w:rFonts w:ascii="Arial"/>
                <w:sz w:val="21"/>
              </w:rPr>
            </w:pPr>
          </w:p>
          <w:p>
            <w:pPr>
              <w:spacing w:before="61" w:line="187" w:lineRule="auto"/>
              <w:ind w:left="279"/>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554" w:type="dxa"/>
            <w:vMerge w:val="continue"/>
            <w:tcBorders>
              <w:top w:val="nil"/>
            </w:tcBorders>
            <w:textDirection w:val="tbRlV"/>
            <w:vAlign w:val="top"/>
          </w:tcPr>
          <w:p>
            <w:pPr>
              <w:rPr>
                <w:rFonts w:ascii="Arial"/>
                <w:sz w:val="21"/>
              </w:rPr>
            </w:pPr>
          </w:p>
        </w:tc>
        <w:tc>
          <w:tcPr>
            <w:tcW w:w="1641" w:type="dxa"/>
            <w:vAlign w:val="top"/>
          </w:tcPr>
          <w:p>
            <w:pPr>
              <w:pStyle w:val="6"/>
              <w:spacing w:before="167" w:line="223" w:lineRule="auto"/>
              <w:ind w:left="196"/>
            </w:pPr>
            <w:r>
              <w:rPr>
                <w:spacing w:val="-2"/>
              </w:rPr>
              <w:t>南田至飞云湖</w:t>
            </w:r>
          </w:p>
          <w:p>
            <w:pPr>
              <w:pStyle w:val="6"/>
              <w:spacing w:before="17" w:line="221" w:lineRule="auto"/>
              <w:ind w:left="193"/>
            </w:pPr>
            <w:r>
              <w:rPr>
                <w:spacing w:val="-1"/>
              </w:rPr>
              <w:t>旅游接待中心</w:t>
            </w:r>
          </w:p>
          <w:p>
            <w:pPr>
              <w:pStyle w:val="6"/>
              <w:spacing w:before="22" w:line="221" w:lineRule="auto"/>
              <w:ind w:left="620"/>
            </w:pPr>
            <w:r>
              <w:rPr>
                <w:spacing w:val="-4"/>
              </w:rPr>
              <w:t>公路</w:t>
            </w:r>
          </w:p>
        </w:tc>
        <w:tc>
          <w:tcPr>
            <w:tcW w:w="2522" w:type="dxa"/>
            <w:vAlign w:val="top"/>
          </w:tcPr>
          <w:p>
            <w:pPr>
              <w:pStyle w:val="6"/>
              <w:spacing w:before="302" w:line="216" w:lineRule="auto"/>
              <w:ind w:left="219"/>
            </w:pPr>
            <w:r>
              <w:rPr>
                <w:spacing w:val="6"/>
              </w:rPr>
              <w:t>南田－百丈漈－黄坦-</w:t>
            </w:r>
          </w:p>
          <w:p>
            <w:pPr>
              <w:pStyle w:val="6"/>
              <w:spacing w:before="27" w:line="221" w:lineRule="auto"/>
              <w:ind w:left="328"/>
            </w:pPr>
            <w:r>
              <w:rPr>
                <w:spacing w:val="-2"/>
              </w:rPr>
              <w:t>飞云湖旅游接待中心</w:t>
            </w:r>
          </w:p>
        </w:tc>
        <w:tc>
          <w:tcPr>
            <w:tcW w:w="2171" w:type="dxa"/>
            <w:vAlign w:val="top"/>
          </w:tcPr>
          <w:p>
            <w:pPr>
              <w:pStyle w:val="6"/>
              <w:spacing w:before="302" w:line="216" w:lineRule="auto"/>
              <w:ind w:left="253"/>
            </w:pPr>
            <w:r>
              <w:rPr>
                <w:spacing w:val="-1"/>
              </w:rPr>
              <w:t>南田至黄坦段为二</w:t>
            </w:r>
          </w:p>
          <w:p>
            <w:pPr>
              <w:pStyle w:val="6"/>
              <w:spacing w:before="28" w:line="218" w:lineRule="auto"/>
              <w:ind w:left="360"/>
            </w:pPr>
            <w:r>
              <w:rPr>
                <w:spacing w:val="-2"/>
              </w:rPr>
              <w:t>级，其余为三级</w:t>
            </w:r>
          </w:p>
        </w:tc>
        <w:tc>
          <w:tcPr>
            <w:tcW w:w="1792" w:type="dxa"/>
            <w:vAlign w:val="top"/>
          </w:tcPr>
          <w:p>
            <w:pPr>
              <w:pStyle w:val="6"/>
              <w:spacing w:before="30" w:line="221" w:lineRule="auto"/>
              <w:ind w:left="141"/>
            </w:pPr>
            <w:r>
              <w:rPr>
                <w:rFonts w:ascii="Times New Roman" w:hAnsi="Times New Roman" w:eastAsia="Times New Roman" w:cs="Times New Roman"/>
                <w:spacing w:val="-1"/>
              </w:rPr>
              <w:t xml:space="preserve">56 </w:t>
            </w:r>
            <w:r>
              <w:rPr>
                <w:spacing w:val="-1"/>
              </w:rPr>
              <w:t>省道复线至百</w:t>
            </w:r>
          </w:p>
          <w:p>
            <w:pPr>
              <w:pStyle w:val="6"/>
              <w:spacing w:before="20" w:line="220" w:lineRule="auto"/>
              <w:ind w:left="172"/>
            </w:pPr>
            <w:r>
              <w:rPr>
                <w:spacing w:val="-2"/>
              </w:rPr>
              <w:t>丈漈段需通过隧</w:t>
            </w:r>
          </w:p>
          <w:p>
            <w:pPr>
              <w:pStyle w:val="6"/>
              <w:spacing w:before="23" w:line="222" w:lineRule="auto"/>
              <w:ind w:left="165"/>
            </w:pPr>
            <w:r>
              <w:rPr>
                <w:spacing w:val="-1"/>
              </w:rPr>
              <w:t>道，向北连南田</w:t>
            </w:r>
          </w:p>
          <w:p>
            <w:pPr>
              <w:pStyle w:val="6"/>
              <w:spacing w:before="19" w:line="207" w:lineRule="auto"/>
              <w:ind w:left="795"/>
            </w:pPr>
            <w:r>
              <w:t>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4" w:type="dxa"/>
            <w:vAlign w:val="top"/>
          </w:tcPr>
          <w:p>
            <w:pPr>
              <w:spacing w:before="210" w:line="184" w:lineRule="auto"/>
              <w:ind w:left="28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554" w:type="dxa"/>
            <w:vMerge w:val="restart"/>
            <w:tcBorders>
              <w:bottom w:val="nil"/>
            </w:tcBorders>
            <w:textDirection w:val="tbRlV"/>
            <w:vAlign w:val="top"/>
          </w:tcPr>
          <w:p>
            <w:pPr>
              <w:pStyle w:val="6"/>
              <w:spacing w:before="169" w:line="209" w:lineRule="auto"/>
              <w:ind w:left="308"/>
            </w:pPr>
            <w:r>
              <w:rPr>
                <w:spacing w:val="1"/>
              </w:rPr>
              <w:t>两</w:t>
            </w:r>
            <w:r>
              <w:rPr>
                <w:spacing w:val="-43"/>
              </w:rPr>
              <w:t xml:space="preserve"> </w:t>
            </w:r>
            <w:r>
              <w:rPr>
                <w:spacing w:val="1"/>
              </w:rPr>
              <w:t>连</w:t>
            </w:r>
          </w:p>
        </w:tc>
        <w:tc>
          <w:tcPr>
            <w:tcW w:w="1641" w:type="dxa"/>
            <w:vAlign w:val="top"/>
          </w:tcPr>
          <w:p>
            <w:pPr>
              <w:pStyle w:val="6"/>
              <w:spacing w:before="168" w:line="221" w:lineRule="auto"/>
              <w:ind w:left="404"/>
            </w:pPr>
            <w:r>
              <w:rPr>
                <w:spacing w:val="-2"/>
              </w:rPr>
              <w:t>文平公路</w:t>
            </w:r>
          </w:p>
        </w:tc>
        <w:tc>
          <w:tcPr>
            <w:tcW w:w="2522" w:type="dxa"/>
            <w:vAlign w:val="top"/>
          </w:tcPr>
          <w:p>
            <w:pPr>
              <w:pStyle w:val="6"/>
              <w:spacing w:before="169" w:line="221" w:lineRule="auto"/>
              <w:ind w:left="566"/>
            </w:pPr>
            <w:r>
              <w:rPr>
                <w:spacing w:val="-1"/>
              </w:rPr>
              <w:t>平阳</w:t>
            </w:r>
            <w:r>
              <w:rPr>
                <w:rFonts w:ascii="Times New Roman" w:hAnsi="Times New Roman" w:eastAsia="Times New Roman" w:cs="Times New Roman"/>
                <w:spacing w:val="-1"/>
              </w:rPr>
              <w:t>-</w:t>
            </w:r>
            <w:r>
              <w:rPr>
                <w:spacing w:val="-1"/>
              </w:rPr>
              <w:t>珊溪</w:t>
            </w:r>
            <w:r>
              <w:rPr>
                <w:rFonts w:ascii="Times New Roman" w:hAnsi="Times New Roman" w:eastAsia="Times New Roman" w:cs="Times New Roman"/>
                <w:spacing w:val="-1"/>
              </w:rPr>
              <w:t>-</w:t>
            </w:r>
            <w:r>
              <w:rPr>
                <w:spacing w:val="-1"/>
              </w:rPr>
              <w:t>大峃</w:t>
            </w:r>
          </w:p>
        </w:tc>
        <w:tc>
          <w:tcPr>
            <w:tcW w:w="2171" w:type="dxa"/>
            <w:vAlign w:val="top"/>
          </w:tcPr>
          <w:p>
            <w:pPr>
              <w:pStyle w:val="6"/>
              <w:spacing w:before="168" w:line="223" w:lineRule="auto"/>
              <w:ind w:left="885"/>
            </w:pPr>
            <w:r>
              <w:rPr>
                <w:spacing w:val="-3"/>
              </w:rPr>
              <w:t>二级</w:t>
            </w:r>
          </w:p>
        </w:tc>
        <w:tc>
          <w:tcPr>
            <w:tcW w:w="1792" w:type="dxa"/>
            <w:vAlign w:val="top"/>
          </w:tcPr>
          <w:p>
            <w:pPr>
              <w:pStyle w:val="6"/>
              <w:spacing w:before="31" w:line="223" w:lineRule="auto"/>
              <w:ind w:left="585" w:right="155" w:hanging="420"/>
            </w:pPr>
            <w:r>
              <w:rPr>
                <w:spacing w:val="-1"/>
              </w:rPr>
              <w:t>在金垟乡接青文</w:t>
            </w:r>
            <w:r>
              <w:rPr>
                <w:spacing w:val="2"/>
              </w:rPr>
              <w:t xml:space="preserve"> </w:t>
            </w:r>
            <w:r>
              <w:rPr>
                <w:spacing w:val="-1"/>
              </w:rPr>
              <w:t>泰公路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4" w:type="dxa"/>
            <w:vAlign w:val="top"/>
          </w:tcPr>
          <w:p>
            <w:pPr>
              <w:spacing w:before="208" w:line="187"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554" w:type="dxa"/>
            <w:vMerge w:val="continue"/>
            <w:tcBorders>
              <w:top w:val="nil"/>
            </w:tcBorders>
            <w:textDirection w:val="tbRlV"/>
            <w:vAlign w:val="top"/>
          </w:tcPr>
          <w:p>
            <w:pPr>
              <w:rPr>
                <w:rFonts w:ascii="Arial"/>
                <w:sz w:val="21"/>
              </w:rPr>
            </w:pPr>
          </w:p>
        </w:tc>
        <w:tc>
          <w:tcPr>
            <w:tcW w:w="1641" w:type="dxa"/>
            <w:vAlign w:val="top"/>
          </w:tcPr>
          <w:p>
            <w:pPr>
              <w:pStyle w:val="6"/>
              <w:spacing w:before="33" w:line="222" w:lineRule="auto"/>
              <w:ind w:left="718" w:right="187" w:hanging="517"/>
            </w:pPr>
            <w:r>
              <w:rPr>
                <w:spacing w:val="-3"/>
              </w:rPr>
              <w:t>峃口至泰顺公</w:t>
            </w:r>
            <w:r>
              <w:rPr>
                <w:spacing w:val="3"/>
              </w:rPr>
              <w:t xml:space="preserve"> </w:t>
            </w:r>
            <w:r>
              <w:t>路</w:t>
            </w:r>
          </w:p>
        </w:tc>
        <w:tc>
          <w:tcPr>
            <w:tcW w:w="2522" w:type="dxa"/>
            <w:vAlign w:val="top"/>
          </w:tcPr>
          <w:p>
            <w:pPr>
              <w:pStyle w:val="6"/>
              <w:spacing w:before="170" w:line="221" w:lineRule="auto"/>
              <w:ind w:left="329"/>
            </w:pPr>
            <w:r>
              <w:rPr>
                <w:spacing w:val="-4"/>
              </w:rPr>
              <w:t>峃口</w:t>
            </w:r>
            <w:r>
              <w:rPr>
                <w:rFonts w:ascii="Times New Roman" w:hAnsi="Times New Roman" w:eastAsia="Times New Roman" w:cs="Times New Roman"/>
                <w:spacing w:val="-4"/>
              </w:rPr>
              <w:t>-</w:t>
            </w:r>
            <w:r>
              <w:rPr>
                <w:rFonts w:ascii="Times New Roman" w:hAnsi="Times New Roman" w:eastAsia="Times New Roman" w:cs="Times New Roman"/>
                <w:spacing w:val="-20"/>
              </w:rPr>
              <w:t xml:space="preserve"> </w:t>
            </w:r>
            <w:r>
              <w:rPr>
                <w:spacing w:val="-4"/>
              </w:rPr>
              <w:t>巨屿</w:t>
            </w:r>
            <w:r>
              <w:rPr>
                <w:rFonts w:ascii="Times New Roman" w:hAnsi="Times New Roman" w:eastAsia="Times New Roman" w:cs="Times New Roman"/>
                <w:spacing w:val="-4"/>
              </w:rPr>
              <w:t>-</w:t>
            </w:r>
            <w:r>
              <w:rPr>
                <w:spacing w:val="-4"/>
              </w:rPr>
              <w:t>珊溪</w:t>
            </w:r>
            <w:r>
              <w:rPr>
                <w:rFonts w:ascii="Times New Roman" w:hAnsi="Times New Roman" w:eastAsia="Times New Roman" w:cs="Times New Roman"/>
                <w:spacing w:val="-4"/>
              </w:rPr>
              <w:t>-</w:t>
            </w:r>
            <w:r>
              <w:rPr>
                <w:spacing w:val="-4"/>
              </w:rPr>
              <w:t>泰顺</w:t>
            </w:r>
          </w:p>
        </w:tc>
        <w:tc>
          <w:tcPr>
            <w:tcW w:w="2171" w:type="dxa"/>
            <w:vAlign w:val="top"/>
          </w:tcPr>
          <w:p>
            <w:pPr>
              <w:pStyle w:val="6"/>
              <w:spacing w:before="33" w:line="222" w:lineRule="auto"/>
              <w:ind w:left="359" w:right="240" w:hanging="101"/>
            </w:pPr>
            <w:r>
              <w:rPr>
                <w:spacing w:val="-2"/>
              </w:rPr>
              <w:t>峃口至珊溪段为一</w:t>
            </w:r>
            <w:r>
              <w:rPr>
                <w:spacing w:val="2"/>
              </w:rPr>
              <w:t xml:space="preserve"> </w:t>
            </w:r>
            <w:r>
              <w:rPr>
                <w:spacing w:val="-2"/>
              </w:rPr>
              <w:t>级，其余为二级</w:t>
            </w:r>
          </w:p>
        </w:tc>
        <w:tc>
          <w:tcPr>
            <w:tcW w:w="179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64" w:type="dxa"/>
            <w:vAlign w:val="top"/>
          </w:tcPr>
          <w:p>
            <w:pPr>
              <w:spacing w:line="286" w:lineRule="auto"/>
              <w:rPr>
                <w:rFonts w:ascii="Arial"/>
                <w:sz w:val="21"/>
              </w:rPr>
            </w:pPr>
          </w:p>
          <w:p>
            <w:pPr>
              <w:spacing w:before="60" w:line="184"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554" w:type="dxa"/>
            <w:vMerge w:val="restart"/>
            <w:tcBorders>
              <w:bottom w:val="nil"/>
            </w:tcBorders>
            <w:textDirection w:val="tbRlV"/>
            <w:vAlign w:val="top"/>
          </w:tcPr>
          <w:p>
            <w:pPr>
              <w:pStyle w:val="6"/>
              <w:spacing w:before="169" w:line="209" w:lineRule="auto"/>
              <w:ind w:left="316"/>
            </w:pPr>
            <w:r>
              <w:rPr>
                <w:spacing w:val="31"/>
              </w:rPr>
              <w:t>两环</w:t>
            </w:r>
          </w:p>
        </w:tc>
        <w:tc>
          <w:tcPr>
            <w:tcW w:w="1641" w:type="dxa"/>
            <w:vAlign w:val="top"/>
          </w:tcPr>
          <w:p>
            <w:pPr>
              <w:pStyle w:val="6"/>
              <w:spacing w:before="306" w:line="221" w:lineRule="auto"/>
              <w:ind w:left="406"/>
            </w:pPr>
            <w:r>
              <w:rPr>
                <w:spacing w:val="-3"/>
              </w:rPr>
              <w:t>外环公路</w:t>
            </w:r>
          </w:p>
        </w:tc>
        <w:tc>
          <w:tcPr>
            <w:tcW w:w="2522" w:type="dxa"/>
            <w:vAlign w:val="top"/>
          </w:tcPr>
          <w:p>
            <w:pPr>
              <w:pStyle w:val="6"/>
              <w:spacing w:before="33" w:line="228" w:lineRule="auto"/>
              <w:ind w:left="235" w:right="205" w:hanging="11"/>
              <w:jc w:val="both"/>
            </w:pPr>
            <w:r>
              <w:rPr>
                <w:spacing w:val="-2"/>
              </w:rPr>
              <w:t>峃口－珊溪－黄坦－岩</w:t>
            </w:r>
            <w:r>
              <w:rPr>
                <w:spacing w:val="6"/>
              </w:rPr>
              <w:t xml:space="preserve"> </w:t>
            </w:r>
            <w:r>
              <w:rPr>
                <w:spacing w:val="-3"/>
              </w:rPr>
              <w:t>门－西坑－南田－玉壶</w:t>
            </w:r>
            <w:r>
              <w:rPr>
                <w:spacing w:val="4"/>
              </w:rPr>
              <w:t xml:space="preserve"> </w:t>
            </w:r>
            <w:r>
              <w:rPr>
                <w:spacing w:val="1"/>
              </w:rPr>
              <w:t>-营前（瑞安</w:t>
            </w:r>
            <w:r>
              <w:rPr>
                <w:spacing w:val="-9"/>
              </w:rPr>
              <w:t>）</w:t>
            </w:r>
            <w:r>
              <w:rPr>
                <w:spacing w:val="-16"/>
              </w:rPr>
              <w:t xml:space="preserve"> </w:t>
            </w:r>
            <w:r>
              <w:rPr>
                <w:spacing w:val="-9"/>
              </w:rPr>
              <w:t>－</w:t>
            </w:r>
            <w:r>
              <w:rPr>
                <w:spacing w:val="1"/>
              </w:rPr>
              <w:t>峃口</w:t>
            </w:r>
          </w:p>
        </w:tc>
        <w:tc>
          <w:tcPr>
            <w:tcW w:w="2171" w:type="dxa"/>
            <w:vAlign w:val="top"/>
          </w:tcPr>
          <w:p>
            <w:pPr>
              <w:pStyle w:val="6"/>
              <w:spacing w:before="33" w:line="222" w:lineRule="auto"/>
              <w:ind w:left="258"/>
            </w:pPr>
            <w:r>
              <w:rPr>
                <w:spacing w:val="-1"/>
              </w:rPr>
              <w:t>峃口至珊溪段为一</w:t>
            </w:r>
          </w:p>
          <w:p>
            <w:pPr>
              <w:pStyle w:val="6"/>
              <w:spacing w:before="21" w:line="218" w:lineRule="auto"/>
              <w:ind w:left="148"/>
            </w:pPr>
            <w:r>
              <w:rPr>
                <w:spacing w:val="-1"/>
              </w:rPr>
              <w:t>级，其余为二级或三</w:t>
            </w:r>
          </w:p>
          <w:p>
            <w:pPr>
              <w:pStyle w:val="6"/>
              <w:spacing w:before="23" w:line="205" w:lineRule="auto"/>
              <w:ind w:left="988"/>
            </w:pPr>
            <w:r>
              <w:t>级</w:t>
            </w:r>
          </w:p>
        </w:tc>
        <w:tc>
          <w:tcPr>
            <w:tcW w:w="1792" w:type="dxa"/>
            <w:vAlign w:val="top"/>
          </w:tcPr>
          <w:p>
            <w:pPr>
              <w:spacing w:line="370" w:lineRule="auto"/>
              <w:rPr>
                <w:rFonts w:ascii="Arial"/>
                <w:sz w:val="21"/>
              </w:rPr>
            </w:pPr>
          </w:p>
          <w:p>
            <w:pPr>
              <w:spacing w:before="61" w:line="100" w:lineRule="exact"/>
              <w:ind w:left="867"/>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664" w:type="dxa"/>
            <w:vAlign w:val="top"/>
          </w:tcPr>
          <w:p>
            <w:pPr>
              <w:spacing w:before="77" w:line="187" w:lineRule="auto"/>
              <w:ind w:left="288"/>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554" w:type="dxa"/>
            <w:vMerge w:val="continue"/>
            <w:tcBorders>
              <w:top w:val="nil"/>
            </w:tcBorders>
            <w:textDirection w:val="tbRlV"/>
            <w:vAlign w:val="top"/>
          </w:tcPr>
          <w:p>
            <w:pPr>
              <w:rPr>
                <w:rFonts w:ascii="Arial"/>
                <w:sz w:val="21"/>
              </w:rPr>
            </w:pPr>
          </w:p>
        </w:tc>
        <w:tc>
          <w:tcPr>
            <w:tcW w:w="1641" w:type="dxa"/>
            <w:vAlign w:val="top"/>
          </w:tcPr>
          <w:p>
            <w:pPr>
              <w:pStyle w:val="6"/>
              <w:spacing w:before="38" w:line="212" w:lineRule="auto"/>
              <w:ind w:left="533"/>
            </w:pPr>
            <w:r>
              <w:rPr>
                <w:spacing w:val="-7"/>
              </w:rPr>
              <w:t>内环路</w:t>
            </w:r>
          </w:p>
        </w:tc>
        <w:tc>
          <w:tcPr>
            <w:tcW w:w="2522" w:type="dxa"/>
            <w:vAlign w:val="top"/>
          </w:tcPr>
          <w:p>
            <w:pPr>
              <w:pStyle w:val="6"/>
              <w:spacing w:before="38" w:line="212" w:lineRule="auto"/>
              <w:ind w:left="848"/>
            </w:pPr>
            <w:r>
              <w:rPr>
                <w:spacing w:val="-2"/>
              </w:rPr>
              <w:t>县城环线</w:t>
            </w:r>
          </w:p>
        </w:tc>
        <w:tc>
          <w:tcPr>
            <w:tcW w:w="2171" w:type="dxa"/>
            <w:vAlign w:val="top"/>
          </w:tcPr>
          <w:p>
            <w:pPr>
              <w:pStyle w:val="6"/>
              <w:spacing w:before="38" w:line="212" w:lineRule="auto"/>
              <w:ind w:left="885"/>
            </w:pPr>
            <w:r>
              <w:rPr>
                <w:spacing w:val="-5"/>
              </w:rPr>
              <w:t>一级</w:t>
            </w:r>
          </w:p>
        </w:tc>
        <w:tc>
          <w:tcPr>
            <w:tcW w:w="1792" w:type="dxa"/>
            <w:vAlign w:val="top"/>
          </w:tcPr>
          <w:p>
            <w:pPr>
              <w:spacing w:before="74" w:line="191" w:lineRule="auto"/>
              <w:ind w:left="682"/>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11km</w:t>
            </w:r>
          </w:p>
        </w:tc>
      </w:tr>
    </w:tbl>
    <w:p>
      <w:pPr>
        <w:spacing w:before="192" w:line="359" w:lineRule="auto"/>
        <w:ind w:left="536" w:right="522" w:firstLine="474"/>
        <w:rPr>
          <w:rFonts w:ascii="宋体" w:hAnsi="宋体" w:eastAsia="宋体" w:cs="宋体"/>
          <w:sz w:val="24"/>
          <w:szCs w:val="24"/>
        </w:rPr>
      </w:pPr>
      <w:r>
        <w:rPr>
          <w:rFonts w:ascii="宋体" w:hAnsi="宋体" w:eastAsia="宋体" w:cs="宋体"/>
          <w:spacing w:val="-8"/>
          <w:sz w:val="24"/>
          <w:szCs w:val="24"/>
        </w:rPr>
        <w:t>其中</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56</w:t>
      </w:r>
      <w:r>
        <w:rPr>
          <w:rFonts w:ascii="Times New Roman" w:hAnsi="Times New Roman" w:eastAsia="Times New Roman" w:cs="Times New Roman"/>
          <w:spacing w:val="13"/>
          <w:sz w:val="24"/>
          <w:szCs w:val="24"/>
        </w:rPr>
        <w:t xml:space="preserve"> </w:t>
      </w:r>
      <w:r>
        <w:rPr>
          <w:rFonts w:ascii="宋体" w:hAnsi="宋体" w:eastAsia="宋体" w:cs="宋体"/>
          <w:spacing w:val="-8"/>
          <w:sz w:val="24"/>
          <w:szCs w:val="24"/>
        </w:rPr>
        <w:t>省道复线、青文泰公路都为县域主要的对外交通干道， 其中</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56</w:t>
      </w:r>
      <w:r>
        <w:rPr>
          <w:rFonts w:ascii="Times New Roman" w:hAnsi="Times New Roman" w:eastAsia="Times New Roman" w:cs="Times New Roman"/>
          <w:spacing w:val="13"/>
          <w:sz w:val="24"/>
          <w:szCs w:val="24"/>
        </w:rPr>
        <w:t xml:space="preserve"> </w:t>
      </w:r>
      <w:r>
        <w:rPr>
          <w:rFonts w:ascii="宋体" w:hAnsi="宋体" w:eastAsia="宋体" w:cs="宋体"/>
          <w:spacing w:val="-8"/>
          <w:sz w:val="24"/>
          <w:szCs w:val="24"/>
        </w:rPr>
        <w:t>省道</w:t>
      </w:r>
      <w:r>
        <w:rPr>
          <w:rFonts w:ascii="宋体" w:hAnsi="宋体" w:eastAsia="宋体" w:cs="宋体"/>
          <w:sz w:val="24"/>
          <w:szCs w:val="24"/>
        </w:rPr>
        <w:t xml:space="preserve"> </w:t>
      </w:r>
      <w:r>
        <w:rPr>
          <w:rFonts w:ascii="宋体" w:hAnsi="宋体" w:eastAsia="宋体" w:cs="宋体"/>
          <w:spacing w:val="-6"/>
          <w:sz w:val="24"/>
          <w:szCs w:val="24"/>
        </w:rPr>
        <w:t>复线为贯穿县域东西向的对外交通干道，</w:t>
      </w:r>
      <w:r>
        <w:rPr>
          <w:rFonts w:ascii="宋体" w:hAnsi="宋体" w:eastAsia="宋体" w:cs="宋体"/>
          <w:spacing w:val="-21"/>
          <w:sz w:val="24"/>
          <w:szCs w:val="24"/>
        </w:rPr>
        <w:t xml:space="preserve"> </w:t>
      </w:r>
      <w:r>
        <w:rPr>
          <w:rFonts w:ascii="宋体" w:hAnsi="宋体" w:eastAsia="宋体" w:cs="宋体"/>
          <w:spacing w:val="-6"/>
          <w:sz w:val="24"/>
          <w:szCs w:val="24"/>
        </w:rPr>
        <w:t>青文泰为贯穿县域南北向的主要对外交</w:t>
      </w:r>
    </w:p>
    <w:p>
      <w:pPr>
        <w:spacing w:before="1" w:line="218" w:lineRule="auto"/>
        <w:ind w:left="530"/>
        <w:rPr>
          <w:rFonts w:ascii="宋体" w:hAnsi="宋体" w:eastAsia="宋体" w:cs="宋体"/>
          <w:sz w:val="24"/>
          <w:szCs w:val="24"/>
        </w:rPr>
      </w:pPr>
      <w:r>
        <w:rPr>
          <w:rFonts w:ascii="宋体" w:hAnsi="宋体" w:eastAsia="宋体" w:cs="宋体"/>
          <w:spacing w:val="-9"/>
          <w:sz w:val="24"/>
          <w:szCs w:val="24"/>
        </w:rPr>
        <w:t>通干道。</w:t>
      </w:r>
    </w:p>
    <w:p>
      <w:pPr>
        <w:spacing w:before="183" w:line="220" w:lineRule="auto"/>
        <w:ind w:left="101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）一般公路</w:t>
      </w:r>
    </w:p>
    <w:p>
      <w:pPr>
        <w:spacing w:before="180" w:line="468" w:lineRule="exact"/>
        <w:ind w:left="1010"/>
        <w:rPr>
          <w:rFonts w:ascii="宋体" w:hAnsi="宋体" w:eastAsia="宋体" w:cs="宋体"/>
          <w:sz w:val="24"/>
          <w:szCs w:val="24"/>
        </w:rPr>
      </w:pPr>
      <w:r>
        <w:rPr>
          <w:rFonts w:ascii="宋体" w:hAnsi="宋体" w:eastAsia="宋体" w:cs="宋体"/>
          <w:spacing w:val="-6"/>
          <w:position w:val="17"/>
          <w:sz w:val="24"/>
          <w:szCs w:val="24"/>
        </w:rPr>
        <w:t>沟通县域与各乡镇联系道路按照三级或以上标准建设，</w:t>
      </w:r>
      <w:r>
        <w:rPr>
          <w:rFonts w:ascii="宋体" w:hAnsi="宋体" w:eastAsia="宋体" w:cs="宋体"/>
          <w:spacing w:val="-25"/>
          <w:position w:val="17"/>
          <w:sz w:val="24"/>
          <w:szCs w:val="24"/>
        </w:rPr>
        <w:t xml:space="preserve"> </w:t>
      </w:r>
      <w:r>
        <w:rPr>
          <w:rFonts w:ascii="宋体" w:hAnsi="宋体" w:eastAsia="宋体" w:cs="宋体"/>
          <w:spacing w:val="-6"/>
          <w:position w:val="17"/>
          <w:sz w:val="24"/>
          <w:szCs w:val="24"/>
        </w:rPr>
        <w:t>通农村新社区公路按</w:t>
      </w:r>
    </w:p>
    <w:p>
      <w:pPr>
        <w:spacing w:line="220" w:lineRule="auto"/>
        <w:ind w:left="537"/>
        <w:rPr>
          <w:rFonts w:ascii="宋体" w:hAnsi="宋体" w:eastAsia="宋体" w:cs="宋体"/>
          <w:sz w:val="24"/>
          <w:szCs w:val="24"/>
        </w:rPr>
      </w:pPr>
      <w:r>
        <w:rPr>
          <w:rFonts w:ascii="宋体" w:hAnsi="宋体" w:eastAsia="宋体" w:cs="宋体"/>
          <w:spacing w:val="-5"/>
          <w:sz w:val="24"/>
          <w:szCs w:val="24"/>
        </w:rPr>
        <w:t>照四级或以上标准建设。</w:t>
      </w:r>
    </w:p>
    <w:p>
      <w:pPr>
        <w:spacing w:before="180" w:line="359" w:lineRule="auto"/>
        <w:ind w:left="531" w:right="457" w:firstLine="478"/>
        <w:rPr>
          <w:rFonts w:ascii="宋体" w:hAnsi="宋体" w:eastAsia="宋体" w:cs="宋体"/>
          <w:sz w:val="24"/>
          <w:szCs w:val="24"/>
        </w:rPr>
      </w:pPr>
      <w:r>
        <w:rPr>
          <w:rFonts w:ascii="宋体" w:hAnsi="宋体" w:eastAsia="宋体" w:cs="宋体"/>
          <w:spacing w:val="-16"/>
          <w:sz w:val="24"/>
          <w:szCs w:val="24"/>
        </w:rPr>
        <w:t>通过新建和改造相结合，</w:t>
      </w:r>
      <w:r>
        <w:rPr>
          <w:rFonts w:ascii="宋体" w:hAnsi="宋体" w:eastAsia="宋体" w:cs="宋体"/>
          <w:spacing w:val="37"/>
          <w:sz w:val="24"/>
          <w:szCs w:val="24"/>
        </w:rPr>
        <w:t xml:space="preserve"> </w:t>
      </w:r>
      <w:r>
        <w:rPr>
          <w:rFonts w:ascii="宋体" w:hAnsi="宋体" w:eastAsia="宋体" w:cs="宋体"/>
          <w:spacing w:val="-16"/>
          <w:sz w:val="24"/>
          <w:szCs w:val="24"/>
        </w:rPr>
        <w:t>接通断头路，</w:t>
      </w:r>
      <w:r>
        <w:rPr>
          <w:rFonts w:ascii="宋体" w:hAnsi="宋体" w:eastAsia="宋体" w:cs="宋体"/>
          <w:spacing w:val="40"/>
          <w:sz w:val="24"/>
          <w:szCs w:val="24"/>
        </w:rPr>
        <w:t xml:space="preserve"> </w:t>
      </w:r>
      <w:r>
        <w:rPr>
          <w:rFonts w:ascii="宋体" w:hAnsi="宋体" w:eastAsia="宋体" w:cs="宋体"/>
          <w:spacing w:val="-16"/>
          <w:sz w:val="24"/>
          <w:szCs w:val="24"/>
        </w:rPr>
        <w:t>连接边远山区与周边县（乡镇） 的公</w:t>
      </w:r>
      <w:r>
        <w:rPr>
          <w:rFonts w:ascii="宋体" w:hAnsi="宋体" w:eastAsia="宋体" w:cs="宋体"/>
          <w:sz w:val="24"/>
          <w:szCs w:val="24"/>
        </w:rPr>
        <w:t xml:space="preserve"> </w:t>
      </w:r>
      <w:r>
        <w:rPr>
          <w:rFonts w:ascii="宋体" w:hAnsi="宋体" w:eastAsia="宋体" w:cs="宋体"/>
          <w:spacing w:val="-14"/>
          <w:sz w:val="24"/>
          <w:szCs w:val="24"/>
        </w:rPr>
        <w:t>路，</w:t>
      </w:r>
      <w:r>
        <w:rPr>
          <w:rFonts w:ascii="宋体" w:hAnsi="宋体" w:eastAsia="宋体" w:cs="宋体"/>
          <w:spacing w:val="-52"/>
          <w:sz w:val="24"/>
          <w:szCs w:val="24"/>
        </w:rPr>
        <w:t xml:space="preserve"> </w:t>
      </w:r>
      <w:r>
        <w:rPr>
          <w:rFonts w:ascii="宋体" w:hAnsi="宋体" w:eastAsia="宋体" w:cs="宋体"/>
          <w:spacing w:val="-14"/>
          <w:sz w:val="24"/>
          <w:szCs w:val="24"/>
        </w:rPr>
        <w:t>增强公路的联通性。主要包括：</w:t>
      </w:r>
      <w:r>
        <w:rPr>
          <w:rFonts w:ascii="宋体" w:hAnsi="宋体" w:eastAsia="宋体" w:cs="宋体"/>
          <w:spacing w:val="43"/>
          <w:sz w:val="24"/>
          <w:szCs w:val="24"/>
        </w:rPr>
        <w:t xml:space="preserve"> </w:t>
      </w:r>
      <w:r>
        <w:rPr>
          <w:rFonts w:ascii="宋体" w:hAnsi="宋体" w:eastAsia="宋体" w:cs="宋体"/>
          <w:spacing w:val="-14"/>
          <w:sz w:val="24"/>
          <w:szCs w:val="24"/>
        </w:rPr>
        <w:t>大峃镇原里阳乡至百丈</w:t>
      </w:r>
      <w:r>
        <w:rPr>
          <w:rFonts w:ascii="宋体" w:hAnsi="宋体" w:eastAsia="宋体" w:cs="宋体"/>
          <w:spacing w:val="-15"/>
          <w:sz w:val="24"/>
          <w:szCs w:val="24"/>
        </w:rPr>
        <w:t>漈原二源乡公路，</w:t>
      </w:r>
      <w:r>
        <w:rPr>
          <w:rFonts w:ascii="宋体" w:hAnsi="宋体" w:eastAsia="宋体" w:cs="宋体"/>
          <w:spacing w:val="40"/>
          <w:sz w:val="24"/>
          <w:szCs w:val="24"/>
        </w:rPr>
        <w:t xml:space="preserve"> </w:t>
      </w:r>
      <w:r>
        <w:rPr>
          <w:rFonts w:ascii="宋体" w:hAnsi="宋体" w:eastAsia="宋体" w:cs="宋体"/>
          <w:spacing w:val="-15"/>
          <w:sz w:val="24"/>
          <w:szCs w:val="24"/>
        </w:rPr>
        <w:t>新</w:t>
      </w:r>
      <w:r>
        <w:rPr>
          <w:rFonts w:ascii="宋体" w:hAnsi="宋体" w:eastAsia="宋体" w:cs="宋体"/>
          <w:sz w:val="24"/>
          <w:szCs w:val="24"/>
        </w:rPr>
        <w:t xml:space="preserve"> </w:t>
      </w:r>
      <w:r>
        <w:rPr>
          <w:rFonts w:ascii="宋体" w:hAnsi="宋体" w:eastAsia="宋体" w:cs="宋体"/>
          <w:spacing w:val="-17"/>
          <w:sz w:val="24"/>
          <w:szCs w:val="24"/>
        </w:rPr>
        <w:t>建四级公路</w:t>
      </w:r>
      <w:r>
        <w:rPr>
          <w:rFonts w:ascii="宋体" w:hAnsi="宋体" w:eastAsia="宋体" w:cs="宋体"/>
          <w:spacing w:val="-31"/>
          <w:sz w:val="24"/>
          <w:szCs w:val="24"/>
        </w:rPr>
        <w:t xml:space="preserve"> </w:t>
      </w:r>
      <w:r>
        <w:rPr>
          <w:rFonts w:ascii="Times New Roman" w:hAnsi="Times New Roman" w:eastAsia="Times New Roman" w:cs="Times New Roman"/>
          <w:spacing w:val="-17"/>
          <w:sz w:val="24"/>
          <w:szCs w:val="24"/>
        </w:rPr>
        <w:t>8</w:t>
      </w:r>
      <w:r>
        <w:rPr>
          <w:rFonts w:ascii="Times New Roman" w:hAnsi="Times New Roman" w:eastAsia="Times New Roman" w:cs="Times New Roman"/>
          <w:spacing w:val="17"/>
          <w:sz w:val="24"/>
          <w:szCs w:val="24"/>
        </w:rPr>
        <w:t xml:space="preserve"> </w:t>
      </w:r>
      <w:r>
        <w:rPr>
          <w:rFonts w:ascii="宋体" w:hAnsi="宋体" w:eastAsia="宋体" w:cs="宋体"/>
          <w:spacing w:val="-17"/>
          <w:sz w:val="24"/>
          <w:szCs w:val="24"/>
        </w:rPr>
        <w:t>公里； 南田镇原黄寮乡至石角公路，</w:t>
      </w:r>
      <w:r>
        <w:rPr>
          <w:rFonts w:ascii="宋体" w:hAnsi="宋体" w:eastAsia="宋体" w:cs="宋体"/>
          <w:spacing w:val="35"/>
          <w:sz w:val="24"/>
          <w:szCs w:val="24"/>
        </w:rPr>
        <w:t xml:space="preserve"> </w:t>
      </w:r>
      <w:r>
        <w:rPr>
          <w:rFonts w:ascii="宋体" w:hAnsi="宋体" w:eastAsia="宋体" w:cs="宋体"/>
          <w:spacing w:val="-17"/>
          <w:sz w:val="24"/>
          <w:szCs w:val="24"/>
        </w:rPr>
        <w:t>分别新建两段，</w:t>
      </w:r>
      <w:r>
        <w:rPr>
          <w:rFonts w:ascii="宋体" w:hAnsi="宋体" w:eastAsia="宋体" w:cs="宋体"/>
          <w:spacing w:val="34"/>
          <w:sz w:val="24"/>
          <w:szCs w:val="24"/>
        </w:rPr>
        <w:t xml:space="preserve"> </w:t>
      </w:r>
      <w:r>
        <w:rPr>
          <w:rFonts w:ascii="宋体" w:hAnsi="宋体" w:eastAsia="宋体" w:cs="宋体"/>
          <w:spacing w:val="-17"/>
          <w:sz w:val="24"/>
          <w:szCs w:val="24"/>
        </w:rPr>
        <w:t>分别是</w:t>
      </w:r>
      <w:r>
        <w:rPr>
          <w:rFonts w:ascii="宋体" w:hAnsi="宋体" w:eastAsia="宋体" w:cs="宋体"/>
          <w:spacing w:val="-44"/>
          <w:sz w:val="24"/>
          <w:szCs w:val="24"/>
        </w:rPr>
        <w:t xml:space="preserve"> </w:t>
      </w:r>
      <w:r>
        <w:rPr>
          <w:rFonts w:ascii="Times New Roman" w:hAnsi="Times New Roman" w:eastAsia="Times New Roman" w:cs="Times New Roman"/>
          <w:spacing w:val="-17"/>
          <w:sz w:val="24"/>
          <w:szCs w:val="24"/>
        </w:rPr>
        <w:t>8</w:t>
      </w:r>
      <w:r>
        <w:rPr>
          <w:rFonts w:ascii="Times New Roman" w:hAnsi="Times New Roman" w:eastAsia="Times New Roman" w:cs="Times New Roman"/>
          <w:spacing w:val="17"/>
          <w:sz w:val="24"/>
          <w:szCs w:val="24"/>
        </w:rPr>
        <w:t xml:space="preserve"> </w:t>
      </w:r>
      <w:r>
        <w:rPr>
          <w:rFonts w:ascii="宋体" w:hAnsi="宋体" w:eastAsia="宋体" w:cs="宋体"/>
          <w:spacing w:val="-17"/>
          <w:sz w:val="24"/>
          <w:szCs w:val="24"/>
        </w:rPr>
        <w:t>公里</w:t>
      </w:r>
      <w:r>
        <w:rPr>
          <w:rFonts w:ascii="宋体" w:hAnsi="宋体" w:eastAsia="宋体" w:cs="宋体"/>
          <w:sz w:val="24"/>
          <w:szCs w:val="24"/>
        </w:rPr>
        <w:t xml:space="preserve"> </w:t>
      </w:r>
      <w:r>
        <w:rPr>
          <w:rFonts w:ascii="宋体" w:hAnsi="宋体" w:eastAsia="宋体" w:cs="宋体"/>
          <w:spacing w:val="-2"/>
          <w:sz w:val="24"/>
          <w:szCs w:val="24"/>
        </w:rPr>
        <w:t>和</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24"/>
          <w:w w:val="101"/>
          <w:sz w:val="24"/>
          <w:szCs w:val="24"/>
        </w:rPr>
        <w:t xml:space="preserve"> </w:t>
      </w:r>
      <w:r>
        <w:rPr>
          <w:rFonts w:ascii="宋体" w:hAnsi="宋体" w:eastAsia="宋体" w:cs="宋体"/>
          <w:spacing w:val="-2"/>
          <w:sz w:val="24"/>
          <w:szCs w:val="24"/>
        </w:rPr>
        <w:t>公里，按四级路改造，缩短南田镇与各林区（石角、</w:t>
      </w:r>
      <w:r>
        <w:rPr>
          <w:rFonts w:ascii="宋体" w:hAnsi="宋体" w:eastAsia="宋体" w:cs="宋体"/>
          <w:spacing w:val="-3"/>
          <w:sz w:val="24"/>
          <w:szCs w:val="24"/>
        </w:rPr>
        <w:t>双苗、石垟）约</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23"/>
          <w:w w:val="101"/>
          <w:sz w:val="24"/>
          <w:szCs w:val="24"/>
        </w:rPr>
        <w:t xml:space="preserve"> </w:t>
      </w:r>
      <w:r>
        <w:rPr>
          <w:rFonts w:ascii="宋体" w:hAnsi="宋体" w:eastAsia="宋体" w:cs="宋体"/>
          <w:spacing w:val="-3"/>
          <w:sz w:val="24"/>
          <w:szCs w:val="24"/>
        </w:rPr>
        <w:t>公</w:t>
      </w:r>
      <w:r>
        <w:rPr>
          <w:rFonts w:ascii="宋体" w:hAnsi="宋体" w:eastAsia="宋体" w:cs="宋体"/>
          <w:sz w:val="24"/>
          <w:szCs w:val="24"/>
        </w:rPr>
        <w:t xml:space="preserve"> </w:t>
      </w:r>
      <w:r>
        <w:rPr>
          <w:rFonts w:ascii="宋体" w:hAnsi="宋体" w:eastAsia="宋体" w:cs="宋体"/>
          <w:spacing w:val="-13"/>
          <w:sz w:val="24"/>
          <w:szCs w:val="24"/>
        </w:rPr>
        <w:t>里；大峃镇原金炉乡至稽洋公路， 新建四级</w:t>
      </w:r>
      <w:r>
        <w:rPr>
          <w:rFonts w:ascii="宋体" w:hAnsi="宋体" w:eastAsia="宋体" w:cs="宋体"/>
          <w:spacing w:val="-50"/>
          <w:sz w:val="24"/>
          <w:szCs w:val="24"/>
        </w:rPr>
        <w:t xml:space="preserve"> </w:t>
      </w:r>
      <w:r>
        <w:rPr>
          <w:rFonts w:ascii="Times New Roman" w:hAnsi="Times New Roman" w:eastAsia="Times New Roman" w:cs="Times New Roman"/>
          <w:spacing w:val="-13"/>
          <w:sz w:val="24"/>
          <w:szCs w:val="24"/>
        </w:rPr>
        <w:t>7</w:t>
      </w:r>
      <w:r>
        <w:rPr>
          <w:rFonts w:ascii="Times New Roman" w:hAnsi="Times New Roman" w:eastAsia="Times New Roman" w:cs="Times New Roman"/>
          <w:spacing w:val="17"/>
          <w:sz w:val="24"/>
          <w:szCs w:val="24"/>
        </w:rPr>
        <w:t xml:space="preserve"> </w:t>
      </w:r>
      <w:r>
        <w:rPr>
          <w:rFonts w:ascii="宋体" w:hAnsi="宋体" w:eastAsia="宋体" w:cs="宋体"/>
          <w:spacing w:val="-13"/>
          <w:sz w:val="24"/>
          <w:szCs w:val="24"/>
        </w:rPr>
        <w:t>公里；</w:t>
      </w:r>
      <w:r>
        <w:rPr>
          <w:rFonts w:ascii="宋体" w:hAnsi="宋体" w:eastAsia="宋体" w:cs="宋体"/>
          <w:spacing w:val="-62"/>
          <w:sz w:val="24"/>
          <w:szCs w:val="24"/>
        </w:rPr>
        <w:t xml:space="preserve"> </w:t>
      </w:r>
      <w:r>
        <w:rPr>
          <w:rFonts w:ascii="宋体" w:hAnsi="宋体" w:eastAsia="宋体" w:cs="宋体"/>
          <w:spacing w:val="-13"/>
          <w:sz w:val="24"/>
          <w:szCs w:val="24"/>
        </w:rPr>
        <w:t>峃口镇原公阳乡至周</w:t>
      </w:r>
      <w:r>
        <w:rPr>
          <w:rFonts w:ascii="宋体" w:hAnsi="宋体" w:eastAsia="宋体" w:cs="宋体"/>
          <w:spacing w:val="-14"/>
          <w:sz w:val="24"/>
          <w:szCs w:val="24"/>
        </w:rPr>
        <w:t>山公路，</w:t>
      </w:r>
      <w:r>
        <w:rPr>
          <w:rFonts w:ascii="宋体" w:hAnsi="宋体" w:eastAsia="宋体" w:cs="宋体"/>
          <w:sz w:val="24"/>
          <w:szCs w:val="24"/>
        </w:rPr>
        <w:t xml:space="preserve"> </w:t>
      </w:r>
      <w:r>
        <w:rPr>
          <w:rFonts w:ascii="宋体" w:hAnsi="宋体" w:eastAsia="宋体" w:cs="宋体"/>
          <w:spacing w:val="-9"/>
          <w:sz w:val="24"/>
          <w:szCs w:val="24"/>
        </w:rPr>
        <w:t>按四级公路改建</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7</w:t>
      </w:r>
      <w:r>
        <w:rPr>
          <w:rFonts w:ascii="Times New Roman" w:hAnsi="Times New Roman" w:eastAsia="Times New Roman" w:cs="Times New Roman"/>
          <w:spacing w:val="16"/>
          <w:w w:val="101"/>
          <w:sz w:val="24"/>
          <w:szCs w:val="24"/>
        </w:rPr>
        <w:t xml:space="preserve"> </w:t>
      </w:r>
      <w:r>
        <w:rPr>
          <w:rFonts w:ascii="宋体" w:hAnsi="宋体" w:eastAsia="宋体" w:cs="宋体"/>
          <w:spacing w:val="-9"/>
          <w:sz w:val="24"/>
          <w:szCs w:val="24"/>
        </w:rPr>
        <w:t>公里，</w:t>
      </w:r>
      <w:r>
        <w:rPr>
          <w:rFonts w:ascii="宋体" w:hAnsi="宋体" w:eastAsia="宋体" w:cs="宋体"/>
          <w:spacing w:val="-43"/>
          <w:sz w:val="24"/>
          <w:szCs w:val="24"/>
        </w:rPr>
        <w:t xml:space="preserve"> </w:t>
      </w:r>
      <w:r>
        <w:rPr>
          <w:rFonts w:ascii="宋体" w:hAnsi="宋体" w:eastAsia="宋体" w:cs="宋体"/>
          <w:spacing w:val="-9"/>
          <w:sz w:val="24"/>
          <w:szCs w:val="24"/>
        </w:rPr>
        <w:t>原公阳乡至平阳的里程可缩短</w:t>
      </w:r>
      <w:r>
        <w:rPr>
          <w:rFonts w:ascii="宋体" w:hAnsi="宋体" w:eastAsia="宋体" w:cs="宋体"/>
          <w:spacing w:val="-45"/>
          <w:sz w:val="24"/>
          <w:szCs w:val="24"/>
        </w:rPr>
        <w:t xml:space="preserve"> </w:t>
      </w:r>
      <w:r>
        <w:rPr>
          <w:rFonts w:ascii="Times New Roman" w:hAnsi="Times New Roman" w:eastAsia="Times New Roman" w:cs="Times New Roman"/>
          <w:spacing w:val="-9"/>
          <w:sz w:val="24"/>
          <w:szCs w:val="24"/>
        </w:rPr>
        <w:t>8</w:t>
      </w:r>
      <w:r>
        <w:rPr>
          <w:rFonts w:ascii="Times New Roman" w:hAnsi="Times New Roman" w:eastAsia="Times New Roman" w:cs="Times New Roman"/>
          <w:spacing w:val="17"/>
          <w:sz w:val="24"/>
          <w:szCs w:val="24"/>
        </w:rPr>
        <w:t xml:space="preserve"> </w:t>
      </w:r>
      <w:r>
        <w:rPr>
          <w:rFonts w:ascii="宋体" w:hAnsi="宋体" w:eastAsia="宋体" w:cs="宋体"/>
          <w:spacing w:val="-9"/>
          <w:sz w:val="24"/>
          <w:szCs w:val="24"/>
        </w:rPr>
        <w:t>公里；</w:t>
      </w:r>
      <w:r>
        <w:rPr>
          <w:rFonts w:ascii="宋体" w:hAnsi="宋体" w:eastAsia="宋体" w:cs="宋体"/>
          <w:spacing w:val="-46"/>
          <w:sz w:val="24"/>
          <w:szCs w:val="24"/>
        </w:rPr>
        <w:t xml:space="preserve"> </w:t>
      </w:r>
      <w:r>
        <w:rPr>
          <w:rFonts w:ascii="宋体" w:hAnsi="宋体" w:eastAsia="宋体" w:cs="宋体"/>
          <w:spacing w:val="-9"/>
          <w:sz w:val="24"/>
          <w:szCs w:val="24"/>
        </w:rPr>
        <w:t>毛坑至珊溪镇原</w:t>
      </w:r>
    </w:p>
    <w:p>
      <w:pPr>
        <w:spacing w:line="219" w:lineRule="auto"/>
        <w:ind w:left="532"/>
        <w:rPr>
          <w:rFonts w:ascii="宋体" w:hAnsi="宋体" w:eastAsia="宋体" w:cs="宋体"/>
          <w:sz w:val="24"/>
          <w:szCs w:val="24"/>
        </w:rPr>
      </w:pPr>
      <w:r>
        <w:rPr>
          <w:rFonts w:ascii="宋体" w:hAnsi="宋体" w:eastAsia="宋体" w:cs="宋体"/>
          <w:spacing w:val="-5"/>
          <w:sz w:val="24"/>
          <w:szCs w:val="24"/>
        </w:rPr>
        <w:t>桂山乡公路，按四级标准改造</w:t>
      </w:r>
      <w:r>
        <w:rPr>
          <w:rFonts w:ascii="宋体" w:hAnsi="宋体" w:eastAsia="宋体" w:cs="宋体"/>
          <w:spacing w:val="-17"/>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17"/>
          <w:w w:val="101"/>
          <w:sz w:val="24"/>
          <w:szCs w:val="24"/>
        </w:rPr>
        <w:t xml:space="preserve"> </w:t>
      </w:r>
      <w:r>
        <w:rPr>
          <w:rFonts w:ascii="宋体" w:hAnsi="宋体" w:eastAsia="宋体" w:cs="宋体"/>
          <w:spacing w:val="-5"/>
          <w:sz w:val="24"/>
          <w:szCs w:val="24"/>
        </w:rPr>
        <w:t>公里。</w:t>
      </w:r>
    </w:p>
    <w:p>
      <w:pPr>
        <w:spacing w:before="182" w:line="220" w:lineRule="auto"/>
        <w:ind w:left="101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）通景公路</w:t>
      </w:r>
    </w:p>
    <w:p>
      <w:pPr>
        <w:spacing w:before="180" w:line="220" w:lineRule="auto"/>
        <w:ind w:left="1010"/>
        <w:rPr>
          <w:rFonts w:ascii="宋体" w:hAnsi="宋体" w:eastAsia="宋体" w:cs="宋体"/>
          <w:sz w:val="24"/>
          <w:szCs w:val="24"/>
        </w:rPr>
      </w:pPr>
      <w:r>
        <w:rPr>
          <w:rFonts w:ascii="宋体" w:hAnsi="宋体" w:eastAsia="宋体" w:cs="宋体"/>
          <w:spacing w:val="-1"/>
          <w:sz w:val="24"/>
          <w:szCs w:val="24"/>
        </w:rPr>
        <w:t>通景道路按照三级及以上标准建设，部分重要区域</w:t>
      </w:r>
      <w:r>
        <w:rPr>
          <w:rFonts w:ascii="宋体" w:hAnsi="宋体" w:eastAsia="宋体" w:cs="宋体"/>
          <w:spacing w:val="-2"/>
          <w:sz w:val="24"/>
          <w:szCs w:val="24"/>
        </w:rPr>
        <w:t>按照二级公路标准建设。</w:t>
      </w:r>
    </w:p>
    <w:p>
      <w:pPr>
        <w:spacing w:before="182" w:line="359" w:lineRule="auto"/>
        <w:ind w:left="532" w:right="522" w:firstLine="478"/>
        <w:rPr>
          <w:rFonts w:ascii="宋体" w:hAnsi="宋体" w:eastAsia="宋体" w:cs="宋体"/>
          <w:sz w:val="24"/>
          <w:szCs w:val="24"/>
        </w:rPr>
      </w:pPr>
      <w:r>
        <w:rPr>
          <w:rFonts w:ascii="宋体" w:hAnsi="宋体" w:eastAsia="宋体" w:cs="宋体"/>
          <w:spacing w:val="-6"/>
          <w:sz w:val="24"/>
          <w:szCs w:val="24"/>
        </w:rPr>
        <w:t>县城到朱阳九峰的道路按照三级公路建设，</w:t>
      </w:r>
      <w:r>
        <w:rPr>
          <w:rFonts w:ascii="宋体" w:hAnsi="宋体" w:eastAsia="宋体" w:cs="宋体"/>
          <w:spacing w:val="-27"/>
          <w:sz w:val="24"/>
          <w:szCs w:val="24"/>
        </w:rPr>
        <w:t xml:space="preserve"> </w:t>
      </w:r>
      <w:r>
        <w:rPr>
          <w:rFonts w:ascii="宋体" w:hAnsi="宋体" w:eastAsia="宋体" w:cs="宋体"/>
          <w:spacing w:val="-6"/>
          <w:sz w:val="24"/>
          <w:szCs w:val="24"/>
        </w:rPr>
        <w:t>朱阳九峰到南田道路按照二级公</w:t>
      </w:r>
      <w:r>
        <w:rPr>
          <w:rFonts w:ascii="宋体" w:hAnsi="宋体" w:eastAsia="宋体" w:cs="宋体"/>
          <w:sz w:val="24"/>
          <w:szCs w:val="24"/>
        </w:rPr>
        <w:t xml:space="preserve"> </w:t>
      </w:r>
      <w:r>
        <w:rPr>
          <w:rFonts w:ascii="宋体" w:hAnsi="宋体" w:eastAsia="宋体" w:cs="宋体"/>
          <w:spacing w:val="-9"/>
          <w:sz w:val="24"/>
          <w:szCs w:val="24"/>
        </w:rPr>
        <w:t>路标准建设， 南田经西坑至石垟林场道路按照二级</w:t>
      </w:r>
      <w:r>
        <w:rPr>
          <w:rFonts w:ascii="宋体" w:hAnsi="宋体" w:eastAsia="宋体" w:cs="宋体"/>
          <w:spacing w:val="-10"/>
          <w:sz w:val="24"/>
          <w:szCs w:val="24"/>
        </w:rPr>
        <w:t>公路建设， 各景区内部道路按</w:t>
      </w:r>
    </w:p>
    <w:p>
      <w:pPr>
        <w:spacing w:before="1" w:line="219" w:lineRule="auto"/>
        <w:ind w:left="537"/>
        <w:rPr>
          <w:rFonts w:ascii="宋体" w:hAnsi="宋体" w:eastAsia="宋体" w:cs="宋体"/>
          <w:sz w:val="24"/>
          <w:szCs w:val="24"/>
        </w:rPr>
      </w:pPr>
      <w:r>
        <w:rPr>
          <w:rFonts w:ascii="宋体" w:hAnsi="宋体" w:eastAsia="宋体" w:cs="宋体"/>
          <w:spacing w:val="-5"/>
          <w:sz w:val="24"/>
          <w:szCs w:val="24"/>
        </w:rPr>
        <w:t>照三级公路标准建设。</w:t>
      </w:r>
    </w:p>
    <w:p>
      <w:pPr>
        <w:spacing w:line="219" w:lineRule="auto"/>
        <w:rPr>
          <w:rFonts w:ascii="宋体" w:hAnsi="宋体" w:eastAsia="宋体" w:cs="宋体"/>
          <w:sz w:val="24"/>
          <w:szCs w:val="24"/>
        </w:rPr>
        <w:sectPr>
          <w:pgSz w:w="11907" w:h="16839"/>
          <w:pgMar w:top="1118" w:right="1277" w:bottom="1184" w:left="1279" w:header="879" w:footer="1024" w:gutter="0"/>
          <w:cols w:space="720" w:num="1"/>
        </w:sectPr>
      </w:pPr>
    </w:p>
    <w:p>
      <w:pPr>
        <w:pStyle w:val="2"/>
        <w:spacing w:line="278" w:lineRule="auto"/>
      </w:pPr>
    </w:p>
    <w:p>
      <w:pPr>
        <w:spacing w:before="78" w:line="219"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）通村公路</w:t>
      </w:r>
    </w:p>
    <w:p>
      <w:pPr>
        <w:spacing w:before="183" w:line="466" w:lineRule="exact"/>
        <w:ind w:right="62"/>
        <w:jc w:val="right"/>
        <w:rPr>
          <w:rFonts w:ascii="宋体" w:hAnsi="宋体" w:eastAsia="宋体" w:cs="宋体"/>
          <w:sz w:val="24"/>
          <w:szCs w:val="24"/>
        </w:rPr>
      </w:pPr>
      <w:r>
        <w:rPr>
          <w:rFonts w:ascii="宋体" w:hAnsi="宋体" w:eastAsia="宋体" w:cs="宋体"/>
          <w:spacing w:val="-11"/>
          <w:position w:val="17"/>
          <w:sz w:val="24"/>
          <w:szCs w:val="24"/>
        </w:rPr>
        <w:t>继续推进通村公路建设，</w:t>
      </w:r>
      <w:r>
        <w:rPr>
          <w:rFonts w:ascii="宋体" w:hAnsi="宋体" w:eastAsia="宋体" w:cs="宋体"/>
          <w:spacing w:val="26"/>
          <w:position w:val="17"/>
          <w:sz w:val="24"/>
          <w:szCs w:val="24"/>
        </w:rPr>
        <w:t xml:space="preserve"> </w:t>
      </w:r>
      <w:r>
        <w:rPr>
          <w:rFonts w:ascii="宋体" w:hAnsi="宋体" w:eastAsia="宋体" w:cs="宋体"/>
          <w:spacing w:val="-11"/>
          <w:position w:val="17"/>
          <w:sz w:val="24"/>
          <w:szCs w:val="24"/>
        </w:rPr>
        <w:t>改造通村简易公路， 原则上将连接三个以上行政村</w:t>
      </w:r>
    </w:p>
    <w:p>
      <w:pPr>
        <w:spacing w:before="1" w:line="218" w:lineRule="auto"/>
        <w:ind w:left="57"/>
        <w:rPr>
          <w:rFonts w:ascii="宋体" w:hAnsi="宋体" w:eastAsia="宋体" w:cs="宋体"/>
          <w:sz w:val="24"/>
          <w:szCs w:val="24"/>
        </w:rPr>
      </w:pPr>
      <w:r>
        <w:rPr>
          <w:rFonts w:ascii="宋体" w:hAnsi="宋体" w:eastAsia="宋体" w:cs="宋体"/>
          <w:spacing w:val="-3"/>
          <w:sz w:val="24"/>
          <w:szCs w:val="24"/>
        </w:rPr>
        <w:t>的简易公路改建成等级公路，通村率实现</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100%</w:t>
      </w:r>
      <w:r>
        <w:rPr>
          <w:rFonts w:ascii="宋体" w:hAnsi="宋体" w:eastAsia="宋体" w:cs="宋体"/>
          <w:spacing w:val="-3"/>
          <w:sz w:val="24"/>
          <w:szCs w:val="24"/>
        </w:rPr>
        <w:t>。</w:t>
      </w:r>
    </w:p>
    <w:p>
      <w:pPr>
        <w:spacing w:before="182" w:line="220" w:lineRule="auto"/>
        <w:ind w:left="52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）内河航运及码头规划</w:t>
      </w:r>
    </w:p>
    <w:p>
      <w:pPr>
        <w:spacing w:before="180" w:line="359" w:lineRule="auto"/>
        <w:ind w:left="45" w:right="64" w:firstLine="473"/>
        <w:rPr>
          <w:rFonts w:ascii="宋体" w:hAnsi="宋体" w:eastAsia="宋体" w:cs="宋体"/>
          <w:sz w:val="24"/>
          <w:szCs w:val="24"/>
        </w:rPr>
      </w:pPr>
      <w:r>
        <w:rPr>
          <w:rFonts w:ascii="宋体" w:hAnsi="宋体" w:eastAsia="宋体" w:cs="宋体"/>
          <w:spacing w:val="-6"/>
          <w:sz w:val="24"/>
          <w:szCs w:val="24"/>
        </w:rPr>
        <w:t>县域内除飞云湖（珊溪）</w:t>
      </w:r>
      <w:r>
        <w:rPr>
          <w:rFonts w:ascii="宋体" w:hAnsi="宋体" w:eastAsia="宋体" w:cs="宋体"/>
          <w:spacing w:val="-27"/>
          <w:sz w:val="24"/>
          <w:szCs w:val="24"/>
        </w:rPr>
        <w:t xml:space="preserve"> </w:t>
      </w:r>
      <w:r>
        <w:rPr>
          <w:rFonts w:ascii="宋体" w:hAnsi="宋体" w:eastAsia="宋体" w:cs="宋体"/>
          <w:spacing w:val="-6"/>
          <w:sz w:val="24"/>
          <w:szCs w:val="24"/>
        </w:rPr>
        <w:t>水库外其他河溪均无航运功能。规划结合珊溪上游</w:t>
      </w:r>
      <w:r>
        <w:rPr>
          <w:rFonts w:ascii="宋体" w:hAnsi="宋体" w:eastAsia="宋体" w:cs="宋体"/>
          <w:sz w:val="24"/>
          <w:szCs w:val="24"/>
        </w:rPr>
        <w:t xml:space="preserve"> </w:t>
      </w:r>
      <w:r>
        <w:rPr>
          <w:rFonts w:ascii="宋体" w:hAnsi="宋体" w:eastAsia="宋体" w:cs="宋体"/>
          <w:spacing w:val="-6"/>
          <w:sz w:val="24"/>
          <w:szCs w:val="24"/>
        </w:rPr>
        <w:t>飞云江水库旅游发展及泰顺百丈镇至珊溪镇的交通需要，</w:t>
      </w:r>
      <w:r>
        <w:rPr>
          <w:rFonts w:ascii="宋体" w:hAnsi="宋体" w:eastAsia="宋体" w:cs="宋体"/>
          <w:spacing w:val="-22"/>
          <w:sz w:val="24"/>
          <w:szCs w:val="24"/>
        </w:rPr>
        <w:t xml:space="preserve"> </w:t>
      </w:r>
      <w:r>
        <w:rPr>
          <w:rFonts w:ascii="宋体" w:hAnsi="宋体" w:eastAsia="宋体" w:cs="宋体"/>
          <w:spacing w:val="-6"/>
          <w:sz w:val="24"/>
          <w:szCs w:val="24"/>
        </w:rPr>
        <w:t>建设珊溪港埠及铜岭山</w:t>
      </w:r>
    </w:p>
    <w:p>
      <w:pPr>
        <w:spacing w:before="1" w:line="218" w:lineRule="auto"/>
        <w:ind w:left="37"/>
        <w:rPr>
          <w:rFonts w:ascii="宋体" w:hAnsi="宋体" w:eastAsia="宋体" w:cs="宋体"/>
          <w:sz w:val="24"/>
          <w:szCs w:val="24"/>
        </w:rPr>
      </w:pPr>
      <w:r>
        <w:rPr>
          <w:rFonts w:ascii="宋体" w:hAnsi="宋体" w:eastAsia="宋体" w:cs="宋体"/>
          <w:spacing w:val="-5"/>
          <w:sz w:val="24"/>
          <w:szCs w:val="24"/>
        </w:rPr>
        <w:t>港埠，详见下表。</w:t>
      </w:r>
    </w:p>
    <w:p>
      <w:pPr>
        <w:spacing w:before="183" w:line="220" w:lineRule="auto"/>
        <w:ind w:left="289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fldChar w:fldCharType="begin"/>
      </w:r>
      <w:r>
        <w:instrText xml:space="preserve"> HYPERLINK "2.4.1.3" </w:instrText>
      </w:r>
      <w:r>
        <w:fldChar w:fldCharType="separate"/>
      </w:r>
      <w:r>
        <w:rPr>
          <w:rFonts w:ascii="Times New Roman" w:hAnsi="Times New Roman" w:eastAsia="Times New Roman" w:cs="Times New Roman"/>
          <w:spacing w:val="-1"/>
          <w:sz w:val="24"/>
          <w:szCs w:val="24"/>
        </w:rPr>
        <w:t>2.4.1.3</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水运规划一览表</w:t>
      </w:r>
    </w:p>
    <w:p>
      <w:pPr>
        <w:spacing w:line="144" w:lineRule="exact"/>
      </w:pPr>
    </w:p>
    <w:tbl>
      <w:tblPr>
        <w:tblStyle w:val="5"/>
        <w:tblW w:w="6546" w:type="dxa"/>
        <w:tblInd w:w="9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1"/>
        <w:gridCol w:w="1864"/>
        <w:gridCol w:w="2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341" w:type="dxa"/>
            <w:vAlign w:val="top"/>
          </w:tcPr>
          <w:p>
            <w:pPr>
              <w:pStyle w:val="6"/>
              <w:spacing w:before="34" w:line="209" w:lineRule="auto"/>
              <w:ind w:left="335"/>
            </w:pPr>
            <w:r>
              <w:rPr>
                <w:spacing w:val="-1"/>
              </w:rPr>
              <w:t>港埠（渡口）名称</w:t>
            </w:r>
          </w:p>
        </w:tc>
        <w:tc>
          <w:tcPr>
            <w:tcW w:w="1864" w:type="dxa"/>
            <w:vAlign w:val="top"/>
          </w:tcPr>
          <w:p>
            <w:pPr>
              <w:pStyle w:val="6"/>
              <w:spacing w:before="34" w:line="209" w:lineRule="auto"/>
              <w:ind w:left="517"/>
            </w:pPr>
            <w:r>
              <w:rPr>
                <w:spacing w:val="-2"/>
              </w:rPr>
              <w:t>规划码头</w:t>
            </w:r>
          </w:p>
        </w:tc>
        <w:tc>
          <w:tcPr>
            <w:tcW w:w="2341" w:type="dxa"/>
            <w:vAlign w:val="top"/>
          </w:tcPr>
          <w:p>
            <w:pPr>
              <w:pStyle w:val="6"/>
              <w:spacing w:before="34" w:line="209" w:lineRule="auto"/>
              <w:ind w:left="345"/>
            </w:pPr>
            <w:r>
              <w:rPr>
                <w:spacing w:val="-2"/>
              </w:rPr>
              <w:t>吨位级别（个数）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341" w:type="dxa"/>
            <w:vMerge w:val="restart"/>
            <w:tcBorders>
              <w:bottom w:val="nil"/>
            </w:tcBorders>
            <w:vAlign w:val="top"/>
          </w:tcPr>
          <w:p>
            <w:pPr>
              <w:spacing w:line="243" w:lineRule="auto"/>
              <w:rPr>
                <w:rFonts w:ascii="Arial"/>
                <w:sz w:val="21"/>
              </w:rPr>
            </w:pPr>
          </w:p>
          <w:p>
            <w:pPr>
              <w:pStyle w:val="6"/>
              <w:spacing w:before="69" w:line="220" w:lineRule="auto"/>
              <w:ind w:left="755"/>
            </w:pPr>
            <w:r>
              <w:rPr>
                <w:spacing w:val="-1"/>
              </w:rPr>
              <w:t>珊溪港埠</w:t>
            </w:r>
          </w:p>
        </w:tc>
        <w:tc>
          <w:tcPr>
            <w:tcW w:w="1864" w:type="dxa"/>
            <w:vAlign w:val="top"/>
          </w:tcPr>
          <w:p>
            <w:pPr>
              <w:pStyle w:val="6"/>
              <w:spacing w:before="30" w:line="209" w:lineRule="auto"/>
              <w:ind w:left="309"/>
            </w:pPr>
            <w:r>
              <w:rPr>
                <w:spacing w:val="-2"/>
              </w:rPr>
              <w:t>客运码头一座</w:t>
            </w:r>
          </w:p>
        </w:tc>
        <w:tc>
          <w:tcPr>
            <w:tcW w:w="2341" w:type="dxa"/>
            <w:vAlign w:val="top"/>
          </w:tcPr>
          <w:p>
            <w:pPr>
              <w:spacing w:before="65" w:line="191" w:lineRule="auto"/>
              <w:ind w:left="8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341" w:type="dxa"/>
            <w:vMerge w:val="continue"/>
            <w:tcBorders>
              <w:top w:val="nil"/>
              <w:bottom w:val="nil"/>
            </w:tcBorders>
            <w:vAlign w:val="top"/>
          </w:tcPr>
          <w:p>
            <w:pPr>
              <w:rPr>
                <w:rFonts w:ascii="Arial"/>
                <w:sz w:val="21"/>
              </w:rPr>
            </w:pPr>
          </w:p>
        </w:tc>
        <w:tc>
          <w:tcPr>
            <w:tcW w:w="1864" w:type="dxa"/>
            <w:vAlign w:val="top"/>
          </w:tcPr>
          <w:p>
            <w:pPr>
              <w:pStyle w:val="6"/>
              <w:spacing w:before="30" w:line="206" w:lineRule="auto"/>
              <w:ind w:left="312"/>
            </w:pPr>
            <w:r>
              <w:rPr>
                <w:spacing w:val="-2"/>
              </w:rPr>
              <w:t>货运码头一座</w:t>
            </w:r>
          </w:p>
        </w:tc>
        <w:tc>
          <w:tcPr>
            <w:tcW w:w="2341" w:type="dxa"/>
            <w:vAlign w:val="top"/>
          </w:tcPr>
          <w:p>
            <w:pPr>
              <w:spacing w:before="65" w:line="191" w:lineRule="auto"/>
              <w:ind w:left="91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1*50T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341" w:type="dxa"/>
            <w:vMerge w:val="continue"/>
            <w:tcBorders>
              <w:top w:val="nil"/>
            </w:tcBorders>
            <w:vAlign w:val="top"/>
          </w:tcPr>
          <w:p>
            <w:pPr>
              <w:rPr>
                <w:rFonts w:ascii="Arial"/>
                <w:sz w:val="21"/>
              </w:rPr>
            </w:pPr>
          </w:p>
        </w:tc>
        <w:tc>
          <w:tcPr>
            <w:tcW w:w="1864" w:type="dxa"/>
            <w:vAlign w:val="top"/>
          </w:tcPr>
          <w:p>
            <w:pPr>
              <w:pStyle w:val="6"/>
              <w:spacing w:before="31" w:line="208" w:lineRule="auto"/>
              <w:ind w:left="310"/>
            </w:pPr>
            <w:r>
              <w:rPr>
                <w:spacing w:val="-2"/>
              </w:rPr>
              <w:t>工作码头一座</w:t>
            </w:r>
          </w:p>
        </w:tc>
        <w:tc>
          <w:tcPr>
            <w:tcW w:w="2341" w:type="dxa"/>
            <w:vAlign w:val="top"/>
          </w:tcPr>
          <w:p>
            <w:pPr>
              <w:spacing w:before="66" w:line="191" w:lineRule="auto"/>
              <w:ind w:left="8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341" w:type="dxa"/>
            <w:vMerge w:val="restart"/>
            <w:tcBorders>
              <w:bottom w:val="nil"/>
            </w:tcBorders>
            <w:vAlign w:val="top"/>
          </w:tcPr>
          <w:p>
            <w:pPr>
              <w:pStyle w:val="6"/>
              <w:spacing w:before="173" w:line="220" w:lineRule="auto"/>
              <w:ind w:left="651"/>
            </w:pPr>
            <w:r>
              <w:rPr>
                <w:spacing w:val="-1"/>
              </w:rPr>
              <w:t>铜岭山港埠</w:t>
            </w:r>
          </w:p>
        </w:tc>
        <w:tc>
          <w:tcPr>
            <w:tcW w:w="1864" w:type="dxa"/>
            <w:vAlign w:val="top"/>
          </w:tcPr>
          <w:p>
            <w:pPr>
              <w:pStyle w:val="6"/>
              <w:spacing w:before="31" w:line="205" w:lineRule="auto"/>
              <w:ind w:left="309"/>
            </w:pPr>
            <w:r>
              <w:rPr>
                <w:spacing w:val="-2"/>
              </w:rPr>
              <w:t>客运码头一座</w:t>
            </w:r>
          </w:p>
        </w:tc>
        <w:tc>
          <w:tcPr>
            <w:tcW w:w="2341" w:type="dxa"/>
            <w:vAlign w:val="top"/>
          </w:tcPr>
          <w:p>
            <w:pPr>
              <w:spacing w:before="66" w:line="191" w:lineRule="auto"/>
              <w:ind w:left="8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341" w:type="dxa"/>
            <w:vMerge w:val="continue"/>
            <w:tcBorders>
              <w:top w:val="nil"/>
            </w:tcBorders>
            <w:vAlign w:val="top"/>
          </w:tcPr>
          <w:p>
            <w:pPr>
              <w:rPr>
                <w:rFonts w:ascii="Arial"/>
                <w:sz w:val="21"/>
              </w:rPr>
            </w:pPr>
          </w:p>
        </w:tc>
        <w:tc>
          <w:tcPr>
            <w:tcW w:w="1864" w:type="dxa"/>
            <w:vAlign w:val="top"/>
          </w:tcPr>
          <w:p>
            <w:pPr>
              <w:pStyle w:val="6"/>
              <w:spacing w:before="34" w:line="204" w:lineRule="auto"/>
              <w:ind w:left="312"/>
            </w:pPr>
            <w:r>
              <w:rPr>
                <w:spacing w:val="-2"/>
              </w:rPr>
              <w:t>货运码头一座</w:t>
            </w:r>
          </w:p>
        </w:tc>
        <w:tc>
          <w:tcPr>
            <w:tcW w:w="2341" w:type="dxa"/>
            <w:vAlign w:val="top"/>
          </w:tcPr>
          <w:p>
            <w:pPr>
              <w:spacing w:before="69" w:line="191" w:lineRule="auto"/>
              <w:ind w:left="91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1*50T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341" w:type="dxa"/>
            <w:vMerge w:val="restart"/>
            <w:tcBorders>
              <w:bottom w:val="nil"/>
            </w:tcBorders>
            <w:vAlign w:val="top"/>
          </w:tcPr>
          <w:p>
            <w:pPr>
              <w:pStyle w:val="6"/>
              <w:spacing w:before="174" w:line="221" w:lineRule="auto"/>
              <w:ind w:left="967"/>
            </w:pPr>
            <w:r>
              <w:rPr>
                <w:spacing w:val="-2"/>
              </w:rPr>
              <w:t>人渡</w:t>
            </w:r>
          </w:p>
        </w:tc>
        <w:tc>
          <w:tcPr>
            <w:tcW w:w="1864" w:type="dxa"/>
            <w:vAlign w:val="top"/>
          </w:tcPr>
          <w:p>
            <w:pPr>
              <w:pStyle w:val="6"/>
              <w:spacing w:before="33" w:line="206" w:lineRule="auto"/>
              <w:ind w:left="517"/>
            </w:pPr>
            <w:r>
              <w:rPr>
                <w:spacing w:val="-2"/>
              </w:rPr>
              <w:t>库区干流</w:t>
            </w:r>
          </w:p>
        </w:tc>
        <w:tc>
          <w:tcPr>
            <w:tcW w:w="2341" w:type="dxa"/>
            <w:vAlign w:val="top"/>
          </w:tcPr>
          <w:p>
            <w:pPr>
              <w:pStyle w:val="6"/>
              <w:spacing w:before="33" w:line="206" w:lineRule="auto"/>
              <w:ind w:left="992"/>
            </w:pPr>
            <w:r>
              <w:rPr>
                <w:rFonts w:ascii="Times New Roman" w:hAnsi="Times New Roman" w:eastAsia="Times New Roman" w:cs="Times New Roman"/>
                <w:spacing w:val="-5"/>
              </w:rPr>
              <w:t>5</w:t>
            </w:r>
            <w:r>
              <w:rPr>
                <w:rFonts w:ascii="Times New Roman" w:hAnsi="Times New Roman" w:eastAsia="Times New Roman" w:cs="Times New Roman"/>
                <w:spacing w:val="8"/>
              </w:rPr>
              <w:t xml:space="preserve"> </w:t>
            </w:r>
            <w:r>
              <w:rPr>
                <w:spacing w:val="-5"/>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341" w:type="dxa"/>
            <w:vMerge w:val="continue"/>
            <w:tcBorders>
              <w:top w:val="nil"/>
            </w:tcBorders>
            <w:vAlign w:val="top"/>
          </w:tcPr>
          <w:p>
            <w:pPr>
              <w:rPr>
                <w:rFonts w:ascii="Arial"/>
                <w:sz w:val="21"/>
              </w:rPr>
            </w:pPr>
          </w:p>
        </w:tc>
        <w:tc>
          <w:tcPr>
            <w:tcW w:w="1864" w:type="dxa"/>
            <w:vAlign w:val="top"/>
          </w:tcPr>
          <w:p>
            <w:pPr>
              <w:pStyle w:val="6"/>
              <w:spacing w:before="34" w:line="209" w:lineRule="auto"/>
              <w:ind w:left="523"/>
            </w:pPr>
            <w:r>
              <w:rPr>
                <w:spacing w:val="-4"/>
              </w:rPr>
              <w:t>峃作口溪</w:t>
            </w:r>
          </w:p>
        </w:tc>
        <w:tc>
          <w:tcPr>
            <w:tcW w:w="2341" w:type="dxa"/>
            <w:vAlign w:val="top"/>
          </w:tcPr>
          <w:p>
            <w:pPr>
              <w:pStyle w:val="6"/>
              <w:spacing w:before="34" w:line="209" w:lineRule="auto"/>
              <w:ind w:left="990"/>
            </w:pPr>
            <w:r>
              <w:rPr>
                <w:rFonts w:ascii="Times New Roman" w:hAnsi="Times New Roman" w:eastAsia="Times New Roman" w:cs="Times New Roman"/>
                <w:spacing w:val="-4"/>
              </w:rPr>
              <w:t>7</w:t>
            </w:r>
            <w:r>
              <w:rPr>
                <w:rFonts w:ascii="Times New Roman" w:hAnsi="Times New Roman" w:eastAsia="Times New Roman" w:cs="Times New Roman"/>
                <w:spacing w:val="8"/>
              </w:rPr>
              <w:t xml:space="preserve"> </w:t>
            </w:r>
            <w:r>
              <w:rPr>
                <w:spacing w:val="-4"/>
              </w:rPr>
              <w:t>个</w:t>
            </w:r>
          </w:p>
        </w:tc>
      </w:tr>
    </w:tbl>
    <w:p>
      <w:pPr>
        <w:spacing w:before="192" w:line="220" w:lineRule="auto"/>
        <w:ind w:left="513"/>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）符合性分析</w:t>
      </w:r>
    </w:p>
    <w:p>
      <w:pPr>
        <w:spacing w:before="181" w:line="359" w:lineRule="auto"/>
        <w:ind w:left="40" w:firstLine="478"/>
        <w:rPr>
          <w:rFonts w:ascii="宋体" w:hAnsi="宋体" w:eastAsia="宋体" w:cs="宋体"/>
          <w:sz w:val="24"/>
          <w:szCs w:val="24"/>
        </w:rPr>
      </w:pPr>
      <w:r>
        <w:rPr>
          <w:rFonts w:ascii="宋体" w:hAnsi="宋体" w:eastAsia="宋体" w:cs="宋体"/>
          <w:spacing w:val="4"/>
          <w:sz w:val="24"/>
          <w:szCs w:val="24"/>
        </w:rPr>
        <w:t>本项目为景文高速公路即原规划中龙丽温高速公路文成段的配套连接线项</w:t>
      </w:r>
      <w:r>
        <w:rPr>
          <w:rFonts w:ascii="宋体" w:hAnsi="宋体" w:eastAsia="宋体" w:cs="宋体"/>
          <w:spacing w:val="11"/>
          <w:sz w:val="24"/>
          <w:szCs w:val="24"/>
        </w:rPr>
        <w:t xml:space="preserve"> </w:t>
      </w:r>
      <w:r>
        <w:rPr>
          <w:rFonts w:ascii="宋体" w:hAnsi="宋体" w:eastAsia="宋体" w:cs="宋体"/>
          <w:spacing w:val="-3"/>
          <w:sz w:val="24"/>
          <w:szCs w:val="24"/>
        </w:rPr>
        <w:t>目。本项目的建设将完善浙江西南部山区旅游景点与高速公路有机结合路网布局</w:t>
      </w:r>
      <w:r>
        <w:rPr>
          <w:rFonts w:ascii="宋体" w:hAnsi="宋体" w:eastAsia="宋体" w:cs="宋体"/>
          <w:sz w:val="24"/>
          <w:szCs w:val="24"/>
        </w:rPr>
        <w:t xml:space="preserve"> </w:t>
      </w:r>
      <w:r>
        <w:rPr>
          <w:rFonts w:ascii="宋体" w:hAnsi="宋体" w:eastAsia="宋体" w:cs="宋体"/>
          <w:spacing w:val="-6"/>
          <w:sz w:val="24"/>
          <w:szCs w:val="24"/>
        </w:rPr>
        <w:t>的需要， 是实现城乡交通一体化的需要。本项目的建设能</w:t>
      </w:r>
      <w:r>
        <w:rPr>
          <w:rFonts w:ascii="宋体" w:hAnsi="宋体" w:eastAsia="宋体" w:cs="宋体"/>
          <w:spacing w:val="-7"/>
          <w:sz w:val="24"/>
          <w:szCs w:val="24"/>
        </w:rPr>
        <w:t>够连接文成百丈漈、南</w:t>
      </w:r>
      <w:r>
        <w:rPr>
          <w:rFonts w:ascii="宋体" w:hAnsi="宋体" w:eastAsia="宋体" w:cs="宋体"/>
          <w:sz w:val="24"/>
          <w:szCs w:val="24"/>
        </w:rPr>
        <w:t xml:space="preserve"> </w:t>
      </w:r>
      <w:r>
        <w:rPr>
          <w:rFonts w:ascii="宋体" w:hAnsi="宋体" w:eastAsia="宋体" w:cs="宋体"/>
          <w:spacing w:val="-10"/>
          <w:sz w:val="24"/>
          <w:szCs w:val="24"/>
        </w:rPr>
        <w:t>田、西坑至景文高速公路与地方上公路，</w:t>
      </w:r>
      <w:r>
        <w:rPr>
          <w:rFonts w:ascii="宋体" w:hAnsi="宋体" w:eastAsia="宋体" w:cs="宋体"/>
          <w:spacing w:val="-42"/>
          <w:sz w:val="24"/>
          <w:szCs w:val="24"/>
        </w:rPr>
        <w:t xml:space="preserve"> </w:t>
      </w:r>
      <w:r>
        <w:rPr>
          <w:rFonts w:ascii="宋体" w:hAnsi="宋体" w:eastAsia="宋体" w:cs="宋体"/>
          <w:spacing w:val="-10"/>
          <w:sz w:val="24"/>
          <w:szCs w:val="24"/>
        </w:rPr>
        <w:t>使得西坑互通的交通转换功能大幅提升，</w:t>
      </w:r>
      <w:r>
        <w:rPr>
          <w:rFonts w:ascii="宋体" w:hAnsi="宋体" w:eastAsia="宋体" w:cs="宋体"/>
          <w:sz w:val="24"/>
          <w:szCs w:val="24"/>
        </w:rPr>
        <w:t xml:space="preserve"> </w:t>
      </w:r>
      <w:r>
        <w:rPr>
          <w:rFonts w:ascii="宋体" w:hAnsi="宋体" w:eastAsia="宋体" w:cs="宋体"/>
          <w:spacing w:val="-9"/>
          <w:sz w:val="24"/>
          <w:szCs w:val="24"/>
        </w:rPr>
        <w:t>建设后将极大地完善周边区域的路网结构， 改</w:t>
      </w:r>
      <w:r>
        <w:rPr>
          <w:rFonts w:ascii="宋体" w:hAnsi="宋体" w:eastAsia="宋体" w:cs="宋体"/>
          <w:spacing w:val="-10"/>
          <w:sz w:val="24"/>
          <w:szCs w:val="24"/>
        </w:rPr>
        <w:t>善交通出行条件， 解决困扰区域发</w:t>
      </w:r>
      <w:r>
        <w:rPr>
          <w:rFonts w:ascii="宋体" w:hAnsi="宋体" w:eastAsia="宋体" w:cs="宋体"/>
          <w:sz w:val="24"/>
          <w:szCs w:val="24"/>
        </w:rPr>
        <w:t xml:space="preserve"> </w:t>
      </w:r>
      <w:r>
        <w:rPr>
          <w:rFonts w:ascii="宋体" w:hAnsi="宋体" w:eastAsia="宋体" w:cs="宋体"/>
          <w:spacing w:val="-2"/>
          <w:sz w:val="24"/>
          <w:szCs w:val="24"/>
        </w:rPr>
        <w:t>展的交通出行要求。本项目的位于珊溪水库饮用水水源保护区准保护区范围内，</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不在新划定的百丈漈</w:t>
      </w:r>
      <w:r>
        <w:rPr>
          <w:rFonts w:ascii="Times New Roman" w:hAnsi="Times New Roman" w:eastAsia="Times New Roman" w:cs="Times New Roman"/>
          <w:spacing w:val="-2"/>
          <w:sz w:val="24"/>
          <w:szCs w:val="24"/>
        </w:rPr>
        <w:t>-</w:t>
      </w:r>
      <w:r>
        <w:rPr>
          <w:rFonts w:ascii="宋体" w:hAnsi="宋体" w:eastAsia="宋体" w:cs="宋体"/>
          <w:spacing w:val="-2"/>
          <w:sz w:val="24"/>
          <w:szCs w:val="24"/>
        </w:rPr>
        <w:t>飞云湖风景名胜区范围内。</w:t>
      </w:r>
    </w:p>
    <w:p>
      <w:pPr>
        <w:spacing w:before="183" w:line="219" w:lineRule="auto"/>
        <w:ind w:left="536"/>
        <w:rPr>
          <w:rFonts w:ascii="宋体" w:hAnsi="宋体" w:eastAsia="宋体" w:cs="宋体"/>
          <w:sz w:val="24"/>
          <w:szCs w:val="24"/>
        </w:rPr>
      </w:pPr>
      <w:r>
        <w:rPr>
          <w:rFonts w:ascii="宋体" w:hAnsi="宋体" w:eastAsia="宋体" w:cs="宋体"/>
          <w:spacing w:val="-3"/>
          <w:sz w:val="24"/>
          <w:szCs w:val="24"/>
        </w:rPr>
        <w:t>因此，本项目的建设符合城市总体规划的要求。</w:t>
      </w:r>
    </w:p>
    <w:p>
      <w:pPr>
        <w:spacing w:before="181" w:line="220" w:lineRule="auto"/>
        <w:ind w:left="34"/>
        <w:outlineLvl w:val="0"/>
        <w:rPr>
          <w:rFonts w:ascii="宋体" w:hAnsi="宋体" w:eastAsia="宋体" w:cs="宋体"/>
          <w:sz w:val="24"/>
          <w:szCs w:val="24"/>
        </w:rPr>
      </w:pPr>
      <w:r>
        <w:fldChar w:fldCharType="begin"/>
      </w:r>
      <w:r>
        <w:instrText xml:space="preserve"> HYPERLINK "2.4.1.5" </w:instrText>
      </w:r>
      <w:r>
        <w:fldChar w:fldCharType="separate"/>
      </w:r>
      <w:r>
        <w:rPr>
          <w:rFonts w:ascii="Times New Roman" w:hAnsi="Times New Roman" w:eastAsia="Times New Roman" w:cs="Times New Roman"/>
          <w:b/>
          <w:bCs/>
          <w:sz w:val="24"/>
          <w:szCs w:val="24"/>
        </w:rPr>
        <w:t>2.4.1.5</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与《文成县国土空间总体规划（</w:t>
      </w:r>
      <w:r>
        <w:rPr>
          <w:rFonts w:ascii="Times New Roman" w:hAnsi="Times New Roman" w:eastAsia="Times New Roman" w:cs="Times New Roman"/>
          <w:b/>
          <w:bCs/>
          <w:sz w:val="24"/>
          <w:szCs w:val="24"/>
        </w:rPr>
        <w:t>2021-2035</w:t>
      </w:r>
      <w:r>
        <w:rPr>
          <w:rFonts w:ascii="宋体" w:hAnsi="宋体" w:eastAsia="宋体" w:cs="宋体"/>
          <w:sz w:val="24"/>
          <w:szCs w:val="24"/>
          <w14:textOutline w14:w="4354" w14:cap="flat" w14:cmpd="sng">
            <w14:solidFill>
              <w14:srgbClr w14:val="000000"/>
            </w14:solidFill>
            <w14:prstDash w14:val="solid"/>
            <w14:miter w14:val="0"/>
          </w14:textOutline>
        </w:rPr>
        <w:t>）》（评审稿）相符性</w:t>
      </w:r>
    </w:p>
    <w:p>
      <w:pPr>
        <w:spacing w:before="182" w:line="220" w:lineRule="auto"/>
        <w:ind w:left="526"/>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（一）规划概述</w:t>
      </w:r>
    </w:p>
    <w:p>
      <w:pPr>
        <w:spacing w:before="181"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）规划范围</w:t>
      </w:r>
    </w:p>
    <w:p>
      <w:pPr>
        <w:spacing w:before="182" w:line="359" w:lineRule="auto"/>
        <w:ind w:left="38" w:right="62" w:firstLine="481"/>
        <w:rPr>
          <w:rFonts w:ascii="宋体" w:hAnsi="宋体" w:eastAsia="宋体" w:cs="宋体"/>
          <w:sz w:val="24"/>
          <w:szCs w:val="24"/>
        </w:rPr>
      </w:pPr>
      <w:r>
        <w:rPr>
          <w:rFonts w:ascii="宋体" w:hAnsi="宋体" w:eastAsia="宋体" w:cs="宋体"/>
          <w:spacing w:val="-3"/>
          <w:sz w:val="24"/>
          <w:szCs w:val="24"/>
        </w:rPr>
        <w:t>文成县国土空间总体规划范围包括县域和中心城区两个层面</w:t>
      </w:r>
      <w:r>
        <w:rPr>
          <w:rFonts w:ascii="宋体" w:hAnsi="宋体" w:eastAsia="宋体" w:cs="宋体"/>
          <w:spacing w:val="-4"/>
          <w:sz w:val="24"/>
          <w:szCs w:val="24"/>
        </w:rPr>
        <w:t>。县域层面按照</w:t>
      </w:r>
      <w:r>
        <w:rPr>
          <w:rFonts w:ascii="宋体" w:hAnsi="宋体" w:eastAsia="宋体" w:cs="宋体"/>
          <w:sz w:val="24"/>
          <w:szCs w:val="24"/>
        </w:rPr>
        <w:t xml:space="preserve"> 全域全要素布局的要求，确定规划范围为文成县域行</w:t>
      </w:r>
      <w:r>
        <w:rPr>
          <w:rFonts w:ascii="宋体" w:hAnsi="宋体" w:eastAsia="宋体" w:cs="宋体"/>
          <w:spacing w:val="-1"/>
          <w:sz w:val="24"/>
          <w:szCs w:val="24"/>
        </w:rPr>
        <w:t>政范围，涉及土地总面积</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1296.44 </w:t>
      </w:r>
      <w:r>
        <w:rPr>
          <w:rFonts w:ascii="宋体" w:hAnsi="宋体" w:eastAsia="宋体" w:cs="宋体"/>
          <w:spacing w:val="-1"/>
          <w:sz w:val="24"/>
          <w:szCs w:val="24"/>
        </w:rPr>
        <w:t>平方公里，包括大峃镇、珊溪镇、玉壶镇、南田镇、黄</w:t>
      </w:r>
      <w:r>
        <w:rPr>
          <w:rFonts w:ascii="宋体" w:hAnsi="宋体" w:eastAsia="宋体" w:cs="宋体"/>
          <w:spacing w:val="-2"/>
          <w:sz w:val="24"/>
          <w:szCs w:val="24"/>
        </w:rPr>
        <w:t>坦镇、巨屿镇、</w:t>
      </w:r>
      <w:r>
        <w:rPr>
          <w:rFonts w:ascii="宋体" w:hAnsi="宋体" w:eastAsia="宋体" w:cs="宋体"/>
          <w:sz w:val="24"/>
          <w:szCs w:val="24"/>
        </w:rPr>
        <w:t xml:space="preserve"> </w:t>
      </w:r>
      <w:r>
        <w:rPr>
          <w:rFonts w:ascii="宋体" w:hAnsi="宋体" w:eastAsia="宋体" w:cs="宋体"/>
          <w:spacing w:val="-7"/>
          <w:sz w:val="24"/>
          <w:szCs w:val="24"/>
        </w:rPr>
        <w:t>百丈漈镇、峃口镇、西坑畲族镇、周壤镇、二源镇、铜铃山镇等</w:t>
      </w:r>
      <w:r>
        <w:rPr>
          <w:rFonts w:ascii="宋体" w:hAnsi="宋体" w:eastAsia="宋体" w:cs="宋体"/>
          <w:spacing w:val="43"/>
          <w:sz w:val="24"/>
          <w:szCs w:val="24"/>
        </w:rPr>
        <w:t xml:space="preserve"> </w:t>
      </w:r>
      <w:r>
        <w:rPr>
          <w:rFonts w:ascii="Times New Roman" w:hAnsi="Times New Roman" w:eastAsia="Times New Roman" w:cs="Times New Roman"/>
          <w:spacing w:val="-7"/>
          <w:sz w:val="24"/>
          <w:szCs w:val="24"/>
        </w:rPr>
        <w:t xml:space="preserve">12  </w:t>
      </w:r>
      <w:r>
        <w:rPr>
          <w:rFonts w:ascii="宋体" w:hAnsi="宋体" w:eastAsia="宋体" w:cs="宋体"/>
          <w:spacing w:val="-7"/>
          <w:sz w:val="24"/>
          <w:szCs w:val="24"/>
        </w:rPr>
        <w:t>个镇， 及周</w:t>
      </w:r>
    </w:p>
    <w:p>
      <w:pPr>
        <w:spacing w:before="1" w:line="219" w:lineRule="auto"/>
        <w:ind w:left="59"/>
        <w:rPr>
          <w:rFonts w:ascii="宋体" w:hAnsi="宋体" w:eastAsia="宋体" w:cs="宋体"/>
          <w:sz w:val="24"/>
          <w:szCs w:val="24"/>
        </w:rPr>
      </w:pPr>
      <w:r>
        <w:rPr>
          <w:rFonts w:ascii="宋体" w:hAnsi="宋体" w:eastAsia="宋体" w:cs="宋体"/>
          <w:spacing w:val="-1"/>
          <w:sz w:val="24"/>
          <w:szCs w:val="24"/>
        </w:rPr>
        <w:t>山畲族乡、平和乡、双桂乡、公阳乡、桂山乡等</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个乡；中心</w:t>
      </w:r>
      <w:r>
        <w:rPr>
          <w:rFonts w:ascii="宋体" w:hAnsi="宋体" w:eastAsia="宋体" w:cs="宋体"/>
          <w:spacing w:val="-2"/>
          <w:sz w:val="24"/>
          <w:szCs w:val="24"/>
        </w:rPr>
        <w:t>城区层面规划范</w:t>
      </w:r>
    </w:p>
    <w:p>
      <w:pPr>
        <w:spacing w:line="219" w:lineRule="auto"/>
        <w:rPr>
          <w:rFonts w:ascii="宋体" w:hAnsi="宋体" w:eastAsia="宋体" w:cs="宋体"/>
          <w:sz w:val="24"/>
          <w:szCs w:val="24"/>
        </w:rPr>
        <w:sectPr>
          <w:headerReference r:id="rId53" w:type="default"/>
          <w:footerReference r:id="rId54" w:type="default"/>
          <w:pgSz w:w="11907" w:h="16839"/>
          <w:pgMar w:top="1118" w:right="1735" w:bottom="1184" w:left="1771" w:header="879" w:footer="1024" w:gutter="0"/>
          <w:cols w:space="720" w:num="1"/>
        </w:sectPr>
      </w:pPr>
    </w:p>
    <w:p>
      <w:pPr>
        <w:pStyle w:val="2"/>
        <w:spacing w:line="278" w:lineRule="auto"/>
      </w:pPr>
    </w:p>
    <w:p>
      <w:pPr>
        <w:spacing w:before="78" w:line="468" w:lineRule="exact"/>
        <w:ind w:left="59"/>
        <w:rPr>
          <w:rFonts w:ascii="宋体" w:hAnsi="宋体" w:eastAsia="宋体" w:cs="宋体"/>
          <w:sz w:val="24"/>
          <w:szCs w:val="24"/>
        </w:rPr>
      </w:pPr>
      <w:r>
        <w:rPr>
          <w:rFonts w:ascii="宋体" w:hAnsi="宋体" w:eastAsia="宋体" w:cs="宋体"/>
          <w:spacing w:val="-3"/>
          <w:position w:val="17"/>
          <w:sz w:val="24"/>
          <w:szCs w:val="24"/>
        </w:rPr>
        <w:t>围为大峃镇的行政范围，总面积</w:t>
      </w:r>
      <w:r>
        <w:rPr>
          <w:rFonts w:ascii="宋体" w:hAnsi="宋体" w:eastAsia="宋体" w:cs="宋体"/>
          <w:spacing w:val="28"/>
          <w:position w:val="17"/>
          <w:sz w:val="24"/>
          <w:szCs w:val="24"/>
        </w:rPr>
        <w:t xml:space="preserve"> </w:t>
      </w:r>
      <w:r>
        <w:rPr>
          <w:rFonts w:ascii="Times New Roman" w:hAnsi="Times New Roman" w:eastAsia="Times New Roman" w:cs="Times New Roman"/>
          <w:spacing w:val="-3"/>
          <w:position w:val="17"/>
          <w:sz w:val="24"/>
          <w:szCs w:val="24"/>
        </w:rPr>
        <w:t xml:space="preserve">127.31  </w:t>
      </w:r>
      <w:r>
        <w:rPr>
          <w:rFonts w:ascii="宋体" w:hAnsi="宋体" w:eastAsia="宋体" w:cs="宋体"/>
          <w:spacing w:val="-4"/>
          <w:position w:val="17"/>
          <w:sz w:val="24"/>
          <w:szCs w:val="24"/>
        </w:rPr>
        <w:t>平方公里。</w:t>
      </w:r>
    </w:p>
    <w:p>
      <w:pPr>
        <w:spacing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）规划期限</w:t>
      </w:r>
    </w:p>
    <w:p>
      <w:pPr>
        <w:spacing w:before="179" w:line="468" w:lineRule="exact"/>
        <w:jc w:val="right"/>
        <w:rPr>
          <w:rFonts w:ascii="宋体" w:hAnsi="宋体" w:eastAsia="宋体" w:cs="宋体"/>
          <w:sz w:val="24"/>
          <w:szCs w:val="24"/>
        </w:rPr>
      </w:pPr>
      <w:r>
        <w:rPr>
          <w:rFonts w:ascii="宋体" w:hAnsi="宋体" w:eastAsia="宋体" w:cs="宋体"/>
          <w:spacing w:val="-6"/>
          <w:position w:val="17"/>
          <w:sz w:val="24"/>
          <w:szCs w:val="24"/>
        </w:rPr>
        <w:t>规划期限为</w:t>
      </w:r>
      <w:r>
        <w:rPr>
          <w:rFonts w:ascii="宋体" w:hAnsi="宋体" w:eastAsia="宋体" w:cs="宋体"/>
          <w:spacing w:val="-44"/>
          <w:position w:val="17"/>
          <w:sz w:val="24"/>
          <w:szCs w:val="24"/>
        </w:rPr>
        <w:t xml:space="preserve"> </w:t>
      </w:r>
      <w:r>
        <w:rPr>
          <w:rFonts w:ascii="Times New Roman" w:hAnsi="Times New Roman" w:eastAsia="Times New Roman" w:cs="Times New Roman"/>
          <w:spacing w:val="-6"/>
          <w:position w:val="17"/>
          <w:sz w:val="24"/>
          <w:szCs w:val="24"/>
        </w:rPr>
        <w:t xml:space="preserve">2021-2035 </w:t>
      </w:r>
      <w:r>
        <w:rPr>
          <w:rFonts w:ascii="宋体" w:hAnsi="宋体" w:eastAsia="宋体" w:cs="宋体"/>
          <w:spacing w:val="-6"/>
          <w:position w:val="17"/>
          <w:sz w:val="24"/>
          <w:szCs w:val="24"/>
        </w:rPr>
        <w:t>年，其中规划基期年</w:t>
      </w:r>
      <w:r>
        <w:rPr>
          <w:rFonts w:ascii="宋体" w:hAnsi="宋体" w:eastAsia="宋体" w:cs="宋体"/>
          <w:spacing w:val="-55"/>
          <w:position w:val="17"/>
          <w:sz w:val="24"/>
          <w:szCs w:val="24"/>
        </w:rPr>
        <w:t xml:space="preserve"> </w:t>
      </w:r>
      <w:r>
        <w:rPr>
          <w:rFonts w:ascii="Times New Roman" w:hAnsi="Times New Roman" w:eastAsia="Times New Roman" w:cs="Times New Roman"/>
          <w:spacing w:val="-6"/>
          <w:position w:val="17"/>
          <w:sz w:val="24"/>
          <w:szCs w:val="24"/>
        </w:rPr>
        <w:t xml:space="preserve">2020 </w:t>
      </w:r>
      <w:r>
        <w:rPr>
          <w:rFonts w:ascii="宋体" w:hAnsi="宋体" w:eastAsia="宋体" w:cs="宋体"/>
          <w:spacing w:val="-6"/>
          <w:position w:val="17"/>
          <w:sz w:val="24"/>
          <w:szCs w:val="24"/>
        </w:rPr>
        <w:t>年，规划目标年为</w:t>
      </w:r>
      <w:r>
        <w:rPr>
          <w:rFonts w:ascii="宋体" w:hAnsi="宋体" w:eastAsia="宋体" w:cs="宋体"/>
          <w:spacing w:val="-54"/>
          <w:position w:val="17"/>
          <w:sz w:val="24"/>
          <w:szCs w:val="24"/>
        </w:rPr>
        <w:t xml:space="preserve"> </w:t>
      </w:r>
      <w:r>
        <w:rPr>
          <w:rFonts w:ascii="Times New Roman" w:hAnsi="Times New Roman" w:eastAsia="Times New Roman" w:cs="Times New Roman"/>
          <w:spacing w:val="-6"/>
          <w:position w:val="17"/>
          <w:sz w:val="24"/>
          <w:szCs w:val="24"/>
        </w:rPr>
        <w:t xml:space="preserve">2035 </w:t>
      </w:r>
      <w:r>
        <w:rPr>
          <w:rFonts w:ascii="宋体" w:hAnsi="宋体" w:eastAsia="宋体" w:cs="宋体"/>
          <w:spacing w:val="-6"/>
          <w:position w:val="17"/>
          <w:sz w:val="24"/>
          <w:szCs w:val="24"/>
        </w:rPr>
        <w:t>年，</w:t>
      </w:r>
    </w:p>
    <w:p>
      <w:pPr>
        <w:spacing w:line="219" w:lineRule="auto"/>
        <w:ind w:left="37"/>
        <w:rPr>
          <w:rFonts w:ascii="宋体" w:hAnsi="宋体" w:eastAsia="宋体" w:cs="宋体"/>
          <w:sz w:val="24"/>
          <w:szCs w:val="24"/>
        </w:rPr>
      </w:pPr>
      <w:r>
        <w:rPr>
          <w:rFonts w:ascii="宋体" w:hAnsi="宋体" w:eastAsia="宋体" w:cs="宋体"/>
          <w:spacing w:val="-1"/>
          <w:sz w:val="24"/>
          <w:szCs w:val="24"/>
        </w:rPr>
        <w:t>近期为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2021-2025 </w:t>
      </w:r>
      <w:r>
        <w:rPr>
          <w:rFonts w:ascii="宋体" w:hAnsi="宋体" w:eastAsia="宋体" w:cs="宋体"/>
          <w:spacing w:val="-1"/>
          <w:sz w:val="24"/>
          <w:szCs w:val="24"/>
        </w:rPr>
        <w:t>年，中远期为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2026-3035 </w:t>
      </w:r>
      <w:r>
        <w:rPr>
          <w:rFonts w:ascii="宋体" w:hAnsi="宋体" w:eastAsia="宋体" w:cs="宋体"/>
          <w:spacing w:val="-1"/>
          <w:sz w:val="24"/>
          <w:szCs w:val="24"/>
        </w:rPr>
        <w:t>年，远景展望期至</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2050 </w:t>
      </w:r>
      <w:r>
        <w:rPr>
          <w:rFonts w:ascii="宋体" w:hAnsi="宋体" w:eastAsia="宋体" w:cs="宋体"/>
          <w:spacing w:val="-1"/>
          <w:sz w:val="24"/>
          <w:szCs w:val="24"/>
        </w:rPr>
        <w:t>年。</w:t>
      </w:r>
    </w:p>
    <w:p>
      <w:pPr>
        <w:spacing w:before="179"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）国土空间格局</w:t>
      </w:r>
    </w:p>
    <w:p>
      <w:pPr>
        <w:spacing w:before="183" w:line="465" w:lineRule="exact"/>
        <w:ind w:left="520"/>
        <w:rPr>
          <w:rFonts w:ascii="宋体" w:hAnsi="宋体" w:eastAsia="宋体" w:cs="宋体"/>
          <w:sz w:val="24"/>
          <w:szCs w:val="24"/>
        </w:rPr>
      </w:pPr>
      <w:r>
        <w:rPr>
          <w:rFonts w:ascii="宋体" w:hAnsi="宋体" w:eastAsia="宋体" w:cs="宋体"/>
          <w:spacing w:val="-10"/>
          <w:position w:val="17"/>
          <w:sz w:val="24"/>
          <w:szCs w:val="24"/>
        </w:rPr>
        <w:t>文成根据特有的山水生态格局、地形地貌特征、城镇发展战略， 整体构建</w:t>
      </w:r>
      <w:r>
        <w:rPr>
          <w:rFonts w:ascii="Times New Roman" w:hAnsi="Times New Roman" w:eastAsia="Times New Roman" w:cs="Times New Roman"/>
          <w:spacing w:val="-10"/>
          <w:position w:val="17"/>
          <w:sz w:val="24"/>
          <w:szCs w:val="24"/>
        </w:rPr>
        <w:t>“</w:t>
      </w:r>
      <w:r>
        <w:rPr>
          <w:rFonts w:ascii="宋体" w:hAnsi="宋体" w:eastAsia="宋体" w:cs="宋体"/>
          <w:spacing w:val="-10"/>
          <w:position w:val="17"/>
          <w:sz w:val="24"/>
          <w:szCs w:val="24"/>
        </w:rPr>
        <w:t>双</w:t>
      </w:r>
    </w:p>
    <w:p>
      <w:pPr>
        <w:spacing w:before="1" w:line="219" w:lineRule="auto"/>
        <w:ind w:left="40"/>
        <w:rPr>
          <w:rFonts w:ascii="宋体" w:hAnsi="宋体" w:eastAsia="宋体" w:cs="宋体"/>
          <w:sz w:val="24"/>
          <w:szCs w:val="24"/>
        </w:rPr>
      </w:pPr>
      <w:r>
        <w:rPr>
          <w:rFonts w:ascii="宋体" w:hAnsi="宋体" w:eastAsia="宋体" w:cs="宋体"/>
          <w:spacing w:val="-11"/>
          <w:sz w:val="24"/>
          <w:szCs w:val="24"/>
        </w:rPr>
        <w:t>屏八脉、三城三环、</w:t>
      </w:r>
      <w:r>
        <w:rPr>
          <w:rFonts w:ascii="宋体" w:hAnsi="宋体" w:eastAsia="宋体" w:cs="宋体"/>
          <w:spacing w:val="54"/>
          <w:sz w:val="24"/>
          <w:szCs w:val="24"/>
        </w:rPr>
        <w:t xml:space="preserve"> </w:t>
      </w:r>
      <w:r>
        <w:rPr>
          <w:rFonts w:ascii="宋体" w:hAnsi="宋体" w:eastAsia="宋体" w:cs="宋体"/>
          <w:spacing w:val="-11"/>
          <w:sz w:val="24"/>
          <w:szCs w:val="24"/>
        </w:rPr>
        <w:t>一副多极</w:t>
      </w:r>
      <w:r>
        <w:rPr>
          <w:rFonts w:ascii="Times New Roman" w:hAnsi="Times New Roman" w:eastAsia="Times New Roman" w:cs="Times New Roman"/>
          <w:spacing w:val="-11"/>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11"/>
          <w:sz w:val="24"/>
          <w:szCs w:val="24"/>
        </w:rPr>
        <w:t>的国土空间格局。</w:t>
      </w:r>
    </w:p>
    <w:p>
      <w:pPr>
        <w:spacing w:before="182" w:line="359" w:lineRule="auto"/>
        <w:ind w:left="41" w:right="2" w:firstLine="477"/>
        <w:rPr>
          <w:rFonts w:ascii="宋体" w:hAnsi="宋体" w:eastAsia="宋体" w:cs="宋体"/>
          <w:sz w:val="24"/>
          <w:szCs w:val="24"/>
        </w:rPr>
      </w:pPr>
      <w:r>
        <w:rPr>
          <w:rFonts w:ascii="宋体" w:hAnsi="宋体" w:eastAsia="宋体" w:cs="宋体"/>
          <w:spacing w:val="-18"/>
          <w:sz w:val="24"/>
          <w:szCs w:val="24"/>
        </w:rPr>
        <w:t>双屏八脉：</w:t>
      </w:r>
      <w:r>
        <w:rPr>
          <w:rFonts w:ascii="宋体" w:hAnsi="宋体" w:eastAsia="宋体" w:cs="宋体"/>
          <w:spacing w:val="40"/>
          <w:sz w:val="24"/>
          <w:szCs w:val="24"/>
        </w:rPr>
        <w:t xml:space="preserve"> </w:t>
      </w:r>
      <w:r>
        <w:rPr>
          <w:rFonts w:ascii="宋体" w:hAnsi="宋体" w:eastAsia="宋体" w:cs="宋体"/>
          <w:spacing w:val="-18"/>
          <w:sz w:val="24"/>
          <w:szCs w:val="24"/>
        </w:rPr>
        <w:t>由西北、东南两大山脉生态屏障构成，</w:t>
      </w:r>
      <w:r>
        <w:rPr>
          <w:rFonts w:ascii="宋体" w:hAnsi="宋体" w:eastAsia="宋体" w:cs="宋体"/>
          <w:spacing w:val="45"/>
          <w:sz w:val="24"/>
          <w:szCs w:val="24"/>
        </w:rPr>
        <w:t xml:space="preserve"> </w:t>
      </w:r>
      <w:r>
        <w:rPr>
          <w:rFonts w:ascii="宋体" w:hAnsi="宋体" w:eastAsia="宋体" w:cs="宋体"/>
          <w:spacing w:val="-18"/>
          <w:sz w:val="24"/>
          <w:szCs w:val="24"/>
        </w:rPr>
        <w:t>西北为洞宫山脉分支，</w:t>
      </w:r>
      <w:r>
        <w:rPr>
          <w:rFonts w:ascii="宋体" w:hAnsi="宋体" w:eastAsia="宋体" w:cs="宋体"/>
          <w:spacing w:val="47"/>
          <w:sz w:val="24"/>
          <w:szCs w:val="24"/>
        </w:rPr>
        <w:t xml:space="preserve"> </w:t>
      </w:r>
      <w:r>
        <w:rPr>
          <w:rFonts w:ascii="宋体" w:hAnsi="宋体" w:eastAsia="宋体" w:cs="宋体"/>
          <w:spacing w:val="-18"/>
          <w:sz w:val="24"/>
          <w:szCs w:val="24"/>
        </w:rPr>
        <w:t xml:space="preserve">东 </w:t>
      </w:r>
      <w:r>
        <w:rPr>
          <w:rFonts w:ascii="宋体" w:hAnsi="宋体" w:eastAsia="宋体" w:cs="宋体"/>
          <w:spacing w:val="-12"/>
          <w:sz w:val="24"/>
          <w:szCs w:val="24"/>
        </w:rPr>
        <w:t>南为南雁荡山脉分支；</w:t>
      </w:r>
      <w:r>
        <w:rPr>
          <w:rFonts w:ascii="宋体" w:hAnsi="宋体" w:eastAsia="宋体" w:cs="宋体"/>
          <w:spacing w:val="63"/>
          <w:sz w:val="24"/>
          <w:szCs w:val="24"/>
        </w:rPr>
        <w:t xml:space="preserve"> </w:t>
      </w:r>
      <w:r>
        <w:rPr>
          <w:rFonts w:ascii="宋体" w:hAnsi="宋体" w:eastAsia="宋体" w:cs="宋体"/>
          <w:spacing w:val="-12"/>
          <w:sz w:val="24"/>
          <w:szCs w:val="24"/>
        </w:rPr>
        <w:t>由飞云江、峃口溪、梧溪、</w:t>
      </w:r>
      <w:r>
        <w:rPr>
          <w:rFonts w:ascii="宋体" w:hAnsi="宋体" w:eastAsia="宋体" w:cs="宋体"/>
          <w:spacing w:val="-13"/>
          <w:sz w:val="24"/>
          <w:szCs w:val="24"/>
        </w:rPr>
        <w:t>黄坦坑、泗溪、林坑、玉泉溪、</w:t>
      </w:r>
      <w:r>
        <w:rPr>
          <w:rFonts w:ascii="宋体" w:hAnsi="宋体" w:eastAsia="宋体" w:cs="宋体"/>
          <w:sz w:val="24"/>
          <w:szCs w:val="24"/>
        </w:rPr>
        <w:t xml:space="preserve"> </w:t>
      </w:r>
      <w:r>
        <w:rPr>
          <w:rFonts w:ascii="宋体" w:hAnsi="宋体" w:eastAsia="宋体" w:cs="宋体"/>
          <w:spacing w:val="-6"/>
          <w:sz w:val="24"/>
          <w:szCs w:val="24"/>
        </w:rPr>
        <w:t>东溪等八条主要水系构成的水网骨架， 并与河谷</w:t>
      </w:r>
      <w:r>
        <w:rPr>
          <w:rFonts w:ascii="宋体" w:hAnsi="宋体" w:eastAsia="宋体" w:cs="宋体"/>
          <w:spacing w:val="-7"/>
          <w:sz w:val="24"/>
          <w:szCs w:val="24"/>
        </w:rPr>
        <w:t>盆地、高山台地共同构成优越的</w:t>
      </w:r>
    </w:p>
    <w:p>
      <w:pPr>
        <w:spacing w:before="1" w:line="219" w:lineRule="auto"/>
        <w:ind w:left="59"/>
        <w:rPr>
          <w:rFonts w:ascii="宋体" w:hAnsi="宋体" w:eastAsia="宋体" w:cs="宋体"/>
          <w:sz w:val="24"/>
          <w:szCs w:val="24"/>
        </w:rPr>
      </w:pPr>
      <w:r>
        <w:rPr>
          <w:rFonts w:ascii="宋体" w:hAnsi="宋体" w:eastAsia="宋体" w:cs="宋体"/>
          <w:spacing w:val="-10"/>
          <w:sz w:val="24"/>
          <w:szCs w:val="24"/>
        </w:rPr>
        <w:t>山水城格局。</w:t>
      </w:r>
    </w:p>
    <w:p>
      <w:pPr>
        <w:spacing w:before="182" w:line="359" w:lineRule="auto"/>
        <w:ind w:left="38" w:right="55" w:firstLine="479"/>
        <w:rPr>
          <w:rFonts w:ascii="宋体" w:hAnsi="宋体" w:eastAsia="宋体" w:cs="宋体"/>
          <w:sz w:val="24"/>
          <w:szCs w:val="24"/>
        </w:rPr>
      </w:pPr>
      <w:r>
        <w:rPr>
          <w:rFonts w:ascii="宋体" w:hAnsi="宋体" w:eastAsia="宋体" w:cs="宋体"/>
          <w:spacing w:val="-7"/>
          <w:sz w:val="24"/>
          <w:szCs w:val="24"/>
        </w:rPr>
        <w:t>三城三环： 规划构建一个三城一体的发展模式及三环链接的交通格局。三城</w:t>
      </w:r>
      <w:r>
        <w:rPr>
          <w:rFonts w:ascii="宋体" w:hAnsi="宋体" w:eastAsia="宋体" w:cs="宋体"/>
          <w:spacing w:val="11"/>
          <w:sz w:val="24"/>
          <w:szCs w:val="24"/>
        </w:rPr>
        <w:t xml:space="preserve"> </w:t>
      </w:r>
      <w:r>
        <w:rPr>
          <w:rFonts w:ascii="宋体" w:hAnsi="宋体" w:eastAsia="宋体" w:cs="宋体"/>
          <w:spacing w:val="-2"/>
          <w:sz w:val="24"/>
          <w:szCs w:val="24"/>
        </w:rPr>
        <w:t xml:space="preserve">为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中心城区</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5"/>
          <w:sz w:val="24"/>
          <w:szCs w:val="24"/>
        </w:rPr>
        <w:t xml:space="preserve"> </w:t>
      </w:r>
      <w:r>
        <w:rPr>
          <w:rFonts w:ascii="宋体" w:hAnsi="宋体" w:eastAsia="宋体" w:cs="宋体"/>
          <w:spacing w:val="-2"/>
          <w:sz w:val="24"/>
          <w:szCs w:val="24"/>
        </w:rPr>
        <w:t>百丈漈旅游度假区</w:t>
      </w:r>
      <w:r>
        <w:rPr>
          <w:rFonts w:ascii="Times New Roman" w:hAnsi="Times New Roman" w:eastAsia="Times New Roman" w:cs="Times New Roman"/>
          <w:spacing w:val="-2"/>
          <w:sz w:val="24"/>
          <w:szCs w:val="24"/>
        </w:rPr>
        <w:t>—</w:t>
      </w:r>
      <w:r>
        <w:rPr>
          <w:rFonts w:ascii="宋体" w:hAnsi="宋体" w:eastAsia="宋体" w:cs="宋体"/>
          <w:spacing w:val="-2"/>
          <w:sz w:val="24"/>
          <w:szCs w:val="24"/>
        </w:rPr>
        <w:t>黄坦产业</w:t>
      </w:r>
      <w:r>
        <w:rPr>
          <w:rFonts w:ascii="宋体" w:hAnsi="宋体" w:eastAsia="宋体" w:cs="宋体"/>
          <w:spacing w:val="-3"/>
          <w:sz w:val="24"/>
          <w:szCs w:val="24"/>
        </w:rPr>
        <w:t>智造城</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构成的一体化发展模式。</w:t>
      </w:r>
      <w:r>
        <w:rPr>
          <w:rFonts w:ascii="宋体" w:hAnsi="宋体" w:eastAsia="宋体" w:cs="宋体"/>
          <w:sz w:val="24"/>
          <w:szCs w:val="24"/>
        </w:rPr>
        <w:t xml:space="preserve"> </w:t>
      </w:r>
      <w:r>
        <w:rPr>
          <w:rFonts w:ascii="宋体" w:hAnsi="宋体" w:eastAsia="宋体" w:cs="宋体"/>
          <w:spacing w:val="-7"/>
          <w:sz w:val="24"/>
          <w:szCs w:val="24"/>
        </w:rPr>
        <w:t>三环分别为快速环实现组合城市人流、物流、信息流高</w:t>
      </w:r>
      <w:r>
        <w:rPr>
          <w:rFonts w:ascii="宋体" w:hAnsi="宋体" w:eastAsia="宋体" w:cs="宋体"/>
          <w:spacing w:val="-8"/>
          <w:sz w:val="24"/>
          <w:szCs w:val="24"/>
        </w:rPr>
        <w:t>效交换，</w:t>
      </w:r>
      <w:r>
        <w:rPr>
          <w:rFonts w:ascii="宋体" w:hAnsi="宋体" w:eastAsia="宋体" w:cs="宋体"/>
          <w:spacing w:val="33"/>
          <w:sz w:val="24"/>
          <w:szCs w:val="24"/>
        </w:rPr>
        <w:t xml:space="preserve"> </w:t>
      </w:r>
      <w:r>
        <w:rPr>
          <w:rFonts w:ascii="宋体" w:hAnsi="宋体" w:eastAsia="宋体" w:cs="宋体"/>
          <w:spacing w:val="-8"/>
          <w:sz w:val="24"/>
          <w:szCs w:val="24"/>
        </w:rPr>
        <w:t>提升城市主中心</w:t>
      </w:r>
    </w:p>
    <w:p>
      <w:pPr>
        <w:spacing w:line="219" w:lineRule="auto"/>
        <w:ind w:left="38"/>
        <w:rPr>
          <w:rFonts w:ascii="宋体" w:hAnsi="宋体" w:eastAsia="宋体" w:cs="宋体"/>
          <w:sz w:val="24"/>
          <w:szCs w:val="24"/>
        </w:rPr>
      </w:pPr>
      <w:r>
        <w:rPr>
          <w:rFonts w:ascii="宋体" w:hAnsi="宋体" w:eastAsia="宋体" w:cs="宋体"/>
          <w:spacing w:val="-2"/>
          <w:sz w:val="24"/>
          <w:szCs w:val="24"/>
        </w:rPr>
        <w:t>集聚辐射能力；省道环快速连接南田、西坑、黄坦、珊溪</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巨屿、渡渎、峃口、</w:t>
      </w:r>
    </w:p>
    <w:p>
      <w:pPr>
        <w:spacing w:before="183" w:line="468" w:lineRule="exact"/>
        <w:ind w:left="39"/>
        <w:rPr>
          <w:rFonts w:ascii="宋体" w:hAnsi="宋体" w:eastAsia="宋体" w:cs="宋体"/>
          <w:sz w:val="24"/>
          <w:szCs w:val="24"/>
        </w:rPr>
      </w:pPr>
      <w:r>
        <w:rPr>
          <w:rFonts w:ascii="宋体" w:hAnsi="宋体" w:eastAsia="宋体" w:cs="宋体"/>
          <w:spacing w:val="-12"/>
          <w:position w:val="17"/>
          <w:sz w:val="24"/>
          <w:szCs w:val="24"/>
        </w:rPr>
        <w:t>玉壶</w:t>
      </w:r>
      <w:r>
        <w:rPr>
          <w:rFonts w:ascii="Times New Roman" w:hAnsi="Times New Roman" w:eastAsia="Times New Roman" w:cs="Times New Roman"/>
          <w:spacing w:val="-12"/>
          <w:position w:val="17"/>
          <w:sz w:val="24"/>
          <w:szCs w:val="24"/>
        </w:rPr>
        <w:t>-</w:t>
      </w:r>
      <w:r>
        <w:rPr>
          <w:rFonts w:ascii="宋体" w:hAnsi="宋体" w:eastAsia="宋体" w:cs="宋体"/>
          <w:spacing w:val="-12"/>
          <w:position w:val="17"/>
          <w:sz w:val="24"/>
          <w:szCs w:val="24"/>
        </w:rPr>
        <w:t>周壤、二源多个乡镇，</w:t>
      </w:r>
      <w:r>
        <w:rPr>
          <w:rFonts w:ascii="宋体" w:hAnsi="宋体" w:eastAsia="宋体" w:cs="宋体"/>
          <w:spacing w:val="69"/>
          <w:position w:val="17"/>
          <w:sz w:val="24"/>
          <w:szCs w:val="24"/>
        </w:rPr>
        <w:t xml:space="preserve"> </w:t>
      </w:r>
      <w:r>
        <w:rPr>
          <w:rFonts w:ascii="宋体" w:hAnsi="宋体" w:eastAsia="宋体" w:cs="宋体"/>
          <w:spacing w:val="-12"/>
          <w:position w:val="17"/>
          <w:sz w:val="24"/>
          <w:szCs w:val="24"/>
        </w:rPr>
        <w:t>实现城镇活力互动发展；</w:t>
      </w:r>
      <w:r>
        <w:rPr>
          <w:rFonts w:ascii="宋体" w:hAnsi="宋体" w:eastAsia="宋体" w:cs="宋体"/>
          <w:spacing w:val="25"/>
          <w:position w:val="17"/>
          <w:sz w:val="24"/>
          <w:szCs w:val="24"/>
        </w:rPr>
        <w:t xml:space="preserve">  </w:t>
      </w:r>
      <w:r>
        <w:rPr>
          <w:rFonts w:ascii="宋体" w:hAnsi="宋体" w:eastAsia="宋体" w:cs="宋体"/>
          <w:spacing w:val="-12"/>
          <w:position w:val="17"/>
          <w:sz w:val="24"/>
          <w:szCs w:val="24"/>
        </w:rPr>
        <w:t>通景环集聚串联特色文旅</w:t>
      </w:r>
    </w:p>
    <w:p>
      <w:pPr>
        <w:spacing w:before="1" w:line="219" w:lineRule="auto"/>
        <w:jc w:val="right"/>
        <w:rPr>
          <w:rFonts w:ascii="宋体" w:hAnsi="宋体" w:eastAsia="宋体" w:cs="宋体"/>
          <w:sz w:val="24"/>
          <w:szCs w:val="24"/>
        </w:rPr>
      </w:pPr>
      <w:r>
        <w:rPr>
          <w:rFonts w:ascii="宋体" w:hAnsi="宋体" w:eastAsia="宋体" w:cs="宋体"/>
          <w:spacing w:val="-9"/>
          <w:sz w:val="24"/>
          <w:szCs w:val="24"/>
        </w:rPr>
        <w:t>资源， 实现魅力景群联动发展模式。  构建</w:t>
      </w:r>
      <w:r>
        <w:rPr>
          <w:rFonts w:ascii="Times New Roman" w:hAnsi="Times New Roman" w:eastAsia="Times New Roman" w:cs="Times New Roman"/>
          <w:spacing w:val="-9"/>
          <w:sz w:val="24"/>
          <w:szCs w:val="24"/>
        </w:rPr>
        <w:t>“</w:t>
      </w:r>
      <w:r>
        <w:rPr>
          <w:rFonts w:ascii="宋体" w:hAnsi="宋体" w:eastAsia="宋体" w:cs="宋体"/>
          <w:spacing w:val="-9"/>
          <w:sz w:val="24"/>
          <w:szCs w:val="24"/>
        </w:rPr>
        <w:t>三城一体</w:t>
      </w:r>
      <w:r>
        <w:rPr>
          <w:rFonts w:ascii="Times New Roman" w:hAnsi="Times New Roman" w:eastAsia="Times New Roman" w:cs="Times New Roman"/>
          <w:spacing w:val="-9"/>
          <w:sz w:val="24"/>
          <w:szCs w:val="24"/>
        </w:rPr>
        <w:t>”</w:t>
      </w:r>
      <w:r>
        <w:rPr>
          <w:rFonts w:ascii="宋体" w:hAnsi="宋体" w:eastAsia="宋体" w:cs="宋体"/>
          <w:spacing w:val="-9"/>
          <w:sz w:val="24"/>
          <w:szCs w:val="24"/>
        </w:rPr>
        <w:t>和</w:t>
      </w:r>
      <w:r>
        <w:rPr>
          <w:rFonts w:ascii="Times New Roman" w:hAnsi="Times New Roman" w:eastAsia="Times New Roman" w:cs="Times New Roman"/>
          <w:spacing w:val="-9"/>
          <w:sz w:val="24"/>
          <w:szCs w:val="24"/>
        </w:rPr>
        <w:t>“</w:t>
      </w:r>
      <w:r>
        <w:rPr>
          <w:rFonts w:ascii="宋体" w:hAnsi="宋体" w:eastAsia="宋体" w:cs="宋体"/>
          <w:spacing w:val="-9"/>
          <w:sz w:val="24"/>
          <w:szCs w:val="24"/>
        </w:rPr>
        <w:t>三环衔接</w:t>
      </w:r>
      <w:r>
        <w:rPr>
          <w:rFonts w:ascii="Times New Roman" w:hAnsi="Times New Roman" w:eastAsia="Times New Roman" w:cs="Times New Roman"/>
          <w:spacing w:val="-9"/>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9"/>
          <w:sz w:val="24"/>
          <w:szCs w:val="24"/>
        </w:rPr>
        <w:t>的</w:t>
      </w:r>
      <w:r>
        <w:rPr>
          <w:rFonts w:ascii="宋体" w:hAnsi="宋体" w:eastAsia="宋体" w:cs="宋体"/>
          <w:spacing w:val="-10"/>
          <w:sz w:val="24"/>
          <w:szCs w:val="24"/>
        </w:rPr>
        <w:t>发展格局。</w:t>
      </w:r>
    </w:p>
    <w:p>
      <w:pPr>
        <w:spacing w:before="180" w:line="220" w:lineRule="auto"/>
        <w:ind w:left="521"/>
        <w:rPr>
          <w:rFonts w:ascii="宋体" w:hAnsi="宋体" w:eastAsia="宋体" w:cs="宋体"/>
          <w:sz w:val="24"/>
          <w:szCs w:val="24"/>
        </w:rPr>
      </w:pPr>
      <w:r>
        <w:rPr>
          <w:rFonts w:ascii="宋体" w:hAnsi="宋体" w:eastAsia="宋体" w:cs="宋体"/>
          <w:spacing w:val="-1"/>
          <w:sz w:val="24"/>
          <w:szCs w:val="24"/>
        </w:rPr>
        <w:t>一副多极：指珊溪、巨屿一体化组成的县域城镇副中心，以及玉壶</w:t>
      </w:r>
      <w:r>
        <w:rPr>
          <w:rFonts w:ascii="Times New Roman" w:hAnsi="Times New Roman" w:eastAsia="Times New Roman" w:cs="Times New Roman"/>
          <w:spacing w:val="-1"/>
          <w:sz w:val="24"/>
          <w:szCs w:val="24"/>
        </w:rPr>
        <w:t>-</w:t>
      </w:r>
      <w:r>
        <w:rPr>
          <w:rFonts w:ascii="宋体" w:hAnsi="宋体" w:eastAsia="宋体" w:cs="宋体"/>
          <w:spacing w:val="-1"/>
          <w:sz w:val="24"/>
          <w:szCs w:val="24"/>
        </w:rPr>
        <w:t>周壤、</w:t>
      </w:r>
    </w:p>
    <w:p>
      <w:pPr>
        <w:spacing w:before="182" w:line="466" w:lineRule="exact"/>
        <w:ind w:left="41"/>
        <w:rPr>
          <w:rFonts w:ascii="宋体" w:hAnsi="宋体" w:eastAsia="宋体" w:cs="宋体"/>
          <w:sz w:val="24"/>
          <w:szCs w:val="24"/>
        </w:rPr>
      </w:pPr>
      <w:r>
        <w:rPr>
          <w:rFonts w:ascii="宋体" w:hAnsi="宋体" w:eastAsia="宋体" w:cs="宋体"/>
          <w:spacing w:val="-6"/>
          <w:position w:val="17"/>
          <w:sz w:val="24"/>
          <w:szCs w:val="24"/>
        </w:rPr>
        <w:t>南田</w:t>
      </w:r>
      <w:r>
        <w:rPr>
          <w:rFonts w:ascii="Times New Roman" w:hAnsi="Times New Roman" w:eastAsia="Times New Roman" w:cs="Times New Roman"/>
          <w:spacing w:val="-6"/>
          <w:position w:val="17"/>
          <w:sz w:val="24"/>
          <w:szCs w:val="24"/>
        </w:rPr>
        <w:t>-</w:t>
      </w:r>
      <w:r>
        <w:rPr>
          <w:rFonts w:ascii="宋体" w:hAnsi="宋体" w:eastAsia="宋体" w:cs="宋体"/>
          <w:spacing w:val="-6"/>
          <w:position w:val="17"/>
          <w:sz w:val="24"/>
          <w:szCs w:val="24"/>
        </w:rPr>
        <w:t>二源、西坑</w:t>
      </w:r>
      <w:r>
        <w:rPr>
          <w:rFonts w:ascii="Times New Roman" w:hAnsi="Times New Roman" w:eastAsia="Times New Roman" w:cs="Times New Roman"/>
          <w:spacing w:val="-6"/>
          <w:position w:val="17"/>
          <w:sz w:val="24"/>
          <w:szCs w:val="24"/>
        </w:rPr>
        <w:t>-</w:t>
      </w:r>
      <w:r>
        <w:rPr>
          <w:rFonts w:ascii="宋体" w:hAnsi="宋体" w:eastAsia="宋体" w:cs="宋体"/>
          <w:spacing w:val="-6"/>
          <w:position w:val="17"/>
          <w:sz w:val="24"/>
          <w:szCs w:val="24"/>
        </w:rPr>
        <w:t>铜铃山多个发展极发挥各自片区资源禀赋优势，</w:t>
      </w:r>
      <w:r>
        <w:rPr>
          <w:rFonts w:ascii="宋体" w:hAnsi="宋体" w:eastAsia="宋体" w:cs="宋体"/>
          <w:spacing w:val="71"/>
          <w:position w:val="17"/>
          <w:sz w:val="24"/>
          <w:szCs w:val="24"/>
        </w:rPr>
        <w:t xml:space="preserve"> </w:t>
      </w:r>
      <w:r>
        <w:rPr>
          <w:rFonts w:ascii="宋体" w:hAnsi="宋体" w:eastAsia="宋体" w:cs="宋体"/>
          <w:spacing w:val="-6"/>
          <w:position w:val="17"/>
          <w:sz w:val="24"/>
          <w:szCs w:val="24"/>
        </w:rPr>
        <w:t>构建山区城镇</w:t>
      </w:r>
    </w:p>
    <w:p>
      <w:pPr>
        <w:spacing w:line="219" w:lineRule="auto"/>
        <w:ind w:left="41"/>
        <w:rPr>
          <w:rFonts w:ascii="宋体" w:hAnsi="宋体" w:eastAsia="宋体" w:cs="宋体"/>
          <w:sz w:val="24"/>
          <w:szCs w:val="24"/>
        </w:rPr>
      </w:pPr>
      <w:r>
        <w:rPr>
          <w:rFonts w:ascii="宋体" w:hAnsi="宋体" w:eastAsia="宋体" w:cs="宋体"/>
          <w:spacing w:val="-6"/>
          <w:sz w:val="24"/>
          <w:szCs w:val="24"/>
        </w:rPr>
        <w:t>组团发展新格局。</w:t>
      </w:r>
    </w:p>
    <w:p>
      <w:pPr>
        <w:spacing w:before="183"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）综合交通体系</w:t>
      </w:r>
    </w:p>
    <w:p>
      <w:pPr>
        <w:spacing w:before="180" w:line="220" w:lineRule="auto"/>
        <w:ind w:left="536"/>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）发展目标</w:t>
      </w:r>
    </w:p>
    <w:p>
      <w:pPr>
        <w:spacing w:before="183" w:line="359" w:lineRule="auto"/>
        <w:ind w:left="37" w:right="3" w:firstLine="482"/>
        <w:rPr>
          <w:rFonts w:ascii="宋体" w:hAnsi="宋体" w:eastAsia="宋体" w:cs="宋体"/>
          <w:sz w:val="24"/>
          <w:szCs w:val="24"/>
        </w:rPr>
      </w:pPr>
      <w:r>
        <w:rPr>
          <w:rFonts w:ascii="宋体" w:hAnsi="宋体" w:eastAsia="宋体" w:cs="宋体"/>
          <w:spacing w:val="-10"/>
          <w:sz w:val="24"/>
          <w:szCs w:val="24"/>
        </w:rPr>
        <w:t>文成县地处浙西南地区， 是长三角地区和粤闽浙沿海城市群的交叉地带，</w:t>
      </w:r>
      <w:r>
        <w:rPr>
          <w:rFonts w:ascii="宋体" w:hAnsi="宋体" w:eastAsia="宋体" w:cs="宋体"/>
          <w:spacing w:val="-11"/>
          <w:sz w:val="24"/>
          <w:szCs w:val="24"/>
        </w:rPr>
        <w:t xml:space="preserve"> 受 </w:t>
      </w:r>
      <w:r>
        <w:rPr>
          <w:rFonts w:ascii="宋体" w:hAnsi="宋体" w:eastAsia="宋体" w:cs="宋体"/>
          <w:spacing w:val="-7"/>
          <w:sz w:val="24"/>
          <w:szCs w:val="24"/>
        </w:rPr>
        <w:t xml:space="preserve">到区域内各核心区的辐射带动， 在区域通道衔接上具有重要的战略区位优势。政 </w:t>
      </w:r>
      <w:r>
        <w:rPr>
          <w:rFonts w:ascii="宋体" w:hAnsi="宋体" w:eastAsia="宋体" w:cs="宋体"/>
          <w:spacing w:val="-3"/>
          <w:sz w:val="24"/>
          <w:szCs w:val="24"/>
        </w:rPr>
        <w:t>策上享受一带一路、长江经济带和长三角区域一体化</w:t>
      </w:r>
      <w:r>
        <w:rPr>
          <w:rFonts w:ascii="宋体" w:hAnsi="宋体" w:eastAsia="宋体" w:cs="宋体"/>
          <w:spacing w:val="-4"/>
          <w:sz w:val="24"/>
          <w:szCs w:val="24"/>
        </w:rPr>
        <w:t xml:space="preserve">战略三大国家战略和粤闽浙 </w:t>
      </w:r>
      <w:r>
        <w:rPr>
          <w:rFonts w:ascii="宋体" w:hAnsi="宋体" w:eastAsia="宋体" w:cs="宋体"/>
          <w:spacing w:val="-12"/>
          <w:sz w:val="24"/>
          <w:szCs w:val="24"/>
        </w:rPr>
        <w:t>沿海城市群的叠加优势，</w:t>
      </w:r>
      <w:r>
        <w:rPr>
          <w:rFonts w:ascii="宋体" w:hAnsi="宋体" w:eastAsia="宋体" w:cs="宋体"/>
          <w:spacing w:val="-25"/>
          <w:sz w:val="24"/>
          <w:szCs w:val="24"/>
        </w:rPr>
        <w:t xml:space="preserve"> </w:t>
      </w:r>
      <w:r>
        <w:rPr>
          <w:rFonts w:ascii="宋体" w:hAnsi="宋体" w:eastAsia="宋体" w:cs="宋体"/>
          <w:spacing w:val="-12"/>
          <w:sz w:val="24"/>
          <w:szCs w:val="24"/>
        </w:rPr>
        <w:t>尤其是在长三角区域一体化上升为国家战略之后，</w:t>
      </w:r>
      <w:r>
        <w:rPr>
          <w:rFonts w:ascii="宋体" w:hAnsi="宋体" w:eastAsia="宋体" w:cs="宋体"/>
          <w:spacing w:val="-44"/>
          <w:sz w:val="24"/>
          <w:szCs w:val="24"/>
        </w:rPr>
        <w:t xml:space="preserve"> </w:t>
      </w:r>
      <w:r>
        <w:rPr>
          <w:rFonts w:ascii="宋体" w:hAnsi="宋体" w:eastAsia="宋体" w:cs="宋体"/>
          <w:spacing w:val="-12"/>
          <w:sz w:val="24"/>
          <w:szCs w:val="24"/>
        </w:rPr>
        <w:t>上海、</w:t>
      </w:r>
      <w:r>
        <w:rPr>
          <w:rFonts w:ascii="宋体" w:hAnsi="宋体" w:eastAsia="宋体" w:cs="宋体"/>
          <w:sz w:val="24"/>
          <w:szCs w:val="24"/>
        </w:rPr>
        <w:t xml:space="preserve"> </w:t>
      </w:r>
      <w:r>
        <w:rPr>
          <w:rFonts w:ascii="宋体" w:hAnsi="宋体" w:eastAsia="宋体" w:cs="宋体"/>
          <w:spacing w:val="-8"/>
          <w:sz w:val="24"/>
          <w:szCs w:val="24"/>
        </w:rPr>
        <w:t>浙江、江苏、安徽三省一市协同发展，</w:t>
      </w:r>
      <w:r>
        <w:rPr>
          <w:rFonts w:ascii="宋体" w:hAnsi="宋体" w:eastAsia="宋体" w:cs="宋体"/>
          <w:spacing w:val="47"/>
          <w:sz w:val="24"/>
          <w:szCs w:val="24"/>
        </w:rPr>
        <w:t xml:space="preserve"> </w:t>
      </w:r>
      <w:r>
        <w:rPr>
          <w:rFonts w:ascii="宋体" w:hAnsi="宋体" w:eastAsia="宋体" w:cs="宋体"/>
          <w:spacing w:val="-8"/>
          <w:sz w:val="24"/>
          <w:szCs w:val="24"/>
        </w:rPr>
        <w:t xml:space="preserve">提升文成县在浙西南、闽北、赣东的区域 </w:t>
      </w:r>
      <w:r>
        <w:rPr>
          <w:rFonts w:ascii="宋体" w:hAnsi="宋体" w:eastAsia="宋体" w:cs="宋体"/>
          <w:spacing w:val="-6"/>
          <w:sz w:val="24"/>
          <w:szCs w:val="24"/>
        </w:rPr>
        <w:t>枢纽地位， 为打造形成深度融入长三角、联接粤闽浙的重</w:t>
      </w:r>
      <w:r>
        <w:rPr>
          <w:rFonts w:ascii="宋体" w:hAnsi="宋体" w:eastAsia="宋体" w:cs="宋体"/>
          <w:spacing w:val="-7"/>
          <w:sz w:val="24"/>
          <w:szCs w:val="24"/>
        </w:rPr>
        <w:t>要枢纽节点提供千载难</w:t>
      </w:r>
    </w:p>
    <w:p>
      <w:pPr>
        <w:spacing w:before="1" w:line="218" w:lineRule="auto"/>
        <w:ind w:left="37"/>
        <w:rPr>
          <w:rFonts w:ascii="宋体" w:hAnsi="宋体" w:eastAsia="宋体" w:cs="宋体"/>
          <w:sz w:val="24"/>
          <w:szCs w:val="24"/>
        </w:rPr>
      </w:pPr>
      <w:r>
        <w:rPr>
          <w:rFonts w:ascii="宋体" w:hAnsi="宋体" w:eastAsia="宋体" w:cs="宋体"/>
          <w:spacing w:val="-6"/>
          <w:sz w:val="24"/>
          <w:szCs w:val="24"/>
        </w:rPr>
        <w:t>逢的历史机遇。</w:t>
      </w:r>
    </w:p>
    <w:p>
      <w:pPr>
        <w:spacing w:before="181" w:line="220" w:lineRule="auto"/>
        <w:ind w:left="545"/>
        <w:rPr>
          <w:rFonts w:ascii="宋体" w:hAnsi="宋体" w:eastAsia="宋体" w:cs="宋体"/>
          <w:sz w:val="24"/>
          <w:szCs w:val="24"/>
        </w:rPr>
      </w:pPr>
      <w:r>
        <w:rPr>
          <w:rFonts w:ascii="宋体" w:hAnsi="宋体" w:eastAsia="宋体" w:cs="宋体"/>
          <w:spacing w:val="-6"/>
          <w:sz w:val="24"/>
          <w:szCs w:val="24"/>
        </w:rPr>
        <w:t>以</w:t>
      </w:r>
      <w:r>
        <w:rPr>
          <w:rFonts w:ascii="Times New Roman" w:hAnsi="Times New Roman" w:eastAsia="Times New Roman" w:cs="Times New Roman"/>
          <w:spacing w:val="-6"/>
          <w:sz w:val="24"/>
          <w:szCs w:val="24"/>
        </w:rPr>
        <w:t>“</w:t>
      </w:r>
      <w:r>
        <w:rPr>
          <w:rFonts w:ascii="宋体" w:hAnsi="宋体" w:eastAsia="宋体" w:cs="宋体"/>
          <w:spacing w:val="-6"/>
          <w:sz w:val="24"/>
          <w:szCs w:val="24"/>
        </w:rPr>
        <w:t>宜游宜居生态县</w:t>
      </w:r>
      <w:r>
        <w:rPr>
          <w:rFonts w:ascii="Times New Roman" w:hAnsi="Times New Roman" w:eastAsia="Times New Roman" w:cs="Times New Roman"/>
          <w:spacing w:val="-6"/>
          <w:sz w:val="24"/>
          <w:szCs w:val="24"/>
        </w:rPr>
        <w:t>”</w:t>
      </w:r>
      <w:r>
        <w:rPr>
          <w:rFonts w:ascii="宋体" w:hAnsi="宋体" w:eastAsia="宋体" w:cs="宋体"/>
          <w:spacing w:val="-6"/>
          <w:sz w:val="24"/>
          <w:szCs w:val="24"/>
        </w:rPr>
        <w:t>为立足点， 服务特色产</w:t>
      </w:r>
      <w:r>
        <w:rPr>
          <w:rFonts w:ascii="宋体" w:hAnsi="宋体" w:eastAsia="宋体" w:cs="宋体"/>
          <w:spacing w:val="-7"/>
          <w:sz w:val="24"/>
          <w:szCs w:val="24"/>
        </w:rPr>
        <w:t>业加速发展、惠及广大群众便捷</w:t>
      </w:r>
    </w:p>
    <w:p>
      <w:pPr>
        <w:spacing w:line="220" w:lineRule="auto"/>
        <w:rPr>
          <w:rFonts w:ascii="宋体" w:hAnsi="宋体" w:eastAsia="宋体" w:cs="宋体"/>
          <w:sz w:val="24"/>
          <w:szCs w:val="24"/>
        </w:rPr>
        <w:sectPr>
          <w:headerReference r:id="rId55" w:type="default"/>
          <w:footerReference r:id="rId56" w:type="default"/>
          <w:pgSz w:w="11907" w:h="16839"/>
          <w:pgMar w:top="1118" w:right="1712" w:bottom="1184" w:left="1771" w:header="879" w:footer="1024" w:gutter="0"/>
          <w:cols w:space="720" w:num="1"/>
        </w:sectPr>
      </w:pPr>
    </w:p>
    <w:p>
      <w:pPr>
        <w:pStyle w:val="2"/>
        <w:spacing w:line="280" w:lineRule="auto"/>
      </w:pPr>
    </w:p>
    <w:p>
      <w:pPr>
        <w:spacing w:before="78" w:line="359" w:lineRule="auto"/>
        <w:ind w:left="54" w:right="65" w:firstLine="20"/>
        <w:jc w:val="both"/>
        <w:rPr>
          <w:rFonts w:ascii="宋体" w:hAnsi="宋体" w:eastAsia="宋体" w:cs="宋体"/>
          <w:sz w:val="24"/>
          <w:szCs w:val="24"/>
        </w:rPr>
      </w:pPr>
      <w:r>
        <w:rPr>
          <w:rFonts w:ascii="宋体" w:hAnsi="宋体" w:eastAsia="宋体" w:cs="宋体"/>
          <w:spacing w:val="-10"/>
          <w:sz w:val="24"/>
          <w:szCs w:val="24"/>
        </w:rPr>
        <w:t>出行为出发点， 按照打造温州西部交通枢纽的战略要求， 推动文成由陆路交通为</w:t>
      </w:r>
      <w:r>
        <w:rPr>
          <w:rFonts w:ascii="宋体" w:hAnsi="宋体" w:eastAsia="宋体" w:cs="宋体"/>
          <w:spacing w:val="2"/>
          <w:sz w:val="24"/>
          <w:szCs w:val="24"/>
        </w:rPr>
        <w:t xml:space="preserve"> </w:t>
      </w:r>
      <w:r>
        <w:rPr>
          <w:rFonts w:ascii="宋体" w:hAnsi="宋体" w:eastAsia="宋体" w:cs="宋体"/>
          <w:spacing w:val="-5"/>
          <w:sz w:val="24"/>
          <w:szCs w:val="24"/>
        </w:rPr>
        <w:t>主，</w:t>
      </w:r>
      <w:r>
        <w:rPr>
          <w:rFonts w:ascii="宋体" w:hAnsi="宋体" w:eastAsia="宋体" w:cs="宋体"/>
          <w:spacing w:val="-47"/>
          <w:sz w:val="24"/>
          <w:szCs w:val="24"/>
        </w:rPr>
        <w:t xml:space="preserve"> </w:t>
      </w:r>
      <w:r>
        <w:rPr>
          <w:rFonts w:ascii="宋体" w:hAnsi="宋体" w:eastAsia="宋体" w:cs="宋体"/>
          <w:spacing w:val="-5"/>
          <w:sz w:val="24"/>
          <w:szCs w:val="24"/>
        </w:rPr>
        <w:t>逐步向铁路、公路、航空、水路多种交通方式互补发展、无缝对</w:t>
      </w:r>
      <w:r>
        <w:rPr>
          <w:rFonts w:ascii="宋体" w:hAnsi="宋体" w:eastAsia="宋体" w:cs="宋体"/>
          <w:spacing w:val="-6"/>
          <w:sz w:val="24"/>
          <w:szCs w:val="24"/>
        </w:rPr>
        <w:t>接的现代化</w:t>
      </w:r>
      <w:r>
        <w:rPr>
          <w:rFonts w:ascii="宋体" w:hAnsi="宋体" w:eastAsia="宋体" w:cs="宋体"/>
          <w:sz w:val="24"/>
          <w:szCs w:val="24"/>
        </w:rPr>
        <w:t xml:space="preserve"> </w:t>
      </w:r>
      <w:r>
        <w:rPr>
          <w:rFonts w:ascii="宋体" w:hAnsi="宋体" w:eastAsia="宋体" w:cs="宋体"/>
          <w:spacing w:val="-9"/>
          <w:sz w:val="24"/>
          <w:szCs w:val="24"/>
        </w:rPr>
        <w:t>立体交通时代迈进， 打造对外开放大通道、县域发展主通道、生态旅游绿通道</w:t>
      </w:r>
      <w:r>
        <w:rPr>
          <w:rFonts w:ascii="Times New Roman" w:hAnsi="Times New Roman" w:eastAsia="Times New Roman" w:cs="Times New Roman"/>
          <w:spacing w:val="-9"/>
          <w:sz w:val="24"/>
          <w:szCs w:val="24"/>
        </w:rPr>
        <w:t>“</w:t>
      </w:r>
      <w:r>
        <w:rPr>
          <w:rFonts w:ascii="宋体" w:hAnsi="宋体" w:eastAsia="宋体" w:cs="宋体"/>
          <w:spacing w:val="-9"/>
          <w:sz w:val="24"/>
          <w:szCs w:val="24"/>
        </w:rPr>
        <w:t>三</w:t>
      </w:r>
    </w:p>
    <w:p>
      <w:pPr>
        <w:spacing w:before="1" w:line="218" w:lineRule="auto"/>
        <w:ind w:left="57"/>
        <w:rPr>
          <w:rFonts w:ascii="宋体" w:hAnsi="宋体" w:eastAsia="宋体" w:cs="宋体"/>
          <w:sz w:val="24"/>
          <w:szCs w:val="24"/>
        </w:rPr>
      </w:pPr>
      <w:r>
        <w:rPr>
          <w:rFonts w:ascii="宋体" w:hAnsi="宋体" w:eastAsia="宋体" w:cs="宋体"/>
          <w:spacing w:val="-2"/>
          <w:sz w:val="24"/>
          <w:szCs w:val="24"/>
        </w:rPr>
        <w:t>大通道</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，形成快速联系、服务城乡、融入市域、联系省会、对接区域的</w:t>
      </w:r>
    </w:p>
    <w:p>
      <w:pPr>
        <w:spacing w:before="181" w:line="359" w:lineRule="auto"/>
        <w:ind w:left="53" w:right="67" w:hanging="53"/>
        <w:jc w:val="both"/>
        <w:rPr>
          <w:rFonts w:ascii="宋体" w:hAnsi="宋体" w:eastAsia="宋体" w:cs="宋体"/>
          <w:sz w:val="24"/>
          <w:szCs w:val="24"/>
        </w:rPr>
      </w:pPr>
      <w:r>
        <w:rPr>
          <w:rFonts w:ascii="Times New Roman" w:hAnsi="Times New Roman" w:eastAsia="Times New Roman" w:cs="Times New Roman"/>
          <w:spacing w:val="1"/>
          <w:sz w:val="24"/>
          <w:szCs w:val="24"/>
        </w:rPr>
        <w:t>“20—30—</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1"/>
          <w:sz w:val="24"/>
          <w:szCs w:val="24"/>
        </w:rPr>
        <w:t>1—2—3”</w:t>
      </w:r>
      <w:r>
        <w:rPr>
          <w:rFonts w:ascii="宋体" w:hAnsi="宋体" w:eastAsia="宋体" w:cs="宋体"/>
          <w:spacing w:val="1"/>
          <w:sz w:val="24"/>
          <w:szCs w:val="24"/>
        </w:rPr>
        <w:t>综合交通圈，</w:t>
      </w:r>
      <w:r>
        <w:rPr>
          <w:rFonts w:ascii="宋体" w:hAnsi="宋体" w:eastAsia="宋体" w:cs="宋体"/>
          <w:sz w:val="24"/>
          <w:szCs w:val="24"/>
        </w:rPr>
        <w:t xml:space="preserve">全面构建以县城为中心、辐射各乡镇，紧密衔 </w:t>
      </w:r>
      <w:r>
        <w:rPr>
          <w:rFonts w:ascii="宋体" w:hAnsi="宋体" w:eastAsia="宋体" w:cs="宋体"/>
          <w:spacing w:val="-8"/>
          <w:sz w:val="24"/>
          <w:szCs w:val="24"/>
        </w:rPr>
        <w:t>接区域重要交通枢纽，</w:t>
      </w:r>
      <w:r>
        <w:rPr>
          <w:rFonts w:ascii="宋体" w:hAnsi="宋体" w:eastAsia="宋体" w:cs="宋体"/>
          <w:spacing w:val="54"/>
          <w:sz w:val="24"/>
          <w:szCs w:val="24"/>
        </w:rPr>
        <w:t xml:space="preserve"> </w:t>
      </w:r>
      <w:r>
        <w:rPr>
          <w:rFonts w:ascii="宋体" w:hAnsi="宋体" w:eastAsia="宋体" w:cs="宋体"/>
          <w:spacing w:val="-8"/>
          <w:sz w:val="24"/>
          <w:szCs w:val="24"/>
        </w:rPr>
        <w:t>快速连接温州都市区、沟通浙西南、对接长三角、联接海</w:t>
      </w:r>
    </w:p>
    <w:p>
      <w:pPr>
        <w:spacing w:line="219" w:lineRule="auto"/>
        <w:ind w:left="60"/>
        <w:rPr>
          <w:rFonts w:ascii="宋体" w:hAnsi="宋体" w:eastAsia="宋体" w:cs="宋体"/>
          <w:sz w:val="24"/>
          <w:szCs w:val="24"/>
        </w:rPr>
      </w:pPr>
      <w:r>
        <w:rPr>
          <w:rFonts w:ascii="宋体" w:hAnsi="宋体" w:eastAsia="宋体" w:cs="宋体"/>
          <w:spacing w:val="-3"/>
          <w:sz w:val="24"/>
          <w:szCs w:val="24"/>
        </w:rPr>
        <w:t>西经济区，具有较高服务水平的综合交通体系。</w:t>
      </w:r>
    </w:p>
    <w:p>
      <w:pPr>
        <w:spacing w:before="182" w:line="220" w:lineRule="auto"/>
        <w:ind w:left="530"/>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）铁路</w:t>
      </w:r>
    </w:p>
    <w:p>
      <w:pPr>
        <w:spacing w:before="180" w:line="468" w:lineRule="exact"/>
        <w:jc w:val="right"/>
        <w:rPr>
          <w:rFonts w:ascii="宋体" w:hAnsi="宋体" w:eastAsia="宋体" w:cs="宋体"/>
          <w:sz w:val="24"/>
          <w:szCs w:val="24"/>
        </w:rPr>
      </w:pPr>
      <w:r>
        <w:rPr>
          <w:rFonts w:ascii="宋体" w:hAnsi="宋体" w:eastAsia="宋体" w:cs="宋体"/>
          <w:spacing w:val="-13"/>
          <w:position w:val="17"/>
          <w:sz w:val="24"/>
          <w:szCs w:val="24"/>
        </w:rPr>
        <w:t>规划建设温武吉铁路，</w:t>
      </w:r>
      <w:r>
        <w:rPr>
          <w:rFonts w:ascii="宋体" w:hAnsi="宋体" w:eastAsia="宋体" w:cs="宋体"/>
          <w:spacing w:val="75"/>
          <w:position w:val="17"/>
          <w:sz w:val="24"/>
          <w:szCs w:val="24"/>
        </w:rPr>
        <w:t xml:space="preserve"> </w:t>
      </w:r>
      <w:r>
        <w:rPr>
          <w:rFonts w:ascii="宋体" w:hAnsi="宋体" w:eastAsia="宋体" w:cs="宋体"/>
          <w:spacing w:val="-13"/>
          <w:position w:val="17"/>
          <w:sz w:val="24"/>
          <w:szCs w:val="24"/>
        </w:rPr>
        <w:t>且规划一处文成高铁站，</w:t>
      </w:r>
      <w:r>
        <w:rPr>
          <w:rFonts w:ascii="宋体" w:hAnsi="宋体" w:eastAsia="宋体" w:cs="宋体"/>
          <w:spacing w:val="76"/>
          <w:position w:val="17"/>
          <w:sz w:val="24"/>
          <w:szCs w:val="24"/>
        </w:rPr>
        <w:t xml:space="preserve"> </w:t>
      </w:r>
      <w:r>
        <w:rPr>
          <w:rFonts w:ascii="宋体" w:hAnsi="宋体" w:eastAsia="宋体" w:cs="宋体"/>
          <w:spacing w:val="-13"/>
          <w:position w:val="17"/>
          <w:sz w:val="24"/>
          <w:szCs w:val="24"/>
        </w:rPr>
        <w:t>全面融入全国铁路运输</w:t>
      </w:r>
      <w:r>
        <w:rPr>
          <w:rFonts w:ascii="宋体" w:hAnsi="宋体" w:eastAsia="宋体" w:cs="宋体"/>
          <w:spacing w:val="-14"/>
          <w:position w:val="17"/>
          <w:sz w:val="24"/>
          <w:szCs w:val="24"/>
        </w:rPr>
        <w:t>网，</w:t>
      </w:r>
    </w:p>
    <w:p>
      <w:pPr>
        <w:spacing w:line="219" w:lineRule="auto"/>
        <w:ind w:left="55"/>
        <w:rPr>
          <w:rFonts w:ascii="宋体" w:hAnsi="宋体" w:eastAsia="宋体" w:cs="宋体"/>
          <w:sz w:val="24"/>
          <w:szCs w:val="24"/>
        </w:rPr>
      </w:pPr>
      <w:r>
        <w:rPr>
          <w:rFonts w:ascii="宋体" w:hAnsi="宋体" w:eastAsia="宋体" w:cs="宋体"/>
          <w:spacing w:val="-2"/>
          <w:sz w:val="24"/>
          <w:szCs w:val="24"/>
        </w:rPr>
        <w:t>提升旅游资源通达性与整体竞争力，支撑文成融入沿海发展快车道。</w:t>
      </w:r>
    </w:p>
    <w:p>
      <w:pPr>
        <w:spacing w:before="180" w:line="221" w:lineRule="auto"/>
        <w:ind w:left="535"/>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）轨道交通</w:t>
      </w:r>
    </w:p>
    <w:p>
      <w:pPr>
        <w:spacing w:before="181" w:line="359" w:lineRule="auto"/>
        <w:ind w:left="60" w:right="66" w:firstLine="501"/>
        <w:rPr>
          <w:rFonts w:ascii="宋体" w:hAnsi="宋体" w:eastAsia="宋体" w:cs="宋体"/>
          <w:sz w:val="24"/>
          <w:szCs w:val="24"/>
        </w:rPr>
      </w:pPr>
      <w:r>
        <w:rPr>
          <w:rFonts w:ascii="宋体" w:hAnsi="宋体" w:eastAsia="宋体" w:cs="宋体"/>
          <w:spacing w:val="-11"/>
          <w:sz w:val="24"/>
          <w:szCs w:val="24"/>
        </w:rPr>
        <w:t>以温州轨道交通发展为契机， 着手谋划文成</w:t>
      </w:r>
      <w:r>
        <w:rPr>
          <w:rFonts w:ascii="Times New Roman" w:hAnsi="Times New Roman" w:eastAsia="Times New Roman" w:cs="Times New Roman"/>
          <w:spacing w:val="-11"/>
          <w:sz w:val="24"/>
          <w:szCs w:val="24"/>
        </w:rPr>
        <w:t>—</w:t>
      </w:r>
      <w:r>
        <w:rPr>
          <w:rFonts w:ascii="宋体" w:hAnsi="宋体" w:eastAsia="宋体" w:cs="宋体"/>
          <w:spacing w:val="-11"/>
          <w:sz w:val="24"/>
          <w:szCs w:val="24"/>
        </w:rPr>
        <w:t>温州之间的轨道交通布局， 可</w:t>
      </w:r>
      <w:r>
        <w:rPr>
          <w:rFonts w:ascii="宋体" w:hAnsi="宋体" w:eastAsia="宋体" w:cs="宋体"/>
          <w:spacing w:val="12"/>
          <w:sz w:val="24"/>
          <w:szCs w:val="24"/>
        </w:rPr>
        <w:t xml:space="preserve"> </w:t>
      </w:r>
      <w:r>
        <w:rPr>
          <w:rFonts w:ascii="宋体" w:hAnsi="宋体" w:eastAsia="宋体" w:cs="宋体"/>
          <w:spacing w:val="-4"/>
          <w:sz w:val="24"/>
          <w:szCs w:val="24"/>
        </w:rPr>
        <w:t xml:space="preserve">结合温武吉铁路利用开通市域铁路。加快温州（瑞安）  </w:t>
      </w:r>
      <w:r>
        <w:rPr>
          <w:rFonts w:ascii="Times New Roman" w:hAnsi="Times New Roman" w:eastAsia="Times New Roman" w:cs="Times New Roman"/>
          <w:spacing w:val="-4"/>
          <w:sz w:val="24"/>
          <w:szCs w:val="24"/>
        </w:rPr>
        <w:t>—</w:t>
      </w:r>
      <w:r>
        <w:rPr>
          <w:rFonts w:ascii="宋体" w:hAnsi="宋体" w:eastAsia="宋体" w:cs="宋体"/>
          <w:spacing w:val="-4"/>
          <w:sz w:val="24"/>
          <w:szCs w:val="24"/>
        </w:rPr>
        <w:t>文成轨道交通前期研</w:t>
      </w:r>
    </w:p>
    <w:p>
      <w:pPr>
        <w:spacing w:before="1" w:line="218" w:lineRule="auto"/>
        <w:ind w:left="65"/>
        <w:rPr>
          <w:rFonts w:ascii="宋体" w:hAnsi="宋体" w:eastAsia="宋体" w:cs="宋体"/>
          <w:sz w:val="24"/>
          <w:szCs w:val="24"/>
        </w:rPr>
      </w:pPr>
      <w:r>
        <w:rPr>
          <w:rFonts w:ascii="宋体" w:hAnsi="宋体" w:eastAsia="宋体" w:cs="宋体"/>
          <w:spacing w:val="-2"/>
          <w:sz w:val="24"/>
          <w:szCs w:val="24"/>
        </w:rPr>
        <w:t>究，强化文成与温瑞平原城镇密集区联系，加快融入温州大都市经济圈。</w:t>
      </w:r>
    </w:p>
    <w:p>
      <w:pPr>
        <w:spacing w:before="181" w:line="220" w:lineRule="auto"/>
        <w:ind w:left="529"/>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）高速公路</w:t>
      </w:r>
    </w:p>
    <w:p>
      <w:pPr>
        <w:spacing w:before="183" w:line="359" w:lineRule="auto"/>
        <w:ind w:left="66" w:right="62" w:firstLine="468"/>
        <w:rPr>
          <w:rFonts w:ascii="宋体" w:hAnsi="宋体" w:eastAsia="宋体" w:cs="宋体"/>
          <w:sz w:val="24"/>
          <w:szCs w:val="24"/>
        </w:rPr>
      </w:pPr>
      <w:r>
        <w:rPr>
          <w:rFonts w:ascii="宋体" w:hAnsi="宋体" w:eastAsia="宋体" w:cs="宋体"/>
          <w:spacing w:val="-7"/>
          <w:sz w:val="24"/>
          <w:szCs w:val="24"/>
        </w:rPr>
        <w:t>规划形成</w:t>
      </w:r>
      <w:r>
        <w:rPr>
          <w:rFonts w:ascii="Times New Roman" w:hAnsi="Times New Roman" w:eastAsia="Times New Roman" w:cs="Times New Roman"/>
          <w:spacing w:val="-7"/>
          <w:sz w:val="24"/>
          <w:szCs w:val="24"/>
        </w:rPr>
        <w:t>“</w:t>
      </w:r>
      <w:r>
        <w:rPr>
          <w:rFonts w:ascii="宋体" w:hAnsi="宋体" w:eastAsia="宋体" w:cs="宋体"/>
          <w:spacing w:val="-7"/>
          <w:sz w:val="24"/>
          <w:szCs w:val="24"/>
        </w:rPr>
        <w:t>十</w:t>
      </w:r>
      <w:r>
        <w:rPr>
          <w:rFonts w:ascii="Times New Roman" w:hAnsi="Times New Roman" w:eastAsia="Times New Roman" w:cs="Times New Roman"/>
          <w:spacing w:val="-7"/>
          <w:sz w:val="24"/>
          <w:szCs w:val="24"/>
        </w:rPr>
        <w:t>”</w:t>
      </w:r>
      <w:r>
        <w:rPr>
          <w:rFonts w:ascii="宋体" w:hAnsi="宋体" w:eastAsia="宋体" w:cs="宋体"/>
          <w:spacing w:val="-7"/>
          <w:sz w:val="24"/>
          <w:szCs w:val="24"/>
        </w:rPr>
        <w:t>字型高速路网结构：</w:t>
      </w:r>
      <w:r>
        <w:rPr>
          <w:rFonts w:ascii="宋体" w:hAnsi="宋体" w:eastAsia="宋体" w:cs="宋体"/>
          <w:spacing w:val="45"/>
          <w:sz w:val="24"/>
          <w:szCs w:val="24"/>
        </w:rPr>
        <w:t xml:space="preserve"> </w:t>
      </w:r>
      <w:r>
        <w:rPr>
          <w:rFonts w:ascii="宋体" w:hAnsi="宋体" w:eastAsia="宋体" w:cs="宋体"/>
          <w:spacing w:val="-7"/>
          <w:sz w:val="24"/>
          <w:szCs w:val="24"/>
        </w:rPr>
        <w:t>龙丽温高速瑞文段、溧宁高速文泰</w:t>
      </w:r>
      <w:r>
        <w:rPr>
          <w:rFonts w:ascii="宋体" w:hAnsi="宋体" w:eastAsia="宋体" w:cs="宋体"/>
          <w:spacing w:val="-8"/>
          <w:sz w:val="24"/>
          <w:szCs w:val="24"/>
        </w:rPr>
        <w:t>段、溧</w:t>
      </w:r>
      <w:r>
        <w:rPr>
          <w:rFonts w:ascii="宋体" w:hAnsi="宋体" w:eastAsia="宋体" w:cs="宋体"/>
          <w:sz w:val="24"/>
          <w:szCs w:val="24"/>
        </w:rPr>
        <w:t xml:space="preserve"> </w:t>
      </w:r>
      <w:r>
        <w:rPr>
          <w:rFonts w:ascii="宋体" w:hAnsi="宋体" w:eastAsia="宋体" w:cs="宋体"/>
          <w:spacing w:val="-1"/>
          <w:sz w:val="24"/>
          <w:szCs w:val="24"/>
        </w:rPr>
        <w:t>宁高速文景段、青文高速文成段，远期谋划玉壶</w:t>
      </w:r>
      <w:r>
        <w:rPr>
          <w:rFonts w:ascii="Times New Roman" w:hAnsi="Times New Roman" w:eastAsia="Times New Roman" w:cs="Times New Roman"/>
          <w:spacing w:val="-1"/>
          <w:sz w:val="24"/>
          <w:szCs w:val="24"/>
        </w:rPr>
        <w:t>-</w:t>
      </w:r>
      <w:r>
        <w:rPr>
          <w:rFonts w:ascii="宋体" w:hAnsi="宋体" w:eastAsia="宋体" w:cs="宋体"/>
          <w:spacing w:val="-1"/>
          <w:sz w:val="24"/>
          <w:szCs w:val="24"/>
        </w:rPr>
        <w:t>瑞安高速连接线。完善文成县</w:t>
      </w:r>
    </w:p>
    <w:p>
      <w:pPr>
        <w:spacing w:before="1" w:line="218" w:lineRule="auto"/>
        <w:ind w:left="53"/>
        <w:rPr>
          <w:rFonts w:ascii="宋体" w:hAnsi="宋体" w:eastAsia="宋体" w:cs="宋体"/>
          <w:sz w:val="24"/>
          <w:szCs w:val="24"/>
        </w:rPr>
      </w:pPr>
      <w:r>
        <w:rPr>
          <w:rFonts w:ascii="宋体" w:hAnsi="宋体" w:eastAsia="宋体" w:cs="宋体"/>
          <w:spacing w:val="-2"/>
          <w:sz w:val="24"/>
          <w:szCs w:val="24"/>
        </w:rPr>
        <w:t>对外交通快速通道布局，不断提升区域枢纽地位。</w:t>
      </w:r>
    </w:p>
    <w:p>
      <w:pPr>
        <w:spacing w:before="183" w:line="220" w:lineRule="auto"/>
        <w:ind w:left="536"/>
        <w:rPr>
          <w:rFonts w:ascii="宋体" w:hAnsi="宋体" w:eastAsia="宋体" w:cs="宋体"/>
          <w:sz w:val="24"/>
          <w:szCs w:val="24"/>
        </w:rPr>
      </w:pPr>
      <w:r>
        <w:rPr>
          <w:rFonts w:ascii="Times New Roman" w:hAnsi="Times New Roman" w:eastAsia="Times New Roman" w:cs="Times New Roman"/>
          <w:spacing w:val="-3"/>
          <w:sz w:val="24"/>
          <w:szCs w:val="24"/>
        </w:rPr>
        <w:t>5</w:t>
      </w:r>
      <w:r>
        <w:rPr>
          <w:rFonts w:ascii="宋体" w:hAnsi="宋体" w:eastAsia="宋体" w:cs="宋体"/>
          <w:spacing w:val="-3"/>
          <w:sz w:val="24"/>
          <w:szCs w:val="24"/>
        </w:rPr>
        <w:t>）公路（国省道）</w:t>
      </w:r>
    </w:p>
    <w:p>
      <w:pPr>
        <w:spacing w:before="180" w:line="219" w:lineRule="auto"/>
        <w:ind w:left="535"/>
        <w:rPr>
          <w:rFonts w:ascii="宋体" w:hAnsi="宋体" w:eastAsia="宋体" w:cs="宋体"/>
          <w:sz w:val="24"/>
          <w:szCs w:val="24"/>
        </w:rPr>
      </w:pPr>
      <w:r>
        <w:rPr>
          <w:rFonts w:ascii="宋体" w:hAnsi="宋体" w:eastAsia="宋体" w:cs="宋体"/>
          <w:spacing w:val="-3"/>
          <w:sz w:val="24"/>
          <w:szCs w:val="24"/>
        </w:rPr>
        <w:t>规划形成</w:t>
      </w:r>
      <w:r>
        <w:rPr>
          <w:rFonts w:ascii="Times New Roman" w:hAnsi="Times New Roman" w:eastAsia="Times New Roman" w:cs="Times New Roman"/>
          <w:spacing w:val="-3"/>
          <w:sz w:val="24"/>
          <w:szCs w:val="24"/>
        </w:rPr>
        <w:t>“</w:t>
      </w:r>
      <w:r>
        <w:rPr>
          <w:rFonts w:ascii="宋体" w:hAnsi="宋体" w:eastAsia="宋体" w:cs="宋体"/>
          <w:spacing w:val="-3"/>
          <w:sz w:val="24"/>
          <w:szCs w:val="24"/>
        </w:rPr>
        <w:t>一横一环</w:t>
      </w:r>
      <w:r>
        <w:rPr>
          <w:rFonts w:ascii="Times New Roman" w:hAnsi="Times New Roman" w:eastAsia="Times New Roman" w:cs="Times New Roman"/>
          <w:spacing w:val="-3"/>
          <w:sz w:val="24"/>
          <w:szCs w:val="24"/>
        </w:rPr>
        <w:t>”</w:t>
      </w:r>
      <w:r>
        <w:rPr>
          <w:rFonts w:ascii="宋体" w:hAnsi="宋体" w:eastAsia="宋体" w:cs="宋体"/>
          <w:spacing w:val="-3"/>
          <w:sz w:val="24"/>
          <w:szCs w:val="24"/>
        </w:rPr>
        <w:t>普通国省道布局。</w:t>
      </w:r>
    </w:p>
    <w:p>
      <w:pPr>
        <w:spacing w:before="184" w:line="465" w:lineRule="exact"/>
        <w:ind w:right="57"/>
        <w:jc w:val="right"/>
        <w:rPr>
          <w:rFonts w:ascii="宋体" w:hAnsi="宋体" w:eastAsia="宋体" w:cs="宋体"/>
          <w:sz w:val="24"/>
          <w:szCs w:val="24"/>
        </w:rPr>
      </w:pPr>
      <w:r>
        <w:rPr>
          <w:rFonts w:ascii="宋体" w:hAnsi="宋体" w:eastAsia="宋体" w:cs="宋体"/>
          <w:spacing w:val="-6"/>
          <w:position w:val="17"/>
          <w:sz w:val="24"/>
          <w:szCs w:val="24"/>
        </w:rPr>
        <w:t>其中</w:t>
      </w:r>
      <w:r>
        <w:rPr>
          <w:rFonts w:ascii="Times New Roman" w:hAnsi="Times New Roman" w:eastAsia="Times New Roman" w:cs="Times New Roman"/>
          <w:spacing w:val="-6"/>
          <w:position w:val="17"/>
          <w:sz w:val="24"/>
          <w:szCs w:val="24"/>
        </w:rPr>
        <w:t>“</w:t>
      </w:r>
      <w:r>
        <w:rPr>
          <w:rFonts w:ascii="宋体" w:hAnsi="宋体" w:eastAsia="宋体" w:cs="宋体"/>
          <w:spacing w:val="-6"/>
          <w:position w:val="17"/>
          <w:sz w:val="24"/>
          <w:szCs w:val="24"/>
        </w:rPr>
        <w:t>一横</w:t>
      </w:r>
      <w:r>
        <w:rPr>
          <w:rFonts w:ascii="Times New Roman" w:hAnsi="Times New Roman" w:eastAsia="Times New Roman" w:cs="Times New Roman"/>
          <w:spacing w:val="-6"/>
          <w:position w:val="17"/>
          <w:sz w:val="24"/>
          <w:szCs w:val="24"/>
        </w:rPr>
        <w:t>”</w:t>
      </w:r>
      <w:r>
        <w:rPr>
          <w:rFonts w:ascii="Times New Roman" w:hAnsi="Times New Roman" w:eastAsia="Times New Roman" w:cs="Times New Roman"/>
          <w:spacing w:val="-30"/>
          <w:position w:val="17"/>
          <w:sz w:val="24"/>
          <w:szCs w:val="24"/>
        </w:rPr>
        <w:t xml:space="preserve"> </w:t>
      </w:r>
      <w:r>
        <w:rPr>
          <w:rFonts w:ascii="宋体" w:hAnsi="宋体" w:eastAsia="宋体" w:cs="宋体"/>
          <w:spacing w:val="-6"/>
          <w:position w:val="17"/>
          <w:sz w:val="24"/>
          <w:szCs w:val="24"/>
        </w:rPr>
        <w:t>：</w:t>
      </w:r>
      <w:r>
        <w:rPr>
          <w:rFonts w:ascii="Times New Roman" w:hAnsi="Times New Roman" w:eastAsia="Times New Roman" w:cs="Times New Roman"/>
          <w:spacing w:val="-6"/>
          <w:position w:val="17"/>
          <w:sz w:val="24"/>
          <w:szCs w:val="24"/>
        </w:rPr>
        <w:t>322</w:t>
      </w:r>
      <w:r>
        <w:rPr>
          <w:rFonts w:ascii="Times New Roman" w:hAnsi="Times New Roman" w:eastAsia="Times New Roman" w:cs="Times New Roman"/>
          <w:spacing w:val="16"/>
          <w:position w:val="17"/>
          <w:sz w:val="24"/>
          <w:szCs w:val="24"/>
        </w:rPr>
        <w:t xml:space="preserve">  </w:t>
      </w:r>
      <w:r>
        <w:rPr>
          <w:rFonts w:ascii="宋体" w:hAnsi="宋体" w:eastAsia="宋体" w:cs="宋体"/>
          <w:spacing w:val="-6"/>
          <w:position w:val="17"/>
          <w:sz w:val="24"/>
          <w:szCs w:val="24"/>
        </w:rPr>
        <w:t>国道，</w:t>
      </w:r>
      <w:r>
        <w:rPr>
          <w:rFonts w:ascii="Times New Roman" w:hAnsi="Times New Roman" w:eastAsia="Times New Roman" w:cs="Times New Roman"/>
          <w:spacing w:val="-6"/>
          <w:position w:val="17"/>
          <w:sz w:val="24"/>
          <w:szCs w:val="24"/>
        </w:rPr>
        <w:t>“</w:t>
      </w:r>
      <w:r>
        <w:rPr>
          <w:rFonts w:ascii="宋体" w:hAnsi="宋体" w:eastAsia="宋体" w:cs="宋体"/>
          <w:spacing w:val="-6"/>
          <w:position w:val="17"/>
          <w:sz w:val="24"/>
          <w:szCs w:val="24"/>
        </w:rPr>
        <w:t>一环</w:t>
      </w:r>
      <w:r>
        <w:rPr>
          <w:rFonts w:ascii="Times New Roman" w:hAnsi="Times New Roman" w:eastAsia="Times New Roman" w:cs="Times New Roman"/>
          <w:spacing w:val="-6"/>
          <w:position w:val="17"/>
          <w:sz w:val="24"/>
          <w:szCs w:val="24"/>
        </w:rPr>
        <w:t>”</w:t>
      </w:r>
      <w:r>
        <w:rPr>
          <w:rFonts w:ascii="Times New Roman" w:hAnsi="Times New Roman" w:eastAsia="Times New Roman" w:cs="Times New Roman"/>
          <w:spacing w:val="-31"/>
          <w:position w:val="17"/>
          <w:sz w:val="24"/>
          <w:szCs w:val="24"/>
        </w:rPr>
        <w:t xml:space="preserve"> </w:t>
      </w:r>
      <w:r>
        <w:rPr>
          <w:rFonts w:ascii="宋体" w:hAnsi="宋体" w:eastAsia="宋体" w:cs="宋体"/>
          <w:spacing w:val="-6"/>
          <w:position w:val="17"/>
          <w:sz w:val="24"/>
          <w:szCs w:val="24"/>
        </w:rPr>
        <w:t>：</w:t>
      </w:r>
      <w:r>
        <w:rPr>
          <w:rFonts w:ascii="Times New Roman" w:hAnsi="Times New Roman" w:eastAsia="Times New Roman" w:cs="Times New Roman"/>
          <w:spacing w:val="-6"/>
          <w:position w:val="17"/>
          <w:sz w:val="24"/>
          <w:szCs w:val="24"/>
        </w:rPr>
        <w:t xml:space="preserve">219  </w:t>
      </w:r>
      <w:r>
        <w:rPr>
          <w:rFonts w:ascii="宋体" w:hAnsi="宋体" w:eastAsia="宋体" w:cs="宋体"/>
          <w:spacing w:val="-6"/>
          <w:position w:val="17"/>
          <w:sz w:val="24"/>
          <w:szCs w:val="24"/>
        </w:rPr>
        <w:t xml:space="preserve">省道、 </w:t>
      </w:r>
      <w:r>
        <w:rPr>
          <w:rFonts w:ascii="Times New Roman" w:hAnsi="Times New Roman" w:eastAsia="Times New Roman" w:cs="Times New Roman"/>
          <w:spacing w:val="-6"/>
          <w:position w:val="17"/>
          <w:sz w:val="24"/>
          <w:szCs w:val="24"/>
        </w:rPr>
        <w:t>220</w:t>
      </w:r>
      <w:r>
        <w:rPr>
          <w:rFonts w:ascii="Times New Roman" w:hAnsi="Times New Roman" w:eastAsia="Times New Roman" w:cs="Times New Roman"/>
          <w:spacing w:val="-7"/>
          <w:position w:val="17"/>
          <w:sz w:val="24"/>
          <w:szCs w:val="24"/>
        </w:rPr>
        <w:t xml:space="preserve">  </w:t>
      </w:r>
      <w:r>
        <w:rPr>
          <w:rFonts w:ascii="宋体" w:hAnsi="宋体" w:eastAsia="宋体" w:cs="宋体"/>
          <w:spacing w:val="-7"/>
          <w:position w:val="17"/>
          <w:sz w:val="24"/>
          <w:szCs w:val="24"/>
        </w:rPr>
        <w:t>省道、玉壶</w:t>
      </w:r>
      <w:r>
        <w:rPr>
          <w:rFonts w:ascii="Times New Roman" w:hAnsi="Times New Roman" w:eastAsia="Times New Roman" w:cs="Times New Roman"/>
          <w:spacing w:val="-7"/>
          <w:position w:val="17"/>
          <w:sz w:val="24"/>
          <w:szCs w:val="24"/>
        </w:rPr>
        <w:t>—</w:t>
      </w:r>
      <w:r>
        <w:rPr>
          <w:rFonts w:ascii="Times New Roman" w:hAnsi="Times New Roman" w:eastAsia="Times New Roman" w:cs="Times New Roman"/>
          <w:spacing w:val="-44"/>
          <w:position w:val="17"/>
          <w:sz w:val="24"/>
          <w:szCs w:val="24"/>
        </w:rPr>
        <w:t xml:space="preserve"> </w:t>
      </w:r>
      <w:r>
        <w:rPr>
          <w:rFonts w:ascii="宋体" w:hAnsi="宋体" w:eastAsia="宋体" w:cs="宋体"/>
          <w:spacing w:val="-7"/>
          <w:position w:val="17"/>
          <w:sz w:val="24"/>
          <w:szCs w:val="24"/>
        </w:rPr>
        <w:t>百丈漈省道</w:t>
      </w:r>
    </w:p>
    <w:p>
      <w:pPr>
        <w:spacing w:line="220" w:lineRule="auto"/>
        <w:ind w:left="55"/>
        <w:rPr>
          <w:rFonts w:ascii="宋体" w:hAnsi="宋体" w:eastAsia="宋体" w:cs="宋体"/>
          <w:sz w:val="24"/>
          <w:szCs w:val="24"/>
        </w:rPr>
      </w:pPr>
      <w:r>
        <w:rPr>
          <w:rFonts w:ascii="宋体" w:hAnsi="宋体" w:eastAsia="宋体" w:cs="宋体"/>
          <w:spacing w:val="-3"/>
          <w:sz w:val="24"/>
          <w:szCs w:val="24"/>
        </w:rPr>
        <w:t>连接线</w:t>
      </w:r>
    </w:p>
    <w:p>
      <w:pPr>
        <w:spacing w:before="182" w:line="220" w:lineRule="auto"/>
        <w:ind w:left="535"/>
        <w:rPr>
          <w:rFonts w:ascii="宋体" w:hAnsi="宋体" w:eastAsia="宋体" w:cs="宋体"/>
          <w:sz w:val="24"/>
          <w:szCs w:val="24"/>
        </w:rPr>
      </w:pPr>
      <w:r>
        <w:rPr>
          <w:rFonts w:ascii="Times New Roman" w:hAnsi="Times New Roman" w:eastAsia="Times New Roman" w:cs="Times New Roman"/>
          <w:spacing w:val="-3"/>
          <w:sz w:val="24"/>
          <w:szCs w:val="24"/>
        </w:rPr>
        <w:t>6</w:t>
      </w:r>
      <w:r>
        <w:rPr>
          <w:rFonts w:ascii="宋体" w:hAnsi="宋体" w:eastAsia="宋体" w:cs="宋体"/>
          <w:spacing w:val="-3"/>
          <w:sz w:val="24"/>
          <w:szCs w:val="24"/>
        </w:rPr>
        <w:t>）县乡道路</w:t>
      </w:r>
    </w:p>
    <w:p>
      <w:pPr>
        <w:spacing w:before="182" w:line="359" w:lineRule="auto"/>
        <w:ind w:left="55" w:right="64" w:firstLine="479"/>
        <w:rPr>
          <w:rFonts w:ascii="宋体" w:hAnsi="宋体" w:eastAsia="宋体" w:cs="宋体"/>
          <w:sz w:val="24"/>
          <w:szCs w:val="24"/>
        </w:rPr>
      </w:pPr>
      <w:r>
        <w:rPr>
          <w:rFonts w:ascii="宋体" w:hAnsi="宋体" w:eastAsia="宋体" w:cs="宋体"/>
          <w:spacing w:val="-6"/>
          <w:sz w:val="24"/>
          <w:szCs w:val="24"/>
        </w:rPr>
        <w:t>规划形成</w:t>
      </w:r>
      <w:r>
        <w:rPr>
          <w:rFonts w:ascii="Times New Roman" w:hAnsi="Times New Roman" w:eastAsia="Times New Roman" w:cs="Times New Roman"/>
          <w:spacing w:val="-6"/>
          <w:sz w:val="24"/>
          <w:szCs w:val="24"/>
        </w:rPr>
        <w:t>“</w:t>
      </w:r>
      <w:r>
        <w:rPr>
          <w:rFonts w:ascii="宋体" w:hAnsi="宋体" w:eastAsia="宋体" w:cs="宋体"/>
          <w:spacing w:val="-6"/>
          <w:sz w:val="24"/>
          <w:szCs w:val="24"/>
        </w:rPr>
        <w:t>六纵五横十三联</w:t>
      </w:r>
      <w:r>
        <w:rPr>
          <w:rFonts w:ascii="Times New Roman" w:hAnsi="Times New Roman" w:eastAsia="Times New Roman" w:cs="Times New Roman"/>
          <w:spacing w:val="-6"/>
          <w:sz w:val="24"/>
          <w:szCs w:val="24"/>
        </w:rPr>
        <w:t>”</w:t>
      </w:r>
      <w:r>
        <w:rPr>
          <w:rFonts w:ascii="Times New Roman" w:hAnsi="Times New Roman" w:eastAsia="Times New Roman" w:cs="Times New Roman"/>
          <w:spacing w:val="-23"/>
          <w:sz w:val="24"/>
          <w:szCs w:val="24"/>
        </w:rPr>
        <w:t xml:space="preserve"> </w:t>
      </w:r>
      <w:r>
        <w:rPr>
          <w:rFonts w:ascii="宋体" w:hAnsi="宋体" w:eastAsia="宋体" w:cs="宋体"/>
          <w:spacing w:val="-6"/>
          <w:sz w:val="24"/>
          <w:szCs w:val="24"/>
        </w:rPr>
        <w:t xml:space="preserve">的县道网络， 至 </w:t>
      </w:r>
      <w:r>
        <w:rPr>
          <w:rFonts w:ascii="Times New Roman" w:hAnsi="Times New Roman" w:eastAsia="Times New Roman" w:cs="Times New Roman"/>
          <w:spacing w:val="-6"/>
          <w:sz w:val="24"/>
          <w:szCs w:val="24"/>
        </w:rPr>
        <w:t xml:space="preserve">2035  </w:t>
      </w:r>
      <w:r>
        <w:rPr>
          <w:rFonts w:ascii="宋体" w:hAnsi="宋体" w:eastAsia="宋体" w:cs="宋体"/>
          <w:spacing w:val="-6"/>
          <w:sz w:val="24"/>
          <w:szCs w:val="24"/>
        </w:rPr>
        <w:t>年基本实现中心镇通二级</w:t>
      </w:r>
      <w:r>
        <w:rPr>
          <w:rFonts w:ascii="宋体" w:hAnsi="宋体" w:eastAsia="宋体" w:cs="宋体"/>
          <w:sz w:val="24"/>
          <w:szCs w:val="24"/>
        </w:rPr>
        <w:t xml:space="preserve"> </w:t>
      </w:r>
      <w:r>
        <w:rPr>
          <w:rFonts w:ascii="宋体" w:hAnsi="宋体" w:eastAsia="宋体" w:cs="宋体"/>
          <w:spacing w:val="-6"/>
          <w:sz w:val="24"/>
          <w:szCs w:val="24"/>
        </w:rPr>
        <w:t>公路， 全面实现乡镇通三级公路。包括峃院线、一花线、</w:t>
      </w:r>
      <w:r>
        <w:rPr>
          <w:rFonts w:ascii="宋体" w:hAnsi="宋体" w:eastAsia="宋体" w:cs="宋体"/>
          <w:spacing w:val="-7"/>
          <w:sz w:val="24"/>
          <w:szCs w:val="24"/>
        </w:rPr>
        <w:t>文青公路、大南线、黄</w:t>
      </w:r>
      <w:r>
        <w:rPr>
          <w:rFonts w:ascii="宋体" w:hAnsi="宋体" w:eastAsia="宋体" w:cs="宋体"/>
          <w:sz w:val="24"/>
          <w:szCs w:val="24"/>
        </w:rPr>
        <w:t xml:space="preserve"> </w:t>
      </w:r>
      <w:r>
        <w:rPr>
          <w:rFonts w:ascii="宋体" w:hAnsi="宋体" w:eastAsia="宋体" w:cs="宋体"/>
          <w:spacing w:val="-3"/>
          <w:sz w:val="24"/>
          <w:szCs w:val="24"/>
        </w:rPr>
        <w:t>坦云塘公路、文成珊溪至泰顺横坑公路高山至福全段、南田至玉壶公路十</w:t>
      </w:r>
      <w:r>
        <w:rPr>
          <w:rFonts w:ascii="宋体" w:hAnsi="宋体" w:eastAsia="宋体" w:cs="宋体"/>
          <w:spacing w:val="-4"/>
          <w:sz w:val="24"/>
          <w:szCs w:val="24"/>
        </w:rPr>
        <w:t>源至金</w:t>
      </w:r>
    </w:p>
    <w:p>
      <w:pPr>
        <w:spacing w:line="219" w:lineRule="auto"/>
        <w:ind w:left="57"/>
        <w:rPr>
          <w:rFonts w:ascii="宋体" w:hAnsi="宋体" w:eastAsia="宋体" w:cs="宋体"/>
          <w:sz w:val="24"/>
          <w:szCs w:val="24"/>
        </w:rPr>
      </w:pPr>
      <w:r>
        <w:rPr>
          <w:rFonts w:ascii="宋体" w:hAnsi="宋体" w:eastAsia="宋体" w:cs="宋体"/>
          <w:spacing w:val="-2"/>
          <w:sz w:val="24"/>
          <w:szCs w:val="24"/>
        </w:rPr>
        <w:t>星段、文成南互通至黄坦产业园段公路等重要县乡道路。</w:t>
      </w:r>
    </w:p>
    <w:p>
      <w:pPr>
        <w:spacing w:before="181" w:line="468" w:lineRule="exact"/>
        <w:ind w:right="67"/>
        <w:jc w:val="right"/>
        <w:rPr>
          <w:rFonts w:ascii="宋体" w:hAnsi="宋体" w:eastAsia="宋体" w:cs="宋体"/>
          <w:sz w:val="24"/>
          <w:szCs w:val="24"/>
        </w:rPr>
      </w:pPr>
      <w:r>
        <w:rPr>
          <w:rFonts w:ascii="宋体" w:hAnsi="宋体" w:eastAsia="宋体" w:cs="宋体"/>
          <w:spacing w:val="-12"/>
          <w:position w:val="17"/>
          <w:sz w:val="24"/>
          <w:szCs w:val="24"/>
        </w:rPr>
        <w:t>构建通景环线，</w:t>
      </w:r>
      <w:r>
        <w:rPr>
          <w:rFonts w:ascii="宋体" w:hAnsi="宋体" w:eastAsia="宋体" w:cs="宋体"/>
          <w:spacing w:val="58"/>
          <w:position w:val="17"/>
          <w:sz w:val="24"/>
          <w:szCs w:val="24"/>
        </w:rPr>
        <w:t xml:space="preserve"> </w:t>
      </w:r>
      <w:r>
        <w:rPr>
          <w:rFonts w:ascii="宋体" w:hAnsi="宋体" w:eastAsia="宋体" w:cs="宋体"/>
          <w:spacing w:val="-12"/>
          <w:position w:val="17"/>
          <w:sz w:val="24"/>
          <w:szCs w:val="24"/>
        </w:rPr>
        <w:t>成环互联， 规划将玉壶与南田连接线、石角线、石驮线、花</w:t>
      </w:r>
    </w:p>
    <w:p>
      <w:pPr>
        <w:spacing w:line="219" w:lineRule="auto"/>
        <w:ind w:left="55"/>
        <w:rPr>
          <w:rFonts w:ascii="宋体" w:hAnsi="宋体" w:eastAsia="宋体" w:cs="宋体"/>
          <w:sz w:val="24"/>
          <w:szCs w:val="24"/>
        </w:rPr>
      </w:pPr>
      <w:r>
        <w:rPr>
          <w:rFonts w:ascii="宋体" w:hAnsi="宋体" w:eastAsia="宋体" w:cs="宋体"/>
          <w:spacing w:val="-2"/>
          <w:sz w:val="24"/>
          <w:szCs w:val="24"/>
        </w:rPr>
        <w:t>支线、东双线、灵溪线等公路串联成环，实现景群联动格局。</w:t>
      </w:r>
    </w:p>
    <w:p>
      <w:pPr>
        <w:spacing w:before="180" w:line="220" w:lineRule="auto"/>
        <w:ind w:right="42"/>
        <w:jc w:val="right"/>
        <w:rPr>
          <w:rFonts w:ascii="宋体" w:hAnsi="宋体" w:eastAsia="宋体" w:cs="宋体"/>
          <w:sz w:val="24"/>
          <w:szCs w:val="24"/>
        </w:rPr>
      </w:pPr>
      <w:r>
        <w:rPr>
          <w:rFonts w:ascii="Times New Roman" w:hAnsi="Times New Roman" w:eastAsia="Times New Roman" w:cs="Times New Roman"/>
          <w:spacing w:val="-7"/>
          <w:sz w:val="24"/>
          <w:szCs w:val="24"/>
        </w:rPr>
        <w:t>“</w:t>
      </w:r>
      <w:r>
        <w:rPr>
          <w:rFonts w:ascii="宋体" w:hAnsi="宋体" w:eastAsia="宋体" w:cs="宋体"/>
          <w:spacing w:val="-7"/>
          <w:sz w:val="24"/>
          <w:szCs w:val="24"/>
        </w:rPr>
        <w:t>六纵</w:t>
      </w:r>
      <w:r>
        <w:rPr>
          <w:rFonts w:ascii="Times New Roman" w:hAnsi="Times New Roman" w:eastAsia="Times New Roman" w:cs="Times New Roman"/>
          <w:spacing w:val="-7"/>
          <w:sz w:val="24"/>
          <w:szCs w:val="24"/>
        </w:rPr>
        <w:t>”</w:t>
      </w:r>
      <w:r>
        <w:rPr>
          <w:rFonts w:ascii="宋体" w:hAnsi="宋体" w:eastAsia="宋体" w:cs="宋体"/>
          <w:spacing w:val="-7"/>
          <w:sz w:val="24"/>
          <w:szCs w:val="24"/>
        </w:rPr>
        <w:t>：文成朱雅至瑞安营前公路（朱营线）、文成十源至苍南桥墩公路（十</w:t>
      </w:r>
    </w:p>
    <w:p>
      <w:pPr>
        <w:spacing w:line="220" w:lineRule="auto"/>
        <w:rPr>
          <w:rFonts w:ascii="宋体" w:hAnsi="宋体" w:eastAsia="宋体" w:cs="宋体"/>
          <w:sz w:val="24"/>
          <w:szCs w:val="24"/>
        </w:rPr>
        <w:sectPr>
          <w:headerReference r:id="rId57" w:type="default"/>
          <w:footerReference r:id="rId58" w:type="default"/>
          <w:pgSz w:w="11907" w:h="16839"/>
          <w:pgMar w:top="1118" w:right="1734" w:bottom="1184" w:left="1755" w:header="879" w:footer="1024" w:gutter="0"/>
          <w:cols w:space="720" w:num="1"/>
        </w:sectPr>
      </w:pPr>
    </w:p>
    <w:p>
      <w:pPr>
        <w:pStyle w:val="2"/>
        <w:spacing w:line="277" w:lineRule="auto"/>
      </w:pPr>
    </w:p>
    <w:p>
      <w:pPr>
        <w:spacing w:before="78" w:line="220" w:lineRule="auto"/>
        <w:ind w:left="38"/>
        <w:rPr>
          <w:rFonts w:ascii="宋体" w:hAnsi="宋体" w:eastAsia="宋体" w:cs="宋体"/>
          <w:sz w:val="24"/>
          <w:szCs w:val="24"/>
        </w:rPr>
      </w:pPr>
      <w:r>
        <w:rPr>
          <w:rFonts w:ascii="宋体" w:hAnsi="宋体" w:eastAsia="宋体" w:cs="宋体"/>
          <w:spacing w:val="-9"/>
          <w:sz w:val="24"/>
          <w:szCs w:val="24"/>
        </w:rPr>
        <w:t>桥线）、南田至大峃公路（南大线）、  南田至驮岙公路（南驮线）</w:t>
      </w:r>
      <w:r>
        <w:rPr>
          <w:rFonts w:ascii="宋体" w:hAnsi="宋体" w:eastAsia="宋体" w:cs="宋体"/>
          <w:spacing w:val="29"/>
          <w:sz w:val="24"/>
          <w:szCs w:val="24"/>
        </w:rPr>
        <w:t xml:space="preserve">  </w:t>
      </w:r>
      <w:r>
        <w:rPr>
          <w:rFonts w:ascii="宋体" w:hAnsi="宋体" w:eastAsia="宋体" w:cs="宋体"/>
          <w:spacing w:val="-9"/>
          <w:sz w:val="24"/>
          <w:szCs w:val="24"/>
        </w:rPr>
        <w:t>、</w:t>
      </w:r>
      <w:r>
        <w:rPr>
          <w:rFonts w:ascii="宋体" w:hAnsi="宋体" w:eastAsia="宋体" w:cs="宋体"/>
          <w:spacing w:val="11"/>
          <w:sz w:val="24"/>
          <w:szCs w:val="24"/>
        </w:rPr>
        <w:t xml:space="preserve"> </w:t>
      </w:r>
      <w:r>
        <w:rPr>
          <w:rFonts w:ascii="宋体" w:hAnsi="宋体" w:eastAsia="宋体" w:cs="宋体"/>
          <w:spacing w:val="-9"/>
          <w:sz w:val="24"/>
          <w:szCs w:val="24"/>
        </w:rPr>
        <w:t>文成黄</w:t>
      </w:r>
    </w:p>
    <w:p>
      <w:pPr>
        <w:spacing w:before="182" w:line="220" w:lineRule="auto"/>
        <w:ind w:left="40"/>
        <w:rPr>
          <w:rFonts w:ascii="宋体" w:hAnsi="宋体" w:eastAsia="宋体" w:cs="宋体"/>
          <w:sz w:val="24"/>
          <w:szCs w:val="24"/>
        </w:rPr>
      </w:pPr>
      <w:r>
        <w:rPr>
          <w:rFonts w:ascii="宋体" w:hAnsi="宋体" w:eastAsia="宋体" w:cs="宋体"/>
          <w:spacing w:val="-4"/>
          <w:sz w:val="24"/>
          <w:szCs w:val="24"/>
        </w:rPr>
        <w:t>寮至泰顺雅阳公路（黄雅线）、文成大峃至泰顺南院公路（大南线</w:t>
      </w:r>
      <w:r>
        <w:rPr>
          <w:rFonts w:ascii="宋体" w:hAnsi="宋体" w:eastAsia="宋体" w:cs="宋体"/>
          <w:spacing w:val="-5"/>
          <w:sz w:val="24"/>
          <w:szCs w:val="24"/>
        </w:rPr>
        <w:t>） 。</w:t>
      </w:r>
    </w:p>
    <w:p>
      <w:pPr>
        <w:spacing w:before="180" w:line="359" w:lineRule="auto"/>
        <w:ind w:left="42" w:right="32" w:firstLine="420"/>
        <w:jc w:val="both"/>
        <w:rPr>
          <w:rFonts w:ascii="宋体" w:hAnsi="宋体" w:eastAsia="宋体" w:cs="宋体"/>
          <w:sz w:val="24"/>
          <w:szCs w:val="24"/>
        </w:rPr>
      </w:pPr>
      <w:r>
        <w:rPr>
          <w:rFonts w:ascii="Times New Roman" w:hAnsi="Times New Roman" w:eastAsia="Times New Roman" w:cs="Times New Roman"/>
          <w:spacing w:val="-8"/>
          <w:sz w:val="24"/>
          <w:szCs w:val="24"/>
        </w:rPr>
        <w:t>“</w:t>
      </w:r>
      <w:r>
        <w:rPr>
          <w:rFonts w:ascii="宋体" w:hAnsi="宋体" w:eastAsia="宋体" w:cs="宋体"/>
          <w:spacing w:val="-8"/>
          <w:sz w:val="24"/>
          <w:szCs w:val="24"/>
        </w:rPr>
        <w:t>五横</w:t>
      </w:r>
      <w:r>
        <w:rPr>
          <w:rFonts w:ascii="Times New Roman" w:hAnsi="Times New Roman" w:eastAsia="Times New Roman" w:cs="Times New Roman"/>
          <w:spacing w:val="-8"/>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8"/>
          <w:sz w:val="24"/>
          <w:szCs w:val="24"/>
        </w:rPr>
        <w:t>：文成玉壶至黄寮公路（玉黄线） 、玉壶至西里公路（玉</w:t>
      </w:r>
      <w:r>
        <w:rPr>
          <w:rFonts w:ascii="宋体" w:hAnsi="宋体" w:eastAsia="宋体" w:cs="宋体"/>
          <w:spacing w:val="-9"/>
          <w:sz w:val="24"/>
          <w:szCs w:val="24"/>
        </w:rPr>
        <w:t>西线） 、瑞</w:t>
      </w:r>
      <w:r>
        <w:rPr>
          <w:rFonts w:ascii="宋体" w:hAnsi="宋体" w:eastAsia="宋体" w:cs="宋体"/>
          <w:sz w:val="24"/>
          <w:szCs w:val="24"/>
        </w:rPr>
        <w:t xml:space="preserve"> </w:t>
      </w:r>
      <w:r>
        <w:rPr>
          <w:rFonts w:ascii="宋体" w:hAnsi="宋体" w:eastAsia="宋体" w:cs="宋体"/>
          <w:spacing w:val="-10"/>
          <w:sz w:val="24"/>
          <w:szCs w:val="24"/>
        </w:rPr>
        <w:t>安马屿至文成西坑公路（马西线） 、大峃至叶胜林场公路（大叶线） 、文成岚岩</w:t>
      </w:r>
    </w:p>
    <w:p>
      <w:pPr>
        <w:spacing w:line="219" w:lineRule="auto"/>
        <w:ind w:left="40"/>
        <w:rPr>
          <w:rFonts w:ascii="宋体" w:hAnsi="宋体" w:eastAsia="宋体" w:cs="宋体"/>
          <w:sz w:val="24"/>
          <w:szCs w:val="24"/>
        </w:rPr>
      </w:pPr>
      <w:r>
        <w:rPr>
          <w:rFonts w:ascii="宋体" w:hAnsi="宋体" w:eastAsia="宋体" w:cs="宋体"/>
          <w:spacing w:val="-3"/>
          <w:sz w:val="24"/>
          <w:szCs w:val="24"/>
        </w:rPr>
        <w:t>至云湖公路（岚云线）</w:t>
      </w:r>
    </w:p>
    <w:p>
      <w:pPr>
        <w:spacing w:before="182" w:line="359" w:lineRule="auto"/>
        <w:ind w:left="38" w:right="30" w:firstLine="425"/>
        <w:jc w:val="both"/>
        <w:rPr>
          <w:rFonts w:ascii="宋体" w:hAnsi="宋体" w:eastAsia="宋体" w:cs="宋体"/>
          <w:sz w:val="24"/>
          <w:szCs w:val="24"/>
        </w:rPr>
      </w:pPr>
      <w:r>
        <w:rPr>
          <w:rFonts w:ascii="Times New Roman" w:hAnsi="Times New Roman" w:eastAsia="Times New Roman" w:cs="Times New Roman"/>
          <w:spacing w:val="-8"/>
          <w:sz w:val="24"/>
          <w:szCs w:val="24"/>
        </w:rPr>
        <w:t>“</w:t>
      </w:r>
      <w:r>
        <w:rPr>
          <w:rFonts w:ascii="宋体" w:hAnsi="宋体" w:eastAsia="宋体" w:cs="宋体"/>
          <w:spacing w:val="-8"/>
          <w:sz w:val="24"/>
          <w:szCs w:val="24"/>
        </w:rPr>
        <w:t>十三联</w:t>
      </w:r>
      <w:r>
        <w:rPr>
          <w:rFonts w:ascii="Times New Roman" w:hAnsi="Times New Roman" w:eastAsia="Times New Roman" w:cs="Times New Roman"/>
          <w:spacing w:val="-8"/>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8"/>
          <w:sz w:val="24"/>
          <w:szCs w:val="24"/>
        </w:rPr>
        <w:t>：玉壶至十源公路（玉十线） 、后坑至炭场公路（后炭线）</w:t>
      </w:r>
      <w:r>
        <w:rPr>
          <w:rFonts w:ascii="宋体" w:hAnsi="宋体" w:eastAsia="宋体" w:cs="宋体"/>
          <w:spacing w:val="-9"/>
          <w:sz w:val="24"/>
          <w:szCs w:val="24"/>
        </w:rPr>
        <w:t xml:space="preserve"> 、文成</w:t>
      </w:r>
      <w:r>
        <w:rPr>
          <w:rFonts w:ascii="宋体" w:hAnsi="宋体" w:eastAsia="宋体" w:cs="宋体"/>
          <w:sz w:val="24"/>
          <w:szCs w:val="24"/>
        </w:rPr>
        <w:t xml:space="preserve"> </w:t>
      </w:r>
      <w:r>
        <w:rPr>
          <w:rFonts w:ascii="宋体" w:hAnsi="宋体" w:eastAsia="宋体" w:cs="宋体"/>
          <w:spacing w:val="-8"/>
          <w:sz w:val="24"/>
          <w:szCs w:val="24"/>
        </w:rPr>
        <w:t>樟台至柳山公路（樟柳线）</w:t>
      </w:r>
      <w:r>
        <w:rPr>
          <w:rFonts w:ascii="宋体" w:hAnsi="宋体" w:eastAsia="宋体" w:cs="宋体"/>
          <w:spacing w:val="-57"/>
          <w:sz w:val="24"/>
          <w:szCs w:val="24"/>
        </w:rPr>
        <w:t xml:space="preserve"> </w:t>
      </w:r>
      <w:r>
        <w:rPr>
          <w:rFonts w:ascii="宋体" w:hAnsi="宋体" w:eastAsia="宋体" w:cs="宋体"/>
          <w:spacing w:val="-8"/>
          <w:sz w:val="24"/>
          <w:szCs w:val="24"/>
        </w:rPr>
        <w:t>、平和东方至双桂公路（东双线） 、峃口至周山公路</w:t>
      </w:r>
      <w:r>
        <w:rPr>
          <w:rFonts w:ascii="宋体" w:hAnsi="宋体" w:eastAsia="宋体" w:cs="宋体"/>
          <w:sz w:val="24"/>
          <w:szCs w:val="24"/>
        </w:rPr>
        <w:t xml:space="preserve"> </w:t>
      </w:r>
      <w:r>
        <w:rPr>
          <w:rFonts w:ascii="宋体" w:hAnsi="宋体" w:eastAsia="宋体" w:cs="宋体"/>
          <w:spacing w:val="-4"/>
          <w:sz w:val="24"/>
          <w:szCs w:val="24"/>
        </w:rPr>
        <w:t>（峃周线）、九山至公阳公路（九公线）、龙川至沙垟公路（龙沙线）  、西坑</w:t>
      </w:r>
      <w:r>
        <w:rPr>
          <w:rFonts w:ascii="宋体" w:hAnsi="宋体" w:eastAsia="宋体" w:cs="宋体"/>
          <w:spacing w:val="5"/>
          <w:sz w:val="24"/>
          <w:szCs w:val="24"/>
        </w:rPr>
        <w:t xml:space="preserve"> </w:t>
      </w:r>
      <w:r>
        <w:rPr>
          <w:rFonts w:ascii="宋体" w:hAnsi="宋体" w:eastAsia="宋体" w:cs="宋体"/>
          <w:spacing w:val="-9"/>
          <w:sz w:val="24"/>
          <w:szCs w:val="24"/>
        </w:rPr>
        <w:t>互通至百丈漈公路（西百线）</w:t>
      </w:r>
      <w:r>
        <w:rPr>
          <w:rFonts w:ascii="宋体" w:hAnsi="宋体" w:eastAsia="宋体" w:cs="宋体"/>
          <w:spacing w:val="-21"/>
          <w:sz w:val="24"/>
          <w:szCs w:val="24"/>
        </w:rPr>
        <w:t xml:space="preserve"> </w:t>
      </w:r>
      <w:r>
        <w:rPr>
          <w:rFonts w:ascii="宋体" w:hAnsi="宋体" w:eastAsia="宋体" w:cs="宋体"/>
          <w:spacing w:val="-9"/>
          <w:sz w:val="24"/>
          <w:szCs w:val="24"/>
        </w:rPr>
        <w:t>、梧溪至龙麒源公路（梧龙线） 、文成铜铃山至景</w:t>
      </w:r>
      <w:r>
        <w:rPr>
          <w:rFonts w:ascii="宋体" w:hAnsi="宋体" w:eastAsia="宋体" w:cs="宋体"/>
          <w:sz w:val="24"/>
          <w:szCs w:val="24"/>
        </w:rPr>
        <w:t xml:space="preserve"> </w:t>
      </w:r>
      <w:r>
        <w:rPr>
          <w:rFonts w:ascii="宋体" w:hAnsi="宋体" w:eastAsia="宋体" w:cs="宋体"/>
          <w:spacing w:val="-9"/>
          <w:sz w:val="24"/>
          <w:szCs w:val="24"/>
        </w:rPr>
        <w:t>宁梅岐公路（铜梅线） 、文成珊溪至泰顺龟湖公路（珊</w:t>
      </w:r>
      <w:r>
        <w:rPr>
          <w:rFonts w:ascii="宋体" w:hAnsi="宋体" w:eastAsia="宋体" w:cs="宋体"/>
          <w:spacing w:val="-10"/>
          <w:sz w:val="24"/>
          <w:szCs w:val="24"/>
        </w:rPr>
        <w:t>湖线） 、平阳南雁至文成</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仰山公路（南仰线）、文成桂山至泰顺柳峰公路（桂柳线）</w:t>
      </w:r>
    </w:p>
    <w:p>
      <w:pPr>
        <w:spacing w:line="218" w:lineRule="auto"/>
        <w:rPr>
          <w:rFonts w:ascii="宋体" w:hAnsi="宋体" w:eastAsia="宋体" w:cs="宋体"/>
          <w:sz w:val="24"/>
          <w:szCs w:val="24"/>
        </w:rPr>
        <w:sectPr>
          <w:headerReference r:id="rId59" w:type="default"/>
          <w:footerReference r:id="rId60" w:type="default"/>
          <w:pgSz w:w="11907" w:h="16839"/>
          <w:pgMar w:top="1118" w:right="1769" w:bottom="1184" w:left="1771" w:header="879" w:footer="1024" w:gutter="0"/>
          <w:cols w:space="720" w:num="1"/>
        </w:sectPr>
      </w:pPr>
    </w:p>
    <w:p>
      <w:pPr>
        <w:pStyle w:val="2"/>
        <w:spacing w:line="249" w:lineRule="auto"/>
      </w:pPr>
      <w:r>
        <w:drawing>
          <wp:anchor distT="0" distB="0" distL="0" distR="0" simplePos="0" relativeHeight="251660288" behindDoc="1" locked="0" layoutInCell="0" allowOverlap="1">
            <wp:simplePos x="0" y="0"/>
            <wp:positionH relativeFrom="page">
              <wp:posOffset>1143000</wp:posOffset>
            </wp:positionH>
            <wp:positionV relativeFrom="page">
              <wp:posOffset>914400</wp:posOffset>
            </wp:positionV>
            <wp:extent cx="5380990" cy="755586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05"/>
                    <a:stretch>
                      <a:fillRect/>
                    </a:stretch>
                  </pic:blipFill>
                  <pic:spPr>
                    <a:xfrm>
                      <a:off x="0" y="0"/>
                      <a:ext cx="5380990" cy="7555865"/>
                    </a:xfrm>
                    <a:prstGeom prst="rect">
                      <a:avLst/>
                    </a:prstGeom>
                  </pic:spPr>
                </pic:pic>
              </a:graphicData>
            </a:graphic>
          </wp:anchor>
        </w:drawing>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945" w:lineRule="exact"/>
        <w:ind w:firstLine="3091"/>
      </w:pPr>
      <w:r>
        <w:rPr>
          <w:position w:val="-18"/>
        </w:rPr>
        <w:pict>
          <v:group id="_x0000_s1026" o:spid="_x0000_s1026" o:spt="203" style="height:47.25pt;width:57.1pt;" coordsize="1141,945">
            <o:lock v:ext="edit"/>
            <v:group id="_x0000_s1027" o:spid="_x0000_s1027" o:spt="203" style="position:absolute;left:0;top:0;height:945;width:1141;" coordsize="1141,945">
              <o:lock v:ext="edit"/>
              <v:shape id="_x0000_s1028" o:spid="_x0000_s1028" style="position:absolute;left:10;top:10;height:925;width:1121;" fillcolor="#FFFFFF" filled="t" stroked="f" coordsize="1121,925" path="m244,469c148,469,69,503,69,545l69,659,69,849c69,891,148,925,244,925l507,925,946,925c1042,925,1121,891,1121,849l1121,659,1121,545c1121,503,1042,469,946,469l507,469,0,0,244,469xe">
                <v:path/>
                <v:fill on="t" focussize="0,0"/>
                <v:stroke on="f"/>
                <v:imagedata o:title=""/>
                <o:lock v:ext="edit"/>
              </v:shape>
              <v:shape id="_x0000_s1029" o:spid="_x0000_s1029" style="position:absolute;left:0;top:0;height:945;width:1141;" filled="f" stroked="t" coordsize="1141,945" path="m254,479c158,479,79,513,79,555l79,669,79,859c79,901,158,935,254,935l517,935,956,935c1052,935,1131,901,1131,859l1131,669,1131,555c1131,513,1052,479,956,479l517,479,10,10,254,479xe">
                <v:fill on="f" focussize="0,0"/>
                <v:stroke weight="1pt" color="#2F5597" miterlimit="10" joinstyle="miter" endcap="round"/>
                <v:imagedata o:title=""/>
                <o:lock v:ext="edit"/>
              </v:shape>
            </v:group>
            <v:shape id="_x0000_s1030" o:spid="_x0000_s1030" o:spt="202" type="#_x0000_t202" style="position:absolute;left:-20;top:-20;height:985;width:1181;" filled="f" stroked="f" coordsize="21600,21600">
              <v:path/>
              <v:fill on="f" focussize="0,0"/>
              <v:stroke on="f"/>
              <v:imagedata o:title=""/>
              <o:lock v:ext="edit" aspectratio="f"/>
              <v:textbox inset="0mm,0mm,0mm,0mm">
                <w:txbxContent>
                  <w:p>
                    <w:pPr>
                      <w:spacing w:line="275" w:lineRule="auto"/>
                      <w:rPr>
                        <w:rFonts w:ascii="Arial"/>
                        <w:sz w:val="21"/>
                      </w:rPr>
                    </w:pPr>
                  </w:p>
                  <w:p>
                    <w:pPr>
                      <w:spacing w:line="275" w:lineRule="auto"/>
                      <w:rPr>
                        <w:rFonts w:ascii="Arial"/>
                        <w:sz w:val="21"/>
                      </w:rPr>
                    </w:pPr>
                  </w:p>
                  <w:p>
                    <w:pPr>
                      <w:spacing w:before="69" w:line="220" w:lineRule="auto"/>
                      <w:ind w:left="319"/>
                      <w:rPr>
                        <w:rFonts w:ascii="宋体" w:hAnsi="宋体" w:eastAsia="宋体" w:cs="宋体"/>
                        <w:sz w:val="21"/>
                        <w:szCs w:val="21"/>
                      </w:rPr>
                    </w:pPr>
                    <w:r>
                      <w:rPr>
                        <w:rFonts w:ascii="宋体" w:hAnsi="宋体" w:eastAsia="宋体" w:cs="宋体"/>
                        <w:spacing w:val="-2"/>
                        <w:sz w:val="21"/>
                        <w:szCs w:val="21"/>
                      </w:rPr>
                      <w:t>本项目</w:t>
                    </w:r>
                  </w:p>
                </w:txbxContent>
              </v:textbox>
            </v:shape>
            <w10:wrap type="none"/>
            <w10:anchorlock/>
          </v:group>
        </w:pict>
      </w: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78" w:line="219" w:lineRule="auto"/>
        <w:ind w:left="1775"/>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55"/>
          <w:sz w:val="24"/>
          <w:szCs w:val="24"/>
        </w:rPr>
        <w:t xml:space="preserve"> </w:t>
      </w:r>
      <w:r>
        <w:fldChar w:fldCharType="begin"/>
      </w:r>
      <w:r>
        <w:instrText xml:space="preserve"> HYPERLINK "2.4.1.5" </w:instrText>
      </w:r>
      <w:r>
        <w:fldChar w:fldCharType="separate"/>
      </w:r>
      <w:r>
        <w:rPr>
          <w:rFonts w:ascii="Times New Roman" w:hAnsi="Times New Roman" w:eastAsia="Times New Roman" w:cs="Times New Roman"/>
          <w:spacing w:val="-2"/>
          <w:sz w:val="24"/>
          <w:szCs w:val="24"/>
        </w:rPr>
        <w:t>2.4.1.5</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本项目在综合交</w:t>
      </w:r>
      <w:r>
        <w:rPr>
          <w:rFonts w:ascii="宋体" w:hAnsi="宋体" w:eastAsia="宋体" w:cs="宋体"/>
          <w:spacing w:val="-3"/>
          <w:sz w:val="24"/>
          <w:szCs w:val="24"/>
        </w:rPr>
        <w:t>通规划图的位置</w:t>
      </w:r>
    </w:p>
    <w:p>
      <w:pPr>
        <w:spacing w:before="180" w:line="220" w:lineRule="auto"/>
        <w:ind w:left="524"/>
        <w:rPr>
          <w:rFonts w:ascii="宋体" w:hAnsi="宋体" w:eastAsia="宋体" w:cs="宋体"/>
          <w:sz w:val="24"/>
          <w:szCs w:val="24"/>
        </w:rPr>
      </w:pPr>
      <w:r>
        <w:rPr>
          <w:rFonts w:ascii="宋体" w:hAnsi="宋体" w:eastAsia="宋体" w:cs="宋体"/>
          <w:spacing w:val="-3"/>
          <w:sz w:val="24"/>
          <w:szCs w:val="24"/>
        </w:rPr>
        <w:t>（二）符合性分析</w:t>
      </w:r>
    </w:p>
    <w:p>
      <w:pPr>
        <w:spacing w:before="182" w:line="466" w:lineRule="exact"/>
        <w:ind w:left="519"/>
        <w:rPr>
          <w:rFonts w:ascii="宋体" w:hAnsi="宋体" w:eastAsia="宋体" w:cs="宋体"/>
          <w:sz w:val="24"/>
          <w:szCs w:val="24"/>
        </w:rPr>
      </w:pPr>
      <w:r>
        <w:rPr>
          <w:rFonts w:ascii="宋体" w:hAnsi="宋体" w:eastAsia="宋体" w:cs="宋体"/>
          <w:spacing w:val="-3"/>
          <w:position w:val="17"/>
          <w:sz w:val="24"/>
          <w:szCs w:val="24"/>
        </w:rPr>
        <w:t>本项目为景文高速公路即溧宁高速文景段的配套连接线项目。本</w:t>
      </w:r>
      <w:r>
        <w:rPr>
          <w:rFonts w:ascii="宋体" w:hAnsi="宋体" w:eastAsia="宋体" w:cs="宋体"/>
          <w:spacing w:val="-4"/>
          <w:position w:val="17"/>
          <w:sz w:val="24"/>
          <w:szCs w:val="24"/>
        </w:rPr>
        <w:t>项目的建设</w:t>
      </w:r>
    </w:p>
    <w:p>
      <w:pPr>
        <w:spacing w:before="1" w:line="218" w:lineRule="auto"/>
        <w:ind w:left="36"/>
        <w:rPr>
          <w:rFonts w:ascii="宋体" w:hAnsi="宋体" w:eastAsia="宋体" w:cs="宋体"/>
          <w:sz w:val="24"/>
          <w:szCs w:val="24"/>
        </w:rPr>
      </w:pPr>
      <w:r>
        <w:rPr>
          <w:rFonts w:ascii="宋体" w:hAnsi="宋体" w:eastAsia="宋体" w:cs="宋体"/>
          <w:spacing w:val="-6"/>
          <w:sz w:val="24"/>
          <w:szCs w:val="24"/>
        </w:rPr>
        <w:t>将完善浙江西南部山区旅游景点与高速公路有机结合路网布局的需要，</w:t>
      </w:r>
      <w:r>
        <w:rPr>
          <w:rFonts w:ascii="宋体" w:hAnsi="宋体" w:eastAsia="宋体" w:cs="宋体"/>
          <w:spacing w:val="-9"/>
          <w:sz w:val="24"/>
          <w:szCs w:val="24"/>
        </w:rPr>
        <w:t xml:space="preserve"> </w:t>
      </w:r>
      <w:r>
        <w:rPr>
          <w:rFonts w:ascii="宋体" w:hAnsi="宋体" w:eastAsia="宋体" w:cs="宋体"/>
          <w:spacing w:val="-6"/>
          <w:sz w:val="24"/>
          <w:szCs w:val="24"/>
        </w:rPr>
        <w:t>是实现城</w:t>
      </w:r>
    </w:p>
    <w:p>
      <w:pPr>
        <w:spacing w:line="218" w:lineRule="auto"/>
        <w:rPr>
          <w:rFonts w:ascii="宋体" w:hAnsi="宋体" w:eastAsia="宋体" w:cs="宋体"/>
          <w:sz w:val="24"/>
          <w:szCs w:val="24"/>
        </w:rPr>
        <w:sectPr>
          <w:headerReference r:id="rId61" w:type="default"/>
          <w:footerReference r:id="rId62" w:type="default"/>
          <w:pgSz w:w="11907" w:h="16839"/>
          <w:pgMar w:top="1118" w:right="1632" w:bottom="1184" w:left="1771" w:header="879" w:footer="1024" w:gutter="0"/>
          <w:cols w:space="720" w:num="1"/>
        </w:sectPr>
      </w:pPr>
    </w:p>
    <w:p>
      <w:pPr>
        <w:pStyle w:val="2"/>
        <w:spacing w:line="280" w:lineRule="auto"/>
      </w:pPr>
    </w:p>
    <w:p>
      <w:pPr>
        <w:spacing w:before="78" w:line="359" w:lineRule="auto"/>
        <w:ind w:left="37" w:right="58" w:firstLine="11"/>
        <w:jc w:val="both"/>
        <w:rPr>
          <w:rFonts w:ascii="宋体" w:hAnsi="宋体" w:eastAsia="宋体" w:cs="宋体"/>
          <w:sz w:val="24"/>
          <w:szCs w:val="24"/>
        </w:rPr>
      </w:pPr>
      <w:r>
        <w:rPr>
          <w:rFonts w:ascii="宋体" w:hAnsi="宋体" w:eastAsia="宋体" w:cs="宋体"/>
          <w:spacing w:val="-3"/>
          <w:sz w:val="24"/>
          <w:szCs w:val="24"/>
        </w:rPr>
        <w:t>乡交通一体化的需要。本项目的建设能够连接文成百丈漈</w:t>
      </w:r>
      <w:r>
        <w:rPr>
          <w:rFonts w:ascii="宋体" w:hAnsi="宋体" w:eastAsia="宋体" w:cs="宋体"/>
          <w:spacing w:val="-4"/>
          <w:sz w:val="24"/>
          <w:szCs w:val="24"/>
        </w:rPr>
        <w:t>、南田、西坑至景文高</w:t>
      </w:r>
      <w:r>
        <w:rPr>
          <w:rFonts w:ascii="宋体" w:hAnsi="宋体" w:eastAsia="宋体" w:cs="宋体"/>
          <w:sz w:val="24"/>
          <w:szCs w:val="24"/>
        </w:rPr>
        <w:t xml:space="preserve"> </w:t>
      </w:r>
      <w:r>
        <w:rPr>
          <w:rFonts w:ascii="宋体" w:hAnsi="宋体" w:eastAsia="宋体" w:cs="宋体"/>
          <w:spacing w:val="-9"/>
          <w:sz w:val="24"/>
          <w:szCs w:val="24"/>
        </w:rPr>
        <w:t>速公路与地方上公路， 使得西坑互通的交通转换功能</w:t>
      </w:r>
      <w:r>
        <w:rPr>
          <w:rFonts w:ascii="宋体" w:hAnsi="宋体" w:eastAsia="宋体" w:cs="宋体"/>
          <w:spacing w:val="-10"/>
          <w:sz w:val="24"/>
          <w:szCs w:val="24"/>
        </w:rPr>
        <w:t>大幅提升， 建设后将极大地</w:t>
      </w:r>
      <w:r>
        <w:rPr>
          <w:rFonts w:ascii="宋体" w:hAnsi="宋体" w:eastAsia="宋体" w:cs="宋体"/>
          <w:sz w:val="24"/>
          <w:szCs w:val="24"/>
        </w:rPr>
        <w:t xml:space="preserve"> </w:t>
      </w:r>
      <w:r>
        <w:rPr>
          <w:rFonts w:ascii="宋体" w:hAnsi="宋体" w:eastAsia="宋体" w:cs="宋体"/>
          <w:spacing w:val="-9"/>
          <w:sz w:val="24"/>
          <w:szCs w:val="24"/>
        </w:rPr>
        <w:t>完善周边区域的路网结构， 改善交通出行条件， 解</w:t>
      </w:r>
      <w:r>
        <w:rPr>
          <w:rFonts w:ascii="宋体" w:hAnsi="宋体" w:eastAsia="宋体" w:cs="宋体"/>
          <w:spacing w:val="-10"/>
          <w:sz w:val="24"/>
          <w:szCs w:val="24"/>
        </w:rPr>
        <w:t>决困扰区域发展的交通出行要</w:t>
      </w:r>
      <w:r>
        <w:rPr>
          <w:rFonts w:ascii="宋体" w:hAnsi="宋体" w:eastAsia="宋体" w:cs="宋体"/>
          <w:sz w:val="24"/>
          <w:szCs w:val="24"/>
        </w:rPr>
        <w:t xml:space="preserve"> </w:t>
      </w:r>
      <w:r>
        <w:rPr>
          <w:rFonts w:ascii="宋体" w:hAnsi="宋体" w:eastAsia="宋体" w:cs="宋体"/>
          <w:spacing w:val="-6"/>
          <w:sz w:val="24"/>
          <w:szCs w:val="24"/>
        </w:rPr>
        <w:t>求。本项目在交通规划的廊道内， 项目位于珊溪水库饮用</w:t>
      </w:r>
      <w:r>
        <w:rPr>
          <w:rFonts w:ascii="宋体" w:hAnsi="宋体" w:eastAsia="宋体" w:cs="宋体"/>
          <w:spacing w:val="-7"/>
          <w:sz w:val="24"/>
          <w:szCs w:val="24"/>
        </w:rPr>
        <w:t>水水源保护区准保护区</w:t>
      </w:r>
      <w:r>
        <w:rPr>
          <w:rFonts w:ascii="宋体" w:hAnsi="宋体" w:eastAsia="宋体" w:cs="宋体"/>
          <w:sz w:val="24"/>
          <w:szCs w:val="24"/>
        </w:rPr>
        <w:t xml:space="preserve"> 范围内，不在新划定的百丈漈</w:t>
      </w:r>
      <w:r>
        <w:rPr>
          <w:rFonts w:ascii="Times New Roman" w:hAnsi="Times New Roman" w:eastAsia="Times New Roman" w:cs="Times New Roman"/>
          <w:sz w:val="24"/>
          <w:szCs w:val="24"/>
        </w:rPr>
        <w:t>-</w:t>
      </w:r>
      <w:r>
        <w:rPr>
          <w:rFonts w:ascii="宋体" w:hAnsi="宋体" w:eastAsia="宋体" w:cs="宋体"/>
          <w:sz w:val="24"/>
          <w:szCs w:val="24"/>
        </w:rPr>
        <w:t>飞云湖风景名胜区范围内，</w:t>
      </w:r>
      <w:r>
        <w:rPr>
          <w:rFonts w:ascii="宋体" w:hAnsi="宋体" w:eastAsia="宋体" w:cs="宋体"/>
          <w:spacing w:val="-1"/>
          <w:sz w:val="24"/>
          <w:szCs w:val="24"/>
        </w:rPr>
        <w:t>项目不涉及生态保护</w:t>
      </w:r>
    </w:p>
    <w:p>
      <w:pPr>
        <w:spacing w:line="219" w:lineRule="auto"/>
        <w:ind w:left="43"/>
        <w:rPr>
          <w:rFonts w:ascii="宋体" w:hAnsi="宋体" w:eastAsia="宋体" w:cs="宋体"/>
          <w:sz w:val="24"/>
          <w:szCs w:val="24"/>
        </w:rPr>
      </w:pPr>
      <w:r>
        <w:rPr>
          <w:rFonts w:ascii="宋体" w:hAnsi="宋体" w:eastAsia="宋体" w:cs="宋体"/>
          <w:spacing w:val="-4"/>
          <w:sz w:val="24"/>
          <w:szCs w:val="24"/>
        </w:rPr>
        <w:t>红线、自然保护区等其他敏感区。</w:t>
      </w:r>
    </w:p>
    <w:p>
      <w:pPr>
        <w:spacing w:before="179" w:line="219" w:lineRule="auto"/>
        <w:ind w:left="519"/>
        <w:rPr>
          <w:rFonts w:ascii="宋体" w:hAnsi="宋体" w:eastAsia="宋体" w:cs="宋体"/>
          <w:sz w:val="24"/>
          <w:szCs w:val="24"/>
        </w:rPr>
      </w:pPr>
      <w:r>
        <w:rPr>
          <w:rFonts w:ascii="宋体" w:hAnsi="宋体" w:eastAsia="宋体" w:cs="宋体"/>
          <w:spacing w:val="-1"/>
          <w:sz w:val="24"/>
          <w:szCs w:val="24"/>
        </w:rPr>
        <w:t>本项目的建设满足国土空间规划的要求。</w:t>
      </w:r>
    </w:p>
    <w:p>
      <w:pPr>
        <w:spacing w:before="184" w:line="465" w:lineRule="exact"/>
        <w:ind w:left="34"/>
        <w:rPr>
          <w:rFonts w:ascii="宋体" w:hAnsi="宋体" w:eastAsia="宋体" w:cs="宋体"/>
          <w:sz w:val="24"/>
          <w:szCs w:val="24"/>
        </w:rPr>
      </w:pPr>
      <w:r>
        <w:fldChar w:fldCharType="begin"/>
      </w:r>
      <w:r>
        <w:instrText xml:space="preserve"> HYPERLINK "2.4.1.6" </w:instrText>
      </w:r>
      <w:r>
        <w:fldChar w:fldCharType="separate"/>
      </w:r>
      <w:r>
        <w:rPr>
          <w:rFonts w:ascii="Times New Roman" w:hAnsi="Times New Roman" w:eastAsia="Times New Roman" w:cs="Times New Roman"/>
          <w:b/>
          <w:bCs/>
          <w:spacing w:val="-5"/>
          <w:position w:val="17"/>
          <w:sz w:val="24"/>
          <w:szCs w:val="24"/>
        </w:rPr>
        <w:t>2.4.1.6</w:t>
      </w:r>
      <w:r>
        <w:rPr>
          <w:rFonts w:ascii="Times New Roman" w:hAnsi="Times New Roman" w:eastAsia="Times New Roman" w:cs="Times New Roman"/>
          <w:b/>
          <w:bCs/>
          <w:spacing w:val="-5"/>
          <w:position w:val="17"/>
          <w:sz w:val="24"/>
          <w:szCs w:val="24"/>
        </w:rPr>
        <w:fldChar w:fldCharType="end"/>
      </w:r>
      <w:r>
        <w:rPr>
          <w:rFonts w:ascii="Times New Roman" w:hAnsi="Times New Roman" w:eastAsia="Times New Roman" w:cs="Times New Roman"/>
          <w:b/>
          <w:bCs/>
          <w:spacing w:val="22"/>
          <w:position w:val="17"/>
          <w:sz w:val="24"/>
          <w:szCs w:val="24"/>
        </w:rPr>
        <w:t xml:space="preserve"> </w:t>
      </w:r>
      <w:r>
        <w:rPr>
          <w:rFonts w:ascii="宋体" w:hAnsi="宋体" w:eastAsia="宋体" w:cs="宋体"/>
          <w:spacing w:val="-5"/>
          <w:position w:val="17"/>
          <w:sz w:val="24"/>
          <w:szCs w:val="24"/>
          <w14:textOutline w14:w="4354" w14:cap="flat" w14:cmpd="sng">
            <w14:solidFill>
              <w14:srgbClr w14:val="000000"/>
            </w14:solidFill>
            <w14:prstDash w14:val="solid"/>
            <w14:miter w14:val="0"/>
          </w14:textOutline>
        </w:rPr>
        <w:t>与《百丈漈</w:t>
      </w:r>
      <w:r>
        <w:rPr>
          <w:rFonts w:ascii="Times New Roman" w:hAnsi="Times New Roman" w:eastAsia="Times New Roman" w:cs="Times New Roman"/>
          <w:b/>
          <w:bCs/>
          <w:spacing w:val="-5"/>
          <w:position w:val="17"/>
          <w:sz w:val="24"/>
          <w:szCs w:val="24"/>
        </w:rPr>
        <w:t>-</w:t>
      </w:r>
      <w:r>
        <w:rPr>
          <w:rFonts w:ascii="宋体" w:hAnsi="宋体" w:eastAsia="宋体" w:cs="宋体"/>
          <w:spacing w:val="-5"/>
          <w:position w:val="17"/>
          <w:sz w:val="24"/>
          <w:szCs w:val="24"/>
          <w14:textOutline w14:w="4354" w14:cap="flat" w14:cmpd="sng">
            <w14:solidFill>
              <w14:srgbClr w14:val="000000"/>
            </w14:solidFill>
            <w14:prstDash w14:val="solid"/>
            <w14:miter w14:val="0"/>
          </w14:textOutline>
        </w:rPr>
        <w:t>飞云湖风景名胜区总体规划（</w:t>
      </w:r>
      <w:r>
        <w:rPr>
          <w:rFonts w:ascii="Times New Roman" w:hAnsi="Times New Roman" w:eastAsia="Times New Roman" w:cs="Times New Roman"/>
          <w:b/>
          <w:bCs/>
          <w:spacing w:val="-5"/>
          <w:position w:val="17"/>
          <w:sz w:val="24"/>
          <w:szCs w:val="24"/>
        </w:rPr>
        <w:t xml:space="preserve">2021-2035 </w:t>
      </w:r>
      <w:r>
        <w:rPr>
          <w:rFonts w:ascii="宋体" w:hAnsi="宋体" w:eastAsia="宋体" w:cs="宋体"/>
          <w:spacing w:val="-5"/>
          <w:position w:val="17"/>
          <w:sz w:val="24"/>
          <w:szCs w:val="24"/>
          <w14:textOutline w14:w="4354" w14:cap="flat" w14:cmpd="sng">
            <w14:solidFill>
              <w14:srgbClr w14:val="000000"/>
            </w14:solidFill>
            <w14:prstDash w14:val="solid"/>
            <w14:miter w14:val="0"/>
          </w14:textOutline>
        </w:rPr>
        <w:t>年）</w:t>
      </w:r>
      <w:r>
        <w:rPr>
          <w:rFonts w:ascii="宋体" w:hAnsi="宋体" w:eastAsia="宋体" w:cs="宋体"/>
          <w:spacing w:val="-49"/>
          <w:position w:val="17"/>
          <w:sz w:val="24"/>
          <w:szCs w:val="24"/>
        </w:rPr>
        <w:t xml:space="preserve"> </w:t>
      </w:r>
      <w:r>
        <w:rPr>
          <w:rFonts w:ascii="宋体" w:hAnsi="宋体" w:eastAsia="宋体" w:cs="宋体"/>
          <w:spacing w:val="-5"/>
          <w:position w:val="17"/>
          <w:sz w:val="24"/>
          <w:szCs w:val="24"/>
          <w14:textOutline w14:w="4354" w14:cap="flat" w14:cmpd="sng">
            <w14:solidFill>
              <w14:srgbClr w14:val="000000"/>
            </w14:solidFill>
            <w14:prstDash w14:val="solid"/>
            <w14:miter w14:val="0"/>
          </w14:textOutline>
        </w:rPr>
        <w:t>》（上报稿）</w:t>
      </w:r>
      <w:r>
        <w:rPr>
          <w:rFonts w:ascii="宋体" w:hAnsi="宋体" w:eastAsia="宋体" w:cs="宋体"/>
          <w:spacing w:val="-36"/>
          <w:position w:val="17"/>
          <w:sz w:val="24"/>
          <w:szCs w:val="24"/>
        </w:rPr>
        <w:t xml:space="preserve"> </w:t>
      </w:r>
      <w:r>
        <w:rPr>
          <w:rFonts w:ascii="宋体" w:hAnsi="宋体" w:eastAsia="宋体" w:cs="宋体"/>
          <w:spacing w:val="-5"/>
          <w:position w:val="17"/>
          <w:sz w:val="24"/>
          <w:szCs w:val="24"/>
          <w14:textOutline w14:w="4354" w14:cap="flat" w14:cmpd="sng">
            <w14:solidFill>
              <w14:srgbClr w14:val="000000"/>
            </w14:solidFill>
            <w14:prstDash w14:val="solid"/>
            <w14:miter w14:val="0"/>
          </w14:textOutline>
        </w:rPr>
        <w:t>的</w:t>
      </w:r>
    </w:p>
    <w:p>
      <w:pPr>
        <w:spacing w:before="1" w:line="219" w:lineRule="auto"/>
        <w:ind w:left="40"/>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符合性分析</w:t>
      </w:r>
    </w:p>
    <w:p>
      <w:pPr>
        <w:spacing w:before="182" w:line="466" w:lineRule="exact"/>
        <w:ind w:left="519"/>
        <w:rPr>
          <w:rFonts w:ascii="宋体" w:hAnsi="宋体" w:eastAsia="宋体" w:cs="宋体"/>
          <w:sz w:val="24"/>
          <w:szCs w:val="24"/>
        </w:rPr>
      </w:pPr>
      <w:r>
        <w:rPr>
          <w:rFonts w:ascii="宋体" w:hAnsi="宋体" w:eastAsia="宋体" w:cs="宋体"/>
          <w:spacing w:val="-3"/>
          <w:position w:val="17"/>
          <w:sz w:val="24"/>
          <w:szCs w:val="24"/>
        </w:rPr>
        <w:t>《百丈漈</w:t>
      </w:r>
      <w:r>
        <w:rPr>
          <w:rFonts w:ascii="Times New Roman" w:hAnsi="Times New Roman" w:eastAsia="Times New Roman" w:cs="Times New Roman"/>
          <w:spacing w:val="-3"/>
          <w:position w:val="17"/>
          <w:sz w:val="24"/>
          <w:szCs w:val="24"/>
        </w:rPr>
        <w:t>-</w:t>
      </w:r>
      <w:r>
        <w:rPr>
          <w:rFonts w:ascii="宋体" w:hAnsi="宋体" w:eastAsia="宋体" w:cs="宋体"/>
          <w:spacing w:val="-3"/>
          <w:position w:val="17"/>
          <w:sz w:val="24"/>
          <w:szCs w:val="24"/>
        </w:rPr>
        <w:t>飞云湖风景名胜区总体规划（</w:t>
      </w:r>
      <w:r>
        <w:rPr>
          <w:rFonts w:ascii="Times New Roman" w:hAnsi="Times New Roman" w:eastAsia="Times New Roman" w:cs="Times New Roman"/>
          <w:spacing w:val="-3"/>
          <w:position w:val="17"/>
          <w:sz w:val="24"/>
          <w:szCs w:val="24"/>
        </w:rPr>
        <w:t xml:space="preserve">2021-2035 </w:t>
      </w:r>
      <w:r>
        <w:rPr>
          <w:rFonts w:ascii="宋体" w:hAnsi="宋体" w:eastAsia="宋体" w:cs="宋体"/>
          <w:spacing w:val="-3"/>
          <w:position w:val="17"/>
          <w:sz w:val="24"/>
          <w:szCs w:val="24"/>
        </w:rPr>
        <w:t>年）》已通过市县及省级</w:t>
      </w:r>
    </w:p>
    <w:p>
      <w:pPr>
        <w:spacing w:before="1" w:line="219" w:lineRule="auto"/>
        <w:ind w:left="50"/>
        <w:rPr>
          <w:rFonts w:ascii="宋体" w:hAnsi="宋体" w:eastAsia="宋体" w:cs="宋体"/>
          <w:sz w:val="24"/>
          <w:szCs w:val="24"/>
        </w:rPr>
      </w:pPr>
      <w:r>
        <w:rPr>
          <w:rFonts w:ascii="宋体" w:hAnsi="宋体" w:eastAsia="宋体" w:cs="宋体"/>
          <w:spacing w:val="-3"/>
          <w:sz w:val="24"/>
          <w:szCs w:val="24"/>
        </w:rPr>
        <w:t>审查，目前已上报国家进行审批，但暂未批复。</w:t>
      </w:r>
    </w:p>
    <w:p>
      <w:pPr>
        <w:spacing w:before="182"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）规划概况</w:t>
      </w:r>
    </w:p>
    <w:p>
      <w:pPr>
        <w:spacing w:before="180" w:line="220" w:lineRule="auto"/>
        <w:ind w:left="536"/>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）规划范围与面积</w:t>
      </w:r>
    </w:p>
    <w:p>
      <w:pPr>
        <w:spacing w:before="183" w:line="359" w:lineRule="auto"/>
        <w:ind w:left="39" w:right="58" w:firstLine="479"/>
        <w:rPr>
          <w:rFonts w:ascii="宋体" w:hAnsi="宋体" w:eastAsia="宋体" w:cs="宋体"/>
          <w:sz w:val="24"/>
          <w:szCs w:val="24"/>
        </w:rPr>
      </w:pPr>
      <w:r>
        <w:rPr>
          <w:rFonts w:ascii="宋体" w:hAnsi="宋体" w:eastAsia="宋体" w:cs="宋体"/>
          <w:spacing w:val="-5"/>
          <w:sz w:val="24"/>
          <w:szCs w:val="24"/>
        </w:rPr>
        <w:t>风景区总面积</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 xml:space="preserve">558.8 </w:t>
      </w:r>
      <w:r>
        <w:rPr>
          <w:rFonts w:ascii="宋体" w:hAnsi="宋体" w:eastAsia="宋体" w:cs="宋体"/>
          <w:spacing w:val="-5"/>
          <w:sz w:val="24"/>
          <w:szCs w:val="24"/>
        </w:rPr>
        <w:t>平方公里， 分为百丈漈、飞云湖两大片区。百丈漈片区</w:t>
      </w:r>
      <w:r>
        <w:rPr>
          <w:rFonts w:ascii="宋体" w:hAnsi="宋体" w:eastAsia="宋体" w:cs="宋体"/>
          <w:sz w:val="24"/>
          <w:szCs w:val="24"/>
        </w:rPr>
        <w:t xml:space="preserve"> </w:t>
      </w:r>
      <w:r>
        <w:rPr>
          <w:rFonts w:ascii="宋体" w:hAnsi="宋体" w:eastAsia="宋体" w:cs="宋体"/>
          <w:spacing w:val="-2"/>
          <w:sz w:val="24"/>
          <w:szCs w:val="24"/>
        </w:rPr>
        <w:t>面积</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287.8 </w:t>
      </w:r>
      <w:r>
        <w:rPr>
          <w:rFonts w:ascii="宋体" w:hAnsi="宋体" w:eastAsia="宋体" w:cs="宋体"/>
          <w:spacing w:val="-2"/>
          <w:sz w:val="24"/>
          <w:szCs w:val="24"/>
        </w:rPr>
        <w:t>平方公里，范围：东、北至文成县域行政边界，南至峡谷景廊入口，</w:t>
      </w:r>
      <w:r>
        <w:rPr>
          <w:rFonts w:ascii="宋体" w:hAnsi="宋体" w:eastAsia="宋体" w:cs="宋体"/>
          <w:sz w:val="24"/>
          <w:szCs w:val="24"/>
        </w:rPr>
        <w:t xml:space="preserve"> </w:t>
      </w:r>
      <w:r>
        <w:rPr>
          <w:rFonts w:ascii="宋体" w:hAnsi="宋体" w:eastAsia="宋体" w:cs="宋体"/>
          <w:spacing w:val="-1"/>
          <w:sz w:val="24"/>
          <w:szCs w:val="24"/>
        </w:rPr>
        <w:t>西至南田、二源集镇以东及天顶湖沿水岸线</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50 </w:t>
      </w:r>
      <w:r>
        <w:rPr>
          <w:rFonts w:ascii="宋体" w:hAnsi="宋体" w:eastAsia="宋体" w:cs="宋体"/>
          <w:spacing w:val="-1"/>
          <w:sz w:val="24"/>
          <w:szCs w:val="24"/>
        </w:rPr>
        <w:t>米。飞云湖片区面积</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271 </w:t>
      </w:r>
      <w:r>
        <w:rPr>
          <w:rFonts w:ascii="宋体" w:hAnsi="宋体" w:eastAsia="宋体" w:cs="宋体"/>
          <w:spacing w:val="-1"/>
          <w:sz w:val="24"/>
          <w:szCs w:val="24"/>
        </w:rPr>
        <w:t>平方公</w:t>
      </w:r>
      <w:r>
        <w:rPr>
          <w:rFonts w:ascii="宋体" w:hAnsi="宋体" w:eastAsia="宋体" w:cs="宋体"/>
          <w:sz w:val="24"/>
          <w:szCs w:val="24"/>
        </w:rPr>
        <w:t xml:space="preserve"> </w:t>
      </w:r>
      <w:r>
        <w:rPr>
          <w:rFonts w:ascii="宋体" w:hAnsi="宋体" w:eastAsia="宋体" w:cs="宋体"/>
          <w:spacing w:val="-16"/>
          <w:sz w:val="24"/>
          <w:szCs w:val="24"/>
        </w:rPr>
        <w:t>里，</w:t>
      </w:r>
      <w:r>
        <w:rPr>
          <w:rFonts w:ascii="宋体" w:hAnsi="宋体" w:eastAsia="宋体" w:cs="宋体"/>
          <w:spacing w:val="-40"/>
          <w:sz w:val="24"/>
          <w:szCs w:val="24"/>
        </w:rPr>
        <w:t xml:space="preserve"> </w:t>
      </w:r>
      <w:r>
        <w:rPr>
          <w:rFonts w:ascii="宋体" w:hAnsi="宋体" w:eastAsia="宋体" w:cs="宋体"/>
          <w:spacing w:val="-16"/>
          <w:sz w:val="24"/>
          <w:szCs w:val="24"/>
        </w:rPr>
        <w:t>范围： 北、西至文成县域行政边界，</w:t>
      </w:r>
      <w:r>
        <w:rPr>
          <w:rFonts w:ascii="宋体" w:hAnsi="宋体" w:eastAsia="宋体" w:cs="宋体"/>
          <w:spacing w:val="49"/>
          <w:sz w:val="24"/>
          <w:szCs w:val="24"/>
        </w:rPr>
        <w:t xml:space="preserve"> </w:t>
      </w:r>
      <w:r>
        <w:rPr>
          <w:rFonts w:ascii="宋体" w:hAnsi="宋体" w:eastAsia="宋体" w:cs="宋体"/>
          <w:spacing w:val="-16"/>
          <w:sz w:val="24"/>
          <w:szCs w:val="24"/>
        </w:rPr>
        <w:t>南至山华林场、桂山乡行政边界，</w:t>
      </w:r>
      <w:r>
        <w:rPr>
          <w:rFonts w:ascii="宋体" w:hAnsi="宋体" w:eastAsia="宋体" w:cs="宋体"/>
          <w:spacing w:val="-17"/>
          <w:sz w:val="24"/>
          <w:szCs w:val="24"/>
        </w:rPr>
        <w:t xml:space="preserve"> 东至</w:t>
      </w:r>
    </w:p>
    <w:p>
      <w:pPr>
        <w:spacing w:line="219" w:lineRule="auto"/>
        <w:ind w:left="37"/>
        <w:rPr>
          <w:rFonts w:ascii="宋体" w:hAnsi="宋体" w:eastAsia="宋体" w:cs="宋体"/>
          <w:sz w:val="24"/>
          <w:szCs w:val="24"/>
        </w:rPr>
      </w:pPr>
      <w:r>
        <w:rPr>
          <w:rFonts w:ascii="宋体" w:hAnsi="宋体" w:eastAsia="宋体" w:cs="宋体"/>
          <w:spacing w:val="-2"/>
          <w:sz w:val="24"/>
          <w:szCs w:val="24"/>
        </w:rPr>
        <w:t>珊溪水库大坝管理范围以西、铜铃山镇行政界线。</w:t>
      </w:r>
    </w:p>
    <w:p>
      <w:pPr>
        <w:spacing w:before="182" w:line="359" w:lineRule="auto"/>
        <w:ind w:left="37" w:right="60" w:firstLine="481"/>
        <w:rPr>
          <w:rFonts w:ascii="宋体" w:hAnsi="宋体" w:eastAsia="宋体" w:cs="宋体"/>
          <w:sz w:val="24"/>
          <w:szCs w:val="24"/>
        </w:rPr>
      </w:pPr>
      <w:r>
        <w:rPr>
          <w:rFonts w:ascii="宋体" w:hAnsi="宋体" w:eastAsia="宋体" w:cs="宋体"/>
          <w:spacing w:val="-8"/>
          <w:sz w:val="24"/>
          <w:szCs w:val="24"/>
        </w:rPr>
        <w:t>风景区核心景区面积</w:t>
      </w:r>
      <w:r>
        <w:rPr>
          <w:rFonts w:ascii="宋体" w:hAnsi="宋体" w:eastAsia="宋体" w:cs="宋体"/>
          <w:spacing w:val="-16"/>
          <w:sz w:val="24"/>
          <w:szCs w:val="24"/>
        </w:rPr>
        <w:t xml:space="preserve"> </w:t>
      </w:r>
      <w:r>
        <w:rPr>
          <w:rFonts w:ascii="Times New Roman" w:hAnsi="Times New Roman" w:eastAsia="Times New Roman" w:cs="Times New Roman"/>
          <w:spacing w:val="-8"/>
          <w:sz w:val="24"/>
          <w:szCs w:val="24"/>
        </w:rPr>
        <w:t xml:space="preserve">111.36 </w:t>
      </w:r>
      <w:r>
        <w:rPr>
          <w:rFonts w:ascii="宋体" w:hAnsi="宋体" w:eastAsia="宋体" w:cs="宋体"/>
          <w:spacing w:val="-8"/>
          <w:sz w:val="24"/>
          <w:szCs w:val="24"/>
        </w:rPr>
        <w:t>平方公里， 占风景名胜区总面积的</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19.9%</w:t>
      </w:r>
      <w:r>
        <w:rPr>
          <w:rFonts w:ascii="宋体" w:hAnsi="宋体" w:eastAsia="宋体" w:cs="宋体"/>
          <w:spacing w:val="-8"/>
          <w:sz w:val="24"/>
          <w:szCs w:val="24"/>
        </w:rPr>
        <w:t>。具体</w:t>
      </w:r>
      <w:r>
        <w:rPr>
          <w:rFonts w:ascii="宋体" w:hAnsi="宋体" w:eastAsia="宋体" w:cs="宋体"/>
          <w:sz w:val="24"/>
          <w:szCs w:val="24"/>
        </w:rPr>
        <w:t xml:space="preserve"> </w:t>
      </w:r>
      <w:r>
        <w:rPr>
          <w:rFonts w:ascii="宋体" w:hAnsi="宋体" w:eastAsia="宋体" w:cs="宋体"/>
          <w:spacing w:val="-11"/>
          <w:sz w:val="24"/>
          <w:szCs w:val="24"/>
        </w:rPr>
        <w:t>包括： 朱阳九峰（</w:t>
      </w:r>
      <w:r>
        <w:rPr>
          <w:rFonts w:ascii="Times New Roman" w:hAnsi="Times New Roman" w:eastAsia="Times New Roman" w:cs="Times New Roman"/>
          <w:spacing w:val="-11"/>
          <w:sz w:val="24"/>
          <w:szCs w:val="24"/>
        </w:rPr>
        <w:t xml:space="preserve">2.81 </w:t>
      </w:r>
      <w:r>
        <w:rPr>
          <w:rFonts w:ascii="宋体" w:hAnsi="宋体" w:eastAsia="宋体" w:cs="宋体"/>
          <w:spacing w:val="-11"/>
          <w:sz w:val="24"/>
          <w:szCs w:val="24"/>
        </w:rPr>
        <w:t>平方公里</w:t>
      </w:r>
      <w:r>
        <w:rPr>
          <w:rFonts w:ascii="宋体" w:hAnsi="宋体" w:eastAsia="宋体" w:cs="宋体"/>
          <w:spacing w:val="-27"/>
          <w:sz w:val="24"/>
          <w:szCs w:val="24"/>
        </w:rPr>
        <w:t>）</w:t>
      </w:r>
      <w:r>
        <w:rPr>
          <w:rFonts w:ascii="宋体" w:hAnsi="宋体" w:eastAsia="宋体" w:cs="宋体"/>
          <w:spacing w:val="31"/>
          <w:sz w:val="24"/>
          <w:szCs w:val="24"/>
        </w:rPr>
        <w:t xml:space="preserve"> </w:t>
      </w:r>
      <w:r>
        <w:rPr>
          <w:rFonts w:ascii="宋体" w:hAnsi="宋体" w:eastAsia="宋体" w:cs="宋体"/>
          <w:spacing w:val="-27"/>
          <w:sz w:val="24"/>
          <w:szCs w:val="24"/>
        </w:rPr>
        <w:t>，</w:t>
      </w:r>
      <w:r>
        <w:rPr>
          <w:rFonts w:ascii="宋体" w:hAnsi="宋体" w:eastAsia="宋体" w:cs="宋体"/>
          <w:spacing w:val="-11"/>
          <w:sz w:val="24"/>
          <w:szCs w:val="24"/>
        </w:rPr>
        <w:t>百丈漈及峡谷景廊（</w:t>
      </w:r>
      <w:r>
        <w:rPr>
          <w:rFonts w:ascii="Times New Roman" w:hAnsi="Times New Roman" w:eastAsia="Times New Roman" w:cs="Times New Roman"/>
          <w:spacing w:val="-11"/>
          <w:sz w:val="24"/>
          <w:szCs w:val="24"/>
        </w:rPr>
        <w:t xml:space="preserve">4.98 </w:t>
      </w:r>
      <w:r>
        <w:rPr>
          <w:rFonts w:ascii="宋体" w:hAnsi="宋体" w:eastAsia="宋体" w:cs="宋体"/>
          <w:spacing w:val="-11"/>
          <w:sz w:val="24"/>
          <w:szCs w:val="24"/>
        </w:rPr>
        <w:t>平方公里</w:t>
      </w:r>
      <w:r>
        <w:rPr>
          <w:rFonts w:ascii="宋体" w:hAnsi="宋体" w:eastAsia="宋体" w:cs="宋体"/>
          <w:spacing w:val="-27"/>
          <w:sz w:val="24"/>
          <w:szCs w:val="24"/>
        </w:rPr>
        <w:t>）</w:t>
      </w:r>
      <w:r>
        <w:rPr>
          <w:rFonts w:ascii="宋体" w:hAnsi="宋体" w:eastAsia="宋体" w:cs="宋体"/>
          <w:spacing w:val="30"/>
          <w:sz w:val="24"/>
          <w:szCs w:val="24"/>
        </w:rPr>
        <w:t xml:space="preserve"> </w:t>
      </w:r>
      <w:r>
        <w:rPr>
          <w:rFonts w:ascii="宋体" w:hAnsi="宋体" w:eastAsia="宋体" w:cs="宋体"/>
          <w:spacing w:val="-27"/>
          <w:sz w:val="24"/>
          <w:szCs w:val="24"/>
        </w:rPr>
        <w:t>，</w:t>
      </w:r>
      <w:r>
        <w:rPr>
          <w:rFonts w:ascii="宋体" w:hAnsi="宋体" w:eastAsia="宋体" w:cs="宋体"/>
          <w:spacing w:val="-11"/>
          <w:sz w:val="24"/>
          <w:szCs w:val="24"/>
        </w:rPr>
        <w:t>龙麒</w:t>
      </w:r>
      <w:r>
        <w:rPr>
          <w:rFonts w:ascii="宋体" w:hAnsi="宋体" w:eastAsia="宋体" w:cs="宋体"/>
          <w:sz w:val="24"/>
          <w:szCs w:val="24"/>
        </w:rPr>
        <w:t xml:space="preserve"> </w:t>
      </w:r>
      <w:r>
        <w:rPr>
          <w:rFonts w:ascii="宋体" w:hAnsi="宋体" w:eastAsia="宋体" w:cs="宋体"/>
          <w:spacing w:val="-8"/>
          <w:sz w:val="24"/>
          <w:szCs w:val="24"/>
        </w:rPr>
        <w:t>源（</w:t>
      </w:r>
      <w:r>
        <w:rPr>
          <w:rFonts w:ascii="Times New Roman" w:hAnsi="Times New Roman" w:eastAsia="Times New Roman" w:cs="Times New Roman"/>
          <w:spacing w:val="-8"/>
          <w:sz w:val="24"/>
          <w:szCs w:val="24"/>
        </w:rPr>
        <w:t xml:space="preserve">3.06 </w:t>
      </w:r>
      <w:r>
        <w:rPr>
          <w:rFonts w:ascii="宋体" w:hAnsi="宋体" w:eastAsia="宋体" w:cs="宋体"/>
          <w:spacing w:val="-8"/>
          <w:sz w:val="24"/>
          <w:szCs w:val="24"/>
        </w:rPr>
        <w:t>平方公里</w:t>
      </w:r>
      <w:r>
        <w:rPr>
          <w:rFonts w:ascii="宋体" w:hAnsi="宋体" w:eastAsia="宋体" w:cs="宋体"/>
          <w:spacing w:val="-28"/>
          <w:sz w:val="24"/>
          <w:szCs w:val="24"/>
        </w:rPr>
        <w:t>）</w:t>
      </w:r>
      <w:r>
        <w:rPr>
          <w:rFonts w:ascii="宋体" w:hAnsi="宋体" w:eastAsia="宋体" w:cs="宋体"/>
          <w:spacing w:val="32"/>
          <w:sz w:val="24"/>
          <w:szCs w:val="24"/>
        </w:rPr>
        <w:t xml:space="preserve"> </w:t>
      </w:r>
      <w:r>
        <w:rPr>
          <w:rFonts w:ascii="宋体" w:hAnsi="宋体" w:eastAsia="宋体" w:cs="宋体"/>
          <w:spacing w:val="-28"/>
          <w:sz w:val="24"/>
          <w:szCs w:val="24"/>
        </w:rPr>
        <w:t>，</w:t>
      </w:r>
      <w:r>
        <w:rPr>
          <w:rFonts w:ascii="宋体" w:hAnsi="宋体" w:eastAsia="宋体" w:cs="宋体"/>
          <w:spacing w:val="-8"/>
          <w:sz w:val="24"/>
          <w:szCs w:val="24"/>
        </w:rPr>
        <w:t>黄鹿山（</w:t>
      </w:r>
      <w:r>
        <w:rPr>
          <w:rFonts w:ascii="Times New Roman" w:hAnsi="Times New Roman" w:eastAsia="Times New Roman" w:cs="Times New Roman"/>
          <w:spacing w:val="-8"/>
          <w:sz w:val="24"/>
          <w:szCs w:val="24"/>
        </w:rPr>
        <w:t xml:space="preserve">9.46 </w:t>
      </w:r>
      <w:r>
        <w:rPr>
          <w:rFonts w:ascii="宋体" w:hAnsi="宋体" w:eastAsia="宋体" w:cs="宋体"/>
          <w:spacing w:val="-8"/>
          <w:sz w:val="24"/>
          <w:szCs w:val="24"/>
        </w:rPr>
        <w:t>平方公里</w:t>
      </w:r>
      <w:r>
        <w:rPr>
          <w:rFonts w:ascii="宋体" w:hAnsi="宋体" w:eastAsia="宋体" w:cs="宋体"/>
          <w:spacing w:val="-28"/>
          <w:sz w:val="24"/>
          <w:szCs w:val="24"/>
        </w:rPr>
        <w:t>）</w:t>
      </w:r>
      <w:r>
        <w:rPr>
          <w:rFonts w:ascii="宋体" w:hAnsi="宋体" w:eastAsia="宋体" w:cs="宋体"/>
          <w:spacing w:val="30"/>
          <w:sz w:val="24"/>
          <w:szCs w:val="24"/>
        </w:rPr>
        <w:t xml:space="preserve"> </w:t>
      </w:r>
      <w:r>
        <w:rPr>
          <w:rFonts w:ascii="宋体" w:hAnsi="宋体" w:eastAsia="宋体" w:cs="宋体"/>
          <w:spacing w:val="-28"/>
          <w:sz w:val="24"/>
          <w:szCs w:val="24"/>
        </w:rPr>
        <w:t>，</w:t>
      </w:r>
      <w:r>
        <w:rPr>
          <w:rFonts w:ascii="宋体" w:hAnsi="宋体" w:eastAsia="宋体" w:cs="宋体"/>
          <w:spacing w:val="-8"/>
          <w:sz w:val="24"/>
          <w:szCs w:val="24"/>
        </w:rPr>
        <w:t>飞云湖、铜铃山峡和岩门大峡</w:t>
      </w:r>
    </w:p>
    <w:p>
      <w:pPr>
        <w:spacing w:before="1" w:line="219" w:lineRule="auto"/>
        <w:ind w:left="40"/>
        <w:rPr>
          <w:rFonts w:ascii="宋体" w:hAnsi="宋体" w:eastAsia="宋体" w:cs="宋体"/>
          <w:sz w:val="24"/>
          <w:szCs w:val="24"/>
        </w:rPr>
      </w:pPr>
      <w:r>
        <w:rPr>
          <w:rFonts w:ascii="宋体" w:hAnsi="宋体" w:eastAsia="宋体" w:cs="宋体"/>
          <w:spacing w:val="-3"/>
          <w:sz w:val="24"/>
          <w:szCs w:val="24"/>
        </w:rPr>
        <w:t>谷（</w:t>
      </w:r>
      <w:r>
        <w:rPr>
          <w:rFonts w:ascii="Times New Roman" w:hAnsi="Times New Roman" w:eastAsia="Times New Roman" w:cs="Times New Roman"/>
          <w:spacing w:val="-3"/>
          <w:sz w:val="24"/>
          <w:szCs w:val="24"/>
        </w:rPr>
        <w:t xml:space="preserve">91.05 </w:t>
      </w:r>
      <w:r>
        <w:rPr>
          <w:rFonts w:ascii="宋体" w:hAnsi="宋体" w:eastAsia="宋体" w:cs="宋体"/>
          <w:spacing w:val="-3"/>
          <w:sz w:val="24"/>
          <w:szCs w:val="24"/>
        </w:rPr>
        <w:t>平方公里）共四片。</w:t>
      </w:r>
    </w:p>
    <w:p>
      <w:pPr>
        <w:spacing w:before="182" w:line="220" w:lineRule="auto"/>
        <w:ind w:left="513"/>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）风景名胜区性质与资源特色</w:t>
      </w:r>
    </w:p>
    <w:p>
      <w:pPr>
        <w:spacing w:before="181" w:line="359" w:lineRule="auto"/>
        <w:ind w:left="47" w:firstLine="471"/>
        <w:rPr>
          <w:rFonts w:ascii="宋体" w:hAnsi="宋体" w:eastAsia="宋体" w:cs="宋体"/>
          <w:sz w:val="24"/>
          <w:szCs w:val="24"/>
        </w:rPr>
      </w:pPr>
      <w:r>
        <w:rPr>
          <w:rFonts w:ascii="宋体" w:hAnsi="宋体" w:eastAsia="宋体" w:cs="宋体"/>
          <w:spacing w:val="-1"/>
          <w:sz w:val="24"/>
          <w:szCs w:val="24"/>
        </w:rPr>
        <w:t>风景区集水光山色之大成、融自然人文于一</w:t>
      </w:r>
      <w:r>
        <w:rPr>
          <w:rFonts w:ascii="宋体" w:hAnsi="宋体" w:eastAsia="宋体" w:cs="宋体"/>
          <w:spacing w:val="-2"/>
          <w:sz w:val="24"/>
          <w:szCs w:val="24"/>
        </w:rPr>
        <w:t>体，是以云湖飞瀑、壶穴清潭、</w:t>
      </w:r>
      <w:r>
        <w:rPr>
          <w:rFonts w:ascii="宋体" w:hAnsi="宋体" w:eastAsia="宋体" w:cs="宋体"/>
          <w:sz w:val="24"/>
          <w:szCs w:val="24"/>
        </w:rPr>
        <w:t xml:space="preserve"> </w:t>
      </w:r>
      <w:r>
        <w:rPr>
          <w:rFonts w:ascii="宋体" w:hAnsi="宋体" w:eastAsia="宋体" w:cs="宋体"/>
          <w:spacing w:val="-9"/>
          <w:sz w:val="24"/>
          <w:szCs w:val="24"/>
        </w:rPr>
        <w:t>幽谷奇峰、刘基故里、生物多样为主要资源特色，</w:t>
      </w:r>
      <w:r>
        <w:rPr>
          <w:rFonts w:ascii="宋体" w:hAnsi="宋体" w:eastAsia="宋体" w:cs="宋体"/>
          <w:spacing w:val="79"/>
          <w:sz w:val="24"/>
          <w:szCs w:val="24"/>
        </w:rPr>
        <w:t xml:space="preserve"> </w:t>
      </w:r>
      <w:r>
        <w:rPr>
          <w:rFonts w:ascii="宋体" w:hAnsi="宋体" w:eastAsia="宋体" w:cs="宋体"/>
          <w:spacing w:val="-9"/>
          <w:sz w:val="24"/>
          <w:szCs w:val="24"/>
        </w:rPr>
        <w:t>以生态保育、观光体验、休闲</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度假、科考探险为主要功能的国家级风景名胜区。</w:t>
      </w:r>
    </w:p>
    <w:p>
      <w:pPr>
        <w:spacing w:before="183" w:line="466" w:lineRule="exact"/>
        <w:ind w:left="519"/>
        <w:rPr>
          <w:rFonts w:ascii="宋体" w:hAnsi="宋体" w:eastAsia="宋体" w:cs="宋体"/>
          <w:sz w:val="24"/>
          <w:szCs w:val="24"/>
        </w:rPr>
      </w:pPr>
      <w:r>
        <w:rPr>
          <w:rFonts w:ascii="宋体" w:hAnsi="宋体" w:eastAsia="宋体" w:cs="宋体"/>
          <w:spacing w:val="-3"/>
          <w:position w:val="17"/>
          <w:sz w:val="24"/>
          <w:szCs w:val="24"/>
        </w:rPr>
        <w:t>风景区共有景源</w:t>
      </w:r>
      <w:r>
        <w:rPr>
          <w:rFonts w:ascii="宋体" w:hAnsi="宋体" w:eastAsia="宋体" w:cs="宋体"/>
          <w:spacing w:val="-31"/>
          <w:position w:val="17"/>
          <w:sz w:val="24"/>
          <w:szCs w:val="24"/>
        </w:rPr>
        <w:t xml:space="preserve"> </w:t>
      </w:r>
      <w:r>
        <w:rPr>
          <w:rFonts w:ascii="Times New Roman" w:hAnsi="Times New Roman" w:eastAsia="Times New Roman" w:cs="Times New Roman"/>
          <w:spacing w:val="-3"/>
          <w:position w:val="17"/>
          <w:sz w:val="24"/>
          <w:szCs w:val="24"/>
        </w:rPr>
        <w:t>151</w:t>
      </w:r>
      <w:r>
        <w:rPr>
          <w:rFonts w:ascii="Times New Roman" w:hAnsi="Times New Roman" w:eastAsia="Times New Roman" w:cs="Times New Roman"/>
          <w:spacing w:val="14"/>
          <w:position w:val="17"/>
          <w:sz w:val="24"/>
          <w:szCs w:val="24"/>
        </w:rPr>
        <w:t xml:space="preserve"> </w:t>
      </w:r>
      <w:r>
        <w:rPr>
          <w:rFonts w:ascii="宋体" w:hAnsi="宋体" w:eastAsia="宋体" w:cs="宋体"/>
          <w:spacing w:val="-3"/>
          <w:position w:val="17"/>
          <w:sz w:val="24"/>
          <w:szCs w:val="24"/>
        </w:rPr>
        <w:t>处，其中一级景源</w:t>
      </w:r>
      <w:r>
        <w:rPr>
          <w:rFonts w:ascii="宋体" w:hAnsi="宋体" w:eastAsia="宋体" w:cs="宋体"/>
          <w:spacing w:val="-32"/>
          <w:position w:val="17"/>
          <w:sz w:val="24"/>
          <w:szCs w:val="24"/>
        </w:rPr>
        <w:t xml:space="preserve"> </w:t>
      </w:r>
      <w:r>
        <w:rPr>
          <w:rFonts w:ascii="Times New Roman" w:hAnsi="Times New Roman" w:eastAsia="Times New Roman" w:cs="Times New Roman"/>
          <w:spacing w:val="-3"/>
          <w:position w:val="17"/>
          <w:sz w:val="24"/>
          <w:szCs w:val="24"/>
        </w:rPr>
        <w:t>14</w:t>
      </w:r>
      <w:r>
        <w:rPr>
          <w:rFonts w:ascii="Times New Roman" w:hAnsi="Times New Roman" w:eastAsia="Times New Roman" w:cs="Times New Roman"/>
          <w:spacing w:val="14"/>
          <w:position w:val="17"/>
          <w:sz w:val="24"/>
          <w:szCs w:val="24"/>
        </w:rPr>
        <w:t xml:space="preserve"> </w:t>
      </w:r>
      <w:r>
        <w:rPr>
          <w:rFonts w:ascii="宋体" w:hAnsi="宋体" w:eastAsia="宋体" w:cs="宋体"/>
          <w:spacing w:val="-3"/>
          <w:position w:val="17"/>
          <w:sz w:val="24"/>
          <w:szCs w:val="24"/>
        </w:rPr>
        <w:t>处，二</w:t>
      </w:r>
      <w:r>
        <w:rPr>
          <w:rFonts w:ascii="宋体" w:hAnsi="宋体" w:eastAsia="宋体" w:cs="宋体"/>
          <w:spacing w:val="-4"/>
          <w:position w:val="17"/>
          <w:sz w:val="24"/>
          <w:szCs w:val="24"/>
        </w:rPr>
        <w:t>级景源</w:t>
      </w:r>
      <w:r>
        <w:rPr>
          <w:rFonts w:ascii="宋体" w:hAnsi="宋体" w:eastAsia="宋体" w:cs="宋体"/>
          <w:spacing w:val="-55"/>
          <w:position w:val="17"/>
          <w:sz w:val="24"/>
          <w:szCs w:val="24"/>
        </w:rPr>
        <w:t xml:space="preserve"> </w:t>
      </w:r>
      <w:r>
        <w:rPr>
          <w:rFonts w:ascii="Times New Roman" w:hAnsi="Times New Roman" w:eastAsia="Times New Roman" w:cs="Times New Roman"/>
          <w:spacing w:val="-4"/>
          <w:position w:val="17"/>
          <w:sz w:val="24"/>
          <w:szCs w:val="24"/>
        </w:rPr>
        <w:t>28</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4"/>
          <w:position w:val="17"/>
          <w:sz w:val="24"/>
          <w:szCs w:val="24"/>
        </w:rPr>
        <w:t>处，三级景源</w:t>
      </w:r>
    </w:p>
    <w:p>
      <w:pPr>
        <w:spacing w:before="1" w:line="219" w:lineRule="auto"/>
        <w:ind w:left="39"/>
        <w:rPr>
          <w:rFonts w:ascii="宋体" w:hAnsi="宋体" w:eastAsia="宋体" w:cs="宋体"/>
          <w:sz w:val="24"/>
          <w:szCs w:val="24"/>
        </w:rPr>
      </w:pPr>
      <w:r>
        <w:rPr>
          <w:rFonts w:ascii="Times New Roman" w:hAnsi="Times New Roman" w:eastAsia="Times New Roman" w:cs="Times New Roman"/>
          <w:spacing w:val="-5"/>
          <w:sz w:val="24"/>
          <w:szCs w:val="24"/>
        </w:rPr>
        <w:t>61</w:t>
      </w:r>
      <w:r>
        <w:rPr>
          <w:rFonts w:ascii="Times New Roman" w:hAnsi="Times New Roman" w:eastAsia="Times New Roman" w:cs="Times New Roman"/>
          <w:spacing w:val="20"/>
          <w:sz w:val="24"/>
          <w:szCs w:val="24"/>
        </w:rPr>
        <w:t xml:space="preserve"> </w:t>
      </w:r>
      <w:r>
        <w:rPr>
          <w:rFonts w:ascii="宋体" w:hAnsi="宋体" w:eastAsia="宋体" w:cs="宋体"/>
          <w:spacing w:val="-5"/>
          <w:sz w:val="24"/>
          <w:szCs w:val="24"/>
        </w:rPr>
        <w:t>处，四级景源</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48</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处。</w:t>
      </w:r>
    </w:p>
    <w:p>
      <w:pPr>
        <w:spacing w:before="183" w:line="220" w:lineRule="auto"/>
        <w:ind w:left="518"/>
        <w:rPr>
          <w:rFonts w:ascii="宋体" w:hAnsi="宋体" w:eastAsia="宋体" w:cs="宋体"/>
          <w:sz w:val="24"/>
          <w:szCs w:val="24"/>
        </w:rPr>
      </w:pPr>
      <w:r>
        <w:rPr>
          <w:rFonts w:ascii="Times New Roman" w:hAnsi="Times New Roman" w:eastAsia="Times New Roman" w:cs="Times New Roman"/>
          <w:spacing w:val="-4"/>
          <w:sz w:val="24"/>
          <w:szCs w:val="24"/>
        </w:rPr>
        <w:t>3</w:t>
      </w:r>
      <w:r>
        <w:rPr>
          <w:rFonts w:ascii="宋体" w:hAnsi="宋体" w:eastAsia="宋体" w:cs="宋体"/>
          <w:spacing w:val="-4"/>
          <w:sz w:val="24"/>
          <w:szCs w:val="24"/>
        </w:rPr>
        <w:t>）规划期限</w:t>
      </w:r>
    </w:p>
    <w:p>
      <w:pPr>
        <w:spacing w:before="179" w:line="219" w:lineRule="auto"/>
        <w:ind w:left="519"/>
        <w:rPr>
          <w:rFonts w:ascii="宋体" w:hAnsi="宋体" w:eastAsia="宋体" w:cs="宋体"/>
          <w:sz w:val="24"/>
          <w:szCs w:val="24"/>
        </w:rPr>
      </w:pPr>
      <w:r>
        <w:rPr>
          <w:rFonts w:ascii="宋体" w:hAnsi="宋体" w:eastAsia="宋体" w:cs="宋体"/>
          <w:spacing w:val="-1"/>
          <w:sz w:val="24"/>
          <w:szCs w:val="24"/>
        </w:rPr>
        <w:t>本规划期限为</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2021-2035 </w:t>
      </w:r>
      <w:r>
        <w:rPr>
          <w:rFonts w:ascii="宋体" w:hAnsi="宋体" w:eastAsia="宋体" w:cs="宋体"/>
          <w:spacing w:val="-1"/>
          <w:sz w:val="24"/>
          <w:szCs w:val="24"/>
        </w:rPr>
        <w:t>年，近期为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2021-2025</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年。</w:t>
      </w:r>
    </w:p>
    <w:p>
      <w:pPr>
        <w:spacing w:line="219" w:lineRule="auto"/>
        <w:rPr>
          <w:rFonts w:ascii="宋体" w:hAnsi="宋体" w:eastAsia="宋体" w:cs="宋体"/>
          <w:sz w:val="24"/>
          <w:szCs w:val="24"/>
        </w:rPr>
        <w:sectPr>
          <w:headerReference r:id="rId63" w:type="default"/>
          <w:footerReference r:id="rId64" w:type="default"/>
          <w:pgSz w:w="11907" w:h="16839"/>
          <w:pgMar w:top="1118" w:right="1740" w:bottom="1184" w:left="1771" w:header="879" w:footer="1024" w:gutter="0"/>
          <w:cols w:space="720" w:num="1"/>
        </w:sectPr>
      </w:pPr>
    </w:p>
    <w:p>
      <w:pPr>
        <w:pStyle w:val="2"/>
        <w:spacing w:line="278" w:lineRule="auto"/>
      </w:pPr>
    </w:p>
    <w:p>
      <w:pPr>
        <w:spacing w:before="78" w:line="220" w:lineRule="auto"/>
        <w:ind w:left="512"/>
        <w:rPr>
          <w:rFonts w:ascii="宋体" w:hAnsi="宋体" w:eastAsia="宋体" w:cs="宋体"/>
          <w:sz w:val="24"/>
          <w:szCs w:val="24"/>
        </w:rPr>
      </w:pPr>
      <w:r>
        <w:rPr>
          <w:rFonts w:ascii="Times New Roman" w:hAnsi="Times New Roman" w:eastAsia="Times New Roman" w:cs="Times New Roman"/>
          <w:spacing w:val="-4"/>
          <w:sz w:val="24"/>
          <w:szCs w:val="24"/>
        </w:rPr>
        <w:t>4</w:t>
      </w:r>
      <w:r>
        <w:rPr>
          <w:rFonts w:ascii="宋体" w:hAnsi="宋体" w:eastAsia="宋体" w:cs="宋体"/>
          <w:spacing w:val="-4"/>
          <w:sz w:val="24"/>
          <w:szCs w:val="24"/>
        </w:rPr>
        <w:t>）保护规划</w:t>
      </w:r>
    </w:p>
    <w:p>
      <w:pPr>
        <w:spacing w:before="182" w:line="217" w:lineRule="auto"/>
        <w:ind w:left="517"/>
        <w:rPr>
          <w:rFonts w:ascii="宋体" w:hAnsi="宋体" w:eastAsia="宋体" w:cs="宋体"/>
          <w:sz w:val="24"/>
          <w:szCs w:val="24"/>
        </w:rPr>
      </w:pPr>
      <w:r>
        <w:rPr>
          <w:rFonts w:ascii="宋体" w:hAnsi="宋体" w:eastAsia="宋体" w:cs="宋体"/>
          <w:spacing w:val="-2"/>
          <w:sz w:val="24"/>
          <w:szCs w:val="24"/>
        </w:rPr>
        <w:t>①资源分级保护</w:t>
      </w:r>
    </w:p>
    <w:p>
      <w:pPr>
        <w:spacing w:before="183" w:line="468" w:lineRule="exact"/>
        <w:ind w:right="55"/>
        <w:jc w:val="right"/>
        <w:rPr>
          <w:rFonts w:ascii="宋体" w:hAnsi="宋体" w:eastAsia="宋体" w:cs="宋体"/>
          <w:sz w:val="24"/>
          <w:szCs w:val="24"/>
        </w:rPr>
      </w:pPr>
      <w:r>
        <w:rPr>
          <w:rFonts w:ascii="宋体" w:hAnsi="宋体" w:eastAsia="宋体" w:cs="宋体"/>
          <w:spacing w:val="-14"/>
          <w:position w:val="17"/>
          <w:sz w:val="24"/>
          <w:szCs w:val="24"/>
        </w:rPr>
        <w:t>划分为一级、二级、三级保护区三个层次，</w:t>
      </w:r>
      <w:r>
        <w:rPr>
          <w:rFonts w:ascii="宋体" w:hAnsi="宋体" w:eastAsia="宋体" w:cs="宋体"/>
          <w:spacing w:val="53"/>
          <w:position w:val="17"/>
          <w:sz w:val="24"/>
          <w:szCs w:val="24"/>
        </w:rPr>
        <w:t xml:space="preserve"> </w:t>
      </w:r>
      <w:r>
        <w:rPr>
          <w:rFonts w:ascii="宋体" w:hAnsi="宋体" w:eastAsia="宋体" w:cs="宋体"/>
          <w:spacing w:val="-14"/>
          <w:position w:val="17"/>
          <w:sz w:val="24"/>
          <w:szCs w:val="24"/>
        </w:rPr>
        <w:t>实施分级控制保护，</w:t>
      </w:r>
      <w:r>
        <w:rPr>
          <w:rFonts w:ascii="宋体" w:hAnsi="宋体" w:eastAsia="宋体" w:cs="宋体"/>
          <w:spacing w:val="50"/>
          <w:position w:val="17"/>
          <w:sz w:val="24"/>
          <w:szCs w:val="24"/>
        </w:rPr>
        <w:t xml:space="preserve"> </w:t>
      </w:r>
      <w:r>
        <w:rPr>
          <w:rFonts w:ascii="宋体" w:hAnsi="宋体" w:eastAsia="宋体" w:cs="宋体"/>
          <w:spacing w:val="-14"/>
          <w:position w:val="17"/>
          <w:sz w:val="24"/>
          <w:szCs w:val="24"/>
        </w:rPr>
        <w:t>并对一、二</w:t>
      </w:r>
    </w:p>
    <w:p>
      <w:pPr>
        <w:spacing w:line="220" w:lineRule="auto"/>
        <w:ind w:left="41"/>
        <w:rPr>
          <w:rFonts w:ascii="宋体" w:hAnsi="宋体" w:eastAsia="宋体" w:cs="宋体"/>
          <w:sz w:val="24"/>
          <w:szCs w:val="24"/>
        </w:rPr>
      </w:pPr>
      <w:r>
        <w:rPr>
          <w:rFonts w:ascii="宋体" w:hAnsi="宋体" w:eastAsia="宋体" w:cs="宋体"/>
          <w:spacing w:val="-4"/>
          <w:sz w:val="24"/>
          <w:szCs w:val="24"/>
        </w:rPr>
        <w:t>级保护区实施重点保护控制。</w:t>
      </w:r>
    </w:p>
    <w:p>
      <w:pPr>
        <w:spacing w:before="178" w:line="220" w:lineRule="auto"/>
        <w:ind w:left="510"/>
        <w:rPr>
          <w:rFonts w:ascii="宋体" w:hAnsi="宋体" w:eastAsia="宋体" w:cs="宋体"/>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、一级保护区（核心景区</w:t>
      </w:r>
      <w:r>
        <w:rPr>
          <w:rFonts w:ascii="Times New Roman" w:hAnsi="Times New Roman" w:eastAsia="Times New Roman" w:cs="Times New Roman"/>
          <w:spacing w:val="-2"/>
          <w:sz w:val="24"/>
          <w:szCs w:val="24"/>
        </w:rPr>
        <w:t>—</w:t>
      </w:r>
      <w:r>
        <w:rPr>
          <w:rFonts w:ascii="宋体" w:hAnsi="宋体" w:eastAsia="宋体" w:cs="宋体"/>
          <w:spacing w:val="-2"/>
          <w:sz w:val="24"/>
          <w:szCs w:val="24"/>
        </w:rPr>
        <w:t>严格禁止建设范围）</w:t>
      </w:r>
    </w:p>
    <w:p>
      <w:pPr>
        <w:spacing w:before="182" w:line="359" w:lineRule="auto"/>
        <w:ind w:left="38" w:right="39" w:firstLine="483"/>
        <w:rPr>
          <w:rFonts w:ascii="宋体" w:hAnsi="宋体" w:eastAsia="宋体" w:cs="宋体"/>
          <w:sz w:val="24"/>
          <w:szCs w:val="24"/>
        </w:rPr>
      </w:pPr>
      <w:r>
        <w:rPr>
          <w:rFonts w:ascii="宋体" w:hAnsi="宋体" w:eastAsia="宋体" w:cs="宋体"/>
          <w:spacing w:val="-1"/>
          <w:sz w:val="24"/>
          <w:szCs w:val="24"/>
        </w:rPr>
        <w:t>一级保护区包括重要景源周围及对人类活动敏感的区域或对保护生物多样</w:t>
      </w:r>
      <w:r>
        <w:rPr>
          <w:rFonts w:ascii="宋体" w:hAnsi="宋体" w:eastAsia="宋体" w:cs="宋体"/>
          <w:spacing w:val="8"/>
          <w:sz w:val="24"/>
          <w:szCs w:val="24"/>
        </w:rPr>
        <w:t xml:space="preserve">  </w:t>
      </w:r>
      <w:r>
        <w:rPr>
          <w:rFonts w:ascii="宋体" w:hAnsi="宋体" w:eastAsia="宋体" w:cs="宋体"/>
          <w:spacing w:val="-1"/>
          <w:sz w:val="24"/>
          <w:szCs w:val="24"/>
        </w:rPr>
        <w:t>性及生态环境作用十分重要的区域。具体包括：朱阳九峰景源集中区</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2.81 </w:t>
      </w:r>
      <w:r>
        <w:rPr>
          <w:rFonts w:ascii="宋体" w:hAnsi="宋体" w:eastAsia="宋体" w:cs="宋体"/>
          <w:spacing w:val="-1"/>
          <w:sz w:val="24"/>
          <w:szCs w:val="24"/>
        </w:rPr>
        <w:t>平方 公里，百丈漈及峡谷景廊景源集中区及第一照面山范围</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4.98 </w:t>
      </w:r>
      <w:r>
        <w:rPr>
          <w:rFonts w:ascii="宋体" w:hAnsi="宋体" w:eastAsia="宋体" w:cs="宋体"/>
          <w:spacing w:val="-1"/>
          <w:sz w:val="24"/>
          <w:szCs w:val="24"/>
        </w:rPr>
        <w:t>平方公里，龙麒源 景源集中区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3.06 </w:t>
      </w:r>
      <w:r>
        <w:rPr>
          <w:rFonts w:ascii="宋体" w:hAnsi="宋体" w:eastAsia="宋体" w:cs="宋体"/>
          <w:spacing w:val="-1"/>
          <w:sz w:val="24"/>
          <w:szCs w:val="24"/>
        </w:rPr>
        <w:t>平方公里，黄鹿山</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9.46 </w:t>
      </w:r>
      <w:r>
        <w:rPr>
          <w:rFonts w:ascii="宋体" w:hAnsi="宋体" w:eastAsia="宋体" w:cs="宋体"/>
          <w:spacing w:val="-1"/>
          <w:sz w:val="24"/>
          <w:szCs w:val="24"/>
        </w:rPr>
        <w:t>平方公里，飞云湖水面</w:t>
      </w:r>
      <w:r>
        <w:rPr>
          <w:rFonts w:ascii="宋体" w:hAnsi="宋体" w:eastAsia="宋体" w:cs="宋体"/>
          <w:spacing w:val="-2"/>
          <w:sz w:val="24"/>
          <w:szCs w:val="24"/>
        </w:rPr>
        <w:t>及沿水岸线</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50    </w:t>
      </w:r>
      <w:r>
        <w:rPr>
          <w:rFonts w:ascii="宋体" w:hAnsi="宋体" w:eastAsia="宋体" w:cs="宋体"/>
          <w:spacing w:val="-4"/>
          <w:sz w:val="24"/>
          <w:szCs w:val="24"/>
        </w:rPr>
        <w:t>米、铜铃山峡和岩门大峡谷生态保护红线范围</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5"/>
          <w:sz w:val="24"/>
          <w:szCs w:val="24"/>
        </w:rPr>
        <w:t xml:space="preserve">1.05 </w:t>
      </w:r>
      <w:r>
        <w:rPr>
          <w:rFonts w:ascii="宋体" w:hAnsi="宋体" w:eastAsia="宋体" w:cs="宋体"/>
          <w:spacing w:val="-5"/>
          <w:sz w:val="24"/>
          <w:szCs w:val="24"/>
        </w:rPr>
        <w:t>平方公里； 总计核心景区面</w:t>
      </w:r>
    </w:p>
    <w:p>
      <w:pPr>
        <w:spacing w:line="220" w:lineRule="auto"/>
        <w:ind w:left="38"/>
        <w:rPr>
          <w:rFonts w:ascii="宋体" w:hAnsi="宋体" w:eastAsia="宋体" w:cs="宋体"/>
          <w:sz w:val="24"/>
          <w:szCs w:val="24"/>
        </w:rPr>
      </w:pPr>
      <w:r>
        <w:rPr>
          <w:rFonts w:ascii="宋体" w:hAnsi="宋体" w:eastAsia="宋体" w:cs="宋体"/>
          <w:spacing w:val="-5"/>
          <w:sz w:val="24"/>
          <w:szCs w:val="24"/>
        </w:rPr>
        <w:t>积</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111.36 </w:t>
      </w:r>
      <w:r>
        <w:rPr>
          <w:rFonts w:ascii="宋体" w:hAnsi="宋体" w:eastAsia="宋体" w:cs="宋体"/>
          <w:spacing w:val="-5"/>
          <w:sz w:val="24"/>
          <w:szCs w:val="24"/>
        </w:rPr>
        <w:t>平方公里。</w:t>
      </w:r>
    </w:p>
    <w:p>
      <w:pPr>
        <w:spacing w:before="183" w:line="359" w:lineRule="auto"/>
        <w:ind w:left="38" w:right="40" w:firstLine="480"/>
        <w:rPr>
          <w:rFonts w:ascii="宋体" w:hAnsi="宋体" w:eastAsia="宋体" w:cs="宋体"/>
          <w:sz w:val="24"/>
          <w:szCs w:val="24"/>
        </w:rPr>
      </w:pPr>
      <w:r>
        <w:rPr>
          <w:rFonts w:ascii="宋体" w:hAnsi="宋体" w:eastAsia="宋体" w:cs="宋体"/>
          <w:spacing w:val="-10"/>
          <w:sz w:val="24"/>
          <w:szCs w:val="24"/>
        </w:rPr>
        <w:t>严格控制游客容量； 严格保护区内地质地貌典型自然景观， 加强区内植被抚</w:t>
      </w:r>
      <w:r>
        <w:rPr>
          <w:rFonts w:ascii="宋体" w:hAnsi="宋体" w:eastAsia="宋体" w:cs="宋体"/>
          <w:spacing w:val="2"/>
          <w:sz w:val="24"/>
          <w:szCs w:val="24"/>
        </w:rPr>
        <w:t xml:space="preserve"> </w:t>
      </w:r>
      <w:r>
        <w:rPr>
          <w:rFonts w:ascii="宋体" w:hAnsi="宋体" w:eastAsia="宋体" w:cs="宋体"/>
          <w:spacing w:val="-11"/>
          <w:sz w:val="24"/>
          <w:szCs w:val="24"/>
        </w:rPr>
        <w:t>育和水源涵养；</w:t>
      </w:r>
      <w:r>
        <w:rPr>
          <w:rFonts w:ascii="宋体" w:hAnsi="宋体" w:eastAsia="宋体" w:cs="宋体"/>
          <w:spacing w:val="49"/>
          <w:sz w:val="24"/>
          <w:szCs w:val="24"/>
        </w:rPr>
        <w:t xml:space="preserve"> </w:t>
      </w:r>
      <w:r>
        <w:rPr>
          <w:rFonts w:ascii="宋体" w:hAnsi="宋体" w:eastAsia="宋体" w:cs="宋体"/>
          <w:spacing w:val="-11"/>
          <w:sz w:val="24"/>
          <w:szCs w:val="24"/>
        </w:rPr>
        <w:t>区内严禁新建与景区功能定位无关的建筑物， 可适当设置景观休</w:t>
      </w:r>
      <w:r>
        <w:rPr>
          <w:rFonts w:ascii="宋体" w:hAnsi="宋体" w:eastAsia="宋体" w:cs="宋体"/>
          <w:sz w:val="24"/>
          <w:szCs w:val="24"/>
        </w:rPr>
        <w:t xml:space="preserve"> </w:t>
      </w:r>
      <w:r>
        <w:rPr>
          <w:rFonts w:ascii="宋体" w:hAnsi="宋体" w:eastAsia="宋体" w:cs="宋体"/>
          <w:spacing w:val="-8"/>
          <w:sz w:val="24"/>
          <w:szCs w:val="24"/>
        </w:rPr>
        <w:t>憩、游览步道、生态厕所、游客安全、资源保护等设施，</w:t>
      </w:r>
      <w:r>
        <w:rPr>
          <w:rFonts w:ascii="宋体" w:hAnsi="宋体" w:eastAsia="宋体" w:cs="宋体"/>
          <w:spacing w:val="53"/>
          <w:sz w:val="24"/>
          <w:szCs w:val="24"/>
        </w:rPr>
        <w:t xml:space="preserve"> </w:t>
      </w:r>
      <w:r>
        <w:rPr>
          <w:rFonts w:ascii="宋体" w:hAnsi="宋体" w:eastAsia="宋体" w:cs="宋体"/>
          <w:spacing w:val="-8"/>
          <w:sz w:val="24"/>
          <w:szCs w:val="24"/>
        </w:rPr>
        <w:t>严重影响景观环境的现</w:t>
      </w:r>
      <w:r>
        <w:rPr>
          <w:rFonts w:ascii="宋体" w:hAnsi="宋体" w:eastAsia="宋体" w:cs="宋体"/>
          <w:sz w:val="24"/>
          <w:szCs w:val="24"/>
        </w:rPr>
        <w:t xml:space="preserve"> 状建筑物应进行拆除；对百丈漈</w:t>
      </w:r>
      <w:r>
        <w:rPr>
          <w:rFonts w:ascii="Times New Roman" w:hAnsi="Times New Roman" w:eastAsia="Times New Roman" w:cs="Times New Roman"/>
          <w:sz w:val="24"/>
          <w:szCs w:val="24"/>
        </w:rPr>
        <w:t>-</w:t>
      </w:r>
      <w:r>
        <w:rPr>
          <w:rFonts w:ascii="宋体" w:hAnsi="宋体" w:eastAsia="宋体" w:cs="宋体"/>
          <w:sz w:val="24"/>
          <w:szCs w:val="24"/>
        </w:rPr>
        <w:t>飞云湖核心景区内常</w:t>
      </w:r>
      <w:r>
        <w:rPr>
          <w:rFonts w:ascii="宋体" w:hAnsi="宋体" w:eastAsia="宋体" w:cs="宋体"/>
          <w:spacing w:val="-1"/>
          <w:sz w:val="24"/>
          <w:szCs w:val="24"/>
        </w:rPr>
        <w:t>住居民进行鼓励外迁至风</w:t>
      </w:r>
      <w:r>
        <w:rPr>
          <w:rFonts w:ascii="宋体" w:hAnsi="宋体" w:eastAsia="宋体" w:cs="宋体"/>
          <w:sz w:val="24"/>
          <w:szCs w:val="24"/>
        </w:rPr>
        <w:t xml:space="preserve"> </w:t>
      </w:r>
      <w:r>
        <w:rPr>
          <w:rFonts w:ascii="宋体" w:hAnsi="宋体" w:eastAsia="宋体" w:cs="宋体"/>
          <w:spacing w:val="-8"/>
          <w:sz w:val="24"/>
          <w:szCs w:val="24"/>
        </w:rPr>
        <w:t>景区外城镇；</w:t>
      </w:r>
      <w:r>
        <w:rPr>
          <w:rFonts w:ascii="宋体" w:hAnsi="宋体" w:eastAsia="宋体" w:cs="宋体"/>
          <w:spacing w:val="42"/>
          <w:sz w:val="24"/>
          <w:szCs w:val="24"/>
        </w:rPr>
        <w:t xml:space="preserve"> </w:t>
      </w:r>
      <w:r>
        <w:rPr>
          <w:rFonts w:ascii="宋体" w:hAnsi="宋体" w:eastAsia="宋体" w:cs="宋体"/>
          <w:spacing w:val="-8"/>
          <w:sz w:val="24"/>
          <w:szCs w:val="24"/>
        </w:rPr>
        <w:t>飞云湖核心景区内现状建筑、设施及水上活动项</w:t>
      </w:r>
      <w:r>
        <w:rPr>
          <w:rFonts w:ascii="宋体" w:hAnsi="宋体" w:eastAsia="宋体" w:cs="宋体"/>
          <w:spacing w:val="-9"/>
          <w:sz w:val="24"/>
          <w:szCs w:val="24"/>
        </w:rPr>
        <w:t>目严格按《浙江省</w:t>
      </w:r>
      <w:r>
        <w:rPr>
          <w:rFonts w:ascii="宋体" w:hAnsi="宋体" w:eastAsia="宋体" w:cs="宋体"/>
          <w:sz w:val="24"/>
          <w:szCs w:val="24"/>
        </w:rPr>
        <w:t xml:space="preserve"> </w:t>
      </w:r>
      <w:r>
        <w:rPr>
          <w:rFonts w:ascii="宋体" w:hAnsi="宋体" w:eastAsia="宋体" w:cs="宋体"/>
          <w:spacing w:val="-12"/>
          <w:sz w:val="24"/>
          <w:szCs w:val="24"/>
        </w:rPr>
        <w:t>饮用水水源保护条例》要求进行管控；</w:t>
      </w:r>
      <w:r>
        <w:rPr>
          <w:rFonts w:ascii="宋体" w:hAnsi="宋体" w:eastAsia="宋体" w:cs="宋体"/>
          <w:spacing w:val="45"/>
          <w:sz w:val="24"/>
          <w:szCs w:val="24"/>
        </w:rPr>
        <w:t xml:space="preserve"> </w:t>
      </w:r>
      <w:r>
        <w:rPr>
          <w:rFonts w:ascii="宋体" w:hAnsi="宋体" w:eastAsia="宋体" w:cs="宋体"/>
          <w:spacing w:val="-12"/>
          <w:sz w:val="24"/>
          <w:szCs w:val="24"/>
        </w:rPr>
        <w:t>加强道路交通管理，</w:t>
      </w:r>
      <w:r>
        <w:rPr>
          <w:rFonts w:ascii="宋体" w:hAnsi="宋体" w:eastAsia="宋体" w:cs="宋体"/>
          <w:spacing w:val="31"/>
          <w:sz w:val="24"/>
          <w:szCs w:val="24"/>
        </w:rPr>
        <w:t xml:space="preserve"> </w:t>
      </w:r>
      <w:r>
        <w:rPr>
          <w:rFonts w:ascii="宋体" w:hAnsi="宋体" w:eastAsia="宋体" w:cs="宋体"/>
          <w:spacing w:val="-12"/>
          <w:sz w:val="24"/>
          <w:szCs w:val="24"/>
        </w:rPr>
        <w:t>控制机动车辆对本区</w:t>
      </w:r>
    </w:p>
    <w:p>
      <w:pPr>
        <w:spacing w:before="1" w:line="221" w:lineRule="auto"/>
        <w:ind w:left="57"/>
        <w:rPr>
          <w:rFonts w:ascii="宋体" w:hAnsi="宋体" w:eastAsia="宋体" w:cs="宋体"/>
          <w:sz w:val="24"/>
          <w:szCs w:val="24"/>
        </w:rPr>
      </w:pPr>
      <w:r>
        <w:rPr>
          <w:rFonts w:ascii="宋体" w:hAnsi="宋体" w:eastAsia="宋体" w:cs="宋体"/>
          <w:spacing w:val="-12"/>
          <w:sz w:val="24"/>
          <w:szCs w:val="24"/>
        </w:rPr>
        <w:t>的影响。</w:t>
      </w:r>
    </w:p>
    <w:p>
      <w:pPr>
        <w:spacing w:before="179" w:line="220" w:lineRule="auto"/>
        <w:ind w:left="512"/>
        <w:rPr>
          <w:rFonts w:ascii="宋体" w:hAnsi="宋体" w:eastAsia="宋体" w:cs="宋体"/>
          <w:sz w:val="24"/>
          <w:szCs w:val="24"/>
        </w:rPr>
      </w:pPr>
      <w:r>
        <w:rPr>
          <w:rFonts w:ascii="Times New Roman" w:hAnsi="Times New Roman" w:eastAsia="Times New Roman" w:cs="Times New Roman"/>
          <w:spacing w:val="-2"/>
          <w:sz w:val="24"/>
          <w:szCs w:val="24"/>
        </w:rPr>
        <w:t>B</w:t>
      </w:r>
      <w:r>
        <w:rPr>
          <w:rFonts w:ascii="宋体" w:hAnsi="宋体" w:eastAsia="宋体" w:cs="宋体"/>
          <w:spacing w:val="-2"/>
          <w:sz w:val="24"/>
          <w:szCs w:val="24"/>
        </w:rPr>
        <w:t>、二级保护区（严格限制建设范围）</w:t>
      </w:r>
    </w:p>
    <w:p>
      <w:pPr>
        <w:spacing w:before="180" w:line="468" w:lineRule="exact"/>
        <w:jc w:val="right"/>
        <w:rPr>
          <w:rFonts w:ascii="宋体" w:hAnsi="宋体" w:eastAsia="宋体" w:cs="宋体"/>
          <w:sz w:val="24"/>
          <w:szCs w:val="24"/>
        </w:rPr>
      </w:pPr>
      <w:r>
        <w:rPr>
          <w:rFonts w:ascii="宋体" w:hAnsi="宋体" w:eastAsia="宋体" w:cs="宋体"/>
          <w:spacing w:val="-2"/>
          <w:position w:val="17"/>
          <w:sz w:val="24"/>
          <w:szCs w:val="24"/>
        </w:rPr>
        <w:t>二级保护区包括景观资源价值不及一级保护区但也具有典型性景观的地</w:t>
      </w:r>
      <w:r>
        <w:rPr>
          <w:rFonts w:ascii="宋体" w:hAnsi="宋体" w:eastAsia="宋体" w:cs="宋体"/>
          <w:spacing w:val="-3"/>
          <w:position w:val="17"/>
          <w:sz w:val="24"/>
          <w:szCs w:val="24"/>
        </w:rPr>
        <w:t>区，</w:t>
      </w:r>
    </w:p>
    <w:p>
      <w:pPr>
        <w:spacing w:before="1" w:line="219" w:lineRule="auto"/>
        <w:ind w:left="39"/>
        <w:rPr>
          <w:rFonts w:ascii="宋体" w:hAnsi="宋体" w:eastAsia="宋体" w:cs="宋体"/>
          <w:sz w:val="24"/>
          <w:szCs w:val="24"/>
        </w:rPr>
      </w:pPr>
      <w:r>
        <w:rPr>
          <w:rFonts w:ascii="宋体" w:hAnsi="宋体" w:eastAsia="宋体" w:cs="宋体"/>
          <w:spacing w:val="-3"/>
          <w:sz w:val="24"/>
          <w:szCs w:val="24"/>
        </w:rPr>
        <w:t>规划面积</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 xml:space="preserve">148.13 </w:t>
      </w:r>
      <w:r>
        <w:rPr>
          <w:rFonts w:ascii="宋体" w:hAnsi="宋体" w:eastAsia="宋体" w:cs="宋体"/>
          <w:spacing w:val="-3"/>
          <w:sz w:val="24"/>
          <w:szCs w:val="24"/>
        </w:rPr>
        <w:t>平方公里，是核心景区的缓冲地带。</w:t>
      </w:r>
    </w:p>
    <w:p>
      <w:pPr>
        <w:spacing w:before="183" w:line="359" w:lineRule="auto"/>
        <w:ind w:left="37" w:right="40" w:firstLine="497"/>
        <w:rPr>
          <w:rFonts w:ascii="宋体" w:hAnsi="宋体" w:eastAsia="宋体" w:cs="宋体"/>
          <w:sz w:val="24"/>
          <w:szCs w:val="24"/>
        </w:rPr>
      </w:pPr>
      <w:r>
        <w:rPr>
          <w:rFonts w:ascii="宋体" w:hAnsi="宋体" w:eastAsia="宋体" w:cs="宋体"/>
          <w:spacing w:val="-7"/>
          <w:sz w:val="24"/>
          <w:szCs w:val="24"/>
        </w:rPr>
        <w:t>限制与风景资源保护和游览无关的建设， 重点保护山林、水景</w:t>
      </w:r>
      <w:r>
        <w:rPr>
          <w:rFonts w:ascii="宋体" w:hAnsi="宋体" w:eastAsia="宋体" w:cs="宋体"/>
          <w:spacing w:val="-8"/>
          <w:sz w:val="24"/>
          <w:szCs w:val="24"/>
        </w:rPr>
        <w:t>等自然景观类</w:t>
      </w:r>
      <w:r>
        <w:rPr>
          <w:rFonts w:ascii="宋体" w:hAnsi="宋体" w:eastAsia="宋体" w:cs="宋体"/>
          <w:sz w:val="24"/>
          <w:szCs w:val="24"/>
        </w:rPr>
        <w:t xml:space="preserve"> </w:t>
      </w:r>
      <w:r>
        <w:rPr>
          <w:rFonts w:ascii="宋体" w:hAnsi="宋体" w:eastAsia="宋体" w:cs="宋体"/>
          <w:spacing w:val="-6"/>
          <w:sz w:val="24"/>
          <w:szCs w:val="24"/>
        </w:rPr>
        <w:t>的资源， 确保森林防火、病虫害预报与防治等各项工作的扎实开</w:t>
      </w:r>
      <w:r>
        <w:rPr>
          <w:rFonts w:ascii="宋体" w:hAnsi="宋体" w:eastAsia="宋体" w:cs="宋体"/>
          <w:spacing w:val="-7"/>
          <w:sz w:val="24"/>
          <w:szCs w:val="24"/>
        </w:rPr>
        <w:t>展。合理处理风</w:t>
      </w:r>
      <w:r>
        <w:rPr>
          <w:rFonts w:ascii="宋体" w:hAnsi="宋体" w:eastAsia="宋体" w:cs="宋体"/>
          <w:sz w:val="24"/>
          <w:szCs w:val="24"/>
        </w:rPr>
        <w:t xml:space="preserve"> </w:t>
      </w:r>
      <w:r>
        <w:rPr>
          <w:rFonts w:ascii="宋体" w:hAnsi="宋体" w:eastAsia="宋体" w:cs="宋体"/>
          <w:spacing w:val="-8"/>
          <w:sz w:val="24"/>
          <w:szCs w:val="24"/>
        </w:rPr>
        <w:t>景名胜区与农、林、水的关系，</w:t>
      </w:r>
      <w:r>
        <w:rPr>
          <w:rFonts w:ascii="宋体" w:hAnsi="宋体" w:eastAsia="宋体" w:cs="宋体"/>
          <w:spacing w:val="54"/>
          <w:sz w:val="24"/>
          <w:szCs w:val="24"/>
        </w:rPr>
        <w:t xml:space="preserve"> </w:t>
      </w:r>
      <w:r>
        <w:rPr>
          <w:rFonts w:ascii="宋体" w:hAnsi="宋体" w:eastAsia="宋体" w:cs="宋体"/>
          <w:spacing w:val="-8"/>
          <w:sz w:val="24"/>
          <w:szCs w:val="24"/>
        </w:rPr>
        <w:t>严禁毁林、垦荒造田及违法占用水域。区内应以</w:t>
      </w:r>
      <w:r>
        <w:rPr>
          <w:rFonts w:ascii="宋体" w:hAnsi="宋体" w:eastAsia="宋体" w:cs="宋体"/>
          <w:sz w:val="24"/>
          <w:szCs w:val="24"/>
        </w:rPr>
        <w:t xml:space="preserve"> </w:t>
      </w:r>
      <w:r>
        <w:rPr>
          <w:rFonts w:ascii="宋体" w:hAnsi="宋体" w:eastAsia="宋体" w:cs="宋体"/>
          <w:spacing w:val="-10"/>
          <w:sz w:val="24"/>
          <w:szCs w:val="24"/>
        </w:rPr>
        <w:t>游赏项目为主， 规划配置的服务设施应控制</w:t>
      </w:r>
      <w:r>
        <w:rPr>
          <w:rFonts w:ascii="宋体" w:hAnsi="宋体" w:eastAsia="宋体" w:cs="宋体"/>
          <w:spacing w:val="-11"/>
          <w:sz w:val="24"/>
          <w:szCs w:val="24"/>
        </w:rPr>
        <w:t>其规模和形态，</w:t>
      </w:r>
      <w:r>
        <w:rPr>
          <w:rFonts w:ascii="宋体" w:hAnsi="宋体" w:eastAsia="宋体" w:cs="宋体"/>
          <w:spacing w:val="30"/>
          <w:sz w:val="24"/>
          <w:szCs w:val="24"/>
        </w:rPr>
        <w:t xml:space="preserve"> </w:t>
      </w:r>
      <w:r>
        <w:rPr>
          <w:rFonts w:ascii="宋体" w:hAnsi="宋体" w:eastAsia="宋体" w:cs="宋体"/>
          <w:spacing w:val="-11"/>
          <w:sz w:val="24"/>
          <w:szCs w:val="24"/>
        </w:rPr>
        <w:t>防止对风景资源造成</w:t>
      </w:r>
      <w:r>
        <w:rPr>
          <w:rFonts w:ascii="宋体" w:hAnsi="宋体" w:eastAsia="宋体" w:cs="宋体"/>
          <w:sz w:val="24"/>
          <w:szCs w:val="24"/>
        </w:rPr>
        <w:t xml:space="preserve"> </w:t>
      </w:r>
      <w:r>
        <w:rPr>
          <w:rFonts w:ascii="宋体" w:hAnsi="宋体" w:eastAsia="宋体" w:cs="宋体"/>
          <w:spacing w:val="-8"/>
          <w:sz w:val="24"/>
          <w:szCs w:val="24"/>
        </w:rPr>
        <w:t>破坏。区内的建筑以与风景游赏相关的风景建筑和服务设施为主，</w:t>
      </w:r>
      <w:r>
        <w:rPr>
          <w:rFonts w:ascii="宋体" w:hAnsi="宋体" w:eastAsia="宋体" w:cs="宋体"/>
          <w:spacing w:val="54"/>
          <w:sz w:val="24"/>
          <w:szCs w:val="24"/>
        </w:rPr>
        <w:t xml:space="preserve"> </w:t>
      </w:r>
      <w:r>
        <w:rPr>
          <w:rFonts w:ascii="宋体" w:hAnsi="宋体" w:eastAsia="宋体" w:cs="宋体"/>
          <w:spacing w:val="-8"/>
          <w:sz w:val="24"/>
          <w:szCs w:val="24"/>
        </w:rPr>
        <w:t>如亭、廊、公</w:t>
      </w:r>
    </w:p>
    <w:p>
      <w:pPr>
        <w:spacing w:line="219" w:lineRule="auto"/>
        <w:ind w:left="39"/>
        <w:rPr>
          <w:rFonts w:ascii="宋体" w:hAnsi="宋体" w:eastAsia="宋体" w:cs="宋体"/>
          <w:sz w:val="24"/>
          <w:szCs w:val="24"/>
        </w:rPr>
      </w:pPr>
      <w:r>
        <w:rPr>
          <w:rFonts w:ascii="宋体" w:hAnsi="宋体" w:eastAsia="宋体" w:cs="宋体"/>
          <w:spacing w:val="-1"/>
          <w:sz w:val="24"/>
          <w:szCs w:val="24"/>
        </w:rPr>
        <w:t>厕及小型售票亭等，建筑体量不宜过大，应与风</w:t>
      </w:r>
      <w:r>
        <w:rPr>
          <w:rFonts w:ascii="宋体" w:hAnsi="宋体" w:eastAsia="宋体" w:cs="宋体"/>
          <w:spacing w:val="-2"/>
          <w:sz w:val="24"/>
          <w:szCs w:val="24"/>
        </w:rPr>
        <w:t>景名胜区整体环境相协调。</w:t>
      </w:r>
    </w:p>
    <w:p>
      <w:pPr>
        <w:spacing w:before="181" w:line="220" w:lineRule="auto"/>
        <w:ind w:left="517"/>
        <w:rPr>
          <w:rFonts w:ascii="宋体" w:hAnsi="宋体" w:eastAsia="宋体" w:cs="宋体"/>
          <w:sz w:val="24"/>
          <w:szCs w:val="24"/>
        </w:rPr>
      </w:pPr>
      <w:r>
        <w:rPr>
          <w:rFonts w:ascii="Times New Roman" w:hAnsi="Times New Roman" w:eastAsia="Times New Roman" w:cs="Times New Roman"/>
          <w:spacing w:val="-2"/>
          <w:sz w:val="24"/>
          <w:szCs w:val="24"/>
        </w:rPr>
        <w:t>C</w:t>
      </w:r>
      <w:r>
        <w:rPr>
          <w:rFonts w:ascii="宋体" w:hAnsi="宋体" w:eastAsia="宋体" w:cs="宋体"/>
          <w:spacing w:val="-2"/>
          <w:sz w:val="24"/>
          <w:szCs w:val="24"/>
        </w:rPr>
        <w:t>、三级保护区（控制建设范围）</w:t>
      </w:r>
    </w:p>
    <w:p>
      <w:pPr>
        <w:spacing w:before="181" w:line="466" w:lineRule="exact"/>
        <w:ind w:right="50"/>
        <w:jc w:val="right"/>
        <w:rPr>
          <w:rFonts w:ascii="宋体" w:hAnsi="宋体" w:eastAsia="宋体" w:cs="宋体"/>
          <w:sz w:val="24"/>
          <w:szCs w:val="24"/>
        </w:rPr>
      </w:pPr>
      <w:r>
        <w:rPr>
          <w:rFonts w:ascii="宋体" w:hAnsi="宋体" w:eastAsia="宋体" w:cs="宋体"/>
          <w:spacing w:val="-7"/>
          <w:position w:val="17"/>
          <w:sz w:val="24"/>
          <w:szCs w:val="24"/>
        </w:rPr>
        <w:t>对一、二级保护区以外的地区划为三级保护区， 是风景名胜区重要的设施建</w:t>
      </w:r>
    </w:p>
    <w:p>
      <w:pPr>
        <w:spacing w:before="1" w:line="219" w:lineRule="auto"/>
        <w:ind w:left="41"/>
        <w:rPr>
          <w:rFonts w:ascii="宋体" w:hAnsi="宋体" w:eastAsia="宋体" w:cs="宋体"/>
          <w:sz w:val="24"/>
          <w:szCs w:val="24"/>
        </w:rPr>
      </w:pPr>
      <w:r>
        <w:rPr>
          <w:rFonts w:ascii="宋体" w:hAnsi="宋体" w:eastAsia="宋体" w:cs="宋体"/>
          <w:spacing w:val="-2"/>
          <w:sz w:val="24"/>
          <w:szCs w:val="24"/>
        </w:rPr>
        <w:t>设区或环境背景区，面积</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299.31 </w:t>
      </w:r>
      <w:r>
        <w:rPr>
          <w:rFonts w:ascii="宋体" w:hAnsi="宋体" w:eastAsia="宋体" w:cs="宋体"/>
          <w:spacing w:val="-2"/>
          <w:sz w:val="24"/>
          <w:szCs w:val="24"/>
        </w:rPr>
        <w:t>平方公里。</w:t>
      </w:r>
    </w:p>
    <w:p>
      <w:pPr>
        <w:spacing w:line="219" w:lineRule="auto"/>
        <w:rPr>
          <w:rFonts w:ascii="宋体" w:hAnsi="宋体" w:eastAsia="宋体" w:cs="宋体"/>
          <w:sz w:val="24"/>
          <w:szCs w:val="24"/>
        </w:rPr>
        <w:sectPr>
          <w:headerReference r:id="rId65" w:type="default"/>
          <w:footerReference r:id="rId66" w:type="default"/>
          <w:pgSz w:w="11907" w:h="16839"/>
          <w:pgMar w:top="1118" w:right="1759" w:bottom="1184" w:left="1771" w:header="879" w:footer="1024" w:gutter="0"/>
          <w:cols w:space="720" w:num="1"/>
        </w:sectPr>
      </w:pPr>
    </w:p>
    <w:p>
      <w:pPr>
        <w:pStyle w:val="2"/>
        <w:spacing w:line="280" w:lineRule="auto"/>
      </w:pPr>
    </w:p>
    <w:p>
      <w:pPr>
        <w:spacing w:before="78" w:line="359" w:lineRule="auto"/>
        <w:ind w:left="39" w:right="84" w:firstLine="478"/>
        <w:rPr>
          <w:rFonts w:ascii="宋体" w:hAnsi="宋体" w:eastAsia="宋体" w:cs="宋体"/>
          <w:sz w:val="24"/>
          <w:szCs w:val="24"/>
        </w:rPr>
      </w:pPr>
      <w:r>
        <w:rPr>
          <w:rFonts w:ascii="宋体" w:hAnsi="宋体" w:eastAsia="宋体" w:cs="宋体"/>
          <w:spacing w:val="-3"/>
          <w:sz w:val="24"/>
          <w:szCs w:val="24"/>
        </w:rPr>
        <w:t>应依据详细规划进行游览设施建设和村庄建设。可对村庄进行合</w:t>
      </w:r>
      <w:r>
        <w:rPr>
          <w:rFonts w:ascii="宋体" w:hAnsi="宋体" w:eastAsia="宋体" w:cs="宋体"/>
          <w:spacing w:val="-4"/>
          <w:sz w:val="24"/>
          <w:szCs w:val="24"/>
        </w:rPr>
        <w:t>理调整置换</w:t>
      </w:r>
      <w:r>
        <w:rPr>
          <w:rFonts w:ascii="宋体" w:hAnsi="宋体" w:eastAsia="宋体" w:cs="宋体"/>
          <w:sz w:val="24"/>
          <w:szCs w:val="24"/>
        </w:rPr>
        <w:t xml:space="preserve"> </w:t>
      </w:r>
      <w:r>
        <w:rPr>
          <w:rFonts w:ascii="宋体" w:hAnsi="宋体" w:eastAsia="宋体" w:cs="宋体"/>
          <w:spacing w:val="-6"/>
          <w:sz w:val="24"/>
          <w:szCs w:val="24"/>
        </w:rPr>
        <w:t>建设用地， 安排游览设施。游览设施和居民点建设必</w:t>
      </w:r>
      <w:r>
        <w:rPr>
          <w:rFonts w:ascii="宋体" w:hAnsi="宋体" w:eastAsia="宋体" w:cs="宋体"/>
          <w:spacing w:val="-7"/>
          <w:sz w:val="24"/>
          <w:szCs w:val="24"/>
        </w:rPr>
        <w:t>须严格履行风景名胜区和国</w:t>
      </w:r>
      <w:r>
        <w:rPr>
          <w:rFonts w:ascii="宋体" w:hAnsi="宋体" w:eastAsia="宋体" w:cs="宋体"/>
          <w:sz w:val="24"/>
          <w:szCs w:val="24"/>
        </w:rPr>
        <w:t xml:space="preserve"> </w:t>
      </w:r>
      <w:r>
        <w:rPr>
          <w:rFonts w:ascii="宋体" w:hAnsi="宋体" w:eastAsia="宋体" w:cs="宋体"/>
          <w:spacing w:val="-12"/>
          <w:sz w:val="24"/>
          <w:szCs w:val="24"/>
        </w:rPr>
        <w:t>土空间规划建设等法定的审批程序，</w:t>
      </w:r>
      <w:r>
        <w:rPr>
          <w:rFonts w:ascii="宋体" w:hAnsi="宋体" w:eastAsia="宋体" w:cs="宋体"/>
          <w:spacing w:val="37"/>
          <w:sz w:val="24"/>
          <w:szCs w:val="24"/>
        </w:rPr>
        <w:t xml:space="preserve"> </w:t>
      </w:r>
      <w:r>
        <w:rPr>
          <w:rFonts w:ascii="宋体" w:hAnsi="宋体" w:eastAsia="宋体" w:cs="宋体"/>
          <w:spacing w:val="-12"/>
          <w:sz w:val="24"/>
          <w:szCs w:val="24"/>
        </w:rPr>
        <w:t>严格控制建设范围、规模和建筑风貌，</w:t>
      </w:r>
      <w:r>
        <w:rPr>
          <w:rFonts w:ascii="宋体" w:hAnsi="宋体" w:eastAsia="宋体" w:cs="宋体"/>
          <w:spacing w:val="38"/>
          <w:sz w:val="24"/>
          <w:szCs w:val="24"/>
        </w:rPr>
        <w:t xml:space="preserve"> </w:t>
      </w:r>
      <w:r>
        <w:rPr>
          <w:rFonts w:ascii="宋体" w:hAnsi="宋体" w:eastAsia="宋体" w:cs="宋体"/>
          <w:spacing w:val="-12"/>
          <w:sz w:val="24"/>
          <w:szCs w:val="24"/>
        </w:rPr>
        <w:t>并与</w:t>
      </w:r>
    </w:p>
    <w:p>
      <w:pPr>
        <w:spacing w:before="1" w:line="218" w:lineRule="auto"/>
        <w:ind w:left="39"/>
        <w:rPr>
          <w:rFonts w:ascii="宋体" w:hAnsi="宋体" w:eastAsia="宋体" w:cs="宋体"/>
          <w:sz w:val="24"/>
          <w:szCs w:val="24"/>
        </w:rPr>
      </w:pPr>
      <w:r>
        <w:rPr>
          <w:rFonts w:ascii="宋体" w:hAnsi="宋体" w:eastAsia="宋体" w:cs="宋体"/>
          <w:spacing w:val="-1"/>
          <w:sz w:val="24"/>
          <w:szCs w:val="24"/>
        </w:rPr>
        <w:t>周边自然和文化景观风貌相协调。区内应加</w:t>
      </w:r>
      <w:r>
        <w:rPr>
          <w:rFonts w:ascii="宋体" w:hAnsi="宋体" w:eastAsia="宋体" w:cs="宋体"/>
          <w:spacing w:val="-2"/>
          <w:sz w:val="24"/>
          <w:szCs w:val="24"/>
        </w:rPr>
        <w:t>强封山育林，严禁开山采石。</w:t>
      </w:r>
    </w:p>
    <w:p>
      <w:pPr>
        <w:spacing w:before="181" w:line="220" w:lineRule="auto"/>
        <w:ind w:left="520"/>
        <w:rPr>
          <w:rFonts w:ascii="宋体" w:hAnsi="宋体" w:eastAsia="宋体" w:cs="宋体"/>
          <w:sz w:val="24"/>
          <w:szCs w:val="24"/>
        </w:rPr>
      </w:pPr>
      <w:r>
        <w:rPr>
          <w:rFonts w:ascii="Times New Roman" w:hAnsi="Times New Roman" w:eastAsia="Times New Roman" w:cs="Times New Roman"/>
          <w:spacing w:val="-1"/>
          <w:sz w:val="24"/>
          <w:szCs w:val="24"/>
        </w:rPr>
        <w:t>5</w:t>
      </w:r>
      <w:r>
        <w:rPr>
          <w:rFonts w:ascii="宋体" w:hAnsi="宋体" w:eastAsia="宋体" w:cs="宋体"/>
          <w:spacing w:val="-1"/>
          <w:sz w:val="24"/>
          <w:szCs w:val="24"/>
        </w:rPr>
        <w:t>） 外围区域保护协调</w:t>
      </w:r>
    </w:p>
    <w:p>
      <w:pPr>
        <w:spacing w:before="181" w:line="359" w:lineRule="auto"/>
        <w:ind w:left="38" w:right="87" w:firstLine="484"/>
        <w:rPr>
          <w:rFonts w:ascii="宋体" w:hAnsi="宋体" w:eastAsia="宋体" w:cs="宋体"/>
          <w:sz w:val="24"/>
          <w:szCs w:val="24"/>
        </w:rPr>
      </w:pPr>
      <w:r>
        <w:rPr>
          <w:rFonts w:ascii="宋体" w:hAnsi="宋体" w:eastAsia="宋体" w:cs="宋体"/>
          <w:spacing w:val="-2"/>
          <w:sz w:val="24"/>
          <w:szCs w:val="24"/>
        </w:rPr>
        <w:t>外围保护地带面积为</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 xml:space="preserve">168.63 </w:t>
      </w:r>
      <w:r>
        <w:rPr>
          <w:rFonts w:ascii="宋体" w:hAnsi="宋体" w:eastAsia="宋体" w:cs="宋体"/>
          <w:spacing w:val="-2"/>
          <w:sz w:val="24"/>
          <w:szCs w:val="24"/>
        </w:rPr>
        <w:t xml:space="preserve">平方公里，包含两块：大南线发展带和铜铃镇 </w:t>
      </w:r>
      <w:r>
        <w:rPr>
          <w:rFonts w:ascii="宋体" w:hAnsi="宋体" w:eastAsia="宋体" w:cs="宋体"/>
          <w:spacing w:val="-6"/>
          <w:sz w:val="24"/>
          <w:szCs w:val="24"/>
        </w:rPr>
        <w:t>发展带。为保护风景名胜区的生态环境及视觉界面， 更</w:t>
      </w:r>
      <w:r>
        <w:rPr>
          <w:rFonts w:ascii="宋体" w:hAnsi="宋体" w:eastAsia="宋体" w:cs="宋体"/>
          <w:spacing w:val="-7"/>
          <w:sz w:val="24"/>
          <w:szCs w:val="24"/>
        </w:rPr>
        <w:t>好地突出风景区和周边城</w:t>
      </w:r>
      <w:r>
        <w:rPr>
          <w:rFonts w:ascii="宋体" w:hAnsi="宋体" w:eastAsia="宋体" w:cs="宋体"/>
          <w:sz w:val="24"/>
          <w:szCs w:val="24"/>
        </w:rPr>
        <w:t xml:space="preserve"> </w:t>
      </w:r>
      <w:r>
        <w:rPr>
          <w:rFonts w:ascii="宋体" w:hAnsi="宋体" w:eastAsia="宋体" w:cs="宋体"/>
          <w:spacing w:val="-9"/>
          <w:sz w:val="24"/>
          <w:szCs w:val="24"/>
        </w:rPr>
        <w:t>镇的特色， 使风景名胜区与乡镇及旅游产业平台建</w:t>
      </w:r>
      <w:r>
        <w:rPr>
          <w:rFonts w:ascii="宋体" w:hAnsi="宋体" w:eastAsia="宋体" w:cs="宋体"/>
          <w:spacing w:val="-10"/>
          <w:sz w:val="24"/>
          <w:szCs w:val="24"/>
        </w:rPr>
        <w:t>设保持一定的风貌协调， 作为</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镇景交融、旅游发展和乡村振兴的重要关注区域。</w:t>
      </w:r>
    </w:p>
    <w:p>
      <w:pPr>
        <w:spacing w:before="183" w:line="466" w:lineRule="exact"/>
        <w:ind w:left="517"/>
        <w:rPr>
          <w:rFonts w:ascii="宋体" w:hAnsi="宋体" w:eastAsia="宋体" w:cs="宋体"/>
          <w:sz w:val="24"/>
          <w:szCs w:val="24"/>
        </w:rPr>
      </w:pPr>
      <w:r>
        <w:rPr>
          <w:rFonts w:ascii="宋体" w:hAnsi="宋体" w:eastAsia="宋体" w:cs="宋体"/>
          <w:spacing w:val="-8"/>
          <w:position w:val="17"/>
          <w:sz w:val="24"/>
          <w:szCs w:val="24"/>
        </w:rPr>
        <w:t>①未来考虑沿大南线两侧发展，</w:t>
      </w:r>
      <w:r>
        <w:rPr>
          <w:rFonts w:ascii="宋体" w:hAnsi="宋体" w:eastAsia="宋体" w:cs="宋体"/>
          <w:spacing w:val="40"/>
          <w:position w:val="17"/>
          <w:sz w:val="24"/>
          <w:szCs w:val="24"/>
        </w:rPr>
        <w:t xml:space="preserve"> </w:t>
      </w:r>
      <w:r>
        <w:rPr>
          <w:rFonts w:ascii="宋体" w:hAnsi="宋体" w:eastAsia="宋体" w:cs="宋体"/>
          <w:spacing w:val="-8"/>
          <w:position w:val="17"/>
          <w:sz w:val="24"/>
          <w:szCs w:val="24"/>
        </w:rPr>
        <w:t>利用西坑、南田、百丈漈、二源镇区围</w:t>
      </w:r>
      <w:r>
        <w:rPr>
          <w:rFonts w:ascii="宋体" w:hAnsi="宋体" w:eastAsia="宋体" w:cs="宋体"/>
          <w:spacing w:val="-9"/>
          <w:position w:val="17"/>
          <w:sz w:val="24"/>
          <w:szCs w:val="24"/>
        </w:rPr>
        <w:t>合的</w:t>
      </w:r>
    </w:p>
    <w:p>
      <w:pPr>
        <w:spacing w:line="219" w:lineRule="auto"/>
        <w:ind w:left="44"/>
        <w:rPr>
          <w:rFonts w:ascii="宋体" w:hAnsi="宋体" w:eastAsia="宋体" w:cs="宋体"/>
          <w:sz w:val="24"/>
          <w:szCs w:val="24"/>
        </w:rPr>
      </w:pPr>
      <w:r>
        <w:rPr>
          <w:rFonts w:ascii="宋体" w:hAnsi="宋体" w:eastAsia="宋体" w:cs="宋体"/>
          <w:spacing w:val="-3"/>
          <w:sz w:val="24"/>
          <w:szCs w:val="24"/>
        </w:rPr>
        <w:t>高山平台区块，规划文成重要的旅游产业发展带。</w:t>
      </w:r>
    </w:p>
    <w:p>
      <w:pPr>
        <w:spacing w:before="183" w:line="217" w:lineRule="auto"/>
        <w:ind w:left="516"/>
        <w:rPr>
          <w:rFonts w:ascii="宋体" w:hAnsi="宋体" w:eastAsia="宋体" w:cs="宋体"/>
          <w:sz w:val="24"/>
          <w:szCs w:val="24"/>
        </w:rPr>
      </w:pPr>
      <w:r>
        <w:rPr>
          <w:rFonts w:ascii="宋体" w:hAnsi="宋体" w:eastAsia="宋体" w:cs="宋体"/>
          <w:spacing w:val="-2"/>
          <w:sz w:val="24"/>
          <w:szCs w:val="24"/>
        </w:rPr>
        <w:t>②将铜铃山镇及所在区域的东西向交通廊道作为重要的发展轴。</w:t>
      </w:r>
    </w:p>
    <w:p>
      <w:pPr>
        <w:spacing w:before="183" w:line="220" w:lineRule="auto"/>
        <w:ind w:left="522"/>
        <w:rPr>
          <w:rFonts w:ascii="宋体" w:hAnsi="宋体" w:eastAsia="宋体" w:cs="宋体"/>
          <w:sz w:val="24"/>
          <w:szCs w:val="24"/>
        </w:rPr>
      </w:pPr>
      <w:r>
        <w:rPr>
          <w:rFonts w:ascii="宋体" w:hAnsi="宋体" w:eastAsia="宋体" w:cs="宋体"/>
          <w:spacing w:val="-6"/>
          <w:sz w:val="24"/>
          <w:szCs w:val="24"/>
        </w:rPr>
        <w:t>具体协调发展措施如下：</w:t>
      </w:r>
    </w:p>
    <w:p>
      <w:pPr>
        <w:spacing w:before="182" w:line="220" w:lineRule="auto"/>
        <w:ind w:left="510"/>
        <w:rPr>
          <w:rFonts w:ascii="宋体" w:hAnsi="宋体" w:eastAsia="宋体" w:cs="宋体"/>
          <w:sz w:val="24"/>
          <w:szCs w:val="24"/>
        </w:rPr>
      </w:pPr>
      <w:r>
        <w:rPr>
          <w:rFonts w:ascii="Times New Roman" w:hAnsi="Times New Roman" w:eastAsia="Times New Roman" w:cs="Times New Roman"/>
          <w:spacing w:val="-3"/>
          <w:sz w:val="24"/>
          <w:szCs w:val="24"/>
        </w:rPr>
        <w:t>A</w:t>
      </w:r>
      <w:r>
        <w:rPr>
          <w:rFonts w:ascii="宋体" w:hAnsi="宋体" w:eastAsia="宋体" w:cs="宋体"/>
          <w:spacing w:val="-3"/>
          <w:sz w:val="24"/>
          <w:szCs w:val="24"/>
        </w:rPr>
        <w:t>、整体规划协调</w:t>
      </w:r>
    </w:p>
    <w:p>
      <w:pPr>
        <w:spacing w:before="179" w:line="468" w:lineRule="exact"/>
        <w:ind w:left="519"/>
        <w:rPr>
          <w:rFonts w:ascii="宋体" w:hAnsi="宋体" w:eastAsia="宋体" w:cs="宋体"/>
          <w:sz w:val="24"/>
          <w:szCs w:val="24"/>
        </w:rPr>
      </w:pPr>
      <w:r>
        <w:rPr>
          <w:rFonts w:ascii="宋体" w:hAnsi="宋体" w:eastAsia="宋体" w:cs="宋体"/>
          <w:spacing w:val="-7"/>
          <w:position w:val="17"/>
          <w:sz w:val="24"/>
          <w:szCs w:val="24"/>
        </w:rPr>
        <w:t>整体层面上的协调， 主要是实现风景区总体规划与国土空间规划、旅游产业</w:t>
      </w:r>
    </w:p>
    <w:p>
      <w:pPr>
        <w:spacing w:before="1" w:line="219" w:lineRule="auto"/>
        <w:ind w:left="39"/>
        <w:rPr>
          <w:rFonts w:ascii="宋体" w:hAnsi="宋体" w:eastAsia="宋体" w:cs="宋体"/>
          <w:sz w:val="24"/>
          <w:szCs w:val="24"/>
        </w:rPr>
      </w:pPr>
      <w:r>
        <w:rPr>
          <w:rFonts w:ascii="宋体" w:hAnsi="宋体" w:eastAsia="宋体" w:cs="宋体"/>
          <w:spacing w:val="-1"/>
          <w:sz w:val="24"/>
          <w:szCs w:val="24"/>
        </w:rPr>
        <w:t>规划的协调编制。整体层面上各规划在功能定位</w:t>
      </w:r>
      <w:r>
        <w:rPr>
          <w:rFonts w:ascii="宋体" w:hAnsi="宋体" w:eastAsia="宋体" w:cs="宋体"/>
          <w:spacing w:val="-2"/>
          <w:sz w:val="24"/>
          <w:szCs w:val="24"/>
        </w:rPr>
        <w:t>、交通联系上的相互协调。</w:t>
      </w:r>
    </w:p>
    <w:p>
      <w:pPr>
        <w:spacing w:before="182" w:line="220" w:lineRule="auto"/>
        <w:ind w:left="512"/>
        <w:rPr>
          <w:rFonts w:ascii="宋体" w:hAnsi="宋体" w:eastAsia="宋体" w:cs="宋体"/>
          <w:sz w:val="24"/>
          <w:szCs w:val="24"/>
        </w:rPr>
      </w:pPr>
      <w:r>
        <w:rPr>
          <w:rFonts w:ascii="Times New Roman" w:hAnsi="Times New Roman" w:eastAsia="Times New Roman" w:cs="Times New Roman"/>
          <w:spacing w:val="-2"/>
          <w:sz w:val="24"/>
          <w:szCs w:val="24"/>
        </w:rPr>
        <w:t>B</w:t>
      </w:r>
      <w:r>
        <w:rPr>
          <w:rFonts w:ascii="宋体" w:hAnsi="宋体" w:eastAsia="宋体" w:cs="宋体"/>
          <w:spacing w:val="-2"/>
          <w:sz w:val="24"/>
          <w:szCs w:val="24"/>
        </w:rPr>
        <w:t>、局部城市设计</w:t>
      </w:r>
    </w:p>
    <w:p>
      <w:pPr>
        <w:spacing w:before="181" w:line="359" w:lineRule="auto"/>
        <w:ind w:left="41" w:right="85" w:firstLine="476"/>
        <w:rPr>
          <w:rFonts w:ascii="宋体" w:hAnsi="宋体" w:eastAsia="宋体" w:cs="宋体"/>
          <w:sz w:val="24"/>
          <w:szCs w:val="24"/>
        </w:rPr>
      </w:pPr>
      <w:r>
        <w:rPr>
          <w:rFonts w:ascii="宋体" w:hAnsi="宋体" w:eastAsia="宋体" w:cs="宋体"/>
          <w:spacing w:val="-6"/>
          <w:sz w:val="24"/>
          <w:szCs w:val="24"/>
        </w:rPr>
        <w:t>在整体规划协调的基础上，</w:t>
      </w:r>
      <w:r>
        <w:rPr>
          <w:rFonts w:ascii="宋体" w:hAnsi="宋体" w:eastAsia="宋体" w:cs="宋体"/>
          <w:spacing w:val="-26"/>
          <w:sz w:val="24"/>
          <w:szCs w:val="24"/>
        </w:rPr>
        <w:t xml:space="preserve"> </w:t>
      </w:r>
      <w:r>
        <w:rPr>
          <w:rFonts w:ascii="宋体" w:hAnsi="宋体" w:eastAsia="宋体" w:cs="宋体"/>
          <w:spacing w:val="-6"/>
          <w:sz w:val="24"/>
          <w:szCs w:val="24"/>
        </w:rPr>
        <w:t>进一步落实功能衔接点具体的空间范围以及功能</w:t>
      </w:r>
      <w:r>
        <w:rPr>
          <w:rFonts w:ascii="宋体" w:hAnsi="宋体" w:eastAsia="宋体" w:cs="宋体"/>
          <w:sz w:val="24"/>
          <w:szCs w:val="24"/>
        </w:rPr>
        <w:t xml:space="preserve"> </w:t>
      </w:r>
      <w:r>
        <w:rPr>
          <w:rFonts w:ascii="宋体" w:hAnsi="宋体" w:eastAsia="宋体" w:cs="宋体"/>
          <w:spacing w:val="-8"/>
          <w:sz w:val="24"/>
          <w:szCs w:val="24"/>
        </w:rPr>
        <w:t>构成，</w:t>
      </w:r>
      <w:r>
        <w:rPr>
          <w:rFonts w:ascii="宋体" w:hAnsi="宋体" w:eastAsia="宋体" w:cs="宋体"/>
          <w:spacing w:val="-47"/>
          <w:sz w:val="24"/>
          <w:szCs w:val="24"/>
        </w:rPr>
        <w:t xml:space="preserve"> </w:t>
      </w:r>
      <w:r>
        <w:rPr>
          <w:rFonts w:ascii="宋体" w:hAnsi="宋体" w:eastAsia="宋体" w:cs="宋体"/>
          <w:spacing w:val="-8"/>
          <w:sz w:val="24"/>
          <w:szCs w:val="24"/>
        </w:rPr>
        <w:t>满足边界融合带中不同感知层次对不同相关景</w:t>
      </w:r>
      <w:r>
        <w:rPr>
          <w:rFonts w:ascii="宋体" w:hAnsi="宋体" w:eastAsia="宋体" w:cs="宋体"/>
          <w:spacing w:val="-9"/>
          <w:sz w:val="24"/>
          <w:szCs w:val="24"/>
        </w:rPr>
        <w:t>观细节的要求， 包括建筑高</w:t>
      </w:r>
    </w:p>
    <w:p>
      <w:pPr>
        <w:spacing w:line="219" w:lineRule="auto"/>
        <w:jc w:val="right"/>
        <w:rPr>
          <w:rFonts w:ascii="宋体" w:hAnsi="宋体" w:eastAsia="宋体" w:cs="宋体"/>
          <w:sz w:val="24"/>
          <w:szCs w:val="24"/>
        </w:rPr>
      </w:pPr>
      <w:r>
        <w:rPr>
          <w:rFonts w:ascii="宋体" w:hAnsi="宋体" w:eastAsia="宋体" w:cs="宋体"/>
          <w:spacing w:val="-10"/>
          <w:sz w:val="24"/>
          <w:szCs w:val="24"/>
        </w:rPr>
        <w:t>度细分、建筑体量、风格以及色彩等， 通过局部城市设计实现</w:t>
      </w:r>
      <w:r>
        <w:rPr>
          <w:rFonts w:ascii="宋体" w:hAnsi="宋体" w:eastAsia="宋体" w:cs="宋体"/>
          <w:spacing w:val="-11"/>
          <w:sz w:val="24"/>
          <w:szCs w:val="24"/>
        </w:rPr>
        <w:t>以上这些设计目标。</w:t>
      </w:r>
    </w:p>
    <w:p>
      <w:pPr>
        <w:spacing w:before="183" w:line="220" w:lineRule="auto"/>
        <w:ind w:left="517"/>
        <w:rPr>
          <w:rFonts w:ascii="宋体" w:hAnsi="宋体" w:eastAsia="宋体" w:cs="宋体"/>
          <w:sz w:val="24"/>
          <w:szCs w:val="24"/>
        </w:rPr>
      </w:pPr>
      <w:r>
        <w:rPr>
          <w:rFonts w:ascii="Times New Roman" w:hAnsi="Times New Roman" w:eastAsia="Times New Roman" w:cs="Times New Roman"/>
          <w:spacing w:val="-2"/>
          <w:sz w:val="24"/>
          <w:szCs w:val="24"/>
        </w:rPr>
        <w:t>C</w:t>
      </w:r>
      <w:r>
        <w:rPr>
          <w:rFonts w:ascii="宋体" w:hAnsi="宋体" w:eastAsia="宋体" w:cs="宋体"/>
          <w:spacing w:val="-2"/>
          <w:sz w:val="24"/>
          <w:szCs w:val="24"/>
        </w:rPr>
        <w:t>、地域文化的发掘、体现与延展</w:t>
      </w:r>
    </w:p>
    <w:p>
      <w:pPr>
        <w:spacing w:before="180" w:line="359" w:lineRule="auto"/>
        <w:ind w:left="37" w:right="84" w:firstLine="479"/>
        <w:rPr>
          <w:rFonts w:ascii="宋体" w:hAnsi="宋体" w:eastAsia="宋体" w:cs="宋体"/>
          <w:sz w:val="24"/>
          <w:szCs w:val="24"/>
        </w:rPr>
      </w:pPr>
      <w:r>
        <w:rPr>
          <w:rFonts w:ascii="宋体" w:hAnsi="宋体" w:eastAsia="宋体" w:cs="宋体"/>
          <w:spacing w:val="-3"/>
          <w:sz w:val="24"/>
          <w:szCs w:val="24"/>
        </w:rPr>
        <w:t>挖掘文成地域文化并在外围保护地带的相关规划设计中予以体现。</w:t>
      </w:r>
      <w:r>
        <w:rPr>
          <w:rFonts w:ascii="宋体" w:hAnsi="宋体" w:eastAsia="宋体" w:cs="宋体"/>
          <w:spacing w:val="-4"/>
          <w:sz w:val="24"/>
          <w:szCs w:val="24"/>
        </w:rPr>
        <w:t>通过具体</w:t>
      </w:r>
      <w:r>
        <w:rPr>
          <w:rFonts w:ascii="宋体" w:hAnsi="宋体" w:eastAsia="宋体" w:cs="宋体"/>
          <w:sz w:val="24"/>
          <w:szCs w:val="24"/>
        </w:rPr>
        <w:t xml:space="preserve"> </w:t>
      </w:r>
      <w:r>
        <w:rPr>
          <w:rFonts w:ascii="宋体" w:hAnsi="宋体" w:eastAsia="宋体" w:cs="宋体"/>
          <w:spacing w:val="-3"/>
          <w:sz w:val="24"/>
          <w:szCs w:val="24"/>
        </w:rPr>
        <w:t>旅游设施打造、游览空间建设和游赏路线组织使得外围保护地带能从风景区的特</w:t>
      </w:r>
    </w:p>
    <w:p>
      <w:pPr>
        <w:spacing w:before="1" w:line="219" w:lineRule="auto"/>
        <w:ind w:left="41"/>
        <w:rPr>
          <w:rFonts w:ascii="宋体" w:hAnsi="宋体" w:eastAsia="宋体" w:cs="宋体"/>
          <w:sz w:val="24"/>
          <w:szCs w:val="24"/>
        </w:rPr>
      </w:pPr>
      <w:r>
        <w:rPr>
          <w:rFonts w:ascii="宋体" w:hAnsi="宋体" w:eastAsia="宋体" w:cs="宋体"/>
          <w:spacing w:val="-6"/>
          <w:sz w:val="24"/>
          <w:szCs w:val="24"/>
        </w:rPr>
        <w:t>色中得以延展。</w:t>
      </w:r>
    </w:p>
    <w:p>
      <w:pPr>
        <w:spacing w:before="182" w:line="219" w:lineRule="auto"/>
        <w:ind w:left="512"/>
        <w:rPr>
          <w:rFonts w:ascii="宋体" w:hAnsi="宋体" w:eastAsia="宋体" w:cs="宋体"/>
          <w:sz w:val="24"/>
          <w:szCs w:val="24"/>
        </w:rPr>
      </w:pPr>
      <w:r>
        <w:rPr>
          <w:rFonts w:ascii="Times New Roman" w:hAnsi="Times New Roman" w:eastAsia="Times New Roman" w:cs="Times New Roman"/>
          <w:spacing w:val="-2"/>
          <w:sz w:val="24"/>
          <w:szCs w:val="24"/>
        </w:rPr>
        <w:t>D</w:t>
      </w:r>
      <w:r>
        <w:rPr>
          <w:rFonts w:ascii="宋体" w:hAnsi="宋体" w:eastAsia="宋体" w:cs="宋体"/>
          <w:spacing w:val="-2"/>
          <w:sz w:val="24"/>
          <w:szCs w:val="24"/>
        </w:rPr>
        <w:t>、解决镇景矛盾、做到镇景协调</w:t>
      </w:r>
    </w:p>
    <w:p>
      <w:pPr>
        <w:spacing w:before="181" w:line="468" w:lineRule="exact"/>
        <w:ind w:left="540"/>
        <w:rPr>
          <w:rFonts w:ascii="宋体" w:hAnsi="宋体" w:eastAsia="宋体" w:cs="宋体"/>
          <w:sz w:val="24"/>
          <w:szCs w:val="24"/>
        </w:rPr>
      </w:pPr>
      <w:r>
        <w:rPr>
          <w:rFonts w:ascii="宋体" w:hAnsi="宋体" w:eastAsia="宋体" w:cs="宋体"/>
          <w:spacing w:val="-7"/>
          <w:position w:val="17"/>
          <w:sz w:val="24"/>
          <w:szCs w:val="24"/>
        </w:rPr>
        <w:t>明确外围保护地带的景观风貌控制、水域界线保护等具体保护措</w:t>
      </w:r>
      <w:r>
        <w:rPr>
          <w:rFonts w:ascii="宋体" w:hAnsi="宋体" w:eastAsia="宋体" w:cs="宋体"/>
          <w:spacing w:val="-8"/>
          <w:position w:val="17"/>
          <w:sz w:val="24"/>
          <w:szCs w:val="24"/>
        </w:rPr>
        <w:t>施， 并制定</w:t>
      </w:r>
    </w:p>
    <w:p>
      <w:pPr>
        <w:spacing w:before="1" w:line="218" w:lineRule="auto"/>
        <w:ind w:left="42"/>
        <w:rPr>
          <w:rFonts w:ascii="宋体" w:hAnsi="宋体" w:eastAsia="宋体" w:cs="宋体"/>
          <w:sz w:val="24"/>
          <w:szCs w:val="24"/>
        </w:rPr>
      </w:pPr>
      <w:r>
        <w:rPr>
          <w:rFonts w:ascii="宋体" w:hAnsi="宋体" w:eastAsia="宋体" w:cs="宋体"/>
          <w:spacing w:val="-3"/>
          <w:sz w:val="24"/>
          <w:szCs w:val="24"/>
        </w:rPr>
        <w:t>具体的保护规划措施，使镇景关系有机协调。</w:t>
      </w:r>
    </w:p>
    <w:p>
      <w:pPr>
        <w:spacing w:before="182" w:line="359" w:lineRule="auto"/>
        <w:ind w:left="39" w:right="84" w:firstLine="478"/>
        <w:rPr>
          <w:rFonts w:ascii="宋体" w:hAnsi="宋体" w:eastAsia="宋体" w:cs="宋体"/>
          <w:sz w:val="24"/>
          <w:szCs w:val="24"/>
        </w:rPr>
      </w:pPr>
      <w:r>
        <w:rPr>
          <w:rFonts w:ascii="宋体" w:hAnsi="宋体" w:eastAsia="宋体" w:cs="宋体"/>
          <w:spacing w:val="-8"/>
          <w:sz w:val="24"/>
          <w:szCs w:val="24"/>
        </w:rPr>
        <w:t>对于外围保护地带涉及的南田镇、百丈漈镇、二源镇、西坑畲族镇，</w:t>
      </w:r>
      <w:r>
        <w:rPr>
          <w:rFonts w:ascii="宋体" w:hAnsi="宋体" w:eastAsia="宋体" w:cs="宋体"/>
          <w:spacing w:val="40"/>
          <w:sz w:val="24"/>
          <w:szCs w:val="24"/>
        </w:rPr>
        <w:t xml:space="preserve"> </w:t>
      </w:r>
      <w:r>
        <w:rPr>
          <w:rFonts w:ascii="宋体" w:hAnsi="宋体" w:eastAsia="宋体" w:cs="宋体"/>
          <w:spacing w:val="-8"/>
          <w:sz w:val="24"/>
          <w:szCs w:val="24"/>
        </w:rPr>
        <w:t>作</w:t>
      </w:r>
      <w:r>
        <w:rPr>
          <w:rFonts w:ascii="宋体" w:hAnsi="宋体" w:eastAsia="宋体" w:cs="宋体"/>
          <w:spacing w:val="-9"/>
          <w:sz w:val="24"/>
          <w:szCs w:val="24"/>
        </w:rPr>
        <w:t>为未</w:t>
      </w:r>
      <w:r>
        <w:rPr>
          <w:rFonts w:ascii="宋体" w:hAnsi="宋体" w:eastAsia="宋体" w:cs="宋体"/>
          <w:sz w:val="24"/>
          <w:szCs w:val="24"/>
        </w:rPr>
        <w:t xml:space="preserve"> </w:t>
      </w:r>
      <w:r>
        <w:rPr>
          <w:rFonts w:ascii="宋体" w:hAnsi="宋体" w:eastAsia="宋体" w:cs="宋体"/>
          <w:spacing w:val="-16"/>
          <w:sz w:val="24"/>
          <w:szCs w:val="24"/>
        </w:rPr>
        <w:t>来风景区的主要旅游设施依托，</w:t>
      </w:r>
      <w:r>
        <w:rPr>
          <w:rFonts w:ascii="宋体" w:hAnsi="宋体" w:eastAsia="宋体" w:cs="宋体"/>
          <w:spacing w:val="33"/>
          <w:sz w:val="24"/>
          <w:szCs w:val="24"/>
        </w:rPr>
        <w:t xml:space="preserve"> </w:t>
      </w:r>
      <w:r>
        <w:rPr>
          <w:rFonts w:ascii="宋体" w:hAnsi="宋体" w:eastAsia="宋体" w:cs="宋体"/>
          <w:spacing w:val="-16"/>
          <w:sz w:val="24"/>
          <w:szCs w:val="24"/>
        </w:rPr>
        <w:t>规划要求镇区景</w:t>
      </w:r>
      <w:r>
        <w:rPr>
          <w:rFonts w:ascii="宋体" w:hAnsi="宋体" w:eastAsia="宋体" w:cs="宋体"/>
          <w:spacing w:val="-17"/>
          <w:sz w:val="24"/>
          <w:szCs w:val="24"/>
        </w:rPr>
        <w:t>区化，</w:t>
      </w:r>
      <w:r>
        <w:rPr>
          <w:rFonts w:ascii="宋体" w:hAnsi="宋体" w:eastAsia="宋体" w:cs="宋体"/>
          <w:spacing w:val="40"/>
          <w:sz w:val="24"/>
          <w:szCs w:val="24"/>
        </w:rPr>
        <w:t xml:space="preserve"> </w:t>
      </w:r>
      <w:r>
        <w:rPr>
          <w:rFonts w:ascii="宋体" w:hAnsi="宋体" w:eastAsia="宋体" w:cs="宋体"/>
          <w:spacing w:val="-17"/>
          <w:sz w:val="24"/>
          <w:szCs w:val="24"/>
        </w:rPr>
        <w:t>改善整体环境风貌，</w:t>
      </w:r>
      <w:r>
        <w:rPr>
          <w:rFonts w:ascii="宋体" w:hAnsi="宋体" w:eastAsia="宋体" w:cs="宋体"/>
          <w:spacing w:val="36"/>
          <w:sz w:val="24"/>
          <w:szCs w:val="24"/>
        </w:rPr>
        <w:t xml:space="preserve"> </w:t>
      </w:r>
      <w:r>
        <w:rPr>
          <w:rFonts w:ascii="宋体" w:hAnsi="宋体" w:eastAsia="宋体" w:cs="宋体"/>
          <w:spacing w:val="-17"/>
          <w:sz w:val="24"/>
          <w:szCs w:val="24"/>
        </w:rPr>
        <w:t>打造</w:t>
      </w:r>
    </w:p>
    <w:p>
      <w:pPr>
        <w:spacing w:before="1" w:line="219" w:lineRule="auto"/>
        <w:ind w:left="39"/>
        <w:rPr>
          <w:rFonts w:ascii="宋体" w:hAnsi="宋体" w:eastAsia="宋体" w:cs="宋体"/>
          <w:sz w:val="24"/>
          <w:szCs w:val="24"/>
        </w:rPr>
      </w:pPr>
      <w:r>
        <w:rPr>
          <w:rFonts w:ascii="宋体" w:hAnsi="宋体" w:eastAsia="宋体" w:cs="宋体"/>
          <w:spacing w:val="-6"/>
          <w:sz w:val="24"/>
          <w:szCs w:val="24"/>
        </w:rPr>
        <w:t>风情特色小镇。</w:t>
      </w:r>
    </w:p>
    <w:p>
      <w:pPr>
        <w:spacing w:line="219" w:lineRule="auto"/>
        <w:rPr>
          <w:rFonts w:ascii="宋体" w:hAnsi="宋体" w:eastAsia="宋体" w:cs="宋体"/>
          <w:sz w:val="24"/>
          <w:szCs w:val="24"/>
        </w:rPr>
        <w:sectPr>
          <w:headerReference r:id="rId67" w:type="default"/>
          <w:footerReference r:id="rId68" w:type="default"/>
          <w:pgSz w:w="11907" w:h="16839"/>
          <w:pgMar w:top="1118" w:right="1714" w:bottom="1184" w:left="1771" w:header="879" w:footer="1024" w:gutter="0"/>
          <w:cols w:space="720" w:num="1"/>
        </w:sectPr>
      </w:pPr>
    </w:p>
    <w:p>
      <w:pPr>
        <w:pStyle w:val="2"/>
        <w:spacing w:line="278" w:lineRule="auto"/>
      </w:pPr>
    </w:p>
    <w:p>
      <w:pPr>
        <w:spacing w:before="78" w:line="359" w:lineRule="auto"/>
        <w:ind w:left="59" w:right="90" w:firstLine="457"/>
        <w:rPr>
          <w:rFonts w:ascii="宋体" w:hAnsi="宋体" w:eastAsia="宋体" w:cs="宋体"/>
          <w:sz w:val="24"/>
          <w:szCs w:val="24"/>
        </w:rPr>
      </w:pPr>
      <w:r>
        <w:rPr>
          <w:rFonts w:ascii="宋体" w:hAnsi="宋体" w:eastAsia="宋体" w:cs="宋体"/>
          <w:spacing w:val="-7"/>
          <w:sz w:val="24"/>
          <w:szCs w:val="24"/>
        </w:rPr>
        <w:t>对于风景区范围内的铜铃山集镇、村庄规划协调要求， 一是详细规划编制范</w:t>
      </w:r>
      <w:r>
        <w:rPr>
          <w:rFonts w:ascii="宋体" w:hAnsi="宋体" w:eastAsia="宋体" w:cs="宋体"/>
          <w:spacing w:val="12"/>
          <w:sz w:val="24"/>
          <w:szCs w:val="24"/>
        </w:rPr>
        <w:t xml:space="preserve"> </w:t>
      </w:r>
      <w:r>
        <w:rPr>
          <w:rFonts w:ascii="宋体" w:hAnsi="宋体" w:eastAsia="宋体" w:cs="宋体"/>
          <w:spacing w:val="-8"/>
          <w:sz w:val="24"/>
          <w:szCs w:val="24"/>
        </w:rPr>
        <w:t>围内的镇、村庄不再单独编制镇、村庄规划，</w:t>
      </w:r>
      <w:r>
        <w:rPr>
          <w:rFonts w:ascii="宋体" w:hAnsi="宋体" w:eastAsia="宋体" w:cs="宋体"/>
          <w:spacing w:val="43"/>
          <w:sz w:val="24"/>
          <w:szCs w:val="24"/>
        </w:rPr>
        <w:t xml:space="preserve"> </w:t>
      </w:r>
      <w:r>
        <w:rPr>
          <w:rFonts w:ascii="宋体" w:hAnsi="宋体" w:eastAsia="宋体" w:cs="宋体"/>
          <w:spacing w:val="-8"/>
          <w:sz w:val="24"/>
          <w:szCs w:val="24"/>
        </w:rPr>
        <w:t>二是详细</w:t>
      </w:r>
      <w:r>
        <w:rPr>
          <w:rFonts w:ascii="宋体" w:hAnsi="宋体" w:eastAsia="宋体" w:cs="宋体"/>
          <w:spacing w:val="-9"/>
          <w:sz w:val="24"/>
          <w:szCs w:val="24"/>
        </w:rPr>
        <w:t>规划编制范围外的镇、村</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庄单独编制镇、村庄规划，但应符合风景名胜区总体规划。</w:t>
      </w:r>
    </w:p>
    <w:p>
      <w:pPr>
        <w:spacing w:before="182" w:line="220" w:lineRule="auto"/>
        <w:ind w:left="513"/>
        <w:rPr>
          <w:rFonts w:ascii="宋体" w:hAnsi="宋体" w:eastAsia="宋体" w:cs="宋体"/>
          <w:sz w:val="24"/>
          <w:szCs w:val="24"/>
        </w:rPr>
      </w:pPr>
      <w:r>
        <w:rPr>
          <w:rFonts w:ascii="Times New Roman" w:hAnsi="Times New Roman" w:eastAsia="Times New Roman" w:cs="Times New Roman"/>
          <w:spacing w:val="-2"/>
          <w:sz w:val="24"/>
          <w:szCs w:val="24"/>
        </w:rPr>
        <w:t>E</w:t>
      </w:r>
      <w:r>
        <w:rPr>
          <w:rFonts w:ascii="宋体" w:hAnsi="宋体" w:eastAsia="宋体" w:cs="宋体"/>
          <w:spacing w:val="-2"/>
          <w:sz w:val="24"/>
          <w:szCs w:val="24"/>
        </w:rPr>
        <w:t>、风景区界线准确定位</w:t>
      </w:r>
    </w:p>
    <w:p>
      <w:pPr>
        <w:spacing w:before="180" w:line="468" w:lineRule="exact"/>
        <w:ind w:left="517"/>
        <w:rPr>
          <w:rFonts w:ascii="宋体" w:hAnsi="宋体" w:eastAsia="宋体" w:cs="宋体"/>
          <w:sz w:val="24"/>
          <w:szCs w:val="24"/>
        </w:rPr>
      </w:pPr>
      <w:r>
        <w:rPr>
          <w:rFonts w:ascii="宋体" w:hAnsi="宋体" w:eastAsia="宋体" w:cs="宋体"/>
          <w:spacing w:val="-10"/>
          <w:position w:val="17"/>
          <w:sz w:val="24"/>
          <w:szCs w:val="24"/>
        </w:rPr>
        <w:t>对风景区和外围保护地带的界线进行了准确划定， 定桩立界， 使风景区的保</w:t>
      </w:r>
    </w:p>
    <w:p>
      <w:pPr>
        <w:spacing w:before="1" w:line="218" w:lineRule="auto"/>
        <w:ind w:left="39"/>
        <w:rPr>
          <w:rFonts w:ascii="宋体" w:hAnsi="宋体" w:eastAsia="宋体" w:cs="宋体"/>
          <w:sz w:val="24"/>
          <w:szCs w:val="24"/>
        </w:rPr>
      </w:pPr>
      <w:r>
        <w:rPr>
          <w:rFonts w:ascii="宋体" w:hAnsi="宋体" w:eastAsia="宋体" w:cs="宋体"/>
          <w:spacing w:val="-5"/>
          <w:sz w:val="24"/>
          <w:szCs w:val="24"/>
        </w:rPr>
        <w:t>护范围有据可依。</w:t>
      </w:r>
    </w:p>
    <w:p>
      <w:pPr>
        <w:spacing w:before="180" w:line="220" w:lineRule="auto"/>
        <w:ind w:left="512"/>
        <w:rPr>
          <w:rFonts w:ascii="宋体" w:hAnsi="宋体" w:eastAsia="宋体" w:cs="宋体"/>
          <w:sz w:val="24"/>
          <w:szCs w:val="24"/>
        </w:rPr>
      </w:pPr>
      <w:r>
        <w:rPr>
          <w:rFonts w:ascii="Times New Roman" w:hAnsi="Times New Roman" w:eastAsia="Times New Roman" w:cs="Times New Roman"/>
          <w:spacing w:val="-2"/>
          <w:sz w:val="24"/>
          <w:szCs w:val="24"/>
        </w:rPr>
        <w:t>F</w:t>
      </w:r>
      <w:r>
        <w:rPr>
          <w:rFonts w:ascii="宋体" w:hAnsi="宋体" w:eastAsia="宋体" w:cs="宋体"/>
          <w:spacing w:val="-2"/>
          <w:sz w:val="24"/>
          <w:szCs w:val="24"/>
        </w:rPr>
        <w:t>、加强风景名胜区南北两大片区的联系与协调</w:t>
      </w:r>
    </w:p>
    <w:p>
      <w:pPr>
        <w:spacing w:before="183" w:line="466" w:lineRule="exact"/>
        <w:ind w:left="518"/>
        <w:rPr>
          <w:rFonts w:ascii="宋体" w:hAnsi="宋体" w:eastAsia="宋体" w:cs="宋体"/>
          <w:sz w:val="24"/>
          <w:szCs w:val="24"/>
        </w:rPr>
      </w:pPr>
      <w:r>
        <w:rPr>
          <w:rFonts w:ascii="宋体" w:hAnsi="宋体" w:eastAsia="宋体" w:cs="宋体"/>
          <w:spacing w:val="-3"/>
          <w:position w:val="17"/>
          <w:sz w:val="24"/>
          <w:szCs w:val="24"/>
        </w:rPr>
        <w:t>通过外围保护地带的道路交通、游赏组织、标识系统、管理体系</w:t>
      </w:r>
      <w:r>
        <w:rPr>
          <w:rFonts w:ascii="宋体" w:hAnsi="宋体" w:eastAsia="宋体" w:cs="宋体"/>
          <w:spacing w:val="-4"/>
          <w:position w:val="17"/>
          <w:sz w:val="24"/>
          <w:szCs w:val="24"/>
        </w:rPr>
        <w:t>建构等加强</w:t>
      </w:r>
    </w:p>
    <w:p>
      <w:pPr>
        <w:spacing w:before="1" w:line="218" w:lineRule="auto"/>
        <w:ind w:left="41"/>
        <w:rPr>
          <w:rFonts w:ascii="宋体" w:hAnsi="宋体" w:eastAsia="宋体" w:cs="宋体"/>
          <w:sz w:val="24"/>
          <w:szCs w:val="24"/>
        </w:rPr>
      </w:pPr>
      <w:r>
        <w:rPr>
          <w:rFonts w:ascii="宋体" w:hAnsi="宋体" w:eastAsia="宋体" w:cs="宋体"/>
          <w:spacing w:val="-3"/>
          <w:sz w:val="24"/>
          <w:szCs w:val="24"/>
        </w:rPr>
        <w:t>各百丈漈、飞云湖两大片区的联系与协调。</w:t>
      </w:r>
    </w:p>
    <w:p>
      <w:pPr>
        <w:spacing w:before="183" w:line="220" w:lineRule="auto"/>
        <w:ind w:left="519"/>
        <w:rPr>
          <w:rFonts w:ascii="宋体" w:hAnsi="宋体" w:eastAsia="宋体" w:cs="宋体"/>
          <w:sz w:val="24"/>
          <w:szCs w:val="24"/>
        </w:rPr>
      </w:pPr>
      <w:r>
        <w:rPr>
          <w:rFonts w:ascii="Times New Roman" w:hAnsi="Times New Roman" w:eastAsia="Times New Roman" w:cs="Times New Roman"/>
          <w:spacing w:val="-4"/>
          <w:sz w:val="24"/>
          <w:szCs w:val="24"/>
        </w:rPr>
        <w:t>6</w:t>
      </w:r>
      <w:r>
        <w:rPr>
          <w:rFonts w:ascii="宋体" w:hAnsi="宋体" w:eastAsia="宋体" w:cs="宋体"/>
          <w:spacing w:val="-4"/>
          <w:sz w:val="24"/>
          <w:szCs w:val="24"/>
        </w:rPr>
        <w:t>）道路交通规划</w:t>
      </w:r>
    </w:p>
    <w:p>
      <w:pPr>
        <w:spacing w:before="180" w:line="217" w:lineRule="auto"/>
        <w:ind w:left="517"/>
        <w:rPr>
          <w:rFonts w:ascii="宋体" w:hAnsi="宋体" w:eastAsia="宋体" w:cs="宋体"/>
          <w:sz w:val="24"/>
          <w:szCs w:val="24"/>
        </w:rPr>
      </w:pPr>
      <w:r>
        <w:rPr>
          <w:rFonts w:ascii="宋体" w:hAnsi="宋体" w:eastAsia="宋体" w:cs="宋体"/>
          <w:spacing w:val="-2"/>
          <w:sz w:val="24"/>
          <w:szCs w:val="24"/>
        </w:rPr>
        <w:t>①对外交通规划</w:t>
      </w:r>
    </w:p>
    <w:p>
      <w:pPr>
        <w:spacing w:before="187" w:line="359" w:lineRule="auto"/>
        <w:ind w:left="37" w:firstLine="484"/>
        <w:rPr>
          <w:rFonts w:ascii="宋体" w:hAnsi="宋体" w:eastAsia="宋体" w:cs="宋体"/>
          <w:sz w:val="24"/>
          <w:szCs w:val="24"/>
        </w:rPr>
      </w:pPr>
      <w:r>
        <w:rPr>
          <w:rFonts w:ascii="宋体" w:hAnsi="宋体" w:eastAsia="宋体" w:cs="宋体"/>
          <w:spacing w:val="-4"/>
          <w:sz w:val="24"/>
          <w:szCs w:val="24"/>
        </w:rPr>
        <w:t xml:space="preserve">未来温武吉铁路、文成和泰顺通用航空机场的建设将会给文成县的发展带来 </w:t>
      </w:r>
      <w:r>
        <w:rPr>
          <w:rFonts w:ascii="宋体" w:hAnsi="宋体" w:eastAsia="宋体" w:cs="宋体"/>
          <w:spacing w:val="-11"/>
          <w:sz w:val="24"/>
          <w:szCs w:val="24"/>
        </w:rPr>
        <w:t>机遇。规划</w:t>
      </w:r>
      <w:r>
        <w:rPr>
          <w:rFonts w:ascii="Times New Roman" w:hAnsi="Times New Roman" w:eastAsia="Times New Roman" w:cs="Times New Roman"/>
          <w:spacing w:val="-11"/>
          <w:sz w:val="24"/>
          <w:szCs w:val="24"/>
        </w:rPr>
        <w:t>“</w:t>
      </w:r>
      <w:r>
        <w:rPr>
          <w:rFonts w:ascii="宋体" w:hAnsi="宋体" w:eastAsia="宋体" w:cs="宋体"/>
          <w:spacing w:val="-11"/>
          <w:sz w:val="24"/>
          <w:szCs w:val="24"/>
        </w:rPr>
        <w:t>两条四段</w:t>
      </w:r>
      <w:r>
        <w:rPr>
          <w:rFonts w:ascii="Times New Roman" w:hAnsi="Times New Roman" w:eastAsia="Times New Roman" w:cs="Times New Roman"/>
          <w:spacing w:val="-11"/>
          <w:sz w:val="24"/>
          <w:szCs w:val="24"/>
        </w:rPr>
        <w:t>”</w:t>
      </w:r>
      <w:r>
        <w:rPr>
          <w:rFonts w:ascii="宋体" w:hAnsi="宋体" w:eastAsia="宋体" w:cs="宋体"/>
          <w:spacing w:val="-11"/>
          <w:sz w:val="24"/>
          <w:szCs w:val="24"/>
        </w:rPr>
        <w:t>高速构成十字型的交通格局交汇于大峃镇，</w:t>
      </w:r>
      <w:r>
        <w:rPr>
          <w:rFonts w:ascii="宋体" w:hAnsi="宋体" w:eastAsia="宋体" w:cs="宋体"/>
          <w:spacing w:val="59"/>
          <w:sz w:val="24"/>
          <w:szCs w:val="24"/>
        </w:rPr>
        <w:t xml:space="preserve"> </w:t>
      </w:r>
      <w:r>
        <w:rPr>
          <w:rFonts w:ascii="宋体" w:hAnsi="宋体" w:eastAsia="宋体" w:cs="宋体"/>
          <w:spacing w:val="-11"/>
          <w:sz w:val="24"/>
          <w:szCs w:val="24"/>
        </w:rPr>
        <w:t>向东、西、南、</w:t>
      </w:r>
      <w:r>
        <w:rPr>
          <w:rFonts w:ascii="宋体" w:hAnsi="宋体" w:eastAsia="宋体" w:cs="宋体"/>
          <w:sz w:val="24"/>
          <w:szCs w:val="24"/>
        </w:rPr>
        <w:t xml:space="preserve"> </w:t>
      </w:r>
      <w:r>
        <w:rPr>
          <w:rFonts w:ascii="宋体" w:hAnsi="宋体" w:eastAsia="宋体" w:cs="宋体"/>
          <w:spacing w:val="-1"/>
          <w:sz w:val="24"/>
          <w:szCs w:val="24"/>
        </w:rPr>
        <w:t>北四个方向延伸，连接瑞安、景宁、泰顺和青田，形成文</w:t>
      </w:r>
      <w:r>
        <w:rPr>
          <w:rFonts w:ascii="宋体" w:hAnsi="宋体" w:eastAsia="宋体" w:cs="宋体"/>
          <w:spacing w:val="-2"/>
          <w:sz w:val="24"/>
          <w:szCs w:val="24"/>
        </w:rPr>
        <w:t>成县交通格局的骨架。</w:t>
      </w:r>
      <w:r>
        <w:rPr>
          <w:rFonts w:ascii="宋体" w:hAnsi="宋体" w:eastAsia="宋体" w:cs="宋体"/>
          <w:sz w:val="24"/>
          <w:szCs w:val="24"/>
        </w:rPr>
        <w:t xml:space="preserve"> </w:t>
      </w:r>
      <w:r>
        <w:rPr>
          <w:rFonts w:ascii="宋体" w:hAnsi="宋体" w:eastAsia="宋体" w:cs="宋体"/>
          <w:spacing w:val="-11"/>
          <w:sz w:val="24"/>
          <w:szCs w:val="24"/>
        </w:rPr>
        <w:t>文成县境内共设</w:t>
      </w:r>
      <w:r>
        <w:rPr>
          <w:rFonts w:ascii="宋体" w:hAnsi="宋体" w:eastAsia="宋体" w:cs="宋体"/>
          <w:spacing w:val="-38"/>
          <w:sz w:val="24"/>
          <w:szCs w:val="24"/>
        </w:rPr>
        <w:t xml:space="preserve"> </w:t>
      </w:r>
      <w:r>
        <w:rPr>
          <w:rFonts w:ascii="Times New Roman" w:hAnsi="Times New Roman" w:eastAsia="Times New Roman" w:cs="Times New Roman"/>
          <w:spacing w:val="-11"/>
          <w:sz w:val="24"/>
          <w:szCs w:val="24"/>
        </w:rPr>
        <w:t xml:space="preserve">3 </w:t>
      </w:r>
      <w:r>
        <w:rPr>
          <w:rFonts w:ascii="宋体" w:hAnsi="宋体" w:eastAsia="宋体" w:cs="宋体"/>
          <w:spacing w:val="-11"/>
          <w:sz w:val="24"/>
          <w:szCs w:val="24"/>
        </w:rPr>
        <w:t>个高速互通，</w:t>
      </w:r>
      <w:r>
        <w:rPr>
          <w:rFonts w:ascii="宋体" w:hAnsi="宋体" w:eastAsia="宋体" w:cs="宋体"/>
          <w:spacing w:val="47"/>
          <w:sz w:val="24"/>
          <w:szCs w:val="24"/>
        </w:rPr>
        <w:t xml:space="preserve"> </w:t>
      </w:r>
      <w:r>
        <w:rPr>
          <w:rFonts w:ascii="宋体" w:hAnsi="宋体" w:eastAsia="宋体" w:cs="宋体"/>
          <w:spacing w:val="-11"/>
          <w:sz w:val="24"/>
          <w:szCs w:val="24"/>
        </w:rPr>
        <w:t>分别为文成互通（位于大峃镇） 、西坑互通（位</w:t>
      </w:r>
    </w:p>
    <w:p>
      <w:pPr>
        <w:spacing w:line="219" w:lineRule="auto"/>
        <w:ind w:left="41"/>
        <w:rPr>
          <w:rFonts w:ascii="宋体" w:hAnsi="宋体" w:eastAsia="宋体" w:cs="宋体"/>
          <w:sz w:val="24"/>
          <w:szCs w:val="24"/>
        </w:rPr>
      </w:pPr>
      <w:r>
        <w:rPr>
          <w:rFonts w:ascii="宋体" w:hAnsi="宋体" w:eastAsia="宋体" w:cs="宋体"/>
          <w:spacing w:val="-1"/>
          <w:sz w:val="24"/>
          <w:szCs w:val="24"/>
        </w:rPr>
        <w:t>于西坑畲族镇）、珊溪互通（位于珊溪镇</w:t>
      </w:r>
      <w:r>
        <w:rPr>
          <w:rFonts w:ascii="宋体" w:hAnsi="宋体" w:eastAsia="宋体" w:cs="宋体"/>
          <w:spacing w:val="-2"/>
          <w:sz w:val="24"/>
          <w:szCs w:val="24"/>
        </w:rPr>
        <w:t>），</w:t>
      </w:r>
      <w:r>
        <w:rPr>
          <w:rFonts w:ascii="宋体" w:hAnsi="宋体" w:eastAsia="宋体" w:cs="宋体"/>
          <w:spacing w:val="-1"/>
          <w:sz w:val="24"/>
          <w:szCs w:val="24"/>
        </w:rPr>
        <w:t>成为内</w:t>
      </w:r>
      <w:r>
        <w:rPr>
          <w:rFonts w:ascii="宋体" w:hAnsi="宋体" w:eastAsia="宋体" w:cs="宋体"/>
          <w:spacing w:val="-2"/>
          <w:sz w:val="24"/>
          <w:szCs w:val="24"/>
        </w:rPr>
        <w:t>、外部交通的重要连接点。</w:t>
      </w:r>
    </w:p>
    <w:p>
      <w:pPr>
        <w:spacing w:before="183" w:line="217" w:lineRule="auto"/>
        <w:ind w:left="516"/>
        <w:rPr>
          <w:rFonts w:ascii="宋体" w:hAnsi="宋体" w:eastAsia="宋体" w:cs="宋体"/>
          <w:sz w:val="24"/>
          <w:szCs w:val="24"/>
        </w:rPr>
      </w:pPr>
      <w:r>
        <w:rPr>
          <w:rFonts w:ascii="宋体" w:hAnsi="宋体" w:eastAsia="宋体" w:cs="宋体"/>
          <w:spacing w:val="-2"/>
          <w:sz w:val="24"/>
          <w:szCs w:val="24"/>
        </w:rPr>
        <w:t>②车行道规划</w:t>
      </w:r>
    </w:p>
    <w:p>
      <w:pPr>
        <w:spacing w:before="186" w:line="359" w:lineRule="auto"/>
        <w:ind w:left="37" w:right="33" w:firstLine="482"/>
        <w:rPr>
          <w:rFonts w:ascii="宋体" w:hAnsi="宋体" w:eastAsia="宋体" w:cs="宋体"/>
          <w:sz w:val="24"/>
          <w:szCs w:val="24"/>
        </w:rPr>
      </w:pPr>
      <w:r>
        <w:rPr>
          <w:rFonts w:ascii="宋体" w:hAnsi="宋体" w:eastAsia="宋体" w:cs="宋体"/>
          <w:spacing w:val="-3"/>
          <w:sz w:val="24"/>
          <w:szCs w:val="24"/>
        </w:rPr>
        <w:t>主要旅游公路。分主要公路和次要公路两级规划。规</w:t>
      </w:r>
      <w:r>
        <w:rPr>
          <w:rFonts w:ascii="宋体" w:hAnsi="宋体" w:eastAsia="宋体" w:cs="宋体"/>
          <w:spacing w:val="-4"/>
          <w:sz w:val="24"/>
          <w:szCs w:val="24"/>
        </w:rPr>
        <w:t>划以对外交通主要通道</w:t>
      </w:r>
      <w:r>
        <w:rPr>
          <w:rFonts w:ascii="宋体" w:hAnsi="宋体" w:eastAsia="宋体" w:cs="宋体"/>
          <w:sz w:val="24"/>
          <w:szCs w:val="24"/>
        </w:rPr>
        <w:t xml:space="preserve"> </w:t>
      </w:r>
      <w:r>
        <w:rPr>
          <w:rFonts w:ascii="Times New Roman" w:hAnsi="Times New Roman" w:eastAsia="Times New Roman" w:cs="Times New Roman"/>
          <w:spacing w:val="-4"/>
          <w:sz w:val="24"/>
          <w:szCs w:val="24"/>
        </w:rPr>
        <w:t>G322</w:t>
      </w:r>
      <w:r>
        <w:rPr>
          <w:rFonts w:ascii="宋体" w:hAnsi="宋体" w:eastAsia="宋体" w:cs="宋体"/>
          <w:spacing w:val="-4"/>
          <w:sz w:val="24"/>
          <w:szCs w:val="24"/>
        </w:rPr>
        <w:t>、青田至泰顺公路（</w:t>
      </w:r>
      <w:r>
        <w:rPr>
          <w:rFonts w:ascii="Times New Roman" w:hAnsi="Times New Roman" w:eastAsia="Times New Roman" w:cs="Times New Roman"/>
          <w:spacing w:val="-4"/>
          <w:sz w:val="24"/>
          <w:szCs w:val="24"/>
        </w:rPr>
        <w:t>S216</w:t>
      </w:r>
      <w:r>
        <w:rPr>
          <w:rFonts w:ascii="宋体" w:hAnsi="宋体" w:eastAsia="宋体" w:cs="宋体"/>
          <w:spacing w:val="-4"/>
          <w:sz w:val="24"/>
          <w:szCs w:val="24"/>
        </w:rPr>
        <w:t>）、临安至</w:t>
      </w:r>
      <w:r>
        <w:rPr>
          <w:rFonts w:ascii="宋体" w:hAnsi="宋体" w:eastAsia="宋体" w:cs="宋体"/>
          <w:spacing w:val="-5"/>
          <w:sz w:val="24"/>
          <w:szCs w:val="24"/>
        </w:rPr>
        <w:t>苍南公路（</w:t>
      </w:r>
      <w:r>
        <w:rPr>
          <w:rFonts w:ascii="Times New Roman" w:hAnsi="Times New Roman" w:eastAsia="Times New Roman" w:cs="Times New Roman"/>
          <w:spacing w:val="-5"/>
          <w:sz w:val="24"/>
          <w:szCs w:val="24"/>
        </w:rPr>
        <w:t>S56</w:t>
      </w:r>
      <w:r>
        <w:rPr>
          <w:rFonts w:ascii="宋体" w:hAnsi="宋体" w:eastAsia="宋体" w:cs="宋体"/>
          <w:spacing w:val="-5"/>
          <w:sz w:val="24"/>
          <w:szCs w:val="24"/>
        </w:rPr>
        <w:t>）为轴线， 利用文成县</w:t>
      </w:r>
      <w:r>
        <w:rPr>
          <w:rFonts w:ascii="宋体" w:hAnsi="宋体" w:eastAsia="宋体" w:cs="宋体"/>
          <w:sz w:val="24"/>
          <w:szCs w:val="24"/>
        </w:rPr>
        <w:t xml:space="preserve"> </w:t>
      </w:r>
      <w:r>
        <w:rPr>
          <w:rFonts w:ascii="宋体" w:hAnsi="宋体" w:eastAsia="宋体" w:cs="宋体"/>
          <w:spacing w:val="-8"/>
          <w:sz w:val="24"/>
          <w:szCs w:val="24"/>
        </w:rPr>
        <w:t>县乡道工程建设，</w:t>
      </w:r>
      <w:r>
        <w:rPr>
          <w:rFonts w:ascii="宋体" w:hAnsi="宋体" w:eastAsia="宋体" w:cs="宋体"/>
          <w:spacing w:val="54"/>
          <w:sz w:val="24"/>
          <w:szCs w:val="24"/>
        </w:rPr>
        <w:t xml:space="preserve"> </w:t>
      </w:r>
      <w:r>
        <w:rPr>
          <w:rFonts w:ascii="宋体" w:hAnsi="宋体" w:eastAsia="宋体" w:cs="宋体"/>
          <w:spacing w:val="-8"/>
          <w:sz w:val="24"/>
          <w:szCs w:val="24"/>
        </w:rPr>
        <w:t>主要完成北部百丈漈、南田、铜铃山、飞云湖之间的新青田至</w:t>
      </w:r>
      <w:r>
        <w:rPr>
          <w:rFonts w:ascii="宋体" w:hAnsi="宋体" w:eastAsia="宋体" w:cs="宋体"/>
          <w:sz w:val="24"/>
          <w:szCs w:val="24"/>
        </w:rPr>
        <w:t xml:space="preserve"> </w:t>
      </w:r>
      <w:r>
        <w:rPr>
          <w:rFonts w:ascii="宋体" w:hAnsi="宋体" w:eastAsia="宋体" w:cs="宋体"/>
          <w:spacing w:val="-6"/>
          <w:sz w:val="24"/>
          <w:szCs w:val="24"/>
        </w:rPr>
        <w:t>泰顺公路、</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S219</w:t>
      </w:r>
      <w:r>
        <w:rPr>
          <w:rFonts w:ascii="宋体" w:hAnsi="宋体" w:eastAsia="宋体" w:cs="宋体"/>
          <w:spacing w:val="-6"/>
          <w:sz w:val="24"/>
          <w:szCs w:val="24"/>
        </w:rPr>
        <w:t>，以及玉壶至朱阳九峰景区公路接青田至</w:t>
      </w:r>
      <w:r>
        <w:rPr>
          <w:rFonts w:ascii="宋体" w:hAnsi="宋体" w:eastAsia="宋体" w:cs="宋体"/>
          <w:spacing w:val="-7"/>
          <w:sz w:val="24"/>
          <w:szCs w:val="24"/>
        </w:rPr>
        <w:t>泰顺公路的道路网络，</w:t>
      </w:r>
      <w:r>
        <w:rPr>
          <w:rFonts w:ascii="宋体" w:hAnsi="宋体" w:eastAsia="宋体" w:cs="宋体"/>
          <w:sz w:val="24"/>
          <w:szCs w:val="24"/>
        </w:rPr>
        <w:t xml:space="preserve"> </w:t>
      </w:r>
      <w:r>
        <w:rPr>
          <w:rFonts w:ascii="宋体" w:hAnsi="宋体" w:eastAsia="宋体" w:cs="宋体"/>
          <w:spacing w:val="-2"/>
          <w:sz w:val="24"/>
          <w:szCs w:val="24"/>
        </w:rPr>
        <w:t>提升</w:t>
      </w:r>
      <w:r>
        <w:rPr>
          <w:rFonts w:ascii="宋体" w:hAnsi="宋体" w:eastAsia="宋体" w:cs="宋体"/>
          <w:spacing w:val="-59"/>
          <w:sz w:val="24"/>
          <w:szCs w:val="24"/>
        </w:rPr>
        <w:t xml:space="preserve"> </w:t>
      </w:r>
      <w:r>
        <w:rPr>
          <w:rFonts w:ascii="Times New Roman" w:hAnsi="Times New Roman" w:eastAsia="Times New Roman" w:cs="Times New Roman"/>
          <w:spacing w:val="-2"/>
          <w:sz w:val="24"/>
          <w:szCs w:val="24"/>
        </w:rPr>
        <w:t>X604</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X609</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X607</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的通行能力，形成主要的</w:t>
      </w:r>
      <w:r>
        <w:rPr>
          <w:rFonts w:ascii="宋体" w:hAnsi="宋体" w:eastAsia="宋体" w:cs="宋体"/>
          <w:spacing w:val="-3"/>
          <w:sz w:val="24"/>
          <w:szCs w:val="24"/>
        </w:rPr>
        <w:t>车行道路旅游网络。主要公</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路等级不应低于二级公路，路面材料为水泥或沥青。</w:t>
      </w:r>
    </w:p>
    <w:p>
      <w:pPr>
        <w:spacing w:before="180"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）规划符合性</w:t>
      </w:r>
    </w:p>
    <w:p>
      <w:pPr>
        <w:spacing w:before="183" w:line="359" w:lineRule="auto"/>
        <w:ind w:left="38" w:right="88" w:firstLine="480"/>
        <w:rPr>
          <w:rFonts w:ascii="宋体" w:hAnsi="宋体" w:eastAsia="宋体" w:cs="宋体"/>
          <w:sz w:val="24"/>
          <w:szCs w:val="24"/>
        </w:rPr>
      </w:pPr>
      <w:r>
        <w:rPr>
          <w:rFonts w:ascii="宋体" w:hAnsi="宋体" w:eastAsia="宋体" w:cs="宋体"/>
          <w:spacing w:val="-7"/>
          <w:sz w:val="24"/>
          <w:szCs w:val="24"/>
        </w:rPr>
        <w:t>本项目为景文高速公路（即原名称为龙丽温高速公路文成段） 配套的西坑互</w:t>
      </w:r>
      <w:r>
        <w:rPr>
          <w:rFonts w:ascii="宋体" w:hAnsi="宋体" w:eastAsia="宋体" w:cs="宋体"/>
          <w:spacing w:val="10"/>
          <w:sz w:val="24"/>
          <w:szCs w:val="24"/>
        </w:rPr>
        <w:t xml:space="preserve"> </w:t>
      </w:r>
      <w:r>
        <w:rPr>
          <w:rFonts w:ascii="宋体" w:hAnsi="宋体" w:eastAsia="宋体" w:cs="宋体"/>
          <w:spacing w:val="-15"/>
          <w:sz w:val="24"/>
          <w:szCs w:val="24"/>
        </w:rPr>
        <w:t>通连接线， 项目为二级公路，</w:t>
      </w:r>
      <w:r>
        <w:rPr>
          <w:rFonts w:ascii="宋体" w:hAnsi="宋体" w:eastAsia="宋体" w:cs="宋体"/>
          <w:spacing w:val="36"/>
          <w:sz w:val="24"/>
          <w:szCs w:val="24"/>
        </w:rPr>
        <w:t xml:space="preserve"> </w:t>
      </w:r>
      <w:r>
        <w:rPr>
          <w:rFonts w:ascii="宋体" w:hAnsi="宋体" w:eastAsia="宋体" w:cs="宋体"/>
          <w:spacing w:val="-15"/>
          <w:sz w:val="24"/>
          <w:szCs w:val="24"/>
        </w:rPr>
        <w:t>路面为沥青，</w:t>
      </w:r>
      <w:r>
        <w:rPr>
          <w:rFonts w:ascii="宋体" w:hAnsi="宋体" w:eastAsia="宋体" w:cs="宋体"/>
          <w:spacing w:val="40"/>
          <w:sz w:val="24"/>
          <w:szCs w:val="24"/>
        </w:rPr>
        <w:t xml:space="preserve"> </w:t>
      </w:r>
      <w:r>
        <w:rPr>
          <w:rFonts w:ascii="宋体" w:hAnsi="宋体" w:eastAsia="宋体" w:cs="宋体"/>
          <w:spacing w:val="-15"/>
          <w:sz w:val="24"/>
          <w:szCs w:val="24"/>
        </w:rPr>
        <w:t>公路的建设可以完成景区对外交通的</w:t>
      </w:r>
      <w:r>
        <w:rPr>
          <w:rFonts w:ascii="宋体" w:hAnsi="宋体" w:eastAsia="宋体" w:cs="宋体"/>
          <w:sz w:val="24"/>
          <w:szCs w:val="24"/>
        </w:rPr>
        <w:t xml:space="preserve"> </w:t>
      </w:r>
      <w:r>
        <w:rPr>
          <w:rFonts w:ascii="宋体" w:hAnsi="宋体" w:eastAsia="宋体" w:cs="宋体"/>
          <w:spacing w:val="-20"/>
          <w:sz w:val="24"/>
          <w:szCs w:val="24"/>
        </w:rPr>
        <w:t>转换， 能够促进风景名胜区的发展，</w:t>
      </w:r>
      <w:r>
        <w:rPr>
          <w:rFonts w:ascii="宋体" w:hAnsi="宋体" w:eastAsia="宋体" w:cs="宋体"/>
          <w:spacing w:val="52"/>
          <w:sz w:val="24"/>
          <w:szCs w:val="24"/>
        </w:rPr>
        <w:t xml:space="preserve"> </w:t>
      </w:r>
      <w:r>
        <w:rPr>
          <w:rFonts w:ascii="宋体" w:hAnsi="宋体" w:eastAsia="宋体" w:cs="宋体"/>
          <w:spacing w:val="-20"/>
          <w:sz w:val="24"/>
          <w:szCs w:val="24"/>
        </w:rPr>
        <w:t>加快区域的交通道路建设，</w:t>
      </w:r>
      <w:r>
        <w:rPr>
          <w:rFonts w:ascii="宋体" w:hAnsi="宋体" w:eastAsia="宋体" w:cs="宋体"/>
          <w:spacing w:val="39"/>
          <w:sz w:val="24"/>
          <w:szCs w:val="24"/>
        </w:rPr>
        <w:t xml:space="preserve"> </w:t>
      </w:r>
      <w:r>
        <w:rPr>
          <w:rFonts w:ascii="宋体" w:hAnsi="宋体" w:eastAsia="宋体" w:cs="宋体"/>
          <w:spacing w:val="-20"/>
          <w:sz w:val="24"/>
          <w:szCs w:val="24"/>
        </w:rPr>
        <w:t>便利于旅游，</w:t>
      </w:r>
      <w:r>
        <w:rPr>
          <w:rFonts w:ascii="宋体" w:hAnsi="宋体" w:eastAsia="宋体" w:cs="宋体"/>
          <w:spacing w:val="42"/>
          <w:sz w:val="24"/>
          <w:szCs w:val="24"/>
        </w:rPr>
        <w:t xml:space="preserve"> </w:t>
      </w:r>
      <w:r>
        <w:rPr>
          <w:rFonts w:ascii="宋体" w:hAnsi="宋体" w:eastAsia="宋体" w:cs="宋体"/>
          <w:spacing w:val="-20"/>
          <w:sz w:val="24"/>
          <w:szCs w:val="24"/>
        </w:rPr>
        <w:t>形</w:t>
      </w:r>
      <w:r>
        <w:rPr>
          <w:rFonts w:ascii="宋体" w:hAnsi="宋体" w:eastAsia="宋体" w:cs="宋体"/>
          <w:sz w:val="24"/>
          <w:szCs w:val="24"/>
        </w:rPr>
        <w:t xml:space="preserve"> </w:t>
      </w:r>
      <w:r>
        <w:rPr>
          <w:rFonts w:ascii="宋体" w:hAnsi="宋体" w:eastAsia="宋体" w:cs="宋体"/>
          <w:spacing w:val="-6"/>
          <w:sz w:val="24"/>
          <w:szCs w:val="24"/>
        </w:rPr>
        <w:t>成旅游交通网络。本项目不在本次新划定的风景名胜区范</w:t>
      </w:r>
      <w:r>
        <w:rPr>
          <w:rFonts w:ascii="宋体" w:hAnsi="宋体" w:eastAsia="宋体" w:cs="宋体"/>
          <w:spacing w:val="-7"/>
          <w:sz w:val="24"/>
          <w:szCs w:val="24"/>
        </w:rPr>
        <w:t>围内， 而位于外围保护</w:t>
      </w:r>
      <w:r>
        <w:rPr>
          <w:rFonts w:ascii="宋体" w:hAnsi="宋体" w:eastAsia="宋体" w:cs="宋体"/>
          <w:sz w:val="24"/>
          <w:szCs w:val="24"/>
        </w:rPr>
        <w:t xml:space="preserve"> </w:t>
      </w:r>
      <w:r>
        <w:rPr>
          <w:rFonts w:ascii="宋体" w:hAnsi="宋体" w:eastAsia="宋体" w:cs="宋体"/>
          <w:spacing w:val="-11"/>
          <w:sz w:val="24"/>
          <w:szCs w:val="24"/>
        </w:rPr>
        <w:t>地带范围内，</w:t>
      </w:r>
      <w:r>
        <w:rPr>
          <w:rFonts w:ascii="宋体" w:hAnsi="宋体" w:eastAsia="宋体" w:cs="宋体"/>
          <w:spacing w:val="72"/>
          <w:sz w:val="24"/>
          <w:szCs w:val="24"/>
        </w:rPr>
        <w:t xml:space="preserve"> </w:t>
      </w:r>
      <w:r>
        <w:rPr>
          <w:rFonts w:ascii="宋体" w:hAnsi="宋体" w:eastAsia="宋体" w:cs="宋体"/>
          <w:spacing w:val="-11"/>
          <w:sz w:val="24"/>
          <w:szCs w:val="24"/>
        </w:rPr>
        <w:t>为允许建设的交通基础设施工程，</w:t>
      </w:r>
      <w:r>
        <w:rPr>
          <w:rFonts w:ascii="宋体" w:hAnsi="宋体" w:eastAsia="宋体" w:cs="宋体"/>
          <w:spacing w:val="59"/>
          <w:sz w:val="24"/>
          <w:szCs w:val="24"/>
        </w:rPr>
        <w:t xml:space="preserve"> </w:t>
      </w:r>
      <w:r>
        <w:rPr>
          <w:rFonts w:ascii="宋体" w:hAnsi="宋体" w:eastAsia="宋体" w:cs="宋体"/>
          <w:spacing w:val="-11"/>
          <w:sz w:val="24"/>
          <w:szCs w:val="24"/>
        </w:rPr>
        <w:t>本项目的建设满足《百丈漈</w:t>
      </w:r>
      <w:r>
        <w:rPr>
          <w:rFonts w:ascii="Times New Roman" w:hAnsi="Times New Roman" w:eastAsia="Times New Roman" w:cs="Times New Roman"/>
          <w:spacing w:val="-11"/>
          <w:sz w:val="24"/>
          <w:szCs w:val="24"/>
        </w:rPr>
        <w:t>--</w:t>
      </w:r>
      <w:r>
        <w:rPr>
          <w:rFonts w:ascii="宋体" w:hAnsi="宋体" w:eastAsia="宋体" w:cs="宋体"/>
          <w:spacing w:val="-11"/>
          <w:sz w:val="24"/>
          <w:szCs w:val="24"/>
        </w:rPr>
        <w:t>飞</w:t>
      </w:r>
    </w:p>
    <w:p>
      <w:pPr>
        <w:spacing w:line="219" w:lineRule="auto"/>
        <w:ind w:left="44"/>
        <w:rPr>
          <w:rFonts w:ascii="宋体" w:hAnsi="宋体" w:eastAsia="宋体" w:cs="宋体"/>
          <w:sz w:val="24"/>
          <w:szCs w:val="24"/>
        </w:rPr>
      </w:pPr>
      <w:r>
        <w:rPr>
          <w:rFonts w:ascii="宋体" w:hAnsi="宋体" w:eastAsia="宋体" w:cs="宋体"/>
          <w:spacing w:val="-2"/>
          <w:sz w:val="24"/>
          <w:szCs w:val="24"/>
        </w:rPr>
        <w:t>云湖风景名胜区总体规划（</w:t>
      </w:r>
      <w:r>
        <w:rPr>
          <w:rFonts w:ascii="Times New Roman" w:hAnsi="Times New Roman" w:eastAsia="Times New Roman" w:cs="Times New Roman"/>
          <w:spacing w:val="-2"/>
          <w:sz w:val="24"/>
          <w:szCs w:val="24"/>
        </w:rPr>
        <w:t xml:space="preserve">2021-2035 </w:t>
      </w:r>
      <w:r>
        <w:rPr>
          <w:rFonts w:ascii="宋体" w:hAnsi="宋体" w:eastAsia="宋体" w:cs="宋体"/>
          <w:spacing w:val="-2"/>
          <w:sz w:val="24"/>
          <w:szCs w:val="24"/>
        </w:rPr>
        <w:t>年）》的要求。</w:t>
      </w:r>
    </w:p>
    <w:p>
      <w:pPr>
        <w:spacing w:line="219" w:lineRule="auto"/>
        <w:rPr>
          <w:rFonts w:ascii="宋体" w:hAnsi="宋体" w:eastAsia="宋体" w:cs="宋体"/>
          <w:sz w:val="24"/>
          <w:szCs w:val="24"/>
        </w:rPr>
        <w:sectPr>
          <w:headerReference r:id="rId69" w:type="default"/>
          <w:footerReference r:id="rId70" w:type="default"/>
          <w:pgSz w:w="11907" w:h="16839"/>
          <w:pgMar w:top="1118" w:right="1711" w:bottom="1184" w:left="1771" w:header="879" w:footer="1024" w:gutter="0"/>
          <w:cols w:space="720" w:num="1"/>
        </w:sectPr>
      </w:pPr>
    </w:p>
    <w:p>
      <w:pPr>
        <w:pStyle w:val="2"/>
        <w:spacing w:line="277" w:lineRule="auto"/>
      </w:pPr>
    </w:p>
    <w:p>
      <w:pPr>
        <w:spacing w:before="78" w:line="220" w:lineRule="auto"/>
        <w:ind w:left="34"/>
        <w:outlineLvl w:val="0"/>
        <w:rPr>
          <w:rFonts w:ascii="宋体" w:hAnsi="宋体" w:eastAsia="宋体" w:cs="宋体"/>
          <w:sz w:val="24"/>
          <w:szCs w:val="24"/>
        </w:rPr>
      </w:pPr>
      <w:r>
        <w:fldChar w:fldCharType="begin"/>
      </w:r>
      <w:r>
        <w:instrText xml:space="preserve"> HYPERLINK "2.4.1.7" </w:instrText>
      </w:r>
      <w:r>
        <w:fldChar w:fldCharType="separate"/>
      </w:r>
      <w:r>
        <w:rPr>
          <w:rFonts w:ascii="Times New Roman" w:hAnsi="Times New Roman" w:eastAsia="Times New Roman" w:cs="Times New Roman"/>
          <w:b/>
          <w:bCs/>
          <w:sz w:val="24"/>
          <w:szCs w:val="24"/>
        </w:rPr>
        <w:t>2.4.1.7</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与《文成县</w:t>
      </w:r>
      <w:r>
        <w:rPr>
          <w:rFonts w:ascii="Times New Roman" w:hAnsi="Times New Roman" w:eastAsia="Times New Roman" w:cs="Times New Roman"/>
          <w:b/>
          <w:bCs/>
          <w:sz w:val="24"/>
          <w:szCs w:val="24"/>
        </w:rPr>
        <w:t>“</w:t>
      </w:r>
      <w:r>
        <w:rPr>
          <w:rFonts w:ascii="宋体" w:hAnsi="宋体" w:eastAsia="宋体" w:cs="宋体"/>
          <w:sz w:val="24"/>
          <w:szCs w:val="24"/>
          <w14:textOutline w14:w="4354" w14:cap="flat" w14:cmpd="sng">
            <w14:solidFill>
              <w14:srgbClr w14:val="000000"/>
            </w14:solidFill>
            <w14:prstDash w14:val="solid"/>
            <w14:miter w14:val="0"/>
          </w14:textOutline>
        </w:rPr>
        <w:t>三线一单</w:t>
      </w:r>
      <w:r>
        <w:rPr>
          <w:rFonts w:ascii="Times New Roman" w:hAnsi="Times New Roman" w:eastAsia="Times New Roman" w:cs="Times New Roman"/>
          <w:b/>
          <w:bCs/>
          <w:sz w:val="24"/>
          <w:szCs w:val="24"/>
        </w:rPr>
        <w:t>”</w:t>
      </w:r>
      <w:r>
        <w:rPr>
          <w:rFonts w:ascii="宋体" w:hAnsi="宋体" w:eastAsia="宋体" w:cs="宋体"/>
          <w:sz w:val="24"/>
          <w:szCs w:val="24"/>
          <w14:textOutline w14:w="4354" w14:cap="flat" w14:cmpd="sng">
            <w14:solidFill>
              <w14:srgbClr w14:val="000000"/>
            </w14:solidFill>
            <w14:prstDash w14:val="solid"/>
            <w14:miter w14:val="0"/>
          </w14:textOutline>
        </w:rPr>
        <w:t>生态环境分区管控方案》符合性分析</w:t>
      </w:r>
    </w:p>
    <w:p>
      <w:pPr>
        <w:spacing w:before="182" w:line="466" w:lineRule="exact"/>
        <w:ind w:left="518"/>
        <w:rPr>
          <w:rFonts w:ascii="宋体" w:hAnsi="宋体" w:eastAsia="宋体" w:cs="宋体"/>
          <w:sz w:val="24"/>
          <w:szCs w:val="24"/>
        </w:rPr>
      </w:pPr>
      <w:r>
        <w:rPr>
          <w:rFonts w:ascii="宋体" w:hAnsi="宋体" w:eastAsia="宋体" w:cs="宋体"/>
          <w:spacing w:val="-6"/>
          <w:position w:val="17"/>
          <w:sz w:val="24"/>
          <w:szCs w:val="24"/>
        </w:rPr>
        <w:t>根据《文成县</w:t>
      </w:r>
      <w:r>
        <w:rPr>
          <w:rFonts w:ascii="Times New Roman" w:hAnsi="Times New Roman" w:eastAsia="Times New Roman" w:cs="Times New Roman"/>
          <w:spacing w:val="-6"/>
          <w:position w:val="17"/>
          <w:sz w:val="24"/>
          <w:szCs w:val="24"/>
        </w:rPr>
        <w:t>“</w:t>
      </w:r>
      <w:r>
        <w:rPr>
          <w:rFonts w:ascii="宋体" w:hAnsi="宋体" w:eastAsia="宋体" w:cs="宋体"/>
          <w:spacing w:val="-6"/>
          <w:position w:val="17"/>
          <w:sz w:val="24"/>
          <w:szCs w:val="24"/>
        </w:rPr>
        <w:t>三线一单</w:t>
      </w:r>
      <w:r>
        <w:rPr>
          <w:rFonts w:ascii="Times New Roman" w:hAnsi="Times New Roman" w:eastAsia="Times New Roman" w:cs="Times New Roman"/>
          <w:spacing w:val="-6"/>
          <w:position w:val="17"/>
          <w:sz w:val="24"/>
          <w:szCs w:val="24"/>
        </w:rPr>
        <w:t>”</w:t>
      </w:r>
      <w:r>
        <w:rPr>
          <w:rFonts w:ascii="宋体" w:hAnsi="宋体" w:eastAsia="宋体" w:cs="宋体"/>
          <w:spacing w:val="-6"/>
          <w:position w:val="17"/>
          <w:sz w:val="24"/>
          <w:szCs w:val="24"/>
        </w:rPr>
        <w:t>生态环境分区管控方案》，</w:t>
      </w:r>
      <w:r>
        <w:rPr>
          <w:rFonts w:ascii="宋体" w:hAnsi="宋体" w:eastAsia="宋体" w:cs="宋体"/>
          <w:spacing w:val="-15"/>
          <w:position w:val="17"/>
          <w:sz w:val="24"/>
          <w:szCs w:val="24"/>
        </w:rPr>
        <w:t xml:space="preserve"> </w:t>
      </w:r>
      <w:r>
        <w:rPr>
          <w:rFonts w:ascii="宋体" w:hAnsi="宋体" w:eastAsia="宋体" w:cs="宋体"/>
          <w:spacing w:val="-6"/>
          <w:position w:val="17"/>
          <w:sz w:val="24"/>
          <w:szCs w:val="24"/>
        </w:rPr>
        <w:t>本工程涉及</w:t>
      </w:r>
      <w:r>
        <w:rPr>
          <w:rFonts w:ascii="宋体" w:hAnsi="宋体" w:eastAsia="宋体" w:cs="宋体"/>
          <w:spacing w:val="-31"/>
          <w:position w:val="17"/>
          <w:sz w:val="24"/>
          <w:szCs w:val="24"/>
        </w:rPr>
        <w:t xml:space="preserve"> </w:t>
      </w:r>
      <w:r>
        <w:rPr>
          <w:rFonts w:ascii="Times New Roman" w:hAnsi="Times New Roman" w:eastAsia="Times New Roman" w:cs="Times New Roman"/>
          <w:spacing w:val="-6"/>
          <w:position w:val="17"/>
          <w:sz w:val="24"/>
          <w:szCs w:val="24"/>
        </w:rPr>
        <w:t xml:space="preserve">1 </w:t>
      </w:r>
      <w:r>
        <w:rPr>
          <w:rFonts w:ascii="宋体" w:hAnsi="宋体" w:eastAsia="宋体" w:cs="宋体"/>
          <w:spacing w:val="-6"/>
          <w:position w:val="17"/>
          <w:sz w:val="24"/>
          <w:szCs w:val="24"/>
        </w:rPr>
        <w:t>个优先保</w:t>
      </w:r>
    </w:p>
    <w:p>
      <w:pPr>
        <w:spacing w:line="217" w:lineRule="auto"/>
        <w:ind w:left="39"/>
        <w:rPr>
          <w:rFonts w:ascii="宋体" w:hAnsi="宋体" w:eastAsia="宋体" w:cs="宋体"/>
          <w:sz w:val="24"/>
          <w:szCs w:val="24"/>
        </w:rPr>
      </w:pPr>
      <w:r>
        <w:rPr>
          <w:rFonts w:ascii="宋体" w:hAnsi="宋体" w:eastAsia="宋体" w:cs="宋体"/>
          <w:spacing w:val="-4"/>
          <w:sz w:val="24"/>
          <w:szCs w:val="24"/>
        </w:rPr>
        <w:t xml:space="preserve">护单元、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个重点管控单元，具体见</w:t>
      </w:r>
      <w:r>
        <w:rPr>
          <w:rFonts w:ascii="宋体" w:hAnsi="宋体" w:eastAsia="宋体" w:cs="宋体"/>
          <w:spacing w:val="-54"/>
          <w:sz w:val="24"/>
          <w:szCs w:val="24"/>
        </w:rPr>
        <w:t xml:space="preserve"> </w:t>
      </w:r>
      <w:r>
        <w:fldChar w:fldCharType="begin"/>
      </w:r>
      <w:r>
        <w:instrText xml:space="preserve"> HYPERLINK "2.4.1.6" </w:instrText>
      </w:r>
      <w:r>
        <w:fldChar w:fldCharType="separate"/>
      </w:r>
      <w:r>
        <w:rPr>
          <w:rFonts w:ascii="Times New Roman" w:hAnsi="Times New Roman" w:eastAsia="Times New Roman" w:cs="Times New Roman"/>
          <w:spacing w:val="-4"/>
          <w:sz w:val="24"/>
          <w:szCs w:val="24"/>
        </w:rPr>
        <w:t>2.4.1.6</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，管控要求见</w:t>
      </w:r>
      <w:r>
        <w:rPr>
          <w:rFonts w:ascii="宋体" w:hAnsi="宋体" w:eastAsia="宋体" w:cs="宋体"/>
          <w:spacing w:val="-43"/>
          <w:sz w:val="24"/>
          <w:szCs w:val="24"/>
        </w:rPr>
        <w:t xml:space="preserve"> </w:t>
      </w:r>
      <w:r>
        <w:fldChar w:fldCharType="begin"/>
      </w:r>
      <w:r>
        <w:instrText xml:space="preserve"> HYPERLINK "2.4.1.6" </w:instrText>
      </w:r>
      <w:r>
        <w:fldChar w:fldCharType="separate"/>
      </w:r>
      <w:r>
        <w:rPr>
          <w:rFonts w:ascii="Times New Roman" w:hAnsi="Times New Roman" w:eastAsia="Times New Roman" w:cs="Times New Roman"/>
          <w:spacing w:val="-5"/>
          <w:sz w:val="24"/>
          <w:szCs w:val="24"/>
        </w:rPr>
        <w:t>2.4.1.6</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-2</w:t>
      </w:r>
      <w:r>
        <w:rPr>
          <w:rFonts w:ascii="宋体" w:hAnsi="宋体" w:eastAsia="宋体" w:cs="宋体"/>
          <w:spacing w:val="-5"/>
          <w:sz w:val="24"/>
          <w:szCs w:val="24"/>
        </w:rPr>
        <w:t>。</w:t>
      </w:r>
    </w:p>
    <w:p>
      <w:pPr>
        <w:spacing w:before="185" w:line="219" w:lineRule="auto"/>
        <w:ind w:left="122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5"/>
          <w:sz w:val="24"/>
          <w:szCs w:val="24"/>
        </w:rPr>
        <w:t xml:space="preserve"> </w:t>
      </w:r>
      <w:r>
        <w:fldChar w:fldCharType="begin"/>
      </w:r>
      <w:r>
        <w:instrText xml:space="preserve"> HYPERLINK "2.4.1.6" </w:instrText>
      </w:r>
      <w:r>
        <w:fldChar w:fldCharType="separate"/>
      </w:r>
      <w:r>
        <w:rPr>
          <w:rFonts w:ascii="Times New Roman" w:hAnsi="Times New Roman" w:eastAsia="Times New Roman" w:cs="Times New Roman"/>
          <w:spacing w:val="-1"/>
          <w:sz w:val="24"/>
          <w:szCs w:val="24"/>
        </w:rPr>
        <w:t>2.4.1.6</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本项目涉及</w:t>
      </w:r>
      <w:r>
        <w:rPr>
          <w:rFonts w:ascii="Times New Roman" w:hAnsi="Times New Roman" w:eastAsia="Times New Roman" w:cs="Times New Roman"/>
          <w:spacing w:val="-1"/>
          <w:sz w:val="24"/>
          <w:szCs w:val="24"/>
        </w:rPr>
        <w:t>“</w:t>
      </w:r>
      <w:r>
        <w:rPr>
          <w:rFonts w:ascii="宋体" w:hAnsi="宋体" w:eastAsia="宋体" w:cs="宋体"/>
          <w:spacing w:val="-1"/>
          <w:sz w:val="24"/>
          <w:szCs w:val="24"/>
        </w:rPr>
        <w:t>三线一单</w:t>
      </w:r>
      <w:r>
        <w:rPr>
          <w:rFonts w:ascii="Times New Roman" w:hAnsi="Times New Roman" w:eastAsia="Times New Roman" w:cs="Times New Roman"/>
          <w:spacing w:val="-1"/>
          <w:sz w:val="24"/>
          <w:szCs w:val="24"/>
        </w:rPr>
        <w:t>”</w:t>
      </w:r>
      <w:r>
        <w:rPr>
          <w:rFonts w:ascii="宋体" w:hAnsi="宋体" w:eastAsia="宋体" w:cs="宋体"/>
          <w:spacing w:val="-1"/>
          <w:sz w:val="24"/>
          <w:szCs w:val="24"/>
        </w:rPr>
        <w:t>环境管</w:t>
      </w:r>
      <w:r>
        <w:rPr>
          <w:rFonts w:ascii="宋体" w:hAnsi="宋体" w:eastAsia="宋体" w:cs="宋体"/>
          <w:spacing w:val="-2"/>
          <w:sz w:val="24"/>
          <w:szCs w:val="24"/>
        </w:rPr>
        <w:t>控单元概况</w:t>
      </w:r>
    </w:p>
    <w:p>
      <w:pPr>
        <w:spacing w:line="144" w:lineRule="exact"/>
      </w:pPr>
    </w:p>
    <w:tbl>
      <w:tblPr>
        <w:tblStyle w:val="5"/>
        <w:tblW w:w="8031" w:type="dxa"/>
        <w:tblInd w:w="1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4"/>
        <w:gridCol w:w="2116"/>
        <w:gridCol w:w="53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604" w:type="dxa"/>
            <w:vMerge w:val="restart"/>
            <w:tcBorders>
              <w:bottom w:val="nil"/>
            </w:tcBorders>
            <w:textDirection w:val="tbRlV"/>
            <w:vAlign w:val="top"/>
          </w:tcPr>
          <w:p>
            <w:pPr>
              <w:pStyle w:val="6"/>
              <w:spacing w:before="193" w:line="208" w:lineRule="auto"/>
              <w:ind w:left="125"/>
            </w:pPr>
            <w:r>
              <w:rPr>
                <w:spacing w:val="1"/>
              </w:rPr>
              <w:t>区</w:t>
            </w:r>
            <w:r>
              <w:rPr>
                <w:spacing w:val="-43"/>
              </w:rPr>
              <w:t xml:space="preserve"> </w:t>
            </w:r>
            <w:r>
              <w:rPr>
                <w:spacing w:val="1"/>
              </w:rPr>
              <w:t>域</w:t>
            </w:r>
          </w:p>
        </w:tc>
        <w:tc>
          <w:tcPr>
            <w:tcW w:w="7427" w:type="dxa"/>
            <w:gridSpan w:val="2"/>
            <w:vAlign w:val="top"/>
          </w:tcPr>
          <w:p>
            <w:pPr>
              <w:pStyle w:val="6"/>
              <w:spacing w:before="77" w:line="220" w:lineRule="auto"/>
              <w:ind w:left="2561"/>
            </w:pPr>
            <w:r>
              <w:rPr>
                <w:spacing w:val="-1"/>
              </w:rPr>
              <w:t>本项目涉及环境管控单元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4" w:type="dxa"/>
            <w:vMerge w:val="continue"/>
            <w:tcBorders>
              <w:top w:val="nil"/>
            </w:tcBorders>
            <w:textDirection w:val="tbRlV"/>
            <w:vAlign w:val="top"/>
          </w:tcPr>
          <w:p>
            <w:pPr>
              <w:rPr>
                <w:rFonts w:ascii="Arial"/>
                <w:sz w:val="21"/>
              </w:rPr>
            </w:pPr>
          </w:p>
        </w:tc>
        <w:tc>
          <w:tcPr>
            <w:tcW w:w="2116" w:type="dxa"/>
            <w:vAlign w:val="top"/>
          </w:tcPr>
          <w:p>
            <w:pPr>
              <w:pStyle w:val="6"/>
              <w:spacing w:before="73" w:line="221" w:lineRule="auto"/>
              <w:ind w:left="852"/>
            </w:pPr>
            <w:r>
              <w:rPr>
                <w:spacing w:val="-2"/>
              </w:rPr>
              <w:t>编码</w:t>
            </w:r>
          </w:p>
        </w:tc>
        <w:tc>
          <w:tcPr>
            <w:tcW w:w="5311" w:type="dxa"/>
            <w:vAlign w:val="top"/>
          </w:tcPr>
          <w:p>
            <w:pPr>
              <w:pStyle w:val="6"/>
              <w:spacing w:before="73" w:line="223" w:lineRule="auto"/>
              <w:ind w:left="2451"/>
            </w:pPr>
            <w:r>
              <w:rPr>
                <w:spacing w:val="-3"/>
              </w:rPr>
              <w:t>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604" w:type="dxa"/>
            <w:vMerge w:val="restart"/>
            <w:tcBorders>
              <w:bottom w:val="nil"/>
            </w:tcBorders>
            <w:textDirection w:val="tbRlV"/>
            <w:vAlign w:val="top"/>
          </w:tcPr>
          <w:p>
            <w:pPr>
              <w:pStyle w:val="6"/>
              <w:spacing w:before="194" w:line="209" w:lineRule="auto"/>
              <w:ind w:left="85"/>
            </w:pPr>
            <w:r>
              <w:rPr>
                <w:spacing w:val="42"/>
              </w:rPr>
              <w:t>文成县</w:t>
            </w:r>
          </w:p>
        </w:tc>
        <w:tc>
          <w:tcPr>
            <w:tcW w:w="2116" w:type="dxa"/>
            <w:vAlign w:val="top"/>
          </w:tcPr>
          <w:p>
            <w:pPr>
              <w:spacing w:before="236" w:line="187" w:lineRule="auto"/>
              <w:ind w:left="339"/>
              <w:rPr>
                <w:rFonts w:ascii="Times New Roman" w:hAnsi="Times New Roman" w:eastAsia="Times New Roman" w:cs="Times New Roman"/>
                <w:sz w:val="21"/>
                <w:szCs w:val="21"/>
              </w:rPr>
            </w:pPr>
            <w:r>
              <w:rPr>
                <w:rFonts w:ascii="Times New Roman" w:hAnsi="Times New Roman" w:eastAsia="Times New Roman" w:cs="Times New Roman"/>
                <w:sz w:val="21"/>
                <w:szCs w:val="21"/>
              </w:rPr>
              <w:t>ZH33032810001</w:t>
            </w:r>
          </w:p>
        </w:tc>
        <w:tc>
          <w:tcPr>
            <w:tcW w:w="5311" w:type="dxa"/>
            <w:vAlign w:val="top"/>
          </w:tcPr>
          <w:p>
            <w:pPr>
              <w:pStyle w:val="6"/>
              <w:spacing w:before="64" w:line="229" w:lineRule="auto"/>
              <w:ind w:left="1825" w:right="131" w:hanging="1686"/>
            </w:pPr>
            <w:r>
              <w:rPr>
                <w:spacing w:val="-1"/>
              </w:rPr>
              <w:t>温州市文成县飞云江饮用水源保护区水源涵养生态保护</w:t>
            </w:r>
            <w:r>
              <w:rPr>
                <w:spacing w:val="18"/>
              </w:rPr>
              <w:t xml:space="preserve"> </w:t>
            </w:r>
            <w:r>
              <w:rPr>
                <w:spacing w:val="-2"/>
              </w:rPr>
              <w:t>红线优先保护单元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04" w:type="dxa"/>
            <w:vMerge w:val="continue"/>
            <w:tcBorders>
              <w:top w:val="nil"/>
            </w:tcBorders>
            <w:textDirection w:val="tbRlV"/>
            <w:vAlign w:val="top"/>
          </w:tcPr>
          <w:p>
            <w:pPr>
              <w:rPr>
                <w:rFonts w:ascii="Arial"/>
                <w:sz w:val="21"/>
              </w:rPr>
            </w:pPr>
          </w:p>
        </w:tc>
        <w:tc>
          <w:tcPr>
            <w:tcW w:w="2116" w:type="dxa"/>
            <w:vAlign w:val="top"/>
          </w:tcPr>
          <w:p>
            <w:pPr>
              <w:spacing w:before="92" w:line="187" w:lineRule="auto"/>
              <w:ind w:left="339"/>
              <w:rPr>
                <w:rFonts w:ascii="Times New Roman" w:hAnsi="Times New Roman" w:eastAsia="Times New Roman" w:cs="Times New Roman"/>
                <w:sz w:val="21"/>
                <w:szCs w:val="21"/>
              </w:rPr>
            </w:pPr>
            <w:r>
              <w:rPr>
                <w:rFonts w:ascii="Times New Roman" w:hAnsi="Times New Roman" w:eastAsia="Times New Roman" w:cs="Times New Roman"/>
                <w:sz w:val="21"/>
                <w:szCs w:val="21"/>
              </w:rPr>
              <w:t>ZH33032820001</w:t>
            </w:r>
          </w:p>
        </w:tc>
        <w:tc>
          <w:tcPr>
            <w:tcW w:w="5311" w:type="dxa"/>
            <w:vAlign w:val="top"/>
          </w:tcPr>
          <w:p>
            <w:pPr>
              <w:pStyle w:val="6"/>
              <w:spacing w:before="56" w:line="220" w:lineRule="auto"/>
              <w:ind w:left="664"/>
            </w:pPr>
            <w:r>
              <w:rPr>
                <w:spacing w:val="-1"/>
              </w:rPr>
              <w:t>温州市文成县百丈漈产业集聚重点管控单元</w:t>
            </w:r>
          </w:p>
        </w:tc>
      </w:tr>
    </w:tbl>
    <w:p>
      <w:pPr>
        <w:spacing w:before="194" w:line="359" w:lineRule="auto"/>
        <w:ind w:left="38" w:right="87" w:firstLine="480"/>
        <w:jc w:val="both"/>
        <w:rPr>
          <w:rFonts w:ascii="宋体" w:hAnsi="宋体" w:eastAsia="宋体" w:cs="宋体"/>
          <w:sz w:val="24"/>
          <w:szCs w:val="24"/>
        </w:rPr>
      </w:pPr>
      <w:r>
        <w:rPr>
          <w:rFonts w:ascii="宋体" w:hAnsi="宋体" w:eastAsia="宋体" w:cs="宋体"/>
          <w:spacing w:val="-7"/>
          <w:sz w:val="24"/>
          <w:szCs w:val="24"/>
        </w:rPr>
        <w:t>本项目为二级公路建设项目， 不属于工业类项目。本项目营运期主要为噪声</w:t>
      </w:r>
      <w:r>
        <w:rPr>
          <w:rFonts w:ascii="宋体" w:hAnsi="宋体" w:eastAsia="宋体" w:cs="宋体"/>
          <w:spacing w:val="11"/>
          <w:sz w:val="24"/>
          <w:szCs w:val="24"/>
        </w:rPr>
        <w:t xml:space="preserve"> </w:t>
      </w:r>
      <w:r>
        <w:rPr>
          <w:rFonts w:ascii="宋体" w:hAnsi="宋体" w:eastAsia="宋体" w:cs="宋体"/>
          <w:spacing w:val="-11"/>
          <w:sz w:val="24"/>
          <w:szCs w:val="24"/>
        </w:rPr>
        <w:t>污染， 在采取隔声屏障、绿化和隔声窗后，</w:t>
      </w:r>
      <w:r>
        <w:rPr>
          <w:rFonts w:ascii="宋体" w:hAnsi="宋体" w:eastAsia="宋体" w:cs="宋体"/>
          <w:spacing w:val="49"/>
          <w:sz w:val="24"/>
          <w:szCs w:val="24"/>
        </w:rPr>
        <w:t xml:space="preserve"> </w:t>
      </w:r>
      <w:r>
        <w:rPr>
          <w:rFonts w:ascii="宋体" w:hAnsi="宋体" w:eastAsia="宋体" w:cs="宋体"/>
          <w:spacing w:val="-11"/>
          <w:sz w:val="24"/>
          <w:szCs w:val="24"/>
        </w:rPr>
        <w:t>可使保护目标室内噪声达标。运营期</w:t>
      </w:r>
      <w:r>
        <w:rPr>
          <w:rFonts w:ascii="宋体" w:hAnsi="宋体" w:eastAsia="宋体" w:cs="宋体"/>
          <w:sz w:val="24"/>
          <w:szCs w:val="24"/>
        </w:rPr>
        <w:t xml:space="preserve"> </w:t>
      </w:r>
      <w:r>
        <w:rPr>
          <w:rFonts w:ascii="宋体" w:hAnsi="宋体" w:eastAsia="宋体" w:cs="宋体"/>
          <w:spacing w:val="-11"/>
          <w:sz w:val="24"/>
          <w:szCs w:val="24"/>
        </w:rPr>
        <w:t>地表径流排放至周边河道， 不会对周边水环境造成污染；</w:t>
      </w:r>
      <w:r>
        <w:rPr>
          <w:rFonts w:ascii="宋体" w:hAnsi="宋体" w:eastAsia="宋体" w:cs="宋体"/>
          <w:spacing w:val="49"/>
          <w:sz w:val="24"/>
          <w:szCs w:val="24"/>
        </w:rPr>
        <w:t xml:space="preserve"> </w:t>
      </w:r>
      <w:r>
        <w:rPr>
          <w:rFonts w:ascii="宋体" w:hAnsi="宋体" w:eastAsia="宋体" w:cs="宋体"/>
          <w:spacing w:val="-11"/>
          <w:sz w:val="24"/>
          <w:szCs w:val="24"/>
        </w:rPr>
        <w:t>固体废物都按要求进行</w:t>
      </w:r>
    </w:p>
    <w:p>
      <w:pPr>
        <w:spacing w:before="1" w:line="218" w:lineRule="auto"/>
        <w:ind w:left="42"/>
        <w:rPr>
          <w:rFonts w:ascii="宋体" w:hAnsi="宋体" w:eastAsia="宋体" w:cs="宋体"/>
          <w:sz w:val="24"/>
          <w:szCs w:val="24"/>
        </w:rPr>
      </w:pPr>
      <w:r>
        <w:rPr>
          <w:rFonts w:ascii="宋体" w:hAnsi="宋体" w:eastAsia="宋体" w:cs="宋体"/>
          <w:spacing w:val="-2"/>
          <w:sz w:val="24"/>
          <w:szCs w:val="24"/>
        </w:rPr>
        <w:t>处理处置。因此，本项目的建设能够满足</w:t>
      </w:r>
      <w:r>
        <w:rPr>
          <w:rFonts w:ascii="Times New Roman" w:hAnsi="Times New Roman" w:eastAsia="Times New Roman" w:cs="Times New Roman"/>
          <w:spacing w:val="-2"/>
          <w:sz w:val="24"/>
          <w:szCs w:val="24"/>
        </w:rPr>
        <w:t>“</w:t>
      </w:r>
      <w:r>
        <w:rPr>
          <w:rFonts w:ascii="宋体" w:hAnsi="宋体" w:eastAsia="宋体" w:cs="宋体"/>
          <w:spacing w:val="-2"/>
          <w:sz w:val="24"/>
          <w:szCs w:val="24"/>
        </w:rPr>
        <w:t>三线一单</w:t>
      </w:r>
      <w:r>
        <w:rPr>
          <w:rFonts w:ascii="Times New Roman" w:hAnsi="Times New Roman" w:eastAsia="Times New Roman" w:cs="Times New Roman"/>
          <w:spacing w:val="-2"/>
          <w:sz w:val="24"/>
          <w:szCs w:val="24"/>
        </w:rPr>
        <w:t>”</w:t>
      </w:r>
      <w:r>
        <w:rPr>
          <w:rFonts w:ascii="宋体" w:hAnsi="宋体" w:eastAsia="宋体" w:cs="宋体"/>
          <w:spacing w:val="-2"/>
          <w:sz w:val="24"/>
          <w:szCs w:val="24"/>
        </w:rPr>
        <w:t>环境管控的要求。</w:t>
      </w:r>
    </w:p>
    <w:p>
      <w:pPr>
        <w:spacing w:before="212" w:line="220" w:lineRule="auto"/>
        <w:ind w:left="34"/>
        <w:outlineLvl w:val="0"/>
        <w:rPr>
          <w:rFonts w:ascii="宋体" w:hAnsi="宋体" w:eastAsia="宋体" w:cs="宋体"/>
          <w:sz w:val="24"/>
          <w:szCs w:val="24"/>
        </w:rPr>
      </w:pPr>
      <w:r>
        <w:fldChar w:fldCharType="begin"/>
      </w:r>
      <w:r>
        <w:instrText xml:space="preserve"> HYPERLINK "2.4.1.8" </w:instrText>
      </w:r>
      <w:r>
        <w:fldChar w:fldCharType="separate"/>
      </w:r>
      <w:r>
        <w:rPr>
          <w:rFonts w:ascii="Times New Roman" w:hAnsi="Times New Roman" w:eastAsia="Times New Roman" w:cs="Times New Roman"/>
          <w:b/>
          <w:bCs/>
          <w:sz w:val="24"/>
          <w:szCs w:val="24"/>
        </w:rPr>
        <w:t>2.4.1.8</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与生态保护红线管控要求的符合性分析</w:t>
      </w:r>
    </w:p>
    <w:p>
      <w:pPr>
        <w:spacing w:before="211" w:line="468" w:lineRule="exact"/>
        <w:ind w:left="518"/>
        <w:rPr>
          <w:rFonts w:ascii="宋体" w:hAnsi="宋体" w:eastAsia="宋体" w:cs="宋体"/>
          <w:sz w:val="24"/>
          <w:szCs w:val="24"/>
        </w:rPr>
      </w:pPr>
      <w:r>
        <w:rPr>
          <w:rFonts w:ascii="宋体" w:hAnsi="宋体" w:eastAsia="宋体" w:cs="宋体"/>
          <w:spacing w:val="4"/>
          <w:position w:val="17"/>
          <w:sz w:val="24"/>
          <w:szCs w:val="24"/>
        </w:rPr>
        <w:t>根据新发布的</w:t>
      </w:r>
      <w:r>
        <w:rPr>
          <w:rFonts w:ascii="Times New Roman" w:hAnsi="Times New Roman" w:eastAsia="Times New Roman" w:cs="Times New Roman"/>
          <w:spacing w:val="4"/>
          <w:position w:val="17"/>
          <w:sz w:val="24"/>
          <w:szCs w:val="24"/>
        </w:rPr>
        <w:t>“</w:t>
      </w:r>
      <w:r>
        <w:rPr>
          <w:rFonts w:ascii="宋体" w:hAnsi="宋体" w:eastAsia="宋体" w:cs="宋体"/>
          <w:spacing w:val="4"/>
          <w:position w:val="17"/>
          <w:sz w:val="24"/>
          <w:szCs w:val="24"/>
        </w:rPr>
        <w:t>三区三线</w:t>
      </w:r>
      <w:r>
        <w:rPr>
          <w:rFonts w:ascii="Times New Roman" w:hAnsi="Times New Roman" w:eastAsia="Times New Roman" w:cs="Times New Roman"/>
          <w:spacing w:val="4"/>
          <w:position w:val="17"/>
          <w:sz w:val="24"/>
          <w:szCs w:val="24"/>
        </w:rPr>
        <w:t>”</w:t>
      </w:r>
      <w:r>
        <w:rPr>
          <w:rFonts w:ascii="Times New Roman" w:hAnsi="Times New Roman" w:eastAsia="Times New Roman" w:cs="Times New Roman"/>
          <w:spacing w:val="-24"/>
          <w:position w:val="17"/>
          <w:sz w:val="24"/>
          <w:szCs w:val="24"/>
        </w:rPr>
        <w:t xml:space="preserve"> </w:t>
      </w:r>
      <w:r>
        <w:rPr>
          <w:rFonts w:ascii="宋体" w:hAnsi="宋体" w:eastAsia="宋体" w:cs="宋体"/>
          <w:spacing w:val="4"/>
          <w:position w:val="17"/>
          <w:sz w:val="24"/>
          <w:szCs w:val="24"/>
        </w:rPr>
        <w:t>中生态保护红线分布图，工程不涉</w:t>
      </w:r>
      <w:r>
        <w:rPr>
          <w:rFonts w:ascii="宋体" w:hAnsi="宋体" w:eastAsia="宋体" w:cs="宋体"/>
          <w:spacing w:val="3"/>
          <w:position w:val="17"/>
          <w:sz w:val="24"/>
          <w:szCs w:val="24"/>
        </w:rPr>
        <w:t>及生态保护红</w:t>
      </w:r>
    </w:p>
    <w:p>
      <w:pPr>
        <w:spacing w:before="1" w:line="219" w:lineRule="auto"/>
        <w:ind w:left="41"/>
        <w:rPr>
          <w:rFonts w:ascii="宋体" w:hAnsi="宋体" w:eastAsia="宋体" w:cs="宋体"/>
          <w:sz w:val="24"/>
          <w:szCs w:val="24"/>
        </w:rPr>
      </w:pPr>
      <w:r>
        <w:rPr>
          <w:rFonts w:ascii="宋体" w:hAnsi="宋体" w:eastAsia="宋体" w:cs="宋体"/>
          <w:spacing w:val="-9"/>
          <w:sz w:val="24"/>
          <w:szCs w:val="24"/>
        </w:rPr>
        <w:t>线，</w:t>
      </w:r>
      <w:r>
        <w:rPr>
          <w:rFonts w:ascii="宋体" w:hAnsi="宋体" w:eastAsia="宋体" w:cs="宋体"/>
          <w:spacing w:val="-21"/>
          <w:sz w:val="24"/>
          <w:szCs w:val="24"/>
        </w:rPr>
        <w:t xml:space="preserve"> </w:t>
      </w:r>
      <w:r>
        <w:rPr>
          <w:rFonts w:ascii="宋体" w:hAnsi="宋体" w:eastAsia="宋体" w:cs="宋体"/>
          <w:spacing w:val="-9"/>
          <w:sz w:val="24"/>
          <w:szCs w:val="24"/>
        </w:rPr>
        <w:t>符合生态保护红线的保护要求。</w:t>
      </w:r>
    </w:p>
    <w:p>
      <w:pPr>
        <w:spacing w:before="183" w:line="220" w:lineRule="auto"/>
        <w:ind w:left="34"/>
        <w:outlineLvl w:val="0"/>
        <w:rPr>
          <w:rFonts w:ascii="宋体" w:hAnsi="宋体" w:eastAsia="宋体" w:cs="宋体"/>
          <w:sz w:val="24"/>
          <w:szCs w:val="24"/>
        </w:rPr>
      </w:pPr>
      <w:r>
        <w:rPr>
          <w:rFonts w:ascii="Times New Roman" w:hAnsi="Times New Roman" w:eastAsia="Times New Roman" w:cs="Times New Roman"/>
          <w:b/>
          <w:bCs/>
          <w:sz w:val="24"/>
          <w:szCs w:val="24"/>
        </w:rPr>
        <w:t xml:space="preserve">2.4.2 </w:t>
      </w:r>
      <w:r>
        <w:rPr>
          <w:rFonts w:ascii="宋体" w:hAnsi="宋体" w:eastAsia="宋体" w:cs="宋体"/>
          <w:sz w:val="24"/>
          <w:szCs w:val="24"/>
          <w14:textOutline w14:w="4354" w14:cap="flat" w14:cmpd="sng">
            <w14:solidFill>
              <w14:srgbClr w14:val="000000"/>
            </w14:solidFill>
            <w14:prstDash w14:val="solid"/>
            <w14:miter w14:val="0"/>
          </w14:textOutline>
        </w:rPr>
        <w:t>环境功能区划</w:t>
      </w:r>
    </w:p>
    <w:p>
      <w:pPr>
        <w:spacing w:before="179" w:line="220" w:lineRule="auto"/>
        <w:ind w:left="34"/>
        <w:outlineLvl w:val="0"/>
        <w:rPr>
          <w:rFonts w:ascii="宋体" w:hAnsi="宋体" w:eastAsia="宋体" w:cs="宋体"/>
          <w:sz w:val="24"/>
          <w:szCs w:val="24"/>
        </w:rPr>
      </w:pPr>
      <w:r>
        <w:fldChar w:fldCharType="begin"/>
      </w:r>
      <w:r>
        <w:instrText xml:space="preserve"> HYPERLINK "2.4.2.1" </w:instrText>
      </w:r>
      <w:r>
        <w:fldChar w:fldCharType="separate"/>
      </w:r>
      <w:r>
        <w:rPr>
          <w:rFonts w:ascii="Times New Roman" w:hAnsi="Times New Roman" w:eastAsia="Times New Roman" w:cs="Times New Roman"/>
          <w:b/>
          <w:bCs/>
          <w:sz w:val="24"/>
          <w:szCs w:val="24"/>
        </w:rPr>
        <w:t>2.4.2.1</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水环境功能区划</w:t>
      </w:r>
    </w:p>
    <w:p>
      <w:pPr>
        <w:spacing w:before="182" w:line="359" w:lineRule="auto"/>
        <w:ind w:left="38" w:firstLine="480"/>
        <w:rPr>
          <w:rFonts w:ascii="宋体" w:hAnsi="宋体" w:eastAsia="宋体" w:cs="宋体"/>
          <w:sz w:val="24"/>
          <w:szCs w:val="24"/>
        </w:rPr>
      </w:pPr>
      <w:r>
        <w:rPr>
          <w:rFonts w:ascii="宋体" w:hAnsi="宋体" w:eastAsia="宋体" w:cs="宋体"/>
          <w:spacing w:val="-8"/>
          <w:sz w:val="24"/>
          <w:szCs w:val="24"/>
        </w:rPr>
        <w:t>本项目所在区域涉及的主要水域主要为高岭头二级水库、梧溪（峃作口溪）、</w:t>
      </w:r>
      <w:r>
        <w:rPr>
          <w:rFonts w:ascii="宋体" w:hAnsi="宋体" w:eastAsia="宋体" w:cs="宋体"/>
          <w:spacing w:val="12"/>
          <w:sz w:val="24"/>
          <w:szCs w:val="24"/>
        </w:rPr>
        <w:t xml:space="preserve"> </w:t>
      </w:r>
      <w:r>
        <w:rPr>
          <w:rFonts w:ascii="宋体" w:hAnsi="宋体" w:eastAsia="宋体" w:cs="宋体"/>
          <w:spacing w:val="-11"/>
          <w:sz w:val="24"/>
          <w:szCs w:val="24"/>
        </w:rPr>
        <w:t>包垟水库、百丈漈水库，根据《浙江省水功能区水环境功能区划分方案》（</w:t>
      </w:r>
      <w:r>
        <w:rPr>
          <w:rFonts w:ascii="Times New Roman" w:hAnsi="Times New Roman" w:eastAsia="Times New Roman" w:cs="Times New Roman"/>
          <w:spacing w:val="-11"/>
          <w:sz w:val="24"/>
          <w:szCs w:val="24"/>
        </w:rPr>
        <w:t>2015</w:t>
      </w:r>
      <w:r>
        <w:rPr>
          <w:rFonts w:ascii="宋体" w:hAnsi="宋体" w:eastAsia="宋体" w:cs="宋体"/>
          <w:spacing w:val="-46"/>
          <w:sz w:val="24"/>
          <w:szCs w:val="24"/>
        </w:rPr>
        <w:t>），</w:t>
      </w:r>
      <w:r>
        <w:rPr>
          <w:rFonts w:ascii="宋体" w:hAnsi="宋体" w:eastAsia="宋体" w:cs="宋体"/>
          <w:sz w:val="24"/>
          <w:szCs w:val="24"/>
        </w:rPr>
        <w:t xml:space="preserve"> </w:t>
      </w:r>
      <w:r>
        <w:rPr>
          <w:rFonts w:ascii="宋体" w:hAnsi="宋体" w:eastAsia="宋体" w:cs="宋体"/>
          <w:spacing w:val="-11"/>
          <w:sz w:val="24"/>
          <w:szCs w:val="24"/>
        </w:rPr>
        <w:t>高岭头二级水库、梧溪（峃作口溪） 未进行水环境功能区划分，</w:t>
      </w:r>
      <w:r>
        <w:rPr>
          <w:rFonts w:ascii="宋体" w:hAnsi="宋体" w:eastAsia="宋体" w:cs="宋体"/>
          <w:spacing w:val="48"/>
          <w:sz w:val="24"/>
          <w:szCs w:val="24"/>
        </w:rPr>
        <w:t xml:space="preserve"> </w:t>
      </w:r>
      <w:r>
        <w:rPr>
          <w:rFonts w:ascii="宋体" w:hAnsi="宋体" w:eastAsia="宋体" w:cs="宋体"/>
          <w:spacing w:val="-11"/>
          <w:sz w:val="24"/>
          <w:szCs w:val="24"/>
        </w:rPr>
        <w:t xml:space="preserve">包垟水库为农村 </w:t>
      </w:r>
      <w:r>
        <w:rPr>
          <w:rFonts w:ascii="宋体" w:hAnsi="宋体" w:eastAsia="宋体" w:cs="宋体"/>
          <w:spacing w:val="-8"/>
          <w:sz w:val="24"/>
          <w:szCs w:val="24"/>
        </w:rPr>
        <w:t>水源地，包垟溪为包垟水库下游溪流，</w:t>
      </w:r>
      <w:r>
        <w:rPr>
          <w:rFonts w:ascii="宋体" w:hAnsi="宋体" w:eastAsia="宋体" w:cs="宋体"/>
          <w:spacing w:val="76"/>
          <w:sz w:val="24"/>
          <w:szCs w:val="24"/>
        </w:rPr>
        <w:t xml:space="preserve"> </w:t>
      </w:r>
      <w:r>
        <w:rPr>
          <w:rFonts w:ascii="宋体" w:hAnsi="宋体" w:eastAsia="宋体" w:cs="宋体"/>
          <w:spacing w:val="-8"/>
          <w:sz w:val="24"/>
          <w:szCs w:val="24"/>
        </w:rPr>
        <w:t>本次参照附近飞云</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 xml:space="preserve">13 </w:t>
      </w:r>
      <w:r>
        <w:rPr>
          <w:rFonts w:ascii="宋体" w:hAnsi="宋体" w:eastAsia="宋体" w:cs="宋体"/>
          <w:spacing w:val="-8"/>
          <w:sz w:val="24"/>
          <w:szCs w:val="24"/>
        </w:rPr>
        <w:t>水环境功能划分，</w:t>
      </w:r>
      <w:r>
        <w:rPr>
          <w:rFonts w:ascii="宋体" w:hAnsi="宋体" w:eastAsia="宋体" w:cs="宋体"/>
          <w:sz w:val="24"/>
          <w:szCs w:val="24"/>
        </w:rPr>
        <w:t xml:space="preserve">  </w:t>
      </w:r>
      <w:r>
        <w:rPr>
          <w:rFonts w:ascii="宋体" w:hAnsi="宋体" w:eastAsia="宋体" w:cs="宋体"/>
          <w:spacing w:val="-10"/>
          <w:sz w:val="24"/>
          <w:szCs w:val="24"/>
        </w:rPr>
        <w:t>水质目标为</w:t>
      </w:r>
      <w:r>
        <w:rPr>
          <w:rFonts w:ascii="Times New Roman" w:hAnsi="Times New Roman" w:eastAsia="Times New Roman" w:cs="Times New Roman"/>
          <w:spacing w:val="-10"/>
          <w:sz w:val="24"/>
          <w:szCs w:val="24"/>
        </w:rPr>
        <w:t>Ⅱ</w:t>
      </w:r>
      <w:r>
        <w:rPr>
          <w:rFonts w:ascii="宋体" w:hAnsi="宋体" w:eastAsia="宋体" w:cs="宋体"/>
          <w:spacing w:val="-10"/>
          <w:sz w:val="24"/>
          <w:szCs w:val="24"/>
        </w:rPr>
        <w:t>类，</w:t>
      </w:r>
      <w:r>
        <w:rPr>
          <w:rFonts w:ascii="宋体" w:hAnsi="宋体" w:eastAsia="宋体" w:cs="宋体"/>
          <w:spacing w:val="-28"/>
          <w:sz w:val="24"/>
          <w:szCs w:val="24"/>
        </w:rPr>
        <w:t xml:space="preserve"> </w:t>
      </w:r>
      <w:r>
        <w:rPr>
          <w:rFonts w:ascii="宋体" w:hAnsi="宋体" w:eastAsia="宋体" w:cs="宋体"/>
          <w:spacing w:val="-10"/>
          <w:sz w:val="24"/>
          <w:szCs w:val="24"/>
        </w:rPr>
        <w:t>百丈漈水库属于飞云</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15</w:t>
      </w:r>
      <w:r>
        <w:rPr>
          <w:rFonts w:ascii="宋体" w:hAnsi="宋体" w:eastAsia="宋体" w:cs="宋体"/>
          <w:spacing w:val="-10"/>
          <w:sz w:val="24"/>
          <w:szCs w:val="24"/>
        </w:rPr>
        <w:t>，水环境功能区为保留区，</w:t>
      </w:r>
      <w:r>
        <w:rPr>
          <w:rFonts w:ascii="宋体" w:hAnsi="宋体" w:eastAsia="宋体" w:cs="宋体"/>
          <w:spacing w:val="42"/>
          <w:sz w:val="24"/>
          <w:szCs w:val="24"/>
        </w:rPr>
        <w:t xml:space="preserve"> </w:t>
      </w:r>
      <w:r>
        <w:rPr>
          <w:rFonts w:ascii="宋体" w:hAnsi="宋体" w:eastAsia="宋体" w:cs="宋体"/>
          <w:spacing w:val="-10"/>
          <w:sz w:val="24"/>
          <w:szCs w:val="24"/>
        </w:rPr>
        <w:t>水质目标为</w:t>
      </w:r>
    </w:p>
    <w:p>
      <w:pPr>
        <w:spacing w:before="1" w:line="217" w:lineRule="auto"/>
        <w:ind w:left="34"/>
        <w:rPr>
          <w:rFonts w:ascii="宋体" w:hAnsi="宋体" w:eastAsia="宋体" w:cs="宋体"/>
          <w:sz w:val="24"/>
          <w:szCs w:val="24"/>
        </w:rPr>
      </w:pPr>
      <w:r>
        <w:rPr>
          <w:rFonts w:ascii="Times New Roman" w:hAnsi="Times New Roman" w:eastAsia="Times New Roman" w:cs="Times New Roman"/>
          <w:spacing w:val="-3"/>
          <w:sz w:val="24"/>
          <w:szCs w:val="24"/>
        </w:rPr>
        <w:t>Ⅲ</w:t>
      </w:r>
      <w:r>
        <w:rPr>
          <w:rFonts w:ascii="宋体" w:hAnsi="宋体" w:eastAsia="宋体" w:cs="宋体"/>
          <w:spacing w:val="-3"/>
          <w:sz w:val="24"/>
          <w:szCs w:val="24"/>
        </w:rPr>
        <w:t>类，具体见表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2.4.2-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line="217" w:lineRule="auto"/>
        <w:rPr>
          <w:rFonts w:ascii="宋体" w:hAnsi="宋体" w:eastAsia="宋体" w:cs="宋体"/>
          <w:sz w:val="24"/>
          <w:szCs w:val="24"/>
        </w:rPr>
        <w:sectPr>
          <w:headerReference r:id="rId71" w:type="default"/>
          <w:footerReference r:id="rId72" w:type="default"/>
          <w:pgSz w:w="11907" w:h="16839"/>
          <w:pgMar w:top="1118" w:right="1714" w:bottom="1184" w:left="1771" w:header="879" w:footer="1024" w:gutter="0"/>
          <w:cols w:space="720" w:num="1"/>
        </w:sectPr>
      </w:pPr>
    </w:p>
    <w:p>
      <w:pPr>
        <w:pStyle w:val="2"/>
        <w:spacing w:line="301" w:lineRule="auto"/>
      </w:pPr>
    </w:p>
    <w:p>
      <w:pPr>
        <w:spacing w:before="78" w:line="220" w:lineRule="auto"/>
        <w:ind w:left="4456"/>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7"/>
          <w:sz w:val="24"/>
          <w:szCs w:val="24"/>
        </w:rPr>
        <w:t xml:space="preserve"> </w:t>
      </w:r>
      <w:r>
        <w:fldChar w:fldCharType="begin"/>
      </w:r>
      <w:r>
        <w:instrText xml:space="preserve"> HYPERLINK "2.4.1.7" </w:instrText>
      </w:r>
      <w:r>
        <w:fldChar w:fldCharType="separate"/>
      </w:r>
      <w:r>
        <w:rPr>
          <w:rFonts w:ascii="Times New Roman" w:hAnsi="Times New Roman" w:eastAsia="Times New Roman" w:cs="Times New Roman"/>
          <w:spacing w:val="-1"/>
          <w:sz w:val="24"/>
          <w:szCs w:val="24"/>
        </w:rPr>
        <w:t>2.4.1.7</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文成县</w:t>
      </w:r>
      <w:r>
        <w:rPr>
          <w:rFonts w:ascii="Times New Roman" w:hAnsi="Times New Roman" w:eastAsia="Times New Roman" w:cs="Times New Roman"/>
          <w:spacing w:val="-1"/>
          <w:sz w:val="24"/>
          <w:szCs w:val="24"/>
        </w:rPr>
        <w:t>“</w:t>
      </w:r>
      <w:r>
        <w:rPr>
          <w:rFonts w:ascii="宋体" w:hAnsi="宋体" w:eastAsia="宋体" w:cs="宋体"/>
          <w:spacing w:val="-1"/>
          <w:sz w:val="24"/>
          <w:szCs w:val="24"/>
        </w:rPr>
        <w:t>三线一单</w:t>
      </w:r>
      <w:r>
        <w:rPr>
          <w:rFonts w:ascii="Times New Roman" w:hAnsi="Times New Roman" w:eastAsia="Times New Roman" w:cs="Times New Roman"/>
          <w:spacing w:val="-1"/>
          <w:sz w:val="24"/>
          <w:szCs w:val="24"/>
        </w:rPr>
        <w:t>”</w:t>
      </w:r>
      <w:r>
        <w:rPr>
          <w:rFonts w:ascii="宋体" w:hAnsi="宋体" w:eastAsia="宋体" w:cs="宋体"/>
          <w:spacing w:val="-1"/>
          <w:sz w:val="24"/>
          <w:szCs w:val="24"/>
        </w:rPr>
        <w:t>生态环境分区管控</w:t>
      </w:r>
    </w:p>
    <w:p>
      <w:pPr>
        <w:spacing w:line="143" w:lineRule="exact"/>
      </w:pPr>
    </w:p>
    <w:tbl>
      <w:tblPr>
        <w:tblStyle w:val="5"/>
        <w:tblW w:w="142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3"/>
        <w:gridCol w:w="953"/>
        <w:gridCol w:w="684"/>
        <w:gridCol w:w="600"/>
        <w:gridCol w:w="578"/>
        <w:gridCol w:w="491"/>
        <w:gridCol w:w="598"/>
        <w:gridCol w:w="2652"/>
        <w:gridCol w:w="1759"/>
        <w:gridCol w:w="1827"/>
        <w:gridCol w:w="1431"/>
        <w:gridCol w:w="21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543" w:type="dxa"/>
            <w:vMerge w:val="restart"/>
            <w:tcBorders>
              <w:bottom w:val="nil"/>
            </w:tcBorders>
            <w:vAlign w:val="top"/>
          </w:tcPr>
          <w:p>
            <w:pPr>
              <w:spacing w:line="269" w:lineRule="auto"/>
              <w:rPr>
                <w:rFonts w:ascii="Arial"/>
                <w:sz w:val="21"/>
              </w:rPr>
            </w:pPr>
          </w:p>
          <w:p>
            <w:pPr>
              <w:spacing w:line="269" w:lineRule="auto"/>
              <w:rPr>
                <w:rFonts w:ascii="Arial"/>
                <w:sz w:val="21"/>
              </w:rPr>
            </w:pPr>
          </w:p>
          <w:p>
            <w:pPr>
              <w:pStyle w:val="6"/>
              <w:spacing w:before="69" w:line="222" w:lineRule="auto"/>
              <w:ind w:left="62"/>
            </w:pPr>
            <w:r>
              <w:rPr>
                <w:spacing w:val="-2"/>
                <w14:textOutline w14:w="3831" w14:cap="flat" w14:cmpd="sng">
                  <w14:solidFill>
                    <w14:srgbClr w14:val="000000"/>
                  </w14:solidFill>
                  <w14:prstDash w14:val="solid"/>
                  <w14:miter w14:val="0"/>
                </w14:textOutline>
              </w:rPr>
              <w:t>序号</w:t>
            </w:r>
          </w:p>
        </w:tc>
        <w:tc>
          <w:tcPr>
            <w:tcW w:w="953" w:type="dxa"/>
            <w:vMerge w:val="restart"/>
            <w:tcBorders>
              <w:bottom w:val="nil"/>
            </w:tcBorders>
            <w:vAlign w:val="top"/>
          </w:tcPr>
          <w:p>
            <w:pPr>
              <w:spacing w:line="403" w:lineRule="auto"/>
              <w:rPr>
                <w:rFonts w:ascii="Arial"/>
                <w:sz w:val="21"/>
              </w:rPr>
            </w:pPr>
          </w:p>
          <w:p>
            <w:pPr>
              <w:pStyle w:val="6"/>
              <w:spacing w:before="69" w:line="229" w:lineRule="auto"/>
              <w:ind w:left="59" w:right="53" w:hanging="1"/>
            </w:pPr>
            <w:r>
              <w:rPr>
                <w:spacing w:val="-1"/>
                <w14:textOutline w14:w="3831" w14:cap="flat" w14:cmpd="sng">
                  <w14:solidFill>
                    <w14:srgbClr w14:val="000000"/>
                  </w14:solidFill>
                  <w14:prstDash w14:val="solid"/>
                  <w14:miter w14:val="0"/>
                </w14:textOutline>
              </w:rPr>
              <w:t>环境管控</w:t>
            </w:r>
            <w:r>
              <w:t xml:space="preserve"> </w:t>
            </w:r>
            <w:r>
              <w:rPr>
                <w:spacing w:val="-2"/>
                <w14:textOutline w14:w="3831" w14:cap="flat" w14:cmpd="sng">
                  <w14:solidFill>
                    <w14:srgbClr w14:val="000000"/>
                  </w14:solidFill>
                  <w14:prstDash w14:val="solid"/>
                  <w14:miter w14:val="0"/>
                </w14:textOutline>
              </w:rPr>
              <w:t>单元编码</w:t>
            </w:r>
          </w:p>
        </w:tc>
        <w:tc>
          <w:tcPr>
            <w:tcW w:w="684" w:type="dxa"/>
            <w:vMerge w:val="restart"/>
            <w:tcBorders>
              <w:bottom w:val="nil"/>
            </w:tcBorders>
            <w:vAlign w:val="top"/>
          </w:tcPr>
          <w:p>
            <w:pPr>
              <w:spacing w:line="266" w:lineRule="auto"/>
              <w:rPr>
                <w:rFonts w:ascii="Arial"/>
                <w:sz w:val="21"/>
              </w:rPr>
            </w:pPr>
          </w:p>
          <w:p>
            <w:pPr>
              <w:pStyle w:val="6"/>
              <w:spacing w:before="68" w:line="221" w:lineRule="auto"/>
              <w:ind w:left="26"/>
            </w:pPr>
            <w:r>
              <w:rPr>
                <w:spacing w:val="-2"/>
                <w14:textOutline w14:w="3831" w14:cap="flat" w14:cmpd="sng">
                  <w14:solidFill>
                    <w14:srgbClr w14:val="000000"/>
                  </w14:solidFill>
                  <w14:prstDash w14:val="solid"/>
                  <w14:miter w14:val="0"/>
                </w14:textOutline>
              </w:rPr>
              <w:t>环境管</w:t>
            </w:r>
          </w:p>
          <w:p>
            <w:pPr>
              <w:pStyle w:val="6"/>
              <w:spacing w:before="23" w:line="221" w:lineRule="auto"/>
              <w:ind w:left="25"/>
            </w:pPr>
            <w:r>
              <w:rPr>
                <w:spacing w:val="-1"/>
                <w14:textOutline w14:w="3831" w14:cap="flat" w14:cmpd="sng">
                  <w14:solidFill>
                    <w14:srgbClr w14:val="000000"/>
                  </w14:solidFill>
                  <w14:prstDash w14:val="solid"/>
                  <w14:miter w14:val="0"/>
                </w14:textOutline>
              </w:rPr>
              <w:t>控单元</w:t>
            </w:r>
          </w:p>
          <w:p>
            <w:pPr>
              <w:pStyle w:val="6"/>
              <w:spacing w:before="19" w:line="223" w:lineRule="auto"/>
              <w:ind w:left="134"/>
            </w:pPr>
            <w:r>
              <w:rPr>
                <w:spacing w:val="-3"/>
                <w14:textOutline w14:w="3831" w14:cap="flat" w14:cmpd="sng">
                  <w14:solidFill>
                    <w14:srgbClr w14:val="000000"/>
                  </w14:solidFill>
                  <w14:prstDash w14:val="solid"/>
                  <w14:miter w14:val="0"/>
                </w14:textOutline>
              </w:rPr>
              <w:t>名称</w:t>
            </w:r>
          </w:p>
        </w:tc>
        <w:tc>
          <w:tcPr>
            <w:tcW w:w="1669" w:type="dxa"/>
            <w:gridSpan w:val="3"/>
            <w:vAlign w:val="top"/>
          </w:tcPr>
          <w:p>
            <w:pPr>
              <w:spacing w:line="255" w:lineRule="auto"/>
              <w:rPr>
                <w:rFonts w:ascii="Arial"/>
                <w:sz w:val="21"/>
              </w:rPr>
            </w:pPr>
          </w:p>
          <w:p>
            <w:pPr>
              <w:pStyle w:val="6"/>
              <w:spacing w:before="68" w:line="221" w:lineRule="auto"/>
              <w:ind w:left="421"/>
            </w:pPr>
            <w:r>
              <w:rPr>
                <w:spacing w:val="-2"/>
                <w14:textOutline w14:w="3831" w14:cap="flat" w14:cmpd="sng">
                  <w14:solidFill>
                    <w14:srgbClr w14:val="000000"/>
                  </w14:solidFill>
                  <w14:prstDash w14:val="solid"/>
                  <w14:miter w14:val="0"/>
                </w14:textOutline>
              </w:rPr>
              <w:t>行政区划</w:t>
            </w:r>
          </w:p>
        </w:tc>
        <w:tc>
          <w:tcPr>
            <w:tcW w:w="598" w:type="dxa"/>
            <w:vAlign w:val="top"/>
          </w:tcPr>
          <w:p>
            <w:pPr>
              <w:pStyle w:val="6"/>
              <w:spacing w:before="53" w:line="228" w:lineRule="auto"/>
              <w:ind w:left="102" w:right="77" w:firstLine="3"/>
              <w:jc w:val="both"/>
            </w:pPr>
            <w:r>
              <w:rPr>
                <w:spacing w:val="-6"/>
                <w14:textOutline w14:w="3831" w14:cap="flat" w14:cmpd="sng">
                  <w14:solidFill>
                    <w14:srgbClr w14:val="000000"/>
                  </w14:solidFill>
                  <w14:prstDash w14:val="solid"/>
                  <w14:miter w14:val="0"/>
                </w14:textOutline>
              </w:rPr>
              <w:t>管控</w:t>
            </w:r>
            <w:r>
              <w:t xml:space="preserve"> </w:t>
            </w:r>
            <w:r>
              <w:rPr>
                <w:spacing w:val="-4"/>
                <w14:textOutline w14:w="3831" w14:cap="flat" w14:cmpd="sng">
                  <w14:solidFill>
                    <w14:srgbClr w14:val="000000"/>
                  </w14:solidFill>
                  <w14:prstDash w14:val="solid"/>
                  <w14:miter w14:val="0"/>
                </w14:textOutline>
              </w:rPr>
              <w:t>单元</w:t>
            </w:r>
            <w:r>
              <w:t xml:space="preserve"> </w:t>
            </w:r>
            <w:r>
              <w:rPr>
                <w:spacing w:val="-4"/>
                <w14:textOutline w14:w="3831" w14:cap="flat" w14:cmpd="sng">
                  <w14:solidFill>
                    <w14:srgbClr w14:val="000000"/>
                  </w14:solidFill>
                  <w14:prstDash w14:val="solid"/>
                  <w14:miter w14:val="0"/>
                </w14:textOutline>
              </w:rPr>
              <w:t>分类</w:t>
            </w:r>
          </w:p>
        </w:tc>
        <w:tc>
          <w:tcPr>
            <w:tcW w:w="7669" w:type="dxa"/>
            <w:gridSpan w:val="4"/>
            <w:vAlign w:val="top"/>
          </w:tcPr>
          <w:p>
            <w:pPr>
              <w:spacing w:line="254" w:lineRule="auto"/>
              <w:rPr>
                <w:rFonts w:ascii="Arial"/>
                <w:sz w:val="21"/>
              </w:rPr>
            </w:pPr>
          </w:p>
          <w:p>
            <w:pPr>
              <w:pStyle w:val="6"/>
              <w:spacing w:before="68" w:line="221" w:lineRule="auto"/>
              <w:ind w:left="3427"/>
            </w:pPr>
            <w:r>
              <w:rPr>
                <w:spacing w:val="-2"/>
                <w14:textOutline w14:w="3831" w14:cap="flat" w14:cmpd="sng">
                  <w14:solidFill>
                    <w14:srgbClr w14:val="000000"/>
                  </w14:solidFill>
                  <w14:prstDash w14:val="solid"/>
                  <w14:miter w14:val="0"/>
                </w14:textOutline>
              </w:rPr>
              <w:t>管控要求</w:t>
            </w:r>
          </w:p>
        </w:tc>
        <w:tc>
          <w:tcPr>
            <w:tcW w:w="2108" w:type="dxa"/>
            <w:vAlign w:val="top"/>
          </w:tcPr>
          <w:p>
            <w:pPr>
              <w:spacing w:line="254" w:lineRule="auto"/>
              <w:rPr>
                <w:rFonts w:ascii="Arial"/>
                <w:sz w:val="21"/>
              </w:rPr>
            </w:pPr>
          </w:p>
          <w:p>
            <w:pPr>
              <w:pStyle w:val="6"/>
              <w:spacing w:before="68" w:line="221" w:lineRule="auto"/>
              <w:ind w:left="534"/>
            </w:pPr>
            <w:r>
              <w:rPr>
                <w:spacing w:val="-1"/>
                <w14:textOutline w14:w="3831" w14:cap="flat" w14:cmpd="sng">
                  <w14:solidFill>
                    <w14:srgbClr w14:val="000000"/>
                  </w14:solidFill>
                  <w14:prstDash w14:val="solid"/>
                  <w14:miter w14:val="0"/>
                </w14:textOutline>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543" w:type="dxa"/>
            <w:vMerge w:val="continue"/>
            <w:tcBorders>
              <w:top w:val="nil"/>
            </w:tcBorders>
            <w:vAlign w:val="top"/>
          </w:tcPr>
          <w:p>
            <w:pPr>
              <w:rPr>
                <w:rFonts w:ascii="Arial"/>
                <w:sz w:val="21"/>
              </w:rPr>
            </w:pPr>
          </w:p>
        </w:tc>
        <w:tc>
          <w:tcPr>
            <w:tcW w:w="953" w:type="dxa"/>
            <w:vMerge w:val="continue"/>
            <w:tcBorders>
              <w:top w:val="nil"/>
            </w:tcBorders>
            <w:vAlign w:val="top"/>
          </w:tcPr>
          <w:p>
            <w:pPr>
              <w:rPr>
                <w:rFonts w:ascii="Arial"/>
                <w:sz w:val="21"/>
              </w:rPr>
            </w:pPr>
          </w:p>
        </w:tc>
        <w:tc>
          <w:tcPr>
            <w:tcW w:w="684" w:type="dxa"/>
            <w:vMerge w:val="continue"/>
            <w:tcBorders>
              <w:top w:val="nil"/>
            </w:tcBorders>
            <w:vAlign w:val="top"/>
          </w:tcPr>
          <w:p>
            <w:pPr>
              <w:rPr>
                <w:rFonts w:ascii="Arial"/>
                <w:sz w:val="21"/>
              </w:rPr>
            </w:pPr>
          </w:p>
        </w:tc>
        <w:tc>
          <w:tcPr>
            <w:tcW w:w="600" w:type="dxa"/>
            <w:vAlign w:val="top"/>
          </w:tcPr>
          <w:p>
            <w:pPr>
              <w:pStyle w:val="6"/>
              <w:spacing w:before="182" w:line="221" w:lineRule="auto"/>
              <w:ind w:left="200"/>
            </w:pPr>
            <w:r>
              <w:rPr>
                <w14:textOutline w14:w="3831" w14:cap="flat" w14:cmpd="sng">
                  <w14:solidFill>
                    <w14:srgbClr w14:val="000000"/>
                  </w14:solidFill>
                  <w14:prstDash w14:val="solid"/>
                  <w14:miter w14:val="0"/>
                </w14:textOutline>
              </w:rPr>
              <w:t>省</w:t>
            </w:r>
          </w:p>
        </w:tc>
        <w:tc>
          <w:tcPr>
            <w:tcW w:w="578" w:type="dxa"/>
            <w:vAlign w:val="top"/>
          </w:tcPr>
          <w:p>
            <w:pPr>
              <w:pStyle w:val="6"/>
              <w:spacing w:before="182" w:line="221" w:lineRule="auto"/>
              <w:ind w:left="190"/>
            </w:pPr>
            <w:r>
              <w:rPr>
                <w14:textOutline w14:w="3831" w14:cap="flat" w14:cmpd="sng">
                  <w14:solidFill>
                    <w14:srgbClr w14:val="000000"/>
                  </w14:solidFill>
                  <w14:prstDash w14:val="solid"/>
                  <w14:miter w14:val="0"/>
                </w14:textOutline>
              </w:rPr>
              <w:t>市</w:t>
            </w:r>
          </w:p>
        </w:tc>
        <w:tc>
          <w:tcPr>
            <w:tcW w:w="491" w:type="dxa"/>
            <w:vAlign w:val="top"/>
          </w:tcPr>
          <w:p>
            <w:pPr>
              <w:pStyle w:val="6"/>
              <w:spacing w:before="183" w:line="225" w:lineRule="auto"/>
              <w:ind w:left="140"/>
            </w:pPr>
            <w:r>
              <w:rPr>
                <w14:textOutline w14:w="3831" w14:cap="flat" w14:cmpd="sng">
                  <w14:solidFill>
                    <w14:srgbClr w14:val="000000"/>
                  </w14:solidFill>
                  <w14:prstDash w14:val="solid"/>
                  <w14:miter w14:val="0"/>
                </w14:textOutline>
              </w:rPr>
              <w:t>县</w:t>
            </w:r>
          </w:p>
        </w:tc>
        <w:tc>
          <w:tcPr>
            <w:tcW w:w="598" w:type="dxa"/>
            <w:vAlign w:val="top"/>
          </w:tcPr>
          <w:p>
            <w:pPr>
              <w:rPr>
                <w:rFonts w:ascii="Arial"/>
                <w:sz w:val="21"/>
              </w:rPr>
            </w:pPr>
          </w:p>
        </w:tc>
        <w:tc>
          <w:tcPr>
            <w:tcW w:w="2652" w:type="dxa"/>
            <w:vAlign w:val="top"/>
          </w:tcPr>
          <w:p>
            <w:pPr>
              <w:pStyle w:val="6"/>
              <w:spacing w:before="183" w:line="220" w:lineRule="auto"/>
              <w:ind w:left="704"/>
            </w:pPr>
            <w:r>
              <w:rPr>
                <w:spacing w:val="-2"/>
                <w14:textOutline w14:w="3831" w14:cap="flat" w14:cmpd="sng">
                  <w14:solidFill>
                    <w14:srgbClr w14:val="000000"/>
                  </w14:solidFill>
                  <w14:prstDash w14:val="solid"/>
                  <w14:miter w14:val="0"/>
                </w14:textOutline>
              </w:rPr>
              <w:t>空间布局约束</w:t>
            </w:r>
          </w:p>
        </w:tc>
        <w:tc>
          <w:tcPr>
            <w:tcW w:w="1759" w:type="dxa"/>
            <w:vAlign w:val="top"/>
          </w:tcPr>
          <w:p>
            <w:pPr>
              <w:pStyle w:val="6"/>
              <w:spacing w:before="182" w:line="221" w:lineRule="auto"/>
              <w:ind w:left="150"/>
            </w:pPr>
            <w:r>
              <w:rPr>
                <w:spacing w:val="-1"/>
                <w14:textOutline w14:w="3831" w14:cap="flat" w14:cmpd="sng">
                  <w14:solidFill>
                    <w14:srgbClr w14:val="000000"/>
                  </w14:solidFill>
                  <w14:prstDash w14:val="solid"/>
                  <w14:miter w14:val="0"/>
                </w14:textOutline>
              </w:rPr>
              <w:t>污染物排放管控</w:t>
            </w:r>
          </w:p>
        </w:tc>
        <w:tc>
          <w:tcPr>
            <w:tcW w:w="1827" w:type="dxa"/>
            <w:vAlign w:val="top"/>
          </w:tcPr>
          <w:p>
            <w:pPr>
              <w:pStyle w:val="6"/>
              <w:spacing w:before="183" w:line="221" w:lineRule="auto"/>
              <w:ind w:left="288"/>
            </w:pPr>
            <w:r>
              <w:rPr>
                <w:spacing w:val="-1"/>
                <w14:textOutline w14:w="3831" w14:cap="flat" w14:cmpd="sng">
                  <w14:solidFill>
                    <w14:srgbClr w14:val="000000"/>
                  </w14:solidFill>
                  <w14:prstDash w14:val="solid"/>
                  <w14:miter w14:val="0"/>
                </w14:textOutline>
              </w:rPr>
              <w:t>环境风险防控</w:t>
            </w:r>
          </w:p>
        </w:tc>
        <w:tc>
          <w:tcPr>
            <w:tcW w:w="1431" w:type="dxa"/>
            <w:vAlign w:val="top"/>
          </w:tcPr>
          <w:p>
            <w:pPr>
              <w:pStyle w:val="6"/>
              <w:spacing w:before="45" w:line="223" w:lineRule="auto"/>
              <w:ind w:left="511" w:right="75" w:hanging="411"/>
            </w:pPr>
            <w:r>
              <w:rPr>
                <w:spacing w:val="-2"/>
                <w14:textOutline w14:w="3831" w14:cap="flat" w14:cmpd="sng">
                  <w14:solidFill>
                    <w14:srgbClr w14:val="000000"/>
                  </w14:solidFill>
                  <w14:prstDash w14:val="solid"/>
                  <w14:miter w14:val="0"/>
                </w14:textOutline>
              </w:rPr>
              <w:t>资源开发效率</w:t>
            </w:r>
            <w:r>
              <w:t xml:space="preserve"> </w:t>
            </w:r>
            <w:r>
              <w:rPr>
                <w:spacing w:val="-2"/>
                <w14:textOutline w14:w="3831" w14:cap="flat" w14:cmpd="sng">
                  <w14:solidFill>
                    <w14:srgbClr w14:val="000000"/>
                  </w14:solidFill>
                  <w14:prstDash w14:val="solid"/>
                  <w14:miter w14:val="0"/>
                </w14:textOutline>
              </w:rPr>
              <w:t>要求</w:t>
            </w:r>
          </w:p>
        </w:tc>
        <w:tc>
          <w:tcPr>
            <w:tcW w:w="210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4" w:hRule="atLeast"/>
        </w:trPr>
        <w:tc>
          <w:tcPr>
            <w:tcW w:w="543"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0" w:line="187" w:lineRule="auto"/>
              <w:ind w:left="23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5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1" w:line="214" w:lineRule="auto"/>
              <w:ind w:left="232" w:right="19" w:hanging="2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ZH330328</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4"/>
                <w:sz w:val="21"/>
                <w:szCs w:val="21"/>
              </w:rPr>
              <w:t>10001</w:t>
            </w:r>
          </w:p>
        </w:tc>
        <w:tc>
          <w:tcPr>
            <w:tcW w:w="684"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20" w:lineRule="auto"/>
              <w:ind w:left="28"/>
            </w:pPr>
            <w:r>
              <w:rPr>
                <w:spacing w:val="-2"/>
              </w:rPr>
              <w:t>温州市</w:t>
            </w:r>
          </w:p>
          <w:p>
            <w:pPr>
              <w:pStyle w:val="6"/>
              <w:spacing w:before="21" w:line="222" w:lineRule="auto"/>
              <w:ind w:left="28"/>
            </w:pPr>
            <w:r>
              <w:rPr>
                <w:spacing w:val="-2"/>
              </w:rPr>
              <w:t>文成县</w:t>
            </w:r>
          </w:p>
          <w:p>
            <w:pPr>
              <w:pStyle w:val="6"/>
              <w:spacing w:before="21" w:line="224" w:lineRule="auto"/>
              <w:ind w:left="33"/>
            </w:pPr>
            <w:r>
              <w:rPr>
                <w:spacing w:val="-3"/>
              </w:rPr>
              <w:t>飞云江</w:t>
            </w:r>
          </w:p>
          <w:p>
            <w:pPr>
              <w:pStyle w:val="6"/>
              <w:spacing w:before="16" w:line="221" w:lineRule="auto"/>
              <w:ind w:left="26"/>
            </w:pPr>
            <w:r>
              <w:rPr>
                <w:spacing w:val="-2"/>
              </w:rPr>
              <w:t>饮用水</w:t>
            </w:r>
          </w:p>
          <w:p>
            <w:pPr>
              <w:pStyle w:val="6"/>
              <w:spacing w:before="23" w:line="221" w:lineRule="auto"/>
              <w:ind w:left="25"/>
            </w:pPr>
            <w:r>
              <w:rPr>
                <w:spacing w:val="-1"/>
              </w:rPr>
              <w:t>源保护</w:t>
            </w:r>
          </w:p>
          <w:p>
            <w:pPr>
              <w:pStyle w:val="6"/>
              <w:spacing w:before="18" w:line="221" w:lineRule="auto"/>
              <w:ind w:left="42"/>
            </w:pPr>
            <w:r>
              <w:rPr>
                <w:spacing w:val="-5"/>
              </w:rPr>
              <w:t>区水源</w:t>
            </w:r>
          </w:p>
          <w:p>
            <w:pPr>
              <w:pStyle w:val="6"/>
              <w:spacing w:before="22" w:line="221" w:lineRule="auto"/>
              <w:ind w:left="27"/>
            </w:pPr>
            <w:r>
              <w:rPr>
                <w:spacing w:val="-2"/>
              </w:rPr>
              <w:t>涵养生</w:t>
            </w:r>
          </w:p>
          <w:p>
            <w:pPr>
              <w:pStyle w:val="6"/>
              <w:spacing w:before="20" w:line="221" w:lineRule="auto"/>
              <w:ind w:left="26"/>
            </w:pPr>
            <w:r>
              <w:rPr>
                <w:spacing w:val="-2"/>
              </w:rPr>
              <w:t>态保护</w:t>
            </w:r>
          </w:p>
          <w:p>
            <w:pPr>
              <w:pStyle w:val="6"/>
              <w:spacing w:before="22" w:line="221" w:lineRule="auto"/>
              <w:ind w:left="31"/>
            </w:pPr>
            <w:r>
              <w:rPr>
                <w:spacing w:val="-3"/>
              </w:rPr>
              <w:t>红线优</w:t>
            </w:r>
          </w:p>
          <w:p>
            <w:pPr>
              <w:pStyle w:val="6"/>
              <w:spacing w:before="19" w:line="221" w:lineRule="auto"/>
              <w:ind w:left="31"/>
            </w:pPr>
            <w:r>
              <w:rPr>
                <w:spacing w:val="-2"/>
              </w:rPr>
              <w:t>先保护</w:t>
            </w:r>
          </w:p>
          <w:p>
            <w:pPr>
              <w:pStyle w:val="6"/>
              <w:spacing w:before="23" w:line="221" w:lineRule="auto"/>
              <w:ind w:left="134"/>
            </w:pPr>
            <w:r>
              <w:rPr>
                <w:spacing w:val="-2"/>
              </w:rPr>
              <w:t>单元</w:t>
            </w:r>
          </w:p>
        </w:tc>
        <w:tc>
          <w:tcPr>
            <w:tcW w:w="60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23" w:lineRule="auto"/>
              <w:ind w:left="92"/>
            </w:pPr>
            <w:r>
              <w:rPr>
                <w:spacing w:val="-2"/>
              </w:rPr>
              <w:t>浙江</w:t>
            </w:r>
          </w:p>
          <w:p>
            <w:pPr>
              <w:pStyle w:val="6"/>
              <w:spacing w:before="16" w:line="221" w:lineRule="auto"/>
              <w:ind w:left="200"/>
            </w:pPr>
            <w:r>
              <w:t>省</w:t>
            </w:r>
          </w:p>
        </w:tc>
        <w:tc>
          <w:tcPr>
            <w:tcW w:w="578"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9" w:line="220" w:lineRule="auto"/>
              <w:ind w:left="81"/>
            </w:pPr>
            <w:r>
              <w:rPr>
                <w:spacing w:val="-2"/>
              </w:rPr>
              <w:t>温州</w:t>
            </w:r>
          </w:p>
          <w:p>
            <w:pPr>
              <w:pStyle w:val="6"/>
              <w:spacing w:before="20" w:line="221" w:lineRule="auto"/>
              <w:ind w:left="190"/>
            </w:pPr>
            <w:r>
              <w:t>市</w:t>
            </w:r>
          </w:p>
        </w:tc>
        <w:tc>
          <w:tcPr>
            <w:tcW w:w="491"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32" w:lineRule="auto"/>
              <w:ind w:left="140" w:right="34" w:hanging="102"/>
            </w:pPr>
            <w:r>
              <w:rPr>
                <w:spacing w:val="-4"/>
              </w:rPr>
              <w:t>文成</w:t>
            </w:r>
            <w:r>
              <w:t xml:space="preserve"> 县</w:t>
            </w:r>
          </w:p>
        </w:tc>
        <w:tc>
          <w:tcPr>
            <w:tcW w:w="598"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33" w:lineRule="auto"/>
              <w:ind w:left="88" w:right="89" w:hanging="1"/>
              <w:jc w:val="both"/>
            </w:pPr>
            <w:r>
              <w:rPr>
                <w:spacing w:val="-3"/>
              </w:rPr>
              <w:t>优先</w:t>
            </w:r>
            <w:r>
              <w:t xml:space="preserve"> </w:t>
            </w:r>
            <w:r>
              <w:rPr>
                <w:spacing w:val="-4"/>
              </w:rPr>
              <w:t>保护</w:t>
            </w:r>
            <w:r>
              <w:t xml:space="preserve"> </w:t>
            </w:r>
            <w:r>
              <w:rPr>
                <w:spacing w:val="-4"/>
              </w:rPr>
              <w:t>单元</w:t>
            </w:r>
          </w:p>
        </w:tc>
        <w:tc>
          <w:tcPr>
            <w:tcW w:w="2652" w:type="dxa"/>
            <w:vAlign w:val="top"/>
          </w:tcPr>
          <w:p>
            <w:pPr>
              <w:spacing w:line="332" w:lineRule="auto"/>
              <w:rPr>
                <w:rFonts w:ascii="Arial"/>
                <w:sz w:val="21"/>
              </w:rPr>
            </w:pPr>
          </w:p>
          <w:p>
            <w:pPr>
              <w:spacing w:line="332" w:lineRule="auto"/>
              <w:rPr>
                <w:rFonts w:ascii="Arial"/>
                <w:sz w:val="21"/>
              </w:rPr>
            </w:pPr>
          </w:p>
          <w:p>
            <w:pPr>
              <w:pStyle w:val="6"/>
              <w:spacing w:before="68" w:line="238" w:lineRule="auto"/>
              <w:ind w:left="18"/>
              <w:jc w:val="both"/>
            </w:pPr>
            <w:r>
              <w:rPr>
                <w:spacing w:val="-16"/>
              </w:rPr>
              <w:t>禁止一切工业项目进入，现有</w:t>
            </w:r>
            <w:r>
              <w:rPr>
                <w:spacing w:val="5"/>
              </w:rPr>
              <w:t xml:space="preserve">  </w:t>
            </w:r>
            <w:r>
              <w:rPr>
                <w:spacing w:val="-16"/>
              </w:rPr>
              <w:t>的要限期关闭搬迁。严格执行</w:t>
            </w:r>
            <w:r>
              <w:rPr>
                <w:spacing w:val="5"/>
              </w:rPr>
              <w:t xml:space="preserve">  </w:t>
            </w:r>
            <w:r>
              <w:rPr>
                <w:spacing w:val="-4"/>
              </w:rPr>
              <w:t>《中华人民共和国水污染防</w:t>
            </w:r>
            <w:r>
              <w:rPr>
                <w:spacing w:val="4"/>
              </w:rPr>
              <w:t xml:space="preserve">  </w:t>
            </w:r>
            <w:r>
              <w:rPr>
                <w:spacing w:val="-16"/>
              </w:rPr>
              <w:t>治法》、《中华人民共和国水</w:t>
            </w:r>
            <w:r>
              <w:rPr>
                <w:spacing w:val="5"/>
              </w:rPr>
              <w:t xml:space="preserve">  </w:t>
            </w:r>
            <w:r>
              <w:rPr>
                <w:spacing w:val="-16"/>
              </w:rPr>
              <w:t>法》、《浙江省饮用水水源保</w:t>
            </w:r>
            <w:r>
              <w:rPr>
                <w:spacing w:val="5"/>
              </w:rPr>
              <w:t xml:space="preserve">  </w:t>
            </w:r>
            <w:r>
              <w:rPr>
                <w:spacing w:val="-16"/>
              </w:rPr>
              <w:t>护条例》、《集中式饮用水水</w:t>
            </w:r>
            <w:r>
              <w:rPr>
                <w:spacing w:val="5"/>
              </w:rPr>
              <w:t xml:space="preserve">  </w:t>
            </w:r>
            <w:r>
              <w:rPr>
                <w:spacing w:val="-4"/>
              </w:rPr>
              <w:t>源地规范化建设环境保护技</w:t>
            </w:r>
            <w:r>
              <w:rPr>
                <w:spacing w:val="4"/>
              </w:rPr>
              <w:t xml:space="preserve">  </w:t>
            </w:r>
            <w:r>
              <w:rPr>
                <w:spacing w:val="-21"/>
              </w:rPr>
              <w:t>术要求》（</w:t>
            </w:r>
            <w:r>
              <w:rPr>
                <w:rFonts w:ascii="Times New Roman" w:hAnsi="Times New Roman" w:eastAsia="Times New Roman" w:cs="Times New Roman"/>
                <w:spacing w:val="-21"/>
              </w:rPr>
              <w:t>HJ773-2015</w:t>
            </w:r>
            <w:r>
              <w:rPr>
                <w:spacing w:val="-21"/>
              </w:rPr>
              <w:t>）、《温</w:t>
            </w:r>
            <w:r>
              <w:rPr>
                <w:spacing w:val="2"/>
              </w:rPr>
              <w:t xml:space="preserve">  </w:t>
            </w:r>
            <w:r>
              <w:rPr>
                <w:spacing w:val="-4"/>
              </w:rPr>
              <w:t>州市集中式饮用水水源地环</w:t>
            </w:r>
            <w:r>
              <w:rPr>
                <w:spacing w:val="4"/>
              </w:rPr>
              <w:t xml:space="preserve">  </w:t>
            </w:r>
            <w:r>
              <w:rPr>
                <w:spacing w:val="-8"/>
              </w:rPr>
              <w:t>境保护规范化管理实施办法》</w:t>
            </w:r>
            <w:r>
              <w:rPr>
                <w:spacing w:val="1"/>
              </w:rPr>
              <w:t xml:space="preserve"> </w:t>
            </w:r>
            <w:r>
              <w:rPr>
                <w:spacing w:val="-9"/>
              </w:rPr>
              <w:t>（温政办〔</w:t>
            </w:r>
            <w:r>
              <w:rPr>
                <w:rFonts w:ascii="Times New Roman" w:hAnsi="Times New Roman" w:eastAsia="Times New Roman" w:cs="Times New Roman"/>
                <w:spacing w:val="-9"/>
              </w:rPr>
              <w:t>2018</w:t>
            </w:r>
            <w:r>
              <w:rPr>
                <w:spacing w:val="-9"/>
              </w:rPr>
              <w:t>〕</w:t>
            </w:r>
            <w:r>
              <w:rPr>
                <w:rFonts w:ascii="Times New Roman" w:hAnsi="Times New Roman" w:eastAsia="Times New Roman" w:cs="Times New Roman"/>
                <w:spacing w:val="-9"/>
              </w:rPr>
              <w:t xml:space="preserve">129 </w:t>
            </w:r>
            <w:r>
              <w:rPr>
                <w:spacing w:val="-9"/>
              </w:rPr>
              <w:t>号）等</w:t>
            </w:r>
            <w:r>
              <w:rPr>
                <w:spacing w:val="4"/>
              </w:rPr>
              <w:t xml:space="preserve">  </w:t>
            </w:r>
            <w:r>
              <w:rPr>
                <w:spacing w:val="-16"/>
              </w:rPr>
              <w:t>有关规定，按饮用水源一级保</w:t>
            </w:r>
            <w:r>
              <w:rPr>
                <w:spacing w:val="5"/>
              </w:rPr>
              <w:t xml:space="preserve">  </w:t>
            </w:r>
            <w:r>
              <w:rPr>
                <w:spacing w:val="-4"/>
              </w:rPr>
              <w:t>护区和饮用水源二级保护区</w:t>
            </w:r>
            <w:r>
              <w:rPr>
                <w:spacing w:val="4"/>
              </w:rPr>
              <w:t xml:space="preserve">  </w:t>
            </w:r>
            <w:r>
              <w:rPr>
                <w:spacing w:val="-16"/>
              </w:rPr>
              <w:t>分区管控。严格执行畜禽养殖</w:t>
            </w:r>
            <w:r>
              <w:rPr>
                <w:spacing w:val="5"/>
              </w:rPr>
              <w:t xml:space="preserve">  </w:t>
            </w:r>
            <w:r>
              <w:rPr>
                <w:spacing w:val="-16"/>
              </w:rPr>
              <w:t>禁养区规定，控制湖库型饮用</w:t>
            </w:r>
            <w:r>
              <w:rPr>
                <w:spacing w:val="5"/>
              </w:rPr>
              <w:t xml:space="preserve">  </w:t>
            </w:r>
            <w:r>
              <w:rPr>
                <w:spacing w:val="-3"/>
              </w:rPr>
              <w:t>水源集雨区规模化畜禽养殖</w:t>
            </w:r>
          </w:p>
          <w:p>
            <w:pPr>
              <w:pStyle w:val="6"/>
              <w:spacing w:before="19" w:line="221" w:lineRule="auto"/>
              <w:ind w:left="809"/>
            </w:pPr>
            <w:r>
              <w:rPr>
                <w:spacing w:val="-5"/>
              </w:rPr>
              <w:t>项目规模。</w:t>
            </w:r>
          </w:p>
        </w:tc>
        <w:tc>
          <w:tcPr>
            <w:tcW w:w="175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3" w:lineRule="auto"/>
              <w:ind w:left="84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2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9" w:line="232" w:lineRule="auto"/>
              <w:ind w:left="496"/>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431"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1" w:line="233" w:lineRule="auto"/>
              <w:ind w:left="68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08" w:type="dxa"/>
            <w:vAlign w:val="top"/>
          </w:tcPr>
          <w:p>
            <w:pPr>
              <w:pStyle w:val="6"/>
              <w:spacing w:before="50" w:line="233" w:lineRule="auto"/>
              <w:ind w:left="24" w:right="13" w:firstLine="88"/>
              <w:jc w:val="both"/>
            </w:pPr>
            <w:r>
              <w:rPr>
                <w:spacing w:val="-1"/>
              </w:rPr>
              <w:t>本工程位于珊溪水库</w:t>
            </w:r>
            <w:r>
              <w:rPr>
                <w:spacing w:val="1"/>
              </w:rPr>
              <w:t xml:space="preserve">  </w:t>
            </w:r>
            <w:r>
              <w:rPr>
                <w:spacing w:val="9"/>
              </w:rPr>
              <w:t>饮用水源保护区准保</w:t>
            </w:r>
            <w:r>
              <w:t xml:space="preserve">  </w:t>
            </w:r>
            <w:r>
              <w:rPr>
                <w:spacing w:val="-4"/>
              </w:rPr>
              <w:t>护区范围内。根据最新</w:t>
            </w:r>
          </w:p>
          <w:p>
            <w:pPr>
              <w:pStyle w:val="6"/>
              <w:spacing w:before="27" w:line="238" w:lineRule="auto"/>
              <w:ind w:left="22" w:right="13" w:firstLine="118"/>
            </w:pPr>
            <w:r>
              <w:rPr>
                <w:spacing w:val="-3"/>
              </w:rPr>
              <w:t>的</w:t>
            </w:r>
            <w:r>
              <w:rPr>
                <w:rFonts w:ascii="Times New Roman" w:hAnsi="Times New Roman" w:eastAsia="Times New Roman" w:cs="Times New Roman"/>
                <w:spacing w:val="-3"/>
              </w:rPr>
              <w:t>“</w:t>
            </w:r>
            <w:r>
              <w:rPr>
                <w:spacing w:val="-3"/>
              </w:rPr>
              <w:t>三区三线</w:t>
            </w:r>
            <w:r>
              <w:rPr>
                <w:rFonts w:ascii="Times New Roman" w:hAnsi="Times New Roman" w:eastAsia="Times New Roman" w:cs="Times New Roman"/>
                <w:spacing w:val="-3"/>
              </w:rPr>
              <w:t>”</w:t>
            </w:r>
            <w:r>
              <w:rPr>
                <w:spacing w:val="-3"/>
              </w:rPr>
              <w:t>划定成</w:t>
            </w:r>
            <w:r>
              <w:rPr>
                <w:spacing w:val="3"/>
              </w:rPr>
              <w:t xml:space="preserve">  </w:t>
            </w:r>
            <w:r>
              <w:rPr>
                <w:spacing w:val="-11"/>
              </w:rPr>
              <w:t>果，</w:t>
            </w:r>
            <w:r>
              <w:rPr>
                <w:spacing w:val="-29"/>
              </w:rPr>
              <w:t xml:space="preserve"> </w:t>
            </w:r>
            <w:r>
              <w:rPr>
                <w:spacing w:val="-11"/>
              </w:rPr>
              <w:t>已取消此处生态保</w:t>
            </w:r>
            <w:r>
              <w:t xml:space="preserve"> </w:t>
            </w:r>
            <w:r>
              <w:rPr>
                <w:spacing w:val="-4"/>
              </w:rPr>
              <w:t>护红线。本项目施工期</w:t>
            </w:r>
            <w:r>
              <w:rPr>
                <w:spacing w:val="5"/>
              </w:rPr>
              <w:t xml:space="preserve"> </w:t>
            </w:r>
            <w:r>
              <w:rPr>
                <w:spacing w:val="9"/>
              </w:rPr>
              <w:t>生产废水经处理后回</w:t>
            </w:r>
            <w:r>
              <w:rPr>
                <w:spacing w:val="1"/>
              </w:rPr>
              <w:t xml:space="preserve">  </w:t>
            </w:r>
            <w:r>
              <w:rPr>
                <w:spacing w:val="-9"/>
              </w:rPr>
              <w:t>用，</w:t>
            </w:r>
            <w:r>
              <w:rPr>
                <w:spacing w:val="-50"/>
              </w:rPr>
              <w:t xml:space="preserve"> </w:t>
            </w:r>
            <w:r>
              <w:rPr>
                <w:spacing w:val="-9"/>
              </w:rPr>
              <w:t>生活污水经处理后</w:t>
            </w:r>
            <w:r>
              <w:t xml:space="preserve"> </w:t>
            </w:r>
            <w:r>
              <w:rPr>
                <w:spacing w:val="-4"/>
              </w:rPr>
              <w:t>清运灌溉山林。施工期</w:t>
            </w:r>
            <w:r>
              <w:rPr>
                <w:spacing w:val="5"/>
              </w:rPr>
              <w:t xml:space="preserve"> </w:t>
            </w:r>
            <w:r>
              <w:rPr>
                <w:spacing w:val="-4"/>
              </w:rPr>
              <w:t>扬尘等采用洒水降尘，</w:t>
            </w:r>
            <w:r>
              <w:rPr>
                <w:spacing w:val="5"/>
              </w:rPr>
              <w:t xml:space="preserve"> </w:t>
            </w:r>
            <w:r>
              <w:rPr>
                <w:spacing w:val="9"/>
              </w:rPr>
              <w:t>运营期主要为汽车尾</w:t>
            </w:r>
            <w:r>
              <w:rPr>
                <w:spacing w:val="1"/>
              </w:rPr>
              <w:t xml:space="preserve">  </w:t>
            </w:r>
            <w:r>
              <w:rPr>
                <w:spacing w:val="-10"/>
              </w:rPr>
              <w:t>气，</w:t>
            </w:r>
            <w:r>
              <w:rPr>
                <w:spacing w:val="-40"/>
              </w:rPr>
              <w:t xml:space="preserve"> </w:t>
            </w:r>
            <w:r>
              <w:rPr>
                <w:spacing w:val="-10"/>
              </w:rPr>
              <w:t>随着新能源车辆的</w:t>
            </w:r>
            <w:r>
              <w:t xml:space="preserve"> </w:t>
            </w:r>
            <w:r>
              <w:rPr>
                <w:spacing w:val="-9"/>
              </w:rPr>
              <w:t>推广，</w:t>
            </w:r>
            <w:r>
              <w:rPr>
                <w:spacing w:val="60"/>
              </w:rPr>
              <w:t xml:space="preserve"> </w:t>
            </w:r>
            <w:r>
              <w:rPr>
                <w:spacing w:val="-9"/>
              </w:rPr>
              <w:t>尾气产生量降</w:t>
            </w:r>
            <w:r>
              <w:t xml:space="preserve">  </w:t>
            </w:r>
            <w:r>
              <w:rPr>
                <w:spacing w:val="-9"/>
              </w:rPr>
              <w:t>低，</w:t>
            </w:r>
            <w:r>
              <w:rPr>
                <w:spacing w:val="-50"/>
              </w:rPr>
              <w:t xml:space="preserve"> </w:t>
            </w:r>
            <w:r>
              <w:rPr>
                <w:spacing w:val="-9"/>
              </w:rPr>
              <w:t>对周边环境影响较</w:t>
            </w:r>
            <w:r>
              <w:t xml:space="preserve"> </w:t>
            </w:r>
            <w:r>
              <w:rPr>
                <w:spacing w:val="-4"/>
              </w:rPr>
              <w:t>小。施工期采用隔声降</w:t>
            </w:r>
            <w:r>
              <w:rPr>
                <w:spacing w:val="5"/>
              </w:rPr>
              <w:t xml:space="preserve"> </w:t>
            </w:r>
            <w:r>
              <w:rPr>
                <w:spacing w:val="9"/>
              </w:rPr>
              <w:t>噪措施降低对周边环</w:t>
            </w:r>
            <w:r>
              <w:rPr>
                <w:spacing w:val="1"/>
              </w:rPr>
              <w:t xml:space="preserve">  </w:t>
            </w:r>
            <w:r>
              <w:rPr>
                <w:spacing w:val="-4"/>
              </w:rPr>
              <w:t>境的影响。运营期采用</w:t>
            </w:r>
            <w:r>
              <w:rPr>
                <w:spacing w:val="5"/>
              </w:rPr>
              <w:t xml:space="preserve"> </w:t>
            </w:r>
            <w:r>
              <w:rPr>
                <w:spacing w:val="9"/>
              </w:rPr>
              <w:t>隔声屏障及隔声窗等</w:t>
            </w:r>
            <w:r>
              <w:rPr>
                <w:spacing w:val="1"/>
              </w:rPr>
              <w:t xml:space="preserve">  </w:t>
            </w:r>
            <w:r>
              <w:rPr>
                <w:spacing w:val="9"/>
              </w:rPr>
              <w:t>措施降低对周边环境</w:t>
            </w:r>
            <w:r>
              <w:rPr>
                <w:spacing w:val="1"/>
              </w:rPr>
              <w:t xml:space="preserve">  </w:t>
            </w:r>
            <w:r>
              <w:rPr>
                <w:spacing w:val="-4"/>
              </w:rPr>
              <w:t>目标的影响。因此本项</w:t>
            </w:r>
          </w:p>
          <w:p>
            <w:pPr>
              <w:pStyle w:val="6"/>
              <w:spacing w:before="20" w:line="223" w:lineRule="auto"/>
              <w:ind w:left="850" w:right="104" w:hanging="698"/>
            </w:pPr>
            <w:r>
              <w:rPr>
                <w:spacing w:val="-5"/>
              </w:rPr>
              <w:t>目的建设符合管控要</w:t>
            </w:r>
            <w:r>
              <w:t xml:space="preserve"> </w:t>
            </w:r>
            <w:r>
              <w:rPr>
                <w:spacing w:val="-10"/>
              </w:rPr>
              <w:t>求。</w:t>
            </w:r>
          </w:p>
        </w:tc>
      </w:tr>
    </w:tbl>
    <w:p>
      <w:pPr>
        <w:pStyle w:val="2"/>
      </w:pPr>
    </w:p>
    <w:p>
      <w:pPr>
        <w:sectPr>
          <w:headerReference r:id="rId73" w:type="default"/>
          <w:footerReference r:id="rId74" w:type="default"/>
          <w:pgSz w:w="16839" w:h="11907"/>
          <w:pgMar w:top="1118" w:right="1303" w:bottom="1184" w:left="1305" w:header="879" w:footer="1024" w:gutter="0"/>
          <w:cols w:space="720" w:num="1"/>
        </w:sectPr>
      </w:pPr>
    </w:p>
    <w:p>
      <w:pPr>
        <w:spacing w:before="104"/>
      </w:pPr>
    </w:p>
    <w:tbl>
      <w:tblPr>
        <w:tblStyle w:val="5"/>
        <w:tblW w:w="142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3"/>
        <w:gridCol w:w="953"/>
        <w:gridCol w:w="684"/>
        <w:gridCol w:w="600"/>
        <w:gridCol w:w="578"/>
        <w:gridCol w:w="491"/>
        <w:gridCol w:w="598"/>
        <w:gridCol w:w="2652"/>
        <w:gridCol w:w="1759"/>
        <w:gridCol w:w="1827"/>
        <w:gridCol w:w="1431"/>
        <w:gridCol w:w="21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43" w:type="dxa"/>
            <w:vMerge w:val="restart"/>
            <w:tcBorders>
              <w:bottom w:val="nil"/>
            </w:tcBorders>
            <w:vAlign w:val="top"/>
          </w:tcPr>
          <w:p>
            <w:pPr>
              <w:spacing w:line="268" w:lineRule="auto"/>
              <w:rPr>
                <w:rFonts w:ascii="Arial"/>
                <w:sz w:val="21"/>
              </w:rPr>
            </w:pPr>
          </w:p>
          <w:p>
            <w:pPr>
              <w:spacing w:line="268" w:lineRule="auto"/>
              <w:rPr>
                <w:rFonts w:ascii="Arial"/>
                <w:sz w:val="21"/>
              </w:rPr>
            </w:pPr>
          </w:p>
          <w:p>
            <w:pPr>
              <w:pStyle w:val="6"/>
              <w:spacing w:before="68" w:line="222" w:lineRule="auto"/>
              <w:ind w:left="62"/>
            </w:pPr>
            <w:r>
              <w:rPr>
                <w:spacing w:val="-2"/>
                <w14:textOutline w14:w="3831" w14:cap="flat" w14:cmpd="sng">
                  <w14:solidFill>
                    <w14:srgbClr w14:val="000000"/>
                  </w14:solidFill>
                  <w14:prstDash w14:val="solid"/>
                  <w14:miter w14:val="0"/>
                </w14:textOutline>
              </w:rPr>
              <w:t>序号</w:t>
            </w:r>
          </w:p>
        </w:tc>
        <w:tc>
          <w:tcPr>
            <w:tcW w:w="953" w:type="dxa"/>
            <w:vMerge w:val="restart"/>
            <w:tcBorders>
              <w:bottom w:val="nil"/>
            </w:tcBorders>
            <w:vAlign w:val="top"/>
          </w:tcPr>
          <w:p>
            <w:pPr>
              <w:spacing w:line="399" w:lineRule="auto"/>
              <w:rPr>
                <w:rFonts w:ascii="Arial"/>
                <w:sz w:val="21"/>
              </w:rPr>
            </w:pPr>
          </w:p>
          <w:p>
            <w:pPr>
              <w:pStyle w:val="6"/>
              <w:spacing w:before="68" w:line="231" w:lineRule="auto"/>
              <w:ind w:left="59" w:right="53" w:hanging="1"/>
            </w:pPr>
            <w:r>
              <w:rPr>
                <w:spacing w:val="-1"/>
                <w14:textOutline w14:w="3831" w14:cap="flat" w14:cmpd="sng">
                  <w14:solidFill>
                    <w14:srgbClr w14:val="000000"/>
                  </w14:solidFill>
                  <w14:prstDash w14:val="solid"/>
                  <w14:miter w14:val="0"/>
                </w14:textOutline>
              </w:rPr>
              <w:t>环境管控</w:t>
            </w:r>
            <w:r>
              <w:t xml:space="preserve"> </w:t>
            </w:r>
            <w:r>
              <w:rPr>
                <w:spacing w:val="-2"/>
                <w14:textOutline w14:w="3831" w14:cap="flat" w14:cmpd="sng">
                  <w14:solidFill>
                    <w14:srgbClr w14:val="000000"/>
                  </w14:solidFill>
                  <w14:prstDash w14:val="solid"/>
                  <w14:miter w14:val="0"/>
                </w14:textOutline>
              </w:rPr>
              <w:t>单元编码</w:t>
            </w:r>
          </w:p>
        </w:tc>
        <w:tc>
          <w:tcPr>
            <w:tcW w:w="684" w:type="dxa"/>
            <w:vMerge w:val="restart"/>
            <w:tcBorders>
              <w:bottom w:val="nil"/>
            </w:tcBorders>
            <w:vAlign w:val="top"/>
          </w:tcPr>
          <w:p>
            <w:pPr>
              <w:spacing w:line="266" w:lineRule="auto"/>
              <w:rPr>
                <w:rFonts w:ascii="Arial"/>
                <w:sz w:val="21"/>
              </w:rPr>
            </w:pPr>
          </w:p>
          <w:p>
            <w:pPr>
              <w:pStyle w:val="6"/>
              <w:spacing w:before="68" w:line="221" w:lineRule="auto"/>
              <w:ind w:left="26"/>
            </w:pPr>
            <w:r>
              <w:rPr>
                <w:spacing w:val="-2"/>
                <w14:textOutline w14:w="3831" w14:cap="flat" w14:cmpd="sng">
                  <w14:solidFill>
                    <w14:srgbClr w14:val="000000"/>
                  </w14:solidFill>
                  <w14:prstDash w14:val="solid"/>
                  <w14:miter w14:val="0"/>
                </w14:textOutline>
              </w:rPr>
              <w:t>环境管</w:t>
            </w:r>
          </w:p>
          <w:p>
            <w:pPr>
              <w:pStyle w:val="6"/>
              <w:spacing w:before="20" w:line="221" w:lineRule="auto"/>
              <w:ind w:left="25"/>
            </w:pPr>
            <w:r>
              <w:rPr>
                <w:spacing w:val="-1"/>
                <w14:textOutline w14:w="3831" w14:cap="flat" w14:cmpd="sng">
                  <w14:solidFill>
                    <w14:srgbClr w14:val="000000"/>
                  </w14:solidFill>
                  <w14:prstDash w14:val="solid"/>
                  <w14:miter w14:val="0"/>
                </w14:textOutline>
              </w:rPr>
              <w:t>控单元</w:t>
            </w:r>
          </w:p>
          <w:p>
            <w:pPr>
              <w:pStyle w:val="6"/>
              <w:spacing w:before="21" w:line="223" w:lineRule="auto"/>
              <w:ind w:left="134"/>
            </w:pPr>
            <w:r>
              <w:rPr>
                <w:spacing w:val="-3"/>
                <w14:textOutline w14:w="3831" w14:cap="flat" w14:cmpd="sng">
                  <w14:solidFill>
                    <w14:srgbClr w14:val="000000"/>
                  </w14:solidFill>
                  <w14:prstDash w14:val="solid"/>
                  <w14:miter w14:val="0"/>
                </w14:textOutline>
              </w:rPr>
              <w:t>名称</w:t>
            </w:r>
          </w:p>
        </w:tc>
        <w:tc>
          <w:tcPr>
            <w:tcW w:w="1669" w:type="dxa"/>
            <w:gridSpan w:val="3"/>
            <w:vAlign w:val="top"/>
          </w:tcPr>
          <w:p>
            <w:pPr>
              <w:spacing w:line="252" w:lineRule="auto"/>
              <w:rPr>
                <w:rFonts w:ascii="Arial"/>
                <w:sz w:val="21"/>
              </w:rPr>
            </w:pPr>
          </w:p>
          <w:p>
            <w:pPr>
              <w:pStyle w:val="6"/>
              <w:spacing w:before="69" w:line="221" w:lineRule="auto"/>
              <w:ind w:left="421"/>
            </w:pPr>
            <w:r>
              <w:rPr>
                <w:spacing w:val="-2"/>
                <w14:textOutline w14:w="3831" w14:cap="flat" w14:cmpd="sng">
                  <w14:solidFill>
                    <w14:srgbClr w14:val="000000"/>
                  </w14:solidFill>
                  <w14:prstDash w14:val="solid"/>
                  <w14:miter w14:val="0"/>
                </w14:textOutline>
              </w:rPr>
              <w:t>行政区划</w:t>
            </w:r>
          </w:p>
        </w:tc>
        <w:tc>
          <w:tcPr>
            <w:tcW w:w="598" w:type="dxa"/>
            <w:vAlign w:val="top"/>
          </w:tcPr>
          <w:p>
            <w:pPr>
              <w:pStyle w:val="6"/>
              <w:spacing w:before="50" w:line="228" w:lineRule="auto"/>
              <w:ind w:left="102" w:right="77" w:firstLine="3"/>
              <w:jc w:val="both"/>
            </w:pPr>
            <w:r>
              <w:rPr>
                <w:spacing w:val="-6"/>
                <w14:textOutline w14:w="3831" w14:cap="flat" w14:cmpd="sng">
                  <w14:solidFill>
                    <w14:srgbClr w14:val="000000"/>
                  </w14:solidFill>
                  <w14:prstDash w14:val="solid"/>
                  <w14:miter w14:val="0"/>
                </w14:textOutline>
              </w:rPr>
              <w:t>管控</w:t>
            </w:r>
            <w:r>
              <w:t xml:space="preserve"> </w:t>
            </w:r>
            <w:r>
              <w:rPr>
                <w:spacing w:val="-4"/>
                <w14:textOutline w14:w="3831" w14:cap="flat" w14:cmpd="sng">
                  <w14:solidFill>
                    <w14:srgbClr w14:val="000000"/>
                  </w14:solidFill>
                  <w14:prstDash w14:val="solid"/>
                  <w14:miter w14:val="0"/>
                </w14:textOutline>
              </w:rPr>
              <w:t>单元</w:t>
            </w:r>
            <w:r>
              <w:t xml:space="preserve"> </w:t>
            </w:r>
            <w:r>
              <w:rPr>
                <w:spacing w:val="-4"/>
                <w14:textOutline w14:w="3831" w14:cap="flat" w14:cmpd="sng">
                  <w14:solidFill>
                    <w14:srgbClr w14:val="000000"/>
                  </w14:solidFill>
                  <w14:prstDash w14:val="solid"/>
                  <w14:miter w14:val="0"/>
                </w14:textOutline>
              </w:rPr>
              <w:t>分类</w:t>
            </w:r>
          </w:p>
        </w:tc>
        <w:tc>
          <w:tcPr>
            <w:tcW w:w="7669" w:type="dxa"/>
            <w:gridSpan w:val="4"/>
            <w:vAlign w:val="top"/>
          </w:tcPr>
          <w:p>
            <w:pPr>
              <w:spacing w:line="252" w:lineRule="auto"/>
              <w:rPr>
                <w:rFonts w:ascii="Arial"/>
                <w:sz w:val="21"/>
              </w:rPr>
            </w:pPr>
          </w:p>
          <w:p>
            <w:pPr>
              <w:pStyle w:val="6"/>
              <w:spacing w:before="68" w:line="221" w:lineRule="auto"/>
              <w:ind w:left="3427"/>
            </w:pPr>
            <w:r>
              <w:rPr>
                <w:spacing w:val="-2"/>
                <w14:textOutline w14:w="3831" w14:cap="flat" w14:cmpd="sng">
                  <w14:solidFill>
                    <w14:srgbClr w14:val="000000"/>
                  </w14:solidFill>
                  <w14:prstDash w14:val="solid"/>
                  <w14:miter w14:val="0"/>
                </w14:textOutline>
              </w:rPr>
              <w:t>管控要求</w:t>
            </w:r>
          </w:p>
        </w:tc>
        <w:tc>
          <w:tcPr>
            <w:tcW w:w="2108" w:type="dxa"/>
            <w:vAlign w:val="top"/>
          </w:tcPr>
          <w:p>
            <w:pPr>
              <w:spacing w:line="252" w:lineRule="auto"/>
              <w:rPr>
                <w:rFonts w:ascii="Arial"/>
                <w:sz w:val="21"/>
              </w:rPr>
            </w:pPr>
          </w:p>
          <w:p>
            <w:pPr>
              <w:pStyle w:val="6"/>
              <w:spacing w:before="68" w:line="221" w:lineRule="auto"/>
              <w:ind w:left="534"/>
            </w:pPr>
            <w:r>
              <w:rPr>
                <w:spacing w:val="-1"/>
                <w14:textOutline w14:w="3831" w14:cap="flat" w14:cmpd="sng">
                  <w14:solidFill>
                    <w14:srgbClr w14:val="000000"/>
                  </w14:solidFill>
                  <w14:prstDash w14:val="solid"/>
                  <w14:miter w14:val="0"/>
                </w14:textOutline>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43" w:type="dxa"/>
            <w:vMerge w:val="continue"/>
            <w:tcBorders>
              <w:top w:val="nil"/>
            </w:tcBorders>
            <w:vAlign w:val="top"/>
          </w:tcPr>
          <w:p>
            <w:pPr>
              <w:rPr>
                <w:rFonts w:ascii="Arial"/>
                <w:sz w:val="21"/>
              </w:rPr>
            </w:pPr>
          </w:p>
        </w:tc>
        <w:tc>
          <w:tcPr>
            <w:tcW w:w="953" w:type="dxa"/>
            <w:vMerge w:val="continue"/>
            <w:tcBorders>
              <w:top w:val="nil"/>
            </w:tcBorders>
            <w:vAlign w:val="top"/>
          </w:tcPr>
          <w:p>
            <w:pPr>
              <w:rPr>
                <w:rFonts w:ascii="Arial"/>
                <w:sz w:val="21"/>
              </w:rPr>
            </w:pPr>
          </w:p>
        </w:tc>
        <w:tc>
          <w:tcPr>
            <w:tcW w:w="684" w:type="dxa"/>
            <w:vMerge w:val="continue"/>
            <w:tcBorders>
              <w:top w:val="nil"/>
            </w:tcBorders>
            <w:vAlign w:val="top"/>
          </w:tcPr>
          <w:p>
            <w:pPr>
              <w:rPr>
                <w:rFonts w:ascii="Arial"/>
                <w:sz w:val="21"/>
              </w:rPr>
            </w:pPr>
          </w:p>
        </w:tc>
        <w:tc>
          <w:tcPr>
            <w:tcW w:w="600" w:type="dxa"/>
            <w:vAlign w:val="top"/>
          </w:tcPr>
          <w:p>
            <w:pPr>
              <w:pStyle w:val="6"/>
              <w:spacing w:before="185" w:line="221" w:lineRule="auto"/>
              <w:ind w:left="200"/>
            </w:pPr>
            <w:r>
              <w:rPr>
                <w14:textOutline w14:w="3831" w14:cap="flat" w14:cmpd="sng">
                  <w14:solidFill>
                    <w14:srgbClr w14:val="000000"/>
                  </w14:solidFill>
                  <w14:prstDash w14:val="solid"/>
                  <w14:miter w14:val="0"/>
                </w14:textOutline>
              </w:rPr>
              <w:t>省</w:t>
            </w:r>
          </w:p>
        </w:tc>
        <w:tc>
          <w:tcPr>
            <w:tcW w:w="578" w:type="dxa"/>
            <w:vAlign w:val="top"/>
          </w:tcPr>
          <w:p>
            <w:pPr>
              <w:pStyle w:val="6"/>
              <w:spacing w:before="185" w:line="221" w:lineRule="auto"/>
              <w:ind w:left="190"/>
            </w:pPr>
            <w:r>
              <w:rPr>
                <w14:textOutline w14:w="3831" w14:cap="flat" w14:cmpd="sng">
                  <w14:solidFill>
                    <w14:srgbClr w14:val="000000"/>
                  </w14:solidFill>
                  <w14:prstDash w14:val="solid"/>
                  <w14:miter w14:val="0"/>
                </w14:textOutline>
              </w:rPr>
              <w:t>市</w:t>
            </w:r>
          </w:p>
        </w:tc>
        <w:tc>
          <w:tcPr>
            <w:tcW w:w="491" w:type="dxa"/>
            <w:vAlign w:val="top"/>
          </w:tcPr>
          <w:p>
            <w:pPr>
              <w:pStyle w:val="6"/>
              <w:spacing w:before="186" w:line="225" w:lineRule="auto"/>
              <w:ind w:left="140"/>
            </w:pPr>
            <w:r>
              <w:rPr>
                <w14:textOutline w14:w="3831" w14:cap="flat" w14:cmpd="sng">
                  <w14:solidFill>
                    <w14:srgbClr w14:val="000000"/>
                  </w14:solidFill>
                  <w14:prstDash w14:val="solid"/>
                  <w14:miter w14:val="0"/>
                </w14:textOutline>
              </w:rPr>
              <w:t>县</w:t>
            </w:r>
          </w:p>
        </w:tc>
        <w:tc>
          <w:tcPr>
            <w:tcW w:w="598" w:type="dxa"/>
            <w:vAlign w:val="top"/>
          </w:tcPr>
          <w:p>
            <w:pPr>
              <w:rPr>
                <w:rFonts w:ascii="Arial"/>
                <w:sz w:val="21"/>
              </w:rPr>
            </w:pPr>
          </w:p>
        </w:tc>
        <w:tc>
          <w:tcPr>
            <w:tcW w:w="2652" w:type="dxa"/>
            <w:vAlign w:val="top"/>
          </w:tcPr>
          <w:p>
            <w:pPr>
              <w:pStyle w:val="6"/>
              <w:spacing w:before="186" w:line="220" w:lineRule="auto"/>
              <w:ind w:left="704"/>
            </w:pPr>
            <w:r>
              <w:rPr>
                <w:spacing w:val="-2"/>
                <w14:textOutline w14:w="3831" w14:cap="flat" w14:cmpd="sng">
                  <w14:solidFill>
                    <w14:srgbClr w14:val="000000"/>
                  </w14:solidFill>
                  <w14:prstDash w14:val="solid"/>
                  <w14:miter w14:val="0"/>
                </w14:textOutline>
              </w:rPr>
              <w:t>空间布局约束</w:t>
            </w:r>
          </w:p>
        </w:tc>
        <w:tc>
          <w:tcPr>
            <w:tcW w:w="1759" w:type="dxa"/>
            <w:vAlign w:val="top"/>
          </w:tcPr>
          <w:p>
            <w:pPr>
              <w:pStyle w:val="6"/>
              <w:spacing w:before="185" w:line="221" w:lineRule="auto"/>
              <w:ind w:left="150"/>
            </w:pPr>
            <w:r>
              <w:rPr>
                <w:spacing w:val="-1"/>
                <w14:textOutline w14:w="3831" w14:cap="flat" w14:cmpd="sng">
                  <w14:solidFill>
                    <w14:srgbClr w14:val="000000"/>
                  </w14:solidFill>
                  <w14:prstDash w14:val="solid"/>
                  <w14:miter w14:val="0"/>
                </w14:textOutline>
              </w:rPr>
              <w:t>污染物排放管控</w:t>
            </w:r>
          </w:p>
        </w:tc>
        <w:tc>
          <w:tcPr>
            <w:tcW w:w="1827" w:type="dxa"/>
            <w:vAlign w:val="top"/>
          </w:tcPr>
          <w:p>
            <w:pPr>
              <w:pStyle w:val="6"/>
              <w:spacing w:before="186" w:line="221" w:lineRule="auto"/>
              <w:ind w:left="288"/>
            </w:pPr>
            <w:r>
              <w:rPr>
                <w:spacing w:val="-1"/>
                <w14:textOutline w14:w="3831" w14:cap="flat" w14:cmpd="sng">
                  <w14:solidFill>
                    <w14:srgbClr w14:val="000000"/>
                  </w14:solidFill>
                  <w14:prstDash w14:val="solid"/>
                  <w14:miter w14:val="0"/>
                </w14:textOutline>
              </w:rPr>
              <w:t>环境风险防控</w:t>
            </w:r>
          </w:p>
        </w:tc>
        <w:tc>
          <w:tcPr>
            <w:tcW w:w="1431" w:type="dxa"/>
            <w:vAlign w:val="top"/>
          </w:tcPr>
          <w:p>
            <w:pPr>
              <w:pStyle w:val="6"/>
              <w:spacing w:before="49" w:line="222" w:lineRule="auto"/>
              <w:ind w:left="511" w:right="75" w:hanging="411"/>
            </w:pPr>
            <w:r>
              <w:rPr>
                <w:spacing w:val="-2"/>
                <w14:textOutline w14:w="3831" w14:cap="flat" w14:cmpd="sng">
                  <w14:solidFill>
                    <w14:srgbClr w14:val="000000"/>
                  </w14:solidFill>
                  <w14:prstDash w14:val="solid"/>
                  <w14:miter w14:val="0"/>
                </w14:textOutline>
              </w:rPr>
              <w:t>资源开发效率</w:t>
            </w:r>
            <w:r>
              <w:t xml:space="preserve"> </w:t>
            </w:r>
            <w:r>
              <w:rPr>
                <w:spacing w:val="-2"/>
                <w14:textOutline w14:w="3831" w14:cap="flat" w14:cmpd="sng">
                  <w14:solidFill>
                    <w14:srgbClr w14:val="000000"/>
                  </w14:solidFill>
                  <w14:prstDash w14:val="solid"/>
                  <w14:miter w14:val="0"/>
                </w14:textOutline>
              </w:rPr>
              <w:t>要求</w:t>
            </w:r>
          </w:p>
        </w:tc>
        <w:tc>
          <w:tcPr>
            <w:tcW w:w="210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9" w:hRule="atLeast"/>
        </w:trPr>
        <w:tc>
          <w:tcPr>
            <w:tcW w:w="54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0" w:line="187" w:lineRule="auto"/>
              <w:ind w:left="217"/>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5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61" w:line="214" w:lineRule="auto"/>
              <w:ind w:left="212" w:right="19" w:hanging="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ZH330328</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1"/>
                <w:sz w:val="21"/>
                <w:szCs w:val="21"/>
              </w:rPr>
              <w:t>20001</w:t>
            </w:r>
          </w:p>
        </w:tc>
        <w:tc>
          <w:tcPr>
            <w:tcW w:w="684" w:type="dxa"/>
            <w:vAlign w:val="top"/>
          </w:tcPr>
          <w:p>
            <w:pPr>
              <w:spacing w:line="261" w:lineRule="auto"/>
              <w:rPr>
                <w:rFonts w:ascii="Arial"/>
                <w:sz w:val="21"/>
              </w:rPr>
            </w:pPr>
          </w:p>
          <w:p>
            <w:pPr>
              <w:spacing w:line="261" w:lineRule="auto"/>
              <w:rPr>
                <w:rFonts w:ascii="Arial"/>
                <w:sz w:val="21"/>
              </w:rPr>
            </w:pPr>
          </w:p>
          <w:p>
            <w:pPr>
              <w:pStyle w:val="6"/>
              <w:spacing w:before="68" w:line="220" w:lineRule="auto"/>
              <w:ind w:left="28"/>
            </w:pPr>
            <w:r>
              <w:rPr>
                <w:spacing w:val="-2"/>
              </w:rPr>
              <w:t>温州市</w:t>
            </w:r>
          </w:p>
          <w:p>
            <w:pPr>
              <w:pStyle w:val="6"/>
              <w:spacing w:before="23" w:line="222" w:lineRule="auto"/>
              <w:ind w:left="28"/>
            </w:pPr>
            <w:r>
              <w:rPr>
                <w:spacing w:val="-2"/>
              </w:rPr>
              <w:t>文成县</w:t>
            </w:r>
          </w:p>
          <w:p>
            <w:pPr>
              <w:pStyle w:val="6"/>
              <w:spacing w:before="18" w:line="220" w:lineRule="auto"/>
              <w:ind w:left="34"/>
            </w:pPr>
            <w:r>
              <w:rPr>
                <w:spacing w:val="-3"/>
              </w:rPr>
              <w:t>百丈漈</w:t>
            </w:r>
          </w:p>
          <w:p>
            <w:pPr>
              <w:pStyle w:val="6"/>
              <w:spacing w:before="23" w:line="221" w:lineRule="auto"/>
              <w:ind w:left="26"/>
            </w:pPr>
            <w:r>
              <w:rPr>
                <w:spacing w:val="-2"/>
              </w:rPr>
              <w:t>产业集</w:t>
            </w:r>
          </w:p>
          <w:p>
            <w:pPr>
              <w:pStyle w:val="6"/>
              <w:spacing w:before="20" w:line="221" w:lineRule="auto"/>
              <w:ind w:left="35"/>
            </w:pPr>
            <w:r>
              <w:rPr>
                <w:spacing w:val="-3"/>
              </w:rPr>
              <w:t>聚重点</w:t>
            </w:r>
          </w:p>
          <w:p>
            <w:pPr>
              <w:pStyle w:val="6"/>
              <w:spacing w:before="21" w:line="221" w:lineRule="auto"/>
              <w:ind w:left="31"/>
            </w:pPr>
            <w:r>
              <w:rPr>
                <w:spacing w:val="-3"/>
              </w:rPr>
              <w:t>管控单</w:t>
            </w:r>
          </w:p>
          <w:p>
            <w:pPr>
              <w:pStyle w:val="6"/>
              <w:spacing w:before="21" w:line="221" w:lineRule="auto"/>
              <w:ind w:left="239"/>
            </w:pPr>
            <w:r>
              <w:t>元</w:t>
            </w:r>
          </w:p>
        </w:tc>
        <w:tc>
          <w:tcPr>
            <w:tcW w:w="60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6"/>
              <w:spacing w:before="68" w:line="223" w:lineRule="auto"/>
              <w:ind w:left="92"/>
            </w:pPr>
            <w:r>
              <w:rPr>
                <w:spacing w:val="-2"/>
              </w:rPr>
              <w:t>浙江</w:t>
            </w:r>
          </w:p>
          <w:p>
            <w:pPr>
              <w:pStyle w:val="6"/>
              <w:spacing w:before="16" w:line="221" w:lineRule="auto"/>
              <w:ind w:left="200"/>
            </w:pPr>
            <w:r>
              <w:t>省</w:t>
            </w:r>
          </w:p>
        </w:tc>
        <w:tc>
          <w:tcPr>
            <w:tcW w:w="578" w:type="dxa"/>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8" w:line="220" w:lineRule="auto"/>
              <w:ind w:left="81"/>
            </w:pPr>
            <w:r>
              <w:rPr>
                <w:spacing w:val="-2"/>
              </w:rPr>
              <w:t>温州</w:t>
            </w:r>
          </w:p>
          <w:p>
            <w:pPr>
              <w:pStyle w:val="6"/>
              <w:spacing w:before="20" w:line="221" w:lineRule="auto"/>
              <w:ind w:left="190"/>
            </w:pPr>
            <w:r>
              <w:t>市</w:t>
            </w:r>
          </w:p>
        </w:tc>
        <w:tc>
          <w:tcPr>
            <w:tcW w:w="491" w:type="dxa"/>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9" w:line="232" w:lineRule="auto"/>
              <w:ind w:left="140" w:right="34" w:hanging="102"/>
            </w:pPr>
            <w:r>
              <w:rPr>
                <w:spacing w:val="-4"/>
              </w:rPr>
              <w:t>文成</w:t>
            </w:r>
            <w:r>
              <w:t xml:space="preserve"> 县</w:t>
            </w:r>
          </w:p>
        </w:tc>
        <w:tc>
          <w:tcPr>
            <w:tcW w:w="598"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8" w:line="233" w:lineRule="auto"/>
              <w:ind w:left="89" w:right="89"/>
              <w:jc w:val="both"/>
            </w:pPr>
            <w:r>
              <w:rPr>
                <w:spacing w:val="-4"/>
              </w:rPr>
              <w:t>重点</w:t>
            </w:r>
            <w:r>
              <w:t xml:space="preserve"> </w:t>
            </w:r>
            <w:r>
              <w:rPr>
                <w:spacing w:val="-4"/>
              </w:rPr>
              <w:t>管控</w:t>
            </w:r>
            <w:r>
              <w:t xml:space="preserve"> </w:t>
            </w:r>
            <w:r>
              <w:rPr>
                <w:spacing w:val="-4"/>
              </w:rPr>
              <w:t>单元</w:t>
            </w:r>
          </w:p>
        </w:tc>
        <w:tc>
          <w:tcPr>
            <w:tcW w:w="2652" w:type="dxa"/>
            <w:vAlign w:val="top"/>
          </w:tcPr>
          <w:p>
            <w:pPr>
              <w:pStyle w:val="6"/>
              <w:spacing w:before="47" w:line="221" w:lineRule="auto"/>
              <w:ind w:left="81"/>
            </w:pPr>
            <w:r>
              <w:rPr>
                <w:spacing w:val="-2"/>
              </w:rPr>
              <w:t>除经批准专门用于三类工业</w:t>
            </w:r>
          </w:p>
          <w:p>
            <w:pPr>
              <w:pStyle w:val="6"/>
              <w:spacing w:before="22" w:line="221" w:lineRule="auto"/>
              <w:jc w:val="right"/>
            </w:pPr>
            <w:r>
              <w:rPr>
                <w:spacing w:val="-13"/>
              </w:rPr>
              <w:t>集聚的开发区（工业区）</w:t>
            </w:r>
            <w:r>
              <w:rPr>
                <w:spacing w:val="-39"/>
              </w:rPr>
              <w:t xml:space="preserve"> </w:t>
            </w:r>
            <w:r>
              <w:rPr>
                <w:spacing w:val="-13"/>
              </w:rPr>
              <w:t>外，</w:t>
            </w:r>
          </w:p>
          <w:p>
            <w:pPr>
              <w:pStyle w:val="6"/>
              <w:spacing w:before="20" w:line="221" w:lineRule="auto"/>
              <w:ind w:left="69"/>
            </w:pPr>
            <w:r>
              <w:rPr>
                <w:spacing w:val="-1"/>
              </w:rPr>
              <w:t>禁止新建、扩建三类工业项</w:t>
            </w:r>
          </w:p>
          <w:p>
            <w:pPr>
              <w:pStyle w:val="6"/>
              <w:spacing w:before="22" w:line="221" w:lineRule="auto"/>
              <w:ind w:right="6"/>
              <w:jc w:val="right"/>
            </w:pPr>
            <w:r>
              <w:rPr>
                <w:spacing w:val="-12"/>
              </w:rPr>
              <w:t>目。最大限度保留区内原有自</w:t>
            </w:r>
          </w:p>
          <w:p>
            <w:pPr>
              <w:pStyle w:val="6"/>
              <w:spacing w:before="19" w:line="221" w:lineRule="auto"/>
              <w:ind w:left="19"/>
            </w:pPr>
            <w:r>
              <w:rPr>
                <w:spacing w:val="-9"/>
              </w:rPr>
              <w:t>然生态系统，保护好河湖湿地</w:t>
            </w:r>
          </w:p>
          <w:p>
            <w:pPr>
              <w:pStyle w:val="6"/>
              <w:spacing w:before="22" w:line="221" w:lineRule="auto"/>
              <w:ind w:left="20"/>
            </w:pPr>
            <w:r>
              <w:rPr>
                <w:spacing w:val="-9"/>
              </w:rPr>
              <w:t>生境，禁止未经法定许可占用</w:t>
            </w:r>
          </w:p>
          <w:p>
            <w:pPr>
              <w:pStyle w:val="6"/>
              <w:spacing w:before="20" w:line="221" w:lineRule="auto"/>
              <w:ind w:left="21"/>
            </w:pPr>
            <w:r>
              <w:rPr>
                <w:spacing w:val="-14"/>
              </w:rPr>
              <w:t>水域；</w:t>
            </w:r>
            <w:r>
              <w:rPr>
                <w:spacing w:val="-36"/>
              </w:rPr>
              <w:t xml:space="preserve"> </w:t>
            </w:r>
            <w:r>
              <w:rPr>
                <w:spacing w:val="-14"/>
              </w:rPr>
              <w:t>除防洪、重要航道必须</w:t>
            </w:r>
          </w:p>
          <w:p>
            <w:pPr>
              <w:pStyle w:val="6"/>
              <w:spacing w:before="22" w:line="221" w:lineRule="auto"/>
              <w:ind w:left="36"/>
            </w:pPr>
            <w:r>
              <w:rPr>
                <w:spacing w:val="-10"/>
              </w:rPr>
              <w:t>的护岸外，禁止非生态型河湖</w:t>
            </w:r>
          </w:p>
          <w:p>
            <w:pPr>
              <w:pStyle w:val="6"/>
              <w:spacing w:before="20" w:line="221" w:lineRule="auto"/>
              <w:ind w:left="18"/>
            </w:pPr>
            <w:r>
              <w:rPr>
                <w:spacing w:val="-9"/>
              </w:rPr>
              <w:t>堤岸改造；建设项目不得影响</w:t>
            </w:r>
          </w:p>
          <w:p>
            <w:pPr>
              <w:pStyle w:val="6"/>
              <w:spacing w:before="22" w:line="221" w:lineRule="auto"/>
              <w:ind w:left="68"/>
            </w:pPr>
            <w:r>
              <w:rPr>
                <w:spacing w:val="-1"/>
              </w:rPr>
              <w:t>河道自然形态和河湖水生态</w:t>
            </w:r>
          </w:p>
          <w:p>
            <w:pPr>
              <w:pStyle w:val="6"/>
              <w:spacing w:before="21" w:line="207" w:lineRule="auto"/>
              <w:ind w:left="601"/>
            </w:pPr>
            <w:r>
              <w:rPr>
                <w:spacing w:val="-5"/>
              </w:rPr>
              <w:t>（环境）功能。</w:t>
            </w:r>
          </w:p>
        </w:tc>
        <w:tc>
          <w:tcPr>
            <w:tcW w:w="1759" w:type="dxa"/>
            <w:vAlign w:val="top"/>
          </w:tcPr>
          <w:p>
            <w:pPr>
              <w:spacing w:line="261" w:lineRule="auto"/>
              <w:rPr>
                <w:rFonts w:ascii="Arial"/>
                <w:sz w:val="21"/>
              </w:rPr>
            </w:pPr>
          </w:p>
          <w:p>
            <w:pPr>
              <w:spacing w:line="261" w:lineRule="auto"/>
              <w:rPr>
                <w:rFonts w:ascii="Arial"/>
                <w:sz w:val="21"/>
              </w:rPr>
            </w:pPr>
          </w:p>
          <w:p>
            <w:pPr>
              <w:pStyle w:val="6"/>
              <w:spacing w:before="68" w:line="236" w:lineRule="auto"/>
              <w:ind w:left="45" w:right="33"/>
              <w:jc w:val="both"/>
            </w:pPr>
            <w:r>
              <w:rPr>
                <w:spacing w:val="-1"/>
              </w:rPr>
              <w:t>严格实施污染物总</w:t>
            </w:r>
            <w:r>
              <w:t xml:space="preserve"> </w:t>
            </w:r>
            <w:r>
              <w:rPr>
                <w:spacing w:val="-1"/>
              </w:rPr>
              <w:t>量控制制度，根据</w:t>
            </w:r>
            <w:r>
              <w:rPr>
                <w:spacing w:val="1"/>
              </w:rPr>
              <w:t xml:space="preserve"> </w:t>
            </w:r>
            <w:r>
              <w:rPr>
                <w:spacing w:val="-1"/>
              </w:rPr>
              <w:t>环境功能目标实现</w:t>
            </w:r>
            <w:r>
              <w:rPr>
                <w:spacing w:val="1"/>
              </w:rPr>
              <w:t xml:space="preserve"> </w:t>
            </w:r>
            <w:r>
              <w:rPr>
                <w:spacing w:val="-13"/>
              </w:rPr>
              <w:t>情况， 编制实施重</w:t>
            </w:r>
            <w:r>
              <w:rPr>
                <w:spacing w:val="5"/>
              </w:rPr>
              <w:t xml:space="preserve"> </w:t>
            </w:r>
            <w:r>
              <w:rPr>
                <w:spacing w:val="-1"/>
              </w:rPr>
              <w:t>点污染物减排计划</w:t>
            </w:r>
            <w:r>
              <w:rPr>
                <w:spacing w:val="1"/>
              </w:rPr>
              <w:t xml:space="preserve"> </w:t>
            </w:r>
            <w:r>
              <w:rPr>
                <w:spacing w:val="12"/>
              </w:rPr>
              <w:t>,削减污染物排放</w:t>
            </w:r>
          </w:p>
          <w:p>
            <w:pPr>
              <w:pStyle w:val="6"/>
              <w:spacing w:before="23" w:line="226" w:lineRule="auto"/>
              <w:ind w:left="576"/>
            </w:pPr>
            <w:r>
              <w:rPr>
                <w:spacing w:val="-10"/>
              </w:rPr>
              <w:t>总量。</w:t>
            </w:r>
          </w:p>
        </w:tc>
        <w:tc>
          <w:tcPr>
            <w:tcW w:w="1827" w:type="dxa"/>
            <w:vAlign w:val="top"/>
          </w:tcPr>
          <w:p>
            <w:pPr>
              <w:pStyle w:val="6"/>
              <w:spacing w:before="177" w:line="238" w:lineRule="auto"/>
              <w:ind w:left="23"/>
            </w:pPr>
            <w:r>
              <w:rPr>
                <w:spacing w:val="-8"/>
              </w:rPr>
              <w:t xml:space="preserve">优化居住区与优化  居住区与工业功能  </w:t>
            </w:r>
            <w:r>
              <w:rPr>
                <w:spacing w:val="-18"/>
              </w:rPr>
              <w:t>区布局，在居住区和</w:t>
            </w:r>
            <w:r>
              <w:rPr>
                <w:spacing w:val="6"/>
              </w:rPr>
              <w:t xml:space="preserve"> </w:t>
            </w:r>
            <w:r>
              <w:rPr>
                <w:spacing w:val="-18"/>
              </w:rPr>
              <w:t>工业功能区、工业企</w:t>
            </w:r>
            <w:r>
              <w:rPr>
                <w:spacing w:val="6"/>
              </w:rPr>
              <w:t xml:space="preserve"> </w:t>
            </w:r>
            <w:r>
              <w:rPr>
                <w:spacing w:val="-12"/>
              </w:rPr>
              <w:t>业之间设置隔离带，</w:t>
            </w:r>
            <w:r>
              <w:rPr>
                <w:spacing w:val="2"/>
              </w:rPr>
              <w:t xml:space="preserve"> </w:t>
            </w:r>
            <w:r>
              <w:rPr>
                <w:spacing w:val="-11"/>
              </w:rPr>
              <w:t>确保人居环境安全。</w:t>
            </w:r>
            <w:r>
              <w:rPr>
                <w:spacing w:val="6"/>
              </w:rPr>
              <w:t xml:space="preserve"> </w:t>
            </w:r>
            <w:r>
              <w:rPr>
                <w:spacing w:val="-8"/>
              </w:rPr>
              <w:t xml:space="preserve">加强土壤和地下水  污染防治与修复土  壤和地下水污染防  </w:t>
            </w:r>
            <w:r>
              <w:rPr>
                <w:spacing w:val="-6"/>
              </w:rPr>
              <w:t>治与修复</w:t>
            </w:r>
          </w:p>
        </w:tc>
        <w:tc>
          <w:tcPr>
            <w:tcW w:w="1431"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60" w:line="233" w:lineRule="auto"/>
              <w:ind w:left="68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08" w:type="dxa"/>
            <w:vAlign w:val="top"/>
          </w:tcPr>
          <w:p>
            <w:pPr>
              <w:spacing w:line="251" w:lineRule="auto"/>
              <w:rPr>
                <w:rFonts w:ascii="Arial"/>
                <w:sz w:val="21"/>
              </w:rPr>
            </w:pPr>
          </w:p>
          <w:p>
            <w:pPr>
              <w:pStyle w:val="6"/>
              <w:spacing w:before="68" w:line="236" w:lineRule="auto"/>
              <w:ind w:left="24" w:right="13" w:firstLine="88"/>
              <w:jc w:val="both"/>
            </w:pPr>
            <w:r>
              <w:rPr>
                <w:spacing w:val="-1"/>
              </w:rPr>
              <w:t>本项目不属于工业项</w:t>
            </w:r>
            <w:r>
              <w:rPr>
                <w:spacing w:val="1"/>
              </w:rPr>
              <w:t xml:space="preserve">  </w:t>
            </w:r>
            <w:r>
              <w:rPr>
                <w:spacing w:val="-10"/>
              </w:rPr>
              <w:t>目，</w:t>
            </w:r>
            <w:r>
              <w:rPr>
                <w:spacing w:val="-42"/>
              </w:rPr>
              <w:t xml:space="preserve"> </w:t>
            </w:r>
            <w:r>
              <w:rPr>
                <w:spacing w:val="-10"/>
              </w:rPr>
              <w:t>项目采用隧道穿越</w:t>
            </w:r>
            <w:r>
              <w:t xml:space="preserve"> </w:t>
            </w:r>
            <w:r>
              <w:rPr>
                <w:spacing w:val="-4"/>
              </w:rPr>
              <w:t>此区域，建设产生的废</w:t>
            </w:r>
            <w:r>
              <w:rPr>
                <w:spacing w:val="3"/>
              </w:rPr>
              <w:t xml:space="preserve"> </w:t>
            </w:r>
            <w:r>
              <w:rPr>
                <w:spacing w:val="-9"/>
              </w:rPr>
              <w:t>水经过处理后回用，</w:t>
            </w:r>
            <w:r>
              <w:rPr>
                <w:spacing w:val="-52"/>
              </w:rPr>
              <w:t xml:space="preserve"> </w:t>
            </w:r>
            <w:r>
              <w:rPr>
                <w:spacing w:val="-9"/>
              </w:rPr>
              <w:t>运</w:t>
            </w:r>
            <w:r>
              <w:t xml:space="preserve"> </w:t>
            </w:r>
            <w:r>
              <w:rPr>
                <w:spacing w:val="-6"/>
              </w:rPr>
              <w:t>行产生的路桥面径流，</w:t>
            </w:r>
          </w:p>
          <w:p>
            <w:pPr>
              <w:pStyle w:val="6"/>
              <w:spacing w:before="19" w:line="231" w:lineRule="auto"/>
              <w:ind w:left="532" w:right="104" w:hanging="420"/>
            </w:pPr>
            <w:r>
              <w:rPr>
                <w:spacing w:val="-1"/>
              </w:rPr>
              <w:t>基本不会对周边环境</w:t>
            </w:r>
            <w:r>
              <w:rPr>
                <w:spacing w:val="3"/>
              </w:rPr>
              <w:t xml:space="preserve"> </w:t>
            </w:r>
            <w:r>
              <w:rPr>
                <w:spacing w:val="-2"/>
              </w:rPr>
              <w:t>产生影响。</w:t>
            </w:r>
          </w:p>
          <w:p>
            <w:pPr>
              <w:pStyle w:val="6"/>
              <w:spacing w:before="19" w:line="231" w:lineRule="auto"/>
              <w:ind w:left="432" w:right="104" w:hanging="319"/>
            </w:pPr>
            <w:r>
              <w:rPr>
                <w:spacing w:val="-1"/>
              </w:rPr>
              <w:t>本项目的建设可以满</w:t>
            </w:r>
            <w:r>
              <w:rPr>
                <w:spacing w:val="2"/>
              </w:rPr>
              <w:t xml:space="preserve"> </w:t>
            </w:r>
            <w:r>
              <w:rPr>
                <w:spacing w:val="-2"/>
              </w:rPr>
              <w:t>足管控要求。</w:t>
            </w:r>
          </w:p>
        </w:tc>
      </w:tr>
    </w:tbl>
    <w:p>
      <w:pPr>
        <w:pStyle w:val="2"/>
      </w:pPr>
    </w:p>
    <w:p>
      <w:pPr>
        <w:sectPr>
          <w:footerReference r:id="rId75" w:type="default"/>
          <w:pgSz w:w="16839" w:h="11907"/>
          <w:pgMar w:top="1118" w:right="1303" w:bottom="1184" w:left="1305" w:header="879" w:footer="1024" w:gutter="0"/>
          <w:cols w:space="720" w:num="1"/>
        </w:sectPr>
      </w:pPr>
    </w:p>
    <w:p>
      <w:pPr>
        <w:spacing w:before="316" w:line="220" w:lineRule="auto"/>
        <w:ind w:left="370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2.4.2-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工程线路所在区域水功能区水环境</w:t>
      </w:r>
      <w:r>
        <w:rPr>
          <w:rFonts w:ascii="宋体" w:hAnsi="宋体" w:eastAsia="宋体" w:cs="宋体"/>
          <w:spacing w:val="-2"/>
          <w:sz w:val="24"/>
          <w:szCs w:val="24"/>
        </w:rPr>
        <w:t>功能区划一览表</w:t>
      </w:r>
    </w:p>
    <w:p>
      <w:pPr>
        <w:spacing w:line="146" w:lineRule="exact"/>
      </w:pPr>
    </w:p>
    <w:tbl>
      <w:tblPr>
        <w:tblStyle w:val="5"/>
        <w:tblW w:w="13506" w:type="dxa"/>
        <w:tblInd w:w="2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9"/>
        <w:gridCol w:w="679"/>
        <w:gridCol w:w="1202"/>
        <w:gridCol w:w="820"/>
        <w:gridCol w:w="612"/>
        <w:gridCol w:w="1545"/>
        <w:gridCol w:w="660"/>
        <w:gridCol w:w="624"/>
        <w:gridCol w:w="627"/>
        <w:gridCol w:w="676"/>
        <w:gridCol w:w="626"/>
        <w:gridCol w:w="784"/>
        <w:gridCol w:w="739"/>
        <w:gridCol w:w="627"/>
        <w:gridCol w:w="787"/>
        <w:gridCol w:w="739"/>
        <w:gridCol w:w="741"/>
        <w:gridCol w:w="6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89" w:type="dxa"/>
            <w:vMerge w:val="restart"/>
            <w:tcBorders>
              <w:bottom w:val="nil"/>
            </w:tcBorders>
            <w:textDirection w:val="tbRlV"/>
            <w:vAlign w:val="top"/>
          </w:tcPr>
          <w:p>
            <w:pPr>
              <w:pStyle w:val="6"/>
              <w:spacing w:before="86" w:line="211" w:lineRule="auto"/>
              <w:ind w:left="591"/>
            </w:pPr>
            <w:r>
              <w:rPr>
                <w:spacing w:val="1"/>
                <w14:textOutline w14:w="3831" w14:cap="flat" w14:cmpd="sng">
                  <w14:solidFill>
                    <w14:srgbClr w14:val="000000"/>
                  </w14:solidFill>
                  <w14:prstDash w14:val="solid"/>
                  <w14:miter w14:val="0"/>
                </w14:textOutline>
              </w:rPr>
              <w:t>序</w:t>
            </w:r>
            <w:r>
              <w:rPr>
                <w:spacing w:val="-5"/>
              </w:rPr>
              <w:t xml:space="preserve"> </w:t>
            </w:r>
            <w:r>
              <w:rPr>
                <w:spacing w:val="1"/>
                <w14:textOutline w14:w="3831" w14:cap="flat" w14:cmpd="sng">
                  <w14:solidFill>
                    <w14:srgbClr w14:val="000000"/>
                  </w14:solidFill>
                  <w14:prstDash w14:val="solid"/>
                  <w14:miter w14:val="0"/>
                </w14:textOutline>
              </w:rPr>
              <w:t>号</w:t>
            </w:r>
          </w:p>
        </w:tc>
        <w:tc>
          <w:tcPr>
            <w:tcW w:w="679" w:type="dxa"/>
            <w:vMerge w:val="restart"/>
            <w:tcBorders>
              <w:bottom w:val="nil"/>
            </w:tcBorders>
            <w:vAlign w:val="top"/>
          </w:tcPr>
          <w:p>
            <w:pPr>
              <w:spacing w:line="260" w:lineRule="auto"/>
              <w:rPr>
                <w:rFonts w:ascii="Arial"/>
                <w:sz w:val="21"/>
              </w:rPr>
            </w:pPr>
          </w:p>
          <w:p>
            <w:pPr>
              <w:spacing w:line="260" w:lineRule="auto"/>
              <w:rPr>
                <w:rFonts w:ascii="Arial"/>
                <w:sz w:val="21"/>
              </w:rPr>
            </w:pPr>
          </w:p>
          <w:p>
            <w:pPr>
              <w:pStyle w:val="6"/>
              <w:spacing w:before="68" w:line="244" w:lineRule="auto"/>
              <w:ind w:left="214" w:hanging="194"/>
              <w:rPr>
                <w:rFonts w:ascii="Times New Roman" w:hAnsi="Times New Roman" w:eastAsia="Times New Roman" w:cs="Times New Roman"/>
              </w:rPr>
            </w:pPr>
            <w:r>
              <w:rPr>
                <w:spacing w:val="-12"/>
                <w14:textOutline w14:w="3831" w14:cap="flat" w14:cmpd="sng">
                  <w14:solidFill>
                    <w14:srgbClr w14:val="000000"/>
                  </w14:solidFill>
                  <w14:prstDash w14:val="solid"/>
                  <w14:miter w14:val="0"/>
                </w14:textOutline>
              </w:rPr>
              <w:t>县</w:t>
            </w:r>
            <w:r>
              <w:rPr>
                <w:rFonts w:ascii="Times New Roman" w:hAnsi="Times New Roman" w:eastAsia="Times New Roman" w:cs="Times New Roman"/>
                <w:b/>
                <w:bCs/>
                <w:spacing w:val="-12"/>
              </w:rPr>
              <w:t>(</w:t>
            </w:r>
            <w:r>
              <w:rPr>
                <w:spacing w:val="-12"/>
                <w14:textOutline w14:w="3831" w14:cap="flat" w14:cmpd="sng">
                  <w14:solidFill>
                    <w14:srgbClr w14:val="000000"/>
                  </w14:solidFill>
                  <w14:prstDash w14:val="solid"/>
                  <w14:miter w14:val="0"/>
                </w14:textOutline>
              </w:rPr>
              <w:t>市、</w:t>
            </w:r>
            <w:r>
              <w:t xml:space="preserve"> </w:t>
            </w:r>
            <w:r>
              <w:rPr>
                <w:spacing w:val="-12"/>
                <w14:textOutline w14:w="3831" w14:cap="flat" w14:cmpd="sng">
                  <w14:solidFill>
                    <w14:srgbClr w14:val="000000"/>
                  </w14:solidFill>
                  <w14:prstDash w14:val="solid"/>
                  <w14:miter w14:val="0"/>
                </w14:textOutline>
              </w:rPr>
              <w:t>区</w:t>
            </w:r>
            <w:r>
              <w:rPr>
                <w:rFonts w:ascii="Times New Roman" w:hAnsi="Times New Roman" w:eastAsia="Times New Roman" w:cs="Times New Roman"/>
                <w:b/>
                <w:bCs/>
                <w:spacing w:val="-12"/>
              </w:rPr>
              <w:t>)</w:t>
            </w:r>
          </w:p>
        </w:tc>
        <w:tc>
          <w:tcPr>
            <w:tcW w:w="2634" w:type="dxa"/>
            <w:gridSpan w:val="3"/>
            <w:vAlign w:val="top"/>
          </w:tcPr>
          <w:p>
            <w:pPr>
              <w:pStyle w:val="6"/>
              <w:spacing w:before="108" w:line="221" w:lineRule="auto"/>
              <w:ind w:left="900"/>
            </w:pPr>
            <w:r>
              <w:rPr>
                <w:spacing w:val="-2"/>
                <w14:textOutline w14:w="3831" w14:cap="flat" w14:cmpd="sng">
                  <w14:solidFill>
                    <w14:srgbClr w14:val="000000"/>
                  </w14:solidFill>
                  <w14:prstDash w14:val="solid"/>
                  <w14:miter w14:val="0"/>
                </w14:textOutline>
              </w:rPr>
              <w:t>水功能区</w:t>
            </w:r>
          </w:p>
        </w:tc>
        <w:tc>
          <w:tcPr>
            <w:tcW w:w="2205" w:type="dxa"/>
            <w:gridSpan w:val="2"/>
            <w:vAlign w:val="top"/>
          </w:tcPr>
          <w:p>
            <w:pPr>
              <w:pStyle w:val="6"/>
              <w:spacing w:before="108" w:line="221" w:lineRule="auto"/>
              <w:ind w:left="477"/>
            </w:pPr>
            <w:r>
              <w:rPr>
                <w:spacing w:val="-1"/>
                <w14:textOutline w14:w="3831" w14:cap="flat" w14:cmpd="sng">
                  <w14:solidFill>
                    <w14:srgbClr w14:val="000000"/>
                  </w14:solidFill>
                  <w14:prstDash w14:val="solid"/>
                  <w14:miter w14:val="0"/>
                </w14:textOutline>
              </w:rPr>
              <w:t>水环境功能区</w:t>
            </w:r>
          </w:p>
        </w:tc>
        <w:tc>
          <w:tcPr>
            <w:tcW w:w="624" w:type="dxa"/>
            <w:vMerge w:val="restart"/>
            <w:tcBorders>
              <w:bottom w:val="nil"/>
            </w:tcBorders>
            <w:vAlign w:val="top"/>
          </w:tcPr>
          <w:p>
            <w:pPr>
              <w:spacing w:line="337" w:lineRule="auto"/>
              <w:rPr>
                <w:rFonts w:ascii="Arial"/>
                <w:sz w:val="21"/>
              </w:rPr>
            </w:pPr>
          </w:p>
          <w:p>
            <w:pPr>
              <w:spacing w:line="337" w:lineRule="auto"/>
              <w:rPr>
                <w:rFonts w:ascii="Arial"/>
                <w:sz w:val="21"/>
              </w:rPr>
            </w:pPr>
          </w:p>
          <w:p>
            <w:pPr>
              <w:pStyle w:val="6"/>
              <w:spacing w:before="68" w:line="221" w:lineRule="auto"/>
              <w:ind w:left="107"/>
            </w:pPr>
            <w:r>
              <w:rPr>
                <w:spacing w:val="-2"/>
                <w14:textOutline w14:w="3831" w14:cap="flat" w14:cmpd="sng">
                  <w14:solidFill>
                    <w14:srgbClr w14:val="000000"/>
                  </w14:solidFill>
                  <w14:prstDash w14:val="solid"/>
                  <w14:miter w14:val="0"/>
                </w14:textOutline>
              </w:rPr>
              <w:t>流域</w:t>
            </w:r>
          </w:p>
        </w:tc>
        <w:tc>
          <w:tcPr>
            <w:tcW w:w="627" w:type="dxa"/>
            <w:vMerge w:val="restart"/>
            <w:tcBorders>
              <w:bottom w:val="nil"/>
            </w:tcBorders>
            <w:vAlign w:val="top"/>
          </w:tcPr>
          <w:p>
            <w:pPr>
              <w:spacing w:line="337" w:lineRule="auto"/>
              <w:rPr>
                <w:rFonts w:ascii="Arial"/>
                <w:sz w:val="21"/>
              </w:rPr>
            </w:pPr>
          </w:p>
          <w:p>
            <w:pPr>
              <w:spacing w:line="337" w:lineRule="auto"/>
              <w:rPr>
                <w:rFonts w:ascii="Arial"/>
                <w:sz w:val="21"/>
              </w:rPr>
            </w:pPr>
          </w:p>
          <w:p>
            <w:pPr>
              <w:pStyle w:val="6"/>
              <w:spacing w:before="68" w:line="221" w:lineRule="auto"/>
              <w:ind w:left="111"/>
            </w:pPr>
            <w:r>
              <w:rPr>
                <w:spacing w:val="-3"/>
                <w14:textOutline w14:w="3831" w14:cap="flat" w14:cmpd="sng">
                  <w14:solidFill>
                    <w14:srgbClr w14:val="000000"/>
                  </w14:solidFill>
                  <w14:prstDash w14:val="solid"/>
                  <w14:miter w14:val="0"/>
                </w14:textOutline>
              </w:rPr>
              <w:t>水系</w:t>
            </w:r>
          </w:p>
        </w:tc>
        <w:tc>
          <w:tcPr>
            <w:tcW w:w="676" w:type="dxa"/>
            <w:vMerge w:val="restart"/>
            <w:tcBorders>
              <w:bottom w:val="nil"/>
            </w:tcBorders>
            <w:vAlign w:val="top"/>
          </w:tcPr>
          <w:p>
            <w:pPr>
              <w:spacing w:line="365" w:lineRule="auto"/>
              <w:rPr>
                <w:rFonts w:ascii="Arial"/>
                <w:sz w:val="21"/>
              </w:rPr>
            </w:pPr>
          </w:p>
          <w:p>
            <w:pPr>
              <w:pStyle w:val="6"/>
              <w:spacing w:before="68" w:line="254" w:lineRule="auto"/>
              <w:ind w:left="96" w:right="121" w:firstLine="34"/>
              <w:jc w:val="both"/>
              <w:rPr>
                <w:rFonts w:ascii="Times New Roman" w:hAnsi="Times New Roman" w:eastAsia="Times New Roman" w:cs="Times New Roman"/>
              </w:rPr>
            </w:pPr>
            <w:r>
              <w:rPr>
                <w:spacing w:val="-3"/>
                <w14:textOutline w14:w="3831" w14:cap="flat" w14:cmpd="sng">
                  <w14:solidFill>
                    <w14:srgbClr w14:val="000000"/>
                  </w14:solidFill>
                  <w14:prstDash w14:val="solid"/>
                  <w14:miter w14:val="0"/>
                </w14:textOutline>
              </w:rPr>
              <w:t>河流</w:t>
            </w:r>
            <w:r>
              <w:t xml:space="preserve"> </w:t>
            </w:r>
            <w:r>
              <w:rPr>
                <w:rFonts w:ascii="Times New Roman" w:hAnsi="Times New Roman" w:eastAsia="Times New Roman" w:cs="Times New Roman"/>
                <w:b/>
                <w:bCs/>
                <w:spacing w:val="-13"/>
              </w:rPr>
              <w:t>(</w:t>
            </w:r>
            <w:r>
              <w:rPr>
                <w:spacing w:val="-13"/>
                <w14:textOutline w14:w="3831" w14:cap="flat" w14:cmpd="sng">
                  <w14:solidFill>
                    <w14:srgbClr w14:val="000000"/>
                  </w14:solidFill>
                  <w14:prstDash w14:val="solid"/>
                  <w14:miter w14:val="0"/>
                </w14:textOutline>
              </w:rPr>
              <w:t>湖、</w:t>
            </w:r>
            <w:r>
              <w:t xml:space="preserve"> </w:t>
            </w:r>
            <w:r>
              <w:rPr>
                <w:spacing w:val="15"/>
                <w:w w:val="125"/>
                <w14:textOutline w14:w="3831" w14:cap="flat" w14:cmpd="sng">
                  <w14:solidFill>
                    <w14:srgbClr w14:val="000000"/>
                  </w14:solidFill>
                  <w14:prstDash w14:val="solid"/>
                  <w14:miter w14:val="0"/>
                </w14:textOutline>
              </w:rPr>
              <w:t>库</w:t>
            </w:r>
            <w:r>
              <w:rPr>
                <w:rFonts w:ascii="Times New Roman" w:hAnsi="Times New Roman" w:eastAsia="Times New Roman" w:cs="Times New Roman"/>
                <w:b/>
                <w:bCs/>
                <w:spacing w:val="15"/>
                <w:w w:val="125"/>
              </w:rPr>
              <w:t>)</w:t>
            </w:r>
          </w:p>
        </w:tc>
        <w:tc>
          <w:tcPr>
            <w:tcW w:w="4302" w:type="dxa"/>
            <w:gridSpan w:val="6"/>
            <w:vAlign w:val="top"/>
          </w:tcPr>
          <w:p>
            <w:pPr>
              <w:pStyle w:val="6"/>
              <w:spacing w:before="109" w:line="221" w:lineRule="auto"/>
              <w:ind w:left="1316"/>
            </w:pPr>
            <w:r>
              <w:rPr>
                <w:spacing w:val="-7"/>
                <w14:textOutline w14:w="3831" w14:cap="flat" w14:cmpd="sng">
                  <w14:solidFill>
                    <w14:srgbClr w14:val="000000"/>
                  </w14:solidFill>
                  <w14:prstDash w14:val="solid"/>
                  <w14:miter w14:val="0"/>
                </w14:textOutline>
              </w:rPr>
              <w:t>范</w:t>
            </w:r>
            <w:r>
              <w:rPr>
                <w:spacing w:val="2"/>
              </w:rPr>
              <w:t xml:space="preserve">            </w:t>
            </w:r>
            <w:r>
              <w:rPr>
                <w:spacing w:val="-7"/>
                <w14:textOutline w14:w="3831" w14:cap="flat" w14:cmpd="sng">
                  <w14:solidFill>
                    <w14:srgbClr w14:val="000000"/>
                  </w14:solidFill>
                  <w14:prstDash w14:val="solid"/>
                  <w14:miter w14:val="0"/>
                </w14:textOutline>
              </w:rPr>
              <w:t>围</w:t>
            </w:r>
          </w:p>
        </w:tc>
        <w:tc>
          <w:tcPr>
            <w:tcW w:w="741" w:type="dxa"/>
            <w:vAlign w:val="top"/>
          </w:tcPr>
          <w:p>
            <w:pPr>
              <w:rPr>
                <w:rFonts w:ascii="Arial"/>
                <w:sz w:val="21"/>
              </w:rPr>
            </w:pPr>
          </w:p>
        </w:tc>
        <w:tc>
          <w:tcPr>
            <w:tcW w:w="629" w:type="dxa"/>
            <w:vMerge w:val="restart"/>
            <w:tcBorders>
              <w:bottom w:val="nil"/>
            </w:tcBorders>
            <w:vAlign w:val="top"/>
          </w:tcPr>
          <w:p>
            <w:pPr>
              <w:spacing w:line="260" w:lineRule="auto"/>
              <w:rPr>
                <w:rFonts w:ascii="Arial"/>
                <w:sz w:val="21"/>
              </w:rPr>
            </w:pPr>
          </w:p>
          <w:p>
            <w:pPr>
              <w:spacing w:line="260" w:lineRule="auto"/>
              <w:rPr>
                <w:rFonts w:ascii="Arial"/>
                <w:sz w:val="21"/>
              </w:rPr>
            </w:pPr>
          </w:p>
          <w:p>
            <w:pPr>
              <w:pStyle w:val="6"/>
              <w:spacing w:before="68" w:line="247" w:lineRule="auto"/>
              <w:ind w:left="111" w:right="100" w:firstLine="37"/>
            </w:pPr>
            <w:r>
              <w:rPr>
                <w:spacing w:val="-24"/>
                <w14:textOutline w14:w="3831" w14:cap="flat" w14:cmpd="sng">
                  <w14:solidFill>
                    <w14:srgbClr w14:val="000000"/>
                  </w14:solidFill>
                  <w14:prstDash w14:val="solid"/>
                  <w14:miter w14:val="0"/>
                </w14:textOutline>
              </w:rPr>
              <w:t>目标</w:t>
            </w:r>
            <w:r>
              <w:t xml:space="preserve"> </w:t>
            </w:r>
            <w:r>
              <w:rPr>
                <w:spacing w:val="-5"/>
                <w14:textOutline w14:w="3831" w14:cap="flat" w14:cmpd="sng">
                  <w14:solidFill>
                    <w14:srgbClr w14:val="000000"/>
                  </w14:solidFill>
                  <w14:prstDash w14:val="solid"/>
                  <w14:miter w14:val="0"/>
                </w14:textOutli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89" w:type="dxa"/>
            <w:vMerge w:val="continue"/>
            <w:tcBorders>
              <w:top w:val="nil"/>
              <w:bottom w:val="nil"/>
            </w:tcBorders>
            <w:textDirection w:val="tbRlV"/>
            <w:vAlign w:val="top"/>
          </w:tcPr>
          <w:p>
            <w:pPr>
              <w:rPr>
                <w:rFonts w:ascii="Arial"/>
                <w:sz w:val="21"/>
              </w:rPr>
            </w:pPr>
          </w:p>
        </w:tc>
        <w:tc>
          <w:tcPr>
            <w:tcW w:w="679" w:type="dxa"/>
            <w:vMerge w:val="continue"/>
            <w:tcBorders>
              <w:top w:val="nil"/>
              <w:bottom w:val="nil"/>
            </w:tcBorders>
            <w:vAlign w:val="top"/>
          </w:tcPr>
          <w:p>
            <w:pPr>
              <w:rPr>
                <w:rFonts w:ascii="Arial"/>
                <w:sz w:val="21"/>
              </w:rPr>
            </w:pPr>
          </w:p>
        </w:tc>
        <w:tc>
          <w:tcPr>
            <w:tcW w:w="1202" w:type="dxa"/>
            <w:vMerge w:val="restart"/>
            <w:tcBorders>
              <w:bottom w:val="nil"/>
            </w:tcBorders>
            <w:vAlign w:val="top"/>
          </w:tcPr>
          <w:p>
            <w:pPr>
              <w:spacing w:line="462" w:lineRule="auto"/>
              <w:rPr>
                <w:rFonts w:ascii="Arial"/>
                <w:sz w:val="21"/>
              </w:rPr>
            </w:pPr>
          </w:p>
          <w:p>
            <w:pPr>
              <w:pStyle w:val="6"/>
              <w:spacing w:before="69" w:line="221" w:lineRule="auto"/>
              <w:ind w:left="446"/>
            </w:pPr>
            <w:r>
              <w:rPr>
                <w:spacing w:val="-2"/>
                <w14:textOutline w14:w="3831" w14:cap="flat" w14:cmpd="sng">
                  <w14:solidFill>
                    <w14:srgbClr w14:val="000000"/>
                  </w14:solidFill>
                  <w14:prstDash w14:val="solid"/>
                  <w14:miter w14:val="0"/>
                </w14:textOutline>
              </w:rPr>
              <w:t>编码</w:t>
            </w:r>
          </w:p>
        </w:tc>
        <w:tc>
          <w:tcPr>
            <w:tcW w:w="820" w:type="dxa"/>
            <w:vMerge w:val="restart"/>
            <w:tcBorders>
              <w:bottom w:val="nil"/>
            </w:tcBorders>
            <w:vAlign w:val="top"/>
          </w:tcPr>
          <w:p>
            <w:pPr>
              <w:spacing w:line="463" w:lineRule="auto"/>
              <w:rPr>
                <w:rFonts w:ascii="Arial"/>
                <w:sz w:val="21"/>
              </w:rPr>
            </w:pPr>
          </w:p>
          <w:p>
            <w:pPr>
              <w:pStyle w:val="6"/>
              <w:spacing w:before="68" w:line="223" w:lineRule="auto"/>
              <w:ind w:left="202"/>
            </w:pPr>
            <w:r>
              <w:rPr>
                <w:spacing w:val="-3"/>
                <w14:textOutline w14:w="3831" w14:cap="flat" w14:cmpd="sng">
                  <w14:solidFill>
                    <w14:srgbClr w14:val="000000"/>
                  </w14:solidFill>
                  <w14:prstDash w14:val="solid"/>
                  <w14:miter w14:val="0"/>
                </w14:textOutline>
              </w:rPr>
              <w:t>名称</w:t>
            </w:r>
          </w:p>
        </w:tc>
        <w:tc>
          <w:tcPr>
            <w:tcW w:w="612" w:type="dxa"/>
            <w:vMerge w:val="restart"/>
            <w:tcBorders>
              <w:bottom w:val="nil"/>
            </w:tcBorders>
            <w:vAlign w:val="top"/>
          </w:tcPr>
          <w:p>
            <w:pPr>
              <w:spacing w:line="307" w:lineRule="auto"/>
              <w:rPr>
                <w:rFonts w:ascii="Arial"/>
                <w:sz w:val="21"/>
              </w:rPr>
            </w:pPr>
          </w:p>
          <w:p>
            <w:pPr>
              <w:pStyle w:val="6"/>
              <w:spacing w:before="68" w:line="249" w:lineRule="auto"/>
              <w:ind w:left="206" w:right="94" w:hanging="88"/>
            </w:pPr>
            <w:r>
              <w:rPr>
                <w:spacing w:val="-14"/>
                <w14:textOutline w14:w="3831" w14:cap="flat" w14:cmpd="sng">
                  <w14:solidFill>
                    <w14:srgbClr w14:val="000000"/>
                  </w14:solidFill>
                  <w14:prstDash w14:val="solid"/>
                  <w14:miter w14:val="0"/>
                </w14:textOutline>
              </w:rPr>
              <w:t>国家</w:t>
            </w:r>
            <w:r>
              <w:t xml:space="preserve"> </w:t>
            </w:r>
            <w:r>
              <w:rPr>
                <w14:textOutline w14:w="3831" w14:cap="flat" w14:cmpd="sng">
                  <w14:solidFill>
                    <w14:srgbClr w14:val="000000"/>
                  </w14:solidFill>
                  <w14:prstDash w14:val="solid"/>
                  <w14:miter w14:val="0"/>
                </w14:textOutline>
              </w:rPr>
              <w:t>级</w:t>
            </w:r>
          </w:p>
        </w:tc>
        <w:tc>
          <w:tcPr>
            <w:tcW w:w="1545" w:type="dxa"/>
            <w:vMerge w:val="restart"/>
            <w:tcBorders>
              <w:bottom w:val="nil"/>
            </w:tcBorders>
            <w:vAlign w:val="top"/>
          </w:tcPr>
          <w:p>
            <w:pPr>
              <w:spacing w:line="462" w:lineRule="auto"/>
              <w:rPr>
                <w:rFonts w:ascii="Arial"/>
                <w:sz w:val="21"/>
              </w:rPr>
            </w:pPr>
          </w:p>
          <w:p>
            <w:pPr>
              <w:pStyle w:val="6"/>
              <w:spacing w:before="69" w:line="221" w:lineRule="auto"/>
              <w:ind w:left="568"/>
            </w:pPr>
            <w:r>
              <w:rPr>
                <w:spacing w:val="-2"/>
                <w14:textOutline w14:w="3831" w14:cap="flat" w14:cmpd="sng">
                  <w14:solidFill>
                    <w14:srgbClr w14:val="000000"/>
                  </w14:solidFill>
                  <w14:prstDash w14:val="solid"/>
                  <w14:miter w14:val="0"/>
                </w14:textOutline>
              </w:rPr>
              <w:t>编码</w:t>
            </w:r>
          </w:p>
        </w:tc>
        <w:tc>
          <w:tcPr>
            <w:tcW w:w="660" w:type="dxa"/>
            <w:vMerge w:val="restart"/>
            <w:tcBorders>
              <w:bottom w:val="nil"/>
            </w:tcBorders>
            <w:vAlign w:val="top"/>
          </w:tcPr>
          <w:p>
            <w:pPr>
              <w:spacing w:line="463" w:lineRule="auto"/>
              <w:rPr>
                <w:rFonts w:ascii="Arial"/>
                <w:sz w:val="21"/>
              </w:rPr>
            </w:pPr>
          </w:p>
          <w:p>
            <w:pPr>
              <w:pStyle w:val="6"/>
              <w:spacing w:before="68" w:line="223" w:lineRule="auto"/>
              <w:ind w:left="125"/>
            </w:pPr>
            <w:r>
              <w:rPr>
                <w:spacing w:val="-3"/>
                <w14:textOutline w14:w="3831" w14:cap="flat" w14:cmpd="sng">
                  <w14:solidFill>
                    <w14:srgbClr w14:val="000000"/>
                  </w14:solidFill>
                  <w14:prstDash w14:val="solid"/>
                  <w14:miter w14:val="0"/>
                </w14:textOutline>
              </w:rPr>
              <w:t>名称</w:t>
            </w:r>
          </w:p>
        </w:tc>
        <w:tc>
          <w:tcPr>
            <w:tcW w:w="624" w:type="dxa"/>
            <w:vMerge w:val="continue"/>
            <w:tcBorders>
              <w:top w:val="nil"/>
              <w:bottom w:val="nil"/>
            </w:tcBorders>
            <w:vAlign w:val="top"/>
          </w:tcPr>
          <w:p>
            <w:pPr>
              <w:rPr>
                <w:rFonts w:ascii="Arial"/>
                <w:sz w:val="21"/>
              </w:rPr>
            </w:pPr>
          </w:p>
        </w:tc>
        <w:tc>
          <w:tcPr>
            <w:tcW w:w="627" w:type="dxa"/>
            <w:vMerge w:val="continue"/>
            <w:tcBorders>
              <w:top w:val="nil"/>
              <w:bottom w:val="nil"/>
            </w:tcBorders>
            <w:vAlign w:val="top"/>
          </w:tcPr>
          <w:p>
            <w:pPr>
              <w:rPr>
                <w:rFonts w:ascii="Arial"/>
                <w:sz w:val="21"/>
              </w:rPr>
            </w:pPr>
          </w:p>
        </w:tc>
        <w:tc>
          <w:tcPr>
            <w:tcW w:w="676" w:type="dxa"/>
            <w:vMerge w:val="continue"/>
            <w:tcBorders>
              <w:top w:val="nil"/>
              <w:bottom w:val="nil"/>
            </w:tcBorders>
            <w:vAlign w:val="top"/>
          </w:tcPr>
          <w:p>
            <w:pPr>
              <w:rPr>
                <w:rFonts w:ascii="Arial"/>
                <w:sz w:val="21"/>
              </w:rPr>
            </w:pPr>
          </w:p>
        </w:tc>
        <w:tc>
          <w:tcPr>
            <w:tcW w:w="626" w:type="dxa"/>
            <w:vMerge w:val="restart"/>
            <w:tcBorders>
              <w:bottom w:val="nil"/>
            </w:tcBorders>
            <w:vAlign w:val="top"/>
          </w:tcPr>
          <w:p>
            <w:pPr>
              <w:spacing w:line="309" w:lineRule="auto"/>
              <w:rPr>
                <w:rFonts w:ascii="Arial"/>
                <w:sz w:val="21"/>
              </w:rPr>
            </w:pPr>
          </w:p>
          <w:p>
            <w:pPr>
              <w:pStyle w:val="6"/>
              <w:spacing w:before="68" w:line="247" w:lineRule="auto"/>
              <w:ind w:left="114" w:right="99" w:hanging="7"/>
            </w:pPr>
            <w:r>
              <w:rPr>
                <w:spacing w:val="-4"/>
                <w14:textOutline w14:w="3831" w14:cap="flat" w14:cmpd="sng">
                  <w14:solidFill>
                    <w14:srgbClr w14:val="000000"/>
                  </w14:solidFill>
                  <w14:prstDash w14:val="solid"/>
                  <w14:miter w14:val="0"/>
                </w14:textOutline>
              </w:rPr>
              <w:t>起始</w:t>
            </w:r>
            <w:r>
              <w:t xml:space="preserve"> </w:t>
            </w:r>
            <w:r>
              <w:rPr>
                <w:spacing w:val="-8"/>
                <w14:textOutline w14:w="3831" w14:cap="flat" w14:cmpd="sng">
                  <w14:solidFill>
                    <w14:srgbClr w14:val="000000"/>
                  </w14:solidFill>
                  <w14:prstDash w14:val="solid"/>
                  <w14:miter w14:val="0"/>
                </w14:textOutline>
              </w:rPr>
              <w:t>断面</w:t>
            </w:r>
          </w:p>
        </w:tc>
        <w:tc>
          <w:tcPr>
            <w:tcW w:w="1523" w:type="dxa"/>
            <w:gridSpan w:val="2"/>
            <w:vAlign w:val="top"/>
          </w:tcPr>
          <w:p>
            <w:pPr>
              <w:pStyle w:val="6"/>
              <w:spacing w:before="105" w:line="221" w:lineRule="auto"/>
              <w:ind w:left="347"/>
            </w:pPr>
            <w:r>
              <w:rPr>
                <w:spacing w:val="-1"/>
                <w14:textOutline w14:w="3831" w14:cap="flat" w14:cmpd="sng">
                  <w14:solidFill>
                    <w14:srgbClr w14:val="000000"/>
                  </w14:solidFill>
                  <w14:prstDash w14:val="solid"/>
                  <w14:miter w14:val="0"/>
                </w14:textOutline>
              </w:rPr>
              <w:t>地理坐标</w:t>
            </w:r>
          </w:p>
        </w:tc>
        <w:tc>
          <w:tcPr>
            <w:tcW w:w="627" w:type="dxa"/>
            <w:vMerge w:val="restart"/>
            <w:tcBorders>
              <w:bottom w:val="nil"/>
            </w:tcBorders>
            <w:vAlign w:val="top"/>
          </w:tcPr>
          <w:p>
            <w:pPr>
              <w:spacing w:line="309" w:lineRule="auto"/>
              <w:rPr>
                <w:rFonts w:ascii="Arial"/>
                <w:sz w:val="21"/>
              </w:rPr>
            </w:pPr>
          </w:p>
          <w:p>
            <w:pPr>
              <w:pStyle w:val="6"/>
              <w:spacing w:before="68" w:line="247" w:lineRule="auto"/>
              <w:ind w:left="116" w:right="98" w:hanging="4"/>
            </w:pPr>
            <w:r>
              <w:rPr>
                <w:spacing w:val="-5"/>
                <w14:textOutline w14:w="3831" w14:cap="flat" w14:cmpd="sng">
                  <w14:solidFill>
                    <w14:srgbClr w14:val="000000"/>
                  </w14:solidFill>
                  <w14:prstDash w14:val="solid"/>
                  <w14:miter w14:val="0"/>
                </w14:textOutline>
              </w:rPr>
              <w:t>终止</w:t>
            </w:r>
            <w:r>
              <w:t xml:space="preserve"> </w:t>
            </w:r>
            <w:r>
              <w:rPr>
                <w:spacing w:val="-8"/>
                <w14:textOutline w14:w="3831" w14:cap="flat" w14:cmpd="sng">
                  <w14:solidFill>
                    <w14:srgbClr w14:val="000000"/>
                  </w14:solidFill>
                  <w14:prstDash w14:val="solid"/>
                  <w14:miter w14:val="0"/>
                </w14:textOutline>
              </w:rPr>
              <w:t>断面</w:t>
            </w:r>
          </w:p>
        </w:tc>
        <w:tc>
          <w:tcPr>
            <w:tcW w:w="1526" w:type="dxa"/>
            <w:gridSpan w:val="2"/>
            <w:vAlign w:val="top"/>
          </w:tcPr>
          <w:p>
            <w:pPr>
              <w:pStyle w:val="6"/>
              <w:spacing w:before="105" w:line="221" w:lineRule="auto"/>
              <w:ind w:left="350"/>
            </w:pPr>
            <w:r>
              <w:rPr>
                <w:spacing w:val="-1"/>
                <w14:textOutline w14:w="3831" w14:cap="flat" w14:cmpd="sng">
                  <w14:solidFill>
                    <w14:srgbClr w14:val="000000"/>
                  </w14:solidFill>
                  <w14:prstDash w14:val="solid"/>
                  <w14:miter w14:val="0"/>
                </w14:textOutline>
              </w:rPr>
              <w:t>地理坐标</w:t>
            </w:r>
          </w:p>
        </w:tc>
        <w:tc>
          <w:tcPr>
            <w:tcW w:w="741" w:type="dxa"/>
            <w:vMerge w:val="restart"/>
            <w:tcBorders>
              <w:bottom w:val="nil"/>
            </w:tcBorders>
            <w:vAlign w:val="top"/>
          </w:tcPr>
          <w:p>
            <w:pPr>
              <w:pStyle w:val="6"/>
              <w:spacing w:before="66" w:line="248" w:lineRule="auto"/>
              <w:ind w:left="271" w:right="49" w:hanging="210"/>
            </w:pPr>
            <w:r>
              <w:rPr>
                <w:spacing w:val="-2"/>
                <w14:textOutline w14:w="3831" w14:cap="flat" w14:cmpd="sng">
                  <w14:solidFill>
                    <w14:srgbClr w14:val="000000"/>
                  </w14:solidFill>
                  <w14:prstDash w14:val="solid"/>
                  <w14:miter w14:val="0"/>
                </w14:textOutline>
              </w:rPr>
              <w:t>长度面</w:t>
            </w:r>
            <w:r>
              <w:t xml:space="preserve"> </w:t>
            </w:r>
            <w:r>
              <w:rPr>
                <w14:textOutline w14:w="3831" w14:cap="flat" w14:cmpd="sng">
                  <w14:solidFill>
                    <w14:srgbClr w14:val="000000"/>
                  </w14:solidFill>
                  <w14:prstDash w14:val="solid"/>
                  <w14:miter w14:val="0"/>
                </w14:textOutline>
              </w:rPr>
              <w:t>积</w:t>
            </w:r>
          </w:p>
          <w:p>
            <w:pPr>
              <w:spacing w:before="102" w:line="250" w:lineRule="auto"/>
              <w:ind w:left="217" w:right="93" w:hanging="109"/>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(km/k</w:t>
            </w:r>
            <w:r>
              <w:rPr>
                <w:rFonts w:ascii="Times New Roman" w:hAnsi="Times New Roman" w:eastAsia="Times New Roman" w:cs="Times New Roman"/>
                <w:b/>
                <w:bCs/>
                <w:sz w:val="21"/>
                <w:szCs w:val="21"/>
              </w:rPr>
              <w:t xml:space="preserve"> </w:t>
            </w:r>
            <w:r>
              <w:rPr>
                <w:rFonts w:ascii="Times New Roman" w:hAnsi="Times New Roman" w:eastAsia="Times New Roman" w:cs="Times New Roman"/>
                <w:b/>
                <w:bCs/>
                <w:spacing w:val="-1"/>
                <w:sz w:val="21"/>
                <w:szCs w:val="21"/>
              </w:rPr>
              <w:t>m</w:t>
            </w:r>
            <w:r>
              <w:rPr>
                <w:rFonts w:ascii="Times New Roman" w:hAnsi="Times New Roman" w:eastAsia="Times New Roman" w:cs="Times New Roman"/>
                <w:b/>
                <w:bCs/>
                <w:spacing w:val="-1"/>
                <w:position w:val="6"/>
                <w:sz w:val="13"/>
                <w:szCs w:val="13"/>
              </w:rPr>
              <w:t>2</w:t>
            </w:r>
            <w:r>
              <w:rPr>
                <w:rFonts w:ascii="Times New Roman" w:hAnsi="Times New Roman" w:eastAsia="Times New Roman" w:cs="Times New Roman"/>
                <w:b/>
                <w:bCs/>
                <w:spacing w:val="-1"/>
                <w:sz w:val="21"/>
                <w:szCs w:val="21"/>
              </w:rPr>
              <w:t>)</w:t>
            </w:r>
          </w:p>
        </w:tc>
        <w:tc>
          <w:tcPr>
            <w:tcW w:w="62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389" w:type="dxa"/>
            <w:vMerge w:val="continue"/>
            <w:tcBorders>
              <w:top w:val="nil"/>
            </w:tcBorders>
            <w:textDirection w:val="tbRlV"/>
            <w:vAlign w:val="top"/>
          </w:tcPr>
          <w:p>
            <w:pPr>
              <w:rPr>
                <w:rFonts w:ascii="Arial"/>
                <w:sz w:val="21"/>
              </w:rPr>
            </w:pPr>
          </w:p>
        </w:tc>
        <w:tc>
          <w:tcPr>
            <w:tcW w:w="679" w:type="dxa"/>
            <w:vMerge w:val="continue"/>
            <w:tcBorders>
              <w:top w:val="nil"/>
            </w:tcBorders>
            <w:vAlign w:val="top"/>
          </w:tcPr>
          <w:p>
            <w:pPr>
              <w:rPr>
                <w:rFonts w:ascii="Arial"/>
                <w:sz w:val="21"/>
              </w:rPr>
            </w:pPr>
          </w:p>
        </w:tc>
        <w:tc>
          <w:tcPr>
            <w:tcW w:w="1202" w:type="dxa"/>
            <w:vMerge w:val="continue"/>
            <w:tcBorders>
              <w:top w:val="nil"/>
            </w:tcBorders>
            <w:vAlign w:val="top"/>
          </w:tcPr>
          <w:p>
            <w:pPr>
              <w:rPr>
                <w:rFonts w:ascii="Arial"/>
                <w:sz w:val="21"/>
              </w:rPr>
            </w:pPr>
          </w:p>
        </w:tc>
        <w:tc>
          <w:tcPr>
            <w:tcW w:w="820" w:type="dxa"/>
            <w:vMerge w:val="continue"/>
            <w:tcBorders>
              <w:top w:val="nil"/>
            </w:tcBorders>
            <w:vAlign w:val="top"/>
          </w:tcPr>
          <w:p>
            <w:pPr>
              <w:rPr>
                <w:rFonts w:ascii="Arial"/>
                <w:sz w:val="21"/>
              </w:rPr>
            </w:pPr>
          </w:p>
        </w:tc>
        <w:tc>
          <w:tcPr>
            <w:tcW w:w="612" w:type="dxa"/>
            <w:vMerge w:val="continue"/>
            <w:tcBorders>
              <w:top w:val="nil"/>
            </w:tcBorders>
            <w:vAlign w:val="top"/>
          </w:tcPr>
          <w:p>
            <w:pPr>
              <w:rPr>
                <w:rFonts w:ascii="Arial"/>
                <w:sz w:val="21"/>
              </w:rPr>
            </w:pPr>
          </w:p>
        </w:tc>
        <w:tc>
          <w:tcPr>
            <w:tcW w:w="1545" w:type="dxa"/>
            <w:vMerge w:val="continue"/>
            <w:tcBorders>
              <w:top w:val="nil"/>
            </w:tcBorders>
            <w:vAlign w:val="top"/>
          </w:tcPr>
          <w:p>
            <w:pPr>
              <w:rPr>
                <w:rFonts w:ascii="Arial"/>
                <w:sz w:val="21"/>
              </w:rPr>
            </w:pPr>
          </w:p>
        </w:tc>
        <w:tc>
          <w:tcPr>
            <w:tcW w:w="660" w:type="dxa"/>
            <w:vMerge w:val="continue"/>
            <w:tcBorders>
              <w:top w:val="nil"/>
            </w:tcBorders>
            <w:vAlign w:val="top"/>
          </w:tcPr>
          <w:p>
            <w:pPr>
              <w:rPr>
                <w:rFonts w:ascii="Arial"/>
                <w:sz w:val="21"/>
              </w:rPr>
            </w:pPr>
          </w:p>
        </w:tc>
        <w:tc>
          <w:tcPr>
            <w:tcW w:w="624" w:type="dxa"/>
            <w:vMerge w:val="continue"/>
            <w:tcBorders>
              <w:top w:val="nil"/>
            </w:tcBorders>
            <w:vAlign w:val="top"/>
          </w:tcPr>
          <w:p>
            <w:pPr>
              <w:rPr>
                <w:rFonts w:ascii="Arial"/>
                <w:sz w:val="21"/>
              </w:rPr>
            </w:pPr>
          </w:p>
        </w:tc>
        <w:tc>
          <w:tcPr>
            <w:tcW w:w="627" w:type="dxa"/>
            <w:vMerge w:val="continue"/>
            <w:tcBorders>
              <w:top w:val="nil"/>
            </w:tcBorders>
            <w:vAlign w:val="top"/>
          </w:tcPr>
          <w:p>
            <w:pPr>
              <w:rPr>
                <w:rFonts w:ascii="Arial"/>
                <w:sz w:val="21"/>
              </w:rPr>
            </w:pPr>
          </w:p>
        </w:tc>
        <w:tc>
          <w:tcPr>
            <w:tcW w:w="676" w:type="dxa"/>
            <w:vMerge w:val="continue"/>
            <w:tcBorders>
              <w:top w:val="nil"/>
            </w:tcBorders>
            <w:vAlign w:val="top"/>
          </w:tcPr>
          <w:p>
            <w:pPr>
              <w:rPr>
                <w:rFonts w:ascii="Arial"/>
                <w:sz w:val="21"/>
              </w:rPr>
            </w:pPr>
          </w:p>
        </w:tc>
        <w:tc>
          <w:tcPr>
            <w:tcW w:w="626" w:type="dxa"/>
            <w:vMerge w:val="continue"/>
            <w:tcBorders>
              <w:top w:val="nil"/>
            </w:tcBorders>
            <w:vAlign w:val="top"/>
          </w:tcPr>
          <w:p>
            <w:pPr>
              <w:rPr>
                <w:rFonts w:ascii="Arial"/>
                <w:sz w:val="21"/>
              </w:rPr>
            </w:pPr>
          </w:p>
        </w:tc>
        <w:tc>
          <w:tcPr>
            <w:tcW w:w="784" w:type="dxa"/>
            <w:vAlign w:val="top"/>
          </w:tcPr>
          <w:p>
            <w:pPr>
              <w:spacing w:line="258" w:lineRule="auto"/>
              <w:rPr>
                <w:rFonts w:ascii="Arial"/>
                <w:sz w:val="21"/>
              </w:rPr>
            </w:pPr>
          </w:p>
          <w:p>
            <w:pPr>
              <w:pStyle w:val="6"/>
              <w:spacing w:before="68" w:line="221" w:lineRule="auto"/>
              <w:ind w:left="193"/>
            </w:pPr>
            <w:r>
              <w:rPr>
                <w:spacing w:val="-4"/>
                <w14:textOutline w14:w="3831" w14:cap="flat" w14:cmpd="sng">
                  <w14:solidFill>
                    <w14:srgbClr w14:val="000000"/>
                  </w14:solidFill>
                  <w14:prstDash w14:val="solid"/>
                  <w14:miter w14:val="0"/>
                </w14:textOutline>
              </w:rPr>
              <w:t>东经</w:t>
            </w:r>
          </w:p>
        </w:tc>
        <w:tc>
          <w:tcPr>
            <w:tcW w:w="739" w:type="dxa"/>
            <w:vAlign w:val="top"/>
          </w:tcPr>
          <w:p>
            <w:pPr>
              <w:spacing w:line="258" w:lineRule="auto"/>
              <w:rPr>
                <w:rFonts w:ascii="Arial"/>
                <w:sz w:val="21"/>
              </w:rPr>
            </w:pPr>
          </w:p>
          <w:p>
            <w:pPr>
              <w:pStyle w:val="6"/>
              <w:spacing w:before="69" w:line="221" w:lineRule="auto"/>
              <w:ind w:left="169"/>
            </w:pPr>
            <w:r>
              <w:rPr>
                <w:spacing w:val="-3"/>
                <w14:textOutline w14:w="3831" w14:cap="flat" w14:cmpd="sng">
                  <w14:solidFill>
                    <w14:srgbClr w14:val="000000"/>
                  </w14:solidFill>
                  <w14:prstDash w14:val="solid"/>
                  <w14:miter w14:val="0"/>
                </w14:textOutline>
              </w:rPr>
              <w:t>北纬</w:t>
            </w:r>
          </w:p>
        </w:tc>
        <w:tc>
          <w:tcPr>
            <w:tcW w:w="627" w:type="dxa"/>
            <w:vMerge w:val="continue"/>
            <w:tcBorders>
              <w:top w:val="nil"/>
            </w:tcBorders>
            <w:vAlign w:val="top"/>
          </w:tcPr>
          <w:p>
            <w:pPr>
              <w:rPr>
                <w:rFonts w:ascii="Arial"/>
                <w:sz w:val="21"/>
              </w:rPr>
            </w:pPr>
          </w:p>
        </w:tc>
        <w:tc>
          <w:tcPr>
            <w:tcW w:w="787" w:type="dxa"/>
            <w:vAlign w:val="top"/>
          </w:tcPr>
          <w:p>
            <w:pPr>
              <w:spacing w:line="258" w:lineRule="auto"/>
              <w:rPr>
                <w:rFonts w:ascii="Arial"/>
                <w:sz w:val="21"/>
              </w:rPr>
            </w:pPr>
          </w:p>
          <w:p>
            <w:pPr>
              <w:pStyle w:val="6"/>
              <w:spacing w:before="68" w:line="221" w:lineRule="auto"/>
              <w:ind w:left="197"/>
            </w:pPr>
            <w:r>
              <w:rPr>
                <w:spacing w:val="-4"/>
                <w14:textOutline w14:w="3831" w14:cap="flat" w14:cmpd="sng">
                  <w14:solidFill>
                    <w14:srgbClr w14:val="000000"/>
                  </w14:solidFill>
                  <w14:prstDash w14:val="solid"/>
                  <w14:miter w14:val="0"/>
                </w14:textOutline>
              </w:rPr>
              <w:t>东经</w:t>
            </w:r>
          </w:p>
        </w:tc>
        <w:tc>
          <w:tcPr>
            <w:tcW w:w="739" w:type="dxa"/>
            <w:vAlign w:val="top"/>
          </w:tcPr>
          <w:p>
            <w:pPr>
              <w:spacing w:line="258" w:lineRule="auto"/>
              <w:rPr>
                <w:rFonts w:ascii="Arial"/>
                <w:sz w:val="21"/>
              </w:rPr>
            </w:pPr>
          </w:p>
          <w:p>
            <w:pPr>
              <w:pStyle w:val="6"/>
              <w:spacing w:before="69" w:line="221" w:lineRule="auto"/>
              <w:ind w:left="169"/>
            </w:pPr>
            <w:r>
              <w:rPr>
                <w:spacing w:val="-3"/>
                <w14:textOutline w14:w="3831" w14:cap="flat" w14:cmpd="sng">
                  <w14:solidFill>
                    <w14:srgbClr w14:val="000000"/>
                  </w14:solidFill>
                  <w14:prstDash w14:val="solid"/>
                  <w14:miter w14:val="0"/>
                </w14:textOutline>
              </w:rPr>
              <w:t>北纬</w:t>
            </w:r>
          </w:p>
        </w:tc>
        <w:tc>
          <w:tcPr>
            <w:tcW w:w="741" w:type="dxa"/>
            <w:vMerge w:val="continue"/>
            <w:tcBorders>
              <w:top w:val="nil"/>
            </w:tcBorders>
            <w:vAlign w:val="top"/>
          </w:tcPr>
          <w:p>
            <w:pPr>
              <w:rPr>
                <w:rFonts w:ascii="Arial"/>
                <w:sz w:val="21"/>
              </w:rPr>
            </w:pPr>
          </w:p>
        </w:tc>
        <w:tc>
          <w:tcPr>
            <w:tcW w:w="62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389" w:type="dxa"/>
            <w:vAlign w:val="top"/>
          </w:tcPr>
          <w:p>
            <w:pPr>
              <w:pStyle w:val="6"/>
              <w:spacing w:before="138" w:line="312" w:lineRule="exact"/>
              <w:ind w:left="100"/>
            </w:pPr>
            <w:r>
              <w:rPr>
                <w:position w:val="7"/>
              </w:rPr>
              <w:t>飞</w:t>
            </w:r>
          </w:p>
          <w:p>
            <w:pPr>
              <w:pStyle w:val="6"/>
              <w:spacing w:before="1" w:line="229" w:lineRule="auto"/>
              <w:ind w:left="100"/>
            </w:pPr>
            <w:r>
              <w:t>云</w:t>
            </w:r>
          </w:p>
          <w:p>
            <w:pPr>
              <w:spacing w:before="86" w:line="187" w:lineRule="auto"/>
              <w:ind w:left="11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679" w:type="dxa"/>
            <w:vAlign w:val="top"/>
          </w:tcPr>
          <w:p>
            <w:pPr>
              <w:spacing w:line="380" w:lineRule="auto"/>
              <w:rPr>
                <w:rFonts w:ascii="Arial"/>
                <w:sz w:val="21"/>
              </w:rPr>
            </w:pPr>
          </w:p>
          <w:p>
            <w:pPr>
              <w:pStyle w:val="6"/>
              <w:spacing w:before="68" w:line="222" w:lineRule="auto"/>
              <w:ind w:left="134"/>
            </w:pPr>
            <w:r>
              <w:rPr>
                <w:spacing w:val="-2"/>
              </w:rPr>
              <w:t>文成</w:t>
            </w:r>
          </w:p>
        </w:tc>
        <w:tc>
          <w:tcPr>
            <w:tcW w:w="1202" w:type="dxa"/>
            <w:vAlign w:val="top"/>
          </w:tcPr>
          <w:p>
            <w:pPr>
              <w:spacing w:line="268" w:lineRule="auto"/>
              <w:rPr>
                <w:rFonts w:ascii="Arial"/>
                <w:sz w:val="21"/>
              </w:rPr>
            </w:pPr>
          </w:p>
          <w:p>
            <w:pPr>
              <w:spacing w:before="61" w:line="312" w:lineRule="exact"/>
              <w:ind w:left="55"/>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G030280100</w:t>
            </w:r>
          </w:p>
          <w:p>
            <w:pPr>
              <w:spacing w:line="186"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c>
          <w:tcPr>
            <w:tcW w:w="820" w:type="dxa"/>
            <w:vAlign w:val="top"/>
          </w:tcPr>
          <w:p>
            <w:pPr>
              <w:pStyle w:val="6"/>
              <w:spacing w:before="137" w:line="257" w:lineRule="auto"/>
              <w:ind w:left="97" w:right="92" w:firstLine="7"/>
              <w:jc w:val="both"/>
            </w:pPr>
            <w:r>
              <w:rPr>
                <w:spacing w:val="-5"/>
              </w:rPr>
              <w:t>峃作口</w:t>
            </w:r>
            <w:r>
              <w:rPr>
                <w:spacing w:val="1"/>
              </w:rPr>
              <w:t xml:space="preserve"> </w:t>
            </w:r>
            <w:r>
              <w:rPr>
                <w:spacing w:val="-2"/>
              </w:rPr>
              <w:t>溪文成</w:t>
            </w:r>
            <w:r>
              <w:t xml:space="preserve"> </w:t>
            </w:r>
            <w:r>
              <w:rPr>
                <w:spacing w:val="-2"/>
              </w:rPr>
              <w:t>保留区</w:t>
            </w:r>
          </w:p>
        </w:tc>
        <w:tc>
          <w:tcPr>
            <w:tcW w:w="612" w:type="dxa"/>
            <w:vAlign w:val="top"/>
          </w:tcPr>
          <w:p>
            <w:pPr>
              <w:rPr>
                <w:rFonts w:ascii="Arial"/>
                <w:sz w:val="21"/>
              </w:rPr>
            </w:pPr>
          </w:p>
        </w:tc>
        <w:tc>
          <w:tcPr>
            <w:tcW w:w="1545" w:type="dxa"/>
            <w:vAlign w:val="top"/>
          </w:tcPr>
          <w:p>
            <w:pPr>
              <w:spacing w:line="268" w:lineRule="auto"/>
              <w:rPr>
                <w:rFonts w:ascii="Arial"/>
                <w:sz w:val="21"/>
              </w:rPr>
            </w:pPr>
          </w:p>
          <w:p>
            <w:pPr>
              <w:spacing w:before="61" w:line="312" w:lineRule="exact"/>
              <w:ind w:left="48"/>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330328GA06060</w:t>
            </w:r>
          </w:p>
          <w:p>
            <w:pPr>
              <w:spacing w:line="186" w:lineRule="auto"/>
              <w:ind w:left="4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0000190</w:t>
            </w:r>
          </w:p>
        </w:tc>
        <w:tc>
          <w:tcPr>
            <w:tcW w:w="660" w:type="dxa"/>
            <w:vAlign w:val="top"/>
          </w:tcPr>
          <w:p>
            <w:pPr>
              <w:spacing w:line="380" w:lineRule="auto"/>
              <w:rPr>
                <w:rFonts w:ascii="Arial"/>
                <w:sz w:val="21"/>
              </w:rPr>
            </w:pPr>
          </w:p>
          <w:p>
            <w:pPr>
              <w:pStyle w:val="6"/>
              <w:spacing w:before="68" w:line="221" w:lineRule="auto"/>
              <w:ind w:left="20"/>
            </w:pPr>
            <w:r>
              <w:rPr>
                <w:spacing w:val="-2"/>
              </w:rPr>
              <w:t>保留区</w:t>
            </w:r>
          </w:p>
        </w:tc>
        <w:tc>
          <w:tcPr>
            <w:tcW w:w="624" w:type="dxa"/>
            <w:vAlign w:val="top"/>
          </w:tcPr>
          <w:p>
            <w:pPr>
              <w:pStyle w:val="6"/>
              <w:spacing w:before="295" w:line="221" w:lineRule="auto"/>
              <w:ind w:left="107"/>
            </w:pPr>
            <w:r>
              <w:rPr>
                <w:spacing w:val="-2"/>
              </w:rPr>
              <w:t>浙闽</w:t>
            </w:r>
          </w:p>
          <w:p>
            <w:pPr>
              <w:pStyle w:val="6"/>
              <w:spacing w:before="60" w:line="221" w:lineRule="auto"/>
              <w:ind w:left="221"/>
            </w:pPr>
            <w:r>
              <w:t>皖</w:t>
            </w:r>
          </w:p>
        </w:tc>
        <w:tc>
          <w:tcPr>
            <w:tcW w:w="627" w:type="dxa"/>
            <w:vAlign w:val="top"/>
          </w:tcPr>
          <w:p>
            <w:pPr>
              <w:pStyle w:val="6"/>
              <w:spacing w:before="294" w:line="253" w:lineRule="auto"/>
              <w:ind w:left="215" w:right="99" w:hanging="100"/>
            </w:pPr>
            <w:r>
              <w:rPr>
                <w:spacing w:val="-7"/>
              </w:rPr>
              <w:t>飞云</w:t>
            </w:r>
            <w:r>
              <w:t xml:space="preserve"> 江</w:t>
            </w:r>
          </w:p>
        </w:tc>
        <w:tc>
          <w:tcPr>
            <w:tcW w:w="676" w:type="dxa"/>
            <w:vAlign w:val="top"/>
          </w:tcPr>
          <w:p>
            <w:pPr>
              <w:pStyle w:val="6"/>
              <w:spacing w:before="293" w:line="249" w:lineRule="auto"/>
              <w:ind w:left="237" w:right="18" w:hanging="203"/>
            </w:pPr>
            <w:r>
              <w:rPr>
                <w:spacing w:val="-5"/>
              </w:rPr>
              <w:t>峃作口</w:t>
            </w:r>
            <w:r>
              <w:rPr>
                <w:spacing w:val="1"/>
              </w:rPr>
              <w:t xml:space="preserve"> </w:t>
            </w:r>
            <w:r>
              <w:t>溪</w:t>
            </w:r>
          </w:p>
        </w:tc>
        <w:tc>
          <w:tcPr>
            <w:tcW w:w="626" w:type="dxa"/>
            <w:vAlign w:val="top"/>
          </w:tcPr>
          <w:p>
            <w:pPr>
              <w:pStyle w:val="6"/>
              <w:spacing w:before="137" w:line="257" w:lineRule="auto"/>
              <w:ind w:left="107" w:right="99" w:firstLine="5"/>
              <w:jc w:val="both"/>
            </w:pPr>
            <w:r>
              <w:rPr>
                <w:spacing w:val="-7"/>
              </w:rPr>
              <w:t>下垟</w:t>
            </w:r>
            <w:r>
              <w:t xml:space="preserve"> </w:t>
            </w:r>
            <w:r>
              <w:rPr>
                <w:spacing w:val="-4"/>
              </w:rPr>
              <w:t>村上</w:t>
            </w:r>
            <w:r>
              <w:t xml:space="preserve"> </w:t>
            </w:r>
            <w:r>
              <w:rPr>
                <w:spacing w:val="32"/>
                <w:w w:val="131"/>
              </w:rPr>
              <w:t>游</w:t>
            </w:r>
          </w:p>
        </w:tc>
        <w:tc>
          <w:tcPr>
            <w:tcW w:w="784" w:type="dxa"/>
            <w:vAlign w:val="top"/>
          </w:tcPr>
          <w:p>
            <w:pPr>
              <w:spacing w:line="266" w:lineRule="auto"/>
              <w:rPr>
                <w:rFonts w:ascii="Arial"/>
                <w:sz w:val="21"/>
              </w:rPr>
            </w:pPr>
          </w:p>
          <w:p>
            <w:pPr>
              <w:spacing w:before="61" w:line="312" w:lineRule="exact"/>
              <w:ind w:left="87"/>
              <w:rPr>
                <w:rFonts w:ascii="Times New Roman" w:hAnsi="Times New Roman" w:eastAsia="Times New Roman" w:cs="Times New Roman"/>
                <w:sz w:val="21"/>
                <w:szCs w:val="21"/>
              </w:rPr>
            </w:pPr>
            <w:r>
              <w:rPr>
                <w:rFonts w:ascii="Times New Roman" w:hAnsi="Times New Roman" w:eastAsia="Times New Roman" w:cs="Times New Roman"/>
                <w:spacing w:val="-3"/>
                <w:position w:val="11"/>
                <w:sz w:val="21"/>
                <w:szCs w:val="21"/>
              </w:rPr>
              <w:t>119°48′</w:t>
            </w:r>
          </w:p>
          <w:p>
            <w:pPr>
              <w:spacing w:line="189" w:lineRule="auto"/>
              <w:ind w:left="24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739" w:type="dxa"/>
            <w:vAlign w:val="top"/>
          </w:tcPr>
          <w:p>
            <w:pPr>
              <w:spacing w:line="266" w:lineRule="auto"/>
              <w:rPr>
                <w:rFonts w:ascii="Arial"/>
                <w:sz w:val="21"/>
              </w:rPr>
            </w:pPr>
          </w:p>
          <w:p>
            <w:pPr>
              <w:spacing w:before="61" w:line="312" w:lineRule="exact"/>
              <w:ind w:left="44"/>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27°52′0</w:t>
            </w:r>
          </w:p>
          <w:p>
            <w:pPr>
              <w:spacing w:line="189"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w:t>
            </w:r>
          </w:p>
        </w:tc>
        <w:tc>
          <w:tcPr>
            <w:tcW w:w="627" w:type="dxa"/>
            <w:vAlign w:val="top"/>
          </w:tcPr>
          <w:p>
            <w:pPr>
              <w:pStyle w:val="6"/>
              <w:spacing w:before="294" w:line="256" w:lineRule="auto"/>
              <w:ind w:left="246" w:right="96" w:hanging="129"/>
            </w:pPr>
            <w:r>
              <w:rPr>
                <w:spacing w:val="-6"/>
              </w:rPr>
              <w:t>小溪</w:t>
            </w:r>
            <w:r>
              <w:t xml:space="preserve"> 口</w:t>
            </w:r>
          </w:p>
        </w:tc>
        <w:tc>
          <w:tcPr>
            <w:tcW w:w="787" w:type="dxa"/>
            <w:vAlign w:val="top"/>
          </w:tcPr>
          <w:p>
            <w:pPr>
              <w:spacing w:line="266" w:lineRule="auto"/>
              <w:rPr>
                <w:rFonts w:ascii="Arial"/>
                <w:sz w:val="21"/>
              </w:rPr>
            </w:pPr>
          </w:p>
          <w:p>
            <w:pPr>
              <w:spacing w:before="61" w:line="312" w:lineRule="exact"/>
              <w:ind w:right="6"/>
              <w:jc w:val="right"/>
              <w:rPr>
                <w:rFonts w:ascii="Times New Roman" w:hAnsi="Times New Roman" w:eastAsia="Times New Roman" w:cs="Times New Roman"/>
                <w:sz w:val="21"/>
                <w:szCs w:val="21"/>
              </w:rPr>
            </w:pPr>
            <w:r>
              <w:rPr>
                <w:rFonts w:ascii="Times New Roman" w:hAnsi="Times New Roman" w:eastAsia="Times New Roman" w:cs="Times New Roman"/>
                <w:spacing w:val="-4"/>
                <w:position w:val="11"/>
                <w:sz w:val="21"/>
                <w:szCs w:val="21"/>
              </w:rPr>
              <w:t>119°55′2</w:t>
            </w:r>
          </w:p>
          <w:p>
            <w:pPr>
              <w:spacing w:line="189" w:lineRule="auto"/>
              <w:ind w:left="3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w:t>
            </w:r>
          </w:p>
        </w:tc>
        <w:tc>
          <w:tcPr>
            <w:tcW w:w="739" w:type="dxa"/>
            <w:vAlign w:val="top"/>
          </w:tcPr>
          <w:p>
            <w:pPr>
              <w:spacing w:line="266" w:lineRule="auto"/>
              <w:rPr>
                <w:rFonts w:ascii="Arial"/>
                <w:sz w:val="21"/>
              </w:rPr>
            </w:pPr>
          </w:p>
          <w:p>
            <w:pPr>
              <w:spacing w:before="61" w:line="312" w:lineRule="exact"/>
              <w:ind w:left="44"/>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27°41′4</w:t>
            </w:r>
          </w:p>
          <w:p>
            <w:pPr>
              <w:spacing w:line="189"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w:t>
            </w:r>
          </w:p>
        </w:tc>
        <w:tc>
          <w:tcPr>
            <w:tcW w:w="741" w:type="dxa"/>
            <w:vAlign w:val="top"/>
          </w:tcPr>
          <w:p>
            <w:pPr>
              <w:spacing w:line="424" w:lineRule="auto"/>
              <w:rPr>
                <w:rFonts w:ascii="Arial"/>
                <w:sz w:val="21"/>
              </w:rPr>
            </w:pPr>
          </w:p>
          <w:p>
            <w:pPr>
              <w:spacing w:before="60"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629" w:type="dxa"/>
            <w:vAlign w:val="top"/>
          </w:tcPr>
          <w:p>
            <w:pPr>
              <w:spacing w:line="425" w:lineRule="auto"/>
              <w:rPr>
                <w:rFonts w:ascii="Arial"/>
                <w:sz w:val="21"/>
              </w:rPr>
            </w:pPr>
          </w:p>
          <w:p>
            <w:pPr>
              <w:spacing w:before="60" w:line="186" w:lineRule="auto"/>
              <w:ind w:left="248"/>
              <w:rPr>
                <w:rFonts w:ascii="Times New Roman" w:hAnsi="Times New Roman" w:eastAsia="Times New Roman" w:cs="Times New Roman"/>
                <w:sz w:val="21"/>
                <w:szCs w:val="21"/>
              </w:rPr>
            </w:pPr>
            <w:r>
              <w:rPr>
                <w:rFonts w:ascii="Times New Roman" w:hAnsi="Times New Roman" w:eastAsia="Times New Roman" w:cs="Times New Roman"/>
                <w:sz w:val="21"/>
                <w:szCs w:val="21"/>
              </w:rPr>
              <w:t>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1" w:hRule="atLeast"/>
        </w:trPr>
        <w:tc>
          <w:tcPr>
            <w:tcW w:w="389" w:type="dxa"/>
            <w:vAlign w:val="top"/>
          </w:tcPr>
          <w:p>
            <w:pPr>
              <w:pStyle w:val="6"/>
              <w:spacing w:before="225" w:line="312" w:lineRule="exact"/>
              <w:ind w:left="100"/>
            </w:pPr>
            <w:r>
              <w:rPr>
                <w:position w:val="7"/>
              </w:rPr>
              <w:t>飞</w:t>
            </w:r>
          </w:p>
          <w:p>
            <w:pPr>
              <w:pStyle w:val="6"/>
              <w:spacing w:before="1" w:line="229" w:lineRule="auto"/>
              <w:ind w:left="100"/>
            </w:pPr>
            <w:r>
              <w:t>云</w:t>
            </w:r>
          </w:p>
          <w:p>
            <w:pPr>
              <w:spacing w:before="86" w:line="187" w:lineRule="auto"/>
              <w:ind w:left="11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679" w:type="dxa"/>
            <w:vAlign w:val="top"/>
          </w:tcPr>
          <w:p>
            <w:pPr>
              <w:spacing w:line="466" w:lineRule="auto"/>
              <w:rPr>
                <w:rFonts w:ascii="Arial"/>
                <w:sz w:val="21"/>
              </w:rPr>
            </w:pPr>
          </w:p>
          <w:p>
            <w:pPr>
              <w:pStyle w:val="6"/>
              <w:spacing w:before="69" w:line="222" w:lineRule="auto"/>
              <w:ind w:left="134"/>
            </w:pPr>
            <w:r>
              <w:rPr>
                <w:spacing w:val="-2"/>
              </w:rPr>
              <w:t>文成</w:t>
            </w:r>
          </w:p>
        </w:tc>
        <w:tc>
          <w:tcPr>
            <w:tcW w:w="1202" w:type="dxa"/>
            <w:vAlign w:val="top"/>
          </w:tcPr>
          <w:p>
            <w:pPr>
              <w:spacing w:line="355" w:lineRule="auto"/>
              <w:rPr>
                <w:rFonts w:ascii="Arial"/>
                <w:sz w:val="21"/>
              </w:rPr>
            </w:pPr>
          </w:p>
          <w:p>
            <w:pPr>
              <w:spacing w:before="60" w:line="313" w:lineRule="exact"/>
              <w:ind w:left="55"/>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G030280120</w:t>
            </w:r>
          </w:p>
          <w:p>
            <w:pPr>
              <w:spacing w:line="186"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c>
          <w:tcPr>
            <w:tcW w:w="820" w:type="dxa"/>
            <w:vAlign w:val="top"/>
          </w:tcPr>
          <w:p>
            <w:pPr>
              <w:pStyle w:val="6"/>
              <w:spacing w:before="225" w:line="223" w:lineRule="auto"/>
              <w:ind w:left="99"/>
            </w:pPr>
            <w:r>
              <w:rPr>
                <w:spacing w:val="-2"/>
              </w:rPr>
              <w:t>泗溪文</w:t>
            </w:r>
          </w:p>
          <w:p>
            <w:pPr>
              <w:pStyle w:val="6"/>
              <w:spacing w:before="58" w:line="221" w:lineRule="auto"/>
              <w:ind w:left="98"/>
            </w:pPr>
            <w:r>
              <w:rPr>
                <w:spacing w:val="-2"/>
              </w:rPr>
              <w:t>成保留</w:t>
            </w:r>
          </w:p>
          <w:p>
            <w:pPr>
              <w:pStyle w:val="6"/>
              <w:spacing w:before="59" w:line="226" w:lineRule="auto"/>
              <w:ind w:left="321"/>
            </w:pPr>
            <w:r>
              <w:t>区</w:t>
            </w:r>
          </w:p>
        </w:tc>
        <w:tc>
          <w:tcPr>
            <w:tcW w:w="612" w:type="dxa"/>
            <w:vAlign w:val="top"/>
          </w:tcPr>
          <w:p>
            <w:pPr>
              <w:rPr>
                <w:rFonts w:ascii="Arial"/>
                <w:sz w:val="21"/>
              </w:rPr>
            </w:pPr>
          </w:p>
        </w:tc>
        <w:tc>
          <w:tcPr>
            <w:tcW w:w="1545" w:type="dxa"/>
            <w:vAlign w:val="top"/>
          </w:tcPr>
          <w:p>
            <w:pPr>
              <w:spacing w:line="355" w:lineRule="auto"/>
              <w:rPr>
                <w:rFonts w:ascii="Arial"/>
                <w:sz w:val="21"/>
              </w:rPr>
            </w:pPr>
          </w:p>
          <w:p>
            <w:pPr>
              <w:spacing w:before="60" w:line="313" w:lineRule="exact"/>
              <w:ind w:left="48"/>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330328GA06070</w:t>
            </w:r>
          </w:p>
          <w:p>
            <w:pPr>
              <w:spacing w:line="186" w:lineRule="auto"/>
              <w:ind w:left="4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0000190</w:t>
            </w:r>
          </w:p>
        </w:tc>
        <w:tc>
          <w:tcPr>
            <w:tcW w:w="660" w:type="dxa"/>
            <w:vAlign w:val="top"/>
          </w:tcPr>
          <w:p>
            <w:pPr>
              <w:spacing w:line="467" w:lineRule="auto"/>
              <w:rPr>
                <w:rFonts w:ascii="Arial"/>
                <w:sz w:val="21"/>
              </w:rPr>
            </w:pPr>
          </w:p>
          <w:p>
            <w:pPr>
              <w:pStyle w:val="6"/>
              <w:spacing w:before="68" w:line="221" w:lineRule="auto"/>
              <w:ind w:left="20"/>
            </w:pPr>
            <w:r>
              <w:rPr>
                <w:spacing w:val="-2"/>
              </w:rPr>
              <w:t>保留区</w:t>
            </w:r>
          </w:p>
        </w:tc>
        <w:tc>
          <w:tcPr>
            <w:tcW w:w="624" w:type="dxa"/>
            <w:vAlign w:val="top"/>
          </w:tcPr>
          <w:p>
            <w:pPr>
              <w:spacing w:line="312" w:lineRule="auto"/>
              <w:rPr>
                <w:rFonts w:ascii="Arial"/>
                <w:sz w:val="21"/>
              </w:rPr>
            </w:pPr>
          </w:p>
          <w:p>
            <w:pPr>
              <w:pStyle w:val="6"/>
              <w:spacing w:before="68" w:line="221" w:lineRule="auto"/>
              <w:ind w:left="107"/>
            </w:pPr>
            <w:r>
              <w:rPr>
                <w:spacing w:val="-2"/>
              </w:rPr>
              <w:t>浙闽</w:t>
            </w:r>
          </w:p>
          <w:p>
            <w:pPr>
              <w:pStyle w:val="6"/>
              <w:spacing w:before="60" w:line="221" w:lineRule="auto"/>
              <w:ind w:left="221"/>
            </w:pPr>
            <w:r>
              <w:t>皖</w:t>
            </w:r>
          </w:p>
        </w:tc>
        <w:tc>
          <w:tcPr>
            <w:tcW w:w="627" w:type="dxa"/>
            <w:vAlign w:val="top"/>
          </w:tcPr>
          <w:p>
            <w:pPr>
              <w:spacing w:line="311" w:lineRule="auto"/>
              <w:rPr>
                <w:rFonts w:ascii="Arial"/>
                <w:sz w:val="21"/>
              </w:rPr>
            </w:pPr>
          </w:p>
          <w:p>
            <w:pPr>
              <w:pStyle w:val="6"/>
              <w:spacing w:before="68" w:line="253" w:lineRule="auto"/>
              <w:ind w:left="215" w:right="99" w:hanging="100"/>
            </w:pPr>
            <w:r>
              <w:rPr>
                <w:spacing w:val="-7"/>
              </w:rPr>
              <w:t>飞云</w:t>
            </w:r>
            <w:r>
              <w:t xml:space="preserve"> 江</w:t>
            </w:r>
          </w:p>
        </w:tc>
        <w:tc>
          <w:tcPr>
            <w:tcW w:w="676" w:type="dxa"/>
            <w:vAlign w:val="top"/>
          </w:tcPr>
          <w:p>
            <w:pPr>
              <w:spacing w:line="466" w:lineRule="auto"/>
              <w:rPr>
                <w:rFonts w:ascii="Arial"/>
                <w:sz w:val="21"/>
              </w:rPr>
            </w:pPr>
          </w:p>
          <w:p>
            <w:pPr>
              <w:pStyle w:val="6"/>
              <w:spacing w:before="68" w:line="223" w:lineRule="auto"/>
              <w:ind w:left="135"/>
            </w:pPr>
            <w:r>
              <w:rPr>
                <w:spacing w:val="-3"/>
              </w:rPr>
              <w:t>泗溪</w:t>
            </w:r>
          </w:p>
        </w:tc>
        <w:tc>
          <w:tcPr>
            <w:tcW w:w="626" w:type="dxa"/>
            <w:vAlign w:val="top"/>
          </w:tcPr>
          <w:p>
            <w:pPr>
              <w:pStyle w:val="6"/>
              <w:spacing w:before="69" w:line="261" w:lineRule="auto"/>
              <w:ind w:left="20" w:right="10" w:firstLine="85"/>
              <w:jc w:val="both"/>
            </w:pPr>
            <w:r>
              <w:rPr>
                <w:spacing w:val="-3"/>
              </w:rPr>
              <w:t>梅树</w:t>
            </w:r>
            <w:r>
              <w:t xml:space="preserve">  </w:t>
            </w:r>
            <w:r>
              <w:rPr>
                <w:spacing w:val="40"/>
              </w:rPr>
              <w:t>坑上</w:t>
            </w:r>
            <w:r>
              <w:t xml:space="preserve">  </w:t>
            </w:r>
            <w:r>
              <w:rPr>
                <w:spacing w:val="-14"/>
              </w:rPr>
              <w:t>游（源</w:t>
            </w:r>
            <w:r>
              <w:t xml:space="preserve"> </w:t>
            </w:r>
            <w:r>
              <w:rPr>
                <w:spacing w:val="33"/>
              </w:rPr>
              <w:t>头）</w:t>
            </w:r>
          </w:p>
        </w:tc>
        <w:tc>
          <w:tcPr>
            <w:tcW w:w="784" w:type="dxa"/>
            <w:vAlign w:val="top"/>
          </w:tcPr>
          <w:p>
            <w:pPr>
              <w:spacing w:line="353" w:lineRule="auto"/>
              <w:rPr>
                <w:rFonts w:ascii="Arial"/>
                <w:sz w:val="21"/>
              </w:rPr>
            </w:pPr>
          </w:p>
          <w:p>
            <w:pPr>
              <w:spacing w:before="60" w:line="312" w:lineRule="exact"/>
              <w:ind w:left="87"/>
              <w:rPr>
                <w:rFonts w:ascii="Times New Roman" w:hAnsi="Times New Roman" w:eastAsia="Times New Roman" w:cs="Times New Roman"/>
                <w:sz w:val="21"/>
                <w:szCs w:val="21"/>
              </w:rPr>
            </w:pPr>
            <w:r>
              <w:rPr>
                <w:rFonts w:ascii="Times New Roman" w:hAnsi="Times New Roman" w:eastAsia="Times New Roman" w:cs="Times New Roman"/>
                <w:spacing w:val="-3"/>
                <w:position w:val="11"/>
                <w:sz w:val="21"/>
                <w:szCs w:val="21"/>
              </w:rPr>
              <w:t>119°55′</w:t>
            </w:r>
          </w:p>
          <w:p>
            <w:pPr>
              <w:spacing w:line="189"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w:t>
            </w:r>
          </w:p>
        </w:tc>
        <w:tc>
          <w:tcPr>
            <w:tcW w:w="739" w:type="dxa"/>
            <w:vAlign w:val="top"/>
          </w:tcPr>
          <w:p>
            <w:pPr>
              <w:spacing w:line="353" w:lineRule="auto"/>
              <w:rPr>
                <w:rFonts w:ascii="Arial"/>
                <w:sz w:val="21"/>
              </w:rPr>
            </w:pPr>
          </w:p>
          <w:p>
            <w:pPr>
              <w:spacing w:before="60" w:line="312" w:lineRule="exact"/>
              <w:ind w:left="44"/>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27°57′0</w:t>
            </w:r>
          </w:p>
          <w:p>
            <w:pPr>
              <w:spacing w:line="189"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w:t>
            </w:r>
          </w:p>
        </w:tc>
        <w:tc>
          <w:tcPr>
            <w:tcW w:w="627" w:type="dxa"/>
            <w:vAlign w:val="top"/>
          </w:tcPr>
          <w:p>
            <w:pPr>
              <w:pStyle w:val="6"/>
              <w:spacing w:before="70" w:line="261" w:lineRule="auto"/>
              <w:ind w:left="110" w:right="96" w:firstLine="8"/>
              <w:jc w:val="both"/>
            </w:pPr>
            <w:r>
              <w:rPr>
                <w:spacing w:val="-7"/>
              </w:rPr>
              <w:t>百丈</w:t>
            </w:r>
            <w:r>
              <w:t xml:space="preserve"> </w:t>
            </w:r>
            <w:r>
              <w:rPr>
                <w:spacing w:val="-3"/>
              </w:rPr>
              <w:t>漈水</w:t>
            </w:r>
            <w:r>
              <w:t xml:space="preserve"> </w:t>
            </w:r>
            <w:r>
              <w:rPr>
                <w:spacing w:val="-3"/>
              </w:rPr>
              <w:t>库大</w:t>
            </w:r>
            <w:r>
              <w:t xml:space="preserve"> </w:t>
            </w:r>
            <w:r>
              <w:rPr>
                <w:spacing w:val="29"/>
                <w:w w:val="132"/>
              </w:rPr>
              <w:t>坝</w:t>
            </w:r>
          </w:p>
        </w:tc>
        <w:tc>
          <w:tcPr>
            <w:tcW w:w="787" w:type="dxa"/>
            <w:vAlign w:val="top"/>
          </w:tcPr>
          <w:p>
            <w:pPr>
              <w:spacing w:line="353" w:lineRule="auto"/>
              <w:rPr>
                <w:rFonts w:ascii="Arial"/>
                <w:sz w:val="21"/>
              </w:rPr>
            </w:pPr>
          </w:p>
          <w:p>
            <w:pPr>
              <w:spacing w:before="60" w:line="312" w:lineRule="exact"/>
              <w:ind w:left="91"/>
              <w:rPr>
                <w:rFonts w:ascii="Times New Roman" w:hAnsi="Times New Roman" w:eastAsia="Times New Roman" w:cs="Times New Roman"/>
                <w:sz w:val="21"/>
                <w:szCs w:val="21"/>
              </w:rPr>
            </w:pPr>
            <w:r>
              <w:rPr>
                <w:rFonts w:ascii="Times New Roman" w:hAnsi="Times New Roman" w:eastAsia="Times New Roman" w:cs="Times New Roman"/>
                <w:spacing w:val="-3"/>
                <w:position w:val="11"/>
                <w:sz w:val="21"/>
                <w:szCs w:val="21"/>
              </w:rPr>
              <w:t>120°00′</w:t>
            </w:r>
          </w:p>
          <w:p>
            <w:pPr>
              <w:spacing w:line="189"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739" w:type="dxa"/>
            <w:vAlign w:val="top"/>
          </w:tcPr>
          <w:p>
            <w:pPr>
              <w:spacing w:line="353" w:lineRule="auto"/>
              <w:rPr>
                <w:rFonts w:ascii="Arial"/>
                <w:sz w:val="21"/>
              </w:rPr>
            </w:pPr>
          </w:p>
          <w:p>
            <w:pPr>
              <w:spacing w:before="60" w:line="312" w:lineRule="exact"/>
              <w:ind w:left="44"/>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27°50′5</w:t>
            </w:r>
          </w:p>
          <w:p>
            <w:pPr>
              <w:spacing w:line="189" w:lineRule="auto"/>
              <w:ind w:left="2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w:t>
            </w:r>
          </w:p>
        </w:tc>
        <w:tc>
          <w:tcPr>
            <w:tcW w:w="741" w:type="dxa"/>
            <w:vAlign w:val="top"/>
          </w:tcPr>
          <w:p>
            <w:pPr>
              <w:spacing w:line="255" w:lineRule="auto"/>
              <w:rPr>
                <w:rFonts w:ascii="Arial"/>
                <w:sz w:val="21"/>
              </w:rPr>
            </w:pPr>
          </w:p>
          <w:p>
            <w:pPr>
              <w:spacing w:line="255" w:lineRule="auto"/>
              <w:rPr>
                <w:rFonts w:ascii="Arial"/>
                <w:sz w:val="21"/>
              </w:rPr>
            </w:pPr>
          </w:p>
          <w:p>
            <w:pPr>
              <w:spacing w:before="61" w:line="187"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629" w:type="dxa"/>
            <w:vAlign w:val="top"/>
          </w:tcPr>
          <w:p>
            <w:pPr>
              <w:spacing w:line="255" w:lineRule="auto"/>
              <w:rPr>
                <w:rFonts w:ascii="Arial"/>
                <w:sz w:val="21"/>
              </w:rPr>
            </w:pPr>
          </w:p>
          <w:p>
            <w:pPr>
              <w:spacing w:line="256" w:lineRule="auto"/>
              <w:rPr>
                <w:rFonts w:ascii="Arial"/>
                <w:sz w:val="21"/>
              </w:rPr>
            </w:pPr>
          </w:p>
          <w:p>
            <w:pPr>
              <w:spacing w:before="61" w:line="186" w:lineRule="auto"/>
              <w:ind w:left="216"/>
              <w:rPr>
                <w:rFonts w:ascii="Times New Roman" w:hAnsi="Times New Roman" w:eastAsia="Times New Roman" w:cs="Times New Roman"/>
                <w:sz w:val="21"/>
                <w:szCs w:val="21"/>
              </w:rPr>
            </w:pPr>
            <w:r>
              <w:rPr>
                <w:rFonts w:ascii="Times New Roman" w:hAnsi="Times New Roman" w:eastAsia="Times New Roman" w:cs="Times New Roman"/>
                <w:sz w:val="21"/>
                <w:szCs w:val="21"/>
              </w:rPr>
              <w:t>Ⅲ</w:t>
            </w:r>
          </w:p>
        </w:tc>
      </w:tr>
    </w:tbl>
    <w:p>
      <w:pPr>
        <w:pStyle w:val="2"/>
      </w:pPr>
    </w:p>
    <w:p>
      <w:pPr>
        <w:sectPr>
          <w:headerReference r:id="rId76" w:type="default"/>
          <w:footerReference r:id="rId77" w:type="default"/>
          <w:pgSz w:w="16839" w:h="11907"/>
          <w:pgMar w:top="1005" w:right="1408" w:bottom="1014" w:left="1411" w:header="764" w:footer="853" w:gutter="0"/>
          <w:cols w:space="720" w:num="1"/>
        </w:sectPr>
      </w:pPr>
    </w:p>
    <w:p>
      <w:pPr>
        <w:pStyle w:val="2"/>
        <w:spacing w:line="278" w:lineRule="auto"/>
      </w:pPr>
    </w:p>
    <w:p>
      <w:pPr>
        <w:spacing w:before="78" w:line="220" w:lineRule="auto"/>
        <w:ind w:left="34"/>
        <w:outlineLvl w:val="0"/>
        <w:rPr>
          <w:rFonts w:ascii="宋体" w:hAnsi="宋体" w:eastAsia="宋体" w:cs="宋体"/>
          <w:sz w:val="24"/>
          <w:szCs w:val="24"/>
        </w:rPr>
      </w:pPr>
      <w:r>
        <w:fldChar w:fldCharType="begin"/>
      </w:r>
      <w:r>
        <w:instrText xml:space="preserve"> HYPERLINK "2.4.2.2" </w:instrText>
      </w:r>
      <w:r>
        <w:fldChar w:fldCharType="separate"/>
      </w:r>
      <w:r>
        <w:rPr>
          <w:rFonts w:ascii="Times New Roman" w:hAnsi="Times New Roman" w:eastAsia="Times New Roman" w:cs="Times New Roman"/>
          <w:b/>
          <w:bCs/>
          <w:sz w:val="24"/>
          <w:szCs w:val="24"/>
        </w:rPr>
        <w:t>2.4.2.2</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环境空气功能区划</w:t>
      </w:r>
    </w:p>
    <w:p>
      <w:pPr>
        <w:spacing w:before="181" w:line="466" w:lineRule="exact"/>
        <w:ind w:left="518"/>
        <w:rPr>
          <w:rFonts w:ascii="宋体" w:hAnsi="宋体" w:eastAsia="宋体" w:cs="宋体"/>
          <w:sz w:val="24"/>
          <w:szCs w:val="24"/>
        </w:rPr>
      </w:pPr>
      <w:r>
        <w:rPr>
          <w:rFonts w:ascii="宋体" w:hAnsi="宋体" w:eastAsia="宋体" w:cs="宋体"/>
          <w:spacing w:val="-6"/>
          <w:position w:val="17"/>
          <w:sz w:val="24"/>
          <w:szCs w:val="24"/>
        </w:rPr>
        <w:t>根据《文成县空气质量功能区划分》，</w:t>
      </w:r>
      <w:r>
        <w:rPr>
          <w:rFonts w:ascii="宋体" w:hAnsi="宋体" w:eastAsia="宋体" w:cs="宋体"/>
          <w:spacing w:val="-25"/>
          <w:position w:val="17"/>
          <w:sz w:val="24"/>
          <w:szCs w:val="24"/>
        </w:rPr>
        <w:t xml:space="preserve"> </w:t>
      </w:r>
      <w:r>
        <w:rPr>
          <w:rFonts w:ascii="宋体" w:hAnsi="宋体" w:eastAsia="宋体" w:cs="宋体"/>
          <w:spacing w:val="-6"/>
          <w:position w:val="17"/>
          <w:sz w:val="24"/>
          <w:szCs w:val="24"/>
        </w:rPr>
        <w:t>本项目线路经过区域环境空气质量功</w:t>
      </w:r>
    </w:p>
    <w:p>
      <w:pPr>
        <w:spacing w:line="217" w:lineRule="auto"/>
        <w:ind w:left="47"/>
        <w:rPr>
          <w:rFonts w:ascii="宋体" w:hAnsi="宋体" w:eastAsia="宋体" w:cs="宋体"/>
          <w:sz w:val="24"/>
          <w:szCs w:val="24"/>
        </w:rPr>
      </w:pPr>
      <w:r>
        <w:rPr>
          <w:rFonts w:ascii="宋体" w:hAnsi="宋体" w:eastAsia="宋体" w:cs="宋体"/>
          <w:spacing w:val="-4"/>
          <w:sz w:val="24"/>
          <w:szCs w:val="24"/>
        </w:rPr>
        <w:t>能区划为二类区，具体见附图。</w:t>
      </w:r>
    </w:p>
    <w:p>
      <w:pPr>
        <w:spacing w:before="185" w:line="220" w:lineRule="auto"/>
        <w:ind w:left="34"/>
        <w:outlineLvl w:val="0"/>
        <w:rPr>
          <w:rFonts w:ascii="宋体" w:hAnsi="宋体" w:eastAsia="宋体" w:cs="宋体"/>
          <w:sz w:val="24"/>
          <w:szCs w:val="24"/>
        </w:rPr>
      </w:pPr>
      <w:r>
        <w:fldChar w:fldCharType="begin"/>
      </w:r>
      <w:r>
        <w:instrText xml:space="preserve"> HYPERLINK "2.4.2.3" </w:instrText>
      </w:r>
      <w:r>
        <w:fldChar w:fldCharType="separate"/>
      </w:r>
      <w:r>
        <w:rPr>
          <w:rFonts w:ascii="Times New Roman" w:hAnsi="Times New Roman" w:eastAsia="Times New Roman" w:cs="Times New Roman"/>
          <w:b/>
          <w:bCs/>
          <w:sz w:val="24"/>
          <w:szCs w:val="24"/>
        </w:rPr>
        <w:t>2.4.2.3</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声环境功能区划</w:t>
      </w:r>
    </w:p>
    <w:p>
      <w:pPr>
        <w:spacing w:before="180" w:line="359" w:lineRule="auto"/>
        <w:ind w:left="38" w:firstLine="480"/>
        <w:rPr>
          <w:rFonts w:ascii="宋体" w:hAnsi="宋体" w:eastAsia="宋体" w:cs="宋体"/>
          <w:sz w:val="24"/>
          <w:szCs w:val="24"/>
        </w:rPr>
      </w:pPr>
      <w:r>
        <w:rPr>
          <w:rFonts w:ascii="宋体" w:hAnsi="宋体" w:eastAsia="宋体" w:cs="宋体"/>
          <w:spacing w:val="-9"/>
          <w:sz w:val="24"/>
          <w:szCs w:val="24"/>
        </w:rPr>
        <w:t>本项目位于文成县，</w:t>
      </w:r>
      <w:r>
        <w:rPr>
          <w:rFonts w:ascii="宋体" w:hAnsi="宋体" w:eastAsia="宋体" w:cs="宋体"/>
          <w:spacing w:val="-26"/>
          <w:sz w:val="24"/>
          <w:szCs w:val="24"/>
        </w:rPr>
        <w:t xml:space="preserve"> </w:t>
      </w:r>
      <w:r>
        <w:rPr>
          <w:rFonts w:ascii="宋体" w:hAnsi="宋体" w:eastAsia="宋体" w:cs="宋体"/>
          <w:spacing w:val="-9"/>
          <w:sz w:val="24"/>
          <w:szCs w:val="24"/>
        </w:rPr>
        <w:t>主要涉及西坑畲族镇和百</w:t>
      </w:r>
      <w:r>
        <w:rPr>
          <w:rFonts w:ascii="宋体" w:hAnsi="宋体" w:eastAsia="宋体" w:cs="宋体"/>
          <w:spacing w:val="-10"/>
          <w:sz w:val="24"/>
          <w:szCs w:val="24"/>
        </w:rPr>
        <w:t>丈漈镇， 经过区域未划定声环</w:t>
      </w:r>
      <w:r>
        <w:rPr>
          <w:rFonts w:ascii="宋体" w:hAnsi="宋体" w:eastAsia="宋体" w:cs="宋体"/>
          <w:sz w:val="24"/>
          <w:szCs w:val="24"/>
        </w:rPr>
        <w:t xml:space="preserve">  </w:t>
      </w:r>
      <w:r>
        <w:rPr>
          <w:rFonts w:ascii="宋体" w:hAnsi="宋体" w:eastAsia="宋体" w:cs="宋体"/>
          <w:spacing w:val="-4"/>
          <w:sz w:val="24"/>
          <w:szCs w:val="24"/>
        </w:rPr>
        <w:t>境功能区，但线路经过区域分布有景文高速公路</w:t>
      </w:r>
      <w:r>
        <w:rPr>
          <w:rFonts w:ascii="宋体" w:hAnsi="宋体" w:eastAsia="宋体" w:cs="宋体"/>
          <w:spacing w:val="-5"/>
          <w:sz w:val="24"/>
          <w:szCs w:val="24"/>
        </w:rPr>
        <w:t>、</w:t>
      </w:r>
      <w:r>
        <w:rPr>
          <w:rFonts w:ascii="Times New Roman" w:hAnsi="Times New Roman" w:eastAsia="Times New Roman" w:cs="Times New Roman"/>
          <w:spacing w:val="-5"/>
          <w:sz w:val="24"/>
          <w:szCs w:val="24"/>
        </w:rPr>
        <w:t>G322</w:t>
      </w:r>
      <w:r>
        <w:rPr>
          <w:rFonts w:ascii="Times New Roman" w:hAnsi="Times New Roman" w:eastAsia="Times New Roman" w:cs="Times New Roman"/>
          <w:spacing w:val="32"/>
          <w:w w:val="101"/>
          <w:sz w:val="24"/>
          <w:szCs w:val="24"/>
        </w:rPr>
        <w:t xml:space="preserve"> </w:t>
      </w:r>
      <w:r>
        <w:rPr>
          <w:rFonts w:ascii="宋体" w:hAnsi="宋体" w:eastAsia="宋体" w:cs="宋体"/>
          <w:spacing w:val="-5"/>
          <w:sz w:val="24"/>
          <w:szCs w:val="24"/>
        </w:rPr>
        <w:t>国道、老</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S330</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省道、大</w:t>
      </w:r>
      <w:r>
        <w:rPr>
          <w:rFonts w:ascii="宋体" w:hAnsi="宋体" w:eastAsia="宋体" w:cs="宋体"/>
          <w:sz w:val="24"/>
          <w:szCs w:val="24"/>
        </w:rPr>
        <w:t xml:space="preserve">  </w:t>
      </w:r>
      <w:r>
        <w:rPr>
          <w:rFonts w:ascii="宋体" w:hAnsi="宋体" w:eastAsia="宋体" w:cs="宋体"/>
          <w:spacing w:val="-15"/>
          <w:sz w:val="24"/>
          <w:szCs w:val="24"/>
        </w:rPr>
        <w:t>南公路等， 另外线路隧道穿越百丈漈镇工业区块，</w:t>
      </w:r>
      <w:r>
        <w:rPr>
          <w:rFonts w:ascii="宋体" w:hAnsi="宋体" w:eastAsia="宋体" w:cs="宋体"/>
          <w:spacing w:val="30"/>
          <w:sz w:val="24"/>
          <w:szCs w:val="24"/>
        </w:rPr>
        <w:t xml:space="preserve"> </w:t>
      </w:r>
      <w:r>
        <w:rPr>
          <w:rFonts w:ascii="宋体" w:hAnsi="宋体" w:eastAsia="宋体" w:cs="宋体"/>
          <w:spacing w:val="-15"/>
          <w:sz w:val="24"/>
          <w:szCs w:val="24"/>
        </w:rPr>
        <w:t>因此，</w:t>
      </w:r>
      <w:r>
        <w:rPr>
          <w:rFonts w:ascii="宋体" w:hAnsi="宋体" w:eastAsia="宋体" w:cs="宋体"/>
          <w:spacing w:val="-57"/>
          <w:sz w:val="24"/>
          <w:szCs w:val="24"/>
        </w:rPr>
        <w:t xml:space="preserve"> </w:t>
      </w:r>
      <w:r>
        <w:rPr>
          <w:rFonts w:ascii="宋体" w:hAnsi="宋体" w:eastAsia="宋体" w:cs="宋体"/>
          <w:spacing w:val="-16"/>
          <w:sz w:val="24"/>
          <w:szCs w:val="24"/>
        </w:rPr>
        <w:t>根据《声环境质量标准》</w:t>
      </w:r>
      <w:r>
        <w:rPr>
          <w:rFonts w:ascii="宋体" w:hAnsi="宋体" w:eastAsia="宋体" w:cs="宋体"/>
          <w:sz w:val="24"/>
          <w:szCs w:val="24"/>
        </w:rPr>
        <w:t xml:space="preserve"> （</w:t>
      </w:r>
      <w:r>
        <w:rPr>
          <w:rFonts w:ascii="Times New Roman" w:hAnsi="Times New Roman" w:eastAsia="Times New Roman" w:cs="Times New Roman"/>
          <w:sz w:val="24"/>
          <w:szCs w:val="24"/>
        </w:rPr>
        <w:t>GB3096-2008</w:t>
      </w:r>
      <w:r>
        <w:rPr>
          <w:rFonts w:ascii="宋体" w:hAnsi="宋体" w:eastAsia="宋体" w:cs="宋体"/>
          <w:sz w:val="24"/>
          <w:szCs w:val="24"/>
        </w:rPr>
        <w:t>）和《声环境功能区划分技术规范》</w:t>
      </w:r>
      <w:r>
        <w:rPr>
          <w:rFonts w:ascii="Times New Roman" w:hAnsi="Times New Roman" w:eastAsia="Times New Roman" w:cs="Times New Roman"/>
          <w:sz w:val="24"/>
          <w:szCs w:val="24"/>
        </w:rPr>
        <w:t>(GB/T1</w:t>
      </w:r>
      <w:r>
        <w:rPr>
          <w:rFonts w:ascii="Times New Roman" w:hAnsi="Times New Roman" w:eastAsia="Times New Roman" w:cs="Times New Roman"/>
          <w:spacing w:val="-1"/>
          <w:sz w:val="24"/>
          <w:szCs w:val="24"/>
        </w:rPr>
        <w:t>5190-2014)</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，百丈漈</w:t>
      </w:r>
      <w:r>
        <w:rPr>
          <w:rFonts w:ascii="宋体" w:hAnsi="宋体" w:eastAsia="宋体" w:cs="宋体"/>
          <w:sz w:val="24"/>
          <w:szCs w:val="24"/>
        </w:rPr>
        <w:t xml:space="preserve">  </w:t>
      </w:r>
      <w:r>
        <w:rPr>
          <w:rFonts w:ascii="宋体" w:hAnsi="宋体" w:eastAsia="宋体" w:cs="宋体"/>
          <w:spacing w:val="-6"/>
          <w:sz w:val="24"/>
          <w:szCs w:val="24"/>
        </w:rPr>
        <w:t>镇工业区域参照执行</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 xml:space="preserve">3 </w:t>
      </w:r>
      <w:r>
        <w:rPr>
          <w:rFonts w:ascii="宋体" w:hAnsi="宋体" w:eastAsia="宋体" w:cs="宋体"/>
          <w:spacing w:val="-6"/>
          <w:sz w:val="24"/>
          <w:szCs w:val="24"/>
        </w:rPr>
        <w:t>类功能区（线路隧道穿越</w:t>
      </w:r>
      <w:r>
        <w:rPr>
          <w:rFonts w:ascii="宋体" w:hAnsi="宋体" w:eastAsia="宋体" w:cs="宋体"/>
          <w:spacing w:val="-7"/>
          <w:sz w:val="24"/>
          <w:szCs w:val="24"/>
        </w:rPr>
        <w:t>工业区域， 工业区域内不涉及声</w:t>
      </w:r>
      <w:r>
        <w:rPr>
          <w:rFonts w:ascii="宋体" w:hAnsi="宋体" w:eastAsia="宋体" w:cs="宋体"/>
          <w:sz w:val="24"/>
          <w:szCs w:val="24"/>
        </w:rPr>
        <w:t xml:space="preserve">  </w:t>
      </w:r>
      <w:r>
        <w:rPr>
          <w:rFonts w:ascii="宋体" w:hAnsi="宋体" w:eastAsia="宋体" w:cs="宋体"/>
          <w:spacing w:val="-5"/>
          <w:sz w:val="24"/>
          <w:szCs w:val="24"/>
        </w:rPr>
        <w:t>环境保护目标</w:t>
      </w:r>
      <w:r>
        <w:rPr>
          <w:rFonts w:ascii="宋体" w:hAnsi="宋体" w:eastAsia="宋体" w:cs="宋体"/>
          <w:spacing w:val="-44"/>
          <w:sz w:val="24"/>
          <w:szCs w:val="24"/>
        </w:rPr>
        <w:t>），</w:t>
      </w:r>
      <w:r>
        <w:rPr>
          <w:rFonts w:ascii="宋体" w:hAnsi="宋体" w:eastAsia="宋体" w:cs="宋体"/>
          <w:spacing w:val="-5"/>
          <w:sz w:val="24"/>
          <w:szCs w:val="24"/>
        </w:rPr>
        <w:t>项目所在区域声环境功能区划参照</w:t>
      </w:r>
      <w:r>
        <w:rPr>
          <w:rFonts w:ascii="宋体" w:hAnsi="宋体" w:eastAsia="宋体" w:cs="宋体"/>
          <w:spacing w:val="-6"/>
          <w:sz w:val="24"/>
          <w:szCs w:val="24"/>
        </w:rPr>
        <w:t>执行</w:t>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类声环境功能区标准，</w:t>
      </w:r>
    </w:p>
    <w:p>
      <w:pPr>
        <w:spacing w:before="1" w:line="219" w:lineRule="auto"/>
        <w:ind w:left="45"/>
        <w:rPr>
          <w:rFonts w:ascii="宋体" w:hAnsi="宋体" w:eastAsia="宋体" w:cs="宋体"/>
          <w:sz w:val="24"/>
          <w:szCs w:val="24"/>
        </w:rPr>
      </w:pPr>
      <w:r>
        <w:rPr>
          <w:rFonts w:ascii="宋体" w:hAnsi="宋体" w:eastAsia="宋体" w:cs="宋体"/>
          <w:spacing w:val="-2"/>
          <w:sz w:val="24"/>
          <w:szCs w:val="24"/>
        </w:rPr>
        <w:t>公路两侧一定范围内参照执行</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4a </w:t>
      </w:r>
      <w:r>
        <w:rPr>
          <w:rFonts w:ascii="宋体" w:hAnsi="宋体" w:eastAsia="宋体" w:cs="宋体"/>
          <w:spacing w:val="-2"/>
          <w:sz w:val="24"/>
          <w:szCs w:val="24"/>
        </w:rPr>
        <w:t>类声环境功能区标准。</w:t>
      </w:r>
    </w:p>
    <w:p>
      <w:pPr>
        <w:spacing w:before="183" w:line="359" w:lineRule="auto"/>
        <w:ind w:left="41" w:right="110" w:firstLine="478"/>
        <w:rPr>
          <w:rFonts w:ascii="Times New Roman" w:hAnsi="Times New Roman" w:eastAsia="Times New Roman" w:cs="Times New Roman"/>
          <w:sz w:val="24"/>
          <w:szCs w:val="24"/>
        </w:rPr>
      </w:pPr>
      <w:r>
        <w:rPr>
          <w:rFonts w:ascii="宋体" w:hAnsi="宋体" w:eastAsia="宋体" w:cs="宋体"/>
          <w:spacing w:val="-6"/>
          <w:sz w:val="24"/>
          <w:szCs w:val="24"/>
        </w:rPr>
        <w:t>现状景文高速公路、</w:t>
      </w:r>
      <w:r>
        <w:rPr>
          <w:rFonts w:ascii="宋体" w:hAnsi="宋体" w:eastAsia="宋体" w:cs="宋体"/>
          <w:spacing w:val="57"/>
          <w:sz w:val="24"/>
          <w:szCs w:val="24"/>
        </w:rPr>
        <w:t xml:space="preserve"> </w:t>
      </w:r>
      <w:r>
        <w:rPr>
          <w:rFonts w:ascii="Times New Roman" w:hAnsi="Times New Roman" w:eastAsia="Times New Roman" w:cs="Times New Roman"/>
          <w:spacing w:val="-6"/>
          <w:sz w:val="24"/>
          <w:szCs w:val="24"/>
        </w:rPr>
        <w:t xml:space="preserve">G322  </w:t>
      </w:r>
      <w:r>
        <w:rPr>
          <w:rFonts w:ascii="宋体" w:hAnsi="宋体" w:eastAsia="宋体" w:cs="宋体"/>
          <w:spacing w:val="-6"/>
          <w:sz w:val="24"/>
          <w:szCs w:val="24"/>
        </w:rPr>
        <w:t>国道（二级公路）、大南公路（二级公路）两侧</w:t>
      </w:r>
      <w:r>
        <w:rPr>
          <w:rFonts w:ascii="宋体" w:hAnsi="宋体" w:eastAsia="宋体" w:cs="宋体"/>
          <w:sz w:val="24"/>
          <w:szCs w:val="24"/>
        </w:rPr>
        <w:t xml:space="preserve"> </w:t>
      </w:r>
      <w:r>
        <w:rPr>
          <w:rFonts w:ascii="宋体" w:hAnsi="宋体" w:eastAsia="宋体" w:cs="宋体"/>
          <w:spacing w:val="-2"/>
          <w:sz w:val="24"/>
          <w:szCs w:val="24"/>
        </w:rPr>
        <w:t>一定距离范围内为</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4a</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类区，执行</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4a</w:t>
      </w:r>
      <w:r>
        <w:rPr>
          <w:rFonts w:ascii="Times New Roman" w:hAnsi="Times New Roman" w:eastAsia="Times New Roman" w:cs="Times New Roman"/>
          <w:spacing w:val="27"/>
          <w:w w:val="101"/>
          <w:sz w:val="24"/>
          <w:szCs w:val="24"/>
        </w:rPr>
        <w:t xml:space="preserve"> </w:t>
      </w:r>
      <w:r>
        <w:rPr>
          <w:rFonts w:ascii="宋体" w:hAnsi="宋体" w:eastAsia="宋体" w:cs="宋体"/>
          <w:spacing w:val="-2"/>
          <w:sz w:val="24"/>
          <w:szCs w:val="24"/>
        </w:rPr>
        <w:t xml:space="preserve">类标准，其他声环境保护目标包括老 </w:t>
      </w:r>
      <w:r>
        <w:rPr>
          <w:rFonts w:ascii="Times New Roman" w:hAnsi="Times New Roman" w:eastAsia="Times New Roman" w:cs="Times New Roman"/>
          <w:spacing w:val="-2"/>
          <w:sz w:val="24"/>
          <w:szCs w:val="24"/>
        </w:rPr>
        <w:t>S3</w:t>
      </w:r>
      <w:r>
        <w:rPr>
          <w:rFonts w:ascii="Times New Roman" w:hAnsi="Times New Roman" w:eastAsia="Times New Roman" w:cs="Times New Roman"/>
          <w:spacing w:val="-3"/>
          <w:sz w:val="24"/>
          <w:szCs w:val="24"/>
        </w:rPr>
        <w:t>30</w:t>
      </w:r>
    </w:p>
    <w:p>
      <w:pPr>
        <w:spacing w:before="1" w:line="219" w:lineRule="auto"/>
        <w:ind w:left="41"/>
        <w:rPr>
          <w:rFonts w:ascii="宋体" w:hAnsi="宋体" w:eastAsia="宋体" w:cs="宋体"/>
          <w:sz w:val="24"/>
          <w:szCs w:val="24"/>
        </w:rPr>
      </w:pPr>
      <w:r>
        <w:rPr>
          <w:rFonts w:ascii="宋体" w:hAnsi="宋体" w:eastAsia="宋体" w:cs="宋体"/>
          <w:spacing w:val="-2"/>
          <w:sz w:val="24"/>
          <w:szCs w:val="24"/>
        </w:rPr>
        <w:t>省道（四级公路）两侧的声环境保护目标参照执行</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类标准。</w:t>
      </w:r>
    </w:p>
    <w:p>
      <w:pPr>
        <w:spacing w:before="180" w:line="217" w:lineRule="auto"/>
        <w:ind w:left="525"/>
        <w:rPr>
          <w:rFonts w:ascii="宋体" w:hAnsi="宋体" w:eastAsia="宋体" w:cs="宋体"/>
          <w:sz w:val="24"/>
          <w:szCs w:val="24"/>
        </w:rPr>
      </w:pPr>
      <w:r>
        <w:rPr>
          <w:rFonts w:ascii="宋体" w:hAnsi="宋体" w:eastAsia="宋体" w:cs="宋体"/>
          <w:spacing w:val="-3"/>
          <w:sz w:val="24"/>
          <w:szCs w:val="24"/>
        </w:rPr>
        <w:t>公路两侧一定距离范围内区域为</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4a </w:t>
      </w:r>
      <w:r>
        <w:rPr>
          <w:rFonts w:ascii="宋体" w:hAnsi="宋体" w:eastAsia="宋体" w:cs="宋体"/>
          <w:spacing w:val="-3"/>
          <w:sz w:val="24"/>
          <w:szCs w:val="24"/>
        </w:rPr>
        <w:t>类区，具体情况如下：</w:t>
      </w:r>
    </w:p>
    <w:p>
      <w:pPr>
        <w:spacing w:before="186" w:line="468" w:lineRule="exact"/>
        <w:ind w:left="536"/>
        <w:rPr>
          <w:rFonts w:ascii="宋体" w:hAnsi="宋体" w:eastAsia="宋体" w:cs="宋体"/>
          <w:sz w:val="24"/>
          <w:szCs w:val="24"/>
        </w:rPr>
      </w:pPr>
      <w:r>
        <w:rPr>
          <w:rFonts w:ascii="Times New Roman" w:hAnsi="Times New Roman" w:eastAsia="Times New Roman" w:cs="Times New Roman"/>
          <w:spacing w:val="-1"/>
          <w:position w:val="17"/>
          <w:sz w:val="24"/>
          <w:szCs w:val="24"/>
        </w:rPr>
        <w:t>1</w:t>
      </w:r>
      <w:r>
        <w:rPr>
          <w:rFonts w:ascii="宋体" w:hAnsi="宋体" w:eastAsia="宋体" w:cs="宋体"/>
          <w:spacing w:val="-1"/>
          <w:position w:val="17"/>
          <w:sz w:val="24"/>
          <w:szCs w:val="24"/>
        </w:rPr>
        <w:t>）若临路建筑以低于三层楼房的建筑（含开阔地</w:t>
      </w:r>
      <w:r>
        <w:rPr>
          <w:rFonts w:ascii="宋体" w:hAnsi="宋体" w:eastAsia="宋体" w:cs="宋体"/>
          <w:spacing w:val="-2"/>
          <w:position w:val="17"/>
          <w:sz w:val="24"/>
          <w:szCs w:val="24"/>
        </w:rPr>
        <w:t>）为主，将道路边界线外</w:t>
      </w:r>
    </w:p>
    <w:p>
      <w:pPr>
        <w:spacing w:before="1" w:line="219" w:lineRule="auto"/>
        <w:ind w:left="38"/>
        <w:rPr>
          <w:rFonts w:ascii="宋体" w:hAnsi="宋体" w:eastAsia="宋体" w:cs="宋体"/>
          <w:sz w:val="24"/>
          <w:szCs w:val="24"/>
        </w:rPr>
      </w:pPr>
      <w:r>
        <w:rPr>
          <w:rFonts w:ascii="Times New Roman" w:hAnsi="Times New Roman" w:eastAsia="Times New Roman" w:cs="Times New Roman"/>
          <w:spacing w:val="-2"/>
          <w:sz w:val="24"/>
          <w:szCs w:val="24"/>
        </w:rPr>
        <w:t>35m</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类区相邻）距离内的区域为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4a </w:t>
      </w:r>
      <w:r>
        <w:rPr>
          <w:rFonts w:ascii="宋体" w:hAnsi="宋体" w:eastAsia="宋体" w:cs="宋体"/>
          <w:spacing w:val="-2"/>
          <w:sz w:val="24"/>
          <w:szCs w:val="24"/>
        </w:rPr>
        <w:t>类声</w:t>
      </w:r>
      <w:r>
        <w:rPr>
          <w:rFonts w:ascii="宋体" w:hAnsi="宋体" w:eastAsia="宋体" w:cs="宋体"/>
          <w:spacing w:val="-3"/>
          <w:sz w:val="24"/>
          <w:szCs w:val="24"/>
        </w:rPr>
        <w:t>环境功能区；</w:t>
      </w:r>
    </w:p>
    <w:p>
      <w:pPr>
        <w:spacing w:before="180" w:line="359" w:lineRule="auto"/>
        <w:ind w:left="44" w:right="113" w:firstLine="46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）在划分距离</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35m</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类区相邻）范围内，若临街建筑高于三层楼房以上</w:t>
      </w:r>
      <w:r>
        <w:rPr>
          <w:rFonts w:ascii="宋体" w:hAnsi="宋体" w:eastAsia="宋体" w:cs="宋体"/>
          <w:sz w:val="24"/>
          <w:szCs w:val="24"/>
        </w:rPr>
        <w:t xml:space="preserve"> </w:t>
      </w:r>
      <w:r>
        <w:rPr>
          <w:rFonts w:ascii="宋体" w:hAnsi="宋体" w:eastAsia="宋体" w:cs="宋体"/>
          <w:spacing w:val="-10"/>
          <w:sz w:val="24"/>
          <w:szCs w:val="24"/>
        </w:rPr>
        <w:t>（含三层） 的建筑为主， 将建筑面向交通干线一侧至交通干线边界线的区域划为</w:t>
      </w:r>
    </w:p>
    <w:p>
      <w:pPr>
        <w:spacing w:before="1" w:line="219" w:lineRule="auto"/>
        <w:ind w:left="32"/>
        <w:rPr>
          <w:rFonts w:ascii="宋体" w:hAnsi="宋体" w:eastAsia="宋体" w:cs="宋体"/>
          <w:sz w:val="24"/>
          <w:szCs w:val="24"/>
        </w:rPr>
      </w:pPr>
      <w:r>
        <w:rPr>
          <w:rFonts w:ascii="Times New Roman" w:hAnsi="Times New Roman" w:eastAsia="Times New Roman" w:cs="Times New Roman"/>
          <w:spacing w:val="-4"/>
          <w:sz w:val="24"/>
          <w:szCs w:val="24"/>
        </w:rPr>
        <w:t xml:space="preserve">4a </w:t>
      </w:r>
      <w:r>
        <w:rPr>
          <w:rFonts w:ascii="宋体" w:hAnsi="宋体" w:eastAsia="宋体" w:cs="宋体"/>
          <w:spacing w:val="-4"/>
          <w:sz w:val="24"/>
          <w:szCs w:val="24"/>
        </w:rPr>
        <w:t>类声环境功能区。</w:t>
      </w:r>
    </w:p>
    <w:p>
      <w:pPr>
        <w:spacing w:before="183" w:line="220" w:lineRule="auto"/>
        <w:ind w:left="34"/>
        <w:outlineLvl w:val="0"/>
        <w:rPr>
          <w:rFonts w:ascii="宋体" w:hAnsi="宋体" w:eastAsia="宋体" w:cs="宋体"/>
          <w:sz w:val="24"/>
          <w:szCs w:val="24"/>
        </w:rPr>
      </w:pPr>
      <w:r>
        <w:fldChar w:fldCharType="begin"/>
      </w:r>
      <w:r>
        <w:instrText xml:space="preserve"> HYPERLINK "2.4.2.4" </w:instrText>
      </w:r>
      <w:r>
        <w:fldChar w:fldCharType="separate"/>
      </w:r>
      <w:r>
        <w:rPr>
          <w:rFonts w:ascii="Times New Roman" w:hAnsi="Times New Roman" w:eastAsia="Times New Roman" w:cs="Times New Roman"/>
          <w:b/>
          <w:bCs/>
          <w:spacing w:val="-1"/>
          <w:sz w:val="24"/>
          <w:szCs w:val="24"/>
        </w:rPr>
        <w:t>2.4.2.4</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三线一单</w:t>
      </w:r>
    </w:p>
    <w:p>
      <w:pPr>
        <w:spacing w:before="179" w:line="469" w:lineRule="exact"/>
        <w:ind w:left="518"/>
        <w:rPr>
          <w:rFonts w:ascii="宋体" w:hAnsi="宋体" w:eastAsia="宋体" w:cs="宋体"/>
          <w:sz w:val="24"/>
          <w:szCs w:val="24"/>
        </w:rPr>
      </w:pPr>
      <w:r>
        <w:rPr>
          <w:rFonts w:ascii="宋体" w:hAnsi="宋体" w:eastAsia="宋体" w:cs="宋体"/>
          <w:spacing w:val="-6"/>
          <w:position w:val="17"/>
          <w:sz w:val="24"/>
          <w:szCs w:val="24"/>
        </w:rPr>
        <w:t>根据《文成县</w:t>
      </w:r>
      <w:r>
        <w:rPr>
          <w:rFonts w:ascii="Times New Roman" w:hAnsi="Times New Roman" w:eastAsia="Times New Roman" w:cs="Times New Roman"/>
          <w:spacing w:val="-6"/>
          <w:position w:val="17"/>
          <w:sz w:val="24"/>
          <w:szCs w:val="24"/>
        </w:rPr>
        <w:t>“</w:t>
      </w:r>
      <w:r>
        <w:rPr>
          <w:rFonts w:ascii="宋体" w:hAnsi="宋体" w:eastAsia="宋体" w:cs="宋体"/>
          <w:spacing w:val="-6"/>
          <w:position w:val="17"/>
          <w:sz w:val="24"/>
          <w:szCs w:val="24"/>
        </w:rPr>
        <w:t>三线一单</w:t>
      </w:r>
      <w:r>
        <w:rPr>
          <w:rFonts w:ascii="Times New Roman" w:hAnsi="Times New Roman" w:eastAsia="Times New Roman" w:cs="Times New Roman"/>
          <w:spacing w:val="-6"/>
          <w:position w:val="17"/>
          <w:sz w:val="24"/>
          <w:szCs w:val="24"/>
        </w:rPr>
        <w:t>”</w:t>
      </w:r>
      <w:r>
        <w:rPr>
          <w:rFonts w:ascii="宋体" w:hAnsi="宋体" w:eastAsia="宋体" w:cs="宋体"/>
          <w:spacing w:val="-6"/>
          <w:position w:val="17"/>
          <w:sz w:val="24"/>
          <w:szCs w:val="24"/>
        </w:rPr>
        <w:t>生态环境分区管控方案》，</w:t>
      </w:r>
      <w:r>
        <w:rPr>
          <w:rFonts w:ascii="宋体" w:hAnsi="宋体" w:eastAsia="宋体" w:cs="宋体"/>
          <w:spacing w:val="-15"/>
          <w:position w:val="17"/>
          <w:sz w:val="24"/>
          <w:szCs w:val="24"/>
        </w:rPr>
        <w:t xml:space="preserve"> </w:t>
      </w:r>
      <w:r>
        <w:rPr>
          <w:rFonts w:ascii="宋体" w:hAnsi="宋体" w:eastAsia="宋体" w:cs="宋体"/>
          <w:spacing w:val="-6"/>
          <w:position w:val="17"/>
          <w:sz w:val="24"/>
          <w:szCs w:val="24"/>
        </w:rPr>
        <w:t>本工程涉及</w:t>
      </w:r>
      <w:r>
        <w:rPr>
          <w:rFonts w:ascii="宋体" w:hAnsi="宋体" w:eastAsia="宋体" w:cs="宋体"/>
          <w:spacing w:val="-31"/>
          <w:position w:val="17"/>
          <w:sz w:val="24"/>
          <w:szCs w:val="24"/>
        </w:rPr>
        <w:t xml:space="preserve"> </w:t>
      </w:r>
      <w:r>
        <w:rPr>
          <w:rFonts w:ascii="Times New Roman" w:hAnsi="Times New Roman" w:eastAsia="Times New Roman" w:cs="Times New Roman"/>
          <w:spacing w:val="-6"/>
          <w:position w:val="17"/>
          <w:sz w:val="24"/>
          <w:szCs w:val="24"/>
        </w:rPr>
        <w:t xml:space="preserve">1 </w:t>
      </w:r>
      <w:r>
        <w:rPr>
          <w:rFonts w:ascii="宋体" w:hAnsi="宋体" w:eastAsia="宋体" w:cs="宋体"/>
          <w:spacing w:val="-6"/>
          <w:position w:val="17"/>
          <w:sz w:val="24"/>
          <w:szCs w:val="24"/>
        </w:rPr>
        <w:t>个优先保</w:t>
      </w:r>
    </w:p>
    <w:p>
      <w:pPr>
        <w:spacing w:line="217" w:lineRule="auto"/>
        <w:ind w:left="39"/>
        <w:rPr>
          <w:rFonts w:ascii="宋体" w:hAnsi="宋体" w:eastAsia="宋体" w:cs="宋体"/>
          <w:sz w:val="24"/>
          <w:szCs w:val="24"/>
        </w:rPr>
      </w:pPr>
      <w:r>
        <w:rPr>
          <w:rFonts w:ascii="宋体" w:hAnsi="宋体" w:eastAsia="宋体" w:cs="宋体"/>
          <w:spacing w:val="-5"/>
          <w:sz w:val="24"/>
          <w:szCs w:val="24"/>
        </w:rPr>
        <w:t xml:space="preserve">护单元、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个重点管控单元。具体见表</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2.4.2</w:t>
      </w:r>
      <w:r>
        <w:rPr>
          <w:rFonts w:ascii="Times New Roman" w:hAnsi="Times New Roman" w:eastAsia="Times New Roman" w:cs="Times New Roman"/>
          <w:spacing w:val="-6"/>
          <w:sz w:val="24"/>
          <w:szCs w:val="24"/>
        </w:rPr>
        <w:t>-2</w:t>
      </w:r>
      <w:r>
        <w:rPr>
          <w:rFonts w:ascii="宋体" w:hAnsi="宋体" w:eastAsia="宋体" w:cs="宋体"/>
          <w:spacing w:val="-6"/>
          <w:sz w:val="24"/>
          <w:szCs w:val="24"/>
        </w:rPr>
        <w:t>。</w:t>
      </w:r>
    </w:p>
    <w:p>
      <w:pPr>
        <w:spacing w:before="183" w:line="219" w:lineRule="auto"/>
        <w:ind w:left="1313"/>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2.4.2-2        </w:t>
      </w:r>
      <w:r>
        <w:rPr>
          <w:rFonts w:ascii="宋体" w:hAnsi="宋体" w:eastAsia="宋体" w:cs="宋体"/>
          <w:sz w:val="24"/>
          <w:szCs w:val="24"/>
        </w:rPr>
        <w:t>本项目涉及</w:t>
      </w:r>
      <w:r>
        <w:rPr>
          <w:rFonts w:ascii="Times New Roman" w:hAnsi="Times New Roman" w:eastAsia="Times New Roman" w:cs="Times New Roman"/>
          <w:spacing w:val="-1"/>
          <w:sz w:val="24"/>
          <w:szCs w:val="24"/>
        </w:rPr>
        <w:t>“</w:t>
      </w:r>
      <w:r>
        <w:rPr>
          <w:rFonts w:ascii="宋体" w:hAnsi="宋体" w:eastAsia="宋体" w:cs="宋体"/>
          <w:spacing w:val="-1"/>
          <w:sz w:val="24"/>
          <w:szCs w:val="24"/>
        </w:rPr>
        <w:t>三线一单</w:t>
      </w:r>
      <w:r>
        <w:rPr>
          <w:rFonts w:ascii="Times New Roman" w:hAnsi="Times New Roman" w:eastAsia="Times New Roman" w:cs="Times New Roman"/>
          <w:spacing w:val="-1"/>
          <w:sz w:val="24"/>
          <w:szCs w:val="24"/>
        </w:rPr>
        <w:t>”</w:t>
      </w:r>
      <w:r>
        <w:rPr>
          <w:rFonts w:ascii="宋体" w:hAnsi="宋体" w:eastAsia="宋体" w:cs="宋体"/>
          <w:spacing w:val="-1"/>
          <w:sz w:val="24"/>
          <w:szCs w:val="24"/>
        </w:rPr>
        <w:t>环境管控单元概况</w:t>
      </w:r>
    </w:p>
    <w:p>
      <w:pPr>
        <w:spacing w:line="147" w:lineRule="exact"/>
      </w:pPr>
    </w:p>
    <w:tbl>
      <w:tblPr>
        <w:tblStyle w:val="5"/>
        <w:tblW w:w="8031" w:type="dxa"/>
        <w:tblInd w:w="1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4"/>
        <w:gridCol w:w="2116"/>
        <w:gridCol w:w="53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04" w:type="dxa"/>
            <w:vMerge w:val="restart"/>
            <w:tcBorders>
              <w:bottom w:val="nil"/>
            </w:tcBorders>
            <w:textDirection w:val="tbRlV"/>
            <w:vAlign w:val="top"/>
          </w:tcPr>
          <w:p>
            <w:pPr>
              <w:pStyle w:val="6"/>
              <w:spacing w:before="193" w:line="208" w:lineRule="auto"/>
              <w:ind w:left="125"/>
            </w:pPr>
            <w:r>
              <w:rPr>
                <w:spacing w:val="1"/>
              </w:rPr>
              <w:t>区</w:t>
            </w:r>
            <w:r>
              <w:rPr>
                <w:spacing w:val="-43"/>
              </w:rPr>
              <w:t xml:space="preserve"> </w:t>
            </w:r>
            <w:r>
              <w:rPr>
                <w:spacing w:val="1"/>
              </w:rPr>
              <w:t>域</w:t>
            </w:r>
          </w:p>
        </w:tc>
        <w:tc>
          <w:tcPr>
            <w:tcW w:w="7427" w:type="dxa"/>
            <w:gridSpan w:val="2"/>
            <w:vAlign w:val="top"/>
          </w:tcPr>
          <w:p>
            <w:pPr>
              <w:pStyle w:val="6"/>
              <w:spacing w:before="77" w:line="220" w:lineRule="auto"/>
              <w:ind w:left="2561"/>
            </w:pPr>
            <w:r>
              <w:rPr>
                <w:spacing w:val="-1"/>
              </w:rPr>
              <w:t>本项目涉及环境管控单元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4" w:type="dxa"/>
            <w:vMerge w:val="continue"/>
            <w:tcBorders>
              <w:top w:val="nil"/>
            </w:tcBorders>
            <w:textDirection w:val="tbRlV"/>
            <w:vAlign w:val="top"/>
          </w:tcPr>
          <w:p>
            <w:pPr>
              <w:rPr>
                <w:rFonts w:ascii="Arial"/>
                <w:sz w:val="21"/>
              </w:rPr>
            </w:pPr>
          </w:p>
        </w:tc>
        <w:tc>
          <w:tcPr>
            <w:tcW w:w="2116" w:type="dxa"/>
            <w:vAlign w:val="top"/>
          </w:tcPr>
          <w:p>
            <w:pPr>
              <w:pStyle w:val="6"/>
              <w:spacing w:before="75" w:line="221" w:lineRule="auto"/>
              <w:ind w:left="852"/>
            </w:pPr>
            <w:r>
              <w:rPr>
                <w:spacing w:val="-2"/>
              </w:rPr>
              <w:t>编码</w:t>
            </w:r>
          </w:p>
        </w:tc>
        <w:tc>
          <w:tcPr>
            <w:tcW w:w="5311" w:type="dxa"/>
            <w:vAlign w:val="top"/>
          </w:tcPr>
          <w:p>
            <w:pPr>
              <w:pStyle w:val="6"/>
              <w:spacing w:before="75" w:line="223" w:lineRule="auto"/>
              <w:ind w:left="2451"/>
            </w:pPr>
            <w:r>
              <w:rPr>
                <w:spacing w:val="-3"/>
              </w:rPr>
              <w:t>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04" w:type="dxa"/>
            <w:vMerge w:val="restart"/>
            <w:tcBorders>
              <w:bottom w:val="nil"/>
            </w:tcBorders>
            <w:textDirection w:val="tbRlV"/>
            <w:vAlign w:val="top"/>
          </w:tcPr>
          <w:p>
            <w:pPr>
              <w:pStyle w:val="6"/>
              <w:spacing w:before="194" w:line="209" w:lineRule="auto"/>
              <w:ind w:left="87"/>
            </w:pPr>
            <w:r>
              <w:rPr>
                <w:spacing w:val="41"/>
              </w:rPr>
              <w:t>文成县</w:t>
            </w:r>
          </w:p>
        </w:tc>
        <w:tc>
          <w:tcPr>
            <w:tcW w:w="2116" w:type="dxa"/>
            <w:vAlign w:val="top"/>
          </w:tcPr>
          <w:p>
            <w:pPr>
              <w:spacing w:before="238" w:line="187" w:lineRule="auto"/>
              <w:ind w:left="339"/>
              <w:rPr>
                <w:rFonts w:ascii="Times New Roman" w:hAnsi="Times New Roman" w:eastAsia="Times New Roman" w:cs="Times New Roman"/>
                <w:sz w:val="21"/>
                <w:szCs w:val="21"/>
              </w:rPr>
            </w:pPr>
            <w:r>
              <w:rPr>
                <w:rFonts w:ascii="Times New Roman" w:hAnsi="Times New Roman" w:eastAsia="Times New Roman" w:cs="Times New Roman"/>
                <w:sz w:val="21"/>
                <w:szCs w:val="21"/>
              </w:rPr>
              <w:t>ZH33032810001</w:t>
            </w:r>
          </w:p>
        </w:tc>
        <w:tc>
          <w:tcPr>
            <w:tcW w:w="5311" w:type="dxa"/>
            <w:vAlign w:val="top"/>
          </w:tcPr>
          <w:p>
            <w:pPr>
              <w:pStyle w:val="6"/>
              <w:spacing w:before="62" w:line="231" w:lineRule="auto"/>
              <w:ind w:left="1825" w:right="131" w:hanging="1686"/>
            </w:pPr>
            <w:r>
              <w:rPr>
                <w:spacing w:val="-1"/>
              </w:rPr>
              <w:t>温州市文成县飞云江饮用水源保护区水源涵养生态保护</w:t>
            </w:r>
            <w:r>
              <w:rPr>
                <w:spacing w:val="18"/>
              </w:rPr>
              <w:t xml:space="preserve"> </w:t>
            </w:r>
            <w:r>
              <w:rPr>
                <w:spacing w:val="-2"/>
              </w:rPr>
              <w:t>红线优先保护单元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04" w:type="dxa"/>
            <w:vMerge w:val="continue"/>
            <w:tcBorders>
              <w:top w:val="nil"/>
            </w:tcBorders>
            <w:textDirection w:val="tbRlV"/>
            <w:vAlign w:val="top"/>
          </w:tcPr>
          <w:p>
            <w:pPr>
              <w:rPr>
                <w:rFonts w:ascii="Arial"/>
                <w:sz w:val="21"/>
              </w:rPr>
            </w:pPr>
          </w:p>
        </w:tc>
        <w:tc>
          <w:tcPr>
            <w:tcW w:w="2116" w:type="dxa"/>
            <w:vAlign w:val="top"/>
          </w:tcPr>
          <w:p>
            <w:pPr>
              <w:spacing w:before="91" w:line="187" w:lineRule="auto"/>
              <w:ind w:left="339"/>
              <w:rPr>
                <w:rFonts w:ascii="Times New Roman" w:hAnsi="Times New Roman" w:eastAsia="Times New Roman" w:cs="Times New Roman"/>
                <w:sz w:val="21"/>
                <w:szCs w:val="21"/>
              </w:rPr>
            </w:pPr>
            <w:r>
              <w:rPr>
                <w:rFonts w:ascii="Times New Roman" w:hAnsi="Times New Roman" w:eastAsia="Times New Roman" w:cs="Times New Roman"/>
                <w:sz w:val="21"/>
                <w:szCs w:val="21"/>
              </w:rPr>
              <w:t>ZH33032820001</w:t>
            </w:r>
          </w:p>
        </w:tc>
        <w:tc>
          <w:tcPr>
            <w:tcW w:w="5311" w:type="dxa"/>
            <w:vAlign w:val="top"/>
          </w:tcPr>
          <w:p>
            <w:pPr>
              <w:pStyle w:val="6"/>
              <w:spacing w:before="55" w:line="220" w:lineRule="auto"/>
              <w:ind w:left="664"/>
            </w:pPr>
            <w:r>
              <w:rPr>
                <w:spacing w:val="-1"/>
              </w:rPr>
              <w:t>温州市文成县百丈漈产业集聚重点管控单元</w:t>
            </w:r>
          </w:p>
        </w:tc>
      </w:tr>
    </w:tbl>
    <w:p>
      <w:pPr>
        <w:spacing w:before="217" w:line="220" w:lineRule="auto"/>
        <w:ind w:left="34"/>
        <w:outlineLvl w:val="0"/>
        <w:rPr>
          <w:rFonts w:ascii="宋体" w:hAnsi="宋体" w:eastAsia="宋体" w:cs="宋体"/>
          <w:sz w:val="24"/>
          <w:szCs w:val="24"/>
        </w:rPr>
      </w:pPr>
      <w:r>
        <w:fldChar w:fldCharType="begin"/>
      </w:r>
      <w:r>
        <w:instrText xml:space="preserve"> HYPERLINK "2.4.2.5" </w:instrText>
      </w:r>
      <w:r>
        <w:fldChar w:fldCharType="separate"/>
      </w:r>
      <w:r>
        <w:rPr>
          <w:rFonts w:ascii="Times New Roman" w:hAnsi="Times New Roman" w:eastAsia="Times New Roman" w:cs="Times New Roman"/>
          <w:b/>
          <w:bCs/>
          <w:spacing w:val="-1"/>
          <w:sz w:val="24"/>
          <w:szCs w:val="24"/>
        </w:rPr>
        <w:t>2.4.2.5</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生态红线</w:t>
      </w:r>
    </w:p>
    <w:p>
      <w:pPr>
        <w:spacing w:before="180" w:line="218" w:lineRule="auto"/>
        <w:ind w:left="518"/>
        <w:rPr>
          <w:rFonts w:ascii="宋体" w:hAnsi="宋体" w:eastAsia="宋体" w:cs="宋体"/>
          <w:sz w:val="24"/>
          <w:szCs w:val="24"/>
        </w:rPr>
      </w:pPr>
      <w:r>
        <w:rPr>
          <w:rFonts w:ascii="宋体" w:hAnsi="宋体" w:eastAsia="宋体" w:cs="宋体"/>
          <w:spacing w:val="-5"/>
          <w:sz w:val="24"/>
          <w:szCs w:val="24"/>
        </w:rPr>
        <w:t>根据《自然资源部办公厅关于浙江等省（市）</w:t>
      </w:r>
      <w:r>
        <w:rPr>
          <w:rFonts w:ascii="宋体" w:hAnsi="宋体" w:eastAsia="宋体" w:cs="宋体"/>
          <w:spacing w:val="-26"/>
          <w:sz w:val="24"/>
          <w:szCs w:val="24"/>
        </w:rPr>
        <w:t xml:space="preserve"> </w:t>
      </w:r>
      <w:r>
        <w:rPr>
          <w:rFonts w:ascii="宋体" w:hAnsi="宋体" w:eastAsia="宋体" w:cs="宋体"/>
          <w:spacing w:val="-5"/>
          <w:sz w:val="24"/>
          <w:szCs w:val="24"/>
        </w:rPr>
        <w:t>启用</w:t>
      </w:r>
      <w:r>
        <w:rPr>
          <w:rFonts w:ascii="Times New Roman" w:hAnsi="Times New Roman" w:eastAsia="Times New Roman" w:cs="Times New Roman"/>
          <w:spacing w:val="-5"/>
          <w:sz w:val="24"/>
          <w:szCs w:val="24"/>
        </w:rPr>
        <w:t>“</w:t>
      </w:r>
      <w:r>
        <w:rPr>
          <w:rFonts w:ascii="宋体" w:hAnsi="宋体" w:eastAsia="宋体" w:cs="宋体"/>
          <w:spacing w:val="-5"/>
          <w:sz w:val="24"/>
          <w:szCs w:val="24"/>
        </w:rPr>
        <w:t>三区三线</w:t>
      </w:r>
      <w:r>
        <w:rPr>
          <w:rFonts w:ascii="Times New Roman" w:hAnsi="Times New Roman" w:eastAsia="Times New Roman" w:cs="Times New Roman"/>
          <w:spacing w:val="-5"/>
          <w:sz w:val="24"/>
          <w:szCs w:val="24"/>
        </w:rPr>
        <w:t>”</w:t>
      </w:r>
      <w:r>
        <w:rPr>
          <w:rFonts w:ascii="宋体" w:hAnsi="宋体" w:eastAsia="宋体" w:cs="宋体"/>
          <w:spacing w:val="-5"/>
          <w:sz w:val="24"/>
          <w:szCs w:val="24"/>
        </w:rPr>
        <w:t>划定成果作为</w:t>
      </w:r>
    </w:p>
    <w:p>
      <w:pPr>
        <w:spacing w:line="218" w:lineRule="auto"/>
        <w:rPr>
          <w:rFonts w:ascii="宋体" w:hAnsi="宋体" w:eastAsia="宋体" w:cs="宋体"/>
          <w:sz w:val="24"/>
          <w:szCs w:val="24"/>
        </w:rPr>
        <w:sectPr>
          <w:headerReference r:id="rId78" w:type="default"/>
          <w:footerReference r:id="rId79" w:type="default"/>
          <w:pgSz w:w="11907" w:h="16839"/>
          <w:pgMar w:top="1118" w:right="1687" w:bottom="1184" w:left="1771" w:header="879" w:footer="1024" w:gutter="0"/>
          <w:cols w:space="720" w:num="1"/>
        </w:sectPr>
      </w:pPr>
    </w:p>
    <w:p>
      <w:pPr>
        <w:pStyle w:val="2"/>
        <w:spacing w:line="278" w:lineRule="auto"/>
      </w:pPr>
    </w:p>
    <w:p>
      <w:pPr>
        <w:spacing w:before="78" w:line="468" w:lineRule="exact"/>
        <w:ind w:left="36"/>
        <w:rPr>
          <w:rFonts w:ascii="宋体" w:hAnsi="宋体" w:eastAsia="宋体" w:cs="宋体"/>
          <w:sz w:val="24"/>
          <w:szCs w:val="24"/>
        </w:rPr>
      </w:pPr>
      <w:r>
        <w:rPr>
          <w:rFonts w:ascii="宋体" w:hAnsi="宋体" w:eastAsia="宋体" w:cs="宋体"/>
          <w:spacing w:val="-3"/>
          <w:position w:val="17"/>
          <w:sz w:val="24"/>
          <w:szCs w:val="24"/>
        </w:rPr>
        <w:t>报批建设项目用地用海依据的函》（自然资办函</w:t>
      </w:r>
      <w:r>
        <w:rPr>
          <w:rFonts w:ascii="Times New Roman" w:hAnsi="Times New Roman" w:eastAsia="Times New Roman" w:cs="Times New Roman"/>
          <w:spacing w:val="-3"/>
          <w:position w:val="17"/>
          <w:sz w:val="24"/>
          <w:szCs w:val="24"/>
        </w:rPr>
        <w:t>[20</w:t>
      </w:r>
      <w:r>
        <w:rPr>
          <w:rFonts w:ascii="Times New Roman" w:hAnsi="Times New Roman" w:eastAsia="Times New Roman" w:cs="Times New Roman"/>
          <w:spacing w:val="-4"/>
          <w:position w:val="17"/>
          <w:sz w:val="24"/>
          <w:szCs w:val="24"/>
        </w:rPr>
        <w:t>22]2080</w:t>
      </w:r>
      <w:r>
        <w:rPr>
          <w:rFonts w:ascii="Times New Roman" w:hAnsi="Times New Roman" w:eastAsia="Times New Roman" w:cs="Times New Roman"/>
          <w:spacing w:val="14"/>
          <w:position w:val="17"/>
          <w:sz w:val="24"/>
          <w:szCs w:val="24"/>
        </w:rPr>
        <w:t xml:space="preserve"> </w:t>
      </w:r>
      <w:r>
        <w:rPr>
          <w:rFonts w:ascii="宋体" w:hAnsi="宋体" w:eastAsia="宋体" w:cs="宋体"/>
          <w:spacing w:val="-4"/>
          <w:position w:val="17"/>
          <w:sz w:val="24"/>
          <w:szCs w:val="24"/>
        </w:rPr>
        <w:t>号</w:t>
      </w:r>
      <w:r>
        <w:rPr>
          <w:rFonts w:ascii="宋体" w:hAnsi="宋体" w:eastAsia="宋体" w:cs="宋体"/>
          <w:spacing w:val="16"/>
          <w:position w:val="17"/>
          <w:sz w:val="24"/>
          <w:szCs w:val="24"/>
        </w:rPr>
        <w:t>），</w:t>
      </w:r>
      <w:r>
        <w:rPr>
          <w:rFonts w:ascii="宋体" w:hAnsi="宋体" w:eastAsia="宋体" w:cs="宋体"/>
          <w:spacing w:val="-4"/>
          <w:position w:val="17"/>
          <w:sz w:val="24"/>
          <w:szCs w:val="24"/>
        </w:rPr>
        <w:t>浙江省已启用</w:t>
      </w:r>
    </w:p>
    <w:p>
      <w:pPr>
        <w:spacing w:line="220" w:lineRule="auto"/>
        <w:ind w:left="39"/>
        <w:rPr>
          <w:rFonts w:ascii="宋体" w:hAnsi="宋体" w:eastAsia="宋体" w:cs="宋体"/>
          <w:sz w:val="24"/>
          <w:szCs w:val="24"/>
        </w:rPr>
      </w:pPr>
      <w:r>
        <w:rPr>
          <w:rFonts w:ascii="宋体" w:hAnsi="宋体" w:eastAsia="宋体" w:cs="宋体"/>
          <w:spacing w:val="-2"/>
          <w:sz w:val="24"/>
          <w:szCs w:val="24"/>
        </w:rPr>
        <w:t>新的</w:t>
      </w:r>
      <w:r>
        <w:rPr>
          <w:rFonts w:ascii="Times New Roman" w:hAnsi="Times New Roman" w:eastAsia="Times New Roman" w:cs="Times New Roman"/>
          <w:spacing w:val="-2"/>
          <w:sz w:val="24"/>
          <w:szCs w:val="24"/>
        </w:rPr>
        <w:t>“</w:t>
      </w:r>
      <w:r>
        <w:rPr>
          <w:rFonts w:ascii="宋体" w:hAnsi="宋体" w:eastAsia="宋体" w:cs="宋体"/>
          <w:spacing w:val="-2"/>
          <w:sz w:val="24"/>
          <w:szCs w:val="24"/>
        </w:rPr>
        <w:t>三区三线</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p>
    <w:p>
      <w:pPr>
        <w:spacing w:before="179" w:line="219" w:lineRule="auto"/>
        <w:ind w:left="518"/>
        <w:rPr>
          <w:rFonts w:ascii="宋体" w:hAnsi="宋体" w:eastAsia="宋体" w:cs="宋体"/>
          <w:sz w:val="24"/>
          <w:szCs w:val="24"/>
        </w:rPr>
      </w:pPr>
      <w:r>
        <w:rPr>
          <w:rFonts w:ascii="宋体" w:hAnsi="宋体" w:eastAsia="宋体" w:cs="宋体"/>
          <w:spacing w:val="-2"/>
          <w:sz w:val="24"/>
          <w:szCs w:val="24"/>
        </w:rPr>
        <w:t>根据叠图分析可知，本项目不涉及生态保护红线，具体见附图。</w:t>
      </w:r>
    </w:p>
    <w:p>
      <w:pPr>
        <w:spacing w:before="183" w:line="218" w:lineRule="auto"/>
        <w:ind w:left="34"/>
        <w:outlineLvl w:val="0"/>
        <w:rPr>
          <w:rFonts w:ascii="宋体" w:hAnsi="宋体" w:eastAsia="宋体" w:cs="宋体"/>
          <w:sz w:val="24"/>
          <w:szCs w:val="24"/>
        </w:rPr>
      </w:pPr>
      <w:bookmarkStart w:id="11" w:name="bookmark12"/>
      <w:bookmarkEnd w:id="11"/>
      <w:r>
        <w:rPr>
          <w:rFonts w:ascii="Times New Roman" w:hAnsi="Times New Roman" w:eastAsia="Times New Roman" w:cs="Times New Roman"/>
          <w:b/>
          <w:bCs/>
          <w:sz w:val="24"/>
          <w:szCs w:val="24"/>
        </w:rPr>
        <w:t xml:space="preserve">2.5 </w:t>
      </w:r>
      <w:r>
        <w:rPr>
          <w:rFonts w:ascii="宋体" w:hAnsi="宋体" w:eastAsia="宋体" w:cs="宋体"/>
          <w:sz w:val="24"/>
          <w:szCs w:val="24"/>
          <w14:textOutline w14:w="4354" w14:cap="flat" w14:cmpd="sng">
            <w14:solidFill>
              <w14:srgbClr w14:val="000000"/>
            </w14:solidFill>
            <w14:prstDash w14:val="solid"/>
            <w14:miter w14:val="0"/>
          </w14:textOutline>
        </w:rPr>
        <w:t>评价时段和评价重点</w:t>
      </w:r>
    </w:p>
    <w:p>
      <w:pPr>
        <w:spacing w:before="182" w:line="218" w:lineRule="auto"/>
        <w:ind w:left="34"/>
        <w:outlineLvl w:val="0"/>
        <w:rPr>
          <w:rFonts w:ascii="宋体" w:hAnsi="宋体" w:eastAsia="宋体" w:cs="宋体"/>
          <w:sz w:val="24"/>
          <w:szCs w:val="24"/>
        </w:rPr>
      </w:pPr>
      <w:r>
        <w:rPr>
          <w:rFonts w:ascii="Times New Roman" w:hAnsi="Times New Roman" w:eastAsia="Times New Roman" w:cs="Times New Roman"/>
          <w:b/>
          <w:bCs/>
          <w:spacing w:val="-1"/>
          <w:sz w:val="24"/>
          <w:szCs w:val="24"/>
        </w:rPr>
        <w:t xml:space="preserve">2.5.1 </w:t>
      </w:r>
      <w:r>
        <w:rPr>
          <w:rFonts w:ascii="宋体" w:hAnsi="宋体" w:eastAsia="宋体" w:cs="宋体"/>
          <w:spacing w:val="-1"/>
          <w:sz w:val="24"/>
          <w:szCs w:val="24"/>
          <w14:textOutline w14:w="4354" w14:cap="flat" w14:cmpd="sng">
            <w14:solidFill>
              <w14:srgbClr w14:val="000000"/>
            </w14:solidFill>
            <w14:prstDash w14:val="solid"/>
            <w14:miter w14:val="0"/>
          </w14:textOutline>
        </w:rPr>
        <w:t>评价时段</w:t>
      </w:r>
    </w:p>
    <w:p>
      <w:pPr>
        <w:spacing w:before="184" w:line="218" w:lineRule="auto"/>
        <w:ind w:left="517"/>
        <w:rPr>
          <w:rFonts w:ascii="宋体" w:hAnsi="宋体" w:eastAsia="宋体" w:cs="宋体"/>
          <w:sz w:val="24"/>
          <w:szCs w:val="24"/>
        </w:rPr>
      </w:pPr>
      <w:r>
        <w:rPr>
          <w:rFonts w:ascii="宋体" w:hAnsi="宋体" w:eastAsia="宋体" w:cs="宋体"/>
          <w:spacing w:val="-3"/>
          <w:sz w:val="24"/>
          <w:szCs w:val="24"/>
        </w:rPr>
        <w:t>评价时段分为施工期和运营期。</w:t>
      </w:r>
    </w:p>
    <w:p>
      <w:pPr>
        <w:spacing w:before="182" w:line="469" w:lineRule="exact"/>
        <w:ind w:right="25"/>
        <w:jc w:val="right"/>
        <w:rPr>
          <w:rFonts w:ascii="宋体" w:hAnsi="宋体" w:eastAsia="宋体" w:cs="宋体"/>
          <w:sz w:val="24"/>
          <w:szCs w:val="24"/>
        </w:rPr>
      </w:pPr>
      <w:r>
        <w:rPr>
          <w:rFonts w:ascii="宋体" w:hAnsi="宋体" w:eastAsia="宋体" w:cs="宋体"/>
          <w:spacing w:val="-11"/>
          <w:position w:val="17"/>
          <w:sz w:val="24"/>
          <w:szCs w:val="24"/>
          <w14:textOutline w14:w="4354" w14:cap="flat" w14:cmpd="sng">
            <w14:solidFill>
              <w14:srgbClr w14:val="000000"/>
            </w14:solidFill>
            <w14:prstDash w14:val="solid"/>
            <w14:miter w14:val="0"/>
          </w14:textOutline>
        </w:rPr>
        <w:t>施工期：</w:t>
      </w:r>
      <w:r>
        <w:rPr>
          <w:rFonts w:ascii="宋体" w:hAnsi="宋体" w:eastAsia="宋体" w:cs="宋体"/>
          <w:spacing w:val="-11"/>
          <w:position w:val="17"/>
          <w:sz w:val="24"/>
          <w:szCs w:val="24"/>
        </w:rPr>
        <w:t>项目工程于</w:t>
      </w:r>
      <w:r>
        <w:rPr>
          <w:rFonts w:ascii="宋体" w:hAnsi="宋体" w:eastAsia="宋体" w:cs="宋体"/>
          <w:spacing w:val="-42"/>
          <w:position w:val="17"/>
          <w:sz w:val="24"/>
          <w:szCs w:val="24"/>
        </w:rPr>
        <w:t xml:space="preserve"> </w:t>
      </w:r>
      <w:r>
        <w:rPr>
          <w:rFonts w:ascii="Times New Roman" w:hAnsi="Times New Roman" w:eastAsia="Times New Roman" w:cs="Times New Roman"/>
          <w:spacing w:val="-11"/>
          <w:position w:val="17"/>
          <w:sz w:val="24"/>
          <w:szCs w:val="24"/>
        </w:rPr>
        <w:t>2019</w:t>
      </w:r>
      <w:r>
        <w:rPr>
          <w:rFonts w:ascii="Times New Roman" w:hAnsi="Times New Roman" w:eastAsia="Times New Roman" w:cs="Times New Roman"/>
          <w:spacing w:val="22"/>
          <w:position w:val="17"/>
          <w:sz w:val="24"/>
          <w:szCs w:val="24"/>
        </w:rPr>
        <w:t xml:space="preserve"> </w:t>
      </w:r>
      <w:r>
        <w:rPr>
          <w:rFonts w:ascii="宋体" w:hAnsi="宋体" w:eastAsia="宋体" w:cs="宋体"/>
          <w:spacing w:val="-11"/>
          <w:position w:val="17"/>
          <w:sz w:val="24"/>
          <w:szCs w:val="24"/>
        </w:rPr>
        <w:t>年</w:t>
      </w:r>
      <w:r>
        <w:rPr>
          <w:rFonts w:ascii="宋体" w:hAnsi="宋体" w:eastAsia="宋体" w:cs="宋体"/>
          <w:spacing w:val="-37"/>
          <w:position w:val="17"/>
          <w:sz w:val="24"/>
          <w:szCs w:val="24"/>
        </w:rPr>
        <w:t xml:space="preserve"> </w:t>
      </w:r>
      <w:r>
        <w:rPr>
          <w:rFonts w:ascii="Times New Roman" w:hAnsi="Times New Roman" w:eastAsia="Times New Roman" w:cs="Times New Roman"/>
          <w:spacing w:val="-11"/>
          <w:position w:val="17"/>
          <w:sz w:val="24"/>
          <w:szCs w:val="24"/>
        </w:rPr>
        <w:t>5</w:t>
      </w:r>
      <w:r>
        <w:rPr>
          <w:rFonts w:ascii="Times New Roman" w:hAnsi="Times New Roman" w:eastAsia="Times New Roman" w:cs="Times New Roman"/>
          <w:spacing w:val="28"/>
          <w:position w:val="17"/>
          <w:sz w:val="24"/>
          <w:szCs w:val="24"/>
        </w:rPr>
        <w:t xml:space="preserve"> </w:t>
      </w:r>
      <w:r>
        <w:rPr>
          <w:rFonts w:ascii="宋体" w:hAnsi="宋体" w:eastAsia="宋体" w:cs="宋体"/>
          <w:spacing w:val="-11"/>
          <w:position w:val="17"/>
          <w:sz w:val="24"/>
          <w:szCs w:val="24"/>
        </w:rPr>
        <w:t>月开始施工，</w:t>
      </w:r>
      <w:r>
        <w:rPr>
          <w:rFonts w:ascii="宋体" w:hAnsi="宋体" w:eastAsia="宋体" w:cs="宋体"/>
          <w:spacing w:val="56"/>
          <w:position w:val="17"/>
          <w:sz w:val="24"/>
          <w:szCs w:val="24"/>
        </w:rPr>
        <w:t xml:space="preserve"> </w:t>
      </w:r>
      <w:r>
        <w:rPr>
          <w:rFonts w:ascii="Times New Roman" w:hAnsi="Times New Roman" w:eastAsia="Times New Roman" w:cs="Times New Roman"/>
          <w:spacing w:val="-11"/>
          <w:position w:val="17"/>
          <w:sz w:val="24"/>
          <w:szCs w:val="24"/>
        </w:rPr>
        <w:t>2022</w:t>
      </w:r>
      <w:r>
        <w:rPr>
          <w:rFonts w:ascii="Times New Roman" w:hAnsi="Times New Roman" w:eastAsia="Times New Roman" w:cs="Times New Roman"/>
          <w:spacing w:val="22"/>
          <w:w w:val="101"/>
          <w:position w:val="17"/>
          <w:sz w:val="24"/>
          <w:szCs w:val="24"/>
        </w:rPr>
        <w:t xml:space="preserve"> </w:t>
      </w:r>
      <w:r>
        <w:rPr>
          <w:rFonts w:ascii="宋体" w:hAnsi="宋体" w:eastAsia="宋体" w:cs="宋体"/>
          <w:spacing w:val="-11"/>
          <w:position w:val="17"/>
          <w:sz w:val="24"/>
          <w:szCs w:val="24"/>
        </w:rPr>
        <w:t xml:space="preserve">年 </w:t>
      </w:r>
      <w:r>
        <w:rPr>
          <w:rFonts w:ascii="Times New Roman" w:hAnsi="Times New Roman" w:eastAsia="Times New Roman" w:cs="Times New Roman"/>
          <w:spacing w:val="-11"/>
          <w:position w:val="17"/>
          <w:sz w:val="24"/>
          <w:szCs w:val="24"/>
        </w:rPr>
        <w:t>12</w:t>
      </w:r>
      <w:r>
        <w:rPr>
          <w:rFonts w:ascii="Times New Roman" w:hAnsi="Times New Roman" w:eastAsia="Times New Roman" w:cs="Times New Roman"/>
          <w:spacing w:val="27"/>
          <w:position w:val="17"/>
          <w:sz w:val="24"/>
          <w:szCs w:val="24"/>
        </w:rPr>
        <w:t xml:space="preserve"> </w:t>
      </w:r>
      <w:r>
        <w:rPr>
          <w:rFonts w:ascii="宋体" w:hAnsi="宋体" w:eastAsia="宋体" w:cs="宋体"/>
          <w:spacing w:val="-11"/>
          <w:position w:val="17"/>
          <w:sz w:val="24"/>
          <w:szCs w:val="24"/>
        </w:rPr>
        <w:t>月底完工， 总工期</w:t>
      </w:r>
    </w:p>
    <w:p>
      <w:pPr>
        <w:spacing w:line="219" w:lineRule="auto"/>
        <w:ind w:left="32"/>
        <w:rPr>
          <w:rFonts w:ascii="宋体" w:hAnsi="宋体" w:eastAsia="宋体" w:cs="宋体"/>
          <w:sz w:val="24"/>
          <w:szCs w:val="24"/>
        </w:rPr>
      </w:pPr>
      <w:r>
        <w:rPr>
          <w:rFonts w:ascii="Times New Roman" w:hAnsi="Times New Roman" w:eastAsia="Times New Roman" w:cs="Times New Roman"/>
          <w:spacing w:val="-7"/>
          <w:sz w:val="24"/>
          <w:szCs w:val="24"/>
        </w:rPr>
        <w:t>43</w:t>
      </w:r>
      <w:r>
        <w:rPr>
          <w:rFonts w:ascii="Times New Roman" w:hAnsi="Times New Roman" w:eastAsia="Times New Roman" w:cs="Times New Roman"/>
          <w:spacing w:val="10"/>
          <w:sz w:val="24"/>
          <w:szCs w:val="24"/>
        </w:rPr>
        <w:t xml:space="preserve"> </w:t>
      </w:r>
      <w:r>
        <w:rPr>
          <w:rFonts w:ascii="宋体" w:hAnsi="宋体" w:eastAsia="宋体" w:cs="宋体"/>
          <w:spacing w:val="-7"/>
          <w:sz w:val="24"/>
          <w:szCs w:val="24"/>
        </w:rPr>
        <w:t>个月。</w:t>
      </w:r>
    </w:p>
    <w:p>
      <w:pPr>
        <w:spacing w:before="180" w:line="468" w:lineRule="exact"/>
        <w:ind w:right="22"/>
        <w:jc w:val="right"/>
        <w:rPr>
          <w:rFonts w:ascii="宋体" w:hAnsi="宋体" w:eastAsia="宋体" w:cs="宋体"/>
          <w:sz w:val="24"/>
          <w:szCs w:val="24"/>
        </w:rPr>
      </w:pPr>
      <w:r>
        <w:rPr>
          <w:rFonts w:ascii="宋体" w:hAnsi="宋体" w:eastAsia="宋体" w:cs="宋体"/>
          <w:spacing w:val="-3"/>
          <w:position w:val="17"/>
          <w:sz w:val="24"/>
          <w:szCs w:val="24"/>
          <w14:textOutline w14:w="4354" w14:cap="flat" w14:cmpd="sng">
            <w14:solidFill>
              <w14:srgbClr w14:val="000000"/>
            </w14:solidFill>
            <w14:prstDash w14:val="solid"/>
            <w14:miter w14:val="0"/>
          </w14:textOutline>
        </w:rPr>
        <w:t>营运期：</w:t>
      </w:r>
      <w:r>
        <w:rPr>
          <w:rFonts w:ascii="宋体" w:hAnsi="宋体" w:eastAsia="宋体" w:cs="宋体"/>
          <w:spacing w:val="-3"/>
          <w:position w:val="17"/>
          <w:sz w:val="24"/>
          <w:szCs w:val="24"/>
        </w:rPr>
        <w:t xml:space="preserve">近、中、远期分别为投运后第 </w:t>
      </w:r>
      <w:r>
        <w:rPr>
          <w:rFonts w:ascii="Times New Roman" w:hAnsi="Times New Roman" w:eastAsia="Times New Roman" w:cs="Times New Roman"/>
          <w:spacing w:val="-3"/>
          <w:position w:val="17"/>
          <w:sz w:val="24"/>
          <w:szCs w:val="24"/>
        </w:rPr>
        <w:t>1</w:t>
      </w:r>
      <w:r>
        <w:rPr>
          <w:rFonts w:ascii="Times New Roman" w:hAnsi="Times New Roman" w:eastAsia="Times New Roman" w:cs="Times New Roman"/>
          <w:spacing w:val="27"/>
          <w:w w:val="101"/>
          <w:position w:val="17"/>
          <w:sz w:val="24"/>
          <w:szCs w:val="24"/>
        </w:rPr>
        <w:t xml:space="preserve"> </w:t>
      </w:r>
      <w:r>
        <w:rPr>
          <w:rFonts w:ascii="宋体" w:hAnsi="宋体" w:eastAsia="宋体" w:cs="宋体"/>
          <w:spacing w:val="-3"/>
          <w:position w:val="17"/>
          <w:sz w:val="24"/>
          <w:szCs w:val="24"/>
        </w:rPr>
        <w:t>年</w:t>
      </w:r>
      <w:r>
        <w:rPr>
          <w:rFonts w:ascii="宋体" w:hAnsi="宋体" w:eastAsia="宋体" w:cs="宋体"/>
          <w:spacing w:val="-38"/>
          <w:position w:val="17"/>
          <w:sz w:val="24"/>
          <w:szCs w:val="24"/>
        </w:rPr>
        <w:t xml:space="preserve"> </w:t>
      </w:r>
      <w:r>
        <w:rPr>
          <w:rFonts w:ascii="Times New Roman" w:hAnsi="Times New Roman" w:eastAsia="Times New Roman" w:cs="Times New Roman"/>
          <w:spacing w:val="-3"/>
          <w:position w:val="17"/>
          <w:sz w:val="24"/>
          <w:szCs w:val="24"/>
        </w:rPr>
        <w:t>2023</w:t>
      </w:r>
      <w:r>
        <w:rPr>
          <w:rFonts w:ascii="Times New Roman" w:hAnsi="Times New Roman" w:eastAsia="Times New Roman" w:cs="Times New Roman"/>
          <w:spacing w:val="27"/>
          <w:position w:val="17"/>
          <w:sz w:val="24"/>
          <w:szCs w:val="24"/>
        </w:rPr>
        <w:t xml:space="preserve"> </w:t>
      </w:r>
      <w:r>
        <w:rPr>
          <w:rFonts w:ascii="宋体" w:hAnsi="宋体" w:eastAsia="宋体" w:cs="宋体"/>
          <w:spacing w:val="-3"/>
          <w:position w:val="17"/>
          <w:sz w:val="24"/>
          <w:szCs w:val="24"/>
        </w:rPr>
        <w:t>年、第</w:t>
      </w:r>
      <w:r>
        <w:rPr>
          <w:rFonts w:ascii="宋体" w:hAnsi="宋体" w:eastAsia="宋体" w:cs="宋体"/>
          <w:spacing w:val="-34"/>
          <w:position w:val="17"/>
          <w:sz w:val="24"/>
          <w:szCs w:val="24"/>
        </w:rPr>
        <w:t xml:space="preserve"> </w:t>
      </w:r>
      <w:r>
        <w:rPr>
          <w:rFonts w:ascii="Times New Roman" w:hAnsi="Times New Roman" w:eastAsia="Times New Roman" w:cs="Times New Roman"/>
          <w:spacing w:val="-3"/>
          <w:position w:val="17"/>
          <w:sz w:val="24"/>
          <w:szCs w:val="24"/>
        </w:rPr>
        <w:t>7</w:t>
      </w:r>
      <w:r>
        <w:rPr>
          <w:rFonts w:ascii="Times New Roman" w:hAnsi="Times New Roman" w:eastAsia="Times New Roman" w:cs="Times New Roman"/>
          <w:spacing w:val="27"/>
          <w:w w:val="101"/>
          <w:position w:val="17"/>
          <w:sz w:val="24"/>
          <w:szCs w:val="24"/>
        </w:rPr>
        <w:t xml:space="preserve"> </w:t>
      </w:r>
      <w:r>
        <w:rPr>
          <w:rFonts w:ascii="宋体" w:hAnsi="宋体" w:eastAsia="宋体" w:cs="宋体"/>
          <w:spacing w:val="-3"/>
          <w:position w:val="17"/>
          <w:sz w:val="24"/>
          <w:szCs w:val="24"/>
        </w:rPr>
        <w:t>年</w:t>
      </w:r>
      <w:r>
        <w:rPr>
          <w:rFonts w:ascii="宋体" w:hAnsi="宋体" w:eastAsia="宋体" w:cs="宋体"/>
          <w:spacing w:val="-39"/>
          <w:position w:val="17"/>
          <w:sz w:val="24"/>
          <w:szCs w:val="24"/>
        </w:rPr>
        <w:t xml:space="preserve"> </w:t>
      </w:r>
      <w:r>
        <w:rPr>
          <w:rFonts w:ascii="Times New Roman" w:hAnsi="Times New Roman" w:eastAsia="Times New Roman" w:cs="Times New Roman"/>
          <w:spacing w:val="-3"/>
          <w:position w:val="17"/>
          <w:sz w:val="24"/>
          <w:szCs w:val="24"/>
        </w:rPr>
        <w:t>2029</w:t>
      </w:r>
      <w:r>
        <w:rPr>
          <w:rFonts w:ascii="Times New Roman" w:hAnsi="Times New Roman" w:eastAsia="Times New Roman" w:cs="Times New Roman"/>
          <w:spacing w:val="30"/>
          <w:position w:val="17"/>
          <w:sz w:val="24"/>
          <w:szCs w:val="24"/>
        </w:rPr>
        <w:t xml:space="preserve"> </w:t>
      </w:r>
      <w:r>
        <w:rPr>
          <w:rFonts w:ascii="宋体" w:hAnsi="宋体" w:eastAsia="宋体" w:cs="宋体"/>
          <w:spacing w:val="-3"/>
          <w:position w:val="17"/>
          <w:sz w:val="24"/>
          <w:szCs w:val="24"/>
        </w:rPr>
        <w:t>年和第</w:t>
      </w:r>
    </w:p>
    <w:p>
      <w:pPr>
        <w:spacing w:before="1" w:line="219" w:lineRule="auto"/>
        <w:ind w:left="56"/>
        <w:rPr>
          <w:rFonts w:ascii="宋体" w:hAnsi="宋体" w:eastAsia="宋体" w:cs="宋体"/>
          <w:sz w:val="24"/>
          <w:szCs w:val="24"/>
        </w:rPr>
      </w:pPr>
      <w:r>
        <w:rPr>
          <w:rFonts w:ascii="Times New Roman" w:hAnsi="Times New Roman" w:eastAsia="Times New Roman" w:cs="Times New Roman"/>
          <w:spacing w:val="-6"/>
          <w:sz w:val="24"/>
          <w:szCs w:val="24"/>
        </w:rPr>
        <w:t xml:space="preserve">15 </w:t>
      </w:r>
      <w:r>
        <w:rPr>
          <w:rFonts w:ascii="宋体" w:hAnsi="宋体" w:eastAsia="宋体" w:cs="宋体"/>
          <w:spacing w:val="-6"/>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2037</w:t>
      </w:r>
      <w:r>
        <w:rPr>
          <w:rFonts w:ascii="Times New Roman" w:hAnsi="Times New Roman" w:eastAsia="Times New Roman" w:cs="Times New Roman"/>
          <w:spacing w:val="10"/>
          <w:sz w:val="24"/>
          <w:szCs w:val="24"/>
        </w:rPr>
        <w:t xml:space="preserve"> </w:t>
      </w:r>
      <w:r>
        <w:rPr>
          <w:rFonts w:ascii="宋体" w:hAnsi="宋体" w:eastAsia="宋体" w:cs="宋体"/>
          <w:spacing w:val="-6"/>
          <w:sz w:val="24"/>
          <w:szCs w:val="24"/>
        </w:rPr>
        <w:t>年。</w:t>
      </w:r>
    </w:p>
    <w:p>
      <w:pPr>
        <w:spacing w:before="180" w:line="218" w:lineRule="auto"/>
        <w:ind w:left="34"/>
        <w:outlineLvl w:val="0"/>
        <w:rPr>
          <w:rFonts w:ascii="宋体" w:hAnsi="宋体" w:eastAsia="宋体" w:cs="宋体"/>
          <w:sz w:val="24"/>
          <w:szCs w:val="24"/>
        </w:rPr>
      </w:pPr>
      <w:r>
        <w:rPr>
          <w:rFonts w:ascii="Times New Roman" w:hAnsi="Times New Roman" w:eastAsia="Times New Roman" w:cs="Times New Roman"/>
          <w:b/>
          <w:bCs/>
          <w:spacing w:val="-1"/>
          <w:sz w:val="24"/>
          <w:szCs w:val="24"/>
        </w:rPr>
        <w:t xml:space="preserve">2.5.2 </w:t>
      </w:r>
      <w:r>
        <w:rPr>
          <w:rFonts w:ascii="宋体" w:hAnsi="宋体" w:eastAsia="宋体" w:cs="宋体"/>
          <w:spacing w:val="-1"/>
          <w:sz w:val="24"/>
          <w:szCs w:val="24"/>
          <w14:textOutline w14:w="4354" w14:cap="flat" w14:cmpd="sng">
            <w14:solidFill>
              <w14:srgbClr w14:val="000000"/>
            </w14:solidFill>
            <w14:prstDash w14:val="solid"/>
            <w14:miter w14:val="0"/>
          </w14:textOutline>
        </w:rPr>
        <w:t>评价重点</w:t>
      </w:r>
    </w:p>
    <w:p>
      <w:pPr>
        <w:spacing w:before="185" w:line="359" w:lineRule="auto"/>
        <w:ind w:left="39" w:right="32" w:firstLine="478"/>
        <w:rPr>
          <w:rFonts w:ascii="宋体" w:hAnsi="宋体" w:eastAsia="宋体" w:cs="宋体"/>
          <w:sz w:val="24"/>
          <w:szCs w:val="24"/>
        </w:rPr>
      </w:pPr>
      <w:r>
        <w:rPr>
          <w:rFonts w:ascii="宋体" w:hAnsi="宋体" w:eastAsia="宋体" w:cs="宋体"/>
          <w:spacing w:val="-10"/>
          <w:sz w:val="24"/>
          <w:szCs w:val="24"/>
        </w:rPr>
        <w:t>根据本工程主要建设内容和规模， 结合沿线区域环境质量现状情况， 本次评</w:t>
      </w:r>
      <w:r>
        <w:rPr>
          <w:rFonts w:ascii="宋体" w:hAnsi="宋体" w:eastAsia="宋体" w:cs="宋体"/>
          <w:spacing w:val="3"/>
          <w:sz w:val="24"/>
          <w:szCs w:val="24"/>
        </w:rPr>
        <w:t xml:space="preserve"> </w:t>
      </w:r>
      <w:r>
        <w:rPr>
          <w:rFonts w:ascii="宋体" w:hAnsi="宋体" w:eastAsia="宋体" w:cs="宋体"/>
          <w:spacing w:val="-8"/>
          <w:sz w:val="24"/>
          <w:szCs w:val="24"/>
        </w:rPr>
        <w:t>价重点为声环境、生态环境影响评价，</w:t>
      </w:r>
      <w:r>
        <w:rPr>
          <w:rFonts w:ascii="宋体" w:hAnsi="宋体" w:eastAsia="宋体" w:cs="宋体"/>
          <w:spacing w:val="52"/>
          <w:sz w:val="24"/>
          <w:szCs w:val="24"/>
        </w:rPr>
        <w:t xml:space="preserve"> </w:t>
      </w:r>
      <w:r>
        <w:rPr>
          <w:rFonts w:ascii="宋体" w:hAnsi="宋体" w:eastAsia="宋体" w:cs="宋体"/>
          <w:spacing w:val="-8"/>
          <w:sz w:val="24"/>
          <w:szCs w:val="24"/>
        </w:rPr>
        <w:t>以及施工期和营运期相应的污染防治对策</w:t>
      </w:r>
    </w:p>
    <w:p>
      <w:pPr>
        <w:spacing w:before="1" w:line="218" w:lineRule="auto"/>
        <w:ind w:left="38"/>
        <w:rPr>
          <w:rFonts w:ascii="宋体" w:hAnsi="宋体" w:eastAsia="宋体" w:cs="宋体"/>
          <w:sz w:val="24"/>
          <w:szCs w:val="24"/>
        </w:rPr>
      </w:pPr>
      <w:r>
        <w:rPr>
          <w:rFonts w:ascii="宋体" w:hAnsi="宋体" w:eastAsia="宋体" w:cs="宋体"/>
          <w:spacing w:val="-5"/>
          <w:sz w:val="24"/>
          <w:szCs w:val="24"/>
        </w:rPr>
        <w:t>措施。工作重点包括以下几方面：</w:t>
      </w:r>
    </w:p>
    <w:p>
      <w:pPr>
        <w:spacing w:before="182" w:line="360" w:lineRule="auto"/>
        <w:ind w:left="39" w:right="32"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）工程声环境影响评价以现状和规划声环境保护目标为主要环境保护目</w:t>
      </w:r>
      <w:r>
        <w:rPr>
          <w:rFonts w:ascii="宋体" w:hAnsi="宋体" w:eastAsia="宋体" w:cs="宋体"/>
          <w:spacing w:val="2"/>
          <w:sz w:val="24"/>
          <w:szCs w:val="24"/>
        </w:rPr>
        <w:t xml:space="preserve"> </w:t>
      </w:r>
      <w:r>
        <w:rPr>
          <w:rFonts w:ascii="宋体" w:hAnsi="宋体" w:eastAsia="宋体" w:cs="宋体"/>
          <w:spacing w:val="-6"/>
          <w:sz w:val="24"/>
          <w:szCs w:val="24"/>
        </w:rPr>
        <w:t>标，应用数学模型预测交通噪声对保护目标的影响程度</w:t>
      </w:r>
      <w:r>
        <w:rPr>
          <w:rFonts w:ascii="宋体" w:hAnsi="宋体" w:eastAsia="宋体" w:cs="宋体"/>
          <w:spacing w:val="-7"/>
          <w:sz w:val="24"/>
          <w:szCs w:val="24"/>
        </w:rPr>
        <w:t>， 并提出切实有效的声环</w:t>
      </w:r>
    </w:p>
    <w:p>
      <w:pPr>
        <w:spacing w:line="220" w:lineRule="auto"/>
        <w:ind w:left="39"/>
        <w:rPr>
          <w:rFonts w:ascii="宋体" w:hAnsi="宋体" w:eastAsia="宋体" w:cs="宋体"/>
          <w:sz w:val="24"/>
          <w:szCs w:val="24"/>
        </w:rPr>
      </w:pPr>
      <w:r>
        <w:rPr>
          <w:rFonts w:ascii="宋体" w:hAnsi="宋体" w:eastAsia="宋体" w:cs="宋体"/>
          <w:spacing w:val="-7"/>
          <w:sz w:val="24"/>
          <w:szCs w:val="24"/>
        </w:rPr>
        <w:t>境保护措施。</w:t>
      </w:r>
    </w:p>
    <w:p>
      <w:pPr>
        <w:spacing w:before="179" w:line="468" w:lineRule="exact"/>
        <w:ind w:left="524"/>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2</w:t>
      </w:r>
      <w:r>
        <w:rPr>
          <w:rFonts w:ascii="宋体" w:hAnsi="宋体" w:eastAsia="宋体" w:cs="宋体"/>
          <w:spacing w:val="-1"/>
          <w:position w:val="17"/>
          <w:sz w:val="24"/>
          <w:szCs w:val="24"/>
        </w:rPr>
        <w:t>）工程施工期大临场地各项功能运行时对周边环境噪声、水体、空气、</w:t>
      </w:r>
    </w:p>
    <w:p>
      <w:pPr>
        <w:spacing w:before="1" w:line="221" w:lineRule="auto"/>
        <w:ind w:left="40"/>
        <w:rPr>
          <w:rFonts w:ascii="宋体" w:hAnsi="宋体" w:eastAsia="宋体" w:cs="宋体"/>
          <w:sz w:val="24"/>
          <w:szCs w:val="24"/>
        </w:rPr>
      </w:pPr>
      <w:r>
        <w:rPr>
          <w:rFonts w:ascii="宋体" w:hAnsi="宋体" w:eastAsia="宋体" w:cs="宋体"/>
          <w:spacing w:val="-7"/>
          <w:sz w:val="24"/>
          <w:szCs w:val="24"/>
        </w:rPr>
        <w:t>生态的影响。</w:t>
      </w:r>
    </w:p>
    <w:p>
      <w:pPr>
        <w:spacing w:before="178" w:line="468" w:lineRule="exact"/>
        <w:ind w:right="27"/>
        <w:jc w:val="right"/>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3</w:t>
      </w:r>
      <w:r>
        <w:rPr>
          <w:rFonts w:ascii="宋体" w:hAnsi="宋体" w:eastAsia="宋体" w:cs="宋体"/>
          <w:spacing w:val="-2"/>
          <w:position w:val="17"/>
          <w:sz w:val="24"/>
          <w:szCs w:val="24"/>
        </w:rPr>
        <w:t>）生态环境影响评价重点分析项目建设对百丈漈</w:t>
      </w:r>
      <w:r>
        <w:rPr>
          <w:rFonts w:ascii="Times New Roman" w:hAnsi="Times New Roman" w:eastAsia="Times New Roman" w:cs="Times New Roman"/>
          <w:spacing w:val="-2"/>
          <w:position w:val="17"/>
          <w:sz w:val="24"/>
          <w:szCs w:val="24"/>
        </w:rPr>
        <w:t>-</w:t>
      </w:r>
      <w:r>
        <w:rPr>
          <w:rFonts w:ascii="宋体" w:hAnsi="宋体" w:eastAsia="宋体" w:cs="宋体"/>
          <w:spacing w:val="-2"/>
          <w:position w:val="17"/>
          <w:sz w:val="24"/>
          <w:szCs w:val="24"/>
        </w:rPr>
        <w:t>飞云湖风景名胜区的影</w:t>
      </w:r>
    </w:p>
    <w:p>
      <w:pPr>
        <w:spacing w:line="223" w:lineRule="auto"/>
        <w:ind w:left="50"/>
        <w:rPr>
          <w:rFonts w:ascii="宋体" w:hAnsi="宋体" w:eastAsia="宋体" w:cs="宋体"/>
          <w:sz w:val="24"/>
          <w:szCs w:val="24"/>
        </w:rPr>
      </w:pPr>
      <w:r>
        <w:rPr>
          <w:rFonts w:ascii="宋体" w:hAnsi="宋体" w:eastAsia="宋体" w:cs="宋体"/>
          <w:spacing w:val="-11"/>
          <w:sz w:val="24"/>
          <w:szCs w:val="24"/>
        </w:rPr>
        <w:t>响。</w:t>
      </w:r>
    </w:p>
    <w:p>
      <w:pPr>
        <w:spacing w:before="176" w:line="220" w:lineRule="auto"/>
        <w:ind w:left="34"/>
        <w:outlineLvl w:val="0"/>
        <w:rPr>
          <w:rFonts w:ascii="宋体" w:hAnsi="宋体" w:eastAsia="宋体" w:cs="宋体"/>
          <w:sz w:val="24"/>
          <w:szCs w:val="24"/>
        </w:rPr>
      </w:pPr>
      <w:bookmarkStart w:id="12" w:name="bookmark13"/>
      <w:bookmarkEnd w:id="12"/>
      <w:r>
        <w:rPr>
          <w:rFonts w:ascii="Times New Roman" w:hAnsi="Times New Roman" w:eastAsia="Times New Roman" w:cs="Times New Roman"/>
          <w:b/>
          <w:bCs/>
          <w:sz w:val="24"/>
          <w:szCs w:val="24"/>
        </w:rPr>
        <w:t xml:space="preserve">2.6 </w:t>
      </w:r>
      <w:r>
        <w:rPr>
          <w:rFonts w:ascii="宋体" w:hAnsi="宋体" w:eastAsia="宋体" w:cs="宋体"/>
          <w:sz w:val="24"/>
          <w:szCs w:val="24"/>
          <w14:textOutline w14:w="4354" w14:cap="flat" w14:cmpd="sng">
            <w14:solidFill>
              <w14:srgbClr w14:val="000000"/>
            </w14:solidFill>
            <w14:prstDash w14:val="solid"/>
            <w14:miter w14:val="0"/>
          </w14:textOutline>
        </w:rPr>
        <w:t>环境保护目标</w:t>
      </w:r>
    </w:p>
    <w:p>
      <w:pPr>
        <w:spacing w:before="181" w:line="220" w:lineRule="auto"/>
        <w:ind w:left="34"/>
        <w:outlineLvl w:val="0"/>
        <w:rPr>
          <w:rFonts w:ascii="宋体" w:hAnsi="宋体" w:eastAsia="宋体" w:cs="宋体"/>
          <w:sz w:val="24"/>
          <w:szCs w:val="24"/>
        </w:rPr>
      </w:pPr>
      <w:r>
        <w:rPr>
          <w:rFonts w:ascii="Times New Roman" w:hAnsi="Times New Roman" w:eastAsia="Times New Roman" w:cs="Times New Roman"/>
          <w:b/>
          <w:bCs/>
          <w:sz w:val="24"/>
          <w:szCs w:val="24"/>
        </w:rPr>
        <w:t xml:space="preserve">2.6.1 </w:t>
      </w:r>
      <w:r>
        <w:rPr>
          <w:rFonts w:ascii="宋体" w:hAnsi="宋体" w:eastAsia="宋体" w:cs="宋体"/>
          <w:sz w:val="24"/>
          <w:szCs w:val="24"/>
          <w14:textOutline w14:w="4354" w14:cap="flat" w14:cmpd="sng">
            <w14:solidFill>
              <w14:srgbClr w14:val="000000"/>
            </w14:solidFill>
            <w14:prstDash w14:val="solid"/>
            <w14:miter w14:val="0"/>
          </w14:textOutline>
        </w:rPr>
        <w:t>水环境保护目标</w:t>
      </w:r>
    </w:p>
    <w:p>
      <w:pPr>
        <w:spacing w:before="182" w:line="359" w:lineRule="auto"/>
        <w:ind w:left="39" w:right="26" w:firstLine="479"/>
        <w:jc w:val="both"/>
        <w:rPr>
          <w:rFonts w:ascii="宋体" w:hAnsi="宋体" w:eastAsia="宋体" w:cs="宋体"/>
          <w:sz w:val="24"/>
          <w:szCs w:val="24"/>
        </w:rPr>
      </w:pPr>
      <w:r>
        <w:rPr>
          <w:rFonts w:ascii="宋体" w:hAnsi="宋体" w:eastAsia="宋体" w:cs="宋体"/>
          <w:spacing w:val="4"/>
          <w:sz w:val="24"/>
          <w:szCs w:val="24"/>
        </w:rPr>
        <w:t>本工程位于珊溪水库水源保护区准保护区范围内，与二级保护区的距离约</w:t>
      </w:r>
      <w:r>
        <w:rPr>
          <w:rFonts w:ascii="宋体" w:hAnsi="宋体" w:eastAsia="宋体" w:cs="宋体"/>
          <w:spacing w:val="10"/>
          <w:sz w:val="24"/>
          <w:szCs w:val="24"/>
        </w:rPr>
        <w:t xml:space="preserve"> </w:t>
      </w:r>
      <w:r>
        <w:rPr>
          <w:rFonts w:ascii="Times New Roman" w:hAnsi="Times New Roman" w:eastAsia="Times New Roman" w:cs="Times New Roman"/>
          <w:spacing w:val="-4"/>
          <w:sz w:val="24"/>
          <w:szCs w:val="24"/>
        </w:rPr>
        <w:t>11.8km</w:t>
      </w:r>
      <w:r>
        <w:rPr>
          <w:rFonts w:ascii="宋体" w:hAnsi="宋体" w:eastAsia="宋体" w:cs="宋体"/>
          <w:spacing w:val="-4"/>
          <w:sz w:val="24"/>
          <w:szCs w:val="24"/>
        </w:rPr>
        <w:t>，与一级保护区的距离约</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17.6km</w:t>
      </w:r>
      <w:r>
        <w:rPr>
          <w:rFonts w:ascii="宋体" w:hAnsi="宋体" w:eastAsia="宋体" w:cs="宋体"/>
          <w:spacing w:val="-4"/>
          <w:sz w:val="24"/>
          <w:szCs w:val="24"/>
        </w:rPr>
        <w:t>。工程跨越的主要为山上的溪流， 水环</w:t>
      </w:r>
      <w:r>
        <w:rPr>
          <w:rFonts w:ascii="宋体" w:hAnsi="宋体" w:eastAsia="宋体" w:cs="宋体"/>
          <w:sz w:val="24"/>
          <w:szCs w:val="24"/>
        </w:rPr>
        <w:t xml:space="preserve"> </w:t>
      </w:r>
      <w:r>
        <w:rPr>
          <w:rFonts w:ascii="宋体" w:hAnsi="宋体" w:eastAsia="宋体" w:cs="宋体"/>
          <w:spacing w:val="-6"/>
          <w:sz w:val="24"/>
          <w:szCs w:val="24"/>
        </w:rPr>
        <w:t>境主要保护目标主要为公路起点附近的高岭头二级水库、</w:t>
      </w:r>
      <w:r>
        <w:rPr>
          <w:rFonts w:ascii="宋体" w:hAnsi="宋体" w:eastAsia="宋体" w:cs="宋体"/>
          <w:spacing w:val="-7"/>
          <w:sz w:val="24"/>
          <w:szCs w:val="24"/>
        </w:rPr>
        <w:t>梧溪（峃作口溪） 、包</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垟水库（拟划定</w:t>
      </w:r>
      <w:r>
        <w:rPr>
          <w:rFonts w:ascii="Times New Roman" w:hAnsi="Times New Roman" w:eastAsia="Times New Roman" w:cs="Times New Roman"/>
          <w:spacing w:val="-2"/>
          <w:sz w:val="24"/>
          <w:szCs w:val="24"/>
        </w:rPr>
        <w:t>“</w:t>
      </w:r>
      <w:r>
        <w:rPr>
          <w:rFonts w:ascii="宋体" w:hAnsi="宋体" w:eastAsia="宋体" w:cs="宋体"/>
          <w:spacing w:val="-2"/>
          <w:sz w:val="24"/>
          <w:szCs w:val="24"/>
        </w:rPr>
        <w:t>千吨万人</w:t>
      </w:r>
      <w:r>
        <w:rPr>
          <w:rFonts w:ascii="Times New Roman" w:hAnsi="Times New Roman" w:eastAsia="Times New Roman" w:cs="Times New Roman"/>
          <w:spacing w:val="-2"/>
          <w:sz w:val="24"/>
          <w:szCs w:val="24"/>
        </w:rPr>
        <w:t>”</w:t>
      </w:r>
      <w:r>
        <w:rPr>
          <w:rFonts w:ascii="宋体" w:hAnsi="宋体" w:eastAsia="宋体" w:cs="宋体"/>
          <w:spacing w:val="-2"/>
          <w:sz w:val="24"/>
          <w:szCs w:val="24"/>
        </w:rPr>
        <w:t>水源地）、包垟溪、百丈漈水库，详见表</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2.6-</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p>
      <w:pPr>
        <w:spacing w:before="181" w:line="468" w:lineRule="exact"/>
        <w:ind w:right="15"/>
        <w:jc w:val="right"/>
        <w:rPr>
          <w:rFonts w:ascii="宋体" w:hAnsi="宋体" w:eastAsia="宋体" w:cs="宋体"/>
          <w:sz w:val="24"/>
          <w:szCs w:val="24"/>
        </w:rPr>
      </w:pPr>
      <w:r>
        <w:rPr>
          <w:rFonts w:ascii="宋体" w:hAnsi="宋体" w:eastAsia="宋体" w:cs="宋体"/>
          <w:spacing w:val="-6"/>
          <w:position w:val="17"/>
          <w:sz w:val="24"/>
          <w:szCs w:val="24"/>
        </w:rPr>
        <w:t>本项目位于珊溪水库饮用水水源保护区准保护区范围内， 距离</w:t>
      </w:r>
      <w:r>
        <w:rPr>
          <w:rFonts w:ascii="宋体" w:hAnsi="宋体" w:eastAsia="宋体" w:cs="宋体"/>
          <w:spacing w:val="-7"/>
          <w:position w:val="17"/>
          <w:sz w:val="24"/>
          <w:szCs w:val="24"/>
        </w:rPr>
        <w:t>包垟水库（拟</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划定为</w:t>
      </w:r>
      <w:r>
        <w:rPr>
          <w:rFonts w:ascii="Times New Roman" w:hAnsi="Times New Roman" w:eastAsia="Times New Roman" w:cs="Times New Roman"/>
          <w:spacing w:val="-2"/>
          <w:sz w:val="24"/>
          <w:szCs w:val="24"/>
        </w:rPr>
        <w:t>“</w:t>
      </w:r>
      <w:r>
        <w:rPr>
          <w:rFonts w:ascii="宋体" w:hAnsi="宋体" w:eastAsia="宋体" w:cs="宋体"/>
          <w:spacing w:val="-2"/>
          <w:sz w:val="24"/>
          <w:szCs w:val="24"/>
        </w:rPr>
        <w:t>千吨万人</w:t>
      </w:r>
      <w:r>
        <w:rPr>
          <w:rFonts w:ascii="Times New Roman" w:hAnsi="Times New Roman" w:eastAsia="Times New Roman" w:cs="Times New Roman"/>
          <w:spacing w:val="-2"/>
          <w:sz w:val="24"/>
          <w:szCs w:val="24"/>
        </w:rPr>
        <w:t>”</w:t>
      </w:r>
      <w:r>
        <w:rPr>
          <w:rFonts w:ascii="宋体" w:hAnsi="宋体" w:eastAsia="宋体" w:cs="宋体"/>
          <w:spacing w:val="-2"/>
          <w:sz w:val="24"/>
          <w:szCs w:val="24"/>
        </w:rPr>
        <w:t>水源地）约</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300m</w:t>
      </w:r>
      <w:r>
        <w:rPr>
          <w:rFonts w:ascii="宋体" w:hAnsi="宋体" w:eastAsia="宋体" w:cs="宋体"/>
          <w:spacing w:val="-2"/>
          <w:sz w:val="24"/>
          <w:szCs w:val="24"/>
        </w:rPr>
        <w:t>，具体见附图。</w:t>
      </w:r>
    </w:p>
    <w:p>
      <w:pPr>
        <w:spacing w:line="218" w:lineRule="auto"/>
        <w:rPr>
          <w:rFonts w:ascii="宋体" w:hAnsi="宋体" w:eastAsia="宋体" w:cs="宋体"/>
          <w:sz w:val="24"/>
          <w:szCs w:val="24"/>
        </w:rPr>
        <w:sectPr>
          <w:headerReference r:id="rId80" w:type="default"/>
          <w:footerReference r:id="rId81" w:type="default"/>
          <w:pgSz w:w="11907" w:h="16839"/>
          <w:pgMar w:top="1118" w:right="1769" w:bottom="1184" w:left="1771" w:header="879" w:footer="1024" w:gutter="0"/>
          <w:cols w:space="720" w:num="1"/>
        </w:sectPr>
      </w:pPr>
    </w:p>
    <w:p>
      <w:pPr>
        <w:pStyle w:val="2"/>
        <w:spacing w:line="278" w:lineRule="auto"/>
      </w:pPr>
    </w:p>
    <w:p>
      <w:pPr>
        <w:spacing w:before="78" w:line="219" w:lineRule="auto"/>
        <w:ind w:left="2264"/>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2.6-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本项目区域周边地表水体一览表</w:t>
      </w:r>
    </w:p>
    <w:p>
      <w:pPr>
        <w:spacing w:line="147" w:lineRule="exact"/>
      </w:pPr>
    </w:p>
    <w:tbl>
      <w:tblPr>
        <w:tblStyle w:val="5"/>
        <w:tblW w:w="86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8"/>
        <w:gridCol w:w="1900"/>
        <w:gridCol w:w="2296"/>
        <w:gridCol w:w="1677"/>
        <w:gridCol w:w="21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28" w:type="dxa"/>
            <w:textDirection w:val="tbRlV"/>
            <w:vAlign w:val="top"/>
          </w:tcPr>
          <w:p>
            <w:pPr>
              <w:pStyle w:val="6"/>
              <w:spacing w:before="205" w:line="211" w:lineRule="auto"/>
              <w:ind w:left="43"/>
            </w:pPr>
            <w:r>
              <w:rPr>
                <w:spacing w:val="31"/>
              </w:rPr>
              <w:t>序号</w:t>
            </w:r>
          </w:p>
        </w:tc>
        <w:tc>
          <w:tcPr>
            <w:tcW w:w="1900" w:type="dxa"/>
            <w:vAlign w:val="top"/>
          </w:tcPr>
          <w:p>
            <w:pPr>
              <w:pStyle w:val="6"/>
              <w:spacing w:before="180" w:line="223" w:lineRule="auto"/>
              <w:ind w:left="745"/>
            </w:pPr>
            <w:r>
              <w:rPr>
                <w:spacing w:val="-3"/>
              </w:rPr>
              <w:t>名称</w:t>
            </w:r>
          </w:p>
        </w:tc>
        <w:tc>
          <w:tcPr>
            <w:tcW w:w="2296" w:type="dxa"/>
            <w:vAlign w:val="top"/>
          </w:tcPr>
          <w:p>
            <w:pPr>
              <w:pStyle w:val="6"/>
              <w:spacing w:before="180" w:line="221" w:lineRule="auto"/>
              <w:ind w:left="752"/>
            </w:pPr>
            <w:r>
              <w:rPr>
                <w:spacing w:val="-7"/>
              </w:rPr>
              <w:t>中心桩号</w:t>
            </w:r>
          </w:p>
        </w:tc>
        <w:tc>
          <w:tcPr>
            <w:tcW w:w="1677" w:type="dxa"/>
            <w:vAlign w:val="top"/>
          </w:tcPr>
          <w:p>
            <w:pPr>
              <w:pStyle w:val="6"/>
              <w:spacing w:before="180" w:line="220" w:lineRule="auto"/>
              <w:ind w:left="424"/>
            </w:pPr>
            <w:r>
              <w:rPr>
                <w:spacing w:val="-2"/>
              </w:rPr>
              <w:t>跨越形式</w:t>
            </w:r>
          </w:p>
        </w:tc>
        <w:tc>
          <w:tcPr>
            <w:tcW w:w="2166" w:type="dxa"/>
            <w:vAlign w:val="top"/>
          </w:tcPr>
          <w:p>
            <w:pPr>
              <w:pStyle w:val="6"/>
              <w:spacing w:before="180" w:line="221" w:lineRule="auto"/>
              <w:ind w:left="461"/>
            </w:pPr>
            <w:r>
              <w:rPr>
                <w:spacing w:val="-2"/>
              </w:rPr>
              <w:t>水质保护目标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28" w:type="dxa"/>
            <w:vAlign w:val="top"/>
          </w:tcPr>
          <w:p>
            <w:pPr>
              <w:spacing w:line="280" w:lineRule="auto"/>
              <w:rPr>
                <w:rFonts w:ascii="Arial"/>
                <w:sz w:val="21"/>
              </w:rPr>
            </w:pPr>
          </w:p>
          <w:p>
            <w:pPr>
              <w:spacing w:before="60" w:line="187"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00" w:type="dxa"/>
            <w:vAlign w:val="top"/>
          </w:tcPr>
          <w:p>
            <w:pPr>
              <w:pStyle w:val="6"/>
              <w:spacing w:before="303" w:line="221" w:lineRule="auto"/>
              <w:ind w:left="430"/>
            </w:pPr>
            <w:r>
              <w:rPr>
                <w:spacing w:val="-2"/>
              </w:rPr>
              <w:t>无名小溪沟</w:t>
            </w:r>
          </w:p>
        </w:tc>
        <w:tc>
          <w:tcPr>
            <w:tcW w:w="2296" w:type="dxa"/>
            <w:vAlign w:val="top"/>
          </w:tcPr>
          <w:p>
            <w:pPr>
              <w:pStyle w:val="6"/>
              <w:spacing w:before="204" w:line="213" w:lineRule="auto"/>
              <w:ind w:left="1047" w:right="117" w:hanging="929"/>
            </w:pPr>
            <w:r>
              <w:rPr>
                <w:rFonts w:ascii="Times New Roman" w:hAnsi="Times New Roman" w:eastAsia="Times New Roman" w:cs="Times New Roman"/>
                <w:spacing w:val="-1"/>
              </w:rPr>
              <w:t>L1K4+357</w:t>
            </w:r>
            <w:r>
              <w:rPr>
                <w:spacing w:val="-1"/>
              </w:rPr>
              <w:t>、</w:t>
            </w:r>
            <w:r>
              <w:rPr>
                <w:rFonts w:ascii="Times New Roman" w:hAnsi="Times New Roman" w:eastAsia="Times New Roman" w:cs="Times New Roman"/>
                <w:spacing w:val="-1"/>
              </w:rPr>
              <w:t>L2K1+181</w:t>
            </w:r>
            <w:r>
              <w:rPr>
                <w:rFonts w:ascii="Times New Roman" w:hAnsi="Times New Roman" w:eastAsia="Times New Roman" w:cs="Times New Roman"/>
                <w:spacing w:val="14"/>
              </w:rPr>
              <w:t xml:space="preserve"> </w:t>
            </w:r>
            <w:r>
              <w:t>等</w:t>
            </w:r>
          </w:p>
        </w:tc>
        <w:tc>
          <w:tcPr>
            <w:tcW w:w="1677" w:type="dxa"/>
            <w:vAlign w:val="top"/>
          </w:tcPr>
          <w:p>
            <w:pPr>
              <w:pStyle w:val="6"/>
              <w:spacing w:before="303" w:line="220" w:lineRule="auto"/>
              <w:ind w:left="530"/>
            </w:pPr>
            <w:r>
              <w:rPr>
                <w:spacing w:val="-2"/>
              </w:rPr>
              <w:t>盖板涵</w:t>
            </w:r>
          </w:p>
        </w:tc>
        <w:tc>
          <w:tcPr>
            <w:tcW w:w="2166" w:type="dxa"/>
            <w:vAlign w:val="top"/>
          </w:tcPr>
          <w:p>
            <w:pPr>
              <w:pStyle w:val="6"/>
              <w:spacing w:before="30" w:line="231" w:lineRule="auto"/>
              <w:ind w:left="116" w:right="23" w:firstLine="26"/>
            </w:pPr>
            <w:r>
              <w:rPr>
                <w:spacing w:val="-1"/>
              </w:rPr>
              <w:t>《地表水环境质量标</w:t>
            </w:r>
            <w:r>
              <w:rPr>
                <w:spacing w:val="1"/>
              </w:rPr>
              <w:t xml:space="preserve">  </w:t>
            </w:r>
            <w:r>
              <w:rPr>
                <w:spacing w:val="-2"/>
              </w:rPr>
              <w:t>准》（</w:t>
            </w:r>
            <w:r>
              <w:rPr>
                <w:rFonts w:ascii="Times New Roman" w:hAnsi="Times New Roman" w:eastAsia="Times New Roman" w:cs="Times New Roman"/>
                <w:spacing w:val="-2"/>
              </w:rPr>
              <w:t>GB3838-2002</w:t>
            </w:r>
            <w:r>
              <w:rPr>
                <w:spacing w:val="-2"/>
              </w:rPr>
              <w:t>）</w:t>
            </w:r>
          </w:p>
          <w:p>
            <w:pPr>
              <w:pStyle w:val="6"/>
              <w:spacing w:before="18" w:line="209" w:lineRule="auto"/>
              <w:ind w:left="409"/>
            </w:pPr>
            <w:r>
              <w:rPr>
                <w:spacing w:val="-4"/>
              </w:rPr>
              <w:t>中</w:t>
            </w:r>
            <w:r>
              <w:rPr>
                <w:rFonts w:ascii="Times New Roman" w:hAnsi="Times New Roman" w:eastAsia="Times New Roman" w:cs="Times New Roman"/>
                <w:spacing w:val="-4"/>
              </w:rPr>
              <w:t>Ⅱ</w:t>
            </w:r>
            <w:r>
              <w:rPr>
                <w:spacing w:val="-4"/>
              </w:rPr>
              <w:t>类水质标准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628" w:type="dxa"/>
            <w:vAlign w:val="top"/>
          </w:tcPr>
          <w:p>
            <w:pPr>
              <w:spacing w:before="290" w:line="187" w:lineRule="auto"/>
              <w:ind w:left="26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00" w:type="dxa"/>
            <w:vAlign w:val="top"/>
          </w:tcPr>
          <w:p>
            <w:pPr>
              <w:pStyle w:val="6"/>
              <w:spacing w:before="114" w:line="230" w:lineRule="auto"/>
              <w:ind w:left="113" w:right="120" w:firstLine="6"/>
            </w:pPr>
            <w:r>
              <w:rPr>
                <w:spacing w:val="-4"/>
              </w:rPr>
              <w:t>高岭头二级水库、</w:t>
            </w:r>
            <w:r>
              <w:rPr>
                <w:spacing w:val="5"/>
              </w:rPr>
              <w:t xml:space="preserve"> </w:t>
            </w:r>
            <w:r>
              <w:rPr>
                <w:spacing w:val="-3"/>
              </w:rPr>
              <w:t>梧溪（峃作口溪）</w:t>
            </w:r>
          </w:p>
        </w:tc>
        <w:tc>
          <w:tcPr>
            <w:tcW w:w="2296" w:type="dxa"/>
            <w:vAlign w:val="top"/>
          </w:tcPr>
          <w:p>
            <w:pPr>
              <w:pStyle w:val="6"/>
              <w:spacing w:before="249" w:line="220" w:lineRule="auto"/>
              <w:ind w:left="527"/>
            </w:pPr>
            <w:r>
              <w:rPr>
                <w:spacing w:val="-2"/>
              </w:rPr>
              <w:t>公路起点附近</w:t>
            </w:r>
          </w:p>
        </w:tc>
        <w:tc>
          <w:tcPr>
            <w:tcW w:w="1677" w:type="dxa"/>
            <w:vAlign w:val="top"/>
          </w:tcPr>
          <w:p>
            <w:pPr>
              <w:pStyle w:val="6"/>
              <w:spacing w:before="114" w:line="230" w:lineRule="auto"/>
              <w:ind w:left="292" w:right="101" w:hanging="176"/>
              <w:rPr>
                <w:rFonts w:ascii="Times New Roman" w:hAnsi="Times New Roman" w:eastAsia="Times New Roman" w:cs="Times New Roman"/>
              </w:rPr>
            </w:pPr>
            <w:r>
              <w:rPr>
                <w:spacing w:val="-3"/>
              </w:rPr>
              <w:t>无跨越，最近距</w:t>
            </w:r>
            <w:r>
              <w:rPr>
                <w:spacing w:val="4"/>
              </w:rPr>
              <w:t xml:space="preserve"> </w:t>
            </w:r>
            <w:r>
              <w:rPr>
                <w:spacing w:val="-5"/>
              </w:rPr>
              <w:t>离约</w:t>
            </w:r>
            <w:r>
              <w:rPr>
                <w:spacing w:val="-22"/>
              </w:rPr>
              <w:t xml:space="preserve"> </w:t>
            </w:r>
            <w:r>
              <w:rPr>
                <w:rFonts w:ascii="Times New Roman" w:hAnsi="Times New Roman" w:eastAsia="Times New Roman" w:cs="Times New Roman"/>
                <w:spacing w:val="-5"/>
              </w:rPr>
              <w:t>1.12km</w:t>
            </w:r>
          </w:p>
        </w:tc>
        <w:tc>
          <w:tcPr>
            <w:tcW w:w="2166" w:type="dxa"/>
            <w:vMerge w:val="restart"/>
            <w:tcBorders>
              <w:bottom w:val="nil"/>
            </w:tcBorders>
            <w:vAlign w:val="top"/>
          </w:tcPr>
          <w:p>
            <w:pPr>
              <w:spacing w:line="296" w:lineRule="auto"/>
              <w:rPr>
                <w:rFonts w:ascii="Arial"/>
                <w:sz w:val="21"/>
              </w:rPr>
            </w:pPr>
          </w:p>
          <w:p>
            <w:pPr>
              <w:spacing w:line="297" w:lineRule="auto"/>
              <w:rPr>
                <w:rFonts w:ascii="Arial"/>
                <w:sz w:val="21"/>
              </w:rPr>
            </w:pPr>
          </w:p>
          <w:p>
            <w:pPr>
              <w:pStyle w:val="6"/>
              <w:spacing w:before="68" w:line="230" w:lineRule="auto"/>
              <w:ind w:left="116" w:right="23" w:firstLine="26"/>
            </w:pPr>
            <w:r>
              <w:rPr>
                <w:spacing w:val="-1"/>
              </w:rPr>
              <w:t>《地表水环境质量标</w:t>
            </w:r>
            <w:r>
              <w:rPr>
                <w:spacing w:val="1"/>
              </w:rPr>
              <w:t xml:space="preserve">  </w:t>
            </w:r>
            <w:r>
              <w:rPr>
                <w:spacing w:val="-2"/>
              </w:rPr>
              <w:t>准》（</w:t>
            </w:r>
            <w:r>
              <w:rPr>
                <w:rFonts w:ascii="Times New Roman" w:hAnsi="Times New Roman" w:eastAsia="Times New Roman" w:cs="Times New Roman"/>
                <w:spacing w:val="-2"/>
              </w:rPr>
              <w:t>GB3838-2002</w:t>
            </w:r>
            <w:r>
              <w:rPr>
                <w:spacing w:val="-2"/>
              </w:rPr>
              <w:t>）</w:t>
            </w:r>
          </w:p>
          <w:p>
            <w:pPr>
              <w:pStyle w:val="6"/>
              <w:spacing w:before="20" w:line="221" w:lineRule="auto"/>
              <w:ind w:left="409"/>
            </w:pPr>
            <w:r>
              <w:rPr>
                <w:spacing w:val="-4"/>
              </w:rPr>
              <w:t>中</w:t>
            </w:r>
            <w:r>
              <w:rPr>
                <w:rFonts w:ascii="Times New Roman" w:hAnsi="Times New Roman" w:eastAsia="Times New Roman" w:cs="Times New Roman"/>
                <w:spacing w:val="-4"/>
              </w:rPr>
              <w:t>Ⅱ</w:t>
            </w:r>
            <w:r>
              <w:rPr>
                <w:spacing w:val="-4"/>
              </w:rPr>
              <w:t>类水质标准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628" w:type="dxa"/>
            <w:vAlign w:val="top"/>
          </w:tcPr>
          <w:p>
            <w:pPr>
              <w:spacing w:line="275" w:lineRule="auto"/>
              <w:rPr>
                <w:rFonts w:ascii="Arial"/>
                <w:sz w:val="21"/>
              </w:rPr>
            </w:pPr>
          </w:p>
          <w:p>
            <w:pPr>
              <w:spacing w:line="275" w:lineRule="auto"/>
              <w:rPr>
                <w:rFonts w:ascii="Arial"/>
                <w:sz w:val="21"/>
              </w:rPr>
            </w:pPr>
          </w:p>
          <w:p>
            <w:pPr>
              <w:spacing w:before="61" w:line="187"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00" w:type="dxa"/>
            <w:vAlign w:val="top"/>
          </w:tcPr>
          <w:p>
            <w:pPr>
              <w:pStyle w:val="6"/>
              <w:spacing w:before="303" w:line="233" w:lineRule="auto"/>
              <w:ind w:left="111" w:right="103" w:firstLine="3"/>
              <w:jc w:val="both"/>
            </w:pPr>
            <w:r>
              <w:rPr>
                <w:spacing w:val="-1"/>
              </w:rPr>
              <w:t>包垟水库（农村水</w:t>
            </w:r>
            <w:r>
              <w:rPr>
                <w:spacing w:val="1"/>
              </w:rPr>
              <w:t xml:space="preserve"> </w:t>
            </w:r>
            <w:r>
              <w:rPr>
                <w:spacing w:val="2"/>
              </w:rPr>
              <w:t>源地</w:t>
            </w:r>
            <w:r>
              <w:rPr>
                <w:spacing w:val="-54"/>
              </w:rPr>
              <w:t>）（</w:t>
            </w:r>
            <w:r>
              <w:rPr>
                <w:spacing w:val="2"/>
              </w:rPr>
              <w:t>拟划定</w:t>
            </w:r>
            <w:r>
              <w:rPr>
                <w:rFonts w:ascii="Times New Roman" w:hAnsi="Times New Roman" w:eastAsia="Times New Roman" w:cs="Times New Roman"/>
                <w:spacing w:val="2"/>
              </w:rPr>
              <w:t>“</w:t>
            </w:r>
            <w:r>
              <w:rPr>
                <w:spacing w:val="2"/>
              </w:rPr>
              <w:t>千</w:t>
            </w:r>
            <w:r>
              <w:t xml:space="preserve"> </w:t>
            </w:r>
            <w:r>
              <w:rPr>
                <w:spacing w:val="6"/>
              </w:rPr>
              <w:t>吨万人</w:t>
            </w:r>
            <w:r>
              <w:rPr>
                <w:rFonts w:ascii="Times New Roman" w:hAnsi="Times New Roman" w:eastAsia="Times New Roman" w:cs="Times New Roman"/>
                <w:spacing w:val="6"/>
              </w:rPr>
              <w:t>”</w:t>
            </w:r>
            <w:r>
              <w:rPr>
                <w:spacing w:val="6"/>
              </w:rPr>
              <w:t>水源地）</w:t>
            </w:r>
          </w:p>
        </w:tc>
        <w:tc>
          <w:tcPr>
            <w:tcW w:w="2296" w:type="dxa"/>
            <w:vAlign w:val="top"/>
          </w:tcPr>
          <w:p>
            <w:pPr>
              <w:spacing w:line="275" w:lineRule="auto"/>
              <w:rPr>
                <w:rFonts w:ascii="Arial"/>
                <w:sz w:val="21"/>
              </w:rPr>
            </w:pPr>
          </w:p>
          <w:p>
            <w:pPr>
              <w:spacing w:line="275" w:lineRule="auto"/>
              <w:rPr>
                <w:rFonts w:ascii="Arial"/>
                <w:sz w:val="21"/>
              </w:rPr>
            </w:pPr>
          </w:p>
          <w:p>
            <w:pPr>
              <w:spacing w:before="61" w:line="187" w:lineRule="auto"/>
              <w:ind w:left="6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L2K6+000</w:t>
            </w:r>
          </w:p>
        </w:tc>
        <w:tc>
          <w:tcPr>
            <w:tcW w:w="1677" w:type="dxa"/>
            <w:vAlign w:val="top"/>
          </w:tcPr>
          <w:p>
            <w:pPr>
              <w:pStyle w:val="6"/>
              <w:spacing w:before="31" w:line="233" w:lineRule="auto"/>
              <w:ind w:left="125" w:right="101" w:hanging="9"/>
              <w:jc w:val="both"/>
            </w:pPr>
            <w:r>
              <w:rPr>
                <w:spacing w:val="-3"/>
              </w:rPr>
              <w:t>无跨越，此处为</w:t>
            </w:r>
            <w:r>
              <w:rPr>
                <w:spacing w:val="4"/>
              </w:rPr>
              <w:t xml:space="preserve"> </w:t>
            </w:r>
            <w:r>
              <w:rPr>
                <w:spacing w:val="-4"/>
              </w:rPr>
              <w:t>隧道，与包垟水</w:t>
            </w:r>
            <w:r>
              <w:rPr>
                <w:spacing w:val="2"/>
              </w:rPr>
              <w:t xml:space="preserve"> </w:t>
            </w:r>
            <w:r>
              <w:rPr>
                <w:spacing w:val="14"/>
              </w:rPr>
              <w:t>库水源地保护</w:t>
            </w:r>
          </w:p>
          <w:p>
            <w:pPr>
              <w:pStyle w:val="6"/>
              <w:spacing w:before="20" w:line="221" w:lineRule="auto"/>
              <w:ind w:left="230"/>
            </w:pPr>
            <w:r>
              <w:rPr>
                <w:spacing w:val="-4"/>
              </w:rPr>
              <w:t>区范围最近距</w:t>
            </w:r>
          </w:p>
          <w:p>
            <w:pPr>
              <w:pStyle w:val="6"/>
              <w:spacing w:before="22" w:line="205" w:lineRule="auto"/>
              <w:ind w:left="372"/>
              <w:rPr>
                <w:rFonts w:ascii="Times New Roman" w:hAnsi="Times New Roman" w:eastAsia="Times New Roman" w:cs="Times New Roman"/>
              </w:rPr>
            </w:pPr>
            <w:r>
              <w:rPr>
                <w:spacing w:val="-3"/>
              </w:rPr>
              <w:t>离约</w:t>
            </w:r>
            <w:r>
              <w:rPr>
                <w:spacing w:val="-44"/>
              </w:rPr>
              <w:t xml:space="preserve"> </w:t>
            </w:r>
            <w:r>
              <w:rPr>
                <w:rFonts w:ascii="Times New Roman" w:hAnsi="Times New Roman" w:eastAsia="Times New Roman" w:cs="Times New Roman"/>
                <w:spacing w:val="-3"/>
              </w:rPr>
              <w:t>300m</w:t>
            </w:r>
          </w:p>
        </w:tc>
        <w:tc>
          <w:tcPr>
            <w:tcW w:w="216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28" w:type="dxa"/>
            <w:vAlign w:val="top"/>
          </w:tcPr>
          <w:p>
            <w:pPr>
              <w:spacing w:line="282" w:lineRule="auto"/>
              <w:rPr>
                <w:rFonts w:ascii="Arial"/>
                <w:sz w:val="21"/>
              </w:rPr>
            </w:pPr>
          </w:p>
          <w:p>
            <w:pPr>
              <w:spacing w:before="60" w:line="187" w:lineRule="auto"/>
              <w:ind w:left="26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900" w:type="dxa"/>
            <w:vAlign w:val="top"/>
          </w:tcPr>
          <w:p>
            <w:pPr>
              <w:pStyle w:val="6"/>
              <w:spacing w:before="305" w:line="221" w:lineRule="auto"/>
              <w:ind w:left="637"/>
            </w:pPr>
            <w:r>
              <w:rPr>
                <w:spacing w:val="-2"/>
              </w:rPr>
              <w:t>包垟溪</w:t>
            </w:r>
          </w:p>
        </w:tc>
        <w:tc>
          <w:tcPr>
            <w:tcW w:w="2296" w:type="dxa"/>
            <w:vAlign w:val="top"/>
          </w:tcPr>
          <w:p>
            <w:pPr>
              <w:spacing w:line="282" w:lineRule="auto"/>
              <w:rPr>
                <w:rFonts w:ascii="Arial"/>
                <w:sz w:val="21"/>
              </w:rPr>
            </w:pPr>
          </w:p>
          <w:p>
            <w:pPr>
              <w:spacing w:before="60" w:line="187" w:lineRule="auto"/>
              <w:ind w:left="6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L1K6+206</w:t>
            </w:r>
          </w:p>
        </w:tc>
        <w:tc>
          <w:tcPr>
            <w:tcW w:w="1677" w:type="dxa"/>
            <w:vAlign w:val="top"/>
          </w:tcPr>
          <w:p>
            <w:pPr>
              <w:pStyle w:val="6"/>
              <w:spacing w:before="305" w:line="220" w:lineRule="auto"/>
              <w:ind w:left="530"/>
            </w:pPr>
            <w:r>
              <w:rPr>
                <w:spacing w:val="-2"/>
              </w:rPr>
              <w:t>盖板涵</w:t>
            </w:r>
          </w:p>
        </w:tc>
        <w:tc>
          <w:tcPr>
            <w:tcW w:w="2166" w:type="dxa"/>
            <w:vAlign w:val="top"/>
          </w:tcPr>
          <w:p>
            <w:pPr>
              <w:pStyle w:val="6"/>
              <w:spacing w:before="32" w:line="231" w:lineRule="auto"/>
              <w:ind w:left="116" w:right="23" w:firstLine="26"/>
            </w:pPr>
            <w:r>
              <w:rPr>
                <w:spacing w:val="-1"/>
              </w:rPr>
              <w:t>《地表水环境质量标</w:t>
            </w:r>
            <w:r>
              <w:rPr>
                <w:spacing w:val="1"/>
              </w:rPr>
              <w:t xml:space="preserve">  </w:t>
            </w:r>
            <w:r>
              <w:rPr>
                <w:spacing w:val="-2"/>
              </w:rPr>
              <w:t>准》（</w:t>
            </w:r>
            <w:r>
              <w:rPr>
                <w:rFonts w:ascii="Times New Roman" w:hAnsi="Times New Roman" w:eastAsia="Times New Roman" w:cs="Times New Roman"/>
                <w:spacing w:val="-2"/>
              </w:rPr>
              <w:t>GB3838-2002</w:t>
            </w:r>
            <w:r>
              <w:rPr>
                <w:spacing w:val="-2"/>
              </w:rPr>
              <w:t>）</w:t>
            </w:r>
          </w:p>
          <w:p>
            <w:pPr>
              <w:pStyle w:val="6"/>
              <w:spacing w:before="19" w:line="206" w:lineRule="auto"/>
              <w:ind w:left="378"/>
            </w:pPr>
            <w:r>
              <w:rPr>
                <w:spacing w:val="-4"/>
              </w:rPr>
              <w:t>中</w:t>
            </w:r>
            <w:r>
              <w:rPr>
                <w:rFonts w:ascii="Times New Roman" w:hAnsi="Times New Roman" w:eastAsia="Times New Roman" w:cs="Times New Roman"/>
                <w:spacing w:val="-4"/>
              </w:rPr>
              <w:t>Ⅲ</w:t>
            </w:r>
            <w:r>
              <w:rPr>
                <w:spacing w:val="-4"/>
              </w:rPr>
              <w:t>类水质标准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628" w:type="dxa"/>
            <w:vAlign w:val="top"/>
          </w:tcPr>
          <w:p>
            <w:pPr>
              <w:spacing w:line="408" w:lineRule="auto"/>
              <w:rPr>
                <w:rFonts w:ascii="Arial"/>
                <w:sz w:val="21"/>
              </w:rPr>
            </w:pPr>
          </w:p>
          <w:p>
            <w:pPr>
              <w:spacing w:before="60" w:line="184"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900" w:type="dxa"/>
            <w:vAlign w:val="top"/>
          </w:tcPr>
          <w:p>
            <w:pPr>
              <w:spacing w:line="358" w:lineRule="auto"/>
              <w:rPr>
                <w:rFonts w:ascii="Arial"/>
                <w:sz w:val="21"/>
              </w:rPr>
            </w:pPr>
          </w:p>
          <w:p>
            <w:pPr>
              <w:pStyle w:val="6"/>
              <w:spacing w:before="69" w:line="220" w:lineRule="auto"/>
              <w:ind w:left="436"/>
            </w:pPr>
            <w:r>
              <w:rPr>
                <w:spacing w:val="-3"/>
              </w:rPr>
              <w:t>百丈漈水库</w:t>
            </w:r>
          </w:p>
        </w:tc>
        <w:tc>
          <w:tcPr>
            <w:tcW w:w="2296" w:type="dxa"/>
            <w:vAlign w:val="top"/>
          </w:tcPr>
          <w:p>
            <w:pPr>
              <w:spacing w:line="358" w:lineRule="auto"/>
              <w:rPr>
                <w:rFonts w:ascii="Arial"/>
                <w:sz w:val="21"/>
              </w:rPr>
            </w:pPr>
          </w:p>
          <w:p>
            <w:pPr>
              <w:pStyle w:val="6"/>
              <w:spacing w:before="69" w:line="220" w:lineRule="auto"/>
              <w:ind w:left="527"/>
            </w:pPr>
            <w:r>
              <w:rPr>
                <w:spacing w:val="-2"/>
              </w:rPr>
              <w:t>公路终点附近</w:t>
            </w:r>
          </w:p>
        </w:tc>
        <w:tc>
          <w:tcPr>
            <w:tcW w:w="1677" w:type="dxa"/>
            <w:vAlign w:val="top"/>
          </w:tcPr>
          <w:p>
            <w:pPr>
              <w:pStyle w:val="6"/>
              <w:spacing w:before="308" w:line="226" w:lineRule="auto"/>
              <w:ind w:left="602" w:right="308" w:hanging="281"/>
              <w:rPr>
                <w:rFonts w:ascii="Times New Roman" w:hAnsi="Times New Roman" w:eastAsia="Times New Roman" w:cs="Times New Roman"/>
              </w:rPr>
            </w:pPr>
            <w:r>
              <w:rPr>
                <w:spacing w:val="-2"/>
              </w:rPr>
              <w:t>最近距离约</w:t>
            </w:r>
            <w:r>
              <w:rPr>
                <w:spacing w:val="1"/>
              </w:rPr>
              <w:t xml:space="preserve"> </w:t>
            </w:r>
            <w:r>
              <w:rPr>
                <w:rFonts w:ascii="Times New Roman" w:hAnsi="Times New Roman" w:eastAsia="Times New Roman" w:cs="Times New Roman"/>
                <w:spacing w:val="-1"/>
              </w:rPr>
              <w:t>260m</w:t>
            </w:r>
          </w:p>
        </w:tc>
        <w:tc>
          <w:tcPr>
            <w:tcW w:w="2166" w:type="dxa"/>
            <w:vAlign w:val="top"/>
          </w:tcPr>
          <w:p>
            <w:pPr>
              <w:pStyle w:val="6"/>
              <w:spacing w:before="158" w:line="230" w:lineRule="auto"/>
              <w:ind w:left="116" w:right="23" w:firstLine="26"/>
            </w:pPr>
            <w:r>
              <w:rPr>
                <w:spacing w:val="-1"/>
              </w:rPr>
              <w:t>《地表水环境质量标</w:t>
            </w:r>
            <w:r>
              <w:rPr>
                <w:spacing w:val="1"/>
              </w:rPr>
              <w:t xml:space="preserve">  </w:t>
            </w:r>
            <w:r>
              <w:rPr>
                <w:spacing w:val="-2"/>
              </w:rPr>
              <w:t>准》（</w:t>
            </w:r>
            <w:r>
              <w:rPr>
                <w:rFonts w:ascii="Times New Roman" w:hAnsi="Times New Roman" w:eastAsia="Times New Roman" w:cs="Times New Roman"/>
                <w:spacing w:val="-2"/>
              </w:rPr>
              <w:t>GB3838-2002</w:t>
            </w:r>
            <w:r>
              <w:rPr>
                <w:spacing w:val="-2"/>
              </w:rPr>
              <w:t>）</w:t>
            </w:r>
          </w:p>
          <w:p>
            <w:pPr>
              <w:pStyle w:val="6"/>
              <w:spacing w:before="20" w:line="221" w:lineRule="auto"/>
              <w:ind w:left="378"/>
            </w:pPr>
            <w:r>
              <w:rPr>
                <w:spacing w:val="-4"/>
              </w:rPr>
              <w:t>中</w:t>
            </w:r>
            <w:r>
              <w:rPr>
                <w:rFonts w:ascii="Times New Roman" w:hAnsi="Times New Roman" w:eastAsia="Times New Roman" w:cs="Times New Roman"/>
                <w:spacing w:val="-4"/>
              </w:rPr>
              <w:t>Ⅲ</w:t>
            </w:r>
            <w:r>
              <w:rPr>
                <w:spacing w:val="-4"/>
              </w:rPr>
              <w:t>类水质标准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7" w:hRule="atLeast"/>
        </w:trPr>
        <w:tc>
          <w:tcPr>
            <w:tcW w:w="628" w:type="dxa"/>
            <w:vAlign w:val="top"/>
          </w:tcPr>
          <w:p>
            <w:pPr>
              <w:spacing w:line="323" w:lineRule="auto"/>
              <w:rPr>
                <w:rFonts w:ascii="Arial"/>
                <w:sz w:val="21"/>
              </w:rPr>
            </w:pPr>
          </w:p>
          <w:p>
            <w:pPr>
              <w:spacing w:line="324" w:lineRule="auto"/>
              <w:rPr>
                <w:rFonts w:ascii="Arial"/>
                <w:sz w:val="21"/>
              </w:rPr>
            </w:pPr>
          </w:p>
          <w:p>
            <w:pPr>
              <w:spacing w:before="60" w:line="187" w:lineRule="auto"/>
              <w:ind w:left="268"/>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900" w:type="dxa"/>
            <w:vAlign w:val="top"/>
          </w:tcPr>
          <w:p>
            <w:pPr>
              <w:spacing w:line="464" w:lineRule="auto"/>
              <w:rPr>
                <w:rFonts w:ascii="Arial"/>
                <w:sz w:val="21"/>
              </w:rPr>
            </w:pPr>
          </w:p>
          <w:p>
            <w:pPr>
              <w:pStyle w:val="6"/>
              <w:spacing w:before="68" w:line="230" w:lineRule="auto"/>
              <w:ind w:left="743" w:right="106" w:hanging="630"/>
            </w:pPr>
            <w:r>
              <w:rPr>
                <w:spacing w:val="-1"/>
              </w:rPr>
              <w:t>珊溪水库准水源保</w:t>
            </w:r>
            <w:r>
              <w:rPr>
                <w:spacing w:val="2"/>
              </w:rPr>
              <w:t xml:space="preserve"> </w:t>
            </w:r>
            <w:r>
              <w:rPr>
                <w:spacing w:val="-2"/>
              </w:rPr>
              <w:t>护区</w:t>
            </w:r>
          </w:p>
        </w:tc>
        <w:tc>
          <w:tcPr>
            <w:tcW w:w="2296" w:type="dxa"/>
            <w:vAlign w:val="top"/>
          </w:tcPr>
          <w:p>
            <w:pPr>
              <w:pStyle w:val="6"/>
              <w:spacing w:before="142" w:line="221" w:lineRule="auto"/>
              <w:ind w:left="943"/>
            </w:pPr>
            <w:r>
              <w:rPr>
                <w:spacing w:val="-3"/>
              </w:rPr>
              <w:t>线路</w:t>
            </w:r>
          </w:p>
          <w:p>
            <w:pPr>
              <w:pStyle w:val="6"/>
              <w:spacing w:before="61" w:line="175" w:lineRule="auto"/>
              <w:ind w:right="13"/>
              <w:jc w:val="right"/>
            </w:pPr>
            <w:r>
              <w:rPr>
                <w:rFonts w:ascii="Times New Roman" w:hAnsi="Times New Roman" w:eastAsia="Times New Roman" w:cs="Times New Roman"/>
                <w:spacing w:val="-1"/>
              </w:rPr>
              <w:t>L2K1+000~L2K1+630</w:t>
            </w:r>
            <w:r>
              <w:rPr>
                <w:spacing w:val="-1"/>
              </w:rPr>
              <w:t>、</w:t>
            </w:r>
          </w:p>
          <w:p>
            <w:pPr>
              <w:spacing w:before="57"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L1K0+061~L1K5+310</w:t>
            </w:r>
          </w:p>
          <w:p>
            <w:pPr>
              <w:pStyle w:val="6"/>
              <w:spacing w:before="30" w:line="221" w:lineRule="auto"/>
              <w:ind w:left="207"/>
            </w:pPr>
            <w:r>
              <w:rPr>
                <w:spacing w:val="-1"/>
              </w:rPr>
              <w:t>段位于准保护区范围</w:t>
            </w:r>
          </w:p>
          <w:p>
            <w:pPr>
              <w:pStyle w:val="6"/>
              <w:spacing w:before="18" w:line="221" w:lineRule="auto"/>
              <w:ind w:left="1072"/>
            </w:pPr>
            <w:r>
              <w:t>内</w:t>
            </w:r>
          </w:p>
        </w:tc>
        <w:tc>
          <w:tcPr>
            <w:tcW w:w="1677" w:type="dxa"/>
            <w:vAlign w:val="top"/>
          </w:tcPr>
          <w:p>
            <w:pPr>
              <w:pStyle w:val="6"/>
              <w:spacing w:before="128" w:line="221" w:lineRule="auto"/>
              <w:ind w:left="219"/>
            </w:pPr>
            <w:r>
              <w:rPr>
                <w:spacing w:val="-2"/>
              </w:rPr>
              <w:t>与二级保护区</w:t>
            </w:r>
          </w:p>
          <w:p>
            <w:pPr>
              <w:pStyle w:val="6"/>
              <w:spacing w:before="19" w:line="221" w:lineRule="auto"/>
              <w:ind w:left="441"/>
            </w:pPr>
            <w:r>
              <w:rPr>
                <w:spacing w:val="-6"/>
              </w:rPr>
              <w:t>的距离约</w:t>
            </w:r>
          </w:p>
          <w:p>
            <w:pPr>
              <w:pStyle w:val="6"/>
              <w:spacing w:before="21" w:line="223" w:lineRule="auto"/>
              <w:ind w:left="131"/>
            </w:pPr>
            <w:r>
              <w:rPr>
                <w:rFonts w:ascii="Times New Roman" w:hAnsi="Times New Roman" w:eastAsia="Times New Roman" w:cs="Times New Roman"/>
                <w:spacing w:val="-4"/>
              </w:rPr>
              <w:t>11.8km</w:t>
            </w:r>
            <w:r>
              <w:rPr>
                <w:spacing w:val="-4"/>
              </w:rPr>
              <w:t>，与一级</w:t>
            </w:r>
          </w:p>
          <w:p>
            <w:pPr>
              <w:pStyle w:val="6"/>
              <w:spacing w:before="18" w:line="221" w:lineRule="auto"/>
              <w:ind w:left="216"/>
            </w:pPr>
            <w:r>
              <w:rPr>
                <w:spacing w:val="-1"/>
              </w:rPr>
              <w:t>保护区的距离</w:t>
            </w:r>
          </w:p>
          <w:p>
            <w:pPr>
              <w:pStyle w:val="6"/>
              <w:spacing w:before="21" w:line="226" w:lineRule="auto"/>
              <w:ind w:left="400"/>
              <w:rPr>
                <w:rFonts w:ascii="Times New Roman" w:hAnsi="Times New Roman" w:eastAsia="Times New Roman" w:cs="Times New Roman"/>
              </w:rPr>
            </w:pPr>
            <w:r>
              <w:rPr>
                <w:spacing w:val="-6"/>
              </w:rPr>
              <w:t>约</w:t>
            </w:r>
            <w:r>
              <w:rPr>
                <w:spacing w:val="-22"/>
              </w:rPr>
              <w:t xml:space="preserve"> </w:t>
            </w:r>
            <w:r>
              <w:rPr>
                <w:rFonts w:ascii="Times New Roman" w:hAnsi="Times New Roman" w:eastAsia="Times New Roman" w:cs="Times New Roman"/>
                <w:spacing w:val="-6"/>
              </w:rPr>
              <w:t>17.6km</w:t>
            </w:r>
          </w:p>
        </w:tc>
        <w:tc>
          <w:tcPr>
            <w:tcW w:w="2166" w:type="dxa"/>
            <w:vAlign w:val="top"/>
          </w:tcPr>
          <w:p>
            <w:pPr>
              <w:spacing w:line="321" w:lineRule="auto"/>
              <w:rPr>
                <w:rFonts w:ascii="Arial"/>
                <w:sz w:val="21"/>
              </w:rPr>
            </w:pPr>
          </w:p>
          <w:p>
            <w:pPr>
              <w:spacing w:line="322" w:lineRule="auto"/>
              <w:rPr>
                <w:rFonts w:ascii="Arial"/>
                <w:sz w:val="21"/>
              </w:rPr>
            </w:pPr>
          </w:p>
          <w:p>
            <w:pPr>
              <w:spacing w:before="61" w:line="233" w:lineRule="auto"/>
              <w:ind w:left="10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2"/>
        <w:spacing w:line="268" w:lineRule="auto"/>
      </w:pPr>
    </w:p>
    <w:p>
      <w:pPr>
        <w:spacing w:before="78" w:line="220" w:lineRule="auto"/>
        <w:ind w:left="188"/>
        <w:outlineLvl w:val="0"/>
        <w:rPr>
          <w:rFonts w:ascii="宋体" w:hAnsi="宋体" w:eastAsia="宋体" w:cs="宋体"/>
          <w:sz w:val="24"/>
          <w:szCs w:val="24"/>
        </w:rPr>
      </w:pPr>
      <w:r>
        <w:rPr>
          <w:rFonts w:ascii="Times New Roman" w:hAnsi="Times New Roman" w:eastAsia="Times New Roman" w:cs="Times New Roman"/>
          <w:b/>
          <w:bCs/>
          <w:sz w:val="24"/>
          <w:szCs w:val="24"/>
        </w:rPr>
        <w:t xml:space="preserve">2.6.2 </w:t>
      </w:r>
      <w:r>
        <w:rPr>
          <w:rFonts w:ascii="宋体" w:hAnsi="宋体" w:eastAsia="宋体" w:cs="宋体"/>
          <w:sz w:val="24"/>
          <w:szCs w:val="24"/>
          <w14:textOutline w14:w="4354" w14:cap="flat" w14:cmpd="sng">
            <w14:solidFill>
              <w14:srgbClr w14:val="000000"/>
            </w14:solidFill>
            <w14:prstDash w14:val="solid"/>
            <w14:miter w14:val="0"/>
          </w14:textOutline>
        </w:rPr>
        <w:t>声环境保护目标</w:t>
      </w:r>
    </w:p>
    <w:p>
      <w:pPr>
        <w:spacing w:before="179" w:line="468" w:lineRule="exact"/>
        <w:ind w:left="673"/>
        <w:rPr>
          <w:rFonts w:ascii="Times New Roman" w:hAnsi="Times New Roman" w:eastAsia="Times New Roman" w:cs="Times New Roman"/>
          <w:sz w:val="24"/>
          <w:szCs w:val="24"/>
        </w:rPr>
      </w:pPr>
      <w:r>
        <w:rPr>
          <w:rFonts w:ascii="宋体" w:hAnsi="宋体" w:eastAsia="宋体" w:cs="宋体"/>
          <w:spacing w:val="-1"/>
          <w:position w:val="17"/>
          <w:sz w:val="24"/>
          <w:szCs w:val="24"/>
        </w:rPr>
        <w:t>经现场踏勘、调查统计，本项目评价范围内现状共涉及声环境保护目标</w:t>
      </w:r>
      <w:r>
        <w:rPr>
          <w:rFonts w:ascii="宋体" w:hAnsi="宋体" w:eastAsia="宋体" w:cs="宋体"/>
          <w:spacing w:val="51"/>
          <w:position w:val="17"/>
          <w:sz w:val="24"/>
          <w:szCs w:val="24"/>
        </w:rPr>
        <w:t xml:space="preserve"> </w:t>
      </w:r>
      <w:r>
        <w:rPr>
          <w:rFonts w:ascii="Times New Roman" w:hAnsi="Times New Roman" w:eastAsia="Times New Roman" w:cs="Times New Roman"/>
          <w:spacing w:val="-1"/>
          <w:position w:val="17"/>
          <w:sz w:val="24"/>
          <w:szCs w:val="24"/>
        </w:rPr>
        <w:t>17</w:t>
      </w:r>
    </w:p>
    <w:p>
      <w:pPr>
        <w:spacing w:line="217" w:lineRule="auto"/>
        <w:ind w:left="196"/>
        <w:rPr>
          <w:rFonts w:ascii="宋体" w:hAnsi="宋体" w:eastAsia="宋体" w:cs="宋体"/>
          <w:sz w:val="24"/>
          <w:szCs w:val="24"/>
        </w:rPr>
      </w:pPr>
      <w:r>
        <w:rPr>
          <w:rFonts w:ascii="宋体" w:hAnsi="宋体" w:eastAsia="宋体" w:cs="宋体"/>
          <w:spacing w:val="-2"/>
          <w:sz w:val="24"/>
          <w:szCs w:val="24"/>
        </w:rPr>
        <w:t>处，具体见表</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2.6-2</w:t>
      </w:r>
      <w:r>
        <w:rPr>
          <w:rFonts w:ascii="宋体" w:hAnsi="宋体" w:eastAsia="宋体" w:cs="宋体"/>
          <w:spacing w:val="-2"/>
          <w:sz w:val="24"/>
          <w:szCs w:val="24"/>
        </w:rPr>
        <w:t>。</w:t>
      </w:r>
    </w:p>
    <w:p>
      <w:pPr>
        <w:spacing w:before="183" w:line="468" w:lineRule="exact"/>
        <w:ind w:left="672"/>
        <w:rPr>
          <w:rFonts w:ascii="宋体" w:hAnsi="宋体" w:eastAsia="宋体" w:cs="宋体"/>
          <w:sz w:val="24"/>
          <w:szCs w:val="24"/>
        </w:rPr>
      </w:pPr>
      <w:r>
        <w:rPr>
          <w:rFonts w:ascii="宋体" w:hAnsi="宋体" w:eastAsia="宋体" w:cs="宋体"/>
          <w:spacing w:val="-6"/>
          <w:position w:val="17"/>
          <w:sz w:val="24"/>
          <w:szCs w:val="24"/>
        </w:rPr>
        <w:t>本项目涉及改河改路改沟渠等基本分布在线路占地范围内或线路两侧，</w:t>
      </w:r>
      <w:r>
        <w:rPr>
          <w:rFonts w:ascii="宋体" w:hAnsi="宋体" w:eastAsia="宋体" w:cs="宋体"/>
          <w:spacing w:val="-20"/>
          <w:position w:val="17"/>
          <w:sz w:val="24"/>
          <w:szCs w:val="24"/>
        </w:rPr>
        <w:t xml:space="preserve"> </w:t>
      </w:r>
      <w:r>
        <w:rPr>
          <w:rFonts w:ascii="宋体" w:hAnsi="宋体" w:eastAsia="宋体" w:cs="宋体"/>
          <w:spacing w:val="-6"/>
          <w:position w:val="17"/>
          <w:sz w:val="24"/>
          <w:szCs w:val="24"/>
        </w:rPr>
        <w:t>声环</w:t>
      </w:r>
    </w:p>
    <w:p>
      <w:pPr>
        <w:spacing w:line="220" w:lineRule="auto"/>
        <w:ind w:left="192"/>
        <w:rPr>
          <w:rFonts w:ascii="宋体" w:hAnsi="宋体" w:eastAsia="宋体" w:cs="宋体"/>
          <w:sz w:val="24"/>
          <w:szCs w:val="24"/>
        </w:rPr>
      </w:pPr>
      <w:r>
        <w:rPr>
          <w:rFonts w:ascii="宋体" w:hAnsi="宋体" w:eastAsia="宋体" w:cs="宋体"/>
          <w:spacing w:val="-5"/>
          <w:sz w:val="24"/>
          <w:szCs w:val="24"/>
        </w:rPr>
        <w:t>境保护目标均为前述</w:t>
      </w:r>
      <w:r>
        <w:rPr>
          <w:rFonts w:ascii="宋体" w:hAnsi="宋体" w:eastAsia="宋体" w:cs="宋体"/>
          <w:spacing w:val="-27"/>
          <w:sz w:val="24"/>
          <w:szCs w:val="24"/>
        </w:rPr>
        <w:t xml:space="preserve"> </w:t>
      </w:r>
      <w:r>
        <w:rPr>
          <w:rFonts w:ascii="Times New Roman" w:hAnsi="Times New Roman" w:eastAsia="Times New Roman" w:cs="Times New Roman"/>
          <w:spacing w:val="-5"/>
          <w:sz w:val="24"/>
          <w:szCs w:val="24"/>
        </w:rPr>
        <w:t>17</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处保护目标。</w:t>
      </w:r>
    </w:p>
    <w:p>
      <w:pPr>
        <w:spacing w:before="290" w:line="218" w:lineRule="auto"/>
        <w:ind w:left="672"/>
        <w:rPr>
          <w:rFonts w:ascii="宋体" w:hAnsi="宋体" w:eastAsia="宋体" w:cs="宋体"/>
          <w:sz w:val="24"/>
          <w:szCs w:val="24"/>
        </w:rPr>
      </w:pPr>
      <w:r>
        <w:rPr>
          <w:rFonts w:ascii="宋体" w:hAnsi="宋体" w:eastAsia="宋体" w:cs="宋体"/>
          <w:spacing w:val="-1"/>
          <w:sz w:val="24"/>
          <w:szCs w:val="24"/>
        </w:rPr>
        <w:t>本项目隧道进出口评价范围环境保护目标见表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2.6-3</w:t>
      </w:r>
      <w:r>
        <w:rPr>
          <w:rFonts w:ascii="宋体" w:hAnsi="宋体" w:eastAsia="宋体" w:cs="宋体"/>
          <w:spacing w:val="-1"/>
          <w:sz w:val="24"/>
          <w:szCs w:val="24"/>
        </w:rPr>
        <w:t>。</w:t>
      </w:r>
    </w:p>
    <w:p>
      <w:pPr>
        <w:spacing w:line="218" w:lineRule="auto"/>
        <w:rPr>
          <w:rFonts w:ascii="宋体" w:hAnsi="宋体" w:eastAsia="宋体" w:cs="宋体"/>
          <w:sz w:val="24"/>
          <w:szCs w:val="24"/>
        </w:rPr>
        <w:sectPr>
          <w:headerReference r:id="rId82" w:type="default"/>
          <w:footerReference r:id="rId83" w:type="default"/>
          <w:pgSz w:w="11907" w:h="16839"/>
          <w:pgMar w:top="1118" w:right="1615" w:bottom="1184" w:left="1618" w:header="879" w:footer="1024" w:gutter="0"/>
          <w:cols w:space="720" w:num="1"/>
        </w:sectPr>
      </w:pPr>
    </w:p>
    <w:p>
      <w:pPr>
        <w:pStyle w:val="2"/>
        <w:spacing w:line="300" w:lineRule="auto"/>
      </w:pPr>
    </w:p>
    <w:p>
      <w:pPr>
        <w:spacing w:before="78" w:line="212" w:lineRule="auto"/>
        <w:ind w:left="842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2.6-2      </w:t>
      </w:r>
      <w:r>
        <w:rPr>
          <w:rFonts w:ascii="宋体" w:hAnsi="宋体" w:eastAsia="宋体" w:cs="宋体"/>
          <w:spacing w:val="-1"/>
          <w:sz w:val="24"/>
          <w:szCs w:val="24"/>
        </w:rPr>
        <w:t>工程沿线声环境保护目标一览表</w:t>
      </w:r>
    </w:p>
    <w:tbl>
      <w:tblPr>
        <w:tblStyle w:val="5"/>
        <w:tblW w:w="213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1"/>
        <w:gridCol w:w="792"/>
        <w:gridCol w:w="631"/>
        <w:gridCol w:w="744"/>
        <w:gridCol w:w="540"/>
        <w:gridCol w:w="602"/>
        <w:gridCol w:w="605"/>
        <w:gridCol w:w="648"/>
        <w:gridCol w:w="812"/>
        <w:gridCol w:w="828"/>
        <w:gridCol w:w="535"/>
        <w:gridCol w:w="588"/>
        <w:gridCol w:w="1082"/>
        <w:gridCol w:w="1140"/>
        <w:gridCol w:w="5262"/>
        <w:gridCol w:w="4989"/>
        <w:gridCol w:w="595"/>
        <w:gridCol w:w="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391" w:type="dxa"/>
            <w:vMerge w:val="restart"/>
            <w:tcBorders>
              <w:bottom w:val="nil"/>
            </w:tcBorders>
            <w:textDirection w:val="tbRlV"/>
            <w:vAlign w:val="top"/>
          </w:tcPr>
          <w:p>
            <w:pPr>
              <w:pStyle w:val="6"/>
              <w:spacing w:before="105" w:line="211" w:lineRule="auto"/>
              <w:ind w:left="984"/>
            </w:pPr>
            <w:r>
              <w:rPr>
                <w:spacing w:val="31"/>
              </w:rPr>
              <w:t>序号</w:t>
            </w:r>
          </w:p>
        </w:tc>
        <w:tc>
          <w:tcPr>
            <w:tcW w:w="792" w:type="dxa"/>
            <w:vMerge w:val="restart"/>
            <w:tcBorders>
              <w:bottom w:val="nil"/>
            </w:tcBorders>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8" w:line="238" w:lineRule="auto"/>
              <w:ind w:left="196"/>
            </w:pPr>
            <w:r>
              <w:rPr>
                <w:spacing w:val="-3"/>
              </w:rPr>
              <w:t>行政</w:t>
            </w:r>
          </w:p>
          <w:p>
            <w:pPr>
              <w:pStyle w:val="6"/>
              <w:spacing w:line="220" w:lineRule="auto"/>
              <w:ind w:left="208"/>
            </w:pPr>
            <w:r>
              <w:rPr>
                <w:spacing w:val="-6"/>
              </w:rPr>
              <w:t>区域</w:t>
            </w:r>
          </w:p>
        </w:tc>
        <w:tc>
          <w:tcPr>
            <w:tcW w:w="631" w:type="dxa"/>
            <w:vMerge w:val="restart"/>
            <w:tcBorders>
              <w:bottom w:val="nil"/>
            </w:tcBorders>
            <w:textDirection w:val="tbRlV"/>
            <w:vAlign w:val="top"/>
          </w:tcPr>
          <w:p>
            <w:pPr>
              <w:pStyle w:val="6"/>
              <w:spacing w:before="205" w:line="210" w:lineRule="auto"/>
              <w:ind w:left="29"/>
            </w:pPr>
            <w:r>
              <w:rPr>
                <w:spacing w:val="19"/>
                <w:w w:val="117"/>
              </w:rPr>
              <w:t>声环境保护目标名称</w:t>
            </w:r>
          </w:p>
        </w:tc>
        <w:tc>
          <w:tcPr>
            <w:tcW w:w="744" w:type="dxa"/>
            <w:vMerge w:val="restart"/>
            <w:tcBorders>
              <w:bottom w:val="nil"/>
            </w:tcBorders>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8" w:line="238" w:lineRule="auto"/>
              <w:ind w:left="169"/>
            </w:pPr>
            <w:r>
              <w:rPr>
                <w:spacing w:val="-2"/>
              </w:rPr>
              <w:t>所在</w:t>
            </w:r>
          </w:p>
          <w:p>
            <w:pPr>
              <w:pStyle w:val="6"/>
              <w:spacing w:line="220" w:lineRule="auto"/>
              <w:ind w:left="171"/>
            </w:pPr>
            <w:r>
              <w:rPr>
                <w:spacing w:val="-2"/>
              </w:rPr>
              <w:t>路段</w:t>
            </w:r>
          </w:p>
        </w:tc>
        <w:tc>
          <w:tcPr>
            <w:tcW w:w="540" w:type="dxa"/>
            <w:vMerge w:val="restart"/>
            <w:tcBorders>
              <w:bottom w:val="nil"/>
            </w:tcBorders>
            <w:textDirection w:val="tbRlV"/>
            <w:vAlign w:val="top"/>
          </w:tcPr>
          <w:p>
            <w:pPr>
              <w:pStyle w:val="6"/>
              <w:spacing w:before="160" w:line="210" w:lineRule="auto"/>
              <w:ind w:left="711"/>
            </w:pPr>
            <w:r>
              <w:rPr>
                <w:spacing w:val="46"/>
              </w:rPr>
              <w:t>里程范围</w:t>
            </w:r>
          </w:p>
        </w:tc>
        <w:tc>
          <w:tcPr>
            <w:tcW w:w="602" w:type="dxa"/>
            <w:vMerge w:val="restart"/>
            <w:tcBorders>
              <w:bottom w:val="nil"/>
            </w:tcBorders>
            <w:textDirection w:val="tbRlV"/>
            <w:vAlign w:val="top"/>
          </w:tcPr>
          <w:p>
            <w:pPr>
              <w:pStyle w:val="6"/>
              <w:spacing w:before="190" w:line="207" w:lineRule="auto"/>
              <w:ind w:left="711"/>
            </w:pPr>
            <w:r>
              <w:rPr>
                <w:spacing w:val="46"/>
              </w:rPr>
              <w:t>线路形式</w:t>
            </w:r>
          </w:p>
        </w:tc>
        <w:tc>
          <w:tcPr>
            <w:tcW w:w="605" w:type="dxa"/>
            <w:vMerge w:val="restart"/>
            <w:tcBorders>
              <w:bottom w:val="nil"/>
            </w:tcBorders>
            <w:textDirection w:val="tbRlV"/>
            <w:vAlign w:val="top"/>
          </w:tcPr>
          <w:p>
            <w:pPr>
              <w:pStyle w:val="6"/>
              <w:spacing w:before="191" w:line="210" w:lineRule="auto"/>
              <w:ind w:left="984"/>
            </w:pPr>
            <w:r>
              <w:rPr>
                <w:spacing w:val="31"/>
              </w:rPr>
              <w:t>方位</w:t>
            </w:r>
          </w:p>
        </w:tc>
        <w:tc>
          <w:tcPr>
            <w:tcW w:w="648" w:type="dxa"/>
            <w:vMerge w:val="restart"/>
            <w:tcBorders>
              <w:bottom w:val="nil"/>
            </w:tcBorders>
            <w:vAlign w:val="top"/>
          </w:tcPr>
          <w:p>
            <w:pPr>
              <w:spacing w:line="247" w:lineRule="auto"/>
              <w:rPr>
                <w:rFonts w:ascii="Arial"/>
                <w:sz w:val="21"/>
              </w:rPr>
            </w:pPr>
          </w:p>
          <w:p>
            <w:pPr>
              <w:pStyle w:val="6"/>
              <w:spacing w:before="68" w:line="236" w:lineRule="auto"/>
              <w:ind w:left="120" w:right="109" w:firstLine="3"/>
              <w:jc w:val="both"/>
              <w:rPr>
                <w:rFonts w:ascii="Times New Roman" w:hAnsi="Times New Roman" w:eastAsia="Times New Roman" w:cs="Times New Roman"/>
              </w:rPr>
            </w:pPr>
            <w:r>
              <w:rPr>
                <w:spacing w:val="-6"/>
              </w:rPr>
              <w:t>声环</w:t>
            </w:r>
            <w:r>
              <w:t xml:space="preserve"> </w:t>
            </w:r>
            <w:r>
              <w:rPr>
                <w:spacing w:val="-4"/>
              </w:rPr>
              <w:t>境保</w:t>
            </w:r>
            <w:r>
              <w:t xml:space="preserve"> </w:t>
            </w:r>
            <w:r>
              <w:rPr>
                <w:spacing w:val="-4"/>
              </w:rPr>
              <w:t>护目</w:t>
            </w:r>
            <w:r>
              <w:t xml:space="preserve"> </w:t>
            </w:r>
            <w:r>
              <w:rPr>
                <w:spacing w:val="-4"/>
              </w:rPr>
              <w:t>标与</w:t>
            </w:r>
            <w:r>
              <w:t xml:space="preserve"> </w:t>
            </w:r>
            <w:r>
              <w:rPr>
                <w:spacing w:val="-4"/>
              </w:rPr>
              <w:t>路面</w:t>
            </w:r>
            <w:r>
              <w:t xml:space="preserve"> </w:t>
            </w:r>
            <w:r>
              <w:rPr>
                <w:spacing w:val="-4"/>
              </w:rPr>
              <w:t>高差</w:t>
            </w:r>
            <w:r>
              <w:t xml:space="preserve"> </w:t>
            </w:r>
            <w:r>
              <w:rPr>
                <w:rFonts w:ascii="Times New Roman" w:hAnsi="Times New Roman" w:eastAsia="Times New Roman" w:cs="Times New Roman"/>
                <w:spacing w:val="17"/>
              </w:rPr>
              <w:t>(m)</w:t>
            </w:r>
          </w:p>
        </w:tc>
        <w:tc>
          <w:tcPr>
            <w:tcW w:w="812" w:type="dxa"/>
            <w:vMerge w:val="restart"/>
            <w:tcBorders>
              <w:bottom w:val="nil"/>
            </w:tcBorders>
            <w:vAlign w:val="top"/>
          </w:tcPr>
          <w:p>
            <w:pPr>
              <w:spacing w:line="260" w:lineRule="auto"/>
              <w:rPr>
                <w:rFonts w:ascii="Arial"/>
                <w:sz w:val="21"/>
              </w:rPr>
            </w:pPr>
          </w:p>
          <w:p>
            <w:pPr>
              <w:spacing w:line="260" w:lineRule="auto"/>
              <w:rPr>
                <w:rFonts w:ascii="Arial"/>
                <w:sz w:val="21"/>
              </w:rPr>
            </w:pPr>
          </w:p>
          <w:p>
            <w:pPr>
              <w:pStyle w:val="6"/>
              <w:spacing w:before="68" w:line="238" w:lineRule="auto"/>
              <w:ind w:left="202"/>
            </w:pPr>
            <w:r>
              <w:rPr>
                <w:spacing w:val="-2"/>
              </w:rPr>
              <w:t>距道</w:t>
            </w:r>
          </w:p>
          <w:p>
            <w:pPr>
              <w:pStyle w:val="6"/>
              <w:spacing w:line="220" w:lineRule="auto"/>
              <w:ind w:left="205"/>
            </w:pPr>
            <w:r>
              <w:rPr>
                <w:spacing w:val="-2"/>
              </w:rPr>
              <w:t>路中</w:t>
            </w:r>
          </w:p>
          <w:p>
            <w:pPr>
              <w:pStyle w:val="6"/>
              <w:spacing w:before="22" w:line="221" w:lineRule="auto"/>
              <w:ind w:left="210"/>
            </w:pPr>
            <w:r>
              <w:rPr>
                <w:spacing w:val="-4"/>
              </w:rPr>
              <w:t>心线</w:t>
            </w:r>
          </w:p>
          <w:p>
            <w:pPr>
              <w:pStyle w:val="6"/>
              <w:spacing w:before="20" w:line="221" w:lineRule="auto"/>
              <w:ind w:left="202"/>
            </w:pPr>
            <w:r>
              <w:rPr>
                <w:spacing w:val="-2"/>
              </w:rPr>
              <w:t>距离</w:t>
            </w:r>
          </w:p>
          <w:p>
            <w:pPr>
              <w:spacing w:before="40" w:line="191"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828" w:type="dxa"/>
            <w:vMerge w:val="restart"/>
            <w:tcBorders>
              <w:bottom w:val="nil"/>
            </w:tcBorders>
            <w:vAlign w:val="top"/>
          </w:tcPr>
          <w:p>
            <w:pPr>
              <w:spacing w:line="252" w:lineRule="auto"/>
              <w:rPr>
                <w:rFonts w:ascii="Arial"/>
                <w:sz w:val="21"/>
              </w:rPr>
            </w:pPr>
          </w:p>
          <w:p>
            <w:pPr>
              <w:spacing w:line="252" w:lineRule="auto"/>
              <w:rPr>
                <w:rFonts w:ascii="Arial"/>
                <w:sz w:val="21"/>
              </w:rPr>
            </w:pPr>
          </w:p>
          <w:p>
            <w:pPr>
              <w:pStyle w:val="6"/>
              <w:spacing w:before="69" w:line="234" w:lineRule="auto"/>
              <w:ind w:left="116" w:right="102" w:firstLine="92"/>
              <w:jc w:val="both"/>
              <w:rPr>
                <w:rFonts w:ascii="Times New Roman" w:hAnsi="Times New Roman" w:eastAsia="Times New Roman" w:cs="Times New Roman"/>
              </w:rPr>
            </w:pPr>
            <w:r>
              <w:rPr>
                <w:spacing w:val="-3"/>
              </w:rPr>
              <w:t>距道</w:t>
            </w:r>
            <w:r>
              <w:t xml:space="preserve">  </w:t>
            </w:r>
            <w:r>
              <w:rPr>
                <w:spacing w:val="43"/>
              </w:rPr>
              <w:t>路边</w:t>
            </w:r>
            <w:r>
              <w:t xml:space="preserve">  </w:t>
            </w:r>
            <w:r>
              <w:rPr>
                <w:spacing w:val="-9"/>
              </w:rPr>
              <w:t>界（红</w:t>
            </w:r>
            <w:r>
              <w:t xml:space="preserve"> </w:t>
            </w:r>
            <w:r>
              <w:rPr>
                <w:spacing w:val="-24"/>
              </w:rPr>
              <w:t>线）</w:t>
            </w:r>
            <w:r>
              <w:rPr>
                <w:spacing w:val="-61"/>
              </w:rPr>
              <w:t xml:space="preserve"> </w:t>
            </w:r>
            <w:r>
              <w:rPr>
                <w:spacing w:val="-24"/>
              </w:rPr>
              <w:t>距</w:t>
            </w:r>
            <w:r>
              <w:t xml:space="preserve"> </w:t>
            </w:r>
            <w:r>
              <w:rPr>
                <w:spacing w:val="10"/>
              </w:rPr>
              <w:t>离</w:t>
            </w:r>
            <w:r>
              <w:rPr>
                <w:rFonts w:ascii="Times New Roman" w:hAnsi="Times New Roman" w:eastAsia="Times New Roman" w:cs="Times New Roman"/>
                <w:spacing w:val="10"/>
              </w:rPr>
              <w:t>(m)</w:t>
            </w:r>
          </w:p>
        </w:tc>
        <w:tc>
          <w:tcPr>
            <w:tcW w:w="1123" w:type="dxa"/>
            <w:gridSpan w:val="2"/>
            <w:vAlign w:val="top"/>
          </w:tcPr>
          <w:p>
            <w:pPr>
              <w:pStyle w:val="6"/>
              <w:spacing w:before="29" w:line="222" w:lineRule="auto"/>
              <w:ind w:left="151"/>
            </w:pPr>
            <w:r>
              <w:rPr>
                <w:spacing w:val="-3"/>
              </w:rPr>
              <w:t>不同功能</w:t>
            </w:r>
          </w:p>
          <w:p>
            <w:pPr>
              <w:pStyle w:val="6"/>
              <w:spacing w:before="21" w:line="206" w:lineRule="auto"/>
              <w:ind w:left="269"/>
            </w:pPr>
            <w:r>
              <w:rPr>
                <w:spacing w:val="-7"/>
              </w:rPr>
              <w:t>区户数</w:t>
            </w:r>
          </w:p>
        </w:tc>
        <w:tc>
          <w:tcPr>
            <w:tcW w:w="2222" w:type="dxa"/>
            <w:gridSpan w:val="2"/>
            <w:vAlign w:val="top"/>
          </w:tcPr>
          <w:p>
            <w:pPr>
              <w:pStyle w:val="6"/>
              <w:spacing w:before="30" w:line="223" w:lineRule="auto"/>
              <w:ind w:left="911" w:right="159" w:hanging="735"/>
            </w:pPr>
            <w:r>
              <w:rPr>
                <w:spacing w:val="-1"/>
              </w:rPr>
              <w:t>声环境保护目标情况</w:t>
            </w:r>
            <w:r>
              <w:t xml:space="preserve"> </w:t>
            </w:r>
            <w:r>
              <w:rPr>
                <w:spacing w:val="-3"/>
              </w:rPr>
              <w:t>说明</w:t>
            </w:r>
          </w:p>
        </w:tc>
        <w:tc>
          <w:tcPr>
            <w:tcW w:w="526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9" w:line="221" w:lineRule="auto"/>
              <w:ind w:left="2009"/>
            </w:pPr>
            <w:r>
              <w:rPr>
                <w:spacing w:val="-1"/>
              </w:rPr>
              <w:t>保护目标照片</w:t>
            </w:r>
          </w:p>
        </w:tc>
        <w:tc>
          <w:tcPr>
            <w:tcW w:w="4989"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9" w:line="221" w:lineRule="auto"/>
              <w:ind w:left="1769"/>
            </w:pPr>
            <w:r>
              <w:rPr>
                <w:spacing w:val="-1"/>
              </w:rPr>
              <w:t>保护目标地形图</w:t>
            </w:r>
          </w:p>
        </w:tc>
        <w:tc>
          <w:tcPr>
            <w:tcW w:w="1154" w:type="dxa"/>
            <w:gridSpan w:val="2"/>
            <w:vAlign w:val="top"/>
          </w:tcPr>
          <w:p>
            <w:pPr>
              <w:pStyle w:val="6"/>
              <w:spacing w:before="165" w:line="221" w:lineRule="auto"/>
              <w:ind w:left="166"/>
            </w:pPr>
            <w:r>
              <w:rPr>
                <w:spacing w:val="-2"/>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1" w:hRule="atLeast"/>
        </w:trPr>
        <w:tc>
          <w:tcPr>
            <w:tcW w:w="391" w:type="dxa"/>
            <w:vMerge w:val="continue"/>
            <w:tcBorders>
              <w:top w:val="nil"/>
            </w:tcBorders>
            <w:textDirection w:val="tbRlV"/>
            <w:vAlign w:val="top"/>
          </w:tcPr>
          <w:p>
            <w:pPr>
              <w:rPr>
                <w:rFonts w:ascii="Arial"/>
                <w:sz w:val="21"/>
              </w:rPr>
            </w:pPr>
          </w:p>
        </w:tc>
        <w:tc>
          <w:tcPr>
            <w:tcW w:w="792" w:type="dxa"/>
            <w:vMerge w:val="continue"/>
            <w:tcBorders>
              <w:top w:val="nil"/>
            </w:tcBorders>
            <w:vAlign w:val="top"/>
          </w:tcPr>
          <w:p>
            <w:pPr>
              <w:rPr>
                <w:rFonts w:ascii="Arial"/>
                <w:sz w:val="21"/>
              </w:rPr>
            </w:pPr>
          </w:p>
        </w:tc>
        <w:tc>
          <w:tcPr>
            <w:tcW w:w="631" w:type="dxa"/>
            <w:vMerge w:val="continue"/>
            <w:tcBorders>
              <w:top w:val="nil"/>
            </w:tcBorders>
            <w:textDirection w:val="tbRlV"/>
            <w:vAlign w:val="top"/>
          </w:tcPr>
          <w:p>
            <w:pPr>
              <w:rPr>
                <w:rFonts w:ascii="Arial"/>
                <w:sz w:val="21"/>
              </w:rPr>
            </w:pPr>
          </w:p>
        </w:tc>
        <w:tc>
          <w:tcPr>
            <w:tcW w:w="744" w:type="dxa"/>
            <w:vMerge w:val="continue"/>
            <w:tcBorders>
              <w:top w:val="nil"/>
            </w:tcBorders>
            <w:vAlign w:val="top"/>
          </w:tcPr>
          <w:p>
            <w:pPr>
              <w:rPr>
                <w:rFonts w:ascii="Arial"/>
                <w:sz w:val="21"/>
              </w:rPr>
            </w:pPr>
          </w:p>
        </w:tc>
        <w:tc>
          <w:tcPr>
            <w:tcW w:w="540" w:type="dxa"/>
            <w:vMerge w:val="continue"/>
            <w:tcBorders>
              <w:top w:val="nil"/>
            </w:tcBorders>
            <w:textDirection w:val="tbRlV"/>
            <w:vAlign w:val="top"/>
          </w:tcPr>
          <w:p>
            <w:pPr>
              <w:rPr>
                <w:rFonts w:ascii="Arial"/>
                <w:sz w:val="21"/>
              </w:rPr>
            </w:pPr>
          </w:p>
        </w:tc>
        <w:tc>
          <w:tcPr>
            <w:tcW w:w="602" w:type="dxa"/>
            <w:vMerge w:val="continue"/>
            <w:tcBorders>
              <w:top w:val="nil"/>
            </w:tcBorders>
            <w:textDirection w:val="tbRlV"/>
            <w:vAlign w:val="top"/>
          </w:tcPr>
          <w:p>
            <w:pPr>
              <w:rPr>
                <w:rFonts w:ascii="Arial"/>
                <w:sz w:val="21"/>
              </w:rPr>
            </w:pPr>
          </w:p>
        </w:tc>
        <w:tc>
          <w:tcPr>
            <w:tcW w:w="605" w:type="dxa"/>
            <w:vMerge w:val="continue"/>
            <w:tcBorders>
              <w:top w:val="nil"/>
            </w:tcBorders>
            <w:textDirection w:val="tbRlV"/>
            <w:vAlign w:val="top"/>
          </w:tcPr>
          <w:p>
            <w:pPr>
              <w:rPr>
                <w:rFonts w:ascii="Arial"/>
                <w:sz w:val="21"/>
              </w:rPr>
            </w:pPr>
          </w:p>
        </w:tc>
        <w:tc>
          <w:tcPr>
            <w:tcW w:w="648"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828" w:type="dxa"/>
            <w:vMerge w:val="continue"/>
            <w:tcBorders>
              <w:top w:val="nil"/>
            </w:tcBorders>
            <w:vAlign w:val="top"/>
          </w:tcPr>
          <w:p>
            <w:pPr>
              <w:rPr>
                <w:rFonts w:ascii="Arial"/>
                <w:sz w:val="21"/>
              </w:rPr>
            </w:pPr>
          </w:p>
        </w:tc>
        <w:tc>
          <w:tcPr>
            <w:tcW w:w="535" w:type="dxa"/>
            <w:vAlign w:val="top"/>
          </w:tcPr>
          <w:p>
            <w:pPr>
              <w:spacing w:line="340" w:lineRule="auto"/>
              <w:rPr>
                <w:rFonts w:ascii="Arial"/>
                <w:sz w:val="21"/>
              </w:rPr>
            </w:pPr>
          </w:p>
          <w:p>
            <w:pPr>
              <w:spacing w:line="341" w:lineRule="auto"/>
              <w:rPr>
                <w:rFonts w:ascii="Arial"/>
                <w:sz w:val="21"/>
              </w:rPr>
            </w:pPr>
          </w:p>
          <w:p>
            <w:pPr>
              <w:spacing w:before="61" w:line="21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p>
            <w:pPr>
              <w:pStyle w:val="6"/>
              <w:spacing w:line="220" w:lineRule="auto"/>
              <w:ind w:left="169"/>
            </w:pPr>
            <w:r>
              <w:t>类</w:t>
            </w:r>
          </w:p>
        </w:tc>
        <w:tc>
          <w:tcPr>
            <w:tcW w:w="588"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8" w:line="221" w:lineRule="auto"/>
              <w:ind w:left="11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082" w:type="dxa"/>
            <w:vAlign w:val="top"/>
          </w:tcPr>
          <w:p>
            <w:pPr>
              <w:spacing w:line="366" w:lineRule="auto"/>
              <w:rPr>
                <w:rFonts w:ascii="Arial"/>
                <w:sz w:val="21"/>
              </w:rPr>
            </w:pPr>
          </w:p>
          <w:p>
            <w:pPr>
              <w:pStyle w:val="6"/>
              <w:spacing w:before="68" w:line="221" w:lineRule="auto"/>
              <w:ind w:left="234"/>
            </w:pPr>
            <w:r>
              <w:rPr>
                <w:spacing w:val="-2"/>
              </w:rPr>
              <w:t>建筑结</w:t>
            </w:r>
          </w:p>
          <w:p>
            <w:pPr>
              <w:pStyle w:val="6"/>
              <w:spacing w:before="18" w:line="221" w:lineRule="auto"/>
              <w:jc w:val="right"/>
            </w:pPr>
            <w:r>
              <w:rPr>
                <w:spacing w:val="-24"/>
              </w:rPr>
              <w:t>构、朝向、</w:t>
            </w:r>
          </w:p>
          <w:p>
            <w:pPr>
              <w:pStyle w:val="6"/>
              <w:spacing w:before="22" w:line="218" w:lineRule="auto"/>
              <w:ind w:left="128"/>
            </w:pPr>
            <w:r>
              <w:rPr>
                <w:spacing w:val="-2"/>
              </w:rPr>
              <w:t>楼层、窗</w:t>
            </w:r>
          </w:p>
          <w:p>
            <w:pPr>
              <w:pStyle w:val="6"/>
              <w:spacing w:before="23" w:line="221" w:lineRule="auto"/>
              <w:ind w:left="444"/>
            </w:pPr>
            <w:r>
              <w:t>户</w:t>
            </w:r>
          </w:p>
        </w:tc>
        <w:tc>
          <w:tcPr>
            <w:tcW w:w="1140" w:type="dxa"/>
            <w:vAlign w:val="top"/>
          </w:tcPr>
          <w:p>
            <w:pPr>
              <w:spacing w:line="317" w:lineRule="auto"/>
              <w:rPr>
                <w:rFonts w:ascii="Arial"/>
                <w:sz w:val="21"/>
              </w:rPr>
            </w:pPr>
          </w:p>
          <w:p>
            <w:pPr>
              <w:spacing w:line="318" w:lineRule="auto"/>
              <w:rPr>
                <w:rFonts w:ascii="Arial"/>
                <w:sz w:val="21"/>
              </w:rPr>
            </w:pPr>
          </w:p>
          <w:p>
            <w:pPr>
              <w:pStyle w:val="6"/>
              <w:spacing w:before="68" w:line="231" w:lineRule="auto"/>
              <w:ind w:left="367" w:right="142" w:hanging="208"/>
            </w:pPr>
            <w:r>
              <w:rPr>
                <w:spacing w:val="-2"/>
              </w:rPr>
              <w:t>周边环境</w:t>
            </w:r>
            <w:r>
              <w:t xml:space="preserve"> </w:t>
            </w:r>
            <w:r>
              <w:rPr>
                <w:spacing w:val="-2"/>
              </w:rPr>
              <w:t>情况</w:t>
            </w:r>
          </w:p>
        </w:tc>
        <w:tc>
          <w:tcPr>
            <w:tcW w:w="5262" w:type="dxa"/>
            <w:vMerge w:val="continue"/>
            <w:tcBorders>
              <w:top w:val="nil"/>
            </w:tcBorders>
            <w:vAlign w:val="top"/>
          </w:tcPr>
          <w:p>
            <w:pPr>
              <w:rPr>
                <w:rFonts w:ascii="Arial"/>
                <w:sz w:val="21"/>
              </w:rPr>
            </w:pPr>
          </w:p>
        </w:tc>
        <w:tc>
          <w:tcPr>
            <w:tcW w:w="4989" w:type="dxa"/>
            <w:vMerge w:val="continue"/>
            <w:tcBorders>
              <w:top w:val="nil"/>
            </w:tcBorders>
            <w:vAlign w:val="top"/>
          </w:tcPr>
          <w:p>
            <w:pPr>
              <w:rPr>
                <w:rFonts w:ascii="Arial"/>
                <w:sz w:val="21"/>
              </w:rPr>
            </w:pPr>
          </w:p>
        </w:tc>
        <w:tc>
          <w:tcPr>
            <w:tcW w:w="595" w:type="dxa"/>
            <w:vAlign w:val="top"/>
          </w:tcPr>
          <w:p>
            <w:pPr>
              <w:spacing w:line="318" w:lineRule="auto"/>
              <w:rPr>
                <w:rFonts w:ascii="Arial"/>
                <w:sz w:val="21"/>
              </w:rPr>
            </w:pPr>
          </w:p>
          <w:p>
            <w:pPr>
              <w:spacing w:line="318" w:lineRule="auto"/>
              <w:rPr>
                <w:rFonts w:ascii="Arial"/>
                <w:sz w:val="21"/>
              </w:rPr>
            </w:pPr>
          </w:p>
          <w:p>
            <w:pPr>
              <w:pStyle w:val="6"/>
              <w:spacing w:before="68" w:line="223" w:lineRule="auto"/>
              <w:ind w:left="98"/>
            </w:pPr>
            <w:r>
              <w:rPr>
                <w:spacing w:val="-2"/>
              </w:rPr>
              <w:t>施工</w:t>
            </w:r>
          </w:p>
          <w:p>
            <w:pPr>
              <w:pStyle w:val="6"/>
              <w:spacing w:before="19" w:line="221" w:lineRule="auto"/>
              <w:ind w:left="204"/>
            </w:pPr>
            <w:r>
              <w:t>期</w:t>
            </w:r>
          </w:p>
        </w:tc>
        <w:tc>
          <w:tcPr>
            <w:tcW w:w="559" w:type="dxa"/>
            <w:vAlign w:val="top"/>
          </w:tcPr>
          <w:p>
            <w:pPr>
              <w:spacing w:line="317" w:lineRule="auto"/>
              <w:rPr>
                <w:rFonts w:ascii="Arial"/>
                <w:sz w:val="21"/>
              </w:rPr>
            </w:pPr>
          </w:p>
          <w:p>
            <w:pPr>
              <w:spacing w:line="318" w:lineRule="auto"/>
              <w:rPr>
                <w:rFonts w:ascii="Arial"/>
                <w:sz w:val="21"/>
              </w:rPr>
            </w:pPr>
          </w:p>
          <w:p>
            <w:pPr>
              <w:pStyle w:val="6"/>
              <w:spacing w:before="69" w:line="221" w:lineRule="auto"/>
              <w:ind w:left="77"/>
            </w:pPr>
            <w:r>
              <w:rPr>
                <w:spacing w:val="-2"/>
              </w:rPr>
              <w:t>运营</w:t>
            </w:r>
          </w:p>
          <w:p>
            <w:pPr>
              <w:pStyle w:val="6"/>
              <w:spacing w:before="22" w:line="221" w:lineRule="auto"/>
              <w:ind w:left="185"/>
            </w:pPr>
            <w: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7" w:hRule="atLeast"/>
        </w:trPr>
        <w:tc>
          <w:tcPr>
            <w:tcW w:w="391"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0" w:line="187" w:lineRule="auto"/>
              <w:ind w:left="188"/>
              <w:rPr>
                <w:rFonts w:ascii="Times New Roman" w:hAnsi="Times New Roman" w:eastAsia="Times New Roman" w:cs="Times New Roman"/>
                <w:sz w:val="21"/>
                <w:szCs w:val="21"/>
              </w:rPr>
            </w:pPr>
            <w:r>
              <w:rPr>
                <w:rFonts w:ascii="Times New Roman" w:hAnsi="Times New Roman" w:eastAsia="Times New Roman" w:cs="Times New Roman"/>
                <w:b/>
                <w:bCs/>
                <w:sz w:val="21"/>
                <w:szCs w:val="21"/>
              </w:rPr>
              <w:t>1</w:t>
            </w:r>
          </w:p>
        </w:tc>
        <w:tc>
          <w:tcPr>
            <w:tcW w:w="792"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9" w:line="241" w:lineRule="auto"/>
              <w:ind w:left="194"/>
            </w:pPr>
            <w:r>
              <w:rPr>
                <w:spacing w:val="-2"/>
              </w:rPr>
              <w:t>文成</w:t>
            </w:r>
          </w:p>
          <w:p>
            <w:pPr>
              <w:pStyle w:val="6"/>
              <w:spacing w:line="222" w:lineRule="auto"/>
              <w:ind w:left="193"/>
            </w:pPr>
            <w:r>
              <w:rPr>
                <w:spacing w:val="-2"/>
              </w:rPr>
              <w:t>县西</w:t>
            </w:r>
          </w:p>
          <w:p>
            <w:pPr>
              <w:pStyle w:val="6"/>
              <w:spacing w:before="18" w:line="221" w:lineRule="auto"/>
              <w:ind w:left="193"/>
            </w:pPr>
            <w:r>
              <w:rPr>
                <w:spacing w:val="-2"/>
              </w:rPr>
              <w:t>坑畲</w:t>
            </w:r>
          </w:p>
          <w:p>
            <w:pPr>
              <w:pStyle w:val="6"/>
              <w:spacing w:before="22" w:line="217" w:lineRule="auto"/>
              <w:ind w:left="192"/>
            </w:pPr>
            <w:r>
              <w:rPr>
                <w:spacing w:val="-2"/>
              </w:rPr>
              <w:t>族镇</w:t>
            </w:r>
          </w:p>
          <w:p>
            <w:pPr>
              <w:pStyle w:val="6"/>
              <w:spacing w:before="24" w:line="221" w:lineRule="auto"/>
              <w:ind w:left="195"/>
            </w:pPr>
            <w:r>
              <w:rPr>
                <w:spacing w:val="-3"/>
              </w:rPr>
              <w:t>南坑</w:t>
            </w:r>
          </w:p>
          <w:p>
            <w:pPr>
              <w:pStyle w:val="6"/>
              <w:spacing w:before="21" w:line="220" w:lineRule="auto"/>
              <w:ind w:left="194"/>
            </w:pPr>
            <w:r>
              <w:rPr>
                <w:spacing w:val="-2"/>
              </w:rPr>
              <w:t>垟村</w:t>
            </w:r>
          </w:p>
        </w:tc>
        <w:tc>
          <w:tcPr>
            <w:tcW w:w="631" w:type="dxa"/>
            <w:textDirection w:val="tbRlV"/>
            <w:vAlign w:val="top"/>
          </w:tcPr>
          <w:p>
            <w:pPr>
              <w:pStyle w:val="6"/>
              <w:spacing w:before="206" w:line="209" w:lineRule="auto"/>
              <w:ind w:left="1607"/>
            </w:pPr>
            <w:r>
              <w:rPr>
                <w:spacing w:val="41"/>
              </w:rPr>
              <w:t>南坑下</w:t>
            </w:r>
          </w:p>
        </w:tc>
        <w:tc>
          <w:tcPr>
            <w:tcW w:w="744"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9" w:line="237" w:lineRule="auto"/>
              <w:ind w:left="127" w:right="102" w:firstLine="44"/>
              <w:jc w:val="both"/>
            </w:pPr>
            <w:r>
              <w:rPr>
                <w:spacing w:val="-5"/>
              </w:rPr>
              <w:t>线路</w:t>
            </w:r>
            <w:r>
              <w:t xml:space="preserve"> </w:t>
            </w:r>
            <w:r>
              <w:rPr>
                <w:spacing w:val="18"/>
              </w:rPr>
              <w:t>七起</w:t>
            </w:r>
            <w:r>
              <w:t xml:space="preserve"> </w:t>
            </w:r>
            <w:r>
              <w:rPr>
                <w:spacing w:val="-31"/>
                <w:w w:val="95"/>
              </w:rPr>
              <w:t>点、景</w:t>
            </w:r>
            <w:r>
              <w:rPr>
                <w:spacing w:val="2"/>
              </w:rPr>
              <w:t xml:space="preserve"> </w:t>
            </w:r>
            <w:r>
              <w:rPr>
                <w:spacing w:val="18"/>
              </w:rPr>
              <w:t>文高</w:t>
            </w:r>
            <w:r>
              <w:t xml:space="preserve"> </w:t>
            </w:r>
            <w:r>
              <w:rPr>
                <w:spacing w:val="18"/>
              </w:rPr>
              <w:t>速西</w:t>
            </w:r>
            <w:r>
              <w:t xml:space="preserve"> </w:t>
            </w:r>
            <w:r>
              <w:rPr>
                <w:spacing w:val="18"/>
              </w:rPr>
              <w:t>坑互</w:t>
            </w:r>
            <w:r>
              <w:t xml:space="preserve"> </w:t>
            </w:r>
            <w:r>
              <w:rPr>
                <w:spacing w:val="32"/>
              </w:rPr>
              <w:t>通</w:t>
            </w:r>
            <w:r>
              <w:rPr>
                <w:rFonts w:ascii="Times New Roman" w:hAnsi="Times New Roman" w:eastAsia="Times New Roman" w:cs="Times New Roman"/>
                <w:spacing w:val="32"/>
              </w:rPr>
              <w:t>A</w:t>
            </w:r>
            <w:r>
              <w:rPr>
                <w:rFonts w:ascii="Times New Roman" w:hAnsi="Times New Roman" w:eastAsia="Times New Roman" w:cs="Times New Roman"/>
              </w:rPr>
              <w:t xml:space="preserve">  </w:t>
            </w:r>
            <w:r>
              <w:rPr>
                <w:spacing w:val="18"/>
              </w:rPr>
              <w:t>闸道</w:t>
            </w:r>
          </w:p>
        </w:tc>
        <w:tc>
          <w:tcPr>
            <w:tcW w:w="540" w:type="dxa"/>
            <w:vAlign w:val="top"/>
          </w:tcPr>
          <w:p>
            <w:pPr>
              <w:spacing w:line="316" w:lineRule="auto"/>
              <w:rPr>
                <w:rFonts w:ascii="Arial"/>
                <w:sz w:val="21"/>
              </w:rPr>
            </w:pPr>
          </w:p>
          <w:p>
            <w:pPr>
              <w:spacing w:line="317" w:lineRule="auto"/>
              <w:rPr>
                <w:rFonts w:ascii="Arial"/>
                <w:sz w:val="21"/>
              </w:rPr>
            </w:pPr>
          </w:p>
          <w:p>
            <w:pPr>
              <w:pStyle w:val="6"/>
              <w:spacing w:before="61" w:line="235" w:lineRule="auto"/>
              <w:ind w:left="113" w:right="37" w:firstLine="42"/>
              <w:jc w:val="both"/>
              <w:rPr>
                <w:rFonts w:ascii="Times New Roman" w:hAnsi="Times New Roman" w:eastAsia="Times New Roman" w:cs="Times New Roman"/>
              </w:rPr>
            </w:pPr>
            <w:r>
              <w:rPr>
                <w:rFonts w:ascii="Times New Roman" w:hAnsi="Times New Roman" w:eastAsia="Times New Roman" w:cs="Times New Roman"/>
                <w:spacing w:val="-2"/>
              </w:rPr>
              <w:t>L1</w:t>
            </w:r>
            <w:r>
              <w:rPr>
                <w:rFonts w:ascii="Times New Roman" w:hAnsi="Times New Roman" w:eastAsia="Times New Roman" w:cs="Times New Roman"/>
              </w:rPr>
              <w:t xml:space="preserve">   </w:t>
            </w:r>
            <w:r>
              <w:rPr>
                <w:rFonts w:ascii="Times New Roman" w:hAnsi="Times New Roman" w:eastAsia="Times New Roman" w:cs="Times New Roman"/>
                <w:spacing w:val="14"/>
              </w:rPr>
              <w:t>K0</w:t>
            </w:r>
            <w:r>
              <w:rPr>
                <w:rFonts w:ascii="Times New Roman" w:hAnsi="Times New Roman" w:eastAsia="Times New Roman" w:cs="Times New Roman"/>
              </w:rPr>
              <w:t xml:space="preserve">   </w:t>
            </w:r>
            <w:r>
              <w:rPr>
                <w:rFonts w:ascii="Times New Roman" w:hAnsi="Times New Roman" w:eastAsia="Times New Roman" w:cs="Times New Roman"/>
                <w:spacing w:val="22"/>
              </w:rPr>
              <w:t>+0</w:t>
            </w:r>
            <w:r>
              <w:rPr>
                <w:rFonts w:ascii="Times New Roman" w:hAnsi="Times New Roman" w:eastAsia="Times New Roman" w:cs="Times New Roman"/>
              </w:rPr>
              <w:t xml:space="preserve">   </w:t>
            </w:r>
            <w:r>
              <w:rPr>
                <w:rFonts w:ascii="Times New Roman" w:hAnsi="Times New Roman" w:eastAsia="Times New Roman" w:cs="Times New Roman"/>
                <w:spacing w:val="-13"/>
              </w:rPr>
              <w:t>00</w:t>
            </w:r>
            <w:r>
              <w:rPr>
                <w:spacing w:val="-13"/>
              </w:rPr>
              <w:t>、</w:t>
            </w:r>
            <w:r>
              <w:rPr>
                <w:spacing w:val="1"/>
              </w:rPr>
              <w:t xml:space="preserve"> </w:t>
            </w:r>
            <w:r>
              <w:rPr>
                <w:rFonts w:ascii="Times New Roman" w:hAnsi="Times New Roman" w:eastAsia="Times New Roman" w:cs="Times New Roman"/>
                <w:spacing w:val="3"/>
              </w:rPr>
              <w:t>AK</w:t>
            </w:r>
            <w:r>
              <w:rPr>
                <w:rFonts w:ascii="Times New Roman" w:hAnsi="Times New Roman" w:eastAsia="Times New Roman" w:cs="Times New Roman"/>
              </w:rPr>
              <w:t xml:space="preserve">  </w:t>
            </w:r>
            <w:r>
              <w:rPr>
                <w:rFonts w:ascii="Times New Roman" w:hAnsi="Times New Roman" w:eastAsia="Times New Roman" w:cs="Times New Roman"/>
                <w:spacing w:val="22"/>
              </w:rPr>
              <w:t>0+</w:t>
            </w:r>
            <w:r>
              <w:rPr>
                <w:rFonts w:ascii="Times New Roman" w:hAnsi="Times New Roman" w:eastAsia="Times New Roman" w:cs="Times New Roman"/>
              </w:rPr>
              <w:t xml:space="preserve">   </w:t>
            </w:r>
            <w:r>
              <w:rPr>
                <w:rFonts w:ascii="Times New Roman" w:hAnsi="Times New Roman" w:eastAsia="Times New Roman" w:cs="Times New Roman"/>
                <w:spacing w:val="-1"/>
              </w:rPr>
              <w:t>100</w:t>
            </w:r>
            <w:r>
              <w:rPr>
                <w:rFonts w:ascii="Times New Roman" w:hAnsi="Times New Roman" w:eastAsia="Times New Roman" w:cs="Times New Roman"/>
              </w:rPr>
              <w:t xml:space="preserve">  </w:t>
            </w:r>
            <w:r>
              <w:rPr>
                <w:rFonts w:ascii="Times New Roman" w:hAnsi="Times New Roman" w:eastAsia="Times New Roman" w:cs="Times New Roman"/>
                <w:spacing w:val="22"/>
              </w:rPr>
              <w:t>-A</w:t>
            </w:r>
            <w:r>
              <w:rPr>
                <w:rFonts w:ascii="Times New Roman" w:hAnsi="Times New Roman" w:eastAsia="Times New Roman" w:cs="Times New Roman"/>
              </w:rPr>
              <w:t xml:space="preserve">   </w:t>
            </w:r>
            <w:r>
              <w:rPr>
                <w:rFonts w:ascii="Times New Roman" w:hAnsi="Times New Roman" w:eastAsia="Times New Roman" w:cs="Times New Roman"/>
                <w:spacing w:val="14"/>
              </w:rPr>
              <w:t>K0</w:t>
            </w:r>
            <w:r>
              <w:rPr>
                <w:rFonts w:ascii="Times New Roman" w:hAnsi="Times New Roman" w:eastAsia="Times New Roman" w:cs="Times New Roman"/>
              </w:rPr>
              <w:t xml:space="preserve">   </w:t>
            </w:r>
            <w:r>
              <w:rPr>
                <w:rFonts w:ascii="Times New Roman" w:hAnsi="Times New Roman" w:eastAsia="Times New Roman" w:cs="Times New Roman"/>
                <w:spacing w:val="22"/>
              </w:rPr>
              <w:t>+2</w:t>
            </w:r>
            <w:r>
              <w:rPr>
                <w:rFonts w:ascii="Times New Roman" w:hAnsi="Times New Roman" w:eastAsia="Times New Roman" w:cs="Times New Roman"/>
              </w:rPr>
              <w:t xml:space="preserve">   </w:t>
            </w:r>
            <w:r>
              <w:rPr>
                <w:rFonts w:ascii="Times New Roman" w:hAnsi="Times New Roman" w:eastAsia="Times New Roman" w:cs="Times New Roman"/>
                <w:spacing w:val="25"/>
              </w:rPr>
              <w:t>00</w:t>
            </w:r>
          </w:p>
        </w:tc>
        <w:tc>
          <w:tcPr>
            <w:tcW w:w="60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8" w:line="221" w:lineRule="auto"/>
              <w:ind w:left="203"/>
            </w:pPr>
            <w:r>
              <w:t>桥</w:t>
            </w:r>
          </w:p>
        </w:tc>
        <w:tc>
          <w:tcPr>
            <w:tcW w:w="605"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1" w:line="187" w:lineRule="auto"/>
              <w:ind w:left="1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EES</w:t>
            </w:r>
          </w:p>
        </w:tc>
        <w:tc>
          <w:tcPr>
            <w:tcW w:w="648"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241"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-25.</w:t>
            </w:r>
          </w:p>
          <w:p>
            <w:pPr>
              <w:spacing w:line="183" w:lineRule="auto"/>
              <w:ind w:left="27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81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8" w:line="233" w:lineRule="auto"/>
              <w:ind w:left="203" w:right="102" w:hanging="88"/>
            </w:pPr>
            <w:r>
              <w:rPr>
                <w:rFonts w:ascii="Times New Roman" w:hAnsi="Times New Roman" w:eastAsia="Times New Roman" w:cs="Times New Roman"/>
                <w:spacing w:val="-11"/>
              </w:rPr>
              <w:t>32</w:t>
            </w:r>
            <w:r>
              <w:rPr>
                <w:spacing w:val="-11"/>
              </w:rPr>
              <w:t>（互</w:t>
            </w:r>
            <w:r>
              <w:rPr>
                <w:spacing w:val="1"/>
              </w:rPr>
              <w:t xml:space="preserve"> </w:t>
            </w:r>
            <w:r>
              <w:rPr>
                <w:spacing w:val="-4"/>
              </w:rPr>
              <w:t>通）</w:t>
            </w:r>
          </w:p>
          <w:p>
            <w:pPr>
              <w:pStyle w:val="6"/>
              <w:spacing w:before="34" w:line="227" w:lineRule="auto"/>
              <w:ind w:left="113" w:right="81" w:firstLine="103"/>
              <w:jc w:val="both"/>
            </w:pPr>
            <w:r>
              <w:rPr>
                <w:rFonts w:ascii="Times New Roman" w:hAnsi="Times New Roman" w:eastAsia="Times New Roman" w:cs="Times New Roman"/>
                <w:spacing w:val="-1"/>
              </w:rPr>
              <w:t xml:space="preserve">/138   </w:t>
            </w:r>
            <w:r>
              <w:rPr>
                <w:spacing w:val="37"/>
              </w:rPr>
              <w:t>（连</w:t>
            </w:r>
            <w:r>
              <w:t xml:space="preserve">  </w:t>
            </w:r>
            <w:r>
              <w:rPr>
                <w:spacing w:val="-7"/>
              </w:rPr>
              <w:t>接线）</w:t>
            </w:r>
          </w:p>
        </w:tc>
        <w:tc>
          <w:tcPr>
            <w:tcW w:w="828"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8" w:line="233" w:lineRule="auto"/>
              <w:ind w:left="209" w:right="110" w:hanging="99"/>
            </w:pPr>
            <w:r>
              <w:rPr>
                <w:rFonts w:ascii="Times New Roman" w:hAnsi="Times New Roman" w:eastAsia="Times New Roman" w:cs="Times New Roman"/>
                <w:spacing w:val="-8"/>
              </w:rPr>
              <w:t>27</w:t>
            </w:r>
            <w:r>
              <w:rPr>
                <w:spacing w:val="-8"/>
              </w:rPr>
              <w:t>（互</w:t>
            </w:r>
            <w:r>
              <w:rPr>
                <w:spacing w:val="2"/>
              </w:rPr>
              <w:t xml:space="preserve"> </w:t>
            </w:r>
            <w:r>
              <w:rPr>
                <w:spacing w:val="-6"/>
              </w:rPr>
              <w:t>通）</w:t>
            </w:r>
          </w:p>
          <w:p>
            <w:pPr>
              <w:pStyle w:val="6"/>
              <w:spacing w:before="34" w:line="227" w:lineRule="auto"/>
              <w:ind w:left="113" w:right="100" w:firstLine="112"/>
              <w:jc w:val="both"/>
            </w:pPr>
            <w:r>
              <w:rPr>
                <w:rFonts w:ascii="Times New Roman" w:hAnsi="Times New Roman" w:eastAsia="Times New Roman" w:cs="Times New Roman"/>
              </w:rPr>
              <w:t xml:space="preserve">/138   </w:t>
            </w:r>
            <w:r>
              <w:rPr>
                <w:spacing w:val="41"/>
              </w:rPr>
              <w:t>（连</w:t>
            </w:r>
            <w:r>
              <w:t xml:space="preserve">  </w:t>
            </w:r>
            <w:r>
              <w:rPr>
                <w:spacing w:val="-7"/>
              </w:rPr>
              <w:t>接线）</w:t>
            </w:r>
          </w:p>
        </w:tc>
        <w:tc>
          <w:tcPr>
            <w:tcW w:w="535"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0" w:line="187" w:lineRule="auto"/>
              <w:ind w:left="23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588"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1" w:line="187"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082"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9" w:line="237" w:lineRule="auto"/>
              <w:ind w:left="129" w:right="113" w:firstLine="103"/>
            </w:pPr>
            <w:r>
              <w:rPr>
                <w:spacing w:val="-2"/>
              </w:rPr>
              <w:t>砖混结</w:t>
            </w:r>
            <w:r>
              <w:t xml:space="preserve">  </w:t>
            </w:r>
            <w:r>
              <w:rPr>
                <w:spacing w:val="-16"/>
              </w:rPr>
              <w:t>构，</w:t>
            </w:r>
            <w:r>
              <w:rPr>
                <w:spacing w:val="17"/>
              </w:rPr>
              <w:t xml:space="preserve"> </w:t>
            </w:r>
            <w:r>
              <w:rPr>
                <w:rFonts w:ascii="Times New Roman" w:hAnsi="Times New Roman" w:eastAsia="Times New Roman" w:cs="Times New Roman"/>
                <w:spacing w:val="-16"/>
              </w:rPr>
              <w:t>1~4</w:t>
            </w:r>
            <w:r>
              <w:rPr>
                <w:rFonts w:ascii="Times New Roman" w:hAnsi="Times New Roman" w:eastAsia="Times New Roman" w:cs="Times New Roman"/>
              </w:rPr>
              <w:t xml:space="preserve">  </w:t>
            </w:r>
            <w:r>
              <w:rPr>
                <w:spacing w:val="-2"/>
              </w:rPr>
              <w:t>层建筑、</w:t>
            </w:r>
            <w:r>
              <w:rPr>
                <w:spacing w:val="1"/>
              </w:rPr>
              <w:t xml:space="preserve"> </w:t>
            </w:r>
            <w:r>
              <w:rPr>
                <w:spacing w:val="-2"/>
              </w:rPr>
              <w:t>背向、侧</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8" w:line="221" w:lineRule="auto"/>
              <w:ind w:left="158"/>
            </w:pPr>
            <w:r>
              <w:rPr>
                <w:spacing w:val="-2"/>
              </w:rPr>
              <w:t>位于景文</w:t>
            </w:r>
          </w:p>
          <w:p>
            <w:pPr>
              <w:pStyle w:val="6"/>
              <w:spacing w:before="19" w:line="221" w:lineRule="auto"/>
              <w:ind w:left="163"/>
            </w:pPr>
            <w:r>
              <w:rPr>
                <w:spacing w:val="-3"/>
              </w:rPr>
              <w:t>高速公路</w:t>
            </w:r>
          </w:p>
          <w:p>
            <w:pPr>
              <w:pStyle w:val="6"/>
              <w:spacing w:before="22" w:line="221" w:lineRule="auto"/>
              <w:ind w:left="161"/>
            </w:pPr>
            <w:r>
              <w:rPr>
                <w:spacing w:val="-5"/>
              </w:rPr>
              <w:t>北侧，与</w:t>
            </w:r>
          </w:p>
          <w:p>
            <w:pPr>
              <w:pStyle w:val="6"/>
              <w:spacing w:before="19" w:line="221" w:lineRule="auto"/>
              <w:ind w:left="157"/>
            </w:pPr>
            <w:r>
              <w:rPr>
                <w:spacing w:val="-1"/>
              </w:rPr>
              <w:t>边界最近</w:t>
            </w:r>
          </w:p>
          <w:p>
            <w:pPr>
              <w:pStyle w:val="6"/>
              <w:spacing w:before="23" w:line="221" w:lineRule="auto"/>
              <w:ind w:left="260"/>
            </w:pPr>
            <w:r>
              <w:rPr>
                <w:spacing w:val="-2"/>
              </w:rPr>
              <w:t>距离约</w:t>
            </w:r>
          </w:p>
          <w:p>
            <w:pPr>
              <w:pStyle w:val="6"/>
              <w:spacing w:before="20" w:line="234" w:lineRule="auto"/>
              <w:ind w:left="119"/>
            </w:pPr>
            <w:r>
              <w:rPr>
                <w:rFonts w:ascii="Times New Roman" w:hAnsi="Times New Roman" w:eastAsia="Times New Roman" w:cs="Times New Roman"/>
                <w:spacing w:val="-16"/>
              </w:rPr>
              <w:t>80m</w:t>
            </w:r>
            <w:r>
              <w:rPr>
                <w:spacing w:val="-16"/>
              </w:rPr>
              <w:t>；现状</w:t>
            </w:r>
          </w:p>
          <w:p>
            <w:pPr>
              <w:pStyle w:val="6"/>
              <w:spacing w:before="7" w:line="221" w:lineRule="auto"/>
              <w:ind w:left="262"/>
            </w:pPr>
            <w:r>
              <w:rPr>
                <w:spacing w:val="-2"/>
              </w:rPr>
              <w:t>有声屏</w:t>
            </w:r>
          </w:p>
          <w:p>
            <w:pPr>
              <w:pStyle w:val="6"/>
              <w:spacing w:before="19" w:line="221" w:lineRule="auto"/>
              <w:ind w:left="377"/>
            </w:pPr>
            <w:r>
              <w:rPr>
                <w:spacing w:val="-12"/>
              </w:rPr>
              <w:t>障。</w:t>
            </w:r>
          </w:p>
        </w:tc>
        <w:tc>
          <w:tcPr>
            <w:tcW w:w="5262" w:type="dxa"/>
            <w:vAlign w:val="top"/>
          </w:tcPr>
          <w:p>
            <w:pPr>
              <w:spacing w:before="96" w:line="3776" w:lineRule="exact"/>
              <w:ind w:firstLine="113"/>
            </w:pPr>
            <w:r>
              <w:rPr>
                <w:position w:val="-75"/>
              </w:rPr>
              <w:drawing>
                <wp:inline distT="0" distB="0" distL="0" distR="0">
                  <wp:extent cx="3197225" cy="23971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06"/>
                          <a:stretch>
                            <a:fillRect/>
                          </a:stretch>
                        </pic:blipFill>
                        <pic:spPr>
                          <a:xfrm>
                            <a:off x="0" y="0"/>
                            <a:ext cx="3197225" cy="2397759"/>
                          </a:xfrm>
                          <a:prstGeom prst="rect">
                            <a:avLst/>
                          </a:prstGeom>
                        </pic:spPr>
                      </pic:pic>
                    </a:graphicData>
                  </a:graphic>
                </wp:inline>
              </w:drawing>
            </w:r>
          </w:p>
        </w:tc>
        <w:tc>
          <w:tcPr>
            <w:tcW w:w="4989"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3754" w:lineRule="exact"/>
              <w:ind w:firstLine="123"/>
            </w:pPr>
            <w:r>
              <w:rPr>
                <w:position w:val="-75"/>
              </w:rPr>
              <w:drawing>
                <wp:inline distT="0" distB="0" distL="0" distR="0">
                  <wp:extent cx="3009900" cy="238315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07"/>
                          <a:stretch>
                            <a:fillRect/>
                          </a:stretch>
                        </pic:blipFill>
                        <pic:spPr>
                          <a:xfrm>
                            <a:off x="0" y="0"/>
                            <a:ext cx="3009900" cy="2383789"/>
                          </a:xfrm>
                          <a:prstGeom prst="rect">
                            <a:avLst/>
                          </a:prstGeom>
                        </pic:spPr>
                      </pic:pic>
                    </a:graphicData>
                  </a:graphic>
                </wp:inline>
              </w:drawing>
            </w:r>
          </w:p>
        </w:tc>
        <w:tc>
          <w:tcPr>
            <w:tcW w:w="595"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8" w:line="221" w:lineRule="auto"/>
              <w:ind w:left="12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0"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3" w:hRule="atLeast"/>
        </w:trPr>
        <w:tc>
          <w:tcPr>
            <w:tcW w:w="391"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b/>
                <w:bCs/>
                <w:sz w:val="21"/>
                <w:szCs w:val="21"/>
              </w:rPr>
              <w:t>2</w:t>
            </w:r>
          </w:p>
        </w:tc>
        <w:tc>
          <w:tcPr>
            <w:tcW w:w="79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38" w:lineRule="auto"/>
              <w:ind w:left="194"/>
            </w:pPr>
            <w:r>
              <w:rPr>
                <w:spacing w:val="-2"/>
              </w:rPr>
              <w:t>文成</w:t>
            </w:r>
          </w:p>
          <w:p>
            <w:pPr>
              <w:pStyle w:val="6"/>
              <w:spacing w:line="222" w:lineRule="auto"/>
              <w:ind w:left="193"/>
            </w:pPr>
            <w:r>
              <w:rPr>
                <w:spacing w:val="-2"/>
              </w:rPr>
              <w:t>县西</w:t>
            </w:r>
          </w:p>
          <w:p>
            <w:pPr>
              <w:pStyle w:val="6"/>
              <w:spacing w:before="20" w:line="221" w:lineRule="auto"/>
              <w:ind w:left="193"/>
            </w:pPr>
            <w:r>
              <w:rPr>
                <w:spacing w:val="-2"/>
              </w:rPr>
              <w:t>坑畲</w:t>
            </w:r>
          </w:p>
          <w:p>
            <w:pPr>
              <w:pStyle w:val="6"/>
              <w:spacing w:before="20" w:line="217" w:lineRule="auto"/>
              <w:ind w:left="192"/>
            </w:pPr>
            <w:r>
              <w:rPr>
                <w:spacing w:val="-2"/>
              </w:rPr>
              <w:t>族镇</w:t>
            </w:r>
          </w:p>
          <w:p>
            <w:pPr>
              <w:pStyle w:val="6"/>
              <w:spacing w:before="27" w:line="221" w:lineRule="auto"/>
              <w:ind w:left="195"/>
            </w:pPr>
            <w:r>
              <w:rPr>
                <w:spacing w:val="-3"/>
              </w:rPr>
              <w:t>南坑</w:t>
            </w:r>
          </w:p>
          <w:p>
            <w:pPr>
              <w:pStyle w:val="6"/>
              <w:spacing w:before="19" w:line="220" w:lineRule="auto"/>
              <w:ind w:left="194"/>
            </w:pPr>
            <w:r>
              <w:rPr>
                <w:spacing w:val="-2"/>
              </w:rPr>
              <w:t>垟村</w:t>
            </w:r>
          </w:p>
        </w:tc>
        <w:tc>
          <w:tcPr>
            <w:tcW w:w="631" w:type="dxa"/>
            <w:textDirection w:val="tbRlV"/>
            <w:vAlign w:val="top"/>
          </w:tcPr>
          <w:p>
            <w:pPr>
              <w:pStyle w:val="6"/>
              <w:spacing w:before="205" w:line="209" w:lineRule="auto"/>
              <w:ind w:left="1469"/>
            </w:pPr>
            <w:r>
              <w:rPr>
                <w:spacing w:val="41"/>
              </w:rPr>
              <w:t>南坑垟</w:t>
            </w:r>
          </w:p>
        </w:tc>
        <w:tc>
          <w:tcPr>
            <w:tcW w:w="74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8" w:line="221" w:lineRule="auto"/>
              <w:ind w:left="174"/>
            </w:pPr>
            <w:r>
              <w:rPr>
                <w:spacing w:val="-3"/>
              </w:rPr>
              <w:t>西坑</w:t>
            </w:r>
          </w:p>
          <w:p>
            <w:pPr>
              <w:pStyle w:val="6"/>
              <w:spacing w:before="21" w:line="228" w:lineRule="auto"/>
              <w:ind w:left="173"/>
            </w:pPr>
            <w:r>
              <w:rPr>
                <w:spacing w:val="-3"/>
              </w:rPr>
              <w:t>互通</w:t>
            </w:r>
          </w:p>
          <w:p>
            <w:pPr>
              <w:pStyle w:val="6"/>
              <w:spacing w:before="11" w:line="221" w:lineRule="auto"/>
              <w:ind w:left="170"/>
            </w:pPr>
            <w:r>
              <w:rPr>
                <w:spacing w:val="-2"/>
              </w:rPr>
              <w:t>连接</w:t>
            </w:r>
          </w:p>
          <w:p>
            <w:pPr>
              <w:pStyle w:val="6"/>
              <w:spacing w:before="22" w:line="221" w:lineRule="auto"/>
              <w:ind w:left="172"/>
            </w:pPr>
            <w:r>
              <w:rPr>
                <w:spacing w:val="-3"/>
              </w:rPr>
              <w:t>线主</w:t>
            </w:r>
          </w:p>
          <w:p>
            <w:pPr>
              <w:pStyle w:val="6"/>
              <w:spacing w:before="20" w:line="221" w:lineRule="auto"/>
              <w:ind w:left="277"/>
            </w:pPr>
            <w:r>
              <w:t>线</w:t>
            </w:r>
          </w:p>
          <w:p>
            <w:pPr>
              <w:spacing w:before="41"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tc>
        <w:tc>
          <w:tcPr>
            <w:tcW w:w="540"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before="60" w:line="234" w:lineRule="auto"/>
              <w:ind w:left="113" w:right="103" w:firstLine="42"/>
              <w:jc w:val="both"/>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00~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9"/>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+5</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5"/>
                <w:sz w:val="21"/>
                <w:szCs w:val="21"/>
              </w:rPr>
              <w:t>00</w:t>
            </w:r>
          </w:p>
        </w:tc>
        <w:tc>
          <w:tcPr>
            <w:tcW w:w="602" w:type="dxa"/>
            <w:textDirection w:val="tbRlV"/>
            <w:vAlign w:val="top"/>
          </w:tcPr>
          <w:p>
            <w:pPr>
              <w:pStyle w:val="6"/>
              <w:spacing w:before="190" w:line="210" w:lineRule="auto"/>
              <w:ind w:left="1332"/>
            </w:pPr>
            <w:r>
              <w:rPr>
                <w:spacing w:val="1"/>
              </w:rPr>
              <w:t>地</w:t>
            </w:r>
            <w:r>
              <w:rPr>
                <w:spacing w:val="-43"/>
              </w:rPr>
              <w:t xml:space="preserve"> </w:t>
            </w:r>
            <w:r>
              <w:rPr>
                <w:spacing w:val="1"/>
              </w:rPr>
              <w:t>面</w:t>
            </w:r>
            <w:r>
              <w:rPr>
                <w:spacing w:val="-45"/>
              </w:rPr>
              <w:t xml:space="preserve"> </w:t>
            </w:r>
            <w:r>
              <w:rPr>
                <w:spacing w:val="1"/>
              </w:rPr>
              <w:t>道</w:t>
            </w:r>
            <w:r>
              <w:rPr>
                <w:spacing w:val="-43"/>
              </w:rPr>
              <w:t xml:space="preserve"> </w:t>
            </w:r>
            <w:r>
              <w:rPr>
                <w:spacing w:val="1"/>
              </w:rPr>
              <w:t>路</w:t>
            </w:r>
          </w:p>
        </w:tc>
        <w:tc>
          <w:tcPr>
            <w:tcW w:w="605"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0" w:line="184"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E</w:t>
            </w:r>
          </w:p>
        </w:tc>
        <w:tc>
          <w:tcPr>
            <w:tcW w:w="648"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1" w:line="214" w:lineRule="auto"/>
              <w:ind w:left="189" w:right="122" w:hanging="5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3"/>
                <w:sz w:val="21"/>
                <w:szCs w:val="21"/>
              </w:rPr>
              <w:t>-35</w:t>
            </w:r>
          </w:p>
        </w:tc>
        <w:tc>
          <w:tcPr>
            <w:tcW w:w="81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0"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828"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0" w:line="187" w:lineRule="auto"/>
              <w:ind w:left="27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162</w:t>
            </w:r>
          </w:p>
        </w:tc>
        <w:tc>
          <w:tcPr>
            <w:tcW w:w="535"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0" w:line="187" w:lineRule="auto"/>
              <w:ind w:left="22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588"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0"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08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36" w:lineRule="auto"/>
              <w:ind w:left="129" w:right="113" w:firstLine="103"/>
            </w:pPr>
            <w:r>
              <w:rPr>
                <w:spacing w:val="-2"/>
              </w:rPr>
              <w:t>砖混结</w:t>
            </w:r>
            <w:r>
              <w:t xml:space="preserve">  </w:t>
            </w:r>
            <w:r>
              <w:rPr>
                <w:spacing w:val="-16"/>
              </w:rPr>
              <w:t>构，</w:t>
            </w:r>
            <w:r>
              <w:rPr>
                <w:spacing w:val="17"/>
              </w:rPr>
              <w:t xml:space="preserve"> </w:t>
            </w:r>
            <w:r>
              <w:rPr>
                <w:rFonts w:ascii="Times New Roman" w:hAnsi="Times New Roman" w:eastAsia="Times New Roman" w:cs="Times New Roman"/>
                <w:spacing w:val="-16"/>
              </w:rPr>
              <w:t>1~5</w:t>
            </w:r>
            <w:r>
              <w:rPr>
                <w:rFonts w:ascii="Times New Roman" w:hAnsi="Times New Roman" w:eastAsia="Times New Roman" w:cs="Times New Roman"/>
              </w:rPr>
              <w:t xml:space="preserve">  </w:t>
            </w:r>
            <w:r>
              <w:rPr>
                <w:spacing w:val="-2"/>
              </w:rPr>
              <w:t>层建筑、</w:t>
            </w:r>
            <w:r>
              <w:rPr>
                <w:spacing w:val="1"/>
              </w:rPr>
              <w:t xml:space="preserve"> </w:t>
            </w:r>
            <w:r>
              <w:rPr>
                <w:spacing w:val="-2"/>
              </w:rPr>
              <w:t>背向、面</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357" w:lineRule="auto"/>
              <w:rPr>
                <w:rFonts w:ascii="Arial"/>
                <w:sz w:val="21"/>
              </w:rPr>
            </w:pPr>
          </w:p>
          <w:p>
            <w:pPr>
              <w:spacing w:line="357" w:lineRule="auto"/>
              <w:rPr>
                <w:rFonts w:ascii="Arial"/>
                <w:sz w:val="21"/>
              </w:rPr>
            </w:pPr>
          </w:p>
          <w:p>
            <w:pPr>
              <w:pStyle w:val="6"/>
              <w:spacing w:before="68" w:line="221" w:lineRule="auto"/>
              <w:ind w:left="158"/>
            </w:pPr>
            <w:r>
              <w:rPr>
                <w:spacing w:val="-2"/>
              </w:rPr>
              <w:t>位于景文</w:t>
            </w:r>
          </w:p>
          <w:p>
            <w:pPr>
              <w:pStyle w:val="6"/>
              <w:spacing w:before="22" w:line="221" w:lineRule="auto"/>
              <w:ind w:left="163"/>
            </w:pPr>
            <w:r>
              <w:rPr>
                <w:spacing w:val="-3"/>
              </w:rPr>
              <w:t>高速公路</w:t>
            </w:r>
          </w:p>
          <w:p>
            <w:pPr>
              <w:pStyle w:val="6"/>
              <w:spacing w:before="19" w:line="221" w:lineRule="auto"/>
              <w:ind w:left="161"/>
            </w:pPr>
            <w:r>
              <w:rPr>
                <w:spacing w:val="-5"/>
              </w:rPr>
              <w:t>北侧，与</w:t>
            </w:r>
          </w:p>
          <w:p>
            <w:pPr>
              <w:pStyle w:val="6"/>
              <w:spacing w:before="22" w:line="221" w:lineRule="auto"/>
              <w:ind w:left="157"/>
            </w:pPr>
            <w:r>
              <w:rPr>
                <w:spacing w:val="-1"/>
              </w:rPr>
              <w:t>边界最近</w:t>
            </w:r>
          </w:p>
          <w:p>
            <w:pPr>
              <w:pStyle w:val="6"/>
              <w:spacing w:before="20" w:line="221" w:lineRule="auto"/>
              <w:ind w:left="260"/>
            </w:pPr>
            <w:r>
              <w:rPr>
                <w:spacing w:val="-2"/>
              </w:rPr>
              <w:t>距离约</w:t>
            </w:r>
          </w:p>
          <w:p>
            <w:pPr>
              <w:pStyle w:val="6"/>
              <w:spacing w:before="22" w:line="235" w:lineRule="auto"/>
              <w:ind w:left="129"/>
            </w:pPr>
            <w:r>
              <w:rPr>
                <w:rFonts w:ascii="Times New Roman" w:hAnsi="Times New Roman" w:eastAsia="Times New Roman" w:cs="Times New Roman"/>
                <w:spacing w:val="-2"/>
              </w:rPr>
              <w:t>305m</w:t>
            </w:r>
            <w:r>
              <w:rPr>
                <w:spacing w:val="-2"/>
              </w:rPr>
              <w:t>；现</w:t>
            </w:r>
          </w:p>
          <w:p>
            <w:pPr>
              <w:pStyle w:val="6"/>
              <w:spacing w:before="3" w:line="231" w:lineRule="auto"/>
              <w:ind w:left="377" w:right="142" w:hanging="219"/>
            </w:pPr>
            <w:r>
              <w:rPr>
                <w:spacing w:val="-2"/>
              </w:rPr>
              <w:t>状有声屏</w:t>
            </w:r>
            <w:r>
              <w:rPr>
                <w:spacing w:val="1"/>
              </w:rPr>
              <w:t xml:space="preserve"> </w:t>
            </w:r>
            <w:r>
              <w:rPr>
                <w:spacing w:val="-12"/>
              </w:rPr>
              <w:t>障。</w:t>
            </w:r>
          </w:p>
        </w:tc>
        <w:tc>
          <w:tcPr>
            <w:tcW w:w="5262" w:type="dxa"/>
            <w:vAlign w:val="top"/>
          </w:tcPr>
          <w:p>
            <w:pPr>
              <w:spacing w:line="3682" w:lineRule="exact"/>
              <w:ind w:firstLine="168"/>
            </w:pPr>
            <w:r>
              <w:rPr>
                <w:position w:val="-73"/>
              </w:rPr>
              <w:drawing>
                <wp:inline distT="0" distB="0" distL="0" distR="0">
                  <wp:extent cx="3124835" cy="233807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08"/>
                          <a:stretch>
                            <a:fillRect/>
                          </a:stretch>
                        </pic:blipFill>
                        <pic:spPr>
                          <a:xfrm>
                            <a:off x="0" y="0"/>
                            <a:ext cx="3125469" cy="2338704"/>
                          </a:xfrm>
                          <a:prstGeom prst="rect">
                            <a:avLst/>
                          </a:prstGeom>
                        </pic:spPr>
                      </pic:pic>
                    </a:graphicData>
                  </a:graphic>
                </wp:inline>
              </w:drawing>
            </w:r>
          </w:p>
        </w:tc>
        <w:tc>
          <w:tcPr>
            <w:tcW w:w="4989" w:type="dxa"/>
            <w:vMerge w:val="continue"/>
            <w:tcBorders>
              <w:top w:val="nil"/>
            </w:tcBorders>
            <w:vAlign w:val="top"/>
          </w:tcPr>
          <w:p>
            <w:pPr>
              <w:rPr>
                <w:rFonts w:ascii="Arial"/>
                <w:sz w:val="21"/>
              </w:rPr>
            </w:pPr>
          </w:p>
        </w:tc>
        <w:tc>
          <w:tcPr>
            <w:tcW w:w="595"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8" w:line="221" w:lineRule="auto"/>
              <w:ind w:left="12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1"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bl>
    <w:p>
      <w:pPr>
        <w:pStyle w:val="2"/>
      </w:pPr>
    </w:p>
    <w:p>
      <w:pPr>
        <w:sectPr>
          <w:headerReference r:id="rId84" w:type="default"/>
          <w:footerReference r:id="rId85" w:type="default"/>
          <w:pgSz w:w="23813" w:h="16839"/>
          <w:pgMar w:top="1118" w:right="1231" w:bottom="1184" w:left="1233" w:header="879" w:footer="1024" w:gutter="0"/>
          <w:cols w:space="720" w:num="1"/>
        </w:sectPr>
      </w:pPr>
    </w:p>
    <w:p>
      <w:pPr>
        <w:spacing w:before="104"/>
      </w:pPr>
    </w:p>
    <w:tbl>
      <w:tblPr>
        <w:tblStyle w:val="5"/>
        <w:tblW w:w="213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1"/>
        <w:gridCol w:w="792"/>
        <w:gridCol w:w="631"/>
        <w:gridCol w:w="744"/>
        <w:gridCol w:w="540"/>
        <w:gridCol w:w="602"/>
        <w:gridCol w:w="605"/>
        <w:gridCol w:w="648"/>
        <w:gridCol w:w="812"/>
        <w:gridCol w:w="828"/>
        <w:gridCol w:w="535"/>
        <w:gridCol w:w="588"/>
        <w:gridCol w:w="1082"/>
        <w:gridCol w:w="1140"/>
        <w:gridCol w:w="5262"/>
        <w:gridCol w:w="4989"/>
        <w:gridCol w:w="595"/>
        <w:gridCol w:w="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91" w:type="dxa"/>
            <w:vMerge w:val="restart"/>
            <w:tcBorders>
              <w:bottom w:val="nil"/>
            </w:tcBorders>
            <w:textDirection w:val="tbRlV"/>
            <w:vAlign w:val="top"/>
          </w:tcPr>
          <w:p>
            <w:pPr>
              <w:pStyle w:val="6"/>
              <w:spacing w:before="105" w:line="211" w:lineRule="auto"/>
              <w:ind w:left="982"/>
            </w:pPr>
            <w:r>
              <w:rPr>
                <w:spacing w:val="31"/>
              </w:rPr>
              <w:t>序号</w:t>
            </w:r>
          </w:p>
        </w:tc>
        <w:tc>
          <w:tcPr>
            <w:tcW w:w="792"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96"/>
            </w:pPr>
            <w:r>
              <w:rPr>
                <w:spacing w:val="-3"/>
              </w:rPr>
              <w:t>行政</w:t>
            </w:r>
          </w:p>
          <w:p>
            <w:pPr>
              <w:pStyle w:val="6"/>
              <w:spacing w:line="220" w:lineRule="auto"/>
              <w:ind w:left="208"/>
            </w:pPr>
            <w:r>
              <w:rPr>
                <w:spacing w:val="-6"/>
              </w:rPr>
              <w:t>区域</w:t>
            </w:r>
          </w:p>
        </w:tc>
        <w:tc>
          <w:tcPr>
            <w:tcW w:w="631" w:type="dxa"/>
            <w:vMerge w:val="restart"/>
            <w:tcBorders>
              <w:bottom w:val="nil"/>
            </w:tcBorders>
            <w:textDirection w:val="tbRlV"/>
            <w:vAlign w:val="top"/>
          </w:tcPr>
          <w:p>
            <w:pPr>
              <w:pStyle w:val="6"/>
              <w:spacing w:before="205" w:line="210" w:lineRule="auto"/>
              <w:ind w:left="29"/>
            </w:pPr>
            <w:r>
              <w:rPr>
                <w:spacing w:val="19"/>
                <w:w w:val="117"/>
              </w:rPr>
              <w:t>声环境保护目标名称</w:t>
            </w:r>
          </w:p>
        </w:tc>
        <w:tc>
          <w:tcPr>
            <w:tcW w:w="744"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69"/>
            </w:pPr>
            <w:r>
              <w:rPr>
                <w:spacing w:val="-2"/>
              </w:rPr>
              <w:t>所在</w:t>
            </w:r>
          </w:p>
          <w:p>
            <w:pPr>
              <w:pStyle w:val="6"/>
              <w:spacing w:line="220" w:lineRule="auto"/>
              <w:ind w:left="171"/>
            </w:pPr>
            <w:r>
              <w:rPr>
                <w:spacing w:val="-2"/>
              </w:rPr>
              <w:t>路段</w:t>
            </w:r>
          </w:p>
        </w:tc>
        <w:tc>
          <w:tcPr>
            <w:tcW w:w="540" w:type="dxa"/>
            <w:vMerge w:val="restart"/>
            <w:tcBorders>
              <w:bottom w:val="nil"/>
            </w:tcBorders>
            <w:textDirection w:val="tbRlV"/>
            <w:vAlign w:val="top"/>
          </w:tcPr>
          <w:p>
            <w:pPr>
              <w:pStyle w:val="6"/>
              <w:spacing w:before="160" w:line="210" w:lineRule="auto"/>
              <w:ind w:left="709"/>
            </w:pPr>
            <w:r>
              <w:rPr>
                <w:spacing w:val="1"/>
              </w:rPr>
              <w:t>里</w:t>
            </w:r>
            <w:r>
              <w:rPr>
                <w:spacing w:val="-43"/>
              </w:rPr>
              <w:t xml:space="preserve"> </w:t>
            </w:r>
            <w:r>
              <w:rPr>
                <w:spacing w:val="1"/>
              </w:rPr>
              <w:t>程</w:t>
            </w:r>
            <w:r>
              <w:rPr>
                <w:spacing w:val="-45"/>
              </w:rPr>
              <w:t xml:space="preserve"> </w:t>
            </w:r>
            <w:r>
              <w:rPr>
                <w:spacing w:val="1"/>
              </w:rPr>
              <w:t>范</w:t>
            </w:r>
            <w:r>
              <w:rPr>
                <w:spacing w:val="-43"/>
              </w:rPr>
              <w:t xml:space="preserve"> </w:t>
            </w:r>
            <w:r>
              <w:rPr>
                <w:spacing w:val="1"/>
              </w:rPr>
              <w:t>围</w:t>
            </w:r>
          </w:p>
        </w:tc>
        <w:tc>
          <w:tcPr>
            <w:tcW w:w="602" w:type="dxa"/>
            <w:vMerge w:val="restart"/>
            <w:tcBorders>
              <w:bottom w:val="nil"/>
            </w:tcBorders>
            <w:textDirection w:val="tbRlV"/>
            <w:vAlign w:val="top"/>
          </w:tcPr>
          <w:p>
            <w:pPr>
              <w:pStyle w:val="6"/>
              <w:spacing w:before="190" w:line="207" w:lineRule="auto"/>
              <w:ind w:left="709"/>
            </w:pPr>
            <w:r>
              <w:rPr>
                <w:spacing w:val="1"/>
              </w:rPr>
              <w:t>线</w:t>
            </w:r>
            <w:r>
              <w:rPr>
                <w:spacing w:val="-43"/>
              </w:rPr>
              <w:t xml:space="preserve"> </w:t>
            </w:r>
            <w:r>
              <w:rPr>
                <w:spacing w:val="1"/>
              </w:rPr>
              <w:t>路</w:t>
            </w:r>
            <w:r>
              <w:rPr>
                <w:spacing w:val="-45"/>
              </w:rPr>
              <w:t xml:space="preserve"> </w:t>
            </w:r>
            <w:r>
              <w:rPr>
                <w:spacing w:val="1"/>
              </w:rPr>
              <w:t>形</w:t>
            </w:r>
            <w:r>
              <w:rPr>
                <w:spacing w:val="-43"/>
              </w:rPr>
              <w:t xml:space="preserve"> </w:t>
            </w:r>
            <w:r>
              <w:rPr>
                <w:spacing w:val="1"/>
              </w:rPr>
              <w:t>式</w:t>
            </w:r>
          </w:p>
        </w:tc>
        <w:tc>
          <w:tcPr>
            <w:tcW w:w="605" w:type="dxa"/>
            <w:vMerge w:val="restart"/>
            <w:tcBorders>
              <w:bottom w:val="nil"/>
            </w:tcBorders>
            <w:textDirection w:val="tbRlV"/>
            <w:vAlign w:val="top"/>
          </w:tcPr>
          <w:p>
            <w:pPr>
              <w:pStyle w:val="6"/>
              <w:spacing w:before="191" w:line="210" w:lineRule="auto"/>
              <w:ind w:left="982"/>
            </w:pPr>
            <w:r>
              <w:rPr>
                <w:spacing w:val="31"/>
              </w:rPr>
              <w:t>方位</w:t>
            </w:r>
          </w:p>
        </w:tc>
        <w:tc>
          <w:tcPr>
            <w:tcW w:w="648" w:type="dxa"/>
            <w:vMerge w:val="restart"/>
            <w:tcBorders>
              <w:bottom w:val="nil"/>
            </w:tcBorders>
            <w:vAlign w:val="top"/>
          </w:tcPr>
          <w:p>
            <w:pPr>
              <w:spacing w:line="245" w:lineRule="auto"/>
              <w:rPr>
                <w:rFonts w:ascii="Arial"/>
                <w:sz w:val="21"/>
              </w:rPr>
            </w:pPr>
          </w:p>
          <w:p>
            <w:pPr>
              <w:pStyle w:val="6"/>
              <w:spacing w:before="68" w:line="236" w:lineRule="auto"/>
              <w:ind w:left="120" w:right="109" w:firstLine="3"/>
              <w:jc w:val="both"/>
              <w:rPr>
                <w:rFonts w:ascii="Times New Roman" w:hAnsi="Times New Roman" w:eastAsia="Times New Roman" w:cs="Times New Roman"/>
              </w:rPr>
            </w:pPr>
            <w:r>
              <w:rPr>
                <w:spacing w:val="-6"/>
              </w:rPr>
              <w:t>声环</w:t>
            </w:r>
            <w:r>
              <w:t xml:space="preserve"> </w:t>
            </w:r>
            <w:r>
              <w:rPr>
                <w:spacing w:val="-4"/>
              </w:rPr>
              <w:t>境保</w:t>
            </w:r>
            <w:r>
              <w:t xml:space="preserve"> </w:t>
            </w:r>
            <w:r>
              <w:rPr>
                <w:spacing w:val="-4"/>
              </w:rPr>
              <w:t>护目</w:t>
            </w:r>
            <w:r>
              <w:t xml:space="preserve"> </w:t>
            </w:r>
            <w:r>
              <w:rPr>
                <w:spacing w:val="-4"/>
              </w:rPr>
              <w:t>标与</w:t>
            </w:r>
            <w:r>
              <w:t xml:space="preserve"> </w:t>
            </w:r>
            <w:r>
              <w:rPr>
                <w:spacing w:val="-4"/>
              </w:rPr>
              <w:t>路面</w:t>
            </w:r>
            <w:r>
              <w:t xml:space="preserve"> </w:t>
            </w:r>
            <w:r>
              <w:rPr>
                <w:spacing w:val="-4"/>
              </w:rPr>
              <w:t>高差</w:t>
            </w:r>
            <w:r>
              <w:t xml:space="preserve"> </w:t>
            </w:r>
            <w:r>
              <w:rPr>
                <w:rFonts w:ascii="Times New Roman" w:hAnsi="Times New Roman" w:eastAsia="Times New Roman" w:cs="Times New Roman"/>
                <w:spacing w:val="17"/>
              </w:rPr>
              <w:t>(m)</w:t>
            </w:r>
          </w:p>
        </w:tc>
        <w:tc>
          <w:tcPr>
            <w:tcW w:w="812"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41" w:lineRule="auto"/>
              <w:ind w:left="202"/>
            </w:pPr>
            <w:r>
              <w:rPr>
                <w:spacing w:val="-2"/>
              </w:rPr>
              <w:t>距道</w:t>
            </w:r>
          </w:p>
          <w:p>
            <w:pPr>
              <w:pStyle w:val="6"/>
              <w:spacing w:line="220" w:lineRule="auto"/>
              <w:ind w:left="205"/>
            </w:pPr>
            <w:r>
              <w:rPr>
                <w:spacing w:val="-2"/>
              </w:rPr>
              <w:t>路中</w:t>
            </w:r>
          </w:p>
          <w:p>
            <w:pPr>
              <w:pStyle w:val="6"/>
              <w:spacing w:before="19" w:line="221" w:lineRule="auto"/>
              <w:ind w:left="210"/>
            </w:pPr>
            <w:r>
              <w:rPr>
                <w:spacing w:val="-4"/>
              </w:rPr>
              <w:t>心线</w:t>
            </w:r>
          </w:p>
          <w:p>
            <w:pPr>
              <w:pStyle w:val="6"/>
              <w:spacing w:before="20" w:line="221" w:lineRule="auto"/>
              <w:ind w:left="202"/>
            </w:pPr>
            <w:r>
              <w:rPr>
                <w:spacing w:val="-2"/>
              </w:rPr>
              <w:t>距离</w:t>
            </w:r>
          </w:p>
          <w:p>
            <w:pPr>
              <w:spacing w:before="43" w:line="191"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828" w:type="dxa"/>
            <w:vMerge w:val="restart"/>
            <w:tcBorders>
              <w:bottom w:val="nil"/>
            </w:tcBorders>
            <w:vAlign w:val="top"/>
          </w:tcPr>
          <w:p>
            <w:pPr>
              <w:spacing w:line="252" w:lineRule="auto"/>
              <w:rPr>
                <w:rFonts w:ascii="Arial"/>
                <w:sz w:val="21"/>
              </w:rPr>
            </w:pPr>
          </w:p>
          <w:p>
            <w:pPr>
              <w:spacing w:line="253" w:lineRule="auto"/>
              <w:rPr>
                <w:rFonts w:ascii="Arial"/>
                <w:sz w:val="21"/>
              </w:rPr>
            </w:pPr>
          </w:p>
          <w:p>
            <w:pPr>
              <w:pStyle w:val="6"/>
              <w:spacing w:before="68" w:line="234" w:lineRule="auto"/>
              <w:ind w:left="116" w:right="102" w:firstLine="92"/>
              <w:jc w:val="both"/>
              <w:rPr>
                <w:rFonts w:ascii="Times New Roman" w:hAnsi="Times New Roman" w:eastAsia="Times New Roman" w:cs="Times New Roman"/>
              </w:rPr>
            </w:pPr>
            <w:r>
              <w:rPr>
                <w:spacing w:val="-3"/>
              </w:rPr>
              <w:t>距道</w:t>
            </w:r>
            <w:r>
              <w:t xml:space="preserve">  </w:t>
            </w:r>
            <w:r>
              <w:rPr>
                <w:spacing w:val="43"/>
              </w:rPr>
              <w:t>路边</w:t>
            </w:r>
            <w:r>
              <w:t xml:space="preserve">  </w:t>
            </w:r>
            <w:r>
              <w:rPr>
                <w:spacing w:val="-9"/>
              </w:rPr>
              <w:t>界（红</w:t>
            </w:r>
            <w:r>
              <w:t xml:space="preserve"> </w:t>
            </w:r>
            <w:r>
              <w:rPr>
                <w:spacing w:val="-24"/>
              </w:rPr>
              <w:t>线）</w:t>
            </w:r>
            <w:r>
              <w:rPr>
                <w:spacing w:val="-61"/>
              </w:rPr>
              <w:t xml:space="preserve"> </w:t>
            </w:r>
            <w:r>
              <w:rPr>
                <w:spacing w:val="-24"/>
              </w:rPr>
              <w:t>距</w:t>
            </w:r>
            <w:r>
              <w:t xml:space="preserve"> </w:t>
            </w:r>
            <w:r>
              <w:rPr>
                <w:spacing w:val="10"/>
              </w:rPr>
              <w:t>离</w:t>
            </w:r>
            <w:r>
              <w:rPr>
                <w:rFonts w:ascii="Times New Roman" w:hAnsi="Times New Roman" w:eastAsia="Times New Roman" w:cs="Times New Roman"/>
                <w:spacing w:val="10"/>
              </w:rPr>
              <w:t>(m)</w:t>
            </w:r>
          </w:p>
        </w:tc>
        <w:tc>
          <w:tcPr>
            <w:tcW w:w="1123" w:type="dxa"/>
            <w:gridSpan w:val="2"/>
            <w:vAlign w:val="top"/>
          </w:tcPr>
          <w:p>
            <w:pPr>
              <w:pStyle w:val="6"/>
              <w:spacing w:before="29" w:line="222" w:lineRule="auto"/>
              <w:ind w:left="151"/>
            </w:pPr>
            <w:r>
              <w:rPr>
                <w:spacing w:val="-3"/>
              </w:rPr>
              <w:t>不同功能</w:t>
            </w:r>
          </w:p>
          <w:p>
            <w:pPr>
              <w:pStyle w:val="6"/>
              <w:spacing w:before="18" w:line="209" w:lineRule="auto"/>
              <w:ind w:left="269"/>
            </w:pPr>
            <w:r>
              <w:rPr>
                <w:spacing w:val="-7"/>
              </w:rPr>
              <w:t>区户数</w:t>
            </w:r>
          </w:p>
        </w:tc>
        <w:tc>
          <w:tcPr>
            <w:tcW w:w="2222" w:type="dxa"/>
            <w:gridSpan w:val="2"/>
            <w:vAlign w:val="top"/>
          </w:tcPr>
          <w:p>
            <w:pPr>
              <w:pStyle w:val="6"/>
              <w:spacing w:before="29" w:line="224" w:lineRule="auto"/>
              <w:ind w:left="911" w:right="159" w:hanging="735"/>
            </w:pPr>
            <w:r>
              <w:rPr>
                <w:spacing w:val="-1"/>
              </w:rPr>
              <w:t>声环境保护目标情况</w:t>
            </w:r>
            <w:r>
              <w:t xml:space="preserve"> </w:t>
            </w:r>
            <w:r>
              <w:rPr>
                <w:spacing w:val="-3"/>
              </w:rPr>
              <w:t>说明</w:t>
            </w:r>
          </w:p>
        </w:tc>
        <w:tc>
          <w:tcPr>
            <w:tcW w:w="526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2009"/>
            </w:pPr>
            <w:r>
              <w:rPr>
                <w:spacing w:val="-1"/>
              </w:rPr>
              <w:t>保护目标照片</w:t>
            </w:r>
          </w:p>
        </w:tc>
        <w:tc>
          <w:tcPr>
            <w:tcW w:w="4989"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1769"/>
            </w:pPr>
            <w:r>
              <w:rPr>
                <w:spacing w:val="-1"/>
              </w:rPr>
              <w:t>保护目标地形图</w:t>
            </w:r>
          </w:p>
        </w:tc>
        <w:tc>
          <w:tcPr>
            <w:tcW w:w="1154" w:type="dxa"/>
            <w:gridSpan w:val="2"/>
            <w:vAlign w:val="top"/>
          </w:tcPr>
          <w:p>
            <w:pPr>
              <w:pStyle w:val="6"/>
              <w:spacing w:before="163" w:line="221" w:lineRule="auto"/>
              <w:ind w:left="166"/>
            </w:pPr>
            <w:r>
              <w:rPr>
                <w:spacing w:val="-2"/>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9" w:hRule="atLeast"/>
        </w:trPr>
        <w:tc>
          <w:tcPr>
            <w:tcW w:w="391" w:type="dxa"/>
            <w:vMerge w:val="continue"/>
            <w:tcBorders>
              <w:top w:val="nil"/>
            </w:tcBorders>
            <w:textDirection w:val="tbRlV"/>
            <w:vAlign w:val="top"/>
          </w:tcPr>
          <w:p>
            <w:pPr>
              <w:rPr>
                <w:rFonts w:ascii="Arial"/>
                <w:sz w:val="21"/>
              </w:rPr>
            </w:pPr>
          </w:p>
        </w:tc>
        <w:tc>
          <w:tcPr>
            <w:tcW w:w="792" w:type="dxa"/>
            <w:vMerge w:val="continue"/>
            <w:tcBorders>
              <w:top w:val="nil"/>
            </w:tcBorders>
            <w:vAlign w:val="top"/>
          </w:tcPr>
          <w:p>
            <w:pPr>
              <w:rPr>
                <w:rFonts w:ascii="Arial"/>
                <w:sz w:val="21"/>
              </w:rPr>
            </w:pPr>
          </w:p>
        </w:tc>
        <w:tc>
          <w:tcPr>
            <w:tcW w:w="631" w:type="dxa"/>
            <w:vMerge w:val="continue"/>
            <w:tcBorders>
              <w:top w:val="nil"/>
            </w:tcBorders>
            <w:textDirection w:val="tbRlV"/>
            <w:vAlign w:val="top"/>
          </w:tcPr>
          <w:p>
            <w:pPr>
              <w:rPr>
                <w:rFonts w:ascii="Arial"/>
                <w:sz w:val="21"/>
              </w:rPr>
            </w:pPr>
          </w:p>
        </w:tc>
        <w:tc>
          <w:tcPr>
            <w:tcW w:w="744" w:type="dxa"/>
            <w:vMerge w:val="continue"/>
            <w:tcBorders>
              <w:top w:val="nil"/>
            </w:tcBorders>
            <w:vAlign w:val="top"/>
          </w:tcPr>
          <w:p>
            <w:pPr>
              <w:rPr>
                <w:rFonts w:ascii="Arial"/>
                <w:sz w:val="21"/>
              </w:rPr>
            </w:pPr>
          </w:p>
        </w:tc>
        <w:tc>
          <w:tcPr>
            <w:tcW w:w="540" w:type="dxa"/>
            <w:vMerge w:val="continue"/>
            <w:tcBorders>
              <w:top w:val="nil"/>
            </w:tcBorders>
            <w:textDirection w:val="tbRlV"/>
            <w:vAlign w:val="top"/>
          </w:tcPr>
          <w:p>
            <w:pPr>
              <w:rPr>
                <w:rFonts w:ascii="Arial"/>
                <w:sz w:val="21"/>
              </w:rPr>
            </w:pPr>
          </w:p>
        </w:tc>
        <w:tc>
          <w:tcPr>
            <w:tcW w:w="602" w:type="dxa"/>
            <w:vMerge w:val="continue"/>
            <w:tcBorders>
              <w:top w:val="nil"/>
            </w:tcBorders>
            <w:textDirection w:val="tbRlV"/>
            <w:vAlign w:val="top"/>
          </w:tcPr>
          <w:p>
            <w:pPr>
              <w:rPr>
                <w:rFonts w:ascii="Arial"/>
                <w:sz w:val="21"/>
              </w:rPr>
            </w:pPr>
          </w:p>
        </w:tc>
        <w:tc>
          <w:tcPr>
            <w:tcW w:w="605" w:type="dxa"/>
            <w:vMerge w:val="continue"/>
            <w:tcBorders>
              <w:top w:val="nil"/>
            </w:tcBorders>
            <w:textDirection w:val="tbRlV"/>
            <w:vAlign w:val="top"/>
          </w:tcPr>
          <w:p>
            <w:pPr>
              <w:rPr>
                <w:rFonts w:ascii="Arial"/>
                <w:sz w:val="21"/>
              </w:rPr>
            </w:pPr>
          </w:p>
        </w:tc>
        <w:tc>
          <w:tcPr>
            <w:tcW w:w="648"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828" w:type="dxa"/>
            <w:vMerge w:val="continue"/>
            <w:tcBorders>
              <w:top w:val="nil"/>
            </w:tcBorders>
            <w:vAlign w:val="top"/>
          </w:tcPr>
          <w:p>
            <w:pPr>
              <w:rPr>
                <w:rFonts w:ascii="Arial"/>
                <w:sz w:val="21"/>
              </w:rPr>
            </w:pPr>
          </w:p>
        </w:tc>
        <w:tc>
          <w:tcPr>
            <w:tcW w:w="535" w:type="dxa"/>
            <w:vAlign w:val="top"/>
          </w:tcPr>
          <w:p>
            <w:pPr>
              <w:spacing w:line="339" w:lineRule="auto"/>
              <w:rPr>
                <w:rFonts w:ascii="Arial"/>
                <w:sz w:val="21"/>
              </w:rPr>
            </w:pPr>
          </w:p>
          <w:p>
            <w:pPr>
              <w:spacing w:line="339" w:lineRule="auto"/>
              <w:rPr>
                <w:rFonts w:ascii="Arial"/>
                <w:sz w:val="21"/>
              </w:rPr>
            </w:pPr>
          </w:p>
          <w:p>
            <w:pPr>
              <w:spacing w:before="61" w:line="21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p>
            <w:pPr>
              <w:pStyle w:val="6"/>
              <w:spacing w:line="220" w:lineRule="auto"/>
              <w:ind w:left="169"/>
            </w:pPr>
            <w:r>
              <w:t>类</w:t>
            </w:r>
          </w:p>
        </w:tc>
        <w:tc>
          <w:tcPr>
            <w:tcW w:w="588"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11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082" w:type="dxa"/>
            <w:vAlign w:val="top"/>
          </w:tcPr>
          <w:p>
            <w:pPr>
              <w:spacing w:line="363" w:lineRule="auto"/>
              <w:rPr>
                <w:rFonts w:ascii="Arial"/>
                <w:sz w:val="21"/>
              </w:rPr>
            </w:pPr>
          </w:p>
          <w:p>
            <w:pPr>
              <w:pStyle w:val="6"/>
              <w:spacing w:before="68" w:line="221" w:lineRule="auto"/>
              <w:ind w:left="234"/>
            </w:pPr>
            <w:r>
              <w:rPr>
                <w:spacing w:val="-2"/>
              </w:rPr>
              <w:t>建筑结</w:t>
            </w:r>
          </w:p>
          <w:p>
            <w:pPr>
              <w:pStyle w:val="6"/>
              <w:spacing w:before="18" w:line="221" w:lineRule="auto"/>
              <w:jc w:val="right"/>
            </w:pPr>
            <w:r>
              <w:rPr>
                <w:spacing w:val="-24"/>
              </w:rPr>
              <w:t>构、朝向、</w:t>
            </w:r>
          </w:p>
          <w:p>
            <w:pPr>
              <w:pStyle w:val="6"/>
              <w:spacing w:before="22" w:line="218" w:lineRule="auto"/>
              <w:ind w:left="128"/>
            </w:pPr>
            <w:r>
              <w:rPr>
                <w:spacing w:val="-2"/>
              </w:rPr>
              <w:t>楼层、窗</w:t>
            </w:r>
          </w:p>
          <w:p>
            <w:pPr>
              <w:pStyle w:val="6"/>
              <w:spacing w:before="23" w:line="221" w:lineRule="auto"/>
              <w:ind w:left="444"/>
            </w:pPr>
            <w:r>
              <w:t>户</w:t>
            </w:r>
          </w:p>
        </w:tc>
        <w:tc>
          <w:tcPr>
            <w:tcW w:w="1140" w:type="dxa"/>
            <w:vAlign w:val="top"/>
          </w:tcPr>
          <w:p>
            <w:pPr>
              <w:spacing w:line="316" w:lineRule="auto"/>
              <w:rPr>
                <w:rFonts w:ascii="Arial"/>
                <w:sz w:val="21"/>
              </w:rPr>
            </w:pPr>
          </w:p>
          <w:p>
            <w:pPr>
              <w:spacing w:line="316" w:lineRule="auto"/>
              <w:rPr>
                <w:rFonts w:ascii="Arial"/>
                <w:sz w:val="21"/>
              </w:rPr>
            </w:pPr>
          </w:p>
          <w:p>
            <w:pPr>
              <w:pStyle w:val="6"/>
              <w:spacing w:before="68" w:line="231" w:lineRule="auto"/>
              <w:ind w:left="367" w:right="142" w:hanging="208"/>
            </w:pPr>
            <w:r>
              <w:rPr>
                <w:spacing w:val="-2"/>
              </w:rPr>
              <w:t>周边环境</w:t>
            </w:r>
            <w:r>
              <w:t xml:space="preserve"> </w:t>
            </w:r>
            <w:r>
              <w:rPr>
                <w:spacing w:val="-2"/>
              </w:rPr>
              <w:t>情况</w:t>
            </w:r>
          </w:p>
        </w:tc>
        <w:tc>
          <w:tcPr>
            <w:tcW w:w="5262" w:type="dxa"/>
            <w:vMerge w:val="continue"/>
            <w:tcBorders>
              <w:top w:val="nil"/>
            </w:tcBorders>
            <w:vAlign w:val="top"/>
          </w:tcPr>
          <w:p>
            <w:pPr>
              <w:rPr>
                <w:rFonts w:ascii="Arial"/>
                <w:sz w:val="21"/>
              </w:rPr>
            </w:pPr>
          </w:p>
        </w:tc>
        <w:tc>
          <w:tcPr>
            <w:tcW w:w="4989" w:type="dxa"/>
            <w:vMerge w:val="continue"/>
            <w:tcBorders>
              <w:top w:val="nil"/>
            </w:tcBorders>
            <w:vAlign w:val="top"/>
          </w:tcPr>
          <w:p>
            <w:pPr>
              <w:rPr>
                <w:rFonts w:ascii="Arial"/>
                <w:sz w:val="21"/>
              </w:rPr>
            </w:pPr>
          </w:p>
        </w:tc>
        <w:tc>
          <w:tcPr>
            <w:tcW w:w="595" w:type="dxa"/>
            <w:vAlign w:val="top"/>
          </w:tcPr>
          <w:p>
            <w:pPr>
              <w:spacing w:line="316" w:lineRule="auto"/>
              <w:rPr>
                <w:rFonts w:ascii="Arial"/>
                <w:sz w:val="21"/>
              </w:rPr>
            </w:pPr>
          </w:p>
          <w:p>
            <w:pPr>
              <w:spacing w:line="317" w:lineRule="auto"/>
              <w:rPr>
                <w:rFonts w:ascii="Arial"/>
                <w:sz w:val="21"/>
              </w:rPr>
            </w:pPr>
          </w:p>
          <w:p>
            <w:pPr>
              <w:pStyle w:val="6"/>
              <w:spacing w:before="68" w:line="223" w:lineRule="auto"/>
              <w:ind w:left="98"/>
            </w:pPr>
            <w:r>
              <w:rPr>
                <w:spacing w:val="-2"/>
              </w:rPr>
              <w:t>施工</w:t>
            </w:r>
          </w:p>
          <w:p>
            <w:pPr>
              <w:pStyle w:val="6"/>
              <w:spacing w:before="19" w:line="221" w:lineRule="auto"/>
              <w:ind w:left="204"/>
            </w:pPr>
            <w:r>
              <w:t>期</w:t>
            </w:r>
          </w:p>
        </w:tc>
        <w:tc>
          <w:tcPr>
            <w:tcW w:w="559" w:type="dxa"/>
            <w:vAlign w:val="top"/>
          </w:tcPr>
          <w:p>
            <w:pPr>
              <w:spacing w:line="316" w:lineRule="auto"/>
              <w:rPr>
                <w:rFonts w:ascii="Arial"/>
                <w:sz w:val="21"/>
              </w:rPr>
            </w:pPr>
          </w:p>
          <w:p>
            <w:pPr>
              <w:spacing w:line="316" w:lineRule="auto"/>
              <w:rPr>
                <w:rFonts w:ascii="Arial"/>
                <w:sz w:val="21"/>
              </w:rPr>
            </w:pPr>
          </w:p>
          <w:p>
            <w:pPr>
              <w:pStyle w:val="6"/>
              <w:spacing w:before="69" w:line="221" w:lineRule="auto"/>
              <w:ind w:left="77"/>
            </w:pPr>
            <w:r>
              <w:rPr>
                <w:spacing w:val="-2"/>
              </w:rPr>
              <w:t>运营</w:t>
            </w:r>
          </w:p>
          <w:p>
            <w:pPr>
              <w:pStyle w:val="6"/>
              <w:spacing w:before="22" w:line="221" w:lineRule="auto"/>
              <w:ind w:left="185"/>
            </w:pPr>
            <w: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3" w:hRule="atLeast"/>
        </w:trPr>
        <w:tc>
          <w:tcPr>
            <w:tcW w:w="391"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b/>
                <w:bCs/>
                <w:sz w:val="21"/>
                <w:szCs w:val="21"/>
              </w:rPr>
              <w:t>3</w:t>
            </w:r>
          </w:p>
        </w:tc>
        <w:tc>
          <w:tcPr>
            <w:tcW w:w="79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8" w:line="237" w:lineRule="auto"/>
              <w:ind w:left="114" w:right="64" w:firstLine="80"/>
              <w:jc w:val="both"/>
            </w:pPr>
            <w:r>
              <w:rPr>
                <w:spacing w:val="-4"/>
              </w:rPr>
              <w:t>文成</w:t>
            </w:r>
            <w:r>
              <w:t xml:space="preserve">  </w:t>
            </w:r>
            <w:r>
              <w:rPr>
                <w:spacing w:val="36"/>
              </w:rPr>
              <w:t>县西</w:t>
            </w:r>
            <w:r>
              <w:t xml:space="preserve">  </w:t>
            </w:r>
            <w:r>
              <w:rPr>
                <w:spacing w:val="36"/>
              </w:rPr>
              <w:t>坑畲</w:t>
            </w:r>
            <w:r>
              <w:t xml:space="preserve">  </w:t>
            </w:r>
            <w:r>
              <w:rPr>
                <w:spacing w:val="36"/>
              </w:rPr>
              <w:t>族镇</w:t>
            </w:r>
            <w:r>
              <w:t xml:space="preserve">  </w:t>
            </w:r>
            <w:r>
              <w:rPr>
                <w:spacing w:val="36"/>
              </w:rPr>
              <w:t>敖里</w:t>
            </w:r>
            <w:r>
              <w:t xml:space="preserve">  </w:t>
            </w:r>
            <w:r>
              <w:rPr>
                <w:spacing w:val="-21"/>
              </w:rPr>
              <w:t>村（双</w:t>
            </w:r>
            <w:r>
              <w:rPr>
                <w:spacing w:val="1"/>
              </w:rPr>
              <w:t xml:space="preserve"> </w:t>
            </w:r>
            <w:r>
              <w:rPr>
                <w:spacing w:val="-8"/>
              </w:rPr>
              <w:t>田村）</w:t>
            </w:r>
          </w:p>
        </w:tc>
        <w:tc>
          <w:tcPr>
            <w:tcW w:w="631" w:type="dxa"/>
            <w:textDirection w:val="tbRlV"/>
            <w:vAlign w:val="top"/>
          </w:tcPr>
          <w:p>
            <w:pPr>
              <w:pStyle w:val="6"/>
              <w:spacing w:before="205" w:line="207" w:lineRule="auto"/>
              <w:ind w:left="1470"/>
            </w:pPr>
            <w:r>
              <w:rPr>
                <w:spacing w:val="42"/>
              </w:rPr>
              <w:t>漈头面</w:t>
            </w:r>
          </w:p>
        </w:tc>
        <w:tc>
          <w:tcPr>
            <w:tcW w:w="744" w:type="dxa"/>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8" w:line="221" w:lineRule="auto"/>
              <w:ind w:left="174"/>
            </w:pPr>
            <w:r>
              <w:rPr>
                <w:spacing w:val="-3"/>
              </w:rPr>
              <w:t>西坑</w:t>
            </w:r>
          </w:p>
          <w:p>
            <w:pPr>
              <w:pStyle w:val="6"/>
              <w:spacing w:before="21" w:line="228" w:lineRule="auto"/>
              <w:ind w:left="173"/>
            </w:pPr>
            <w:r>
              <w:rPr>
                <w:spacing w:val="-3"/>
              </w:rPr>
              <w:t>互通</w:t>
            </w:r>
          </w:p>
          <w:p>
            <w:pPr>
              <w:pStyle w:val="6"/>
              <w:spacing w:before="11" w:line="221" w:lineRule="auto"/>
              <w:ind w:left="170"/>
            </w:pPr>
            <w:r>
              <w:rPr>
                <w:spacing w:val="-2"/>
              </w:rPr>
              <w:t>连接</w:t>
            </w:r>
          </w:p>
          <w:p>
            <w:pPr>
              <w:pStyle w:val="6"/>
              <w:spacing w:before="22" w:line="221" w:lineRule="auto"/>
              <w:ind w:left="172"/>
            </w:pPr>
            <w:r>
              <w:rPr>
                <w:spacing w:val="-3"/>
              </w:rPr>
              <w:t>线让</w:t>
            </w:r>
          </w:p>
          <w:p>
            <w:pPr>
              <w:pStyle w:val="6"/>
              <w:spacing w:before="20" w:line="221" w:lineRule="auto"/>
              <w:ind w:left="175"/>
            </w:pPr>
            <w:r>
              <w:rPr>
                <w:spacing w:val="-3"/>
              </w:rPr>
              <w:t>川接</w:t>
            </w:r>
          </w:p>
          <w:p>
            <w:pPr>
              <w:pStyle w:val="6"/>
              <w:spacing w:before="22" w:line="221" w:lineRule="auto"/>
              <w:ind w:left="277"/>
            </w:pPr>
            <w:r>
              <w:t>线</w:t>
            </w:r>
          </w:p>
          <w:p>
            <w:pPr>
              <w:spacing w:before="41"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(L2)</w:t>
            </w:r>
          </w:p>
        </w:tc>
        <w:tc>
          <w:tcPr>
            <w:tcW w:w="540" w:type="dxa"/>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before="60" w:line="234" w:lineRule="auto"/>
              <w:ind w:left="114" w:right="103" w:firstLine="42"/>
              <w:jc w:val="both"/>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L2</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+2</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70~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9"/>
                <w:sz w:val="21"/>
                <w:szCs w:val="21"/>
              </w:rPr>
              <w:t>L2</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+4</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5"/>
                <w:sz w:val="21"/>
                <w:szCs w:val="21"/>
              </w:rPr>
              <w:t>00</w:t>
            </w:r>
          </w:p>
        </w:tc>
        <w:tc>
          <w:tcPr>
            <w:tcW w:w="602" w:type="dxa"/>
            <w:textDirection w:val="tbRlV"/>
            <w:vAlign w:val="top"/>
          </w:tcPr>
          <w:p>
            <w:pPr>
              <w:pStyle w:val="6"/>
              <w:spacing w:before="190" w:line="210" w:lineRule="auto"/>
              <w:ind w:left="1333"/>
            </w:pPr>
            <w:r>
              <w:rPr>
                <w:spacing w:val="1"/>
              </w:rPr>
              <w:t>地</w:t>
            </w:r>
            <w:r>
              <w:rPr>
                <w:spacing w:val="-43"/>
              </w:rPr>
              <w:t xml:space="preserve"> </w:t>
            </w:r>
            <w:r>
              <w:rPr>
                <w:spacing w:val="1"/>
              </w:rPr>
              <w:t>面</w:t>
            </w:r>
            <w:r>
              <w:rPr>
                <w:spacing w:val="-45"/>
              </w:rPr>
              <w:t xml:space="preserve"> </w:t>
            </w:r>
            <w:r>
              <w:rPr>
                <w:spacing w:val="1"/>
              </w:rPr>
              <w:t>道</w:t>
            </w:r>
            <w:r>
              <w:rPr>
                <w:spacing w:val="-43"/>
              </w:rPr>
              <w:t xml:space="preserve"> </w:t>
            </w:r>
            <w:r>
              <w:rPr>
                <w:spacing w:val="1"/>
              </w:rPr>
              <w:t>路</w:t>
            </w:r>
          </w:p>
        </w:tc>
        <w:tc>
          <w:tcPr>
            <w:tcW w:w="605"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1" w:line="187" w:lineRule="auto"/>
              <w:ind w:left="256"/>
              <w:rPr>
                <w:rFonts w:ascii="Times New Roman" w:hAnsi="Times New Roman" w:eastAsia="Times New Roman" w:cs="Times New Roman"/>
                <w:sz w:val="21"/>
                <w:szCs w:val="21"/>
              </w:rPr>
            </w:pPr>
            <w:r>
              <w:rPr>
                <w:rFonts w:ascii="Times New Roman" w:hAnsi="Times New Roman" w:eastAsia="Times New Roman" w:cs="Times New Roman"/>
                <w:sz w:val="21"/>
                <w:szCs w:val="21"/>
              </w:rPr>
              <w:t>S</w:t>
            </w:r>
          </w:p>
        </w:tc>
        <w:tc>
          <w:tcPr>
            <w:tcW w:w="648"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tabs>
                <w:tab w:val="left" w:pos="188"/>
              </w:tabs>
              <w:spacing w:before="61" w:line="235" w:lineRule="auto"/>
              <w:ind w:left="108" w:right="42" w:firstLine="25"/>
              <w:jc w:val="both"/>
            </w:pPr>
            <w:r>
              <w:rPr>
                <w:rFonts w:ascii="Times New Roman" w:hAnsi="Times New Roman" w:eastAsia="Times New Roman" w:cs="Times New Roman"/>
                <w:spacing w:val="-3"/>
              </w:rPr>
              <w:t xml:space="preserve">-9~4  </w:t>
            </w:r>
            <w:r>
              <w:rPr>
                <w:spacing w:val="22"/>
              </w:rPr>
              <w:t>（</w:t>
            </w:r>
            <w:r>
              <w:rPr>
                <w:rFonts w:ascii="Times New Roman" w:hAnsi="Times New Roman" w:eastAsia="Times New Roman" w:cs="Times New Roman"/>
                <w:spacing w:val="22"/>
              </w:rPr>
              <w:t>L</w:t>
            </w:r>
            <w:r>
              <w:rPr>
                <w:rFonts w:ascii="Times New Roman" w:hAnsi="Times New Roman" w:eastAsia="Times New Roman" w:cs="Times New Roman"/>
              </w:rPr>
              <w:t xml:space="preserve">   </w:t>
            </w:r>
            <w:r>
              <w:rPr>
                <w:rFonts w:ascii="Times New Roman" w:hAnsi="Times New Roman" w:eastAsia="Times New Roman" w:cs="Times New Roman"/>
                <w:spacing w:val="-11"/>
              </w:rPr>
              <w:t>2</w:t>
            </w:r>
            <w:r>
              <w:rPr>
                <w:spacing w:val="-11"/>
              </w:rPr>
              <w:t>）、</w:t>
            </w:r>
            <w:r>
              <w:t xml:space="preserve"> </w:t>
            </w:r>
            <w:r>
              <w:rPr>
                <w:rFonts w:ascii="Times New Roman" w:hAnsi="Times New Roman" w:eastAsia="Times New Roman" w:cs="Times New Roman"/>
              </w:rPr>
              <w:tab/>
            </w:r>
            <w:r>
              <w:rPr>
                <w:rFonts w:ascii="Times New Roman" w:hAnsi="Times New Roman" w:eastAsia="Times New Roman" w:cs="Times New Roman"/>
                <w:spacing w:val="-3"/>
              </w:rPr>
              <w:t>-34</w:t>
            </w:r>
            <w:r>
              <w:rPr>
                <w:rFonts w:ascii="Times New Roman" w:hAnsi="Times New Roman" w:eastAsia="Times New Roman" w:cs="Times New Roman"/>
              </w:rPr>
              <w:t xml:space="preserve">    </w:t>
            </w:r>
            <w:r>
              <w:rPr>
                <w:spacing w:val="22"/>
              </w:rPr>
              <w:t>（</w:t>
            </w:r>
            <w:r>
              <w:rPr>
                <w:rFonts w:ascii="Times New Roman" w:hAnsi="Times New Roman" w:eastAsia="Times New Roman" w:cs="Times New Roman"/>
                <w:spacing w:val="22"/>
              </w:rPr>
              <w:t>L</w:t>
            </w:r>
            <w:r>
              <w:rPr>
                <w:rFonts w:ascii="Times New Roman" w:hAnsi="Times New Roman" w:eastAsia="Times New Roman" w:cs="Times New Roman"/>
              </w:rPr>
              <w:t xml:space="preserve">   </w:t>
            </w:r>
            <w:r>
              <w:rPr>
                <w:rFonts w:ascii="Times New Roman" w:hAnsi="Times New Roman" w:eastAsia="Times New Roman" w:cs="Times New Roman"/>
                <w:spacing w:val="28"/>
              </w:rPr>
              <w:t>1</w:t>
            </w:r>
            <w:r>
              <w:rPr>
                <w:spacing w:val="28"/>
              </w:rPr>
              <w:t>）</w:t>
            </w:r>
          </w:p>
        </w:tc>
        <w:tc>
          <w:tcPr>
            <w:tcW w:w="81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0" w:line="184"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p>
            <w:pPr>
              <w:pStyle w:val="6"/>
              <w:spacing w:before="29" w:line="233" w:lineRule="auto"/>
              <w:ind w:left="120"/>
            </w:pPr>
            <w:r>
              <w:rPr>
                <w:spacing w:val="-3"/>
              </w:rPr>
              <w:t>（</w:t>
            </w:r>
            <w:r>
              <w:rPr>
                <w:rFonts w:ascii="Times New Roman" w:hAnsi="Times New Roman" w:eastAsia="Times New Roman" w:cs="Times New Roman"/>
                <w:spacing w:val="-3"/>
              </w:rPr>
              <w:t>L2</w:t>
            </w:r>
            <w:r>
              <w:rPr>
                <w:spacing w:val="-3"/>
              </w:rPr>
              <w:t>）</w:t>
            </w:r>
          </w:p>
        </w:tc>
        <w:tc>
          <w:tcPr>
            <w:tcW w:w="828"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0" w:line="225" w:lineRule="auto"/>
              <w:ind w:left="120" w:right="76" w:firstLine="211"/>
            </w:pPr>
            <w:r>
              <w:rPr>
                <w:rFonts w:ascii="Times New Roman" w:hAnsi="Times New Roman" w:eastAsia="Times New Roman" w:cs="Times New Roman"/>
                <w:spacing w:val="-12"/>
              </w:rPr>
              <w:t>16</w:t>
            </w:r>
            <w:r>
              <w:rPr>
                <w:rFonts w:ascii="Times New Roman" w:hAnsi="Times New Roman" w:eastAsia="Times New Roman" w:cs="Times New Roman"/>
              </w:rPr>
              <w:t xml:space="preserve">     </w:t>
            </w:r>
            <w:r>
              <w:rPr>
                <w:spacing w:val="-7"/>
              </w:rPr>
              <w:t>（</w:t>
            </w:r>
            <w:r>
              <w:rPr>
                <w:rFonts w:ascii="Times New Roman" w:hAnsi="Times New Roman" w:eastAsia="Times New Roman" w:cs="Times New Roman"/>
                <w:spacing w:val="-7"/>
              </w:rPr>
              <w:t>L2</w:t>
            </w:r>
            <w:r>
              <w:rPr>
                <w:spacing w:val="-7"/>
              </w:rPr>
              <w:t>）</w:t>
            </w:r>
          </w:p>
        </w:tc>
        <w:tc>
          <w:tcPr>
            <w:tcW w:w="535"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0" w:line="187" w:lineRule="auto"/>
              <w:ind w:left="23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588"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0" w:line="187" w:lineRule="auto"/>
              <w:ind w:left="249"/>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8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8" w:line="236" w:lineRule="auto"/>
              <w:ind w:left="129" w:right="113" w:firstLine="103"/>
            </w:pPr>
            <w:r>
              <w:rPr>
                <w:spacing w:val="-2"/>
              </w:rPr>
              <w:t>砖混结</w:t>
            </w:r>
            <w:r>
              <w:t xml:space="preserve">  </w:t>
            </w:r>
            <w:r>
              <w:rPr>
                <w:spacing w:val="-16"/>
              </w:rPr>
              <w:t>构，</w:t>
            </w:r>
            <w:r>
              <w:rPr>
                <w:spacing w:val="17"/>
              </w:rPr>
              <w:t xml:space="preserve"> </w:t>
            </w:r>
            <w:r>
              <w:rPr>
                <w:rFonts w:ascii="Times New Roman" w:hAnsi="Times New Roman" w:eastAsia="Times New Roman" w:cs="Times New Roman"/>
                <w:spacing w:val="-16"/>
              </w:rPr>
              <w:t>1~4</w:t>
            </w:r>
            <w:r>
              <w:rPr>
                <w:rFonts w:ascii="Times New Roman" w:hAnsi="Times New Roman" w:eastAsia="Times New Roman" w:cs="Times New Roman"/>
              </w:rPr>
              <w:t xml:space="preserve">  </w:t>
            </w:r>
            <w:r>
              <w:rPr>
                <w:spacing w:val="-2"/>
              </w:rPr>
              <w:t>层建筑、</w:t>
            </w:r>
            <w:r>
              <w:rPr>
                <w:spacing w:val="1"/>
              </w:rPr>
              <w:t xml:space="preserve"> </w:t>
            </w:r>
            <w:r>
              <w:rPr>
                <w:spacing w:val="-2"/>
              </w:rPr>
              <w:t>背向、侧</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9" w:line="230" w:lineRule="auto"/>
              <w:ind w:left="485" w:right="142" w:hanging="326"/>
            </w:pPr>
            <w:r>
              <w:rPr>
                <w:spacing w:val="-2"/>
              </w:rPr>
              <w:t>有山体阻</w:t>
            </w:r>
            <w:r>
              <w:t xml:space="preserve"> 隔</w:t>
            </w:r>
          </w:p>
        </w:tc>
        <w:tc>
          <w:tcPr>
            <w:tcW w:w="5262" w:type="dxa"/>
            <w:vAlign w:val="top"/>
          </w:tcPr>
          <w:p>
            <w:pPr>
              <w:spacing w:before="2" w:line="3680" w:lineRule="exact"/>
              <w:ind w:firstLine="170"/>
            </w:pPr>
            <w:r>
              <w:rPr>
                <w:position w:val="-73"/>
              </w:rPr>
              <w:drawing>
                <wp:inline distT="0" distB="0" distL="0" distR="0">
                  <wp:extent cx="3124200" cy="23368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09"/>
                          <a:stretch>
                            <a:fillRect/>
                          </a:stretch>
                        </pic:blipFill>
                        <pic:spPr>
                          <a:xfrm>
                            <a:off x="0" y="0"/>
                            <a:ext cx="3124200" cy="2337434"/>
                          </a:xfrm>
                          <a:prstGeom prst="rect">
                            <a:avLst/>
                          </a:prstGeom>
                        </pic:spPr>
                      </pic:pic>
                    </a:graphicData>
                  </a:graphic>
                </wp:inline>
              </w:drawing>
            </w:r>
          </w:p>
        </w:tc>
        <w:tc>
          <w:tcPr>
            <w:tcW w:w="4989" w:type="dxa"/>
            <w:vAlign w:val="top"/>
          </w:tcPr>
          <w:p>
            <w:pPr>
              <w:spacing w:before="20" w:line="3654" w:lineRule="exact"/>
              <w:ind w:firstLine="133"/>
            </w:pPr>
            <w:r>
              <w:rPr>
                <w:position w:val="-73"/>
              </w:rPr>
              <w:drawing>
                <wp:inline distT="0" distB="0" distL="0" distR="0">
                  <wp:extent cx="2997835" cy="231965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10"/>
                          <a:stretch>
                            <a:fillRect/>
                          </a:stretch>
                        </pic:blipFill>
                        <pic:spPr>
                          <a:xfrm>
                            <a:off x="0" y="0"/>
                            <a:ext cx="2997835" cy="2319655"/>
                          </a:xfrm>
                          <a:prstGeom prst="rect">
                            <a:avLst/>
                          </a:prstGeom>
                        </pic:spPr>
                      </pic:pic>
                    </a:graphicData>
                  </a:graphic>
                </wp:inline>
              </w:drawing>
            </w:r>
          </w:p>
        </w:tc>
        <w:tc>
          <w:tcPr>
            <w:tcW w:w="59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8" w:line="221" w:lineRule="auto"/>
              <w:ind w:left="12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9"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1"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3" w:hRule="atLeast"/>
        </w:trPr>
        <w:tc>
          <w:tcPr>
            <w:tcW w:w="39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b/>
                <w:bCs/>
                <w:sz w:val="21"/>
                <w:szCs w:val="21"/>
              </w:rPr>
              <w:t>4</w:t>
            </w:r>
          </w:p>
        </w:tc>
        <w:tc>
          <w:tcPr>
            <w:tcW w:w="79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8" w:line="237" w:lineRule="auto"/>
              <w:ind w:left="114" w:right="64" w:firstLine="80"/>
              <w:jc w:val="both"/>
            </w:pPr>
            <w:r>
              <w:rPr>
                <w:spacing w:val="-4"/>
              </w:rPr>
              <w:t>文成</w:t>
            </w:r>
            <w:r>
              <w:t xml:space="preserve">  </w:t>
            </w:r>
            <w:r>
              <w:rPr>
                <w:spacing w:val="36"/>
              </w:rPr>
              <w:t>县西</w:t>
            </w:r>
            <w:r>
              <w:t xml:space="preserve">  </w:t>
            </w:r>
            <w:r>
              <w:rPr>
                <w:spacing w:val="36"/>
              </w:rPr>
              <w:t>坑畲</w:t>
            </w:r>
            <w:r>
              <w:t xml:space="preserve">  </w:t>
            </w:r>
            <w:r>
              <w:rPr>
                <w:spacing w:val="36"/>
              </w:rPr>
              <w:t>族镇</w:t>
            </w:r>
            <w:r>
              <w:t xml:space="preserve">  </w:t>
            </w:r>
            <w:r>
              <w:rPr>
                <w:spacing w:val="36"/>
              </w:rPr>
              <w:t>敖里</w:t>
            </w:r>
            <w:r>
              <w:t xml:space="preserve">  </w:t>
            </w:r>
            <w:r>
              <w:rPr>
                <w:spacing w:val="-21"/>
              </w:rPr>
              <w:t>村（双</w:t>
            </w:r>
            <w:r>
              <w:rPr>
                <w:spacing w:val="1"/>
              </w:rPr>
              <w:t xml:space="preserve"> </w:t>
            </w:r>
            <w:r>
              <w:rPr>
                <w:spacing w:val="-8"/>
              </w:rPr>
              <w:t>田村）</w:t>
            </w:r>
          </w:p>
        </w:tc>
        <w:tc>
          <w:tcPr>
            <w:tcW w:w="631" w:type="dxa"/>
            <w:textDirection w:val="tbRlV"/>
            <w:vAlign w:val="top"/>
          </w:tcPr>
          <w:p>
            <w:pPr>
              <w:pStyle w:val="6"/>
              <w:spacing w:before="205" w:line="205" w:lineRule="auto"/>
              <w:ind w:left="1852"/>
            </w:pPr>
            <w:r>
              <w:rPr>
                <w:spacing w:val="41"/>
              </w:rPr>
              <w:t>墩头垟</w:t>
            </w:r>
          </w:p>
        </w:tc>
        <w:tc>
          <w:tcPr>
            <w:tcW w:w="744" w:type="dxa"/>
            <w:vAlign w:val="top"/>
          </w:tcPr>
          <w:p>
            <w:pPr>
              <w:rPr>
                <w:rFonts w:ascii="Arial"/>
                <w:sz w:val="21"/>
              </w:rPr>
            </w:pPr>
          </w:p>
          <w:p>
            <w:pPr>
              <w:rPr>
                <w:rFonts w:ascii="Arial"/>
                <w:sz w:val="21"/>
              </w:rPr>
            </w:pPr>
          </w:p>
          <w:p>
            <w:pPr>
              <w:spacing w:line="241" w:lineRule="auto"/>
              <w:rPr>
                <w:rFonts w:ascii="Arial"/>
                <w:sz w:val="21"/>
              </w:rPr>
            </w:pPr>
          </w:p>
          <w:p>
            <w:pPr>
              <w:pStyle w:val="6"/>
              <w:spacing w:before="69" w:line="221" w:lineRule="auto"/>
              <w:ind w:left="174"/>
            </w:pPr>
            <w:r>
              <w:rPr>
                <w:spacing w:val="-3"/>
              </w:rPr>
              <w:t>西坑</w:t>
            </w:r>
          </w:p>
          <w:p>
            <w:pPr>
              <w:pStyle w:val="6"/>
              <w:spacing w:before="21" w:line="228" w:lineRule="auto"/>
              <w:ind w:left="173"/>
            </w:pPr>
            <w:r>
              <w:rPr>
                <w:spacing w:val="-3"/>
              </w:rPr>
              <w:t>互通</w:t>
            </w:r>
          </w:p>
          <w:p>
            <w:pPr>
              <w:pStyle w:val="6"/>
              <w:spacing w:before="11" w:line="221" w:lineRule="auto"/>
              <w:ind w:left="170"/>
            </w:pPr>
            <w:r>
              <w:rPr>
                <w:spacing w:val="-2"/>
              </w:rPr>
              <w:t>连接</w:t>
            </w:r>
          </w:p>
          <w:p>
            <w:pPr>
              <w:pStyle w:val="6"/>
              <w:spacing w:before="22" w:line="221" w:lineRule="auto"/>
              <w:ind w:left="172"/>
            </w:pPr>
            <w:r>
              <w:rPr>
                <w:spacing w:val="-3"/>
              </w:rPr>
              <w:t>线主</w:t>
            </w:r>
          </w:p>
          <w:p>
            <w:pPr>
              <w:pStyle w:val="6"/>
              <w:spacing w:before="19" w:line="221" w:lineRule="auto"/>
              <w:ind w:left="277"/>
            </w:pPr>
            <w:r>
              <w:t>线</w:t>
            </w:r>
          </w:p>
          <w:p>
            <w:pPr>
              <w:spacing w:before="41"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p>
            <w:pPr>
              <w:pStyle w:val="6"/>
              <w:spacing w:before="29" w:line="223" w:lineRule="auto"/>
              <w:ind w:left="173"/>
            </w:pPr>
            <w:r>
              <w:rPr>
                <w:spacing w:val="-3"/>
              </w:rPr>
              <w:t>与让</w:t>
            </w:r>
          </w:p>
          <w:p>
            <w:pPr>
              <w:pStyle w:val="6"/>
              <w:spacing w:before="20" w:line="221" w:lineRule="auto"/>
              <w:ind w:left="175"/>
            </w:pPr>
            <w:r>
              <w:rPr>
                <w:spacing w:val="-3"/>
              </w:rPr>
              <w:t>川接</w:t>
            </w:r>
          </w:p>
          <w:p>
            <w:pPr>
              <w:pStyle w:val="6"/>
              <w:spacing w:before="20" w:line="221" w:lineRule="auto"/>
              <w:ind w:left="277"/>
            </w:pPr>
            <w:r>
              <w:t>线</w:t>
            </w:r>
          </w:p>
          <w:p>
            <w:pPr>
              <w:spacing w:before="41"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(L2)</w:t>
            </w:r>
          </w:p>
          <w:p>
            <w:pPr>
              <w:pStyle w:val="6"/>
              <w:spacing w:before="29" w:line="222" w:lineRule="auto"/>
              <w:ind w:left="173"/>
            </w:pPr>
            <w:r>
              <w:rPr>
                <w:spacing w:val="-3"/>
              </w:rPr>
              <w:t>交叉</w:t>
            </w:r>
          </w:p>
        </w:tc>
        <w:tc>
          <w:tcPr>
            <w:tcW w:w="540" w:type="dxa"/>
            <w:vAlign w:val="top"/>
          </w:tcPr>
          <w:p>
            <w:pPr>
              <w:spacing w:line="271" w:lineRule="auto"/>
              <w:rPr>
                <w:rFonts w:ascii="Arial"/>
                <w:sz w:val="21"/>
              </w:rPr>
            </w:pPr>
          </w:p>
          <w:p>
            <w:pPr>
              <w:pStyle w:val="6"/>
              <w:spacing w:before="60" w:line="237" w:lineRule="auto"/>
              <w:ind w:left="113" w:right="56" w:firstLine="42"/>
              <w:jc w:val="both"/>
              <w:rPr>
                <w:rFonts w:ascii="Times New Roman" w:hAnsi="Times New Roman" w:eastAsia="Times New Roman" w:cs="Times New Roman"/>
              </w:rPr>
            </w:pPr>
            <w:r>
              <w:rPr>
                <w:rFonts w:ascii="Times New Roman" w:hAnsi="Times New Roman" w:eastAsia="Times New Roman" w:cs="Times New Roman"/>
                <w:spacing w:val="-2"/>
              </w:rPr>
              <w:t>L2</w:t>
            </w:r>
            <w:r>
              <w:rPr>
                <w:rFonts w:ascii="Times New Roman" w:hAnsi="Times New Roman" w:eastAsia="Times New Roman" w:cs="Times New Roman"/>
              </w:rPr>
              <w:t xml:space="preserve">   </w:t>
            </w:r>
            <w:r>
              <w:rPr>
                <w:rFonts w:ascii="Times New Roman" w:hAnsi="Times New Roman" w:eastAsia="Times New Roman" w:cs="Times New Roman"/>
                <w:spacing w:val="14"/>
              </w:rPr>
              <w:t>K0</w:t>
            </w:r>
            <w:r>
              <w:rPr>
                <w:rFonts w:ascii="Times New Roman" w:hAnsi="Times New Roman" w:eastAsia="Times New Roman" w:cs="Times New Roman"/>
              </w:rPr>
              <w:t xml:space="preserve">  </w:t>
            </w:r>
            <w:r>
              <w:rPr>
                <w:rFonts w:ascii="Times New Roman" w:hAnsi="Times New Roman" w:eastAsia="Times New Roman" w:cs="Times New Roman"/>
                <w:spacing w:val="22"/>
              </w:rPr>
              <w:t>+9</w:t>
            </w:r>
            <w:r>
              <w:rPr>
                <w:rFonts w:ascii="Times New Roman" w:hAnsi="Times New Roman" w:eastAsia="Times New Roman" w:cs="Times New Roman"/>
              </w:rPr>
              <w:t xml:space="preserve">   </w:t>
            </w:r>
            <w:r>
              <w:rPr>
                <w:rFonts w:ascii="Times New Roman" w:hAnsi="Times New Roman" w:eastAsia="Times New Roman" w:cs="Times New Roman"/>
                <w:spacing w:val="-2"/>
              </w:rPr>
              <w:t>00~</w:t>
            </w:r>
            <w:r>
              <w:rPr>
                <w:rFonts w:ascii="Times New Roman" w:hAnsi="Times New Roman" w:eastAsia="Times New Roman" w:cs="Times New Roman"/>
              </w:rPr>
              <w:t xml:space="preserve">  </w:t>
            </w:r>
            <w:r>
              <w:rPr>
                <w:rFonts w:ascii="Times New Roman" w:hAnsi="Times New Roman" w:eastAsia="Times New Roman" w:cs="Times New Roman"/>
                <w:spacing w:val="19"/>
              </w:rPr>
              <w:t>L1</w:t>
            </w:r>
            <w:r>
              <w:rPr>
                <w:rFonts w:ascii="Times New Roman" w:hAnsi="Times New Roman" w:eastAsia="Times New Roman" w:cs="Times New Roman"/>
              </w:rPr>
              <w:t xml:space="preserve">   </w:t>
            </w:r>
            <w:r>
              <w:rPr>
                <w:rFonts w:ascii="Times New Roman" w:hAnsi="Times New Roman" w:eastAsia="Times New Roman" w:cs="Times New Roman"/>
                <w:spacing w:val="14"/>
              </w:rPr>
              <w:t>K1</w:t>
            </w:r>
            <w:r>
              <w:rPr>
                <w:rFonts w:ascii="Times New Roman" w:hAnsi="Times New Roman" w:eastAsia="Times New Roman" w:cs="Times New Roman"/>
              </w:rPr>
              <w:t xml:space="preserve">  </w:t>
            </w:r>
            <w:r>
              <w:rPr>
                <w:rFonts w:ascii="Times New Roman" w:hAnsi="Times New Roman" w:eastAsia="Times New Roman" w:cs="Times New Roman"/>
                <w:spacing w:val="22"/>
              </w:rPr>
              <w:t>+0</w:t>
            </w:r>
            <w:r>
              <w:rPr>
                <w:rFonts w:ascii="Times New Roman" w:hAnsi="Times New Roman" w:eastAsia="Times New Roman" w:cs="Times New Roman"/>
              </w:rPr>
              <w:t xml:space="preserve">   </w:t>
            </w:r>
            <w:r>
              <w:rPr>
                <w:rFonts w:ascii="Times New Roman" w:hAnsi="Times New Roman" w:eastAsia="Times New Roman" w:cs="Times New Roman"/>
                <w:spacing w:val="-19"/>
              </w:rPr>
              <w:t>00</w:t>
            </w:r>
            <w:r>
              <w:rPr>
                <w:spacing w:val="-19"/>
              </w:rPr>
              <w:t>；</w:t>
            </w:r>
            <w:r>
              <w:t xml:space="preserve"> </w:t>
            </w:r>
            <w:r>
              <w:rPr>
                <w:rFonts w:ascii="Times New Roman" w:hAnsi="Times New Roman" w:eastAsia="Times New Roman" w:cs="Times New Roman"/>
                <w:spacing w:val="19"/>
              </w:rPr>
              <w:t>L1</w:t>
            </w:r>
            <w:r>
              <w:rPr>
                <w:rFonts w:ascii="Times New Roman" w:hAnsi="Times New Roman" w:eastAsia="Times New Roman" w:cs="Times New Roman"/>
              </w:rPr>
              <w:t xml:space="preserve">   </w:t>
            </w:r>
            <w:r>
              <w:rPr>
                <w:rFonts w:ascii="Times New Roman" w:hAnsi="Times New Roman" w:eastAsia="Times New Roman" w:cs="Times New Roman"/>
                <w:spacing w:val="14"/>
              </w:rPr>
              <w:t>K2</w:t>
            </w:r>
            <w:r>
              <w:rPr>
                <w:rFonts w:ascii="Times New Roman" w:hAnsi="Times New Roman" w:eastAsia="Times New Roman" w:cs="Times New Roman"/>
              </w:rPr>
              <w:t xml:space="preserve">  </w:t>
            </w:r>
            <w:r>
              <w:rPr>
                <w:rFonts w:ascii="Times New Roman" w:hAnsi="Times New Roman" w:eastAsia="Times New Roman" w:cs="Times New Roman"/>
                <w:spacing w:val="22"/>
              </w:rPr>
              <w:t>+2</w:t>
            </w:r>
            <w:r>
              <w:rPr>
                <w:rFonts w:ascii="Times New Roman" w:hAnsi="Times New Roman" w:eastAsia="Times New Roman" w:cs="Times New Roman"/>
              </w:rPr>
              <w:t xml:space="preserve">   </w:t>
            </w:r>
            <w:r>
              <w:rPr>
                <w:rFonts w:ascii="Times New Roman" w:hAnsi="Times New Roman" w:eastAsia="Times New Roman" w:cs="Times New Roman"/>
                <w:spacing w:val="-2"/>
              </w:rPr>
              <w:t>00~</w:t>
            </w:r>
            <w:r>
              <w:rPr>
                <w:rFonts w:ascii="Times New Roman" w:hAnsi="Times New Roman" w:eastAsia="Times New Roman" w:cs="Times New Roman"/>
              </w:rPr>
              <w:t xml:space="preserve">  </w:t>
            </w:r>
            <w:r>
              <w:rPr>
                <w:rFonts w:ascii="Times New Roman" w:hAnsi="Times New Roman" w:eastAsia="Times New Roman" w:cs="Times New Roman"/>
                <w:spacing w:val="19"/>
              </w:rPr>
              <w:t>L1</w:t>
            </w:r>
            <w:r>
              <w:rPr>
                <w:rFonts w:ascii="Times New Roman" w:hAnsi="Times New Roman" w:eastAsia="Times New Roman" w:cs="Times New Roman"/>
              </w:rPr>
              <w:t xml:space="preserve">   </w:t>
            </w:r>
            <w:r>
              <w:rPr>
                <w:rFonts w:ascii="Times New Roman" w:hAnsi="Times New Roman" w:eastAsia="Times New Roman" w:cs="Times New Roman"/>
                <w:spacing w:val="14"/>
              </w:rPr>
              <w:t>K2</w:t>
            </w:r>
            <w:r>
              <w:rPr>
                <w:rFonts w:ascii="Times New Roman" w:hAnsi="Times New Roman" w:eastAsia="Times New Roman" w:cs="Times New Roman"/>
              </w:rPr>
              <w:t xml:space="preserve">  </w:t>
            </w:r>
            <w:r>
              <w:rPr>
                <w:rFonts w:ascii="Times New Roman" w:hAnsi="Times New Roman" w:eastAsia="Times New Roman" w:cs="Times New Roman"/>
                <w:spacing w:val="22"/>
              </w:rPr>
              <w:t>+3</w:t>
            </w:r>
            <w:r>
              <w:rPr>
                <w:rFonts w:ascii="Times New Roman" w:hAnsi="Times New Roman" w:eastAsia="Times New Roman" w:cs="Times New Roman"/>
              </w:rPr>
              <w:t xml:space="preserve">   </w:t>
            </w:r>
            <w:r>
              <w:rPr>
                <w:rFonts w:ascii="Times New Roman" w:hAnsi="Times New Roman" w:eastAsia="Times New Roman" w:cs="Times New Roman"/>
                <w:spacing w:val="25"/>
              </w:rPr>
              <w:t>00</w:t>
            </w:r>
          </w:p>
        </w:tc>
        <w:tc>
          <w:tcPr>
            <w:tcW w:w="602" w:type="dxa"/>
            <w:textDirection w:val="tbRlV"/>
            <w:vAlign w:val="top"/>
          </w:tcPr>
          <w:p>
            <w:pPr>
              <w:pStyle w:val="6"/>
              <w:spacing w:before="190" w:line="210" w:lineRule="auto"/>
              <w:ind w:left="1718"/>
            </w:pPr>
            <w:r>
              <w:rPr>
                <w:spacing w:val="46"/>
              </w:rPr>
              <w:t>地面道路</w:t>
            </w:r>
          </w:p>
        </w:tc>
        <w:tc>
          <w:tcPr>
            <w:tcW w:w="605"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1" w:line="230" w:lineRule="auto"/>
              <w:ind w:left="122" w:right="102" w:firstLine="39"/>
              <w:rPr>
                <w:rFonts w:ascii="Times New Roman" w:hAnsi="Times New Roman" w:eastAsia="Times New Roman" w:cs="Times New Roman"/>
              </w:rPr>
            </w:pPr>
            <w:r>
              <w:rPr>
                <w:rFonts w:ascii="Times New Roman" w:hAnsi="Times New Roman" w:eastAsia="Times New Roman" w:cs="Times New Roman"/>
                <w:spacing w:val="-1"/>
              </w:rPr>
              <w:t>L2:</w:t>
            </w:r>
            <w:r>
              <w:rPr>
                <w:rFonts w:ascii="Times New Roman" w:hAnsi="Times New Roman" w:eastAsia="Times New Roman" w:cs="Times New Roman"/>
              </w:rPr>
              <w:t xml:space="preserve">  </w:t>
            </w:r>
            <w:r>
              <w:rPr>
                <w:rFonts w:ascii="Times New Roman" w:hAnsi="Times New Roman" w:eastAsia="Times New Roman" w:cs="Times New Roman"/>
                <w:spacing w:val="5"/>
              </w:rPr>
              <w:t>E</w:t>
            </w:r>
            <w:r>
              <w:rPr>
                <w:spacing w:val="5"/>
              </w:rPr>
              <w:t>；</w:t>
            </w:r>
            <w:r>
              <w:t xml:space="preserve"> </w:t>
            </w:r>
            <w:r>
              <w:rPr>
                <w:spacing w:val="24"/>
                <w:w w:val="125"/>
              </w:rPr>
              <w:t>主</w:t>
            </w:r>
            <w:r>
              <w:t xml:space="preserve">  </w:t>
            </w:r>
            <w:r>
              <w:rPr>
                <w:spacing w:val="-4"/>
              </w:rPr>
              <w:t>线</w:t>
            </w:r>
            <w:r>
              <w:rPr>
                <w:rFonts w:ascii="Times New Roman" w:hAnsi="Times New Roman" w:eastAsia="Times New Roman" w:cs="Times New Roman"/>
                <w:spacing w:val="-4"/>
              </w:rPr>
              <w:t>:S</w:t>
            </w:r>
          </w:p>
        </w:tc>
        <w:tc>
          <w:tcPr>
            <w:tcW w:w="648"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60" w:line="187" w:lineRule="auto"/>
              <w:ind w:left="2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w:t>
            </w:r>
          </w:p>
          <w:p>
            <w:pPr>
              <w:pStyle w:val="6"/>
              <w:spacing w:before="29" w:line="234" w:lineRule="auto"/>
              <w:ind w:left="152"/>
              <w:rPr>
                <w:rFonts w:ascii="Times New Roman" w:hAnsi="Times New Roman" w:eastAsia="Times New Roman" w:cs="Times New Roman"/>
              </w:rPr>
            </w:pPr>
            <w:r>
              <w:rPr>
                <w:spacing w:val="-5"/>
              </w:rPr>
              <w:t>（</w:t>
            </w:r>
            <w:r>
              <w:rPr>
                <w:rFonts w:ascii="Times New Roman" w:hAnsi="Times New Roman" w:eastAsia="Times New Roman" w:cs="Times New Roman"/>
                <w:spacing w:val="-5"/>
              </w:rPr>
              <w:t>2.</w:t>
            </w:r>
          </w:p>
          <w:p>
            <w:pPr>
              <w:spacing w:before="32" w:line="187" w:lineRule="auto"/>
              <w:ind w:left="1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7~20</w:t>
            </w:r>
          </w:p>
          <w:p>
            <w:pPr>
              <w:pStyle w:val="6"/>
              <w:spacing w:before="29" w:line="223" w:lineRule="auto"/>
              <w:ind w:left="134"/>
            </w:pPr>
            <w:r>
              <w:rPr>
                <w:spacing w:val="-24"/>
              </w:rPr>
              <w:t>);</w:t>
            </w:r>
            <w:r>
              <w:rPr>
                <w:spacing w:val="-39"/>
              </w:rPr>
              <w:t xml:space="preserve"> </w:t>
            </w:r>
            <w:r>
              <w:rPr>
                <w:spacing w:val="-24"/>
              </w:rPr>
              <w:t>主</w:t>
            </w:r>
          </w:p>
          <w:p>
            <w:pPr>
              <w:pStyle w:val="6"/>
              <w:spacing w:before="17" w:line="221" w:lineRule="auto"/>
              <w:ind w:left="227"/>
            </w:pPr>
            <w:r>
              <w:t>线</w:t>
            </w:r>
          </w:p>
          <w:p>
            <w:pPr>
              <w:pStyle w:val="6"/>
              <w:spacing w:before="22" w:line="234" w:lineRule="auto"/>
              <w:ind w:left="144"/>
              <w:rPr>
                <w:rFonts w:ascii="Times New Roman" w:hAnsi="Times New Roman" w:eastAsia="Times New Roman" w:cs="Times New Roman"/>
              </w:rPr>
            </w:pPr>
            <w:r>
              <w:rPr>
                <w:spacing w:val="-5"/>
              </w:rPr>
              <w:t>（</w:t>
            </w:r>
            <w:r>
              <w:rPr>
                <w:rFonts w:ascii="Times New Roman" w:hAnsi="Times New Roman" w:eastAsia="Times New Roman" w:cs="Times New Roman"/>
                <w:spacing w:val="-5"/>
              </w:rPr>
              <w:t>-3</w:t>
            </w:r>
          </w:p>
          <w:p>
            <w:pPr>
              <w:spacing w:before="30" w:line="187" w:lineRule="auto"/>
              <w:ind w:left="13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w:t>
            </w:r>
          </w:p>
          <w:p>
            <w:pPr>
              <w:pStyle w:val="6"/>
              <w:spacing w:before="30" w:line="233" w:lineRule="auto"/>
              <w:ind w:left="111"/>
            </w:pPr>
            <w:r>
              <w:rPr>
                <w:rFonts w:ascii="Times New Roman" w:hAnsi="Times New Roman" w:eastAsia="Times New Roman" w:cs="Times New Roman"/>
                <w:spacing w:val="-2"/>
              </w:rPr>
              <w:t>0.3</w:t>
            </w:r>
            <w:r>
              <w:rPr>
                <w:spacing w:val="-2"/>
              </w:rPr>
              <w:t>）</w:t>
            </w:r>
          </w:p>
        </w:tc>
        <w:tc>
          <w:tcPr>
            <w:tcW w:w="81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60" w:line="187"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w:t>
            </w:r>
          </w:p>
          <w:p>
            <w:pPr>
              <w:pStyle w:val="6"/>
              <w:spacing w:before="29" w:line="232" w:lineRule="auto"/>
              <w:ind w:left="137" w:right="114" w:firstLine="72"/>
            </w:pPr>
            <w:r>
              <w:rPr>
                <w:spacing w:val="-5"/>
              </w:rPr>
              <w:t>（</w:t>
            </w:r>
            <w:r>
              <w:rPr>
                <w:rFonts w:ascii="Times New Roman" w:hAnsi="Times New Roman" w:eastAsia="Times New Roman" w:cs="Times New Roman"/>
                <w:spacing w:val="-5"/>
              </w:rPr>
              <w:t>40</w:t>
            </w:r>
            <w:r>
              <w:rPr>
                <w:rFonts w:ascii="Times New Roman" w:hAnsi="Times New Roman" w:eastAsia="Times New Roman" w:cs="Times New Roman"/>
              </w:rPr>
              <w:t xml:space="preserve">  </w:t>
            </w:r>
            <w:r>
              <w:rPr>
                <w:spacing w:val="-37"/>
                <w:w w:val="93"/>
              </w:rPr>
              <w:t>)</w:t>
            </w:r>
            <w:r>
              <w:rPr>
                <w:spacing w:val="21"/>
              </w:rPr>
              <w:t xml:space="preserve"> </w:t>
            </w:r>
            <w:r>
              <w:rPr>
                <w:spacing w:val="-37"/>
                <w:w w:val="93"/>
              </w:rPr>
              <w:t>;</w:t>
            </w:r>
            <w:r>
              <w:rPr>
                <w:spacing w:val="43"/>
              </w:rPr>
              <w:t xml:space="preserve"> </w:t>
            </w:r>
            <w:r>
              <w:rPr>
                <w:spacing w:val="-37"/>
                <w:w w:val="93"/>
              </w:rPr>
              <w:t>主</w:t>
            </w:r>
          </w:p>
          <w:p>
            <w:pPr>
              <w:pStyle w:val="6"/>
              <w:spacing w:before="17" w:line="237" w:lineRule="auto"/>
              <w:ind w:left="156" w:right="136" w:firstLine="152"/>
              <w:rPr>
                <w:rFonts w:ascii="Times New Roman" w:hAnsi="Times New Roman" w:eastAsia="Times New Roman" w:cs="Times New Roman"/>
              </w:rPr>
            </w:pPr>
            <w:r>
              <w:rPr>
                <w:spacing w:val="-10"/>
              </w:rPr>
              <w:t>线</w:t>
            </w:r>
            <w:r>
              <w:t xml:space="preserve">  </w:t>
            </w:r>
            <w:r>
              <w:rPr>
                <w:spacing w:val="-3"/>
              </w:rPr>
              <w:t>（</w:t>
            </w:r>
            <w:r>
              <w:rPr>
                <w:rFonts w:ascii="Times New Roman" w:hAnsi="Times New Roman" w:eastAsia="Times New Roman" w:cs="Times New Roman"/>
                <w:spacing w:val="-3"/>
              </w:rPr>
              <w:t>109</w:t>
            </w:r>
          </w:p>
          <w:p>
            <w:pPr>
              <w:pStyle w:val="6"/>
              <w:spacing w:before="6" w:line="223" w:lineRule="auto"/>
              <w:ind w:left="329"/>
            </w:pPr>
            <w:r>
              <w:t>)</w:t>
            </w:r>
          </w:p>
        </w:tc>
        <w:tc>
          <w:tcPr>
            <w:tcW w:w="828"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0" w:line="225" w:lineRule="auto"/>
              <w:ind w:left="120" w:right="76" w:firstLine="191"/>
            </w:pPr>
            <w:r>
              <w:rPr>
                <w:rFonts w:ascii="Times New Roman" w:hAnsi="Times New Roman" w:eastAsia="Times New Roman" w:cs="Times New Roman"/>
                <w:spacing w:val="-2"/>
              </w:rPr>
              <w:t>25</w:t>
            </w:r>
            <w:r>
              <w:rPr>
                <w:rFonts w:ascii="Times New Roman" w:hAnsi="Times New Roman" w:eastAsia="Times New Roman" w:cs="Times New Roman"/>
              </w:rPr>
              <w:t xml:space="preserve">     </w:t>
            </w:r>
            <w:r>
              <w:rPr>
                <w:spacing w:val="-7"/>
              </w:rPr>
              <w:t>（</w:t>
            </w:r>
            <w:r>
              <w:rPr>
                <w:rFonts w:ascii="Times New Roman" w:hAnsi="Times New Roman" w:eastAsia="Times New Roman" w:cs="Times New Roman"/>
                <w:spacing w:val="-7"/>
              </w:rPr>
              <w:t>L2</w:t>
            </w:r>
            <w:r>
              <w:rPr>
                <w:spacing w:val="-7"/>
              </w:rPr>
              <w:t>）</w:t>
            </w:r>
          </w:p>
        </w:tc>
        <w:tc>
          <w:tcPr>
            <w:tcW w:w="53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0" w:line="187" w:lineRule="auto"/>
              <w:ind w:left="23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588"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0" w:line="187"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082"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8" w:line="236" w:lineRule="auto"/>
              <w:ind w:left="129" w:right="113" w:firstLine="103"/>
            </w:pPr>
            <w:r>
              <w:rPr>
                <w:spacing w:val="-2"/>
              </w:rPr>
              <w:t>砖混结</w:t>
            </w:r>
            <w:r>
              <w:t xml:space="preserve">  </w:t>
            </w:r>
            <w:r>
              <w:rPr>
                <w:spacing w:val="-16"/>
              </w:rPr>
              <w:t>构，</w:t>
            </w:r>
            <w:r>
              <w:rPr>
                <w:spacing w:val="17"/>
              </w:rPr>
              <w:t xml:space="preserve"> </w:t>
            </w:r>
            <w:r>
              <w:rPr>
                <w:rFonts w:ascii="Times New Roman" w:hAnsi="Times New Roman" w:eastAsia="Times New Roman" w:cs="Times New Roman"/>
                <w:spacing w:val="-16"/>
              </w:rPr>
              <w:t>1~5</w:t>
            </w:r>
            <w:r>
              <w:rPr>
                <w:rFonts w:ascii="Times New Roman" w:hAnsi="Times New Roman" w:eastAsia="Times New Roman" w:cs="Times New Roman"/>
              </w:rPr>
              <w:t xml:space="preserve">  </w:t>
            </w:r>
            <w:r>
              <w:rPr>
                <w:spacing w:val="-2"/>
              </w:rPr>
              <w:t>层建筑、</w:t>
            </w:r>
            <w:r>
              <w:rPr>
                <w:spacing w:val="1"/>
              </w:rPr>
              <w:t xml:space="preserve"> </w:t>
            </w:r>
            <w:r>
              <w:rPr>
                <w:spacing w:val="-2"/>
              </w:rPr>
              <w:t>面向、侧</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0" w:line="233" w:lineRule="auto"/>
              <w:ind w:left="54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262" w:type="dxa"/>
            <w:vAlign w:val="top"/>
          </w:tcPr>
          <w:p>
            <w:pPr>
              <w:spacing w:line="286" w:lineRule="auto"/>
              <w:rPr>
                <w:rFonts w:ascii="Arial"/>
                <w:sz w:val="21"/>
              </w:rPr>
            </w:pPr>
          </w:p>
          <w:p>
            <w:pPr>
              <w:spacing w:line="3885" w:lineRule="exact"/>
            </w:pPr>
            <w:r>
              <w:rPr>
                <w:position w:val="-77"/>
              </w:rPr>
              <w:drawing>
                <wp:inline distT="0" distB="0" distL="0" distR="0">
                  <wp:extent cx="3272155" cy="24669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11"/>
                          <a:stretch>
                            <a:fillRect/>
                          </a:stretch>
                        </pic:blipFill>
                        <pic:spPr>
                          <a:xfrm>
                            <a:off x="0" y="0"/>
                            <a:ext cx="3272409" cy="2466975"/>
                          </a:xfrm>
                          <a:prstGeom prst="rect">
                            <a:avLst/>
                          </a:prstGeom>
                        </pic:spPr>
                      </pic:pic>
                    </a:graphicData>
                  </a:graphic>
                </wp:inline>
              </w:drawing>
            </w:r>
          </w:p>
        </w:tc>
        <w:tc>
          <w:tcPr>
            <w:tcW w:w="4989" w:type="dxa"/>
            <w:vAlign w:val="top"/>
          </w:tcPr>
          <w:p>
            <w:pPr>
              <w:spacing w:before="146" w:line="4167" w:lineRule="exact"/>
              <w:ind w:firstLine="54"/>
            </w:pPr>
            <w:r>
              <w:rPr>
                <w:position w:val="-83"/>
              </w:rPr>
              <w:drawing>
                <wp:inline distT="0" distB="0" distL="0" distR="0">
                  <wp:extent cx="3098800" cy="264541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12"/>
                          <a:stretch>
                            <a:fillRect/>
                          </a:stretch>
                        </pic:blipFill>
                        <pic:spPr>
                          <a:xfrm>
                            <a:off x="0" y="0"/>
                            <a:ext cx="3099434" cy="2646044"/>
                          </a:xfrm>
                          <a:prstGeom prst="rect">
                            <a:avLst/>
                          </a:prstGeom>
                        </pic:spPr>
                      </pic:pic>
                    </a:graphicData>
                  </a:graphic>
                </wp:inline>
              </w:drawing>
            </w:r>
          </w:p>
        </w:tc>
        <w:tc>
          <w:tcPr>
            <w:tcW w:w="595"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9" w:line="221" w:lineRule="auto"/>
              <w:ind w:left="12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9"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1"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bl>
    <w:p>
      <w:pPr>
        <w:pStyle w:val="2"/>
      </w:pPr>
    </w:p>
    <w:p>
      <w:pPr>
        <w:sectPr>
          <w:pgSz w:w="23813" w:h="16839"/>
          <w:pgMar w:top="1118" w:right="1231" w:bottom="1184" w:left="1233" w:header="879" w:footer="1024" w:gutter="0"/>
          <w:cols w:space="720" w:num="1"/>
        </w:sectPr>
      </w:pPr>
    </w:p>
    <w:p>
      <w:pPr>
        <w:spacing w:before="104"/>
      </w:pPr>
    </w:p>
    <w:tbl>
      <w:tblPr>
        <w:tblStyle w:val="5"/>
        <w:tblW w:w="213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1"/>
        <w:gridCol w:w="792"/>
        <w:gridCol w:w="631"/>
        <w:gridCol w:w="744"/>
        <w:gridCol w:w="540"/>
        <w:gridCol w:w="602"/>
        <w:gridCol w:w="605"/>
        <w:gridCol w:w="648"/>
        <w:gridCol w:w="812"/>
        <w:gridCol w:w="828"/>
        <w:gridCol w:w="535"/>
        <w:gridCol w:w="588"/>
        <w:gridCol w:w="1082"/>
        <w:gridCol w:w="1140"/>
        <w:gridCol w:w="5262"/>
        <w:gridCol w:w="4989"/>
        <w:gridCol w:w="595"/>
        <w:gridCol w:w="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91" w:type="dxa"/>
            <w:vMerge w:val="restart"/>
            <w:tcBorders>
              <w:bottom w:val="nil"/>
            </w:tcBorders>
            <w:textDirection w:val="tbRlV"/>
            <w:vAlign w:val="top"/>
          </w:tcPr>
          <w:p>
            <w:pPr>
              <w:pStyle w:val="6"/>
              <w:spacing w:before="105" w:line="211" w:lineRule="auto"/>
              <w:ind w:left="982"/>
            </w:pPr>
            <w:r>
              <w:rPr>
                <w:spacing w:val="31"/>
              </w:rPr>
              <w:t>序号</w:t>
            </w:r>
          </w:p>
        </w:tc>
        <w:tc>
          <w:tcPr>
            <w:tcW w:w="792"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96"/>
            </w:pPr>
            <w:r>
              <w:rPr>
                <w:spacing w:val="-3"/>
              </w:rPr>
              <w:t>行政</w:t>
            </w:r>
          </w:p>
          <w:p>
            <w:pPr>
              <w:pStyle w:val="6"/>
              <w:spacing w:line="220" w:lineRule="auto"/>
              <w:ind w:left="208"/>
            </w:pPr>
            <w:r>
              <w:rPr>
                <w:spacing w:val="-6"/>
              </w:rPr>
              <w:t>区域</w:t>
            </w:r>
          </w:p>
        </w:tc>
        <w:tc>
          <w:tcPr>
            <w:tcW w:w="631" w:type="dxa"/>
            <w:vMerge w:val="restart"/>
            <w:tcBorders>
              <w:bottom w:val="nil"/>
            </w:tcBorders>
            <w:textDirection w:val="tbRlV"/>
            <w:vAlign w:val="top"/>
          </w:tcPr>
          <w:p>
            <w:pPr>
              <w:pStyle w:val="6"/>
              <w:spacing w:before="205" w:line="210" w:lineRule="auto"/>
              <w:ind w:left="29"/>
            </w:pPr>
            <w:r>
              <w:rPr>
                <w:spacing w:val="19"/>
                <w:w w:val="117"/>
              </w:rPr>
              <w:t>声环境保护目标名称</w:t>
            </w:r>
          </w:p>
        </w:tc>
        <w:tc>
          <w:tcPr>
            <w:tcW w:w="744"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69"/>
            </w:pPr>
            <w:r>
              <w:rPr>
                <w:spacing w:val="-2"/>
              </w:rPr>
              <w:t>所在</w:t>
            </w:r>
          </w:p>
          <w:p>
            <w:pPr>
              <w:pStyle w:val="6"/>
              <w:spacing w:line="220" w:lineRule="auto"/>
              <w:ind w:left="171"/>
            </w:pPr>
            <w:r>
              <w:rPr>
                <w:spacing w:val="-2"/>
              </w:rPr>
              <w:t>路段</w:t>
            </w:r>
          </w:p>
        </w:tc>
        <w:tc>
          <w:tcPr>
            <w:tcW w:w="540" w:type="dxa"/>
            <w:vMerge w:val="restart"/>
            <w:tcBorders>
              <w:bottom w:val="nil"/>
            </w:tcBorders>
            <w:textDirection w:val="tbRlV"/>
            <w:vAlign w:val="top"/>
          </w:tcPr>
          <w:p>
            <w:pPr>
              <w:pStyle w:val="6"/>
              <w:spacing w:before="160" w:line="210" w:lineRule="auto"/>
              <w:ind w:left="709"/>
            </w:pPr>
            <w:r>
              <w:rPr>
                <w:spacing w:val="1"/>
              </w:rPr>
              <w:t>里</w:t>
            </w:r>
            <w:r>
              <w:rPr>
                <w:spacing w:val="-43"/>
              </w:rPr>
              <w:t xml:space="preserve"> </w:t>
            </w:r>
            <w:r>
              <w:rPr>
                <w:spacing w:val="1"/>
              </w:rPr>
              <w:t>程</w:t>
            </w:r>
            <w:r>
              <w:rPr>
                <w:spacing w:val="-45"/>
              </w:rPr>
              <w:t xml:space="preserve"> </w:t>
            </w:r>
            <w:r>
              <w:rPr>
                <w:spacing w:val="1"/>
              </w:rPr>
              <w:t>范</w:t>
            </w:r>
            <w:r>
              <w:rPr>
                <w:spacing w:val="-43"/>
              </w:rPr>
              <w:t xml:space="preserve"> </w:t>
            </w:r>
            <w:r>
              <w:rPr>
                <w:spacing w:val="1"/>
              </w:rPr>
              <w:t>围</w:t>
            </w:r>
          </w:p>
        </w:tc>
        <w:tc>
          <w:tcPr>
            <w:tcW w:w="602" w:type="dxa"/>
            <w:vMerge w:val="restart"/>
            <w:tcBorders>
              <w:bottom w:val="nil"/>
            </w:tcBorders>
            <w:textDirection w:val="tbRlV"/>
            <w:vAlign w:val="top"/>
          </w:tcPr>
          <w:p>
            <w:pPr>
              <w:pStyle w:val="6"/>
              <w:spacing w:before="190" w:line="207" w:lineRule="auto"/>
              <w:ind w:left="709"/>
            </w:pPr>
            <w:r>
              <w:rPr>
                <w:spacing w:val="1"/>
              </w:rPr>
              <w:t>线</w:t>
            </w:r>
            <w:r>
              <w:rPr>
                <w:spacing w:val="-43"/>
              </w:rPr>
              <w:t xml:space="preserve"> </w:t>
            </w:r>
            <w:r>
              <w:rPr>
                <w:spacing w:val="1"/>
              </w:rPr>
              <w:t>路</w:t>
            </w:r>
            <w:r>
              <w:rPr>
                <w:spacing w:val="-45"/>
              </w:rPr>
              <w:t xml:space="preserve"> </w:t>
            </w:r>
            <w:r>
              <w:rPr>
                <w:spacing w:val="1"/>
              </w:rPr>
              <w:t>形</w:t>
            </w:r>
            <w:r>
              <w:rPr>
                <w:spacing w:val="-43"/>
              </w:rPr>
              <w:t xml:space="preserve"> </w:t>
            </w:r>
            <w:r>
              <w:rPr>
                <w:spacing w:val="1"/>
              </w:rPr>
              <w:t>式</w:t>
            </w:r>
          </w:p>
        </w:tc>
        <w:tc>
          <w:tcPr>
            <w:tcW w:w="605" w:type="dxa"/>
            <w:vMerge w:val="restart"/>
            <w:tcBorders>
              <w:bottom w:val="nil"/>
            </w:tcBorders>
            <w:textDirection w:val="tbRlV"/>
            <w:vAlign w:val="top"/>
          </w:tcPr>
          <w:p>
            <w:pPr>
              <w:pStyle w:val="6"/>
              <w:spacing w:before="191" w:line="210" w:lineRule="auto"/>
              <w:ind w:left="982"/>
            </w:pPr>
            <w:r>
              <w:rPr>
                <w:spacing w:val="31"/>
              </w:rPr>
              <w:t>方位</w:t>
            </w:r>
          </w:p>
        </w:tc>
        <w:tc>
          <w:tcPr>
            <w:tcW w:w="648" w:type="dxa"/>
            <w:vMerge w:val="restart"/>
            <w:tcBorders>
              <w:bottom w:val="nil"/>
            </w:tcBorders>
            <w:vAlign w:val="top"/>
          </w:tcPr>
          <w:p>
            <w:pPr>
              <w:spacing w:line="245" w:lineRule="auto"/>
              <w:rPr>
                <w:rFonts w:ascii="Arial"/>
                <w:sz w:val="21"/>
              </w:rPr>
            </w:pPr>
          </w:p>
          <w:p>
            <w:pPr>
              <w:pStyle w:val="6"/>
              <w:spacing w:before="68" w:line="236" w:lineRule="auto"/>
              <w:ind w:left="120" w:right="109" w:firstLine="3"/>
              <w:jc w:val="both"/>
              <w:rPr>
                <w:rFonts w:ascii="Times New Roman" w:hAnsi="Times New Roman" w:eastAsia="Times New Roman" w:cs="Times New Roman"/>
              </w:rPr>
            </w:pPr>
            <w:r>
              <w:rPr>
                <w:spacing w:val="-6"/>
              </w:rPr>
              <w:t>声环</w:t>
            </w:r>
            <w:r>
              <w:t xml:space="preserve"> </w:t>
            </w:r>
            <w:r>
              <w:rPr>
                <w:spacing w:val="-4"/>
              </w:rPr>
              <w:t>境保</w:t>
            </w:r>
            <w:r>
              <w:t xml:space="preserve"> </w:t>
            </w:r>
            <w:r>
              <w:rPr>
                <w:spacing w:val="-4"/>
              </w:rPr>
              <w:t>护目</w:t>
            </w:r>
            <w:r>
              <w:t xml:space="preserve"> </w:t>
            </w:r>
            <w:r>
              <w:rPr>
                <w:spacing w:val="-4"/>
              </w:rPr>
              <w:t>标与</w:t>
            </w:r>
            <w:r>
              <w:t xml:space="preserve"> </w:t>
            </w:r>
            <w:r>
              <w:rPr>
                <w:spacing w:val="-4"/>
              </w:rPr>
              <w:t>路面</w:t>
            </w:r>
            <w:r>
              <w:t xml:space="preserve"> </w:t>
            </w:r>
            <w:r>
              <w:rPr>
                <w:spacing w:val="-4"/>
              </w:rPr>
              <w:t>高差</w:t>
            </w:r>
            <w:r>
              <w:t xml:space="preserve"> </w:t>
            </w:r>
            <w:r>
              <w:rPr>
                <w:rFonts w:ascii="Times New Roman" w:hAnsi="Times New Roman" w:eastAsia="Times New Roman" w:cs="Times New Roman"/>
                <w:spacing w:val="17"/>
              </w:rPr>
              <w:t>(m)</w:t>
            </w:r>
          </w:p>
        </w:tc>
        <w:tc>
          <w:tcPr>
            <w:tcW w:w="812"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41" w:lineRule="auto"/>
              <w:ind w:left="202"/>
            </w:pPr>
            <w:r>
              <w:rPr>
                <w:spacing w:val="-2"/>
              </w:rPr>
              <w:t>距道</w:t>
            </w:r>
          </w:p>
          <w:p>
            <w:pPr>
              <w:pStyle w:val="6"/>
              <w:spacing w:line="220" w:lineRule="auto"/>
              <w:ind w:left="205"/>
            </w:pPr>
            <w:r>
              <w:rPr>
                <w:spacing w:val="-2"/>
              </w:rPr>
              <w:t>路中</w:t>
            </w:r>
          </w:p>
          <w:p>
            <w:pPr>
              <w:pStyle w:val="6"/>
              <w:spacing w:before="19" w:line="221" w:lineRule="auto"/>
              <w:ind w:left="210"/>
            </w:pPr>
            <w:r>
              <w:rPr>
                <w:spacing w:val="-4"/>
              </w:rPr>
              <w:t>心线</w:t>
            </w:r>
          </w:p>
          <w:p>
            <w:pPr>
              <w:pStyle w:val="6"/>
              <w:spacing w:before="20" w:line="221" w:lineRule="auto"/>
              <w:ind w:left="202"/>
            </w:pPr>
            <w:r>
              <w:rPr>
                <w:spacing w:val="-2"/>
              </w:rPr>
              <w:t>距离</w:t>
            </w:r>
          </w:p>
          <w:p>
            <w:pPr>
              <w:spacing w:before="43" w:line="191"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828" w:type="dxa"/>
            <w:vMerge w:val="restart"/>
            <w:tcBorders>
              <w:bottom w:val="nil"/>
            </w:tcBorders>
            <w:vAlign w:val="top"/>
          </w:tcPr>
          <w:p>
            <w:pPr>
              <w:spacing w:line="252" w:lineRule="auto"/>
              <w:rPr>
                <w:rFonts w:ascii="Arial"/>
                <w:sz w:val="21"/>
              </w:rPr>
            </w:pPr>
          </w:p>
          <w:p>
            <w:pPr>
              <w:spacing w:line="253" w:lineRule="auto"/>
              <w:rPr>
                <w:rFonts w:ascii="Arial"/>
                <w:sz w:val="21"/>
              </w:rPr>
            </w:pPr>
          </w:p>
          <w:p>
            <w:pPr>
              <w:pStyle w:val="6"/>
              <w:spacing w:before="68" w:line="234" w:lineRule="auto"/>
              <w:ind w:left="116" w:right="102" w:firstLine="92"/>
              <w:jc w:val="both"/>
              <w:rPr>
                <w:rFonts w:ascii="Times New Roman" w:hAnsi="Times New Roman" w:eastAsia="Times New Roman" w:cs="Times New Roman"/>
              </w:rPr>
            </w:pPr>
            <w:r>
              <w:rPr>
                <w:spacing w:val="-3"/>
              </w:rPr>
              <w:t>距道</w:t>
            </w:r>
            <w:r>
              <w:t xml:space="preserve">  </w:t>
            </w:r>
            <w:r>
              <w:rPr>
                <w:spacing w:val="43"/>
              </w:rPr>
              <w:t>路边</w:t>
            </w:r>
            <w:r>
              <w:t xml:space="preserve">  </w:t>
            </w:r>
            <w:r>
              <w:rPr>
                <w:spacing w:val="-9"/>
              </w:rPr>
              <w:t>界（红</w:t>
            </w:r>
            <w:r>
              <w:t xml:space="preserve"> </w:t>
            </w:r>
            <w:r>
              <w:rPr>
                <w:spacing w:val="-24"/>
              </w:rPr>
              <w:t>线）</w:t>
            </w:r>
            <w:r>
              <w:rPr>
                <w:spacing w:val="-61"/>
              </w:rPr>
              <w:t xml:space="preserve"> </w:t>
            </w:r>
            <w:r>
              <w:rPr>
                <w:spacing w:val="-24"/>
              </w:rPr>
              <w:t>距</w:t>
            </w:r>
            <w:r>
              <w:t xml:space="preserve"> </w:t>
            </w:r>
            <w:r>
              <w:rPr>
                <w:spacing w:val="10"/>
              </w:rPr>
              <w:t>离</w:t>
            </w:r>
            <w:r>
              <w:rPr>
                <w:rFonts w:ascii="Times New Roman" w:hAnsi="Times New Roman" w:eastAsia="Times New Roman" w:cs="Times New Roman"/>
                <w:spacing w:val="10"/>
              </w:rPr>
              <w:t>(m)</w:t>
            </w:r>
          </w:p>
        </w:tc>
        <w:tc>
          <w:tcPr>
            <w:tcW w:w="1123" w:type="dxa"/>
            <w:gridSpan w:val="2"/>
            <w:vAlign w:val="top"/>
          </w:tcPr>
          <w:p>
            <w:pPr>
              <w:pStyle w:val="6"/>
              <w:spacing w:before="29" w:line="222" w:lineRule="auto"/>
              <w:ind w:left="151"/>
            </w:pPr>
            <w:r>
              <w:rPr>
                <w:spacing w:val="-3"/>
              </w:rPr>
              <w:t>不同功能</w:t>
            </w:r>
          </w:p>
          <w:p>
            <w:pPr>
              <w:pStyle w:val="6"/>
              <w:spacing w:before="18" w:line="209" w:lineRule="auto"/>
              <w:ind w:left="269"/>
            </w:pPr>
            <w:r>
              <w:rPr>
                <w:spacing w:val="-7"/>
              </w:rPr>
              <w:t>区户数</w:t>
            </w:r>
          </w:p>
        </w:tc>
        <w:tc>
          <w:tcPr>
            <w:tcW w:w="2222" w:type="dxa"/>
            <w:gridSpan w:val="2"/>
            <w:vAlign w:val="top"/>
          </w:tcPr>
          <w:p>
            <w:pPr>
              <w:pStyle w:val="6"/>
              <w:spacing w:before="29" w:line="224" w:lineRule="auto"/>
              <w:ind w:left="911" w:right="159" w:hanging="735"/>
            </w:pPr>
            <w:r>
              <w:rPr>
                <w:spacing w:val="-1"/>
              </w:rPr>
              <w:t>声环境保护目标情况</w:t>
            </w:r>
            <w:r>
              <w:t xml:space="preserve"> </w:t>
            </w:r>
            <w:r>
              <w:rPr>
                <w:spacing w:val="-3"/>
              </w:rPr>
              <w:t>说明</w:t>
            </w:r>
          </w:p>
        </w:tc>
        <w:tc>
          <w:tcPr>
            <w:tcW w:w="526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2009"/>
            </w:pPr>
            <w:r>
              <w:rPr>
                <w:spacing w:val="-1"/>
              </w:rPr>
              <w:t>保护目标照片</w:t>
            </w:r>
          </w:p>
        </w:tc>
        <w:tc>
          <w:tcPr>
            <w:tcW w:w="4989"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1769"/>
            </w:pPr>
            <w:r>
              <w:rPr>
                <w:spacing w:val="-1"/>
              </w:rPr>
              <w:t>保护目标地形图</w:t>
            </w:r>
          </w:p>
        </w:tc>
        <w:tc>
          <w:tcPr>
            <w:tcW w:w="1154" w:type="dxa"/>
            <w:gridSpan w:val="2"/>
            <w:vAlign w:val="top"/>
          </w:tcPr>
          <w:p>
            <w:pPr>
              <w:pStyle w:val="6"/>
              <w:spacing w:before="163" w:line="221" w:lineRule="auto"/>
              <w:ind w:left="166"/>
            </w:pPr>
            <w:r>
              <w:rPr>
                <w:spacing w:val="-2"/>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9" w:hRule="atLeast"/>
        </w:trPr>
        <w:tc>
          <w:tcPr>
            <w:tcW w:w="391" w:type="dxa"/>
            <w:vMerge w:val="continue"/>
            <w:tcBorders>
              <w:top w:val="nil"/>
            </w:tcBorders>
            <w:textDirection w:val="tbRlV"/>
            <w:vAlign w:val="top"/>
          </w:tcPr>
          <w:p>
            <w:pPr>
              <w:rPr>
                <w:rFonts w:ascii="Arial"/>
                <w:sz w:val="21"/>
              </w:rPr>
            </w:pPr>
          </w:p>
        </w:tc>
        <w:tc>
          <w:tcPr>
            <w:tcW w:w="792" w:type="dxa"/>
            <w:vMerge w:val="continue"/>
            <w:tcBorders>
              <w:top w:val="nil"/>
            </w:tcBorders>
            <w:vAlign w:val="top"/>
          </w:tcPr>
          <w:p>
            <w:pPr>
              <w:rPr>
                <w:rFonts w:ascii="Arial"/>
                <w:sz w:val="21"/>
              </w:rPr>
            </w:pPr>
          </w:p>
        </w:tc>
        <w:tc>
          <w:tcPr>
            <w:tcW w:w="631" w:type="dxa"/>
            <w:vMerge w:val="continue"/>
            <w:tcBorders>
              <w:top w:val="nil"/>
            </w:tcBorders>
            <w:textDirection w:val="tbRlV"/>
            <w:vAlign w:val="top"/>
          </w:tcPr>
          <w:p>
            <w:pPr>
              <w:rPr>
                <w:rFonts w:ascii="Arial"/>
                <w:sz w:val="21"/>
              </w:rPr>
            </w:pPr>
          </w:p>
        </w:tc>
        <w:tc>
          <w:tcPr>
            <w:tcW w:w="744" w:type="dxa"/>
            <w:vMerge w:val="continue"/>
            <w:tcBorders>
              <w:top w:val="nil"/>
            </w:tcBorders>
            <w:vAlign w:val="top"/>
          </w:tcPr>
          <w:p>
            <w:pPr>
              <w:rPr>
                <w:rFonts w:ascii="Arial"/>
                <w:sz w:val="21"/>
              </w:rPr>
            </w:pPr>
          </w:p>
        </w:tc>
        <w:tc>
          <w:tcPr>
            <w:tcW w:w="540" w:type="dxa"/>
            <w:vMerge w:val="continue"/>
            <w:tcBorders>
              <w:top w:val="nil"/>
            </w:tcBorders>
            <w:textDirection w:val="tbRlV"/>
            <w:vAlign w:val="top"/>
          </w:tcPr>
          <w:p>
            <w:pPr>
              <w:rPr>
                <w:rFonts w:ascii="Arial"/>
                <w:sz w:val="21"/>
              </w:rPr>
            </w:pPr>
          </w:p>
        </w:tc>
        <w:tc>
          <w:tcPr>
            <w:tcW w:w="602" w:type="dxa"/>
            <w:vMerge w:val="continue"/>
            <w:tcBorders>
              <w:top w:val="nil"/>
            </w:tcBorders>
            <w:textDirection w:val="tbRlV"/>
            <w:vAlign w:val="top"/>
          </w:tcPr>
          <w:p>
            <w:pPr>
              <w:rPr>
                <w:rFonts w:ascii="Arial"/>
                <w:sz w:val="21"/>
              </w:rPr>
            </w:pPr>
          </w:p>
        </w:tc>
        <w:tc>
          <w:tcPr>
            <w:tcW w:w="605" w:type="dxa"/>
            <w:vMerge w:val="continue"/>
            <w:tcBorders>
              <w:top w:val="nil"/>
            </w:tcBorders>
            <w:textDirection w:val="tbRlV"/>
            <w:vAlign w:val="top"/>
          </w:tcPr>
          <w:p>
            <w:pPr>
              <w:rPr>
                <w:rFonts w:ascii="Arial"/>
                <w:sz w:val="21"/>
              </w:rPr>
            </w:pPr>
          </w:p>
        </w:tc>
        <w:tc>
          <w:tcPr>
            <w:tcW w:w="648"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828" w:type="dxa"/>
            <w:vMerge w:val="continue"/>
            <w:tcBorders>
              <w:top w:val="nil"/>
            </w:tcBorders>
            <w:vAlign w:val="top"/>
          </w:tcPr>
          <w:p>
            <w:pPr>
              <w:rPr>
                <w:rFonts w:ascii="Arial"/>
                <w:sz w:val="21"/>
              </w:rPr>
            </w:pPr>
          </w:p>
        </w:tc>
        <w:tc>
          <w:tcPr>
            <w:tcW w:w="535" w:type="dxa"/>
            <w:vAlign w:val="top"/>
          </w:tcPr>
          <w:p>
            <w:pPr>
              <w:spacing w:line="339" w:lineRule="auto"/>
              <w:rPr>
                <w:rFonts w:ascii="Arial"/>
                <w:sz w:val="21"/>
              </w:rPr>
            </w:pPr>
          </w:p>
          <w:p>
            <w:pPr>
              <w:spacing w:line="339" w:lineRule="auto"/>
              <w:rPr>
                <w:rFonts w:ascii="Arial"/>
                <w:sz w:val="21"/>
              </w:rPr>
            </w:pPr>
          </w:p>
          <w:p>
            <w:pPr>
              <w:spacing w:before="61" w:line="21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p>
            <w:pPr>
              <w:pStyle w:val="6"/>
              <w:spacing w:line="220" w:lineRule="auto"/>
              <w:ind w:left="169"/>
            </w:pPr>
            <w:r>
              <w:t>类</w:t>
            </w:r>
          </w:p>
        </w:tc>
        <w:tc>
          <w:tcPr>
            <w:tcW w:w="588"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11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082" w:type="dxa"/>
            <w:vAlign w:val="top"/>
          </w:tcPr>
          <w:p>
            <w:pPr>
              <w:spacing w:line="363" w:lineRule="auto"/>
              <w:rPr>
                <w:rFonts w:ascii="Arial"/>
                <w:sz w:val="21"/>
              </w:rPr>
            </w:pPr>
          </w:p>
          <w:p>
            <w:pPr>
              <w:pStyle w:val="6"/>
              <w:spacing w:before="68" w:line="221" w:lineRule="auto"/>
              <w:ind w:left="234"/>
            </w:pPr>
            <w:r>
              <w:rPr>
                <w:spacing w:val="-2"/>
              </w:rPr>
              <w:t>建筑结</w:t>
            </w:r>
          </w:p>
          <w:p>
            <w:pPr>
              <w:pStyle w:val="6"/>
              <w:spacing w:before="18" w:line="221" w:lineRule="auto"/>
              <w:jc w:val="right"/>
            </w:pPr>
            <w:r>
              <w:rPr>
                <w:spacing w:val="-24"/>
              </w:rPr>
              <w:t>构、朝向、</w:t>
            </w:r>
          </w:p>
          <w:p>
            <w:pPr>
              <w:pStyle w:val="6"/>
              <w:spacing w:before="22" w:line="218" w:lineRule="auto"/>
              <w:ind w:left="128"/>
            </w:pPr>
            <w:r>
              <w:rPr>
                <w:spacing w:val="-2"/>
              </w:rPr>
              <w:t>楼层、窗</w:t>
            </w:r>
          </w:p>
          <w:p>
            <w:pPr>
              <w:pStyle w:val="6"/>
              <w:spacing w:before="23" w:line="221" w:lineRule="auto"/>
              <w:ind w:left="444"/>
            </w:pPr>
            <w:r>
              <w:t>户</w:t>
            </w:r>
          </w:p>
        </w:tc>
        <w:tc>
          <w:tcPr>
            <w:tcW w:w="1140" w:type="dxa"/>
            <w:vAlign w:val="top"/>
          </w:tcPr>
          <w:p>
            <w:pPr>
              <w:spacing w:line="316" w:lineRule="auto"/>
              <w:rPr>
                <w:rFonts w:ascii="Arial"/>
                <w:sz w:val="21"/>
              </w:rPr>
            </w:pPr>
          </w:p>
          <w:p>
            <w:pPr>
              <w:spacing w:line="316" w:lineRule="auto"/>
              <w:rPr>
                <w:rFonts w:ascii="Arial"/>
                <w:sz w:val="21"/>
              </w:rPr>
            </w:pPr>
          </w:p>
          <w:p>
            <w:pPr>
              <w:pStyle w:val="6"/>
              <w:spacing w:before="68" w:line="231" w:lineRule="auto"/>
              <w:ind w:left="367" w:right="142" w:hanging="208"/>
            </w:pPr>
            <w:r>
              <w:rPr>
                <w:spacing w:val="-2"/>
              </w:rPr>
              <w:t>周边环境</w:t>
            </w:r>
            <w:r>
              <w:t xml:space="preserve"> </w:t>
            </w:r>
            <w:r>
              <w:rPr>
                <w:spacing w:val="-2"/>
              </w:rPr>
              <w:t>情况</w:t>
            </w:r>
          </w:p>
        </w:tc>
        <w:tc>
          <w:tcPr>
            <w:tcW w:w="5262" w:type="dxa"/>
            <w:vMerge w:val="continue"/>
            <w:tcBorders>
              <w:top w:val="nil"/>
            </w:tcBorders>
            <w:vAlign w:val="top"/>
          </w:tcPr>
          <w:p>
            <w:pPr>
              <w:rPr>
                <w:rFonts w:ascii="Arial"/>
                <w:sz w:val="21"/>
              </w:rPr>
            </w:pPr>
          </w:p>
        </w:tc>
        <w:tc>
          <w:tcPr>
            <w:tcW w:w="4989" w:type="dxa"/>
            <w:vMerge w:val="continue"/>
            <w:tcBorders>
              <w:top w:val="nil"/>
            </w:tcBorders>
            <w:vAlign w:val="top"/>
          </w:tcPr>
          <w:p>
            <w:pPr>
              <w:rPr>
                <w:rFonts w:ascii="Arial"/>
                <w:sz w:val="21"/>
              </w:rPr>
            </w:pPr>
          </w:p>
        </w:tc>
        <w:tc>
          <w:tcPr>
            <w:tcW w:w="595" w:type="dxa"/>
            <w:vAlign w:val="top"/>
          </w:tcPr>
          <w:p>
            <w:pPr>
              <w:spacing w:line="316" w:lineRule="auto"/>
              <w:rPr>
                <w:rFonts w:ascii="Arial"/>
                <w:sz w:val="21"/>
              </w:rPr>
            </w:pPr>
          </w:p>
          <w:p>
            <w:pPr>
              <w:spacing w:line="317" w:lineRule="auto"/>
              <w:rPr>
                <w:rFonts w:ascii="Arial"/>
                <w:sz w:val="21"/>
              </w:rPr>
            </w:pPr>
          </w:p>
          <w:p>
            <w:pPr>
              <w:pStyle w:val="6"/>
              <w:spacing w:before="68" w:line="223" w:lineRule="auto"/>
              <w:ind w:left="98"/>
            </w:pPr>
            <w:r>
              <w:rPr>
                <w:spacing w:val="-2"/>
              </w:rPr>
              <w:t>施工</w:t>
            </w:r>
          </w:p>
          <w:p>
            <w:pPr>
              <w:pStyle w:val="6"/>
              <w:spacing w:before="19" w:line="221" w:lineRule="auto"/>
              <w:ind w:left="204"/>
            </w:pPr>
            <w:r>
              <w:t>期</w:t>
            </w:r>
          </w:p>
        </w:tc>
        <w:tc>
          <w:tcPr>
            <w:tcW w:w="559" w:type="dxa"/>
            <w:vAlign w:val="top"/>
          </w:tcPr>
          <w:p>
            <w:pPr>
              <w:spacing w:line="316" w:lineRule="auto"/>
              <w:rPr>
                <w:rFonts w:ascii="Arial"/>
                <w:sz w:val="21"/>
              </w:rPr>
            </w:pPr>
          </w:p>
          <w:p>
            <w:pPr>
              <w:spacing w:line="316" w:lineRule="auto"/>
              <w:rPr>
                <w:rFonts w:ascii="Arial"/>
                <w:sz w:val="21"/>
              </w:rPr>
            </w:pPr>
          </w:p>
          <w:p>
            <w:pPr>
              <w:pStyle w:val="6"/>
              <w:spacing w:before="69" w:line="221" w:lineRule="auto"/>
              <w:ind w:left="77"/>
            </w:pPr>
            <w:r>
              <w:rPr>
                <w:spacing w:val="-2"/>
              </w:rPr>
              <w:t>运营</w:t>
            </w:r>
          </w:p>
          <w:p>
            <w:pPr>
              <w:pStyle w:val="6"/>
              <w:spacing w:before="22" w:line="221" w:lineRule="auto"/>
              <w:ind w:left="185"/>
            </w:pPr>
            <w: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9" w:hRule="atLeast"/>
        </w:trPr>
        <w:tc>
          <w:tcPr>
            <w:tcW w:w="391"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0" w:line="184" w:lineRule="auto"/>
              <w:ind w:left="18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5</w:t>
            </w:r>
          </w:p>
        </w:tc>
        <w:tc>
          <w:tcPr>
            <w:tcW w:w="792"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9" w:line="237" w:lineRule="auto"/>
              <w:ind w:left="114" w:right="64" w:firstLine="80"/>
              <w:jc w:val="both"/>
            </w:pPr>
            <w:r>
              <w:rPr>
                <w:spacing w:val="-4"/>
              </w:rPr>
              <w:t>文成</w:t>
            </w:r>
            <w:r>
              <w:t xml:space="preserve">  </w:t>
            </w:r>
            <w:r>
              <w:rPr>
                <w:spacing w:val="36"/>
              </w:rPr>
              <w:t>县西</w:t>
            </w:r>
            <w:r>
              <w:t xml:space="preserve">  </w:t>
            </w:r>
            <w:r>
              <w:rPr>
                <w:spacing w:val="36"/>
              </w:rPr>
              <w:t>坑畲</w:t>
            </w:r>
            <w:r>
              <w:t xml:space="preserve">  </w:t>
            </w:r>
            <w:r>
              <w:rPr>
                <w:spacing w:val="36"/>
              </w:rPr>
              <w:t>族镇</w:t>
            </w:r>
            <w:r>
              <w:t xml:space="preserve">  </w:t>
            </w:r>
            <w:r>
              <w:rPr>
                <w:spacing w:val="36"/>
              </w:rPr>
              <w:t>敖里</w:t>
            </w:r>
            <w:r>
              <w:t xml:space="preserve">  </w:t>
            </w:r>
            <w:r>
              <w:rPr>
                <w:spacing w:val="-21"/>
              </w:rPr>
              <w:t>村（双</w:t>
            </w:r>
            <w:r>
              <w:rPr>
                <w:spacing w:val="1"/>
              </w:rPr>
              <w:t xml:space="preserve"> </w:t>
            </w:r>
            <w:r>
              <w:rPr>
                <w:spacing w:val="-8"/>
              </w:rPr>
              <w:t>田村）</w:t>
            </w:r>
          </w:p>
        </w:tc>
        <w:tc>
          <w:tcPr>
            <w:tcW w:w="631" w:type="dxa"/>
            <w:textDirection w:val="tbRlV"/>
            <w:vAlign w:val="top"/>
          </w:tcPr>
          <w:p>
            <w:pPr>
              <w:pStyle w:val="6"/>
              <w:spacing w:before="205" w:line="210" w:lineRule="auto"/>
              <w:ind w:left="1878"/>
            </w:pPr>
            <w:r>
              <w:rPr>
                <w:spacing w:val="42"/>
              </w:rPr>
              <w:t>庙儿垄</w:t>
            </w:r>
          </w:p>
        </w:tc>
        <w:tc>
          <w:tcPr>
            <w:tcW w:w="744"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8" w:line="221" w:lineRule="auto"/>
              <w:ind w:left="174"/>
            </w:pPr>
            <w:r>
              <w:rPr>
                <w:spacing w:val="-3"/>
              </w:rPr>
              <w:t>西坑</w:t>
            </w:r>
          </w:p>
          <w:p>
            <w:pPr>
              <w:pStyle w:val="6"/>
              <w:spacing w:before="19" w:line="228" w:lineRule="auto"/>
              <w:ind w:left="173"/>
            </w:pPr>
            <w:r>
              <w:rPr>
                <w:spacing w:val="-3"/>
              </w:rPr>
              <w:t>互通</w:t>
            </w:r>
          </w:p>
          <w:p>
            <w:pPr>
              <w:pStyle w:val="6"/>
              <w:spacing w:before="14" w:line="221" w:lineRule="auto"/>
              <w:ind w:left="170"/>
            </w:pPr>
            <w:r>
              <w:rPr>
                <w:spacing w:val="-2"/>
              </w:rPr>
              <w:t>连接</w:t>
            </w:r>
          </w:p>
          <w:p>
            <w:pPr>
              <w:pStyle w:val="6"/>
              <w:spacing w:before="19" w:line="221" w:lineRule="auto"/>
              <w:ind w:left="172"/>
            </w:pPr>
            <w:r>
              <w:rPr>
                <w:spacing w:val="-3"/>
              </w:rPr>
              <w:t>线主</w:t>
            </w:r>
          </w:p>
          <w:p>
            <w:pPr>
              <w:pStyle w:val="6"/>
              <w:spacing w:before="20" w:line="221" w:lineRule="auto"/>
              <w:ind w:left="277"/>
            </w:pPr>
            <w:r>
              <w:t>线</w:t>
            </w:r>
          </w:p>
          <w:p>
            <w:pPr>
              <w:spacing w:before="44"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p>
            <w:pPr>
              <w:pStyle w:val="6"/>
              <w:spacing w:before="29" w:line="223" w:lineRule="auto"/>
              <w:ind w:left="173"/>
            </w:pPr>
            <w:r>
              <w:rPr>
                <w:spacing w:val="-3"/>
              </w:rPr>
              <w:t>与让</w:t>
            </w:r>
          </w:p>
          <w:p>
            <w:pPr>
              <w:pStyle w:val="6"/>
              <w:spacing w:before="17" w:line="221" w:lineRule="auto"/>
              <w:ind w:left="175"/>
            </w:pPr>
            <w:r>
              <w:rPr>
                <w:spacing w:val="-3"/>
              </w:rPr>
              <w:t>川接</w:t>
            </w:r>
          </w:p>
          <w:p>
            <w:pPr>
              <w:pStyle w:val="6"/>
              <w:spacing w:before="22" w:line="221" w:lineRule="auto"/>
              <w:ind w:left="277"/>
            </w:pPr>
            <w:r>
              <w:t>线</w:t>
            </w:r>
          </w:p>
          <w:p>
            <w:pPr>
              <w:spacing w:before="41"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(L2)</w:t>
            </w:r>
          </w:p>
          <w:p>
            <w:pPr>
              <w:pStyle w:val="6"/>
              <w:spacing w:before="30" w:line="222" w:lineRule="auto"/>
              <w:ind w:left="173"/>
            </w:pPr>
            <w:r>
              <w:rPr>
                <w:spacing w:val="-3"/>
              </w:rPr>
              <w:t>交叉</w:t>
            </w:r>
          </w:p>
        </w:tc>
        <w:tc>
          <w:tcPr>
            <w:tcW w:w="540" w:type="dxa"/>
            <w:vAlign w:val="top"/>
          </w:tcPr>
          <w:p>
            <w:pPr>
              <w:spacing w:line="293" w:lineRule="auto"/>
              <w:rPr>
                <w:rFonts w:ascii="Arial"/>
                <w:sz w:val="21"/>
              </w:rPr>
            </w:pPr>
          </w:p>
          <w:p>
            <w:pPr>
              <w:pStyle w:val="6"/>
              <w:spacing w:before="61" w:line="237" w:lineRule="auto"/>
              <w:ind w:left="113" w:right="56" w:firstLine="42"/>
              <w:jc w:val="both"/>
              <w:rPr>
                <w:rFonts w:ascii="Times New Roman" w:hAnsi="Times New Roman" w:eastAsia="Times New Roman" w:cs="Times New Roman"/>
              </w:rPr>
            </w:pPr>
            <w:r>
              <w:rPr>
                <w:rFonts w:ascii="Times New Roman" w:hAnsi="Times New Roman" w:eastAsia="Times New Roman" w:cs="Times New Roman"/>
                <w:spacing w:val="-2"/>
              </w:rPr>
              <w:t>L2</w:t>
            </w:r>
            <w:r>
              <w:rPr>
                <w:rFonts w:ascii="Times New Roman" w:hAnsi="Times New Roman" w:eastAsia="Times New Roman" w:cs="Times New Roman"/>
              </w:rPr>
              <w:t xml:space="preserve">   </w:t>
            </w:r>
            <w:r>
              <w:rPr>
                <w:rFonts w:ascii="Times New Roman" w:hAnsi="Times New Roman" w:eastAsia="Times New Roman" w:cs="Times New Roman"/>
                <w:spacing w:val="14"/>
              </w:rPr>
              <w:t>K0</w:t>
            </w:r>
            <w:r>
              <w:rPr>
                <w:rFonts w:ascii="Times New Roman" w:hAnsi="Times New Roman" w:eastAsia="Times New Roman" w:cs="Times New Roman"/>
              </w:rPr>
              <w:t xml:space="preserve">  </w:t>
            </w:r>
            <w:r>
              <w:rPr>
                <w:rFonts w:ascii="Times New Roman" w:hAnsi="Times New Roman" w:eastAsia="Times New Roman" w:cs="Times New Roman"/>
                <w:spacing w:val="22"/>
              </w:rPr>
              <w:t>+5</w:t>
            </w:r>
            <w:r>
              <w:rPr>
                <w:rFonts w:ascii="Times New Roman" w:hAnsi="Times New Roman" w:eastAsia="Times New Roman" w:cs="Times New Roman"/>
              </w:rPr>
              <w:t xml:space="preserve">   </w:t>
            </w:r>
            <w:r>
              <w:rPr>
                <w:rFonts w:ascii="Times New Roman" w:hAnsi="Times New Roman" w:eastAsia="Times New Roman" w:cs="Times New Roman"/>
                <w:spacing w:val="-2"/>
              </w:rPr>
              <w:t>00~</w:t>
            </w:r>
            <w:r>
              <w:rPr>
                <w:rFonts w:ascii="Times New Roman" w:hAnsi="Times New Roman" w:eastAsia="Times New Roman" w:cs="Times New Roman"/>
              </w:rPr>
              <w:t xml:space="preserve">  </w:t>
            </w:r>
            <w:r>
              <w:rPr>
                <w:rFonts w:ascii="Times New Roman" w:hAnsi="Times New Roman" w:eastAsia="Times New Roman" w:cs="Times New Roman"/>
                <w:spacing w:val="19"/>
              </w:rPr>
              <w:t>L2</w:t>
            </w:r>
            <w:r>
              <w:rPr>
                <w:rFonts w:ascii="Times New Roman" w:hAnsi="Times New Roman" w:eastAsia="Times New Roman" w:cs="Times New Roman"/>
              </w:rPr>
              <w:t xml:space="preserve">   </w:t>
            </w:r>
            <w:r>
              <w:rPr>
                <w:rFonts w:ascii="Times New Roman" w:hAnsi="Times New Roman" w:eastAsia="Times New Roman" w:cs="Times New Roman"/>
                <w:spacing w:val="14"/>
              </w:rPr>
              <w:t>K0</w:t>
            </w:r>
            <w:r>
              <w:rPr>
                <w:rFonts w:ascii="Times New Roman" w:hAnsi="Times New Roman" w:eastAsia="Times New Roman" w:cs="Times New Roman"/>
              </w:rPr>
              <w:t xml:space="preserve">  </w:t>
            </w:r>
            <w:r>
              <w:rPr>
                <w:rFonts w:ascii="Times New Roman" w:hAnsi="Times New Roman" w:eastAsia="Times New Roman" w:cs="Times New Roman"/>
                <w:spacing w:val="22"/>
              </w:rPr>
              <w:t>+6</w:t>
            </w:r>
            <w:r>
              <w:rPr>
                <w:rFonts w:ascii="Times New Roman" w:hAnsi="Times New Roman" w:eastAsia="Times New Roman" w:cs="Times New Roman"/>
              </w:rPr>
              <w:t xml:space="preserve">   </w:t>
            </w:r>
            <w:r>
              <w:rPr>
                <w:rFonts w:ascii="Times New Roman" w:hAnsi="Times New Roman" w:eastAsia="Times New Roman" w:cs="Times New Roman"/>
                <w:spacing w:val="-19"/>
              </w:rPr>
              <w:t>50</w:t>
            </w:r>
            <w:r>
              <w:rPr>
                <w:spacing w:val="-19"/>
              </w:rPr>
              <w:t>；</w:t>
            </w:r>
            <w:r>
              <w:t xml:space="preserve"> </w:t>
            </w:r>
            <w:r>
              <w:rPr>
                <w:rFonts w:ascii="Times New Roman" w:hAnsi="Times New Roman" w:eastAsia="Times New Roman" w:cs="Times New Roman"/>
                <w:spacing w:val="19"/>
              </w:rPr>
              <w:t>L1</w:t>
            </w:r>
            <w:r>
              <w:rPr>
                <w:rFonts w:ascii="Times New Roman" w:hAnsi="Times New Roman" w:eastAsia="Times New Roman" w:cs="Times New Roman"/>
              </w:rPr>
              <w:t xml:space="preserve">   </w:t>
            </w:r>
            <w:r>
              <w:rPr>
                <w:rFonts w:ascii="Times New Roman" w:hAnsi="Times New Roman" w:eastAsia="Times New Roman" w:cs="Times New Roman"/>
                <w:spacing w:val="14"/>
              </w:rPr>
              <w:t>K1</w:t>
            </w:r>
            <w:r>
              <w:rPr>
                <w:rFonts w:ascii="Times New Roman" w:hAnsi="Times New Roman" w:eastAsia="Times New Roman" w:cs="Times New Roman"/>
              </w:rPr>
              <w:t xml:space="preserve">  </w:t>
            </w:r>
            <w:r>
              <w:rPr>
                <w:rFonts w:ascii="Times New Roman" w:hAnsi="Times New Roman" w:eastAsia="Times New Roman" w:cs="Times New Roman"/>
                <w:spacing w:val="22"/>
              </w:rPr>
              <w:t>+9</w:t>
            </w:r>
            <w:r>
              <w:rPr>
                <w:rFonts w:ascii="Times New Roman" w:hAnsi="Times New Roman" w:eastAsia="Times New Roman" w:cs="Times New Roman"/>
              </w:rPr>
              <w:t xml:space="preserve">   </w:t>
            </w:r>
            <w:r>
              <w:rPr>
                <w:rFonts w:ascii="Times New Roman" w:hAnsi="Times New Roman" w:eastAsia="Times New Roman" w:cs="Times New Roman"/>
                <w:spacing w:val="-2"/>
              </w:rPr>
              <w:t>50~</w:t>
            </w:r>
            <w:r>
              <w:rPr>
                <w:rFonts w:ascii="Times New Roman" w:hAnsi="Times New Roman" w:eastAsia="Times New Roman" w:cs="Times New Roman"/>
              </w:rPr>
              <w:t xml:space="preserve">  </w:t>
            </w:r>
            <w:r>
              <w:rPr>
                <w:rFonts w:ascii="Times New Roman" w:hAnsi="Times New Roman" w:eastAsia="Times New Roman" w:cs="Times New Roman"/>
                <w:spacing w:val="19"/>
              </w:rPr>
              <w:t>L1</w:t>
            </w:r>
            <w:r>
              <w:rPr>
                <w:rFonts w:ascii="Times New Roman" w:hAnsi="Times New Roman" w:eastAsia="Times New Roman" w:cs="Times New Roman"/>
              </w:rPr>
              <w:t xml:space="preserve">   </w:t>
            </w:r>
            <w:r>
              <w:rPr>
                <w:rFonts w:ascii="Times New Roman" w:hAnsi="Times New Roman" w:eastAsia="Times New Roman" w:cs="Times New Roman"/>
                <w:spacing w:val="14"/>
              </w:rPr>
              <w:t>K2</w:t>
            </w:r>
            <w:r>
              <w:rPr>
                <w:rFonts w:ascii="Times New Roman" w:hAnsi="Times New Roman" w:eastAsia="Times New Roman" w:cs="Times New Roman"/>
              </w:rPr>
              <w:t xml:space="preserve">  </w:t>
            </w:r>
            <w:r>
              <w:rPr>
                <w:rFonts w:ascii="Times New Roman" w:hAnsi="Times New Roman" w:eastAsia="Times New Roman" w:cs="Times New Roman"/>
                <w:spacing w:val="22"/>
              </w:rPr>
              <w:t>+1</w:t>
            </w:r>
            <w:r>
              <w:rPr>
                <w:rFonts w:ascii="Times New Roman" w:hAnsi="Times New Roman" w:eastAsia="Times New Roman" w:cs="Times New Roman"/>
              </w:rPr>
              <w:t xml:space="preserve">   </w:t>
            </w:r>
            <w:r>
              <w:rPr>
                <w:rFonts w:ascii="Times New Roman" w:hAnsi="Times New Roman" w:eastAsia="Times New Roman" w:cs="Times New Roman"/>
                <w:spacing w:val="25"/>
              </w:rPr>
              <w:t>00</w:t>
            </w:r>
          </w:p>
        </w:tc>
        <w:tc>
          <w:tcPr>
            <w:tcW w:w="602"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1" w:line="235" w:lineRule="auto"/>
              <w:ind w:left="116" w:right="118" w:firstLine="71"/>
              <w:jc w:val="both"/>
            </w:pPr>
            <w:r>
              <w:rPr>
                <w:rFonts w:ascii="Times New Roman" w:hAnsi="Times New Roman" w:eastAsia="Times New Roman" w:cs="Times New Roman"/>
                <w:spacing w:val="-2"/>
              </w:rPr>
              <w:t>L2</w:t>
            </w:r>
            <w:r>
              <w:rPr>
                <w:rFonts w:ascii="Times New Roman" w:hAnsi="Times New Roman" w:eastAsia="Times New Roman" w:cs="Times New Roman"/>
              </w:rPr>
              <w:t xml:space="preserve">  </w:t>
            </w:r>
            <w:r>
              <w:rPr>
                <w:spacing w:val="27"/>
                <w:w w:val="125"/>
              </w:rPr>
              <w:t>地</w:t>
            </w:r>
            <w:r>
              <w:t xml:space="preserve"> </w:t>
            </w:r>
            <w:r>
              <w:rPr>
                <w:spacing w:val="27"/>
                <w:w w:val="125"/>
              </w:rPr>
              <w:t>面</w:t>
            </w:r>
            <w:r>
              <w:t xml:space="preserve"> </w:t>
            </w:r>
            <w:r>
              <w:rPr>
                <w:spacing w:val="27"/>
                <w:w w:val="125"/>
              </w:rPr>
              <w:t>道</w:t>
            </w:r>
            <w:r>
              <w:t xml:space="preserve"> </w:t>
            </w:r>
            <w:r>
              <w:rPr>
                <w:spacing w:val="-29"/>
              </w:rPr>
              <w:t>路；</w:t>
            </w:r>
            <w:r>
              <w:t xml:space="preserve"> </w:t>
            </w:r>
            <w:r>
              <w:rPr>
                <w:spacing w:val="27"/>
                <w:w w:val="125"/>
              </w:rPr>
              <w:t>主</w:t>
            </w:r>
            <w:r>
              <w:t xml:space="preserve"> </w:t>
            </w:r>
            <w:r>
              <w:rPr>
                <w:spacing w:val="27"/>
                <w:w w:val="125"/>
              </w:rPr>
              <w:t>线</w:t>
            </w:r>
            <w:r>
              <w:t xml:space="preserve"> </w:t>
            </w:r>
            <w:r>
              <w:rPr>
                <w:spacing w:val="27"/>
                <w:w w:val="125"/>
              </w:rPr>
              <w:t>桥</w:t>
            </w:r>
            <w:r>
              <w:t xml:space="preserve"> </w:t>
            </w:r>
            <w:r>
              <w:rPr>
                <w:spacing w:val="27"/>
                <w:w w:val="125"/>
              </w:rPr>
              <w:t>梁</w:t>
            </w:r>
          </w:p>
        </w:tc>
        <w:tc>
          <w:tcPr>
            <w:tcW w:w="605"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61" w:line="220"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w:t>
            </w:r>
          </w:p>
          <w:p>
            <w:pPr>
              <w:pStyle w:val="6"/>
              <w:spacing w:line="222" w:lineRule="auto"/>
              <w:jc w:val="right"/>
            </w:pPr>
            <w:r>
              <w:rPr>
                <w:rFonts w:ascii="Times New Roman" w:hAnsi="Times New Roman" w:eastAsia="Times New Roman" w:cs="Times New Roman"/>
                <w:spacing w:val="-18"/>
              </w:rPr>
              <w:t>EN</w:t>
            </w:r>
            <w:r>
              <w:rPr>
                <w:spacing w:val="-18"/>
              </w:rPr>
              <w:t>；</w:t>
            </w:r>
          </w:p>
          <w:p>
            <w:pPr>
              <w:pStyle w:val="6"/>
              <w:spacing w:before="17" w:line="230" w:lineRule="auto"/>
              <w:ind w:left="207"/>
            </w:pPr>
            <w:r>
              <w:t>主</w:t>
            </w:r>
          </w:p>
          <w:p>
            <w:pPr>
              <w:pStyle w:val="6"/>
              <w:spacing w:before="12" w:line="234" w:lineRule="auto"/>
              <w:ind w:left="179"/>
              <w:rPr>
                <w:rFonts w:ascii="Times New Roman" w:hAnsi="Times New Roman" w:eastAsia="Times New Roman" w:cs="Times New Roman"/>
              </w:rPr>
            </w:pPr>
            <w:r>
              <w:rPr>
                <w:spacing w:val="-5"/>
              </w:rPr>
              <w:t>线</w:t>
            </w:r>
            <w:r>
              <w:rPr>
                <w:rFonts w:ascii="Times New Roman" w:hAnsi="Times New Roman" w:eastAsia="Times New Roman" w:cs="Times New Roman"/>
                <w:spacing w:val="-5"/>
              </w:rPr>
              <w:t>:</w:t>
            </w:r>
          </w:p>
          <w:p>
            <w:pPr>
              <w:spacing w:before="31" w:line="184"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N</w:t>
            </w:r>
          </w:p>
        </w:tc>
        <w:tc>
          <w:tcPr>
            <w:tcW w:w="648"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1" w:line="230" w:lineRule="auto"/>
              <w:ind w:left="120" w:right="105" w:firstLine="88"/>
            </w:pPr>
            <w:r>
              <w:rPr>
                <w:rFonts w:ascii="Times New Roman" w:hAnsi="Times New Roman" w:eastAsia="Times New Roman" w:cs="Times New Roman"/>
                <w:spacing w:val="-2"/>
              </w:rPr>
              <w:t>L2</w:t>
            </w:r>
            <w:r>
              <w:rPr>
                <w:rFonts w:ascii="Times New Roman" w:hAnsi="Times New Roman" w:eastAsia="Times New Roman" w:cs="Times New Roman"/>
              </w:rPr>
              <w:t xml:space="preserve">   </w:t>
            </w:r>
            <w:r>
              <w:rPr>
                <w:spacing w:val="-5"/>
              </w:rPr>
              <w:t>（</w:t>
            </w:r>
            <w:r>
              <w:rPr>
                <w:rFonts w:ascii="Times New Roman" w:hAnsi="Times New Roman" w:eastAsia="Times New Roman" w:cs="Times New Roman"/>
                <w:spacing w:val="-5"/>
              </w:rPr>
              <w:t>2~</w:t>
            </w:r>
            <w:r>
              <w:rPr>
                <w:rFonts w:ascii="Times New Roman" w:hAnsi="Times New Roman" w:eastAsia="Times New Roman" w:cs="Times New Roman"/>
                <w:spacing w:val="1"/>
              </w:rPr>
              <w:t xml:space="preserve"> </w:t>
            </w:r>
            <w:r>
              <w:rPr>
                <w:rFonts w:ascii="Times New Roman" w:hAnsi="Times New Roman" w:eastAsia="Times New Roman" w:cs="Times New Roman"/>
                <w:spacing w:val="4"/>
              </w:rPr>
              <w:t>10.7</w:t>
            </w:r>
            <w:r>
              <w:rPr>
                <w:rFonts w:ascii="Times New Roman" w:hAnsi="Times New Roman" w:eastAsia="Times New Roman" w:cs="Times New Roman"/>
                <w:spacing w:val="1"/>
              </w:rPr>
              <w:t xml:space="preserve"> </w:t>
            </w:r>
            <w:r>
              <w:rPr>
                <w:spacing w:val="23"/>
              </w:rPr>
              <w:t>);</w:t>
            </w:r>
          </w:p>
          <w:p>
            <w:pPr>
              <w:pStyle w:val="6"/>
              <w:spacing w:before="41" w:line="230" w:lineRule="auto"/>
              <w:ind w:left="111" w:right="78" w:firstLine="97"/>
            </w:pPr>
            <w:r>
              <w:rPr>
                <w:rFonts w:ascii="Times New Roman" w:hAnsi="Times New Roman" w:eastAsia="Times New Roman" w:cs="Times New Roman"/>
                <w:spacing w:val="-2"/>
              </w:rPr>
              <w:t>L1</w:t>
            </w:r>
            <w:r>
              <w:rPr>
                <w:rFonts w:ascii="Times New Roman" w:hAnsi="Times New Roman" w:eastAsia="Times New Roman" w:cs="Times New Roman"/>
              </w:rPr>
              <w:t xml:space="preserve">   </w:t>
            </w:r>
            <w:r>
              <w:rPr>
                <w:spacing w:val="6"/>
              </w:rPr>
              <w:t>（</w:t>
            </w:r>
            <w:r>
              <w:rPr>
                <w:rFonts w:ascii="Times New Roman" w:hAnsi="Times New Roman" w:eastAsia="Times New Roman" w:cs="Times New Roman"/>
                <w:spacing w:val="6"/>
              </w:rPr>
              <w:t>-2</w:t>
            </w:r>
            <w:r>
              <w:rPr>
                <w:rFonts w:ascii="Times New Roman" w:hAnsi="Times New Roman" w:eastAsia="Times New Roman" w:cs="Times New Roman"/>
              </w:rPr>
              <w:t xml:space="preserve">  </w:t>
            </w:r>
            <w:r>
              <w:rPr>
                <w:rFonts w:ascii="Times New Roman" w:hAnsi="Times New Roman" w:eastAsia="Times New Roman" w:cs="Times New Roman"/>
                <w:spacing w:val="-5"/>
              </w:rPr>
              <w:t>7.6</w:t>
            </w:r>
            <w:r>
              <w:rPr>
                <w:spacing w:val="-5"/>
              </w:rPr>
              <w:t>）</w:t>
            </w:r>
          </w:p>
        </w:tc>
        <w:tc>
          <w:tcPr>
            <w:tcW w:w="81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0" w:line="187"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w:t>
            </w:r>
          </w:p>
          <w:p>
            <w:pPr>
              <w:pStyle w:val="6"/>
              <w:spacing w:before="30" w:line="237" w:lineRule="auto"/>
              <w:ind w:left="120" w:right="81" w:firstLine="88"/>
            </w:pPr>
            <w:r>
              <w:rPr>
                <w:spacing w:val="-5"/>
              </w:rPr>
              <w:t>（</w:t>
            </w:r>
            <w:r>
              <w:rPr>
                <w:rFonts w:ascii="Times New Roman" w:hAnsi="Times New Roman" w:eastAsia="Times New Roman" w:cs="Times New Roman"/>
                <w:spacing w:val="-5"/>
              </w:rPr>
              <w:t>20</w:t>
            </w:r>
            <w:r>
              <w:rPr>
                <w:rFonts w:ascii="Times New Roman" w:hAnsi="Times New Roman" w:eastAsia="Times New Roman" w:cs="Times New Roman"/>
              </w:rPr>
              <w:t xml:space="preserve">   </w:t>
            </w:r>
            <w:r>
              <w:rPr>
                <w:spacing w:val="2"/>
              </w:rPr>
              <w:t>);</w:t>
            </w:r>
            <w:r>
              <w:rPr>
                <w:spacing w:val="25"/>
              </w:rPr>
              <w:t xml:space="preserve"> </w:t>
            </w:r>
            <w:r>
              <w:rPr>
                <w:rFonts w:ascii="Times New Roman" w:hAnsi="Times New Roman" w:eastAsia="Times New Roman" w:cs="Times New Roman"/>
                <w:spacing w:val="2"/>
              </w:rPr>
              <w:t>L1</w:t>
            </w:r>
            <w:r>
              <w:rPr>
                <w:rFonts w:ascii="Times New Roman" w:hAnsi="Times New Roman" w:eastAsia="Times New Roman" w:cs="Times New Roman"/>
              </w:rPr>
              <w:t xml:space="preserve"> </w:t>
            </w:r>
            <w:r>
              <w:rPr>
                <w:spacing w:val="-7"/>
              </w:rPr>
              <w:t>（</w:t>
            </w:r>
            <w:r>
              <w:rPr>
                <w:rFonts w:ascii="Times New Roman" w:hAnsi="Times New Roman" w:eastAsia="Times New Roman" w:cs="Times New Roman"/>
                <w:spacing w:val="-7"/>
              </w:rPr>
              <w:t>23</w:t>
            </w:r>
            <w:r>
              <w:rPr>
                <w:spacing w:val="-7"/>
              </w:rPr>
              <w:t>）</w:t>
            </w:r>
          </w:p>
        </w:tc>
        <w:tc>
          <w:tcPr>
            <w:tcW w:w="828"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9" w:line="233" w:lineRule="auto"/>
              <w:jc w:val="right"/>
            </w:pPr>
            <w:r>
              <w:rPr>
                <w:rFonts w:ascii="Times New Roman" w:hAnsi="Times New Roman" w:eastAsia="Times New Roman" w:cs="Times New Roman"/>
                <w:spacing w:val="-13"/>
              </w:rPr>
              <w:t>9</w:t>
            </w:r>
            <w:r>
              <w:rPr>
                <w:spacing w:val="-13"/>
              </w:rPr>
              <w:t>（</w:t>
            </w:r>
            <w:r>
              <w:rPr>
                <w:rFonts w:ascii="Times New Roman" w:hAnsi="Times New Roman" w:eastAsia="Times New Roman" w:cs="Times New Roman"/>
                <w:spacing w:val="-13"/>
              </w:rPr>
              <w:t>L2</w:t>
            </w:r>
            <w:r>
              <w:rPr>
                <w:spacing w:val="-13"/>
              </w:rPr>
              <w:t>）</w:t>
            </w:r>
          </w:p>
          <w:p>
            <w:pPr>
              <w:spacing w:before="27" w:line="190" w:lineRule="auto"/>
              <w:ind w:left="279"/>
              <w:rPr>
                <w:rFonts w:ascii="Times New Roman" w:hAnsi="Times New Roman" w:eastAsia="Times New Roman" w:cs="Times New Roman"/>
                <w:sz w:val="21"/>
                <w:szCs w:val="21"/>
              </w:rPr>
            </w:pPr>
            <w:r>
              <w:rPr>
                <w:rFonts w:ascii="Times New Roman" w:hAnsi="Times New Roman" w:eastAsia="Times New Roman" w:cs="Times New Roman"/>
                <w:sz w:val="21"/>
                <w:szCs w:val="21"/>
              </w:rPr>
              <w:t>/18</w:t>
            </w:r>
          </w:p>
          <w:p>
            <w:pPr>
              <w:pStyle w:val="6"/>
              <w:spacing w:before="29" w:line="233" w:lineRule="auto"/>
              <w:ind w:left="120"/>
            </w:pPr>
            <w:r>
              <w:rPr>
                <w:spacing w:val="-3"/>
              </w:rPr>
              <w:t>（</w:t>
            </w:r>
            <w:r>
              <w:rPr>
                <w:rFonts w:ascii="Times New Roman" w:hAnsi="Times New Roman" w:eastAsia="Times New Roman" w:cs="Times New Roman"/>
                <w:spacing w:val="-3"/>
              </w:rPr>
              <w:t>L1</w:t>
            </w:r>
            <w:r>
              <w:rPr>
                <w:spacing w:val="-3"/>
              </w:rPr>
              <w:t>）</w:t>
            </w:r>
          </w:p>
        </w:tc>
        <w:tc>
          <w:tcPr>
            <w:tcW w:w="535"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60" w:line="187" w:lineRule="auto"/>
              <w:ind w:left="22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588"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60" w:line="187"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082"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8" w:line="237" w:lineRule="auto"/>
              <w:ind w:left="129" w:right="113" w:firstLine="103"/>
            </w:pPr>
            <w:r>
              <w:rPr>
                <w:spacing w:val="-2"/>
              </w:rPr>
              <w:t>砖混结</w:t>
            </w:r>
            <w:r>
              <w:t xml:space="preserve">  </w:t>
            </w:r>
            <w:r>
              <w:rPr>
                <w:spacing w:val="-16"/>
              </w:rPr>
              <w:t>构，</w:t>
            </w:r>
            <w:r>
              <w:rPr>
                <w:spacing w:val="17"/>
              </w:rPr>
              <w:t xml:space="preserve"> </w:t>
            </w:r>
            <w:r>
              <w:rPr>
                <w:rFonts w:ascii="Times New Roman" w:hAnsi="Times New Roman" w:eastAsia="Times New Roman" w:cs="Times New Roman"/>
                <w:spacing w:val="-16"/>
              </w:rPr>
              <w:t>1~5</w:t>
            </w:r>
            <w:r>
              <w:rPr>
                <w:rFonts w:ascii="Times New Roman" w:hAnsi="Times New Roman" w:eastAsia="Times New Roman" w:cs="Times New Roman"/>
              </w:rPr>
              <w:t xml:space="preserve">  </w:t>
            </w:r>
            <w:r>
              <w:rPr>
                <w:spacing w:val="-2"/>
              </w:rPr>
              <w:t>层建筑、</w:t>
            </w:r>
            <w:r>
              <w:rPr>
                <w:spacing w:val="1"/>
              </w:rPr>
              <w:t xml:space="preserve"> </w:t>
            </w:r>
            <w:r>
              <w:rPr>
                <w:spacing w:val="-2"/>
              </w:rPr>
              <w:t>背向、侧</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8" w:line="234" w:lineRule="auto"/>
              <w:ind w:left="129" w:right="111" w:firstLine="131"/>
            </w:pPr>
            <w:r>
              <w:drawing>
                <wp:anchor distT="0" distB="0" distL="0" distR="0" simplePos="0" relativeHeight="251661312" behindDoc="0" locked="0" layoutInCell="1" allowOverlap="1">
                  <wp:simplePos x="0" y="0"/>
                  <wp:positionH relativeFrom="column">
                    <wp:posOffset>396240</wp:posOffset>
                  </wp:positionH>
                  <wp:positionV relativeFrom="paragraph">
                    <wp:posOffset>-980440</wp:posOffset>
                  </wp:positionV>
                  <wp:extent cx="3599815" cy="269875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13"/>
                          <a:stretch>
                            <a:fillRect/>
                          </a:stretch>
                        </pic:blipFill>
                        <pic:spPr>
                          <a:xfrm>
                            <a:off x="0" y="0"/>
                            <a:ext cx="3599815" cy="2698750"/>
                          </a:xfrm>
                          <a:prstGeom prst="rect">
                            <a:avLst/>
                          </a:prstGeom>
                        </pic:spPr>
                      </pic:pic>
                    </a:graphicData>
                  </a:graphic>
                </wp:anchor>
              </w:drawing>
            </w:r>
            <w:r>
              <w:rPr>
                <w:spacing w:val="-2"/>
              </w:rPr>
              <w:t>位于老</w:t>
            </w:r>
            <w:r>
              <w:t xml:space="preserve">  </w:t>
            </w:r>
            <w:r>
              <w:rPr>
                <w:rFonts w:ascii="Times New Roman" w:hAnsi="Times New Roman" w:eastAsia="Times New Roman" w:cs="Times New Roman"/>
                <w:spacing w:val="-4"/>
              </w:rPr>
              <w:t>S330</w:t>
            </w:r>
            <w:r>
              <w:rPr>
                <w:rFonts w:ascii="Times New Roman" w:hAnsi="Times New Roman" w:eastAsia="Times New Roman" w:cs="Times New Roman"/>
                <w:spacing w:val="12"/>
              </w:rPr>
              <w:t xml:space="preserve"> </w:t>
            </w:r>
            <w:r>
              <w:rPr>
                <w:spacing w:val="-4"/>
              </w:rPr>
              <w:t>省道</w:t>
            </w:r>
            <w:r>
              <w:t xml:space="preserve"> </w:t>
            </w:r>
            <w:r>
              <w:rPr>
                <w:spacing w:val="5"/>
              </w:rPr>
              <w:t>（四级公</w:t>
            </w:r>
            <w:r>
              <w:rPr>
                <w:spacing w:val="1"/>
              </w:rPr>
              <w:t xml:space="preserve"> </w:t>
            </w:r>
            <w:r>
              <w:rPr>
                <w:spacing w:val="5"/>
              </w:rPr>
              <w:t>路）两侧</w:t>
            </w:r>
          </w:p>
        </w:tc>
        <w:tc>
          <w:tcPr>
            <w:tcW w:w="5262" w:type="dxa"/>
            <w:vAlign w:val="top"/>
          </w:tcPr>
          <w:p>
            <w:pPr>
              <w:rPr>
                <w:rFonts w:ascii="Arial"/>
                <w:sz w:val="21"/>
              </w:rPr>
            </w:pPr>
          </w:p>
        </w:tc>
        <w:tc>
          <w:tcPr>
            <w:tcW w:w="4989" w:type="dxa"/>
            <w:vAlign w:val="top"/>
          </w:tcPr>
          <w:p>
            <w:pPr>
              <w:spacing w:before="2" w:line="4497" w:lineRule="exact"/>
            </w:pPr>
            <w:r>
              <w:rPr>
                <w:position w:val="-89"/>
              </w:rPr>
              <w:drawing>
                <wp:inline distT="0" distB="0" distL="0" distR="0">
                  <wp:extent cx="3148965" cy="28549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14"/>
                          <a:stretch>
                            <a:fillRect/>
                          </a:stretch>
                        </pic:blipFill>
                        <pic:spPr>
                          <a:xfrm>
                            <a:off x="0" y="0"/>
                            <a:ext cx="3149220" cy="2855594"/>
                          </a:xfrm>
                          <a:prstGeom prst="rect">
                            <a:avLst/>
                          </a:prstGeom>
                        </pic:spPr>
                      </pic:pic>
                    </a:graphicData>
                  </a:graphic>
                </wp:inline>
              </w:drawing>
            </w:r>
          </w:p>
        </w:tc>
        <w:tc>
          <w:tcPr>
            <w:tcW w:w="595"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9" w:line="221" w:lineRule="auto"/>
              <w:ind w:left="12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1"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4" w:hRule="atLeast"/>
        </w:trPr>
        <w:tc>
          <w:tcPr>
            <w:tcW w:w="391"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0" w:line="187" w:lineRule="auto"/>
              <w:ind w:left="18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6</w:t>
            </w:r>
          </w:p>
        </w:tc>
        <w:tc>
          <w:tcPr>
            <w:tcW w:w="792"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9" w:line="237" w:lineRule="auto"/>
              <w:ind w:left="114" w:right="64" w:firstLine="80"/>
              <w:jc w:val="both"/>
            </w:pPr>
            <w:r>
              <w:rPr>
                <w:spacing w:val="-4"/>
              </w:rPr>
              <w:t>文成</w:t>
            </w:r>
            <w:r>
              <w:t xml:space="preserve">  </w:t>
            </w:r>
            <w:r>
              <w:rPr>
                <w:spacing w:val="36"/>
              </w:rPr>
              <w:t>县西</w:t>
            </w:r>
            <w:r>
              <w:t xml:space="preserve">  </w:t>
            </w:r>
            <w:r>
              <w:rPr>
                <w:spacing w:val="36"/>
              </w:rPr>
              <w:t>坑畲</w:t>
            </w:r>
            <w:r>
              <w:t xml:space="preserve">  </w:t>
            </w:r>
            <w:r>
              <w:rPr>
                <w:spacing w:val="36"/>
              </w:rPr>
              <w:t>族镇</w:t>
            </w:r>
            <w:r>
              <w:t xml:space="preserve">  </w:t>
            </w:r>
            <w:r>
              <w:rPr>
                <w:spacing w:val="36"/>
              </w:rPr>
              <w:t>敖里</w:t>
            </w:r>
            <w:r>
              <w:t xml:space="preserve">  </w:t>
            </w:r>
            <w:r>
              <w:rPr>
                <w:spacing w:val="-21"/>
              </w:rPr>
              <w:t>村（双</w:t>
            </w:r>
            <w:r>
              <w:rPr>
                <w:spacing w:val="1"/>
              </w:rPr>
              <w:t xml:space="preserve"> </w:t>
            </w:r>
            <w:r>
              <w:rPr>
                <w:spacing w:val="-8"/>
              </w:rPr>
              <w:t>田村）</w:t>
            </w:r>
          </w:p>
        </w:tc>
        <w:tc>
          <w:tcPr>
            <w:tcW w:w="631" w:type="dxa"/>
            <w:textDirection w:val="tbRlV"/>
            <w:vAlign w:val="top"/>
          </w:tcPr>
          <w:p>
            <w:pPr>
              <w:pStyle w:val="6"/>
              <w:spacing w:before="205" w:line="210" w:lineRule="auto"/>
              <w:ind w:left="1619"/>
            </w:pPr>
            <w:r>
              <w:rPr>
                <w:spacing w:val="31"/>
              </w:rPr>
              <w:t>前垄</w:t>
            </w:r>
          </w:p>
        </w:tc>
        <w:tc>
          <w:tcPr>
            <w:tcW w:w="744"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8" w:line="221" w:lineRule="auto"/>
              <w:ind w:left="174"/>
            </w:pPr>
            <w:r>
              <w:rPr>
                <w:spacing w:val="-3"/>
              </w:rPr>
              <w:t>西坑</w:t>
            </w:r>
          </w:p>
          <w:p>
            <w:pPr>
              <w:pStyle w:val="6"/>
              <w:spacing w:before="19" w:line="228" w:lineRule="auto"/>
              <w:ind w:left="173"/>
            </w:pPr>
            <w:r>
              <w:rPr>
                <w:spacing w:val="-3"/>
              </w:rPr>
              <w:t>互通</w:t>
            </w:r>
          </w:p>
          <w:p>
            <w:pPr>
              <w:pStyle w:val="6"/>
              <w:spacing w:before="11" w:line="221" w:lineRule="auto"/>
              <w:ind w:left="170"/>
            </w:pPr>
            <w:r>
              <w:rPr>
                <w:spacing w:val="-2"/>
              </w:rPr>
              <w:t>连接</w:t>
            </w:r>
          </w:p>
          <w:p>
            <w:pPr>
              <w:pStyle w:val="6"/>
              <w:spacing w:before="22" w:line="221" w:lineRule="auto"/>
              <w:ind w:left="172"/>
            </w:pPr>
            <w:r>
              <w:rPr>
                <w:spacing w:val="-3"/>
              </w:rPr>
              <w:t>线让</w:t>
            </w:r>
          </w:p>
          <w:p>
            <w:pPr>
              <w:pStyle w:val="6"/>
              <w:spacing w:before="19" w:line="221" w:lineRule="auto"/>
              <w:ind w:left="175"/>
            </w:pPr>
            <w:r>
              <w:rPr>
                <w:spacing w:val="-3"/>
              </w:rPr>
              <w:t>川接</w:t>
            </w:r>
          </w:p>
          <w:p>
            <w:pPr>
              <w:pStyle w:val="6"/>
              <w:spacing w:before="22" w:line="221" w:lineRule="auto"/>
              <w:ind w:left="277"/>
            </w:pPr>
            <w:r>
              <w:t>线</w:t>
            </w:r>
          </w:p>
          <w:p>
            <w:pPr>
              <w:spacing w:before="42"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(L2)</w:t>
            </w:r>
          </w:p>
        </w:tc>
        <w:tc>
          <w:tcPr>
            <w:tcW w:w="540"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0" w:line="233" w:lineRule="auto"/>
              <w:ind w:left="113" w:right="103" w:firstLine="42"/>
              <w:jc w:val="both"/>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L2</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+5</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00~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9"/>
                <w:sz w:val="21"/>
                <w:szCs w:val="21"/>
              </w:rPr>
              <w:t>L2</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+6</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5"/>
                <w:sz w:val="21"/>
                <w:szCs w:val="21"/>
              </w:rPr>
              <w:t>50</w:t>
            </w:r>
          </w:p>
        </w:tc>
        <w:tc>
          <w:tcPr>
            <w:tcW w:w="602" w:type="dxa"/>
            <w:textDirection w:val="tbRlV"/>
            <w:vAlign w:val="top"/>
          </w:tcPr>
          <w:p>
            <w:pPr>
              <w:pStyle w:val="6"/>
              <w:spacing w:before="190" w:line="210" w:lineRule="auto"/>
              <w:ind w:left="1346"/>
            </w:pPr>
            <w:r>
              <w:rPr>
                <w:spacing w:val="1"/>
              </w:rPr>
              <w:t>地</w:t>
            </w:r>
            <w:r>
              <w:rPr>
                <w:spacing w:val="-43"/>
              </w:rPr>
              <w:t xml:space="preserve"> </w:t>
            </w:r>
            <w:r>
              <w:rPr>
                <w:spacing w:val="1"/>
              </w:rPr>
              <w:t>面</w:t>
            </w:r>
            <w:r>
              <w:rPr>
                <w:spacing w:val="-45"/>
              </w:rPr>
              <w:t xml:space="preserve"> </w:t>
            </w:r>
            <w:r>
              <w:rPr>
                <w:spacing w:val="1"/>
              </w:rPr>
              <w:t>道</w:t>
            </w:r>
            <w:r>
              <w:rPr>
                <w:spacing w:val="-43"/>
              </w:rPr>
              <w:t xml:space="preserve"> </w:t>
            </w:r>
            <w:r>
              <w:rPr>
                <w:spacing w:val="1"/>
              </w:rPr>
              <w:t>路</w:t>
            </w:r>
          </w:p>
        </w:tc>
        <w:tc>
          <w:tcPr>
            <w:tcW w:w="605"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184" w:lineRule="auto"/>
              <w:ind w:left="12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NW</w:t>
            </w:r>
          </w:p>
        </w:tc>
        <w:tc>
          <w:tcPr>
            <w:tcW w:w="648"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184"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81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0" w:line="187" w:lineRule="auto"/>
              <w:ind w:left="3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828"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0" w:line="187"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535"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0" w:line="187" w:lineRule="auto"/>
              <w:ind w:left="22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588"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0" w:line="187"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082"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8" w:line="236" w:lineRule="auto"/>
              <w:ind w:left="129" w:right="113" w:firstLine="103"/>
            </w:pPr>
            <w:r>
              <w:rPr>
                <w:spacing w:val="-2"/>
              </w:rPr>
              <w:t>砖混结</w:t>
            </w:r>
            <w:r>
              <w:t xml:space="preserve">  </w:t>
            </w:r>
            <w:r>
              <w:rPr>
                <w:spacing w:val="-11"/>
              </w:rPr>
              <w:t xml:space="preserve">构， </w:t>
            </w:r>
            <w:r>
              <w:rPr>
                <w:rFonts w:ascii="Times New Roman" w:hAnsi="Times New Roman" w:eastAsia="Times New Roman" w:cs="Times New Roman"/>
                <w:spacing w:val="-11"/>
              </w:rPr>
              <w:t>2~4</w:t>
            </w:r>
            <w:r>
              <w:rPr>
                <w:rFonts w:ascii="Times New Roman" w:hAnsi="Times New Roman" w:eastAsia="Times New Roman" w:cs="Times New Roman"/>
                <w:spacing w:val="1"/>
              </w:rPr>
              <w:t xml:space="preserve">  </w:t>
            </w:r>
            <w:r>
              <w:rPr>
                <w:spacing w:val="-2"/>
              </w:rPr>
              <w:t>层建筑、</w:t>
            </w:r>
            <w:r>
              <w:rPr>
                <w:spacing w:val="1"/>
              </w:rPr>
              <w:t xml:space="preserve"> </w:t>
            </w:r>
            <w:r>
              <w:rPr>
                <w:spacing w:val="-2"/>
              </w:rPr>
              <w:t>面向、背</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8" w:line="233" w:lineRule="auto"/>
              <w:ind w:left="161" w:right="142" w:firstLine="23"/>
              <w:jc w:val="both"/>
            </w:pPr>
            <w:r>
              <w:rPr>
                <w:spacing w:val="-4"/>
              </w:rPr>
              <w:t>位于</w:t>
            </w:r>
            <w:r>
              <w:rPr>
                <w:spacing w:val="-42"/>
              </w:rPr>
              <w:t xml:space="preserve"> </w:t>
            </w:r>
            <w:r>
              <w:rPr>
                <w:rFonts w:ascii="Times New Roman" w:hAnsi="Times New Roman" w:eastAsia="Times New Roman" w:cs="Times New Roman"/>
                <w:spacing w:val="-4"/>
              </w:rPr>
              <w:t xml:space="preserve">322 </w:t>
            </w:r>
            <w:r>
              <w:rPr>
                <w:spacing w:val="-3"/>
              </w:rPr>
              <w:t>国道（二</w:t>
            </w:r>
            <w:r>
              <w:rPr>
                <w:spacing w:val="1"/>
              </w:rPr>
              <w:t xml:space="preserve"> </w:t>
            </w:r>
            <w:r>
              <w:rPr>
                <w:spacing w:val="-6"/>
              </w:rPr>
              <w:t>级公路）</w:t>
            </w:r>
          </w:p>
          <w:p>
            <w:pPr>
              <w:pStyle w:val="6"/>
              <w:spacing w:before="22" w:line="221" w:lineRule="auto"/>
              <w:ind w:left="367"/>
            </w:pPr>
            <w:r>
              <w:rPr>
                <w:spacing w:val="-2"/>
              </w:rPr>
              <w:t>两侧</w:t>
            </w:r>
          </w:p>
        </w:tc>
        <w:tc>
          <w:tcPr>
            <w:tcW w:w="5262" w:type="dxa"/>
            <w:vAlign w:val="top"/>
          </w:tcPr>
          <w:p>
            <w:pPr>
              <w:spacing w:before="28" w:line="3662" w:lineRule="exact"/>
              <w:ind w:firstLine="187"/>
            </w:pPr>
            <w:r>
              <w:rPr>
                <w:position w:val="-73"/>
              </w:rPr>
              <w:drawing>
                <wp:inline distT="0" distB="0" distL="0" distR="0">
                  <wp:extent cx="3101340" cy="232537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15"/>
                          <a:stretch>
                            <a:fillRect/>
                          </a:stretch>
                        </pic:blipFill>
                        <pic:spPr>
                          <a:xfrm>
                            <a:off x="0" y="0"/>
                            <a:ext cx="3101340" cy="2325370"/>
                          </a:xfrm>
                          <a:prstGeom prst="rect">
                            <a:avLst/>
                          </a:prstGeom>
                        </pic:spPr>
                      </pic:pic>
                    </a:graphicData>
                  </a:graphic>
                </wp:inline>
              </w:drawing>
            </w:r>
          </w:p>
        </w:tc>
        <w:tc>
          <w:tcPr>
            <w:tcW w:w="4989" w:type="dxa"/>
            <w:vAlign w:val="top"/>
          </w:tcPr>
          <w:p>
            <w:pPr>
              <w:spacing w:line="3713" w:lineRule="exact"/>
            </w:pPr>
            <w:r>
              <w:rPr>
                <w:position w:val="-74"/>
              </w:rPr>
              <w:drawing>
                <wp:inline distT="0" distB="0" distL="0" distR="0">
                  <wp:extent cx="3148965" cy="23577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16"/>
                          <a:stretch>
                            <a:fillRect/>
                          </a:stretch>
                        </pic:blipFill>
                        <pic:spPr>
                          <a:xfrm>
                            <a:off x="0" y="0"/>
                            <a:ext cx="3149220" cy="2358389"/>
                          </a:xfrm>
                          <a:prstGeom prst="rect">
                            <a:avLst/>
                          </a:prstGeom>
                        </pic:spPr>
                      </pic:pic>
                    </a:graphicData>
                  </a:graphic>
                </wp:inline>
              </w:drawing>
            </w:r>
          </w:p>
        </w:tc>
        <w:tc>
          <w:tcPr>
            <w:tcW w:w="595"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8" w:line="221" w:lineRule="auto"/>
              <w:ind w:left="12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9"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0"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bl>
    <w:p>
      <w:pPr>
        <w:pStyle w:val="2"/>
      </w:pPr>
    </w:p>
    <w:p>
      <w:pPr>
        <w:sectPr>
          <w:pgSz w:w="23813" w:h="16839"/>
          <w:pgMar w:top="1118" w:right="1231" w:bottom="1184" w:left="1233" w:header="879" w:footer="1024" w:gutter="0"/>
          <w:cols w:space="720" w:num="1"/>
        </w:sectPr>
      </w:pPr>
    </w:p>
    <w:p>
      <w:pPr>
        <w:spacing w:before="104"/>
      </w:pPr>
    </w:p>
    <w:tbl>
      <w:tblPr>
        <w:tblStyle w:val="5"/>
        <w:tblW w:w="213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1"/>
        <w:gridCol w:w="792"/>
        <w:gridCol w:w="631"/>
        <w:gridCol w:w="744"/>
        <w:gridCol w:w="540"/>
        <w:gridCol w:w="602"/>
        <w:gridCol w:w="605"/>
        <w:gridCol w:w="648"/>
        <w:gridCol w:w="812"/>
        <w:gridCol w:w="828"/>
        <w:gridCol w:w="535"/>
        <w:gridCol w:w="588"/>
        <w:gridCol w:w="1082"/>
        <w:gridCol w:w="1140"/>
        <w:gridCol w:w="5262"/>
        <w:gridCol w:w="4989"/>
        <w:gridCol w:w="595"/>
        <w:gridCol w:w="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91" w:type="dxa"/>
            <w:vMerge w:val="restart"/>
            <w:tcBorders>
              <w:bottom w:val="nil"/>
            </w:tcBorders>
            <w:textDirection w:val="tbRlV"/>
            <w:vAlign w:val="top"/>
          </w:tcPr>
          <w:p>
            <w:pPr>
              <w:pStyle w:val="6"/>
              <w:spacing w:before="105" w:line="211" w:lineRule="auto"/>
              <w:ind w:left="982"/>
            </w:pPr>
            <w:r>
              <w:rPr>
                <w:spacing w:val="31"/>
              </w:rPr>
              <w:t>序号</w:t>
            </w:r>
          </w:p>
        </w:tc>
        <w:tc>
          <w:tcPr>
            <w:tcW w:w="792"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96"/>
            </w:pPr>
            <w:r>
              <w:rPr>
                <w:spacing w:val="-3"/>
              </w:rPr>
              <w:t>行政</w:t>
            </w:r>
          </w:p>
          <w:p>
            <w:pPr>
              <w:pStyle w:val="6"/>
              <w:spacing w:line="220" w:lineRule="auto"/>
              <w:ind w:left="208"/>
            </w:pPr>
            <w:r>
              <w:rPr>
                <w:spacing w:val="-6"/>
              </w:rPr>
              <w:t>区域</w:t>
            </w:r>
          </w:p>
        </w:tc>
        <w:tc>
          <w:tcPr>
            <w:tcW w:w="631" w:type="dxa"/>
            <w:vMerge w:val="restart"/>
            <w:tcBorders>
              <w:bottom w:val="nil"/>
            </w:tcBorders>
            <w:textDirection w:val="tbRlV"/>
            <w:vAlign w:val="top"/>
          </w:tcPr>
          <w:p>
            <w:pPr>
              <w:pStyle w:val="6"/>
              <w:spacing w:before="205" w:line="210" w:lineRule="auto"/>
              <w:ind w:left="29"/>
            </w:pPr>
            <w:r>
              <w:rPr>
                <w:spacing w:val="19"/>
                <w:w w:val="117"/>
              </w:rPr>
              <w:t>声环境保护目标名称</w:t>
            </w:r>
          </w:p>
        </w:tc>
        <w:tc>
          <w:tcPr>
            <w:tcW w:w="744"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69"/>
            </w:pPr>
            <w:r>
              <w:rPr>
                <w:spacing w:val="-2"/>
              </w:rPr>
              <w:t>所在</w:t>
            </w:r>
          </w:p>
          <w:p>
            <w:pPr>
              <w:pStyle w:val="6"/>
              <w:spacing w:line="220" w:lineRule="auto"/>
              <w:ind w:left="171"/>
            </w:pPr>
            <w:r>
              <w:rPr>
                <w:spacing w:val="-2"/>
              </w:rPr>
              <w:t>路段</w:t>
            </w:r>
          </w:p>
        </w:tc>
        <w:tc>
          <w:tcPr>
            <w:tcW w:w="540" w:type="dxa"/>
            <w:vMerge w:val="restart"/>
            <w:tcBorders>
              <w:bottom w:val="nil"/>
            </w:tcBorders>
            <w:textDirection w:val="tbRlV"/>
            <w:vAlign w:val="top"/>
          </w:tcPr>
          <w:p>
            <w:pPr>
              <w:pStyle w:val="6"/>
              <w:spacing w:before="160" w:line="210" w:lineRule="auto"/>
              <w:ind w:left="709"/>
            </w:pPr>
            <w:r>
              <w:rPr>
                <w:spacing w:val="1"/>
              </w:rPr>
              <w:t>里</w:t>
            </w:r>
            <w:r>
              <w:rPr>
                <w:spacing w:val="-43"/>
              </w:rPr>
              <w:t xml:space="preserve"> </w:t>
            </w:r>
            <w:r>
              <w:rPr>
                <w:spacing w:val="1"/>
              </w:rPr>
              <w:t>程</w:t>
            </w:r>
            <w:r>
              <w:rPr>
                <w:spacing w:val="-45"/>
              </w:rPr>
              <w:t xml:space="preserve"> </w:t>
            </w:r>
            <w:r>
              <w:rPr>
                <w:spacing w:val="1"/>
              </w:rPr>
              <w:t>范</w:t>
            </w:r>
            <w:r>
              <w:rPr>
                <w:spacing w:val="-43"/>
              </w:rPr>
              <w:t xml:space="preserve"> </w:t>
            </w:r>
            <w:r>
              <w:rPr>
                <w:spacing w:val="1"/>
              </w:rPr>
              <w:t>围</w:t>
            </w:r>
          </w:p>
        </w:tc>
        <w:tc>
          <w:tcPr>
            <w:tcW w:w="602" w:type="dxa"/>
            <w:vMerge w:val="restart"/>
            <w:tcBorders>
              <w:bottom w:val="nil"/>
            </w:tcBorders>
            <w:textDirection w:val="tbRlV"/>
            <w:vAlign w:val="top"/>
          </w:tcPr>
          <w:p>
            <w:pPr>
              <w:pStyle w:val="6"/>
              <w:spacing w:before="190" w:line="207" w:lineRule="auto"/>
              <w:ind w:left="709"/>
            </w:pPr>
            <w:r>
              <w:rPr>
                <w:spacing w:val="1"/>
              </w:rPr>
              <w:t>线</w:t>
            </w:r>
            <w:r>
              <w:rPr>
                <w:spacing w:val="-43"/>
              </w:rPr>
              <w:t xml:space="preserve"> </w:t>
            </w:r>
            <w:r>
              <w:rPr>
                <w:spacing w:val="1"/>
              </w:rPr>
              <w:t>路</w:t>
            </w:r>
            <w:r>
              <w:rPr>
                <w:spacing w:val="-45"/>
              </w:rPr>
              <w:t xml:space="preserve"> </w:t>
            </w:r>
            <w:r>
              <w:rPr>
                <w:spacing w:val="1"/>
              </w:rPr>
              <w:t>形</w:t>
            </w:r>
            <w:r>
              <w:rPr>
                <w:spacing w:val="-43"/>
              </w:rPr>
              <w:t xml:space="preserve"> </w:t>
            </w:r>
            <w:r>
              <w:rPr>
                <w:spacing w:val="1"/>
              </w:rPr>
              <w:t>式</w:t>
            </w:r>
          </w:p>
        </w:tc>
        <w:tc>
          <w:tcPr>
            <w:tcW w:w="605" w:type="dxa"/>
            <w:vMerge w:val="restart"/>
            <w:tcBorders>
              <w:bottom w:val="nil"/>
            </w:tcBorders>
            <w:textDirection w:val="tbRlV"/>
            <w:vAlign w:val="top"/>
          </w:tcPr>
          <w:p>
            <w:pPr>
              <w:pStyle w:val="6"/>
              <w:spacing w:before="191" w:line="210" w:lineRule="auto"/>
              <w:ind w:left="982"/>
            </w:pPr>
            <w:r>
              <w:rPr>
                <w:spacing w:val="31"/>
              </w:rPr>
              <w:t>方位</w:t>
            </w:r>
          </w:p>
        </w:tc>
        <w:tc>
          <w:tcPr>
            <w:tcW w:w="648" w:type="dxa"/>
            <w:vMerge w:val="restart"/>
            <w:tcBorders>
              <w:bottom w:val="nil"/>
            </w:tcBorders>
            <w:vAlign w:val="top"/>
          </w:tcPr>
          <w:p>
            <w:pPr>
              <w:spacing w:line="245" w:lineRule="auto"/>
              <w:rPr>
                <w:rFonts w:ascii="Arial"/>
                <w:sz w:val="21"/>
              </w:rPr>
            </w:pPr>
          </w:p>
          <w:p>
            <w:pPr>
              <w:pStyle w:val="6"/>
              <w:spacing w:before="68" w:line="236" w:lineRule="auto"/>
              <w:ind w:left="120" w:right="109" w:firstLine="3"/>
              <w:jc w:val="both"/>
              <w:rPr>
                <w:rFonts w:ascii="Times New Roman" w:hAnsi="Times New Roman" w:eastAsia="Times New Roman" w:cs="Times New Roman"/>
              </w:rPr>
            </w:pPr>
            <w:r>
              <w:rPr>
                <w:spacing w:val="-6"/>
              </w:rPr>
              <w:t>声环</w:t>
            </w:r>
            <w:r>
              <w:t xml:space="preserve"> </w:t>
            </w:r>
            <w:r>
              <w:rPr>
                <w:spacing w:val="-4"/>
              </w:rPr>
              <w:t>境保</w:t>
            </w:r>
            <w:r>
              <w:t xml:space="preserve"> </w:t>
            </w:r>
            <w:r>
              <w:rPr>
                <w:spacing w:val="-4"/>
              </w:rPr>
              <w:t>护目</w:t>
            </w:r>
            <w:r>
              <w:t xml:space="preserve"> </w:t>
            </w:r>
            <w:r>
              <w:rPr>
                <w:spacing w:val="-4"/>
              </w:rPr>
              <w:t>标与</w:t>
            </w:r>
            <w:r>
              <w:t xml:space="preserve"> </w:t>
            </w:r>
            <w:r>
              <w:rPr>
                <w:spacing w:val="-4"/>
              </w:rPr>
              <w:t>路面</w:t>
            </w:r>
            <w:r>
              <w:t xml:space="preserve"> </w:t>
            </w:r>
            <w:r>
              <w:rPr>
                <w:spacing w:val="-4"/>
              </w:rPr>
              <w:t>高差</w:t>
            </w:r>
            <w:r>
              <w:t xml:space="preserve"> </w:t>
            </w:r>
            <w:r>
              <w:rPr>
                <w:rFonts w:ascii="Times New Roman" w:hAnsi="Times New Roman" w:eastAsia="Times New Roman" w:cs="Times New Roman"/>
                <w:spacing w:val="17"/>
              </w:rPr>
              <w:t>(m)</w:t>
            </w:r>
          </w:p>
        </w:tc>
        <w:tc>
          <w:tcPr>
            <w:tcW w:w="812"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41" w:lineRule="auto"/>
              <w:ind w:left="202"/>
            </w:pPr>
            <w:r>
              <w:rPr>
                <w:spacing w:val="-2"/>
              </w:rPr>
              <w:t>距道</w:t>
            </w:r>
          </w:p>
          <w:p>
            <w:pPr>
              <w:pStyle w:val="6"/>
              <w:spacing w:line="220" w:lineRule="auto"/>
              <w:ind w:left="205"/>
            </w:pPr>
            <w:r>
              <w:rPr>
                <w:spacing w:val="-2"/>
              </w:rPr>
              <w:t>路中</w:t>
            </w:r>
          </w:p>
          <w:p>
            <w:pPr>
              <w:pStyle w:val="6"/>
              <w:spacing w:before="19" w:line="221" w:lineRule="auto"/>
              <w:ind w:left="210"/>
            </w:pPr>
            <w:r>
              <w:rPr>
                <w:spacing w:val="-4"/>
              </w:rPr>
              <w:t>心线</w:t>
            </w:r>
          </w:p>
          <w:p>
            <w:pPr>
              <w:pStyle w:val="6"/>
              <w:spacing w:before="20" w:line="221" w:lineRule="auto"/>
              <w:ind w:left="202"/>
            </w:pPr>
            <w:r>
              <w:rPr>
                <w:spacing w:val="-2"/>
              </w:rPr>
              <w:t>距离</w:t>
            </w:r>
          </w:p>
          <w:p>
            <w:pPr>
              <w:spacing w:before="43" w:line="191"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828" w:type="dxa"/>
            <w:vMerge w:val="restart"/>
            <w:tcBorders>
              <w:bottom w:val="nil"/>
            </w:tcBorders>
            <w:vAlign w:val="top"/>
          </w:tcPr>
          <w:p>
            <w:pPr>
              <w:spacing w:line="252" w:lineRule="auto"/>
              <w:rPr>
                <w:rFonts w:ascii="Arial"/>
                <w:sz w:val="21"/>
              </w:rPr>
            </w:pPr>
          </w:p>
          <w:p>
            <w:pPr>
              <w:spacing w:line="253" w:lineRule="auto"/>
              <w:rPr>
                <w:rFonts w:ascii="Arial"/>
                <w:sz w:val="21"/>
              </w:rPr>
            </w:pPr>
          </w:p>
          <w:p>
            <w:pPr>
              <w:pStyle w:val="6"/>
              <w:spacing w:before="68" w:line="234" w:lineRule="auto"/>
              <w:ind w:left="116" w:right="102" w:firstLine="92"/>
              <w:jc w:val="both"/>
              <w:rPr>
                <w:rFonts w:ascii="Times New Roman" w:hAnsi="Times New Roman" w:eastAsia="Times New Roman" w:cs="Times New Roman"/>
              </w:rPr>
            </w:pPr>
            <w:r>
              <w:rPr>
                <w:spacing w:val="-3"/>
              </w:rPr>
              <w:t>距道</w:t>
            </w:r>
            <w:r>
              <w:t xml:space="preserve">  </w:t>
            </w:r>
            <w:r>
              <w:rPr>
                <w:spacing w:val="43"/>
              </w:rPr>
              <w:t>路边</w:t>
            </w:r>
            <w:r>
              <w:t xml:space="preserve">  </w:t>
            </w:r>
            <w:r>
              <w:rPr>
                <w:spacing w:val="-9"/>
              </w:rPr>
              <w:t>界（红</w:t>
            </w:r>
            <w:r>
              <w:t xml:space="preserve"> </w:t>
            </w:r>
            <w:r>
              <w:rPr>
                <w:spacing w:val="-24"/>
              </w:rPr>
              <w:t>线）</w:t>
            </w:r>
            <w:r>
              <w:rPr>
                <w:spacing w:val="-61"/>
              </w:rPr>
              <w:t xml:space="preserve"> </w:t>
            </w:r>
            <w:r>
              <w:rPr>
                <w:spacing w:val="-24"/>
              </w:rPr>
              <w:t>距</w:t>
            </w:r>
            <w:r>
              <w:t xml:space="preserve"> </w:t>
            </w:r>
            <w:r>
              <w:rPr>
                <w:spacing w:val="10"/>
              </w:rPr>
              <w:t>离</w:t>
            </w:r>
            <w:r>
              <w:rPr>
                <w:rFonts w:ascii="Times New Roman" w:hAnsi="Times New Roman" w:eastAsia="Times New Roman" w:cs="Times New Roman"/>
                <w:spacing w:val="10"/>
              </w:rPr>
              <w:t>(m)</w:t>
            </w:r>
          </w:p>
        </w:tc>
        <w:tc>
          <w:tcPr>
            <w:tcW w:w="1123" w:type="dxa"/>
            <w:gridSpan w:val="2"/>
            <w:vAlign w:val="top"/>
          </w:tcPr>
          <w:p>
            <w:pPr>
              <w:pStyle w:val="6"/>
              <w:spacing w:before="29" w:line="222" w:lineRule="auto"/>
              <w:ind w:left="151"/>
            </w:pPr>
            <w:r>
              <w:rPr>
                <w:spacing w:val="-3"/>
              </w:rPr>
              <w:t>不同功能</w:t>
            </w:r>
          </w:p>
          <w:p>
            <w:pPr>
              <w:pStyle w:val="6"/>
              <w:spacing w:before="18" w:line="209" w:lineRule="auto"/>
              <w:ind w:left="269"/>
            </w:pPr>
            <w:r>
              <w:rPr>
                <w:spacing w:val="-7"/>
              </w:rPr>
              <w:t>区户数</w:t>
            </w:r>
          </w:p>
        </w:tc>
        <w:tc>
          <w:tcPr>
            <w:tcW w:w="2222" w:type="dxa"/>
            <w:gridSpan w:val="2"/>
            <w:vAlign w:val="top"/>
          </w:tcPr>
          <w:p>
            <w:pPr>
              <w:pStyle w:val="6"/>
              <w:spacing w:before="29" w:line="224" w:lineRule="auto"/>
              <w:ind w:left="911" w:right="159" w:hanging="735"/>
            </w:pPr>
            <w:r>
              <w:rPr>
                <w:spacing w:val="-1"/>
              </w:rPr>
              <w:t>声环境保护目标情况</w:t>
            </w:r>
            <w:r>
              <w:t xml:space="preserve"> </w:t>
            </w:r>
            <w:r>
              <w:rPr>
                <w:spacing w:val="-3"/>
              </w:rPr>
              <w:t>说明</w:t>
            </w:r>
          </w:p>
        </w:tc>
        <w:tc>
          <w:tcPr>
            <w:tcW w:w="526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2009"/>
            </w:pPr>
            <w:r>
              <w:rPr>
                <w:spacing w:val="-1"/>
              </w:rPr>
              <w:t>保护目标照片</w:t>
            </w:r>
          </w:p>
        </w:tc>
        <w:tc>
          <w:tcPr>
            <w:tcW w:w="4989"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1769"/>
            </w:pPr>
            <w:r>
              <w:rPr>
                <w:spacing w:val="-1"/>
              </w:rPr>
              <w:t>保护目标地形图</w:t>
            </w:r>
          </w:p>
        </w:tc>
        <w:tc>
          <w:tcPr>
            <w:tcW w:w="1154" w:type="dxa"/>
            <w:gridSpan w:val="2"/>
            <w:vAlign w:val="top"/>
          </w:tcPr>
          <w:p>
            <w:pPr>
              <w:pStyle w:val="6"/>
              <w:spacing w:before="163" w:line="221" w:lineRule="auto"/>
              <w:ind w:left="166"/>
            </w:pPr>
            <w:r>
              <w:rPr>
                <w:spacing w:val="-2"/>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391" w:type="dxa"/>
            <w:vMerge w:val="continue"/>
            <w:tcBorders>
              <w:top w:val="nil"/>
            </w:tcBorders>
            <w:textDirection w:val="tbRlV"/>
            <w:vAlign w:val="top"/>
          </w:tcPr>
          <w:p>
            <w:pPr>
              <w:rPr>
                <w:rFonts w:ascii="Arial"/>
                <w:sz w:val="21"/>
              </w:rPr>
            </w:pPr>
          </w:p>
        </w:tc>
        <w:tc>
          <w:tcPr>
            <w:tcW w:w="792" w:type="dxa"/>
            <w:vMerge w:val="continue"/>
            <w:tcBorders>
              <w:top w:val="nil"/>
            </w:tcBorders>
            <w:vAlign w:val="top"/>
          </w:tcPr>
          <w:p>
            <w:pPr>
              <w:rPr>
                <w:rFonts w:ascii="Arial"/>
                <w:sz w:val="21"/>
              </w:rPr>
            </w:pPr>
          </w:p>
        </w:tc>
        <w:tc>
          <w:tcPr>
            <w:tcW w:w="631" w:type="dxa"/>
            <w:vMerge w:val="continue"/>
            <w:tcBorders>
              <w:top w:val="nil"/>
            </w:tcBorders>
            <w:textDirection w:val="tbRlV"/>
            <w:vAlign w:val="top"/>
          </w:tcPr>
          <w:p>
            <w:pPr>
              <w:rPr>
                <w:rFonts w:ascii="Arial"/>
                <w:sz w:val="21"/>
              </w:rPr>
            </w:pPr>
          </w:p>
        </w:tc>
        <w:tc>
          <w:tcPr>
            <w:tcW w:w="744" w:type="dxa"/>
            <w:vMerge w:val="continue"/>
            <w:tcBorders>
              <w:top w:val="nil"/>
            </w:tcBorders>
            <w:vAlign w:val="top"/>
          </w:tcPr>
          <w:p>
            <w:pPr>
              <w:rPr>
                <w:rFonts w:ascii="Arial"/>
                <w:sz w:val="21"/>
              </w:rPr>
            </w:pPr>
          </w:p>
        </w:tc>
        <w:tc>
          <w:tcPr>
            <w:tcW w:w="540" w:type="dxa"/>
            <w:vMerge w:val="continue"/>
            <w:tcBorders>
              <w:top w:val="nil"/>
            </w:tcBorders>
            <w:textDirection w:val="tbRlV"/>
            <w:vAlign w:val="top"/>
          </w:tcPr>
          <w:p>
            <w:pPr>
              <w:rPr>
                <w:rFonts w:ascii="Arial"/>
                <w:sz w:val="21"/>
              </w:rPr>
            </w:pPr>
          </w:p>
        </w:tc>
        <w:tc>
          <w:tcPr>
            <w:tcW w:w="602" w:type="dxa"/>
            <w:vMerge w:val="continue"/>
            <w:tcBorders>
              <w:top w:val="nil"/>
            </w:tcBorders>
            <w:textDirection w:val="tbRlV"/>
            <w:vAlign w:val="top"/>
          </w:tcPr>
          <w:p>
            <w:pPr>
              <w:rPr>
                <w:rFonts w:ascii="Arial"/>
                <w:sz w:val="21"/>
              </w:rPr>
            </w:pPr>
          </w:p>
        </w:tc>
        <w:tc>
          <w:tcPr>
            <w:tcW w:w="605" w:type="dxa"/>
            <w:vMerge w:val="continue"/>
            <w:tcBorders>
              <w:top w:val="nil"/>
            </w:tcBorders>
            <w:textDirection w:val="tbRlV"/>
            <w:vAlign w:val="top"/>
          </w:tcPr>
          <w:p>
            <w:pPr>
              <w:rPr>
                <w:rFonts w:ascii="Arial"/>
                <w:sz w:val="21"/>
              </w:rPr>
            </w:pPr>
          </w:p>
        </w:tc>
        <w:tc>
          <w:tcPr>
            <w:tcW w:w="648"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828" w:type="dxa"/>
            <w:vMerge w:val="continue"/>
            <w:tcBorders>
              <w:top w:val="nil"/>
            </w:tcBorders>
            <w:vAlign w:val="top"/>
          </w:tcPr>
          <w:p>
            <w:pPr>
              <w:rPr>
                <w:rFonts w:ascii="Arial"/>
                <w:sz w:val="21"/>
              </w:rPr>
            </w:pPr>
          </w:p>
        </w:tc>
        <w:tc>
          <w:tcPr>
            <w:tcW w:w="535" w:type="dxa"/>
            <w:vAlign w:val="top"/>
          </w:tcPr>
          <w:p>
            <w:pPr>
              <w:spacing w:line="339" w:lineRule="auto"/>
              <w:rPr>
                <w:rFonts w:ascii="Arial"/>
                <w:sz w:val="21"/>
              </w:rPr>
            </w:pPr>
          </w:p>
          <w:p>
            <w:pPr>
              <w:spacing w:line="339" w:lineRule="auto"/>
              <w:rPr>
                <w:rFonts w:ascii="Arial"/>
                <w:sz w:val="21"/>
              </w:rPr>
            </w:pPr>
          </w:p>
          <w:p>
            <w:pPr>
              <w:spacing w:before="61" w:line="21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p>
            <w:pPr>
              <w:pStyle w:val="6"/>
              <w:spacing w:line="220" w:lineRule="auto"/>
              <w:ind w:left="169"/>
            </w:pPr>
            <w:r>
              <w:t>类</w:t>
            </w:r>
          </w:p>
        </w:tc>
        <w:tc>
          <w:tcPr>
            <w:tcW w:w="588"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11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082" w:type="dxa"/>
            <w:vAlign w:val="top"/>
          </w:tcPr>
          <w:p>
            <w:pPr>
              <w:spacing w:line="363" w:lineRule="auto"/>
              <w:rPr>
                <w:rFonts w:ascii="Arial"/>
                <w:sz w:val="21"/>
              </w:rPr>
            </w:pPr>
          </w:p>
          <w:p>
            <w:pPr>
              <w:pStyle w:val="6"/>
              <w:spacing w:before="68" w:line="221" w:lineRule="auto"/>
              <w:ind w:left="234"/>
            </w:pPr>
            <w:r>
              <w:rPr>
                <w:spacing w:val="-2"/>
              </w:rPr>
              <w:t>建筑结</w:t>
            </w:r>
          </w:p>
          <w:p>
            <w:pPr>
              <w:pStyle w:val="6"/>
              <w:spacing w:before="18" w:line="221" w:lineRule="auto"/>
              <w:jc w:val="right"/>
            </w:pPr>
            <w:r>
              <w:rPr>
                <w:spacing w:val="-24"/>
              </w:rPr>
              <w:t>构、朝向、</w:t>
            </w:r>
          </w:p>
          <w:p>
            <w:pPr>
              <w:pStyle w:val="6"/>
              <w:spacing w:before="22" w:line="218" w:lineRule="auto"/>
              <w:ind w:left="128"/>
            </w:pPr>
            <w:r>
              <w:rPr>
                <w:spacing w:val="-2"/>
              </w:rPr>
              <w:t>楼层、窗</w:t>
            </w:r>
          </w:p>
          <w:p>
            <w:pPr>
              <w:pStyle w:val="6"/>
              <w:spacing w:before="23" w:line="221" w:lineRule="auto"/>
              <w:ind w:left="444"/>
            </w:pPr>
            <w:r>
              <w:t>户</w:t>
            </w:r>
          </w:p>
        </w:tc>
        <w:tc>
          <w:tcPr>
            <w:tcW w:w="1140" w:type="dxa"/>
            <w:vAlign w:val="top"/>
          </w:tcPr>
          <w:p>
            <w:pPr>
              <w:spacing w:line="316" w:lineRule="auto"/>
              <w:rPr>
                <w:rFonts w:ascii="Arial"/>
                <w:sz w:val="21"/>
              </w:rPr>
            </w:pPr>
          </w:p>
          <w:p>
            <w:pPr>
              <w:spacing w:line="316" w:lineRule="auto"/>
              <w:rPr>
                <w:rFonts w:ascii="Arial"/>
                <w:sz w:val="21"/>
              </w:rPr>
            </w:pPr>
          </w:p>
          <w:p>
            <w:pPr>
              <w:pStyle w:val="6"/>
              <w:spacing w:before="68" w:line="231" w:lineRule="auto"/>
              <w:ind w:left="367" w:right="142" w:hanging="208"/>
            </w:pPr>
            <w:r>
              <w:rPr>
                <w:spacing w:val="-2"/>
              </w:rPr>
              <w:t>周边环境</w:t>
            </w:r>
            <w:r>
              <w:t xml:space="preserve"> </w:t>
            </w:r>
            <w:r>
              <w:rPr>
                <w:spacing w:val="-2"/>
              </w:rPr>
              <w:t>情况</w:t>
            </w:r>
          </w:p>
        </w:tc>
        <w:tc>
          <w:tcPr>
            <w:tcW w:w="5262" w:type="dxa"/>
            <w:vMerge w:val="continue"/>
            <w:tcBorders>
              <w:top w:val="nil"/>
            </w:tcBorders>
            <w:vAlign w:val="top"/>
          </w:tcPr>
          <w:p>
            <w:pPr>
              <w:rPr>
                <w:rFonts w:ascii="Arial"/>
                <w:sz w:val="21"/>
              </w:rPr>
            </w:pPr>
          </w:p>
        </w:tc>
        <w:tc>
          <w:tcPr>
            <w:tcW w:w="4989" w:type="dxa"/>
            <w:vMerge w:val="continue"/>
            <w:tcBorders>
              <w:top w:val="nil"/>
            </w:tcBorders>
            <w:vAlign w:val="top"/>
          </w:tcPr>
          <w:p>
            <w:pPr>
              <w:rPr>
                <w:rFonts w:ascii="Arial"/>
                <w:sz w:val="21"/>
              </w:rPr>
            </w:pPr>
          </w:p>
        </w:tc>
        <w:tc>
          <w:tcPr>
            <w:tcW w:w="595" w:type="dxa"/>
            <w:vAlign w:val="top"/>
          </w:tcPr>
          <w:p>
            <w:pPr>
              <w:spacing w:line="316" w:lineRule="auto"/>
              <w:rPr>
                <w:rFonts w:ascii="Arial"/>
                <w:sz w:val="21"/>
              </w:rPr>
            </w:pPr>
          </w:p>
          <w:p>
            <w:pPr>
              <w:spacing w:line="317" w:lineRule="auto"/>
              <w:rPr>
                <w:rFonts w:ascii="Arial"/>
                <w:sz w:val="21"/>
              </w:rPr>
            </w:pPr>
          </w:p>
          <w:p>
            <w:pPr>
              <w:pStyle w:val="6"/>
              <w:spacing w:before="68" w:line="223" w:lineRule="auto"/>
              <w:ind w:left="98"/>
            </w:pPr>
            <w:r>
              <w:rPr>
                <w:spacing w:val="-2"/>
              </w:rPr>
              <w:t>施工</w:t>
            </w:r>
          </w:p>
          <w:p>
            <w:pPr>
              <w:pStyle w:val="6"/>
              <w:spacing w:before="19" w:line="221" w:lineRule="auto"/>
              <w:ind w:left="204"/>
            </w:pPr>
            <w:r>
              <w:t>期</w:t>
            </w:r>
          </w:p>
        </w:tc>
        <w:tc>
          <w:tcPr>
            <w:tcW w:w="559" w:type="dxa"/>
            <w:vAlign w:val="top"/>
          </w:tcPr>
          <w:p>
            <w:pPr>
              <w:spacing w:line="316" w:lineRule="auto"/>
              <w:rPr>
                <w:rFonts w:ascii="Arial"/>
                <w:sz w:val="21"/>
              </w:rPr>
            </w:pPr>
          </w:p>
          <w:p>
            <w:pPr>
              <w:spacing w:line="316" w:lineRule="auto"/>
              <w:rPr>
                <w:rFonts w:ascii="Arial"/>
                <w:sz w:val="21"/>
              </w:rPr>
            </w:pPr>
          </w:p>
          <w:p>
            <w:pPr>
              <w:pStyle w:val="6"/>
              <w:spacing w:before="69" w:line="221" w:lineRule="auto"/>
              <w:ind w:left="77"/>
            </w:pPr>
            <w:r>
              <w:rPr>
                <w:spacing w:val="-2"/>
              </w:rPr>
              <w:t>运营</w:t>
            </w:r>
          </w:p>
          <w:p>
            <w:pPr>
              <w:pStyle w:val="6"/>
              <w:spacing w:before="22" w:line="221" w:lineRule="auto"/>
              <w:ind w:left="185"/>
            </w:pPr>
            <w: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6" w:hRule="atLeast"/>
        </w:trPr>
        <w:tc>
          <w:tcPr>
            <w:tcW w:w="391"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4" w:lineRule="auto"/>
              <w:ind w:left="18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7</w:t>
            </w:r>
          </w:p>
        </w:tc>
        <w:tc>
          <w:tcPr>
            <w:tcW w:w="79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8" w:line="241" w:lineRule="auto"/>
              <w:ind w:left="194"/>
            </w:pPr>
            <w:r>
              <w:rPr>
                <w:spacing w:val="-2"/>
              </w:rPr>
              <w:t>文成</w:t>
            </w:r>
          </w:p>
          <w:p>
            <w:pPr>
              <w:pStyle w:val="6"/>
              <w:spacing w:line="222" w:lineRule="auto"/>
              <w:ind w:left="193"/>
            </w:pPr>
            <w:r>
              <w:rPr>
                <w:spacing w:val="-2"/>
              </w:rPr>
              <w:t>县西</w:t>
            </w:r>
          </w:p>
          <w:p>
            <w:pPr>
              <w:pStyle w:val="6"/>
              <w:spacing w:before="18" w:line="221" w:lineRule="auto"/>
              <w:ind w:left="193"/>
            </w:pPr>
            <w:r>
              <w:rPr>
                <w:spacing w:val="-2"/>
              </w:rPr>
              <w:t>坑畲</w:t>
            </w:r>
          </w:p>
          <w:p>
            <w:pPr>
              <w:pStyle w:val="6"/>
              <w:spacing w:before="22" w:line="217" w:lineRule="auto"/>
              <w:ind w:left="192"/>
            </w:pPr>
            <w:r>
              <w:rPr>
                <w:spacing w:val="-2"/>
              </w:rPr>
              <w:t>族镇</w:t>
            </w:r>
          </w:p>
          <w:p>
            <w:pPr>
              <w:pStyle w:val="6"/>
              <w:spacing w:before="23" w:line="221" w:lineRule="auto"/>
              <w:ind w:left="194"/>
            </w:pPr>
            <w:r>
              <w:rPr>
                <w:spacing w:val="-2"/>
              </w:rPr>
              <w:t>让川</w:t>
            </w:r>
          </w:p>
          <w:p>
            <w:pPr>
              <w:pStyle w:val="6"/>
              <w:spacing w:before="20" w:line="220" w:lineRule="auto"/>
              <w:ind w:left="297"/>
            </w:pPr>
            <w:r>
              <w:t>村</w:t>
            </w:r>
          </w:p>
        </w:tc>
        <w:tc>
          <w:tcPr>
            <w:tcW w:w="631" w:type="dxa"/>
            <w:textDirection w:val="tbRlV"/>
            <w:vAlign w:val="top"/>
          </w:tcPr>
          <w:p>
            <w:pPr>
              <w:pStyle w:val="6"/>
              <w:spacing w:before="205" w:line="210" w:lineRule="auto"/>
              <w:ind w:left="1156"/>
            </w:pPr>
            <w:r>
              <w:rPr>
                <w:spacing w:val="20"/>
                <w:w w:val="116"/>
              </w:rPr>
              <w:t>让川村安置小区</w:t>
            </w:r>
          </w:p>
        </w:tc>
        <w:tc>
          <w:tcPr>
            <w:tcW w:w="744"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tabs>
                <w:tab w:val="left" w:pos="193"/>
              </w:tabs>
              <w:spacing w:before="68" w:line="237" w:lineRule="auto"/>
              <w:ind w:left="117" w:right="30" w:firstLine="53"/>
              <w:jc w:val="both"/>
            </w:pPr>
            <w:r>
              <w:rPr>
                <w:spacing w:val="-4"/>
              </w:rPr>
              <w:t>让川</w:t>
            </w:r>
            <w:r>
              <w:t xml:space="preserve">  </w:t>
            </w:r>
            <w:r>
              <w:rPr>
                <w:spacing w:val="23"/>
              </w:rPr>
              <w:t>接线</w:t>
            </w:r>
            <w:r>
              <w:t xml:space="preserve">  </w:t>
            </w:r>
            <w:r>
              <w:rPr>
                <w:rFonts w:ascii="Times New Roman" w:hAnsi="Times New Roman" w:eastAsia="Times New Roman" w:cs="Times New Roman"/>
              </w:rPr>
              <w:tab/>
            </w:r>
            <w:r>
              <w:rPr>
                <w:rFonts w:ascii="Times New Roman" w:hAnsi="Times New Roman" w:eastAsia="Times New Roman" w:cs="Times New Roman"/>
                <w:spacing w:val="-2"/>
              </w:rPr>
              <w:t>(L2)</w:t>
            </w:r>
            <w:r>
              <w:rPr>
                <w:rFonts w:ascii="Times New Roman" w:hAnsi="Times New Roman" w:eastAsia="Times New Roman" w:cs="Times New Roman"/>
              </w:rPr>
              <w:t xml:space="preserve">    </w:t>
            </w:r>
            <w:r>
              <w:rPr>
                <w:spacing w:val="-14"/>
              </w:rPr>
              <w:t>起点、</w:t>
            </w:r>
            <w:r>
              <w:rPr>
                <w:spacing w:val="1"/>
              </w:rPr>
              <w:t xml:space="preserve"> </w:t>
            </w:r>
            <w:r>
              <w:rPr>
                <w:spacing w:val="-2"/>
              </w:rPr>
              <w:t>与</w:t>
            </w:r>
            <w:r>
              <w:rPr>
                <w:rFonts w:ascii="Times New Roman" w:hAnsi="Times New Roman" w:eastAsia="Times New Roman" w:cs="Times New Roman"/>
                <w:spacing w:val="-2"/>
              </w:rPr>
              <w:t>322</w:t>
            </w:r>
            <w:r>
              <w:rPr>
                <w:rFonts w:ascii="Times New Roman" w:hAnsi="Times New Roman" w:eastAsia="Times New Roman" w:cs="Times New Roman"/>
              </w:rPr>
              <w:t xml:space="preserve">  </w:t>
            </w:r>
            <w:r>
              <w:rPr>
                <w:spacing w:val="23"/>
              </w:rPr>
              <w:t>国道</w:t>
            </w:r>
            <w:r>
              <w:t xml:space="preserve">  </w:t>
            </w:r>
            <w:r>
              <w:rPr>
                <w:spacing w:val="23"/>
              </w:rPr>
              <w:t>交叉</w:t>
            </w:r>
          </w:p>
        </w:tc>
        <w:tc>
          <w:tcPr>
            <w:tcW w:w="540"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0" w:line="241"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w:t>
            </w:r>
          </w:p>
          <w:p>
            <w:pPr>
              <w:spacing w:line="186" w:lineRule="auto"/>
              <w:ind w:left="1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K0</w:t>
            </w:r>
          </w:p>
          <w:p>
            <w:pPr>
              <w:spacing w:before="5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w:t>
            </w:r>
          </w:p>
          <w:p>
            <w:pPr>
              <w:spacing w:before="54"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w:t>
            </w:r>
          </w:p>
        </w:tc>
        <w:tc>
          <w:tcPr>
            <w:tcW w:w="602" w:type="dxa"/>
            <w:textDirection w:val="tbRlV"/>
            <w:vAlign w:val="top"/>
          </w:tcPr>
          <w:p>
            <w:pPr>
              <w:pStyle w:val="6"/>
              <w:spacing w:before="190" w:line="210" w:lineRule="auto"/>
              <w:ind w:left="1567"/>
            </w:pPr>
            <w:r>
              <w:rPr>
                <w:spacing w:val="46"/>
              </w:rPr>
              <w:t>地面道路</w:t>
            </w:r>
          </w:p>
        </w:tc>
        <w:tc>
          <w:tcPr>
            <w:tcW w:w="605"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4" w:lineRule="auto"/>
              <w:ind w:left="205"/>
              <w:rPr>
                <w:rFonts w:ascii="Times New Roman" w:hAnsi="Times New Roman" w:eastAsia="Times New Roman" w:cs="Times New Roman"/>
                <w:sz w:val="21"/>
                <w:szCs w:val="21"/>
              </w:rPr>
            </w:pPr>
            <w:r>
              <w:rPr>
                <w:rFonts w:ascii="Times New Roman" w:hAnsi="Times New Roman" w:eastAsia="Times New Roman" w:cs="Times New Roman"/>
                <w:sz w:val="21"/>
                <w:szCs w:val="21"/>
              </w:rPr>
              <w:t>W</w:t>
            </w:r>
          </w:p>
        </w:tc>
        <w:tc>
          <w:tcPr>
            <w:tcW w:w="648"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27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1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96</w:t>
            </w:r>
          </w:p>
        </w:tc>
        <w:tc>
          <w:tcPr>
            <w:tcW w:w="828"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96</w:t>
            </w:r>
          </w:p>
        </w:tc>
        <w:tc>
          <w:tcPr>
            <w:tcW w:w="535"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22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588"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15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128</w:t>
            </w:r>
          </w:p>
        </w:tc>
        <w:tc>
          <w:tcPr>
            <w:tcW w:w="1082"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8" w:line="220" w:lineRule="auto"/>
              <w:ind w:left="232"/>
            </w:pPr>
            <w:r>
              <w:rPr>
                <w:spacing w:val="-2"/>
              </w:rPr>
              <w:t>砖混结</w:t>
            </w:r>
          </w:p>
          <w:p>
            <w:pPr>
              <w:pStyle w:val="6"/>
              <w:spacing w:before="20" w:line="220" w:lineRule="auto"/>
              <w:ind w:left="117"/>
            </w:pPr>
            <w:r>
              <w:rPr>
                <w:spacing w:val="-24"/>
              </w:rPr>
              <w:t>构，</w:t>
            </w:r>
            <w:r>
              <w:rPr>
                <w:rFonts w:ascii="Times New Roman" w:hAnsi="Times New Roman" w:eastAsia="Times New Roman" w:cs="Times New Roman"/>
                <w:spacing w:val="-24"/>
              </w:rPr>
              <w:t>3</w:t>
            </w:r>
            <w:r>
              <w:rPr>
                <w:rFonts w:ascii="Times New Roman" w:hAnsi="Times New Roman" w:eastAsia="Times New Roman" w:cs="Times New Roman"/>
                <w:spacing w:val="-17"/>
              </w:rPr>
              <w:t xml:space="preserve"> </w:t>
            </w:r>
            <w:r>
              <w:rPr>
                <w:spacing w:val="-24"/>
              </w:rPr>
              <w:t>层建</w:t>
            </w:r>
          </w:p>
          <w:p>
            <w:pPr>
              <w:pStyle w:val="6"/>
              <w:spacing w:before="23" w:line="221" w:lineRule="auto"/>
              <w:ind w:left="130"/>
            </w:pPr>
            <w:r>
              <w:rPr>
                <w:spacing w:val="-20"/>
              </w:rPr>
              <w:t>筑、</w:t>
            </w:r>
            <w:r>
              <w:rPr>
                <w:spacing w:val="-32"/>
              </w:rPr>
              <w:t xml:space="preserve"> </w:t>
            </w:r>
            <w:r>
              <w:rPr>
                <w:spacing w:val="-20"/>
              </w:rPr>
              <w:t>面向</w:t>
            </w:r>
          </w:p>
          <w:p>
            <w:pPr>
              <w:pStyle w:val="6"/>
              <w:spacing w:before="19" w:line="221" w:lineRule="auto"/>
              <w:ind w:left="128"/>
            </w:pPr>
            <w:r>
              <w:rPr>
                <w:spacing w:val="-22"/>
                <w:w w:val="98"/>
              </w:rPr>
              <w:t>道路，</w:t>
            </w:r>
            <w:r>
              <w:rPr>
                <w:spacing w:val="1"/>
              </w:rPr>
              <w:t xml:space="preserve"> </w:t>
            </w:r>
            <w:r>
              <w:rPr>
                <w:spacing w:val="-22"/>
                <w:w w:val="98"/>
              </w:rPr>
              <w:t>推</w:t>
            </w:r>
          </w:p>
          <w:p>
            <w:pPr>
              <w:pStyle w:val="6"/>
              <w:spacing w:before="23" w:line="221" w:lineRule="auto"/>
              <w:ind w:left="339"/>
            </w:pPr>
            <w:r>
              <w:rPr>
                <w:spacing w:val="-2"/>
              </w:rPr>
              <w:t>拉窗</w:t>
            </w:r>
          </w:p>
        </w:tc>
        <w:tc>
          <w:tcPr>
            <w:tcW w:w="1140"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9" w:line="235" w:lineRule="auto"/>
              <w:ind w:left="161" w:right="142" w:hanging="3"/>
              <w:jc w:val="both"/>
            </w:pPr>
            <w:r>
              <w:rPr>
                <w:spacing w:val="-2"/>
              </w:rPr>
              <w:t>位于连接</w:t>
            </w:r>
            <w:r>
              <w:rPr>
                <w:spacing w:val="1"/>
              </w:rPr>
              <w:t xml:space="preserve"> </w:t>
            </w:r>
            <w:r>
              <w:t>线与</w:t>
            </w:r>
            <w:r>
              <w:rPr>
                <w:spacing w:val="-43"/>
              </w:rPr>
              <w:t xml:space="preserve"> </w:t>
            </w:r>
            <w:r>
              <w:rPr>
                <w:rFonts w:ascii="Times New Roman" w:hAnsi="Times New Roman" w:eastAsia="Times New Roman" w:cs="Times New Roman"/>
              </w:rPr>
              <w:t xml:space="preserve">322 </w:t>
            </w:r>
            <w:r>
              <w:rPr>
                <w:spacing w:val="-3"/>
              </w:rPr>
              <w:t>国道（二</w:t>
            </w:r>
            <w:r>
              <w:rPr>
                <w:spacing w:val="1"/>
              </w:rPr>
              <w:t xml:space="preserve"> </w:t>
            </w:r>
            <w:r>
              <w:rPr>
                <w:spacing w:val="-6"/>
              </w:rPr>
              <w:t>级公路）</w:t>
            </w:r>
          </w:p>
          <w:p>
            <w:pPr>
              <w:pStyle w:val="6"/>
              <w:spacing w:before="21" w:line="229" w:lineRule="auto"/>
              <w:ind w:left="264" w:right="142" w:hanging="102"/>
            </w:pPr>
            <w:r>
              <w:rPr>
                <w:spacing w:val="-3"/>
              </w:rPr>
              <w:t>交叉口西</w:t>
            </w:r>
            <w:r>
              <w:rPr>
                <w:spacing w:val="1"/>
              </w:rPr>
              <w:t xml:space="preserve"> </w:t>
            </w:r>
            <w:r>
              <w:rPr>
                <w:spacing w:val="-2"/>
              </w:rPr>
              <w:t>北象限</w:t>
            </w:r>
          </w:p>
        </w:tc>
        <w:tc>
          <w:tcPr>
            <w:tcW w:w="5262" w:type="dxa"/>
            <w:vAlign w:val="top"/>
          </w:tcPr>
          <w:p>
            <w:pPr>
              <w:spacing w:before="196" w:line="3766" w:lineRule="exact"/>
              <w:ind w:firstLine="120"/>
            </w:pPr>
            <w:r>
              <w:rPr>
                <w:position w:val="-75"/>
              </w:rPr>
              <w:drawing>
                <wp:inline distT="0" distB="0" distL="0" distR="0">
                  <wp:extent cx="3186430" cy="239141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17"/>
                          <a:stretch>
                            <a:fillRect/>
                          </a:stretch>
                        </pic:blipFill>
                        <pic:spPr>
                          <a:xfrm>
                            <a:off x="0" y="0"/>
                            <a:ext cx="3186430" cy="2391410"/>
                          </a:xfrm>
                          <a:prstGeom prst="rect">
                            <a:avLst/>
                          </a:prstGeom>
                        </pic:spPr>
                      </pic:pic>
                    </a:graphicData>
                  </a:graphic>
                </wp:inline>
              </w:drawing>
            </w:r>
          </w:p>
        </w:tc>
        <w:tc>
          <w:tcPr>
            <w:tcW w:w="4989" w:type="dxa"/>
            <w:vAlign w:val="top"/>
          </w:tcPr>
          <w:p>
            <w:pPr>
              <w:spacing w:before="2" w:line="4143" w:lineRule="exact"/>
            </w:pPr>
            <w:r>
              <w:rPr>
                <w:position w:val="-82"/>
              </w:rPr>
              <w:drawing>
                <wp:inline distT="0" distB="0" distL="0" distR="0">
                  <wp:extent cx="3148965" cy="263080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18"/>
                          <a:stretch>
                            <a:fillRect/>
                          </a:stretch>
                        </pic:blipFill>
                        <pic:spPr>
                          <a:xfrm>
                            <a:off x="0" y="0"/>
                            <a:ext cx="3149218" cy="2630805"/>
                          </a:xfrm>
                          <a:prstGeom prst="rect">
                            <a:avLst/>
                          </a:prstGeom>
                        </pic:spPr>
                      </pic:pic>
                    </a:graphicData>
                  </a:graphic>
                </wp:inline>
              </w:drawing>
            </w:r>
          </w:p>
        </w:tc>
        <w:tc>
          <w:tcPr>
            <w:tcW w:w="595"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1" w:line="221" w:lineRule="auto"/>
              <w:ind w:left="201" w:right="107" w:hanging="79"/>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c>
          <w:tcPr>
            <w:tcW w:w="55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1"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3" w:hRule="atLeast"/>
        </w:trPr>
        <w:tc>
          <w:tcPr>
            <w:tcW w:w="391"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1" w:line="186" w:lineRule="auto"/>
              <w:ind w:left="18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8</w:t>
            </w:r>
          </w:p>
        </w:tc>
        <w:tc>
          <w:tcPr>
            <w:tcW w:w="792"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9" w:line="238" w:lineRule="auto"/>
              <w:ind w:left="194"/>
            </w:pPr>
            <w:r>
              <w:rPr>
                <w:spacing w:val="-2"/>
              </w:rPr>
              <w:t>文成</w:t>
            </w:r>
          </w:p>
          <w:p>
            <w:pPr>
              <w:pStyle w:val="6"/>
              <w:spacing w:line="222" w:lineRule="auto"/>
              <w:ind w:left="193"/>
            </w:pPr>
            <w:r>
              <w:rPr>
                <w:spacing w:val="-2"/>
              </w:rPr>
              <w:t>县西</w:t>
            </w:r>
          </w:p>
          <w:p>
            <w:pPr>
              <w:pStyle w:val="6"/>
              <w:spacing w:before="20" w:line="221" w:lineRule="auto"/>
              <w:ind w:left="193"/>
            </w:pPr>
            <w:r>
              <w:rPr>
                <w:spacing w:val="-2"/>
              </w:rPr>
              <w:t>坑畲</w:t>
            </w:r>
          </w:p>
          <w:p>
            <w:pPr>
              <w:pStyle w:val="6"/>
              <w:spacing w:before="20" w:line="217" w:lineRule="auto"/>
              <w:ind w:left="192"/>
            </w:pPr>
            <w:r>
              <w:rPr>
                <w:spacing w:val="-2"/>
              </w:rPr>
              <w:t>族镇</w:t>
            </w:r>
          </w:p>
          <w:p>
            <w:pPr>
              <w:pStyle w:val="6"/>
              <w:spacing w:before="26" w:line="221" w:lineRule="auto"/>
              <w:ind w:left="194"/>
            </w:pPr>
            <w:r>
              <w:rPr>
                <w:spacing w:val="-2"/>
              </w:rPr>
              <w:t>让川</w:t>
            </w:r>
          </w:p>
          <w:p>
            <w:pPr>
              <w:pStyle w:val="6"/>
              <w:spacing w:before="20" w:line="220" w:lineRule="auto"/>
              <w:ind w:left="297"/>
            </w:pPr>
            <w:r>
              <w:t>村</w:t>
            </w:r>
          </w:p>
        </w:tc>
        <w:tc>
          <w:tcPr>
            <w:tcW w:w="631" w:type="dxa"/>
            <w:textDirection w:val="tbRlV"/>
            <w:vAlign w:val="top"/>
          </w:tcPr>
          <w:p>
            <w:pPr>
              <w:pStyle w:val="6"/>
              <w:spacing w:before="205" w:line="203" w:lineRule="auto"/>
              <w:ind w:left="1731"/>
            </w:pPr>
            <w:r>
              <w:rPr>
                <w:spacing w:val="31"/>
              </w:rPr>
              <w:t>官田</w:t>
            </w:r>
          </w:p>
        </w:tc>
        <w:tc>
          <w:tcPr>
            <w:tcW w:w="74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tabs>
                <w:tab w:val="left" w:pos="193"/>
              </w:tabs>
              <w:spacing w:before="68" w:line="237" w:lineRule="auto"/>
              <w:ind w:left="117" w:right="30" w:firstLine="53"/>
              <w:jc w:val="both"/>
            </w:pPr>
            <w:r>
              <w:rPr>
                <w:spacing w:val="-4"/>
              </w:rPr>
              <w:t>让川</w:t>
            </w:r>
            <w:r>
              <w:t xml:space="preserve">  </w:t>
            </w:r>
            <w:r>
              <w:rPr>
                <w:spacing w:val="23"/>
              </w:rPr>
              <w:t>接线</w:t>
            </w:r>
            <w:r>
              <w:t xml:space="preserve">  </w:t>
            </w:r>
            <w:r>
              <w:rPr>
                <w:rFonts w:ascii="Times New Roman" w:hAnsi="Times New Roman" w:eastAsia="Times New Roman" w:cs="Times New Roman"/>
              </w:rPr>
              <w:tab/>
            </w:r>
            <w:r>
              <w:rPr>
                <w:rFonts w:ascii="Times New Roman" w:hAnsi="Times New Roman" w:eastAsia="Times New Roman" w:cs="Times New Roman"/>
                <w:spacing w:val="-2"/>
              </w:rPr>
              <w:t>(L2)</w:t>
            </w:r>
            <w:r>
              <w:rPr>
                <w:rFonts w:ascii="Times New Roman" w:hAnsi="Times New Roman" w:eastAsia="Times New Roman" w:cs="Times New Roman"/>
              </w:rPr>
              <w:t xml:space="preserve">    </w:t>
            </w:r>
            <w:r>
              <w:rPr>
                <w:spacing w:val="-14"/>
              </w:rPr>
              <w:t>起点、</w:t>
            </w:r>
            <w:r>
              <w:rPr>
                <w:spacing w:val="1"/>
              </w:rPr>
              <w:t xml:space="preserve"> </w:t>
            </w:r>
            <w:r>
              <w:rPr>
                <w:spacing w:val="-2"/>
              </w:rPr>
              <w:t>与</w:t>
            </w:r>
            <w:r>
              <w:rPr>
                <w:rFonts w:ascii="Times New Roman" w:hAnsi="Times New Roman" w:eastAsia="Times New Roman" w:cs="Times New Roman"/>
                <w:spacing w:val="-2"/>
              </w:rPr>
              <w:t>322</w:t>
            </w:r>
            <w:r>
              <w:rPr>
                <w:rFonts w:ascii="Times New Roman" w:hAnsi="Times New Roman" w:eastAsia="Times New Roman" w:cs="Times New Roman"/>
              </w:rPr>
              <w:t xml:space="preserve">  </w:t>
            </w:r>
            <w:r>
              <w:rPr>
                <w:spacing w:val="23"/>
              </w:rPr>
              <w:t>国道</w:t>
            </w:r>
            <w:r>
              <w:t xml:space="preserve">  </w:t>
            </w:r>
            <w:r>
              <w:rPr>
                <w:spacing w:val="23"/>
              </w:rPr>
              <w:t>交叉</w:t>
            </w:r>
          </w:p>
        </w:tc>
        <w:tc>
          <w:tcPr>
            <w:tcW w:w="540"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0" w:line="241"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w:t>
            </w:r>
          </w:p>
          <w:p>
            <w:pPr>
              <w:spacing w:line="186" w:lineRule="auto"/>
              <w:ind w:left="1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K0</w:t>
            </w:r>
          </w:p>
          <w:p>
            <w:pPr>
              <w:spacing w:before="54"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w:t>
            </w:r>
          </w:p>
          <w:p>
            <w:pPr>
              <w:spacing w:before="5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w:t>
            </w:r>
          </w:p>
        </w:tc>
        <w:tc>
          <w:tcPr>
            <w:tcW w:w="602" w:type="dxa"/>
            <w:textDirection w:val="tbRlV"/>
            <w:vAlign w:val="top"/>
          </w:tcPr>
          <w:p>
            <w:pPr>
              <w:pStyle w:val="6"/>
              <w:spacing w:before="190" w:line="210" w:lineRule="auto"/>
              <w:ind w:left="1457"/>
            </w:pPr>
            <w:r>
              <w:rPr>
                <w:spacing w:val="1"/>
              </w:rPr>
              <w:t>地</w:t>
            </w:r>
            <w:r>
              <w:rPr>
                <w:spacing w:val="-43"/>
              </w:rPr>
              <w:t xml:space="preserve"> </w:t>
            </w:r>
            <w:r>
              <w:rPr>
                <w:spacing w:val="1"/>
              </w:rPr>
              <w:t>面</w:t>
            </w:r>
            <w:r>
              <w:rPr>
                <w:spacing w:val="-45"/>
              </w:rPr>
              <w:t xml:space="preserve"> </w:t>
            </w:r>
            <w:r>
              <w:rPr>
                <w:spacing w:val="1"/>
              </w:rPr>
              <w:t>道</w:t>
            </w:r>
            <w:r>
              <w:rPr>
                <w:spacing w:val="-43"/>
              </w:rPr>
              <w:t xml:space="preserve"> </w:t>
            </w:r>
            <w:r>
              <w:rPr>
                <w:spacing w:val="1"/>
              </w:rPr>
              <w:t>路</w:t>
            </w:r>
          </w:p>
        </w:tc>
        <w:tc>
          <w:tcPr>
            <w:tcW w:w="605"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61" w:line="184" w:lineRule="auto"/>
              <w:ind w:left="1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NE</w:t>
            </w:r>
          </w:p>
        </w:tc>
        <w:tc>
          <w:tcPr>
            <w:tcW w:w="648"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1" w:line="187" w:lineRule="auto"/>
              <w:ind w:left="27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12"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1" w:line="187" w:lineRule="auto"/>
              <w:ind w:left="27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828"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1" w:line="187" w:lineRule="auto"/>
              <w:ind w:left="27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138</w:t>
            </w:r>
          </w:p>
        </w:tc>
        <w:tc>
          <w:tcPr>
            <w:tcW w:w="535"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1" w:line="187" w:lineRule="auto"/>
              <w:ind w:left="22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588"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1" w:line="187"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082"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8" w:line="236" w:lineRule="auto"/>
              <w:ind w:left="129" w:right="113" w:firstLine="103"/>
            </w:pPr>
            <w:r>
              <w:rPr>
                <w:spacing w:val="-2"/>
              </w:rPr>
              <w:t>砖混结</w:t>
            </w:r>
            <w:r>
              <w:t xml:space="preserve">  </w:t>
            </w:r>
            <w:r>
              <w:rPr>
                <w:spacing w:val="-16"/>
              </w:rPr>
              <w:t>构，</w:t>
            </w:r>
            <w:r>
              <w:rPr>
                <w:spacing w:val="17"/>
              </w:rPr>
              <w:t xml:space="preserve"> </w:t>
            </w:r>
            <w:r>
              <w:rPr>
                <w:rFonts w:ascii="Times New Roman" w:hAnsi="Times New Roman" w:eastAsia="Times New Roman" w:cs="Times New Roman"/>
                <w:spacing w:val="-16"/>
              </w:rPr>
              <w:t>1~4</w:t>
            </w:r>
            <w:r>
              <w:rPr>
                <w:rFonts w:ascii="Times New Roman" w:hAnsi="Times New Roman" w:eastAsia="Times New Roman" w:cs="Times New Roman"/>
              </w:rPr>
              <w:t xml:space="preserve">  </w:t>
            </w:r>
            <w:r>
              <w:rPr>
                <w:spacing w:val="-2"/>
              </w:rPr>
              <w:t>层建筑、</w:t>
            </w:r>
            <w:r>
              <w:rPr>
                <w:spacing w:val="1"/>
              </w:rPr>
              <w:t xml:space="preserve"> </w:t>
            </w:r>
            <w:r>
              <w:rPr>
                <w:spacing w:val="-2"/>
              </w:rPr>
              <w:t>面向、背</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8" w:line="233" w:lineRule="auto"/>
              <w:ind w:left="161" w:right="142" w:firstLine="23"/>
              <w:jc w:val="both"/>
            </w:pPr>
            <w:r>
              <w:rPr>
                <w:spacing w:val="-4"/>
              </w:rPr>
              <w:t>位于</w:t>
            </w:r>
            <w:r>
              <w:rPr>
                <w:spacing w:val="-42"/>
              </w:rPr>
              <w:t xml:space="preserve"> </w:t>
            </w:r>
            <w:r>
              <w:rPr>
                <w:rFonts w:ascii="Times New Roman" w:hAnsi="Times New Roman" w:eastAsia="Times New Roman" w:cs="Times New Roman"/>
                <w:spacing w:val="-4"/>
              </w:rPr>
              <w:t xml:space="preserve">322 </w:t>
            </w:r>
            <w:r>
              <w:rPr>
                <w:spacing w:val="-3"/>
              </w:rPr>
              <w:t>国道（二</w:t>
            </w:r>
            <w:r>
              <w:rPr>
                <w:spacing w:val="1"/>
              </w:rPr>
              <w:t xml:space="preserve"> </w:t>
            </w:r>
            <w:r>
              <w:rPr>
                <w:spacing w:val="-6"/>
              </w:rPr>
              <w:t>级公路）</w:t>
            </w:r>
          </w:p>
          <w:p>
            <w:pPr>
              <w:pStyle w:val="6"/>
              <w:spacing w:before="22" w:line="221" w:lineRule="auto"/>
              <w:ind w:left="370"/>
            </w:pPr>
            <w:r>
              <w:rPr>
                <w:spacing w:val="-3"/>
              </w:rPr>
              <w:t>北侧</w:t>
            </w:r>
          </w:p>
        </w:tc>
        <w:tc>
          <w:tcPr>
            <w:tcW w:w="5262" w:type="dxa"/>
            <w:vAlign w:val="top"/>
          </w:tcPr>
          <w:p>
            <w:pPr>
              <w:spacing w:before="97" w:line="3748" w:lineRule="exact"/>
              <w:ind w:firstLine="132"/>
            </w:pPr>
            <w:r>
              <w:rPr>
                <w:position w:val="-74"/>
              </w:rPr>
              <w:drawing>
                <wp:inline distT="0" distB="0" distL="0" distR="0">
                  <wp:extent cx="3173095" cy="237998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19"/>
                          <a:stretch>
                            <a:fillRect/>
                          </a:stretch>
                        </pic:blipFill>
                        <pic:spPr>
                          <a:xfrm>
                            <a:off x="0" y="0"/>
                            <a:ext cx="3173095" cy="2380614"/>
                          </a:xfrm>
                          <a:prstGeom prst="rect">
                            <a:avLst/>
                          </a:prstGeom>
                        </pic:spPr>
                      </pic:pic>
                    </a:graphicData>
                  </a:graphic>
                </wp:inline>
              </w:drawing>
            </w:r>
          </w:p>
        </w:tc>
        <w:tc>
          <w:tcPr>
            <w:tcW w:w="4989" w:type="dxa"/>
            <w:vAlign w:val="top"/>
          </w:tcPr>
          <w:p>
            <w:pPr>
              <w:spacing w:line="3933" w:lineRule="exact"/>
              <w:ind w:firstLine="179"/>
            </w:pPr>
            <w:r>
              <w:rPr>
                <w:position w:val="-78"/>
              </w:rPr>
              <w:drawing>
                <wp:inline distT="0" distB="0" distL="0" distR="0">
                  <wp:extent cx="2940685" cy="249682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20"/>
                          <a:stretch>
                            <a:fillRect/>
                          </a:stretch>
                        </pic:blipFill>
                        <pic:spPr>
                          <a:xfrm>
                            <a:off x="0" y="0"/>
                            <a:ext cx="2941319" cy="2496820"/>
                          </a:xfrm>
                          <a:prstGeom prst="rect">
                            <a:avLst/>
                          </a:prstGeom>
                        </pic:spPr>
                      </pic:pic>
                    </a:graphicData>
                  </a:graphic>
                </wp:inline>
              </w:drawing>
            </w:r>
          </w:p>
        </w:tc>
        <w:tc>
          <w:tcPr>
            <w:tcW w:w="595"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8" w:line="221" w:lineRule="auto"/>
              <w:ind w:left="12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9"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8" w:line="221" w:lineRule="auto"/>
              <w:ind w:left="100"/>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r>
    </w:tbl>
    <w:p>
      <w:pPr>
        <w:pStyle w:val="2"/>
      </w:pPr>
    </w:p>
    <w:p>
      <w:pPr>
        <w:sectPr>
          <w:pgSz w:w="23813" w:h="16839"/>
          <w:pgMar w:top="1118" w:right="1231" w:bottom="1184" w:left="1233" w:header="879" w:footer="1024" w:gutter="0"/>
          <w:cols w:space="720" w:num="1"/>
        </w:sectPr>
      </w:pPr>
    </w:p>
    <w:p>
      <w:pPr>
        <w:spacing w:before="104"/>
      </w:pPr>
    </w:p>
    <w:tbl>
      <w:tblPr>
        <w:tblStyle w:val="5"/>
        <w:tblW w:w="213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1"/>
        <w:gridCol w:w="792"/>
        <w:gridCol w:w="631"/>
        <w:gridCol w:w="744"/>
        <w:gridCol w:w="540"/>
        <w:gridCol w:w="602"/>
        <w:gridCol w:w="605"/>
        <w:gridCol w:w="648"/>
        <w:gridCol w:w="812"/>
        <w:gridCol w:w="828"/>
        <w:gridCol w:w="535"/>
        <w:gridCol w:w="588"/>
        <w:gridCol w:w="1082"/>
        <w:gridCol w:w="1140"/>
        <w:gridCol w:w="5262"/>
        <w:gridCol w:w="4989"/>
        <w:gridCol w:w="595"/>
        <w:gridCol w:w="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91" w:type="dxa"/>
            <w:vMerge w:val="restart"/>
            <w:tcBorders>
              <w:bottom w:val="nil"/>
            </w:tcBorders>
            <w:textDirection w:val="tbRlV"/>
            <w:vAlign w:val="top"/>
          </w:tcPr>
          <w:p>
            <w:pPr>
              <w:pStyle w:val="6"/>
              <w:spacing w:before="105" w:line="211" w:lineRule="auto"/>
              <w:ind w:left="982"/>
            </w:pPr>
            <w:r>
              <w:rPr>
                <w:spacing w:val="31"/>
              </w:rPr>
              <w:t>序号</w:t>
            </w:r>
          </w:p>
        </w:tc>
        <w:tc>
          <w:tcPr>
            <w:tcW w:w="792"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96"/>
            </w:pPr>
            <w:r>
              <w:rPr>
                <w:spacing w:val="-3"/>
              </w:rPr>
              <w:t>行政</w:t>
            </w:r>
          </w:p>
          <w:p>
            <w:pPr>
              <w:pStyle w:val="6"/>
              <w:spacing w:line="220" w:lineRule="auto"/>
              <w:ind w:left="208"/>
            </w:pPr>
            <w:r>
              <w:rPr>
                <w:spacing w:val="-6"/>
              </w:rPr>
              <w:t>区域</w:t>
            </w:r>
          </w:p>
        </w:tc>
        <w:tc>
          <w:tcPr>
            <w:tcW w:w="631" w:type="dxa"/>
            <w:vMerge w:val="restart"/>
            <w:tcBorders>
              <w:bottom w:val="nil"/>
            </w:tcBorders>
            <w:textDirection w:val="tbRlV"/>
            <w:vAlign w:val="top"/>
          </w:tcPr>
          <w:p>
            <w:pPr>
              <w:pStyle w:val="6"/>
              <w:spacing w:before="205" w:line="210" w:lineRule="auto"/>
              <w:ind w:left="29"/>
            </w:pPr>
            <w:r>
              <w:rPr>
                <w:spacing w:val="19"/>
                <w:w w:val="117"/>
              </w:rPr>
              <w:t>声环境保护目标名称</w:t>
            </w:r>
          </w:p>
        </w:tc>
        <w:tc>
          <w:tcPr>
            <w:tcW w:w="744"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69"/>
            </w:pPr>
            <w:r>
              <w:rPr>
                <w:spacing w:val="-2"/>
              </w:rPr>
              <w:t>所在</w:t>
            </w:r>
          </w:p>
          <w:p>
            <w:pPr>
              <w:pStyle w:val="6"/>
              <w:spacing w:line="220" w:lineRule="auto"/>
              <w:ind w:left="171"/>
            </w:pPr>
            <w:r>
              <w:rPr>
                <w:spacing w:val="-2"/>
              </w:rPr>
              <w:t>路段</w:t>
            </w:r>
          </w:p>
        </w:tc>
        <w:tc>
          <w:tcPr>
            <w:tcW w:w="540" w:type="dxa"/>
            <w:vMerge w:val="restart"/>
            <w:tcBorders>
              <w:bottom w:val="nil"/>
            </w:tcBorders>
            <w:textDirection w:val="tbRlV"/>
            <w:vAlign w:val="top"/>
          </w:tcPr>
          <w:p>
            <w:pPr>
              <w:pStyle w:val="6"/>
              <w:spacing w:before="160" w:line="210" w:lineRule="auto"/>
              <w:ind w:left="709"/>
            </w:pPr>
            <w:r>
              <w:rPr>
                <w:spacing w:val="1"/>
              </w:rPr>
              <w:t>里</w:t>
            </w:r>
            <w:r>
              <w:rPr>
                <w:spacing w:val="-43"/>
              </w:rPr>
              <w:t xml:space="preserve"> </w:t>
            </w:r>
            <w:r>
              <w:rPr>
                <w:spacing w:val="1"/>
              </w:rPr>
              <w:t>程</w:t>
            </w:r>
            <w:r>
              <w:rPr>
                <w:spacing w:val="-45"/>
              </w:rPr>
              <w:t xml:space="preserve"> </w:t>
            </w:r>
            <w:r>
              <w:rPr>
                <w:spacing w:val="1"/>
              </w:rPr>
              <w:t>范</w:t>
            </w:r>
            <w:r>
              <w:rPr>
                <w:spacing w:val="-43"/>
              </w:rPr>
              <w:t xml:space="preserve"> </w:t>
            </w:r>
            <w:r>
              <w:rPr>
                <w:spacing w:val="1"/>
              </w:rPr>
              <w:t>围</w:t>
            </w:r>
          </w:p>
        </w:tc>
        <w:tc>
          <w:tcPr>
            <w:tcW w:w="602" w:type="dxa"/>
            <w:vMerge w:val="restart"/>
            <w:tcBorders>
              <w:bottom w:val="nil"/>
            </w:tcBorders>
            <w:textDirection w:val="tbRlV"/>
            <w:vAlign w:val="top"/>
          </w:tcPr>
          <w:p>
            <w:pPr>
              <w:pStyle w:val="6"/>
              <w:spacing w:before="190" w:line="207" w:lineRule="auto"/>
              <w:ind w:left="709"/>
            </w:pPr>
            <w:r>
              <w:rPr>
                <w:spacing w:val="1"/>
              </w:rPr>
              <w:t>线</w:t>
            </w:r>
            <w:r>
              <w:rPr>
                <w:spacing w:val="-43"/>
              </w:rPr>
              <w:t xml:space="preserve"> </w:t>
            </w:r>
            <w:r>
              <w:rPr>
                <w:spacing w:val="1"/>
              </w:rPr>
              <w:t>路</w:t>
            </w:r>
            <w:r>
              <w:rPr>
                <w:spacing w:val="-45"/>
              </w:rPr>
              <w:t xml:space="preserve"> </w:t>
            </w:r>
            <w:r>
              <w:rPr>
                <w:spacing w:val="1"/>
              </w:rPr>
              <w:t>形</w:t>
            </w:r>
            <w:r>
              <w:rPr>
                <w:spacing w:val="-43"/>
              </w:rPr>
              <w:t xml:space="preserve"> </w:t>
            </w:r>
            <w:r>
              <w:rPr>
                <w:spacing w:val="1"/>
              </w:rPr>
              <w:t>式</w:t>
            </w:r>
          </w:p>
        </w:tc>
        <w:tc>
          <w:tcPr>
            <w:tcW w:w="605" w:type="dxa"/>
            <w:vMerge w:val="restart"/>
            <w:tcBorders>
              <w:bottom w:val="nil"/>
            </w:tcBorders>
            <w:textDirection w:val="tbRlV"/>
            <w:vAlign w:val="top"/>
          </w:tcPr>
          <w:p>
            <w:pPr>
              <w:pStyle w:val="6"/>
              <w:spacing w:before="191" w:line="210" w:lineRule="auto"/>
              <w:ind w:left="982"/>
            </w:pPr>
            <w:r>
              <w:rPr>
                <w:spacing w:val="31"/>
              </w:rPr>
              <w:t>方位</w:t>
            </w:r>
          </w:p>
        </w:tc>
        <w:tc>
          <w:tcPr>
            <w:tcW w:w="648" w:type="dxa"/>
            <w:vMerge w:val="restart"/>
            <w:tcBorders>
              <w:bottom w:val="nil"/>
            </w:tcBorders>
            <w:vAlign w:val="top"/>
          </w:tcPr>
          <w:p>
            <w:pPr>
              <w:spacing w:line="245" w:lineRule="auto"/>
              <w:rPr>
                <w:rFonts w:ascii="Arial"/>
                <w:sz w:val="21"/>
              </w:rPr>
            </w:pPr>
          </w:p>
          <w:p>
            <w:pPr>
              <w:pStyle w:val="6"/>
              <w:spacing w:before="68" w:line="236" w:lineRule="auto"/>
              <w:ind w:left="120" w:right="109" w:firstLine="3"/>
              <w:jc w:val="both"/>
              <w:rPr>
                <w:rFonts w:ascii="Times New Roman" w:hAnsi="Times New Roman" w:eastAsia="Times New Roman" w:cs="Times New Roman"/>
              </w:rPr>
            </w:pPr>
            <w:r>
              <w:rPr>
                <w:spacing w:val="-6"/>
              </w:rPr>
              <w:t>声环</w:t>
            </w:r>
            <w:r>
              <w:t xml:space="preserve"> </w:t>
            </w:r>
            <w:r>
              <w:rPr>
                <w:spacing w:val="-4"/>
              </w:rPr>
              <w:t>境保</w:t>
            </w:r>
            <w:r>
              <w:t xml:space="preserve"> </w:t>
            </w:r>
            <w:r>
              <w:rPr>
                <w:spacing w:val="-4"/>
              </w:rPr>
              <w:t>护目</w:t>
            </w:r>
            <w:r>
              <w:t xml:space="preserve"> </w:t>
            </w:r>
            <w:r>
              <w:rPr>
                <w:spacing w:val="-4"/>
              </w:rPr>
              <w:t>标与</w:t>
            </w:r>
            <w:r>
              <w:t xml:space="preserve"> </w:t>
            </w:r>
            <w:r>
              <w:rPr>
                <w:spacing w:val="-4"/>
              </w:rPr>
              <w:t>路面</w:t>
            </w:r>
            <w:r>
              <w:t xml:space="preserve"> </w:t>
            </w:r>
            <w:r>
              <w:rPr>
                <w:spacing w:val="-4"/>
              </w:rPr>
              <w:t>高差</w:t>
            </w:r>
            <w:r>
              <w:t xml:space="preserve"> </w:t>
            </w:r>
            <w:r>
              <w:rPr>
                <w:rFonts w:ascii="Times New Roman" w:hAnsi="Times New Roman" w:eastAsia="Times New Roman" w:cs="Times New Roman"/>
                <w:spacing w:val="17"/>
              </w:rPr>
              <w:t>(m)</w:t>
            </w:r>
          </w:p>
        </w:tc>
        <w:tc>
          <w:tcPr>
            <w:tcW w:w="812"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41" w:lineRule="auto"/>
              <w:ind w:left="202"/>
            </w:pPr>
            <w:r>
              <w:rPr>
                <w:spacing w:val="-2"/>
              </w:rPr>
              <w:t>距道</w:t>
            </w:r>
          </w:p>
          <w:p>
            <w:pPr>
              <w:pStyle w:val="6"/>
              <w:spacing w:line="220" w:lineRule="auto"/>
              <w:ind w:left="205"/>
            </w:pPr>
            <w:r>
              <w:rPr>
                <w:spacing w:val="-2"/>
              </w:rPr>
              <w:t>路中</w:t>
            </w:r>
          </w:p>
          <w:p>
            <w:pPr>
              <w:pStyle w:val="6"/>
              <w:spacing w:before="19" w:line="221" w:lineRule="auto"/>
              <w:ind w:left="210"/>
            </w:pPr>
            <w:r>
              <w:rPr>
                <w:spacing w:val="-4"/>
              </w:rPr>
              <w:t>心线</w:t>
            </w:r>
          </w:p>
          <w:p>
            <w:pPr>
              <w:pStyle w:val="6"/>
              <w:spacing w:before="20" w:line="221" w:lineRule="auto"/>
              <w:ind w:left="202"/>
            </w:pPr>
            <w:r>
              <w:rPr>
                <w:spacing w:val="-2"/>
              </w:rPr>
              <w:t>距离</w:t>
            </w:r>
          </w:p>
          <w:p>
            <w:pPr>
              <w:spacing w:before="43" w:line="191"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828" w:type="dxa"/>
            <w:vMerge w:val="restart"/>
            <w:tcBorders>
              <w:bottom w:val="nil"/>
            </w:tcBorders>
            <w:vAlign w:val="top"/>
          </w:tcPr>
          <w:p>
            <w:pPr>
              <w:spacing w:line="252" w:lineRule="auto"/>
              <w:rPr>
                <w:rFonts w:ascii="Arial"/>
                <w:sz w:val="21"/>
              </w:rPr>
            </w:pPr>
          </w:p>
          <w:p>
            <w:pPr>
              <w:spacing w:line="253" w:lineRule="auto"/>
              <w:rPr>
                <w:rFonts w:ascii="Arial"/>
                <w:sz w:val="21"/>
              </w:rPr>
            </w:pPr>
          </w:p>
          <w:p>
            <w:pPr>
              <w:pStyle w:val="6"/>
              <w:spacing w:before="68" w:line="234" w:lineRule="auto"/>
              <w:ind w:left="116" w:right="102" w:firstLine="92"/>
              <w:jc w:val="both"/>
              <w:rPr>
                <w:rFonts w:ascii="Times New Roman" w:hAnsi="Times New Roman" w:eastAsia="Times New Roman" w:cs="Times New Roman"/>
              </w:rPr>
            </w:pPr>
            <w:r>
              <w:rPr>
                <w:spacing w:val="-3"/>
              </w:rPr>
              <w:t>距道</w:t>
            </w:r>
            <w:r>
              <w:t xml:space="preserve">  </w:t>
            </w:r>
            <w:r>
              <w:rPr>
                <w:spacing w:val="43"/>
              </w:rPr>
              <w:t>路边</w:t>
            </w:r>
            <w:r>
              <w:t xml:space="preserve">  </w:t>
            </w:r>
            <w:r>
              <w:rPr>
                <w:spacing w:val="-9"/>
              </w:rPr>
              <w:t>界（红</w:t>
            </w:r>
            <w:r>
              <w:t xml:space="preserve"> </w:t>
            </w:r>
            <w:r>
              <w:rPr>
                <w:spacing w:val="-24"/>
              </w:rPr>
              <w:t>线）</w:t>
            </w:r>
            <w:r>
              <w:rPr>
                <w:spacing w:val="-61"/>
              </w:rPr>
              <w:t xml:space="preserve"> </w:t>
            </w:r>
            <w:r>
              <w:rPr>
                <w:spacing w:val="-24"/>
              </w:rPr>
              <w:t>距</w:t>
            </w:r>
            <w:r>
              <w:t xml:space="preserve"> </w:t>
            </w:r>
            <w:r>
              <w:rPr>
                <w:spacing w:val="10"/>
              </w:rPr>
              <w:t>离</w:t>
            </w:r>
            <w:r>
              <w:rPr>
                <w:rFonts w:ascii="Times New Roman" w:hAnsi="Times New Roman" w:eastAsia="Times New Roman" w:cs="Times New Roman"/>
                <w:spacing w:val="10"/>
              </w:rPr>
              <w:t>(m)</w:t>
            </w:r>
          </w:p>
        </w:tc>
        <w:tc>
          <w:tcPr>
            <w:tcW w:w="1123" w:type="dxa"/>
            <w:gridSpan w:val="2"/>
            <w:vAlign w:val="top"/>
          </w:tcPr>
          <w:p>
            <w:pPr>
              <w:pStyle w:val="6"/>
              <w:spacing w:before="29" w:line="222" w:lineRule="auto"/>
              <w:ind w:left="151"/>
            </w:pPr>
            <w:r>
              <w:rPr>
                <w:spacing w:val="-3"/>
              </w:rPr>
              <w:t>不同功能</w:t>
            </w:r>
          </w:p>
          <w:p>
            <w:pPr>
              <w:pStyle w:val="6"/>
              <w:spacing w:before="18" w:line="209" w:lineRule="auto"/>
              <w:ind w:left="269"/>
            </w:pPr>
            <w:r>
              <w:rPr>
                <w:spacing w:val="-7"/>
              </w:rPr>
              <w:t>区户数</w:t>
            </w:r>
          </w:p>
        </w:tc>
        <w:tc>
          <w:tcPr>
            <w:tcW w:w="2222" w:type="dxa"/>
            <w:gridSpan w:val="2"/>
            <w:vAlign w:val="top"/>
          </w:tcPr>
          <w:p>
            <w:pPr>
              <w:pStyle w:val="6"/>
              <w:spacing w:before="29" w:line="224" w:lineRule="auto"/>
              <w:ind w:left="911" w:right="159" w:hanging="735"/>
            </w:pPr>
            <w:r>
              <w:rPr>
                <w:spacing w:val="-1"/>
              </w:rPr>
              <w:t>声环境保护目标情况</w:t>
            </w:r>
            <w:r>
              <w:t xml:space="preserve"> </w:t>
            </w:r>
            <w:r>
              <w:rPr>
                <w:spacing w:val="-3"/>
              </w:rPr>
              <w:t>说明</w:t>
            </w:r>
          </w:p>
        </w:tc>
        <w:tc>
          <w:tcPr>
            <w:tcW w:w="526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2009"/>
            </w:pPr>
            <w:r>
              <w:rPr>
                <w:spacing w:val="-1"/>
              </w:rPr>
              <w:t>保护目标照片</w:t>
            </w:r>
          </w:p>
        </w:tc>
        <w:tc>
          <w:tcPr>
            <w:tcW w:w="4989"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1769"/>
            </w:pPr>
            <w:r>
              <w:rPr>
                <w:spacing w:val="-1"/>
              </w:rPr>
              <w:t>保护目标地形图</w:t>
            </w:r>
          </w:p>
        </w:tc>
        <w:tc>
          <w:tcPr>
            <w:tcW w:w="1154" w:type="dxa"/>
            <w:gridSpan w:val="2"/>
            <w:vAlign w:val="top"/>
          </w:tcPr>
          <w:p>
            <w:pPr>
              <w:pStyle w:val="6"/>
              <w:spacing w:before="163" w:line="221" w:lineRule="auto"/>
              <w:ind w:left="166"/>
            </w:pPr>
            <w:r>
              <w:rPr>
                <w:spacing w:val="-2"/>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9" w:hRule="atLeast"/>
        </w:trPr>
        <w:tc>
          <w:tcPr>
            <w:tcW w:w="391" w:type="dxa"/>
            <w:vMerge w:val="continue"/>
            <w:tcBorders>
              <w:top w:val="nil"/>
            </w:tcBorders>
            <w:textDirection w:val="tbRlV"/>
            <w:vAlign w:val="top"/>
          </w:tcPr>
          <w:p>
            <w:pPr>
              <w:rPr>
                <w:rFonts w:ascii="Arial"/>
                <w:sz w:val="21"/>
              </w:rPr>
            </w:pPr>
          </w:p>
        </w:tc>
        <w:tc>
          <w:tcPr>
            <w:tcW w:w="792" w:type="dxa"/>
            <w:vMerge w:val="continue"/>
            <w:tcBorders>
              <w:top w:val="nil"/>
            </w:tcBorders>
            <w:vAlign w:val="top"/>
          </w:tcPr>
          <w:p>
            <w:pPr>
              <w:rPr>
                <w:rFonts w:ascii="Arial"/>
                <w:sz w:val="21"/>
              </w:rPr>
            </w:pPr>
          </w:p>
        </w:tc>
        <w:tc>
          <w:tcPr>
            <w:tcW w:w="631" w:type="dxa"/>
            <w:vMerge w:val="continue"/>
            <w:tcBorders>
              <w:top w:val="nil"/>
            </w:tcBorders>
            <w:textDirection w:val="tbRlV"/>
            <w:vAlign w:val="top"/>
          </w:tcPr>
          <w:p>
            <w:pPr>
              <w:rPr>
                <w:rFonts w:ascii="Arial"/>
                <w:sz w:val="21"/>
              </w:rPr>
            </w:pPr>
          </w:p>
        </w:tc>
        <w:tc>
          <w:tcPr>
            <w:tcW w:w="744" w:type="dxa"/>
            <w:vMerge w:val="continue"/>
            <w:tcBorders>
              <w:top w:val="nil"/>
            </w:tcBorders>
            <w:vAlign w:val="top"/>
          </w:tcPr>
          <w:p>
            <w:pPr>
              <w:rPr>
                <w:rFonts w:ascii="Arial"/>
                <w:sz w:val="21"/>
              </w:rPr>
            </w:pPr>
          </w:p>
        </w:tc>
        <w:tc>
          <w:tcPr>
            <w:tcW w:w="540" w:type="dxa"/>
            <w:vMerge w:val="continue"/>
            <w:tcBorders>
              <w:top w:val="nil"/>
            </w:tcBorders>
            <w:textDirection w:val="tbRlV"/>
            <w:vAlign w:val="top"/>
          </w:tcPr>
          <w:p>
            <w:pPr>
              <w:rPr>
                <w:rFonts w:ascii="Arial"/>
                <w:sz w:val="21"/>
              </w:rPr>
            </w:pPr>
          </w:p>
        </w:tc>
        <w:tc>
          <w:tcPr>
            <w:tcW w:w="602" w:type="dxa"/>
            <w:vMerge w:val="continue"/>
            <w:tcBorders>
              <w:top w:val="nil"/>
            </w:tcBorders>
            <w:textDirection w:val="tbRlV"/>
            <w:vAlign w:val="top"/>
          </w:tcPr>
          <w:p>
            <w:pPr>
              <w:rPr>
                <w:rFonts w:ascii="Arial"/>
                <w:sz w:val="21"/>
              </w:rPr>
            </w:pPr>
          </w:p>
        </w:tc>
        <w:tc>
          <w:tcPr>
            <w:tcW w:w="605" w:type="dxa"/>
            <w:vMerge w:val="continue"/>
            <w:tcBorders>
              <w:top w:val="nil"/>
            </w:tcBorders>
            <w:textDirection w:val="tbRlV"/>
            <w:vAlign w:val="top"/>
          </w:tcPr>
          <w:p>
            <w:pPr>
              <w:rPr>
                <w:rFonts w:ascii="Arial"/>
                <w:sz w:val="21"/>
              </w:rPr>
            </w:pPr>
          </w:p>
        </w:tc>
        <w:tc>
          <w:tcPr>
            <w:tcW w:w="648"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828" w:type="dxa"/>
            <w:vMerge w:val="continue"/>
            <w:tcBorders>
              <w:top w:val="nil"/>
            </w:tcBorders>
            <w:vAlign w:val="top"/>
          </w:tcPr>
          <w:p>
            <w:pPr>
              <w:rPr>
                <w:rFonts w:ascii="Arial"/>
                <w:sz w:val="21"/>
              </w:rPr>
            </w:pPr>
          </w:p>
        </w:tc>
        <w:tc>
          <w:tcPr>
            <w:tcW w:w="535" w:type="dxa"/>
            <w:vAlign w:val="top"/>
          </w:tcPr>
          <w:p>
            <w:pPr>
              <w:spacing w:line="339" w:lineRule="auto"/>
              <w:rPr>
                <w:rFonts w:ascii="Arial"/>
                <w:sz w:val="21"/>
              </w:rPr>
            </w:pPr>
          </w:p>
          <w:p>
            <w:pPr>
              <w:spacing w:line="339" w:lineRule="auto"/>
              <w:rPr>
                <w:rFonts w:ascii="Arial"/>
                <w:sz w:val="21"/>
              </w:rPr>
            </w:pPr>
          </w:p>
          <w:p>
            <w:pPr>
              <w:spacing w:before="61" w:line="21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p>
            <w:pPr>
              <w:pStyle w:val="6"/>
              <w:spacing w:line="220" w:lineRule="auto"/>
              <w:ind w:left="169"/>
            </w:pPr>
            <w:r>
              <w:t>类</w:t>
            </w:r>
          </w:p>
        </w:tc>
        <w:tc>
          <w:tcPr>
            <w:tcW w:w="588"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11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082" w:type="dxa"/>
            <w:vAlign w:val="top"/>
          </w:tcPr>
          <w:p>
            <w:pPr>
              <w:spacing w:line="363" w:lineRule="auto"/>
              <w:rPr>
                <w:rFonts w:ascii="Arial"/>
                <w:sz w:val="21"/>
              </w:rPr>
            </w:pPr>
          </w:p>
          <w:p>
            <w:pPr>
              <w:pStyle w:val="6"/>
              <w:spacing w:before="68" w:line="221" w:lineRule="auto"/>
              <w:ind w:left="234"/>
            </w:pPr>
            <w:r>
              <w:rPr>
                <w:spacing w:val="-2"/>
              </w:rPr>
              <w:t>建筑结</w:t>
            </w:r>
          </w:p>
          <w:p>
            <w:pPr>
              <w:pStyle w:val="6"/>
              <w:spacing w:before="18" w:line="221" w:lineRule="auto"/>
              <w:jc w:val="right"/>
            </w:pPr>
            <w:r>
              <w:rPr>
                <w:spacing w:val="-24"/>
              </w:rPr>
              <w:t>构、朝向、</w:t>
            </w:r>
          </w:p>
          <w:p>
            <w:pPr>
              <w:pStyle w:val="6"/>
              <w:spacing w:before="22" w:line="218" w:lineRule="auto"/>
              <w:ind w:left="128"/>
            </w:pPr>
            <w:r>
              <w:rPr>
                <w:spacing w:val="-2"/>
              </w:rPr>
              <w:t>楼层、窗</w:t>
            </w:r>
          </w:p>
          <w:p>
            <w:pPr>
              <w:pStyle w:val="6"/>
              <w:spacing w:before="23" w:line="221" w:lineRule="auto"/>
              <w:ind w:left="444"/>
            </w:pPr>
            <w:r>
              <w:t>户</w:t>
            </w:r>
          </w:p>
        </w:tc>
        <w:tc>
          <w:tcPr>
            <w:tcW w:w="1140" w:type="dxa"/>
            <w:vAlign w:val="top"/>
          </w:tcPr>
          <w:p>
            <w:pPr>
              <w:spacing w:line="316" w:lineRule="auto"/>
              <w:rPr>
                <w:rFonts w:ascii="Arial"/>
                <w:sz w:val="21"/>
              </w:rPr>
            </w:pPr>
          </w:p>
          <w:p>
            <w:pPr>
              <w:spacing w:line="316" w:lineRule="auto"/>
              <w:rPr>
                <w:rFonts w:ascii="Arial"/>
                <w:sz w:val="21"/>
              </w:rPr>
            </w:pPr>
          </w:p>
          <w:p>
            <w:pPr>
              <w:pStyle w:val="6"/>
              <w:spacing w:before="68" w:line="231" w:lineRule="auto"/>
              <w:ind w:left="367" w:right="142" w:hanging="208"/>
            </w:pPr>
            <w:r>
              <w:rPr>
                <w:spacing w:val="-2"/>
              </w:rPr>
              <w:t>周边环境</w:t>
            </w:r>
            <w:r>
              <w:t xml:space="preserve"> </w:t>
            </w:r>
            <w:r>
              <w:rPr>
                <w:spacing w:val="-2"/>
              </w:rPr>
              <w:t>情况</w:t>
            </w:r>
          </w:p>
        </w:tc>
        <w:tc>
          <w:tcPr>
            <w:tcW w:w="5262" w:type="dxa"/>
            <w:vMerge w:val="continue"/>
            <w:tcBorders>
              <w:top w:val="nil"/>
            </w:tcBorders>
            <w:vAlign w:val="top"/>
          </w:tcPr>
          <w:p>
            <w:pPr>
              <w:rPr>
                <w:rFonts w:ascii="Arial"/>
                <w:sz w:val="21"/>
              </w:rPr>
            </w:pPr>
          </w:p>
        </w:tc>
        <w:tc>
          <w:tcPr>
            <w:tcW w:w="4989" w:type="dxa"/>
            <w:vMerge w:val="continue"/>
            <w:tcBorders>
              <w:top w:val="nil"/>
            </w:tcBorders>
            <w:vAlign w:val="top"/>
          </w:tcPr>
          <w:p>
            <w:pPr>
              <w:rPr>
                <w:rFonts w:ascii="Arial"/>
                <w:sz w:val="21"/>
              </w:rPr>
            </w:pPr>
          </w:p>
        </w:tc>
        <w:tc>
          <w:tcPr>
            <w:tcW w:w="595" w:type="dxa"/>
            <w:vAlign w:val="top"/>
          </w:tcPr>
          <w:p>
            <w:pPr>
              <w:spacing w:line="316" w:lineRule="auto"/>
              <w:rPr>
                <w:rFonts w:ascii="Arial"/>
                <w:sz w:val="21"/>
              </w:rPr>
            </w:pPr>
          </w:p>
          <w:p>
            <w:pPr>
              <w:spacing w:line="317" w:lineRule="auto"/>
              <w:rPr>
                <w:rFonts w:ascii="Arial"/>
                <w:sz w:val="21"/>
              </w:rPr>
            </w:pPr>
          </w:p>
          <w:p>
            <w:pPr>
              <w:pStyle w:val="6"/>
              <w:spacing w:before="68" w:line="223" w:lineRule="auto"/>
              <w:ind w:left="98"/>
            </w:pPr>
            <w:r>
              <w:rPr>
                <w:spacing w:val="-2"/>
              </w:rPr>
              <w:t>施工</w:t>
            </w:r>
          </w:p>
          <w:p>
            <w:pPr>
              <w:pStyle w:val="6"/>
              <w:spacing w:before="19" w:line="221" w:lineRule="auto"/>
              <w:ind w:left="204"/>
            </w:pPr>
            <w:r>
              <w:t>期</w:t>
            </w:r>
          </w:p>
        </w:tc>
        <w:tc>
          <w:tcPr>
            <w:tcW w:w="559" w:type="dxa"/>
            <w:vAlign w:val="top"/>
          </w:tcPr>
          <w:p>
            <w:pPr>
              <w:spacing w:line="316" w:lineRule="auto"/>
              <w:rPr>
                <w:rFonts w:ascii="Arial"/>
                <w:sz w:val="21"/>
              </w:rPr>
            </w:pPr>
          </w:p>
          <w:p>
            <w:pPr>
              <w:spacing w:line="316" w:lineRule="auto"/>
              <w:rPr>
                <w:rFonts w:ascii="Arial"/>
                <w:sz w:val="21"/>
              </w:rPr>
            </w:pPr>
          </w:p>
          <w:p>
            <w:pPr>
              <w:pStyle w:val="6"/>
              <w:spacing w:before="69" w:line="221" w:lineRule="auto"/>
              <w:ind w:left="77"/>
            </w:pPr>
            <w:r>
              <w:rPr>
                <w:spacing w:val="-2"/>
              </w:rPr>
              <w:t>运营</w:t>
            </w:r>
          </w:p>
          <w:p>
            <w:pPr>
              <w:pStyle w:val="6"/>
              <w:spacing w:before="22" w:line="221" w:lineRule="auto"/>
              <w:ind w:left="185"/>
            </w:pPr>
            <w: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7" w:hRule="atLeast"/>
        </w:trPr>
        <w:tc>
          <w:tcPr>
            <w:tcW w:w="391"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0" w:line="187" w:lineRule="auto"/>
              <w:ind w:left="181"/>
              <w:rPr>
                <w:rFonts w:ascii="Times New Roman" w:hAnsi="Times New Roman" w:eastAsia="Times New Roman" w:cs="Times New Roman"/>
                <w:sz w:val="21"/>
                <w:szCs w:val="21"/>
              </w:rPr>
            </w:pPr>
            <w:r>
              <w:rPr>
                <w:rFonts w:ascii="Times New Roman" w:hAnsi="Times New Roman" w:eastAsia="Times New Roman" w:cs="Times New Roman"/>
                <w:b/>
                <w:bCs/>
                <w:sz w:val="21"/>
                <w:szCs w:val="21"/>
              </w:rPr>
              <w:t>9</w:t>
            </w:r>
          </w:p>
        </w:tc>
        <w:tc>
          <w:tcPr>
            <w:tcW w:w="792"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8" w:line="237" w:lineRule="auto"/>
              <w:ind w:left="114" w:right="64" w:firstLine="80"/>
              <w:jc w:val="both"/>
            </w:pPr>
            <w:r>
              <w:rPr>
                <w:spacing w:val="-4"/>
              </w:rPr>
              <w:t>文成</w:t>
            </w:r>
            <w:r>
              <w:t xml:space="preserve">  </w:t>
            </w:r>
            <w:r>
              <w:rPr>
                <w:spacing w:val="36"/>
              </w:rPr>
              <w:t>县西</w:t>
            </w:r>
            <w:r>
              <w:t xml:space="preserve">  </w:t>
            </w:r>
            <w:r>
              <w:rPr>
                <w:spacing w:val="36"/>
              </w:rPr>
              <w:t>坑畲</w:t>
            </w:r>
            <w:r>
              <w:t xml:space="preserve">  </w:t>
            </w:r>
            <w:r>
              <w:rPr>
                <w:spacing w:val="36"/>
              </w:rPr>
              <w:t>族镇</w:t>
            </w:r>
            <w:r>
              <w:t xml:space="preserve">  </w:t>
            </w:r>
            <w:r>
              <w:rPr>
                <w:spacing w:val="36"/>
              </w:rPr>
              <w:t>敖里</w:t>
            </w:r>
            <w:r>
              <w:t xml:space="preserve">  </w:t>
            </w:r>
            <w:r>
              <w:rPr>
                <w:spacing w:val="-21"/>
              </w:rPr>
              <w:t>村（双</w:t>
            </w:r>
            <w:r>
              <w:rPr>
                <w:spacing w:val="1"/>
              </w:rPr>
              <w:t xml:space="preserve"> </w:t>
            </w:r>
            <w:r>
              <w:rPr>
                <w:spacing w:val="-8"/>
              </w:rPr>
              <w:t>田村）</w:t>
            </w:r>
          </w:p>
        </w:tc>
        <w:tc>
          <w:tcPr>
            <w:tcW w:w="631" w:type="dxa"/>
            <w:textDirection w:val="tbRlV"/>
            <w:vAlign w:val="top"/>
          </w:tcPr>
          <w:p>
            <w:pPr>
              <w:pStyle w:val="6"/>
              <w:spacing w:before="205" w:line="208" w:lineRule="auto"/>
              <w:ind w:left="1506"/>
            </w:pPr>
            <w:r>
              <w:rPr>
                <w:spacing w:val="41"/>
              </w:rPr>
              <w:t>双田村</w:t>
            </w:r>
          </w:p>
        </w:tc>
        <w:tc>
          <w:tcPr>
            <w:tcW w:w="744"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8" w:line="221" w:lineRule="auto"/>
              <w:ind w:left="174"/>
            </w:pPr>
            <w:r>
              <w:rPr>
                <w:spacing w:val="-3"/>
              </w:rPr>
              <w:t>西坑</w:t>
            </w:r>
          </w:p>
          <w:p>
            <w:pPr>
              <w:pStyle w:val="6"/>
              <w:spacing w:before="21" w:line="228" w:lineRule="auto"/>
              <w:ind w:left="173"/>
            </w:pPr>
            <w:r>
              <w:rPr>
                <w:spacing w:val="-3"/>
              </w:rPr>
              <w:t>互通</w:t>
            </w:r>
          </w:p>
          <w:p>
            <w:pPr>
              <w:pStyle w:val="6"/>
              <w:spacing w:before="11" w:line="221" w:lineRule="auto"/>
              <w:ind w:left="170"/>
            </w:pPr>
            <w:r>
              <w:rPr>
                <w:spacing w:val="-2"/>
              </w:rPr>
              <w:t>连接</w:t>
            </w:r>
          </w:p>
          <w:p>
            <w:pPr>
              <w:pStyle w:val="6"/>
              <w:spacing w:before="22" w:line="221" w:lineRule="auto"/>
              <w:ind w:left="172"/>
            </w:pPr>
            <w:r>
              <w:rPr>
                <w:spacing w:val="-3"/>
              </w:rPr>
              <w:t>线主</w:t>
            </w:r>
          </w:p>
          <w:p>
            <w:pPr>
              <w:pStyle w:val="6"/>
              <w:spacing w:before="19" w:line="221" w:lineRule="auto"/>
              <w:ind w:left="277"/>
            </w:pPr>
            <w:r>
              <w:t>线</w:t>
            </w:r>
          </w:p>
          <w:p>
            <w:pPr>
              <w:spacing w:before="42"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tc>
        <w:tc>
          <w:tcPr>
            <w:tcW w:w="540"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spacing w:before="61" w:line="233" w:lineRule="auto"/>
              <w:ind w:left="115" w:right="103" w:firstLine="40"/>
              <w:jc w:val="both"/>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3"/>
                <w:sz w:val="21"/>
                <w:szCs w:val="21"/>
              </w:rPr>
              <w:t>K2</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1"/>
                <w:sz w:val="21"/>
                <w:szCs w:val="21"/>
              </w:rPr>
              <w:t>+1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3"/>
                <w:sz w:val="21"/>
                <w:szCs w:val="21"/>
              </w:rPr>
              <w:t>60~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9"/>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3"/>
                <w:sz w:val="21"/>
                <w:szCs w:val="21"/>
              </w:rPr>
              <w:t>K2</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1"/>
                <w:sz w:val="21"/>
                <w:szCs w:val="21"/>
              </w:rPr>
              <w:t>+4</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4"/>
                <w:sz w:val="21"/>
                <w:szCs w:val="21"/>
              </w:rPr>
              <w:t>10</w:t>
            </w:r>
          </w:p>
        </w:tc>
        <w:tc>
          <w:tcPr>
            <w:tcW w:w="602" w:type="dxa"/>
            <w:textDirection w:val="tbRlV"/>
            <w:vAlign w:val="top"/>
          </w:tcPr>
          <w:p>
            <w:pPr>
              <w:pStyle w:val="6"/>
              <w:spacing w:before="190" w:line="210" w:lineRule="auto"/>
              <w:ind w:left="1371"/>
            </w:pPr>
            <w:r>
              <w:rPr>
                <w:spacing w:val="46"/>
              </w:rPr>
              <w:t>地面道路</w:t>
            </w:r>
          </w:p>
        </w:tc>
        <w:tc>
          <w:tcPr>
            <w:tcW w:w="60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0" w:line="184"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N</w:t>
            </w:r>
          </w:p>
        </w:tc>
        <w:tc>
          <w:tcPr>
            <w:tcW w:w="648"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0"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-25.</w:t>
            </w:r>
          </w:p>
          <w:p>
            <w:pPr>
              <w:spacing w:before="54"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w:t>
            </w:r>
            <w:r>
              <w:rPr>
                <w:rFonts w:ascii="Times New Roman" w:hAnsi="Times New Roman" w:eastAsia="Times New Roman" w:cs="Times New Roman"/>
                <w:spacing w:val="-27"/>
                <w:sz w:val="21"/>
                <w:szCs w:val="21"/>
              </w:rPr>
              <w:t xml:space="preserve"> </w:t>
            </w:r>
            <w:r>
              <w:rPr>
                <w:rFonts w:ascii="Times New Roman" w:hAnsi="Times New Roman" w:eastAsia="Times New Roman" w:cs="Times New Roman"/>
                <w:spacing w:val="-2"/>
                <w:sz w:val="21"/>
                <w:szCs w:val="21"/>
              </w:rPr>
              <w:t>1</w:t>
            </w:r>
          </w:p>
          <w:p>
            <w:pPr>
              <w:spacing w:before="51"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.4</w:t>
            </w:r>
          </w:p>
        </w:tc>
        <w:tc>
          <w:tcPr>
            <w:tcW w:w="81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0"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28"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8" w:line="221" w:lineRule="auto"/>
              <w:ind w:left="216"/>
            </w:pPr>
            <w:r>
              <w:rPr>
                <w:spacing w:val="-3"/>
              </w:rPr>
              <w:t>紧邻</w:t>
            </w:r>
          </w:p>
        </w:tc>
        <w:tc>
          <w:tcPr>
            <w:tcW w:w="535"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0" w:line="187" w:lineRule="auto"/>
              <w:ind w:left="21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588"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0" w:line="187"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08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9" w:line="236" w:lineRule="auto"/>
              <w:ind w:left="129" w:right="113" w:firstLine="103"/>
            </w:pPr>
            <w:r>
              <w:rPr>
                <w:spacing w:val="-2"/>
              </w:rPr>
              <w:t>砖混结</w:t>
            </w:r>
            <w:r>
              <w:t xml:space="preserve">  </w:t>
            </w:r>
            <w:r>
              <w:rPr>
                <w:spacing w:val="-16"/>
              </w:rPr>
              <w:t>构，</w:t>
            </w:r>
            <w:r>
              <w:rPr>
                <w:spacing w:val="17"/>
              </w:rPr>
              <w:t xml:space="preserve"> </w:t>
            </w:r>
            <w:r>
              <w:rPr>
                <w:rFonts w:ascii="Times New Roman" w:hAnsi="Times New Roman" w:eastAsia="Times New Roman" w:cs="Times New Roman"/>
                <w:spacing w:val="-16"/>
              </w:rPr>
              <w:t>1~4</w:t>
            </w:r>
            <w:r>
              <w:rPr>
                <w:rFonts w:ascii="Times New Roman" w:hAnsi="Times New Roman" w:eastAsia="Times New Roman" w:cs="Times New Roman"/>
              </w:rPr>
              <w:t xml:space="preserve">  </w:t>
            </w:r>
            <w:r>
              <w:rPr>
                <w:spacing w:val="-2"/>
              </w:rPr>
              <w:t>层建筑、</w:t>
            </w:r>
            <w:r>
              <w:rPr>
                <w:spacing w:val="1"/>
              </w:rPr>
              <w:t xml:space="preserve"> </w:t>
            </w:r>
            <w:r>
              <w:rPr>
                <w:spacing w:val="32"/>
              </w:rPr>
              <w:t>侧向道</w:t>
            </w:r>
            <w:r>
              <w:t xml:space="preserve">  </w:t>
            </w:r>
            <w:r>
              <w:rPr>
                <w:spacing w:val="-2"/>
              </w:rPr>
              <w:t>路，推拉</w:t>
            </w:r>
          </w:p>
          <w:p>
            <w:pPr>
              <w:pStyle w:val="6"/>
              <w:spacing w:before="20" w:line="221" w:lineRule="auto"/>
              <w:ind w:left="454"/>
            </w:pPr>
            <w:r>
              <w:t>窗</w:t>
            </w:r>
          </w:p>
        </w:tc>
        <w:tc>
          <w:tcPr>
            <w:tcW w:w="1140"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8" w:line="237" w:lineRule="auto"/>
              <w:ind w:left="159" w:right="142" w:firstLine="102"/>
              <w:rPr>
                <w:rFonts w:ascii="Times New Roman" w:hAnsi="Times New Roman" w:eastAsia="Times New Roman" w:cs="Times New Roman"/>
              </w:rPr>
            </w:pPr>
            <w:r>
              <w:rPr>
                <w:spacing w:val="-2"/>
              </w:rPr>
              <w:t>位于老</w:t>
            </w:r>
            <w:r>
              <w:t xml:space="preserve">  </w:t>
            </w:r>
            <w:r>
              <w:rPr>
                <w:rFonts w:ascii="Times New Roman" w:hAnsi="Times New Roman" w:eastAsia="Times New Roman" w:cs="Times New Roman"/>
                <w:spacing w:val="1"/>
              </w:rPr>
              <w:t>330</w:t>
            </w:r>
            <w:r>
              <w:rPr>
                <w:rFonts w:ascii="Times New Roman" w:hAnsi="Times New Roman" w:eastAsia="Times New Roman" w:cs="Times New Roman"/>
                <w:spacing w:val="13"/>
              </w:rPr>
              <w:t xml:space="preserve"> </w:t>
            </w:r>
            <w:r>
              <w:rPr>
                <w:spacing w:val="1"/>
              </w:rPr>
              <w:t>省道</w:t>
            </w:r>
            <w:r>
              <w:t xml:space="preserve"> </w:t>
            </w:r>
            <w:r>
              <w:rPr>
                <w:spacing w:val="-2"/>
              </w:rPr>
              <w:t>（四级公</w:t>
            </w:r>
            <w:r>
              <w:t xml:space="preserve"> </w:t>
            </w:r>
            <w:r>
              <w:rPr>
                <w:spacing w:val="-2"/>
              </w:rPr>
              <w:t>路）东侧</w:t>
            </w:r>
            <w:r>
              <w:t xml:space="preserve"> </w:t>
            </w:r>
            <w:r>
              <w:rPr>
                <w:spacing w:val="-2"/>
              </w:rPr>
              <w:t>和西侧，</w:t>
            </w:r>
            <w:r>
              <w:t xml:space="preserve"> </w:t>
            </w:r>
            <w:r>
              <w:rPr>
                <w:spacing w:val="-2"/>
              </w:rPr>
              <w:t>最近距离</w:t>
            </w:r>
            <w:r>
              <w:t xml:space="preserve"> </w:t>
            </w:r>
            <w:r>
              <w:rPr>
                <w:spacing w:val="20"/>
              </w:rPr>
              <w:t>约</w:t>
            </w:r>
            <w:r>
              <w:rPr>
                <w:spacing w:val="-28"/>
              </w:rPr>
              <w:t xml:space="preserve"> </w:t>
            </w:r>
            <w:r>
              <w:rPr>
                <w:rFonts w:ascii="Times New Roman" w:hAnsi="Times New Roman" w:eastAsia="Times New Roman" w:cs="Times New Roman"/>
                <w:spacing w:val="20"/>
              </w:rPr>
              <w:t>10m</w:t>
            </w:r>
          </w:p>
        </w:tc>
        <w:tc>
          <w:tcPr>
            <w:tcW w:w="5262" w:type="dxa"/>
            <w:vAlign w:val="top"/>
          </w:tcPr>
          <w:p>
            <w:pPr>
              <w:spacing w:before="2" w:line="3755" w:lineRule="exact"/>
              <w:ind w:firstLine="120"/>
            </w:pPr>
            <w:r>
              <w:rPr>
                <w:position w:val="-75"/>
              </w:rPr>
              <w:drawing>
                <wp:inline distT="0" distB="0" distL="0" distR="0">
                  <wp:extent cx="3186430" cy="238379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21"/>
                          <a:stretch>
                            <a:fillRect/>
                          </a:stretch>
                        </pic:blipFill>
                        <pic:spPr>
                          <a:xfrm>
                            <a:off x="0" y="0"/>
                            <a:ext cx="3186430" cy="2384424"/>
                          </a:xfrm>
                          <a:prstGeom prst="rect">
                            <a:avLst/>
                          </a:prstGeom>
                        </pic:spPr>
                      </pic:pic>
                    </a:graphicData>
                  </a:graphic>
                </wp:inline>
              </w:drawing>
            </w:r>
          </w:p>
        </w:tc>
        <w:tc>
          <w:tcPr>
            <w:tcW w:w="4989" w:type="dxa"/>
            <w:vAlign w:val="top"/>
          </w:tcPr>
          <w:p>
            <w:pPr>
              <w:spacing w:before="11" w:line="3744" w:lineRule="exact"/>
              <w:ind w:firstLine="90"/>
            </w:pPr>
            <w:r>
              <w:rPr>
                <w:position w:val="-74"/>
              </w:rPr>
              <w:drawing>
                <wp:inline distT="0" distB="0" distL="0" distR="0">
                  <wp:extent cx="3052445" cy="237680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22"/>
                          <a:stretch>
                            <a:fillRect/>
                          </a:stretch>
                        </pic:blipFill>
                        <pic:spPr>
                          <a:xfrm>
                            <a:off x="0" y="0"/>
                            <a:ext cx="3052445" cy="2377439"/>
                          </a:xfrm>
                          <a:prstGeom prst="rect">
                            <a:avLst/>
                          </a:prstGeom>
                        </pic:spPr>
                      </pic:pic>
                    </a:graphicData>
                  </a:graphic>
                </wp:inline>
              </w:drawing>
            </w:r>
          </w:p>
        </w:tc>
        <w:tc>
          <w:tcPr>
            <w:tcW w:w="595"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8" w:line="221" w:lineRule="auto"/>
              <w:ind w:left="12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9"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2" w:hRule="atLeast"/>
        </w:trPr>
        <w:tc>
          <w:tcPr>
            <w:tcW w:w="39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0" w:line="187" w:lineRule="auto"/>
              <w:ind w:left="83"/>
              <w:rPr>
                <w:rFonts w:ascii="Times New Roman" w:hAnsi="Times New Roman" w:eastAsia="Times New Roman" w:cs="Times New Roman"/>
                <w:sz w:val="21"/>
                <w:szCs w:val="21"/>
              </w:rPr>
            </w:pPr>
            <w:r>
              <w:rPr>
                <w:rFonts w:ascii="Times New Roman" w:hAnsi="Times New Roman" w:eastAsia="Times New Roman" w:cs="Times New Roman"/>
                <w:b/>
                <w:bCs/>
                <w:spacing w:val="-4"/>
                <w:sz w:val="21"/>
                <w:szCs w:val="21"/>
              </w:rPr>
              <w:t>10</w:t>
            </w:r>
          </w:p>
        </w:tc>
        <w:tc>
          <w:tcPr>
            <w:tcW w:w="792"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8" w:line="241" w:lineRule="auto"/>
              <w:ind w:left="194"/>
            </w:pPr>
            <w:r>
              <w:rPr>
                <w:spacing w:val="-2"/>
              </w:rPr>
              <w:t>文成</w:t>
            </w:r>
          </w:p>
          <w:p>
            <w:pPr>
              <w:pStyle w:val="6"/>
              <w:spacing w:line="222" w:lineRule="auto"/>
              <w:ind w:left="193"/>
            </w:pPr>
            <w:r>
              <w:rPr>
                <w:spacing w:val="-2"/>
              </w:rPr>
              <w:t>县西</w:t>
            </w:r>
          </w:p>
          <w:p>
            <w:pPr>
              <w:pStyle w:val="6"/>
              <w:spacing w:before="18" w:line="221" w:lineRule="auto"/>
              <w:ind w:left="193"/>
            </w:pPr>
            <w:r>
              <w:rPr>
                <w:spacing w:val="-2"/>
              </w:rPr>
              <w:t>坑畲</w:t>
            </w:r>
          </w:p>
          <w:p>
            <w:pPr>
              <w:pStyle w:val="6"/>
              <w:spacing w:before="22" w:line="217" w:lineRule="auto"/>
              <w:ind w:left="192"/>
            </w:pPr>
            <w:r>
              <w:rPr>
                <w:spacing w:val="-2"/>
              </w:rPr>
              <w:t>族镇</w:t>
            </w:r>
          </w:p>
          <w:p>
            <w:pPr>
              <w:pStyle w:val="6"/>
              <w:spacing w:before="23" w:line="221" w:lineRule="auto"/>
              <w:ind w:left="193"/>
            </w:pPr>
            <w:r>
              <w:rPr>
                <w:spacing w:val="-2"/>
              </w:rPr>
              <w:t>敖里</w:t>
            </w:r>
          </w:p>
          <w:p>
            <w:pPr>
              <w:pStyle w:val="6"/>
              <w:spacing w:before="22" w:line="220" w:lineRule="auto"/>
              <w:ind w:left="297"/>
            </w:pPr>
            <w:r>
              <w:t>村</w:t>
            </w:r>
          </w:p>
        </w:tc>
        <w:tc>
          <w:tcPr>
            <w:tcW w:w="631" w:type="dxa"/>
            <w:textDirection w:val="tbRlV"/>
            <w:vAlign w:val="top"/>
          </w:tcPr>
          <w:p>
            <w:pPr>
              <w:pStyle w:val="6"/>
              <w:spacing w:before="206" w:line="209" w:lineRule="auto"/>
              <w:ind w:left="1632"/>
            </w:pPr>
            <w:r>
              <w:rPr>
                <w:spacing w:val="42"/>
              </w:rPr>
              <w:t>丁坑岭</w:t>
            </w:r>
          </w:p>
        </w:tc>
        <w:tc>
          <w:tcPr>
            <w:tcW w:w="744"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2" w:lineRule="auto"/>
              <w:rPr>
                <w:rFonts w:ascii="Arial"/>
                <w:sz w:val="21"/>
              </w:rPr>
            </w:pPr>
          </w:p>
          <w:p>
            <w:pPr>
              <w:pStyle w:val="6"/>
              <w:spacing w:before="69" w:line="221" w:lineRule="auto"/>
              <w:ind w:left="174"/>
            </w:pPr>
            <w:r>
              <w:rPr>
                <w:spacing w:val="-3"/>
              </w:rPr>
              <w:t>西坑</w:t>
            </w:r>
          </w:p>
          <w:p>
            <w:pPr>
              <w:pStyle w:val="6"/>
              <w:spacing w:before="19" w:line="228" w:lineRule="auto"/>
              <w:ind w:left="173"/>
            </w:pPr>
            <w:r>
              <w:rPr>
                <w:spacing w:val="-3"/>
              </w:rPr>
              <w:t>互通</w:t>
            </w:r>
          </w:p>
          <w:p>
            <w:pPr>
              <w:pStyle w:val="6"/>
              <w:spacing w:before="14" w:line="221" w:lineRule="auto"/>
              <w:ind w:left="170"/>
            </w:pPr>
            <w:r>
              <w:rPr>
                <w:spacing w:val="-2"/>
              </w:rPr>
              <w:t>连接</w:t>
            </w:r>
          </w:p>
          <w:p>
            <w:pPr>
              <w:pStyle w:val="6"/>
              <w:spacing w:before="19" w:line="221" w:lineRule="auto"/>
              <w:ind w:left="172"/>
            </w:pPr>
            <w:r>
              <w:rPr>
                <w:spacing w:val="-3"/>
              </w:rPr>
              <w:t>线主</w:t>
            </w:r>
          </w:p>
          <w:p>
            <w:pPr>
              <w:pStyle w:val="6"/>
              <w:spacing w:before="19" w:line="221" w:lineRule="auto"/>
              <w:ind w:left="277"/>
            </w:pPr>
            <w:r>
              <w:t>线</w:t>
            </w:r>
          </w:p>
          <w:p>
            <w:pPr>
              <w:spacing w:before="43"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tc>
        <w:tc>
          <w:tcPr>
            <w:tcW w:w="540"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0" w:line="233" w:lineRule="auto"/>
              <w:ind w:left="113" w:right="103" w:firstLine="42"/>
              <w:jc w:val="both"/>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K3</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+3</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00~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9"/>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K3</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+4</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5"/>
                <w:sz w:val="21"/>
                <w:szCs w:val="21"/>
              </w:rPr>
              <w:t>00</w:t>
            </w:r>
          </w:p>
        </w:tc>
        <w:tc>
          <w:tcPr>
            <w:tcW w:w="602" w:type="dxa"/>
            <w:textDirection w:val="tbRlV"/>
            <w:vAlign w:val="top"/>
          </w:tcPr>
          <w:p>
            <w:pPr>
              <w:pStyle w:val="6"/>
              <w:spacing w:before="190" w:line="210" w:lineRule="auto"/>
              <w:ind w:left="1497"/>
            </w:pPr>
            <w:r>
              <w:rPr>
                <w:spacing w:val="46"/>
              </w:rPr>
              <w:t>地面道路</w:t>
            </w:r>
          </w:p>
        </w:tc>
        <w:tc>
          <w:tcPr>
            <w:tcW w:w="60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0" w:line="187" w:lineRule="auto"/>
              <w:ind w:left="256"/>
              <w:rPr>
                <w:rFonts w:ascii="Times New Roman" w:hAnsi="Times New Roman" w:eastAsia="Times New Roman" w:cs="Times New Roman"/>
                <w:sz w:val="21"/>
                <w:szCs w:val="21"/>
              </w:rPr>
            </w:pPr>
            <w:r>
              <w:rPr>
                <w:rFonts w:ascii="Times New Roman" w:hAnsi="Times New Roman" w:eastAsia="Times New Roman" w:cs="Times New Roman"/>
                <w:sz w:val="21"/>
                <w:szCs w:val="21"/>
              </w:rPr>
              <w:t>S</w:t>
            </w:r>
          </w:p>
        </w:tc>
        <w:tc>
          <w:tcPr>
            <w:tcW w:w="648"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0"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-72</w:t>
            </w:r>
          </w:p>
        </w:tc>
        <w:tc>
          <w:tcPr>
            <w:tcW w:w="81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0"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w:t>
            </w:r>
          </w:p>
        </w:tc>
        <w:tc>
          <w:tcPr>
            <w:tcW w:w="828"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0" w:line="187" w:lineRule="auto"/>
              <w:ind w:left="27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178</w:t>
            </w:r>
          </w:p>
        </w:tc>
        <w:tc>
          <w:tcPr>
            <w:tcW w:w="53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0" w:line="187" w:lineRule="auto"/>
              <w:ind w:left="23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588"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0" w:line="187" w:lineRule="auto"/>
              <w:ind w:left="24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082"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8" w:line="237" w:lineRule="auto"/>
              <w:ind w:left="129" w:right="113" w:firstLine="103"/>
            </w:pPr>
            <w:r>
              <w:rPr>
                <w:spacing w:val="-2"/>
              </w:rPr>
              <w:t>砖混结</w:t>
            </w:r>
            <w:r>
              <w:t xml:space="preserve">  </w:t>
            </w:r>
            <w:r>
              <w:rPr>
                <w:spacing w:val="-16"/>
              </w:rPr>
              <w:t>构，</w:t>
            </w:r>
            <w:r>
              <w:rPr>
                <w:spacing w:val="17"/>
              </w:rPr>
              <w:t xml:space="preserve"> </w:t>
            </w:r>
            <w:r>
              <w:rPr>
                <w:rFonts w:ascii="Times New Roman" w:hAnsi="Times New Roman" w:eastAsia="Times New Roman" w:cs="Times New Roman"/>
                <w:spacing w:val="-16"/>
              </w:rPr>
              <w:t>1~4</w:t>
            </w:r>
            <w:r>
              <w:rPr>
                <w:rFonts w:ascii="Times New Roman" w:hAnsi="Times New Roman" w:eastAsia="Times New Roman" w:cs="Times New Roman"/>
              </w:rPr>
              <w:t xml:space="preserve">  </w:t>
            </w:r>
            <w:r>
              <w:rPr>
                <w:spacing w:val="-2"/>
              </w:rPr>
              <w:t>层建筑、</w:t>
            </w:r>
            <w:r>
              <w:rPr>
                <w:spacing w:val="1"/>
              </w:rPr>
              <w:t xml:space="preserve"> </w:t>
            </w:r>
            <w:r>
              <w:rPr>
                <w:spacing w:val="-2"/>
              </w:rPr>
              <w:t>背向、侧</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68" w:line="233" w:lineRule="auto"/>
              <w:ind w:left="161" w:right="142" w:firstLine="23"/>
              <w:jc w:val="both"/>
            </w:pPr>
            <w:r>
              <w:rPr>
                <w:spacing w:val="-4"/>
              </w:rPr>
              <w:t>位于</w:t>
            </w:r>
            <w:r>
              <w:rPr>
                <w:spacing w:val="-42"/>
              </w:rPr>
              <w:t xml:space="preserve"> </w:t>
            </w:r>
            <w:r>
              <w:rPr>
                <w:rFonts w:ascii="Times New Roman" w:hAnsi="Times New Roman" w:eastAsia="Times New Roman" w:cs="Times New Roman"/>
                <w:spacing w:val="-4"/>
              </w:rPr>
              <w:t xml:space="preserve">322 </w:t>
            </w:r>
            <w:r>
              <w:rPr>
                <w:spacing w:val="-3"/>
              </w:rPr>
              <w:t>国道（二</w:t>
            </w:r>
            <w:r>
              <w:rPr>
                <w:spacing w:val="1"/>
              </w:rPr>
              <w:t xml:space="preserve"> </w:t>
            </w:r>
            <w:r>
              <w:rPr>
                <w:spacing w:val="-6"/>
              </w:rPr>
              <w:t>级公路）</w:t>
            </w:r>
          </w:p>
          <w:p>
            <w:pPr>
              <w:pStyle w:val="6"/>
              <w:spacing w:before="19" w:line="221" w:lineRule="auto"/>
              <w:ind w:left="163"/>
            </w:pPr>
            <w:r>
              <w:rPr>
                <w:spacing w:val="-25"/>
                <w:w w:val="99"/>
              </w:rPr>
              <w:t>西侧，</w:t>
            </w:r>
            <w:r>
              <w:rPr>
                <w:spacing w:val="2"/>
              </w:rPr>
              <w:t xml:space="preserve"> </w:t>
            </w:r>
            <w:r>
              <w:rPr>
                <w:spacing w:val="-25"/>
                <w:w w:val="99"/>
              </w:rPr>
              <w:t>最</w:t>
            </w:r>
          </w:p>
          <w:p>
            <w:pPr>
              <w:pStyle w:val="6"/>
              <w:spacing w:before="20" w:line="221" w:lineRule="auto"/>
              <w:ind w:left="157"/>
            </w:pPr>
            <w:r>
              <w:rPr>
                <w:spacing w:val="-1"/>
              </w:rPr>
              <w:t>近距离约</w:t>
            </w:r>
          </w:p>
          <w:p>
            <w:pPr>
              <w:spacing w:before="46" w:line="187" w:lineRule="auto"/>
              <w:ind w:left="4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2m</w:t>
            </w:r>
          </w:p>
        </w:tc>
        <w:tc>
          <w:tcPr>
            <w:tcW w:w="5262" w:type="dxa"/>
            <w:vAlign w:val="top"/>
          </w:tcPr>
          <w:p>
            <w:pPr>
              <w:spacing w:before="58" w:line="3905" w:lineRule="exact"/>
            </w:pPr>
            <w:r>
              <w:rPr>
                <w:position w:val="-78"/>
              </w:rPr>
              <w:drawing>
                <wp:inline distT="0" distB="0" distL="0" distR="0">
                  <wp:extent cx="3272155" cy="24796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23"/>
                          <a:stretch>
                            <a:fillRect/>
                          </a:stretch>
                        </pic:blipFill>
                        <pic:spPr>
                          <a:xfrm>
                            <a:off x="0" y="0"/>
                            <a:ext cx="3272409" cy="2479675"/>
                          </a:xfrm>
                          <a:prstGeom prst="rect">
                            <a:avLst/>
                          </a:prstGeom>
                        </pic:spPr>
                      </pic:pic>
                    </a:graphicData>
                  </a:graphic>
                </wp:inline>
              </w:drawing>
            </w:r>
          </w:p>
        </w:tc>
        <w:tc>
          <w:tcPr>
            <w:tcW w:w="4989" w:type="dxa"/>
            <w:vAlign w:val="top"/>
          </w:tcPr>
          <w:p>
            <w:pPr>
              <w:spacing w:line="4012" w:lineRule="exact"/>
              <w:ind w:firstLine="114"/>
            </w:pPr>
            <w:r>
              <w:rPr>
                <w:position w:val="-80"/>
              </w:rPr>
              <w:drawing>
                <wp:inline distT="0" distB="0" distL="0" distR="0">
                  <wp:extent cx="3021965" cy="254762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24"/>
                          <a:stretch>
                            <a:fillRect/>
                          </a:stretch>
                        </pic:blipFill>
                        <pic:spPr>
                          <a:xfrm>
                            <a:off x="0" y="0"/>
                            <a:ext cx="3021965" cy="2547620"/>
                          </a:xfrm>
                          <a:prstGeom prst="rect">
                            <a:avLst/>
                          </a:prstGeom>
                        </pic:spPr>
                      </pic:pic>
                    </a:graphicData>
                  </a:graphic>
                </wp:inline>
              </w:drawing>
            </w:r>
          </w:p>
        </w:tc>
        <w:tc>
          <w:tcPr>
            <w:tcW w:w="59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221" w:lineRule="auto"/>
              <w:ind w:left="201" w:right="107" w:hanging="79"/>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c>
          <w:tcPr>
            <w:tcW w:w="55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1"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bl>
    <w:p>
      <w:pPr>
        <w:pStyle w:val="2"/>
      </w:pPr>
    </w:p>
    <w:p>
      <w:pPr>
        <w:sectPr>
          <w:pgSz w:w="23813" w:h="16839"/>
          <w:pgMar w:top="1118" w:right="1231" w:bottom="1184" w:left="1233" w:header="879" w:footer="1024" w:gutter="0"/>
          <w:cols w:space="720" w:num="1"/>
        </w:sectPr>
      </w:pPr>
    </w:p>
    <w:p>
      <w:pPr>
        <w:spacing w:before="104"/>
      </w:pPr>
    </w:p>
    <w:tbl>
      <w:tblPr>
        <w:tblStyle w:val="5"/>
        <w:tblW w:w="213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1"/>
        <w:gridCol w:w="792"/>
        <w:gridCol w:w="631"/>
        <w:gridCol w:w="744"/>
        <w:gridCol w:w="540"/>
        <w:gridCol w:w="602"/>
        <w:gridCol w:w="605"/>
        <w:gridCol w:w="648"/>
        <w:gridCol w:w="812"/>
        <w:gridCol w:w="828"/>
        <w:gridCol w:w="535"/>
        <w:gridCol w:w="588"/>
        <w:gridCol w:w="1082"/>
        <w:gridCol w:w="1140"/>
        <w:gridCol w:w="5262"/>
        <w:gridCol w:w="4989"/>
        <w:gridCol w:w="595"/>
        <w:gridCol w:w="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91" w:type="dxa"/>
            <w:vMerge w:val="restart"/>
            <w:tcBorders>
              <w:bottom w:val="nil"/>
            </w:tcBorders>
            <w:textDirection w:val="tbRlV"/>
            <w:vAlign w:val="top"/>
          </w:tcPr>
          <w:p>
            <w:pPr>
              <w:pStyle w:val="6"/>
              <w:spacing w:before="105" w:line="211" w:lineRule="auto"/>
              <w:ind w:left="982"/>
            </w:pPr>
            <w:r>
              <w:rPr>
                <w:spacing w:val="31"/>
              </w:rPr>
              <w:t>序号</w:t>
            </w:r>
          </w:p>
        </w:tc>
        <w:tc>
          <w:tcPr>
            <w:tcW w:w="792"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96"/>
            </w:pPr>
            <w:r>
              <w:rPr>
                <w:spacing w:val="-3"/>
              </w:rPr>
              <w:t>行政</w:t>
            </w:r>
          </w:p>
          <w:p>
            <w:pPr>
              <w:pStyle w:val="6"/>
              <w:spacing w:line="220" w:lineRule="auto"/>
              <w:ind w:left="208"/>
            </w:pPr>
            <w:r>
              <w:rPr>
                <w:spacing w:val="-6"/>
              </w:rPr>
              <w:t>区域</w:t>
            </w:r>
          </w:p>
        </w:tc>
        <w:tc>
          <w:tcPr>
            <w:tcW w:w="631" w:type="dxa"/>
            <w:vMerge w:val="restart"/>
            <w:tcBorders>
              <w:bottom w:val="nil"/>
            </w:tcBorders>
            <w:textDirection w:val="tbRlV"/>
            <w:vAlign w:val="top"/>
          </w:tcPr>
          <w:p>
            <w:pPr>
              <w:pStyle w:val="6"/>
              <w:spacing w:before="205" w:line="210" w:lineRule="auto"/>
              <w:ind w:left="29"/>
            </w:pPr>
            <w:r>
              <w:rPr>
                <w:spacing w:val="19"/>
                <w:w w:val="117"/>
              </w:rPr>
              <w:t>声环境保护目标名称</w:t>
            </w:r>
          </w:p>
        </w:tc>
        <w:tc>
          <w:tcPr>
            <w:tcW w:w="744"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69"/>
            </w:pPr>
            <w:r>
              <w:rPr>
                <w:spacing w:val="-2"/>
              </w:rPr>
              <w:t>所在</w:t>
            </w:r>
          </w:p>
          <w:p>
            <w:pPr>
              <w:pStyle w:val="6"/>
              <w:spacing w:line="220" w:lineRule="auto"/>
              <w:ind w:left="171"/>
            </w:pPr>
            <w:r>
              <w:rPr>
                <w:spacing w:val="-2"/>
              </w:rPr>
              <w:t>路段</w:t>
            </w:r>
          </w:p>
        </w:tc>
        <w:tc>
          <w:tcPr>
            <w:tcW w:w="540" w:type="dxa"/>
            <w:vMerge w:val="restart"/>
            <w:tcBorders>
              <w:bottom w:val="nil"/>
            </w:tcBorders>
            <w:textDirection w:val="tbRlV"/>
            <w:vAlign w:val="top"/>
          </w:tcPr>
          <w:p>
            <w:pPr>
              <w:pStyle w:val="6"/>
              <w:spacing w:before="160" w:line="210" w:lineRule="auto"/>
              <w:ind w:left="709"/>
            </w:pPr>
            <w:r>
              <w:rPr>
                <w:spacing w:val="1"/>
              </w:rPr>
              <w:t>里</w:t>
            </w:r>
            <w:r>
              <w:rPr>
                <w:spacing w:val="-43"/>
              </w:rPr>
              <w:t xml:space="preserve"> </w:t>
            </w:r>
            <w:r>
              <w:rPr>
                <w:spacing w:val="1"/>
              </w:rPr>
              <w:t>程</w:t>
            </w:r>
            <w:r>
              <w:rPr>
                <w:spacing w:val="-45"/>
              </w:rPr>
              <w:t xml:space="preserve"> </w:t>
            </w:r>
            <w:r>
              <w:rPr>
                <w:spacing w:val="1"/>
              </w:rPr>
              <w:t>范</w:t>
            </w:r>
            <w:r>
              <w:rPr>
                <w:spacing w:val="-43"/>
              </w:rPr>
              <w:t xml:space="preserve"> </w:t>
            </w:r>
            <w:r>
              <w:rPr>
                <w:spacing w:val="1"/>
              </w:rPr>
              <w:t>围</w:t>
            </w:r>
          </w:p>
        </w:tc>
        <w:tc>
          <w:tcPr>
            <w:tcW w:w="602" w:type="dxa"/>
            <w:vMerge w:val="restart"/>
            <w:tcBorders>
              <w:bottom w:val="nil"/>
            </w:tcBorders>
            <w:textDirection w:val="tbRlV"/>
            <w:vAlign w:val="top"/>
          </w:tcPr>
          <w:p>
            <w:pPr>
              <w:pStyle w:val="6"/>
              <w:spacing w:before="190" w:line="207" w:lineRule="auto"/>
              <w:ind w:left="709"/>
            </w:pPr>
            <w:r>
              <w:rPr>
                <w:spacing w:val="1"/>
              </w:rPr>
              <w:t>线</w:t>
            </w:r>
            <w:r>
              <w:rPr>
                <w:spacing w:val="-43"/>
              </w:rPr>
              <w:t xml:space="preserve"> </w:t>
            </w:r>
            <w:r>
              <w:rPr>
                <w:spacing w:val="1"/>
              </w:rPr>
              <w:t>路</w:t>
            </w:r>
            <w:r>
              <w:rPr>
                <w:spacing w:val="-45"/>
              </w:rPr>
              <w:t xml:space="preserve"> </w:t>
            </w:r>
            <w:r>
              <w:rPr>
                <w:spacing w:val="1"/>
              </w:rPr>
              <w:t>形</w:t>
            </w:r>
            <w:r>
              <w:rPr>
                <w:spacing w:val="-43"/>
              </w:rPr>
              <w:t xml:space="preserve"> </w:t>
            </w:r>
            <w:r>
              <w:rPr>
                <w:spacing w:val="1"/>
              </w:rPr>
              <w:t>式</w:t>
            </w:r>
          </w:p>
        </w:tc>
        <w:tc>
          <w:tcPr>
            <w:tcW w:w="605" w:type="dxa"/>
            <w:vMerge w:val="restart"/>
            <w:tcBorders>
              <w:bottom w:val="nil"/>
            </w:tcBorders>
            <w:textDirection w:val="tbRlV"/>
            <w:vAlign w:val="top"/>
          </w:tcPr>
          <w:p>
            <w:pPr>
              <w:pStyle w:val="6"/>
              <w:spacing w:before="191" w:line="210" w:lineRule="auto"/>
              <w:ind w:left="982"/>
            </w:pPr>
            <w:r>
              <w:rPr>
                <w:spacing w:val="31"/>
              </w:rPr>
              <w:t>方位</w:t>
            </w:r>
          </w:p>
        </w:tc>
        <w:tc>
          <w:tcPr>
            <w:tcW w:w="648" w:type="dxa"/>
            <w:vMerge w:val="restart"/>
            <w:tcBorders>
              <w:bottom w:val="nil"/>
            </w:tcBorders>
            <w:vAlign w:val="top"/>
          </w:tcPr>
          <w:p>
            <w:pPr>
              <w:spacing w:line="245" w:lineRule="auto"/>
              <w:rPr>
                <w:rFonts w:ascii="Arial"/>
                <w:sz w:val="21"/>
              </w:rPr>
            </w:pPr>
          </w:p>
          <w:p>
            <w:pPr>
              <w:pStyle w:val="6"/>
              <w:spacing w:before="68" w:line="236" w:lineRule="auto"/>
              <w:ind w:left="120" w:right="109" w:firstLine="3"/>
              <w:jc w:val="both"/>
              <w:rPr>
                <w:rFonts w:ascii="Times New Roman" w:hAnsi="Times New Roman" w:eastAsia="Times New Roman" w:cs="Times New Roman"/>
              </w:rPr>
            </w:pPr>
            <w:r>
              <w:rPr>
                <w:spacing w:val="-6"/>
              </w:rPr>
              <w:t>声环</w:t>
            </w:r>
            <w:r>
              <w:t xml:space="preserve"> </w:t>
            </w:r>
            <w:r>
              <w:rPr>
                <w:spacing w:val="-4"/>
              </w:rPr>
              <w:t>境保</w:t>
            </w:r>
            <w:r>
              <w:t xml:space="preserve"> </w:t>
            </w:r>
            <w:r>
              <w:rPr>
                <w:spacing w:val="-4"/>
              </w:rPr>
              <w:t>护目</w:t>
            </w:r>
            <w:r>
              <w:t xml:space="preserve"> </w:t>
            </w:r>
            <w:r>
              <w:rPr>
                <w:spacing w:val="-4"/>
              </w:rPr>
              <w:t>标与</w:t>
            </w:r>
            <w:r>
              <w:t xml:space="preserve"> </w:t>
            </w:r>
            <w:r>
              <w:rPr>
                <w:spacing w:val="-4"/>
              </w:rPr>
              <w:t>路面</w:t>
            </w:r>
            <w:r>
              <w:t xml:space="preserve"> </w:t>
            </w:r>
            <w:r>
              <w:rPr>
                <w:spacing w:val="-4"/>
              </w:rPr>
              <w:t>高差</w:t>
            </w:r>
            <w:r>
              <w:t xml:space="preserve"> </w:t>
            </w:r>
            <w:r>
              <w:rPr>
                <w:rFonts w:ascii="Times New Roman" w:hAnsi="Times New Roman" w:eastAsia="Times New Roman" w:cs="Times New Roman"/>
                <w:spacing w:val="17"/>
              </w:rPr>
              <w:t>(m)</w:t>
            </w:r>
          </w:p>
        </w:tc>
        <w:tc>
          <w:tcPr>
            <w:tcW w:w="812"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41" w:lineRule="auto"/>
              <w:ind w:left="202"/>
            </w:pPr>
            <w:r>
              <w:rPr>
                <w:spacing w:val="-2"/>
              </w:rPr>
              <w:t>距道</w:t>
            </w:r>
          </w:p>
          <w:p>
            <w:pPr>
              <w:pStyle w:val="6"/>
              <w:spacing w:line="220" w:lineRule="auto"/>
              <w:ind w:left="205"/>
            </w:pPr>
            <w:r>
              <w:rPr>
                <w:spacing w:val="-2"/>
              </w:rPr>
              <w:t>路中</w:t>
            </w:r>
          </w:p>
          <w:p>
            <w:pPr>
              <w:pStyle w:val="6"/>
              <w:spacing w:before="19" w:line="221" w:lineRule="auto"/>
              <w:ind w:left="210"/>
            </w:pPr>
            <w:r>
              <w:rPr>
                <w:spacing w:val="-4"/>
              </w:rPr>
              <w:t>心线</w:t>
            </w:r>
          </w:p>
          <w:p>
            <w:pPr>
              <w:pStyle w:val="6"/>
              <w:spacing w:before="20" w:line="221" w:lineRule="auto"/>
              <w:ind w:left="202"/>
            </w:pPr>
            <w:r>
              <w:rPr>
                <w:spacing w:val="-2"/>
              </w:rPr>
              <w:t>距离</w:t>
            </w:r>
          </w:p>
          <w:p>
            <w:pPr>
              <w:spacing w:before="43" w:line="191"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828" w:type="dxa"/>
            <w:vMerge w:val="restart"/>
            <w:tcBorders>
              <w:bottom w:val="nil"/>
            </w:tcBorders>
            <w:vAlign w:val="top"/>
          </w:tcPr>
          <w:p>
            <w:pPr>
              <w:spacing w:line="252" w:lineRule="auto"/>
              <w:rPr>
                <w:rFonts w:ascii="Arial"/>
                <w:sz w:val="21"/>
              </w:rPr>
            </w:pPr>
          </w:p>
          <w:p>
            <w:pPr>
              <w:spacing w:line="253" w:lineRule="auto"/>
              <w:rPr>
                <w:rFonts w:ascii="Arial"/>
                <w:sz w:val="21"/>
              </w:rPr>
            </w:pPr>
          </w:p>
          <w:p>
            <w:pPr>
              <w:pStyle w:val="6"/>
              <w:spacing w:before="68" w:line="234" w:lineRule="auto"/>
              <w:ind w:left="116" w:right="102" w:firstLine="92"/>
              <w:jc w:val="both"/>
              <w:rPr>
                <w:rFonts w:ascii="Times New Roman" w:hAnsi="Times New Roman" w:eastAsia="Times New Roman" w:cs="Times New Roman"/>
              </w:rPr>
            </w:pPr>
            <w:r>
              <w:rPr>
                <w:spacing w:val="-3"/>
              </w:rPr>
              <w:t>距道</w:t>
            </w:r>
            <w:r>
              <w:t xml:space="preserve">  </w:t>
            </w:r>
            <w:r>
              <w:rPr>
                <w:spacing w:val="43"/>
              </w:rPr>
              <w:t>路边</w:t>
            </w:r>
            <w:r>
              <w:t xml:space="preserve">  </w:t>
            </w:r>
            <w:r>
              <w:rPr>
                <w:spacing w:val="-9"/>
              </w:rPr>
              <w:t>界（红</w:t>
            </w:r>
            <w:r>
              <w:t xml:space="preserve"> </w:t>
            </w:r>
            <w:r>
              <w:rPr>
                <w:spacing w:val="-24"/>
              </w:rPr>
              <w:t>线）</w:t>
            </w:r>
            <w:r>
              <w:rPr>
                <w:spacing w:val="-61"/>
              </w:rPr>
              <w:t xml:space="preserve"> </w:t>
            </w:r>
            <w:r>
              <w:rPr>
                <w:spacing w:val="-24"/>
              </w:rPr>
              <w:t>距</w:t>
            </w:r>
            <w:r>
              <w:t xml:space="preserve"> </w:t>
            </w:r>
            <w:r>
              <w:rPr>
                <w:spacing w:val="10"/>
              </w:rPr>
              <w:t>离</w:t>
            </w:r>
            <w:r>
              <w:rPr>
                <w:rFonts w:ascii="Times New Roman" w:hAnsi="Times New Roman" w:eastAsia="Times New Roman" w:cs="Times New Roman"/>
                <w:spacing w:val="10"/>
              </w:rPr>
              <w:t>(m)</w:t>
            </w:r>
          </w:p>
        </w:tc>
        <w:tc>
          <w:tcPr>
            <w:tcW w:w="1123" w:type="dxa"/>
            <w:gridSpan w:val="2"/>
            <w:vAlign w:val="top"/>
          </w:tcPr>
          <w:p>
            <w:pPr>
              <w:pStyle w:val="6"/>
              <w:spacing w:before="29" w:line="222" w:lineRule="auto"/>
              <w:ind w:left="151"/>
            </w:pPr>
            <w:r>
              <w:rPr>
                <w:spacing w:val="-3"/>
              </w:rPr>
              <w:t>不同功能</w:t>
            </w:r>
          </w:p>
          <w:p>
            <w:pPr>
              <w:pStyle w:val="6"/>
              <w:spacing w:before="18" w:line="209" w:lineRule="auto"/>
              <w:ind w:left="269"/>
            </w:pPr>
            <w:r>
              <w:rPr>
                <w:spacing w:val="-7"/>
              </w:rPr>
              <w:t>区户数</w:t>
            </w:r>
          </w:p>
        </w:tc>
        <w:tc>
          <w:tcPr>
            <w:tcW w:w="2222" w:type="dxa"/>
            <w:gridSpan w:val="2"/>
            <w:vAlign w:val="top"/>
          </w:tcPr>
          <w:p>
            <w:pPr>
              <w:pStyle w:val="6"/>
              <w:spacing w:before="29" w:line="224" w:lineRule="auto"/>
              <w:ind w:left="911" w:right="159" w:hanging="735"/>
            </w:pPr>
            <w:r>
              <w:rPr>
                <w:spacing w:val="-1"/>
              </w:rPr>
              <w:t>声环境保护目标情况</w:t>
            </w:r>
            <w:r>
              <w:t xml:space="preserve"> </w:t>
            </w:r>
            <w:r>
              <w:rPr>
                <w:spacing w:val="-3"/>
              </w:rPr>
              <w:t>说明</w:t>
            </w:r>
          </w:p>
        </w:tc>
        <w:tc>
          <w:tcPr>
            <w:tcW w:w="526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2009"/>
            </w:pPr>
            <w:r>
              <w:rPr>
                <w:spacing w:val="-1"/>
              </w:rPr>
              <w:t>保护目标照片</w:t>
            </w:r>
          </w:p>
        </w:tc>
        <w:tc>
          <w:tcPr>
            <w:tcW w:w="4989"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1769"/>
            </w:pPr>
            <w:r>
              <w:rPr>
                <w:spacing w:val="-1"/>
              </w:rPr>
              <w:t>保护目标地形图</w:t>
            </w:r>
          </w:p>
        </w:tc>
        <w:tc>
          <w:tcPr>
            <w:tcW w:w="1154" w:type="dxa"/>
            <w:gridSpan w:val="2"/>
            <w:vAlign w:val="top"/>
          </w:tcPr>
          <w:p>
            <w:pPr>
              <w:pStyle w:val="6"/>
              <w:spacing w:before="163" w:line="221" w:lineRule="auto"/>
              <w:ind w:left="166"/>
            </w:pPr>
            <w:r>
              <w:rPr>
                <w:spacing w:val="-2"/>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9" w:hRule="atLeast"/>
        </w:trPr>
        <w:tc>
          <w:tcPr>
            <w:tcW w:w="391" w:type="dxa"/>
            <w:vMerge w:val="continue"/>
            <w:tcBorders>
              <w:top w:val="nil"/>
            </w:tcBorders>
            <w:textDirection w:val="tbRlV"/>
            <w:vAlign w:val="top"/>
          </w:tcPr>
          <w:p>
            <w:pPr>
              <w:rPr>
                <w:rFonts w:ascii="Arial"/>
                <w:sz w:val="21"/>
              </w:rPr>
            </w:pPr>
          </w:p>
        </w:tc>
        <w:tc>
          <w:tcPr>
            <w:tcW w:w="792" w:type="dxa"/>
            <w:vMerge w:val="continue"/>
            <w:tcBorders>
              <w:top w:val="nil"/>
            </w:tcBorders>
            <w:vAlign w:val="top"/>
          </w:tcPr>
          <w:p>
            <w:pPr>
              <w:rPr>
                <w:rFonts w:ascii="Arial"/>
                <w:sz w:val="21"/>
              </w:rPr>
            </w:pPr>
          </w:p>
        </w:tc>
        <w:tc>
          <w:tcPr>
            <w:tcW w:w="631" w:type="dxa"/>
            <w:vMerge w:val="continue"/>
            <w:tcBorders>
              <w:top w:val="nil"/>
            </w:tcBorders>
            <w:textDirection w:val="tbRlV"/>
            <w:vAlign w:val="top"/>
          </w:tcPr>
          <w:p>
            <w:pPr>
              <w:rPr>
                <w:rFonts w:ascii="Arial"/>
                <w:sz w:val="21"/>
              </w:rPr>
            </w:pPr>
          </w:p>
        </w:tc>
        <w:tc>
          <w:tcPr>
            <w:tcW w:w="744" w:type="dxa"/>
            <w:vMerge w:val="continue"/>
            <w:tcBorders>
              <w:top w:val="nil"/>
            </w:tcBorders>
            <w:vAlign w:val="top"/>
          </w:tcPr>
          <w:p>
            <w:pPr>
              <w:rPr>
                <w:rFonts w:ascii="Arial"/>
                <w:sz w:val="21"/>
              </w:rPr>
            </w:pPr>
          </w:p>
        </w:tc>
        <w:tc>
          <w:tcPr>
            <w:tcW w:w="540" w:type="dxa"/>
            <w:vMerge w:val="continue"/>
            <w:tcBorders>
              <w:top w:val="nil"/>
            </w:tcBorders>
            <w:textDirection w:val="tbRlV"/>
            <w:vAlign w:val="top"/>
          </w:tcPr>
          <w:p>
            <w:pPr>
              <w:rPr>
                <w:rFonts w:ascii="Arial"/>
                <w:sz w:val="21"/>
              </w:rPr>
            </w:pPr>
          </w:p>
        </w:tc>
        <w:tc>
          <w:tcPr>
            <w:tcW w:w="602" w:type="dxa"/>
            <w:vMerge w:val="continue"/>
            <w:tcBorders>
              <w:top w:val="nil"/>
            </w:tcBorders>
            <w:textDirection w:val="tbRlV"/>
            <w:vAlign w:val="top"/>
          </w:tcPr>
          <w:p>
            <w:pPr>
              <w:rPr>
                <w:rFonts w:ascii="Arial"/>
                <w:sz w:val="21"/>
              </w:rPr>
            </w:pPr>
          </w:p>
        </w:tc>
        <w:tc>
          <w:tcPr>
            <w:tcW w:w="605" w:type="dxa"/>
            <w:vMerge w:val="continue"/>
            <w:tcBorders>
              <w:top w:val="nil"/>
            </w:tcBorders>
            <w:textDirection w:val="tbRlV"/>
            <w:vAlign w:val="top"/>
          </w:tcPr>
          <w:p>
            <w:pPr>
              <w:rPr>
                <w:rFonts w:ascii="Arial"/>
                <w:sz w:val="21"/>
              </w:rPr>
            </w:pPr>
          </w:p>
        </w:tc>
        <w:tc>
          <w:tcPr>
            <w:tcW w:w="648"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828" w:type="dxa"/>
            <w:vMerge w:val="continue"/>
            <w:tcBorders>
              <w:top w:val="nil"/>
            </w:tcBorders>
            <w:vAlign w:val="top"/>
          </w:tcPr>
          <w:p>
            <w:pPr>
              <w:rPr>
                <w:rFonts w:ascii="Arial"/>
                <w:sz w:val="21"/>
              </w:rPr>
            </w:pPr>
          </w:p>
        </w:tc>
        <w:tc>
          <w:tcPr>
            <w:tcW w:w="535" w:type="dxa"/>
            <w:vAlign w:val="top"/>
          </w:tcPr>
          <w:p>
            <w:pPr>
              <w:spacing w:line="339" w:lineRule="auto"/>
              <w:rPr>
                <w:rFonts w:ascii="Arial"/>
                <w:sz w:val="21"/>
              </w:rPr>
            </w:pPr>
          </w:p>
          <w:p>
            <w:pPr>
              <w:spacing w:line="339" w:lineRule="auto"/>
              <w:rPr>
                <w:rFonts w:ascii="Arial"/>
                <w:sz w:val="21"/>
              </w:rPr>
            </w:pPr>
          </w:p>
          <w:p>
            <w:pPr>
              <w:spacing w:before="61" w:line="21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p>
            <w:pPr>
              <w:pStyle w:val="6"/>
              <w:spacing w:line="220" w:lineRule="auto"/>
              <w:ind w:left="169"/>
            </w:pPr>
            <w:r>
              <w:t>类</w:t>
            </w:r>
          </w:p>
        </w:tc>
        <w:tc>
          <w:tcPr>
            <w:tcW w:w="588"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11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082" w:type="dxa"/>
            <w:vAlign w:val="top"/>
          </w:tcPr>
          <w:p>
            <w:pPr>
              <w:spacing w:line="363" w:lineRule="auto"/>
              <w:rPr>
                <w:rFonts w:ascii="Arial"/>
                <w:sz w:val="21"/>
              </w:rPr>
            </w:pPr>
          </w:p>
          <w:p>
            <w:pPr>
              <w:pStyle w:val="6"/>
              <w:spacing w:before="68" w:line="221" w:lineRule="auto"/>
              <w:ind w:left="234"/>
            </w:pPr>
            <w:r>
              <w:rPr>
                <w:spacing w:val="-2"/>
              </w:rPr>
              <w:t>建筑结</w:t>
            </w:r>
          </w:p>
          <w:p>
            <w:pPr>
              <w:pStyle w:val="6"/>
              <w:spacing w:before="18" w:line="221" w:lineRule="auto"/>
              <w:jc w:val="right"/>
            </w:pPr>
            <w:r>
              <w:rPr>
                <w:spacing w:val="-24"/>
              </w:rPr>
              <w:t>构、朝向、</w:t>
            </w:r>
          </w:p>
          <w:p>
            <w:pPr>
              <w:pStyle w:val="6"/>
              <w:spacing w:before="22" w:line="218" w:lineRule="auto"/>
              <w:ind w:left="128"/>
            </w:pPr>
            <w:r>
              <w:rPr>
                <w:spacing w:val="-2"/>
              </w:rPr>
              <w:t>楼层、窗</w:t>
            </w:r>
          </w:p>
          <w:p>
            <w:pPr>
              <w:pStyle w:val="6"/>
              <w:spacing w:before="23" w:line="221" w:lineRule="auto"/>
              <w:ind w:left="444"/>
            </w:pPr>
            <w:r>
              <w:t>户</w:t>
            </w:r>
          </w:p>
        </w:tc>
        <w:tc>
          <w:tcPr>
            <w:tcW w:w="1140" w:type="dxa"/>
            <w:vAlign w:val="top"/>
          </w:tcPr>
          <w:p>
            <w:pPr>
              <w:spacing w:line="316" w:lineRule="auto"/>
              <w:rPr>
                <w:rFonts w:ascii="Arial"/>
                <w:sz w:val="21"/>
              </w:rPr>
            </w:pPr>
          </w:p>
          <w:p>
            <w:pPr>
              <w:spacing w:line="316" w:lineRule="auto"/>
              <w:rPr>
                <w:rFonts w:ascii="Arial"/>
                <w:sz w:val="21"/>
              </w:rPr>
            </w:pPr>
          </w:p>
          <w:p>
            <w:pPr>
              <w:pStyle w:val="6"/>
              <w:spacing w:before="68" w:line="231" w:lineRule="auto"/>
              <w:ind w:left="367" w:right="142" w:hanging="208"/>
            </w:pPr>
            <w:r>
              <w:rPr>
                <w:spacing w:val="-2"/>
              </w:rPr>
              <w:t>周边环境</w:t>
            </w:r>
            <w:r>
              <w:t xml:space="preserve"> </w:t>
            </w:r>
            <w:r>
              <w:rPr>
                <w:spacing w:val="-2"/>
              </w:rPr>
              <w:t>情况</w:t>
            </w:r>
          </w:p>
        </w:tc>
        <w:tc>
          <w:tcPr>
            <w:tcW w:w="5262" w:type="dxa"/>
            <w:vMerge w:val="continue"/>
            <w:tcBorders>
              <w:top w:val="nil"/>
            </w:tcBorders>
            <w:vAlign w:val="top"/>
          </w:tcPr>
          <w:p>
            <w:pPr>
              <w:rPr>
                <w:rFonts w:ascii="Arial"/>
                <w:sz w:val="21"/>
              </w:rPr>
            </w:pPr>
          </w:p>
        </w:tc>
        <w:tc>
          <w:tcPr>
            <w:tcW w:w="4989" w:type="dxa"/>
            <w:vMerge w:val="continue"/>
            <w:tcBorders>
              <w:top w:val="nil"/>
            </w:tcBorders>
            <w:vAlign w:val="top"/>
          </w:tcPr>
          <w:p>
            <w:pPr>
              <w:rPr>
                <w:rFonts w:ascii="Arial"/>
                <w:sz w:val="21"/>
              </w:rPr>
            </w:pPr>
          </w:p>
        </w:tc>
        <w:tc>
          <w:tcPr>
            <w:tcW w:w="595" w:type="dxa"/>
            <w:vAlign w:val="top"/>
          </w:tcPr>
          <w:p>
            <w:pPr>
              <w:spacing w:line="316" w:lineRule="auto"/>
              <w:rPr>
                <w:rFonts w:ascii="Arial"/>
                <w:sz w:val="21"/>
              </w:rPr>
            </w:pPr>
          </w:p>
          <w:p>
            <w:pPr>
              <w:spacing w:line="317" w:lineRule="auto"/>
              <w:rPr>
                <w:rFonts w:ascii="Arial"/>
                <w:sz w:val="21"/>
              </w:rPr>
            </w:pPr>
          </w:p>
          <w:p>
            <w:pPr>
              <w:pStyle w:val="6"/>
              <w:spacing w:before="68" w:line="223" w:lineRule="auto"/>
              <w:ind w:left="98"/>
            </w:pPr>
            <w:r>
              <w:rPr>
                <w:spacing w:val="-2"/>
              </w:rPr>
              <w:t>施工</w:t>
            </w:r>
          </w:p>
          <w:p>
            <w:pPr>
              <w:pStyle w:val="6"/>
              <w:spacing w:before="19" w:line="221" w:lineRule="auto"/>
              <w:ind w:left="204"/>
            </w:pPr>
            <w:r>
              <w:t>期</w:t>
            </w:r>
          </w:p>
        </w:tc>
        <w:tc>
          <w:tcPr>
            <w:tcW w:w="559" w:type="dxa"/>
            <w:vAlign w:val="top"/>
          </w:tcPr>
          <w:p>
            <w:pPr>
              <w:spacing w:line="316" w:lineRule="auto"/>
              <w:rPr>
                <w:rFonts w:ascii="Arial"/>
                <w:sz w:val="21"/>
              </w:rPr>
            </w:pPr>
          </w:p>
          <w:p>
            <w:pPr>
              <w:spacing w:line="316" w:lineRule="auto"/>
              <w:rPr>
                <w:rFonts w:ascii="Arial"/>
                <w:sz w:val="21"/>
              </w:rPr>
            </w:pPr>
          </w:p>
          <w:p>
            <w:pPr>
              <w:pStyle w:val="6"/>
              <w:spacing w:before="69" w:line="221" w:lineRule="auto"/>
              <w:ind w:left="77"/>
            </w:pPr>
            <w:r>
              <w:rPr>
                <w:spacing w:val="-2"/>
              </w:rPr>
              <w:t>运营</w:t>
            </w:r>
          </w:p>
          <w:p>
            <w:pPr>
              <w:pStyle w:val="6"/>
              <w:spacing w:before="22" w:line="221" w:lineRule="auto"/>
              <w:ind w:left="185"/>
            </w:pPr>
            <w: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7" w:hRule="atLeast"/>
        </w:trPr>
        <w:tc>
          <w:tcPr>
            <w:tcW w:w="39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0" w:line="187" w:lineRule="auto"/>
              <w:ind w:left="83"/>
              <w:rPr>
                <w:rFonts w:ascii="Times New Roman" w:hAnsi="Times New Roman" w:eastAsia="Times New Roman" w:cs="Times New Roman"/>
                <w:sz w:val="21"/>
                <w:szCs w:val="21"/>
              </w:rPr>
            </w:pPr>
            <w:r>
              <w:rPr>
                <w:rFonts w:ascii="Times New Roman" w:hAnsi="Times New Roman" w:eastAsia="Times New Roman" w:cs="Times New Roman"/>
                <w:b/>
                <w:bCs/>
                <w:spacing w:val="-4"/>
                <w:sz w:val="21"/>
                <w:szCs w:val="21"/>
              </w:rPr>
              <w:t>11</w:t>
            </w:r>
          </w:p>
        </w:tc>
        <w:tc>
          <w:tcPr>
            <w:tcW w:w="792"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37" w:lineRule="auto"/>
              <w:ind w:left="132" w:right="102" w:firstLine="61"/>
              <w:jc w:val="both"/>
            </w:pPr>
            <w:r>
              <w:rPr>
                <w:spacing w:val="-4"/>
              </w:rPr>
              <w:t>文成</w:t>
            </w:r>
            <w:r>
              <w:t xml:space="preserve"> </w:t>
            </w:r>
            <w:r>
              <w:rPr>
                <w:spacing w:val="27"/>
              </w:rPr>
              <w:t>县西</w:t>
            </w:r>
            <w:r>
              <w:t xml:space="preserve"> </w:t>
            </w:r>
            <w:r>
              <w:rPr>
                <w:spacing w:val="27"/>
              </w:rPr>
              <w:t>坑畲</w:t>
            </w:r>
            <w:r>
              <w:t xml:space="preserve"> </w:t>
            </w:r>
            <w:r>
              <w:rPr>
                <w:spacing w:val="27"/>
              </w:rPr>
              <w:t>族镇</w:t>
            </w:r>
            <w:r>
              <w:t xml:space="preserve"> </w:t>
            </w:r>
            <w:r>
              <w:rPr>
                <w:spacing w:val="27"/>
              </w:rPr>
              <w:t>凤鸣</w:t>
            </w:r>
            <w:r>
              <w:t xml:space="preserve"> </w:t>
            </w:r>
            <w:r>
              <w:rPr>
                <w:spacing w:val="23"/>
              </w:rPr>
              <w:t>（江</w:t>
            </w:r>
            <w:r>
              <w:t xml:space="preserve">  </w:t>
            </w:r>
            <w:r>
              <w:rPr>
                <w:spacing w:val="-27"/>
              </w:rPr>
              <w:t>山）民</w:t>
            </w:r>
            <w:r>
              <w:rPr>
                <w:spacing w:val="1"/>
              </w:rPr>
              <w:t xml:space="preserve"> </w:t>
            </w:r>
            <w:r>
              <w:rPr>
                <w:spacing w:val="27"/>
              </w:rPr>
              <w:t>族村</w:t>
            </w:r>
          </w:p>
        </w:tc>
        <w:tc>
          <w:tcPr>
            <w:tcW w:w="631" w:type="dxa"/>
            <w:textDirection w:val="tbRlV"/>
            <w:vAlign w:val="top"/>
          </w:tcPr>
          <w:p>
            <w:pPr>
              <w:pStyle w:val="6"/>
              <w:spacing w:before="206" w:line="207" w:lineRule="auto"/>
              <w:ind w:left="1537"/>
            </w:pPr>
            <w:r>
              <w:rPr>
                <w:spacing w:val="41"/>
              </w:rPr>
              <w:t>江山村</w:t>
            </w:r>
          </w:p>
        </w:tc>
        <w:tc>
          <w:tcPr>
            <w:tcW w:w="74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8" w:line="221" w:lineRule="auto"/>
              <w:ind w:left="174"/>
            </w:pPr>
            <w:r>
              <w:rPr>
                <w:spacing w:val="-3"/>
              </w:rPr>
              <w:t>西坑</w:t>
            </w:r>
          </w:p>
          <w:p>
            <w:pPr>
              <w:pStyle w:val="6"/>
              <w:spacing w:before="21" w:line="228" w:lineRule="auto"/>
              <w:ind w:left="173"/>
            </w:pPr>
            <w:r>
              <w:rPr>
                <w:spacing w:val="-3"/>
              </w:rPr>
              <w:t>互通</w:t>
            </w:r>
          </w:p>
          <w:p>
            <w:pPr>
              <w:pStyle w:val="6"/>
              <w:spacing w:before="11" w:line="221" w:lineRule="auto"/>
              <w:ind w:left="170"/>
            </w:pPr>
            <w:r>
              <w:rPr>
                <w:spacing w:val="-2"/>
              </w:rPr>
              <w:t>连接</w:t>
            </w:r>
          </w:p>
          <w:p>
            <w:pPr>
              <w:pStyle w:val="6"/>
              <w:spacing w:before="22" w:line="221" w:lineRule="auto"/>
              <w:ind w:left="172"/>
            </w:pPr>
            <w:r>
              <w:rPr>
                <w:spacing w:val="-3"/>
              </w:rPr>
              <w:t>线主</w:t>
            </w:r>
          </w:p>
          <w:p>
            <w:pPr>
              <w:pStyle w:val="6"/>
              <w:spacing w:before="19" w:line="221" w:lineRule="auto"/>
              <w:ind w:left="277"/>
            </w:pPr>
            <w:r>
              <w:t>线</w:t>
            </w:r>
          </w:p>
          <w:p>
            <w:pPr>
              <w:spacing w:before="42"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tc>
        <w:tc>
          <w:tcPr>
            <w:tcW w:w="540" w:type="dxa"/>
            <w:vAlign w:val="top"/>
          </w:tcPr>
          <w:p>
            <w:pPr>
              <w:spacing w:line="310" w:lineRule="auto"/>
              <w:rPr>
                <w:rFonts w:ascii="Arial"/>
                <w:sz w:val="21"/>
              </w:rPr>
            </w:pPr>
          </w:p>
          <w:p>
            <w:pPr>
              <w:spacing w:line="311" w:lineRule="auto"/>
              <w:rPr>
                <w:rFonts w:ascii="Arial"/>
                <w:sz w:val="21"/>
              </w:rPr>
            </w:pPr>
          </w:p>
          <w:p>
            <w:pPr>
              <w:spacing w:line="311" w:lineRule="auto"/>
              <w:rPr>
                <w:rFonts w:ascii="Arial"/>
                <w:sz w:val="21"/>
              </w:rPr>
            </w:pPr>
          </w:p>
          <w:p>
            <w:pPr>
              <w:spacing w:before="61" w:line="234" w:lineRule="auto"/>
              <w:ind w:left="113" w:right="103" w:firstLine="42"/>
              <w:jc w:val="both"/>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K3</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+4</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00~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9"/>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K3</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+9</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5"/>
                <w:sz w:val="21"/>
                <w:szCs w:val="21"/>
              </w:rPr>
              <w:t>00</w:t>
            </w:r>
          </w:p>
        </w:tc>
        <w:tc>
          <w:tcPr>
            <w:tcW w:w="602" w:type="dxa"/>
            <w:textDirection w:val="tbRlV"/>
            <w:vAlign w:val="top"/>
          </w:tcPr>
          <w:p>
            <w:pPr>
              <w:pStyle w:val="6"/>
              <w:spacing w:before="190" w:line="210" w:lineRule="auto"/>
              <w:ind w:left="1400"/>
            </w:pPr>
            <w:r>
              <w:rPr>
                <w:spacing w:val="1"/>
              </w:rPr>
              <w:t>地</w:t>
            </w:r>
            <w:r>
              <w:rPr>
                <w:spacing w:val="-43"/>
              </w:rPr>
              <w:t xml:space="preserve"> </w:t>
            </w:r>
            <w:r>
              <w:rPr>
                <w:spacing w:val="1"/>
              </w:rPr>
              <w:t>面</w:t>
            </w:r>
            <w:r>
              <w:rPr>
                <w:spacing w:val="-45"/>
              </w:rPr>
              <w:t xml:space="preserve"> </w:t>
            </w:r>
            <w:r>
              <w:rPr>
                <w:spacing w:val="1"/>
              </w:rPr>
              <w:t>道</w:t>
            </w:r>
            <w:r>
              <w:rPr>
                <w:spacing w:val="-43"/>
              </w:rPr>
              <w:t xml:space="preserve"> </w:t>
            </w:r>
            <w:r>
              <w:rPr>
                <w:spacing w:val="1"/>
              </w:rPr>
              <w:t>路</w:t>
            </w:r>
          </w:p>
        </w:tc>
        <w:tc>
          <w:tcPr>
            <w:tcW w:w="60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0" w:line="184"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N</w:t>
            </w:r>
          </w:p>
        </w:tc>
        <w:tc>
          <w:tcPr>
            <w:tcW w:w="648"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0" w:line="214" w:lineRule="auto"/>
              <w:ind w:left="277" w:right="104" w:hanging="1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30~4</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7</w:t>
            </w:r>
          </w:p>
        </w:tc>
        <w:tc>
          <w:tcPr>
            <w:tcW w:w="81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0" w:line="187" w:lineRule="auto"/>
              <w:ind w:left="3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82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0" w:line="187" w:lineRule="auto"/>
              <w:ind w:left="36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53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0" w:line="187" w:lineRule="auto"/>
              <w:ind w:left="222"/>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58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0" w:line="184" w:lineRule="auto"/>
              <w:ind w:left="24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082"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8" w:line="236" w:lineRule="auto"/>
              <w:ind w:left="129" w:right="113" w:firstLine="103"/>
            </w:pPr>
            <w:r>
              <w:rPr>
                <w:spacing w:val="-2"/>
              </w:rPr>
              <w:t>砖混结</w:t>
            </w:r>
            <w:r>
              <w:t xml:space="preserve">  </w:t>
            </w:r>
            <w:r>
              <w:rPr>
                <w:spacing w:val="-16"/>
              </w:rPr>
              <w:t>构，</w:t>
            </w:r>
            <w:r>
              <w:rPr>
                <w:spacing w:val="17"/>
              </w:rPr>
              <w:t xml:space="preserve"> </w:t>
            </w:r>
            <w:r>
              <w:rPr>
                <w:rFonts w:ascii="Times New Roman" w:hAnsi="Times New Roman" w:eastAsia="Times New Roman" w:cs="Times New Roman"/>
                <w:spacing w:val="-16"/>
              </w:rPr>
              <w:t>1~4</w:t>
            </w:r>
            <w:r>
              <w:rPr>
                <w:rFonts w:ascii="Times New Roman" w:hAnsi="Times New Roman" w:eastAsia="Times New Roman" w:cs="Times New Roman"/>
              </w:rPr>
              <w:t xml:space="preserve">  </w:t>
            </w:r>
            <w:r>
              <w:rPr>
                <w:spacing w:val="-2"/>
              </w:rPr>
              <w:t>层建筑、</w:t>
            </w:r>
            <w:r>
              <w:rPr>
                <w:spacing w:val="1"/>
              </w:rPr>
              <w:t xml:space="preserve"> </w:t>
            </w:r>
            <w:r>
              <w:rPr>
                <w:spacing w:val="-2"/>
              </w:rPr>
              <w:t>背向、面</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8" w:line="222" w:lineRule="auto"/>
              <w:ind w:left="261"/>
            </w:pPr>
            <w:r>
              <w:rPr>
                <w:spacing w:val="-2"/>
              </w:rPr>
              <w:t>位于老</w:t>
            </w:r>
          </w:p>
          <w:p>
            <w:pPr>
              <w:pStyle w:val="6"/>
              <w:spacing w:before="18" w:line="221" w:lineRule="auto"/>
              <w:ind w:left="185"/>
            </w:pPr>
            <w:r>
              <w:rPr>
                <w:rFonts w:ascii="Times New Roman" w:hAnsi="Times New Roman" w:eastAsia="Times New Roman" w:cs="Times New Roman"/>
                <w:spacing w:val="-3"/>
              </w:rPr>
              <w:t>330</w:t>
            </w:r>
            <w:r>
              <w:rPr>
                <w:rFonts w:ascii="Times New Roman" w:hAnsi="Times New Roman" w:eastAsia="Times New Roman" w:cs="Times New Roman"/>
                <w:spacing w:val="13"/>
              </w:rPr>
              <w:t xml:space="preserve"> </w:t>
            </w:r>
            <w:r>
              <w:rPr>
                <w:spacing w:val="-3"/>
              </w:rPr>
              <w:t>省道</w:t>
            </w:r>
          </w:p>
          <w:p>
            <w:pPr>
              <w:pStyle w:val="6"/>
              <w:spacing w:before="22" w:line="221" w:lineRule="auto"/>
              <w:ind w:left="164"/>
            </w:pPr>
            <w:r>
              <w:rPr>
                <w:spacing w:val="-7"/>
              </w:rPr>
              <w:t>（四级公</w:t>
            </w:r>
          </w:p>
          <w:p>
            <w:pPr>
              <w:pStyle w:val="6"/>
              <w:spacing w:before="19" w:line="221" w:lineRule="auto"/>
              <w:ind w:left="116"/>
            </w:pPr>
            <w:r>
              <w:rPr>
                <w:spacing w:val="-12"/>
              </w:rPr>
              <w:t>路）两侧，</w:t>
            </w:r>
          </w:p>
          <w:p>
            <w:pPr>
              <w:pStyle w:val="6"/>
              <w:spacing w:before="22" w:line="221" w:lineRule="auto"/>
              <w:ind w:left="160"/>
            </w:pPr>
            <w:r>
              <w:rPr>
                <w:spacing w:val="-2"/>
              </w:rPr>
              <w:t>最近距离</w:t>
            </w:r>
          </w:p>
          <w:p>
            <w:pPr>
              <w:pStyle w:val="6"/>
              <w:spacing w:before="20" w:line="226" w:lineRule="auto"/>
              <w:ind w:left="316"/>
              <w:rPr>
                <w:rFonts w:ascii="Times New Roman" w:hAnsi="Times New Roman" w:eastAsia="Times New Roman" w:cs="Times New Roman"/>
              </w:rPr>
            </w:pPr>
            <w:r>
              <w:rPr>
                <w:spacing w:val="-8"/>
              </w:rPr>
              <w:t>约</w:t>
            </w:r>
            <w:r>
              <w:rPr>
                <w:spacing w:val="-26"/>
              </w:rPr>
              <w:t xml:space="preserve"> </w:t>
            </w:r>
            <w:r>
              <w:rPr>
                <w:rFonts w:ascii="Times New Roman" w:hAnsi="Times New Roman" w:eastAsia="Times New Roman" w:cs="Times New Roman"/>
                <w:spacing w:val="-8"/>
              </w:rPr>
              <w:t>1m</w:t>
            </w:r>
          </w:p>
        </w:tc>
        <w:tc>
          <w:tcPr>
            <w:tcW w:w="5262" w:type="dxa"/>
            <w:vAlign w:val="top"/>
          </w:tcPr>
          <w:p>
            <w:pPr>
              <w:spacing w:before="2" w:line="3815" w:lineRule="exact"/>
              <w:ind w:firstLine="53"/>
            </w:pPr>
            <w:r>
              <w:rPr>
                <w:position w:val="-76"/>
              </w:rPr>
              <w:drawing>
                <wp:inline distT="0" distB="0" distL="0" distR="0">
                  <wp:extent cx="3238500" cy="242189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25"/>
                          <a:stretch>
                            <a:fillRect/>
                          </a:stretch>
                        </pic:blipFill>
                        <pic:spPr>
                          <a:xfrm>
                            <a:off x="0" y="0"/>
                            <a:ext cx="3238500" cy="2422524"/>
                          </a:xfrm>
                          <a:prstGeom prst="rect">
                            <a:avLst/>
                          </a:prstGeom>
                        </pic:spPr>
                      </pic:pic>
                    </a:graphicData>
                  </a:graphic>
                </wp:inline>
              </w:drawing>
            </w:r>
          </w:p>
        </w:tc>
        <w:tc>
          <w:tcPr>
            <w:tcW w:w="4989" w:type="dxa"/>
            <w:vAlign w:val="top"/>
          </w:tcPr>
          <w:p>
            <w:pPr>
              <w:spacing w:before="208" w:line="3415" w:lineRule="exact"/>
            </w:pPr>
            <w:r>
              <w:rPr>
                <w:position w:val="-68"/>
              </w:rPr>
              <w:drawing>
                <wp:inline distT="0" distB="0" distL="0" distR="0">
                  <wp:extent cx="3148965" cy="216852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26"/>
                          <a:stretch>
                            <a:fillRect/>
                          </a:stretch>
                        </pic:blipFill>
                        <pic:spPr>
                          <a:xfrm>
                            <a:off x="0" y="0"/>
                            <a:ext cx="3149220" cy="2168525"/>
                          </a:xfrm>
                          <a:prstGeom prst="rect">
                            <a:avLst/>
                          </a:prstGeom>
                        </pic:spPr>
                      </pic:pic>
                    </a:graphicData>
                  </a:graphic>
                </wp:inline>
              </w:drawing>
            </w:r>
          </w:p>
        </w:tc>
        <w:tc>
          <w:tcPr>
            <w:tcW w:w="59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8" w:line="221" w:lineRule="auto"/>
              <w:ind w:left="12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9"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1"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7" w:hRule="atLeast"/>
        </w:trPr>
        <w:tc>
          <w:tcPr>
            <w:tcW w:w="391"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0" w:line="187" w:lineRule="auto"/>
              <w:ind w:left="83"/>
              <w:rPr>
                <w:rFonts w:ascii="Times New Roman" w:hAnsi="Times New Roman" w:eastAsia="Times New Roman" w:cs="Times New Roman"/>
                <w:sz w:val="21"/>
                <w:szCs w:val="21"/>
              </w:rPr>
            </w:pPr>
            <w:r>
              <w:rPr>
                <w:rFonts w:ascii="Times New Roman" w:hAnsi="Times New Roman" w:eastAsia="Times New Roman" w:cs="Times New Roman"/>
                <w:b/>
                <w:bCs/>
                <w:spacing w:val="-4"/>
                <w:sz w:val="21"/>
                <w:szCs w:val="21"/>
              </w:rPr>
              <w:t>12</w:t>
            </w:r>
          </w:p>
        </w:tc>
        <w:tc>
          <w:tcPr>
            <w:tcW w:w="792"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9" w:line="237" w:lineRule="auto"/>
              <w:ind w:left="132" w:right="102" w:firstLine="61"/>
              <w:jc w:val="both"/>
            </w:pPr>
            <w:r>
              <w:rPr>
                <w:spacing w:val="-4"/>
              </w:rPr>
              <w:t>文成</w:t>
            </w:r>
            <w:r>
              <w:t xml:space="preserve"> </w:t>
            </w:r>
            <w:r>
              <w:rPr>
                <w:spacing w:val="27"/>
              </w:rPr>
              <w:t>县西</w:t>
            </w:r>
            <w:r>
              <w:t xml:space="preserve"> </w:t>
            </w:r>
            <w:r>
              <w:rPr>
                <w:spacing w:val="27"/>
              </w:rPr>
              <w:t>坑畲</w:t>
            </w:r>
            <w:r>
              <w:t xml:space="preserve"> </w:t>
            </w:r>
            <w:r>
              <w:rPr>
                <w:spacing w:val="27"/>
              </w:rPr>
              <w:t>族镇</w:t>
            </w:r>
            <w:r>
              <w:t xml:space="preserve"> </w:t>
            </w:r>
            <w:r>
              <w:rPr>
                <w:spacing w:val="27"/>
              </w:rPr>
              <w:t>凤鸣</w:t>
            </w:r>
            <w:r>
              <w:t xml:space="preserve"> </w:t>
            </w:r>
            <w:r>
              <w:rPr>
                <w:spacing w:val="23"/>
              </w:rPr>
              <w:t>（江</w:t>
            </w:r>
            <w:r>
              <w:t xml:space="preserve">  </w:t>
            </w:r>
            <w:r>
              <w:rPr>
                <w:spacing w:val="-27"/>
              </w:rPr>
              <w:t>山）民</w:t>
            </w:r>
            <w:r>
              <w:rPr>
                <w:spacing w:val="1"/>
              </w:rPr>
              <w:t xml:space="preserve"> </w:t>
            </w:r>
            <w:r>
              <w:rPr>
                <w:spacing w:val="27"/>
              </w:rPr>
              <w:t>族村</w:t>
            </w:r>
          </w:p>
        </w:tc>
        <w:tc>
          <w:tcPr>
            <w:tcW w:w="631" w:type="dxa"/>
            <w:textDirection w:val="tbRlV"/>
            <w:vAlign w:val="top"/>
          </w:tcPr>
          <w:p>
            <w:pPr>
              <w:pStyle w:val="6"/>
              <w:spacing w:before="205" w:line="216" w:lineRule="auto"/>
              <w:ind w:left="1852"/>
            </w:pPr>
            <w:r>
              <w:rPr>
                <w:spacing w:val="31"/>
              </w:rPr>
              <w:t>包山</w:t>
            </w:r>
          </w:p>
        </w:tc>
        <w:tc>
          <w:tcPr>
            <w:tcW w:w="744"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9" w:line="221" w:lineRule="auto"/>
              <w:ind w:left="174"/>
            </w:pPr>
            <w:r>
              <w:rPr>
                <w:spacing w:val="-3"/>
              </w:rPr>
              <w:t>西坑</w:t>
            </w:r>
          </w:p>
          <w:p>
            <w:pPr>
              <w:pStyle w:val="6"/>
              <w:spacing w:before="21" w:line="228" w:lineRule="auto"/>
              <w:ind w:left="173"/>
            </w:pPr>
            <w:r>
              <w:rPr>
                <w:spacing w:val="-3"/>
              </w:rPr>
              <w:t>互通</w:t>
            </w:r>
          </w:p>
          <w:p>
            <w:pPr>
              <w:pStyle w:val="6"/>
              <w:spacing w:before="11" w:line="221" w:lineRule="auto"/>
              <w:ind w:left="170"/>
            </w:pPr>
            <w:r>
              <w:rPr>
                <w:spacing w:val="-2"/>
              </w:rPr>
              <w:t>连接</w:t>
            </w:r>
          </w:p>
          <w:p>
            <w:pPr>
              <w:pStyle w:val="6"/>
              <w:spacing w:before="22" w:line="221" w:lineRule="auto"/>
              <w:ind w:left="172"/>
            </w:pPr>
            <w:r>
              <w:rPr>
                <w:spacing w:val="-3"/>
              </w:rPr>
              <w:t>线主</w:t>
            </w:r>
          </w:p>
          <w:p>
            <w:pPr>
              <w:pStyle w:val="6"/>
              <w:spacing w:before="19" w:line="221" w:lineRule="auto"/>
              <w:ind w:left="277"/>
            </w:pPr>
            <w:r>
              <w:t>线</w:t>
            </w:r>
          </w:p>
          <w:p>
            <w:pPr>
              <w:spacing w:before="41"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tc>
        <w:tc>
          <w:tcPr>
            <w:tcW w:w="540"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0" w:line="234" w:lineRule="auto"/>
              <w:ind w:left="113" w:right="103" w:firstLine="42"/>
              <w:jc w:val="both"/>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K4</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00~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9"/>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K4</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+2</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5"/>
                <w:sz w:val="21"/>
                <w:szCs w:val="21"/>
              </w:rPr>
              <w:t>50</w:t>
            </w:r>
          </w:p>
        </w:tc>
        <w:tc>
          <w:tcPr>
            <w:tcW w:w="602" w:type="dxa"/>
            <w:textDirection w:val="tbRlV"/>
            <w:vAlign w:val="top"/>
          </w:tcPr>
          <w:p>
            <w:pPr>
              <w:pStyle w:val="6"/>
              <w:spacing w:before="190" w:line="210" w:lineRule="auto"/>
              <w:ind w:left="1579"/>
            </w:pPr>
            <w:r>
              <w:rPr>
                <w:spacing w:val="1"/>
              </w:rPr>
              <w:t>地</w:t>
            </w:r>
            <w:r>
              <w:rPr>
                <w:spacing w:val="-43"/>
              </w:rPr>
              <w:t xml:space="preserve"> </w:t>
            </w:r>
            <w:r>
              <w:rPr>
                <w:spacing w:val="1"/>
              </w:rPr>
              <w:t>面</w:t>
            </w:r>
            <w:r>
              <w:rPr>
                <w:spacing w:val="-45"/>
              </w:rPr>
              <w:t xml:space="preserve"> </w:t>
            </w:r>
            <w:r>
              <w:rPr>
                <w:spacing w:val="1"/>
              </w:rPr>
              <w:t>道</w:t>
            </w:r>
            <w:r>
              <w:rPr>
                <w:spacing w:val="-43"/>
              </w:rPr>
              <w:t xml:space="preserve"> </w:t>
            </w:r>
            <w:r>
              <w:rPr>
                <w:spacing w:val="1"/>
              </w:rPr>
              <w:t>路</w:t>
            </w:r>
          </w:p>
        </w:tc>
        <w:tc>
          <w:tcPr>
            <w:tcW w:w="605"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184" w:lineRule="auto"/>
              <w:ind w:left="12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NW</w:t>
            </w:r>
          </w:p>
        </w:tc>
        <w:tc>
          <w:tcPr>
            <w:tcW w:w="648"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0" w:line="214" w:lineRule="auto"/>
              <w:ind w:left="258" w:right="104" w:hanging="1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0~21</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3"/>
                <w:sz w:val="21"/>
                <w:szCs w:val="21"/>
              </w:rPr>
              <w:t>.3</w:t>
            </w:r>
          </w:p>
        </w:tc>
        <w:tc>
          <w:tcPr>
            <w:tcW w:w="81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0"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828"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8" w:line="221" w:lineRule="auto"/>
              <w:ind w:left="216"/>
            </w:pPr>
            <w:r>
              <w:rPr>
                <w:spacing w:val="-3"/>
              </w:rPr>
              <w:t>紧邻</w:t>
            </w:r>
          </w:p>
        </w:tc>
        <w:tc>
          <w:tcPr>
            <w:tcW w:w="535"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588"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0" w:line="187"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08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36" w:lineRule="auto"/>
              <w:ind w:left="129" w:right="113" w:firstLine="103"/>
            </w:pPr>
            <w:r>
              <w:rPr>
                <w:spacing w:val="-2"/>
              </w:rPr>
              <w:t>砖混结</w:t>
            </w:r>
            <w:r>
              <w:t xml:space="preserve">  </w:t>
            </w:r>
            <w:r>
              <w:rPr>
                <w:spacing w:val="-16"/>
              </w:rPr>
              <w:t>构，</w:t>
            </w:r>
            <w:r>
              <w:rPr>
                <w:spacing w:val="17"/>
              </w:rPr>
              <w:t xml:space="preserve"> </w:t>
            </w:r>
            <w:r>
              <w:rPr>
                <w:rFonts w:ascii="Times New Roman" w:hAnsi="Times New Roman" w:eastAsia="Times New Roman" w:cs="Times New Roman"/>
                <w:spacing w:val="-16"/>
              </w:rPr>
              <w:t>1~4</w:t>
            </w:r>
            <w:r>
              <w:rPr>
                <w:rFonts w:ascii="Times New Roman" w:hAnsi="Times New Roman" w:eastAsia="Times New Roman" w:cs="Times New Roman"/>
              </w:rPr>
              <w:t xml:space="preserve">  </w:t>
            </w:r>
            <w:r>
              <w:rPr>
                <w:spacing w:val="-2"/>
              </w:rPr>
              <w:t>层建筑、</w:t>
            </w:r>
            <w:r>
              <w:rPr>
                <w:spacing w:val="1"/>
              </w:rPr>
              <w:t xml:space="preserve"> </w:t>
            </w:r>
            <w:r>
              <w:rPr>
                <w:spacing w:val="-2"/>
              </w:rPr>
              <w:t>背向、面</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22" w:lineRule="auto"/>
              <w:ind w:left="261"/>
            </w:pPr>
            <w:r>
              <w:rPr>
                <w:spacing w:val="-2"/>
              </w:rPr>
              <w:t>位于老</w:t>
            </w:r>
          </w:p>
          <w:p>
            <w:pPr>
              <w:pStyle w:val="6"/>
              <w:spacing w:before="18" w:line="221" w:lineRule="auto"/>
              <w:ind w:left="185"/>
            </w:pPr>
            <w:r>
              <w:rPr>
                <w:rFonts w:ascii="Times New Roman" w:hAnsi="Times New Roman" w:eastAsia="Times New Roman" w:cs="Times New Roman"/>
                <w:spacing w:val="-3"/>
              </w:rPr>
              <w:t>330</w:t>
            </w:r>
            <w:r>
              <w:rPr>
                <w:rFonts w:ascii="Times New Roman" w:hAnsi="Times New Roman" w:eastAsia="Times New Roman" w:cs="Times New Roman"/>
                <w:spacing w:val="13"/>
              </w:rPr>
              <w:t xml:space="preserve"> </w:t>
            </w:r>
            <w:r>
              <w:rPr>
                <w:spacing w:val="-3"/>
              </w:rPr>
              <w:t>省道</w:t>
            </w:r>
          </w:p>
          <w:p>
            <w:pPr>
              <w:pStyle w:val="6"/>
              <w:spacing w:before="22" w:line="221" w:lineRule="auto"/>
              <w:ind w:left="164"/>
            </w:pPr>
            <w:r>
              <w:rPr>
                <w:spacing w:val="-7"/>
              </w:rPr>
              <w:t>（四级公</w:t>
            </w:r>
          </w:p>
          <w:p>
            <w:pPr>
              <w:pStyle w:val="6"/>
              <w:spacing w:before="19" w:line="221" w:lineRule="auto"/>
              <w:ind w:left="116"/>
            </w:pPr>
            <w:r>
              <w:rPr>
                <w:spacing w:val="-12"/>
              </w:rPr>
              <w:t>路）两侧，</w:t>
            </w:r>
          </w:p>
          <w:p>
            <w:pPr>
              <w:pStyle w:val="6"/>
              <w:spacing w:before="22" w:line="221" w:lineRule="auto"/>
              <w:ind w:left="160"/>
            </w:pPr>
            <w:r>
              <w:rPr>
                <w:spacing w:val="-2"/>
              </w:rPr>
              <w:t>最近距离</w:t>
            </w:r>
          </w:p>
          <w:p>
            <w:pPr>
              <w:pStyle w:val="6"/>
              <w:spacing w:before="19" w:line="226" w:lineRule="auto"/>
              <w:ind w:left="316"/>
              <w:rPr>
                <w:rFonts w:ascii="Times New Roman" w:hAnsi="Times New Roman" w:eastAsia="Times New Roman" w:cs="Times New Roman"/>
              </w:rPr>
            </w:pPr>
            <w:r>
              <w:rPr>
                <w:spacing w:val="-8"/>
              </w:rPr>
              <w:t>约</w:t>
            </w:r>
            <w:r>
              <w:rPr>
                <w:spacing w:val="-26"/>
              </w:rPr>
              <w:t xml:space="preserve"> </w:t>
            </w:r>
            <w:r>
              <w:rPr>
                <w:rFonts w:ascii="Times New Roman" w:hAnsi="Times New Roman" w:eastAsia="Times New Roman" w:cs="Times New Roman"/>
                <w:spacing w:val="-8"/>
              </w:rPr>
              <w:t>1m</w:t>
            </w:r>
          </w:p>
        </w:tc>
        <w:tc>
          <w:tcPr>
            <w:tcW w:w="5262" w:type="dxa"/>
            <w:vAlign w:val="top"/>
          </w:tcPr>
          <w:p>
            <w:pPr>
              <w:spacing w:before="192" w:line="3803" w:lineRule="exact"/>
              <w:ind w:firstLine="81"/>
            </w:pPr>
            <w:r>
              <w:rPr>
                <w:position w:val="-76"/>
              </w:rPr>
              <w:drawing>
                <wp:inline distT="0" distB="0" distL="0" distR="0">
                  <wp:extent cx="3220085" cy="241490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27"/>
                          <a:stretch>
                            <a:fillRect/>
                          </a:stretch>
                        </pic:blipFill>
                        <pic:spPr>
                          <a:xfrm>
                            <a:off x="0" y="0"/>
                            <a:ext cx="3220719" cy="2415539"/>
                          </a:xfrm>
                          <a:prstGeom prst="rect">
                            <a:avLst/>
                          </a:prstGeom>
                        </pic:spPr>
                      </pic:pic>
                    </a:graphicData>
                  </a:graphic>
                </wp:inline>
              </w:drawing>
            </w:r>
          </w:p>
        </w:tc>
        <w:tc>
          <w:tcPr>
            <w:tcW w:w="4989" w:type="dxa"/>
            <w:vAlign w:val="top"/>
          </w:tcPr>
          <w:p>
            <w:pPr>
              <w:spacing w:line="4177" w:lineRule="exact"/>
              <w:ind w:firstLine="73"/>
            </w:pPr>
            <w:r>
              <w:rPr>
                <w:position w:val="-83"/>
              </w:rPr>
              <w:drawing>
                <wp:inline distT="0" distB="0" distL="0" distR="0">
                  <wp:extent cx="3075305" cy="265239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28"/>
                          <a:stretch>
                            <a:fillRect/>
                          </a:stretch>
                        </pic:blipFill>
                        <pic:spPr>
                          <a:xfrm>
                            <a:off x="0" y="0"/>
                            <a:ext cx="3075305" cy="2652395"/>
                          </a:xfrm>
                          <a:prstGeom prst="rect">
                            <a:avLst/>
                          </a:prstGeom>
                        </pic:spPr>
                      </pic:pic>
                    </a:graphicData>
                  </a:graphic>
                </wp:inline>
              </w:drawing>
            </w:r>
          </w:p>
        </w:tc>
        <w:tc>
          <w:tcPr>
            <w:tcW w:w="595"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8" w:line="221" w:lineRule="auto"/>
              <w:ind w:left="12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0"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bl>
    <w:p>
      <w:pPr>
        <w:pStyle w:val="2"/>
      </w:pPr>
    </w:p>
    <w:p>
      <w:pPr>
        <w:sectPr>
          <w:footerReference r:id="rId86" w:type="default"/>
          <w:pgSz w:w="23813" w:h="16839"/>
          <w:pgMar w:top="1118" w:right="1231" w:bottom="1182" w:left="1233" w:header="879" w:footer="1024" w:gutter="0"/>
          <w:cols w:space="720" w:num="1"/>
        </w:sectPr>
      </w:pPr>
    </w:p>
    <w:p>
      <w:pPr>
        <w:spacing w:before="104"/>
      </w:pPr>
    </w:p>
    <w:tbl>
      <w:tblPr>
        <w:tblStyle w:val="5"/>
        <w:tblW w:w="213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1"/>
        <w:gridCol w:w="792"/>
        <w:gridCol w:w="631"/>
        <w:gridCol w:w="744"/>
        <w:gridCol w:w="540"/>
        <w:gridCol w:w="602"/>
        <w:gridCol w:w="605"/>
        <w:gridCol w:w="648"/>
        <w:gridCol w:w="812"/>
        <w:gridCol w:w="828"/>
        <w:gridCol w:w="535"/>
        <w:gridCol w:w="588"/>
        <w:gridCol w:w="1082"/>
        <w:gridCol w:w="1140"/>
        <w:gridCol w:w="5262"/>
        <w:gridCol w:w="4989"/>
        <w:gridCol w:w="595"/>
        <w:gridCol w:w="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391" w:type="dxa"/>
            <w:vMerge w:val="restart"/>
            <w:tcBorders>
              <w:bottom w:val="nil"/>
            </w:tcBorders>
            <w:textDirection w:val="tbRlV"/>
            <w:vAlign w:val="top"/>
          </w:tcPr>
          <w:p>
            <w:pPr>
              <w:pStyle w:val="6"/>
              <w:spacing w:before="105" w:line="211" w:lineRule="auto"/>
              <w:ind w:left="982"/>
            </w:pPr>
            <w:r>
              <w:rPr>
                <w:spacing w:val="31"/>
              </w:rPr>
              <w:t>序号</w:t>
            </w:r>
          </w:p>
        </w:tc>
        <w:tc>
          <w:tcPr>
            <w:tcW w:w="792"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96"/>
            </w:pPr>
            <w:r>
              <w:rPr>
                <w:spacing w:val="-3"/>
              </w:rPr>
              <w:t>行政</w:t>
            </w:r>
          </w:p>
          <w:p>
            <w:pPr>
              <w:pStyle w:val="6"/>
              <w:spacing w:line="220" w:lineRule="auto"/>
              <w:ind w:left="208"/>
            </w:pPr>
            <w:r>
              <w:rPr>
                <w:spacing w:val="-6"/>
              </w:rPr>
              <w:t>区域</w:t>
            </w:r>
          </w:p>
        </w:tc>
        <w:tc>
          <w:tcPr>
            <w:tcW w:w="631" w:type="dxa"/>
            <w:vMerge w:val="restart"/>
            <w:tcBorders>
              <w:bottom w:val="nil"/>
            </w:tcBorders>
            <w:textDirection w:val="tbRlV"/>
            <w:vAlign w:val="top"/>
          </w:tcPr>
          <w:p>
            <w:pPr>
              <w:pStyle w:val="6"/>
              <w:spacing w:before="205" w:line="210" w:lineRule="auto"/>
              <w:ind w:left="29"/>
            </w:pPr>
            <w:r>
              <w:rPr>
                <w:spacing w:val="19"/>
                <w:w w:val="117"/>
              </w:rPr>
              <w:t>声环境保护目标名称</w:t>
            </w:r>
          </w:p>
        </w:tc>
        <w:tc>
          <w:tcPr>
            <w:tcW w:w="744"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69"/>
            </w:pPr>
            <w:r>
              <w:rPr>
                <w:spacing w:val="-2"/>
              </w:rPr>
              <w:t>所在</w:t>
            </w:r>
          </w:p>
          <w:p>
            <w:pPr>
              <w:pStyle w:val="6"/>
              <w:spacing w:line="220" w:lineRule="auto"/>
              <w:ind w:left="171"/>
            </w:pPr>
            <w:r>
              <w:rPr>
                <w:spacing w:val="-2"/>
              </w:rPr>
              <w:t>路段</w:t>
            </w:r>
          </w:p>
        </w:tc>
        <w:tc>
          <w:tcPr>
            <w:tcW w:w="540" w:type="dxa"/>
            <w:vMerge w:val="restart"/>
            <w:tcBorders>
              <w:bottom w:val="nil"/>
            </w:tcBorders>
            <w:textDirection w:val="tbRlV"/>
            <w:vAlign w:val="top"/>
          </w:tcPr>
          <w:p>
            <w:pPr>
              <w:pStyle w:val="6"/>
              <w:spacing w:before="160" w:line="210" w:lineRule="auto"/>
              <w:ind w:left="709"/>
            </w:pPr>
            <w:r>
              <w:rPr>
                <w:spacing w:val="1"/>
              </w:rPr>
              <w:t>里</w:t>
            </w:r>
            <w:r>
              <w:rPr>
                <w:spacing w:val="-43"/>
              </w:rPr>
              <w:t xml:space="preserve"> </w:t>
            </w:r>
            <w:r>
              <w:rPr>
                <w:spacing w:val="1"/>
              </w:rPr>
              <w:t>程</w:t>
            </w:r>
            <w:r>
              <w:rPr>
                <w:spacing w:val="-45"/>
              </w:rPr>
              <w:t xml:space="preserve"> </w:t>
            </w:r>
            <w:r>
              <w:rPr>
                <w:spacing w:val="1"/>
              </w:rPr>
              <w:t>范</w:t>
            </w:r>
            <w:r>
              <w:rPr>
                <w:spacing w:val="-43"/>
              </w:rPr>
              <w:t xml:space="preserve"> </w:t>
            </w:r>
            <w:r>
              <w:rPr>
                <w:spacing w:val="1"/>
              </w:rPr>
              <w:t>围</w:t>
            </w:r>
          </w:p>
        </w:tc>
        <w:tc>
          <w:tcPr>
            <w:tcW w:w="602" w:type="dxa"/>
            <w:vMerge w:val="restart"/>
            <w:tcBorders>
              <w:bottom w:val="nil"/>
            </w:tcBorders>
            <w:textDirection w:val="tbRlV"/>
            <w:vAlign w:val="top"/>
          </w:tcPr>
          <w:p>
            <w:pPr>
              <w:pStyle w:val="6"/>
              <w:spacing w:before="190" w:line="207" w:lineRule="auto"/>
              <w:ind w:left="709"/>
            </w:pPr>
            <w:r>
              <w:rPr>
                <w:spacing w:val="1"/>
              </w:rPr>
              <w:t>线</w:t>
            </w:r>
            <w:r>
              <w:rPr>
                <w:spacing w:val="-43"/>
              </w:rPr>
              <w:t xml:space="preserve"> </w:t>
            </w:r>
            <w:r>
              <w:rPr>
                <w:spacing w:val="1"/>
              </w:rPr>
              <w:t>路</w:t>
            </w:r>
            <w:r>
              <w:rPr>
                <w:spacing w:val="-45"/>
              </w:rPr>
              <w:t xml:space="preserve"> </w:t>
            </w:r>
            <w:r>
              <w:rPr>
                <w:spacing w:val="1"/>
              </w:rPr>
              <w:t>形</w:t>
            </w:r>
            <w:r>
              <w:rPr>
                <w:spacing w:val="-43"/>
              </w:rPr>
              <w:t xml:space="preserve"> </w:t>
            </w:r>
            <w:r>
              <w:rPr>
                <w:spacing w:val="1"/>
              </w:rPr>
              <w:t>式</w:t>
            </w:r>
          </w:p>
        </w:tc>
        <w:tc>
          <w:tcPr>
            <w:tcW w:w="605" w:type="dxa"/>
            <w:vMerge w:val="restart"/>
            <w:tcBorders>
              <w:bottom w:val="nil"/>
            </w:tcBorders>
            <w:textDirection w:val="tbRlV"/>
            <w:vAlign w:val="top"/>
          </w:tcPr>
          <w:p>
            <w:pPr>
              <w:pStyle w:val="6"/>
              <w:spacing w:before="191" w:line="210" w:lineRule="auto"/>
              <w:ind w:left="982"/>
            </w:pPr>
            <w:r>
              <w:rPr>
                <w:spacing w:val="31"/>
              </w:rPr>
              <w:t>方位</w:t>
            </w:r>
          </w:p>
        </w:tc>
        <w:tc>
          <w:tcPr>
            <w:tcW w:w="648" w:type="dxa"/>
            <w:vMerge w:val="restart"/>
            <w:tcBorders>
              <w:bottom w:val="nil"/>
            </w:tcBorders>
            <w:vAlign w:val="top"/>
          </w:tcPr>
          <w:p>
            <w:pPr>
              <w:spacing w:line="245" w:lineRule="auto"/>
              <w:rPr>
                <w:rFonts w:ascii="Arial"/>
                <w:sz w:val="21"/>
              </w:rPr>
            </w:pPr>
          </w:p>
          <w:p>
            <w:pPr>
              <w:pStyle w:val="6"/>
              <w:spacing w:before="68" w:line="236" w:lineRule="auto"/>
              <w:ind w:left="120" w:right="109" w:firstLine="3"/>
              <w:jc w:val="both"/>
              <w:rPr>
                <w:rFonts w:ascii="Times New Roman" w:hAnsi="Times New Roman" w:eastAsia="Times New Roman" w:cs="Times New Roman"/>
              </w:rPr>
            </w:pPr>
            <w:r>
              <w:rPr>
                <w:spacing w:val="-6"/>
              </w:rPr>
              <w:t>声环</w:t>
            </w:r>
            <w:r>
              <w:t xml:space="preserve"> </w:t>
            </w:r>
            <w:r>
              <w:rPr>
                <w:spacing w:val="-4"/>
              </w:rPr>
              <w:t>境保</w:t>
            </w:r>
            <w:r>
              <w:t xml:space="preserve"> </w:t>
            </w:r>
            <w:r>
              <w:rPr>
                <w:spacing w:val="-4"/>
              </w:rPr>
              <w:t>护目</w:t>
            </w:r>
            <w:r>
              <w:t xml:space="preserve"> </w:t>
            </w:r>
            <w:r>
              <w:rPr>
                <w:spacing w:val="-4"/>
              </w:rPr>
              <w:t>标与</w:t>
            </w:r>
            <w:r>
              <w:t xml:space="preserve"> </w:t>
            </w:r>
            <w:r>
              <w:rPr>
                <w:spacing w:val="-4"/>
              </w:rPr>
              <w:t>路面</w:t>
            </w:r>
            <w:r>
              <w:t xml:space="preserve"> </w:t>
            </w:r>
            <w:r>
              <w:rPr>
                <w:spacing w:val="-4"/>
              </w:rPr>
              <w:t>高差</w:t>
            </w:r>
            <w:r>
              <w:t xml:space="preserve"> </w:t>
            </w:r>
            <w:r>
              <w:rPr>
                <w:rFonts w:ascii="Times New Roman" w:hAnsi="Times New Roman" w:eastAsia="Times New Roman" w:cs="Times New Roman"/>
                <w:spacing w:val="17"/>
              </w:rPr>
              <w:t>(m)</w:t>
            </w:r>
          </w:p>
        </w:tc>
        <w:tc>
          <w:tcPr>
            <w:tcW w:w="812"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41" w:lineRule="auto"/>
              <w:ind w:left="202"/>
            </w:pPr>
            <w:r>
              <w:rPr>
                <w:spacing w:val="-2"/>
              </w:rPr>
              <w:t>距道</w:t>
            </w:r>
          </w:p>
          <w:p>
            <w:pPr>
              <w:pStyle w:val="6"/>
              <w:spacing w:line="220" w:lineRule="auto"/>
              <w:ind w:left="205"/>
            </w:pPr>
            <w:r>
              <w:rPr>
                <w:spacing w:val="-2"/>
              </w:rPr>
              <w:t>路中</w:t>
            </w:r>
          </w:p>
          <w:p>
            <w:pPr>
              <w:pStyle w:val="6"/>
              <w:spacing w:before="19" w:line="221" w:lineRule="auto"/>
              <w:ind w:left="210"/>
            </w:pPr>
            <w:r>
              <w:rPr>
                <w:spacing w:val="-4"/>
              </w:rPr>
              <w:t>心线</w:t>
            </w:r>
          </w:p>
          <w:p>
            <w:pPr>
              <w:pStyle w:val="6"/>
              <w:spacing w:before="20" w:line="221" w:lineRule="auto"/>
              <w:ind w:left="202"/>
            </w:pPr>
            <w:r>
              <w:rPr>
                <w:spacing w:val="-2"/>
              </w:rPr>
              <w:t>距离</w:t>
            </w:r>
          </w:p>
          <w:p>
            <w:pPr>
              <w:spacing w:before="43" w:line="191"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828" w:type="dxa"/>
            <w:vMerge w:val="restart"/>
            <w:tcBorders>
              <w:bottom w:val="nil"/>
            </w:tcBorders>
            <w:vAlign w:val="top"/>
          </w:tcPr>
          <w:p>
            <w:pPr>
              <w:spacing w:line="252" w:lineRule="auto"/>
              <w:rPr>
                <w:rFonts w:ascii="Arial"/>
                <w:sz w:val="21"/>
              </w:rPr>
            </w:pPr>
          </w:p>
          <w:p>
            <w:pPr>
              <w:spacing w:line="253" w:lineRule="auto"/>
              <w:rPr>
                <w:rFonts w:ascii="Arial"/>
                <w:sz w:val="21"/>
              </w:rPr>
            </w:pPr>
          </w:p>
          <w:p>
            <w:pPr>
              <w:pStyle w:val="6"/>
              <w:spacing w:before="68" w:line="234" w:lineRule="auto"/>
              <w:ind w:left="116" w:right="102" w:firstLine="92"/>
              <w:jc w:val="both"/>
              <w:rPr>
                <w:rFonts w:ascii="Times New Roman" w:hAnsi="Times New Roman" w:eastAsia="Times New Roman" w:cs="Times New Roman"/>
              </w:rPr>
            </w:pPr>
            <w:r>
              <w:rPr>
                <w:spacing w:val="-3"/>
              </w:rPr>
              <w:t>距道</w:t>
            </w:r>
            <w:r>
              <w:t xml:space="preserve">  </w:t>
            </w:r>
            <w:r>
              <w:rPr>
                <w:spacing w:val="43"/>
              </w:rPr>
              <w:t>路边</w:t>
            </w:r>
            <w:r>
              <w:t xml:space="preserve">  </w:t>
            </w:r>
            <w:r>
              <w:rPr>
                <w:spacing w:val="-9"/>
              </w:rPr>
              <w:t>界（红</w:t>
            </w:r>
            <w:r>
              <w:t xml:space="preserve"> </w:t>
            </w:r>
            <w:r>
              <w:rPr>
                <w:spacing w:val="-24"/>
              </w:rPr>
              <w:t>线）</w:t>
            </w:r>
            <w:r>
              <w:rPr>
                <w:spacing w:val="-61"/>
              </w:rPr>
              <w:t xml:space="preserve"> </w:t>
            </w:r>
            <w:r>
              <w:rPr>
                <w:spacing w:val="-24"/>
              </w:rPr>
              <w:t>距</w:t>
            </w:r>
            <w:r>
              <w:t xml:space="preserve"> </w:t>
            </w:r>
            <w:r>
              <w:rPr>
                <w:spacing w:val="10"/>
              </w:rPr>
              <w:t>离</w:t>
            </w:r>
            <w:r>
              <w:rPr>
                <w:rFonts w:ascii="Times New Roman" w:hAnsi="Times New Roman" w:eastAsia="Times New Roman" w:cs="Times New Roman"/>
                <w:spacing w:val="10"/>
              </w:rPr>
              <w:t>(m)</w:t>
            </w:r>
          </w:p>
        </w:tc>
        <w:tc>
          <w:tcPr>
            <w:tcW w:w="1123" w:type="dxa"/>
            <w:gridSpan w:val="2"/>
            <w:vAlign w:val="top"/>
          </w:tcPr>
          <w:p>
            <w:pPr>
              <w:pStyle w:val="6"/>
              <w:spacing w:before="29" w:line="222" w:lineRule="auto"/>
              <w:ind w:left="151"/>
            </w:pPr>
            <w:r>
              <w:rPr>
                <w:spacing w:val="-3"/>
              </w:rPr>
              <w:t>不同功能</w:t>
            </w:r>
          </w:p>
          <w:p>
            <w:pPr>
              <w:pStyle w:val="6"/>
              <w:spacing w:before="18" w:line="209" w:lineRule="auto"/>
              <w:ind w:left="269"/>
            </w:pPr>
            <w:r>
              <w:rPr>
                <w:spacing w:val="-7"/>
              </w:rPr>
              <w:t>区户数</w:t>
            </w:r>
          </w:p>
        </w:tc>
        <w:tc>
          <w:tcPr>
            <w:tcW w:w="2222" w:type="dxa"/>
            <w:gridSpan w:val="2"/>
            <w:vAlign w:val="top"/>
          </w:tcPr>
          <w:p>
            <w:pPr>
              <w:pStyle w:val="6"/>
              <w:spacing w:before="29" w:line="224" w:lineRule="auto"/>
              <w:ind w:left="911" w:right="159" w:hanging="735"/>
            </w:pPr>
            <w:r>
              <w:rPr>
                <w:spacing w:val="-1"/>
              </w:rPr>
              <w:t>声环境保护目标情况</w:t>
            </w:r>
            <w:r>
              <w:t xml:space="preserve"> </w:t>
            </w:r>
            <w:r>
              <w:rPr>
                <w:spacing w:val="-3"/>
              </w:rPr>
              <w:t>说明</w:t>
            </w:r>
          </w:p>
        </w:tc>
        <w:tc>
          <w:tcPr>
            <w:tcW w:w="526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2009"/>
            </w:pPr>
            <w:r>
              <w:rPr>
                <w:spacing w:val="-1"/>
              </w:rPr>
              <w:t>保护目标照片</w:t>
            </w:r>
          </w:p>
        </w:tc>
        <w:tc>
          <w:tcPr>
            <w:tcW w:w="4989"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1769"/>
            </w:pPr>
            <w:r>
              <w:rPr>
                <w:spacing w:val="-1"/>
              </w:rPr>
              <w:t>保护目标地形图</w:t>
            </w:r>
          </w:p>
        </w:tc>
        <w:tc>
          <w:tcPr>
            <w:tcW w:w="1154" w:type="dxa"/>
            <w:gridSpan w:val="2"/>
            <w:vAlign w:val="top"/>
          </w:tcPr>
          <w:p>
            <w:pPr>
              <w:pStyle w:val="6"/>
              <w:spacing w:before="163" w:line="221" w:lineRule="auto"/>
              <w:ind w:left="166"/>
            </w:pPr>
            <w:r>
              <w:rPr>
                <w:spacing w:val="-2"/>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9" w:hRule="atLeast"/>
        </w:trPr>
        <w:tc>
          <w:tcPr>
            <w:tcW w:w="391" w:type="dxa"/>
            <w:vMerge w:val="continue"/>
            <w:tcBorders>
              <w:top w:val="nil"/>
            </w:tcBorders>
            <w:textDirection w:val="tbRlV"/>
            <w:vAlign w:val="top"/>
          </w:tcPr>
          <w:p>
            <w:pPr>
              <w:rPr>
                <w:rFonts w:ascii="Arial"/>
                <w:sz w:val="21"/>
              </w:rPr>
            </w:pPr>
          </w:p>
        </w:tc>
        <w:tc>
          <w:tcPr>
            <w:tcW w:w="792" w:type="dxa"/>
            <w:vMerge w:val="continue"/>
            <w:tcBorders>
              <w:top w:val="nil"/>
            </w:tcBorders>
            <w:vAlign w:val="top"/>
          </w:tcPr>
          <w:p>
            <w:pPr>
              <w:rPr>
                <w:rFonts w:ascii="Arial"/>
                <w:sz w:val="21"/>
              </w:rPr>
            </w:pPr>
          </w:p>
        </w:tc>
        <w:tc>
          <w:tcPr>
            <w:tcW w:w="631" w:type="dxa"/>
            <w:vMerge w:val="continue"/>
            <w:tcBorders>
              <w:top w:val="nil"/>
            </w:tcBorders>
            <w:textDirection w:val="tbRlV"/>
            <w:vAlign w:val="top"/>
          </w:tcPr>
          <w:p>
            <w:pPr>
              <w:rPr>
                <w:rFonts w:ascii="Arial"/>
                <w:sz w:val="21"/>
              </w:rPr>
            </w:pPr>
          </w:p>
        </w:tc>
        <w:tc>
          <w:tcPr>
            <w:tcW w:w="744" w:type="dxa"/>
            <w:vMerge w:val="continue"/>
            <w:tcBorders>
              <w:top w:val="nil"/>
            </w:tcBorders>
            <w:vAlign w:val="top"/>
          </w:tcPr>
          <w:p>
            <w:pPr>
              <w:rPr>
                <w:rFonts w:ascii="Arial"/>
                <w:sz w:val="21"/>
              </w:rPr>
            </w:pPr>
          </w:p>
        </w:tc>
        <w:tc>
          <w:tcPr>
            <w:tcW w:w="540" w:type="dxa"/>
            <w:vMerge w:val="continue"/>
            <w:tcBorders>
              <w:top w:val="nil"/>
            </w:tcBorders>
            <w:textDirection w:val="tbRlV"/>
            <w:vAlign w:val="top"/>
          </w:tcPr>
          <w:p>
            <w:pPr>
              <w:rPr>
                <w:rFonts w:ascii="Arial"/>
                <w:sz w:val="21"/>
              </w:rPr>
            </w:pPr>
          </w:p>
        </w:tc>
        <w:tc>
          <w:tcPr>
            <w:tcW w:w="602" w:type="dxa"/>
            <w:vMerge w:val="continue"/>
            <w:tcBorders>
              <w:top w:val="nil"/>
            </w:tcBorders>
            <w:textDirection w:val="tbRlV"/>
            <w:vAlign w:val="top"/>
          </w:tcPr>
          <w:p>
            <w:pPr>
              <w:rPr>
                <w:rFonts w:ascii="Arial"/>
                <w:sz w:val="21"/>
              </w:rPr>
            </w:pPr>
          </w:p>
        </w:tc>
        <w:tc>
          <w:tcPr>
            <w:tcW w:w="605" w:type="dxa"/>
            <w:vMerge w:val="continue"/>
            <w:tcBorders>
              <w:top w:val="nil"/>
            </w:tcBorders>
            <w:textDirection w:val="tbRlV"/>
            <w:vAlign w:val="top"/>
          </w:tcPr>
          <w:p>
            <w:pPr>
              <w:rPr>
                <w:rFonts w:ascii="Arial"/>
                <w:sz w:val="21"/>
              </w:rPr>
            </w:pPr>
          </w:p>
        </w:tc>
        <w:tc>
          <w:tcPr>
            <w:tcW w:w="648"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828" w:type="dxa"/>
            <w:vMerge w:val="continue"/>
            <w:tcBorders>
              <w:top w:val="nil"/>
            </w:tcBorders>
            <w:vAlign w:val="top"/>
          </w:tcPr>
          <w:p>
            <w:pPr>
              <w:rPr>
                <w:rFonts w:ascii="Arial"/>
                <w:sz w:val="21"/>
              </w:rPr>
            </w:pPr>
          </w:p>
        </w:tc>
        <w:tc>
          <w:tcPr>
            <w:tcW w:w="535" w:type="dxa"/>
            <w:vAlign w:val="top"/>
          </w:tcPr>
          <w:p>
            <w:pPr>
              <w:spacing w:line="339" w:lineRule="auto"/>
              <w:rPr>
                <w:rFonts w:ascii="Arial"/>
                <w:sz w:val="21"/>
              </w:rPr>
            </w:pPr>
          </w:p>
          <w:p>
            <w:pPr>
              <w:spacing w:line="339" w:lineRule="auto"/>
              <w:rPr>
                <w:rFonts w:ascii="Arial"/>
                <w:sz w:val="21"/>
              </w:rPr>
            </w:pPr>
          </w:p>
          <w:p>
            <w:pPr>
              <w:spacing w:before="61" w:line="21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p>
            <w:pPr>
              <w:pStyle w:val="6"/>
              <w:spacing w:line="220" w:lineRule="auto"/>
              <w:ind w:left="169"/>
            </w:pPr>
            <w:r>
              <w:t>类</w:t>
            </w:r>
          </w:p>
        </w:tc>
        <w:tc>
          <w:tcPr>
            <w:tcW w:w="588"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11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082" w:type="dxa"/>
            <w:vAlign w:val="top"/>
          </w:tcPr>
          <w:p>
            <w:pPr>
              <w:spacing w:line="363" w:lineRule="auto"/>
              <w:rPr>
                <w:rFonts w:ascii="Arial"/>
                <w:sz w:val="21"/>
              </w:rPr>
            </w:pPr>
          </w:p>
          <w:p>
            <w:pPr>
              <w:pStyle w:val="6"/>
              <w:spacing w:before="68" w:line="221" w:lineRule="auto"/>
              <w:ind w:left="234"/>
            </w:pPr>
            <w:r>
              <w:rPr>
                <w:spacing w:val="-2"/>
              </w:rPr>
              <w:t>建筑结</w:t>
            </w:r>
          </w:p>
          <w:p>
            <w:pPr>
              <w:pStyle w:val="6"/>
              <w:spacing w:before="18" w:line="221" w:lineRule="auto"/>
              <w:jc w:val="right"/>
            </w:pPr>
            <w:r>
              <w:rPr>
                <w:spacing w:val="-24"/>
              </w:rPr>
              <w:t>构、朝向、</w:t>
            </w:r>
          </w:p>
          <w:p>
            <w:pPr>
              <w:pStyle w:val="6"/>
              <w:spacing w:before="22" w:line="218" w:lineRule="auto"/>
              <w:ind w:left="128"/>
            </w:pPr>
            <w:r>
              <w:rPr>
                <w:spacing w:val="-2"/>
              </w:rPr>
              <w:t>楼层、窗</w:t>
            </w:r>
          </w:p>
          <w:p>
            <w:pPr>
              <w:pStyle w:val="6"/>
              <w:spacing w:before="23" w:line="221" w:lineRule="auto"/>
              <w:ind w:left="444"/>
            </w:pPr>
            <w:r>
              <w:t>户</w:t>
            </w:r>
          </w:p>
        </w:tc>
        <w:tc>
          <w:tcPr>
            <w:tcW w:w="1140" w:type="dxa"/>
            <w:vAlign w:val="top"/>
          </w:tcPr>
          <w:p>
            <w:pPr>
              <w:spacing w:line="316" w:lineRule="auto"/>
              <w:rPr>
                <w:rFonts w:ascii="Arial"/>
                <w:sz w:val="21"/>
              </w:rPr>
            </w:pPr>
          </w:p>
          <w:p>
            <w:pPr>
              <w:spacing w:line="316" w:lineRule="auto"/>
              <w:rPr>
                <w:rFonts w:ascii="Arial"/>
                <w:sz w:val="21"/>
              </w:rPr>
            </w:pPr>
          </w:p>
          <w:p>
            <w:pPr>
              <w:pStyle w:val="6"/>
              <w:spacing w:before="68" w:line="231" w:lineRule="auto"/>
              <w:ind w:left="367" w:right="142" w:hanging="208"/>
            </w:pPr>
            <w:r>
              <w:rPr>
                <w:spacing w:val="-2"/>
              </w:rPr>
              <w:t>周边环境</w:t>
            </w:r>
            <w:r>
              <w:t xml:space="preserve"> </w:t>
            </w:r>
            <w:r>
              <w:rPr>
                <w:spacing w:val="-2"/>
              </w:rPr>
              <w:t>情况</w:t>
            </w:r>
          </w:p>
        </w:tc>
        <w:tc>
          <w:tcPr>
            <w:tcW w:w="5262" w:type="dxa"/>
            <w:vMerge w:val="continue"/>
            <w:tcBorders>
              <w:top w:val="nil"/>
            </w:tcBorders>
            <w:vAlign w:val="top"/>
          </w:tcPr>
          <w:p>
            <w:pPr>
              <w:rPr>
                <w:rFonts w:ascii="Arial"/>
                <w:sz w:val="21"/>
              </w:rPr>
            </w:pPr>
          </w:p>
        </w:tc>
        <w:tc>
          <w:tcPr>
            <w:tcW w:w="4989" w:type="dxa"/>
            <w:vMerge w:val="continue"/>
            <w:tcBorders>
              <w:top w:val="nil"/>
            </w:tcBorders>
            <w:vAlign w:val="top"/>
          </w:tcPr>
          <w:p>
            <w:pPr>
              <w:rPr>
                <w:rFonts w:ascii="Arial"/>
                <w:sz w:val="21"/>
              </w:rPr>
            </w:pPr>
          </w:p>
        </w:tc>
        <w:tc>
          <w:tcPr>
            <w:tcW w:w="595" w:type="dxa"/>
            <w:vAlign w:val="top"/>
          </w:tcPr>
          <w:p>
            <w:pPr>
              <w:spacing w:line="316" w:lineRule="auto"/>
              <w:rPr>
                <w:rFonts w:ascii="Arial"/>
                <w:sz w:val="21"/>
              </w:rPr>
            </w:pPr>
          </w:p>
          <w:p>
            <w:pPr>
              <w:spacing w:line="317" w:lineRule="auto"/>
              <w:rPr>
                <w:rFonts w:ascii="Arial"/>
                <w:sz w:val="21"/>
              </w:rPr>
            </w:pPr>
          </w:p>
          <w:p>
            <w:pPr>
              <w:pStyle w:val="6"/>
              <w:spacing w:before="68" w:line="223" w:lineRule="auto"/>
              <w:ind w:left="98"/>
            </w:pPr>
            <w:r>
              <w:rPr>
                <w:spacing w:val="-2"/>
              </w:rPr>
              <w:t>施工</w:t>
            </w:r>
          </w:p>
          <w:p>
            <w:pPr>
              <w:pStyle w:val="6"/>
              <w:spacing w:before="19" w:line="221" w:lineRule="auto"/>
              <w:ind w:left="204"/>
            </w:pPr>
            <w:r>
              <w:t>期</w:t>
            </w:r>
          </w:p>
        </w:tc>
        <w:tc>
          <w:tcPr>
            <w:tcW w:w="559" w:type="dxa"/>
            <w:vAlign w:val="top"/>
          </w:tcPr>
          <w:p>
            <w:pPr>
              <w:spacing w:line="316" w:lineRule="auto"/>
              <w:rPr>
                <w:rFonts w:ascii="Arial"/>
                <w:sz w:val="21"/>
              </w:rPr>
            </w:pPr>
          </w:p>
          <w:p>
            <w:pPr>
              <w:spacing w:line="316" w:lineRule="auto"/>
              <w:rPr>
                <w:rFonts w:ascii="Arial"/>
                <w:sz w:val="21"/>
              </w:rPr>
            </w:pPr>
          </w:p>
          <w:p>
            <w:pPr>
              <w:pStyle w:val="6"/>
              <w:spacing w:before="69" w:line="221" w:lineRule="auto"/>
              <w:ind w:left="77"/>
            </w:pPr>
            <w:r>
              <w:rPr>
                <w:spacing w:val="-2"/>
              </w:rPr>
              <w:t>运营</w:t>
            </w:r>
          </w:p>
          <w:p>
            <w:pPr>
              <w:pStyle w:val="6"/>
              <w:spacing w:before="22" w:line="221" w:lineRule="auto"/>
              <w:ind w:left="185"/>
            </w:pPr>
            <w: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0" w:hRule="atLeast"/>
        </w:trPr>
        <w:tc>
          <w:tcPr>
            <w:tcW w:w="39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187" w:lineRule="auto"/>
              <w:ind w:left="83"/>
              <w:rPr>
                <w:rFonts w:ascii="Times New Roman" w:hAnsi="Times New Roman" w:eastAsia="Times New Roman" w:cs="Times New Roman"/>
                <w:sz w:val="21"/>
                <w:szCs w:val="21"/>
              </w:rPr>
            </w:pPr>
            <w:r>
              <w:rPr>
                <w:rFonts w:ascii="Times New Roman" w:hAnsi="Times New Roman" w:eastAsia="Times New Roman" w:cs="Times New Roman"/>
                <w:b/>
                <w:bCs/>
                <w:spacing w:val="-4"/>
                <w:sz w:val="21"/>
                <w:szCs w:val="21"/>
              </w:rPr>
              <w:t>13</w:t>
            </w:r>
          </w:p>
        </w:tc>
        <w:tc>
          <w:tcPr>
            <w:tcW w:w="79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8" w:line="237" w:lineRule="auto"/>
              <w:ind w:left="132" w:right="102" w:firstLine="61"/>
              <w:jc w:val="both"/>
            </w:pPr>
            <w:r>
              <w:rPr>
                <w:spacing w:val="-4"/>
              </w:rPr>
              <w:t>文成</w:t>
            </w:r>
            <w:r>
              <w:t xml:space="preserve"> </w:t>
            </w:r>
            <w:r>
              <w:rPr>
                <w:spacing w:val="27"/>
              </w:rPr>
              <w:t>县西</w:t>
            </w:r>
            <w:r>
              <w:t xml:space="preserve"> </w:t>
            </w:r>
            <w:r>
              <w:rPr>
                <w:spacing w:val="27"/>
              </w:rPr>
              <w:t>坑畲</w:t>
            </w:r>
            <w:r>
              <w:t xml:space="preserve"> </w:t>
            </w:r>
            <w:r>
              <w:rPr>
                <w:spacing w:val="27"/>
              </w:rPr>
              <w:t>族镇</w:t>
            </w:r>
            <w:r>
              <w:t xml:space="preserve"> </w:t>
            </w:r>
            <w:r>
              <w:rPr>
                <w:spacing w:val="27"/>
              </w:rPr>
              <w:t>凤鸣</w:t>
            </w:r>
            <w:r>
              <w:t xml:space="preserve"> </w:t>
            </w:r>
            <w:r>
              <w:rPr>
                <w:spacing w:val="23"/>
              </w:rPr>
              <w:t>（江</w:t>
            </w:r>
            <w:r>
              <w:t xml:space="preserve">  </w:t>
            </w:r>
            <w:r>
              <w:rPr>
                <w:spacing w:val="-27"/>
              </w:rPr>
              <w:t>山）民</w:t>
            </w:r>
            <w:r>
              <w:rPr>
                <w:spacing w:val="1"/>
              </w:rPr>
              <w:t xml:space="preserve"> </w:t>
            </w:r>
            <w:r>
              <w:rPr>
                <w:spacing w:val="27"/>
              </w:rPr>
              <w:t>族村</w:t>
            </w:r>
          </w:p>
        </w:tc>
        <w:tc>
          <w:tcPr>
            <w:tcW w:w="631" w:type="dxa"/>
            <w:textDirection w:val="tbRlV"/>
            <w:vAlign w:val="top"/>
          </w:tcPr>
          <w:p>
            <w:pPr>
              <w:pStyle w:val="6"/>
              <w:spacing w:before="205" w:line="209" w:lineRule="auto"/>
              <w:ind w:left="1873"/>
            </w:pPr>
            <w:r>
              <w:rPr>
                <w:spacing w:val="1"/>
              </w:rPr>
              <w:t>凤</w:t>
            </w:r>
            <w:r>
              <w:rPr>
                <w:spacing w:val="-43"/>
              </w:rPr>
              <w:t xml:space="preserve"> </w:t>
            </w:r>
            <w:r>
              <w:rPr>
                <w:spacing w:val="1"/>
              </w:rPr>
              <w:t>鸣</w:t>
            </w:r>
          </w:p>
        </w:tc>
        <w:tc>
          <w:tcPr>
            <w:tcW w:w="74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8" w:line="221" w:lineRule="auto"/>
              <w:ind w:left="174"/>
            </w:pPr>
            <w:r>
              <w:rPr>
                <w:spacing w:val="-3"/>
              </w:rPr>
              <w:t>西坑</w:t>
            </w:r>
          </w:p>
          <w:p>
            <w:pPr>
              <w:pStyle w:val="6"/>
              <w:spacing w:before="19" w:line="228" w:lineRule="auto"/>
              <w:ind w:left="173"/>
            </w:pPr>
            <w:r>
              <w:rPr>
                <w:spacing w:val="-3"/>
              </w:rPr>
              <w:t>互通</w:t>
            </w:r>
          </w:p>
          <w:p>
            <w:pPr>
              <w:pStyle w:val="6"/>
              <w:spacing w:before="14" w:line="221" w:lineRule="auto"/>
              <w:ind w:left="170"/>
            </w:pPr>
            <w:r>
              <w:rPr>
                <w:spacing w:val="-2"/>
              </w:rPr>
              <w:t>连接</w:t>
            </w:r>
          </w:p>
          <w:p>
            <w:pPr>
              <w:pStyle w:val="6"/>
              <w:spacing w:before="19" w:line="221" w:lineRule="auto"/>
              <w:ind w:left="172"/>
            </w:pPr>
            <w:r>
              <w:rPr>
                <w:spacing w:val="-3"/>
              </w:rPr>
              <w:t>线主</w:t>
            </w:r>
          </w:p>
          <w:p>
            <w:pPr>
              <w:pStyle w:val="6"/>
              <w:spacing w:before="22" w:line="221" w:lineRule="auto"/>
              <w:ind w:left="277"/>
            </w:pPr>
            <w:r>
              <w:t>线</w:t>
            </w:r>
          </w:p>
          <w:p>
            <w:pPr>
              <w:spacing w:before="41"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tc>
        <w:tc>
          <w:tcPr>
            <w:tcW w:w="540" w:type="dxa"/>
            <w:vAlign w:val="top"/>
          </w:tcPr>
          <w:p>
            <w:pPr>
              <w:pStyle w:val="6"/>
              <w:spacing w:before="216" w:line="237" w:lineRule="auto"/>
              <w:ind w:left="113" w:right="37" w:firstLine="42"/>
              <w:jc w:val="both"/>
              <w:rPr>
                <w:rFonts w:ascii="Times New Roman" w:hAnsi="Times New Roman" w:eastAsia="Times New Roman" w:cs="Times New Roman"/>
              </w:rPr>
            </w:pPr>
            <w:r>
              <w:rPr>
                <w:rFonts w:ascii="Times New Roman" w:hAnsi="Times New Roman" w:eastAsia="Times New Roman" w:cs="Times New Roman"/>
                <w:spacing w:val="-2"/>
              </w:rPr>
              <w:t>L1</w:t>
            </w:r>
            <w:r>
              <w:rPr>
                <w:rFonts w:ascii="Times New Roman" w:hAnsi="Times New Roman" w:eastAsia="Times New Roman" w:cs="Times New Roman"/>
              </w:rPr>
              <w:t xml:space="preserve">   </w:t>
            </w:r>
            <w:r>
              <w:rPr>
                <w:rFonts w:ascii="Times New Roman" w:hAnsi="Times New Roman" w:eastAsia="Times New Roman" w:cs="Times New Roman"/>
                <w:spacing w:val="14"/>
              </w:rPr>
              <w:t>K4</w:t>
            </w:r>
            <w:r>
              <w:rPr>
                <w:rFonts w:ascii="Times New Roman" w:hAnsi="Times New Roman" w:eastAsia="Times New Roman" w:cs="Times New Roman"/>
              </w:rPr>
              <w:t xml:space="preserve">   </w:t>
            </w:r>
            <w:r>
              <w:rPr>
                <w:rFonts w:ascii="Times New Roman" w:hAnsi="Times New Roman" w:eastAsia="Times New Roman" w:cs="Times New Roman"/>
                <w:spacing w:val="22"/>
              </w:rPr>
              <w:t>+4</w:t>
            </w:r>
            <w:r>
              <w:rPr>
                <w:rFonts w:ascii="Times New Roman" w:hAnsi="Times New Roman" w:eastAsia="Times New Roman" w:cs="Times New Roman"/>
              </w:rPr>
              <w:t xml:space="preserve">   </w:t>
            </w:r>
            <w:r>
              <w:rPr>
                <w:rFonts w:ascii="Times New Roman" w:hAnsi="Times New Roman" w:eastAsia="Times New Roman" w:cs="Times New Roman"/>
                <w:spacing w:val="-2"/>
              </w:rPr>
              <w:t>00~</w:t>
            </w:r>
            <w:r>
              <w:rPr>
                <w:rFonts w:ascii="Times New Roman" w:hAnsi="Times New Roman" w:eastAsia="Times New Roman" w:cs="Times New Roman"/>
              </w:rPr>
              <w:t xml:space="preserve">  </w:t>
            </w:r>
            <w:r>
              <w:rPr>
                <w:rFonts w:ascii="Times New Roman" w:hAnsi="Times New Roman" w:eastAsia="Times New Roman" w:cs="Times New Roman"/>
                <w:spacing w:val="19"/>
              </w:rPr>
              <w:t>L1</w:t>
            </w:r>
            <w:r>
              <w:rPr>
                <w:rFonts w:ascii="Times New Roman" w:hAnsi="Times New Roman" w:eastAsia="Times New Roman" w:cs="Times New Roman"/>
              </w:rPr>
              <w:t xml:space="preserve">   </w:t>
            </w:r>
            <w:r>
              <w:rPr>
                <w:rFonts w:ascii="Times New Roman" w:hAnsi="Times New Roman" w:eastAsia="Times New Roman" w:cs="Times New Roman"/>
                <w:spacing w:val="14"/>
              </w:rPr>
              <w:t>K4</w:t>
            </w:r>
            <w:r>
              <w:rPr>
                <w:rFonts w:ascii="Times New Roman" w:hAnsi="Times New Roman" w:eastAsia="Times New Roman" w:cs="Times New Roman"/>
              </w:rPr>
              <w:t xml:space="preserve">   </w:t>
            </w:r>
            <w:r>
              <w:rPr>
                <w:rFonts w:ascii="Times New Roman" w:hAnsi="Times New Roman" w:eastAsia="Times New Roman" w:cs="Times New Roman"/>
                <w:spacing w:val="22"/>
              </w:rPr>
              <w:t>+4</w:t>
            </w:r>
            <w:r>
              <w:rPr>
                <w:rFonts w:ascii="Times New Roman" w:hAnsi="Times New Roman" w:eastAsia="Times New Roman" w:cs="Times New Roman"/>
              </w:rPr>
              <w:t xml:space="preserve">   </w:t>
            </w:r>
            <w:r>
              <w:rPr>
                <w:rFonts w:ascii="Times New Roman" w:hAnsi="Times New Roman" w:eastAsia="Times New Roman" w:cs="Times New Roman"/>
                <w:spacing w:val="-13"/>
              </w:rPr>
              <w:t>50</w:t>
            </w:r>
            <w:r>
              <w:rPr>
                <w:spacing w:val="-13"/>
              </w:rPr>
              <w:t>、</w:t>
            </w:r>
            <w:r>
              <w:rPr>
                <w:spacing w:val="1"/>
              </w:rPr>
              <w:t xml:space="preserve"> </w:t>
            </w:r>
            <w:r>
              <w:rPr>
                <w:rFonts w:ascii="Times New Roman" w:hAnsi="Times New Roman" w:eastAsia="Times New Roman" w:cs="Times New Roman"/>
                <w:spacing w:val="19"/>
              </w:rPr>
              <w:t>L1</w:t>
            </w:r>
            <w:r>
              <w:rPr>
                <w:rFonts w:ascii="Times New Roman" w:hAnsi="Times New Roman" w:eastAsia="Times New Roman" w:cs="Times New Roman"/>
              </w:rPr>
              <w:t xml:space="preserve">   </w:t>
            </w:r>
            <w:r>
              <w:rPr>
                <w:rFonts w:ascii="Times New Roman" w:hAnsi="Times New Roman" w:eastAsia="Times New Roman" w:cs="Times New Roman"/>
                <w:spacing w:val="14"/>
              </w:rPr>
              <w:t>K4</w:t>
            </w:r>
            <w:r>
              <w:rPr>
                <w:rFonts w:ascii="Times New Roman" w:hAnsi="Times New Roman" w:eastAsia="Times New Roman" w:cs="Times New Roman"/>
              </w:rPr>
              <w:t xml:space="preserve">   </w:t>
            </w:r>
            <w:r>
              <w:rPr>
                <w:rFonts w:ascii="Times New Roman" w:hAnsi="Times New Roman" w:eastAsia="Times New Roman" w:cs="Times New Roman"/>
                <w:spacing w:val="22"/>
              </w:rPr>
              <w:t>+6</w:t>
            </w:r>
            <w:r>
              <w:rPr>
                <w:rFonts w:ascii="Times New Roman" w:hAnsi="Times New Roman" w:eastAsia="Times New Roman" w:cs="Times New Roman"/>
              </w:rPr>
              <w:t xml:space="preserve">   </w:t>
            </w:r>
            <w:r>
              <w:rPr>
                <w:rFonts w:ascii="Times New Roman" w:hAnsi="Times New Roman" w:eastAsia="Times New Roman" w:cs="Times New Roman"/>
                <w:spacing w:val="-2"/>
              </w:rPr>
              <w:t>50~</w:t>
            </w:r>
            <w:r>
              <w:rPr>
                <w:rFonts w:ascii="Times New Roman" w:hAnsi="Times New Roman" w:eastAsia="Times New Roman" w:cs="Times New Roman"/>
              </w:rPr>
              <w:t xml:space="preserve">  </w:t>
            </w:r>
            <w:r>
              <w:rPr>
                <w:rFonts w:ascii="Times New Roman" w:hAnsi="Times New Roman" w:eastAsia="Times New Roman" w:cs="Times New Roman"/>
                <w:spacing w:val="19"/>
              </w:rPr>
              <w:t>L1</w:t>
            </w:r>
            <w:r>
              <w:rPr>
                <w:rFonts w:ascii="Times New Roman" w:hAnsi="Times New Roman" w:eastAsia="Times New Roman" w:cs="Times New Roman"/>
              </w:rPr>
              <w:t xml:space="preserve">   </w:t>
            </w:r>
            <w:r>
              <w:rPr>
                <w:rFonts w:ascii="Times New Roman" w:hAnsi="Times New Roman" w:eastAsia="Times New Roman" w:cs="Times New Roman"/>
                <w:spacing w:val="14"/>
              </w:rPr>
              <w:t>K4</w:t>
            </w:r>
            <w:r>
              <w:rPr>
                <w:rFonts w:ascii="Times New Roman" w:hAnsi="Times New Roman" w:eastAsia="Times New Roman" w:cs="Times New Roman"/>
              </w:rPr>
              <w:t xml:space="preserve">   </w:t>
            </w:r>
            <w:r>
              <w:rPr>
                <w:rFonts w:ascii="Times New Roman" w:hAnsi="Times New Roman" w:eastAsia="Times New Roman" w:cs="Times New Roman"/>
                <w:spacing w:val="22"/>
              </w:rPr>
              <w:t>+8</w:t>
            </w:r>
            <w:r>
              <w:rPr>
                <w:rFonts w:ascii="Times New Roman" w:hAnsi="Times New Roman" w:eastAsia="Times New Roman" w:cs="Times New Roman"/>
              </w:rPr>
              <w:t xml:space="preserve">   </w:t>
            </w:r>
            <w:r>
              <w:rPr>
                <w:rFonts w:ascii="Times New Roman" w:hAnsi="Times New Roman" w:eastAsia="Times New Roman" w:cs="Times New Roman"/>
                <w:spacing w:val="25"/>
              </w:rPr>
              <w:t>00</w:t>
            </w:r>
          </w:p>
        </w:tc>
        <w:tc>
          <w:tcPr>
            <w:tcW w:w="602" w:type="dxa"/>
            <w:textDirection w:val="tbRlV"/>
            <w:vAlign w:val="top"/>
          </w:tcPr>
          <w:p>
            <w:pPr>
              <w:pStyle w:val="6"/>
              <w:spacing w:before="190" w:line="210" w:lineRule="auto"/>
              <w:ind w:left="1602"/>
            </w:pPr>
            <w:r>
              <w:rPr>
                <w:spacing w:val="46"/>
              </w:rPr>
              <w:t>地面道路</w:t>
            </w:r>
          </w:p>
        </w:tc>
        <w:tc>
          <w:tcPr>
            <w:tcW w:w="60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0" w:line="184" w:lineRule="auto"/>
              <w:ind w:left="12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NW</w:t>
            </w:r>
          </w:p>
        </w:tc>
        <w:tc>
          <w:tcPr>
            <w:tcW w:w="648"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187" w:lineRule="auto"/>
              <w:ind w:left="1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81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187" w:lineRule="auto"/>
              <w:ind w:left="3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828"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187"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535"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187" w:lineRule="auto"/>
              <w:ind w:left="21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588"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08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9" w:line="236" w:lineRule="auto"/>
              <w:ind w:left="129" w:right="113" w:firstLine="103"/>
            </w:pPr>
            <w:r>
              <w:rPr>
                <w:spacing w:val="-2"/>
              </w:rPr>
              <w:t>砖混结</w:t>
            </w:r>
            <w:r>
              <w:t xml:space="preserve">  </w:t>
            </w:r>
            <w:r>
              <w:rPr>
                <w:spacing w:val="-16"/>
              </w:rPr>
              <w:t>构，</w:t>
            </w:r>
            <w:r>
              <w:rPr>
                <w:spacing w:val="17"/>
              </w:rPr>
              <w:t xml:space="preserve"> </w:t>
            </w:r>
            <w:r>
              <w:rPr>
                <w:rFonts w:ascii="Times New Roman" w:hAnsi="Times New Roman" w:eastAsia="Times New Roman" w:cs="Times New Roman"/>
                <w:spacing w:val="-16"/>
              </w:rPr>
              <w:t>1~4</w:t>
            </w:r>
            <w:r>
              <w:rPr>
                <w:rFonts w:ascii="Times New Roman" w:hAnsi="Times New Roman" w:eastAsia="Times New Roman" w:cs="Times New Roman"/>
              </w:rPr>
              <w:t xml:space="preserve">  </w:t>
            </w:r>
            <w:r>
              <w:rPr>
                <w:spacing w:val="-2"/>
              </w:rPr>
              <w:t>层建筑、</w:t>
            </w:r>
            <w:r>
              <w:rPr>
                <w:spacing w:val="1"/>
              </w:rPr>
              <w:t xml:space="preserve"> </w:t>
            </w:r>
            <w:r>
              <w:rPr>
                <w:spacing w:val="-2"/>
              </w:rPr>
              <w:t>背向、面</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8" w:line="222" w:lineRule="auto"/>
              <w:ind w:left="261"/>
            </w:pPr>
            <w:r>
              <w:rPr>
                <w:spacing w:val="-2"/>
              </w:rPr>
              <w:t>位于老</w:t>
            </w:r>
          </w:p>
          <w:p>
            <w:pPr>
              <w:pStyle w:val="6"/>
              <w:spacing w:before="18" w:line="221" w:lineRule="auto"/>
              <w:ind w:left="185"/>
            </w:pPr>
            <w:r>
              <w:rPr>
                <w:rFonts w:ascii="Times New Roman" w:hAnsi="Times New Roman" w:eastAsia="Times New Roman" w:cs="Times New Roman"/>
                <w:spacing w:val="-3"/>
              </w:rPr>
              <w:t>330</w:t>
            </w:r>
            <w:r>
              <w:rPr>
                <w:rFonts w:ascii="Times New Roman" w:hAnsi="Times New Roman" w:eastAsia="Times New Roman" w:cs="Times New Roman"/>
                <w:spacing w:val="13"/>
              </w:rPr>
              <w:t xml:space="preserve"> </w:t>
            </w:r>
            <w:r>
              <w:rPr>
                <w:spacing w:val="-3"/>
              </w:rPr>
              <w:t>省道</w:t>
            </w:r>
          </w:p>
          <w:p>
            <w:pPr>
              <w:pStyle w:val="6"/>
              <w:spacing w:before="19" w:line="221" w:lineRule="auto"/>
              <w:ind w:left="164"/>
            </w:pPr>
            <w:r>
              <w:rPr>
                <w:spacing w:val="-7"/>
              </w:rPr>
              <w:t>（四级公</w:t>
            </w:r>
          </w:p>
          <w:p>
            <w:pPr>
              <w:pStyle w:val="6"/>
              <w:spacing w:before="22" w:line="221" w:lineRule="auto"/>
              <w:ind w:left="116"/>
            </w:pPr>
            <w:r>
              <w:rPr>
                <w:spacing w:val="-12"/>
              </w:rPr>
              <w:t>路）两侧，</w:t>
            </w:r>
          </w:p>
          <w:p>
            <w:pPr>
              <w:pStyle w:val="6"/>
              <w:spacing w:before="19" w:line="221" w:lineRule="auto"/>
              <w:ind w:left="160"/>
            </w:pPr>
            <w:r>
              <w:rPr>
                <w:spacing w:val="-2"/>
              </w:rPr>
              <w:t>最近距离</w:t>
            </w:r>
          </w:p>
          <w:p>
            <w:pPr>
              <w:pStyle w:val="6"/>
              <w:spacing w:before="22" w:line="226" w:lineRule="auto"/>
              <w:ind w:left="316"/>
              <w:rPr>
                <w:rFonts w:ascii="Times New Roman" w:hAnsi="Times New Roman" w:eastAsia="Times New Roman" w:cs="Times New Roman"/>
              </w:rPr>
            </w:pPr>
            <w:r>
              <w:rPr>
                <w:spacing w:val="-8"/>
              </w:rPr>
              <w:t>约</w:t>
            </w:r>
            <w:r>
              <w:rPr>
                <w:spacing w:val="-26"/>
              </w:rPr>
              <w:t xml:space="preserve"> </w:t>
            </w:r>
            <w:r>
              <w:rPr>
                <w:rFonts w:ascii="Times New Roman" w:hAnsi="Times New Roman" w:eastAsia="Times New Roman" w:cs="Times New Roman"/>
                <w:spacing w:val="-8"/>
              </w:rPr>
              <w:t>1m</w:t>
            </w:r>
          </w:p>
        </w:tc>
        <w:tc>
          <w:tcPr>
            <w:tcW w:w="5262" w:type="dxa"/>
            <w:vAlign w:val="top"/>
          </w:tcPr>
          <w:p>
            <w:pPr>
              <w:spacing w:before="235" w:line="3762" w:lineRule="exact"/>
              <w:ind w:firstLine="122"/>
            </w:pPr>
            <w:r>
              <w:rPr>
                <w:position w:val="-75"/>
              </w:rPr>
              <w:drawing>
                <wp:inline distT="0" distB="0" distL="0" distR="0">
                  <wp:extent cx="3184525" cy="238887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29"/>
                          <a:stretch>
                            <a:fillRect/>
                          </a:stretch>
                        </pic:blipFill>
                        <pic:spPr>
                          <a:xfrm>
                            <a:off x="0" y="0"/>
                            <a:ext cx="3185159" cy="2389504"/>
                          </a:xfrm>
                          <a:prstGeom prst="rect">
                            <a:avLst/>
                          </a:prstGeom>
                        </pic:spPr>
                      </pic:pic>
                    </a:graphicData>
                  </a:graphic>
                </wp:inline>
              </w:drawing>
            </w:r>
          </w:p>
        </w:tc>
        <w:tc>
          <w:tcPr>
            <w:tcW w:w="4989" w:type="dxa"/>
            <w:vAlign w:val="top"/>
          </w:tcPr>
          <w:p>
            <w:pPr>
              <w:spacing w:before="194" w:line="3841" w:lineRule="exact"/>
              <w:ind w:firstLine="119"/>
            </w:pPr>
            <w:r>
              <w:rPr>
                <w:position w:val="-76"/>
              </w:rPr>
              <w:drawing>
                <wp:inline distT="0" distB="0" distL="0" distR="0">
                  <wp:extent cx="3014980" cy="243903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30"/>
                          <a:stretch>
                            <a:fillRect/>
                          </a:stretch>
                        </pic:blipFill>
                        <pic:spPr>
                          <a:xfrm>
                            <a:off x="0" y="0"/>
                            <a:ext cx="3015614" cy="2439669"/>
                          </a:xfrm>
                          <a:prstGeom prst="rect">
                            <a:avLst/>
                          </a:prstGeom>
                        </pic:spPr>
                      </pic:pic>
                    </a:graphicData>
                  </a:graphic>
                </wp:inline>
              </w:drawing>
            </w:r>
          </w:p>
        </w:tc>
        <w:tc>
          <w:tcPr>
            <w:tcW w:w="595"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8" w:line="221" w:lineRule="auto"/>
              <w:ind w:left="12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9"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0"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6" w:hRule="atLeast"/>
        </w:trPr>
        <w:tc>
          <w:tcPr>
            <w:tcW w:w="391"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83"/>
              <w:rPr>
                <w:rFonts w:ascii="Times New Roman" w:hAnsi="Times New Roman" w:eastAsia="Times New Roman" w:cs="Times New Roman"/>
                <w:sz w:val="21"/>
                <w:szCs w:val="21"/>
              </w:rPr>
            </w:pPr>
            <w:r>
              <w:rPr>
                <w:rFonts w:ascii="Times New Roman" w:hAnsi="Times New Roman" w:eastAsia="Times New Roman" w:cs="Times New Roman"/>
                <w:b/>
                <w:bCs/>
                <w:spacing w:val="-4"/>
                <w:sz w:val="21"/>
                <w:szCs w:val="21"/>
              </w:rPr>
              <w:t>14</w:t>
            </w:r>
          </w:p>
        </w:tc>
        <w:tc>
          <w:tcPr>
            <w:tcW w:w="792"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8" w:line="237" w:lineRule="auto"/>
              <w:ind w:left="132" w:right="102" w:firstLine="61"/>
              <w:jc w:val="both"/>
            </w:pPr>
            <w:r>
              <w:rPr>
                <w:spacing w:val="-4"/>
              </w:rPr>
              <w:t>文成</w:t>
            </w:r>
            <w:r>
              <w:t xml:space="preserve"> </w:t>
            </w:r>
            <w:r>
              <w:rPr>
                <w:spacing w:val="27"/>
              </w:rPr>
              <w:t>县西</w:t>
            </w:r>
            <w:r>
              <w:t xml:space="preserve"> </w:t>
            </w:r>
            <w:r>
              <w:rPr>
                <w:spacing w:val="27"/>
              </w:rPr>
              <w:t>坑畲</w:t>
            </w:r>
            <w:r>
              <w:t xml:space="preserve"> </w:t>
            </w:r>
            <w:r>
              <w:rPr>
                <w:spacing w:val="27"/>
              </w:rPr>
              <w:t>族镇</w:t>
            </w:r>
            <w:r>
              <w:t xml:space="preserve"> </w:t>
            </w:r>
            <w:r>
              <w:rPr>
                <w:spacing w:val="27"/>
              </w:rPr>
              <w:t>凤鸣</w:t>
            </w:r>
            <w:r>
              <w:t xml:space="preserve"> </w:t>
            </w:r>
            <w:r>
              <w:rPr>
                <w:spacing w:val="23"/>
              </w:rPr>
              <w:t>（江</w:t>
            </w:r>
            <w:r>
              <w:t xml:space="preserve">  </w:t>
            </w:r>
            <w:r>
              <w:rPr>
                <w:spacing w:val="-27"/>
              </w:rPr>
              <w:t>山）民</w:t>
            </w:r>
            <w:r>
              <w:rPr>
                <w:spacing w:val="1"/>
              </w:rPr>
              <w:t xml:space="preserve"> </w:t>
            </w:r>
            <w:r>
              <w:rPr>
                <w:spacing w:val="27"/>
              </w:rPr>
              <w:t>族村</w:t>
            </w:r>
          </w:p>
        </w:tc>
        <w:tc>
          <w:tcPr>
            <w:tcW w:w="631"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tabs>
                <w:tab w:val="left" w:pos="327"/>
              </w:tabs>
              <w:spacing w:before="69" w:line="237" w:lineRule="auto"/>
              <w:ind w:left="115" w:right="112" w:firstLine="100"/>
              <w:jc w:val="right"/>
            </w:pPr>
            <w:r>
              <w:rPr>
                <w:spacing w:val="-7"/>
              </w:rPr>
              <w:t>横</w:t>
            </w:r>
            <w:r>
              <w:t xml:space="preserve">  </w:t>
            </w:r>
            <w:r>
              <w:rPr>
                <w:spacing w:val="33"/>
                <w:w w:val="129"/>
              </w:rPr>
              <w:t>路</w:t>
            </w:r>
            <w:r>
              <w:t xml:space="preserve">  </w:t>
            </w:r>
            <w:r>
              <w:rPr>
                <w:spacing w:val="37"/>
                <w:w w:val="127"/>
              </w:rPr>
              <w:t>垟</w:t>
            </w:r>
            <w:r>
              <w:t xml:space="preserve">  </w:t>
            </w:r>
            <w:r>
              <w:tab/>
            </w:r>
            <w:r>
              <w:rPr>
                <w:spacing w:val="-13"/>
                <w:w w:val="71"/>
              </w:rPr>
              <w:t>(</w:t>
            </w:r>
            <w:r>
              <w:t xml:space="preserve">  </w:t>
            </w:r>
            <w:r>
              <w:rPr>
                <w:spacing w:val="33"/>
                <w:w w:val="129"/>
              </w:rPr>
              <w:t>江</w:t>
            </w:r>
            <w:r>
              <w:t xml:space="preserve">  </w:t>
            </w:r>
            <w:r>
              <w:rPr>
                <w:spacing w:val="41"/>
                <w:w w:val="125"/>
              </w:rPr>
              <w:t>下</w:t>
            </w:r>
            <w:r>
              <w:t xml:space="preserve">  </w:t>
            </w:r>
            <w:r>
              <w:rPr>
                <w:spacing w:val="-12"/>
              </w:rPr>
              <w:t>寮）</w:t>
            </w:r>
          </w:p>
        </w:tc>
        <w:tc>
          <w:tcPr>
            <w:tcW w:w="744"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8" w:line="221" w:lineRule="auto"/>
              <w:ind w:left="174"/>
            </w:pPr>
            <w:r>
              <w:rPr>
                <w:spacing w:val="-3"/>
              </w:rPr>
              <w:t>西坑</w:t>
            </w:r>
          </w:p>
          <w:p>
            <w:pPr>
              <w:pStyle w:val="6"/>
              <w:spacing w:before="21" w:line="228" w:lineRule="auto"/>
              <w:ind w:left="173"/>
            </w:pPr>
            <w:r>
              <w:rPr>
                <w:spacing w:val="-3"/>
              </w:rPr>
              <w:t>互通</w:t>
            </w:r>
          </w:p>
          <w:p>
            <w:pPr>
              <w:pStyle w:val="6"/>
              <w:spacing w:before="11" w:line="221" w:lineRule="auto"/>
              <w:ind w:left="170"/>
            </w:pPr>
            <w:r>
              <w:rPr>
                <w:spacing w:val="-2"/>
              </w:rPr>
              <w:t>连接</w:t>
            </w:r>
          </w:p>
          <w:p>
            <w:pPr>
              <w:pStyle w:val="6"/>
              <w:spacing w:before="22" w:line="221" w:lineRule="auto"/>
              <w:ind w:left="172"/>
            </w:pPr>
            <w:r>
              <w:rPr>
                <w:spacing w:val="-3"/>
              </w:rPr>
              <w:t>线主</w:t>
            </w:r>
          </w:p>
          <w:p>
            <w:pPr>
              <w:pStyle w:val="6"/>
              <w:spacing w:before="19" w:line="221" w:lineRule="auto"/>
              <w:ind w:left="277"/>
            </w:pPr>
            <w:r>
              <w:t>线</w:t>
            </w:r>
          </w:p>
          <w:p>
            <w:pPr>
              <w:spacing w:before="42"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tc>
        <w:tc>
          <w:tcPr>
            <w:tcW w:w="540"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60" w:line="233" w:lineRule="auto"/>
              <w:ind w:left="113" w:right="103" w:firstLine="42"/>
              <w:jc w:val="both"/>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K4</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+7</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00~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9"/>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K4</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+8</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5"/>
                <w:sz w:val="21"/>
                <w:szCs w:val="21"/>
              </w:rPr>
              <w:t>00</w:t>
            </w:r>
          </w:p>
        </w:tc>
        <w:tc>
          <w:tcPr>
            <w:tcW w:w="602" w:type="dxa"/>
            <w:textDirection w:val="tbRlV"/>
            <w:vAlign w:val="top"/>
          </w:tcPr>
          <w:p>
            <w:pPr>
              <w:pStyle w:val="6"/>
              <w:spacing w:before="190" w:line="210" w:lineRule="auto"/>
              <w:ind w:left="1565"/>
            </w:pPr>
            <w:r>
              <w:rPr>
                <w:spacing w:val="46"/>
              </w:rPr>
              <w:t>地面道路</w:t>
            </w:r>
          </w:p>
        </w:tc>
        <w:tc>
          <w:tcPr>
            <w:tcW w:w="605"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SE</w:t>
            </w:r>
          </w:p>
        </w:tc>
        <w:tc>
          <w:tcPr>
            <w:tcW w:w="648"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27.6</w:t>
            </w:r>
          </w:p>
        </w:tc>
        <w:tc>
          <w:tcPr>
            <w:tcW w:w="81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828"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535"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22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588"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4" w:lineRule="auto"/>
              <w:ind w:left="24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08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8" w:line="236" w:lineRule="auto"/>
              <w:ind w:left="129" w:right="113" w:firstLine="103"/>
            </w:pPr>
            <w:r>
              <w:rPr>
                <w:spacing w:val="-2"/>
              </w:rPr>
              <w:t>砖混结</w:t>
            </w:r>
            <w:r>
              <w:t xml:space="preserve">  </w:t>
            </w:r>
            <w:r>
              <w:rPr>
                <w:spacing w:val="-13"/>
              </w:rPr>
              <w:t>构，</w:t>
            </w:r>
            <w:r>
              <w:rPr>
                <w:spacing w:val="1"/>
              </w:rPr>
              <w:t xml:space="preserve"> </w:t>
            </w:r>
            <w:r>
              <w:rPr>
                <w:rFonts w:ascii="Times New Roman" w:hAnsi="Times New Roman" w:eastAsia="Times New Roman" w:cs="Times New Roman"/>
                <w:spacing w:val="-13"/>
              </w:rPr>
              <w:t>3~4</w:t>
            </w:r>
            <w:r>
              <w:rPr>
                <w:rFonts w:ascii="Times New Roman" w:hAnsi="Times New Roman" w:eastAsia="Times New Roman" w:cs="Times New Roman"/>
              </w:rPr>
              <w:t xml:space="preserve">  </w:t>
            </w:r>
            <w:r>
              <w:rPr>
                <w:spacing w:val="-2"/>
              </w:rPr>
              <w:t>层建筑、</w:t>
            </w:r>
            <w:r>
              <w:rPr>
                <w:spacing w:val="1"/>
              </w:rPr>
              <w:t xml:space="preserve"> </w:t>
            </w:r>
            <w:r>
              <w:rPr>
                <w:spacing w:val="-2"/>
              </w:rPr>
              <w:t>背向、侧</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9" w:line="222" w:lineRule="auto"/>
              <w:ind w:left="261"/>
            </w:pPr>
            <w:r>
              <w:rPr>
                <w:spacing w:val="-2"/>
              </w:rPr>
              <w:t>位于老</w:t>
            </w:r>
          </w:p>
          <w:p>
            <w:pPr>
              <w:pStyle w:val="6"/>
              <w:spacing w:before="20" w:line="221" w:lineRule="auto"/>
              <w:ind w:left="185"/>
            </w:pPr>
            <w:r>
              <w:rPr>
                <w:rFonts w:ascii="Times New Roman" w:hAnsi="Times New Roman" w:eastAsia="Times New Roman" w:cs="Times New Roman"/>
                <w:spacing w:val="-3"/>
              </w:rPr>
              <w:t>330</w:t>
            </w:r>
            <w:r>
              <w:rPr>
                <w:rFonts w:ascii="Times New Roman" w:hAnsi="Times New Roman" w:eastAsia="Times New Roman" w:cs="Times New Roman"/>
                <w:spacing w:val="13"/>
              </w:rPr>
              <w:t xml:space="preserve"> </w:t>
            </w:r>
            <w:r>
              <w:rPr>
                <w:spacing w:val="-3"/>
              </w:rPr>
              <w:t>省道</w:t>
            </w:r>
          </w:p>
          <w:p>
            <w:pPr>
              <w:pStyle w:val="6"/>
              <w:spacing w:before="19" w:line="221" w:lineRule="auto"/>
              <w:ind w:left="164"/>
            </w:pPr>
            <w:r>
              <w:rPr>
                <w:spacing w:val="-7"/>
              </w:rPr>
              <w:t>（四级公</w:t>
            </w:r>
          </w:p>
          <w:p>
            <w:pPr>
              <w:pStyle w:val="6"/>
              <w:spacing w:before="19" w:line="221" w:lineRule="auto"/>
              <w:ind w:left="116"/>
            </w:pPr>
            <w:r>
              <w:rPr>
                <w:spacing w:val="-12"/>
              </w:rPr>
              <w:t>路）两侧，</w:t>
            </w:r>
          </w:p>
          <w:p>
            <w:pPr>
              <w:pStyle w:val="6"/>
              <w:spacing w:before="22" w:line="221" w:lineRule="auto"/>
              <w:ind w:left="160"/>
            </w:pPr>
            <w:r>
              <w:rPr>
                <w:spacing w:val="-2"/>
              </w:rPr>
              <w:t>最近距离</w:t>
            </w:r>
          </w:p>
          <w:p>
            <w:pPr>
              <w:pStyle w:val="6"/>
              <w:spacing w:before="20" w:line="226" w:lineRule="auto"/>
              <w:ind w:left="316"/>
              <w:rPr>
                <w:rFonts w:ascii="Times New Roman" w:hAnsi="Times New Roman" w:eastAsia="Times New Roman" w:cs="Times New Roman"/>
              </w:rPr>
            </w:pPr>
            <w:r>
              <w:rPr>
                <w:spacing w:val="-6"/>
              </w:rPr>
              <w:t>约</w:t>
            </w:r>
            <w:r>
              <w:rPr>
                <w:spacing w:val="-39"/>
              </w:rPr>
              <w:t xml:space="preserve"> </w:t>
            </w:r>
            <w:r>
              <w:rPr>
                <w:rFonts w:ascii="Times New Roman" w:hAnsi="Times New Roman" w:eastAsia="Times New Roman" w:cs="Times New Roman"/>
                <w:spacing w:val="-6"/>
              </w:rPr>
              <w:t>8m</w:t>
            </w:r>
          </w:p>
        </w:tc>
        <w:tc>
          <w:tcPr>
            <w:tcW w:w="5262" w:type="dxa"/>
            <w:vAlign w:val="top"/>
          </w:tcPr>
          <w:p>
            <w:pPr>
              <w:spacing w:before="125" w:line="3905" w:lineRule="exact"/>
            </w:pPr>
            <w:r>
              <w:rPr>
                <w:position w:val="-78"/>
              </w:rPr>
              <w:drawing>
                <wp:inline distT="0" distB="0" distL="0" distR="0">
                  <wp:extent cx="3272155" cy="247967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31"/>
                          <a:stretch>
                            <a:fillRect/>
                          </a:stretch>
                        </pic:blipFill>
                        <pic:spPr>
                          <a:xfrm>
                            <a:off x="0" y="0"/>
                            <a:ext cx="3272409" cy="2479675"/>
                          </a:xfrm>
                          <a:prstGeom prst="rect">
                            <a:avLst/>
                          </a:prstGeom>
                        </pic:spPr>
                      </pic:pic>
                    </a:graphicData>
                  </a:graphic>
                </wp:inline>
              </w:drawing>
            </w:r>
          </w:p>
        </w:tc>
        <w:tc>
          <w:tcPr>
            <w:tcW w:w="4989" w:type="dxa"/>
            <w:vAlign w:val="top"/>
          </w:tcPr>
          <w:p>
            <w:pPr>
              <w:spacing w:line="4146" w:lineRule="exact"/>
              <w:ind w:firstLine="121"/>
            </w:pPr>
            <w:r>
              <w:rPr>
                <w:position w:val="-82"/>
              </w:rPr>
              <w:drawing>
                <wp:inline distT="0" distB="0" distL="0" distR="0">
                  <wp:extent cx="3013710" cy="263271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32"/>
                          <a:stretch>
                            <a:fillRect/>
                          </a:stretch>
                        </pic:blipFill>
                        <pic:spPr>
                          <a:xfrm>
                            <a:off x="0" y="0"/>
                            <a:ext cx="3014344" cy="2632710"/>
                          </a:xfrm>
                          <a:prstGeom prst="rect">
                            <a:avLst/>
                          </a:prstGeom>
                        </pic:spPr>
                      </pic:pic>
                    </a:graphicData>
                  </a:graphic>
                </wp:inline>
              </w:drawing>
            </w:r>
          </w:p>
        </w:tc>
        <w:tc>
          <w:tcPr>
            <w:tcW w:w="595"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9" w:line="221" w:lineRule="auto"/>
              <w:ind w:left="12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9"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1"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bl>
    <w:p>
      <w:pPr>
        <w:pStyle w:val="2"/>
      </w:pPr>
    </w:p>
    <w:p>
      <w:pPr>
        <w:sectPr>
          <w:pgSz w:w="23813" w:h="16839"/>
          <w:pgMar w:top="1118" w:right="1231" w:bottom="1182" w:left="1233" w:header="879" w:footer="1024" w:gutter="0"/>
          <w:cols w:space="720" w:num="1"/>
        </w:sectPr>
      </w:pPr>
    </w:p>
    <w:p>
      <w:pPr>
        <w:spacing w:before="104"/>
      </w:pPr>
    </w:p>
    <w:tbl>
      <w:tblPr>
        <w:tblStyle w:val="5"/>
        <w:tblW w:w="213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1"/>
        <w:gridCol w:w="792"/>
        <w:gridCol w:w="631"/>
        <w:gridCol w:w="744"/>
        <w:gridCol w:w="540"/>
        <w:gridCol w:w="602"/>
        <w:gridCol w:w="605"/>
        <w:gridCol w:w="648"/>
        <w:gridCol w:w="812"/>
        <w:gridCol w:w="828"/>
        <w:gridCol w:w="535"/>
        <w:gridCol w:w="588"/>
        <w:gridCol w:w="1082"/>
        <w:gridCol w:w="1140"/>
        <w:gridCol w:w="5262"/>
        <w:gridCol w:w="4989"/>
        <w:gridCol w:w="595"/>
        <w:gridCol w:w="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91" w:type="dxa"/>
            <w:vMerge w:val="restart"/>
            <w:tcBorders>
              <w:bottom w:val="nil"/>
            </w:tcBorders>
            <w:textDirection w:val="tbRlV"/>
            <w:vAlign w:val="top"/>
          </w:tcPr>
          <w:p>
            <w:pPr>
              <w:pStyle w:val="6"/>
              <w:spacing w:before="105" w:line="211" w:lineRule="auto"/>
              <w:ind w:left="982"/>
            </w:pPr>
            <w:r>
              <w:rPr>
                <w:spacing w:val="31"/>
              </w:rPr>
              <w:t>序号</w:t>
            </w:r>
          </w:p>
        </w:tc>
        <w:tc>
          <w:tcPr>
            <w:tcW w:w="792"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96"/>
            </w:pPr>
            <w:r>
              <w:rPr>
                <w:spacing w:val="-3"/>
              </w:rPr>
              <w:t>行政</w:t>
            </w:r>
          </w:p>
          <w:p>
            <w:pPr>
              <w:pStyle w:val="6"/>
              <w:spacing w:line="220" w:lineRule="auto"/>
              <w:ind w:left="208"/>
            </w:pPr>
            <w:r>
              <w:rPr>
                <w:spacing w:val="-6"/>
              </w:rPr>
              <w:t>区域</w:t>
            </w:r>
          </w:p>
        </w:tc>
        <w:tc>
          <w:tcPr>
            <w:tcW w:w="631" w:type="dxa"/>
            <w:vMerge w:val="restart"/>
            <w:tcBorders>
              <w:bottom w:val="nil"/>
            </w:tcBorders>
            <w:textDirection w:val="tbRlV"/>
            <w:vAlign w:val="top"/>
          </w:tcPr>
          <w:p>
            <w:pPr>
              <w:pStyle w:val="6"/>
              <w:spacing w:before="205" w:line="210" w:lineRule="auto"/>
              <w:ind w:left="29"/>
            </w:pPr>
            <w:r>
              <w:rPr>
                <w:spacing w:val="19"/>
                <w:w w:val="117"/>
              </w:rPr>
              <w:t>声环境保护目标名称</w:t>
            </w:r>
          </w:p>
        </w:tc>
        <w:tc>
          <w:tcPr>
            <w:tcW w:w="744"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69"/>
            </w:pPr>
            <w:r>
              <w:rPr>
                <w:spacing w:val="-2"/>
              </w:rPr>
              <w:t>所在</w:t>
            </w:r>
          </w:p>
          <w:p>
            <w:pPr>
              <w:pStyle w:val="6"/>
              <w:spacing w:line="220" w:lineRule="auto"/>
              <w:ind w:left="171"/>
            </w:pPr>
            <w:r>
              <w:rPr>
                <w:spacing w:val="-2"/>
              </w:rPr>
              <w:t>路段</w:t>
            </w:r>
          </w:p>
        </w:tc>
        <w:tc>
          <w:tcPr>
            <w:tcW w:w="540" w:type="dxa"/>
            <w:vMerge w:val="restart"/>
            <w:tcBorders>
              <w:bottom w:val="nil"/>
            </w:tcBorders>
            <w:textDirection w:val="tbRlV"/>
            <w:vAlign w:val="top"/>
          </w:tcPr>
          <w:p>
            <w:pPr>
              <w:pStyle w:val="6"/>
              <w:spacing w:before="160" w:line="210" w:lineRule="auto"/>
              <w:ind w:left="709"/>
            </w:pPr>
            <w:r>
              <w:rPr>
                <w:spacing w:val="1"/>
              </w:rPr>
              <w:t>里</w:t>
            </w:r>
            <w:r>
              <w:rPr>
                <w:spacing w:val="-43"/>
              </w:rPr>
              <w:t xml:space="preserve"> </w:t>
            </w:r>
            <w:r>
              <w:rPr>
                <w:spacing w:val="1"/>
              </w:rPr>
              <w:t>程</w:t>
            </w:r>
            <w:r>
              <w:rPr>
                <w:spacing w:val="-45"/>
              </w:rPr>
              <w:t xml:space="preserve"> </w:t>
            </w:r>
            <w:r>
              <w:rPr>
                <w:spacing w:val="1"/>
              </w:rPr>
              <w:t>范</w:t>
            </w:r>
            <w:r>
              <w:rPr>
                <w:spacing w:val="-43"/>
              </w:rPr>
              <w:t xml:space="preserve"> </w:t>
            </w:r>
            <w:r>
              <w:rPr>
                <w:spacing w:val="1"/>
              </w:rPr>
              <w:t>围</w:t>
            </w:r>
          </w:p>
        </w:tc>
        <w:tc>
          <w:tcPr>
            <w:tcW w:w="602" w:type="dxa"/>
            <w:vMerge w:val="restart"/>
            <w:tcBorders>
              <w:bottom w:val="nil"/>
            </w:tcBorders>
            <w:textDirection w:val="tbRlV"/>
            <w:vAlign w:val="top"/>
          </w:tcPr>
          <w:p>
            <w:pPr>
              <w:pStyle w:val="6"/>
              <w:spacing w:before="190" w:line="207" w:lineRule="auto"/>
              <w:ind w:left="709"/>
            </w:pPr>
            <w:r>
              <w:rPr>
                <w:spacing w:val="1"/>
              </w:rPr>
              <w:t>线</w:t>
            </w:r>
            <w:r>
              <w:rPr>
                <w:spacing w:val="-43"/>
              </w:rPr>
              <w:t xml:space="preserve"> </w:t>
            </w:r>
            <w:r>
              <w:rPr>
                <w:spacing w:val="1"/>
              </w:rPr>
              <w:t>路</w:t>
            </w:r>
            <w:r>
              <w:rPr>
                <w:spacing w:val="-45"/>
              </w:rPr>
              <w:t xml:space="preserve"> </w:t>
            </w:r>
            <w:r>
              <w:rPr>
                <w:spacing w:val="1"/>
              </w:rPr>
              <w:t>形</w:t>
            </w:r>
            <w:r>
              <w:rPr>
                <w:spacing w:val="-43"/>
              </w:rPr>
              <w:t xml:space="preserve"> </w:t>
            </w:r>
            <w:r>
              <w:rPr>
                <w:spacing w:val="1"/>
              </w:rPr>
              <w:t>式</w:t>
            </w:r>
          </w:p>
        </w:tc>
        <w:tc>
          <w:tcPr>
            <w:tcW w:w="605" w:type="dxa"/>
            <w:vMerge w:val="restart"/>
            <w:tcBorders>
              <w:bottom w:val="nil"/>
            </w:tcBorders>
            <w:textDirection w:val="tbRlV"/>
            <w:vAlign w:val="top"/>
          </w:tcPr>
          <w:p>
            <w:pPr>
              <w:pStyle w:val="6"/>
              <w:spacing w:before="191" w:line="210" w:lineRule="auto"/>
              <w:ind w:left="982"/>
            </w:pPr>
            <w:r>
              <w:rPr>
                <w:spacing w:val="31"/>
              </w:rPr>
              <w:t>方位</w:t>
            </w:r>
          </w:p>
        </w:tc>
        <w:tc>
          <w:tcPr>
            <w:tcW w:w="648" w:type="dxa"/>
            <w:vMerge w:val="restart"/>
            <w:tcBorders>
              <w:bottom w:val="nil"/>
            </w:tcBorders>
            <w:vAlign w:val="top"/>
          </w:tcPr>
          <w:p>
            <w:pPr>
              <w:spacing w:line="245" w:lineRule="auto"/>
              <w:rPr>
                <w:rFonts w:ascii="Arial"/>
                <w:sz w:val="21"/>
              </w:rPr>
            </w:pPr>
          </w:p>
          <w:p>
            <w:pPr>
              <w:pStyle w:val="6"/>
              <w:spacing w:before="68" w:line="236" w:lineRule="auto"/>
              <w:ind w:left="120" w:right="109" w:firstLine="3"/>
              <w:jc w:val="both"/>
              <w:rPr>
                <w:rFonts w:ascii="Times New Roman" w:hAnsi="Times New Roman" w:eastAsia="Times New Roman" w:cs="Times New Roman"/>
              </w:rPr>
            </w:pPr>
            <w:r>
              <w:rPr>
                <w:spacing w:val="-6"/>
              </w:rPr>
              <w:t>声环</w:t>
            </w:r>
            <w:r>
              <w:t xml:space="preserve"> </w:t>
            </w:r>
            <w:r>
              <w:rPr>
                <w:spacing w:val="-4"/>
              </w:rPr>
              <w:t>境保</w:t>
            </w:r>
            <w:r>
              <w:t xml:space="preserve"> </w:t>
            </w:r>
            <w:r>
              <w:rPr>
                <w:spacing w:val="-4"/>
              </w:rPr>
              <w:t>护目</w:t>
            </w:r>
            <w:r>
              <w:t xml:space="preserve"> </w:t>
            </w:r>
            <w:r>
              <w:rPr>
                <w:spacing w:val="-4"/>
              </w:rPr>
              <w:t>标与</w:t>
            </w:r>
            <w:r>
              <w:t xml:space="preserve"> </w:t>
            </w:r>
            <w:r>
              <w:rPr>
                <w:spacing w:val="-4"/>
              </w:rPr>
              <w:t>路面</w:t>
            </w:r>
            <w:r>
              <w:t xml:space="preserve"> </w:t>
            </w:r>
            <w:r>
              <w:rPr>
                <w:spacing w:val="-4"/>
              </w:rPr>
              <w:t>高差</w:t>
            </w:r>
            <w:r>
              <w:t xml:space="preserve"> </w:t>
            </w:r>
            <w:r>
              <w:rPr>
                <w:rFonts w:ascii="Times New Roman" w:hAnsi="Times New Roman" w:eastAsia="Times New Roman" w:cs="Times New Roman"/>
                <w:spacing w:val="17"/>
              </w:rPr>
              <w:t>(m)</w:t>
            </w:r>
          </w:p>
        </w:tc>
        <w:tc>
          <w:tcPr>
            <w:tcW w:w="812"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41" w:lineRule="auto"/>
              <w:ind w:left="202"/>
            </w:pPr>
            <w:r>
              <w:rPr>
                <w:spacing w:val="-2"/>
              </w:rPr>
              <w:t>距道</w:t>
            </w:r>
          </w:p>
          <w:p>
            <w:pPr>
              <w:pStyle w:val="6"/>
              <w:spacing w:line="220" w:lineRule="auto"/>
              <w:ind w:left="205"/>
            </w:pPr>
            <w:r>
              <w:rPr>
                <w:spacing w:val="-2"/>
              </w:rPr>
              <w:t>路中</w:t>
            </w:r>
          </w:p>
          <w:p>
            <w:pPr>
              <w:pStyle w:val="6"/>
              <w:spacing w:before="19" w:line="221" w:lineRule="auto"/>
              <w:ind w:left="210"/>
            </w:pPr>
            <w:r>
              <w:rPr>
                <w:spacing w:val="-4"/>
              </w:rPr>
              <w:t>心线</w:t>
            </w:r>
          </w:p>
          <w:p>
            <w:pPr>
              <w:pStyle w:val="6"/>
              <w:spacing w:before="20" w:line="221" w:lineRule="auto"/>
              <w:ind w:left="202"/>
            </w:pPr>
            <w:r>
              <w:rPr>
                <w:spacing w:val="-2"/>
              </w:rPr>
              <w:t>距离</w:t>
            </w:r>
          </w:p>
          <w:p>
            <w:pPr>
              <w:spacing w:before="43" w:line="191"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828" w:type="dxa"/>
            <w:vMerge w:val="restart"/>
            <w:tcBorders>
              <w:bottom w:val="nil"/>
            </w:tcBorders>
            <w:vAlign w:val="top"/>
          </w:tcPr>
          <w:p>
            <w:pPr>
              <w:spacing w:line="252" w:lineRule="auto"/>
              <w:rPr>
                <w:rFonts w:ascii="Arial"/>
                <w:sz w:val="21"/>
              </w:rPr>
            </w:pPr>
          </w:p>
          <w:p>
            <w:pPr>
              <w:spacing w:line="253" w:lineRule="auto"/>
              <w:rPr>
                <w:rFonts w:ascii="Arial"/>
                <w:sz w:val="21"/>
              </w:rPr>
            </w:pPr>
          </w:p>
          <w:p>
            <w:pPr>
              <w:pStyle w:val="6"/>
              <w:spacing w:before="68" w:line="234" w:lineRule="auto"/>
              <w:ind w:left="116" w:right="102" w:firstLine="92"/>
              <w:jc w:val="both"/>
              <w:rPr>
                <w:rFonts w:ascii="Times New Roman" w:hAnsi="Times New Roman" w:eastAsia="Times New Roman" w:cs="Times New Roman"/>
              </w:rPr>
            </w:pPr>
            <w:r>
              <w:rPr>
                <w:spacing w:val="-3"/>
              </w:rPr>
              <w:t>距道</w:t>
            </w:r>
            <w:r>
              <w:t xml:space="preserve">  </w:t>
            </w:r>
            <w:r>
              <w:rPr>
                <w:spacing w:val="43"/>
              </w:rPr>
              <w:t>路边</w:t>
            </w:r>
            <w:r>
              <w:t xml:space="preserve">  </w:t>
            </w:r>
            <w:r>
              <w:rPr>
                <w:spacing w:val="-9"/>
              </w:rPr>
              <w:t>界（红</w:t>
            </w:r>
            <w:r>
              <w:t xml:space="preserve"> </w:t>
            </w:r>
            <w:r>
              <w:rPr>
                <w:spacing w:val="-24"/>
              </w:rPr>
              <w:t>线）</w:t>
            </w:r>
            <w:r>
              <w:rPr>
                <w:spacing w:val="-61"/>
              </w:rPr>
              <w:t xml:space="preserve"> </w:t>
            </w:r>
            <w:r>
              <w:rPr>
                <w:spacing w:val="-24"/>
              </w:rPr>
              <w:t>距</w:t>
            </w:r>
            <w:r>
              <w:t xml:space="preserve"> </w:t>
            </w:r>
            <w:r>
              <w:rPr>
                <w:spacing w:val="10"/>
              </w:rPr>
              <w:t>离</w:t>
            </w:r>
            <w:r>
              <w:rPr>
                <w:rFonts w:ascii="Times New Roman" w:hAnsi="Times New Roman" w:eastAsia="Times New Roman" w:cs="Times New Roman"/>
                <w:spacing w:val="10"/>
              </w:rPr>
              <w:t>(m)</w:t>
            </w:r>
          </w:p>
        </w:tc>
        <w:tc>
          <w:tcPr>
            <w:tcW w:w="1123" w:type="dxa"/>
            <w:gridSpan w:val="2"/>
            <w:vAlign w:val="top"/>
          </w:tcPr>
          <w:p>
            <w:pPr>
              <w:pStyle w:val="6"/>
              <w:spacing w:before="29" w:line="222" w:lineRule="auto"/>
              <w:ind w:left="151"/>
            </w:pPr>
            <w:r>
              <w:rPr>
                <w:spacing w:val="-3"/>
              </w:rPr>
              <w:t>不同功能</w:t>
            </w:r>
          </w:p>
          <w:p>
            <w:pPr>
              <w:pStyle w:val="6"/>
              <w:spacing w:before="18" w:line="209" w:lineRule="auto"/>
              <w:ind w:left="269"/>
            </w:pPr>
            <w:r>
              <w:rPr>
                <w:spacing w:val="-7"/>
              </w:rPr>
              <w:t>区户数</w:t>
            </w:r>
          </w:p>
        </w:tc>
        <w:tc>
          <w:tcPr>
            <w:tcW w:w="2222" w:type="dxa"/>
            <w:gridSpan w:val="2"/>
            <w:vAlign w:val="top"/>
          </w:tcPr>
          <w:p>
            <w:pPr>
              <w:pStyle w:val="6"/>
              <w:spacing w:before="29" w:line="224" w:lineRule="auto"/>
              <w:ind w:left="911" w:right="159" w:hanging="735"/>
            </w:pPr>
            <w:r>
              <w:rPr>
                <w:spacing w:val="-1"/>
              </w:rPr>
              <w:t>声环境保护目标情况</w:t>
            </w:r>
            <w:r>
              <w:t xml:space="preserve"> </w:t>
            </w:r>
            <w:r>
              <w:rPr>
                <w:spacing w:val="-3"/>
              </w:rPr>
              <w:t>说明</w:t>
            </w:r>
          </w:p>
        </w:tc>
        <w:tc>
          <w:tcPr>
            <w:tcW w:w="526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2009"/>
            </w:pPr>
            <w:r>
              <w:rPr>
                <w:spacing w:val="-1"/>
              </w:rPr>
              <w:t>保护目标照片</w:t>
            </w:r>
          </w:p>
        </w:tc>
        <w:tc>
          <w:tcPr>
            <w:tcW w:w="4989"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1769"/>
            </w:pPr>
            <w:r>
              <w:rPr>
                <w:spacing w:val="-1"/>
              </w:rPr>
              <w:t>保护目标地形图</w:t>
            </w:r>
          </w:p>
        </w:tc>
        <w:tc>
          <w:tcPr>
            <w:tcW w:w="1154" w:type="dxa"/>
            <w:gridSpan w:val="2"/>
            <w:vAlign w:val="top"/>
          </w:tcPr>
          <w:p>
            <w:pPr>
              <w:pStyle w:val="6"/>
              <w:spacing w:before="163" w:line="221" w:lineRule="auto"/>
              <w:ind w:left="166"/>
            </w:pPr>
            <w:r>
              <w:rPr>
                <w:spacing w:val="-2"/>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9" w:hRule="atLeast"/>
        </w:trPr>
        <w:tc>
          <w:tcPr>
            <w:tcW w:w="391" w:type="dxa"/>
            <w:vMerge w:val="continue"/>
            <w:tcBorders>
              <w:top w:val="nil"/>
            </w:tcBorders>
            <w:textDirection w:val="tbRlV"/>
            <w:vAlign w:val="top"/>
          </w:tcPr>
          <w:p>
            <w:pPr>
              <w:rPr>
                <w:rFonts w:ascii="Arial"/>
                <w:sz w:val="21"/>
              </w:rPr>
            </w:pPr>
          </w:p>
        </w:tc>
        <w:tc>
          <w:tcPr>
            <w:tcW w:w="792" w:type="dxa"/>
            <w:vMerge w:val="continue"/>
            <w:tcBorders>
              <w:top w:val="nil"/>
            </w:tcBorders>
            <w:vAlign w:val="top"/>
          </w:tcPr>
          <w:p>
            <w:pPr>
              <w:rPr>
                <w:rFonts w:ascii="Arial"/>
                <w:sz w:val="21"/>
              </w:rPr>
            </w:pPr>
          </w:p>
        </w:tc>
        <w:tc>
          <w:tcPr>
            <w:tcW w:w="631" w:type="dxa"/>
            <w:vMerge w:val="continue"/>
            <w:tcBorders>
              <w:top w:val="nil"/>
            </w:tcBorders>
            <w:textDirection w:val="tbRlV"/>
            <w:vAlign w:val="top"/>
          </w:tcPr>
          <w:p>
            <w:pPr>
              <w:rPr>
                <w:rFonts w:ascii="Arial"/>
                <w:sz w:val="21"/>
              </w:rPr>
            </w:pPr>
          </w:p>
        </w:tc>
        <w:tc>
          <w:tcPr>
            <w:tcW w:w="744" w:type="dxa"/>
            <w:vMerge w:val="continue"/>
            <w:tcBorders>
              <w:top w:val="nil"/>
            </w:tcBorders>
            <w:vAlign w:val="top"/>
          </w:tcPr>
          <w:p>
            <w:pPr>
              <w:rPr>
                <w:rFonts w:ascii="Arial"/>
                <w:sz w:val="21"/>
              </w:rPr>
            </w:pPr>
          </w:p>
        </w:tc>
        <w:tc>
          <w:tcPr>
            <w:tcW w:w="540" w:type="dxa"/>
            <w:vMerge w:val="continue"/>
            <w:tcBorders>
              <w:top w:val="nil"/>
            </w:tcBorders>
            <w:textDirection w:val="tbRlV"/>
            <w:vAlign w:val="top"/>
          </w:tcPr>
          <w:p>
            <w:pPr>
              <w:rPr>
                <w:rFonts w:ascii="Arial"/>
                <w:sz w:val="21"/>
              </w:rPr>
            </w:pPr>
          </w:p>
        </w:tc>
        <w:tc>
          <w:tcPr>
            <w:tcW w:w="602" w:type="dxa"/>
            <w:vMerge w:val="continue"/>
            <w:tcBorders>
              <w:top w:val="nil"/>
            </w:tcBorders>
            <w:textDirection w:val="tbRlV"/>
            <w:vAlign w:val="top"/>
          </w:tcPr>
          <w:p>
            <w:pPr>
              <w:rPr>
                <w:rFonts w:ascii="Arial"/>
                <w:sz w:val="21"/>
              </w:rPr>
            </w:pPr>
          </w:p>
        </w:tc>
        <w:tc>
          <w:tcPr>
            <w:tcW w:w="605" w:type="dxa"/>
            <w:vMerge w:val="continue"/>
            <w:tcBorders>
              <w:top w:val="nil"/>
            </w:tcBorders>
            <w:textDirection w:val="tbRlV"/>
            <w:vAlign w:val="top"/>
          </w:tcPr>
          <w:p>
            <w:pPr>
              <w:rPr>
                <w:rFonts w:ascii="Arial"/>
                <w:sz w:val="21"/>
              </w:rPr>
            </w:pPr>
          </w:p>
        </w:tc>
        <w:tc>
          <w:tcPr>
            <w:tcW w:w="648"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828" w:type="dxa"/>
            <w:vMerge w:val="continue"/>
            <w:tcBorders>
              <w:top w:val="nil"/>
            </w:tcBorders>
            <w:vAlign w:val="top"/>
          </w:tcPr>
          <w:p>
            <w:pPr>
              <w:rPr>
                <w:rFonts w:ascii="Arial"/>
                <w:sz w:val="21"/>
              </w:rPr>
            </w:pPr>
          </w:p>
        </w:tc>
        <w:tc>
          <w:tcPr>
            <w:tcW w:w="535" w:type="dxa"/>
            <w:vAlign w:val="top"/>
          </w:tcPr>
          <w:p>
            <w:pPr>
              <w:spacing w:line="339" w:lineRule="auto"/>
              <w:rPr>
                <w:rFonts w:ascii="Arial"/>
                <w:sz w:val="21"/>
              </w:rPr>
            </w:pPr>
          </w:p>
          <w:p>
            <w:pPr>
              <w:spacing w:line="339" w:lineRule="auto"/>
              <w:rPr>
                <w:rFonts w:ascii="Arial"/>
                <w:sz w:val="21"/>
              </w:rPr>
            </w:pPr>
          </w:p>
          <w:p>
            <w:pPr>
              <w:spacing w:before="61" w:line="21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p>
            <w:pPr>
              <w:pStyle w:val="6"/>
              <w:spacing w:line="220" w:lineRule="auto"/>
              <w:ind w:left="169"/>
            </w:pPr>
            <w:r>
              <w:t>类</w:t>
            </w:r>
          </w:p>
        </w:tc>
        <w:tc>
          <w:tcPr>
            <w:tcW w:w="588"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11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082" w:type="dxa"/>
            <w:vAlign w:val="top"/>
          </w:tcPr>
          <w:p>
            <w:pPr>
              <w:spacing w:line="363" w:lineRule="auto"/>
              <w:rPr>
                <w:rFonts w:ascii="Arial"/>
                <w:sz w:val="21"/>
              </w:rPr>
            </w:pPr>
          </w:p>
          <w:p>
            <w:pPr>
              <w:pStyle w:val="6"/>
              <w:spacing w:before="68" w:line="221" w:lineRule="auto"/>
              <w:ind w:left="234"/>
            </w:pPr>
            <w:r>
              <w:rPr>
                <w:spacing w:val="-2"/>
              </w:rPr>
              <w:t>建筑结</w:t>
            </w:r>
          </w:p>
          <w:p>
            <w:pPr>
              <w:pStyle w:val="6"/>
              <w:spacing w:before="18" w:line="221" w:lineRule="auto"/>
              <w:jc w:val="right"/>
            </w:pPr>
            <w:r>
              <w:rPr>
                <w:spacing w:val="-24"/>
              </w:rPr>
              <w:t>构、朝向、</w:t>
            </w:r>
          </w:p>
          <w:p>
            <w:pPr>
              <w:pStyle w:val="6"/>
              <w:spacing w:before="22" w:line="218" w:lineRule="auto"/>
              <w:ind w:left="128"/>
            </w:pPr>
            <w:r>
              <w:rPr>
                <w:spacing w:val="-2"/>
              </w:rPr>
              <w:t>楼层、窗</w:t>
            </w:r>
          </w:p>
          <w:p>
            <w:pPr>
              <w:pStyle w:val="6"/>
              <w:spacing w:before="23" w:line="221" w:lineRule="auto"/>
              <w:ind w:left="444"/>
            </w:pPr>
            <w:r>
              <w:t>户</w:t>
            </w:r>
          </w:p>
        </w:tc>
        <w:tc>
          <w:tcPr>
            <w:tcW w:w="1140" w:type="dxa"/>
            <w:vAlign w:val="top"/>
          </w:tcPr>
          <w:p>
            <w:pPr>
              <w:spacing w:line="316" w:lineRule="auto"/>
              <w:rPr>
                <w:rFonts w:ascii="Arial"/>
                <w:sz w:val="21"/>
              </w:rPr>
            </w:pPr>
          </w:p>
          <w:p>
            <w:pPr>
              <w:spacing w:line="316" w:lineRule="auto"/>
              <w:rPr>
                <w:rFonts w:ascii="Arial"/>
                <w:sz w:val="21"/>
              </w:rPr>
            </w:pPr>
          </w:p>
          <w:p>
            <w:pPr>
              <w:pStyle w:val="6"/>
              <w:spacing w:before="68" w:line="231" w:lineRule="auto"/>
              <w:ind w:left="367" w:right="142" w:hanging="208"/>
            </w:pPr>
            <w:r>
              <w:rPr>
                <w:spacing w:val="-2"/>
              </w:rPr>
              <w:t>周边环境</w:t>
            </w:r>
            <w:r>
              <w:t xml:space="preserve"> </w:t>
            </w:r>
            <w:r>
              <w:rPr>
                <w:spacing w:val="-2"/>
              </w:rPr>
              <w:t>情况</w:t>
            </w:r>
          </w:p>
        </w:tc>
        <w:tc>
          <w:tcPr>
            <w:tcW w:w="5262" w:type="dxa"/>
            <w:vMerge w:val="continue"/>
            <w:tcBorders>
              <w:top w:val="nil"/>
            </w:tcBorders>
            <w:vAlign w:val="top"/>
          </w:tcPr>
          <w:p>
            <w:pPr>
              <w:rPr>
                <w:rFonts w:ascii="Arial"/>
                <w:sz w:val="21"/>
              </w:rPr>
            </w:pPr>
          </w:p>
        </w:tc>
        <w:tc>
          <w:tcPr>
            <w:tcW w:w="4989" w:type="dxa"/>
            <w:vMerge w:val="continue"/>
            <w:tcBorders>
              <w:top w:val="nil"/>
            </w:tcBorders>
            <w:vAlign w:val="top"/>
          </w:tcPr>
          <w:p>
            <w:pPr>
              <w:rPr>
                <w:rFonts w:ascii="Arial"/>
                <w:sz w:val="21"/>
              </w:rPr>
            </w:pPr>
          </w:p>
        </w:tc>
        <w:tc>
          <w:tcPr>
            <w:tcW w:w="595" w:type="dxa"/>
            <w:vAlign w:val="top"/>
          </w:tcPr>
          <w:p>
            <w:pPr>
              <w:spacing w:line="316" w:lineRule="auto"/>
              <w:rPr>
                <w:rFonts w:ascii="Arial"/>
                <w:sz w:val="21"/>
              </w:rPr>
            </w:pPr>
          </w:p>
          <w:p>
            <w:pPr>
              <w:spacing w:line="317" w:lineRule="auto"/>
              <w:rPr>
                <w:rFonts w:ascii="Arial"/>
                <w:sz w:val="21"/>
              </w:rPr>
            </w:pPr>
          </w:p>
          <w:p>
            <w:pPr>
              <w:pStyle w:val="6"/>
              <w:spacing w:before="68" w:line="223" w:lineRule="auto"/>
              <w:ind w:left="98"/>
            </w:pPr>
            <w:r>
              <w:rPr>
                <w:spacing w:val="-2"/>
              </w:rPr>
              <w:t>施工</w:t>
            </w:r>
          </w:p>
          <w:p>
            <w:pPr>
              <w:pStyle w:val="6"/>
              <w:spacing w:before="19" w:line="221" w:lineRule="auto"/>
              <w:ind w:left="204"/>
            </w:pPr>
            <w:r>
              <w:t>期</w:t>
            </w:r>
          </w:p>
        </w:tc>
        <w:tc>
          <w:tcPr>
            <w:tcW w:w="559" w:type="dxa"/>
            <w:vAlign w:val="top"/>
          </w:tcPr>
          <w:p>
            <w:pPr>
              <w:spacing w:line="316" w:lineRule="auto"/>
              <w:rPr>
                <w:rFonts w:ascii="Arial"/>
                <w:sz w:val="21"/>
              </w:rPr>
            </w:pPr>
          </w:p>
          <w:p>
            <w:pPr>
              <w:spacing w:line="316" w:lineRule="auto"/>
              <w:rPr>
                <w:rFonts w:ascii="Arial"/>
                <w:sz w:val="21"/>
              </w:rPr>
            </w:pPr>
          </w:p>
          <w:p>
            <w:pPr>
              <w:pStyle w:val="6"/>
              <w:spacing w:before="69" w:line="221" w:lineRule="auto"/>
              <w:ind w:left="77"/>
            </w:pPr>
            <w:r>
              <w:rPr>
                <w:spacing w:val="-2"/>
              </w:rPr>
              <w:t>运营</w:t>
            </w:r>
          </w:p>
          <w:p>
            <w:pPr>
              <w:pStyle w:val="6"/>
              <w:spacing w:before="22" w:line="221" w:lineRule="auto"/>
              <w:ind w:left="185"/>
            </w:pPr>
            <w: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9" w:hRule="atLeast"/>
        </w:trPr>
        <w:tc>
          <w:tcPr>
            <w:tcW w:w="391"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1" w:line="187" w:lineRule="auto"/>
              <w:ind w:left="83"/>
              <w:rPr>
                <w:rFonts w:ascii="Times New Roman" w:hAnsi="Times New Roman" w:eastAsia="Times New Roman" w:cs="Times New Roman"/>
                <w:sz w:val="21"/>
                <w:szCs w:val="21"/>
              </w:rPr>
            </w:pPr>
            <w:r>
              <w:rPr>
                <w:rFonts w:ascii="Times New Roman" w:hAnsi="Times New Roman" w:eastAsia="Times New Roman" w:cs="Times New Roman"/>
                <w:b/>
                <w:bCs/>
                <w:spacing w:val="-4"/>
                <w:sz w:val="21"/>
                <w:szCs w:val="21"/>
              </w:rPr>
              <w:t>15</w:t>
            </w:r>
          </w:p>
        </w:tc>
        <w:tc>
          <w:tcPr>
            <w:tcW w:w="79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8" w:line="241" w:lineRule="auto"/>
              <w:ind w:left="194"/>
            </w:pPr>
            <w:r>
              <w:rPr>
                <w:spacing w:val="-2"/>
              </w:rPr>
              <w:t>文成</w:t>
            </w:r>
          </w:p>
          <w:p>
            <w:pPr>
              <w:pStyle w:val="6"/>
              <w:spacing w:line="222" w:lineRule="auto"/>
              <w:ind w:left="193"/>
            </w:pPr>
            <w:r>
              <w:rPr>
                <w:spacing w:val="-2"/>
              </w:rPr>
              <w:t>县百</w:t>
            </w:r>
          </w:p>
          <w:p>
            <w:pPr>
              <w:pStyle w:val="6"/>
              <w:spacing w:before="18" w:line="220" w:lineRule="auto"/>
              <w:ind w:left="198"/>
            </w:pPr>
            <w:r>
              <w:rPr>
                <w:spacing w:val="-3"/>
              </w:rPr>
              <w:t>丈漈</w:t>
            </w:r>
          </w:p>
          <w:p>
            <w:pPr>
              <w:pStyle w:val="6"/>
              <w:spacing w:before="23" w:line="217" w:lineRule="auto"/>
              <w:ind w:left="193"/>
            </w:pPr>
            <w:r>
              <w:rPr>
                <w:spacing w:val="-2"/>
              </w:rPr>
              <w:t>镇长</w:t>
            </w:r>
          </w:p>
          <w:p>
            <w:pPr>
              <w:pStyle w:val="6"/>
              <w:spacing w:before="24" w:line="220" w:lineRule="auto"/>
              <w:ind w:left="193"/>
            </w:pPr>
            <w:r>
              <w:rPr>
                <w:spacing w:val="-2"/>
              </w:rPr>
              <w:t>塘村</w:t>
            </w:r>
          </w:p>
        </w:tc>
        <w:tc>
          <w:tcPr>
            <w:tcW w:w="631" w:type="dxa"/>
            <w:textDirection w:val="tbRlV"/>
            <w:vAlign w:val="top"/>
          </w:tcPr>
          <w:p>
            <w:pPr>
              <w:pStyle w:val="6"/>
              <w:spacing w:before="205" w:line="205" w:lineRule="auto"/>
              <w:ind w:left="2007"/>
            </w:pPr>
            <w:r>
              <w:rPr>
                <w:spacing w:val="1"/>
              </w:rPr>
              <w:t>蔡</w:t>
            </w:r>
            <w:r>
              <w:rPr>
                <w:spacing w:val="-43"/>
              </w:rPr>
              <w:t xml:space="preserve"> </w:t>
            </w:r>
            <w:r>
              <w:rPr>
                <w:spacing w:val="1"/>
              </w:rPr>
              <w:t>处</w:t>
            </w:r>
          </w:p>
        </w:tc>
        <w:tc>
          <w:tcPr>
            <w:tcW w:w="744"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9" w:line="221" w:lineRule="auto"/>
              <w:ind w:left="174"/>
            </w:pPr>
            <w:r>
              <w:rPr>
                <w:spacing w:val="-3"/>
              </w:rPr>
              <w:t>西坑</w:t>
            </w:r>
          </w:p>
          <w:p>
            <w:pPr>
              <w:pStyle w:val="6"/>
              <w:spacing w:before="19" w:line="228" w:lineRule="auto"/>
              <w:ind w:left="173"/>
            </w:pPr>
            <w:r>
              <w:rPr>
                <w:spacing w:val="-3"/>
              </w:rPr>
              <w:t>互通</w:t>
            </w:r>
          </w:p>
          <w:p>
            <w:pPr>
              <w:pStyle w:val="6"/>
              <w:spacing w:before="14" w:line="221" w:lineRule="auto"/>
              <w:ind w:left="170"/>
            </w:pPr>
            <w:r>
              <w:rPr>
                <w:spacing w:val="-2"/>
              </w:rPr>
              <w:t>连接</w:t>
            </w:r>
          </w:p>
          <w:p>
            <w:pPr>
              <w:pStyle w:val="6"/>
              <w:spacing w:before="19" w:line="221" w:lineRule="auto"/>
              <w:ind w:left="172"/>
            </w:pPr>
            <w:r>
              <w:rPr>
                <w:spacing w:val="-3"/>
              </w:rPr>
              <w:t>线主</w:t>
            </w:r>
          </w:p>
          <w:p>
            <w:pPr>
              <w:pStyle w:val="6"/>
              <w:spacing w:before="22" w:line="221" w:lineRule="auto"/>
              <w:ind w:left="277"/>
            </w:pPr>
            <w:r>
              <w:t>线</w:t>
            </w:r>
          </w:p>
          <w:p>
            <w:pPr>
              <w:spacing w:before="41"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p>
            <w:pPr>
              <w:pStyle w:val="6"/>
              <w:spacing w:before="29" w:line="221" w:lineRule="auto"/>
              <w:ind w:left="170"/>
            </w:pPr>
            <w:r>
              <w:rPr>
                <w:spacing w:val="-2"/>
              </w:rPr>
              <w:t>和大</w:t>
            </w:r>
          </w:p>
          <w:p>
            <w:pPr>
              <w:pStyle w:val="6"/>
              <w:spacing w:before="19" w:line="221" w:lineRule="auto"/>
              <w:ind w:left="172"/>
            </w:pPr>
            <w:r>
              <w:rPr>
                <w:spacing w:val="-3"/>
              </w:rPr>
              <w:t>南公</w:t>
            </w:r>
          </w:p>
          <w:p>
            <w:pPr>
              <w:pStyle w:val="6"/>
              <w:spacing w:before="22" w:line="221" w:lineRule="auto"/>
              <w:ind w:left="171"/>
            </w:pPr>
            <w:r>
              <w:rPr>
                <w:spacing w:val="-2"/>
              </w:rPr>
              <w:t>路交</w:t>
            </w:r>
          </w:p>
          <w:p>
            <w:pPr>
              <w:pStyle w:val="6"/>
              <w:spacing w:before="20" w:line="225" w:lineRule="auto"/>
              <w:ind w:left="276"/>
            </w:pPr>
            <w:r>
              <w:t>叉</w:t>
            </w:r>
          </w:p>
        </w:tc>
        <w:tc>
          <w:tcPr>
            <w:tcW w:w="54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0" w:line="233" w:lineRule="auto"/>
              <w:ind w:left="113" w:right="103" w:firstLine="42"/>
              <w:jc w:val="both"/>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K6</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+5</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00~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9"/>
                <w:sz w:val="21"/>
                <w:szCs w:val="21"/>
              </w:rPr>
              <w:t>L1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K6</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2"/>
                <w:sz w:val="21"/>
                <w:szCs w:val="21"/>
              </w:rPr>
              <w:t>+6</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5"/>
                <w:sz w:val="21"/>
                <w:szCs w:val="21"/>
              </w:rPr>
              <w:t>50</w:t>
            </w:r>
          </w:p>
        </w:tc>
        <w:tc>
          <w:tcPr>
            <w:tcW w:w="602" w:type="dxa"/>
            <w:textDirection w:val="tbRlV"/>
            <w:vAlign w:val="top"/>
          </w:tcPr>
          <w:p>
            <w:pPr>
              <w:pStyle w:val="6"/>
              <w:spacing w:before="190" w:line="210" w:lineRule="auto"/>
              <w:ind w:left="1736"/>
            </w:pPr>
            <w:r>
              <w:rPr>
                <w:spacing w:val="46"/>
              </w:rPr>
              <w:t>地面道路</w:t>
            </w:r>
          </w:p>
        </w:tc>
        <w:tc>
          <w:tcPr>
            <w:tcW w:w="605"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1" w:line="184"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N</w:t>
            </w:r>
          </w:p>
        </w:tc>
        <w:tc>
          <w:tcPr>
            <w:tcW w:w="648"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1"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81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1"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28"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1" w:line="184" w:lineRule="auto"/>
              <w:ind w:left="37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535"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588"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1" w:line="187" w:lineRule="auto"/>
              <w:ind w:left="24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082"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8" w:line="236" w:lineRule="auto"/>
              <w:ind w:left="129" w:right="113" w:firstLine="103"/>
            </w:pPr>
            <w:r>
              <w:rPr>
                <w:spacing w:val="-2"/>
              </w:rPr>
              <w:t>砖混结</w:t>
            </w:r>
            <w:r>
              <w:t xml:space="preserve">  </w:t>
            </w:r>
            <w:r>
              <w:rPr>
                <w:spacing w:val="-11"/>
              </w:rPr>
              <w:t xml:space="preserve">构， </w:t>
            </w:r>
            <w:r>
              <w:rPr>
                <w:rFonts w:ascii="Times New Roman" w:hAnsi="Times New Roman" w:eastAsia="Times New Roman" w:cs="Times New Roman"/>
                <w:spacing w:val="-11"/>
              </w:rPr>
              <w:t>2~3</w:t>
            </w:r>
            <w:r>
              <w:rPr>
                <w:rFonts w:ascii="Times New Roman" w:hAnsi="Times New Roman" w:eastAsia="Times New Roman" w:cs="Times New Roman"/>
                <w:spacing w:val="1"/>
              </w:rPr>
              <w:t xml:space="preserve">  </w:t>
            </w:r>
            <w:r>
              <w:rPr>
                <w:spacing w:val="-2"/>
              </w:rPr>
              <w:t>层建筑、</w:t>
            </w:r>
            <w:r>
              <w:rPr>
                <w:spacing w:val="1"/>
              </w:rPr>
              <w:t xml:space="preserve"> </w:t>
            </w:r>
            <w:r>
              <w:rPr>
                <w:spacing w:val="-2"/>
              </w:rPr>
              <w:t>背向、侧</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8" w:line="233" w:lineRule="auto"/>
              <w:ind w:left="161" w:right="142" w:hanging="3"/>
              <w:jc w:val="both"/>
            </w:pPr>
            <w:r>
              <w:rPr>
                <w:spacing w:val="-2"/>
              </w:rPr>
              <w:t>位于大南</w:t>
            </w:r>
            <w:r>
              <w:rPr>
                <w:spacing w:val="1"/>
              </w:rPr>
              <w:t xml:space="preserve"> </w:t>
            </w:r>
            <w:r>
              <w:rPr>
                <w:spacing w:val="-3"/>
              </w:rPr>
              <w:t>公路（二</w:t>
            </w:r>
            <w:r>
              <w:rPr>
                <w:spacing w:val="1"/>
              </w:rPr>
              <w:t xml:space="preserve"> </w:t>
            </w:r>
            <w:r>
              <w:rPr>
                <w:spacing w:val="-6"/>
              </w:rPr>
              <w:t>级公路）</w:t>
            </w:r>
          </w:p>
          <w:p>
            <w:pPr>
              <w:pStyle w:val="6"/>
              <w:spacing w:before="19" w:line="221" w:lineRule="auto"/>
              <w:ind w:left="163"/>
            </w:pPr>
            <w:r>
              <w:rPr>
                <w:spacing w:val="-25"/>
                <w:w w:val="99"/>
              </w:rPr>
              <w:t>西侧，</w:t>
            </w:r>
            <w:r>
              <w:rPr>
                <w:spacing w:val="2"/>
              </w:rPr>
              <w:t xml:space="preserve"> </w:t>
            </w:r>
            <w:r>
              <w:rPr>
                <w:spacing w:val="-25"/>
                <w:w w:val="99"/>
              </w:rPr>
              <w:t>最</w:t>
            </w:r>
          </w:p>
          <w:p>
            <w:pPr>
              <w:pStyle w:val="6"/>
              <w:spacing w:before="23" w:line="221" w:lineRule="auto"/>
              <w:ind w:left="157"/>
            </w:pPr>
            <w:r>
              <w:rPr>
                <w:spacing w:val="-1"/>
              </w:rPr>
              <w:t>近距离约</w:t>
            </w:r>
          </w:p>
          <w:p>
            <w:pPr>
              <w:spacing w:before="43" w:line="187" w:lineRule="auto"/>
              <w:ind w:left="46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5262" w:type="dxa"/>
            <w:vAlign w:val="top"/>
          </w:tcPr>
          <w:p>
            <w:pPr>
              <w:spacing w:line="312" w:lineRule="auto"/>
              <w:rPr>
                <w:rFonts w:ascii="Arial"/>
                <w:sz w:val="21"/>
              </w:rPr>
            </w:pPr>
          </w:p>
          <w:p>
            <w:pPr>
              <w:spacing w:line="3871" w:lineRule="exact"/>
            </w:pPr>
            <w:r>
              <w:rPr>
                <w:position w:val="-77"/>
              </w:rPr>
              <w:drawing>
                <wp:inline distT="0" distB="0" distL="0" distR="0">
                  <wp:extent cx="3272155" cy="245808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33"/>
                          <a:stretch>
                            <a:fillRect/>
                          </a:stretch>
                        </pic:blipFill>
                        <pic:spPr>
                          <a:xfrm>
                            <a:off x="0" y="0"/>
                            <a:ext cx="3272409" cy="2458085"/>
                          </a:xfrm>
                          <a:prstGeom prst="rect">
                            <a:avLst/>
                          </a:prstGeom>
                        </pic:spPr>
                      </pic:pic>
                    </a:graphicData>
                  </a:graphic>
                </wp:inline>
              </w:drawing>
            </w:r>
          </w:p>
        </w:tc>
        <w:tc>
          <w:tcPr>
            <w:tcW w:w="4989" w:type="dxa"/>
            <w:vAlign w:val="top"/>
          </w:tcPr>
          <w:p>
            <w:pPr>
              <w:spacing w:before="2" w:line="4487" w:lineRule="exact"/>
              <w:ind w:firstLine="51"/>
            </w:pPr>
            <w:r>
              <w:rPr>
                <w:position w:val="-89"/>
              </w:rPr>
              <w:drawing>
                <wp:inline distT="0" distB="0" distL="0" distR="0">
                  <wp:extent cx="3102610" cy="284861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34"/>
                          <a:stretch>
                            <a:fillRect/>
                          </a:stretch>
                        </pic:blipFill>
                        <pic:spPr>
                          <a:xfrm>
                            <a:off x="0" y="0"/>
                            <a:ext cx="3103244" cy="2849244"/>
                          </a:xfrm>
                          <a:prstGeom prst="rect">
                            <a:avLst/>
                          </a:prstGeom>
                        </pic:spPr>
                      </pic:pic>
                    </a:graphicData>
                  </a:graphic>
                </wp:inline>
              </w:drawing>
            </w:r>
          </w:p>
        </w:tc>
        <w:tc>
          <w:tcPr>
            <w:tcW w:w="595"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0" w:line="221" w:lineRule="auto"/>
              <w:ind w:left="201" w:right="107" w:hanging="79"/>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c>
          <w:tcPr>
            <w:tcW w:w="55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0"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8" w:hRule="atLeast"/>
        </w:trPr>
        <w:tc>
          <w:tcPr>
            <w:tcW w:w="391"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61" w:line="187" w:lineRule="auto"/>
              <w:ind w:left="83"/>
              <w:rPr>
                <w:rFonts w:ascii="Times New Roman" w:hAnsi="Times New Roman" w:eastAsia="Times New Roman" w:cs="Times New Roman"/>
                <w:sz w:val="21"/>
                <w:szCs w:val="21"/>
              </w:rPr>
            </w:pPr>
            <w:r>
              <w:rPr>
                <w:rFonts w:ascii="Times New Roman" w:hAnsi="Times New Roman" w:eastAsia="Times New Roman" w:cs="Times New Roman"/>
                <w:b/>
                <w:bCs/>
                <w:spacing w:val="-4"/>
                <w:sz w:val="21"/>
                <w:szCs w:val="21"/>
              </w:rPr>
              <w:t>16</w:t>
            </w:r>
          </w:p>
        </w:tc>
        <w:tc>
          <w:tcPr>
            <w:tcW w:w="79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9" w:line="238" w:lineRule="auto"/>
              <w:ind w:left="194"/>
            </w:pPr>
            <w:r>
              <w:rPr>
                <w:spacing w:val="-2"/>
              </w:rPr>
              <w:t>文成</w:t>
            </w:r>
          </w:p>
          <w:p>
            <w:pPr>
              <w:pStyle w:val="6"/>
              <w:spacing w:line="222" w:lineRule="auto"/>
              <w:ind w:left="193"/>
            </w:pPr>
            <w:r>
              <w:rPr>
                <w:spacing w:val="-2"/>
              </w:rPr>
              <w:t>县百</w:t>
            </w:r>
          </w:p>
          <w:p>
            <w:pPr>
              <w:pStyle w:val="6"/>
              <w:spacing w:before="20" w:line="220" w:lineRule="auto"/>
              <w:ind w:left="198"/>
            </w:pPr>
            <w:r>
              <w:rPr>
                <w:spacing w:val="-3"/>
              </w:rPr>
              <w:t>丈漈</w:t>
            </w:r>
          </w:p>
          <w:p>
            <w:pPr>
              <w:pStyle w:val="6"/>
              <w:spacing w:before="21" w:line="217" w:lineRule="auto"/>
              <w:ind w:left="193"/>
            </w:pPr>
            <w:r>
              <w:rPr>
                <w:spacing w:val="-2"/>
              </w:rPr>
              <w:t>镇长</w:t>
            </w:r>
          </w:p>
          <w:p>
            <w:pPr>
              <w:pStyle w:val="6"/>
              <w:spacing w:before="26" w:line="220" w:lineRule="auto"/>
              <w:ind w:left="193"/>
            </w:pPr>
            <w:r>
              <w:rPr>
                <w:spacing w:val="-2"/>
              </w:rPr>
              <w:t>塘村</w:t>
            </w:r>
          </w:p>
        </w:tc>
        <w:tc>
          <w:tcPr>
            <w:tcW w:w="631" w:type="dxa"/>
            <w:textDirection w:val="tbRlV"/>
            <w:vAlign w:val="top"/>
          </w:tcPr>
          <w:p>
            <w:pPr>
              <w:pStyle w:val="6"/>
              <w:spacing w:before="205" w:line="209" w:lineRule="auto"/>
              <w:ind w:left="1915"/>
            </w:pPr>
            <w:r>
              <w:rPr>
                <w:spacing w:val="41"/>
              </w:rPr>
              <w:t>金路桥</w:t>
            </w:r>
          </w:p>
        </w:tc>
        <w:tc>
          <w:tcPr>
            <w:tcW w:w="744" w:type="dxa"/>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69" w:line="221" w:lineRule="auto"/>
              <w:ind w:left="174"/>
            </w:pPr>
            <w:r>
              <w:rPr>
                <w:spacing w:val="-3"/>
              </w:rPr>
              <w:t>西坑</w:t>
            </w:r>
          </w:p>
          <w:p>
            <w:pPr>
              <w:pStyle w:val="6"/>
              <w:spacing w:before="19" w:line="228" w:lineRule="auto"/>
              <w:ind w:left="173"/>
            </w:pPr>
            <w:r>
              <w:rPr>
                <w:spacing w:val="-3"/>
              </w:rPr>
              <w:t>互通</w:t>
            </w:r>
          </w:p>
          <w:p>
            <w:pPr>
              <w:pStyle w:val="6"/>
              <w:spacing w:before="14" w:line="221" w:lineRule="auto"/>
              <w:ind w:left="170"/>
            </w:pPr>
            <w:r>
              <w:rPr>
                <w:spacing w:val="-2"/>
              </w:rPr>
              <w:t>连接</w:t>
            </w:r>
          </w:p>
          <w:p>
            <w:pPr>
              <w:pStyle w:val="6"/>
              <w:spacing w:before="19" w:line="221" w:lineRule="auto"/>
              <w:ind w:left="172"/>
            </w:pPr>
            <w:r>
              <w:rPr>
                <w:spacing w:val="-3"/>
              </w:rPr>
              <w:t>线主</w:t>
            </w:r>
          </w:p>
          <w:p>
            <w:pPr>
              <w:pStyle w:val="6"/>
              <w:spacing w:before="19" w:line="221" w:lineRule="auto"/>
              <w:ind w:left="277"/>
            </w:pPr>
            <w:r>
              <w:t>线</w:t>
            </w:r>
          </w:p>
          <w:p>
            <w:pPr>
              <w:spacing w:before="43"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p>
            <w:pPr>
              <w:pStyle w:val="6"/>
              <w:spacing w:before="30" w:line="221" w:lineRule="auto"/>
              <w:ind w:left="170"/>
            </w:pPr>
            <w:r>
              <w:rPr>
                <w:spacing w:val="-2"/>
              </w:rPr>
              <w:t>和大</w:t>
            </w:r>
          </w:p>
          <w:p>
            <w:pPr>
              <w:pStyle w:val="6"/>
              <w:spacing w:before="19" w:line="221" w:lineRule="auto"/>
              <w:ind w:left="172"/>
            </w:pPr>
            <w:r>
              <w:rPr>
                <w:spacing w:val="-3"/>
              </w:rPr>
              <w:t>南公</w:t>
            </w:r>
          </w:p>
          <w:p>
            <w:pPr>
              <w:pStyle w:val="6"/>
              <w:spacing w:before="23" w:line="221" w:lineRule="auto"/>
              <w:ind w:left="171"/>
            </w:pPr>
            <w:r>
              <w:rPr>
                <w:spacing w:val="-2"/>
              </w:rPr>
              <w:t>路交</w:t>
            </w:r>
          </w:p>
          <w:p>
            <w:pPr>
              <w:pStyle w:val="6"/>
              <w:spacing w:before="20" w:line="225" w:lineRule="auto"/>
              <w:ind w:left="276"/>
            </w:pPr>
            <w:r>
              <w:t>叉</w:t>
            </w:r>
          </w:p>
        </w:tc>
        <w:tc>
          <w:tcPr>
            <w:tcW w:w="540"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61" w:line="241"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p>
            <w:pPr>
              <w:spacing w:line="186" w:lineRule="auto"/>
              <w:ind w:left="1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K6</w:t>
            </w:r>
          </w:p>
          <w:p>
            <w:pPr>
              <w:spacing w:before="5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w:t>
            </w:r>
          </w:p>
          <w:p>
            <w:pPr>
              <w:spacing w:before="57" w:line="184"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602" w:type="dxa"/>
            <w:textDirection w:val="tbRlV"/>
            <w:vAlign w:val="top"/>
          </w:tcPr>
          <w:p>
            <w:pPr>
              <w:pStyle w:val="6"/>
              <w:spacing w:before="190" w:line="210" w:lineRule="auto"/>
              <w:ind w:left="1780"/>
            </w:pPr>
            <w:r>
              <w:rPr>
                <w:spacing w:val="46"/>
              </w:rPr>
              <w:t>地面道路</w:t>
            </w:r>
          </w:p>
        </w:tc>
        <w:tc>
          <w:tcPr>
            <w:tcW w:w="60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61" w:line="184"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N</w:t>
            </w:r>
          </w:p>
        </w:tc>
        <w:tc>
          <w:tcPr>
            <w:tcW w:w="64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0" w:line="239"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w:t>
            </w:r>
          </w:p>
          <w:p>
            <w:pPr>
              <w:spacing w:line="186" w:lineRule="auto"/>
              <w:ind w:left="134"/>
              <w:rPr>
                <w:rFonts w:ascii="Times New Roman" w:hAnsi="Times New Roman" w:eastAsia="Times New Roman" w:cs="Times New Roman"/>
                <w:sz w:val="21"/>
                <w:szCs w:val="21"/>
              </w:rPr>
            </w:pPr>
            <w:r>
              <w:rPr>
                <w:rFonts w:ascii="Times New Roman" w:hAnsi="Times New Roman" w:eastAsia="Times New Roman" w:cs="Times New Roman"/>
                <w:sz w:val="21"/>
                <w:szCs w:val="21"/>
              </w:rPr>
              <w:t>~0.5</w:t>
            </w:r>
          </w:p>
        </w:tc>
        <w:tc>
          <w:tcPr>
            <w:tcW w:w="812"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61" w:line="187" w:lineRule="auto"/>
              <w:ind w:left="3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828"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61"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53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61" w:line="187" w:lineRule="auto"/>
              <w:ind w:left="227"/>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588"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60"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1082"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8" w:line="236" w:lineRule="auto"/>
              <w:ind w:left="129" w:right="113" w:firstLine="103"/>
            </w:pPr>
            <w:r>
              <w:rPr>
                <w:spacing w:val="-2"/>
              </w:rPr>
              <w:t>砖混结</w:t>
            </w:r>
            <w:r>
              <w:t xml:space="preserve">  </w:t>
            </w:r>
            <w:r>
              <w:rPr>
                <w:spacing w:val="-16"/>
              </w:rPr>
              <w:t>构，</w:t>
            </w:r>
            <w:r>
              <w:rPr>
                <w:spacing w:val="17"/>
              </w:rPr>
              <w:t xml:space="preserve"> </w:t>
            </w:r>
            <w:r>
              <w:rPr>
                <w:rFonts w:ascii="Times New Roman" w:hAnsi="Times New Roman" w:eastAsia="Times New Roman" w:cs="Times New Roman"/>
                <w:spacing w:val="-16"/>
              </w:rPr>
              <w:t>1~4</w:t>
            </w:r>
            <w:r>
              <w:rPr>
                <w:rFonts w:ascii="Times New Roman" w:hAnsi="Times New Roman" w:eastAsia="Times New Roman" w:cs="Times New Roman"/>
              </w:rPr>
              <w:t xml:space="preserve">  </w:t>
            </w:r>
            <w:r>
              <w:rPr>
                <w:spacing w:val="-2"/>
              </w:rPr>
              <w:t>层建筑、</w:t>
            </w:r>
            <w:r>
              <w:rPr>
                <w:spacing w:val="1"/>
              </w:rPr>
              <w:t xml:space="preserve"> </w:t>
            </w:r>
            <w:r>
              <w:rPr>
                <w:spacing w:val="-2"/>
              </w:rPr>
              <w:t>背向、侧</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32" w:lineRule="auto"/>
              <w:ind w:left="161" w:right="142" w:hanging="3"/>
              <w:jc w:val="both"/>
            </w:pPr>
            <w:r>
              <w:drawing>
                <wp:anchor distT="0" distB="0" distL="0" distR="0" simplePos="0" relativeHeight="251666432" behindDoc="0" locked="0" layoutInCell="1" allowOverlap="1">
                  <wp:simplePos x="0" y="0"/>
                  <wp:positionH relativeFrom="column">
                    <wp:posOffset>396240</wp:posOffset>
                  </wp:positionH>
                  <wp:positionV relativeFrom="paragraph">
                    <wp:posOffset>-817245</wp:posOffset>
                  </wp:positionV>
                  <wp:extent cx="3599815" cy="269938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35"/>
                          <a:stretch>
                            <a:fillRect/>
                          </a:stretch>
                        </pic:blipFill>
                        <pic:spPr>
                          <a:xfrm>
                            <a:off x="0" y="0"/>
                            <a:ext cx="3599815" cy="2699385"/>
                          </a:xfrm>
                          <a:prstGeom prst="rect">
                            <a:avLst/>
                          </a:prstGeom>
                        </pic:spPr>
                      </pic:pic>
                    </a:graphicData>
                  </a:graphic>
                </wp:anchor>
              </w:drawing>
            </w:r>
            <w:r>
              <w:rPr>
                <w:spacing w:val="-2"/>
              </w:rPr>
              <w:t>位于大南</w:t>
            </w:r>
            <w:r>
              <w:rPr>
                <w:spacing w:val="1"/>
              </w:rPr>
              <w:t xml:space="preserve"> </w:t>
            </w:r>
            <w:r>
              <w:rPr>
                <w:spacing w:val="-3"/>
              </w:rPr>
              <w:t>公路（二</w:t>
            </w:r>
            <w:r>
              <w:rPr>
                <w:spacing w:val="1"/>
              </w:rPr>
              <w:t xml:space="preserve"> </w:t>
            </w:r>
            <w:r>
              <w:rPr>
                <w:spacing w:val="-6"/>
              </w:rPr>
              <w:t>级公路）</w:t>
            </w:r>
          </w:p>
          <w:p>
            <w:pPr>
              <w:pStyle w:val="6"/>
              <w:spacing w:before="22" w:line="221" w:lineRule="auto"/>
              <w:ind w:left="165"/>
            </w:pPr>
            <w:r>
              <w:rPr>
                <w:spacing w:val="-28"/>
              </w:rPr>
              <w:t>东侧，</w:t>
            </w:r>
            <w:r>
              <w:rPr>
                <w:spacing w:val="2"/>
              </w:rPr>
              <w:t xml:space="preserve"> </w:t>
            </w:r>
            <w:r>
              <w:rPr>
                <w:spacing w:val="-28"/>
              </w:rPr>
              <w:t>最</w:t>
            </w:r>
          </w:p>
          <w:p>
            <w:pPr>
              <w:pStyle w:val="6"/>
              <w:spacing w:before="20" w:line="221" w:lineRule="auto"/>
              <w:ind w:left="157"/>
            </w:pPr>
            <w:r>
              <w:rPr>
                <w:spacing w:val="-1"/>
              </w:rPr>
              <w:t>近距离约</w:t>
            </w:r>
          </w:p>
          <w:p>
            <w:pPr>
              <w:spacing w:before="4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3.7m</w:t>
            </w:r>
          </w:p>
        </w:tc>
        <w:tc>
          <w:tcPr>
            <w:tcW w:w="5262" w:type="dxa"/>
            <w:vAlign w:val="top"/>
          </w:tcPr>
          <w:p>
            <w:pPr>
              <w:rPr>
                <w:rFonts w:ascii="Arial"/>
                <w:sz w:val="21"/>
              </w:rPr>
            </w:pPr>
          </w:p>
        </w:tc>
        <w:tc>
          <w:tcPr>
            <w:tcW w:w="4989" w:type="dxa"/>
            <w:vAlign w:val="top"/>
          </w:tcPr>
          <w:p>
            <w:pPr>
              <w:spacing w:line="4577" w:lineRule="exact"/>
              <w:ind w:firstLine="18"/>
            </w:pPr>
            <w:r>
              <w:rPr>
                <w:position w:val="-91"/>
              </w:rPr>
              <w:drawing>
                <wp:inline distT="0" distB="0" distL="0" distR="0">
                  <wp:extent cx="3137535" cy="290639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36"/>
                          <a:stretch>
                            <a:fillRect/>
                          </a:stretch>
                        </pic:blipFill>
                        <pic:spPr>
                          <a:xfrm>
                            <a:off x="0" y="0"/>
                            <a:ext cx="3137535" cy="2907029"/>
                          </a:xfrm>
                          <a:prstGeom prst="rect">
                            <a:avLst/>
                          </a:prstGeom>
                        </pic:spPr>
                      </pic:pic>
                    </a:graphicData>
                  </a:graphic>
                </wp:inline>
              </w:drawing>
            </w:r>
          </w:p>
        </w:tc>
        <w:tc>
          <w:tcPr>
            <w:tcW w:w="595"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0" w:line="221" w:lineRule="auto"/>
              <w:ind w:left="201" w:right="107" w:hanging="79"/>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c>
          <w:tcPr>
            <w:tcW w:w="559"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0"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bl>
    <w:p>
      <w:pPr>
        <w:pStyle w:val="2"/>
      </w:pPr>
    </w:p>
    <w:p>
      <w:pPr>
        <w:sectPr>
          <w:pgSz w:w="23813" w:h="16839"/>
          <w:pgMar w:top="1118" w:right="1231" w:bottom="1182" w:left="1233" w:header="879" w:footer="1024" w:gutter="0"/>
          <w:cols w:space="720" w:num="1"/>
        </w:sectPr>
      </w:pPr>
    </w:p>
    <w:p>
      <w:pPr>
        <w:spacing w:before="104"/>
      </w:pPr>
    </w:p>
    <w:tbl>
      <w:tblPr>
        <w:tblStyle w:val="5"/>
        <w:tblW w:w="213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1"/>
        <w:gridCol w:w="792"/>
        <w:gridCol w:w="631"/>
        <w:gridCol w:w="744"/>
        <w:gridCol w:w="540"/>
        <w:gridCol w:w="602"/>
        <w:gridCol w:w="605"/>
        <w:gridCol w:w="648"/>
        <w:gridCol w:w="812"/>
        <w:gridCol w:w="828"/>
        <w:gridCol w:w="535"/>
        <w:gridCol w:w="588"/>
        <w:gridCol w:w="1082"/>
        <w:gridCol w:w="1140"/>
        <w:gridCol w:w="5262"/>
        <w:gridCol w:w="4989"/>
        <w:gridCol w:w="595"/>
        <w:gridCol w:w="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91" w:type="dxa"/>
            <w:vMerge w:val="restart"/>
            <w:tcBorders>
              <w:bottom w:val="nil"/>
            </w:tcBorders>
            <w:textDirection w:val="tbRlV"/>
            <w:vAlign w:val="top"/>
          </w:tcPr>
          <w:p>
            <w:pPr>
              <w:pStyle w:val="6"/>
              <w:spacing w:before="105" w:line="211" w:lineRule="auto"/>
              <w:ind w:left="982"/>
            </w:pPr>
            <w:r>
              <w:rPr>
                <w:spacing w:val="31"/>
              </w:rPr>
              <w:t>序号</w:t>
            </w:r>
          </w:p>
        </w:tc>
        <w:tc>
          <w:tcPr>
            <w:tcW w:w="792"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96"/>
            </w:pPr>
            <w:r>
              <w:rPr>
                <w:spacing w:val="-3"/>
              </w:rPr>
              <w:t>行政</w:t>
            </w:r>
          </w:p>
          <w:p>
            <w:pPr>
              <w:pStyle w:val="6"/>
              <w:spacing w:line="220" w:lineRule="auto"/>
              <w:ind w:left="208"/>
            </w:pPr>
            <w:r>
              <w:rPr>
                <w:spacing w:val="-6"/>
              </w:rPr>
              <w:t>区域</w:t>
            </w:r>
          </w:p>
        </w:tc>
        <w:tc>
          <w:tcPr>
            <w:tcW w:w="631" w:type="dxa"/>
            <w:vMerge w:val="restart"/>
            <w:tcBorders>
              <w:bottom w:val="nil"/>
            </w:tcBorders>
            <w:textDirection w:val="tbRlV"/>
            <w:vAlign w:val="top"/>
          </w:tcPr>
          <w:p>
            <w:pPr>
              <w:pStyle w:val="6"/>
              <w:spacing w:before="205" w:line="210" w:lineRule="auto"/>
              <w:ind w:left="29"/>
            </w:pPr>
            <w:r>
              <w:rPr>
                <w:spacing w:val="19"/>
                <w:w w:val="117"/>
              </w:rPr>
              <w:t>声环境保护目标名称</w:t>
            </w:r>
          </w:p>
        </w:tc>
        <w:tc>
          <w:tcPr>
            <w:tcW w:w="744"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8" w:line="238" w:lineRule="auto"/>
              <w:ind w:left="169"/>
            </w:pPr>
            <w:r>
              <w:rPr>
                <w:spacing w:val="-2"/>
              </w:rPr>
              <w:t>所在</w:t>
            </w:r>
          </w:p>
          <w:p>
            <w:pPr>
              <w:pStyle w:val="6"/>
              <w:spacing w:line="220" w:lineRule="auto"/>
              <w:ind w:left="171"/>
            </w:pPr>
            <w:r>
              <w:rPr>
                <w:spacing w:val="-2"/>
              </w:rPr>
              <w:t>路段</w:t>
            </w:r>
          </w:p>
        </w:tc>
        <w:tc>
          <w:tcPr>
            <w:tcW w:w="540" w:type="dxa"/>
            <w:vMerge w:val="restart"/>
            <w:tcBorders>
              <w:bottom w:val="nil"/>
            </w:tcBorders>
            <w:textDirection w:val="tbRlV"/>
            <w:vAlign w:val="top"/>
          </w:tcPr>
          <w:p>
            <w:pPr>
              <w:pStyle w:val="6"/>
              <w:spacing w:before="160" w:line="210" w:lineRule="auto"/>
              <w:ind w:left="709"/>
            </w:pPr>
            <w:r>
              <w:rPr>
                <w:spacing w:val="1"/>
              </w:rPr>
              <w:t>里</w:t>
            </w:r>
            <w:r>
              <w:rPr>
                <w:spacing w:val="-43"/>
              </w:rPr>
              <w:t xml:space="preserve"> </w:t>
            </w:r>
            <w:r>
              <w:rPr>
                <w:spacing w:val="1"/>
              </w:rPr>
              <w:t>程</w:t>
            </w:r>
            <w:r>
              <w:rPr>
                <w:spacing w:val="-45"/>
              </w:rPr>
              <w:t xml:space="preserve"> </w:t>
            </w:r>
            <w:r>
              <w:rPr>
                <w:spacing w:val="1"/>
              </w:rPr>
              <w:t>范</w:t>
            </w:r>
            <w:r>
              <w:rPr>
                <w:spacing w:val="-43"/>
              </w:rPr>
              <w:t xml:space="preserve"> </w:t>
            </w:r>
            <w:r>
              <w:rPr>
                <w:spacing w:val="1"/>
              </w:rPr>
              <w:t>围</w:t>
            </w:r>
          </w:p>
        </w:tc>
        <w:tc>
          <w:tcPr>
            <w:tcW w:w="602" w:type="dxa"/>
            <w:vMerge w:val="restart"/>
            <w:tcBorders>
              <w:bottom w:val="nil"/>
            </w:tcBorders>
            <w:textDirection w:val="tbRlV"/>
            <w:vAlign w:val="top"/>
          </w:tcPr>
          <w:p>
            <w:pPr>
              <w:pStyle w:val="6"/>
              <w:spacing w:before="190" w:line="207" w:lineRule="auto"/>
              <w:ind w:left="709"/>
            </w:pPr>
            <w:r>
              <w:rPr>
                <w:spacing w:val="1"/>
              </w:rPr>
              <w:t>线</w:t>
            </w:r>
            <w:r>
              <w:rPr>
                <w:spacing w:val="-43"/>
              </w:rPr>
              <w:t xml:space="preserve"> </w:t>
            </w:r>
            <w:r>
              <w:rPr>
                <w:spacing w:val="1"/>
              </w:rPr>
              <w:t>路</w:t>
            </w:r>
            <w:r>
              <w:rPr>
                <w:spacing w:val="-45"/>
              </w:rPr>
              <w:t xml:space="preserve"> </w:t>
            </w:r>
            <w:r>
              <w:rPr>
                <w:spacing w:val="1"/>
              </w:rPr>
              <w:t>形</w:t>
            </w:r>
            <w:r>
              <w:rPr>
                <w:spacing w:val="-43"/>
              </w:rPr>
              <w:t xml:space="preserve"> </w:t>
            </w:r>
            <w:r>
              <w:rPr>
                <w:spacing w:val="1"/>
              </w:rPr>
              <w:t>式</w:t>
            </w:r>
          </w:p>
        </w:tc>
        <w:tc>
          <w:tcPr>
            <w:tcW w:w="605" w:type="dxa"/>
            <w:vMerge w:val="restart"/>
            <w:tcBorders>
              <w:bottom w:val="nil"/>
            </w:tcBorders>
            <w:textDirection w:val="tbRlV"/>
            <w:vAlign w:val="top"/>
          </w:tcPr>
          <w:p>
            <w:pPr>
              <w:pStyle w:val="6"/>
              <w:spacing w:before="191" w:line="210" w:lineRule="auto"/>
              <w:ind w:left="982"/>
            </w:pPr>
            <w:r>
              <w:rPr>
                <w:spacing w:val="31"/>
              </w:rPr>
              <w:t>方位</w:t>
            </w:r>
          </w:p>
        </w:tc>
        <w:tc>
          <w:tcPr>
            <w:tcW w:w="648" w:type="dxa"/>
            <w:vMerge w:val="restart"/>
            <w:tcBorders>
              <w:bottom w:val="nil"/>
            </w:tcBorders>
            <w:vAlign w:val="top"/>
          </w:tcPr>
          <w:p>
            <w:pPr>
              <w:spacing w:line="245" w:lineRule="auto"/>
              <w:rPr>
                <w:rFonts w:ascii="Arial"/>
                <w:sz w:val="21"/>
              </w:rPr>
            </w:pPr>
          </w:p>
          <w:p>
            <w:pPr>
              <w:pStyle w:val="6"/>
              <w:spacing w:before="68" w:line="236" w:lineRule="auto"/>
              <w:ind w:left="120" w:right="109" w:firstLine="3"/>
              <w:jc w:val="both"/>
              <w:rPr>
                <w:rFonts w:ascii="Times New Roman" w:hAnsi="Times New Roman" w:eastAsia="Times New Roman" w:cs="Times New Roman"/>
              </w:rPr>
            </w:pPr>
            <w:r>
              <w:rPr>
                <w:spacing w:val="-6"/>
              </w:rPr>
              <w:t>声环</w:t>
            </w:r>
            <w:r>
              <w:t xml:space="preserve"> </w:t>
            </w:r>
            <w:r>
              <w:rPr>
                <w:spacing w:val="-4"/>
              </w:rPr>
              <w:t>境保</w:t>
            </w:r>
            <w:r>
              <w:t xml:space="preserve"> </w:t>
            </w:r>
            <w:r>
              <w:rPr>
                <w:spacing w:val="-4"/>
              </w:rPr>
              <w:t>护目</w:t>
            </w:r>
            <w:r>
              <w:t xml:space="preserve"> </w:t>
            </w:r>
            <w:r>
              <w:rPr>
                <w:spacing w:val="-4"/>
              </w:rPr>
              <w:t>标与</w:t>
            </w:r>
            <w:r>
              <w:t xml:space="preserve"> </w:t>
            </w:r>
            <w:r>
              <w:rPr>
                <w:spacing w:val="-4"/>
              </w:rPr>
              <w:t>路面</w:t>
            </w:r>
            <w:r>
              <w:t xml:space="preserve"> </w:t>
            </w:r>
            <w:r>
              <w:rPr>
                <w:spacing w:val="-4"/>
              </w:rPr>
              <w:t>高差</w:t>
            </w:r>
            <w:r>
              <w:t xml:space="preserve"> </w:t>
            </w:r>
            <w:r>
              <w:rPr>
                <w:rFonts w:ascii="Times New Roman" w:hAnsi="Times New Roman" w:eastAsia="Times New Roman" w:cs="Times New Roman"/>
                <w:spacing w:val="17"/>
              </w:rPr>
              <w:t>(m)</w:t>
            </w:r>
          </w:p>
        </w:tc>
        <w:tc>
          <w:tcPr>
            <w:tcW w:w="812"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41" w:lineRule="auto"/>
              <w:ind w:left="202"/>
            </w:pPr>
            <w:r>
              <w:rPr>
                <w:spacing w:val="-2"/>
              </w:rPr>
              <w:t>距道</w:t>
            </w:r>
          </w:p>
          <w:p>
            <w:pPr>
              <w:pStyle w:val="6"/>
              <w:spacing w:line="220" w:lineRule="auto"/>
              <w:ind w:left="205"/>
            </w:pPr>
            <w:r>
              <w:rPr>
                <w:spacing w:val="-2"/>
              </w:rPr>
              <w:t>路中</w:t>
            </w:r>
          </w:p>
          <w:p>
            <w:pPr>
              <w:pStyle w:val="6"/>
              <w:spacing w:before="19" w:line="221" w:lineRule="auto"/>
              <w:ind w:left="210"/>
            </w:pPr>
            <w:r>
              <w:rPr>
                <w:spacing w:val="-4"/>
              </w:rPr>
              <w:t>心线</w:t>
            </w:r>
          </w:p>
          <w:p>
            <w:pPr>
              <w:pStyle w:val="6"/>
              <w:spacing w:before="20" w:line="221" w:lineRule="auto"/>
              <w:ind w:left="202"/>
            </w:pPr>
            <w:r>
              <w:rPr>
                <w:spacing w:val="-2"/>
              </w:rPr>
              <w:t>距离</w:t>
            </w:r>
          </w:p>
          <w:p>
            <w:pPr>
              <w:spacing w:before="43" w:line="191"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828" w:type="dxa"/>
            <w:vMerge w:val="restart"/>
            <w:tcBorders>
              <w:bottom w:val="nil"/>
            </w:tcBorders>
            <w:vAlign w:val="top"/>
          </w:tcPr>
          <w:p>
            <w:pPr>
              <w:spacing w:line="252" w:lineRule="auto"/>
              <w:rPr>
                <w:rFonts w:ascii="Arial"/>
                <w:sz w:val="21"/>
              </w:rPr>
            </w:pPr>
          </w:p>
          <w:p>
            <w:pPr>
              <w:spacing w:line="253" w:lineRule="auto"/>
              <w:rPr>
                <w:rFonts w:ascii="Arial"/>
                <w:sz w:val="21"/>
              </w:rPr>
            </w:pPr>
          </w:p>
          <w:p>
            <w:pPr>
              <w:pStyle w:val="6"/>
              <w:spacing w:before="68" w:line="234" w:lineRule="auto"/>
              <w:ind w:left="116" w:right="102" w:firstLine="92"/>
              <w:jc w:val="both"/>
              <w:rPr>
                <w:rFonts w:ascii="Times New Roman" w:hAnsi="Times New Roman" w:eastAsia="Times New Roman" w:cs="Times New Roman"/>
              </w:rPr>
            </w:pPr>
            <w:r>
              <w:rPr>
                <w:spacing w:val="-3"/>
              </w:rPr>
              <w:t>距道</w:t>
            </w:r>
            <w:r>
              <w:t xml:space="preserve">  </w:t>
            </w:r>
            <w:r>
              <w:rPr>
                <w:spacing w:val="43"/>
              </w:rPr>
              <w:t>路边</w:t>
            </w:r>
            <w:r>
              <w:t xml:space="preserve">  </w:t>
            </w:r>
            <w:r>
              <w:rPr>
                <w:spacing w:val="-9"/>
              </w:rPr>
              <w:t>界（红</w:t>
            </w:r>
            <w:r>
              <w:t xml:space="preserve"> </w:t>
            </w:r>
            <w:r>
              <w:rPr>
                <w:spacing w:val="-24"/>
              </w:rPr>
              <w:t>线）</w:t>
            </w:r>
            <w:r>
              <w:rPr>
                <w:spacing w:val="-61"/>
              </w:rPr>
              <w:t xml:space="preserve"> </w:t>
            </w:r>
            <w:r>
              <w:rPr>
                <w:spacing w:val="-24"/>
              </w:rPr>
              <w:t>距</w:t>
            </w:r>
            <w:r>
              <w:t xml:space="preserve"> </w:t>
            </w:r>
            <w:r>
              <w:rPr>
                <w:spacing w:val="10"/>
              </w:rPr>
              <w:t>离</w:t>
            </w:r>
            <w:r>
              <w:rPr>
                <w:rFonts w:ascii="Times New Roman" w:hAnsi="Times New Roman" w:eastAsia="Times New Roman" w:cs="Times New Roman"/>
                <w:spacing w:val="10"/>
              </w:rPr>
              <w:t>(m)</w:t>
            </w:r>
          </w:p>
        </w:tc>
        <w:tc>
          <w:tcPr>
            <w:tcW w:w="1123" w:type="dxa"/>
            <w:gridSpan w:val="2"/>
            <w:vAlign w:val="top"/>
          </w:tcPr>
          <w:p>
            <w:pPr>
              <w:pStyle w:val="6"/>
              <w:spacing w:before="29" w:line="222" w:lineRule="auto"/>
              <w:ind w:left="151"/>
            </w:pPr>
            <w:r>
              <w:rPr>
                <w:spacing w:val="-3"/>
              </w:rPr>
              <w:t>不同功能</w:t>
            </w:r>
          </w:p>
          <w:p>
            <w:pPr>
              <w:pStyle w:val="6"/>
              <w:spacing w:before="18" w:line="209" w:lineRule="auto"/>
              <w:ind w:left="269"/>
            </w:pPr>
            <w:r>
              <w:rPr>
                <w:spacing w:val="-7"/>
              </w:rPr>
              <w:t>区户数</w:t>
            </w:r>
          </w:p>
        </w:tc>
        <w:tc>
          <w:tcPr>
            <w:tcW w:w="2222" w:type="dxa"/>
            <w:gridSpan w:val="2"/>
            <w:vAlign w:val="top"/>
          </w:tcPr>
          <w:p>
            <w:pPr>
              <w:pStyle w:val="6"/>
              <w:spacing w:before="29" w:line="224" w:lineRule="auto"/>
              <w:ind w:left="911" w:right="159" w:hanging="735"/>
            </w:pPr>
            <w:r>
              <w:rPr>
                <w:spacing w:val="-1"/>
              </w:rPr>
              <w:t>声环境保护目标情况</w:t>
            </w:r>
            <w:r>
              <w:t xml:space="preserve"> </w:t>
            </w:r>
            <w:r>
              <w:rPr>
                <w:spacing w:val="-3"/>
              </w:rPr>
              <w:t>说明</w:t>
            </w:r>
          </w:p>
        </w:tc>
        <w:tc>
          <w:tcPr>
            <w:tcW w:w="5262"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2009"/>
            </w:pPr>
            <w:r>
              <w:rPr>
                <w:spacing w:val="-1"/>
              </w:rPr>
              <w:t>保护目标照片</w:t>
            </w:r>
          </w:p>
        </w:tc>
        <w:tc>
          <w:tcPr>
            <w:tcW w:w="4989"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8" w:line="221" w:lineRule="auto"/>
              <w:ind w:left="1769"/>
            </w:pPr>
            <w:r>
              <w:rPr>
                <w:spacing w:val="-1"/>
              </w:rPr>
              <w:t>保护目标地形图</w:t>
            </w:r>
          </w:p>
        </w:tc>
        <w:tc>
          <w:tcPr>
            <w:tcW w:w="1154" w:type="dxa"/>
            <w:gridSpan w:val="2"/>
            <w:vAlign w:val="top"/>
          </w:tcPr>
          <w:p>
            <w:pPr>
              <w:pStyle w:val="6"/>
              <w:spacing w:before="163" w:line="221" w:lineRule="auto"/>
              <w:ind w:left="166"/>
            </w:pPr>
            <w:r>
              <w:rPr>
                <w:spacing w:val="-2"/>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391" w:type="dxa"/>
            <w:vMerge w:val="continue"/>
            <w:tcBorders>
              <w:top w:val="nil"/>
            </w:tcBorders>
            <w:textDirection w:val="tbRlV"/>
            <w:vAlign w:val="top"/>
          </w:tcPr>
          <w:p>
            <w:pPr>
              <w:rPr>
                <w:rFonts w:ascii="Arial"/>
                <w:sz w:val="21"/>
              </w:rPr>
            </w:pPr>
          </w:p>
        </w:tc>
        <w:tc>
          <w:tcPr>
            <w:tcW w:w="792" w:type="dxa"/>
            <w:vMerge w:val="continue"/>
            <w:tcBorders>
              <w:top w:val="nil"/>
            </w:tcBorders>
            <w:vAlign w:val="top"/>
          </w:tcPr>
          <w:p>
            <w:pPr>
              <w:rPr>
                <w:rFonts w:ascii="Arial"/>
                <w:sz w:val="21"/>
              </w:rPr>
            </w:pPr>
          </w:p>
        </w:tc>
        <w:tc>
          <w:tcPr>
            <w:tcW w:w="631" w:type="dxa"/>
            <w:vMerge w:val="continue"/>
            <w:tcBorders>
              <w:top w:val="nil"/>
            </w:tcBorders>
            <w:textDirection w:val="tbRlV"/>
            <w:vAlign w:val="top"/>
          </w:tcPr>
          <w:p>
            <w:pPr>
              <w:rPr>
                <w:rFonts w:ascii="Arial"/>
                <w:sz w:val="21"/>
              </w:rPr>
            </w:pPr>
          </w:p>
        </w:tc>
        <w:tc>
          <w:tcPr>
            <w:tcW w:w="744" w:type="dxa"/>
            <w:vMerge w:val="continue"/>
            <w:tcBorders>
              <w:top w:val="nil"/>
            </w:tcBorders>
            <w:vAlign w:val="top"/>
          </w:tcPr>
          <w:p>
            <w:pPr>
              <w:rPr>
                <w:rFonts w:ascii="Arial"/>
                <w:sz w:val="21"/>
              </w:rPr>
            </w:pPr>
          </w:p>
        </w:tc>
        <w:tc>
          <w:tcPr>
            <w:tcW w:w="540" w:type="dxa"/>
            <w:vMerge w:val="continue"/>
            <w:tcBorders>
              <w:top w:val="nil"/>
            </w:tcBorders>
            <w:textDirection w:val="tbRlV"/>
            <w:vAlign w:val="top"/>
          </w:tcPr>
          <w:p>
            <w:pPr>
              <w:rPr>
                <w:rFonts w:ascii="Arial"/>
                <w:sz w:val="21"/>
              </w:rPr>
            </w:pPr>
          </w:p>
        </w:tc>
        <w:tc>
          <w:tcPr>
            <w:tcW w:w="602" w:type="dxa"/>
            <w:vMerge w:val="continue"/>
            <w:tcBorders>
              <w:top w:val="nil"/>
            </w:tcBorders>
            <w:textDirection w:val="tbRlV"/>
            <w:vAlign w:val="top"/>
          </w:tcPr>
          <w:p>
            <w:pPr>
              <w:rPr>
                <w:rFonts w:ascii="Arial"/>
                <w:sz w:val="21"/>
              </w:rPr>
            </w:pPr>
          </w:p>
        </w:tc>
        <w:tc>
          <w:tcPr>
            <w:tcW w:w="605" w:type="dxa"/>
            <w:vMerge w:val="continue"/>
            <w:tcBorders>
              <w:top w:val="nil"/>
            </w:tcBorders>
            <w:textDirection w:val="tbRlV"/>
            <w:vAlign w:val="top"/>
          </w:tcPr>
          <w:p>
            <w:pPr>
              <w:rPr>
                <w:rFonts w:ascii="Arial"/>
                <w:sz w:val="21"/>
              </w:rPr>
            </w:pPr>
          </w:p>
        </w:tc>
        <w:tc>
          <w:tcPr>
            <w:tcW w:w="648"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828" w:type="dxa"/>
            <w:vMerge w:val="continue"/>
            <w:tcBorders>
              <w:top w:val="nil"/>
            </w:tcBorders>
            <w:vAlign w:val="top"/>
          </w:tcPr>
          <w:p>
            <w:pPr>
              <w:rPr>
                <w:rFonts w:ascii="Arial"/>
                <w:sz w:val="21"/>
              </w:rPr>
            </w:pPr>
          </w:p>
        </w:tc>
        <w:tc>
          <w:tcPr>
            <w:tcW w:w="535" w:type="dxa"/>
            <w:vAlign w:val="top"/>
          </w:tcPr>
          <w:p>
            <w:pPr>
              <w:spacing w:line="339" w:lineRule="auto"/>
              <w:rPr>
                <w:rFonts w:ascii="Arial"/>
                <w:sz w:val="21"/>
              </w:rPr>
            </w:pPr>
          </w:p>
          <w:p>
            <w:pPr>
              <w:spacing w:line="339" w:lineRule="auto"/>
              <w:rPr>
                <w:rFonts w:ascii="Arial"/>
                <w:sz w:val="21"/>
              </w:rPr>
            </w:pPr>
          </w:p>
          <w:p>
            <w:pPr>
              <w:spacing w:before="61" w:line="21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p>
            <w:pPr>
              <w:pStyle w:val="6"/>
              <w:spacing w:line="220" w:lineRule="auto"/>
              <w:ind w:left="169"/>
            </w:pPr>
            <w:r>
              <w:t>类</w:t>
            </w:r>
          </w:p>
        </w:tc>
        <w:tc>
          <w:tcPr>
            <w:tcW w:w="588"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11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082" w:type="dxa"/>
            <w:vAlign w:val="top"/>
          </w:tcPr>
          <w:p>
            <w:pPr>
              <w:spacing w:line="363" w:lineRule="auto"/>
              <w:rPr>
                <w:rFonts w:ascii="Arial"/>
                <w:sz w:val="21"/>
              </w:rPr>
            </w:pPr>
          </w:p>
          <w:p>
            <w:pPr>
              <w:pStyle w:val="6"/>
              <w:spacing w:before="68" w:line="221" w:lineRule="auto"/>
              <w:ind w:left="234"/>
            </w:pPr>
            <w:r>
              <w:rPr>
                <w:spacing w:val="-2"/>
              </w:rPr>
              <w:t>建筑结</w:t>
            </w:r>
          </w:p>
          <w:p>
            <w:pPr>
              <w:pStyle w:val="6"/>
              <w:spacing w:before="18" w:line="221" w:lineRule="auto"/>
              <w:jc w:val="right"/>
            </w:pPr>
            <w:r>
              <w:rPr>
                <w:spacing w:val="-24"/>
              </w:rPr>
              <w:t>构、朝向、</w:t>
            </w:r>
          </w:p>
          <w:p>
            <w:pPr>
              <w:pStyle w:val="6"/>
              <w:spacing w:before="22" w:line="218" w:lineRule="auto"/>
              <w:ind w:left="128"/>
            </w:pPr>
            <w:r>
              <w:rPr>
                <w:spacing w:val="-2"/>
              </w:rPr>
              <w:t>楼层、窗</w:t>
            </w:r>
          </w:p>
          <w:p>
            <w:pPr>
              <w:pStyle w:val="6"/>
              <w:spacing w:before="23" w:line="221" w:lineRule="auto"/>
              <w:ind w:left="444"/>
            </w:pPr>
            <w:r>
              <w:t>户</w:t>
            </w:r>
          </w:p>
        </w:tc>
        <w:tc>
          <w:tcPr>
            <w:tcW w:w="1140" w:type="dxa"/>
            <w:vAlign w:val="top"/>
          </w:tcPr>
          <w:p>
            <w:pPr>
              <w:spacing w:line="316" w:lineRule="auto"/>
              <w:rPr>
                <w:rFonts w:ascii="Arial"/>
                <w:sz w:val="21"/>
              </w:rPr>
            </w:pPr>
          </w:p>
          <w:p>
            <w:pPr>
              <w:spacing w:line="316" w:lineRule="auto"/>
              <w:rPr>
                <w:rFonts w:ascii="Arial"/>
                <w:sz w:val="21"/>
              </w:rPr>
            </w:pPr>
          </w:p>
          <w:p>
            <w:pPr>
              <w:pStyle w:val="6"/>
              <w:spacing w:before="68" w:line="231" w:lineRule="auto"/>
              <w:ind w:left="367" w:right="142" w:hanging="208"/>
            </w:pPr>
            <w:r>
              <w:rPr>
                <w:spacing w:val="-2"/>
              </w:rPr>
              <w:t>周边环境</w:t>
            </w:r>
            <w:r>
              <w:t xml:space="preserve"> </w:t>
            </w:r>
            <w:r>
              <w:rPr>
                <w:spacing w:val="-2"/>
              </w:rPr>
              <w:t>情况</w:t>
            </w:r>
          </w:p>
        </w:tc>
        <w:tc>
          <w:tcPr>
            <w:tcW w:w="5262" w:type="dxa"/>
            <w:vMerge w:val="continue"/>
            <w:tcBorders>
              <w:top w:val="nil"/>
            </w:tcBorders>
            <w:vAlign w:val="top"/>
          </w:tcPr>
          <w:p>
            <w:pPr>
              <w:rPr>
                <w:rFonts w:ascii="Arial"/>
                <w:sz w:val="21"/>
              </w:rPr>
            </w:pPr>
          </w:p>
        </w:tc>
        <w:tc>
          <w:tcPr>
            <w:tcW w:w="4989" w:type="dxa"/>
            <w:vMerge w:val="continue"/>
            <w:tcBorders>
              <w:top w:val="nil"/>
            </w:tcBorders>
            <w:vAlign w:val="top"/>
          </w:tcPr>
          <w:p>
            <w:pPr>
              <w:rPr>
                <w:rFonts w:ascii="Arial"/>
                <w:sz w:val="21"/>
              </w:rPr>
            </w:pPr>
          </w:p>
        </w:tc>
        <w:tc>
          <w:tcPr>
            <w:tcW w:w="595" w:type="dxa"/>
            <w:vAlign w:val="top"/>
          </w:tcPr>
          <w:p>
            <w:pPr>
              <w:spacing w:line="316" w:lineRule="auto"/>
              <w:rPr>
                <w:rFonts w:ascii="Arial"/>
                <w:sz w:val="21"/>
              </w:rPr>
            </w:pPr>
          </w:p>
          <w:p>
            <w:pPr>
              <w:spacing w:line="317" w:lineRule="auto"/>
              <w:rPr>
                <w:rFonts w:ascii="Arial"/>
                <w:sz w:val="21"/>
              </w:rPr>
            </w:pPr>
          </w:p>
          <w:p>
            <w:pPr>
              <w:pStyle w:val="6"/>
              <w:spacing w:before="68" w:line="223" w:lineRule="auto"/>
              <w:ind w:left="98"/>
            </w:pPr>
            <w:r>
              <w:rPr>
                <w:spacing w:val="-2"/>
              </w:rPr>
              <w:t>施工</w:t>
            </w:r>
          </w:p>
          <w:p>
            <w:pPr>
              <w:pStyle w:val="6"/>
              <w:spacing w:before="19" w:line="221" w:lineRule="auto"/>
              <w:ind w:left="204"/>
            </w:pPr>
            <w:r>
              <w:t>期</w:t>
            </w:r>
          </w:p>
        </w:tc>
        <w:tc>
          <w:tcPr>
            <w:tcW w:w="559" w:type="dxa"/>
            <w:vAlign w:val="top"/>
          </w:tcPr>
          <w:p>
            <w:pPr>
              <w:spacing w:line="316" w:lineRule="auto"/>
              <w:rPr>
                <w:rFonts w:ascii="Arial"/>
                <w:sz w:val="21"/>
              </w:rPr>
            </w:pPr>
          </w:p>
          <w:p>
            <w:pPr>
              <w:spacing w:line="316" w:lineRule="auto"/>
              <w:rPr>
                <w:rFonts w:ascii="Arial"/>
                <w:sz w:val="21"/>
              </w:rPr>
            </w:pPr>
          </w:p>
          <w:p>
            <w:pPr>
              <w:pStyle w:val="6"/>
              <w:spacing w:before="69" w:line="221" w:lineRule="auto"/>
              <w:ind w:left="77"/>
            </w:pPr>
            <w:r>
              <w:rPr>
                <w:spacing w:val="-2"/>
              </w:rPr>
              <w:t>运营</w:t>
            </w:r>
          </w:p>
          <w:p>
            <w:pPr>
              <w:pStyle w:val="6"/>
              <w:spacing w:before="22" w:line="221" w:lineRule="auto"/>
              <w:ind w:left="185"/>
            </w:pPr>
            <w: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2" w:hRule="atLeast"/>
        </w:trPr>
        <w:tc>
          <w:tcPr>
            <w:tcW w:w="39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0" w:line="187" w:lineRule="auto"/>
              <w:ind w:left="83"/>
              <w:rPr>
                <w:rFonts w:ascii="Times New Roman" w:hAnsi="Times New Roman" w:eastAsia="Times New Roman" w:cs="Times New Roman"/>
                <w:sz w:val="21"/>
                <w:szCs w:val="21"/>
              </w:rPr>
            </w:pPr>
            <w:r>
              <w:rPr>
                <w:rFonts w:ascii="Times New Roman" w:hAnsi="Times New Roman" w:eastAsia="Times New Roman" w:cs="Times New Roman"/>
                <w:b/>
                <w:bCs/>
                <w:spacing w:val="-4"/>
                <w:sz w:val="21"/>
                <w:szCs w:val="21"/>
              </w:rPr>
              <w:t>17</w:t>
            </w:r>
          </w:p>
        </w:tc>
        <w:tc>
          <w:tcPr>
            <w:tcW w:w="79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9" w:line="241" w:lineRule="auto"/>
              <w:ind w:left="194"/>
            </w:pPr>
            <w:r>
              <w:rPr>
                <w:spacing w:val="-2"/>
              </w:rPr>
              <w:t>文成</w:t>
            </w:r>
          </w:p>
          <w:p>
            <w:pPr>
              <w:pStyle w:val="6"/>
              <w:spacing w:line="222" w:lineRule="auto"/>
              <w:ind w:left="193"/>
            </w:pPr>
            <w:r>
              <w:rPr>
                <w:spacing w:val="-2"/>
              </w:rPr>
              <w:t>县百</w:t>
            </w:r>
          </w:p>
          <w:p>
            <w:pPr>
              <w:pStyle w:val="6"/>
              <w:spacing w:before="18" w:line="220" w:lineRule="auto"/>
              <w:ind w:left="198"/>
            </w:pPr>
            <w:r>
              <w:rPr>
                <w:spacing w:val="-3"/>
              </w:rPr>
              <w:t>丈漈</w:t>
            </w:r>
          </w:p>
          <w:p>
            <w:pPr>
              <w:pStyle w:val="6"/>
              <w:spacing w:before="23" w:line="217" w:lineRule="auto"/>
              <w:ind w:left="193"/>
            </w:pPr>
            <w:r>
              <w:rPr>
                <w:spacing w:val="-2"/>
              </w:rPr>
              <w:t>镇长</w:t>
            </w:r>
          </w:p>
          <w:p>
            <w:pPr>
              <w:pStyle w:val="6"/>
              <w:spacing w:before="24" w:line="220" w:lineRule="auto"/>
              <w:ind w:left="193"/>
            </w:pPr>
            <w:r>
              <w:rPr>
                <w:spacing w:val="-2"/>
              </w:rPr>
              <w:t>塘村</w:t>
            </w:r>
          </w:p>
        </w:tc>
        <w:tc>
          <w:tcPr>
            <w:tcW w:w="631" w:type="dxa"/>
            <w:textDirection w:val="tbRlV"/>
            <w:vAlign w:val="top"/>
          </w:tcPr>
          <w:p>
            <w:pPr>
              <w:pStyle w:val="6"/>
              <w:spacing w:before="206" w:line="209" w:lineRule="auto"/>
              <w:ind w:left="2181"/>
            </w:pPr>
            <w:r>
              <w:rPr>
                <w:spacing w:val="31"/>
              </w:rPr>
              <w:t>莲塘</w:t>
            </w:r>
          </w:p>
        </w:tc>
        <w:tc>
          <w:tcPr>
            <w:tcW w:w="74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8" w:line="221" w:lineRule="auto"/>
              <w:ind w:left="174"/>
            </w:pPr>
            <w:r>
              <w:rPr>
                <w:spacing w:val="-3"/>
              </w:rPr>
              <w:t>西坑</w:t>
            </w:r>
          </w:p>
          <w:p>
            <w:pPr>
              <w:pStyle w:val="6"/>
              <w:spacing w:before="21" w:line="228" w:lineRule="auto"/>
              <w:ind w:left="173"/>
            </w:pPr>
            <w:r>
              <w:rPr>
                <w:spacing w:val="-3"/>
              </w:rPr>
              <w:t>互通</w:t>
            </w:r>
          </w:p>
          <w:p>
            <w:pPr>
              <w:pStyle w:val="6"/>
              <w:spacing w:before="11" w:line="221" w:lineRule="auto"/>
              <w:ind w:left="170"/>
            </w:pPr>
            <w:r>
              <w:rPr>
                <w:spacing w:val="-2"/>
              </w:rPr>
              <w:t>连接</w:t>
            </w:r>
          </w:p>
          <w:p>
            <w:pPr>
              <w:pStyle w:val="6"/>
              <w:spacing w:before="22" w:line="221" w:lineRule="auto"/>
              <w:ind w:left="172"/>
            </w:pPr>
            <w:r>
              <w:rPr>
                <w:spacing w:val="-3"/>
              </w:rPr>
              <w:t>线主</w:t>
            </w:r>
          </w:p>
          <w:p>
            <w:pPr>
              <w:pStyle w:val="6"/>
              <w:spacing w:before="19" w:line="221" w:lineRule="auto"/>
              <w:ind w:left="277"/>
            </w:pPr>
            <w:r>
              <w:t>线</w:t>
            </w:r>
          </w:p>
          <w:p>
            <w:pPr>
              <w:spacing w:before="41" w:line="191"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p>
            <w:pPr>
              <w:pStyle w:val="6"/>
              <w:spacing w:before="30" w:line="221" w:lineRule="auto"/>
              <w:ind w:left="170"/>
            </w:pPr>
            <w:r>
              <w:rPr>
                <w:spacing w:val="-2"/>
              </w:rPr>
              <w:t>和大</w:t>
            </w:r>
          </w:p>
          <w:p>
            <w:pPr>
              <w:pStyle w:val="6"/>
              <w:spacing w:before="21" w:line="221" w:lineRule="auto"/>
              <w:ind w:left="172"/>
            </w:pPr>
            <w:r>
              <w:rPr>
                <w:spacing w:val="-3"/>
              </w:rPr>
              <w:t>南公</w:t>
            </w:r>
          </w:p>
          <w:p>
            <w:pPr>
              <w:pStyle w:val="6"/>
              <w:spacing w:before="20" w:line="221" w:lineRule="auto"/>
              <w:ind w:left="171"/>
            </w:pPr>
            <w:r>
              <w:rPr>
                <w:spacing w:val="-2"/>
              </w:rPr>
              <w:t>路交</w:t>
            </w:r>
          </w:p>
          <w:p>
            <w:pPr>
              <w:pStyle w:val="6"/>
              <w:spacing w:before="23" w:line="225" w:lineRule="auto"/>
              <w:ind w:left="276"/>
            </w:pPr>
            <w:r>
              <w:t>叉</w:t>
            </w:r>
          </w:p>
        </w:tc>
        <w:tc>
          <w:tcPr>
            <w:tcW w:w="540"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61" w:line="241"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L1</w:t>
            </w:r>
          </w:p>
          <w:p>
            <w:pPr>
              <w:spacing w:line="186" w:lineRule="auto"/>
              <w:ind w:left="1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K6</w:t>
            </w:r>
          </w:p>
          <w:p>
            <w:pPr>
              <w:spacing w:before="54"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w:t>
            </w:r>
          </w:p>
          <w:p>
            <w:pPr>
              <w:spacing w:before="54" w:line="184"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602" w:type="dxa"/>
            <w:textDirection w:val="tbRlV"/>
            <w:vAlign w:val="top"/>
          </w:tcPr>
          <w:p>
            <w:pPr>
              <w:pStyle w:val="6"/>
              <w:spacing w:before="190" w:line="210" w:lineRule="auto"/>
              <w:ind w:left="1907"/>
            </w:pPr>
            <w:r>
              <w:rPr>
                <w:spacing w:val="1"/>
              </w:rPr>
              <w:t>地</w:t>
            </w:r>
            <w:r>
              <w:rPr>
                <w:spacing w:val="-43"/>
              </w:rPr>
              <w:t xml:space="preserve"> </w:t>
            </w:r>
            <w:r>
              <w:rPr>
                <w:spacing w:val="1"/>
              </w:rPr>
              <w:t>面</w:t>
            </w:r>
            <w:r>
              <w:rPr>
                <w:spacing w:val="-45"/>
              </w:rPr>
              <w:t xml:space="preserve"> </w:t>
            </w:r>
            <w:r>
              <w:rPr>
                <w:spacing w:val="1"/>
              </w:rPr>
              <w:t>道</w:t>
            </w:r>
            <w:r>
              <w:rPr>
                <w:spacing w:val="-43"/>
              </w:rPr>
              <w:t xml:space="preserve"> </w:t>
            </w:r>
            <w:r>
              <w:rPr>
                <w:spacing w:val="1"/>
              </w:rPr>
              <w:t>路</w:t>
            </w:r>
          </w:p>
        </w:tc>
        <w:tc>
          <w:tcPr>
            <w:tcW w:w="60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0" w:line="184" w:lineRule="auto"/>
              <w:ind w:left="205"/>
              <w:rPr>
                <w:rFonts w:ascii="Times New Roman" w:hAnsi="Times New Roman" w:eastAsia="Times New Roman" w:cs="Times New Roman"/>
                <w:sz w:val="21"/>
                <w:szCs w:val="21"/>
              </w:rPr>
            </w:pPr>
            <w:r>
              <w:rPr>
                <w:rFonts w:ascii="Times New Roman" w:hAnsi="Times New Roman" w:eastAsia="Times New Roman" w:cs="Times New Roman"/>
                <w:sz w:val="21"/>
                <w:szCs w:val="21"/>
              </w:rPr>
              <w:t>W</w:t>
            </w:r>
          </w:p>
        </w:tc>
        <w:tc>
          <w:tcPr>
            <w:tcW w:w="64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0" w:line="187" w:lineRule="auto"/>
              <w:ind w:left="27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81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0"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w:t>
            </w:r>
          </w:p>
        </w:tc>
        <w:tc>
          <w:tcPr>
            <w:tcW w:w="82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0" w:line="187" w:lineRule="auto"/>
              <w:ind w:left="27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193</w:t>
            </w:r>
          </w:p>
        </w:tc>
        <w:tc>
          <w:tcPr>
            <w:tcW w:w="53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0" w:line="187" w:lineRule="auto"/>
              <w:ind w:left="22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58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0" w:line="187" w:lineRule="auto"/>
              <w:ind w:left="24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082"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8" w:line="236" w:lineRule="auto"/>
              <w:ind w:left="129" w:right="113" w:firstLine="103"/>
            </w:pPr>
            <w:r>
              <w:rPr>
                <w:spacing w:val="-2"/>
              </w:rPr>
              <w:t>砖混结</w:t>
            </w:r>
            <w:r>
              <w:t xml:space="preserve">  </w:t>
            </w:r>
            <w:r>
              <w:rPr>
                <w:spacing w:val="-16"/>
              </w:rPr>
              <w:t>构，</w:t>
            </w:r>
            <w:r>
              <w:rPr>
                <w:spacing w:val="17"/>
              </w:rPr>
              <w:t xml:space="preserve"> </w:t>
            </w:r>
            <w:r>
              <w:rPr>
                <w:rFonts w:ascii="Times New Roman" w:hAnsi="Times New Roman" w:eastAsia="Times New Roman" w:cs="Times New Roman"/>
                <w:spacing w:val="-16"/>
              </w:rPr>
              <w:t>1~4</w:t>
            </w:r>
            <w:r>
              <w:rPr>
                <w:rFonts w:ascii="Times New Roman" w:hAnsi="Times New Roman" w:eastAsia="Times New Roman" w:cs="Times New Roman"/>
              </w:rPr>
              <w:t xml:space="preserve">  </w:t>
            </w:r>
            <w:r>
              <w:rPr>
                <w:spacing w:val="-2"/>
              </w:rPr>
              <w:t>层建筑、</w:t>
            </w:r>
            <w:r>
              <w:rPr>
                <w:spacing w:val="1"/>
              </w:rPr>
              <w:t xml:space="preserve"> </w:t>
            </w:r>
            <w:r>
              <w:rPr>
                <w:spacing w:val="-2"/>
              </w:rPr>
              <w:t>背向、侧</w:t>
            </w:r>
            <w:r>
              <w:rPr>
                <w:spacing w:val="1"/>
              </w:rPr>
              <w:t xml:space="preserve"> </w:t>
            </w:r>
            <w:r>
              <w:rPr>
                <w:spacing w:val="-2"/>
              </w:rPr>
              <w:t>向道路，</w:t>
            </w:r>
            <w:r>
              <w:rPr>
                <w:spacing w:val="1"/>
              </w:rPr>
              <w:t xml:space="preserve"> </w:t>
            </w:r>
            <w:r>
              <w:rPr>
                <w:spacing w:val="32"/>
              </w:rPr>
              <w:t>推拉窗</w:t>
            </w:r>
          </w:p>
        </w:tc>
        <w:tc>
          <w:tcPr>
            <w:tcW w:w="1140"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9" w:line="233" w:lineRule="auto"/>
              <w:ind w:left="161" w:right="142" w:hanging="3"/>
              <w:jc w:val="both"/>
            </w:pPr>
            <w:r>
              <w:rPr>
                <w:spacing w:val="-2"/>
              </w:rPr>
              <w:t>位于大南</w:t>
            </w:r>
            <w:r>
              <w:rPr>
                <w:spacing w:val="1"/>
              </w:rPr>
              <w:t xml:space="preserve"> </w:t>
            </w:r>
            <w:r>
              <w:rPr>
                <w:spacing w:val="-3"/>
              </w:rPr>
              <w:t>公路（二</w:t>
            </w:r>
            <w:r>
              <w:rPr>
                <w:spacing w:val="1"/>
              </w:rPr>
              <w:t xml:space="preserve"> </w:t>
            </w:r>
            <w:r>
              <w:rPr>
                <w:spacing w:val="-6"/>
              </w:rPr>
              <w:t>级公路）</w:t>
            </w:r>
          </w:p>
          <w:p>
            <w:pPr>
              <w:pStyle w:val="6"/>
              <w:spacing w:before="19" w:line="221" w:lineRule="auto"/>
              <w:ind w:left="163"/>
            </w:pPr>
            <w:r>
              <w:rPr>
                <w:spacing w:val="-25"/>
                <w:w w:val="99"/>
              </w:rPr>
              <w:t>西侧，</w:t>
            </w:r>
            <w:r>
              <w:rPr>
                <w:spacing w:val="2"/>
              </w:rPr>
              <w:t xml:space="preserve"> </w:t>
            </w:r>
            <w:r>
              <w:rPr>
                <w:spacing w:val="-25"/>
                <w:w w:val="99"/>
              </w:rPr>
              <w:t>最</w:t>
            </w:r>
          </w:p>
          <w:p>
            <w:pPr>
              <w:pStyle w:val="6"/>
              <w:spacing w:before="23" w:line="221" w:lineRule="auto"/>
              <w:ind w:left="157"/>
            </w:pPr>
            <w:r>
              <w:rPr>
                <w:spacing w:val="-1"/>
              </w:rPr>
              <w:t>近距离约</w:t>
            </w:r>
          </w:p>
          <w:p>
            <w:pPr>
              <w:spacing w:before="43"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70m</w:t>
            </w:r>
          </w:p>
        </w:tc>
        <w:tc>
          <w:tcPr>
            <w:tcW w:w="5262" w:type="dxa"/>
            <w:vAlign w:val="top"/>
          </w:tcPr>
          <w:p>
            <w:pPr>
              <w:spacing w:line="465" w:lineRule="auto"/>
              <w:rPr>
                <w:rFonts w:ascii="Arial"/>
                <w:sz w:val="21"/>
              </w:rPr>
            </w:pPr>
          </w:p>
          <w:p>
            <w:pPr>
              <w:spacing w:line="3905" w:lineRule="exact"/>
            </w:pPr>
            <w:r>
              <w:rPr>
                <w:position w:val="-78"/>
              </w:rPr>
              <w:drawing>
                <wp:inline distT="0" distB="0" distL="0" distR="0">
                  <wp:extent cx="3272155" cy="247904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37"/>
                          <a:stretch>
                            <a:fillRect/>
                          </a:stretch>
                        </pic:blipFill>
                        <pic:spPr>
                          <a:xfrm>
                            <a:off x="0" y="0"/>
                            <a:ext cx="3272409" cy="2479674"/>
                          </a:xfrm>
                          <a:prstGeom prst="rect">
                            <a:avLst/>
                          </a:prstGeom>
                        </pic:spPr>
                      </pic:pic>
                    </a:graphicData>
                  </a:graphic>
                </wp:inline>
              </w:drawing>
            </w:r>
          </w:p>
        </w:tc>
        <w:tc>
          <w:tcPr>
            <w:tcW w:w="4989" w:type="dxa"/>
            <w:vAlign w:val="top"/>
          </w:tcPr>
          <w:p>
            <w:pPr>
              <w:spacing w:line="410" w:lineRule="auto"/>
              <w:rPr>
                <w:rFonts w:ascii="Arial"/>
                <w:sz w:val="21"/>
              </w:rPr>
            </w:pPr>
          </w:p>
          <w:p>
            <w:pPr>
              <w:spacing w:line="4015" w:lineRule="exact"/>
              <w:ind w:firstLine="121"/>
            </w:pPr>
            <w:r>
              <w:rPr>
                <w:position w:val="-80"/>
              </w:rPr>
              <w:drawing>
                <wp:inline distT="0" distB="0" distL="0" distR="0">
                  <wp:extent cx="3013710" cy="254889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38"/>
                          <a:stretch>
                            <a:fillRect/>
                          </a:stretch>
                        </pic:blipFill>
                        <pic:spPr>
                          <a:xfrm>
                            <a:off x="0" y="0"/>
                            <a:ext cx="3014344" cy="2549524"/>
                          </a:xfrm>
                          <a:prstGeom prst="rect">
                            <a:avLst/>
                          </a:prstGeom>
                        </pic:spPr>
                      </pic:pic>
                    </a:graphicData>
                  </a:graphic>
                </wp:inline>
              </w:drawing>
            </w:r>
          </w:p>
        </w:tc>
        <w:tc>
          <w:tcPr>
            <w:tcW w:w="59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221" w:lineRule="auto"/>
              <w:ind w:left="201" w:right="107" w:hanging="79"/>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c>
          <w:tcPr>
            <w:tcW w:w="559"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1" w:line="221" w:lineRule="auto"/>
              <w:ind w:left="182" w:right="93" w:hanging="81"/>
            </w:pPr>
            <w:r>
              <w:rPr>
                <w:rFonts w:ascii="Times New Roman" w:hAnsi="Times New Roman" w:eastAsia="Times New Roman" w:cs="Times New Roman"/>
                <w:spacing w:val="-1"/>
              </w:rPr>
              <w:t>4a/2</w:t>
            </w:r>
            <w:r>
              <w:rPr>
                <w:rFonts w:ascii="Times New Roman" w:hAnsi="Times New Roman" w:eastAsia="Times New Roman" w:cs="Times New Roman"/>
              </w:rPr>
              <w:t xml:space="preserve"> </w:t>
            </w:r>
            <w:r>
              <w:t>类</w:t>
            </w:r>
          </w:p>
        </w:tc>
      </w:tr>
    </w:tbl>
    <w:p>
      <w:pPr>
        <w:pStyle w:val="2"/>
      </w:pPr>
    </w:p>
    <w:p>
      <w:pPr>
        <w:sectPr>
          <w:pgSz w:w="23813" w:h="16839"/>
          <w:pgMar w:top="1118" w:right="1231" w:bottom="1182" w:left="1233" w:header="879" w:footer="1024" w:gutter="0"/>
          <w:cols w:space="720" w:num="1"/>
        </w:sectPr>
      </w:pPr>
    </w:p>
    <w:p>
      <w:pPr>
        <w:pStyle w:val="2"/>
        <w:spacing w:line="435" w:lineRule="auto"/>
      </w:pPr>
    </w:p>
    <w:p>
      <w:pPr>
        <w:spacing w:before="78" w:line="219" w:lineRule="auto"/>
        <w:ind w:left="2116"/>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2.6-3        </w:t>
      </w:r>
      <w:r>
        <w:rPr>
          <w:rFonts w:ascii="宋体" w:hAnsi="宋体" w:eastAsia="宋体" w:cs="宋体"/>
          <w:spacing w:val="-1"/>
          <w:sz w:val="24"/>
          <w:szCs w:val="24"/>
        </w:rPr>
        <w:t>各隧洞口最近敏感点分布情况一览表</w:t>
      </w:r>
    </w:p>
    <w:p>
      <w:pPr>
        <w:spacing w:line="44" w:lineRule="exact"/>
      </w:pPr>
    </w:p>
    <w:tbl>
      <w:tblPr>
        <w:tblStyle w:val="5"/>
        <w:tblW w:w="890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4"/>
        <w:gridCol w:w="1207"/>
        <w:gridCol w:w="2298"/>
        <w:gridCol w:w="983"/>
        <w:gridCol w:w="858"/>
        <w:gridCol w:w="671"/>
        <w:gridCol w:w="949"/>
        <w:gridCol w:w="786"/>
        <w:gridCol w:w="7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9" w:hRule="atLeast"/>
        </w:trPr>
        <w:tc>
          <w:tcPr>
            <w:tcW w:w="434" w:type="dxa"/>
            <w:vMerge w:val="restart"/>
            <w:tcBorders>
              <w:bottom w:val="nil"/>
            </w:tcBorders>
            <w:textDirection w:val="tbRlV"/>
            <w:vAlign w:val="top"/>
          </w:tcPr>
          <w:p>
            <w:pPr>
              <w:pStyle w:val="6"/>
              <w:spacing w:before="105" w:line="211" w:lineRule="auto"/>
              <w:ind w:left="319"/>
            </w:pPr>
            <w:r>
              <w:rPr>
                <w:spacing w:val="31"/>
              </w:rPr>
              <w:t>序号</w:t>
            </w:r>
          </w:p>
        </w:tc>
        <w:tc>
          <w:tcPr>
            <w:tcW w:w="1207" w:type="dxa"/>
            <w:vMerge w:val="restart"/>
            <w:tcBorders>
              <w:bottom w:val="nil"/>
            </w:tcBorders>
            <w:vAlign w:val="top"/>
          </w:tcPr>
          <w:p>
            <w:pPr>
              <w:spacing w:line="385" w:lineRule="auto"/>
              <w:rPr>
                <w:rFonts w:ascii="Arial"/>
                <w:sz w:val="21"/>
              </w:rPr>
            </w:pPr>
          </w:p>
          <w:p>
            <w:pPr>
              <w:pStyle w:val="6"/>
              <w:spacing w:before="68" w:line="223" w:lineRule="auto"/>
              <w:ind w:left="189"/>
            </w:pPr>
            <w:r>
              <w:rPr>
                <w:spacing w:val="-4"/>
              </w:rPr>
              <w:t>隧道名称</w:t>
            </w:r>
          </w:p>
        </w:tc>
        <w:tc>
          <w:tcPr>
            <w:tcW w:w="2298" w:type="dxa"/>
            <w:vMerge w:val="restart"/>
            <w:tcBorders>
              <w:bottom w:val="nil"/>
            </w:tcBorders>
            <w:vAlign w:val="top"/>
          </w:tcPr>
          <w:p>
            <w:pPr>
              <w:spacing w:line="385" w:lineRule="auto"/>
              <w:rPr>
                <w:rFonts w:ascii="Arial"/>
                <w:sz w:val="21"/>
              </w:rPr>
            </w:pPr>
          </w:p>
          <w:p>
            <w:pPr>
              <w:pStyle w:val="6"/>
              <w:spacing w:before="68" w:line="221" w:lineRule="auto"/>
              <w:ind w:left="937"/>
            </w:pPr>
            <w:r>
              <w:rPr>
                <w:spacing w:val="-2"/>
              </w:rPr>
              <w:t>桩号</w:t>
            </w:r>
          </w:p>
        </w:tc>
        <w:tc>
          <w:tcPr>
            <w:tcW w:w="2512" w:type="dxa"/>
            <w:gridSpan w:val="3"/>
            <w:vAlign w:val="top"/>
          </w:tcPr>
          <w:p>
            <w:pPr>
              <w:pStyle w:val="6"/>
              <w:spacing w:before="172" w:line="221" w:lineRule="auto"/>
              <w:ind w:left="1054"/>
            </w:pPr>
            <w:r>
              <w:rPr>
                <w:spacing w:val="-4"/>
              </w:rPr>
              <w:t>东口</w:t>
            </w:r>
          </w:p>
        </w:tc>
        <w:tc>
          <w:tcPr>
            <w:tcW w:w="2451" w:type="dxa"/>
            <w:gridSpan w:val="3"/>
            <w:vAlign w:val="top"/>
          </w:tcPr>
          <w:p>
            <w:pPr>
              <w:pStyle w:val="6"/>
              <w:spacing w:before="173" w:line="224" w:lineRule="auto"/>
              <w:ind w:left="1022"/>
            </w:pPr>
            <w:r>
              <w:rPr>
                <w:spacing w:val="-3"/>
              </w:rPr>
              <w:t>西口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7" w:hRule="atLeast"/>
        </w:trPr>
        <w:tc>
          <w:tcPr>
            <w:tcW w:w="434" w:type="dxa"/>
            <w:vMerge w:val="continue"/>
            <w:tcBorders>
              <w:top w:val="nil"/>
            </w:tcBorders>
            <w:textDirection w:val="tbRlV"/>
            <w:vAlign w:val="top"/>
          </w:tcPr>
          <w:p>
            <w:pPr>
              <w:rPr>
                <w:rFonts w:ascii="Arial"/>
                <w:sz w:val="21"/>
              </w:rPr>
            </w:pPr>
          </w:p>
        </w:tc>
        <w:tc>
          <w:tcPr>
            <w:tcW w:w="1207" w:type="dxa"/>
            <w:vMerge w:val="continue"/>
            <w:tcBorders>
              <w:top w:val="nil"/>
            </w:tcBorders>
            <w:vAlign w:val="top"/>
          </w:tcPr>
          <w:p>
            <w:pPr>
              <w:rPr>
                <w:rFonts w:ascii="Arial"/>
                <w:sz w:val="21"/>
              </w:rPr>
            </w:pPr>
          </w:p>
        </w:tc>
        <w:tc>
          <w:tcPr>
            <w:tcW w:w="2298" w:type="dxa"/>
            <w:vMerge w:val="continue"/>
            <w:tcBorders>
              <w:top w:val="nil"/>
            </w:tcBorders>
            <w:vAlign w:val="top"/>
          </w:tcPr>
          <w:p>
            <w:pPr>
              <w:rPr>
                <w:rFonts w:ascii="Arial"/>
                <w:sz w:val="21"/>
              </w:rPr>
            </w:pPr>
          </w:p>
        </w:tc>
        <w:tc>
          <w:tcPr>
            <w:tcW w:w="983" w:type="dxa"/>
            <w:vAlign w:val="top"/>
          </w:tcPr>
          <w:p>
            <w:pPr>
              <w:pStyle w:val="6"/>
              <w:spacing w:before="165" w:line="221" w:lineRule="auto"/>
              <w:ind w:left="176"/>
            </w:pPr>
            <w:r>
              <w:rPr>
                <w:spacing w:val="-2"/>
              </w:rPr>
              <w:t>敏感点</w:t>
            </w:r>
          </w:p>
        </w:tc>
        <w:tc>
          <w:tcPr>
            <w:tcW w:w="858" w:type="dxa"/>
            <w:vAlign w:val="top"/>
          </w:tcPr>
          <w:p>
            <w:pPr>
              <w:pStyle w:val="6"/>
              <w:spacing w:before="31" w:line="222" w:lineRule="auto"/>
              <w:ind w:left="221" w:right="100" w:hanging="100"/>
            </w:pPr>
            <w:r>
              <w:rPr>
                <w:spacing w:val="-3"/>
              </w:rPr>
              <w:t>与边界</w:t>
            </w:r>
            <w:r>
              <w:t xml:space="preserve"> </w:t>
            </w:r>
            <w:r>
              <w:rPr>
                <w:spacing w:val="-2"/>
              </w:rPr>
              <w:t>距离</w:t>
            </w:r>
          </w:p>
        </w:tc>
        <w:tc>
          <w:tcPr>
            <w:tcW w:w="671" w:type="dxa"/>
            <w:vAlign w:val="top"/>
          </w:tcPr>
          <w:p>
            <w:pPr>
              <w:pStyle w:val="6"/>
              <w:spacing w:before="165" w:line="222" w:lineRule="auto"/>
              <w:ind w:left="128"/>
            </w:pPr>
            <w:r>
              <w:rPr>
                <w:spacing w:val="-2"/>
              </w:rPr>
              <w:t>方位</w:t>
            </w:r>
          </w:p>
        </w:tc>
        <w:tc>
          <w:tcPr>
            <w:tcW w:w="949" w:type="dxa"/>
            <w:vAlign w:val="top"/>
          </w:tcPr>
          <w:p>
            <w:pPr>
              <w:pStyle w:val="6"/>
              <w:spacing w:before="165" w:line="221" w:lineRule="auto"/>
              <w:ind w:left="165"/>
            </w:pPr>
            <w:r>
              <w:rPr>
                <w:spacing w:val="-2"/>
              </w:rPr>
              <w:t>敏感点</w:t>
            </w:r>
          </w:p>
        </w:tc>
        <w:tc>
          <w:tcPr>
            <w:tcW w:w="786" w:type="dxa"/>
            <w:vAlign w:val="top"/>
          </w:tcPr>
          <w:p>
            <w:pPr>
              <w:pStyle w:val="6"/>
              <w:spacing w:before="165" w:line="221" w:lineRule="auto"/>
              <w:ind w:left="187"/>
            </w:pPr>
            <w:r>
              <w:rPr>
                <w:spacing w:val="-2"/>
              </w:rPr>
              <w:t>距离</w:t>
            </w:r>
          </w:p>
        </w:tc>
        <w:tc>
          <w:tcPr>
            <w:tcW w:w="716" w:type="dxa"/>
            <w:vAlign w:val="top"/>
          </w:tcPr>
          <w:p>
            <w:pPr>
              <w:pStyle w:val="6"/>
              <w:spacing w:before="165" w:line="222" w:lineRule="auto"/>
              <w:ind w:left="152"/>
            </w:pPr>
            <w:r>
              <w:rPr>
                <w:spacing w:val="-2"/>
              </w:rPr>
              <w:t>方位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434" w:type="dxa"/>
            <w:vAlign w:val="top"/>
          </w:tcPr>
          <w:p>
            <w:pPr>
              <w:spacing w:before="105" w:line="187" w:lineRule="auto"/>
              <w:ind w:left="17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07" w:type="dxa"/>
            <w:vAlign w:val="top"/>
          </w:tcPr>
          <w:p>
            <w:pPr>
              <w:pStyle w:val="6"/>
              <w:spacing w:before="66" w:line="221" w:lineRule="auto"/>
              <w:ind w:left="179"/>
            </w:pPr>
            <w:r>
              <w:rPr>
                <w:spacing w:val="-2"/>
              </w:rPr>
              <w:t>敖里隧道</w:t>
            </w:r>
          </w:p>
        </w:tc>
        <w:tc>
          <w:tcPr>
            <w:tcW w:w="2298"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LK2+410~LK3+263</w:t>
            </w:r>
          </w:p>
        </w:tc>
        <w:tc>
          <w:tcPr>
            <w:tcW w:w="983" w:type="dxa"/>
            <w:vAlign w:val="top"/>
          </w:tcPr>
          <w:p>
            <w:pPr>
              <w:pStyle w:val="6"/>
              <w:spacing w:before="66" w:line="226" w:lineRule="auto"/>
              <w:ind w:left="281"/>
            </w:pPr>
            <w:r>
              <w:rPr>
                <w:spacing w:val="-2"/>
              </w:rPr>
              <w:t>双田</w:t>
            </w:r>
          </w:p>
        </w:tc>
        <w:tc>
          <w:tcPr>
            <w:tcW w:w="858" w:type="dxa"/>
            <w:vAlign w:val="top"/>
          </w:tcPr>
          <w:p>
            <w:pPr>
              <w:pStyle w:val="6"/>
              <w:spacing w:before="66" w:line="221" w:lineRule="auto"/>
              <w:ind w:left="228"/>
            </w:pPr>
            <w:r>
              <w:rPr>
                <w:spacing w:val="-3"/>
              </w:rPr>
              <w:t>紧邻</w:t>
            </w:r>
          </w:p>
        </w:tc>
        <w:tc>
          <w:tcPr>
            <w:tcW w:w="671" w:type="dxa"/>
            <w:vAlign w:val="top"/>
          </w:tcPr>
          <w:p>
            <w:pPr>
              <w:pStyle w:val="6"/>
              <w:spacing w:before="66" w:line="221" w:lineRule="auto"/>
              <w:ind w:left="130"/>
            </w:pPr>
            <w:r>
              <w:rPr>
                <w:spacing w:val="-3"/>
              </w:rPr>
              <w:t>南侧</w:t>
            </w:r>
          </w:p>
        </w:tc>
        <w:tc>
          <w:tcPr>
            <w:tcW w:w="949" w:type="dxa"/>
            <w:vAlign w:val="top"/>
          </w:tcPr>
          <w:p>
            <w:pPr>
              <w:spacing w:before="101" w:line="229" w:lineRule="auto"/>
              <w:ind w:left="44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6" w:type="dxa"/>
            <w:vAlign w:val="top"/>
          </w:tcPr>
          <w:p>
            <w:pPr>
              <w:spacing w:before="101" w:line="229" w:lineRule="auto"/>
              <w:ind w:left="3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6" w:type="dxa"/>
            <w:vAlign w:val="top"/>
          </w:tcPr>
          <w:p>
            <w:pPr>
              <w:spacing w:before="101" w:line="22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5" w:hRule="atLeast"/>
        </w:trPr>
        <w:tc>
          <w:tcPr>
            <w:tcW w:w="434" w:type="dxa"/>
            <w:vAlign w:val="top"/>
          </w:tcPr>
          <w:p>
            <w:pPr>
              <w:spacing w:before="211" w:line="187" w:lineRule="auto"/>
              <w:ind w:left="157"/>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07" w:type="dxa"/>
            <w:vAlign w:val="top"/>
          </w:tcPr>
          <w:p>
            <w:pPr>
              <w:pStyle w:val="6"/>
              <w:spacing w:before="172" w:line="221" w:lineRule="auto"/>
              <w:ind w:left="185"/>
            </w:pPr>
            <w:r>
              <w:rPr>
                <w:spacing w:val="-4"/>
              </w:rPr>
              <w:t>百丈隧道</w:t>
            </w:r>
          </w:p>
        </w:tc>
        <w:tc>
          <w:tcPr>
            <w:tcW w:w="2298" w:type="dxa"/>
            <w:vAlign w:val="top"/>
          </w:tcPr>
          <w:p>
            <w:pPr>
              <w:spacing w:before="21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LK4+830~LK6+140</w:t>
            </w:r>
          </w:p>
        </w:tc>
        <w:tc>
          <w:tcPr>
            <w:tcW w:w="983" w:type="dxa"/>
            <w:vAlign w:val="top"/>
          </w:tcPr>
          <w:p>
            <w:pPr>
              <w:pStyle w:val="6"/>
              <w:spacing w:before="35" w:line="224" w:lineRule="auto"/>
              <w:ind w:left="181" w:right="105" w:hanging="72"/>
            </w:pPr>
            <w:r>
              <w:rPr>
                <w:spacing w:val="-22"/>
              </w:rPr>
              <w:t>凤鸣（江</w:t>
            </w:r>
            <w:r>
              <w:t xml:space="preserve"> </w:t>
            </w:r>
            <w:r>
              <w:rPr>
                <w:spacing w:val="-6"/>
              </w:rPr>
              <w:t>下寮）</w:t>
            </w:r>
          </w:p>
        </w:tc>
        <w:tc>
          <w:tcPr>
            <w:tcW w:w="858" w:type="dxa"/>
            <w:vAlign w:val="top"/>
          </w:tcPr>
          <w:p>
            <w:pPr>
              <w:spacing w:before="211"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8m</w:t>
            </w:r>
          </w:p>
        </w:tc>
        <w:tc>
          <w:tcPr>
            <w:tcW w:w="671" w:type="dxa"/>
            <w:vAlign w:val="top"/>
          </w:tcPr>
          <w:p>
            <w:pPr>
              <w:pStyle w:val="6"/>
              <w:spacing w:before="173" w:line="224" w:lineRule="auto"/>
              <w:ind w:left="132"/>
            </w:pPr>
            <w:r>
              <w:rPr>
                <w:spacing w:val="-6"/>
              </w:rPr>
              <w:t>西北</w:t>
            </w:r>
          </w:p>
        </w:tc>
        <w:tc>
          <w:tcPr>
            <w:tcW w:w="949" w:type="dxa"/>
            <w:vAlign w:val="top"/>
          </w:tcPr>
          <w:p>
            <w:pPr>
              <w:spacing w:before="208" w:line="233" w:lineRule="auto"/>
              <w:ind w:left="44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86" w:type="dxa"/>
            <w:vAlign w:val="top"/>
          </w:tcPr>
          <w:p>
            <w:pPr>
              <w:spacing w:before="208" w:line="233" w:lineRule="auto"/>
              <w:ind w:left="3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16" w:type="dxa"/>
            <w:vAlign w:val="top"/>
          </w:tcPr>
          <w:p>
            <w:pPr>
              <w:spacing w:before="208" w:line="23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2"/>
        <w:spacing w:line="371" w:lineRule="auto"/>
      </w:pPr>
    </w:p>
    <w:p>
      <w:pPr>
        <w:spacing w:before="78" w:line="220" w:lineRule="auto"/>
        <w:ind w:left="310"/>
        <w:outlineLvl w:val="0"/>
        <w:rPr>
          <w:rFonts w:ascii="宋体" w:hAnsi="宋体" w:eastAsia="宋体" w:cs="宋体"/>
          <w:sz w:val="24"/>
          <w:szCs w:val="24"/>
        </w:rPr>
      </w:pPr>
      <w:r>
        <w:rPr>
          <w:rFonts w:ascii="Times New Roman" w:hAnsi="Times New Roman" w:eastAsia="Times New Roman" w:cs="Times New Roman"/>
          <w:b/>
          <w:bCs/>
          <w:sz w:val="24"/>
          <w:szCs w:val="24"/>
        </w:rPr>
        <w:t xml:space="preserve">2.6.3  </w:t>
      </w:r>
      <w:r>
        <w:rPr>
          <w:rFonts w:ascii="宋体" w:hAnsi="宋体" w:eastAsia="宋体" w:cs="宋体"/>
          <w:sz w:val="24"/>
          <w:szCs w:val="24"/>
          <w14:textOutline w14:w="4354" w14:cap="flat" w14:cmpd="sng">
            <w14:solidFill>
              <w14:srgbClr w14:val="000000"/>
            </w14:solidFill>
            <w14:prstDash w14:val="solid"/>
            <w14:miter w14:val="0"/>
          </w14:textOutline>
        </w:rPr>
        <w:t>生态环境保护目标</w:t>
      </w:r>
    </w:p>
    <w:p>
      <w:pPr>
        <w:spacing w:before="180" w:line="359" w:lineRule="auto"/>
        <w:ind w:left="317" w:right="304" w:firstLine="478"/>
        <w:rPr>
          <w:rFonts w:ascii="宋体" w:hAnsi="宋体" w:eastAsia="宋体" w:cs="宋体"/>
          <w:sz w:val="24"/>
          <w:szCs w:val="24"/>
        </w:rPr>
      </w:pPr>
      <w:r>
        <w:rPr>
          <w:rFonts w:ascii="宋体" w:hAnsi="宋体" w:eastAsia="宋体" w:cs="宋体"/>
          <w:spacing w:val="-3"/>
          <w:sz w:val="24"/>
          <w:szCs w:val="24"/>
        </w:rPr>
        <w:t>本工程不涉及自然保护区、森林公园、世界遗产等生态敏感区和</w:t>
      </w:r>
      <w:r>
        <w:rPr>
          <w:rFonts w:ascii="宋体" w:hAnsi="宋体" w:eastAsia="宋体" w:cs="宋体"/>
          <w:spacing w:val="-4"/>
          <w:sz w:val="24"/>
          <w:szCs w:val="24"/>
        </w:rPr>
        <w:t>生态保护红</w:t>
      </w:r>
      <w:r>
        <w:rPr>
          <w:rFonts w:ascii="宋体" w:hAnsi="宋体" w:eastAsia="宋体" w:cs="宋体"/>
          <w:sz w:val="24"/>
          <w:szCs w:val="24"/>
        </w:rPr>
        <w:t xml:space="preserve"> </w:t>
      </w:r>
      <w:r>
        <w:rPr>
          <w:rFonts w:ascii="宋体" w:hAnsi="宋体" w:eastAsia="宋体" w:cs="宋体"/>
          <w:spacing w:val="-3"/>
          <w:sz w:val="24"/>
          <w:szCs w:val="24"/>
        </w:rPr>
        <w:t>线，与生态保护红线（文成县百丈漈飞云湖国家级风景名胜区生物多样性保</w:t>
      </w:r>
      <w:r>
        <w:rPr>
          <w:rFonts w:ascii="宋体" w:hAnsi="宋体" w:eastAsia="宋体" w:cs="宋体"/>
          <w:spacing w:val="-4"/>
          <w:sz w:val="24"/>
          <w:szCs w:val="24"/>
        </w:rPr>
        <w:t>护生</w:t>
      </w:r>
    </w:p>
    <w:p>
      <w:pPr>
        <w:spacing w:line="218" w:lineRule="auto"/>
        <w:ind w:left="314"/>
        <w:rPr>
          <w:rFonts w:ascii="宋体" w:hAnsi="宋体" w:eastAsia="宋体" w:cs="宋体"/>
          <w:sz w:val="24"/>
          <w:szCs w:val="24"/>
        </w:rPr>
      </w:pPr>
      <w:r>
        <w:rPr>
          <w:rFonts w:ascii="宋体" w:hAnsi="宋体" w:eastAsia="宋体" w:cs="宋体"/>
          <w:spacing w:val="-2"/>
          <w:sz w:val="24"/>
          <w:szCs w:val="24"/>
        </w:rPr>
        <w:t>态保护红线）最近的距离约</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1.85km</w:t>
      </w:r>
      <w:r>
        <w:rPr>
          <w:rFonts w:ascii="宋体" w:hAnsi="宋体" w:eastAsia="宋体" w:cs="宋体"/>
          <w:spacing w:val="-2"/>
          <w:sz w:val="24"/>
          <w:szCs w:val="24"/>
        </w:rPr>
        <w:t>。评价范围涉及少量古树名木和生态公</w:t>
      </w:r>
      <w:r>
        <w:rPr>
          <w:rFonts w:ascii="宋体" w:hAnsi="宋体" w:eastAsia="宋体" w:cs="宋体"/>
          <w:spacing w:val="-3"/>
          <w:sz w:val="24"/>
          <w:szCs w:val="24"/>
        </w:rPr>
        <w:t>益林。</w:t>
      </w:r>
    </w:p>
    <w:p>
      <w:pPr>
        <w:spacing w:before="184" w:line="466" w:lineRule="exact"/>
        <w:ind w:left="794"/>
        <w:rPr>
          <w:rFonts w:ascii="宋体" w:hAnsi="宋体" w:eastAsia="宋体" w:cs="宋体"/>
          <w:sz w:val="24"/>
          <w:szCs w:val="24"/>
        </w:rPr>
      </w:pPr>
      <w:r>
        <w:rPr>
          <w:rFonts w:ascii="宋体" w:hAnsi="宋体" w:eastAsia="宋体" w:cs="宋体"/>
          <w:spacing w:val="2"/>
          <w:position w:val="17"/>
          <w:sz w:val="24"/>
          <w:szCs w:val="24"/>
        </w:rPr>
        <w:t>根据最新的划定的百丈漈</w:t>
      </w:r>
      <w:r>
        <w:rPr>
          <w:rFonts w:ascii="Times New Roman" w:hAnsi="Times New Roman" w:eastAsia="Times New Roman" w:cs="Times New Roman"/>
          <w:spacing w:val="2"/>
          <w:position w:val="17"/>
          <w:sz w:val="24"/>
          <w:szCs w:val="24"/>
        </w:rPr>
        <w:t>-</w:t>
      </w:r>
      <w:r>
        <w:rPr>
          <w:rFonts w:ascii="宋体" w:hAnsi="宋体" w:eastAsia="宋体" w:cs="宋体"/>
          <w:spacing w:val="2"/>
          <w:position w:val="17"/>
          <w:sz w:val="24"/>
          <w:szCs w:val="24"/>
        </w:rPr>
        <w:t>飞云湖风景名胜区范围（上报国</w:t>
      </w:r>
      <w:r>
        <w:rPr>
          <w:rFonts w:ascii="宋体" w:hAnsi="宋体" w:eastAsia="宋体" w:cs="宋体"/>
          <w:spacing w:val="1"/>
          <w:position w:val="17"/>
          <w:sz w:val="24"/>
          <w:szCs w:val="24"/>
        </w:rPr>
        <w:t>家暂未批复，地</w:t>
      </w:r>
    </w:p>
    <w:p>
      <w:pPr>
        <w:spacing w:line="218" w:lineRule="auto"/>
        <w:ind w:left="315"/>
        <w:rPr>
          <w:rFonts w:ascii="宋体" w:hAnsi="宋体" w:eastAsia="宋体" w:cs="宋体"/>
          <w:sz w:val="24"/>
          <w:szCs w:val="24"/>
        </w:rPr>
      </w:pPr>
      <w:r>
        <w:rPr>
          <w:rFonts w:ascii="宋体" w:hAnsi="宋体" w:eastAsia="宋体" w:cs="宋体"/>
          <w:spacing w:val="-6"/>
          <w:sz w:val="24"/>
          <w:szCs w:val="24"/>
        </w:rPr>
        <w:t>方资规部门已启用新的范围</w:t>
      </w:r>
      <w:r>
        <w:rPr>
          <w:rFonts w:ascii="宋体" w:hAnsi="宋体" w:eastAsia="宋体" w:cs="宋体"/>
          <w:spacing w:val="-14"/>
          <w:sz w:val="24"/>
          <w:szCs w:val="24"/>
        </w:rPr>
        <w:t>），</w:t>
      </w:r>
      <w:r>
        <w:rPr>
          <w:rFonts w:ascii="宋体" w:hAnsi="宋体" w:eastAsia="宋体" w:cs="宋体"/>
          <w:spacing w:val="65"/>
          <w:sz w:val="24"/>
          <w:szCs w:val="24"/>
        </w:rPr>
        <w:t xml:space="preserve"> </w:t>
      </w:r>
      <w:r>
        <w:rPr>
          <w:rFonts w:ascii="宋体" w:hAnsi="宋体" w:eastAsia="宋体" w:cs="宋体"/>
          <w:spacing w:val="-6"/>
          <w:sz w:val="24"/>
          <w:szCs w:val="24"/>
        </w:rPr>
        <w:t>本工程线路不涉及百丈漈</w:t>
      </w:r>
      <w:r>
        <w:rPr>
          <w:rFonts w:ascii="Times New Roman" w:hAnsi="Times New Roman" w:eastAsia="Times New Roman" w:cs="Times New Roman"/>
          <w:spacing w:val="-6"/>
          <w:sz w:val="24"/>
          <w:szCs w:val="24"/>
        </w:rPr>
        <w:t>-</w:t>
      </w:r>
      <w:r>
        <w:rPr>
          <w:rFonts w:ascii="宋体" w:hAnsi="宋体" w:eastAsia="宋体" w:cs="宋体"/>
          <w:spacing w:val="-6"/>
          <w:sz w:val="24"/>
          <w:szCs w:val="24"/>
        </w:rPr>
        <w:t>飞云湖风景名胜区。</w:t>
      </w:r>
    </w:p>
    <w:p>
      <w:pPr>
        <w:spacing w:before="184" w:line="468" w:lineRule="exact"/>
        <w:ind w:left="795"/>
        <w:rPr>
          <w:rFonts w:ascii="宋体" w:hAnsi="宋体" w:eastAsia="宋体" w:cs="宋体"/>
          <w:sz w:val="24"/>
          <w:szCs w:val="24"/>
        </w:rPr>
      </w:pPr>
      <w:r>
        <w:rPr>
          <w:rFonts w:ascii="宋体" w:hAnsi="宋体" w:eastAsia="宋体" w:cs="宋体"/>
          <w:spacing w:val="-3"/>
          <w:position w:val="17"/>
          <w:sz w:val="24"/>
          <w:szCs w:val="24"/>
        </w:rPr>
        <w:t>本项目生态环境保护对象主要为工程评价范围内的敏感</w:t>
      </w:r>
      <w:r>
        <w:rPr>
          <w:rFonts w:ascii="宋体" w:hAnsi="宋体" w:eastAsia="宋体" w:cs="宋体"/>
          <w:spacing w:val="-4"/>
          <w:position w:val="17"/>
          <w:sz w:val="24"/>
          <w:szCs w:val="24"/>
        </w:rPr>
        <w:t>区、沿线植被、动物</w:t>
      </w:r>
    </w:p>
    <w:p>
      <w:pPr>
        <w:spacing w:line="218" w:lineRule="auto"/>
        <w:ind w:left="315"/>
        <w:rPr>
          <w:rFonts w:ascii="宋体" w:hAnsi="宋体" w:eastAsia="宋体" w:cs="宋体"/>
          <w:sz w:val="24"/>
          <w:szCs w:val="24"/>
        </w:rPr>
      </w:pPr>
      <w:r>
        <w:rPr>
          <w:rFonts w:ascii="宋体" w:hAnsi="宋体" w:eastAsia="宋体" w:cs="宋体"/>
          <w:spacing w:val="-2"/>
          <w:sz w:val="24"/>
          <w:szCs w:val="24"/>
        </w:rPr>
        <w:t>和水土保持设施以及农田、水生生物、景观资源等。</w:t>
      </w:r>
    </w:p>
    <w:p>
      <w:pPr>
        <w:spacing w:before="182" w:line="359" w:lineRule="auto"/>
        <w:ind w:left="317" w:right="223" w:firstLine="478"/>
        <w:rPr>
          <w:rFonts w:ascii="宋体" w:hAnsi="宋体" w:eastAsia="宋体" w:cs="宋体"/>
          <w:sz w:val="24"/>
          <w:szCs w:val="24"/>
        </w:rPr>
      </w:pPr>
      <w:r>
        <w:rPr>
          <w:rFonts w:ascii="宋体" w:hAnsi="宋体" w:eastAsia="宋体" w:cs="宋体"/>
          <w:spacing w:val="-6"/>
          <w:sz w:val="24"/>
          <w:szCs w:val="24"/>
        </w:rPr>
        <w:t>本工程的生态环境保护要求是：</w:t>
      </w:r>
      <w:r>
        <w:rPr>
          <w:rFonts w:ascii="宋体" w:hAnsi="宋体" w:eastAsia="宋体" w:cs="宋体"/>
          <w:spacing w:val="-29"/>
          <w:sz w:val="24"/>
          <w:szCs w:val="24"/>
        </w:rPr>
        <w:t xml:space="preserve"> </w:t>
      </w:r>
      <w:r>
        <w:rPr>
          <w:rFonts w:ascii="宋体" w:hAnsi="宋体" w:eastAsia="宋体" w:cs="宋体"/>
          <w:spacing w:val="-6"/>
          <w:sz w:val="24"/>
          <w:szCs w:val="24"/>
        </w:rPr>
        <w:t>保护工程影响区的生态</w:t>
      </w:r>
      <w:r>
        <w:rPr>
          <w:rFonts w:ascii="宋体" w:hAnsi="宋体" w:eastAsia="宋体" w:cs="宋体"/>
          <w:spacing w:val="-7"/>
          <w:sz w:val="24"/>
          <w:szCs w:val="24"/>
        </w:rPr>
        <w:t xml:space="preserve">系统的稳定性和完整 </w:t>
      </w:r>
      <w:r>
        <w:rPr>
          <w:rFonts w:ascii="宋体" w:hAnsi="宋体" w:eastAsia="宋体" w:cs="宋体"/>
          <w:spacing w:val="-9"/>
          <w:sz w:val="24"/>
          <w:szCs w:val="24"/>
        </w:rPr>
        <w:t>性，尽量减少工程建设对生态环境的影响，</w:t>
      </w:r>
      <w:r>
        <w:rPr>
          <w:rFonts w:ascii="宋体" w:hAnsi="宋体" w:eastAsia="宋体" w:cs="宋体"/>
          <w:spacing w:val="-47"/>
          <w:sz w:val="24"/>
          <w:szCs w:val="24"/>
        </w:rPr>
        <w:t xml:space="preserve"> </w:t>
      </w:r>
      <w:r>
        <w:rPr>
          <w:rFonts w:ascii="宋体" w:hAnsi="宋体" w:eastAsia="宋体" w:cs="宋体"/>
          <w:spacing w:val="-9"/>
          <w:sz w:val="24"/>
          <w:szCs w:val="24"/>
        </w:rPr>
        <w:t>避免扰</w:t>
      </w:r>
      <w:r>
        <w:rPr>
          <w:rFonts w:ascii="宋体" w:hAnsi="宋体" w:eastAsia="宋体" w:cs="宋体"/>
          <w:spacing w:val="-10"/>
          <w:sz w:val="24"/>
          <w:szCs w:val="24"/>
        </w:rPr>
        <w:t>动施工管理区范围外的动植物。</w:t>
      </w:r>
    </w:p>
    <w:p>
      <w:pPr>
        <w:spacing w:before="2" w:line="218" w:lineRule="auto"/>
        <w:ind w:left="313"/>
        <w:rPr>
          <w:rFonts w:ascii="宋体" w:hAnsi="宋体" w:eastAsia="宋体" w:cs="宋体"/>
          <w:sz w:val="24"/>
          <w:szCs w:val="24"/>
        </w:rPr>
      </w:pPr>
      <w:r>
        <w:rPr>
          <w:rFonts w:ascii="宋体" w:hAnsi="宋体" w:eastAsia="宋体" w:cs="宋体"/>
          <w:spacing w:val="-2"/>
          <w:sz w:val="24"/>
          <w:szCs w:val="24"/>
        </w:rPr>
        <w:t>采取生态恢复措施，恢复和改善工程区生态环境状况。</w:t>
      </w:r>
    </w:p>
    <w:p>
      <w:pPr>
        <w:spacing w:before="183" w:line="219" w:lineRule="auto"/>
        <w:ind w:left="795"/>
        <w:rPr>
          <w:rFonts w:ascii="宋体" w:hAnsi="宋体" w:eastAsia="宋体" w:cs="宋体"/>
          <w:sz w:val="24"/>
          <w:szCs w:val="24"/>
        </w:rPr>
      </w:pPr>
      <w:r>
        <w:rPr>
          <w:rFonts w:ascii="宋体" w:hAnsi="宋体" w:eastAsia="宋体" w:cs="宋体"/>
          <w:spacing w:val="-1"/>
          <w:sz w:val="24"/>
          <w:szCs w:val="24"/>
        </w:rPr>
        <w:t>本工程生态保护目标和保护要求见表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2.6-4</w:t>
      </w:r>
      <w:r>
        <w:rPr>
          <w:rFonts w:ascii="宋体" w:hAnsi="宋体" w:eastAsia="宋体" w:cs="宋体"/>
          <w:spacing w:val="-1"/>
          <w:sz w:val="24"/>
          <w:szCs w:val="24"/>
        </w:rPr>
        <w:t>。</w:t>
      </w:r>
    </w:p>
    <w:p>
      <w:pPr>
        <w:spacing w:before="180" w:line="220" w:lineRule="auto"/>
        <w:ind w:left="232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2.6-4      </w:t>
      </w:r>
      <w:r>
        <w:rPr>
          <w:rFonts w:ascii="宋体" w:hAnsi="宋体" w:eastAsia="宋体" w:cs="宋体"/>
          <w:spacing w:val="-1"/>
          <w:sz w:val="24"/>
          <w:szCs w:val="24"/>
        </w:rPr>
        <w:t>工程陆域生态保护目标一览表</w:t>
      </w:r>
    </w:p>
    <w:p>
      <w:pPr>
        <w:spacing w:line="147" w:lineRule="exact"/>
      </w:pPr>
    </w:p>
    <w:tbl>
      <w:tblPr>
        <w:tblStyle w:val="5"/>
        <w:tblW w:w="7947" w:type="dxa"/>
        <w:tblInd w:w="4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7"/>
        <w:gridCol w:w="1675"/>
        <w:gridCol w:w="52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67" w:type="dxa"/>
            <w:vAlign w:val="top"/>
          </w:tcPr>
          <w:p>
            <w:pPr>
              <w:pStyle w:val="6"/>
              <w:spacing w:before="111" w:line="218" w:lineRule="auto"/>
              <w:ind w:left="120"/>
            </w:pPr>
            <w:r>
              <w:rPr>
                <w:spacing w:val="-2"/>
              </w:rPr>
              <w:t>环境要素</w:t>
            </w:r>
          </w:p>
        </w:tc>
        <w:tc>
          <w:tcPr>
            <w:tcW w:w="1675" w:type="dxa"/>
            <w:vAlign w:val="top"/>
          </w:tcPr>
          <w:p>
            <w:pPr>
              <w:pStyle w:val="6"/>
              <w:spacing w:before="111" w:line="218" w:lineRule="auto"/>
              <w:ind w:left="210"/>
            </w:pPr>
            <w:r>
              <w:rPr>
                <w:spacing w:val="-1"/>
              </w:rPr>
              <w:t>环境保护目标</w:t>
            </w:r>
          </w:p>
        </w:tc>
        <w:tc>
          <w:tcPr>
            <w:tcW w:w="5205" w:type="dxa"/>
            <w:vAlign w:val="top"/>
          </w:tcPr>
          <w:p>
            <w:pPr>
              <w:pStyle w:val="6"/>
              <w:spacing w:before="111" w:line="218" w:lineRule="auto"/>
              <w:ind w:left="2185"/>
            </w:pPr>
            <w:r>
              <w:rPr>
                <w:spacing w:val="-2"/>
              </w:rPr>
              <w:t>保护要求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9" w:line="221" w:lineRule="auto"/>
              <w:ind w:left="122"/>
            </w:pPr>
            <w:r>
              <w:rPr>
                <w:spacing w:val="-2"/>
              </w:rPr>
              <w:t>生态环境</w:t>
            </w:r>
          </w:p>
        </w:tc>
        <w:tc>
          <w:tcPr>
            <w:tcW w:w="1675" w:type="dxa"/>
            <w:vAlign w:val="top"/>
          </w:tcPr>
          <w:p>
            <w:pPr>
              <w:pStyle w:val="6"/>
              <w:spacing w:before="107" w:line="217" w:lineRule="auto"/>
              <w:ind w:left="430"/>
            </w:pPr>
            <w:r>
              <w:rPr>
                <w:spacing w:val="-4"/>
              </w:rPr>
              <w:t>陆生植被</w:t>
            </w:r>
          </w:p>
        </w:tc>
        <w:tc>
          <w:tcPr>
            <w:tcW w:w="5205" w:type="dxa"/>
            <w:vAlign w:val="top"/>
          </w:tcPr>
          <w:p>
            <w:pPr>
              <w:pStyle w:val="6"/>
              <w:spacing w:before="107" w:line="217" w:lineRule="auto"/>
              <w:ind w:left="32"/>
            </w:pPr>
            <w:r>
              <w:rPr>
                <w:spacing w:val="-1"/>
              </w:rPr>
              <w:t>保护评价范围内陆生植被生物多样性。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67" w:type="dxa"/>
            <w:vMerge w:val="continue"/>
            <w:tcBorders>
              <w:top w:val="nil"/>
              <w:bottom w:val="nil"/>
            </w:tcBorders>
            <w:vAlign w:val="top"/>
          </w:tcPr>
          <w:p>
            <w:pPr>
              <w:rPr>
                <w:rFonts w:ascii="Arial"/>
                <w:sz w:val="21"/>
              </w:rPr>
            </w:pPr>
          </w:p>
        </w:tc>
        <w:tc>
          <w:tcPr>
            <w:tcW w:w="1675" w:type="dxa"/>
            <w:vAlign w:val="top"/>
          </w:tcPr>
          <w:p>
            <w:pPr>
              <w:pStyle w:val="6"/>
              <w:spacing w:before="107" w:line="217" w:lineRule="auto"/>
              <w:ind w:left="430"/>
            </w:pPr>
            <w:r>
              <w:rPr>
                <w:spacing w:val="-4"/>
              </w:rPr>
              <w:t>陆生动物</w:t>
            </w:r>
          </w:p>
        </w:tc>
        <w:tc>
          <w:tcPr>
            <w:tcW w:w="5205" w:type="dxa"/>
            <w:vAlign w:val="top"/>
          </w:tcPr>
          <w:p>
            <w:pPr>
              <w:pStyle w:val="6"/>
              <w:spacing w:before="107" w:line="217" w:lineRule="auto"/>
              <w:ind w:left="32"/>
            </w:pPr>
            <w:r>
              <w:rPr>
                <w:spacing w:val="-1"/>
              </w:rPr>
              <w:t>保护评价范围内陆生保护动物及生物多样性。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067" w:type="dxa"/>
            <w:vMerge w:val="continue"/>
            <w:tcBorders>
              <w:top w:val="nil"/>
              <w:bottom w:val="nil"/>
            </w:tcBorders>
            <w:vAlign w:val="top"/>
          </w:tcPr>
          <w:p>
            <w:pPr>
              <w:rPr>
                <w:rFonts w:ascii="Arial"/>
                <w:sz w:val="21"/>
              </w:rPr>
            </w:pPr>
          </w:p>
        </w:tc>
        <w:tc>
          <w:tcPr>
            <w:tcW w:w="1675" w:type="dxa"/>
            <w:vAlign w:val="top"/>
          </w:tcPr>
          <w:p>
            <w:pPr>
              <w:pStyle w:val="6"/>
              <w:spacing w:before="288" w:line="220" w:lineRule="auto"/>
              <w:ind w:left="631"/>
            </w:pPr>
            <w:r>
              <w:rPr>
                <w:spacing w:val="-2"/>
              </w:rPr>
              <w:t>耕地</w:t>
            </w:r>
          </w:p>
        </w:tc>
        <w:tc>
          <w:tcPr>
            <w:tcW w:w="5205" w:type="dxa"/>
            <w:vAlign w:val="top"/>
          </w:tcPr>
          <w:p>
            <w:pPr>
              <w:pStyle w:val="6"/>
              <w:spacing w:before="107" w:line="267" w:lineRule="auto"/>
              <w:ind w:left="30" w:right="23" w:firstLine="1"/>
            </w:pPr>
            <w:r>
              <w:rPr>
                <w:spacing w:val="-5"/>
              </w:rPr>
              <w:t>尽可能减少占用耕地面积，对所占用的耕地进行相应的补</w:t>
            </w:r>
            <w:r>
              <w:rPr>
                <w:spacing w:val="18"/>
              </w:rPr>
              <w:t xml:space="preserve"> </w:t>
            </w:r>
            <w:r>
              <w:rPr>
                <w:spacing w:val="-10"/>
              </w:rPr>
              <w:t>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067" w:type="dxa"/>
            <w:vMerge w:val="continue"/>
            <w:tcBorders>
              <w:top w:val="nil"/>
              <w:bottom w:val="nil"/>
            </w:tcBorders>
            <w:vAlign w:val="top"/>
          </w:tcPr>
          <w:p>
            <w:pPr>
              <w:rPr>
                <w:rFonts w:ascii="Arial"/>
                <w:sz w:val="21"/>
              </w:rPr>
            </w:pPr>
          </w:p>
        </w:tc>
        <w:tc>
          <w:tcPr>
            <w:tcW w:w="1675" w:type="dxa"/>
            <w:vAlign w:val="top"/>
          </w:tcPr>
          <w:p>
            <w:pPr>
              <w:pStyle w:val="6"/>
              <w:spacing w:before="290" w:line="221" w:lineRule="auto"/>
              <w:ind w:left="421"/>
            </w:pPr>
            <w:r>
              <w:rPr>
                <w:spacing w:val="-2"/>
              </w:rPr>
              <w:t>水土保持</w:t>
            </w:r>
          </w:p>
        </w:tc>
        <w:tc>
          <w:tcPr>
            <w:tcW w:w="5205" w:type="dxa"/>
            <w:vAlign w:val="top"/>
          </w:tcPr>
          <w:p>
            <w:pPr>
              <w:pStyle w:val="6"/>
              <w:spacing w:before="110" w:line="266" w:lineRule="auto"/>
              <w:ind w:left="31" w:right="23"/>
            </w:pPr>
            <w:r>
              <w:rPr>
                <w:spacing w:val="-4"/>
              </w:rPr>
              <w:t>拦渣率和林草覆盖率达标，保护评价范围内</w:t>
            </w:r>
            <w:r>
              <w:rPr>
                <w:spacing w:val="-5"/>
              </w:rPr>
              <w:t>植被，减少水</w:t>
            </w:r>
            <w:r>
              <w:t xml:space="preserve"> </w:t>
            </w:r>
            <w:r>
              <w:rPr>
                <w:spacing w:val="-2"/>
              </w:rPr>
              <w:t>土流失。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067" w:type="dxa"/>
            <w:vMerge w:val="continue"/>
            <w:tcBorders>
              <w:top w:val="nil"/>
              <w:bottom w:val="nil"/>
            </w:tcBorders>
            <w:vAlign w:val="top"/>
          </w:tcPr>
          <w:p>
            <w:pPr>
              <w:rPr>
                <w:rFonts w:ascii="Arial"/>
                <w:sz w:val="21"/>
              </w:rPr>
            </w:pPr>
          </w:p>
        </w:tc>
        <w:tc>
          <w:tcPr>
            <w:tcW w:w="1675" w:type="dxa"/>
            <w:vAlign w:val="top"/>
          </w:tcPr>
          <w:p>
            <w:pPr>
              <w:pStyle w:val="6"/>
              <w:spacing w:before="288" w:line="221" w:lineRule="auto"/>
              <w:ind w:left="424"/>
            </w:pPr>
            <w:r>
              <w:rPr>
                <w:spacing w:val="-3"/>
              </w:rPr>
              <w:t>古树名木</w:t>
            </w:r>
          </w:p>
        </w:tc>
        <w:tc>
          <w:tcPr>
            <w:tcW w:w="5205" w:type="dxa"/>
            <w:vAlign w:val="top"/>
          </w:tcPr>
          <w:p>
            <w:pPr>
              <w:pStyle w:val="6"/>
              <w:spacing w:before="108" w:line="266" w:lineRule="auto"/>
              <w:ind w:left="37" w:right="25" w:hanging="4"/>
            </w:pPr>
            <w:r>
              <w:rPr>
                <w:spacing w:val="-5"/>
              </w:rPr>
              <w:t>线位占地不涉及，评价范围涉及</w:t>
            </w:r>
            <w:r>
              <w:rPr>
                <w:spacing w:val="-34"/>
              </w:rPr>
              <w:t xml:space="preserve"> </w:t>
            </w:r>
            <w:r>
              <w:rPr>
                <w:rFonts w:ascii="Times New Roman" w:hAnsi="Times New Roman" w:eastAsia="Times New Roman" w:cs="Times New Roman"/>
                <w:spacing w:val="-5"/>
              </w:rPr>
              <w:t xml:space="preserve">3 </w:t>
            </w:r>
            <w:r>
              <w:rPr>
                <w:spacing w:val="-5"/>
              </w:rPr>
              <w:t>株古树名木，施工和运</w:t>
            </w:r>
            <w:r>
              <w:t xml:space="preserve"> </w:t>
            </w:r>
            <w:r>
              <w:rPr>
                <w:spacing w:val="-2"/>
              </w:rPr>
              <w:t>营时保护好古树名木。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8" w:hRule="atLeast"/>
        </w:trPr>
        <w:tc>
          <w:tcPr>
            <w:tcW w:w="1067" w:type="dxa"/>
            <w:vMerge w:val="continue"/>
            <w:tcBorders>
              <w:top w:val="nil"/>
            </w:tcBorders>
            <w:vAlign w:val="top"/>
          </w:tcPr>
          <w:p>
            <w:pPr>
              <w:rPr>
                <w:rFonts w:ascii="Arial"/>
                <w:sz w:val="21"/>
              </w:rPr>
            </w:pPr>
          </w:p>
        </w:tc>
        <w:tc>
          <w:tcPr>
            <w:tcW w:w="1675" w:type="dxa"/>
            <w:vAlign w:val="top"/>
          </w:tcPr>
          <w:p>
            <w:pPr>
              <w:spacing w:line="288" w:lineRule="auto"/>
              <w:rPr>
                <w:rFonts w:ascii="Arial"/>
                <w:sz w:val="21"/>
              </w:rPr>
            </w:pPr>
          </w:p>
          <w:p>
            <w:pPr>
              <w:spacing w:line="289" w:lineRule="auto"/>
              <w:rPr>
                <w:rFonts w:ascii="Arial"/>
                <w:sz w:val="21"/>
              </w:rPr>
            </w:pPr>
          </w:p>
          <w:p>
            <w:pPr>
              <w:pStyle w:val="6"/>
              <w:spacing w:before="68" w:line="221" w:lineRule="auto"/>
              <w:ind w:left="526"/>
            </w:pPr>
            <w:r>
              <w:rPr>
                <w:spacing w:val="-2"/>
              </w:rPr>
              <w:t>敏感区</w:t>
            </w:r>
          </w:p>
        </w:tc>
        <w:tc>
          <w:tcPr>
            <w:tcW w:w="5205" w:type="dxa"/>
            <w:vAlign w:val="top"/>
          </w:tcPr>
          <w:p>
            <w:pPr>
              <w:pStyle w:val="6"/>
              <w:spacing w:before="109" w:line="292" w:lineRule="auto"/>
              <w:ind w:left="27" w:right="23" w:firstLine="5"/>
            </w:pPr>
            <w:r>
              <w:rPr>
                <w:spacing w:val="-3"/>
              </w:rPr>
              <w:t>生</w:t>
            </w:r>
            <w:r>
              <w:rPr>
                <w:spacing w:val="21"/>
              </w:rPr>
              <w:t xml:space="preserve">  </w:t>
            </w:r>
            <w:r>
              <w:rPr>
                <w:spacing w:val="-3"/>
              </w:rPr>
              <w:t>态</w:t>
            </w:r>
            <w:r>
              <w:rPr>
                <w:spacing w:val="25"/>
              </w:rPr>
              <w:t xml:space="preserve">  </w:t>
            </w:r>
            <w:r>
              <w:rPr>
                <w:spacing w:val="-3"/>
              </w:rPr>
              <w:t>公</w:t>
            </w:r>
            <w:r>
              <w:rPr>
                <w:spacing w:val="22"/>
              </w:rPr>
              <w:t xml:space="preserve">  </w:t>
            </w:r>
            <w:r>
              <w:rPr>
                <w:spacing w:val="-3"/>
              </w:rPr>
              <w:t>益</w:t>
            </w:r>
            <w:r>
              <w:rPr>
                <w:spacing w:val="22"/>
              </w:rPr>
              <w:t xml:space="preserve">  </w:t>
            </w:r>
            <w:r>
              <w:rPr>
                <w:spacing w:val="-3"/>
              </w:rPr>
              <w:t>林</w:t>
            </w:r>
            <w:r>
              <w:rPr>
                <w:spacing w:val="17"/>
              </w:rPr>
              <w:t xml:space="preserve">  </w:t>
            </w:r>
            <w:r>
              <w:rPr>
                <w:spacing w:val="-3"/>
              </w:rPr>
              <w:t>（</w:t>
            </w:r>
            <w:r>
              <w:rPr>
                <w:spacing w:val="35"/>
              </w:rPr>
              <w:t xml:space="preserve">  </w:t>
            </w:r>
            <w:r>
              <w:rPr>
                <w:rFonts w:ascii="Times New Roman" w:hAnsi="Times New Roman" w:eastAsia="Times New Roman" w:cs="Times New Roman"/>
                <w:spacing w:val="-3"/>
              </w:rPr>
              <w:t>L1K2+840~L1K3+1</w:t>
            </w:r>
            <w:r>
              <w:rPr>
                <w:rFonts w:ascii="Times New Roman" w:hAnsi="Times New Roman" w:eastAsia="Times New Roman" w:cs="Times New Roman"/>
                <w:spacing w:val="-4"/>
              </w:rPr>
              <w:t xml:space="preserve">85     </w:t>
            </w:r>
            <w:r>
              <w:rPr>
                <w:spacing w:val="-4"/>
              </w:rPr>
              <w:t>、</w:t>
            </w:r>
            <w:r>
              <w:t xml:space="preserve"> </w:t>
            </w:r>
            <w:r>
              <w:rPr>
                <w:rFonts w:ascii="Times New Roman" w:hAnsi="Times New Roman" w:eastAsia="Times New Roman" w:cs="Times New Roman"/>
                <w:spacing w:val="-2"/>
              </w:rPr>
              <w:t xml:space="preserve">L1K4+900~L1K5+100 </w:t>
            </w:r>
            <w:r>
              <w:rPr>
                <w:spacing w:val="-2"/>
              </w:rPr>
              <w:t>段以隧道穿越国家级生态公益林，</w:t>
            </w:r>
            <w:r>
              <w:rPr>
                <w:spacing w:val="18"/>
              </w:rPr>
              <w:t xml:space="preserve"> </w:t>
            </w:r>
            <w:r>
              <w:rPr>
                <w:spacing w:val="-4"/>
              </w:rPr>
              <w:t>其他路段未占用生态公益林，评价范围涉及省级生态</w:t>
            </w:r>
            <w:r>
              <w:rPr>
                <w:spacing w:val="-5"/>
              </w:rPr>
              <w:t>公益</w:t>
            </w:r>
            <w:r>
              <w:t xml:space="preserve"> </w:t>
            </w:r>
            <w:r>
              <w:rPr>
                <w:spacing w:val="-1"/>
              </w:rPr>
              <w:t>林和国家级生态公益林）</w:t>
            </w:r>
          </w:p>
        </w:tc>
      </w:tr>
    </w:tbl>
    <w:p>
      <w:pPr>
        <w:pStyle w:val="2"/>
      </w:pPr>
    </w:p>
    <w:p>
      <w:pPr>
        <w:sectPr>
          <w:headerReference r:id="rId87" w:type="default"/>
          <w:footerReference r:id="rId88" w:type="default"/>
          <w:pgSz w:w="11907" w:h="16839"/>
          <w:pgMar w:top="1118" w:right="1493" w:bottom="1182" w:left="1495" w:header="879" w:footer="1024" w:gutter="0"/>
          <w:cols w:space="720" w:num="1"/>
        </w:sectPr>
      </w:pPr>
    </w:p>
    <w:p>
      <w:pPr>
        <w:pStyle w:val="2"/>
        <w:spacing w:line="278" w:lineRule="auto"/>
      </w:pPr>
    </w:p>
    <w:p>
      <w:pPr>
        <w:spacing w:before="78" w:line="468" w:lineRule="exact"/>
        <w:ind w:left="641"/>
        <w:rPr>
          <w:rFonts w:ascii="宋体" w:hAnsi="宋体" w:eastAsia="宋体" w:cs="宋体"/>
          <w:sz w:val="24"/>
          <w:szCs w:val="24"/>
        </w:rPr>
      </w:pPr>
      <w:r>
        <w:rPr>
          <w:rFonts w:ascii="宋体" w:hAnsi="宋体" w:eastAsia="宋体" w:cs="宋体"/>
          <w:spacing w:val="-7"/>
          <w:position w:val="17"/>
          <w:sz w:val="24"/>
          <w:szCs w:val="24"/>
        </w:rPr>
        <w:t>本项目线路占地范围内不涉及古树名木， 评价范围内有古树名木</w:t>
      </w:r>
      <w:r>
        <w:rPr>
          <w:rFonts w:ascii="宋体" w:hAnsi="宋体" w:eastAsia="宋体" w:cs="宋体"/>
          <w:spacing w:val="-36"/>
          <w:position w:val="17"/>
          <w:sz w:val="24"/>
          <w:szCs w:val="24"/>
        </w:rPr>
        <w:t xml:space="preserve"> </w:t>
      </w:r>
      <w:r>
        <w:rPr>
          <w:rFonts w:ascii="Times New Roman" w:hAnsi="Times New Roman" w:eastAsia="Times New Roman" w:cs="Times New Roman"/>
          <w:spacing w:val="-7"/>
          <w:position w:val="17"/>
          <w:sz w:val="24"/>
          <w:szCs w:val="24"/>
        </w:rPr>
        <w:t xml:space="preserve">3 </w:t>
      </w:r>
      <w:r>
        <w:rPr>
          <w:rFonts w:ascii="宋体" w:hAnsi="宋体" w:eastAsia="宋体" w:cs="宋体"/>
          <w:spacing w:val="-7"/>
          <w:position w:val="17"/>
          <w:sz w:val="24"/>
          <w:szCs w:val="24"/>
        </w:rPr>
        <w:t>株，主要</w:t>
      </w:r>
    </w:p>
    <w:p>
      <w:pPr>
        <w:spacing w:line="217" w:lineRule="auto"/>
        <w:ind w:left="163"/>
        <w:rPr>
          <w:rFonts w:ascii="宋体" w:hAnsi="宋体" w:eastAsia="宋体" w:cs="宋体"/>
          <w:sz w:val="24"/>
          <w:szCs w:val="24"/>
        </w:rPr>
      </w:pPr>
      <w:r>
        <w:rPr>
          <w:rFonts w:ascii="宋体" w:hAnsi="宋体" w:eastAsia="宋体" w:cs="宋体"/>
          <w:spacing w:val="-1"/>
          <w:sz w:val="24"/>
          <w:szCs w:val="24"/>
        </w:rPr>
        <w:t>为银杏、榉树和圆柏，具体见表</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2.6-5</w:t>
      </w:r>
      <w:r>
        <w:rPr>
          <w:rFonts w:ascii="宋体" w:hAnsi="宋体" w:eastAsia="宋体" w:cs="宋体"/>
          <w:spacing w:val="-1"/>
          <w:sz w:val="24"/>
          <w:szCs w:val="24"/>
        </w:rPr>
        <w:t>。</w:t>
      </w:r>
    </w:p>
    <w:p>
      <w:pPr>
        <w:spacing w:before="183" w:line="218" w:lineRule="auto"/>
        <w:ind w:left="2473"/>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2.6-5        </w:t>
      </w:r>
      <w:r>
        <w:rPr>
          <w:rFonts w:ascii="宋体" w:hAnsi="宋体" w:eastAsia="宋体" w:cs="宋体"/>
          <w:spacing w:val="-1"/>
          <w:sz w:val="24"/>
          <w:szCs w:val="24"/>
        </w:rPr>
        <w:t>评价范围内古树名木一览表</w:t>
      </w:r>
    </w:p>
    <w:p>
      <w:pPr>
        <w:spacing w:line="148" w:lineRule="exact"/>
      </w:pPr>
    </w:p>
    <w:tbl>
      <w:tblPr>
        <w:tblStyle w:val="5"/>
        <w:tblW w:w="86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1"/>
        <w:gridCol w:w="657"/>
        <w:gridCol w:w="891"/>
        <w:gridCol w:w="1305"/>
        <w:gridCol w:w="1300"/>
        <w:gridCol w:w="583"/>
        <w:gridCol w:w="566"/>
        <w:gridCol w:w="461"/>
        <w:gridCol w:w="679"/>
        <w:gridCol w:w="497"/>
        <w:gridCol w:w="664"/>
        <w:gridCol w:w="6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321" w:type="dxa"/>
            <w:textDirection w:val="tbRlV"/>
            <w:vAlign w:val="top"/>
          </w:tcPr>
          <w:p>
            <w:pPr>
              <w:pStyle w:val="6"/>
              <w:spacing w:line="208" w:lineRule="auto"/>
              <w:ind w:left="305"/>
            </w:pPr>
            <w:r>
              <w:rPr>
                <w:spacing w:val="1"/>
              </w:rPr>
              <w:t>序</w:t>
            </w:r>
            <w:r>
              <w:rPr>
                <w:spacing w:val="-43"/>
              </w:rPr>
              <w:t xml:space="preserve"> </w:t>
            </w:r>
            <w:r>
              <w:rPr>
                <w:spacing w:val="1"/>
              </w:rPr>
              <w:t>号</w:t>
            </w:r>
          </w:p>
        </w:tc>
        <w:tc>
          <w:tcPr>
            <w:tcW w:w="657" w:type="dxa"/>
            <w:vAlign w:val="top"/>
          </w:tcPr>
          <w:p>
            <w:pPr>
              <w:spacing w:line="371" w:lineRule="auto"/>
              <w:rPr>
                <w:rFonts w:ascii="Arial"/>
                <w:sz w:val="21"/>
              </w:rPr>
            </w:pPr>
          </w:p>
          <w:p>
            <w:pPr>
              <w:pStyle w:val="6"/>
              <w:spacing w:before="68" w:line="223" w:lineRule="auto"/>
              <w:ind w:left="123"/>
            </w:pPr>
            <w:r>
              <w:rPr>
                <w:spacing w:val="-3"/>
              </w:rPr>
              <w:t>名称</w:t>
            </w:r>
          </w:p>
        </w:tc>
        <w:tc>
          <w:tcPr>
            <w:tcW w:w="891" w:type="dxa"/>
            <w:vAlign w:val="top"/>
          </w:tcPr>
          <w:p>
            <w:pPr>
              <w:spacing w:line="372" w:lineRule="auto"/>
              <w:rPr>
                <w:rFonts w:ascii="Arial"/>
                <w:sz w:val="21"/>
              </w:rPr>
            </w:pPr>
          </w:p>
          <w:p>
            <w:pPr>
              <w:pStyle w:val="6"/>
              <w:spacing w:before="68" w:line="224" w:lineRule="auto"/>
              <w:ind w:left="239"/>
            </w:pPr>
            <w:r>
              <w:rPr>
                <w:spacing w:val="-2"/>
              </w:rPr>
              <w:t>地名</w:t>
            </w:r>
          </w:p>
        </w:tc>
        <w:tc>
          <w:tcPr>
            <w:tcW w:w="1305" w:type="dxa"/>
            <w:vAlign w:val="top"/>
          </w:tcPr>
          <w:p>
            <w:pPr>
              <w:spacing w:line="372" w:lineRule="auto"/>
              <w:rPr>
                <w:rFonts w:ascii="Arial"/>
                <w:sz w:val="21"/>
              </w:rPr>
            </w:pPr>
          </w:p>
          <w:p>
            <w:pPr>
              <w:pStyle w:val="6"/>
              <w:spacing w:before="68" w:line="221" w:lineRule="auto"/>
              <w:ind w:left="447"/>
            </w:pPr>
            <w:r>
              <w:rPr>
                <w:spacing w:val="-2"/>
              </w:rPr>
              <w:t>经度</w:t>
            </w:r>
          </w:p>
        </w:tc>
        <w:tc>
          <w:tcPr>
            <w:tcW w:w="1300" w:type="dxa"/>
            <w:vAlign w:val="top"/>
          </w:tcPr>
          <w:p>
            <w:pPr>
              <w:spacing w:line="372" w:lineRule="auto"/>
              <w:rPr>
                <w:rFonts w:ascii="Arial"/>
                <w:sz w:val="21"/>
              </w:rPr>
            </w:pPr>
          </w:p>
          <w:p>
            <w:pPr>
              <w:pStyle w:val="6"/>
              <w:spacing w:before="68" w:line="221" w:lineRule="auto"/>
              <w:ind w:left="445"/>
            </w:pPr>
            <w:r>
              <w:rPr>
                <w:spacing w:val="-2"/>
              </w:rPr>
              <w:t>纬度</w:t>
            </w:r>
          </w:p>
        </w:tc>
        <w:tc>
          <w:tcPr>
            <w:tcW w:w="583" w:type="dxa"/>
            <w:textDirection w:val="tbRlV"/>
            <w:vAlign w:val="top"/>
          </w:tcPr>
          <w:p>
            <w:pPr>
              <w:pStyle w:val="6"/>
              <w:spacing w:before="183" w:line="209" w:lineRule="auto"/>
              <w:ind w:left="34"/>
            </w:pPr>
            <w:r>
              <w:rPr>
                <w:spacing w:val="46"/>
              </w:rPr>
              <w:t>古树等级</w:t>
            </w:r>
          </w:p>
        </w:tc>
        <w:tc>
          <w:tcPr>
            <w:tcW w:w="566" w:type="dxa"/>
            <w:vAlign w:val="top"/>
          </w:tcPr>
          <w:p>
            <w:pPr>
              <w:pStyle w:val="6"/>
              <w:spacing w:before="186" w:line="238" w:lineRule="auto"/>
              <w:ind w:left="183"/>
            </w:pPr>
            <w:r>
              <w:t>树</w:t>
            </w:r>
          </w:p>
          <w:p>
            <w:pPr>
              <w:pStyle w:val="6"/>
              <w:spacing w:line="219" w:lineRule="auto"/>
              <w:ind w:left="183"/>
            </w:pPr>
            <w:r>
              <w:t>龄</w:t>
            </w:r>
          </w:p>
          <w:p>
            <w:pPr>
              <w:spacing w:before="41" w:line="234"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a</w:t>
            </w:r>
          </w:p>
        </w:tc>
        <w:tc>
          <w:tcPr>
            <w:tcW w:w="461" w:type="dxa"/>
            <w:vAlign w:val="top"/>
          </w:tcPr>
          <w:p>
            <w:pPr>
              <w:pStyle w:val="6"/>
              <w:spacing w:before="186" w:line="238" w:lineRule="auto"/>
              <w:ind w:left="129"/>
            </w:pPr>
            <w:r>
              <w:t>树</w:t>
            </w:r>
          </w:p>
          <w:p>
            <w:pPr>
              <w:pStyle w:val="6"/>
              <w:spacing w:line="220" w:lineRule="auto"/>
              <w:ind w:left="134"/>
            </w:pPr>
            <w:r>
              <w:t>高</w:t>
            </w:r>
          </w:p>
          <w:p>
            <w:pPr>
              <w:spacing w:before="40" w:line="236" w:lineRule="auto"/>
              <w:ind w:left="146"/>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679" w:type="dxa"/>
            <w:vAlign w:val="top"/>
          </w:tcPr>
          <w:p>
            <w:pPr>
              <w:pStyle w:val="6"/>
              <w:spacing w:before="185" w:line="221" w:lineRule="auto"/>
              <w:ind w:left="132"/>
            </w:pPr>
            <w:r>
              <w:rPr>
                <w:spacing w:val="-2"/>
              </w:rPr>
              <w:t>平均</w:t>
            </w:r>
          </w:p>
          <w:p>
            <w:pPr>
              <w:pStyle w:val="6"/>
              <w:spacing w:before="19" w:line="219" w:lineRule="auto"/>
              <w:ind w:left="137"/>
            </w:pPr>
            <w:r>
              <w:rPr>
                <w:spacing w:val="-3"/>
              </w:rPr>
              <w:t>冠幅</w:t>
            </w:r>
          </w:p>
          <w:p>
            <w:pPr>
              <w:spacing w:before="42" w:line="236" w:lineRule="auto"/>
              <w:ind w:left="256"/>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497" w:type="dxa"/>
            <w:vAlign w:val="top"/>
          </w:tcPr>
          <w:p>
            <w:pPr>
              <w:pStyle w:val="6"/>
              <w:spacing w:before="186" w:line="238" w:lineRule="auto"/>
              <w:ind w:left="148"/>
            </w:pPr>
            <w:r>
              <w:t>胸</w:t>
            </w:r>
          </w:p>
          <w:p>
            <w:pPr>
              <w:pStyle w:val="6"/>
              <w:spacing w:line="220" w:lineRule="auto"/>
              <w:ind w:left="148"/>
            </w:pPr>
            <w:r>
              <w:t>径</w:t>
            </w:r>
          </w:p>
          <w:p>
            <w:pPr>
              <w:spacing w:before="41" w:line="233" w:lineRule="auto"/>
              <w:ind w:left="1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cm</w:t>
            </w:r>
          </w:p>
        </w:tc>
        <w:tc>
          <w:tcPr>
            <w:tcW w:w="664" w:type="dxa"/>
            <w:vAlign w:val="top"/>
          </w:tcPr>
          <w:p>
            <w:pPr>
              <w:pStyle w:val="6"/>
              <w:spacing w:before="48" w:line="221" w:lineRule="auto"/>
              <w:ind w:left="131"/>
            </w:pPr>
            <w:r>
              <w:rPr>
                <w:spacing w:val="-3"/>
              </w:rPr>
              <w:t>与线</w:t>
            </w:r>
          </w:p>
          <w:p>
            <w:pPr>
              <w:pStyle w:val="6"/>
              <w:spacing w:before="22" w:line="221" w:lineRule="auto"/>
              <w:ind w:left="128"/>
            </w:pPr>
            <w:r>
              <w:rPr>
                <w:spacing w:val="-2"/>
              </w:rPr>
              <w:t>路距</w:t>
            </w:r>
          </w:p>
          <w:p>
            <w:pPr>
              <w:pStyle w:val="6"/>
              <w:spacing w:before="20" w:line="221" w:lineRule="auto"/>
              <w:ind w:left="236"/>
            </w:pPr>
            <w:r>
              <w:t>离</w:t>
            </w:r>
          </w:p>
          <w:p>
            <w:pPr>
              <w:spacing w:before="40" w:line="201" w:lineRule="auto"/>
              <w:ind w:left="250"/>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681" w:type="dxa"/>
            <w:vAlign w:val="top"/>
          </w:tcPr>
          <w:p>
            <w:pPr>
              <w:spacing w:line="371" w:lineRule="auto"/>
              <w:rPr>
                <w:rFonts w:ascii="Arial"/>
                <w:sz w:val="21"/>
              </w:rPr>
            </w:pPr>
          </w:p>
          <w:p>
            <w:pPr>
              <w:pStyle w:val="6"/>
              <w:spacing w:before="69" w:line="222" w:lineRule="auto"/>
              <w:ind w:left="137"/>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321" w:type="dxa"/>
            <w:vAlign w:val="top"/>
          </w:tcPr>
          <w:p>
            <w:pPr>
              <w:spacing w:line="278" w:lineRule="auto"/>
              <w:rPr>
                <w:rFonts w:ascii="Arial"/>
                <w:sz w:val="21"/>
              </w:rPr>
            </w:pPr>
          </w:p>
          <w:p>
            <w:pPr>
              <w:spacing w:before="60" w:line="187" w:lineRule="auto"/>
              <w:ind w:left="13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57" w:type="dxa"/>
            <w:vAlign w:val="top"/>
          </w:tcPr>
          <w:p>
            <w:pPr>
              <w:pStyle w:val="6"/>
              <w:spacing w:before="303" w:line="218" w:lineRule="auto"/>
              <w:ind w:left="120"/>
            </w:pPr>
            <w:r>
              <w:rPr>
                <w:spacing w:val="-2"/>
              </w:rPr>
              <w:t>枫香</w:t>
            </w:r>
          </w:p>
        </w:tc>
        <w:tc>
          <w:tcPr>
            <w:tcW w:w="891" w:type="dxa"/>
            <w:vAlign w:val="top"/>
          </w:tcPr>
          <w:p>
            <w:pPr>
              <w:pStyle w:val="6"/>
              <w:spacing w:before="34" w:line="227" w:lineRule="auto"/>
              <w:ind w:left="134" w:right="126" w:firstLine="4"/>
              <w:jc w:val="both"/>
            </w:pPr>
            <w:r>
              <w:rPr>
                <w:spacing w:val="-4"/>
              </w:rPr>
              <w:t>西坑镇</w:t>
            </w:r>
            <w:r>
              <w:rPr>
                <w:spacing w:val="1"/>
              </w:rPr>
              <w:t xml:space="preserve"> </w:t>
            </w:r>
            <w:r>
              <w:rPr>
                <w:spacing w:val="-2"/>
              </w:rPr>
              <w:t>敖里村</w:t>
            </w:r>
            <w:r>
              <w:t xml:space="preserve"> </w:t>
            </w:r>
            <w:r>
              <w:rPr>
                <w:spacing w:val="49"/>
              </w:rPr>
              <w:t>委会</w:t>
            </w:r>
          </w:p>
        </w:tc>
        <w:tc>
          <w:tcPr>
            <w:tcW w:w="1305" w:type="dxa"/>
            <w:vAlign w:val="top"/>
          </w:tcPr>
          <w:p>
            <w:pPr>
              <w:spacing w:line="278"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119.946031</w:t>
            </w:r>
          </w:p>
        </w:tc>
        <w:tc>
          <w:tcPr>
            <w:tcW w:w="1300" w:type="dxa"/>
            <w:vAlign w:val="top"/>
          </w:tcPr>
          <w:p>
            <w:pPr>
              <w:spacing w:line="278" w:lineRule="auto"/>
              <w:rPr>
                <w:rFonts w:ascii="Arial"/>
                <w:sz w:val="21"/>
              </w:rPr>
            </w:pPr>
          </w:p>
          <w:p>
            <w:pPr>
              <w:spacing w:before="60"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27.826111</w:t>
            </w:r>
          </w:p>
        </w:tc>
        <w:tc>
          <w:tcPr>
            <w:tcW w:w="583" w:type="dxa"/>
            <w:textDirection w:val="tbRlV"/>
            <w:vAlign w:val="top"/>
          </w:tcPr>
          <w:p>
            <w:pPr>
              <w:pStyle w:val="6"/>
              <w:spacing w:before="183" w:line="211" w:lineRule="auto"/>
              <w:ind w:left="169"/>
            </w:pPr>
            <w:r>
              <w:rPr>
                <w:spacing w:val="31"/>
              </w:rPr>
              <w:t>三级</w:t>
            </w:r>
          </w:p>
        </w:tc>
        <w:tc>
          <w:tcPr>
            <w:tcW w:w="566" w:type="dxa"/>
            <w:vAlign w:val="top"/>
          </w:tcPr>
          <w:p>
            <w:pPr>
              <w:spacing w:line="278" w:lineRule="auto"/>
              <w:rPr>
                <w:rFonts w:ascii="Arial"/>
                <w:sz w:val="21"/>
              </w:rPr>
            </w:pPr>
          </w:p>
          <w:p>
            <w:pPr>
              <w:spacing w:before="60" w:line="187" w:lineRule="auto"/>
              <w:ind w:left="1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215</w:t>
            </w:r>
          </w:p>
        </w:tc>
        <w:tc>
          <w:tcPr>
            <w:tcW w:w="461" w:type="dxa"/>
            <w:vAlign w:val="top"/>
          </w:tcPr>
          <w:p>
            <w:pPr>
              <w:spacing w:line="278" w:lineRule="auto"/>
              <w:rPr>
                <w:rFonts w:ascii="Arial"/>
                <w:sz w:val="21"/>
              </w:rPr>
            </w:pPr>
          </w:p>
          <w:p>
            <w:pPr>
              <w:spacing w:before="60" w:line="187" w:lineRule="auto"/>
              <w:ind w:left="1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679" w:type="dxa"/>
            <w:vAlign w:val="top"/>
          </w:tcPr>
          <w:p>
            <w:pPr>
              <w:spacing w:line="278" w:lineRule="auto"/>
              <w:rPr>
                <w:rFonts w:ascii="Arial"/>
                <w:sz w:val="21"/>
              </w:rPr>
            </w:pPr>
          </w:p>
          <w:p>
            <w:pPr>
              <w:spacing w:before="60" w:line="187" w:lineRule="auto"/>
              <w:ind w:left="2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497" w:type="dxa"/>
            <w:vAlign w:val="top"/>
          </w:tcPr>
          <w:p>
            <w:pPr>
              <w:spacing w:line="278" w:lineRule="auto"/>
              <w:rPr>
                <w:rFonts w:ascii="Arial"/>
                <w:sz w:val="21"/>
              </w:rPr>
            </w:pPr>
          </w:p>
          <w:p>
            <w:pPr>
              <w:spacing w:before="60" w:line="187" w:lineRule="auto"/>
              <w:ind w:left="1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w:t>
            </w:r>
          </w:p>
        </w:tc>
        <w:tc>
          <w:tcPr>
            <w:tcW w:w="664" w:type="dxa"/>
            <w:vAlign w:val="top"/>
          </w:tcPr>
          <w:p>
            <w:pPr>
              <w:spacing w:line="278" w:lineRule="auto"/>
              <w:rPr>
                <w:rFonts w:ascii="Arial"/>
                <w:sz w:val="21"/>
              </w:rPr>
            </w:pPr>
          </w:p>
          <w:p>
            <w:pPr>
              <w:spacing w:before="60"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215</w:t>
            </w:r>
          </w:p>
        </w:tc>
        <w:tc>
          <w:tcPr>
            <w:tcW w:w="681" w:type="dxa"/>
            <w:vMerge w:val="restart"/>
            <w:tcBorders>
              <w:bottom w:val="nil"/>
            </w:tcBorders>
            <w:vAlign w:val="top"/>
          </w:tcPr>
          <w:p>
            <w:pPr>
              <w:pStyle w:val="6"/>
              <w:spacing w:before="42" w:line="235" w:lineRule="auto"/>
              <w:ind w:left="134" w:right="126" w:firstLine="1"/>
              <w:jc w:val="both"/>
            </w:pPr>
            <w:r>
              <w:rPr>
                <w:spacing w:val="-4"/>
              </w:rPr>
              <w:t>均不</w:t>
            </w:r>
            <w:r>
              <w:t xml:space="preserve"> </w:t>
            </w:r>
            <w:r>
              <w:rPr>
                <w:spacing w:val="-3"/>
              </w:rPr>
              <w:t>在工</w:t>
            </w:r>
            <w:r>
              <w:t xml:space="preserve"> </w:t>
            </w:r>
            <w:r>
              <w:rPr>
                <w:spacing w:val="-3"/>
              </w:rPr>
              <w:t>程占</w:t>
            </w:r>
            <w:r>
              <w:t xml:space="preserve"> </w:t>
            </w:r>
            <w:r>
              <w:rPr>
                <w:spacing w:val="-3"/>
              </w:rPr>
              <w:t>地范</w:t>
            </w:r>
          </w:p>
          <w:p>
            <w:pPr>
              <w:pStyle w:val="6"/>
              <w:spacing w:before="22" w:line="236" w:lineRule="auto"/>
              <w:ind w:left="134" w:right="126" w:firstLine="125"/>
            </w:pPr>
            <w:r>
              <w:rPr>
                <w:spacing w:val="-27"/>
              </w:rPr>
              <w:t>围</w:t>
            </w:r>
            <w:r>
              <w:t xml:space="preserve">  </w:t>
            </w:r>
            <w:r>
              <w:rPr>
                <w:spacing w:val="-27"/>
              </w:rPr>
              <w:t>内，</w:t>
            </w:r>
            <w:r>
              <w:t xml:space="preserve"> </w:t>
            </w:r>
            <w:r>
              <w:rPr>
                <w:spacing w:val="-3"/>
              </w:rPr>
              <w:t>位于</w:t>
            </w:r>
            <w:r>
              <w:t xml:space="preserve"> </w:t>
            </w:r>
            <w:r>
              <w:rPr>
                <w:spacing w:val="-3"/>
              </w:rPr>
              <w:t>项目</w:t>
            </w:r>
            <w:r>
              <w:t xml:space="preserve"> </w:t>
            </w:r>
            <w:r>
              <w:rPr>
                <w:spacing w:val="-3"/>
              </w:rPr>
              <w:t>评价</w:t>
            </w:r>
            <w:r>
              <w:t xml:space="preserve"> </w:t>
            </w:r>
            <w:r>
              <w:rPr>
                <w:spacing w:val="-3"/>
              </w:rPr>
              <w:t>范围</w:t>
            </w:r>
          </w:p>
          <w:p>
            <w:pPr>
              <w:pStyle w:val="6"/>
              <w:spacing w:before="22" w:line="215" w:lineRule="auto"/>
              <w:ind w:left="266"/>
            </w:pPr>
            <w:r>
              <w:t>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321" w:type="dxa"/>
            <w:vAlign w:val="top"/>
          </w:tcPr>
          <w:p>
            <w:pPr>
              <w:spacing w:line="418" w:lineRule="auto"/>
              <w:rPr>
                <w:rFonts w:ascii="Arial"/>
                <w:sz w:val="21"/>
              </w:rPr>
            </w:pPr>
          </w:p>
          <w:p>
            <w:pPr>
              <w:spacing w:before="61" w:line="187" w:lineRule="auto"/>
              <w:ind w:left="11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57" w:type="dxa"/>
            <w:vAlign w:val="top"/>
          </w:tcPr>
          <w:p>
            <w:pPr>
              <w:spacing w:line="375" w:lineRule="auto"/>
              <w:rPr>
                <w:rFonts w:ascii="Arial"/>
                <w:sz w:val="21"/>
              </w:rPr>
            </w:pPr>
          </w:p>
          <w:p>
            <w:pPr>
              <w:pStyle w:val="6"/>
              <w:spacing w:before="68" w:line="221" w:lineRule="auto"/>
              <w:ind w:left="122"/>
            </w:pPr>
            <w:r>
              <w:rPr>
                <w:spacing w:val="-2"/>
              </w:rPr>
              <w:t>木犀</w:t>
            </w:r>
          </w:p>
        </w:tc>
        <w:tc>
          <w:tcPr>
            <w:tcW w:w="891" w:type="dxa"/>
            <w:vAlign w:val="top"/>
          </w:tcPr>
          <w:p>
            <w:pPr>
              <w:pStyle w:val="6"/>
              <w:spacing w:before="35" w:line="217" w:lineRule="auto"/>
              <w:ind w:left="139"/>
            </w:pPr>
            <w:r>
              <w:rPr>
                <w:spacing w:val="-3"/>
              </w:rPr>
              <w:t>西坑镇</w:t>
            </w:r>
          </w:p>
          <w:p>
            <w:pPr>
              <w:pStyle w:val="6"/>
              <w:spacing w:before="26" w:line="220" w:lineRule="auto"/>
              <w:ind w:left="134"/>
            </w:pPr>
            <w:r>
              <w:rPr>
                <w:spacing w:val="-2"/>
              </w:rPr>
              <w:t>敖里村</w:t>
            </w:r>
          </w:p>
          <w:p>
            <w:pPr>
              <w:pStyle w:val="6"/>
              <w:spacing w:before="21" w:line="222" w:lineRule="auto"/>
              <w:ind w:left="137"/>
            </w:pPr>
            <w:r>
              <w:rPr>
                <w:spacing w:val="-2"/>
              </w:rPr>
              <w:t>老祠堂</w:t>
            </w:r>
          </w:p>
          <w:p>
            <w:pPr>
              <w:pStyle w:val="6"/>
              <w:spacing w:before="20" w:line="202" w:lineRule="auto"/>
              <w:ind w:left="348"/>
            </w:pPr>
            <w:r>
              <w:t>前</w:t>
            </w:r>
          </w:p>
        </w:tc>
        <w:tc>
          <w:tcPr>
            <w:tcW w:w="1305" w:type="dxa"/>
            <w:vAlign w:val="top"/>
          </w:tcPr>
          <w:p>
            <w:pPr>
              <w:spacing w:line="418"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119.945656</w:t>
            </w:r>
          </w:p>
        </w:tc>
        <w:tc>
          <w:tcPr>
            <w:tcW w:w="1300" w:type="dxa"/>
            <w:vAlign w:val="top"/>
          </w:tcPr>
          <w:p>
            <w:pPr>
              <w:spacing w:line="418" w:lineRule="auto"/>
              <w:rPr>
                <w:rFonts w:ascii="Arial"/>
                <w:sz w:val="21"/>
              </w:rPr>
            </w:pPr>
          </w:p>
          <w:p>
            <w:pPr>
              <w:spacing w:before="61"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27.826008</w:t>
            </w:r>
          </w:p>
        </w:tc>
        <w:tc>
          <w:tcPr>
            <w:tcW w:w="583" w:type="dxa"/>
            <w:textDirection w:val="tbRlV"/>
            <w:vAlign w:val="top"/>
          </w:tcPr>
          <w:p>
            <w:pPr>
              <w:pStyle w:val="6"/>
              <w:spacing w:before="183" w:line="211" w:lineRule="auto"/>
              <w:ind w:left="308"/>
            </w:pPr>
            <w:r>
              <w:rPr>
                <w:spacing w:val="31"/>
              </w:rPr>
              <w:t>三级</w:t>
            </w:r>
          </w:p>
        </w:tc>
        <w:tc>
          <w:tcPr>
            <w:tcW w:w="566" w:type="dxa"/>
            <w:vAlign w:val="top"/>
          </w:tcPr>
          <w:p>
            <w:pPr>
              <w:spacing w:line="418" w:lineRule="auto"/>
              <w:rPr>
                <w:rFonts w:ascii="Arial"/>
                <w:sz w:val="21"/>
              </w:rPr>
            </w:pPr>
          </w:p>
          <w:p>
            <w:pPr>
              <w:spacing w:before="61" w:line="187" w:lineRule="auto"/>
              <w:ind w:left="1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215</w:t>
            </w:r>
          </w:p>
        </w:tc>
        <w:tc>
          <w:tcPr>
            <w:tcW w:w="461" w:type="dxa"/>
            <w:vAlign w:val="top"/>
          </w:tcPr>
          <w:p>
            <w:pPr>
              <w:spacing w:line="418" w:lineRule="auto"/>
              <w:rPr>
                <w:rFonts w:ascii="Arial"/>
                <w:sz w:val="21"/>
              </w:rPr>
            </w:pPr>
          </w:p>
          <w:p>
            <w:pPr>
              <w:spacing w:before="61" w:line="187" w:lineRule="auto"/>
              <w:ind w:left="1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679" w:type="dxa"/>
            <w:vAlign w:val="top"/>
          </w:tcPr>
          <w:p>
            <w:pPr>
              <w:spacing w:line="418" w:lineRule="auto"/>
              <w:rPr>
                <w:rFonts w:ascii="Arial"/>
                <w:sz w:val="21"/>
              </w:rPr>
            </w:pPr>
          </w:p>
          <w:p>
            <w:pPr>
              <w:spacing w:before="61" w:line="187" w:lineRule="auto"/>
              <w:ind w:left="2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497" w:type="dxa"/>
            <w:vAlign w:val="top"/>
          </w:tcPr>
          <w:p>
            <w:pPr>
              <w:spacing w:line="418" w:lineRule="auto"/>
              <w:rPr>
                <w:rFonts w:ascii="Arial"/>
                <w:sz w:val="21"/>
              </w:rPr>
            </w:pPr>
          </w:p>
          <w:p>
            <w:pPr>
              <w:spacing w:before="61" w:line="187" w:lineRule="auto"/>
              <w:ind w:left="1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64" w:type="dxa"/>
            <w:vAlign w:val="top"/>
          </w:tcPr>
          <w:p>
            <w:pPr>
              <w:spacing w:line="418" w:lineRule="auto"/>
              <w:rPr>
                <w:rFonts w:ascii="Arial"/>
                <w:sz w:val="21"/>
              </w:rPr>
            </w:pPr>
          </w:p>
          <w:p>
            <w:pPr>
              <w:spacing w:before="61"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227</w:t>
            </w:r>
          </w:p>
        </w:tc>
        <w:tc>
          <w:tcPr>
            <w:tcW w:w="68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321" w:type="dxa"/>
            <w:vAlign w:val="top"/>
          </w:tcPr>
          <w:p>
            <w:pPr>
              <w:spacing w:line="419" w:lineRule="auto"/>
              <w:rPr>
                <w:rFonts w:ascii="Arial"/>
                <w:sz w:val="21"/>
              </w:rPr>
            </w:pPr>
          </w:p>
          <w:p>
            <w:pPr>
              <w:spacing w:before="61" w:line="187" w:lineRule="auto"/>
              <w:ind w:left="11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57" w:type="dxa"/>
            <w:vAlign w:val="top"/>
          </w:tcPr>
          <w:p>
            <w:pPr>
              <w:spacing w:line="375" w:lineRule="auto"/>
              <w:rPr>
                <w:rFonts w:ascii="Arial"/>
                <w:sz w:val="21"/>
              </w:rPr>
            </w:pPr>
          </w:p>
          <w:p>
            <w:pPr>
              <w:pStyle w:val="6"/>
              <w:spacing w:before="68" w:line="221" w:lineRule="auto"/>
              <w:ind w:left="121"/>
            </w:pPr>
            <w:r>
              <w:rPr>
                <w:spacing w:val="-2"/>
              </w:rPr>
              <w:t>樟树</w:t>
            </w:r>
          </w:p>
        </w:tc>
        <w:tc>
          <w:tcPr>
            <w:tcW w:w="891" w:type="dxa"/>
            <w:vAlign w:val="top"/>
          </w:tcPr>
          <w:p>
            <w:pPr>
              <w:pStyle w:val="6"/>
              <w:spacing w:before="38" w:line="217" w:lineRule="auto"/>
              <w:ind w:left="139"/>
            </w:pPr>
            <w:r>
              <w:rPr>
                <w:spacing w:val="-3"/>
              </w:rPr>
              <w:t>西坑镇</w:t>
            </w:r>
          </w:p>
          <w:p>
            <w:pPr>
              <w:pStyle w:val="6"/>
              <w:spacing w:before="24" w:line="220" w:lineRule="auto"/>
              <w:ind w:left="135"/>
            </w:pPr>
            <w:r>
              <w:rPr>
                <w:spacing w:val="-2"/>
              </w:rPr>
              <w:t>让川村</w:t>
            </w:r>
          </w:p>
          <w:p>
            <w:pPr>
              <w:pStyle w:val="6"/>
              <w:spacing w:before="20" w:line="220" w:lineRule="auto"/>
              <w:ind w:left="141"/>
            </w:pPr>
            <w:r>
              <w:rPr>
                <w:spacing w:val="-3"/>
              </w:rPr>
              <w:t>葫芦岗</w:t>
            </w:r>
          </w:p>
          <w:p>
            <w:pPr>
              <w:pStyle w:val="6"/>
              <w:spacing w:before="23" w:line="207" w:lineRule="auto"/>
              <w:ind w:left="241"/>
            </w:pPr>
            <w:r>
              <w:rPr>
                <w:spacing w:val="-2"/>
              </w:rPr>
              <w:t>后山</w:t>
            </w:r>
          </w:p>
        </w:tc>
        <w:tc>
          <w:tcPr>
            <w:tcW w:w="1305" w:type="dxa"/>
            <w:vAlign w:val="top"/>
          </w:tcPr>
          <w:p>
            <w:pPr>
              <w:spacing w:line="419" w:lineRule="auto"/>
              <w:rPr>
                <w:rFonts w:ascii="Arial"/>
                <w:sz w:val="21"/>
              </w:rPr>
            </w:pPr>
          </w:p>
          <w:p>
            <w:pPr>
              <w:spacing w:before="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119.942183</w:t>
            </w:r>
          </w:p>
        </w:tc>
        <w:tc>
          <w:tcPr>
            <w:tcW w:w="1300" w:type="dxa"/>
            <w:vAlign w:val="top"/>
          </w:tcPr>
          <w:p>
            <w:pPr>
              <w:spacing w:line="419" w:lineRule="auto"/>
              <w:rPr>
                <w:rFonts w:ascii="Arial"/>
                <w:sz w:val="21"/>
              </w:rPr>
            </w:pPr>
          </w:p>
          <w:p>
            <w:pPr>
              <w:spacing w:before="61"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27.835433</w:t>
            </w:r>
          </w:p>
        </w:tc>
        <w:tc>
          <w:tcPr>
            <w:tcW w:w="583" w:type="dxa"/>
            <w:vAlign w:val="top"/>
          </w:tcPr>
          <w:p>
            <w:pPr>
              <w:spacing w:line="279" w:lineRule="auto"/>
              <w:rPr>
                <w:rFonts w:ascii="Arial"/>
                <w:sz w:val="21"/>
              </w:rPr>
            </w:pPr>
          </w:p>
          <w:p>
            <w:pPr>
              <w:pStyle w:val="6"/>
              <w:spacing w:before="68" w:line="204" w:lineRule="auto"/>
              <w:ind w:left="194"/>
            </w:pPr>
            <w:r>
              <w:t>二</w:t>
            </w:r>
          </w:p>
          <w:p>
            <w:pPr>
              <w:pStyle w:val="6"/>
              <w:spacing w:line="222" w:lineRule="auto"/>
              <w:ind w:left="194"/>
            </w:pPr>
            <w:r>
              <w:t>级</w:t>
            </w:r>
          </w:p>
        </w:tc>
        <w:tc>
          <w:tcPr>
            <w:tcW w:w="566" w:type="dxa"/>
            <w:vAlign w:val="top"/>
          </w:tcPr>
          <w:p>
            <w:pPr>
              <w:spacing w:line="419" w:lineRule="auto"/>
              <w:rPr>
                <w:rFonts w:ascii="Arial"/>
                <w:sz w:val="21"/>
              </w:rPr>
            </w:pPr>
          </w:p>
          <w:p>
            <w:pPr>
              <w:spacing w:before="61"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365</w:t>
            </w:r>
          </w:p>
        </w:tc>
        <w:tc>
          <w:tcPr>
            <w:tcW w:w="461" w:type="dxa"/>
            <w:vAlign w:val="top"/>
          </w:tcPr>
          <w:p>
            <w:pPr>
              <w:spacing w:line="419" w:lineRule="auto"/>
              <w:rPr>
                <w:rFonts w:ascii="Arial"/>
                <w:sz w:val="21"/>
              </w:rPr>
            </w:pPr>
          </w:p>
          <w:p>
            <w:pPr>
              <w:spacing w:before="61" w:line="187" w:lineRule="auto"/>
              <w:ind w:left="1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679" w:type="dxa"/>
            <w:vAlign w:val="top"/>
          </w:tcPr>
          <w:p>
            <w:pPr>
              <w:spacing w:line="419" w:lineRule="auto"/>
              <w:rPr>
                <w:rFonts w:ascii="Arial"/>
                <w:sz w:val="21"/>
              </w:rPr>
            </w:pPr>
          </w:p>
          <w:p>
            <w:pPr>
              <w:spacing w:before="61" w:line="187" w:lineRule="auto"/>
              <w:ind w:left="2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497" w:type="dxa"/>
            <w:vAlign w:val="top"/>
          </w:tcPr>
          <w:p>
            <w:pPr>
              <w:spacing w:line="298" w:lineRule="auto"/>
              <w:rPr>
                <w:rFonts w:ascii="Arial"/>
                <w:sz w:val="21"/>
              </w:rPr>
            </w:pPr>
          </w:p>
          <w:p>
            <w:pPr>
              <w:spacing w:before="6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p>
            <w:pPr>
              <w:spacing w:before="54" w:line="187" w:lineRule="auto"/>
              <w:ind w:left="20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664" w:type="dxa"/>
            <w:vAlign w:val="top"/>
          </w:tcPr>
          <w:p>
            <w:pPr>
              <w:spacing w:line="419" w:lineRule="auto"/>
              <w:rPr>
                <w:rFonts w:ascii="Arial"/>
                <w:sz w:val="21"/>
              </w:rPr>
            </w:pPr>
          </w:p>
          <w:p>
            <w:pPr>
              <w:spacing w:before="61"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246</w:t>
            </w:r>
          </w:p>
        </w:tc>
        <w:tc>
          <w:tcPr>
            <w:tcW w:w="681" w:type="dxa"/>
            <w:vMerge w:val="continue"/>
            <w:tcBorders>
              <w:top w:val="nil"/>
            </w:tcBorders>
            <w:vAlign w:val="top"/>
          </w:tcPr>
          <w:p>
            <w:pPr>
              <w:rPr>
                <w:rFonts w:ascii="Arial"/>
                <w:sz w:val="21"/>
              </w:rPr>
            </w:pPr>
          </w:p>
        </w:tc>
      </w:tr>
    </w:tbl>
    <w:p>
      <w:pPr>
        <w:spacing w:before="192" w:line="217" w:lineRule="auto"/>
        <w:ind w:left="641"/>
        <w:rPr>
          <w:rFonts w:ascii="宋体" w:hAnsi="宋体" w:eastAsia="宋体" w:cs="宋体"/>
          <w:sz w:val="24"/>
          <w:szCs w:val="24"/>
        </w:rPr>
      </w:pPr>
      <w:r>
        <w:rPr>
          <w:rFonts w:ascii="宋体" w:hAnsi="宋体" w:eastAsia="宋体" w:cs="宋体"/>
          <w:spacing w:val="-1"/>
          <w:sz w:val="24"/>
          <w:szCs w:val="24"/>
        </w:rPr>
        <w:t>本项目工程沿线分布有重点保护植物，具体见表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2.6-6</w:t>
      </w:r>
      <w:r>
        <w:rPr>
          <w:rFonts w:ascii="宋体" w:hAnsi="宋体" w:eastAsia="宋体" w:cs="宋体"/>
          <w:spacing w:val="-1"/>
          <w:sz w:val="24"/>
          <w:szCs w:val="24"/>
        </w:rPr>
        <w:t>。</w:t>
      </w:r>
    </w:p>
    <w:p>
      <w:pPr>
        <w:spacing w:before="262" w:line="219" w:lineRule="auto"/>
        <w:ind w:left="1753"/>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 xml:space="preserve">2.6-6        </w:t>
      </w:r>
      <w:r>
        <w:rPr>
          <w:rFonts w:ascii="宋体" w:hAnsi="宋体" w:eastAsia="宋体" w:cs="宋体"/>
          <w:spacing w:val="-1"/>
          <w:sz w:val="24"/>
          <w:szCs w:val="24"/>
        </w:rPr>
        <w:t>工程沿线野生重点保护植物分布现状</w:t>
      </w:r>
    </w:p>
    <w:p>
      <w:pPr>
        <w:spacing w:line="224" w:lineRule="exact"/>
      </w:pPr>
    </w:p>
    <w:tbl>
      <w:tblPr>
        <w:tblStyle w:val="5"/>
        <w:tblW w:w="8581"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3"/>
        <w:gridCol w:w="1277"/>
        <w:gridCol w:w="734"/>
        <w:gridCol w:w="734"/>
        <w:gridCol w:w="646"/>
        <w:gridCol w:w="1096"/>
        <w:gridCol w:w="3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03" w:type="dxa"/>
            <w:vAlign w:val="top"/>
          </w:tcPr>
          <w:p>
            <w:pPr>
              <w:pStyle w:val="6"/>
              <w:spacing w:before="193" w:line="222" w:lineRule="auto"/>
              <w:ind w:left="196"/>
            </w:pPr>
            <w:r>
              <w:rPr>
                <w:spacing w:val="-2"/>
              </w:rPr>
              <w:t>序号</w:t>
            </w:r>
          </w:p>
        </w:tc>
        <w:tc>
          <w:tcPr>
            <w:tcW w:w="1277" w:type="dxa"/>
            <w:vAlign w:val="top"/>
          </w:tcPr>
          <w:p>
            <w:pPr>
              <w:pStyle w:val="6"/>
              <w:spacing w:before="193" w:line="221" w:lineRule="auto"/>
              <w:ind w:left="220"/>
            </w:pPr>
            <w:r>
              <w:rPr>
                <w:spacing w:val="-2"/>
              </w:rPr>
              <w:t>物种名称</w:t>
            </w:r>
          </w:p>
        </w:tc>
        <w:tc>
          <w:tcPr>
            <w:tcW w:w="734" w:type="dxa"/>
            <w:vAlign w:val="top"/>
          </w:tcPr>
          <w:p>
            <w:pPr>
              <w:pStyle w:val="6"/>
              <w:spacing w:before="55" w:line="241" w:lineRule="auto"/>
              <w:ind w:left="161"/>
            </w:pPr>
            <w:r>
              <w:rPr>
                <w:spacing w:val="-2"/>
              </w:rPr>
              <w:t>保护</w:t>
            </w:r>
          </w:p>
          <w:p>
            <w:pPr>
              <w:pStyle w:val="6"/>
              <w:spacing w:line="221" w:lineRule="auto"/>
              <w:ind w:left="163"/>
            </w:pPr>
            <w:r>
              <w:rPr>
                <w:spacing w:val="-3"/>
              </w:rPr>
              <w:t>级别</w:t>
            </w:r>
          </w:p>
        </w:tc>
        <w:tc>
          <w:tcPr>
            <w:tcW w:w="734" w:type="dxa"/>
            <w:vAlign w:val="top"/>
          </w:tcPr>
          <w:p>
            <w:pPr>
              <w:pStyle w:val="6"/>
              <w:spacing w:before="55" w:line="241" w:lineRule="auto"/>
              <w:ind w:left="160"/>
            </w:pPr>
            <w:r>
              <w:rPr>
                <w:spacing w:val="-2"/>
              </w:rPr>
              <w:t>濒危</w:t>
            </w:r>
          </w:p>
          <w:p>
            <w:pPr>
              <w:pStyle w:val="6"/>
              <w:spacing w:line="220" w:lineRule="auto"/>
              <w:ind w:left="162"/>
            </w:pPr>
            <w:r>
              <w:rPr>
                <w:spacing w:val="-2"/>
              </w:rPr>
              <w:t>等级</w:t>
            </w:r>
          </w:p>
        </w:tc>
        <w:tc>
          <w:tcPr>
            <w:tcW w:w="646" w:type="dxa"/>
            <w:vAlign w:val="top"/>
          </w:tcPr>
          <w:p>
            <w:pPr>
              <w:pStyle w:val="6"/>
              <w:spacing w:before="56" w:line="231" w:lineRule="auto"/>
              <w:ind w:left="221" w:right="108" w:hanging="103"/>
            </w:pPr>
            <w:r>
              <w:rPr>
                <w:spacing w:val="-3"/>
              </w:rPr>
              <w:t>特有</w:t>
            </w:r>
            <w:r>
              <w:t xml:space="preserve"> 种</w:t>
            </w:r>
          </w:p>
        </w:tc>
        <w:tc>
          <w:tcPr>
            <w:tcW w:w="1096" w:type="dxa"/>
            <w:vAlign w:val="top"/>
          </w:tcPr>
          <w:p>
            <w:pPr>
              <w:pStyle w:val="6"/>
              <w:spacing w:before="55" w:line="231" w:lineRule="auto"/>
              <w:ind w:left="132" w:right="124" w:firstLine="2"/>
            </w:pPr>
            <w:r>
              <w:rPr>
                <w:spacing w:val="-3"/>
              </w:rPr>
              <w:t>极小种群</w:t>
            </w:r>
            <w:r>
              <w:rPr>
                <w:spacing w:val="2"/>
              </w:rPr>
              <w:t xml:space="preserve"> </w:t>
            </w:r>
            <w:r>
              <w:rPr>
                <w:spacing w:val="-2"/>
              </w:rPr>
              <w:t>野生植物</w:t>
            </w:r>
          </w:p>
        </w:tc>
        <w:tc>
          <w:tcPr>
            <w:tcW w:w="3291" w:type="dxa"/>
            <w:vAlign w:val="top"/>
          </w:tcPr>
          <w:p>
            <w:pPr>
              <w:pStyle w:val="6"/>
              <w:spacing w:before="193" w:line="220" w:lineRule="auto"/>
              <w:ind w:left="1230"/>
            </w:pPr>
            <w:r>
              <w:rPr>
                <w:spacing w:val="-2"/>
              </w:rPr>
              <w:t>分布区域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803" w:type="dxa"/>
            <w:vAlign w:val="top"/>
          </w:tcPr>
          <w:p>
            <w:pPr>
              <w:spacing w:line="280" w:lineRule="auto"/>
              <w:rPr>
                <w:rFonts w:ascii="Arial"/>
                <w:sz w:val="21"/>
              </w:rPr>
            </w:pPr>
          </w:p>
          <w:p>
            <w:pPr>
              <w:spacing w:before="60"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w:t>
            </w:r>
          </w:p>
        </w:tc>
        <w:tc>
          <w:tcPr>
            <w:tcW w:w="1277" w:type="dxa"/>
            <w:vAlign w:val="top"/>
          </w:tcPr>
          <w:p>
            <w:pPr>
              <w:pStyle w:val="6"/>
              <w:spacing w:before="181" w:line="221" w:lineRule="auto"/>
              <w:ind w:left="323"/>
            </w:pPr>
            <w:r>
              <w:rPr>
                <w:spacing w:val="-2"/>
              </w:rPr>
              <w:t>野大豆</w:t>
            </w:r>
          </w:p>
          <w:p>
            <w:pPr>
              <w:spacing w:before="40" w:line="191" w:lineRule="auto"/>
              <w:ind w:left="118"/>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Glycine soja</w:t>
            </w:r>
          </w:p>
        </w:tc>
        <w:tc>
          <w:tcPr>
            <w:tcW w:w="734" w:type="dxa"/>
            <w:vAlign w:val="top"/>
          </w:tcPr>
          <w:p>
            <w:pPr>
              <w:pStyle w:val="6"/>
              <w:spacing w:before="167" w:line="238" w:lineRule="auto"/>
              <w:ind w:left="181"/>
            </w:pPr>
            <w:r>
              <w:rPr>
                <w:spacing w:val="-7"/>
              </w:rPr>
              <w:t>国家</w:t>
            </w:r>
          </w:p>
          <w:p>
            <w:pPr>
              <w:pStyle w:val="6"/>
              <w:spacing w:line="222" w:lineRule="auto"/>
              <w:ind w:left="163"/>
            </w:pPr>
            <w:r>
              <w:rPr>
                <w:spacing w:val="-3"/>
              </w:rPr>
              <w:t>二级</w:t>
            </w:r>
          </w:p>
        </w:tc>
        <w:tc>
          <w:tcPr>
            <w:tcW w:w="734" w:type="dxa"/>
            <w:vAlign w:val="top"/>
          </w:tcPr>
          <w:p>
            <w:pPr>
              <w:pStyle w:val="6"/>
              <w:spacing w:before="301" w:line="221" w:lineRule="auto"/>
              <w:ind w:left="162"/>
            </w:pPr>
            <w:r>
              <w:rPr>
                <w:spacing w:val="-2"/>
              </w:rPr>
              <w:t>无危</w:t>
            </w:r>
          </w:p>
        </w:tc>
        <w:tc>
          <w:tcPr>
            <w:tcW w:w="646" w:type="dxa"/>
            <w:vAlign w:val="top"/>
          </w:tcPr>
          <w:p>
            <w:pPr>
              <w:pStyle w:val="6"/>
              <w:spacing w:before="301" w:line="221" w:lineRule="auto"/>
              <w:ind w:left="227"/>
            </w:pPr>
            <w:r>
              <w:t>否</w:t>
            </w:r>
          </w:p>
        </w:tc>
        <w:tc>
          <w:tcPr>
            <w:tcW w:w="1096" w:type="dxa"/>
            <w:vAlign w:val="top"/>
          </w:tcPr>
          <w:p>
            <w:pPr>
              <w:pStyle w:val="6"/>
              <w:spacing w:before="301" w:line="221" w:lineRule="auto"/>
              <w:ind w:left="453"/>
            </w:pPr>
            <w:r>
              <w:t>否</w:t>
            </w:r>
          </w:p>
        </w:tc>
        <w:tc>
          <w:tcPr>
            <w:tcW w:w="3291" w:type="dxa"/>
            <w:vAlign w:val="top"/>
          </w:tcPr>
          <w:p>
            <w:pPr>
              <w:pStyle w:val="6"/>
              <w:spacing w:before="64" w:line="208" w:lineRule="auto"/>
              <w:ind w:left="107"/>
            </w:pPr>
            <w:r>
              <w:rPr>
                <w:rFonts w:ascii="Times New Roman" w:hAnsi="Times New Roman" w:eastAsia="Times New Roman" w:cs="Times New Roman"/>
                <w:spacing w:val="-1"/>
              </w:rPr>
              <w:t>E:119°56′50.38″</w:t>
            </w:r>
            <w:r>
              <w:rPr>
                <w:rFonts w:ascii="Times New Roman" w:hAnsi="Times New Roman" w:eastAsia="Times New Roman" w:cs="Times New Roman"/>
                <w:spacing w:val="-28"/>
              </w:rPr>
              <w:t xml:space="preserve"> </w:t>
            </w:r>
            <w:r>
              <w:rPr>
                <w:spacing w:val="-1"/>
              </w:rPr>
              <w:t>，</w:t>
            </w:r>
            <w:r>
              <w:rPr>
                <w:rFonts w:ascii="Times New Roman" w:hAnsi="Times New Roman" w:eastAsia="Times New Roman" w:cs="Times New Roman"/>
                <w:spacing w:val="-1"/>
              </w:rPr>
              <w:t>N:27°49′29</w:t>
            </w:r>
            <w:r>
              <w:rPr>
                <w:rFonts w:ascii="Times New Roman" w:hAnsi="Times New Roman" w:eastAsia="Times New Roman" w:cs="Times New Roman"/>
                <w:spacing w:val="-2"/>
              </w:rPr>
              <w:t>.08″</w:t>
            </w:r>
            <w:r>
              <w:rPr>
                <w:spacing w:val="-2"/>
              </w:rPr>
              <w:t>，</w:t>
            </w:r>
          </w:p>
          <w:p>
            <w:pPr>
              <w:pStyle w:val="6"/>
              <w:spacing w:line="234" w:lineRule="auto"/>
              <w:ind w:left="143"/>
            </w:pPr>
            <w:r>
              <w:rPr>
                <w:rFonts w:ascii="Times New Roman" w:hAnsi="Times New Roman" w:eastAsia="Times New Roman" w:cs="Times New Roman"/>
                <w:spacing w:val="-2"/>
              </w:rPr>
              <w:t>H:515m</w:t>
            </w:r>
            <w:r>
              <w:rPr>
                <w:rFonts w:ascii="Times New Roman" w:hAnsi="Times New Roman" w:eastAsia="Times New Roman" w:cs="Times New Roman"/>
                <w:spacing w:val="-19"/>
              </w:rPr>
              <w:t xml:space="preserve"> </w:t>
            </w:r>
            <w:r>
              <w:rPr>
                <w:spacing w:val="-2"/>
              </w:rPr>
              <w:t>，敖里隧道进口变电所西</w:t>
            </w:r>
          </w:p>
          <w:p>
            <w:pPr>
              <w:pStyle w:val="6"/>
              <w:spacing w:before="6" w:line="206" w:lineRule="auto"/>
              <w:ind w:left="1541"/>
            </w:pPr>
            <w:r>
              <w:t>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03" w:type="dxa"/>
            <w:vAlign w:val="top"/>
          </w:tcPr>
          <w:p>
            <w:pPr>
              <w:spacing w:line="282" w:lineRule="auto"/>
              <w:rPr>
                <w:rFonts w:ascii="Arial"/>
                <w:sz w:val="21"/>
              </w:rPr>
            </w:pPr>
          </w:p>
          <w:p>
            <w:pPr>
              <w:spacing w:before="60"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w:t>
            </w:r>
          </w:p>
        </w:tc>
        <w:tc>
          <w:tcPr>
            <w:tcW w:w="1277" w:type="dxa"/>
            <w:vAlign w:val="top"/>
          </w:tcPr>
          <w:p>
            <w:pPr>
              <w:pStyle w:val="6"/>
              <w:spacing w:before="62" w:line="221" w:lineRule="auto"/>
              <w:ind w:left="134"/>
            </w:pPr>
            <w:r>
              <w:rPr>
                <w:spacing w:val="-5"/>
              </w:rPr>
              <w:t>中华猕猴桃</w:t>
            </w:r>
          </w:p>
          <w:p>
            <w:pPr>
              <w:spacing w:before="44" w:line="225" w:lineRule="auto"/>
              <w:ind w:left="246" w:right="248" w:hanging="11"/>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Actinidia</w:t>
            </w:r>
            <w:r>
              <w:rPr>
                <w:rFonts w:ascii="Times New Roman" w:hAnsi="Times New Roman" w:eastAsia="Times New Roman" w:cs="Times New Roman"/>
                <w:i/>
                <w:iCs/>
                <w:sz w:val="21"/>
                <w:szCs w:val="21"/>
              </w:rPr>
              <w:t xml:space="preserve"> </w:t>
            </w:r>
            <w:r>
              <w:rPr>
                <w:rFonts w:ascii="Times New Roman" w:hAnsi="Times New Roman" w:eastAsia="Times New Roman" w:cs="Times New Roman"/>
                <w:i/>
                <w:iCs/>
                <w:spacing w:val="-1"/>
                <w:sz w:val="21"/>
                <w:szCs w:val="21"/>
              </w:rPr>
              <w:t>chinensis</w:t>
            </w:r>
          </w:p>
        </w:tc>
        <w:tc>
          <w:tcPr>
            <w:tcW w:w="734" w:type="dxa"/>
            <w:vAlign w:val="top"/>
          </w:tcPr>
          <w:p>
            <w:pPr>
              <w:pStyle w:val="6"/>
              <w:spacing w:before="168" w:line="241" w:lineRule="auto"/>
              <w:ind w:left="181"/>
            </w:pPr>
            <w:r>
              <w:rPr>
                <w:spacing w:val="-7"/>
              </w:rPr>
              <w:t>国家</w:t>
            </w:r>
          </w:p>
          <w:p>
            <w:pPr>
              <w:pStyle w:val="6"/>
              <w:spacing w:line="222" w:lineRule="auto"/>
              <w:ind w:left="163"/>
            </w:pPr>
            <w:r>
              <w:rPr>
                <w:spacing w:val="-3"/>
              </w:rPr>
              <w:t>二级</w:t>
            </w:r>
          </w:p>
        </w:tc>
        <w:tc>
          <w:tcPr>
            <w:tcW w:w="734" w:type="dxa"/>
            <w:vAlign w:val="top"/>
          </w:tcPr>
          <w:p>
            <w:pPr>
              <w:pStyle w:val="6"/>
              <w:spacing w:before="305" w:line="221" w:lineRule="auto"/>
              <w:ind w:left="162"/>
            </w:pPr>
            <w:r>
              <w:rPr>
                <w:spacing w:val="-2"/>
              </w:rPr>
              <w:t>无危</w:t>
            </w:r>
          </w:p>
        </w:tc>
        <w:tc>
          <w:tcPr>
            <w:tcW w:w="646" w:type="dxa"/>
            <w:vAlign w:val="top"/>
          </w:tcPr>
          <w:p>
            <w:pPr>
              <w:pStyle w:val="6"/>
              <w:spacing w:before="305" w:line="224" w:lineRule="auto"/>
              <w:ind w:left="224"/>
            </w:pPr>
            <w:r>
              <w:t>是</w:t>
            </w:r>
          </w:p>
        </w:tc>
        <w:tc>
          <w:tcPr>
            <w:tcW w:w="1096" w:type="dxa"/>
            <w:vAlign w:val="top"/>
          </w:tcPr>
          <w:p>
            <w:pPr>
              <w:pStyle w:val="6"/>
              <w:spacing w:before="305" w:line="221" w:lineRule="auto"/>
              <w:ind w:left="453"/>
            </w:pPr>
            <w:r>
              <w:t>否</w:t>
            </w:r>
          </w:p>
        </w:tc>
        <w:tc>
          <w:tcPr>
            <w:tcW w:w="3291" w:type="dxa"/>
            <w:vAlign w:val="top"/>
          </w:tcPr>
          <w:p>
            <w:pPr>
              <w:pStyle w:val="6"/>
              <w:spacing w:before="70" w:line="181" w:lineRule="auto"/>
              <w:ind w:left="129"/>
            </w:pPr>
            <w:r>
              <w:rPr>
                <w:rFonts w:ascii="Times New Roman" w:hAnsi="Times New Roman" w:eastAsia="Times New Roman" w:cs="Times New Roman"/>
                <w:spacing w:val="-1"/>
              </w:rPr>
              <w:t>E:119°55′55.37″</w:t>
            </w:r>
            <w:r>
              <w:rPr>
                <w:rFonts w:ascii="Times New Roman" w:hAnsi="Times New Roman" w:eastAsia="Times New Roman" w:cs="Times New Roman"/>
                <w:spacing w:val="-28"/>
              </w:rPr>
              <w:t xml:space="preserve"> </w:t>
            </w:r>
            <w:r>
              <w:rPr>
                <w:spacing w:val="-1"/>
              </w:rPr>
              <w:t>，</w:t>
            </w:r>
            <w:r>
              <w:rPr>
                <w:rFonts w:ascii="Times New Roman" w:hAnsi="Times New Roman" w:eastAsia="Times New Roman" w:cs="Times New Roman"/>
                <w:spacing w:val="-1"/>
              </w:rPr>
              <w:t>N:27°49′1</w:t>
            </w:r>
            <w:r>
              <w:rPr>
                <w:rFonts w:ascii="Times New Roman" w:hAnsi="Times New Roman" w:eastAsia="Times New Roman" w:cs="Times New Roman"/>
                <w:spacing w:val="-2"/>
              </w:rPr>
              <w:t>.76″</w:t>
            </w:r>
            <w:r>
              <w:rPr>
                <w:spacing w:val="-2"/>
              </w:rPr>
              <w:t>，</w:t>
            </w:r>
          </w:p>
          <w:p>
            <w:pPr>
              <w:pStyle w:val="6"/>
              <w:spacing w:before="29" w:line="234" w:lineRule="auto"/>
              <w:ind w:left="107"/>
            </w:pPr>
            <w:r>
              <w:rPr>
                <w:rFonts w:ascii="Times New Roman" w:hAnsi="Times New Roman" w:eastAsia="Times New Roman" w:cs="Times New Roman"/>
                <w:spacing w:val="-3"/>
              </w:rPr>
              <w:t>H:458m</w:t>
            </w:r>
            <w:r>
              <w:rPr>
                <w:spacing w:val="-3"/>
              </w:rPr>
              <w:t>，</w:t>
            </w:r>
            <w:r>
              <w:rPr>
                <w:rFonts w:ascii="Times New Roman" w:hAnsi="Times New Roman" w:eastAsia="Times New Roman" w:cs="Times New Roman"/>
                <w:spacing w:val="-3"/>
              </w:rPr>
              <w:t>K0+400</w:t>
            </w:r>
            <w:r>
              <w:rPr>
                <w:rFonts w:ascii="Times New Roman" w:hAnsi="Times New Roman" w:eastAsia="Times New Roman" w:cs="Times New Roman"/>
                <w:spacing w:val="22"/>
              </w:rPr>
              <w:t xml:space="preserve"> </w:t>
            </w:r>
            <w:r>
              <w:rPr>
                <w:spacing w:val="-3"/>
              </w:rPr>
              <w:t>到严驮岙道路南</w:t>
            </w:r>
          </w:p>
          <w:p>
            <w:pPr>
              <w:pStyle w:val="6"/>
              <w:spacing w:before="6" w:line="204" w:lineRule="auto"/>
              <w:ind w:left="1541"/>
            </w:pPr>
            <w:r>
              <w:t>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803" w:type="dxa"/>
            <w:vAlign w:val="top"/>
          </w:tcPr>
          <w:p>
            <w:pPr>
              <w:spacing w:line="253" w:lineRule="auto"/>
              <w:rPr>
                <w:rFonts w:ascii="Arial"/>
                <w:sz w:val="21"/>
              </w:rPr>
            </w:pPr>
          </w:p>
          <w:p>
            <w:pPr>
              <w:spacing w:before="60"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w:t>
            </w:r>
          </w:p>
        </w:tc>
        <w:tc>
          <w:tcPr>
            <w:tcW w:w="1277" w:type="dxa"/>
            <w:vAlign w:val="top"/>
          </w:tcPr>
          <w:p>
            <w:pPr>
              <w:pStyle w:val="6"/>
              <w:spacing w:before="33" w:line="221" w:lineRule="auto"/>
              <w:ind w:left="430"/>
            </w:pPr>
            <w:r>
              <w:rPr>
                <w:spacing w:val="-2"/>
              </w:rPr>
              <w:t>杨桐</w:t>
            </w:r>
          </w:p>
          <w:p>
            <w:pPr>
              <w:spacing w:before="40" w:line="213" w:lineRule="auto"/>
              <w:ind w:left="308" w:right="191" w:hanging="138"/>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 xml:space="preserve">Adinandra </w:t>
            </w:r>
            <w:r>
              <w:rPr>
                <w:rFonts w:ascii="Times New Roman" w:hAnsi="Times New Roman" w:eastAsia="Times New Roman" w:cs="Times New Roman"/>
                <w:i/>
                <w:iCs/>
                <w:spacing w:val="-1"/>
                <w:sz w:val="21"/>
                <w:szCs w:val="21"/>
              </w:rPr>
              <w:t>millettii</w:t>
            </w:r>
          </w:p>
        </w:tc>
        <w:tc>
          <w:tcPr>
            <w:tcW w:w="734" w:type="dxa"/>
            <w:vAlign w:val="top"/>
          </w:tcPr>
          <w:p>
            <w:pPr>
              <w:pStyle w:val="6"/>
              <w:spacing w:before="275" w:line="221" w:lineRule="auto"/>
              <w:ind w:left="163"/>
            </w:pPr>
            <w:r>
              <w:rPr>
                <w:spacing w:val="-3"/>
              </w:rPr>
              <w:t>省级</w:t>
            </w:r>
          </w:p>
        </w:tc>
        <w:tc>
          <w:tcPr>
            <w:tcW w:w="734" w:type="dxa"/>
            <w:vAlign w:val="top"/>
          </w:tcPr>
          <w:p>
            <w:pPr>
              <w:pStyle w:val="6"/>
              <w:spacing w:before="276" w:line="221" w:lineRule="auto"/>
              <w:ind w:left="162"/>
            </w:pPr>
            <w:r>
              <w:rPr>
                <w:spacing w:val="-2"/>
              </w:rPr>
              <w:t>无危</w:t>
            </w:r>
          </w:p>
        </w:tc>
        <w:tc>
          <w:tcPr>
            <w:tcW w:w="646" w:type="dxa"/>
            <w:vAlign w:val="top"/>
          </w:tcPr>
          <w:p>
            <w:pPr>
              <w:pStyle w:val="6"/>
              <w:spacing w:before="276" w:line="221" w:lineRule="auto"/>
              <w:ind w:left="227"/>
            </w:pPr>
            <w:r>
              <w:t>否</w:t>
            </w:r>
          </w:p>
        </w:tc>
        <w:tc>
          <w:tcPr>
            <w:tcW w:w="1096" w:type="dxa"/>
            <w:vAlign w:val="top"/>
          </w:tcPr>
          <w:p>
            <w:pPr>
              <w:pStyle w:val="6"/>
              <w:spacing w:before="276" w:line="221" w:lineRule="auto"/>
              <w:ind w:left="453"/>
            </w:pPr>
            <w:r>
              <w:t>否</w:t>
            </w:r>
          </w:p>
        </w:tc>
        <w:tc>
          <w:tcPr>
            <w:tcW w:w="3291" w:type="dxa"/>
            <w:vAlign w:val="top"/>
          </w:tcPr>
          <w:p>
            <w:pPr>
              <w:pStyle w:val="6"/>
              <w:spacing w:before="174" w:line="222" w:lineRule="auto"/>
              <w:ind w:left="283" w:right="92" w:hanging="176"/>
            </w:pPr>
            <w:r>
              <w:rPr>
                <w:rFonts w:ascii="Times New Roman" w:hAnsi="Times New Roman" w:eastAsia="Times New Roman" w:cs="Times New Roman"/>
                <w:spacing w:val="-3"/>
              </w:rPr>
              <w:t>E:119°56′40.35″</w:t>
            </w:r>
            <w:r>
              <w:rPr>
                <w:rFonts w:ascii="Times New Roman" w:hAnsi="Times New Roman" w:eastAsia="Times New Roman" w:cs="Times New Roman"/>
                <w:spacing w:val="-17"/>
              </w:rPr>
              <w:t xml:space="preserve"> </w:t>
            </w:r>
            <w:r>
              <w:rPr>
                <w:spacing w:val="-3"/>
              </w:rPr>
              <w:t>，</w:t>
            </w:r>
            <w:r>
              <w:rPr>
                <w:rFonts w:ascii="Times New Roman" w:hAnsi="Times New Roman" w:eastAsia="Times New Roman" w:cs="Times New Roman"/>
                <w:spacing w:val="-3"/>
              </w:rPr>
              <w:t>N:27°49′20.35″</w:t>
            </w:r>
            <w:r>
              <w:rPr>
                <w:spacing w:val="-3"/>
              </w:rPr>
              <w:t>，</w:t>
            </w:r>
            <w:r>
              <w:t xml:space="preserve"> </w:t>
            </w:r>
            <w:r>
              <w:rPr>
                <w:rFonts w:ascii="Times New Roman" w:hAnsi="Times New Roman" w:eastAsia="Times New Roman" w:cs="Times New Roman"/>
                <w:spacing w:val="-2"/>
              </w:rPr>
              <w:t>H:462m</w:t>
            </w:r>
            <w:r>
              <w:rPr>
                <w:rFonts w:ascii="Times New Roman" w:hAnsi="Times New Roman" w:eastAsia="Times New Roman" w:cs="Times New Roman"/>
                <w:spacing w:val="-14"/>
              </w:rPr>
              <w:t xml:space="preserve"> </w:t>
            </w:r>
            <w:r>
              <w:rPr>
                <w:spacing w:val="-2"/>
              </w:rPr>
              <w:t>，</w:t>
            </w:r>
            <w:r>
              <w:rPr>
                <w:rFonts w:ascii="Times New Roman" w:hAnsi="Times New Roman" w:eastAsia="Times New Roman" w:cs="Times New Roman"/>
                <w:spacing w:val="-2"/>
              </w:rPr>
              <w:t xml:space="preserve">L2K1+100 </w:t>
            </w:r>
            <w:r>
              <w:rPr>
                <w:spacing w:val="-2"/>
              </w:rPr>
              <w:t>南侧山体</w:t>
            </w:r>
          </w:p>
        </w:tc>
      </w:tr>
    </w:tbl>
    <w:p>
      <w:pPr>
        <w:spacing w:before="192" w:line="220" w:lineRule="auto"/>
        <w:ind w:left="156"/>
        <w:outlineLvl w:val="0"/>
        <w:rPr>
          <w:rFonts w:ascii="宋体" w:hAnsi="宋体" w:eastAsia="宋体" w:cs="宋体"/>
          <w:sz w:val="24"/>
          <w:szCs w:val="24"/>
        </w:rPr>
      </w:pPr>
      <w:r>
        <w:rPr>
          <w:rFonts w:ascii="Times New Roman" w:hAnsi="Times New Roman" w:eastAsia="Times New Roman" w:cs="Times New Roman"/>
          <w:b/>
          <w:bCs/>
          <w:sz w:val="24"/>
          <w:szCs w:val="24"/>
        </w:rPr>
        <w:t xml:space="preserve">2.6.4 </w:t>
      </w:r>
      <w:r>
        <w:rPr>
          <w:rFonts w:ascii="宋体" w:hAnsi="宋体" w:eastAsia="宋体" w:cs="宋体"/>
          <w:sz w:val="24"/>
          <w:szCs w:val="24"/>
          <w14:textOutline w14:w="4354" w14:cap="flat" w14:cmpd="sng">
            <w14:solidFill>
              <w14:srgbClr w14:val="000000"/>
            </w14:solidFill>
            <w14:prstDash w14:val="solid"/>
            <w14:miter w14:val="0"/>
          </w14:textOutline>
        </w:rPr>
        <w:t>其他保护目标</w:t>
      </w:r>
    </w:p>
    <w:p>
      <w:pPr>
        <w:spacing w:before="183" w:line="465" w:lineRule="exact"/>
        <w:ind w:left="641"/>
        <w:rPr>
          <w:rFonts w:ascii="宋体" w:hAnsi="宋体" w:eastAsia="宋体" w:cs="宋体"/>
          <w:sz w:val="24"/>
          <w:szCs w:val="24"/>
        </w:rPr>
      </w:pPr>
      <w:r>
        <w:rPr>
          <w:rFonts w:ascii="宋体" w:hAnsi="宋体" w:eastAsia="宋体" w:cs="宋体"/>
          <w:spacing w:val="-6"/>
          <w:position w:val="17"/>
          <w:sz w:val="24"/>
          <w:szCs w:val="24"/>
        </w:rPr>
        <w:t>本项目</w:t>
      </w:r>
      <w:r>
        <w:rPr>
          <w:rFonts w:ascii="宋体" w:hAnsi="宋体" w:eastAsia="宋体" w:cs="宋体"/>
          <w:spacing w:val="-54"/>
          <w:position w:val="17"/>
          <w:sz w:val="24"/>
          <w:szCs w:val="24"/>
        </w:rPr>
        <w:t xml:space="preserve"> </w:t>
      </w:r>
      <w:r>
        <w:rPr>
          <w:rFonts w:ascii="Times New Roman" w:hAnsi="Times New Roman" w:eastAsia="Times New Roman" w:cs="Times New Roman"/>
          <w:spacing w:val="-6"/>
          <w:position w:val="17"/>
          <w:sz w:val="24"/>
          <w:szCs w:val="24"/>
        </w:rPr>
        <w:t>L2K0+600</w:t>
      </w:r>
      <w:r>
        <w:rPr>
          <w:rFonts w:ascii="Times New Roman" w:hAnsi="Times New Roman" w:eastAsia="Times New Roman" w:cs="Times New Roman"/>
          <w:spacing w:val="18"/>
          <w:position w:val="17"/>
          <w:sz w:val="24"/>
          <w:szCs w:val="24"/>
        </w:rPr>
        <w:t xml:space="preserve"> </w:t>
      </w:r>
      <w:r>
        <w:rPr>
          <w:rFonts w:ascii="宋体" w:hAnsi="宋体" w:eastAsia="宋体" w:cs="宋体"/>
          <w:spacing w:val="-6"/>
          <w:position w:val="17"/>
          <w:sz w:val="24"/>
          <w:szCs w:val="24"/>
        </w:rPr>
        <w:t>东侧原有省级文物保护单位</w:t>
      </w:r>
      <w:r>
        <w:rPr>
          <w:rFonts w:ascii="Times New Roman" w:hAnsi="Times New Roman" w:eastAsia="Times New Roman" w:cs="Times New Roman"/>
          <w:spacing w:val="-6"/>
          <w:position w:val="17"/>
          <w:sz w:val="24"/>
          <w:szCs w:val="24"/>
        </w:rPr>
        <w:t>——</w:t>
      </w:r>
      <w:r>
        <w:rPr>
          <w:rFonts w:ascii="宋体" w:hAnsi="宋体" w:eastAsia="宋体" w:cs="宋体"/>
          <w:spacing w:val="-6"/>
          <w:position w:val="17"/>
          <w:sz w:val="24"/>
          <w:szCs w:val="24"/>
        </w:rPr>
        <w:t>谢林大宅院， 距离本项目</w:t>
      </w:r>
    </w:p>
    <w:p>
      <w:pPr>
        <w:spacing w:before="1" w:line="219" w:lineRule="auto"/>
        <w:ind w:left="166"/>
        <w:rPr>
          <w:rFonts w:ascii="宋体" w:hAnsi="宋体" w:eastAsia="宋体" w:cs="宋体"/>
          <w:sz w:val="24"/>
          <w:szCs w:val="24"/>
        </w:rPr>
      </w:pPr>
      <w:r>
        <w:rPr>
          <w:rFonts w:ascii="宋体" w:hAnsi="宋体" w:eastAsia="宋体" w:cs="宋体"/>
          <w:spacing w:val="-5"/>
          <w:sz w:val="24"/>
          <w:szCs w:val="24"/>
        </w:rPr>
        <w:t>约</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150m</w:t>
      </w:r>
      <w:r>
        <w:rPr>
          <w:rFonts w:ascii="宋体" w:hAnsi="宋体" w:eastAsia="宋体" w:cs="宋体"/>
          <w:spacing w:val="-5"/>
          <w:sz w:val="24"/>
          <w:szCs w:val="24"/>
        </w:rPr>
        <w:t>，但于</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 xml:space="preserve">2019 </w:t>
      </w:r>
      <w:r>
        <w:rPr>
          <w:rFonts w:ascii="宋体" w:hAnsi="宋体" w:eastAsia="宋体" w:cs="宋体"/>
          <w:spacing w:val="-5"/>
          <w:sz w:val="24"/>
          <w:szCs w:val="24"/>
        </w:rPr>
        <w:t>年焚毁。</w:t>
      </w:r>
    </w:p>
    <w:p>
      <w:pPr>
        <w:spacing w:line="219" w:lineRule="auto"/>
        <w:rPr>
          <w:rFonts w:ascii="宋体" w:hAnsi="宋体" w:eastAsia="宋体" w:cs="宋体"/>
          <w:sz w:val="24"/>
          <w:szCs w:val="24"/>
        </w:rPr>
        <w:sectPr>
          <w:headerReference r:id="rId89" w:type="default"/>
          <w:footerReference r:id="rId90" w:type="default"/>
          <w:pgSz w:w="11907" w:h="16839"/>
          <w:pgMar w:top="1118" w:right="1632" w:bottom="1182" w:left="1649" w:header="879" w:footer="1024" w:gutter="0"/>
          <w:cols w:space="720" w:num="1"/>
        </w:sectPr>
      </w:pPr>
    </w:p>
    <w:p>
      <w:pPr>
        <w:spacing w:before="166"/>
      </w:pPr>
    </w:p>
    <w:p>
      <w:pPr>
        <w:sectPr>
          <w:headerReference r:id="rId91" w:type="default"/>
          <w:footerReference r:id="rId92" w:type="default"/>
          <w:pgSz w:w="11907" w:h="16839"/>
          <w:pgMar w:top="1118" w:right="1572" w:bottom="1182" w:left="1581" w:header="879" w:footer="1024" w:gutter="0"/>
          <w:cols w:equalWidth="0" w:num="1">
            <w:col w:w="8753"/>
          </w:cols>
        </w:sectPr>
      </w:pPr>
    </w:p>
    <w:p>
      <w:pPr>
        <w:spacing w:line="3250" w:lineRule="exact"/>
      </w:pPr>
      <w:r>
        <w:rPr>
          <w:position w:val="-65"/>
        </w:rPr>
        <w:drawing>
          <wp:inline distT="0" distB="0" distL="0" distR="0">
            <wp:extent cx="2750820" cy="206375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39"/>
                    <a:stretch>
                      <a:fillRect/>
                    </a:stretch>
                  </pic:blipFill>
                  <pic:spPr>
                    <a:xfrm>
                      <a:off x="0" y="0"/>
                      <a:ext cx="2750820" cy="2063750"/>
                    </a:xfrm>
                    <a:prstGeom prst="rect">
                      <a:avLst/>
                    </a:prstGeom>
                  </pic:spPr>
                </pic:pic>
              </a:graphicData>
            </a:graphic>
          </wp:inline>
        </w:drawing>
      </w:r>
    </w:p>
    <w:p>
      <w:pPr>
        <w:spacing w:before="138" w:line="186" w:lineRule="auto"/>
        <w:ind w:left="1935"/>
        <w:rPr>
          <w:rFonts w:ascii="宋体" w:hAnsi="宋体" w:eastAsia="宋体" w:cs="宋体"/>
          <w:sz w:val="21"/>
          <w:szCs w:val="21"/>
        </w:rPr>
      </w:pPr>
      <w:r>
        <w:rPr>
          <w:rFonts w:ascii="宋体" w:hAnsi="宋体" w:eastAsia="宋体" w:cs="宋体"/>
          <w:spacing w:val="-3"/>
          <w:sz w:val="21"/>
          <w:szCs w:val="21"/>
        </w:rPr>
        <w:t>外部</w:t>
      </w:r>
    </w:p>
    <w:p>
      <w:pPr>
        <w:pStyle w:val="2"/>
        <w:spacing w:line="14" w:lineRule="auto"/>
        <w:rPr>
          <w:sz w:val="2"/>
        </w:rPr>
      </w:pPr>
      <w:r>
        <w:rPr>
          <w:sz w:val="2"/>
          <w:szCs w:val="2"/>
        </w:rPr>
        <w:br w:type="column"/>
      </w:r>
    </w:p>
    <w:p>
      <w:pPr>
        <w:spacing w:before="20" w:line="3206" w:lineRule="exact"/>
      </w:pPr>
      <w:r>
        <w:rPr>
          <w:position w:val="-64"/>
        </w:rPr>
        <w:drawing>
          <wp:inline distT="0" distB="0" distL="0" distR="0">
            <wp:extent cx="2713990" cy="20351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40"/>
                    <a:stretch>
                      <a:fillRect/>
                    </a:stretch>
                  </pic:blipFill>
                  <pic:spPr>
                    <a:xfrm>
                      <a:off x="0" y="0"/>
                      <a:ext cx="2713990" cy="2035809"/>
                    </a:xfrm>
                    <a:prstGeom prst="rect">
                      <a:avLst/>
                    </a:prstGeom>
                  </pic:spPr>
                </pic:pic>
              </a:graphicData>
            </a:graphic>
          </wp:inline>
        </w:drawing>
      </w:r>
    </w:p>
    <w:p>
      <w:pPr>
        <w:spacing w:before="160" w:line="186" w:lineRule="auto"/>
        <w:ind w:left="1957"/>
        <w:rPr>
          <w:rFonts w:ascii="宋体" w:hAnsi="宋体" w:eastAsia="宋体" w:cs="宋体"/>
          <w:sz w:val="21"/>
          <w:szCs w:val="21"/>
        </w:rPr>
      </w:pPr>
      <w:r>
        <w:rPr>
          <w:rFonts w:ascii="宋体" w:hAnsi="宋体" w:eastAsia="宋体" w:cs="宋体"/>
          <w:spacing w:val="-8"/>
          <w:sz w:val="21"/>
          <w:szCs w:val="21"/>
        </w:rPr>
        <w:t>内部</w:t>
      </w:r>
    </w:p>
    <w:p>
      <w:pPr>
        <w:spacing w:line="186" w:lineRule="auto"/>
        <w:rPr>
          <w:rFonts w:ascii="宋体" w:hAnsi="宋体" w:eastAsia="宋体" w:cs="宋体"/>
          <w:sz w:val="21"/>
          <w:szCs w:val="21"/>
        </w:rPr>
        <w:sectPr>
          <w:type w:val="continuous"/>
          <w:pgSz w:w="11907" w:h="16839"/>
          <w:pgMar w:top="1118" w:right="1572" w:bottom="1182" w:left="1581" w:header="879" w:footer="1024" w:gutter="0"/>
          <w:cols w:equalWidth="0" w:num="2">
            <w:col w:w="4378" w:space="100"/>
            <w:col w:w="4275"/>
          </w:cols>
        </w:sectPr>
      </w:pPr>
    </w:p>
    <w:p>
      <w:pPr>
        <w:spacing w:before="245" w:line="220" w:lineRule="auto"/>
        <w:ind w:left="2894"/>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2.6.3-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谢林大宅院现状</w:t>
      </w:r>
    </w:p>
    <w:p>
      <w:pPr>
        <w:pStyle w:val="2"/>
        <w:spacing w:line="256" w:lineRule="auto"/>
      </w:pPr>
    </w:p>
    <w:p>
      <w:pPr>
        <w:spacing w:before="78" w:line="220" w:lineRule="auto"/>
        <w:ind w:left="224"/>
        <w:outlineLvl w:val="0"/>
        <w:rPr>
          <w:rFonts w:ascii="宋体" w:hAnsi="宋体" w:eastAsia="宋体" w:cs="宋体"/>
          <w:sz w:val="24"/>
          <w:szCs w:val="24"/>
        </w:rPr>
      </w:pPr>
      <w:r>
        <w:rPr>
          <w:rFonts w:ascii="Times New Roman" w:hAnsi="Times New Roman" w:eastAsia="Times New Roman" w:cs="Times New Roman"/>
          <w:b/>
          <w:bCs/>
          <w:sz w:val="24"/>
          <w:szCs w:val="24"/>
        </w:rPr>
        <w:t xml:space="preserve">2.6.5 </w:t>
      </w:r>
      <w:r>
        <w:rPr>
          <w:rFonts w:ascii="宋体" w:hAnsi="宋体" w:eastAsia="宋体" w:cs="宋体"/>
          <w:sz w:val="24"/>
          <w:szCs w:val="24"/>
          <w14:textOutline w14:w="4354" w14:cap="flat" w14:cmpd="sng">
            <w14:solidFill>
              <w14:srgbClr w14:val="000000"/>
            </w14:solidFill>
            <w14:prstDash w14:val="solid"/>
            <w14:miter w14:val="0"/>
          </w14:textOutline>
        </w:rPr>
        <w:t>施工期环境保护目标</w:t>
      </w:r>
    </w:p>
    <w:p>
      <w:pPr>
        <w:spacing w:before="184" w:line="359" w:lineRule="auto"/>
        <w:ind w:left="226" w:right="143" w:firstLine="481"/>
        <w:jc w:val="both"/>
        <w:rPr>
          <w:rFonts w:ascii="宋体" w:hAnsi="宋体" w:eastAsia="宋体" w:cs="宋体"/>
          <w:sz w:val="24"/>
          <w:szCs w:val="24"/>
        </w:rPr>
      </w:pPr>
      <w:r>
        <w:rPr>
          <w:rFonts w:ascii="宋体" w:hAnsi="宋体" w:eastAsia="宋体" w:cs="宋体"/>
          <w:spacing w:val="-9"/>
          <w:sz w:val="24"/>
          <w:szCs w:val="24"/>
        </w:rPr>
        <w:t>本项目施工期设置临时集中施工场地</w:t>
      </w:r>
      <w:r>
        <w:rPr>
          <w:rFonts w:ascii="宋体" w:hAnsi="宋体" w:eastAsia="宋体" w:cs="宋体"/>
          <w:spacing w:val="-30"/>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处，主要用于布设标化工地、预制场、</w:t>
      </w:r>
      <w:r>
        <w:rPr>
          <w:rFonts w:ascii="宋体" w:hAnsi="宋体" w:eastAsia="宋体" w:cs="宋体"/>
          <w:sz w:val="24"/>
          <w:szCs w:val="24"/>
        </w:rPr>
        <w:t xml:space="preserve"> </w:t>
      </w:r>
      <w:r>
        <w:rPr>
          <w:rFonts w:ascii="宋体" w:hAnsi="宋体" w:eastAsia="宋体" w:cs="宋体"/>
          <w:spacing w:val="-4"/>
          <w:sz w:val="24"/>
          <w:szCs w:val="24"/>
        </w:rPr>
        <w:t>砼拌合场、钢筋加工场等。本项目利用景文高速</w:t>
      </w:r>
      <w:r>
        <w:rPr>
          <w:rFonts w:ascii="宋体" w:hAnsi="宋体" w:eastAsia="宋体" w:cs="宋体"/>
          <w:spacing w:val="-5"/>
          <w:sz w:val="24"/>
          <w:szCs w:val="24"/>
        </w:rPr>
        <w:t>公路</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处施工场地，这</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 xml:space="preserve">处施工 </w:t>
      </w:r>
      <w:r>
        <w:rPr>
          <w:rFonts w:ascii="宋体" w:hAnsi="宋体" w:eastAsia="宋体" w:cs="宋体"/>
          <w:spacing w:val="-1"/>
          <w:sz w:val="24"/>
          <w:szCs w:val="24"/>
        </w:rPr>
        <w:t>场地在景文高速公路中进行评价并验收，本次对利</w:t>
      </w:r>
      <w:r>
        <w:rPr>
          <w:rFonts w:ascii="宋体" w:hAnsi="宋体" w:eastAsia="宋体" w:cs="宋体"/>
          <w:spacing w:val="-2"/>
          <w:sz w:val="24"/>
          <w:szCs w:val="24"/>
        </w:rPr>
        <w:t>用的</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处施工场地不再评价。</w:t>
      </w:r>
      <w:r>
        <w:rPr>
          <w:rFonts w:ascii="宋体" w:hAnsi="宋体" w:eastAsia="宋体" w:cs="宋体"/>
          <w:sz w:val="24"/>
          <w:szCs w:val="24"/>
        </w:rPr>
        <w:t xml:space="preserve"> </w:t>
      </w:r>
      <w:r>
        <w:rPr>
          <w:rFonts w:ascii="宋体" w:hAnsi="宋体" w:eastAsia="宋体" w:cs="宋体"/>
          <w:spacing w:val="-5"/>
          <w:sz w:val="24"/>
          <w:szCs w:val="24"/>
        </w:rPr>
        <w:t>本次设置的施工场地周边</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200m</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范围内无声环境保护目标，</w:t>
      </w:r>
      <w:r>
        <w:rPr>
          <w:rFonts w:ascii="宋体" w:hAnsi="宋体" w:eastAsia="宋体" w:cs="宋体"/>
          <w:spacing w:val="-33"/>
          <w:sz w:val="24"/>
          <w:szCs w:val="24"/>
        </w:rPr>
        <w:t xml:space="preserve"> </w:t>
      </w:r>
      <w:r>
        <w:rPr>
          <w:rFonts w:ascii="宋体" w:hAnsi="宋体" w:eastAsia="宋体" w:cs="宋体"/>
          <w:spacing w:val="-5"/>
          <w:sz w:val="24"/>
          <w:szCs w:val="24"/>
        </w:rPr>
        <w:t xml:space="preserve">最近的声环境保护目 </w:t>
      </w:r>
      <w:r>
        <w:rPr>
          <w:rFonts w:ascii="宋体" w:hAnsi="宋体" w:eastAsia="宋体" w:cs="宋体"/>
          <w:spacing w:val="-1"/>
          <w:sz w:val="24"/>
          <w:szCs w:val="24"/>
        </w:rPr>
        <w:t>标为东侧</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280m </w:t>
      </w:r>
      <w:r>
        <w:rPr>
          <w:rFonts w:ascii="宋体" w:hAnsi="宋体" w:eastAsia="宋体" w:cs="宋体"/>
          <w:spacing w:val="-1"/>
          <w:sz w:val="24"/>
          <w:szCs w:val="24"/>
        </w:rPr>
        <w:t>处的蔡处；周边</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300m</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范围内无生态保护目标；周边的地表水环</w:t>
      </w:r>
    </w:p>
    <w:p>
      <w:pPr>
        <w:spacing w:line="219" w:lineRule="auto"/>
        <w:ind w:left="228"/>
        <w:rPr>
          <w:rFonts w:ascii="宋体" w:hAnsi="宋体" w:eastAsia="宋体" w:cs="宋体"/>
          <w:sz w:val="24"/>
          <w:szCs w:val="24"/>
        </w:rPr>
      </w:pPr>
      <w:r>
        <w:rPr>
          <w:rFonts w:ascii="宋体" w:hAnsi="宋体" w:eastAsia="宋体" w:cs="宋体"/>
          <w:spacing w:val="-2"/>
          <w:sz w:val="24"/>
          <w:szCs w:val="24"/>
        </w:rPr>
        <w:t>境保护目标为包垟溪。</w:t>
      </w:r>
    </w:p>
    <w:p>
      <w:pPr>
        <w:pStyle w:val="2"/>
        <w:spacing w:line="256" w:lineRule="auto"/>
      </w:pPr>
    </w:p>
    <w:p>
      <w:pPr>
        <w:spacing w:before="79" w:line="220" w:lineRule="auto"/>
        <w:ind w:left="224"/>
        <w:outlineLvl w:val="0"/>
        <w:rPr>
          <w:rFonts w:ascii="宋体" w:hAnsi="宋体" w:eastAsia="宋体" w:cs="宋体"/>
          <w:sz w:val="24"/>
          <w:szCs w:val="24"/>
        </w:rPr>
      </w:pPr>
      <w:r>
        <w:rPr>
          <w:rFonts w:ascii="Times New Roman" w:hAnsi="Times New Roman" w:eastAsia="Times New Roman" w:cs="Times New Roman"/>
          <w:b/>
          <w:bCs/>
          <w:sz w:val="24"/>
          <w:szCs w:val="24"/>
        </w:rPr>
        <w:t xml:space="preserve">2.6.6 </w:t>
      </w:r>
      <w:r>
        <w:rPr>
          <w:rFonts w:ascii="宋体" w:hAnsi="宋体" w:eastAsia="宋体" w:cs="宋体"/>
          <w:sz w:val="24"/>
          <w:szCs w:val="24"/>
          <w14:textOutline w14:w="4354" w14:cap="flat" w14:cmpd="sng">
            <w14:solidFill>
              <w14:srgbClr w14:val="000000"/>
            </w14:solidFill>
            <w14:prstDash w14:val="solid"/>
            <w14:miter w14:val="0"/>
          </w14:textOutline>
        </w:rPr>
        <w:t>规划环境保护目标</w:t>
      </w:r>
    </w:p>
    <w:p>
      <w:pPr>
        <w:spacing w:before="182" w:line="359" w:lineRule="auto"/>
        <w:ind w:left="227" w:right="142" w:firstLine="479"/>
        <w:rPr>
          <w:rFonts w:ascii="宋体" w:hAnsi="宋体" w:eastAsia="宋体" w:cs="宋体"/>
          <w:sz w:val="24"/>
          <w:szCs w:val="24"/>
        </w:rPr>
      </w:pPr>
      <w:r>
        <w:rPr>
          <w:rFonts w:ascii="宋体" w:hAnsi="宋体" w:eastAsia="宋体" w:cs="宋体"/>
          <w:sz w:val="24"/>
          <w:szCs w:val="24"/>
        </w:rPr>
        <w:t>根据工程线路走向，对照《文成县国土空间总体规划》（</w:t>
      </w:r>
      <w:r>
        <w:rPr>
          <w:rFonts w:ascii="Times New Roman" w:hAnsi="Times New Roman" w:eastAsia="Times New Roman" w:cs="Times New Roman"/>
          <w:sz w:val="24"/>
          <w:szCs w:val="24"/>
        </w:rPr>
        <w:t>2021-2035</w:t>
      </w:r>
      <w:r>
        <w:rPr>
          <w:rFonts w:ascii="Times New Roman" w:hAnsi="Times New Roman" w:eastAsia="Times New Roman" w:cs="Times New Roman"/>
          <w:spacing w:val="23"/>
          <w:w w:val="101"/>
          <w:sz w:val="24"/>
          <w:szCs w:val="24"/>
        </w:rPr>
        <w:t xml:space="preserve"> </w:t>
      </w:r>
      <w:r>
        <w:rPr>
          <w:rFonts w:ascii="宋体" w:hAnsi="宋体" w:eastAsia="宋体" w:cs="宋体"/>
          <w:sz w:val="24"/>
          <w:szCs w:val="24"/>
        </w:rPr>
        <w:t xml:space="preserve">年）、 </w:t>
      </w:r>
      <w:r>
        <w:rPr>
          <w:rFonts w:ascii="宋体" w:hAnsi="宋体" w:eastAsia="宋体" w:cs="宋体"/>
          <w:spacing w:val="1"/>
          <w:sz w:val="24"/>
          <w:szCs w:val="24"/>
        </w:rPr>
        <w:t>《文成县西坑畲族镇总体规划修编（</w:t>
      </w:r>
      <w:r>
        <w:rPr>
          <w:rFonts w:ascii="Times New Roman" w:hAnsi="Times New Roman" w:eastAsia="Times New Roman" w:cs="Times New Roman"/>
          <w:spacing w:val="1"/>
          <w:sz w:val="24"/>
          <w:szCs w:val="24"/>
        </w:rPr>
        <w:t>2011-2020</w:t>
      </w:r>
      <w:r>
        <w:rPr>
          <w:rFonts w:ascii="宋体" w:hAnsi="宋体" w:eastAsia="宋体" w:cs="宋体"/>
          <w:spacing w:val="1"/>
          <w:sz w:val="24"/>
          <w:szCs w:val="24"/>
        </w:rPr>
        <w:t>）》、《文成县西</w:t>
      </w:r>
      <w:r>
        <w:rPr>
          <w:rFonts w:ascii="宋体" w:hAnsi="宋体" w:eastAsia="宋体" w:cs="宋体"/>
          <w:sz w:val="24"/>
          <w:szCs w:val="24"/>
        </w:rPr>
        <w:t xml:space="preserve">坑畲族镇控制  </w:t>
      </w:r>
      <w:r>
        <w:rPr>
          <w:rFonts w:ascii="宋体" w:hAnsi="宋体" w:eastAsia="宋体" w:cs="宋体"/>
          <w:spacing w:val="-8"/>
          <w:sz w:val="24"/>
          <w:szCs w:val="24"/>
        </w:rPr>
        <w:t>性详细规划》（调整） 、《文成县百丈漈镇城镇总体规划（</w:t>
      </w:r>
      <w:r>
        <w:rPr>
          <w:rFonts w:ascii="Times New Roman" w:hAnsi="Times New Roman" w:eastAsia="Times New Roman" w:cs="Times New Roman"/>
          <w:spacing w:val="-8"/>
          <w:sz w:val="24"/>
          <w:szCs w:val="24"/>
        </w:rPr>
        <w:t>2011-2020</w:t>
      </w:r>
      <w:r>
        <w:rPr>
          <w:rFonts w:ascii="宋体" w:hAnsi="宋体" w:eastAsia="宋体" w:cs="宋体"/>
          <w:spacing w:val="-8"/>
          <w:sz w:val="24"/>
          <w:szCs w:val="24"/>
        </w:rPr>
        <w:t>）》、《文</w:t>
      </w:r>
      <w:r>
        <w:rPr>
          <w:rFonts w:ascii="宋体" w:hAnsi="宋体" w:eastAsia="宋体" w:cs="宋体"/>
          <w:spacing w:val="10"/>
          <w:sz w:val="24"/>
          <w:szCs w:val="24"/>
        </w:rPr>
        <w:t xml:space="preserve"> </w:t>
      </w:r>
      <w:r>
        <w:rPr>
          <w:rFonts w:ascii="宋体" w:hAnsi="宋体" w:eastAsia="宋体" w:cs="宋体"/>
          <w:spacing w:val="-1"/>
          <w:sz w:val="24"/>
          <w:szCs w:val="24"/>
        </w:rPr>
        <w:t>成县百丈漈镇控制性详细规划》、《温州市文成县西坑畲族镇让川村村庄规划》</w:t>
      </w:r>
      <w:r>
        <w:rPr>
          <w:rFonts w:ascii="宋体" w:hAnsi="宋体" w:eastAsia="宋体" w:cs="宋体"/>
          <w:spacing w:val="15"/>
          <w:sz w:val="24"/>
          <w:szCs w:val="24"/>
        </w:rPr>
        <w:t xml:space="preserve"> </w:t>
      </w:r>
      <w:r>
        <w:rPr>
          <w:rFonts w:ascii="宋体" w:hAnsi="宋体" w:eastAsia="宋体" w:cs="宋体"/>
          <w:spacing w:val="-9"/>
          <w:sz w:val="24"/>
          <w:szCs w:val="24"/>
        </w:rPr>
        <w:t>（调整）</w:t>
      </w:r>
      <w:r>
        <w:rPr>
          <w:rFonts w:ascii="宋体" w:hAnsi="宋体" w:eastAsia="宋体" w:cs="宋体"/>
          <w:spacing w:val="-27"/>
          <w:sz w:val="24"/>
          <w:szCs w:val="24"/>
        </w:rPr>
        <w:t xml:space="preserve"> </w:t>
      </w:r>
      <w:r>
        <w:rPr>
          <w:rFonts w:ascii="宋体" w:hAnsi="宋体" w:eastAsia="宋体" w:cs="宋体"/>
          <w:spacing w:val="-9"/>
          <w:sz w:val="24"/>
          <w:szCs w:val="24"/>
        </w:rPr>
        <w:t xml:space="preserve">、《文成县西坑畲族镇敖里村村庄规划》（调整） 、《文成县西坑畲族 </w:t>
      </w:r>
      <w:r>
        <w:rPr>
          <w:rFonts w:ascii="宋体" w:hAnsi="宋体" w:eastAsia="宋体" w:cs="宋体"/>
          <w:spacing w:val="-6"/>
          <w:sz w:val="24"/>
          <w:szCs w:val="24"/>
        </w:rPr>
        <w:t>镇南坑垟村村庄规划》（调整</w:t>
      </w:r>
      <w:r>
        <w:rPr>
          <w:rFonts w:ascii="宋体" w:hAnsi="宋体" w:eastAsia="宋体" w:cs="宋体"/>
          <w:spacing w:val="-7"/>
          <w:sz w:val="24"/>
          <w:szCs w:val="24"/>
        </w:rPr>
        <w:t>）</w:t>
      </w:r>
      <w:r>
        <w:rPr>
          <w:rFonts w:ascii="宋体" w:hAnsi="宋体" w:eastAsia="宋体" w:cs="宋体"/>
          <w:spacing w:val="47"/>
          <w:sz w:val="24"/>
          <w:szCs w:val="24"/>
        </w:rPr>
        <w:t xml:space="preserve"> </w:t>
      </w:r>
      <w:r>
        <w:rPr>
          <w:rFonts w:ascii="宋体" w:hAnsi="宋体" w:eastAsia="宋体" w:cs="宋体"/>
          <w:spacing w:val="-7"/>
          <w:sz w:val="24"/>
          <w:szCs w:val="24"/>
        </w:rPr>
        <w:t>，</w:t>
      </w:r>
      <w:r>
        <w:rPr>
          <w:rFonts w:ascii="宋体" w:hAnsi="宋体" w:eastAsia="宋体" w:cs="宋体"/>
          <w:spacing w:val="-6"/>
          <w:sz w:val="24"/>
          <w:szCs w:val="24"/>
        </w:rPr>
        <w:t>本项目沿线评价范围主要涉及规划居住用地。</w:t>
      </w:r>
      <w:r>
        <w:rPr>
          <w:rFonts w:ascii="宋体" w:hAnsi="宋体" w:eastAsia="宋体" w:cs="宋体"/>
          <w:sz w:val="24"/>
          <w:szCs w:val="24"/>
        </w:rPr>
        <w:t xml:space="preserve"> </w:t>
      </w:r>
      <w:r>
        <w:rPr>
          <w:rFonts w:ascii="宋体" w:hAnsi="宋体" w:eastAsia="宋体" w:cs="宋体"/>
          <w:spacing w:val="-6"/>
          <w:sz w:val="24"/>
          <w:szCs w:val="24"/>
        </w:rPr>
        <w:t>让川村</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322</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国道和连接线相交西北象限的居住用地与现</w:t>
      </w:r>
      <w:r>
        <w:rPr>
          <w:rFonts w:ascii="宋体" w:hAnsi="宋体" w:eastAsia="宋体" w:cs="宋体"/>
          <w:spacing w:val="-7"/>
          <w:sz w:val="24"/>
          <w:szCs w:val="24"/>
        </w:rPr>
        <w:t>状安置小区住宅重叠，</w:t>
      </w:r>
      <w:r>
        <w:rPr>
          <w:rFonts w:ascii="宋体" w:hAnsi="宋体" w:eastAsia="宋体" w:cs="宋体"/>
          <w:spacing w:val="-30"/>
          <w:sz w:val="24"/>
          <w:szCs w:val="24"/>
        </w:rPr>
        <w:t xml:space="preserve"> </w:t>
      </w:r>
      <w:r>
        <w:rPr>
          <w:rFonts w:ascii="宋体" w:hAnsi="宋体" w:eastAsia="宋体" w:cs="宋体"/>
          <w:spacing w:val="-7"/>
          <w:sz w:val="24"/>
          <w:szCs w:val="24"/>
        </w:rPr>
        <w:t>本</w:t>
      </w:r>
    </w:p>
    <w:p>
      <w:pPr>
        <w:spacing w:before="1" w:line="184" w:lineRule="auto"/>
        <w:ind w:left="234"/>
        <w:rPr>
          <w:rFonts w:ascii="宋体" w:hAnsi="宋体" w:eastAsia="宋体" w:cs="宋体"/>
          <w:sz w:val="24"/>
          <w:szCs w:val="24"/>
        </w:rPr>
      </w:pPr>
      <w:r>
        <w:rPr>
          <w:rFonts w:ascii="宋体" w:hAnsi="宋体" w:eastAsia="宋体" w:cs="宋体"/>
          <w:spacing w:val="-3"/>
          <w:sz w:val="24"/>
          <w:szCs w:val="24"/>
        </w:rPr>
        <w:t>次不再进行规划环境保护目标评价。</w:t>
      </w:r>
    </w:p>
    <w:p>
      <w:pPr>
        <w:spacing w:line="184" w:lineRule="auto"/>
        <w:rPr>
          <w:rFonts w:ascii="宋体" w:hAnsi="宋体" w:eastAsia="宋体" w:cs="宋体"/>
          <w:sz w:val="24"/>
          <w:szCs w:val="24"/>
        </w:rPr>
        <w:sectPr>
          <w:type w:val="continuous"/>
          <w:pgSz w:w="11907" w:h="16839"/>
          <w:pgMar w:top="1118" w:right="1572" w:bottom="1182" w:left="1581" w:header="879" w:footer="1024" w:gutter="0"/>
          <w:cols w:equalWidth="0" w:num="1">
            <w:col w:w="8753"/>
          </w:cols>
        </w:sectPr>
      </w:pPr>
    </w:p>
    <w:p>
      <w:pPr>
        <w:pStyle w:val="2"/>
        <w:spacing w:line="302" w:lineRule="auto"/>
      </w:pPr>
    </w:p>
    <w:p>
      <w:pPr>
        <w:spacing w:before="78" w:line="218" w:lineRule="auto"/>
        <w:ind w:left="491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2.6-7        </w:t>
      </w:r>
      <w:r>
        <w:rPr>
          <w:rFonts w:ascii="宋体" w:hAnsi="宋体" w:eastAsia="宋体" w:cs="宋体"/>
          <w:spacing w:val="-1"/>
          <w:sz w:val="24"/>
          <w:szCs w:val="24"/>
        </w:rPr>
        <w:t>评价范围内规划声环境保护目标</w:t>
      </w:r>
    </w:p>
    <w:p>
      <w:pPr>
        <w:spacing w:line="145" w:lineRule="exact"/>
      </w:pPr>
    </w:p>
    <w:tbl>
      <w:tblPr>
        <w:tblStyle w:val="5"/>
        <w:tblW w:w="144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3"/>
        <w:gridCol w:w="1526"/>
        <w:gridCol w:w="1485"/>
        <w:gridCol w:w="756"/>
        <w:gridCol w:w="1495"/>
        <w:gridCol w:w="1055"/>
        <w:gridCol w:w="1337"/>
        <w:gridCol w:w="4245"/>
        <w:gridCol w:w="1099"/>
        <w:gridCol w:w="9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33" w:type="dxa"/>
            <w:vAlign w:val="top"/>
          </w:tcPr>
          <w:p>
            <w:pPr>
              <w:pStyle w:val="6"/>
              <w:spacing w:before="307" w:line="222" w:lineRule="auto"/>
              <w:ind w:left="59"/>
            </w:pPr>
            <w:r>
              <w:rPr>
                <w:spacing w:val="-2"/>
              </w:rPr>
              <w:t>序号</w:t>
            </w:r>
          </w:p>
        </w:tc>
        <w:tc>
          <w:tcPr>
            <w:tcW w:w="1526" w:type="dxa"/>
            <w:vAlign w:val="top"/>
          </w:tcPr>
          <w:p>
            <w:pPr>
              <w:pStyle w:val="6"/>
              <w:spacing w:before="307" w:line="221" w:lineRule="auto"/>
              <w:ind w:left="450"/>
            </w:pPr>
            <w:r>
              <w:rPr>
                <w:spacing w:val="-2"/>
              </w:rPr>
              <w:t>敏感点</w:t>
            </w:r>
          </w:p>
        </w:tc>
        <w:tc>
          <w:tcPr>
            <w:tcW w:w="1485" w:type="dxa"/>
            <w:vAlign w:val="top"/>
          </w:tcPr>
          <w:p>
            <w:pPr>
              <w:pStyle w:val="6"/>
              <w:spacing w:before="307" w:line="221" w:lineRule="auto"/>
              <w:ind w:left="326"/>
            </w:pPr>
            <w:r>
              <w:rPr>
                <w:spacing w:val="-2"/>
              </w:rPr>
              <w:t>起讫桩号</w:t>
            </w:r>
          </w:p>
        </w:tc>
        <w:tc>
          <w:tcPr>
            <w:tcW w:w="756" w:type="dxa"/>
            <w:vAlign w:val="top"/>
          </w:tcPr>
          <w:p>
            <w:pPr>
              <w:pStyle w:val="6"/>
              <w:spacing w:before="307" w:line="222" w:lineRule="auto"/>
              <w:ind w:left="173"/>
            </w:pPr>
            <w:r>
              <w:rPr>
                <w:spacing w:val="-2"/>
              </w:rPr>
              <w:t>方位</w:t>
            </w:r>
          </w:p>
        </w:tc>
        <w:tc>
          <w:tcPr>
            <w:tcW w:w="1495" w:type="dxa"/>
            <w:vAlign w:val="top"/>
          </w:tcPr>
          <w:p>
            <w:pPr>
              <w:pStyle w:val="6"/>
              <w:spacing w:before="171" w:line="226" w:lineRule="auto"/>
              <w:ind w:left="334" w:right="115" w:hanging="215"/>
              <w:rPr>
                <w:rFonts w:ascii="Times New Roman" w:hAnsi="Times New Roman" w:eastAsia="Times New Roman" w:cs="Times New Roman"/>
              </w:rPr>
            </w:pPr>
            <w:r>
              <w:rPr>
                <w:spacing w:val="-1"/>
              </w:rPr>
              <w:t>距项目边界线</w:t>
            </w:r>
            <w:r>
              <w:t xml:space="preserve"> </w:t>
            </w:r>
            <w:r>
              <w:rPr>
                <w:spacing w:val="-3"/>
              </w:rPr>
              <w:t>距离</w:t>
            </w:r>
            <w:r>
              <w:rPr>
                <w:spacing w:val="10"/>
              </w:rPr>
              <w:t xml:space="preserve"> </w:t>
            </w:r>
            <w:r>
              <w:rPr>
                <w:rFonts w:ascii="Times New Roman" w:hAnsi="Times New Roman" w:eastAsia="Times New Roman" w:cs="Times New Roman"/>
                <w:spacing w:val="-3"/>
              </w:rPr>
              <w:t>(m)</w:t>
            </w:r>
          </w:p>
        </w:tc>
        <w:tc>
          <w:tcPr>
            <w:tcW w:w="1055" w:type="dxa"/>
            <w:vAlign w:val="top"/>
          </w:tcPr>
          <w:p>
            <w:pPr>
              <w:pStyle w:val="6"/>
              <w:spacing w:before="307" w:line="221" w:lineRule="auto"/>
              <w:ind w:left="109"/>
            </w:pPr>
            <w:r>
              <w:rPr>
                <w:spacing w:val="-1"/>
              </w:rPr>
              <w:t>道路形式</w:t>
            </w:r>
          </w:p>
        </w:tc>
        <w:tc>
          <w:tcPr>
            <w:tcW w:w="1337" w:type="dxa"/>
            <w:vAlign w:val="top"/>
          </w:tcPr>
          <w:p>
            <w:pPr>
              <w:pStyle w:val="6"/>
              <w:spacing w:before="307" w:line="221" w:lineRule="auto"/>
              <w:ind w:left="464"/>
            </w:pPr>
            <w:r>
              <w:rPr>
                <w:spacing w:val="-2"/>
              </w:rPr>
              <w:t>现状</w:t>
            </w:r>
          </w:p>
        </w:tc>
        <w:tc>
          <w:tcPr>
            <w:tcW w:w="4245" w:type="dxa"/>
            <w:vAlign w:val="top"/>
          </w:tcPr>
          <w:p>
            <w:pPr>
              <w:pStyle w:val="6"/>
              <w:spacing w:before="307" w:line="222" w:lineRule="auto"/>
              <w:ind w:left="1814"/>
            </w:pPr>
            <w:r>
              <w:rPr>
                <w:spacing w:val="-2"/>
              </w:rPr>
              <w:t>规划图</w:t>
            </w:r>
          </w:p>
        </w:tc>
        <w:tc>
          <w:tcPr>
            <w:tcW w:w="1099" w:type="dxa"/>
            <w:vAlign w:val="top"/>
          </w:tcPr>
          <w:p>
            <w:pPr>
              <w:pStyle w:val="6"/>
              <w:spacing w:before="35" w:line="229" w:lineRule="auto"/>
              <w:ind w:left="138" w:right="122" w:firstLine="2"/>
              <w:jc w:val="both"/>
            </w:pPr>
            <w:r>
              <w:rPr>
                <w:spacing w:val="-3"/>
              </w:rPr>
              <w:t>项目建成</w:t>
            </w:r>
            <w:r>
              <w:rPr>
                <w:spacing w:val="1"/>
              </w:rPr>
              <w:t xml:space="preserve"> </w:t>
            </w:r>
            <w:r>
              <w:rPr>
                <w:spacing w:val="-2"/>
              </w:rPr>
              <w:t>后声环境</w:t>
            </w:r>
            <w:r>
              <w:t xml:space="preserve"> </w:t>
            </w:r>
            <w:r>
              <w:rPr>
                <w:spacing w:val="-2"/>
              </w:rPr>
              <w:t>保护要求</w:t>
            </w:r>
          </w:p>
        </w:tc>
        <w:tc>
          <w:tcPr>
            <w:tcW w:w="914" w:type="dxa"/>
            <w:vAlign w:val="top"/>
          </w:tcPr>
          <w:p>
            <w:pPr>
              <w:pStyle w:val="6"/>
              <w:spacing w:before="307" w:line="222" w:lineRule="auto"/>
              <w:ind w:left="252"/>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5" w:hRule="atLeast"/>
        </w:trPr>
        <w:tc>
          <w:tcPr>
            <w:tcW w:w="533"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0" w:line="187" w:lineRule="auto"/>
              <w:ind w:left="23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26"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8" w:line="221" w:lineRule="auto"/>
              <w:ind w:left="57"/>
              <w:rPr>
                <w:rFonts w:ascii="Times New Roman" w:hAnsi="Times New Roman" w:eastAsia="Times New Roman" w:cs="Times New Roman"/>
              </w:rPr>
            </w:pPr>
            <w:r>
              <w:rPr>
                <w:spacing w:val="-1"/>
              </w:rPr>
              <w:t>规划居住用地</w:t>
            </w:r>
            <w:r>
              <w:rPr>
                <w:spacing w:val="-28"/>
              </w:rPr>
              <w:t xml:space="preserve"> </w:t>
            </w:r>
            <w:r>
              <w:rPr>
                <w:rFonts w:ascii="Times New Roman" w:hAnsi="Times New Roman" w:eastAsia="Times New Roman" w:cs="Times New Roman"/>
                <w:spacing w:val="-1"/>
              </w:rPr>
              <w:t>1</w:t>
            </w:r>
          </w:p>
        </w:tc>
        <w:tc>
          <w:tcPr>
            <w:tcW w:w="1485"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0" w:line="214" w:lineRule="auto"/>
              <w:ind w:left="475" w:right="30" w:hanging="4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L1K0+450~L1K</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0+550</w:t>
            </w:r>
          </w:p>
        </w:tc>
        <w:tc>
          <w:tcPr>
            <w:tcW w:w="756"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9" w:line="221" w:lineRule="auto"/>
              <w:ind w:left="177"/>
            </w:pPr>
            <w:r>
              <w:rPr>
                <w:spacing w:val="-3"/>
              </w:rPr>
              <w:t>西侧</w:t>
            </w:r>
          </w:p>
        </w:tc>
        <w:tc>
          <w:tcPr>
            <w:tcW w:w="1495"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9" w:line="226" w:lineRule="auto"/>
              <w:ind w:left="518"/>
              <w:rPr>
                <w:rFonts w:ascii="Times New Roman" w:hAnsi="Times New Roman" w:eastAsia="Times New Roman" w:cs="Times New Roman"/>
              </w:rPr>
            </w:pPr>
            <w:r>
              <w:rPr>
                <w:spacing w:val="-8"/>
              </w:rPr>
              <w:t>约</w:t>
            </w:r>
            <w:r>
              <w:rPr>
                <w:spacing w:val="-28"/>
              </w:rPr>
              <w:t xml:space="preserve"> </w:t>
            </w:r>
            <w:r>
              <w:rPr>
                <w:rFonts w:ascii="Times New Roman" w:hAnsi="Times New Roman" w:eastAsia="Times New Roman" w:cs="Times New Roman"/>
                <w:spacing w:val="-8"/>
              </w:rPr>
              <w:t>10</w:t>
            </w:r>
          </w:p>
        </w:tc>
        <w:tc>
          <w:tcPr>
            <w:tcW w:w="1055"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9" w:line="221" w:lineRule="auto"/>
              <w:ind w:left="323"/>
            </w:pPr>
            <w:r>
              <w:rPr>
                <w:spacing w:val="-2"/>
              </w:rPr>
              <w:t>路基</w:t>
            </w:r>
          </w:p>
        </w:tc>
        <w:tc>
          <w:tcPr>
            <w:tcW w:w="1337"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8" w:line="229" w:lineRule="auto"/>
              <w:ind w:left="469"/>
            </w:pPr>
            <w:r>
              <w:rPr>
                <w:spacing w:val="-4"/>
              </w:rPr>
              <w:t>空地</w:t>
            </w:r>
          </w:p>
        </w:tc>
        <w:tc>
          <w:tcPr>
            <w:tcW w:w="4245"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90" w:line="192" w:lineRule="auto"/>
              <w:ind w:left="512"/>
              <w:rPr>
                <w:rFonts w:ascii="微软雅黑" w:hAnsi="微软雅黑" w:eastAsia="微软雅黑" w:cs="微软雅黑"/>
                <w:sz w:val="21"/>
                <w:szCs w:val="21"/>
              </w:rPr>
            </w:pPr>
            <w:r>
              <w:drawing>
                <wp:anchor distT="0" distB="0" distL="0" distR="0" simplePos="0" relativeHeight="251671552" behindDoc="1" locked="0" layoutInCell="1" allowOverlap="1">
                  <wp:simplePos x="0" y="0"/>
                  <wp:positionH relativeFrom="column">
                    <wp:posOffset>15875</wp:posOffset>
                  </wp:positionH>
                  <wp:positionV relativeFrom="paragraph">
                    <wp:posOffset>-536575</wp:posOffset>
                  </wp:positionV>
                  <wp:extent cx="2677795" cy="229997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41"/>
                          <a:stretch>
                            <a:fillRect/>
                          </a:stretch>
                        </pic:blipFill>
                        <pic:spPr>
                          <a:xfrm>
                            <a:off x="0" y="0"/>
                            <a:ext cx="2677795" cy="2299970"/>
                          </a:xfrm>
                          <a:prstGeom prst="rect">
                            <a:avLst/>
                          </a:prstGeom>
                        </pic:spPr>
                      </pic:pic>
                    </a:graphicData>
                  </a:graphic>
                </wp:anchor>
              </w:drawing>
            </w:r>
            <w:r>
              <w:rPr>
                <w:rFonts w:ascii="微软雅黑" w:hAnsi="微软雅黑" w:eastAsia="微软雅黑" w:cs="微软雅黑"/>
                <w:b/>
                <w:bCs/>
                <w:color w:val="2652C2"/>
                <w:sz w:val="21"/>
                <w:szCs w:val="21"/>
              </w:rPr>
              <w:t>规划居住用地 1</w:t>
            </w:r>
          </w:p>
        </w:tc>
        <w:tc>
          <w:tcPr>
            <w:tcW w:w="109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8" w:line="221" w:lineRule="auto"/>
              <w:ind w:left="240"/>
            </w:pPr>
            <w:r>
              <w:rPr>
                <w:rFonts w:ascii="Times New Roman" w:hAnsi="Times New Roman" w:eastAsia="Times New Roman" w:cs="Times New Roman"/>
                <w:spacing w:val="-1"/>
              </w:rPr>
              <w:t>4a/2</w:t>
            </w:r>
            <w:r>
              <w:rPr>
                <w:rFonts w:ascii="Times New Roman" w:hAnsi="Times New Roman" w:eastAsia="Times New Roman" w:cs="Times New Roman"/>
                <w:spacing w:val="10"/>
              </w:rPr>
              <w:t xml:space="preserve"> </w:t>
            </w:r>
            <w:r>
              <w:rPr>
                <w:spacing w:val="-1"/>
              </w:rPr>
              <w:t>类</w:t>
            </w:r>
          </w:p>
        </w:tc>
        <w:tc>
          <w:tcPr>
            <w:tcW w:w="914"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6"/>
              <w:spacing w:before="69" w:line="237" w:lineRule="auto"/>
              <w:ind w:left="33" w:right="26" w:firstLine="2"/>
              <w:jc w:val="both"/>
            </w:pPr>
            <w:r>
              <w:rPr>
                <w:spacing w:val="1"/>
              </w:rPr>
              <w:t xml:space="preserve">《文成县 </w:t>
            </w:r>
            <w:r>
              <w:rPr>
                <w:spacing w:val="2"/>
              </w:rPr>
              <w:t>西坑畲族</w:t>
            </w:r>
            <w:r>
              <w:t xml:space="preserve"> </w:t>
            </w:r>
            <w:r>
              <w:rPr>
                <w:spacing w:val="2"/>
              </w:rPr>
              <w:t>镇南坑垟</w:t>
            </w:r>
            <w:r>
              <w:t xml:space="preserve"> </w:t>
            </w:r>
            <w:r>
              <w:rPr>
                <w:spacing w:val="2"/>
              </w:rPr>
              <w:t>村村庄规</w:t>
            </w:r>
            <w:r>
              <w:t xml:space="preserve"> </w:t>
            </w:r>
            <w:r>
              <w:rPr>
                <w:spacing w:val="2"/>
              </w:rPr>
              <w:t>划》（调</w:t>
            </w:r>
            <w:r>
              <w:t xml:space="preserve"> </w:t>
            </w:r>
            <w:r>
              <w:rPr>
                <w:spacing w:val="-5"/>
              </w:rPr>
              <w:t>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1" w:hRule="atLeast"/>
        </w:trPr>
        <w:tc>
          <w:tcPr>
            <w:tcW w:w="533"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0" w:line="187" w:lineRule="auto"/>
              <w:ind w:left="21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2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8" w:line="221" w:lineRule="auto"/>
              <w:ind w:left="57"/>
              <w:rPr>
                <w:rFonts w:ascii="Times New Roman" w:hAnsi="Times New Roman" w:eastAsia="Times New Roman" w:cs="Times New Roman"/>
              </w:rPr>
            </w:pPr>
            <w:r>
              <w:rPr>
                <w:spacing w:val="-1"/>
              </w:rPr>
              <w:t>规划居住用地</w:t>
            </w:r>
            <w:r>
              <w:rPr>
                <w:spacing w:val="-48"/>
              </w:rPr>
              <w:t xml:space="preserve"> </w:t>
            </w:r>
            <w:r>
              <w:rPr>
                <w:rFonts w:ascii="Times New Roman" w:hAnsi="Times New Roman" w:eastAsia="Times New Roman" w:cs="Times New Roman"/>
                <w:spacing w:val="-1"/>
              </w:rPr>
              <w:t>2</w:t>
            </w:r>
          </w:p>
        </w:tc>
        <w:tc>
          <w:tcPr>
            <w:tcW w:w="1485"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1" w:line="214" w:lineRule="auto"/>
              <w:ind w:left="492" w:right="29" w:hanging="4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L1K1+580~L1K</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5"/>
                <w:sz w:val="21"/>
                <w:szCs w:val="21"/>
              </w:rPr>
              <w:t>1+750</w:t>
            </w:r>
          </w:p>
        </w:tc>
        <w:tc>
          <w:tcPr>
            <w:tcW w:w="75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9" w:line="221" w:lineRule="auto"/>
              <w:ind w:left="175"/>
            </w:pPr>
            <w:r>
              <w:rPr>
                <w:spacing w:val="-5"/>
              </w:rPr>
              <w:t>北侧</w:t>
            </w:r>
          </w:p>
        </w:tc>
        <w:tc>
          <w:tcPr>
            <w:tcW w:w="1495"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9" w:line="226" w:lineRule="auto"/>
              <w:ind w:left="518"/>
              <w:rPr>
                <w:rFonts w:ascii="Times New Roman" w:hAnsi="Times New Roman" w:eastAsia="Times New Roman" w:cs="Times New Roman"/>
              </w:rPr>
            </w:pPr>
            <w:r>
              <w:rPr>
                <w:spacing w:val="-5"/>
              </w:rPr>
              <w:t>约</w:t>
            </w:r>
            <w:r>
              <w:rPr>
                <w:spacing w:val="-48"/>
              </w:rPr>
              <w:t xml:space="preserve"> </w:t>
            </w:r>
            <w:r>
              <w:rPr>
                <w:rFonts w:ascii="Times New Roman" w:hAnsi="Times New Roman" w:eastAsia="Times New Roman" w:cs="Times New Roman"/>
                <w:spacing w:val="-5"/>
              </w:rPr>
              <w:t>20</w:t>
            </w:r>
          </w:p>
        </w:tc>
        <w:tc>
          <w:tcPr>
            <w:tcW w:w="1055"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9" w:line="221" w:lineRule="auto"/>
              <w:ind w:left="323"/>
            </w:pPr>
            <w:r>
              <w:rPr>
                <w:spacing w:val="-2"/>
              </w:rPr>
              <w:t>路基</w:t>
            </w:r>
          </w:p>
        </w:tc>
        <w:tc>
          <w:tcPr>
            <w:tcW w:w="1337"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8" w:line="229" w:lineRule="auto"/>
              <w:ind w:left="469"/>
            </w:pPr>
            <w:r>
              <w:rPr>
                <w:spacing w:val="-4"/>
              </w:rPr>
              <w:t>空地</w:t>
            </w:r>
          </w:p>
        </w:tc>
        <w:tc>
          <w:tcPr>
            <w:tcW w:w="4245"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90" w:line="192" w:lineRule="auto"/>
              <w:ind w:left="1290"/>
              <w:rPr>
                <w:rFonts w:ascii="微软雅黑" w:hAnsi="微软雅黑" w:eastAsia="微软雅黑" w:cs="微软雅黑"/>
                <w:sz w:val="21"/>
                <w:szCs w:val="21"/>
              </w:rPr>
            </w:pPr>
            <w:r>
              <w:drawing>
                <wp:anchor distT="0" distB="0" distL="0" distR="0" simplePos="0" relativeHeight="251672576" behindDoc="1" locked="0" layoutInCell="1" allowOverlap="1">
                  <wp:simplePos x="0" y="0"/>
                  <wp:positionH relativeFrom="column">
                    <wp:posOffset>15875</wp:posOffset>
                  </wp:positionH>
                  <wp:positionV relativeFrom="paragraph">
                    <wp:posOffset>-755015</wp:posOffset>
                  </wp:positionV>
                  <wp:extent cx="3035935" cy="246634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42"/>
                          <a:stretch>
                            <a:fillRect/>
                          </a:stretch>
                        </pic:blipFill>
                        <pic:spPr>
                          <a:xfrm>
                            <a:off x="0" y="0"/>
                            <a:ext cx="3035935" cy="2466339"/>
                          </a:xfrm>
                          <a:prstGeom prst="rect">
                            <a:avLst/>
                          </a:prstGeom>
                        </pic:spPr>
                      </pic:pic>
                    </a:graphicData>
                  </a:graphic>
                </wp:anchor>
              </w:drawing>
            </w:r>
            <w:r>
              <w:rPr>
                <w:rFonts w:ascii="微软雅黑" w:hAnsi="微软雅黑" w:eastAsia="微软雅黑" w:cs="微软雅黑"/>
                <w:b/>
                <w:bCs/>
                <w:color w:val="2652C2"/>
                <w:spacing w:val="-1"/>
                <w:sz w:val="21"/>
                <w:szCs w:val="21"/>
              </w:rPr>
              <w:t>规划居住用地 2</w:t>
            </w:r>
          </w:p>
        </w:tc>
        <w:tc>
          <w:tcPr>
            <w:tcW w:w="1099"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8" w:line="221" w:lineRule="auto"/>
              <w:ind w:left="240"/>
            </w:pPr>
            <w:r>
              <w:rPr>
                <w:rFonts w:ascii="Times New Roman" w:hAnsi="Times New Roman" w:eastAsia="Times New Roman" w:cs="Times New Roman"/>
                <w:spacing w:val="-1"/>
              </w:rPr>
              <w:t>4a/2</w:t>
            </w:r>
            <w:r>
              <w:rPr>
                <w:rFonts w:ascii="Times New Roman" w:hAnsi="Times New Roman" w:eastAsia="Times New Roman" w:cs="Times New Roman"/>
                <w:spacing w:val="10"/>
              </w:rPr>
              <w:t xml:space="preserve"> </w:t>
            </w:r>
            <w:r>
              <w:rPr>
                <w:spacing w:val="-1"/>
              </w:rPr>
              <w:t>类</w:t>
            </w:r>
          </w:p>
        </w:tc>
        <w:tc>
          <w:tcPr>
            <w:tcW w:w="914" w:type="dxa"/>
            <w:vAlign w:val="top"/>
          </w:tcPr>
          <w:p>
            <w:pPr>
              <w:spacing w:line="268" w:lineRule="auto"/>
              <w:rPr>
                <w:rFonts w:ascii="Arial"/>
                <w:sz w:val="21"/>
              </w:rPr>
            </w:pPr>
          </w:p>
          <w:p>
            <w:pPr>
              <w:spacing w:line="269" w:lineRule="auto"/>
              <w:rPr>
                <w:rFonts w:ascii="Arial"/>
                <w:sz w:val="21"/>
              </w:rPr>
            </w:pPr>
          </w:p>
          <w:p>
            <w:pPr>
              <w:pStyle w:val="6"/>
              <w:spacing w:before="68" w:line="238" w:lineRule="auto"/>
              <w:ind w:left="33" w:right="25" w:firstLine="2"/>
            </w:pPr>
            <w:r>
              <w:rPr>
                <w:spacing w:val="1"/>
              </w:rPr>
              <w:t xml:space="preserve">《文成县 </w:t>
            </w:r>
            <w:r>
              <w:rPr>
                <w:spacing w:val="2"/>
              </w:rPr>
              <w:t>西坑畲族</w:t>
            </w:r>
            <w:r>
              <w:t xml:space="preserve"> </w:t>
            </w:r>
            <w:r>
              <w:rPr>
                <w:spacing w:val="2"/>
              </w:rPr>
              <w:t>镇敖里村</w:t>
            </w:r>
            <w:r>
              <w:t xml:space="preserve"> </w:t>
            </w:r>
            <w:r>
              <w:rPr>
                <w:spacing w:val="-8"/>
              </w:rPr>
              <w:t>村</w:t>
            </w:r>
            <w:r>
              <w:rPr>
                <w:spacing w:val="17"/>
              </w:rPr>
              <w:t xml:space="preserve"> </w:t>
            </w:r>
            <w:r>
              <w:rPr>
                <w:spacing w:val="-8"/>
              </w:rPr>
              <w:t>庄</w:t>
            </w:r>
            <w:r>
              <w:rPr>
                <w:spacing w:val="15"/>
              </w:rPr>
              <w:t xml:space="preserve"> </w:t>
            </w:r>
            <w:r>
              <w:rPr>
                <w:spacing w:val="-8"/>
              </w:rPr>
              <w:t>规</w:t>
            </w:r>
            <w:r>
              <w:t xml:space="preserve"> </w:t>
            </w:r>
            <w:r>
              <w:rPr>
                <w:spacing w:val="2"/>
              </w:rPr>
              <w:t>划》（调</w:t>
            </w:r>
            <w:r>
              <w:t xml:space="preserve"> </w:t>
            </w:r>
            <w:r>
              <w:rPr>
                <w:spacing w:val="2"/>
              </w:rPr>
              <w:t>整）、已</w:t>
            </w:r>
            <w:r>
              <w:t xml:space="preserve"> </w:t>
            </w:r>
            <w:r>
              <w:rPr>
                <w:spacing w:val="2"/>
              </w:rPr>
              <w:t>开始建设</w:t>
            </w:r>
            <w:r>
              <w:t xml:space="preserve"> </w:t>
            </w:r>
            <w:r>
              <w:rPr>
                <w:spacing w:val="1"/>
              </w:rPr>
              <w:t>安置房，</w:t>
            </w:r>
            <w:r>
              <w:t xml:space="preserve"> </w:t>
            </w:r>
            <w:r>
              <w:rPr>
                <w:spacing w:val="-6"/>
              </w:rPr>
              <w:t>为</w:t>
            </w:r>
            <w:r>
              <w:rPr>
                <w:spacing w:val="-36"/>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16"/>
              </w:rPr>
              <w:t xml:space="preserve"> </w:t>
            </w:r>
            <w:r>
              <w:rPr>
                <w:spacing w:val="-6"/>
              </w:rPr>
              <w:t>层建</w:t>
            </w:r>
            <w:r>
              <w:t xml:space="preserve"> 筑</w:t>
            </w:r>
          </w:p>
        </w:tc>
      </w:tr>
    </w:tbl>
    <w:p>
      <w:pPr>
        <w:pStyle w:val="2"/>
      </w:pPr>
    </w:p>
    <w:p>
      <w:pPr>
        <w:sectPr>
          <w:headerReference r:id="rId93" w:type="default"/>
          <w:footerReference r:id="rId94" w:type="default"/>
          <w:pgSz w:w="16839" w:h="11907"/>
          <w:pgMar w:top="1118" w:right="1192" w:bottom="1182" w:left="1195" w:header="879" w:footer="1024" w:gutter="0"/>
          <w:cols w:space="720" w:num="1"/>
        </w:sectPr>
      </w:pPr>
    </w:p>
    <w:p>
      <w:pPr>
        <w:spacing w:before="104"/>
      </w:pPr>
    </w:p>
    <w:tbl>
      <w:tblPr>
        <w:tblStyle w:val="5"/>
        <w:tblW w:w="144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3"/>
        <w:gridCol w:w="1526"/>
        <w:gridCol w:w="1485"/>
        <w:gridCol w:w="756"/>
        <w:gridCol w:w="1495"/>
        <w:gridCol w:w="1056"/>
        <w:gridCol w:w="1337"/>
        <w:gridCol w:w="1751"/>
        <w:gridCol w:w="2493"/>
        <w:gridCol w:w="1099"/>
        <w:gridCol w:w="9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533" w:type="dxa"/>
            <w:vAlign w:val="top"/>
          </w:tcPr>
          <w:p>
            <w:pPr>
              <w:pStyle w:val="6"/>
              <w:spacing w:before="305" w:line="222" w:lineRule="auto"/>
              <w:ind w:left="59"/>
            </w:pPr>
            <w:r>
              <w:rPr>
                <w:spacing w:val="-2"/>
              </w:rPr>
              <w:t>序号</w:t>
            </w:r>
          </w:p>
        </w:tc>
        <w:tc>
          <w:tcPr>
            <w:tcW w:w="1526" w:type="dxa"/>
            <w:vAlign w:val="top"/>
          </w:tcPr>
          <w:p>
            <w:pPr>
              <w:pStyle w:val="6"/>
              <w:spacing w:before="305" w:line="221" w:lineRule="auto"/>
              <w:ind w:left="450"/>
            </w:pPr>
            <w:r>
              <w:rPr>
                <w:spacing w:val="-2"/>
              </w:rPr>
              <w:t>敏感点</w:t>
            </w:r>
          </w:p>
        </w:tc>
        <w:tc>
          <w:tcPr>
            <w:tcW w:w="1485" w:type="dxa"/>
            <w:vAlign w:val="top"/>
          </w:tcPr>
          <w:p>
            <w:pPr>
              <w:pStyle w:val="6"/>
              <w:spacing w:before="305" w:line="221" w:lineRule="auto"/>
              <w:ind w:left="326"/>
            </w:pPr>
            <w:r>
              <w:rPr>
                <w:spacing w:val="-2"/>
              </w:rPr>
              <w:t>起讫桩号</w:t>
            </w:r>
          </w:p>
        </w:tc>
        <w:tc>
          <w:tcPr>
            <w:tcW w:w="756" w:type="dxa"/>
            <w:vAlign w:val="top"/>
          </w:tcPr>
          <w:p>
            <w:pPr>
              <w:pStyle w:val="6"/>
              <w:spacing w:before="305" w:line="222" w:lineRule="auto"/>
              <w:ind w:left="173"/>
            </w:pPr>
            <w:r>
              <w:rPr>
                <w:spacing w:val="-2"/>
              </w:rPr>
              <w:t>方位</w:t>
            </w:r>
          </w:p>
        </w:tc>
        <w:tc>
          <w:tcPr>
            <w:tcW w:w="1495" w:type="dxa"/>
            <w:vAlign w:val="top"/>
          </w:tcPr>
          <w:p>
            <w:pPr>
              <w:pStyle w:val="6"/>
              <w:spacing w:before="169" w:line="227" w:lineRule="auto"/>
              <w:ind w:left="334" w:right="115" w:hanging="215"/>
              <w:rPr>
                <w:rFonts w:ascii="Times New Roman" w:hAnsi="Times New Roman" w:eastAsia="Times New Roman" w:cs="Times New Roman"/>
              </w:rPr>
            </w:pPr>
            <w:r>
              <w:rPr>
                <w:spacing w:val="-1"/>
              </w:rPr>
              <w:t>距项目边界线</w:t>
            </w:r>
            <w:r>
              <w:t xml:space="preserve"> </w:t>
            </w:r>
            <w:r>
              <w:rPr>
                <w:spacing w:val="-3"/>
              </w:rPr>
              <w:t>距离</w:t>
            </w:r>
            <w:r>
              <w:rPr>
                <w:spacing w:val="10"/>
              </w:rPr>
              <w:t xml:space="preserve"> </w:t>
            </w:r>
            <w:r>
              <w:rPr>
                <w:rFonts w:ascii="Times New Roman" w:hAnsi="Times New Roman" w:eastAsia="Times New Roman" w:cs="Times New Roman"/>
                <w:spacing w:val="-3"/>
              </w:rPr>
              <w:t>(m)</w:t>
            </w:r>
          </w:p>
        </w:tc>
        <w:tc>
          <w:tcPr>
            <w:tcW w:w="1056" w:type="dxa"/>
            <w:vAlign w:val="top"/>
          </w:tcPr>
          <w:p>
            <w:pPr>
              <w:pStyle w:val="6"/>
              <w:spacing w:before="305" w:line="221" w:lineRule="auto"/>
              <w:ind w:left="109"/>
            </w:pPr>
            <w:r>
              <w:rPr>
                <w:spacing w:val="-1"/>
              </w:rPr>
              <w:t>道路形式</w:t>
            </w:r>
          </w:p>
        </w:tc>
        <w:tc>
          <w:tcPr>
            <w:tcW w:w="1337" w:type="dxa"/>
            <w:vAlign w:val="top"/>
          </w:tcPr>
          <w:p>
            <w:pPr>
              <w:pStyle w:val="6"/>
              <w:spacing w:before="305" w:line="221" w:lineRule="auto"/>
              <w:ind w:left="463"/>
            </w:pPr>
            <w:r>
              <w:rPr>
                <w:spacing w:val="-2"/>
              </w:rPr>
              <w:t>现状</w:t>
            </w:r>
          </w:p>
        </w:tc>
        <w:tc>
          <w:tcPr>
            <w:tcW w:w="4244" w:type="dxa"/>
            <w:gridSpan w:val="2"/>
            <w:vAlign w:val="top"/>
          </w:tcPr>
          <w:p>
            <w:pPr>
              <w:pStyle w:val="6"/>
              <w:spacing w:before="305" w:line="222" w:lineRule="auto"/>
              <w:ind w:left="1813"/>
            </w:pPr>
            <w:r>
              <w:rPr>
                <w:spacing w:val="-2"/>
              </w:rPr>
              <w:t>规划图</w:t>
            </w:r>
          </w:p>
        </w:tc>
        <w:tc>
          <w:tcPr>
            <w:tcW w:w="1099" w:type="dxa"/>
            <w:vAlign w:val="top"/>
          </w:tcPr>
          <w:p>
            <w:pPr>
              <w:pStyle w:val="6"/>
              <w:spacing w:before="33" w:line="229" w:lineRule="auto"/>
              <w:ind w:left="138" w:right="122" w:firstLine="2"/>
              <w:jc w:val="both"/>
            </w:pPr>
            <w:r>
              <w:rPr>
                <w:spacing w:val="-3"/>
              </w:rPr>
              <w:t>项目建成</w:t>
            </w:r>
            <w:r>
              <w:rPr>
                <w:spacing w:val="1"/>
              </w:rPr>
              <w:t xml:space="preserve"> </w:t>
            </w:r>
            <w:r>
              <w:rPr>
                <w:spacing w:val="-2"/>
              </w:rPr>
              <w:t>后声环境</w:t>
            </w:r>
            <w:r>
              <w:t xml:space="preserve"> </w:t>
            </w:r>
            <w:r>
              <w:rPr>
                <w:spacing w:val="-2"/>
              </w:rPr>
              <w:t>保护要求</w:t>
            </w:r>
          </w:p>
        </w:tc>
        <w:tc>
          <w:tcPr>
            <w:tcW w:w="914" w:type="dxa"/>
            <w:vAlign w:val="top"/>
          </w:tcPr>
          <w:p>
            <w:pPr>
              <w:pStyle w:val="6"/>
              <w:spacing w:before="305" w:line="222" w:lineRule="auto"/>
              <w:ind w:left="252"/>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1" w:hRule="atLeast"/>
        </w:trPr>
        <w:tc>
          <w:tcPr>
            <w:tcW w:w="53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60" w:line="187" w:lineRule="auto"/>
              <w:ind w:left="21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26"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9" w:line="221" w:lineRule="auto"/>
              <w:ind w:left="57"/>
              <w:rPr>
                <w:rFonts w:ascii="Times New Roman" w:hAnsi="Times New Roman" w:eastAsia="Times New Roman" w:cs="Times New Roman"/>
              </w:rPr>
            </w:pPr>
            <w:r>
              <w:rPr>
                <w:spacing w:val="-1"/>
              </w:rPr>
              <w:t>规划保护目标</w:t>
            </w:r>
            <w:r>
              <w:rPr>
                <w:spacing w:val="-44"/>
              </w:rPr>
              <w:t xml:space="preserve"> </w:t>
            </w:r>
            <w:r>
              <w:rPr>
                <w:rFonts w:ascii="Times New Roman" w:hAnsi="Times New Roman" w:eastAsia="Times New Roman" w:cs="Times New Roman"/>
                <w:spacing w:val="-1"/>
              </w:rPr>
              <w:t>3</w:t>
            </w:r>
          </w:p>
        </w:tc>
        <w:tc>
          <w:tcPr>
            <w:tcW w:w="1485"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1" w:line="213" w:lineRule="auto"/>
              <w:ind w:left="472" w:right="30" w:hanging="4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L1K2+200~L1K</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2+410</w:t>
            </w:r>
          </w:p>
        </w:tc>
        <w:tc>
          <w:tcPr>
            <w:tcW w:w="75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8" w:line="231" w:lineRule="auto"/>
              <w:ind w:left="274" w:right="58" w:hanging="205"/>
            </w:pPr>
            <w:r>
              <w:rPr>
                <w:spacing w:val="-3"/>
              </w:rPr>
              <w:t>南北两</w:t>
            </w:r>
            <w:r>
              <w:t xml:space="preserve"> 侧</w:t>
            </w:r>
          </w:p>
        </w:tc>
        <w:tc>
          <w:tcPr>
            <w:tcW w:w="1495"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8" w:line="221" w:lineRule="auto"/>
              <w:ind w:left="545"/>
            </w:pPr>
            <w:r>
              <w:rPr>
                <w:spacing w:val="-3"/>
              </w:rPr>
              <w:t>紧邻</w:t>
            </w:r>
          </w:p>
        </w:tc>
        <w:tc>
          <w:tcPr>
            <w:tcW w:w="1056"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8" w:line="221" w:lineRule="auto"/>
              <w:ind w:left="323"/>
            </w:pPr>
            <w:r>
              <w:rPr>
                <w:spacing w:val="-2"/>
              </w:rPr>
              <w:t>路基</w:t>
            </w:r>
          </w:p>
        </w:tc>
        <w:tc>
          <w:tcPr>
            <w:tcW w:w="133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31" w:lineRule="auto"/>
              <w:ind w:left="253" w:right="36" w:hanging="206"/>
            </w:pPr>
            <w:r>
              <w:rPr>
                <w:spacing w:val="-17"/>
              </w:rPr>
              <w:t>空地， 部分与</w:t>
            </w:r>
            <w:r>
              <w:t xml:space="preserve"> </w:t>
            </w:r>
            <w:r>
              <w:rPr>
                <w:spacing w:val="-2"/>
              </w:rPr>
              <w:t>现状重叠</w:t>
            </w:r>
          </w:p>
        </w:tc>
        <w:tc>
          <w:tcPr>
            <w:tcW w:w="4244" w:type="dxa"/>
            <w:gridSpan w:val="2"/>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90" w:line="192" w:lineRule="auto"/>
              <w:ind w:left="1781"/>
              <w:rPr>
                <w:rFonts w:ascii="微软雅黑" w:hAnsi="微软雅黑" w:eastAsia="微软雅黑" w:cs="微软雅黑"/>
                <w:sz w:val="21"/>
                <w:szCs w:val="21"/>
              </w:rPr>
            </w:pPr>
            <w:r>
              <w:drawing>
                <wp:anchor distT="0" distB="0" distL="0" distR="0" simplePos="0" relativeHeight="251674624" behindDoc="1" locked="0" layoutInCell="1" allowOverlap="1">
                  <wp:simplePos x="0" y="0"/>
                  <wp:positionH relativeFrom="column">
                    <wp:posOffset>15240</wp:posOffset>
                  </wp:positionH>
                  <wp:positionV relativeFrom="paragraph">
                    <wp:posOffset>-789940</wp:posOffset>
                  </wp:positionV>
                  <wp:extent cx="2713990" cy="197358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43"/>
                          <a:stretch>
                            <a:fillRect/>
                          </a:stretch>
                        </pic:blipFill>
                        <pic:spPr>
                          <a:xfrm>
                            <a:off x="0" y="0"/>
                            <a:ext cx="2713989" cy="1973579"/>
                          </a:xfrm>
                          <a:prstGeom prst="rect">
                            <a:avLst/>
                          </a:prstGeom>
                        </pic:spPr>
                      </pic:pic>
                    </a:graphicData>
                  </a:graphic>
                </wp:anchor>
              </w:drawing>
            </w:r>
            <w:r>
              <w:rPr>
                <w:rFonts w:ascii="微软雅黑" w:hAnsi="微软雅黑" w:eastAsia="微软雅黑" w:cs="微软雅黑"/>
                <w:b/>
                <w:bCs/>
                <w:color w:val="2652C2"/>
                <w:spacing w:val="-1"/>
                <w:sz w:val="21"/>
                <w:szCs w:val="21"/>
              </w:rPr>
              <w:t>规划居住用地 3</w:t>
            </w:r>
          </w:p>
        </w:tc>
        <w:tc>
          <w:tcPr>
            <w:tcW w:w="109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9" w:line="221" w:lineRule="auto"/>
              <w:ind w:left="240"/>
            </w:pPr>
            <w:r>
              <w:rPr>
                <w:rFonts w:ascii="Times New Roman" w:hAnsi="Times New Roman" w:eastAsia="Times New Roman" w:cs="Times New Roman"/>
                <w:spacing w:val="-1"/>
              </w:rPr>
              <w:t>4a/2</w:t>
            </w:r>
            <w:r>
              <w:rPr>
                <w:rFonts w:ascii="Times New Roman" w:hAnsi="Times New Roman" w:eastAsia="Times New Roman" w:cs="Times New Roman"/>
                <w:spacing w:val="10"/>
              </w:rPr>
              <w:t xml:space="preserve"> </w:t>
            </w:r>
            <w:r>
              <w:rPr>
                <w:spacing w:val="-1"/>
              </w:rPr>
              <w:t>类</w:t>
            </w:r>
          </w:p>
        </w:tc>
        <w:tc>
          <w:tcPr>
            <w:tcW w:w="914" w:type="dxa"/>
            <w:vAlign w:val="top"/>
          </w:tcPr>
          <w:p>
            <w:pPr>
              <w:spacing w:line="346" w:lineRule="auto"/>
              <w:rPr>
                <w:rFonts w:ascii="Arial"/>
                <w:sz w:val="21"/>
              </w:rPr>
            </w:pPr>
          </w:p>
          <w:p>
            <w:pPr>
              <w:spacing w:line="346" w:lineRule="auto"/>
              <w:rPr>
                <w:rFonts w:ascii="Arial"/>
                <w:sz w:val="21"/>
              </w:rPr>
            </w:pPr>
          </w:p>
          <w:p>
            <w:pPr>
              <w:pStyle w:val="6"/>
              <w:spacing w:before="69" w:line="238" w:lineRule="auto"/>
              <w:ind w:left="33" w:right="26" w:firstLine="2"/>
              <w:jc w:val="both"/>
            </w:pPr>
            <w:r>
              <w:rPr>
                <w:spacing w:val="1"/>
              </w:rPr>
              <w:t xml:space="preserve">《文成县 </w:t>
            </w:r>
            <w:r>
              <w:rPr>
                <w:spacing w:val="2"/>
              </w:rPr>
              <w:t>西坑畲族</w:t>
            </w:r>
            <w:r>
              <w:t xml:space="preserve"> </w:t>
            </w:r>
            <w:r>
              <w:rPr>
                <w:spacing w:val="2"/>
              </w:rPr>
              <w:t>镇敖里村</w:t>
            </w:r>
            <w:r>
              <w:t xml:space="preserve"> </w:t>
            </w:r>
            <w:r>
              <w:rPr>
                <w:spacing w:val="-8"/>
              </w:rPr>
              <w:t>村</w:t>
            </w:r>
            <w:r>
              <w:rPr>
                <w:spacing w:val="17"/>
              </w:rPr>
              <w:t xml:space="preserve"> </w:t>
            </w:r>
            <w:r>
              <w:rPr>
                <w:spacing w:val="-8"/>
              </w:rPr>
              <w:t>庄</w:t>
            </w:r>
            <w:r>
              <w:rPr>
                <w:spacing w:val="15"/>
              </w:rPr>
              <w:t xml:space="preserve"> </w:t>
            </w:r>
            <w:r>
              <w:rPr>
                <w:spacing w:val="-8"/>
              </w:rPr>
              <w:t>规</w:t>
            </w:r>
            <w:r>
              <w:t xml:space="preserve"> </w:t>
            </w:r>
            <w:r>
              <w:rPr>
                <w:spacing w:val="2"/>
              </w:rPr>
              <w:t>划》（调</w:t>
            </w:r>
            <w:r>
              <w:t xml:space="preserve"> </w:t>
            </w:r>
            <w:r>
              <w:rPr>
                <w:spacing w:val="-5"/>
              </w:rPr>
              <w:t>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533" w:type="dxa"/>
            <w:vAlign w:val="top"/>
          </w:tcPr>
          <w:p>
            <w:pPr>
              <w:spacing w:line="259" w:lineRule="auto"/>
              <w:rPr>
                <w:rFonts w:ascii="Arial"/>
                <w:sz w:val="21"/>
              </w:rPr>
            </w:pPr>
          </w:p>
          <w:p>
            <w:pPr>
              <w:spacing w:line="259" w:lineRule="auto"/>
              <w:rPr>
                <w:rFonts w:ascii="Arial"/>
                <w:sz w:val="21"/>
              </w:rPr>
            </w:pPr>
          </w:p>
          <w:p>
            <w:pPr>
              <w:spacing w:before="61" w:line="187" w:lineRule="auto"/>
              <w:ind w:left="21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26" w:type="dxa"/>
            <w:vAlign w:val="top"/>
          </w:tcPr>
          <w:p>
            <w:pPr>
              <w:spacing w:line="475" w:lineRule="auto"/>
              <w:rPr>
                <w:rFonts w:ascii="Arial"/>
                <w:sz w:val="21"/>
              </w:rPr>
            </w:pPr>
          </w:p>
          <w:p>
            <w:pPr>
              <w:pStyle w:val="6"/>
              <w:spacing w:before="68" w:line="221" w:lineRule="auto"/>
              <w:ind w:left="57"/>
              <w:rPr>
                <w:rFonts w:ascii="Times New Roman" w:hAnsi="Times New Roman" w:eastAsia="Times New Roman" w:cs="Times New Roman"/>
              </w:rPr>
            </w:pPr>
            <w:r>
              <w:rPr>
                <w:spacing w:val="-1"/>
              </w:rPr>
              <w:t>规划保护目标</w:t>
            </w:r>
            <w:r>
              <w:rPr>
                <w:spacing w:val="-50"/>
              </w:rPr>
              <w:t xml:space="preserve"> </w:t>
            </w:r>
            <w:r>
              <w:rPr>
                <w:rFonts w:ascii="Times New Roman" w:hAnsi="Times New Roman" w:eastAsia="Times New Roman" w:cs="Times New Roman"/>
                <w:spacing w:val="-1"/>
              </w:rPr>
              <w:t>4</w:t>
            </w:r>
          </w:p>
        </w:tc>
        <w:tc>
          <w:tcPr>
            <w:tcW w:w="1485" w:type="dxa"/>
            <w:vAlign w:val="top"/>
          </w:tcPr>
          <w:p>
            <w:pPr>
              <w:spacing w:line="399" w:lineRule="auto"/>
              <w:rPr>
                <w:rFonts w:ascii="Arial"/>
                <w:sz w:val="21"/>
              </w:rPr>
            </w:pPr>
          </w:p>
          <w:p>
            <w:pPr>
              <w:spacing w:before="60" w:line="214" w:lineRule="auto"/>
              <w:ind w:left="475" w:right="30" w:hanging="4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L2K0+000~L2K</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0+190</w:t>
            </w:r>
          </w:p>
        </w:tc>
        <w:tc>
          <w:tcPr>
            <w:tcW w:w="756" w:type="dxa"/>
            <w:vAlign w:val="top"/>
          </w:tcPr>
          <w:p>
            <w:pPr>
              <w:spacing w:line="474" w:lineRule="auto"/>
              <w:rPr>
                <w:rFonts w:ascii="Arial"/>
                <w:sz w:val="21"/>
              </w:rPr>
            </w:pPr>
          </w:p>
          <w:p>
            <w:pPr>
              <w:pStyle w:val="6"/>
              <w:spacing w:before="68" w:line="221" w:lineRule="auto"/>
              <w:ind w:left="177"/>
            </w:pPr>
            <w:r>
              <w:rPr>
                <w:spacing w:val="-3"/>
              </w:rPr>
              <w:t>西侧</w:t>
            </w:r>
          </w:p>
        </w:tc>
        <w:tc>
          <w:tcPr>
            <w:tcW w:w="1495" w:type="dxa"/>
            <w:vAlign w:val="top"/>
          </w:tcPr>
          <w:p>
            <w:pPr>
              <w:spacing w:line="474" w:lineRule="auto"/>
              <w:rPr>
                <w:rFonts w:ascii="Arial"/>
                <w:sz w:val="21"/>
              </w:rPr>
            </w:pPr>
          </w:p>
          <w:p>
            <w:pPr>
              <w:pStyle w:val="6"/>
              <w:spacing w:before="68" w:line="221" w:lineRule="auto"/>
              <w:ind w:left="545"/>
            </w:pPr>
            <w:r>
              <w:rPr>
                <w:spacing w:val="-3"/>
              </w:rPr>
              <w:t>紧邻</w:t>
            </w:r>
          </w:p>
        </w:tc>
        <w:tc>
          <w:tcPr>
            <w:tcW w:w="1056" w:type="dxa"/>
            <w:vAlign w:val="top"/>
          </w:tcPr>
          <w:p>
            <w:pPr>
              <w:spacing w:line="474" w:lineRule="auto"/>
              <w:rPr>
                <w:rFonts w:ascii="Arial"/>
                <w:sz w:val="21"/>
              </w:rPr>
            </w:pPr>
          </w:p>
          <w:p>
            <w:pPr>
              <w:pStyle w:val="6"/>
              <w:spacing w:before="68" w:line="221" w:lineRule="auto"/>
              <w:ind w:left="323"/>
            </w:pPr>
            <w:r>
              <w:rPr>
                <w:spacing w:val="-2"/>
              </w:rPr>
              <w:t>路基</w:t>
            </w:r>
          </w:p>
        </w:tc>
        <w:tc>
          <w:tcPr>
            <w:tcW w:w="1337" w:type="dxa"/>
            <w:vAlign w:val="top"/>
          </w:tcPr>
          <w:p>
            <w:pPr>
              <w:spacing w:line="472" w:lineRule="auto"/>
              <w:rPr>
                <w:rFonts w:ascii="Arial"/>
                <w:sz w:val="21"/>
              </w:rPr>
            </w:pPr>
          </w:p>
          <w:p>
            <w:pPr>
              <w:pStyle w:val="6"/>
              <w:spacing w:before="68" w:line="229" w:lineRule="auto"/>
              <w:ind w:left="468"/>
            </w:pPr>
            <w:r>
              <w:rPr>
                <w:spacing w:val="-4"/>
              </w:rPr>
              <w:t>空地</w:t>
            </w:r>
          </w:p>
        </w:tc>
        <w:tc>
          <w:tcPr>
            <w:tcW w:w="4244" w:type="dxa"/>
            <w:gridSpan w:val="2"/>
            <w:vMerge w:val="restart"/>
            <w:tcBorders>
              <w:bottom w:val="nil"/>
            </w:tcBorders>
            <w:vAlign w:val="top"/>
          </w:tcPr>
          <w:p>
            <w:pPr>
              <w:spacing w:line="301" w:lineRule="auto"/>
              <w:rPr>
                <w:rFonts w:ascii="Arial"/>
                <w:sz w:val="21"/>
              </w:rPr>
            </w:pPr>
          </w:p>
          <w:p>
            <w:pPr>
              <w:spacing w:line="301" w:lineRule="auto"/>
              <w:rPr>
                <w:rFonts w:ascii="Arial"/>
                <w:sz w:val="21"/>
              </w:rPr>
            </w:pPr>
          </w:p>
          <w:p>
            <w:pPr>
              <w:spacing w:line="302" w:lineRule="auto"/>
              <w:rPr>
                <w:rFonts w:ascii="Arial"/>
                <w:sz w:val="21"/>
              </w:rPr>
            </w:pPr>
          </w:p>
          <w:p>
            <w:pPr>
              <w:spacing w:before="90" w:line="213" w:lineRule="auto"/>
              <w:ind w:left="2047"/>
              <w:rPr>
                <w:rFonts w:ascii="微软雅黑" w:hAnsi="微软雅黑" w:eastAsia="微软雅黑" w:cs="微软雅黑"/>
                <w:sz w:val="21"/>
                <w:szCs w:val="21"/>
              </w:rPr>
            </w:pPr>
            <w:r>
              <w:drawing>
                <wp:anchor distT="0" distB="0" distL="0" distR="0" simplePos="0" relativeHeight="251675648" behindDoc="1" locked="0" layoutInCell="1" allowOverlap="1">
                  <wp:simplePos x="0" y="0"/>
                  <wp:positionH relativeFrom="column">
                    <wp:posOffset>34925</wp:posOffset>
                  </wp:positionH>
                  <wp:positionV relativeFrom="paragraph">
                    <wp:posOffset>-575310</wp:posOffset>
                  </wp:positionV>
                  <wp:extent cx="2621280" cy="242506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44"/>
                          <a:stretch>
                            <a:fillRect/>
                          </a:stretch>
                        </pic:blipFill>
                        <pic:spPr>
                          <a:xfrm>
                            <a:off x="0" y="0"/>
                            <a:ext cx="2621279" cy="2425064"/>
                          </a:xfrm>
                          <a:prstGeom prst="rect">
                            <a:avLst/>
                          </a:prstGeom>
                        </pic:spPr>
                      </pic:pic>
                    </a:graphicData>
                  </a:graphic>
                </wp:anchor>
              </w:drawing>
            </w:r>
            <w:r>
              <w:rPr>
                <w:rFonts w:ascii="微软雅黑" w:hAnsi="微软雅黑" w:eastAsia="微软雅黑" w:cs="微软雅黑"/>
                <w:b/>
                <w:bCs/>
                <w:color w:val="2652C2"/>
                <w:sz w:val="21"/>
                <w:szCs w:val="21"/>
              </w:rPr>
              <w:t>规划居住</w:t>
            </w:r>
          </w:p>
          <w:p>
            <w:pPr>
              <w:spacing w:before="1" w:line="191" w:lineRule="auto"/>
              <w:ind w:left="2182"/>
              <w:rPr>
                <w:rFonts w:ascii="微软雅黑" w:hAnsi="微软雅黑" w:eastAsia="微软雅黑" w:cs="微软雅黑"/>
                <w:sz w:val="21"/>
                <w:szCs w:val="21"/>
              </w:rPr>
            </w:pPr>
            <w:r>
              <w:rPr>
                <w:rFonts w:ascii="微软雅黑" w:hAnsi="微软雅黑" w:eastAsia="微软雅黑" w:cs="微软雅黑"/>
                <w:b/>
                <w:bCs/>
                <w:color w:val="2652C2"/>
                <w:spacing w:val="-3"/>
                <w:sz w:val="21"/>
                <w:szCs w:val="21"/>
              </w:rPr>
              <w:t>用地 6</w:t>
            </w:r>
          </w:p>
        </w:tc>
        <w:tc>
          <w:tcPr>
            <w:tcW w:w="1099" w:type="dxa"/>
            <w:vAlign w:val="top"/>
          </w:tcPr>
          <w:p>
            <w:pPr>
              <w:spacing w:line="472" w:lineRule="auto"/>
              <w:rPr>
                <w:rFonts w:ascii="Arial"/>
                <w:sz w:val="21"/>
              </w:rPr>
            </w:pPr>
          </w:p>
          <w:p>
            <w:pPr>
              <w:pStyle w:val="6"/>
              <w:spacing w:before="68" w:line="221" w:lineRule="auto"/>
              <w:ind w:left="240"/>
            </w:pPr>
            <w:r>
              <w:rPr>
                <w:rFonts w:ascii="Times New Roman" w:hAnsi="Times New Roman" w:eastAsia="Times New Roman" w:cs="Times New Roman"/>
                <w:spacing w:val="-1"/>
              </w:rPr>
              <w:t>4a/2</w:t>
            </w:r>
            <w:r>
              <w:rPr>
                <w:rFonts w:ascii="Times New Roman" w:hAnsi="Times New Roman" w:eastAsia="Times New Roman" w:cs="Times New Roman"/>
                <w:spacing w:val="10"/>
              </w:rPr>
              <w:t xml:space="preserve"> </w:t>
            </w:r>
            <w:r>
              <w:rPr>
                <w:spacing w:val="-1"/>
              </w:rPr>
              <w:t>类</w:t>
            </w:r>
          </w:p>
        </w:tc>
        <w:tc>
          <w:tcPr>
            <w:tcW w:w="914"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9" w:line="237" w:lineRule="auto"/>
              <w:ind w:left="34" w:right="26" w:firstLine="1"/>
            </w:pPr>
            <w:r>
              <w:rPr>
                <w:spacing w:val="1"/>
              </w:rPr>
              <w:t>《温州市 文成县西</w:t>
            </w:r>
            <w:r>
              <w:rPr>
                <w:spacing w:val="2"/>
              </w:rPr>
              <w:t xml:space="preserve"> </w:t>
            </w:r>
            <w:r>
              <w:rPr>
                <w:spacing w:val="1"/>
              </w:rPr>
              <w:t>坑畲族镇</w:t>
            </w:r>
            <w:r>
              <w:rPr>
                <w:spacing w:val="2"/>
              </w:rPr>
              <w:t xml:space="preserve"> </w:t>
            </w:r>
            <w:r>
              <w:rPr>
                <w:spacing w:val="1"/>
              </w:rPr>
              <w:t>让川村村</w:t>
            </w:r>
            <w:r>
              <w:rPr>
                <w:spacing w:val="2"/>
              </w:rPr>
              <w:t xml:space="preserve"> </w:t>
            </w:r>
            <w:r>
              <w:rPr>
                <w:spacing w:val="-1"/>
              </w:rPr>
              <w:t>庄规划》</w:t>
            </w:r>
            <w:r>
              <w:rPr>
                <w:spacing w:val="2"/>
              </w:rPr>
              <w:t xml:space="preserve"> </w:t>
            </w:r>
            <w:r>
              <w:rPr>
                <w:spacing w:val="-4"/>
              </w:rPr>
              <w:t>（调整）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533" w:type="dxa"/>
            <w:vAlign w:val="top"/>
          </w:tcPr>
          <w:p>
            <w:pPr>
              <w:spacing w:line="445" w:lineRule="auto"/>
              <w:rPr>
                <w:rFonts w:ascii="Arial"/>
                <w:sz w:val="21"/>
              </w:rPr>
            </w:pPr>
          </w:p>
          <w:p>
            <w:pPr>
              <w:spacing w:before="61" w:line="184" w:lineRule="auto"/>
              <w:ind w:left="21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26" w:type="dxa"/>
            <w:vAlign w:val="top"/>
          </w:tcPr>
          <w:p>
            <w:pPr>
              <w:spacing w:line="399" w:lineRule="auto"/>
              <w:rPr>
                <w:rFonts w:ascii="Arial"/>
                <w:sz w:val="21"/>
              </w:rPr>
            </w:pPr>
          </w:p>
          <w:p>
            <w:pPr>
              <w:pStyle w:val="6"/>
              <w:spacing w:before="68" w:line="221" w:lineRule="auto"/>
              <w:ind w:left="57"/>
              <w:rPr>
                <w:rFonts w:ascii="Times New Roman" w:hAnsi="Times New Roman" w:eastAsia="Times New Roman" w:cs="Times New Roman"/>
              </w:rPr>
            </w:pPr>
            <w:r>
              <w:rPr>
                <w:spacing w:val="-1"/>
              </w:rPr>
              <w:t>规划保护目标</w:t>
            </w:r>
            <w:r>
              <w:rPr>
                <w:spacing w:val="-43"/>
              </w:rPr>
              <w:t xml:space="preserve"> </w:t>
            </w:r>
            <w:r>
              <w:rPr>
                <w:rFonts w:ascii="Times New Roman" w:hAnsi="Times New Roman" w:eastAsia="Times New Roman" w:cs="Times New Roman"/>
                <w:spacing w:val="-1"/>
              </w:rPr>
              <w:t>5</w:t>
            </w:r>
          </w:p>
        </w:tc>
        <w:tc>
          <w:tcPr>
            <w:tcW w:w="1485" w:type="dxa"/>
            <w:vAlign w:val="top"/>
          </w:tcPr>
          <w:p>
            <w:pPr>
              <w:spacing w:line="320" w:lineRule="auto"/>
              <w:rPr>
                <w:rFonts w:ascii="Arial"/>
                <w:sz w:val="21"/>
              </w:rPr>
            </w:pPr>
          </w:p>
          <w:p>
            <w:pPr>
              <w:spacing w:before="61" w:line="214" w:lineRule="auto"/>
              <w:ind w:left="475" w:right="30" w:hanging="4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L2K0+000~L2K</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0+070</w:t>
            </w:r>
          </w:p>
        </w:tc>
        <w:tc>
          <w:tcPr>
            <w:tcW w:w="756" w:type="dxa"/>
            <w:vAlign w:val="top"/>
          </w:tcPr>
          <w:p>
            <w:pPr>
              <w:spacing w:line="398" w:lineRule="auto"/>
              <w:rPr>
                <w:rFonts w:ascii="Arial"/>
                <w:sz w:val="21"/>
              </w:rPr>
            </w:pPr>
          </w:p>
          <w:p>
            <w:pPr>
              <w:pStyle w:val="6"/>
              <w:spacing w:before="68" w:line="221" w:lineRule="auto"/>
              <w:ind w:left="179"/>
            </w:pPr>
            <w:r>
              <w:rPr>
                <w:spacing w:val="-4"/>
              </w:rPr>
              <w:t>东侧</w:t>
            </w:r>
          </w:p>
        </w:tc>
        <w:tc>
          <w:tcPr>
            <w:tcW w:w="1495" w:type="dxa"/>
            <w:vAlign w:val="top"/>
          </w:tcPr>
          <w:p>
            <w:pPr>
              <w:spacing w:line="398" w:lineRule="auto"/>
              <w:rPr>
                <w:rFonts w:ascii="Arial"/>
                <w:sz w:val="21"/>
              </w:rPr>
            </w:pPr>
          </w:p>
          <w:p>
            <w:pPr>
              <w:pStyle w:val="6"/>
              <w:spacing w:before="68" w:line="221" w:lineRule="auto"/>
              <w:ind w:left="545"/>
            </w:pPr>
            <w:r>
              <w:rPr>
                <w:spacing w:val="-3"/>
              </w:rPr>
              <w:t>紧邻</w:t>
            </w:r>
          </w:p>
        </w:tc>
        <w:tc>
          <w:tcPr>
            <w:tcW w:w="1056" w:type="dxa"/>
            <w:vAlign w:val="top"/>
          </w:tcPr>
          <w:p>
            <w:pPr>
              <w:spacing w:line="398" w:lineRule="auto"/>
              <w:rPr>
                <w:rFonts w:ascii="Arial"/>
                <w:sz w:val="21"/>
              </w:rPr>
            </w:pPr>
          </w:p>
          <w:p>
            <w:pPr>
              <w:pStyle w:val="6"/>
              <w:spacing w:before="68" w:line="221" w:lineRule="auto"/>
              <w:ind w:left="323"/>
            </w:pPr>
            <w:r>
              <w:rPr>
                <w:spacing w:val="-2"/>
              </w:rPr>
              <w:t>路基</w:t>
            </w:r>
          </w:p>
        </w:tc>
        <w:tc>
          <w:tcPr>
            <w:tcW w:w="1337" w:type="dxa"/>
            <w:vAlign w:val="top"/>
          </w:tcPr>
          <w:p>
            <w:pPr>
              <w:spacing w:line="395" w:lineRule="auto"/>
              <w:rPr>
                <w:rFonts w:ascii="Arial"/>
                <w:sz w:val="21"/>
              </w:rPr>
            </w:pPr>
          </w:p>
          <w:p>
            <w:pPr>
              <w:pStyle w:val="6"/>
              <w:spacing w:before="69" w:line="229" w:lineRule="auto"/>
              <w:ind w:left="468"/>
            </w:pPr>
            <w:r>
              <w:rPr>
                <w:spacing w:val="-4"/>
              </w:rPr>
              <w:t>空地</w:t>
            </w:r>
          </w:p>
        </w:tc>
        <w:tc>
          <w:tcPr>
            <w:tcW w:w="4244" w:type="dxa"/>
            <w:gridSpan w:val="2"/>
            <w:vMerge w:val="continue"/>
            <w:tcBorders>
              <w:top w:val="nil"/>
              <w:bottom w:val="nil"/>
            </w:tcBorders>
            <w:vAlign w:val="top"/>
          </w:tcPr>
          <w:p>
            <w:pPr>
              <w:rPr>
                <w:rFonts w:ascii="Arial"/>
                <w:sz w:val="21"/>
              </w:rPr>
            </w:pPr>
          </w:p>
        </w:tc>
        <w:tc>
          <w:tcPr>
            <w:tcW w:w="1099" w:type="dxa"/>
            <w:vAlign w:val="top"/>
          </w:tcPr>
          <w:p>
            <w:pPr>
              <w:spacing w:line="396" w:lineRule="auto"/>
              <w:rPr>
                <w:rFonts w:ascii="Arial"/>
                <w:sz w:val="21"/>
              </w:rPr>
            </w:pPr>
          </w:p>
          <w:p>
            <w:pPr>
              <w:pStyle w:val="6"/>
              <w:spacing w:before="68" w:line="221" w:lineRule="auto"/>
              <w:ind w:left="240"/>
            </w:pPr>
            <w:r>
              <w:rPr>
                <w:rFonts w:ascii="Times New Roman" w:hAnsi="Times New Roman" w:eastAsia="Times New Roman" w:cs="Times New Roman"/>
                <w:spacing w:val="-1"/>
              </w:rPr>
              <w:t>4a/2</w:t>
            </w:r>
            <w:r>
              <w:rPr>
                <w:rFonts w:ascii="Times New Roman" w:hAnsi="Times New Roman" w:eastAsia="Times New Roman" w:cs="Times New Roman"/>
                <w:spacing w:val="10"/>
              </w:rPr>
              <w:t xml:space="preserve"> </w:t>
            </w:r>
            <w:r>
              <w:rPr>
                <w:spacing w:val="-1"/>
              </w:rPr>
              <w:t>类</w:t>
            </w:r>
          </w:p>
        </w:tc>
        <w:tc>
          <w:tcPr>
            <w:tcW w:w="91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 w:hRule="atLeast"/>
        </w:trPr>
        <w:tc>
          <w:tcPr>
            <w:tcW w:w="533" w:type="dxa"/>
            <w:vAlign w:val="top"/>
          </w:tcPr>
          <w:p>
            <w:pPr>
              <w:spacing w:line="279" w:lineRule="auto"/>
              <w:rPr>
                <w:rFonts w:ascii="Arial"/>
                <w:sz w:val="21"/>
              </w:rPr>
            </w:pPr>
          </w:p>
          <w:p>
            <w:pPr>
              <w:spacing w:line="279" w:lineRule="auto"/>
              <w:rPr>
                <w:rFonts w:ascii="Arial"/>
                <w:sz w:val="21"/>
              </w:rPr>
            </w:pPr>
          </w:p>
          <w:p>
            <w:pPr>
              <w:spacing w:before="61" w:line="187" w:lineRule="auto"/>
              <w:ind w:left="21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526" w:type="dxa"/>
            <w:vAlign w:val="top"/>
          </w:tcPr>
          <w:p>
            <w:pPr>
              <w:spacing w:line="253" w:lineRule="auto"/>
              <w:rPr>
                <w:rFonts w:ascii="Arial"/>
                <w:sz w:val="21"/>
              </w:rPr>
            </w:pPr>
          </w:p>
          <w:p>
            <w:pPr>
              <w:spacing w:line="253" w:lineRule="auto"/>
              <w:rPr>
                <w:rFonts w:ascii="Arial"/>
                <w:sz w:val="21"/>
              </w:rPr>
            </w:pPr>
          </w:p>
          <w:p>
            <w:pPr>
              <w:pStyle w:val="6"/>
              <w:spacing w:before="71" w:line="221" w:lineRule="auto"/>
              <w:ind w:left="33"/>
              <w:rPr>
                <w:rFonts w:ascii="Times New Roman" w:hAnsi="Times New Roman" w:eastAsia="Times New Roman" w:cs="Times New Roman"/>
                <w:sz w:val="22"/>
                <w:szCs w:val="22"/>
              </w:rPr>
            </w:pPr>
            <w:r>
              <w:rPr>
                <w:spacing w:val="-2"/>
                <w:sz w:val="22"/>
                <w:szCs w:val="22"/>
              </w:rPr>
              <w:t>规划保护目标</w:t>
            </w:r>
            <w:r>
              <w:rPr>
                <w:spacing w:val="-57"/>
                <w:sz w:val="22"/>
                <w:szCs w:val="22"/>
              </w:rPr>
              <w:t xml:space="preserve"> </w:t>
            </w:r>
            <w:r>
              <w:rPr>
                <w:rFonts w:ascii="Times New Roman" w:hAnsi="Times New Roman" w:eastAsia="Times New Roman" w:cs="Times New Roman"/>
                <w:spacing w:val="-2"/>
                <w:sz w:val="22"/>
                <w:szCs w:val="22"/>
              </w:rPr>
              <w:t>6</w:t>
            </w:r>
          </w:p>
        </w:tc>
        <w:tc>
          <w:tcPr>
            <w:tcW w:w="1485" w:type="dxa"/>
            <w:vAlign w:val="top"/>
          </w:tcPr>
          <w:p>
            <w:pPr>
              <w:spacing w:line="274" w:lineRule="auto"/>
              <w:rPr>
                <w:rFonts w:ascii="Arial"/>
                <w:sz w:val="21"/>
              </w:rPr>
            </w:pPr>
          </w:p>
          <w:p>
            <w:pPr>
              <w:spacing w:line="275" w:lineRule="auto"/>
              <w:rPr>
                <w:rFonts w:ascii="Arial"/>
                <w:sz w:val="21"/>
              </w:rPr>
            </w:pPr>
          </w:p>
          <w:p>
            <w:pPr>
              <w:spacing w:before="63" w:line="187" w:lineRule="auto"/>
              <w:ind w:left="25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L2K0+000</w:t>
            </w:r>
          </w:p>
        </w:tc>
        <w:tc>
          <w:tcPr>
            <w:tcW w:w="756" w:type="dxa"/>
            <w:vAlign w:val="top"/>
          </w:tcPr>
          <w:p>
            <w:pPr>
              <w:spacing w:line="253" w:lineRule="auto"/>
              <w:rPr>
                <w:rFonts w:ascii="Arial"/>
                <w:sz w:val="21"/>
              </w:rPr>
            </w:pPr>
          </w:p>
          <w:p>
            <w:pPr>
              <w:spacing w:line="253" w:lineRule="auto"/>
              <w:rPr>
                <w:rFonts w:ascii="Arial"/>
                <w:sz w:val="21"/>
              </w:rPr>
            </w:pPr>
          </w:p>
          <w:p>
            <w:pPr>
              <w:pStyle w:val="6"/>
              <w:spacing w:before="71" w:line="220" w:lineRule="auto"/>
              <w:ind w:left="170"/>
              <w:rPr>
                <w:sz w:val="22"/>
                <w:szCs w:val="22"/>
              </w:rPr>
            </w:pPr>
            <w:r>
              <w:rPr>
                <w:spacing w:val="-4"/>
                <w:sz w:val="22"/>
                <w:szCs w:val="22"/>
              </w:rPr>
              <w:t>东北</w:t>
            </w:r>
          </w:p>
        </w:tc>
        <w:tc>
          <w:tcPr>
            <w:tcW w:w="1495" w:type="dxa"/>
            <w:vAlign w:val="top"/>
          </w:tcPr>
          <w:p>
            <w:pPr>
              <w:spacing w:line="253" w:lineRule="auto"/>
              <w:rPr>
                <w:rFonts w:ascii="Arial"/>
                <w:sz w:val="21"/>
              </w:rPr>
            </w:pPr>
          </w:p>
          <w:p>
            <w:pPr>
              <w:spacing w:line="253" w:lineRule="auto"/>
              <w:rPr>
                <w:rFonts w:ascii="Arial"/>
                <w:sz w:val="21"/>
              </w:rPr>
            </w:pPr>
          </w:p>
          <w:p>
            <w:pPr>
              <w:pStyle w:val="6"/>
              <w:spacing w:before="71" w:line="225" w:lineRule="auto"/>
              <w:ind w:left="509"/>
              <w:rPr>
                <w:rFonts w:ascii="Times New Roman" w:hAnsi="Times New Roman" w:eastAsia="Times New Roman" w:cs="Times New Roman"/>
                <w:sz w:val="22"/>
                <w:szCs w:val="22"/>
              </w:rPr>
            </w:pPr>
            <w:r>
              <w:rPr>
                <w:spacing w:val="-6"/>
                <w:sz w:val="22"/>
                <w:szCs w:val="22"/>
              </w:rPr>
              <w:t>约</w:t>
            </w:r>
            <w:r>
              <w:rPr>
                <w:spacing w:val="-47"/>
                <w:sz w:val="22"/>
                <w:szCs w:val="22"/>
              </w:rPr>
              <w:t xml:space="preserve"> </w:t>
            </w:r>
            <w:r>
              <w:rPr>
                <w:rFonts w:ascii="Times New Roman" w:hAnsi="Times New Roman" w:eastAsia="Times New Roman" w:cs="Times New Roman"/>
                <w:spacing w:val="-6"/>
                <w:sz w:val="22"/>
                <w:szCs w:val="22"/>
              </w:rPr>
              <w:t>70</w:t>
            </w:r>
          </w:p>
        </w:tc>
        <w:tc>
          <w:tcPr>
            <w:tcW w:w="1056" w:type="dxa"/>
            <w:vAlign w:val="top"/>
          </w:tcPr>
          <w:p>
            <w:pPr>
              <w:spacing w:line="253" w:lineRule="auto"/>
              <w:rPr>
                <w:rFonts w:ascii="Arial"/>
                <w:sz w:val="21"/>
              </w:rPr>
            </w:pPr>
          </w:p>
          <w:p>
            <w:pPr>
              <w:spacing w:line="253" w:lineRule="auto"/>
              <w:rPr>
                <w:rFonts w:ascii="Arial"/>
                <w:sz w:val="21"/>
              </w:rPr>
            </w:pPr>
          </w:p>
          <w:p>
            <w:pPr>
              <w:pStyle w:val="6"/>
              <w:spacing w:before="71" w:line="220" w:lineRule="auto"/>
              <w:ind w:left="314"/>
              <w:rPr>
                <w:sz w:val="22"/>
                <w:szCs w:val="22"/>
              </w:rPr>
            </w:pPr>
            <w:r>
              <w:rPr>
                <w:spacing w:val="-3"/>
                <w:sz w:val="22"/>
                <w:szCs w:val="22"/>
              </w:rPr>
              <w:t>路基</w:t>
            </w:r>
          </w:p>
        </w:tc>
        <w:tc>
          <w:tcPr>
            <w:tcW w:w="1337" w:type="dxa"/>
            <w:vAlign w:val="top"/>
          </w:tcPr>
          <w:p>
            <w:pPr>
              <w:spacing w:line="253" w:lineRule="auto"/>
              <w:rPr>
                <w:rFonts w:ascii="Arial"/>
                <w:sz w:val="21"/>
              </w:rPr>
            </w:pPr>
          </w:p>
          <w:p>
            <w:pPr>
              <w:spacing w:line="253" w:lineRule="auto"/>
              <w:rPr>
                <w:rFonts w:ascii="Arial"/>
                <w:sz w:val="21"/>
              </w:rPr>
            </w:pPr>
          </w:p>
          <w:p>
            <w:pPr>
              <w:pStyle w:val="6"/>
              <w:spacing w:before="71" w:line="228" w:lineRule="auto"/>
              <w:ind w:left="459"/>
              <w:rPr>
                <w:sz w:val="22"/>
                <w:szCs w:val="22"/>
              </w:rPr>
            </w:pPr>
            <w:r>
              <w:rPr>
                <w:spacing w:val="-4"/>
                <w:sz w:val="22"/>
                <w:szCs w:val="22"/>
              </w:rPr>
              <w:t>空地</w:t>
            </w:r>
          </w:p>
        </w:tc>
        <w:tc>
          <w:tcPr>
            <w:tcW w:w="1751" w:type="dxa"/>
            <w:tcBorders>
              <w:top w:val="nil"/>
              <w:right w:val="nil"/>
            </w:tcBorders>
            <w:vAlign w:val="top"/>
          </w:tcPr>
          <w:p>
            <w:pPr>
              <w:spacing w:before="89" w:line="192" w:lineRule="auto"/>
              <w:ind w:left="153"/>
              <w:rPr>
                <w:rFonts w:ascii="微软雅黑" w:hAnsi="微软雅黑" w:eastAsia="微软雅黑" w:cs="微软雅黑"/>
                <w:sz w:val="21"/>
                <w:szCs w:val="21"/>
              </w:rPr>
            </w:pPr>
            <w:r>
              <w:rPr>
                <w:rFonts w:ascii="微软雅黑" w:hAnsi="微软雅黑" w:eastAsia="微软雅黑" w:cs="微软雅黑"/>
                <w:b/>
                <w:bCs/>
                <w:color w:val="2652C2"/>
                <w:spacing w:val="-2"/>
                <w:sz w:val="21"/>
                <w:szCs w:val="21"/>
              </w:rPr>
              <w:t>规划居住用地 4</w:t>
            </w:r>
          </w:p>
        </w:tc>
        <w:tc>
          <w:tcPr>
            <w:tcW w:w="2493" w:type="dxa"/>
            <w:tcBorders>
              <w:top w:val="nil"/>
              <w:left w:val="nil"/>
            </w:tcBorders>
            <w:vAlign w:val="top"/>
          </w:tcPr>
          <w:p>
            <w:pPr>
              <w:spacing w:before="123" w:line="213" w:lineRule="auto"/>
              <w:ind w:left="169"/>
              <w:rPr>
                <w:rFonts w:ascii="微软雅黑" w:hAnsi="微软雅黑" w:eastAsia="微软雅黑" w:cs="微软雅黑"/>
                <w:sz w:val="21"/>
                <w:szCs w:val="21"/>
              </w:rPr>
            </w:pPr>
            <w:r>
              <w:rPr>
                <w:rFonts w:ascii="微软雅黑" w:hAnsi="微软雅黑" w:eastAsia="微软雅黑" w:cs="微软雅黑"/>
                <w:b/>
                <w:bCs/>
                <w:color w:val="2652C2"/>
                <w:sz w:val="21"/>
                <w:szCs w:val="21"/>
              </w:rPr>
              <w:t>规划居住</w:t>
            </w:r>
          </w:p>
          <w:p>
            <w:pPr>
              <w:spacing w:before="1" w:line="191" w:lineRule="auto"/>
              <w:ind w:left="302"/>
              <w:rPr>
                <w:rFonts w:ascii="微软雅黑" w:hAnsi="微软雅黑" w:eastAsia="微软雅黑" w:cs="微软雅黑"/>
                <w:sz w:val="21"/>
                <w:szCs w:val="21"/>
              </w:rPr>
            </w:pPr>
            <w:r>
              <w:rPr>
                <w:rFonts w:ascii="微软雅黑" w:hAnsi="微软雅黑" w:eastAsia="微软雅黑" w:cs="微软雅黑"/>
                <w:b/>
                <w:bCs/>
                <w:color w:val="2652C2"/>
                <w:spacing w:val="-3"/>
                <w:sz w:val="21"/>
                <w:szCs w:val="21"/>
              </w:rPr>
              <w:t>用地 5</w:t>
            </w:r>
          </w:p>
        </w:tc>
        <w:tc>
          <w:tcPr>
            <w:tcW w:w="1099" w:type="dxa"/>
            <w:vAlign w:val="top"/>
          </w:tcPr>
          <w:p>
            <w:pPr>
              <w:spacing w:line="253" w:lineRule="auto"/>
              <w:rPr>
                <w:rFonts w:ascii="Arial"/>
                <w:sz w:val="21"/>
              </w:rPr>
            </w:pPr>
          </w:p>
          <w:p>
            <w:pPr>
              <w:spacing w:line="253" w:lineRule="auto"/>
              <w:rPr>
                <w:rFonts w:ascii="Arial"/>
                <w:sz w:val="21"/>
              </w:rPr>
            </w:pPr>
          </w:p>
          <w:p>
            <w:pPr>
              <w:pStyle w:val="6"/>
              <w:spacing w:before="71" w:line="220" w:lineRule="auto"/>
              <w:ind w:left="226"/>
              <w:rPr>
                <w:sz w:val="22"/>
                <w:szCs w:val="22"/>
              </w:rPr>
            </w:pPr>
            <w:r>
              <w:rPr>
                <w:rFonts w:ascii="Times New Roman" w:hAnsi="Times New Roman" w:eastAsia="Times New Roman" w:cs="Times New Roman"/>
                <w:spacing w:val="-1"/>
                <w:sz w:val="22"/>
                <w:szCs w:val="22"/>
              </w:rPr>
              <w:t>4a/2</w:t>
            </w:r>
            <w:r>
              <w:rPr>
                <w:rFonts w:ascii="Times New Roman" w:hAnsi="Times New Roman" w:eastAsia="Times New Roman" w:cs="Times New Roman"/>
                <w:spacing w:val="9"/>
                <w:sz w:val="22"/>
                <w:szCs w:val="22"/>
              </w:rPr>
              <w:t xml:space="preserve"> </w:t>
            </w:r>
            <w:r>
              <w:rPr>
                <w:spacing w:val="-1"/>
                <w:sz w:val="22"/>
                <w:szCs w:val="22"/>
              </w:rPr>
              <w:t>类</w:t>
            </w:r>
          </w:p>
        </w:tc>
        <w:tc>
          <w:tcPr>
            <w:tcW w:w="914" w:type="dxa"/>
            <w:vMerge w:val="continue"/>
            <w:tcBorders>
              <w:top w:val="nil"/>
            </w:tcBorders>
            <w:vAlign w:val="top"/>
          </w:tcPr>
          <w:p>
            <w:pPr>
              <w:rPr>
                <w:rFonts w:ascii="Arial"/>
                <w:sz w:val="21"/>
              </w:rPr>
            </w:pPr>
          </w:p>
        </w:tc>
      </w:tr>
    </w:tbl>
    <w:p>
      <w:pPr>
        <w:pStyle w:val="2"/>
      </w:pPr>
    </w:p>
    <w:p>
      <w:pPr>
        <w:sectPr>
          <w:pgSz w:w="16839" w:h="11907"/>
          <w:pgMar w:top="1118" w:right="1192" w:bottom="1182" w:left="1195" w:header="879" w:footer="1024" w:gutter="0"/>
          <w:cols w:space="720" w:num="1"/>
        </w:sectPr>
      </w:pPr>
    </w:p>
    <w:p>
      <w:pPr>
        <w:pStyle w:val="2"/>
        <w:spacing w:line="271" w:lineRule="auto"/>
      </w:pPr>
    </w:p>
    <w:p>
      <w:pPr>
        <w:spacing w:before="91" w:line="539" w:lineRule="exact"/>
        <w:ind w:left="33"/>
        <w:rPr>
          <w:rFonts w:ascii="宋体" w:hAnsi="宋体" w:eastAsia="宋体" w:cs="宋体"/>
          <w:sz w:val="28"/>
          <w:szCs w:val="28"/>
        </w:rPr>
      </w:pPr>
      <w:bookmarkStart w:id="13" w:name="bookmark14"/>
      <w:bookmarkEnd w:id="13"/>
      <w:bookmarkStart w:id="14" w:name="bookmark15"/>
      <w:bookmarkEnd w:id="14"/>
      <w:r>
        <w:rPr>
          <w:rFonts w:ascii="Times New Roman" w:hAnsi="Times New Roman" w:eastAsia="Times New Roman" w:cs="Times New Roman"/>
          <w:b/>
          <w:bCs/>
          <w:position w:val="19"/>
          <w:sz w:val="28"/>
          <w:szCs w:val="28"/>
        </w:rPr>
        <w:t xml:space="preserve">3  </w:t>
      </w:r>
      <w:r>
        <w:rPr>
          <w:rFonts w:ascii="宋体" w:hAnsi="宋体" w:eastAsia="宋体" w:cs="宋体"/>
          <w:position w:val="19"/>
          <w:sz w:val="28"/>
          <w:szCs w:val="28"/>
          <w14:textOutline w14:w="5094" w14:cap="flat" w14:cmpd="sng">
            <w14:solidFill>
              <w14:srgbClr w14:val="000000"/>
            </w14:solidFill>
            <w14:prstDash w14:val="solid"/>
            <w14:miter w14:val="0"/>
          </w14:textOutline>
        </w:rPr>
        <w:t>工程概况和工程分析</w:t>
      </w:r>
    </w:p>
    <w:p>
      <w:pPr>
        <w:spacing w:line="219" w:lineRule="auto"/>
        <w:ind w:left="32"/>
        <w:rPr>
          <w:rFonts w:ascii="宋体" w:hAnsi="宋体" w:eastAsia="宋体" w:cs="宋体"/>
          <w:sz w:val="24"/>
          <w:szCs w:val="24"/>
        </w:rPr>
      </w:pPr>
      <w:r>
        <w:rPr>
          <w:rFonts w:ascii="Times New Roman" w:hAnsi="Times New Roman" w:eastAsia="Times New Roman" w:cs="Times New Roman"/>
          <w:b/>
          <w:bCs/>
          <w:spacing w:val="-2"/>
          <w:sz w:val="24"/>
          <w:szCs w:val="24"/>
        </w:rPr>
        <w:t>3.1</w:t>
      </w:r>
      <w:r>
        <w:rPr>
          <w:rFonts w:ascii="Times New Roman" w:hAnsi="Times New Roman" w:eastAsia="Times New Roman" w:cs="Times New Roman"/>
          <w:b/>
          <w:bCs/>
          <w:spacing w:val="6"/>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工程概况</w:t>
      </w:r>
    </w:p>
    <w:p>
      <w:pPr>
        <w:spacing w:before="179" w:line="219" w:lineRule="auto"/>
        <w:ind w:left="32"/>
        <w:outlineLvl w:val="0"/>
        <w:rPr>
          <w:rFonts w:ascii="宋体" w:hAnsi="宋体" w:eastAsia="宋体" w:cs="宋体"/>
          <w:sz w:val="24"/>
          <w:szCs w:val="24"/>
        </w:rPr>
      </w:pPr>
      <w:r>
        <w:rPr>
          <w:rFonts w:ascii="Times New Roman" w:hAnsi="Times New Roman" w:eastAsia="Times New Roman" w:cs="Times New Roman"/>
          <w:b/>
          <w:bCs/>
          <w:sz w:val="24"/>
          <w:szCs w:val="24"/>
        </w:rPr>
        <w:t xml:space="preserve">3.1.1  </w:t>
      </w:r>
      <w:r>
        <w:rPr>
          <w:rFonts w:ascii="宋体" w:hAnsi="宋体" w:eastAsia="宋体" w:cs="宋体"/>
          <w:sz w:val="24"/>
          <w:szCs w:val="24"/>
          <w14:textOutline w14:w="4354" w14:cap="flat" w14:cmpd="sng">
            <w14:solidFill>
              <w14:srgbClr w14:val="000000"/>
            </w14:solidFill>
            <w14:prstDash w14:val="solid"/>
            <w14:miter w14:val="0"/>
          </w14:textOutline>
        </w:rPr>
        <w:t>工程基本情况</w:t>
      </w:r>
    </w:p>
    <w:p>
      <w:pPr>
        <w:spacing w:before="183" w:line="468" w:lineRule="exact"/>
        <w:ind w:left="521"/>
        <w:rPr>
          <w:rFonts w:ascii="宋体" w:hAnsi="宋体" w:eastAsia="宋体" w:cs="宋体"/>
          <w:sz w:val="24"/>
          <w:szCs w:val="24"/>
        </w:rPr>
      </w:pPr>
      <w:r>
        <w:rPr>
          <w:rFonts w:ascii="宋体" w:hAnsi="宋体" w:eastAsia="宋体" w:cs="宋体"/>
          <w:spacing w:val="-5"/>
          <w:position w:val="17"/>
          <w:sz w:val="24"/>
          <w:szCs w:val="24"/>
        </w:rPr>
        <w:t>项目名称： 溧阳至宁德高速公路（</w:t>
      </w:r>
      <w:r>
        <w:rPr>
          <w:rFonts w:ascii="Times New Roman" w:hAnsi="Times New Roman" w:eastAsia="Times New Roman" w:cs="Times New Roman"/>
          <w:spacing w:val="-5"/>
          <w:position w:val="17"/>
          <w:sz w:val="24"/>
          <w:szCs w:val="24"/>
        </w:rPr>
        <w:t>G4012</w:t>
      </w:r>
      <w:r>
        <w:rPr>
          <w:rFonts w:ascii="宋体" w:hAnsi="宋体" w:eastAsia="宋体" w:cs="宋体"/>
          <w:spacing w:val="-5"/>
          <w:position w:val="17"/>
          <w:sz w:val="24"/>
          <w:szCs w:val="24"/>
        </w:rPr>
        <w:t>）浙江景宁至文成段工程西坑互通</w:t>
      </w:r>
    </w:p>
    <w:p>
      <w:pPr>
        <w:spacing w:line="220" w:lineRule="auto"/>
        <w:ind w:left="39"/>
        <w:rPr>
          <w:rFonts w:ascii="宋体" w:hAnsi="宋体" w:eastAsia="宋体" w:cs="宋体"/>
          <w:sz w:val="24"/>
          <w:szCs w:val="24"/>
        </w:rPr>
      </w:pPr>
      <w:r>
        <w:rPr>
          <w:rFonts w:ascii="宋体" w:hAnsi="宋体" w:eastAsia="宋体" w:cs="宋体"/>
          <w:spacing w:val="-3"/>
          <w:sz w:val="24"/>
          <w:szCs w:val="24"/>
        </w:rPr>
        <w:t>连接线</w:t>
      </w:r>
    </w:p>
    <w:p>
      <w:pPr>
        <w:spacing w:before="180" w:line="220" w:lineRule="auto"/>
        <w:ind w:left="521"/>
        <w:rPr>
          <w:rFonts w:ascii="宋体" w:hAnsi="宋体" w:eastAsia="宋体" w:cs="宋体"/>
          <w:sz w:val="24"/>
          <w:szCs w:val="24"/>
        </w:rPr>
      </w:pPr>
      <w:r>
        <w:rPr>
          <w:rFonts w:ascii="宋体" w:hAnsi="宋体" w:eastAsia="宋体" w:cs="宋体"/>
          <w:spacing w:val="-15"/>
          <w:sz w:val="24"/>
          <w:szCs w:val="24"/>
        </w:rPr>
        <w:t>项目性质：</w:t>
      </w:r>
      <w:r>
        <w:rPr>
          <w:rFonts w:ascii="宋体" w:hAnsi="宋体" w:eastAsia="宋体" w:cs="宋体"/>
          <w:spacing w:val="33"/>
          <w:sz w:val="24"/>
          <w:szCs w:val="24"/>
        </w:rPr>
        <w:t xml:space="preserve"> </w:t>
      </w:r>
      <w:r>
        <w:rPr>
          <w:rFonts w:ascii="宋体" w:hAnsi="宋体" w:eastAsia="宋体" w:cs="宋体"/>
          <w:spacing w:val="-15"/>
          <w:sz w:val="24"/>
          <w:szCs w:val="24"/>
        </w:rPr>
        <w:t>新建（已建成）</w:t>
      </w:r>
    </w:p>
    <w:p>
      <w:pPr>
        <w:spacing w:before="182" w:line="466" w:lineRule="exact"/>
        <w:ind w:left="520"/>
        <w:rPr>
          <w:rFonts w:ascii="宋体" w:hAnsi="宋体" w:eastAsia="宋体" w:cs="宋体"/>
          <w:sz w:val="24"/>
          <w:szCs w:val="24"/>
        </w:rPr>
      </w:pPr>
      <w:r>
        <w:rPr>
          <w:rFonts w:ascii="宋体" w:hAnsi="宋体" w:eastAsia="宋体" w:cs="宋体"/>
          <w:spacing w:val="-10"/>
          <w:position w:val="17"/>
          <w:sz w:val="24"/>
          <w:szCs w:val="24"/>
        </w:rPr>
        <w:t>建设单位：</w:t>
      </w:r>
      <w:r>
        <w:rPr>
          <w:rFonts w:ascii="宋体" w:hAnsi="宋体" w:eastAsia="宋体" w:cs="宋体"/>
          <w:spacing w:val="37"/>
          <w:position w:val="17"/>
          <w:sz w:val="24"/>
          <w:szCs w:val="24"/>
        </w:rPr>
        <w:t xml:space="preserve"> </w:t>
      </w:r>
      <w:r>
        <w:rPr>
          <w:rFonts w:ascii="宋体" w:hAnsi="宋体" w:eastAsia="宋体" w:cs="宋体"/>
          <w:spacing w:val="-10"/>
          <w:position w:val="17"/>
          <w:sz w:val="24"/>
          <w:szCs w:val="24"/>
        </w:rPr>
        <w:t>浙江景文高速公路有限公司</w:t>
      </w:r>
    </w:p>
    <w:p>
      <w:pPr>
        <w:spacing w:before="1" w:line="218" w:lineRule="auto"/>
        <w:ind w:left="520"/>
        <w:rPr>
          <w:rFonts w:ascii="宋体" w:hAnsi="宋体" w:eastAsia="宋体" w:cs="宋体"/>
          <w:sz w:val="24"/>
          <w:szCs w:val="24"/>
        </w:rPr>
      </w:pPr>
      <w:r>
        <w:rPr>
          <w:rFonts w:ascii="宋体" w:hAnsi="宋体" w:eastAsia="宋体" w:cs="宋体"/>
          <w:spacing w:val="-15"/>
          <w:sz w:val="24"/>
          <w:szCs w:val="24"/>
        </w:rPr>
        <w:t>建设地点：</w:t>
      </w:r>
      <w:r>
        <w:rPr>
          <w:rFonts w:ascii="宋体" w:hAnsi="宋体" w:eastAsia="宋体" w:cs="宋体"/>
          <w:spacing w:val="33"/>
          <w:sz w:val="24"/>
          <w:szCs w:val="24"/>
        </w:rPr>
        <w:t xml:space="preserve"> </w:t>
      </w:r>
      <w:r>
        <w:rPr>
          <w:rFonts w:ascii="宋体" w:hAnsi="宋体" w:eastAsia="宋体" w:cs="宋体"/>
          <w:spacing w:val="-15"/>
          <w:sz w:val="24"/>
          <w:szCs w:val="24"/>
        </w:rPr>
        <w:t>温州市文成县</w:t>
      </w:r>
    </w:p>
    <w:p>
      <w:pPr>
        <w:spacing w:before="183" w:line="359" w:lineRule="auto"/>
        <w:ind w:left="37" w:right="28" w:firstLine="484"/>
        <w:rPr>
          <w:rFonts w:ascii="宋体" w:hAnsi="宋体" w:eastAsia="宋体" w:cs="宋体"/>
          <w:sz w:val="24"/>
          <w:szCs w:val="24"/>
        </w:rPr>
      </w:pPr>
      <w:r>
        <w:rPr>
          <w:rFonts w:ascii="宋体" w:hAnsi="宋体" w:eastAsia="宋体" w:cs="宋体"/>
          <w:spacing w:val="-15"/>
          <w:sz w:val="24"/>
          <w:szCs w:val="24"/>
        </w:rPr>
        <w:t>项目建设内容和规模：</w:t>
      </w:r>
      <w:r>
        <w:rPr>
          <w:rFonts w:ascii="宋体" w:hAnsi="宋体" w:eastAsia="宋体" w:cs="宋体"/>
          <w:spacing w:val="55"/>
          <w:sz w:val="24"/>
          <w:szCs w:val="24"/>
        </w:rPr>
        <w:t xml:space="preserve"> </w:t>
      </w:r>
      <w:r>
        <w:rPr>
          <w:rFonts w:ascii="宋体" w:hAnsi="宋体" w:eastAsia="宋体" w:cs="宋体"/>
          <w:spacing w:val="-15"/>
          <w:sz w:val="24"/>
          <w:szCs w:val="24"/>
        </w:rPr>
        <w:t>项目一号线（即主线）起于景文高速公路西坑互通出口</w:t>
      </w:r>
      <w:r>
        <w:rPr>
          <w:rFonts w:ascii="宋体" w:hAnsi="宋体" w:eastAsia="宋体" w:cs="宋体"/>
          <w:sz w:val="24"/>
          <w:szCs w:val="24"/>
        </w:rPr>
        <w:t xml:space="preserve"> </w:t>
      </w:r>
      <w:r>
        <w:rPr>
          <w:rFonts w:ascii="宋体" w:hAnsi="宋体" w:eastAsia="宋体" w:cs="宋体"/>
          <w:spacing w:val="-10"/>
          <w:sz w:val="24"/>
          <w:szCs w:val="24"/>
        </w:rPr>
        <w:t xml:space="preserve">终点（桩号 </w:t>
      </w:r>
      <w:r>
        <w:rPr>
          <w:rFonts w:ascii="Times New Roman" w:hAnsi="Times New Roman" w:eastAsia="Times New Roman" w:cs="Times New Roman"/>
          <w:spacing w:val="-10"/>
          <w:sz w:val="24"/>
          <w:szCs w:val="24"/>
        </w:rPr>
        <w:t>L1K0</w:t>
      </w:r>
      <w:r>
        <w:rPr>
          <w:rFonts w:ascii="宋体" w:hAnsi="宋体" w:eastAsia="宋体" w:cs="宋体"/>
          <w:spacing w:val="-10"/>
          <w:sz w:val="24"/>
          <w:szCs w:val="24"/>
        </w:rPr>
        <w:t>＋</w:t>
      </w:r>
      <w:r>
        <w:rPr>
          <w:rFonts w:ascii="Times New Roman" w:hAnsi="Times New Roman" w:eastAsia="Times New Roman" w:cs="Times New Roman"/>
          <w:spacing w:val="-10"/>
          <w:sz w:val="24"/>
          <w:szCs w:val="24"/>
        </w:rPr>
        <w:t>061</w:t>
      </w:r>
      <w:r>
        <w:rPr>
          <w:rFonts w:ascii="宋体" w:hAnsi="宋体" w:eastAsia="宋体" w:cs="宋体"/>
          <w:spacing w:val="-10"/>
          <w:sz w:val="24"/>
          <w:szCs w:val="24"/>
        </w:rPr>
        <w:t>），沿南坑下县乡道</w:t>
      </w:r>
      <w:r>
        <w:rPr>
          <w:rFonts w:ascii="宋体" w:hAnsi="宋体" w:eastAsia="宋体" w:cs="宋体"/>
          <w:spacing w:val="-11"/>
          <w:sz w:val="24"/>
          <w:szCs w:val="24"/>
        </w:rPr>
        <w:t>走向，经墩头大桥在敖里村设置敖里隧</w:t>
      </w:r>
      <w:r>
        <w:rPr>
          <w:rFonts w:ascii="宋体" w:hAnsi="宋体" w:eastAsia="宋体" w:cs="宋体"/>
          <w:spacing w:val="1"/>
          <w:sz w:val="24"/>
          <w:szCs w:val="24"/>
        </w:rPr>
        <w:t xml:space="preserve"> </w:t>
      </w:r>
      <w:r>
        <w:rPr>
          <w:rFonts w:ascii="宋体" w:hAnsi="宋体" w:eastAsia="宋体" w:cs="宋体"/>
          <w:spacing w:val="-10"/>
          <w:sz w:val="24"/>
          <w:szCs w:val="24"/>
        </w:rPr>
        <w:t>道长</w:t>
      </w:r>
      <w:r>
        <w:rPr>
          <w:rFonts w:ascii="宋体" w:hAnsi="宋体" w:eastAsia="宋体" w:cs="宋体"/>
          <w:spacing w:val="-48"/>
          <w:sz w:val="24"/>
          <w:szCs w:val="24"/>
        </w:rPr>
        <w:t xml:space="preserve"> </w:t>
      </w:r>
      <w:r>
        <w:rPr>
          <w:rFonts w:ascii="Times New Roman" w:hAnsi="Times New Roman" w:eastAsia="Times New Roman" w:cs="Times New Roman"/>
          <w:spacing w:val="-10"/>
          <w:sz w:val="24"/>
          <w:szCs w:val="24"/>
        </w:rPr>
        <w:t>853</w:t>
      </w:r>
      <w:r>
        <w:rPr>
          <w:rFonts w:ascii="Times New Roman" w:hAnsi="Times New Roman" w:eastAsia="Times New Roman" w:cs="Times New Roman"/>
          <w:spacing w:val="15"/>
          <w:sz w:val="24"/>
          <w:szCs w:val="24"/>
        </w:rPr>
        <w:t xml:space="preserve"> </w:t>
      </w:r>
      <w:r>
        <w:rPr>
          <w:rFonts w:ascii="宋体" w:hAnsi="宋体" w:eastAsia="宋体" w:cs="宋体"/>
          <w:spacing w:val="-10"/>
          <w:sz w:val="24"/>
          <w:szCs w:val="24"/>
        </w:rPr>
        <w:t>米（起点桩号</w:t>
      </w:r>
      <w:r>
        <w:rPr>
          <w:rFonts w:ascii="宋体" w:hAnsi="宋体" w:eastAsia="宋体" w:cs="宋体"/>
          <w:spacing w:val="-57"/>
          <w:sz w:val="24"/>
          <w:szCs w:val="24"/>
        </w:rPr>
        <w:t xml:space="preserve"> </w:t>
      </w:r>
      <w:r>
        <w:rPr>
          <w:rFonts w:ascii="Times New Roman" w:hAnsi="Times New Roman" w:eastAsia="Times New Roman" w:cs="Times New Roman"/>
          <w:spacing w:val="-10"/>
          <w:sz w:val="24"/>
          <w:szCs w:val="24"/>
        </w:rPr>
        <w:t>L1K2</w:t>
      </w:r>
      <w:r>
        <w:rPr>
          <w:rFonts w:ascii="宋体" w:hAnsi="宋体" w:eastAsia="宋体" w:cs="宋体"/>
          <w:spacing w:val="-10"/>
          <w:sz w:val="24"/>
          <w:szCs w:val="24"/>
        </w:rPr>
        <w:t>＋</w:t>
      </w:r>
      <w:r>
        <w:rPr>
          <w:rFonts w:ascii="Times New Roman" w:hAnsi="Times New Roman" w:eastAsia="Times New Roman" w:cs="Times New Roman"/>
          <w:spacing w:val="-10"/>
          <w:sz w:val="24"/>
          <w:szCs w:val="24"/>
        </w:rPr>
        <w:t>410</w:t>
      </w:r>
      <w:r>
        <w:rPr>
          <w:rFonts w:ascii="宋体" w:hAnsi="宋体" w:eastAsia="宋体" w:cs="宋体"/>
          <w:spacing w:val="-10"/>
          <w:sz w:val="24"/>
          <w:szCs w:val="24"/>
        </w:rPr>
        <w:t>，终点桩号</w:t>
      </w:r>
      <w:r>
        <w:rPr>
          <w:rFonts w:ascii="宋体" w:hAnsi="宋体" w:eastAsia="宋体" w:cs="宋体"/>
          <w:spacing w:val="-43"/>
          <w:sz w:val="24"/>
          <w:szCs w:val="24"/>
        </w:rPr>
        <w:t xml:space="preserve"> </w:t>
      </w:r>
      <w:r>
        <w:rPr>
          <w:rFonts w:ascii="Times New Roman" w:hAnsi="Times New Roman" w:eastAsia="Times New Roman" w:cs="Times New Roman"/>
          <w:spacing w:val="-10"/>
          <w:sz w:val="24"/>
          <w:szCs w:val="24"/>
        </w:rPr>
        <w:t>L1K3</w:t>
      </w:r>
      <w:r>
        <w:rPr>
          <w:rFonts w:ascii="宋体" w:hAnsi="宋体" w:eastAsia="宋体" w:cs="宋体"/>
          <w:spacing w:val="-10"/>
          <w:sz w:val="24"/>
          <w:szCs w:val="24"/>
        </w:rPr>
        <w:t>＋</w:t>
      </w:r>
      <w:r>
        <w:rPr>
          <w:rFonts w:ascii="Times New Roman" w:hAnsi="Times New Roman" w:eastAsia="Times New Roman" w:cs="Times New Roman"/>
          <w:spacing w:val="-10"/>
          <w:sz w:val="24"/>
          <w:szCs w:val="24"/>
        </w:rPr>
        <w:t>263</w:t>
      </w:r>
      <w:r>
        <w:rPr>
          <w:rFonts w:ascii="宋体" w:hAnsi="宋体" w:eastAsia="宋体" w:cs="宋体"/>
          <w:spacing w:val="-10"/>
          <w:sz w:val="24"/>
          <w:szCs w:val="24"/>
        </w:rPr>
        <w:t>），沿凤鸣民族村外侧布</w:t>
      </w:r>
      <w:r>
        <w:rPr>
          <w:rFonts w:ascii="宋体" w:hAnsi="宋体" w:eastAsia="宋体" w:cs="宋体"/>
          <w:sz w:val="24"/>
          <w:szCs w:val="24"/>
        </w:rPr>
        <w:t xml:space="preserve"> </w:t>
      </w:r>
      <w:r>
        <w:rPr>
          <w:rFonts w:ascii="宋体" w:hAnsi="宋体" w:eastAsia="宋体" w:cs="宋体"/>
          <w:spacing w:val="-12"/>
          <w:sz w:val="24"/>
          <w:szCs w:val="24"/>
        </w:rPr>
        <w:t>设，下穿原</w:t>
      </w:r>
      <w:r>
        <w:rPr>
          <w:rFonts w:ascii="宋体" w:hAnsi="宋体" w:eastAsia="宋体" w:cs="宋体"/>
          <w:spacing w:val="-46"/>
          <w:sz w:val="24"/>
          <w:szCs w:val="24"/>
        </w:rPr>
        <w:t xml:space="preserve"> </w:t>
      </w:r>
      <w:r>
        <w:rPr>
          <w:rFonts w:ascii="Times New Roman" w:hAnsi="Times New Roman" w:eastAsia="Times New Roman" w:cs="Times New Roman"/>
          <w:spacing w:val="-12"/>
          <w:sz w:val="24"/>
          <w:szCs w:val="24"/>
        </w:rPr>
        <w:t xml:space="preserve">S330 </w:t>
      </w:r>
      <w:r>
        <w:rPr>
          <w:rFonts w:ascii="宋体" w:hAnsi="宋体" w:eastAsia="宋体" w:cs="宋体"/>
          <w:spacing w:val="-12"/>
          <w:sz w:val="24"/>
          <w:szCs w:val="24"/>
        </w:rPr>
        <w:t>省道设百丈隧道长</w:t>
      </w:r>
      <w:r>
        <w:rPr>
          <w:rFonts w:ascii="宋体" w:hAnsi="宋体" w:eastAsia="宋体" w:cs="宋体"/>
          <w:spacing w:val="-48"/>
          <w:sz w:val="24"/>
          <w:szCs w:val="24"/>
        </w:rPr>
        <w:t xml:space="preserve"> </w:t>
      </w:r>
      <w:r>
        <w:rPr>
          <w:rFonts w:ascii="Times New Roman" w:hAnsi="Times New Roman" w:eastAsia="Times New Roman" w:cs="Times New Roman"/>
          <w:spacing w:val="-12"/>
          <w:sz w:val="24"/>
          <w:szCs w:val="24"/>
        </w:rPr>
        <w:t xml:space="preserve">1310 </w:t>
      </w:r>
      <w:r>
        <w:rPr>
          <w:rFonts w:ascii="宋体" w:hAnsi="宋体" w:eastAsia="宋体" w:cs="宋体"/>
          <w:spacing w:val="-12"/>
          <w:sz w:val="24"/>
          <w:szCs w:val="24"/>
        </w:rPr>
        <w:t>米（起点桩号</w:t>
      </w:r>
      <w:r>
        <w:rPr>
          <w:rFonts w:ascii="宋体" w:hAnsi="宋体" w:eastAsia="宋体" w:cs="宋体"/>
          <w:spacing w:val="-54"/>
          <w:sz w:val="24"/>
          <w:szCs w:val="24"/>
        </w:rPr>
        <w:t xml:space="preserve"> </w:t>
      </w:r>
      <w:r>
        <w:rPr>
          <w:rFonts w:ascii="Times New Roman" w:hAnsi="Times New Roman" w:eastAsia="Times New Roman" w:cs="Times New Roman"/>
          <w:spacing w:val="-12"/>
          <w:sz w:val="24"/>
          <w:szCs w:val="24"/>
        </w:rPr>
        <w:t>L1K4</w:t>
      </w:r>
      <w:r>
        <w:rPr>
          <w:rFonts w:ascii="宋体" w:hAnsi="宋体" w:eastAsia="宋体" w:cs="宋体"/>
          <w:spacing w:val="-12"/>
          <w:sz w:val="24"/>
          <w:szCs w:val="24"/>
        </w:rPr>
        <w:t>＋</w:t>
      </w:r>
      <w:r>
        <w:rPr>
          <w:rFonts w:ascii="Times New Roman" w:hAnsi="Times New Roman" w:eastAsia="Times New Roman" w:cs="Times New Roman"/>
          <w:spacing w:val="-12"/>
          <w:sz w:val="24"/>
          <w:szCs w:val="24"/>
        </w:rPr>
        <w:t>830</w:t>
      </w:r>
      <w:r>
        <w:rPr>
          <w:rFonts w:ascii="宋体" w:hAnsi="宋体" w:eastAsia="宋体" w:cs="宋体"/>
          <w:spacing w:val="-12"/>
          <w:sz w:val="24"/>
          <w:szCs w:val="24"/>
        </w:rPr>
        <w:t>，终点桩号</w:t>
      </w:r>
      <w:r>
        <w:rPr>
          <w:rFonts w:ascii="宋体" w:hAnsi="宋体" w:eastAsia="宋体" w:cs="宋体"/>
          <w:spacing w:val="-55"/>
          <w:sz w:val="24"/>
          <w:szCs w:val="24"/>
        </w:rPr>
        <w:t xml:space="preserve"> </w:t>
      </w:r>
      <w:r>
        <w:rPr>
          <w:rFonts w:ascii="Times New Roman" w:hAnsi="Times New Roman" w:eastAsia="Times New Roman" w:cs="Times New Roman"/>
          <w:spacing w:val="-12"/>
          <w:sz w:val="24"/>
          <w:szCs w:val="24"/>
        </w:rPr>
        <w:t>L1K6</w:t>
      </w:r>
      <w:r>
        <w:rPr>
          <w:rFonts w:ascii="Times New Roman" w:hAnsi="Times New Roman" w:eastAsia="Times New Roman" w:cs="Times New Roman"/>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140</w:t>
      </w:r>
      <w:r>
        <w:rPr>
          <w:rFonts w:ascii="宋体" w:hAnsi="宋体" w:eastAsia="宋体" w:cs="宋体"/>
          <w:spacing w:val="-3"/>
          <w:sz w:val="24"/>
          <w:szCs w:val="24"/>
        </w:rPr>
        <w:t>），</w:t>
      </w:r>
      <w:r>
        <w:rPr>
          <w:rFonts w:ascii="宋体" w:hAnsi="宋体" w:eastAsia="宋体" w:cs="宋体"/>
          <w:spacing w:val="1"/>
          <w:sz w:val="24"/>
          <w:szCs w:val="24"/>
        </w:rPr>
        <w:t>终点位于长塘村接大南公路（桩号</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L1K6</w:t>
      </w:r>
      <w:r>
        <w:rPr>
          <w:rFonts w:ascii="宋体" w:hAnsi="宋体" w:eastAsia="宋体" w:cs="宋体"/>
          <w:spacing w:val="1"/>
          <w:sz w:val="24"/>
          <w:szCs w:val="24"/>
        </w:rPr>
        <w:t>＋</w:t>
      </w:r>
      <w:r>
        <w:rPr>
          <w:rFonts w:ascii="Times New Roman" w:hAnsi="Times New Roman" w:eastAsia="Times New Roman" w:cs="Times New Roman"/>
          <w:spacing w:val="1"/>
          <w:sz w:val="24"/>
          <w:szCs w:val="24"/>
        </w:rPr>
        <w:t>675</w:t>
      </w:r>
      <w:r>
        <w:rPr>
          <w:rFonts w:ascii="宋体" w:hAnsi="宋体" w:eastAsia="宋体" w:cs="宋体"/>
          <w:spacing w:val="-3"/>
          <w:sz w:val="24"/>
          <w:szCs w:val="24"/>
        </w:rPr>
        <w:t>），</w:t>
      </w:r>
      <w:r>
        <w:rPr>
          <w:rFonts w:ascii="宋体" w:hAnsi="宋体" w:eastAsia="宋体" w:cs="宋体"/>
          <w:spacing w:val="1"/>
          <w:sz w:val="24"/>
          <w:szCs w:val="24"/>
        </w:rPr>
        <w:t>全长</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6614m</w:t>
      </w:r>
      <w:r>
        <w:rPr>
          <w:rFonts w:ascii="宋体" w:hAnsi="宋体" w:eastAsia="宋体" w:cs="宋体"/>
          <w:spacing w:val="1"/>
          <w:sz w:val="24"/>
          <w:szCs w:val="24"/>
        </w:rPr>
        <w:t>；</w:t>
      </w:r>
      <w:r>
        <w:rPr>
          <w:rFonts w:ascii="宋体" w:hAnsi="宋体" w:eastAsia="宋体" w:cs="宋体"/>
          <w:sz w:val="24"/>
          <w:szCs w:val="24"/>
        </w:rPr>
        <w:t xml:space="preserve">项目  </w:t>
      </w:r>
      <w:r>
        <w:rPr>
          <w:rFonts w:ascii="宋体" w:hAnsi="宋体" w:eastAsia="宋体" w:cs="宋体"/>
          <w:spacing w:val="-8"/>
          <w:sz w:val="24"/>
          <w:szCs w:val="24"/>
        </w:rPr>
        <w:t>二号线（即让川接线）</w:t>
      </w:r>
      <w:r>
        <w:rPr>
          <w:rFonts w:ascii="宋体" w:hAnsi="宋体" w:eastAsia="宋体" w:cs="宋体"/>
          <w:spacing w:val="-28"/>
          <w:sz w:val="24"/>
          <w:szCs w:val="24"/>
        </w:rPr>
        <w:t xml:space="preserve"> </w:t>
      </w:r>
      <w:r>
        <w:rPr>
          <w:rFonts w:ascii="宋体" w:hAnsi="宋体" w:eastAsia="宋体" w:cs="宋体"/>
          <w:spacing w:val="-8"/>
          <w:sz w:val="24"/>
          <w:szCs w:val="24"/>
        </w:rPr>
        <w:t>起点位于文成森林氧吧小镇附近（起点桩号</w:t>
      </w:r>
      <w:r>
        <w:rPr>
          <w:rFonts w:ascii="宋体" w:hAnsi="宋体" w:eastAsia="宋体" w:cs="宋体"/>
          <w:spacing w:val="-39"/>
          <w:sz w:val="24"/>
          <w:szCs w:val="24"/>
        </w:rPr>
        <w:t xml:space="preserve"> </w:t>
      </w:r>
      <w:r>
        <w:rPr>
          <w:rFonts w:ascii="Times New Roman" w:hAnsi="Times New Roman" w:eastAsia="Times New Roman" w:cs="Times New Roman"/>
          <w:spacing w:val="-8"/>
          <w:sz w:val="24"/>
          <w:szCs w:val="24"/>
        </w:rPr>
        <w:t>L2K</w:t>
      </w:r>
      <w:r>
        <w:rPr>
          <w:rFonts w:ascii="Times New Roman" w:hAnsi="Times New Roman" w:eastAsia="Times New Roman" w:cs="Times New Roman"/>
          <w:spacing w:val="-9"/>
          <w:sz w:val="24"/>
          <w:szCs w:val="24"/>
        </w:rPr>
        <w:t>0</w:t>
      </w:r>
      <w:r>
        <w:rPr>
          <w:rFonts w:ascii="宋体" w:hAnsi="宋体" w:eastAsia="宋体" w:cs="宋体"/>
          <w:spacing w:val="-9"/>
          <w:sz w:val="24"/>
          <w:szCs w:val="24"/>
        </w:rPr>
        <w:t>＋</w:t>
      </w:r>
      <w:r>
        <w:rPr>
          <w:rFonts w:ascii="Times New Roman" w:hAnsi="Times New Roman" w:eastAsia="Times New Roman" w:cs="Times New Roman"/>
          <w:spacing w:val="-9"/>
          <w:sz w:val="24"/>
          <w:szCs w:val="24"/>
        </w:rPr>
        <w:t>000</w:t>
      </w:r>
      <w:r>
        <w:rPr>
          <w:rFonts w:ascii="宋体" w:hAnsi="宋体" w:eastAsia="宋体" w:cs="宋体"/>
          <w:spacing w:val="-55"/>
          <w:sz w:val="24"/>
          <w:szCs w:val="24"/>
        </w:rPr>
        <w:t>），</w:t>
      </w:r>
      <w:r>
        <w:rPr>
          <w:rFonts w:ascii="宋体" w:hAnsi="宋体" w:eastAsia="宋体" w:cs="宋体"/>
          <w:sz w:val="24"/>
          <w:szCs w:val="24"/>
        </w:rPr>
        <w:t xml:space="preserve"> </w:t>
      </w:r>
      <w:r>
        <w:rPr>
          <w:rFonts w:ascii="宋体" w:hAnsi="宋体" w:eastAsia="宋体" w:cs="宋体"/>
          <w:spacing w:val="-6"/>
          <w:sz w:val="24"/>
          <w:szCs w:val="24"/>
        </w:rPr>
        <w:t>向南沿双田村外侧， 下穿一号线后，渐向西，终点位于漈头面附近并平交于一号</w:t>
      </w:r>
    </w:p>
    <w:p>
      <w:pPr>
        <w:spacing w:before="1" w:line="219" w:lineRule="auto"/>
        <w:ind w:left="41"/>
        <w:rPr>
          <w:rFonts w:ascii="宋体" w:hAnsi="宋体" w:eastAsia="宋体" w:cs="宋体"/>
          <w:sz w:val="24"/>
          <w:szCs w:val="24"/>
        </w:rPr>
      </w:pPr>
      <w:r>
        <w:rPr>
          <w:rFonts w:ascii="宋体" w:hAnsi="宋体" w:eastAsia="宋体" w:cs="宋体"/>
          <w:spacing w:val="-9"/>
          <w:sz w:val="24"/>
          <w:szCs w:val="24"/>
        </w:rPr>
        <w:t>线（终点桩号</w:t>
      </w:r>
      <w:r>
        <w:rPr>
          <w:rFonts w:ascii="Times New Roman" w:hAnsi="Times New Roman" w:eastAsia="Times New Roman" w:cs="Times New Roman"/>
          <w:spacing w:val="-9"/>
          <w:sz w:val="24"/>
          <w:szCs w:val="24"/>
        </w:rPr>
        <w:t>L2K1</w:t>
      </w:r>
      <w:r>
        <w:rPr>
          <w:rFonts w:ascii="宋体" w:hAnsi="宋体" w:eastAsia="宋体" w:cs="宋体"/>
          <w:spacing w:val="-9"/>
          <w:sz w:val="24"/>
          <w:szCs w:val="24"/>
        </w:rPr>
        <w:t>＋</w:t>
      </w:r>
      <w:r>
        <w:rPr>
          <w:rFonts w:ascii="Times New Roman" w:hAnsi="Times New Roman" w:eastAsia="Times New Roman" w:cs="Times New Roman"/>
          <w:spacing w:val="-9"/>
          <w:sz w:val="24"/>
          <w:szCs w:val="24"/>
        </w:rPr>
        <w:t>630</w:t>
      </w:r>
      <w:r>
        <w:rPr>
          <w:rFonts w:ascii="宋体" w:hAnsi="宋体" w:eastAsia="宋体" w:cs="宋体"/>
          <w:spacing w:val="-4"/>
          <w:sz w:val="24"/>
          <w:szCs w:val="24"/>
        </w:rPr>
        <w:t>），</w:t>
      </w:r>
      <w:r>
        <w:rPr>
          <w:rFonts w:ascii="宋体" w:hAnsi="宋体" w:eastAsia="宋体" w:cs="宋体"/>
          <w:spacing w:val="-9"/>
          <w:sz w:val="24"/>
          <w:szCs w:val="24"/>
        </w:rPr>
        <w:t>全长</w:t>
      </w:r>
      <w:r>
        <w:rPr>
          <w:rFonts w:ascii="宋体" w:hAnsi="宋体" w:eastAsia="宋体" w:cs="宋体"/>
          <w:spacing w:val="-46"/>
          <w:sz w:val="24"/>
          <w:szCs w:val="24"/>
        </w:rPr>
        <w:t xml:space="preserve"> </w:t>
      </w:r>
      <w:r>
        <w:rPr>
          <w:rFonts w:ascii="Times New Roman" w:hAnsi="Times New Roman" w:eastAsia="Times New Roman" w:cs="Times New Roman"/>
          <w:spacing w:val="-9"/>
          <w:sz w:val="24"/>
          <w:szCs w:val="24"/>
        </w:rPr>
        <w:t>1630m</w:t>
      </w:r>
      <w:r>
        <w:rPr>
          <w:rFonts w:ascii="宋体" w:hAnsi="宋体" w:eastAsia="宋体" w:cs="宋体"/>
          <w:spacing w:val="-9"/>
          <w:sz w:val="24"/>
          <w:szCs w:val="24"/>
        </w:rPr>
        <w:t>。西坑互通连接线全长约</w:t>
      </w:r>
      <w:r>
        <w:rPr>
          <w:rFonts w:ascii="宋体" w:hAnsi="宋体" w:eastAsia="宋体" w:cs="宋体"/>
          <w:spacing w:val="-40"/>
          <w:sz w:val="24"/>
          <w:szCs w:val="24"/>
        </w:rPr>
        <w:t xml:space="preserve"> </w:t>
      </w:r>
      <w:r>
        <w:rPr>
          <w:rFonts w:ascii="Times New Roman" w:hAnsi="Times New Roman" w:eastAsia="Times New Roman" w:cs="Times New Roman"/>
          <w:spacing w:val="-9"/>
          <w:sz w:val="24"/>
          <w:szCs w:val="24"/>
        </w:rPr>
        <w:t>8.244km</w:t>
      </w:r>
      <w:r>
        <w:rPr>
          <w:rFonts w:ascii="宋体" w:hAnsi="宋体" w:eastAsia="宋体" w:cs="宋体"/>
          <w:spacing w:val="-9"/>
          <w:sz w:val="24"/>
          <w:szCs w:val="24"/>
        </w:rPr>
        <w:t>。</w:t>
      </w:r>
    </w:p>
    <w:p>
      <w:pPr>
        <w:spacing w:before="184" w:line="359" w:lineRule="auto"/>
        <w:ind w:left="41" w:firstLine="455"/>
        <w:rPr>
          <w:rFonts w:ascii="宋体" w:hAnsi="宋体" w:eastAsia="宋体" w:cs="宋体"/>
          <w:sz w:val="24"/>
          <w:szCs w:val="24"/>
        </w:rPr>
      </w:pPr>
      <w:r>
        <w:rPr>
          <w:rFonts w:ascii="宋体" w:hAnsi="宋体" w:eastAsia="宋体" w:cs="宋体"/>
          <w:spacing w:val="-9"/>
          <w:sz w:val="24"/>
          <w:szCs w:val="24"/>
        </w:rPr>
        <w:t>项目采用《公路工程技术标准》（</w:t>
      </w:r>
      <w:r>
        <w:rPr>
          <w:rFonts w:ascii="Times New Roman" w:hAnsi="Times New Roman" w:eastAsia="Times New Roman" w:cs="Times New Roman"/>
          <w:spacing w:val="-9"/>
          <w:sz w:val="24"/>
          <w:szCs w:val="24"/>
        </w:rPr>
        <w:t>JTG</w:t>
      </w:r>
      <w:r>
        <w:rPr>
          <w:rFonts w:ascii="Times New Roman" w:hAnsi="Times New Roman" w:eastAsia="Times New Roman" w:cs="Times New Roman"/>
          <w:spacing w:val="54"/>
          <w:sz w:val="24"/>
          <w:szCs w:val="24"/>
        </w:rPr>
        <w:t xml:space="preserve"> </w:t>
      </w:r>
      <w:r>
        <w:rPr>
          <w:rFonts w:ascii="Times New Roman" w:hAnsi="Times New Roman" w:eastAsia="Times New Roman" w:cs="Times New Roman"/>
          <w:spacing w:val="-9"/>
          <w:sz w:val="24"/>
          <w:szCs w:val="24"/>
        </w:rPr>
        <w:t>B01-2014</w:t>
      </w:r>
      <w:r>
        <w:rPr>
          <w:rFonts w:ascii="宋体" w:hAnsi="宋体" w:eastAsia="宋体" w:cs="宋体"/>
          <w:spacing w:val="-9"/>
          <w:sz w:val="24"/>
          <w:szCs w:val="24"/>
        </w:rPr>
        <w:t>）双车道二级公路标准建设。</w:t>
      </w:r>
      <w:r>
        <w:rPr>
          <w:rFonts w:ascii="宋体" w:hAnsi="宋体" w:eastAsia="宋体" w:cs="宋体"/>
          <w:sz w:val="24"/>
          <w:szCs w:val="24"/>
        </w:rPr>
        <w:t xml:space="preserve"> </w:t>
      </w:r>
      <w:r>
        <w:rPr>
          <w:rFonts w:ascii="宋体" w:hAnsi="宋体" w:eastAsia="宋体" w:cs="宋体"/>
          <w:spacing w:val="-12"/>
          <w:sz w:val="24"/>
          <w:szCs w:val="24"/>
        </w:rPr>
        <w:t>设计速度</w:t>
      </w:r>
      <w:r>
        <w:rPr>
          <w:rFonts w:ascii="宋体" w:hAnsi="宋体" w:eastAsia="宋体" w:cs="宋体"/>
          <w:spacing w:val="-66"/>
          <w:sz w:val="24"/>
          <w:szCs w:val="24"/>
        </w:rPr>
        <w:t xml:space="preserve"> </w:t>
      </w:r>
      <w:r>
        <w:rPr>
          <w:rFonts w:ascii="Times New Roman" w:hAnsi="Times New Roman" w:eastAsia="Times New Roman" w:cs="Times New Roman"/>
          <w:spacing w:val="-12"/>
          <w:sz w:val="24"/>
          <w:szCs w:val="24"/>
        </w:rPr>
        <w:t>60km/h</w:t>
      </w:r>
      <w:r>
        <w:rPr>
          <w:rFonts w:ascii="宋体" w:hAnsi="宋体" w:eastAsia="宋体" w:cs="宋体"/>
          <w:spacing w:val="-12"/>
          <w:sz w:val="24"/>
          <w:szCs w:val="24"/>
        </w:rPr>
        <w:t>（局部困难路段采用</w:t>
      </w:r>
      <w:r>
        <w:rPr>
          <w:rFonts w:ascii="宋体" w:hAnsi="宋体" w:eastAsia="宋体" w:cs="宋体"/>
          <w:spacing w:val="-43"/>
          <w:sz w:val="24"/>
          <w:szCs w:val="24"/>
        </w:rPr>
        <w:t xml:space="preserve"> </w:t>
      </w:r>
      <w:r>
        <w:rPr>
          <w:rFonts w:ascii="Times New Roman" w:hAnsi="Times New Roman" w:eastAsia="Times New Roman" w:cs="Times New Roman"/>
          <w:spacing w:val="-12"/>
          <w:sz w:val="24"/>
          <w:szCs w:val="24"/>
        </w:rPr>
        <w:t>40km/h</w:t>
      </w:r>
      <w:r>
        <w:rPr>
          <w:rFonts w:ascii="宋体" w:hAnsi="宋体" w:eastAsia="宋体" w:cs="宋体"/>
          <w:spacing w:val="-20"/>
          <w:sz w:val="24"/>
          <w:szCs w:val="24"/>
        </w:rPr>
        <w:t>），</w:t>
      </w:r>
      <w:r>
        <w:rPr>
          <w:rFonts w:ascii="宋体" w:hAnsi="宋体" w:eastAsia="宋体" w:cs="宋体"/>
          <w:spacing w:val="-12"/>
          <w:sz w:val="24"/>
          <w:szCs w:val="24"/>
        </w:rPr>
        <w:t>双向双车道，路基宽度采用</w:t>
      </w:r>
      <w:r>
        <w:rPr>
          <w:rFonts w:ascii="宋体" w:hAnsi="宋体" w:eastAsia="宋体" w:cs="宋体"/>
          <w:spacing w:val="-48"/>
          <w:sz w:val="24"/>
          <w:szCs w:val="24"/>
        </w:rPr>
        <w:t xml:space="preserve"> </w:t>
      </w:r>
      <w:r>
        <w:rPr>
          <w:rFonts w:ascii="Times New Roman" w:hAnsi="Times New Roman" w:eastAsia="Times New Roman" w:cs="Times New Roman"/>
          <w:spacing w:val="-12"/>
          <w:sz w:val="24"/>
          <w:szCs w:val="24"/>
        </w:rPr>
        <w:t xml:space="preserve">10 </w:t>
      </w:r>
      <w:r>
        <w:rPr>
          <w:rFonts w:ascii="宋体" w:hAnsi="宋体" w:eastAsia="宋体" w:cs="宋体"/>
          <w:spacing w:val="-12"/>
          <w:sz w:val="24"/>
          <w:szCs w:val="24"/>
        </w:rPr>
        <w:t>米。</w:t>
      </w:r>
      <w:r>
        <w:rPr>
          <w:rFonts w:ascii="宋体" w:hAnsi="宋体" w:eastAsia="宋体" w:cs="宋体"/>
          <w:sz w:val="24"/>
          <w:szCs w:val="24"/>
        </w:rPr>
        <w:t xml:space="preserve"> </w:t>
      </w:r>
      <w:r>
        <w:rPr>
          <w:rFonts w:ascii="宋体" w:hAnsi="宋体" w:eastAsia="宋体" w:cs="宋体"/>
          <w:spacing w:val="-10"/>
          <w:sz w:val="24"/>
          <w:szCs w:val="24"/>
        </w:rPr>
        <w:t>设置大桥</w:t>
      </w:r>
      <w:r>
        <w:rPr>
          <w:rFonts w:ascii="宋体" w:hAnsi="宋体" w:eastAsia="宋体" w:cs="宋体"/>
          <w:spacing w:val="-71"/>
          <w:sz w:val="24"/>
          <w:szCs w:val="24"/>
        </w:rPr>
        <w:t xml:space="preserve"> </w:t>
      </w:r>
      <w:r>
        <w:rPr>
          <w:rFonts w:ascii="Times New Roman" w:hAnsi="Times New Roman" w:eastAsia="Times New Roman" w:cs="Times New Roman"/>
          <w:spacing w:val="-10"/>
          <w:sz w:val="24"/>
          <w:szCs w:val="24"/>
        </w:rPr>
        <w:t xml:space="preserve">455.96m/1 </w:t>
      </w:r>
      <w:r>
        <w:rPr>
          <w:rFonts w:ascii="宋体" w:hAnsi="宋体" w:eastAsia="宋体" w:cs="宋体"/>
          <w:spacing w:val="-10"/>
          <w:sz w:val="24"/>
          <w:szCs w:val="24"/>
        </w:rPr>
        <w:t xml:space="preserve">座，涵洞（通道） </w:t>
      </w:r>
      <w:r>
        <w:rPr>
          <w:rFonts w:ascii="Times New Roman" w:hAnsi="Times New Roman" w:eastAsia="Times New Roman" w:cs="Times New Roman"/>
          <w:spacing w:val="-10"/>
          <w:sz w:val="24"/>
          <w:szCs w:val="24"/>
        </w:rPr>
        <w:t xml:space="preserve">25 </w:t>
      </w:r>
      <w:r>
        <w:rPr>
          <w:rFonts w:ascii="宋体" w:hAnsi="宋体" w:eastAsia="宋体" w:cs="宋体"/>
          <w:spacing w:val="-10"/>
          <w:sz w:val="24"/>
          <w:szCs w:val="24"/>
        </w:rPr>
        <w:t>道，天桥</w:t>
      </w:r>
      <w:r>
        <w:rPr>
          <w:rFonts w:ascii="宋体" w:hAnsi="宋体" w:eastAsia="宋体" w:cs="宋体"/>
          <w:spacing w:val="-65"/>
          <w:sz w:val="24"/>
          <w:szCs w:val="24"/>
        </w:rPr>
        <w:t xml:space="preserve"> </w:t>
      </w:r>
      <w:r>
        <w:rPr>
          <w:rFonts w:ascii="Times New Roman" w:hAnsi="Times New Roman" w:eastAsia="Times New Roman" w:cs="Times New Roman"/>
          <w:spacing w:val="-10"/>
          <w:sz w:val="24"/>
          <w:szCs w:val="24"/>
        </w:rPr>
        <w:t>35.96</w:t>
      </w:r>
      <w:r>
        <w:rPr>
          <w:rFonts w:ascii="Times New Roman" w:hAnsi="Times New Roman" w:eastAsia="Times New Roman" w:cs="Times New Roman"/>
          <w:spacing w:val="-11"/>
          <w:sz w:val="24"/>
          <w:szCs w:val="24"/>
        </w:rPr>
        <w:t xml:space="preserve">m/1 </w:t>
      </w:r>
      <w:r>
        <w:rPr>
          <w:rFonts w:ascii="宋体" w:hAnsi="宋体" w:eastAsia="宋体" w:cs="宋体"/>
          <w:spacing w:val="-11"/>
          <w:sz w:val="24"/>
          <w:szCs w:val="24"/>
        </w:rPr>
        <w:t>座，隧道</w:t>
      </w:r>
      <w:r>
        <w:rPr>
          <w:rFonts w:ascii="宋体" w:hAnsi="宋体" w:eastAsia="宋体" w:cs="宋体"/>
          <w:spacing w:val="-68"/>
          <w:sz w:val="24"/>
          <w:szCs w:val="24"/>
        </w:rPr>
        <w:t xml:space="preserve"> </w:t>
      </w:r>
      <w:r>
        <w:rPr>
          <w:rFonts w:ascii="Times New Roman" w:hAnsi="Times New Roman" w:eastAsia="Times New Roman" w:cs="Times New Roman"/>
          <w:spacing w:val="-11"/>
          <w:sz w:val="24"/>
          <w:szCs w:val="24"/>
        </w:rPr>
        <w:t xml:space="preserve">2163m/2 </w:t>
      </w:r>
      <w:r>
        <w:rPr>
          <w:rFonts w:ascii="宋体" w:hAnsi="宋体" w:eastAsia="宋体" w:cs="宋体"/>
          <w:spacing w:val="-11"/>
          <w:sz w:val="24"/>
          <w:szCs w:val="24"/>
        </w:rPr>
        <w:t>座，</w:t>
      </w:r>
    </w:p>
    <w:p>
      <w:pPr>
        <w:spacing w:before="1" w:line="219" w:lineRule="auto"/>
        <w:ind w:left="37"/>
        <w:rPr>
          <w:rFonts w:ascii="宋体" w:hAnsi="宋体" w:eastAsia="宋体" w:cs="宋体"/>
          <w:sz w:val="24"/>
          <w:szCs w:val="24"/>
        </w:rPr>
      </w:pPr>
      <w:r>
        <w:rPr>
          <w:rFonts w:ascii="宋体" w:hAnsi="宋体" w:eastAsia="宋体" w:cs="宋体"/>
          <w:spacing w:val="-10"/>
          <w:sz w:val="24"/>
          <w:szCs w:val="24"/>
        </w:rPr>
        <w:t>平交口</w:t>
      </w:r>
      <w:r>
        <w:rPr>
          <w:rFonts w:ascii="宋体" w:hAnsi="宋体" w:eastAsia="宋体" w:cs="宋体"/>
          <w:spacing w:val="-57"/>
          <w:sz w:val="24"/>
          <w:szCs w:val="24"/>
        </w:rPr>
        <w:t xml:space="preserve"> </w:t>
      </w:r>
      <w:r>
        <w:rPr>
          <w:rFonts w:ascii="Times New Roman" w:hAnsi="Times New Roman" w:eastAsia="Times New Roman" w:cs="Times New Roman"/>
          <w:spacing w:val="-10"/>
          <w:sz w:val="24"/>
          <w:szCs w:val="24"/>
        </w:rPr>
        <w:t xml:space="preserve">5 </w:t>
      </w:r>
      <w:r>
        <w:rPr>
          <w:rFonts w:ascii="宋体" w:hAnsi="宋体" w:eastAsia="宋体" w:cs="宋体"/>
          <w:spacing w:val="-10"/>
          <w:sz w:val="24"/>
          <w:szCs w:val="24"/>
        </w:rPr>
        <w:t>处。其余技术指标符合相应技术标准、规范要求。</w:t>
      </w:r>
    </w:p>
    <w:p>
      <w:pPr>
        <w:spacing w:before="180" w:line="220" w:lineRule="auto"/>
        <w:ind w:left="521"/>
        <w:rPr>
          <w:rFonts w:ascii="宋体" w:hAnsi="宋体" w:eastAsia="宋体" w:cs="宋体"/>
          <w:sz w:val="24"/>
          <w:szCs w:val="24"/>
        </w:rPr>
      </w:pPr>
      <w:r>
        <w:rPr>
          <w:rFonts w:ascii="宋体" w:hAnsi="宋体" w:eastAsia="宋体" w:cs="宋体"/>
          <w:spacing w:val="-2"/>
          <w:sz w:val="24"/>
          <w:szCs w:val="24"/>
        </w:rPr>
        <w:t>项目总投资：工程总投资为</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7.1691 </w:t>
      </w:r>
      <w:r>
        <w:rPr>
          <w:rFonts w:ascii="宋体" w:hAnsi="宋体" w:eastAsia="宋体" w:cs="宋体"/>
          <w:spacing w:val="-2"/>
          <w:sz w:val="24"/>
          <w:szCs w:val="24"/>
        </w:rPr>
        <w:t>亿元。</w:t>
      </w:r>
    </w:p>
    <w:p>
      <w:pPr>
        <w:spacing w:before="181" w:line="220" w:lineRule="auto"/>
        <w:ind w:left="32"/>
        <w:outlineLvl w:val="0"/>
        <w:rPr>
          <w:rFonts w:ascii="宋体" w:hAnsi="宋体" w:eastAsia="宋体" w:cs="宋体"/>
          <w:sz w:val="24"/>
          <w:szCs w:val="24"/>
        </w:rPr>
      </w:pPr>
      <w:r>
        <w:rPr>
          <w:rFonts w:ascii="Times New Roman" w:hAnsi="Times New Roman" w:eastAsia="Times New Roman" w:cs="Times New Roman"/>
          <w:b/>
          <w:bCs/>
          <w:sz w:val="24"/>
          <w:szCs w:val="24"/>
        </w:rPr>
        <w:t xml:space="preserve">3.1.2  </w:t>
      </w:r>
      <w:r>
        <w:rPr>
          <w:rFonts w:ascii="宋体" w:hAnsi="宋体" w:eastAsia="宋体" w:cs="宋体"/>
          <w:sz w:val="24"/>
          <w:szCs w:val="24"/>
          <w14:textOutline w14:w="4354" w14:cap="flat" w14:cmpd="sng">
            <w14:solidFill>
              <w14:srgbClr w14:val="000000"/>
            </w14:solidFill>
            <w14:prstDash w14:val="solid"/>
            <w14:miter w14:val="0"/>
          </w14:textOutline>
        </w:rPr>
        <w:t>线路走向及主要控制点</w:t>
      </w:r>
    </w:p>
    <w:p>
      <w:pPr>
        <w:spacing w:before="181" w:line="468" w:lineRule="exact"/>
        <w:ind w:left="524"/>
        <w:rPr>
          <w:rFonts w:ascii="宋体" w:hAnsi="宋体" w:eastAsia="宋体" w:cs="宋体"/>
          <w:sz w:val="24"/>
          <w:szCs w:val="24"/>
        </w:rPr>
      </w:pPr>
      <w:r>
        <w:rPr>
          <w:rFonts w:ascii="宋体" w:hAnsi="宋体" w:eastAsia="宋体" w:cs="宋体"/>
          <w:spacing w:val="-7"/>
          <w:position w:val="17"/>
          <w:sz w:val="24"/>
          <w:szCs w:val="24"/>
        </w:rPr>
        <w:t>（</w:t>
      </w:r>
      <w:r>
        <w:rPr>
          <w:rFonts w:ascii="Times New Roman" w:hAnsi="Times New Roman" w:eastAsia="Times New Roman" w:cs="Times New Roman"/>
          <w:spacing w:val="-7"/>
          <w:position w:val="17"/>
          <w:sz w:val="24"/>
          <w:szCs w:val="24"/>
        </w:rPr>
        <w:t>1</w:t>
      </w:r>
      <w:r>
        <w:rPr>
          <w:rFonts w:ascii="宋体" w:hAnsi="宋体" w:eastAsia="宋体" w:cs="宋体"/>
          <w:spacing w:val="-7"/>
          <w:position w:val="17"/>
          <w:sz w:val="24"/>
          <w:szCs w:val="24"/>
        </w:rPr>
        <w:t>）项目一号线起点： 温州市文成县西坑畲族镇南坑下村附近， 起点桩号</w:t>
      </w:r>
    </w:p>
    <w:p>
      <w:pPr>
        <w:spacing w:line="236" w:lineRule="auto"/>
        <w:ind w:left="33"/>
        <w:rPr>
          <w:rFonts w:ascii="宋体" w:hAnsi="宋体" w:eastAsia="宋体" w:cs="宋体"/>
          <w:sz w:val="24"/>
          <w:szCs w:val="24"/>
        </w:rPr>
      </w:pPr>
      <w:r>
        <w:rPr>
          <w:rFonts w:ascii="Times New Roman" w:hAnsi="Times New Roman" w:eastAsia="Times New Roman" w:cs="Times New Roman"/>
          <w:spacing w:val="-1"/>
          <w:sz w:val="24"/>
          <w:szCs w:val="24"/>
        </w:rPr>
        <w:t>L1K0</w:t>
      </w:r>
      <w:r>
        <w:rPr>
          <w:rFonts w:ascii="宋体" w:hAnsi="宋体" w:eastAsia="宋体" w:cs="宋体"/>
          <w:spacing w:val="-1"/>
          <w:sz w:val="24"/>
          <w:szCs w:val="24"/>
        </w:rPr>
        <w:t>＋</w:t>
      </w:r>
      <w:r>
        <w:rPr>
          <w:rFonts w:ascii="Times New Roman" w:hAnsi="Times New Roman" w:eastAsia="Times New Roman" w:cs="Times New Roman"/>
          <w:spacing w:val="-1"/>
          <w:sz w:val="24"/>
          <w:szCs w:val="24"/>
        </w:rPr>
        <w:t>061</w:t>
      </w:r>
      <w:r>
        <w:rPr>
          <w:rFonts w:ascii="宋体" w:hAnsi="宋体" w:eastAsia="宋体" w:cs="宋体"/>
          <w:spacing w:val="-1"/>
          <w:sz w:val="24"/>
          <w:szCs w:val="24"/>
        </w:rPr>
        <w:t>。</w:t>
      </w:r>
    </w:p>
    <w:p>
      <w:pPr>
        <w:spacing w:before="159" w:line="468" w:lineRule="exact"/>
        <w:ind w:left="521"/>
        <w:rPr>
          <w:rFonts w:ascii="宋体" w:hAnsi="宋体" w:eastAsia="宋体" w:cs="宋体"/>
          <w:sz w:val="24"/>
          <w:szCs w:val="24"/>
        </w:rPr>
      </w:pPr>
      <w:r>
        <w:rPr>
          <w:rFonts w:ascii="宋体" w:hAnsi="宋体" w:eastAsia="宋体" w:cs="宋体"/>
          <w:spacing w:val="-16"/>
          <w:position w:val="17"/>
          <w:sz w:val="24"/>
          <w:szCs w:val="24"/>
        </w:rPr>
        <w:t>项目一号线终点： 温州市文成县百丈漈镇长塘村附近，</w:t>
      </w:r>
      <w:r>
        <w:rPr>
          <w:rFonts w:ascii="宋体" w:hAnsi="宋体" w:eastAsia="宋体" w:cs="宋体"/>
          <w:spacing w:val="45"/>
          <w:position w:val="17"/>
          <w:sz w:val="24"/>
          <w:szCs w:val="24"/>
        </w:rPr>
        <w:t xml:space="preserve"> </w:t>
      </w:r>
      <w:r>
        <w:rPr>
          <w:rFonts w:ascii="宋体" w:hAnsi="宋体" w:eastAsia="宋体" w:cs="宋体"/>
          <w:spacing w:val="-16"/>
          <w:position w:val="17"/>
          <w:sz w:val="24"/>
          <w:szCs w:val="24"/>
        </w:rPr>
        <w:t>接大南公路，</w:t>
      </w:r>
      <w:r>
        <w:rPr>
          <w:rFonts w:ascii="宋体" w:hAnsi="宋体" w:eastAsia="宋体" w:cs="宋体"/>
          <w:spacing w:val="36"/>
          <w:position w:val="17"/>
          <w:sz w:val="24"/>
          <w:szCs w:val="24"/>
        </w:rPr>
        <w:t xml:space="preserve"> </w:t>
      </w:r>
      <w:r>
        <w:rPr>
          <w:rFonts w:ascii="宋体" w:hAnsi="宋体" w:eastAsia="宋体" w:cs="宋体"/>
          <w:spacing w:val="-16"/>
          <w:position w:val="17"/>
          <w:sz w:val="24"/>
          <w:szCs w:val="24"/>
        </w:rPr>
        <w:t>终点桩</w:t>
      </w:r>
    </w:p>
    <w:p>
      <w:pPr>
        <w:spacing w:before="1" w:line="220" w:lineRule="auto"/>
        <w:ind w:left="43"/>
        <w:rPr>
          <w:rFonts w:ascii="宋体" w:hAnsi="宋体" w:eastAsia="宋体" w:cs="宋体"/>
          <w:sz w:val="24"/>
          <w:szCs w:val="24"/>
        </w:rPr>
      </w:pPr>
      <w:r>
        <w:rPr>
          <w:rFonts w:ascii="宋体" w:hAnsi="宋体" w:eastAsia="宋体" w:cs="宋体"/>
          <w:spacing w:val="-7"/>
          <w:sz w:val="24"/>
          <w:szCs w:val="24"/>
        </w:rPr>
        <w:t>号</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L1K6</w:t>
      </w:r>
      <w:r>
        <w:rPr>
          <w:rFonts w:ascii="宋体" w:hAnsi="宋体" w:eastAsia="宋体" w:cs="宋体"/>
          <w:spacing w:val="-7"/>
          <w:sz w:val="24"/>
          <w:szCs w:val="24"/>
        </w:rPr>
        <w:t>＋</w:t>
      </w:r>
      <w:r>
        <w:rPr>
          <w:rFonts w:ascii="Times New Roman" w:hAnsi="Times New Roman" w:eastAsia="Times New Roman" w:cs="Times New Roman"/>
          <w:spacing w:val="-7"/>
          <w:sz w:val="24"/>
          <w:szCs w:val="24"/>
        </w:rPr>
        <w:t>675</w:t>
      </w:r>
      <w:r>
        <w:rPr>
          <w:rFonts w:ascii="宋体" w:hAnsi="宋体" w:eastAsia="宋体" w:cs="宋体"/>
          <w:spacing w:val="-7"/>
          <w:sz w:val="24"/>
          <w:szCs w:val="24"/>
        </w:rPr>
        <w:t>。</w:t>
      </w:r>
    </w:p>
    <w:p>
      <w:pPr>
        <w:spacing w:before="179" w:line="468" w:lineRule="exact"/>
        <w:ind w:left="524"/>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2</w:t>
      </w:r>
      <w:r>
        <w:rPr>
          <w:rFonts w:ascii="宋体" w:hAnsi="宋体" w:eastAsia="宋体" w:cs="宋体"/>
          <w:position w:val="17"/>
          <w:sz w:val="24"/>
          <w:szCs w:val="24"/>
        </w:rPr>
        <w:t>）项目二号线起点：温州市文成县西坑畲族镇竹园寮文成森林氧吧小镇</w:t>
      </w:r>
    </w:p>
    <w:p>
      <w:pPr>
        <w:spacing w:before="1" w:line="218" w:lineRule="auto"/>
        <w:ind w:left="56"/>
        <w:rPr>
          <w:rFonts w:ascii="宋体" w:hAnsi="宋体" w:eastAsia="宋体" w:cs="宋体"/>
          <w:sz w:val="24"/>
          <w:szCs w:val="24"/>
        </w:rPr>
      </w:pPr>
      <w:r>
        <w:rPr>
          <w:rFonts w:ascii="宋体" w:hAnsi="宋体" w:eastAsia="宋体" w:cs="宋体"/>
          <w:spacing w:val="-3"/>
          <w:sz w:val="24"/>
          <w:szCs w:val="24"/>
        </w:rPr>
        <w:t>附近，起点桩号</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L2K0</w:t>
      </w:r>
      <w:r>
        <w:rPr>
          <w:rFonts w:ascii="宋体" w:hAnsi="宋体" w:eastAsia="宋体" w:cs="宋体"/>
          <w:spacing w:val="-3"/>
          <w:sz w:val="24"/>
          <w:szCs w:val="24"/>
        </w:rPr>
        <w:t>＋</w:t>
      </w:r>
      <w:r>
        <w:rPr>
          <w:rFonts w:ascii="Times New Roman" w:hAnsi="Times New Roman" w:eastAsia="Times New Roman" w:cs="Times New Roman"/>
          <w:spacing w:val="-3"/>
          <w:sz w:val="24"/>
          <w:szCs w:val="24"/>
        </w:rPr>
        <w:t>000</w:t>
      </w:r>
      <w:r>
        <w:rPr>
          <w:rFonts w:ascii="宋体" w:hAnsi="宋体" w:eastAsia="宋体" w:cs="宋体"/>
          <w:spacing w:val="-3"/>
          <w:sz w:val="24"/>
          <w:szCs w:val="24"/>
        </w:rPr>
        <w:t>。</w:t>
      </w:r>
    </w:p>
    <w:p>
      <w:pPr>
        <w:spacing w:before="181" w:line="512" w:lineRule="exact"/>
        <w:ind w:left="521"/>
        <w:rPr>
          <w:rFonts w:ascii="宋体" w:hAnsi="宋体" w:eastAsia="宋体" w:cs="宋体"/>
          <w:sz w:val="24"/>
          <w:szCs w:val="24"/>
        </w:rPr>
      </w:pPr>
      <w:r>
        <w:rPr>
          <w:rFonts w:ascii="宋体" w:hAnsi="宋体" w:eastAsia="宋体" w:cs="宋体"/>
          <w:spacing w:val="2"/>
          <w:position w:val="20"/>
          <w:sz w:val="24"/>
          <w:szCs w:val="24"/>
        </w:rPr>
        <w:t>项目二号线终点：温州市文成县西坑畲族镇漈头面附近，终点桩号</w:t>
      </w:r>
      <w:r>
        <w:rPr>
          <w:rFonts w:ascii="宋体" w:hAnsi="宋体" w:eastAsia="宋体" w:cs="宋体"/>
          <w:spacing w:val="-46"/>
          <w:position w:val="20"/>
          <w:sz w:val="24"/>
          <w:szCs w:val="24"/>
        </w:rPr>
        <w:t xml:space="preserve"> </w:t>
      </w:r>
      <w:r>
        <w:rPr>
          <w:rFonts w:ascii="Times New Roman" w:hAnsi="Times New Roman" w:eastAsia="Times New Roman" w:cs="Times New Roman"/>
          <w:spacing w:val="2"/>
          <w:position w:val="20"/>
          <w:sz w:val="24"/>
          <w:szCs w:val="24"/>
        </w:rPr>
        <w:t>L2K1</w:t>
      </w:r>
      <w:r>
        <w:rPr>
          <w:rFonts w:ascii="宋体" w:hAnsi="宋体" w:eastAsia="宋体" w:cs="宋体"/>
          <w:spacing w:val="2"/>
          <w:position w:val="20"/>
          <w:sz w:val="24"/>
          <w:szCs w:val="24"/>
        </w:rPr>
        <w:t>+</w:t>
      </w:r>
    </w:p>
    <w:p>
      <w:pPr>
        <w:spacing w:before="1" w:line="178" w:lineRule="auto"/>
        <w:ind w:left="39"/>
        <w:rPr>
          <w:rFonts w:ascii="宋体" w:hAnsi="宋体" w:eastAsia="宋体" w:cs="宋体"/>
          <w:sz w:val="24"/>
          <w:szCs w:val="24"/>
        </w:rPr>
      </w:pPr>
      <w:r>
        <w:rPr>
          <w:rFonts w:ascii="Times New Roman" w:hAnsi="Times New Roman" w:eastAsia="Times New Roman" w:cs="Times New Roman"/>
          <w:spacing w:val="-3"/>
          <w:sz w:val="24"/>
          <w:szCs w:val="24"/>
        </w:rPr>
        <w:t>630</w:t>
      </w:r>
      <w:r>
        <w:rPr>
          <w:rFonts w:ascii="宋体" w:hAnsi="宋体" w:eastAsia="宋体" w:cs="宋体"/>
          <w:spacing w:val="-3"/>
          <w:sz w:val="24"/>
          <w:szCs w:val="24"/>
        </w:rPr>
        <w:t>。</w:t>
      </w:r>
    </w:p>
    <w:p>
      <w:pPr>
        <w:spacing w:line="178" w:lineRule="auto"/>
        <w:rPr>
          <w:rFonts w:ascii="宋体" w:hAnsi="宋体" w:eastAsia="宋体" w:cs="宋体"/>
          <w:sz w:val="24"/>
          <w:szCs w:val="24"/>
        </w:rPr>
        <w:sectPr>
          <w:headerReference r:id="rId95" w:type="default"/>
          <w:footerReference r:id="rId96" w:type="default"/>
          <w:pgSz w:w="11907" w:h="16839"/>
          <w:pgMar w:top="1118" w:right="1705" w:bottom="1182" w:left="1771" w:header="879" w:footer="1024" w:gutter="0"/>
          <w:cols w:space="720" w:num="1"/>
        </w:sectPr>
      </w:pPr>
    </w:p>
    <w:p>
      <w:pPr>
        <w:pStyle w:val="2"/>
        <w:spacing w:line="278" w:lineRule="auto"/>
      </w:pPr>
    </w:p>
    <w:p>
      <w:pPr>
        <w:spacing w:before="78" w:line="220" w:lineRule="auto"/>
        <w:ind w:left="75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）项目其他主要控制点：</w:t>
      </w:r>
    </w:p>
    <w:p>
      <w:pPr>
        <w:spacing w:before="181" w:line="219" w:lineRule="auto"/>
        <w:ind w:left="690"/>
        <w:rPr>
          <w:rFonts w:ascii="宋体" w:hAnsi="宋体" w:eastAsia="宋体" w:cs="宋体"/>
          <w:sz w:val="24"/>
          <w:szCs w:val="24"/>
        </w:rPr>
      </w:pPr>
      <w:r>
        <w:rPr>
          <w:rFonts w:ascii="宋体" w:hAnsi="宋体" w:eastAsia="宋体" w:cs="宋体"/>
          <w:spacing w:val="-9"/>
          <w:sz w:val="24"/>
          <w:szCs w:val="24"/>
        </w:rPr>
        <w:t>主要包括南坑垟村、敖里村、让川村、</w:t>
      </w:r>
      <w:r>
        <w:rPr>
          <w:rFonts w:ascii="宋体" w:hAnsi="宋体" w:eastAsia="宋体" w:cs="宋体"/>
          <w:spacing w:val="27"/>
          <w:sz w:val="24"/>
          <w:szCs w:val="24"/>
        </w:rPr>
        <w:t xml:space="preserve"> </w:t>
      </w:r>
      <w:r>
        <w:rPr>
          <w:rFonts w:ascii="Times New Roman" w:hAnsi="Times New Roman" w:eastAsia="Times New Roman" w:cs="Times New Roman"/>
          <w:spacing w:val="-9"/>
          <w:sz w:val="24"/>
          <w:szCs w:val="24"/>
        </w:rPr>
        <w:t>322</w:t>
      </w:r>
      <w:r>
        <w:rPr>
          <w:rFonts w:ascii="Times New Roman" w:hAnsi="Times New Roman" w:eastAsia="Times New Roman" w:cs="Times New Roman"/>
          <w:spacing w:val="32"/>
          <w:w w:val="101"/>
          <w:sz w:val="24"/>
          <w:szCs w:val="24"/>
        </w:rPr>
        <w:t xml:space="preserve"> </w:t>
      </w:r>
      <w:r>
        <w:rPr>
          <w:rFonts w:ascii="宋体" w:hAnsi="宋体" w:eastAsia="宋体" w:cs="宋体"/>
          <w:spacing w:val="-9"/>
          <w:sz w:val="24"/>
          <w:szCs w:val="24"/>
        </w:rPr>
        <w:t>国道、凤鸣民族村</w:t>
      </w:r>
      <w:r>
        <w:rPr>
          <w:rFonts w:ascii="宋体" w:hAnsi="宋体" w:eastAsia="宋体" w:cs="宋体"/>
          <w:spacing w:val="-10"/>
          <w:sz w:val="24"/>
          <w:szCs w:val="24"/>
        </w:rPr>
        <w:t>、大南公路等。</w:t>
      </w:r>
    </w:p>
    <w:p>
      <w:pPr>
        <w:spacing w:before="181" w:line="359" w:lineRule="auto"/>
        <w:ind w:left="269" w:right="245" w:firstLine="485"/>
        <w:jc w:val="both"/>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）线路走向：项目一号线起于景文高速公路西</w:t>
      </w:r>
      <w:r>
        <w:rPr>
          <w:rFonts w:ascii="宋体" w:hAnsi="宋体" w:eastAsia="宋体" w:cs="宋体"/>
          <w:spacing w:val="-7"/>
          <w:sz w:val="24"/>
          <w:szCs w:val="24"/>
        </w:rPr>
        <w:t>坑互通出口终点，沿南坑下</w:t>
      </w:r>
      <w:r>
        <w:rPr>
          <w:rFonts w:ascii="宋体" w:hAnsi="宋体" w:eastAsia="宋体" w:cs="宋体"/>
          <w:sz w:val="24"/>
          <w:szCs w:val="24"/>
        </w:rPr>
        <w:t xml:space="preserve"> </w:t>
      </w:r>
      <w:r>
        <w:rPr>
          <w:rFonts w:ascii="宋体" w:hAnsi="宋体" w:eastAsia="宋体" w:cs="宋体"/>
          <w:spacing w:val="-9"/>
          <w:sz w:val="24"/>
          <w:szCs w:val="24"/>
        </w:rPr>
        <w:t>县乡道走向，经墩头大桥在敖里村设置敖里隧道，再沿凤</w:t>
      </w:r>
      <w:r>
        <w:rPr>
          <w:rFonts w:ascii="宋体" w:hAnsi="宋体" w:eastAsia="宋体" w:cs="宋体"/>
          <w:spacing w:val="-10"/>
          <w:sz w:val="24"/>
          <w:szCs w:val="24"/>
        </w:rPr>
        <w:t>鸣民族村外侧布设，线路</w:t>
      </w:r>
      <w:r>
        <w:rPr>
          <w:rFonts w:ascii="宋体" w:hAnsi="宋体" w:eastAsia="宋体" w:cs="宋体"/>
          <w:sz w:val="24"/>
          <w:szCs w:val="24"/>
        </w:rPr>
        <w:t xml:space="preserve"> </w:t>
      </w:r>
      <w:r>
        <w:rPr>
          <w:rFonts w:ascii="宋体" w:hAnsi="宋体" w:eastAsia="宋体" w:cs="宋体"/>
          <w:spacing w:val="-20"/>
          <w:sz w:val="24"/>
          <w:szCs w:val="24"/>
        </w:rPr>
        <w:t>向西下穿原</w:t>
      </w:r>
      <w:r>
        <w:rPr>
          <w:rFonts w:ascii="宋体" w:hAnsi="宋体" w:eastAsia="宋体" w:cs="宋体"/>
          <w:spacing w:val="-62"/>
          <w:sz w:val="24"/>
          <w:szCs w:val="24"/>
        </w:rPr>
        <w:t xml:space="preserve"> </w:t>
      </w:r>
      <w:r>
        <w:rPr>
          <w:rFonts w:ascii="Times New Roman" w:hAnsi="Times New Roman" w:eastAsia="Times New Roman" w:cs="Times New Roman"/>
          <w:spacing w:val="-20"/>
          <w:sz w:val="24"/>
          <w:szCs w:val="24"/>
        </w:rPr>
        <w:t xml:space="preserve">S330 </w:t>
      </w:r>
      <w:r>
        <w:rPr>
          <w:rFonts w:ascii="宋体" w:hAnsi="宋体" w:eastAsia="宋体" w:cs="宋体"/>
          <w:spacing w:val="-20"/>
          <w:sz w:val="24"/>
          <w:szCs w:val="24"/>
        </w:rPr>
        <w:t>省道和工业用地设百丈隧道，</w:t>
      </w:r>
      <w:r>
        <w:rPr>
          <w:rFonts w:ascii="宋体" w:hAnsi="宋体" w:eastAsia="宋体" w:cs="宋体"/>
          <w:spacing w:val="41"/>
          <w:sz w:val="24"/>
          <w:szCs w:val="24"/>
        </w:rPr>
        <w:t xml:space="preserve"> </w:t>
      </w:r>
      <w:r>
        <w:rPr>
          <w:rFonts w:ascii="宋体" w:hAnsi="宋体" w:eastAsia="宋体" w:cs="宋体"/>
          <w:spacing w:val="-20"/>
          <w:sz w:val="24"/>
          <w:szCs w:val="24"/>
        </w:rPr>
        <w:t>终于长塘村接大南</w:t>
      </w:r>
      <w:r>
        <w:rPr>
          <w:rFonts w:ascii="宋体" w:hAnsi="宋体" w:eastAsia="宋体" w:cs="宋体"/>
          <w:spacing w:val="-21"/>
          <w:sz w:val="24"/>
          <w:szCs w:val="24"/>
        </w:rPr>
        <w:t>公路；</w:t>
      </w:r>
      <w:r>
        <w:rPr>
          <w:rFonts w:ascii="宋体" w:hAnsi="宋体" w:eastAsia="宋体" w:cs="宋体"/>
          <w:spacing w:val="43"/>
          <w:sz w:val="24"/>
          <w:szCs w:val="24"/>
        </w:rPr>
        <w:t xml:space="preserve"> </w:t>
      </w:r>
      <w:r>
        <w:rPr>
          <w:rFonts w:ascii="宋体" w:hAnsi="宋体" w:eastAsia="宋体" w:cs="宋体"/>
          <w:spacing w:val="-21"/>
          <w:sz w:val="24"/>
          <w:szCs w:val="24"/>
        </w:rPr>
        <w:t>项目二号线</w:t>
      </w:r>
      <w:r>
        <w:rPr>
          <w:rFonts w:ascii="宋体" w:hAnsi="宋体" w:eastAsia="宋体" w:cs="宋体"/>
          <w:sz w:val="24"/>
          <w:szCs w:val="24"/>
        </w:rPr>
        <w:t xml:space="preserve"> </w:t>
      </w:r>
      <w:r>
        <w:rPr>
          <w:rFonts w:ascii="宋体" w:hAnsi="宋体" w:eastAsia="宋体" w:cs="宋体"/>
          <w:spacing w:val="-11"/>
          <w:sz w:val="24"/>
          <w:szCs w:val="24"/>
        </w:rPr>
        <w:t xml:space="preserve">起点位于文成森林氧吧小镇附近，与 </w:t>
      </w:r>
      <w:r>
        <w:rPr>
          <w:rFonts w:ascii="Times New Roman" w:hAnsi="Times New Roman" w:eastAsia="Times New Roman" w:cs="Times New Roman"/>
          <w:spacing w:val="-11"/>
          <w:sz w:val="24"/>
          <w:szCs w:val="24"/>
        </w:rPr>
        <w:t xml:space="preserve">322  </w:t>
      </w:r>
      <w:r>
        <w:rPr>
          <w:rFonts w:ascii="宋体" w:hAnsi="宋体" w:eastAsia="宋体" w:cs="宋体"/>
          <w:spacing w:val="-11"/>
          <w:sz w:val="24"/>
          <w:szCs w:val="24"/>
        </w:rPr>
        <w:t>国道相交，</w:t>
      </w:r>
      <w:r>
        <w:rPr>
          <w:rFonts w:ascii="宋体" w:hAnsi="宋体" w:eastAsia="宋体" w:cs="宋体"/>
          <w:spacing w:val="-12"/>
          <w:sz w:val="24"/>
          <w:szCs w:val="24"/>
        </w:rPr>
        <w:t>向南沿双田村外侧，下穿项目</w:t>
      </w:r>
    </w:p>
    <w:p>
      <w:pPr>
        <w:spacing w:line="188" w:lineRule="auto"/>
        <w:ind w:left="272"/>
        <w:rPr>
          <w:rFonts w:ascii="微软雅黑" w:hAnsi="微软雅黑" w:eastAsia="微软雅黑" w:cs="微软雅黑"/>
          <w:sz w:val="24"/>
          <w:szCs w:val="24"/>
        </w:rPr>
      </w:pPr>
      <w:r>
        <w:rPr>
          <w:rFonts w:ascii="宋体" w:hAnsi="宋体" w:eastAsia="宋体" w:cs="宋体"/>
          <w:spacing w:val="-12"/>
          <w:sz w:val="24"/>
          <w:szCs w:val="24"/>
        </w:rPr>
        <w:t>一号线墩头大桥后，渐向西，终点位于漈头面附近并平交于一号线</w:t>
      </w:r>
      <w:r>
        <w:rPr>
          <w:rFonts w:ascii="微软雅黑" w:hAnsi="微软雅黑" w:eastAsia="微软雅黑" w:cs="微软雅黑"/>
          <w:spacing w:val="-12"/>
          <w:sz w:val="24"/>
          <w:szCs w:val="24"/>
        </w:rPr>
        <w:t>。</w:t>
      </w:r>
    </w:p>
    <w:p>
      <w:pPr>
        <w:spacing w:before="176" w:line="220" w:lineRule="auto"/>
        <w:ind w:left="263"/>
        <w:outlineLvl w:val="0"/>
        <w:rPr>
          <w:rFonts w:ascii="宋体" w:hAnsi="宋体" w:eastAsia="宋体" w:cs="宋体"/>
          <w:sz w:val="24"/>
          <w:szCs w:val="24"/>
        </w:rPr>
      </w:pPr>
      <w:r>
        <w:rPr>
          <w:rFonts w:ascii="Times New Roman" w:hAnsi="Times New Roman" w:eastAsia="Times New Roman" w:cs="Times New Roman"/>
          <w:b/>
          <w:bCs/>
          <w:sz w:val="24"/>
          <w:szCs w:val="24"/>
        </w:rPr>
        <w:t xml:space="preserve">3.1.3  </w:t>
      </w:r>
      <w:r>
        <w:rPr>
          <w:rFonts w:ascii="宋体" w:hAnsi="宋体" w:eastAsia="宋体" w:cs="宋体"/>
          <w:sz w:val="24"/>
          <w:szCs w:val="24"/>
          <w14:textOutline w14:w="4354" w14:cap="flat" w14:cmpd="sng">
            <w14:solidFill>
              <w14:srgbClr w14:val="000000"/>
            </w14:solidFill>
            <w14:prstDash w14:val="solid"/>
            <w14:miter w14:val="0"/>
          </w14:textOutline>
        </w:rPr>
        <w:t>工程主要技术指标</w:t>
      </w:r>
    </w:p>
    <w:p>
      <w:pPr>
        <w:spacing w:before="182" w:line="359" w:lineRule="auto"/>
        <w:ind w:left="270" w:right="192" w:firstLine="478"/>
        <w:jc w:val="both"/>
        <w:rPr>
          <w:rFonts w:ascii="宋体" w:hAnsi="宋体" w:eastAsia="宋体" w:cs="宋体"/>
          <w:sz w:val="24"/>
          <w:szCs w:val="24"/>
        </w:rPr>
      </w:pPr>
      <w:r>
        <w:rPr>
          <w:rFonts w:ascii="宋体" w:hAnsi="宋体" w:eastAsia="宋体" w:cs="宋体"/>
          <w:spacing w:val="-2"/>
          <w:sz w:val="24"/>
          <w:szCs w:val="24"/>
        </w:rPr>
        <w:t>本项目采用交通部颁发的《公路工程技术标准</w:t>
      </w:r>
      <w:r>
        <w:rPr>
          <w:rFonts w:ascii="宋体" w:hAnsi="宋体" w:eastAsia="宋体" w:cs="宋体"/>
          <w:spacing w:val="-3"/>
          <w:sz w:val="24"/>
          <w:szCs w:val="24"/>
        </w:rPr>
        <w:t>》（</w:t>
      </w:r>
      <w:r>
        <w:rPr>
          <w:rFonts w:ascii="Times New Roman" w:hAnsi="Times New Roman" w:eastAsia="Times New Roman" w:cs="Times New Roman"/>
          <w:spacing w:val="-3"/>
          <w:sz w:val="24"/>
          <w:szCs w:val="24"/>
        </w:rPr>
        <w:t>JTG B01-2014</w:t>
      </w:r>
      <w:r>
        <w:rPr>
          <w:rFonts w:ascii="宋体" w:hAnsi="宋体" w:eastAsia="宋体" w:cs="宋体"/>
          <w:spacing w:val="-3"/>
          <w:sz w:val="24"/>
          <w:szCs w:val="24"/>
        </w:rPr>
        <w:t>）双车道二</w:t>
      </w:r>
      <w:r>
        <w:rPr>
          <w:rFonts w:ascii="宋体" w:hAnsi="宋体" w:eastAsia="宋体" w:cs="宋体"/>
          <w:sz w:val="24"/>
          <w:szCs w:val="24"/>
        </w:rPr>
        <w:t xml:space="preserve"> </w:t>
      </w:r>
      <w:r>
        <w:rPr>
          <w:rFonts w:ascii="宋体" w:hAnsi="宋体" w:eastAsia="宋体" w:cs="宋体"/>
          <w:spacing w:val="-5"/>
          <w:sz w:val="24"/>
          <w:szCs w:val="24"/>
        </w:rPr>
        <w:t>级公路标准建设。设计速度</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60km/h</w:t>
      </w:r>
      <w:r>
        <w:rPr>
          <w:rFonts w:ascii="宋体" w:hAnsi="宋体" w:eastAsia="宋体" w:cs="宋体"/>
          <w:spacing w:val="-5"/>
          <w:sz w:val="24"/>
          <w:szCs w:val="24"/>
        </w:rPr>
        <w:t>（局部困难路段采用</w:t>
      </w:r>
      <w:r>
        <w:rPr>
          <w:rFonts w:ascii="宋体" w:hAnsi="宋体" w:eastAsia="宋体" w:cs="宋体"/>
          <w:spacing w:val="-27"/>
          <w:sz w:val="24"/>
          <w:szCs w:val="24"/>
        </w:rPr>
        <w:t xml:space="preserve"> </w:t>
      </w:r>
      <w:r>
        <w:rPr>
          <w:rFonts w:ascii="Times New Roman" w:hAnsi="Times New Roman" w:eastAsia="Times New Roman" w:cs="Times New Roman"/>
          <w:spacing w:val="-5"/>
          <w:sz w:val="24"/>
          <w:szCs w:val="24"/>
        </w:rPr>
        <w:t>40km/h</w:t>
      </w:r>
      <w:r>
        <w:rPr>
          <w:rFonts w:ascii="宋体" w:hAnsi="宋体" w:eastAsia="宋体" w:cs="宋体"/>
          <w:spacing w:val="-17"/>
          <w:sz w:val="24"/>
          <w:szCs w:val="24"/>
        </w:rPr>
        <w:t>），</w:t>
      </w:r>
      <w:r>
        <w:rPr>
          <w:rFonts w:ascii="宋体" w:hAnsi="宋体" w:eastAsia="宋体" w:cs="宋体"/>
          <w:spacing w:val="-5"/>
          <w:sz w:val="24"/>
          <w:szCs w:val="24"/>
        </w:rPr>
        <w:t>双向双车道，</w:t>
      </w:r>
      <w:r>
        <w:rPr>
          <w:rFonts w:ascii="宋体" w:hAnsi="宋体" w:eastAsia="宋体" w:cs="宋体"/>
          <w:sz w:val="24"/>
          <w:szCs w:val="24"/>
        </w:rPr>
        <w:t xml:space="preserve"> </w:t>
      </w:r>
      <w:r>
        <w:rPr>
          <w:rFonts w:ascii="宋体" w:hAnsi="宋体" w:eastAsia="宋体" w:cs="宋体"/>
          <w:spacing w:val="11"/>
          <w:sz w:val="24"/>
          <w:szCs w:val="24"/>
        </w:rPr>
        <w:t>路基宽度采用</w:t>
      </w:r>
      <w:r>
        <w:rPr>
          <w:rFonts w:ascii="宋体" w:hAnsi="宋体" w:eastAsia="宋体" w:cs="宋体"/>
          <w:spacing w:val="49"/>
          <w:sz w:val="24"/>
          <w:szCs w:val="24"/>
        </w:rPr>
        <w:t xml:space="preserve"> </w:t>
      </w:r>
      <w:r>
        <w:rPr>
          <w:rFonts w:ascii="Times New Roman" w:hAnsi="Times New Roman" w:eastAsia="Times New Roman" w:cs="Times New Roman"/>
          <w:spacing w:val="11"/>
          <w:sz w:val="24"/>
          <w:szCs w:val="24"/>
        </w:rPr>
        <w:t xml:space="preserve">10  </w:t>
      </w:r>
      <w:r>
        <w:rPr>
          <w:rFonts w:ascii="宋体" w:hAnsi="宋体" w:eastAsia="宋体" w:cs="宋体"/>
          <w:spacing w:val="11"/>
          <w:sz w:val="24"/>
          <w:szCs w:val="24"/>
        </w:rPr>
        <w:t xml:space="preserve">米。根据设计情况，局部困难路段为 </w:t>
      </w:r>
      <w:r>
        <w:rPr>
          <w:rFonts w:ascii="Times New Roman" w:hAnsi="Times New Roman" w:eastAsia="Times New Roman" w:cs="Times New Roman"/>
          <w:spacing w:val="11"/>
          <w:sz w:val="24"/>
          <w:szCs w:val="24"/>
        </w:rPr>
        <w:t>L1K3+360~</w:t>
      </w:r>
      <w:r>
        <w:rPr>
          <w:rFonts w:ascii="Times New Roman" w:hAnsi="Times New Roman" w:eastAsia="Times New Roman" w:cs="Times New Roman"/>
          <w:spacing w:val="10"/>
          <w:sz w:val="24"/>
          <w:szCs w:val="24"/>
        </w:rPr>
        <w:t>960</w:t>
      </w:r>
      <w:r>
        <w:rPr>
          <w:rFonts w:ascii="Times New Roman" w:hAnsi="Times New Roman" w:eastAsia="Times New Roman" w:cs="Times New Roman"/>
          <w:spacing w:val="16"/>
          <w:w w:val="101"/>
          <w:sz w:val="24"/>
          <w:szCs w:val="24"/>
        </w:rPr>
        <w:t xml:space="preserve">  </w:t>
      </w:r>
      <w:r>
        <w:rPr>
          <w:rFonts w:ascii="宋体" w:hAnsi="宋体" w:eastAsia="宋体" w:cs="宋体"/>
          <w:spacing w:val="10"/>
          <w:sz w:val="24"/>
          <w:szCs w:val="24"/>
        </w:rPr>
        <w:t>和</w:t>
      </w:r>
    </w:p>
    <w:p>
      <w:pPr>
        <w:spacing w:line="219" w:lineRule="auto"/>
        <w:ind w:left="263"/>
        <w:rPr>
          <w:rFonts w:ascii="宋体" w:hAnsi="宋体" w:eastAsia="宋体" w:cs="宋体"/>
          <w:sz w:val="24"/>
          <w:szCs w:val="24"/>
        </w:rPr>
      </w:pPr>
      <w:r>
        <w:rPr>
          <w:rFonts w:ascii="Times New Roman" w:hAnsi="Times New Roman" w:eastAsia="Times New Roman" w:cs="Times New Roman"/>
          <w:spacing w:val="-2"/>
          <w:sz w:val="24"/>
          <w:szCs w:val="24"/>
        </w:rPr>
        <w:t>L1K4+200~770</w:t>
      </w:r>
      <w:r>
        <w:rPr>
          <w:rFonts w:ascii="宋体" w:hAnsi="宋体" w:eastAsia="宋体" w:cs="宋体"/>
          <w:spacing w:val="-2"/>
          <w:sz w:val="24"/>
          <w:szCs w:val="24"/>
        </w:rPr>
        <w:t>。主要技术指标见表</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3.1-</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p>
      <w:pPr>
        <w:spacing w:before="259" w:line="220" w:lineRule="auto"/>
        <w:ind w:left="2941"/>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3.1-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主要技术经济指标表</w:t>
      </w:r>
    </w:p>
    <w:p>
      <w:pPr>
        <w:spacing w:line="67" w:lineRule="exact"/>
      </w:pPr>
    </w:p>
    <w:tbl>
      <w:tblPr>
        <w:tblStyle w:val="5"/>
        <w:tblW w:w="88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7"/>
        <w:gridCol w:w="1363"/>
        <w:gridCol w:w="1739"/>
        <w:gridCol w:w="1370"/>
        <w:gridCol w:w="2145"/>
        <w:gridCol w:w="14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87" w:type="dxa"/>
            <w:vAlign w:val="top"/>
          </w:tcPr>
          <w:p>
            <w:pPr>
              <w:pStyle w:val="6"/>
              <w:spacing w:before="55" w:line="222" w:lineRule="auto"/>
              <w:ind w:left="187"/>
            </w:pPr>
            <w:r>
              <w:rPr>
                <w:spacing w:val="-2"/>
              </w:rPr>
              <w:t>序号</w:t>
            </w:r>
          </w:p>
        </w:tc>
        <w:tc>
          <w:tcPr>
            <w:tcW w:w="3102" w:type="dxa"/>
            <w:gridSpan w:val="2"/>
            <w:vAlign w:val="top"/>
          </w:tcPr>
          <w:p>
            <w:pPr>
              <w:pStyle w:val="6"/>
              <w:spacing w:before="56" w:line="221" w:lineRule="auto"/>
              <w:ind w:left="1136"/>
            </w:pPr>
            <w:r>
              <w:rPr>
                <w:spacing w:val="-2"/>
              </w:rPr>
              <w:t>指标名称</w:t>
            </w:r>
          </w:p>
        </w:tc>
        <w:tc>
          <w:tcPr>
            <w:tcW w:w="1370" w:type="dxa"/>
            <w:vAlign w:val="top"/>
          </w:tcPr>
          <w:p>
            <w:pPr>
              <w:pStyle w:val="6"/>
              <w:spacing w:before="56" w:line="221" w:lineRule="auto"/>
              <w:ind w:left="482"/>
            </w:pPr>
            <w:r>
              <w:rPr>
                <w:spacing w:val="-2"/>
              </w:rPr>
              <w:t>单位</w:t>
            </w:r>
          </w:p>
        </w:tc>
        <w:tc>
          <w:tcPr>
            <w:tcW w:w="2145" w:type="dxa"/>
            <w:vAlign w:val="top"/>
          </w:tcPr>
          <w:p>
            <w:pPr>
              <w:pStyle w:val="6"/>
              <w:spacing w:before="55" w:line="221" w:lineRule="auto"/>
              <w:ind w:left="869"/>
            </w:pPr>
            <w:r>
              <w:rPr>
                <w:spacing w:val="-2"/>
              </w:rPr>
              <w:t>数量</w:t>
            </w:r>
          </w:p>
        </w:tc>
        <w:tc>
          <w:tcPr>
            <w:tcW w:w="1417" w:type="dxa"/>
            <w:vAlign w:val="top"/>
          </w:tcPr>
          <w:p>
            <w:pPr>
              <w:pStyle w:val="6"/>
              <w:spacing w:before="55" w:line="222" w:lineRule="auto"/>
              <w:ind w:left="504"/>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pStyle w:val="6"/>
              <w:spacing w:before="130" w:line="163" w:lineRule="exact"/>
              <w:ind w:left="297"/>
            </w:pPr>
            <w:r>
              <w:rPr>
                <w:position w:val="-4"/>
                <w14:textOutline w14:w="3831" w14:cap="flat" w14:cmpd="sng">
                  <w14:solidFill>
                    <w14:srgbClr w14:val="000000"/>
                  </w14:solidFill>
                  <w14:prstDash w14:val="solid"/>
                  <w14:miter w14:val="0"/>
                </w14:textOutline>
              </w:rPr>
              <w:t>一</w:t>
            </w:r>
          </w:p>
        </w:tc>
        <w:tc>
          <w:tcPr>
            <w:tcW w:w="3102" w:type="dxa"/>
            <w:gridSpan w:val="2"/>
            <w:vAlign w:val="top"/>
          </w:tcPr>
          <w:p>
            <w:pPr>
              <w:pStyle w:val="6"/>
              <w:spacing w:before="51" w:line="220" w:lineRule="auto"/>
              <w:ind w:left="1133"/>
            </w:pPr>
            <w:r>
              <w:rPr>
                <w:spacing w:val="-1"/>
                <w14:textOutline w14:w="3831" w14:cap="flat" w14:cmpd="sng">
                  <w14:solidFill>
                    <w14:srgbClr w14:val="000000"/>
                  </w14:solidFill>
                  <w14:prstDash w14:val="solid"/>
                  <w14:miter w14:val="0"/>
                </w14:textOutline>
              </w:rPr>
              <w:t>基本指标</w:t>
            </w:r>
          </w:p>
        </w:tc>
        <w:tc>
          <w:tcPr>
            <w:tcW w:w="1370" w:type="dxa"/>
            <w:vAlign w:val="top"/>
          </w:tcPr>
          <w:p>
            <w:pPr>
              <w:rPr>
                <w:rFonts w:ascii="Arial"/>
                <w:sz w:val="21"/>
              </w:rPr>
            </w:pPr>
          </w:p>
        </w:tc>
        <w:tc>
          <w:tcPr>
            <w:tcW w:w="2145" w:type="dxa"/>
            <w:vAlign w:val="top"/>
          </w:tcPr>
          <w:p>
            <w:pPr>
              <w:rPr>
                <w:rFonts w:ascii="Arial"/>
                <w:sz w:val="21"/>
              </w:rPr>
            </w:pP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87" w:type="dxa"/>
            <w:vAlign w:val="top"/>
          </w:tcPr>
          <w:p>
            <w:pPr>
              <w:spacing w:before="93" w:line="187" w:lineRule="auto"/>
              <w:ind w:left="36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102" w:type="dxa"/>
            <w:gridSpan w:val="2"/>
            <w:vAlign w:val="top"/>
          </w:tcPr>
          <w:p>
            <w:pPr>
              <w:pStyle w:val="6"/>
              <w:spacing w:before="54" w:line="221" w:lineRule="auto"/>
              <w:ind w:left="1140"/>
            </w:pPr>
            <w:r>
              <w:rPr>
                <w:spacing w:val="-3"/>
              </w:rPr>
              <w:t>公路等级</w:t>
            </w:r>
          </w:p>
        </w:tc>
        <w:tc>
          <w:tcPr>
            <w:tcW w:w="1370" w:type="dxa"/>
            <w:vAlign w:val="top"/>
          </w:tcPr>
          <w:p>
            <w:pPr>
              <w:pStyle w:val="6"/>
              <w:spacing w:before="54" w:line="223" w:lineRule="auto"/>
              <w:ind w:left="587"/>
            </w:pPr>
            <w:r>
              <w:t>级</w:t>
            </w:r>
          </w:p>
        </w:tc>
        <w:tc>
          <w:tcPr>
            <w:tcW w:w="2145" w:type="dxa"/>
            <w:vAlign w:val="top"/>
          </w:tcPr>
          <w:p>
            <w:pPr>
              <w:pStyle w:val="6"/>
              <w:spacing w:before="54" w:line="221" w:lineRule="auto"/>
              <w:ind w:left="659"/>
            </w:pPr>
            <w:r>
              <w:rPr>
                <w:spacing w:val="-3"/>
              </w:rPr>
              <w:t>二级公路</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spacing w:before="91" w:line="187" w:lineRule="auto"/>
              <w:ind w:left="34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102" w:type="dxa"/>
            <w:gridSpan w:val="2"/>
            <w:vAlign w:val="top"/>
          </w:tcPr>
          <w:p>
            <w:pPr>
              <w:pStyle w:val="6"/>
              <w:spacing w:before="52" w:line="221" w:lineRule="auto"/>
              <w:ind w:left="1137"/>
            </w:pPr>
            <w:r>
              <w:rPr>
                <w:spacing w:val="-3"/>
              </w:rPr>
              <w:t>设计速度</w:t>
            </w:r>
          </w:p>
        </w:tc>
        <w:tc>
          <w:tcPr>
            <w:tcW w:w="1370" w:type="dxa"/>
            <w:vAlign w:val="top"/>
          </w:tcPr>
          <w:p>
            <w:pPr>
              <w:pStyle w:val="6"/>
              <w:spacing w:before="52" w:line="223" w:lineRule="auto"/>
              <w:ind w:left="246"/>
            </w:pPr>
            <w:r>
              <w:rPr>
                <w:spacing w:val="-3"/>
              </w:rPr>
              <w:t>公里</w:t>
            </w:r>
            <w:r>
              <w:rPr>
                <w:rFonts w:ascii="Times New Roman" w:hAnsi="Times New Roman" w:eastAsia="Times New Roman" w:cs="Times New Roman"/>
                <w:spacing w:val="-3"/>
              </w:rPr>
              <w:t>/</w:t>
            </w:r>
            <w:r>
              <w:rPr>
                <w:spacing w:val="-3"/>
              </w:rPr>
              <w:t>小时</w:t>
            </w:r>
          </w:p>
        </w:tc>
        <w:tc>
          <w:tcPr>
            <w:tcW w:w="2145" w:type="dxa"/>
            <w:vAlign w:val="top"/>
          </w:tcPr>
          <w:p>
            <w:pPr>
              <w:spacing w:before="87" w:line="191" w:lineRule="auto"/>
              <w:ind w:left="8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60/40</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spacing w:before="91" w:line="187" w:lineRule="auto"/>
              <w:ind w:left="34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102" w:type="dxa"/>
            <w:gridSpan w:val="2"/>
            <w:vAlign w:val="top"/>
          </w:tcPr>
          <w:p>
            <w:pPr>
              <w:pStyle w:val="6"/>
              <w:spacing w:before="52" w:line="221" w:lineRule="auto"/>
              <w:ind w:left="1135"/>
            </w:pPr>
            <w:r>
              <w:rPr>
                <w:spacing w:val="-2"/>
              </w:rPr>
              <w:t>预算金额</w:t>
            </w:r>
          </w:p>
        </w:tc>
        <w:tc>
          <w:tcPr>
            <w:tcW w:w="1370" w:type="dxa"/>
            <w:vAlign w:val="top"/>
          </w:tcPr>
          <w:p>
            <w:pPr>
              <w:pStyle w:val="6"/>
              <w:spacing w:before="53" w:line="221" w:lineRule="auto"/>
              <w:ind w:left="485"/>
            </w:pPr>
            <w:r>
              <w:rPr>
                <w:spacing w:val="-3"/>
              </w:rPr>
              <w:t>万元</w:t>
            </w:r>
          </w:p>
        </w:tc>
        <w:tc>
          <w:tcPr>
            <w:tcW w:w="2145" w:type="dxa"/>
            <w:vAlign w:val="top"/>
          </w:tcPr>
          <w:p>
            <w:pPr>
              <w:spacing w:before="91" w:line="187" w:lineRule="auto"/>
              <w:ind w:left="8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71691</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spacing w:before="92" w:line="187" w:lineRule="auto"/>
              <w:ind w:left="34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102" w:type="dxa"/>
            <w:gridSpan w:val="2"/>
            <w:vAlign w:val="top"/>
          </w:tcPr>
          <w:p>
            <w:pPr>
              <w:pStyle w:val="6"/>
              <w:spacing w:before="53" w:line="219" w:lineRule="auto"/>
              <w:ind w:left="818"/>
            </w:pPr>
            <w:r>
              <w:rPr>
                <w:spacing w:val="-1"/>
              </w:rPr>
              <w:t>平均每公里造价</w:t>
            </w:r>
          </w:p>
        </w:tc>
        <w:tc>
          <w:tcPr>
            <w:tcW w:w="1370" w:type="dxa"/>
            <w:vAlign w:val="top"/>
          </w:tcPr>
          <w:p>
            <w:pPr>
              <w:spacing w:before="88" w:line="216" w:lineRule="auto"/>
              <w:ind w:left="65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45" w:type="dxa"/>
            <w:vAlign w:val="top"/>
          </w:tcPr>
          <w:p>
            <w:pPr>
              <w:spacing w:before="88" w:line="216" w:lineRule="auto"/>
              <w:ind w:left="103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pStyle w:val="6"/>
              <w:spacing w:before="93" w:line="179" w:lineRule="auto"/>
              <w:ind w:left="297"/>
            </w:pPr>
            <w:r>
              <w:rPr>
                <w14:textOutline w14:w="3831" w14:cap="flat" w14:cmpd="sng">
                  <w14:solidFill>
                    <w14:srgbClr w14:val="000000"/>
                  </w14:solidFill>
                  <w14:prstDash w14:val="solid"/>
                  <w14:miter w14:val="0"/>
                </w14:textOutline>
              </w:rPr>
              <w:t>二</w:t>
            </w:r>
          </w:p>
        </w:tc>
        <w:tc>
          <w:tcPr>
            <w:tcW w:w="3102" w:type="dxa"/>
            <w:gridSpan w:val="2"/>
            <w:vAlign w:val="top"/>
          </w:tcPr>
          <w:p>
            <w:pPr>
              <w:pStyle w:val="6"/>
              <w:spacing w:before="53" w:line="221" w:lineRule="auto"/>
              <w:ind w:left="1344"/>
            </w:pPr>
            <w:r>
              <w:rPr>
                <w:spacing w:val="-2"/>
                <w14:textOutline w14:w="3831" w14:cap="flat" w14:cmpd="sng">
                  <w14:solidFill>
                    <w14:srgbClr w14:val="000000"/>
                  </w14:solidFill>
                  <w14:prstDash w14:val="solid"/>
                  <w14:miter w14:val="0"/>
                </w14:textOutline>
              </w:rPr>
              <w:t>路线</w:t>
            </w:r>
          </w:p>
        </w:tc>
        <w:tc>
          <w:tcPr>
            <w:tcW w:w="1370" w:type="dxa"/>
            <w:vAlign w:val="top"/>
          </w:tcPr>
          <w:p>
            <w:pPr>
              <w:rPr>
                <w:rFonts w:ascii="Arial"/>
                <w:sz w:val="21"/>
              </w:rPr>
            </w:pPr>
          </w:p>
        </w:tc>
        <w:tc>
          <w:tcPr>
            <w:tcW w:w="2145" w:type="dxa"/>
            <w:vAlign w:val="top"/>
          </w:tcPr>
          <w:p>
            <w:pPr>
              <w:rPr>
                <w:rFonts w:ascii="Arial"/>
                <w:sz w:val="21"/>
              </w:rPr>
            </w:pP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87" w:type="dxa"/>
            <w:vAlign w:val="top"/>
          </w:tcPr>
          <w:p>
            <w:pPr>
              <w:spacing w:before="96" w:line="184" w:lineRule="auto"/>
              <w:ind w:left="34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102" w:type="dxa"/>
            <w:gridSpan w:val="2"/>
            <w:vAlign w:val="top"/>
          </w:tcPr>
          <w:p>
            <w:pPr>
              <w:pStyle w:val="6"/>
              <w:spacing w:before="54" w:line="221" w:lineRule="auto"/>
              <w:ind w:left="1135"/>
            </w:pPr>
            <w:r>
              <w:rPr>
                <w:spacing w:val="-2"/>
              </w:rPr>
              <w:t>路线长度</w:t>
            </w:r>
          </w:p>
        </w:tc>
        <w:tc>
          <w:tcPr>
            <w:tcW w:w="1370" w:type="dxa"/>
            <w:vAlign w:val="top"/>
          </w:tcPr>
          <w:p>
            <w:pPr>
              <w:pStyle w:val="6"/>
              <w:spacing w:before="54" w:line="222" w:lineRule="auto"/>
              <w:ind w:left="487"/>
            </w:pPr>
            <w:r>
              <w:rPr>
                <w:spacing w:val="-4"/>
              </w:rPr>
              <w:t>公里</w:t>
            </w:r>
          </w:p>
        </w:tc>
        <w:tc>
          <w:tcPr>
            <w:tcW w:w="2145" w:type="dxa"/>
            <w:vAlign w:val="top"/>
          </w:tcPr>
          <w:p>
            <w:pPr>
              <w:spacing w:before="93" w:line="187" w:lineRule="auto"/>
              <w:ind w:left="8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8.244</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87" w:type="dxa"/>
            <w:vAlign w:val="top"/>
          </w:tcPr>
          <w:p>
            <w:pPr>
              <w:spacing w:before="95" w:line="187" w:lineRule="auto"/>
              <w:ind w:left="34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102" w:type="dxa"/>
            <w:gridSpan w:val="2"/>
            <w:vAlign w:val="top"/>
          </w:tcPr>
          <w:p>
            <w:pPr>
              <w:pStyle w:val="6"/>
              <w:spacing w:before="56" w:line="221" w:lineRule="auto"/>
              <w:ind w:left="818"/>
            </w:pPr>
            <w:r>
              <w:rPr>
                <w:spacing w:val="-1"/>
              </w:rPr>
              <w:t>平曲线最小半径</w:t>
            </w:r>
          </w:p>
        </w:tc>
        <w:tc>
          <w:tcPr>
            <w:tcW w:w="1370" w:type="dxa"/>
            <w:vAlign w:val="top"/>
          </w:tcPr>
          <w:p>
            <w:pPr>
              <w:pStyle w:val="6"/>
              <w:spacing w:before="56" w:line="222" w:lineRule="auto"/>
              <w:ind w:left="451"/>
            </w:pPr>
            <w:r>
              <w:rPr>
                <w:spacing w:val="-3"/>
              </w:rPr>
              <w:t>米</w:t>
            </w:r>
            <w:r>
              <w:rPr>
                <w:rFonts w:ascii="Times New Roman" w:hAnsi="Times New Roman" w:eastAsia="Times New Roman" w:cs="Times New Roman"/>
                <w:spacing w:val="-3"/>
              </w:rPr>
              <w:t>/</w:t>
            </w:r>
            <w:r>
              <w:rPr>
                <w:spacing w:val="-3"/>
              </w:rPr>
              <w:t>个</w:t>
            </w:r>
          </w:p>
        </w:tc>
        <w:tc>
          <w:tcPr>
            <w:tcW w:w="2145" w:type="dxa"/>
            <w:vAlign w:val="top"/>
          </w:tcPr>
          <w:p>
            <w:pPr>
              <w:spacing w:before="91" w:line="191" w:lineRule="auto"/>
              <w:ind w:left="6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207.977/1</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spacing w:before="96" w:line="184" w:lineRule="auto"/>
              <w:ind w:left="346"/>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102" w:type="dxa"/>
            <w:gridSpan w:val="2"/>
            <w:vAlign w:val="top"/>
          </w:tcPr>
          <w:p>
            <w:pPr>
              <w:pStyle w:val="6"/>
              <w:spacing w:before="54" w:line="221" w:lineRule="auto"/>
              <w:ind w:left="607"/>
            </w:pPr>
            <w:r>
              <w:rPr>
                <w:spacing w:val="-1"/>
              </w:rPr>
              <w:t>平曲线长占路线总长</w:t>
            </w:r>
          </w:p>
        </w:tc>
        <w:tc>
          <w:tcPr>
            <w:tcW w:w="1370" w:type="dxa"/>
            <w:vAlign w:val="top"/>
          </w:tcPr>
          <w:p>
            <w:pPr>
              <w:spacing w:before="89" w:line="215" w:lineRule="auto"/>
              <w:ind w:left="6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45" w:type="dxa"/>
            <w:vAlign w:val="top"/>
          </w:tcPr>
          <w:p>
            <w:pPr>
              <w:spacing w:before="93" w:line="187" w:lineRule="auto"/>
              <w:ind w:left="7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75.595</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87" w:type="dxa"/>
            <w:vAlign w:val="top"/>
          </w:tcPr>
          <w:p>
            <w:pPr>
              <w:spacing w:before="93" w:line="187" w:lineRule="auto"/>
              <w:ind w:left="351"/>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3102" w:type="dxa"/>
            <w:gridSpan w:val="2"/>
            <w:vAlign w:val="top"/>
          </w:tcPr>
          <w:p>
            <w:pPr>
              <w:pStyle w:val="6"/>
              <w:spacing w:before="54" w:line="221" w:lineRule="auto"/>
              <w:ind w:left="926"/>
            </w:pPr>
            <w:r>
              <w:rPr>
                <w:spacing w:val="-2"/>
              </w:rPr>
              <w:t>直线最大长度</w:t>
            </w:r>
          </w:p>
        </w:tc>
        <w:tc>
          <w:tcPr>
            <w:tcW w:w="1370" w:type="dxa"/>
            <w:vAlign w:val="top"/>
          </w:tcPr>
          <w:p>
            <w:pPr>
              <w:pStyle w:val="6"/>
              <w:spacing w:before="54" w:line="221" w:lineRule="auto"/>
              <w:ind w:left="583"/>
            </w:pPr>
            <w:r>
              <w:t>米</w:t>
            </w:r>
          </w:p>
        </w:tc>
        <w:tc>
          <w:tcPr>
            <w:tcW w:w="2145" w:type="dxa"/>
            <w:vAlign w:val="top"/>
          </w:tcPr>
          <w:p>
            <w:pPr>
              <w:spacing w:before="93" w:line="187" w:lineRule="auto"/>
              <w:ind w:left="7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633.158</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87" w:type="dxa"/>
            <w:vAlign w:val="top"/>
          </w:tcPr>
          <w:p>
            <w:pPr>
              <w:spacing w:before="93" w:line="187" w:lineRule="auto"/>
              <w:ind w:left="346"/>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3102" w:type="dxa"/>
            <w:gridSpan w:val="2"/>
            <w:vAlign w:val="top"/>
          </w:tcPr>
          <w:p>
            <w:pPr>
              <w:pStyle w:val="6"/>
              <w:spacing w:before="54" w:line="221" w:lineRule="auto"/>
              <w:ind w:left="1136"/>
            </w:pPr>
            <w:r>
              <w:rPr>
                <w:spacing w:val="-2"/>
              </w:rPr>
              <w:t>最大坡度</w:t>
            </w:r>
          </w:p>
        </w:tc>
        <w:tc>
          <w:tcPr>
            <w:tcW w:w="1370" w:type="dxa"/>
            <w:vAlign w:val="top"/>
          </w:tcPr>
          <w:p>
            <w:pPr>
              <w:pStyle w:val="6"/>
              <w:spacing w:before="54" w:line="222" w:lineRule="auto"/>
              <w:ind w:left="467"/>
            </w:pPr>
            <w:r>
              <w:rPr>
                <w:rFonts w:ascii="Times New Roman" w:hAnsi="Times New Roman" w:eastAsia="Times New Roman" w:cs="Times New Roman"/>
                <w:spacing w:val="-3"/>
              </w:rPr>
              <w:t>%/</w:t>
            </w:r>
            <w:r>
              <w:rPr>
                <w:spacing w:val="-3"/>
              </w:rPr>
              <w:t>处</w:t>
            </w:r>
          </w:p>
        </w:tc>
        <w:tc>
          <w:tcPr>
            <w:tcW w:w="2145" w:type="dxa"/>
            <w:vAlign w:val="top"/>
          </w:tcPr>
          <w:p>
            <w:pPr>
              <w:spacing w:before="96" w:line="184" w:lineRule="auto"/>
              <w:ind w:left="1023"/>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87" w:type="dxa"/>
            <w:vAlign w:val="top"/>
          </w:tcPr>
          <w:p>
            <w:pPr>
              <w:spacing w:before="92"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3102" w:type="dxa"/>
            <w:gridSpan w:val="2"/>
            <w:vAlign w:val="top"/>
          </w:tcPr>
          <w:p>
            <w:pPr>
              <w:pStyle w:val="6"/>
              <w:spacing w:before="53" w:line="221" w:lineRule="auto"/>
              <w:ind w:left="1136"/>
            </w:pPr>
            <w:r>
              <w:rPr>
                <w:spacing w:val="-2"/>
              </w:rPr>
              <w:t>最短坡长</w:t>
            </w:r>
          </w:p>
        </w:tc>
        <w:tc>
          <w:tcPr>
            <w:tcW w:w="1370" w:type="dxa"/>
            <w:vAlign w:val="top"/>
          </w:tcPr>
          <w:p>
            <w:pPr>
              <w:pStyle w:val="6"/>
              <w:spacing w:before="53" w:line="221" w:lineRule="auto"/>
              <w:ind w:left="583"/>
            </w:pPr>
            <w:r>
              <w:t>米</w:t>
            </w:r>
          </w:p>
        </w:tc>
        <w:tc>
          <w:tcPr>
            <w:tcW w:w="2145" w:type="dxa"/>
            <w:vAlign w:val="top"/>
          </w:tcPr>
          <w:p>
            <w:pPr>
              <w:spacing w:before="92" w:line="187" w:lineRule="auto"/>
              <w:ind w:left="93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150</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87" w:type="dxa"/>
            <w:vAlign w:val="top"/>
          </w:tcPr>
          <w:p>
            <w:pPr>
              <w:spacing w:before="93"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3102" w:type="dxa"/>
            <w:gridSpan w:val="2"/>
            <w:vAlign w:val="top"/>
          </w:tcPr>
          <w:p>
            <w:pPr>
              <w:pStyle w:val="6"/>
              <w:spacing w:before="54" w:line="221" w:lineRule="auto"/>
              <w:ind w:left="398"/>
            </w:pPr>
            <w:r>
              <w:rPr>
                <w:spacing w:val="-1"/>
              </w:rPr>
              <w:t>平均每公里纵坡变更次数</w:t>
            </w:r>
          </w:p>
        </w:tc>
        <w:tc>
          <w:tcPr>
            <w:tcW w:w="1370" w:type="dxa"/>
            <w:vAlign w:val="top"/>
          </w:tcPr>
          <w:p>
            <w:pPr>
              <w:pStyle w:val="6"/>
              <w:spacing w:before="54" w:line="221" w:lineRule="auto"/>
              <w:ind w:left="589"/>
            </w:pPr>
            <w:r>
              <w:t>次</w:t>
            </w:r>
          </w:p>
        </w:tc>
        <w:tc>
          <w:tcPr>
            <w:tcW w:w="2145" w:type="dxa"/>
            <w:vAlign w:val="top"/>
          </w:tcPr>
          <w:p>
            <w:pPr>
              <w:spacing w:before="93" w:line="187" w:lineRule="auto"/>
              <w:ind w:left="85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1.498</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87" w:type="dxa"/>
            <w:vAlign w:val="top"/>
          </w:tcPr>
          <w:p>
            <w:pPr>
              <w:spacing w:before="95"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363" w:type="dxa"/>
            <w:vMerge w:val="restart"/>
            <w:tcBorders>
              <w:bottom w:val="nil"/>
            </w:tcBorders>
            <w:vAlign w:val="top"/>
          </w:tcPr>
          <w:p>
            <w:pPr>
              <w:pStyle w:val="6"/>
              <w:spacing w:before="62" w:line="247" w:lineRule="auto"/>
              <w:ind w:left="476" w:right="153" w:hanging="313"/>
            </w:pPr>
            <w:r>
              <w:rPr>
                <w:spacing w:val="-2"/>
              </w:rPr>
              <w:t>竖曲线最小</w:t>
            </w:r>
            <w:r>
              <w:t xml:space="preserve"> </w:t>
            </w:r>
            <w:r>
              <w:rPr>
                <w:spacing w:val="-3"/>
              </w:rPr>
              <w:t>半径</w:t>
            </w:r>
          </w:p>
        </w:tc>
        <w:tc>
          <w:tcPr>
            <w:tcW w:w="1739" w:type="dxa"/>
            <w:vAlign w:val="top"/>
          </w:tcPr>
          <w:p>
            <w:pPr>
              <w:pStyle w:val="6"/>
              <w:spacing w:before="56" w:line="222" w:lineRule="auto"/>
              <w:ind w:left="683"/>
            </w:pPr>
            <w:r>
              <w:rPr>
                <w:spacing w:val="-7"/>
              </w:rPr>
              <w:t>凸型</w:t>
            </w:r>
          </w:p>
        </w:tc>
        <w:tc>
          <w:tcPr>
            <w:tcW w:w="1370" w:type="dxa"/>
            <w:vAlign w:val="top"/>
          </w:tcPr>
          <w:p>
            <w:pPr>
              <w:pStyle w:val="6"/>
              <w:spacing w:before="56" w:line="222" w:lineRule="auto"/>
              <w:ind w:left="451"/>
            </w:pPr>
            <w:r>
              <w:rPr>
                <w:spacing w:val="-3"/>
              </w:rPr>
              <w:t>米</w:t>
            </w:r>
            <w:r>
              <w:rPr>
                <w:rFonts w:ascii="Times New Roman" w:hAnsi="Times New Roman" w:eastAsia="Times New Roman" w:cs="Times New Roman"/>
                <w:spacing w:val="-3"/>
              </w:rPr>
              <w:t>/</w:t>
            </w:r>
            <w:r>
              <w:rPr>
                <w:spacing w:val="-3"/>
              </w:rPr>
              <w:t>个</w:t>
            </w:r>
          </w:p>
        </w:tc>
        <w:tc>
          <w:tcPr>
            <w:tcW w:w="2145" w:type="dxa"/>
            <w:vAlign w:val="top"/>
          </w:tcPr>
          <w:p>
            <w:pPr>
              <w:spacing w:before="91" w:line="191" w:lineRule="auto"/>
              <w:ind w:left="7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2000/1</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87" w:type="dxa"/>
            <w:vAlign w:val="top"/>
          </w:tcPr>
          <w:p>
            <w:pPr>
              <w:spacing w:before="92"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363" w:type="dxa"/>
            <w:vMerge w:val="continue"/>
            <w:tcBorders>
              <w:top w:val="nil"/>
            </w:tcBorders>
            <w:vAlign w:val="top"/>
          </w:tcPr>
          <w:p>
            <w:pPr>
              <w:rPr>
                <w:rFonts w:ascii="Arial"/>
                <w:sz w:val="21"/>
              </w:rPr>
            </w:pPr>
          </w:p>
        </w:tc>
        <w:tc>
          <w:tcPr>
            <w:tcW w:w="1739" w:type="dxa"/>
            <w:vAlign w:val="top"/>
          </w:tcPr>
          <w:p>
            <w:pPr>
              <w:pStyle w:val="6"/>
              <w:spacing w:before="54" w:line="222" w:lineRule="auto"/>
              <w:ind w:left="678"/>
            </w:pPr>
            <w:r>
              <w:rPr>
                <w:spacing w:val="-6"/>
              </w:rPr>
              <w:t>凹形</w:t>
            </w:r>
          </w:p>
        </w:tc>
        <w:tc>
          <w:tcPr>
            <w:tcW w:w="1370" w:type="dxa"/>
            <w:vAlign w:val="top"/>
          </w:tcPr>
          <w:p>
            <w:pPr>
              <w:pStyle w:val="6"/>
              <w:spacing w:before="54" w:line="222" w:lineRule="auto"/>
              <w:ind w:left="451"/>
            </w:pPr>
            <w:r>
              <w:rPr>
                <w:spacing w:val="-3"/>
              </w:rPr>
              <w:t>米</w:t>
            </w:r>
            <w:r>
              <w:rPr>
                <w:rFonts w:ascii="Times New Roman" w:hAnsi="Times New Roman" w:eastAsia="Times New Roman" w:cs="Times New Roman"/>
                <w:spacing w:val="-3"/>
              </w:rPr>
              <w:t>/</w:t>
            </w:r>
            <w:r>
              <w:rPr>
                <w:spacing w:val="-3"/>
              </w:rPr>
              <w:t>个</w:t>
            </w:r>
          </w:p>
        </w:tc>
        <w:tc>
          <w:tcPr>
            <w:tcW w:w="2145" w:type="dxa"/>
            <w:vAlign w:val="top"/>
          </w:tcPr>
          <w:p>
            <w:pPr>
              <w:spacing w:before="88" w:line="191" w:lineRule="auto"/>
              <w:ind w:left="80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1500/1</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spacing w:before="92"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3102" w:type="dxa"/>
            <w:gridSpan w:val="2"/>
            <w:vAlign w:val="top"/>
          </w:tcPr>
          <w:p>
            <w:pPr>
              <w:pStyle w:val="6"/>
              <w:spacing w:before="53" w:line="221" w:lineRule="auto"/>
              <w:ind w:left="612"/>
            </w:pPr>
            <w:r>
              <w:rPr>
                <w:spacing w:val="-1"/>
              </w:rPr>
              <w:t>竖曲线长占路线总长</w:t>
            </w:r>
          </w:p>
        </w:tc>
        <w:tc>
          <w:tcPr>
            <w:tcW w:w="1370" w:type="dxa"/>
            <w:vAlign w:val="top"/>
          </w:tcPr>
          <w:p>
            <w:pPr>
              <w:spacing w:before="88" w:line="216" w:lineRule="auto"/>
              <w:ind w:left="6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45" w:type="dxa"/>
            <w:vAlign w:val="top"/>
          </w:tcPr>
          <w:p>
            <w:pPr>
              <w:spacing w:before="92" w:line="187" w:lineRule="auto"/>
              <w:ind w:left="7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30.195</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pStyle w:val="6"/>
              <w:spacing w:before="54" w:line="221" w:lineRule="auto"/>
              <w:ind w:left="293"/>
            </w:pPr>
            <w:r>
              <w:rPr>
                <w14:textOutline w14:w="3831" w14:cap="flat" w14:cmpd="sng">
                  <w14:solidFill>
                    <w14:srgbClr w14:val="000000"/>
                  </w14:solidFill>
                  <w14:prstDash w14:val="solid"/>
                  <w14:miter w14:val="0"/>
                </w14:textOutline>
              </w:rPr>
              <w:t>三</w:t>
            </w:r>
          </w:p>
        </w:tc>
        <w:tc>
          <w:tcPr>
            <w:tcW w:w="3102" w:type="dxa"/>
            <w:gridSpan w:val="2"/>
            <w:vAlign w:val="top"/>
          </w:tcPr>
          <w:p>
            <w:pPr>
              <w:pStyle w:val="6"/>
              <w:spacing w:before="53" w:line="221" w:lineRule="auto"/>
              <w:ind w:left="1135"/>
            </w:pPr>
            <w:r>
              <w:rPr>
                <w:spacing w:val="-1"/>
                <w14:textOutline w14:w="3831" w14:cap="flat" w14:cmpd="sng">
                  <w14:solidFill>
                    <w14:srgbClr w14:val="000000"/>
                  </w14:solidFill>
                  <w14:prstDash w14:val="solid"/>
                  <w14:miter w14:val="0"/>
                </w14:textOutline>
              </w:rPr>
              <w:t>路基路面</w:t>
            </w:r>
          </w:p>
        </w:tc>
        <w:tc>
          <w:tcPr>
            <w:tcW w:w="1370" w:type="dxa"/>
            <w:vAlign w:val="top"/>
          </w:tcPr>
          <w:p>
            <w:pPr>
              <w:rPr>
                <w:rFonts w:ascii="Arial"/>
                <w:sz w:val="21"/>
              </w:rPr>
            </w:pPr>
          </w:p>
        </w:tc>
        <w:tc>
          <w:tcPr>
            <w:tcW w:w="2145" w:type="dxa"/>
            <w:vAlign w:val="top"/>
          </w:tcPr>
          <w:p>
            <w:pPr>
              <w:rPr>
                <w:rFonts w:ascii="Arial"/>
                <w:sz w:val="21"/>
              </w:rPr>
            </w:pP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spacing w:before="93"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3102" w:type="dxa"/>
            <w:gridSpan w:val="2"/>
            <w:vAlign w:val="top"/>
          </w:tcPr>
          <w:p>
            <w:pPr>
              <w:pStyle w:val="6"/>
              <w:spacing w:before="54" w:line="221" w:lineRule="auto"/>
              <w:ind w:left="1135"/>
            </w:pPr>
            <w:r>
              <w:rPr>
                <w:spacing w:val="-2"/>
              </w:rPr>
              <w:t>路基宽度</w:t>
            </w:r>
          </w:p>
        </w:tc>
        <w:tc>
          <w:tcPr>
            <w:tcW w:w="1370" w:type="dxa"/>
            <w:vAlign w:val="top"/>
          </w:tcPr>
          <w:p>
            <w:pPr>
              <w:rPr>
                <w:rFonts w:ascii="Arial"/>
                <w:sz w:val="21"/>
              </w:rPr>
            </w:pPr>
          </w:p>
        </w:tc>
        <w:tc>
          <w:tcPr>
            <w:tcW w:w="2145" w:type="dxa"/>
            <w:vAlign w:val="top"/>
          </w:tcPr>
          <w:p>
            <w:pPr>
              <w:rPr>
                <w:rFonts w:ascii="Arial"/>
                <w:sz w:val="21"/>
              </w:rPr>
            </w:pP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87" w:type="dxa"/>
            <w:vAlign w:val="top"/>
          </w:tcPr>
          <w:p>
            <w:pPr>
              <w:rPr>
                <w:rFonts w:ascii="Arial"/>
                <w:sz w:val="21"/>
              </w:rPr>
            </w:pPr>
          </w:p>
        </w:tc>
        <w:tc>
          <w:tcPr>
            <w:tcW w:w="3102" w:type="dxa"/>
            <w:gridSpan w:val="2"/>
            <w:vAlign w:val="top"/>
          </w:tcPr>
          <w:p>
            <w:pPr>
              <w:pStyle w:val="6"/>
              <w:spacing w:before="55" w:line="221" w:lineRule="auto"/>
              <w:ind w:left="1197"/>
            </w:pPr>
            <w:r>
              <w:rPr>
                <w:spacing w:val="-11"/>
              </w:rPr>
              <w:t>宽</w:t>
            </w:r>
            <w:r>
              <w:rPr>
                <w:spacing w:val="-26"/>
              </w:rPr>
              <w:t xml:space="preserve"> </w:t>
            </w:r>
            <w:r>
              <w:rPr>
                <w:rFonts w:ascii="Times New Roman" w:hAnsi="Times New Roman" w:eastAsia="Times New Roman" w:cs="Times New Roman"/>
                <w:spacing w:val="-11"/>
              </w:rPr>
              <w:t>10</w:t>
            </w:r>
            <w:r>
              <w:rPr>
                <w:rFonts w:ascii="Times New Roman" w:hAnsi="Times New Roman" w:eastAsia="Times New Roman" w:cs="Times New Roman"/>
                <w:spacing w:val="6"/>
              </w:rPr>
              <w:t xml:space="preserve"> </w:t>
            </w:r>
            <w:r>
              <w:rPr>
                <w:spacing w:val="-11"/>
              </w:rPr>
              <w:t>米</w:t>
            </w:r>
          </w:p>
        </w:tc>
        <w:tc>
          <w:tcPr>
            <w:tcW w:w="1370" w:type="dxa"/>
            <w:vAlign w:val="top"/>
          </w:tcPr>
          <w:p>
            <w:pPr>
              <w:pStyle w:val="6"/>
              <w:spacing w:before="55" w:line="221" w:lineRule="auto"/>
              <w:ind w:left="487"/>
            </w:pPr>
            <w:r>
              <w:rPr>
                <w:spacing w:val="-4"/>
              </w:rPr>
              <w:t>公里</w:t>
            </w:r>
          </w:p>
        </w:tc>
        <w:tc>
          <w:tcPr>
            <w:tcW w:w="2145" w:type="dxa"/>
            <w:vAlign w:val="top"/>
          </w:tcPr>
          <w:p>
            <w:pPr>
              <w:spacing w:before="94" w:line="187" w:lineRule="auto"/>
              <w:ind w:left="8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8.244</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87" w:type="dxa"/>
            <w:vAlign w:val="top"/>
          </w:tcPr>
          <w:p>
            <w:pPr>
              <w:spacing w:before="96"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3102" w:type="dxa"/>
            <w:gridSpan w:val="2"/>
            <w:vAlign w:val="top"/>
          </w:tcPr>
          <w:p>
            <w:pPr>
              <w:pStyle w:val="6"/>
              <w:spacing w:before="57" w:line="221" w:lineRule="auto"/>
              <w:ind w:left="1029"/>
            </w:pPr>
            <w:r>
              <w:rPr>
                <w:spacing w:val="-2"/>
              </w:rPr>
              <w:t>土石方数量</w:t>
            </w:r>
          </w:p>
        </w:tc>
        <w:tc>
          <w:tcPr>
            <w:tcW w:w="1370" w:type="dxa"/>
            <w:vAlign w:val="top"/>
          </w:tcPr>
          <w:p>
            <w:pPr>
              <w:rPr>
                <w:rFonts w:ascii="Arial"/>
                <w:sz w:val="21"/>
              </w:rPr>
            </w:pPr>
          </w:p>
        </w:tc>
        <w:tc>
          <w:tcPr>
            <w:tcW w:w="2145" w:type="dxa"/>
            <w:vAlign w:val="top"/>
          </w:tcPr>
          <w:p>
            <w:pPr>
              <w:rPr>
                <w:rFonts w:ascii="Arial"/>
                <w:sz w:val="21"/>
              </w:rPr>
            </w:pP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rPr>
                <w:rFonts w:ascii="Arial"/>
                <w:sz w:val="21"/>
              </w:rPr>
            </w:pPr>
          </w:p>
        </w:tc>
        <w:tc>
          <w:tcPr>
            <w:tcW w:w="3102" w:type="dxa"/>
            <w:gridSpan w:val="2"/>
            <w:vAlign w:val="top"/>
          </w:tcPr>
          <w:p>
            <w:pPr>
              <w:pStyle w:val="6"/>
              <w:spacing w:before="54" w:line="221" w:lineRule="auto"/>
              <w:ind w:left="1087"/>
            </w:pPr>
            <w:r>
              <w:rPr>
                <w:spacing w:val="-3"/>
              </w:rPr>
              <w:t>（</w:t>
            </w:r>
            <w:r>
              <w:rPr>
                <w:rFonts w:ascii="Times New Roman" w:hAnsi="Times New Roman" w:eastAsia="Times New Roman" w:cs="Times New Roman"/>
                <w:spacing w:val="-3"/>
              </w:rPr>
              <w:t>1</w:t>
            </w:r>
            <w:r>
              <w:rPr>
                <w:spacing w:val="-3"/>
              </w:rPr>
              <w:t>）填方</w:t>
            </w:r>
          </w:p>
        </w:tc>
        <w:tc>
          <w:tcPr>
            <w:tcW w:w="1370" w:type="dxa"/>
            <w:vAlign w:val="top"/>
          </w:tcPr>
          <w:p>
            <w:pPr>
              <w:pStyle w:val="6"/>
              <w:spacing w:before="54" w:line="221" w:lineRule="auto"/>
              <w:ind w:left="274"/>
            </w:pPr>
            <w:r>
              <w:rPr>
                <w:spacing w:val="-3"/>
              </w:rPr>
              <w:t>万立方米</w:t>
            </w:r>
          </w:p>
        </w:tc>
        <w:tc>
          <w:tcPr>
            <w:tcW w:w="2145" w:type="dxa"/>
            <w:vAlign w:val="top"/>
          </w:tcPr>
          <w:p>
            <w:pPr>
              <w:spacing w:before="93" w:line="187" w:lineRule="auto"/>
              <w:ind w:left="9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rPr>
                <w:rFonts w:ascii="Arial"/>
                <w:sz w:val="21"/>
              </w:rPr>
            </w:pPr>
          </w:p>
        </w:tc>
        <w:tc>
          <w:tcPr>
            <w:tcW w:w="3102" w:type="dxa"/>
            <w:gridSpan w:val="2"/>
            <w:vAlign w:val="top"/>
          </w:tcPr>
          <w:p>
            <w:pPr>
              <w:pStyle w:val="6"/>
              <w:spacing w:before="55" w:line="220" w:lineRule="auto"/>
              <w:ind w:left="1087"/>
            </w:pPr>
            <w:r>
              <w:rPr>
                <w:spacing w:val="-3"/>
              </w:rPr>
              <w:t>（</w:t>
            </w:r>
            <w:r>
              <w:rPr>
                <w:rFonts w:ascii="Times New Roman" w:hAnsi="Times New Roman" w:eastAsia="Times New Roman" w:cs="Times New Roman"/>
                <w:spacing w:val="-3"/>
              </w:rPr>
              <w:t>2</w:t>
            </w:r>
            <w:r>
              <w:rPr>
                <w:spacing w:val="-3"/>
              </w:rPr>
              <w:t>）挖方</w:t>
            </w:r>
          </w:p>
        </w:tc>
        <w:tc>
          <w:tcPr>
            <w:tcW w:w="1370" w:type="dxa"/>
            <w:vAlign w:val="top"/>
          </w:tcPr>
          <w:p>
            <w:pPr>
              <w:pStyle w:val="6"/>
              <w:spacing w:before="55" w:line="220" w:lineRule="auto"/>
              <w:ind w:left="274"/>
            </w:pPr>
            <w:r>
              <w:rPr>
                <w:spacing w:val="-3"/>
              </w:rPr>
              <w:t>万立方米</w:t>
            </w:r>
          </w:p>
        </w:tc>
        <w:tc>
          <w:tcPr>
            <w:tcW w:w="2145" w:type="dxa"/>
            <w:vAlign w:val="top"/>
          </w:tcPr>
          <w:p>
            <w:pPr>
              <w:spacing w:before="94" w:line="187" w:lineRule="auto"/>
              <w:ind w:left="93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185</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787" w:type="dxa"/>
            <w:vAlign w:val="top"/>
          </w:tcPr>
          <w:p>
            <w:pPr>
              <w:spacing w:before="95"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3102" w:type="dxa"/>
            <w:gridSpan w:val="2"/>
            <w:vAlign w:val="top"/>
          </w:tcPr>
          <w:p>
            <w:pPr>
              <w:pStyle w:val="6"/>
              <w:spacing w:before="56" w:line="221" w:lineRule="auto"/>
              <w:ind w:left="715"/>
            </w:pPr>
            <w:r>
              <w:rPr>
                <w:spacing w:val="-1"/>
              </w:rPr>
              <w:t>路基排水防护工程</w:t>
            </w:r>
          </w:p>
        </w:tc>
        <w:tc>
          <w:tcPr>
            <w:tcW w:w="1370" w:type="dxa"/>
            <w:vAlign w:val="top"/>
          </w:tcPr>
          <w:p>
            <w:pPr>
              <w:pStyle w:val="6"/>
              <w:spacing w:before="56" w:line="221" w:lineRule="auto"/>
              <w:ind w:left="269"/>
            </w:pPr>
            <w:r>
              <w:rPr>
                <w:spacing w:val="-2"/>
              </w:rPr>
              <w:t>千立方米</w:t>
            </w:r>
          </w:p>
        </w:tc>
        <w:tc>
          <w:tcPr>
            <w:tcW w:w="2145" w:type="dxa"/>
            <w:vAlign w:val="top"/>
          </w:tcPr>
          <w:p>
            <w:pPr>
              <w:spacing w:before="95" w:line="187" w:lineRule="auto"/>
              <w:ind w:left="7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68.302</w:t>
            </w:r>
          </w:p>
        </w:tc>
        <w:tc>
          <w:tcPr>
            <w:tcW w:w="1417" w:type="dxa"/>
            <w:vAlign w:val="top"/>
          </w:tcPr>
          <w:p>
            <w:pPr>
              <w:rPr>
                <w:rFonts w:ascii="Arial"/>
                <w:sz w:val="21"/>
              </w:rPr>
            </w:pPr>
          </w:p>
        </w:tc>
      </w:tr>
    </w:tbl>
    <w:p>
      <w:pPr>
        <w:pStyle w:val="2"/>
      </w:pPr>
    </w:p>
    <w:p>
      <w:pPr>
        <w:sectPr>
          <w:headerReference r:id="rId97" w:type="default"/>
          <w:footerReference r:id="rId98" w:type="default"/>
          <w:pgSz w:w="11907" w:h="16839"/>
          <w:pgMar w:top="1118" w:right="1538" w:bottom="1184" w:left="1541" w:header="879" w:footer="1024" w:gutter="0"/>
          <w:cols w:space="720" w:num="1"/>
        </w:sectPr>
      </w:pPr>
    </w:p>
    <w:p>
      <w:pPr>
        <w:spacing w:before="80"/>
      </w:pPr>
    </w:p>
    <w:tbl>
      <w:tblPr>
        <w:tblStyle w:val="5"/>
        <w:tblW w:w="88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7"/>
        <w:gridCol w:w="3102"/>
        <w:gridCol w:w="1370"/>
        <w:gridCol w:w="2145"/>
        <w:gridCol w:w="14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787" w:type="dxa"/>
            <w:vAlign w:val="top"/>
          </w:tcPr>
          <w:p>
            <w:pPr>
              <w:spacing w:before="9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3102" w:type="dxa"/>
            <w:vAlign w:val="top"/>
          </w:tcPr>
          <w:p>
            <w:pPr>
              <w:pStyle w:val="6"/>
              <w:spacing w:before="56" w:line="220" w:lineRule="auto"/>
              <w:ind w:left="1028"/>
            </w:pPr>
            <w:r>
              <w:rPr>
                <w:spacing w:val="-1"/>
              </w:rPr>
              <w:t>沥青混凝土</w:t>
            </w:r>
          </w:p>
        </w:tc>
        <w:tc>
          <w:tcPr>
            <w:tcW w:w="1370" w:type="dxa"/>
            <w:vAlign w:val="top"/>
          </w:tcPr>
          <w:p>
            <w:pPr>
              <w:pStyle w:val="6"/>
              <w:spacing w:before="55" w:line="221" w:lineRule="auto"/>
              <w:ind w:left="269"/>
            </w:pPr>
            <w:r>
              <w:rPr>
                <w:spacing w:val="-2"/>
              </w:rPr>
              <w:t>千立方米</w:t>
            </w:r>
          </w:p>
        </w:tc>
        <w:tc>
          <w:tcPr>
            <w:tcW w:w="2145" w:type="dxa"/>
            <w:vAlign w:val="top"/>
          </w:tcPr>
          <w:p>
            <w:pPr>
              <w:spacing w:before="94" w:line="187" w:lineRule="auto"/>
              <w:ind w:left="7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74.407</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pStyle w:val="6"/>
              <w:spacing w:before="51" w:line="223" w:lineRule="auto"/>
              <w:ind w:left="313"/>
            </w:pPr>
            <w:r>
              <w:rPr>
                <w14:textOutline w14:w="3831" w14:cap="flat" w14:cmpd="sng">
                  <w14:solidFill>
                    <w14:srgbClr w14:val="000000"/>
                  </w14:solidFill>
                  <w14:prstDash w14:val="solid"/>
                  <w14:miter w14:val="0"/>
                </w14:textOutline>
              </w:rPr>
              <w:t>四</w:t>
            </w:r>
          </w:p>
        </w:tc>
        <w:tc>
          <w:tcPr>
            <w:tcW w:w="3102" w:type="dxa"/>
            <w:vAlign w:val="top"/>
          </w:tcPr>
          <w:p>
            <w:pPr>
              <w:pStyle w:val="6"/>
              <w:spacing w:before="50" w:line="221" w:lineRule="auto"/>
              <w:ind w:left="1133"/>
            </w:pPr>
            <w:r>
              <w:rPr>
                <w:spacing w:val="-1"/>
                <w14:textOutline w14:w="3831" w14:cap="flat" w14:cmpd="sng">
                  <w14:solidFill>
                    <w14:srgbClr w14:val="000000"/>
                  </w14:solidFill>
                  <w14:prstDash w14:val="solid"/>
                  <w14:miter w14:val="0"/>
                </w14:textOutline>
              </w:rPr>
              <w:t>桥梁涵洞</w:t>
            </w:r>
          </w:p>
        </w:tc>
        <w:tc>
          <w:tcPr>
            <w:tcW w:w="1370" w:type="dxa"/>
            <w:vAlign w:val="top"/>
          </w:tcPr>
          <w:p>
            <w:pPr>
              <w:rPr>
                <w:rFonts w:ascii="Arial"/>
                <w:sz w:val="21"/>
              </w:rPr>
            </w:pPr>
          </w:p>
        </w:tc>
        <w:tc>
          <w:tcPr>
            <w:tcW w:w="2145" w:type="dxa"/>
            <w:vAlign w:val="top"/>
          </w:tcPr>
          <w:p>
            <w:pPr>
              <w:rPr>
                <w:rFonts w:ascii="Arial"/>
                <w:sz w:val="21"/>
              </w:rPr>
            </w:pP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spacing w:before="90"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3102" w:type="dxa"/>
            <w:vAlign w:val="top"/>
          </w:tcPr>
          <w:p>
            <w:pPr>
              <w:pStyle w:val="6"/>
              <w:spacing w:before="51" w:line="221" w:lineRule="auto"/>
              <w:ind w:left="1133"/>
            </w:pPr>
            <w:r>
              <w:rPr>
                <w:spacing w:val="-2"/>
              </w:rPr>
              <w:t>桥面净宽</w:t>
            </w:r>
          </w:p>
        </w:tc>
        <w:tc>
          <w:tcPr>
            <w:tcW w:w="1370" w:type="dxa"/>
            <w:vAlign w:val="top"/>
          </w:tcPr>
          <w:p>
            <w:pPr>
              <w:pStyle w:val="6"/>
              <w:spacing w:before="51" w:line="221" w:lineRule="auto"/>
              <w:ind w:left="446"/>
            </w:pPr>
            <w:r>
              <w:rPr>
                <w:spacing w:val="-1"/>
              </w:rPr>
              <w:t>净</w:t>
            </w:r>
            <w:r>
              <w:rPr>
                <w:rFonts w:ascii="Times New Roman" w:hAnsi="Times New Roman" w:eastAsia="Times New Roman" w:cs="Times New Roman"/>
                <w:spacing w:val="-1"/>
              </w:rPr>
              <w:t>-</w:t>
            </w:r>
            <w:r>
              <w:rPr>
                <w:spacing w:val="-1"/>
              </w:rPr>
              <w:t>米</w:t>
            </w:r>
          </w:p>
        </w:tc>
        <w:tc>
          <w:tcPr>
            <w:tcW w:w="2145" w:type="dxa"/>
            <w:vAlign w:val="top"/>
          </w:tcPr>
          <w:p>
            <w:pPr>
              <w:spacing w:before="90" w:line="187" w:lineRule="auto"/>
              <w:ind w:left="1023"/>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87" w:type="dxa"/>
            <w:vAlign w:val="top"/>
          </w:tcPr>
          <w:p>
            <w:pPr>
              <w:spacing w:before="93"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3102" w:type="dxa"/>
            <w:vAlign w:val="top"/>
          </w:tcPr>
          <w:p>
            <w:pPr>
              <w:pStyle w:val="6"/>
              <w:spacing w:before="54" w:line="221" w:lineRule="auto"/>
              <w:ind w:left="1133"/>
            </w:pPr>
            <w:r>
              <w:rPr>
                <w:spacing w:val="-2"/>
              </w:rPr>
              <w:t>桥梁总长</w:t>
            </w:r>
          </w:p>
        </w:tc>
        <w:tc>
          <w:tcPr>
            <w:tcW w:w="1370" w:type="dxa"/>
            <w:vAlign w:val="top"/>
          </w:tcPr>
          <w:p>
            <w:pPr>
              <w:pStyle w:val="6"/>
              <w:spacing w:before="54" w:line="224" w:lineRule="auto"/>
              <w:ind w:left="451"/>
            </w:pPr>
            <w:r>
              <w:rPr>
                <w:spacing w:val="-3"/>
              </w:rPr>
              <w:t>米</w:t>
            </w:r>
            <w:r>
              <w:rPr>
                <w:rFonts w:ascii="Times New Roman" w:hAnsi="Times New Roman" w:eastAsia="Times New Roman" w:cs="Times New Roman"/>
                <w:spacing w:val="-3"/>
              </w:rPr>
              <w:t>/</w:t>
            </w:r>
            <w:r>
              <w:rPr>
                <w:spacing w:val="-3"/>
              </w:rPr>
              <w:t>座</w:t>
            </w:r>
          </w:p>
        </w:tc>
        <w:tc>
          <w:tcPr>
            <w:tcW w:w="2145" w:type="dxa"/>
            <w:vAlign w:val="top"/>
          </w:tcPr>
          <w:p>
            <w:pPr>
              <w:spacing w:before="89" w:line="191" w:lineRule="auto"/>
              <w:ind w:left="84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516/1</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rPr>
                <w:rFonts w:ascii="Arial"/>
                <w:sz w:val="21"/>
              </w:rPr>
            </w:pPr>
          </w:p>
        </w:tc>
        <w:tc>
          <w:tcPr>
            <w:tcW w:w="3102" w:type="dxa"/>
            <w:vAlign w:val="top"/>
          </w:tcPr>
          <w:p>
            <w:pPr>
              <w:pStyle w:val="6"/>
              <w:spacing w:before="52" w:line="221" w:lineRule="auto"/>
              <w:ind w:left="1087"/>
            </w:pPr>
            <w:r>
              <w:rPr>
                <w:spacing w:val="-3"/>
              </w:rPr>
              <w:t>（</w:t>
            </w:r>
            <w:r>
              <w:rPr>
                <w:rFonts w:ascii="Times New Roman" w:hAnsi="Times New Roman" w:eastAsia="Times New Roman" w:cs="Times New Roman"/>
                <w:spacing w:val="-3"/>
              </w:rPr>
              <w:t>1</w:t>
            </w:r>
            <w:r>
              <w:rPr>
                <w:spacing w:val="-3"/>
              </w:rPr>
              <w:t>）大桥</w:t>
            </w:r>
          </w:p>
        </w:tc>
        <w:tc>
          <w:tcPr>
            <w:tcW w:w="1370" w:type="dxa"/>
            <w:vAlign w:val="top"/>
          </w:tcPr>
          <w:p>
            <w:pPr>
              <w:pStyle w:val="6"/>
              <w:spacing w:before="52" w:line="223" w:lineRule="auto"/>
              <w:ind w:left="451"/>
            </w:pPr>
            <w:r>
              <w:rPr>
                <w:spacing w:val="-3"/>
              </w:rPr>
              <w:t>米</w:t>
            </w:r>
            <w:r>
              <w:rPr>
                <w:rFonts w:ascii="Times New Roman" w:hAnsi="Times New Roman" w:eastAsia="Times New Roman" w:cs="Times New Roman"/>
                <w:spacing w:val="-3"/>
              </w:rPr>
              <w:t>/</w:t>
            </w:r>
            <w:r>
              <w:rPr>
                <w:spacing w:val="-3"/>
              </w:rPr>
              <w:t>座</w:t>
            </w:r>
          </w:p>
        </w:tc>
        <w:tc>
          <w:tcPr>
            <w:tcW w:w="2145" w:type="dxa"/>
            <w:vAlign w:val="top"/>
          </w:tcPr>
          <w:p>
            <w:pPr>
              <w:spacing w:before="86" w:line="191" w:lineRule="auto"/>
              <w:ind w:left="84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516/1</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spacing w:before="91"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3102" w:type="dxa"/>
            <w:vAlign w:val="top"/>
          </w:tcPr>
          <w:p>
            <w:pPr>
              <w:pStyle w:val="6"/>
              <w:spacing w:before="52" w:line="222" w:lineRule="auto"/>
              <w:ind w:left="925"/>
            </w:pPr>
            <w:r>
              <w:rPr>
                <w:spacing w:val="-1"/>
              </w:rPr>
              <w:t>涵洞（通道）</w:t>
            </w:r>
          </w:p>
        </w:tc>
        <w:tc>
          <w:tcPr>
            <w:tcW w:w="1370" w:type="dxa"/>
            <w:vAlign w:val="top"/>
          </w:tcPr>
          <w:p>
            <w:pPr>
              <w:pStyle w:val="6"/>
              <w:spacing w:before="52" w:line="223" w:lineRule="auto"/>
              <w:ind w:left="583"/>
            </w:pPr>
            <w:r>
              <w:t>道</w:t>
            </w:r>
          </w:p>
        </w:tc>
        <w:tc>
          <w:tcPr>
            <w:tcW w:w="2145" w:type="dxa"/>
            <w:vAlign w:val="top"/>
          </w:tcPr>
          <w:p>
            <w:pPr>
              <w:spacing w:before="91" w:line="187" w:lineRule="auto"/>
              <w:ind w:left="9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spacing w:before="92"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3102" w:type="dxa"/>
            <w:vAlign w:val="top"/>
          </w:tcPr>
          <w:p>
            <w:pPr>
              <w:pStyle w:val="6"/>
              <w:spacing w:before="53" w:line="221" w:lineRule="auto"/>
              <w:ind w:left="1349"/>
            </w:pPr>
            <w:r>
              <w:rPr>
                <w:spacing w:val="-3"/>
              </w:rPr>
              <w:t>天桥</w:t>
            </w:r>
          </w:p>
        </w:tc>
        <w:tc>
          <w:tcPr>
            <w:tcW w:w="1370" w:type="dxa"/>
            <w:vAlign w:val="top"/>
          </w:tcPr>
          <w:p>
            <w:pPr>
              <w:pStyle w:val="6"/>
              <w:spacing w:before="53" w:line="222" w:lineRule="auto"/>
              <w:ind w:left="451"/>
            </w:pPr>
            <w:r>
              <w:rPr>
                <w:spacing w:val="-3"/>
              </w:rPr>
              <w:t>米</w:t>
            </w:r>
            <w:r>
              <w:rPr>
                <w:rFonts w:ascii="Times New Roman" w:hAnsi="Times New Roman" w:eastAsia="Times New Roman" w:cs="Times New Roman"/>
                <w:spacing w:val="-3"/>
              </w:rPr>
              <w:t>/</w:t>
            </w:r>
            <w:r>
              <w:rPr>
                <w:spacing w:val="-3"/>
              </w:rPr>
              <w:t>座</w:t>
            </w:r>
          </w:p>
        </w:tc>
        <w:tc>
          <w:tcPr>
            <w:tcW w:w="2145" w:type="dxa"/>
            <w:vAlign w:val="top"/>
          </w:tcPr>
          <w:p>
            <w:pPr>
              <w:spacing w:before="87" w:line="191" w:lineRule="auto"/>
              <w:ind w:left="7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35.96/1</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pStyle w:val="6"/>
              <w:spacing w:before="53" w:line="222" w:lineRule="auto"/>
              <w:ind w:left="297"/>
            </w:pPr>
            <w:r>
              <w:rPr>
                <w14:textOutline w14:w="3831" w14:cap="flat" w14:cmpd="sng">
                  <w14:solidFill>
                    <w14:srgbClr w14:val="000000"/>
                  </w14:solidFill>
                  <w14:prstDash w14:val="solid"/>
                  <w14:miter w14:val="0"/>
                </w14:textOutline>
              </w:rPr>
              <w:t>五</w:t>
            </w:r>
          </w:p>
        </w:tc>
        <w:tc>
          <w:tcPr>
            <w:tcW w:w="3102" w:type="dxa"/>
            <w:vAlign w:val="top"/>
          </w:tcPr>
          <w:p>
            <w:pPr>
              <w:pStyle w:val="6"/>
              <w:spacing w:before="53" w:line="222" w:lineRule="auto"/>
              <w:ind w:left="1353"/>
            </w:pPr>
            <w:r>
              <w:rPr>
                <w:spacing w:val="-5"/>
                <w14:textOutline w14:w="3831" w14:cap="flat" w14:cmpd="sng">
                  <w14:solidFill>
                    <w14:srgbClr w14:val="000000"/>
                  </w14:solidFill>
                  <w14:prstDash w14:val="solid"/>
                  <w14:miter w14:val="0"/>
                </w14:textOutline>
              </w:rPr>
              <w:t>隧道</w:t>
            </w:r>
          </w:p>
        </w:tc>
        <w:tc>
          <w:tcPr>
            <w:tcW w:w="1370" w:type="dxa"/>
            <w:vAlign w:val="top"/>
          </w:tcPr>
          <w:p>
            <w:pPr>
              <w:rPr>
                <w:rFonts w:ascii="Arial"/>
                <w:sz w:val="21"/>
              </w:rPr>
            </w:pPr>
          </w:p>
        </w:tc>
        <w:tc>
          <w:tcPr>
            <w:tcW w:w="2145" w:type="dxa"/>
            <w:vAlign w:val="top"/>
          </w:tcPr>
          <w:p>
            <w:pPr>
              <w:rPr>
                <w:rFonts w:ascii="Arial"/>
                <w:sz w:val="21"/>
              </w:rPr>
            </w:pP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spacing w:before="93"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3102" w:type="dxa"/>
            <w:vAlign w:val="top"/>
          </w:tcPr>
          <w:p>
            <w:pPr>
              <w:pStyle w:val="6"/>
              <w:spacing w:before="54" w:line="221" w:lineRule="auto"/>
              <w:ind w:left="1356"/>
            </w:pPr>
            <w:r>
              <w:rPr>
                <w:spacing w:val="-5"/>
              </w:rPr>
              <w:t>隧道</w:t>
            </w:r>
          </w:p>
        </w:tc>
        <w:tc>
          <w:tcPr>
            <w:tcW w:w="1370" w:type="dxa"/>
            <w:vAlign w:val="top"/>
          </w:tcPr>
          <w:p>
            <w:pPr>
              <w:pStyle w:val="6"/>
              <w:spacing w:before="54" w:line="221" w:lineRule="auto"/>
              <w:ind w:left="467"/>
            </w:pPr>
            <w:r>
              <w:rPr>
                <w:rFonts w:ascii="Times New Roman" w:hAnsi="Times New Roman" w:eastAsia="Times New Roman" w:cs="Times New Roman"/>
                <w:spacing w:val="-1"/>
              </w:rPr>
              <w:t>m/</w:t>
            </w:r>
            <w:r>
              <w:rPr>
                <w:spacing w:val="-1"/>
              </w:rPr>
              <w:t>座</w:t>
            </w:r>
          </w:p>
        </w:tc>
        <w:tc>
          <w:tcPr>
            <w:tcW w:w="2145" w:type="dxa"/>
            <w:vAlign w:val="top"/>
          </w:tcPr>
          <w:p>
            <w:pPr>
              <w:spacing w:before="89" w:line="191" w:lineRule="auto"/>
              <w:ind w:left="7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2163/2</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87" w:type="dxa"/>
            <w:vAlign w:val="top"/>
          </w:tcPr>
          <w:p>
            <w:pPr>
              <w:pStyle w:val="6"/>
              <w:spacing w:before="57" w:line="221" w:lineRule="auto"/>
              <w:ind w:left="295"/>
            </w:pPr>
            <w:r>
              <w:rPr>
                <w14:textOutline w14:w="3831" w14:cap="flat" w14:cmpd="sng">
                  <w14:solidFill>
                    <w14:srgbClr w14:val="000000"/>
                  </w14:solidFill>
                  <w14:prstDash w14:val="solid"/>
                  <w14:miter w14:val="0"/>
                </w14:textOutline>
              </w:rPr>
              <w:t>六</w:t>
            </w:r>
          </w:p>
        </w:tc>
        <w:tc>
          <w:tcPr>
            <w:tcW w:w="3102" w:type="dxa"/>
            <w:vAlign w:val="top"/>
          </w:tcPr>
          <w:p>
            <w:pPr>
              <w:pStyle w:val="6"/>
              <w:spacing w:before="57" w:line="221" w:lineRule="auto"/>
              <w:ind w:left="1135"/>
            </w:pPr>
            <w:r>
              <w:rPr>
                <w:spacing w:val="-1"/>
                <w14:textOutline w14:w="3831" w14:cap="flat" w14:cmpd="sng">
                  <w14:solidFill>
                    <w14:srgbClr w14:val="000000"/>
                  </w14:solidFill>
                  <w14:prstDash w14:val="solid"/>
                  <w14:miter w14:val="0"/>
                </w14:textOutline>
              </w:rPr>
              <w:t>路线交叉</w:t>
            </w:r>
          </w:p>
        </w:tc>
        <w:tc>
          <w:tcPr>
            <w:tcW w:w="1370" w:type="dxa"/>
            <w:vAlign w:val="top"/>
          </w:tcPr>
          <w:p>
            <w:pPr>
              <w:rPr>
                <w:rFonts w:ascii="Arial"/>
                <w:sz w:val="21"/>
              </w:rPr>
            </w:pPr>
          </w:p>
        </w:tc>
        <w:tc>
          <w:tcPr>
            <w:tcW w:w="2145" w:type="dxa"/>
            <w:vAlign w:val="top"/>
          </w:tcPr>
          <w:p>
            <w:pPr>
              <w:rPr>
                <w:rFonts w:ascii="Arial"/>
                <w:sz w:val="21"/>
              </w:rPr>
            </w:pP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87" w:type="dxa"/>
            <w:vAlign w:val="top"/>
          </w:tcPr>
          <w:p>
            <w:pPr>
              <w:spacing w:before="93"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3102" w:type="dxa"/>
            <w:vAlign w:val="top"/>
          </w:tcPr>
          <w:p>
            <w:pPr>
              <w:pStyle w:val="6"/>
              <w:spacing w:before="55" w:line="221" w:lineRule="auto"/>
              <w:ind w:left="1239"/>
            </w:pPr>
            <w:r>
              <w:rPr>
                <w:spacing w:val="-1"/>
              </w:rPr>
              <w:t>平交口</w:t>
            </w:r>
          </w:p>
        </w:tc>
        <w:tc>
          <w:tcPr>
            <w:tcW w:w="1370" w:type="dxa"/>
            <w:vAlign w:val="top"/>
          </w:tcPr>
          <w:p>
            <w:pPr>
              <w:pStyle w:val="6"/>
              <w:spacing w:before="55" w:line="221" w:lineRule="auto"/>
              <w:ind w:left="588"/>
            </w:pPr>
            <w:r>
              <w:t>处</w:t>
            </w:r>
          </w:p>
        </w:tc>
        <w:tc>
          <w:tcPr>
            <w:tcW w:w="2145" w:type="dxa"/>
            <w:vAlign w:val="top"/>
          </w:tcPr>
          <w:p>
            <w:pPr>
              <w:spacing w:before="96" w:line="184" w:lineRule="auto"/>
              <w:ind w:left="102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vAlign w:val="top"/>
          </w:tcPr>
          <w:p>
            <w:pPr>
              <w:pStyle w:val="6"/>
              <w:spacing w:before="55" w:line="220" w:lineRule="auto"/>
              <w:ind w:left="292"/>
            </w:pPr>
            <w:r>
              <w:rPr>
                <w14:textOutline w14:w="3831" w14:cap="flat" w14:cmpd="sng">
                  <w14:solidFill>
                    <w14:srgbClr w14:val="000000"/>
                  </w14:solidFill>
                  <w14:prstDash w14:val="solid"/>
                  <w14:miter w14:val="0"/>
                </w14:textOutline>
              </w:rPr>
              <w:t>七</w:t>
            </w:r>
          </w:p>
        </w:tc>
        <w:tc>
          <w:tcPr>
            <w:tcW w:w="3102" w:type="dxa"/>
            <w:vAlign w:val="top"/>
          </w:tcPr>
          <w:p>
            <w:pPr>
              <w:pStyle w:val="6"/>
              <w:spacing w:before="55" w:line="220" w:lineRule="auto"/>
              <w:ind w:left="609"/>
            </w:pPr>
            <w:r>
              <w:rPr>
                <w:spacing w:val="-1"/>
                <w14:textOutline w14:w="3831" w14:cap="flat" w14:cmpd="sng">
                  <w14:solidFill>
                    <w14:srgbClr w14:val="000000"/>
                  </w14:solidFill>
                  <w14:prstDash w14:val="solid"/>
                  <w14:miter w14:val="0"/>
                </w14:textOutline>
              </w:rPr>
              <w:t>交通工程及沿线设施</w:t>
            </w:r>
          </w:p>
        </w:tc>
        <w:tc>
          <w:tcPr>
            <w:tcW w:w="1370" w:type="dxa"/>
            <w:vAlign w:val="top"/>
          </w:tcPr>
          <w:p>
            <w:pPr>
              <w:rPr>
                <w:rFonts w:ascii="Arial"/>
                <w:sz w:val="21"/>
              </w:rPr>
            </w:pPr>
          </w:p>
        </w:tc>
        <w:tc>
          <w:tcPr>
            <w:tcW w:w="2145" w:type="dxa"/>
            <w:vAlign w:val="top"/>
          </w:tcPr>
          <w:p>
            <w:pPr>
              <w:rPr>
                <w:rFonts w:ascii="Arial"/>
                <w:sz w:val="21"/>
              </w:rPr>
            </w:pPr>
          </w:p>
        </w:tc>
        <w:tc>
          <w:tcPr>
            <w:tcW w:w="1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87" w:type="dxa"/>
            <w:vAlign w:val="top"/>
          </w:tcPr>
          <w:p>
            <w:pPr>
              <w:spacing w:before="94"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3102" w:type="dxa"/>
            <w:vAlign w:val="top"/>
          </w:tcPr>
          <w:p>
            <w:pPr>
              <w:pStyle w:val="6"/>
              <w:spacing w:before="56" w:line="222" w:lineRule="auto"/>
              <w:ind w:left="1137"/>
            </w:pPr>
            <w:r>
              <w:rPr>
                <w:spacing w:val="-3"/>
              </w:rPr>
              <w:t>安全设施</w:t>
            </w:r>
          </w:p>
        </w:tc>
        <w:tc>
          <w:tcPr>
            <w:tcW w:w="1370" w:type="dxa"/>
            <w:vAlign w:val="top"/>
          </w:tcPr>
          <w:p>
            <w:pPr>
              <w:pStyle w:val="6"/>
              <w:spacing w:before="56" w:line="223" w:lineRule="auto"/>
              <w:ind w:left="487"/>
            </w:pPr>
            <w:r>
              <w:rPr>
                <w:spacing w:val="-4"/>
              </w:rPr>
              <w:t>公里</w:t>
            </w:r>
          </w:p>
        </w:tc>
        <w:tc>
          <w:tcPr>
            <w:tcW w:w="2145" w:type="dxa"/>
            <w:vAlign w:val="top"/>
          </w:tcPr>
          <w:p>
            <w:pPr>
              <w:spacing w:before="94" w:line="187" w:lineRule="auto"/>
              <w:ind w:left="8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8.244</w:t>
            </w:r>
          </w:p>
        </w:tc>
        <w:tc>
          <w:tcPr>
            <w:tcW w:w="1417" w:type="dxa"/>
            <w:vAlign w:val="top"/>
          </w:tcPr>
          <w:p>
            <w:pPr>
              <w:rPr>
                <w:rFonts w:ascii="Arial"/>
                <w:sz w:val="21"/>
              </w:rPr>
            </w:pPr>
          </w:p>
        </w:tc>
      </w:tr>
    </w:tbl>
    <w:p>
      <w:pPr>
        <w:spacing w:before="155" w:line="220" w:lineRule="auto"/>
        <w:ind w:left="263"/>
        <w:outlineLvl w:val="0"/>
        <w:rPr>
          <w:rFonts w:ascii="宋体" w:hAnsi="宋体" w:eastAsia="宋体" w:cs="宋体"/>
          <w:sz w:val="24"/>
          <w:szCs w:val="24"/>
        </w:rPr>
      </w:pPr>
      <w:bookmarkStart w:id="15" w:name="bookmark16"/>
      <w:bookmarkEnd w:id="15"/>
      <w:r>
        <w:rPr>
          <w:rFonts w:ascii="Times New Roman" w:hAnsi="Times New Roman" w:eastAsia="Times New Roman" w:cs="Times New Roman"/>
          <w:b/>
          <w:bCs/>
          <w:sz w:val="24"/>
          <w:szCs w:val="24"/>
        </w:rPr>
        <w:t xml:space="preserve">3.2  </w:t>
      </w:r>
      <w:r>
        <w:rPr>
          <w:rFonts w:ascii="宋体" w:hAnsi="宋体" w:eastAsia="宋体" w:cs="宋体"/>
          <w:sz w:val="24"/>
          <w:szCs w:val="24"/>
          <w14:textOutline w14:w="4354" w14:cap="flat" w14:cmpd="sng">
            <w14:solidFill>
              <w14:srgbClr w14:val="000000"/>
            </w14:solidFill>
            <w14:prstDash w14:val="solid"/>
            <w14:miter w14:val="0"/>
          </w14:textOutline>
        </w:rPr>
        <w:t>主要工程内容</w:t>
      </w:r>
    </w:p>
    <w:p>
      <w:pPr>
        <w:spacing w:before="182" w:line="220" w:lineRule="auto"/>
        <w:ind w:left="263"/>
        <w:outlineLvl w:val="0"/>
        <w:rPr>
          <w:rFonts w:ascii="宋体" w:hAnsi="宋体" w:eastAsia="宋体" w:cs="宋体"/>
          <w:sz w:val="24"/>
          <w:szCs w:val="24"/>
        </w:rPr>
      </w:pPr>
      <w:r>
        <w:rPr>
          <w:rFonts w:ascii="Times New Roman" w:hAnsi="Times New Roman" w:eastAsia="Times New Roman" w:cs="Times New Roman"/>
          <w:b/>
          <w:bCs/>
          <w:sz w:val="24"/>
          <w:szCs w:val="24"/>
        </w:rPr>
        <w:t xml:space="preserve">3.2.1  </w:t>
      </w:r>
      <w:r>
        <w:rPr>
          <w:rFonts w:ascii="宋体" w:hAnsi="宋体" w:eastAsia="宋体" w:cs="宋体"/>
          <w:sz w:val="24"/>
          <w:szCs w:val="24"/>
          <w14:textOutline w14:w="4354" w14:cap="flat" w14:cmpd="sng">
            <w14:solidFill>
              <w14:srgbClr w14:val="000000"/>
            </w14:solidFill>
            <w14:prstDash w14:val="solid"/>
            <w14:miter w14:val="0"/>
          </w14:textOutline>
        </w:rPr>
        <w:t>路基工程</w:t>
      </w:r>
    </w:p>
    <w:p>
      <w:pPr>
        <w:spacing w:before="179" w:line="220" w:lineRule="auto"/>
        <w:ind w:left="263"/>
        <w:outlineLvl w:val="0"/>
        <w:rPr>
          <w:rFonts w:ascii="宋体" w:hAnsi="宋体" w:eastAsia="宋体" w:cs="宋体"/>
          <w:sz w:val="24"/>
          <w:szCs w:val="24"/>
        </w:rPr>
      </w:pPr>
      <w:r>
        <w:fldChar w:fldCharType="begin"/>
      </w:r>
      <w:r>
        <w:instrText xml:space="preserve"> HYPERLINK "3.2.1.1" </w:instrText>
      </w:r>
      <w:r>
        <w:fldChar w:fldCharType="separate"/>
      </w:r>
      <w:r>
        <w:rPr>
          <w:rFonts w:ascii="Times New Roman" w:hAnsi="Times New Roman" w:eastAsia="Times New Roman" w:cs="Times New Roman"/>
          <w:b/>
          <w:bCs/>
          <w:sz w:val="24"/>
          <w:szCs w:val="24"/>
        </w:rPr>
        <w:t>3.2.1.1</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一般路基设计</w:t>
      </w:r>
    </w:p>
    <w:p>
      <w:pPr>
        <w:spacing w:before="182" w:line="219" w:lineRule="auto"/>
        <w:ind w:left="767"/>
        <w:rPr>
          <w:rFonts w:ascii="宋体" w:hAnsi="宋体" w:eastAsia="宋体" w:cs="宋体"/>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、路基横断面布置</w:t>
      </w:r>
    </w:p>
    <w:p>
      <w:pPr>
        <w:spacing w:before="181" w:line="360" w:lineRule="auto"/>
        <w:ind w:left="272" w:right="192" w:firstLine="477"/>
        <w:rPr>
          <w:rFonts w:ascii="宋体" w:hAnsi="宋体" w:eastAsia="宋体" w:cs="宋体"/>
          <w:sz w:val="24"/>
          <w:szCs w:val="24"/>
        </w:rPr>
      </w:pPr>
      <w:r>
        <w:rPr>
          <w:rFonts w:ascii="宋体" w:hAnsi="宋体" w:eastAsia="宋体" w:cs="宋体"/>
          <w:spacing w:val="-2"/>
          <w:sz w:val="24"/>
          <w:szCs w:val="24"/>
        </w:rPr>
        <w:t>本项目采用交通部颁发的《公路工程技术标准</w:t>
      </w:r>
      <w:r>
        <w:rPr>
          <w:rFonts w:ascii="宋体" w:hAnsi="宋体" w:eastAsia="宋体" w:cs="宋体"/>
          <w:spacing w:val="-3"/>
          <w:sz w:val="24"/>
          <w:szCs w:val="24"/>
        </w:rPr>
        <w:t>》（</w:t>
      </w:r>
      <w:r>
        <w:rPr>
          <w:rFonts w:ascii="Times New Roman" w:hAnsi="Times New Roman" w:eastAsia="Times New Roman" w:cs="Times New Roman"/>
          <w:spacing w:val="-3"/>
          <w:sz w:val="24"/>
          <w:szCs w:val="24"/>
        </w:rPr>
        <w:t>JTG B01-2014</w:t>
      </w:r>
      <w:r>
        <w:rPr>
          <w:rFonts w:ascii="宋体" w:hAnsi="宋体" w:eastAsia="宋体" w:cs="宋体"/>
          <w:spacing w:val="-3"/>
          <w:sz w:val="24"/>
          <w:szCs w:val="24"/>
        </w:rPr>
        <w:t>）双车道二</w:t>
      </w:r>
      <w:r>
        <w:rPr>
          <w:rFonts w:ascii="宋体" w:hAnsi="宋体" w:eastAsia="宋体" w:cs="宋体"/>
          <w:sz w:val="24"/>
          <w:szCs w:val="24"/>
        </w:rPr>
        <w:t xml:space="preserve"> </w:t>
      </w:r>
      <w:r>
        <w:rPr>
          <w:rFonts w:ascii="宋体" w:hAnsi="宋体" w:eastAsia="宋体" w:cs="宋体"/>
          <w:spacing w:val="-5"/>
          <w:sz w:val="24"/>
          <w:szCs w:val="24"/>
        </w:rPr>
        <w:t>级公路标准建设。设计速度</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60km/h</w:t>
      </w:r>
      <w:r>
        <w:rPr>
          <w:rFonts w:ascii="宋体" w:hAnsi="宋体" w:eastAsia="宋体" w:cs="宋体"/>
          <w:spacing w:val="-5"/>
          <w:sz w:val="24"/>
          <w:szCs w:val="24"/>
        </w:rPr>
        <w:t>（局部困难路段采用</w:t>
      </w:r>
      <w:r>
        <w:rPr>
          <w:rFonts w:ascii="宋体" w:hAnsi="宋体" w:eastAsia="宋体" w:cs="宋体"/>
          <w:spacing w:val="-27"/>
          <w:sz w:val="24"/>
          <w:szCs w:val="24"/>
        </w:rPr>
        <w:t xml:space="preserve"> </w:t>
      </w:r>
      <w:r>
        <w:rPr>
          <w:rFonts w:ascii="Times New Roman" w:hAnsi="Times New Roman" w:eastAsia="Times New Roman" w:cs="Times New Roman"/>
          <w:spacing w:val="-5"/>
          <w:sz w:val="24"/>
          <w:szCs w:val="24"/>
        </w:rPr>
        <w:t>40km/h</w:t>
      </w:r>
      <w:r>
        <w:rPr>
          <w:rFonts w:ascii="宋体" w:hAnsi="宋体" w:eastAsia="宋体" w:cs="宋体"/>
          <w:spacing w:val="-18"/>
          <w:sz w:val="24"/>
          <w:szCs w:val="24"/>
        </w:rPr>
        <w:t>），</w:t>
      </w:r>
      <w:r>
        <w:rPr>
          <w:rFonts w:ascii="宋体" w:hAnsi="宋体" w:eastAsia="宋体" w:cs="宋体"/>
          <w:spacing w:val="-5"/>
          <w:sz w:val="24"/>
          <w:szCs w:val="24"/>
        </w:rPr>
        <w:t>双向双车道，</w:t>
      </w:r>
    </w:p>
    <w:p>
      <w:pPr>
        <w:spacing w:line="188" w:lineRule="auto"/>
        <w:ind w:left="270"/>
        <w:rPr>
          <w:rFonts w:ascii="微软雅黑" w:hAnsi="微软雅黑" w:eastAsia="微软雅黑" w:cs="微软雅黑"/>
          <w:sz w:val="24"/>
          <w:szCs w:val="24"/>
        </w:rPr>
      </w:pPr>
      <w:r>
        <w:rPr>
          <w:rFonts w:ascii="宋体" w:hAnsi="宋体" w:eastAsia="宋体" w:cs="宋体"/>
          <w:spacing w:val="-2"/>
          <w:sz w:val="24"/>
          <w:szCs w:val="24"/>
        </w:rPr>
        <w:t>路基宽度采用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米。路基标准断面示意图见图</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1~3.2-3</w:t>
      </w:r>
      <w:r>
        <w:rPr>
          <w:rFonts w:ascii="微软雅黑" w:hAnsi="微软雅黑" w:eastAsia="微软雅黑" w:cs="微软雅黑"/>
          <w:spacing w:val="-3"/>
          <w:sz w:val="24"/>
          <w:szCs w:val="24"/>
        </w:rPr>
        <w:t>。</w:t>
      </w:r>
    </w:p>
    <w:p>
      <w:pPr>
        <w:spacing w:before="173" w:line="220" w:lineRule="auto"/>
        <w:ind w:left="75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）连接线路基标准横断面（挖方路段</w:t>
      </w:r>
      <w:r>
        <w:rPr>
          <w:rFonts w:ascii="宋体" w:hAnsi="宋体" w:eastAsia="宋体" w:cs="宋体"/>
          <w:spacing w:val="1"/>
          <w:sz w:val="24"/>
          <w:szCs w:val="24"/>
        </w:rPr>
        <w:t>），</w:t>
      </w:r>
      <w:r>
        <w:rPr>
          <w:rFonts w:ascii="宋体" w:hAnsi="宋体" w:eastAsia="宋体" w:cs="宋体"/>
          <w:spacing w:val="-3"/>
          <w:sz w:val="24"/>
          <w:szCs w:val="24"/>
        </w:rPr>
        <w:t>见图</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3.2-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before="181" w:line="468" w:lineRule="exact"/>
        <w:ind w:left="757"/>
        <w:rPr>
          <w:rFonts w:ascii="宋体" w:hAnsi="宋体" w:eastAsia="宋体" w:cs="宋体"/>
          <w:sz w:val="24"/>
          <w:szCs w:val="24"/>
        </w:rPr>
      </w:pPr>
      <w:r>
        <w:rPr>
          <w:rFonts w:ascii="宋体" w:hAnsi="宋体" w:eastAsia="宋体" w:cs="宋体"/>
          <w:spacing w:val="-4"/>
          <w:position w:val="17"/>
          <w:sz w:val="24"/>
          <w:szCs w:val="24"/>
        </w:rPr>
        <w:t>断面布置标准为：</w:t>
      </w:r>
      <w:r>
        <w:rPr>
          <w:rFonts w:ascii="宋体" w:hAnsi="宋体" w:eastAsia="宋体" w:cs="宋体"/>
          <w:spacing w:val="31"/>
          <w:position w:val="17"/>
          <w:sz w:val="24"/>
          <w:szCs w:val="24"/>
        </w:rPr>
        <w:t xml:space="preserve"> </w:t>
      </w:r>
      <w:r>
        <w:rPr>
          <w:rFonts w:ascii="Times New Roman" w:hAnsi="Times New Roman" w:eastAsia="Times New Roman" w:cs="Times New Roman"/>
          <w:spacing w:val="-4"/>
          <w:position w:val="17"/>
          <w:sz w:val="24"/>
          <w:szCs w:val="24"/>
        </w:rPr>
        <w:t xml:space="preserve">0.75m </w:t>
      </w:r>
      <w:r>
        <w:rPr>
          <w:rFonts w:ascii="宋体" w:hAnsi="宋体" w:eastAsia="宋体" w:cs="宋体"/>
          <w:spacing w:val="-4"/>
          <w:position w:val="17"/>
          <w:sz w:val="24"/>
          <w:szCs w:val="24"/>
        </w:rPr>
        <w:t>左侧土路肩＋</w:t>
      </w:r>
      <w:r>
        <w:rPr>
          <w:rFonts w:ascii="Times New Roman" w:hAnsi="Times New Roman" w:eastAsia="Times New Roman" w:cs="Times New Roman"/>
          <w:spacing w:val="-4"/>
          <w:position w:val="17"/>
          <w:sz w:val="24"/>
          <w:szCs w:val="24"/>
        </w:rPr>
        <w:t>1.5m</w:t>
      </w:r>
      <w:r>
        <w:rPr>
          <w:rFonts w:ascii="Times New Roman" w:hAnsi="Times New Roman" w:eastAsia="Times New Roman" w:cs="Times New Roman"/>
          <w:spacing w:val="14"/>
          <w:position w:val="17"/>
          <w:sz w:val="24"/>
          <w:szCs w:val="24"/>
        </w:rPr>
        <w:t xml:space="preserve"> </w:t>
      </w:r>
      <w:r>
        <w:rPr>
          <w:rFonts w:ascii="宋体" w:hAnsi="宋体" w:eastAsia="宋体" w:cs="宋体"/>
          <w:spacing w:val="-4"/>
          <w:position w:val="17"/>
          <w:sz w:val="24"/>
          <w:szCs w:val="24"/>
        </w:rPr>
        <w:t>左侧硬路肩＋</w:t>
      </w:r>
      <w:r>
        <w:rPr>
          <w:rFonts w:ascii="Times New Roman" w:hAnsi="Times New Roman" w:eastAsia="Times New Roman" w:cs="Times New Roman"/>
          <w:spacing w:val="-4"/>
          <w:position w:val="17"/>
          <w:sz w:val="24"/>
          <w:szCs w:val="24"/>
        </w:rPr>
        <w:t>2×3.50m</w:t>
      </w:r>
      <w:r>
        <w:rPr>
          <w:rFonts w:ascii="Times New Roman" w:hAnsi="Times New Roman" w:eastAsia="Times New Roman" w:cs="Times New Roman"/>
          <w:spacing w:val="16"/>
          <w:w w:val="101"/>
          <w:position w:val="17"/>
          <w:sz w:val="24"/>
          <w:szCs w:val="24"/>
        </w:rPr>
        <w:t xml:space="preserve"> </w:t>
      </w:r>
      <w:r>
        <w:rPr>
          <w:rFonts w:ascii="宋体" w:hAnsi="宋体" w:eastAsia="宋体" w:cs="宋体"/>
          <w:spacing w:val="-5"/>
          <w:position w:val="17"/>
          <w:sz w:val="24"/>
          <w:szCs w:val="24"/>
        </w:rPr>
        <w:t>行车道+</w:t>
      </w:r>
    </w:p>
    <w:p>
      <w:pPr>
        <w:spacing w:line="219" w:lineRule="auto"/>
        <w:ind w:left="287"/>
        <w:rPr>
          <w:rFonts w:ascii="宋体" w:hAnsi="宋体" w:eastAsia="宋体" w:cs="宋体"/>
          <w:sz w:val="24"/>
          <w:szCs w:val="24"/>
        </w:rPr>
      </w:pPr>
      <w:r>
        <w:rPr>
          <w:rFonts w:ascii="Times New Roman" w:hAnsi="Times New Roman" w:eastAsia="Times New Roman" w:cs="Times New Roman"/>
          <w:spacing w:val="-3"/>
          <w:sz w:val="24"/>
          <w:szCs w:val="24"/>
        </w:rPr>
        <w:t xml:space="preserve">1.5m </w:t>
      </w:r>
      <w:r>
        <w:rPr>
          <w:rFonts w:ascii="宋体" w:hAnsi="宋体" w:eastAsia="宋体" w:cs="宋体"/>
          <w:spacing w:val="-3"/>
          <w:sz w:val="24"/>
          <w:szCs w:val="24"/>
        </w:rPr>
        <w:t>右侧硬路肩＋</w:t>
      </w:r>
      <w:r>
        <w:rPr>
          <w:rFonts w:ascii="Times New Roman" w:hAnsi="Times New Roman" w:eastAsia="Times New Roman" w:cs="Times New Roman"/>
          <w:spacing w:val="-3"/>
          <w:sz w:val="24"/>
          <w:szCs w:val="24"/>
        </w:rPr>
        <w:t xml:space="preserve">0.75m </w:t>
      </w:r>
      <w:r>
        <w:rPr>
          <w:rFonts w:ascii="宋体" w:hAnsi="宋体" w:eastAsia="宋体" w:cs="宋体"/>
          <w:spacing w:val="-3"/>
          <w:sz w:val="24"/>
          <w:szCs w:val="24"/>
        </w:rPr>
        <w:t>土路肩。</w:t>
      </w:r>
    </w:p>
    <w:p>
      <w:pPr>
        <w:spacing w:line="219" w:lineRule="auto"/>
        <w:rPr>
          <w:rFonts w:ascii="宋体" w:hAnsi="宋体" w:eastAsia="宋体" w:cs="宋体"/>
          <w:sz w:val="24"/>
          <w:szCs w:val="24"/>
        </w:rPr>
        <w:sectPr>
          <w:pgSz w:w="11907" w:h="16839"/>
          <w:pgMar w:top="1118" w:right="1538" w:bottom="1184" w:left="1541" w:header="879" w:footer="1024" w:gutter="0"/>
          <w:cols w:space="720" w:num="1"/>
        </w:sectPr>
      </w:pPr>
    </w:p>
    <w:p>
      <w:pPr>
        <w:pStyle w:val="2"/>
        <w:spacing w:line="331" w:lineRule="auto"/>
      </w:pPr>
    </w:p>
    <w:p>
      <w:pPr>
        <w:spacing w:line="5280" w:lineRule="exact"/>
        <w:ind w:firstLine="35"/>
      </w:pPr>
      <w:r>
        <w:rPr>
          <w:position w:val="-105"/>
        </w:rPr>
        <w:drawing>
          <wp:inline distT="0" distB="0" distL="0" distR="0">
            <wp:extent cx="5264150" cy="335216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45"/>
                    <a:stretch>
                      <a:fillRect/>
                    </a:stretch>
                  </pic:blipFill>
                  <pic:spPr>
                    <a:xfrm>
                      <a:off x="0" y="0"/>
                      <a:ext cx="5264150" cy="3352799"/>
                    </a:xfrm>
                    <a:prstGeom prst="rect">
                      <a:avLst/>
                    </a:prstGeom>
                  </pic:spPr>
                </pic:pic>
              </a:graphicData>
            </a:graphic>
          </wp:inline>
        </w:drawing>
      </w:r>
    </w:p>
    <w:p>
      <w:pPr>
        <w:spacing w:before="49" w:line="511" w:lineRule="exact"/>
        <w:ind w:left="1835"/>
        <w:rPr>
          <w:rFonts w:ascii="宋体" w:hAnsi="宋体" w:eastAsia="宋体" w:cs="宋体"/>
          <w:sz w:val="24"/>
          <w:szCs w:val="24"/>
        </w:rPr>
      </w:pPr>
      <w:r>
        <w:rPr>
          <w:rFonts w:ascii="宋体" w:hAnsi="宋体" w:eastAsia="宋体" w:cs="宋体"/>
          <w:spacing w:val="-4"/>
          <w:position w:val="20"/>
          <w:sz w:val="24"/>
          <w:szCs w:val="24"/>
        </w:rPr>
        <w:t>图</w:t>
      </w:r>
      <w:r>
        <w:rPr>
          <w:rFonts w:ascii="宋体" w:hAnsi="宋体" w:eastAsia="宋体" w:cs="宋体"/>
          <w:spacing w:val="-41"/>
          <w:position w:val="20"/>
          <w:sz w:val="24"/>
          <w:szCs w:val="24"/>
        </w:rPr>
        <w:t xml:space="preserve"> </w:t>
      </w:r>
      <w:r>
        <w:rPr>
          <w:rFonts w:ascii="Times New Roman" w:hAnsi="Times New Roman" w:eastAsia="Times New Roman" w:cs="Times New Roman"/>
          <w:spacing w:val="-4"/>
          <w:position w:val="20"/>
          <w:sz w:val="24"/>
          <w:szCs w:val="24"/>
        </w:rPr>
        <w:t>3.2-</w:t>
      </w:r>
      <w:r>
        <w:rPr>
          <w:rFonts w:ascii="Times New Roman" w:hAnsi="Times New Roman" w:eastAsia="Times New Roman" w:cs="Times New Roman"/>
          <w:spacing w:val="-32"/>
          <w:position w:val="20"/>
          <w:sz w:val="24"/>
          <w:szCs w:val="24"/>
        </w:rPr>
        <w:t xml:space="preserve"> </w:t>
      </w:r>
      <w:r>
        <w:rPr>
          <w:rFonts w:ascii="Times New Roman" w:hAnsi="Times New Roman" w:eastAsia="Times New Roman" w:cs="Times New Roman"/>
          <w:spacing w:val="-4"/>
          <w:position w:val="20"/>
          <w:sz w:val="24"/>
          <w:szCs w:val="24"/>
        </w:rPr>
        <w:t xml:space="preserve">1  </w:t>
      </w:r>
      <w:r>
        <w:rPr>
          <w:rFonts w:ascii="宋体" w:hAnsi="宋体" w:eastAsia="宋体" w:cs="宋体"/>
          <w:spacing w:val="-4"/>
          <w:position w:val="20"/>
          <w:sz w:val="24"/>
          <w:szCs w:val="24"/>
        </w:rPr>
        <w:t>连接线路基标准横断面（挖方路段）</w:t>
      </w:r>
    </w:p>
    <w:p>
      <w:pPr>
        <w:spacing w:line="219" w:lineRule="auto"/>
        <w:ind w:left="52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）连接线路基标准横断面（填方路段</w:t>
      </w:r>
      <w:r>
        <w:rPr>
          <w:rFonts w:ascii="宋体" w:hAnsi="宋体" w:eastAsia="宋体" w:cs="宋体"/>
          <w:spacing w:val="-13"/>
          <w:sz w:val="24"/>
          <w:szCs w:val="24"/>
        </w:rPr>
        <w:t>）</w:t>
      </w:r>
      <w:r>
        <w:rPr>
          <w:rFonts w:ascii="宋体" w:hAnsi="宋体" w:eastAsia="宋体" w:cs="宋体"/>
          <w:spacing w:val="46"/>
          <w:sz w:val="24"/>
          <w:szCs w:val="24"/>
        </w:rPr>
        <w:t xml:space="preserve"> </w:t>
      </w:r>
      <w:r>
        <w:rPr>
          <w:rFonts w:ascii="宋体" w:hAnsi="宋体" w:eastAsia="宋体" w:cs="宋体"/>
          <w:spacing w:val="-13"/>
          <w:sz w:val="24"/>
          <w:szCs w:val="24"/>
        </w:rPr>
        <w:t>，</w:t>
      </w:r>
      <w:r>
        <w:rPr>
          <w:rFonts w:ascii="宋体" w:hAnsi="宋体" w:eastAsia="宋体" w:cs="宋体"/>
          <w:spacing w:val="-7"/>
          <w:sz w:val="24"/>
          <w:szCs w:val="24"/>
        </w:rPr>
        <w:t>见图</w:t>
      </w:r>
      <w:r>
        <w:rPr>
          <w:rFonts w:ascii="宋体" w:hAnsi="宋体" w:eastAsia="宋体" w:cs="宋体"/>
          <w:spacing w:val="-29"/>
          <w:sz w:val="24"/>
          <w:szCs w:val="24"/>
        </w:rPr>
        <w:t xml:space="preserve"> </w:t>
      </w:r>
      <w:r>
        <w:rPr>
          <w:rFonts w:ascii="Times New Roman" w:hAnsi="Times New Roman" w:eastAsia="Times New Roman" w:cs="Times New Roman"/>
          <w:spacing w:val="-8"/>
          <w:sz w:val="24"/>
          <w:szCs w:val="24"/>
        </w:rPr>
        <w:t>3.2-2</w:t>
      </w:r>
      <w:r>
        <w:rPr>
          <w:rFonts w:ascii="宋体" w:hAnsi="宋体" w:eastAsia="宋体" w:cs="宋体"/>
          <w:spacing w:val="-8"/>
          <w:sz w:val="24"/>
          <w:szCs w:val="24"/>
        </w:rPr>
        <w:t>。</w:t>
      </w:r>
    </w:p>
    <w:p>
      <w:pPr>
        <w:spacing w:before="182" w:line="469" w:lineRule="exact"/>
        <w:ind w:right="47"/>
        <w:jc w:val="right"/>
        <w:rPr>
          <w:rFonts w:ascii="宋体" w:hAnsi="宋体" w:eastAsia="宋体" w:cs="宋体"/>
          <w:sz w:val="24"/>
          <w:szCs w:val="24"/>
        </w:rPr>
      </w:pPr>
      <w:r>
        <w:rPr>
          <w:rFonts w:ascii="宋体" w:hAnsi="宋体" w:eastAsia="宋体" w:cs="宋体"/>
          <w:spacing w:val="-4"/>
          <w:position w:val="17"/>
          <w:sz w:val="24"/>
          <w:szCs w:val="24"/>
        </w:rPr>
        <w:t>断面布置标准为：</w:t>
      </w:r>
      <w:r>
        <w:rPr>
          <w:rFonts w:ascii="宋体" w:hAnsi="宋体" w:eastAsia="宋体" w:cs="宋体"/>
          <w:spacing w:val="31"/>
          <w:position w:val="17"/>
          <w:sz w:val="24"/>
          <w:szCs w:val="24"/>
        </w:rPr>
        <w:t xml:space="preserve"> </w:t>
      </w:r>
      <w:r>
        <w:rPr>
          <w:rFonts w:ascii="Times New Roman" w:hAnsi="Times New Roman" w:eastAsia="Times New Roman" w:cs="Times New Roman"/>
          <w:spacing w:val="-4"/>
          <w:position w:val="17"/>
          <w:sz w:val="24"/>
          <w:szCs w:val="24"/>
        </w:rPr>
        <w:t xml:space="preserve">0.75m </w:t>
      </w:r>
      <w:r>
        <w:rPr>
          <w:rFonts w:ascii="宋体" w:hAnsi="宋体" w:eastAsia="宋体" w:cs="宋体"/>
          <w:spacing w:val="-4"/>
          <w:position w:val="17"/>
          <w:sz w:val="24"/>
          <w:szCs w:val="24"/>
        </w:rPr>
        <w:t>左侧土路肩＋</w:t>
      </w:r>
      <w:r>
        <w:rPr>
          <w:rFonts w:ascii="Times New Roman" w:hAnsi="Times New Roman" w:eastAsia="Times New Roman" w:cs="Times New Roman"/>
          <w:spacing w:val="-4"/>
          <w:position w:val="17"/>
          <w:sz w:val="24"/>
          <w:szCs w:val="24"/>
        </w:rPr>
        <w:t>1.5m</w:t>
      </w:r>
      <w:r>
        <w:rPr>
          <w:rFonts w:ascii="Times New Roman" w:hAnsi="Times New Roman" w:eastAsia="Times New Roman" w:cs="Times New Roman"/>
          <w:spacing w:val="14"/>
          <w:position w:val="17"/>
          <w:sz w:val="24"/>
          <w:szCs w:val="24"/>
        </w:rPr>
        <w:t xml:space="preserve"> </w:t>
      </w:r>
      <w:r>
        <w:rPr>
          <w:rFonts w:ascii="宋体" w:hAnsi="宋体" w:eastAsia="宋体" w:cs="宋体"/>
          <w:spacing w:val="-4"/>
          <w:position w:val="17"/>
          <w:sz w:val="24"/>
          <w:szCs w:val="24"/>
        </w:rPr>
        <w:t>左侧硬路肩＋</w:t>
      </w:r>
      <w:r>
        <w:rPr>
          <w:rFonts w:ascii="Times New Roman" w:hAnsi="Times New Roman" w:eastAsia="Times New Roman" w:cs="Times New Roman"/>
          <w:spacing w:val="-4"/>
          <w:position w:val="17"/>
          <w:sz w:val="24"/>
          <w:szCs w:val="24"/>
        </w:rPr>
        <w:t>2×3.50m</w:t>
      </w:r>
      <w:r>
        <w:rPr>
          <w:rFonts w:ascii="Times New Roman" w:hAnsi="Times New Roman" w:eastAsia="Times New Roman" w:cs="Times New Roman"/>
          <w:spacing w:val="16"/>
          <w:w w:val="101"/>
          <w:position w:val="17"/>
          <w:sz w:val="24"/>
          <w:szCs w:val="24"/>
        </w:rPr>
        <w:t xml:space="preserve"> </w:t>
      </w:r>
      <w:r>
        <w:rPr>
          <w:rFonts w:ascii="宋体" w:hAnsi="宋体" w:eastAsia="宋体" w:cs="宋体"/>
          <w:spacing w:val="-5"/>
          <w:position w:val="17"/>
          <w:sz w:val="24"/>
          <w:szCs w:val="24"/>
        </w:rPr>
        <w:t>行车道+</w:t>
      </w:r>
    </w:p>
    <w:p>
      <w:pPr>
        <w:spacing w:line="219" w:lineRule="auto"/>
        <w:ind w:left="56"/>
        <w:rPr>
          <w:rFonts w:ascii="宋体" w:hAnsi="宋体" w:eastAsia="宋体" w:cs="宋体"/>
          <w:sz w:val="24"/>
          <w:szCs w:val="24"/>
        </w:rPr>
      </w:pPr>
      <w:r>
        <w:rPr>
          <w:rFonts w:ascii="Times New Roman" w:hAnsi="Times New Roman" w:eastAsia="Times New Roman" w:cs="Times New Roman"/>
          <w:spacing w:val="-3"/>
          <w:sz w:val="24"/>
          <w:szCs w:val="24"/>
        </w:rPr>
        <w:t xml:space="preserve">1.5m </w:t>
      </w:r>
      <w:r>
        <w:rPr>
          <w:rFonts w:ascii="宋体" w:hAnsi="宋体" w:eastAsia="宋体" w:cs="宋体"/>
          <w:spacing w:val="-3"/>
          <w:sz w:val="24"/>
          <w:szCs w:val="24"/>
        </w:rPr>
        <w:t>右侧硬路肩＋</w:t>
      </w:r>
      <w:r>
        <w:rPr>
          <w:rFonts w:ascii="Times New Roman" w:hAnsi="Times New Roman" w:eastAsia="Times New Roman" w:cs="Times New Roman"/>
          <w:spacing w:val="-3"/>
          <w:sz w:val="24"/>
          <w:szCs w:val="24"/>
        </w:rPr>
        <w:t xml:space="preserve">0.75m </w:t>
      </w:r>
      <w:r>
        <w:rPr>
          <w:rFonts w:ascii="宋体" w:hAnsi="宋体" w:eastAsia="宋体" w:cs="宋体"/>
          <w:spacing w:val="-3"/>
          <w:sz w:val="24"/>
          <w:szCs w:val="24"/>
        </w:rPr>
        <w:t>土路肩。</w:t>
      </w:r>
    </w:p>
    <w:p>
      <w:pPr>
        <w:spacing w:before="97" w:line="4618" w:lineRule="exact"/>
        <w:ind w:firstLine="35"/>
      </w:pPr>
      <w:r>
        <w:rPr>
          <w:position w:val="-92"/>
        </w:rPr>
        <w:drawing>
          <wp:inline distT="0" distB="0" distL="0" distR="0">
            <wp:extent cx="5265420" cy="293179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46"/>
                    <a:stretch>
                      <a:fillRect/>
                    </a:stretch>
                  </pic:blipFill>
                  <pic:spPr>
                    <a:xfrm>
                      <a:off x="0" y="0"/>
                      <a:ext cx="5265420" cy="2932429"/>
                    </a:xfrm>
                    <a:prstGeom prst="rect">
                      <a:avLst/>
                    </a:prstGeom>
                  </pic:spPr>
                </pic:pic>
              </a:graphicData>
            </a:graphic>
          </wp:inline>
        </w:drawing>
      </w:r>
    </w:p>
    <w:p>
      <w:pPr>
        <w:spacing w:before="147" w:line="220" w:lineRule="auto"/>
        <w:ind w:left="2075"/>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 xml:space="preserve">3.2-2  </w:t>
      </w:r>
      <w:r>
        <w:rPr>
          <w:rFonts w:ascii="宋体" w:hAnsi="宋体" w:eastAsia="宋体" w:cs="宋体"/>
          <w:spacing w:val="-2"/>
          <w:sz w:val="24"/>
          <w:szCs w:val="24"/>
        </w:rPr>
        <w:t>连接线路基标准横断面（填方路段）</w:t>
      </w:r>
    </w:p>
    <w:p>
      <w:pPr>
        <w:spacing w:before="302" w:line="220" w:lineRule="auto"/>
        <w:ind w:left="52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）连接线路基标准横断面（设置港湾式停靠站路段</w:t>
      </w:r>
      <w:r>
        <w:rPr>
          <w:rFonts w:ascii="宋体" w:hAnsi="宋体" w:eastAsia="宋体" w:cs="宋体"/>
          <w:spacing w:val="-11"/>
          <w:sz w:val="24"/>
          <w:szCs w:val="24"/>
        </w:rPr>
        <w:t>）</w:t>
      </w:r>
      <w:r>
        <w:rPr>
          <w:rFonts w:ascii="宋体" w:hAnsi="宋体" w:eastAsia="宋体" w:cs="宋体"/>
          <w:spacing w:val="46"/>
          <w:sz w:val="24"/>
          <w:szCs w:val="24"/>
        </w:rPr>
        <w:t xml:space="preserve"> </w:t>
      </w:r>
      <w:r>
        <w:rPr>
          <w:rFonts w:ascii="宋体" w:hAnsi="宋体" w:eastAsia="宋体" w:cs="宋体"/>
          <w:spacing w:val="-11"/>
          <w:sz w:val="24"/>
          <w:szCs w:val="24"/>
        </w:rPr>
        <w:t>，</w:t>
      </w:r>
      <w:r>
        <w:rPr>
          <w:rFonts w:ascii="宋体" w:hAnsi="宋体" w:eastAsia="宋体" w:cs="宋体"/>
          <w:spacing w:val="-6"/>
          <w:sz w:val="24"/>
          <w:szCs w:val="24"/>
        </w:rPr>
        <w:t>见图</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3.2-3</w:t>
      </w:r>
      <w:r>
        <w:rPr>
          <w:rFonts w:ascii="宋体" w:hAnsi="宋体" w:eastAsia="宋体" w:cs="宋体"/>
          <w:spacing w:val="-6"/>
          <w:sz w:val="24"/>
          <w:szCs w:val="24"/>
        </w:rPr>
        <w:t>。</w:t>
      </w:r>
    </w:p>
    <w:p>
      <w:pPr>
        <w:spacing w:before="183" w:line="469" w:lineRule="exact"/>
        <w:ind w:right="15"/>
        <w:jc w:val="right"/>
        <w:rPr>
          <w:rFonts w:ascii="宋体" w:hAnsi="宋体" w:eastAsia="宋体" w:cs="宋体"/>
          <w:sz w:val="24"/>
          <w:szCs w:val="24"/>
        </w:rPr>
      </w:pPr>
      <w:r>
        <w:rPr>
          <w:rFonts w:ascii="宋体" w:hAnsi="宋体" w:eastAsia="宋体" w:cs="宋体"/>
          <w:spacing w:val="-5"/>
          <w:position w:val="17"/>
          <w:sz w:val="24"/>
          <w:szCs w:val="24"/>
        </w:rPr>
        <w:t xml:space="preserve">断面布置标准为： </w:t>
      </w:r>
      <w:r>
        <w:rPr>
          <w:rFonts w:ascii="Times New Roman" w:hAnsi="Times New Roman" w:eastAsia="Times New Roman" w:cs="Times New Roman"/>
          <w:spacing w:val="-5"/>
          <w:position w:val="17"/>
          <w:sz w:val="24"/>
          <w:szCs w:val="24"/>
        </w:rPr>
        <w:t xml:space="preserve">0.75m </w:t>
      </w:r>
      <w:r>
        <w:rPr>
          <w:rFonts w:ascii="宋体" w:hAnsi="宋体" w:eastAsia="宋体" w:cs="宋体"/>
          <w:spacing w:val="-5"/>
          <w:position w:val="17"/>
          <w:sz w:val="24"/>
          <w:szCs w:val="24"/>
        </w:rPr>
        <w:t>左侧土路肩＋</w:t>
      </w:r>
      <w:r>
        <w:rPr>
          <w:rFonts w:ascii="Times New Roman" w:hAnsi="Times New Roman" w:eastAsia="Times New Roman" w:cs="Times New Roman"/>
          <w:spacing w:val="-5"/>
          <w:position w:val="17"/>
          <w:sz w:val="24"/>
          <w:szCs w:val="24"/>
        </w:rPr>
        <w:t>5.5m</w:t>
      </w:r>
      <w:r>
        <w:rPr>
          <w:rFonts w:ascii="Times New Roman" w:hAnsi="Times New Roman" w:eastAsia="Times New Roman" w:cs="Times New Roman"/>
          <w:spacing w:val="14"/>
          <w:position w:val="17"/>
          <w:sz w:val="24"/>
          <w:szCs w:val="24"/>
        </w:rPr>
        <w:t xml:space="preserve"> </w:t>
      </w:r>
      <w:r>
        <w:rPr>
          <w:rFonts w:ascii="宋体" w:hAnsi="宋体" w:eastAsia="宋体" w:cs="宋体"/>
          <w:spacing w:val="-5"/>
          <w:position w:val="17"/>
          <w:sz w:val="24"/>
          <w:szCs w:val="24"/>
        </w:rPr>
        <w:t>左侧港湾式</w:t>
      </w:r>
      <w:r>
        <w:rPr>
          <w:rFonts w:ascii="宋体" w:hAnsi="宋体" w:eastAsia="宋体" w:cs="宋体"/>
          <w:spacing w:val="-6"/>
          <w:position w:val="17"/>
          <w:sz w:val="24"/>
          <w:szCs w:val="24"/>
        </w:rPr>
        <w:t>停靠站＋</w:t>
      </w:r>
      <w:r>
        <w:rPr>
          <w:rFonts w:ascii="Times New Roman" w:hAnsi="Times New Roman" w:eastAsia="Times New Roman" w:cs="Times New Roman"/>
          <w:spacing w:val="-6"/>
          <w:position w:val="17"/>
          <w:sz w:val="24"/>
          <w:szCs w:val="24"/>
        </w:rPr>
        <w:t>2×3.50m</w:t>
      </w:r>
      <w:r>
        <w:rPr>
          <w:rFonts w:ascii="Times New Roman" w:hAnsi="Times New Roman" w:eastAsia="Times New Roman" w:cs="Times New Roman"/>
          <w:spacing w:val="14"/>
          <w:position w:val="17"/>
          <w:sz w:val="24"/>
          <w:szCs w:val="24"/>
        </w:rPr>
        <w:t xml:space="preserve"> </w:t>
      </w:r>
      <w:r>
        <w:rPr>
          <w:rFonts w:ascii="宋体" w:hAnsi="宋体" w:eastAsia="宋体" w:cs="宋体"/>
          <w:spacing w:val="-6"/>
          <w:position w:val="17"/>
          <w:sz w:val="24"/>
          <w:szCs w:val="24"/>
        </w:rPr>
        <w:t>行</w:t>
      </w:r>
    </w:p>
    <w:p>
      <w:pPr>
        <w:spacing w:line="219" w:lineRule="auto"/>
        <w:ind w:left="40"/>
        <w:rPr>
          <w:rFonts w:ascii="宋体" w:hAnsi="宋体" w:eastAsia="宋体" w:cs="宋体"/>
          <w:sz w:val="24"/>
          <w:szCs w:val="24"/>
        </w:rPr>
      </w:pPr>
      <w:r>
        <w:rPr>
          <w:rFonts w:ascii="宋体" w:hAnsi="宋体" w:eastAsia="宋体" w:cs="宋体"/>
          <w:spacing w:val="-2"/>
          <w:sz w:val="24"/>
          <w:szCs w:val="24"/>
        </w:rPr>
        <w:t>车道＋</w:t>
      </w:r>
      <w:r>
        <w:rPr>
          <w:rFonts w:ascii="Times New Roman" w:hAnsi="Times New Roman" w:eastAsia="Times New Roman" w:cs="Times New Roman"/>
          <w:spacing w:val="-2"/>
          <w:sz w:val="24"/>
          <w:szCs w:val="24"/>
        </w:rPr>
        <w:t xml:space="preserve">5.5m </w:t>
      </w:r>
      <w:r>
        <w:rPr>
          <w:rFonts w:ascii="宋体" w:hAnsi="宋体" w:eastAsia="宋体" w:cs="宋体"/>
          <w:spacing w:val="-2"/>
          <w:sz w:val="24"/>
          <w:szCs w:val="24"/>
        </w:rPr>
        <w:t>右侧港湾式停靠站＋</w:t>
      </w:r>
      <w:r>
        <w:rPr>
          <w:rFonts w:ascii="Times New Roman" w:hAnsi="Times New Roman" w:eastAsia="Times New Roman" w:cs="Times New Roman"/>
          <w:spacing w:val="-2"/>
          <w:sz w:val="24"/>
          <w:szCs w:val="24"/>
        </w:rPr>
        <w:t xml:space="preserve">0.75m </w:t>
      </w:r>
      <w:r>
        <w:rPr>
          <w:rFonts w:ascii="宋体" w:hAnsi="宋体" w:eastAsia="宋体" w:cs="宋体"/>
          <w:spacing w:val="-2"/>
          <w:sz w:val="24"/>
          <w:szCs w:val="24"/>
        </w:rPr>
        <w:t>土路肩。</w:t>
      </w:r>
    </w:p>
    <w:p>
      <w:pPr>
        <w:spacing w:line="219" w:lineRule="auto"/>
        <w:rPr>
          <w:rFonts w:ascii="宋体" w:hAnsi="宋体" w:eastAsia="宋体" w:cs="宋体"/>
          <w:sz w:val="24"/>
          <w:szCs w:val="24"/>
        </w:rPr>
        <w:sectPr>
          <w:headerReference r:id="rId99" w:type="default"/>
          <w:footerReference r:id="rId100" w:type="default"/>
          <w:pgSz w:w="11907" w:h="16839"/>
          <w:pgMar w:top="1118" w:right="1769" w:bottom="1184" w:left="1771" w:header="879" w:footer="1024" w:gutter="0"/>
          <w:cols w:space="720" w:num="1"/>
        </w:sectPr>
      </w:pPr>
    </w:p>
    <w:p>
      <w:pPr>
        <w:pStyle w:val="2"/>
        <w:spacing w:line="405" w:lineRule="auto"/>
      </w:pPr>
    </w:p>
    <w:p>
      <w:pPr>
        <w:spacing w:line="3884" w:lineRule="exact"/>
        <w:ind w:firstLine="30"/>
      </w:pPr>
      <w:r>
        <w:rPr>
          <w:position w:val="-77"/>
        </w:rPr>
        <w:drawing>
          <wp:inline distT="0" distB="0" distL="0" distR="0">
            <wp:extent cx="5270500" cy="246634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447"/>
                    <a:stretch>
                      <a:fillRect/>
                    </a:stretch>
                  </pic:blipFill>
                  <pic:spPr>
                    <a:xfrm>
                      <a:off x="0" y="0"/>
                      <a:ext cx="5270500" cy="2466340"/>
                    </a:xfrm>
                    <a:prstGeom prst="rect">
                      <a:avLst/>
                    </a:prstGeom>
                  </pic:spPr>
                </pic:pic>
              </a:graphicData>
            </a:graphic>
          </wp:inline>
        </w:drawing>
      </w:r>
    </w:p>
    <w:p>
      <w:pPr>
        <w:spacing w:before="201" w:line="220" w:lineRule="auto"/>
        <w:ind w:left="995"/>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3.2-3      </w:t>
      </w:r>
      <w:r>
        <w:rPr>
          <w:rFonts w:ascii="宋体" w:hAnsi="宋体" w:eastAsia="宋体" w:cs="宋体"/>
          <w:spacing w:val="-2"/>
          <w:sz w:val="24"/>
          <w:szCs w:val="24"/>
        </w:rPr>
        <w:t>连接线路基标准横断面（设置港湾式停靠站路段）</w:t>
      </w:r>
    </w:p>
    <w:p>
      <w:pPr>
        <w:spacing w:before="302" w:line="220" w:lineRule="auto"/>
        <w:ind w:left="513"/>
        <w:rPr>
          <w:rFonts w:ascii="宋体" w:hAnsi="宋体" w:eastAsia="宋体" w:cs="宋体"/>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、路拱坡度</w:t>
      </w:r>
    </w:p>
    <w:p>
      <w:pPr>
        <w:spacing w:before="182" w:line="220" w:lineRule="auto"/>
        <w:ind w:left="520"/>
        <w:rPr>
          <w:rFonts w:ascii="宋体" w:hAnsi="宋体" w:eastAsia="宋体" w:cs="宋体"/>
          <w:sz w:val="24"/>
          <w:szCs w:val="24"/>
        </w:rPr>
      </w:pPr>
      <w:r>
        <w:rPr>
          <w:rFonts w:ascii="宋体" w:hAnsi="宋体" w:eastAsia="宋体" w:cs="宋体"/>
          <w:spacing w:val="-2"/>
          <w:sz w:val="24"/>
          <w:szCs w:val="24"/>
        </w:rPr>
        <w:t>路面横坡：行车道及硬路肩为</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w:t>
      </w:r>
      <w:r>
        <w:rPr>
          <w:rFonts w:ascii="宋体" w:hAnsi="宋体" w:eastAsia="宋体" w:cs="宋体"/>
          <w:spacing w:val="-2"/>
          <w:sz w:val="24"/>
          <w:szCs w:val="24"/>
        </w:rPr>
        <w:t>，土路肩为</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4%</w:t>
      </w:r>
      <w:r>
        <w:rPr>
          <w:rFonts w:ascii="宋体" w:hAnsi="宋体" w:eastAsia="宋体" w:cs="宋体"/>
          <w:spacing w:val="-2"/>
          <w:sz w:val="24"/>
          <w:szCs w:val="24"/>
        </w:rPr>
        <w:t>。</w:t>
      </w:r>
    </w:p>
    <w:p>
      <w:pPr>
        <w:spacing w:before="102" w:line="220" w:lineRule="auto"/>
        <w:ind w:left="518"/>
        <w:rPr>
          <w:rFonts w:ascii="宋体" w:hAnsi="宋体" w:eastAsia="宋体" w:cs="宋体"/>
          <w:sz w:val="24"/>
          <w:szCs w:val="24"/>
        </w:rPr>
      </w:pPr>
      <w:r>
        <w:rPr>
          <w:rFonts w:ascii="Times New Roman" w:hAnsi="Times New Roman" w:eastAsia="Times New Roman" w:cs="Times New Roman"/>
          <w:spacing w:val="-4"/>
          <w:sz w:val="24"/>
          <w:szCs w:val="24"/>
        </w:rPr>
        <w:t>3</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、路基加宽及超高方式</w:t>
      </w:r>
    </w:p>
    <w:p>
      <w:pPr>
        <w:spacing w:before="183" w:line="359" w:lineRule="auto"/>
        <w:ind w:left="37" w:right="68" w:firstLine="481"/>
        <w:rPr>
          <w:rFonts w:ascii="宋体" w:hAnsi="宋体" w:eastAsia="宋体" w:cs="宋体"/>
          <w:sz w:val="24"/>
          <w:szCs w:val="24"/>
        </w:rPr>
      </w:pPr>
      <w:r>
        <w:rPr>
          <w:rFonts w:ascii="宋体" w:hAnsi="宋体" w:eastAsia="宋体" w:cs="宋体"/>
          <w:spacing w:val="-1"/>
          <w:sz w:val="24"/>
          <w:szCs w:val="24"/>
        </w:rPr>
        <w:t>本项目线路最小平曲线半径均大于</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200m</w:t>
      </w:r>
      <w:r>
        <w:rPr>
          <w:rFonts w:ascii="宋体" w:hAnsi="宋体" w:eastAsia="宋体" w:cs="宋体"/>
          <w:spacing w:val="-1"/>
          <w:sz w:val="24"/>
          <w:szCs w:val="24"/>
        </w:rPr>
        <w:t>，不设超高平曲线最小半径的设计</w:t>
      </w:r>
      <w:r>
        <w:rPr>
          <w:rFonts w:ascii="宋体" w:hAnsi="宋体" w:eastAsia="宋体" w:cs="宋体"/>
          <w:sz w:val="24"/>
          <w:szCs w:val="24"/>
        </w:rPr>
        <w:t xml:space="preserve"> </w:t>
      </w:r>
      <w:r>
        <w:rPr>
          <w:rFonts w:ascii="宋体" w:hAnsi="宋体" w:eastAsia="宋体" w:cs="宋体"/>
          <w:spacing w:val="-6"/>
          <w:sz w:val="24"/>
          <w:szCs w:val="24"/>
        </w:rPr>
        <w:t>采用值为</w:t>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2200m</w:t>
      </w:r>
      <w:r>
        <w:rPr>
          <w:rFonts w:ascii="宋体" w:hAnsi="宋体" w:eastAsia="宋体" w:cs="宋体"/>
          <w:spacing w:val="-6"/>
          <w:sz w:val="24"/>
          <w:szCs w:val="24"/>
        </w:rPr>
        <w:t>，大于不设超高最小半径（</w:t>
      </w:r>
      <w:r>
        <w:rPr>
          <w:rFonts w:ascii="Times New Roman" w:hAnsi="Times New Roman" w:eastAsia="Times New Roman" w:cs="Times New Roman"/>
          <w:spacing w:val="-6"/>
          <w:sz w:val="24"/>
          <w:szCs w:val="24"/>
        </w:rPr>
        <w:t>1500m</w:t>
      </w:r>
      <w:r>
        <w:rPr>
          <w:rFonts w:ascii="宋体" w:hAnsi="宋体" w:eastAsia="宋体" w:cs="宋体"/>
          <w:spacing w:val="1"/>
          <w:sz w:val="24"/>
          <w:szCs w:val="24"/>
        </w:rPr>
        <w:t>），</w:t>
      </w:r>
      <w:r>
        <w:rPr>
          <w:rFonts w:ascii="宋体" w:hAnsi="宋体" w:eastAsia="宋体" w:cs="宋体"/>
          <w:spacing w:val="-6"/>
          <w:sz w:val="24"/>
          <w:szCs w:val="24"/>
        </w:rPr>
        <w:t>线路路基不需加宽。</w:t>
      </w:r>
      <w:r>
        <w:rPr>
          <w:rFonts w:ascii="宋体" w:hAnsi="宋体" w:eastAsia="宋体" w:cs="宋体"/>
          <w:spacing w:val="39"/>
          <w:sz w:val="24"/>
          <w:szCs w:val="24"/>
        </w:rPr>
        <w:t xml:space="preserve"> </w:t>
      </w:r>
      <w:r>
        <w:rPr>
          <w:rFonts w:ascii="宋体" w:hAnsi="宋体" w:eastAsia="宋体" w:cs="宋体"/>
          <w:spacing w:val="-6"/>
          <w:sz w:val="24"/>
          <w:szCs w:val="24"/>
        </w:rPr>
        <w:t>设计</w:t>
      </w:r>
    </w:p>
    <w:p>
      <w:pPr>
        <w:spacing w:line="219" w:lineRule="auto"/>
        <w:ind w:left="44"/>
        <w:rPr>
          <w:rFonts w:ascii="宋体" w:hAnsi="宋体" w:eastAsia="宋体" w:cs="宋体"/>
          <w:sz w:val="24"/>
          <w:szCs w:val="24"/>
        </w:rPr>
      </w:pPr>
      <w:r>
        <w:rPr>
          <w:rFonts w:ascii="宋体" w:hAnsi="宋体" w:eastAsia="宋体" w:cs="宋体"/>
          <w:spacing w:val="-2"/>
          <w:sz w:val="24"/>
          <w:szCs w:val="24"/>
        </w:rPr>
        <w:t>高程为行车道中心线位置的高程，超高方式为绕设计中心线旋转。</w:t>
      </w:r>
    </w:p>
    <w:p>
      <w:pPr>
        <w:spacing w:before="180" w:line="220" w:lineRule="auto"/>
        <w:ind w:left="512"/>
        <w:rPr>
          <w:rFonts w:ascii="宋体" w:hAnsi="宋体" w:eastAsia="宋体" w:cs="宋体"/>
          <w:sz w:val="24"/>
          <w:szCs w:val="24"/>
        </w:rPr>
      </w:pPr>
      <w:r>
        <w:rPr>
          <w:rFonts w:ascii="Times New Roman" w:hAnsi="Times New Roman" w:eastAsia="Times New Roman" w:cs="Times New Roman"/>
          <w:spacing w:val="-5"/>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、路基边坡</w:t>
      </w:r>
    </w:p>
    <w:p>
      <w:pPr>
        <w:spacing w:before="182"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）一般填方路基</w:t>
      </w:r>
    </w:p>
    <w:p>
      <w:pPr>
        <w:spacing w:before="182" w:line="359" w:lineRule="auto"/>
        <w:ind w:left="33" w:firstLine="499"/>
        <w:rPr>
          <w:rFonts w:ascii="宋体" w:hAnsi="宋体" w:eastAsia="宋体" w:cs="宋体"/>
          <w:sz w:val="24"/>
          <w:szCs w:val="24"/>
        </w:rPr>
      </w:pPr>
      <w:r>
        <w:rPr>
          <w:rFonts w:ascii="宋体" w:hAnsi="宋体" w:eastAsia="宋体" w:cs="宋体"/>
          <w:spacing w:val="-3"/>
          <w:sz w:val="24"/>
          <w:szCs w:val="24"/>
        </w:rPr>
        <w:t>当填方边坡高度＜</w:t>
      </w:r>
      <w:r>
        <w:rPr>
          <w:rFonts w:ascii="Times New Roman" w:hAnsi="Times New Roman" w:eastAsia="Times New Roman" w:cs="Times New Roman"/>
          <w:spacing w:val="-3"/>
          <w:sz w:val="24"/>
          <w:szCs w:val="24"/>
        </w:rPr>
        <w:t>10m</w:t>
      </w:r>
      <w:r>
        <w:rPr>
          <w:rFonts w:ascii="Times New Roman" w:hAnsi="Times New Roman" w:eastAsia="Times New Roman" w:cs="Times New Roman"/>
          <w:spacing w:val="33"/>
          <w:w w:val="101"/>
          <w:sz w:val="24"/>
          <w:szCs w:val="24"/>
        </w:rPr>
        <w:t xml:space="preserve"> </w:t>
      </w:r>
      <w:r>
        <w:rPr>
          <w:rFonts w:ascii="宋体" w:hAnsi="宋体" w:eastAsia="宋体" w:cs="宋体"/>
          <w:spacing w:val="-3"/>
          <w:sz w:val="24"/>
          <w:szCs w:val="24"/>
        </w:rPr>
        <w:t>时，边坡坡率采用</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  1.5 </w:t>
      </w:r>
      <w:r>
        <w:rPr>
          <w:rFonts w:ascii="宋体" w:hAnsi="宋体" w:eastAsia="宋体" w:cs="宋体"/>
          <w:spacing w:val="-3"/>
          <w:sz w:val="24"/>
          <w:szCs w:val="24"/>
        </w:rPr>
        <w:t>放坡到底；当</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10m≤</w:t>
      </w:r>
      <w:r>
        <w:rPr>
          <w:rFonts w:ascii="宋体" w:hAnsi="宋体" w:eastAsia="宋体" w:cs="宋体"/>
          <w:spacing w:val="-3"/>
          <w:sz w:val="24"/>
          <w:szCs w:val="24"/>
        </w:rPr>
        <w:t>填方边</w:t>
      </w:r>
      <w:r>
        <w:rPr>
          <w:rFonts w:ascii="宋体" w:hAnsi="宋体" w:eastAsia="宋体" w:cs="宋体"/>
          <w:sz w:val="24"/>
          <w:szCs w:val="24"/>
        </w:rPr>
        <w:t xml:space="preserve"> </w:t>
      </w:r>
      <w:r>
        <w:rPr>
          <w:rFonts w:ascii="宋体" w:hAnsi="宋体" w:eastAsia="宋体" w:cs="宋体"/>
          <w:spacing w:val="-4"/>
          <w:sz w:val="24"/>
          <w:szCs w:val="24"/>
        </w:rPr>
        <w:t>坡高度＜</w:t>
      </w:r>
      <w:r>
        <w:rPr>
          <w:rFonts w:ascii="Times New Roman" w:hAnsi="Times New Roman" w:eastAsia="Times New Roman" w:cs="Times New Roman"/>
          <w:spacing w:val="-4"/>
          <w:sz w:val="24"/>
          <w:szCs w:val="24"/>
        </w:rPr>
        <w:t>20m</w:t>
      </w:r>
      <w:r>
        <w:rPr>
          <w:rFonts w:ascii="Times New Roman" w:hAnsi="Times New Roman" w:eastAsia="Times New Roman" w:cs="Times New Roman"/>
          <w:spacing w:val="21"/>
          <w:w w:val="101"/>
          <w:sz w:val="24"/>
          <w:szCs w:val="24"/>
        </w:rPr>
        <w:t xml:space="preserve"> </w:t>
      </w:r>
      <w:r>
        <w:rPr>
          <w:rFonts w:ascii="宋体" w:hAnsi="宋体" w:eastAsia="宋体" w:cs="宋体"/>
          <w:spacing w:val="-4"/>
          <w:sz w:val="24"/>
          <w:szCs w:val="24"/>
        </w:rPr>
        <w:t>时，第一级边坡</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 xml:space="preserve">8m </w:t>
      </w:r>
      <w:r>
        <w:rPr>
          <w:rFonts w:ascii="宋体" w:hAnsi="宋体" w:eastAsia="宋体" w:cs="宋体"/>
          <w:spacing w:val="-4"/>
          <w:sz w:val="24"/>
          <w:szCs w:val="24"/>
        </w:rPr>
        <w:t>取</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1.5</w:t>
      </w:r>
      <w:r>
        <w:rPr>
          <w:rFonts w:ascii="宋体" w:hAnsi="宋体" w:eastAsia="宋体" w:cs="宋体"/>
          <w:spacing w:val="-4"/>
          <w:sz w:val="24"/>
          <w:szCs w:val="24"/>
        </w:rPr>
        <w:t xml:space="preserve">，第二级边坡取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8"/>
          <w:w w:val="101"/>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 xml:space="preserve">75 </w:t>
      </w:r>
      <w:r>
        <w:rPr>
          <w:rFonts w:ascii="宋体" w:hAnsi="宋体" w:eastAsia="宋体" w:cs="宋体"/>
          <w:spacing w:val="-5"/>
          <w:sz w:val="24"/>
          <w:szCs w:val="24"/>
        </w:rPr>
        <w:t>放坡到底；当</w:t>
      </w:r>
      <w:r>
        <w:rPr>
          <w:rFonts w:ascii="宋体" w:hAnsi="宋体" w:eastAsia="宋体" w:cs="宋体"/>
          <w:sz w:val="24"/>
          <w:szCs w:val="24"/>
        </w:rPr>
        <w:t xml:space="preserve"> </w:t>
      </w:r>
      <w:r>
        <w:rPr>
          <w:rFonts w:ascii="Times New Roman" w:hAnsi="Times New Roman" w:eastAsia="Times New Roman" w:cs="Times New Roman"/>
          <w:spacing w:val="-8"/>
          <w:sz w:val="24"/>
          <w:szCs w:val="24"/>
        </w:rPr>
        <w:t>20≤</w:t>
      </w:r>
      <w:r>
        <w:rPr>
          <w:rFonts w:ascii="宋体" w:hAnsi="宋体" w:eastAsia="宋体" w:cs="宋体"/>
          <w:spacing w:val="-8"/>
          <w:sz w:val="24"/>
          <w:szCs w:val="24"/>
        </w:rPr>
        <w:t>填方边坡高度＜</w:t>
      </w:r>
      <w:r>
        <w:rPr>
          <w:rFonts w:ascii="Times New Roman" w:hAnsi="Times New Roman" w:eastAsia="Times New Roman" w:cs="Times New Roman"/>
          <w:spacing w:val="-8"/>
          <w:sz w:val="24"/>
          <w:szCs w:val="24"/>
        </w:rPr>
        <w:t>36m</w:t>
      </w:r>
      <w:r>
        <w:rPr>
          <w:rFonts w:ascii="Times New Roman" w:hAnsi="Times New Roman" w:eastAsia="Times New Roman" w:cs="Times New Roman"/>
          <w:spacing w:val="28"/>
          <w:w w:val="101"/>
          <w:sz w:val="24"/>
          <w:szCs w:val="24"/>
        </w:rPr>
        <w:t xml:space="preserve"> </w:t>
      </w:r>
      <w:r>
        <w:rPr>
          <w:rFonts w:ascii="宋体" w:hAnsi="宋体" w:eastAsia="宋体" w:cs="宋体"/>
          <w:spacing w:val="-8"/>
          <w:sz w:val="24"/>
          <w:szCs w:val="24"/>
        </w:rPr>
        <w:t>时，第一级边坡</w:t>
      </w:r>
      <w:r>
        <w:rPr>
          <w:rFonts w:ascii="宋体" w:hAnsi="宋体" w:eastAsia="宋体" w:cs="宋体"/>
          <w:spacing w:val="-45"/>
          <w:sz w:val="24"/>
          <w:szCs w:val="24"/>
        </w:rPr>
        <w:t xml:space="preserve"> </w:t>
      </w:r>
      <w:r>
        <w:rPr>
          <w:rFonts w:ascii="Times New Roman" w:hAnsi="Times New Roman" w:eastAsia="Times New Roman" w:cs="Times New Roman"/>
          <w:spacing w:val="-8"/>
          <w:sz w:val="24"/>
          <w:szCs w:val="24"/>
        </w:rPr>
        <w:t>8m</w:t>
      </w:r>
      <w:r>
        <w:rPr>
          <w:rFonts w:ascii="Times New Roman" w:hAnsi="Times New Roman" w:eastAsia="Times New Roman" w:cs="Times New Roman"/>
          <w:spacing w:val="12"/>
          <w:sz w:val="24"/>
          <w:szCs w:val="24"/>
        </w:rPr>
        <w:t xml:space="preserve"> </w:t>
      </w:r>
      <w:r>
        <w:rPr>
          <w:rFonts w:ascii="宋体" w:hAnsi="宋体" w:eastAsia="宋体" w:cs="宋体"/>
          <w:spacing w:val="-8"/>
          <w:sz w:val="24"/>
          <w:szCs w:val="24"/>
        </w:rPr>
        <w:t>取</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8"/>
          <w:sz w:val="24"/>
          <w:szCs w:val="24"/>
        </w:rPr>
        <w:t>1.5</w:t>
      </w:r>
      <w:r>
        <w:rPr>
          <w:rFonts w:ascii="宋体" w:hAnsi="宋体" w:eastAsia="宋体" w:cs="宋体"/>
          <w:spacing w:val="-8"/>
          <w:sz w:val="24"/>
          <w:szCs w:val="24"/>
        </w:rPr>
        <w:t>，第二级边坡</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10m</w:t>
      </w:r>
      <w:r>
        <w:rPr>
          <w:rFonts w:ascii="Times New Roman" w:hAnsi="Times New Roman" w:eastAsia="Times New Roman" w:cs="Times New Roman"/>
          <w:spacing w:val="12"/>
          <w:sz w:val="24"/>
          <w:szCs w:val="24"/>
        </w:rPr>
        <w:t xml:space="preserve"> </w:t>
      </w:r>
      <w:r>
        <w:rPr>
          <w:rFonts w:ascii="宋体" w:hAnsi="宋体" w:eastAsia="宋体" w:cs="宋体"/>
          <w:spacing w:val="-8"/>
          <w:sz w:val="24"/>
          <w:szCs w:val="24"/>
        </w:rPr>
        <w:t>取</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8"/>
          <w:sz w:val="24"/>
          <w:szCs w:val="24"/>
        </w:rPr>
        <w:t>1.75</w:t>
      </w:r>
      <w:r>
        <w:rPr>
          <w:rFonts w:ascii="Times New Roman" w:hAnsi="Times New Roman" w:eastAsia="Times New Roman" w:cs="Times New Roman"/>
          <w:sz w:val="24"/>
          <w:szCs w:val="24"/>
        </w:rPr>
        <w:t xml:space="preserve">  </w:t>
      </w:r>
      <w:r>
        <w:rPr>
          <w:rFonts w:ascii="宋体" w:hAnsi="宋体" w:eastAsia="宋体" w:cs="宋体"/>
          <w:spacing w:val="-10"/>
          <w:sz w:val="24"/>
          <w:szCs w:val="24"/>
        </w:rPr>
        <w:t>放坡， 第三级边坡取</w:t>
      </w:r>
      <w:r>
        <w:rPr>
          <w:rFonts w:ascii="宋体" w:hAnsi="宋体" w:eastAsia="宋体" w:cs="宋体"/>
          <w:spacing w:val="-31"/>
          <w:sz w:val="24"/>
          <w:szCs w:val="24"/>
        </w:rPr>
        <w:t xml:space="preserve"> </w:t>
      </w:r>
      <w:r>
        <w:rPr>
          <w:rFonts w:ascii="Times New Roman" w:hAnsi="Times New Roman" w:eastAsia="Times New Roman" w:cs="Times New Roman"/>
          <w:spacing w:val="-10"/>
          <w:sz w:val="24"/>
          <w:szCs w:val="24"/>
        </w:rPr>
        <w:t xml:space="preserve">1: 2.0 </w:t>
      </w:r>
      <w:r>
        <w:rPr>
          <w:rFonts w:ascii="宋体" w:hAnsi="宋体" w:eastAsia="宋体" w:cs="宋体"/>
          <w:spacing w:val="-10"/>
          <w:sz w:val="24"/>
          <w:szCs w:val="24"/>
        </w:rPr>
        <w:t>放坡到底； 当填方边坡高度</w:t>
      </w:r>
      <w:r>
        <w:rPr>
          <w:rFonts w:ascii="Times New Roman" w:hAnsi="Times New Roman" w:eastAsia="Times New Roman" w:cs="Times New Roman"/>
          <w:spacing w:val="-10"/>
          <w:sz w:val="24"/>
          <w:szCs w:val="24"/>
        </w:rPr>
        <w:t>≥36m</w:t>
      </w:r>
      <w:r>
        <w:rPr>
          <w:rFonts w:ascii="Times New Roman" w:hAnsi="Times New Roman" w:eastAsia="Times New Roman" w:cs="Times New Roman"/>
          <w:spacing w:val="21"/>
          <w:w w:val="101"/>
          <w:sz w:val="24"/>
          <w:szCs w:val="24"/>
        </w:rPr>
        <w:t xml:space="preserve"> </w:t>
      </w:r>
      <w:r>
        <w:rPr>
          <w:rFonts w:ascii="宋体" w:hAnsi="宋体" w:eastAsia="宋体" w:cs="宋体"/>
          <w:spacing w:val="-10"/>
          <w:sz w:val="24"/>
          <w:szCs w:val="24"/>
        </w:rPr>
        <w:t>时</w:t>
      </w:r>
      <w:r>
        <w:rPr>
          <w:rFonts w:ascii="宋体" w:hAnsi="宋体" w:eastAsia="宋体" w:cs="宋体"/>
          <w:spacing w:val="-11"/>
          <w:sz w:val="24"/>
          <w:szCs w:val="24"/>
        </w:rPr>
        <w:t>，</w:t>
      </w:r>
      <w:r>
        <w:rPr>
          <w:rFonts w:ascii="宋体" w:hAnsi="宋体" w:eastAsia="宋体" w:cs="宋体"/>
          <w:spacing w:val="-56"/>
          <w:sz w:val="24"/>
          <w:szCs w:val="24"/>
        </w:rPr>
        <w:t xml:space="preserve"> </w:t>
      </w:r>
      <w:r>
        <w:rPr>
          <w:rFonts w:ascii="宋体" w:hAnsi="宋体" w:eastAsia="宋体" w:cs="宋体"/>
          <w:spacing w:val="-11"/>
          <w:sz w:val="24"/>
          <w:szCs w:val="24"/>
        </w:rPr>
        <w:t>第一级边坡</w:t>
      </w:r>
      <w:r>
        <w:rPr>
          <w:rFonts w:ascii="宋体" w:hAnsi="宋体" w:eastAsia="宋体" w:cs="宋体"/>
          <w:spacing w:val="-45"/>
          <w:sz w:val="24"/>
          <w:szCs w:val="24"/>
        </w:rPr>
        <w:t xml:space="preserve"> </w:t>
      </w:r>
      <w:r>
        <w:rPr>
          <w:rFonts w:ascii="Times New Roman" w:hAnsi="Times New Roman" w:eastAsia="Times New Roman" w:cs="Times New Roman"/>
          <w:spacing w:val="-11"/>
          <w:sz w:val="24"/>
          <w:szCs w:val="24"/>
        </w:rPr>
        <w:t>8m</w:t>
      </w:r>
      <w:r>
        <w:rPr>
          <w:rFonts w:ascii="Times New Roman" w:hAnsi="Times New Roman" w:eastAsia="Times New Roman" w:cs="Times New Roman"/>
          <w:sz w:val="24"/>
          <w:szCs w:val="24"/>
        </w:rPr>
        <w:t xml:space="preserve">  </w:t>
      </w:r>
      <w:r>
        <w:rPr>
          <w:rFonts w:ascii="宋体" w:hAnsi="宋体" w:eastAsia="宋体" w:cs="宋体"/>
          <w:spacing w:val="-7"/>
          <w:sz w:val="24"/>
          <w:szCs w:val="24"/>
        </w:rPr>
        <w:t>取</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  1.5</w:t>
      </w:r>
      <w:r>
        <w:rPr>
          <w:rFonts w:ascii="宋体" w:hAnsi="宋体" w:eastAsia="宋体" w:cs="宋体"/>
          <w:spacing w:val="-7"/>
          <w:sz w:val="24"/>
          <w:szCs w:val="24"/>
        </w:rPr>
        <w:t xml:space="preserve">，第二级边坡 </w:t>
      </w:r>
      <w:r>
        <w:rPr>
          <w:rFonts w:ascii="Times New Roman" w:hAnsi="Times New Roman" w:eastAsia="Times New Roman" w:cs="Times New Roman"/>
          <w:spacing w:val="-7"/>
          <w:sz w:val="24"/>
          <w:szCs w:val="24"/>
        </w:rPr>
        <w:t>10m</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取</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 xml:space="preserve">1:  1.75 </w:t>
      </w:r>
      <w:r>
        <w:rPr>
          <w:rFonts w:ascii="宋体" w:hAnsi="宋体" w:eastAsia="宋体" w:cs="宋体"/>
          <w:spacing w:val="-7"/>
          <w:sz w:val="24"/>
          <w:szCs w:val="24"/>
        </w:rPr>
        <w:t>放坡， 第</w:t>
      </w:r>
      <w:r>
        <w:rPr>
          <w:rFonts w:ascii="宋体" w:hAnsi="宋体" w:eastAsia="宋体" w:cs="宋体"/>
          <w:spacing w:val="-8"/>
          <w:sz w:val="24"/>
          <w:szCs w:val="24"/>
        </w:rPr>
        <w:t>三级边坡</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12m</w:t>
      </w:r>
      <w:r>
        <w:rPr>
          <w:rFonts w:ascii="Times New Roman" w:hAnsi="Times New Roman" w:eastAsia="Times New Roman" w:cs="Times New Roman"/>
          <w:spacing w:val="12"/>
          <w:sz w:val="24"/>
          <w:szCs w:val="24"/>
        </w:rPr>
        <w:t xml:space="preserve"> </w:t>
      </w:r>
      <w:r>
        <w:rPr>
          <w:rFonts w:ascii="宋体" w:hAnsi="宋体" w:eastAsia="宋体" w:cs="宋体"/>
          <w:spacing w:val="-8"/>
          <w:sz w:val="24"/>
          <w:szCs w:val="24"/>
        </w:rPr>
        <w:t>取</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 xml:space="preserve">1:  2.0 </w:t>
      </w:r>
      <w:r>
        <w:rPr>
          <w:rFonts w:ascii="宋体" w:hAnsi="宋体" w:eastAsia="宋体" w:cs="宋体"/>
          <w:spacing w:val="-8"/>
          <w:sz w:val="24"/>
          <w:szCs w:val="24"/>
        </w:rPr>
        <w:t>放坡，第</w:t>
      </w:r>
      <w:r>
        <w:rPr>
          <w:rFonts w:ascii="宋体" w:hAnsi="宋体" w:eastAsia="宋体" w:cs="宋体"/>
          <w:sz w:val="24"/>
          <w:szCs w:val="24"/>
        </w:rPr>
        <w:t xml:space="preserve"> </w:t>
      </w:r>
      <w:r>
        <w:rPr>
          <w:rFonts w:ascii="宋体" w:hAnsi="宋体" w:eastAsia="宋体" w:cs="宋体"/>
          <w:spacing w:val="-9"/>
          <w:sz w:val="24"/>
          <w:szCs w:val="24"/>
        </w:rPr>
        <w:t>四级边坡取</w:t>
      </w:r>
      <w:r>
        <w:rPr>
          <w:rFonts w:ascii="宋体" w:hAnsi="宋体" w:eastAsia="宋体" w:cs="宋体"/>
          <w:spacing w:val="-27"/>
          <w:sz w:val="24"/>
          <w:szCs w:val="24"/>
        </w:rPr>
        <w:t xml:space="preserve"> </w:t>
      </w:r>
      <w:r>
        <w:rPr>
          <w:rFonts w:ascii="Times New Roman" w:hAnsi="Times New Roman" w:eastAsia="Times New Roman" w:cs="Times New Roman"/>
          <w:spacing w:val="-9"/>
          <w:sz w:val="24"/>
          <w:szCs w:val="24"/>
        </w:rPr>
        <w:t xml:space="preserve">1: 2.0 </w:t>
      </w:r>
      <w:r>
        <w:rPr>
          <w:rFonts w:ascii="宋体" w:hAnsi="宋体" w:eastAsia="宋体" w:cs="宋体"/>
          <w:spacing w:val="-9"/>
          <w:sz w:val="24"/>
          <w:szCs w:val="24"/>
        </w:rPr>
        <w:t>放坡到底。两级边坡之间设</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2m</w:t>
      </w:r>
      <w:r>
        <w:rPr>
          <w:rFonts w:ascii="Times New Roman" w:hAnsi="Times New Roman" w:eastAsia="Times New Roman" w:cs="Times New Roman"/>
          <w:spacing w:val="22"/>
          <w:w w:val="101"/>
          <w:sz w:val="24"/>
          <w:szCs w:val="24"/>
        </w:rPr>
        <w:t xml:space="preserve"> </w:t>
      </w:r>
      <w:r>
        <w:rPr>
          <w:rFonts w:ascii="宋体" w:hAnsi="宋体" w:eastAsia="宋体" w:cs="宋体"/>
          <w:spacing w:val="-9"/>
          <w:sz w:val="24"/>
          <w:szCs w:val="24"/>
        </w:rPr>
        <w:t>宽的平台，</w:t>
      </w:r>
      <w:r>
        <w:rPr>
          <w:rFonts w:ascii="宋体" w:hAnsi="宋体" w:eastAsia="宋体" w:cs="宋体"/>
          <w:spacing w:val="-61"/>
          <w:sz w:val="24"/>
          <w:szCs w:val="24"/>
        </w:rPr>
        <w:t xml:space="preserve"> </w:t>
      </w:r>
      <w:r>
        <w:rPr>
          <w:rFonts w:ascii="宋体" w:hAnsi="宋体" w:eastAsia="宋体" w:cs="宋体"/>
          <w:spacing w:val="-9"/>
          <w:sz w:val="24"/>
          <w:szCs w:val="24"/>
        </w:rPr>
        <w:t>路堤护坡道宽</w:t>
      </w:r>
      <w:r>
        <w:rPr>
          <w:rFonts w:ascii="宋体" w:hAnsi="宋体" w:eastAsia="宋体" w:cs="宋体"/>
          <w:spacing w:val="-31"/>
          <w:sz w:val="24"/>
          <w:szCs w:val="24"/>
        </w:rPr>
        <w:t xml:space="preserve"> </w:t>
      </w:r>
      <w:r>
        <w:rPr>
          <w:rFonts w:ascii="Times New Roman" w:hAnsi="Times New Roman" w:eastAsia="Times New Roman" w:cs="Times New Roman"/>
          <w:spacing w:val="-9"/>
          <w:sz w:val="24"/>
          <w:szCs w:val="24"/>
        </w:rPr>
        <w:t>1.0m</w:t>
      </w:r>
      <w:r>
        <w:rPr>
          <w:rFonts w:ascii="宋体" w:hAnsi="宋体" w:eastAsia="宋体" w:cs="宋体"/>
          <w:spacing w:val="-9"/>
          <w:sz w:val="24"/>
          <w:szCs w:val="24"/>
        </w:rPr>
        <w:t>，</w:t>
      </w:r>
      <w:r>
        <w:rPr>
          <w:rFonts w:ascii="宋体" w:hAnsi="宋体" w:eastAsia="宋体" w:cs="宋体"/>
          <w:sz w:val="24"/>
          <w:szCs w:val="24"/>
        </w:rPr>
        <w:t xml:space="preserve"> 平台和护坡道横坡均为 </w:t>
      </w:r>
      <w:r>
        <w:rPr>
          <w:rFonts w:ascii="Times New Roman" w:hAnsi="Times New Roman" w:eastAsia="Times New Roman" w:cs="Times New Roman"/>
          <w:sz w:val="24"/>
          <w:szCs w:val="24"/>
        </w:rPr>
        <w:t>4%</w:t>
      </w:r>
      <w:r>
        <w:rPr>
          <w:rFonts w:ascii="宋体" w:hAnsi="宋体" w:eastAsia="宋体" w:cs="宋体"/>
          <w:sz w:val="24"/>
          <w:szCs w:val="24"/>
        </w:rPr>
        <w:t>。对低填方路段</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宋体" w:hAnsi="宋体" w:eastAsia="宋体" w:cs="宋体"/>
          <w:spacing w:val="-1"/>
          <w:sz w:val="24"/>
          <w:szCs w:val="24"/>
        </w:rPr>
        <w:t>＜</w:t>
      </w:r>
      <w:r>
        <w:rPr>
          <w:rFonts w:ascii="Times New Roman" w:hAnsi="Times New Roman" w:eastAsia="Times New Roman" w:cs="Times New Roman"/>
          <w:spacing w:val="-1"/>
          <w:sz w:val="24"/>
          <w:szCs w:val="24"/>
        </w:rPr>
        <w:t>3m</w:t>
      </w:r>
      <w:r>
        <w:rPr>
          <w:rFonts w:ascii="宋体" w:hAnsi="宋体" w:eastAsia="宋体" w:cs="宋体"/>
          <w:spacing w:val="-1"/>
          <w:sz w:val="24"/>
          <w:szCs w:val="24"/>
        </w:rPr>
        <w:t>）、山凹填方路段结合废弃</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方，在有条件路段和不占有农田的前提下，尽可能放缓边坡。</w:t>
      </w:r>
    </w:p>
    <w:p>
      <w:pPr>
        <w:spacing w:line="219" w:lineRule="auto"/>
        <w:rPr>
          <w:rFonts w:ascii="宋体" w:hAnsi="宋体" w:eastAsia="宋体" w:cs="宋体"/>
          <w:sz w:val="24"/>
          <w:szCs w:val="24"/>
        </w:rPr>
        <w:sectPr>
          <w:headerReference r:id="rId101" w:type="default"/>
          <w:footerReference r:id="rId102" w:type="default"/>
          <w:pgSz w:w="11907" w:h="16839"/>
          <w:pgMar w:top="1118" w:right="1729" w:bottom="1184" w:left="1771" w:header="879" w:footer="1024" w:gutter="0"/>
          <w:cols w:space="720" w:num="1"/>
        </w:sectPr>
      </w:pPr>
    </w:p>
    <w:p>
      <w:pPr>
        <w:pStyle w:val="2"/>
        <w:spacing w:line="329" w:lineRule="auto"/>
      </w:pPr>
    </w:p>
    <w:p>
      <w:pPr>
        <w:spacing w:line="4039" w:lineRule="exact"/>
        <w:ind w:firstLine="30"/>
      </w:pPr>
      <w:r>
        <w:rPr>
          <w:position w:val="-80"/>
        </w:rPr>
        <w:drawing>
          <wp:inline distT="0" distB="0" distL="0" distR="0">
            <wp:extent cx="5270500" cy="256476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448"/>
                    <a:stretch>
                      <a:fillRect/>
                    </a:stretch>
                  </pic:blipFill>
                  <pic:spPr>
                    <a:xfrm>
                      <a:off x="0" y="0"/>
                      <a:ext cx="5270500" cy="2564765"/>
                    </a:xfrm>
                    <a:prstGeom prst="rect">
                      <a:avLst/>
                    </a:prstGeom>
                  </pic:spPr>
                </pic:pic>
              </a:graphicData>
            </a:graphic>
          </wp:inline>
        </w:drawing>
      </w:r>
    </w:p>
    <w:p>
      <w:pPr>
        <w:spacing w:before="43" w:line="220" w:lineRule="auto"/>
        <w:ind w:left="2555"/>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3.2-4      </w:t>
      </w:r>
      <w:r>
        <w:rPr>
          <w:rFonts w:ascii="宋体" w:hAnsi="宋体" w:eastAsia="宋体" w:cs="宋体"/>
          <w:spacing w:val="-3"/>
          <w:sz w:val="24"/>
          <w:szCs w:val="24"/>
        </w:rPr>
        <w:t>一般填方路基断面图</w:t>
      </w:r>
    </w:p>
    <w:p>
      <w:pPr>
        <w:spacing w:before="184" w:line="359" w:lineRule="auto"/>
        <w:ind w:left="38" w:right="237" w:firstLine="479"/>
        <w:rPr>
          <w:rFonts w:ascii="宋体" w:hAnsi="宋体" w:eastAsia="宋体" w:cs="宋体"/>
          <w:sz w:val="24"/>
          <w:szCs w:val="24"/>
        </w:rPr>
      </w:pPr>
      <w:r>
        <w:rPr>
          <w:rFonts w:ascii="宋体" w:hAnsi="宋体" w:eastAsia="宋体" w:cs="宋体"/>
          <w:spacing w:val="-10"/>
          <w:sz w:val="24"/>
          <w:szCs w:val="24"/>
        </w:rPr>
        <w:t>根据省厅相关文件，</w:t>
      </w:r>
      <w:r>
        <w:rPr>
          <w:rFonts w:ascii="宋体" w:hAnsi="宋体" w:eastAsia="宋体" w:cs="宋体"/>
          <w:spacing w:val="70"/>
          <w:sz w:val="24"/>
          <w:szCs w:val="24"/>
        </w:rPr>
        <w:t xml:space="preserve"> </w:t>
      </w:r>
      <w:r>
        <w:rPr>
          <w:rFonts w:ascii="宋体" w:hAnsi="宋体" w:eastAsia="宋体" w:cs="宋体"/>
          <w:spacing w:val="-10"/>
          <w:sz w:val="24"/>
          <w:szCs w:val="24"/>
        </w:rPr>
        <w:t>填方路基上路床</w:t>
      </w:r>
      <w:r>
        <w:rPr>
          <w:rFonts w:ascii="宋体" w:hAnsi="宋体" w:eastAsia="宋体" w:cs="宋体"/>
          <w:spacing w:val="-49"/>
          <w:sz w:val="24"/>
          <w:szCs w:val="24"/>
        </w:rPr>
        <w:t xml:space="preserve"> </w:t>
      </w:r>
      <w:r>
        <w:rPr>
          <w:rFonts w:ascii="Times New Roman" w:hAnsi="Times New Roman" w:eastAsia="Times New Roman" w:cs="Times New Roman"/>
          <w:spacing w:val="-10"/>
          <w:sz w:val="24"/>
          <w:szCs w:val="24"/>
        </w:rPr>
        <w:t xml:space="preserve">30cm </w:t>
      </w:r>
      <w:r>
        <w:rPr>
          <w:rFonts w:ascii="宋体" w:hAnsi="宋体" w:eastAsia="宋体" w:cs="宋体"/>
          <w:spacing w:val="-10"/>
          <w:sz w:val="24"/>
          <w:szCs w:val="24"/>
        </w:rPr>
        <w:t>采用透水性材料（级配碎石） 填</w:t>
      </w:r>
      <w:r>
        <w:rPr>
          <w:rFonts w:ascii="宋体" w:hAnsi="宋体" w:eastAsia="宋体" w:cs="宋体"/>
          <w:sz w:val="24"/>
          <w:szCs w:val="24"/>
        </w:rPr>
        <w:t xml:space="preserve"> </w:t>
      </w:r>
      <w:r>
        <w:rPr>
          <w:rFonts w:ascii="宋体" w:hAnsi="宋体" w:eastAsia="宋体" w:cs="宋体"/>
          <w:spacing w:val="-11"/>
          <w:sz w:val="24"/>
          <w:szCs w:val="24"/>
        </w:rPr>
        <w:t>筑；</w:t>
      </w:r>
      <w:r>
        <w:rPr>
          <w:rFonts w:ascii="宋体" w:hAnsi="宋体" w:eastAsia="宋体" w:cs="宋体"/>
          <w:spacing w:val="-33"/>
          <w:sz w:val="24"/>
          <w:szCs w:val="24"/>
        </w:rPr>
        <w:t xml:space="preserve"> </w:t>
      </w:r>
      <w:r>
        <w:rPr>
          <w:rFonts w:ascii="宋体" w:hAnsi="宋体" w:eastAsia="宋体" w:cs="宋体"/>
          <w:spacing w:val="-11"/>
          <w:sz w:val="24"/>
          <w:szCs w:val="24"/>
        </w:rPr>
        <w:t>一般填方段清表按</w:t>
      </w:r>
      <w:r>
        <w:rPr>
          <w:rFonts w:ascii="宋体" w:hAnsi="宋体" w:eastAsia="宋体" w:cs="宋体"/>
          <w:spacing w:val="-55"/>
          <w:sz w:val="24"/>
          <w:szCs w:val="24"/>
        </w:rPr>
        <w:t xml:space="preserve"> </w:t>
      </w:r>
      <w:r>
        <w:rPr>
          <w:rFonts w:ascii="Times New Roman" w:hAnsi="Times New Roman" w:eastAsia="Times New Roman" w:cs="Times New Roman"/>
          <w:spacing w:val="-11"/>
          <w:sz w:val="24"/>
          <w:szCs w:val="24"/>
        </w:rPr>
        <w:t xml:space="preserve">20cm </w:t>
      </w:r>
      <w:r>
        <w:rPr>
          <w:rFonts w:ascii="宋体" w:hAnsi="宋体" w:eastAsia="宋体" w:cs="宋体"/>
          <w:spacing w:val="-11"/>
          <w:sz w:val="24"/>
          <w:szCs w:val="24"/>
        </w:rPr>
        <w:t>考虑， 清除的表土不得用于路基填</w:t>
      </w:r>
      <w:r>
        <w:rPr>
          <w:rFonts w:ascii="宋体" w:hAnsi="宋体" w:eastAsia="宋体" w:cs="宋体"/>
          <w:spacing w:val="-12"/>
          <w:sz w:val="24"/>
          <w:szCs w:val="24"/>
        </w:rPr>
        <w:t>筑，</w:t>
      </w:r>
      <w:r>
        <w:rPr>
          <w:rFonts w:ascii="宋体" w:hAnsi="宋体" w:eastAsia="宋体" w:cs="宋体"/>
          <w:spacing w:val="53"/>
          <w:sz w:val="24"/>
          <w:szCs w:val="24"/>
        </w:rPr>
        <w:t xml:space="preserve"> </w:t>
      </w:r>
      <w:r>
        <w:rPr>
          <w:rFonts w:ascii="宋体" w:hAnsi="宋体" w:eastAsia="宋体" w:cs="宋体"/>
          <w:spacing w:val="-12"/>
          <w:sz w:val="24"/>
          <w:szCs w:val="24"/>
        </w:rPr>
        <w:t>应结合附近</w:t>
      </w:r>
      <w:r>
        <w:rPr>
          <w:rFonts w:ascii="宋体" w:hAnsi="宋体" w:eastAsia="宋体" w:cs="宋体"/>
          <w:sz w:val="24"/>
          <w:szCs w:val="24"/>
        </w:rPr>
        <w:t xml:space="preserve"> </w:t>
      </w:r>
      <w:r>
        <w:rPr>
          <w:rFonts w:ascii="宋体" w:hAnsi="宋体" w:eastAsia="宋体" w:cs="宋体"/>
          <w:spacing w:val="-8"/>
          <w:sz w:val="24"/>
          <w:szCs w:val="24"/>
        </w:rPr>
        <w:t>地形和弃土场进行集中堆放，</w:t>
      </w:r>
      <w:r>
        <w:rPr>
          <w:rFonts w:ascii="宋体" w:hAnsi="宋体" w:eastAsia="宋体" w:cs="宋体"/>
          <w:spacing w:val="59"/>
          <w:sz w:val="24"/>
          <w:szCs w:val="24"/>
        </w:rPr>
        <w:t xml:space="preserve"> </w:t>
      </w:r>
      <w:r>
        <w:rPr>
          <w:rFonts w:ascii="宋体" w:hAnsi="宋体" w:eastAsia="宋体" w:cs="宋体"/>
          <w:spacing w:val="-8"/>
          <w:sz w:val="24"/>
          <w:szCs w:val="24"/>
        </w:rPr>
        <w:t>以便用于弃土场、边坡、中央分隔带等部位</w:t>
      </w:r>
      <w:r>
        <w:rPr>
          <w:rFonts w:ascii="宋体" w:hAnsi="宋体" w:eastAsia="宋体" w:cs="宋体"/>
          <w:spacing w:val="-9"/>
          <w:sz w:val="24"/>
          <w:szCs w:val="24"/>
        </w:rPr>
        <w:t>绿化防</w:t>
      </w:r>
    </w:p>
    <w:p>
      <w:pPr>
        <w:spacing w:line="220" w:lineRule="auto"/>
        <w:ind w:left="39"/>
        <w:rPr>
          <w:rFonts w:ascii="宋体" w:hAnsi="宋体" w:eastAsia="宋体" w:cs="宋体"/>
          <w:sz w:val="24"/>
          <w:szCs w:val="24"/>
        </w:rPr>
      </w:pPr>
      <w:r>
        <w:rPr>
          <w:rFonts w:ascii="宋体" w:hAnsi="宋体" w:eastAsia="宋体" w:cs="宋体"/>
          <w:spacing w:val="-12"/>
          <w:sz w:val="24"/>
          <w:szCs w:val="24"/>
        </w:rPr>
        <w:t>护。</w:t>
      </w:r>
    </w:p>
    <w:p>
      <w:pPr>
        <w:spacing w:before="178"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）一般挖方路基</w:t>
      </w:r>
    </w:p>
    <w:p>
      <w:pPr>
        <w:spacing w:before="182" w:line="359" w:lineRule="auto"/>
        <w:ind w:left="37" w:right="235" w:firstLine="479"/>
        <w:rPr>
          <w:rFonts w:ascii="宋体" w:hAnsi="宋体" w:eastAsia="宋体" w:cs="宋体"/>
          <w:sz w:val="24"/>
          <w:szCs w:val="24"/>
        </w:rPr>
      </w:pPr>
      <w:r>
        <w:rPr>
          <w:rFonts w:ascii="宋体" w:hAnsi="宋体" w:eastAsia="宋体" w:cs="宋体"/>
          <w:spacing w:val="-1"/>
          <w:sz w:val="24"/>
          <w:szCs w:val="24"/>
        </w:rPr>
        <w:t>边坡高度</w:t>
      </w:r>
      <w:r>
        <w:rPr>
          <w:rFonts w:ascii="Times New Roman" w:hAnsi="Times New Roman" w:eastAsia="Times New Roman" w:cs="Times New Roman"/>
          <w:spacing w:val="-1"/>
          <w:sz w:val="24"/>
          <w:szCs w:val="24"/>
        </w:rPr>
        <w:t>≤20m</w:t>
      </w:r>
      <w:r>
        <w:rPr>
          <w:rFonts w:ascii="Times New Roman" w:hAnsi="Times New Roman" w:eastAsia="Times New Roman" w:cs="Times New Roman"/>
          <w:spacing w:val="22"/>
          <w:w w:val="101"/>
          <w:sz w:val="24"/>
          <w:szCs w:val="24"/>
        </w:rPr>
        <w:t xml:space="preserve"> </w:t>
      </w:r>
      <w:r>
        <w:rPr>
          <w:rFonts w:ascii="宋体" w:hAnsi="宋体" w:eastAsia="宋体" w:cs="宋体"/>
          <w:spacing w:val="-1"/>
          <w:sz w:val="24"/>
          <w:szCs w:val="24"/>
        </w:rPr>
        <w:t>时，坡顶和坡脚采用弧形</w:t>
      </w:r>
      <w:r>
        <w:rPr>
          <w:rFonts w:ascii="宋体" w:hAnsi="宋体" w:eastAsia="宋体" w:cs="宋体"/>
          <w:spacing w:val="-2"/>
          <w:sz w:val="24"/>
          <w:szCs w:val="24"/>
        </w:rPr>
        <w:t>；边坡高度＞</w:t>
      </w:r>
      <w:r>
        <w:rPr>
          <w:rFonts w:ascii="Times New Roman" w:hAnsi="Times New Roman" w:eastAsia="Times New Roman" w:cs="Times New Roman"/>
          <w:spacing w:val="-2"/>
          <w:sz w:val="24"/>
          <w:szCs w:val="24"/>
        </w:rPr>
        <w:t>20m</w:t>
      </w:r>
      <w:r>
        <w:rPr>
          <w:rFonts w:ascii="Times New Roman" w:hAnsi="Times New Roman" w:eastAsia="Times New Roman" w:cs="Times New Roman"/>
          <w:spacing w:val="21"/>
          <w:w w:val="101"/>
          <w:sz w:val="24"/>
          <w:szCs w:val="24"/>
        </w:rPr>
        <w:t xml:space="preserve"> </w:t>
      </w:r>
      <w:r>
        <w:rPr>
          <w:rFonts w:ascii="宋体" w:hAnsi="宋体" w:eastAsia="宋体" w:cs="宋体"/>
          <w:spacing w:val="-2"/>
          <w:sz w:val="24"/>
          <w:szCs w:val="24"/>
        </w:rPr>
        <w:t>时，因对自然破</w:t>
      </w:r>
      <w:r>
        <w:rPr>
          <w:rFonts w:ascii="宋体" w:hAnsi="宋体" w:eastAsia="宋体" w:cs="宋体"/>
          <w:sz w:val="24"/>
          <w:szCs w:val="24"/>
        </w:rPr>
        <w:t xml:space="preserve"> </w:t>
      </w:r>
      <w:r>
        <w:rPr>
          <w:rFonts w:ascii="宋体" w:hAnsi="宋体" w:eastAsia="宋体" w:cs="宋体"/>
          <w:spacing w:val="-10"/>
          <w:sz w:val="24"/>
          <w:szCs w:val="24"/>
        </w:rPr>
        <w:t>坏大，</w:t>
      </w:r>
      <w:r>
        <w:rPr>
          <w:rFonts w:ascii="宋体" w:hAnsi="宋体" w:eastAsia="宋体" w:cs="宋体"/>
          <w:spacing w:val="-26"/>
          <w:sz w:val="24"/>
          <w:szCs w:val="24"/>
        </w:rPr>
        <w:t xml:space="preserve"> </w:t>
      </w:r>
      <w:r>
        <w:rPr>
          <w:rFonts w:ascii="宋体" w:hAnsi="宋体" w:eastAsia="宋体" w:cs="宋体"/>
          <w:spacing w:val="-10"/>
          <w:sz w:val="24"/>
          <w:szCs w:val="24"/>
        </w:rPr>
        <w:t>坡顶和坡脚不宜采用弧形，</w:t>
      </w:r>
      <w:r>
        <w:rPr>
          <w:rFonts w:ascii="宋体" w:hAnsi="宋体" w:eastAsia="宋体" w:cs="宋体"/>
          <w:spacing w:val="33"/>
          <w:sz w:val="24"/>
          <w:szCs w:val="24"/>
        </w:rPr>
        <w:t xml:space="preserve"> </w:t>
      </w:r>
      <w:r>
        <w:rPr>
          <w:rFonts w:ascii="宋体" w:hAnsi="宋体" w:eastAsia="宋体" w:cs="宋体"/>
          <w:spacing w:val="-10"/>
          <w:sz w:val="24"/>
          <w:szCs w:val="24"/>
        </w:rPr>
        <w:t>而两端采用弧形自然过渡。一级边坡碎落台宽</w:t>
      </w:r>
      <w:r>
        <w:rPr>
          <w:rFonts w:ascii="宋体" w:hAnsi="宋体" w:eastAsia="宋体" w:cs="宋体"/>
          <w:sz w:val="24"/>
          <w:szCs w:val="24"/>
        </w:rPr>
        <w:t xml:space="preserve"> </w:t>
      </w:r>
      <w:r>
        <w:rPr>
          <w:rFonts w:ascii="宋体" w:hAnsi="宋体" w:eastAsia="宋体" w:cs="宋体"/>
          <w:spacing w:val="-2"/>
          <w:sz w:val="24"/>
          <w:szCs w:val="24"/>
        </w:rPr>
        <w:t xml:space="preserve">度为 </w:t>
      </w:r>
      <w:r>
        <w:rPr>
          <w:rFonts w:ascii="Times New Roman" w:hAnsi="Times New Roman" w:eastAsia="Times New Roman" w:cs="Times New Roman"/>
          <w:spacing w:val="-2"/>
          <w:sz w:val="24"/>
          <w:szCs w:val="24"/>
        </w:rPr>
        <w:t>1.0m</w:t>
      </w:r>
      <w:r>
        <w:rPr>
          <w:rFonts w:ascii="宋体" w:hAnsi="宋体" w:eastAsia="宋体" w:cs="宋体"/>
          <w:spacing w:val="-2"/>
          <w:sz w:val="24"/>
          <w:szCs w:val="24"/>
        </w:rPr>
        <w:t xml:space="preserve">，二级及以上各级边坡碎落台宽度为 </w:t>
      </w:r>
      <w:r>
        <w:rPr>
          <w:rFonts w:ascii="Times New Roman" w:hAnsi="Times New Roman" w:eastAsia="Times New Roman" w:cs="Times New Roman"/>
          <w:spacing w:val="-2"/>
          <w:sz w:val="24"/>
          <w:szCs w:val="24"/>
        </w:rPr>
        <w:t>2.0m</w:t>
      </w:r>
      <w:r>
        <w:rPr>
          <w:rFonts w:ascii="宋体" w:hAnsi="宋体" w:eastAsia="宋体" w:cs="宋体"/>
          <w:spacing w:val="-2"/>
          <w:sz w:val="24"/>
          <w:szCs w:val="24"/>
        </w:rPr>
        <w:t xml:space="preserve">，横坡为 </w:t>
      </w:r>
      <w:r>
        <w:rPr>
          <w:rFonts w:ascii="Times New Roman" w:hAnsi="Times New Roman" w:eastAsia="Times New Roman" w:cs="Times New Roman"/>
          <w:spacing w:val="-2"/>
          <w:sz w:val="24"/>
          <w:szCs w:val="24"/>
        </w:rPr>
        <w:t>4%</w:t>
      </w:r>
      <w:r>
        <w:rPr>
          <w:rFonts w:ascii="宋体" w:hAnsi="宋体" w:eastAsia="宋体" w:cs="宋体"/>
          <w:spacing w:val="-2"/>
          <w:sz w:val="24"/>
          <w:szCs w:val="24"/>
        </w:rPr>
        <w:t>，汇水面积较</w:t>
      </w:r>
    </w:p>
    <w:p>
      <w:pPr>
        <w:spacing w:before="1" w:line="219" w:lineRule="auto"/>
        <w:ind w:left="41"/>
        <w:rPr>
          <w:rFonts w:ascii="宋体" w:hAnsi="宋体" w:eastAsia="宋体" w:cs="宋体"/>
          <w:sz w:val="24"/>
          <w:szCs w:val="24"/>
        </w:rPr>
      </w:pPr>
      <w:r>
        <w:rPr>
          <w:rFonts w:ascii="宋体" w:hAnsi="宋体" w:eastAsia="宋体" w:cs="宋体"/>
          <w:spacing w:val="-5"/>
          <w:sz w:val="24"/>
          <w:szCs w:val="24"/>
        </w:rPr>
        <w:t>大路段在坡顶</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5m</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外设截水沟。</w:t>
      </w:r>
    </w:p>
    <w:p>
      <w:pPr>
        <w:pStyle w:val="2"/>
        <w:spacing w:line="260" w:lineRule="auto"/>
      </w:pPr>
    </w:p>
    <w:p>
      <w:pPr>
        <w:spacing w:before="1" w:line="3823" w:lineRule="exact"/>
        <w:ind w:firstLine="28"/>
      </w:pPr>
      <w:r>
        <w:rPr>
          <w:position w:val="-76"/>
        </w:rPr>
        <w:drawing>
          <wp:inline distT="0" distB="0" distL="0" distR="0">
            <wp:extent cx="5425440" cy="242760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49"/>
                    <a:stretch>
                      <a:fillRect/>
                    </a:stretch>
                  </pic:blipFill>
                  <pic:spPr>
                    <a:xfrm>
                      <a:off x="0" y="0"/>
                      <a:ext cx="5425440" cy="2427605"/>
                    </a:xfrm>
                    <a:prstGeom prst="rect">
                      <a:avLst/>
                    </a:prstGeom>
                  </pic:spPr>
                </pic:pic>
              </a:graphicData>
            </a:graphic>
          </wp:inline>
        </w:drawing>
      </w:r>
    </w:p>
    <w:p>
      <w:pPr>
        <w:spacing w:before="153" w:line="220" w:lineRule="auto"/>
        <w:ind w:left="2555"/>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3.2-5      </w:t>
      </w:r>
      <w:r>
        <w:rPr>
          <w:rFonts w:ascii="宋体" w:hAnsi="宋体" w:eastAsia="宋体" w:cs="宋体"/>
          <w:spacing w:val="-3"/>
          <w:sz w:val="24"/>
          <w:szCs w:val="24"/>
        </w:rPr>
        <w:t>一般挖方路基断面图</w:t>
      </w:r>
    </w:p>
    <w:p>
      <w:pPr>
        <w:spacing w:before="261" w:line="220" w:lineRule="auto"/>
        <w:ind w:left="32"/>
        <w:outlineLvl w:val="0"/>
        <w:rPr>
          <w:rFonts w:ascii="宋体" w:hAnsi="宋体" w:eastAsia="宋体" w:cs="宋体"/>
          <w:sz w:val="24"/>
          <w:szCs w:val="24"/>
        </w:rPr>
      </w:pPr>
      <w:r>
        <w:fldChar w:fldCharType="begin"/>
      </w:r>
      <w:r>
        <w:instrText xml:space="preserve"> HYPERLINK "3.2.1.2" </w:instrText>
      </w:r>
      <w:r>
        <w:fldChar w:fldCharType="separate"/>
      </w:r>
      <w:r>
        <w:rPr>
          <w:rFonts w:ascii="Times New Roman" w:hAnsi="Times New Roman" w:eastAsia="Times New Roman" w:cs="Times New Roman"/>
          <w:b/>
          <w:bCs/>
          <w:spacing w:val="-3"/>
          <w:sz w:val="24"/>
          <w:szCs w:val="24"/>
        </w:rPr>
        <w:t>3.2.1.2</w:t>
      </w:r>
      <w:r>
        <w:rPr>
          <w:rFonts w:ascii="Times New Roman" w:hAnsi="Times New Roman" w:eastAsia="Times New Roman" w:cs="Times New Roman"/>
          <w:b/>
          <w:bCs/>
          <w:spacing w:val="-3"/>
          <w:sz w:val="24"/>
          <w:szCs w:val="24"/>
        </w:rPr>
        <w:fldChar w:fldCharType="end"/>
      </w:r>
      <w:r>
        <w:rPr>
          <w:rFonts w:ascii="Times New Roman" w:hAnsi="Times New Roman" w:eastAsia="Times New Roman" w:cs="Times New Roman"/>
          <w:b/>
          <w:bCs/>
          <w:spacing w:val="-3"/>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高填深挖、</w:t>
      </w:r>
      <w:r>
        <w:rPr>
          <w:rFonts w:ascii="宋体" w:hAnsi="宋体" w:eastAsia="宋体" w:cs="宋体"/>
          <w:spacing w:val="-29"/>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低填浅挖等路基</w:t>
      </w:r>
      <w:r>
        <w:rPr>
          <w:rFonts w:ascii="宋体" w:hAnsi="宋体" w:eastAsia="宋体" w:cs="宋体"/>
          <w:spacing w:val="-4"/>
          <w:sz w:val="24"/>
          <w:szCs w:val="24"/>
          <w14:textOutline w14:w="4354" w14:cap="flat" w14:cmpd="sng">
            <w14:solidFill>
              <w14:srgbClr w14:val="000000"/>
            </w14:solidFill>
            <w14:prstDash w14:val="solid"/>
            <w14:miter w14:val="0"/>
          </w14:textOutline>
        </w:rPr>
        <w:t>设计方案</w:t>
      </w:r>
    </w:p>
    <w:p>
      <w:pPr>
        <w:spacing w:line="220" w:lineRule="auto"/>
        <w:rPr>
          <w:rFonts w:ascii="宋体" w:hAnsi="宋体" w:eastAsia="宋体" w:cs="宋体"/>
          <w:sz w:val="24"/>
          <w:szCs w:val="24"/>
        </w:rPr>
        <w:sectPr>
          <w:headerReference r:id="rId103" w:type="default"/>
          <w:footerReference r:id="rId104" w:type="default"/>
          <w:pgSz w:w="11907" w:h="16839"/>
          <w:pgMar w:top="1118" w:right="1562" w:bottom="1184" w:left="1771" w:header="879" w:footer="1024" w:gutter="0"/>
          <w:cols w:space="720" w:num="1"/>
        </w:sectPr>
      </w:pPr>
    </w:p>
    <w:p>
      <w:pPr>
        <w:pStyle w:val="2"/>
        <w:spacing w:line="278" w:lineRule="auto"/>
      </w:pPr>
    </w:p>
    <w:p>
      <w:pPr>
        <w:spacing w:before="78" w:line="217" w:lineRule="auto"/>
        <w:ind w:left="690"/>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、高填深挖路基</w:t>
      </w:r>
    </w:p>
    <w:p>
      <w:pPr>
        <w:spacing w:before="185" w:line="359" w:lineRule="auto"/>
        <w:ind w:left="195" w:right="119" w:firstLine="505"/>
        <w:rPr>
          <w:rFonts w:ascii="宋体" w:hAnsi="宋体" w:eastAsia="宋体" w:cs="宋体"/>
          <w:sz w:val="24"/>
          <w:szCs w:val="24"/>
        </w:rPr>
      </w:pPr>
      <w:r>
        <w:rPr>
          <w:rFonts w:ascii="宋体" w:hAnsi="宋体" w:eastAsia="宋体" w:cs="宋体"/>
          <w:spacing w:val="-19"/>
          <w:sz w:val="24"/>
          <w:szCs w:val="24"/>
        </w:rPr>
        <w:t>由于本项目处于山岭重丘地区，</w:t>
      </w:r>
      <w:r>
        <w:rPr>
          <w:rFonts w:ascii="宋体" w:hAnsi="宋体" w:eastAsia="宋体" w:cs="宋体"/>
          <w:spacing w:val="50"/>
          <w:sz w:val="24"/>
          <w:szCs w:val="24"/>
        </w:rPr>
        <w:t xml:space="preserve"> </w:t>
      </w:r>
      <w:r>
        <w:rPr>
          <w:rFonts w:ascii="宋体" w:hAnsi="宋体" w:eastAsia="宋体" w:cs="宋体"/>
          <w:spacing w:val="-19"/>
          <w:sz w:val="24"/>
          <w:szCs w:val="24"/>
        </w:rPr>
        <w:t>沿线山坡陡峻，</w:t>
      </w:r>
      <w:r>
        <w:rPr>
          <w:rFonts w:ascii="宋体" w:hAnsi="宋体" w:eastAsia="宋体" w:cs="宋体"/>
          <w:spacing w:val="39"/>
          <w:sz w:val="24"/>
          <w:szCs w:val="24"/>
        </w:rPr>
        <w:t xml:space="preserve"> </w:t>
      </w:r>
      <w:r>
        <w:rPr>
          <w:rFonts w:ascii="宋体" w:hAnsi="宋体" w:eastAsia="宋体" w:cs="宋体"/>
          <w:spacing w:val="-19"/>
          <w:sz w:val="24"/>
          <w:szCs w:val="24"/>
        </w:rPr>
        <w:t>地形起伏大、沟壑纵横，</w:t>
      </w:r>
      <w:r>
        <w:rPr>
          <w:rFonts w:ascii="宋体" w:hAnsi="宋体" w:eastAsia="宋体" w:cs="宋体"/>
          <w:spacing w:val="42"/>
          <w:sz w:val="24"/>
          <w:szCs w:val="24"/>
        </w:rPr>
        <w:t xml:space="preserve"> </w:t>
      </w:r>
      <w:r>
        <w:rPr>
          <w:rFonts w:ascii="宋体" w:hAnsi="宋体" w:eastAsia="宋体" w:cs="宋体"/>
          <w:spacing w:val="-19"/>
          <w:sz w:val="24"/>
          <w:szCs w:val="24"/>
        </w:rPr>
        <w:t>建</w:t>
      </w:r>
      <w:r>
        <w:rPr>
          <w:rFonts w:ascii="宋体" w:hAnsi="宋体" w:eastAsia="宋体" w:cs="宋体"/>
          <w:sz w:val="24"/>
          <w:szCs w:val="24"/>
        </w:rPr>
        <w:t xml:space="preserve"> </w:t>
      </w:r>
      <w:r>
        <w:rPr>
          <w:rFonts w:ascii="宋体" w:hAnsi="宋体" w:eastAsia="宋体" w:cs="宋体"/>
          <w:spacing w:val="-3"/>
          <w:sz w:val="24"/>
          <w:szCs w:val="24"/>
        </w:rPr>
        <w:t>设公路存在着平面展线位置狭窄、平纵配合困难的情况。为连接景</w:t>
      </w:r>
      <w:r>
        <w:rPr>
          <w:rFonts w:ascii="宋体" w:hAnsi="宋体" w:eastAsia="宋体" w:cs="宋体"/>
          <w:spacing w:val="-4"/>
          <w:sz w:val="24"/>
          <w:szCs w:val="24"/>
        </w:rPr>
        <w:t>文高速主线及</w:t>
      </w:r>
      <w:r>
        <w:rPr>
          <w:rFonts w:ascii="宋体" w:hAnsi="宋体" w:eastAsia="宋体" w:cs="宋体"/>
          <w:sz w:val="24"/>
          <w:szCs w:val="24"/>
        </w:rPr>
        <w:t xml:space="preserve"> </w:t>
      </w:r>
      <w:r>
        <w:rPr>
          <w:rFonts w:ascii="宋体" w:hAnsi="宋体" w:eastAsia="宋体" w:cs="宋体"/>
          <w:spacing w:val="-10"/>
          <w:sz w:val="24"/>
          <w:szCs w:val="24"/>
        </w:rPr>
        <w:t>西坑互通，配合线路设计等级及平纵坡度的要求，</w:t>
      </w:r>
      <w:r>
        <w:rPr>
          <w:rFonts w:ascii="宋体" w:hAnsi="宋体" w:eastAsia="宋体" w:cs="宋体"/>
          <w:spacing w:val="-44"/>
          <w:sz w:val="24"/>
          <w:szCs w:val="24"/>
        </w:rPr>
        <w:t xml:space="preserve"> </w:t>
      </w:r>
      <w:r>
        <w:rPr>
          <w:rFonts w:ascii="宋体" w:hAnsi="宋体" w:eastAsia="宋体" w:cs="宋体"/>
          <w:spacing w:val="-10"/>
          <w:sz w:val="24"/>
          <w:szCs w:val="24"/>
        </w:rPr>
        <w:t>保证行车速度和行车安全性能，</w:t>
      </w:r>
    </w:p>
    <w:p>
      <w:pPr>
        <w:spacing w:line="216" w:lineRule="auto"/>
        <w:ind w:left="191"/>
        <w:rPr>
          <w:rFonts w:ascii="宋体" w:hAnsi="宋体" w:eastAsia="宋体" w:cs="宋体"/>
          <w:sz w:val="24"/>
          <w:szCs w:val="24"/>
        </w:rPr>
      </w:pPr>
      <w:r>
        <w:rPr>
          <w:rFonts w:ascii="宋体" w:hAnsi="宋体" w:eastAsia="宋体" w:cs="宋体"/>
          <w:spacing w:val="-1"/>
          <w:sz w:val="24"/>
          <w:szCs w:val="24"/>
        </w:rPr>
        <w:t>考虑到标准线位置，对于部分标高和预留高程不足的线路采</w:t>
      </w:r>
      <w:r>
        <w:rPr>
          <w:rFonts w:ascii="宋体" w:hAnsi="宋体" w:eastAsia="宋体" w:cs="宋体"/>
          <w:spacing w:val="-2"/>
          <w:sz w:val="24"/>
          <w:szCs w:val="24"/>
        </w:rPr>
        <w:t>用了高填深挖路基。</w:t>
      </w:r>
    </w:p>
    <w:p>
      <w:pPr>
        <w:spacing w:before="187" w:line="359" w:lineRule="auto"/>
        <w:ind w:left="190" w:right="182" w:firstLine="480"/>
        <w:rPr>
          <w:rFonts w:ascii="宋体" w:hAnsi="宋体" w:eastAsia="宋体" w:cs="宋体"/>
          <w:sz w:val="24"/>
          <w:szCs w:val="24"/>
        </w:rPr>
      </w:pPr>
      <w:r>
        <w:rPr>
          <w:rFonts w:ascii="宋体" w:hAnsi="宋体" w:eastAsia="宋体" w:cs="宋体"/>
          <w:spacing w:val="-7"/>
          <w:sz w:val="24"/>
          <w:szCs w:val="24"/>
        </w:rPr>
        <w:t>根据《公路路基设计规范》（</w:t>
      </w:r>
      <w:r>
        <w:rPr>
          <w:rFonts w:ascii="Times New Roman" w:hAnsi="Times New Roman" w:eastAsia="Times New Roman" w:cs="Times New Roman"/>
          <w:spacing w:val="-7"/>
          <w:sz w:val="24"/>
          <w:szCs w:val="24"/>
        </w:rPr>
        <w:t>JTG D30-2015</w:t>
      </w:r>
      <w:r>
        <w:rPr>
          <w:rFonts w:ascii="宋体" w:hAnsi="宋体" w:eastAsia="宋体" w:cs="宋体"/>
          <w:spacing w:val="-7"/>
          <w:sz w:val="24"/>
          <w:szCs w:val="24"/>
        </w:rPr>
        <w:t>）的相关规定，</w:t>
      </w:r>
      <w:r>
        <w:rPr>
          <w:rFonts w:ascii="宋体" w:hAnsi="宋体" w:eastAsia="宋体" w:cs="宋体"/>
          <w:spacing w:val="46"/>
          <w:sz w:val="24"/>
          <w:szCs w:val="24"/>
        </w:rPr>
        <w:t xml:space="preserve"> </w:t>
      </w:r>
      <w:r>
        <w:rPr>
          <w:rFonts w:ascii="宋体" w:hAnsi="宋体" w:eastAsia="宋体" w:cs="宋体"/>
          <w:spacing w:val="-7"/>
          <w:sz w:val="24"/>
          <w:szCs w:val="24"/>
        </w:rPr>
        <w:t>填方路基</w:t>
      </w:r>
      <w:r>
        <w:rPr>
          <w:rFonts w:ascii="宋体" w:hAnsi="宋体" w:eastAsia="宋体" w:cs="宋体"/>
          <w:spacing w:val="-8"/>
          <w:sz w:val="24"/>
          <w:szCs w:val="24"/>
        </w:rPr>
        <w:t>边坡高</w:t>
      </w:r>
      <w:r>
        <w:rPr>
          <w:rFonts w:ascii="宋体" w:hAnsi="宋体" w:eastAsia="宋体" w:cs="宋体"/>
          <w:sz w:val="24"/>
          <w:szCs w:val="24"/>
        </w:rPr>
        <w:t xml:space="preserve"> </w:t>
      </w:r>
      <w:r>
        <w:rPr>
          <w:rFonts w:ascii="宋体" w:hAnsi="宋体" w:eastAsia="宋体" w:cs="宋体"/>
          <w:spacing w:val="-3"/>
          <w:sz w:val="24"/>
          <w:szCs w:val="24"/>
        </w:rPr>
        <w:t xml:space="preserve">度大于 </w:t>
      </w:r>
      <w:r>
        <w:rPr>
          <w:rFonts w:ascii="Times New Roman" w:hAnsi="Times New Roman" w:eastAsia="Times New Roman" w:cs="Times New Roman"/>
          <w:spacing w:val="-3"/>
          <w:sz w:val="24"/>
          <w:szCs w:val="24"/>
        </w:rPr>
        <w:t xml:space="preserve">20m  </w:t>
      </w:r>
      <w:r>
        <w:rPr>
          <w:rFonts w:ascii="宋体" w:hAnsi="宋体" w:eastAsia="宋体" w:cs="宋体"/>
          <w:spacing w:val="-3"/>
          <w:sz w:val="24"/>
          <w:szCs w:val="24"/>
        </w:rPr>
        <w:t>时属高填方路基，进行专项工点设计。结合本工程隧道、路堑多，</w:t>
      </w:r>
      <w:r>
        <w:rPr>
          <w:rFonts w:ascii="宋体" w:hAnsi="宋体" w:eastAsia="宋体" w:cs="宋体"/>
          <w:spacing w:val="10"/>
          <w:sz w:val="24"/>
          <w:szCs w:val="24"/>
        </w:rPr>
        <w:t xml:space="preserve"> </w:t>
      </w:r>
      <w:r>
        <w:rPr>
          <w:rFonts w:ascii="宋体" w:hAnsi="宋体" w:eastAsia="宋体" w:cs="宋体"/>
          <w:spacing w:val="-9"/>
          <w:sz w:val="24"/>
          <w:szCs w:val="24"/>
        </w:rPr>
        <w:t>弃渣量大的特点， 部分高填方路段采用填石路堤工艺</w:t>
      </w:r>
      <w:r>
        <w:rPr>
          <w:rFonts w:ascii="宋体" w:hAnsi="宋体" w:eastAsia="宋体" w:cs="宋体"/>
          <w:spacing w:val="-10"/>
          <w:sz w:val="24"/>
          <w:szCs w:val="24"/>
        </w:rPr>
        <w:t>进行设计， 边坡采用块石码</w:t>
      </w:r>
      <w:r>
        <w:rPr>
          <w:rFonts w:ascii="宋体" w:hAnsi="宋体" w:eastAsia="宋体" w:cs="宋体"/>
          <w:sz w:val="24"/>
          <w:szCs w:val="24"/>
        </w:rPr>
        <w:t xml:space="preserve"> </w:t>
      </w:r>
      <w:r>
        <w:rPr>
          <w:rFonts w:ascii="宋体" w:hAnsi="宋体" w:eastAsia="宋体" w:cs="宋体"/>
          <w:spacing w:val="-1"/>
          <w:sz w:val="24"/>
          <w:szCs w:val="24"/>
        </w:rPr>
        <w:t>砌，边坡码砌采用抗压强度大于</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30MPa</w:t>
      </w:r>
      <w:r>
        <w:rPr>
          <w:rFonts w:ascii="Times New Roman" w:hAnsi="Times New Roman" w:eastAsia="Times New Roman" w:cs="Times New Roman"/>
          <w:spacing w:val="39"/>
          <w:sz w:val="24"/>
          <w:szCs w:val="24"/>
        </w:rPr>
        <w:t xml:space="preserve"> </w:t>
      </w:r>
      <w:r>
        <w:rPr>
          <w:rFonts w:ascii="宋体" w:hAnsi="宋体" w:eastAsia="宋体" w:cs="宋体"/>
          <w:spacing w:val="-1"/>
          <w:sz w:val="24"/>
          <w:szCs w:val="24"/>
        </w:rPr>
        <w:t>不易风化的石料，码砌石块最小尺寸不</w:t>
      </w:r>
    </w:p>
    <w:p>
      <w:pPr>
        <w:spacing w:line="220" w:lineRule="auto"/>
        <w:ind w:left="198"/>
        <w:rPr>
          <w:rFonts w:ascii="宋体" w:hAnsi="宋体" w:eastAsia="宋体" w:cs="宋体"/>
          <w:sz w:val="24"/>
          <w:szCs w:val="24"/>
        </w:rPr>
      </w:pPr>
      <w:r>
        <w:rPr>
          <w:rFonts w:ascii="宋体" w:hAnsi="宋体" w:eastAsia="宋体" w:cs="宋体"/>
          <w:spacing w:val="-5"/>
          <w:sz w:val="24"/>
          <w:szCs w:val="24"/>
        </w:rPr>
        <w:t>小于</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30cm</w:t>
      </w:r>
      <w:r>
        <w:rPr>
          <w:rFonts w:ascii="宋体" w:hAnsi="宋体" w:eastAsia="宋体" w:cs="宋体"/>
          <w:spacing w:val="-5"/>
          <w:sz w:val="24"/>
          <w:szCs w:val="24"/>
        </w:rPr>
        <w:t>，石块规则。</w:t>
      </w:r>
    </w:p>
    <w:p>
      <w:pPr>
        <w:spacing w:before="180" w:line="359" w:lineRule="auto"/>
        <w:ind w:left="197" w:right="115" w:firstLine="474"/>
        <w:rPr>
          <w:rFonts w:ascii="宋体" w:hAnsi="宋体" w:eastAsia="宋体" w:cs="宋体"/>
          <w:sz w:val="24"/>
          <w:szCs w:val="24"/>
        </w:rPr>
      </w:pPr>
      <w:r>
        <w:rPr>
          <w:rFonts w:ascii="宋体" w:hAnsi="宋体" w:eastAsia="宋体" w:cs="宋体"/>
          <w:spacing w:val="-11"/>
          <w:sz w:val="24"/>
          <w:szCs w:val="24"/>
        </w:rPr>
        <w:t>地面纵坡陡于</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 2.5</w:t>
      </w:r>
      <w:r>
        <w:rPr>
          <w:rFonts w:ascii="Times New Roman" w:hAnsi="Times New Roman" w:eastAsia="Times New Roman" w:cs="Times New Roman"/>
          <w:spacing w:val="21"/>
          <w:w w:val="101"/>
          <w:sz w:val="24"/>
          <w:szCs w:val="24"/>
        </w:rPr>
        <w:t xml:space="preserve"> </w:t>
      </w:r>
      <w:r>
        <w:rPr>
          <w:rFonts w:ascii="宋体" w:hAnsi="宋体" w:eastAsia="宋体" w:cs="宋体"/>
          <w:spacing w:val="-11"/>
          <w:sz w:val="24"/>
          <w:szCs w:val="24"/>
        </w:rPr>
        <w:t>时，</w:t>
      </w:r>
      <w:r>
        <w:rPr>
          <w:rFonts w:ascii="宋体" w:hAnsi="宋体" w:eastAsia="宋体" w:cs="宋体"/>
          <w:spacing w:val="-56"/>
          <w:sz w:val="24"/>
          <w:szCs w:val="24"/>
        </w:rPr>
        <w:t xml:space="preserve"> </w:t>
      </w:r>
      <w:r>
        <w:rPr>
          <w:rFonts w:ascii="宋体" w:hAnsi="宋体" w:eastAsia="宋体" w:cs="宋体"/>
          <w:spacing w:val="-11"/>
          <w:sz w:val="24"/>
          <w:szCs w:val="24"/>
        </w:rPr>
        <w:t>为陡坡路段，</w:t>
      </w:r>
      <w:r>
        <w:rPr>
          <w:rFonts w:ascii="宋体" w:hAnsi="宋体" w:eastAsia="宋体" w:cs="宋体"/>
          <w:spacing w:val="39"/>
          <w:sz w:val="24"/>
          <w:szCs w:val="24"/>
        </w:rPr>
        <w:t xml:space="preserve"> </w:t>
      </w:r>
      <w:r>
        <w:rPr>
          <w:rFonts w:ascii="宋体" w:hAnsi="宋体" w:eastAsia="宋体" w:cs="宋体"/>
          <w:spacing w:val="-11"/>
          <w:sz w:val="24"/>
          <w:szCs w:val="24"/>
        </w:rPr>
        <w:t>应将原地面挖成不小于</w:t>
      </w:r>
      <w:r>
        <w:rPr>
          <w:rFonts w:ascii="宋体" w:hAnsi="宋体" w:eastAsia="宋体" w:cs="宋体"/>
          <w:spacing w:val="-54"/>
          <w:sz w:val="24"/>
          <w:szCs w:val="24"/>
        </w:rPr>
        <w:t xml:space="preserve"> </w:t>
      </w:r>
      <w:r>
        <w:rPr>
          <w:rFonts w:ascii="Times New Roman" w:hAnsi="Times New Roman" w:eastAsia="Times New Roman" w:cs="Times New Roman"/>
          <w:spacing w:val="-11"/>
          <w:sz w:val="24"/>
          <w:szCs w:val="24"/>
        </w:rPr>
        <w:t>2.0m</w:t>
      </w:r>
      <w:r>
        <w:rPr>
          <w:rFonts w:ascii="Times New Roman" w:hAnsi="Times New Roman" w:eastAsia="Times New Roman" w:cs="Times New Roman"/>
          <w:spacing w:val="30"/>
          <w:sz w:val="24"/>
          <w:szCs w:val="24"/>
        </w:rPr>
        <w:t xml:space="preserve"> </w:t>
      </w:r>
      <w:r>
        <w:rPr>
          <w:rFonts w:ascii="宋体" w:hAnsi="宋体" w:eastAsia="宋体" w:cs="宋体"/>
          <w:spacing w:val="-11"/>
          <w:sz w:val="24"/>
          <w:szCs w:val="24"/>
        </w:rPr>
        <w:t>的台阶，</w:t>
      </w:r>
      <w:r>
        <w:rPr>
          <w:rFonts w:ascii="宋体" w:hAnsi="宋体" w:eastAsia="宋体" w:cs="宋体"/>
          <w:sz w:val="24"/>
          <w:szCs w:val="24"/>
        </w:rPr>
        <w:t xml:space="preserve"> </w:t>
      </w:r>
      <w:r>
        <w:rPr>
          <w:rFonts w:ascii="宋体" w:hAnsi="宋体" w:eastAsia="宋体" w:cs="宋体"/>
          <w:spacing w:val="-11"/>
          <w:sz w:val="24"/>
          <w:szCs w:val="24"/>
        </w:rPr>
        <w:t xml:space="preserve">台阶做成向内倾斜 </w:t>
      </w:r>
      <w:r>
        <w:rPr>
          <w:rFonts w:ascii="Times New Roman" w:hAnsi="Times New Roman" w:eastAsia="Times New Roman" w:cs="Times New Roman"/>
          <w:spacing w:val="-11"/>
          <w:sz w:val="24"/>
          <w:szCs w:val="24"/>
        </w:rPr>
        <w:t>4</w:t>
      </w:r>
      <w:r>
        <w:rPr>
          <w:rFonts w:ascii="宋体" w:hAnsi="宋体" w:eastAsia="宋体" w:cs="宋体"/>
          <w:spacing w:val="-11"/>
          <w:sz w:val="24"/>
          <w:szCs w:val="24"/>
        </w:rPr>
        <w:t>％的反坡， 根据地形、地质条件、边坡高度等进行综合考虑，</w:t>
      </w:r>
      <w:r>
        <w:rPr>
          <w:rFonts w:ascii="宋体" w:hAnsi="宋体" w:eastAsia="宋体" w:cs="宋体"/>
          <w:spacing w:val="15"/>
          <w:sz w:val="24"/>
          <w:szCs w:val="24"/>
        </w:rPr>
        <w:t xml:space="preserve"> </w:t>
      </w:r>
      <w:r>
        <w:rPr>
          <w:rFonts w:ascii="宋体" w:hAnsi="宋体" w:eastAsia="宋体" w:cs="宋体"/>
          <w:spacing w:val="-13"/>
          <w:sz w:val="24"/>
          <w:szCs w:val="24"/>
        </w:rPr>
        <w:t>并进行稳定性分析计算，</w:t>
      </w:r>
      <w:r>
        <w:rPr>
          <w:rFonts w:ascii="宋体" w:hAnsi="宋体" w:eastAsia="宋体" w:cs="宋体"/>
          <w:spacing w:val="69"/>
          <w:sz w:val="24"/>
          <w:szCs w:val="24"/>
        </w:rPr>
        <w:t xml:space="preserve"> </w:t>
      </w:r>
      <w:r>
        <w:rPr>
          <w:rFonts w:ascii="宋体" w:hAnsi="宋体" w:eastAsia="宋体" w:cs="宋体"/>
          <w:spacing w:val="-13"/>
          <w:sz w:val="24"/>
          <w:szCs w:val="24"/>
        </w:rPr>
        <w:t>以确定加固处理措施。主要有两大措施，</w:t>
      </w:r>
      <w:r>
        <w:rPr>
          <w:rFonts w:ascii="宋体" w:hAnsi="宋体" w:eastAsia="宋体" w:cs="宋体"/>
          <w:spacing w:val="36"/>
          <w:sz w:val="24"/>
          <w:szCs w:val="24"/>
        </w:rPr>
        <w:t xml:space="preserve"> </w:t>
      </w:r>
      <w:r>
        <w:rPr>
          <w:rFonts w:ascii="宋体" w:hAnsi="宋体" w:eastAsia="宋体" w:cs="宋体"/>
          <w:spacing w:val="-13"/>
          <w:sz w:val="24"/>
          <w:szCs w:val="24"/>
        </w:rPr>
        <w:t>一是改善基底</w:t>
      </w:r>
    </w:p>
    <w:p>
      <w:pPr>
        <w:spacing w:before="1" w:line="218" w:lineRule="auto"/>
        <w:ind w:left="193"/>
        <w:rPr>
          <w:rFonts w:ascii="宋体" w:hAnsi="宋体" w:eastAsia="宋体" w:cs="宋体"/>
          <w:sz w:val="24"/>
          <w:szCs w:val="24"/>
        </w:rPr>
      </w:pPr>
      <w:r>
        <w:rPr>
          <w:rFonts w:ascii="宋体" w:hAnsi="宋体" w:eastAsia="宋体" w:cs="宋体"/>
          <w:spacing w:val="-2"/>
          <w:sz w:val="24"/>
          <w:szCs w:val="24"/>
        </w:rPr>
        <w:t>条件，采用土工材料加固处理，二是设置片石砼挡墙等支挡结构物。</w:t>
      </w:r>
    </w:p>
    <w:p>
      <w:pPr>
        <w:spacing w:before="180" w:line="360" w:lineRule="auto"/>
        <w:ind w:left="192" w:right="182" w:firstLine="480"/>
        <w:rPr>
          <w:rFonts w:ascii="宋体" w:hAnsi="宋体" w:eastAsia="宋体" w:cs="宋体"/>
          <w:sz w:val="24"/>
          <w:szCs w:val="24"/>
        </w:rPr>
      </w:pPr>
      <w:r>
        <w:rPr>
          <w:rFonts w:ascii="宋体" w:hAnsi="宋体" w:eastAsia="宋体" w:cs="宋体"/>
          <w:spacing w:val="-3"/>
          <w:sz w:val="24"/>
          <w:szCs w:val="24"/>
        </w:rPr>
        <w:t>路基挖方边坡高度岩质路段超过</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30 </w:t>
      </w:r>
      <w:r>
        <w:rPr>
          <w:rFonts w:ascii="宋体" w:hAnsi="宋体" w:eastAsia="宋体" w:cs="宋体"/>
          <w:spacing w:val="-3"/>
          <w:sz w:val="24"/>
          <w:szCs w:val="24"/>
        </w:rPr>
        <w:t>米，土质路段</w:t>
      </w:r>
      <w:r>
        <w:rPr>
          <w:rFonts w:ascii="宋体" w:hAnsi="宋体" w:eastAsia="宋体" w:cs="宋体"/>
          <w:spacing w:val="-4"/>
          <w:sz w:val="24"/>
          <w:szCs w:val="24"/>
        </w:rPr>
        <w:t>超过</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20 </w:t>
      </w:r>
      <w:r>
        <w:rPr>
          <w:rFonts w:ascii="宋体" w:hAnsi="宋体" w:eastAsia="宋体" w:cs="宋体"/>
          <w:spacing w:val="-4"/>
          <w:sz w:val="24"/>
          <w:szCs w:val="24"/>
        </w:rPr>
        <w:t>米的路堑边坡进行</w:t>
      </w:r>
      <w:r>
        <w:rPr>
          <w:rFonts w:ascii="宋体" w:hAnsi="宋体" w:eastAsia="宋体" w:cs="宋体"/>
          <w:sz w:val="24"/>
          <w:szCs w:val="24"/>
        </w:rPr>
        <w:t xml:space="preserve"> </w:t>
      </w:r>
      <w:r>
        <w:rPr>
          <w:rFonts w:ascii="宋体" w:hAnsi="宋体" w:eastAsia="宋体" w:cs="宋体"/>
          <w:spacing w:val="-3"/>
          <w:sz w:val="24"/>
          <w:szCs w:val="24"/>
        </w:rPr>
        <w:t>工点设计。路基挖方边坡的处理是本项目应重点考虑的问题之一。首先应</w:t>
      </w:r>
      <w:r>
        <w:rPr>
          <w:rFonts w:ascii="宋体" w:hAnsi="宋体" w:eastAsia="宋体" w:cs="宋体"/>
          <w:spacing w:val="-4"/>
          <w:sz w:val="24"/>
          <w:szCs w:val="24"/>
        </w:rPr>
        <w:t>做好坡</w:t>
      </w:r>
      <w:r>
        <w:rPr>
          <w:rFonts w:ascii="宋体" w:hAnsi="宋体" w:eastAsia="宋体" w:cs="宋体"/>
          <w:sz w:val="24"/>
          <w:szCs w:val="24"/>
        </w:rPr>
        <w:t xml:space="preserve"> </w:t>
      </w:r>
      <w:r>
        <w:rPr>
          <w:rFonts w:ascii="宋体" w:hAnsi="宋体" w:eastAsia="宋体" w:cs="宋体"/>
          <w:spacing w:val="-6"/>
          <w:sz w:val="24"/>
          <w:szCs w:val="24"/>
        </w:rPr>
        <w:t>面形状的处理，</w:t>
      </w:r>
      <w:r>
        <w:rPr>
          <w:rFonts w:ascii="宋体" w:hAnsi="宋体" w:eastAsia="宋体" w:cs="宋体"/>
          <w:spacing w:val="-15"/>
          <w:sz w:val="24"/>
          <w:szCs w:val="24"/>
        </w:rPr>
        <w:t xml:space="preserve"> </w:t>
      </w:r>
      <w:r>
        <w:rPr>
          <w:rFonts w:ascii="宋体" w:hAnsi="宋体" w:eastAsia="宋体" w:cs="宋体"/>
          <w:spacing w:val="-6"/>
          <w:sz w:val="24"/>
          <w:szCs w:val="24"/>
        </w:rPr>
        <w:t>挖方边坡的坡面与地面的结合部应采用变化的坡率并尽可能做成</w:t>
      </w:r>
      <w:r>
        <w:rPr>
          <w:rFonts w:ascii="宋体" w:hAnsi="宋体" w:eastAsia="宋体" w:cs="宋体"/>
          <w:sz w:val="24"/>
          <w:szCs w:val="24"/>
        </w:rPr>
        <w:t xml:space="preserve"> </w:t>
      </w:r>
      <w:r>
        <w:rPr>
          <w:rFonts w:ascii="宋体" w:hAnsi="宋体" w:eastAsia="宋体" w:cs="宋体"/>
          <w:spacing w:val="-6"/>
          <w:sz w:val="24"/>
          <w:szCs w:val="24"/>
        </w:rPr>
        <w:t>弧形。挖方边坡防护应尽量避免大面积采用圬工结构，</w:t>
      </w:r>
      <w:r>
        <w:rPr>
          <w:rFonts w:ascii="宋体" w:hAnsi="宋体" w:eastAsia="宋体" w:cs="宋体"/>
          <w:spacing w:val="-7"/>
          <w:sz w:val="24"/>
          <w:szCs w:val="24"/>
        </w:rPr>
        <w:t xml:space="preserve"> 必要时第一级可采用圬工</w:t>
      </w:r>
    </w:p>
    <w:p>
      <w:pPr>
        <w:spacing w:line="217" w:lineRule="auto"/>
        <w:ind w:left="191"/>
        <w:rPr>
          <w:rFonts w:ascii="宋体" w:hAnsi="宋体" w:eastAsia="宋体" w:cs="宋体"/>
          <w:sz w:val="24"/>
          <w:szCs w:val="24"/>
        </w:rPr>
      </w:pPr>
      <w:r>
        <w:rPr>
          <w:rFonts w:ascii="宋体" w:hAnsi="宋体" w:eastAsia="宋体" w:cs="宋体"/>
          <w:spacing w:val="-1"/>
          <w:sz w:val="24"/>
          <w:szCs w:val="24"/>
        </w:rPr>
        <w:t>挡墙，其上应结合地质情况采用生态防护或工程防护与生态</w:t>
      </w:r>
      <w:r>
        <w:rPr>
          <w:rFonts w:ascii="宋体" w:hAnsi="宋体" w:eastAsia="宋体" w:cs="宋体"/>
          <w:spacing w:val="-2"/>
          <w:sz w:val="24"/>
          <w:szCs w:val="24"/>
        </w:rPr>
        <w:t>防护相结合的方案。</w:t>
      </w:r>
    </w:p>
    <w:p>
      <w:pPr>
        <w:spacing w:before="184" w:line="359" w:lineRule="auto"/>
        <w:ind w:left="192" w:right="183" w:firstLine="479"/>
        <w:rPr>
          <w:rFonts w:ascii="宋体" w:hAnsi="宋体" w:eastAsia="宋体" w:cs="宋体"/>
          <w:sz w:val="24"/>
          <w:szCs w:val="24"/>
        </w:rPr>
      </w:pPr>
      <w:r>
        <w:rPr>
          <w:rFonts w:ascii="宋体" w:hAnsi="宋体" w:eastAsia="宋体" w:cs="宋体"/>
          <w:spacing w:val="-6"/>
          <w:sz w:val="24"/>
          <w:szCs w:val="24"/>
        </w:rPr>
        <w:t>本工程主要通过稳定计算分析结合工程类比分析，</w:t>
      </w:r>
      <w:r>
        <w:rPr>
          <w:rFonts w:ascii="宋体" w:hAnsi="宋体" w:eastAsia="宋体" w:cs="宋体"/>
          <w:spacing w:val="-27"/>
          <w:sz w:val="24"/>
          <w:szCs w:val="24"/>
        </w:rPr>
        <w:t xml:space="preserve"> </w:t>
      </w:r>
      <w:r>
        <w:rPr>
          <w:rFonts w:ascii="宋体" w:hAnsi="宋体" w:eastAsia="宋体" w:cs="宋体"/>
          <w:spacing w:val="-6"/>
          <w:sz w:val="24"/>
          <w:szCs w:val="24"/>
        </w:rPr>
        <w:t>对于路堑边坡存在失稳可</w:t>
      </w:r>
      <w:r>
        <w:rPr>
          <w:rFonts w:ascii="宋体" w:hAnsi="宋体" w:eastAsia="宋体" w:cs="宋体"/>
          <w:sz w:val="24"/>
          <w:szCs w:val="24"/>
        </w:rPr>
        <w:t xml:space="preserve"> </w:t>
      </w:r>
      <w:r>
        <w:rPr>
          <w:rFonts w:ascii="宋体" w:hAnsi="宋体" w:eastAsia="宋体" w:cs="宋体"/>
          <w:spacing w:val="-9"/>
          <w:sz w:val="24"/>
          <w:szCs w:val="24"/>
        </w:rPr>
        <w:t>能的路段， 在地形条件许可的条件下， 尽量采</w:t>
      </w:r>
      <w:r>
        <w:rPr>
          <w:rFonts w:ascii="宋体" w:hAnsi="宋体" w:eastAsia="宋体" w:cs="宋体"/>
          <w:spacing w:val="-10"/>
          <w:sz w:val="24"/>
          <w:szCs w:val="24"/>
        </w:rPr>
        <w:t>用放缓坡率的方法以减少边坡加固</w:t>
      </w:r>
      <w:r>
        <w:rPr>
          <w:rFonts w:ascii="宋体" w:hAnsi="宋体" w:eastAsia="宋体" w:cs="宋体"/>
          <w:sz w:val="24"/>
          <w:szCs w:val="24"/>
        </w:rPr>
        <w:t xml:space="preserve"> </w:t>
      </w:r>
      <w:r>
        <w:rPr>
          <w:rFonts w:ascii="宋体" w:hAnsi="宋体" w:eastAsia="宋体" w:cs="宋体"/>
          <w:spacing w:val="-15"/>
          <w:sz w:val="24"/>
          <w:szCs w:val="24"/>
        </w:rPr>
        <w:t>数量； 对于因地形条件限制，</w:t>
      </w:r>
      <w:r>
        <w:rPr>
          <w:rFonts w:ascii="宋体" w:hAnsi="宋体" w:eastAsia="宋体" w:cs="宋体"/>
          <w:spacing w:val="40"/>
          <w:sz w:val="24"/>
          <w:szCs w:val="24"/>
        </w:rPr>
        <w:t xml:space="preserve"> </w:t>
      </w:r>
      <w:r>
        <w:rPr>
          <w:rFonts w:ascii="宋体" w:hAnsi="宋体" w:eastAsia="宋体" w:cs="宋体"/>
          <w:spacing w:val="-15"/>
          <w:sz w:val="24"/>
          <w:szCs w:val="24"/>
        </w:rPr>
        <w:t>无法放缓坡率的局部路段</w:t>
      </w:r>
      <w:r>
        <w:rPr>
          <w:rFonts w:ascii="宋体" w:hAnsi="宋体" w:eastAsia="宋体" w:cs="宋体"/>
          <w:spacing w:val="-16"/>
          <w:sz w:val="24"/>
          <w:szCs w:val="24"/>
        </w:rPr>
        <w:t>，</w:t>
      </w:r>
      <w:r>
        <w:rPr>
          <w:rFonts w:ascii="宋体" w:hAnsi="宋体" w:eastAsia="宋体" w:cs="宋体"/>
          <w:spacing w:val="43"/>
          <w:sz w:val="24"/>
          <w:szCs w:val="24"/>
        </w:rPr>
        <w:t xml:space="preserve"> </w:t>
      </w:r>
      <w:r>
        <w:rPr>
          <w:rFonts w:ascii="宋体" w:hAnsi="宋体" w:eastAsia="宋体" w:cs="宋体"/>
          <w:spacing w:val="-16"/>
          <w:sz w:val="24"/>
          <w:szCs w:val="24"/>
        </w:rPr>
        <w:t>设计采用系统锚杆、锚</w:t>
      </w:r>
      <w:r>
        <w:rPr>
          <w:rFonts w:ascii="宋体" w:hAnsi="宋体" w:eastAsia="宋体" w:cs="宋体"/>
          <w:sz w:val="24"/>
          <w:szCs w:val="24"/>
        </w:rPr>
        <w:t xml:space="preserve"> </w:t>
      </w:r>
      <w:r>
        <w:rPr>
          <w:rFonts w:ascii="宋体" w:hAnsi="宋体" w:eastAsia="宋体" w:cs="宋体"/>
          <w:spacing w:val="-12"/>
          <w:sz w:val="24"/>
          <w:szCs w:val="24"/>
        </w:rPr>
        <w:t>杆框格、框格锚索、挡土墙等加固方法；</w:t>
      </w:r>
      <w:r>
        <w:rPr>
          <w:rFonts w:ascii="宋体" w:hAnsi="宋体" w:eastAsia="宋体" w:cs="宋体"/>
          <w:spacing w:val="47"/>
          <w:sz w:val="24"/>
          <w:szCs w:val="24"/>
        </w:rPr>
        <w:t xml:space="preserve"> </w:t>
      </w:r>
      <w:r>
        <w:rPr>
          <w:rFonts w:ascii="宋体" w:hAnsi="宋体" w:eastAsia="宋体" w:cs="宋体"/>
          <w:spacing w:val="-12"/>
          <w:sz w:val="24"/>
          <w:szCs w:val="24"/>
        </w:rPr>
        <w:t>另外积极做</w:t>
      </w:r>
      <w:r>
        <w:rPr>
          <w:rFonts w:ascii="宋体" w:hAnsi="宋体" w:eastAsia="宋体" w:cs="宋体"/>
          <w:spacing w:val="-13"/>
          <w:sz w:val="24"/>
          <w:szCs w:val="24"/>
        </w:rPr>
        <w:t>好排水设计，</w:t>
      </w:r>
      <w:r>
        <w:rPr>
          <w:rFonts w:ascii="宋体" w:hAnsi="宋体" w:eastAsia="宋体" w:cs="宋体"/>
          <w:spacing w:val="39"/>
          <w:sz w:val="24"/>
          <w:szCs w:val="24"/>
        </w:rPr>
        <w:t xml:space="preserve"> </w:t>
      </w:r>
      <w:r>
        <w:rPr>
          <w:rFonts w:ascii="宋体" w:hAnsi="宋体" w:eastAsia="宋体" w:cs="宋体"/>
          <w:spacing w:val="-13"/>
          <w:sz w:val="24"/>
          <w:szCs w:val="24"/>
        </w:rPr>
        <w:t>排水包括地表</w:t>
      </w:r>
    </w:p>
    <w:p>
      <w:pPr>
        <w:spacing w:before="1" w:line="219" w:lineRule="auto"/>
        <w:ind w:left="194"/>
        <w:rPr>
          <w:rFonts w:ascii="宋体" w:hAnsi="宋体" w:eastAsia="宋体" w:cs="宋体"/>
          <w:sz w:val="24"/>
          <w:szCs w:val="24"/>
        </w:rPr>
      </w:pPr>
      <w:r>
        <w:rPr>
          <w:rFonts w:ascii="宋体" w:hAnsi="宋体" w:eastAsia="宋体" w:cs="宋体"/>
          <w:spacing w:val="-3"/>
          <w:sz w:val="24"/>
          <w:szCs w:val="24"/>
        </w:rPr>
        <w:t>水的截、防、排水系统及地下排水系统。</w:t>
      </w:r>
    </w:p>
    <w:p>
      <w:pPr>
        <w:spacing w:before="183" w:line="359" w:lineRule="auto"/>
        <w:ind w:left="189" w:right="183" w:firstLine="480"/>
        <w:rPr>
          <w:rFonts w:ascii="宋体" w:hAnsi="宋体" w:eastAsia="宋体" w:cs="宋体"/>
          <w:sz w:val="24"/>
          <w:szCs w:val="24"/>
        </w:rPr>
      </w:pPr>
      <w:r>
        <w:rPr>
          <w:rFonts w:ascii="宋体" w:hAnsi="宋体" w:eastAsia="宋体" w:cs="宋体"/>
          <w:spacing w:val="-8"/>
          <w:sz w:val="24"/>
          <w:szCs w:val="24"/>
        </w:rPr>
        <w:t>对特殊路段，</w:t>
      </w:r>
      <w:r>
        <w:rPr>
          <w:rFonts w:ascii="宋体" w:hAnsi="宋体" w:eastAsia="宋体" w:cs="宋体"/>
          <w:spacing w:val="45"/>
          <w:sz w:val="24"/>
          <w:szCs w:val="24"/>
        </w:rPr>
        <w:t xml:space="preserve"> </w:t>
      </w:r>
      <w:r>
        <w:rPr>
          <w:rFonts w:ascii="宋体" w:hAnsi="宋体" w:eastAsia="宋体" w:cs="宋体"/>
          <w:spacing w:val="-8"/>
          <w:sz w:val="24"/>
          <w:szCs w:val="24"/>
        </w:rPr>
        <w:t>高填方路段、陡坡路段、填挖交界、箱涵基底</w:t>
      </w:r>
      <w:r>
        <w:rPr>
          <w:rFonts w:ascii="宋体" w:hAnsi="宋体" w:eastAsia="宋体" w:cs="宋体"/>
          <w:spacing w:val="-9"/>
          <w:sz w:val="24"/>
          <w:szCs w:val="24"/>
        </w:rPr>
        <w:t>路段均需对路基</w:t>
      </w:r>
      <w:r>
        <w:rPr>
          <w:rFonts w:ascii="宋体" w:hAnsi="宋体" w:eastAsia="宋体" w:cs="宋体"/>
          <w:sz w:val="24"/>
          <w:szCs w:val="24"/>
        </w:rPr>
        <w:t xml:space="preserve"> </w:t>
      </w:r>
      <w:r>
        <w:rPr>
          <w:rFonts w:ascii="宋体" w:hAnsi="宋体" w:eastAsia="宋体" w:cs="宋体"/>
          <w:spacing w:val="-7"/>
          <w:sz w:val="24"/>
          <w:szCs w:val="24"/>
        </w:rPr>
        <w:t>进行采取冲击碾压或强夯补强措施。路基填料</w:t>
      </w:r>
      <w:r>
        <w:rPr>
          <w:rFonts w:ascii="宋体" w:hAnsi="宋体" w:eastAsia="宋体" w:cs="宋体"/>
          <w:spacing w:val="-8"/>
          <w:sz w:val="24"/>
          <w:szCs w:val="24"/>
        </w:rPr>
        <w:t>：</w:t>
      </w:r>
      <w:r>
        <w:rPr>
          <w:rFonts w:ascii="宋体" w:hAnsi="宋体" w:eastAsia="宋体" w:cs="宋体"/>
          <w:spacing w:val="37"/>
          <w:sz w:val="24"/>
          <w:szCs w:val="24"/>
        </w:rPr>
        <w:t xml:space="preserve"> </w:t>
      </w:r>
      <w:r>
        <w:rPr>
          <w:rFonts w:ascii="宋体" w:hAnsi="宋体" w:eastAsia="宋体" w:cs="宋体"/>
          <w:spacing w:val="-8"/>
          <w:sz w:val="24"/>
          <w:szCs w:val="24"/>
        </w:rPr>
        <w:t>一般填方路基采用宕渣、清宕渣</w:t>
      </w:r>
    </w:p>
    <w:p>
      <w:pPr>
        <w:spacing w:line="216" w:lineRule="auto"/>
        <w:ind w:left="193"/>
        <w:rPr>
          <w:rFonts w:ascii="宋体" w:hAnsi="宋体" w:eastAsia="宋体" w:cs="宋体"/>
          <w:sz w:val="24"/>
          <w:szCs w:val="24"/>
        </w:rPr>
      </w:pPr>
      <w:r>
        <w:rPr>
          <w:rFonts w:ascii="宋体" w:hAnsi="宋体" w:eastAsia="宋体" w:cs="宋体"/>
          <w:spacing w:val="-3"/>
          <w:sz w:val="24"/>
          <w:szCs w:val="24"/>
        </w:rPr>
        <w:t>填筑，主要来自沿线路堑及隧道开挖。</w:t>
      </w:r>
    </w:p>
    <w:p>
      <w:pPr>
        <w:spacing w:before="184" w:line="212" w:lineRule="auto"/>
        <w:ind w:left="2264"/>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3.2-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西坑互通连接线高填方路段</w:t>
      </w:r>
    </w:p>
    <w:tbl>
      <w:tblPr>
        <w:tblStyle w:val="5"/>
        <w:tblW w:w="86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1581"/>
        <w:gridCol w:w="1175"/>
        <w:gridCol w:w="720"/>
        <w:gridCol w:w="1389"/>
        <w:gridCol w:w="1392"/>
        <w:gridCol w:w="1391"/>
        <w:gridCol w:w="5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08" w:type="dxa"/>
            <w:textDirection w:val="tbRlV"/>
            <w:vAlign w:val="top"/>
          </w:tcPr>
          <w:p>
            <w:pPr>
              <w:pStyle w:val="6"/>
              <w:spacing w:before="145" w:line="211" w:lineRule="auto"/>
              <w:ind w:left="58"/>
            </w:pPr>
            <w:r>
              <w:rPr>
                <w:spacing w:val="1"/>
              </w:rPr>
              <w:t>序</w:t>
            </w:r>
            <w:r>
              <w:rPr>
                <w:spacing w:val="-5"/>
              </w:rPr>
              <w:t xml:space="preserve"> </w:t>
            </w:r>
            <w:r>
              <w:rPr>
                <w:spacing w:val="1"/>
              </w:rPr>
              <w:t>号</w:t>
            </w:r>
          </w:p>
        </w:tc>
        <w:tc>
          <w:tcPr>
            <w:tcW w:w="1581" w:type="dxa"/>
            <w:vAlign w:val="top"/>
          </w:tcPr>
          <w:p>
            <w:pPr>
              <w:pStyle w:val="6"/>
              <w:spacing w:before="213" w:line="221" w:lineRule="auto"/>
              <w:ind w:left="374"/>
            </w:pPr>
            <w:r>
              <w:rPr>
                <w:spacing w:val="-2"/>
              </w:rPr>
              <w:t>起讫桩号</w:t>
            </w:r>
          </w:p>
        </w:tc>
        <w:tc>
          <w:tcPr>
            <w:tcW w:w="1175" w:type="dxa"/>
            <w:vAlign w:val="top"/>
          </w:tcPr>
          <w:p>
            <w:pPr>
              <w:pStyle w:val="6"/>
              <w:spacing w:before="57" w:line="248" w:lineRule="auto"/>
              <w:ind w:left="306" w:right="162" w:hanging="134"/>
            </w:pPr>
            <w:r>
              <w:rPr>
                <w:spacing w:val="-2"/>
              </w:rPr>
              <w:t>边坡长度</w:t>
            </w:r>
            <w:r>
              <w:rPr>
                <w:spacing w:val="2"/>
              </w:rPr>
              <w:t xml:space="preserve"> </w:t>
            </w:r>
            <w:r>
              <w:rPr>
                <w:spacing w:val="-5"/>
              </w:rPr>
              <w:t>（</w:t>
            </w:r>
            <w:r>
              <w:rPr>
                <w:rFonts w:ascii="Times New Roman" w:hAnsi="Times New Roman" w:eastAsia="Times New Roman" w:cs="Times New Roman"/>
                <w:spacing w:val="-5"/>
              </w:rPr>
              <w:t>m</w:t>
            </w:r>
            <w:r>
              <w:rPr>
                <w:spacing w:val="-5"/>
              </w:rPr>
              <w:t>）</w:t>
            </w:r>
          </w:p>
        </w:tc>
        <w:tc>
          <w:tcPr>
            <w:tcW w:w="720" w:type="dxa"/>
            <w:vAlign w:val="top"/>
          </w:tcPr>
          <w:p>
            <w:pPr>
              <w:pStyle w:val="6"/>
              <w:spacing w:before="58" w:line="312" w:lineRule="exact"/>
              <w:ind w:left="154"/>
            </w:pPr>
            <w:r>
              <w:rPr>
                <w:spacing w:val="-2"/>
                <w:position w:val="7"/>
              </w:rPr>
              <w:t>边坡</w:t>
            </w:r>
          </w:p>
          <w:p>
            <w:pPr>
              <w:pStyle w:val="6"/>
              <w:spacing w:line="221" w:lineRule="auto"/>
              <w:ind w:left="154"/>
            </w:pPr>
            <w:r>
              <w:rPr>
                <w:spacing w:val="-2"/>
              </w:rPr>
              <w:t>位置</w:t>
            </w:r>
          </w:p>
        </w:tc>
        <w:tc>
          <w:tcPr>
            <w:tcW w:w="1389" w:type="dxa"/>
            <w:vAlign w:val="top"/>
          </w:tcPr>
          <w:p>
            <w:pPr>
              <w:pStyle w:val="6"/>
              <w:spacing w:before="57" w:line="248" w:lineRule="auto"/>
              <w:ind w:left="302" w:right="162" w:hanging="106"/>
            </w:pPr>
            <w:r>
              <w:rPr>
                <w:spacing w:val="-5"/>
              </w:rPr>
              <w:t>中心最大高</w:t>
            </w:r>
            <w:r>
              <w:t xml:space="preserve"> </w:t>
            </w:r>
            <w:r>
              <w:rPr>
                <w:spacing w:val="-2"/>
              </w:rPr>
              <w:t>度（</w:t>
            </w:r>
            <w:r>
              <w:rPr>
                <w:rFonts w:ascii="Times New Roman" w:hAnsi="Times New Roman" w:eastAsia="Times New Roman" w:cs="Times New Roman"/>
                <w:spacing w:val="-2"/>
              </w:rPr>
              <w:t>m</w:t>
            </w:r>
            <w:r>
              <w:rPr>
                <w:spacing w:val="-2"/>
              </w:rPr>
              <w:t>）</w:t>
            </w:r>
          </w:p>
        </w:tc>
        <w:tc>
          <w:tcPr>
            <w:tcW w:w="1392" w:type="dxa"/>
            <w:vAlign w:val="top"/>
          </w:tcPr>
          <w:p>
            <w:pPr>
              <w:pStyle w:val="6"/>
              <w:spacing w:before="57" w:line="248" w:lineRule="auto"/>
              <w:ind w:left="303" w:right="164" w:hanging="127"/>
            </w:pPr>
            <w:r>
              <w:rPr>
                <w:spacing w:val="-1"/>
              </w:rPr>
              <w:t>边坡最大高</w:t>
            </w:r>
            <w:r>
              <w:t xml:space="preserve"> </w:t>
            </w:r>
            <w:r>
              <w:rPr>
                <w:spacing w:val="-2"/>
              </w:rPr>
              <w:t>度（</w:t>
            </w:r>
            <w:r>
              <w:rPr>
                <w:rFonts w:ascii="Times New Roman" w:hAnsi="Times New Roman" w:eastAsia="Times New Roman" w:cs="Times New Roman"/>
                <w:spacing w:val="-2"/>
              </w:rPr>
              <w:t>m</w:t>
            </w:r>
            <w:r>
              <w:rPr>
                <w:spacing w:val="-2"/>
              </w:rPr>
              <w:t>）</w:t>
            </w:r>
          </w:p>
        </w:tc>
        <w:tc>
          <w:tcPr>
            <w:tcW w:w="1391" w:type="dxa"/>
            <w:vAlign w:val="top"/>
          </w:tcPr>
          <w:p>
            <w:pPr>
              <w:pStyle w:val="6"/>
              <w:spacing w:before="57" w:line="248" w:lineRule="auto"/>
              <w:ind w:left="304" w:right="162" w:hanging="127"/>
            </w:pPr>
            <w:r>
              <w:rPr>
                <w:spacing w:val="-1"/>
              </w:rPr>
              <w:t>边坡平均高</w:t>
            </w:r>
            <w:r>
              <w:t xml:space="preserve"> </w:t>
            </w:r>
            <w:r>
              <w:rPr>
                <w:spacing w:val="-2"/>
              </w:rPr>
              <w:t>度（</w:t>
            </w:r>
            <w:r>
              <w:rPr>
                <w:rFonts w:ascii="Times New Roman" w:hAnsi="Times New Roman" w:eastAsia="Times New Roman" w:cs="Times New Roman"/>
                <w:spacing w:val="-2"/>
              </w:rPr>
              <w:t>m</w:t>
            </w:r>
            <w:r>
              <w:rPr>
                <w:spacing w:val="-2"/>
              </w:rPr>
              <w:t>）</w:t>
            </w:r>
          </w:p>
        </w:tc>
        <w:tc>
          <w:tcPr>
            <w:tcW w:w="511" w:type="dxa"/>
            <w:textDirection w:val="tbRlV"/>
            <w:vAlign w:val="top"/>
          </w:tcPr>
          <w:p>
            <w:pPr>
              <w:pStyle w:val="6"/>
              <w:spacing w:before="148" w:line="210" w:lineRule="auto"/>
              <w:ind w:left="58"/>
            </w:pPr>
            <w:r>
              <w:rPr>
                <w:spacing w:val="1"/>
              </w:rPr>
              <w:t>备</w:t>
            </w:r>
            <w:r>
              <w:rPr>
                <w:spacing w:val="-5"/>
              </w:rPr>
              <w:t xml:space="preserve"> </w:t>
            </w:r>
            <w:r>
              <w:rPr>
                <w:spacing w:val="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08" w:type="dxa"/>
            <w:vAlign w:val="top"/>
          </w:tcPr>
          <w:p>
            <w:pPr>
              <w:spacing w:before="96" w:line="187" w:lineRule="auto"/>
              <w:ind w:left="22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81" w:type="dxa"/>
            <w:vAlign w:val="top"/>
          </w:tcPr>
          <w:p>
            <w:pPr>
              <w:pStyle w:val="6"/>
              <w:spacing w:before="57" w:line="226" w:lineRule="auto"/>
              <w:ind w:left="223"/>
            </w:pPr>
            <w:r>
              <w:rPr>
                <w:rFonts w:ascii="Times New Roman" w:hAnsi="Times New Roman" w:eastAsia="Times New Roman" w:cs="Times New Roman"/>
                <w:spacing w:val="9"/>
              </w:rPr>
              <w:t>L1K0+340</w:t>
            </w:r>
            <w:r>
              <w:rPr>
                <w:spacing w:val="9"/>
              </w:rPr>
              <w:t>~</w:t>
            </w:r>
          </w:p>
        </w:tc>
        <w:tc>
          <w:tcPr>
            <w:tcW w:w="1175" w:type="dxa"/>
            <w:vAlign w:val="top"/>
          </w:tcPr>
          <w:p>
            <w:pPr>
              <w:spacing w:before="96"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170</w:t>
            </w:r>
          </w:p>
        </w:tc>
        <w:tc>
          <w:tcPr>
            <w:tcW w:w="720" w:type="dxa"/>
            <w:vAlign w:val="top"/>
          </w:tcPr>
          <w:p>
            <w:pPr>
              <w:pStyle w:val="6"/>
              <w:spacing w:before="57" w:line="221" w:lineRule="auto"/>
              <w:ind w:left="156"/>
            </w:pPr>
            <w:r>
              <w:rPr>
                <w:spacing w:val="-2"/>
              </w:rPr>
              <w:t>左侧</w:t>
            </w:r>
          </w:p>
        </w:tc>
        <w:tc>
          <w:tcPr>
            <w:tcW w:w="1389" w:type="dxa"/>
            <w:vAlign w:val="top"/>
          </w:tcPr>
          <w:p>
            <w:pPr>
              <w:spacing w:before="96" w:line="187" w:lineRule="auto"/>
              <w:ind w:left="5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26.9</w:t>
            </w:r>
          </w:p>
        </w:tc>
        <w:tc>
          <w:tcPr>
            <w:tcW w:w="1392" w:type="dxa"/>
            <w:vAlign w:val="top"/>
          </w:tcPr>
          <w:p>
            <w:pPr>
              <w:spacing w:before="96" w:line="187" w:lineRule="auto"/>
              <w:ind w:left="5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25.4</w:t>
            </w:r>
          </w:p>
        </w:tc>
        <w:tc>
          <w:tcPr>
            <w:tcW w:w="1391" w:type="dxa"/>
            <w:vAlign w:val="top"/>
          </w:tcPr>
          <w:p>
            <w:pPr>
              <w:spacing w:before="96" w:line="187" w:lineRule="auto"/>
              <w:ind w:left="5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24.6</w:t>
            </w:r>
          </w:p>
        </w:tc>
        <w:tc>
          <w:tcPr>
            <w:tcW w:w="511" w:type="dxa"/>
            <w:vAlign w:val="top"/>
          </w:tcPr>
          <w:p>
            <w:pPr>
              <w:rPr>
                <w:rFonts w:ascii="Arial"/>
                <w:sz w:val="21"/>
              </w:rPr>
            </w:pPr>
          </w:p>
        </w:tc>
      </w:tr>
    </w:tbl>
    <w:p>
      <w:pPr>
        <w:pStyle w:val="2"/>
      </w:pPr>
    </w:p>
    <w:p>
      <w:pPr>
        <w:sectPr>
          <w:headerReference r:id="rId105" w:type="default"/>
          <w:footerReference r:id="rId106" w:type="default"/>
          <w:pgSz w:w="11907" w:h="16839"/>
          <w:pgMar w:top="1118" w:right="1615" w:bottom="1184" w:left="1618" w:header="879" w:footer="1024" w:gutter="0"/>
          <w:cols w:space="720" w:num="1"/>
        </w:sectPr>
      </w:pPr>
    </w:p>
    <w:p>
      <w:pPr>
        <w:spacing w:before="80"/>
      </w:pPr>
    </w:p>
    <w:tbl>
      <w:tblPr>
        <w:tblStyle w:val="5"/>
        <w:tblW w:w="8667"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1581"/>
        <w:gridCol w:w="1175"/>
        <w:gridCol w:w="720"/>
        <w:gridCol w:w="1389"/>
        <w:gridCol w:w="1392"/>
        <w:gridCol w:w="1391"/>
        <w:gridCol w:w="5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508" w:type="dxa"/>
            <w:vAlign w:val="top"/>
          </w:tcPr>
          <w:p>
            <w:pPr>
              <w:rPr>
                <w:rFonts w:ascii="Arial"/>
                <w:sz w:val="21"/>
              </w:rPr>
            </w:pPr>
          </w:p>
        </w:tc>
        <w:tc>
          <w:tcPr>
            <w:tcW w:w="1581" w:type="dxa"/>
            <w:vAlign w:val="top"/>
          </w:tcPr>
          <w:p>
            <w:pPr>
              <w:spacing w:before="94"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L1K0+510</w:t>
            </w:r>
          </w:p>
        </w:tc>
        <w:tc>
          <w:tcPr>
            <w:tcW w:w="1175" w:type="dxa"/>
            <w:vAlign w:val="top"/>
          </w:tcPr>
          <w:p>
            <w:pPr>
              <w:rPr>
                <w:rFonts w:ascii="Arial"/>
                <w:sz w:val="21"/>
              </w:rPr>
            </w:pPr>
          </w:p>
        </w:tc>
        <w:tc>
          <w:tcPr>
            <w:tcW w:w="720" w:type="dxa"/>
            <w:vAlign w:val="top"/>
          </w:tcPr>
          <w:p>
            <w:pPr>
              <w:rPr>
                <w:rFonts w:ascii="Arial"/>
                <w:sz w:val="21"/>
              </w:rPr>
            </w:pPr>
          </w:p>
        </w:tc>
        <w:tc>
          <w:tcPr>
            <w:tcW w:w="1389" w:type="dxa"/>
            <w:vAlign w:val="top"/>
          </w:tcPr>
          <w:p>
            <w:pPr>
              <w:rPr>
                <w:rFonts w:ascii="Arial"/>
                <w:sz w:val="21"/>
              </w:rPr>
            </w:pPr>
          </w:p>
        </w:tc>
        <w:tc>
          <w:tcPr>
            <w:tcW w:w="1392" w:type="dxa"/>
            <w:vAlign w:val="top"/>
          </w:tcPr>
          <w:p>
            <w:pPr>
              <w:rPr>
                <w:rFonts w:ascii="Arial"/>
                <w:sz w:val="21"/>
              </w:rPr>
            </w:pPr>
          </w:p>
        </w:tc>
        <w:tc>
          <w:tcPr>
            <w:tcW w:w="1391" w:type="dxa"/>
            <w:vAlign w:val="top"/>
          </w:tcPr>
          <w:p>
            <w:pPr>
              <w:rPr>
                <w:rFonts w:ascii="Arial"/>
                <w:sz w:val="21"/>
              </w:rPr>
            </w:pPr>
          </w:p>
        </w:tc>
        <w:tc>
          <w:tcPr>
            <w:tcW w:w="51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8" w:type="dxa"/>
            <w:vAlign w:val="top"/>
          </w:tcPr>
          <w:p>
            <w:pPr>
              <w:spacing w:before="246" w:line="187" w:lineRule="auto"/>
              <w:ind w:left="20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81" w:type="dxa"/>
            <w:vAlign w:val="top"/>
          </w:tcPr>
          <w:p>
            <w:pPr>
              <w:pStyle w:val="6"/>
              <w:spacing w:before="52" w:line="251" w:lineRule="auto"/>
              <w:ind w:left="346" w:right="239" w:hanging="123"/>
              <w:rPr>
                <w:rFonts w:ascii="Times New Roman" w:hAnsi="Times New Roman" w:eastAsia="Times New Roman" w:cs="Times New Roman"/>
              </w:rPr>
            </w:pPr>
            <w:r>
              <w:rPr>
                <w:rFonts w:ascii="Times New Roman" w:hAnsi="Times New Roman" w:eastAsia="Times New Roman" w:cs="Times New Roman"/>
                <w:spacing w:val="9"/>
              </w:rPr>
              <w:t>L1K0+000</w:t>
            </w:r>
            <w:r>
              <w:rPr>
                <w:spacing w:val="9"/>
              </w:rPr>
              <w:t>~</w:t>
            </w:r>
            <w:r>
              <w:rPr>
                <w:spacing w:val="3"/>
              </w:rPr>
              <w:t xml:space="preserve"> </w:t>
            </w:r>
            <w:r>
              <w:rPr>
                <w:rFonts w:ascii="Times New Roman" w:hAnsi="Times New Roman" w:eastAsia="Times New Roman" w:cs="Times New Roman"/>
                <w:spacing w:val="-3"/>
              </w:rPr>
              <w:t>1LK0+120</w:t>
            </w:r>
          </w:p>
        </w:tc>
        <w:tc>
          <w:tcPr>
            <w:tcW w:w="1175" w:type="dxa"/>
            <w:vAlign w:val="top"/>
          </w:tcPr>
          <w:p>
            <w:pPr>
              <w:spacing w:before="246"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720" w:type="dxa"/>
            <w:vAlign w:val="top"/>
          </w:tcPr>
          <w:p>
            <w:pPr>
              <w:pStyle w:val="6"/>
              <w:spacing w:before="207" w:line="221" w:lineRule="auto"/>
              <w:ind w:left="156"/>
            </w:pPr>
            <w:r>
              <w:rPr>
                <w:spacing w:val="-2"/>
              </w:rPr>
              <w:t>右侧</w:t>
            </w:r>
          </w:p>
        </w:tc>
        <w:tc>
          <w:tcPr>
            <w:tcW w:w="1389" w:type="dxa"/>
            <w:vAlign w:val="top"/>
          </w:tcPr>
          <w:p>
            <w:pPr>
              <w:spacing w:before="246" w:line="187" w:lineRule="auto"/>
              <w:ind w:left="5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23.3</w:t>
            </w:r>
          </w:p>
        </w:tc>
        <w:tc>
          <w:tcPr>
            <w:tcW w:w="1392" w:type="dxa"/>
            <w:vAlign w:val="top"/>
          </w:tcPr>
          <w:p>
            <w:pPr>
              <w:spacing w:before="246" w:line="187" w:lineRule="auto"/>
              <w:ind w:left="51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1391" w:type="dxa"/>
            <w:vAlign w:val="top"/>
          </w:tcPr>
          <w:p>
            <w:pPr>
              <w:spacing w:before="246" w:line="187" w:lineRule="auto"/>
              <w:ind w:left="5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30.2</w:t>
            </w:r>
          </w:p>
        </w:tc>
        <w:tc>
          <w:tcPr>
            <w:tcW w:w="51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08" w:type="dxa"/>
            <w:vAlign w:val="top"/>
          </w:tcPr>
          <w:p>
            <w:pPr>
              <w:spacing w:before="249" w:line="187" w:lineRule="auto"/>
              <w:ind w:left="20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81" w:type="dxa"/>
            <w:vAlign w:val="top"/>
          </w:tcPr>
          <w:p>
            <w:pPr>
              <w:pStyle w:val="6"/>
              <w:spacing w:before="55" w:line="251" w:lineRule="auto"/>
              <w:ind w:left="326" w:right="239" w:hanging="103"/>
              <w:rPr>
                <w:rFonts w:ascii="Times New Roman" w:hAnsi="Times New Roman" w:eastAsia="Times New Roman" w:cs="Times New Roman"/>
              </w:rPr>
            </w:pPr>
            <w:r>
              <w:rPr>
                <w:rFonts w:ascii="Times New Roman" w:hAnsi="Times New Roman" w:eastAsia="Times New Roman" w:cs="Times New Roman"/>
                <w:spacing w:val="9"/>
              </w:rPr>
              <w:t>L1K0+160</w:t>
            </w:r>
            <w:r>
              <w:rPr>
                <w:spacing w:val="9"/>
              </w:rPr>
              <w:t>~</w:t>
            </w:r>
            <w:r>
              <w:rPr>
                <w:spacing w:val="3"/>
              </w:rPr>
              <w:t xml:space="preserve"> </w:t>
            </w:r>
            <w:r>
              <w:rPr>
                <w:rFonts w:ascii="Times New Roman" w:hAnsi="Times New Roman" w:eastAsia="Times New Roman" w:cs="Times New Roman"/>
                <w:spacing w:val="-1"/>
              </w:rPr>
              <w:t>L1K0+280</w:t>
            </w:r>
          </w:p>
        </w:tc>
        <w:tc>
          <w:tcPr>
            <w:tcW w:w="1175" w:type="dxa"/>
            <w:vAlign w:val="top"/>
          </w:tcPr>
          <w:p>
            <w:pPr>
              <w:spacing w:before="249"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720" w:type="dxa"/>
            <w:vAlign w:val="top"/>
          </w:tcPr>
          <w:p>
            <w:pPr>
              <w:pStyle w:val="6"/>
              <w:spacing w:before="210" w:line="221" w:lineRule="auto"/>
              <w:ind w:left="156"/>
            </w:pPr>
            <w:r>
              <w:rPr>
                <w:spacing w:val="-2"/>
              </w:rPr>
              <w:t>右侧</w:t>
            </w:r>
          </w:p>
        </w:tc>
        <w:tc>
          <w:tcPr>
            <w:tcW w:w="1389" w:type="dxa"/>
            <w:vAlign w:val="top"/>
          </w:tcPr>
          <w:p>
            <w:pPr>
              <w:spacing w:before="249" w:line="187" w:lineRule="auto"/>
              <w:ind w:left="5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25.4</w:t>
            </w:r>
          </w:p>
        </w:tc>
        <w:tc>
          <w:tcPr>
            <w:tcW w:w="1392" w:type="dxa"/>
            <w:vAlign w:val="top"/>
          </w:tcPr>
          <w:p>
            <w:pPr>
              <w:spacing w:before="249" w:line="187" w:lineRule="auto"/>
              <w:ind w:left="51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32.5</w:t>
            </w:r>
          </w:p>
        </w:tc>
        <w:tc>
          <w:tcPr>
            <w:tcW w:w="1391" w:type="dxa"/>
            <w:vAlign w:val="top"/>
          </w:tcPr>
          <w:p>
            <w:pPr>
              <w:spacing w:before="249" w:line="187" w:lineRule="auto"/>
              <w:ind w:left="5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28.0</w:t>
            </w:r>
          </w:p>
        </w:tc>
        <w:tc>
          <w:tcPr>
            <w:tcW w:w="51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8" w:type="dxa"/>
            <w:vAlign w:val="top"/>
          </w:tcPr>
          <w:p>
            <w:pPr>
              <w:spacing w:before="247" w:line="187" w:lineRule="auto"/>
              <w:ind w:left="20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81" w:type="dxa"/>
            <w:vAlign w:val="top"/>
          </w:tcPr>
          <w:p>
            <w:pPr>
              <w:pStyle w:val="6"/>
              <w:spacing w:before="53" w:line="251" w:lineRule="auto"/>
              <w:ind w:left="326" w:right="239" w:hanging="103"/>
              <w:rPr>
                <w:rFonts w:ascii="Times New Roman" w:hAnsi="Times New Roman" w:eastAsia="Times New Roman" w:cs="Times New Roman"/>
              </w:rPr>
            </w:pPr>
            <w:r>
              <w:rPr>
                <w:rFonts w:ascii="Times New Roman" w:hAnsi="Times New Roman" w:eastAsia="Times New Roman" w:cs="Times New Roman"/>
                <w:spacing w:val="9"/>
              </w:rPr>
              <w:t>L1K0+310</w:t>
            </w:r>
            <w:r>
              <w:rPr>
                <w:spacing w:val="9"/>
              </w:rPr>
              <w:t>~</w:t>
            </w:r>
            <w:r>
              <w:rPr>
                <w:spacing w:val="3"/>
              </w:rPr>
              <w:t xml:space="preserve"> </w:t>
            </w:r>
            <w:r>
              <w:rPr>
                <w:rFonts w:ascii="Times New Roman" w:hAnsi="Times New Roman" w:eastAsia="Times New Roman" w:cs="Times New Roman"/>
                <w:spacing w:val="-1"/>
              </w:rPr>
              <w:t>L1K0+500</w:t>
            </w:r>
          </w:p>
        </w:tc>
        <w:tc>
          <w:tcPr>
            <w:tcW w:w="1175" w:type="dxa"/>
            <w:vAlign w:val="top"/>
          </w:tcPr>
          <w:p>
            <w:pPr>
              <w:spacing w:before="246"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190</w:t>
            </w:r>
          </w:p>
        </w:tc>
        <w:tc>
          <w:tcPr>
            <w:tcW w:w="720" w:type="dxa"/>
            <w:vAlign w:val="top"/>
          </w:tcPr>
          <w:p>
            <w:pPr>
              <w:pStyle w:val="6"/>
              <w:spacing w:before="207" w:line="221" w:lineRule="auto"/>
              <w:ind w:left="156"/>
            </w:pPr>
            <w:r>
              <w:rPr>
                <w:spacing w:val="-2"/>
              </w:rPr>
              <w:t>右侧</w:t>
            </w:r>
          </w:p>
        </w:tc>
        <w:tc>
          <w:tcPr>
            <w:tcW w:w="1389" w:type="dxa"/>
            <w:vAlign w:val="top"/>
          </w:tcPr>
          <w:p>
            <w:pPr>
              <w:spacing w:before="246" w:line="187" w:lineRule="auto"/>
              <w:ind w:left="5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26.9</w:t>
            </w:r>
          </w:p>
        </w:tc>
        <w:tc>
          <w:tcPr>
            <w:tcW w:w="1392" w:type="dxa"/>
            <w:vAlign w:val="top"/>
          </w:tcPr>
          <w:p>
            <w:pPr>
              <w:spacing w:before="246" w:line="187" w:lineRule="auto"/>
              <w:ind w:left="5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42.2</w:t>
            </w:r>
          </w:p>
        </w:tc>
        <w:tc>
          <w:tcPr>
            <w:tcW w:w="1391" w:type="dxa"/>
            <w:vAlign w:val="top"/>
          </w:tcPr>
          <w:p>
            <w:pPr>
              <w:spacing w:before="246" w:line="187" w:lineRule="auto"/>
              <w:ind w:left="5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30.4</w:t>
            </w:r>
          </w:p>
        </w:tc>
        <w:tc>
          <w:tcPr>
            <w:tcW w:w="51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8" w:type="dxa"/>
            <w:vAlign w:val="top"/>
          </w:tcPr>
          <w:p>
            <w:pPr>
              <w:spacing w:before="250" w:line="184" w:lineRule="auto"/>
              <w:ind w:left="20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81" w:type="dxa"/>
            <w:vAlign w:val="top"/>
          </w:tcPr>
          <w:p>
            <w:pPr>
              <w:pStyle w:val="6"/>
              <w:spacing w:before="53" w:line="251" w:lineRule="auto"/>
              <w:ind w:left="326" w:right="239" w:hanging="103"/>
              <w:rPr>
                <w:rFonts w:ascii="Times New Roman" w:hAnsi="Times New Roman" w:eastAsia="Times New Roman" w:cs="Times New Roman"/>
              </w:rPr>
            </w:pPr>
            <w:r>
              <w:rPr>
                <w:rFonts w:ascii="Times New Roman" w:hAnsi="Times New Roman" w:eastAsia="Times New Roman" w:cs="Times New Roman"/>
                <w:spacing w:val="9"/>
              </w:rPr>
              <w:t>L1K0+625</w:t>
            </w:r>
            <w:r>
              <w:rPr>
                <w:spacing w:val="9"/>
              </w:rPr>
              <w:t>~</w:t>
            </w:r>
            <w:r>
              <w:rPr>
                <w:spacing w:val="3"/>
              </w:rPr>
              <w:t xml:space="preserve"> </w:t>
            </w:r>
            <w:r>
              <w:rPr>
                <w:rFonts w:ascii="Times New Roman" w:hAnsi="Times New Roman" w:eastAsia="Times New Roman" w:cs="Times New Roman"/>
                <w:spacing w:val="-1"/>
              </w:rPr>
              <w:t>L1K0+690</w:t>
            </w:r>
          </w:p>
        </w:tc>
        <w:tc>
          <w:tcPr>
            <w:tcW w:w="1175" w:type="dxa"/>
            <w:vAlign w:val="top"/>
          </w:tcPr>
          <w:p>
            <w:pPr>
              <w:spacing w:before="247" w:line="187" w:lineRule="auto"/>
              <w:ind w:left="4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720" w:type="dxa"/>
            <w:vAlign w:val="top"/>
          </w:tcPr>
          <w:p>
            <w:pPr>
              <w:pStyle w:val="6"/>
              <w:spacing w:before="208" w:line="221" w:lineRule="auto"/>
              <w:ind w:left="156"/>
            </w:pPr>
            <w:r>
              <w:rPr>
                <w:spacing w:val="-2"/>
              </w:rPr>
              <w:t>右侧</w:t>
            </w:r>
          </w:p>
        </w:tc>
        <w:tc>
          <w:tcPr>
            <w:tcW w:w="1389" w:type="dxa"/>
            <w:vAlign w:val="top"/>
          </w:tcPr>
          <w:p>
            <w:pPr>
              <w:spacing w:before="247" w:line="187" w:lineRule="auto"/>
              <w:ind w:left="5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22.4</w:t>
            </w:r>
          </w:p>
        </w:tc>
        <w:tc>
          <w:tcPr>
            <w:tcW w:w="1392" w:type="dxa"/>
            <w:vAlign w:val="top"/>
          </w:tcPr>
          <w:p>
            <w:pPr>
              <w:spacing w:before="247" w:line="187" w:lineRule="auto"/>
              <w:ind w:left="5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27.5</w:t>
            </w:r>
          </w:p>
        </w:tc>
        <w:tc>
          <w:tcPr>
            <w:tcW w:w="1391" w:type="dxa"/>
            <w:vAlign w:val="top"/>
          </w:tcPr>
          <w:p>
            <w:pPr>
              <w:spacing w:before="247" w:line="187" w:lineRule="auto"/>
              <w:ind w:left="5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23.6</w:t>
            </w:r>
          </w:p>
        </w:tc>
        <w:tc>
          <w:tcPr>
            <w:tcW w:w="51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8" w:type="dxa"/>
            <w:tcBorders>
              <w:bottom w:val="single" w:color="000000" w:sz="4" w:space="0"/>
            </w:tcBorders>
            <w:vAlign w:val="top"/>
          </w:tcPr>
          <w:p>
            <w:pPr>
              <w:spacing w:before="248" w:line="187" w:lineRule="auto"/>
              <w:ind w:left="208"/>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581" w:type="dxa"/>
            <w:tcBorders>
              <w:bottom w:val="single" w:color="000000" w:sz="4" w:space="0"/>
            </w:tcBorders>
            <w:vAlign w:val="top"/>
          </w:tcPr>
          <w:p>
            <w:pPr>
              <w:pStyle w:val="6"/>
              <w:spacing w:before="54" w:line="251" w:lineRule="auto"/>
              <w:ind w:left="326" w:right="239" w:hanging="103"/>
              <w:rPr>
                <w:rFonts w:ascii="Times New Roman" w:hAnsi="Times New Roman" w:eastAsia="Times New Roman" w:cs="Times New Roman"/>
              </w:rPr>
            </w:pPr>
            <w:r>
              <w:rPr>
                <w:rFonts w:ascii="Times New Roman" w:hAnsi="Times New Roman" w:eastAsia="Times New Roman" w:cs="Times New Roman"/>
                <w:spacing w:val="9"/>
              </w:rPr>
              <w:t>L1K0+910</w:t>
            </w:r>
            <w:r>
              <w:rPr>
                <w:spacing w:val="9"/>
              </w:rPr>
              <w:t>~</w:t>
            </w:r>
            <w:r>
              <w:rPr>
                <w:spacing w:val="3"/>
              </w:rPr>
              <w:t xml:space="preserve"> </w:t>
            </w:r>
            <w:r>
              <w:rPr>
                <w:rFonts w:ascii="Times New Roman" w:hAnsi="Times New Roman" w:eastAsia="Times New Roman" w:cs="Times New Roman"/>
                <w:spacing w:val="-1"/>
              </w:rPr>
              <w:t>L1K0+970</w:t>
            </w:r>
          </w:p>
        </w:tc>
        <w:tc>
          <w:tcPr>
            <w:tcW w:w="1175" w:type="dxa"/>
            <w:tcBorders>
              <w:bottom w:val="single" w:color="000000" w:sz="4" w:space="0"/>
            </w:tcBorders>
            <w:vAlign w:val="top"/>
          </w:tcPr>
          <w:p>
            <w:pPr>
              <w:spacing w:before="248" w:line="187" w:lineRule="auto"/>
              <w:ind w:left="4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20" w:type="dxa"/>
            <w:tcBorders>
              <w:bottom w:val="single" w:color="000000" w:sz="4" w:space="0"/>
            </w:tcBorders>
            <w:vAlign w:val="top"/>
          </w:tcPr>
          <w:p>
            <w:pPr>
              <w:pStyle w:val="6"/>
              <w:spacing w:before="209" w:line="221" w:lineRule="auto"/>
              <w:ind w:left="156"/>
            </w:pPr>
            <w:r>
              <w:rPr>
                <w:spacing w:val="-2"/>
              </w:rPr>
              <w:t>右侧</w:t>
            </w:r>
          </w:p>
        </w:tc>
        <w:tc>
          <w:tcPr>
            <w:tcW w:w="1389" w:type="dxa"/>
            <w:tcBorders>
              <w:bottom w:val="single" w:color="000000" w:sz="4" w:space="0"/>
            </w:tcBorders>
            <w:vAlign w:val="top"/>
          </w:tcPr>
          <w:p>
            <w:pPr>
              <w:spacing w:before="248" w:line="187"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19.0</w:t>
            </w:r>
          </w:p>
        </w:tc>
        <w:tc>
          <w:tcPr>
            <w:tcW w:w="1392" w:type="dxa"/>
            <w:tcBorders>
              <w:bottom w:val="single" w:color="000000" w:sz="4" w:space="0"/>
            </w:tcBorders>
            <w:vAlign w:val="top"/>
          </w:tcPr>
          <w:p>
            <w:pPr>
              <w:spacing w:before="248" w:line="187" w:lineRule="auto"/>
              <w:ind w:left="5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23.6</w:t>
            </w:r>
          </w:p>
        </w:tc>
        <w:tc>
          <w:tcPr>
            <w:tcW w:w="1391" w:type="dxa"/>
            <w:tcBorders>
              <w:bottom w:val="single" w:color="000000" w:sz="4" w:space="0"/>
            </w:tcBorders>
            <w:vAlign w:val="top"/>
          </w:tcPr>
          <w:p>
            <w:pPr>
              <w:spacing w:before="248" w:line="187" w:lineRule="auto"/>
              <w:ind w:left="5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21.2</w:t>
            </w:r>
          </w:p>
        </w:tc>
        <w:tc>
          <w:tcPr>
            <w:tcW w:w="511" w:type="dxa"/>
            <w:tcBorders>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508" w:type="dxa"/>
            <w:tcBorders>
              <w:top w:val="single" w:color="000000" w:sz="4" w:space="0"/>
            </w:tcBorders>
            <w:vAlign w:val="top"/>
          </w:tcPr>
          <w:p>
            <w:pPr>
              <w:spacing w:before="247" w:line="184" w:lineRule="auto"/>
              <w:ind w:left="206"/>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81" w:type="dxa"/>
            <w:tcBorders>
              <w:top w:val="single" w:color="000000" w:sz="4" w:space="0"/>
            </w:tcBorders>
            <w:vAlign w:val="top"/>
          </w:tcPr>
          <w:p>
            <w:pPr>
              <w:pStyle w:val="6"/>
              <w:spacing w:before="50" w:line="251" w:lineRule="auto"/>
              <w:ind w:left="326" w:right="239" w:hanging="103"/>
              <w:rPr>
                <w:rFonts w:ascii="Times New Roman" w:hAnsi="Times New Roman" w:eastAsia="Times New Roman" w:cs="Times New Roman"/>
              </w:rPr>
            </w:pPr>
            <w:r>
              <w:rPr>
                <w:rFonts w:ascii="Times New Roman" w:hAnsi="Times New Roman" w:eastAsia="Times New Roman" w:cs="Times New Roman"/>
                <w:spacing w:val="9"/>
              </w:rPr>
              <w:t>L1K1+470</w:t>
            </w:r>
            <w:r>
              <w:rPr>
                <w:spacing w:val="9"/>
              </w:rPr>
              <w:t>~</w:t>
            </w:r>
            <w:r>
              <w:rPr>
                <w:spacing w:val="3"/>
              </w:rPr>
              <w:t xml:space="preserve"> </w:t>
            </w:r>
            <w:r>
              <w:rPr>
                <w:rFonts w:ascii="Times New Roman" w:hAnsi="Times New Roman" w:eastAsia="Times New Roman" w:cs="Times New Roman"/>
                <w:spacing w:val="-1"/>
              </w:rPr>
              <w:t>L1K1+520</w:t>
            </w:r>
          </w:p>
        </w:tc>
        <w:tc>
          <w:tcPr>
            <w:tcW w:w="1175" w:type="dxa"/>
            <w:tcBorders>
              <w:top w:val="single" w:color="000000" w:sz="4" w:space="0"/>
            </w:tcBorders>
            <w:vAlign w:val="top"/>
          </w:tcPr>
          <w:p>
            <w:pPr>
              <w:spacing w:before="244" w:line="187"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20" w:type="dxa"/>
            <w:tcBorders>
              <w:top w:val="single" w:color="000000" w:sz="4" w:space="0"/>
            </w:tcBorders>
            <w:vAlign w:val="top"/>
          </w:tcPr>
          <w:p>
            <w:pPr>
              <w:pStyle w:val="6"/>
              <w:spacing w:before="205" w:line="221" w:lineRule="auto"/>
              <w:ind w:left="156"/>
            </w:pPr>
            <w:r>
              <w:rPr>
                <w:spacing w:val="-2"/>
              </w:rPr>
              <w:t>右侧</w:t>
            </w:r>
          </w:p>
        </w:tc>
        <w:tc>
          <w:tcPr>
            <w:tcW w:w="1389" w:type="dxa"/>
            <w:tcBorders>
              <w:top w:val="single" w:color="000000" w:sz="4" w:space="0"/>
            </w:tcBorders>
            <w:vAlign w:val="top"/>
          </w:tcPr>
          <w:p>
            <w:pPr>
              <w:spacing w:before="244" w:line="187"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17.5</w:t>
            </w:r>
          </w:p>
        </w:tc>
        <w:tc>
          <w:tcPr>
            <w:tcW w:w="1392" w:type="dxa"/>
            <w:tcBorders>
              <w:top w:val="single" w:color="000000" w:sz="4" w:space="0"/>
            </w:tcBorders>
            <w:vAlign w:val="top"/>
          </w:tcPr>
          <w:p>
            <w:pPr>
              <w:spacing w:before="244" w:line="187" w:lineRule="auto"/>
              <w:ind w:left="5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23.6</w:t>
            </w:r>
          </w:p>
        </w:tc>
        <w:tc>
          <w:tcPr>
            <w:tcW w:w="1391" w:type="dxa"/>
            <w:tcBorders>
              <w:top w:val="single" w:color="000000" w:sz="4" w:space="0"/>
            </w:tcBorders>
            <w:vAlign w:val="top"/>
          </w:tcPr>
          <w:p>
            <w:pPr>
              <w:spacing w:before="244" w:line="187" w:lineRule="auto"/>
              <w:ind w:left="5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23.3</w:t>
            </w:r>
          </w:p>
        </w:tc>
        <w:tc>
          <w:tcPr>
            <w:tcW w:w="511" w:type="dxa"/>
            <w:tcBorders>
              <w:top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8" w:type="dxa"/>
            <w:vAlign w:val="top"/>
          </w:tcPr>
          <w:p>
            <w:pPr>
              <w:spacing w:before="249" w:line="187" w:lineRule="auto"/>
              <w:ind w:left="211"/>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581" w:type="dxa"/>
            <w:vAlign w:val="top"/>
          </w:tcPr>
          <w:p>
            <w:pPr>
              <w:pStyle w:val="6"/>
              <w:spacing w:before="56" w:line="251" w:lineRule="auto"/>
              <w:ind w:left="326" w:right="239" w:hanging="103"/>
              <w:rPr>
                <w:rFonts w:ascii="Times New Roman" w:hAnsi="Times New Roman" w:eastAsia="Times New Roman" w:cs="Times New Roman"/>
              </w:rPr>
            </w:pPr>
            <w:r>
              <w:rPr>
                <w:rFonts w:ascii="Times New Roman" w:hAnsi="Times New Roman" w:eastAsia="Times New Roman" w:cs="Times New Roman"/>
                <w:spacing w:val="9"/>
              </w:rPr>
              <w:t>L1K1+560</w:t>
            </w:r>
            <w:r>
              <w:rPr>
                <w:spacing w:val="9"/>
              </w:rPr>
              <w:t>~</w:t>
            </w:r>
            <w:r>
              <w:rPr>
                <w:spacing w:val="3"/>
              </w:rPr>
              <w:t xml:space="preserve"> </w:t>
            </w:r>
            <w:r>
              <w:rPr>
                <w:rFonts w:ascii="Times New Roman" w:hAnsi="Times New Roman" w:eastAsia="Times New Roman" w:cs="Times New Roman"/>
                <w:spacing w:val="-1"/>
              </w:rPr>
              <w:t>L1K1+642</w:t>
            </w:r>
          </w:p>
        </w:tc>
        <w:tc>
          <w:tcPr>
            <w:tcW w:w="1175" w:type="dxa"/>
            <w:vAlign w:val="top"/>
          </w:tcPr>
          <w:p>
            <w:pPr>
              <w:spacing w:before="249" w:line="187" w:lineRule="auto"/>
              <w:ind w:left="49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82</w:t>
            </w:r>
          </w:p>
        </w:tc>
        <w:tc>
          <w:tcPr>
            <w:tcW w:w="720" w:type="dxa"/>
            <w:vAlign w:val="top"/>
          </w:tcPr>
          <w:p>
            <w:pPr>
              <w:pStyle w:val="6"/>
              <w:spacing w:before="210" w:line="221" w:lineRule="auto"/>
              <w:ind w:left="156"/>
            </w:pPr>
            <w:r>
              <w:rPr>
                <w:spacing w:val="-2"/>
              </w:rPr>
              <w:t>右侧</w:t>
            </w:r>
          </w:p>
        </w:tc>
        <w:tc>
          <w:tcPr>
            <w:tcW w:w="1389" w:type="dxa"/>
            <w:vAlign w:val="top"/>
          </w:tcPr>
          <w:p>
            <w:pPr>
              <w:spacing w:before="249" w:line="187" w:lineRule="auto"/>
              <w:ind w:left="5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25.3</w:t>
            </w:r>
          </w:p>
        </w:tc>
        <w:tc>
          <w:tcPr>
            <w:tcW w:w="1392" w:type="dxa"/>
            <w:vAlign w:val="top"/>
          </w:tcPr>
          <w:p>
            <w:pPr>
              <w:spacing w:before="249" w:line="187" w:lineRule="auto"/>
              <w:ind w:left="5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29.0</w:t>
            </w:r>
          </w:p>
        </w:tc>
        <w:tc>
          <w:tcPr>
            <w:tcW w:w="1391" w:type="dxa"/>
            <w:vAlign w:val="top"/>
          </w:tcPr>
          <w:p>
            <w:pPr>
              <w:spacing w:before="249" w:line="187" w:lineRule="auto"/>
              <w:ind w:left="5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26.9</w:t>
            </w:r>
          </w:p>
        </w:tc>
        <w:tc>
          <w:tcPr>
            <w:tcW w:w="51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08" w:type="dxa"/>
            <w:vAlign w:val="top"/>
          </w:tcPr>
          <w:p>
            <w:pPr>
              <w:spacing w:before="252" w:line="187" w:lineRule="auto"/>
              <w:ind w:left="207"/>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81" w:type="dxa"/>
            <w:vAlign w:val="top"/>
          </w:tcPr>
          <w:p>
            <w:pPr>
              <w:pStyle w:val="6"/>
              <w:spacing w:before="59" w:line="251" w:lineRule="auto"/>
              <w:ind w:left="379" w:right="239" w:hanging="156"/>
              <w:rPr>
                <w:rFonts w:ascii="Times New Roman" w:hAnsi="Times New Roman" w:eastAsia="Times New Roman" w:cs="Times New Roman"/>
              </w:rPr>
            </w:pPr>
            <w:r>
              <w:rPr>
                <w:rFonts w:ascii="Times New Roman" w:hAnsi="Times New Roman" w:eastAsia="Times New Roman" w:cs="Times New Roman"/>
                <w:spacing w:val="9"/>
              </w:rPr>
              <w:t>L1K0+700</w:t>
            </w:r>
            <w:r>
              <w:rPr>
                <w:spacing w:val="9"/>
              </w:rPr>
              <w:t>~</w:t>
            </w:r>
            <w:r>
              <w:rPr>
                <w:spacing w:val="3"/>
              </w:rPr>
              <w:t xml:space="preserve"> </w:t>
            </w:r>
            <w:r>
              <w:rPr>
                <w:rFonts w:ascii="Times New Roman" w:hAnsi="Times New Roman" w:eastAsia="Times New Roman" w:cs="Times New Roman"/>
                <w:spacing w:val="-1"/>
              </w:rPr>
              <w:t>LK0+880</w:t>
            </w:r>
          </w:p>
        </w:tc>
        <w:tc>
          <w:tcPr>
            <w:tcW w:w="1175" w:type="dxa"/>
            <w:vAlign w:val="top"/>
          </w:tcPr>
          <w:p>
            <w:pPr>
              <w:spacing w:before="252"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180</w:t>
            </w:r>
          </w:p>
        </w:tc>
        <w:tc>
          <w:tcPr>
            <w:tcW w:w="720" w:type="dxa"/>
            <w:vAlign w:val="top"/>
          </w:tcPr>
          <w:p>
            <w:pPr>
              <w:pStyle w:val="6"/>
              <w:spacing w:before="213" w:line="221" w:lineRule="auto"/>
              <w:ind w:left="156"/>
            </w:pPr>
            <w:r>
              <w:rPr>
                <w:spacing w:val="-2"/>
              </w:rPr>
              <w:t>左侧</w:t>
            </w:r>
          </w:p>
        </w:tc>
        <w:tc>
          <w:tcPr>
            <w:tcW w:w="1389" w:type="dxa"/>
            <w:vAlign w:val="top"/>
          </w:tcPr>
          <w:p>
            <w:pPr>
              <w:spacing w:before="252" w:line="187" w:lineRule="auto"/>
              <w:ind w:left="539"/>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11.1</w:t>
            </w:r>
          </w:p>
        </w:tc>
        <w:tc>
          <w:tcPr>
            <w:tcW w:w="1392" w:type="dxa"/>
            <w:vAlign w:val="top"/>
          </w:tcPr>
          <w:p>
            <w:pPr>
              <w:spacing w:before="252" w:line="187" w:lineRule="auto"/>
              <w:ind w:left="5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22.4</w:t>
            </w:r>
          </w:p>
        </w:tc>
        <w:tc>
          <w:tcPr>
            <w:tcW w:w="1391" w:type="dxa"/>
            <w:vAlign w:val="top"/>
          </w:tcPr>
          <w:p>
            <w:pPr>
              <w:spacing w:before="252" w:line="187" w:lineRule="auto"/>
              <w:ind w:left="5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w:t>
            </w:r>
          </w:p>
        </w:tc>
        <w:tc>
          <w:tcPr>
            <w:tcW w:w="51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8" w:type="dxa"/>
            <w:vAlign w:val="top"/>
          </w:tcPr>
          <w:p>
            <w:pPr>
              <w:spacing w:before="255"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581" w:type="dxa"/>
            <w:vAlign w:val="top"/>
          </w:tcPr>
          <w:p>
            <w:pPr>
              <w:pStyle w:val="6"/>
              <w:spacing w:before="61" w:line="251" w:lineRule="auto"/>
              <w:ind w:left="326" w:right="239" w:hanging="103"/>
              <w:rPr>
                <w:rFonts w:ascii="Times New Roman" w:hAnsi="Times New Roman" w:eastAsia="Times New Roman" w:cs="Times New Roman"/>
              </w:rPr>
            </w:pPr>
            <w:r>
              <w:rPr>
                <w:rFonts w:ascii="Times New Roman" w:hAnsi="Times New Roman" w:eastAsia="Times New Roman" w:cs="Times New Roman"/>
                <w:spacing w:val="9"/>
              </w:rPr>
              <w:t>L1K0+960</w:t>
            </w:r>
            <w:r>
              <w:rPr>
                <w:spacing w:val="9"/>
              </w:rPr>
              <w:t>~</w:t>
            </w:r>
            <w:r>
              <w:rPr>
                <w:spacing w:val="3"/>
              </w:rPr>
              <w:t xml:space="preserve"> </w:t>
            </w:r>
            <w:r>
              <w:rPr>
                <w:rFonts w:ascii="Times New Roman" w:hAnsi="Times New Roman" w:eastAsia="Times New Roman" w:cs="Times New Roman"/>
                <w:spacing w:val="-1"/>
              </w:rPr>
              <w:t>L1K1+100</w:t>
            </w:r>
          </w:p>
        </w:tc>
        <w:tc>
          <w:tcPr>
            <w:tcW w:w="1175" w:type="dxa"/>
            <w:vAlign w:val="top"/>
          </w:tcPr>
          <w:p>
            <w:pPr>
              <w:spacing w:before="255"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140</w:t>
            </w:r>
          </w:p>
        </w:tc>
        <w:tc>
          <w:tcPr>
            <w:tcW w:w="720" w:type="dxa"/>
            <w:vAlign w:val="top"/>
          </w:tcPr>
          <w:p>
            <w:pPr>
              <w:pStyle w:val="6"/>
              <w:spacing w:before="216" w:line="221" w:lineRule="auto"/>
              <w:ind w:left="156"/>
            </w:pPr>
            <w:r>
              <w:rPr>
                <w:spacing w:val="-2"/>
              </w:rPr>
              <w:t>右侧</w:t>
            </w:r>
          </w:p>
        </w:tc>
        <w:tc>
          <w:tcPr>
            <w:tcW w:w="1389" w:type="dxa"/>
            <w:vAlign w:val="top"/>
          </w:tcPr>
          <w:p>
            <w:pPr>
              <w:spacing w:before="255" w:line="187" w:lineRule="auto"/>
              <w:ind w:left="5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22.8</w:t>
            </w:r>
          </w:p>
        </w:tc>
        <w:tc>
          <w:tcPr>
            <w:tcW w:w="1392" w:type="dxa"/>
            <w:vAlign w:val="top"/>
          </w:tcPr>
          <w:p>
            <w:pPr>
              <w:spacing w:before="255" w:line="187" w:lineRule="auto"/>
              <w:ind w:left="5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20.4</w:t>
            </w:r>
          </w:p>
        </w:tc>
        <w:tc>
          <w:tcPr>
            <w:tcW w:w="1391" w:type="dxa"/>
            <w:vAlign w:val="top"/>
          </w:tcPr>
          <w:p>
            <w:pPr>
              <w:spacing w:before="255" w:line="187" w:lineRule="auto"/>
              <w:ind w:left="5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w:t>
            </w:r>
          </w:p>
        </w:tc>
        <w:tc>
          <w:tcPr>
            <w:tcW w:w="511" w:type="dxa"/>
            <w:vAlign w:val="top"/>
          </w:tcPr>
          <w:p>
            <w:pPr>
              <w:rPr>
                <w:rFonts w:ascii="Arial"/>
                <w:sz w:val="21"/>
              </w:rPr>
            </w:pPr>
          </w:p>
        </w:tc>
      </w:tr>
    </w:tbl>
    <w:p>
      <w:pPr>
        <w:pStyle w:val="2"/>
        <w:spacing w:line="268" w:lineRule="auto"/>
      </w:pPr>
    </w:p>
    <w:p>
      <w:pPr>
        <w:spacing w:before="78" w:line="212" w:lineRule="auto"/>
        <w:ind w:left="2353"/>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3.2-2      </w:t>
      </w:r>
      <w:r>
        <w:rPr>
          <w:rFonts w:ascii="宋体" w:hAnsi="宋体" w:eastAsia="宋体" w:cs="宋体"/>
          <w:spacing w:val="-1"/>
          <w:sz w:val="24"/>
          <w:szCs w:val="24"/>
        </w:rPr>
        <w:t>西坑互通连接线深挖方路段</w:t>
      </w:r>
    </w:p>
    <w:tbl>
      <w:tblPr>
        <w:tblStyle w:val="5"/>
        <w:tblW w:w="87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0"/>
        <w:gridCol w:w="2222"/>
        <w:gridCol w:w="1766"/>
        <w:gridCol w:w="1137"/>
        <w:gridCol w:w="2219"/>
        <w:gridCol w:w="6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90" w:type="dxa"/>
            <w:vAlign w:val="top"/>
          </w:tcPr>
          <w:p>
            <w:pPr>
              <w:pStyle w:val="6"/>
              <w:spacing w:before="63" w:line="222" w:lineRule="auto"/>
              <w:ind w:left="139"/>
            </w:pPr>
            <w:r>
              <w:rPr>
                <w:spacing w:val="-2"/>
              </w:rPr>
              <w:t>序号</w:t>
            </w:r>
          </w:p>
        </w:tc>
        <w:tc>
          <w:tcPr>
            <w:tcW w:w="2222" w:type="dxa"/>
            <w:vAlign w:val="top"/>
          </w:tcPr>
          <w:p>
            <w:pPr>
              <w:pStyle w:val="6"/>
              <w:spacing w:before="63" w:line="221" w:lineRule="auto"/>
              <w:ind w:left="696"/>
            </w:pPr>
            <w:r>
              <w:rPr>
                <w:spacing w:val="-2"/>
              </w:rPr>
              <w:t>起讫桩号</w:t>
            </w:r>
          </w:p>
        </w:tc>
        <w:tc>
          <w:tcPr>
            <w:tcW w:w="1766" w:type="dxa"/>
            <w:vAlign w:val="top"/>
          </w:tcPr>
          <w:p>
            <w:pPr>
              <w:pStyle w:val="6"/>
              <w:spacing w:before="63" w:line="230" w:lineRule="auto"/>
              <w:ind w:left="174"/>
            </w:pPr>
            <w:r>
              <w:rPr>
                <w:spacing w:val="-1"/>
              </w:rPr>
              <w:t>边坡长度（</w:t>
            </w:r>
            <w:r>
              <w:rPr>
                <w:rFonts w:ascii="Times New Roman" w:hAnsi="Times New Roman" w:eastAsia="Times New Roman" w:cs="Times New Roman"/>
                <w:spacing w:val="-1"/>
              </w:rPr>
              <w:t>m</w:t>
            </w:r>
            <w:r>
              <w:rPr>
                <w:spacing w:val="-1"/>
              </w:rPr>
              <w:t>）</w:t>
            </w:r>
          </w:p>
        </w:tc>
        <w:tc>
          <w:tcPr>
            <w:tcW w:w="1137" w:type="dxa"/>
            <w:vAlign w:val="top"/>
          </w:tcPr>
          <w:p>
            <w:pPr>
              <w:pStyle w:val="6"/>
              <w:spacing w:before="63" w:line="221" w:lineRule="auto"/>
              <w:ind w:left="154"/>
            </w:pPr>
            <w:r>
              <w:rPr>
                <w:spacing w:val="-1"/>
              </w:rPr>
              <w:t>边坡位置</w:t>
            </w:r>
          </w:p>
        </w:tc>
        <w:tc>
          <w:tcPr>
            <w:tcW w:w="2219" w:type="dxa"/>
            <w:vAlign w:val="top"/>
          </w:tcPr>
          <w:p>
            <w:pPr>
              <w:pStyle w:val="6"/>
              <w:spacing w:before="63" w:line="230" w:lineRule="auto"/>
              <w:ind w:left="196"/>
            </w:pPr>
            <w:r>
              <w:rPr>
                <w:spacing w:val="-1"/>
              </w:rPr>
              <w:t>最大边坡高度（</w:t>
            </w:r>
            <w:r>
              <w:rPr>
                <w:rFonts w:ascii="Times New Roman" w:hAnsi="Times New Roman" w:eastAsia="Times New Roman" w:cs="Times New Roman"/>
                <w:spacing w:val="-1"/>
              </w:rPr>
              <w:t>m</w:t>
            </w:r>
            <w:r>
              <w:rPr>
                <w:spacing w:val="-1"/>
              </w:rPr>
              <w:t>）</w:t>
            </w:r>
          </w:p>
        </w:tc>
        <w:tc>
          <w:tcPr>
            <w:tcW w:w="688" w:type="dxa"/>
            <w:vAlign w:val="top"/>
          </w:tcPr>
          <w:p>
            <w:pPr>
              <w:pStyle w:val="6"/>
              <w:spacing w:before="63" w:line="222" w:lineRule="auto"/>
              <w:ind w:left="142"/>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690" w:type="dxa"/>
            <w:vAlign w:val="top"/>
          </w:tcPr>
          <w:p>
            <w:pPr>
              <w:spacing w:before="98" w:line="187" w:lineRule="auto"/>
              <w:ind w:left="31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222" w:type="dxa"/>
            <w:vAlign w:val="top"/>
          </w:tcPr>
          <w:p>
            <w:pPr>
              <w:pStyle w:val="6"/>
              <w:spacing w:before="59" w:line="226" w:lineRule="auto"/>
              <w:ind w:left="134"/>
              <w:rPr>
                <w:rFonts w:ascii="Times New Roman" w:hAnsi="Times New Roman" w:eastAsia="Times New Roman" w:cs="Times New Roman"/>
              </w:rPr>
            </w:pPr>
            <w:r>
              <w:rPr>
                <w:rFonts w:ascii="Times New Roman" w:hAnsi="Times New Roman" w:eastAsia="Times New Roman" w:cs="Times New Roman"/>
                <w:spacing w:val="-1"/>
              </w:rPr>
              <w:t>L1K3+025</w:t>
            </w:r>
            <w:r>
              <w:rPr>
                <w:spacing w:val="-1"/>
              </w:rPr>
              <w:t>～</w:t>
            </w:r>
            <w:r>
              <w:rPr>
                <w:rFonts w:ascii="Times New Roman" w:hAnsi="Times New Roman" w:eastAsia="Times New Roman" w:cs="Times New Roman"/>
                <w:spacing w:val="-1"/>
              </w:rPr>
              <w:t>LK3+280</w:t>
            </w:r>
          </w:p>
        </w:tc>
        <w:tc>
          <w:tcPr>
            <w:tcW w:w="1766" w:type="dxa"/>
            <w:vAlign w:val="top"/>
          </w:tcPr>
          <w:p>
            <w:pPr>
              <w:spacing w:before="98" w:line="187" w:lineRule="auto"/>
              <w:ind w:left="7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158</w:t>
            </w:r>
          </w:p>
        </w:tc>
        <w:tc>
          <w:tcPr>
            <w:tcW w:w="1137" w:type="dxa"/>
            <w:vAlign w:val="top"/>
          </w:tcPr>
          <w:p>
            <w:pPr>
              <w:pStyle w:val="6"/>
              <w:spacing w:before="59" w:line="221" w:lineRule="auto"/>
              <w:ind w:left="365"/>
            </w:pPr>
            <w:r>
              <w:rPr>
                <w:spacing w:val="-2"/>
              </w:rPr>
              <w:t>左侧</w:t>
            </w:r>
          </w:p>
        </w:tc>
        <w:tc>
          <w:tcPr>
            <w:tcW w:w="2219" w:type="dxa"/>
            <w:vAlign w:val="top"/>
          </w:tcPr>
          <w:p>
            <w:pPr>
              <w:spacing w:before="98" w:line="187" w:lineRule="auto"/>
              <w:ind w:left="9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49.5</w:t>
            </w:r>
          </w:p>
        </w:tc>
        <w:tc>
          <w:tcPr>
            <w:tcW w:w="6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90" w:type="dxa"/>
            <w:vAlign w:val="top"/>
          </w:tcPr>
          <w:p>
            <w:pPr>
              <w:spacing w:before="99" w:line="187" w:lineRule="auto"/>
              <w:ind w:left="29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222" w:type="dxa"/>
            <w:vAlign w:val="top"/>
          </w:tcPr>
          <w:p>
            <w:pPr>
              <w:pStyle w:val="6"/>
              <w:spacing w:before="60" w:line="228" w:lineRule="auto"/>
              <w:ind w:left="134"/>
              <w:rPr>
                <w:rFonts w:ascii="Times New Roman" w:hAnsi="Times New Roman" w:eastAsia="Times New Roman" w:cs="Times New Roman"/>
              </w:rPr>
            </w:pPr>
            <w:r>
              <w:rPr>
                <w:rFonts w:ascii="Times New Roman" w:hAnsi="Times New Roman" w:eastAsia="Times New Roman" w:cs="Times New Roman"/>
                <w:spacing w:val="-1"/>
              </w:rPr>
              <w:t>L1K4+545</w:t>
            </w:r>
            <w:r>
              <w:rPr>
                <w:spacing w:val="-1"/>
              </w:rPr>
              <w:t>～</w:t>
            </w:r>
            <w:r>
              <w:rPr>
                <w:rFonts w:ascii="Times New Roman" w:hAnsi="Times New Roman" w:eastAsia="Times New Roman" w:cs="Times New Roman"/>
                <w:spacing w:val="-1"/>
              </w:rPr>
              <w:t>LK4+800</w:t>
            </w:r>
          </w:p>
        </w:tc>
        <w:tc>
          <w:tcPr>
            <w:tcW w:w="1766" w:type="dxa"/>
            <w:vAlign w:val="top"/>
          </w:tcPr>
          <w:p>
            <w:pPr>
              <w:spacing w:before="99" w:line="187" w:lineRule="auto"/>
              <w:ind w:left="7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130</w:t>
            </w:r>
          </w:p>
        </w:tc>
        <w:tc>
          <w:tcPr>
            <w:tcW w:w="1137" w:type="dxa"/>
            <w:vAlign w:val="top"/>
          </w:tcPr>
          <w:p>
            <w:pPr>
              <w:pStyle w:val="6"/>
              <w:spacing w:before="60" w:line="221" w:lineRule="auto"/>
              <w:ind w:left="365"/>
            </w:pPr>
            <w:r>
              <w:rPr>
                <w:spacing w:val="-2"/>
              </w:rPr>
              <w:t>右侧</w:t>
            </w:r>
          </w:p>
        </w:tc>
        <w:tc>
          <w:tcPr>
            <w:tcW w:w="2219" w:type="dxa"/>
            <w:vAlign w:val="top"/>
          </w:tcPr>
          <w:p>
            <w:pPr>
              <w:spacing w:before="99" w:line="187" w:lineRule="auto"/>
              <w:ind w:left="9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44.0</w:t>
            </w:r>
          </w:p>
        </w:tc>
        <w:tc>
          <w:tcPr>
            <w:tcW w:w="6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90" w:type="dxa"/>
            <w:vAlign w:val="top"/>
          </w:tcPr>
          <w:p>
            <w:pPr>
              <w:spacing w:before="105" w:line="187" w:lineRule="auto"/>
              <w:ind w:left="29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222" w:type="dxa"/>
            <w:vAlign w:val="top"/>
          </w:tcPr>
          <w:p>
            <w:pPr>
              <w:pStyle w:val="6"/>
              <w:spacing w:before="66" w:line="237" w:lineRule="auto"/>
              <w:ind w:left="134"/>
              <w:rPr>
                <w:rFonts w:ascii="Times New Roman" w:hAnsi="Times New Roman" w:eastAsia="Times New Roman" w:cs="Times New Roman"/>
              </w:rPr>
            </w:pPr>
            <w:r>
              <w:rPr>
                <w:rFonts w:ascii="Times New Roman" w:hAnsi="Times New Roman" w:eastAsia="Times New Roman" w:cs="Times New Roman"/>
                <w:spacing w:val="-1"/>
              </w:rPr>
              <w:t>L1K0+365</w:t>
            </w:r>
            <w:r>
              <w:rPr>
                <w:spacing w:val="-1"/>
              </w:rPr>
              <w:t>～</w:t>
            </w:r>
            <w:r>
              <w:rPr>
                <w:rFonts w:ascii="Times New Roman" w:hAnsi="Times New Roman" w:eastAsia="Times New Roman" w:cs="Times New Roman"/>
                <w:spacing w:val="-1"/>
              </w:rPr>
              <w:t>LK0+575</w:t>
            </w:r>
          </w:p>
        </w:tc>
        <w:tc>
          <w:tcPr>
            <w:tcW w:w="1766" w:type="dxa"/>
            <w:vAlign w:val="top"/>
          </w:tcPr>
          <w:p>
            <w:pPr>
              <w:spacing w:before="105" w:line="187" w:lineRule="auto"/>
              <w:ind w:left="7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286</w:t>
            </w:r>
          </w:p>
        </w:tc>
        <w:tc>
          <w:tcPr>
            <w:tcW w:w="1137" w:type="dxa"/>
            <w:vAlign w:val="top"/>
          </w:tcPr>
          <w:p>
            <w:pPr>
              <w:pStyle w:val="6"/>
              <w:spacing w:before="66" w:line="221" w:lineRule="auto"/>
              <w:ind w:left="365"/>
            </w:pPr>
            <w:r>
              <w:rPr>
                <w:spacing w:val="-2"/>
              </w:rPr>
              <w:t>右侧</w:t>
            </w:r>
          </w:p>
        </w:tc>
        <w:tc>
          <w:tcPr>
            <w:tcW w:w="2219" w:type="dxa"/>
            <w:vAlign w:val="top"/>
          </w:tcPr>
          <w:p>
            <w:pPr>
              <w:spacing w:before="105" w:line="187" w:lineRule="auto"/>
              <w:ind w:left="93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32.3</w:t>
            </w:r>
          </w:p>
        </w:tc>
        <w:tc>
          <w:tcPr>
            <w:tcW w:w="688" w:type="dxa"/>
            <w:vAlign w:val="top"/>
          </w:tcPr>
          <w:p>
            <w:pPr>
              <w:rPr>
                <w:rFonts w:ascii="Arial"/>
                <w:sz w:val="21"/>
              </w:rPr>
            </w:pPr>
          </w:p>
        </w:tc>
      </w:tr>
    </w:tbl>
    <w:p>
      <w:pPr>
        <w:spacing w:before="191" w:line="220" w:lineRule="auto"/>
        <w:ind w:left="696"/>
        <w:rPr>
          <w:rFonts w:ascii="宋体" w:hAnsi="宋体" w:eastAsia="宋体" w:cs="宋体"/>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、低填浅挖路基</w:t>
      </w:r>
    </w:p>
    <w:p>
      <w:pPr>
        <w:spacing w:before="182" w:line="466" w:lineRule="exact"/>
        <w:ind w:left="701"/>
        <w:rPr>
          <w:rFonts w:ascii="宋体" w:hAnsi="宋体" w:eastAsia="宋体" w:cs="宋体"/>
          <w:sz w:val="24"/>
          <w:szCs w:val="24"/>
        </w:rPr>
      </w:pPr>
      <w:r>
        <w:rPr>
          <w:rFonts w:ascii="宋体" w:hAnsi="宋体" w:eastAsia="宋体" w:cs="宋体"/>
          <w:spacing w:val="2"/>
          <w:position w:val="17"/>
          <w:sz w:val="24"/>
          <w:szCs w:val="24"/>
        </w:rPr>
        <w:t>零填路段：路基填土高度小于路面结构厚度，应将路床深度范围（</w:t>
      </w:r>
      <w:r>
        <w:rPr>
          <w:rFonts w:ascii="Times New Roman" w:hAnsi="Times New Roman" w:eastAsia="Times New Roman" w:cs="Times New Roman"/>
          <w:spacing w:val="2"/>
          <w:position w:val="17"/>
          <w:sz w:val="24"/>
          <w:szCs w:val="24"/>
        </w:rPr>
        <w:t>80</w:t>
      </w:r>
      <w:r>
        <w:rPr>
          <w:rFonts w:ascii="Times New Roman" w:hAnsi="Times New Roman" w:eastAsia="Times New Roman" w:cs="Times New Roman"/>
          <w:position w:val="17"/>
          <w:sz w:val="24"/>
          <w:szCs w:val="24"/>
        </w:rPr>
        <w:t>cm</w:t>
      </w:r>
      <w:r>
        <w:rPr>
          <w:rFonts w:ascii="宋体" w:hAnsi="宋体" w:eastAsia="宋体" w:cs="宋体"/>
          <w:spacing w:val="2"/>
          <w:position w:val="17"/>
          <w:sz w:val="24"/>
          <w:szCs w:val="24"/>
        </w:rPr>
        <w:t>）</w:t>
      </w:r>
    </w:p>
    <w:p>
      <w:pPr>
        <w:spacing w:before="1" w:line="218" w:lineRule="auto"/>
        <w:ind w:left="249"/>
        <w:rPr>
          <w:rFonts w:ascii="宋体" w:hAnsi="宋体" w:eastAsia="宋体" w:cs="宋体"/>
          <w:sz w:val="24"/>
          <w:szCs w:val="24"/>
        </w:rPr>
      </w:pPr>
      <w:r>
        <w:rPr>
          <w:rFonts w:ascii="宋体" w:hAnsi="宋体" w:eastAsia="宋体" w:cs="宋体"/>
          <w:spacing w:val="-3"/>
          <w:sz w:val="24"/>
          <w:szCs w:val="24"/>
        </w:rPr>
        <w:t>内的地基表层土进行超挖并分层回填压实，填料采用透水性材料。</w:t>
      </w:r>
    </w:p>
    <w:p>
      <w:pPr>
        <w:spacing w:before="183" w:line="359" w:lineRule="auto"/>
        <w:ind w:left="219" w:right="208" w:firstLine="479"/>
        <w:rPr>
          <w:rFonts w:ascii="宋体" w:hAnsi="宋体" w:eastAsia="宋体" w:cs="宋体"/>
          <w:sz w:val="24"/>
          <w:szCs w:val="24"/>
        </w:rPr>
      </w:pPr>
      <w:r>
        <w:rPr>
          <w:rFonts w:ascii="宋体" w:hAnsi="宋体" w:eastAsia="宋体" w:cs="宋体"/>
          <w:spacing w:val="-7"/>
          <w:sz w:val="24"/>
          <w:szCs w:val="24"/>
        </w:rPr>
        <w:t>低填路段：</w:t>
      </w:r>
      <w:r>
        <w:rPr>
          <w:rFonts w:ascii="宋体" w:hAnsi="宋体" w:eastAsia="宋体" w:cs="宋体"/>
          <w:spacing w:val="62"/>
          <w:sz w:val="24"/>
          <w:szCs w:val="24"/>
        </w:rPr>
        <w:t xml:space="preserve"> </w:t>
      </w:r>
      <w:r>
        <w:rPr>
          <w:rFonts w:ascii="Times New Roman" w:hAnsi="Times New Roman" w:eastAsia="Times New Roman" w:cs="Times New Roman"/>
          <w:spacing w:val="-7"/>
          <w:sz w:val="24"/>
          <w:szCs w:val="24"/>
        </w:rPr>
        <w:t>1</w:t>
      </w:r>
      <w:r>
        <w:rPr>
          <w:rFonts w:ascii="宋体" w:hAnsi="宋体" w:eastAsia="宋体" w:cs="宋体"/>
          <w:spacing w:val="-7"/>
          <w:sz w:val="24"/>
          <w:szCs w:val="24"/>
        </w:rPr>
        <w:t xml:space="preserve">）路基填土高度大于路面结构厚度且小于等于 </w:t>
      </w:r>
      <w:r>
        <w:rPr>
          <w:rFonts w:ascii="Times New Roman" w:hAnsi="Times New Roman" w:eastAsia="Times New Roman" w:cs="Times New Roman"/>
          <w:spacing w:val="-7"/>
          <w:sz w:val="24"/>
          <w:szCs w:val="24"/>
        </w:rPr>
        <w:t>1.52m</w:t>
      </w:r>
      <w:r>
        <w:rPr>
          <w:rFonts w:ascii="Times New Roman" w:hAnsi="Times New Roman" w:eastAsia="Times New Roman" w:cs="Times New Roman"/>
          <w:spacing w:val="21"/>
          <w:w w:val="101"/>
          <w:sz w:val="24"/>
          <w:szCs w:val="24"/>
        </w:rPr>
        <w:t xml:space="preserve"> </w:t>
      </w:r>
      <w:r>
        <w:rPr>
          <w:rFonts w:ascii="宋体" w:hAnsi="宋体" w:eastAsia="宋体" w:cs="宋体"/>
          <w:spacing w:val="-7"/>
          <w:sz w:val="24"/>
          <w:szCs w:val="24"/>
        </w:rPr>
        <w:t>路段，将</w:t>
      </w:r>
      <w:r>
        <w:rPr>
          <w:rFonts w:ascii="宋体" w:hAnsi="宋体" w:eastAsia="宋体" w:cs="宋体"/>
          <w:sz w:val="24"/>
          <w:szCs w:val="24"/>
        </w:rPr>
        <w:t xml:space="preserve"> </w:t>
      </w:r>
      <w:r>
        <w:rPr>
          <w:rFonts w:ascii="宋体" w:hAnsi="宋体" w:eastAsia="宋体" w:cs="宋体"/>
          <w:spacing w:val="-6"/>
          <w:sz w:val="24"/>
          <w:szCs w:val="24"/>
        </w:rPr>
        <w:t>路床挖方深度范围（</w:t>
      </w:r>
      <w:r>
        <w:rPr>
          <w:rFonts w:ascii="Times New Roman" w:hAnsi="Times New Roman" w:eastAsia="Times New Roman" w:cs="Times New Roman"/>
          <w:spacing w:val="-6"/>
          <w:sz w:val="24"/>
          <w:szCs w:val="24"/>
        </w:rPr>
        <w:t>0</w:t>
      </w:r>
      <w:r>
        <w:rPr>
          <w:rFonts w:ascii="宋体" w:hAnsi="宋体" w:eastAsia="宋体" w:cs="宋体"/>
          <w:spacing w:val="-6"/>
          <w:sz w:val="24"/>
          <w:szCs w:val="24"/>
        </w:rPr>
        <w:t>～</w:t>
      </w:r>
      <w:r>
        <w:rPr>
          <w:rFonts w:ascii="Times New Roman" w:hAnsi="Times New Roman" w:eastAsia="Times New Roman" w:cs="Times New Roman"/>
          <w:spacing w:val="-6"/>
          <w:sz w:val="24"/>
          <w:szCs w:val="24"/>
        </w:rPr>
        <w:t>80cm</w:t>
      </w:r>
      <w:r>
        <w:rPr>
          <w:rFonts w:ascii="宋体" w:hAnsi="宋体" w:eastAsia="宋体" w:cs="宋体"/>
          <w:spacing w:val="-6"/>
          <w:sz w:val="24"/>
          <w:szCs w:val="24"/>
        </w:rPr>
        <w:t>）内的地基表层土进行超挖并分层回填压实，</w:t>
      </w:r>
      <w:r>
        <w:rPr>
          <w:rFonts w:ascii="宋体" w:hAnsi="宋体" w:eastAsia="宋体" w:cs="宋体"/>
          <w:spacing w:val="63"/>
          <w:sz w:val="24"/>
          <w:szCs w:val="24"/>
        </w:rPr>
        <w:t xml:space="preserve"> </w:t>
      </w:r>
      <w:r>
        <w:rPr>
          <w:rFonts w:ascii="宋体" w:hAnsi="宋体" w:eastAsia="宋体" w:cs="宋体"/>
          <w:spacing w:val="-6"/>
          <w:sz w:val="24"/>
          <w:szCs w:val="24"/>
        </w:rPr>
        <w:t>填料</w:t>
      </w:r>
      <w:r>
        <w:rPr>
          <w:rFonts w:ascii="宋体" w:hAnsi="宋体" w:eastAsia="宋体" w:cs="宋体"/>
          <w:sz w:val="24"/>
          <w:szCs w:val="24"/>
        </w:rPr>
        <w:t xml:space="preserve"> </w:t>
      </w:r>
      <w:r>
        <w:rPr>
          <w:rFonts w:ascii="宋体" w:hAnsi="宋体" w:eastAsia="宋体" w:cs="宋体"/>
          <w:spacing w:val="-6"/>
          <w:sz w:val="24"/>
          <w:szCs w:val="24"/>
        </w:rPr>
        <w:t>采用透水性材料；</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2</w:t>
      </w:r>
      <w:r>
        <w:rPr>
          <w:rFonts w:ascii="宋体" w:hAnsi="宋体" w:eastAsia="宋体" w:cs="宋体"/>
          <w:spacing w:val="-6"/>
          <w:sz w:val="24"/>
          <w:szCs w:val="24"/>
        </w:rPr>
        <w:t>）路基填土高度大于</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 xml:space="preserve">1.52m </w:t>
      </w:r>
      <w:r>
        <w:rPr>
          <w:rFonts w:ascii="宋体" w:hAnsi="宋体" w:eastAsia="宋体" w:cs="宋体"/>
          <w:spacing w:val="-6"/>
          <w:sz w:val="24"/>
          <w:szCs w:val="24"/>
        </w:rPr>
        <w:t>路段且</w:t>
      </w:r>
      <w:r>
        <w:rPr>
          <w:rFonts w:ascii="宋体" w:hAnsi="宋体" w:eastAsia="宋体" w:cs="宋体"/>
          <w:spacing w:val="-7"/>
          <w:sz w:val="24"/>
          <w:szCs w:val="24"/>
        </w:rPr>
        <w:t>小于等于</w:t>
      </w:r>
      <w:r>
        <w:rPr>
          <w:rFonts w:ascii="宋体" w:hAnsi="宋体" w:eastAsia="宋体" w:cs="宋体"/>
          <w:spacing w:val="-54"/>
          <w:sz w:val="24"/>
          <w:szCs w:val="24"/>
        </w:rPr>
        <w:t xml:space="preserve"> </w:t>
      </w:r>
      <w:r>
        <w:rPr>
          <w:rFonts w:ascii="Times New Roman" w:hAnsi="Times New Roman" w:eastAsia="Times New Roman" w:cs="Times New Roman"/>
          <w:spacing w:val="-7"/>
          <w:sz w:val="24"/>
          <w:szCs w:val="24"/>
        </w:rPr>
        <w:t>2.0m</w:t>
      </w:r>
      <w:r>
        <w:rPr>
          <w:rFonts w:ascii="宋体" w:hAnsi="宋体" w:eastAsia="宋体" w:cs="宋体"/>
          <w:spacing w:val="-7"/>
          <w:sz w:val="24"/>
          <w:szCs w:val="24"/>
        </w:rPr>
        <w:t>，将清表线</w:t>
      </w:r>
    </w:p>
    <w:p>
      <w:pPr>
        <w:spacing w:before="1" w:line="218" w:lineRule="auto"/>
        <w:ind w:left="222"/>
        <w:rPr>
          <w:rFonts w:ascii="宋体" w:hAnsi="宋体" w:eastAsia="宋体" w:cs="宋体"/>
          <w:sz w:val="24"/>
          <w:szCs w:val="24"/>
        </w:rPr>
      </w:pPr>
      <w:r>
        <w:rPr>
          <w:rFonts w:ascii="宋体" w:hAnsi="宋体" w:eastAsia="宋体" w:cs="宋体"/>
          <w:spacing w:val="-3"/>
          <w:sz w:val="24"/>
          <w:szCs w:val="24"/>
        </w:rPr>
        <w:t>至路床顶范围的填料采用透水性材料填筑。</w:t>
      </w:r>
    </w:p>
    <w:p>
      <w:pPr>
        <w:spacing w:before="183" w:line="466" w:lineRule="exact"/>
        <w:ind w:left="704"/>
        <w:rPr>
          <w:rFonts w:ascii="宋体" w:hAnsi="宋体" w:eastAsia="宋体" w:cs="宋体"/>
          <w:sz w:val="24"/>
          <w:szCs w:val="24"/>
        </w:rPr>
      </w:pPr>
      <w:r>
        <w:rPr>
          <w:rFonts w:ascii="宋体" w:hAnsi="宋体" w:eastAsia="宋体" w:cs="宋体"/>
          <w:spacing w:val="2"/>
          <w:position w:val="17"/>
          <w:sz w:val="24"/>
          <w:szCs w:val="24"/>
        </w:rPr>
        <w:t>浅挖土质路段：将路床深度范围（</w:t>
      </w:r>
      <w:r>
        <w:rPr>
          <w:rFonts w:ascii="Times New Roman" w:hAnsi="Times New Roman" w:eastAsia="Times New Roman" w:cs="Times New Roman"/>
          <w:spacing w:val="2"/>
          <w:position w:val="17"/>
          <w:sz w:val="24"/>
          <w:szCs w:val="24"/>
        </w:rPr>
        <w:t>80</w:t>
      </w:r>
      <w:r>
        <w:rPr>
          <w:rFonts w:ascii="Times New Roman" w:hAnsi="Times New Roman" w:eastAsia="Times New Roman" w:cs="Times New Roman"/>
          <w:position w:val="17"/>
          <w:sz w:val="24"/>
          <w:szCs w:val="24"/>
        </w:rPr>
        <w:t>cm</w:t>
      </w:r>
      <w:r>
        <w:rPr>
          <w:rFonts w:ascii="宋体" w:hAnsi="宋体" w:eastAsia="宋体" w:cs="宋体"/>
          <w:spacing w:val="2"/>
          <w:position w:val="17"/>
          <w:sz w:val="24"/>
          <w:szCs w:val="24"/>
        </w:rPr>
        <w:t>）内的地基表层土进行超挖并分层</w:t>
      </w:r>
    </w:p>
    <w:p>
      <w:pPr>
        <w:spacing w:before="1" w:line="218" w:lineRule="auto"/>
        <w:ind w:left="244"/>
        <w:rPr>
          <w:rFonts w:ascii="宋体" w:hAnsi="宋体" w:eastAsia="宋体" w:cs="宋体"/>
          <w:sz w:val="24"/>
          <w:szCs w:val="24"/>
        </w:rPr>
      </w:pPr>
      <w:r>
        <w:rPr>
          <w:rFonts w:ascii="宋体" w:hAnsi="宋体" w:eastAsia="宋体" w:cs="宋体"/>
          <w:spacing w:val="-5"/>
          <w:sz w:val="24"/>
          <w:szCs w:val="24"/>
        </w:rPr>
        <w:t>回填压实，填料采用透水性材料。</w:t>
      </w:r>
    </w:p>
    <w:p>
      <w:pPr>
        <w:spacing w:before="183" w:line="466" w:lineRule="exact"/>
        <w:ind w:left="703"/>
        <w:rPr>
          <w:rFonts w:ascii="宋体" w:hAnsi="宋体" w:eastAsia="宋体" w:cs="宋体"/>
          <w:sz w:val="24"/>
          <w:szCs w:val="24"/>
        </w:rPr>
      </w:pPr>
      <w:r>
        <w:rPr>
          <w:rFonts w:ascii="宋体" w:hAnsi="宋体" w:eastAsia="宋体" w:cs="宋体"/>
          <w:spacing w:val="-12"/>
          <w:position w:val="17"/>
          <w:sz w:val="24"/>
          <w:szCs w:val="24"/>
        </w:rPr>
        <w:t>软石挖方路段：</w:t>
      </w:r>
      <w:r>
        <w:rPr>
          <w:rFonts w:ascii="宋体" w:hAnsi="宋体" w:eastAsia="宋体" w:cs="宋体"/>
          <w:spacing w:val="51"/>
          <w:position w:val="17"/>
          <w:sz w:val="24"/>
          <w:szCs w:val="24"/>
        </w:rPr>
        <w:t xml:space="preserve"> </w:t>
      </w:r>
      <w:r>
        <w:rPr>
          <w:rFonts w:ascii="宋体" w:hAnsi="宋体" w:eastAsia="宋体" w:cs="宋体"/>
          <w:spacing w:val="-12"/>
          <w:position w:val="17"/>
          <w:sz w:val="24"/>
          <w:szCs w:val="24"/>
        </w:rPr>
        <w:t>将路面结构下</w:t>
      </w:r>
      <w:r>
        <w:rPr>
          <w:rFonts w:ascii="宋体" w:hAnsi="宋体" w:eastAsia="宋体" w:cs="宋体"/>
          <w:spacing w:val="-48"/>
          <w:position w:val="17"/>
          <w:sz w:val="24"/>
          <w:szCs w:val="24"/>
        </w:rPr>
        <w:t xml:space="preserve"> </w:t>
      </w:r>
      <w:r>
        <w:rPr>
          <w:rFonts w:ascii="Times New Roman" w:hAnsi="Times New Roman" w:eastAsia="Times New Roman" w:cs="Times New Roman"/>
          <w:spacing w:val="-12"/>
          <w:position w:val="17"/>
          <w:sz w:val="24"/>
          <w:szCs w:val="24"/>
        </w:rPr>
        <w:t>50cm</w:t>
      </w:r>
      <w:r>
        <w:rPr>
          <w:rFonts w:ascii="Times New Roman" w:hAnsi="Times New Roman" w:eastAsia="Times New Roman" w:cs="Times New Roman"/>
          <w:spacing w:val="16"/>
          <w:w w:val="101"/>
          <w:position w:val="17"/>
          <w:sz w:val="24"/>
          <w:szCs w:val="24"/>
        </w:rPr>
        <w:t xml:space="preserve"> </w:t>
      </w:r>
      <w:r>
        <w:rPr>
          <w:rFonts w:ascii="宋体" w:hAnsi="宋体" w:eastAsia="宋体" w:cs="宋体"/>
          <w:spacing w:val="-12"/>
          <w:position w:val="17"/>
          <w:sz w:val="24"/>
          <w:szCs w:val="24"/>
        </w:rPr>
        <w:t>范围进行超挖并分层回填压实，</w:t>
      </w:r>
      <w:r>
        <w:rPr>
          <w:rFonts w:ascii="宋体" w:hAnsi="宋体" w:eastAsia="宋体" w:cs="宋体"/>
          <w:spacing w:val="50"/>
          <w:position w:val="17"/>
          <w:sz w:val="24"/>
          <w:szCs w:val="24"/>
        </w:rPr>
        <w:t xml:space="preserve"> </w:t>
      </w:r>
      <w:r>
        <w:rPr>
          <w:rFonts w:ascii="宋体" w:hAnsi="宋体" w:eastAsia="宋体" w:cs="宋体"/>
          <w:spacing w:val="-12"/>
          <w:position w:val="17"/>
          <w:sz w:val="24"/>
          <w:szCs w:val="24"/>
        </w:rPr>
        <w:t>填料采</w:t>
      </w:r>
    </w:p>
    <w:p>
      <w:pPr>
        <w:spacing w:before="1" w:line="218" w:lineRule="auto"/>
        <w:ind w:left="222"/>
        <w:rPr>
          <w:rFonts w:ascii="宋体" w:hAnsi="宋体" w:eastAsia="宋体" w:cs="宋体"/>
          <w:sz w:val="24"/>
          <w:szCs w:val="24"/>
        </w:rPr>
      </w:pPr>
      <w:r>
        <w:rPr>
          <w:rFonts w:ascii="宋体" w:hAnsi="宋体" w:eastAsia="宋体" w:cs="宋体"/>
          <w:spacing w:val="-6"/>
          <w:sz w:val="24"/>
          <w:szCs w:val="24"/>
        </w:rPr>
        <w:t>用透水性材料。</w:t>
      </w:r>
    </w:p>
    <w:p>
      <w:pPr>
        <w:spacing w:before="183" w:line="220" w:lineRule="auto"/>
        <w:ind w:left="640"/>
        <w:rPr>
          <w:rFonts w:ascii="宋体" w:hAnsi="宋体" w:eastAsia="宋体" w:cs="宋体"/>
          <w:sz w:val="24"/>
          <w:szCs w:val="24"/>
        </w:rPr>
      </w:pPr>
      <w:r>
        <w:rPr>
          <w:rFonts w:ascii="Times New Roman" w:hAnsi="Times New Roman" w:eastAsia="Times New Roman" w:cs="Times New Roman"/>
          <w:spacing w:val="-10"/>
          <w:sz w:val="24"/>
          <w:szCs w:val="24"/>
        </w:rPr>
        <w:t>3</w:t>
      </w:r>
      <w:r>
        <w:rPr>
          <w:rFonts w:ascii="宋体" w:hAnsi="宋体" w:eastAsia="宋体" w:cs="宋体"/>
          <w:spacing w:val="-10"/>
          <w:sz w:val="24"/>
          <w:szCs w:val="24"/>
        </w:rPr>
        <w:t>、纵、 横向填挖交界路基</w:t>
      </w:r>
    </w:p>
    <w:p>
      <w:pPr>
        <w:spacing w:line="220" w:lineRule="auto"/>
        <w:rPr>
          <w:rFonts w:ascii="宋体" w:hAnsi="宋体" w:eastAsia="宋体" w:cs="宋体"/>
          <w:sz w:val="24"/>
          <w:szCs w:val="24"/>
        </w:rPr>
        <w:sectPr>
          <w:headerReference r:id="rId107" w:type="default"/>
          <w:footerReference r:id="rId108" w:type="default"/>
          <w:pgSz w:w="11907" w:h="16839"/>
          <w:pgMar w:top="1118" w:right="1589" w:bottom="1184" w:left="1589" w:header="879" w:footer="1024" w:gutter="0"/>
          <w:cols w:space="720" w:num="1"/>
        </w:sectPr>
      </w:pPr>
    </w:p>
    <w:p>
      <w:pPr>
        <w:pStyle w:val="2"/>
        <w:spacing w:line="278" w:lineRule="auto"/>
      </w:pPr>
    </w:p>
    <w:p>
      <w:pPr>
        <w:spacing w:before="78" w:line="359" w:lineRule="auto"/>
        <w:ind w:left="38" w:right="61" w:firstLine="478"/>
        <w:rPr>
          <w:rFonts w:ascii="宋体" w:hAnsi="宋体" w:eastAsia="宋体" w:cs="宋体"/>
          <w:sz w:val="24"/>
          <w:szCs w:val="24"/>
        </w:rPr>
      </w:pPr>
      <w:r>
        <w:rPr>
          <w:rFonts w:ascii="宋体" w:hAnsi="宋体" w:eastAsia="宋体" w:cs="宋体"/>
          <w:spacing w:val="-10"/>
          <w:sz w:val="24"/>
          <w:szCs w:val="24"/>
        </w:rPr>
        <w:t>对原地面坡度不陡于</w:t>
      </w:r>
      <w:r>
        <w:rPr>
          <w:rFonts w:ascii="宋体" w:hAnsi="宋体" w:eastAsia="宋体" w:cs="宋体"/>
          <w:spacing w:val="-19"/>
          <w:sz w:val="24"/>
          <w:szCs w:val="24"/>
        </w:rPr>
        <w:t xml:space="preserve"> </w:t>
      </w:r>
      <w:r>
        <w:rPr>
          <w:rFonts w:ascii="Times New Roman" w:hAnsi="Times New Roman" w:eastAsia="Times New Roman" w:cs="Times New Roman"/>
          <w:spacing w:val="-10"/>
          <w:sz w:val="24"/>
          <w:szCs w:val="24"/>
        </w:rPr>
        <w:t>1:5</w:t>
      </w:r>
      <w:r>
        <w:rPr>
          <w:rFonts w:ascii="Times New Roman" w:hAnsi="Times New Roman" w:eastAsia="Times New Roman" w:cs="Times New Roman"/>
          <w:spacing w:val="29"/>
          <w:w w:val="101"/>
          <w:sz w:val="24"/>
          <w:szCs w:val="24"/>
        </w:rPr>
        <w:t xml:space="preserve"> </w:t>
      </w:r>
      <w:r>
        <w:rPr>
          <w:rFonts w:ascii="宋体" w:hAnsi="宋体" w:eastAsia="宋体" w:cs="宋体"/>
          <w:spacing w:val="-10"/>
          <w:sz w:val="24"/>
          <w:szCs w:val="24"/>
        </w:rPr>
        <w:t>的纵（横） 向半填半挖路段， 翻松原地面表土后分</w:t>
      </w:r>
      <w:r>
        <w:rPr>
          <w:rFonts w:ascii="宋体" w:hAnsi="宋体" w:eastAsia="宋体" w:cs="宋体"/>
          <w:sz w:val="24"/>
          <w:szCs w:val="24"/>
        </w:rPr>
        <w:t xml:space="preserve"> </w:t>
      </w:r>
      <w:r>
        <w:rPr>
          <w:rFonts w:ascii="宋体" w:hAnsi="宋体" w:eastAsia="宋体" w:cs="宋体"/>
          <w:spacing w:val="-5"/>
          <w:sz w:val="24"/>
          <w:szCs w:val="24"/>
        </w:rPr>
        <w:t>层填筑；地面坡度陡于</w:t>
      </w:r>
      <w:r>
        <w:rPr>
          <w:rFonts w:ascii="宋体" w:hAnsi="宋体" w:eastAsia="宋体" w:cs="宋体"/>
          <w:spacing w:val="-20"/>
          <w:sz w:val="24"/>
          <w:szCs w:val="24"/>
        </w:rPr>
        <w:t xml:space="preserve"> </w:t>
      </w:r>
      <w:r>
        <w:rPr>
          <w:rFonts w:ascii="Times New Roman" w:hAnsi="Times New Roman" w:eastAsia="Times New Roman" w:cs="Times New Roman"/>
          <w:spacing w:val="-5"/>
          <w:sz w:val="24"/>
          <w:szCs w:val="24"/>
        </w:rPr>
        <w:t>1:5</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不陡于</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1:2.5</w:t>
      </w:r>
      <w:r>
        <w:rPr>
          <w:rFonts w:ascii="Times New Roman" w:hAnsi="Times New Roman" w:eastAsia="Times New Roman" w:cs="Times New Roman"/>
          <w:spacing w:val="22"/>
          <w:sz w:val="24"/>
          <w:szCs w:val="24"/>
        </w:rPr>
        <w:t xml:space="preserve"> </w:t>
      </w:r>
      <w:r>
        <w:rPr>
          <w:rFonts w:ascii="宋体" w:hAnsi="宋体" w:eastAsia="宋体" w:cs="宋体"/>
          <w:spacing w:val="-5"/>
          <w:sz w:val="24"/>
          <w:szCs w:val="24"/>
        </w:rPr>
        <w:t>时，将原地面挖成不小于</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2.0m</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的台阶，</w:t>
      </w:r>
    </w:p>
    <w:p>
      <w:pPr>
        <w:spacing w:line="219" w:lineRule="auto"/>
        <w:ind w:left="56"/>
        <w:rPr>
          <w:rFonts w:ascii="宋体" w:hAnsi="宋体" w:eastAsia="宋体" w:cs="宋体"/>
          <w:sz w:val="24"/>
          <w:szCs w:val="24"/>
        </w:rPr>
      </w:pPr>
      <w:r>
        <w:rPr>
          <w:rFonts w:ascii="宋体" w:hAnsi="宋体" w:eastAsia="宋体" w:cs="宋体"/>
          <w:spacing w:val="-4"/>
          <w:sz w:val="24"/>
          <w:szCs w:val="24"/>
        </w:rPr>
        <w:t>台阶设</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4%</w:t>
      </w:r>
      <w:r>
        <w:rPr>
          <w:rFonts w:ascii="宋体" w:hAnsi="宋体" w:eastAsia="宋体" w:cs="宋体"/>
          <w:spacing w:val="-4"/>
          <w:sz w:val="24"/>
          <w:szCs w:val="24"/>
        </w:rPr>
        <w:t>的内倾斜坡，再分层填筑。</w:t>
      </w:r>
    </w:p>
    <w:p>
      <w:pPr>
        <w:spacing w:before="181" w:line="359" w:lineRule="auto"/>
        <w:ind w:left="36" w:right="64" w:firstLine="485"/>
        <w:rPr>
          <w:rFonts w:ascii="宋体" w:hAnsi="宋体" w:eastAsia="宋体" w:cs="宋体"/>
          <w:sz w:val="24"/>
          <w:szCs w:val="24"/>
        </w:rPr>
      </w:pPr>
      <w:r>
        <w:rPr>
          <w:rFonts w:ascii="宋体" w:hAnsi="宋体" w:eastAsia="宋体" w:cs="宋体"/>
          <w:spacing w:val="-1"/>
          <w:sz w:val="24"/>
          <w:szCs w:val="24"/>
        </w:rPr>
        <w:t xml:space="preserve">纵（横）向半填半挖路基路段对挖方路床 </w:t>
      </w:r>
      <w:r>
        <w:rPr>
          <w:rFonts w:ascii="Times New Roman" w:hAnsi="Times New Roman" w:eastAsia="Times New Roman" w:cs="Times New Roman"/>
          <w:spacing w:val="-1"/>
          <w:sz w:val="24"/>
          <w:szCs w:val="24"/>
        </w:rPr>
        <w:t>30~80c</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56"/>
          <w:w w:val="101"/>
          <w:sz w:val="24"/>
          <w:szCs w:val="24"/>
        </w:rPr>
        <w:t xml:space="preserve"> </w:t>
      </w:r>
      <w:r>
        <w:rPr>
          <w:rFonts w:ascii="宋体" w:hAnsi="宋体" w:eastAsia="宋体" w:cs="宋体"/>
          <w:spacing w:val="-2"/>
          <w:sz w:val="24"/>
          <w:szCs w:val="24"/>
        </w:rPr>
        <w:t>范围内土体进行超挖换</w:t>
      </w:r>
      <w:r>
        <w:rPr>
          <w:rFonts w:ascii="宋体" w:hAnsi="宋体" w:eastAsia="宋体" w:cs="宋体"/>
          <w:sz w:val="24"/>
          <w:szCs w:val="24"/>
        </w:rPr>
        <w:t xml:space="preserve"> </w:t>
      </w:r>
      <w:r>
        <w:rPr>
          <w:rFonts w:ascii="宋体" w:hAnsi="宋体" w:eastAsia="宋体" w:cs="宋体"/>
          <w:spacing w:val="-6"/>
          <w:sz w:val="24"/>
          <w:szCs w:val="24"/>
        </w:rPr>
        <w:t>填透水性材料（级配碎石</w:t>
      </w:r>
      <w:r>
        <w:rPr>
          <w:rFonts w:ascii="宋体" w:hAnsi="宋体" w:eastAsia="宋体" w:cs="宋体"/>
          <w:spacing w:val="-10"/>
          <w:sz w:val="24"/>
          <w:szCs w:val="24"/>
        </w:rPr>
        <w:t>）</w:t>
      </w:r>
      <w:r>
        <w:rPr>
          <w:rFonts w:ascii="宋体" w:hAnsi="宋体" w:eastAsia="宋体" w:cs="宋体"/>
          <w:spacing w:val="-7"/>
          <w:sz w:val="24"/>
          <w:szCs w:val="24"/>
        </w:rPr>
        <w:t xml:space="preserve"> </w:t>
      </w:r>
      <w:r>
        <w:rPr>
          <w:rFonts w:ascii="宋体" w:hAnsi="宋体" w:eastAsia="宋体" w:cs="宋体"/>
          <w:spacing w:val="-10"/>
          <w:sz w:val="24"/>
          <w:szCs w:val="24"/>
        </w:rPr>
        <w:t>，</w:t>
      </w:r>
      <w:r>
        <w:rPr>
          <w:rFonts w:ascii="宋体" w:hAnsi="宋体" w:eastAsia="宋体" w:cs="宋体"/>
          <w:spacing w:val="-6"/>
          <w:sz w:val="24"/>
          <w:szCs w:val="24"/>
        </w:rPr>
        <w:t>并在填挖交界处路床范围内设置两层土工格栅。设</w:t>
      </w:r>
      <w:r>
        <w:rPr>
          <w:rFonts w:ascii="宋体" w:hAnsi="宋体" w:eastAsia="宋体" w:cs="宋体"/>
          <w:sz w:val="24"/>
          <w:szCs w:val="24"/>
        </w:rPr>
        <w:t xml:space="preserve"> </w:t>
      </w:r>
      <w:r>
        <w:rPr>
          <w:rFonts w:ascii="宋体" w:hAnsi="宋体" w:eastAsia="宋体" w:cs="宋体"/>
          <w:spacing w:val="-10"/>
          <w:sz w:val="24"/>
          <w:szCs w:val="24"/>
        </w:rPr>
        <w:t>置完整的地下排水系统，</w:t>
      </w:r>
      <w:r>
        <w:rPr>
          <w:rFonts w:ascii="宋体" w:hAnsi="宋体" w:eastAsia="宋体" w:cs="宋体"/>
          <w:spacing w:val="29"/>
          <w:sz w:val="24"/>
          <w:szCs w:val="24"/>
        </w:rPr>
        <w:t xml:space="preserve"> </w:t>
      </w:r>
      <w:r>
        <w:rPr>
          <w:rFonts w:ascii="宋体" w:hAnsi="宋体" w:eastAsia="宋体" w:cs="宋体"/>
          <w:spacing w:val="-10"/>
          <w:sz w:val="24"/>
          <w:szCs w:val="24"/>
        </w:rPr>
        <w:t>除边沟下设置纵向渗沟外，</w:t>
      </w:r>
      <w:r>
        <w:rPr>
          <w:rFonts w:ascii="宋体" w:hAnsi="宋体" w:eastAsia="宋体" w:cs="宋体"/>
          <w:spacing w:val="-11"/>
          <w:sz w:val="24"/>
          <w:szCs w:val="24"/>
        </w:rPr>
        <w:t xml:space="preserve"> 在地下水丰富路段再填挖之</w:t>
      </w:r>
    </w:p>
    <w:p>
      <w:pPr>
        <w:spacing w:line="219" w:lineRule="auto"/>
        <w:ind w:left="56"/>
        <w:rPr>
          <w:rFonts w:ascii="宋体" w:hAnsi="宋体" w:eastAsia="宋体" w:cs="宋体"/>
          <w:sz w:val="24"/>
          <w:szCs w:val="24"/>
        </w:rPr>
      </w:pPr>
      <w:r>
        <w:rPr>
          <w:rFonts w:ascii="宋体" w:hAnsi="宋体" w:eastAsia="宋体" w:cs="宋体"/>
          <w:spacing w:val="-6"/>
          <w:sz w:val="24"/>
          <w:szCs w:val="24"/>
        </w:rPr>
        <w:t>间设置纵或横向渗沟。</w:t>
      </w:r>
    </w:p>
    <w:p>
      <w:pPr>
        <w:spacing w:before="184" w:line="465" w:lineRule="exact"/>
        <w:ind w:right="65"/>
        <w:jc w:val="right"/>
        <w:rPr>
          <w:rFonts w:ascii="宋体" w:hAnsi="宋体" w:eastAsia="宋体" w:cs="宋体"/>
          <w:sz w:val="24"/>
          <w:szCs w:val="24"/>
        </w:rPr>
      </w:pPr>
      <w:r>
        <w:rPr>
          <w:rFonts w:ascii="宋体" w:hAnsi="宋体" w:eastAsia="宋体" w:cs="宋体"/>
          <w:spacing w:val="-10"/>
          <w:position w:val="17"/>
          <w:sz w:val="24"/>
          <w:szCs w:val="24"/>
        </w:rPr>
        <w:t>施工时开挖台阶分层碾压， 做到填挖交界处的拼接密实无拼痕， 采用强夯进</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行增强补压，消除路基填挖间的差异变形。</w:t>
      </w:r>
    </w:p>
    <w:p>
      <w:pPr>
        <w:spacing w:before="182" w:line="220" w:lineRule="auto"/>
        <w:ind w:left="512"/>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、结构物台背路基</w:t>
      </w:r>
    </w:p>
    <w:p>
      <w:pPr>
        <w:spacing w:before="180" w:line="359" w:lineRule="auto"/>
        <w:ind w:left="38" w:right="63" w:firstLine="482"/>
        <w:rPr>
          <w:rFonts w:ascii="宋体" w:hAnsi="宋体" w:eastAsia="宋体" w:cs="宋体"/>
          <w:sz w:val="24"/>
          <w:szCs w:val="24"/>
        </w:rPr>
      </w:pPr>
      <w:r>
        <w:rPr>
          <w:rFonts w:ascii="宋体" w:hAnsi="宋体" w:eastAsia="宋体" w:cs="宋体"/>
          <w:spacing w:val="-6"/>
          <w:sz w:val="24"/>
          <w:szCs w:val="24"/>
        </w:rPr>
        <w:t>为减少结构物与路基间的桥头跳车现象， 对填方桥头路基</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8m</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范围内和挖方</w:t>
      </w:r>
      <w:r>
        <w:rPr>
          <w:rFonts w:ascii="宋体" w:hAnsi="宋体" w:eastAsia="宋体" w:cs="宋体"/>
          <w:sz w:val="24"/>
          <w:szCs w:val="24"/>
        </w:rPr>
        <w:t xml:space="preserve"> </w:t>
      </w:r>
      <w:r>
        <w:rPr>
          <w:rFonts w:ascii="宋体" w:hAnsi="宋体" w:eastAsia="宋体" w:cs="宋体"/>
          <w:spacing w:val="-6"/>
          <w:sz w:val="24"/>
          <w:szCs w:val="24"/>
        </w:rPr>
        <w:t>桥台基坑台背范围内采用水泥稳定碎石回填，</w:t>
      </w:r>
      <w:r>
        <w:rPr>
          <w:rFonts w:ascii="宋体" w:hAnsi="宋体" w:eastAsia="宋体" w:cs="宋体"/>
          <w:spacing w:val="-14"/>
          <w:sz w:val="24"/>
          <w:szCs w:val="24"/>
        </w:rPr>
        <w:t xml:space="preserve"> </w:t>
      </w:r>
      <w:r>
        <w:rPr>
          <w:rFonts w:ascii="宋体" w:hAnsi="宋体" w:eastAsia="宋体" w:cs="宋体"/>
          <w:spacing w:val="-6"/>
          <w:sz w:val="24"/>
          <w:szCs w:val="24"/>
        </w:rPr>
        <w:t>压实度从回填基底至路床顶面均不</w:t>
      </w:r>
    </w:p>
    <w:p>
      <w:pPr>
        <w:spacing w:before="1" w:line="221" w:lineRule="auto"/>
        <w:ind w:left="44"/>
        <w:rPr>
          <w:rFonts w:ascii="宋体" w:hAnsi="宋体" w:eastAsia="宋体" w:cs="宋体"/>
          <w:sz w:val="24"/>
          <w:szCs w:val="24"/>
        </w:rPr>
      </w:pPr>
      <w:r>
        <w:rPr>
          <w:rFonts w:ascii="宋体" w:hAnsi="宋体" w:eastAsia="宋体" w:cs="宋体"/>
          <w:spacing w:val="-5"/>
          <w:sz w:val="24"/>
          <w:szCs w:val="24"/>
        </w:rPr>
        <w:t>小于</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96%</w:t>
      </w:r>
      <w:r>
        <w:rPr>
          <w:rFonts w:ascii="宋体" w:hAnsi="宋体" w:eastAsia="宋体" w:cs="宋体"/>
          <w:spacing w:val="-5"/>
          <w:sz w:val="24"/>
          <w:szCs w:val="24"/>
        </w:rPr>
        <w:t>。</w:t>
      </w:r>
    </w:p>
    <w:p>
      <w:pPr>
        <w:spacing w:before="182" w:line="359" w:lineRule="auto"/>
        <w:ind w:left="39" w:right="64" w:firstLine="494"/>
        <w:rPr>
          <w:rFonts w:ascii="宋体" w:hAnsi="宋体" w:eastAsia="宋体" w:cs="宋体"/>
          <w:sz w:val="24"/>
          <w:szCs w:val="24"/>
        </w:rPr>
      </w:pPr>
      <w:r>
        <w:rPr>
          <w:rFonts w:ascii="宋体" w:hAnsi="宋体" w:eastAsia="宋体" w:cs="宋体"/>
          <w:spacing w:val="-12"/>
          <w:sz w:val="24"/>
          <w:szCs w:val="24"/>
        </w:rPr>
        <w:t>当桥台采用座板台型式时，</w:t>
      </w:r>
      <w:r>
        <w:rPr>
          <w:rFonts w:ascii="宋体" w:hAnsi="宋体" w:eastAsia="宋体" w:cs="宋体"/>
          <w:spacing w:val="46"/>
          <w:sz w:val="24"/>
          <w:szCs w:val="24"/>
        </w:rPr>
        <w:t xml:space="preserve"> </w:t>
      </w:r>
      <w:r>
        <w:rPr>
          <w:rFonts w:ascii="宋体" w:hAnsi="宋体" w:eastAsia="宋体" w:cs="宋体"/>
          <w:spacing w:val="-12"/>
          <w:sz w:val="24"/>
          <w:szCs w:val="24"/>
        </w:rPr>
        <w:t>台前及承台顶面下填筑材料及要求同路基， 并先</w:t>
      </w:r>
      <w:r>
        <w:rPr>
          <w:rFonts w:ascii="宋体" w:hAnsi="宋体" w:eastAsia="宋体" w:cs="宋体"/>
          <w:sz w:val="24"/>
          <w:szCs w:val="24"/>
        </w:rPr>
        <w:t xml:space="preserve"> </w:t>
      </w:r>
      <w:r>
        <w:rPr>
          <w:rFonts w:ascii="宋体" w:hAnsi="宋体" w:eastAsia="宋体" w:cs="宋体"/>
          <w:spacing w:val="-12"/>
          <w:sz w:val="24"/>
          <w:szCs w:val="24"/>
        </w:rPr>
        <w:t>于桩基及承台施工，</w:t>
      </w:r>
      <w:r>
        <w:rPr>
          <w:rFonts w:ascii="宋体" w:hAnsi="宋体" w:eastAsia="宋体" w:cs="宋体"/>
          <w:spacing w:val="40"/>
          <w:sz w:val="24"/>
          <w:szCs w:val="24"/>
        </w:rPr>
        <w:t xml:space="preserve"> </w:t>
      </w:r>
      <w:r>
        <w:rPr>
          <w:rFonts w:ascii="宋体" w:hAnsi="宋体" w:eastAsia="宋体" w:cs="宋体"/>
          <w:spacing w:val="-12"/>
          <w:sz w:val="24"/>
          <w:szCs w:val="24"/>
        </w:rPr>
        <w:t>待路基沉降稳定后再施工桩基、浇筑</w:t>
      </w:r>
      <w:r>
        <w:rPr>
          <w:rFonts w:ascii="宋体" w:hAnsi="宋体" w:eastAsia="宋体" w:cs="宋体"/>
          <w:spacing w:val="-13"/>
          <w:sz w:val="24"/>
          <w:szCs w:val="24"/>
        </w:rPr>
        <w:t>承台、台身台帽，</w:t>
      </w:r>
      <w:r>
        <w:rPr>
          <w:rFonts w:ascii="宋体" w:hAnsi="宋体" w:eastAsia="宋体" w:cs="宋体"/>
          <w:spacing w:val="42"/>
          <w:sz w:val="24"/>
          <w:szCs w:val="24"/>
        </w:rPr>
        <w:t xml:space="preserve"> </w:t>
      </w:r>
      <w:r>
        <w:rPr>
          <w:rFonts w:ascii="宋体" w:hAnsi="宋体" w:eastAsia="宋体" w:cs="宋体"/>
          <w:spacing w:val="-13"/>
          <w:sz w:val="24"/>
          <w:szCs w:val="24"/>
        </w:rPr>
        <w:t>混凝</w:t>
      </w:r>
      <w:r>
        <w:rPr>
          <w:rFonts w:ascii="宋体" w:hAnsi="宋体" w:eastAsia="宋体" w:cs="宋体"/>
          <w:sz w:val="24"/>
          <w:szCs w:val="24"/>
        </w:rPr>
        <w:t xml:space="preserve"> </w:t>
      </w:r>
      <w:r>
        <w:rPr>
          <w:rFonts w:ascii="宋体" w:hAnsi="宋体" w:eastAsia="宋体" w:cs="宋体"/>
          <w:spacing w:val="-6"/>
          <w:sz w:val="24"/>
          <w:szCs w:val="24"/>
        </w:rPr>
        <w:t>土强度达到设计要求后开挖台阶，</w:t>
      </w:r>
      <w:r>
        <w:rPr>
          <w:rFonts w:ascii="宋体" w:hAnsi="宋体" w:eastAsia="宋体" w:cs="宋体"/>
          <w:spacing w:val="-15"/>
          <w:sz w:val="24"/>
          <w:szCs w:val="24"/>
        </w:rPr>
        <w:t xml:space="preserve"> </w:t>
      </w:r>
      <w:r>
        <w:rPr>
          <w:rFonts w:ascii="宋体" w:hAnsi="宋体" w:eastAsia="宋体" w:cs="宋体"/>
          <w:spacing w:val="-6"/>
          <w:sz w:val="24"/>
          <w:szCs w:val="24"/>
        </w:rPr>
        <w:t>最后承台顶面以上台背全部采用水泥稳定碎石</w:t>
      </w:r>
    </w:p>
    <w:p>
      <w:pPr>
        <w:spacing w:line="220" w:lineRule="auto"/>
        <w:ind w:left="61"/>
        <w:rPr>
          <w:rFonts w:ascii="宋体" w:hAnsi="宋体" w:eastAsia="宋体" w:cs="宋体"/>
          <w:sz w:val="24"/>
          <w:szCs w:val="24"/>
        </w:rPr>
      </w:pPr>
      <w:r>
        <w:rPr>
          <w:rFonts w:ascii="宋体" w:hAnsi="宋体" w:eastAsia="宋体" w:cs="宋体"/>
          <w:spacing w:val="-16"/>
          <w:sz w:val="24"/>
          <w:szCs w:val="24"/>
        </w:rPr>
        <w:t>回填。</w:t>
      </w:r>
    </w:p>
    <w:p>
      <w:pPr>
        <w:spacing w:before="181" w:line="359" w:lineRule="auto"/>
        <w:ind w:left="40" w:firstLine="493"/>
        <w:rPr>
          <w:rFonts w:ascii="宋体" w:hAnsi="宋体" w:eastAsia="宋体" w:cs="宋体"/>
          <w:sz w:val="24"/>
          <w:szCs w:val="24"/>
        </w:rPr>
      </w:pPr>
      <w:r>
        <w:rPr>
          <w:rFonts w:ascii="宋体" w:hAnsi="宋体" w:eastAsia="宋体" w:cs="宋体"/>
          <w:spacing w:val="-10"/>
          <w:sz w:val="24"/>
          <w:szCs w:val="24"/>
        </w:rPr>
        <w:t>当桥台采用</w:t>
      </w:r>
      <w:r>
        <w:rPr>
          <w:rFonts w:ascii="宋体" w:hAnsi="宋体" w:eastAsia="宋体" w:cs="宋体"/>
          <w:spacing w:val="-58"/>
          <w:sz w:val="24"/>
          <w:szCs w:val="24"/>
        </w:rPr>
        <w:t xml:space="preserve"> </w:t>
      </w:r>
      <w:r>
        <w:rPr>
          <w:rFonts w:ascii="Times New Roman" w:hAnsi="Times New Roman" w:eastAsia="Times New Roman" w:cs="Times New Roman"/>
          <w:spacing w:val="-10"/>
          <w:sz w:val="24"/>
          <w:szCs w:val="24"/>
        </w:rPr>
        <w:t>U</w:t>
      </w:r>
      <w:r>
        <w:rPr>
          <w:rFonts w:ascii="Times New Roman" w:hAnsi="Times New Roman" w:eastAsia="Times New Roman" w:cs="Times New Roman"/>
          <w:spacing w:val="27"/>
          <w:w w:val="101"/>
          <w:sz w:val="24"/>
          <w:szCs w:val="24"/>
        </w:rPr>
        <w:t xml:space="preserve"> </w:t>
      </w:r>
      <w:r>
        <w:rPr>
          <w:rFonts w:ascii="宋体" w:hAnsi="宋体" w:eastAsia="宋体" w:cs="宋体"/>
          <w:spacing w:val="-10"/>
          <w:sz w:val="24"/>
          <w:szCs w:val="24"/>
        </w:rPr>
        <w:t>台型式时， 桥头填土高度</w:t>
      </w:r>
      <w:r>
        <w:rPr>
          <w:rFonts w:ascii="宋体" w:hAnsi="宋体" w:eastAsia="宋体" w:cs="宋体"/>
          <w:spacing w:val="-56"/>
          <w:sz w:val="24"/>
          <w:szCs w:val="24"/>
        </w:rPr>
        <w:t xml:space="preserve"> </w:t>
      </w:r>
      <w:r>
        <w:rPr>
          <w:rFonts w:ascii="Times New Roman" w:hAnsi="Times New Roman" w:eastAsia="Times New Roman" w:cs="Times New Roman"/>
          <w:spacing w:val="-10"/>
          <w:sz w:val="24"/>
          <w:szCs w:val="24"/>
        </w:rPr>
        <w:t>H≤8m</w:t>
      </w:r>
      <w:r>
        <w:rPr>
          <w:rFonts w:ascii="Times New Roman" w:hAnsi="Times New Roman" w:eastAsia="Times New Roman" w:cs="Times New Roman"/>
          <w:spacing w:val="21"/>
          <w:sz w:val="24"/>
          <w:szCs w:val="24"/>
        </w:rPr>
        <w:t xml:space="preserve"> </w:t>
      </w:r>
      <w:r>
        <w:rPr>
          <w:rFonts w:ascii="宋体" w:hAnsi="宋体" w:eastAsia="宋体" w:cs="宋体"/>
          <w:spacing w:val="-10"/>
          <w:sz w:val="24"/>
          <w:szCs w:val="24"/>
        </w:rPr>
        <w:t>时，</w:t>
      </w:r>
      <w:r>
        <w:rPr>
          <w:rFonts w:ascii="宋体" w:hAnsi="宋体" w:eastAsia="宋体" w:cs="宋体"/>
          <w:spacing w:val="-53"/>
          <w:sz w:val="24"/>
          <w:szCs w:val="24"/>
        </w:rPr>
        <w:t xml:space="preserve"> </w:t>
      </w:r>
      <w:r>
        <w:rPr>
          <w:rFonts w:ascii="宋体" w:hAnsi="宋体" w:eastAsia="宋体" w:cs="宋体"/>
          <w:spacing w:val="-11"/>
          <w:sz w:val="24"/>
          <w:szCs w:val="24"/>
        </w:rPr>
        <w:t>全部填筑水泥稳定碎石；</w:t>
      </w:r>
      <w:r>
        <w:rPr>
          <w:rFonts w:ascii="宋体" w:hAnsi="宋体" w:eastAsia="宋体" w:cs="宋体"/>
          <w:sz w:val="24"/>
          <w:szCs w:val="24"/>
        </w:rPr>
        <w:t xml:space="preserve"> </w:t>
      </w:r>
      <w:r>
        <w:rPr>
          <w:rFonts w:ascii="宋体" w:hAnsi="宋体" w:eastAsia="宋体" w:cs="宋体"/>
          <w:spacing w:val="-10"/>
          <w:sz w:val="24"/>
          <w:szCs w:val="24"/>
        </w:rPr>
        <w:t>当桥头填土高度</w:t>
      </w:r>
      <w:r>
        <w:rPr>
          <w:rFonts w:ascii="宋体" w:hAnsi="宋体" w:eastAsia="宋体" w:cs="宋体"/>
          <w:spacing w:val="-54"/>
          <w:sz w:val="24"/>
          <w:szCs w:val="24"/>
        </w:rPr>
        <w:t xml:space="preserve"> </w:t>
      </w:r>
      <w:r>
        <w:rPr>
          <w:rFonts w:ascii="Times New Roman" w:hAnsi="Times New Roman" w:eastAsia="Times New Roman" w:cs="Times New Roman"/>
          <w:spacing w:val="-10"/>
          <w:sz w:val="24"/>
          <w:szCs w:val="24"/>
        </w:rPr>
        <w:t>H</w:t>
      </w:r>
      <w:r>
        <w:rPr>
          <w:rFonts w:ascii="宋体" w:hAnsi="宋体" w:eastAsia="宋体" w:cs="宋体"/>
          <w:spacing w:val="-10"/>
          <w:sz w:val="24"/>
          <w:szCs w:val="24"/>
        </w:rPr>
        <w:t>＞</w:t>
      </w:r>
      <w:r>
        <w:rPr>
          <w:rFonts w:ascii="Times New Roman" w:hAnsi="Times New Roman" w:eastAsia="Times New Roman" w:cs="Times New Roman"/>
          <w:spacing w:val="-10"/>
          <w:sz w:val="24"/>
          <w:szCs w:val="24"/>
        </w:rPr>
        <w:t>8m</w:t>
      </w:r>
      <w:r>
        <w:rPr>
          <w:rFonts w:ascii="Times New Roman" w:hAnsi="Times New Roman" w:eastAsia="Times New Roman" w:cs="Times New Roman"/>
          <w:spacing w:val="21"/>
          <w:sz w:val="24"/>
          <w:szCs w:val="24"/>
        </w:rPr>
        <w:t xml:space="preserve"> </w:t>
      </w:r>
      <w:r>
        <w:rPr>
          <w:rFonts w:ascii="宋体" w:hAnsi="宋体" w:eastAsia="宋体" w:cs="宋体"/>
          <w:spacing w:val="-10"/>
          <w:sz w:val="24"/>
          <w:szCs w:val="24"/>
        </w:rPr>
        <w:t>时，</w:t>
      </w:r>
      <w:r>
        <w:rPr>
          <w:rFonts w:ascii="宋体" w:hAnsi="宋体" w:eastAsia="宋体" w:cs="宋体"/>
          <w:spacing w:val="-56"/>
          <w:sz w:val="24"/>
          <w:szCs w:val="24"/>
        </w:rPr>
        <w:t xml:space="preserve"> </w:t>
      </w:r>
      <w:r>
        <w:rPr>
          <w:rFonts w:ascii="宋体" w:hAnsi="宋体" w:eastAsia="宋体" w:cs="宋体"/>
          <w:spacing w:val="-10"/>
          <w:sz w:val="24"/>
          <w:szCs w:val="24"/>
        </w:rPr>
        <w:t>上部</w:t>
      </w:r>
      <w:r>
        <w:rPr>
          <w:rFonts w:ascii="宋体" w:hAnsi="宋体" w:eastAsia="宋体" w:cs="宋体"/>
          <w:spacing w:val="-46"/>
          <w:sz w:val="24"/>
          <w:szCs w:val="24"/>
        </w:rPr>
        <w:t xml:space="preserve"> </w:t>
      </w:r>
      <w:r>
        <w:rPr>
          <w:rFonts w:ascii="Times New Roman" w:hAnsi="Times New Roman" w:eastAsia="Times New Roman" w:cs="Times New Roman"/>
          <w:spacing w:val="-10"/>
          <w:sz w:val="24"/>
          <w:szCs w:val="24"/>
        </w:rPr>
        <w:t>8m</w:t>
      </w:r>
      <w:r>
        <w:rPr>
          <w:rFonts w:ascii="Times New Roman" w:hAnsi="Times New Roman" w:eastAsia="Times New Roman" w:cs="Times New Roman"/>
          <w:spacing w:val="16"/>
          <w:sz w:val="24"/>
          <w:szCs w:val="24"/>
        </w:rPr>
        <w:t xml:space="preserve"> </w:t>
      </w:r>
      <w:r>
        <w:rPr>
          <w:rFonts w:ascii="宋体" w:hAnsi="宋体" w:eastAsia="宋体" w:cs="宋体"/>
          <w:spacing w:val="-10"/>
          <w:sz w:val="24"/>
          <w:szCs w:val="24"/>
        </w:rPr>
        <w:t>范围内填筑水泥稳定碎石，</w:t>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8m</w:t>
      </w:r>
      <w:r>
        <w:rPr>
          <w:rFonts w:ascii="Times New Roman" w:hAnsi="Times New Roman" w:eastAsia="Times New Roman" w:cs="Times New Roman"/>
          <w:spacing w:val="16"/>
          <w:sz w:val="24"/>
          <w:szCs w:val="24"/>
        </w:rPr>
        <w:t xml:space="preserve"> </w:t>
      </w:r>
      <w:r>
        <w:rPr>
          <w:rFonts w:ascii="宋体" w:hAnsi="宋体" w:eastAsia="宋体" w:cs="宋体"/>
          <w:spacing w:val="-10"/>
          <w:sz w:val="24"/>
          <w:szCs w:val="24"/>
        </w:rPr>
        <w:t>范围以下填</w:t>
      </w:r>
      <w:r>
        <w:rPr>
          <w:rFonts w:ascii="宋体" w:hAnsi="宋体" w:eastAsia="宋体" w:cs="宋体"/>
          <w:sz w:val="24"/>
          <w:szCs w:val="24"/>
        </w:rPr>
        <w:t xml:space="preserve"> </w:t>
      </w:r>
      <w:r>
        <w:rPr>
          <w:rFonts w:ascii="宋体" w:hAnsi="宋体" w:eastAsia="宋体" w:cs="宋体"/>
          <w:spacing w:val="-1"/>
          <w:sz w:val="24"/>
          <w:szCs w:val="24"/>
        </w:rPr>
        <w:t xml:space="preserve">筑宕渣或土石混合料，填料的最大粒径要求不大于 </w:t>
      </w:r>
      <w:r>
        <w:rPr>
          <w:rFonts w:ascii="Times New Roman" w:hAnsi="Times New Roman" w:eastAsia="Times New Roman" w:cs="Times New Roman"/>
          <w:spacing w:val="-1"/>
          <w:sz w:val="24"/>
          <w:szCs w:val="24"/>
        </w:rPr>
        <w:t>10cm</w:t>
      </w:r>
      <w:r>
        <w:rPr>
          <w:rFonts w:ascii="宋体" w:hAnsi="宋体" w:eastAsia="宋体" w:cs="宋体"/>
          <w:spacing w:val="-2"/>
          <w:sz w:val="24"/>
          <w:szCs w:val="24"/>
        </w:rPr>
        <w:t>。当桥台完全位于挖方</w:t>
      </w:r>
    </w:p>
    <w:p>
      <w:pPr>
        <w:spacing w:before="1" w:line="218" w:lineRule="auto"/>
        <w:ind w:left="49"/>
        <w:rPr>
          <w:rFonts w:ascii="宋体" w:hAnsi="宋体" w:eastAsia="宋体" w:cs="宋体"/>
          <w:sz w:val="24"/>
          <w:szCs w:val="24"/>
        </w:rPr>
      </w:pPr>
      <w:r>
        <w:rPr>
          <w:rFonts w:ascii="宋体" w:hAnsi="宋体" w:eastAsia="宋体" w:cs="宋体"/>
          <w:spacing w:val="-3"/>
          <w:sz w:val="24"/>
          <w:szCs w:val="24"/>
        </w:rPr>
        <w:t>时，对桥台基坑台背范围内也采用水泥稳定碎石回填。</w:t>
      </w:r>
    </w:p>
    <w:p>
      <w:pPr>
        <w:spacing w:before="182" w:line="359" w:lineRule="auto"/>
        <w:ind w:left="43" w:right="64" w:firstLine="474"/>
        <w:rPr>
          <w:rFonts w:ascii="宋体" w:hAnsi="宋体" w:eastAsia="宋体" w:cs="宋体"/>
          <w:sz w:val="24"/>
          <w:szCs w:val="24"/>
        </w:rPr>
      </w:pPr>
      <w:r>
        <w:rPr>
          <w:rFonts w:ascii="宋体" w:hAnsi="宋体" w:eastAsia="宋体" w:cs="宋体"/>
          <w:spacing w:val="-7"/>
          <w:sz w:val="24"/>
          <w:szCs w:val="24"/>
        </w:rPr>
        <w:t>桥头路基须同台后路堤、台前锥坡一同分层摊铺碾压， 并要求每层最大压实</w:t>
      </w:r>
      <w:r>
        <w:rPr>
          <w:rFonts w:ascii="宋体" w:hAnsi="宋体" w:eastAsia="宋体" w:cs="宋体"/>
          <w:spacing w:val="11"/>
          <w:sz w:val="24"/>
          <w:szCs w:val="24"/>
        </w:rPr>
        <w:t xml:space="preserve"> </w:t>
      </w:r>
      <w:r>
        <w:rPr>
          <w:rFonts w:ascii="宋体" w:hAnsi="宋体" w:eastAsia="宋体" w:cs="宋体"/>
          <w:spacing w:val="-6"/>
          <w:sz w:val="24"/>
          <w:szCs w:val="24"/>
        </w:rPr>
        <w:t xml:space="preserve">厚度 </w:t>
      </w:r>
      <w:r>
        <w:rPr>
          <w:rFonts w:ascii="Times New Roman" w:hAnsi="Times New Roman" w:eastAsia="Times New Roman" w:cs="Times New Roman"/>
          <w:spacing w:val="-6"/>
          <w:sz w:val="24"/>
          <w:szCs w:val="24"/>
        </w:rPr>
        <w:t>15cm</w:t>
      </w:r>
      <w:r>
        <w:rPr>
          <w:rFonts w:ascii="宋体" w:hAnsi="宋体" w:eastAsia="宋体" w:cs="宋体"/>
          <w:spacing w:val="-6"/>
          <w:sz w:val="24"/>
          <w:szCs w:val="24"/>
        </w:rPr>
        <w:t>。桥台背和锥坡的回填施工同步进行，</w:t>
      </w:r>
      <w:r>
        <w:rPr>
          <w:rFonts w:ascii="宋体" w:hAnsi="宋体" w:eastAsia="宋体" w:cs="宋体"/>
          <w:spacing w:val="66"/>
          <w:sz w:val="24"/>
          <w:szCs w:val="24"/>
        </w:rPr>
        <w:t xml:space="preserve"> </w:t>
      </w:r>
      <w:r>
        <w:rPr>
          <w:rFonts w:ascii="宋体" w:hAnsi="宋体" w:eastAsia="宋体" w:cs="宋体"/>
          <w:spacing w:val="-6"/>
          <w:sz w:val="24"/>
          <w:szCs w:val="24"/>
        </w:rPr>
        <w:t>一次填足并</w:t>
      </w:r>
      <w:r>
        <w:rPr>
          <w:rFonts w:ascii="宋体" w:hAnsi="宋体" w:eastAsia="宋体" w:cs="宋体"/>
          <w:spacing w:val="-7"/>
          <w:sz w:val="24"/>
          <w:szCs w:val="24"/>
        </w:rPr>
        <w:t>保证压实整修后达</w:t>
      </w:r>
    </w:p>
    <w:p>
      <w:pPr>
        <w:spacing w:before="1" w:line="219" w:lineRule="auto"/>
        <w:ind w:left="44"/>
        <w:rPr>
          <w:rFonts w:ascii="宋体" w:hAnsi="宋体" w:eastAsia="宋体" w:cs="宋体"/>
          <w:sz w:val="24"/>
          <w:szCs w:val="24"/>
        </w:rPr>
      </w:pPr>
      <w:r>
        <w:rPr>
          <w:rFonts w:ascii="宋体" w:hAnsi="宋体" w:eastAsia="宋体" w:cs="宋体"/>
          <w:spacing w:val="-2"/>
          <w:sz w:val="24"/>
          <w:szCs w:val="24"/>
        </w:rPr>
        <w:t>到设计宽度。施工时进行压实，夯实铺筑厚度不得大</w:t>
      </w:r>
      <w:r>
        <w:rPr>
          <w:rFonts w:ascii="宋体" w:hAnsi="宋体" w:eastAsia="宋体" w:cs="宋体"/>
          <w:spacing w:val="-21"/>
          <w:sz w:val="24"/>
          <w:szCs w:val="24"/>
        </w:rPr>
        <w:t xml:space="preserve"> </w:t>
      </w:r>
      <w:r>
        <w:rPr>
          <w:rFonts w:ascii="Times New Roman" w:hAnsi="Times New Roman" w:eastAsia="Times New Roman" w:cs="Times New Roman"/>
          <w:spacing w:val="-2"/>
          <w:sz w:val="24"/>
          <w:szCs w:val="24"/>
        </w:rPr>
        <w:t>10cm</w:t>
      </w:r>
      <w:r>
        <w:rPr>
          <w:rFonts w:ascii="宋体" w:hAnsi="宋体" w:eastAsia="宋体" w:cs="宋体"/>
          <w:spacing w:val="-2"/>
          <w:sz w:val="24"/>
          <w:szCs w:val="24"/>
        </w:rPr>
        <w:t>。</w:t>
      </w:r>
    </w:p>
    <w:p>
      <w:pPr>
        <w:spacing w:before="182" w:line="220" w:lineRule="auto"/>
        <w:ind w:left="32"/>
        <w:outlineLvl w:val="0"/>
        <w:rPr>
          <w:rFonts w:ascii="宋体" w:hAnsi="宋体" w:eastAsia="宋体" w:cs="宋体"/>
          <w:sz w:val="24"/>
          <w:szCs w:val="24"/>
        </w:rPr>
      </w:pPr>
      <w:r>
        <w:fldChar w:fldCharType="begin"/>
      </w:r>
      <w:r>
        <w:instrText xml:space="preserve"> HYPERLINK "3.2.1.3" </w:instrText>
      </w:r>
      <w:r>
        <w:fldChar w:fldCharType="separate"/>
      </w:r>
      <w:r>
        <w:rPr>
          <w:rFonts w:ascii="Times New Roman" w:hAnsi="Times New Roman" w:eastAsia="Times New Roman" w:cs="Times New Roman"/>
          <w:b/>
          <w:bCs/>
          <w:sz w:val="24"/>
          <w:szCs w:val="24"/>
        </w:rPr>
        <w:t>3.2.1.3</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路基支挡、加固及防护工程</w:t>
      </w:r>
    </w:p>
    <w:p>
      <w:pPr>
        <w:spacing w:before="180" w:line="220" w:lineRule="auto"/>
        <w:ind w:left="536"/>
        <w:rPr>
          <w:rFonts w:ascii="宋体" w:hAnsi="宋体" w:eastAsia="宋体" w:cs="宋体"/>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6"/>
          <w:sz w:val="24"/>
          <w:szCs w:val="24"/>
        </w:rPr>
        <w:t>、防护加固设计原则</w:t>
      </w:r>
    </w:p>
    <w:p>
      <w:pPr>
        <w:spacing w:before="181" w:line="359" w:lineRule="auto"/>
        <w:ind w:left="37" w:right="62" w:firstLine="479"/>
        <w:rPr>
          <w:rFonts w:ascii="宋体" w:hAnsi="宋体" w:eastAsia="宋体" w:cs="宋体"/>
          <w:sz w:val="24"/>
          <w:szCs w:val="24"/>
        </w:rPr>
      </w:pPr>
      <w:r>
        <w:rPr>
          <w:rFonts w:ascii="宋体" w:hAnsi="宋体" w:eastAsia="宋体" w:cs="宋体"/>
          <w:spacing w:val="-3"/>
          <w:sz w:val="24"/>
          <w:szCs w:val="24"/>
        </w:rPr>
        <w:t>对于路基边坡防护加固工程设计的一般原则，主要是基于防止边</w:t>
      </w:r>
      <w:r>
        <w:rPr>
          <w:rFonts w:ascii="宋体" w:hAnsi="宋体" w:eastAsia="宋体" w:cs="宋体"/>
          <w:spacing w:val="-4"/>
          <w:sz w:val="24"/>
          <w:szCs w:val="24"/>
        </w:rPr>
        <w:t>坡受雨水冲</w:t>
      </w:r>
      <w:r>
        <w:rPr>
          <w:rFonts w:ascii="宋体" w:hAnsi="宋体" w:eastAsia="宋体" w:cs="宋体"/>
          <w:sz w:val="24"/>
          <w:szCs w:val="24"/>
        </w:rPr>
        <w:t xml:space="preserve"> </w:t>
      </w:r>
      <w:r>
        <w:rPr>
          <w:rFonts w:ascii="宋体" w:hAnsi="宋体" w:eastAsia="宋体" w:cs="宋体"/>
          <w:spacing w:val="4"/>
          <w:sz w:val="24"/>
          <w:szCs w:val="24"/>
        </w:rPr>
        <w:t>刷侵蚀以及抑制边坡各种变形的可能性设计防护加固工程措施，包括浅表层防</w:t>
      </w:r>
      <w:r>
        <w:rPr>
          <w:rFonts w:ascii="宋体" w:hAnsi="宋体" w:eastAsia="宋体" w:cs="宋体"/>
          <w:spacing w:val="3"/>
          <w:sz w:val="24"/>
          <w:szCs w:val="24"/>
        </w:rPr>
        <w:t xml:space="preserve"> </w:t>
      </w:r>
      <w:r>
        <w:rPr>
          <w:rFonts w:ascii="宋体" w:hAnsi="宋体" w:eastAsia="宋体" w:cs="宋体"/>
          <w:spacing w:val="-3"/>
          <w:sz w:val="24"/>
          <w:szCs w:val="24"/>
        </w:rPr>
        <w:t>护、坡面变形防护、块体变形防护、深部变形防护、坡脚应力集中防护和地表地</w:t>
      </w:r>
    </w:p>
    <w:p>
      <w:pPr>
        <w:spacing w:before="1" w:line="219" w:lineRule="auto"/>
        <w:ind w:left="45"/>
        <w:rPr>
          <w:rFonts w:ascii="宋体" w:hAnsi="宋体" w:eastAsia="宋体" w:cs="宋体"/>
          <w:sz w:val="24"/>
          <w:szCs w:val="24"/>
        </w:rPr>
      </w:pPr>
      <w:r>
        <w:rPr>
          <w:rFonts w:ascii="宋体" w:hAnsi="宋体" w:eastAsia="宋体" w:cs="宋体"/>
          <w:spacing w:val="-6"/>
          <w:sz w:val="24"/>
          <w:szCs w:val="24"/>
        </w:rPr>
        <w:t>下水的引排处理等。</w:t>
      </w:r>
    </w:p>
    <w:p>
      <w:pPr>
        <w:spacing w:line="219" w:lineRule="auto"/>
        <w:rPr>
          <w:rFonts w:ascii="宋体" w:hAnsi="宋体" w:eastAsia="宋体" w:cs="宋体"/>
          <w:sz w:val="24"/>
          <w:szCs w:val="24"/>
        </w:rPr>
        <w:sectPr>
          <w:headerReference r:id="rId109" w:type="default"/>
          <w:footerReference r:id="rId110" w:type="default"/>
          <w:pgSz w:w="11907" w:h="16839"/>
          <w:pgMar w:top="1118" w:right="1734" w:bottom="1184" w:left="1771" w:header="879" w:footer="1024" w:gutter="0"/>
          <w:cols w:space="720" w:num="1"/>
        </w:sectPr>
      </w:pPr>
    </w:p>
    <w:p>
      <w:pPr>
        <w:pStyle w:val="2"/>
        <w:spacing w:line="278" w:lineRule="auto"/>
      </w:pPr>
    </w:p>
    <w:p>
      <w:pPr>
        <w:spacing w:before="78" w:line="220" w:lineRule="auto"/>
        <w:ind w:left="513"/>
        <w:rPr>
          <w:rFonts w:ascii="宋体" w:hAnsi="宋体" w:eastAsia="宋体" w:cs="宋体"/>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、坡面防护</w:t>
      </w:r>
    </w:p>
    <w:p>
      <w:pPr>
        <w:spacing w:before="181" w:line="359" w:lineRule="auto"/>
        <w:ind w:left="39" w:right="86" w:firstLine="479"/>
        <w:rPr>
          <w:rFonts w:ascii="宋体" w:hAnsi="宋体" w:eastAsia="宋体" w:cs="宋体"/>
          <w:sz w:val="24"/>
          <w:szCs w:val="24"/>
        </w:rPr>
      </w:pPr>
      <w:r>
        <w:rPr>
          <w:rFonts w:ascii="宋体" w:hAnsi="宋体" w:eastAsia="宋体" w:cs="宋体"/>
          <w:spacing w:val="-12"/>
          <w:sz w:val="24"/>
          <w:szCs w:val="24"/>
        </w:rPr>
        <w:t>本工程在保证路基稳定的前提下，</w:t>
      </w:r>
      <w:r>
        <w:rPr>
          <w:rFonts w:ascii="宋体" w:hAnsi="宋体" w:eastAsia="宋体" w:cs="宋体"/>
          <w:spacing w:val="33"/>
          <w:sz w:val="24"/>
          <w:szCs w:val="24"/>
        </w:rPr>
        <w:t xml:space="preserve"> </w:t>
      </w:r>
      <w:r>
        <w:rPr>
          <w:rFonts w:ascii="宋体" w:hAnsi="宋体" w:eastAsia="宋体" w:cs="宋体"/>
          <w:spacing w:val="-12"/>
          <w:sz w:val="24"/>
          <w:szCs w:val="24"/>
        </w:rPr>
        <w:t>尽量采用</w:t>
      </w:r>
      <w:r>
        <w:rPr>
          <w:rFonts w:ascii="宋体" w:hAnsi="宋体" w:eastAsia="宋体" w:cs="宋体"/>
          <w:spacing w:val="-13"/>
          <w:sz w:val="24"/>
          <w:szCs w:val="24"/>
        </w:rPr>
        <w:t>生态防护，</w:t>
      </w:r>
      <w:r>
        <w:rPr>
          <w:rFonts w:ascii="宋体" w:hAnsi="宋体" w:eastAsia="宋体" w:cs="宋体"/>
          <w:spacing w:val="32"/>
          <w:sz w:val="24"/>
          <w:szCs w:val="24"/>
        </w:rPr>
        <w:t xml:space="preserve"> </w:t>
      </w:r>
      <w:r>
        <w:rPr>
          <w:rFonts w:ascii="宋体" w:hAnsi="宋体" w:eastAsia="宋体" w:cs="宋体"/>
          <w:spacing w:val="-13"/>
          <w:sz w:val="24"/>
          <w:szCs w:val="24"/>
        </w:rPr>
        <w:t>减少圬工体积。在岩</w:t>
      </w:r>
      <w:r>
        <w:rPr>
          <w:rFonts w:ascii="宋体" w:hAnsi="宋体" w:eastAsia="宋体" w:cs="宋体"/>
          <w:sz w:val="24"/>
          <w:szCs w:val="24"/>
        </w:rPr>
        <w:t xml:space="preserve"> </w:t>
      </w:r>
      <w:r>
        <w:rPr>
          <w:rFonts w:ascii="宋体" w:hAnsi="宋体" w:eastAsia="宋体" w:cs="宋体"/>
          <w:spacing w:val="-17"/>
          <w:sz w:val="24"/>
          <w:szCs w:val="24"/>
        </w:rPr>
        <w:t>土结构稳定，</w:t>
      </w:r>
      <w:r>
        <w:rPr>
          <w:rFonts w:ascii="宋体" w:hAnsi="宋体" w:eastAsia="宋体" w:cs="宋体"/>
          <w:spacing w:val="32"/>
          <w:sz w:val="24"/>
          <w:szCs w:val="24"/>
        </w:rPr>
        <w:t xml:space="preserve"> </w:t>
      </w:r>
      <w:r>
        <w:rPr>
          <w:rFonts w:ascii="宋体" w:hAnsi="宋体" w:eastAsia="宋体" w:cs="宋体"/>
          <w:spacing w:val="-17"/>
          <w:sz w:val="24"/>
          <w:szCs w:val="24"/>
        </w:rPr>
        <w:t>满足安全要求的前提下，</w:t>
      </w:r>
      <w:r>
        <w:rPr>
          <w:rFonts w:ascii="宋体" w:hAnsi="宋体" w:eastAsia="宋体" w:cs="宋体"/>
          <w:spacing w:val="59"/>
          <w:sz w:val="24"/>
          <w:szCs w:val="24"/>
        </w:rPr>
        <w:t xml:space="preserve"> </w:t>
      </w:r>
      <w:r>
        <w:rPr>
          <w:rFonts w:ascii="宋体" w:hAnsi="宋体" w:eastAsia="宋体" w:cs="宋体"/>
          <w:spacing w:val="-17"/>
          <w:sz w:val="24"/>
          <w:szCs w:val="24"/>
        </w:rPr>
        <w:t>以选择刚性结构与柔性结构相结</w:t>
      </w:r>
      <w:r>
        <w:rPr>
          <w:rFonts w:ascii="宋体" w:hAnsi="宋体" w:eastAsia="宋体" w:cs="宋体"/>
          <w:spacing w:val="-18"/>
          <w:sz w:val="24"/>
          <w:szCs w:val="24"/>
        </w:rPr>
        <w:t>合，</w:t>
      </w:r>
      <w:r>
        <w:rPr>
          <w:rFonts w:ascii="宋体" w:hAnsi="宋体" w:eastAsia="宋体" w:cs="宋体"/>
          <w:spacing w:val="43"/>
          <w:sz w:val="24"/>
          <w:szCs w:val="24"/>
        </w:rPr>
        <w:t xml:space="preserve"> </w:t>
      </w:r>
      <w:r>
        <w:rPr>
          <w:rFonts w:ascii="宋体" w:hAnsi="宋体" w:eastAsia="宋体" w:cs="宋体"/>
          <w:spacing w:val="-18"/>
          <w:sz w:val="24"/>
          <w:szCs w:val="24"/>
        </w:rPr>
        <w:t>多层</w:t>
      </w:r>
    </w:p>
    <w:p>
      <w:pPr>
        <w:spacing w:line="219" w:lineRule="auto"/>
        <w:ind w:left="53"/>
        <w:rPr>
          <w:rFonts w:ascii="宋体" w:hAnsi="宋体" w:eastAsia="宋体" w:cs="宋体"/>
          <w:sz w:val="24"/>
          <w:szCs w:val="24"/>
        </w:rPr>
      </w:pPr>
      <w:r>
        <w:rPr>
          <w:rFonts w:ascii="宋体" w:hAnsi="宋体" w:eastAsia="宋体" w:cs="宋体"/>
          <w:spacing w:val="-3"/>
          <w:sz w:val="24"/>
          <w:szCs w:val="24"/>
        </w:rPr>
        <w:t>防护与生态植被防护相结合的方法进行边坡治理。</w:t>
      </w:r>
    </w:p>
    <w:p>
      <w:pPr>
        <w:spacing w:before="180" w:line="359" w:lineRule="auto"/>
        <w:ind w:left="38" w:right="86" w:firstLine="480"/>
        <w:rPr>
          <w:rFonts w:ascii="宋体" w:hAnsi="宋体" w:eastAsia="宋体" w:cs="宋体"/>
          <w:sz w:val="24"/>
          <w:szCs w:val="24"/>
        </w:rPr>
      </w:pPr>
      <w:r>
        <w:rPr>
          <w:rFonts w:ascii="宋体" w:hAnsi="宋体" w:eastAsia="宋体" w:cs="宋体"/>
          <w:spacing w:val="-8"/>
          <w:sz w:val="24"/>
          <w:szCs w:val="24"/>
        </w:rPr>
        <w:t>本工程坡面防护选用的类型如下：</w:t>
      </w:r>
      <w:r>
        <w:rPr>
          <w:rFonts w:ascii="宋体" w:hAnsi="宋体" w:eastAsia="宋体" w:cs="宋体"/>
          <w:spacing w:val="39"/>
          <w:sz w:val="24"/>
          <w:szCs w:val="24"/>
        </w:rPr>
        <w:t xml:space="preserve"> </w:t>
      </w:r>
      <w:r>
        <w:rPr>
          <w:rFonts w:ascii="宋体" w:hAnsi="宋体" w:eastAsia="宋体" w:cs="宋体"/>
          <w:spacing w:val="-8"/>
          <w:sz w:val="24"/>
          <w:szCs w:val="24"/>
        </w:rPr>
        <w:t>液压喷播植草、框格植草防护、六角空心</w:t>
      </w:r>
      <w:r>
        <w:rPr>
          <w:rFonts w:ascii="宋体" w:hAnsi="宋体" w:eastAsia="宋体" w:cs="宋体"/>
          <w:sz w:val="24"/>
          <w:szCs w:val="24"/>
        </w:rPr>
        <w:t xml:space="preserve"> </w:t>
      </w:r>
      <w:r>
        <w:rPr>
          <w:rFonts w:ascii="宋体" w:hAnsi="宋体" w:eastAsia="宋体" w:cs="宋体"/>
          <w:spacing w:val="-3"/>
          <w:sz w:val="24"/>
          <w:szCs w:val="24"/>
        </w:rPr>
        <w:t>砖植草、浆砌护坡、厚层基材植被护坡、砂浆锚杆、锚杆框格、挡土墙防护、柔</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性防护网防护、框格锚索防护等。</w:t>
      </w:r>
    </w:p>
    <w:p>
      <w:pPr>
        <w:spacing w:before="184"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）填方边坡防护</w:t>
      </w:r>
    </w:p>
    <w:p>
      <w:pPr>
        <w:spacing w:before="179" w:line="359" w:lineRule="auto"/>
        <w:ind w:left="53" w:right="85" w:firstLine="468"/>
        <w:rPr>
          <w:rFonts w:ascii="宋体" w:hAnsi="宋体" w:eastAsia="宋体" w:cs="宋体"/>
          <w:sz w:val="24"/>
          <w:szCs w:val="24"/>
        </w:rPr>
      </w:pPr>
      <w:r>
        <w:rPr>
          <w:rFonts w:ascii="宋体" w:hAnsi="宋体" w:eastAsia="宋体" w:cs="宋体"/>
          <w:spacing w:val="-1"/>
          <w:sz w:val="24"/>
          <w:szCs w:val="24"/>
        </w:rPr>
        <w:t>一般填方路段：当路基填土高度小于等于</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4.0m</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时，直接采用液</w:t>
      </w:r>
      <w:r>
        <w:rPr>
          <w:rFonts w:ascii="宋体" w:hAnsi="宋体" w:eastAsia="宋体" w:cs="宋体"/>
          <w:spacing w:val="-2"/>
          <w:sz w:val="24"/>
          <w:szCs w:val="24"/>
        </w:rPr>
        <w:t>压喷播植草</w:t>
      </w:r>
      <w:r>
        <w:rPr>
          <w:rFonts w:ascii="宋体" w:hAnsi="宋体" w:eastAsia="宋体" w:cs="宋体"/>
          <w:sz w:val="24"/>
          <w:szCs w:val="24"/>
        </w:rPr>
        <w:t xml:space="preserve"> </w:t>
      </w:r>
      <w:r>
        <w:rPr>
          <w:rFonts w:ascii="宋体" w:hAnsi="宋体" w:eastAsia="宋体" w:cs="宋体"/>
          <w:spacing w:val="-1"/>
          <w:sz w:val="24"/>
          <w:szCs w:val="24"/>
        </w:rPr>
        <w:t>防护，当填土高度大于</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4.0m</w:t>
      </w:r>
      <w:r>
        <w:rPr>
          <w:rFonts w:ascii="Times New Roman" w:hAnsi="Times New Roman" w:eastAsia="Times New Roman" w:cs="Times New Roman"/>
          <w:spacing w:val="30"/>
          <w:w w:val="101"/>
          <w:sz w:val="24"/>
          <w:szCs w:val="24"/>
        </w:rPr>
        <w:t xml:space="preserve"> </w:t>
      </w:r>
      <w:r>
        <w:rPr>
          <w:rFonts w:ascii="宋体" w:hAnsi="宋体" w:eastAsia="宋体" w:cs="宋体"/>
          <w:spacing w:val="-1"/>
          <w:sz w:val="24"/>
          <w:szCs w:val="24"/>
        </w:rPr>
        <w:t>时，采用带导水条</w:t>
      </w:r>
      <w:r>
        <w:rPr>
          <w:rFonts w:ascii="宋体" w:hAnsi="宋体" w:eastAsia="宋体" w:cs="宋体"/>
          <w:spacing w:val="-2"/>
          <w:sz w:val="24"/>
          <w:szCs w:val="24"/>
        </w:rPr>
        <w:t>的浆砌框格植草防护；植草采用</w:t>
      </w:r>
    </w:p>
    <w:p>
      <w:pPr>
        <w:spacing w:before="1" w:line="219" w:lineRule="auto"/>
        <w:ind w:left="40"/>
        <w:rPr>
          <w:rFonts w:ascii="宋体" w:hAnsi="宋体" w:eastAsia="宋体" w:cs="宋体"/>
          <w:sz w:val="24"/>
          <w:szCs w:val="24"/>
        </w:rPr>
      </w:pPr>
      <w:r>
        <w:rPr>
          <w:rFonts w:ascii="宋体" w:hAnsi="宋体" w:eastAsia="宋体" w:cs="宋体"/>
          <w:spacing w:val="-6"/>
          <w:sz w:val="24"/>
          <w:szCs w:val="24"/>
        </w:rPr>
        <w:t>液压喷播工艺。</w:t>
      </w:r>
    </w:p>
    <w:p>
      <w:pPr>
        <w:spacing w:before="183" w:line="359" w:lineRule="auto"/>
        <w:ind w:left="53" w:right="85" w:firstLine="470"/>
        <w:rPr>
          <w:rFonts w:ascii="宋体" w:hAnsi="宋体" w:eastAsia="宋体" w:cs="宋体"/>
          <w:sz w:val="24"/>
          <w:szCs w:val="24"/>
        </w:rPr>
      </w:pPr>
      <w:r>
        <w:rPr>
          <w:rFonts w:ascii="宋体" w:hAnsi="宋体" w:eastAsia="宋体" w:cs="宋体"/>
          <w:spacing w:val="-1"/>
          <w:sz w:val="24"/>
          <w:szCs w:val="24"/>
        </w:rPr>
        <w:t>高填方路段：边坡采用块石码砌，边坡码砌应采用抗压强度大于</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40MPa</w:t>
      </w:r>
      <w:r>
        <w:rPr>
          <w:rFonts w:ascii="Times New Roman" w:hAnsi="Times New Roman" w:eastAsia="Times New Roman" w:cs="Times New Roman"/>
          <w:spacing w:val="39"/>
          <w:w w:val="101"/>
          <w:sz w:val="24"/>
          <w:szCs w:val="24"/>
        </w:rPr>
        <w:t xml:space="preserve"> </w:t>
      </w:r>
      <w:r>
        <w:rPr>
          <w:rFonts w:ascii="宋体" w:hAnsi="宋体" w:eastAsia="宋体" w:cs="宋体"/>
          <w:spacing w:val="-1"/>
          <w:sz w:val="24"/>
          <w:szCs w:val="24"/>
        </w:rPr>
        <w:t>不</w:t>
      </w:r>
      <w:r>
        <w:rPr>
          <w:rFonts w:ascii="宋体" w:hAnsi="宋体" w:eastAsia="宋体" w:cs="宋体"/>
          <w:sz w:val="24"/>
          <w:szCs w:val="24"/>
        </w:rPr>
        <w:t xml:space="preserve"> </w:t>
      </w:r>
      <w:r>
        <w:rPr>
          <w:rFonts w:ascii="宋体" w:hAnsi="宋体" w:eastAsia="宋体" w:cs="宋体"/>
          <w:spacing w:val="-2"/>
          <w:sz w:val="24"/>
          <w:szCs w:val="24"/>
        </w:rPr>
        <w:t xml:space="preserve">易风化的石料，码砌石块最小尺寸不应小于 </w:t>
      </w:r>
      <w:r>
        <w:rPr>
          <w:rFonts w:ascii="Times New Roman" w:hAnsi="Times New Roman" w:eastAsia="Times New Roman" w:cs="Times New Roman"/>
          <w:spacing w:val="-2"/>
          <w:sz w:val="24"/>
          <w:szCs w:val="24"/>
        </w:rPr>
        <w:t>30cm</w:t>
      </w:r>
      <w:r>
        <w:rPr>
          <w:rFonts w:ascii="宋体" w:hAnsi="宋体" w:eastAsia="宋体" w:cs="宋体"/>
          <w:spacing w:val="-2"/>
          <w:sz w:val="24"/>
          <w:szCs w:val="24"/>
        </w:rPr>
        <w:t>，石块应规则；同时边</w:t>
      </w:r>
      <w:r>
        <w:rPr>
          <w:rFonts w:ascii="宋体" w:hAnsi="宋体" w:eastAsia="宋体" w:cs="宋体"/>
          <w:spacing w:val="-3"/>
          <w:sz w:val="24"/>
          <w:szCs w:val="24"/>
        </w:rPr>
        <w:t>坡平台</w:t>
      </w:r>
    </w:p>
    <w:p>
      <w:pPr>
        <w:spacing w:before="1" w:line="218" w:lineRule="auto"/>
        <w:jc w:val="right"/>
        <w:rPr>
          <w:rFonts w:ascii="宋体" w:hAnsi="宋体" w:eastAsia="宋体" w:cs="宋体"/>
          <w:sz w:val="24"/>
          <w:szCs w:val="24"/>
        </w:rPr>
      </w:pPr>
      <w:r>
        <w:rPr>
          <w:rFonts w:ascii="宋体" w:hAnsi="宋体" w:eastAsia="宋体" w:cs="宋体"/>
          <w:spacing w:val="-16"/>
          <w:sz w:val="24"/>
          <w:szCs w:val="24"/>
        </w:rPr>
        <w:t>设置爬藤客土槽，</w:t>
      </w:r>
      <w:r>
        <w:rPr>
          <w:rFonts w:ascii="宋体" w:hAnsi="宋体" w:eastAsia="宋体" w:cs="宋体"/>
          <w:spacing w:val="-40"/>
          <w:sz w:val="24"/>
          <w:szCs w:val="24"/>
        </w:rPr>
        <w:t xml:space="preserve"> </w:t>
      </w:r>
      <w:r>
        <w:rPr>
          <w:rFonts w:ascii="宋体" w:hAnsi="宋体" w:eastAsia="宋体" w:cs="宋体"/>
          <w:spacing w:val="-16"/>
          <w:sz w:val="24"/>
          <w:szCs w:val="24"/>
        </w:rPr>
        <w:t>具体尺寸及材料同平台排水沟，</w:t>
      </w:r>
      <w:r>
        <w:rPr>
          <w:rFonts w:ascii="宋体" w:hAnsi="宋体" w:eastAsia="宋体" w:cs="宋体"/>
          <w:spacing w:val="-46"/>
          <w:sz w:val="24"/>
          <w:szCs w:val="24"/>
        </w:rPr>
        <w:t xml:space="preserve"> </w:t>
      </w:r>
      <w:r>
        <w:rPr>
          <w:rFonts w:ascii="宋体" w:hAnsi="宋体" w:eastAsia="宋体" w:cs="宋体"/>
          <w:spacing w:val="-16"/>
          <w:sz w:val="24"/>
          <w:szCs w:val="24"/>
        </w:rPr>
        <w:t>槽内培耕植土，</w:t>
      </w:r>
      <w:r>
        <w:rPr>
          <w:rFonts w:ascii="宋体" w:hAnsi="宋体" w:eastAsia="宋体" w:cs="宋体"/>
          <w:spacing w:val="-46"/>
          <w:sz w:val="24"/>
          <w:szCs w:val="24"/>
        </w:rPr>
        <w:t xml:space="preserve"> </w:t>
      </w:r>
      <w:r>
        <w:rPr>
          <w:rFonts w:ascii="宋体" w:hAnsi="宋体" w:eastAsia="宋体" w:cs="宋体"/>
          <w:spacing w:val="-16"/>
          <w:sz w:val="24"/>
          <w:szCs w:val="24"/>
        </w:rPr>
        <w:t>爬藤株</w:t>
      </w:r>
      <w:r>
        <w:rPr>
          <w:rFonts w:ascii="宋体" w:hAnsi="宋体" w:eastAsia="宋体" w:cs="宋体"/>
          <w:spacing w:val="-17"/>
          <w:sz w:val="24"/>
          <w:szCs w:val="24"/>
        </w:rPr>
        <w:t>距</w:t>
      </w:r>
      <w:r>
        <w:rPr>
          <w:rFonts w:ascii="宋体" w:hAnsi="宋体" w:eastAsia="宋体" w:cs="宋体"/>
          <w:spacing w:val="-49"/>
          <w:sz w:val="24"/>
          <w:szCs w:val="24"/>
        </w:rPr>
        <w:t xml:space="preserve"> </w:t>
      </w:r>
      <w:r>
        <w:rPr>
          <w:rFonts w:ascii="Times New Roman" w:hAnsi="Times New Roman" w:eastAsia="Times New Roman" w:cs="Times New Roman"/>
          <w:spacing w:val="-17"/>
          <w:sz w:val="24"/>
          <w:szCs w:val="24"/>
        </w:rPr>
        <w:t>30cm</w:t>
      </w:r>
      <w:r>
        <w:rPr>
          <w:rFonts w:ascii="宋体" w:hAnsi="宋体" w:eastAsia="宋体" w:cs="宋体"/>
          <w:spacing w:val="-17"/>
          <w:sz w:val="24"/>
          <w:szCs w:val="24"/>
        </w:rPr>
        <w:t>。</w:t>
      </w:r>
    </w:p>
    <w:p>
      <w:pPr>
        <w:spacing w:before="181" w:line="360" w:lineRule="auto"/>
        <w:ind w:left="56" w:right="20" w:firstLine="461"/>
        <w:rPr>
          <w:rFonts w:ascii="宋体" w:hAnsi="宋体" w:eastAsia="宋体" w:cs="宋体"/>
          <w:sz w:val="24"/>
          <w:szCs w:val="24"/>
        </w:rPr>
      </w:pPr>
      <w:r>
        <w:rPr>
          <w:rFonts w:ascii="宋体" w:hAnsi="宋体" w:eastAsia="宋体" w:cs="宋体"/>
          <w:spacing w:val="-14"/>
          <w:sz w:val="24"/>
          <w:szCs w:val="24"/>
        </w:rPr>
        <w:t>桥头路段： 考虑到集中水量大、流速快等</w:t>
      </w:r>
      <w:r>
        <w:rPr>
          <w:rFonts w:ascii="宋体" w:hAnsi="宋体" w:eastAsia="宋体" w:cs="宋体"/>
          <w:spacing w:val="-15"/>
          <w:sz w:val="24"/>
          <w:szCs w:val="24"/>
        </w:rPr>
        <w:t>特点，</w:t>
      </w:r>
      <w:r>
        <w:rPr>
          <w:rFonts w:ascii="宋体" w:hAnsi="宋体" w:eastAsia="宋体" w:cs="宋体"/>
          <w:spacing w:val="39"/>
          <w:sz w:val="24"/>
          <w:szCs w:val="24"/>
        </w:rPr>
        <w:t xml:space="preserve"> </w:t>
      </w:r>
      <w:r>
        <w:rPr>
          <w:rFonts w:ascii="宋体" w:hAnsi="宋体" w:eastAsia="宋体" w:cs="宋体"/>
          <w:spacing w:val="-15"/>
          <w:sz w:val="24"/>
          <w:szCs w:val="24"/>
        </w:rPr>
        <w:t>桥头两端， 为防止雨水冲刷</w:t>
      </w:r>
      <w:r>
        <w:rPr>
          <w:rFonts w:ascii="宋体" w:hAnsi="宋体" w:eastAsia="宋体" w:cs="宋体"/>
          <w:sz w:val="24"/>
          <w:szCs w:val="24"/>
        </w:rPr>
        <w:t xml:space="preserve"> </w:t>
      </w:r>
      <w:r>
        <w:rPr>
          <w:rFonts w:ascii="Times New Roman" w:hAnsi="Times New Roman" w:eastAsia="Times New Roman" w:cs="Times New Roman"/>
          <w:spacing w:val="-6"/>
          <w:sz w:val="24"/>
          <w:szCs w:val="24"/>
        </w:rPr>
        <w:t>10m~</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6"/>
          <w:sz w:val="24"/>
          <w:szCs w:val="24"/>
        </w:rPr>
        <w:t xml:space="preserve">15m </w:t>
      </w:r>
      <w:r>
        <w:rPr>
          <w:rFonts w:ascii="宋体" w:hAnsi="宋体" w:eastAsia="宋体" w:cs="宋体"/>
          <w:spacing w:val="-6"/>
          <w:sz w:val="24"/>
          <w:szCs w:val="24"/>
        </w:rPr>
        <w:t>左右范围内路堤采用六角空心砖植草防护（同时设置桥头检修踏步</w:t>
      </w:r>
      <w:r>
        <w:rPr>
          <w:rFonts w:ascii="宋体" w:hAnsi="宋体" w:eastAsia="宋体" w:cs="宋体"/>
          <w:spacing w:val="-27"/>
          <w:sz w:val="24"/>
          <w:szCs w:val="24"/>
        </w:rPr>
        <w:t>）</w:t>
      </w:r>
      <w:r>
        <w:rPr>
          <w:rFonts w:ascii="宋体" w:hAnsi="宋体" w:eastAsia="宋体" w:cs="宋体"/>
          <w:spacing w:val="-13"/>
          <w:sz w:val="24"/>
          <w:szCs w:val="24"/>
        </w:rPr>
        <w:t xml:space="preserve"> </w:t>
      </w:r>
      <w:r>
        <w:rPr>
          <w:rFonts w:ascii="宋体" w:hAnsi="宋体" w:eastAsia="宋体" w:cs="宋体"/>
          <w:spacing w:val="-27"/>
          <w:sz w:val="24"/>
          <w:szCs w:val="24"/>
        </w:rPr>
        <w:t>，</w:t>
      </w:r>
    </w:p>
    <w:p>
      <w:pPr>
        <w:spacing w:before="1" w:line="219" w:lineRule="auto"/>
        <w:ind w:left="41"/>
        <w:rPr>
          <w:rFonts w:ascii="宋体" w:hAnsi="宋体" w:eastAsia="宋体" w:cs="宋体"/>
          <w:sz w:val="24"/>
          <w:szCs w:val="24"/>
        </w:rPr>
      </w:pPr>
      <w:r>
        <w:rPr>
          <w:rFonts w:ascii="宋体" w:hAnsi="宋体" w:eastAsia="宋体" w:cs="宋体"/>
          <w:spacing w:val="-6"/>
          <w:sz w:val="24"/>
          <w:szCs w:val="24"/>
        </w:rPr>
        <w:t>兼顾美观要求。</w:t>
      </w:r>
    </w:p>
    <w:p>
      <w:pPr>
        <w:spacing w:before="180"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）挖方边坡防护</w:t>
      </w:r>
    </w:p>
    <w:p>
      <w:pPr>
        <w:spacing w:before="182" w:line="466" w:lineRule="exact"/>
        <w:ind w:left="520"/>
        <w:rPr>
          <w:rFonts w:ascii="宋体" w:hAnsi="宋体" w:eastAsia="宋体" w:cs="宋体"/>
          <w:sz w:val="24"/>
          <w:szCs w:val="24"/>
        </w:rPr>
      </w:pPr>
      <w:r>
        <w:rPr>
          <w:rFonts w:ascii="宋体" w:hAnsi="宋体" w:eastAsia="宋体" w:cs="宋体"/>
          <w:spacing w:val="-6"/>
          <w:position w:val="17"/>
          <w:sz w:val="24"/>
          <w:szCs w:val="24"/>
        </w:rPr>
        <w:t>路基挖方边坡首先做好坡面形状的处理，</w:t>
      </w:r>
      <w:r>
        <w:rPr>
          <w:rFonts w:ascii="宋体" w:hAnsi="宋体" w:eastAsia="宋体" w:cs="宋体"/>
          <w:spacing w:val="-28"/>
          <w:position w:val="17"/>
          <w:sz w:val="24"/>
          <w:szCs w:val="24"/>
        </w:rPr>
        <w:t xml:space="preserve"> </w:t>
      </w:r>
      <w:r>
        <w:rPr>
          <w:rFonts w:ascii="宋体" w:hAnsi="宋体" w:eastAsia="宋体" w:cs="宋体"/>
          <w:spacing w:val="-6"/>
          <w:position w:val="17"/>
          <w:sz w:val="24"/>
          <w:szCs w:val="24"/>
        </w:rPr>
        <w:t>挖方边坡的坡面与地面的结合部采</w:t>
      </w:r>
    </w:p>
    <w:p>
      <w:pPr>
        <w:spacing w:line="219" w:lineRule="auto"/>
        <w:ind w:left="40"/>
        <w:rPr>
          <w:rFonts w:ascii="宋体" w:hAnsi="宋体" w:eastAsia="宋体" w:cs="宋体"/>
          <w:sz w:val="24"/>
          <w:szCs w:val="24"/>
        </w:rPr>
      </w:pPr>
      <w:r>
        <w:rPr>
          <w:rFonts w:ascii="宋体" w:hAnsi="宋体" w:eastAsia="宋体" w:cs="宋体"/>
          <w:spacing w:val="-3"/>
          <w:sz w:val="24"/>
          <w:szCs w:val="24"/>
        </w:rPr>
        <w:t>用变化的坡率并尽可能做成弧形。</w:t>
      </w:r>
    </w:p>
    <w:p>
      <w:pPr>
        <w:spacing w:before="184" w:line="359" w:lineRule="auto"/>
        <w:ind w:left="39" w:right="86" w:firstLine="479"/>
        <w:rPr>
          <w:rFonts w:ascii="宋体" w:hAnsi="宋体" w:eastAsia="宋体" w:cs="宋体"/>
          <w:sz w:val="24"/>
          <w:szCs w:val="24"/>
        </w:rPr>
      </w:pPr>
      <w:r>
        <w:rPr>
          <w:rFonts w:ascii="宋体" w:hAnsi="宋体" w:eastAsia="宋体" w:cs="宋体"/>
          <w:spacing w:val="-8"/>
          <w:sz w:val="24"/>
          <w:szCs w:val="24"/>
        </w:rPr>
        <w:t>稳定性好的边坡，</w:t>
      </w:r>
      <w:r>
        <w:rPr>
          <w:rFonts w:ascii="宋体" w:hAnsi="宋体" w:eastAsia="宋体" w:cs="宋体"/>
          <w:spacing w:val="42"/>
          <w:sz w:val="24"/>
          <w:szCs w:val="24"/>
        </w:rPr>
        <w:t xml:space="preserve"> </w:t>
      </w:r>
      <w:r>
        <w:rPr>
          <w:rFonts w:ascii="宋体" w:hAnsi="宋体" w:eastAsia="宋体" w:cs="宋体"/>
          <w:spacing w:val="-8"/>
          <w:sz w:val="24"/>
          <w:szCs w:val="24"/>
        </w:rPr>
        <w:t>以坡面绿化防护为主。边坡低缓的土质边坡</w:t>
      </w:r>
      <w:r>
        <w:rPr>
          <w:rFonts w:ascii="宋体" w:hAnsi="宋体" w:eastAsia="宋体" w:cs="宋体"/>
          <w:spacing w:val="-9"/>
          <w:sz w:val="24"/>
          <w:szCs w:val="24"/>
        </w:rPr>
        <w:t>直接喷草灌防</w:t>
      </w:r>
      <w:r>
        <w:rPr>
          <w:rFonts w:ascii="宋体" w:hAnsi="宋体" w:eastAsia="宋体" w:cs="宋体"/>
          <w:sz w:val="24"/>
          <w:szCs w:val="24"/>
        </w:rPr>
        <w:t xml:space="preserve"> </w:t>
      </w:r>
      <w:r>
        <w:rPr>
          <w:rFonts w:ascii="宋体" w:hAnsi="宋体" w:eastAsia="宋体" w:cs="宋体"/>
          <w:spacing w:val="-9"/>
          <w:sz w:val="24"/>
          <w:szCs w:val="24"/>
        </w:rPr>
        <w:t>护，</w:t>
      </w:r>
      <w:r>
        <w:rPr>
          <w:rFonts w:ascii="宋体" w:hAnsi="宋体" w:eastAsia="宋体" w:cs="宋体"/>
          <w:spacing w:val="-60"/>
          <w:sz w:val="24"/>
          <w:szCs w:val="24"/>
        </w:rPr>
        <w:t xml:space="preserve"> </w:t>
      </w:r>
      <w:r>
        <w:rPr>
          <w:rFonts w:ascii="宋体" w:hAnsi="宋体" w:eastAsia="宋体" w:cs="宋体"/>
          <w:spacing w:val="-9"/>
          <w:sz w:val="24"/>
          <w:szCs w:val="24"/>
        </w:rPr>
        <w:t>岩质边坡主要采用厚层基材绿化。对于岩石完整，</w:t>
      </w:r>
      <w:r>
        <w:rPr>
          <w:rFonts w:ascii="宋体" w:hAnsi="宋体" w:eastAsia="宋体" w:cs="宋体"/>
          <w:spacing w:val="34"/>
          <w:sz w:val="24"/>
          <w:szCs w:val="24"/>
        </w:rPr>
        <w:t xml:space="preserve"> </w:t>
      </w:r>
      <w:r>
        <w:rPr>
          <w:rFonts w:ascii="宋体" w:hAnsi="宋体" w:eastAsia="宋体" w:cs="宋体"/>
          <w:spacing w:val="-9"/>
          <w:sz w:val="24"/>
          <w:szCs w:val="24"/>
        </w:rPr>
        <w:t>无不利结构面控</w:t>
      </w:r>
      <w:r>
        <w:rPr>
          <w:rFonts w:ascii="宋体" w:hAnsi="宋体" w:eastAsia="宋体" w:cs="宋体"/>
          <w:spacing w:val="-10"/>
          <w:sz w:val="24"/>
          <w:szCs w:val="24"/>
        </w:rPr>
        <w:t>制的岩质</w:t>
      </w:r>
    </w:p>
    <w:p>
      <w:pPr>
        <w:spacing w:line="218" w:lineRule="auto"/>
        <w:ind w:left="37"/>
        <w:rPr>
          <w:rFonts w:ascii="宋体" w:hAnsi="宋体" w:eastAsia="宋体" w:cs="宋体"/>
          <w:sz w:val="24"/>
          <w:szCs w:val="24"/>
        </w:rPr>
      </w:pPr>
      <w:r>
        <w:rPr>
          <w:rFonts w:ascii="宋体" w:hAnsi="宋体" w:eastAsia="宋体" w:cs="宋体"/>
          <w:spacing w:val="-8"/>
          <w:sz w:val="24"/>
          <w:szCs w:val="24"/>
        </w:rPr>
        <w:t>边坡， 进行光面爆破后坡面采用攀藤植物绿化。</w:t>
      </w:r>
    </w:p>
    <w:p>
      <w:pPr>
        <w:spacing w:before="182" w:line="468" w:lineRule="exact"/>
        <w:ind w:left="519"/>
        <w:rPr>
          <w:rFonts w:ascii="宋体" w:hAnsi="宋体" w:eastAsia="宋体" w:cs="宋体"/>
          <w:sz w:val="24"/>
          <w:szCs w:val="24"/>
        </w:rPr>
      </w:pPr>
      <w:r>
        <w:rPr>
          <w:rFonts w:ascii="宋体" w:hAnsi="宋体" w:eastAsia="宋体" w:cs="宋体"/>
          <w:spacing w:val="-18"/>
          <w:position w:val="17"/>
          <w:sz w:val="24"/>
          <w:szCs w:val="24"/>
        </w:rPr>
        <w:t>欠稳定的边坡，</w:t>
      </w:r>
      <w:r>
        <w:rPr>
          <w:rFonts w:ascii="宋体" w:hAnsi="宋体" w:eastAsia="宋体" w:cs="宋体"/>
          <w:spacing w:val="52"/>
          <w:position w:val="17"/>
          <w:sz w:val="24"/>
          <w:szCs w:val="24"/>
        </w:rPr>
        <w:t xml:space="preserve"> </w:t>
      </w:r>
      <w:r>
        <w:rPr>
          <w:rFonts w:ascii="宋体" w:hAnsi="宋体" w:eastAsia="宋体" w:cs="宋体"/>
          <w:spacing w:val="-18"/>
          <w:position w:val="17"/>
          <w:sz w:val="24"/>
          <w:szCs w:val="24"/>
        </w:rPr>
        <w:t>有坍塌、掉块发生可能，</w:t>
      </w:r>
      <w:r>
        <w:rPr>
          <w:rFonts w:ascii="宋体" w:hAnsi="宋体" w:eastAsia="宋体" w:cs="宋体"/>
          <w:spacing w:val="37"/>
          <w:position w:val="17"/>
          <w:sz w:val="24"/>
          <w:szCs w:val="24"/>
        </w:rPr>
        <w:t xml:space="preserve"> </w:t>
      </w:r>
      <w:r>
        <w:rPr>
          <w:rFonts w:ascii="宋体" w:hAnsi="宋体" w:eastAsia="宋体" w:cs="宋体"/>
          <w:spacing w:val="-18"/>
          <w:position w:val="17"/>
          <w:sz w:val="24"/>
          <w:szCs w:val="24"/>
        </w:rPr>
        <w:t>但规模很小时，</w:t>
      </w:r>
      <w:r>
        <w:rPr>
          <w:rFonts w:ascii="宋体" w:hAnsi="宋体" w:eastAsia="宋体" w:cs="宋体"/>
          <w:spacing w:val="38"/>
          <w:position w:val="17"/>
          <w:sz w:val="24"/>
          <w:szCs w:val="24"/>
        </w:rPr>
        <w:t xml:space="preserve"> </w:t>
      </w:r>
      <w:r>
        <w:rPr>
          <w:rFonts w:ascii="宋体" w:hAnsi="宋体" w:eastAsia="宋体" w:cs="宋体"/>
          <w:spacing w:val="-18"/>
          <w:position w:val="17"/>
          <w:sz w:val="24"/>
          <w:szCs w:val="24"/>
        </w:rPr>
        <w:t>采用支挡锚固与厚</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层基材相结合，稳定性满足后其上边坡进行绿化防护。</w:t>
      </w:r>
    </w:p>
    <w:p>
      <w:pPr>
        <w:spacing w:before="181" w:line="359" w:lineRule="auto"/>
        <w:ind w:left="39" w:right="86" w:firstLine="479"/>
        <w:rPr>
          <w:rFonts w:ascii="宋体" w:hAnsi="宋体" w:eastAsia="宋体" w:cs="宋体"/>
          <w:sz w:val="24"/>
          <w:szCs w:val="24"/>
        </w:rPr>
      </w:pPr>
      <w:r>
        <w:rPr>
          <w:rFonts w:ascii="宋体" w:hAnsi="宋体" w:eastAsia="宋体" w:cs="宋体"/>
          <w:spacing w:val="-3"/>
          <w:sz w:val="24"/>
          <w:szCs w:val="24"/>
        </w:rPr>
        <w:t>稳定性较差的边坡采用放缓边坡坡率、框格锚杆或框格锚索生</w:t>
      </w:r>
      <w:r>
        <w:rPr>
          <w:rFonts w:ascii="宋体" w:hAnsi="宋体" w:eastAsia="宋体" w:cs="宋体"/>
          <w:spacing w:val="-4"/>
          <w:sz w:val="24"/>
          <w:szCs w:val="24"/>
        </w:rPr>
        <w:t>态植被护坡以</w:t>
      </w:r>
      <w:r>
        <w:rPr>
          <w:rFonts w:ascii="宋体" w:hAnsi="宋体" w:eastAsia="宋体" w:cs="宋体"/>
          <w:sz w:val="24"/>
          <w:szCs w:val="24"/>
        </w:rPr>
        <w:t xml:space="preserve"> </w:t>
      </w:r>
      <w:r>
        <w:rPr>
          <w:rFonts w:ascii="宋体" w:hAnsi="宋体" w:eastAsia="宋体" w:cs="宋体"/>
          <w:spacing w:val="-16"/>
          <w:sz w:val="24"/>
          <w:szCs w:val="24"/>
        </w:rPr>
        <w:t>保证边坡稳定；</w:t>
      </w:r>
      <w:r>
        <w:rPr>
          <w:rFonts w:ascii="宋体" w:hAnsi="宋体" w:eastAsia="宋体" w:cs="宋体"/>
          <w:spacing w:val="33"/>
          <w:sz w:val="24"/>
          <w:szCs w:val="24"/>
        </w:rPr>
        <w:t xml:space="preserve"> </w:t>
      </w:r>
      <w:r>
        <w:rPr>
          <w:rFonts w:ascii="宋体" w:hAnsi="宋体" w:eastAsia="宋体" w:cs="宋体"/>
          <w:spacing w:val="-16"/>
          <w:sz w:val="24"/>
          <w:szCs w:val="24"/>
        </w:rPr>
        <w:t>对部分土质或强风化岩质坡体不稳定的路段，</w:t>
      </w:r>
      <w:r>
        <w:rPr>
          <w:rFonts w:ascii="宋体" w:hAnsi="宋体" w:eastAsia="宋体" w:cs="宋体"/>
          <w:spacing w:val="36"/>
          <w:sz w:val="24"/>
          <w:szCs w:val="24"/>
        </w:rPr>
        <w:t xml:space="preserve"> </w:t>
      </w:r>
      <w:r>
        <w:rPr>
          <w:rFonts w:ascii="宋体" w:hAnsi="宋体" w:eastAsia="宋体" w:cs="宋体"/>
          <w:spacing w:val="-16"/>
          <w:sz w:val="24"/>
          <w:szCs w:val="24"/>
        </w:rPr>
        <w:t>设置</w:t>
      </w:r>
      <w:r>
        <w:rPr>
          <w:rFonts w:ascii="宋体" w:hAnsi="宋体" w:eastAsia="宋体" w:cs="宋体"/>
          <w:spacing w:val="-17"/>
          <w:sz w:val="24"/>
          <w:szCs w:val="24"/>
        </w:rPr>
        <w:t>了挡墙，</w:t>
      </w:r>
      <w:r>
        <w:rPr>
          <w:rFonts w:ascii="宋体" w:hAnsi="宋体" w:eastAsia="宋体" w:cs="宋体"/>
          <w:spacing w:val="32"/>
          <w:sz w:val="24"/>
          <w:szCs w:val="24"/>
        </w:rPr>
        <w:t xml:space="preserve"> </w:t>
      </w:r>
      <w:r>
        <w:rPr>
          <w:rFonts w:ascii="宋体" w:hAnsi="宋体" w:eastAsia="宋体" w:cs="宋体"/>
          <w:spacing w:val="-17"/>
          <w:sz w:val="24"/>
          <w:szCs w:val="24"/>
        </w:rPr>
        <w:t>挡墙</w:t>
      </w:r>
    </w:p>
    <w:p>
      <w:pPr>
        <w:spacing w:before="1" w:line="219" w:lineRule="auto"/>
        <w:ind w:left="37"/>
        <w:rPr>
          <w:rFonts w:ascii="宋体" w:hAnsi="宋体" w:eastAsia="宋体" w:cs="宋体"/>
          <w:sz w:val="24"/>
          <w:szCs w:val="24"/>
        </w:rPr>
      </w:pPr>
      <w:r>
        <w:rPr>
          <w:rFonts w:ascii="宋体" w:hAnsi="宋体" w:eastAsia="宋体" w:cs="宋体"/>
          <w:spacing w:val="-3"/>
          <w:sz w:val="24"/>
          <w:szCs w:val="24"/>
        </w:rPr>
        <w:t>平台上种植了垂挂植物，以达到绿化的作用。</w:t>
      </w:r>
    </w:p>
    <w:p>
      <w:pPr>
        <w:spacing w:before="183" w:line="466" w:lineRule="exact"/>
        <w:ind w:left="518"/>
        <w:rPr>
          <w:rFonts w:ascii="宋体" w:hAnsi="宋体" w:eastAsia="宋体" w:cs="宋体"/>
          <w:sz w:val="24"/>
          <w:szCs w:val="24"/>
        </w:rPr>
      </w:pPr>
      <w:r>
        <w:rPr>
          <w:rFonts w:ascii="宋体" w:hAnsi="宋体" w:eastAsia="宋体" w:cs="宋体"/>
          <w:spacing w:val="-7"/>
          <w:position w:val="17"/>
          <w:sz w:val="24"/>
          <w:szCs w:val="24"/>
        </w:rPr>
        <w:t>根据路堑沿线地被植物分布情况， 确定绿色植被生态防护目标类型（草原类</w:t>
      </w:r>
    </w:p>
    <w:p>
      <w:pPr>
        <w:spacing w:line="219" w:lineRule="auto"/>
        <w:ind w:left="45"/>
        <w:rPr>
          <w:rFonts w:ascii="宋体" w:hAnsi="宋体" w:eastAsia="宋体" w:cs="宋体"/>
          <w:sz w:val="24"/>
          <w:szCs w:val="24"/>
        </w:rPr>
      </w:pPr>
      <w:r>
        <w:rPr>
          <w:rFonts w:ascii="宋体" w:hAnsi="宋体" w:eastAsia="宋体" w:cs="宋体"/>
          <w:spacing w:val="-2"/>
          <w:sz w:val="24"/>
          <w:szCs w:val="24"/>
        </w:rPr>
        <w:t>型、低木林类型、中高林木类型</w:t>
      </w:r>
      <w:r>
        <w:rPr>
          <w:rFonts w:ascii="宋体" w:hAnsi="宋体" w:eastAsia="宋体" w:cs="宋体"/>
          <w:spacing w:val="7"/>
          <w:sz w:val="24"/>
          <w:szCs w:val="24"/>
        </w:rPr>
        <w:t>），</w:t>
      </w:r>
      <w:r>
        <w:rPr>
          <w:rFonts w:ascii="宋体" w:hAnsi="宋体" w:eastAsia="宋体" w:cs="宋体"/>
          <w:spacing w:val="-2"/>
          <w:sz w:val="24"/>
          <w:szCs w:val="24"/>
        </w:rPr>
        <w:t>低矮路堑以乔灌为主；高路堑以草灌为主。</w:t>
      </w:r>
    </w:p>
    <w:p>
      <w:pPr>
        <w:spacing w:line="219" w:lineRule="auto"/>
        <w:rPr>
          <w:rFonts w:ascii="宋体" w:hAnsi="宋体" w:eastAsia="宋体" w:cs="宋体"/>
          <w:sz w:val="24"/>
          <w:szCs w:val="24"/>
        </w:rPr>
        <w:sectPr>
          <w:headerReference r:id="rId111" w:type="default"/>
          <w:footerReference r:id="rId112" w:type="default"/>
          <w:pgSz w:w="11907" w:h="16839"/>
          <w:pgMar w:top="1118" w:right="1712" w:bottom="1184" w:left="1771" w:header="879" w:footer="1024" w:gutter="0"/>
          <w:cols w:space="720" w:num="1"/>
        </w:sectPr>
      </w:pPr>
    </w:p>
    <w:p>
      <w:pPr>
        <w:pStyle w:val="2"/>
        <w:spacing w:line="277" w:lineRule="auto"/>
      </w:pPr>
    </w:p>
    <w:p>
      <w:pPr>
        <w:spacing w:before="78" w:line="220" w:lineRule="auto"/>
        <w:ind w:left="52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）沿山桥墩桩基施工平台临时防护</w:t>
      </w:r>
    </w:p>
    <w:p>
      <w:pPr>
        <w:spacing w:before="182" w:line="466" w:lineRule="exact"/>
        <w:ind w:right="38"/>
        <w:jc w:val="right"/>
        <w:rPr>
          <w:rFonts w:ascii="宋体" w:hAnsi="宋体" w:eastAsia="宋体" w:cs="宋体"/>
          <w:sz w:val="24"/>
          <w:szCs w:val="24"/>
        </w:rPr>
      </w:pPr>
      <w:r>
        <w:rPr>
          <w:rFonts w:ascii="宋体" w:hAnsi="宋体" w:eastAsia="宋体" w:cs="宋体"/>
          <w:spacing w:val="-18"/>
          <w:position w:val="17"/>
          <w:sz w:val="24"/>
          <w:szCs w:val="24"/>
        </w:rPr>
        <w:t>沿山布桥路段，</w:t>
      </w:r>
      <w:r>
        <w:rPr>
          <w:rFonts w:ascii="宋体" w:hAnsi="宋体" w:eastAsia="宋体" w:cs="宋体"/>
          <w:spacing w:val="38"/>
          <w:position w:val="17"/>
          <w:sz w:val="24"/>
          <w:szCs w:val="24"/>
        </w:rPr>
        <w:t xml:space="preserve"> </w:t>
      </w:r>
      <w:r>
        <w:rPr>
          <w:rFonts w:ascii="宋体" w:hAnsi="宋体" w:eastAsia="宋体" w:cs="宋体"/>
          <w:spacing w:val="-18"/>
          <w:position w:val="17"/>
          <w:sz w:val="24"/>
          <w:szCs w:val="24"/>
        </w:rPr>
        <w:t>地面线陡峻，</w:t>
      </w:r>
      <w:r>
        <w:rPr>
          <w:rFonts w:ascii="宋体" w:hAnsi="宋体" w:eastAsia="宋体" w:cs="宋体"/>
          <w:spacing w:val="60"/>
          <w:position w:val="17"/>
          <w:sz w:val="24"/>
          <w:szCs w:val="24"/>
        </w:rPr>
        <w:t xml:space="preserve"> </w:t>
      </w:r>
      <w:r>
        <w:rPr>
          <w:rFonts w:ascii="宋体" w:hAnsi="宋体" w:eastAsia="宋体" w:cs="宋体"/>
          <w:spacing w:val="-18"/>
          <w:position w:val="17"/>
          <w:sz w:val="24"/>
          <w:szCs w:val="24"/>
        </w:rPr>
        <w:t>由于施工桩基需开挖工作平台，</w:t>
      </w:r>
      <w:r>
        <w:rPr>
          <w:rFonts w:ascii="宋体" w:hAnsi="宋体" w:eastAsia="宋体" w:cs="宋体"/>
          <w:spacing w:val="32"/>
          <w:position w:val="17"/>
          <w:sz w:val="24"/>
          <w:szCs w:val="24"/>
        </w:rPr>
        <w:t xml:space="preserve"> </w:t>
      </w:r>
      <w:r>
        <w:rPr>
          <w:rFonts w:ascii="宋体" w:hAnsi="宋体" w:eastAsia="宋体" w:cs="宋体"/>
          <w:spacing w:val="-18"/>
          <w:position w:val="17"/>
          <w:sz w:val="24"/>
          <w:szCs w:val="24"/>
        </w:rPr>
        <w:t>产生局部挖方</w:t>
      </w:r>
    </w:p>
    <w:p>
      <w:pPr>
        <w:spacing w:before="1" w:line="218" w:lineRule="auto"/>
        <w:ind w:left="37"/>
        <w:rPr>
          <w:rFonts w:ascii="宋体" w:hAnsi="宋体" w:eastAsia="宋体" w:cs="宋体"/>
          <w:sz w:val="24"/>
          <w:szCs w:val="24"/>
        </w:rPr>
      </w:pPr>
      <w:r>
        <w:rPr>
          <w:rFonts w:ascii="宋体" w:hAnsi="宋体" w:eastAsia="宋体" w:cs="宋体"/>
          <w:spacing w:val="-3"/>
          <w:sz w:val="24"/>
          <w:szCs w:val="24"/>
        </w:rPr>
        <w:t>边坡，采用锚喷进行临时支护。</w:t>
      </w:r>
    </w:p>
    <w:p>
      <w:pPr>
        <w:spacing w:before="182" w:line="220" w:lineRule="auto"/>
        <w:ind w:left="52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）不良岩土地质挖方路堑临时防护</w:t>
      </w:r>
    </w:p>
    <w:p>
      <w:pPr>
        <w:spacing w:before="180" w:line="468" w:lineRule="exact"/>
        <w:jc w:val="right"/>
        <w:rPr>
          <w:rFonts w:ascii="宋体" w:hAnsi="宋体" w:eastAsia="宋体" w:cs="宋体"/>
          <w:sz w:val="24"/>
          <w:szCs w:val="24"/>
        </w:rPr>
      </w:pPr>
      <w:r>
        <w:rPr>
          <w:rFonts w:ascii="宋体" w:hAnsi="宋体" w:eastAsia="宋体" w:cs="宋体"/>
          <w:spacing w:val="-2"/>
          <w:position w:val="17"/>
          <w:sz w:val="24"/>
          <w:szCs w:val="24"/>
        </w:rPr>
        <w:t>本工程沿线断裂构造发育，挖方路堑边坡受断裂影响强烈，边坡岩体破碎，</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局部存在软弱结构面，可采用锚喷进行临时支</w:t>
      </w:r>
      <w:r>
        <w:rPr>
          <w:rFonts w:ascii="宋体" w:hAnsi="宋体" w:eastAsia="宋体" w:cs="宋体"/>
          <w:spacing w:val="-3"/>
          <w:sz w:val="24"/>
          <w:szCs w:val="24"/>
        </w:rPr>
        <w:t>护。</w:t>
      </w:r>
    </w:p>
    <w:p>
      <w:pPr>
        <w:spacing w:before="180"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）地表水、地下水引排处理</w:t>
      </w:r>
    </w:p>
    <w:p>
      <w:pPr>
        <w:spacing w:before="184" w:line="465" w:lineRule="exact"/>
        <w:ind w:right="38"/>
        <w:jc w:val="right"/>
        <w:rPr>
          <w:rFonts w:ascii="宋体" w:hAnsi="宋体" w:eastAsia="宋体" w:cs="宋体"/>
          <w:sz w:val="24"/>
          <w:szCs w:val="24"/>
        </w:rPr>
      </w:pPr>
      <w:r>
        <w:rPr>
          <w:rFonts w:ascii="宋体" w:hAnsi="宋体" w:eastAsia="宋体" w:cs="宋体"/>
          <w:spacing w:val="-13"/>
          <w:position w:val="17"/>
          <w:sz w:val="24"/>
          <w:szCs w:val="24"/>
        </w:rPr>
        <w:t>对于地下水引排，</w:t>
      </w:r>
      <w:r>
        <w:rPr>
          <w:rFonts w:ascii="宋体" w:hAnsi="宋体" w:eastAsia="宋体" w:cs="宋体"/>
          <w:spacing w:val="51"/>
          <w:position w:val="17"/>
          <w:sz w:val="24"/>
          <w:szCs w:val="24"/>
        </w:rPr>
        <w:t xml:space="preserve"> </w:t>
      </w:r>
      <w:r>
        <w:rPr>
          <w:rFonts w:ascii="宋体" w:hAnsi="宋体" w:eastAsia="宋体" w:cs="宋体"/>
          <w:spacing w:val="-13"/>
          <w:position w:val="17"/>
          <w:sz w:val="24"/>
          <w:szCs w:val="24"/>
        </w:rPr>
        <w:t>路基主要采用渗沟、盲沟降低地下水；</w:t>
      </w:r>
      <w:r>
        <w:rPr>
          <w:rFonts w:ascii="宋体" w:hAnsi="宋体" w:eastAsia="宋体" w:cs="宋体"/>
          <w:spacing w:val="36"/>
          <w:position w:val="17"/>
          <w:sz w:val="24"/>
          <w:szCs w:val="24"/>
        </w:rPr>
        <w:t xml:space="preserve"> </w:t>
      </w:r>
      <w:r>
        <w:rPr>
          <w:rFonts w:ascii="宋体" w:hAnsi="宋体" w:eastAsia="宋体" w:cs="宋体"/>
          <w:spacing w:val="-13"/>
          <w:position w:val="17"/>
          <w:sz w:val="24"/>
          <w:szCs w:val="24"/>
        </w:rPr>
        <w:t>路堑边坡以斜平孔</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排水引排为主，结合墙背盲沟及结构泄水孔处理。</w:t>
      </w:r>
    </w:p>
    <w:p>
      <w:pPr>
        <w:spacing w:before="183" w:line="359" w:lineRule="auto"/>
        <w:ind w:left="38" w:right="42" w:firstLine="478"/>
        <w:rPr>
          <w:rFonts w:ascii="宋体" w:hAnsi="宋体" w:eastAsia="宋体" w:cs="宋体"/>
          <w:sz w:val="24"/>
          <w:szCs w:val="24"/>
        </w:rPr>
      </w:pPr>
      <w:r>
        <w:rPr>
          <w:rFonts w:ascii="宋体" w:hAnsi="宋体" w:eastAsia="宋体" w:cs="宋体"/>
          <w:spacing w:val="-11"/>
          <w:sz w:val="24"/>
          <w:szCs w:val="24"/>
        </w:rPr>
        <w:t>对于地表水引排，</w:t>
      </w:r>
      <w:r>
        <w:rPr>
          <w:rFonts w:ascii="宋体" w:hAnsi="宋体" w:eastAsia="宋体" w:cs="宋体"/>
          <w:spacing w:val="30"/>
          <w:sz w:val="24"/>
          <w:szCs w:val="24"/>
        </w:rPr>
        <w:t xml:space="preserve"> </w:t>
      </w:r>
      <w:r>
        <w:rPr>
          <w:rFonts w:ascii="宋体" w:hAnsi="宋体" w:eastAsia="宋体" w:cs="宋体"/>
          <w:spacing w:val="-11"/>
          <w:sz w:val="24"/>
          <w:szCs w:val="24"/>
        </w:rPr>
        <w:t>当路堑边坡上部山体有较大的汇水面积时， 一般在路</w:t>
      </w:r>
      <w:r>
        <w:rPr>
          <w:rFonts w:ascii="宋体" w:hAnsi="宋体" w:eastAsia="宋体" w:cs="宋体"/>
          <w:spacing w:val="-12"/>
          <w:sz w:val="24"/>
          <w:szCs w:val="24"/>
        </w:rPr>
        <w:t>堑边</w:t>
      </w:r>
      <w:r>
        <w:rPr>
          <w:rFonts w:ascii="宋体" w:hAnsi="宋体" w:eastAsia="宋体" w:cs="宋体"/>
          <w:sz w:val="24"/>
          <w:szCs w:val="24"/>
        </w:rPr>
        <w:t xml:space="preserve"> </w:t>
      </w:r>
      <w:r>
        <w:rPr>
          <w:rFonts w:ascii="宋体" w:hAnsi="宋体" w:eastAsia="宋体" w:cs="宋体"/>
          <w:spacing w:val="-13"/>
          <w:sz w:val="24"/>
          <w:szCs w:val="24"/>
        </w:rPr>
        <w:t>坡顶设置截水沟，</w:t>
      </w:r>
      <w:r>
        <w:rPr>
          <w:rFonts w:ascii="宋体" w:hAnsi="宋体" w:eastAsia="宋体" w:cs="宋体"/>
          <w:spacing w:val="42"/>
          <w:sz w:val="24"/>
          <w:szCs w:val="24"/>
        </w:rPr>
        <w:t xml:space="preserve"> </w:t>
      </w:r>
      <w:r>
        <w:rPr>
          <w:rFonts w:ascii="宋体" w:hAnsi="宋体" w:eastAsia="宋体" w:cs="宋体"/>
          <w:spacing w:val="-13"/>
          <w:sz w:val="24"/>
          <w:szCs w:val="24"/>
        </w:rPr>
        <w:t>坡面结合检查梯设急流槽，</w:t>
      </w:r>
      <w:r>
        <w:rPr>
          <w:rFonts w:ascii="宋体" w:hAnsi="宋体" w:eastAsia="宋体" w:cs="宋体"/>
          <w:spacing w:val="66"/>
          <w:sz w:val="24"/>
          <w:szCs w:val="24"/>
        </w:rPr>
        <w:t xml:space="preserve"> </w:t>
      </w:r>
      <w:r>
        <w:rPr>
          <w:rFonts w:ascii="宋体" w:hAnsi="宋体" w:eastAsia="宋体" w:cs="宋体"/>
          <w:spacing w:val="-13"/>
          <w:sz w:val="24"/>
          <w:szCs w:val="24"/>
        </w:rPr>
        <w:t>以及平台侧沟、边沟、排水沟等组</w:t>
      </w:r>
    </w:p>
    <w:p>
      <w:pPr>
        <w:spacing w:line="219" w:lineRule="auto"/>
        <w:ind w:left="40"/>
        <w:rPr>
          <w:rFonts w:ascii="宋体" w:hAnsi="宋体" w:eastAsia="宋体" w:cs="宋体"/>
          <w:sz w:val="24"/>
          <w:szCs w:val="24"/>
        </w:rPr>
      </w:pPr>
      <w:r>
        <w:rPr>
          <w:rFonts w:ascii="宋体" w:hAnsi="宋体" w:eastAsia="宋体" w:cs="宋体"/>
          <w:spacing w:val="-5"/>
          <w:sz w:val="24"/>
          <w:szCs w:val="24"/>
        </w:rPr>
        <w:t>成综合地表排水系统。</w:t>
      </w:r>
    </w:p>
    <w:p>
      <w:pPr>
        <w:spacing w:before="180" w:line="220" w:lineRule="auto"/>
        <w:ind w:left="518"/>
        <w:rPr>
          <w:rFonts w:ascii="宋体" w:hAnsi="宋体" w:eastAsia="宋体" w:cs="宋体"/>
          <w:sz w:val="24"/>
          <w:szCs w:val="24"/>
        </w:rPr>
      </w:pPr>
      <w:r>
        <w:rPr>
          <w:rFonts w:ascii="Times New Roman" w:hAnsi="Times New Roman" w:eastAsia="Times New Roman" w:cs="Times New Roman"/>
          <w:spacing w:val="-5"/>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、挡土墙防护</w:t>
      </w:r>
    </w:p>
    <w:p>
      <w:pPr>
        <w:spacing w:before="183" w:line="465" w:lineRule="exact"/>
        <w:ind w:right="40"/>
        <w:jc w:val="right"/>
        <w:rPr>
          <w:rFonts w:ascii="宋体" w:hAnsi="宋体" w:eastAsia="宋体" w:cs="宋体"/>
          <w:sz w:val="24"/>
          <w:szCs w:val="24"/>
        </w:rPr>
      </w:pPr>
      <w:r>
        <w:rPr>
          <w:rFonts w:ascii="宋体" w:hAnsi="宋体" w:eastAsia="宋体" w:cs="宋体"/>
          <w:spacing w:val="-7"/>
          <w:position w:val="17"/>
          <w:sz w:val="24"/>
          <w:szCs w:val="24"/>
        </w:rPr>
        <w:t>填方挡墙： 对于沿溪路段、半路半桥、陡峻、斜坡地形及占地受限等特殊路</w:t>
      </w:r>
    </w:p>
    <w:p>
      <w:pPr>
        <w:spacing w:before="1" w:line="218" w:lineRule="auto"/>
        <w:ind w:left="39"/>
        <w:rPr>
          <w:rFonts w:ascii="宋体" w:hAnsi="宋体" w:eastAsia="宋体" w:cs="宋体"/>
          <w:sz w:val="24"/>
          <w:szCs w:val="24"/>
        </w:rPr>
      </w:pPr>
      <w:r>
        <w:rPr>
          <w:rFonts w:ascii="宋体" w:hAnsi="宋体" w:eastAsia="宋体" w:cs="宋体"/>
          <w:spacing w:val="-1"/>
          <w:sz w:val="24"/>
          <w:szCs w:val="24"/>
        </w:rPr>
        <w:t>段，为收缩坡脚，地基承载力较好的路段设重力式路</w:t>
      </w:r>
      <w:r>
        <w:rPr>
          <w:rFonts w:ascii="宋体" w:hAnsi="宋体" w:eastAsia="宋体" w:cs="宋体"/>
          <w:spacing w:val="-2"/>
          <w:sz w:val="24"/>
          <w:szCs w:val="24"/>
        </w:rPr>
        <w:t>堤挡土墙、路肩挡土墙。</w:t>
      </w:r>
    </w:p>
    <w:p>
      <w:pPr>
        <w:spacing w:before="184" w:line="468" w:lineRule="exact"/>
        <w:jc w:val="right"/>
        <w:rPr>
          <w:rFonts w:ascii="宋体" w:hAnsi="宋体" w:eastAsia="宋体" w:cs="宋体"/>
          <w:sz w:val="24"/>
          <w:szCs w:val="24"/>
        </w:rPr>
      </w:pPr>
      <w:r>
        <w:rPr>
          <w:rFonts w:ascii="宋体" w:hAnsi="宋体" w:eastAsia="宋体" w:cs="宋体"/>
          <w:spacing w:val="-2"/>
          <w:position w:val="17"/>
          <w:sz w:val="24"/>
          <w:szCs w:val="24"/>
        </w:rPr>
        <w:t>挖方挡墙：对节理发育，局部破碎的强风化、全风化岩质边坡或土质边坡，</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为降低边坡刷坡高度，采用路堑仰斜式挡土墙收坡。</w:t>
      </w:r>
    </w:p>
    <w:p>
      <w:pPr>
        <w:spacing w:before="181" w:line="220" w:lineRule="auto"/>
        <w:ind w:left="512"/>
        <w:rPr>
          <w:rFonts w:ascii="宋体" w:hAnsi="宋体" w:eastAsia="宋体" w:cs="宋体"/>
          <w:sz w:val="24"/>
          <w:szCs w:val="24"/>
        </w:rPr>
      </w:pPr>
      <w:r>
        <w:rPr>
          <w:rFonts w:ascii="Times New Roman" w:hAnsi="Times New Roman" w:eastAsia="Times New Roman" w:cs="Times New Roman"/>
          <w:spacing w:val="-6"/>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、锚索（杆）</w:t>
      </w:r>
    </w:p>
    <w:p>
      <w:pPr>
        <w:spacing w:before="182" w:line="359" w:lineRule="auto"/>
        <w:ind w:left="39" w:right="40" w:firstLine="508"/>
        <w:rPr>
          <w:rFonts w:ascii="宋体" w:hAnsi="宋体" w:eastAsia="宋体" w:cs="宋体"/>
          <w:sz w:val="24"/>
          <w:szCs w:val="24"/>
        </w:rPr>
      </w:pPr>
      <w:r>
        <w:rPr>
          <w:rFonts w:ascii="宋体" w:hAnsi="宋体" w:eastAsia="宋体" w:cs="宋体"/>
          <w:spacing w:val="-7"/>
          <w:sz w:val="24"/>
          <w:szCs w:val="24"/>
        </w:rPr>
        <w:t>由于锚固工程主体为地下隐蔽工程，</w:t>
      </w:r>
      <w:r>
        <w:rPr>
          <w:rFonts w:ascii="宋体" w:hAnsi="宋体" w:eastAsia="宋体" w:cs="宋体"/>
          <w:spacing w:val="-22"/>
          <w:sz w:val="24"/>
          <w:szCs w:val="24"/>
        </w:rPr>
        <w:t xml:space="preserve"> </w:t>
      </w:r>
      <w:r>
        <w:rPr>
          <w:rFonts w:ascii="宋体" w:hAnsi="宋体" w:eastAsia="宋体" w:cs="宋体"/>
          <w:spacing w:val="-7"/>
          <w:sz w:val="24"/>
          <w:szCs w:val="24"/>
        </w:rPr>
        <w:t>要求严格按照锚固工程施工与验收技术</w:t>
      </w:r>
      <w:r>
        <w:rPr>
          <w:rFonts w:ascii="宋体" w:hAnsi="宋体" w:eastAsia="宋体" w:cs="宋体"/>
          <w:sz w:val="24"/>
          <w:szCs w:val="24"/>
        </w:rPr>
        <w:t xml:space="preserve"> </w:t>
      </w:r>
      <w:r>
        <w:rPr>
          <w:rFonts w:ascii="宋体" w:hAnsi="宋体" w:eastAsia="宋体" w:cs="宋体"/>
          <w:spacing w:val="-7"/>
          <w:sz w:val="24"/>
          <w:szCs w:val="24"/>
        </w:rPr>
        <w:t>规范和质量检验评定标准进行，</w:t>
      </w:r>
      <w:r>
        <w:rPr>
          <w:rFonts w:ascii="宋体" w:hAnsi="宋体" w:eastAsia="宋体" w:cs="宋体"/>
          <w:spacing w:val="32"/>
          <w:sz w:val="24"/>
          <w:szCs w:val="24"/>
        </w:rPr>
        <w:t xml:space="preserve"> </w:t>
      </w:r>
      <w:r>
        <w:rPr>
          <w:rFonts w:ascii="宋体" w:hAnsi="宋体" w:eastAsia="宋体" w:cs="宋体"/>
          <w:spacing w:val="-7"/>
          <w:sz w:val="24"/>
          <w:szCs w:val="24"/>
        </w:rPr>
        <w:t>确保边坡稳定和结构</w:t>
      </w:r>
      <w:r>
        <w:rPr>
          <w:rFonts w:ascii="宋体" w:hAnsi="宋体" w:eastAsia="宋体" w:cs="宋体"/>
          <w:spacing w:val="-8"/>
          <w:sz w:val="24"/>
          <w:szCs w:val="24"/>
        </w:rPr>
        <w:t>安全。预应力锚索、锚杆施</w:t>
      </w:r>
      <w:r>
        <w:rPr>
          <w:rFonts w:ascii="宋体" w:hAnsi="宋体" w:eastAsia="宋体" w:cs="宋体"/>
          <w:sz w:val="24"/>
          <w:szCs w:val="24"/>
        </w:rPr>
        <w:t xml:space="preserve"> </w:t>
      </w:r>
      <w:r>
        <w:rPr>
          <w:rFonts w:ascii="宋体" w:hAnsi="宋体" w:eastAsia="宋体" w:cs="宋体"/>
          <w:spacing w:val="-3"/>
          <w:sz w:val="24"/>
          <w:szCs w:val="24"/>
        </w:rPr>
        <w:t>工主要包括施工准备、锚孔钻造、锚筋制安、锚孔注浆、砼结构钢筋制安</w:t>
      </w:r>
      <w:r>
        <w:rPr>
          <w:rFonts w:ascii="宋体" w:hAnsi="宋体" w:eastAsia="宋体" w:cs="宋体"/>
          <w:spacing w:val="-4"/>
          <w:sz w:val="24"/>
          <w:szCs w:val="24"/>
        </w:rPr>
        <w:t>、砼浇</w:t>
      </w:r>
    </w:p>
    <w:p>
      <w:pPr>
        <w:spacing w:line="219" w:lineRule="auto"/>
        <w:ind w:left="40"/>
        <w:rPr>
          <w:rFonts w:ascii="宋体" w:hAnsi="宋体" w:eastAsia="宋体" w:cs="宋体"/>
          <w:sz w:val="24"/>
          <w:szCs w:val="24"/>
        </w:rPr>
      </w:pPr>
      <w:r>
        <w:rPr>
          <w:rFonts w:ascii="宋体" w:hAnsi="宋体" w:eastAsia="宋体" w:cs="宋体"/>
          <w:spacing w:val="-3"/>
          <w:sz w:val="24"/>
          <w:szCs w:val="24"/>
        </w:rPr>
        <w:t>筑、锚孔张拉锁定和验收封锚等工作流程。</w:t>
      </w:r>
    </w:p>
    <w:p>
      <w:pPr>
        <w:spacing w:before="183" w:line="220" w:lineRule="auto"/>
        <w:ind w:left="32"/>
        <w:outlineLvl w:val="0"/>
        <w:rPr>
          <w:rFonts w:ascii="宋体" w:hAnsi="宋体" w:eastAsia="宋体" w:cs="宋体"/>
          <w:sz w:val="24"/>
          <w:szCs w:val="24"/>
        </w:rPr>
      </w:pPr>
      <w:r>
        <w:fldChar w:fldCharType="begin"/>
      </w:r>
      <w:r>
        <w:instrText xml:space="preserve"> HYPERLINK "3.2.1.4" </w:instrText>
      </w:r>
      <w:r>
        <w:fldChar w:fldCharType="separate"/>
      </w:r>
      <w:r>
        <w:rPr>
          <w:rFonts w:ascii="Times New Roman" w:hAnsi="Times New Roman" w:eastAsia="Times New Roman" w:cs="Times New Roman"/>
          <w:b/>
          <w:bCs/>
          <w:sz w:val="24"/>
          <w:szCs w:val="24"/>
        </w:rPr>
        <w:t>3.2.1.4</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路基排水</w:t>
      </w:r>
    </w:p>
    <w:p>
      <w:pPr>
        <w:spacing w:before="180" w:line="220" w:lineRule="auto"/>
        <w:ind w:left="536"/>
        <w:rPr>
          <w:rFonts w:ascii="宋体" w:hAnsi="宋体" w:eastAsia="宋体" w:cs="宋体"/>
          <w:sz w:val="24"/>
          <w:szCs w:val="24"/>
        </w:rPr>
      </w:pPr>
      <w:r>
        <w:rPr>
          <w:rFonts w:ascii="Times New Roman" w:hAnsi="Times New Roman" w:eastAsia="Times New Roman" w:cs="Times New Roman"/>
          <w:spacing w:val="-9"/>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9"/>
          <w:sz w:val="24"/>
          <w:szCs w:val="24"/>
        </w:rPr>
        <w:t>、填方边沟</w:t>
      </w:r>
    </w:p>
    <w:p>
      <w:pPr>
        <w:spacing w:before="182" w:line="359" w:lineRule="auto"/>
        <w:ind w:left="37" w:right="38" w:firstLine="484"/>
        <w:rPr>
          <w:rFonts w:ascii="宋体" w:hAnsi="宋体" w:eastAsia="宋体" w:cs="宋体"/>
          <w:sz w:val="24"/>
          <w:szCs w:val="24"/>
        </w:rPr>
      </w:pPr>
      <w:r>
        <w:rPr>
          <w:rFonts w:ascii="宋体" w:hAnsi="宋体" w:eastAsia="宋体" w:cs="宋体"/>
          <w:spacing w:val="-13"/>
          <w:sz w:val="24"/>
          <w:szCs w:val="24"/>
        </w:rPr>
        <w:t>一般填方路段采用矩形边沟，</w:t>
      </w:r>
      <w:r>
        <w:rPr>
          <w:rFonts w:ascii="宋体" w:hAnsi="宋体" w:eastAsia="宋体" w:cs="宋体"/>
          <w:spacing w:val="-43"/>
          <w:sz w:val="24"/>
          <w:szCs w:val="24"/>
        </w:rPr>
        <w:t xml:space="preserve"> </w:t>
      </w:r>
      <w:r>
        <w:rPr>
          <w:rFonts w:ascii="宋体" w:hAnsi="宋体" w:eastAsia="宋体" w:cs="宋体"/>
          <w:spacing w:val="-13"/>
          <w:sz w:val="24"/>
          <w:szCs w:val="24"/>
        </w:rPr>
        <w:t>沟身采用</w:t>
      </w:r>
      <w:r>
        <w:rPr>
          <w:rFonts w:ascii="宋体" w:hAnsi="宋体" w:eastAsia="宋体" w:cs="宋体"/>
          <w:spacing w:val="-55"/>
          <w:sz w:val="24"/>
          <w:szCs w:val="24"/>
        </w:rPr>
        <w:t xml:space="preserve"> </w:t>
      </w:r>
      <w:r>
        <w:rPr>
          <w:rFonts w:ascii="Times New Roman" w:hAnsi="Times New Roman" w:eastAsia="Times New Roman" w:cs="Times New Roman"/>
          <w:spacing w:val="-13"/>
          <w:sz w:val="24"/>
          <w:szCs w:val="24"/>
        </w:rPr>
        <w:t xml:space="preserve">M7.5 </w:t>
      </w:r>
      <w:r>
        <w:rPr>
          <w:rFonts w:ascii="宋体" w:hAnsi="宋体" w:eastAsia="宋体" w:cs="宋体"/>
          <w:spacing w:val="-13"/>
          <w:sz w:val="24"/>
          <w:szCs w:val="24"/>
        </w:rPr>
        <w:t>浆砌片</w:t>
      </w:r>
      <w:r>
        <w:rPr>
          <w:rFonts w:ascii="宋体" w:hAnsi="宋体" w:eastAsia="宋体" w:cs="宋体"/>
          <w:spacing w:val="-14"/>
          <w:sz w:val="24"/>
          <w:szCs w:val="24"/>
        </w:rPr>
        <w:t>石砌筑，</w:t>
      </w:r>
      <w:r>
        <w:rPr>
          <w:rFonts w:ascii="宋体" w:hAnsi="宋体" w:eastAsia="宋体" w:cs="宋体"/>
          <w:spacing w:val="-43"/>
          <w:sz w:val="24"/>
          <w:szCs w:val="24"/>
        </w:rPr>
        <w:t xml:space="preserve"> </w:t>
      </w:r>
      <w:r>
        <w:rPr>
          <w:rFonts w:ascii="宋体" w:hAnsi="宋体" w:eastAsia="宋体" w:cs="宋体"/>
          <w:spacing w:val="-14"/>
          <w:sz w:val="24"/>
          <w:szCs w:val="24"/>
        </w:rPr>
        <w:t>沟净宽</w:t>
      </w:r>
      <w:r>
        <w:rPr>
          <w:rFonts w:ascii="宋体" w:hAnsi="宋体" w:eastAsia="宋体" w:cs="宋体"/>
          <w:spacing w:val="-51"/>
          <w:sz w:val="24"/>
          <w:szCs w:val="24"/>
        </w:rPr>
        <w:t xml:space="preserve"> </w:t>
      </w:r>
      <w:r>
        <w:rPr>
          <w:rFonts w:ascii="Times New Roman" w:hAnsi="Times New Roman" w:eastAsia="Times New Roman" w:cs="Times New Roman"/>
          <w:spacing w:val="-14"/>
          <w:sz w:val="24"/>
          <w:szCs w:val="24"/>
        </w:rPr>
        <w:t>0.8m</w:t>
      </w:r>
      <w:r>
        <w:rPr>
          <w:rFonts w:ascii="宋体" w:hAnsi="宋体" w:eastAsia="宋体" w:cs="宋体"/>
          <w:spacing w:val="-14"/>
          <w:sz w:val="24"/>
          <w:szCs w:val="24"/>
        </w:rPr>
        <w:t>（连</w:t>
      </w:r>
      <w:r>
        <w:rPr>
          <w:rFonts w:ascii="宋体" w:hAnsi="宋体" w:eastAsia="宋体" w:cs="宋体"/>
          <w:sz w:val="24"/>
          <w:szCs w:val="24"/>
        </w:rPr>
        <w:t xml:space="preserve"> </w:t>
      </w:r>
      <w:r>
        <w:rPr>
          <w:rFonts w:ascii="宋体" w:hAnsi="宋体" w:eastAsia="宋体" w:cs="宋体"/>
          <w:spacing w:val="-2"/>
          <w:sz w:val="24"/>
          <w:szCs w:val="24"/>
        </w:rPr>
        <w:t>接线和匝道排水沟净宽</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0.6m</w:t>
      </w:r>
      <w:r>
        <w:rPr>
          <w:rFonts w:ascii="宋体" w:hAnsi="宋体" w:eastAsia="宋体" w:cs="宋体"/>
          <w:spacing w:val="8"/>
          <w:sz w:val="24"/>
          <w:szCs w:val="24"/>
        </w:rPr>
        <w:t>），</w:t>
      </w:r>
      <w:r>
        <w:rPr>
          <w:rFonts w:ascii="宋体" w:hAnsi="宋体" w:eastAsia="宋体" w:cs="宋体"/>
          <w:spacing w:val="-2"/>
          <w:sz w:val="24"/>
          <w:szCs w:val="24"/>
        </w:rPr>
        <w:t>沟深根据沿线地形情况一般在</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0.6m~</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 xml:space="preserve">1m </w:t>
      </w:r>
      <w:r>
        <w:rPr>
          <w:rFonts w:ascii="宋体" w:hAnsi="宋体" w:eastAsia="宋体" w:cs="宋体"/>
          <w:spacing w:val="-2"/>
          <w:sz w:val="24"/>
          <w:szCs w:val="24"/>
        </w:rPr>
        <w:t>之间变</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动，并控制沟底纵坡不小于</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0.1%</w:t>
      </w:r>
      <w:r>
        <w:rPr>
          <w:rFonts w:ascii="宋体" w:hAnsi="宋体" w:eastAsia="宋体" w:cs="宋体"/>
          <w:spacing w:val="-2"/>
          <w:sz w:val="24"/>
          <w:szCs w:val="24"/>
        </w:rPr>
        <w:t>，边沟长度不大于</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500m</w:t>
      </w:r>
      <w:r>
        <w:rPr>
          <w:rFonts w:ascii="宋体" w:hAnsi="宋体" w:eastAsia="宋体" w:cs="宋体"/>
          <w:spacing w:val="-2"/>
          <w:sz w:val="24"/>
          <w:szCs w:val="24"/>
        </w:rPr>
        <w:t>。</w:t>
      </w:r>
    </w:p>
    <w:p>
      <w:pPr>
        <w:spacing w:before="180" w:line="220" w:lineRule="auto"/>
        <w:ind w:left="513"/>
        <w:rPr>
          <w:rFonts w:ascii="宋体" w:hAnsi="宋体" w:eastAsia="宋体" w:cs="宋体"/>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、挖方边沟</w:t>
      </w:r>
    </w:p>
    <w:p>
      <w:pPr>
        <w:spacing w:before="182" w:line="466" w:lineRule="exact"/>
        <w:ind w:left="520"/>
        <w:rPr>
          <w:rFonts w:ascii="宋体" w:hAnsi="宋体" w:eastAsia="宋体" w:cs="宋体"/>
          <w:sz w:val="24"/>
          <w:szCs w:val="24"/>
        </w:rPr>
      </w:pPr>
      <w:r>
        <w:rPr>
          <w:rFonts w:ascii="宋体" w:hAnsi="宋体" w:eastAsia="宋体" w:cs="宋体"/>
          <w:spacing w:val="-2"/>
          <w:position w:val="17"/>
          <w:sz w:val="24"/>
          <w:szCs w:val="24"/>
        </w:rPr>
        <w:t>为排水顺畅，且有效增大路侧安全距离，本次采用了矩形盖板边沟。</w:t>
      </w:r>
    </w:p>
    <w:p>
      <w:pPr>
        <w:spacing w:before="1" w:line="219" w:lineRule="auto"/>
        <w:ind w:left="518"/>
        <w:rPr>
          <w:rFonts w:ascii="宋体" w:hAnsi="宋体" w:eastAsia="宋体" w:cs="宋体"/>
          <w:sz w:val="24"/>
          <w:szCs w:val="24"/>
        </w:rPr>
      </w:pPr>
      <w:r>
        <w:rPr>
          <w:rFonts w:ascii="Times New Roman" w:hAnsi="Times New Roman" w:eastAsia="Times New Roman" w:cs="Times New Roman"/>
          <w:spacing w:val="-4"/>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、边坡平台排水沟</w:t>
      </w:r>
    </w:p>
    <w:p>
      <w:pPr>
        <w:spacing w:line="219" w:lineRule="auto"/>
        <w:rPr>
          <w:rFonts w:ascii="宋体" w:hAnsi="宋体" w:eastAsia="宋体" w:cs="宋体"/>
          <w:sz w:val="24"/>
          <w:szCs w:val="24"/>
        </w:rPr>
        <w:sectPr>
          <w:headerReference r:id="rId113" w:type="default"/>
          <w:footerReference r:id="rId114" w:type="default"/>
          <w:pgSz w:w="11907" w:h="16839"/>
          <w:pgMar w:top="1118" w:right="1759" w:bottom="1184" w:left="1771" w:header="879" w:footer="1024" w:gutter="0"/>
          <w:cols w:space="720" w:num="1"/>
        </w:sectPr>
      </w:pPr>
    </w:p>
    <w:p>
      <w:pPr>
        <w:pStyle w:val="2"/>
        <w:spacing w:line="278" w:lineRule="auto"/>
      </w:pPr>
    </w:p>
    <w:p>
      <w:pPr>
        <w:spacing w:before="78" w:line="468" w:lineRule="exact"/>
        <w:ind w:left="988"/>
        <w:rPr>
          <w:rFonts w:ascii="宋体" w:hAnsi="宋体" w:eastAsia="宋体" w:cs="宋体"/>
          <w:sz w:val="24"/>
          <w:szCs w:val="24"/>
        </w:rPr>
      </w:pPr>
      <w:r>
        <w:rPr>
          <w:rFonts w:ascii="宋体" w:hAnsi="宋体" w:eastAsia="宋体" w:cs="宋体"/>
          <w:spacing w:val="-1"/>
          <w:position w:val="17"/>
          <w:sz w:val="24"/>
          <w:szCs w:val="24"/>
        </w:rPr>
        <w:t>为减轻雨水对边坡的冲刷，在挖方边坡平台设置小型</w:t>
      </w:r>
      <w:r>
        <w:rPr>
          <w:rFonts w:ascii="宋体" w:hAnsi="宋体" w:eastAsia="宋体" w:cs="宋体"/>
          <w:spacing w:val="-37"/>
          <w:position w:val="17"/>
          <w:sz w:val="24"/>
          <w:szCs w:val="24"/>
        </w:rPr>
        <w:t xml:space="preserve"> </w:t>
      </w:r>
      <w:r>
        <w:rPr>
          <w:rFonts w:ascii="Times New Roman" w:hAnsi="Times New Roman" w:eastAsia="Times New Roman" w:cs="Times New Roman"/>
          <w:spacing w:val="-1"/>
          <w:position w:val="17"/>
          <w:sz w:val="24"/>
          <w:szCs w:val="24"/>
        </w:rPr>
        <w:t xml:space="preserve">C25 </w:t>
      </w:r>
      <w:r>
        <w:rPr>
          <w:rFonts w:ascii="宋体" w:hAnsi="宋体" w:eastAsia="宋体" w:cs="宋体"/>
          <w:spacing w:val="-1"/>
          <w:position w:val="17"/>
          <w:sz w:val="24"/>
          <w:szCs w:val="24"/>
        </w:rPr>
        <w:t>现浇砼排水沟。</w:t>
      </w:r>
    </w:p>
    <w:p>
      <w:pPr>
        <w:spacing w:line="219" w:lineRule="auto"/>
        <w:ind w:left="980"/>
        <w:rPr>
          <w:rFonts w:ascii="宋体" w:hAnsi="宋体" w:eastAsia="宋体" w:cs="宋体"/>
          <w:sz w:val="24"/>
          <w:szCs w:val="24"/>
        </w:rPr>
      </w:pPr>
      <w:r>
        <w:rPr>
          <w:rFonts w:ascii="Times New Roman" w:hAnsi="Times New Roman" w:eastAsia="Times New Roman" w:cs="Times New Roman"/>
          <w:spacing w:val="-5"/>
          <w:sz w:val="24"/>
          <w:szCs w:val="24"/>
        </w:rPr>
        <w:t>4</w:t>
      </w:r>
      <w:r>
        <w:rPr>
          <w:rFonts w:ascii="Times New Roman" w:hAnsi="Times New Roman" w:eastAsia="Times New Roman" w:cs="Times New Roman"/>
          <w:spacing w:val="-28"/>
          <w:sz w:val="24"/>
          <w:szCs w:val="24"/>
        </w:rPr>
        <w:t xml:space="preserve"> </w:t>
      </w:r>
      <w:r>
        <w:rPr>
          <w:rFonts w:ascii="宋体" w:hAnsi="宋体" w:eastAsia="宋体" w:cs="宋体"/>
          <w:spacing w:val="-5"/>
          <w:sz w:val="24"/>
          <w:szCs w:val="24"/>
        </w:rPr>
        <w:t>、坡顶截水沟</w:t>
      </w:r>
    </w:p>
    <w:p>
      <w:pPr>
        <w:spacing w:before="181" w:line="359" w:lineRule="auto"/>
        <w:ind w:left="509" w:right="494" w:firstLine="476"/>
        <w:rPr>
          <w:rFonts w:ascii="宋体" w:hAnsi="宋体" w:eastAsia="宋体" w:cs="宋体"/>
          <w:sz w:val="24"/>
          <w:szCs w:val="24"/>
        </w:rPr>
      </w:pPr>
      <w:r>
        <w:rPr>
          <w:rFonts w:ascii="宋体" w:hAnsi="宋体" w:eastAsia="宋体" w:cs="宋体"/>
          <w:spacing w:val="-2"/>
          <w:sz w:val="24"/>
          <w:szCs w:val="24"/>
        </w:rPr>
        <w:t>截水沟与边坡检修踏步合二为一，采用</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 xml:space="preserve">C25  </w:t>
      </w:r>
      <w:r>
        <w:rPr>
          <w:rFonts w:ascii="宋体" w:hAnsi="宋体" w:eastAsia="宋体" w:cs="宋体"/>
          <w:spacing w:val="-2"/>
          <w:sz w:val="24"/>
          <w:szCs w:val="24"/>
        </w:rPr>
        <w:t>砼现浇。当边坡上部山坡有较</w:t>
      </w:r>
      <w:r>
        <w:rPr>
          <w:rFonts w:ascii="宋体" w:hAnsi="宋体" w:eastAsia="宋体" w:cs="宋体"/>
          <w:sz w:val="24"/>
          <w:szCs w:val="24"/>
        </w:rPr>
        <w:t xml:space="preserve"> </w:t>
      </w:r>
      <w:r>
        <w:rPr>
          <w:rFonts w:ascii="宋体" w:hAnsi="宋体" w:eastAsia="宋体" w:cs="宋体"/>
          <w:spacing w:val="-7"/>
          <w:sz w:val="24"/>
          <w:szCs w:val="24"/>
        </w:rPr>
        <w:t>大的汇水面积时截水沟净深</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60cm</w:t>
      </w:r>
      <w:r>
        <w:rPr>
          <w:rFonts w:ascii="宋体" w:hAnsi="宋体" w:eastAsia="宋体" w:cs="宋体"/>
          <w:spacing w:val="-7"/>
          <w:sz w:val="24"/>
          <w:szCs w:val="24"/>
        </w:rPr>
        <w:t>，当汇水面积较小时，</w:t>
      </w:r>
      <w:r>
        <w:rPr>
          <w:rFonts w:ascii="宋体" w:hAnsi="宋体" w:eastAsia="宋体" w:cs="宋体"/>
          <w:spacing w:val="39"/>
          <w:sz w:val="24"/>
          <w:szCs w:val="24"/>
        </w:rPr>
        <w:t xml:space="preserve"> </w:t>
      </w:r>
      <w:r>
        <w:rPr>
          <w:rFonts w:ascii="宋体" w:hAnsi="宋体" w:eastAsia="宋体" w:cs="宋体"/>
          <w:spacing w:val="-7"/>
          <w:sz w:val="24"/>
          <w:szCs w:val="24"/>
        </w:rPr>
        <w:t>净深采用</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30cm</w:t>
      </w:r>
      <w:r>
        <w:rPr>
          <w:rFonts w:ascii="宋体" w:hAnsi="宋体" w:eastAsia="宋体" w:cs="宋体"/>
          <w:spacing w:val="-8"/>
          <w:sz w:val="24"/>
          <w:szCs w:val="24"/>
        </w:rPr>
        <w:t>。截水沟</w:t>
      </w:r>
      <w:r>
        <w:rPr>
          <w:rFonts w:ascii="宋体" w:hAnsi="宋体" w:eastAsia="宋体" w:cs="宋体"/>
          <w:sz w:val="24"/>
          <w:szCs w:val="24"/>
        </w:rPr>
        <w:t xml:space="preserve"> </w:t>
      </w:r>
      <w:r>
        <w:rPr>
          <w:rFonts w:ascii="宋体" w:hAnsi="宋体" w:eastAsia="宋体" w:cs="宋体"/>
          <w:spacing w:val="-6"/>
          <w:sz w:val="24"/>
          <w:szCs w:val="24"/>
        </w:rPr>
        <w:t>内汇水一般在两端通过急流槽引入排水沟，</w:t>
      </w:r>
      <w:r>
        <w:rPr>
          <w:rFonts w:ascii="宋体" w:hAnsi="宋体" w:eastAsia="宋体" w:cs="宋体"/>
          <w:spacing w:val="-17"/>
          <w:sz w:val="24"/>
          <w:szCs w:val="24"/>
        </w:rPr>
        <w:t xml:space="preserve"> </w:t>
      </w:r>
      <w:r>
        <w:rPr>
          <w:rFonts w:ascii="宋体" w:hAnsi="宋体" w:eastAsia="宋体" w:cs="宋体"/>
          <w:spacing w:val="-6"/>
          <w:sz w:val="24"/>
          <w:szCs w:val="24"/>
        </w:rPr>
        <w:t>截水沟在纵向存在凹曲线点或连续长</w:t>
      </w:r>
    </w:p>
    <w:p>
      <w:pPr>
        <w:spacing w:line="219" w:lineRule="auto"/>
        <w:ind w:left="505"/>
        <w:rPr>
          <w:rFonts w:ascii="宋体" w:hAnsi="宋体" w:eastAsia="宋体" w:cs="宋体"/>
          <w:sz w:val="24"/>
          <w:szCs w:val="24"/>
        </w:rPr>
      </w:pPr>
      <w:r>
        <w:rPr>
          <w:rFonts w:ascii="宋体" w:hAnsi="宋体" w:eastAsia="宋体" w:cs="宋体"/>
          <w:spacing w:val="-1"/>
          <w:sz w:val="24"/>
          <w:szCs w:val="24"/>
        </w:rPr>
        <w:t>度超过</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400m</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时，选择合适位置设置边坡急流槽将汇水排至挖方边</w:t>
      </w:r>
      <w:r>
        <w:rPr>
          <w:rFonts w:ascii="宋体" w:hAnsi="宋体" w:eastAsia="宋体" w:cs="宋体"/>
          <w:spacing w:val="-2"/>
          <w:sz w:val="24"/>
          <w:szCs w:val="24"/>
        </w:rPr>
        <w:t>沟。</w:t>
      </w:r>
    </w:p>
    <w:p>
      <w:pPr>
        <w:spacing w:before="180" w:line="220" w:lineRule="auto"/>
        <w:ind w:left="988"/>
        <w:rPr>
          <w:rFonts w:ascii="宋体" w:hAnsi="宋体" w:eastAsia="宋体" w:cs="宋体"/>
          <w:sz w:val="24"/>
          <w:szCs w:val="24"/>
        </w:rPr>
      </w:pPr>
      <w:r>
        <w:rPr>
          <w:rFonts w:ascii="Times New Roman" w:hAnsi="Times New Roman" w:eastAsia="Times New Roman" w:cs="Times New Roman"/>
          <w:spacing w:val="-5"/>
          <w:sz w:val="24"/>
          <w:szCs w:val="24"/>
        </w:rPr>
        <w:t>5</w:t>
      </w:r>
      <w:r>
        <w:rPr>
          <w:rFonts w:ascii="Times New Roman" w:hAnsi="Times New Roman" w:eastAsia="Times New Roman" w:cs="Times New Roman"/>
          <w:spacing w:val="-28"/>
          <w:sz w:val="24"/>
          <w:szCs w:val="24"/>
        </w:rPr>
        <w:t xml:space="preserve"> </w:t>
      </w:r>
      <w:r>
        <w:rPr>
          <w:rFonts w:ascii="宋体" w:hAnsi="宋体" w:eastAsia="宋体" w:cs="宋体"/>
          <w:spacing w:val="-5"/>
          <w:sz w:val="24"/>
          <w:szCs w:val="24"/>
        </w:rPr>
        <w:t>、中间带排水沟</w:t>
      </w:r>
    </w:p>
    <w:p>
      <w:pPr>
        <w:spacing w:before="183" w:line="466" w:lineRule="exact"/>
        <w:ind w:left="1008"/>
        <w:rPr>
          <w:rFonts w:ascii="宋体" w:hAnsi="宋体" w:eastAsia="宋体" w:cs="宋体"/>
          <w:sz w:val="24"/>
          <w:szCs w:val="24"/>
        </w:rPr>
      </w:pPr>
      <w:r>
        <w:rPr>
          <w:rFonts w:ascii="宋体" w:hAnsi="宋体" w:eastAsia="宋体" w:cs="宋体"/>
          <w:spacing w:val="-1"/>
          <w:position w:val="17"/>
          <w:sz w:val="24"/>
          <w:szCs w:val="24"/>
        </w:rPr>
        <w:t>中间带排水沟采用矩形边沟，沟身采用</w:t>
      </w:r>
      <w:r>
        <w:rPr>
          <w:rFonts w:ascii="宋体" w:hAnsi="宋体" w:eastAsia="宋体" w:cs="宋体"/>
          <w:spacing w:val="-55"/>
          <w:position w:val="17"/>
          <w:sz w:val="24"/>
          <w:szCs w:val="24"/>
        </w:rPr>
        <w:t xml:space="preserve"> </w:t>
      </w:r>
      <w:r>
        <w:rPr>
          <w:rFonts w:ascii="Times New Roman" w:hAnsi="Times New Roman" w:eastAsia="Times New Roman" w:cs="Times New Roman"/>
          <w:spacing w:val="-1"/>
          <w:position w:val="17"/>
          <w:sz w:val="24"/>
          <w:szCs w:val="24"/>
        </w:rPr>
        <w:t xml:space="preserve">M7.5 </w:t>
      </w:r>
      <w:r>
        <w:rPr>
          <w:rFonts w:ascii="宋体" w:hAnsi="宋体" w:eastAsia="宋体" w:cs="宋体"/>
          <w:spacing w:val="-1"/>
          <w:position w:val="17"/>
          <w:sz w:val="24"/>
          <w:szCs w:val="24"/>
        </w:rPr>
        <w:t>浆砌片石砌筑</w:t>
      </w:r>
      <w:r>
        <w:rPr>
          <w:rFonts w:ascii="宋体" w:hAnsi="宋体" w:eastAsia="宋体" w:cs="宋体"/>
          <w:spacing w:val="-2"/>
          <w:position w:val="17"/>
          <w:sz w:val="24"/>
          <w:szCs w:val="24"/>
        </w:rPr>
        <w:t>，沟净宽</w:t>
      </w:r>
      <w:r>
        <w:rPr>
          <w:rFonts w:ascii="宋体" w:hAnsi="宋体" w:eastAsia="宋体" w:cs="宋体"/>
          <w:spacing w:val="-51"/>
          <w:position w:val="17"/>
          <w:sz w:val="24"/>
          <w:szCs w:val="24"/>
        </w:rPr>
        <w:t xml:space="preserve"> </w:t>
      </w:r>
      <w:r>
        <w:rPr>
          <w:rFonts w:ascii="Times New Roman" w:hAnsi="Times New Roman" w:eastAsia="Times New Roman" w:cs="Times New Roman"/>
          <w:spacing w:val="-2"/>
          <w:position w:val="17"/>
          <w:sz w:val="24"/>
          <w:szCs w:val="24"/>
        </w:rPr>
        <w:t>0.4m</w:t>
      </w:r>
      <w:r>
        <w:rPr>
          <w:rFonts w:ascii="宋体" w:hAnsi="宋体" w:eastAsia="宋体" w:cs="宋体"/>
          <w:spacing w:val="-2"/>
          <w:position w:val="17"/>
          <w:sz w:val="24"/>
          <w:szCs w:val="24"/>
        </w:rPr>
        <w:t>，</w:t>
      </w:r>
    </w:p>
    <w:p>
      <w:pPr>
        <w:spacing w:line="220" w:lineRule="auto"/>
        <w:ind w:left="506"/>
        <w:rPr>
          <w:rFonts w:ascii="宋体" w:hAnsi="宋体" w:eastAsia="宋体" w:cs="宋体"/>
          <w:sz w:val="24"/>
          <w:szCs w:val="24"/>
        </w:rPr>
      </w:pPr>
      <w:r>
        <w:rPr>
          <w:rFonts w:ascii="宋体" w:hAnsi="宋体" w:eastAsia="宋体" w:cs="宋体"/>
          <w:spacing w:val="-3"/>
          <w:sz w:val="24"/>
          <w:szCs w:val="24"/>
        </w:rPr>
        <w:t>沟深</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0.4m</w:t>
      </w:r>
      <w:r>
        <w:rPr>
          <w:rFonts w:ascii="宋体" w:hAnsi="宋体" w:eastAsia="宋体" w:cs="宋体"/>
          <w:spacing w:val="-3"/>
          <w:sz w:val="24"/>
          <w:szCs w:val="24"/>
        </w:rPr>
        <w:t>，沟壁厚</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0.3m</w:t>
      </w:r>
      <w:r>
        <w:rPr>
          <w:rFonts w:ascii="宋体" w:hAnsi="宋体" w:eastAsia="宋体" w:cs="宋体"/>
          <w:spacing w:val="-3"/>
          <w:sz w:val="24"/>
          <w:szCs w:val="24"/>
        </w:rPr>
        <w:t>。</w:t>
      </w:r>
    </w:p>
    <w:p>
      <w:pPr>
        <w:spacing w:before="181" w:line="220" w:lineRule="auto"/>
        <w:ind w:left="987"/>
        <w:rPr>
          <w:rFonts w:ascii="宋体" w:hAnsi="宋体" w:eastAsia="宋体" w:cs="宋体"/>
          <w:sz w:val="24"/>
          <w:szCs w:val="24"/>
        </w:rPr>
      </w:pPr>
      <w:r>
        <w:rPr>
          <w:rFonts w:ascii="Times New Roman" w:hAnsi="Times New Roman" w:eastAsia="Times New Roman" w:cs="Times New Roman"/>
          <w:spacing w:val="-5"/>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、线外排水沟</w:t>
      </w:r>
    </w:p>
    <w:p>
      <w:pPr>
        <w:spacing w:before="180" w:line="468" w:lineRule="exact"/>
        <w:ind w:left="988"/>
        <w:rPr>
          <w:rFonts w:ascii="宋体" w:hAnsi="宋体" w:eastAsia="宋体" w:cs="宋体"/>
          <w:sz w:val="24"/>
          <w:szCs w:val="24"/>
        </w:rPr>
      </w:pPr>
      <w:r>
        <w:rPr>
          <w:rFonts w:ascii="宋体" w:hAnsi="宋体" w:eastAsia="宋体" w:cs="宋体"/>
          <w:spacing w:val="-7"/>
          <w:position w:val="17"/>
          <w:sz w:val="24"/>
          <w:szCs w:val="24"/>
        </w:rPr>
        <w:t>局部路段根据需要在线外设置</w:t>
      </w:r>
      <w:r>
        <w:rPr>
          <w:rFonts w:ascii="宋体" w:hAnsi="宋体" w:eastAsia="宋体" w:cs="宋体"/>
          <w:spacing w:val="-40"/>
          <w:position w:val="17"/>
          <w:sz w:val="24"/>
          <w:szCs w:val="24"/>
        </w:rPr>
        <w:t xml:space="preserve"> </w:t>
      </w:r>
      <w:r>
        <w:rPr>
          <w:rFonts w:ascii="Times New Roman" w:hAnsi="Times New Roman" w:eastAsia="Times New Roman" w:cs="Times New Roman"/>
          <w:spacing w:val="-7"/>
          <w:position w:val="17"/>
          <w:sz w:val="24"/>
          <w:szCs w:val="24"/>
        </w:rPr>
        <w:t xml:space="preserve">M7.5 </w:t>
      </w:r>
      <w:r>
        <w:rPr>
          <w:rFonts w:ascii="宋体" w:hAnsi="宋体" w:eastAsia="宋体" w:cs="宋体"/>
          <w:spacing w:val="-7"/>
          <w:position w:val="17"/>
          <w:sz w:val="24"/>
          <w:szCs w:val="24"/>
        </w:rPr>
        <w:t>浆砌片石矩形排水沟，</w:t>
      </w:r>
      <w:r>
        <w:rPr>
          <w:rFonts w:ascii="宋体" w:hAnsi="宋体" w:eastAsia="宋体" w:cs="宋体"/>
          <w:spacing w:val="85"/>
          <w:position w:val="17"/>
          <w:sz w:val="24"/>
          <w:szCs w:val="24"/>
        </w:rPr>
        <w:t xml:space="preserve"> </w:t>
      </w:r>
      <w:r>
        <w:rPr>
          <w:rFonts w:ascii="宋体" w:hAnsi="宋体" w:eastAsia="宋体" w:cs="宋体"/>
          <w:spacing w:val="-7"/>
          <w:position w:val="17"/>
          <w:sz w:val="24"/>
          <w:szCs w:val="24"/>
        </w:rPr>
        <w:t>以便将边沟、截</w:t>
      </w:r>
    </w:p>
    <w:p>
      <w:pPr>
        <w:spacing w:before="1" w:line="218" w:lineRule="auto"/>
        <w:ind w:left="509"/>
        <w:rPr>
          <w:rFonts w:ascii="宋体" w:hAnsi="宋体" w:eastAsia="宋体" w:cs="宋体"/>
          <w:sz w:val="24"/>
          <w:szCs w:val="24"/>
        </w:rPr>
      </w:pPr>
      <w:r>
        <w:rPr>
          <w:rFonts w:ascii="宋体" w:hAnsi="宋体" w:eastAsia="宋体" w:cs="宋体"/>
          <w:spacing w:val="-1"/>
          <w:sz w:val="24"/>
          <w:szCs w:val="24"/>
        </w:rPr>
        <w:t>水沟和路基附近低洼处汇集的水引向路基外排走。</w:t>
      </w:r>
    </w:p>
    <w:p>
      <w:pPr>
        <w:spacing w:before="181" w:line="468" w:lineRule="exact"/>
        <w:ind w:left="500"/>
        <w:rPr>
          <w:rFonts w:ascii="宋体" w:hAnsi="宋体" w:eastAsia="宋体" w:cs="宋体"/>
          <w:sz w:val="24"/>
          <w:szCs w:val="24"/>
        </w:rPr>
      </w:pPr>
      <w:r>
        <w:rPr>
          <w:rFonts w:ascii="Times New Roman" w:hAnsi="Times New Roman" w:eastAsia="Times New Roman" w:cs="Times New Roman"/>
          <w:b/>
          <w:bCs/>
          <w:position w:val="17"/>
          <w:sz w:val="24"/>
          <w:szCs w:val="24"/>
        </w:rPr>
        <w:t xml:space="preserve">3.2.2  </w:t>
      </w:r>
      <w:r>
        <w:rPr>
          <w:rFonts w:ascii="宋体" w:hAnsi="宋体" w:eastAsia="宋体" w:cs="宋体"/>
          <w:position w:val="17"/>
          <w:sz w:val="24"/>
          <w:szCs w:val="24"/>
          <w14:textOutline w14:w="4354" w14:cap="flat" w14:cmpd="sng">
            <w14:solidFill>
              <w14:srgbClr w14:val="000000"/>
            </w14:solidFill>
            <w14:prstDash w14:val="solid"/>
            <w14:miter w14:val="0"/>
          </w14:textOutline>
        </w:rPr>
        <w:t>路面工程</w:t>
      </w:r>
    </w:p>
    <w:p>
      <w:pPr>
        <w:spacing w:before="1" w:line="219" w:lineRule="auto"/>
        <w:ind w:left="500"/>
        <w:rPr>
          <w:rFonts w:ascii="宋体" w:hAnsi="宋体" w:eastAsia="宋体" w:cs="宋体"/>
          <w:sz w:val="24"/>
          <w:szCs w:val="24"/>
        </w:rPr>
      </w:pPr>
      <w:r>
        <w:fldChar w:fldCharType="begin"/>
      </w:r>
      <w:r>
        <w:instrText xml:space="preserve"> HYPERLINK "3.2.2.1" </w:instrText>
      </w:r>
      <w:r>
        <w:fldChar w:fldCharType="separate"/>
      </w:r>
      <w:r>
        <w:rPr>
          <w:rFonts w:ascii="Times New Roman" w:hAnsi="Times New Roman" w:eastAsia="Times New Roman" w:cs="Times New Roman"/>
          <w:b/>
          <w:bCs/>
          <w:sz w:val="24"/>
          <w:szCs w:val="24"/>
        </w:rPr>
        <w:t>3.2.2.1</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路面结构</w:t>
      </w:r>
    </w:p>
    <w:p>
      <w:pPr>
        <w:spacing w:before="181" w:line="360" w:lineRule="auto"/>
        <w:ind w:left="509" w:right="494" w:firstLine="478"/>
        <w:jc w:val="both"/>
        <w:rPr>
          <w:rFonts w:ascii="宋体" w:hAnsi="宋体" w:eastAsia="宋体" w:cs="宋体"/>
          <w:sz w:val="24"/>
          <w:szCs w:val="24"/>
        </w:rPr>
      </w:pPr>
      <w:r>
        <w:rPr>
          <w:rFonts w:ascii="宋体" w:hAnsi="宋体" w:eastAsia="宋体" w:cs="宋体"/>
          <w:spacing w:val="-4"/>
          <w:sz w:val="24"/>
          <w:szCs w:val="24"/>
        </w:rPr>
        <w:t>连接线道路采用</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20"/>
          <w:sz w:val="24"/>
          <w:szCs w:val="24"/>
        </w:rPr>
        <w:t xml:space="preserve"> </w:t>
      </w:r>
      <w:r>
        <w:rPr>
          <w:rFonts w:ascii="宋体" w:hAnsi="宋体" w:eastAsia="宋体" w:cs="宋体"/>
          <w:spacing w:val="-4"/>
          <w:sz w:val="24"/>
          <w:szCs w:val="24"/>
        </w:rPr>
        <w:t>厘米</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SMA-</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13</w:t>
      </w:r>
      <w:r>
        <w:rPr>
          <w:rFonts w:ascii="Times New Roman" w:hAnsi="Times New Roman" w:eastAsia="Times New Roman" w:cs="Times New Roman"/>
          <w:spacing w:val="25"/>
          <w:w w:val="101"/>
          <w:sz w:val="24"/>
          <w:szCs w:val="24"/>
        </w:rPr>
        <w:t xml:space="preserve"> </w:t>
      </w:r>
      <w:r>
        <w:rPr>
          <w:rFonts w:ascii="宋体" w:hAnsi="宋体" w:eastAsia="宋体" w:cs="宋体"/>
          <w:spacing w:val="-4"/>
          <w:sz w:val="24"/>
          <w:szCs w:val="24"/>
        </w:rPr>
        <w:t>改性沥青混凝土＋</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厘米</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SUP-20</w:t>
      </w:r>
      <w:r>
        <w:rPr>
          <w:rFonts w:ascii="Times New Roman" w:hAnsi="Times New Roman" w:eastAsia="Times New Roman" w:cs="Times New Roman"/>
          <w:spacing w:val="27"/>
          <w:w w:val="101"/>
          <w:sz w:val="24"/>
          <w:szCs w:val="24"/>
        </w:rPr>
        <w:t xml:space="preserve"> </w:t>
      </w:r>
      <w:r>
        <w:rPr>
          <w:rFonts w:ascii="宋体" w:hAnsi="宋体" w:eastAsia="宋体" w:cs="宋体"/>
          <w:spacing w:val="-4"/>
          <w:sz w:val="24"/>
          <w:szCs w:val="24"/>
        </w:rPr>
        <w:t>改性沥青</w:t>
      </w:r>
      <w:r>
        <w:rPr>
          <w:rFonts w:ascii="宋体" w:hAnsi="宋体" w:eastAsia="宋体" w:cs="宋体"/>
          <w:sz w:val="24"/>
          <w:szCs w:val="24"/>
        </w:rPr>
        <w:t xml:space="preserve"> </w:t>
      </w:r>
      <w:r>
        <w:rPr>
          <w:rFonts w:ascii="宋体" w:hAnsi="宋体" w:eastAsia="宋体" w:cs="宋体"/>
          <w:spacing w:val="-1"/>
          <w:sz w:val="24"/>
          <w:szCs w:val="24"/>
        </w:rPr>
        <w:t>混凝土，基层为</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20cm</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水泥稳定碎石，底基</w:t>
      </w:r>
      <w:r>
        <w:rPr>
          <w:rFonts w:ascii="宋体" w:hAnsi="宋体" w:eastAsia="宋体" w:cs="宋体"/>
          <w:spacing w:val="-2"/>
          <w:sz w:val="24"/>
          <w:szCs w:val="24"/>
        </w:rPr>
        <w:t>层为</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32cm</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水泥稳定碎石，路面总厚</w:t>
      </w:r>
    </w:p>
    <w:p>
      <w:pPr>
        <w:spacing w:line="219" w:lineRule="auto"/>
        <w:ind w:left="505"/>
        <w:rPr>
          <w:rFonts w:ascii="宋体" w:hAnsi="宋体" w:eastAsia="宋体" w:cs="宋体"/>
          <w:sz w:val="24"/>
          <w:szCs w:val="24"/>
        </w:rPr>
      </w:pPr>
      <w:r>
        <w:rPr>
          <w:rFonts w:ascii="宋体" w:hAnsi="宋体" w:eastAsia="宋体" w:cs="宋体"/>
          <w:spacing w:val="-5"/>
          <w:sz w:val="24"/>
          <w:szCs w:val="24"/>
        </w:rPr>
        <w:t>度</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62cm</w:t>
      </w:r>
      <w:r>
        <w:rPr>
          <w:rFonts w:ascii="宋体" w:hAnsi="宋体" w:eastAsia="宋体" w:cs="宋体"/>
          <w:spacing w:val="-5"/>
          <w:sz w:val="24"/>
          <w:szCs w:val="24"/>
        </w:rPr>
        <w:t xml:space="preserve">；挖方路段再增设 </w:t>
      </w:r>
      <w:r>
        <w:rPr>
          <w:rFonts w:ascii="Times New Roman" w:hAnsi="Times New Roman" w:eastAsia="Times New Roman" w:cs="Times New Roman"/>
          <w:spacing w:val="-5"/>
          <w:sz w:val="24"/>
          <w:szCs w:val="24"/>
        </w:rPr>
        <w:t>15cm</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级配碎石垫层。</w:t>
      </w:r>
    </w:p>
    <w:p>
      <w:pPr>
        <w:spacing w:before="180" w:line="220" w:lineRule="auto"/>
        <w:ind w:left="990"/>
        <w:rPr>
          <w:rFonts w:ascii="宋体" w:hAnsi="宋体" w:eastAsia="宋体" w:cs="宋体"/>
          <w:sz w:val="24"/>
          <w:szCs w:val="24"/>
        </w:rPr>
      </w:pPr>
      <w:r>
        <w:rPr>
          <w:rFonts w:ascii="宋体" w:hAnsi="宋体" w:eastAsia="宋体" w:cs="宋体"/>
          <w:spacing w:val="-2"/>
          <w:sz w:val="24"/>
          <w:szCs w:val="24"/>
        </w:rPr>
        <w:t>具体路面结构组合如下。</w:t>
      </w:r>
    </w:p>
    <w:p>
      <w:pPr>
        <w:spacing w:before="183" w:line="212" w:lineRule="auto"/>
        <w:ind w:left="2759"/>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3.2-3          </w:t>
      </w:r>
      <w:r>
        <w:rPr>
          <w:rFonts w:ascii="宋体" w:hAnsi="宋体" w:eastAsia="宋体" w:cs="宋体"/>
          <w:spacing w:val="-1"/>
          <w:sz w:val="24"/>
          <w:szCs w:val="24"/>
        </w:rPr>
        <w:t>连接线道路面结构组合</w:t>
      </w:r>
    </w:p>
    <w:tbl>
      <w:tblPr>
        <w:tblStyle w:val="5"/>
        <w:tblW w:w="9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8"/>
        <w:gridCol w:w="2119"/>
        <w:gridCol w:w="2008"/>
        <w:gridCol w:w="41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78" w:type="dxa"/>
            <w:vAlign w:val="top"/>
          </w:tcPr>
          <w:p>
            <w:pPr>
              <w:pStyle w:val="6"/>
              <w:spacing w:before="55" w:line="222" w:lineRule="auto"/>
              <w:ind w:left="283"/>
            </w:pPr>
            <w:r>
              <w:rPr>
                <w:spacing w:val="-2"/>
              </w:rPr>
              <w:t>序号</w:t>
            </w:r>
          </w:p>
        </w:tc>
        <w:tc>
          <w:tcPr>
            <w:tcW w:w="2119" w:type="dxa"/>
            <w:vAlign w:val="top"/>
          </w:tcPr>
          <w:p>
            <w:pPr>
              <w:pStyle w:val="6"/>
              <w:spacing w:before="55" w:line="221" w:lineRule="auto"/>
              <w:ind w:left="647"/>
            </w:pPr>
            <w:r>
              <w:rPr>
                <w:spacing w:val="-3"/>
              </w:rPr>
              <w:t>结构层次</w:t>
            </w:r>
          </w:p>
        </w:tc>
        <w:tc>
          <w:tcPr>
            <w:tcW w:w="2008" w:type="dxa"/>
            <w:vAlign w:val="top"/>
          </w:tcPr>
          <w:p>
            <w:pPr>
              <w:pStyle w:val="6"/>
              <w:spacing w:before="56" w:line="223" w:lineRule="auto"/>
              <w:ind w:left="466"/>
            </w:pPr>
            <w:r>
              <w:rPr>
                <w:spacing w:val="-2"/>
              </w:rPr>
              <w:t>厚度（</w:t>
            </w:r>
            <w:r>
              <w:rPr>
                <w:rFonts w:ascii="Times New Roman" w:hAnsi="Times New Roman" w:eastAsia="Times New Roman" w:cs="Times New Roman"/>
                <w:spacing w:val="-2"/>
              </w:rPr>
              <w:t>cm</w:t>
            </w:r>
            <w:r>
              <w:rPr>
                <w:spacing w:val="-2"/>
              </w:rPr>
              <w:t>）</w:t>
            </w:r>
          </w:p>
        </w:tc>
        <w:tc>
          <w:tcPr>
            <w:tcW w:w="4189" w:type="dxa"/>
            <w:vAlign w:val="top"/>
          </w:tcPr>
          <w:p>
            <w:pPr>
              <w:pStyle w:val="6"/>
              <w:spacing w:before="55" w:line="221" w:lineRule="auto"/>
              <w:ind w:left="1158"/>
            </w:pPr>
            <w:r>
              <w:rPr>
                <w:spacing w:val="-2"/>
              </w:rPr>
              <w:t>结构形式与混合类型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78" w:type="dxa"/>
            <w:vAlign w:val="top"/>
          </w:tcPr>
          <w:p>
            <w:pPr>
              <w:spacing w:before="91" w:line="187" w:lineRule="auto"/>
              <w:ind w:left="45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19" w:type="dxa"/>
            <w:vAlign w:val="top"/>
          </w:tcPr>
          <w:p>
            <w:pPr>
              <w:pStyle w:val="6"/>
              <w:spacing w:before="52" w:line="221" w:lineRule="auto"/>
              <w:ind w:left="750"/>
            </w:pPr>
            <w:r>
              <w:rPr>
                <w:spacing w:val="-2"/>
              </w:rPr>
              <w:t>上面层</w:t>
            </w:r>
          </w:p>
        </w:tc>
        <w:tc>
          <w:tcPr>
            <w:tcW w:w="2008" w:type="dxa"/>
            <w:vAlign w:val="top"/>
          </w:tcPr>
          <w:p>
            <w:pPr>
              <w:spacing w:before="91" w:line="187" w:lineRule="auto"/>
              <w:ind w:left="950"/>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4189" w:type="dxa"/>
            <w:vAlign w:val="top"/>
          </w:tcPr>
          <w:p>
            <w:pPr>
              <w:pStyle w:val="6"/>
              <w:spacing w:before="52" w:line="220" w:lineRule="auto"/>
              <w:ind w:left="1077"/>
              <w:rPr>
                <w:rFonts w:ascii="Times New Roman" w:hAnsi="Times New Roman" w:eastAsia="Times New Roman" w:cs="Times New Roman"/>
              </w:rPr>
            </w:pPr>
            <w:r>
              <w:rPr>
                <w:rFonts w:ascii="Times New Roman" w:hAnsi="Times New Roman" w:eastAsia="Times New Roman" w:cs="Times New Roman"/>
                <w:spacing w:val="-4"/>
              </w:rPr>
              <w:t>SBS</w:t>
            </w:r>
            <w:r>
              <w:rPr>
                <w:rFonts w:ascii="Times New Roman" w:hAnsi="Times New Roman" w:eastAsia="Times New Roman" w:cs="Times New Roman"/>
                <w:spacing w:val="15"/>
              </w:rPr>
              <w:t xml:space="preserve"> </w:t>
            </w:r>
            <w:r>
              <w:rPr>
                <w:spacing w:val="-4"/>
              </w:rPr>
              <w:t>改性沥青</w:t>
            </w:r>
            <w:r>
              <w:rPr>
                <w:spacing w:val="-39"/>
              </w:rPr>
              <w:t xml:space="preserve"> </w:t>
            </w:r>
            <w:r>
              <w:rPr>
                <w:rFonts w:ascii="Times New Roman" w:hAnsi="Times New Roman" w:eastAsia="Times New Roman" w:cs="Times New Roman"/>
                <w:spacing w:val="-4"/>
              </w:rPr>
              <w:t>SMA-</w:t>
            </w:r>
            <w:r>
              <w:rPr>
                <w:rFonts w:ascii="Times New Roman" w:hAnsi="Times New Roman" w:eastAsia="Times New Roman" w:cs="Times New Roman"/>
                <w:spacing w:val="-28"/>
              </w:rPr>
              <w:t xml:space="preserve"> </w:t>
            </w:r>
            <w:r>
              <w:rPr>
                <w:rFonts w:ascii="Times New Roman" w:hAnsi="Times New Roman" w:eastAsia="Times New Roman" w:cs="Times New Roman"/>
                <w:spacing w:val="-4"/>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78" w:type="dxa"/>
            <w:vAlign w:val="top"/>
          </w:tcPr>
          <w:p>
            <w:pPr>
              <w:spacing w:before="91" w:line="187" w:lineRule="auto"/>
              <w:ind w:left="43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19" w:type="dxa"/>
            <w:vAlign w:val="top"/>
          </w:tcPr>
          <w:p>
            <w:pPr>
              <w:pStyle w:val="6"/>
              <w:spacing w:before="52" w:line="221" w:lineRule="auto"/>
              <w:ind w:left="754"/>
            </w:pPr>
            <w:r>
              <w:rPr>
                <w:spacing w:val="-3"/>
              </w:rPr>
              <w:t>下面层</w:t>
            </w:r>
          </w:p>
        </w:tc>
        <w:tc>
          <w:tcPr>
            <w:tcW w:w="2008" w:type="dxa"/>
            <w:vAlign w:val="top"/>
          </w:tcPr>
          <w:p>
            <w:pPr>
              <w:spacing w:before="91" w:line="187" w:lineRule="auto"/>
              <w:ind w:left="956"/>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4189" w:type="dxa"/>
            <w:vAlign w:val="top"/>
          </w:tcPr>
          <w:p>
            <w:pPr>
              <w:pStyle w:val="6"/>
              <w:spacing w:before="53" w:line="220" w:lineRule="auto"/>
              <w:ind w:left="1110"/>
              <w:rPr>
                <w:rFonts w:ascii="Times New Roman" w:hAnsi="Times New Roman" w:eastAsia="Times New Roman" w:cs="Times New Roman"/>
              </w:rPr>
            </w:pPr>
            <w:r>
              <w:rPr>
                <w:rFonts w:ascii="Times New Roman" w:hAnsi="Times New Roman" w:eastAsia="Times New Roman" w:cs="Times New Roman"/>
                <w:spacing w:val="-3"/>
              </w:rPr>
              <w:t>SBS</w:t>
            </w:r>
            <w:r>
              <w:rPr>
                <w:rFonts w:ascii="Times New Roman" w:hAnsi="Times New Roman" w:eastAsia="Times New Roman" w:cs="Times New Roman"/>
                <w:spacing w:val="14"/>
                <w:w w:val="101"/>
              </w:rPr>
              <w:t xml:space="preserve"> </w:t>
            </w:r>
            <w:r>
              <w:rPr>
                <w:spacing w:val="-3"/>
              </w:rPr>
              <w:t>改性沥青</w:t>
            </w:r>
            <w:r>
              <w:rPr>
                <w:spacing w:val="-39"/>
              </w:rPr>
              <w:t xml:space="preserve"> </w:t>
            </w:r>
            <w:r>
              <w:rPr>
                <w:rFonts w:ascii="Times New Roman" w:hAnsi="Times New Roman" w:eastAsia="Times New Roman" w:cs="Times New Roman"/>
                <w:spacing w:val="-3"/>
              </w:rPr>
              <w:t>SUP-20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78" w:type="dxa"/>
            <w:vAlign w:val="top"/>
          </w:tcPr>
          <w:p>
            <w:pPr>
              <w:spacing w:before="92" w:line="187" w:lineRule="auto"/>
              <w:ind w:left="440"/>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19" w:type="dxa"/>
            <w:vAlign w:val="top"/>
          </w:tcPr>
          <w:p>
            <w:pPr>
              <w:pStyle w:val="6"/>
              <w:spacing w:before="53" w:line="222" w:lineRule="auto"/>
              <w:ind w:left="486"/>
            </w:pPr>
            <w:r>
              <w:rPr>
                <w:spacing w:val="-2"/>
              </w:rPr>
              <w:t>下封层</w:t>
            </w:r>
            <w:r>
              <w:rPr>
                <w:rFonts w:ascii="Times New Roman" w:hAnsi="Times New Roman" w:eastAsia="Times New Roman" w:cs="Times New Roman"/>
                <w:spacing w:val="-2"/>
              </w:rPr>
              <w:t>+</w:t>
            </w:r>
            <w:r>
              <w:rPr>
                <w:spacing w:val="-2"/>
              </w:rPr>
              <w:t>透层</w:t>
            </w:r>
          </w:p>
        </w:tc>
        <w:tc>
          <w:tcPr>
            <w:tcW w:w="2008" w:type="dxa"/>
            <w:vAlign w:val="top"/>
          </w:tcPr>
          <w:p>
            <w:pPr>
              <w:spacing w:before="88" w:line="216" w:lineRule="auto"/>
              <w:ind w:left="97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89" w:type="dxa"/>
            <w:vAlign w:val="top"/>
          </w:tcPr>
          <w:p>
            <w:pPr>
              <w:pStyle w:val="6"/>
              <w:spacing w:before="53" w:line="220" w:lineRule="auto"/>
              <w:ind w:left="1678"/>
            </w:pPr>
            <w:r>
              <w:rPr>
                <w:spacing w:val="-1"/>
              </w:rPr>
              <w:t>橡胶沥青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78" w:type="dxa"/>
            <w:vAlign w:val="top"/>
          </w:tcPr>
          <w:p>
            <w:pPr>
              <w:spacing w:before="93" w:line="187" w:lineRule="auto"/>
              <w:ind w:left="43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119" w:type="dxa"/>
            <w:vAlign w:val="top"/>
          </w:tcPr>
          <w:p>
            <w:pPr>
              <w:pStyle w:val="6"/>
              <w:spacing w:before="54" w:line="221" w:lineRule="auto"/>
              <w:ind w:left="853"/>
            </w:pPr>
            <w:r>
              <w:rPr>
                <w:spacing w:val="-2"/>
              </w:rPr>
              <w:t>基层</w:t>
            </w:r>
          </w:p>
        </w:tc>
        <w:tc>
          <w:tcPr>
            <w:tcW w:w="2008" w:type="dxa"/>
            <w:vAlign w:val="top"/>
          </w:tcPr>
          <w:p>
            <w:pPr>
              <w:spacing w:before="93" w:line="187" w:lineRule="auto"/>
              <w:ind w:left="8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4189" w:type="dxa"/>
            <w:vAlign w:val="top"/>
          </w:tcPr>
          <w:p>
            <w:pPr>
              <w:pStyle w:val="6"/>
              <w:spacing w:before="54" w:line="221" w:lineRule="auto"/>
              <w:ind w:left="839"/>
            </w:pPr>
            <w:r>
              <w:rPr>
                <w:spacing w:val="-1"/>
              </w:rPr>
              <w:t>水泥稳定碎石（振动成型）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78" w:type="dxa"/>
            <w:vAlign w:val="top"/>
          </w:tcPr>
          <w:p>
            <w:pPr>
              <w:spacing w:before="99" w:line="184" w:lineRule="auto"/>
              <w:ind w:left="44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119" w:type="dxa"/>
            <w:vAlign w:val="top"/>
          </w:tcPr>
          <w:p>
            <w:pPr>
              <w:pStyle w:val="6"/>
              <w:spacing w:before="57" w:line="221" w:lineRule="auto"/>
              <w:ind w:left="747"/>
            </w:pPr>
            <w:r>
              <w:rPr>
                <w:spacing w:val="-1"/>
              </w:rPr>
              <w:t>底基层</w:t>
            </w:r>
          </w:p>
        </w:tc>
        <w:tc>
          <w:tcPr>
            <w:tcW w:w="2008" w:type="dxa"/>
            <w:vAlign w:val="top"/>
          </w:tcPr>
          <w:p>
            <w:pPr>
              <w:spacing w:before="96" w:line="187" w:lineRule="auto"/>
              <w:ind w:left="9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4189" w:type="dxa"/>
            <w:vAlign w:val="top"/>
          </w:tcPr>
          <w:p>
            <w:pPr>
              <w:pStyle w:val="6"/>
              <w:spacing w:before="57" w:line="221" w:lineRule="auto"/>
              <w:ind w:left="839"/>
            </w:pPr>
            <w:r>
              <w:rPr>
                <w:spacing w:val="-1"/>
              </w:rPr>
              <w:t>水泥稳定碎石（振动成型）</w:t>
            </w:r>
          </w:p>
        </w:tc>
      </w:tr>
    </w:tbl>
    <w:p>
      <w:pPr>
        <w:pStyle w:val="2"/>
        <w:spacing w:line="268" w:lineRule="auto"/>
      </w:pPr>
    </w:p>
    <w:p>
      <w:pPr>
        <w:spacing w:before="78" w:line="212" w:lineRule="auto"/>
        <w:ind w:left="266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3.2-4        </w:t>
      </w:r>
      <w:r>
        <w:rPr>
          <w:rFonts w:ascii="宋体" w:hAnsi="宋体" w:eastAsia="宋体" w:cs="宋体"/>
          <w:spacing w:val="-1"/>
          <w:sz w:val="24"/>
          <w:szCs w:val="24"/>
        </w:rPr>
        <w:t>桥面及隧道沥青铺装结构组合</w:t>
      </w:r>
    </w:p>
    <w:tbl>
      <w:tblPr>
        <w:tblStyle w:val="5"/>
        <w:tblW w:w="9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2"/>
        <w:gridCol w:w="2145"/>
        <w:gridCol w:w="2221"/>
        <w:gridCol w:w="3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082" w:type="dxa"/>
            <w:vAlign w:val="top"/>
          </w:tcPr>
          <w:p>
            <w:pPr>
              <w:pStyle w:val="6"/>
              <w:spacing w:before="55" w:line="222" w:lineRule="auto"/>
              <w:ind w:left="335"/>
            </w:pPr>
            <w:r>
              <w:rPr>
                <w:spacing w:val="-2"/>
              </w:rPr>
              <w:t>序号</w:t>
            </w:r>
          </w:p>
        </w:tc>
        <w:tc>
          <w:tcPr>
            <w:tcW w:w="2145" w:type="dxa"/>
            <w:vAlign w:val="top"/>
          </w:tcPr>
          <w:p>
            <w:pPr>
              <w:pStyle w:val="6"/>
              <w:spacing w:before="55" w:line="221" w:lineRule="auto"/>
              <w:ind w:left="659"/>
            </w:pPr>
            <w:r>
              <w:rPr>
                <w:spacing w:val="-3"/>
              </w:rPr>
              <w:t>结构层次</w:t>
            </w:r>
          </w:p>
        </w:tc>
        <w:tc>
          <w:tcPr>
            <w:tcW w:w="2221" w:type="dxa"/>
            <w:vAlign w:val="top"/>
          </w:tcPr>
          <w:p>
            <w:pPr>
              <w:pStyle w:val="6"/>
              <w:spacing w:before="56" w:line="223" w:lineRule="auto"/>
              <w:ind w:left="569"/>
            </w:pPr>
            <w:r>
              <w:rPr>
                <w:spacing w:val="-2"/>
              </w:rPr>
              <w:t>厚度（</w:t>
            </w:r>
            <w:r>
              <w:rPr>
                <w:rFonts w:ascii="Times New Roman" w:hAnsi="Times New Roman" w:eastAsia="Times New Roman" w:cs="Times New Roman"/>
                <w:spacing w:val="-2"/>
              </w:rPr>
              <w:t>cm</w:t>
            </w:r>
            <w:r>
              <w:rPr>
                <w:spacing w:val="-2"/>
              </w:rPr>
              <w:t>）</w:t>
            </w:r>
          </w:p>
        </w:tc>
        <w:tc>
          <w:tcPr>
            <w:tcW w:w="3846" w:type="dxa"/>
            <w:vAlign w:val="top"/>
          </w:tcPr>
          <w:p>
            <w:pPr>
              <w:pStyle w:val="6"/>
              <w:spacing w:before="55" w:line="221" w:lineRule="auto"/>
              <w:ind w:left="988"/>
            </w:pPr>
            <w:r>
              <w:rPr>
                <w:spacing w:val="-2"/>
              </w:rPr>
              <w:t>结构形式与混合类型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82" w:type="dxa"/>
            <w:vAlign w:val="top"/>
          </w:tcPr>
          <w:p>
            <w:pPr>
              <w:spacing w:before="91" w:line="187" w:lineRule="auto"/>
              <w:ind w:left="50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45" w:type="dxa"/>
            <w:vAlign w:val="top"/>
          </w:tcPr>
          <w:p>
            <w:pPr>
              <w:pStyle w:val="6"/>
              <w:spacing w:before="52" w:line="221" w:lineRule="auto"/>
              <w:ind w:left="761"/>
            </w:pPr>
            <w:r>
              <w:rPr>
                <w:spacing w:val="-2"/>
              </w:rPr>
              <w:t>上面层</w:t>
            </w:r>
          </w:p>
        </w:tc>
        <w:tc>
          <w:tcPr>
            <w:tcW w:w="2221" w:type="dxa"/>
            <w:vAlign w:val="top"/>
          </w:tcPr>
          <w:p>
            <w:pPr>
              <w:spacing w:before="91" w:line="187" w:lineRule="auto"/>
              <w:ind w:left="105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846" w:type="dxa"/>
            <w:vAlign w:val="top"/>
          </w:tcPr>
          <w:p>
            <w:pPr>
              <w:pStyle w:val="6"/>
              <w:spacing w:before="52" w:line="220" w:lineRule="auto"/>
              <w:ind w:left="906"/>
              <w:rPr>
                <w:rFonts w:ascii="Times New Roman" w:hAnsi="Times New Roman" w:eastAsia="Times New Roman" w:cs="Times New Roman"/>
              </w:rPr>
            </w:pPr>
            <w:r>
              <w:rPr>
                <w:rFonts w:ascii="Times New Roman" w:hAnsi="Times New Roman" w:eastAsia="Times New Roman" w:cs="Times New Roman"/>
                <w:spacing w:val="-4"/>
              </w:rPr>
              <w:t>SBS</w:t>
            </w:r>
            <w:r>
              <w:rPr>
                <w:rFonts w:ascii="Times New Roman" w:hAnsi="Times New Roman" w:eastAsia="Times New Roman" w:cs="Times New Roman"/>
                <w:spacing w:val="15"/>
              </w:rPr>
              <w:t xml:space="preserve"> </w:t>
            </w:r>
            <w:r>
              <w:rPr>
                <w:spacing w:val="-4"/>
              </w:rPr>
              <w:t>改性沥青</w:t>
            </w:r>
            <w:r>
              <w:rPr>
                <w:spacing w:val="-39"/>
              </w:rPr>
              <w:t xml:space="preserve"> </w:t>
            </w:r>
            <w:r>
              <w:rPr>
                <w:rFonts w:ascii="Times New Roman" w:hAnsi="Times New Roman" w:eastAsia="Times New Roman" w:cs="Times New Roman"/>
                <w:spacing w:val="-4"/>
              </w:rPr>
              <w:t>SMA-</w:t>
            </w:r>
            <w:r>
              <w:rPr>
                <w:rFonts w:ascii="Times New Roman" w:hAnsi="Times New Roman" w:eastAsia="Times New Roman" w:cs="Times New Roman"/>
                <w:spacing w:val="-28"/>
              </w:rPr>
              <w:t xml:space="preserve"> </w:t>
            </w:r>
            <w:r>
              <w:rPr>
                <w:rFonts w:ascii="Times New Roman" w:hAnsi="Times New Roman" w:eastAsia="Times New Roman" w:cs="Times New Roman"/>
                <w:spacing w:val="-4"/>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82" w:type="dxa"/>
            <w:vAlign w:val="top"/>
          </w:tcPr>
          <w:p>
            <w:pPr>
              <w:spacing w:before="92" w:line="187" w:lineRule="auto"/>
              <w:ind w:left="48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45" w:type="dxa"/>
            <w:vAlign w:val="top"/>
          </w:tcPr>
          <w:p>
            <w:pPr>
              <w:pStyle w:val="6"/>
              <w:spacing w:before="53" w:line="221" w:lineRule="auto"/>
              <w:ind w:left="766"/>
            </w:pPr>
            <w:r>
              <w:rPr>
                <w:spacing w:val="-3"/>
              </w:rPr>
              <w:t>下面层</w:t>
            </w:r>
          </w:p>
        </w:tc>
        <w:tc>
          <w:tcPr>
            <w:tcW w:w="2221" w:type="dxa"/>
            <w:vAlign w:val="top"/>
          </w:tcPr>
          <w:p>
            <w:pPr>
              <w:spacing w:before="92" w:line="187" w:lineRule="auto"/>
              <w:ind w:left="1061"/>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846" w:type="dxa"/>
            <w:vAlign w:val="top"/>
          </w:tcPr>
          <w:p>
            <w:pPr>
              <w:pStyle w:val="6"/>
              <w:spacing w:before="54" w:line="220" w:lineRule="auto"/>
              <w:ind w:left="940"/>
              <w:rPr>
                <w:rFonts w:ascii="Times New Roman" w:hAnsi="Times New Roman" w:eastAsia="Times New Roman" w:cs="Times New Roman"/>
              </w:rPr>
            </w:pPr>
            <w:r>
              <w:rPr>
                <w:rFonts w:ascii="Times New Roman" w:hAnsi="Times New Roman" w:eastAsia="Times New Roman" w:cs="Times New Roman"/>
                <w:spacing w:val="-3"/>
              </w:rPr>
              <w:t>SBS</w:t>
            </w:r>
            <w:r>
              <w:rPr>
                <w:rFonts w:ascii="Times New Roman" w:hAnsi="Times New Roman" w:eastAsia="Times New Roman" w:cs="Times New Roman"/>
                <w:spacing w:val="14"/>
                <w:w w:val="101"/>
              </w:rPr>
              <w:t xml:space="preserve"> </w:t>
            </w:r>
            <w:r>
              <w:rPr>
                <w:spacing w:val="-3"/>
              </w:rPr>
              <w:t>改性沥青</w:t>
            </w:r>
            <w:r>
              <w:rPr>
                <w:spacing w:val="-39"/>
              </w:rPr>
              <w:t xml:space="preserve"> </w:t>
            </w:r>
            <w:r>
              <w:rPr>
                <w:rFonts w:ascii="Times New Roman" w:hAnsi="Times New Roman" w:eastAsia="Times New Roman" w:cs="Times New Roman"/>
                <w:spacing w:val="-3"/>
              </w:rPr>
              <w:t>SUP-20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082" w:type="dxa"/>
            <w:vAlign w:val="top"/>
          </w:tcPr>
          <w:p>
            <w:pPr>
              <w:spacing w:before="94" w:line="187" w:lineRule="auto"/>
              <w:ind w:left="49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45" w:type="dxa"/>
            <w:vAlign w:val="top"/>
          </w:tcPr>
          <w:p>
            <w:pPr>
              <w:pStyle w:val="6"/>
              <w:spacing w:before="55" w:line="221" w:lineRule="auto"/>
              <w:ind w:left="561"/>
            </w:pPr>
            <w:r>
              <w:rPr>
                <w:spacing w:val="-4"/>
              </w:rPr>
              <w:t>防水粘结层</w:t>
            </w:r>
          </w:p>
        </w:tc>
        <w:tc>
          <w:tcPr>
            <w:tcW w:w="2221" w:type="dxa"/>
            <w:vAlign w:val="top"/>
          </w:tcPr>
          <w:p>
            <w:pPr>
              <w:spacing w:before="90" w:line="221" w:lineRule="auto"/>
              <w:ind w:left="107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6" w:type="dxa"/>
            <w:vAlign w:val="top"/>
          </w:tcPr>
          <w:p>
            <w:pPr>
              <w:pStyle w:val="6"/>
              <w:spacing w:before="55" w:line="220" w:lineRule="auto"/>
              <w:ind w:left="982"/>
            </w:pPr>
            <w:r>
              <w:rPr>
                <w:spacing w:val="-1"/>
              </w:rPr>
              <w:t>橡胶沥青防水粘结层</w:t>
            </w:r>
          </w:p>
        </w:tc>
      </w:tr>
    </w:tbl>
    <w:p>
      <w:pPr>
        <w:pStyle w:val="2"/>
        <w:spacing w:line="267" w:lineRule="auto"/>
      </w:pPr>
    </w:p>
    <w:p>
      <w:pPr>
        <w:spacing w:before="79" w:line="220" w:lineRule="auto"/>
        <w:ind w:left="500"/>
        <w:outlineLvl w:val="0"/>
        <w:rPr>
          <w:rFonts w:ascii="宋体" w:hAnsi="宋体" w:eastAsia="宋体" w:cs="宋体"/>
          <w:sz w:val="24"/>
          <w:szCs w:val="24"/>
        </w:rPr>
      </w:pPr>
      <w:r>
        <w:fldChar w:fldCharType="begin"/>
      </w:r>
      <w:r>
        <w:instrText xml:space="preserve"> HYPERLINK "3.2.2.2" </w:instrText>
      </w:r>
      <w:r>
        <w:fldChar w:fldCharType="separate"/>
      </w:r>
      <w:r>
        <w:rPr>
          <w:rFonts w:ascii="Times New Roman" w:hAnsi="Times New Roman" w:eastAsia="Times New Roman" w:cs="Times New Roman"/>
          <w:b/>
          <w:bCs/>
          <w:sz w:val="24"/>
          <w:szCs w:val="24"/>
        </w:rPr>
        <w:t>3.2.2.2</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路面排水</w:t>
      </w:r>
    </w:p>
    <w:p>
      <w:pPr>
        <w:spacing w:before="180" w:line="220" w:lineRule="auto"/>
        <w:ind w:left="1004"/>
        <w:rPr>
          <w:rFonts w:ascii="宋体" w:hAnsi="宋体" w:eastAsia="宋体" w:cs="宋体"/>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28"/>
          <w:sz w:val="24"/>
          <w:szCs w:val="24"/>
        </w:rPr>
        <w:t xml:space="preserve"> </w:t>
      </w:r>
      <w:r>
        <w:rPr>
          <w:rFonts w:ascii="宋体" w:hAnsi="宋体" w:eastAsia="宋体" w:cs="宋体"/>
          <w:spacing w:val="-6"/>
          <w:sz w:val="24"/>
          <w:szCs w:val="24"/>
        </w:rPr>
        <w:t>、路面表面排水设计</w:t>
      </w:r>
    </w:p>
    <w:p>
      <w:pPr>
        <w:spacing w:line="220" w:lineRule="auto"/>
        <w:rPr>
          <w:rFonts w:ascii="宋体" w:hAnsi="宋体" w:eastAsia="宋体" w:cs="宋体"/>
          <w:sz w:val="24"/>
          <w:szCs w:val="24"/>
        </w:rPr>
        <w:sectPr>
          <w:headerReference r:id="rId115" w:type="default"/>
          <w:footerReference r:id="rId116" w:type="default"/>
          <w:pgSz w:w="11907" w:h="16839"/>
          <w:pgMar w:top="1118" w:right="1303" w:bottom="1182" w:left="1303" w:header="879" w:footer="1024" w:gutter="0"/>
          <w:cols w:space="720" w:num="1"/>
        </w:sectPr>
      </w:pPr>
    </w:p>
    <w:p>
      <w:pPr>
        <w:pStyle w:val="2"/>
        <w:spacing w:line="278" w:lineRule="auto"/>
      </w:pPr>
    </w:p>
    <w:p>
      <w:pPr>
        <w:spacing w:before="78" w:line="219" w:lineRule="auto"/>
        <w:ind w:left="931"/>
        <w:rPr>
          <w:rFonts w:ascii="宋体" w:hAnsi="宋体" w:eastAsia="宋体" w:cs="宋体"/>
          <w:sz w:val="24"/>
          <w:szCs w:val="24"/>
        </w:rPr>
      </w:pPr>
      <w:r>
        <w:rPr>
          <w:rFonts w:ascii="宋体" w:hAnsi="宋体" w:eastAsia="宋体" w:cs="宋体"/>
          <w:spacing w:val="-2"/>
          <w:sz w:val="24"/>
          <w:szCs w:val="24"/>
        </w:rPr>
        <w:t>本工程全线进行边坡防护，路面排水方式均采用漫流式。</w:t>
      </w:r>
    </w:p>
    <w:p>
      <w:pPr>
        <w:spacing w:before="183" w:line="466" w:lineRule="exact"/>
        <w:ind w:left="934"/>
        <w:rPr>
          <w:rFonts w:ascii="宋体" w:hAnsi="宋体" w:eastAsia="宋体" w:cs="宋体"/>
          <w:sz w:val="24"/>
          <w:szCs w:val="24"/>
        </w:rPr>
      </w:pPr>
      <w:r>
        <w:rPr>
          <w:rFonts w:ascii="宋体" w:hAnsi="宋体" w:eastAsia="宋体" w:cs="宋体"/>
          <w:spacing w:val="-7"/>
          <w:position w:val="17"/>
          <w:sz w:val="24"/>
          <w:szCs w:val="24"/>
        </w:rPr>
        <w:t>漫流式即不设挡水缘石， 土路肩比路面降低</w:t>
      </w:r>
      <w:r>
        <w:rPr>
          <w:rFonts w:ascii="宋体" w:hAnsi="宋体" w:eastAsia="宋体" w:cs="宋体"/>
          <w:spacing w:val="-51"/>
          <w:position w:val="17"/>
          <w:sz w:val="24"/>
          <w:szCs w:val="24"/>
        </w:rPr>
        <w:t xml:space="preserve"> </w:t>
      </w:r>
      <w:r>
        <w:rPr>
          <w:rFonts w:ascii="Times New Roman" w:hAnsi="Times New Roman" w:eastAsia="Times New Roman" w:cs="Times New Roman"/>
          <w:spacing w:val="-7"/>
          <w:position w:val="17"/>
          <w:sz w:val="24"/>
          <w:szCs w:val="24"/>
        </w:rPr>
        <w:t>4cm</w:t>
      </w:r>
      <w:r>
        <w:rPr>
          <w:rFonts w:ascii="宋体" w:hAnsi="宋体" w:eastAsia="宋体" w:cs="宋体"/>
          <w:spacing w:val="-7"/>
          <w:position w:val="17"/>
          <w:sz w:val="24"/>
          <w:szCs w:val="24"/>
        </w:rPr>
        <w:t>，并采用植草皮绿化防护加</w:t>
      </w:r>
    </w:p>
    <w:p>
      <w:pPr>
        <w:spacing w:before="1" w:line="215" w:lineRule="auto"/>
        <w:ind w:left="471"/>
        <w:rPr>
          <w:rFonts w:ascii="宋体" w:hAnsi="宋体" w:eastAsia="宋体" w:cs="宋体"/>
          <w:sz w:val="24"/>
          <w:szCs w:val="24"/>
        </w:rPr>
      </w:pPr>
      <w:r>
        <w:rPr>
          <w:rFonts w:ascii="宋体" w:hAnsi="宋体" w:eastAsia="宋体" w:cs="宋体"/>
          <w:spacing w:val="-2"/>
          <w:sz w:val="24"/>
          <w:szCs w:val="24"/>
        </w:rPr>
        <w:t>固处理，路面水迅速沿横向自由漫流，避免路面积水，保证行车通</w:t>
      </w:r>
      <w:r>
        <w:rPr>
          <w:rFonts w:ascii="宋体" w:hAnsi="宋体" w:eastAsia="宋体" w:cs="宋体"/>
          <w:spacing w:val="-3"/>
          <w:sz w:val="24"/>
          <w:szCs w:val="24"/>
        </w:rPr>
        <w:t>畅。</w:t>
      </w:r>
    </w:p>
    <w:p>
      <w:pPr>
        <w:spacing w:before="187" w:line="359" w:lineRule="auto"/>
        <w:ind w:left="450" w:right="440" w:firstLine="478"/>
        <w:rPr>
          <w:rFonts w:ascii="宋体" w:hAnsi="宋体" w:eastAsia="宋体" w:cs="宋体"/>
          <w:sz w:val="24"/>
          <w:szCs w:val="24"/>
        </w:rPr>
      </w:pPr>
      <w:r>
        <w:rPr>
          <w:rFonts w:ascii="宋体" w:hAnsi="宋体" w:eastAsia="宋体" w:cs="宋体"/>
          <w:spacing w:val="4"/>
          <w:sz w:val="24"/>
          <w:szCs w:val="24"/>
        </w:rPr>
        <w:t>对于超高路段，超高侧路面水由中央分隔带内侧的纵向流水槽汇集于集水</w:t>
      </w:r>
      <w:r>
        <w:rPr>
          <w:rFonts w:ascii="宋体" w:hAnsi="宋体" w:eastAsia="宋体" w:cs="宋体"/>
          <w:spacing w:val="11"/>
          <w:sz w:val="24"/>
          <w:szCs w:val="24"/>
        </w:rPr>
        <w:t xml:space="preserve"> </w:t>
      </w:r>
      <w:r>
        <w:rPr>
          <w:rFonts w:ascii="宋体" w:hAnsi="宋体" w:eastAsia="宋体" w:cs="宋体"/>
          <w:spacing w:val="-5"/>
          <w:sz w:val="24"/>
          <w:szCs w:val="24"/>
        </w:rPr>
        <w:t>井，</w:t>
      </w:r>
      <w:r>
        <w:rPr>
          <w:rFonts w:ascii="宋体" w:hAnsi="宋体" w:eastAsia="宋体" w:cs="宋体"/>
          <w:spacing w:val="-63"/>
          <w:sz w:val="24"/>
          <w:szCs w:val="24"/>
        </w:rPr>
        <w:t xml:space="preserve"> </w:t>
      </w:r>
      <w:r>
        <w:rPr>
          <w:rFonts w:ascii="宋体" w:hAnsi="宋体" w:eastAsia="宋体" w:cs="宋体"/>
          <w:spacing w:val="-5"/>
          <w:sz w:val="24"/>
          <w:szCs w:val="24"/>
        </w:rPr>
        <w:t>再通过横向排水管排出路基外。集水井设置间距为</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45~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100m</w:t>
      </w:r>
      <w:r>
        <w:rPr>
          <w:rFonts w:ascii="宋体" w:hAnsi="宋体" w:eastAsia="宋体" w:cs="宋体"/>
          <w:spacing w:val="-6"/>
          <w:sz w:val="24"/>
          <w:szCs w:val="24"/>
        </w:rPr>
        <w:t>，凹形竖曲线底</w:t>
      </w:r>
    </w:p>
    <w:p>
      <w:pPr>
        <w:spacing w:line="219" w:lineRule="auto"/>
        <w:ind w:left="453"/>
        <w:rPr>
          <w:rFonts w:ascii="宋体" w:hAnsi="宋体" w:eastAsia="宋体" w:cs="宋体"/>
          <w:sz w:val="24"/>
          <w:szCs w:val="24"/>
        </w:rPr>
      </w:pPr>
      <w:r>
        <w:rPr>
          <w:rFonts w:ascii="宋体" w:hAnsi="宋体" w:eastAsia="宋体" w:cs="宋体"/>
          <w:spacing w:val="-6"/>
          <w:sz w:val="24"/>
          <w:szCs w:val="24"/>
        </w:rPr>
        <w:t>部设置有集水井。</w:t>
      </w:r>
    </w:p>
    <w:p>
      <w:pPr>
        <w:spacing w:before="179" w:line="220" w:lineRule="auto"/>
        <w:ind w:left="926"/>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、路面内部排水设计</w:t>
      </w:r>
    </w:p>
    <w:p>
      <w:pPr>
        <w:spacing w:before="184" w:line="359" w:lineRule="auto"/>
        <w:ind w:left="451" w:right="443" w:firstLine="48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）路面结构边缘排水系统：</w:t>
      </w:r>
      <w:r>
        <w:rPr>
          <w:rFonts w:ascii="宋体" w:hAnsi="宋体" w:eastAsia="宋体" w:cs="宋体"/>
          <w:spacing w:val="34"/>
          <w:sz w:val="24"/>
          <w:szCs w:val="24"/>
        </w:rPr>
        <w:t xml:space="preserve"> </w:t>
      </w:r>
      <w:r>
        <w:rPr>
          <w:rFonts w:ascii="宋体" w:hAnsi="宋体" w:eastAsia="宋体" w:cs="宋体"/>
          <w:spacing w:val="-5"/>
          <w:sz w:val="24"/>
          <w:szCs w:val="24"/>
        </w:rPr>
        <w:t>正常边坡路段，采用以排为主的方式，即在</w:t>
      </w:r>
      <w:r>
        <w:rPr>
          <w:rFonts w:ascii="宋体" w:hAnsi="宋体" w:eastAsia="宋体" w:cs="宋体"/>
          <w:sz w:val="24"/>
          <w:szCs w:val="24"/>
        </w:rPr>
        <w:t xml:space="preserve"> </w:t>
      </w:r>
      <w:r>
        <w:rPr>
          <w:rFonts w:ascii="宋体" w:hAnsi="宋体" w:eastAsia="宋体" w:cs="宋体"/>
          <w:spacing w:val="-6"/>
          <w:sz w:val="24"/>
          <w:szCs w:val="24"/>
        </w:rPr>
        <w:t>半刚性基层、沥青面层与土路肩培土交界处设碎石透水</w:t>
      </w:r>
      <w:r>
        <w:rPr>
          <w:rFonts w:ascii="宋体" w:hAnsi="宋体" w:eastAsia="宋体" w:cs="宋体"/>
          <w:spacing w:val="-7"/>
          <w:sz w:val="24"/>
          <w:szCs w:val="24"/>
        </w:rPr>
        <w:t>层， 将渗入路面结构内的</w:t>
      </w:r>
      <w:r>
        <w:rPr>
          <w:rFonts w:ascii="宋体" w:hAnsi="宋体" w:eastAsia="宋体" w:cs="宋体"/>
          <w:sz w:val="24"/>
          <w:szCs w:val="24"/>
        </w:rPr>
        <w:t xml:space="preserve"> </w:t>
      </w:r>
      <w:r>
        <w:rPr>
          <w:rFonts w:ascii="宋体" w:hAnsi="宋体" w:eastAsia="宋体" w:cs="宋体"/>
          <w:spacing w:val="-12"/>
          <w:sz w:val="24"/>
          <w:szCs w:val="24"/>
        </w:rPr>
        <w:t>水分及时引出路基外；</w:t>
      </w:r>
      <w:r>
        <w:rPr>
          <w:rFonts w:ascii="宋体" w:hAnsi="宋体" w:eastAsia="宋体" w:cs="宋体"/>
          <w:spacing w:val="37"/>
          <w:sz w:val="24"/>
          <w:szCs w:val="24"/>
        </w:rPr>
        <w:t xml:space="preserve"> </w:t>
      </w:r>
      <w:r>
        <w:rPr>
          <w:rFonts w:ascii="宋体" w:hAnsi="宋体" w:eastAsia="宋体" w:cs="宋体"/>
          <w:spacing w:val="-12"/>
          <w:sz w:val="24"/>
          <w:szCs w:val="24"/>
        </w:rPr>
        <w:t>缓边坡路段采用以防为主的方</w:t>
      </w:r>
      <w:r>
        <w:rPr>
          <w:rFonts w:ascii="宋体" w:hAnsi="宋体" w:eastAsia="宋体" w:cs="宋体"/>
          <w:spacing w:val="-13"/>
          <w:sz w:val="24"/>
          <w:szCs w:val="24"/>
        </w:rPr>
        <w:t>式，</w:t>
      </w:r>
      <w:r>
        <w:rPr>
          <w:rFonts w:ascii="宋体" w:hAnsi="宋体" w:eastAsia="宋体" w:cs="宋体"/>
          <w:spacing w:val="50"/>
          <w:sz w:val="24"/>
          <w:szCs w:val="24"/>
        </w:rPr>
        <w:t xml:space="preserve"> </w:t>
      </w:r>
      <w:r>
        <w:rPr>
          <w:rFonts w:ascii="宋体" w:hAnsi="宋体" w:eastAsia="宋体" w:cs="宋体"/>
          <w:spacing w:val="-13"/>
          <w:sz w:val="24"/>
          <w:szCs w:val="24"/>
        </w:rPr>
        <w:t>即在半刚性基层、沥青</w:t>
      </w:r>
      <w:r>
        <w:rPr>
          <w:rFonts w:ascii="宋体" w:hAnsi="宋体" w:eastAsia="宋体" w:cs="宋体"/>
          <w:sz w:val="24"/>
          <w:szCs w:val="24"/>
        </w:rPr>
        <w:t xml:space="preserve"> </w:t>
      </w:r>
      <w:r>
        <w:rPr>
          <w:rFonts w:ascii="宋体" w:hAnsi="宋体" w:eastAsia="宋体" w:cs="宋体"/>
          <w:spacing w:val="-6"/>
          <w:sz w:val="24"/>
          <w:szCs w:val="24"/>
        </w:rPr>
        <w:t>面层与土路肩培土交界处设防渗土工布，</w:t>
      </w:r>
      <w:r>
        <w:rPr>
          <w:rFonts w:ascii="宋体" w:hAnsi="宋体" w:eastAsia="宋体" w:cs="宋体"/>
          <w:spacing w:val="-15"/>
          <w:sz w:val="24"/>
          <w:szCs w:val="24"/>
        </w:rPr>
        <w:t xml:space="preserve"> </w:t>
      </w:r>
      <w:r>
        <w:rPr>
          <w:rFonts w:ascii="宋体" w:hAnsi="宋体" w:eastAsia="宋体" w:cs="宋体"/>
          <w:spacing w:val="-6"/>
          <w:sz w:val="24"/>
          <w:szCs w:val="24"/>
        </w:rPr>
        <w:t>避免土路肩填土渗水对路面结构层的影</w:t>
      </w:r>
    </w:p>
    <w:p>
      <w:pPr>
        <w:spacing w:line="223" w:lineRule="auto"/>
        <w:ind w:left="463"/>
        <w:rPr>
          <w:rFonts w:ascii="宋体" w:hAnsi="宋体" w:eastAsia="宋体" w:cs="宋体"/>
          <w:sz w:val="24"/>
          <w:szCs w:val="24"/>
        </w:rPr>
      </w:pPr>
      <w:r>
        <w:rPr>
          <w:rFonts w:ascii="宋体" w:hAnsi="宋体" w:eastAsia="宋体" w:cs="宋体"/>
          <w:spacing w:val="-15"/>
          <w:sz w:val="24"/>
          <w:szCs w:val="24"/>
        </w:rPr>
        <w:t>响。</w:t>
      </w:r>
    </w:p>
    <w:p>
      <w:pPr>
        <w:spacing w:before="175" w:line="468" w:lineRule="exact"/>
        <w:ind w:left="937"/>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2</w:t>
      </w:r>
      <w:r>
        <w:rPr>
          <w:rFonts w:ascii="宋体" w:hAnsi="宋体" w:eastAsia="宋体" w:cs="宋体"/>
          <w:spacing w:val="-1"/>
          <w:position w:val="17"/>
          <w:sz w:val="24"/>
          <w:szCs w:val="24"/>
        </w:rPr>
        <w:t xml:space="preserve">）挖方路段在路面结构层下设 </w:t>
      </w:r>
      <w:r>
        <w:rPr>
          <w:rFonts w:ascii="Times New Roman" w:hAnsi="Times New Roman" w:eastAsia="Times New Roman" w:cs="Times New Roman"/>
          <w:spacing w:val="-1"/>
          <w:position w:val="17"/>
          <w:sz w:val="24"/>
          <w:szCs w:val="24"/>
        </w:rPr>
        <w:t xml:space="preserve">15cm  </w:t>
      </w:r>
      <w:r>
        <w:rPr>
          <w:rFonts w:ascii="宋体" w:hAnsi="宋体" w:eastAsia="宋体" w:cs="宋体"/>
          <w:spacing w:val="-1"/>
          <w:position w:val="17"/>
          <w:sz w:val="24"/>
          <w:szCs w:val="24"/>
        </w:rPr>
        <w:t>级配碎石层，并在暗</w:t>
      </w:r>
      <w:r>
        <w:rPr>
          <w:rFonts w:ascii="宋体" w:hAnsi="宋体" w:eastAsia="宋体" w:cs="宋体"/>
          <w:spacing w:val="-2"/>
          <w:position w:val="17"/>
          <w:sz w:val="24"/>
          <w:szCs w:val="24"/>
        </w:rPr>
        <w:t>边沟下设纵向</w:t>
      </w:r>
    </w:p>
    <w:p>
      <w:pPr>
        <w:spacing w:before="1" w:line="219" w:lineRule="auto"/>
        <w:ind w:left="451"/>
        <w:rPr>
          <w:rFonts w:ascii="宋体" w:hAnsi="宋体" w:eastAsia="宋体" w:cs="宋体"/>
          <w:sz w:val="24"/>
          <w:szCs w:val="24"/>
        </w:rPr>
      </w:pPr>
      <w:r>
        <w:rPr>
          <w:rFonts w:ascii="宋体" w:hAnsi="宋体" w:eastAsia="宋体" w:cs="宋体"/>
          <w:spacing w:val="-2"/>
          <w:sz w:val="24"/>
          <w:szCs w:val="24"/>
        </w:rPr>
        <w:t>渗沟，形成完善的排水系统，将路基中的潜水排出路基外。</w:t>
      </w:r>
    </w:p>
    <w:p>
      <w:pPr>
        <w:spacing w:before="180" w:line="469" w:lineRule="exact"/>
        <w:ind w:left="445"/>
        <w:rPr>
          <w:rFonts w:ascii="宋体" w:hAnsi="宋体" w:eastAsia="宋体" w:cs="宋体"/>
          <w:sz w:val="24"/>
          <w:szCs w:val="24"/>
        </w:rPr>
      </w:pPr>
      <w:r>
        <w:rPr>
          <w:rFonts w:ascii="Times New Roman" w:hAnsi="Times New Roman" w:eastAsia="Times New Roman" w:cs="Times New Roman"/>
          <w:b/>
          <w:bCs/>
          <w:position w:val="17"/>
          <w:sz w:val="24"/>
          <w:szCs w:val="24"/>
        </w:rPr>
        <w:t xml:space="preserve">3.2.4  </w:t>
      </w:r>
      <w:r>
        <w:rPr>
          <w:rFonts w:ascii="宋体" w:hAnsi="宋体" w:eastAsia="宋体" w:cs="宋体"/>
          <w:position w:val="17"/>
          <w:sz w:val="24"/>
          <w:szCs w:val="24"/>
          <w14:textOutline w14:w="4354" w14:cap="flat" w14:cmpd="sng">
            <w14:solidFill>
              <w14:srgbClr w14:val="000000"/>
            </w14:solidFill>
            <w14:prstDash w14:val="solid"/>
            <w14:miter w14:val="0"/>
          </w14:textOutline>
        </w:rPr>
        <w:t>桥涵工程</w:t>
      </w:r>
    </w:p>
    <w:p>
      <w:pPr>
        <w:spacing w:line="219" w:lineRule="auto"/>
        <w:ind w:left="445"/>
        <w:rPr>
          <w:rFonts w:ascii="宋体" w:hAnsi="宋体" w:eastAsia="宋体" w:cs="宋体"/>
          <w:sz w:val="24"/>
          <w:szCs w:val="24"/>
        </w:rPr>
      </w:pPr>
      <w:r>
        <w:fldChar w:fldCharType="begin"/>
      </w:r>
      <w:r>
        <w:instrText xml:space="preserve"> HYPERLINK "3.2.4.1" </w:instrText>
      </w:r>
      <w:r>
        <w:fldChar w:fldCharType="separate"/>
      </w:r>
      <w:r>
        <w:rPr>
          <w:rFonts w:ascii="Times New Roman" w:hAnsi="Times New Roman" w:eastAsia="Times New Roman" w:cs="Times New Roman"/>
          <w:b/>
          <w:bCs/>
          <w:sz w:val="24"/>
          <w:szCs w:val="24"/>
        </w:rPr>
        <w:t>3.2.4.1</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桥梁设计</w:t>
      </w:r>
    </w:p>
    <w:p>
      <w:pPr>
        <w:spacing w:before="262" w:line="217" w:lineRule="auto"/>
        <w:ind w:left="93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）墩头垟大桥</w:t>
      </w:r>
    </w:p>
    <w:p>
      <w:pPr>
        <w:spacing w:before="183" w:line="220" w:lineRule="auto"/>
        <w:ind w:left="936"/>
        <w:rPr>
          <w:rFonts w:ascii="宋体" w:hAnsi="宋体" w:eastAsia="宋体" w:cs="宋体"/>
          <w:sz w:val="24"/>
          <w:szCs w:val="24"/>
        </w:rPr>
      </w:pPr>
      <w:r>
        <w:rPr>
          <w:rFonts w:ascii="宋体" w:hAnsi="宋体" w:eastAsia="宋体" w:cs="宋体"/>
          <w:spacing w:val="-4"/>
          <w:sz w:val="24"/>
          <w:szCs w:val="24"/>
        </w:rPr>
        <w:t>西坑互通连接线桥梁见下表。</w:t>
      </w:r>
    </w:p>
    <w:p>
      <w:pPr>
        <w:spacing w:before="103" w:line="220" w:lineRule="auto"/>
        <w:ind w:left="258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3.2-5      </w:t>
      </w:r>
      <w:r>
        <w:rPr>
          <w:rFonts w:ascii="宋体" w:hAnsi="宋体" w:eastAsia="宋体" w:cs="宋体"/>
          <w:spacing w:val="-1"/>
          <w:sz w:val="24"/>
          <w:szCs w:val="24"/>
        </w:rPr>
        <w:t>西坑互通连接线桥梁一览表</w:t>
      </w:r>
    </w:p>
    <w:p>
      <w:pPr>
        <w:spacing w:line="146" w:lineRule="exact"/>
      </w:pPr>
    </w:p>
    <w:tbl>
      <w:tblPr>
        <w:tblStyle w:val="5"/>
        <w:tblW w:w="91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1147"/>
        <w:gridCol w:w="1305"/>
        <w:gridCol w:w="1271"/>
        <w:gridCol w:w="1300"/>
        <w:gridCol w:w="1159"/>
        <w:gridCol w:w="1102"/>
        <w:gridCol w:w="13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68" w:type="dxa"/>
            <w:textDirection w:val="tbRlV"/>
            <w:vAlign w:val="top"/>
          </w:tcPr>
          <w:p>
            <w:pPr>
              <w:pStyle w:val="6"/>
              <w:spacing w:before="176" w:line="211" w:lineRule="auto"/>
              <w:ind w:left="55"/>
            </w:pPr>
            <w:r>
              <w:rPr>
                <w:spacing w:val="1"/>
              </w:rPr>
              <w:t>序</w:t>
            </w:r>
            <w:r>
              <w:rPr>
                <w:spacing w:val="-5"/>
              </w:rPr>
              <w:t xml:space="preserve"> </w:t>
            </w:r>
            <w:r>
              <w:rPr>
                <w:spacing w:val="1"/>
              </w:rPr>
              <w:t>号</w:t>
            </w:r>
          </w:p>
        </w:tc>
        <w:tc>
          <w:tcPr>
            <w:tcW w:w="1147" w:type="dxa"/>
            <w:vAlign w:val="top"/>
          </w:tcPr>
          <w:p>
            <w:pPr>
              <w:pStyle w:val="6"/>
              <w:spacing w:before="211" w:line="221" w:lineRule="auto"/>
              <w:ind w:left="177"/>
            </w:pPr>
            <w:r>
              <w:rPr>
                <w:spacing w:val="-7"/>
              </w:rPr>
              <w:t>中心桩号</w:t>
            </w:r>
          </w:p>
        </w:tc>
        <w:tc>
          <w:tcPr>
            <w:tcW w:w="1305" w:type="dxa"/>
            <w:vAlign w:val="top"/>
          </w:tcPr>
          <w:p>
            <w:pPr>
              <w:pStyle w:val="6"/>
              <w:spacing w:before="212" w:line="221" w:lineRule="auto"/>
              <w:ind w:left="446"/>
            </w:pPr>
            <w:r>
              <w:rPr>
                <w:spacing w:val="-2"/>
              </w:rPr>
              <w:t>桥名</w:t>
            </w:r>
          </w:p>
        </w:tc>
        <w:tc>
          <w:tcPr>
            <w:tcW w:w="1271" w:type="dxa"/>
            <w:vAlign w:val="top"/>
          </w:tcPr>
          <w:p>
            <w:pPr>
              <w:pStyle w:val="6"/>
              <w:spacing w:before="56" w:line="248" w:lineRule="auto"/>
              <w:ind w:left="215" w:right="104" w:hanging="99"/>
            </w:pPr>
            <w:r>
              <w:rPr>
                <w:spacing w:val="-2"/>
              </w:rPr>
              <w:t>孔数及孔径</w:t>
            </w:r>
            <w:r>
              <w:rPr>
                <w:spacing w:val="3"/>
              </w:rPr>
              <w:t xml:space="preserve"> </w:t>
            </w:r>
            <w:r>
              <w:rPr>
                <w:spacing w:val="-3"/>
              </w:rPr>
              <w:t>（孔</w:t>
            </w:r>
            <w:r>
              <w:rPr>
                <w:rFonts w:ascii="Times New Roman" w:hAnsi="Times New Roman" w:eastAsia="Times New Roman" w:cs="Times New Roman"/>
                <w:spacing w:val="-3"/>
              </w:rPr>
              <w:t>-m</w:t>
            </w:r>
            <w:r>
              <w:rPr>
                <w:spacing w:val="-3"/>
              </w:rPr>
              <w:t>）</w:t>
            </w:r>
          </w:p>
        </w:tc>
        <w:tc>
          <w:tcPr>
            <w:tcW w:w="1300" w:type="dxa"/>
            <w:vAlign w:val="top"/>
          </w:tcPr>
          <w:p>
            <w:pPr>
              <w:pStyle w:val="6"/>
              <w:spacing w:before="56" w:line="248" w:lineRule="auto"/>
              <w:ind w:left="369" w:right="226" w:hanging="135"/>
            </w:pPr>
            <w:r>
              <w:rPr>
                <w:spacing w:val="-2"/>
              </w:rPr>
              <w:t>桥梁全长</w:t>
            </w:r>
            <w:r>
              <w:rPr>
                <w:spacing w:val="1"/>
              </w:rPr>
              <w:t xml:space="preserve"> </w:t>
            </w:r>
            <w:r>
              <w:rPr>
                <w:spacing w:val="-5"/>
              </w:rPr>
              <w:t>（</w:t>
            </w:r>
            <w:r>
              <w:rPr>
                <w:rFonts w:ascii="Times New Roman" w:hAnsi="Times New Roman" w:eastAsia="Times New Roman" w:cs="Times New Roman"/>
                <w:spacing w:val="-5"/>
              </w:rPr>
              <w:t>m</w:t>
            </w:r>
            <w:r>
              <w:rPr>
                <w:spacing w:val="-5"/>
              </w:rPr>
              <w:t>）</w:t>
            </w:r>
          </w:p>
        </w:tc>
        <w:tc>
          <w:tcPr>
            <w:tcW w:w="1159" w:type="dxa"/>
            <w:vAlign w:val="top"/>
          </w:tcPr>
          <w:p>
            <w:pPr>
              <w:pStyle w:val="6"/>
              <w:spacing w:before="55" w:line="221" w:lineRule="auto"/>
              <w:ind w:left="168"/>
            </w:pPr>
            <w:r>
              <w:rPr>
                <w:spacing w:val="-2"/>
              </w:rPr>
              <w:t>最大墩高</w:t>
            </w:r>
          </w:p>
          <w:p>
            <w:pPr>
              <w:spacing w:before="96" w:line="191"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1102" w:type="dxa"/>
            <w:vAlign w:val="top"/>
          </w:tcPr>
          <w:p>
            <w:pPr>
              <w:pStyle w:val="6"/>
              <w:spacing w:before="211" w:line="221" w:lineRule="auto"/>
              <w:ind w:left="141"/>
            </w:pPr>
            <w:r>
              <w:rPr>
                <w:spacing w:val="-2"/>
              </w:rPr>
              <w:t>上部结构</w:t>
            </w:r>
          </w:p>
        </w:tc>
        <w:tc>
          <w:tcPr>
            <w:tcW w:w="1334" w:type="dxa"/>
            <w:vAlign w:val="top"/>
          </w:tcPr>
          <w:p>
            <w:pPr>
              <w:pStyle w:val="6"/>
              <w:spacing w:before="211" w:line="222" w:lineRule="auto"/>
              <w:ind w:left="464"/>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68" w:type="dxa"/>
            <w:vAlign w:val="top"/>
          </w:tcPr>
          <w:p>
            <w:pPr>
              <w:spacing w:before="248" w:line="187" w:lineRule="auto"/>
              <w:ind w:left="25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47" w:type="dxa"/>
            <w:vAlign w:val="top"/>
          </w:tcPr>
          <w:p>
            <w:pPr>
              <w:spacing w:before="248" w:line="187" w:lineRule="auto"/>
              <w:ind w:left="1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L1K1+988</w:t>
            </w:r>
          </w:p>
        </w:tc>
        <w:tc>
          <w:tcPr>
            <w:tcW w:w="1305" w:type="dxa"/>
            <w:vAlign w:val="top"/>
          </w:tcPr>
          <w:p>
            <w:pPr>
              <w:pStyle w:val="6"/>
              <w:spacing w:before="209" w:line="218" w:lineRule="auto"/>
              <w:ind w:left="133"/>
            </w:pPr>
            <w:r>
              <w:rPr>
                <w:spacing w:val="-2"/>
              </w:rPr>
              <w:t>墩头垟大桥</w:t>
            </w:r>
          </w:p>
        </w:tc>
        <w:tc>
          <w:tcPr>
            <w:tcW w:w="1271" w:type="dxa"/>
            <w:vAlign w:val="top"/>
          </w:tcPr>
          <w:p>
            <w:pPr>
              <w:spacing w:before="248"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17×30</w:t>
            </w:r>
          </w:p>
        </w:tc>
        <w:tc>
          <w:tcPr>
            <w:tcW w:w="1300" w:type="dxa"/>
            <w:vAlign w:val="top"/>
          </w:tcPr>
          <w:p>
            <w:pPr>
              <w:spacing w:before="248"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516.00</w:t>
            </w:r>
          </w:p>
        </w:tc>
        <w:tc>
          <w:tcPr>
            <w:tcW w:w="1159" w:type="dxa"/>
            <w:vAlign w:val="top"/>
          </w:tcPr>
          <w:p>
            <w:pPr>
              <w:spacing w:before="248" w:line="187"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34.3</w:t>
            </w:r>
          </w:p>
        </w:tc>
        <w:tc>
          <w:tcPr>
            <w:tcW w:w="1102" w:type="dxa"/>
            <w:vAlign w:val="top"/>
          </w:tcPr>
          <w:p>
            <w:pPr>
              <w:pStyle w:val="6"/>
              <w:spacing w:before="54" w:line="247" w:lineRule="auto"/>
              <w:ind w:left="361" w:right="123" w:hanging="220"/>
            </w:pPr>
            <w:r>
              <w:rPr>
                <w:spacing w:val="-2"/>
              </w:rPr>
              <w:t>预应力砼</w:t>
            </w:r>
            <w:r>
              <w:t xml:space="preserve"> </w:t>
            </w:r>
            <w:r>
              <w:rPr>
                <w:rFonts w:ascii="Times New Roman" w:hAnsi="Times New Roman" w:eastAsia="Times New Roman" w:cs="Times New Roman"/>
                <w:spacing w:val="-3"/>
              </w:rPr>
              <w:t>T</w:t>
            </w:r>
            <w:r>
              <w:rPr>
                <w:rFonts w:ascii="Times New Roman" w:hAnsi="Times New Roman" w:eastAsia="Times New Roman" w:cs="Times New Roman"/>
                <w:spacing w:val="9"/>
              </w:rPr>
              <w:t xml:space="preserve"> </w:t>
            </w:r>
            <w:r>
              <w:rPr>
                <w:spacing w:val="-3"/>
              </w:rPr>
              <w:t>梁</w:t>
            </w:r>
          </w:p>
        </w:tc>
        <w:tc>
          <w:tcPr>
            <w:tcW w:w="1334" w:type="dxa"/>
            <w:vAlign w:val="top"/>
          </w:tcPr>
          <w:p>
            <w:pPr>
              <w:pStyle w:val="6"/>
              <w:spacing w:before="209" w:line="221" w:lineRule="auto"/>
              <w:ind w:left="148"/>
            </w:pPr>
            <w:r>
              <w:rPr>
                <w:spacing w:val="-2"/>
              </w:rPr>
              <w:t>不跨越水体</w:t>
            </w:r>
          </w:p>
        </w:tc>
      </w:tr>
    </w:tbl>
    <w:p>
      <w:pPr>
        <w:pStyle w:val="2"/>
        <w:spacing w:line="369" w:lineRule="auto"/>
      </w:pPr>
    </w:p>
    <w:p>
      <w:pPr>
        <w:spacing w:before="79" w:line="359" w:lineRule="auto"/>
        <w:ind w:left="452" w:right="439" w:firstLine="483"/>
        <w:jc w:val="both"/>
        <w:rPr>
          <w:rFonts w:ascii="宋体" w:hAnsi="宋体" w:eastAsia="宋体" w:cs="宋体"/>
          <w:sz w:val="24"/>
          <w:szCs w:val="24"/>
        </w:rPr>
      </w:pPr>
      <w:r>
        <w:rPr>
          <w:rFonts w:ascii="宋体" w:hAnsi="宋体" w:eastAsia="宋体" w:cs="宋体"/>
          <w:spacing w:val="-3"/>
          <w:sz w:val="24"/>
          <w:szCs w:val="24"/>
        </w:rPr>
        <w:t>西坑互通连接线墩头垟大桥位于文成县西坑镇双田</w:t>
      </w:r>
      <w:r>
        <w:rPr>
          <w:rFonts w:ascii="宋体" w:hAnsi="宋体" w:eastAsia="宋体" w:cs="宋体"/>
          <w:spacing w:val="-4"/>
          <w:sz w:val="24"/>
          <w:szCs w:val="24"/>
        </w:rPr>
        <w:t>村南侧。西坑互通连接线</w:t>
      </w:r>
      <w:r>
        <w:rPr>
          <w:rFonts w:ascii="宋体" w:hAnsi="宋体" w:eastAsia="宋体" w:cs="宋体"/>
          <w:sz w:val="24"/>
          <w:szCs w:val="24"/>
        </w:rPr>
        <w:t xml:space="preserve"> </w:t>
      </w:r>
      <w:r>
        <w:rPr>
          <w:rFonts w:ascii="宋体" w:hAnsi="宋体" w:eastAsia="宋体" w:cs="宋体"/>
          <w:spacing w:val="-7"/>
          <w:sz w:val="24"/>
          <w:szCs w:val="24"/>
        </w:rPr>
        <w:t>按双向双车道二级公路标准建设，</w:t>
      </w:r>
      <w:r>
        <w:rPr>
          <w:rFonts w:ascii="宋体" w:hAnsi="宋体" w:eastAsia="宋体" w:cs="宋体"/>
          <w:spacing w:val="36"/>
          <w:sz w:val="24"/>
          <w:szCs w:val="24"/>
        </w:rPr>
        <w:t xml:space="preserve"> </w:t>
      </w:r>
      <w:r>
        <w:rPr>
          <w:rFonts w:ascii="宋体" w:hAnsi="宋体" w:eastAsia="宋体" w:cs="宋体"/>
          <w:spacing w:val="-7"/>
          <w:sz w:val="24"/>
          <w:szCs w:val="24"/>
        </w:rPr>
        <w:t>路基宽</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B=10.0m</w:t>
      </w:r>
      <w:r>
        <w:rPr>
          <w:rFonts w:ascii="宋体" w:hAnsi="宋体" w:eastAsia="宋体" w:cs="宋体"/>
          <w:spacing w:val="-7"/>
          <w:sz w:val="24"/>
          <w:szCs w:val="24"/>
        </w:rPr>
        <w:t>，桥梁与路基同宽。主梁横断</w:t>
      </w:r>
    </w:p>
    <w:p>
      <w:pPr>
        <w:spacing w:line="217" w:lineRule="auto"/>
        <w:ind w:left="451"/>
        <w:rPr>
          <w:rFonts w:ascii="宋体" w:hAnsi="宋体" w:eastAsia="宋体" w:cs="宋体"/>
          <w:sz w:val="24"/>
          <w:szCs w:val="24"/>
        </w:rPr>
      </w:pPr>
      <w:r>
        <w:rPr>
          <w:rFonts w:ascii="宋体" w:hAnsi="宋体" w:eastAsia="宋体" w:cs="宋体"/>
          <w:spacing w:val="-6"/>
          <w:sz w:val="24"/>
          <w:szCs w:val="24"/>
        </w:rPr>
        <w:t>面具体见下图。</w:t>
      </w:r>
    </w:p>
    <w:p>
      <w:pPr>
        <w:spacing w:line="217" w:lineRule="auto"/>
        <w:rPr>
          <w:rFonts w:ascii="宋体" w:hAnsi="宋体" w:eastAsia="宋体" w:cs="宋体"/>
          <w:sz w:val="24"/>
          <w:szCs w:val="24"/>
        </w:rPr>
        <w:sectPr>
          <w:headerReference r:id="rId117" w:type="default"/>
          <w:footerReference r:id="rId118" w:type="default"/>
          <w:pgSz w:w="11907" w:h="16839"/>
          <w:pgMar w:top="1118" w:right="1356" w:bottom="1182" w:left="1358" w:header="879" w:footer="1024" w:gutter="0"/>
          <w:cols w:space="720" w:num="1"/>
        </w:sectPr>
      </w:pPr>
    </w:p>
    <w:p>
      <w:pPr>
        <w:pStyle w:val="2"/>
        <w:spacing w:line="333" w:lineRule="auto"/>
      </w:pPr>
    </w:p>
    <w:p>
      <w:pPr>
        <w:spacing w:line="4652" w:lineRule="exact"/>
        <w:ind w:firstLine="426"/>
      </w:pPr>
      <w:r>
        <w:rPr>
          <w:position w:val="-93"/>
        </w:rPr>
        <w:drawing>
          <wp:inline distT="0" distB="0" distL="0" distR="0">
            <wp:extent cx="5270500" cy="29533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450"/>
                    <a:stretch>
                      <a:fillRect/>
                    </a:stretch>
                  </pic:blipFill>
                  <pic:spPr>
                    <a:xfrm>
                      <a:off x="0" y="0"/>
                      <a:ext cx="5270500" cy="2954019"/>
                    </a:xfrm>
                    <a:prstGeom prst="rect">
                      <a:avLst/>
                    </a:prstGeom>
                  </pic:spPr>
                </pic:pic>
              </a:graphicData>
            </a:graphic>
          </wp:inline>
        </w:drawing>
      </w:r>
    </w:p>
    <w:p>
      <w:pPr>
        <w:spacing w:before="50" w:line="220" w:lineRule="auto"/>
        <w:ind w:left="2471"/>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3.2-6      </w:t>
      </w:r>
      <w:r>
        <w:rPr>
          <w:rFonts w:ascii="宋体" w:hAnsi="宋体" w:eastAsia="宋体" w:cs="宋体"/>
          <w:spacing w:val="-2"/>
          <w:sz w:val="24"/>
          <w:szCs w:val="24"/>
        </w:rPr>
        <w:t>墩头垟大桥主梁标准横断面图</w:t>
      </w:r>
    </w:p>
    <w:p>
      <w:pPr>
        <w:spacing w:before="226" w:line="220" w:lineRule="auto"/>
        <w:ind w:left="92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）天桥</w:t>
      </w:r>
    </w:p>
    <w:p>
      <w:pPr>
        <w:spacing w:before="181" w:line="220" w:lineRule="auto"/>
        <w:ind w:left="919"/>
        <w:rPr>
          <w:rFonts w:ascii="宋体" w:hAnsi="宋体" w:eastAsia="宋体" w:cs="宋体"/>
          <w:sz w:val="24"/>
          <w:szCs w:val="24"/>
        </w:rPr>
      </w:pPr>
      <w:r>
        <w:rPr>
          <w:rFonts w:ascii="宋体" w:hAnsi="宋体" w:eastAsia="宋体" w:cs="宋体"/>
          <w:spacing w:val="-4"/>
          <w:sz w:val="24"/>
          <w:szCs w:val="24"/>
        </w:rPr>
        <w:t>西坑互通连接线天桥情况见下表。</w:t>
      </w:r>
    </w:p>
    <w:p>
      <w:pPr>
        <w:spacing w:before="103" w:line="220" w:lineRule="auto"/>
        <w:ind w:left="256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3.2-6      </w:t>
      </w:r>
      <w:r>
        <w:rPr>
          <w:rFonts w:ascii="宋体" w:hAnsi="宋体" w:eastAsia="宋体" w:cs="宋体"/>
          <w:spacing w:val="-1"/>
          <w:sz w:val="24"/>
          <w:szCs w:val="24"/>
        </w:rPr>
        <w:t>西坑互通连接线天桥一览表</w:t>
      </w:r>
    </w:p>
    <w:p>
      <w:pPr>
        <w:spacing w:line="145" w:lineRule="exact"/>
      </w:pPr>
    </w:p>
    <w:tbl>
      <w:tblPr>
        <w:tblStyle w:val="5"/>
        <w:tblW w:w="91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1493"/>
        <w:gridCol w:w="1873"/>
        <w:gridCol w:w="1351"/>
        <w:gridCol w:w="1123"/>
        <w:gridCol w:w="1104"/>
        <w:gridCol w:w="15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59" w:type="dxa"/>
            <w:vAlign w:val="top"/>
          </w:tcPr>
          <w:p>
            <w:pPr>
              <w:pStyle w:val="6"/>
              <w:spacing w:before="212" w:line="222" w:lineRule="auto"/>
              <w:ind w:left="122"/>
            </w:pPr>
            <w:r>
              <w:rPr>
                <w:spacing w:val="-2"/>
              </w:rPr>
              <w:t>序号</w:t>
            </w:r>
          </w:p>
        </w:tc>
        <w:tc>
          <w:tcPr>
            <w:tcW w:w="1493" w:type="dxa"/>
            <w:vAlign w:val="top"/>
          </w:tcPr>
          <w:p>
            <w:pPr>
              <w:pStyle w:val="6"/>
              <w:spacing w:before="211" w:line="221" w:lineRule="auto"/>
              <w:ind w:left="119"/>
            </w:pPr>
            <w:r>
              <w:rPr>
                <w:spacing w:val="-1"/>
              </w:rPr>
              <w:t>位置中心桩号</w:t>
            </w:r>
          </w:p>
        </w:tc>
        <w:tc>
          <w:tcPr>
            <w:tcW w:w="1873" w:type="dxa"/>
            <w:vAlign w:val="top"/>
          </w:tcPr>
          <w:p>
            <w:pPr>
              <w:pStyle w:val="6"/>
              <w:spacing w:before="212" w:line="221" w:lineRule="auto"/>
              <w:ind w:left="731"/>
            </w:pPr>
            <w:r>
              <w:rPr>
                <w:spacing w:val="-2"/>
              </w:rPr>
              <w:t>桥名</w:t>
            </w:r>
          </w:p>
        </w:tc>
        <w:tc>
          <w:tcPr>
            <w:tcW w:w="1351" w:type="dxa"/>
            <w:vAlign w:val="top"/>
          </w:tcPr>
          <w:p>
            <w:pPr>
              <w:pStyle w:val="6"/>
              <w:spacing w:before="55" w:line="249" w:lineRule="auto"/>
              <w:ind w:left="254" w:right="145" w:hanging="99"/>
            </w:pPr>
            <w:r>
              <w:rPr>
                <w:spacing w:val="-2"/>
              </w:rPr>
              <w:t>孔数及孔径</w:t>
            </w:r>
            <w:r>
              <w:rPr>
                <w:spacing w:val="3"/>
              </w:rPr>
              <w:t xml:space="preserve"> </w:t>
            </w:r>
            <w:r>
              <w:rPr>
                <w:spacing w:val="-3"/>
              </w:rPr>
              <w:t>（孔</w:t>
            </w:r>
            <w:r>
              <w:rPr>
                <w:rFonts w:ascii="Times New Roman" w:hAnsi="Times New Roman" w:eastAsia="Times New Roman" w:cs="Times New Roman"/>
                <w:spacing w:val="-3"/>
              </w:rPr>
              <w:t>-m</w:t>
            </w:r>
            <w:r>
              <w:rPr>
                <w:spacing w:val="-3"/>
              </w:rPr>
              <w:t>）</w:t>
            </w:r>
          </w:p>
        </w:tc>
        <w:tc>
          <w:tcPr>
            <w:tcW w:w="1123" w:type="dxa"/>
            <w:vAlign w:val="top"/>
          </w:tcPr>
          <w:p>
            <w:pPr>
              <w:pStyle w:val="6"/>
              <w:spacing w:before="53" w:line="293" w:lineRule="exact"/>
              <w:ind w:left="356"/>
            </w:pPr>
            <w:r>
              <w:rPr>
                <w:spacing w:val="-2"/>
                <w:position w:val="5"/>
              </w:rPr>
              <w:t>全长</w:t>
            </w:r>
          </w:p>
          <w:p>
            <w:pPr>
              <w:pStyle w:val="6"/>
              <w:spacing w:before="1" w:line="241" w:lineRule="auto"/>
              <w:ind w:left="281"/>
            </w:pPr>
            <w:r>
              <w:rPr>
                <w:spacing w:val="-5"/>
              </w:rPr>
              <w:t>（</w:t>
            </w:r>
            <w:r>
              <w:rPr>
                <w:rFonts w:ascii="Times New Roman" w:hAnsi="Times New Roman" w:eastAsia="Times New Roman" w:cs="Times New Roman"/>
                <w:spacing w:val="-5"/>
              </w:rPr>
              <w:t>m</w:t>
            </w:r>
            <w:r>
              <w:rPr>
                <w:spacing w:val="-5"/>
              </w:rPr>
              <w:t>）</w:t>
            </w:r>
          </w:p>
        </w:tc>
        <w:tc>
          <w:tcPr>
            <w:tcW w:w="1104" w:type="dxa"/>
            <w:vAlign w:val="top"/>
          </w:tcPr>
          <w:p>
            <w:pPr>
              <w:pStyle w:val="6"/>
              <w:spacing w:before="211" w:line="221" w:lineRule="auto"/>
              <w:ind w:left="140"/>
            </w:pPr>
            <w:r>
              <w:rPr>
                <w:spacing w:val="-2"/>
              </w:rPr>
              <w:t>上部结构</w:t>
            </w:r>
          </w:p>
        </w:tc>
        <w:tc>
          <w:tcPr>
            <w:tcW w:w="1547" w:type="dxa"/>
            <w:vAlign w:val="top"/>
          </w:tcPr>
          <w:p>
            <w:pPr>
              <w:pStyle w:val="6"/>
              <w:spacing w:before="212" w:line="222" w:lineRule="auto"/>
              <w:ind w:left="571"/>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659" w:type="dxa"/>
            <w:vAlign w:val="top"/>
          </w:tcPr>
          <w:p>
            <w:pPr>
              <w:spacing w:line="341" w:lineRule="auto"/>
              <w:rPr>
                <w:rFonts w:ascii="Arial"/>
                <w:sz w:val="21"/>
              </w:rPr>
            </w:pPr>
          </w:p>
          <w:p>
            <w:pPr>
              <w:spacing w:before="60"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93" w:type="dxa"/>
            <w:vAlign w:val="top"/>
          </w:tcPr>
          <w:p>
            <w:pPr>
              <w:spacing w:line="341" w:lineRule="auto"/>
              <w:rPr>
                <w:rFonts w:ascii="Arial"/>
                <w:sz w:val="21"/>
              </w:rPr>
            </w:pPr>
          </w:p>
          <w:p>
            <w:pPr>
              <w:spacing w:before="60"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L1K4+134.3</w:t>
            </w:r>
          </w:p>
        </w:tc>
        <w:tc>
          <w:tcPr>
            <w:tcW w:w="1873" w:type="dxa"/>
            <w:vAlign w:val="top"/>
          </w:tcPr>
          <w:p>
            <w:pPr>
              <w:pStyle w:val="6"/>
              <w:spacing w:before="53" w:line="221" w:lineRule="auto"/>
              <w:ind w:left="735"/>
            </w:pPr>
            <w:r>
              <w:rPr>
                <w:spacing w:val="-3"/>
              </w:rPr>
              <w:t>天桥</w:t>
            </w:r>
          </w:p>
          <w:p>
            <w:pPr>
              <w:pStyle w:val="6"/>
              <w:spacing w:before="60" w:line="249" w:lineRule="auto"/>
              <w:ind w:left="546" w:right="108" w:hanging="425"/>
            </w:pPr>
            <w:r>
              <w:rPr>
                <w:spacing w:val="-1"/>
              </w:rPr>
              <w:t>（</w:t>
            </w:r>
            <w:r>
              <w:rPr>
                <w:rFonts w:ascii="Times New Roman" w:hAnsi="Times New Roman" w:eastAsia="Times New Roman" w:cs="Times New Roman"/>
                <w:spacing w:val="-1"/>
              </w:rPr>
              <w:t>K0+026.02~K0+</w:t>
            </w:r>
            <w:r>
              <w:rPr>
                <w:rFonts w:ascii="Times New Roman" w:hAnsi="Times New Roman" w:eastAsia="Times New Roman" w:cs="Times New Roman"/>
              </w:rPr>
              <w:t xml:space="preserve"> </w:t>
            </w:r>
            <w:r>
              <w:rPr>
                <w:rFonts w:ascii="Times New Roman" w:hAnsi="Times New Roman" w:eastAsia="Times New Roman" w:cs="Times New Roman"/>
                <w:spacing w:val="-1"/>
              </w:rPr>
              <w:t>061.98</w:t>
            </w:r>
            <w:r>
              <w:rPr>
                <w:spacing w:val="-1"/>
              </w:rPr>
              <w:t>）</w:t>
            </w:r>
          </w:p>
        </w:tc>
        <w:tc>
          <w:tcPr>
            <w:tcW w:w="1351" w:type="dxa"/>
            <w:vAlign w:val="top"/>
          </w:tcPr>
          <w:p>
            <w:pPr>
              <w:spacing w:line="341" w:lineRule="auto"/>
              <w:rPr>
                <w:rFonts w:ascii="Arial"/>
                <w:sz w:val="21"/>
              </w:rPr>
            </w:pPr>
          </w:p>
          <w:p>
            <w:pPr>
              <w:spacing w:before="60" w:line="187" w:lineRule="auto"/>
              <w:ind w:left="478"/>
              <w:rPr>
                <w:rFonts w:ascii="Times New Roman" w:hAnsi="Times New Roman" w:eastAsia="Times New Roman" w:cs="Times New Roman"/>
                <w:sz w:val="21"/>
                <w:szCs w:val="21"/>
              </w:rPr>
            </w:pPr>
            <w:r>
              <w:rPr>
                <w:rFonts w:ascii="Times New Roman" w:hAnsi="Times New Roman" w:eastAsia="Times New Roman" w:cs="Times New Roman"/>
                <w:sz w:val="21"/>
                <w:szCs w:val="21"/>
              </w:rPr>
              <w:t>1×30</w:t>
            </w:r>
          </w:p>
        </w:tc>
        <w:tc>
          <w:tcPr>
            <w:tcW w:w="1123" w:type="dxa"/>
            <w:vAlign w:val="top"/>
          </w:tcPr>
          <w:p>
            <w:pPr>
              <w:spacing w:line="341" w:lineRule="auto"/>
              <w:rPr>
                <w:rFonts w:ascii="Arial"/>
                <w:sz w:val="21"/>
              </w:rPr>
            </w:pPr>
          </w:p>
          <w:p>
            <w:pPr>
              <w:spacing w:before="60"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35.96</w:t>
            </w:r>
          </w:p>
        </w:tc>
        <w:tc>
          <w:tcPr>
            <w:tcW w:w="1104" w:type="dxa"/>
            <w:vAlign w:val="top"/>
          </w:tcPr>
          <w:p>
            <w:pPr>
              <w:pStyle w:val="6"/>
              <w:spacing w:before="209" w:line="247" w:lineRule="auto"/>
              <w:ind w:left="359" w:right="126" w:hanging="219"/>
            </w:pPr>
            <w:r>
              <w:rPr>
                <w:spacing w:val="-2"/>
              </w:rPr>
              <w:t>预应力砼</w:t>
            </w:r>
            <w:r>
              <w:t xml:space="preserve"> </w:t>
            </w:r>
            <w:r>
              <w:rPr>
                <w:rFonts w:ascii="Times New Roman" w:hAnsi="Times New Roman" w:eastAsia="Times New Roman" w:cs="Times New Roman"/>
                <w:spacing w:val="-3"/>
              </w:rPr>
              <w:t>T</w:t>
            </w:r>
            <w:r>
              <w:rPr>
                <w:rFonts w:ascii="Times New Roman" w:hAnsi="Times New Roman" w:eastAsia="Times New Roman" w:cs="Times New Roman"/>
                <w:spacing w:val="9"/>
              </w:rPr>
              <w:t xml:space="preserve"> </w:t>
            </w:r>
            <w:r>
              <w:rPr>
                <w:spacing w:val="-3"/>
              </w:rPr>
              <w:t>梁</w:t>
            </w:r>
          </w:p>
        </w:tc>
        <w:tc>
          <w:tcPr>
            <w:tcW w:w="1547" w:type="dxa"/>
            <w:vAlign w:val="top"/>
          </w:tcPr>
          <w:p>
            <w:pPr>
              <w:pStyle w:val="6"/>
              <w:spacing w:before="53" w:line="247" w:lineRule="auto"/>
              <w:ind w:left="148" w:right="138" w:firstLine="3"/>
            </w:pPr>
            <w:r>
              <w:rPr>
                <w:spacing w:val="-2"/>
              </w:rPr>
              <w:t>不跨越水体，</w:t>
            </w:r>
            <w:r>
              <w:rPr>
                <w:spacing w:val="1"/>
              </w:rPr>
              <w:t xml:space="preserve"> </w:t>
            </w:r>
            <w:r>
              <w:rPr>
                <w:spacing w:val="-1"/>
              </w:rPr>
              <w:t>跨越本次连接</w:t>
            </w:r>
          </w:p>
          <w:p>
            <w:pPr>
              <w:pStyle w:val="6"/>
              <w:spacing w:before="62" w:line="221" w:lineRule="auto"/>
              <w:ind w:left="674"/>
            </w:pPr>
            <w:r>
              <w:t>线</w:t>
            </w:r>
          </w:p>
        </w:tc>
      </w:tr>
    </w:tbl>
    <w:p>
      <w:pPr>
        <w:pStyle w:val="2"/>
        <w:spacing w:line="274" w:lineRule="auto"/>
      </w:pPr>
    </w:p>
    <w:p>
      <w:pPr>
        <w:pStyle w:val="2"/>
        <w:spacing w:line="275" w:lineRule="auto"/>
      </w:pPr>
    </w:p>
    <w:p>
      <w:pPr>
        <w:spacing w:line="4267" w:lineRule="exact"/>
        <w:ind w:firstLine="424"/>
      </w:pPr>
      <w:r>
        <w:rPr>
          <w:position w:val="-85"/>
        </w:rPr>
        <w:drawing>
          <wp:inline distT="0" distB="0" distL="0" distR="0">
            <wp:extent cx="5441950" cy="270954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451"/>
                    <a:stretch>
                      <a:fillRect/>
                    </a:stretch>
                  </pic:blipFill>
                  <pic:spPr>
                    <a:xfrm>
                      <a:off x="0" y="0"/>
                      <a:ext cx="5441950" cy="2709545"/>
                    </a:xfrm>
                    <a:prstGeom prst="rect">
                      <a:avLst/>
                    </a:prstGeom>
                  </pic:spPr>
                </pic:pic>
              </a:graphicData>
            </a:graphic>
          </wp:inline>
        </w:drawing>
      </w:r>
    </w:p>
    <w:p>
      <w:pPr>
        <w:spacing w:before="314" w:line="220" w:lineRule="auto"/>
        <w:ind w:left="1801"/>
        <w:rPr>
          <w:rFonts w:ascii="宋体" w:hAnsi="宋体" w:eastAsia="宋体" w:cs="宋体"/>
          <w:sz w:val="24"/>
          <w:szCs w:val="24"/>
        </w:rPr>
      </w:pPr>
      <w:r>
        <w:rPr>
          <w:rFonts w:ascii="宋体" w:hAnsi="宋体" w:eastAsia="宋体" w:cs="宋体"/>
          <w:spacing w:val="-1"/>
          <w:sz w:val="24"/>
          <w:szCs w:val="24"/>
        </w:rPr>
        <w:t>图</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3.2-7        </w:t>
      </w:r>
      <w:r>
        <w:rPr>
          <w:rFonts w:ascii="宋体" w:hAnsi="宋体" w:eastAsia="宋体" w:cs="宋体"/>
          <w:spacing w:val="-1"/>
          <w:sz w:val="24"/>
          <w:szCs w:val="24"/>
        </w:rPr>
        <w:t>西坑互通连接线</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L1K4</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 xml:space="preserve">34.3 </w:t>
      </w:r>
      <w:r>
        <w:rPr>
          <w:rFonts w:ascii="宋体" w:hAnsi="宋体" w:eastAsia="宋体" w:cs="宋体"/>
          <w:spacing w:val="-2"/>
          <w:sz w:val="24"/>
          <w:szCs w:val="24"/>
        </w:rPr>
        <w:t>天桥断面图</w:t>
      </w:r>
    </w:p>
    <w:p>
      <w:pPr>
        <w:spacing w:before="147" w:line="221" w:lineRule="auto"/>
        <w:ind w:left="428"/>
        <w:outlineLvl w:val="0"/>
        <w:rPr>
          <w:rFonts w:ascii="宋体" w:hAnsi="宋体" w:eastAsia="宋体" w:cs="宋体"/>
          <w:sz w:val="24"/>
          <w:szCs w:val="24"/>
        </w:rPr>
      </w:pPr>
      <w:r>
        <w:fldChar w:fldCharType="begin"/>
      </w:r>
      <w:r>
        <w:instrText xml:space="preserve"> HYPERLINK "3.2.4.2" </w:instrText>
      </w:r>
      <w:r>
        <w:fldChar w:fldCharType="separate"/>
      </w:r>
      <w:r>
        <w:rPr>
          <w:rFonts w:ascii="Times New Roman" w:hAnsi="Times New Roman" w:eastAsia="Times New Roman" w:cs="Times New Roman"/>
          <w:b/>
          <w:bCs/>
          <w:sz w:val="24"/>
          <w:szCs w:val="24"/>
        </w:rPr>
        <w:t>3.2.4.2</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涵洞（通道）设计</w:t>
      </w:r>
    </w:p>
    <w:p>
      <w:pPr>
        <w:spacing w:line="221" w:lineRule="auto"/>
        <w:rPr>
          <w:rFonts w:ascii="宋体" w:hAnsi="宋体" w:eastAsia="宋体" w:cs="宋体"/>
          <w:sz w:val="24"/>
          <w:szCs w:val="24"/>
        </w:rPr>
        <w:sectPr>
          <w:headerReference r:id="rId119" w:type="default"/>
          <w:footerReference r:id="rId120" w:type="default"/>
          <w:pgSz w:w="11907" w:h="16839"/>
          <w:pgMar w:top="1118" w:right="1375" w:bottom="1182" w:left="1375" w:header="879" w:footer="1024" w:gutter="0"/>
          <w:cols w:space="720" w:num="1"/>
        </w:sectPr>
      </w:pPr>
    </w:p>
    <w:p>
      <w:pPr>
        <w:pStyle w:val="2"/>
        <w:spacing w:line="278" w:lineRule="auto"/>
      </w:pPr>
    </w:p>
    <w:p>
      <w:pPr>
        <w:spacing w:before="78" w:line="220" w:lineRule="auto"/>
        <w:ind w:left="1059"/>
        <w:rPr>
          <w:rFonts w:ascii="宋体" w:hAnsi="宋体" w:eastAsia="宋体" w:cs="宋体"/>
          <w:sz w:val="24"/>
          <w:szCs w:val="24"/>
        </w:rPr>
      </w:pPr>
      <w:r>
        <w:rPr>
          <w:rFonts w:ascii="Times New Roman" w:hAnsi="Times New Roman" w:eastAsia="Times New Roman" w:cs="Times New Roman"/>
          <w:spacing w:val="-14"/>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4"/>
          <w:sz w:val="24"/>
          <w:szCs w:val="24"/>
        </w:rPr>
        <w:t>、结构型式：</w:t>
      </w:r>
    </w:p>
    <w:p>
      <w:pPr>
        <w:spacing w:before="181" w:line="359" w:lineRule="auto"/>
        <w:ind w:left="567" w:right="550" w:firstLine="473"/>
        <w:rPr>
          <w:rFonts w:ascii="宋体" w:hAnsi="宋体" w:eastAsia="宋体" w:cs="宋体"/>
          <w:sz w:val="24"/>
          <w:szCs w:val="24"/>
        </w:rPr>
      </w:pPr>
      <w:r>
        <w:rPr>
          <w:rFonts w:ascii="宋体" w:hAnsi="宋体" w:eastAsia="宋体" w:cs="宋体"/>
          <w:spacing w:val="-8"/>
          <w:sz w:val="24"/>
          <w:szCs w:val="24"/>
        </w:rPr>
        <w:t>采用钢筋混凝土圆管涵、盖板涵和箱涵，</w:t>
      </w:r>
      <w:r>
        <w:rPr>
          <w:rFonts w:ascii="宋体" w:hAnsi="宋体" w:eastAsia="宋体" w:cs="宋体"/>
          <w:spacing w:val="41"/>
          <w:sz w:val="24"/>
          <w:szCs w:val="24"/>
        </w:rPr>
        <w:t xml:space="preserve"> </w:t>
      </w:r>
      <w:r>
        <w:rPr>
          <w:rFonts w:ascii="宋体" w:hAnsi="宋体" w:eastAsia="宋体" w:cs="宋体"/>
          <w:spacing w:val="-8"/>
          <w:sz w:val="24"/>
          <w:szCs w:val="24"/>
        </w:rPr>
        <w:t>涵洞尽量采用暗涵形式。圆管涵的</w:t>
      </w:r>
      <w:r>
        <w:rPr>
          <w:rFonts w:ascii="宋体" w:hAnsi="宋体" w:eastAsia="宋体" w:cs="宋体"/>
          <w:sz w:val="24"/>
          <w:szCs w:val="24"/>
        </w:rPr>
        <w:t xml:space="preserve"> </w:t>
      </w:r>
      <w:r>
        <w:rPr>
          <w:rFonts w:ascii="宋体" w:hAnsi="宋体" w:eastAsia="宋体" w:cs="宋体"/>
          <w:spacing w:val="-14"/>
          <w:sz w:val="24"/>
          <w:szCs w:val="24"/>
        </w:rPr>
        <w:t>管节长度主要有</w:t>
      </w:r>
      <w:r>
        <w:rPr>
          <w:rFonts w:ascii="宋体" w:hAnsi="宋体" w:eastAsia="宋体" w:cs="宋体"/>
          <w:spacing w:val="-54"/>
          <w:sz w:val="24"/>
          <w:szCs w:val="24"/>
        </w:rPr>
        <w:t xml:space="preserve"> </w:t>
      </w:r>
      <w:r>
        <w:rPr>
          <w:rFonts w:ascii="Times New Roman" w:hAnsi="Times New Roman" w:eastAsia="Times New Roman" w:cs="Times New Roman"/>
          <w:spacing w:val="-14"/>
          <w:sz w:val="24"/>
          <w:szCs w:val="24"/>
        </w:rPr>
        <w:t>2.0m</w:t>
      </w:r>
      <w:r>
        <w:rPr>
          <w:rFonts w:ascii="Times New Roman" w:hAnsi="Times New Roman" w:eastAsia="Times New Roman" w:cs="Times New Roman"/>
          <w:spacing w:val="10"/>
          <w:sz w:val="24"/>
          <w:szCs w:val="24"/>
        </w:rPr>
        <w:t xml:space="preserve"> </w:t>
      </w:r>
      <w:r>
        <w:rPr>
          <w:rFonts w:ascii="宋体" w:hAnsi="宋体" w:eastAsia="宋体" w:cs="宋体"/>
          <w:spacing w:val="-14"/>
          <w:sz w:val="24"/>
          <w:szCs w:val="24"/>
        </w:rPr>
        <w:t>和</w:t>
      </w:r>
      <w:r>
        <w:rPr>
          <w:rFonts w:ascii="宋体" w:hAnsi="宋体" w:eastAsia="宋体" w:cs="宋体"/>
          <w:spacing w:val="-51"/>
          <w:sz w:val="24"/>
          <w:szCs w:val="24"/>
        </w:rPr>
        <w:t xml:space="preserve"> </w:t>
      </w:r>
      <w:r>
        <w:rPr>
          <w:rFonts w:ascii="Times New Roman" w:hAnsi="Times New Roman" w:eastAsia="Times New Roman" w:cs="Times New Roman"/>
          <w:spacing w:val="-14"/>
          <w:sz w:val="24"/>
          <w:szCs w:val="24"/>
        </w:rPr>
        <w:t>0.5m</w:t>
      </w:r>
      <w:r>
        <w:rPr>
          <w:rFonts w:ascii="Times New Roman" w:hAnsi="Times New Roman" w:eastAsia="Times New Roman" w:cs="Times New Roman"/>
          <w:spacing w:val="11"/>
          <w:sz w:val="24"/>
          <w:szCs w:val="24"/>
        </w:rPr>
        <w:t xml:space="preserve"> </w:t>
      </w:r>
      <w:r>
        <w:rPr>
          <w:rFonts w:ascii="宋体" w:hAnsi="宋体" w:eastAsia="宋体" w:cs="宋体"/>
          <w:spacing w:val="-14"/>
          <w:sz w:val="24"/>
          <w:szCs w:val="24"/>
        </w:rPr>
        <w:t>两种，</w:t>
      </w:r>
      <w:r>
        <w:rPr>
          <w:rFonts w:ascii="宋体" w:hAnsi="宋体" w:eastAsia="宋体" w:cs="宋体"/>
          <w:spacing w:val="-31"/>
          <w:sz w:val="24"/>
          <w:szCs w:val="24"/>
        </w:rPr>
        <w:t xml:space="preserve"> </w:t>
      </w:r>
      <w:r>
        <w:rPr>
          <w:rFonts w:ascii="宋体" w:hAnsi="宋体" w:eastAsia="宋体" w:cs="宋体"/>
          <w:spacing w:val="-14"/>
          <w:sz w:val="24"/>
          <w:szCs w:val="24"/>
        </w:rPr>
        <w:t>前者为基本管节，</w:t>
      </w:r>
      <w:r>
        <w:rPr>
          <w:rFonts w:ascii="宋体" w:hAnsi="宋体" w:eastAsia="宋体" w:cs="宋体"/>
          <w:spacing w:val="29"/>
          <w:sz w:val="24"/>
          <w:szCs w:val="24"/>
        </w:rPr>
        <w:t xml:space="preserve"> </w:t>
      </w:r>
      <w:r>
        <w:rPr>
          <w:rFonts w:ascii="宋体" w:hAnsi="宋体" w:eastAsia="宋体" w:cs="宋体"/>
          <w:spacing w:val="-15"/>
          <w:sz w:val="24"/>
          <w:szCs w:val="24"/>
        </w:rPr>
        <w:t>后者为调整管节，</w:t>
      </w:r>
      <w:r>
        <w:rPr>
          <w:rFonts w:ascii="宋体" w:hAnsi="宋体" w:eastAsia="宋体" w:cs="宋体"/>
          <w:spacing w:val="26"/>
          <w:sz w:val="24"/>
          <w:szCs w:val="24"/>
        </w:rPr>
        <w:t xml:space="preserve"> </w:t>
      </w:r>
      <w:r>
        <w:rPr>
          <w:rFonts w:ascii="宋体" w:hAnsi="宋体" w:eastAsia="宋体" w:cs="宋体"/>
          <w:spacing w:val="-15"/>
          <w:sz w:val="24"/>
          <w:szCs w:val="24"/>
        </w:rPr>
        <w:t>对于斜</w:t>
      </w:r>
    </w:p>
    <w:p>
      <w:pPr>
        <w:spacing w:line="219" w:lineRule="auto"/>
        <w:ind w:left="562"/>
        <w:rPr>
          <w:rFonts w:ascii="宋体" w:hAnsi="宋体" w:eastAsia="宋体" w:cs="宋体"/>
          <w:sz w:val="24"/>
          <w:szCs w:val="24"/>
        </w:rPr>
      </w:pPr>
      <w:r>
        <w:rPr>
          <w:rFonts w:ascii="宋体" w:hAnsi="宋体" w:eastAsia="宋体" w:cs="宋体"/>
          <w:spacing w:val="-5"/>
          <w:sz w:val="24"/>
          <w:szCs w:val="24"/>
        </w:rPr>
        <w:t>涵，还有端部斜管节。</w:t>
      </w:r>
    </w:p>
    <w:p>
      <w:pPr>
        <w:spacing w:before="180" w:line="219" w:lineRule="auto"/>
        <w:ind w:left="1036"/>
        <w:rPr>
          <w:rFonts w:ascii="宋体" w:hAnsi="宋体" w:eastAsia="宋体" w:cs="宋体"/>
          <w:sz w:val="24"/>
          <w:szCs w:val="24"/>
        </w:rPr>
      </w:pPr>
      <w:r>
        <w:rPr>
          <w:rFonts w:ascii="Times New Roman" w:hAnsi="Times New Roman" w:eastAsia="Times New Roman" w:cs="Times New Roman"/>
          <w:spacing w:val="-11"/>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11"/>
          <w:sz w:val="24"/>
          <w:szCs w:val="24"/>
        </w:rPr>
        <w:t>、主要材料：</w:t>
      </w:r>
    </w:p>
    <w:p>
      <w:pPr>
        <w:spacing w:before="183" w:line="466" w:lineRule="exact"/>
        <w:ind w:left="1060"/>
        <w:rPr>
          <w:rFonts w:ascii="宋体" w:hAnsi="宋体" w:eastAsia="宋体" w:cs="宋体"/>
          <w:sz w:val="24"/>
          <w:szCs w:val="24"/>
        </w:rPr>
      </w:pPr>
      <w:r>
        <w:rPr>
          <w:rFonts w:ascii="宋体" w:hAnsi="宋体" w:eastAsia="宋体" w:cs="宋体"/>
          <w:spacing w:val="1"/>
          <w:position w:val="17"/>
          <w:sz w:val="24"/>
          <w:szCs w:val="24"/>
        </w:rPr>
        <w:t xml:space="preserve">圆管涵：管节混凝土采用 </w:t>
      </w:r>
      <w:r>
        <w:rPr>
          <w:rFonts w:ascii="Times New Roman" w:hAnsi="Times New Roman" w:eastAsia="Times New Roman" w:cs="Times New Roman"/>
          <w:spacing w:val="1"/>
          <w:position w:val="17"/>
          <w:sz w:val="24"/>
          <w:szCs w:val="24"/>
        </w:rPr>
        <w:t>C30</w:t>
      </w:r>
      <w:r>
        <w:rPr>
          <w:rFonts w:ascii="宋体" w:hAnsi="宋体" w:eastAsia="宋体" w:cs="宋体"/>
          <w:spacing w:val="1"/>
          <w:position w:val="17"/>
          <w:sz w:val="24"/>
          <w:szCs w:val="24"/>
        </w:rPr>
        <w:t xml:space="preserve">，管基混凝土采用 </w:t>
      </w:r>
      <w:r>
        <w:rPr>
          <w:rFonts w:ascii="Times New Roman" w:hAnsi="Times New Roman" w:eastAsia="Times New Roman" w:cs="Times New Roman"/>
          <w:spacing w:val="1"/>
          <w:position w:val="17"/>
          <w:sz w:val="24"/>
          <w:szCs w:val="24"/>
        </w:rPr>
        <w:t>C20</w:t>
      </w:r>
      <w:r>
        <w:rPr>
          <w:rFonts w:ascii="宋体" w:hAnsi="宋体" w:eastAsia="宋体" w:cs="宋体"/>
          <w:spacing w:val="1"/>
          <w:position w:val="17"/>
          <w:sz w:val="24"/>
          <w:szCs w:val="24"/>
        </w:rPr>
        <w:t>；螺旋形主钢</w:t>
      </w:r>
      <w:r>
        <w:rPr>
          <w:rFonts w:ascii="宋体" w:hAnsi="宋体" w:eastAsia="宋体" w:cs="宋体"/>
          <w:position w:val="17"/>
          <w:sz w:val="24"/>
          <w:szCs w:val="24"/>
        </w:rPr>
        <w:t>筋采用</w:t>
      </w:r>
    </w:p>
    <w:p>
      <w:pPr>
        <w:spacing w:before="1" w:line="219" w:lineRule="auto"/>
        <w:ind w:left="556"/>
        <w:rPr>
          <w:rFonts w:ascii="宋体" w:hAnsi="宋体" w:eastAsia="宋体" w:cs="宋体"/>
          <w:sz w:val="24"/>
          <w:szCs w:val="24"/>
        </w:rPr>
      </w:pPr>
      <w:r>
        <w:rPr>
          <w:rFonts w:ascii="Times New Roman" w:hAnsi="Times New Roman" w:eastAsia="Times New Roman" w:cs="Times New Roman"/>
          <w:spacing w:val="-3"/>
          <w:sz w:val="24"/>
          <w:szCs w:val="24"/>
        </w:rPr>
        <w:t xml:space="preserve">HPB300 </w:t>
      </w:r>
      <w:r>
        <w:rPr>
          <w:rFonts w:ascii="宋体" w:hAnsi="宋体" w:eastAsia="宋体" w:cs="宋体"/>
          <w:spacing w:val="-3"/>
          <w:sz w:val="24"/>
          <w:szCs w:val="24"/>
        </w:rPr>
        <w:t>钢筋。</w:t>
      </w:r>
    </w:p>
    <w:p>
      <w:pPr>
        <w:spacing w:before="183" w:line="466" w:lineRule="exact"/>
        <w:ind w:left="1042"/>
        <w:rPr>
          <w:rFonts w:ascii="宋体" w:hAnsi="宋体" w:eastAsia="宋体" w:cs="宋体"/>
          <w:sz w:val="24"/>
          <w:szCs w:val="24"/>
        </w:rPr>
      </w:pPr>
      <w:r>
        <w:rPr>
          <w:rFonts w:ascii="宋体" w:hAnsi="宋体" w:eastAsia="宋体" w:cs="宋体"/>
          <w:spacing w:val="-7"/>
          <w:position w:val="17"/>
          <w:sz w:val="24"/>
          <w:szCs w:val="24"/>
        </w:rPr>
        <w:t>盖板涵： 暗涵盖板混凝土采用</w:t>
      </w:r>
      <w:r>
        <w:rPr>
          <w:rFonts w:ascii="宋体" w:hAnsi="宋体" w:eastAsia="宋体" w:cs="宋体"/>
          <w:spacing w:val="-51"/>
          <w:position w:val="17"/>
          <w:sz w:val="24"/>
          <w:szCs w:val="24"/>
        </w:rPr>
        <w:t xml:space="preserve"> </w:t>
      </w:r>
      <w:r>
        <w:rPr>
          <w:rFonts w:ascii="Times New Roman" w:hAnsi="Times New Roman" w:eastAsia="Times New Roman" w:cs="Times New Roman"/>
          <w:spacing w:val="-7"/>
          <w:position w:val="17"/>
          <w:sz w:val="24"/>
          <w:szCs w:val="24"/>
        </w:rPr>
        <w:t>C30</w:t>
      </w:r>
      <w:r>
        <w:rPr>
          <w:rFonts w:ascii="Times New Roman" w:hAnsi="Times New Roman" w:eastAsia="Times New Roman" w:cs="Times New Roman"/>
          <w:spacing w:val="-30"/>
          <w:position w:val="17"/>
          <w:sz w:val="24"/>
          <w:szCs w:val="24"/>
        </w:rPr>
        <w:t xml:space="preserve"> </w:t>
      </w:r>
      <w:r>
        <w:rPr>
          <w:rFonts w:ascii="宋体" w:hAnsi="宋体" w:eastAsia="宋体" w:cs="宋体"/>
          <w:spacing w:val="-7"/>
          <w:position w:val="17"/>
          <w:sz w:val="24"/>
          <w:szCs w:val="24"/>
        </w:rPr>
        <w:t>，明涵盖板混凝土采用</w:t>
      </w:r>
      <w:r>
        <w:rPr>
          <w:rFonts w:ascii="宋体" w:hAnsi="宋体" w:eastAsia="宋体" w:cs="宋体"/>
          <w:spacing w:val="-51"/>
          <w:position w:val="17"/>
          <w:sz w:val="24"/>
          <w:szCs w:val="24"/>
        </w:rPr>
        <w:t xml:space="preserve"> </w:t>
      </w:r>
      <w:r>
        <w:rPr>
          <w:rFonts w:ascii="Times New Roman" w:hAnsi="Times New Roman" w:eastAsia="Times New Roman" w:cs="Times New Roman"/>
          <w:spacing w:val="-7"/>
          <w:position w:val="17"/>
          <w:sz w:val="24"/>
          <w:szCs w:val="24"/>
        </w:rPr>
        <w:t>C40</w:t>
      </w:r>
      <w:r>
        <w:rPr>
          <w:rFonts w:ascii="宋体" w:hAnsi="宋体" w:eastAsia="宋体" w:cs="宋体"/>
          <w:spacing w:val="-7"/>
          <w:position w:val="17"/>
          <w:sz w:val="24"/>
          <w:szCs w:val="24"/>
        </w:rPr>
        <w:t>，台帽、涵身</w:t>
      </w:r>
    </w:p>
    <w:p>
      <w:pPr>
        <w:spacing w:before="1" w:line="218" w:lineRule="auto"/>
        <w:ind w:left="561"/>
        <w:rPr>
          <w:rFonts w:ascii="宋体" w:hAnsi="宋体" w:eastAsia="宋体" w:cs="宋体"/>
          <w:sz w:val="24"/>
          <w:szCs w:val="24"/>
        </w:rPr>
      </w:pPr>
      <w:r>
        <w:rPr>
          <w:rFonts w:ascii="宋体" w:hAnsi="宋体" w:eastAsia="宋体" w:cs="宋体"/>
          <w:spacing w:val="-3"/>
          <w:sz w:val="24"/>
          <w:szCs w:val="24"/>
        </w:rPr>
        <w:t>基础混凝土采用</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C30</w:t>
      </w:r>
      <w:r>
        <w:rPr>
          <w:rFonts w:ascii="宋体" w:hAnsi="宋体" w:eastAsia="宋体" w:cs="宋体"/>
          <w:spacing w:val="-3"/>
          <w:sz w:val="24"/>
          <w:szCs w:val="24"/>
        </w:rPr>
        <w:t>；采用</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HPB300</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4"/>
          <w:sz w:val="24"/>
          <w:szCs w:val="24"/>
        </w:rPr>
        <w:t xml:space="preserve">RB400 </w:t>
      </w:r>
      <w:r>
        <w:rPr>
          <w:rFonts w:ascii="宋体" w:hAnsi="宋体" w:eastAsia="宋体" w:cs="宋体"/>
          <w:spacing w:val="-4"/>
          <w:sz w:val="24"/>
          <w:szCs w:val="24"/>
        </w:rPr>
        <w:t>钢筋。</w:t>
      </w:r>
    </w:p>
    <w:p>
      <w:pPr>
        <w:spacing w:before="183" w:line="219" w:lineRule="auto"/>
        <w:ind w:left="317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3.2-7      </w:t>
      </w:r>
      <w:r>
        <w:rPr>
          <w:rFonts w:ascii="宋体" w:hAnsi="宋体" w:eastAsia="宋体" w:cs="宋体"/>
          <w:spacing w:val="-1"/>
          <w:sz w:val="24"/>
          <w:szCs w:val="24"/>
        </w:rPr>
        <w:t>盖板涵情况一览表</w:t>
      </w:r>
    </w:p>
    <w:p>
      <w:pPr>
        <w:spacing w:line="145" w:lineRule="exact"/>
      </w:pPr>
    </w:p>
    <w:tbl>
      <w:tblPr>
        <w:tblStyle w:val="5"/>
        <w:tblW w:w="8523" w:type="dxa"/>
        <w:tblInd w:w="4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4"/>
        <w:gridCol w:w="1768"/>
        <w:gridCol w:w="1418"/>
        <w:gridCol w:w="1418"/>
        <w:gridCol w:w="1420"/>
        <w:gridCol w:w="14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074" w:type="dxa"/>
            <w:vAlign w:val="top"/>
          </w:tcPr>
          <w:p>
            <w:pPr>
              <w:pStyle w:val="6"/>
              <w:spacing w:before="211" w:line="222" w:lineRule="auto"/>
              <w:ind w:left="331"/>
            </w:pPr>
            <w:r>
              <w:rPr>
                <w:spacing w:val="-2"/>
              </w:rPr>
              <w:t>序号</w:t>
            </w:r>
          </w:p>
        </w:tc>
        <w:tc>
          <w:tcPr>
            <w:tcW w:w="1768" w:type="dxa"/>
            <w:vAlign w:val="top"/>
          </w:tcPr>
          <w:p>
            <w:pPr>
              <w:pStyle w:val="6"/>
              <w:spacing w:before="211" w:line="221" w:lineRule="auto"/>
              <w:ind w:left="487"/>
            </w:pPr>
            <w:r>
              <w:rPr>
                <w:spacing w:val="-7"/>
              </w:rPr>
              <w:t>中心桩号</w:t>
            </w:r>
          </w:p>
        </w:tc>
        <w:tc>
          <w:tcPr>
            <w:tcW w:w="1418" w:type="dxa"/>
            <w:vAlign w:val="top"/>
          </w:tcPr>
          <w:p>
            <w:pPr>
              <w:pStyle w:val="6"/>
              <w:spacing w:before="211" w:line="221" w:lineRule="auto"/>
              <w:ind w:left="296"/>
            </w:pPr>
            <w:r>
              <w:rPr>
                <w:spacing w:val="-3"/>
              </w:rPr>
              <w:t>结构类型</w:t>
            </w:r>
          </w:p>
        </w:tc>
        <w:tc>
          <w:tcPr>
            <w:tcW w:w="1418" w:type="dxa"/>
            <w:vAlign w:val="top"/>
          </w:tcPr>
          <w:p>
            <w:pPr>
              <w:pStyle w:val="6"/>
              <w:spacing w:before="211" w:line="221" w:lineRule="auto"/>
              <w:ind w:left="297"/>
            </w:pPr>
            <w:r>
              <w:rPr>
                <w:spacing w:val="-2"/>
              </w:rPr>
              <w:t>使用性质</w:t>
            </w:r>
          </w:p>
        </w:tc>
        <w:tc>
          <w:tcPr>
            <w:tcW w:w="1420" w:type="dxa"/>
            <w:vAlign w:val="top"/>
          </w:tcPr>
          <w:p>
            <w:pPr>
              <w:pStyle w:val="6"/>
              <w:spacing w:before="55" w:line="249" w:lineRule="auto"/>
              <w:ind w:left="291" w:right="249" w:hanging="29"/>
            </w:pPr>
            <w:r>
              <w:rPr>
                <w:spacing w:val="-2"/>
              </w:rPr>
              <w:t>孔数</w:t>
            </w:r>
            <w:r>
              <w:rPr>
                <w:rFonts w:ascii="Times New Roman" w:hAnsi="Times New Roman" w:eastAsia="Times New Roman" w:cs="Times New Roman"/>
                <w:spacing w:val="-2"/>
              </w:rPr>
              <w:t>-</w:t>
            </w:r>
            <w:r>
              <w:rPr>
                <w:spacing w:val="-2"/>
              </w:rPr>
              <w:t>跨径</w:t>
            </w:r>
            <w:r>
              <w:rPr>
                <w:spacing w:val="1"/>
              </w:rPr>
              <w:t xml:space="preserve"> </w:t>
            </w:r>
            <w:r>
              <w:rPr>
                <w:spacing w:val="-3"/>
              </w:rPr>
              <w:t>（孔</w:t>
            </w:r>
            <w:r>
              <w:rPr>
                <w:rFonts w:ascii="Times New Roman" w:hAnsi="Times New Roman" w:eastAsia="Times New Roman" w:cs="Times New Roman"/>
                <w:spacing w:val="-3"/>
              </w:rPr>
              <w:t>-m</w:t>
            </w:r>
            <w:r>
              <w:rPr>
                <w:spacing w:val="-3"/>
              </w:rPr>
              <w:t>）</w:t>
            </w:r>
          </w:p>
        </w:tc>
        <w:tc>
          <w:tcPr>
            <w:tcW w:w="1425" w:type="dxa"/>
            <w:vAlign w:val="top"/>
          </w:tcPr>
          <w:p>
            <w:pPr>
              <w:pStyle w:val="6"/>
              <w:spacing w:before="212" w:line="238" w:lineRule="auto"/>
              <w:ind w:left="218"/>
            </w:pPr>
            <w:r>
              <w:rPr>
                <w:spacing w:val="-1"/>
              </w:rPr>
              <w:t>涵长（</w:t>
            </w:r>
            <w:r>
              <w:rPr>
                <w:rFonts w:ascii="Times New Roman" w:hAnsi="Times New Roman" w:eastAsia="Times New Roman" w:cs="Times New Roman"/>
                <w:spacing w:val="-1"/>
              </w:rPr>
              <w:t>m</w:t>
            </w:r>
            <w:r>
              <w:rPr>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074" w:type="dxa"/>
            <w:vAlign w:val="top"/>
          </w:tcPr>
          <w:p>
            <w:pPr>
              <w:spacing w:before="93" w:line="187" w:lineRule="auto"/>
              <w:ind w:left="50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68" w:type="dxa"/>
            <w:vAlign w:val="top"/>
          </w:tcPr>
          <w:p>
            <w:pPr>
              <w:spacing w:before="93"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L1K0+463.2</w:t>
            </w:r>
          </w:p>
        </w:tc>
        <w:tc>
          <w:tcPr>
            <w:tcW w:w="1418" w:type="dxa"/>
            <w:vAlign w:val="top"/>
          </w:tcPr>
          <w:p>
            <w:pPr>
              <w:pStyle w:val="6"/>
              <w:spacing w:before="54" w:line="220" w:lineRule="auto"/>
              <w:ind w:left="397"/>
            </w:pPr>
            <w:r>
              <w:rPr>
                <w:spacing w:val="-2"/>
              </w:rPr>
              <w:t>盖板涵</w:t>
            </w:r>
          </w:p>
        </w:tc>
        <w:tc>
          <w:tcPr>
            <w:tcW w:w="1418" w:type="dxa"/>
            <w:vAlign w:val="top"/>
          </w:tcPr>
          <w:p>
            <w:pPr>
              <w:pStyle w:val="6"/>
              <w:spacing w:before="55" w:line="222" w:lineRule="auto"/>
              <w:ind w:left="236"/>
            </w:pPr>
            <w:r>
              <w:rPr>
                <w:spacing w:val="-2"/>
              </w:rPr>
              <w:t>机通</w:t>
            </w:r>
            <w:r>
              <w:rPr>
                <w:rFonts w:ascii="Times New Roman" w:hAnsi="Times New Roman" w:eastAsia="Times New Roman" w:cs="Times New Roman"/>
                <w:spacing w:val="-2"/>
              </w:rPr>
              <w:t>+</w:t>
            </w:r>
            <w:r>
              <w:rPr>
                <w:spacing w:val="-2"/>
              </w:rPr>
              <w:t>排水</w:t>
            </w:r>
          </w:p>
        </w:tc>
        <w:tc>
          <w:tcPr>
            <w:tcW w:w="1420" w:type="dxa"/>
            <w:vAlign w:val="top"/>
          </w:tcPr>
          <w:p>
            <w:pPr>
              <w:spacing w:before="93"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4.0×4.0</w:t>
            </w:r>
          </w:p>
        </w:tc>
        <w:tc>
          <w:tcPr>
            <w:tcW w:w="1425" w:type="dxa"/>
            <w:vAlign w:val="top"/>
          </w:tcPr>
          <w:p>
            <w:pPr>
              <w:spacing w:before="93" w:line="187"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74" w:type="dxa"/>
            <w:vAlign w:val="top"/>
          </w:tcPr>
          <w:p>
            <w:pPr>
              <w:spacing w:before="92" w:line="187" w:lineRule="auto"/>
              <w:ind w:left="48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68" w:type="dxa"/>
            <w:vAlign w:val="top"/>
          </w:tcPr>
          <w:p>
            <w:pPr>
              <w:spacing w:before="92"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L1K3+278</w:t>
            </w:r>
          </w:p>
        </w:tc>
        <w:tc>
          <w:tcPr>
            <w:tcW w:w="1418" w:type="dxa"/>
            <w:vAlign w:val="top"/>
          </w:tcPr>
          <w:p>
            <w:pPr>
              <w:pStyle w:val="6"/>
              <w:spacing w:before="53" w:line="220" w:lineRule="auto"/>
              <w:ind w:left="397"/>
            </w:pPr>
            <w:r>
              <w:rPr>
                <w:spacing w:val="-2"/>
              </w:rPr>
              <w:t>盖板涵</w:t>
            </w:r>
          </w:p>
        </w:tc>
        <w:tc>
          <w:tcPr>
            <w:tcW w:w="1418" w:type="dxa"/>
            <w:vAlign w:val="top"/>
          </w:tcPr>
          <w:p>
            <w:pPr>
              <w:pStyle w:val="6"/>
              <w:spacing w:before="53" w:line="221" w:lineRule="auto"/>
              <w:ind w:left="505"/>
            </w:pPr>
            <w:r>
              <w:rPr>
                <w:spacing w:val="-2"/>
              </w:rPr>
              <w:t>排水</w:t>
            </w:r>
          </w:p>
        </w:tc>
        <w:tc>
          <w:tcPr>
            <w:tcW w:w="1420" w:type="dxa"/>
            <w:vAlign w:val="top"/>
          </w:tcPr>
          <w:p>
            <w:pPr>
              <w:spacing w:before="92"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3.0×2.0</w:t>
            </w:r>
          </w:p>
        </w:tc>
        <w:tc>
          <w:tcPr>
            <w:tcW w:w="1425" w:type="dxa"/>
            <w:vAlign w:val="top"/>
          </w:tcPr>
          <w:p>
            <w:pPr>
              <w:spacing w:before="92"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74" w:type="dxa"/>
            <w:vAlign w:val="top"/>
          </w:tcPr>
          <w:p>
            <w:pPr>
              <w:spacing w:before="92" w:line="187" w:lineRule="auto"/>
              <w:ind w:left="490"/>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768" w:type="dxa"/>
            <w:vAlign w:val="top"/>
          </w:tcPr>
          <w:p>
            <w:pPr>
              <w:spacing w:before="92"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L1K3+515</w:t>
            </w:r>
          </w:p>
        </w:tc>
        <w:tc>
          <w:tcPr>
            <w:tcW w:w="1418" w:type="dxa"/>
            <w:vAlign w:val="top"/>
          </w:tcPr>
          <w:p>
            <w:pPr>
              <w:pStyle w:val="6"/>
              <w:spacing w:before="54" w:line="220" w:lineRule="auto"/>
              <w:ind w:left="397"/>
            </w:pPr>
            <w:r>
              <w:rPr>
                <w:spacing w:val="-2"/>
              </w:rPr>
              <w:t>盖板涵</w:t>
            </w:r>
          </w:p>
        </w:tc>
        <w:tc>
          <w:tcPr>
            <w:tcW w:w="1418" w:type="dxa"/>
            <w:vAlign w:val="top"/>
          </w:tcPr>
          <w:p>
            <w:pPr>
              <w:pStyle w:val="6"/>
              <w:spacing w:before="53" w:line="221" w:lineRule="auto"/>
              <w:ind w:left="505"/>
            </w:pPr>
            <w:r>
              <w:rPr>
                <w:spacing w:val="-2"/>
              </w:rPr>
              <w:t>排水</w:t>
            </w:r>
          </w:p>
        </w:tc>
        <w:tc>
          <w:tcPr>
            <w:tcW w:w="1420" w:type="dxa"/>
            <w:vAlign w:val="top"/>
          </w:tcPr>
          <w:p>
            <w:pPr>
              <w:spacing w:before="92"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3.0×2.0</w:t>
            </w:r>
          </w:p>
        </w:tc>
        <w:tc>
          <w:tcPr>
            <w:tcW w:w="1425" w:type="dxa"/>
            <w:vAlign w:val="top"/>
          </w:tcPr>
          <w:p>
            <w:pPr>
              <w:spacing w:before="92" w:line="187"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74" w:type="dxa"/>
            <w:vAlign w:val="top"/>
          </w:tcPr>
          <w:p>
            <w:pPr>
              <w:spacing w:before="93" w:line="187" w:lineRule="auto"/>
              <w:ind w:left="48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768" w:type="dxa"/>
            <w:vAlign w:val="top"/>
          </w:tcPr>
          <w:p>
            <w:pPr>
              <w:spacing w:before="93"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L1K4+357</w:t>
            </w:r>
          </w:p>
        </w:tc>
        <w:tc>
          <w:tcPr>
            <w:tcW w:w="1418" w:type="dxa"/>
            <w:vAlign w:val="top"/>
          </w:tcPr>
          <w:p>
            <w:pPr>
              <w:pStyle w:val="6"/>
              <w:spacing w:before="54" w:line="220" w:lineRule="auto"/>
              <w:ind w:left="397"/>
            </w:pPr>
            <w:r>
              <w:rPr>
                <w:spacing w:val="-2"/>
              </w:rPr>
              <w:t>盖板涵</w:t>
            </w:r>
          </w:p>
        </w:tc>
        <w:tc>
          <w:tcPr>
            <w:tcW w:w="1418" w:type="dxa"/>
            <w:vAlign w:val="top"/>
          </w:tcPr>
          <w:p>
            <w:pPr>
              <w:pStyle w:val="6"/>
              <w:spacing w:before="54" w:line="221" w:lineRule="auto"/>
              <w:ind w:left="505"/>
            </w:pPr>
            <w:r>
              <w:rPr>
                <w:spacing w:val="-2"/>
              </w:rPr>
              <w:t>排水</w:t>
            </w:r>
          </w:p>
        </w:tc>
        <w:tc>
          <w:tcPr>
            <w:tcW w:w="1420" w:type="dxa"/>
            <w:vAlign w:val="top"/>
          </w:tcPr>
          <w:p>
            <w:pPr>
              <w:spacing w:before="93"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4.0×2.0</w:t>
            </w:r>
          </w:p>
        </w:tc>
        <w:tc>
          <w:tcPr>
            <w:tcW w:w="1425" w:type="dxa"/>
            <w:vAlign w:val="top"/>
          </w:tcPr>
          <w:p>
            <w:pPr>
              <w:spacing w:before="93" w:line="187"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74" w:type="dxa"/>
            <w:vAlign w:val="top"/>
          </w:tcPr>
          <w:p>
            <w:pPr>
              <w:spacing w:before="96" w:line="184" w:lineRule="auto"/>
              <w:ind w:left="492"/>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768" w:type="dxa"/>
            <w:vAlign w:val="top"/>
          </w:tcPr>
          <w:p>
            <w:pPr>
              <w:spacing w:before="93"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L1K4+519</w:t>
            </w:r>
          </w:p>
        </w:tc>
        <w:tc>
          <w:tcPr>
            <w:tcW w:w="1418" w:type="dxa"/>
            <w:vAlign w:val="top"/>
          </w:tcPr>
          <w:p>
            <w:pPr>
              <w:pStyle w:val="6"/>
              <w:spacing w:before="55" w:line="220" w:lineRule="auto"/>
              <w:ind w:left="397"/>
            </w:pPr>
            <w:r>
              <w:rPr>
                <w:spacing w:val="-2"/>
              </w:rPr>
              <w:t>盖板涵</w:t>
            </w:r>
          </w:p>
        </w:tc>
        <w:tc>
          <w:tcPr>
            <w:tcW w:w="1418" w:type="dxa"/>
            <w:vAlign w:val="top"/>
          </w:tcPr>
          <w:p>
            <w:pPr>
              <w:pStyle w:val="6"/>
              <w:spacing w:before="54" w:line="221" w:lineRule="auto"/>
              <w:ind w:left="505"/>
            </w:pPr>
            <w:r>
              <w:rPr>
                <w:spacing w:val="-2"/>
              </w:rPr>
              <w:t>排水</w:t>
            </w:r>
          </w:p>
        </w:tc>
        <w:tc>
          <w:tcPr>
            <w:tcW w:w="1420" w:type="dxa"/>
            <w:vAlign w:val="top"/>
          </w:tcPr>
          <w:p>
            <w:pPr>
              <w:spacing w:before="93"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3.0×3.0</w:t>
            </w:r>
          </w:p>
        </w:tc>
        <w:tc>
          <w:tcPr>
            <w:tcW w:w="1425" w:type="dxa"/>
            <w:vAlign w:val="top"/>
          </w:tcPr>
          <w:p>
            <w:pPr>
              <w:spacing w:before="93" w:line="187" w:lineRule="auto"/>
              <w:ind w:left="4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74" w:type="dxa"/>
            <w:vAlign w:val="top"/>
          </w:tcPr>
          <w:p>
            <w:pPr>
              <w:spacing w:before="93" w:line="187" w:lineRule="auto"/>
              <w:ind w:left="491"/>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768" w:type="dxa"/>
            <w:vAlign w:val="top"/>
          </w:tcPr>
          <w:p>
            <w:pPr>
              <w:spacing w:before="93"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L1K6+206</w:t>
            </w:r>
          </w:p>
        </w:tc>
        <w:tc>
          <w:tcPr>
            <w:tcW w:w="1418" w:type="dxa"/>
            <w:vAlign w:val="top"/>
          </w:tcPr>
          <w:p>
            <w:pPr>
              <w:pStyle w:val="6"/>
              <w:spacing w:before="55" w:line="220" w:lineRule="auto"/>
              <w:ind w:left="397"/>
            </w:pPr>
            <w:r>
              <w:rPr>
                <w:spacing w:val="-2"/>
              </w:rPr>
              <w:t>盖板涵</w:t>
            </w:r>
          </w:p>
        </w:tc>
        <w:tc>
          <w:tcPr>
            <w:tcW w:w="1418" w:type="dxa"/>
            <w:vAlign w:val="top"/>
          </w:tcPr>
          <w:p>
            <w:pPr>
              <w:pStyle w:val="6"/>
              <w:spacing w:before="55" w:line="220" w:lineRule="auto"/>
              <w:ind w:left="505"/>
            </w:pPr>
            <w:r>
              <w:rPr>
                <w:spacing w:val="-2"/>
              </w:rPr>
              <w:t>排水</w:t>
            </w:r>
          </w:p>
        </w:tc>
        <w:tc>
          <w:tcPr>
            <w:tcW w:w="1420" w:type="dxa"/>
            <w:vAlign w:val="top"/>
          </w:tcPr>
          <w:p>
            <w:pPr>
              <w:spacing w:before="93"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3.0×3.0</w:t>
            </w:r>
          </w:p>
        </w:tc>
        <w:tc>
          <w:tcPr>
            <w:tcW w:w="1425" w:type="dxa"/>
            <w:vAlign w:val="top"/>
          </w:tcPr>
          <w:p>
            <w:pPr>
              <w:spacing w:before="93"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074" w:type="dxa"/>
            <w:vAlign w:val="top"/>
          </w:tcPr>
          <w:p>
            <w:pPr>
              <w:spacing w:before="99" w:line="184" w:lineRule="auto"/>
              <w:ind w:left="489"/>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768" w:type="dxa"/>
            <w:vAlign w:val="top"/>
          </w:tcPr>
          <w:p>
            <w:pPr>
              <w:spacing w:before="96"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L2K1+084</w:t>
            </w:r>
          </w:p>
        </w:tc>
        <w:tc>
          <w:tcPr>
            <w:tcW w:w="1418" w:type="dxa"/>
            <w:vAlign w:val="top"/>
          </w:tcPr>
          <w:p>
            <w:pPr>
              <w:pStyle w:val="6"/>
              <w:spacing w:before="58" w:line="220" w:lineRule="auto"/>
              <w:ind w:left="397"/>
            </w:pPr>
            <w:r>
              <w:rPr>
                <w:spacing w:val="-2"/>
              </w:rPr>
              <w:t>盖板涵</w:t>
            </w:r>
          </w:p>
        </w:tc>
        <w:tc>
          <w:tcPr>
            <w:tcW w:w="1418" w:type="dxa"/>
            <w:vAlign w:val="top"/>
          </w:tcPr>
          <w:p>
            <w:pPr>
              <w:pStyle w:val="6"/>
              <w:spacing w:before="58" w:line="220" w:lineRule="auto"/>
              <w:ind w:left="505"/>
            </w:pPr>
            <w:r>
              <w:rPr>
                <w:spacing w:val="-2"/>
              </w:rPr>
              <w:t>排水</w:t>
            </w:r>
          </w:p>
        </w:tc>
        <w:tc>
          <w:tcPr>
            <w:tcW w:w="1420" w:type="dxa"/>
            <w:vAlign w:val="top"/>
          </w:tcPr>
          <w:p>
            <w:pPr>
              <w:spacing w:before="96"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4.0×2.0</w:t>
            </w:r>
          </w:p>
        </w:tc>
        <w:tc>
          <w:tcPr>
            <w:tcW w:w="1425" w:type="dxa"/>
            <w:vAlign w:val="top"/>
          </w:tcPr>
          <w:p>
            <w:pPr>
              <w:spacing w:before="96"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74" w:type="dxa"/>
            <w:vAlign w:val="top"/>
          </w:tcPr>
          <w:p>
            <w:pPr>
              <w:spacing w:before="94" w:line="187" w:lineRule="auto"/>
              <w:ind w:left="495"/>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768" w:type="dxa"/>
            <w:vAlign w:val="top"/>
          </w:tcPr>
          <w:p>
            <w:pPr>
              <w:spacing w:before="94"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L2K1+181</w:t>
            </w:r>
          </w:p>
        </w:tc>
        <w:tc>
          <w:tcPr>
            <w:tcW w:w="1418" w:type="dxa"/>
            <w:vAlign w:val="top"/>
          </w:tcPr>
          <w:p>
            <w:pPr>
              <w:pStyle w:val="6"/>
              <w:spacing w:before="55" w:line="220" w:lineRule="auto"/>
              <w:ind w:left="397"/>
            </w:pPr>
            <w:r>
              <w:rPr>
                <w:spacing w:val="-2"/>
              </w:rPr>
              <w:t>盖板涵</w:t>
            </w:r>
          </w:p>
        </w:tc>
        <w:tc>
          <w:tcPr>
            <w:tcW w:w="1418" w:type="dxa"/>
            <w:vAlign w:val="top"/>
          </w:tcPr>
          <w:p>
            <w:pPr>
              <w:pStyle w:val="6"/>
              <w:spacing w:before="55" w:line="220" w:lineRule="auto"/>
              <w:ind w:left="505"/>
            </w:pPr>
            <w:r>
              <w:rPr>
                <w:spacing w:val="-2"/>
              </w:rPr>
              <w:t>排水</w:t>
            </w:r>
          </w:p>
        </w:tc>
        <w:tc>
          <w:tcPr>
            <w:tcW w:w="1420" w:type="dxa"/>
            <w:vAlign w:val="top"/>
          </w:tcPr>
          <w:p>
            <w:pPr>
              <w:spacing w:before="94"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4.0×3.0</w:t>
            </w:r>
          </w:p>
        </w:tc>
        <w:tc>
          <w:tcPr>
            <w:tcW w:w="1425" w:type="dxa"/>
            <w:vAlign w:val="top"/>
          </w:tcPr>
          <w:p>
            <w:pPr>
              <w:spacing w:before="94" w:line="18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74" w:type="dxa"/>
            <w:vAlign w:val="top"/>
          </w:tcPr>
          <w:p>
            <w:pPr>
              <w:spacing w:before="95" w:line="187" w:lineRule="auto"/>
              <w:ind w:left="490"/>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768" w:type="dxa"/>
            <w:vAlign w:val="top"/>
          </w:tcPr>
          <w:p>
            <w:pPr>
              <w:spacing w:before="95"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L2K1+448</w:t>
            </w:r>
          </w:p>
        </w:tc>
        <w:tc>
          <w:tcPr>
            <w:tcW w:w="1418" w:type="dxa"/>
            <w:vAlign w:val="top"/>
          </w:tcPr>
          <w:p>
            <w:pPr>
              <w:pStyle w:val="6"/>
              <w:spacing w:before="56" w:line="220" w:lineRule="auto"/>
              <w:ind w:left="397"/>
            </w:pPr>
            <w:r>
              <w:rPr>
                <w:spacing w:val="-2"/>
              </w:rPr>
              <w:t>盖板涵</w:t>
            </w:r>
          </w:p>
        </w:tc>
        <w:tc>
          <w:tcPr>
            <w:tcW w:w="1418" w:type="dxa"/>
            <w:vAlign w:val="top"/>
          </w:tcPr>
          <w:p>
            <w:pPr>
              <w:pStyle w:val="6"/>
              <w:spacing w:before="56" w:line="221" w:lineRule="auto"/>
              <w:ind w:left="505"/>
            </w:pPr>
            <w:r>
              <w:rPr>
                <w:spacing w:val="-2"/>
              </w:rPr>
              <w:t>排水</w:t>
            </w:r>
          </w:p>
        </w:tc>
        <w:tc>
          <w:tcPr>
            <w:tcW w:w="1420" w:type="dxa"/>
            <w:vAlign w:val="top"/>
          </w:tcPr>
          <w:p>
            <w:pPr>
              <w:spacing w:before="95"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4.0×2.0</w:t>
            </w:r>
          </w:p>
        </w:tc>
        <w:tc>
          <w:tcPr>
            <w:tcW w:w="1425" w:type="dxa"/>
            <w:vAlign w:val="top"/>
          </w:tcPr>
          <w:p>
            <w:pPr>
              <w:spacing w:before="95"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96.99</w:t>
            </w:r>
          </w:p>
        </w:tc>
      </w:tr>
    </w:tbl>
    <w:p>
      <w:pPr>
        <w:pStyle w:val="2"/>
        <w:spacing w:line="268" w:lineRule="auto"/>
      </w:pPr>
    </w:p>
    <w:p>
      <w:pPr>
        <w:spacing w:before="79" w:line="220" w:lineRule="auto"/>
        <w:ind w:left="555"/>
        <w:outlineLvl w:val="0"/>
        <w:rPr>
          <w:rFonts w:ascii="宋体" w:hAnsi="宋体" w:eastAsia="宋体" w:cs="宋体"/>
          <w:sz w:val="24"/>
          <w:szCs w:val="24"/>
        </w:rPr>
      </w:pPr>
      <w:r>
        <w:rPr>
          <w:rFonts w:ascii="Times New Roman" w:hAnsi="Times New Roman" w:eastAsia="Times New Roman" w:cs="Times New Roman"/>
          <w:b/>
          <w:bCs/>
          <w:spacing w:val="-3"/>
          <w:sz w:val="24"/>
          <w:szCs w:val="24"/>
        </w:rPr>
        <w:t>3.2.5</w:t>
      </w:r>
      <w:r>
        <w:rPr>
          <w:rFonts w:ascii="Times New Roman" w:hAnsi="Times New Roman" w:eastAsia="Times New Roman" w:cs="Times New Roman"/>
          <w:b/>
          <w:bCs/>
          <w:spacing w:val="13"/>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隧道工程</w:t>
      </w:r>
    </w:p>
    <w:p>
      <w:pPr>
        <w:spacing w:before="181" w:line="221" w:lineRule="auto"/>
        <w:ind w:left="555"/>
        <w:outlineLvl w:val="0"/>
        <w:rPr>
          <w:rFonts w:ascii="宋体" w:hAnsi="宋体" w:eastAsia="宋体" w:cs="宋体"/>
          <w:sz w:val="24"/>
          <w:szCs w:val="24"/>
        </w:rPr>
      </w:pPr>
      <w:r>
        <w:fldChar w:fldCharType="begin"/>
      </w:r>
      <w:r>
        <w:instrText xml:space="preserve"> HYPERLINK "3.2.4.1" </w:instrText>
      </w:r>
      <w:r>
        <w:fldChar w:fldCharType="separate"/>
      </w:r>
      <w:r>
        <w:rPr>
          <w:rFonts w:ascii="Times New Roman" w:hAnsi="Times New Roman" w:eastAsia="Times New Roman" w:cs="Times New Roman"/>
          <w:b/>
          <w:bCs/>
          <w:spacing w:val="-2"/>
          <w:sz w:val="24"/>
          <w:szCs w:val="24"/>
        </w:rPr>
        <w:t>3.2.4.1</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13"/>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隧道总体设计</w:t>
      </w:r>
    </w:p>
    <w:p>
      <w:pPr>
        <w:spacing w:before="178" w:line="220" w:lineRule="auto"/>
        <w:ind w:left="1059"/>
        <w:rPr>
          <w:rFonts w:ascii="宋体" w:hAnsi="宋体" w:eastAsia="宋体" w:cs="宋体"/>
          <w:sz w:val="24"/>
          <w:szCs w:val="24"/>
        </w:rPr>
      </w:pPr>
      <w:r>
        <w:rPr>
          <w:rFonts w:ascii="Times New Roman" w:hAnsi="Times New Roman" w:eastAsia="Times New Roman" w:cs="Times New Roman"/>
          <w:spacing w:val="-7"/>
          <w:sz w:val="24"/>
          <w:szCs w:val="24"/>
        </w:rPr>
        <w:t>1</w:t>
      </w:r>
      <w:r>
        <w:rPr>
          <w:rFonts w:ascii="宋体" w:hAnsi="宋体" w:eastAsia="宋体" w:cs="宋体"/>
          <w:spacing w:val="-7"/>
          <w:sz w:val="24"/>
          <w:szCs w:val="24"/>
        </w:rPr>
        <w:t>、隧道概况</w:t>
      </w:r>
    </w:p>
    <w:p>
      <w:pPr>
        <w:spacing w:before="183" w:line="466" w:lineRule="exact"/>
        <w:ind w:left="1047"/>
        <w:rPr>
          <w:rFonts w:ascii="宋体" w:hAnsi="宋体" w:eastAsia="宋体" w:cs="宋体"/>
          <w:sz w:val="24"/>
          <w:szCs w:val="24"/>
        </w:rPr>
      </w:pPr>
      <w:r>
        <w:rPr>
          <w:rFonts w:ascii="宋体" w:hAnsi="宋体" w:eastAsia="宋体" w:cs="宋体"/>
          <w:spacing w:val="-12"/>
          <w:position w:val="17"/>
          <w:sz w:val="24"/>
          <w:szCs w:val="24"/>
        </w:rPr>
        <w:t>西坑连接线设置</w:t>
      </w:r>
      <w:r>
        <w:rPr>
          <w:rFonts w:ascii="宋体" w:hAnsi="宋体" w:eastAsia="宋体" w:cs="宋体"/>
          <w:spacing w:val="-38"/>
          <w:position w:val="17"/>
          <w:sz w:val="24"/>
          <w:szCs w:val="24"/>
        </w:rPr>
        <w:t xml:space="preserve"> </w:t>
      </w:r>
      <w:r>
        <w:rPr>
          <w:rFonts w:ascii="Times New Roman" w:hAnsi="Times New Roman" w:eastAsia="Times New Roman" w:cs="Times New Roman"/>
          <w:spacing w:val="-12"/>
          <w:position w:val="17"/>
          <w:sz w:val="24"/>
          <w:szCs w:val="24"/>
        </w:rPr>
        <w:t>2</w:t>
      </w:r>
      <w:r>
        <w:rPr>
          <w:rFonts w:ascii="Times New Roman" w:hAnsi="Times New Roman" w:eastAsia="Times New Roman" w:cs="Times New Roman"/>
          <w:spacing w:val="11"/>
          <w:position w:val="17"/>
          <w:sz w:val="24"/>
          <w:szCs w:val="24"/>
        </w:rPr>
        <w:t xml:space="preserve"> </w:t>
      </w:r>
      <w:r>
        <w:rPr>
          <w:rFonts w:ascii="宋体" w:hAnsi="宋体" w:eastAsia="宋体" w:cs="宋体"/>
          <w:spacing w:val="-12"/>
          <w:position w:val="17"/>
          <w:sz w:val="24"/>
          <w:szCs w:val="24"/>
        </w:rPr>
        <w:t>座隧道，分别为敖里隧道、百丈隧道，</w:t>
      </w:r>
      <w:r>
        <w:rPr>
          <w:rFonts w:ascii="宋体" w:hAnsi="宋体" w:eastAsia="宋体" w:cs="宋体"/>
          <w:spacing w:val="-31"/>
          <w:position w:val="17"/>
          <w:sz w:val="24"/>
          <w:szCs w:val="24"/>
        </w:rPr>
        <w:t xml:space="preserve"> </w:t>
      </w:r>
      <w:r>
        <w:rPr>
          <w:rFonts w:ascii="宋体" w:hAnsi="宋体" w:eastAsia="宋体" w:cs="宋体"/>
          <w:spacing w:val="-12"/>
          <w:position w:val="17"/>
          <w:sz w:val="24"/>
          <w:szCs w:val="24"/>
        </w:rPr>
        <w:t>具体情况见表</w:t>
      </w:r>
      <w:r>
        <w:rPr>
          <w:rFonts w:ascii="宋体" w:hAnsi="宋体" w:eastAsia="宋体" w:cs="宋体"/>
          <w:spacing w:val="-49"/>
          <w:position w:val="17"/>
          <w:sz w:val="24"/>
          <w:szCs w:val="24"/>
        </w:rPr>
        <w:t xml:space="preserve"> </w:t>
      </w:r>
      <w:r>
        <w:rPr>
          <w:rFonts w:ascii="Times New Roman" w:hAnsi="Times New Roman" w:eastAsia="Times New Roman" w:cs="Times New Roman"/>
          <w:spacing w:val="-12"/>
          <w:position w:val="17"/>
          <w:sz w:val="24"/>
          <w:szCs w:val="24"/>
        </w:rPr>
        <w:t>3.2-6</w:t>
      </w:r>
      <w:r>
        <w:rPr>
          <w:rFonts w:ascii="宋体" w:hAnsi="宋体" w:eastAsia="宋体" w:cs="宋体"/>
          <w:spacing w:val="-12"/>
          <w:position w:val="17"/>
          <w:sz w:val="24"/>
          <w:szCs w:val="24"/>
        </w:rPr>
        <w:t>。</w:t>
      </w:r>
    </w:p>
    <w:p>
      <w:pPr>
        <w:spacing w:before="1" w:line="220" w:lineRule="auto"/>
        <w:ind w:left="3294"/>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3.2-8</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隧道设置汇总表</w:t>
      </w:r>
    </w:p>
    <w:p>
      <w:pPr>
        <w:spacing w:line="145" w:lineRule="exact"/>
      </w:pPr>
    </w:p>
    <w:tbl>
      <w:tblPr>
        <w:tblStyle w:val="5"/>
        <w:tblW w:w="94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5"/>
        <w:gridCol w:w="1291"/>
        <w:gridCol w:w="1290"/>
        <w:gridCol w:w="1291"/>
        <w:gridCol w:w="1290"/>
        <w:gridCol w:w="1030"/>
        <w:gridCol w:w="1161"/>
        <w:gridCol w:w="7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95" w:type="dxa"/>
            <w:vMerge w:val="restart"/>
            <w:tcBorders>
              <w:bottom w:val="nil"/>
            </w:tcBorders>
            <w:vAlign w:val="top"/>
          </w:tcPr>
          <w:p>
            <w:pPr>
              <w:pStyle w:val="6"/>
              <w:spacing w:before="216" w:line="223" w:lineRule="auto"/>
              <w:ind w:left="244"/>
            </w:pPr>
            <w:r>
              <w:rPr>
                <w:spacing w:val="-4"/>
              </w:rPr>
              <w:t>隧道名称</w:t>
            </w:r>
          </w:p>
        </w:tc>
        <w:tc>
          <w:tcPr>
            <w:tcW w:w="1291" w:type="dxa"/>
            <w:vMerge w:val="restart"/>
            <w:tcBorders>
              <w:bottom w:val="nil"/>
            </w:tcBorders>
            <w:vAlign w:val="top"/>
          </w:tcPr>
          <w:p>
            <w:pPr>
              <w:pStyle w:val="6"/>
              <w:spacing w:before="216" w:line="221" w:lineRule="auto"/>
              <w:ind w:left="240"/>
            </w:pPr>
            <w:r>
              <w:rPr>
                <w:spacing w:val="-4"/>
              </w:rPr>
              <w:t>隧道类型</w:t>
            </w:r>
          </w:p>
        </w:tc>
        <w:tc>
          <w:tcPr>
            <w:tcW w:w="1290" w:type="dxa"/>
            <w:vMerge w:val="restart"/>
            <w:tcBorders>
              <w:bottom w:val="nil"/>
            </w:tcBorders>
            <w:vAlign w:val="top"/>
          </w:tcPr>
          <w:p>
            <w:pPr>
              <w:pStyle w:val="6"/>
              <w:spacing w:before="216" w:line="221" w:lineRule="auto"/>
              <w:ind w:left="231"/>
            </w:pPr>
            <w:r>
              <w:rPr>
                <w:spacing w:val="-2"/>
              </w:rPr>
              <w:t>起讫桩号</w:t>
            </w:r>
          </w:p>
        </w:tc>
        <w:tc>
          <w:tcPr>
            <w:tcW w:w="1291" w:type="dxa"/>
            <w:vMerge w:val="restart"/>
            <w:tcBorders>
              <w:bottom w:val="nil"/>
            </w:tcBorders>
            <w:vAlign w:val="top"/>
          </w:tcPr>
          <w:p>
            <w:pPr>
              <w:pStyle w:val="6"/>
              <w:spacing w:before="59" w:line="251" w:lineRule="auto"/>
              <w:ind w:left="364" w:right="220" w:hanging="122"/>
            </w:pPr>
            <w:r>
              <w:rPr>
                <w:spacing w:val="-5"/>
              </w:rPr>
              <w:t>隧道长度</w:t>
            </w:r>
            <w:r>
              <w:rPr>
                <w:spacing w:val="2"/>
              </w:rPr>
              <w:t xml:space="preserve"> </w:t>
            </w:r>
            <w:r>
              <w:rPr>
                <w:spacing w:val="-5"/>
              </w:rPr>
              <w:t>（</w:t>
            </w:r>
            <w:r>
              <w:rPr>
                <w:rFonts w:ascii="Times New Roman" w:hAnsi="Times New Roman" w:eastAsia="Times New Roman" w:cs="Times New Roman"/>
                <w:spacing w:val="-5"/>
              </w:rPr>
              <w:t>m</w:t>
            </w:r>
            <w:r>
              <w:rPr>
                <w:spacing w:val="-5"/>
              </w:rPr>
              <w:t>）</w:t>
            </w:r>
          </w:p>
        </w:tc>
        <w:tc>
          <w:tcPr>
            <w:tcW w:w="1290" w:type="dxa"/>
            <w:vMerge w:val="restart"/>
            <w:tcBorders>
              <w:bottom w:val="nil"/>
            </w:tcBorders>
            <w:vAlign w:val="top"/>
          </w:tcPr>
          <w:p>
            <w:pPr>
              <w:pStyle w:val="6"/>
              <w:spacing w:before="61" w:line="234" w:lineRule="auto"/>
              <w:ind w:left="206"/>
            </w:pPr>
            <w:r>
              <w:rPr>
                <w:spacing w:val="-2"/>
              </w:rPr>
              <w:t>净宽</w:t>
            </w:r>
            <w:r>
              <w:rPr>
                <w:rFonts w:ascii="Times New Roman" w:hAnsi="Times New Roman" w:eastAsia="Times New Roman" w:cs="Times New Roman"/>
                <w:spacing w:val="-2"/>
              </w:rPr>
              <w:t>/</w:t>
            </w:r>
            <w:r>
              <w:rPr>
                <w:spacing w:val="-2"/>
              </w:rPr>
              <w:t>净高</w:t>
            </w:r>
          </w:p>
          <w:p>
            <w:pPr>
              <w:pStyle w:val="6"/>
              <w:spacing w:before="45" w:line="227" w:lineRule="auto"/>
              <w:ind w:left="365"/>
            </w:pPr>
            <w:r>
              <w:rPr>
                <w:spacing w:val="-5"/>
              </w:rPr>
              <w:t>（</w:t>
            </w:r>
            <w:r>
              <w:rPr>
                <w:rFonts w:ascii="Times New Roman" w:hAnsi="Times New Roman" w:eastAsia="Times New Roman" w:cs="Times New Roman"/>
                <w:spacing w:val="-5"/>
              </w:rPr>
              <w:t>m</w:t>
            </w:r>
            <w:r>
              <w:rPr>
                <w:spacing w:val="-5"/>
              </w:rPr>
              <w:t>）</w:t>
            </w:r>
          </w:p>
        </w:tc>
        <w:tc>
          <w:tcPr>
            <w:tcW w:w="2191" w:type="dxa"/>
            <w:gridSpan w:val="2"/>
            <w:vAlign w:val="top"/>
          </w:tcPr>
          <w:p>
            <w:pPr>
              <w:pStyle w:val="6"/>
              <w:spacing w:before="55" w:line="222" w:lineRule="auto"/>
              <w:ind w:left="683"/>
            </w:pPr>
            <w:r>
              <w:rPr>
                <w:spacing w:val="-2"/>
              </w:rPr>
              <w:t>洞门形式</w:t>
            </w:r>
          </w:p>
        </w:tc>
        <w:tc>
          <w:tcPr>
            <w:tcW w:w="756" w:type="dxa"/>
            <w:vMerge w:val="restart"/>
            <w:tcBorders>
              <w:bottom w:val="nil"/>
            </w:tcBorders>
            <w:vAlign w:val="top"/>
          </w:tcPr>
          <w:p>
            <w:pPr>
              <w:pStyle w:val="6"/>
              <w:spacing w:before="60" w:line="312" w:lineRule="exact"/>
              <w:ind w:left="171"/>
            </w:pPr>
            <w:r>
              <w:rPr>
                <w:spacing w:val="-2"/>
                <w:position w:val="7"/>
              </w:rPr>
              <w:t>通风</w:t>
            </w:r>
          </w:p>
          <w:p>
            <w:pPr>
              <w:pStyle w:val="6"/>
              <w:spacing w:line="222" w:lineRule="auto"/>
              <w:ind w:left="172"/>
            </w:pPr>
            <w:r>
              <w:rPr>
                <w:spacing w:val="-2"/>
              </w:rPr>
              <w:t>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95" w:type="dxa"/>
            <w:vMerge w:val="continue"/>
            <w:tcBorders>
              <w:top w:val="nil"/>
            </w:tcBorders>
            <w:vAlign w:val="top"/>
          </w:tcPr>
          <w:p>
            <w:pPr>
              <w:rPr>
                <w:rFonts w:ascii="Arial"/>
                <w:sz w:val="21"/>
              </w:rPr>
            </w:pPr>
          </w:p>
        </w:tc>
        <w:tc>
          <w:tcPr>
            <w:tcW w:w="1291" w:type="dxa"/>
            <w:vMerge w:val="continue"/>
            <w:tcBorders>
              <w:top w:val="nil"/>
            </w:tcBorders>
            <w:vAlign w:val="top"/>
          </w:tcPr>
          <w:p>
            <w:pPr>
              <w:rPr>
                <w:rFonts w:ascii="Arial"/>
                <w:sz w:val="21"/>
              </w:rPr>
            </w:pPr>
          </w:p>
        </w:tc>
        <w:tc>
          <w:tcPr>
            <w:tcW w:w="1290" w:type="dxa"/>
            <w:vMerge w:val="continue"/>
            <w:tcBorders>
              <w:top w:val="nil"/>
            </w:tcBorders>
            <w:vAlign w:val="top"/>
          </w:tcPr>
          <w:p>
            <w:pPr>
              <w:rPr>
                <w:rFonts w:ascii="Arial"/>
                <w:sz w:val="21"/>
              </w:rPr>
            </w:pPr>
          </w:p>
        </w:tc>
        <w:tc>
          <w:tcPr>
            <w:tcW w:w="1291" w:type="dxa"/>
            <w:vMerge w:val="continue"/>
            <w:tcBorders>
              <w:top w:val="nil"/>
            </w:tcBorders>
            <w:vAlign w:val="top"/>
          </w:tcPr>
          <w:p>
            <w:pPr>
              <w:rPr>
                <w:rFonts w:ascii="Arial"/>
                <w:sz w:val="21"/>
              </w:rPr>
            </w:pPr>
          </w:p>
        </w:tc>
        <w:tc>
          <w:tcPr>
            <w:tcW w:w="1290" w:type="dxa"/>
            <w:vMerge w:val="continue"/>
            <w:tcBorders>
              <w:top w:val="nil"/>
            </w:tcBorders>
            <w:vAlign w:val="top"/>
          </w:tcPr>
          <w:p>
            <w:pPr>
              <w:rPr>
                <w:rFonts w:ascii="Arial"/>
                <w:sz w:val="21"/>
              </w:rPr>
            </w:pPr>
          </w:p>
        </w:tc>
        <w:tc>
          <w:tcPr>
            <w:tcW w:w="1030" w:type="dxa"/>
            <w:vAlign w:val="top"/>
          </w:tcPr>
          <w:p>
            <w:pPr>
              <w:pStyle w:val="6"/>
              <w:spacing w:before="52" w:line="223" w:lineRule="auto"/>
              <w:ind w:left="311"/>
            </w:pPr>
            <w:r>
              <w:rPr>
                <w:spacing w:val="-2"/>
              </w:rPr>
              <w:t>进口</w:t>
            </w:r>
          </w:p>
        </w:tc>
        <w:tc>
          <w:tcPr>
            <w:tcW w:w="1161" w:type="dxa"/>
            <w:vAlign w:val="top"/>
          </w:tcPr>
          <w:p>
            <w:pPr>
              <w:pStyle w:val="6"/>
              <w:spacing w:before="52" w:line="223" w:lineRule="auto"/>
              <w:ind w:left="398"/>
            </w:pPr>
            <w:r>
              <w:rPr>
                <w:spacing w:val="-7"/>
              </w:rPr>
              <w:t>出口</w:t>
            </w:r>
          </w:p>
        </w:tc>
        <w:tc>
          <w:tcPr>
            <w:tcW w:w="75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95" w:type="dxa"/>
            <w:vAlign w:val="top"/>
          </w:tcPr>
          <w:p>
            <w:pPr>
              <w:pStyle w:val="6"/>
              <w:spacing w:before="208" w:line="221" w:lineRule="auto"/>
              <w:ind w:left="234"/>
            </w:pPr>
            <w:r>
              <w:rPr>
                <w:spacing w:val="-2"/>
              </w:rPr>
              <w:t>敖里隧道</w:t>
            </w:r>
          </w:p>
        </w:tc>
        <w:tc>
          <w:tcPr>
            <w:tcW w:w="1291" w:type="dxa"/>
            <w:vAlign w:val="top"/>
          </w:tcPr>
          <w:p>
            <w:pPr>
              <w:pStyle w:val="6"/>
              <w:spacing w:before="209" w:line="221" w:lineRule="auto"/>
              <w:ind w:left="440"/>
            </w:pPr>
            <w:r>
              <w:rPr>
                <w:spacing w:val="-2"/>
              </w:rPr>
              <w:t>单洞</w:t>
            </w:r>
          </w:p>
        </w:tc>
        <w:tc>
          <w:tcPr>
            <w:tcW w:w="1290" w:type="dxa"/>
            <w:vAlign w:val="top"/>
          </w:tcPr>
          <w:p>
            <w:pPr>
              <w:spacing w:before="91" w:line="312" w:lineRule="exact"/>
              <w:ind w:left="116"/>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LK2+410~L</w:t>
            </w:r>
          </w:p>
          <w:p>
            <w:pPr>
              <w:spacing w:line="186" w:lineRule="auto"/>
              <w:ind w:left="3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K3+263</w:t>
            </w:r>
          </w:p>
        </w:tc>
        <w:tc>
          <w:tcPr>
            <w:tcW w:w="1291" w:type="dxa"/>
            <w:vAlign w:val="top"/>
          </w:tcPr>
          <w:p>
            <w:pPr>
              <w:spacing w:before="247" w:line="187" w:lineRule="auto"/>
              <w:ind w:left="49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853</w:t>
            </w:r>
          </w:p>
        </w:tc>
        <w:tc>
          <w:tcPr>
            <w:tcW w:w="1290" w:type="dxa"/>
            <w:vAlign w:val="top"/>
          </w:tcPr>
          <w:p>
            <w:pPr>
              <w:spacing w:before="243" w:line="191"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10.00/5.0</w:t>
            </w:r>
          </w:p>
        </w:tc>
        <w:tc>
          <w:tcPr>
            <w:tcW w:w="1030" w:type="dxa"/>
            <w:vAlign w:val="top"/>
          </w:tcPr>
          <w:p>
            <w:pPr>
              <w:pStyle w:val="6"/>
              <w:spacing w:before="208" w:line="221" w:lineRule="auto"/>
              <w:ind w:left="208"/>
            </w:pPr>
            <w:r>
              <w:rPr>
                <w:spacing w:val="-2"/>
              </w:rPr>
              <w:t>端墙式</w:t>
            </w:r>
          </w:p>
        </w:tc>
        <w:tc>
          <w:tcPr>
            <w:tcW w:w="1161" w:type="dxa"/>
            <w:vAlign w:val="top"/>
          </w:tcPr>
          <w:p>
            <w:pPr>
              <w:pStyle w:val="6"/>
              <w:spacing w:before="208" w:line="221" w:lineRule="auto"/>
              <w:ind w:left="275"/>
            </w:pPr>
            <w:r>
              <w:rPr>
                <w:spacing w:val="-2"/>
              </w:rPr>
              <w:t>端墙式</w:t>
            </w:r>
          </w:p>
        </w:tc>
        <w:tc>
          <w:tcPr>
            <w:tcW w:w="756" w:type="dxa"/>
            <w:vAlign w:val="top"/>
          </w:tcPr>
          <w:p>
            <w:pPr>
              <w:pStyle w:val="6"/>
              <w:spacing w:before="53" w:line="312" w:lineRule="exact"/>
              <w:ind w:left="206"/>
            </w:pPr>
            <w:r>
              <w:rPr>
                <w:spacing w:val="-11"/>
                <w:position w:val="7"/>
              </w:rPr>
              <w:t>自然</w:t>
            </w:r>
          </w:p>
          <w:p>
            <w:pPr>
              <w:pStyle w:val="6"/>
              <w:spacing w:line="221" w:lineRule="auto"/>
              <w:ind w:left="171"/>
            </w:pPr>
            <w:r>
              <w:rPr>
                <w:spacing w:val="-2"/>
              </w:rPr>
              <w:t>通风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295" w:type="dxa"/>
            <w:vAlign w:val="top"/>
          </w:tcPr>
          <w:p>
            <w:pPr>
              <w:pStyle w:val="6"/>
              <w:spacing w:before="210" w:line="221" w:lineRule="auto"/>
              <w:ind w:left="241"/>
            </w:pPr>
            <w:r>
              <w:rPr>
                <w:spacing w:val="-4"/>
              </w:rPr>
              <w:t>百丈隧道</w:t>
            </w:r>
          </w:p>
        </w:tc>
        <w:tc>
          <w:tcPr>
            <w:tcW w:w="1291" w:type="dxa"/>
            <w:vAlign w:val="top"/>
          </w:tcPr>
          <w:p>
            <w:pPr>
              <w:pStyle w:val="6"/>
              <w:spacing w:before="211" w:line="221" w:lineRule="auto"/>
              <w:ind w:left="440"/>
            </w:pPr>
            <w:r>
              <w:rPr>
                <w:spacing w:val="-2"/>
              </w:rPr>
              <w:t>单洞</w:t>
            </w:r>
          </w:p>
        </w:tc>
        <w:tc>
          <w:tcPr>
            <w:tcW w:w="1290" w:type="dxa"/>
            <w:vAlign w:val="top"/>
          </w:tcPr>
          <w:p>
            <w:pPr>
              <w:spacing w:before="93" w:line="312" w:lineRule="exact"/>
              <w:ind w:left="116"/>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LK4+830~L</w:t>
            </w:r>
          </w:p>
          <w:p>
            <w:pPr>
              <w:spacing w:line="186" w:lineRule="auto"/>
              <w:ind w:left="3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K6+140</w:t>
            </w:r>
          </w:p>
        </w:tc>
        <w:tc>
          <w:tcPr>
            <w:tcW w:w="1291" w:type="dxa"/>
            <w:vAlign w:val="top"/>
          </w:tcPr>
          <w:p>
            <w:pPr>
              <w:spacing w:before="249" w:line="18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1310</w:t>
            </w:r>
          </w:p>
        </w:tc>
        <w:tc>
          <w:tcPr>
            <w:tcW w:w="1290" w:type="dxa"/>
            <w:vAlign w:val="top"/>
          </w:tcPr>
          <w:p>
            <w:pPr>
              <w:spacing w:before="245" w:line="191"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10.00/5.0</w:t>
            </w:r>
          </w:p>
        </w:tc>
        <w:tc>
          <w:tcPr>
            <w:tcW w:w="1030" w:type="dxa"/>
            <w:vAlign w:val="top"/>
          </w:tcPr>
          <w:p>
            <w:pPr>
              <w:pStyle w:val="6"/>
              <w:spacing w:before="210" w:line="222" w:lineRule="auto"/>
              <w:ind w:left="220"/>
            </w:pPr>
            <w:r>
              <w:rPr>
                <w:spacing w:val="-4"/>
              </w:rPr>
              <w:t>削竹式</w:t>
            </w:r>
          </w:p>
        </w:tc>
        <w:tc>
          <w:tcPr>
            <w:tcW w:w="1161" w:type="dxa"/>
            <w:vAlign w:val="top"/>
          </w:tcPr>
          <w:p>
            <w:pPr>
              <w:pStyle w:val="6"/>
              <w:spacing w:before="210" w:line="221" w:lineRule="auto"/>
              <w:ind w:left="119"/>
            </w:pPr>
            <w:r>
              <w:rPr>
                <w:spacing w:val="-3"/>
              </w:rPr>
              <w:t>半明洞式</w:t>
            </w:r>
          </w:p>
        </w:tc>
        <w:tc>
          <w:tcPr>
            <w:tcW w:w="756" w:type="dxa"/>
            <w:vAlign w:val="top"/>
          </w:tcPr>
          <w:p>
            <w:pPr>
              <w:pStyle w:val="6"/>
              <w:spacing w:before="54" w:line="312" w:lineRule="exact"/>
              <w:ind w:left="171"/>
            </w:pPr>
            <w:r>
              <w:rPr>
                <w:spacing w:val="-2"/>
                <w:position w:val="7"/>
              </w:rPr>
              <w:t>机械</w:t>
            </w:r>
          </w:p>
          <w:p>
            <w:pPr>
              <w:pStyle w:val="6"/>
              <w:spacing w:line="221" w:lineRule="auto"/>
              <w:ind w:left="171"/>
            </w:pPr>
            <w:r>
              <w:rPr>
                <w:spacing w:val="-2"/>
              </w:rPr>
              <w:t>通风</w:t>
            </w:r>
          </w:p>
        </w:tc>
      </w:tr>
    </w:tbl>
    <w:p>
      <w:pPr>
        <w:spacing w:before="191" w:line="222" w:lineRule="auto"/>
        <w:ind w:left="1036"/>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、隧道平纵</w:t>
      </w:r>
    </w:p>
    <w:p>
      <w:pPr>
        <w:spacing w:before="178" w:line="219" w:lineRule="auto"/>
        <w:ind w:left="1053"/>
        <w:rPr>
          <w:rFonts w:ascii="宋体" w:hAnsi="宋体" w:eastAsia="宋体" w:cs="宋体"/>
          <w:sz w:val="24"/>
          <w:szCs w:val="24"/>
        </w:rPr>
      </w:pPr>
      <w:r>
        <w:rPr>
          <w:rFonts w:ascii="宋体" w:hAnsi="宋体" w:eastAsia="宋体" w:cs="宋体"/>
          <w:spacing w:val="-4"/>
          <w:sz w:val="24"/>
          <w:szCs w:val="24"/>
        </w:rPr>
        <w:t>隧道纵断面设计综合考虑了隧道长度、施工、通风、排水、洞口位置以及隧</w:t>
      </w:r>
    </w:p>
    <w:p>
      <w:pPr>
        <w:spacing w:line="219" w:lineRule="auto"/>
        <w:rPr>
          <w:rFonts w:ascii="宋体" w:hAnsi="宋体" w:eastAsia="宋体" w:cs="宋体"/>
          <w:sz w:val="24"/>
          <w:szCs w:val="24"/>
        </w:rPr>
        <w:sectPr>
          <w:headerReference r:id="rId121" w:type="default"/>
          <w:footerReference r:id="rId122" w:type="default"/>
          <w:pgSz w:w="11907" w:h="16839"/>
          <w:pgMar w:top="1118" w:right="1248" w:bottom="1182" w:left="1248" w:header="879" w:footer="1024" w:gutter="0"/>
          <w:cols w:space="720" w:num="1"/>
        </w:sectPr>
      </w:pPr>
    </w:p>
    <w:p>
      <w:pPr>
        <w:pStyle w:val="2"/>
        <w:spacing w:line="278" w:lineRule="auto"/>
      </w:pPr>
    </w:p>
    <w:p>
      <w:pPr>
        <w:spacing w:before="78" w:line="468" w:lineRule="exact"/>
        <w:ind w:left="37"/>
        <w:rPr>
          <w:rFonts w:ascii="宋体" w:hAnsi="宋体" w:eastAsia="宋体" w:cs="宋体"/>
          <w:sz w:val="24"/>
          <w:szCs w:val="24"/>
        </w:rPr>
      </w:pPr>
      <w:r>
        <w:rPr>
          <w:rFonts w:ascii="宋体" w:hAnsi="宋体" w:eastAsia="宋体" w:cs="宋体"/>
          <w:spacing w:val="-2"/>
          <w:position w:val="17"/>
          <w:sz w:val="24"/>
          <w:szCs w:val="24"/>
        </w:rPr>
        <w:t>道进、出口接线、环保等因素。隧道平、纵指标见下表。</w:t>
      </w:r>
    </w:p>
    <w:p>
      <w:pPr>
        <w:spacing w:line="220" w:lineRule="auto"/>
        <w:ind w:left="2711"/>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3.2-9</w:t>
      </w:r>
      <w:r>
        <w:rPr>
          <w:rFonts w:ascii="Times New Roman" w:hAnsi="Times New Roman" w:eastAsia="Times New Roman" w:cs="Times New Roman"/>
          <w:spacing w:val="2"/>
          <w:sz w:val="24"/>
          <w:szCs w:val="24"/>
        </w:rPr>
        <w:t xml:space="preserve">        </w:t>
      </w:r>
      <w:r>
        <w:rPr>
          <w:rFonts w:ascii="宋体" w:hAnsi="宋体" w:eastAsia="宋体" w:cs="宋体"/>
          <w:spacing w:val="-3"/>
          <w:sz w:val="24"/>
          <w:szCs w:val="24"/>
        </w:rPr>
        <w:t>隧道平纵指标表</w:t>
      </w:r>
    </w:p>
    <w:p>
      <w:pPr>
        <w:spacing w:line="143" w:lineRule="exact"/>
      </w:pPr>
    </w:p>
    <w:tbl>
      <w:tblPr>
        <w:tblStyle w:val="5"/>
        <w:tblW w:w="8307"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5"/>
        <w:gridCol w:w="1660"/>
        <w:gridCol w:w="2025"/>
        <w:gridCol w:w="32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355" w:type="dxa"/>
            <w:vAlign w:val="top"/>
          </w:tcPr>
          <w:p>
            <w:pPr>
              <w:pStyle w:val="6"/>
              <w:spacing w:before="115" w:line="223" w:lineRule="auto"/>
              <w:ind w:left="273"/>
            </w:pPr>
            <w:r>
              <w:rPr>
                <w:spacing w:val="-4"/>
              </w:rPr>
              <w:t>隧道名称</w:t>
            </w:r>
          </w:p>
        </w:tc>
        <w:tc>
          <w:tcPr>
            <w:tcW w:w="1660" w:type="dxa"/>
            <w:vAlign w:val="top"/>
          </w:tcPr>
          <w:p>
            <w:pPr>
              <w:pStyle w:val="6"/>
              <w:spacing w:before="115" w:line="221" w:lineRule="auto"/>
              <w:ind w:left="425"/>
            </w:pPr>
            <w:r>
              <w:rPr>
                <w:spacing w:val="-4"/>
              </w:rPr>
              <w:t>隧道类型</w:t>
            </w:r>
          </w:p>
        </w:tc>
        <w:tc>
          <w:tcPr>
            <w:tcW w:w="2025" w:type="dxa"/>
            <w:vAlign w:val="top"/>
          </w:tcPr>
          <w:p>
            <w:pPr>
              <w:pStyle w:val="6"/>
              <w:spacing w:before="116" w:line="235" w:lineRule="auto"/>
              <w:ind w:left="275"/>
            </w:pPr>
            <w:r>
              <w:rPr>
                <w:spacing w:val="-2"/>
              </w:rPr>
              <w:t>纵坡（</w:t>
            </w:r>
            <w:r>
              <w:rPr>
                <w:rFonts w:ascii="Times New Roman" w:hAnsi="Times New Roman" w:eastAsia="Times New Roman" w:cs="Times New Roman"/>
                <w:spacing w:val="-2"/>
              </w:rPr>
              <w:t>%</w:t>
            </w:r>
            <w:r>
              <w:rPr>
                <w:spacing w:val="-2"/>
              </w:rPr>
              <w:t>）</w:t>
            </w:r>
            <w:r>
              <w:rPr>
                <w:rFonts w:ascii="Times New Roman" w:hAnsi="Times New Roman" w:eastAsia="Times New Roman" w:cs="Times New Roman"/>
                <w:spacing w:val="-2"/>
              </w:rPr>
              <w:t>/</w:t>
            </w:r>
            <w:r>
              <w:rPr>
                <w:spacing w:val="-2"/>
              </w:rPr>
              <w:t>坡长</w:t>
            </w:r>
          </w:p>
        </w:tc>
        <w:tc>
          <w:tcPr>
            <w:tcW w:w="3267" w:type="dxa"/>
            <w:vAlign w:val="top"/>
          </w:tcPr>
          <w:p>
            <w:pPr>
              <w:pStyle w:val="6"/>
              <w:spacing w:before="115" w:line="221" w:lineRule="auto"/>
              <w:ind w:left="1109"/>
            </w:pPr>
            <w:r>
              <w:rPr>
                <w:spacing w:val="-1"/>
              </w:rPr>
              <w:t>平曲线半径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355" w:type="dxa"/>
            <w:vAlign w:val="top"/>
          </w:tcPr>
          <w:p>
            <w:pPr>
              <w:pStyle w:val="6"/>
              <w:spacing w:before="113" w:line="221" w:lineRule="auto"/>
              <w:ind w:left="263"/>
            </w:pPr>
            <w:r>
              <w:rPr>
                <w:spacing w:val="-2"/>
              </w:rPr>
              <w:t>敖里隧道</w:t>
            </w:r>
          </w:p>
        </w:tc>
        <w:tc>
          <w:tcPr>
            <w:tcW w:w="1660" w:type="dxa"/>
            <w:vAlign w:val="top"/>
          </w:tcPr>
          <w:p>
            <w:pPr>
              <w:pStyle w:val="6"/>
              <w:spacing w:before="113" w:line="221" w:lineRule="auto"/>
              <w:ind w:left="625"/>
            </w:pPr>
            <w:r>
              <w:rPr>
                <w:spacing w:val="-2"/>
              </w:rPr>
              <w:t>单洞</w:t>
            </w:r>
          </w:p>
        </w:tc>
        <w:tc>
          <w:tcPr>
            <w:tcW w:w="2025" w:type="dxa"/>
            <w:vAlign w:val="top"/>
          </w:tcPr>
          <w:p>
            <w:pPr>
              <w:spacing w:before="148" w:line="191" w:lineRule="auto"/>
              <w:ind w:left="7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3/853</w:t>
            </w:r>
          </w:p>
        </w:tc>
        <w:tc>
          <w:tcPr>
            <w:tcW w:w="3267" w:type="dxa"/>
            <w:vAlign w:val="top"/>
          </w:tcPr>
          <w:p>
            <w:pPr>
              <w:pStyle w:val="6"/>
              <w:spacing w:before="148" w:line="220" w:lineRule="auto"/>
              <w:ind w:left="486"/>
              <w:rPr>
                <w:rFonts w:ascii="Times New Roman" w:hAnsi="Times New Roman" w:eastAsia="Times New Roman" w:cs="Times New Roman"/>
              </w:rPr>
            </w:pPr>
            <w:r>
              <w:rPr>
                <w:rFonts w:ascii="Times New Roman" w:hAnsi="Times New Roman" w:eastAsia="Times New Roman" w:cs="Times New Roman"/>
                <w:spacing w:val="-4"/>
              </w:rPr>
              <w:t>R=∞</w:t>
            </w:r>
            <w:r>
              <w:rPr>
                <w:rFonts w:ascii="Times New Roman" w:hAnsi="Times New Roman" w:eastAsia="Times New Roman" w:cs="Times New Roman"/>
                <w:spacing w:val="-24"/>
              </w:rPr>
              <w:t xml:space="preserve"> </w:t>
            </w:r>
            <w:r>
              <w:rPr>
                <w:spacing w:val="-4"/>
              </w:rPr>
              <w:t>、</w:t>
            </w:r>
            <w:r>
              <w:rPr>
                <w:rFonts w:ascii="Times New Roman" w:hAnsi="Times New Roman" w:eastAsia="Times New Roman" w:cs="Times New Roman"/>
                <w:spacing w:val="-4"/>
              </w:rPr>
              <w:t>700</w:t>
            </w:r>
            <w:r>
              <w:rPr>
                <w:rFonts w:ascii="Times New Roman" w:hAnsi="Times New Roman" w:eastAsia="Times New Roman" w:cs="Times New Roman"/>
                <w:spacing w:val="-31"/>
              </w:rPr>
              <w:t xml:space="preserve"> </w:t>
            </w:r>
            <w:r>
              <w:rPr>
                <w:spacing w:val="-4"/>
              </w:rPr>
              <w:t>、</w:t>
            </w:r>
            <w:r>
              <w:rPr>
                <w:rFonts w:ascii="Times New Roman" w:hAnsi="Times New Roman" w:eastAsia="Times New Roman" w:cs="Times New Roman"/>
                <w:spacing w:val="-4"/>
              </w:rPr>
              <w:t>∞</w:t>
            </w:r>
            <w:r>
              <w:rPr>
                <w:rFonts w:ascii="Times New Roman" w:hAnsi="Times New Roman" w:eastAsia="Times New Roman" w:cs="Times New Roman"/>
                <w:spacing w:val="-32"/>
              </w:rPr>
              <w:t xml:space="preserve"> </w:t>
            </w:r>
            <w:r>
              <w:rPr>
                <w:spacing w:val="-4"/>
              </w:rPr>
              <w:t>、</w:t>
            </w:r>
            <w:r>
              <w:rPr>
                <w:rFonts w:ascii="Times New Roman" w:hAnsi="Times New Roman" w:eastAsia="Times New Roman" w:cs="Times New Roman"/>
                <w:spacing w:val="-4"/>
              </w:rPr>
              <w:t>470.0897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55" w:type="dxa"/>
            <w:vAlign w:val="top"/>
          </w:tcPr>
          <w:p>
            <w:pPr>
              <w:pStyle w:val="6"/>
              <w:spacing w:before="121" w:line="221" w:lineRule="auto"/>
              <w:ind w:left="269"/>
            </w:pPr>
            <w:r>
              <w:rPr>
                <w:spacing w:val="-4"/>
              </w:rPr>
              <w:t>百丈隧道</w:t>
            </w:r>
          </w:p>
        </w:tc>
        <w:tc>
          <w:tcPr>
            <w:tcW w:w="1660" w:type="dxa"/>
            <w:vAlign w:val="top"/>
          </w:tcPr>
          <w:p>
            <w:pPr>
              <w:pStyle w:val="6"/>
              <w:spacing w:before="122" w:line="221" w:lineRule="auto"/>
              <w:ind w:left="625"/>
            </w:pPr>
            <w:r>
              <w:rPr>
                <w:spacing w:val="-2"/>
              </w:rPr>
              <w:t>单洞</w:t>
            </w:r>
          </w:p>
        </w:tc>
        <w:tc>
          <w:tcPr>
            <w:tcW w:w="2025" w:type="dxa"/>
            <w:vAlign w:val="top"/>
          </w:tcPr>
          <w:p>
            <w:pPr>
              <w:spacing w:before="156" w:line="191" w:lineRule="auto"/>
              <w:ind w:left="66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1.6/1310</w:t>
            </w:r>
          </w:p>
        </w:tc>
        <w:tc>
          <w:tcPr>
            <w:tcW w:w="3267" w:type="dxa"/>
            <w:vAlign w:val="top"/>
          </w:tcPr>
          <w:p>
            <w:pPr>
              <w:pStyle w:val="6"/>
              <w:spacing w:before="156" w:line="220" w:lineRule="auto"/>
              <w:ind w:left="801"/>
              <w:rPr>
                <w:rFonts w:ascii="Times New Roman" w:hAnsi="Times New Roman" w:eastAsia="Times New Roman" w:cs="Times New Roman"/>
              </w:rPr>
            </w:pPr>
            <w:r>
              <w:rPr>
                <w:rFonts w:ascii="Times New Roman" w:hAnsi="Times New Roman" w:eastAsia="Times New Roman" w:cs="Times New Roman"/>
                <w:spacing w:val="-4"/>
              </w:rPr>
              <w:t>R=2200</w:t>
            </w:r>
            <w:r>
              <w:rPr>
                <w:rFonts w:ascii="Times New Roman" w:hAnsi="Times New Roman" w:eastAsia="Times New Roman" w:cs="Times New Roman"/>
                <w:spacing w:val="-29"/>
              </w:rPr>
              <w:t xml:space="preserve"> </w:t>
            </w:r>
            <w:r>
              <w:rPr>
                <w:spacing w:val="-4"/>
              </w:rPr>
              <w:t>、</w:t>
            </w:r>
            <w:r>
              <w:rPr>
                <w:rFonts w:ascii="Times New Roman" w:hAnsi="Times New Roman" w:eastAsia="Times New Roman" w:cs="Times New Roman"/>
                <w:spacing w:val="-4"/>
              </w:rPr>
              <w:t>∞</w:t>
            </w:r>
            <w:r>
              <w:rPr>
                <w:rFonts w:ascii="Times New Roman" w:hAnsi="Times New Roman" w:eastAsia="Times New Roman" w:cs="Times New Roman"/>
                <w:spacing w:val="-31"/>
              </w:rPr>
              <w:t xml:space="preserve"> </w:t>
            </w:r>
            <w:r>
              <w:rPr>
                <w:spacing w:val="-4"/>
              </w:rPr>
              <w:t>、</w:t>
            </w:r>
            <w:r>
              <w:rPr>
                <w:rFonts w:ascii="Times New Roman" w:hAnsi="Times New Roman" w:eastAsia="Times New Roman" w:cs="Times New Roman"/>
                <w:spacing w:val="-4"/>
              </w:rPr>
              <w:t>1100</w:t>
            </w:r>
          </w:p>
        </w:tc>
      </w:tr>
    </w:tbl>
    <w:p>
      <w:pPr>
        <w:spacing w:before="271" w:line="468" w:lineRule="exact"/>
        <w:ind w:left="518"/>
        <w:rPr>
          <w:rFonts w:ascii="宋体" w:hAnsi="宋体" w:eastAsia="宋体" w:cs="宋体"/>
          <w:sz w:val="24"/>
          <w:szCs w:val="24"/>
        </w:rPr>
      </w:pPr>
      <w:r>
        <w:rPr>
          <w:rFonts w:ascii="Times New Roman" w:hAnsi="Times New Roman" w:eastAsia="Times New Roman" w:cs="Times New Roman"/>
          <w:spacing w:val="-4"/>
          <w:position w:val="17"/>
          <w:sz w:val="24"/>
          <w:szCs w:val="24"/>
        </w:rPr>
        <w:t>3</w:t>
      </w:r>
      <w:r>
        <w:rPr>
          <w:rFonts w:ascii="Times New Roman" w:hAnsi="Times New Roman" w:eastAsia="Times New Roman" w:cs="Times New Roman"/>
          <w:spacing w:val="-29"/>
          <w:position w:val="17"/>
          <w:sz w:val="24"/>
          <w:szCs w:val="24"/>
        </w:rPr>
        <w:t xml:space="preserve"> </w:t>
      </w:r>
      <w:r>
        <w:rPr>
          <w:rFonts w:ascii="宋体" w:hAnsi="宋体" w:eastAsia="宋体" w:cs="宋体"/>
          <w:spacing w:val="-4"/>
          <w:position w:val="17"/>
          <w:sz w:val="24"/>
          <w:szCs w:val="24"/>
        </w:rPr>
        <w:t>、隧道主要技术标准</w:t>
      </w:r>
    </w:p>
    <w:p>
      <w:pPr>
        <w:spacing w:line="219" w:lineRule="auto"/>
        <w:ind w:left="46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）两车道二级公路。</w:t>
      </w:r>
    </w:p>
    <w:p>
      <w:pPr>
        <w:spacing w:before="183" w:line="220" w:lineRule="auto"/>
        <w:ind w:left="46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）隧道设计速度：</w:t>
      </w:r>
    </w:p>
    <w:p>
      <w:pPr>
        <w:spacing w:before="182" w:line="468" w:lineRule="exact"/>
        <w:ind w:left="530"/>
        <w:rPr>
          <w:rFonts w:ascii="宋体" w:hAnsi="宋体" w:eastAsia="宋体" w:cs="宋体"/>
          <w:sz w:val="24"/>
          <w:szCs w:val="24"/>
        </w:rPr>
      </w:pPr>
      <w:r>
        <w:rPr>
          <w:rFonts w:ascii="宋体" w:hAnsi="宋体" w:eastAsia="宋体" w:cs="宋体"/>
          <w:spacing w:val="-3"/>
          <w:position w:val="17"/>
          <w:sz w:val="24"/>
          <w:szCs w:val="24"/>
        </w:rPr>
        <w:t>隧道几何线形与净空按</w:t>
      </w:r>
      <w:r>
        <w:rPr>
          <w:rFonts w:ascii="宋体" w:hAnsi="宋体" w:eastAsia="宋体" w:cs="宋体"/>
          <w:spacing w:val="-40"/>
          <w:position w:val="17"/>
          <w:sz w:val="24"/>
          <w:szCs w:val="24"/>
        </w:rPr>
        <w:t xml:space="preserve"> </w:t>
      </w:r>
      <w:r>
        <w:rPr>
          <w:rFonts w:ascii="Times New Roman" w:hAnsi="Times New Roman" w:eastAsia="Times New Roman" w:cs="Times New Roman"/>
          <w:spacing w:val="-3"/>
          <w:position w:val="17"/>
          <w:sz w:val="24"/>
          <w:szCs w:val="24"/>
        </w:rPr>
        <w:t xml:space="preserve">60km/h </w:t>
      </w:r>
      <w:r>
        <w:rPr>
          <w:rFonts w:ascii="宋体" w:hAnsi="宋体" w:eastAsia="宋体" w:cs="宋体"/>
          <w:spacing w:val="-3"/>
          <w:position w:val="17"/>
          <w:sz w:val="24"/>
          <w:szCs w:val="24"/>
        </w:rPr>
        <w:t>设计。</w:t>
      </w:r>
    </w:p>
    <w:p>
      <w:pPr>
        <w:spacing w:line="219" w:lineRule="auto"/>
        <w:ind w:left="530"/>
        <w:rPr>
          <w:rFonts w:ascii="宋体" w:hAnsi="宋体" w:eastAsia="宋体" w:cs="宋体"/>
          <w:sz w:val="24"/>
          <w:szCs w:val="24"/>
        </w:rPr>
      </w:pPr>
      <w:r>
        <w:rPr>
          <w:rFonts w:ascii="宋体" w:hAnsi="宋体" w:eastAsia="宋体" w:cs="宋体"/>
          <w:spacing w:val="-3"/>
          <w:sz w:val="24"/>
          <w:szCs w:val="24"/>
        </w:rPr>
        <w:t>隧道照明设计速度按</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60km/h </w:t>
      </w:r>
      <w:r>
        <w:rPr>
          <w:rFonts w:ascii="宋体" w:hAnsi="宋体" w:eastAsia="宋体" w:cs="宋体"/>
          <w:spacing w:val="-3"/>
          <w:sz w:val="24"/>
          <w:szCs w:val="24"/>
        </w:rPr>
        <w:t>设计。</w:t>
      </w:r>
    </w:p>
    <w:p>
      <w:pPr>
        <w:spacing w:before="183"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）隧道建筑限界</w:t>
      </w:r>
    </w:p>
    <w:p>
      <w:pPr>
        <w:spacing w:before="182" w:line="468" w:lineRule="exact"/>
        <w:ind w:right="30"/>
        <w:jc w:val="right"/>
        <w:rPr>
          <w:rFonts w:ascii="Times New Roman" w:hAnsi="Times New Roman" w:eastAsia="Times New Roman" w:cs="Times New Roman"/>
          <w:sz w:val="24"/>
          <w:szCs w:val="24"/>
        </w:rPr>
      </w:pPr>
      <w:r>
        <w:rPr>
          <w:rFonts w:ascii="宋体" w:hAnsi="宋体" w:eastAsia="宋体" w:cs="宋体"/>
          <w:spacing w:val="-6"/>
          <w:position w:val="17"/>
          <w:sz w:val="24"/>
          <w:szCs w:val="24"/>
        </w:rPr>
        <w:t>根据《公路隧道设计规范》（</w:t>
      </w:r>
      <w:r>
        <w:rPr>
          <w:rFonts w:ascii="Times New Roman" w:hAnsi="Times New Roman" w:eastAsia="Times New Roman" w:cs="Times New Roman"/>
          <w:spacing w:val="-6"/>
          <w:position w:val="17"/>
          <w:sz w:val="24"/>
          <w:szCs w:val="24"/>
        </w:rPr>
        <w:t>JTGD70-2004</w:t>
      </w:r>
      <w:r>
        <w:rPr>
          <w:rFonts w:ascii="宋体" w:hAnsi="宋体" w:eastAsia="宋体" w:cs="宋体"/>
          <w:spacing w:val="-6"/>
          <w:position w:val="17"/>
          <w:sz w:val="24"/>
          <w:szCs w:val="24"/>
        </w:rPr>
        <w:t>）及《公路工程技术标准》（</w:t>
      </w:r>
      <w:r>
        <w:rPr>
          <w:rFonts w:ascii="Times New Roman" w:hAnsi="Times New Roman" w:eastAsia="Times New Roman" w:cs="Times New Roman"/>
          <w:spacing w:val="-6"/>
          <w:position w:val="17"/>
          <w:sz w:val="24"/>
          <w:szCs w:val="24"/>
        </w:rPr>
        <w:t>JTG</w:t>
      </w:r>
    </w:p>
    <w:p>
      <w:pPr>
        <w:spacing w:line="220" w:lineRule="auto"/>
        <w:ind w:left="32"/>
        <w:rPr>
          <w:rFonts w:ascii="宋体" w:hAnsi="宋体" w:eastAsia="宋体" w:cs="宋体"/>
          <w:sz w:val="24"/>
          <w:szCs w:val="24"/>
        </w:rPr>
      </w:pPr>
      <w:r>
        <w:rPr>
          <w:rFonts w:ascii="Times New Roman" w:hAnsi="Times New Roman" w:eastAsia="Times New Roman" w:cs="Times New Roman"/>
          <w:spacing w:val="-4"/>
          <w:sz w:val="24"/>
          <w:szCs w:val="24"/>
        </w:rPr>
        <w:t>B01-2014</w:t>
      </w:r>
      <w:r>
        <w:rPr>
          <w:rFonts w:ascii="宋体" w:hAnsi="宋体" w:eastAsia="宋体" w:cs="宋体"/>
          <w:spacing w:val="-4"/>
          <w:sz w:val="24"/>
          <w:szCs w:val="24"/>
        </w:rPr>
        <w:t>）规定确定：</w:t>
      </w:r>
    </w:p>
    <w:p>
      <w:pPr>
        <w:spacing w:before="182" w:line="468" w:lineRule="exact"/>
        <w:ind w:left="523"/>
        <w:rPr>
          <w:rFonts w:ascii="宋体" w:hAnsi="宋体" w:eastAsia="宋体" w:cs="宋体"/>
          <w:sz w:val="24"/>
          <w:szCs w:val="24"/>
        </w:rPr>
      </w:pPr>
      <w:r>
        <w:rPr>
          <w:rFonts w:ascii="宋体" w:hAnsi="宋体" w:eastAsia="宋体" w:cs="宋体"/>
          <w:spacing w:val="-5"/>
          <w:position w:val="17"/>
          <w:sz w:val="24"/>
          <w:szCs w:val="24"/>
        </w:rPr>
        <w:t>西坑连接线隧道建筑限界基本宽度：</w:t>
      </w:r>
    </w:p>
    <w:p>
      <w:pPr>
        <w:spacing w:before="1" w:line="219" w:lineRule="auto"/>
        <w:ind w:left="521"/>
        <w:rPr>
          <w:rFonts w:ascii="宋体" w:hAnsi="宋体" w:eastAsia="宋体" w:cs="宋体"/>
          <w:sz w:val="24"/>
          <w:szCs w:val="24"/>
        </w:rPr>
      </w:pPr>
      <w:r>
        <w:rPr>
          <w:rFonts w:ascii="宋体" w:hAnsi="宋体" w:eastAsia="宋体" w:cs="宋体"/>
          <w:spacing w:val="-10"/>
          <w:sz w:val="24"/>
          <w:szCs w:val="24"/>
        </w:rPr>
        <w:t xml:space="preserve">行车道： </w:t>
      </w:r>
      <w:r>
        <w:rPr>
          <w:rFonts w:ascii="Times New Roman" w:hAnsi="Times New Roman" w:eastAsia="Times New Roman" w:cs="Times New Roman"/>
          <w:spacing w:val="-10"/>
          <w:sz w:val="24"/>
          <w:szCs w:val="24"/>
        </w:rPr>
        <w:t>W—2×3.5m</w:t>
      </w:r>
      <w:r>
        <w:rPr>
          <w:rFonts w:ascii="宋体" w:hAnsi="宋体" w:eastAsia="宋体" w:cs="宋体"/>
          <w:spacing w:val="-10"/>
          <w:sz w:val="24"/>
          <w:szCs w:val="24"/>
        </w:rPr>
        <w:t>；</w:t>
      </w:r>
    </w:p>
    <w:p>
      <w:pPr>
        <w:spacing w:before="183" w:line="468" w:lineRule="exact"/>
        <w:ind w:left="516"/>
        <w:rPr>
          <w:rFonts w:ascii="宋体" w:hAnsi="宋体" w:eastAsia="宋体" w:cs="宋体"/>
          <w:sz w:val="24"/>
          <w:szCs w:val="24"/>
        </w:rPr>
      </w:pPr>
      <w:r>
        <w:rPr>
          <w:rFonts w:ascii="宋体" w:hAnsi="宋体" w:eastAsia="宋体" w:cs="宋体"/>
          <w:spacing w:val="-26"/>
          <w:position w:val="17"/>
          <w:sz w:val="24"/>
          <w:szCs w:val="24"/>
        </w:rPr>
        <w:t>侧向宽度：</w:t>
      </w:r>
      <w:r>
        <w:rPr>
          <w:rFonts w:ascii="宋体" w:hAnsi="宋体" w:eastAsia="宋体" w:cs="宋体"/>
          <w:spacing w:val="30"/>
          <w:position w:val="17"/>
          <w:sz w:val="24"/>
          <w:szCs w:val="24"/>
        </w:rPr>
        <w:t xml:space="preserve"> </w:t>
      </w:r>
      <w:r>
        <w:rPr>
          <w:rFonts w:ascii="Times New Roman" w:hAnsi="Times New Roman" w:eastAsia="Times New Roman" w:cs="Times New Roman"/>
          <w:spacing w:val="-26"/>
          <w:position w:val="17"/>
          <w:sz w:val="24"/>
          <w:szCs w:val="24"/>
        </w:rPr>
        <w:t>L</w:t>
      </w:r>
      <w:r>
        <w:rPr>
          <w:rFonts w:ascii="Times New Roman" w:hAnsi="Times New Roman" w:eastAsia="Times New Roman" w:cs="Times New Roman"/>
          <w:spacing w:val="-2"/>
          <w:position w:val="16"/>
          <w:sz w:val="16"/>
          <w:szCs w:val="16"/>
        </w:rPr>
        <w:t>L</w:t>
      </w:r>
      <w:r>
        <w:rPr>
          <w:rFonts w:ascii="Times New Roman" w:hAnsi="Times New Roman" w:eastAsia="Times New Roman" w:cs="Times New Roman"/>
          <w:spacing w:val="-2"/>
          <w:position w:val="17"/>
          <w:sz w:val="24"/>
          <w:szCs w:val="24"/>
        </w:rPr>
        <w:t>—0.5m</w:t>
      </w:r>
      <w:r>
        <w:rPr>
          <w:rFonts w:ascii="Times New Roman" w:hAnsi="Times New Roman" w:eastAsia="Times New Roman" w:cs="Times New Roman"/>
          <w:spacing w:val="-30"/>
          <w:position w:val="17"/>
          <w:sz w:val="24"/>
          <w:szCs w:val="24"/>
        </w:rPr>
        <w:t xml:space="preserve"> </w:t>
      </w: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L</w:t>
      </w:r>
      <w:r>
        <w:rPr>
          <w:rFonts w:ascii="Times New Roman" w:hAnsi="Times New Roman" w:eastAsia="Times New Roman" w:cs="Times New Roman"/>
          <w:spacing w:val="-2"/>
          <w:position w:val="16"/>
          <w:sz w:val="16"/>
          <w:szCs w:val="16"/>
        </w:rPr>
        <w:t>R</w:t>
      </w: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0.5m</w:t>
      </w:r>
      <w:r>
        <w:rPr>
          <w:rFonts w:ascii="宋体" w:hAnsi="宋体" w:eastAsia="宋体" w:cs="宋体"/>
          <w:spacing w:val="-2"/>
          <w:position w:val="17"/>
          <w:sz w:val="24"/>
          <w:szCs w:val="24"/>
        </w:rPr>
        <w:t>；</w:t>
      </w:r>
    </w:p>
    <w:p>
      <w:pPr>
        <w:spacing w:line="220" w:lineRule="auto"/>
        <w:ind w:left="520"/>
        <w:rPr>
          <w:rFonts w:ascii="宋体" w:hAnsi="宋体" w:eastAsia="宋体" w:cs="宋体"/>
          <w:sz w:val="24"/>
          <w:szCs w:val="24"/>
        </w:rPr>
      </w:pPr>
      <w:r>
        <w:rPr>
          <w:rFonts w:ascii="宋体" w:hAnsi="宋体" w:eastAsia="宋体" w:cs="宋体"/>
          <w:spacing w:val="-10"/>
          <w:sz w:val="24"/>
          <w:szCs w:val="24"/>
        </w:rPr>
        <w:t xml:space="preserve">人行道： </w:t>
      </w:r>
      <w:r>
        <w:rPr>
          <w:rFonts w:ascii="Times New Roman" w:hAnsi="Times New Roman" w:eastAsia="Times New Roman" w:cs="Times New Roman"/>
          <w:spacing w:val="-10"/>
          <w:sz w:val="24"/>
          <w:szCs w:val="24"/>
        </w:rPr>
        <w:t>R—2×1.0m</w:t>
      </w:r>
      <w:r>
        <w:rPr>
          <w:rFonts w:ascii="宋体" w:hAnsi="宋体" w:eastAsia="宋体" w:cs="宋体"/>
          <w:spacing w:val="-10"/>
          <w:sz w:val="24"/>
          <w:szCs w:val="24"/>
        </w:rPr>
        <w:t>；</w:t>
      </w:r>
    </w:p>
    <w:p>
      <w:pPr>
        <w:spacing w:before="181" w:line="219" w:lineRule="auto"/>
        <w:ind w:left="524"/>
        <w:rPr>
          <w:rFonts w:ascii="Times New Roman" w:hAnsi="Times New Roman" w:eastAsia="Times New Roman" w:cs="Times New Roman"/>
          <w:sz w:val="24"/>
          <w:szCs w:val="24"/>
        </w:rPr>
      </w:pPr>
      <w:r>
        <w:rPr>
          <w:rFonts w:ascii="宋体" w:hAnsi="宋体" w:eastAsia="宋体" w:cs="宋体"/>
          <w:spacing w:val="-19"/>
          <w:sz w:val="24"/>
          <w:szCs w:val="24"/>
        </w:rPr>
        <w:t>总基本宽度为：</w:t>
      </w:r>
      <w:r>
        <w:rPr>
          <w:rFonts w:ascii="宋体" w:hAnsi="宋体" w:eastAsia="宋体" w:cs="宋体"/>
          <w:spacing w:val="91"/>
          <w:sz w:val="24"/>
          <w:szCs w:val="24"/>
        </w:rPr>
        <w:t xml:space="preserve"> </w:t>
      </w:r>
      <w:r>
        <w:rPr>
          <w:rFonts w:ascii="Times New Roman" w:hAnsi="Times New Roman" w:eastAsia="Times New Roman" w:cs="Times New Roman"/>
          <w:spacing w:val="-19"/>
          <w:sz w:val="24"/>
          <w:szCs w:val="24"/>
        </w:rPr>
        <w:t>10.0m</w:t>
      </w:r>
    </w:p>
    <w:p>
      <w:pPr>
        <w:spacing w:before="184" w:line="468" w:lineRule="exact"/>
        <w:ind w:left="530"/>
        <w:rPr>
          <w:rFonts w:ascii="宋体" w:hAnsi="宋体" w:eastAsia="宋体" w:cs="宋体"/>
          <w:sz w:val="24"/>
          <w:szCs w:val="24"/>
        </w:rPr>
      </w:pPr>
      <w:r>
        <w:rPr>
          <w:rFonts w:ascii="宋体" w:hAnsi="宋体" w:eastAsia="宋体" w:cs="宋体"/>
          <w:spacing w:val="-14"/>
          <w:position w:val="17"/>
          <w:sz w:val="24"/>
          <w:szCs w:val="24"/>
        </w:rPr>
        <w:t>隧道建筑限界净高：行车道高：</w:t>
      </w:r>
      <w:r>
        <w:rPr>
          <w:rFonts w:ascii="宋体" w:hAnsi="宋体" w:eastAsia="宋体" w:cs="宋体"/>
          <w:spacing w:val="84"/>
          <w:position w:val="17"/>
          <w:sz w:val="24"/>
          <w:szCs w:val="24"/>
        </w:rPr>
        <w:t xml:space="preserve"> </w:t>
      </w:r>
      <w:r>
        <w:rPr>
          <w:rFonts w:ascii="Times New Roman" w:hAnsi="Times New Roman" w:eastAsia="Times New Roman" w:cs="Times New Roman"/>
          <w:spacing w:val="-14"/>
          <w:position w:val="17"/>
          <w:sz w:val="24"/>
          <w:szCs w:val="24"/>
        </w:rPr>
        <w:t>5.0m</w:t>
      </w:r>
      <w:r>
        <w:rPr>
          <w:rFonts w:ascii="宋体" w:hAnsi="宋体" w:eastAsia="宋体" w:cs="宋体"/>
          <w:spacing w:val="-14"/>
          <w:position w:val="17"/>
          <w:sz w:val="24"/>
          <w:szCs w:val="24"/>
        </w:rPr>
        <w:t>；人行道高：</w:t>
      </w:r>
      <w:r>
        <w:rPr>
          <w:rFonts w:ascii="宋体" w:hAnsi="宋体" w:eastAsia="宋体" w:cs="宋体"/>
          <w:spacing w:val="60"/>
          <w:position w:val="17"/>
          <w:sz w:val="24"/>
          <w:szCs w:val="24"/>
        </w:rPr>
        <w:t xml:space="preserve"> </w:t>
      </w:r>
      <w:r>
        <w:rPr>
          <w:rFonts w:ascii="Times New Roman" w:hAnsi="Times New Roman" w:eastAsia="Times New Roman" w:cs="Times New Roman"/>
          <w:spacing w:val="-14"/>
          <w:position w:val="17"/>
          <w:sz w:val="24"/>
          <w:szCs w:val="24"/>
        </w:rPr>
        <w:t>2.5m</w:t>
      </w:r>
      <w:r>
        <w:rPr>
          <w:rFonts w:ascii="宋体" w:hAnsi="宋体" w:eastAsia="宋体" w:cs="宋体"/>
          <w:spacing w:val="-14"/>
          <w:position w:val="17"/>
          <w:sz w:val="24"/>
          <w:szCs w:val="24"/>
        </w:rPr>
        <w:t>。</w:t>
      </w:r>
    </w:p>
    <w:p>
      <w:pPr>
        <w:spacing w:before="1" w:line="219"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）洞内环境控制标准</w:t>
      </w:r>
    </w:p>
    <w:p>
      <w:pPr>
        <w:spacing w:before="182" w:line="469" w:lineRule="exact"/>
        <w:ind w:left="518"/>
        <w:rPr>
          <w:rFonts w:ascii="宋体" w:hAnsi="宋体" w:eastAsia="宋体" w:cs="宋体"/>
          <w:sz w:val="24"/>
          <w:szCs w:val="24"/>
        </w:rPr>
      </w:pPr>
      <w:r>
        <w:rPr>
          <w:rFonts w:ascii="宋体" w:hAnsi="宋体" w:eastAsia="宋体" w:cs="宋体"/>
          <w:position w:val="17"/>
          <w:sz w:val="24"/>
          <w:szCs w:val="24"/>
        </w:rPr>
        <w:t>根据《公路隧道通风设计细则》</w:t>
      </w:r>
      <w:r>
        <w:rPr>
          <w:rFonts w:ascii="Times New Roman" w:hAnsi="Times New Roman" w:eastAsia="Times New Roman" w:cs="Times New Roman"/>
          <w:position w:val="17"/>
          <w:sz w:val="24"/>
          <w:szCs w:val="24"/>
        </w:rPr>
        <w:t xml:space="preserve">JTG/TD70/2-02-2014 </w:t>
      </w:r>
      <w:r>
        <w:rPr>
          <w:rFonts w:ascii="宋体" w:hAnsi="宋体" w:eastAsia="宋体" w:cs="宋体"/>
          <w:position w:val="17"/>
          <w:sz w:val="24"/>
          <w:szCs w:val="24"/>
        </w:rPr>
        <w:t>规定：</w:t>
      </w:r>
    </w:p>
    <w:p>
      <w:pPr>
        <w:spacing w:line="217" w:lineRule="auto"/>
        <w:ind w:left="517"/>
        <w:rPr>
          <w:rFonts w:ascii="宋体" w:hAnsi="宋体" w:eastAsia="宋体" w:cs="宋体"/>
          <w:sz w:val="24"/>
          <w:szCs w:val="24"/>
        </w:rPr>
      </w:pPr>
      <w:r>
        <w:rPr>
          <w:rFonts w:ascii="宋体" w:hAnsi="宋体" w:eastAsia="宋体" w:cs="宋体"/>
          <w:spacing w:val="-1"/>
          <w:sz w:val="24"/>
          <w:szCs w:val="24"/>
        </w:rPr>
        <w:t>①</w:t>
      </w:r>
      <w:r>
        <w:rPr>
          <w:rFonts w:ascii="Times New Roman" w:hAnsi="Times New Roman" w:eastAsia="Times New Roman" w:cs="Times New Roman"/>
          <w:spacing w:val="-1"/>
          <w:sz w:val="24"/>
          <w:szCs w:val="24"/>
        </w:rPr>
        <w:t>.</w:t>
      </w:r>
      <w:r>
        <w:rPr>
          <w:rFonts w:ascii="宋体" w:hAnsi="宋体" w:eastAsia="宋体" w:cs="宋体"/>
          <w:spacing w:val="-1"/>
          <w:sz w:val="24"/>
          <w:szCs w:val="24"/>
        </w:rPr>
        <w:t>正常交通时，隧道内</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CO </w:t>
      </w:r>
      <w:r>
        <w:rPr>
          <w:rFonts w:ascii="宋体" w:hAnsi="宋体" w:eastAsia="宋体" w:cs="宋体"/>
          <w:spacing w:val="-1"/>
          <w:sz w:val="24"/>
          <w:szCs w:val="24"/>
        </w:rPr>
        <w:t>设计浓度按表取值</w:t>
      </w:r>
    </w:p>
    <w:p>
      <w:pPr>
        <w:spacing w:before="186" w:line="468" w:lineRule="exact"/>
        <w:ind w:right="40"/>
        <w:jc w:val="right"/>
        <w:rPr>
          <w:rFonts w:ascii="宋体" w:hAnsi="宋体" w:eastAsia="宋体" w:cs="宋体"/>
          <w:sz w:val="24"/>
          <w:szCs w:val="24"/>
        </w:rPr>
      </w:pPr>
      <w:r>
        <w:rPr>
          <w:rFonts w:ascii="宋体" w:hAnsi="宋体" w:eastAsia="宋体" w:cs="宋体"/>
          <w:spacing w:val="-8"/>
          <w:position w:val="16"/>
          <w:sz w:val="24"/>
          <w:szCs w:val="24"/>
        </w:rPr>
        <w:t>②</w:t>
      </w:r>
      <w:r>
        <w:rPr>
          <w:rFonts w:ascii="Times New Roman" w:hAnsi="Times New Roman" w:eastAsia="Times New Roman" w:cs="Times New Roman"/>
          <w:spacing w:val="-8"/>
          <w:position w:val="16"/>
          <w:sz w:val="24"/>
          <w:szCs w:val="24"/>
        </w:rPr>
        <w:t>.</w:t>
      </w:r>
      <w:r>
        <w:rPr>
          <w:rFonts w:ascii="宋体" w:hAnsi="宋体" w:eastAsia="宋体" w:cs="宋体"/>
          <w:spacing w:val="-8"/>
          <w:position w:val="16"/>
          <w:sz w:val="24"/>
          <w:szCs w:val="24"/>
        </w:rPr>
        <w:t>交通阻滞时，</w:t>
      </w:r>
      <w:r>
        <w:rPr>
          <w:rFonts w:ascii="宋体" w:hAnsi="宋体" w:eastAsia="宋体" w:cs="宋体"/>
          <w:spacing w:val="61"/>
          <w:position w:val="16"/>
          <w:sz w:val="24"/>
          <w:szCs w:val="24"/>
        </w:rPr>
        <w:t xml:space="preserve"> </w:t>
      </w:r>
      <w:r>
        <w:rPr>
          <w:rFonts w:ascii="宋体" w:hAnsi="宋体" w:eastAsia="宋体" w:cs="宋体"/>
          <w:spacing w:val="-8"/>
          <w:position w:val="16"/>
          <w:sz w:val="24"/>
          <w:szCs w:val="24"/>
        </w:rPr>
        <w:t>阻滞段的平均</w:t>
      </w:r>
      <w:r>
        <w:rPr>
          <w:rFonts w:ascii="宋体" w:hAnsi="宋体" w:eastAsia="宋体" w:cs="宋体"/>
          <w:spacing w:val="-50"/>
          <w:position w:val="16"/>
          <w:sz w:val="24"/>
          <w:szCs w:val="24"/>
        </w:rPr>
        <w:t xml:space="preserve"> </w:t>
      </w:r>
      <w:r>
        <w:rPr>
          <w:rFonts w:ascii="Times New Roman" w:hAnsi="Times New Roman" w:eastAsia="Times New Roman" w:cs="Times New Roman"/>
          <w:spacing w:val="-8"/>
          <w:position w:val="16"/>
          <w:sz w:val="24"/>
          <w:szCs w:val="24"/>
        </w:rPr>
        <w:t>CO</w:t>
      </w:r>
      <w:r>
        <w:rPr>
          <w:rFonts w:ascii="Times New Roman" w:hAnsi="Times New Roman" w:eastAsia="Times New Roman" w:cs="Times New Roman"/>
          <w:spacing w:val="13"/>
          <w:position w:val="16"/>
          <w:sz w:val="24"/>
          <w:szCs w:val="24"/>
        </w:rPr>
        <w:t xml:space="preserve"> </w:t>
      </w:r>
      <w:r>
        <w:rPr>
          <w:rFonts w:ascii="宋体" w:hAnsi="宋体" w:eastAsia="宋体" w:cs="宋体"/>
          <w:spacing w:val="-8"/>
          <w:position w:val="16"/>
          <w:sz w:val="24"/>
          <w:szCs w:val="24"/>
        </w:rPr>
        <w:t>设计浓度</w:t>
      </w:r>
      <w:r>
        <w:rPr>
          <w:rFonts w:ascii="宋体" w:hAnsi="宋体" w:eastAsia="宋体" w:cs="宋体"/>
          <w:spacing w:val="-52"/>
          <w:position w:val="16"/>
          <w:sz w:val="24"/>
          <w:szCs w:val="24"/>
        </w:rPr>
        <w:t xml:space="preserve"> </w:t>
      </w:r>
      <w:r>
        <w:rPr>
          <w:rFonts w:ascii="Times New Roman" w:hAnsi="Times New Roman" w:eastAsia="Times New Roman" w:cs="Times New Roman"/>
          <w:spacing w:val="-8"/>
          <w:position w:val="16"/>
          <w:sz w:val="24"/>
          <w:szCs w:val="24"/>
        </w:rPr>
        <w:t xml:space="preserve">δco </w:t>
      </w:r>
      <w:r>
        <w:rPr>
          <w:rFonts w:ascii="宋体" w:hAnsi="宋体" w:eastAsia="宋体" w:cs="宋体"/>
          <w:spacing w:val="-8"/>
          <w:position w:val="16"/>
          <w:sz w:val="24"/>
          <w:szCs w:val="24"/>
        </w:rPr>
        <w:t>可取</w:t>
      </w:r>
      <w:r>
        <w:rPr>
          <w:rFonts w:ascii="宋体" w:hAnsi="宋体" w:eastAsia="宋体" w:cs="宋体"/>
          <w:spacing w:val="-32"/>
          <w:position w:val="16"/>
          <w:sz w:val="24"/>
          <w:szCs w:val="24"/>
        </w:rPr>
        <w:t xml:space="preserve"> </w:t>
      </w:r>
      <w:r>
        <w:rPr>
          <w:rFonts w:ascii="Times New Roman" w:hAnsi="Times New Roman" w:eastAsia="Times New Roman" w:cs="Times New Roman"/>
          <w:spacing w:val="-8"/>
          <w:position w:val="16"/>
          <w:sz w:val="24"/>
          <w:szCs w:val="24"/>
        </w:rPr>
        <w:t>150cm</w:t>
      </w:r>
      <w:r>
        <w:rPr>
          <w:rFonts w:ascii="Times New Roman" w:hAnsi="Times New Roman" w:eastAsia="Times New Roman" w:cs="Times New Roman"/>
          <w:spacing w:val="-8"/>
          <w:position w:val="24"/>
          <w:sz w:val="16"/>
          <w:szCs w:val="16"/>
        </w:rPr>
        <w:t>3</w:t>
      </w:r>
      <w:r>
        <w:rPr>
          <w:rFonts w:ascii="Times New Roman" w:hAnsi="Times New Roman" w:eastAsia="Times New Roman" w:cs="Times New Roman"/>
          <w:spacing w:val="-8"/>
          <w:position w:val="16"/>
          <w:sz w:val="24"/>
          <w:szCs w:val="24"/>
        </w:rPr>
        <w:t>/m</w:t>
      </w:r>
      <w:r>
        <w:rPr>
          <w:rFonts w:ascii="Times New Roman" w:hAnsi="Times New Roman" w:eastAsia="Times New Roman" w:cs="Times New Roman"/>
          <w:spacing w:val="-8"/>
          <w:position w:val="24"/>
          <w:sz w:val="16"/>
          <w:szCs w:val="16"/>
        </w:rPr>
        <w:t>3</w:t>
      </w:r>
      <w:r>
        <w:rPr>
          <w:rFonts w:ascii="Times New Roman" w:hAnsi="Times New Roman" w:eastAsia="Times New Roman" w:cs="Times New Roman"/>
          <w:spacing w:val="-10"/>
          <w:position w:val="24"/>
          <w:sz w:val="16"/>
          <w:szCs w:val="16"/>
        </w:rPr>
        <w:t xml:space="preserve"> </w:t>
      </w:r>
      <w:r>
        <w:rPr>
          <w:rFonts w:ascii="宋体" w:hAnsi="宋体" w:eastAsia="宋体" w:cs="宋体"/>
          <w:spacing w:val="-8"/>
          <w:position w:val="16"/>
          <w:sz w:val="24"/>
          <w:szCs w:val="24"/>
        </w:rPr>
        <w:t>，同</w:t>
      </w:r>
      <w:r>
        <w:rPr>
          <w:rFonts w:ascii="宋体" w:hAnsi="宋体" w:eastAsia="宋体" w:cs="宋体"/>
          <w:spacing w:val="-9"/>
          <w:position w:val="16"/>
          <w:sz w:val="24"/>
          <w:szCs w:val="24"/>
        </w:rPr>
        <w:t>时经历</w:t>
      </w:r>
    </w:p>
    <w:p>
      <w:pPr>
        <w:spacing w:before="1" w:line="220" w:lineRule="auto"/>
        <w:ind w:left="49"/>
        <w:rPr>
          <w:rFonts w:ascii="宋体" w:hAnsi="宋体" w:eastAsia="宋体" w:cs="宋体"/>
          <w:sz w:val="24"/>
          <w:szCs w:val="24"/>
        </w:rPr>
      </w:pPr>
      <w:r>
        <w:rPr>
          <w:rFonts w:ascii="宋体" w:hAnsi="宋体" w:eastAsia="宋体" w:cs="宋体"/>
          <w:spacing w:val="-3"/>
          <w:sz w:val="24"/>
          <w:szCs w:val="24"/>
        </w:rPr>
        <w:t>时间不宜超过</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20min</w:t>
      </w:r>
      <w:r>
        <w:rPr>
          <w:rFonts w:ascii="宋体" w:hAnsi="宋体" w:eastAsia="宋体" w:cs="宋体"/>
          <w:spacing w:val="-3"/>
          <w:sz w:val="24"/>
          <w:szCs w:val="24"/>
        </w:rPr>
        <w:t>。</w:t>
      </w:r>
    </w:p>
    <w:p>
      <w:pPr>
        <w:spacing w:before="181" w:line="231" w:lineRule="auto"/>
        <w:ind w:left="516"/>
        <w:rPr>
          <w:rFonts w:ascii="宋体" w:hAnsi="宋体" w:eastAsia="宋体" w:cs="宋体"/>
          <w:sz w:val="24"/>
          <w:szCs w:val="24"/>
        </w:rPr>
      </w:pPr>
      <w:r>
        <w:rPr>
          <w:rFonts w:ascii="宋体" w:hAnsi="宋体" w:eastAsia="宋体" w:cs="宋体"/>
          <w:spacing w:val="-3"/>
          <w:sz w:val="24"/>
          <w:szCs w:val="24"/>
        </w:rPr>
        <w:t>③</w:t>
      </w:r>
      <w:r>
        <w:rPr>
          <w:rFonts w:ascii="Times New Roman" w:hAnsi="Times New Roman" w:eastAsia="Times New Roman" w:cs="Times New Roman"/>
          <w:spacing w:val="-3"/>
          <w:sz w:val="24"/>
          <w:szCs w:val="24"/>
        </w:rPr>
        <w:t>.</w:t>
      </w:r>
      <w:r>
        <w:rPr>
          <w:rFonts w:ascii="宋体" w:hAnsi="宋体" w:eastAsia="宋体" w:cs="宋体"/>
          <w:spacing w:val="-3"/>
          <w:sz w:val="24"/>
          <w:szCs w:val="24"/>
        </w:rPr>
        <w:t>隧道内</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20min</w:t>
      </w:r>
      <w:r>
        <w:rPr>
          <w:rFonts w:ascii="Times New Roman" w:hAnsi="Times New Roman" w:eastAsia="Times New Roman" w:cs="Times New Roman"/>
          <w:spacing w:val="39"/>
          <w:w w:val="101"/>
          <w:sz w:val="24"/>
          <w:szCs w:val="24"/>
        </w:rPr>
        <w:t xml:space="preserve"> </w:t>
      </w:r>
      <w:r>
        <w:rPr>
          <w:rFonts w:ascii="宋体" w:hAnsi="宋体" w:eastAsia="宋体" w:cs="宋体"/>
          <w:spacing w:val="-3"/>
          <w:sz w:val="24"/>
          <w:szCs w:val="24"/>
        </w:rPr>
        <w:t>内的平均</w:t>
      </w:r>
      <w:r>
        <w:rPr>
          <w:rFonts w:ascii="宋体" w:hAnsi="宋体" w:eastAsia="宋体" w:cs="宋体"/>
          <w:spacing w:val="-63"/>
          <w:sz w:val="24"/>
          <w:szCs w:val="24"/>
        </w:rPr>
        <w:t xml:space="preserve"> </w:t>
      </w:r>
      <w:r>
        <w:rPr>
          <w:rFonts w:ascii="Times New Roman" w:hAnsi="Times New Roman" w:eastAsia="Times New Roman" w:cs="Times New Roman"/>
          <w:spacing w:val="-3"/>
          <w:sz w:val="24"/>
          <w:szCs w:val="24"/>
        </w:rPr>
        <w:t>NO</w:t>
      </w:r>
      <w:r>
        <w:rPr>
          <w:rFonts w:ascii="Times New Roman" w:hAnsi="Times New Roman" w:eastAsia="Times New Roman" w:cs="Times New Roman"/>
          <w:spacing w:val="-3"/>
          <w:position w:val="-2"/>
          <w:sz w:val="16"/>
          <w:szCs w:val="16"/>
        </w:rPr>
        <w:t>2</w:t>
      </w:r>
      <w:r>
        <w:rPr>
          <w:rFonts w:ascii="Times New Roman" w:hAnsi="Times New Roman" w:eastAsia="Times New Roman" w:cs="Times New Roman"/>
          <w:spacing w:val="15"/>
          <w:position w:val="-2"/>
          <w:sz w:val="16"/>
          <w:szCs w:val="16"/>
        </w:rPr>
        <w:t xml:space="preserve"> </w:t>
      </w:r>
      <w:r>
        <w:rPr>
          <w:rFonts w:ascii="宋体" w:hAnsi="宋体" w:eastAsia="宋体" w:cs="宋体"/>
          <w:spacing w:val="-3"/>
          <w:sz w:val="24"/>
          <w:szCs w:val="24"/>
        </w:rPr>
        <w:t>设计浓度</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δNO</w:t>
      </w:r>
      <w:r>
        <w:rPr>
          <w:rFonts w:ascii="Times New Roman" w:hAnsi="Times New Roman" w:eastAsia="Times New Roman" w:cs="Times New Roman"/>
          <w:spacing w:val="-3"/>
          <w:position w:val="-2"/>
          <w:sz w:val="16"/>
          <w:szCs w:val="16"/>
        </w:rPr>
        <w:t>2</w:t>
      </w:r>
      <w:r>
        <w:rPr>
          <w:rFonts w:ascii="Times New Roman" w:hAnsi="Times New Roman" w:eastAsia="Times New Roman" w:cs="Times New Roman"/>
          <w:spacing w:val="14"/>
          <w:position w:val="-2"/>
          <w:sz w:val="16"/>
          <w:szCs w:val="16"/>
        </w:rPr>
        <w:t xml:space="preserve"> </w:t>
      </w:r>
      <w:r>
        <w:rPr>
          <w:rFonts w:ascii="宋体" w:hAnsi="宋体" w:eastAsia="宋体" w:cs="宋体"/>
          <w:spacing w:val="-3"/>
          <w:sz w:val="24"/>
          <w:szCs w:val="24"/>
        </w:rPr>
        <w:t>可取</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1.0cm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6"/>
          <w:szCs w:val="16"/>
        </w:rPr>
        <w:t>3</w:t>
      </w:r>
      <w:r>
        <w:rPr>
          <w:rFonts w:ascii="宋体" w:hAnsi="宋体" w:eastAsia="宋体" w:cs="宋体"/>
          <w:spacing w:val="-3"/>
          <w:sz w:val="24"/>
          <w:szCs w:val="24"/>
        </w:rPr>
        <w:t>。</w:t>
      </w:r>
    </w:p>
    <w:p>
      <w:pPr>
        <w:spacing w:before="168" w:line="217" w:lineRule="auto"/>
        <w:ind w:left="516"/>
        <w:rPr>
          <w:rFonts w:ascii="宋体" w:hAnsi="宋体" w:eastAsia="宋体" w:cs="宋体"/>
          <w:sz w:val="24"/>
          <w:szCs w:val="24"/>
        </w:rPr>
      </w:pPr>
      <w:r>
        <w:rPr>
          <w:rFonts w:ascii="宋体" w:hAnsi="宋体" w:eastAsia="宋体" w:cs="宋体"/>
          <w:spacing w:val="-1"/>
          <w:sz w:val="24"/>
          <w:szCs w:val="24"/>
        </w:rPr>
        <w:t>④</w:t>
      </w:r>
      <w:r>
        <w:rPr>
          <w:rFonts w:ascii="Times New Roman" w:hAnsi="Times New Roman" w:eastAsia="Times New Roman" w:cs="Times New Roman"/>
          <w:spacing w:val="-1"/>
          <w:sz w:val="24"/>
          <w:szCs w:val="24"/>
        </w:rPr>
        <w:t>.</w:t>
      </w:r>
      <w:r>
        <w:rPr>
          <w:rFonts w:ascii="宋体" w:hAnsi="宋体" w:eastAsia="宋体" w:cs="宋体"/>
          <w:spacing w:val="-1"/>
          <w:sz w:val="24"/>
          <w:szCs w:val="24"/>
        </w:rPr>
        <w:t>隧道内烟尘允许浓度：采用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LED </w:t>
      </w:r>
      <w:r>
        <w:rPr>
          <w:rFonts w:ascii="宋体" w:hAnsi="宋体" w:eastAsia="宋体" w:cs="宋体"/>
          <w:spacing w:val="-1"/>
          <w:sz w:val="24"/>
          <w:szCs w:val="24"/>
        </w:rPr>
        <w:t>灯光源时</w:t>
      </w:r>
    </w:p>
    <w:p>
      <w:pPr>
        <w:spacing w:before="185" w:line="468" w:lineRule="exact"/>
        <w:ind w:left="516"/>
        <w:rPr>
          <w:rFonts w:ascii="宋体" w:hAnsi="宋体" w:eastAsia="宋体" w:cs="宋体"/>
          <w:sz w:val="24"/>
          <w:szCs w:val="24"/>
        </w:rPr>
      </w:pPr>
      <w:r>
        <w:rPr>
          <w:rFonts w:ascii="宋体" w:hAnsi="宋体" w:eastAsia="宋体" w:cs="宋体"/>
          <w:spacing w:val="-3"/>
          <w:position w:val="17"/>
          <w:sz w:val="24"/>
          <w:szCs w:val="24"/>
        </w:rPr>
        <w:t>⑤</w:t>
      </w:r>
      <w:r>
        <w:rPr>
          <w:rFonts w:ascii="Times New Roman" w:hAnsi="Times New Roman" w:eastAsia="Times New Roman" w:cs="Times New Roman"/>
          <w:spacing w:val="-3"/>
          <w:position w:val="17"/>
          <w:sz w:val="24"/>
          <w:szCs w:val="24"/>
        </w:rPr>
        <w:t>.</w:t>
      </w:r>
      <w:r>
        <w:rPr>
          <w:rFonts w:ascii="宋体" w:hAnsi="宋体" w:eastAsia="宋体" w:cs="宋体"/>
          <w:spacing w:val="-3"/>
          <w:position w:val="17"/>
          <w:sz w:val="24"/>
          <w:szCs w:val="24"/>
        </w:rPr>
        <w:t>换气次数：近期每小时</w:t>
      </w:r>
      <w:r>
        <w:rPr>
          <w:rFonts w:ascii="宋体" w:hAnsi="宋体" w:eastAsia="宋体" w:cs="宋体"/>
          <w:spacing w:val="-50"/>
          <w:position w:val="17"/>
          <w:sz w:val="24"/>
          <w:szCs w:val="24"/>
        </w:rPr>
        <w:t xml:space="preserve"> </w:t>
      </w:r>
      <w:r>
        <w:rPr>
          <w:rFonts w:ascii="Times New Roman" w:hAnsi="Times New Roman" w:eastAsia="Times New Roman" w:cs="Times New Roman"/>
          <w:spacing w:val="-3"/>
          <w:position w:val="17"/>
          <w:sz w:val="24"/>
          <w:szCs w:val="24"/>
        </w:rPr>
        <w:t>3</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3"/>
          <w:position w:val="17"/>
          <w:sz w:val="24"/>
          <w:szCs w:val="24"/>
        </w:rPr>
        <w:t>次，远期每小时</w:t>
      </w:r>
      <w:r>
        <w:rPr>
          <w:rFonts w:ascii="宋体" w:hAnsi="宋体" w:eastAsia="宋体" w:cs="宋体"/>
          <w:spacing w:val="-50"/>
          <w:position w:val="17"/>
          <w:sz w:val="24"/>
          <w:szCs w:val="24"/>
        </w:rPr>
        <w:t xml:space="preserve"> </w:t>
      </w:r>
      <w:r>
        <w:rPr>
          <w:rFonts w:ascii="Times New Roman" w:hAnsi="Times New Roman" w:eastAsia="Times New Roman" w:cs="Times New Roman"/>
          <w:spacing w:val="-3"/>
          <w:position w:val="17"/>
          <w:sz w:val="24"/>
          <w:szCs w:val="24"/>
        </w:rPr>
        <w:t>3</w:t>
      </w:r>
      <w:r>
        <w:rPr>
          <w:rFonts w:ascii="Times New Roman" w:hAnsi="Times New Roman" w:eastAsia="Times New Roman" w:cs="Times New Roman"/>
          <w:spacing w:val="16"/>
          <w:position w:val="17"/>
          <w:sz w:val="24"/>
          <w:szCs w:val="24"/>
        </w:rPr>
        <w:t xml:space="preserve"> </w:t>
      </w:r>
      <w:r>
        <w:rPr>
          <w:rFonts w:ascii="宋体" w:hAnsi="宋体" w:eastAsia="宋体" w:cs="宋体"/>
          <w:spacing w:val="-3"/>
          <w:position w:val="17"/>
          <w:sz w:val="24"/>
          <w:szCs w:val="24"/>
        </w:rPr>
        <w:t>次。</w:t>
      </w:r>
    </w:p>
    <w:p>
      <w:pPr>
        <w:spacing w:before="1" w:line="219"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）火灾最大热释放率</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30MW</w:t>
      </w:r>
      <w:r>
        <w:rPr>
          <w:rFonts w:ascii="宋体" w:hAnsi="宋体" w:eastAsia="宋体" w:cs="宋体"/>
          <w:spacing w:val="-3"/>
          <w:sz w:val="24"/>
          <w:szCs w:val="24"/>
        </w:rPr>
        <w:t>。</w:t>
      </w:r>
    </w:p>
    <w:p>
      <w:pPr>
        <w:spacing w:before="182"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）隧道设计使用年限</w:t>
      </w:r>
    </w:p>
    <w:p>
      <w:pPr>
        <w:spacing w:line="220" w:lineRule="auto"/>
        <w:rPr>
          <w:rFonts w:ascii="宋体" w:hAnsi="宋体" w:eastAsia="宋体" w:cs="宋体"/>
          <w:sz w:val="24"/>
          <w:szCs w:val="24"/>
        </w:rPr>
        <w:sectPr>
          <w:headerReference r:id="rId123" w:type="default"/>
          <w:footerReference r:id="rId124" w:type="default"/>
          <w:pgSz w:w="11907" w:h="16839"/>
          <w:pgMar w:top="1118" w:right="1769" w:bottom="1182" w:left="1771" w:header="879" w:footer="1024" w:gutter="0"/>
          <w:cols w:space="720" w:num="1"/>
        </w:sectPr>
      </w:pPr>
    </w:p>
    <w:p>
      <w:pPr>
        <w:pStyle w:val="2"/>
        <w:spacing w:line="356" w:lineRule="auto"/>
      </w:pPr>
    </w:p>
    <w:p>
      <w:pPr>
        <w:spacing w:before="78" w:line="220" w:lineRule="auto"/>
        <w:ind w:left="520"/>
        <w:rPr>
          <w:rFonts w:ascii="宋体" w:hAnsi="宋体" w:eastAsia="宋体" w:cs="宋体"/>
          <w:sz w:val="24"/>
          <w:szCs w:val="24"/>
        </w:rPr>
      </w:pPr>
      <w:r>
        <w:rPr>
          <w:rFonts w:ascii="宋体" w:hAnsi="宋体" w:eastAsia="宋体" w:cs="宋体"/>
          <w:spacing w:val="-15"/>
          <w:sz w:val="24"/>
          <w:szCs w:val="24"/>
        </w:rPr>
        <w:t>主体结构（衬砌、洞门</w:t>
      </w:r>
      <w:r>
        <w:rPr>
          <w:rFonts w:ascii="宋体" w:hAnsi="宋体" w:eastAsia="宋体" w:cs="宋体"/>
          <w:spacing w:val="-12"/>
          <w:sz w:val="24"/>
          <w:szCs w:val="24"/>
        </w:rPr>
        <w:t>）：</w:t>
      </w:r>
      <w:r>
        <w:rPr>
          <w:rFonts w:ascii="宋体" w:hAnsi="宋体" w:eastAsia="宋体" w:cs="宋体"/>
          <w:spacing w:val="84"/>
          <w:sz w:val="24"/>
          <w:szCs w:val="24"/>
        </w:rPr>
        <w:t xml:space="preserve"> </w:t>
      </w:r>
      <w:r>
        <w:rPr>
          <w:rFonts w:ascii="Times New Roman" w:hAnsi="Times New Roman" w:eastAsia="Times New Roman" w:cs="Times New Roman"/>
          <w:spacing w:val="-15"/>
          <w:sz w:val="24"/>
          <w:szCs w:val="24"/>
        </w:rPr>
        <w:t>100</w:t>
      </w:r>
      <w:r>
        <w:rPr>
          <w:rFonts w:ascii="Times New Roman" w:hAnsi="Times New Roman" w:eastAsia="Times New Roman" w:cs="Times New Roman"/>
          <w:spacing w:val="10"/>
          <w:sz w:val="24"/>
          <w:szCs w:val="24"/>
        </w:rPr>
        <w:t xml:space="preserve"> </w:t>
      </w:r>
      <w:r>
        <w:rPr>
          <w:rFonts w:ascii="宋体" w:hAnsi="宋体" w:eastAsia="宋体" w:cs="宋体"/>
          <w:spacing w:val="-15"/>
          <w:sz w:val="24"/>
          <w:szCs w:val="24"/>
        </w:rPr>
        <w:t>年；</w:t>
      </w:r>
    </w:p>
    <w:p>
      <w:pPr>
        <w:spacing w:before="182" w:line="468" w:lineRule="exact"/>
        <w:ind w:left="520"/>
        <w:rPr>
          <w:rFonts w:ascii="宋体" w:hAnsi="宋体" w:eastAsia="宋体" w:cs="宋体"/>
          <w:sz w:val="24"/>
          <w:szCs w:val="24"/>
        </w:rPr>
      </w:pPr>
      <w:r>
        <w:rPr>
          <w:rFonts w:ascii="宋体" w:hAnsi="宋体" w:eastAsia="宋体" w:cs="宋体"/>
          <w:spacing w:val="-8"/>
          <w:position w:val="17"/>
          <w:sz w:val="24"/>
          <w:szCs w:val="24"/>
        </w:rPr>
        <w:t>可更换、修复构件（水沟、电缆沟槽、盖板等</w:t>
      </w:r>
      <w:r>
        <w:rPr>
          <w:rFonts w:ascii="宋体" w:hAnsi="宋体" w:eastAsia="宋体" w:cs="宋体"/>
          <w:spacing w:val="-5"/>
          <w:position w:val="17"/>
          <w:sz w:val="24"/>
          <w:szCs w:val="24"/>
        </w:rPr>
        <w:t>）：</w:t>
      </w:r>
      <w:r>
        <w:rPr>
          <w:rFonts w:ascii="宋体" w:hAnsi="宋体" w:eastAsia="宋体" w:cs="宋体"/>
          <w:spacing w:val="66"/>
          <w:position w:val="17"/>
          <w:sz w:val="24"/>
          <w:szCs w:val="24"/>
        </w:rPr>
        <w:t xml:space="preserve"> </w:t>
      </w:r>
      <w:r>
        <w:rPr>
          <w:rFonts w:ascii="Times New Roman" w:hAnsi="Times New Roman" w:eastAsia="Times New Roman" w:cs="Times New Roman"/>
          <w:spacing w:val="-8"/>
          <w:position w:val="17"/>
          <w:sz w:val="24"/>
          <w:szCs w:val="24"/>
        </w:rPr>
        <w:t xml:space="preserve">30 </w:t>
      </w:r>
      <w:r>
        <w:rPr>
          <w:rFonts w:ascii="宋体" w:hAnsi="宋体" w:eastAsia="宋体" w:cs="宋体"/>
          <w:spacing w:val="-8"/>
          <w:position w:val="17"/>
          <w:sz w:val="24"/>
          <w:szCs w:val="24"/>
        </w:rPr>
        <w:t>年。</w:t>
      </w:r>
    </w:p>
    <w:p>
      <w:pPr>
        <w:spacing w:line="219"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）保护层厚度及裂缝宽度控制</w:t>
      </w:r>
    </w:p>
    <w:p>
      <w:pPr>
        <w:spacing w:before="182" w:line="468" w:lineRule="exact"/>
        <w:ind w:right="34"/>
        <w:jc w:val="right"/>
        <w:rPr>
          <w:rFonts w:ascii="宋体" w:hAnsi="宋体" w:eastAsia="宋体" w:cs="宋体"/>
          <w:sz w:val="24"/>
          <w:szCs w:val="24"/>
        </w:rPr>
      </w:pPr>
      <w:r>
        <w:rPr>
          <w:rFonts w:ascii="宋体" w:hAnsi="宋体" w:eastAsia="宋体" w:cs="宋体"/>
          <w:spacing w:val="-8"/>
          <w:position w:val="16"/>
          <w:sz w:val="24"/>
          <w:szCs w:val="24"/>
        </w:rPr>
        <w:t>主体结构为钢筋混凝土时， 主筋保护层厚度</w:t>
      </w:r>
      <w:r>
        <w:rPr>
          <w:rFonts w:ascii="宋体" w:hAnsi="宋体" w:eastAsia="宋体" w:cs="宋体"/>
          <w:spacing w:val="-44"/>
          <w:position w:val="16"/>
          <w:sz w:val="24"/>
          <w:szCs w:val="24"/>
        </w:rPr>
        <w:t xml:space="preserve"> </w:t>
      </w:r>
      <w:r>
        <w:rPr>
          <w:rFonts w:ascii="Times New Roman" w:hAnsi="Times New Roman" w:eastAsia="Times New Roman" w:cs="Times New Roman"/>
          <w:spacing w:val="-8"/>
          <w:position w:val="16"/>
          <w:sz w:val="24"/>
          <w:szCs w:val="24"/>
        </w:rPr>
        <w:t>C</w:t>
      </w:r>
      <w:r>
        <w:rPr>
          <w:rFonts w:ascii="Times New Roman" w:hAnsi="Times New Roman" w:eastAsia="Times New Roman" w:cs="Times New Roman"/>
          <w:spacing w:val="-8"/>
          <w:position w:val="15"/>
          <w:sz w:val="16"/>
          <w:szCs w:val="16"/>
        </w:rPr>
        <w:t>min</w:t>
      </w:r>
      <w:r>
        <w:rPr>
          <w:rFonts w:ascii="Times New Roman" w:hAnsi="Times New Roman" w:eastAsia="Times New Roman" w:cs="Times New Roman"/>
          <w:spacing w:val="15"/>
          <w:w w:val="102"/>
          <w:position w:val="15"/>
          <w:sz w:val="16"/>
          <w:szCs w:val="16"/>
        </w:rPr>
        <w:t xml:space="preserve"> </w:t>
      </w:r>
      <w:r>
        <w:rPr>
          <w:rFonts w:ascii="宋体" w:hAnsi="宋体" w:eastAsia="宋体" w:cs="宋体"/>
          <w:spacing w:val="-8"/>
          <w:position w:val="16"/>
          <w:sz w:val="24"/>
          <w:szCs w:val="24"/>
        </w:rPr>
        <w:t>不小于</w:t>
      </w:r>
      <w:r>
        <w:rPr>
          <w:rFonts w:ascii="宋体" w:hAnsi="宋体" w:eastAsia="宋体" w:cs="宋体"/>
          <w:spacing w:val="-49"/>
          <w:position w:val="16"/>
          <w:sz w:val="24"/>
          <w:szCs w:val="24"/>
        </w:rPr>
        <w:t xml:space="preserve"> </w:t>
      </w:r>
      <w:r>
        <w:rPr>
          <w:rFonts w:ascii="Times New Roman" w:hAnsi="Times New Roman" w:eastAsia="Times New Roman" w:cs="Times New Roman"/>
          <w:spacing w:val="-8"/>
          <w:position w:val="16"/>
          <w:sz w:val="24"/>
          <w:szCs w:val="24"/>
        </w:rPr>
        <w:t>5cm</w:t>
      </w:r>
      <w:r>
        <w:rPr>
          <w:rFonts w:ascii="宋体" w:hAnsi="宋体" w:eastAsia="宋体" w:cs="宋体"/>
          <w:spacing w:val="-8"/>
          <w:position w:val="16"/>
          <w:sz w:val="24"/>
          <w:szCs w:val="24"/>
        </w:rPr>
        <w:t>。钢筋混凝土衬</w:t>
      </w:r>
    </w:p>
    <w:p>
      <w:pPr>
        <w:spacing w:before="1" w:line="234" w:lineRule="auto"/>
        <w:ind w:left="38"/>
        <w:rPr>
          <w:rFonts w:ascii="宋体" w:hAnsi="宋体" w:eastAsia="宋体" w:cs="宋体"/>
          <w:sz w:val="24"/>
          <w:szCs w:val="24"/>
        </w:rPr>
      </w:pPr>
      <w:r>
        <w:rPr>
          <w:rFonts w:ascii="宋体" w:hAnsi="宋体" w:eastAsia="宋体" w:cs="宋体"/>
          <w:spacing w:val="-1"/>
          <w:sz w:val="24"/>
          <w:szCs w:val="24"/>
        </w:rPr>
        <w:t>砌结构构件最大裂缝宽度</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W</w:t>
      </w:r>
      <w:r>
        <w:rPr>
          <w:rFonts w:ascii="Times New Roman" w:hAnsi="Times New Roman" w:eastAsia="Times New Roman" w:cs="Times New Roman"/>
          <w:spacing w:val="-1"/>
          <w:position w:val="-1"/>
          <w:sz w:val="16"/>
          <w:szCs w:val="16"/>
        </w:rPr>
        <w:t>ma</w:t>
      </w:r>
      <w:r>
        <w:rPr>
          <w:rFonts w:ascii="Times New Roman" w:hAnsi="Times New Roman" w:eastAsia="Times New Roman" w:cs="Times New Roman"/>
          <w:spacing w:val="-1"/>
          <w:sz w:val="24"/>
          <w:szCs w:val="24"/>
        </w:rPr>
        <w:t xml:space="preserve">x </w:t>
      </w:r>
      <w:r>
        <w:rPr>
          <w:rFonts w:ascii="宋体" w:hAnsi="宋体" w:eastAsia="宋体" w:cs="宋体"/>
          <w:spacing w:val="-1"/>
          <w:sz w:val="24"/>
          <w:szCs w:val="24"/>
        </w:rPr>
        <w:t>不大于</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0.2mm</w:t>
      </w:r>
      <w:r>
        <w:rPr>
          <w:rFonts w:ascii="宋体" w:hAnsi="宋体" w:eastAsia="宋体" w:cs="宋体"/>
          <w:spacing w:val="-1"/>
          <w:sz w:val="24"/>
          <w:szCs w:val="24"/>
        </w:rPr>
        <w:t>。</w:t>
      </w:r>
    </w:p>
    <w:p>
      <w:pPr>
        <w:spacing w:before="163" w:line="221" w:lineRule="auto"/>
        <w:ind w:left="32"/>
        <w:outlineLvl w:val="0"/>
        <w:rPr>
          <w:rFonts w:ascii="宋体" w:hAnsi="宋体" w:eastAsia="宋体" w:cs="宋体"/>
          <w:sz w:val="24"/>
          <w:szCs w:val="24"/>
        </w:rPr>
      </w:pPr>
      <w:r>
        <w:fldChar w:fldCharType="begin"/>
      </w:r>
      <w:r>
        <w:instrText xml:space="preserve"> HYPERLINK "3.2.4.2" </w:instrText>
      </w:r>
      <w:r>
        <w:fldChar w:fldCharType="separate"/>
      </w:r>
      <w:r>
        <w:rPr>
          <w:rFonts w:ascii="Times New Roman" w:hAnsi="Times New Roman" w:eastAsia="Times New Roman" w:cs="Times New Roman"/>
          <w:b/>
          <w:bCs/>
          <w:spacing w:val="-2"/>
          <w:sz w:val="24"/>
          <w:szCs w:val="24"/>
        </w:rPr>
        <w:t>3.2.4.2</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13"/>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隧道土建设计</w:t>
      </w:r>
    </w:p>
    <w:p>
      <w:pPr>
        <w:spacing w:before="180" w:line="220" w:lineRule="auto"/>
        <w:ind w:left="536"/>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、隧道净空与横断面</w:t>
      </w:r>
    </w:p>
    <w:p>
      <w:pPr>
        <w:spacing w:before="183" w:line="360" w:lineRule="auto"/>
        <w:ind w:left="44" w:right="29" w:firstLine="474"/>
        <w:rPr>
          <w:rFonts w:ascii="宋体" w:hAnsi="宋体" w:eastAsia="宋体" w:cs="宋体"/>
          <w:sz w:val="24"/>
          <w:szCs w:val="24"/>
        </w:rPr>
      </w:pPr>
      <w:r>
        <w:rPr>
          <w:rFonts w:ascii="宋体" w:hAnsi="宋体" w:eastAsia="宋体" w:cs="宋体"/>
          <w:spacing w:val="-3"/>
          <w:sz w:val="24"/>
          <w:szCs w:val="24"/>
        </w:rPr>
        <w:t>本工程隧道综合考虑采用曲墙式断面构造。连接线隧道拱顶部</w:t>
      </w:r>
      <w:r>
        <w:rPr>
          <w:rFonts w:ascii="宋体" w:hAnsi="宋体" w:eastAsia="宋体" w:cs="宋体"/>
          <w:spacing w:val="-4"/>
          <w:sz w:val="24"/>
          <w:szCs w:val="24"/>
        </w:rPr>
        <w:t>位可安装一组</w:t>
      </w:r>
      <w:r>
        <w:rPr>
          <w:rFonts w:ascii="宋体" w:hAnsi="宋体" w:eastAsia="宋体" w:cs="宋体"/>
          <w:sz w:val="24"/>
          <w:szCs w:val="24"/>
        </w:rPr>
        <w:t xml:space="preserve"> </w:t>
      </w:r>
      <w:r>
        <w:rPr>
          <w:rFonts w:ascii="宋体" w:hAnsi="宋体" w:eastAsia="宋体" w:cs="宋体"/>
          <w:spacing w:val="-1"/>
          <w:sz w:val="24"/>
          <w:szCs w:val="24"/>
        </w:rPr>
        <w:t xml:space="preserve">（两台）直径 </w:t>
      </w:r>
      <w:r>
        <w:rPr>
          <w:rFonts w:ascii="Times New Roman" w:hAnsi="Times New Roman" w:eastAsia="Times New Roman" w:cs="Times New Roman"/>
          <w:spacing w:val="-1"/>
          <w:sz w:val="24"/>
          <w:szCs w:val="24"/>
        </w:rPr>
        <w:t xml:space="preserve">φ900mm  </w:t>
      </w:r>
      <w:r>
        <w:rPr>
          <w:rFonts w:ascii="宋体" w:hAnsi="宋体" w:eastAsia="宋体" w:cs="宋体"/>
          <w:spacing w:val="-1"/>
          <w:sz w:val="24"/>
          <w:szCs w:val="24"/>
        </w:rPr>
        <w:t>的射流风机，通讯、照明、消防、配电洞室等在侧墙部</w:t>
      </w:r>
    </w:p>
    <w:p>
      <w:pPr>
        <w:spacing w:line="220" w:lineRule="auto"/>
        <w:ind w:left="38"/>
        <w:rPr>
          <w:rFonts w:ascii="宋体" w:hAnsi="宋体" w:eastAsia="宋体" w:cs="宋体"/>
          <w:sz w:val="24"/>
          <w:szCs w:val="24"/>
        </w:rPr>
      </w:pPr>
      <w:r>
        <w:rPr>
          <w:rFonts w:ascii="宋体" w:hAnsi="宋体" w:eastAsia="宋体" w:cs="宋体"/>
          <w:spacing w:val="-7"/>
          <w:sz w:val="24"/>
          <w:szCs w:val="24"/>
        </w:rPr>
        <w:t>位另留空间。</w:t>
      </w:r>
    </w:p>
    <w:p>
      <w:pPr>
        <w:spacing w:before="182" w:line="220" w:lineRule="auto"/>
        <w:ind w:left="46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）横断面构造</w:t>
      </w:r>
    </w:p>
    <w:p>
      <w:pPr>
        <w:spacing w:before="183" w:line="360" w:lineRule="auto"/>
        <w:ind w:left="38" w:right="29" w:firstLine="485"/>
        <w:rPr>
          <w:rFonts w:ascii="宋体" w:hAnsi="宋体" w:eastAsia="宋体" w:cs="宋体"/>
          <w:sz w:val="24"/>
          <w:szCs w:val="24"/>
        </w:rPr>
      </w:pPr>
      <w:r>
        <w:rPr>
          <w:rFonts w:ascii="宋体" w:hAnsi="宋体" w:eastAsia="宋体" w:cs="宋体"/>
          <w:spacing w:val="-7"/>
          <w:sz w:val="24"/>
          <w:szCs w:val="24"/>
        </w:rPr>
        <w:t>西坑连接线隧道横断面采用锚喷支护复合模筑砼衬砌， 内夹隧道专用防排水</w:t>
      </w:r>
      <w:r>
        <w:rPr>
          <w:rFonts w:ascii="宋体" w:hAnsi="宋体" w:eastAsia="宋体" w:cs="宋体"/>
          <w:spacing w:val="8"/>
          <w:sz w:val="24"/>
          <w:szCs w:val="24"/>
        </w:rPr>
        <w:t xml:space="preserve"> </w:t>
      </w:r>
      <w:r>
        <w:rPr>
          <w:rFonts w:ascii="宋体" w:hAnsi="宋体" w:eastAsia="宋体" w:cs="宋体"/>
          <w:spacing w:val="-12"/>
          <w:sz w:val="24"/>
          <w:szCs w:val="24"/>
        </w:rPr>
        <w:t>层。路面采用双面横坡，</w:t>
      </w:r>
      <w:r>
        <w:rPr>
          <w:rFonts w:ascii="宋体" w:hAnsi="宋体" w:eastAsia="宋体" w:cs="宋体"/>
          <w:spacing w:val="56"/>
          <w:sz w:val="24"/>
          <w:szCs w:val="24"/>
        </w:rPr>
        <w:t xml:space="preserve"> </w:t>
      </w:r>
      <w:r>
        <w:rPr>
          <w:rFonts w:ascii="宋体" w:hAnsi="宋体" w:eastAsia="宋体" w:cs="宋体"/>
          <w:spacing w:val="-12"/>
          <w:sz w:val="24"/>
          <w:szCs w:val="24"/>
        </w:rPr>
        <w:t>坡度正常段（无超高） 为</w:t>
      </w:r>
      <w:r>
        <w:rPr>
          <w:rFonts w:ascii="宋体" w:hAnsi="宋体" w:eastAsia="宋体" w:cs="宋体"/>
          <w:spacing w:val="-54"/>
          <w:sz w:val="24"/>
          <w:szCs w:val="24"/>
        </w:rPr>
        <w:t xml:space="preserve"> </w:t>
      </w:r>
      <w:r>
        <w:rPr>
          <w:rFonts w:ascii="Times New Roman" w:hAnsi="Times New Roman" w:eastAsia="Times New Roman" w:cs="Times New Roman"/>
          <w:spacing w:val="-12"/>
          <w:sz w:val="24"/>
          <w:szCs w:val="24"/>
        </w:rPr>
        <w:t>2%</w:t>
      </w:r>
      <w:r>
        <w:rPr>
          <w:rFonts w:ascii="宋体" w:hAnsi="宋体" w:eastAsia="宋体" w:cs="宋体"/>
          <w:spacing w:val="-12"/>
          <w:sz w:val="24"/>
          <w:szCs w:val="24"/>
        </w:rPr>
        <w:t>。隧道两侧路缘石间隔</w:t>
      </w:r>
      <w:r>
        <w:rPr>
          <w:rFonts w:ascii="宋体" w:hAnsi="宋体" w:eastAsia="宋体" w:cs="宋体"/>
          <w:spacing w:val="-48"/>
          <w:sz w:val="24"/>
          <w:szCs w:val="24"/>
        </w:rPr>
        <w:t xml:space="preserve"> </w:t>
      </w:r>
      <w:r>
        <w:rPr>
          <w:rFonts w:ascii="Times New Roman" w:hAnsi="Times New Roman" w:eastAsia="Times New Roman" w:cs="Times New Roman"/>
          <w:spacing w:val="-12"/>
          <w:sz w:val="24"/>
          <w:szCs w:val="24"/>
        </w:rPr>
        <w:t>5m</w:t>
      </w:r>
      <w:r>
        <w:rPr>
          <w:rFonts w:ascii="Times New Roman" w:hAnsi="Times New Roman" w:eastAsia="Times New Roman" w:cs="Times New Roman"/>
          <w:sz w:val="24"/>
          <w:szCs w:val="24"/>
        </w:rPr>
        <w:t xml:space="preserve"> </w:t>
      </w:r>
      <w:r>
        <w:rPr>
          <w:rFonts w:ascii="宋体" w:hAnsi="宋体" w:eastAsia="宋体" w:cs="宋体"/>
          <w:spacing w:val="-6"/>
          <w:sz w:val="24"/>
          <w:szCs w:val="24"/>
        </w:rPr>
        <w:t>开孔设引水管引水至电缆沟排水， 路基中心设中心排水</w:t>
      </w:r>
      <w:r>
        <w:rPr>
          <w:rFonts w:ascii="宋体" w:hAnsi="宋体" w:eastAsia="宋体" w:cs="宋体"/>
          <w:spacing w:val="-7"/>
          <w:sz w:val="24"/>
          <w:szCs w:val="24"/>
        </w:rPr>
        <w:t>沟。横断面右侧沟槽设弱</w:t>
      </w:r>
      <w:r>
        <w:rPr>
          <w:rFonts w:ascii="宋体" w:hAnsi="宋体" w:eastAsia="宋体" w:cs="宋体"/>
          <w:sz w:val="24"/>
          <w:szCs w:val="24"/>
        </w:rPr>
        <w:t xml:space="preserve"> </w:t>
      </w:r>
      <w:r>
        <w:rPr>
          <w:rFonts w:ascii="宋体" w:hAnsi="宋体" w:eastAsia="宋体" w:cs="宋体"/>
          <w:spacing w:val="-6"/>
          <w:sz w:val="24"/>
          <w:szCs w:val="24"/>
        </w:rPr>
        <w:t>电电缆， 左侧沟槽设强电电缆。各设备洞室设置在隧道侧墙的</w:t>
      </w:r>
      <w:r>
        <w:rPr>
          <w:rFonts w:ascii="宋体" w:hAnsi="宋体" w:eastAsia="宋体" w:cs="宋体"/>
          <w:spacing w:val="-7"/>
          <w:sz w:val="24"/>
          <w:szCs w:val="24"/>
        </w:rPr>
        <w:t>壁龛内。主洞断面</w:t>
      </w:r>
    </w:p>
    <w:p>
      <w:pPr>
        <w:spacing w:line="220" w:lineRule="auto"/>
        <w:ind w:left="41"/>
        <w:rPr>
          <w:rFonts w:ascii="宋体" w:hAnsi="宋体" w:eastAsia="宋体" w:cs="宋体"/>
          <w:sz w:val="24"/>
          <w:szCs w:val="24"/>
        </w:rPr>
      </w:pPr>
      <w:r>
        <w:rPr>
          <w:rFonts w:ascii="宋体" w:hAnsi="宋体" w:eastAsia="宋体" w:cs="宋体"/>
          <w:spacing w:val="-2"/>
          <w:sz w:val="24"/>
          <w:szCs w:val="24"/>
        </w:rPr>
        <w:t>净空面积</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58.70m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w:t>
      </w:r>
    </w:p>
    <w:p>
      <w:pPr>
        <w:spacing w:before="181" w:line="220" w:lineRule="auto"/>
        <w:ind w:left="520"/>
        <w:rPr>
          <w:rFonts w:ascii="宋体" w:hAnsi="宋体" w:eastAsia="宋体" w:cs="宋体"/>
          <w:sz w:val="24"/>
          <w:szCs w:val="24"/>
        </w:rPr>
      </w:pPr>
      <w:r>
        <w:rPr>
          <w:rFonts w:ascii="宋体" w:hAnsi="宋体" w:eastAsia="宋体" w:cs="宋体"/>
          <w:spacing w:val="-3"/>
          <w:sz w:val="24"/>
          <w:szCs w:val="24"/>
        </w:rPr>
        <w:t>各设备洞室设置在隧道侧墙的壁龛内。</w:t>
      </w:r>
    </w:p>
    <w:p>
      <w:pPr>
        <w:spacing w:line="220" w:lineRule="auto"/>
        <w:rPr>
          <w:rFonts w:ascii="宋体" w:hAnsi="宋体" w:eastAsia="宋体" w:cs="宋体"/>
          <w:sz w:val="24"/>
          <w:szCs w:val="24"/>
        </w:rPr>
        <w:sectPr>
          <w:pgSz w:w="11907" w:h="16839"/>
          <w:pgMar w:top="1118" w:right="1769" w:bottom="1182" w:left="1771" w:header="879" w:footer="1024" w:gutter="0"/>
          <w:cols w:space="720" w:num="1"/>
        </w:sectPr>
      </w:pPr>
    </w:p>
    <w:p>
      <w:pPr>
        <w:pStyle w:val="2"/>
        <w:spacing w:line="455" w:lineRule="auto"/>
      </w:pPr>
    </w:p>
    <w:p>
      <w:pPr>
        <w:spacing w:line="5966" w:lineRule="exact"/>
        <w:ind w:firstLine="107"/>
      </w:pPr>
      <w:r>
        <w:rPr>
          <w:position w:val="-119"/>
        </w:rPr>
        <w:drawing>
          <wp:inline distT="0" distB="0" distL="0" distR="0">
            <wp:extent cx="5173345" cy="378777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452"/>
                    <a:stretch>
                      <a:fillRect/>
                    </a:stretch>
                  </pic:blipFill>
                  <pic:spPr>
                    <a:xfrm>
                      <a:off x="0" y="0"/>
                      <a:ext cx="5173979" cy="3788409"/>
                    </a:xfrm>
                    <a:prstGeom prst="rect">
                      <a:avLst/>
                    </a:prstGeom>
                  </pic:spPr>
                </pic:pic>
              </a:graphicData>
            </a:graphic>
          </wp:inline>
        </w:drawing>
      </w:r>
    </w:p>
    <w:p>
      <w:pPr>
        <w:spacing w:before="293" w:line="219" w:lineRule="auto"/>
        <w:ind w:left="1671"/>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3.2-6        </w:t>
      </w:r>
      <w:r>
        <w:rPr>
          <w:rFonts w:ascii="宋体" w:hAnsi="宋体" w:eastAsia="宋体" w:cs="宋体"/>
          <w:spacing w:val="-2"/>
          <w:sz w:val="24"/>
          <w:szCs w:val="24"/>
        </w:rPr>
        <w:t>隧道标准横断面总体布置图（</w:t>
      </w:r>
      <w:r>
        <w:rPr>
          <w:rFonts w:ascii="Times New Roman" w:hAnsi="Times New Roman" w:eastAsia="Times New Roman" w:cs="Times New Roman"/>
          <w:spacing w:val="-2"/>
          <w:sz w:val="24"/>
          <w:szCs w:val="24"/>
        </w:rPr>
        <w:t>E</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型）</w:t>
      </w:r>
    </w:p>
    <w:p>
      <w:pPr>
        <w:spacing w:before="144" w:line="5236" w:lineRule="exact"/>
        <w:ind w:firstLine="249"/>
      </w:pPr>
      <w:r>
        <w:rPr>
          <w:position w:val="-104"/>
        </w:rPr>
        <w:drawing>
          <wp:inline distT="0" distB="0" distL="0" distR="0">
            <wp:extent cx="4992370" cy="332422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453"/>
                    <a:stretch>
                      <a:fillRect/>
                    </a:stretch>
                  </pic:blipFill>
                  <pic:spPr>
                    <a:xfrm>
                      <a:off x="0" y="0"/>
                      <a:ext cx="4992370" cy="3324859"/>
                    </a:xfrm>
                    <a:prstGeom prst="rect">
                      <a:avLst/>
                    </a:prstGeom>
                  </pic:spPr>
                </pic:pic>
              </a:graphicData>
            </a:graphic>
          </wp:inline>
        </w:drawing>
      </w:r>
    </w:p>
    <w:p>
      <w:pPr>
        <w:spacing w:before="72" w:line="511" w:lineRule="exact"/>
        <w:ind w:left="1071"/>
        <w:rPr>
          <w:rFonts w:ascii="宋体" w:hAnsi="宋体" w:eastAsia="宋体" w:cs="宋体"/>
          <w:sz w:val="24"/>
          <w:szCs w:val="24"/>
        </w:rPr>
      </w:pPr>
      <w:r>
        <w:rPr>
          <w:rFonts w:ascii="宋体" w:hAnsi="宋体" w:eastAsia="宋体" w:cs="宋体"/>
          <w:spacing w:val="-2"/>
          <w:position w:val="20"/>
          <w:sz w:val="24"/>
          <w:szCs w:val="24"/>
        </w:rPr>
        <w:t>图</w:t>
      </w:r>
      <w:r>
        <w:rPr>
          <w:rFonts w:ascii="宋体" w:hAnsi="宋体" w:eastAsia="宋体" w:cs="宋体"/>
          <w:spacing w:val="-40"/>
          <w:position w:val="20"/>
          <w:sz w:val="24"/>
          <w:szCs w:val="24"/>
        </w:rPr>
        <w:t xml:space="preserve"> </w:t>
      </w:r>
      <w:r>
        <w:rPr>
          <w:rFonts w:ascii="Times New Roman" w:hAnsi="Times New Roman" w:eastAsia="Times New Roman" w:cs="Times New Roman"/>
          <w:spacing w:val="-2"/>
          <w:position w:val="20"/>
          <w:sz w:val="24"/>
          <w:szCs w:val="24"/>
        </w:rPr>
        <w:t xml:space="preserve">3.2-7        </w:t>
      </w:r>
      <w:r>
        <w:rPr>
          <w:rFonts w:ascii="宋体" w:hAnsi="宋体" w:eastAsia="宋体" w:cs="宋体"/>
          <w:spacing w:val="-2"/>
          <w:position w:val="20"/>
          <w:sz w:val="24"/>
          <w:szCs w:val="24"/>
        </w:rPr>
        <w:t>隧道紧急停车带标准横断面总体布置图（</w:t>
      </w:r>
      <w:r>
        <w:rPr>
          <w:rFonts w:ascii="Times New Roman" w:hAnsi="Times New Roman" w:eastAsia="Times New Roman" w:cs="Times New Roman"/>
          <w:spacing w:val="-2"/>
          <w:position w:val="20"/>
          <w:sz w:val="24"/>
          <w:szCs w:val="24"/>
        </w:rPr>
        <w:t>E</w:t>
      </w:r>
      <w:r>
        <w:rPr>
          <w:rFonts w:ascii="Times New Roman" w:hAnsi="Times New Roman" w:eastAsia="Times New Roman" w:cs="Times New Roman"/>
          <w:spacing w:val="17"/>
          <w:position w:val="20"/>
          <w:sz w:val="24"/>
          <w:szCs w:val="24"/>
        </w:rPr>
        <w:t xml:space="preserve"> </w:t>
      </w:r>
      <w:r>
        <w:rPr>
          <w:rFonts w:ascii="宋体" w:hAnsi="宋体" w:eastAsia="宋体" w:cs="宋体"/>
          <w:spacing w:val="-2"/>
          <w:position w:val="20"/>
          <w:sz w:val="24"/>
          <w:szCs w:val="24"/>
        </w:rPr>
        <w:t>型）</w:t>
      </w:r>
    </w:p>
    <w:p>
      <w:pPr>
        <w:spacing w:before="1" w:line="219" w:lineRule="auto"/>
        <w:ind w:left="513"/>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、隧道衬砌结构</w:t>
      </w:r>
    </w:p>
    <w:p>
      <w:pPr>
        <w:spacing w:before="182" w:line="220" w:lineRule="auto"/>
        <w:ind w:left="52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）明洞</w:t>
      </w:r>
    </w:p>
    <w:p>
      <w:pPr>
        <w:spacing w:before="182" w:line="220" w:lineRule="auto"/>
        <w:ind w:right="29"/>
        <w:jc w:val="right"/>
        <w:rPr>
          <w:rFonts w:ascii="宋体" w:hAnsi="宋体" w:eastAsia="宋体" w:cs="宋体"/>
          <w:sz w:val="24"/>
          <w:szCs w:val="24"/>
        </w:rPr>
      </w:pPr>
      <w:r>
        <w:rPr>
          <w:rFonts w:ascii="宋体" w:hAnsi="宋体" w:eastAsia="宋体" w:cs="宋体"/>
          <w:spacing w:val="-4"/>
          <w:sz w:val="24"/>
          <w:szCs w:val="24"/>
        </w:rPr>
        <w:t>明洞结构为现浇</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65cm</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厚</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 xml:space="preserve">C30 </w:t>
      </w:r>
      <w:r>
        <w:rPr>
          <w:rFonts w:ascii="宋体" w:hAnsi="宋体" w:eastAsia="宋体" w:cs="宋体"/>
          <w:spacing w:val="-4"/>
          <w:sz w:val="24"/>
          <w:szCs w:val="24"/>
        </w:rPr>
        <w:t>钢筋混凝土衬砌结构。洞顶填土最大厚度控制</w:t>
      </w:r>
    </w:p>
    <w:p>
      <w:pPr>
        <w:spacing w:line="220" w:lineRule="auto"/>
        <w:rPr>
          <w:rFonts w:ascii="宋体" w:hAnsi="宋体" w:eastAsia="宋体" w:cs="宋体"/>
          <w:sz w:val="24"/>
          <w:szCs w:val="24"/>
        </w:rPr>
        <w:sectPr>
          <w:pgSz w:w="11907" w:h="16839"/>
          <w:pgMar w:top="1118" w:right="1769" w:bottom="1182" w:left="1771" w:header="879" w:footer="1024" w:gutter="0"/>
          <w:cols w:space="720" w:num="1"/>
        </w:sectPr>
      </w:pPr>
    </w:p>
    <w:p>
      <w:pPr>
        <w:pStyle w:val="2"/>
        <w:spacing w:line="403" w:lineRule="auto"/>
      </w:pPr>
    </w:p>
    <w:p>
      <w:pPr>
        <w:spacing w:before="78" w:line="176" w:lineRule="auto"/>
        <w:ind w:left="40"/>
        <w:rPr>
          <w:rFonts w:ascii="宋体" w:hAnsi="宋体" w:eastAsia="宋体" w:cs="宋体"/>
          <w:sz w:val="24"/>
          <w:szCs w:val="24"/>
        </w:rPr>
      </w:pPr>
      <w:r>
        <w:rPr>
          <w:rFonts w:ascii="Times New Roman" w:hAnsi="Times New Roman" w:eastAsia="Times New Roman" w:cs="Times New Roman"/>
          <w:spacing w:val="-4"/>
          <w:sz w:val="24"/>
          <w:szCs w:val="24"/>
        </w:rPr>
        <w:t>5m</w:t>
      </w:r>
      <w:r>
        <w:rPr>
          <w:rFonts w:ascii="宋体" w:hAnsi="宋体" w:eastAsia="宋体" w:cs="宋体"/>
          <w:spacing w:val="-4"/>
          <w:sz w:val="24"/>
          <w:szCs w:val="24"/>
        </w:rPr>
        <w:t>。</w:t>
      </w:r>
    </w:p>
    <w:p>
      <w:pPr>
        <w:spacing w:before="191"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）暗洞衬砌结构</w:t>
      </w:r>
    </w:p>
    <w:p>
      <w:pPr>
        <w:spacing w:before="182" w:line="360" w:lineRule="auto"/>
        <w:ind w:left="36" w:right="11" w:firstLine="492"/>
        <w:rPr>
          <w:rFonts w:ascii="宋体" w:hAnsi="宋体" w:eastAsia="宋体" w:cs="宋体"/>
          <w:sz w:val="24"/>
          <w:szCs w:val="24"/>
        </w:rPr>
      </w:pPr>
      <w:r>
        <w:rPr>
          <w:rFonts w:ascii="宋体" w:hAnsi="宋体" w:eastAsia="宋体" w:cs="宋体"/>
          <w:spacing w:val="-2"/>
          <w:sz w:val="24"/>
          <w:szCs w:val="24"/>
        </w:rPr>
        <w:t>暗洞衬砌结构按新奥法原理，采用复合式支护结构形式。初期支护以锚杆、</w:t>
      </w:r>
      <w:r>
        <w:rPr>
          <w:rFonts w:ascii="宋体" w:hAnsi="宋体" w:eastAsia="宋体" w:cs="宋体"/>
          <w:spacing w:val="10"/>
          <w:sz w:val="24"/>
          <w:szCs w:val="24"/>
        </w:rPr>
        <w:t xml:space="preserve"> </w:t>
      </w:r>
      <w:r>
        <w:rPr>
          <w:rFonts w:ascii="宋体" w:hAnsi="宋体" w:eastAsia="宋体" w:cs="宋体"/>
          <w:spacing w:val="-9"/>
          <w:sz w:val="24"/>
          <w:szCs w:val="24"/>
        </w:rPr>
        <w:t>钢筋网及喷射混凝土组成联合支护体系， 二次衬砌采用模筑混</w:t>
      </w:r>
      <w:r>
        <w:rPr>
          <w:rFonts w:ascii="宋体" w:hAnsi="宋体" w:eastAsia="宋体" w:cs="宋体"/>
          <w:spacing w:val="-10"/>
          <w:sz w:val="24"/>
          <w:szCs w:val="24"/>
        </w:rPr>
        <w:t>凝土结构， 初期支</w:t>
      </w:r>
    </w:p>
    <w:p>
      <w:pPr>
        <w:spacing w:line="219" w:lineRule="auto"/>
        <w:ind w:left="39"/>
        <w:rPr>
          <w:rFonts w:ascii="宋体" w:hAnsi="宋体" w:eastAsia="宋体" w:cs="宋体"/>
          <w:sz w:val="24"/>
          <w:szCs w:val="24"/>
        </w:rPr>
      </w:pPr>
      <w:r>
        <w:rPr>
          <w:rFonts w:ascii="宋体" w:hAnsi="宋体" w:eastAsia="宋体" w:cs="宋体"/>
          <w:spacing w:val="-3"/>
          <w:sz w:val="24"/>
          <w:szCs w:val="24"/>
        </w:rPr>
        <w:t>护与二次衬砌结构之间设防水排水夹层。</w:t>
      </w:r>
    </w:p>
    <w:p>
      <w:pPr>
        <w:spacing w:before="182" w:line="220" w:lineRule="auto"/>
        <w:ind w:left="518"/>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、隧道防排水</w:t>
      </w:r>
    </w:p>
    <w:p>
      <w:pPr>
        <w:spacing w:before="182"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）防水等级</w:t>
      </w:r>
    </w:p>
    <w:p>
      <w:pPr>
        <w:spacing w:before="183" w:line="220" w:lineRule="auto"/>
        <w:ind w:left="518"/>
        <w:rPr>
          <w:rFonts w:ascii="宋体" w:hAnsi="宋体" w:eastAsia="宋体" w:cs="宋体"/>
          <w:sz w:val="24"/>
          <w:szCs w:val="24"/>
        </w:rPr>
      </w:pPr>
      <w:r>
        <w:rPr>
          <w:rFonts w:ascii="宋体" w:hAnsi="宋体" w:eastAsia="宋体" w:cs="宋体"/>
          <w:spacing w:val="-1"/>
          <w:sz w:val="24"/>
          <w:szCs w:val="24"/>
        </w:rPr>
        <w:t>满足《地下工程防水技术规范》（</w:t>
      </w:r>
      <w:r>
        <w:rPr>
          <w:rFonts w:ascii="Times New Roman" w:hAnsi="Times New Roman" w:eastAsia="Times New Roman" w:cs="Times New Roman"/>
          <w:spacing w:val="-1"/>
          <w:sz w:val="24"/>
          <w:szCs w:val="24"/>
        </w:rPr>
        <w:t>GB50108</w:t>
      </w:r>
      <w:r>
        <w:rPr>
          <w:rFonts w:ascii="宋体" w:hAnsi="宋体" w:eastAsia="宋体" w:cs="宋体"/>
          <w:spacing w:val="-1"/>
          <w:sz w:val="24"/>
          <w:szCs w:val="24"/>
        </w:rPr>
        <w:t>）规定</w:t>
      </w:r>
      <w:r>
        <w:rPr>
          <w:rFonts w:ascii="宋体" w:hAnsi="宋体" w:eastAsia="宋体" w:cs="宋体"/>
          <w:spacing w:val="-2"/>
          <w:sz w:val="24"/>
          <w:szCs w:val="24"/>
        </w:rPr>
        <w:t>的二级防水标准。</w:t>
      </w:r>
    </w:p>
    <w:p>
      <w:pPr>
        <w:spacing w:before="182"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）防水工程</w:t>
      </w:r>
    </w:p>
    <w:p>
      <w:pPr>
        <w:spacing w:before="183" w:line="221" w:lineRule="auto"/>
        <w:ind w:left="517"/>
        <w:rPr>
          <w:rFonts w:ascii="Times New Roman" w:hAnsi="Times New Roman" w:eastAsia="Times New Roman" w:cs="Times New Roman"/>
          <w:sz w:val="24"/>
          <w:szCs w:val="24"/>
        </w:rPr>
      </w:pPr>
      <w:r>
        <w:rPr>
          <w:rFonts w:ascii="宋体" w:hAnsi="宋体" w:eastAsia="宋体" w:cs="宋体"/>
          <w:spacing w:val="-1"/>
          <w:sz w:val="24"/>
          <w:szCs w:val="24"/>
        </w:rPr>
        <w:t>①隧道二次衬砌抗渗等级不低于</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P8;</w:t>
      </w:r>
    </w:p>
    <w:p>
      <w:pPr>
        <w:spacing w:before="180" w:line="468" w:lineRule="exact"/>
        <w:ind w:right="59"/>
        <w:jc w:val="right"/>
        <w:rPr>
          <w:rFonts w:ascii="宋体" w:hAnsi="宋体" w:eastAsia="宋体" w:cs="宋体"/>
          <w:sz w:val="24"/>
          <w:szCs w:val="24"/>
        </w:rPr>
      </w:pPr>
      <w:r>
        <w:rPr>
          <w:rFonts w:ascii="宋体" w:hAnsi="宋体" w:eastAsia="宋体" w:cs="宋体"/>
          <w:spacing w:val="-6"/>
          <w:position w:val="17"/>
          <w:sz w:val="24"/>
          <w:szCs w:val="24"/>
        </w:rPr>
        <w:t>②暗挖段衬砌初期支护与二次衬砌间拱墙部位铺设防水板加</w:t>
      </w:r>
      <w:r>
        <w:rPr>
          <w:rFonts w:ascii="宋体" w:hAnsi="宋体" w:eastAsia="宋体" w:cs="宋体"/>
          <w:spacing w:val="-7"/>
          <w:position w:val="17"/>
          <w:sz w:val="24"/>
          <w:szCs w:val="24"/>
        </w:rPr>
        <w:t>无纺布； 明洞段</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衬砌外缘设置水泥砂浆找平层及防水板、无纺布。</w:t>
      </w:r>
    </w:p>
    <w:p>
      <w:pPr>
        <w:spacing w:before="184" w:line="468" w:lineRule="exact"/>
        <w:ind w:left="516"/>
        <w:rPr>
          <w:rFonts w:ascii="宋体" w:hAnsi="宋体" w:eastAsia="宋体" w:cs="宋体"/>
          <w:sz w:val="24"/>
          <w:szCs w:val="24"/>
        </w:rPr>
      </w:pPr>
      <w:r>
        <w:rPr>
          <w:rFonts w:ascii="宋体" w:hAnsi="宋体" w:eastAsia="宋体" w:cs="宋体"/>
          <w:position w:val="16"/>
          <w:sz w:val="24"/>
          <w:szCs w:val="24"/>
        </w:rPr>
        <w:t>③隧道衬砌拱墙环向施工缝采用中埋式橡胶止水带</w:t>
      </w:r>
      <w:r>
        <w:rPr>
          <w:rFonts w:ascii="Times New Roman" w:hAnsi="Times New Roman" w:eastAsia="Times New Roman" w:cs="Times New Roman"/>
          <w:position w:val="16"/>
          <w:sz w:val="24"/>
          <w:szCs w:val="24"/>
        </w:rPr>
        <w:t>+</w:t>
      </w:r>
      <w:r>
        <w:rPr>
          <w:rFonts w:ascii="宋体" w:hAnsi="宋体" w:eastAsia="宋体" w:cs="宋体"/>
          <w:position w:val="16"/>
          <w:sz w:val="24"/>
          <w:szCs w:val="24"/>
        </w:rPr>
        <w:t>外贴式塑料止水带进行</w:t>
      </w:r>
    </w:p>
    <w:p>
      <w:pPr>
        <w:spacing w:before="1" w:line="218" w:lineRule="auto"/>
        <w:ind w:left="53"/>
        <w:rPr>
          <w:rFonts w:ascii="宋体" w:hAnsi="宋体" w:eastAsia="宋体" w:cs="宋体"/>
          <w:sz w:val="24"/>
          <w:szCs w:val="24"/>
        </w:rPr>
      </w:pPr>
      <w:r>
        <w:rPr>
          <w:rFonts w:ascii="宋体" w:hAnsi="宋体" w:eastAsia="宋体" w:cs="宋体"/>
          <w:spacing w:val="-2"/>
          <w:sz w:val="24"/>
          <w:szCs w:val="24"/>
        </w:rPr>
        <w:t>防水处理，仰拱环向施工缝采用中埋式橡胶止水带进行防水处理。</w:t>
      </w:r>
    </w:p>
    <w:p>
      <w:pPr>
        <w:spacing w:before="184" w:line="468" w:lineRule="exact"/>
        <w:ind w:right="68"/>
        <w:jc w:val="right"/>
        <w:rPr>
          <w:rFonts w:ascii="宋体" w:hAnsi="宋体" w:eastAsia="宋体" w:cs="宋体"/>
          <w:sz w:val="24"/>
          <w:szCs w:val="24"/>
        </w:rPr>
      </w:pPr>
      <w:r>
        <w:rPr>
          <w:rFonts w:ascii="宋体" w:hAnsi="宋体" w:eastAsia="宋体" w:cs="宋体"/>
          <w:spacing w:val="4"/>
          <w:position w:val="17"/>
          <w:sz w:val="24"/>
          <w:szCs w:val="24"/>
        </w:rPr>
        <w:t>④隧道衬砌变形缝采用中埋式钢边橡胶止水带＋外贴式塑料止水带＋双组</w:t>
      </w:r>
    </w:p>
    <w:p>
      <w:pPr>
        <w:spacing w:before="1" w:line="219" w:lineRule="auto"/>
        <w:ind w:left="38"/>
        <w:rPr>
          <w:rFonts w:ascii="宋体" w:hAnsi="宋体" w:eastAsia="宋体" w:cs="宋体"/>
          <w:sz w:val="24"/>
          <w:szCs w:val="24"/>
        </w:rPr>
      </w:pPr>
      <w:r>
        <w:rPr>
          <w:rFonts w:ascii="宋体" w:hAnsi="宋体" w:eastAsia="宋体" w:cs="宋体"/>
          <w:spacing w:val="-4"/>
          <w:sz w:val="24"/>
          <w:szCs w:val="24"/>
        </w:rPr>
        <w:t>份聚硫密封胶进行防水处理。</w:t>
      </w:r>
    </w:p>
    <w:p>
      <w:pPr>
        <w:spacing w:before="182" w:line="468" w:lineRule="exact"/>
        <w:ind w:left="516"/>
        <w:rPr>
          <w:rFonts w:ascii="宋体" w:hAnsi="宋体" w:eastAsia="宋体" w:cs="宋体"/>
          <w:sz w:val="24"/>
          <w:szCs w:val="24"/>
        </w:rPr>
      </w:pPr>
      <w:r>
        <w:rPr>
          <w:rFonts w:ascii="宋体" w:hAnsi="宋体" w:eastAsia="宋体" w:cs="宋体"/>
          <w:spacing w:val="-10"/>
          <w:position w:val="17"/>
          <w:sz w:val="24"/>
          <w:szCs w:val="24"/>
        </w:rPr>
        <w:t>⑤地下水对混凝土结构具有侵蚀性时， 采取相应措施， 保证结构的安全和耐</w:t>
      </w:r>
    </w:p>
    <w:p>
      <w:pPr>
        <w:spacing w:before="1" w:line="220" w:lineRule="auto"/>
        <w:ind w:left="41"/>
        <w:rPr>
          <w:rFonts w:ascii="宋体" w:hAnsi="宋体" w:eastAsia="宋体" w:cs="宋体"/>
          <w:sz w:val="24"/>
          <w:szCs w:val="24"/>
        </w:rPr>
      </w:pPr>
      <w:r>
        <w:rPr>
          <w:rFonts w:ascii="宋体" w:hAnsi="宋体" w:eastAsia="宋体" w:cs="宋体"/>
          <w:spacing w:val="-11"/>
          <w:sz w:val="24"/>
          <w:szCs w:val="24"/>
        </w:rPr>
        <w:t>久性。</w:t>
      </w:r>
    </w:p>
    <w:p>
      <w:pPr>
        <w:spacing w:before="181" w:line="220" w:lineRule="auto"/>
        <w:ind w:left="510"/>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衬砌柔性防水工程</w:t>
      </w:r>
    </w:p>
    <w:p>
      <w:pPr>
        <w:spacing w:before="182" w:line="468" w:lineRule="exact"/>
        <w:jc w:val="right"/>
        <w:rPr>
          <w:rFonts w:ascii="宋体" w:hAnsi="宋体" w:eastAsia="宋体" w:cs="宋体"/>
          <w:sz w:val="24"/>
          <w:szCs w:val="24"/>
        </w:rPr>
      </w:pPr>
      <w:r>
        <w:rPr>
          <w:rFonts w:ascii="宋体" w:hAnsi="宋体" w:eastAsia="宋体" w:cs="宋体"/>
          <w:spacing w:val="-9"/>
          <w:position w:val="17"/>
          <w:sz w:val="24"/>
          <w:szCs w:val="24"/>
        </w:rPr>
        <w:t>在衬砌背面设置涤纶长丝型土工布和</w:t>
      </w:r>
      <w:r>
        <w:rPr>
          <w:rFonts w:ascii="宋体" w:hAnsi="宋体" w:eastAsia="宋体" w:cs="宋体"/>
          <w:spacing w:val="-54"/>
          <w:position w:val="17"/>
          <w:sz w:val="24"/>
          <w:szCs w:val="24"/>
        </w:rPr>
        <w:t xml:space="preserve"> </w:t>
      </w:r>
      <w:r>
        <w:rPr>
          <w:rFonts w:ascii="Times New Roman" w:hAnsi="Times New Roman" w:eastAsia="Times New Roman" w:cs="Times New Roman"/>
          <w:spacing w:val="-9"/>
          <w:position w:val="17"/>
          <w:sz w:val="24"/>
          <w:szCs w:val="24"/>
        </w:rPr>
        <w:t>EVA</w:t>
      </w:r>
      <w:r>
        <w:rPr>
          <w:rFonts w:ascii="Times New Roman" w:hAnsi="Times New Roman" w:eastAsia="Times New Roman" w:cs="Times New Roman"/>
          <w:spacing w:val="16"/>
          <w:w w:val="101"/>
          <w:position w:val="17"/>
          <w:sz w:val="24"/>
          <w:szCs w:val="24"/>
        </w:rPr>
        <w:t xml:space="preserve"> </w:t>
      </w:r>
      <w:r>
        <w:rPr>
          <w:rFonts w:ascii="宋体" w:hAnsi="宋体" w:eastAsia="宋体" w:cs="宋体"/>
          <w:spacing w:val="-10"/>
          <w:position w:val="17"/>
          <w:sz w:val="24"/>
          <w:szCs w:val="24"/>
        </w:rPr>
        <w:t>型隧道专用防水板， 厚度</w:t>
      </w:r>
      <w:r>
        <w:rPr>
          <w:rFonts w:ascii="宋体" w:hAnsi="宋体" w:eastAsia="宋体" w:cs="宋体"/>
          <w:spacing w:val="-31"/>
          <w:position w:val="17"/>
          <w:sz w:val="24"/>
          <w:szCs w:val="24"/>
        </w:rPr>
        <w:t xml:space="preserve"> </w:t>
      </w:r>
      <w:r>
        <w:rPr>
          <w:rFonts w:ascii="Times New Roman" w:hAnsi="Times New Roman" w:eastAsia="Times New Roman" w:cs="Times New Roman"/>
          <w:spacing w:val="-10"/>
          <w:position w:val="17"/>
          <w:sz w:val="24"/>
          <w:szCs w:val="24"/>
        </w:rPr>
        <w:t>1.2mm</w:t>
      </w:r>
      <w:r>
        <w:rPr>
          <w:rFonts w:ascii="宋体" w:hAnsi="宋体" w:eastAsia="宋体" w:cs="宋体"/>
          <w:spacing w:val="-10"/>
          <w:position w:val="17"/>
          <w:sz w:val="24"/>
          <w:szCs w:val="24"/>
        </w:rPr>
        <w:t>，</w:t>
      </w:r>
    </w:p>
    <w:p>
      <w:pPr>
        <w:spacing w:line="212" w:lineRule="auto"/>
        <w:ind w:left="39"/>
        <w:rPr>
          <w:rFonts w:ascii="宋体" w:hAnsi="宋体" w:eastAsia="宋体" w:cs="宋体"/>
          <w:sz w:val="24"/>
          <w:szCs w:val="24"/>
        </w:rPr>
      </w:pPr>
      <w:r>
        <w:rPr>
          <w:rFonts w:ascii="宋体" w:hAnsi="宋体" w:eastAsia="宋体" w:cs="宋体"/>
          <w:spacing w:val="-2"/>
          <w:sz w:val="24"/>
          <w:szCs w:val="24"/>
        </w:rPr>
        <w:t>土工布重量</w:t>
      </w:r>
      <w:r>
        <w:rPr>
          <w:rFonts w:ascii="Times New Roman" w:hAnsi="Times New Roman" w:eastAsia="Times New Roman" w:cs="Times New Roman"/>
          <w:spacing w:val="-2"/>
          <w:sz w:val="24"/>
          <w:szCs w:val="24"/>
        </w:rPr>
        <w:t>≥400g/m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。明洞背端防</w:t>
      </w:r>
      <w:r>
        <w:rPr>
          <w:rFonts w:ascii="宋体" w:hAnsi="宋体" w:eastAsia="宋体" w:cs="宋体"/>
          <w:spacing w:val="-3"/>
          <w:sz w:val="24"/>
          <w:szCs w:val="24"/>
        </w:rPr>
        <w:t>水层采用双层土工布和</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EVA</w:t>
      </w:r>
      <w:r>
        <w:rPr>
          <w:rFonts w:ascii="Times New Roman" w:hAnsi="Times New Roman" w:eastAsia="Times New Roman" w:cs="Times New Roman"/>
          <w:spacing w:val="24"/>
          <w:w w:val="101"/>
          <w:sz w:val="24"/>
          <w:szCs w:val="24"/>
        </w:rPr>
        <w:t xml:space="preserve"> </w:t>
      </w:r>
      <w:r>
        <w:rPr>
          <w:rFonts w:ascii="宋体" w:hAnsi="宋体" w:eastAsia="宋体" w:cs="宋体"/>
          <w:spacing w:val="-3"/>
          <w:sz w:val="24"/>
          <w:szCs w:val="24"/>
        </w:rPr>
        <w:t>防水板。</w:t>
      </w:r>
    </w:p>
    <w:p>
      <w:pPr>
        <w:spacing w:before="192" w:line="220" w:lineRule="auto"/>
        <w:ind w:left="512"/>
        <w:rPr>
          <w:rFonts w:ascii="宋体" w:hAnsi="宋体" w:eastAsia="宋体" w:cs="宋体"/>
          <w:sz w:val="24"/>
          <w:szCs w:val="24"/>
        </w:rPr>
      </w:pPr>
      <w:r>
        <w:rPr>
          <w:rFonts w:ascii="Times New Roman" w:hAnsi="Times New Roman" w:eastAsia="Times New Roman" w:cs="Times New Roman"/>
          <w:spacing w:val="-1"/>
          <w:sz w:val="24"/>
          <w:szCs w:val="24"/>
        </w:rPr>
        <w:t>B.</w:t>
      </w:r>
      <w:r>
        <w:rPr>
          <w:rFonts w:ascii="宋体" w:hAnsi="宋体" w:eastAsia="宋体" w:cs="宋体"/>
          <w:spacing w:val="-1"/>
          <w:sz w:val="24"/>
          <w:szCs w:val="24"/>
        </w:rPr>
        <w:t>衬砌漏水防止工程</w:t>
      </w:r>
    </w:p>
    <w:p>
      <w:pPr>
        <w:spacing w:before="183" w:line="220" w:lineRule="auto"/>
        <w:ind w:left="514"/>
        <w:rPr>
          <w:rFonts w:ascii="宋体" w:hAnsi="宋体" w:eastAsia="宋体" w:cs="宋体"/>
          <w:sz w:val="24"/>
          <w:szCs w:val="24"/>
        </w:rPr>
      </w:pPr>
      <w:r>
        <w:rPr>
          <w:rFonts w:ascii="Times New Roman" w:hAnsi="Times New Roman" w:eastAsia="Times New Roman" w:cs="Times New Roman"/>
          <w:spacing w:val="-1"/>
          <w:sz w:val="24"/>
          <w:szCs w:val="24"/>
        </w:rPr>
        <w:t>Ⅰ.</w:t>
      </w:r>
      <w:r>
        <w:rPr>
          <w:rFonts w:ascii="宋体" w:hAnsi="宋体" w:eastAsia="宋体" w:cs="宋体"/>
          <w:spacing w:val="-1"/>
          <w:sz w:val="24"/>
          <w:szCs w:val="24"/>
        </w:rPr>
        <w:t>衬砌自防水结构</w:t>
      </w:r>
    </w:p>
    <w:p>
      <w:pPr>
        <w:spacing w:before="182" w:line="468" w:lineRule="exact"/>
        <w:ind w:left="530"/>
        <w:rPr>
          <w:rFonts w:ascii="宋体" w:hAnsi="宋体" w:eastAsia="宋体" w:cs="宋体"/>
          <w:sz w:val="24"/>
          <w:szCs w:val="24"/>
        </w:rPr>
      </w:pPr>
      <w:r>
        <w:rPr>
          <w:rFonts w:ascii="宋体" w:hAnsi="宋体" w:eastAsia="宋体" w:cs="宋体"/>
          <w:spacing w:val="-1"/>
          <w:position w:val="17"/>
          <w:sz w:val="24"/>
          <w:szCs w:val="24"/>
        </w:rPr>
        <w:t xml:space="preserve">隧道二次衬砌采用防水混凝土，混凝土抗渗等级不小于 </w:t>
      </w:r>
      <w:r>
        <w:rPr>
          <w:rFonts w:ascii="Times New Roman" w:hAnsi="Times New Roman" w:eastAsia="Times New Roman" w:cs="Times New Roman"/>
          <w:spacing w:val="-1"/>
          <w:position w:val="17"/>
          <w:sz w:val="24"/>
          <w:szCs w:val="24"/>
        </w:rPr>
        <w:t>P8</w:t>
      </w:r>
      <w:r>
        <w:rPr>
          <w:rFonts w:ascii="宋体" w:hAnsi="宋体" w:eastAsia="宋体" w:cs="宋体"/>
          <w:spacing w:val="-1"/>
          <w:position w:val="17"/>
          <w:sz w:val="24"/>
          <w:szCs w:val="24"/>
        </w:rPr>
        <w:t>。施工中添加复</w:t>
      </w:r>
    </w:p>
    <w:p>
      <w:pPr>
        <w:spacing w:before="1" w:line="218" w:lineRule="auto"/>
        <w:ind w:left="39"/>
        <w:rPr>
          <w:rFonts w:ascii="宋体" w:hAnsi="宋体" w:eastAsia="宋体" w:cs="宋体"/>
          <w:sz w:val="24"/>
          <w:szCs w:val="24"/>
        </w:rPr>
      </w:pPr>
      <w:r>
        <w:rPr>
          <w:rFonts w:ascii="宋体" w:hAnsi="宋体" w:eastAsia="宋体" w:cs="宋体"/>
          <w:spacing w:val="-1"/>
          <w:sz w:val="24"/>
          <w:szCs w:val="24"/>
        </w:rPr>
        <w:t>合型外加剂。当衬砌为钢筋混凝土时，主筋保护层厚度不应小于</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5cm</w:t>
      </w:r>
      <w:r>
        <w:rPr>
          <w:rFonts w:ascii="宋体" w:hAnsi="宋体" w:eastAsia="宋体" w:cs="宋体"/>
          <w:spacing w:val="-1"/>
          <w:sz w:val="24"/>
          <w:szCs w:val="24"/>
        </w:rPr>
        <w:t>。</w:t>
      </w:r>
    </w:p>
    <w:p>
      <w:pPr>
        <w:spacing w:before="183" w:line="220" w:lineRule="auto"/>
        <w:ind w:left="514"/>
        <w:rPr>
          <w:rFonts w:ascii="宋体" w:hAnsi="宋体" w:eastAsia="宋体" w:cs="宋体"/>
          <w:sz w:val="24"/>
          <w:szCs w:val="24"/>
        </w:rPr>
      </w:pPr>
      <w:r>
        <w:rPr>
          <w:rFonts w:ascii="Times New Roman" w:hAnsi="Times New Roman" w:eastAsia="Times New Roman" w:cs="Times New Roman"/>
          <w:spacing w:val="-1"/>
          <w:sz w:val="24"/>
          <w:szCs w:val="24"/>
        </w:rPr>
        <w:t>Ⅱ.</w:t>
      </w:r>
      <w:r>
        <w:rPr>
          <w:rFonts w:ascii="宋体" w:hAnsi="宋体" w:eastAsia="宋体" w:cs="宋体"/>
          <w:spacing w:val="-1"/>
          <w:sz w:val="24"/>
          <w:szCs w:val="24"/>
        </w:rPr>
        <w:t>施工缝、沉降缝</w:t>
      </w:r>
    </w:p>
    <w:p>
      <w:pPr>
        <w:spacing w:before="183" w:line="360" w:lineRule="auto"/>
        <w:ind w:left="41" w:right="70" w:firstLine="475"/>
        <w:rPr>
          <w:rFonts w:ascii="宋体" w:hAnsi="宋体" w:eastAsia="宋体" w:cs="宋体"/>
          <w:sz w:val="24"/>
          <w:szCs w:val="24"/>
        </w:rPr>
      </w:pPr>
      <w:r>
        <w:rPr>
          <w:rFonts w:ascii="宋体" w:hAnsi="宋体" w:eastAsia="宋体" w:cs="宋体"/>
          <w:spacing w:val="-6"/>
          <w:sz w:val="24"/>
          <w:szCs w:val="24"/>
        </w:rPr>
        <w:t>在衬砌浇筑工作缝设置遇水膨胀橡胶止水条，</w:t>
      </w:r>
      <w:r>
        <w:rPr>
          <w:rFonts w:ascii="宋体" w:hAnsi="宋体" w:eastAsia="宋体" w:cs="宋体"/>
          <w:spacing w:val="-26"/>
          <w:sz w:val="24"/>
          <w:szCs w:val="24"/>
        </w:rPr>
        <w:t xml:space="preserve"> </w:t>
      </w:r>
      <w:r>
        <w:rPr>
          <w:rFonts w:ascii="宋体" w:hAnsi="宋体" w:eastAsia="宋体" w:cs="宋体"/>
          <w:spacing w:val="-6"/>
          <w:sz w:val="24"/>
          <w:szCs w:val="24"/>
        </w:rPr>
        <w:t>沉降缝在隧道结构形式变更处</w:t>
      </w:r>
      <w:r>
        <w:rPr>
          <w:rFonts w:ascii="宋体" w:hAnsi="宋体" w:eastAsia="宋体" w:cs="宋体"/>
          <w:sz w:val="24"/>
          <w:szCs w:val="24"/>
        </w:rPr>
        <w:t xml:space="preserve"> </w:t>
      </w:r>
      <w:r>
        <w:rPr>
          <w:rFonts w:ascii="宋体" w:hAnsi="宋体" w:eastAsia="宋体" w:cs="宋体"/>
          <w:spacing w:val="-10"/>
          <w:sz w:val="24"/>
          <w:szCs w:val="24"/>
        </w:rPr>
        <w:t>设置，</w:t>
      </w:r>
      <w:r>
        <w:rPr>
          <w:rFonts w:ascii="宋体" w:hAnsi="宋体" w:eastAsia="宋体" w:cs="宋体"/>
          <w:spacing w:val="-32"/>
          <w:sz w:val="24"/>
          <w:szCs w:val="24"/>
        </w:rPr>
        <w:t xml:space="preserve"> </w:t>
      </w:r>
      <w:r>
        <w:rPr>
          <w:rFonts w:ascii="宋体" w:hAnsi="宋体" w:eastAsia="宋体" w:cs="宋体"/>
          <w:spacing w:val="-10"/>
          <w:sz w:val="24"/>
          <w:szCs w:val="24"/>
        </w:rPr>
        <w:t>采用中埋式橡胶止水带防水；</w:t>
      </w:r>
      <w:r>
        <w:rPr>
          <w:rFonts w:ascii="宋体" w:hAnsi="宋体" w:eastAsia="宋体" w:cs="宋体"/>
          <w:spacing w:val="34"/>
          <w:sz w:val="24"/>
          <w:szCs w:val="24"/>
        </w:rPr>
        <w:t xml:space="preserve"> </w:t>
      </w:r>
      <w:r>
        <w:rPr>
          <w:rFonts w:ascii="宋体" w:hAnsi="宋体" w:eastAsia="宋体" w:cs="宋体"/>
          <w:spacing w:val="-10"/>
          <w:sz w:val="24"/>
          <w:szCs w:val="24"/>
        </w:rPr>
        <w:t>在所有施工缝、沉降缝位置设置背贴式塑料</w:t>
      </w:r>
    </w:p>
    <w:p>
      <w:pPr>
        <w:spacing w:before="1" w:line="218" w:lineRule="auto"/>
        <w:ind w:left="39"/>
        <w:rPr>
          <w:rFonts w:ascii="宋体" w:hAnsi="宋体" w:eastAsia="宋体" w:cs="宋体"/>
          <w:sz w:val="24"/>
          <w:szCs w:val="24"/>
        </w:rPr>
      </w:pPr>
      <w:r>
        <w:rPr>
          <w:rFonts w:ascii="宋体" w:hAnsi="宋体" w:eastAsia="宋体" w:cs="宋体"/>
          <w:spacing w:val="-4"/>
          <w:sz w:val="24"/>
          <w:szCs w:val="24"/>
        </w:rPr>
        <w:t>止水带，与防水板焊接使用。</w:t>
      </w:r>
    </w:p>
    <w:p>
      <w:pPr>
        <w:spacing w:line="218" w:lineRule="auto"/>
        <w:rPr>
          <w:rFonts w:ascii="宋体" w:hAnsi="宋体" w:eastAsia="宋体" w:cs="宋体"/>
          <w:sz w:val="24"/>
          <w:szCs w:val="24"/>
        </w:rPr>
        <w:sectPr>
          <w:headerReference r:id="rId125" w:type="default"/>
          <w:footerReference r:id="rId126" w:type="default"/>
          <w:pgSz w:w="11907" w:h="16839"/>
          <w:pgMar w:top="1118" w:right="1729" w:bottom="1182" w:left="1771" w:header="879" w:footer="1024" w:gutter="0"/>
          <w:cols w:space="720" w:num="1"/>
        </w:sectPr>
      </w:pPr>
    </w:p>
    <w:p>
      <w:pPr>
        <w:pStyle w:val="2"/>
        <w:spacing w:line="356" w:lineRule="auto"/>
      </w:pPr>
    </w:p>
    <w:p>
      <w:pPr>
        <w:spacing w:before="78" w:line="219" w:lineRule="auto"/>
        <w:ind w:left="514"/>
        <w:rPr>
          <w:rFonts w:ascii="宋体" w:hAnsi="宋体" w:eastAsia="宋体" w:cs="宋体"/>
          <w:sz w:val="24"/>
          <w:szCs w:val="24"/>
        </w:rPr>
      </w:pPr>
      <w:r>
        <w:rPr>
          <w:rFonts w:ascii="Times New Roman" w:hAnsi="Times New Roman" w:eastAsia="Times New Roman" w:cs="Times New Roman"/>
          <w:spacing w:val="-1"/>
          <w:sz w:val="24"/>
          <w:szCs w:val="24"/>
        </w:rPr>
        <w:t>Ⅲ.</w:t>
      </w:r>
      <w:r>
        <w:rPr>
          <w:rFonts w:ascii="宋体" w:hAnsi="宋体" w:eastAsia="宋体" w:cs="宋体"/>
          <w:spacing w:val="-1"/>
          <w:sz w:val="24"/>
          <w:szCs w:val="24"/>
        </w:rPr>
        <w:t>采用泵送砼以保证浇注质量及衬砌与初期支</w:t>
      </w:r>
      <w:r>
        <w:rPr>
          <w:rFonts w:ascii="宋体" w:hAnsi="宋体" w:eastAsia="宋体" w:cs="宋体"/>
          <w:spacing w:val="-2"/>
          <w:sz w:val="24"/>
          <w:szCs w:val="24"/>
        </w:rPr>
        <w:t>护之间密实不留空隙。</w:t>
      </w:r>
    </w:p>
    <w:p>
      <w:pPr>
        <w:spacing w:before="182"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）排水工程</w:t>
      </w:r>
    </w:p>
    <w:p>
      <w:pPr>
        <w:spacing w:before="183" w:line="217" w:lineRule="auto"/>
        <w:ind w:left="517"/>
        <w:rPr>
          <w:rFonts w:ascii="宋体" w:hAnsi="宋体" w:eastAsia="宋体" w:cs="宋体"/>
          <w:sz w:val="24"/>
          <w:szCs w:val="24"/>
        </w:rPr>
      </w:pPr>
      <w:r>
        <w:rPr>
          <w:rFonts w:ascii="宋体" w:hAnsi="宋体" w:eastAsia="宋体" w:cs="宋体"/>
          <w:spacing w:val="-2"/>
          <w:sz w:val="24"/>
          <w:szCs w:val="24"/>
        </w:rPr>
        <w:t>①衬砌背面排水层</w:t>
      </w:r>
    </w:p>
    <w:p>
      <w:pPr>
        <w:spacing w:before="185" w:line="360" w:lineRule="auto"/>
        <w:ind w:left="40" w:right="37" w:firstLine="473"/>
        <w:rPr>
          <w:rFonts w:ascii="宋体" w:hAnsi="宋体" w:eastAsia="宋体" w:cs="宋体"/>
          <w:sz w:val="24"/>
          <w:szCs w:val="24"/>
        </w:rPr>
      </w:pPr>
      <w:r>
        <w:rPr>
          <w:rFonts w:ascii="Times New Roman" w:hAnsi="Times New Roman" w:eastAsia="Times New Roman" w:cs="Times New Roman"/>
          <w:sz w:val="24"/>
          <w:szCs w:val="24"/>
        </w:rPr>
        <w:t xml:space="preserve">EVA  </w:t>
      </w:r>
      <w:r>
        <w:rPr>
          <w:rFonts w:ascii="宋体" w:hAnsi="宋体" w:eastAsia="宋体" w:cs="宋体"/>
          <w:sz w:val="24"/>
          <w:szCs w:val="24"/>
        </w:rPr>
        <w:t xml:space="preserve">型隧道专用防水板能使渗漏水能从衬砌背面通过排水滤层排至墙脚， </w:t>
      </w:r>
      <w:r>
        <w:rPr>
          <w:rFonts w:ascii="宋体" w:hAnsi="宋体" w:eastAsia="宋体" w:cs="宋体"/>
          <w:spacing w:val="17"/>
          <w:sz w:val="24"/>
          <w:szCs w:val="24"/>
        </w:rPr>
        <w:t>再由墙脚处衬背纵向盲沟集水，</w:t>
      </w:r>
      <w:r>
        <w:rPr>
          <w:rFonts w:ascii="宋体" w:hAnsi="宋体" w:eastAsia="宋体" w:cs="宋体"/>
          <w:spacing w:val="-58"/>
          <w:sz w:val="24"/>
          <w:szCs w:val="24"/>
        </w:rPr>
        <w:t xml:space="preserve"> </w:t>
      </w:r>
      <w:r>
        <w:rPr>
          <w:rFonts w:ascii="宋体" w:hAnsi="宋体" w:eastAsia="宋体" w:cs="宋体"/>
          <w:spacing w:val="17"/>
          <w:sz w:val="24"/>
          <w:szCs w:val="24"/>
        </w:rPr>
        <w:t>通过横向排水管引出。衬背纵向盲沟采用</w:t>
      </w:r>
    </w:p>
    <w:p>
      <w:pPr>
        <w:spacing w:before="1" w:line="212" w:lineRule="auto"/>
        <w:ind w:left="36"/>
        <w:rPr>
          <w:rFonts w:ascii="宋体" w:hAnsi="宋体" w:eastAsia="宋体" w:cs="宋体"/>
          <w:sz w:val="24"/>
          <w:szCs w:val="24"/>
        </w:rPr>
      </w:pPr>
      <w:r>
        <w:rPr>
          <w:rFonts w:ascii="Times New Roman" w:hAnsi="Times New Roman" w:eastAsia="Times New Roman" w:cs="Times New Roman"/>
          <w:spacing w:val="-1"/>
          <w:sz w:val="24"/>
          <w:szCs w:val="24"/>
        </w:rPr>
        <w:t xml:space="preserve">φ100mmHDPE </w:t>
      </w:r>
      <w:r>
        <w:rPr>
          <w:rFonts w:ascii="宋体" w:hAnsi="宋体" w:eastAsia="宋体" w:cs="宋体"/>
          <w:spacing w:val="-1"/>
          <w:sz w:val="24"/>
          <w:szCs w:val="24"/>
        </w:rPr>
        <w:t>打孔波纹管，盲沟应设置在防排水层外面，固定</w:t>
      </w:r>
      <w:r>
        <w:rPr>
          <w:rFonts w:ascii="宋体" w:hAnsi="宋体" w:eastAsia="宋体" w:cs="宋体"/>
          <w:spacing w:val="-2"/>
          <w:sz w:val="24"/>
          <w:szCs w:val="24"/>
        </w:rPr>
        <w:t>在喷砼面上。</w:t>
      </w:r>
    </w:p>
    <w:p>
      <w:pPr>
        <w:spacing w:before="191" w:line="469" w:lineRule="exact"/>
        <w:ind w:right="16"/>
        <w:jc w:val="right"/>
        <w:rPr>
          <w:rFonts w:ascii="宋体" w:hAnsi="宋体" w:eastAsia="宋体" w:cs="宋体"/>
          <w:sz w:val="24"/>
          <w:szCs w:val="24"/>
        </w:rPr>
      </w:pPr>
      <w:r>
        <w:rPr>
          <w:rFonts w:ascii="宋体" w:hAnsi="宋体" w:eastAsia="宋体" w:cs="宋体"/>
          <w:spacing w:val="-6"/>
          <w:position w:val="17"/>
          <w:sz w:val="24"/>
          <w:szCs w:val="24"/>
        </w:rPr>
        <w:t>在衬背土工布排水层与喷砼之间设环向排水盲沟，</w:t>
      </w:r>
      <w:r>
        <w:rPr>
          <w:rFonts w:ascii="宋体" w:hAnsi="宋体" w:eastAsia="宋体" w:cs="宋体"/>
          <w:spacing w:val="60"/>
          <w:position w:val="17"/>
          <w:sz w:val="24"/>
          <w:szCs w:val="24"/>
        </w:rPr>
        <w:t xml:space="preserve"> </w:t>
      </w:r>
      <w:r>
        <w:rPr>
          <w:rFonts w:ascii="宋体" w:hAnsi="宋体" w:eastAsia="宋体" w:cs="宋体"/>
          <w:spacing w:val="-6"/>
          <w:position w:val="17"/>
          <w:sz w:val="24"/>
          <w:szCs w:val="24"/>
        </w:rPr>
        <w:t>环向盲沟采用</w:t>
      </w:r>
      <w:r>
        <w:rPr>
          <w:rFonts w:ascii="宋体" w:hAnsi="宋体" w:eastAsia="宋体" w:cs="宋体"/>
          <w:spacing w:val="-51"/>
          <w:position w:val="17"/>
          <w:sz w:val="24"/>
          <w:szCs w:val="24"/>
        </w:rPr>
        <w:t xml:space="preserve"> </w:t>
      </w:r>
      <w:r>
        <w:rPr>
          <w:rFonts w:ascii="Times New Roman" w:hAnsi="Times New Roman" w:eastAsia="Times New Roman" w:cs="Times New Roman"/>
          <w:spacing w:val="-6"/>
          <w:position w:val="17"/>
          <w:sz w:val="24"/>
          <w:szCs w:val="24"/>
        </w:rPr>
        <w:t>φ50mm</w:t>
      </w:r>
      <w:r>
        <w:rPr>
          <w:rFonts w:ascii="Times New Roman" w:hAnsi="Times New Roman" w:eastAsia="Times New Roman" w:cs="Times New Roman"/>
          <w:spacing w:val="13"/>
          <w:position w:val="17"/>
          <w:sz w:val="24"/>
          <w:szCs w:val="24"/>
        </w:rPr>
        <w:t xml:space="preserve"> </w:t>
      </w:r>
      <w:r>
        <w:rPr>
          <w:rFonts w:ascii="宋体" w:hAnsi="宋体" w:eastAsia="宋体" w:cs="宋体"/>
          <w:spacing w:val="-6"/>
          <w:position w:val="17"/>
          <w:sz w:val="24"/>
          <w:szCs w:val="24"/>
        </w:rPr>
        <w:t>软</w:t>
      </w:r>
    </w:p>
    <w:p>
      <w:pPr>
        <w:spacing w:before="1" w:line="219" w:lineRule="auto"/>
        <w:ind w:left="42"/>
        <w:rPr>
          <w:rFonts w:ascii="宋体" w:hAnsi="宋体" w:eastAsia="宋体" w:cs="宋体"/>
          <w:sz w:val="24"/>
          <w:szCs w:val="24"/>
        </w:rPr>
      </w:pPr>
      <w:r>
        <w:rPr>
          <w:rFonts w:ascii="宋体" w:hAnsi="宋体" w:eastAsia="宋体" w:cs="宋体"/>
          <w:spacing w:val="-8"/>
          <w:sz w:val="24"/>
          <w:szCs w:val="24"/>
        </w:rPr>
        <w:t>式透水管。</w:t>
      </w:r>
    </w:p>
    <w:p>
      <w:pPr>
        <w:spacing w:before="183" w:line="217" w:lineRule="auto"/>
        <w:ind w:left="516"/>
        <w:rPr>
          <w:rFonts w:ascii="宋体" w:hAnsi="宋体" w:eastAsia="宋体" w:cs="宋体"/>
          <w:sz w:val="24"/>
          <w:szCs w:val="24"/>
        </w:rPr>
      </w:pPr>
      <w:r>
        <w:rPr>
          <w:rFonts w:ascii="宋体" w:hAnsi="宋体" w:eastAsia="宋体" w:cs="宋体"/>
          <w:spacing w:val="-2"/>
          <w:sz w:val="24"/>
          <w:szCs w:val="24"/>
        </w:rPr>
        <w:t>②路基排水工程</w:t>
      </w:r>
    </w:p>
    <w:p>
      <w:pPr>
        <w:spacing w:before="185" w:line="220" w:lineRule="auto"/>
        <w:ind w:left="520"/>
        <w:rPr>
          <w:rFonts w:ascii="宋体" w:hAnsi="宋体" w:eastAsia="宋体" w:cs="宋体"/>
          <w:sz w:val="24"/>
          <w:szCs w:val="24"/>
        </w:rPr>
      </w:pPr>
      <w:r>
        <w:rPr>
          <w:rFonts w:ascii="宋体" w:hAnsi="宋体" w:eastAsia="宋体" w:cs="宋体"/>
          <w:spacing w:val="-2"/>
          <w:sz w:val="24"/>
          <w:szCs w:val="24"/>
        </w:rPr>
        <w:t>路面以下的排水工程，分路基中央纵向排水管沟与横向引水管。</w:t>
      </w:r>
    </w:p>
    <w:p>
      <w:pPr>
        <w:spacing w:before="182" w:line="360" w:lineRule="auto"/>
        <w:ind w:left="40" w:right="28" w:firstLine="479"/>
        <w:rPr>
          <w:rFonts w:ascii="宋体" w:hAnsi="宋体" w:eastAsia="宋体" w:cs="宋体"/>
          <w:sz w:val="24"/>
          <w:szCs w:val="24"/>
        </w:rPr>
      </w:pPr>
      <w:r>
        <w:rPr>
          <w:rFonts w:ascii="宋体" w:hAnsi="宋体" w:eastAsia="宋体" w:cs="宋体"/>
          <w:sz w:val="24"/>
          <w:szCs w:val="24"/>
        </w:rPr>
        <w:t>路面下行车道中线处设中央纵向排水管沟由内</w:t>
      </w:r>
      <w:r>
        <w:rPr>
          <w:rFonts w:ascii="宋体" w:hAnsi="宋体" w:eastAsia="宋体" w:cs="宋体"/>
          <w:spacing w:val="-1"/>
          <w:sz w:val="24"/>
          <w:szCs w:val="24"/>
        </w:rPr>
        <w:t xml:space="preserve">径 </w:t>
      </w:r>
      <w:r>
        <w:rPr>
          <w:rFonts w:ascii="Times New Roman" w:hAnsi="Times New Roman" w:eastAsia="Times New Roman" w:cs="Times New Roman"/>
          <w:spacing w:val="-1"/>
          <w:sz w:val="24"/>
          <w:szCs w:val="24"/>
        </w:rPr>
        <w:t xml:space="preserve">φ300mm  </w:t>
      </w:r>
      <w:r>
        <w:rPr>
          <w:rFonts w:ascii="宋体" w:hAnsi="宋体" w:eastAsia="宋体" w:cs="宋体"/>
          <w:spacing w:val="-1"/>
          <w:sz w:val="24"/>
          <w:szCs w:val="24"/>
        </w:rPr>
        <w:t>钢筋混凝土管外</w:t>
      </w:r>
      <w:r>
        <w:rPr>
          <w:rFonts w:ascii="宋体" w:hAnsi="宋体" w:eastAsia="宋体" w:cs="宋体"/>
          <w:sz w:val="24"/>
          <w:szCs w:val="24"/>
        </w:rPr>
        <w:t xml:space="preserve"> </w:t>
      </w:r>
      <w:r>
        <w:rPr>
          <w:rFonts w:ascii="宋体" w:hAnsi="宋体" w:eastAsia="宋体" w:cs="宋体"/>
          <w:spacing w:val="-2"/>
          <w:sz w:val="24"/>
          <w:szCs w:val="24"/>
        </w:rPr>
        <w:t>裹</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200g/m</w:t>
      </w:r>
      <w:r>
        <w:rPr>
          <w:rFonts w:ascii="Times New Roman" w:hAnsi="Times New Roman" w:eastAsia="Times New Roman" w:cs="Times New Roman"/>
          <w:spacing w:val="-2"/>
          <w:position w:val="9"/>
          <w:sz w:val="16"/>
          <w:szCs w:val="16"/>
        </w:rPr>
        <w:t>2</w:t>
      </w:r>
      <w:r>
        <w:rPr>
          <w:rFonts w:ascii="Times New Roman" w:hAnsi="Times New Roman" w:eastAsia="Times New Roman" w:cs="Times New Roman"/>
          <w:spacing w:val="12"/>
          <w:position w:val="9"/>
          <w:sz w:val="16"/>
          <w:szCs w:val="16"/>
        </w:rPr>
        <w:t xml:space="preserve"> </w:t>
      </w:r>
      <w:r>
        <w:rPr>
          <w:rFonts w:ascii="宋体" w:hAnsi="宋体" w:eastAsia="宋体" w:cs="宋体"/>
          <w:spacing w:val="-2"/>
          <w:sz w:val="24"/>
          <w:szCs w:val="24"/>
        </w:rPr>
        <w:t>土工布及级配碎石滤层组成。沿隧道全长布置，将地下水排</w:t>
      </w:r>
      <w:r>
        <w:rPr>
          <w:rFonts w:ascii="宋体" w:hAnsi="宋体" w:eastAsia="宋体" w:cs="宋体"/>
          <w:spacing w:val="-3"/>
          <w:sz w:val="24"/>
          <w:szCs w:val="24"/>
        </w:rPr>
        <w:t>出洞口，</w:t>
      </w:r>
    </w:p>
    <w:p>
      <w:pPr>
        <w:spacing w:before="1" w:line="219" w:lineRule="auto"/>
        <w:ind w:left="41"/>
        <w:rPr>
          <w:rFonts w:ascii="宋体" w:hAnsi="宋体" w:eastAsia="宋体" w:cs="宋体"/>
          <w:sz w:val="24"/>
          <w:szCs w:val="24"/>
        </w:rPr>
      </w:pPr>
      <w:r>
        <w:rPr>
          <w:rFonts w:ascii="宋体" w:hAnsi="宋体" w:eastAsia="宋体" w:cs="宋体"/>
          <w:spacing w:val="-4"/>
          <w:sz w:val="24"/>
          <w:szCs w:val="24"/>
        </w:rPr>
        <w:t>最终汇集到洞外路基边沟中。</w:t>
      </w:r>
    </w:p>
    <w:p>
      <w:pPr>
        <w:spacing w:before="182" w:line="469" w:lineRule="exact"/>
        <w:ind w:right="13"/>
        <w:jc w:val="right"/>
        <w:rPr>
          <w:rFonts w:ascii="宋体" w:hAnsi="宋体" w:eastAsia="宋体" w:cs="宋体"/>
          <w:sz w:val="24"/>
          <w:szCs w:val="24"/>
        </w:rPr>
      </w:pPr>
      <w:r>
        <w:rPr>
          <w:rFonts w:ascii="宋体" w:hAnsi="宋体" w:eastAsia="宋体" w:cs="宋体"/>
          <w:spacing w:val="-4"/>
          <w:position w:val="17"/>
          <w:sz w:val="24"/>
          <w:szCs w:val="24"/>
        </w:rPr>
        <w:t>路基下横向排水盲沟用</w:t>
      </w:r>
      <w:r>
        <w:rPr>
          <w:rFonts w:ascii="宋体" w:hAnsi="宋体" w:eastAsia="宋体" w:cs="宋体"/>
          <w:spacing w:val="-27"/>
          <w:position w:val="17"/>
          <w:sz w:val="24"/>
          <w:szCs w:val="24"/>
        </w:rPr>
        <w:t xml:space="preserve"> </w:t>
      </w:r>
      <w:r>
        <w:rPr>
          <w:rFonts w:ascii="Times New Roman" w:hAnsi="Times New Roman" w:eastAsia="Times New Roman" w:cs="Times New Roman"/>
          <w:spacing w:val="-4"/>
          <w:position w:val="17"/>
          <w:sz w:val="24"/>
          <w:szCs w:val="24"/>
        </w:rPr>
        <w:t>φ150mm</w:t>
      </w:r>
      <w:r>
        <w:rPr>
          <w:rFonts w:ascii="Times New Roman" w:hAnsi="Times New Roman" w:eastAsia="Times New Roman" w:cs="Times New Roman"/>
          <w:spacing w:val="23"/>
          <w:position w:val="17"/>
          <w:sz w:val="24"/>
          <w:szCs w:val="24"/>
        </w:rPr>
        <w:t xml:space="preserve"> </w:t>
      </w:r>
      <w:r>
        <w:rPr>
          <w:rFonts w:ascii="宋体" w:hAnsi="宋体" w:eastAsia="宋体" w:cs="宋体"/>
          <w:spacing w:val="-4"/>
          <w:position w:val="17"/>
          <w:sz w:val="24"/>
          <w:szCs w:val="24"/>
        </w:rPr>
        <w:t>钢筋混凝土管，外裹</w:t>
      </w:r>
      <w:r>
        <w:rPr>
          <w:rFonts w:ascii="宋体" w:hAnsi="宋体" w:eastAsia="宋体" w:cs="宋体"/>
          <w:spacing w:val="-40"/>
          <w:position w:val="17"/>
          <w:sz w:val="24"/>
          <w:szCs w:val="24"/>
        </w:rPr>
        <w:t xml:space="preserve"> </w:t>
      </w:r>
      <w:r>
        <w:rPr>
          <w:rFonts w:ascii="Times New Roman" w:hAnsi="Times New Roman" w:eastAsia="Times New Roman" w:cs="Times New Roman"/>
          <w:spacing w:val="-4"/>
          <w:position w:val="17"/>
          <w:sz w:val="24"/>
          <w:szCs w:val="24"/>
        </w:rPr>
        <w:t>200g  /m</w:t>
      </w:r>
      <w:r>
        <w:rPr>
          <w:rFonts w:ascii="Times New Roman" w:hAnsi="Times New Roman" w:eastAsia="Times New Roman" w:cs="Times New Roman"/>
          <w:spacing w:val="-4"/>
          <w:position w:val="26"/>
          <w:sz w:val="16"/>
          <w:szCs w:val="16"/>
        </w:rPr>
        <w:t>2</w:t>
      </w:r>
      <w:r>
        <w:rPr>
          <w:rFonts w:ascii="Times New Roman" w:hAnsi="Times New Roman" w:eastAsia="Times New Roman" w:cs="Times New Roman"/>
          <w:spacing w:val="10"/>
          <w:position w:val="26"/>
          <w:sz w:val="16"/>
          <w:szCs w:val="16"/>
        </w:rPr>
        <w:t xml:space="preserve"> </w:t>
      </w:r>
      <w:r>
        <w:rPr>
          <w:rFonts w:ascii="宋体" w:hAnsi="宋体" w:eastAsia="宋体" w:cs="宋体"/>
          <w:spacing w:val="-4"/>
          <w:position w:val="17"/>
          <w:sz w:val="24"/>
          <w:szCs w:val="24"/>
        </w:rPr>
        <w:t>土工布， 一</w:t>
      </w:r>
    </w:p>
    <w:p>
      <w:pPr>
        <w:spacing w:before="1" w:line="219" w:lineRule="auto"/>
        <w:ind w:left="37"/>
        <w:rPr>
          <w:rFonts w:ascii="宋体" w:hAnsi="宋体" w:eastAsia="宋体" w:cs="宋体"/>
          <w:sz w:val="24"/>
          <w:szCs w:val="24"/>
        </w:rPr>
      </w:pPr>
      <w:r>
        <w:rPr>
          <w:rFonts w:ascii="宋体" w:hAnsi="宋体" w:eastAsia="宋体" w:cs="宋体"/>
          <w:spacing w:val="-2"/>
          <w:sz w:val="24"/>
          <w:szCs w:val="24"/>
        </w:rPr>
        <w:t>般每</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25 </w:t>
      </w:r>
      <w:r>
        <w:rPr>
          <w:rFonts w:ascii="宋体" w:hAnsi="宋体" w:eastAsia="宋体" w:cs="宋体"/>
          <w:spacing w:val="-2"/>
          <w:sz w:val="24"/>
          <w:szCs w:val="24"/>
        </w:rPr>
        <w:t>米</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道，对于富水区段局部渗水较大形成径流区段，间距适</w:t>
      </w:r>
      <w:r>
        <w:rPr>
          <w:rFonts w:ascii="宋体" w:hAnsi="宋体" w:eastAsia="宋体" w:cs="宋体"/>
          <w:spacing w:val="-3"/>
          <w:sz w:val="24"/>
          <w:szCs w:val="24"/>
        </w:rPr>
        <w:t>当加密。</w:t>
      </w:r>
    </w:p>
    <w:p>
      <w:pPr>
        <w:spacing w:before="182" w:line="468" w:lineRule="exact"/>
        <w:ind w:right="32"/>
        <w:jc w:val="right"/>
        <w:rPr>
          <w:rFonts w:ascii="宋体" w:hAnsi="宋体" w:eastAsia="宋体" w:cs="宋体"/>
          <w:sz w:val="24"/>
          <w:szCs w:val="24"/>
        </w:rPr>
      </w:pPr>
      <w:r>
        <w:rPr>
          <w:rFonts w:ascii="宋体" w:hAnsi="宋体" w:eastAsia="宋体" w:cs="宋体"/>
          <w:spacing w:val="-10"/>
          <w:position w:val="17"/>
          <w:sz w:val="24"/>
          <w:szCs w:val="24"/>
        </w:rPr>
        <w:t>路基中央暗井设置在行车道中线处， 纵向间距与横向排水盲沟相同， 一般可</w:t>
      </w:r>
    </w:p>
    <w:p>
      <w:pPr>
        <w:spacing w:before="1" w:line="221" w:lineRule="auto"/>
        <w:ind w:left="41"/>
        <w:rPr>
          <w:rFonts w:ascii="宋体" w:hAnsi="宋体" w:eastAsia="宋体" w:cs="宋体"/>
          <w:sz w:val="24"/>
          <w:szCs w:val="24"/>
        </w:rPr>
      </w:pPr>
      <w:r>
        <w:rPr>
          <w:rFonts w:ascii="宋体" w:hAnsi="宋体" w:eastAsia="宋体" w:cs="宋体"/>
          <w:spacing w:val="-4"/>
          <w:sz w:val="24"/>
          <w:szCs w:val="24"/>
        </w:rPr>
        <w:t>取</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25m</w:t>
      </w:r>
      <w:r>
        <w:rPr>
          <w:rFonts w:ascii="宋体" w:hAnsi="宋体" w:eastAsia="宋体" w:cs="宋体"/>
          <w:spacing w:val="-4"/>
          <w:sz w:val="24"/>
          <w:szCs w:val="24"/>
        </w:rPr>
        <w:t>。</w:t>
      </w:r>
    </w:p>
    <w:p>
      <w:pPr>
        <w:spacing w:before="180" w:line="217" w:lineRule="auto"/>
        <w:ind w:left="516"/>
        <w:rPr>
          <w:rFonts w:ascii="宋体" w:hAnsi="宋体" w:eastAsia="宋体" w:cs="宋体"/>
          <w:sz w:val="24"/>
          <w:szCs w:val="24"/>
        </w:rPr>
      </w:pPr>
      <w:r>
        <w:rPr>
          <w:rFonts w:ascii="宋体" w:hAnsi="宋体" w:eastAsia="宋体" w:cs="宋体"/>
          <w:spacing w:val="-2"/>
          <w:sz w:val="24"/>
          <w:szCs w:val="24"/>
        </w:rPr>
        <w:t>③路缘排水工程</w:t>
      </w:r>
    </w:p>
    <w:p>
      <w:pPr>
        <w:spacing w:before="186" w:line="360" w:lineRule="auto"/>
        <w:ind w:left="36" w:right="28" w:firstLine="494"/>
        <w:rPr>
          <w:rFonts w:ascii="宋体" w:hAnsi="宋体" w:eastAsia="宋体" w:cs="宋体"/>
          <w:sz w:val="24"/>
          <w:szCs w:val="24"/>
        </w:rPr>
      </w:pPr>
      <w:r>
        <w:rPr>
          <w:rFonts w:ascii="宋体" w:hAnsi="宋体" w:eastAsia="宋体" w:cs="宋体"/>
          <w:spacing w:val="-6"/>
          <w:sz w:val="24"/>
          <w:szCs w:val="24"/>
        </w:rPr>
        <w:t>隧道内冲洗及消防排放等的污水， 在隧道两侧路缘石与路面相交</w:t>
      </w:r>
      <w:r>
        <w:rPr>
          <w:rFonts w:ascii="宋体" w:hAnsi="宋体" w:eastAsia="宋体" w:cs="宋体"/>
          <w:spacing w:val="-7"/>
          <w:sz w:val="24"/>
          <w:szCs w:val="24"/>
        </w:rPr>
        <w:t>处每</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5m</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设</w:t>
      </w:r>
      <w:r>
        <w:rPr>
          <w:rFonts w:ascii="宋体" w:hAnsi="宋体" w:eastAsia="宋体" w:cs="宋体"/>
          <w:sz w:val="24"/>
          <w:szCs w:val="24"/>
        </w:rPr>
        <w:t xml:space="preserve"> </w:t>
      </w:r>
      <w:r>
        <w:rPr>
          <w:rFonts w:ascii="宋体" w:hAnsi="宋体" w:eastAsia="宋体" w:cs="宋体"/>
          <w:spacing w:val="-1"/>
          <w:sz w:val="24"/>
          <w:szCs w:val="24"/>
        </w:rPr>
        <w:t>置</w:t>
      </w:r>
      <w:r>
        <w:rPr>
          <w:rFonts w:ascii="宋体" w:hAnsi="宋体" w:eastAsia="宋体" w:cs="宋体"/>
          <w:spacing w:val="-17"/>
          <w:sz w:val="24"/>
          <w:szCs w:val="24"/>
        </w:rPr>
        <w:t xml:space="preserve"> </w:t>
      </w:r>
      <w:r>
        <w:rPr>
          <w:rFonts w:ascii="Times New Roman" w:hAnsi="Times New Roman" w:eastAsia="Times New Roman" w:cs="Times New Roman"/>
          <w:spacing w:val="-1"/>
          <w:sz w:val="24"/>
          <w:szCs w:val="24"/>
        </w:rPr>
        <w:t>φ6cmHDPE</w:t>
      </w:r>
      <w:r>
        <w:rPr>
          <w:rFonts w:ascii="Times New Roman" w:hAnsi="Times New Roman" w:eastAsia="Times New Roman" w:cs="Times New Roman"/>
          <w:spacing w:val="33"/>
          <w:w w:val="101"/>
          <w:sz w:val="24"/>
          <w:szCs w:val="24"/>
        </w:rPr>
        <w:t xml:space="preserve"> </w:t>
      </w:r>
      <w:r>
        <w:rPr>
          <w:rFonts w:ascii="宋体" w:hAnsi="宋体" w:eastAsia="宋体" w:cs="宋体"/>
          <w:spacing w:val="-1"/>
          <w:sz w:val="24"/>
          <w:szCs w:val="24"/>
        </w:rPr>
        <w:t>排水管，将隧道内路面水引至电缆沟内排水边沟，污水排出洞外</w:t>
      </w:r>
    </w:p>
    <w:p>
      <w:pPr>
        <w:spacing w:line="219" w:lineRule="auto"/>
        <w:ind w:left="42"/>
        <w:rPr>
          <w:rFonts w:ascii="宋体" w:hAnsi="宋体" w:eastAsia="宋体" w:cs="宋体"/>
          <w:sz w:val="24"/>
          <w:szCs w:val="24"/>
        </w:rPr>
      </w:pPr>
      <w:r>
        <w:rPr>
          <w:rFonts w:ascii="宋体" w:hAnsi="宋体" w:eastAsia="宋体" w:cs="宋体"/>
          <w:spacing w:val="-4"/>
          <w:sz w:val="24"/>
          <w:szCs w:val="24"/>
        </w:rPr>
        <w:t>与洞门外路基边沟槽相通。</w:t>
      </w:r>
    </w:p>
    <w:p>
      <w:pPr>
        <w:spacing w:before="184" w:line="217" w:lineRule="auto"/>
        <w:ind w:left="516"/>
        <w:rPr>
          <w:rFonts w:ascii="宋体" w:hAnsi="宋体" w:eastAsia="宋体" w:cs="宋体"/>
          <w:sz w:val="24"/>
          <w:szCs w:val="24"/>
        </w:rPr>
      </w:pPr>
      <w:r>
        <w:rPr>
          <w:rFonts w:ascii="宋体" w:hAnsi="宋体" w:eastAsia="宋体" w:cs="宋体"/>
          <w:spacing w:val="-1"/>
          <w:sz w:val="24"/>
          <w:szCs w:val="24"/>
        </w:rPr>
        <w:t>④隧道排水系统可维修性措施</w:t>
      </w:r>
    </w:p>
    <w:p>
      <w:pPr>
        <w:spacing w:before="186" w:line="360" w:lineRule="auto"/>
        <w:ind w:left="38" w:right="30" w:firstLine="478"/>
        <w:rPr>
          <w:rFonts w:ascii="宋体" w:hAnsi="宋体" w:eastAsia="宋体" w:cs="宋体"/>
          <w:sz w:val="24"/>
          <w:szCs w:val="24"/>
        </w:rPr>
      </w:pPr>
      <w:r>
        <w:rPr>
          <w:rFonts w:ascii="宋体" w:hAnsi="宋体" w:eastAsia="宋体" w:cs="宋体"/>
          <w:spacing w:val="-7"/>
          <w:sz w:val="24"/>
          <w:szCs w:val="24"/>
        </w:rPr>
        <w:t>对衬砌背后墙脚纵向排水管对称设置检查维修孔， 以方便管道疏通机及时疏</w:t>
      </w:r>
      <w:r>
        <w:rPr>
          <w:rFonts w:ascii="宋体" w:hAnsi="宋体" w:eastAsia="宋体" w:cs="宋体"/>
          <w:spacing w:val="15"/>
          <w:sz w:val="24"/>
          <w:szCs w:val="24"/>
        </w:rPr>
        <w:t xml:space="preserve"> </w:t>
      </w:r>
      <w:r>
        <w:rPr>
          <w:rFonts w:ascii="宋体" w:hAnsi="宋体" w:eastAsia="宋体" w:cs="宋体"/>
          <w:spacing w:val="-9"/>
          <w:sz w:val="24"/>
          <w:szCs w:val="24"/>
        </w:rPr>
        <w:t>通，</w:t>
      </w:r>
      <w:r>
        <w:rPr>
          <w:rFonts w:ascii="宋体" w:hAnsi="宋体" w:eastAsia="宋体" w:cs="宋体"/>
          <w:spacing w:val="-62"/>
          <w:sz w:val="24"/>
          <w:szCs w:val="24"/>
        </w:rPr>
        <w:t xml:space="preserve"> </w:t>
      </w:r>
      <w:r>
        <w:rPr>
          <w:rFonts w:ascii="宋体" w:hAnsi="宋体" w:eastAsia="宋体" w:cs="宋体"/>
          <w:spacing w:val="-9"/>
          <w:sz w:val="24"/>
          <w:szCs w:val="24"/>
        </w:rPr>
        <w:t>检查孔设置桩号同洞内消防洞室，</w:t>
      </w:r>
      <w:r>
        <w:rPr>
          <w:rFonts w:ascii="宋体" w:hAnsi="宋体" w:eastAsia="宋体" w:cs="宋体"/>
          <w:spacing w:val="33"/>
          <w:sz w:val="24"/>
          <w:szCs w:val="24"/>
        </w:rPr>
        <w:t xml:space="preserve"> </w:t>
      </w:r>
      <w:r>
        <w:rPr>
          <w:rFonts w:ascii="宋体" w:hAnsi="宋体" w:eastAsia="宋体" w:cs="宋体"/>
          <w:spacing w:val="-9"/>
          <w:sz w:val="24"/>
          <w:szCs w:val="24"/>
        </w:rPr>
        <w:t>纵向间距为</w:t>
      </w:r>
      <w:r>
        <w:rPr>
          <w:rFonts w:ascii="宋体" w:hAnsi="宋体" w:eastAsia="宋体" w:cs="宋体"/>
          <w:spacing w:val="-47"/>
          <w:sz w:val="24"/>
          <w:szCs w:val="24"/>
        </w:rPr>
        <w:t xml:space="preserve"> </w:t>
      </w:r>
      <w:r>
        <w:rPr>
          <w:rFonts w:ascii="Times New Roman" w:hAnsi="Times New Roman" w:eastAsia="Times New Roman" w:cs="Times New Roman"/>
          <w:spacing w:val="-9"/>
          <w:sz w:val="24"/>
          <w:szCs w:val="24"/>
        </w:rPr>
        <w:t>50m</w:t>
      </w:r>
      <w:r>
        <w:rPr>
          <w:rFonts w:ascii="宋体" w:hAnsi="宋体" w:eastAsia="宋体" w:cs="宋体"/>
          <w:spacing w:val="-10"/>
          <w:sz w:val="24"/>
          <w:szCs w:val="24"/>
        </w:rPr>
        <w:t>。每处检查维修孔包括两</w:t>
      </w:r>
    </w:p>
    <w:p>
      <w:pPr>
        <w:spacing w:line="219" w:lineRule="auto"/>
        <w:ind w:left="38"/>
        <w:rPr>
          <w:rFonts w:ascii="宋体" w:hAnsi="宋体" w:eastAsia="宋体" w:cs="宋体"/>
          <w:sz w:val="24"/>
          <w:szCs w:val="24"/>
        </w:rPr>
      </w:pPr>
      <w:r>
        <w:rPr>
          <w:rFonts w:ascii="宋体" w:hAnsi="宋体" w:eastAsia="宋体" w:cs="宋体"/>
          <w:spacing w:val="-2"/>
          <w:sz w:val="24"/>
          <w:szCs w:val="24"/>
        </w:rPr>
        <w:t>根</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DN75mm </w:t>
      </w:r>
      <w:r>
        <w:rPr>
          <w:rFonts w:ascii="宋体" w:hAnsi="宋体" w:eastAsia="宋体" w:cs="宋体"/>
          <w:spacing w:val="-2"/>
          <w:sz w:val="24"/>
          <w:szCs w:val="24"/>
        </w:rPr>
        <w:t>铸铁管两个</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HDPE </w:t>
      </w:r>
      <w:r>
        <w:rPr>
          <w:rFonts w:ascii="宋体" w:hAnsi="宋体" w:eastAsia="宋体" w:cs="宋体"/>
          <w:spacing w:val="-2"/>
          <w:sz w:val="24"/>
          <w:szCs w:val="24"/>
        </w:rPr>
        <w:t>异径斜三通。</w:t>
      </w:r>
    </w:p>
    <w:p>
      <w:pPr>
        <w:spacing w:before="182"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）堵水措施</w:t>
      </w:r>
    </w:p>
    <w:p>
      <w:pPr>
        <w:spacing w:before="183" w:line="360" w:lineRule="auto"/>
        <w:ind w:left="38" w:right="30" w:firstLine="481"/>
        <w:rPr>
          <w:rFonts w:ascii="宋体" w:hAnsi="宋体" w:eastAsia="宋体" w:cs="宋体"/>
          <w:sz w:val="24"/>
          <w:szCs w:val="24"/>
        </w:rPr>
      </w:pPr>
      <w:r>
        <w:rPr>
          <w:rFonts w:ascii="宋体" w:hAnsi="宋体" w:eastAsia="宋体" w:cs="宋体"/>
          <w:spacing w:val="-10"/>
          <w:sz w:val="24"/>
          <w:szCs w:val="24"/>
        </w:rPr>
        <w:t>主要用于节理密集带或断层带内， 在开挖过程中， 或开挖完成后产生较大面</w:t>
      </w:r>
      <w:r>
        <w:rPr>
          <w:rFonts w:ascii="宋体" w:hAnsi="宋体" w:eastAsia="宋体" w:cs="宋体"/>
          <w:spacing w:val="1"/>
          <w:sz w:val="24"/>
          <w:szCs w:val="24"/>
        </w:rPr>
        <w:t xml:space="preserve"> </w:t>
      </w:r>
      <w:r>
        <w:rPr>
          <w:rFonts w:ascii="宋体" w:hAnsi="宋体" w:eastAsia="宋体" w:cs="宋体"/>
          <w:spacing w:val="-12"/>
          <w:sz w:val="24"/>
          <w:szCs w:val="24"/>
        </w:rPr>
        <w:t>积、较长时间的渗水时可采用堵水措施，</w:t>
      </w:r>
      <w:r>
        <w:rPr>
          <w:rFonts w:ascii="宋体" w:hAnsi="宋体" w:eastAsia="宋体" w:cs="宋体"/>
          <w:spacing w:val="44"/>
          <w:sz w:val="24"/>
          <w:szCs w:val="24"/>
        </w:rPr>
        <w:t xml:space="preserve"> </w:t>
      </w:r>
      <w:r>
        <w:rPr>
          <w:rFonts w:ascii="宋体" w:hAnsi="宋体" w:eastAsia="宋体" w:cs="宋体"/>
          <w:spacing w:val="-12"/>
          <w:sz w:val="24"/>
          <w:szCs w:val="24"/>
        </w:rPr>
        <w:t>堵水方式为径向注浆，</w:t>
      </w:r>
      <w:r>
        <w:rPr>
          <w:rFonts w:ascii="宋体" w:hAnsi="宋体" w:eastAsia="宋体" w:cs="宋体"/>
          <w:spacing w:val="32"/>
          <w:sz w:val="24"/>
          <w:szCs w:val="24"/>
        </w:rPr>
        <w:t xml:space="preserve"> </w:t>
      </w:r>
      <w:r>
        <w:rPr>
          <w:rFonts w:ascii="宋体" w:hAnsi="宋体" w:eastAsia="宋体" w:cs="宋体"/>
          <w:spacing w:val="-12"/>
          <w:sz w:val="24"/>
          <w:szCs w:val="24"/>
        </w:rPr>
        <w:t>注浆后要求渗水</w:t>
      </w:r>
    </w:p>
    <w:p>
      <w:pPr>
        <w:spacing w:before="1" w:line="218" w:lineRule="auto"/>
        <w:ind w:right="5"/>
        <w:jc w:val="right"/>
        <w:rPr>
          <w:rFonts w:ascii="宋体" w:hAnsi="宋体" w:eastAsia="宋体" w:cs="宋体"/>
          <w:sz w:val="24"/>
          <w:szCs w:val="24"/>
        </w:rPr>
      </w:pPr>
      <w:r>
        <w:rPr>
          <w:rFonts w:ascii="宋体" w:hAnsi="宋体" w:eastAsia="宋体" w:cs="宋体"/>
          <w:spacing w:val="-11"/>
          <w:sz w:val="24"/>
          <w:szCs w:val="24"/>
        </w:rPr>
        <w:t>量明显减小。在注浆后仍有少量渗水时，</w:t>
      </w:r>
      <w:r>
        <w:rPr>
          <w:rFonts w:ascii="宋体" w:hAnsi="宋体" w:eastAsia="宋体" w:cs="宋体"/>
          <w:spacing w:val="31"/>
          <w:sz w:val="24"/>
          <w:szCs w:val="24"/>
        </w:rPr>
        <w:t xml:space="preserve"> </w:t>
      </w:r>
      <w:r>
        <w:rPr>
          <w:rFonts w:ascii="宋体" w:hAnsi="宋体" w:eastAsia="宋体" w:cs="宋体"/>
          <w:spacing w:val="-11"/>
          <w:sz w:val="24"/>
          <w:szCs w:val="24"/>
        </w:rPr>
        <w:t>采用软式</w:t>
      </w:r>
      <w:r>
        <w:rPr>
          <w:rFonts w:ascii="宋体" w:hAnsi="宋体" w:eastAsia="宋体" w:cs="宋体"/>
          <w:spacing w:val="-12"/>
          <w:sz w:val="24"/>
          <w:szCs w:val="24"/>
        </w:rPr>
        <w:t>透水管引排至临时水沟中，</w:t>
      </w:r>
      <w:r>
        <w:rPr>
          <w:rFonts w:ascii="宋体" w:hAnsi="宋体" w:eastAsia="宋体" w:cs="宋体"/>
          <w:spacing w:val="47"/>
          <w:sz w:val="24"/>
          <w:szCs w:val="24"/>
        </w:rPr>
        <w:t xml:space="preserve"> </w:t>
      </w:r>
      <w:r>
        <w:rPr>
          <w:rFonts w:ascii="宋体" w:hAnsi="宋体" w:eastAsia="宋体" w:cs="宋体"/>
          <w:spacing w:val="-12"/>
          <w:sz w:val="24"/>
          <w:szCs w:val="24"/>
        </w:rPr>
        <w:t>防</w:t>
      </w:r>
    </w:p>
    <w:p>
      <w:pPr>
        <w:spacing w:line="218" w:lineRule="auto"/>
        <w:rPr>
          <w:rFonts w:ascii="宋体" w:hAnsi="宋体" w:eastAsia="宋体" w:cs="宋体"/>
          <w:sz w:val="24"/>
          <w:szCs w:val="24"/>
        </w:rPr>
        <w:sectPr>
          <w:headerReference r:id="rId127" w:type="default"/>
          <w:footerReference r:id="rId128" w:type="default"/>
          <w:pgSz w:w="11907" w:h="16839"/>
          <w:pgMar w:top="1118" w:right="1769" w:bottom="1182" w:left="1771" w:header="879" w:footer="1024" w:gutter="0"/>
          <w:cols w:space="720" w:num="1"/>
        </w:sectPr>
      </w:pPr>
    </w:p>
    <w:p>
      <w:pPr>
        <w:pStyle w:val="2"/>
        <w:spacing w:line="357" w:lineRule="auto"/>
      </w:pPr>
    </w:p>
    <w:p>
      <w:pPr>
        <w:spacing w:before="78" w:line="468" w:lineRule="exact"/>
        <w:ind w:left="507"/>
        <w:rPr>
          <w:rFonts w:ascii="宋体" w:hAnsi="宋体" w:eastAsia="宋体" w:cs="宋体"/>
          <w:sz w:val="24"/>
          <w:szCs w:val="24"/>
        </w:rPr>
      </w:pPr>
      <w:r>
        <w:rPr>
          <w:rFonts w:ascii="宋体" w:hAnsi="宋体" w:eastAsia="宋体" w:cs="宋体"/>
          <w:spacing w:val="-6"/>
          <w:position w:val="17"/>
          <w:sz w:val="24"/>
          <w:szCs w:val="24"/>
        </w:rPr>
        <w:t>止对喷射混凝土产生不利影响。在二次衬砌施工前， 局</w:t>
      </w:r>
      <w:r>
        <w:rPr>
          <w:rFonts w:ascii="宋体" w:hAnsi="宋体" w:eastAsia="宋体" w:cs="宋体"/>
          <w:spacing w:val="-7"/>
          <w:position w:val="17"/>
          <w:sz w:val="24"/>
          <w:szCs w:val="24"/>
        </w:rPr>
        <w:t>部渗水点出水应引排至中</w:t>
      </w:r>
    </w:p>
    <w:p>
      <w:pPr>
        <w:spacing w:line="219" w:lineRule="auto"/>
        <w:ind w:left="510"/>
        <w:rPr>
          <w:rFonts w:ascii="宋体" w:hAnsi="宋体" w:eastAsia="宋体" w:cs="宋体"/>
          <w:sz w:val="24"/>
          <w:szCs w:val="24"/>
        </w:rPr>
      </w:pPr>
      <w:r>
        <w:rPr>
          <w:rFonts w:ascii="宋体" w:hAnsi="宋体" w:eastAsia="宋体" w:cs="宋体"/>
          <w:spacing w:val="-7"/>
          <w:sz w:val="24"/>
          <w:szCs w:val="24"/>
        </w:rPr>
        <w:t>央排水管内。</w:t>
      </w:r>
    </w:p>
    <w:p>
      <w:pPr>
        <w:spacing w:before="182" w:line="220" w:lineRule="auto"/>
        <w:ind w:left="980"/>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、洞内紧急停车带</w:t>
      </w:r>
    </w:p>
    <w:p>
      <w:pPr>
        <w:spacing w:before="182" w:line="360" w:lineRule="auto"/>
        <w:ind w:left="512" w:right="495" w:firstLine="474"/>
        <w:rPr>
          <w:rFonts w:ascii="宋体" w:hAnsi="宋体" w:eastAsia="宋体" w:cs="宋体"/>
          <w:sz w:val="24"/>
          <w:szCs w:val="24"/>
        </w:rPr>
      </w:pPr>
      <w:r>
        <w:rPr>
          <w:rFonts w:ascii="宋体" w:hAnsi="宋体" w:eastAsia="宋体" w:cs="宋体"/>
          <w:spacing w:val="-6"/>
          <w:sz w:val="24"/>
          <w:szCs w:val="24"/>
        </w:rPr>
        <w:t>本项目连接线仅百丈隧道为长隧道，</w:t>
      </w:r>
      <w:r>
        <w:rPr>
          <w:rFonts w:ascii="宋体" w:hAnsi="宋体" w:eastAsia="宋体" w:cs="宋体"/>
          <w:spacing w:val="-27"/>
          <w:sz w:val="24"/>
          <w:szCs w:val="24"/>
        </w:rPr>
        <w:t xml:space="preserve"> </w:t>
      </w:r>
      <w:r>
        <w:rPr>
          <w:rFonts w:ascii="宋体" w:hAnsi="宋体" w:eastAsia="宋体" w:cs="宋体"/>
          <w:spacing w:val="-6"/>
          <w:sz w:val="24"/>
          <w:szCs w:val="24"/>
        </w:rPr>
        <w:t>在行车方向的左右侧交替设置紧急停车</w:t>
      </w:r>
      <w:r>
        <w:rPr>
          <w:rFonts w:ascii="宋体" w:hAnsi="宋体" w:eastAsia="宋体" w:cs="宋体"/>
          <w:sz w:val="24"/>
          <w:szCs w:val="24"/>
        </w:rPr>
        <w:t xml:space="preserve"> </w:t>
      </w:r>
      <w:r>
        <w:rPr>
          <w:rFonts w:ascii="宋体" w:hAnsi="宋体" w:eastAsia="宋体" w:cs="宋体"/>
          <w:spacing w:val="-10"/>
          <w:sz w:val="24"/>
          <w:szCs w:val="24"/>
        </w:rPr>
        <w:t>带，</w:t>
      </w:r>
      <w:r>
        <w:rPr>
          <w:rFonts w:ascii="宋体" w:hAnsi="宋体" w:eastAsia="宋体" w:cs="宋体"/>
          <w:spacing w:val="-57"/>
          <w:sz w:val="24"/>
          <w:szCs w:val="24"/>
        </w:rPr>
        <w:t xml:space="preserve"> </w:t>
      </w:r>
      <w:r>
        <w:rPr>
          <w:rFonts w:ascii="宋体" w:hAnsi="宋体" w:eastAsia="宋体" w:cs="宋体"/>
          <w:spacing w:val="-10"/>
          <w:sz w:val="24"/>
          <w:szCs w:val="24"/>
        </w:rPr>
        <w:t>共设置</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 xml:space="preserve">2 </w:t>
      </w:r>
      <w:r>
        <w:rPr>
          <w:rFonts w:ascii="宋体" w:hAnsi="宋体" w:eastAsia="宋体" w:cs="宋体"/>
          <w:spacing w:val="-10"/>
          <w:sz w:val="24"/>
          <w:szCs w:val="24"/>
        </w:rPr>
        <w:t>个洞内紧急停车带，</w:t>
      </w:r>
      <w:r>
        <w:rPr>
          <w:rFonts w:ascii="宋体" w:hAnsi="宋体" w:eastAsia="宋体" w:cs="宋体"/>
          <w:spacing w:val="41"/>
          <w:sz w:val="24"/>
          <w:szCs w:val="24"/>
        </w:rPr>
        <w:t xml:space="preserve"> </w:t>
      </w:r>
      <w:r>
        <w:rPr>
          <w:rFonts w:ascii="宋体" w:hAnsi="宋体" w:eastAsia="宋体" w:cs="宋体"/>
          <w:spacing w:val="-10"/>
          <w:sz w:val="24"/>
          <w:szCs w:val="24"/>
        </w:rPr>
        <w:t>左右侧各设置</w:t>
      </w:r>
      <w:r>
        <w:rPr>
          <w:rFonts w:ascii="宋体" w:hAnsi="宋体" w:eastAsia="宋体" w:cs="宋体"/>
          <w:spacing w:val="-31"/>
          <w:sz w:val="24"/>
          <w:szCs w:val="24"/>
        </w:rPr>
        <w:t xml:space="preserve">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个。紧急停车带长</w:t>
      </w:r>
      <w:r>
        <w:rPr>
          <w:rFonts w:ascii="宋体" w:hAnsi="宋体" w:eastAsia="宋体" w:cs="宋体"/>
          <w:spacing w:val="-56"/>
          <w:sz w:val="24"/>
          <w:szCs w:val="24"/>
        </w:rPr>
        <w:t xml:space="preserve"> </w:t>
      </w:r>
      <w:r>
        <w:rPr>
          <w:rFonts w:ascii="Times New Roman" w:hAnsi="Times New Roman" w:eastAsia="Times New Roman" w:cs="Times New Roman"/>
          <w:spacing w:val="-10"/>
          <w:sz w:val="24"/>
          <w:szCs w:val="24"/>
        </w:rPr>
        <w:t>40m</w:t>
      </w:r>
      <w:r>
        <w:rPr>
          <w:rFonts w:ascii="宋体" w:hAnsi="宋体" w:eastAsia="宋体" w:cs="宋体"/>
          <w:spacing w:val="-10"/>
          <w:sz w:val="24"/>
          <w:szCs w:val="24"/>
        </w:rPr>
        <w:t>，过渡</w:t>
      </w:r>
    </w:p>
    <w:p>
      <w:pPr>
        <w:spacing w:line="219" w:lineRule="auto"/>
        <w:ind w:left="507"/>
        <w:rPr>
          <w:rFonts w:ascii="宋体" w:hAnsi="宋体" w:eastAsia="宋体" w:cs="宋体"/>
          <w:sz w:val="24"/>
          <w:szCs w:val="24"/>
        </w:rPr>
      </w:pPr>
      <w:r>
        <w:rPr>
          <w:rFonts w:ascii="宋体" w:hAnsi="宋体" w:eastAsia="宋体" w:cs="宋体"/>
          <w:spacing w:val="-2"/>
          <w:sz w:val="24"/>
          <w:szCs w:val="24"/>
        </w:rPr>
        <w:t>段</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2×5m</w:t>
      </w:r>
      <w:r>
        <w:rPr>
          <w:rFonts w:ascii="宋体" w:hAnsi="宋体" w:eastAsia="宋体" w:cs="宋体"/>
          <w:spacing w:val="-2"/>
          <w:sz w:val="24"/>
          <w:szCs w:val="24"/>
        </w:rPr>
        <w:t>，紧急停车带宽度</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3.0m</w:t>
      </w:r>
      <w:r>
        <w:rPr>
          <w:rFonts w:ascii="宋体" w:hAnsi="宋体" w:eastAsia="宋体" w:cs="宋体"/>
          <w:spacing w:val="-2"/>
          <w:sz w:val="24"/>
          <w:szCs w:val="24"/>
        </w:rPr>
        <w:t>，与右侧侧向宽度之</w:t>
      </w:r>
      <w:r>
        <w:rPr>
          <w:rFonts w:ascii="宋体" w:hAnsi="宋体" w:eastAsia="宋体" w:cs="宋体"/>
          <w:spacing w:val="-3"/>
          <w:sz w:val="24"/>
          <w:szCs w:val="24"/>
        </w:rPr>
        <w:t>和</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3.5m</w:t>
      </w:r>
      <w:r>
        <w:rPr>
          <w:rFonts w:ascii="宋体" w:hAnsi="宋体" w:eastAsia="宋体" w:cs="宋体"/>
          <w:spacing w:val="-3"/>
          <w:sz w:val="24"/>
          <w:szCs w:val="24"/>
        </w:rPr>
        <w:t>。</w:t>
      </w:r>
    </w:p>
    <w:p>
      <w:pPr>
        <w:spacing w:before="182" w:line="220" w:lineRule="auto"/>
        <w:ind w:left="988"/>
        <w:rPr>
          <w:rFonts w:ascii="宋体" w:hAnsi="宋体" w:eastAsia="宋体" w:cs="宋体"/>
          <w:sz w:val="24"/>
          <w:szCs w:val="24"/>
        </w:rPr>
      </w:pPr>
      <w:r>
        <w:rPr>
          <w:rFonts w:ascii="Times New Roman" w:hAnsi="Times New Roman" w:eastAsia="Times New Roman" w:cs="Times New Roman"/>
          <w:spacing w:val="-2"/>
          <w:sz w:val="24"/>
          <w:szCs w:val="24"/>
        </w:rPr>
        <w:t>5</w:t>
      </w:r>
      <w:r>
        <w:rPr>
          <w:rFonts w:ascii="宋体" w:hAnsi="宋体" w:eastAsia="宋体" w:cs="宋体"/>
          <w:spacing w:val="-2"/>
          <w:sz w:val="24"/>
          <w:szCs w:val="24"/>
        </w:rPr>
        <w:t>、洞内检修道、设备洞室</w:t>
      </w:r>
    </w:p>
    <w:p>
      <w:pPr>
        <w:spacing w:before="182" w:line="220" w:lineRule="auto"/>
        <w:ind w:left="992"/>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）因营运设备检修需要， 在路面两侧设置检修道， 检修道高出路面</w:t>
      </w:r>
      <w:r>
        <w:rPr>
          <w:rFonts w:ascii="宋体" w:hAnsi="宋体" w:eastAsia="宋体" w:cs="宋体"/>
          <w:spacing w:val="-31"/>
          <w:sz w:val="24"/>
          <w:szCs w:val="24"/>
        </w:rPr>
        <w:t xml:space="preserve"> </w:t>
      </w:r>
      <w:r>
        <w:rPr>
          <w:rFonts w:ascii="Times New Roman" w:hAnsi="Times New Roman" w:eastAsia="Times New Roman" w:cs="Times New Roman"/>
          <w:spacing w:val="-13"/>
          <w:sz w:val="24"/>
          <w:szCs w:val="24"/>
        </w:rPr>
        <w:t>30cm</w:t>
      </w:r>
      <w:r>
        <w:rPr>
          <w:rFonts w:ascii="宋体" w:hAnsi="宋体" w:eastAsia="宋体" w:cs="宋体"/>
          <w:spacing w:val="-13"/>
          <w:sz w:val="24"/>
          <w:szCs w:val="24"/>
        </w:rPr>
        <w:t>。</w:t>
      </w:r>
    </w:p>
    <w:p>
      <w:pPr>
        <w:spacing w:before="183" w:line="221" w:lineRule="auto"/>
        <w:ind w:left="9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）设备洞室</w:t>
      </w:r>
    </w:p>
    <w:p>
      <w:pPr>
        <w:spacing w:before="181" w:line="468" w:lineRule="exact"/>
        <w:ind w:left="986"/>
        <w:rPr>
          <w:rFonts w:ascii="宋体" w:hAnsi="宋体" w:eastAsia="宋体" w:cs="宋体"/>
          <w:sz w:val="24"/>
          <w:szCs w:val="24"/>
        </w:rPr>
      </w:pPr>
      <w:r>
        <w:rPr>
          <w:rFonts w:ascii="宋体" w:hAnsi="宋体" w:eastAsia="宋体" w:cs="宋体"/>
          <w:spacing w:val="-9"/>
          <w:position w:val="17"/>
          <w:sz w:val="24"/>
          <w:szCs w:val="24"/>
        </w:rPr>
        <w:t>根据通风、照明、防灾、报警等需要，</w:t>
      </w:r>
      <w:r>
        <w:rPr>
          <w:rFonts w:ascii="宋体" w:hAnsi="宋体" w:eastAsia="宋体" w:cs="宋体"/>
          <w:spacing w:val="72"/>
          <w:position w:val="17"/>
          <w:sz w:val="24"/>
          <w:szCs w:val="24"/>
        </w:rPr>
        <w:t xml:space="preserve"> </w:t>
      </w:r>
      <w:r>
        <w:rPr>
          <w:rFonts w:ascii="宋体" w:hAnsi="宋体" w:eastAsia="宋体" w:cs="宋体"/>
          <w:spacing w:val="-9"/>
          <w:position w:val="17"/>
          <w:sz w:val="24"/>
          <w:szCs w:val="24"/>
        </w:rPr>
        <w:t>隧道内墙壁设配电、紧急电话、监控</w:t>
      </w:r>
    </w:p>
    <w:p>
      <w:pPr>
        <w:spacing w:line="219" w:lineRule="auto"/>
        <w:ind w:left="507"/>
        <w:rPr>
          <w:rFonts w:ascii="宋体" w:hAnsi="宋体" w:eastAsia="宋体" w:cs="宋体"/>
          <w:sz w:val="24"/>
          <w:szCs w:val="24"/>
        </w:rPr>
      </w:pPr>
      <w:r>
        <w:rPr>
          <w:rFonts w:ascii="宋体" w:hAnsi="宋体" w:eastAsia="宋体" w:cs="宋体"/>
          <w:spacing w:val="-5"/>
          <w:sz w:val="24"/>
          <w:szCs w:val="24"/>
        </w:rPr>
        <w:t>和消防等设备洞室。</w:t>
      </w:r>
    </w:p>
    <w:p>
      <w:pPr>
        <w:spacing w:before="183" w:line="360" w:lineRule="auto"/>
        <w:ind w:left="535" w:right="409" w:firstLine="455"/>
        <w:rPr>
          <w:rFonts w:ascii="宋体" w:hAnsi="宋体" w:eastAsia="宋体" w:cs="宋体"/>
          <w:sz w:val="24"/>
          <w:szCs w:val="24"/>
        </w:rPr>
      </w:pPr>
      <w:r>
        <w:rPr>
          <w:rFonts w:ascii="宋体" w:hAnsi="宋体" w:eastAsia="宋体" w:cs="宋体"/>
          <w:spacing w:val="-14"/>
          <w:sz w:val="24"/>
          <w:szCs w:val="24"/>
        </w:rPr>
        <w:t>消防设备洞室位置：</w:t>
      </w:r>
      <w:r>
        <w:rPr>
          <w:rFonts w:ascii="宋体" w:hAnsi="宋体" w:eastAsia="宋体" w:cs="宋体"/>
          <w:spacing w:val="58"/>
          <w:sz w:val="24"/>
          <w:szCs w:val="24"/>
        </w:rPr>
        <w:t xml:space="preserve"> </w:t>
      </w:r>
      <w:r>
        <w:rPr>
          <w:rFonts w:ascii="宋体" w:hAnsi="宋体" w:eastAsia="宋体" w:cs="宋体"/>
          <w:spacing w:val="-14"/>
          <w:sz w:val="24"/>
          <w:szCs w:val="24"/>
        </w:rPr>
        <w:t>设置在洞内行车方向右侧墙壁上，</w:t>
      </w:r>
      <w:r>
        <w:rPr>
          <w:rFonts w:ascii="宋体" w:hAnsi="宋体" w:eastAsia="宋体" w:cs="宋体"/>
          <w:spacing w:val="43"/>
          <w:sz w:val="24"/>
          <w:szCs w:val="24"/>
        </w:rPr>
        <w:t xml:space="preserve"> </w:t>
      </w:r>
      <w:r>
        <w:rPr>
          <w:rFonts w:ascii="宋体" w:hAnsi="宋体" w:eastAsia="宋体" w:cs="宋体"/>
          <w:spacing w:val="-14"/>
          <w:sz w:val="24"/>
          <w:szCs w:val="24"/>
        </w:rPr>
        <w:t>每隔</w:t>
      </w:r>
      <w:r>
        <w:rPr>
          <w:rFonts w:ascii="宋体" w:hAnsi="宋体" w:eastAsia="宋体" w:cs="宋体"/>
          <w:spacing w:val="-47"/>
          <w:sz w:val="24"/>
          <w:szCs w:val="24"/>
        </w:rPr>
        <w:t xml:space="preserve"> </w:t>
      </w:r>
      <w:r>
        <w:rPr>
          <w:rFonts w:ascii="Times New Roman" w:hAnsi="Times New Roman" w:eastAsia="Times New Roman" w:cs="Times New Roman"/>
          <w:spacing w:val="-14"/>
          <w:sz w:val="24"/>
          <w:szCs w:val="24"/>
        </w:rPr>
        <w:t>50m</w:t>
      </w:r>
      <w:r>
        <w:rPr>
          <w:rFonts w:ascii="Times New Roman" w:hAnsi="Times New Roman" w:eastAsia="Times New Roman" w:cs="Times New Roman"/>
          <w:spacing w:val="14"/>
          <w:sz w:val="24"/>
          <w:szCs w:val="24"/>
        </w:rPr>
        <w:t xml:space="preserve"> </w:t>
      </w:r>
      <w:r>
        <w:rPr>
          <w:rFonts w:ascii="宋体" w:hAnsi="宋体" w:eastAsia="宋体" w:cs="宋体"/>
          <w:spacing w:val="-14"/>
          <w:sz w:val="24"/>
          <w:szCs w:val="24"/>
        </w:rPr>
        <w:t>设置一处，</w:t>
      </w:r>
      <w:r>
        <w:rPr>
          <w:rFonts w:ascii="宋体" w:hAnsi="宋体" w:eastAsia="宋体" w:cs="宋体"/>
          <w:sz w:val="24"/>
          <w:szCs w:val="24"/>
        </w:rPr>
        <w:t xml:space="preserve"> </w:t>
      </w:r>
      <w:r>
        <w:rPr>
          <w:rFonts w:ascii="宋体" w:hAnsi="宋体" w:eastAsia="宋体" w:cs="宋体"/>
          <w:spacing w:val="-10"/>
          <w:sz w:val="24"/>
          <w:szCs w:val="24"/>
        </w:rPr>
        <w:t>由于考虑消防水龙软管长度问题，</w:t>
      </w:r>
      <w:r>
        <w:rPr>
          <w:rFonts w:ascii="宋体" w:hAnsi="宋体" w:eastAsia="宋体" w:cs="宋体"/>
          <w:spacing w:val="-43"/>
          <w:sz w:val="24"/>
          <w:szCs w:val="24"/>
        </w:rPr>
        <w:t xml:space="preserve"> </w:t>
      </w:r>
      <w:r>
        <w:rPr>
          <w:rFonts w:ascii="宋体" w:hAnsi="宋体" w:eastAsia="宋体" w:cs="宋体"/>
          <w:spacing w:val="-10"/>
          <w:sz w:val="24"/>
          <w:szCs w:val="24"/>
        </w:rPr>
        <w:t>消防设备洞室间距均</w:t>
      </w:r>
      <w:r>
        <w:rPr>
          <w:rFonts w:ascii="宋体" w:hAnsi="宋体" w:eastAsia="宋体" w:cs="宋体"/>
          <w:spacing w:val="-11"/>
          <w:sz w:val="24"/>
          <w:szCs w:val="24"/>
        </w:rPr>
        <w:t>应为</w:t>
      </w:r>
      <w:r>
        <w:rPr>
          <w:rFonts w:ascii="宋体" w:hAnsi="宋体" w:eastAsia="宋体" w:cs="宋体"/>
          <w:spacing w:val="-47"/>
          <w:sz w:val="24"/>
          <w:szCs w:val="24"/>
        </w:rPr>
        <w:t xml:space="preserve"> </w:t>
      </w:r>
      <w:r>
        <w:rPr>
          <w:rFonts w:ascii="Times New Roman" w:hAnsi="Times New Roman" w:eastAsia="Times New Roman" w:cs="Times New Roman"/>
          <w:spacing w:val="-11"/>
          <w:sz w:val="24"/>
          <w:szCs w:val="24"/>
        </w:rPr>
        <w:t>50m</w:t>
      </w:r>
      <w:r>
        <w:rPr>
          <w:rFonts w:ascii="宋体" w:hAnsi="宋体" w:eastAsia="宋体" w:cs="宋体"/>
          <w:spacing w:val="-11"/>
          <w:sz w:val="24"/>
          <w:szCs w:val="24"/>
        </w:rPr>
        <w:t>，位置不能调整。</w:t>
      </w:r>
    </w:p>
    <w:p>
      <w:pPr>
        <w:spacing w:before="1" w:line="218" w:lineRule="auto"/>
        <w:ind w:left="521"/>
        <w:rPr>
          <w:rFonts w:ascii="宋体" w:hAnsi="宋体" w:eastAsia="宋体" w:cs="宋体"/>
          <w:sz w:val="24"/>
          <w:szCs w:val="24"/>
        </w:rPr>
      </w:pPr>
      <w:r>
        <w:rPr>
          <w:rFonts w:ascii="宋体" w:hAnsi="宋体" w:eastAsia="宋体" w:cs="宋体"/>
          <w:spacing w:val="-2"/>
          <w:sz w:val="24"/>
          <w:szCs w:val="24"/>
        </w:rPr>
        <w:t>当洞室位置处于紧急停车带扩大断面时，不做土建洞室（壁龛</w:t>
      </w:r>
      <w:r>
        <w:rPr>
          <w:rFonts w:ascii="宋体" w:hAnsi="宋体" w:eastAsia="宋体" w:cs="宋体"/>
          <w:spacing w:val="3"/>
          <w:sz w:val="24"/>
          <w:szCs w:val="24"/>
        </w:rPr>
        <w:t>），</w:t>
      </w:r>
      <w:r>
        <w:rPr>
          <w:rFonts w:ascii="宋体" w:hAnsi="宋体" w:eastAsia="宋体" w:cs="宋体"/>
          <w:spacing w:val="-2"/>
          <w:sz w:val="24"/>
          <w:szCs w:val="24"/>
        </w:rPr>
        <w:t>采用明柜式。</w:t>
      </w:r>
    </w:p>
    <w:p>
      <w:pPr>
        <w:spacing w:before="104" w:line="220" w:lineRule="auto"/>
        <w:ind w:left="987"/>
        <w:rPr>
          <w:rFonts w:ascii="宋体" w:hAnsi="宋体" w:eastAsia="宋体" w:cs="宋体"/>
          <w:sz w:val="24"/>
          <w:szCs w:val="24"/>
        </w:rPr>
      </w:pPr>
      <w:r>
        <w:rPr>
          <w:rFonts w:ascii="Times New Roman" w:hAnsi="Times New Roman" w:eastAsia="Times New Roman" w:cs="Times New Roman"/>
          <w:spacing w:val="-3"/>
          <w:sz w:val="24"/>
          <w:szCs w:val="24"/>
        </w:rPr>
        <w:t>6</w:t>
      </w:r>
      <w:r>
        <w:rPr>
          <w:rFonts w:ascii="宋体" w:hAnsi="宋体" w:eastAsia="宋体" w:cs="宋体"/>
          <w:spacing w:val="-3"/>
          <w:sz w:val="24"/>
          <w:szCs w:val="24"/>
        </w:rPr>
        <w:t>、洞内路面结构</w:t>
      </w:r>
    </w:p>
    <w:p>
      <w:pPr>
        <w:spacing w:before="182" w:line="359" w:lineRule="auto"/>
        <w:ind w:left="507" w:right="494" w:firstLine="480"/>
        <w:rPr>
          <w:rFonts w:ascii="宋体" w:hAnsi="宋体" w:eastAsia="宋体" w:cs="宋体"/>
          <w:sz w:val="24"/>
          <w:szCs w:val="24"/>
        </w:rPr>
      </w:pPr>
      <w:r>
        <w:rPr>
          <w:rFonts w:ascii="宋体" w:hAnsi="宋体" w:eastAsia="宋体" w:cs="宋体"/>
          <w:spacing w:val="2"/>
          <w:sz w:val="24"/>
          <w:szCs w:val="24"/>
        </w:rPr>
        <w:t>主洞隧道路面（包括洞内紧急停车带路面</w:t>
      </w:r>
      <w:r>
        <w:rPr>
          <w:rFonts w:ascii="宋体" w:hAnsi="宋体" w:eastAsia="宋体" w:cs="宋体"/>
          <w:spacing w:val="11"/>
          <w:sz w:val="24"/>
          <w:szCs w:val="24"/>
        </w:rPr>
        <w:t>）：</w:t>
      </w:r>
      <w:r>
        <w:rPr>
          <w:rFonts w:ascii="宋体" w:hAnsi="宋体" w:eastAsia="宋体" w:cs="宋体"/>
          <w:spacing w:val="2"/>
          <w:sz w:val="24"/>
          <w:szCs w:val="24"/>
        </w:rPr>
        <w:t xml:space="preserve">采用复合路面结构，即 </w:t>
      </w:r>
      <w:r>
        <w:rPr>
          <w:rFonts w:ascii="Times New Roman" w:hAnsi="Times New Roman" w:eastAsia="Times New Roman" w:cs="Times New Roman"/>
          <w:spacing w:val="2"/>
          <w:sz w:val="24"/>
          <w:szCs w:val="24"/>
        </w:rPr>
        <w:t>4</w:t>
      </w:r>
      <w:r>
        <w:rPr>
          <w:rFonts w:ascii="Times New Roman" w:hAnsi="Times New Roman" w:eastAsia="Times New Roman" w:cs="Times New Roman"/>
          <w:sz w:val="24"/>
          <w:szCs w:val="24"/>
        </w:rPr>
        <w:t xml:space="preserve">cm </w:t>
      </w:r>
      <w:r>
        <w:rPr>
          <w:rFonts w:ascii="宋体" w:hAnsi="宋体" w:eastAsia="宋体" w:cs="宋体"/>
          <w:spacing w:val="-1"/>
          <w:sz w:val="24"/>
          <w:szCs w:val="24"/>
        </w:rPr>
        <w:t>厚细粒式沥青砼＋</w:t>
      </w:r>
      <w:r>
        <w:rPr>
          <w:rFonts w:ascii="Times New Roman" w:hAnsi="Times New Roman" w:eastAsia="Times New Roman" w:cs="Times New Roman"/>
          <w:spacing w:val="-1"/>
          <w:sz w:val="24"/>
          <w:szCs w:val="24"/>
        </w:rPr>
        <w:t>6cm</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厚中粒式沥青砼＋</w:t>
      </w:r>
      <w:r>
        <w:rPr>
          <w:rFonts w:ascii="Times New Roman" w:hAnsi="Times New Roman" w:eastAsia="Times New Roman" w:cs="Times New Roman"/>
          <w:spacing w:val="-1"/>
          <w:sz w:val="24"/>
          <w:szCs w:val="24"/>
        </w:rPr>
        <w:t>24cm</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厚配</w:t>
      </w:r>
      <w:r>
        <w:rPr>
          <w:rFonts w:ascii="宋体" w:hAnsi="宋体" w:eastAsia="宋体" w:cs="宋体"/>
          <w:spacing w:val="-2"/>
          <w:sz w:val="24"/>
          <w:szCs w:val="24"/>
        </w:rPr>
        <w:t>筋</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C40 </w:t>
      </w:r>
      <w:r>
        <w:rPr>
          <w:rFonts w:ascii="宋体" w:hAnsi="宋体" w:eastAsia="宋体" w:cs="宋体"/>
          <w:spacing w:val="-2"/>
          <w:sz w:val="24"/>
          <w:szCs w:val="24"/>
        </w:rPr>
        <w:t>砼。桥隧防水粘结层</w:t>
      </w:r>
      <w:r>
        <w:rPr>
          <w:rFonts w:ascii="宋体" w:hAnsi="宋体" w:eastAsia="宋体" w:cs="宋体"/>
          <w:sz w:val="24"/>
          <w:szCs w:val="24"/>
        </w:rPr>
        <w:t xml:space="preserve"> </w:t>
      </w:r>
      <w:r>
        <w:rPr>
          <w:rFonts w:ascii="宋体" w:hAnsi="宋体" w:eastAsia="宋体" w:cs="宋体"/>
          <w:spacing w:val="-12"/>
          <w:sz w:val="24"/>
          <w:szCs w:val="24"/>
        </w:rPr>
        <w:t>均采用橡胶复合改性沥青，</w:t>
      </w:r>
      <w:r>
        <w:rPr>
          <w:rFonts w:ascii="宋体" w:hAnsi="宋体" w:eastAsia="宋体" w:cs="宋体"/>
          <w:spacing w:val="41"/>
          <w:sz w:val="24"/>
          <w:szCs w:val="24"/>
        </w:rPr>
        <w:t xml:space="preserve"> </w:t>
      </w:r>
      <w:r>
        <w:rPr>
          <w:rFonts w:ascii="宋体" w:hAnsi="宋体" w:eastAsia="宋体" w:cs="宋体"/>
          <w:spacing w:val="-12"/>
          <w:sz w:val="24"/>
          <w:szCs w:val="24"/>
        </w:rPr>
        <w:t>且采用沥青同步碎石工艺。在非仰拱区段，</w:t>
      </w:r>
      <w:r>
        <w:rPr>
          <w:rFonts w:ascii="宋体" w:hAnsi="宋体" w:eastAsia="宋体" w:cs="宋体"/>
          <w:spacing w:val="34"/>
          <w:sz w:val="24"/>
          <w:szCs w:val="24"/>
        </w:rPr>
        <w:t xml:space="preserve"> </w:t>
      </w:r>
      <w:r>
        <w:rPr>
          <w:rFonts w:ascii="宋体" w:hAnsi="宋体" w:eastAsia="宋体" w:cs="宋体"/>
          <w:spacing w:val="-12"/>
          <w:sz w:val="24"/>
          <w:szCs w:val="24"/>
        </w:rPr>
        <w:t>路面下设</w:t>
      </w:r>
    </w:p>
    <w:p>
      <w:pPr>
        <w:spacing w:before="1" w:line="218" w:lineRule="auto"/>
        <w:ind w:left="504"/>
        <w:rPr>
          <w:rFonts w:ascii="宋体" w:hAnsi="宋体" w:eastAsia="宋体" w:cs="宋体"/>
          <w:sz w:val="24"/>
          <w:szCs w:val="24"/>
        </w:rPr>
      </w:pPr>
      <w:r>
        <w:rPr>
          <w:rFonts w:ascii="宋体" w:hAnsi="宋体" w:eastAsia="宋体" w:cs="宋体"/>
          <w:spacing w:val="-4"/>
          <w:sz w:val="24"/>
          <w:szCs w:val="24"/>
        </w:rPr>
        <w:t>置</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12~20cm</w:t>
      </w:r>
      <w:r>
        <w:rPr>
          <w:rFonts w:ascii="宋体" w:hAnsi="宋体" w:eastAsia="宋体" w:cs="宋体"/>
          <w:spacing w:val="-4"/>
          <w:sz w:val="24"/>
          <w:szCs w:val="24"/>
        </w:rPr>
        <w:t xml:space="preserve">（超高情况下为 </w:t>
      </w:r>
      <w:r>
        <w:rPr>
          <w:rFonts w:ascii="Times New Roman" w:hAnsi="Times New Roman" w:eastAsia="Times New Roman" w:cs="Times New Roman"/>
          <w:spacing w:val="-4"/>
          <w:sz w:val="24"/>
          <w:szCs w:val="24"/>
        </w:rPr>
        <w:t>15cm</w:t>
      </w:r>
      <w:r>
        <w:rPr>
          <w:rFonts w:ascii="宋体" w:hAnsi="宋体" w:eastAsia="宋体" w:cs="宋体"/>
          <w:spacing w:val="-4"/>
          <w:sz w:val="24"/>
          <w:szCs w:val="24"/>
        </w:rPr>
        <w:t>）厚</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 xml:space="preserve">C20 </w:t>
      </w:r>
      <w:r>
        <w:rPr>
          <w:rFonts w:ascii="宋体" w:hAnsi="宋体" w:eastAsia="宋体" w:cs="宋体"/>
          <w:spacing w:val="-4"/>
          <w:sz w:val="24"/>
          <w:szCs w:val="24"/>
        </w:rPr>
        <w:t>素砼垫层兼作找</w:t>
      </w:r>
      <w:r>
        <w:rPr>
          <w:rFonts w:ascii="宋体" w:hAnsi="宋体" w:eastAsia="宋体" w:cs="宋体"/>
          <w:spacing w:val="-5"/>
          <w:sz w:val="24"/>
          <w:szCs w:val="24"/>
        </w:rPr>
        <w:t>平层。</w:t>
      </w:r>
    </w:p>
    <w:p>
      <w:pPr>
        <w:spacing w:before="183" w:line="466" w:lineRule="exact"/>
        <w:ind w:left="500"/>
        <w:rPr>
          <w:rFonts w:ascii="宋体" w:hAnsi="宋体" w:eastAsia="宋体" w:cs="宋体"/>
          <w:sz w:val="24"/>
          <w:szCs w:val="24"/>
        </w:rPr>
      </w:pPr>
      <w:r>
        <w:rPr>
          <w:rFonts w:ascii="Times New Roman" w:hAnsi="Times New Roman" w:eastAsia="Times New Roman" w:cs="Times New Roman"/>
          <w:b/>
          <w:bCs/>
          <w:spacing w:val="-2"/>
          <w:position w:val="17"/>
          <w:sz w:val="24"/>
          <w:szCs w:val="24"/>
        </w:rPr>
        <w:t>3.2.6</w:t>
      </w:r>
      <w:r>
        <w:rPr>
          <w:rFonts w:ascii="Times New Roman" w:hAnsi="Times New Roman" w:eastAsia="Times New Roman" w:cs="Times New Roman"/>
          <w:b/>
          <w:bCs/>
          <w:spacing w:val="8"/>
          <w:position w:val="17"/>
          <w:sz w:val="24"/>
          <w:szCs w:val="24"/>
        </w:rPr>
        <w:t xml:space="preserve">  </w:t>
      </w:r>
      <w:r>
        <w:rPr>
          <w:rFonts w:ascii="宋体" w:hAnsi="宋体" w:eastAsia="宋体" w:cs="宋体"/>
          <w:spacing w:val="-2"/>
          <w:position w:val="17"/>
          <w:sz w:val="24"/>
          <w:szCs w:val="24"/>
          <w14:textOutline w14:w="4354" w14:cap="flat" w14:cmpd="sng">
            <w14:solidFill>
              <w14:srgbClr w14:val="000000"/>
            </w14:solidFill>
            <w14:prstDash w14:val="solid"/>
            <w14:miter w14:val="0"/>
          </w14:textOutline>
        </w:rPr>
        <w:t>交叉工程</w:t>
      </w:r>
    </w:p>
    <w:p>
      <w:pPr>
        <w:spacing w:before="1" w:line="220" w:lineRule="auto"/>
        <w:ind w:left="500"/>
        <w:rPr>
          <w:rFonts w:ascii="宋体" w:hAnsi="宋体" w:eastAsia="宋体" w:cs="宋体"/>
          <w:sz w:val="24"/>
          <w:szCs w:val="24"/>
        </w:rPr>
      </w:pPr>
      <w:r>
        <w:fldChar w:fldCharType="begin"/>
      </w:r>
      <w:r>
        <w:instrText xml:space="preserve"> HYPERLINK "3.2.6.1" </w:instrText>
      </w:r>
      <w:r>
        <w:fldChar w:fldCharType="separate"/>
      </w:r>
      <w:r>
        <w:rPr>
          <w:rFonts w:ascii="Times New Roman" w:hAnsi="Times New Roman" w:eastAsia="Times New Roman" w:cs="Times New Roman"/>
          <w:b/>
          <w:bCs/>
          <w:sz w:val="24"/>
          <w:szCs w:val="24"/>
        </w:rPr>
        <w:t>3.2.6.1</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平面交叉</w:t>
      </w:r>
    </w:p>
    <w:p>
      <w:pPr>
        <w:spacing w:before="181" w:line="466" w:lineRule="exact"/>
        <w:ind w:left="987"/>
        <w:rPr>
          <w:rFonts w:ascii="宋体" w:hAnsi="宋体" w:eastAsia="宋体" w:cs="宋体"/>
          <w:sz w:val="24"/>
          <w:szCs w:val="24"/>
        </w:rPr>
      </w:pPr>
      <w:r>
        <w:rPr>
          <w:rFonts w:ascii="宋体" w:hAnsi="宋体" w:eastAsia="宋体" w:cs="宋体"/>
          <w:spacing w:val="-6"/>
          <w:position w:val="17"/>
          <w:sz w:val="24"/>
          <w:szCs w:val="24"/>
        </w:rPr>
        <w:t>本项目全线共设大型平面交叉口</w:t>
      </w:r>
      <w:r>
        <w:rPr>
          <w:rFonts w:ascii="宋体" w:hAnsi="宋体" w:eastAsia="宋体" w:cs="宋体"/>
          <w:spacing w:val="-50"/>
          <w:position w:val="17"/>
          <w:sz w:val="24"/>
          <w:szCs w:val="24"/>
        </w:rPr>
        <w:t xml:space="preserve"> </w:t>
      </w:r>
      <w:r>
        <w:rPr>
          <w:rFonts w:ascii="Times New Roman" w:hAnsi="Times New Roman" w:eastAsia="Times New Roman" w:cs="Times New Roman"/>
          <w:spacing w:val="-6"/>
          <w:position w:val="17"/>
          <w:sz w:val="24"/>
          <w:szCs w:val="24"/>
        </w:rPr>
        <w:t>3</w:t>
      </w:r>
      <w:r>
        <w:rPr>
          <w:rFonts w:ascii="Times New Roman" w:hAnsi="Times New Roman" w:eastAsia="Times New Roman" w:cs="Times New Roman"/>
          <w:spacing w:val="15"/>
          <w:position w:val="17"/>
          <w:sz w:val="24"/>
          <w:szCs w:val="24"/>
        </w:rPr>
        <w:t xml:space="preserve"> </w:t>
      </w:r>
      <w:r>
        <w:rPr>
          <w:rFonts w:ascii="宋体" w:hAnsi="宋体" w:eastAsia="宋体" w:cs="宋体"/>
          <w:spacing w:val="-6"/>
          <w:position w:val="17"/>
          <w:sz w:val="24"/>
          <w:szCs w:val="24"/>
        </w:rPr>
        <w:t>处，</w:t>
      </w:r>
      <w:r>
        <w:rPr>
          <w:rFonts w:ascii="宋体" w:hAnsi="宋体" w:eastAsia="宋体" w:cs="宋体"/>
          <w:spacing w:val="-69"/>
          <w:position w:val="17"/>
          <w:sz w:val="24"/>
          <w:szCs w:val="24"/>
        </w:rPr>
        <w:t xml:space="preserve"> </w:t>
      </w:r>
      <w:r>
        <w:rPr>
          <w:rFonts w:ascii="宋体" w:hAnsi="宋体" w:eastAsia="宋体" w:cs="宋体"/>
          <w:spacing w:val="-6"/>
          <w:position w:val="17"/>
          <w:sz w:val="24"/>
          <w:szCs w:val="24"/>
        </w:rPr>
        <w:t>乡村道路平交口</w:t>
      </w:r>
      <w:r>
        <w:rPr>
          <w:rFonts w:ascii="宋体" w:hAnsi="宋体" w:eastAsia="宋体" w:cs="宋体"/>
          <w:spacing w:val="-50"/>
          <w:position w:val="17"/>
          <w:sz w:val="24"/>
          <w:szCs w:val="24"/>
        </w:rPr>
        <w:t xml:space="preserve"> </w:t>
      </w:r>
      <w:r>
        <w:rPr>
          <w:rFonts w:ascii="Times New Roman" w:hAnsi="Times New Roman" w:eastAsia="Times New Roman" w:cs="Times New Roman"/>
          <w:spacing w:val="-7"/>
          <w:position w:val="17"/>
          <w:sz w:val="24"/>
          <w:szCs w:val="24"/>
        </w:rPr>
        <w:t>3</w:t>
      </w:r>
      <w:r>
        <w:rPr>
          <w:rFonts w:ascii="Times New Roman" w:hAnsi="Times New Roman" w:eastAsia="Times New Roman" w:cs="Times New Roman"/>
          <w:spacing w:val="14"/>
          <w:position w:val="17"/>
          <w:sz w:val="24"/>
          <w:szCs w:val="24"/>
        </w:rPr>
        <w:t xml:space="preserve"> </w:t>
      </w:r>
      <w:r>
        <w:rPr>
          <w:rFonts w:ascii="宋体" w:hAnsi="宋体" w:eastAsia="宋体" w:cs="宋体"/>
          <w:spacing w:val="-7"/>
          <w:position w:val="17"/>
          <w:sz w:val="24"/>
          <w:szCs w:val="24"/>
        </w:rPr>
        <w:t>处。主要平面交叉</w:t>
      </w:r>
    </w:p>
    <w:p>
      <w:pPr>
        <w:spacing w:before="1" w:line="219" w:lineRule="auto"/>
        <w:ind w:left="510"/>
        <w:rPr>
          <w:rFonts w:ascii="宋体" w:hAnsi="宋体" w:eastAsia="宋体" w:cs="宋体"/>
          <w:sz w:val="24"/>
          <w:szCs w:val="24"/>
        </w:rPr>
      </w:pPr>
      <w:r>
        <w:rPr>
          <w:rFonts w:ascii="宋体" w:hAnsi="宋体" w:eastAsia="宋体" w:cs="宋体"/>
          <w:spacing w:val="-7"/>
          <w:sz w:val="24"/>
          <w:szCs w:val="24"/>
        </w:rPr>
        <w:t>设置见下表。</w:t>
      </w:r>
    </w:p>
    <w:p>
      <w:pPr>
        <w:spacing w:before="183" w:line="220" w:lineRule="auto"/>
        <w:ind w:left="2939"/>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3.2-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平面交叉设置一览表</w:t>
      </w:r>
    </w:p>
    <w:p>
      <w:pPr>
        <w:spacing w:line="143" w:lineRule="exact"/>
      </w:pPr>
    </w:p>
    <w:tbl>
      <w:tblPr>
        <w:tblStyle w:val="5"/>
        <w:tblW w:w="9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1041"/>
        <w:gridCol w:w="1135"/>
        <w:gridCol w:w="492"/>
        <w:gridCol w:w="1115"/>
        <w:gridCol w:w="495"/>
        <w:gridCol w:w="1113"/>
        <w:gridCol w:w="765"/>
        <w:gridCol w:w="898"/>
        <w:gridCol w:w="628"/>
        <w:gridCol w:w="11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99" w:type="dxa"/>
            <w:vMerge w:val="restart"/>
            <w:tcBorders>
              <w:bottom w:val="nil"/>
            </w:tcBorders>
            <w:textDirection w:val="tbRlV"/>
            <w:vAlign w:val="top"/>
          </w:tcPr>
          <w:p>
            <w:pPr>
              <w:pStyle w:val="6"/>
              <w:spacing w:before="143" w:line="211" w:lineRule="auto"/>
              <w:ind w:left="531"/>
            </w:pPr>
            <w:r>
              <w:rPr>
                <w:spacing w:val="1"/>
              </w:rPr>
              <w:t>序</w:t>
            </w:r>
            <w:r>
              <w:rPr>
                <w:spacing w:val="-5"/>
              </w:rPr>
              <w:t xml:space="preserve"> </w:t>
            </w:r>
            <w:r>
              <w:rPr>
                <w:spacing w:val="1"/>
              </w:rPr>
              <w:t>号</w:t>
            </w:r>
          </w:p>
        </w:tc>
        <w:tc>
          <w:tcPr>
            <w:tcW w:w="1041" w:type="dxa"/>
            <w:vMerge w:val="restart"/>
            <w:tcBorders>
              <w:bottom w:val="nil"/>
            </w:tcBorders>
            <w:vAlign w:val="top"/>
          </w:tcPr>
          <w:p>
            <w:pPr>
              <w:spacing w:line="460" w:lineRule="auto"/>
              <w:rPr>
                <w:rFonts w:ascii="Arial"/>
                <w:sz w:val="21"/>
              </w:rPr>
            </w:pPr>
          </w:p>
          <w:p>
            <w:pPr>
              <w:pStyle w:val="6"/>
              <w:spacing w:before="68" w:line="248" w:lineRule="auto"/>
              <w:ind w:left="423" w:right="203" w:hanging="196"/>
            </w:pPr>
            <w:r>
              <w:rPr>
                <w:spacing w:val="-9"/>
              </w:rPr>
              <w:t>中心桩</w:t>
            </w:r>
            <w:r>
              <w:rPr>
                <w:spacing w:val="1"/>
              </w:rPr>
              <w:t xml:space="preserve"> </w:t>
            </w:r>
            <w:r>
              <w:t>号</w:t>
            </w:r>
          </w:p>
        </w:tc>
        <w:tc>
          <w:tcPr>
            <w:tcW w:w="1135" w:type="dxa"/>
            <w:vMerge w:val="restart"/>
            <w:tcBorders>
              <w:bottom w:val="nil"/>
            </w:tcBorders>
            <w:vAlign w:val="top"/>
          </w:tcPr>
          <w:p>
            <w:pPr>
              <w:spacing w:line="458" w:lineRule="auto"/>
              <w:rPr>
                <w:rFonts w:ascii="Arial"/>
                <w:sz w:val="21"/>
              </w:rPr>
            </w:pPr>
          </w:p>
          <w:p>
            <w:pPr>
              <w:pStyle w:val="6"/>
              <w:spacing w:before="69" w:line="249" w:lineRule="auto"/>
              <w:ind w:left="363" w:right="145" w:hanging="213"/>
            </w:pPr>
            <w:r>
              <w:rPr>
                <w:spacing w:val="-2"/>
              </w:rPr>
              <w:t>被交叉路</w:t>
            </w:r>
            <w:r>
              <w:rPr>
                <w:spacing w:val="1"/>
              </w:rPr>
              <w:t xml:space="preserve"> </w:t>
            </w:r>
            <w:r>
              <w:rPr>
                <w:spacing w:val="-3"/>
              </w:rPr>
              <w:t>名称</w:t>
            </w:r>
          </w:p>
        </w:tc>
        <w:tc>
          <w:tcPr>
            <w:tcW w:w="1607" w:type="dxa"/>
            <w:gridSpan w:val="2"/>
            <w:vAlign w:val="top"/>
          </w:tcPr>
          <w:p>
            <w:pPr>
              <w:pStyle w:val="6"/>
              <w:spacing w:before="56" w:line="248" w:lineRule="auto"/>
              <w:ind w:left="702" w:right="172" w:hanging="527"/>
            </w:pPr>
            <w:r>
              <w:rPr>
                <w:spacing w:val="-1"/>
              </w:rPr>
              <w:t>被交路现有标</w:t>
            </w:r>
            <w:r>
              <w:t xml:space="preserve"> 准</w:t>
            </w:r>
          </w:p>
        </w:tc>
        <w:tc>
          <w:tcPr>
            <w:tcW w:w="2373" w:type="dxa"/>
            <w:gridSpan w:val="3"/>
            <w:vAlign w:val="top"/>
          </w:tcPr>
          <w:p>
            <w:pPr>
              <w:pStyle w:val="6"/>
              <w:spacing w:before="211" w:line="221" w:lineRule="auto"/>
              <w:ind w:left="457"/>
            </w:pPr>
            <w:r>
              <w:rPr>
                <w:spacing w:val="-1"/>
              </w:rPr>
              <w:t>被交路改建标准</w:t>
            </w:r>
          </w:p>
        </w:tc>
        <w:tc>
          <w:tcPr>
            <w:tcW w:w="898" w:type="dxa"/>
            <w:vMerge w:val="restart"/>
            <w:tcBorders>
              <w:bottom w:val="nil"/>
            </w:tcBorders>
            <w:vAlign w:val="top"/>
          </w:tcPr>
          <w:p>
            <w:pPr>
              <w:pStyle w:val="6"/>
              <w:spacing w:before="218" w:line="248" w:lineRule="auto"/>
              <w:ind w:left="349" w:right="126" w:hanging="204"/>
            </w:pPr>
            <w:r>
              <w:rPr>
                <w:spacing w:val="-3"/>
              </w:rPr>
              <w:t>交叉角</w:t>
            </w:r>
            <w:r>
              <w:t xml:space="preserve"> 度</w:t>
            </w:r>
          </w:p>
        </w:tc>
        <w:tc>
          <w:tcPr>
            <w:tcW w:w="628" w:type="dxa"/>
            <w:vMerge w:val="restart"/>
            <w:tcBorders>
              <w:bottom w:val="nil"/>
            </w:tcBorders>
            <w:textDirection w:val="tbRlV"/>
            <w:vAlign w:val="top"/>
          </w:tcPr>
          <w:p>
            <w:pPr>
              <w:pStyle w:val="6"/>
              <w:spacing w:before="203" w:line="207" w:lineRule="auto"/>
              <w:ind w:left="219"/>
            </w:pPr>
            <w:r>
              <w:t>交 叉</w:t>
            </w:r>
            <w:r>
              <w:rPr>
                <w:spacing w:val="-5"/>
              </w:rPr>
              <w:t xml:space="preserve"> </w:t>
            </w:r>
            <w:r>
              <w:t>形</w:t>
            </w:r>
            <w:r>
              <w:rPr>
                <w:spacing w:val="-4"/>
              </w:rPr>
              <w:t xml:space="preserve"> </w:t>
            </w:r>
            <w:r>
              <w:t>式</w:t>
            </w:r>
          </w:p>
        </w:tc>
        <w:tc>
          <w:tcPr>
            <w:tcW w:w="1113" w:type="dxa"/>
            <w:vMerge w:val="restart"/>
            <w:tcBorders>
              <w:bottom w:val="nil"/>
            </w:tcBorders>
            <w:vAlign w:val="top"/>
          </w:tcPr>
          <w:p>
            <w:pPr>
              <w:spacing w:line="307" w:lineRule="auto"/>
              <w:rPr>
                <w:rFonts w:ascii="Arial"/>
                <w:sz w:val="21"/>
              </w:rPr>
            </w:pPr>
          </w:p>
          <w:p>
            <w:pPr>
              <w:spacing w:line="308" w:lineRule="auto"/>
              <w:rPr>
                <w:rFonts w:ascii="Arial"/>
                <w:sz w:val="21"/>
              </w:rPr>
            </w:pPr>
          </w:p>
          <w:p>
            <w:pPr>
              <w:pStyle w:val="6"/>
              <w:spacing w:before="68" w:line="222" w:lineRule="auto"/>
              <w:ind w:left="353"/>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99" w:type="dxa"/>
            <w:vMerge w:val="continue"/>
            <w:tcBorders>
              <w:top w:val="nil"/>
              <w:bottom w:val="nil"/>
            </w:tcBorders>
            <w:textDirection w:val="tbRlV"/>
            <w:vAlign w:val="top"/>
          </w:tcPr>
          <w:p>
            <w:pPr>
              <w:rPr>
                <w:rFonts w:ascii="Arial"/>
                <w:sz w:val="21"/>
              </w:rPr>
            </w:pPr>
          </w:p>
        </w:tc>
        <w:tc>
          <w:tcPr>
            <w:tcW w:w="1041" w:type="dxa"/>
            <w:vMerge w:val="continue"/>
            <w:tcBorders>
              <w:top w:val="nil"/>
              <w:bottom w:val="nil"/>
            </w:tcBorders>
            <w:vAlign w:val="top"/>
          </w:tcPr>
          <w:p>
            <w:pPr>
              <w:rPr>
                <w:rFonts w:ascii="Arial"/>
                <w:sz w:val="21"/>
              </w:rPr>
            </w:pPr>
          </w:p>
        </w:tc>
        <w:tc>
          <w:tcPr>
            <w:tcW w:w="1135" w:type="dxa"/>
            <w:vMerge w:val="continue"/>
            <w:tcBorders>
              <w:top w:val="nil"/>
              <w:bottom w:val="nil"/>
            </w:tcBorders>
            <w:vAlign w:val="top"/>
          </w:tcPr>
          <w:p>
            <w:pPr>
              <w:rPr>
                <w:rFonts w:ascii="Arial"/>
                <w:sz w:val="21"/>
              </w:rPr>
            </w:pPr>
          </w:p>
        </w:tc>
        <w:tc>
          <w:tcPr>
            <w:tcW w:w="492" w:type="dxa"/>
            <w:vMerge w:val="restart"/>
            <w:tcBorders>
              <w:bottom w:val="nil"/>
            </w:tcBorders>
            <w:textDirection w:val="tbRlV"/>
            <w:vAlign w:val="top"/>
          </w:tcPr>
          <w:p>
            <w:pPr>
              <w:pStyle w:val="6"/>
              <w:spacing w:before="140" w:line="207" w:lineRule="auto"/>
              <w:ind w:left="210"/>
            </w:pPr>
            <w:r>
              <w:rPr>
                <w:spacing w:val="1"/>
              </w:rPr>
              <w:t>等</w:t>
            </w:r>
            <w:r>
              <w:rPr>
                <w:spacing w:val="-5"/>
              </w:rPr>
              <w:t xml:space="preserve"> </w:t>
            </w:r>
            <w:r>
              <w:rPr>
                <w:spacing w:val="1"/>
              </w:rPr>
              <w:t>级</w:t>
            </w:r>
          </w:p>
        </w:tc>
        <w:tc>
          <w:tcPr>
            <w:tcW w:w="1115" w:type="dxa"/>
            <w:vAlign w:val="top"/>
          </w:tcPr>
          <w:p>
            <w:pPr>
              <w:pStyle w:val="6"/>
              <w:spacing w:before="55" w:line="221" w:lineRule="auto"/>
              <w:ind w:left="144"/>
            </w:pPr>
            <w:r>
              <w:rPr>
                <w:spacing w:val="-3"/>
              </w:rPr>
              <w:t>设计速度</w:t>
            </w:r>
          </w:p>
        </w:tc>
        <w:tc>
          <w:tcPr>
            <w:tcW w:w="495" w:type="dxa"/>
            <w:vMerge w:val="restart"/>
            <w:tcBorders>
              <w:bottom w:val="nil"/>
            </w:tcBorders>
            <w:textDirection w:val="tbRlV"/>
            <w:vAlign w:val="top"/>
          </w:tcPr>
          <w:p>
            <w:pPr>
              <w:pStyle w:val="6"/>
              <w:spacing w:before="140" w:line="207" w:lineRule="auto"/>
              <w:ind w:left="210"/>
            </w:pPr>
            <w:r>
              <w:rPr>
                <w:spacing w:val="1"/>
              </w:rPr>
              <w:t>等</w:t>
            </w:r>
            <w:r>
              <w:rPr>
                <w:spacing w:val="-5"/>
              </w:rPr>
              <w:t xml:space="preserve"> </w:t>
            </w:r>
            <w:r>
              <w:rPr>
                <w:spacing w:val="1"/>
              </w:rPr>
              <w:t>级</w:t>
            </w:r>
          </w:p>
        </w:tc>
        <w:tc>
          <w:tcPr>
            <w:tcW w:w="1113" w:type="dxa"/>
            <w:vAlign w:val="top"/>
          </w:tcPr>
          <w:p>
            <w:pPr>
              <w:pStyle w:val="6"/>
              <w:spacing w:before="55" w:line="221" w:lineRule="auto"/>
              <w:ind w:left="145"/>
            </w:pPr>
            <w:r>
              <w:rPr>
                <w:spacing w:val="-3"/>
              </w:rPr>
              <w:t>设计速度</w:t>
            </w:r>
          </w:p>
        </w:tc>
        <w:tc>
          <w:tcPr>
            <w:tcW w:w="765" w:type="dxa"/>
            <w:vMerge w:val="restart"/>
            <w:tcBorders>
              <w:bottom w:val="nil"/>
            </w:tcBorders>
            <w:vAlign w:val="top"/>
          </w:tcPr>
          <w:p>
            <w:pPr>
              <w:pStyle w:val="6"/>
              <w:spacing w:before="54" w:line="312" w:lineRule="exact"/>
              <w:ind w:left="180"/>
            </w:pPr>
            <w:r>
              <w:rPr>
                <w:spacing w:val="-3"/>
                <w:position w:val="7"/>
              </w:rPr>
              <w:t>交通</w:t>
            </w:r>
          </w:p>
          <w:p>
            <w:pPr>
              <w:pStyle w:val="6"/>
              <w:spacing w:line="220" w:lineRule="auto"/>
              <w:ind w:left="181"/>
            </w:pPr>
            <w:r>
              <w:rPr>
                <w:spacing w:val="-3"/>
              </w:rPr>
              <w:t>管理</w:t>
            </w:r>
          </w:p>
          <w:p>
            <w:pPr>
              <w:pStyle w:val="6"/>
              <w:spacing w:before="60" w:line="220" w:lineRule="auto"/>
              <w:ind w:left="177"/>
            </w:pPr>
            <w:r>
              <w:rPr>
                <w:spacing w:val="-2"/>
              </w:rPr>
              <w:t>方式</w:t>
            </w:r>
          </w:p>
        </w:tc>
        <w:tc>
          <w:tcPr>
            <w:tcW w:w="898" w:type="dxa"/>
            <w:vMerge w:val="continue"/>
            <w:tcBorders>
              <w:top w:val="nil"/>
            </w:tcBorders>
            <w:vAlign w:val="top"/>
          </w:tcPr>
          <w:p>
            <w:pPr>
              <w:rPr>
                <w:rFonts w:ascii="Arial"/>
                <w:sz w:val="21"/>
              </w:rPr>
            </w:pPr>
          </w:p>
        </w:tc>
        <w:tc>
          <w:tcPr>
            <w:tcW w:w="628" w:type="dxa"/>
            <w:vMerge w:val="continue"/>
            <w:tcBorders>
              <w:top w:val="nil"/>
              <w:bottom w:val="nil"/>
            </w:tcBorders>
            <w:textDirection w:val="tbRlV"/>
            <w:vAlign w:val="top"/>
          </w:tcPr>
          <w:p>
            <w:pPr>
              <w:rPr>
                <w:rFonts w:ascii="Arial"/>
                <w:sz w:val="21"/>
              </w:rPr>
            </w:pPr>
          </w:p>
        </w:tc>
        <w:tc>
          <w:tcPr>
            <w:tcW w:w="11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499" w:type="dxa"/>
            <w:vMerge w:val="continue"/>
            <w:tcBorders>
              <w:top w:val="nil"/>
            </w:tcBorders>
            <w:textDirection w:val="tbRlV"/>
            <w:vAlign w:val="top"/>
          </w:tcPr>
          <w:p>
            <w:pPr>
              <w:rPr>
                <w:rFonts w:ascii="Arial"/>
                <w:sz w:val="21"/>
              </w:rPr>
            </w:pPr>
          </w:p>
        </w:tc>
        <w:tc>
          <w:tcPr>
            <w:tcW w:w="1041" w:type="dxa"/>
            <w:vMerge w:val="continue"/>
            <w:tcBorders>
              <w:top w:val="nil"/>
            </w:tcBorders>
            <w:vAlign w:val="top"/>
          </w:tcPr>
          <w:p>
            <w:pPr>
              <w:rPr>
                <w:rFonts w:ascii="Arial"/>
                <w:sz w:val="21"/>
              </w:rPr>
            </w:pPr>
          </w:p>
        </w:tc>
        <w:tc>
          <w:tcPr>
            <w:tcW w:w="1135" w:type="dxa"/>
            <w:vMerge w:val="continue"/>
            <w:tcBorders>
              <w:top w:val="nil"/>
            </w:tcBorders>
            <w:vAlign w:val="top"/>
          </w:tcPr>
          <w:p>
            <w:pPr>
              <w:rPr>
                <w:rFonts w:ascii="Arial"/>
                <w:sz w:val="21"/>
              </w:rPr>
            </w:pPr>
          </w:p>
        </w:tc>
        <w:tc>
          <w:tcPr>
            <w:tcW w:w="492" w:type="dxa"/>
            <w:vMerge w:val="continue"/>
            <w:tcBorders>
              <w:top w:val="nil"/>
            </w:tcBorders>
            <w:textDirection w:val="tbRlV"/>
            <w:vAlign w:val="top"/>
          </w:tcPr>
          <w:p>
            <w:pPr>
              <w:rPr>
                <w:rFonts w:ascii="Arial"/>
                <w:sz w:val="21"/>
              </w:rPr>
            </w:pPr>
          </w:p>
        </w:tc>
        <w:tc>
          <w:tcPr>
            <w:tcW w:w="1115" w:type="dxa"/>
            <w:vAlign w:val="top"/>
          </w:tcPr>
          <w:p>
            <w:pPr>
              <w:pStyle w:val="6"/>
              <w:spacing w:before="204" w:line="281" w:lineRule="exact"/>
              <w:ind w:left="143"/>
            </w:pPr>
            <w:r>
              <w:rPr>
                <w:spacing w:val="-3"/>
                <w:position w:val="1"/>
              </w:rPr>
              <w:t>（</w:t>
            </w:r>
            <w:r>
              <w:rPr>
                <w:rFonts w:ascii="Times New Roman" w:hAnsi="Times New Roman" w:eastAsia="Times New Roman" w:cs="Times New Roman"/>
                <w:spacing w:val="-3"/>
                <w:position w:val="1"/>
              </w:rPr>
              <w:t>km/h</w:t>
            </w:r>
            <w:r>
              <w:rPr>
                <w:spacing w:val="-3"/>
                <w:position w:val="1"/>
              </w:rPr>
              <w:t>）</w:t>
            </w:r>
          </w:p>
        </w:tc>
        <w:tc>
          <w:tcPr>
            <w:tcW w:w="495" w:type="dxa"/>
            <w:vMerge w:val="continue"/>
            <w:tcBorders>
              <w:top w:val="nil"/>
            </w:tcBorders>
            <w:textDirection w:val="tbRlV"/>
            <w:vAlign w:val="top"/>
          </w:tcPr>
          <w:p>
            <w:pPr>
              <w:rPr>
                <w:rFonts w:ascii="Arial"/>
                <w:sz w:val="21"/>
              </w:rPr>
            </w:pPr>
          </w:p>
        </w:tc>
        <w:tc>
          <w:tcPr>
            <w:tcW w:w="1113" w:type="dxa"/>
            <w:vAlign w:val="top"/>
          </w:tcPr>
          <w:p>
            <w:pPr>
              <w:pStyle w:val="6"/>
              <w:spacing w:before="204" w:line="281" w:lineRule="exact"/>
              <w:ind w:left="143"/>
            </w:pPr>
            <w:r>
              <w:rPr>
                <w:spacing w:val="-3"/>
                <w:position w:val="1"/>
              </w:rPr>
              <w:t>（</w:t>
            </w:r>
            <w:r>
              <w:rPr>
                <w:rFonts w:ascii="Times New Roman" w:hAnsi="Times New Roman" w:eastAsia="Times New Roman" w:cs="Times New Roman"/>
                <w:spacing w:val="-3"/>
                <w:position w:val="1"/>
              </w:rPr>
              <w:t>km/h</w:t>
            </w:r>
            <w:r>
              <w:rPr>
                <w:spacing w:val="-3"/>
                <w:position w:val="1"/>
              </w:rPr>
              <w:t>）</w:t>
            </w:r>
          </w:p>
        </w:tc>
        <w:tc>
          <w:tcPr>
            <w:tcW w:w="765" w:type="dxa"/>
            <w:vMerge w:val="continue"/>
            <w:tcBorders>
              <w:top w:val="nil"/>
            </w:tcBorders>
            <w:vAlign w:val="top"/>
          </w:tcPr>
          <w:p>
            <w:pPr>
              <w:rPr>
                <w:rFonts w:ascii="Arial"/>
                <w:sz w:val="21"/>
              </w:rPr>
            </w:pPr>
          </w:p>
        </w:tc>
        <w:tc>
          <w:tcPr>
            <w:tcW w:w="898" w:type="dxa"/>
            <w:vAlign w:val="top"/>
          </w:tcPr>
          <w:p>
            <w:pPr>
              <w:pStyle w:val="6"/>
              <w:spacing w:before="205" w:line="223" w:lineRule="auto"/>
              <w:ind w:left="314"/>
            </w:pPr>
            <w:r>
              <w:rPr>
                <w:spacing w:val="8"/>
              </w:rPr>
              <w:t>(</w:t>
            </w:r>
            <w:r>
              <w:rPr>
                <w:spacing w:val="-63"/>
              </w:rPr>
              <w:t xml:space="preserve"> </w:t>
            </w:r>
            <w:r>
              <w:rPr>
                <w:rFonts w:ascii="Times New Roman" w:hAnsi="Times New Roman" w:eastAsia="Times New Roman" w:cs="Times New Roman"/>
                <w:spacing w:val="8"/>
              </w:rPr>
              <w:t>°</w:t>
            </w:r>
            <w:r>
              <w:rPr>
                <w:spacing w:val="8"/>
              </w:rPr>
              <w:t>)</w:t>
            </w:r>
          </w:p>
        </w:tc>
        <w:tc>
          <w:tcPr>
            <w:tcW w:w="628" w:type="dxa"/>
            <w:vMerge w:val="continue"/>
            <w:tcBorders>
              <w:top w:val="nil"/>
            </w:tcBorders>
            <w:textDirection w:val="tbRlV"/>
            <w:vAlign w:val="top"/>
          </w:tcPr>
          <w:p>
            <w:pPr>
              <w:rPr>
                <w:rFonts w:ascii="Arial"/>
                <w:sz w:val="21"/>
              </w:rPr>
            </w:pPr>
          </w:p>
        </w:tc>
        <w:tc>
          <w:tcPr>
            <w:tcW w:w="111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99" w:type="dxa"/>
            <w:vAlign w:val="top"/>
          </w:tcPr>
          <w:p>
            <w:pPr>
              <w:spacing w:before="249" w:line="187" w:lineRule="auto"/>
              <w:ind w:left="21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041" w:type="dxa"/>
            <w:vAlign w:val="top"/>
          </w:tcPr>
          <w:p>
            <w:pPr>
              <w:spacing w:before="93" w:line="312" w:lineRule="exact"/>
              <w:ind w:left="162"/>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L1K00+</w:t>
            </w:r>
          </w:p>
          <w:p>
            <w:pPr>
              <w:spacing w:line="186"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395.000</w:t>
            </w:r>
          </w:p>
        </w:tc>
        <w:tc>
          <w:tcPr>
            <w:tcW w:w="1135" w:type="dxa"/>
            <w:vAlign w:val="top"/>
          </w:tcPr>
          <w:p>
            <w:pPr>
              <w:pStyle w:val="6"/>
              <w:spacing w:before="210" w:line="220" w:lineRule="auto"/>
              <w:ind w:left="362"/>
            </w:pPr>
            <w:r>
              <w:rPr>
                <w:spacing w:val="-2"/>
              </w:rPr>
              <w:t>村道</w:t>
            </w:r>
          </w:p>
        </w:tc>
        <w:tc>
          <w:tcPr>
            <w:tcW w:w="492" w:type="dxa"/>
            <w:textDirection w:val="tbRlV"/>
            <w:vAlign w:val="top"/>
          </w:tcPr>
          <w:p>
            <w:pPr>
              <w:pStyle w:val="6"/>
              <w:spacing w:before="140" w:line="207" w:lineRule="auto"/>
              <w:ind w:left="54"/>
            </w:pPr>
            <w:r>
              <w:rPr>
                <w:spacing w:val="1"/>
              </w:rPr>
              <w:t>等</w:t>
            </w:r>
            <w:r>
              <w:rPr>
                <w:spacing w:val="-5"/>
              </w:rPr>
              <w:t xml:space="preserve"> </w:t>
            </w:r>
            <w:r>
              <w:rPr>
                <w:spacing w:val="1"/>
              </w:rPr>
              <w:t>外</w:t>
            </w:r>
          </w:p>
        </w:tc>
        <w:tc>
          <w:tcPr>
            <w:tcW w:w="1115" w:type="dxa"/>
            <w:vAlign w:val="top"/>
          </w:tcPr>
          <w:p>
            <w:pPr>
              <w:spacing w:before="249" w:line="187"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495" w:type="dxa"/>
            <w:textDirection w:val="tbRlV"/>
            <w:vAlign w:val="top"/>
          </w:tcPr>
          <w:p>
            <w:pPr>
              <w:pStyle w:val="6"/>
              <w:spacing w:before="140" w:line="207" w:lineRule="auto"/>
              <w:ind w:left="54"/>
            </w:pPr>
            <w:r>
              <w:rPr>
                <w:spacing w:val="1"/>
              </w:rPr>
              <w:t>等</w:t>
            </w:r>
            <w:r>
              <w:rPr>
                <w:spacing w:val="-5"/>
              </w:rPr>
              <w:t xml:space="preserve"> </w:t>
            </w:r>
            <w:r>
              <w:rPr>
                <w:spacing w:val="1"/>
              </w:rPr>
              <w:t>外</w:t>
            </w:r>
          </w:p>
        </w:tc>
        <w:tc>
          <w:tcPr>
            <w:tcW w:w="1113" w:type="dxa"/>
            <w:vAlign w:val="top"/>
          </w:tcPr>
          <w:p>
            <w:pPr>
              <w:spacing w:before="249"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765" w:type="dxa"/>
            <w:vAlign w:val="top"/>
          </w:tcPr>
          <w:p>
            <w:pPr>
              <w:pStyle w:val="6"/>
              <w:spacing w:before="54" w:line="312" w:lineRule="exact"/>
              <w:ind w:left="178"/>
            </w:pPr>
            <w:r>
              <w:rPr>
                <w:spacing w:val="-2"/>
                <w:position w:val="7"/>
              </w:rPr>
              <w:t>主路</w:t>
            </w:r>
          </w:p>
          <w:p>
            <w:pPr>
              <w:pStyle w:val="6"/>
              <w:spacing w:line="220" w:lineRule="auto"/>
              <w:ind w:left="175"/>
            </w:pPr>
            <w:r>
              <w:rPr>
                <w:spacing w:val="-2"/>
              </w:rPr>
              <w:t>优先</w:t>
            </w:r>
          </w:p>
        </w:tc>
        <w:tc>
          <w:tcPr>
            <w:tcW w:w="898" w:type="dxa"/>
            <w:vAlign w:val="top"/>
          </w:tcPr>
          <w:p>
            <w:pPr>
              <w:spacing w:before="249"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628" w:type="dxa"/>
            <w:vAlign w:val="top"/>
          </w:tcPr>
          <w:p>
            <w:pPr>
              <w:pStyle w:val="6"/>
              <w:spacing w:before="210" w:line="229" w:lineRule="auto"/>
              <w:ind w:left="122"/>
            </w:pPr>
            <w:r>
              <w:rPr>
                <w:rFonts w:ascii="Times New Roman" w:hAnsi="Times New Roman" w:eastAsia="Times New Roman" w:cs="Times New Roman"/>
                <w:spacing w:val="-3"/>
              </w:rPr>
              <w:t>T</w:t>
            </w:r>
            <w:r>
              <w:rPr>
                <w:rFonts w:ascii="Times New Roman" w:hAnsi="Times New Roman" w:eastAsia="Times New Roman" w:cs="Times New Roman"/>
                <w:spacing w:val="15"/>
                <w:w w:val="101"/>
              </w:rPr>
              <w:t xml:space="preserve"> </w:t>
            </w:r>
            <w:r>
              <w:rPr>
                <w:spacing w:val="-3"/>
              </w:rPr>
              <w:t>型</w:t>
            </w:r>
          </w:p>
        </w:tc>
        <w:tc>
          <w:tcPr>
            <w:tcW w:w="1113" w:type="dxa"/>
            <w:vAlign w:val="top"/>
          </w:tcPr>
          <w:p>
            <w:pPr>
              <w:pStyle w:val="6"/>
              <w:spacing w:before="210" w:line="223" w:lineRule="auto"/>
              <w:ind w:left="356"/>
            </w:pPr>
            <w:r>
              <w:rPr>
                <w:spacing w:val="-3"/>
              </w:rPr>
              <w:t>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99" w:type="dxa"/>
            <w:vAlign w:val="top"/>
          </w:tcPr>
          <w:p>
            <w:pPr>
              <w:spacing w:before="95" w:line="187" w:lineRule="auto"/>
              <w:ind w:left="19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041" w:type="dxa"/>
            <w:vAlign w:val="top"/>
          </w:tcPr>
          <w:p>
            <w:pPr>
              <w:spacing w:before="95"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L1K01+</w:t>
            </w:r>
          </w:p>
        </w:tc>
        <w:tc>
          <w:tcPr>
            <w:tcW w:w="1135" w:type="dxa"/>
            <w:vAlign w:val="top"/>
          </w:tcPr>
          <w:p>
            <w:pPr>
              <w:pStyle w:val="6"/>
              <w:spacing w:before="56" w:line="221" w:lineRule="auto"/>
              <w:ind w:left="107"/>
            </w:pPr>
            <w:r>
              <w:rPr>
                <w:rFonts w:ascii="Times New Roman" w:hAnsi="Times New Roman" w:eastAsia="Times New Roman" w:cs="Times New Roman"/>
                <w:spacing w:val="-3"/>
              </w:rPr>
              <w:t>L2</w:t>
            </w:r>
            <w:r>
              <w:rPr>
                <w:rFonts w:ascii="Times New Roman" w:hAnsi="Times New Roman" w:eastAsia="Times New Roman" w:cs="Times New Roman"/>
                <w:spacing w:val="13"/>
              </w:rPr>
              <w:t xml:space="preserve"> </w:t>
            </w:r>
            <w:r>
              <w:rPr>
                <w:spacing w:val="-3"/>
              </w:rPr>
              <w:t>连接线</w:t>
            </w:r>
          </w:p>
        </w:tc>
        <w:tc>
          <w:tcPr>
            <w:tcW w:w="492" w:type="dxa"/>
            <w:vAlign w:val="top"/>
          </w:tcPr>
          <w:p>
            <w:pPr>
              <w:pStyle w:val="6"/>
              <w:spacing w:before="95" w:line="179" w:lineRule="auto"/>
              <w:ind w:left="147"/>
            </w:pPr>
            <w:r>
              <w:t>二</w:t>
            </w:r>
          </w:p>
        </w:tc>
        <w:tc>
          <w:tcPr>
            <w:tcW w:w="1115" w:type="dxa"/>
            <w:vAlign w:val="top"/>
          </w:tcPr>
          <w:p>
            <w:pPr>
              <w:spacing w:before="95" w:line="187" w:lineRule="auto"/>
              <w:ind w:left="4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495" w:type="dxa"/>
            <w:vAlign w:val="top"/>
          </w:tcPr>
          <w:p>
            <w:pPr>
              <w:pStyle w:val="6"/>
              <w:spacing w:before="95" w:line="179" w:lineRule="auto"/>
              <w:ind w:left="150"/>
            </w:pPr>
            <w:r>
              <w:t>二</w:t>
            </w:r>
          </w:p>
        </w:tc>
        <w:tc>
          <w:tcPr>
            <w:tcW w:w="1113" w:type="dxa"/>
            <w:vAlign w:val="top"/>
          </w:tcPr>
          <w:p>
            <w:pPr>
              <w:spacing w:before="95" w:line="18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65" w:type="dxa"/>
            <w:vAlign w:val="top"/>
          </w:tcPr>
          <w:p>
            <w:pPr>
              <w:pStyle w:val="6"/>
              <w:spacing w:before="56" w:line="221" w:lineRule="auto"/>
              <w:ind w:left="176"/>
            </w:pPr>
            <w:r>
              <w:rPr>
                <w:spacing w:val="-2"/>
              </w:rPr>
              <w:t>信号</w:t>
            </w:r>
          </w:p>
        </w:tc>
        <w:tc>
          <w:tcPr>
            <w:tcW w:w="898" w:type="dxa"/>
            <w:vAlign w:val="top"/>
          </w:tcPr>
          <w:p>
            <w:pPr>
              <w:spacing w:before="95"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w:t>
            </w:r>
          </w:p>
        </w:tc>
        <w:tc>
          <w:tcPr>
            <w:tcW w:w="628" w:type="dxa"/>
            <w:vAlign w:val="top"/>
          </w:tcPr>
          <w:p>
            <w:pPr>
              <w:pStyle w:val="6"/>
              <w:spacing w:before="56" w:line="222" w:lineRule="auto"/>
              <w:ind w:left="216"/>
            </w:pPr>
            <w:r>
              <w:t>十</w:t>
            </w:r>
          </w:p>
        </w:tc>
        <w:tc>
          <w:tcPr>
            <w:tcW w:w="1113" w:type="dxa"/>
            <w:vAlign w:val="top"/>
          </w:tcPr>
          <w:p>
            <w:pPr>
              <w:pStyle w:val="6"/>
              <w:spacing w:before="56" w:line="221" w:lineRule="auto"/>
              <w:ind w:left="144"/>
            </w:pPr>
            <w:r>
              <w:rPr>
                <w:spacing w:val="-3"/>
              </w:rPr>
              <w:t>大型（含</w:t>
            </w:r>
          </w:p>
        </w:tc>
      </w:tr>
    </w:tbl>
    <w:p>
      <w:pPr>
        <w:pStyle w:val="2"/>
      </w:pPr>
    </w:p>
    <w:p>
      <w:pPr>
        <w:sectPr>
          <w:headerReference r:id="rId129" w:type="default"/>
          <w:footerReference r:id="rId130" w:type="default"/>
          <w:pgSz w:w="11907" w:h="16839"/>
          <w:pgMar w:top="1118" w:right="1303" w:bottom="1182" w:left="1303" w:header="879" w:footer="1024" w:gutter="0"/>
          <w:cols w:space="720" w:num="1"/>
        </w:sectPr>
      </w:pPr>
    </w:p>
    <w:p>
      <w:pPr>
        <w:spacing w:before="80"/>
      </w:pPr>
    </w:p>
    <w:tbl>
      <w:tblPr>
        <w:tblStyle w:val="5"/>
        <w:tblW w:w="9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1041"/>
        <w:gridCol w:w="1135"/>
        <w:gridCol w:w="492"/>
        <w:gridCol w:w="1115"/>
        <w:gridCol w:w="495"/>
        <w:gridCol w:w="1113"/>
        <w:gridCol w:w="765"/>
        <w:gridCol w:w="898"/>
        <w:gridCol w:w="628"/>
        <w:gridCol w:w="11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9" w:type="dxa"/>
            <w:vAlign w:val="top"/>
          </w:tcPr>
          <w:p>
            <w:pPr>
              <w:rPr>
                <w:rFonts w:ascii="Arial"/>
                <w:sz w:val="21"/>
              </w:rPr>
            </w:pPr>
          </w:p>
        </w:tc>
        <w:tc>
          <w:tcPr>
            <w:tcW w:w="1041" w:type="dxa"/>
            <w:vAlign w:val="top"/>
          </w:tcPr>
          <w:p>
            <w:pPr>
              <w:spacing w:before="94"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351.215</w:t>
            </w:r>
          </w:p>
        </w:tc>
        <w:tc>
          <w:tcPr>
            <w:tcW w:w="1135" w:type="dxa"/>
            <w:vAlign w:val="top"/>
          </w:tcPr>
          <w:p>
            <w:pPr>
              <w:pStyle w:val="6"/>
              <w:spacing w:before="56" w:line="249" w:lineRule="auto"/>
              <w:ind w:left="463" w:right="191" w:hanging="272"/>
            </w:pPr>
            <w:r>
              <w:rPr>
                <w:rFonts w:ascii="Times New Roman" w:hAnsi="Times New Roman" w:eastAsia="Times New Roman" w:cs="Times New Roman"/>
                <w:spacing w:val="-1"/>
              </w:rPr>
              <w:t>+</w:t>
            </w:r>
            <w:r>
              <w:rPr>
                <w:spacing w:val="-1"/>
              </w:rPr>
              <w:t>避险车</w:t>
            </w:r>
            <w:r>
              <w:rPr>
                <w:spacing w:val="2"/>
              </w:rPr>
              <w:t xml:space="preserve"> </w:t>
            </w:r>
            <w:r>
              <w:t>道</w:t>
            </w:r>
          </w:p>
        </w:tc>
        <w:tc>
          <w:tcPr>
            <w:tcW w:w="492" w:type="dxa"/>
            <w:vAlign w:val="top"/>
          </w:tcPr>
          <w:p>
            <w:pPr>
              <w:pStyle w:val="6"/>
              <w:spacing w:before="56" w:line="223" w:lineRule="auto"/>
              <w:ind w:left="147"/>
            </w:pPr>
            <w:r>
              <w:t>级</w:t>
            </w:r>
          </w:p>
        </w:tc>
        <w:tc>
          <w:tcPr>
            <w:tcW w:w="1115" w:type="dxa"/>
            <w:vAlign w:val="top"/>
          </w:tcPr>
          <w:p>
            <w:pPr>
              <w:rPr>
                <w:rFonts w:ascii="Arial"/>
                <w:sz w:val="21"/>
              </w:rPr>
            </w:pPr>
          </w:p>
        </w:tc>
        <w:tc>
          <w:tcPr>
            <w:tcW w:w="495" w:type="dxa"/>
            <w:vAlign w:val="top"/>
          </w:tcPr>
          <w:p>
            <w:pPr>
              <w:pStyle w:val="6"/>
              <w:spacing w:before="56" w:line="223" w:lineRule="auto"/>
              <w:ind w:left="150"/>
            </w:pPr>
            <w:r>
              <w:t>级</w:t>
            </w:r>
          </w:p>
        </w:tc>
        <w:tc>
          <w:tcPr>
            <w:tcW w:w="1113" w:type="dxa"/>
            <w:vAlign w:val="top"/>
          </w:tcPr>
          <w:p>
            <w:pPr>
              <w:rPr>
                <w:rFonts w:ascii="Arial"/>
                <w:sz w:val="21"/>
              </w:rPr>
            </w:pPr>
          </w:p>
        </w:tc>
        <w:tc>
          <w:tcPr>
            <w:tcW w:w="765" w:type="dxa"/>
            <w:vAlign w:val="top"/>
          </w:tcPr>
          <w:p>
            <w:pPr>
              <w:pStyle w:val="6"/>
              <w:spacing w:before="56" w:line="222" w:lineRule="auto"/>
              <w:ind w:left="180"/>
            </w:pPr>
            <w:r>
              <w:rPr>
                <w:spacing w:val="-3"/>
              </w:rPr>
              <w:t>交叉</w:t>
            </w:r>
          </w:p>
        </w:tc>
        <w:tc>
          <w:tcPr>
            <w:tcW w:w="898" w:type="dxa"/>
            <w:vAlign w:val="top"/>
          </w:tcPr>
          <w:p>
            <w:pPr>
              <w:rPr>
                <w:rFonts w:ascii="Arial"/>
                <w:sz w:val="21"/>
              </w:rPr>
            </w:pPr>
          </w:p>
        </w:tc>
        <w:tc>
          <w:tcPr>
            <w:tcW w:w="628" w:type="dxa"/>
            <w:vAlign w:val="top"/>
          </w:tcPr>
          <w:p>
            <w:pPr>
              <w:pStyle w:val="6"/>
              <w:spacing w:before="55" w:line="229" w:lineRule="auto"/>
              <w:ind w:left="222"/>
            </w:pPr>
            <w:r>
              <w:t>型</w:t>
            </w:r>
          </w:p>
        </w:tc>
        <w:tc>
          <w:tcPr>
            <w:tcW w:w="1113" w:type="dxa"/>
            <w:vAlign w:val="top"/>
          </w:tcPr>
          <w:p>
            <w:pPr>
              <w:pStyle w:val="6"/>
              <w:spacing w:before="56" w:line="221" w:lineRule="auto"/>
              <w:ind w:left="140"/>
            </w:pPr>
            <w:r>
              <w:rPr>
                <w:spacing w:val="-1"/>
              </w:rPr>
              <w:t>避险道）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99" w:type="dxa"/>
            <w:vAlign w:val="top"/>
          </w:tcPr>
          <w:p>
            <w:pPr>
              <w:spacing w:before="246" w:line="187" w:lineRule="auto"/>
              <w:ind w:left="200"/>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041" w:type="dxa"/>
            <w:vAlign w:val="top"/>
          </w:tcPr>
          <w:p>
            <w:pPr>
              <w:spacing w:before="90" w:line="312" w:lineRule="exact"/>
              <w:ind w:left="109"/>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L1K104+</w:t>
            </w:r>
          </w:p>
          <w:p>
            <w:pPr>
              <w:spacing w:line="186"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100.000</w:t>
            </w:r>
          </w:p>
        </w:tc>
        <w:tc>
          <w:tcPr>
            <w:tcW w:w="1135" w:type="dxa"/>
            <w:vAlign w:val="top"/>
          </w:tcPr>
          <w:p>
            <w:pPr>
              <w:pStyle w:val="6"/>
              <w:spacing w:before="207" w:line="220" w:lineRule="auto"/>
              <w:ind w:left="362"/>
            </w:pPr>
            <w:r>
              <w:rPr>
                <w:spacing w:val="-2"/>
              </w:rPr>
              <w:t>村道</w:t>
            </w:r>
          </w:p>
        </w:tc>
        <w:tc>
          <w:tcPr>
            <w:tcW w:w="492" w:type="dxa"/>
            <w:textDirection w:val="tbRlV"/>
            <w:vAlign w:val="top"/>
          </w:tcPr>
          <w:p>
            <w:pPr>
              <w:pStyle w:val="6"/>
              <w:spacing w:before="140" w:line="207" w:lineRule="auto"/>
              <w:ind w:left="51"/>
            </w:pPr>
            <w:r>
              <w:rPr>
                <w:spacing w:val="1"/>
              </w:rPr>
              <w:t>等</w:t>
            </w:r>
            <w:r>
              <w:rPr>
                <w:spacing w:val="-5"/>
              </w:rPr>
              <w:t xml:space="preserve"> </w:t>
            </w:r>
            <w:r>
              <w:rPr>
                <w:spacing w:val="1"/>
              </w:rPr>
              <w:t>外</w:t>
            </w:r>
          </w:p>
        </w:tc>
        <w:tc>
          <w:tcPr>
            <w:tcW w:w="1115" w:type="dxa"/>
            <w:vAlign w:val="top"/>
          </w:tcPr>
          <w:p>
            <w:pPr>
              <w:spacing w:before="246" w:line="187"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495" w:type="dxa"/>
            <w:textDirection w:val="tbRlV"/>
            <w:vAlign w:val="top"/>
          </w:tcPr>
          <w:p>
            <w:pPr>
              <w:pStyle w:val="6"/>
              <w:spacing w:before="140" w:line="207" w:lineRule="auto"/>
              <w:ind w:left="51"/>
            </w:pPr>
            <w:r>
              <w:rPr>
                <w:spacing w:val="1"/>
              </w:rPr>
              <w:t>等</w:t>
            </w:r>
            <w:r>
              <w:rPr>
                <w:spacing w:val="-5"/>
              </w:rPr>
              <w:t xml:space="preserve"> </w:t>
            </w:r>
            <w:r>
              <w:rPr>
                <w:spacing w:val="1"/>
              </w:rPr>
              <w:t>外</w:t>
            </w:r>
          </w:p>
        </w:tc>
        <w:tc>
          <w:tcPr>
            <w:tcW w:w="1113" w:type="dxa"/>
            <w:vAlign w:val="top"/>
          </w:tcPr>
          <w:p>
            <w:pPr>
              <w:spacing w:before="246"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765" w:type="dxa"/>
            <w:vAlign w:val="top"/>
          </w:tcPr>
          <w:p>
            <w:pPr>
              <w:pStyle w:val="6"/>
              <w:spacing w:before="51" w:line="312" w:lineRule="exact"/>
              <w:ind w:left="178"/>
            </w:pPr>
            <w:r>
              <w:rPr>
                <w:spacing w:val="-2"/>
                <w:position w:val="7"/>
              </w:rPr>
              <w:t>主路</w:t>
            </w:r>
          </w:p>
          <w:p>
            <w:pPr>
              <w:pStyle w:val="6"/>
              <w:spacing w:line="220" w:lineRule="auto"/>
              <w:ind w:left="175"/>
            </w:pPr>
            <w:r>
              <w:rPr>
                <w:spacing w:val="-2"/>
              </w:rPr>
              <w:t>优先</w:t>
            </w:r>
          </w:p>
        </w:tc>
        <w:tc>
          <w:tcPr>
            <w:tcW w:w="898" w:type="dxa"/>
            <w:vAlign w:val="top"/>
          </w:tcPr>
          <w:p>
            <w:pPr>
              <w:spacing w:before="246"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628" w:type="dxa"/>
            <w:vAlign w:val="top"/>
          </w:tcPr>
          <w:p>
            <w:pPr>
              <w:pStyle w:val="6"/>
              <w:spacing w:before="207" w:line="229" w:lineRule="auto"/>
              <w:ind w:left="122"/>
            </w:pPr>
            <w:r>
              <w:rPr>
                <w:rFonts w:ascii="Times New Roman" w:hAnsi="Times New Roman" w:eastAsia="Times New Roman" w:cs="Times New Roman"/>
                <w:spacing w:val="-3"/>
              </w:rPr>
              <w:t>T</w:t>
            </w:r>
            <w:r>
              <w:rPr>
                <w:rFonts w:ascii="Times New Roman" w:hAnsi="Times New Roman" w:eastAsia="Times New Roman" w:cs="Times New Roman"/>
                <w:spacing w:val="15"/>
                <w:w w:val="101"/>
              </w:rPr>
              <w:t xml:space="preserve"> </w:t>
            </w:r>
            <w:r>
              <w:rPr>
                <w:spacing w:val="-3"/>
              </w:rPr>
              <w:t>型</w:t>
            </w:r>
          </w:p>
        </w:tc>
        <w:tc>
          <w:tcPr>
            <w:tcW w:w="1113" w:type="dxa"/>
            <w:vAlign w:val="top"/>
          </w:tcPr>
          <w:p>
            <w:pPr>
              <w:pStyle w:val="6"/>
              <w:spacing w:before="207" w:line="223" w:lineRule="auto"/>
              <w:ind w:left="356"/>
            </w:pPr>
            <w:r>
              <w:rPr>
                <w:spacing w:val="-3"/>
              </w:rPr>
              <w:t>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99" w:type="dxa"/>
            <w:vAlign w:val="top"/>
          </w:tcPr>
          <w:p>
            <w:pPr>
              <w:spacing w:before="248" w:line="187" w:lineRule="auto"/>
              <w:ind w:left="19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041" w:type="dxa"/>
            <w:vAlign w:val="top"/>
          </w:tcPr>
          <w:p>
            <w:pPr>
              <w:spacing w:before="92" w:line="312" w:lineRule="exact"/>
              <w:ind w:left="162"/>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L1K06+</w:t>
            </w:r>
          </w:p>
          <w:p>
            <w:pPr>
              <w:spacing w:line="186" w:lineRule="auto"/>
              <w:ind w:left="1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675.216</w:t>
            </w:r>
          </w:p>
        </w:tc>
        <w:tc>
          <w:tcPr>
            <w:tcW w:w="1135" w:type="dxa"/>
            <w:vAlign w:val="top"/>
          </w:tcPr>
          <w:p>
            <w:pPr>
              <w:pStyle w:val="6"/>
              <w:spacing w:before="209" w:line="221" w:lineRule="auto"/>
              <w:ind w:left="258"/>
            </w:pPr>
            <w:r>
              <w:rPr>
                <w:spacing w:val="-2"/>
              </w:rPr>
              <w:t>大南线</w:t>
            </w:r>
          </w:p>
        </w:tc>
        <w:tc>
          <w:tcPr>
            <w:tcW w:w="492" w:type="dxa"/>
            <w:textDirection w:val="tbRlV"/>
            <w:vAlign w:val="top"/>
          </w:tcPr>
          <w:p>
            <w:pPr>
              <w:pStyle w:val="6"/>
              <w:spacing w:before="140" w:line="208" w:lineRule="auto"/>
              <w:ind w:left="92"/>
            </w:pPr>
            <w:r>
              <w:rPr>
                <w:spacing w:val="-37"/>
              </w:rPr>
              <w:t>二</w:t>
            </w:r>
            <w:r>
              <w:rPr>
                <w:spacing w:val="32"/>
              </w:rPr>
              <w:t xml:space="preserve"> </w:t>
            </w:r>
            <w:r>
              <w:rPr>
                <w:spacing w:val="-37"/>
              </w:rPr>
              <w:t>级</w:t>
            </w:r>
          </w:p>
        </w:tc>
        <w:tc>
          <w:tcPr>
            <w:tcW w:w="1115" w:type="dxa"/>
            <w:vAlign w:val="top"/>
          </w:tcPr>
          <w:p>
            <w:pPr>
              <w:spacing w:before="248" w:line="187" w:lineRule="auto"/>
              <w:ind w:left="4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495" w:type="dxa"/>
            <w:textDirection w:val="tbRlV"/>
            <w:vAlign w:val="top"/>
          </w:tcPr>
          <w:p>
            <w:pPr>
              <w:pStyle w:val="6"/>
              <w:spacing w:before="139" w:line="208" w:lineRule="auto"/>
              <w:ind w:left="92"/>
            </w:pPr>
            <w:r>
              <w:rPr>
                <w:spacing w:val="-37"/>
              </w:rPr>
              <w:t>二</w:t>
            </w:r>
            <w:r>
              <w:rPr>
                <w:spacing w:val="32"/>
              </w:rPr>
              <w:t xml:space="preserve"> </w:t>
            </w:r>
            <w:r>
              <w:rPr>
                <w:spacing w:val="-37"/>
              </w:rPr>
              <w:t>级</w:t>
            </w:r>
          </w:p>
        </w:tc>
        <w:tc>
          <w:tcPr>
            <w:tcW w:w="1113" w:type="dxa"/>
            <w:vAlign w:val="top"/>
          </w:tcPr>
          <w:p>
            <w:pPr>
              <w:spacing w:before="248" w:line="18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65" w:type="dxa"/>
            <w:vAlign w:val="top"/>
          </w:tcPr>
          <w:p>
            <w:pPr>
              <w:pStyle w:val="6"/>
              <w:spacing w:before="53" w:line="312" w:lineRule="exact"/>
              <w:ind w:left="176"/>
            </w:pPr>
            <w:r>
              <w:rPr>
                <w:spacing w:val="-2"/>
                <w:position w:val="7"/>
              </w:rPr>
              <w:t>信号</w:t>
            </w:r>
          </w:p>
          <w:p>
            <w:pPr>
              <w:pStyle w:val="6"/>
              <w:spacing w:before="1" w:line="221" w:lineRule="auto"/>
              <w:ind w:left="180"/>
            </w:pPr>
            <w:r>
              <w:rPr>
                <w:spacing w:val="-3"/>
              </w:rPr>
              <w:t>交叉</w:t>
            </w:r>
          </w:p>
        </w:tc>
        <w:tc>
          <w:tcPr>
            <w:tcW w:w="898" w:type="dxa"/>
            <w:vAlign w:val="top"/>
          </w:tcPr>
          <w:p>
            <w:pPr>
              <w:spacing w:before="248" w:line="187" w:lineRule="auto"/>
              <w:ind w:left="3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c>
          <w:tcPr>
            <w:tcW w:w="628" w:type="dxa"/>
            <w:vAlign w:val="top"/>
          </w:tcPr>
          <w:p>
            <w:pPr>
              <w:pStyle w:val="6"/>
              <w:spacing w:before="209" w:line="229" w:lineRule="auto"/>
              <w:ind w:left="122"/>
            </w:pPr>
            <w:r>
              <w:rPr>
                <w:rFonts w:ascii="Times New Roman" w:hAnsi="Times New Roman" w:eastAsia="Times New Roman" w:cs="Times New Roman"/>
                <w:spacing w:val="-3"/>
              </w:rPr>
              <w:t>T</w:t>
            </w:r>
            <w:r>
              <w:rPr>
                <w:rFonts w:ascii="Times New Roman" w:hAnsi="Times New Roman" w:eastAsia="Times New Roman" w:cs="Times New Roman"/>
                <w:spacing w:val="15"/>
                <w:w w:val="101"/>
              </w:rPr>
              <w:t xml:space="preserve"> </w:t>
            </w:r>
            <w:r>
              <w:rPr>
                <w:spacing w:val="-3"/>
              </w:rPr>
              <w:t>型</w:t>
            </w:r>
          </w:p>
        </w:tc>
        <w:tc>
          <w:tcPr>
            <w:tcW w:w="1113" w:type="dxa"/>
            <w:vAlign w:val="top"/>
          </w:tcPr>
          <w:p>
            <w:pPr>
              <w:pStyle w:val="6"/>
              <w:spacing w:before="209" w:line="221" w:lineRule="auto"/>
              <w:ind w:left="353"/>
            </w:pPr>
            <w:r>
              <w:rPr>
                <w:spacing w:val="-3"/>
              </w:rPr>
              <w:t>大型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99" w:type="dxa"/>
            <w:vAlign w:val="top"/>
          </w:tcPr>
          <w:p>
            <w:pPr>
              <w:spacing w:before="254" w:line="184" w:lineRule="auto"/>
              <w:ind w:left="20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41" w:type="dxa"/>
            <w:vAlign w:val="top"/>
          </w:tcPr>
          <w:p>
            <w:pPr>
              <w:spacing w:before="95" w:line="312" w:lineRule="exact"/>
              <w:ind w:left="162"/>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L2K00+</w:t>
            </w:r>
          </w:p>
          <w:p>
            <w:pPr>
              <w:spacing w:line="186" w:lineRule="auto"/>
              <w:ind w:left="1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000.000</w:t>
            </w:r>
          </w:p>
        </w:tc>
        <w:tc>
          <w:tcPr>
            <w:tcW w:w="1135" w:type="dxa"/>
            <w:vAlign w:val="top"/>
          </w:tcPr>
          <w:p>
            <w:pPr>
              <w:spacing w:before="251" w:line="187" w:lineRule="auto"/>
              <w:ind w:left="33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G322</w:t>
            </w:r>
          </w:p>
        </w:tc>
        <w:tc>
          <w:tcPr>
            <w:tcW w:w="492" w:type="dxa"/>
            <w:textDirection w:val="tbRlV"/>
            <w:vAlign w:val="top"/>
          </w:tcPr>
          <w:p>
            <w:pPr>
              <w:pStyle w:val="6"/>
              <w:spacing w:before="140" w:line="208" w:lineRule="auto"/>
              <w:ind w:left="95"/>
            </w:pPr>
            <w:r>
              <w:rPr>
                <w:spacing w:val="-37"/>
              </w:rPr>
              <w:t>二</w:t>
            </w:r>
            <w:r>
              <w:rPr>
                <w:spacing w:val="32"/>
              </w:rPr>
              <w:t xml:space="preserve"> </w:t>
            </w:r>
            <w:r>
              <w:rPr>
                <w:spacing w:val="-37"/>
              </w:rPr>
              <w:t>级</w:t>
            </w:r>
          </w:p>
        </w:tc>
        <w:tc>
          <w:tcPr>
            <w:tcW w:w="1115" w:type="dxa"/>
            <w:vAlign w:val="top"/>
          </w:tcPr>
          <w:p>
            <w:pPr>
              <w:spacing w:before="251" w:line="187" w:lineRule="auto"/>
              <w:ind w:left="4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495" w:type="dxa"/>
            <w:textDirection w:val="tbRlV"/>
            <w:vAlign w:val="top"/>
          </w:tcPr>
          <w:p>
            <w:pPr>
              <w:pStyle w:val="6"/>
              <w:spacing w:before="139" w:line="208" w:lineRule="auto"/>
              <w:ind w:left="95"/>
            </w:pPr>
            <w:r>
              <w:rPr>
                <w:spacing w:val="-37"/>
              </w:rPr>
              <w:t>二</w:t>
            </w:r>
            <w:r>
              <w:rPr>
                <w:spacing w:val="32"/>
              </w:rPr>
              <w:t xml:space="preserve"> </w:t>
            </w:r>
            <w:r>
              <w:rPr>
                <w:spacing w:val="-37"/>
              </w:rPr>
              <w:t>级</w:t>
            </w:r>
          </w:p>
        </w:tc>
        <w:tc>
          <w:tcPr>
            <w:tcW w:w="1113" w:type="dxa"/>
            <w:vAlign w:val="top"/>
          </w:tcPr>
          <w:p>
            <w:pPr>
              <w:spacing w:before="251" w:line="18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65" w:type="dxa"/>
            <w:vAlign w:val="top"/>
          </w:tcPr>
          <w:p>
            <w:pPr>
              <w:pStyle w:val="6"/>
              <w:spacing w:before="56" w:line="312" w:lineRule="exact"/>
              <w:ind w:left="176"/>
            </w:pPr>
            <w:r>
              <w:rPr>
                <w:spacing w:val="-2"/>
                <w:position w:val="7"/>
              </w:rPr>
              <w:t>信号</w:t>
            </w:r>
          </w:p>
          <w:p>
            <w:pPr>
              <w:pStyle w:val="6"/>
              <w:spacing w:line="221" w:lineRule="auto"/>
              <w:ind w:left="180"/>
            </w:pPr>
            <w:r>
              <w:rPr>
                <w:spacing w:val="-3"/>
              </w:rPr>
              <w:t>交叉</w:t>
            </w:r>
          </w:p>
        </w:tc>
        <w:tc>
          <w:tcPr>
            <w:tcW w:w="898" w:type="dxa"/>
            <w:vAlign w:val="top"/>
          </w:tcPr>
          <w:p>
            <w:pPr>
              <w:spacing w:before="251" w:line="187" w:lineRule="auto"/>
              <w:ind w:left="3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628" w:type="dxa"/>
            <w:textDirection w:val="tbRlV"/>
            <w:vAlign w:val="top"/>
          </w:tcPr>
          <w:p>
            <w:pPr>
              <w:pStyle w:val="6"/>
              <w:spacing w:before="204" w:line="209" w:lineRule="auto"/>
              <w:ind w:left="56"/>
            </w:pPr>
            <w:r>
              <w:rPr>
                <w:spacing w:val="1"/>
              </w:rPr>
              <w:t>十</w:t>
            </w:r>
            <w:r>
              <w:rPr>
                <w:spacing w:val="-5"/>
              </w:rPr>
              <w:t xml:space="preserve"> </w:t>
            </w:r>
            <w:r>
              <w:rPr>
                <w:spacing w:val="1"/>
              </w:rPr>
              <w:t>型</w:t>
            </w:r>
          </w:p>
        </w:tc>
        <w:tc>
          <w:tcPr>
            <w:tcW w:w="1113" w:type="dxa"/>
            <w:vAlign w:val="top"/>
          </w:tcPr>
          <w:p>
            <w:pPr>
              <w:pStyle w:val="6"/>
              <w:spacing w:before="212" w:line="221" w:lineRule="auto"/>
              <w:ind w:left="353"/>
            </w:pPr>
            <w:r>
              <w:rPr>
                <w:spacing w:val="-3"/>
              </w:rPr>
              <w:t>大型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99" w:type="dxa"/>
            <w:vAlign w:val="top"/>
          </w:tcPr>
          <w:p>
            <w:pPr>
              <w:spacing w:before="249" w:line="187" w:lineRule="auto"/>
              <w:ind w:left="200"/>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41" w:type="dxa"/>
            <w:vAlign w:val="top"/>
          </w:tcPr>
          <w:p>
            <w:pPr>
              <w:spacing w:before="93" w:line="312" w:lineRule="exact"/>
              <w:ind w:left="162"/>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L2K00+</w:t>
            </w:r>
          </w:p>
          <w:p>
            <w:pPr>
              <w:spacing w:line="186"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785.000</w:t>
            </w:r>
          </w:p>
        </w:tc>
        <w:tc>
          <w:tcPr>
            <w:tcW w:w="1135" w:type="dxa"/>
            <w:vAlign w:val="top"/>
          </w:tcPr>
          <w:p>
            <w:pPr>
              <w:pStyle w:val="6"/>
              <w:spacing w:before="211" w:line="220" w:lineRule="auto"/>
              <w:ind w:left="362"/>
            </w:pPr>
            <w:r>
              <w:rPr>
                <w:spacing w:val="-2"/>
              </w:rPr>
              <w:t>村道</w:t>
            </w:r>
          </w:p>
        </w:tc>
        <w:tc>
          <w:tcPr>
            <w:tcW w:w="492" w:type="dxa"/>
            <w:textDirection w:val="tbRlV"/>
            <w:vAlign w:val="top"/>
          </w:tcPr>
          <w:p>
            <w:pPr>
              <w:pStyle w:val="6"/>
              <w:spacing w:before="140" w:line="207" w:lineRule="auto"/>
              <w:ind w:left="55"/>
            </w:pPr>
            <w:r>
              <w:rPr>
                <w:spacing w:val="1"/>
              </w:rPr>
              <w:t>等</w:t>
            </w:r>
            <w:r>
              <w:rPr>
                <w:spacing w:val="-5"/>
              </w:rPr>
              <w:t xml:space="preserve"> </w:t>
            </w:r>
            <w:r>
              <w:rPr>
                <w:spacing w:val="1"/>
              </w:rPr>
              <w:t>外</w:t>
            </w:r>
          </w:p>
        </w:tc>
        <w:tc>
          <w:tcPr>
            <w:tcW w:w="1115" w:type="dxa"/>
            <w:vAlign w:val="top"/>
          </w:tcPr>
          <w:p>
            <w:pPr>
              <w:spacing w:before="249" w:line="187"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495" w:type="dxa"/>
            <w:textDirection w:val="tbRlV"/>
            <w:vAlign w:val="top"/>
          </w:tcPr>
          <w:p>
            <w:pPr>
              <w:pStyle w:val="6"/>
              <w:spacing w:before="140" w:line="207" w:lineRule="auto"/>
              <w:ind w:left="55"/>
            </w:pPr>
            <w:r>
              <w:rPr>
                <w:spacing w:val="1"/>
              </w:rPr>
              <w:t>等</w:t>
            </w:r>
            <w:r>
              <w:rPr>
                <w:spacing w:val="-5"/>
              </w:rPr>
              <w:t xml:space="preserve"> </w:t>
            </w:r>
            <w:r>
              <w:rPr>
                <w:spacing w:val="1"/>
              </w:rPr>
              <w:t>外</w:t>
            </w:r>
          </w:p>
        </w:tc>
        <w:tc>
          <w:tcPr>
            <w:tcW w:w="1113" w:type="dxa"/>
            <w:vAlign w:val="top"/>
          </w:tcPr>
          <w:p>
            <w:pPr>
              <w:spacing w:before="249"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765" w:type="dxa"/>
            <w:vAlign w:val="top"/>
          </w:tcPr>
          <w:p>
            <w:pPr>
              <w:pStyle w:val="6"/>
              <w:spacing w:before="55" w:line="312" w:lineRule="exact"/>
              <w:ind w:left="178"/>
            </w:pPr>
            <w:r>
              <w:rPr>
                <w:spacing w:val="-2"/>
                <w:position w:val="7"/>
              </w:rPr>
              <w:t>主路</w:t>
            </w:r>
          </w:p>
          <w:p>
            <w:pPr>
              <w:pStyle w:val="6"/>
              <w:spacing w:line="220" w:lineRule="auto"/>
              <w:ind w:left="175"/>
            </w:pPr>
            <w:r>
              <w:rPr>
                <w:spacing w:val="-2"/>
              </w:rPr>
              <w:t>优先</w:t>
            </w:r>
          </w:p>
        </w:tc>
        <w:tc>
          <w:tcPr>
            <w:tcW w:w="898" w:type="dxa"/>
            <w:vAlign w:val="top"/>
          </w:tcPr>
          <w:p>
            <w:pPr>
              <w:spacing w:before="249"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89</w:t>
            </w:r>
          </w:p>
        </w:tc>
        <w:tc>
          <w:tcPr>
            <w:tcW w:w="628" w:type="dxa"/>
            <w:vAlign w:val="top"/>
          </w:tcPr>
          <w:p>
            <w:pPr>
              <w:pStyle w:val="6"/>
              <w:spacing w:before="210" w:line="229" w:lineRule="auto"/>
              <w:ind w:left="122"/>
            </w:pPr>
            <w:r>
              <w:rPr>
                <w:rFonts w:ascii="Times New Roman" w:hAnsi="Times New Roman" w:eastAsia="Times New Roman" w:cs="Times New Roman"/>
                <w:spacing w:val="-3"/>
              </w:rPr>
              <w:t>T</w:t>
            </w:r>
            <w:r>
              <w:rPr>
                <w:rFonts w:ascii="Times New Roman" w:hAnsi="Times New Roman" w:eastAsia="Times New Roman" w:cs="Times New Roman"/>
                <w:spacing w:val="15"/>
                <w:w w:val="101"/>
              </w:rPr>
              <w:t xml:space="preserve"> </w:t>
            </w:r>
            <w:r>
              <w:rPr>
                <w:spacing w:val="-3"/>
              </w:rPr>
              <w:t>型</w:t>
            </w:r>
          </w:p>
        </w:tc>
        <w:tc>
          <w:tcPr>
            <w:tcW w:w="1113" w:type="dxa"/>
            <w:vAlign w:val="top"/>
          </w:tcPr>
          <w:p>
            <w:pPr>
              <w:pStyle w:val="6"/>
              <w:spacing w:before="210" w:line="223" w:lineRule="auto"/>
              <w:ind w:left="356"/>
            </w:pPr>
            <w:r>
              <w:rPr>
                <w:spacing w:val="-3"/>
              </w:rPr>
              <w:t>小型</w:t>
            </w:r>
          </w:p>
        </w:tc>
      </w:tr>
    </w:tbl>
    <w:p>
      <w:pPr>
        <w:pStyle w:val="2"/>
        <w:spacing w:line="368" w:lineRule="auto"/>
      </w:pPr>
    </w:p>
    <w:p>
      <w:pPr>
        <w:spacing w:before="78" w:line="220" w:lineRule="auto"/>
        <w:ind w:left="1004"/>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 xml:space="preserve">、连接线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27"/>
          <w:w w:val="101"/>
          <w:sz w:val="24"/>
          <w:szCs w:val="24"/>
        </w:rPr>
        <w:t xml:space="preserve"> </w:t>
      </w:r>
      <w:r>
        <w:rPr>
          <w:rFonts w:ascii="宋体" w:hAnsi="宋体" w:eastAsia="宋体" w:cs="宋体"/>
          <w:spacing w:val="-6"/>
          <w:sz w:val="24"/>
          <w:szCs w:val="24"/>
        </w:rPr>
        <w:t>与连接线</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平交口设计方案</w:t>
      </w:r>
    </w:p>
    <w:p>
      <w:pPr>
        <w:spacing w:before="182" w:line="359" w:lineRule="auto"/>
        <w:ind w:left="510" w:right="494" w:firstLine="481"/>
        <w:rPr>
          <w:rFonts w:ascii="宋体" w:hAnsi="宋体" w:eastAsia="宋体" w:cs="宋体"/>
          <w:sz w:val="24"/>
          <w:szCs w:val="24"/>
        </w:rPr>
      </w:pPr>
      <w:r>
        <w:rPr>
          <w:rFonts w:ascii="宋体" w:hAnsi="宋体" w:eastAsia="宋体" w:cs="宋体"/>
          <w:spacing w:val="-4"/>
          <w:sz w:val="24"/>
          <w:szCs w:val="24"/>
        </w:rPr>
        <w:t xml:space="preserve">西坑互通连接线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与连接线</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26"/>
          <w:sz w:val="24"/>
          <w:szCs w:val="24"/>
        </w:rPr>
        <w:t xml:space="preserve"> </w:t>
      </w:r>
      <w:r>
        <w:rPr>
          <w:rFonts w:ascii="宋体" w:hAnsi="宋体" w:eastAsia="宋体" w:cs="宋体"/>
          <w:spacing w:val="-4"/>
          <w:sz w:val="24"/>
          <w:szCs w:val="24"/>
        </w:rPr>
        <w:t>呈</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型交叉。被交路西坑互通连接线</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为二</w:t>
      </w:r>
      <w:r>
        <w:rPr>
          <w:rFonts w:ascii="宋体" w:hAnsi="宋体" w:eastAsia="宋体" w:cs="宋体"/>
          <w:sz w:val="24"/>
          <w:szCs w:val="24"/>
        </w:rPr>
        <w:t xml:space="preserve"> </w:t>
      </w:r>
      <w:r>
        <w:rPr>
          <w:rFonts w:ascii="宋体" w:hAnsi="宋体" w:eastAsia="宋体" w:cs="宋体"/>
          <w:spacing w:val="-2"/>
          <w:sz w:val="24"/>
          <w:szCs w:val="24"/>
        </w:rPr>
        <w:t xml:space="preserve">级公路，设计速度为 </w:t>
      </w:r>
      <w:r>
        <w:rPr>
          <w:rFonts w:ascii="Times New Roman" w:hAnsi="Times New Roman" w:eastAsia="Times New Roman" w:cs="Times New Roman"/>
          <w:spacing w:val="-2"/>
          <w:sz w:val="24"/>
          <w:szCs w:val="24"/>
        </w:rPr>
        <w:t>60km/h</w:t>
      </w:r>
      <w:r>
        <w:rPr>
          <w:rFonts w:ascii="宋体" w:hAnsi="宋体" w:eastAsia="宋体" w:cs="宋体"/>
          <w:spacing w:val="-2"/>
          <w:sz w:val="24"/>
          <w:szCs w:val="24"/>
        </w:rPr>
        <w:t xml:space="preserve">，路基宽度 </w:t>
      </w:r>
      <w:r>
        <w:rPr>
          <w:rFonts w:ascii="Times New Roman" w:hAnsi="Times New Roman" w:eastAsia="Times New Roman" w:cs="Times New Roman"/>
          <w:spacing w:val="-2"/>
          <w:sz w:val="24"/>
          <w:szCs w:val="24"/>
        </w:rPr>
        <w:t>10m</w:t>
      </w:r>
      <w:r>
        <w:rPr>
          <w:rFonts w:ascii="宋体" w:hAnsi="宋体" w:eastAsia="宋体" w:cs="宋体"/>
          <w:spacing w:val="-2"/>
          <w:sz w:val="24"/>
          <w:szCs w:val="24"/>
        </w:rPr>
        <w:t>。本交叉口需采用渠化设计，并设</w:t>
      </w:r>
    </w:p>
    <w:p>
      <w:pPr>
        <w:spacing w:line="219" w:lineRule="auto"/>
        <w:ind w:left="504"/>
        <w:rPr>
          <w:rFonts w:ascii="宋体" w:hAnsi="宋体" w:eastAsia="宋体" w:cs="宋体"/>
          <w:sz w:val="24"/>
          <w:szCs w:val="24"/>
        </w:rPr>
      </w:pPr>
      <w:r>
        <w:rPr>
          <w:rFonts w:ascii="宋体" w:hAnsi="宋体" w:eastAsia="宋体" w:cs="宋体"/>
          <w:spacing w:val="-6"/>
          <w:sz w:val="24"/>
          <w:szCs w:val="24"/>
        </w:rPr>
        <w:t>置加减速车道。</w:t>
      </w:r>
    </w:p>
    <w:p>
      <w:pPr>
        <w:spacing w:before="182" w:line="359" w:lineRule="auto"/>
        <w:ind w:left="505" w:right="494" w:firstLine="481"/>
        <w:rPr>
          <w:rFonts w:ascii="宋体" w:hAnsi="宋体" w:eastAsia="宋体" w:cs="宋体"/>
          <w:sz w:val="24"/>
          <w:szCs w:val="24"/>
        </w:rPr>
      </w:pPr>
      <w:r>
        <w:rPr>
          <w:rFonts w:ascii="宋体" w:hAnsi="宋体" w:eastAsia="宋体" w:cs="宋体"/>
          <w:spacing w:val="-8"/>
          <w:sz w:val="24"/>
          <w:szCs w:val="24"/>
        </w:rPr>
        <w:t>本交叉口为西坑互通连接线</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8"/>
          <w:sz w:val="24"/>
          <w:szCs w:val="24"/>
        </w:rPr>
        <w:t>终点处交叉口，</w:t>
      </w:r>
      <w:r>
        <w:rPr>
          <w:rFonts w:ascii="宋体" w:hAnsi="宋体" w:eastAsia="宋体" w:cs="宋体"/>
          <w:spacing w:val="-31"/>
          <w:sz w:val="24"/>
          <w:szCs w:val="24"/>
        </w:rPr>
        <w:t xml:space="preserve"> </w:t>
      </w:r>
      <w:r>
        <w:rPr>
          <w:rFonts w:ascii="宋体" w:hAnsi="宋体" w:eastAsia="宋体" w:cs="宋体"/>
          <w:spacing w:val="-8"/>
          <w:sz w:val="24"/>
          <w:szCs w:val="24"/>
        </w:rPr>
        <w:t>考虑到西坑互通连接线</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8"/>
          <w:sz w:val="24"/>
          <w:szCs w:val="24"/>
        </w:rPr>
        <w:t>与连</w:t>
      </w:r>
      <w:r>
        <w:rPr>
          <w:rFonts w:ascii="宋体" w:hAnsi="宋体" w:eastAsia="宋体" w:cs="宋体"/>
          <w:sz w:val="24"/>
          <w:szCs w:val="24"/>
        </w:rPr>
        <w:t xml:space="preserve"> </w:t>
      </w:r>
      <w:r>
        <w:rPr>
          <w:rFonts w:ascii="宋体" w:hAnsi="宋体" w:eastAsia="宋体" w:cs="宋体"/>
          <w:spacing w:val="-6"/>
          <w:sz w:val="24"/>
          <w:szCs w:val="24"/>
        </w:rPr>
        <w:t>接线</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之间的转向交通量较大，</w:t>
      </w:r>
      <w:r>
        <w:rPr>
          <w:rFonts w:ascii="宋体" w:hAnsi="宋体" w:eastAsia="宋体" w:cs="宋体"/>
          <w:spacing w:val="-29"/>
          <w:sz w:val="24"/>
          <w:szCs w:val="24"/>
        </w:rPr>
        <w:t xml:space="preserve"> </w:t>
      </w:r>
      <w:r>
        <w:rPr>
          <w:rFonts w:ascii="宋体" w:hAnsi="宋体" w:eastAsia="宋体" w:cs="宋体"/>
          <w:spacing w:val="-6"/>
          <w:sz w:val="24"/>
          <w:szCs w:val="24"/>
        </w:rPr>
        <w:t>主线与被交路均设置了加减速车道及右转弯专用</w:t>
      </w:r>
      <w:r>
        <w:rPr>
          <w:rFonts w:ascii="宋体" w:hAnsi="宋体" w:eastAsia="宋体" w:cs="宋体"/>
          <w:sz w:val="24"/>
          <w:szCs w:val="24"/>
        </w:rPr>
        <w:t xml:space="preserve"> </w:t>
      </w:r>
      <w:r>
        <w:rPr>
          <w:rFonts w:ascii="宋体" w:hAnsi="宋体" w:eastAsia="宋体" w:cs="宋体"/>
          <w:spacing w:val="-6"/>
          <w:sz w:val="24"/>
          <w:szCs w:val="24"/>
        </w:rPr>
        <w:t>车道。平交口区域内转角导流岛采用植草绿化， 导流岛内的</w:t>
      </w:r>
      <w:r>
        <w:rPr>
          <w:rFonts w:ascii="宋体" w:hAnsi="宋体" w:eastAsia="宋体" w:cs="宋体"/>
          <w:spacing w:val="-7"/>
          <w:sz w:val="24"/>
          <w:szCs w:val="24"/>
        </w:rPr>
        <w:t>人形横道采用地面铺</w:t>
      </w:r>
    </w:p>
    <w:p>
      <w:pPr>
        <w:spacing w:before="1" w:line="218" w:lineRule="auto"/>
        <w:ind w:left="506"/>
        <w:rPr>
          <w:rFonts w:ascii="宋体" w:hAnsi="宋体" w:eastAsia="宋体" w:cs="宋体"/>
          <w:sz w:val="24"/>
          <w:szCs w:val="24"/>
        </w:rPr>
      </w:pPr>
      <w:r>
        <w:rPr>
          <w:rFonts w:ascii="宋体" w:hAnsi="宋体" w:eastAsia="宋体" w:cs="宋体"/>
          <w:spacing w:val="-2"/>
          <w:sz w:val="24"/>
          <w:szCs w:val="24"/>
        </w:rPr>
        <w:t>砖，提高平交口整体美观。本平交口采用信号管理。</w:t>
      </w:r>
    </w:p>
    <w:p>
      <w:pPr>
        <w:spacing w:before="184" w:line="220" w:lineRule="auto"/>
        <w:ind w:left="981"/>
        <w:rPr>
          <w:rFonts w:ascii="宋体" w:hAnsi="宋体" w:eastAsia="宋体" w:cs="宋体"/>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21"/>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G322</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国道平交口设计方案</w:t>
      </w:r>
    </w:p>
    <w:p>
      <w:pPr>
        <w:spacing w:before="181" w:line="359" w:lineRule="auto"/>
        <w:ind w:left="508" w:right="428" w:firstLine="483"/>
        <w:rPr>
          <w:rFonts w:ascii="宋体" w:hAnsi="宋体" w:eastAsia="宋体" w:cs="宋体"/>
          <w:sz w:val="24"/>
          <w:szCs w:val="24"/>
        </w:rPr>
      </w:pPr>
      <w:r>
        <w:rPr>
          <w:rFonts w:ascii="宋体" w:hAnsi="宋体" w:eastAsia="宋体" w:cs="宋体"/>
          <w:spacing w:val="-14"/>
          <w:sz w:val="24"/>
          <w:szCs w:val="24"/>
        </w:rPr>
        <w:t>西坑互通连接线</w:t>
      </w:r>
      <w:r>
        <w:rPr>
          <w:rFonts w:ascii="宋体" w:hAnsi="宋体" w:eastAsia="宋体" w:cs="宋体"/>
          <w:spacing w:val="-51"/>
          <w:sz w:val="24"/>
          <w:szCs w:val="24"/>
        </w:rPr>
        <w:t xml:space="preserve"> </w:t>
      </w:r>
      <w:r>
        <w:rPr>
          <w:rFonts w:ascii="Times New Roman" w:hAnsi="Times New Roman" w:eastAsia="Times New Roman" w:cs="Times New Roman"/>
          <w:spacing w:val="-14"/>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14"/>
          <w:sz w:val="24"/>
          <w:szCs w:val="24"/>
        </w:rPr>
        <w:t>与</w:t>
      </w:r>
      <w:r>
        <w:rPr>
          <w:rFonts w:ascii="宋体" w:hAnsi="宋体" w:eastAsia="宋体" w:cs="宋体"/>
          <w:spacing w:val="-52"/>
          <w:sz w:val="24"/>
          <w:szCs w:val="24"/>
        </w:rPr>
        <w:t xml:space="preserve"> </w:t>
      </w:r>
      <w:r>
        <w:rPr>
          <w:rFonts w:ascii="Times New Roman" w:hAnsi="Times New Roman" w:eastAsia="Times New Roman" w:cs="Times New Roman"/>
          <w:spacing w:val="-14"/>
          <w:sz w:val="24"/>
          <w:szCs w:val="24"/>
        </w:rPr>
        <w:t>G322</w:t>
      </w:r>
      <w:r>
        <w:rPr>
          <w:rFonts w:ascii="Times New Roman" w:hAnsi="Times New Roman" w:eastAsia="Times New Roman" w:cs="Times New Roman"/>
          <w:spacing w:val="32"/>
          <w:w w:val="101"/>
          <w:sz w:val="24"/>
          <w:szCs w:val="24"/>
        </w:rPr>
        <w:t xml:space="preserve"> </w:t>
      </w:r>
      <w:r>
        <w:rPr>
          <w:rFonts w:ascii="宋体" w:hAnsi="宋体" w:eastAsia="宋体" w:cs="宋体"/>
          <w:spacing w:val="-14"/>
          <w:sz w:val="24"/>
          <w:szCs w:val="24"/>
        </w:rPr>
        <w:t>国道呈</w:t>
      </w:r>
      <w:r>
        <w:rPr>
          <w:rFonts w:ascii="宋体" w:hAnsi="宋体" w:eastAsia="宋体" w:cs="宋体"/>
          <w:spacing w:val="-53"/>
          <w:sz w:val="24"/>
          <w:szCs w:val="24"/>
        </w:rPr>
        <w:t xml:space="preserve"> </w:t>
      </w:r>
      <w:r>
        <w:rPr>
          <w:rFonts w:ascii="Times New Roman" w:hAnsi="Times New Roman" w:eastAsia="Times New Roman" w:cs="Times New Roman"/>
          <w:spacing w:val="-14"/>
          <w:sz w:val="24"/>
          <w:szCs w:val="24"/>
        </w:rPr>
        <w:t>T</w:t>
      </w:r>
      <w:r>
        <w:rPr>
          <w:rFonts w:ascii="Times New Roman" w:hAnsi="Times New Roman" w:eastAsia="Times New Roman" w:cs="Times New Roman"/>
          <w:spacing w:val="17"/>
          <w:sz w:val="24"/>
          <w:szCs w:val="24"/>
        </w:rPr>
        <w:t xml:space="preserve"> </w:t>
      </w:r>
      <w:r>
        <w:rPr>
          <w:rFonts w:ascii="宋体" w:hAnsi="宋体" w:eastAsia="宋体" w:cs="宋体"/>
          <w:spacing w:val="-14"/>
          <w:sz w:val="24"/>
          <w:szCs w:val="24"/>
        </w:rPr>
        <w:t>型交叉，</w:t>
      </w:r>
      <w:r>
        <w:rPr>
          <w:rFonts w:ascii="宋体" w:hAnsi="宋体" w:eastAsia="宋体" w:cs="宋体"/>
          <w:spacing w:val="-66"/>
          <w:sz w:val="24"/>
          <w:szCs w:val="24"/>
        </w:rPr>
        <w:t xml:space="preserve"> </w:t>
      </w:r>
      <w:r>
        <w:rPr>
          <w:rFonts w:ascii="宋体" w:hAnsi="宋体" w:eastAsia="宋体" w:cs="宋体"/>
          <w:spacing w:val="-14"/>
          <w:sz w:val="24"/>
          <w:szCs w:val="24"/>
        </w:rPr>
        <w:t>交叉口向北接地方道路， 因此，</w:t>
      </w:r>
      <w:r>
        <w:rPr>
          <w:rFonts w:ascii="宋体" w:hAnsi="宋体" w:eastAsia="宋体" w:cs="宋体"/>
          <w:sz w:val="24"/>
          <w:szCs w:val="24"/>
        </w:rPr>
        <w:t xml:space="preserve"> </w:t>
      </w:r>
      <w:r>
        <w:rPr>
          <w:rFonts w:ascii="宋体" w:hAnsi="宋体" w:eastAsia="宋体" w:cs="宋体"/>
          <w:spacing w:val="-2"/>
          <w:sz w:val="24"/>
          <w:szCs w:val="24"/>
        </w:rPr>
        <w:t>该平交口为十字交叉口。被交道路</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G322</w:t>
      </w:r>
      <w:r>
        <w:rPr>
          <w:rFonts w:ascii="Times New Roman" w:hAnsi="Times New Roman" w:eastAsia="Times New Roman" w:cs="Times New Roman"/>
          <w:spacing w:val="32"/>
          <w:w w:val="101"/>
          <w:sz w:val="24"/>
          <w:szCs w:val="24"/>
        </w:rPr>
        <w:t xml:space="preserve"> </w:t>
      </w:r>
      <w:r>
        <w:rPr>
          <w:rFonts w:ascii="宋体" w:hAnsi="宋体" w:eastAsia="宋体" w:cs="宋体"/>
          <w:spacing w:val="-3"/>
          <w:sz w:val="24"/>
          <w:szCs w:val="24"/>
        </w:rPr>
        <w:t>国道为二级公路，设计速度为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60km/h</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7"/>
          <w:sz w:val="24"/>
          <w:szCs w:val="24"/>
        </w:rPr>
        <w:t>路基宽度</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10m</w:t>
      </w:r>
      <w:r>
        <w:rPr>
          <w:rFonts w:ascii="宋体" w:hAnsi="宋体" w:eastAsia="宋体" w:cs="宋体"/>
          <w:spacing w:val="-7"/>
          <w:sz w:val="24"/>
          <w:szCs w:val="24"/>
        </w:rPr>
        <w:t>，地方道路为等外公路，</w:t>
      </w:r>
      <w:r>
        <w:rPr>
          <w:rFonts w:ascii="宋体" w:hAnsi="宋体" w:eastAsia="宋体" w:cs="宋体"/>
          <w:spacing w:val="52"/>
          <w:sz w:val="24"/>
          <w:szCs w:val="24"/>
        </w:rPr>
        <w:t xml:space="preserve"> </w:t>
      </w:r>
      <w:r>
        <w:rPr>
          <w:rFonts w:ascii="宋体" w:hAnsi="宋体" w:eastAsia="宋体" w:cs="宋体"/>
          <w:spacing w:val="-7"/>
          <w:sz w:val="24"/>
          <w:szCs w:val="24"/>
        </w:rPr>
        <w:t>设计速度</w:t>
      </w:r>
      <w:r>
        <w:rPr>
          <w:rFonts w:ascii="宋体" w:hAnsi="宋体" w:eastAsia="宋体" w:cs="宋体"/>
          <w:spacing w:val="-54"/>
          <w:sz w:val="24"/>
          <w:szCs w:val="24"/>
        </w:rPr>
        <w:t xml:space="preserve"> </w:t>
      </w:r>
      <w:r>
        <w:rPr>
          <w:rFonts w:ascii="Times New Roman" w:hAnsi="Times New Roman" w:eastAsia="Times New Roman" w:cs="Times New Roman"/>
          <w:spacing w:val="-7"/>
          <w:sz w:val="24"/>
          <w:szCs w:val="24"/>
        </w:rPr>
        <w:t>20km/</w:t>
      </w:r>
      <w:r>
        <w:rPr>
          <w:rFonts w:ascii="Times New Roman" w:hAnsi="Times New Roman" w:eastAsia="Times New Roman" w:cs="Times New Roman"/>
          <w:spacing w:val="-8"/>
          <w:sz w:val="24"/>
          <w:szCs w:val="24"/>
        </w:rPr>
        <w:t>h</w:t>
      </w:r>
      <w:r>
        <w:rPr>
          <w:rFonts w:ascii="宋体" w:hAnsi="宋体" w:eastAsia="宋体" w:cs="宋体"/>
          <w:spacing w:val="-8"/>
          <w:sz w:val="24"/>
          <w:szCs w:val="24"/>
        </w:rPr>
        <w:t>，路基宽度</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7m</w:t>
      </w:r>
      <w:r>
        <w:rPr>
          <w:rFonts w:ascii="宋体" w:hAnsi="宋体" w:eastAsia="宋体" w:cs="宋体"/>
          <w:spacing w:val="-8"/>
          <w:sz w:val="24"/>
          <w:szCs w:val="24"/>
        </w:rPr>
        <w:t>。本交叉</w:t>
      </w:r>
    </w:p>
    <w:p>
      <w:pPr>
        <w:spacing w:before="1" w:line="218" w:lineRule="auto"/>
        <w:ind w:left="542"/>
        <w:rPr>
          <w:rFonts w:ascii="宋体" w:hAnsi="宋体" w:eastAsia="宋体" w:cs="宋体"/>
          <w:sz w:val="24"/>
          <w:szCs w:val="24"/>
        </w:rPr>
      </w:pPr>
      <w:r>
        <w:rPr>
          <w:rFonts w:ascii="宋体" w:hAnsi="宋体" w:eastAsia="宋体" w:cs="宋体"/>
          <w:spacing w:val="-5"/>
          <w:sz w:val="24"/>
          <w:szCs w:val="24"/>
        </w:rPr>
        <w:t>口需采用渠化设计，并设置加减速车道。</w:t>
      </w:r>
    </w:p>
    <w:p>
      <w:pPr>
        <w:spacing w:before="179" w:line="360" w:lineRule="auto"/>
        <w:ind w:left="505" w:right="455" w:firstLine="481"/>
        <w:rPr>
          <w:rFonts w:ascii="宋体" w:hAnsi="宋体" w:eastAsia="宋体" w:cs="宋体"/>
          <w:sz w:val="24"/>
          <w:szCs w:val="24"/>
        </w:rPr>
      </w:pPr>
      <w:r>
        <w:rPr>
          <w:rFonts w:ascii="宋体" w:hAnsi="宋体" w:eastAsia="宋体" w:cs="宋体"/>
          <w:spacing w:val="-7"/>
          <w:sz w:val="24"/>
          <w:szCs w:val="24"/>
        </w:rPr>
        <w:t>本交叉口为西坑互通连接线</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 xml:space="preserve">2 </w:t>
      </w:r>
      <w:r>
        <w:rPr>
          <w:rFonts w:ascii="宋体" w:hAnsi="宋体" w:eastAsia="宋体" w:cs="宋体"/>
          <w:spacing w:val="-7"/>
          <w:sz w:val="24"/>
          <w:szCs w:val="24"/>
        </w:rPr>
        <w:t>起点处交叉口，</w:t>
      </w:r>
      <w:r>
        <w:rPr>
          <w:rFonts w:ascii="宋体" w:hAnsi="宋体" w:eastAsia="宋体" w:cs="宋体"/>
          <w:spacing w:val="36"/>
          <w:sz w:val="24"/>
          <w:szCs w:val="24"/>
        </w:rPr>
        <w:t xml:space="preserve"> </w:t>
      </w:r>
      <w:r>
        <w:rPr>
          <w:rFonts w:ascii="宋体" w:hAnsi="宋体" w:eastAsia="宋体" w:cs="宋体"/>
          <w:spacing w:val="-7"/>
          <w:sz w:val="24"/>
          <w:szCs w:val="24"/>
        </w:rPr>
        <w:t>考虑到主流交通量为</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G322</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国</w:t>
      </w:r>
      <w:r>
        <w:rPr>
          <w:rFonts w:ascii="宋体" w:hAnsi="宋体" w:eastAsia="宋体" w:cs="宋体"/>
          <w:sz w:val="24"/>
          <w:szCs w:val="24"/>
        </w:rPr>
        <w:t xml:space="preserve"> </w:t>
      </w:r>
      <w:r>
        <w:rPr>
          <w:rFonts w:ascii="宋体" w:hAnsi="宋体" w:eastAsia="宋体" w:cs="宋体"/>
          <w:spacing w:val="-2"/>
          <w:sz w:val="24"/>
          <w:szCs w:val="24"/>
        </w:rPr>
        <w:t>道与互通连接线</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之间的转向交通量，去往地方道路的转向交通量较小，因此，</w:t>
      </w:r>
      <w:r>
        <w:rPr>
          <w:rFonts w:ascii="宋体" w:hAnsi="宋体" w:eastAsia="宋体" w:cs="宋体"/>
          <w:sz w:val="24"/>
          <w:szCs w:val="24"/>
        </w:rPr>
        <w:t xml:space="preserve"> </w:t>
      </w:r>
      <w:r>
        <w:rPr>
          <w:rFonts w:ascii="宋体" w:hAnsi="宋体" w:eastAsia="宋体" w:cs="宋体"/>
          <w:spacing w:val="-4"/>
          <w:sz w:val="24"/>
          <w:szCs w:val="24"/>
        </w:rPr>
        <w:t xml:space="preserve">本次设计在 </w:t>
      </w:r>
      <w:r>
        <w:rPr>
          <w:rFonts w:ascii="Times New Roman" w:hAnsi="Times New Roman" w:eastAsia="Times New Roman" w:cs="Times New Roman"/>
          <w:spacing w:val="-4"/>
          <w:sz w:val="24"/>
          <w:szCs w:val="24"/>
        </w:rPr>
        <w:t>G322</w:t>
      </w:r>
      <w:r>
        <w:rPr>
          <w:rFonts w:ascii="Times New Roman" w:hAnsi="Times New Roman" w:eastAsia="Times New Roman" w:cs="Times New Roman"/>
          <w:spacing w:val="51"/>
          <w:sz w:val="24"/>
          <w:szCs w:val="24"/>
        </w:rPr>
        <w:t xml:space="preserve"> </w:t>
      </w:r>
      <w:r>
        <w:rPr>
          <w:rFonts w:ascii="宋体" w:hAnsi="宋体" w:eastAsia="宋体" w:cs="宋体"/>
          <w:spacing w:val="-4"/>
          <w:sz w:val="24"/>
          <w:szCs w:val="24"/>
        </w:rPr>
        <w:t>国道和互通连接线</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上均设置了加减速车道。平交口采用渠化</w:t>
      </w:r>
      <w:r>
        <w:rPr>
          <w:rFonts w:ascii="宋体" w:hAnsi="宋体" w:eastAsia="宋体" w:cs="宋体"/>
          <w:sz w:val="24"/>
          <w:szCs w:val="24"/>
        </w:rPr>
        <w:t xml:space="preserve"> </w:t>
      </w:r>
      <w:r>
        <w:rPr>
          <w:rFonts w:ascii="宋体" w:hAnsi="宋体" w:eastAsia="宋体" w:cs="宋体"/>
          <w:spacing w:val="-8"/>
          <w:sz w:val="24"/>
          <w:szCs w:val="24"/>
        </w:rPr>
        <w:t>设计， 设置信号灯管理。考虑到</w:t>
      </w:r>
      <w:r>
        <w:rPr>
          <w:rFonts w:ascii="宋体" w:hAnsi="宋体" w:eastAsia="宋体" w:cs="宋体"/>
          <w:spacing w:val="-51"/>
          <w:sz w:val="24"/>
          <w:szCs w:val="24"/>
        </w:rPr>
        <w:t xml:space="preserve"> </w:t>
      </w:r>
      <w:r>
        <w:rPr>
          <w:rFonts w:ascii="Times New Roman" w:hAnsi="Times New Roman" w:eastAsia="Times New Roman" w:cs="Times New Roman"/>
          <w:spacing w:val="-8"/>
          <w:sz w:val="24"/>
          <w:szCs w:val="24"/>
        </w:rPr>
        <w:t>G322</w:t>
      </w:r>
      <w:r>
        <w:rPr>
          <w:rFonts w:ascii="Times New Roman" w:hAnsi="Times New Roman" w:eastAsia="Times New Roman" w:cs="Times New Roman"/>
          <w:spacing w:val="32"/>
          <w:sz w:val="24"/>
          <w:szCs w:val="24"/>
        </w:rPr>
        <w:t xml:space="preserve"> </w:t>
      </w:r>
      <w:r>
        <w:rPr>
          <w:rFonts w:ascii="宋体" w:hAnsi="宋体" w:eastAsia="宋体" w:cs="宋体"/>
          <w:spacing w:val="-8"/>
          <w:sz w:val="24"/>
          <w:szCs w:val="24"/>
        </w:rPr>
        <w:t>国道平交口处需</w:t>
      </w:r>
      <w:r>
        <w:rPr>
          <w:rFonts w:ascii="宋体" w:hAnsi="宋体" w:eastAsia="宋体" w:cs="宋体"/>
          <w:spacing w:val="-9"/>
          <w:sz w:val="24"/>
          <w:szCs w:val="24"/>
        </w:rPr>
        <w:t>拓宽一个车道， 原设置于</w:t>
      </w:r>
    </w:p>
    <w:p>
      <w:pPr>
        <w:spacing w:before="1" w:line="219" w:lineRule="auto"/>
        <w:ind w:left="505"/>
        <w:rPr>
          <w:rFonts w:ascii="宋体" w:hAnsi="宋体" w:eastAsia="宋体" w:cs="宋体"/>
          <w:sz w:val="24"/>
          <w:szCs w:val="24"/>
        </w:rPr>
      </w:pPr>
      <w:r>
        <w:rPr>
          <w:rFonts w:ascii="Times New Roman" w:hAnsi="Times New Roman" w:eastAsia="Times New Roman" w:cs="Times New Roman"/>
          <w:spacing w:val="-3"/>
          <w:sz w:val="24"/>
          <w:szCs w:val="24"/>
        </w:rPr>
        <w:t>G322</w:t>
      </w:r>
      <w:r>
        <w:rPr>
          <w:rFonts w:ascii="Times New Roman" w:hAnsi="Times New Roman" w:eastAsia="Times New Roman" w:cs="Times New Roman"/>
          <w:spacing w:val="44"/>
          <w:sz w:val="24"/>
          <w:szCs w:val="24"/>
        </w:rPr>
        <w:t xml:space="preserve"> </w:t>
      </w:r>
      <w:r>
        <w:rPr>
          <w:rFonts w:ascii="宋体" w:hAnsi="宋体" w:eastAsia="宋体" w:cs="宋体"/>
          <w:spacing w:val="-3"/>
          <w:sz w:val="24"/>
          <w:szCs w:val="24"/>
        </w:rPr>
        <w:t>国道</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K76</w:t>
      </w:r>
      <w:r>
        <w:rPr>
          <w:rFonts w:ascii="宋体" w:hAnsi="宋体" w:eastAsia="宋体" w:cs="宋体"/>
          <w:spacing w:val="-3"/>
          <w:sz w:val="24"/>
          <w:szCs w:val="24"/>
        </w:rPr>
        <w:t>＋</w:t>
      </w:r>
      <w:r>
        <w:rPr>
          <w:rFonts w:ascii="Times New Roman" w:hAnsi="Times New Roman" w:eastAsia="Times New Roman" w:cs="Times New Roman"/>
          <w:spacing w:val="-3"/>
          <w:sz w:val="24"/>
          <w:szCs w:val="24"/>
        </w:rPr>
        <w:t>650</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处的驿站位置需往北侧挪动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3.5m </w:t>
      </w:r>
      <w:r>
        <w:rPr>
          <w:rFonts w:ascii="宋体" w:hAnsi="宋体" w:eastAsia="宋体" w:cs="宋体"/>
          <w:spacing w:val="-3"/>
          <w:sz w:val="24"/>
          <w:szCs w:val="24"/>
        </w:rPr>
        <w:t>左右。</w:t>
      </w:r>
    </w:p>
    <w:p>
      <w:pPr>
        <w:spacing w:before="179" w:line="220" w:lineRule="auto"/>
        <w:ind w:left="9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）大南线平交口设计方案</w:t>
      </w:r>
    </w:p>
    <w:p>
      <w:pPr>
        <w:spacing w:before="183" w:line="466" w:lineRule="exact"/>
        <w:ind w:left="991"/>
        <w:rPr>
          <w:rFonts w:ascii="宋体" w:hAnsi="宋体" w:eastAsia="宋体" w:cs="宋体"/>
          <w:sz w:val="24"/>
          <w:szCs w:val="24"/>
        </w:rPr>
      </w:pPr>
      <w:r>
        <w:rPr>
          <w:rFonts w:ascii="宋体" w:hAnsi="宋体" w:eastAsia="宋体" w:cs="宋体"/>
          <w:spacing w:val="-6"/>
          <w:position w:val="17"/>
          <w:sz w:val="24"/>
          <w:szCs w:val="24"/>
        </w:rPr>
        <w:t xml:space="preserve">西坑互通连接线 </w:t>
      </w:r>
      <w:r>
        <w:rPr>
          <w:rFonts w:ascii="Times New Roman" w:hAnsi="Times New Roman" w:eastAsia="Times New Roman" w:cs="Times New Roman"/>
          <w:spacing w:val="-6"/>
          <w:position w:val="17"/>
          <w:sz w:val="24"/>
          <w:szCs w:val="24"/>
        </w:rPr>
        <w:t>1</w:t>
      </w:r>
      <w:r>
        <w:rPr>
          <w:rFonts w:ascii="Times New Roman" w:hAnsi="Times New Roman" w:eastAsia="Times New Roman" w:cs="Times New Roman"/>
          <w:spacing w:val="47"/>
          <w:position w:val="17"/>
          <w:sz w:val="24"/>
          <w:szCs w:val="24"/>
        </w:rPr>
        <w:t xml:space="preserve"> </w:t>
      </w:r>
      <w:r>
        <w:rPr>
          <w:rFonts w:ascii="宋体" w:hAnsi="宋体" w:eastAsia="宋体" w:cs="宋体"/>
          <w:spacing w:val="-6"/>
          <w:position w:val="17"/>
          <w:sz w:val="24"/>
          <w:szCs w:val="24"/>
        </w:rPr>
        <w:t>与大南线呈</w:t>
      </w:r>
      <w:r>
        <w:rPr>
          <w:rFonts w:ascii="宋体" w:hAnsi="宋体" w:eastAsia="宋体" w:cs="宋体"/>
          <w:spacing w:val="-24"/>
          <w:position w:val="17"/>
          <w:sz w:val="24"/>
          <w:szCs w:val="24"/>
        </w:rPr>
        <w:t xml:space="preserve"> </w:t>
      </w:r>
      <w:r>
        <w:rPr>
          <w:rFonts w:ascii="Times New Roman" w:hAnsi="Times New Roman" w:eastAsia="Times New Roman" w:cs="Times New Roman"/>
          <w:spacing w:val="-6"/>
          <w:position w:val="17"/>
          <w:sz w:val="24"/>
          <w:szCs w:val="24"/>
        </w:rPr>
        <w:t>T</w:t>
      </w:r>
      <w:r>
        <w:rPr>
          <w:rFonts w:ascii="Times New Roman" w:hAnsi="Times New Roman" w:eastAsia="Times New Roman" w:cs="Times New Roman"/>
          <w:spacing w:val="45"/>
          <w:w w:val="101"/>
          <w:position w:val="17"/>
          <w:sz w:val="24"/>
          <w:szCs w:val="24"/>
        </w:rPr>
        <w:t xml:space="preserve"> </w:t>
      </w:r>
      <w:r>
        <w:rPr>
          <w:rFonts w:ascii="宋体" w:hAnsi="宋体" w:eastAsia="宋体" w:cs="宋体"/>
          <w:spacing w:val="-6"/>
          <w:position w:val="17"/>
          <w:sz w:val="24"/>
          <w:szCs w:val="24"/>
        </w:rPr>
        <w:t>型交叉， 被交道路大南线为二级公路，设</w:t>
      </w:r>
    </w:p>
    <w:p>
      <w:pPr>
        <w:spacing w:before="1" w:line="218" w:lineRule="auto"/>
        <w:ind w:left="506"/>
        <w:rPr>
          <w:rFonts w:ascii="宋体" w:hAnsi="宋体" w:eastAsia="宋体" w:cs="宋体"/>
          <w:sz w:val="24"/>
          <w:szCs w:val="24"/>
        </w:rPr>
      </w:pPr>
      <w:r>
        <w:rPr>
          <w:rFonts w:ascii="宋体" w:hAnsi="宋体" w:eastAsia="宋体" w:cs="宋体"/>
          <w:spacing w:val="-2"/>
          <w:sz w:val="24"/>
          <w:szCs w:val="24"/>
        </w:rPr>
        <w:t>计速度为</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60km/h</w:t>
      </w:r>
      <w:r>
        <w:rPr>
          <w:rFonts w:ascii="宋体" w:hAnsi="宋体" w:eastAsia="宋体" w:cs="宋体"/>
          <w:spacing w:val="-2"/>
          <w:sz w:val="24"/>
          <w:szCs w:val="24"/>
        </w:rPr>
        <w:t>。本交叉口需采用渠化设计，并设置加减速车道。</w:t>
      </w:r>
    </w:p>
    <w:p>
      <w:pPr>
        <w:spacing w:before="183" w:line="219" w:lineRule="auto"/>
        <w:ind w:left="987"/>
        <w:rPr>
          <w:rFonts w:ascii="宋体" w:hAnsi="宋体" w:eastAsia="宋体" w:cs="宋体"/>
          <w:sz w:val="24"/>
          <w:szCs w:val="24"/>
        </w:rPr>
      </w:pPr>
      <w:r>
        <w:rPr>
          <w:rFonts w:ascii="宋体" w:hAnsi="宋体" w:eastAsia="宋体" w:cs="宋体"/>
          <w:spacing w:val="-8"/>
          <w:sz w:val="24"/>
          <w:szCs w:val="24"/>
        </w:rPr>
        <w:t>本交叉口为西坑连接线</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13"/>
          <w:sz w:val="24"/>
          <w:szCs w:val="24"/>
        </w:rPr>
        <w:t xml:space="preserve"> </w:t>
      </w:r>
      <w:r>
        <w:rPr>
          <w:rFonts w:ascii="宋体" w:hAnsi="宋体" w:eastAsia="宋体" w:cs="宋体"/>
          <w:spacing w:val="-8"/>
          <w:sz w:val="24"/>
          <w:szCs w:val="24"/>
        </w:rPr>
        <w:t>终点处交叉口，</w:t>
      </w:r>
      <w:r>
        <w:rPr>
          <w:rFonts w:ascii="宋体" w:hAnsi="宋体" w:eastAsia="宋体" w:cs="宋体"/>
          <w:spacing w:val="-31"/>
          <w:sz w:val="24"/>
          <w:szCs w:val="24"/>
        </w:rPr>
        <w:t xml:space="preserve"> </w:t>
      </w:r>
      <w:r>
        <w:rPr>
          <w:rFonts w:ascii="宋体" w:hAnsi="宋体" w:eastAsia="宋体" w:cs="宋体"/>
          <w:spacing w:val="-8"/>
          <w:sz w:val="24"/>
          <w:szCs w:val="24"/>
        </w:rPr>
        <w:t>考虑到</w:t>
      </w:r>
      <w:r>
        <w:rPr>
          <w:rFonts w:ascii="宋体" w:hAnsi="宋体" w:eastAsia="宋体" w:cs="宋体"/>
          <w:spacing w:val="-9"/>
          <w:sz w:val="24"/>
          <w:szCs w:val="24"/>
        </w:rPr>
        <w:t>互通连接线</w:t>
      </w:r>
      <w:r>
        <w:rPr>
          <w:rFonts w:ascii="宋体" w:hAnsi="宋体" w:eastAsia="宋体" w:cs="宋体"/>
          <w:spacing w:val="-31"/>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与大南线之间</w:t>
      </w:r>
    </w:p>
    <w:p>
      <w:pPr>
        <w:spacing w:line="219" w:lineRule="auto"/>
        <w:rPr>
          <w:rFonts w:ascii="宋体" w:hAnsi="宋体" w:eastAsia="宋体" w:cs="宋体"/>
          <w:sz w:val="24"/>
          <w:szCs w:val="24"/>
        </w:rPr>
        <w:sectPr>
          <w:footerReference r:id="rId131" w:type="default"/>
          <w:pgSz w:w="11907" w:h="16839"/>
          <w:pgMar w:top="1118" w:right="1303" w:bottom="1184" w:left="1303" w:header="879" w:footer="1024" w:gutter="0"/>
          <w:cols w:space="720" w:num="1"/>
        </w:sectPr>
      </w:pPr>
    </w:p>
    <w:p>
      <w:pPr>
        <w:pStyle w:val="2"/>
        <w:spacing w:line="278" w:lineRule="auto"/>
      </w:pPr>
    </w:p>
    <w:p>
      <w:pPr>
        <w:spacing w:before="78" w:line="359" w:lineRule="auto"/>
        <w:ind w:left="275" w:right="234" w:hanging="16"/>
        <w:jc w:val="both"/>
        <w:rPr>
          <w:rFonts w:ascii="宋体" w:hAnsi="宋体" w:eastAsia="宋体" w:cs="宋体"/>
          <w:sz w:val="24"/>
          <w:szCs w:val="24"/>
        </w:rPr>
      </w:pPr>
      <w:r>
        <w:rPr>
          <w:rFonts w:ascii="宋体" w:hAnsi="宋体" w:eastAsia="宋体" w:cs="宋体"/>
          <w:spacing w:val="-7"/>
          <w:sz w:val="24"/>
          <w:szCs w:val="24"/>
        </w:rPr>
        <w:t>的转向交通量较大， 主线与被交路均设置了加减速车道及右转弯专用车道。平交</w:t>
      </w:r>
      <w:r>
        <w:rPr>
          <w:rFonts w:ascii="宋体" w:hAnsi="宋体" w:eastAsia="宋体" w:cs="宋体"/>
          <w:spacing w:val="5"/>
          <w:sz w:val="24"/>
          <w:szCs w:val="24"/>
        </w:rPr>
        <w:t xml:space="preserve"> </w:t>
      </w:r>
      <w:r>
        <w:rPr>
          <w:rFonts w:ascii="宋体" w:hAnsi="宋体" w:eastAsia="宋体" w:cs="宋体"/>
          <w:spacing w:val="-10"/>
          <w:sz w:val="24"/>
          <w:szCs w:val="24"/>
        </w:rPr>
        <w:t>口区域内转角导流岛采用植草绿化， 导流岛内的人形</w:t>
      </w:r>
      <w:r>
        <w:rPr>
          <w:rFonts w:ascii="宋体" w:hAnsi="宋体" w:eastAsia="宋体" w:cs="宋体"/>
          <w:spacing w:val="-11"/>
          <w:sz w:val="24"/>
          <w:szCs w:val="24"/>
        </w:rPr>
        <w:t>横道采用地面铺砖， 提高平</w:t>
      </w:r>
    </w:p>
    <w:p>
      <w:pPr>
        <w:spacing w:before="1" w:line="218" w:lineRule="auto"/>
        <w:ind w:left="244"/>
        <w:rPr>
          <w:rFonts w:ascii="宋体" w:hAnsi="宋体" w:eastAsia="宋体" w:cs="宋体"/>
          <w:sz w:val="24"/>
          <w:szCs w:val="24"/>
        </w:rPr>
      </w:pPr>
      <w:r>
        <w:rPr>
          <w:rFonts w:ascii="宋体" w:hAnsi="宋体" w:eastAsia="宋体" w:cs="宋体"/>
          <w:spacing w:val="-3"/>
          <w:sz w:val="24"/>
          <w:szCs w:val="24"/>
        </w:rPr>
        <w:t>交口整体美观。本平交口采用信号管理。</w:t>
      </w:r>
    </w:p>
    <w:p>
      <w:pPr>
        <w:spacing w:before="183" w:line="220" w:lineRule="auto"/>
        <w:ind w:left="234"/>
        <w:outlineLvl w:val="0"/>
        <w:rPr>
          <w:rFonts w:ascii="宋体" w:hAnsi="宋体" w:eastAsia="宋体" w:cs="宋体"/>
          <w:sz w:val="24"/>
          <w:szCs w:val="24"/>
        </w:rPr>
      </w:pPr>
      <w:r>
        <w:rPr>
          <w:rFonts w:ascii="Times New Roman" w:hAnsi="Times New Roman" w:eastAsia="Times New Roman" w:cs="Times New Roman"/>
          <w:b/>
          <w:bCs/>
          <w:sz w:val="24"/>
          <w:szCs w:val="24"/>
        </w:rPr>
        <w:t xml:space="preserve">3.2.7 </w:t>
      </w:r>
      <w:r>
        <w:rPr>
          <w:rFonts w:ascii="宋体" w:hAnsi="宋体" w:eastAsia="宋体" w:cs="宋体"/>
          <w:sz w:val="24"/>
          <w:szCs w:val="24"/>
          <w14:textOutline w14:w="4354" w14:cap="flat" w14:cmpd="sng">
            <w14:solidFill>
              <w14:srgbClr w14:val="000000"/>
            </w14:solidFill>
            <w14:prstDash w14:val="solid"/>
            <w14:miter w14:val="0"/>
          </w14:textOutline>
        </w:rPr>
        <w:t>交通工程及沿线设施</w:t>
      </w:r>
    </w:p>
    <w:p>
      <w:pPr>
        <w:spacing w:before="179" w:line="468" w:lineRule="exact"/>
        <w:ind w:left="720"/>
        <w:rPr>
          <w:rFonts w:ascii="宋体" w:hAnsi="宋体" w:eastAsia="宋体" w:cs="宋体"/>
          <w:sz w:val="24"/>
          <w:szCs w:val="24"/>
        </w:rPr>
      </w:pPr>
      <w:r>
        <w:rPr>
          <w:rFonts w:ascii="宋体" w:hAnsi="宋体" w:eastAsia="宋体" w:cs="宋体"/>
          <w:spacing w:val="-2"/>
          <w:position w:val="17"/>
          <w:sz w:val="24"/>
          <w:szCs w:val="24"/>
        </w:rPr>
        <w:t>本项目线路未设置服务区，项目沿线未设置管理养护机构。</w:t>
      </w:r>
    </w:p>
    <w:p>
      <w:pPr>
        <w:spacing w:before="1" w:line="218" w:lineRule="auto"/>
        <w:ind w:left="720"/>
        <w:rPr>
          <w:rFonts w:ascii="宋体" w:hAnsi="宋体" w:eastAsia="宋体" w:cs="宋体"/>
          <w:sz w:val="24"/>
          <w:szCs w:val="24"/>
        </w:rPr>
      </w:pPr>
      <w:r>
        <w:rPr>
          <w:rFonts w:ascii="宋体" w:hAnsi="宋体" w:eastAsia="宋体" w:cs="宋体"/>
          <w:spacing w:val="-3"/>
          <w:sz w:val="24"/>
          <w:szCs w:val="24"/>
        </w:rPr>
        <w:t>本项目涉及的沿线设施主要为</w:t>
      </w:r>
      <w:r>
        <w:rPr>
          <w:rFonts w:ascii="宋体" w:hAnsi="宋体" w:eastAsia="宋体" w:cs="宋体"/>
          <w:spacing w:val="-18"/>
          <w:sz w:val="24"/>
          <w:szCs w:val="24"/>
        </w:rPr>
        <w:t xml:space="preserve"> </w:t>
      </w:r>
      <w:r>
        <w:rPr>
          <w:rFonts w:ascii="Times New Roman" w:hAnsi="Times New Roman" w:eastAsia="Times New Roman" w:cs="Times New Roman"/>
          <w:spacing w:val="-3"/>
          <w:sz w:val="24"/>
          <w:szCs w:val="24"/>
        </w:rPr>
        <w:t xml:space="preserve">10kV </w:t>
      </w:r>
      <w:r>
        <w:rPr>
          <w:rFonts w:ascii="宋体" w:hAnsi="宋体" w:eastAsia="宋体" w:cs="宋体"/>
          <w:spacing w:val="-3"/>
          <w:sz w:val="24"/>
          <w:szCs w:val="24"/>
        </w:rPr>
        <w:t>变电所和高位水池等。</w:t>
      </w:r>
    </w:p>
    <w:p>
      <w:pPr>
        <w:spacing w:before="180" w:line="220" w:lineRule="auto"/>
        <w:ind w:left="234"/>
        <w:outlineLvl w:val="0"/>
        <w:rPr>
          <w:rFonts w:ascii="宋体" w:hAnsi="宋体" w:eastAsia="宋体" w:cs="宋体"/>
          <w:sz w:val="24"/>
          <w:szCs w:val="24"/>
        </w:rPr>
      </w:pPr>
      <w:bookmarkStart w:id="16" w:name="bookmark17"/>
      <w:bookmarkEnd w:id="16"/>
      <w:r>
        <w:rPr>
          <w:rFonts w:ascii="Times New Roman" w:hAnsi="Times New Roman" w:eastAsia="Times New Roman" w:cs="Times New Roman"/>
          <w:b/>
          <w:bCs/>
          <w:spacing w:val="-2"/>
          <w:sz w:val="24"/>
          <w:szCs w:val="24"/>
        </w:rPr>
        <w:t>3.2.8</w:t>
      </w:r>
      <w:r>
        <w:rPr>
          <w:rFonts w:ascii="Times New Roman" w:hAnsi="Times New Roman" w:eastAsia="Times New Roman" w:cs="Times New Roman"/>
          <w:b/>
          <w:bCs/>
          <w:spacing w:val="17"/>
          <w:w w:val="101"/>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改移工程</w:t>
      </w:r>
    </w:p>
    <w:p>
      <w:pPr>
        <w:spacing w:before="183" w:line="466" w:lineRule="exact"/>
        <w:ind w:left="720"/>
        <w:rPr>
          <w:rFonts w:ascii="宋体" w:hAnsi="宋体" w:eastAsia="宋体" w:cs="宋体"/>
          <w:sz w:val="24"/>
          <w:szCs w:val="24"/>
        </w:rPr>
      </w:pPr>
      <w:r>
        <w:rPr>
          <w:rFonts w:ascii="宋体" w:hAnsi="宋体" w:eastAsia="宋体" w:cs="宋体"/>
          <w:spacing w:val="-2"/>
          <w:position w:val="17"/>
          <w:sz w:val="24"/>
          <w:szCs w:val="24"/>
        </w:rPr>
        <w:t>本项目改移工程主要涉及改路和改渠，主要情况见表</w:t>
      </w:r>
      <w:r>
        <w:rPr>
          <w:rFonts w:ascii="宋体" w:hAnsi="宋体" w:eastAsia="宋体" w:cs="宋体"/>
          <w:spacing w:val="-49"/>
          <w:position w:val="17"/>
          <w:sz w:val="24"/>
          <w:szCs w:val="24"/>
        </w:rPr>
        <w:t xml:space="preserve"> </w:t>
      </w:r>
      <w:r>
        <w:rPr>
          <w:rFonts w:ascii="Times New Roman" w:hAnsi="Times New Roman" w:eastAsia="Times New Roman" w:cs="Times New Roman"/>
          <w:spacing w:val="-2"/>
          <w:position w:val="17"/>
          <w:sz w:val="24"/>
          <w:szCs w:val="24"/>
        </w:rPr>
        <w:t>3.2-</w:t>
      </w:r>
      <w:r>
        <w:rPr>
          <w:rFonts w:ascii="Times New Roman" w:hAnsi="Times New Roman" w:eastAsia="Times New Roman" w:cs="Times New Roman"/>
          <w:spacing w:val="-32"/>
          <w:position w:val="17"/>
          <w:sz w:val="24"/>
          <w:szCs w:val="24"/>
        </w:rPr>
        <w:t xml:space="preserve"> </w:t>
      </w:r>
      <w:r>
        <w:rPr>
          <w:rFonts w:ascii="Times New Roman" w:hAnsi="Times New Roman" w:eastAsia="Times New Roman" w:cs="Times New Roman"/>
          <w:spacing w:val="-2"/>
          <w:position w:val="17"/>
          <w:sz w:val="24"/>
          <w:szCs w:val="24"/>
        </w:rPr>
        <w:t>11</w:t>
      </w:r>
      <w:r>
        <w:rPr>
          <w:rFonts w:ascii="宋体" w:hAnsi="宋体" w:eastAsia="宋体" w:cs="宋体"/>
          <w:spacing w:val="-2"/>
          <w:position w:val="17"/>
          <w:sz w:val="24"/>
          <w:szCs w:val="24"/>
        </w:rPr>
        <w:t>。</w:t>
      </w:r>
    </w:p>
    <w:p>
      <w:pPr>
        <w:spacing w:before="1" w:line="219" w:lineRule="auto"/>
        <w:ind w:left="2615"/>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3.2-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 xml:space="preserve">11        </w:t>
      </w:r>
      <w:r>
        <w:rPr>
          <w:rFonts w:ascii="宋体" w:hAnsi="宋体" w:eastAsia="宋体" w:cs="宋体"/>
          <w:spacing w:val="-3"/>
          <w:sz w:val="24"/>
          <w:szCs w:val="24"/>
        </w:rPr>
        <w:t>改移工程情况一览表</w:t>
      </w:r>
    </w:p>
    <w:p>
      <w:pPr>
        <w:spacing w:line="146" w:lineRule="exact"/>
      </w:pPr>
    </w:p>
    <w:tbl>
      <w:tblPr>
        <w:tblStyle w:val="5"/>
        <w:tblW w:w="8523"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317"/>
        <w:gridCol w:w="1597"/>
        <w:gridCol w:w="1216"/>
        <w:gridCol w:w="1216"/>
        <w:gridCol w:w="1217"/>
        <w:gridCol w:w="1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39" w:type="dxa"/>
            <w:vAlign w:val="top"/>
          </w:tcPr>
          <w:p>
            <w:pPr>
              <w:pStyle w:val="6"/>
              <w:spacing w:before="55" w:line="222" w:lineRule="auto"/>
              <w:ind w:left="163"/>
            </w:pPr>
            <w:r>
              <w:rPr>
                <w:spacing w:val="-2"/>
              </w:rPr>
              <w:t>序号</w:t>
            </w:r>
          </w:p>
        </w:tc>
        <w:tc>
          <w:tcPr>
            <w:tcW w:w="1317" w:type="dxa"/>
            <w:vAlign w:val="top"/>
          </w:tcPr>
          <w:p>
            <w:pPr>
              <w:pStyle w:val="6"/>
              <w:spacing w:before="55" w:line="221" w:lineRule="auto"/>
              <w:ind w:left="260"/>
            </w:pPr>
            <w:r>
              <w:rPr>
                <w:spacing w:val="-7"/>
              </w:rPr>
              <w:t>中心桩号</w:t>
            </w:r>
          </w:p>
        </w:tc>
        <w:tc>
          <w:tcPr>
            <w:tcW w:w="1597" w:type="dxa"/>
            <w:vAlign w:val="top"/>
          </w:tcPr>
          <w:p>
            <w:pPr>
              <w:pStyle w:val="6"/>
              <w:spacing w:before="55" w:line="223" w:lineRule="auto"/>
              <w:ind w:left="595"/>
            </w:pPr>
            <w:r>
              <w:rPr>
                <w:spacing w:val="-3"/>
              </w:rPr>
              <w:t>名称</w:t>
            </w:r>
          </w:p>
        </w:tc>
        <w:tc>
          <w:tcPr>
            <w:tcW w:w="1216" w:type="dxa"/>
            <w:vAlign w:val="top"/>
          </w:tcPr>
          <w:p>
            <w:pPr>
              <w:pStyle w:val="6"/>
              <w:spacing w:before="56" w:line="224" w:lineRule="auto"/>
              <w:ind w:left="114"/>
            </w:pPr>
            <w:r>
              <w:rPr>
                <w:spacing w:val="-1"/>
              </w:rPr>
              <w:t>长度（</w:t>
            </w:r>
            <w:r>
              <w:rPr>
                <w:rFonts w:ascii="Times New Roman" w:hAnsi="Times New Roman" w:eastAsia="Times New Roman" w:cs="Times New Roman"/>
                <w:spacing w:val="-1"/>
              </w:rPr>
              <w:t>m</w:t>
            </w:r>
            <w:r>
              <w:rPr>
                <w:spacing w:val="-1"/>
              </w:rPr>
              <w:t>）</w:t>
            </w:r>
          </w:p>
        </w:tc>
        <w:tc>
          <w:tcPr>
            <w:tcW w:w="1216" w:type="dxa"/>
            <w:vAlign w:val="top"/>
          </w:tcPr>
          <w:p>
            <w:pPr>
              <w:pStyle w:val="6"/>
              <w:spacing w:before="56" w:line="224" w:lineRule="auto"/>
              <w:ind w:left="115"/>
            </w:pPr>
            <w:r>
              <w:rPr>
                <w:spacing w:val="-1"/>
              </w:rPr>
              <w:t>顶宽（</w:t>
            </w:r>
            <w:r>
              <w:rPr>
                <w:rFonts w:ascii="Times New Roman" w:hAnsi="Times New Roman" w:eastAsia="Times New Roman" w:cs="Times New Roman"/>
                <w:spacing w:val="-1"/>
              </w:rPr>
              <w:t>m</w:t>
            </w:r>
            <w:r>
              <w:rPr>
                <w:spacing w:val="-1"/>
              </w:rPr>
              <w:t>）</w:t>
            </w:r>
          </w:p>
        </w:tc>
        <w:tc>
          <w:tcPr>
            <w:tcW w:w="1217" w:type="dxa"/>
            <w:vAlign w:val="top"/>
          </w:tcPr>
          <w:p>
            <w:pPr>
              <w:pStyle w:val="6"/>
              <w:spacing w:before="56" w:line="224" w:lineRule="auto"/>
              <w:ind w:left="115"/>
            </w:pPr>
            <w:r>
              <w:rPr>
                <w:spacing w:val="-1"/>
              </w:rPr>
              <w:t>底宽（</w:t>
            </w:r>
            <w:r>
              <w:rPr>
                <w:rFonts w:ascii="Times New Roman" w:hAnsi="Times New Roman" w:eastAsia="Times New Roman" w:cs="Times New Roman"/>
                <w:spacing w:val="-1"/>
              </w:rPr>
              <w:t>m</w:t>
            </w:r>
            <w:r>
              <w:rPr>
                <w:spacing w:val="-1"/>
              </w:rPr>
              <w:t>）</w:t>
            </w:r>
          </w:p>
        </w:tc>
        <w:tc>
          <w:tcPr>
            <w:tcW w:w="1221" w:type="dxa"/>
            <w:vAlign w:val="top"/>
          </w:tcPr>
          <w:p>
            <w:pPr>
              <w:pStyle w:val="6"/>
              <w:spacing w:before="56" w:line="224" w:lineRule="auto"/>
              <w:ind w:left="122"/>
            </w:pPr>
            <w:r>
              <w:rPr>
                <w:spacing w:val="-2"/>
              </w:rPr>
              <w:t>高度（</w:t>
            </w:r>
            <w:r>
              <w:rPr>
                <w:rFonts w:ascii="Times New Roman" w:hAnsi="Times New Roman" w:eastAsia="Times New Roman" w:cs="Times New Roman"/>
                <w:spacing w:val="-2"/>
              </w:rPr>
              <w:t>m</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39" w:type="dxa"/>
            <w:vAlign w:val="top"/>
          </w:tcPr>
          <w:p>
            <w:pPr>
              <w:spacing w:before="90" w:line="187" w:lineRule="auto"/>
              <w:ind w:left="33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17" w:type="dxa"/>
            <w:vAlign w:val="top"/>
          </w:tcPr>
          <w:p>
            <w:pPr>
              <w:spacing w:before="90"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L1K4+357</w:t>
            </w:r>
          </w:p>
        </w:tc>
        <w:tc>
          <w:tcPr>
            <w:tcW w:w="1597" w:type="dxa"/>
            <w:vAlign w:val="top"/>
          </w:tcPr>
          <w:p>
            <w:pPr>
              <w:pStyle w:val="6"/>
              <w:spacing w:before="51" w:line="221" w:lineRule="auto"/>
              <w:ind w:left="599"/>
            </w:pPr>
            <w:r>
              <w:rPr>
                <w:spacing w:val="-4"/>
              </w:rPr>
              <w:t>改渠</w:t>
            </w:r>
          </w:p>
        </w:tc>
        <w:tc>
          <w:tcPr>
            <w:tcW w:w="1216" w:type="dxa"/>
            <w:vAlign w:val="top"/>
          </w:tcPr>
          <w:p>
            <w:pPr>
              <w:spacing w:before="90" w:line="187" w:lineRule="auto"/>
              <w:ind w:left="5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216" w:type="dxa"/>
            <w:vAlign w:val="top"/>
          </w:tcPr>
          <w:p>
            <w:pPr>
              <w:rPr>
                <w:rFonts w:ascii="Arial"/>
                <w:sz w:val="21"/>
              </w:rPr>
            </w:pPr>
          </w:p>
        </w:tc>
        <w:tc>
          <w:tcPr>
            <w:tcW w:w="1217" w:type="dxa"/>
            <w:vAlign w:val="top"/>
          </w:tcPr>
          <w:p>
            <w:pPr>
              <w:spacing w:before="90"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221" w:type="dxa"/>
            <w:vAlign w:val="top"/>
          </w:tcPr>
          <w:p>
            <w:pPr>
              <w:spacing w:before="90"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39" w:type="dxa"/>
            <w:vMerge w:val="restart"/>
            <w:tcBorders>
              <w:bottom w:val="nil"/>
            </w:tcBorders>
            <w:vAlign w:val="top"/>
          </w:tcPr>
          <w:p>
            <w:pPr>
              <w:spacing w:before="25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317" w:type="dxa"/>
            <w:vMerge w:val="restart"/>
            <w:tcBorders>
              <w:bottom w:val="nil"/>
            </w:tcBorders>
            <w:vAlign w:val="top"/>
          </w:tcPr>
          <w:p>
            <w:pPr>
              <w:spacing w:before="251" w:line="187" w:lineRule="auto"/>
              <w:ind w:left="1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L1K0+463.2</w:t>
            </w:r>
          </w:p>
        </w:tc>
        <w:tc>
          <w:tcPr>
            <w:tcW w:w="1597" w:type="dxa"/>
            <w:vAlign w:val="top"/>
          </w:tcPr>
          <w:p>
            <w:pPr>
              <w:pStyle w:val="6"/>
              <w:spacing w:before="52" w:line="220" w:lineRule="auto"/>
              <w:ind w:left="391"/>
            </w:pPr>
            <w:r>
              <w:rPr>
                <w:spacing w:val="-4"/>
              </w:rPr>
              <w:t>改机耕路</w:t>
            </w:r>
          </w:p>
        </w:tc>
        <w:tc>
          <w:tcPr>
            <w:tcW w:w="1216" w:type="dxa"/>
            <w:vAlign w:val="top"/>
          </w:tcPr>
          <w:p>
            <w:pPr>
              <w:spacing w:before="90" w:line="187"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407</w:t>
            </w:r>
          </w:p>
        </w:tc>
        <w:tc>
          <w:tcPr>
            <w:tcW w:w="1216" w:type="dxa"/>
            <w:vAlign w:val="top"/>
          </w:tcPr>
          <w:p>
            <w:pPr>
              <w:spacing w:before="90" w:line="187" w:lineRule="auto"/>
              <w:ind w:left="4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1217" w:type="dxa"/>
            <w:vAlign w:val="top"/>
          </w:tcPr>
          <w:p>
            <w:pPr>
              <w:rPr>
                <w:rFonts w:ascii="Arial"/>
                <w:sz w:val="21"/>
              </w:rPr>
            </w:pPr>
          </w:p>
        </w:tc>
        <w:tc>
          <w:tcPr>
            <w:tcW w:w="12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39" w:type="dxa"/>
            <w:vMerge w:val="continue"/>
            <w:tcBorders>
              <w:top w:val="nil"/>
            </w:tcBorders>
            <w:vAlign w:val="top"/>
          </w:tcPr>
          <w:p>
            <w:pPr>
              <w:rPr>
                <w:rFonts w:ascii="Arial"/>
                <w:sz w:val="21"/>
              </w:rPr>
            </w:pPr>
          </w:p>
        </w:tc>
        <w:tc>
          <w:tcPr>
            <w:tcW w:w="1317" w:type="dxa"/>
            <w:vMerge w:val="continue"/>
            <w:tcBorders>
              <w:top w:val="nil"/>
            </w:tcBorders>
            <w:vAlign w:val="top"/>
          </w:tcPr>
          <w:p>
            <w:pPr>
              <w:rPr>
                <w:rFonts w:ascii="Arial"/>
                <w:sz w:val="21"/>
              </w:rPr>
            </w:pPr>
          </w:p>
        </w:tc>
        <w:tc>
          <w:tcPr>
            <w:tcW w:w="1597" w:type="dxa"/>
            <w:vAlign w:val="top"/>
          </w:tcPr>
          <w:p>
            <w:pPr>
              <w:pStyle w:val="6"/>
              <w:spacing w:before="52" w:line="221" w:lineRule="auto"/>
              <w:ind w:left="599"/>
            </w:pPr>
            <w:r>
              <w:rPr>
                <w:spacing w:val="-4"/>
              </w:rPr>
              <w:t>改渠</w:t>
            </w:r>
          </w:p>
        </w:tc>
        <w:tc>
          <w:tcPr>
            <w:tcW w:w="1216" w:type="dxa"/>
            <w:vAlign w:val="top"/>
          </w:tcPr>
          <w:p>
            <w:pPr>
              <w:spacing w:before="91"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127</w:t>
            </w:r>
          </w:p>
        </w:tc>
        <w:tc>
          <w:tcPr>
            <w:tcW w:w="1216" w:type="dxa"/>
            <w:vAlign w:val="top"/>
          </w:tcPr>
          <w:p>
            <w:pPr>
              <w:spacing w:before="91" w:line="18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217" w:type="dxa"/>
            <w:vAlign w:val="top"/>
          </w:tcPr>
          <w:p>
            <w:pPr>
              <w:spacing w:before="91"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221" w:type="dxa"/>
            <w:vAlign w:val="top"/>
          </w:tcPr>
          <w:p>
            <w:pPr>
              <w:spacing w:before="91" w:line="187" w:lineRule="auto"/>
              <w:ind w:left="50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39" w:type="dxa"/>
            <w:vMerge w:val="restart"/>
            <w:tcBorders>
              <w:bottom w:val="nil"/>
            </w:tcBorders>
            <w:vAlign w:val="top"/>
          </w:tcPr>
          <w:p>
            <w:pPr>
              <w:spacing w:before="255" w:line="187" w:lineRule="auto"/>
              <w:ind w:left="32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317" w:type="dxa"/>
            <w:vMerge w:val="restart"/>
            <w:tcBorders>
              <w:bottom w:val="nil"/>
            </w:tcBorders>
            <w:vAlign w:val="top"/>
          </w:tcPr>
          <w:p>
            <w:pPr>
              <w:spacing w:before="255"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L2K0+744</w:t>
            </w:r>
          </w:p>
        </w:tc>
        <w:tc>
          <w:tcPr>
            <w:tcW w:w="1597" w:type="dxa"/>
            <w:vAlign w:val="top"/>
          </w:tcPr>
          <w:p>
            <w:pPr>
              <w:pStyle w:val="6"/>
              <w:spacing w:before="55" w:line="220" w:lineRule="auto"/>
              <w:ind w:left="494"/>
            </w:pPr>
            <w:r>
              <w:rPr>
                <w:spacing w:val="-3"/>
              </w:rPr>
              <w:t>改村道</w:t>
            </w:r>
          </w:p>
        </w:tc>
        <w:tc>
          <w:tcPr>
            <w:tcW w:w="1216" w:type="dxa"/>
            <w:vAlign w:val="top"/>
          </w:tcPr>
          <w:p>
            <w:pPr>
              <w:spacing w:before="94" w:line="187" w:lineRule="auto"/>
              <w:ind w:left="4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562</w:t>
            </w:r>
          </w:p>
        </w:tc>
        <w:tc>
          <w:tcPr>
            <w:tcW w:w="1216" w:type="dxa"/>
            <w:vAlign w:val="top"/>
          </w:tcPr>
          <w:p>
            <w:pPr>
              <w:spacing w:before="94" w:line="187" w:lineRule="auto"/>
              <w:ind w:left="4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1217" w:type="dxa"/>
            <w:vAlign w:val="top"/>
          </w:tcPr>
          <w:p>
            <w:pPr>
              <w:spacing w:before="90" w:line="217" w:lineRule="auto"/>
              <w:ind w:left="57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21" w:type="dxa"/>
            <w:vAlign w:val="top"/>
          </w:tcPr>
          <w:p>
            <w:pPr>
              <w:spacing w:before="90" w:line="217" w:lineRule="auto"/>
              <w:ind w:left="57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39" w:type="dxa"/>
            <w:vMerge w:val="continue"/>
            <w:tcBorders>
              <w:top w:val="nil"/>
            </w:tcBorders>
            <w:vAlign w:val="top"/>
          </w:tcPr>
          <w:p>
            <w:pPr>
              <w:rPr>
                <w:rFonts w:ascii="Arial"/>
                <w:sz w:val="21"/>
              </w:rPr>
            </w:pPr>
          </w:p>
        </w:tc>
        <w:tc>
          <w:tcPr>
            <w:tcW w:w="1317" w:type="dxa"/>
            <w:vMerge w:val="continue"/>
            <w:tcBorders>
              <w:top w:val="nil"/>
            </w:tcBorders>
            <w:vAlign w:val="top"/>
          </w:tcPr>
          <w:p>
            <w:pPr>
              <w:rPr>
                <w:rFonts w:ascii="Arial"/>
                <w:sz w:val="21"/>
              </w:rPr>
            </w:pPr>
          </w:p>
        </w:tc>
        <w:tc>
          <w:tcPr>
            <w:tcW w:w="1597" w:type="dxa"/>
            <w:vAlign w:val="top"/>
          </w:tcPr>
          <w:p>
            <w:pPr>
              <w:pStyle w:val="6"/>
              <w:spacing w:before="52" w:line="221" w:lineRule="auto"/>
              <w:ind w:left="599"/>
            </w:pPr>
            <w:r>
              <w:rPr>
                <w:spacing w:val="-4"/>
              </w:rPr>
              <w:t>改渠</w:t>
            </w:r>
          </w:p>
        </w:tc>
        <w:tc>
          <w:tcPr>
            <w:tcW w:w="1216" w:type="dxa"/>
            <w:vAlign w:val="top"/>
          </w:tcPr>
          <w:p>
            <w:pPr>
              <w:spacing w:before="92"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121</w:t>
            </w:r>
          </w:p>
        </w:tc>
        <w:tc>
          <w:tcPr>
            <w:tcW w:w="1216" w:type="dxa"/>
            <w:vAlign w:val="top"/>
          </w:tcPr>
          <w:p>
            <w:pPr>
              <w:spacing w:before="91" w:line="187" w:lineRule="auto"/>
              <w:ind w:left="50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c>
          <w:tcPr>
            <w:tcW w:w="1217" w:type="dxa"/>
            <w:vAlign w:val="top"/>
          </w:tcPr>
          <w:p>
            <w:pPr>
              <w:spacing w:before="91" w:line="187" w:lineRule="auto"/>
              <w:ind w:left="50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c>
          <w:tcPr>
            <w:tcW w:w="1221" w:type="dxa"/>
            <w:vAlign w:val="top"/>
          </w:tcPr>
          <w:p>
            <w:pPr>
              <w:spacing w:before="91" w:line="187" w:lineRule="auto"/>
              <w:ind w:left="50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39" w:type="dxa"/>
            <w:vAlign w:val="top"/>
          </w:tcPr>
          <w:p>
            <w:pPr>
              <w:spacing w:before="92" w:line="187" w:lineRule="auto"/>
              <w:ind w:left="31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317" w:type="dxa"/>
            <w:vAlign w:val="top"/>
          </w:tcPr>
          <w:p>
            <w:pPr>
              <w:spacing w:before="92"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L2K0+250</w:t>
            </w:r>
          </w:p>
        </w:tc>
        <w:tc>
          <w:tcPr>
            <w:tcW w:w="1597" w:type="dxa"/>
            <w:vAlign w:val="top"/>
          </w:tcPr>
          <w:p>
            <w:pPr>
              <w:pStyle w:val="6"/>
              <w:spacing w:before="53" w:line="221" w:lineRule="auto"/>
              <w:ind w:left="494"/>
            </w:pPr>
            <w:r>
              <w:rPr>
                <w:spacing w:val="-3"/>
              </w:rPr>
              <w:t>改小路</w:t>
            </w:r>
          </w:p>
        </w:tc>
        <w:tc>
          <w:tcPr>
            <w:tcW w:w="1216" w:type="dxa"/>
            <w:vAlign w:val="top"/>
          </w:tcPr>
          <w:p>
            <w:pPr>
              <w:spacing w:before="92" w:line="187" w:lineRule="auto"/>
              <w:ind w:left="5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216" w:type="dxa"/>
            <w:vAlign w:val="top"/>
          </w:tcPr>
          <w:p>
            <w:pPr>
              <w:spacing w:before="92" w:line="187" w:lineRule="auto"/>
              <w:ind w:left="4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217" w:type="dxa"/>
            <w:vAlign w:val="top"/>
          </w:tcPr>
          <w:p>
            <w:pPr>
              <w:spacing w:before="88" w:line="216" w:lineRule="auto"/>
              <w:ind w:left="57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21" w:type="dxa"/>
            <w:vAlign w:val="top"/>
          </w:tcPr>
          <w:p>
            <w:pPr>
              <w:spacing w:before="88" w:line="216" w:lineRule="auto"/>
              <w:ind w:left="57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39" w:type="dxa"/>
            <w:vAlign w:val="top"/>
          </w:tcPr>
          <w:p>
            <w:pPr>
              <w:spacing w:before="96" w:line="184"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17" w:type="dxa"/>
            <w:vAlign w:val="top"/>
          </w:tcPr>
          <w:p>
            <w:pPr>
              <w:spacing w:before="93"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L2K0+870</w:t>
            </w:r>
          </w:p>
        </w:tc>
        <w:tc>
          <w:tcPr>
            <w:tcW w:w="1597" w:type="dxa"/>
            <w:vAlign w:val="top"/>
          </w:tcPr>
          <w:p>
            <w:pPr>
              <w:pStyle w:val="6"/>
              <w:spacing w:before="54" w:line="220" w:lineRule="auto"/>
              <w:ind w:left="391"/>
            </w:pPr>
            <w:r>
              <w:rPr>
                <w:spacing w:val="-4"/>
              </w:rPr>
              <w:t>改机耕路</w:t>
            </w:r>
          </w:p>
        </w:tc>
        <w:tc>
          <w:tcPr>
            <w:tcW w:w="1216" w:type="dxa"/>
            <w:vAlign w:val="top"/>
          </w:tcPr>
          <w:p>
            <w:pPr>
              <w:spacing w:before="93" w:line="187"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1392.0</w:t>
            </w:r>
          </w:p>
        </w:tc>
        <w:tc>
          <w:tcPr>
            <w:tcW w:w="1216" w:type="dxa"/>
            <w:vAlign w:val="top"/>
          </w:tcPr>
          <w:p>
            <w:pPr>
              <w:spacing w:before="89" w:line="191" w:lineRule="auto"/>
              <w:ind w:left="40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5/6.5</w:t>
            </w:r>
          </w:p>
        </w:tc>
        <w:tc>
          <w:tcPr>
            <w:tcW w:w="1217" w:type="dxa"/>
            <w:vAlign w:val="top"/>
          </w:tcPr>
          <w:p>
            <w:pPr>
              <w:spacing w:before="89" w:line="215" w:lineRule="auto"/>
              <w:ind w:left="57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21" w:type="dxa"/>
            <w:vAlign w:val="top"/>
          </w:tcPr>
          <w:p>
            <w:pPr>
              <w:spacing w:before="89" w:line="215" w:lineRule="auto"/>
              <w:ind w:left="57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739" w:type="dxa"/>
            <w:vAlign w:val="top"/>
          </w:tcPr>
          <w:p>
            <w:pPr>
              <w:spacing w:before="98"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317" w:type="dxa"/>
            <w:vAlign w:val="top"/>
          </w:tcPr>
          <w:p>
            <w:pPr>
              <w:spacing w:before="9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L2K1+181</w:t>
            </w:r>
          </w:p>
        </w:tc>
        <w:tc>
          <w:tcPr>
            <w:tcW w:w="1597" w:type="dxa"/>
            <w:vAlign w:val="top"/>
          </w:tcPr>
          <w:p>
            <w:pPr>
              <w:pStyle w:val="6"/>
              <w:spacing w:before="59" w:line="221" w:lineRule="auto"/>
              <w:ind w:left="599"/>
            </w:pPr>
            <w:r>
              <w:rPr>
                <w:spacing w:val="-4"/>
              </w:rPr>
              <w:t>改渠</w:t>
            </w:r>
          </w:p>
        </w:tc>
        <w:tc>
          <w:tcPr>
            <w:tcW w:w="1216" w:type="dxa"/>
            <w:vAlign w:val="top"/>
          </w:tcPr>
          <w:p>
            <w:pPr>
              <w:spacing w:before="98" w:line="187" w:lineRule="auto"/>
              <w:ind w:left="5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1216" w:type="dxa"/>
            <w:vAlign w:val="top"/>
          </w:tcPr>
          <w:p>
            <w:pPr>
              <w:spacing w:before="98" w:line="187" w:lineRule="auto"/>
              <w:ind w:left="50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1217" w:type="dxa"/>
            <w:vAlign w:val="top"/>
          </w:tcPr>
          <w:p>
            <w:pPr>
              <w:spacing w:before="98" w:line="187" w:lineRule="auto"/>
              <w:ind w:left="44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1.56</w:t>
            </w:r>
          </w:p>
        </w:tc>
        <w:tc>
          <w:tcPr>
            <w:tcW w:w="1221" w:type="dxa"/>
            <w:vAlign w:val="top"/>
          </w:tcPr>
          <w:p>
            <w:pPr>
              <w:spacing w:before="98" w:line="187" w:lineRule="auto"/>
              <w:ind w:left="50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1.8</w:t>
            </w:r>
          </w:p>
        </w:tc>
      </w:tr>
    </w:tbl>
    <w:p>
      <w:pPr>
        <w:spacing w:before="198" w:line="221" w:lineRule="auto"/>
        <w:ind w:left="234"/>
        <w:outlineLvl w:val="0"/>
        <w:rPr>
          <w:rFonts w:ascii="宋体" w:hAnsi="宋体" w:eastAsia="宋体" w:cs="宋体"/>
          <w:sz w:val="28"/>
          <w:szCs w:val="28"/>
        </w:rPr>
      </w:pPr>
      <w:bookmarkStart w:id="17" w:name="bookmark18"/>
      <w:bookmarkEnd w:id="17"/>
      <w:r>
        <w:rPr>
          <w:rFonts w:ascii="Times New Roman" w:hAnsi="Times New Roman" w:eastAsia="Times New Roman" w:cs="Times New Roman"/>
          <w:b/>
          <w:bCs/>
          <w:sz w:val="28"/>
          <w:szCs w:val="28"/>
        </w:rPr>
        <w:t xml:space="preserve">3.3 </w:t>
      </w:r>
      <w:r>
        <w:rPr>
          <w:rFonts w:ascii="宋体" w:hAnsi="宋体" w:eastAsia="宋体" w:cs="宋体"/>
          <w:sz w:val="28"/>
          <w:szCs w:val="28"/>
          <w14:textOutline w14:w="5094" w14:cap="flat" w14:cmpd="sng">
            <w14:solidFill>
              <w14:srgbClr w14:val="000000"/>
            </w14:solidFill>
            <w14:prstDash w14:val="solid"/>
            <w14:miter w14:val="0"/>
          </w14:textOutline>
        </w:rPr>
        <w:t>项目交通量</w:t>
      </w:r>
    </w:p>
    <w:p>
      <w:pPr>
        <w:spacing w:before="203" w:line="220" w:lineRule="auto"/>
        <w:ind w:left="234"/>
        <w:outlineLvl w:val="1"/>
        <w:rPr>
          <w:rFonts w:ascii="宋体" w:hAnsi="宋体" w:eastAsia="宋体" w:cs="宋体"/>
          <w:sz w:val="24"/>
          <w:szCs w:val="24"/>
        </w:rPr>
      </w:pPr>
      <w:r>
        <w:rPr>
          <w:rFonts w:ascii="Times New Roman" w:hAnsi="Times New Roman" w:eastAsia="Times New Roman" w:cs="Times New Roman"/>
          <w:b/>
          <w:bCs/>
          <w:sz w:val="24"/>
          <w:szCs w:val="24"/>
        </w:rPr>
        <w:t xml:space="preserve">3.3.1 </w:t>
      </w:r>
      <w:r>
        <w:rPr>
          <w:rFonts w:ascii="宋体" w:hAnsi="宋体" w:eastAsia="宋体" w:cs="宋体"/>
          <w:sz w:val="24"/>
          <w:szCs w:val="24"/>
          <w14:textOutline w14:w="4354" w14:cap="flat" w14:cmpd="sng">
            <w14:solidFill>
              <w14:srgbClr w14:val="000000"/>
            </w14:solidFill>
            <w14:prstDash w14:val="solid"/>
            <w14:miter w14:val="0"/>
          </w14:textOutline>
        </w:rPr>
        <w:t>设计交通量和车型比</w:t>
      </w:r>
    </w:p>
    <w:p>
      <w:pPr>
        <w:spacing w:before="183" w:line="465" w:lineRule="exact"/>
        <w:ind w:left="719"/>
        <w:rPr>
          <w:rFonts w:ascii="宋体" w:hAnsi="宋体" w:eastAsia="宋体" w:cs="宋体"/>
          <w:sz w:val="24"/>
          <w:szCs w:val="24"/>
        </w:rPr>
      </w:pPr>
      <w:r>
        <w:rPr>
          <w:rFonts w:ascii="宋体" w:hAnsi="宋体" w:eastAsia="宋体" w:cs="宋体"/>
          <w:spacing w:val="-3"/>
          <w:position w:val="17"/>
          <w:sz w:val="24"/>
          <w:szCs w:val="24"/>
        </w:rPr>
        <w:t>根据本工程可研报告和补充材料，本工程主</w:t>
      </w:r>
      <w:r>
        <w:rPr>
          <w:rFonts w:ascii="宋体" w:hAnsi="宋体" w:eastAsia="宋体" w:cs="宋体"/>
          <w:spacing w:val="-4"/>
          <w:position w:val="17"/>
          <w:sz w:val="24"/>
          <w:szCs w:val="24"/>
        </w:rPr>
        <w:t>线各段路线设计年度交通量情况</w:t>
      </w:r>
    </w:p>
    <w:p>
      <w:pPr>
        <w:spacing w:before="1" w:line="219" w:lineRule="auto"/>
        <w:ind w:left="243"/>
        <w:rPr>
          <w:rFonts w:ascii="宋体" w:hAnsi="宋体" w:eastAsia="宋体" w:cs="宋体"/>
          <w:sz w:val="24"/>
          <w:szCs w:val="24"/>
        </w:rPr>
      </w:pPr>
      <w:r>
        <w:rPr>
          <w:rFonts w:ascii="宋体" w:hAnsi="宋体" w:eastAsia="宋体" w:cs="宋体"/>
          <w:spacing w:val="-3"/>
          <w:sz w:val="24"/>
          <w:szCs w:val="24"/>
        </w:rPr>
        <w:t>见表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1~2</w:t>
      </w:r>
      <w:r>
        <w:rPr>
          <w:rFonts w:ascii="宋体" w:hAnsi="宋体" w:eastAsia="宋体" w:cs="宋体"/>
          <w:spacing w:val="-3"/>
          <w:sz w:val="24"/>
          <w:szCs w:val="24"/>
        </w:rPr>
        <w:t>，车型构成比例见表</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3.3</w:t>
      </w:r>
      <w:r>
        <w:rPr>
          <w:rFonts w:ascii="Times New Roman" w:hAnsi="Times New Roman" w:eastAsia="Times New Roman" w:cs="Times New Roman"/>
          <w:spacing w:val="-4"/>
          <w:sz w:val="24"/>
          <w:szCs w:val="24"/>
        </w:rPr>
        <w:t>-3</w:t>
      </w:r>
      <w:r>
        <w:rPr>
          <w:rFonts w:ascii="宋体" w:hAnsi="宋体" w:eastAsia="宋体" w:cs="宋体"/>
          <w:spacing w:val="-4"/>
          <w:sz w:val="24"/>
          <w:szCs w:val="24"/>
        </w:rPr>
        <w:t>。</w:t>
      </w:r>
    </w:p>
    <w:p>
      <w:pPr>
        <w:pStyle w:val="2"/>
        <w:spacing w:line="258" w:lineRule="auto"/>
      </w:pPr>
    </w:p>
    <w:p>
      <w:pPr>
        <w:spacing w:before="79" w:line="213" w:lineRule="auto"/>
        <w:ind w:left="1414"/>
        <w:rPr>
          <w:rFonts w:ascii="Times New Roman" w:hAnsi="Times New Roman" w:eastAsia="Times New Roman" w:cs="Times New Roman"/>
          <w:sz w:val="24"/>
          <w:szCs w:val="24"/>
        </w:rPr>
      </w:pPr>
      <w:r>
        <w:rPr>
          <w:rFonts w:ascii="宋体" w:hAnsi="宋体" w:eastAsia="宋体" w:cs="宋体"/>
          <w:spacing w:val="-4"/>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3.3-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 xml:space="preserve">本项目特征年路段交通量预测表    单位： </w:t>
      </w:r>
      <w:r>
        <w:rPr>
          <w:rFonts w:ascii="Times New Roman" w:hAnsi="Times New Roman" w:eastAsia="Times New Roman" w:cs="Times New Roman"/>
          <w:spacing w:val="-4"/>
          <w:sz w:val="24"/>
          <w:szCs w:val="24"/>
        </w:rPr>
        <w:t>pcu</w:t>
      </w:r>
      <w:r>
        <w:rPr>
          <w:rFonts w:ascii="Times New Roman" w:hAnsi="Times New Roman" w:eastAsia="Times New Roman" w:cs="Times New Roman"/>
          <w:spacing w:val="-5"/>
          <w:sz w:val="24"/>
          <w:szCs w:val="24"/>
        </w:rPr>
        <w:t>/d</w:t>
      </w:r>
    </w:p>
    <w:p>
      <w:pPr>
        <w:spacing w:line="153" w:lineRule="exact"/>
      </w:pPr>
    </w:p>
    <w:tbl>
      <w:tblPr>
        <w:tblStyle w:val="5"/>
        <w:tblW w:w="87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0"/>
        <w:gridCol w:w="1669"/>
        <w:gridCol w:w="1670"/>
        <w:gridCol w:w="1668"/>
        <w:gridCol w:w="16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080" w:type="dxa"/>
            <w:vAlign w:val="top"/>
          </w:tcPr>
          <w:p>
            <w:pPr>
              <w:pStyle w:val="6"/>
              <w:spacing w:before="60" w:line="221" w:lineRule="auto"/>
              <w:ind w:left="837"/>
            </w:pPr>
            <w:r>
              <w:rPr>
                <w:spacing w:val="-2"/>
              </w:rPr>
              <w:t>路段</w:t>
            </w:r>
          </w:p>
        </w:tc>
        <w:tc>
          <w:tcPr>
            <w:tcW w:w="1669" w:type="dxa"/>
            <w:vAlign w:val="top"/>
          </w:tcPr>
          <w:p>
            <w:pPr>
              <w:pStyle w:val="6"/>
              <w:spacing w:before="60" w:line="221" w:lineRule="auto"/>
              <w:ind w:left="495"/>
            </w:pPr>
            <w:r>
              <w:rPr>
                <w:rFonts w:ascii="Times New Roman" w:hAnsi="Times New Roman" w:eastAsia="Times New Roman" w:cs="Times New Roman"/>
                <w:spacing w:val="-1"/>
              </w:rPr>
              <w:t>2023</w:t>
            </w:r>
            <w:r>
              <w:rPr>
                <w:rFonts w:ascii="Times New Roman" w:hAnsi="Times New Roman" w:eastAsia="Times New Roman" w:cs="Times New Roman"/>
                <w:spacing w:val="8"/>
              </w:rPr>
              <w:t xml:space="preserve"> </w:t>
            </w:r>
            <w:r>
              <w:rPr>
                <w:spacing w:val="-1"/>
              </w:rPr>
              <w:t>年</w:t>
            </w:r>
          </w:p>
        </w:tc>
        <w:tc>
          <w:tcPr>
            <w:tcW w:w="1670" w:type="dxa"/>
            <w:vAlign w:val="top"/>
          </w:tcPr>
          <w:p>
            <w:pPr>
              <w:pStyle w:val="6"/>
              <w:spacing w:before="60" w:line="221" w:lineRule="auto"/>
              <w:ind w:left="494"/>
            </w:pPr>
            <w:r>
              <w:rPr>
                <w:rFonts w:ascii="Times New Roman" w:hAnsi="Times New Roman" w:eastAsia="Times New Roman" w:cs="Times New Roman"/>
                <w:spacing w:val="-1"/>
              </w:rPr>
              <w:t>2030</w:t>
            </w:r>
            <w:r>
              <w:rPr>
                <w:rFonts w:ascii="Times New Roman" w:hAnsi="Times New Roman" w:eastAsia="Times New Roman" w:cs="Times New Roman"/>
                <w:spacing w:val="9"/>
              </w:rPr>
              <w:t xml:space="preserve"> </w:t>
            </w:r>
            <w:r>
              <w:rPr>
                <w:spacing w:val="-1"/>
              </w:rPr>
              <w:t>年</w:t>
            </w:r>
          </w:p>
        </w:tc>
        <w:tc>
          <w:tcPr>
            <w:tcW w:w="1668" w:type="dxa"/>
            <w:vAlign w:val="top"/>
          </w:tcPr>
          <w:p>
            <w:pPr>
              <w:pStyle w:val="6"/>
              <w:spacing w:before="60" w:line="221" w:lineRule="auto"/>
              <w:ind w:left="494"/>
            </w:pPr>
            <w:r>
              <w:rPr>
                <w:rFonts w:ascii="Times New Roman" w:hAnsi="Times New Roman" w:eastAsia="Times New Roman" w:cs="Times New Roman"/>
                <w:spacing w:val="-1"/>
              </w:rPr>
              <w:t>2035</w:t>
            </w:r>
            <w:r>
              <w:rPr>
                <w:rFonts w:ascii="Times New Roman" w:hAnsi="Times New Roman" w:eastAsia="Times New Roman" w:cs="Times New Roman"/>
                <w:spacing w:val="8"/>
              </w:rPr>
              <w:t xml:space="preserve"> </w:t>
            </w:r>
            <w:r>
              <w:rPr>
                <w:spacing w:val="-1"/>
              </w:rPr>
              <w:t>年</w:t>
            </w:r>
          </w:p>
        </w:tc>
        <w:tc>
          <w:tcPr>
            <w:tcW w:w="1676" w:type="dxa"/>
            <w:vAlign w:val="top"/>
          </w:tcPr>
          <w:p>
            <w:pPr>
              <w:pStyle w:val="6"/>
              <w:spacing w:before="60" w:line="221" w:lineRule="auto"/>
              <w:ind w:left="497"/>
            </w:pPr>
            <w:r>
              <w:rPr>
                <w:rFonts w:ascii="Times New Roman" w:hAnsi="Times New Roman" w:eastAsia="Times New Roman" w:cs="Times New Roman"/>
                <w:spacing w:val="-1"/>
              </w:rPr>
              <w:t>2042</w:t>
            </w:r>
            <w:r>
              <w:rPr>
                <w:rFonts w:ascii="Times New Roman" w:hAnsi="Times New Roman" w:eastAsia="Times New Roman" w:cs="Times New Roman"/>
                <w:spacing w:val="8"/>
              </w:rPr>
              <w:t xml:space="preserve"> </w:t>
            </w:r>
            <w:r>
              <w:rPr>
                <w:spacing w:val="-1"/>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080" w:type="dxa"/>
            <w:vAlign w:val="top"/>
          </w:tcPr>
          <w:p>
            <w:pPr>
              <w:pStyle w:val="6"/>
              <w:spacing w:before="63" w:line="221" w:lineRule="auto"/>
              <w:ind w:left="315"/>
            </w:pPr>
            <w:r>
              <w:rPr>
                <w:spacing w:val="-2"/>
              </w:rPr>
              <w:t>西坑互通连接线</w:t>
            </w:r>
          </w:p>
        </w:tc>
        <w:tc>
          <w:tcPr>
            <w:tcW w:w="1669" w:type="dxa"/>
            <w:vAlign w:val="top"/>
          </w:tcPr>
          <w:p>
            <w:pPr>
              <w:spacing w:before="95" w:line="187" w:lineRule="auto"/>
              <w:ind w:left="6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3766</w:t>
            </w:r>
          </w:p>
        </w:tc>
        <w:tc>
          <w:tcPr>
            <w:tcW w:w="1670" w:type="dxa"/>
            <w:vAlign w:val="top"/>
          </w:tcPr>
          <w:p>
            <w:pPr>
              <w:spacing w:before="95" w:line="187" w:lineRule="auto"/>
              <w:ind w:left="62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8065</w:t>
            </w:r>
          </w:p>
        </w:tc>
        <w:tc>
          <w:tcPr>
            <w:tcW w:w="1668" w:type="dxa"/>
            <w:vAlign w:val="top"/>
          </w:tcPr>
          <w:p>
            <w:pPr>
              <w:spacing w:before="95" w:line="187" w:lineRule="auto"/>
              <w:ind w:left="6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9241</w:t>
            </w:r>
          </w:p>
        </w:tc>
        <w:tc>
          <w:tcPr>
            <w:tcW w:w="1676" w:type="dxa"/>
            <w:vAlign w:val="top"/>
          </w:tcPr>
          <w:p>
            <w:pPr>
              <w:spacing w:before="95" w:line="187" w:lineRule="auto"/>
              <w:ind w:left="58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10501</w:t>
            </w:r>
          </w:p>
        </w:tc>
      </w:tr>
    </w:tbl>
    <w:p>
      <w:pPr>
        <w:pStyle w:val="2"/>
        <w:spacing w:line="370" w:lineRule="auto"/>
      </w:pPr>
    </w:p>
    <w:p>
      <w:pPr>
        <w:spacing w:before="78" w:line="213" w:lineRule="auto"/>
        <w:ind w:left="994"/>
        <w:rPr>
          <w:rFonts w:ascii="Times New Roman" w:hAnsi="Times New Roman" w:eastAsia="Times New Roman" w:cs="Times New Roman"/>
          <w:sz w:val="24"/>
          <w:szCs w:val="24"/>
        </w:rPr>
      </w:pPr>
      <w:r>
        <w:rPr>
          <w:rFonts w:ascii="宋体" w:hAnsi="宋体" w:eastAsia="宋体" w:cs="宋体"/>
          <w:spacing w:val="-3"/>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3.3-2      </w:t>
      </w:r>
      <w:r>
        <w:rPr>
          <w:rFonts w:ascii="宋体" w:hAnsi="宋体" w:eastAsia="宋体" w:cs="宋体"/>
          <w:spacing w:val="-3"/>
          <w:sz w:val="24"/>
          <w:szCs w:val="24"/>
        </w:rPr>
        <w:t xml:space="preserve">景文高速及互通特征年路段交通量预测表   </w:t>
      </w:r>
      <w:r>
        <w:rPr>
          <w:rFonts w:ascii="宋体" w:hAnsi="宋体" w:eastAsia="宋体" w:cs="宋体"/>
          <w:spacing w:val="-4"/>
          <w:sz w:val="24"/>
          <w:szCs w:val="24"/>
        </w:rPr>
        <w:t xml:space="preserve"> 单位： </w:t>
      </w:r>
      <w:r>
        <w:rPr>
          <w:rFonts w:ascii="Times New Roman" w:hAnsi="Times New Roman" w:eastAsia="Times New Roman" w:cs="Times New Roman"/>
          <w:spacing w:val="-4"/>
          <w:sz w:val="24"/>
          <w:szCs w:val="24"/>
        </w:rPr>
        <w:t>pcu/d</w:t>
      </w:r>
    </w:p>
    <w:p>
      <w:pPr>
        <w:spacing w:line="120" w:lineRule="exact"/>
      </w:pPr>
    </w:p>
    <w:tbl>
      <w:tblPr>
        <w:tblStyle w:val="5"/>
        <w:tblW w:w="87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0"/>
        <w:gridCol w:w="1670"/>
        <w:gridCol w:w="1669"/>
        <w:gridCol w:w="1670"/>
        <w:gridCol w:w="1668"/>
        <w:gridCol w:w="16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080" w:type="dxa"/>
            <w:gridSpan w:val="2"/>
            <w:vAlign w:val="top"/>
          </w:tcPr>
          <w:p>
            <w:pPr>
              <w:pStyle w:val="6"/>
              <w:spacing w:before="57" w:line="221" w:lineRule="auto"/>
              <w:ind w:left="837"/>
            </w:pPr>
            <w:r>
              <w:rPr>
                <w:spacing w:val="-2"/>
              </w:rPr>
              <w:t>路段</w:t>
            </w:r>
          </w:p>
        </w:tc>
        <w:tc>
          <w:tcPr>
            <w:tcW w:w="1669" w:type="dxa"/>
            <w:vAlign w:val="top"/>
          </w:tcPr>
          <w:p>
            <w:pPr>
              <w:pStyle w:val="6"/>
              <w:spacing w:before="57" w:line="221" w:lineRule="auto"/>
              <w:ind w:left="495"/>
            </w:pPr>
            <w:r>
              <w:rPr>
                <w:rFonts w:ascii="Times New Roman" w:hAnsi="Times New Roman" w:eastAsia="Times New Roman" w:cs="Times New Roman"/>
                <w:spacing w:val="-1"/>
              </w:rPr>
              <w:t>2023</w:t>
            </w:r>
            <w:r>
              <w:rPr>
                <w:rFonts w:ascii="Times New Roman" w:hAnsi="Times New Roman" w:eastAsia="Times New Roman" w:cs="Times New Roman"/>
                <w:spacing w:val="8"/>
              </w:rPr>
              <w:t xml:space="preserve"> </w:t>
            </w:r>
            <w:r>
              <w:rPr>
                <w:spacing w:val="-1"/>
              </w:rPr>
              <w:t>年</w:t>
            </w:r>
          </w:p>
        </w:tc>
        <w:tc>
          <w:tcPr>
            <w:tcW w:w="1670" w:type="dxa"/>
            <w:vAlign w:val="top"/>
          </w:tcPr>
          <w:p>
            <w:pPr>
              <w:pStyle w:val="6"/>
              <w:spacing w:before="57" w:line="221" w:lineRule="auto"/>
              <w:ind w:left="494"/>
            </w:pPr>
            <w:r>
              <w:rPr>
                <w:rFonts w:ascii="Times New Roman" w:hAnsi="Times New Roman" w:eastAsia="Times New Roman" w:cs="Times New Roman"/>
                <w:spacing w:val="-1"/>
              </w:rPr>
              <w:t>2030</w:t>
            </w:r>
            <w:r>
              <w:rPr>
                <w:rFonts w:ascii="Times New Roman" w:hAnsi="Times New Roman" w:eastAsia="Times New Roman" w:cs="Times New Roman"/>
                <w:spacing w:val="9"/>
              </w:rPr>
              <w:t xml:space="preserve"> </w:t>
            </w:r>
            <w:r>
              <w:rPr>
                <w:spacing w:val="-1"/>
              </w:rPr>
              <w:t>年</w:t>
            </w:r>
          </w:p>
        </w:tc>
        <w:tc>
          <w:tcPr>
            <w:tcW w:w="1668" w:type="dxa"/>
            <w:vAlign w:val="top"/>
          </w:tcPr>
          <w:p>
            <w:pPr>
              <w:pStyle w:val="6"/>
              <w:spacing w:before="57" w:line="221" w:lineRule="auto"/>
              <w:ind w:left="494"/>
            </w:pPr>
            <w:r>
              <w:rPr>
                <w:rFonts w:ascii="Times New Roman" w:hAnsi="Times New Roman" w:eastAsia="Times New Roman" w:cs="Times New Roman"/>
                <w:spacing w:val="-1"/>
              </w:rPr>
              <w:t>2035</w:t>
            </w:r>
            <w:r>
              <w:rPr>
                <w:rFonts w:ascii="Times New Roman" w:hAnsi="Times New Roman" w:eastAsia="Times New Roman" w:cs="Times New Roman"/>
                <w:spacing w:val="8"/>
              </w:rPr>
              <w:t xml:space="preserve"> </w:t>
            </w:r>
            <w:r>
              <w:rPr>
                <w:spacing w:val="-1"/>
              </w:rPr>
              <w:t>年</w:t>
            </w:r>
          </w:p>
        </w:tc>
        <w:tc>
          <w:tcPr>
            <w:tcW w:w="1676" w:type="dxa"/>
            <w:vAlign w:val="top"/>
          </w:tcPr>
          <w:p>
            <w:pPr>
              <w:pStyle w:val="6"/>
              <w:spacing w:before="57" w:line="221" w:lineRule="auto"/>
              <w:ind w:left="497"/>
            </w:pPr>
            <w:r>
              <w:rPr>
                <w:rFonts w:ascii="Times New Roman" w:hAnsi="Times New Roman" w:eastAsia="Times New Roman" w:cs="Times New Roman"/>
                <w:spacing w:val="-1"/>
              </w:rPr>
              <w:t>2042</w:t>
            </w:r>
            <w:r>
              <w:rPr>
                <w:rFonts w:ascii="Times New Roman" w:hAnsi="Times New Roman" w:eastAsia="Times New Roman" w:cs="Times New Roman"/>
                <w:spacing w:val="8"/>
              </w:rPr>
              <w:t xml:space="preserve"> </w:t>
            </w:r>
            <w:r>
              <w:rPr>
                <w:spacing w:val="-1"/>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10" w:type="dxa"/>
            <w:vMerge w:val="restart"/>
            <w:tcBorders>
              <w:bottom w:val="nil"/>
            </w:tcBorders>
            <w:textDirection w:val="tbRlV"/>
            <w:vAlign w:val="top"/>
          </w:tcPr>
          <w:p>
            <w:pPr>
              <w:pStyle w:val="6"/>
              <w:spacing w:before="86" w:line="209" w:lineRule="auto"/>
              <w:ind w:left="455"/>
            </w:pPr>
            <w:r>
              <w:rPr>
                <w:spacing w:val="46"/>
              </w:rPr>
              <w:t>西坑互通</w:t>
            </w:r>
          </w:p>
        </w:tc>
        <w:tc>
          <w:tcPr>
            <w:tcW w:w="1670" w:type="dxa"/>
            <w:vAlign w:val="top"/>
          </w:tcPr>
          <w:p>
            <w:pPr>
              <w:pStyle w:val="6"/>
              <w:spacing w:before="57" w:line="225" w:lineRule="auto"/>
              <w:ind w:left="520"/>
            </w:pPr>
            <w:r>
              <w:rPr>
                <w:rFonts w:ascii="Times New Roman" w:hAnsi="Times New Roman" w:eastAsia="Times New Roman" w:cs="Times New Roman"/>
                <w:spacing w:val="-4"/>
              </w:rPr>
              <w:t>A</w:t>
            </w:r>
            <w:r>
              <w:rPr>
                <w:rFonts w:ascii="Times New Roman" w:hAnsi="Times New Roman" w:eastAsia="Times New Roman" w:cs="Times New Roman"/>
                <w:spacing w:val="21"/>
              </w:rPr>
              <w:t xml:space="preserve"> </w:t>
            </w:r>
            <w:r>
              <w:rPr>
                <w:spacing w:val="-4"/>
              </w:rPr>
              <w:t>匝道</w:t>
            </w:r>
          </w:p>
        </w:tc>
        <w:tc>
          <w:tcPr>
            <w:tcW w:w="1669" w:type="dxa"/>
            <w:vAlign w:val="top"/>
          </w:tcPr>
          <w:p>
            <w:pPr>
              <w:spacing w:before="88" w:line="187" w:lineRule="auto"/>
              <w:ind w:left="6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3766</w:t>
            </w:r>
          </w:p>
        </w:tc>
        <w:tc>
          <w:tcPr>
            <w:tcW w:w="1670" w:type="dxa"/>
            <w:vAlign w:val="top"/>
          </w:tcPr>
          <w:p>
            <w:pPr>
              <w:spacing w:before="88" w:line="187" w:lineRule="auto"/>
              <w:ind w:left="62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8065</w:t>
            </w:r>
          </w:p>
        </w:tc>
        <w:tc>
          <w:tcPr>
            <w:tcW w:w="1668" w:type="dxa"/>
            <w:vAlign w:val="top"/>
          </w:tcPr>
          <w:p>
            <w:pPr>
              <w:spacing w:before="88" w:line="187" w:lineRule="auto"/>
              <w:ind w:left="6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9241</w:t>
            </w:r>
          </w:p>
        </w:tc>
        <w:tc>
          <w:tcPr>
            <w:tcW w:w="1676" w:type="dxa"/>
            <w:vAlign w:val="top"/>
          </w:tcPr>
          <w:p>
            <w:pPr>
              <w:spacing w:before="88" w:line="187" w:lineRule="auto"/>
              <w:ind w:left="58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10501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10" w:type="dxa"/>
            <w:vMerge w:val="continue"/>
            <w:tcBorders>
              <w:top w:val="nil"/>
              <w:bottom w:val="nil"/>
            </w:tcBorders>
            <w:textDirection w:val="tbRlV"/>
            <w:vAlign w:val="top"/>
          </w:tcPr>
          <w:p>
            <w:pPr>
              <w:rPr>
                <w:rFonts w:ascii="Arial"/>
                <w:sz w:val="21"/>
              </w:rPr>
            </w:pPr>
          </w:p>
        </w:tc>
        <w:tc>
          <w:tcPr>
            <w:tcW w:w="1670" w:type="dxa"/>
            <w:vAlign w:val="top"/>
          </w:tcPr>
          <w:p>
            <w:pPr>
              <w:pStyle w:val="6"/>
              <w:spacing w:before="57" w:line="226" w:lineRule="auto"/>
              <w:ind w:left="529"/>
            </w:pPr>
            <w:r>
              <w:rPr>
                <w:rFonts w:ascii="Times New Roman" w:hAnsi="Times New Roman" w:eastAsia="Times New Roman" w:cs="Times New Roman"/>
                <w:spacing w:val="-5"/>
              </w:rPr>
              <w:t>B</w:t>
            </w:r>
            <w:r>
              <w:rPr>
                <w:rFonts w:ascii="Times New Roman" w:hAnsi="Times New Roman" w:eastAsia="Times New Roman" w:cs="Times New Roman"/>
                <w:spacing w:val="22"/>
              </w:rPr>
              <w:t xml:space="preserve"> </w:t>
            </w:r>
            <w:r>
              <w:rPr>
                <w:spacing w:val="-5"/>
              </w:rPr>
              <w:t>匝道</w:t>
            </w:r>
          </w:p>
        </w:tc>
        <w:tc>
          <w:tcPr>
            <w:tcW w:w="1669" w:type="dxa"/>
            <w:vAlign w:val="top"/>
          </w:tcPr>
          <w:p>
            <w:pPr>
              <w:spacing w:before="94" w:line="187" w:lineRule="auto"/>
              <w:ind w:left="6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545</w:t>
            </w:r>
          </w:p>
        </w:tc>
        <w:tc>
          <w:tcPr>
            <w:tcW w:w="1670" w:type="dxa"/>
            <w:vAlign w:val="top"/>
          </w:tcPr>
          <w:p>
            <w:pPr>
              <w:spacing w:before="94" w:line="187" w:lineRule="auto"/>
              <w:ind w:left="6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2116</w:t>
            </w:r>
          </w:p>
        </w:tc>
        <w:tc>
          <w:tcPr>
            <w:tcW w:w="1668" w:type="dxa"/>
            <w:vAlign w:val="top"/>
          </w:tcPr>
          <w:p>
            <w:pPr>
              <w:spacing w:before="94" w:line="187" w:lineRule="auto"/>
              <w:ind w:left="6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2425</w:t>
            </w:r>
          </w:p>
        </w:tc>
        <w:tc>
          <w:tcPr>
            <w:tcW w:w="1676" w:type="dxa"/>
            <w:vAlign w:val="top"/>
          </w:tcPr>
          <w:p>
            <w:pPr>
              <w:spacing w:before="94" w:line="187" w:lineRule="auto"/>
              <w:ind w:left="6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10" w:type="dxa"/>
            <w:vMerge w:val="continue"/>
            <w:tcBorders>
              <w:top w:val="nil"/>
              <w:bottom w:val="nil"/>
            </w:tcBorders>
            <w:textDirection w:val="tbRlV"/>
            <w:vAlign w:val="top"/>
          </w:tcPr>
          <w:p>
            <w:pPr>
              <w:rPr>
                <w:rFonts w:ascii="Arial"/>
                <w:sz w:val="21"/>
              </w:rPr>
            </w:pPr>
          </w:p>
        </w:tc>
        <w:tc>
          <w:tcPr>
            <w:tcW w:w="1670" w:type="dxa"/>
            <w:vAlign w:val="top"/>
          </w:tcPr>
          <w:p>
            <w:pPr>
              <w:pStyle w:val="6"/>
              <w:spacing w:before="59" w:line="221" w:lineRule="auto"/>
              <w:ind w:left="533"/>
            </w:pPr>
            <w:r>
              <w:rPr>
                <w:rFonts w:ascii="Times New Roman" w:hAnsi="Times New Roman" w:eastAsia="Times New Roman" w:cs="Times New Roman"/>
                <w:spacing w:val="-6"/>
              </w:rPr>
              <w:t>C</w:t>
            </w:r>
            <w:r>
              <w:rPr>
                <w:rFonts w:ascii="Times New Roman" w:hAnsi="Times New Roman" w:eastAsia="Times New Roman" w:cs="Times New Roman"/>
                <w:spacing w:val="21"/>
              </w:rPr>
              <w:t xml:space="preserve"> </w:t>
            </w:r>
            <w:r>
              <w:rPr>
                <w:spacing w:val="-6"/>
              </w:rPr>
              <w:t>匝道</w:t>
            </w:r>
          </w:p>
        </w:tc>
        <w:tc>
          <w:tcPr>
            <w:tcW w:w="1669" w:type="dxa"/>
            <w:vAlign w:val="top"/>
          </w:tcPr>
          <w:p>
            <w:pPr>
              <w:spacing w:before="95" w:line="187" w:lineRule="auto"/>
              <w:ind w:left="64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1184</w:t>
            </w:r>
          </w:p>
        </w:tc>
        <w:tc>
          <w:tcPr>
            <w:tcW w:w="1670" w:type="dxa"/>
            <w:vAlign w:val="top"/>
          </w:tcPr>
          <w:p>
            <w:pPr>
              <w:spacing w:before="95" w:line="187" w:lineRule="auto"/>
              <w:ind w:left="64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1905</w:t>
            </w:r>
          </w:p>
        </w:tc>
        <w:tc>
          <w:tcPr>
            <w:tcW w:w="1668" w:type="dxa"/>
            <w:vAlign w:val="top"/>
          </w:tcPr>
          <w:p>
            <w:pPr>
              <w:spacing w:before="95" w:line="187" w:lineRule="auto"/>
              <w:ind w:left="6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2183</w:t>
            </w:r>
          </w:p>
        </w:tc>
        <w:tc>
          <w:tcPr>
            <w:tcW w:w="1676" w:type="dxa"/>
            <w:vAlign w:val="top"/>
          </w:tcPr>
          <w:p>
            <w:pPr>
              <w:spacing w:before="95" w:line="187" w:lineRule="auto"/>
              <w:ind w:left="6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410" w:type="dxa"/>
            <w:vMerge w:val="continue"/>
            <w:tcBorders>
              <w:top w:val="nil"/>
              <w:bottom w:val="nil"/>
            </w:tcBorders>
            <w:textDirection w:val="tbRlV"/>
            <w:vAlign w:val="top"/>
          </w:tcPr>
          <w:p>
            <w:pPr>
              <w:rPr>
                <w:rFonts w:ascii="Arial"/>
                <w:sz w:val="21"/>
              </w:rPr>
            </w:pPr>
          </w:p>
        </w:tc>
        <w:tc>
          <w:tcPr>
            <w:tcW w:w="1670" w:type="dxa"/>
            <w:vAlign w:val="top"/>
          </w:tcPr>
          <w:p>
            <w:pPr>
              <w:pStyle w:val="6"/>
              <w:spacing w:before="208" w:line="227" w:lineRule="auto"/>
              <w:ind w:left="522"/>
            </w:pPr>
            <w:r>
              <w:rPr>
                <w:rFonts w:ascii="Times New Roman" w:hAnsi="Times New Roman" w:eastAsia="Times New Roman" w:cs="Times New Roman"/>
                <w:spacing w:val="-5"/>
              </w:rPr>
              <w:t>D</w:t>
            </w:r>
            <w:r>
              <w:rPr>
                <w:rFonts w:ascii="Times New Roman" w:hAnsi="Times New Roman" w:eastAsia="Times New Roman" w:cs="Times New Roman"/>
                <w:spacing w:val="22"/>
                <w:w w:val="101"/>
              </w:rPr>
              <w:t xml:space="preserve"> </w:t>
            </w:r>
            <w:r>
              <w:rPr>
                <w:spacing w:val="-5"/>
              </w:rPr>
              <w:t>匝道</w:t>
            </w:r>
          </w:p>
        </w:tc>
        <w:tc>
          <w:tcPr>
            <w:tcW w:w="1669" w:type="dxa"/>
            <w:vAlign w:val="top"/>
          </w:tcPr>
          <w:p>
            <w:pPr>
              <w:spacing w:before="244" w:line="187" w:lineRule="auto"/>
              <w:ind w:left="6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946</w:t>
            </w:r>
          </w:p>
        </w:tc>
        <w:tc>
          <w:tcPr>
            <w:tcW w:w="1670" w:type="dxa"/>
            <w:vAlign w:val="top"/>
          </w:tcPr>
          <w:p>
            <w:pPr>
              <w:spacing w:before="244" w:line="187" w:lineRule="auto"/>
              <w:ind w:left="64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1846</w:t>
            </w:r>
          </w:p>
        </w:tc>
        <w:tc>
          <w:tcPr>
            <w:tcW w:w="1668" w:type="dxa"/>
            <w:vAlign w:val="top"/>
          </w:tcPr>
          <w:p>
            <w:pPr>
              <w:spacing w:before="244" w:line="187" w:lineRule="auto"/>
              <w:ind w:left="6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2116</w:t>
            </w:r>
          </w:p>
        </w:tc>
        <w:tc>
          <w:tcPr>
            <w:tcW w:w="1676" w:type="dxa"/>
            <w:vAlign w:val="top"/>
          </w:tcPr>
          <w:p>
            <w:pPr>
              <w:spacing w:before="244" w:line="187" w:lineRule="auto"/>
              <w:ind w:left="6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410" w:type="dxa"/>
            <w:vMerge w:val="continue"/>
            <w:tcBorders>
              <w:top w:val="nil"/>
            </w:tcBorders>
            <w:textDirection w:val="tbRlV"/>
            <w:vAlign w:val="top"/>
          </w:tcPr>
          <w:p>
            <w:pPr>
              <w:rPr>
                <w:rFonts w:ascii="Arial"/>
                <w:sz w:val="21"/>
              </w:rPr>
            </w:pPr>
          </w:p>
        </w:tc>
        <w:tc>
          <w:tcPr>
            <w:tcW w:w="1670" w:type="dxa"/>
            <w:vAlign w:val="top"/>
          </w:tcPr>
          <w:p>
            <w:pPr>
              <w:pStyle w:val="6"/>
              <w:spacing w:before="60" w:line="226" w:lineRule="auto"/>
              <w:ind w:left="534"/>
            </w:pPr>
            <w:r>
              <w:rPr>
                <w:rFonts w:ascii="Times New Roman" w:hAnsi="Times New Roman" w:eastAsia="Times New Roman" w:cs="Times New Roman"/>
                <w:spacing w:val="-5"/>
              </w:rPr>
              <w:t>E</w:t>
            </w:r>
            <w:r>
              <w:rPr>
                <w:rFonts w:ascii="Times New Roman" w:hAnsi="Times New Roman" w:eastAsia="Times New Roman" w:cs="Times New Roman"/>
                <w:spacing w:val="21"/>
              </w:rPr>
              <w:t xml:space="preserve"> </w:t>
            </w:r>
            <w:r>
              <w:rPr>
                <w:spacing w:val="-5"/>
              </w:rPr>
              <w:t>匝道</w:t>
            </w:r>
          </w:p>
        </w:tc>
        <w:tc>
          <w:tcPr>
            <w:tcW w:w="1669" w:type="dxa"/>
            <w:vAlign w:val="top"/>
          </w:tcPr>
          <w:p>
            <w:pPr>
              <w:spacing w:before="97" w:line="187" w:lineRule="auto"/>
              <w:ind w:left="64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1091</w:t>
            </w:r>
          </w:p>
        </w:tc>
        <w:tc>
          <w:tcPr>
            <w:tcW w:w="1670" w:type="dxa"/>
            <w:vAlign w:val="top"/>
          </w:tcPr>
          <w:p>
            <w:pPr>
              <w:spacing w:before="97" w:line="187" w:lineRule="auto"/>
              <w:ind w:left="6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2198</w:t>
            </w:r>
          </w:p>
        </w:tc>
        <w:tc>
          <w:tcPr>
            <w:tcW w:w="1668" w:type="dxa"/>
            <w:vAlign w:val="top"/>
          </w:tcPr>
          <w:p>
            <w:pPr>
              <w:spacing w:before="97" w:line="187" w:lineRule="auto"/>
              <w:ind w:left="6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2517</w:t>
            </w:r>
          </w:p>
        </w:tc>
        <w:tc>
          <w:tcPr>
            <w:tcW w:w="1676" w:type="dxa"/>
            <w:vAlign w:val="top"/>
          </w:tcPr>
          <w:p>
            <w:pPr>
              <w:spacing w:before="97" w:line="187" w:lineRule="auto"/>
              <w:ind w:left="6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2755</w:t>
            </w:r>
          </w:p>
        </w:tc>
      </w:tr>
    </w:tbl>
    <w:p>
      <w:pPr>
        <w:pStyle w:val="2"/>
      </w:pPr>
    </w:p>
    <w:p>
      <w:pPr>
        <w:sectPr>
          <w:headerReference r:id="rId132" w:type="default"/>
          <w:footerReference r:id="rId133" w:type="default"/>
          <w:pgSz w:w="11907" w:h="16839"/>
          <w:pgMar w:top="1118" w:right="1567" w:bottom="1184" w:left="1570" w:header="879" w:footer="1024" w:gutter="0"/>
          <w:cols w:space="720" w:num="1"/>
        </w:sectPr>
      </w:pPr>
    </w:p>
    <w:p>
      <w:pPr>
        <w:spacing w:before="80"/>
      </w:pPr>
    </w:p>
    <w:tbl>
      <w:tblPr>
        <w:tblStyle w:val="5"/>
        <w:tblW w:w="87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0"/>
        <w:gridCol w:w="1669"/>
        <w:gridCol w:w="1670"/>
        <w:gridCol w:w="1668"/>
        <w:gridCol w:w="16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080" w:type="dxa"/>
            <w:vAlign w:val="top"/>
          </w:tcPr>
          <w:p>
            <w:pPr>
              <w:pStyle w:val="6"/>
              <w:spacing w:before="65" w:line="221" w:lineRule="auto"/>
              <w:ind w:left="576"/>
            </w:pPr>
            <w:r>
              <w:rPr>
                <w:spacing w:val="-2"/>
              </w:rPr>
              <w:t>东坑</w:t>
            </w:r>
            <w:r>
              <w:rPr>
                <w:rFonts w:ascii="Times New Roman" w:hAnsi="Times New Roman" w:eastAsia="Times New Roman" w:cs="Times New Roman"/>
                <w:spacing w:val="-2"/>
              </w:rPr>
              <w:t>~</w:t>
            </w:r>
            <w:r>
              <w:rPr>
                <w:spacing w:val="-2"/>
              </w:rPr>
              <w:t>西坑</w:t>
            </w:r>
          </w:p>
        </w:tc>
        <w:tc>
          <w:tcPr>
            <w:tcW w:w="1669" w:type="dxa"/>
            <w:vAlign w:val="top"/>
          </w:tcPr>
          <w:p>
            <w:pPr>
              <w:spacing w:before="102" w:line="187" w:lineRule="auto"/>
              <w:ind w:left="5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15757</w:t>
            </w:r>
          </w:p>
        </w:tc>
        <w:tc>
          <w:tcPr>
            <w:tcW w:w="1670" w:type="dxa"/>
            <w:vAlign w:val="top"/>
          </w:tcPr>
          <w:p>
            <w:pPr>
              <w:spacing w:before="102" w:line="187" w:lineRule="auto"/>
              <w:ind w:left="5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25858</w:t>
            </w:r>
          </w:p>
        </w:tc>
        <w:tc>
          <w:tcPr>
            <w:tcW w:w="1668" w:type="dxa"/>
            <w:vAlign w:val="top"/>
          </w:tcPr>
          <w:p>
            <w:pPr>
              <w:spacing w:before="102" w:line="187" w:lineRule="auto"/>
              <w:ind w:left="5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30279</w:t>
            </w:r>
          </w:p>
        </w:tc>
        <w:tc>
          <w:tcPr>
            <w:tcW w:w="1676" w:type="dxa"/>
            <w:vAlign w:val="top"/>
          </w:tcPr>
          <w:p>
            <w:pPr>
              <w:spacing w:before="102" w:line="187" w:lineRule="auto"/>
              <w:ind w:left="5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80" w:type="dxa"/>
            <w:vAlign w:val="top"/>
          </w:tcPr>
          <w:p>
            <w:pPr>
              <w:pStyle w:val="6"/>
              <w:spacing w:before="62" w:line="221" w:lineRule="auto"/>
              <w:ind w:left="363"/>
            </w:pPr>
            <w:r>
              <w:rPr>
                <w:spacing w:val="-2"/>
              </w:rPr>
              <w:t>西坑</w:t>
            </w:r>
            <w:r>
              <w:rPr>
                <w:rFonts w:ascii="Times New Roman" w:hAnsi="Times New Roman" w:eastAsia="Times New Roman" w:cs="Times New Roman"/>
                <w:spacing w:val="-2"/>
              </w:rPr>
              <w:t>~</w:t>
            </w:r>
            <w:r>
              <w:rPr>
                <w:spacing w:val="-2"/>
              </w:rPr>
              <w:t>文成枢纽</w:t>
            </w:r>
          </w:p>
        </w:tc>
        <w:tc>
          <w:tcPr>
            <w:tcW w:w="1669" w:type="dxa"/>
            <w:vAlign w:val="top"/>
          </w:tcPr>
          <w:p>
            <w:pPr>
              <w:spacing w:before="99" w:line="187" w:lineRule="auto"/>
              <w:ind w:left="5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15912</w:t>
            </w:r>
          </w:p>
        </w:tc>
        <w:tc>
          <w:tcPr>
            <w:tcW w:w="1670" w:type="dxa"/>
            <w:vAlign w:val="top"/>
          </w:tcPr>
          <w:p>
            <w:pPr>
              <w:spacing w:before="99" w:line="187" w:lineRule="auto"/>
              <w:ind w:left="5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26111</w:t>
            </w:r>
          </w:p>
        </w:tc>
        <w:tc>
          <w:tcPr>
            <w:tcW w:w="1668" w:type="dxa"/>
            <w:vAlign w:val="top"/>
          </w:tcPr>
          <w:p>
            <w:pPr>
              <w:spacing w:before="99" w:line="187" w:lineRule="auto"/>
              <w:ind w:left="5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30576</w:t>
            </w:r>
          </w:p>
        </w:tc>
        <w:tc>
          <w:tcPr>
            <w:tcW w:w="1676" w:type="dxa"/>
            <w:vAlign w:val="top"/>
          </w:tcPr>
          <w:p>
            <w:pPr>
              <w:spacing w:before="99" w:line="187" w:lineRule="auto"/>
              <w:ind w:left="5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35346</w:t>
            </w:r>
          </w:p>
        </w:tc>
      </w:tr>
    </w:tbl>
    <w:p>
      <w:pPr>
        <w:spacing w:before="191" w:line="220" w:lineRule="auto"/>
        <w:ind w:left="198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3.3-3      </w:t>
      </w:r>
      <w:r>
        <w:rPr>
          <w:rFonts w:ascii="宋体" w:hAnsi="宋体" w:eastAsia="宋体" w:cs="宋体"/>
          <w:spacing w:val="-1"/>
          <w:sz w:val="24"/>
          <w:szCs w:val="24"/>
        </w:rPr>
        <w:t>车型构成比例预测结果（车型绝</w:t>
      </w:r>
      <w:r>
        <w:rPr>
          <w:rFonts w:ascii="宋体" w:hAnsi="宋体" w:eastAsia="宋体" w:cs="宋体"/>
          <w:spacing w:val="-2"/>
          <w:sz w:val="24"/>
          <w:szCs w:val="24"/>
        </w:rPr>
        <w:t>对值）</w:t>
      </w:r>
    </w:p>
    <w:p>
      <w:pPr>
        <w:spacing w:line="143" w:lineRule="exact"/>
      </w:pPr>
    </w:p>
    <w:tbl>
      <w:tblPr>
        <w:tblStyle w:val="5"/>
        <w:tblW w:w="8701"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1"/>
        <w:gridCol w:w="1068"/>
        <w:gridCol w:w="1069"/>
        <w:gridCol w:w="1068"/>
        <w:gridCol w:w="1070"/>
        <w:gridCol w:w="1067"/>
        <w:gridCol w:w="1068"/>
        <w:gridCol w:w="10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1221" w:type="dxa"/>
            <w:vAlign w:val="top"/>
          </w:tcPr>
          <w:p>
            <w:pPr>
              <w:pStyle w:val="6"/>
              <w:spacing w:before="278" w:line="241" w:lineRule="auto"/>
              <w:ind w:left="407"/>
            </w:pPr>
            <w:r>
              <w:rPr>
                <w:spacing w:val="-2"/>
              </w:rPr>
              <w:t>年份</w:t>
            </w:r>
          </w:p>
          <w:p>
            <w:pPr>
              <w:pStyle w:val="6"/>
              <w:spacing w:line="204" w:lineRule="auto"/>
              <w:ind w:left="408"/>
            </w:pPr>
            <w:r>
              <w:rPr>
                <w:spacing w:val="-2"/>
              </w:rPr>
              <w:t>车类</w:t>
            </w:r>
          </w:p>
        </w:tc>
        <w:tc>
          <w:tcPr>
            <w:tcW w:w="1068" w:type="dxa"/>
            <w:vAlign w:val="top"/>
          </w:tcPr>
          <w:p>
            <w:pPr>
              <w:pStyle w:val="6"/>
              <w:spacing w:before="295" w:line="221" w:lineRule="auto"/>
              <w:ind w:left="227"/>
            </w:pPr>
            <w:r>
              <w:rPr>
                <w:spacing w:val="-3"/>
              </w:rPr>
              <w:t>小客车</w:t>
            </w:r>
          </w:p>
        </w:tc>
        <w:tc>
          <w:tcPr>
            <w:tcW w:w="1069" w:type="dxa"/>
            <w:vAlign w:val="top"/>
          </w:tcPr>
          <w:p>
            <w:pPr>
              <w:pStyle w:val="6"/>
              <w:spacing w:before="295" w:line="221" w:lineRule="auto"/>
              <w:ind w:left="225"/>
            </w:pPr>
            <w:r>
              <w:rPr>
                <w:spacing w:val="-2"/>
              </w:rPr>
              <w:t>大客车</w:t>
            </w:r>
          </w:p>
        </w:tc>
        <w:tc>
          <w:tcPr>
            <w:tcW w:w="1068" w:type="dxa"/>
            <w:vAlign w:val="top"/>
          </w:tcPr>
          <w:p>
            <w:pPr>
              <w:pStyle w:val="6"/>
              <w:spacing w:before="295" w:line="220" w:lineRule="auto"/>
              <w:ind w:left="229"/>
            </w:pPr>
            <w:r>
              <w:rPr>
                <w:spacing w:val="-3"/>
              </w:rPr>
              <w:t>小货车</w:t>
            </w:r>
          </w:p>
        </w:tc>
        <w:tc>
          <w:tcPr>
            <w:tcW w:w="1070" w:type="dxa"/>
            <w:vAlign w:val="top"/>
          </w:tcPr>
          <w:p>
            <w:pPr>
              <w:pStyle w:val="6"/>
              <w:spacing w:before="295" w:line="220" w:lineRule="auto"/>
              <w:ind w:left="244"/>
            </w:pPr>
            <w:r>
              <w:rPr>
                <w:spacing w:val="-6"/>
              </w:rPr>
              <w:t>中货车</w:t>
            </w:r>
          </w:p>
        </w:tc>
        <w:tc>
          <w:tcPr>
            <w:tcW w:w="1067" w:type="dxa"/>
            <w:vAlign w:val="top"/>
          </w:tcPr>
          <w:p>
            <w:pPr>
              <w:pStyle w:val="6"/>
              <w:spacing w:before="295" w:line="220" w:lineRule="auto"/>
              <w:ind w:left="225"/>
            </w:pPr>
            <w:r>
              <w:rPr>
                <w:spacing w:val="-2"/>
              </w:rPr>
              <w:t>大货车</w:t>
            </w:r>
          </w:p>
        </w:tc>
        <w:tc>
          <w:tcPr>
            <w:tcW w:w="1068" w:type="dxa"/>
            <w:vAlign w:val="top"/>
          </w:tcPr>
          <w:p>
            <w:pPr>
              <w:pStyle w:val="6"/>
              <w:spacing w:before="295" w:line="221" w:lineRule="auto"/>
              <w:ind w:left="225"/>
            </w:pPr>
            <w:r>
              <w:rPr>
                <w:spacing w:val="-2"/>
              </w:rPr>
              <w:t>拖挂车</w:t>
            </w:r>
          </w:p>
        </w:tc>
        <w:tc>
          <w:tcPr>
            <w:tcW w:w="1070" w:type="dxa"/>
            <w:vAlign w:val="top"/>
          </w:tcPr>
          <w:p>
            <w:pPr>
              <w:pStyle w:val="6"/>
              <w:spacing w:before="295" w:line="221" w:lineRule="auto"/>
              <w:ind w:left="224"/>
            </w:pPr>
            <w:r>
              <w:rPr>
                <w:spacing w:val="-2"/>
              </w:rPr>
              <w:t>集装箱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221" w:type="dxa"/>
            <w:vAlign w:val="top"/>
          </w:tcPr>
          <w:p>
            <w:pPr>
              <w:spacing w:before="127"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2023</w:t>
            </w:r>
          </w:p>
        </w:tc>
        <w:tc>
          <w:tcPr>
            <w:tcW w:w="1068" w:type="dxa"/>
            <w:vAlign w:val="top"/>
          </w:tcPr>
          <w:p>
            <w:pPr>
              <w:spacing w:before="117" w:line="230" w:lineRule="auto"/>
              <w:ind w:left="33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51%</w:t>
            </w:r>
          </w:p>
        </w:tc>
        <w:tc>
          <w:tcPr>
            <w:tcW w:w="1069" w:type="dxa"/>
            <w:vAlign w:val="top"/>
          </w:tcPr>
          <w:p>
            <w:pPr>
              <w:spacing w:before="117" w:line="230" w:lineRule="auto"/>
              <w:ind w:left="39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w:t>
            </w:r>
          </w:p>
        </w:tc>
        <w:tc>
          <w:tcPr>
            <w:tcW w:w="1068" w:type="dxa"/>
            <w:vAlign w:val="top"/>
          </w:tcPr>
          <w:p>
            <w:pPr>
              <w:spacing w:before="117" w:line="230"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16%</w:t>
            </w:r>
          </w:p>
        </w:tc>
        <w:tc>
          <w:tcPr>
            <w:tcW w:w="1070" w:type="dxa"/>
            <w:vAlign w:val="top"/>
          </w:tcPr>
          <w:p>
            <w:pPr>
              <w:spacing w:before="117" w:line="230" w:lineRule="auto"/>
              <w:ind w:left="39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w:t>
            </w:r>
          </w:p>
        </w:tc>
        <w:tc>
          <w:tcPr>
            <w:tcW w:w="1067" w:type="dxa"/>
            <w:vAlign w:val="top"/>
          </w:tcPr>
          <w:p>
            <w:pPr>
              <w:spacing w:before="117" w:line="230" w:lineRule="auto"/>
              <w:ind w:left="35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12%</w:t>
            </w:r>
          </w:p>
        </w:tc>
        <w:tc>
          <w:tcPr>
            <w:tcW w:w="1068" w:type="dxa"/>
            <w:vAlign w:val="top"/>
          </w:tcPr>
          <w:p>
            <w:pPr>
              <w:spacing w:before="117" w:line="230" w:lineRule="auto"/>
              <w:ind w:left="39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w:t>
            </w:r>
          </w:p>
        </w:tc>
        <w:tc>
          <w:tcPr>
            <w:tcW w:w="1070" w:type="dxa"/>
            <w:vAlign w:val="top"/>
          </w:tcPr>
          <w:p>
            <w:pPr>
              <w:spacing w:before="117" w:line="230" w:lineRule="auto"/>
              <w:ind w:left="40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21" w:type="dxa"/>
            <w:vAlign w:val="top"/>
          </w:tcPr>
          <w:p>
            <w:pPr>
              <w:spacing w:before="127"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2030</w:t>
            </w:r>
          </w:p>
        </w:tc>
        <w:tc>
          <w:tcPr>
            <w:tcW w:w="1068" w:type="dxa"/>
            <w:vAlign w:val="top"/>
          </w:tcPr>
          <w:p>
            <w:pPr>
              <w:spacing w:before="124" w:line="230" w:lineRule="auto"/>
              <w:ind w:left="34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1069" w:type="dxa"/>
            <w:vAlign w:val="top"/>
          </w:tcPr>
          <w:p>
            <w:pPr>
              <w:spacing w:before="124" w:line="230"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6%</w:t>
            </w:r>
          </w:p>
        </w:tc>
        <w:tc>
          <w:tcPr>
            <w:tcW w:w="1068" w:type="dxa"/>
            <w:vAlign w:val="top"/>
          </w:tcPr>
          <w:p>
            <w:pPr>
              <w:spacing w:before="124" w:line="230"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15%</w:t>
            </w:r>
          </w:p>
        </w:tc>
        <w:tc>
          <w:tcPr>
            <w:tcW w:w="1070" w:type="dxa"/>
            <w:vAlign w:val="top"/>
          </w:tcPr>
          <w:p>
            <w:pPr>
              <w:spacing w:before="124" w:line="230"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6%</w:t>
            </w:r>
          </w:p>
        </w:tc>
        <w:tc>
          <w:tcPr>
            <w:tcW w:w="1067" w:type="dxa"/>
            <w:vAlign w:val="top"/>
          </w:tcPr>
          <w:p>
            <w:pPr>
              <w:spacing w:before="124" w:line="230" w:lineRule="auto"/>
              <w:ind w:left="361"/>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13%</w:t>
            </w:r>
          </w:p>
        </w:tc>
        <w:tc>
          <w:tcPr>
            <w:tcW w:w="1068" w:type="dxa"/>
            <w:vAlign w:val="top"/>
          </w:tcPr>
          <w:p>
            <w:pPr>
              <w:spacing w:before="124" w:line="230"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w:t>
            </w:r>
          </w:p>
        </w:tc>
        <w:tc>
          <w:tcPr>
            <w:tcW w:w="1070" w:type="dxa"/>
            <w:vAlign w:val="top"/>
          </w:tcPr>
          <w:p>
            <w:pPr>
              <w:spacing w:before="124" w:line="230"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21" w:type="dxa"/>
            <w:vAlign w:val="top"/>
          </w:tcPr>
          <w:p>
            <w:pPr>
              <w:spacing w:before="128"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2035</w:t>
            </w:r>
          </w:p>
        </w:tc>
        <w:tc>
          <w:tcPr>
            <w:tcW w:w="1068" w:type="dxa"/>
            <w:vAlign w:val="top"/>
          </w:tcPr>
          <w:p>
            <w:pPr>
              <w:spacing w:before="125" w:line="230" w:lineRule="auto"/>
              <w:ind w:left="34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1069" w:type="dxa"/>
            <w:vAlign w:val="top"/>
          </w:tcPr>
          <w:p>
            <w:pPr>
              <w:spacing w:before="118" w:line="230" w:lineRule="auto"/>
              <w:ind w:left="395"/>
              <w:rPr>
                <w:rFonts w:ascii="Times New Roman" w:hAnsi="Times New Roman" w:eastAsia="Times New Roman" w:cs="Times New Roman"/>
                <w:sz w:val="22"/>
                <w:szCs w:val="22"/>
              </w:rPr>
            </w:pPr>
            <w:r>
              <w:rPr>
                <w:rFonts w:ascii="Times New Roman" w:hAnsi="Times New Roman" w:eastAsia="Times New Roman" w:cs="Times New Roman"/>
                <w:spacing w:val="-4"/>
                <w:sz w:val="21"/>
                <w:szCs w:val="21"/>
              </w:rPr>
              <w:t>7</w:t>
            </w:r>
            <w:r>
              <w:rPr>
                <w:rFonts w:ascii="Times New Roman" w:hAnsi="Times New Roman" w:eastAsia="Times New Roman" w:cs="Times New Roman"/>
                <w:spacing w:val="-4"/>
                <w:sz w:val="22"/>
                <w:szCs w:val="22"/>
              </w:rPr>
              <w:t>%</w:t>
            </w:r>
          </w:p>
        </w:tc>
        <w:tc>
          <w:tcPr>
            <w:tcW w:w="1068" w:type="dxa"/>
            <w:vAlign w:val="top"/>
          </w:tcPr>
          <w:p>
            <w:pPr>
              <w:spacing w:before="118" w:line="230" w:lineRule="auto"/>
              <w:ind w:left="358"/>
              <w:rPr>
                <w:rFonts w:ascii="Times New Roman" w:hAnsi="Times New Roman" w:eastAsia="Times New Roman" w:cs="Times New Roman"/>
                <w:sz w:val="22"/>
                <w:szCs w:val="22"/>
              </w:rPr>
            </w:pPr>
            <w:r>
              <w:rPr>
                <w:rFonts w:ascii="Times New Roman" w:hAnsi="Times New Roman" w:eastAsia="Times New Roman" w:cs="Times New Roman"/>
                <w:spacing w:val="-8"/>
                <w:sz w:val="21"/>
                <w:szCs w:val="21"/>
              </w:rPr>
              <w:t>15</w:t>
            </w:r>
            <w:r>
              <w:rPr>
                <w:rFonts w:ascii="Times New Roman" w:hAnsi="Times New Roman" w:eastAsia="Times New Roman" w:cs="Times New Roman"/>
                <w:spacing w:val="-8"/>
                <w:sz w:val="22"/>
                <w:szCs w:val="22"/>
              </w:rPr>
              <w:t>%</w:t>
            </w:r>
          </w:p>
        </w:tc>
        <w:tc>
          <w:tcPr>
            <w:tcW w:w="1070" w:type="dxa"/>
            <w:vAlign w:val="top"/>
          </w:tcPr>
          <w:p>
            <w:pPr>
              <w:spacing w:before="118" w:line="230" w:lineRule="auto"/>
              <w:ind w:left="394"/>
              <w:rPr>
                <w:rFonts w:ascii="Times New Roman" w:hAnsi="Times New Roman" w:eastAsia="Times New Roman" w:cs="Times New Roman"/>
                <w:sz w:val="22"/>
                <w:szCs w:val="22"/>
              </w:rPr>
            </w:pPr>
            <w:r>
              <w:rPr>
                <w:rFonts w:ascii="Times New Roman" w:hAnsi="Times New Roman" w:eastAsia="Times New Roman" w:cs="Times New Roman"/>
                <w:spacing w:val="-4"/>
                <w:sz w:val="21"/>
                <w:szCs w:val="21"/>
              </w:rPr>
              <w:t>7</w:t>
            </w:r>
            <w:r>
              <w:rPr>
                <w:rFonts w:ascii="Times New Roman" w:hAnsi="Times New Roman" w:eastAsia="Times New Roman" w:cs="Times New Roman"/>
                <w:spacing w:val="-4"/>
                <w:sz w:val="22"/>
                <w:szCs w:val="22"/>
              </w:rPr>
              <w:t>%</w:t>
            </w:r>
          </w:p>
        </w:tc>
        <w:tc>
          <w:tcPr>
            <w:tcW w:w="1067" w:type="dxa"/>
            <w:vAlign w:val="top"/>
          </w:tcPr>
          <w:p>
            <w:pPr>
              <w:spacing w:before="118" w:line="230" w:lineRule="auto"/>
              <w:ind w:left="356"/>
              <w:rPr>
                <w:rFonts w:ascii="Times New Roman" w:hAnsi="Times New Roman" w:eastAsia="Times New Roman" w:cs="Times New Roman"/>
                <w:sz w:val="22"/>
                <w:szCs w:val="22"/>
              </w:rPr>
            </w:pPr>
            <w:r>
              <w:rPr>
                <w:rFonts w:ascii="Times New Roman" w:hAnsi="Times New Roman" w:eastAsia="Times New Roman" w:cs="Times New Roman"/>
                <w:spacing w:val="-8"/>
                <w:sz w:val="21"/>
                <w:szCs w:val="21"/>
              </w:rPr>
              <w:t>13</w:t>
            </w:r>
            <w:r>
              <w:rPr>
                <w:rFonts w:ascii="Times New Roman" w:hAnsi="Times New Roman" w:eastAsia="Times New Roman" w:cs="Times New Roman"/>
                <w:spacing w:val="-8"/>
                <w:sz w:val="22"/>
                <w:szCs w:val="22"/>
              </w:rPr>
              <w:t>%</w:t>
            </w:r>
          </w:p>
        </w:tc>
        <w:tc>
          <w:tcPr>
            <w:tcW w:w="1068" w:type="dxa"/>
            <w:vAlign w:val="top"/>
          </w:tcPr>
          <w:p>
            <w:pPr>
              <w:spacing w:before="118" w:line="230" w:lineRule="auto"/>
              <w:ind w:left="398"/>
              <w:rPr>
                <w:rFonts w:ascii="Times New Roman" w:hAnsi="Times New Roman" w:eastAsia="Times New Roman" w:cs="Times New Roman"/>
                <w:sz w:val="22"/>
                <w:szCs w:val="22"/>
              </w:rPr>
            </w:pPr>
            <w:r>
              <w:rPr>
                <w:rFonts w:ascii="Times New Roman" w:hAnsi="Times New Roman" w:eastAsia="Times New Roman" w:cs="Times New Roman"/>
                <w:spacing w:val="-5"/>
                <w:sz w:val="21"/>
                <w:szCs w:val="21"/>
              </w:rPr>
              <w:t>5</w:t>
            </w:r>
            <w:r>
              <w:rPr>
                <w:rFonts w:ascii="Times New Roman" w:hAnsi="Times New Roman" w:eastAsia="Times New Roman" w:cs="Times New Roman"/>
                <w:spacing w:val="-5"/>
                <w:sz w:val="22"/>
                <w:szCs w:val="22"/>
              </w:rPr>
              <w:t>%</w:t>
            </w:r>
          </w:p>
        </w:tc>
        <w:tc>
          <w:tcPr>
            <w:tcW w:w="1070" w:type="dxa"/>
            <w:vAlign w:val="top"/>
          </w:tcPr>
          <w:p>
            <w:pPr>
              <w:spacing w:before="118" w:line="230" w:lineRule="auto"/>
              <w:ind w:left="390"/>
              <w:rPr>
                <w:rFonts w:ascii="Times New Roman" w:hAnsi="Times New Roman" w:eastAsia="Times New Roman" w:cs="Times New Roman"/>
                <w:sz w:val="22"/>
                <w:szCs w:val="22"/>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2"/>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221" w:type="dxa"/>
            <w:vAlign w:val="top"/>
          </w:tcPr>
          <w:p>
            <w:pPr>
              <w:spacing w:before="135"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2042</w:t>
            </w:r>
          </w:p>
        </w:tc>
        <w:tc>
          <w:tcPr>
            <w:tcW w:w="1068" w:type="dxa"/>
            <w:vAlign w:val="top"/>
          </w:tcPr>
          <w:p>
            <w:pPr>
              <w:spacing w:before="124" w:line="230" w:lineRule="auto"/>
              <w:ind w:left="33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54%</w:t>
            </w:r>
          </w:p>
        </w:tc>
        <w:tc>
          <w:tcPr>
            <w:tcW w:w="1069" w:type="dxa"/>
            <w:vAlign w:val="top"/>
          </w:tcPr>
          <w:p>
            <w:pPr>
              <w:spacing w:before="124" w:line="230" w:lineRule="auto"/>
              <w:ind w:left="39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w:t>
            </w:r>
          </w:p>
        </w:tc>
        <w:tc>
          <w:tcPr>
            <w:tcW w:w="1068" w:type="dxa"/>
            <w:vAlign w:val="top"/>
          </w:tcPr>
          <w:p>
            <w:pPr>
              <w:spacing w:before="124" w:line="230"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14%</w:t>
            </w:r>
          </w:p>
        </w:tc>
        <w:tc>
          <w:tcPr>
            <w:tcW w:w="1070" w:type="dxa"/>
            <w:vAlign w:val="top"/>
          </w:tcPr>
          <w:p>
            <w:pPr>
              <w:spacing w:before="124" w:line="230" w:lineRule="auto"/>
              <w:ind w:left="39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w:t>
            </w:r>
          </w:p>
        </w:tc>
        <w:tc>
          <w:tcPr>
            <w:tcW w:w="1067" w:type="dxa"/>
            <w:vAlign w:val="top"/>
          </w:tcPr>
          <w:p>
            <w:pPr>
              <w:spacing w:before="124" w:line="230" w:lineRule="auto"/>
              <w:ind w:left="35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14%</w:t>
            </w:r>
          </w:p>
        </w:tc>
        <w:tc>
          <w:tcPr>
            <w:tcW w:w="1068" w:type="dxa"/>
            <w:vAlign w:val="top"/>
          </w:tcPr>
          <w:p>
            <w:pPr>
              <w:spacing w:before="124" w:line="230" w:lineRule="auto"/>
              <w:ind w:left="3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w:t>
            </w:r>
          </w:p>
        </w:tc>
        <w:tc>
          <w:tcPr>
            <w:tcW w:w="1070" w:type="dxa"/>
            <w:vAlign w:val="top"/>
          </w:tcPr>
          <w:p>
            <w:pPr>
              <w:spacing w:before="124" w:line="230" w:lineRule="auto"/>
              <w:ind w:left="38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w:t>
            </w:r>
          </w:p>
        </w:tc>
      </w:tr>
    </w:tbl>
    <w:p>
      <w:pPr>
        <w:pStyle w:val="2"/>
        <w:spacing w:line="387" w:lineRule="auto"/>
      </w:pPr>
    </w:p>
    <w:p>
      <w:pPr>
        <w:spacing w:before="78" w:line="220" w:lineRule="auto"/>
        <w:ind w:left="234"/>
        <w:outlineLvl w:val="1"/>
        <w:rPr>
          <w:rFonts w:ascii="宋体" w:hAnsi="宋体" w:eastAsia="宋体" w:cs="宋体"/>
          <w:sz w:val="24"/>
          <w:szCs w:val="24"/>
        </w:rPr>
      </w:pPr>
      <w:r>
        <w:rPr>
          <w:rFonts w:ascii="Times New Roman" w:hAnsi="Times New Roman" w:eastAsia="Times New Roman" w:cs="Times New Roman"/>
          <w:b/>
          <w:bCs/>
          <w:sz w:val="24"/>
          <w:szCs w:val="24"/>
        </w:rPr>
        <w:t xml:space="preserve">3.3.2 </w:t>
      </w:r>
      <w:r>
        <w:rPr>
          <w:rFonts w:ascii="宋体" w:hAnsi="宋体" w:eastAsia="宋体" w:cs="宋体"/>
          <w:sz w:val="24"/>
          <w:szCs w:val="24"/>
          <w14:textOutline w14:w="4354" w14:cap="flat" w14:cmpd="sng">
            <w14:solidFill>
              <w14:srgbClr w14:val="000000"/>
            </w14:solidFill>
            <w14:prstDash w14:val="solid"/>
            <w14:miter w14:val="0"/>
          </w14:textOutline>
        </w:rPr>
        <w:t>环评预测年交通量和车型比</w:t>
      </w:r>
    </w:p>
    <w:p>
      <w:pPr>
        <w:spacing w:before="181" w:line="359" w:lineRule="auto"/>
        <w:ind w:left="242" w:right="126" w:firstLine="478"/>
        <w:jc w:val="both"/>
        <w:rPr>
          <w:rFonts w:ascii="宋体" w:hAnsi="宋体" w:eastAsia="宋体" w:cs="宋体"/>
          <w:sz w:val="24"/>
          <w:szCs w:val="24"/>
        </w:rPr>
      </w:pPr>
      <w:r>
        <w:rPr>
          <w:rFonts w:ascii="宋体" w:hAnsi="宋体" w:eastAsia="宋体" w:cs="宋体"/>
          <w:spacing w:val="-8"/>
          <w:sz w:val="24"/>
          <w:szCs w:val="24"/>
        </w:rPr>
        <w:t>本项目线路</w:t>
      </w:r>
      <w:r>
        <w:rPr>
          <w:rFonts w:ascii="宋体" w:hAnsi="宋体" w:eastAsia="宋体" w:cs="宋体"/>
          <w:spacing w:val="-40"/>
          <w:sz w:val="24"/>
          <w:szCs w:val="24"/>
        </w:rPr>
        <w:t xml:space="preserve"> </w:t>
      </w:r>
      <w:r>
        <w:rPr>
          <w:rFonts w:ascii="Times New Roman" w:hAnsi="Times New Roman" w:eastAsia="Times New Roman" w:cs="Times New Roman"/>
          <w:spacing w:val="-8"/>
          <w:sz w:val="24"/>
          <w:szCs w:val="24"/>
        </w:rPr>
        <w:t xml:space="preserve">2023 </w:t>
      </w:r>
      <w:r>
        <w:rPr>
          <w:rFonts w:ascii="宋体" w:hAnsi="宋体" w:eastAsia="宋体" w:cs="宋体"/>
          <w:spacing w:val="-8"/>
          <w:sz w:val="24"/>
          <w:szCs w:val="24"/>
        </w:rPr>
        <w:t>年投入使用， 本环评报告选取投入运营后第一年（</w:t>
      </w:r>
      <w:r>
        <w:rPr>
          <w:rFonts w:ascii="Times New Roman" w:hAnsi="Times New Roman" w:eastAsia="Times New Roman" w:cs="Times New Roman"/>
          <w:spacing w:val="-8"/>
          <w:sz w:val="24"/>
          <w:szCs w:val="24"/>
        </w:rPr>
        <w:t xml:space="preserve">2023 </w:t>
      </w:r>
      <w:r>
        <w:rPr>
          <w:rFonts w:ascii="宋体" w:hAnsi="宋体" w:eastAsia="宋体" w:cs="宋体"/>
          <w:spacing w:val="-8"/>
          <w:sz w:val="24"/>
          <w:szCs w:val="24"/>
        </w:rPr>
        <w:t>年）</w:t>
      </w:r>
      <w:r>
        <w:rPr>
          <w:rFonts w:ascii="宋体" w:hAnsi="宋体" w:eastAsia="宋体" w:cs="宋体"/>
          <w:sz w:val="24"/>
          <w:szCs w:val="24"/>
        </w:rPr>
        <w:t xml:space="preserve"> </w:t>
      </w:r>
      <w:r>
        <w:rPr>
          <w:rFonts w:ascii="宋体" w:hAnsi="宋体" w:eastAsia="宋体" w:cs="宋体"/>
          <w:spacing w:val="-9"/>
          <w:sz w:val="24"/>
          <w:szCs w:val="24"/>
        </w:rPr>
        <w:t>为近期、第</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 xml:space="preserve">7 </w:t>
      </w:r>
      <w:r>
        <w:rPr>
          <w:rFonts w:ascii="宋体" w:hAnsi="宋体" w:eastAsia="宋体" w:cs="宋体"/>
          <w:spacing w:val="-9"/>
          <w:sz w:val="24"/>
          <w:szCs w:val="24"/>
        </w:rPr>
        <w:t>年（</w:t>
      </w:r>
      <w:r>
        <w:rPr>
          <w:rFonts w:ascii="Times New Roman" w:hAnsi="Times New Roman" w:eastAsia="Times New Roman" w:cs="Times New Roman"/>
          <w:spacing w:val="-9"/>
          <w:sz w:val="24"/>
          <w:szCs w:val="24"/>
        </w:rPr>
        <w:t>2029</w:t>
      </w:r>
      <w:r>
        <w:rPr>
          <w:rFonts w:ascii="Times New Roman" w:hAnsi="Times New Roman" w:eastAsia="Times New Roman" w:cs="Times New Roman"/>
          <w:spacing w:val="13"/>
          <w:sz w:val="24"/>
          <w:szCs w:val="24"/>
        </w:rPr>
        <w:t xml:space="preserve"> </w:t>
      </w:r>
      <w:r>
        <w:rPr>
          <w:rFonts w:ascii="宋体" w:hAnsi="宋体" w:eastAsia="宋体" w:cs="宋体"/>
          <w:spacing w:val="-9"/>
          <w:sz w:val="24"/>
          <w:szCs w:val="24"/>
        </w:rPr>
        <w:t>年）</w:t>
      </w:r>
      <w:r>
        <w:rPr>
          <w:rFonts w:ascii="宋体" w:hAnsi="宋体" w:eastAsia="宋体" w:cs="宋体"/>
          <w:spacing w:val="-60"/>
          <w:sz w:val="24"/>
          <w:szCs w:val="24"/>
        </w:rPr>
        <w:t xml:space="preserve"> </w:t>
      </w:r>
      <w:r>
        <w:rPr>
          <w:rFonts w:ascii="宋体" w:hAnsi="宋体" w:eastAsia="宋体" w:cs="宋体"/>
          <w:spacing w:val="-9"/>
          <w:sz w:val="24"/>
          <w:szCs w:val="24"/>
        </w:rPr>
        <w:t>为中期、第</w:t>
      </w:r>
      <w:r>
        <w:rPr>
          <w:rFonts w:ascii="宋体" w:hAnsi="宋体" w:eastAsia="宋体" w:cs="宋体"/>
          <w:spacing w:val="-31"/>
          <w:sz w:val="24"/>
          <w:szCs w:val="24"/>
        </w:rPr>
        <w:t xml:space="preserve"> </w:t>
      </w:r>
      <w:r>
        <w:rPr>
          <w:rFonts w:ascii="Times New Roman" w:hAnsi="Times New Roman" w:eastAsia="Times New Roman" w:cs="Times New Roman"/>
          <w:spacing w:val="-9"/>
          <w:sz w:val="24"/>
          <w:szCs w:val="24"/>
        </w:rPr>
        <w:t xml:space="preserve">15 </w:t>
      </w:r>
      <w:r>
        <w:rPr>
          <w:rFonts w:ascii="宋体" w:hAnsi="宋体" w:eastAsia="宋体" w:cs="宋体"/>
          <w:spacing w:val="-9"/>
          <w:sz w:val="24"/>
          <w:szCs w:val="24"/>
        </w:rPr>
        <w:t>年（</w:t>
      </w:r>
      <w:r>
        <w:rPr>
          <w:rFonts w:ascii="Times New Roman" w:hAnsi="Times New Roman" w:eastAsia="Times New Roman" w:cs="Times New Roman"/>
          <w:spacing w:val="-9"/>
          <w:sz w:val="24"/>
          <w:szCs w:val="24"/>
        </w:rPr>
        <w:t xml:space="preserve">2037 </w:t>
      </w:r>
      <w:r>
        <w:rPr>
          <w:rFonts w:ascii="宋体" w:hAnsi="宋体" w:eastAsia="宋体" w:cs="宋体"/>
          <w:spacing w:val="-9"/>
          <w:sz w:val="24"/>
          <w:szCs w:val="24"/>
        </w:rPr>
        <w:t>年）</w:t>
      </w:r>
      <w:r>
        <w:rPr>
          <w:rFonts w:ascii="宋体" w:hAnsi="宋体" w:eastAsia="宋体" w:cs="宋体"/>
          <w:spacing w:val="-60"/>
          <w:sz w:val="24"/>
          <w:szCs w:val="24"/>
        </w:rPr>
        <w:t xml:space="preserve"> </w:t>
      </w:r>
      <w:r>
        <w:rPr>
          <w:rFonts w:ascii="宋体" w:hAnsi="宋体" w:eastAsia="宋体" w:cs="宋体"/>
          <w:spacing w:val="-10"/>
          <w:sz w:val="24"/>
          <w:szCs w:val="24"/>
        </w:rPr>
        <w:t>为远期， 对本工程运营</w:t>
      </w:r>
      <w:r>
        <w:rPr>
          <w:rFonts w:ascii="宋体" w:hAnsi="宋体" w:eastAsia="宋体" w:cs="宋体"/>
          <w:sz w:val="24"/>
          <w:szCs w:val="24"/>
        </w:rPr>
        <w:t xml:space="preserve">  </w:t>
      </w:r>
      <w:r>
        <w:rPr>
          <w:rFonts w:ascii="宋体" w:hAnsi="宋体" w:eastAsia="宋体" w:cs="宋体"/>
          <w:spacing w:val="-10"/>
          <w:sz w:val="24"/>
          <w:szCs w:val="24"/>
        </w:rPr>
        <w:t>期进行预测评价。经咨询设计单位，</w:t>
      </w:r>
      <w:r>
        <w:rPr>
          <w:rFonts w:ascii="宋体" w:hAnsi="宋体" w:eastAsia="宋体" w:cs="宋体"/>
          <w:spacing w:val="34"/>
          <w:sz w:val="24"/>
          <w:szCs w:val="24"/>
        </w:rPr>
        <w:t xml:space="preserve"> </w:t>
      </w:r>
      <w:r>
        <w:rPr>
          <w:rFonts w:ascii="宋体" w:hAnsi="宋体" w:eastAsia="宋体" w:cs="宋体"/>
          <w:spacing w:val="-10"/>
          <w:sz w:val="24"/>
          <w:szCs w:val="24"/>
        </w:rPr>
        <w:t>本环评预测年与设计预测年不一致时，</w:t>
      </w:r>
      <w:r>
        <w:rPr>
          <w:rFonts w:ascii="宋体" w:hAnsi="宋体" w:eastAsia="宋体" w:cs="宋体"/>
          <w:spacing w:val="-27"/>
          <w:sz w:val="24"/>
          <w:szCs w:val="24"/>
        </w:rPr>
        <w:t xml:space="preserve"> </w:t>
      </w:r>
      <w:r>
        <w:rPr>
          <w:rFonts w:ascii="宋体" w:hAnsi="宋体" w:eastAsia="宋体" w:cs="宋体"/>
          <w:spacing w:val="-10"/>
          <w:sz w:val="24"/>
          <w:szCs w:val="24"/>
        </w:rPr>
        <w:t>对设</w:t>
      </w:r>
    </w:p>
    <w:p>
      <w:pPr>
        <w:spacing w:before="1" w:line="218" w:lineRule="auto"/>
        <w:ind w:left="239"/>
        <w:rPr>
          <w:rFonts w:ascii="宋体" w:hAnsi="宋体" w:eastAsia="宋体" w:cs="宋体"/>
          <w:sz w:val="24"/>
          <w:szCs w:val="24"/>
        </w:rPr>
      </w:pPr>
      <w:r>
        <w:rPr>
          <w:rFonts w:ascii="宋体" w:hAnsi="宋体" w:eastAsia="宋体" w:cs="宋体"/>
          <w:spacing w:val="-2"/>
          <w:sz w:val="24"/>
          <w:szCs w:val="24"/>
        </w:rPr>
        <w:t>计预测车流量采用年均增长率内插选取相关数据。</w:t>
      </w:r>
    </w:p>
    <w:p>
      <w:pPr>
        <w:spacing w:before="184" w:line="359" w:lineRule="auto"/>
        <w:ind w:left="251" w:right="230" w:firstLine="468"/>
        <w:jc w:val="both"/>
        <w:rPr>
          <w:rFonts w:ascii="宋体" w:hAnsi="宋体" w:eastAsia="宋体" w:cs="宋体"/>
          <w:sz w:val="24"/>
          <w:szCs w:val="24"/>
        </w:rPr>
      </w:pPr>
      <w:r>
        <w:rPr>
          <w:rFonts w:ascii="宋体" w:hAnsi="宋体" w:eastAsia="宋体" w:cs="宋体"/>
          <w:spacing w:val="-1"/>
          <w:sz w:val="24"/>
          <w:szCs w:val="24"/>
        </w:rPr>
        <w:t>本项目参考《溧阳至宁德高速公路（</w:t>
      </w:r>
      <w:r>
        <w:rPr>
          <w:rFonts w:ascii="Times New Roman" w:hAnsi="Times New Roman" w:eastAsia="Times New Roman" w:cs="Times New Roman"/>
          <w:spacing w:val="-1"/>
          <w:sz w:val="24"/>
          <w:szCs w:val="24"/>
        </w:rPr>
        <w:t>G4012</w:t>
      </w:r>
      <w:r>
        <w:rPr>
          <w:rFonts w:ascii="宋体" w:hAnsi="宋体" w:eastAsia="宋体" w:cs="宋体"/>
          <w:spacing w:val="-1"/>
          <w:sz w:val="24"/>
          <w:szCs w:val="24"/>
        </w:rPr>
        <w:t>）浙江景宁至文成段工程环</w:t>
      </w:r>
      <w:r>
        <w:rPr>
          <w:rFonts w:ascii="宋体" w:hAnsi="宋体" w:eastAsia="宋体" w:cs="宋体"/>
          <w:spacing w:val="-2"/>
          <w:sz w:val="24"/>
          <w:szCs w:val="24"/>
        </w:rPr>
        <w:t>境影</w:t>
      </w:r>
      <w:r>
        <w:rPr>
          <w:rFonts w:ascii="宋体" w:hAnsi="宋体" w:eastAsia="宋体" w:cs="宋体"/>
          <w:sz w:val="24"/>
          <w:szCs w:val="24"/>
        </w:rPr>
        <w:t xml:space="preserve"> </w:t>
      </w:r>
      <w:r>
        <w:rPr>
          <w:rFonts w:ascii="宋体" w:hAnsi="宋体" w:eastAsia="宋体" w:cs="宋体"/>
          <w:spacing w:val="-2"/>
          <w:sz w:val="24"/>
          <w:szCs w:val="24"/>
        </w:rPr>
        <w:t>响报告书》，确定昼夜交通量比例为</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7:1</w:t>
      </w:r>
      <w:r>
        <w:rPr>
          <w:rFonts w:ascii="宋体" w:hAnsi="宋体" w:eastAsia="宋体" w:cs="宋体"/>
          <w:spacing w:val="-2"/>
          <w:sz w:val="24"/>
          <w:szCs w:val="24"/>
        </w:rPr>
        <w:t>，昼间为</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6:00</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22:00 </w:t>
      </w:r>
      <w:r>
        <w:rPr>
          <w:rFonts w:ascii="宋体" w:hAnsi="宋体" w:eastAsia="宋体" w:cs="宋体"/>
          <w:spacing w:val="-2"/>
          <w:sz w:val="24"/>
          <w:szCs w:val="24"/>
        </w:rPr>
        <w:t>共</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16 </w:t>
      </w:r>
      <w:r>
        <w:rPr>
          <w:rFonts w:ascii="宋体" w:hAnsi="宋体" w:eastAsia="宋体" w:cs="宋体"/>
          <w:spacing w:val="-2"/>
          <w:sz w:val="24"/>
          <w:szCs w:val="24"/>
        </w:rPr>
        <w:t>个小时，夜</w:t>
      </w:r>
    </w:p>
    <w:p>
      <w:pPr>
        <w:spacing w:before="1" w:line="219" w:lineRule="auto"/>
        <w:ind w:left="258"/>
        <w:rPr>
          <w:rFonts w:ascii="宋体" w:hAnsi="宋体" w:eastAsia="宋体" w:cs="宋体"/>
          <w:sz w:val="24"/>
          <w:szCs w:val="24"/>
        </w:rPr>
      </w:pPr>
      <w:r>
        <w:rPr>
          <w:rFonts w:ascii="宋体" w:hAnsi="宋体" w:eastAsia="宋体" w:cs="宋体"/>
          <w:spacing w:val="-4"/>
          <w:sz w:val="24"/>
          <w:szCs w:val="24"/>
        </w:rPr>
        <w:t>间</w:t>
      </w:r>
      <w:r>
        <w:rPr>
          <w:rFonts w:ascii="宋体" w:hAnsi="宋体" w:eastAsia="宋体" w:cs="宋体"/>
          <w:spacing w:val="-53"/>
          <w:sz w:val="24"/>
          <w:szCs w:val="24"/>
        </w:rPr>
        <w:t xml:space="preserve"> </w:t>
      </w:r>
      <w:r>
        <w:rPr>
          <w:rFonts w:ascii="Times New Roman" w:hAnsi="Times New Roman" w:eastAsia="Times New Roman" w:cs="Times New Roman"/>
          <w:spacing w:val="-4"/>
          <w:sz w:val="24"/>
          <w:szCs w:val="24"/>
        </w:rPr>
        <w:t>22:00~</w:t>
      </w:r>
      <w:r>
        <w:rPr>
          <w:rFonts w:ascii="宋体" w:hAnsi="宋体" w:eastAsia="宋体" w:cs="宋体"/>
          <w:spacing w:val="-4"/>
          <w:sz w:val="24"/>
          <w:szCs w:val="24"/>
        </w:rPr>
        <w:t>次日</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6:00 </w:t>
      </w:r>
      <w:r>
        <w:rPr>
          <w:rFonts w:ascii="宋体" w:hAnsi="宋体" w:eastAsia="宋体" w:cs="宋体"/>
          <w:spacing w:val="-4"/>
          <w:sz w:val="24"/>
          <w:szCs w:val="24"/>
        </w:rPr>
        <w:t>共</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 xml:space="preserve">8 </w:t>
      </w:r>
      <w:r>
        <w:rPr>
          <w:rFonts w:ascii="宋体" w:hAnsi="宋体" w:eastAsia="宋体" w:cs="宋体"/>
          <w:spacing w:val="-4"/>
          <w:sz w:val="24"/>
          <w:szCs w:val="24"/>
        </w:rPr>
        <w:t>个小时。</w:t>
      </w:r>
    </w:p>
    <w:p>
      <w:pPr>
        <w:spacing w:before="182" w:line="220" w:lineRule="auto"/>
        <w:ind w:left="721"/>
        <w:rPr>
          <w:rFonts w:ascii="宋体" w:hAnsi="宋体" w:eastAsia="宋体" w:cs="宋体"/>
          <w:sz w:val="24"/>
          <w:szCs w:val="24"/>
        </w:rPr>
      </w:pPr>
      <w:r>
        <w:rPr>
          <w:rFonts w:ascii="宋体" w:hAnsi="宋体" w:eastAsia="宋体" w:cs="宋体"/>
          <w:spacing w:val="-1"/>
          <w:sz w:val="24"/>
          <w:szCs w:val="24"/>
        </w:rPr>
        <w:t>经计算，环评预测年交通量预测见表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3.3-4</w:t>
      </w:r>
      <w:r>
        <w:rPr>
          <w:rFonts w:ascii="宋体" w:hAnsi="宋体" w:eastAsia="宋体" w:cs="宋体"/>
          <w:spacing w:val="-1"/>
          <w:sz w:val="24"/>
          <w:szCs w:val="24"/>
        </w:rPr>
        <w:t>。</w:t>
      </w:r>
    </w:p>
    <w:p>
      <w:pPr>
        <w:spacing w:before="180" w:line="233" w:lineRule="auto"/>
        <w:ind w:left="1438"/>
        <w:rPr>
          <w:rFonts w:ascii="Times New Roman" w:hAnsi="Times New Roman" w:eastAsia="Times New Roman" w:cs="Times New Roman"/>
          <w:sz w:val="24"/>
          <w:szCs w:val="24"/>
        </w:rPr>
      </w:pPr>
      <w:r>
        <w:rPr>
          <w:rFonts w:ascii="宋体" w:hAnsi="宋体" w:eastAsia="宋体" w:cs="宋体"/>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3.3-4        </w:t>
      </w:r>
      <w:r>
        <w:rPr>
          <w:rFonts w:ascii="宋体" w:hAnsi="宋体" w:eastAsia="宋体" w:cs="宋体"/>
          <w:sz w:val="24"/>
          <w:szCs w:val="24"/>
        </w:rPr>
        <w:t>本项目环评预</w:t>
      </w:r>
      <w:r>
        <w:rPr>
          <w:rFonts w:ascii="宋体" w:hAnsi="宋体" w:eastAsia="宋体" w:cs="宋体"/>
          <w:spacing w:val="-1"/>
          <w:sz w:val="24"/>
          <w:szCs w:val="24"/>
        </w:rPr>
        <w:t>测年交通量       单位：辆</w:t>
      </w:r>
      <w:r>
        <w:rPr>
          <w:rFonts w:ascii="Times New Roman" w:hAnsi="Times New Roman" w:eastAsia="Times New Roman" w:cs="Times New Roman"/>
          <w:spacing w:val="-1"/>
          <w:sz w:val="24"/>
          <w:szCs w:val="24"/>
        </w:rPr>
        <w:t>/d</w:t>
      </w:r>
    </w:p>
    <w:p>
      <w:pPr>
        <w:spacing w:line="129" w:lineRule="exact"/>
      </w:pPr>
    </w:p>
    <w:tbl>
      <w:tblPr>
        <w:tblStyle w:val="5"/>
        <w:tblW w:w="872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1610"/>
        <w:gridCol w:w="2435"/>
        <w:gridCol w:w="1734"/>
        <w:gridCol w:w="24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18" w:type="dxa"/>
            <w:gridSpan w:val="2"/>
            <w:vAlign w:val="top"/>
          </w:tcPr>
          <w:p>
            <w:pPr>
              <w:pStyle w:val="6"/>
              <w:spacing w:before="74" w:line="221" w:lineRule="auto"/>
              <w:ind w:left="856"/>
            </w:pPr>
            <w:r>
              <w:rPr>
                <w:spacing w:val="-2"/>
              </w:rPr>
              <w:t>路段</w:t>
            </w:r>
          </w:p>
        </w:tc>
        <w:tc>
          <w:tcPr>
            <w:tcW w:w="2435" w:type="dxa"/>
            <w:vAlign w:val="top"/>
          </w:tcPr>
          <w:p>
            <w:pPr>
              <w:pStyle w:val="6"/>
              <w:spacing w:before="74" w:line="221" w:lineRule="auto"/>
              <w:ind w:left="879"/>
            </w:pPr>
            <w:r>
              <w:rPr>
                <w:rFonts w:ascii="Times New Roman" w:hAnsi="Times New Roman" w:eastAsia="Times New Roman" w:cs="Times New Roman"/>
                <w:spacing w:val="-1"/>
              </w:rPr>
              <w:t>2023</w:t>
            </w:r>
            <w:r>
              <w:rPr>
                <w:rFonts w:ascii="Times New Roman" w:hAnsi="Times New Roman" w:eastAsia="Times New Roman" w:cs="Times New Roman"/>
                <w:spacing w:val="8"/>
              </w:rPr>
              <w:t xml:space="preserve"> </w:t>
            </w:r>
            <w:r>
              <w:rPr>
                <w:spacing w:val="-1"/>
              </w:rPr>
              <w:t>年</w:t>
            </w:r>
          </w:p>
        </w:tc>
        <w:tc>
          <w:tcPr>
            <w:tcW w:w="1734" w:type="dxa"/>
            <w:vAlign w:val="top"/>
          </w:tcPr>
          <w:p>
            <w:pPr>
              <w:pStyle w:val="6"/>
              <w:spacing w:before="74" w:line="221" w:lineRule="auto"/>
              <w:ind w:left="528"/>
            </w:pPr>
            <w:r>
              <w:rPr>
                <w:rFonts w:ascii="Times New Roman" w:hAnsi="Times New Roman" w:eastAsia="Times New Roman" w:cs="Times New Roman"/>
                <w:spacing w:val="-1"/>
              </w:rPr>
              <w:t>2029</w:t>
            </w:r>
            <w:r>
              <w:rPr>
                <w:rFonts w:ascii="Times New Roman" w:hAnsi="Times New Roman" w:eastAsia="Times New Roman" w:cs="Times New Roman"/>
                <w:spacing w:val="8"/>
              </w:rPr>
              <w:t xml:space="preserve"> </w:t>
            </w:r>
            <w:r>
              <w:rPr>
                <w:spacing w:val="-1"/>
              </w:rPr>
              <w:t>年</w:t>
            </w:r>
          </w:p>
        </w:tc>
        <w:tc>
          <w:tcPr>
            <w:tcW w:w="2438" w:type="dxa"/>
            <w:vAlign w:val="top"/>
          </w:tcPr>
          <w:p>
            <w:pPr>
              <w:pStyle w:val="6"/>
              <w:spacing w:before="74" w:line="221" w:lineRule="auto"/>
              <w:ind w:left="880"/>
            </w:pPr>
            <w:r>
              <w:rPr>
                <w:rFonts w:ascii="Times New Roman" w:hAnsi="Times New Roman" w:eastAsia="Times New Roman" w:cs="Times New Roman"/>
                <w:spacing w:val="-1"/>
              </w:rPr>
              <w:t>2037</w:t>
            </w:r>
            <w:r>
              <w:rPr>
                <w:rFonts w:ascii="Times New Roman" w:hAnsi="Times New Roman" w:eastAsia="Times New Roman" w:cs="Times New Roman"/>
                <w:spacing w:val="8"/>
              </w:rPr>
              <w:t xml:space="preserve"> </w:t>
            </w:r>
            <w:r>
              <w:rPr>
                <w:spacing w:val="-1"/>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2118" w:type="dxa"/>
            <w:gridSpan w:val="2"/>
            <w:vAlign w:val="top"/>
          </w:tcPr>
          <w:p>
            <w:pPr>
              <w:pStyle w:val="6"/>
              <w:spacing w:before="65" w:line="221" w:lineRule="auto"/>
              <w:ind w:left="123"/>
            </w:pPr>
            <w:r>
              <w:rPr>
                <w:spacing w:val="-2"/>
              </w:rPr>
              <w:t>西坑互通连接线车流</w:t>
            </w:r>
          </w:p>
          <w:p>
            <w:pPr>
              <w:pStyle w:val="6"/>
              <w:spacing w:before="60" w:line="223" w:lineRule="auto"/>
              <w:jc w:val="right"/>
            </w:pPr>
            <w:r>
              <w:rPr>
                <w:spacing w:val="-26"/>
              </w:rPr>
              <w:t>量（相当于</w:t>
            </w:r>
            <w:r>
              <w:rPr>
                <w:spacing w:val="-50"/>
              </w:rPr>
              <w:t xml:space="preserve"> </w:t>
            </w:r>
            <w:r>
              <w:rPr>
                <w:rFonts w:ascii="Times New Roman" w:hAnsi="Times New Roman" w:eastAsia="Times New Roman" w:cs="Times New Roman"/>
                <w:spacing w:val="-26"/>
              </w:rPr>
              <w:t>A</w:t>
            </w:r>
            <w:r>
              <w:rPr>
                <w:rFonts w:ascii="Times New Roman" w:hAnsi="Times New Roman" w:eastAsia="Times New Roman" w:cs="Times New Roman"/>
                <w:spacing w:val="19"/>
              </w:rPr>
              <w:t xml:space="preserve"> </w:t>
            </w:r>
            <w:r>
              <w:rPr>
                <w:spacing w:val="-26"/>
              </w:rPr>
              <w:t>匝道）</w:t>
            </w:r>
            <w:r>
              <w:rPr>
                <w:rFonts w:ascii="Times New Roman" w:hAnsi="Times New Roman" w:eastAsia="Times New Roman" w:cs="Times New Roman"/>
                <w:spacing w:val="-26"/>
              </w:rPr>
              <w:t>L1</w:t>
            </w:r>
            <w:r>
              <w:rPr>
                <w:spacing w:val="-26"/>
              </w:rPr>
              <w:t>、</w:t>
            </w:r>
          </w:p>
          <w:p>
            <w:pPr>
              <w:spacing w:before="94" w:line="187" w:lineRule="auto"/>
              <w:ind w:left="9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w:t>
            </w:r>
          </w:p>
        </w:tc>
        <w:tc>
          <w:tcPr>
            <w:tcW w:w="2435" w:type="dxa"/>
            <w:vAlign w:val="top"/>
          </w:tcPr>
          <w:p>
            <w:pPr>
              <w:spacing w:line="351" w:lineRule="auto"/>
              <w:rPr>
                <w:rFonts w:ascii="Arial"/>
                <w:sz w:val="21"/>
              </w:rPr>
            </w:pPr>
          </w:p>
          <w:p>
            <w:pPr>
              <w:spacing w:before="60" w:line="187" w:lineRule="auto"/>
              <w:ind w:left="10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2470</w:t>
            </w:r>
          </w:p>
        </w:tc>
        <w:tc>
          <w:tcPr>
            <w:tcW w:w="1734" w:type="dxa"/>
            <w:vAlign w:val="top"/>
          </w:tcPr>
          <w:p>
            <w:pPr>
              <w:spacing w:line="351" w:lineRule="auto"/>
              <w:rPr>
                <w:rFonts w:ascii="Arial"/>
                <w:sz w:val="21"/>
              </w:rPr>
            </w:pPr>
          </w:p>
          <w:p>
            <w:pPr>
              <w:spacing w:before="60" w:line="187" w:lineRule="auto"/>
              <w:ind w:left="6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4832</w:t>
            </w:r>
          </w:p>
        </w:tc>
        <w:tc>
          <w:tcPr>
            <w:tcW w:w="2438" w:type="dxa"/>
            <w:vAlign w:val="top"/>
          </w:tcPr>
          <w:p>
            <w:pPr>
              <w:spacing w:line="351" w:lineRule="auto"/>
              <w:rPr>
                <w:rFonts w:ascii="Arial"/>
                <w:sz w:val="21"/>
              </w:rPr>
            </w:pPr>
          </w:p>
          <w:p>
            <w:pPr>
              <w:spacing w:before="60" w:line="187" w:lineRule="auto"/>
              <w:ind w:left="10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08" w:type="dxa"/>
            <w:vMerge w:val="restart"/>
            <w:tcBorders>
              <w:bottom w:val="nil"/>
            </w:tcBorders>
            <w:vAlign w:val="top"/>
          </w:tcPr>
          <w:p>
            <w:pPr>
              <w:spacing w:line="297" w:lineRule="auto"/>
              <w:rPr>
                <w:rFonts w:ascii="Arial"/>
                <w:sz w:val="21"/>
              </w:rPr>
            </w:pPr>
          </w:p>
          <w:p>
            <w:pPr>
              <w:spacing w:line="298" w:lineRule="auto"/>
              <w:rPr>
                <w:rFonts w:ascii="Arial"/>
                <w:sz w:val="21"/>
              </w:rPr>
            </w:pPr>
          </w:p>
          <w:p>
            <w:pPr>
              <w:pStyle w:val="6"/>
              <w:spacing w:before="68" w:line="251" w:lineRule="auto"/>
              <w:ind w:left="52" w:right="40" w:firstLine="1"/>
            </w:pPr>
            <w:r>
              <w:rPr>
                <w:spacing w:val="-6"/>
              </w:rPr>
              <w:t>西坑</w:t>
            </w:r>
            <w:r>
              <w:t xml:space="preserve"> </w:t>
            </w:r>
            <w:r>
              <w:rPr>
                <w:spacing w:val="-5"/>
              </w:rPr>
              <w:t>互通</w:t>
            </w:r>
          </w:p>
        </w:tc>
        <w:tc>
          <w:tcPr>
            <w:tcW w:w="1610" w:type="dxa"/>
            <w:vAlign w:val="top"/>
          </w:tcPr>
          <w:p>
            <w:pPr>
              <w:pStyle w:val="6"/>
              <w:spacing w:before="72" w:line="227" w:lineRule="auto"/>
              <w:ind w:left="498"/>
            </w:pPr>
            <w:r>
              <w:rPr>
                <w:rFonts w:ascii="Times New Roman" w:hAnsi="Times New Roman" w:eastAsia="Times New Roman" w:cs="Times New Roman"/>
                <w:spacing w:val="-5"/>
              </w:rPr>
              <w:t>B</w:t>
            </w:r>
            <w:r>
              <w:rPr>
                <w:rFonts w:ascii="Times New Roman" w:hAnsi="Times New Roman" w:eastAsia="Times New Roman" w:cs="Times New Roman"/>
                <w:spacing w:val="22"/>
              </w:rPr>
              <w:t xml:space="preserve"> </w:t>
            </w:r>
            <w:r>
              <w:rPr>
                <w:spacing w:val="-5"/>
              </w:rPr>
              <w:t>匝道</w:t>
            </w:r>
          </w:p>
        </w:tc>
        <w:tc>
          <w:tcPr>
            <w:tcW w:w="2435" w:type="dxa"/>
            <w:vAlign w:val="top"/>
          </w:tcPr>
          <w:p>
            <w:pPr>
              <w:spacing w:before="108" w:line="187" w:lineRule="auto"/>
              <w:ind w:left="10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357</w:t>
            </w:r>
          </w:p>
        </w:tc>
        <w:tc>
          <w:tcPr>
            <w:tcW w:w="1734" w:type="dxa"/>
            <w:vAlign w:val="top"/>
          </w:tcPr>
          <w:p>
            <w:pPr>
              <w:spacing w:before="108" w:line="187" w:lineRule="auto"/>
              <w:ind w:left="67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1227</w:t>
            </w:r>
          </w:p>
        </w:tc>
        <w:tc>
          <w:tcPr>
            <w:tcW w:w="2438" w:type="dxa"/>
            <w:vAlign w:val="top"/>
          </w:tcPr>
          <w:p>
            <w:pPr>
              <w:spacing w:before="108" w:line="187" w:lineRule="auto"/>
              <w:ind w:left="103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1603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8" w:type="dxa"/>
            <w:vMerge w:val="continue"/>
            <w:tcBorders>
              <w:top w:val="nil"/>
              <w:bottom w:val="nil"/>
            </w:tcBorders>
            <w:vAlign w:val="top"/>
          </w:tcPr>
          <w:p>
            <w:pPr>
              <w:rPr>
                <w:rFonts w:ascii="Arial"/>
                <w:sz w:val="21"/>
              </w:rPr>
            </w:pPr>
          </w:p>
        </w:tc>
        <w:tc>
          <w:tcPr>
            <w:tcW w:w="1610" w:type="dxa"/>
            <w:vAlign w:val="top"/>
          </w:tcPr>
          <w:p>
            <w:pPr>
              <w:pStyle w:val="6"/>
              <w:spacing w:before="74" w:line="225" w:lineRule="auto"/>
              <w:ind w:left="502"/>
            </w:pPr>
            <w:r>
              <w:rPr>
                <w:rFonts w:ascii="Times New Roman" w:hAnsi="Times New Roman" w:eastAsia="Times New Roman" w:cs="Times New Roman"/>
                <w:spacing w:val="-6"/>
              </w:rPr>
              <w:t>C</w:t>
            </w:r>
            <w:r>
              <w:rPr>
                <w:rFonts w:ascii="Times New Roman" w:hAnsi="Times New Roman" w:eastAsia="Times New Roman" w:cs="Times New Roman"/>
                <w:spacing w:val="21"/>
              </w:rPr>
              <w:t xml:space="preserve"> </w:t>
            </w:r>
            <w:r>
              <w:rPr>
                <w:spacing w:val="-6"/>
              </w:rPr>
              <w:t>匝道</w:t>
            </w:r>
          </w:p>
        </w:tc>
        <w:tc>
          <w:tcPr>
            <w:tcW w:w="2435" w:type="dxa"/>
            <w:vAlign w:val="top"/>
          </w:tcPr>
          <w:p>
            <w:pPr>
              <w:spacing w:before="110" w:line="187" w:lineRule="auto"/>
              <w:ind w:left="10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776</w:t>
            </w:r>
          </w:p>
        </w:tc>
        <w:tc>
          <w:tcPr>
            <w:tcW w:w="1734" w:type="dxa"/>
            <w:vAlign w:val="top"/>
          </w:tcPr>
          <w:p>
            <w:pPr>
              <w:spacing w:before="110" w:line="187" w:lineRule="auto"/>
              <w:ind w:left="67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1169</w:t>
            </w:r>
          </w:p>
        </w:tc>
        <w:tc>
          <w:tcPr>
            <w:tcW w:w="2438" w:type="dxa"/>
            <w:vAlign w:val="top"/>
          </w:tcPr>
          <w:p>
            <w:pPr>
              <w:spacing w:before="110" w:line="187" w:lineRule="auto"/>
              <w:ind w:left="103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08" w:type="dxa"/>
            <w:vMerge w:val="continue"/>
            <w:tcBorders>
              <w:top w:val="nil"/>
              <w:bottom w:val="nil"/>
            </w:tcBorders>
            <w:vAlign w:val="top"/>
          </w:tcPr>
          <w:p>
            <w:pPr>
              <w:rPr>
                <w:rFonts w:ascii="Arial"/>
                <w:sz w:val="21"/>
              </w:rPr>
            </w:pPr>
          </w:p>
        </w:tc>
        <w:tc>
          <w:tcPr>
            <w:tcW w:w="1610" w:type="dxa"/>
            <w:vAlign w:val="top"/>
          </w:tcPr>
          <w:p>
            <w:pPr>
              <w:pStyle w:val="6"/>
              <w:spacing w:before="132" w:line="227" w:lineRule="auto"/>
              <w:ind w:left="491"/>
            </w:pPr>
            <w:r>
              <w:rPr>
                <w:rFonts w:ascii="Times New Roman" w:hAnsi="Times New Roman" w:eastAsia="Times New Roman" w:cs="Times New Roman"/>
                <w:spacing w:val="-5"/>
              </w:rPr>
              <w:t>D</w:t>
            </w:r>
            <w:r>
              <w:rPr>
                <w:rFonts w:ascii="Times New Roman" w:hAnsi="Times New Roman" w:eastAsia="Times New Roman" w:cs="Times New Roman"/>
                <w:spacing w:val="22"/>
                <w:w w:val="101"/>
              </w:rPr>
              <w:t xml:space="preserve"> </w:t>
            </w:r>
            <w:r>
              <w:rPr>
                <w:spacing w:val="-5"/>
              </w:rPr>
              <w:t>匝道</w:t>
            </w:r>
          </w:p>
        </w:tc>
        <w:tc>
          <w:tcPr>
            <w:tcW w:w="2435" w:type="dxa"/>
            <w:vAlign w:val="top"/>
          </w:tcPr>
          <w:p>
            <w:pPr>
              <w:spacing w:before="168" w:line="187" w:lineRule="auto"/>
              <w:ind w:left="10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620</w:t>
            </w:r>
          </w:p>
        </w:tc>
        <w:tc>
          <w:tcPr>
            <w:tcW w:w="1734" w:type="dxa"/>
            <w:vAlign w:val="top"/>
          </w:tcPr>
          <w:p>
            <w:pPr>
              <w:spacing w:before="168" w:line="187" w:lineRule="auto"/>
              <w:ind w:left="67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1114</w:t>
            </w:r>
          </w:p>
        </w:tc>
        <w:tc>
          <w:tcPr>
            <w:tcW w:w="2438" w:type="dxa"/>
            <w:vAlign w:val="top"/>
          </w:tcPr>
          <w:p>
            <w:pPr>
              <w:spacing w:before="168" w:line="187" w:lineRule="auto"/>
              <w:ind w:left="103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08" w:type="dxa"/>
            <w:vMerge w:val="continue"/>
            <w:tcBorders>
              <w:top w:val="nil"/>
              <w:bottom w:val="nil"/>
            </w:tcBorders>
            <w:vAlign w:val="top"/>
          </w:tcPr>
          <w:p>
            <w:pPr>
              <w:rPr>
                <w:rFonts w:ascii="Arial"/>
                <w:sz w:val="21"/>
              </w:rPr>
            </w:pPr>
          </w:p>
        </w:tc>
        <w:tc>
          <w:tcPr>
            <w:tcW w:w="1610" w:type="dxa"/>
            <w:vAlign w:val="top"/>
          </w:tcPr>
          <w:p>
            <w:pPr>
              <w:pStyle w:val="6"/>
              <w:spacing w:before="74" w:line="227" w:lineRule="auto"/>
              <w:ind w:left="504"/>
            </w:pPr>
            <w:r>
              <w:rPr>
                <w:rFonts w:ascii="Times New Roman" w:hAnsi="Times New Roman" w:eastAsia="Times New Roman" w:cs="Times New Roman"/>
                <w:spacing w:val="-5"/>
              </w:rPr>
              <w:t>E</w:t>
            </w:r>
            <w:r>
              <w:rPr>
                <w:rFonts w:ascii="Times New Roman" w:hAnsi="Times New Roman" w:eastAsia="Times New Roman" w:cs="Times New Roman"/>
                <w:spacing w:val="21"/>
              </w:rPr>
              <w:t xml:space="preserve"> </w:t>
            </w:r>
            <w:r>
              <w:rPr>
                <w:spacing w:val="-5"/>
              </w:rPr>
              <w:t>匝道</w:t>
            </w:r>
          </w:p>
        </w:tc>
        <w:tc>
          <w:tcPr>
            <w:tcW w:w="2435" w:type="dxa"/>
            <w:vAlign w:val="top"/>
          </w:tcPr>
          <w:p>
            <w:pPr>
              <w:spacing w:before="111" w:line="187" w:lineRule="auto"/>
              <w:ind w:left="10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715</w:t>
            </w:r>
          </w:p>
        </w:tc>
        <w:tc>
          <w:tcPr>
            <w:tcW w:w="1734" w:type="dxa"/>
            <w:vAlign w:val="top"/>
          </w:tcPr>
          <w:p>
            <w:pPr>
              <w:spacing w:before="111" w:line="187" w:lineRule="auto"/>
              <w:ind w:left="67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1323</w:t>
            </w:r>
          </w:p>
        </w:tc>
        <w:tc>
          <w:tcPr>
            <w:tcW w:w="2438" w:type="dxa"/>
            <w:vAlign w:val="top"/>
          </w:tcPr>
          <w:p>
            <w:pPr>
              <w:spacing w:before="111" w:line="187" w:lineRule="auto"/>
              <w:ind w:left="103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08" w:type="dxa"/>
            <w:vMerge w:val="continue"/>
            <w:tcBorders>
              <w:top w:val="nil"/>
            </w:tcBorders>
            <w:vAlign w:val="top"/>
          </w:tcPr>
          <w:p>
            <w:pPr>
              <w:rPr>
                <w:rFonts w:ascii="Arial"/>
                <w:sz w:val="21"/>
              </w:rPr>
            </w:pPr>
          </w:p>
        </w:tc>
        <w:tc>
          <w:tcPr>
            <w:tcW w:w="1610" w:type="dxa"/>
            <w:vAlign w:val="top"/>
          </w:tcPr>
          <w:p>
            <w:pPr>
              <w:pStyle w:val="6"/>
              <w:spacing w:before="73" w:line="224" w:lineRule="auto"/>
              <w:ind w:left="489"/>
            </w:pPr>
            <w:r>
              <w:rPr>
                <w:rFonts w:ascii="Times New Roman" w:hAnsi="Times New Roman" w:eastAsia="Times New Roman" w:cs="Times New Roman"/>
                <w:spacing w:val="-4"/>
              </w:rPr>
              <w:t>A</w:t>
            </w:r>
            <w:r>
              <w:rPr>
                <w:rFonts w:ascii="Times New Roman" w:hAnsi="Times New Roman" w:eastAsia="Times New Roman" w:cs="Times New Roman"/>
                <w:spacing w:val="21"/>
              </w:rPr>
              <w:t xml:space="preserve"> </w:t>
            </w:r>
            <w:r>
              <w:rPr>
                <w:spacing w:val="-4"/>
              </w:rPr>
              <w:t>匝道</w:t>
            </w:r>
          </w:p>
        </w:tc>
        <w:tc>
          <w:tcPr>
            <w:tcW w:w="2435" w:type="dxa"/>
            <w:vAlign w:val="top"/>
          </w:tcPr>
          <w:p>
            <w:pPr>
              <w:spacing w:before="108" w:line="187" w:lineRule="auto"/>
              <w:ind w:left="10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2470</w:t>
            </w:r>
          </w:p>
        </w:tc>
        <w:tc>
          <w:tcPr>
            <w:tcW w:w="1734" w:type="dxa"/>
            <w:vAlign w:val="top"/>
          </w:tcPr>
          <w:p>
            <w:pPr>
              <w:spacing w:before="108" w:line="187" w:lineRule="auto"/>
              <w:ind w:left="6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4832</w:t>
            </w:r>
          </w:p>
        </w:tc>
        <w:tc>
          <w:tcPr>
            <w:tcW w:w="2438" w:type="dxa"/>
            <w:vAlign w:val="top"/>
          </w:tcPr>
          <w:p>
            <w:pPr>
              <w:spacing w:before="108" w:line="187" w:lineRule="auto"/>
              <w:ind w:left="10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08" w:type="dxa"/>
            <w:vMerge w:val="restart"/>
            <w:tcBorders>
              <w:bottom w:val="nil"/>
            </w:tcBorders>
            <w:vAlign w:val="top"/>
          </w:tcPr>
          <w:p>
            <w:pPr>
              <w:pStyle w:val="6"/>
              <w:spacing w:before="68" w:line="264" w:lineRule="auto"/>
              <w:ind w:left="50" w:right="40" w:firstLine="1"/>
              <w:jc w:val="both"/>
            </w:pPr>
            <w:r>
              <w:rPr>
                <w:spacing w:val="-5"/>
              </w:rPr>
              <w:t>景文</w:t>
            </w:r>
            <w:r>
              <w:t xml:space="preserve"> </w:t>
            </w:r>
            <w:r>
              <w:rPr>
                <w:spacing w:val="-4"/>
              </w:rPr>
              <w:t>高速</w:t>
            </w:r>
            <w:r>
              <w:t xml:space="preserve"> </w:t>
            </w:r>
            <w:r>
              <w:rPr>
                <w:spacing w:val="-10"/>
              </w:rPr>
              <w:t>（工</w:t>
            </w:r>
            <w:r>
              <w:t xml:space="preserve"> </w:t>
            </w:r>
            <w:r>
              <w:rPr>
                <w:spacing w:val="-4"/>
              </w:rPr>
              <w:t>可补</w:t>
            </w:r>
            <w:r>
              <w:t xml:space="preserve"> </w:t>
            </w:r>
            <w:r>
              <w:rPr>
                <w:spacing w:val="-6"/>
              </w:rPr>
              <w:t>充）</w:t>
            </w:r>
          </w:p>
        </w:tc>
        <w:tc>
          <w:tcPr>
            <w:tcW w:w="1610" w:type="dxa"/>
            <w:vAlign w:val="top"/>
          </w:tcPr>
          <w:p>
            <w:pPr>
              <w:pStyle w:val="6"/>
              <w:spacing w:before="118" w:line="221" w:lineRule="auto"/>
              <w:ind w:left="340"/>
            </w:pPr>
            <w:r>
              <w:rPr>
                <w:spacing w:val="-2"/>
              </w:rPr>
              <w:t>东坑</w:t>
            </w:r>
            <w:r>
              <w:rPr>
                <w:rFonts w:ascii="Times New Roman" w:hAnsi="Times New Roman" w:eastAsia="Times New Roman" w:cs="Times New Roman"/>
                <w:spacing w:val="-2"/>
              </w:rPr>
              <w:t>~</w:t>
            </w:r>
            <w:r>
              <w:rPr>
                <w:spacing w:val="-2"/>
              </w:rPr>
              <w:t>西坑</w:t>
            </w:r>
          </w:p>
        </w:tc>
        <w:tc>
          <w:tcPr>
            <w:tcW w:w="2435" w:type="dxa"/>
            <w:vAlign w:val="top"/>
          </w:tcPr>
          <w:p>
            <w:pPr>
              <w:spacing w:before="154" w:line="187" w:lineRule="auto"/>
              <w:ind w:left="9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10332</w:t>
            </w:r>
          </w:p>
        </w:tc>
        <w:tc>
          <w:tcPr>
            <w:tcW w:w="1734" w:type="dxa"/>
            <w:vAlign w:val="top"/>
          </w:tcPr>
          <w:p>
            <w:pPr>
              <w:spacing w:before="154" w:line="187" w:lineRule="auto"/>
              <w:ind w:left="62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15639</w:t>
            </w:r>
          </w:p>
        </w:tc>
        <w:tc>
          <w:tcPr>
            <w:tcW w:w="2438" w:type="dxa"/>
            <w:vAlign w:val="top"/>
          </w:tcPr>
          <w:p>
            <w:pPr>
              <w:spacing w:before="154" w:line="187" w:lineRule="auto"/>
              <w:ind w:left="9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21157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9" w:hRule="atLeast"/>
        </w:trPr>
        <w:tc>
          <w:tcPr>
            <w:tcW w:w="508" w:type="dxa"/>
            <w:vMerge w:val="continue"/>
            <w:tcBorders>
              <w:top w:val="nil"/>
            </w:tcBorders>
            <w:vAlign w:val="top"/>
          </w:tcPr>
          <w:p>
            <w:pPr>
              <w:rPr>
                <w:rFonts w:ascii="Arial"/>
                <w:sz w:val="21"/>
              </w:rPr>
            </w:pPr>
          </w:p>
        </w:tc>
        <w:tc>
          <w:tcPr>
            <w:tcW w:w="1610" w:type="dxa"/>
            <w:vAlign w:val="top"/>
          </w:tcPr>
          <w:p>
            <w:pPr>
              <w:spacing w:line="407" w:lineRule="auto"/>
              <w:rPr>
                <w:rFonts w:ascii="Arial"/>
                <w:sz w:val="21"/>
              </w:rPr>
            </w:pPr>
          </w:p>
          <w:p>
            <w:pPr>
              <w:pStyle w:val="6"/>
              <w:spacing w:before="68" w:line="221" w:lineRule="auto"/>
              <w:ind w:left="126"/>
            </w:pPr>
            <w:r>
              <w:rPr>
                <w:spacing w:val="-2"/>
              </w:rPr>
              <w:t>西坑</w:t>
            </w:r>
            <w:r>
              <w:rPr>
                <w:rFonts w:ascii="Times New Roman" w:hAnsi="Times New Roman" w:eastAsia="Times New Roman" w:cs="Times New Roman"/>
                <w:spacing w:val="-2"/>
              </w:rPr>
              <w:t>~</w:t>
            </w:r>
            <w:r>
              <w:rPr>
                <w:spacing w:val="-2"/>
              </w:rPr>
              <w:t>文成枢纽</w:t>
            </w:r>
          </w:p>
        </w:tc>
        <w:tc>
          <w:tcPr>
            <w:tcW w:w="2435" w:type="dxa"/>
            <w:vAlign w:val="top"/>
          </w:tcPr>
          <w:p>
            <w:pPr>
              <w:spacing w:line="451" w:lineRule="auto"/>
              <w:rPr>
                <w:rFonts w:ascii="Arial"/>
                <w:sz w:val="21"/>
              </w:rPr>
            </w:pPr>
          </w:p>
          <w:p>
            <w:pPr>
              <w:spacing w:before="61" w:line="187" w:lineRule="auto"/>
              <w:ind w:left="9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10434</w:t>
            </w:r>
          </w:p>
        </w:tc>
        <w:tc>
          <w:tcPr>
            <w:tcW w:w="1734" w:type="dxa"/>
            <w:vAlign w:val="top"/>
          </w:tcPr>
          <w:p>
            <w:pPr>
              <w:spacing w:line="451" w:lineRule="auto"/>
              <w:rPr>
                <w:rFonts w:ascii="Arial"/>
                <w:sz w:val="21"/>
              </w:rPr>
            </w:pPr>
          </w:p>
          <w:p>
            <w:pPr>
              <w:spacing w:before="61" w:line="187" w:lineRule="auto"/>
              <w:ind w:left="62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15988</w:t>
            </w:r>
          </w:p>
        </w:tc>
        <w:tc>
          <w:tcPr>
            <w:tcW w:w="2438" w:type="dxa"/>
            <w:vAlign w:val="top"/>
          </w:tcPr>
          <w:p>
            <w:pPr>
              <w:spacing w:line="451" w:lineRule="auto"/>
              <w:rPr>
                <w:rFonts w:ascii="Arial"/>
                <w:sz w:val="21"/>
              </w:rPr>
            </w:pPr>
          </w:p>
          <w:p>
            <w:pPr>
              <w:spacing w:before="61" w:line="187" w:lineRule="auto"/>
              <w:ind w:left="9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21364</w:t>
            </w:r>
          </w:p>
        </w:tc>
      </w:tr>
    </w:tbl>
    <w:p>
      <w:pPr>
        <w:pStyle w:val="2"/>
      </w:pPr>
    </w:p>
    <w:p>
      <w:pPr>
        <w:sectPr>
          <w:pgSz w:w="11907" w:h="16839"/>
          <w:pgMar w:top="1118" w:right="1567" w:bottom="1184" w:left="1570" w:header="879" w:footer="1024" w:gutter="0"/>
          <w:cols w:space="720" w:num="1"/>
        </w:sectPr>
      </w:pPr>
    </w:p>
    <w:p>
      <w:pPr>
        <w:pStyle w:val="2"/>
        <w:spacing w:line="357" w:lineRule="auto"/>
      </w:pPr>
    </w:p>
    <w:p>
      <w:pPr>
        <w:spacing w:before="78" w:line="233" w:lineRule="auto"/>
        <w:ind w:left="2459"/>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3.3-5      </w:t>
      </w:r>
      <w:r>
        <w:rPr>
          <w:rFonts w:ascii="宋体" w:hAnsi="宋体" w:eastAsia="宋体" w:cs="宋体"/>
          <w:spacing w:val="-3"/>
          <w:sz w:val="24"/>
          <w:szCs w:val="24"/>
        </w:rPr>
        <w:t>预测年车型比（辆</w:t>
      </w:r>
      <w:r>
        <w:rPr>
          <w:rFonts w:ascii="Times New Roman" w:hAnsi="Times New Roman" w:eastAsia="Times New Roman" w:cs="Times New Roman"/>
          <w:spacing w:val="-3"/>
          <w:sz w:val="24"/>
          <w:szCs w:val="24"/>
        </w:rPr>
        <w:t xml:space="preserve">/d  </w:t>
      </w:r>
      <w:r>
        <w:rPr>
          <w:rFonts w:ascii="宋体" w:hAnsi="宋体" w:eastAsia="宋体" w:cs="宋体"/>
          <w:spacing w:val="-3"/>
          <w:sz w:val="24"/>
          <w:szCs w:val="24"/>
        </w:rPr>
        <w:t>自然数）</w:t>
      </w:r>
    </w:p>
    <w:p>
      <w:pPr>
        <w:spacing w:line="49" w:lineRule="exact"/>
      </w:pPr>
    </w:p>
    <w:tbl>
      <w:tblPr>
        <w:tblStyle w:val="5"/>
        <w:tblW w:w="8526" w:type="dxa"/>
        <w:tblInd w:w="3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1065"/>
        <w:gridCol w:w="1065"/>
        <w:gridCol w:w="1063"/>
        <w:gridCol w:w="1065"/>
        <w:gridCol w:w="1065"/>
        <w:gridCol w:w="1066"/>
        <w:gridCol w:w="10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070" w:type="dxa"/>
            <w:vAlign w:val="top"/>
          </w:tcPr>
          <w:p>
            <w:pPr>
              <w:pStyle w:val="6"/>
              <w:spacing w:before="69" w:line="221" w:lineRule="auto"/>
              <w:ind w:left="332"/>
            </w:pPr>
            <w:r>
              <w:rPr>
                <w:spacing w:val="-2"/>
              </w:rPr>
              <w:t>年份</w:t>
            </w:r>
          </w:p>
        </w:tc>
        <w:tc>
          <w:tcPr>
            <w:tcW w:w="1065" w:type="dxa"/>
            <w:vAlign w:val="top"/>
          </w:tcPr>
          <w:p>
            <w:pPr>
              <w:pStyle w:val="6"/>
              <w:spacing w:before="69" w:line="221" w:lineRule="auto"/>
              <w:ind w:left="225"/>
            </w:pPr>
            <w:r>
              <w:rPr>
                <w:spacing w:val="-3"/>
              </w:rPr>
              <w:t>小客车</w:t>
            </w:r>
          </w:p>
        </w:tc>
        <w:tc>
          <w:tcPr>
            <w:tcW w:w="1065" w:type="dxa"/>
            <w:vAlign w:val="top"/>
          </w:tcPr>
          <w:p>
            <w:pPr>
              <w:pStyle w:val="6"/>
              <w:spacing w:before="69" w:line="221" w:lineRule="auto"/>
              <w:ind w:left="223"/>
            </w:pPr>
            <w:r>
              <w:rPr>
                <w:spacing w:val="-2"/>
              </w:rPr>
              <w:t>大客车</w:t>
            </w:r>
          </w:p>
        </w:tc>
        <w:tc>
          <w:tcPr>
            <w:tcW w:w="1063" w:type="dxa"/>
            <w:vAlign w:val="top"/>
          </w:tcPr>
          <w:p>
            <w:pPr>
              <w:pStyle w:val="6"/>
              <w:spacing w:before="70" w:line="220" w:lineRule="auto"/>
              <w:ind w:left="227"/>
            </w:pPr>
            <w:r>
              <w:rPr>
                <w:spacing w:val="-3"/>
              </w:rPr>
              <w:t>小货车</w:t>
            </w:r>
          </w:p>
        </w:tc>
        <w:tc>
          <w:tcPr>
            <w:tcW w:w="1065" w:type="dxa"/>
            <w:vAlign w:val="top"/>
          </w:tcPr>
          <w:p>
            <w:pPr>
              <w:pStyle w:val="6"/>
              <w:spacing w:before="70" w:line="220" w:lineRule="auto"/>
              <w:ind w:left="244"/>
            </w:pPr>
            <w:r>
              <w:rPr>
                <w:spacing w:val="-6"/>
              </w:rPr>
              <w:t>中货车</w:t>
            </w:r>
          </w:p>
        </w:tc>
        <w:tc>
          <w:tcPr>
            <w:tcW w:w="1065" w:type="dxa"/>
            <w:vAlign w:val="top"/>
          </w:tcPr>
          <w:p>
            <w:pPr>
              <w:pStyle w:val="6"/>
              <w:spacing w:before="70" w:line="220" w:lineRule="auto"/>
              <w:ind w:left="225"/>
            </w:pPr>
            <w:r>
              <w:rPr>
                <w:spacing w:val="-2"/>
              </w:rPr>
              <w:t>大货车</w:t>
            </w:r>
          </w:p>
        </w:tc>
        <w:tc>
          <w:tcPr>
            <w:tcW w:w="1066" w:type="dxa"/>
            <w:vAlign w:val="top"/>
          </w:tcPr>
          <w:p>
            <w:pPr>
              <w:pStyle w:val="6"/>
              <w:spacing w:before="69" w:line="221" w:lineRule="auto"/>
              <w:ind w:left="224"/>
            </w:pPr>
            <w:r>
              <w:rPr>
                <w:spacing w:val="-2"/>
              </w:rPr>
              <w:t>拖挂车</w:t>
            </w:r>
          </w:p>
        </w:tc>
        <w:tc>
          <w:tcPr>
            <w:tcW w:w="1067" w:type="dxa"/>
            <w:vAlign w:val="top"/>
          </w:tcPr>
          <w:p>
            <w:pPr>
              <w:pStyle w:val="6"/>
              <w:spacing w:before="69" w:line="221" w:lineRule="auto"/>
              <w:ind w:left="223"/>
            </w:pPr>
            <w:r>
              <w:rPr>
                <w:spacing w:val="-2"/>
              </w:rPr>
              <w:t>集装箱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070" w:type="dxa"/>
            <w:vAlign w:val="top"/>
          </w:tcPr>
          <w:p>
            <w:pPr>
              <w:pStyle w:val="6"/>
              <w:spacing w:before="69" w:line="221" w:lineRule="auto"/>
              <w:ind w:left="196"/>
            </w:pPr>
            <w:r>
              <w:rPr>
                <w:rFonts w:ascii="Times New Roman" w:hAnsi="Times New Roman" w:eastAsia="Times New Roman" w:cs="Times New Roman"/>
                <w:spacing w:val="-1"/>
              </w:rPr>
              <w:t>2023</w:t>
            </w:r>
            <w:r>
              <w:rPr>
                <w:rFonts w:ascii="Times New Roman" w:hAnsi="Times New Roman" w:eastAsia="Times New Roman" w:cs="Times New Roman"/>
                <w:spacing w:val="8"/>
              </w:rPr>
              <w:t xml:space="preserve"> </w:t>
            </w:r>
            <w:r>
              <w:rPr>
                <w:spacing w:val="-1"/>
              </w:rPr>
              <w:t>年</w:t>
            </w:r>
          </w:p>
        </w:tc>
        <w:tc>
          <w:tcPr>
            <w:tcW w:w="1065" w:type="dxa"/>
            <w:vAlign w:val="top"/>
          </w:tcPr>
          <w:p>
            <w:pPr>
              <w:spacing w:before="105" w:line="187" w:lineRule="auto"/>
              <w:ind w:left="2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51.00%</w:t>
            </w:r>
          </w:p>
        </w:tc>
        <w:tc>
          <w:tcPr>
            <w:tcW w:w="1065" w:type="dxa"/>
            <w:vAlign w:val="top"/>
          </w:tcPr>
          <w:p>
            <w:pPr>
              <w:spacing w:before="105"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1063" w:type="dxa"/>
            <w:vAlign w:val="top"/>
          </w:tcPr>
          <w:p>
            <w:pPr>
              <w:spacing w:before="105"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16.00%</w:t>
            </w:r>
          </w:p>
        </w:tc>
        <w:tc>
          <w:tcPr>
            <w:tcW w:w="1065" w:type="dxa"/>
            <w:vAlign w:val="top"/>
          </w:tcPr>
          <w:p>
            <w:pPr>
              <w:spacing w:before="105"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7.00%</w:t>
            </w:r>
          </w:p>
        </w:tc>
        <w:tc>
          <w:tcPr>
            <w:tcW w:w="1065" w:type="dxa"/>
            <w:vAlign w:val="top"/>
          </w:tcPr>
          <w:p>
            <w:pPr>
              <w:spacing w:before="105"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12.00%</w:t>
            </w:r>
          </w:p>
        </w:tc>
        <w:tc>
          <w:tcPr>
            <w:tcW w:w="1066" w:type="dxa"/>
            <w:vAlign w:val="top"/>
          </w:tcPr>
          <w:p>
            <w:pPr>
              <w:spacing w:before="105"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8.00%</w:t>
            </w:r>
          </w:p>
        </w:tc>
        <w:tc>
          <w:tcPr>
            <w:tcW w:w="1067" w:type="dxa"/>
            <w:vAlign w:val="top"/>
          </w:tcPr>
          <w:p>
            <w:pPr>
              <w:spacing w:before="105"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070" w:type="dxa"/>
            <w:vAlign w:val="top"/>
          </w:tcPr>
          <w:p>
            <w:pPr>
              <w:pStyle w:val="6"/>
              <w:spacing w:before="68" w:line="221" w:lineRule="auto"/>
              <w:ind w:left="196"/>
            </w:pPr>
            <w:r>
              <w:rPr>
                <w:rFonts w:ascii="Times New Roman" w:hAnsi="Times New Roman" w:eastAsia="Times New Roman" w:cs="Times New Roman"/>
                <w:spacing w:val="-1"/>
              </w:rPr>
              <w:t>2029</w:t>
            </w:r>
            <w:r>
              <w:rPr>
                <w:rFonts w:ascii="Times New Roman" w:hAnsi="Times New Roman" w:eastAsia="Times New Roman" w:cs="Times New Roman"/>
                <w:spacing w:val="8"/>
              </w:rPr>
              <w:t xml:space="preserve"> </w:t>
            </w:r>
            <w:r>
              <w:rPr>
                <w:spacing w:val="-1"/>
              </w:rPr>
              <w:t>年</w:t>
            </w:r>
          </w:p>
        </w:tc>
        <w:tc>
          <w:tcPr>
            <w:tcW w:w="1065" w:type="dxa"/>
            <w:vAlign w:val="top"/>
          </w:tcPr>
          <w:p>
            <w:pPr>
              <w:spacing w:before="104" w:line="187" w:lineRule="auto"/>
              <w:ind w:left="2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52.70%</w:t>
            </w:r>
          </w:p>
        </w:tc>
        <w:tc>
          <w:tcPr>
            <w:tcW w:w="1065" w:type="dxa"/>
            <w:vAlign w:val="top"/>
          </w:tcPr>
          <w:p>
            <w:pPr>
              <w:spacing w:before="104"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1063" w:type="dxa"/>
            <w:vAlign w:val="top"/>
          </w:tcPr>
          <w:p>
            <w:pPr>
              <w:spacing w:before="104"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15.00%</w:t>
            </w:r>
          </w:p>
        </w:tc>
        <w:tc>
          <w:tcPr>
            <w:tcW w:w="1065"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1065" w:type="dxa"/>
            <w:vAlign w:val="top"/>
          </w:tcPr>
          <w:p>
            <w:pPr>
              <w:spacing w:before="104"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13.00%</w:t>
            </w:r>
          </w:p>
        </w:tc>
        <w:tc>
          <w:tcPr>
            <w:tcW w:w="1066" w:type="dxa"/>
            <w:vAlign w:val="top"/>
          </w:tcPr>
          <w:p>
            <w:pPr>
              <w:spacing w:before="104" w:line="187" w:lineRule="auto"/>
              <w:ind w:left="2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7.00%</w:t>
            </w:r>
          </w:p>
        </w:tc>
        <w:tc>
          <w:tcPr>
            <w:tcW w:w="1067" w:type="dxa"/>
            <w:vAlign w:val="top"/>
          </w:tcPr>
          <w:p>
            <w:pPr>
              <w:spacing w:before="104"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070" w:type="dxa"/>
            <w:vAlign w:val="top"/>
          </w:tcPr>
          <w:p>
            <w:pPr>
              <w:pStyle w:val="6"/>
              <w:spacing w:before="71" w:line="221" w:lineRule="auto"/>
              <w:ind w:left="196"/>
            </w:pPr>
            <w:r>
              <w:rPr>
                <w:rFonts w:ascii="Times New Roman" w:hAnsi="Times New Roman" w:eastAsia="Times New Roman" w:cs="Times New Roman"/>
                <w:spacing w:val="-1"/>
              </w:rPr>
              <w:t>2037</w:t>
            </w:r>
            <w:r>
              <w:rPr>
                <w:rFonts w:ascii="Times New Roman" w:hAnsi="Times New Roman" w:eastAsia="Times New Roman" w:cs="Times New Roman"/>
                <w:spacing w:val="8"/>
              </w:rPr>
              <w:t xml:space="preserve"> </w:t>
            </w:r>
            <w:r>
              <w:rPr>
                <w:spacing w:val="-1"/>
              </w:rPr>
              <w:t>年</w:t>
            </w:r>
          </w:p>
        </w:tc>
        <w:tc>
          <w:tcPr>
            <w:tcW w:w="1065" w:type="dxa"/>
            <w:vAlign w:val="top"/>
          </w:tcPr>
          <w:p>
            <w:pPr>
              <w:spacing w:before="108" w:line="187" w:lineRule="auto"/>
              <w:ind w:left="2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53.30%</w:t>
            </w:r>
          </w:p>
        </w:tc>
        <w:tc>
          <w:tcPr>
            <w:tcW w:w="1065" w:type="dxa"/>
            <w:vAlign w:val="top"/>
          </w:tcPr>
          <w:p>
            <w:pPr>
              <w:spacing w:before="108" w:line="187" w:lineRule="auto"/>
              <w:ind w:left="2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7.30%</w:t>
            </w:r>
          </w:p>
        </w:tc>
        <w:tc>
          <w:tcPr>
            <w:tcW w:w="1063" w:type="dxa"/>
            <w:vAlign w:val="top"/>
          </w:tcPr>
          <w:p>
            <w:pPr>
              <w:spacing w:before="108"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14.70%</w:t>
            </w:r>
          </w:p>
        </w:tc>
        <w:tc>
          <w:tcPr>
            <w:tcW w:w="1065" w:type="dxa"/>
            <w:vAlign w:val="top"/>
          </w:tcPr>
          <w:p>
            <w:pPr>
              <w:spacing w:before="108"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7.00%</w:t>
            </w:r>
          </w:p>
        </w:tc>
        <w:tc>
          <w:tcPr>
            <w:tcW w:w="1065" w:type="dxa"/>
            <w:vAlign w:val="top"/>
          </w:tcPr>
          <w:p>
            <w:pPr>
              <w:spacing w:before="108"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13.30%</w:t>
            </w:r>
          </w:p>
        </w:tc>
        <w:tc>
          <w:tcPr>
            <w:tcW w:w="1066" w:type="dxa"/>
            <w:vAlign w:val="top"/>
          </w:tcPr>
          <w:p>
            <w:pPr>
              <w:spacing w:before="108"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4.70%</w:t>
            </w:r>
          </w:p>
        </w:tc>
        <w:tc>
          <w:tcPr>
            <w:tcW w:w="1067" w:type="dxa"/>
            <w:vAlign w:val="top"/>
          </w:tcPr>
          <w:p>
            <w:pPr>
              <w:spacing w:before="108"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r>
    </w:tbl>
    <w:p>
      <w:pPr>
        <w:spacing w:before="201" w:line="461" w:lineRule="exact"/>
        <w:ind w:left="930"/>
        <w:rPr>
          <w:rFonts w:ascii="宋体" w:hAnsi="宋体" w:eastAsia="宋体" w:cs="宋体"/>
          <w:sz w:val="24"/>
          <w:szCs w:val="24"/>
        </w:rPr>
      </w:pPr>
      <w:r>
        <w:rPr>
          <w:rFonts w:ascii="宋体" w:hAnsi="宋体" w:eastAsia="宋体" w:cs="宋体"/>
          <w:spacing w:val="2"/>
          <w:position w:val="16"/>
          <w:sz w:val="24"/>
          <w:szCs w:val="24"/>
        </w:rPr>
        <w:t>根据《环境影响评价技术导则 声环境》（</w:t>
      </w:r>
      <w:r>
        <w:rPr>
          <w:rFonts w:ascii="Times New Roman" w:hAnsi="Times New Roman" w:eastAsia="Times New Roman" w:cs="Times New Roman"/>
          <w:position w:val="16"/>
          <w:sz w:val="24"/>
          <w:szCs w:val="24"/>
        </w:rPr>
        <w:t>HJ</w:t>
      </w:r>
      <w:r>
        <w:rPr>
          <w:rFonts w:ascii="Times New Roman" w:hAnsi="Times New Roman" w:eastAsia="Times New Roman" w:cs="Times New Roman"/>
          <w:spacing w:val="2"/>
          <w:position w:val="16"/>
          <w:sz w:val="24"/>
          <w:szCs w:val="24"/>
        </w:rPr>
        <w:t>2.4-2021</w:t>
      </w:r>
      <w:r>
        <w:rPr>
          <w:rFonts w:ascii="宋体" w:hAnsi="宋体" w:eastAsia="宋体" w:cs="宋体"/>
          <w:spacing w:val="2"/>
          <w:position w:val="16"/>
          <w:sz w:val="24"/>
          <w:szCs w:val="24"/>
        </w:rPr>
        <w:t>）和《公路工程技术</w:t>
      </w:r>
    </w:p>
    <w:p>
      <w:pPr>
        <w:spacing w:line="219" w:lineRule="auto"/>
        <w:ind w:left="451"/>
        <w:rPr>
          <w:rFonts w:ascii="宋体" w:hAnsi="宋体" w:eastAsia="宋体" w:cs="宋体"/>
          <w:sz w:val="24"/>
          <w:szCs w:val="24"/>
        </w:rPr>
      </w:pPr>
      <w:r>
        <w:rPr>
          <w:rFonts w:ascii="宋体" w:hAnsi="宋体" w:eastAsia="宋体" w:cs="宋体"/>
          <w:spacing w:val="-1"/>
          <w:sz w:val="24"/>
          <w:szCs w:val="24"/>
        </w:rPr>
        <w:t>标准》（</w:t>
      </w:r>
      <w:r>
        <w:rPr>
          <w:rFonts w:ascii="Times New Roman" w:hAnsi="Times New Roman" w:eastAsia="Times New Roman" w:cs="Times New Roman"/>
          <w:spacing w:val="-1"/>
          <w:sz w:val="24"/>
          <w:szCs w:val="24"/>
        </w:rPr>
        <w:t>JTG B01-2014</w:t>
      </w:r>
      <w:r>
        <w:rPr>
          <w:rFonts w:ascii="宋体" w:hAnsi="宋体" w:eastAsia="宋体" w:cs="宋体"/>
          <w:spacing w:val="-1"/>
          <w:sz w:val="24"/>
          <w:szCs w:val="24"/>
        </w:rPr>
        <w:t>），各车型的折算系数详见表</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3.3-6</w:t>
      </w:r>
      <w:r>
        <w:rPr>
          <w:rFonts w:ascii="宋体" w:hAnsi="宋体" w:eastAsia="宋体" w:cs="宋体"/>
          <w:spacing w:val="-1"/>
          <w:sz w:val="24"/>
          <w:szCs w:val="24"/>
        </w:rPr>
        <w:t>。</w:t>
      </w:r>
    </w:p>
    <w:p>
      <w:pPr>
        <w:spacing w:before="172" w:line="220" w:lineRule="auto"/>
        <w:ind w:left="234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3.3-6      </w:t>
      </w:r>
      <w:r>
        <w:rPr>
          <w:rFonts w:ascii="宋体" w:hAnsi="宋体" w:eastAsia="宋体" w:cs="宋体"/>
          <w:spacing w:val="-1"/>
          <w:sz w:val="24"/>
          <w:szCs w:val="24"/>
        </w:rPr>
        <w:t>各汽车代表车型与车辆折算系数</w:t>
      </w:r>
    </w:p>
    <w:p>
      <w:pPr>
        <w:spacing w:line="131" w:lineRule="auto"/>
        <w:rPr>
          <w:rFonts w:ascii="Arial"/>
          <w:sz w:val="2"/>
        </w:rPr>
      </w:pPr>
    </w:p>
    <w:tbl>
      <w:tblPr>
        <w:tblStyle w:val="5"/>
        <w:tblW w:w="8528" w:type="dxa"/>
        <w:tblInd w:w="3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5"/>
        <w:gridCol w:w="1885"/>
        <w:gridCol w:w="47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855" w:type="dxa"/>
            <w:vAlign w:val="top"/>
          </w:tcPr>
          <w:p>
            <w:pPr>
              <w:pStyle w:val="6"/>
              <w:spacing w:before="57" w:line="221" w:lineRule="auto"/>
              <w:ind w:left="303"/>
            </w:pPr>
            <w:r>
              <w:rPr>
                <w:spacing w:val="-1"/>
              </w:rPr>
              <w:t>汽车代表车型</w:t>
            </w:r>
          </w:p>
        </w:tc>
        <w:tc>
          <w:tcPr>
            <w:tcW w:w="1885" w:type="dxa"/>
            <w:vAlign w:val="top"/>
          </w:tcPr>
          <w:p>
            <w:pPr>
              <w:pStyle w:val="6"/>
              <w:spacing w:before="57" w:line="221" w:lineRule="auto"/>
              <w:ind w:left="317"/>
            </w:pPr>
            <w:r>
              <w:rPr>
                <w:spacing w:val="-2"/>
              </w:rPr>
              <w:t>车辆折算系数</w:t>
            </w:r>
          </w:p>
        </w:tc>
        <w:tc>
          <w:tcPr>
            <w:tcW w:w="4788" w:type="dxa"/>
            <w:vAlign w:val="top"/>
          </w:tcPr>
          <w:p>
            <w:pPr>
              <w:pStyle w:val="6"/>
              <w:spacing w:before="57" w:line="221" w:lineRule="auto"/>
              <w:ind w:left="2189"/>
            </w:pPr>
            <w:r>
              <w:rPr>
                <w:spacing w:val="-3"/>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55" w:type="dxa"/>
            <w:vAlign w:val="top"/>
          </w:tcPr>
          <w:p>
            <w:pPr>
              <w:pStyle w:val="6"/>
              <w:spacing w:before="52" w:line="221" w:lineRule="auto"/>
              <w:ind w:left="623"/>
            </w:pPr>
            <w:r>
              <w:rPr>
                <w:spacing w:val="-3"/>
              </w:rPr>
              <w:t>小客车</w:t>
            </w:r>
          </w:p>
        </w:tc>
        <w:tc>
          <w:tcPr>
            <w:tcW w:w="1885" w:type="dxa"/>
            <w:vAlign w:val="top"/>
          </w:tcPr>
          <w:p>
            <w:pPr>
              <w:spacing w:before="91" w:line="187" w:lineRule="auto"/>
              <w:ind w:left="83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c>
          <w:tcPr>
            <w:tcW w:w="4788" w:type="dxa"/>
            <w:vAlign w:val="top"/>
          </w:tcPr>
          <w:p>
            <w:pPr>
              <w:pStyle w:val="6"/>
              <w:spacing w:before="52" w:line="223" w:lineRule="auto"/>
              <w:ind w:left="679"/>
            </w:pPr>
            <w:r>
              <w:rPr>
                <w:spacing w:val="-2"/>
              </w:rPr>
              <w:t>座位</w:t>
            </w:r>
            <w:r>
              <w:rPr>
                <w:rFonts w:ascii="Times New Roman" w:hAnsi="Times New Roman" w:eastAsia="Times New Roman" w:cs="Times New Roman"/>
                <w:spacing w:val="-2"/>
              </w:rPr>
              <w:t xml:space="preserve">≤19 </w:t>
            </w:r>
            <w:r>
              <w:rPr>
                <w:spacing w:val="-2"/>
              </w:rPr>
              <w:t>座的客车和载质量</w:t>
            </w:r>
            <w:r>
              <w:rPr>
                <w:rFonts w:ascii="Times New Roman" w:hAnsi="Times New Roman" w:eastAsia="Times New Roman" w:cs="Times New Roman"/>
                <w:spacing w:val="-2"/>
              </w:rPr>
              <w:t>≤2t</w:t>
            </w:r>
            <w:r>
              <w:rPr>
                <w:rFonts w:ascii="Times New Roman" w:hAnsi="Times New Roman" w:eastAsia="Times New Roman" w:cs="Times New Roman"/>
                <w:spacing w:val="32"/>
              </w:rPr>
              <w:t xml:space="preserve"> </w:t>
            </w:r>
            <w:r>
              <w:rPr>
                <w:spacing w:val="-2"/>
              </w:rPr>
              <w:t>的货车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55" w:type="dxa"/>
            <w:vAlign w:val="top"/>
          </w:tcPr>
          <w:p>
            <w:pPr>
              <w:pStyle w:val="6"/>
              <w:spacing w:before="52" w:line="221" w:lineRule="auto"/>
              <w:ind w:left="637"/>
            </w:pPr>
            <w:r>
              <w:rPr>
                <w:spacing w:val="-6"/>
              </w:rPr>
              <w:t>中型车</w:t>
            </w:r>
          </w:p>
        </w:tc>
        <w:tc>
          <w:tcPr>
            <w:tcW w:w="1885" w:type="dxa"/>
            <w:vAlign w:val="top"/>
          </w:tcPr>
          <w:p>
            <w:pPr>
              <w:spacing w:before="91" w:line="187" w:lineRule="auto"/>
              <w:ind w:left="83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4788" w:type="dxa"/>
            <w:vAlign w:val="top"/>
          </w:tcPr>
          <w:p>
            <w:pPr>
              <w:pStyle w:val="6"/>
              <w:spacing w:before="53" w:line="222" w:lineRule="auto"/>
              <w:ind w:left="419"/>
            </w:pPr>
            <w:r>
              <w:rPr>
                <w:spacing w:val="-2"/>
              </w:rPr>
              <w:t>座位＞</w:t>
            </w:r>
            <w:r>
              <w:rPr>
                <w:rFonts w:ascii="Times New Roman" w:hAnsi="Times New Roman" w:eastAsia="Times New Roman" w:cs="Times New Roman"/>
                <w:spacing w:val="-2"/>
              </w:rPr>
              <w:t xml:space="preserve">19 </w:t>
            </w:r>
            <w:r>
              <w:rPr>
                <w:spacing w:val="-2"/>
              </w:rPr>
              <w:t>座的客车和</w:t>
            </w:r>
            <w:r>
              <w:rPr>
                <w:spacing w:val="-37"/>
              </w:rPr>
              <w:t xml:space="preserve"> </w:t>
            </w:r>
            <w:r>
              <w:rPr>
                <w:rFonts w:ascii="Times New Roman" w:hAnsi="Times New Roman" w:eastAsia="Times New Roman" w:cs="Times New Roman"/>
                <w:spacing w:val="-2"/>
              </w:rPr>
              <w:t>2t</w:t>
            </w:r>
            <w:r>
              <w:rPr>
                <w:spacing w:val="-2"/>
              </w:rPr>
              <w:t>＜载质量</w:t>
            </w:r>
            <w:r>
              <w:rPr>
                <w:rFonts w:ascii="Times New Roman" w:hAnsi="Times New Roman" w:eastAsia="Times New Roman" w:cs="Times New Roman"/>
                <w:spacing w:val="-2"/>
              </w:rPr>
              <w:t>≤7t</w:t>
            </w:r>
            <w:r>
              <w:rPr>
                <w:rFonts w:ascii="Times New Roman" w:hAnsi="Times New Roman" w:eastAsia="Times New Roman" w:cs="Times New Roman"/>
                <w:spacing w:val="24"/>
                <w:w w:val="101"/>
              </w:rPr>
              <w:t xml:space="preserve"> </w:t>
            </w:r>
            <w:r>
              <w:rPr>
                <w:spacing w:val="-2"/>
              </w:rPr>
              <w:t>的货车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55" w:type="dxa"/>
            <w:vAlign w:val="top"/>
          </w:tcPr>
          <w:p>
            <w:pPr>
              <w:pStyle w:val="6"/>
              <w:spacing w:before="53" w:line="221" w:lineRule="auto"/>
              <w:ind w:left="620"/>
            </w:pPr>
            <w:r>
              <w:rPr>
                <w:spacing w:val="-2"/>
              </w:rPr>
              <w:t>大型车</w:t>
            </w:r>
          </w:p>
        </w:tc>
        <w:tc>
          <w:tcPr>
            <w:tcW w:w="1885" w:type="dxa"/>
            <w:vAlign w:val="top"/>
          </w:tcPr>
          <w:p>
            <w:pPr>
              <w:spacing w:before="92" w:line="187" w:lineRule="auto"/>
              <w:ind w:left="8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4788" w:type="dxa"/>
            <w:vAlign w:val="top"/>
          </w:tcPr>
          <w:p>
            <w:pPr>
              <w:pStyle w:val="6"/>
              <w:spacing w:before="53" w:line="222" w:lineRule="auto"/>
              <w:ind w:left="1363"/>
            </w:pPr>
            <w:r>
              <w:rPr>
                <w:rFonts w:ascii="Times New Roman" w:hAnsi="Times New Roman" w:eastAsia="Times New Roman" w:cs="Times New Roman"/>
                <w:spacing w:val="-3"/>
              </w:rPr>
              <w:t>7t</w:t>
            </w:r>
            <w:r>
              <w:rPr>
                <w:spacing w:val="-3"/>
              </w:rPr>
              <w:t>＜载质量</w:t>
            </w:r>
            <w:r>
              <w:rPr>
                <w:rFonts w:ascii="Times New Roman" w:hAnsi="Times New Roman" w:eastAsia="Times New Roman" w:cs="Times New Roman"/>
                <w:spacing w:val="-3"/>
              </w:rPr>
              <w:t>≤20t</w:t>
            </w:r>
            <w:r>
              <w:rPr>
                <w:rFonts w:ascii="Times New Roman" w:hAnsi="Times New Roman" w:eastAsia="Times New Roman" w:cs="Times New Roman"/>
                <w:spacing w:val="33"/>
              </w:rPr>
              <w:t xml:space="preserve"> </w:t>
            </w:r>
            <w:r>
              <w:rPr>
                <w:spacing w:val="-3"/>
              </w:rPr>
              <w:t>的货车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55" w:type="dxa"/>
            <w:vAlign w:val="top"/>
          </w:tcPr>
          <w:p>
            <w:pPr>
              <w:pStyle w:val="6"/>
              <w:spacing w:before="53" w:line="221" w:lineRule="auto"/>
              <w:ind w:left="618"/>
            </w:pPr>
            <w:r>
              <w:rPr>
                <w:spacing w:val="-2"/>
              </w:rPr>
              <w:t>拖挂车</w:t>
            </w:r>
          </w:p>
        </w:tc>
        <w:tc>
          <w:tcPr>
            <w:tcW w:w="1885" w:type="dxa"/>
            <w:vAlign w:val="top"/>
          </w:tcPr>
          <w:p>
            <w:pPr>
              <w:spacing w:before="92" w:line="187" w:lineRule="auto"/>
              <w:ind w:left="8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4788" w:type="dxa"/>
            <w:vAlign w:val="top"/>
          </w:tcPr>
          <w:p>
            <w:pPr>
              <w:pStyle w:val="6"/>
              <w:spacing w:before="54" w:line="221" w:lineRule="auto"/>
              <w:ind w:left="1477"/>
            </w:pPr>
            <w:r>
              <w:rPr>
                <w:spacing w:val="-3"/>
              </w:rPr>
              <w:t>载质量＞</w:t>
            </w:r>
            <w:r>
              <w:rPr>
                <w:rFonts w:ascii="Times New Roman" w:hAnsi="Times New Roman" w:eastAsia="Times New Roman" w:cs="Times New Roman"/>
                <w:spacing w:val="-3"/>
              </w:rPr>
              <w:t>20 t</w:t>
            </w:r>
            <w:r>
              <w:rPr>
                <w:rFonts w:ascii="Times New Roman" w:hAnsi="Times New Roman" w:eastAsia="Times New Roman" w:cs="Times New Roman"/>
                <w:spacing w:val="26"/>
              </w:rPr>
              <w:t xml:space="preserve"> </w:t>
            </w:r>
            <w:r>
              <w:rPr>
                <w:spacing w:val="-3"/>
              </w:rPr>
              <w:t>的货车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8528" w:type="dxa"/>
            <w:gridSpan w:val="3"/>
            <w:vAlign w:val="top"/>
          </w:tcPr>
          <w:p>
            <w:pPr>
              <w:pStyle w:val="6"/>
              <w:spacing w:before="54" w:line="312" w:lineRule="exact"/>
              <w:ind w:left="132"/>
            </w:pPr>
            <w:r>
              <w:rPr>
                <w:rFonts w:ascii="Times New Roman" w:hAnsi="Times New Roman" w:eastAsia="Times New Roman" w:cs="Times New Roman"/>
                <w:spacing w:val="-1"/>
                <w:position w:val="7"/>
              </w:rPr>
              <w:t>1.</w:t>
            </w:r>
            <w:r>
              <w:rPr>
                <w:spacing w:val="-1"/>
                <w:position w:val="7"/>
              </w:rPr>
              <w:t>畜力车、人力车、自行车等非机动车按路侧干扰因素计。</w:t>
            </w:r>
          </w:p>
          <w:p>
            <w:pPr>
              <w:pStyle w:val="6"/>
              <w:spacing w:line="219" w:lineRule="auto"/>
              <w:ind w:left="112"/>
            </w:pPr>
            <w:r>
              <w:rPr>
                <w:rFonts w:ascii="Times New Roman" w:hAnsi="Times New Roman" w:eastAsia="Times New Roman" w:cs="Times New Roman"/>
                <w:spacing w:val="-1"/>
              </w:rPr>
              <w:t>2.</w:t>
            </w:r>
            <w:r>
              <w:rPr>
                <w:spacing w:val="-1"/>
              </w:rPr>
              <w:t>公路上行驶的拖拉机每辆折算为</w:t>
            </w:r>
            <w:r>
              <w:rPr>
                <w:spacing w:val="-30"/>
              </w:rPr>
              <w:t xml:space="preserve"> </w:t>
            </w:r>
            <w:r>
              <w:rPr>
                <w:rFonts w:ascii="Times New Roman" w:hAnsi="Times New Roman" w:eastAsia="Times New Roman" w:cs="Times New Roman"/>
                <w:spacing w:val="-1"/>
              </w:rPr>
              <w:t xml:space="preserve">4 </w:t>
            </w:r>
            <w:r>
              <w:rPr>
                <w:spacing w:val="-1"/>
              </w:rPr>
              <w:t>辆小客车。</w:t>
            </w:r>
          </w:p>
        </w:tc>
      </w:tr>
    </w:tbl>
    <w:p>
      <w:pPr>
        <w:spacing w:before="160" w:line="354" w:lineRule="auto"/>
        <w:ind w:left="449" w:right="439" w:firstLine="480"/>
        <w:jc w:val="both"/>
        <w:rPr>
          <w:rFonts w:ascii="宋体" w:hAnsi="宋体" w:eastAsia="宋体" w:cs="宋体"/>
          <w:sz w:val="24"/>
          <w:szCs w:val="24"/>
        </w:rPr>
      </w:pPr>
      <w:r>
        <w:rPr>
          <w:rFonts w:ascii="宋体" w:hAnsi="宋体" w:eastAsia="宋体" w:cs="宋体"/>
          <w:spacing w:val="-7"/>
          <w:sz w:val="24"/>
          <w:szCs w:val="24"/>
        </w:rPr>
        <w:t>根据项目工可报告、初步设计及设计单位提供资料， 车型构成中小客和小货</w:t>
      </w:r>
      <w:r>
        <w:rPr>
          <w:rFonts w:ascii="宋体" w:hAnsi="宋体" w:eastAsia="宋体" w:cs="宋体"/>
          <w:spacing w:val="11"/>
          <w:sz w:val="24"/>
          <w:szCs w:val="24"/>
        </w:rPr>
        <w:t xml:space="preserve"> </w:t>
      </w:r>
      <w:r>
        <w:rPr>
          <w:rFonts w:ascii="宋体" w:hAnsi="宋体" w:eastAsia="宋体" w:cs="宋体"/>
          <w:spacing w:val="-2"/>
          <w:sz w:val="24"/>
          <w:szCs w:val="24"/>
        </w:rPr>
        <w:t>对应小客车按照系数</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进行折算，大客和中货对应中型车按照系</w:t>
      </w:r>
      <w:r>
        <w:rPr>
          <w:rFonts w:ascii="宋体" w:hAnsi="宋体" w:eastAsia="宋体" w:cs="宋体"/>
          <w:spacing w:val="-3"/>
          <w:sz w:val="24"/>
          <w:szCs w:val="24"/>
        </w:rPr>
        <w:t>数</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1.5</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进行折</w:t>
      </w:r>
      <w:r>
        <w:rPr>
          <w:rFonts w:ascii="宋体" w:hAnsi="宋体" w:eastAsia="宋体" w:cs="宋体"/>
          <w:sz w:val="24"/>
          <w:szCs w:val="24"/>
        </w:rPr>
        <w:t xml:space="preserve"> </w:t>
      </w:r>
      <w:r>
        <w:rPr>
          <w:rFonts w:ascii="宋体" w:hAnsi="宋体" w:eastAsia="宋体" w:cs="宋体"/>
          <w:spacing w:val="-6"/>
          <w:sz w:val="24"/>
          <w:szCs w:val="24"/>
        </w:rPr>
        <w:t>算，</w:t>
      </w:r>
      <w:r>
        <w:rPr>
          <w:rFonts w:ascii="宋体" w:hAnsi="宋体" w:eastAsia="宋体" w:cs="宋体"/>
          <w:spacing w:val="-42"/>
          <w:sz w:val="24"/>
          <w:szCs w:val="24"/>
        </w:rPr>
        <w:t xml:space="preserve"> </w:t>
      </w:r>
      <w:r>
        <w:rPr>
          <w:rFonts w:ascii="宋体" w:hAnsi="宋体" w:eastAsia="宋体" w:cs="宋体"/>
          <w:spacing w:val="-6"/>
          <w:sz w:val="24"/>
          <w:szCs w:val="24"/>
        </w:rPr>
        <w:t>大货对应大型车按照系数</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2.5 </w:t>
      </w:r>
      <w:r>
        <w:rPr>
          <w:rFonts w:ascii="宋体" w:hAnsi="宋体" w:eastAsia="宋体" w:cs="宋体"/>
          <w:spacing w:val="-6"/>
          <w:sz w:val="24"/>
          <w:szCs w:val="24"/>
        </w:rPr>
        <w:t>进行折</w:t>
      </w:r>
      <w:r>
        <w:rPr>
          <w:rFonts w:ascii="宋体" w:hAnsi="宋体" w:eastAsia="宋体" w:cs="宋体"/>
          <w:spacing w:val="-7"/>
          <w:sz w:val="24"/>
          <w:szCs w:val="24"/>
        </w:rPr>
        <w:t>算， 拖挂车和集装箱对应拖挂车按照系</w:t>
      </w:r>
    </w:p>
    <w:p>
      <w:pPr>
        <w:spacing w:before="1" w:line="219" w:lineRule="auto"/>
        <w:ind w:left="452"/>
        <w:rPr>
          <w:rFonts w:ascii="宋体" w:hAnsi="宋体" w:eastAsia="宋体" w:cs="宋体"/>
          <w:sz w:val="24"/>
          <w:szCs w:val="24"/>
        </w:rPr>
      </w:pPr>
      <w:r>
        <w:rPr>
          <w:rFonts w:ascii="宋体" w:hAnsi="宋体" w:eastAsia="宋体" w:cs="宋体"/>
          <w:spacing w:val="-5"/>
          <w:sz w:val="24"/>
          <w:szCs w:val="24"/>
        </w:rPr>
        <w:t>数</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4.0 </w:t>
      </w:r>
      <w:r>
        <w:rPr>
          <w:rFonts w:ascii="宋体" w:hAnsi="宋体" w:eastAsia="宋体" w:cs="宋体"/>
          <w:spacing w:val="-5"/>
          <w:sz w:val="24"/>
          <w:szCs w:val="24"/>
        </w:rPr>
        <w:t>进行折算。</w:t>
      </w:r>
    </w:p>
    <w:p>
      <w:pPr>
        <w:spacing w:before="175" w:line="413" w:lineRule="exact"/>
        <w:ind w:left="932"/>
        <w:rPr>
          <w:rFonts w:ascii="宋体" w:hAnsi="宋体" w:eastAsia="宋体" w:cs="宋体"/>
          <w:sz w:val="24"/>
          <w:szCs w:val="24"/>
        </w:rPr>
      </w:pPr>
      <w:r>
        <w:rPr>
          <w:rFonts w:ascii="宋体" w:hAnsi="宋体" w:eastAsia="宋体" w:cs="宋体"/>
          <w:spacing w:val="-4"/>
          <w:position w:val="12"/>
          <w:sz w:val="24"/>
          <w:szCs w:val="24"/>
        </w:rPr>
        <w:t>经计算， 本工程环评预测年车型比见表</w:t>
      </w:r>
      <w:r>
        <w:rPr>
          <w:rFonts w:ascii="宋体" w:hAnsi="宋体" w:eastAsia="宋体" w:cs="宋体"/>
          <w:spacing w:val="-49"/>
          <w:position w:val="12"/>
          <w:sz w:val="24"/>
          <w:szCs w:val="24"/>
        </w:rPr>
        <w:t xml:space="preserve"> </w:t>
      </w:r>
      <w:r>
        <w:rPr>
          <w:rFonts w:ascii="Times New Roman" w:hAnsi="Times New Roman" w:eastAsia="Times New Roman" w:cs="Times New Roman"/>
          <w:spacing w:val="-4"/>
          <w:position w:val="12"/>
          <w:sz w:val="24"/>
          <w:szCs w:val="24"/>
        </w:rPr>
        <w:t>3.3-7</w:t>
      </w:r>
      <w:r>
        <w:rPr>
          <w:rFonts w:ascii="宋体" w:hAnsi="宋体" w:eastAsia="宋体" w:cs="宋体"/>
          <w:spacing w:val="-4"/>
          <w:position w:val="12"/>
          <w:sz w:val="24"/>
          <w:szCs w:val="24"/>
        </w:rPr>
        <w:t>，昼夜小时车流</w:t>
      </w:r>
      <w:r>
        <w:rPr>
          <w:rFonts w:ascii="宋体" w:hAnsi="宋体" w:eastAsia="宋体" w:cs="宋体"/>
          <w:spacing w:val="-5"/>
          <w:position w:val="12"/>
          <w:sz w:val="24"/>
          <w:szCs w:val="24"/>
        </w:rPr>
        <w:t>量见表</w:t>
      </w:r>
      <w:r>
        <w:rPr>
          <w:rFonts w:ascii="宋体" w:hAnsi="宋体" w:eastAsia="宋体" w:cs="宋体"/>
          <w:spacing w:val="-39"/>
          <w:position w:val="12"/>
          <w:sz w:val="24"/>
          <w:szCs w:val="24"/>
        </w:rPr>
        <w:t xml:space="preserve"> </w:t>
      </w:r>
      <w:r>
        <w:rPr>
          <w:rFonts w:ascii="Times New Roman" w:hAnsi="Times New Roman" w:eastAsia="Times New Roman" w:cs="Times New Roman"/>
          <w:spacing w:val="-5"/>
          <w:position w:val="12"/>
          <w:sz w:val="24"/>
          <w:szCs w:val="24"/>
        </w:rPr>
        <w:t>3.3-8</w:t>
      </w:r>
      <w:r>
        <w:rPr>
          <w:rFonts w:ascii="宋体" w:hAnsi="宋体" w:eastAsia="宋体" w:cs="宋体"/>
          <w:spacing w:val="-5"/>
          <w:position w:val="12"/>
          <w:sz w:val="24"/>
          <w:szCs w:val="24"/>
        </w:rPr>
        <w:t>。</w:t>
      </w:r>
    </w:p>
    <w:p>
      <w:pPr>
        <w:spacing w:before="1" w:line="219" w:lineRule="auto"/>
        <w:ind w:left="2704"/>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 xml:space="preserve">3.3-7      </w:t>
      </w:r>
      <w:r>
        <w:rPr>
          <w:rFonts w:ascii="宋体" w:hAnsi="宋体" w:eastAsia="宋体" w:cs="宋体"/>
          <w:spacing w:val="-2"/>
          <w:sz w:val="24"/>
          <w:szCs w:val="24"/>
        </w:rPr>
        <w:t>预测年车型比（自然数）</w:t>
      </w:r>
    </w:p>
    <w:p>
      <w:pPr>
        <w:spacing w:line="67" w:lineRule="exact"/>
      </w:pPr>
    </w:p>
    <w:tbl>
      <w:tblPr>
        <w:tblStyle w:val="5"/>
        <w:tblW w:w="7206" w:type="dxa"/>
        <w:tblInd w:w="9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4"/>
        <w:gridCol w:w="1799"/>
        <w:gridCol w:w="1799"/>
        <w:gridCol w:w="1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04" w:type="dxa"/>
            <w:vAlign w:val="top"/>
          </w:tcPr>
          <w:p>
            <w:pPr>
              <w:pStyle w:val="6"/>
              <w:spacing w:before="103" w:line="221" w:lineRule="auto"/>
              <w:ind w:left="700"/>
            </w:pPr>
            <w:r>
              <w:rPr>
                <w:spacing w:val="-2"/>
              </w:rPr>
              <w:t>年份</w:t>
            </w:r>
          </w:p>
        </w:tc>
        <w:tc>
          <w:tcPr>
            <w:tcW w:w="1799" w:type="dxa"/>
            <w:vAlign w:val="top"/>
          </w:tcPr>
          <w:p>
            <w:pPr>
              <w:pStyle w:val="6"/>
              <w:spacing w:before="103" w:line="221" w:lineRule="auto"/>
              <w:ind w:left="595"/>
            </w:pPr>
            <w:r>
              <w:rPr>
                <w:spacing w:val="-3"/>
              </w:rPr>
              <w:t>小型车</w:t>
            </w:r>
          </w:p>
        </w:tc>
        <w:tc>
          <w:tcPr>
            <w:tcW w:w="1799" w:type="dxa"/>
            <w:vAlign w:val="top"/>
          </w:tcPr>
          <w:p>
            <w:pPr>
              <w:pStyle w:val="6"/>
              <w:spacing w:before="103" w:line="221" w:lineRule="auto"/>
              <w:ind w:left="611"/>
            </w:pPr>
            <w:r>
              <w:rPr>
                <w:spacing w:val="-6"/>
              </w:rPr>
              <w:t>中型车</w:t>
            </w:r>
          </w:p>
        </w:tc>
        <w:tc>
          <w:tcPr>
            <w:tcW w:w="1804" w:type="dxa"/>
            <w:vAlign w:val="top"/>
          </w:tcPr>
          <w:p>
            <w:pPr>
              <w:pStyle w:val="6"/>
              <w:spacing w:before="103" w:line="221" w:lineRule="auto"/>
              <w:ind w:left="595"/>
            </w:pPr>
            <w:r>
              <w:rPr>
                <w:spacing w:val="-2"/>
              </w:rPr>
              <w:t>大型车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804" w:type="dxa"/>
            <w:vAlign w:val="top"/>
          </w:tcPr>
          <w:p>
            <w:pPr>
              <w:pStyle w:val="6"/>
              <w:spacing w:before="102" w:line="221" w:lineRule="auto"/>
              <w:ind w:left="565"/>
            </w:pPr>
            <w:r>
              <w:rPr>
                <w:rFonts w:ascii="Times New Roman" w:hAnsi="Times New Roman" w:eastAsia="Times New Roman" w:cs="Times New Roman"/>
                <w:spacing w:val="-1"/>
              </w:rPr>
              <w:t>2023</w:t>
            </w:r>
            <w:r>
              <w:rPr>
                <w:rFonts w:ascii="Times New Roman" w:hAnsi="Times New Roman" w:eastAsia="Times New Roman" w:cs="Times New Roman"/>
                <w:spacing w:val="8"/>
              </w:rPr>
              <w:t xml:space="preserve"> </w:t>
            </w:r>
            <w:r>
              <w:rPr>
                <w:spacing w:val="-1"/>
              </w:rPr>
              <w:t>年</w:t>
            </w:r>
          </w:p>
        </w:tc>
        <w:tc>
          <w:tcPr>
            <w:tcW w:w="1799" w:type="dxa"/>
            <w:vAlign w:val="top"/>
          </w:tcPr>
          <w:p>
            <w:pPr>
              <w:spacing w:before="138" w:line="187" w:lineRule="auto"/>
              <w:ind w:left="5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67.00%</w:t>
            </w:r>
          </w:p>
        </w:tc>
        <w:tc>
          <w:tcPr>
            <w:tcW w:w="1799" w:type="dxa"/>
            <w:vAlign w:val="top"/>
          </w:tcPr>
          <w:p>
            <w:pPr>
              <w:spacing w:before="138"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13.00%</w:t>
            </w:r>
          </w:p>
        </w:tc>
        <w:tc>
          <w:tcPr>
            <w:tcW w:w="1804" w:type="dxa"/>
            <w:vAlign w:val="top"/>
          </w:tcPr>
          <w:p>
            <w:pPr>
              <w:spacing w:before="138" w:line="187" w:lineRule="auto"/>
              <w:ind w:left="5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804" w:type="dxa"/>
            <w:vAlign w:val="top"/>
          </w:tcPr>
          <w:p>
            <w:pPr>
              <w:pStyle w:val="6"/>
              <w:spacing w:before="101" w:line="221" w:lineRule="auto"/>
              <w:ind w:left="565"/>
            </w:pPr>
            <w:r>
              <w:rPr>
                <w:rFonts w:ascii="Times New Roman" w:hAnsi="Times New Roman" w:eastAsia="Times New Roman" w:cs="Times New Roman"/>
                <w:spacing w:val="-1"/>
              </w:rPr>
              <w:t>2029</w:t>
            </w:r>
            <w:r>
              <w:rPr>
                <w:rFonts w:ascii="Times New Roman" w:hAnsi="Times New Roman" w:eastAsia="Times New Roman" w:cs="Times New Roman"/>
                <w:spacing w:val="8"/>
              </w:rPr>
              <w:t xml:space="preserve"> </w:t>
            </w:r>
            <w:r>
              <w:rPr>
                <w:spacing w:val="-1"/>
              </w:rPr>
              <w:t>年</w:t>
            </w:r>
          </w:p>
        </w:tc>
        <w:tc>
          <w:tcPr>
            <w:tcW w:w="1799" w:type="dxa"/>
            <w:vAlign w:val="top"/>
          </w:tcPr>
          <w:p>
            <w:pPr>
              <w:spacing w:before="137" w:line="187" w:lineRule="auto"/>
              <w:ind w:left="5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67.70%</w:t>
            </w:r>
          </w:p>
        </w:tc>
        <w:tc>
          <w:tcPr>
            <w:tcW w:w="1799" w:type="dxa"/>
            <w:vAlign w:val="top"/>
          </w:tcPr>
          <w:p>
            <w:pPr>
              <w:spacing w:before="137"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12.00%</w:t>
            </w:r>
          </w:p>
        </w:tc>
        <w:tc>
          <w:tcPr>
            <w:tcW w:w="1804" w:type="dxa"/>
            <w:vAlign w:val="top"/>
          </w:tcPr>
          <w:p>
            <w:pPr>
              <w:spacing w:before="137" w:line="187" w:lineRule="auto"/>
              <w:ind w:left="5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804" w:type="dxa"/>
            <w:vAlign w:val="top"/>
          </w:tcPr>
          <w:p>
            <w:pPr>
              <w:pStyle w:val="6"/>
              <w:spacing w:before="109" w:line="221" w:lineRule="auto"/>
              <w:ind w:left="565"/>
            </w:pPr>
            <w:r>
              <w:rPr>
                <w:rFonts w:ascii="Times New Roman" w:hAnsi="Times New Roman" w:eastAsia="Times New Roman" w:cs="Times New Roman"/>
                <w:spacing w:val="-1"/>
              </w:rPr>
              <w:t>2037</w:t>
            </w:r>
            <w:r>
              <w:rPr>
                <w:rFonts w:ascii="Times New Roman" w:hAnsi="Times New Roman" w:eastAsia="Times New Roman" w:cs="Times New Roman"/>
                <w:spacing w:val="8"/>
              </w:rPr>
              <w:t xml:space="preserve"> </w:t>
            </w:r>
            <w:r>
              <w:rPr>
                <w:spacing w:val="-1"/>
              </w:rPr>
              <w:t>年</w:t>
            </w:r>
          </w:p>
        </w:tc>
        <w:tc>
          <w:tcPr>
            <w:tcW w:w="1799" w:type="dxa"/>
            <w:vAlign w:val="top"/>
          </w:tcPr>
          <w:p>
            <w:pPr>
              <w:spacing w:before="146" w:line="187" w:lineRule="auto"/>
              <w:ind w:left="5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68.00%</w:t>
            </w:r>
          </w:p>
        </w:tc>
        <w:tc>
          <w:tcPr>
            <w:tcW w:w="1799" w:type="dxa"/>
            <w:vAlign w:val="top"/>
          </w:tcPr>
          <w:p>
            <w:pPr>
              <w:spacing w:before="146"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14.30%</w:t>
            </w:r>
          </w:p>
        </w:tc>
        <w:tc>
          <w:tcPr>
            <w:tcW w:w="1804" w:type="dxa"/>
            <w:vAlign w:val="top"/>
          </w:tcPr>
          <w:p>
            <w:pPr>
              <w:spacing w:before="146" w:line="187" w:lineRule="auto"/>
              <w:ind w:left="5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r>
    </w:tbl>
    <w:p>
      <w:pPr>
        <w:pStyle w:val="2"/>
        <w:spacing w:line="269" w:lineRule="auto"/>
      </w:pPr>
    </w:p>
    <w:p>
      <w:pPr>
        <w:spacing w:before="79" w:line="233" w:lineRule="auto"/>
        <w:ind w:left="1529"/>
        <w:rPr>
          <w:rFonts w:ascii="Times New Roman" w:hAnsi="Times New Roman" w:eastAsia="Times New Roman" w:cs="Times New Roman"/>
          <w:sz w:val="24"/>
          <w:szCs w:val="24"/>
        </w:rPr>
      </w:pPr>
      <w:r>
        <w:rPr>
          <w:rFonts w:ascii="宋体" w:hAnsi="宋体" w:eastAsia="宋体" w:cs="宋体"/>
          <w:spacing w:val="-1"/>
          <w:sz w:val="24"/>
          <w:szCs w:val="24"/>
        </w:rPr>
        <w:t>表</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 xml:space="preserve">3.3-8    </w:t>
      </w:r>
      <w:r>
        <w:rPr>
          <w:rFonts w:ascii="宋体" w:hAnsi="宋体" w:eastAsia="宋体" w:cs="宋体"/>
          <w:spacing w:val="-1"/>
          <w:sz w:val="24"/>
          <w:szCs w:val="24"/>
        </w:rPr>
        <w:t>营运期各预测年份昼夜小时车流量   单位：辆</w:t>
      </w:r>
      <w:r>
        <w:rPr>
          <w:rFonts w:ascii="Times New Roman" w:hAnsi="Times New Roman" w:eastAsia="Times New Roman" w:cs="Times New Roman"/>
          <w:spacing w:val="-1"/>
          <w:sz w:val="24"/>
          <w:szCs w:val="24"/>
        </w:rPr>
        <w:t>/h</w:t>
      </w:r>
    </w:p>
    <w:p>
      <w:pPr>
        <w:spacing w:line="128" w:lineRule="exact"/>
      </w:pPr>
    </w:p>
    <w:tbl>
      <w:tblPr>
        <w:tblStyle w:val="5"/>
        <w:tblW w:w="91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3"/>
        <w:gridCol w:w="1046"/>
        <w:gridCol w:w="1279"/>
        <w:gridCol w:w="1164"/>
        <w:gridCol w:w="1163"/>
        <w:gridCol w:w="1161"/>
        <w:gridCol w:w="1164"/>
        <w:gridCol w:w="11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099" w:type="dxa"/>
            <w:gridSpan w:val="2"/>
            <w:vMerge w:val="restart"/>
            <w:tcBorders>
              <w:bottom w:val="nil"/>
            </w:tcBorders>
            <w:vAlign w:val="top"/>
          </w:tcPr>
          <w:p>
            <w:pPr>
              <w:pStyle w:val="6"/>
              <w:spacing w:before="175" w:line="221" w:lineRule="auto"/>
              <w:ind w:left="847"/>
            </w:pPr>
            <w:r>
              <w:rPr>
                <w:spacing w:val="-2"/>
              </w:rPr>
              <w:t>路段</w:t>
            </w:r>
          </w:p>
        </w:tc>
        <w:tc>
          <w:tcPr>
            <w:tcW w:w="2443" w:type="dxa"/>
            <w:gridSpan w:val="2"/>
            <w:vAlign w:val="top"/>
          </w:tcPr>
          <w:p>
            <w:pPr>
              <w:pStyle w:val="6"/>
              <w:spacing w:before="34" w:line="207" w:lineRule="auto"/>
              <w:ind w:left="881"/>
            </w:pPr>
            <w:r>
              <w:rPr>
                <w:rFonts w:ascii="Times New Roman" w:hAnsi="Times New Roman" w:eastAsia="Times New Roman" w:cs="Times New Roman"/>
                <w:spacing w:val="-1"/>
              </w:rPr>
              <w:t>2023</w:t>
            </w:r>
            <w:r>
              <w:rPr>
                <w:rFonts w:ascii="Times New Roman" w:hAnsi="Times New Roman" w:eastAsia="Times New Roman" w:cs="Times New Roman"/>
                <w:spacing w:val="8"/>
              </w:rPr>
              <w:t xml:space="preserve"> </w:t>
            </w:r>
            <w:r>
              <w:rPr>
                <w:spacing w:val="-1"/>
              </w:rPr>
              <w:t>年</w:t>
            </w:r>
          </w:p>
        </w:tc>
        <w:tc>
          <w:tcPr>
            <w:tcW w:w="2324" w:type="dxa"/>
            <w:gridSpan w:val="2"/>
            <w:vAlign w:val="top"/>
          </w:tcPr>
          <w:p>
            <w:pPr>
              <w:pStyle w:val="6"/>
              <w:spacing w:before="34" w:line="207" w:lineRule="auto"/>
              <w:ind w:left="822"/>
            </w:pPr>
            <w:r>
              <w:rPr>
                <w:rFonts w:ascii="Times New Roman" w:hAnsi="Times New Roman" w:eastAsia="Times New Roman" w:cs="Times New Roman"/>
                <w:spacing w:val="-1"/>
              </w:rPr>
              <w:t>2029</w:t>
            </w:r>
            <w:r>
              <w:rPr>
                <w:rFonts w:ascii="Times New Roman" w:hAnsi="Times New Roman" w:eastAsia="Times New Roman" w:cs="Times New Roman"/>
                <w:spacing w:val="8"/>
              </w:rPr>
              <w:t xml:space="preserve"> </w:t>
            </w:r>
            <w:r>
              <w:rPr>
                <w:spacing w:val="-1"/>
              </w:rPr>
              <w:t>年</w:t>
            </w:r>
          </w:p>
        </w:tc>
        <w:tc>
          <w:tcPr>
            <w:tcW w:w="2320" w:type="dxa"/>
            <w:gridSpan w:val="2"/>
            <w:vAlign w:val="top"/>
          </w:tcPr>
          <w:p>
            <w:pPr>
              <w:pStyle w:val="6"/>
              <w:spacing w:before="34" w:line="207" w:lineRule="auto"/>
              <w:ind w:left="819"/>
            </w:pPr>
            <w:r>
              <w:rPr>
                <w:rFonts w:ascii="Times New Roman" w:hAnsi="Times New Roman" w:eastAsia="Times New Roman" w:cs="Times New Roman"/>
                <w:spacing w:val="-1"/>
              </w:rPr>
              <w:t>2037</w:t>
            </w:r>
            <w:r>
              <w:rPr>
                <w:rFonts w:ascii="Times New Roman" w:hAnsi="Times New Roman" w:eastAsia="Times New Roman" w:cs="Times New Roman"/>
                <w:spacing w:val="8"/>
              </w:rPr>
              <w:t xml:space="preserve"> </w:t>
            </w:r>
            <w:r>
              <w:rPr>
                <w:spacing w:val="-1"/>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099" w:type="dxa"/>
            <w:gridSpan w:val="2"/>
            <w:vMerge w:val="continue"/>
            <w:tcBorders>
              <w:top w:val="nil"/>
            </w:tcBorders>
            <w:vAlign w:val="top"/>
          </w:tcPr>
          <w:p>
            <w:pPr>
              <w:rPr>
                <w:rFonts w:ascii="Arial"/>
                <w:sz w:val="21"/>
              </w:rPr>
            </w:pPr>
          </w:p>
        </w:tc>
        <w:tc>
          <w:tcPr>
            <w:tcW w:w="1279" w:type="dxa"/>
            <w:vAlign w:val="top"/>
          </w:tcPr>
          <w:p>
            <w:pPr>
              <w:pStyle w:val="6"/>
              <w:spacing w:before="30" w:line="209" w:lineRule="auto"/>
              <w:ind w:left="433"/>
            </w:pPr>
            <w:r>
              <w:rPr>
                <w:spacing w:val="-2"/>
              </w:rPr>
              <w:t>昼间</w:t>
            </w:r>
          </w:p>
        </w:tc>
        <w:tc>
          <w:tcPr>
            <w:tcW w:w="1164" w:type="dxa"/>
            <w:vAlign w:val="top"/>
          </w:tcPr>
          <w:p>
            <w:pPr>
              <w:pStyle w:val="6"/>
              <w:spacing w:before="30" w:line="209" w:lineRule="auto"/>
              <w:ind w:left="380"/>
            </w:pPr>
            <w:r>
              <w:rPr>
                <w:spacing w:val="-3"/>
              </w:rPr>
              <w:t>夜间</w:t>
            </w:r>
          </w:p>
        </w:tc>
        <w:tc>
          <w:tcPr>
            <w:tcW w:w="1163" w:type="dxa"/>
            <w:vAlign w:val="top"/>
          </w:tcPr>
          <w:p>
            <w:pPr>
              <w:pStyle w:val="6"/>
              <w:spacing w:before="30" w:line="209" w:lineRule="auto"/>
              <w:ind w:left="376"/>
            </w:pPr>
            <w:r>
              <w:rPr>
                <w:spacing w:val="-2"/>
              </w:rPr>
              <w:t>昼间</w:t>
            </w:r>
          </w:p>
        </w:tc>
        <w:tc>
          <w:tcPr>
            <w:tcW w:w="1161" w:type="dxa"/>
            <w:vAlign w:val="top"/>
          </w:tcPr>
          <w:p>
            <w:pPr>
              <w:pStyle w:val="6"/>
              <w:spacing w:before="30" w:line="209" w:lineRule="auto"/>
              <w:ind w:left="379"/>
            </w:pPr>
            <w:r>
              <w:rPr>
                <w:spacing w:val="-3"/>
              </w:rPr>
              <w:t>夜间</w:t>
            </w:r>
          </w:p>
        </w:tc>
        <w:tc>
          <w:tcPr>
            <w:tcW w:w="1164" w:type="dxa"/>
            <w:vAlign w:val="top"/>
          </w:tcPr>
          <w:p>
            <w:pPr>
              <w:pStyle w:val="6"/>
              <w:spacing w:before="30" w:line="209" w:lineRule="auto"/>
              <w:ind w:left="376"/>
            </w:pPr>
            <w:r>
              <w:rPr>
                <w:spacing w:val="-2"/>
              </w:rPr>
              <w:t>昼间</w:t>
            </w:r>
          </w:p>
        </w:tc>
        <w:tc>
          <w:tcPr>
            <w:tcW w:w="1156" w:type="dxa"/>
            <w:vAlign w:val="top"/>
          </w:tcPr>
          <w:p>
            <w:pPr>
              <w:pStyle w:val="6"/>
              <w:spacing w:before="30" w:line="209" w:lineRule="auto"/>
              <w:ind w:left="373"/>
            </w:pPr>
            <w:r>
              <w:rPr>
                <w:spacing w:val="-3"/>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099" w:type="dxa"/>
            <w:gridSpan w:val="2"/>
            <w:vAlign w:val="top"/>
          </w:tcPr>
          <w:p>
            <w:pPr>
              <w:pStyle w:val="6"/>
              <w:spacing w:before="29" w:line="224" w:lineRule="auto"/>
              <w:ind w:left="481" w:right="205" w:hanging="262"/>
              <w:rPr>
                <w:rFonts w:ascii="Times New Roman" w:hAnsi="Times New Roman" w:eastAsia="Times New Roman" w:cs="Times New Roman"/>
              </w:rPr>
            </w:pPr>
            <w:r>
              <w:rPr>
                <w:spacing w:val="-2"/>
              </w:rPr>
              <w:t>西坑互通连接线车</w:t>
            </w:r>
            <w:r>
              <w:rPr>
                <w:spacing w:val="4"/>
              </w:rPr>
              <w:t xml:space="preserve"> </w:t>
            </w:r>
            <w:r>
              <w:rPr>
                <w:spacing w:val="-5"/>
              </w:rPr>
              <w:t>流量</w:t>
            </w:r>
            <w:r>
              <w:rPr>
                <w:spacing w:val="-47"/>
              </w:rPr>
              <w:t xml:space="preserve"> </w:t>
            </w:r>
            <w:r>
              <w:rPr>
                <w:rFonts w:ascii="Times New Roman" w:hAnsi="Times New Roman" w:eastAsia="Times New Roman" w:cs="Times New Roman"/>
                <w:spacing w:val="-5"/>
              </w:rPr>
              <w:t>L1</w:t>
            </w:r>
            <w:r>
              <w:rPr>
                <w:rFonts w:ascii="Times New Roman" w:hAnsi="Times New Roman" w:eastAsia="Times New Roman" w:cs="Times New Roman"/>
                <w:spacing w:val="-30"/>
              </w:rPr>
              <w:t xml:space="preserve"> </w:t>
            </w:r>
            <w:r>
              <w:rPr>
                <w:spacing w:val="-5"/>
              </w:rPr>
              <w:t>、</w:t>
            </w:r>
            <w:r>
              <w:rPr>
                <w:rFonts w:ascii="Times New Roman" w:hAnsi="Times New Roman" w:eastAsia="Times New Roman" w:cs="Times New Roman"/>
                <w:spacing w:val="-5"/>
              </w:rPr>
              <w:t>L2</w:t>
            </w:r>
          </w:p>
        </w:tc>
        <w:tc>
          <w:tcPr>
            <w:tcW w:w="1279" w:type="dxa"/>
            <w:vAlign w:val="top"/>
          </w:tcPr>
          <w:p>
            <w:pPr>
              <w:spacing w:before="205" w:line="187" w:lineRule="auto"/>
              <w:ind w:left="50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135</w:t>
            </w:r>
          </w:p>
        </w:tc>
        <w:tc>
          <w:tcPr>
            <w:tcW w:w="1164" w:type="dxa"/>
            <w:vAlign w:val="top"/>
          </w:tcPr>
          <w:p>
            <w:pPr>
              <w:spacing w:before="205" w:line="18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163" w:type="dxa"/>
            <w:vAlign w:val="top"/>
          </w:tcPr>
          <w:p>
            <w:pPr>
              <w:spacing w:before="205" w:line="187"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264</w:t>
            </w:r>
          </w:p>
        </w:tc>
        <w:tc>
          <w:tcPr>
            <w:tcW w:w="1161" w:type="dxa"/>
            <w:vAlign w:val="top"/>
          </w:tcPr>
          <w:p>
            <w:pPr>
              <w:spacing w:before="208" w:line="184"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164" w:type="dxa"/>
            <w:vAlign w:val="top"/>
          </w:tcPr>
          <w:p>
            <w:pPr>
              <w:spacing w:before="205" w:line="187" w:lineRule="auto"/>
              <w:ind w:left="4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351</w:t>
            </w:r>
          </w:p>
        </w:tc>
        <w:tc>
          <w:tcPr>
            <w:tcW w:w="1156" w:type="dxa"/>
            <w:vAlign w:val="top"/>
          </w:tcPr>
          <w:p>
            <w:pPr>
              <w:spacing w:before="205"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53" w:type="dxa"/>
            <w:vMerge w:val="restart"/>
            <w:tcBorders>
              <w:bottom w:val="nil"/>
            </w:tcBorders>
            <w:vAlign w:val="top"/>
          </w:tcPr>
          <w:p>
            <w:pPr>
              <w:spacing w:line="243" w:lineRule="auto"/>
              <w:rPr>
                <w:rFonts w:ascii="Arial"/>
                <w:sz w:val="21"/>
              </w:rPr>
            </w:pPr>
          </w:p>
          <w:p>
            <w:pPr>
              <w:spacing w:line="244" w:lineRule="auto"/>
              <w:rPr>
                <w:rFonts w:ascii="Arial"/>
                <w:sz w:val="21"/>
              </w:rPr>
            </w:pPr>
          </w:p>
          <w:p>
            <w:pPr>
              <w:pStyle w:val="6"/>
              <w:spacing w:before="69" w:line="233" w:lineRule="auto"/>
              <w:ind w:left="424" w:right="205" w:hanging="203"/>
            </w:pPr>
            <w:r>
              <w:rPr>
                <w:spacing w:val="-4"/>
              </w:rPr>
              <w:t>西坑互</w:t>
            </w:r>
            <w:r>
              <w:rPr>
                <w:spacing w:val="1"/>
              </w:rPr>
              <w:t xml:space="preserve"> </w:t>
            </w:r>
            <w:r>
              <w:t>通</w:t>
            </w:r>
          </w:p>
        </w:tc>
        <w:tc>
          <w:tcPr>
            <w:tcW w:w="1046" w:type="dxa"/>
            <w:vAlign w:val="top"/>
          </w:tcPr>
          <w:p>
            <w:pPr>
              <w:pStyle w:val="6"/>
              <w:spacing w:before="30" w:line="227" w:lineRule="auto"/>
              <w:ind w:left="217"/>
            </w:pPr>
            <w:r>
              <w:rPr>
                <w:rFonts w:ascii="Times New Roman" w:hAnsi="Times New Roman" w:eastAsia="Times New Roman" w:cs="Times New Roman"/>
                <w:spacing w:val="-5"/>
              </w:rPr>
              <w:t>B</w:t>
            </w:r>
            <w:r>
              <w:rPr>
                <w:rFonts w:ascii="Times New Roman" w:hAnsi="Times New Roman" w:eastAsia="Times New Roman" w:cs="Times New Roman"/>
                <w:spacing w:val="22"/>
              </w:rPr>
              <w:t xml:space="preserve"> </w:t>
            </w:r>
            <w:r>
              <w:rPr>
                <w:spacing w:val="-5"/>
              </w:rPr>
              <w:t>匝道</w:t>
            </w:r>
          </w:p>
        </w:tc>
        <w:tc>
          <w:tcPr>
            <w:tcW w:w="1279" w:type="dxa"/>
            <w:vAlign w:val="top"/>
          </w:tcPr>
          <w:p>
            <w:pPr>
              <w:spacing w:before="88"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64" w:type="dxa"/>
            <w:vAlign w:val="top"/>
          </w:tcPr>
          <w:p>
            <w:pPr>
              <w:spacing w:before="88" w:line="187" w:lineRule="auto"/>
              <w:ind w:left="53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63" w:type="dxa"/>
            <w:vAlign w:val="top"/>
          </w:tcPr>
          <w:p>
            <w:pPr>
              <w:spacing w:before="88"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c>
          <w:tcPr>
            <w:tcW w:w="1161" w:type="dxa"/>
            <w:vAlign w:val="top"/>
          </w:tcPr>
          <w:p>
            <w:pPr>
              <w:spacing w:before="88" w:line="187" w:lineRule="auto"/>
              <w:ind w:left="49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164" w:type="dxa"/>
            <w:vAlign w:val="top"/>
          </w:tcPr>
          <w:p>
            <w:pPr>
              <w:spacing w:before="88"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88</w:t>
            </w:r>
          </w:p>
        </w:tc>
        <w:tc>
          <w:tcPr>
            <w:tcW w:w="1156" w:type="dxa"/>
            <w:vAlign w:val="top"/>
          </w:tcPr>
          <w:p>
            <w:pPr>
              <w:spacing w:before="88" w:line="187" w:lineRule="auto"/>
              <w:ind w:left="4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53" w:type="dxa"/>
            <w:vMerge w:val="continue"/>
            <w:tcBorders>
              <w:top w:val="nil"/>
              <w:bottom w:val="nil"/>
            </w:tcBorders>
            <w:vAlign w:val="top"/>
          </w:tcPr>
          <w:p>
            <w:pPr>
              <w:rPr>
                <w:rFonts w:ascii="Arial"/>
                <w:sz w:val="21"/>
              </w:rPr>
            </w:pPr>
          </w:p>
        </w:tc>
        <w:tc>
          <w:tcPr>
            <w:tcW w:w="1046" w:type="dxa"/>
            <w:vAlign w:val="top"/>
          </w:tcPr>
          <w:p>
            <w:pPr>
              <w:pStyle w:val="6"/>
              <w:spacing w:before="31" w:line="227" w:lineRule="auto"/>
              <w:ind w:left="221"/>
            </w:pPr>
            <w:r>
              <w:rPr>
                <w:rFonts w:ascii="Times New Roman" w:hAnsi="Times New Roman" w:eastAsia="Times New Roman" w:cs="Times New Roman"/>
                <w:spacing w:val="-6"/>
              </w:rPr>
              <w:t>C</w:t>
            </w:r>
            <w:r>
              <w:rPr>
                <w:rFonts w:ascii="Times New Roman" w:hAnsi="Times New Roman" w:eastAsia="Times New Roman" w:cs="Times New Roman"/>
                <w:spacing w:val="21"/>
              </w:rPr>
              <w:t xml:space="preserve"> </w:t>
            </w:r>
            <w:r>
              <w:rPr>
                <w:spacing w:val="-6"/>
              </w:rPr>
              <w:t>匝道</w:t>
            </w:r>
          </w:p>
        </w:tc>
        <w:tc>
          <w:tcPr>
            <w:tcW w:w="1279" w:type="dxa"/>
            <w:vAlign w:val="top"/>
          </w:tcPr>
          <w:p>
            <w:pPr>
              <w:spacing w:before="89" w:line="187" w:lineRule="auto"/>
              <w:ind w:left="5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164" w:type="dxa"/>
            <w:vAlign w:val="top"/>
          </w:tcPr>
          <w:p>
            <w:pPr>
              <w:spacing w:before="89" w:line="187" w:lineRule="auto"/>
              <w:ind w:left="49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163" w:type="dxa"/>
            <w:vAlign w:val="top"/>
          </w:tcPr>
          <w:p>
            <w:pPr>
              <w:spacing w:before="89"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1161" w:type="dxa"/>
            <w:vAlign w:val="top"/>
          </w:tcPr>
          <w:p>
            <w:pPr>
              <w:spacing w:before="89" w:line="187" w:lineRule="auto"/>
              <w:ind w:left="49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164" w:type="dxa"/>
            <w:vAlign w:val="top"/>
          </w:tcPr>
          <w:p>
            <w:pPr>
              <w:spacing w:before="89"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84</w:t>
            </w:r>
          </w:p>
        </w:tc>
        <w:tc>
          <w:tcPr>
            <w:tcW w:w="1156" w:type="dxa"/>
            <w:vAlign w:val="top"/>
          </w:tcPr>
          <w:p>
            <w:pPr>
              <w:spacing w:before="89" w:line="187" w:lineRule="auto"/>
              <w:ind w:left="4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53" w:type="dxa"/>
            <w:vMerge w:val="continue"/>
            <w:tcBorders>
              <w:top w:val="nil"/>
              <w:bottom w:val="nil"/>
            </w:tcBorders>
            <w:vAlign w:val="top"/>
          </w:tcPr>
          <w:p>
            <w:pPr>
              <w:rPr>
                <w:rFonts w:ascii="Arial"/>
                <w:sz w:val="21"/>
              </w:rPr>
            </w:pPr>
          </w:p>
        </w:tc>
        <w:tc>
          <w:tcPr>
            <w:tcW w:w="1046" w:type="dxa"/>
            <w:vAlign w:val="top"/>
          </w:tcPr>
          <w:p>
            <w:pPr>
              <w:pStyle w:val="6"/>
              <w:spacing w:before="32" w:line="227" w:lineRule="auto"/>
              <w:ind w:left="210"/>
            </w:pPr>
            <w:r>
              <w:rPr>
                <w:rFonts w:ascii="Times New Roman" w:hAnsi="Times New Roman" w:eastAsia="Times New Roman" w:cs="Times New Roman"/>
                <w:spacing w:val="-5"/>
              </w:rPr>
              <w:t>D</w:t>
            </w:r>
            <w:r>
              <w:rPr>
                <w:rFonts w:ascii="Times New Roman" w:hAnsi="Times New Roman" w:eastAsia="Times New Roman" w:cs="Times New Roman"/>
                <w:spacing w:val="22"/>
                <w:w w:val="101"/>
              </w:rPr>
              <w:t xml:space="preserve"> </w:t>
            </w:r>
            <w:r>
              <w:rPr>
                <w:spacing w:val="-5"/>
              </w:rPr>
              <w:t>匝道</w:t>
            </w:r>
          </w:p>
        </w:tc>
        <w:tc>
          <w:tcPr>
            <w:tcW w:w="1279" w:type="dxa"/>
            <w:vAlign w:val="top"/>
          </w:tcPr>
          <w:p>
            <w:pPr>
              <w:spacing w:before="89"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1164" w:type="dxa"/>
            <w:vAlign w:val="top"/>
          </w:tcPr>
          <w:p>
            <w:pPr>
              <w:spacing w:before="89" w:line="187" w:lineRule="auto"/>
              <w:ind w:left="49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163" w:type="dxa"/>
            <w:vAlign w:val="top"/>
          </w:tcPr>
          <w:p>
            <w:pPr>
              <w:spacing w:before="89"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1161" w:type="dxa"/>
            <w:vAlign w:val="top"/>
          </w:tcPr>
          <w:p>
            <w:pPr>
              <w:spacing w:before="89" w:line="187" w:lineRule="auto"/>
              <w:ind w:left="49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164" w:type="dxa"/>
            <w:vAlign w:val="top"/>
          </w:tcPr>
          <w:p>
            <w:pPr>
              <w:spacing w:before="89"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1156" w:type="dxa"/>
            <w:vAlign w:val="top"/>
          </w:tcPr>
          <w:p>
            <w:pPr>
              <w:spacing w:before="89" w:line="187" w:lineRule="auto"/>
              <w:ind w:left="4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053" w:type="dxa"/>
            <w:vMerge w:val="continue"/>
            <w:tcBorders>
              <w:top w:val="nil"/>
              <w:bottom w:val="nil"/>
            </w:tcBorders>
            <w:vAlign w:val="top"/>
          </w:tcPr>
          <w:p>
            <w:pPr>
              <w:rPr>
                <w:rFonts w:ascii="Arial"/>
                <w:sz w:val="21"/>
              </w:rPr>
            </w:pPr>
          </w:p>
        </w:tc>
        <w:tc>
          <w:tcPr>
            <w:tcW w:w="1046" w:type="dxa"/>
            <w:vAlign w:val="top"/>
          </w:tcPr>
          <w:p>
            <w:pPr>
              <w:pStyle w:val="6"/>
              <w:spacing w:before="35" w:line="227" w:lineRule="auto"/>
              <w:ind w:left="223"/>
            </w:pPr>
            <w:r>
              <w:rPr>
                <w:rFonts w:ascii="Times New Roman" w:hAnsi="Times New Roman" w:eastAsia="Times New Roman" w:cs="Times New Roman"/>
                <w:spacing w:val="-5"/>
              </w:rPr>
              <w:t>E</w:t>
            </w:r>
            <w:r>
              <w:rPr>
                <w:rFonts w:ascii="Times New Roman" w:hAnsi="Times New Roman" w:eastAsia="Times New Roman" w:cs="Times New Roman"/>
                <w:spacing w:val="21"/>
              </w:rPr>
              <w:t xml:space="preserve"> </w:t>
            </w:r>
            <w:r>
              <w:rPr>
                <w:spacing w:val="-5"/>
              </w:rPr>
              <w:t>匝道</w:t>
            </w:r>
          </w:p>
        </w:tc>
        <w:tc>
          <w:tcPr>
            <w:tcW w:w="1279" w:type="dxa"/>
            <w:vAlign w:val="top"/>
          </w:tcPr>
          <w:p>
            <w:pPr>
              <w:spacing w:before="92"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164" w:type="dxa"/>
            <w:vAlign w:val="top"/>
          </w:tcPr>
          <w:p>
            <w:pPr>
              <w:spacing w:before="92" w:line="187" w:lineRule="auto"/>
              <w:ind w:left="49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163" w:type="dxa"/>
            <w:vAlign w:val="top"/>
          </w:tcPr>
          <w:p>
            <w:pPr>
              <w:spacing w:before="92" w:line="18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c>
          <w:tcPr>
            <w:tcW w:w="1161" w:type="dxa"/>
            <w:vAlign w:val="top"/>
          </w:tcPr>
          <w:p>
            <w:pPr>
              <w:spacing w:before="92"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164" w:type="dxa"/>
            <w:vAlign w:val="top"/>
          </w:tcPr>
          <w:p>
            <w:pPr>
              <w:spacing w:before="92"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95</w:t>
            </w:r>
          </w:p>
        </w:tc>
        <w:tc>
          <w:tcPr>
            <w:tcW w:w="1156" w:type="dxa"/>
            <w:vAlign w:val="top"/>
          </w:tcPr>
          <w:p>
            <w:pPr>
              <w:spacing w:before="92" w:line="187" w:lineRule="auto"/>
              <w:ind w:left="4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53" w:type="dxa"/>
            <w:vMerge w:val="continue"/>
            <w:tcBorders>
              <w:top w:val="nil"/>
            </w:tcBorders>
            <w:vAlign w:val="top"/>
          </w:tcPr>
          <w:p>
            <w:pPr>
              <w:rPr>
                <w:rFonts w:ascii="Arial"/>
                <w:sz w:val="21"/>
              </w:rPr>
            </w:pPr>
          </w:p>
        </w:tc>
        <w:tc>
          <w:tcPr>
            <w:tcW w:w="1046" w:type="dxa"/>
            <w:vAlign w:val="top"/>
          </w:tcPr>
          <w:p>
            <w:pPr>
              <w:pStyle w:val="6"/>
              <w:spacing w:before="33" w:line="227" w:lineRule="auto"/>
              <w:ind w:left="208"/>
            </w:pPr>
            <w:r>
              <w:rPr>
                <w:rFonts w:ascii="Times New Roman" w:hAnsi="Times New Roman" w:eastAsia="Times New Roman" w:cs="Times New Roman"/>
                <w:spacing w:val="-4"/>
              </w:rPr>
              <w:t>A</w:t>
            </w:r>
            <w:r>
              <w:rPr>
                <w:rFonts w:ascii="Times New Roman" w:hAnsi="Times New Roman" w:eastAsia="Times New Roman" w:cs="Times New Roman"/>
                <w:spacing w:val="21"/>
              </w:rPr>
              <w:t xml:space="preserve"> </w:t>
            </w:r>
            <w:r>
              <w:rPr>
                <w:spacing w:val="-4"/>
              </w:rPr>
              <w:t>匝道</w:t>
            </w:r>
          </w:p>
        </w:tc>
        <w:tc>
          <w:tcPr>
            <w:tcW w:w="1279" w:type="dxa"/>
            <w:vAlign w:val="top"/>
          </w:tcPr>
          <w:p>
            <w:pPr>
              <w:spacing w:before="91" w:line="187" w:lineRule="auto"/>
              <w:ind w:left="50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135</w:t>
            </w:r>
          </w:p>
        </w:tc>
        <w:tc>
          <w:tcPr>
            <w:tcW w:w="1164" w:type="dxa"/>
            <w:vAlign w:val="top"/>
          </w:tcPr>
          <w:p>
            <w:pPr>
              <w:spacing w:before="91" w:line="18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163" w:type="dxa"/>
            <w:vAlign w:val="top"/>
          </w:tcPr>
          <w:p>
            <w:pPr>
              <w:spacing w:before="91" w:line="187"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264</w:t>
            </w:r>
          </w:p>
        </w:tc>
        <w:tc>
          <w:tcPr>
            <w:tcW w:w="1161" w:type="dxa"/>
            <w:vAlign w:val="top"/>
          </w:tcPr>
          <w:p>
            <w:pPr>
              <w:spacing w:before="94" w:line="184"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164" w:type="dxa"/>
            <w:vAlign w:val="top"/>
          </w:tcPr>
          <w:p>
            <w:pPr>
              <w:spacing w:before="91" w:line="187" w:lineRule="auto"/>
              <w:ind w:left="4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351</w:t>
            </w:r>
          </w:p>
        </w:tc>
        <w:tc>
          <w:tcPr>
            <w:tcW w:w="1156" w:type="dxa"/>
            <w:vAlign w:val="top"/>
          </w:tcPr>
          <w:p>
            <w:pPr>
              <w:spacing w:before="91"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053" w:type="dxa"/>
            <w:vAlign w:val="top"/>
          </w:tcPr>
          <w:p>
            <w:pPr>
              <w:pStyle w:val="6"/>
              <w:spacing w:before="158" w:line="221" w:lineRule="auto"/>
              <w:ind w:left="220"/>
            </w:pPr>
            <w:r>
              <w:rPr>
                <w:spacing w:val="-2"/>
              </w:rPr>
              <w:t>景文高</w:t>
            </w:r>
          </w:p>
        </w:tc>
        <w:tc>
          <w:tcPr>
            <w:tcW w:w="1046" w:type="dxa"/>
            <w:vAlign w:val="top"/>
          </w:tcPr>
          <w:p>
            <w:pPr>
              <w:pStyle w:val="6"/>
              <w:spacing w:before="158" w:line="221" w:lineRule="auto"/>
              <w:ind w:left="162"/>
            </w:pPr>
            <w:r>
              <w:rPr>
                <w:spacing w:val="-1"/>
              </w:rPr>
              <w:t>东坑</w:t>
            </w:r>
            <w:r>
              <w:rPr>
                <w:rFonts w:ascii="Times New Roman" w:hAnsi="Times New Roman" w:eastAsia="Times New Roman" w:cs="Times New Roman"/>
                <w:spacing w:val="-1"/>
              </w:rPr>
              <w:t>~</w:t>
            </w:r>
            <w:r>
              <w:rPr>
                <w:spacing w:val="-1"/>
              </w:rPr>
              <w:t>西</w:t>
            </w:r>
          </w:p>
        </w:tc>
        <w:tc>
          <w:tcPr>
            <w:tcW w:w="1279" w:type="dxa"/>
            <w:vAlign w:val="top"/>
          </w:tcPr>
          <w:p>
            <w:pPr>
              <w:spacing w:before="195"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565</w:t>
            </w:r>
          </w:p>
        </w:tc>
        <w:tc>
          <w:tcPr>
            <w:tcW w:w="1164" w:type="dxa"/>
            <w:vAlign w:val="top"/>
          </w:tcPr>
          <w:p>
            <w:pPr>
              <w:spacing w:before="195" w:line="187" w:lineRule="auto"/>
              <w:ind w:left="4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161</w:t>
            </w:r>
          </w:p>
        </w:tc>
        <w:tc>
          <w:tcPr>
            <w:tcW w:w="1163" w:type="dxa"/>
            <w:vAlign w:val="top"/>
          </w:tcPr>
          <w:p>
            <w:pPr>
              <w:spacing w:before="195" w:line="187" w:lineRule="auto"/>
              <w:ind w:left="4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855</w:t>
            </w:r>
          </w:p>
        </w:tc>
        <w:tc>
          <w:tcPr>
            <w:tcW w:w="1161" w:type="dxa"/>
            <w:vAlign w:val="top"/>
          </w:tcPr>
          <w:p>
            <w:pPr>
              <w:spacing w:before="195" w:line="187" w:lineRule="auto"/>
              <w:ind w:left="4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244</w:t>
            </w:r>
          </w:p>
        </w:tc>
        <w:tc>
          <w:tcPr>
            <w:tcW w:w="1164" w:type="dxa"/>
            <w:vAlign w:val="top"/>
          </w:tcPr>
          <w:p>
            <w:pPr>
              <w:spacing w:before="195"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1157</w:t>
            </w:r>
          </w:p>
        </w:tc>
        <w:tc>
          <w:tcPr>
            <w:tcW w:w="1156" w:type="dxa"/>
            <w:vAlign w:val="top"/>
          </w:tcPr>
          <w:p>
            <w:pPr>
              <w:spacing w:before="195" w:line="187"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331</w:t>
            </w:r>
          </w:p>
        </w:tc>
      </w:tr>
    </w:tbl>
    <w:p>
      <w:pPr>
        <w:pStyle w:val="2"/>
      </w:pPr>
    </w:p>
    <w:p>
      <w:pPr>
        <w:sectPr>
          <w:headerReference r:id="rId134" w:type="default"/>
          <w:footerReference r:id="rId135" w:type="default"/>
          <w:pgSz w:w="11907" w:h="16839"/>
          <w:pgMar w:top="1118" w:right="1356" w:bottom="1184" w:left="1358" w:header="879" w:footer="1024" w:gutter="0"/>
          <w:cols w:space="720" w:num="1"/>
        </w:sectPr>
      </w:pPr>
    </w:p>
    <w:p>
      <w:pPr>
        <w:spacing w:before="80"/>
      </w:pPr>
    </w:p>
    <w:tbl>
      <w:tblPr>
        <w:tblStyle w:val="5"/>
        <w:tblW w:w="91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3"/>
        <w:gridCol w:w="1046"/>
        <w:gridCol w:w="1279"/>
        <w:gridCol w:w="1164"/>
        <w:gridCol w:w="1163"/>
        <w:gridCol w:w="1161"/>
        <w:gridCol w:w="1164"/>
        <w:gridCol w:w="11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53" w:type="dxa"/>
            <w:vMerge w:val="restart"/>
            <w:tcBorders>
              <w:bottom w:val="nil"/>
            </w:tcBorders>
            <w:vAlign w:val="top"/>
          </w:tcPr>
          <w:p>
            <w:pPr>
              <w:pStyle w:val="6"/>
              <w:spacing w:before="55" w:line="248" w:lineRule="auto"/>
              <w:ind w:left="216" w:right="104" w:hanging="101"/>
            </w:pPr>
            <w:r>
              <w:rPr>
                <w:spacing w:val="-4"/>
              </w:rPr>
              <w:t>速（工可</w:t>
            </w:r>
            <w:r>
              <w:rPr>
                <w:spacing w:val="2"/>
              </w:rPr>
              <w:t xml:space="preserve"> </w:t>
            </w:r>
            <w:r>
              <w:rPr>
                <w:spacing w:val="-5"/>
              </w:rPr>
              <w:t>补充）</w:t>
            </w:r>
          </w:p>
        </w:tc>
        <w:tc>
          <w:tcPr>
            <w:tcW w:w="1046" w:type="dxa"/>
            <w:vAlign w:val="top"/>
          </w:tcPr>
          <w:p>
            <w:pPr>
              <w:pStyle w:val="6"/>
              <w:spacing w:before="56" w:line="221" w:lineRule="auto"/>
              <w:ind w:left="421"/>
            </w:pPr>
            <w:r>
              <w:t>坑</w:t>
            </w:r>
          </w:p>
        </w:tc>
        <w:tc>
          <w:tcPr>
            <w:tcW w:w="1279" w:type="dxa"/>
            <w:vAlign w:val="top"/>
          </w:tcPr>
          <w:p>
            <w:pPr>
              <w:rPr>
                <w:rFonts w:ascii="Arial"/>
                <w:sz w:val="21"/>
              </w:rPr>
            </w:pPr>
          </w:p>
        </w:tc>
        <w:tc>
          <w:tcPr>
            <w:tcW w:w="1164" w:type="dxa"/>
            <w:vAlign w:val="top"/>
          </w:tcPr>
          <w:p>
            <w:pPr>
              <w:rPr>
                <w:rFonts w:ascii="Arial"/>
                <w:sz w:val="21"/>
              </w:rPr>
            </w:pPr>
          </w:p>
        </w:tc>
        <w:tc>
          <w:tcPr>
            <w:tcW w:w="1163" w:type="dxa"/>
            <w:vAlign w:val="top"/>
          </w:tcPr>
          <w:p>
            <w:pPr>
              <w:rPr>
                <w:rFonts w:ascii="Arial"/>
                <w:sz w:val="21"/>
              </w:rPr>
            </w:pPr>
          </w:p>
        </w:tc>
        <w:tc>
          <w:tcPr>
            <w:tcW w:w="1161" w:type="dxa"/>
            <w:vAlign w:val="top"/>
          </w:tcPr>
          <w:p>
            <w:pPr>
              <w:rPr>
                <w:rFonts w:ascii="Arial"/>
                <w:sz w:val="21"/>
              </w:rPr>
            </w:pPr>
          </w:p>
        </w:tc>
        <w:tc>
          <w:tcPr>
            <w:tcW w:w="1164" w:type="dxa"/>
            <w:vAlign w:val="top"/>
          </w:tcPr>
          <w:p>
            <w:pPr>
              <w:rPr>
                <w:rFonts w:ascii="Arial"/>
                <w:sz w:val="21"/>
              </w:rPr>
            </w:pPr>
          </w:p>
        </w:tc>
        <w:tc>
          <w:tcPr>
            <w:tcW w:w="115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053" w:type="dxa"/>
            <w:vMerge w:val="continue"/>
            <w:tcBorders>
              <w:top w:val="nil"/>
            </w:tcBorders>
            <w:vAlign w:val="top"/>
          </w:tcPr>
          <w:p>
            <w:pPr>
              <w:rPr>
                <w:rFonts w:ascii="Arial"/>
                <w:sz w:val="21"/>
              </w:rPr>
            </w:pPr>
          </w:p>
        </w:tc>
        <w:tc>
          <w:tcPr>
            <w:tcW w:w="1046" w:type="dxa"/>
            <w:vAlign w:val="top"/>
          </w:tcPr>
          <w:p>
            <w:pPr>
              <w:pStyle w:val="6"/>
              <w:spacing w:before="54" w:line="247" w:lineRule="auto"/>
              <w:ind w:left="214" w:right="147" w:hanging="54"/>
            </w:pPr>
            <w:r>
              <w:rPr>
                <w:spacing w:val="-3"/>
              </w:rPr>
              <w:t>西坑</w:t>
            </w:r>
            <w:r>
              <w:rPr>
                <w:rFonts w:ascii="Times New Roman" w:hAnsi="Times New Roman" w:eastAsia="Times New Roman" w:cs="Times New Roman"/>
                <w:spacing w:val="-3"/>
              </w:rPr>
              <w:t>~</w:t>
            </w:r>
            <w:r>
              <w:rPr>
                <w:spacing w:val="-3"/>
              </w:rPr>
              <w:t>文</w:t>
            </w:r>
            <w:r>
              <w:t xml:space="preserve"> </w:t>
            </w:r>
            <w:r>
              <w:rPr>
                <w:spacing w:val="-2"/>
              </w:rPr>
              <w:t>成枢纽</w:t>
            </w:r>
          </w:p>
        </w:tc>
        <w:tc>
          <w:tcPr>
            <w:tcW w:w="1279" w:type="dxa"/>
            <w:vAlign w:val="top"/>
          </w:tcPr>
          <w:p>
            <w:pPr>
              <w:spacing w:before="245"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571</w:t>
            </w:r>
          </w:p>
        </w:tc>
        <w:tc>
          <w:tcPr>
            <w:tcW w:w="1164" w:type="dxa"/>
            <w:vAlign w:val="top"/>
          </w:tcPr>
          <w:p>
            <w:pPr>
              <w:spacing w:before="245" w:line="187" w:lineRule="auto"/>
              <w:ind w:left="4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163</w:t>
            </w:r>
          </w:p>
        </w:tc>
        <w:tc>
          <w:tcPr>
            <w:tcW w:w="1163" w:type="dxa"/>
            <w:vAlign w:val="top"/>
          </w:tcPr>
          <w:p>
            <w:pPr>
              <w:spacing w:before="245" w:line="187" w:lineRule="auto"/>
              <w:ind w:left="4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874</w:t>
            </w:r>
          </w:p>
        </w:tc>
        <w:tc>
          <w:tcPr>
            <w:tcW w:w="1161" w:type="dxa"/>
            <w:vAlign w:val="top"/>
          </w:tcPr>
          <w:p>
            <w:pPr>
              <w:spacing w:before="245" w:line="187" w:lineRule="auto"/>
              <w:ind w:left="4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1164" w:type="dxa"/>
            <w:vAlign w:val="top"/>
          </w:tcPr>
          <w:p>
            <w:pPr>
              <w:spacing w:before="245"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1168</w:t>
            </w:r>
          </w:p>
        </w:tc>
        <w:tc>
          <w:tcPr>
            <w:tcW w:w="1156" w:type="dxa"/>
            <w:vAlign w:val="top"/>
          </w:tcPr>
          <w:p>
            <w:pPr>
              <w:spacing w:before="245" w:line="187"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334</w:t>
            </w:r>
          </w:p>
        </w:tc>
      </w:tr>
    </w:tbl>
    <w:p>
      <w:pPr>
        <w:pStyle w:val="2"/>
        <w:spacing w:line="261" w:lineRule="auto"/>
      </w:pPr>
    </w:p>
    <w:p>
      <w:pPr>
        <w:spacing w:before="91" w:line="539" w:lineRule="exact"/>
        <w:ind w:left="446"/>
        <w:rPr>
          <w:rFonts w:ascii="宋体" w:hAnsi="宋体" w:eastAsia="宋体" w:cs="宋体"/>
          <w:sz w:val="28"/>
          <w:szCs w:val="28"/>
        </w:rPr>
      </w:pPr>
      <w:bookmarkStart w:id="18" w:name="bookmark19"/>
      <w:bookmarkEnd w:id="18"/>
      <w:r>
        <w:rPr>
          <w:rFonts w:ascii="Times New Roman" w:hAnsi="Times New Roman" w:eastAsia="Times New Roman" w:cs="Times New Roman"/>
          <w:b/>
          <w:bCs/>
          <w:position w:val="19"/>
          <w:sz w:val="28"/>
          <w:szCs w:val="28"/>
        </w:rPr>
        <w:t xml:space="preserve">3.4  </w:t>
      </w:r>
      <w:r>
        <w:rPr>
          <w:rFonts w:ascii="宋体" w:hAnsi="宋体" w:eastAsia="宋体" w:cs="宋体"/>
          <w:position w:val="19"/>
          <w:sz w:val="28"/>
          <w:szCs w:val="28"/>
          <w14:textOutline w14:w="5094" w14:cap="flat" w14:cmpd="sng">
            <w14:solidFill>
              <w14:srgbClr w14:val="000000"/>
            </w14:solidFill>
            <w14:prstDash w14:val="solid"/>
            <w14:miter w14:val="0"/>
          </w14:textOutline>
        </w:rPr>
        <w:t>施工组织、主要施工方案和施工工艺</w:t>
      </w:r>
    </w:p>
    <w:p>
      <w:pPr>
        <w:spacing w:before="1" w:line="218" w:lineRule="auto"/>
        <w:ind w:left="445"/>
        <w:rPr>
          <w:rFonts w:ascii="宋体" w:hAnsi="宋体" w:eastAsia="宋体" w:cs="宋体"/>
          <w:sz w:val="24"/>
          <w:szCs w:val="24"/>
        </w:rPr>
      </w:pPr>
      <w:r>
        <w:rPr>
          <w:rFonts w:ascii="Times New Roman" w:hAnsi="Times New Roman" w:eastAsia="Times New Roman" w:cs="Times New Roman"/>
          <w:b/>
          <w:bCs/>
          <w:sz w:val="24"/>
          <w:szCs w:val="24"/>
        </w:rPr>
        <w:t xml:space="preserve">3.4.1  </w:t>
      </w:r>
      <w:r>
        <w:rPr>
          <w:rFonts w:ascii="宋体" w:hAnsi="宋体" w:eastAsia="宋体" w:cs="宋体"/>
          <w:sz w:val="24"/>
          <w:szCs w:val="24"/>
          <w14:textOutline w14:w="4354" w14:cap="flat" w14:cmpd="sng">
            <w14:solidFill>
              <w14:srgbClr w14:val="000000"/>
            </w14:solidFill>
            <w14:prstDash w14:val="solid"/>
            <w14:miter w14:val="0"/>
          </w14:textOutline>
        </w:rPr>
        <w:t>施工布置</w:t>
      </w:r>
    </w:p>
    <w:p>
      <w:pPr>
        <w:spacing w:before="183" w:line="220" w:lineRule="auto"/>
        <w:ind w:left="949"/>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、施工场地</w:t>
      </w:r>
    </w:p>
    <w:p>
      <w:pPr>
        <w:spacing w:before="177" w:line="360" w:lineRule="auto"/>
        <w:ind w:left="446" w:right="383" w:firstLine="486"/>
        <w:rPr>
          <w:rFonts w:ascii="宋体" w:hAnsi="宋体" w:eastAsia="宋体" w:cs="宋体"/>
          <w:sz w:val="24"/>
          <w:szCs w:val="24"/>
        </w:rPr>
      </w:pPr>
      <w:r>
        <w:rPr>
          <w:rFonts w:ascii="宋体" w:hAnsi="宋体" w:eastAsia="宋体" w:cs="宋体"/>
          <w:spacing w:val="-2"/>
          <w:sz w:val="24"/>
          <w:szCs w:val="24"/>
        </w:rPr>
        <w:t>主体工程设置施工场地</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处，主要用于布设标化工地、预</w:t>
      </w:r>
      <w:r>
        <w:rPr>
          <w:rFonts w:ascii="宋体" w:hAnsi="宋体" w:eastAsia="宋体" w:cs="宋体"/>
          <w:spacing w:val="-3"/>
          <w:sz w:val="24"/>
          <w:szCs w:val="24"/>
        </w:rPr>
        <w:t>制场、砼拌合场、</w:t>
      </w:r>
      <w:r>
        <w:rPr>
          <w:rFonts w:ascii="宋体" w:hAnsi="宋体" w:eastAsia="宋体" w:cs="宋体"/>
          <w:sz w:val="24"/>
          <w:szCs w:val="24"/>
        </w:rPr>
        <w:t xml:space="preserve"> </w:t>
      </w:r>
      <w:r>
        <w:rPr>
          <w:rFonts w:ascii="宋体" w:hAnsi="宋体" w:eastAsia="宋体" w:cs="宋体"/>
          <w:spacing w:val="-8"/>
          <w:sz w:val="24"/>
          <w:szCs w:val="24"/>
        </w:rPr>
        <w:t>钢筋加工场、碎石和机制砂场地等。本项目利用景文高速公路</w:t>
      </w:r>
      <w:r>
        <w:rPr>
          <w:rFonts w:ascii="宋体" w:hAnsi="宋体" w:eastAsia="宋体" w:cs="宋体"/>
          <w:spacing w:val="-45"/>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8"/>
          <w:sz w:val="24"/>
          <w:szCs w:val="24"/>
        </w:rPr>
        <w:t>处施工场地，</w:t>
      </w:r>
      <w:r>
        <w:rPr>
          <w:rFonts w:ascii="宋体" w:hAnsi="宋体" w:eastAsia="宋体" w:cs="宋体"/>
          <w:spacing w:val="32"/>
          <w:sz w:val="24"/>
          <w:szCs w:val="24"/>
        </w:rPr>
        <w:t xml:space="preserve"> </w:t>
      </w:r>
      <w:r>
        <w:rPr>
          <w:rFonts w:ascii="宋体" w:hAnsi="宋体" w:eastAsia="宋体" w:cs="宋体"/>
          <w:spacing w:val="-8"/>
          <w:sz w:val="24"/>
          <w:szCs w:val="24"/>
        </w:rPr>
        <w:t>这</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处施工场地在景文高速公路中进行评价并验收。本次对利用的</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2"/>
          <w:sz w:val="24"/>
          <w:szCs w:val="24"/>
        </w:rPr>
        <w:t>处施工场地不</w:t>
      </w:r>
    </w:p>
    <w:p>
      <w:pPr>
        <w:spacing w:line="218" w:lineRule="auto"/>
        <w:ind w:left="452"/>
        <w:rPr>
          <w:rFonts w:ascii="宋体" w:hAnsi="宋体" w:eastAsia="宋体" w:cs="宋体"/>
          <w:sz w:val="24"/>
          <w:szCs w:val="24"/>
        </w:rPr>
      </w:pPr>
      <w:r>
        <w:rPr>
          <w:rFonts w:ascii="宋体" w:hAnsi="宋体" w:eastAsia="宋体" w:cs="宋体"/>
          <w:spacing w:val="-9"/>
          <w:sz w:val="24"/>
          <w:szCs w:val="24"/>
        </w:rPr>
        <w:t>再评价。</w:t>
      </w:r>
    </w:p>
    <w:p>
      <w:pPr>
        <w:spacing w:before="182" w:line="212" w:lineRule="auto"/>
        <w:ind w:left="2612"/>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3.4-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工程临时施工场地布置一览表</w:t>
      </w:r>
    </w:p>
    <w:tbl>
      <w:tblPr>
        <w:tblStyle w:val="5"/>
        <w:tblW w:w="8946" w:type="dxa"/>
        <w:tblInd w:w="1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7"/>
        <w:gridCol w:w="1283"/>
        <w:gridCol w:w="1848"/>
        <w:gridCol w:w="803"/>
        <w:gridCol w:w="1677"/>
        <w:gridCol w:w="1481"/>
        <w:gridCol w:w="14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367" w:type="dxa"/>
            <w:textDirection w:val="tbRlV"/>
            <w:vAlign w:val="top"/>
          </w:tcPr>
          <w:p>
            <w:pPr>
              <w:pStyle w:val="6"/>
              <w:spacing w:before="42" w:line="211" w:lineRule="auto"/>
              <w:ind w:left="58"/>
            </w:pPr>
            <w:r>
              <w:rPr>
                <w:spacing w:val="1"/>
              </w:rPr>
              <w:t>序</w:t>
            </w:r>
            <w:r>
              <w:rPr>
                <w:spacing w:val="-5"/>
              </w:rPr>
              <w:t xml:space="preserve"> </w:t>
            </w:r>
            <w:r>
              <w:rPr>
                <w:spacing w:val="1"/>
              </w:rPr>
              <w:t>号</w:t>
            </w:r>
          </w:p>
        </w:tc>
        <w:tc>
          <w:tcPr>
            <w:tcW w:w="1283" w:type="dxa"/>
            <w:vAlign w:val="top"/>
          </w:tcPr>
          <w:p>
            <w:pPr>
              <w:pStyle w:val="6"/>
              <w:spacing w:before="214" w:line="223" w:lineRule="auto"/>
              <w:ind w:left="437"/>
            </w:pPr>
            <w:r>
              <w:rPr>
                <w:spacing w:val="-3"/>
              </w:rPr>
              <w:t>名称</w:t>
            </w:r>
          </w:p>
        </w:tc>
        <w:tc>
          <w:tcPr>
            <w:tcW w:w="1848" w:type="dxa"/>
            <w:vAlign w:val="top"/>
          </w:tcPr>
          <w:p>
            <w:pPr>
              <w:pStyle w:val="6"/>
              <w:spacing w:before="214" w:line="234" w:lineRule="auto"/>
              <w:ind w:left="480"/>
            </w:pPr>
            <w:r>
              <w:rPr>
                <w:spacing w:val="-2"/>
              </w:rPr>
              <w:t>桩号</w:t>
            </w:r>
            <w:r>
              <w:rPr>
                <w:rFonts w:ascii="Times New Roman" w:hAnsi="Times New Roman" w:eastAsia="Times New Roman" w:cs="Times New Roman"/>
                <w:spacing w:val="-2"/>
              </w:rPr>
              <w:t>/</w:t>
            </w:r>
            <w:r>
              <w:rPr>
                <w:spacing w:val="-2"/>
              </w:rPr>
              <w:t>地点</w:t>
            </w:r>
          </w:p>
        </w:tc>
        <w:tc>
          <w:tcPr>
            <w:tcW w:w="803" w:type="dxa"/>
            <w:vAlign w:val="top"/>
          </w:tcPr>
          <w:p>
            <w:pPr>
              <w:pStyle w:val="6"/>
              <w:spacing w:before="214" w:line="222" w:lineRule="auto"/>
              <w:ind w:left="197"/>
            </w:pPr>
            <w:r>
              <w:rPr>
                <w:spacing w:val="-2"/>
              </w:rPr>
              <w:t>方位</w:t>
            </w:r>
          </w:p>
        </w:tc>
        <w:tc>
          <w:tcPr>
            <w:tcW w:w="1677" w:type="dxa"/>
            <w:vAlign w:val="top"/>
          </w:tcPr>
          <w:p>
            <w:pPr>
              <w:pStyle w:val="6"/>
              <w:spacing w:before="214" w:line="221" w:lineRule="auto"/>
              <w:ind w:left="428"/>
            </w:pPr>
            <w:r>
              <w:rPr>
                <w:spacing w:val="-2"/>
              </w:rPr>
              <w:t>主要功能</w:t>
            </w:r>
          </w:p>
        </w:tc>
        <w:tc>
          <w:tcPr>
            <w:tcW w:w="1481" w:type="dxa"/>
            <w:vAlign w:val="top"/>
          </w:tcPr>
          <w:p>
            <w:pPr>
              <w:pStyle w:val="6"/>
              <w:spacing w:before="214" w:line="221" w:lineRule="auto"/>
              <w:ind w:left="360"/>
            </w:pPr>
            <w:r>
              <w:rPr>
                <w:spacing w:val="-10"/>
              </w:rPr>
              <w:t>占地面积</w:t>
            </w:r>
          </w:p>
        </w:tc>
        <w:tc>
          <w:tcPr>
            <w:tcW w:w="1487" w:type="dxa"/>
            <w:vAlign w:val="top"/>
          </w:tcPr>
          <w:p>
            <w:pPr>
              <w:pStyle w:val="6"/>
              <w:spacing w:before="214" w:line="222" w:lineRule="auto"/>
              <w:ind w:left="540"/>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36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1" w:line="187"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8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8" w:line="261" w:lineRule="auto"/>
              <w:ind w:left="118" w:right="113" w:firstLine="3"/>
              <w:jc w:val="both"/>
            </w:pPr>
            <w:r>
              <w:rPr>
                <w:spacing w:val="-2"/>
              </w:rPr>
              <w:t>景文高速公</w:t>
            </w:r>
            <w:r>
              <w:rPr>
                <w:spacing w:val="1"/>
              </w:rPr>
              <w:t xml:space="preserve"> </w:t>
            </w:r>
            <w:r>
              <w:rPr>
                <w:spacing w:val="-1"/>
              </w:rPr>
              <w:t>路混凝土拌</w:t>
            </w:r>
            <w:r>
              <w:t xml:space="preserve"> </w:t>
            </w:r>
            <w:r>
              <w:rPr>
                <w:spacing w:val="-1"/>
              </w:rPr>
              <w:t>合站（</w:t>
            </w:r>
            <w:r>
              <w:rPr>
                <w:rFonts w:ascii="Times New Roman" w:hAnsi="Times New Roman" w:eastAsia="Times New Roman" w:cs="Times New Roman"/>
                <w:spacing w:val="-1"/>
              </w:rPr>
              <w:t>1#</w:t>
            </w:r>
            <w:r>
              <w:rPr>
                <w:spacing w:val="-1"/>
              </w:rPr>
              <w:t>弃</w:t>
            </w:r>
            <w:r>
              <w:t xml:space="preserve"> </w:t>
            </w:r>
            <w:r>
              <w:rPr>
                <w:spacing w:val="-3"/>
              </w:rPr>
              <w:t>渣场变更）</w:t>
            </w:r>
          </w:p>
        </w:tc>
        <w:tc>
          <w:tcPr>
            <w:tcW w:w="1848" w:type="dxa"/>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8" w:line="221" w:lineRule="auto"/>
              <w:ind w:left="196"/>
            </w:pPr>
            <w:r>
              <w:rPr>
                <w:spacing w:val="-2"/>
              </w:rPr>
              <w:t>西坑互通连接线</w:t>
            </w:r>
          </w:p>
          <w:p>
            <w:pPr>
              <w:spacing w:before="99"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L1K0+500~L1K0</w:t>
            </w:r>
          </w:p>
          <w:p>
            <w:pPr>
              <w:spacing w:before="123" w:line="187" w:lineRule="auto"/>
              <w:ind w:left="7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+650</w:t>
            </w:r>
          </w:p>
        </w:tc>
        <w:tc>
          <w:tcPr>
            <w:tcW w:w="803"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21" w:lineRule="auto"/>
              <w:ind w:left="202"/>
            </w:pPr>
            <w:r>
              <w:rPr>
                <w:spacing w:val="-3"/>
              </w:rPr>
              <w:t>西侧</w:t>
            </w:r>
          </w:p>
        </w:tc>
        <w:tc>
          <w:tcPr>
            <w:tcW w:w="167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8" w:line="256" w:lineRule="auto"/>
              <w:ind w:left="113" w:right="99" w:firstLine="3"/>
            </w:pPr>
            <w:r>
              <w:rPr>
                <w:spacing w:val="-6"/>
              </w:rPr>
              <w:t>混凝土拌合站、</w:t>
            </w:r>
            <w:r>
              <w:rPr>
                <w:spacing w:val="2"/>
              </w:rPr>
              <w:t xml:space="preserve"> </w:t>
            </w:r>
            <w:r>
              <w:rPr>
                <w:spacing w:val="-2"/>
              </w:rPr>
              <w:t>碎石加工场、钢</w:t>
            </w:r>
            <w:r>
              <w:rPr>
                <w:spacing w:val="2"/>
              </w:rPr>
              <w:t xml:space="preserve"> </w:t>
            </w:r>
            <w:r>
              <w:rPr>
                <w:spacing w:val="-13"/>
              </w:rPr>
              <w:t>筋加工场，</w:t>
            </w:r>
            <w:r>
              <w:rPr>
                <w:spacing w:val="-26"/>
              </w:rPr>
              <w:t xml:space="preserve"> </w:t>
            </w:r>
            <w:r>
              <w:rPr>
                <w:spacing w:val="-13"/>
              </w:rPr>
              <w:t>弃渣</w:t>
            </w:r>
          </w:p>
          <w:p>
            <w:pPr>
              <w:pStyle w:val="6"/>
              <w:spacing w:before="60" w:line="218" w:lineRule="auto"/>
              <w:ind w:left="636"/>
            </w:pPr>
            <w:r>
              <w:rPr>
                <w:spacing w:val="-2"/>
              </w:rPr>
              <w:t>填方</w:t>
            </w:r>
          </w:p>
        </w:tc>
        <w:tc>
          <w:tcPr>
            <w:tcW w:w="148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0" w:line="252" w:lineRule="exact"/>
              <w:ind w:left="362"/>
              <w:rPr>
                <w:rFonts w:ascii="Times New Roman" w:hAnsi="Times New Roman" w:eastAsia="Times New Roman" w:cs="Times New Roman"/>
                <w:sz w:val="13"/>
                <w:szCs w:val="13"/>
              </w:rPr>
            </w:pPr>
            <w:r>
              <w:rPr>
                <w:rFonts w:ascii="Times New Roman" w:hAnsi="Times New Roman" w:eastAsia="Times New Roman" w:cs="Times New Roman"/>
                <w:sz w:val="21"/>
                <w:szCs w:val="21"/>
              </w:rPr>
              <w:t>42403m</w:t>
            </w:r>
            <w:r>
              <w:rPr>
                <w:rFonts w:ascii="Times New Roman" w:hAnsi="Times New Roman" w:eastAsia="Times New Roman" w:cs="Times New Roman"/>
                <w:position w:val="6"/>
                <w:sz w:val="13"/>
                <w:szCs w:val="13"/>
              </w:rPr>
              <w:t>2</w:t>
            </w:r>
          </w:p>
        </w:tc>
        <w:tc>
          <w:tcPr>
            <w:tcW w:w="1487" w:type="dxa"/>
            <w:vAlign w:val="top"/>
          </w:tcPr>
          <w:p>
            <w:pPr>
              <w:pStyle w:val="6"/>
              <w:spacing w:before="48" w:line="268" w:lineRule="auto"/>
              <w:ind w:left="118" w:right="109" w:firstLine="2"/>
              <w:jc w:val="both"/>
            </w:pPr>
            <w:r>
              <w:rPr>
                <w:spacing w:val="-2"/>
              </w:rPr>
              <w:t>景文高速公路</w:t>
            </w:r>
            <w:r>
              <w:rPr>
                <w:spacing w:val="1"/>
              </w:rPr>
              <w:t xml:space="preserve"> </w:t>
            </w:r>
            <w:r>
              <w:rPr>
                <w:spacing w:val="-15"/>
              </w:rPr>
              <w:t>建设设置，</w:t>
            </w:r>
            <w:r>
              <w:rPr>
                <w:spacing w:val="-22"/>
              </w:rPr>
              <w:t xml:space="preserve"> </w:t>
            </w:r>
            <w:r>
              <w:rPr>
                <w:spacing w:val="-15"/>
              </w:rPr>
              <w:t>连</w:t>
            </w:r>
            <w:r>
              <w:t xml:space="preserve"> </w:t>
            </w:r>
            <w:r>
              <w:rPr>
                <w:spacing w:val="20"/>
              </w:rPr>
              <w:t>接线同步利</w:t>
            </w:r>
            <w:r>
              <w:t xml:space="preserve">  </w:t>
            </w:r>
            <w:r>
              <w:rPr>
                <w:spacing w:val="-2"/>
              </w:rPr>
              <w:t>用。临时用地</w:t>
            </w:r>
            <w:r>
              <w:rPr>
                <w:spacing w:val="4"/>
              </w:rPr>
              <w:t xml:space="preserve"> </w:t>
            </w:r>
            <w:r>
              <w:rPr>
                <w:spacing w:val="-2"/>
              </w:rPr>
              <w:t>经过文成县自</w:t>
            </w:r>
            <w:r>
              <w:rPr>
                <w:spacing w:val="4"/>
              </w:rPr>
              <w:t xml:space="preserve"> </w:t>
            </w:r>
            <w:r>
              <w:rPr>
                <w:spacing w:val="-2"/>
              </w:rPr>
              <w:t>然资源和资规</w:t>
            </w:r>
            <w:r>
              <w:rPr>
                <w:spacing w:val="4"/>
              </w:rPr>
              <w:t xml:space="preserve"> </w:t>
            </w:r>
            <w:r>
              <w:rPr>
                <w:spacing w:val="-2"/>
              </w:rPr>
              <w:t>局审批，现阶</w:t>
            </w:r>
            <w:r>
              <w:rPr>
                <w:spacing w:val="4"/>
              </w:rPr>
              <w:t xml:space="preserve"> </w:t>
            </w:r>
            <w:r>
              <w:rPr>
                <w:spacing w:val="-2"/>
              </w:rPr>
              <w:t>段已变更为弃</w:t>
            </w:r>
          </w:p>
          <w:p>
            <w:pPr>
              <w:pStyle w:val="6"/>
              <w:spacing w:before="61" w:line="221" w:lineRule="auto"/>
              <w:ind w:left="432"/>
            </w:pPr>
            <w:r>
              <w:rPr>
                <w:spacing w:val="-8"/>
              </w:rPr>
              <w:t>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36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0" w:line="187" w:lineRule="auto"/>
              <w:ind w:left="13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83"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9" w:line="261" w:lineRule="auto"/>
              <w:ind w:left="119" w:right="113" w:firstLine="2"/>
              <w:jc w:val="both"/>
            </w:pPr>
            <w:r>
              <w:rPr>
                <w:spacing w:val="-2"/>
              </w:rPr>
              <w:t>景文高速公</w:t>
            </w:r>
            <w:r>
              <w:rPr>
                <w:spacing w:val="1"/>
              </w:rPr>
              <w:t xml:space="preserve"> </w:t>
            </w:r>
            <w:r>
              <w:rPr>
                <w:spacing w:val="-2"/>
              </w:rPr>
              <w:t>路沥青拌合</w:t>
            </w:r>
            <w:r>
              <w:rPr>
                <w:spacing w:val="3"/>
              </w:rPr>
              <w:t xml:space="preserve"> </w:t>
            </w:r>
            <w:r>
              <w:rPr>
                <w:spacing w:val="-1"/>
              </w:rPr>
              <w:t>站（</w:t>
            </w:r>
            <w:r>
              <w:rPr>
                <w:rFonts w:ascii="Times New Roman" w:hAnsi="Times New Roman" w:eastAsia="Times New Roman" w:cs="Times New Roman"/>
                <w:spacing w:val="-1"/>
              </w:rPr>
              <w:t>2#</w:t>
            </w:r>
            <w:r>
              <w:rPr>
                <w:spacing w:val="-1"/>
              </w:rPr>
              <w:t>弃渣</w:t>
            </w:r>
            <w:r>
              <w:t xml:space="preserve"> </w:t>
            </w:r>
            <w:r>
              <w:rPr>
                <w:spacing w:val="25"/>
              </w:rPr>
              <w:t>场变更）</w:t>
            </w:r>
          </w:p>
        </w:tc>
        <w:tc>
          <w:tcPr>
            <w:tcW w:w="1848"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8" w:line="221" w:lineRule="auto"/>
              <w:ind w:left="196"/>
            </w:pPr>
            <w:r>
              <w:rPr>
                <w:spacing w:val="-2"/>
              </w:rPr>
              <w:t>西坑互通连接线</w:t>
            </w:r>
          </w:p>
          <w:p>
            <w:pPr>
              <w:spacing w:before="99"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L2K0+280~L2K0</w:t>
            </w:r>
          </w:p>
          <w:p>
            <w:pPr>
              <w:spacing w:before="124" w:line="187" w:lineRule="auto"/>
              <w:ind w:left="7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803"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21" w:lineRule="auto"/>
              <w:ind w:left="200"/>
            </w:pPr>
            <w:r>
              <w:rPr>
                <w:spacing w:val="-3"/>
              </w:rPr>
              <w:t>北侧</w:t>
            </w:r>
          </w:p>
        </w:tc>
        <w:tc>
          <w:tcPr>
            <w:tcW w:w="1677"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8" w:line="221" w:lineRule="auto"/>
              <w:ind w:left="117"/>
            </w:pPr>
            <w:r>
              <w:rPr>
                <w:spacing w:val="-3"/>
              </w:rPr>
              <w:t>弃渣场、碎石加</w:t>
            </w:r>
          </w:p>
          <w:p>
            <w:pPr>
              <w:pStyle w:val="6"/>
              <w:spacing w:before="61" w:line="249" w:lineRule="auto"/>
              <w:ind w:left="740" w:right="202" w:hanging="523"/>
            </w:pPr>
            <w:r>
              <w:rPr>
                <w:spacing w:val="-2"/>
              </w:rPr>
              <w:t>工及沥青拌合</w:t>
            </w:r>
            <w:r>
              <w:rPr>
                <w:spacing w:val="2"/>
              </w:rPr>
              <w:t xml:space="preserve"> </w:t>
            </w:r>
            <w:r>
              <w:t>站</w:t>
            </w:r>
          </w:p>
        </w:tc>
        <w:tc>
          <w:tcPr>
            <w:tcW w:w="148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60" w:line="253" w:lineRule="exact"/>
              <w:ind w:left="367"/>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31256m</w:t>
            </w:r>
            <w:r>
              <w:rPr>
                <w:rFonts w:ascii="Times New Roman" w:hAnsi="Times New Roman" w:eastAsia="Times New Roman" w:cs="Times New Roman"/>
                <w:spacing w:val="-1"/>
                <w:position w:val="6"/>
                <w:sz w:val="13"/>
                <w:szCs w:val="13"/>
              </w:rPr>
              <w:t>2</w:t>
            </w:r>
          </w:p>
        </w:tc>
        <w:tc>
          <w:tcPr>
            <w:tcW w:w="1487" w:type="dxa"/>
            <w:vAlign w:val="top"/>
          </w:tcPr>
          <w:p>
            <w:pPr>
              <w:pStyle w:val="6"/>
              <w:spacing w:before="50" w:line="268" w:lineRule="auto"/>
              <w:ind w:left="118" w:right="109" w:firstLine="2"/>
              <w:jc w:val="both"/>
            </w:pPr>
            <w:r>
              <w:rPr>
                <w:spacing w:val="-2"/>
              </w:rPr>
              <w:t>景文高速公路</w:t>
            </w:r>
            <w:r>
              <w:rPr>
                <w:spacing w:val="1"/>
              </w:rPr>
              <w:t xml:space="preserve"> </w:t>
            </w:r>
            <w:r>
              <w:rPr>
                <w:spacing w:val="-15"/>
              </w:rPr>
              <w:t>建设设置，</w:t>
            </w:r>
            <w:r>
              <w:rPr>
                <w:spacing w:val="-22"/>
              </w:rPr>
              <w:t xml:space="preserve"> </w:t>
            </w:r>
            <w:r>
              <w:rPr>
                <w:spacing w:val="-15"/>
              </w:rPr>
              <w:t>连</w:t>
            </w:r>
            <w:r>
              <w:t xml:space="preserve"> </w:t>
            </w:r>
            <w:r>
              <w:rPr>
                <w:spacing w:val="20"/>
              </w:rPr>
              <w:t>接线同步利</w:t>
            </w:r>
            <w:r>
              <w:t xml:space="preserve">  </w:t>
            </w:r>
            <w:r>
              <w:rPr>
                <w:spacing w:val="-2"/>
              </w:rPr>
              <w:t>用。临时用地</w:t>
            </w:r>
            <w:r>
              <w:rPr>
                <w:spacing w:val="4"/>
              </w:rPr>
              <w:t xml:space="preserve"> </w:t>
            </w:r>
            <w:r>
              <w:rPr>
                <w:spacing w:val="-2"/>
              </w:rPr>
              <w:t>经过文成县自</w:t>
            </w:r>
            <w:r>
              <w:rPr>
                <w:spacing w:val="4"/>
              </w:rPr>
              <w:t xml:space="preserve"> </w:t>
            </w:r>
            <w:r>
              <w:rPr>
                <w:spacing w:val="-2"/>
              </w:rPr>
              <w:t>然资源和资规</w:t>
            </w:r>
            <w:r>
              <w:rPr>
                <w:spacing w:val="4"/>
              </w:rPr>
              <w:t xml:space="preserve"> </w:t>
            </w:r>
            <w:r>
              <w:rPr>
                <w:spacing w:val="-2"/>
              </w:rPr>
              <w:t>局审批，现阶</w:t>
            </w:r>
            <w:r>
              <w:rPr>
                <w:spacing w:val="4"/>
              </w:rPr>
              <w:t xml:space="preserve"> </w:t>
            </w:r>
            <w:r>
              <w:rPr>
                <w:spacing w:val="-2"/>
              </w:rPr>
              <w:t>段已变更为弃</w:t>
            </w:r>
          </w:p>
          <w:p>
            <w:pPr>
              <w:pStyle w:val="6"/>
              <w:spacing w:before="61" w:line="220" w:lineRule="auto"/>
              <w:ind w:left="432"/>
            </w:pPr>
            <w:r>
              <w:rPr>
                <w:spacing w:val="-8"/>
              </w:rPr>
              <w:t>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367" w:type="dxa"/>
            <w:vAlign w:val="top"/>
          </w:tcPr>
          <w:p>
            <w:pPr>
              <w:spacing w:before="250" w:line="187" w:lineRule="auto"/>
              <w:ind w:left="135"/>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283" w:type="dxa"/>
            <w:vAlign w:val="top"/>
          </w:tcPr>
          <w:p>
            <w:pPr>
              <w:pStyle w:val="6"/>
              <w:spacing w:before="211" w:line="248" w:lineRule="auto"/>
              <w:ind w:left="128" w:right="113" w:hanging="2"/>
            </w:pPr>
            <w:r>
              <w:rPr>
                <w:spacing w:val="-3"/>
              </w:rPr>
              <w:t>百丈隧道临</w:t>
            </w:r>
            <w:r>
              <w:rPr>
                <w:spacing w:val="2"/>
              </w:rPr>
              <w:t xml:space="preserve"> </w:t>
            </w:r>
            <w:r>
              <w:rPr>
                <w:spacing w:val="-3"/>
              </w:rPr>
              <w:t>时施工场地</w:t>
            </w:r>
          </w:p>
        </w:tc>
        <w:tc>
          <w:tcPr>
            <w:tcW w:w="1848" w:type="dxa"/>
            <w:vAlign w:val="top"/>
          </w:tcPr>
          <w:p>
            <w:pPr>
              <w:pStyle w:val="6"/>
              <w:spacing w:before="55" w:line="221" w:lineRule="auto"/>
              <w:ind w:left="196"/>
            </w:pPr>
            <w:r>
              <w:rPr>
                <w:spacing w:val="-2"/>
              </w:rPr>
              <w:t>西坑互通连接线</w:t>
            </w:r>
          </w:p>
          <w:p>
            <w:pPr>
              <w:pStyle w:val="6"/>
              <w:spacing w:before="60" w:line="221" w:lineRule="auto"/>
              <w:ind w:left="304"/>
            </w:pPr>
            <w:r>
              <w:rPr>
                <w:spacing w:val="-2"/>
              </w:rPr>
              <w:t>百丈隧道终点</w:t>
            </w:r>
          </w:p>
          <w:p>
            <w:pPr>
              <w:spacing w:before="99" w:line="187" w:lineRule="auto"/>
              <w:ind w:left="4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L1K6+140</w:t>
            </w:r>
          </w:p>
        </w:tc>
        <w:tc>
          <w:tcPr>
            <w:tcW w:w="803" w:type="dxa"/>
            <w:vAlign w:val="top"/>
          </w:tcPr>
          <w:p>
            <w:pPr>
              <w:spacing w:line="297" w:lineRule="auto"/>
              <w:rPr>
                <w:rFonts w:ascii="Arial"/>
                <w:sz w:val="21"/>
              </w:rPr>
            </w:pPr>
          </w:p>
          <w:p>
            <w:pPr>
              <w:pStyle w:val="6"/>
              <w:spacing w:before="68" w:line="221" w:lineRule="auto"/>
              <w:ind w:left="200"/>
            </w:pPr>
            <w:r>
              <w:rPr>
                <w:spacing w:val="-3"/>
              </w:rPr>
              <w:t>北侧</w:t>
            </w:r>
          </w:p>
        </w:tc>
        <w:tc>
          <w:tcPr>
            <w:tcW w:w="1677" w:type="dxa"/>
            <w:vAlign w:val="top"/>
          </w:tcPr>
          <w:p>
            <w:pPr>
              <w:pStyle w:val="6"/>
              <w:spacing w:before="211" w:line="249" w:lineRule="auto"/>
              <w:ind w:left="635" w:right="99" w:hanging="523"/>
            </w:pPr>
            <w:r>
              <w:rPr>
                <w:spacing w:val="-2"/>
              </w:rPr>
              <w:t>钢筋加工场、拌</w:t>
            </w:r>
            <w:r>
              <w:rPr>
                <w:spacing w:val="3"/>
              </w:rPr>
              <w:t xml:space="preserve"> </w:t>
            </w:r>
            <w:r>
              <w:rPr>
                <w:spacing w:val="-2"/>
              </w:rPr>
              <w:t>合站</w:t>
            </w:r>
          </w:p>
        </w:tc>
        <w:tc>
          <w:tcPr>
            <w:tcW w:w="1481" w:type="dxa"/>
            <w:vAlign w:val="top"/>
          </w:tcPr>
          <w:p>
            <w:pPr>
              <w:spacing w:line="323" w:lineRule="auto"/>
              <w:rPr>
                <w:rFonts w:ascii="Arial"/>
                <w:sz w:val="21"/>
              </w:rPr>
            </w:pPr>
          </w:p>
          <w:p>
            <w:pPr>
              <w:spacing w:before="60" w:line="208" w:lineRule="auto"/>
              <w:ind w:left="383"/>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14882m</w:t>
            </w:r>
            <w:r>
              <w:rPr>
                <w:rFonts w:ascii="Times New Roman" w:hAnsi="Times New Roman" w:eastAsia="Times New Roman" w:cs="Times New Roman"/>
                <w:spacing w:val="-3"/>
                <w:position w:val="6"/>
                <w:sz w:val="13"/>
                <w:szCs w:val="13"/>
              </w:rPr>
              <w:t>2</w:t>
            </w:r>
          </w:p>
        </w:tc>
        <w:tc>
          <w:tcPr>
            <w:tcW w:w="1487" w:type="dxa"/>
            <w:vAlign w:val="top"/>
          </w:tcPr>
          <w:p>
            <w:pPr>
              <w:pStyle w:val="6"/>
              <w:spacing w:before="56" w:line="255" w:lineRule="auto"/>
              <w:ind w:left="224" w:right="157" w:hanging="106"/>
              <w:jc w:val="right"/>
            </w:pPr>
            <w:r>
              <w:rPr>
                <w:spacing w:val="-10"/>
              </w:rPr>
              <w:t>本项目设置，</w:t>
            </w:r>
            <w:r>
              <w:rPr>
                <w:spacing w:val="4"/>
              </w:rPr>
              <w:t xml:space="preserve"> </w:t>
            </w:r>
            <w:r>
              <w:rPr>
                <w:spacing w:val="-2"/>
              </w:rPr>
              <w:t>文资规临字</w:t>
            </w:r>
            <w:r>
              <w:rPr>
                <w:spacing w:val="2"/>
              </w:rPr>
              <w:t xml:space="preserve"> </w:t>
            </w:r>
            <w:r>
              <w:rPr>
                <w:rFonts w:ascii="Times New Roman" w:hAnsi="Times New Roman" w:eastAsia="Times New Roman" w:cs="Times New Roman"/>
                <w:spacing w:val="-2"/>
              </w:rPr>
              <w:t>[2019]21</w:t>
            </w:r>
            <w:r>
              <w:rPr>
                <w:rFonts w:ascii="Times New Roman" w:hAnsi="Times New Roman" w:eastAsia="Times New Roman" w:cs="Times New Roman"/>
                <w:spacing w:val="13"/>
                <w:w w:val="101"/>
              </w:rPr>
              <w:t xml:space="preserve"> </w:t>
            </w:r>
            <w:r>
              <w:rPr>
                <w:spacing w:val="-2"/>
              </w:rPr>
              <w:t>号</w:t>
            </w:r>
          </w:p>
        </w:tc>
      </w:tr>
    </w:tbl>
    <w:p>
      <w:pPr>
        <w:spacing w:before="115" w:line="220" w:lineRule="auto"/>
        <w:ind w:left="866"/>
        <w:rPr>
          <w:rFonts w:ascii="宋体" w:hAnsi="宋体" w:eastAsia="宋体" w:cs="宋体"/>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、施工便道</w:t>
      </w:r>
    </w:p>
    <w:p>
      <w:pPr>
        <w:spacing w:before="182" w:line="469" w:lineRule="exact"/>
        <w:ind w:left="937"/>
        <w:rPr>
          <w:rFonts w:ascii="宋体" w:hAnsi="宋体" w:eastAsia="宋体" w:cs="宋体"/>
          <w:sz w:val="24"/>
          <w:szCs w:val="24"/>
        </w:rPr>
      </w:pPr>
      <w:r>
        <w:rPr>
          <w:rFonts w:ascii="宋体" w:hAnsi="宋体" w:eastAsia="宋体" w:cs="宋体"/>
          <w:spacing w:val="-5"/>
          <w:position w:val="17"/>
          <w:sz w:val="24"/>
          <w:szCs w:val="24"/>
        </w:rPr>
        <w:t>项目便道施工以贯彻落实</w:t>
      </w:r>
      <w:r>
        <w:rPr>
          <w:rFonts w:ascii="Times New Roman" w:hAnsi="Times New Roman" w:eastAsia="Times New Roman" w:cs="Times New Roman"/>
          <w:spacing w:val="-5"/>
          <w:position w:val="17"/>
          <w:sz w:val="24"/>
          <w:szCs w:val="24"/>
        </w:rPr>
        <w:t>“</w:t>
      </w:r>
      <w:r>
        <w:rPr>
          <w:rFonts w:ascii="宋体" w:hAnsi="宋体" w:eastAsia="宋体" w:cs="宋体"/>
          <w:spacing w:val="-5"/>
          <w:position w:val="17"/>
          <w:sz w:val="24"/>
          <w:szCs w:val="24"/>
        </w:rPr>
        <w:t>永临结合</w:t>
      </w:r>
      <w:r>
        <w:rPr>
          <w:rFonts w:ascii="Times New Roman" w:hAnsi="Times New Roman" w:eastAsia="Times New Roman" w:cs="Times New Roman"/>
          <w:spacing w:val="-5"/>
          <w:position w:val="17"/>
          <w:sz w:val="24"/>
          <w:szCs w:val="24"/>
        </w:rPr>
        <w:t>”</w:t>
      </w:r>
      <w:r>
        <w:rPr>
          <w:rFonts w:ascii="宋体" w:hAnsi="宋体" w:eastAsia="宋体" w:cs="宋体"/>
          <w:spacing w:val="-5"/>
          <w:position w:val="17"/>
          <w:sz w:val="24"/>
          <w:szCs w:val="24"/>
        </w:rPr>
        <w:t>施工理念为原则，</w:t>
      </w:r>
      <w:r>
        <w:rPr>
          <w:rFonts w:ascii="宋体" w:hAnsi="宋体" w:eastAsia="宋体" w:cs="宋体"/>
          <w:spacing w:val="-32"/>
          <w:position w:val="17"/>
          <w:sz w:val="24"/>
          <w:szCs w:val="24"/>
        </w:rPr>
        <w:t xml:space="preserve"> </w:t>
      </w:r>
      <w:r>
        <w:rPr>
          <w:rFonts w:ascii="宋体" w:hAnsi="宋体" w:eastAsia="宋体" w:cs="宋体"/>
          <w:spacing w:val="-5"/>
          <w:position w:val="17"/>
          <w:sz w:val="24"/>
          <w:szCs w:val="24"/>
        </w:rPr>
        <w:t>充分利用地方道路进</w:t>
      </w:r>
    </w:p>
    <w:p>
      <w:pPr>
        <w:spacing w:before="1" w:line="218" w:lineRule="auto"/>
        <w:ind w:left="449"/>
        <w:rPr>
          <w:rFonts w:ascii="宋体" w:hAnsi="宋体" w:eastAsia="宋体" w:cs="宋体"/>
          <w:sz w:val="24"/>
          <w:szCs w:val="24"/>
        </w:rPr>
      </w:pPr>
      <w:r>
        <w:rPr>
          <w:rFonts w:ascii="宋体" w:hAnsi="宋体" w:eastAsia="宋体" w:cs="宋体"/>
          <w:spacing w:val="-5"/>
          <w:sz w:val="24"/>
          <w:szCs w:val="24"/>
        </w:rPr>
        <w:t>场，</w:t>
      </w:r>
      <w:r>
        <w:rPr>
          <w:rFonts w:ascii="宋体" w:hAnsi="宋体" w:eastAsia="宋体" w:cs="宋体"/>
          <w:spacing w:val="-49"/>
          <w:sz w:val="24"/>
          <w:szCs w:val="24"/>
        </w:rPr>
        <w:t xml:space="preserve"> </w:t>
      </w:r>
      <w:r>
        <w:rPr>
          <w:rFonts w:ascii="宋体" w:hAnsi="宋体" w:eastAsia="宋体" w:cs="宋体"/>
          <w:spacing w:val="-5"/>
          <w:sz w:val="24"/>
          <w:szCs w:val="24"/>
        </w:rPr>
        <w:t>局部进行拓宽或修筑加宽交汇点。同时尽可能考虑在红线范围内修筑。山区</w:t>
      </w:r>
    </w:p>
    <w:p>
      <w:pPr>
        <w:spacing w:line="218" w:lineRule="auto"/>
        <w:rPr>
          <w:rFonts w:ascii="宋体" w:hAnsi="宋体" w:eastAsia="宋体" w:cs="宋体"/>
          <w:sz w:val="24"/>
          <w:szCs w:val="24"/>
        </w:rPr>
        <w:sectPr>
          <w:pgSz w:w="11907" w:h="16839"/>
          <w:pgMar w:top="1118" w:right="1356" w:bottom="1184" w:left="1358" w:header="879" w:footer="1024" w:gutter="0"/>
          <w:cols w:space="720" w:num="1"/>
        </w:sectPr>
      </w:pPr>
    </w:p>
    <w:p>
      <w:pPr>
        <w:pStyle w:val="2"/>
        <w:spacing w:line="357" w:lineRule="auto"/>
      </w:pPr>
    </w:p>
    <w:p>
      <w:pPr>
        <w:spacing w:before="78" w:line="468" w:lineRule="exact"/>
        <w:ind w:left="131"/>
        <w:rPr>
          <w:rFonts w:ascii="宋体" w:hAnsi="宋体" w:eastAsia="宋体" w:cs="宋体"/>
          <w:sz w:val="24"/>
          <w:szCs w:val="24"/>
        </w:rPr>
      </w:pPr>
      <w:r>
        <w:rPr>
          <w:rFonts w:ascii="宋体" w:hAnsi="宋体" w:eastAsia="宋体" w:cs="宋体"/>
          <w:spacing w:val="-15"/>
          <w:position w:val="17"/>
          <w:sz w:val="24"/>
          <w:szCs w:val="24"/>
        </w:rPr>
        <w:t>地势崎岖， 施工便道多为连续上坡或下坡，</w:t>
      </w:r>
      <w:r>
        <w:rPr>
          <w:rFonts w:ascii="宋体" w:hAnsi="宋体" w:eastAsia="宋体" w:cs="宋体"/>
          <w:spacing w:val="43"/>
          <w:position w:val="17"/>
          <w:sz w:val="24"/>
          <w:szCs w:val="24"/>
        </w:rPr>
        <w:t xml:space="preserve"> </w:t>
      </w:r>
      <w:r>
        <w:rPr>
          <w:rFonts w:ascii="宋体" w:hAnsi="宋体" w:eastAsia="宋体" w:cs="宋体"/>
          <w:spacing w:val="-15"/>
          <w:position w:val="17"/>
          <w:sz w:val="24"/>
          <w:szCs w:val="24"/>
        </w:rPr>
        <w:t>考虑车辆行驶安全，</w:t>
      </w:r>
      <w:r>
        <w:rPr>
          <w:rFonts w:ascii="宋体" w:hAnsi="宋体" w:eastAsia="宋体" w:cs="宋体"/>
          <w:spacing w:val="34"/>
          <w:position w:val="17"/>
          <w:sz w:val="24"/>
          <w:szCs w:val="24"/>
        </w:rPr>
        <w:t xml:space="preserve"> </w:t>
      </w:r>
      <w:r>
        <w:rPr>
          <w:rFonts w:ascii="宋体" w:hAnsi="宋体" w:eastAsia="宋体" w:cs="宋体"/>
          <w:spacing w:val="-15"/>
          <w:position w:val="17"/>
          <w:sz w:val="24"/>
          <w:szCs w:val="24"/>
        </w:rPr>
        <w:t>部分便道需进行</w:t>
      </w:r>
    </w:p>
    <w:p>
      <w:pPr>
        <w:spacing w:before="1" w:line="220" w:lineRule="auto"/>
        <w:ind w:left="131"/>
        <w:rPr>
          <w:rFonts w:ascii="宋体" w:hAnsi="宋体" w:eastAsia="宋体" w:cs="宋体"/>
          <w:sz w:val="24"/>
          <w:szCs w:val="24"/>
        </w:rPr>
      </w:pPr>
      <w:r>
        <w:rPr>
          <w:rFonts w:ascii="宋体" w:hAnsi="宋体" w:eastAsia="宋体" w:cs="宋体"/>
          <w:spacing w:val="-8"/>
          <w:sz w:val="24"/>
          <w:szCs w:val="24"/>
        </w:rPr>
        <w:t>硬化处理。</w:t>
      </w:r>
    </w:p>
    <w:p>
      <w:pPr>
        <w:spacing w:before="181" w:line="360" w:lineRule="auto"/>
        <w:ind w:left="131" w:right="56" w:firstLine="478"/>
        <w:jc w:val="both"/>
        <w:rPr>
          <w:rFonts w:ascii="宋体" w:hAnsi="宋体" w:eastAsia="宋体" w:cs="宋体"/>
          <w:sz w:val="24"/>
          <w:szCs w:val="24"/>
        </w:rPr>
      </w:pPr>
      <w:r>
        <w:rPr>
          <w:rFonts w:ascii="宋体" w:hAnsi="宋体" w:eastAsia="宋体" w:cs="宋体"/>
          <w:spacing w:val="-8"/>
          <w:sz w:val="24"/>
          <w:szCs w:val="24"/>
        </w:rPr>
        <w:t>施工便道路面宽度按照</w:t>
      </w:r>
      <w:r>
        <w:rPr>
          <w:rFonts w:ascii="宋体" w:hAnsi="宋体" w:eastAsia="宋体" w:cs="宋体"/>
          <w:spacing w:val="-48"/>
          <w:sz w:val="24"/>
          <w:szCs w:val="24"/>
        </w:rPr>
        <w:t xml:space="preserve"> </w:t>
      </w:r>
      <w:r>
        <w:rPr>
          <w:rFonts w:ascii="Times New Roman" w:hAnsi="Times New Roman" w:eastAsia="Times New Roman" w:cs="Times New Roman"/>
          <w:spacing w:val="-8"/>
          <w:sz w:val="24"/>
          <w:szCs w:val="24"/>
        </w:rPr>
        <w:t>4.5m</w:t>
      </w:r>
      <w:r>
        <w:rPr>
          <w:rFonts w:ascii="宋体" w:hAnsi="宋体" w:eastAsia="宋体" w:cs="宋体"/>
          <w:spacing w:val="-8"/>
          <w:sz w:val="24"/>
          <w:szCs w:val="24"/>
        </w:rPr>
        <w:t>，曲线或地形复杂地段适当加宽，</w:t>
      </w:r>
      <w:r>
        <w:rPr>
          <w:rFonts w:ascii="宋体" w:hAnsi="宋体" w:eastAsia="宋体" w:cs="宋体"/>
          <w:spacing w:val="45"/>
          <w:sz w:val="24"/>
          <w:szCs w:val="24"/>
        </w:rPr>
        <w:t xml:space="preserve"> </w:t>
      </w:r>
      <w:r>
        <w:rPr>
          <w:rFonts w:ascii="宋体" w:hAnsi="宋体" w:eastAsia="宋体" w:cs="宋体"/>
          <w:spacing w:val="-8"/>
          <w:sz w:val="24"/>
          <w:szCs w:val="24"/>
        </w:rPr>
        <w:t>作为错车道，</w:t>
      </w:r>
      <w:r>
        <w:rPr>
          <w:rFonts w:ascii="宋体" w:hAnsi="宋体" w:eastAsia="宋体" w:cs="宋体"/>
          <w:sz w:val="24"/>
          <w:szCs w:val="24"/>
        </w:rPr>
        <w:t xml:space="preserve"> </w:t>
      </w:r>
      <w:r>
        <w:rPr>
          <w:rFonts w:ascii="宋体" w:hAnsi="宋体" w:eastAsia="宋体" w:cs="宋体"/>
          <w:spacing w:val="-7"/>
          <w:sz w:val="24"/>
          <w:szCs w:val="24"/>
        </w:rPr>
        <w:t>并每隔</w:t>
      </w:r>
      <w:r>
        <w:rPr>
          <w:rFonts w:ascii="宋体" w:hAnsi="宋体" w:eastAsia="宋体" w:cs="宋体"/>
          <w:spacing w:val="-33"/>
          <w:sz w:val="24"/>
          <w:szCs w:val="24"/>
        </w:rPr>
        <w:t xml:space="preserve"> </w:t>
      </w:r>
      <w:r>
        <w:rPr>
          <w:rFonts w:ascii="Times New Roman" w:hAnsi="Times New Roman" w:eastAsia="Times New Roman" w:cs="Times New Roman"/>
          <w:spacing w:val="-7"/>
          <w:sz w:val="24"/>
          <w:szCs w:val="24"/>
        </w:rPr>
        <w:t xml:space="preserve">500m </w:t>
      </w:r>
      <w:r>
        <w:rPr>
          <w:rFonts w:ascii="宋体" w:hAnsi="宋体" w:eastAsia="宋体" w:cs="宋体"/>
          <w:spacing w:val="-7"/>
          <w:sz w:val="24"/>
          <w:szCs w:val="24"/>
        </w:rPr>
        <w:t>左右的适当位置设置会车道， 会车道宽度</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6.5m</w:t>
      </w:r>
      <w:r>
        <w:rPr>
          <w:rFonts w:ascii="宋体" w:hAnsi="宋体" w:eastAsia="宋体" w:cs="宋体"/>
          <w:spacing w:val="-7"/>
          <w:sz w:val="24"/>
          <w:szCs w:val="24"/>
        </w:rPr>
        <w:t>，长度</w:t>
      </w:r>
      <w:r>
        <w:rPr>
          <w:rFonts w:ascii="宋体" w:hAnsi="宋体" w:eastAsia="宋体" w:cs="宋体"/>
          <w:spacing w:val="-54"/>
          <w:sz w:val="24"/>
          <w:szCs w:val="24"/>
        </w:rPr>
        <w:t xml:space="preserve"> </w:t>
      </w:r>
      <w:r>
        <w:rPr>
          <w:rFonts w:ascii="Times New Roman" w:hAnsi="Times New Roman" w:eastAsia="Times New Roman" w:cs="Times New Roman"/>
          <w:spacing w:val="-7"/>
          <w:sz w:val="24"/>
          <w:szCs w:val="24"/>
        </w:rPr>
        <w:t>20m</w:t>
      </w:r>
      <w:r>
        <w:rPr>
          <w:rFonts w:ascii="宋体" w:hAnsi="宋体" w:eastAsia="宋体" w:cs="宋体"/>
          <w:spacing w:val="-7"/>
          <w:sz w:val="24"/>
          <w:szCs w:val="24"/>
        </w:rPr>
        <w:t>，其路面</w:t>
      </w:r>
      <w:r>
        <w:rPr>
          <w:rFonts w:ascii="宋体" w:hAnsi="宋体" w:eastAsia="宋体" w:cs="宋体"/>
          <w:sz w:val="24"/>
          <w:szCs w:val="24"/>
        </w:rPr>
        <w:t xml:space="preserve"> </w:t>
      </w:r>
      <w:r>
        <w:rPr>
          <w:rFonts w:ascii="宋体" w:hAnsi="宋体" w:eastAsia="宋体" w:cs="宋体"/>
          <w:spacing w:val="-2"/>
          <w:sz w:val="24"/>
          <w:szCs w:val="24"/>
        </w:rPr>
        <w:t>结构为水泥</w:t>
      </w:r>
      <w:r>
        <w:rPr>
          <w:rFonts w:hint="eastAsia" w:ascii="宋体" w:hAnsi="宋体" w:eastAsia="宋体" w:cs="宋体"/>
          <w:spacing w:val="-2"/>
          <w:sz w:val="24"/>
          <w:szCs w:val="24"/>
          <w:lang w:eastAsia="zh-CN"/>
        </w:rPr>
        <w:t>混凝土</w:t>
      </w:r>
      <w:r>
        <w:rPr>
          <w:rFonts w:ascii="宋体" w:hAnsi="宋体" w:eastAsia="宋体" w:cs="宋体"/>
          <w:spacing w:val="-2"/>
          <w:sz w:val="24"/>
          <w:szCs w:val="24"/>
        </w:rPr>
        <w:t xml:space="preserve">路面厚度 </w:t>
      </w:r>
      <w:r>
        <w:rPr>
          <w:rFonts w:ascii="Times New Roman" w:hAnsi="Times New Roman" w:eastAsia="Times New Roman" w:cs="Times New Roman"/>
          <w:spacing w:val="-2"/>
          <w:sz w:val="24"/>
          <w:szCs w:val="24"/>
        </w:rPr>
        <w:t>18cm</w:t>
      </w:r>
      <w:r>
        <w:rPr>
          <w:rFonts w:ascii="宋体" w:hAnsi="宋体" w:eastAsia="宋体" w:cs="宋体"/>
          <w:spacing w:val="-2"/>
          <w:sz w:val="24"/>
          <w:szCs w:val="24"/>
        </w:rPr>
        <w:t xml:space="preserve">，便道设置满足视距要求，设计行车速度不小 </w:t>
      </w:r>
      <w:r>
        <w:rPr>
          <w:rFonts w:ascii="宋体" w:hAnsi="宋体" w:eastAsia="宋体" w:cs="宋体"/>
          <w:spacing w:val="-10"/>
          <w:sz w:val="24"/>
          <w:szCs w:val="24"/>
        </w:rPr>
        <w:t>于</w:t>
      </w:r>
      <w:r>
        <w:rPr>
          <w:rFonts w:ascii="宋体" w:hAnsi="宋体" w:eastAsia="宋体" w:cs="宋体"/>
          <w:spacing w:val="-38"/>
          <w:sz w:val="24"/>
          <w:szCs w:val="24"/>
        </w:rPr>
        <w:t xml:space="preserve"> </w:t>
      </w:r>
      <w:r>
        <w:rPr>
          <w:rFonts w:ascii="Times New Roman" w:hAnsi="Times New Roman" w:eastAsia="Times New Roman" w:cs="Times New Roman"/>
          <w:spacing w:val="-10"/>
          <w:sz w:val="24"/>
          <w:szCs w:val="24"/>
        </w:rPr>
        <w:t>35km/h</w:t>
      </w:r>
      <w:r>
        <w:rPr>
          <w:rFonts w:ascii="宋体" w:hAnsi="宋体" w:eastAsia="宋体" w:cs="宋体"/>
          <w:spacing w:val="-10"/>
          <w:sz w:val="24"/>
          <w:szCs w:val="24"/>
        </w:rPr>
        <w:t>；施工便道按坡度不大于</w:t>
      </w:r>
      <w:r>
        <w:rPr>
          <w:rFonts w:ascii="宋体" w:hAnsi="宋体" w:eastAsia="宋体" w:cs="宋体"/>
          <w:spacing w:val="-31"/>
          <w:sz w:val="24"/>
          <w:szCs w:val="24"/>
        </w:rPr>
        <w:t xml:space="preserve"> </w:t>
      </w:r>
      <w:r>
        <w:rPr>
          <w:rFonts w:ascii="Times New Roman" w:hAnsi="Times New Roman" w:eastAsia="Times New Roman" w:cs="Times New Roman"/>
          <w:spacing w:val="-10"/>
          <w:sz w:val="24"/>
          <w:szCs w:val="24"/>
        </w:rPr>
        <w:t>10%</w:t>
      </w:r>
      <w:r>
        <w:rPr>
          <w:rFonts w:ascii="宋体" w:hAnsi="宋体" w:eastAsia="宋体" w:cs="宋体"/>
          <w:spacing w:val="-10"/>
          <w:sz w:val="24"/>
          <w:szCs w:val="24"/>
        </w:rPr>
        <w:t>进行设计，</w:t>
      </w:r>
      <w:r>
        <w:rPr>
          <w:rFonts w:ascii="宋体" w:hAnsi="宋体" w:eastAsia="宋体" w:cs="宋体"/>
          <w:spacing w:val="55"/>
          <w:sz w:val="24"/>
          <w:szCs w:val="24"/>
        </w:rPr>
        <w:t xml:space="preserve"> </w:t>
      </w:r>
      <w:r>
        <w:rPr>
          <w:rFonts w:ascii="宋体" w:hAnsi="宋体" w:eastAsia="宋体" w:cs="宋体"/>
          <w:spacing w:val="-10"/>
          <w:sz w:val="24"/>
          <w:szCs w:val="24"/>
        </w:rPr>
        <w:t>路面设置</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1.5%</w:t>
      </w:r>
      <w:r>
        <w:rPr>
          <w:rFonts w:ascii="宋体" w:hAnsi="宋体" w:eastAsia="宋体" w:cs="宋体"/>
          <w:spacing w:val="-10"/>
          <w:sz w:val="24"/>
          <w:szCs w:val="24"/>
        </w:rPr>
        <w:t>的横坡； 排水</w:t>
      </w:r>
      <w:r>
        <w:rPr>
          <w:rFonts w:ascii="宋体" w:hAnsi="宋体" w:eastAsia="宋体" w:cs="宋体"/>
          <w:sz w:val="24"/>
          <w:szCs w:val="24"/>
        </w:rPr>
        <w:t xml:space="preserve"> </w:t>
      </w:r>
      <w:r>
        <w:rPr>
          <w:rFonts w:ascii="宋体" w:hAnsi="宋体" w:eastAsia="宋体" w:cs="宋体"/>
          <w:spacing w:val="-12"/>
          <w:sz w:val="24"/>
          <w:szCs w:val="24"/>
        </w:rPr>
        <w:t>沟开挖注意沟底标高控制，</w:t>
      </w:r>
      <w:r>
        <w:rPr>
          <w:rFonts w:ascii="宋体" w:hAnsi="宋体" w:eastAsia="宋体" w:cs="宋体"/>
          <w:spacing w:val="46"/>
          <w:sz w:val="24"/>
          <w:szCs w:val="24"/>
        </w:rPr>
        <w:t xml:space="preserve"> </w:t>
      </w:r>
      <w:r>
        <w:rPr>
          <w:rFonts w:ascii="宋体" w:hAnsi="宋体" w:eastAsia="宋体" w:cs="宋体"/>
          <w:spacing w:val="-12"/>
          <w:sz w:val="24"/>
          <w:szCs w:val="24"/>
        </w:rPr>
        <w:t>确保施工过程中排水畅通。便道经水沟地段，</w:t>
      </w:r>
      <w:r>
        <w:rPr>
          <w:rFonts w:ascii="宋体" w:hAnsi="宋体" w:eastAsia="宋体" w:cs="宋体"/>
          <w:spacing w:val="33"/>
          <w:sz w:val="24"/>
          <w:szCs w:val="24"/>
        </w:rPr>
        <w:t xml:space="preserve"> </w:t>
      </w:r>
      <w:r>
        <w:rPr>
          <w:rFonts w:ascii="宋体" w:hAnsi="宋体" w:eastAsia="宋体" w:cs="宋体"/>
          <w:spacing w:val="-12"/>
          <w:sz w:val="24"/>
          <w:szCs w:val="24"/>
        </w:rPr>
        <w:t>埋置钢</w:t>
      </w:r>
    </w:p>
    <w:p>
      <w:pPr>
        <w:spacing w:line="219" w:lineRule="auto"/>
        <w:ind w:left="135"/>
        <w:rPr>
          <w:rFonts w:ascii="宋体" w:hAnsi="宋体" w:eastAsia="宋体" w:cs="宋体"/>
          <w:sz w:val="24"/>
          <w:szCs w:val="24"/>
        </w:rPr>
      </w:pPr>
      <w:r>
        <w:rPr>
          <w:rFonts w:ascii="宋体" w:hAnsi="宋体" w:eastAsia="宋体" w:cs="宋体"/>
          <w:spacing w:val="-5"/>
          <w:sz w:val="24"/>
          <w:szCs w:val="24"/>
        </w:rPr>
        <w:t>筋混凝土圆管排水。</w:t>
      </w:r>
    </w:p>
    <w:p>
      <w:pPr>
        <w:spacing w:before="182" w:line="220" w:lineRule="auto"/>
        <w:ind w:left="2804"/>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3.4-2</w:t>
      </w:r>
      <w:r>
        <w:rPr>
          <w:rFonts w:ascii="Times New Roman" w:hAnsi="Times New Roman" w:eastAsia="Times New Roman" w:cs="Times New Roman"/>
          <w:spacing w:val="2"/>
          <w:sz w:val="24"/>
          <w:szCs w:val="24"/>
        </w:rPr>
        <w:t xml:space="preserve">        </w:t>
      </w:r>
      <w:r>
        <w:rPr>
          <w:rFonts w:ascii="宋体" w:hAnsi="宋体" w:eastAsia="宋体" w:cs="宋体"/>
          <w:spacing w:val="-3"/>
          <w:sz w:val="24"/>
          <w:szCs w:val="24"/>
        </w:rPr>
        <w:t>临时便道汇总表</w:t>
      </w:r>
    </w:p>
    <w:p>
      <w:pPr>
        <w:spacing w:line="67" w:lineRule="exact"/>
      </w:pPr>
    </w:p>
    <w:tbl>
      <w:tblPr>
        <w:tblStyle w:val="5"/>
        <w:tblW w:w="85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1939"/>
        <w:gridCol w:w="1691"/>
        <w:gridCol w:w="2658"/>
        <w:gridCol w:w="15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734" w:type="dxa"/>
            <w:vAlign w:val="top"/>
          </w:tcPr>
          <w:p>
            <w:pPr>
              <w:pStyle w:val="6"/>
              <w:spacing w:before="93" w:line="221" w:lineRule="auto"/>
              <w:ind w:left="163"/>
            </w:pPr>
            <w:r>
              <w:rPr>
                <w:spacing w:val="-2"/>
              </w:rPr>
              <w:t>编号</w:t>
            </w:r>
          </w:p>
        </w:tc>
        <w:tc>
          <w:tcPr>
            <w:tcW w:w="1939" w:type="dxa"/>
            <w:vAlign w:val="top"/>
          </w:tcPr>
          <w:p>
            <w:pPr>
              <w:pStyle w:val="6"/>
              <w:spacing w:before="94" w:line="221" w:lineRule="auto"/>
              <w:ind w:left="762"/>
            </w:pPr>
            <w:r>
              <w:rPr>
                <w:spacing w:val="-2"/>
              </w:rPr>
              <w:t>起点</w:t>
            </w:r>
          </w:p>
        </w:tc>
        <w:tc>
          <w:tcPr>
            <w:tcW w:w="1691" w:type="dxa"/>
            <w:vAlign w:val="top"/>
          </w:tcPr>
          <w:p>
            <w:pPr>
              <w:pStyle w:val="6"/>
              <w:spacing w:before="94" w:line="225" w:lineRule="auto"/>
              <w:ind w:left="641"/>
            </w:pPr>
            <w:r>
              <w:rPr>
                <w:spacing w:val="-3"/>
              </w:rPr>
              <w:t>终点</w:t>
            </w:r>
          </w:p>
        </w:tc>
        <w:tc>
          <w:tcPr>
            <w:tcW w:w="2658" w:type="dxa"/>
            <w:vAlign w:val="top"/>
          </w:tcPr>
          <w:p>
            <w:pPr>
              <w:pStyle w:val="6"/>
              <w:spacing w:before="93" w:line="221" w:lineRule="auto"/>
              <w:ind w:left="598"/>
            </w:pPr>
            <w:r>
              <w:rPr>
                <w:spacing w:val="-1"/>
              </w:rPr>
              <w:t>服务主要结构物</w:t>
            </w:r>
          </w:p>
        </w:tc>
        <w:tc>
          <w:tcPr>
            <w:tcW w:w="1525" w:type="dxa"/>
            <w:vAlign w:val="top"/>
          </w:tcPr>
          <w:p>
            <w:pPr>
              <w:pStyle w:val="6"/>
              <w:spacing w:before="94" w:line="235" w:lineRule="auto"/>
              <w:ind w:left="214"/>
            </w:pPr>
            <w:r>
              <w:rPr>
                <w:spacing w:val="-2"/>
              </w:rPr>
              <w:t>长度（</w:t>
            </w:r>
            <w:r>
              <w:rPr>
                <w:rFonts w:ascii="Times New Roman" w:hAnsi="Times New Roman" w:eastAsia="Times New Roman" w:cs="Times New Roman"/>
                <w:spacing w:val="-2"/>
              </w:rPr>
              <w:t>km</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34" w:type="dxa"/>
            <w:vAlign w:val="top"/>
          </w:tcPr>
          <w:p>
            <w:pPr>
              <w:spacing w:before="129" w:line="187" w:lineRule="auto"/>
              <w:ind w:left="33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39" w:type="dxa"/>
            <w:vAlign w:val="top"/>
          </w:tcPr>
          <w:p>
            <w:pPr>
              <w:pStyle w:val="6"/>
              <w:spacing w:before="89" w:line="221" w:lineRule="auto"/>
              <w:ind w:left="238"/>
            </w:pPr>
            <w:r>
              <w:rPr>
                <w:spacing w:val="-1"/>
              </w:rPr>
              <w:t>墩头垟跨线道路</w:t>
            </w:r>
          </w:p>
        </w:tc>
        <w:tc>
          <w:tcPr>
            <w:tcW w:w="1691" w:type="dxa"/>
            <w:vAlign w:val="top"/>
          </w:tcPr>
          <w:p>
            <w:pPr>
              <w:pStyle w:val="6"/>
              <w:spacing w:before="89" w:line="221" w:lineRule="auto"/>
              <w:ind w:left="218"/>
            </w:pPr>
            <w:r>
              <w:rPr>
                <w:spacing w:val="-1"/>
              </w:rPr>
              <w:t>敖里隧道进口</w:t>
            </w:r>
          </w:p>
        </w:tc>
        <w:tc>
          <w:tcPr>
            <w:tcW w:w="2658" w:type="dxa"/>
            <w:vAlign w:val="top"/>
          </w:tcPr>
          <w:p>
            <w:pPr>
              <w:pStyle w:val="6"/>
              <w:spacing w:before="89" w:line="221" w:lineRule="auto"/>
              <w:ind w:left="285"/>
            </w:pPr>
            <w:r>
              <w:rPr>
                <w:spacing w:val="-1"/>
              </w:rPr>
              <w:t>敖里隧道、墩头垟大桥</w:t>
            </w:r>
          </w:p>
        </w:tc>
        <w:tc>
          <w:tcPr>
            <w:tcW w:w="1525" w:type="dxa"/>
            <w:vAlign w:val="top"/>
          </w:tcPr>
          <w:p>
            <w:pPr>
              <w:spacing w:before="128" w:line="187" w:lineRule="auto"/>
              <w:ind w:left="63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34" w:type="dxa"/>
            <w:vAlign w:val="top"/>
          </w:tcPr>
          <w:p>
            <w:pPr>
              <w:spacing w:before="130" w:line="187" w:lineRule="auto"/>
              <w:ind w:left="31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39" w:type="dxa"/>
            <w:vAlign w:val="top"/>
          </w:tcPr>
          <w:p>
            <w:pPr>
              <w:pStyle w:val="6"/>
              <w:spacing w:before="91" w:line="223" w:lineRule="auto"/>
              <w:ind w:left="577"/>
            </w:pPr>
            <w:r>
              <w:rPr>
                <w:rFonts w:ascii="Times New Roman" w:hAnsi="Times New Roman" w:eastAsia="Times New Roman" w:cs="Times New Roman"/>
                <w:spacing w:val="-5"/>
              </w:rPr>
              <w:t>322</w:t>
            </w:r>
            <w:r>
              <w:rPr>
                <w:rFonts w:ascii="Times New Roman" w:hAnsi="Times New Roman" w:eastAsia="Times New Roman" w:cs="Times New Roman"/>
                <w:spacing w:val="31"/>
                <w:w w:val="101"/>
              </w:rPr>
              <w:t xml:space="preserve"> </w:t>
            </w:r>
            <w:r>
              <w:rPr>
                <w:spacing w:val="-5"/>
              </w:rPr>
              <w:t>国道</w:t>
            </w:r>
          </w:p>
        </w:tc>
        <w:tc>
          <w:tcPr>
            <w:tcW w:w="1691" w:type="dxa"/>
            <w:vAlign w:val="top"/>
          </w:tcPr>
          <w:p>
            <w:pPr>
              <w:pStyle w:val="6"/>
              <w:spacing w:before="90" w:line="221" w:lineRule="auto"/>
              <w:ind w:left="218"/>
            </w:pPr>
            <w:r>
              <w:rPr>
                <w:spacing w:val="-1"/>
              </w:rPr>
              <w:t>敖里隧道出口</w:t>
            </w:r>
          </w:p>
        </w:tc>
        <w:tc>
          <w:tcPr>
            <w:tcW w:w="2658" w:type="dxa"/>
            <w:vAlign w:val="top"/>
          </w:tcPr>
          <w:p>
            <w:pPr>
              <w:pStyle w:val="6"/>
              <w:spacing w:before="90" w:line="221" w:lineRule="auto"/>
              <w:ind w:left="599"/>
            </w:pPr>
            <w:r>
              <w:rPr>
                <w:spacing w:val="-1"/>
              </w:rPr>
              <w:t>连接线路基工程</w:t>
            </w:r>
          </w:p>
        </w:tc>
        <w:tc>
          <w:tcPr>
            <w:tcW w:w="1525" w:type="dxa"/>
            <w:vAlign w:val="top"/>
          </w:tcPr>
          <w:p>
            <w:pPr>
              <w:spacing w:before="129" w:line="187" w:lineRule="auto"/>
              <w:ind w:left="63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34" w:type="dxa"/>
            <w:vAlign w:val="top"/>
          </w:tcPr>
          <w:p>
            <w:pPr>
              <w:spacing w:before="130" w:line="187" w:lineRule="auto"/>
              <w:ind w:left="320"/>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39" w:type="dxa"/>
            <w:vAlign w:val="top"/>
          </w:tcPr>
          <w:p>
            <w:pPr>
              <w:pStyle w:val="6"/>
              <w:spacing w:before="92" w:line="223" w:lineRule="auto"/>
              <w:ind w:left="577"/>
            </w:pPr>
            <w:r>
              <w:rPr>
                <w:rFonts w:ascii="Times New Roman" w:hAnsi="Times New Roman" w:eastAsia="Times New Roman" w:cs="Times New Roman"/>
                <w:spacing w:val="-5"/>
              </w:rPr>
              <w:t>322</w:t>
            </w:r>
            <w:r>
              <w:rPr>
                <w:rFonts w:ascii="Times New Roman" w:hAnsi="Times New Roman" w:eastAsia="Times New Roman" w:cs="Times New Roman"/>
                <w:spacing w:val="31"/>
                <w:w w:val="101"/>
              </w:rPr>
              <w:t xml:space="preserve"> </w:t>
            </w:r>
            <w:r>
              <w:rPr>
                <w:spacing w:val="-5"/>
              </w:rPr>
              <w:t>国道</w:t>
            </w:r>
          </w:p>
        </w:tc>
        <w:tc>
          <w:tcPr>
            <w:tcW w:w="1691" w:type="dxa"/>
            <w:vAlign w:val="top"/>
          </w:tcPr>
          <w:p>
            <w:pPr>
              <w:pStyle w:val="6"/>
              <w:spacing w:before="91" w:line="221" w:lineRule="auto"/>
              <w:ind w:left="225"/>
            </w:pPr>
            <w:r>
              <w:rPr>
                <w:spacing w:val="-2"/>
              </w:rPr>
              <w:t>百丈隧道进口</w:t>
            </w:r>
          </w:p>
        </w:tc>
        <w:tc>
          <w:tcPr>
            <w:tcW w:w="2658" w:type="dxa"/>
            <w:vAlign w:val="top"/>
          </w:tcPr>
          <w:p>
            <w:pPr>
              <w:pStyle w:val="6"/>
              <w:spacing w:before="91" w:line="221" w:lineRule="auto"/>
              <w:ind w:left="599"/>
            </w:pPr>
            <w:r>
              <w:rPr>
                <w:spacing w:val="-1"/>
              </w:rPr>
              <w:t>连接线路基工程</w:t>
            </w:r>
          </w:p>
        </w:tc>
        <w:tc>
          <w:tcPr>
            <w:tcW w:w="1525" w:type="dxa"/>
            <w:vAlign w:val="top"/>
          </w:tcPr>
          <w:p>
            <w:pPr>
              <w:spacing w:before="130" w:line="187" w:lineRule="auto"/>
              <w:ind w:left="63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34" w:type="dxa"/>
            <w:vAlign w:val="top"/>
          </w:tcPr>
          <w:p>
            <w:pPr>
              <w:spacing w:before="132" w:line="187" w:lineRule="auto"/>
              <w:ind w:left="31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939" w:type="dxa"/>
            <w:vAlign w:val="top"/>
          </w:tcPr>
          <w:p>
            <w:pPr>
              <w:pStyle w:val="6"/>
              <w:spacing w:before="93" w:line="220" w:lineRule="auto"/>
              <w:ind w:left="551"/>
            </w:pPr>
            <w:r>
              <w:rPr>
                <w:spacing w:val="-2"/>
              </w:rPr>
              <w:t>莲塘村道</w:t>
            </w:r>
          </w:p>
        </w:tc>
        <w:tc>
          <w:tcPr>
            <w:tcW w:w="1691" w:type="dxa"/>
            <w:vAlign w:val="top"/>
          </w:tcPr>
          <w:p>
            <w:pPr>
              <w:pStyle w:val="6"/>
              <w:spacing w:before="92" w:line="221" w:lineRule="auto"/>
              <w:ind w:left="225"/>
            </w:pPr>
            <w:r>
              <w:rPr>
                <w:spacing w:val="-2"/>
              </w:rPr>
              <w:t>百丈隧道出口</w:t>
            </w:r>
          </w:p>
        </w:tc>
        <w:tc>
          <w:tcPr>
            <w:tcW w:w="2658" w:type="dxa"/>
            <w:vAlign w:val="top"/>
          </w:tcPr>
          <w:p>
            <w:pPr>
              <w:pStyle w:val="6"/>
              <w:spacing w:before="92" w:line="221" w:lineRule="auto"/>
              <w:ind w:left="922"/>
            </w:pPr>
            <w:r>
              <w:rPr>
                <w:spacing w:val="-4"/>
              </w:rPr>
              <w:t>百丈隧道</w:t>
            </w:r>
          </w:p>
        </w:tc>
        <w:tc>
          <w:tcPr>
            <w:tcW w:w="1525" w:type="dxa"/>
            <w:vAlign w:val="top"/>
          </w:tcPr>
          <w:p>
            <w:pPr>
              <w:spacing w:before="131" w:line="187" w:lineRule="auto"/>
              <w:ind w:left="63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022" w:type="dxa"/>
            <w:gridSpan w:val="4"/>
            <w:vAlign w:val="top"/>
          </w:tcPr>
          <w:p>
            <w:pPr>
              <w:pStyle w:val="6"/>
              <w:spacing w:before="103" w:line="222" w:lineRule="auto"/>
              <w:ind w:left="3309"/>
            </w:pPr>
            <w:r>
              <w:rPr>
                <w:spacing w:val="-2"/>
              </w:rPr>
              <w:t>合计</w:t>
            </w:r>
          </w:p>
        </w:tc>
        <w:tc>
          <w:tcPr>
            <w:tcW w:w="1525" w:type="dxa"/>
            <w:vAlign w:val="top"/>
          </w:tcPr>
          <w:p>
            <w:pPr>
              <w:spacing w:before="142"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w:t>
            </w:r>
          </w:p>
        </w:tc>
      </w:tr>
    </w:tbl>
    <w:p>
      <w:pPr>
        <w:spacing w:before="192" w:line="220" w:lineRule="auto"/>
        <w:ind w:left="612"/>
        <w:rPr>
          <w:rFonts w:ascii="宋体" w:hAnsi="宋体" w:eastAsia="宋体" w:cs="宋体"/>
          <w:sz w:val="24"/>
          <w:szCs w:val="24"/>
        </w:rPr>
      </w:pPr>
      <w:r>
        <w:rPr>
          <w:rFonts w:ascii="Times New Roman" w:hAnsi="Times New Roman" w:eastAsia="Times New Roman" w:cs="Times New Roman"/>
          <w:spacing w:val="-5"/>
          <w:sz w:val="24"/>
          <w:szCs w:val="24"/>
        </w:rPr>
        <w:t>3</w:t>
      </w:r>
      <w:r>
        <w:rPr>
          <w:rFonts w:ascii="宋体" w:hAnsi="宋体" w:eastAsia="宋体" w:cs="宋体"/>
          <w:spacing w:val="-5"/>
          <w:sz w:val="24"/>
          <w:szCs w:val="24"/>
        </w:rPr>
        <w:t>、弃土场</w:t>
      </w:r>
    </w:p>
    <w:p>
      <w:pPr>
        <w:spacing w:before="182" w:line="219" w:lineRule="auto"/>
        <w:ind w:left="612"/>
        <w:rPr>
          <w:rFonts w:ascii="宋体" w:hAnsi="宋体" w:eastAsia="宋体" w:cs="宋体"/>
          <w:sz w:val="24"/>
          <w:szCs w:val="24"/>
        </w:rPr>
      </w:pPr>
      <w:r>
        <w:rPr>
          <w:rFonts w:ascii="宋体" w:hAnsi="宋体" w:eastAsia="宋体" w:cs="宋体"/>
          <w:spacing w:val="-2"/>
          <w:sz w:val="24"/>
          <w:szCs w:val="24"/>
        </w:rPr>
        <w:t>本项目利用景文高速公路施工期设置的</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处弃渣场进行弃渣。</w:t>
      </w:r>
    </w:p>
    <w:p>
      <w:pPr>
        <w:spacing w:before="180" w:line="220" w:lineRule="auto"/>
        <w:ind w:left="61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）景文高速</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标</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弃渣场</w:t>
      </w:r>
    </w:p>
    <w:p>
      <w:pPr>
        <w:spacing w:before="184" w:line="359" w:lineRule="auto"/>
        <w:ind w:left="130" w:right="123" w:firstLine="484"/>
        <w:rPr>
          <w:rFonts w:ascii="宋体" w:hAnsi="宋体" w:eastAsia="宋体" w:cs="宋体"/>
          <w:sz w:val="24"/>
          <w:szCs w:val="24"/>
        </w:rPr>
      </w:pPr>
      <w:r>
        <w:rPr>
          <w:rFonts w:ascii="宋体" w:hAnsi="宋体" w:eastAsia="宋体" w:cs="宋体"/>
          <w:spacing w:val="-7"/>
          <w:sz w:val="24"/>
          <w:szCs w:val="24"/>
        </w:rPr>
        <w:t>景文高速</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 xml:space="preserve">4 </w:t>
      </w:r>
      <w:r>
        <w:rPr>
          <w:rFonts w:ascii="宋体" w:hAnsi="宋体" w:eastAsia="宋体" w:cs="宋体"/>
          <w:spacing w:val="-7"/>
          <w:sz w:val="24"/>
          <w:szCs w:val="24"/>
        </w:rPr>
        <w:t>标</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1#</w:t>
      </w:r>
      <w:r>
        <w:rPr>
          <w:rFonts w:ascii="宋体" w:hAnsi="宋体" w:eastAsia="宋体" w:cs="宋体"/>
          <w:spacing w:val="-7"/>
          <w:sz w:val="24"/>
          <w:szCs w:val="24"/>
        </w:rPr>
        <w:t>弃渣场位于桩号</w:t>
      </w:r>
      <w:r>
        <w:rPr>
          <w:rFonts w:ascii="宋体" w:hAnsi="宋体" w:eastAsia="宋体" w:cs="宋体"/>
          <w:spacing w:val="-56"/>
          <w:sz w:val="24"/>
          <w:szCs w:val="24"/>
        </w:rPr>
        <w:t xml:space="preserve"> </w:t>
      </w:r>
      <w:r>
        <w:rPr>
          <w:rFonts w:ascii="Times New Roman" w:hAnsi="Times New Roman" w:eastAsia="Times New Roman" w:cs="Times New Roman"/>
          <w:spacing w:val="-7"/>
          <w:sz w:val="24"/>
          <w:szCs w:val="24"/>
        </w:rPr>
        <w:t>LK0+560</w:t>
      </w:r>
      <w:r>
        <w:rPr>
          <w:rFonts w:ascii="Times New Roman" w:hAnsi="Times New Roman" w:eastAsia="Times New Roman" w:cs="Times New Roman"/>
          <w:spacing w:val="18"/>
          <w:w w:val="101"/>
          <w:sz w:val="24"/>
          <w:szCs w:val="24"/>
        </w:rPr>
        <w:t xml:space="preserve"> </w:t>
      </w:r>
      <w:r>
        <w:rPr>
          <w:rFonts w:ascii="宋体" w:hAnsi="宋体" w:eastAsia="宋体" w:cs="宋体"/>
          <w:spacing w:val="-7"/>
          <w:sz w:val="24"/>
          <w:szCs w:val="24"/>
        </w:rPr>
        <w:t>西侧附近山谷，</w:t>
      </w:r>
      <w:r>
        <w:rPr>
          <w:rFonts w:ascii="宋体" w:hAnsi="宋体" w:eastAsia="宋体" w:cs="宋体"/>
          <w:spacing w:val="55"/>
          <w:sz w:val="24"/>
          <w:szCs w:val="24"/>
        </w:rPr>
        <w:t xml:space="preserve"> </w:t>
      </w:r>
      <w:r>
        <w:rPr>
          <w:rFonts w:ascii="宋体" w:hAnsi="宋体" w:eastAsia="宋体" w:cs="宋体"/>
          <w:spacing w:val="-7"/>
          <w:sz w:val="24"/>
          <w:szCs w:val="24"/>
        </w:rPr>
        <w:t>属于沟道型弃渣</w:t>
      </w:r>
      <w:r>
        <w:rPr>
          <w:rFonts w:ascii="宋体" w:hAnsi="宋体" w:eastAsia="宋体" w:cs="宋体"/>
          <w:sz w:val="24"/>
          <w:szCs w:val="24"/>
        </w:rPr>
        <w:t xml:space="preserve"> </w:t>
      </w:r>
      <w:r>
        <w:rPr>
          <w:rFonts w:ascii="宋体" w:hAnsi="宋体" w:eastAsia="宋体" w:cs="宋体"/>
          <w:spacing w:val="-2"/>
          <w:sz w:val="24"/>
          <w:szCs w:val="24"/>
        </w:rPr>
        <w:t>场，占地面积</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3.72hm²</w:t>
      </w:r>
      <w:r>
        <w:rPr>
          <w:rFonts w:ascii="宋体" w:hAnsi="宋体" w:eastAsia="宋体" w:cs="宋体"/>
          <w:spacing w:val="-2"/>
          <w:sz w:val="24"/>
          <w:szCs w:val="24"/>
        </w:rPr>
        <w:t>,</w:t>
      </w:r>
      <w:r>
        <w:rPr>
          <w:rFonts w:ascii="宋体" w:hAnsi="宋体" w:eastAsia="宋体" w:cs="宋体"/>
          <w:spacing w:val="55"/>
          <w:sz w:val="24"/>
          <w:szCs w:val="24"/>
        </w:rPr>
        <w:t xml:space="preserve"> </w:t>
      </w:r>
      <w:r>
        <w:rPr>
          <w:rFonts w:ascii="宋体" w:hAnsi="宋体" w:eastAsia="宋体" w:cs="宋体"/>
          <w:spacing w:val="-2"/>
          <w:sz w:val="24"/>
          <w:szCs w:val="24"/>
        </w:rPr>
        <w:t>占地类型为耕地及林地，弃渣场东侧为本次新建高速公</w:t>
      </w:r>
      <w:r>
        <w:rPr>
          <w:rFonts w:ascii="宋体" w:hAnsi="宋体" w:eastAsia="宋体" w:cs="宋体"/>
          <w:sz w:val="24"/>
          <w:szCs w:val="24"/>
        </w:rPr>
        <w:t xml:space="preserve"> </w:t>
      </w:r>
      <w:r>
        <w:rPr>
          <w:rFonts w:ascii="宋体" w:hAnsi="宋体" w:eastAsia="宋体" w:cs="宋体"/>
          <w:spacing w:val="-1"/>
          <w:sz w:val="24"/>
          <w:szCs w:val="24"/>
        </w:rPr>
        <w:t>路</w:t>
      </w:r>
      <w:r>
        <w:rPr>
          <w:rFonts w:ascii="Times New Roman" w:hAnsi="Times New Roman" w:eastAsia="Times New Roman" w:cs="Times New Roman"/>
          <w:spacing w:val="-1"/>
          <w:sz w:val="24"/>
          <w:szCs w:val="24"/>
        </w:rPr>
        <w:t>,</w:t>
      </w:r>
      <w:r>
        <w:rPr>
          <w:rFonts w:ascii="宋体" w:hAnsi="宋体" w:eastAsia="宋体" w:cs="宋体"/>
          <w:spacing w:val="-1"/>
          <w:sz w:val="24"/>
          <w:szCs w:val="24"/>
        </w:rPr>
        <w:t>其余为山体。堆渣量</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47.0</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m³</w:t>
      </w:r>
      <w:r>
        <w:rPr>
          <w:rFonts w:ascii="宋体" w:hAnsi="宋体" w:eastAsia="宋体" w:cs="宋体"/>
          <w:spacing w:val="-1"/>
          <w:sz w:val="24"/>
          <w:szCs w:val="24"/>
        </w:rPr>
        <w:t>, 最高堆高</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25.6m</w:t>
      </w:r>
      <w:r>
        <w:rPr>
          <w:rFonts w:ascii="宋体" w:hAnsi="宋体" w:eastAsia="宋体" w:cs="宋体"/>
          <w:spacing w:val="-2"/>
          <w:sz w:val="24"/>
          <w:szCs w:val="24"/>
        </w:rPr>
        <w:t>，堆渣坡脚已设置混凝土挡</w:t>
      </w:r>
      <w:r>
        <w:rPr>
          <w:rFonts w:ascii="宋体" w:hAnsi="宋体" w:eastAsia="宋体" w:cs="宋体"/>
          <w:sz w:val="24"/>
          <w:szCs w:val="24"/>
        </w:rPr>
        <w:t xml:space="preserve"> </w:t>
      </w:r>
      <w:r>
        <w:rPr>
          <w:rFonts w:ascii="宋体" w:hAnsi="宋体" w:eastAsia="宋体" w:cs="宋体"/>
          <w:spacing w:val="-6"/>
          <w:sz w:val="24"/>
          <w:szCs w:val="24"/>
        </w:rPr>
        <w:t>渣墙。弃渣场高程逐级递增， 原场地先期部分设置为景文高速</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4 </w:t>
      </w:r>
      <w:r>
        <w:rPr>
          <w:rFonts w:ascii="宋体" w:hAnsi="宋体" w:eastAsia="宋体" w:cs="宋体"/>
          <w:spacing w:val="-6"/>
          <w:sz w:val="24"/>
          <w:szCs w:val="24"/>
        </w:rPr>
        <w:t>标</w:t>
      </w:r>
      <w:r>
        <w:rPr>
          <w:rFonts w:ascii="宋体" w:hAnsi="宋体" w:eastAsia="宋体" w:cs="宋体"/>
          <w:spacing w:val="-7"/>
          <w:sz w:val="24"/>
          <w:szCs w:val="24"/>
        </w:rPr>
        <w:t>的临时施工场</w:t>
      </w:r>
    </w:p>
    <w:p>
      <w:pPr>
        <w:spacing w:before="1" w:line="218" w:lineRule="auto"/>
        <w:ind w:left="131"/>
        <w:rPr>
          <w:rFonts w:ascii="宋体" w:hAnsi="宋体" w:eastAsia="宋体" w:cs="宋体"/>
          <w:sz w:val="24"/>
          <w:szCs w:val="24"/>
        </w:rPr>
      </w:pPr>
      <w:r>
        <w:rPr>
          <w:rFonts w:ascii="宋体" w:hAnsi="宋体" w:eastAsia="宋体" w:cs="宋体"/>
          <w:spacing w:val="-2"/>
          <w:sz w:val="24"/>
          <w:szCs w:val="24"/>
        </w:rPr>
        <w:t>地，设置碎石加工厂、材料堆放场及混凝土拌合站等进行利用。</w:t>
      </w:r>
    </w:p>
    <w:p>
      <w:pPr>
        <w:spacing w:line="218" w:lineRule="auto"/>
        <w:rPr>
          <w:rFonts w:ascii="宋体" w:hAnsi="宋体" w:eastAsia="宋体" w:cs="宋体"/>
          <w:sz w:val="24"/>
          <w:szCs w:val="24"/>
        </w:rPr>
        <w:sectPr>
          <w:headerReference r:id="rId136" w:type="default"/>
          <w:footerReference r:id="rId137" w:type="default"/>
          <w:pgSz w:w="11907" w:h="16839"/>
          <w:pgMar w:top="1118" w:right="1675" w:bottom="1184" w:left="1678" w:header="879" w:footer="1024" w:gutter="0"/>
          <w:cols w:space="720" w:num="1"/>
        </w:sectPr>
      </w:pPr>
    </w:p>
    <w:p>
      <w:pPr>
        <w:pStyle w:val="2"/>
        <w:spacing w:line="401" w:lineRule="auto"/>
      </w:pPr>
    </w:p>
    <w:p>
      <w:pPr>
        <w:spacing w:line="4516" w:lineRule="exact"/>
        <w:ind w:firstLine="28"/>
      </w:pPr>
      <w:r>
        <w:rPr>
          <w:position w:val="-90"/>
        </w:rPr>
        <w:drawing>
          <wp:inline distT="0" distB="0" distL="0" distR="0">
            <wp:extent cx="5399405" cy="286702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454"/>
                    <a:stretch>
                      <a:fillRect/>
                    </a:stretch>
                  </pic:blipFill>
                  <pic:spPr>
                    <a:xfrm>
                      <a:off x="0" y="0"/>
                      <a:ext cx="5399405" cy="2867659"/>
                    </a:xfrm>
                    <a:prstGeom prst="rect">
                      <a:avLst/>
                    </a:prstGeom>
                  </pic:spPr>
                </pic:pic>
              </a:graphicData>
            </a:graphic>
          </wp:inline>
        </w:drawing>
      </w:r>
    </w:p>
    <w:p>
      <w:pPr>
        <w:spacing w:before="119" w:line="468" w:lineRule="exact"/>
        <w:ind w:left="1955"/>
        <w:rPr>
          <w:rFonts w:ascii="宋体" w:hAnsi="宋体" w:eastAsia="宋体" w:cs="宋体"/>
          <w:sz w:val="24"/>
          <w:szCs w:val="24"/>
        </w:rPr>
      </w:pPr>
      <w:r>
        <w:rPr>
          <w:rFonts w:ascii="宋体" w:hAnsi="宋体" w:eastAsia="宋体" w:cs="宋体"/>
          <w:spacing w:val="-3"/>
          <w:position w:val="17"/>
          <w:sz w:val="24"/>
          <w:szCs w:val="24"/>
        </w:rPr>
        <w:t>图</w:t>
      </w:r>
      <w:r>
        <w:rPr>
          <w:rFonts w:ascii="宋体" w:hAnsi="宋体" w:eastAsia="宋体" w:cs="宋体"/>
          <w:spacing w:val="-34"/>
          <w:position w:val="17"/>
          <w:sz w:val="24"/>
          <w:szCs w:val="24"/>
        </w:rPr>
        <w:t xml:space="preserve"> </w:t>
      </w:r>
      <w:r>
        <w:rPr>
          <w:rFonts w:ascii="Times New Roman" w:hAnsi="Times New Roman" w:eastAsia="Times New Roman" w:cs="Times New Roman"/>
          <w:spacing w:val="-3"/>
          <w:position w:val="17"/>
          <w:sz w:val="24"/>
          <w:szCs w:val="24"/>
        </w:rPr>
        <w:t>3.4-</w:t>
      </w:r>
      <w:r>
        <w:rPr>
          <w:rFonts w:ascii="Times New Roman" w:hAnsi="Times New Roman" w:eastAsia="Times New Roman" w:cs="Times New Roman"/>
          <w:spacing w:val="-33"/>
          <w:position w:val="17"/>
          <w:sz w:val="24"/>
          <w:szCs w:val="24"/>
        </w:rPr>
        <w:t xml:space="preserve"> </w:t>
      </w:r>
      <w:r>
        <w:rPr>
          <w:rFonts w:ascii="Times New Roman" w:hAnsi="Times New Roman" w:eastAsia="Times New Roman" w:cs="Times New Roman"/>
          <w:spacing w:val="-3"/>
          <w:position w:val="17"/>
          <w:sz w:val="24"/>
          <w:szCs w:val="24"/>
        </w:rPr>
        <w:t xml:space="preserve">1          </w:t>
      </w:r>
      <w:r>
        <w:rPr>
          <w:rFonts w:ascii="宋体" w:hAnsi="宋体" w:eastAsia="宋体" w:cs="宋体"/>
          <w:spacing w:val="-3"/>
          <w:position w:val="17"/>
          <w:sz w:val="24"/>
          <w:szCs w:val="24"/>
        </w:rPr>
        <w:t>西坑南坑垟村弃渣场临时用地</w:t>
      </w:r>
    </w:p>
    <w:p>
      <w:pPr>
        <w:spacing w:line="219"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）景文高速</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标</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w:t>
      </w:r>
      <w:r>
        <w:rPr>
          <w:rFonts w:ascii="宋体" w:hAnsi="宋体" w:eastAsia="宋体" w:cs="宋体"/>
          <w:spacing w:val="-3"/>
          <w:sz w:val="24"/>
          <w:szCs w:val="24"/>
        </w:rPr>
        <w:t>弃渣场</w:t>
      </w:r>
    </w:p>
    <w:p>
      <w:pPr>
        <w:spacing w:before="181" w:line="359" w:lineRule="auto"/>
        <w:ind w:left="38" w:right="195" w:firstLine="483"/>
        <w:jc w:val="both"/>
        <w:rPr>
          <w:rFonts w:ascii="宋体" w:hAnsi="宋体" w:eastAsia="宋体" w:cs="宋体"/>
          <w:sz w:val="24"/>
          <w:szCs w:val="24"/>
        </w:rPr>
      </w:pPr>
      <w:r>
        <w:rPr>
          <w:rFonts w:ascii="宋体" w:hAnsi="宋体" w:eastAsia="宋体" w:cs="宋体"/>
          <w:spacing w:val="-1"/>
          <w:sz w:val="24"/>
          <w:szCs w:val="24"/>
        </w:rPr>
        <w:t>景文高速</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标</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2#</w:t>
      </w:r>
      <w:r>
        <w:rPr>
          <w:rFonts w:ascii="宋体" w:hAnsi="宋体" w:eastAsia="宋体" w:cs="宋体"/>
          <w:spacing w:val="-1"/>
          <w:sz w:val="24"/>
          <w:szCs w:val="24"/>
        </w:rPr>
        <w:t>弃渣场位于桩号</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L2K0</w:t>
      </w:r>
      <w:r>
        <w:rPr>
          <w:rFonts w:ascii="Times New Roman" w:hAnsi="Times New Roman" w:eastAsia="Times New Roman" w:cs="Times New Roman"/>
          <w:spacing w:val="-2"/>
          <w:sz w:val="24"/>
          <w:szCs w:val="24"/>
        </w:rPr>
        <w:t>+380</w:t>
      </w:r>
      <w:r>
        <w:rPr>
          <w:rFonts w:ascii="Times New Roman" w:hAnsi="Times New Roman" w:eastAsia="Times New Roman" w:cs="Times New Roman"/>
          <w:spacing w:val="39"/>
          <w:w w:val="101"/>
          <w:sz w:val="24"/>
          <w:szCs w:val="24"/>
        </w:rPr>
        <w:t xml:space="preserve"> </w:t>
      </w:r>
      <w:r>
        <w:rPr>
          <w:rFonts w:ascii="宋体" w:hAnsi="宋体" w:eastAsia="宋体" w:cs="宋体"/>
          <w:spacing w:val="-2"/>
          <w:sz w:val="24"/>
          <w:szCs w:val="24"/>
        </w:rPr>
        <w:t>西侧附近山谷，属于沟道型弃</w:t>
      </w:r>
      <w:r>
        <w:rPr>
          <w:rFonts w:ascii="宋体" w:hAnsi="宋体" w:eastAsia="宋体" w:cs="宋体"/>
          <w:sz w:val="24"/>
          <w:szCs w:val="24"/>
        </w:rPr>
        <w:t xml:space="preserve"> </w:t>
      </w:r>
      <w:r>
        <w:rPr>
          <w:rFonts w:ascii="宋体" w:hAnsi="宋体" w:eastAsia="宋体" w:cs="宋体"/>
          <w:spacing w:val="-2"/>
          <w:sz w:val="24"/>
          <w:szCs w:val="24"/>
        </w:rPr>
        <w:t>渣场，占地面积</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3.65hm²</w:t>
      </w:r>
      <w:r>
        <w:rPr>
          <w:rFonts w:ascii="宋体" w:hAnsi="宋体" w:eastAsia="宋体" w:cs="宋体"/>
          <w:spacing w:val="-2"/>
          <w:sz w:val="24"/>
          <w:szCs w:val="24"/>
        </w:rPr>
        <w:t>,</w:t>
      </w:r>
      <w:r>
        <w:rPr>
          <w:rFonts w:ascii="宋体" w:hAnsi="宋体" w:eastAsia="宋体" w:cs="宋体"/>
          <w:spacing w:val="54"/>
          <w:sz w:val="24"/>
          <w:szCs w:val="24"/>
        </w:rPr>
        <w:t xml:space="preserve"> </w:t>
      </w:r>
      <w:r>
        <w:rPr>
          <w:rFonts w:ascii="宋体" w:hAnsi="宋体" w:eastAsia="宋体" w:cs="宋体"/>
          <w:spacing w:val="-2"/>
          <w:sz w:val="24"/>
          <w:szCs w:val="24"/>
        </w:rPr>
        <w:t>占地类型均为耕地，弃渣场东侧为本次连接线，北面</w:t>
      </w:r>
      <w:r>
        <w:rPr>
          <w:rFonts w:ascii="宋体" w:hAnsi="宋体" w:eastAsia="宋体" w:cs="宋体"/>
          <w:sz w:val="24"/>
          <w:szCs w:val="24"/>
        </w:rPr>
        <w:t xml:space="preserve"> </w:t>
      </w:r>
      <w:r>
        <w:rPr>
          <w:rFonts w:ascii="宋体" w:hAnsi="宋体" w:eastAsia="宋体" w:cs="宋体"/>
          <w:spacing w:val="-7"/>
          <w:sz w:val="24"/>
          <w:szCs w:val="24"/>
        </w:rPr>
        <w:t>为新建</w:t>
      </w:r>
      <w:r>
        <w:rPr>
          <w:rFonts w:ascii="宋体" w:hAnsi="宋体" w:eastAsia="宋体" w:cs="宋体"/>
          <w:spacing w:val="-42"/>
          <w:sz w:val="24"/>
          <w:szCs w:val="24"/>
        </w:rPr>
        <w:t xml:space="preserve"> </w:t>
      </w:r>
      <w:r>
        <w:rPr>
          <w:rFonts w:ascii="Times New Roman" w:hAnsi="Times New Roman" w:eastAsia="Times New Roman" w:cs="Times New Roman"/>
          <w:spacing w:val="-7"/>
          <w:sz w:val="24"/>
          <w:szCs w:val="24"/>
        </w:rPr>
        <w:t>G322</w:t>
      </w:r>
      <w:r>
        <w:rPr>
          <w:rFonts w:ascii="Times New Roman" w:hAnsi="Times New Roman" w:eastAsia="Times New Roman" w:cs="Times New Roman"/>
          <w:spacing w:val="32"/>
          <w:w w:val="101"/>
          <w:sz w:val="24"/>
          <w:szCs w:val="24"/>
        </w:rPr>
        <w:t xml:space="preserve"> </w:t>
      </w:r>
      <w:r>
        <w:rPr>
          <w:rFonts w:ascii="宋体" w:hAnsi="宋体" w:eastAsia="宋体" w:cs="宋体"/>
          <w:spacing w:val="-7"/>
          <w:sz w:val="24"/>
          <w:szCs w:val="24"/>
        </w:rPr>
        <w:t>国道，</w:t>
      </w:r>
      <w:r>
        <w:rPr>
          <w:rFonts w:ascii="宋体" w:hAnsi="宋体" w:eastAsia="宋体" w:cs="宋体"/>
          <w:spacing w:val="-34"/>
          <w:sz w:val="24"/>
          <w:szCs w:val="24"/>
        </w:rPr>
        <w:t xml:space="preserve"> </w:t>
      </w:r>
      <w:r>
        <w:rPr>
          <w:rFonts w:ascii="宋体" w:hAnsi="宋体" w:eastAsia="宋体" w:cs="宋体"/>
          <w:spacing w:val="-7"/>
          <w:sz w:val="24"/>
          <w:szCs w:val="24"/>
        </w:rPr>
        <w:t>周边为山体。堆渣量</w:t>
      </w:r>
      <w:r>
        <w:rPr>
          <w:rFonts w:ascii="宋体" w:hAnsi="宋体" w:eastAsia="宋体" w:cs="宋体"/>
          <w:spacing w:val="-47"/>
          <w:sz w:val="24"/>
          <w:szCs w:val="24"/>
        </w:rPr>
        <w:t xml:space="preserve"> </w:t>
      </w:r>
      <w:r>
        <w:rPr>
          <w:rFonts w:ascii="Times New Roman" w:hAnsi="Times New Roman" w:eastAsia="Times New Roman" w:cs="Times New Roman"/>
          <w:spacing w:val="-7"/>
          <w:sz w:val="24"/>
          <w:szCs w:val="24"/>
        </w:rPr>
        <w:t>50.0</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7"/>
          <w:sz w:val="24"/>
          <w:szCs w:val="24"/>
        </w:rPr>
        <w:t>m³</w:t>
      </w:r>
      <w:r>
        <w:rPr>
          <w:rFonts w:ascii="宋体" w:hAnsi="宋体" w:eastAsia="宋体" w:cs="宋体"/>
          <w:spacing w:val="-7"/>
          <w:sz w:val="24"/>
          <w:szCs w:val="24"/>
        </w:rPr>
        <w:t>, 最大堆高</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28.9m</w:t>
      </w:r>
      <w:r>
        <w:rPr>
          <w:rFonts w:ascii="宋体" w:hAnsi="宋体" w:eastAsia="宋体" w:cs="宋体"/>
          <w:spacing w:val="-7"/>
          <w:sz w:val="24"/>
          <w:szCs w:val="24"/>
        </w:rPr>
        <w:t>。弃渣场部</w:t>
      </w:r>
      <w:r>
        <w:rPr>
          <w:rFonts w:ascii="宋体" w:hAnsi="宋体" w:eastAsia="宋体" w:cs="宋体"/>
          <w:sz w:val="24"/>
          <w:szCs w:val="24"/>
        </w:rPr>
        <w:t xml:space="preserve"> </w:t>
      </w:r>
      <w:r>
        <w:rPr>
          <w:rFonts w:ascii="宋体" w:hAnsi="宋体" w:eastAsia="宋体" w:cs="宋体"/>
          <w:spacing w:val="-6"/>
          <w:sz w:val="24"/>
          <w:szCs w:val="24"/>
        </w:rPr>
        <w:t>分先期作为景文高速</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4 </w:t>
      </w:r>
      <w:r>
        <w:rPr>
          <w:rFonts w:ascii="宋体" w:hAnsi="宋体" w:eastAsia="宋体" w:cs="宋体"/>
          <w:spacing w:val="-6"/>
          <w:sz w:val="24"/>
          <w:szCs w:val="24"/>
        </w:rPr>
        <w:t>标设置的临时施工场地进行利用， 主</w:t>
      </w:r>
      <w:r>
        <w:rPr>
          <w:rFonts w:ascii="宋体" w:hAnsi="宋体" w:eastAsia="宋体" w:cs="宋体"/>
          <w:spacing w:val="-7"/>
          <w:sz w:val="24"/>
          <w:szCs w:val="24"/>
        </w:rPr>
        <w:t>要为碎石加工厂、材</w:t>
      </w:r>
    </w:p>
    <w:p>
      <w:pPr>
        <w:spacing w:before="1" w:line="218" w:lineRule="auto"/>
        <w:ind w:left="38"/>
        <w:rPr>
          <w:rFonts w:ascii="宋体" w:hAnsi="宋体" w:eastAsia="宋体" w:cs="宋体"/>
          <w:sz w:val="24"/>
          <w:szCs w:val="24"/>
        </w:rPr>
      </w:pPr>
      <w:r>
        <w:rPr>
          <w:rFonts w:ascii="宋体" w:hAnsi="宋体" w:eastAsia="宋体" w:cs="宋体"/>
          <w:spacing w:val="-4"/>
          <w:sz w:val="24"/>
          <w:szCs w:val="24"/>
        </w:rPr>
        <w:t>料堆放场及沥青拌合站。</w:t>
      </w:r>
    </w:p>
    <w:p>
      <w:pPr>
        <w:pStyle w:val="2"/>
        <w:spacing w:line="472" w:lineRule="auto"/>
      </w:pPr>
    </w:p>
    <w:p>
      <w:pPr>
        <w:spacing w:line="4022" w:lineRule="exact"/>
        <w:ind w:firstLine="28"/>
      </w:pPr>
      <w:r>
        <w:rPr>
          <w:position w:val="-80"/>
        </w:rPr>
        <w:drawing>
          <wp:inline distT="0" distB="0" distL="0" distR="0">
            <wp:extent cx="5399405" cy="255397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455"/>
                    <a:stretch>
                      <a:fillRect/>
                    </a:stretch>
                  </pic:blipFill>
                  <pic:spPr>
                    <a:xfrm>
                      <a:off x="0" y="0"/>
                      <a:ext cx="5399405" cy="2553970"/>
                    </a:xfrm>
                    <a:prstGeom prst="rect">
                      <a:avLst/>
                    </a:prstGeom>
                  </pic:spPr>
                </pic:pic>
              </a:graphicData>
            </a:graphic>
          </wp:inline>
        </w:drawing>
      </w:r>
    </w:p>
    <w:p>
      <w:pPr>
        <w:spacing w:before="54" w:line="219" w:lineRule="auto"/>
        <w:ind w:left="2195"/>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3.4-2      </w:t>
      </w:r>
      <w:r>
        <w:rPr>
          <w:rFonts w:ascii="宋体" w:hAnsi="宋体" w:eastAsia="宋体" w:cs="宋体"/>
          <w:spacing w:val="-2"/>
          <w:sz w:val="24"/>
          <w:szCs w:val="24"/>
        </w:rPr>
        <w:t>西坑鳌里村弃渣场临时用地</w:t>
      </w:r>
    </w:p>
    <w:p>
      <w:pPr>
        <w:spacing w:before="181" w:line="222" w:lineRule="auto"/>
        <w:ind w:left="32"/>
        <w:outlineLvl w:val="1"/>
        <w:rPr>
          <w:rFonts w:ascii="宋体" w:hAnsi="宋体" w:eastAsia="宋体" w:cs="宋体"/>
          <w:sz w:val="24"/>
          <w:szCs w:val="24"/>
        </w:rPr>
      </w:pPr>
      <w:r>
        <w:rPr>
          <w:rFonts w:ascii="Times New Roman" w:hAnsi="Times New Roman" w:eastAsia="Times New Roman" w:cs="Times New Roman"/>
          <w:b/>
          <w:bCs/>
          <w:sz w:val="24"/>
          <w:szCs w:val="24"/>
        </w:rPr>
        <w:t xml:space="preserve">3.4.2  </w:t>
      </w:r>
      <w:r>
        <w:rPr>
          <w:rFonts w:ascii="宋体" w:hAnsi="宋体" w:eastAsia="宋体" w:cs="宋体"/>
          <w:sz w:val="24"/>
          <w:szCs w:val="24"/>
          <w14:textOutline w14:w="4354" w14:cap="flat" w14:cmpd="sng">
            <w14:solidFill>
              <w14:srgbClr w14:val="000000"/>
            </w14:solidFill>
            <w14:prstDash w14:val="solid"/>
            <w14:miter w14:val="0"/>
          </w14:textOutline>
        </w:rPr>
        <w:t>施工工艺</w:t>
      </w:r>
    </w:p>
    <w:p>
      <w:pPr>
        <w:spacing w:before="179" w:line="220" w:lineRule="auto"/>
        <w:ind w:left="536"/>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、拆迁工程</w:t>
      </w:r>
    </w:p>
    <w:p>
      <w:pPr>
        <w:spacing w:line="220" w:lineRule="auto"/>
        <w:rPr>
          <w:rFonts w:ascii="宋体" w:hAnsi="宋体" w:eastAsia="宋体" w:cs="宋体"/>
          <w:sz w:val="24"/>
          <w:szCs w:val="24"/>
        </w:rPr>
        <w:sectPr>
          <w:headerReference r:id="rId138" w:type="default"/>
          <w:footerReference r:id="rId139" w:type="default"/>
          <w:pgSz w:w="11907" w:h="16839"/>
          <w:pgMar w:top="1118" w:right="1603" w:bottom="1184" w:left="1771" w:header="879" w:footer="1024" w:gutter="0"/>
          <w:cols w:space="720" w:num="1"/>
        </w:sectPr>
      </w:pPr>
    </w:p>
    <w:p>
      <w:pPr>
        <w:pStyle w:val="2"/>
        <w:spacing w:line="278" w:lineRule="auto"/>
      </w:pPr>
    </w:p>
    <w:p>
      <w:pPr>
        <w:spacing w:before="78" w:line="359" w:lineRule="auto"/>
        <w:ind w:left="40" w:right="40" w:firstLine="480"/>
        <w:rPr>
          <w:rFonts w:ascii="宋体" w:hAnsi="宋体" w:eastAsia="宋体" w:cs="宋体"/>
          <w:sz w:val="24"/>
          <w:szCs w:val="24"/>
        </w:rPr>
      </w:pPr>
      <w:r>
        <w:rPr>
          <w:rFonts w:ascii="宋体" w:hAnsi="宋体" w:eastAsia="宋体" w:cs="宋体"/>
          <w:spacing w:val="-14"/>
          <w:sz w:val="24"/>
          <w:szCs w:val="24"/>
        </w:rPr>
        <w:t>工程建设过程中，</w:t>
      </w:r>
      <w:r>
        <w:rPr>
          <w:rFonts w:ascii="宋体" w:hAnsi="宋体" w:eastAsia="宋体" w:cs="宋体"/>
          <w:spacing w:val="70"/>
          <w:sz w:val="24"/>
          <w:szCs w:val="24"/>
        </w:rPr>
        <w:t xml:space="preserve"> </w:t>
      </w:r>
      <w:r>
        <w:rPr>
          <w:rFonts w:ascii="宋体" w:hAnsi="宋体" w:eastAsia="宋体" w:cs="宋体"/>
          <w:spacing w:val="-14"/>
          <w:sz w:val="24"/>
          <w:szCs w:val="24"/>
        </w:rPr>
        <w:t>需进行房屋拆除。拆迁房屋以砖、石、木混结构为主，</w:t>
      </w:r>
      <w:r>
        <w:rPr>
          <w:rFonts w:ascii="宋体" w:hAnsi="宋体" w:eastAsia="宋体" w:cs="宋体"/>
          <w:spacing w:val="42"/>
          <w:sz w:val="24"/>
          <w:szCs w:val="24"/>
        </w:rPr>
        <w:t xml:space="preserve"> </w:t>
      </w:r>
      <w:r>
        <w:rPr>
          <w:rFonts w:ascii="宋体" w:hAnsi="宋体" w:eastAsia="宋体" w:cs="宋体"/>
          <w:spacing w:val="-14"/>
          <w:sz w:val="24"/>
          <w:szCs w:val="24"/>
        </w:rPr>
        <w:t>采</w:t>
      </w:r>
      <w:r>
        <w:rPr>
          <w:rFonts w:ascii="宋体" w:hAnsi="宋体" w:eastAsia="宋体" w:cs="宋体"/>
          <w:sz w:val="24"/>
          <w:szCs w:val="24"/>
        </w:rPr>
        <w:t xml:space="preserve"> </w:t>
      </w:r>
      <w:r>
        <w:rPr>
          <w:rFonts w:ascii="宋体" w:hAnsi="宋体" w:eastAsia="宋体" w:cs="宋体"/>
          <w:spacing w:val="-12"/>
          <w:sz w:val="24"/>
          <w:szCs w:val="24"/>
        </w:rPr>
        <w:t>用人工或挖掘机配合推土机拆除，</w:t>
      </w:r>
      <w:r>
        <w:rPr>
          <w:rFonts w:ascii="宋体" w:hAnsi="宋体" w:eastAsia="宋体" w:cs="宋体"/>
          <w:spacing w:val="41"/>
          <w:sz w:val="24"/>
          <w:szCs w:val="24"/>
        </w:rPr>
        <w:t xml:space="preserve"> </w:t>
      </w:r>
      <w:r>
        <w:rPr>
          <w:rFonts w:ascii="宋体" w:hAnsi="宋体" w:eastAsia="宋体" w:cs="宋体"/>
          <w:spacing w:val="-12"/>
          <w:sz w:val="24"/>
          <w:szCs w:val="24"/>
        </w:rPr>
        <w:t>其中拆迁的砖块、木材可进行社会化利用，</w:t>
      </w:r>
      <w:r>
        <w:rPr>
          <w:rFonts w:ascii="宋体" w:hAnsi="宋体" w:eastAsia="宋体" w:cs="宋体"/>
          <w:spacing w:val="33"/>
          <w:sz w:val="24"/>
          <w:szCs w:val="24"/>
        </w:rPr>
        <w:t xml:space="preserve"> </w:t>
      </w:r>
      <w:r>
        <w:rPr>
          <w:rFonts w:ascii="宋体" w:hAnsi="宋体" w:eastAsia="宋体" w:cs="宋体"/>
          <w:spacing w:val="-12"/>
          <w:sz w:val="24"/>
          <w:szCs w:val="24"/>
        </w:rPr>
        <w:t>其</w:t>
      </w:r>
    </w:p>
    <w:p>
      <w:pPr>
        <w:spacing w:line="219" w:lineRule="auto"/>
        <w:ind w:left="39"/>
        <w:rPr>
          <w:rFonts w:ascii="宋体" w:hAnsi="宋体" w:eastAsia="宋体" w:cs="宋体"/>
          <w:sz w:val="24"/>
          <w:szCs w:val="24"/>
        </w:rPr>
      </w:pPr>
      <w:r>
        <w:rPr>
          <w:rFonts w:ascii="宋体" w:hAnsi="宋体" w:eastAsia="宋体" w:cs="宋体"/>
          <w:spacing w:val="-2"/>
          <w:sz w:val="24"/>
          <w:szCs w:val="24"/>
        </w:rPr>
        <w:t>余建筑垃圾（碎砖瓦）运至合法建筑垃圾处置场地。</w:t>
      </w:r>
    </w:p>
    <w:p>
      <w:pPr>
        <w:spacing w:before="182" w:line="220" w:lineRule="auto"/>
        <w:ind w:left="513"/>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、清基工程</w:t>
      </w:r>
    </w:p>
    <w:p>
      <w:pPr>
        <w:spacing w:before="180" w:line="359" w:lineRule="auto"/>
        <w:ind w:left="38" w:right="37" w:firstLine="482"/>
        <w:rPr>
          <w:rFonts w:ascii="宋体" w:hAnsi="宋体" w:eastAsia="宋体" w:cs="宋体"/>
          <w:sz w:val="24"/>
          <w:szCs w:val="24"/>
        </w:rPr>
      </w:pPr>
      <w:r>
        <w:rPr>
          <w:rFonts w:ascii="宋体" w:hAnsi="宋体" w:eastAsia="宋体" w:cs="宋体"/>
          <w:spacing w:val="-12"/>
          <w:sz w:val="24"/>
          <w:szCs w:val="24"/>
        </w:rPr>
        <w:t>工程沿线土地利用类型以工业用地为主，</w:t>
      </w:r>
      <w:r>
        <w:rPr>
          <w:rFonts w:ascii="宋体" w:hAnsi="宋体" w:eastAsia="宋体" w:cs="宋体"/>
          <w:spacing w:val="32"/>
          <w:sz w:val="24"/>
          <w:szCs w:val="24"/>
        </w:rPr>
        <w:t xml:space="preserve"> </w:t>
      </w:r>
      <w:r>
        <w:rPr>
          <w:rFonts w:ascii="宋体" w:hAnsi="宋体" w:eastAsia="宋体" w:cs="宋体"/>
          <w:spacing w:val="-12"/>
          <w:sz w:val="24"/>
          <w:szCs w:val="24"/>
        </w:rPr>
        <w:t>耕</w:t>
      </w:r>
      <w:r>
        <w:rPr>
          <w:rFonts w:ascii="宋体" w:hAnsi="宋体" w:eastAsia="宋体" w:cs="宋体"/>
          <w:spacing w:val="-13"/>
          <w:sz w:val="24"/>
          <w:szCs w:val="24"/>
        </w:rPr>
        <w:t>地林地次之。工程施工前，</w:t>
      </w:r>
      <w:r>
        <w:rPr>
          <w:rFonts w:ascii="宋体" w:hAnsi="宋体" w:eastAsia="宋体" w:cs="宋体"/>
          <w:spacing w:val="31"/>
          <w:sz w:val="24"/>
          <w:szCs w:val="24"/>
        </w:rPr>
        <w:t xml:space="preserve"> </w:t>
      </w:r>
      <w:r>
        <w:rPr>
          <w:rFonts w:ascii="宋体" w:hAnsi="宋体" w:eastAsia="宋体" w:cs="宋体"/>
          <w:spacing w:val="-13"/>
          <w:sz w:val="24"/>
          <w:szCs w:val="24"/>
        </w:rPr>
        <w:t>对路</w:t>
      </w:r>
      <w:r>
        <w:rPr>
          <w:rFonts w:ascii="宋体" w:hAnsi="宋体" w:eastAsia="宋体" w:cs="宋体"/>
          <w:sz w:val="24"/>
          <w:szCs w:val="24"/>
        </w:rPr>
        <w:t xml:space="preserve"> </w:t>
      </w:r>
      <w:r>
        <w:rPr>
          <w:rFonts w:ascii="宋体" w:hAnsi="宋体" w:eastAsia="宋体" w:cs="宋体"/>
          <w:spacing w:val="4"/>
          <w:sz w:val="24"/>
          <w:szCs w:val="24"/>
        </w:rPr>
        <w:t>基工程和施工临时设施占用耕地、林地和草地进行表土剥离，耕地剥离厚度约</w:t>
      </w:r>
      <w:r>
        <w:rPr>
          <w:rFonts w:ascii="宋体" w:hAnsi="宋体" w:eastAsia="宋体" w:cs="宋体"/>
          <w:spacing w:val="2"/>
          <w:sz w:val="24"/>
          <w:szCs w:val="24"/>
        </w:rPr>
        <w:t xml:space="preserve"> </w:t>
      </w:r>
      <w:r>
        <w:rPr>
          <w:rFonts w:ascii="Times New Roman" w:hAnsi="Times New Roman" w:eastAsia="Times New Roman" w:cs="Times New Roman"/>
          <w:sz w:val="24"/>
          <w:szCs w:val="24"/>
        </w:rPr>
        <w:t>30cm</w:t>
      </w:r>
      <w:r>
        <w:rPr>
          <w:rFonts w:ascii="宋体" w:hAnsi="宋体" w:eastAsia="宋体" w:cs="宋体"/>
          <w:sz w:val="24"/>
          <w:szCs w:val="24"/>
        </w:rPr>
        <w:t xml:space="preserve">，林地和草地剥离厚度约 </w:t>
      </w:r>
      <w:r>
        <w:rPr>
          <w:rFonts w:ascii="Times New Roman" w:hAnsi="Times New Roman" w:eastAsia="Times New Roman" w:cs="Times New Roman"/>
          <w:sz w:val="24"/>
          <w:szCs w:val="24"/>
        </w:rPr>
        <w:t>10~20cm</w:t>
      </w:r>
      <w:r>
        <w:rPr>
          <w:rFonts w:ascii="宋体" w:hAnsi="宋体" w:eastAsia="宋体" w:cs="宋体"/>
          <w:sz w:val="24"/>
          <w:szCs w:val="24"/>
        </w:rPr>
        <w:t>。工程剥离的表土用于施工后期绿化或</w:t>
      </w:r>
      <w:r>
        <w:rPr>
          <w:rFonts w:ascii="宋体" w:hAnsi="宋体" w:eastAsia="宋体" w:cs="宋体"/>
          <w:spacing w:val="16"/>
          <w:sz w:val="24"/>
          <w:szCs w:val="24"/>
        </w:rPr>
        <w:t xml:space="preserve"> </w:t>
      </w:r>
      <w:r>
        <w:rPr>
          <w:rFonts w:ascii="宋体" w:hAnsi="宋体" w:eastAsia="宋体" w:cs="宋体"/>
          <w:spacing w:val="-9"/>
          <w:sz w:val="24"/>
          <w:szCs w:val="24"/>
        </w:rPr>
        <w:t>复耕覆土， 清基工程采用机械配合人工方式， 有条</w:t>
      </w:r>
      <w:r>
        <w:rPr>
          <w:rFonts w:ascii="宋体" w:hAnsi="宋体" w:eastAsia="宋体" w:cs="宋体"/>
          <w:spacing w:val="-10"/>
          <w:sz w:val="24"/>
          <w:szCs w:val="24"/>
        </w:rPr>
        <w:t>件的地方采用履带式推土机清</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基，施工机械不能到达的地方采用人工清基方式施工。</w:t>
      </w:r>
    </w:p>
    <w:p>
      <w:pPr>
        <w:spacing w:before="183" w:line="220" w:lineRule="auto"/>
        <w:ind w:left="518"/>
        <w:rPr>
          <w:rFonts w:ascii="宋体" w:hAnsi="宋体" w:eastAsia="宋体" w:cs="宋体"/>
          <w:sz w:val="24"/>
          <w:szCs w:val="24"/>
        </w:rPr>
      </w:pPr>
      <w:r>
        <w:rPr>
          <w:rFonts w:ascii="Times New Roman" w:hAnsi="Times New Roman" w:eastAsia="Times New Roman" w:cs="Times New Roman"/>
          <w:spacing w:val="-6"/>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、路基工程</w:t>
      </w:r>
    </w:p>
    <w:p>
      <w:pPr>
        <w:spacing w:before="180" w:line="468" w:lineRule="exact"/>
        <w:ind w:right="34"/>
        <w:jc w:val="right"/>
        <w:rPr>
          <w:rFonts w:ascii="宋体" w:hAnsi="宋体" w:eastAsia="宋体" w:cs="宋体"/>
          <w:sz w:val="24"/>
          <w:szCs w:val="24"/>
        </w:rPr>
      </w:pPr>
      <w:r>
        <w:rPr>
          <w:rFonts w:ascii="宋体" w:hAnsi="宋体" w:eastAsia="宋体" w:cs="宋体"/>
          <w:spacing w:val="-15"/>
          <w:position w:val="17"/>
          <w:sz w:val="24"/>
          <w:szCs w:val="24"/>
        </w:rPr>
        <w:t>土方开挖采用机械施工，</w:t>
      </w:r>
      <w:r>
        <w:rPr>
          <w:rFonts w:ascii="宋体" w:hAnsi="宋体" w:eastAsia="宋体" w:cs="宋体"/>
          <w:spacing w:val="-27"/>
          <w:position w:val="17"/>
          <w:sz w:val="24"/>
          <w:szCs w:val="24"/>
        </w:rPr>
        <w:t xml:space="preserve"> </w:t>
      </w:r>
      <w:r>
        <w:rPr>
          <w:rFonts w:ascii="宋体" w:hAnsi="宋体" w:eastAsia="宋体" w:cs="宋体"/>
          <w:spacing w:val="-15"/>
          <w:position w:val="17"/>
          <w:sz w:val="24"/>
          <w:szCs w:val="24"/>
        </w:rPr>
        <w:t>施工时分段进行，</w:t>
      </w:r>
      <w:r>
        <w:rPr>
          <w:rFonts w:ascii="宋体" w:hAnsi="宋体" w:eastAsia="宋体" w:cs="宋体"/>
          <w:spacing w:val="32"/>
          <w:position w:val="17"/>
          <w:sz w:val="24"/>
          <w:szCs w:val="24"/>
        </w:rPr>
        <w:t xml:space="preserve"> </w:t>
      </w:r>
      <w:r>
        <w:rPr>
          <w:rFonts w:ascii="宋体" w:hAnsi="宋体" w:eastAsia="宋体" w:cs="宋体"/>
          <w:spacing w:val="-15"/>
          <w:position w:val="17"/>
          <w:sz w:val="24"/>
          <w:szCs w:val="24"/>
        </w:rPr>
        <w:t>每段自上而下分</w:t>
      </w:r>
      <w:r>
        <w:rPr>
          <w:rFonts w:ascii="宋体" w:hAnsi="宋体" w:eastAsia="宋体" w:cs="宋体"/>
          <w:spacing w:val="-16"/>
          <w:position w:val="17"/>
          <w:sz w:val="24"/>
          <w:szCs w:val="24"/>
        </w:rPr>
        <w:t>层开挖，</w:t>
      </w:r>
      <w:r>
        <w:rPr>
          <w:rFonts w:ascii="宋体" w:hAnsi="宋体" w:eastAsia="宋体" w:cs="宋体"/>
          <w:spacing w:val="37"/>
          <w:position w:val="17"/>
          <w:sz w:val="24"/>
          <w:szCs w:val="24"/>
        </w:rPr>
        <w:t xml:space="preserve"> </w:t>
      </w:r>
      <w:r>
        <w:rPr>
          <w:rFonts w:ascii="宋体" w:hAnsi="宋体" w:eastAsia="宋体" w:cs="宋体"/>
          <w:spacing w:val="-16"/>
          <w:position w:val="17"/>
          <w:sz w:val="24"/>
          <w:szCs w:val="24"/>
        </w:rPr>
        <w:t>并及时</w:t>
      </w:r>
    </w:p>
    <w:p>
      <w:pPr>
        <w:spacing w:before="1" w:line="218" w:lineRule="auto"/>
        <w:ind w:left="40"/>
        <w:rPr>
          <w:rFonts w:ascii="宋体" w:hAnsi="宋体" w:eastAsia="宋体" w:cs="宋体"/>
          <w:sz w:val="24"/>
          <w:szCs w:val="24"/>
        </w:rPr>
      </w:pPr>
      <w:r>
        <w:rPr>
          <w:rFonts w:ascii="宋体" w:hAnsi="宋体" w:eastAsia="宋体" w:cs="宋体"/>
          <w:spacing w:val="-1"/>
          <w:sz w:val="24"/>
          <w:szCs w:val="24"/>
        </w:rPr>
        <w:t>用人工配合挖掘机整刷边坡，对不便于机械施工的</w:t>
      </w:r>
      <w:r>
        <w:rPr>
          <w:rFonts w:ascii="宋体" w:hAnsi="宋体" w:eastAsia="宋体" w:cs="宋体"/>
          <w:spacing w:val="-2"/>
          <w:sz w:val="24"/>
          <w:szCs w:val="24"/>
        </w:rPr>
        <w:t>并行地段，采用人力施工。</w:t>
      </w:r>
    </w:p>
    <w:p>
      <w:pPr>
        <w:spacing w:before="182" w:line="359" w:lineRule="auto"/>
        <w:ind w:left="37" w:right="42" w:firstLine="481"/>
        <w:rPr>
          <w:rFonts w:ascii="宋体" w:hAnsi="宋体" w:eastAsia="宋体" w:cs="宋体"/>
          <w:sz w:val="24"/>
          <w:szCs w:val="24"/>
        </w:rPr>
      </w:pPr>
      <w:r>
        <w:rPr>
          <w:rFonts w:ascii="宋体" w:hAnsi="宋体" w:eastAsia="宋体" w:cs="宋体"/>
          <w:spacing w:val="-7"/>
          <w:sz w:val="24"/>
          <w:szCs w:val="24"/>
        </w:rPr>
        <w:t>石方开挖应根据岩石的类别、风化程度和节理发育程度等确定开挖方式， 能</w:t>
      </w:r>
      <w:r>
        <w:rPr>
          <w:rFonts w:ascii="宋体" w:hAnsi="宋体" w:eastAsia="宋体" w:cs="宋体"/>
          <w:spacing w:val="10"/>
          <w:sz w:val="24"/>
          <w:szCs w:val="24"/>
        </w:rPr>
        <w:t xml:space="preserve"> </w:t>
      </w:r>
      <w:r>
        <w:rPr>
          <w:rFonts w:ascii="宋体" w:hAnsi="宋体" w:eastAsia="宋体" w:cs="宋体"/>
          <w:spacing w:val="-6"/>
          <w:sz w:val="24"/>
          <w:szCs w:val="24"/>
        </w:rPr>
        <w:t>采用机械开挖的均应采用机械开挖， 凡不能采用机械的石</w:t>
      </w:r>
      <w:r>
        <w:rPr>
          <w:rFonts w:ascii="宋体" w:hAnsi="宋体" w:eastAsia="宋体" w:cs="宋体"/>
          <w:spacing w:val="-7"/>
          <w:sz w:val="24"/>
          <w:szCs w:val="24"/>
        </w:rPr>
        <w:t>方则应采用光面、预裂</w:t>
      </w:r>
    </w:p>
    <w:p>
      <w:pPr>
        <w:spacing w:line="218" w:lineRule="auto"/>
        <w:ind w:left="38"/>
        <w:rPr>
          <w:rFonts w:ascii="宋体" w:hAnsi="宋体" w:eastAsia="宋体" w:cs="宋体"/>
          <w:sz w:val="24"/>
          <w:szCs w:val="24"/>
        </w:rPr>
      </w:pPr>
      <w:r>
        <w:rPr>
          <w:rFonts w:ascii="宋体" w:hAnsi="宋体" w:eastAsia="宋体" w:cs="宋体"/>
          <w:spacing w:val="-3"/>
          <w:sz w:val="24"/>
          <w:szCs w:val="24"/>
        </w:rPr>
        <w:t>爆破法爆破，用挖掘机装挖，运渣车运输。</w:t>
      </w:r>
    </w:p>
    <w:p>
      <w:pPr>
        <w:spacing w:before="185" w:line="468" w:lineRule="exact"/>
        <w:jc w:val="right"/>
        <w:rPr>
          <w:rFonts w:ascii="宋体" w:hAnsi="宋体" w:eastAsia="宋体" w:cs="宋体"/>
          <w:sz w:val="24"/>
          <w:szCs w:val="24"/>
        </w:rPr>
      </w:pPr>
      <w:r>
        <w:rPr>
          <w:rFonts w:ascii="宋体" w:hAnsi="宋体" w:eastAsia="宋体" w:cs="宋体"/>
          <w:spacing w:val="-2"/>
          <w:position w:val="17"/>
          <w:sz w:val="24"/>
          <w:szCs w:val="24"/>
        </w:rPr>
        <w:t>路基作为路线的主体，又是路面的基础，其施工过程宜采用机械施工为主，</w:t>
      </w:r>
    </w:p>
    <w:p>
      <w:pPr>
        <w:spacing w:line="220" w:lineRule="auto"/>
        <w:ind w:left="38"/>
        <w:rPr>
          <w:rFonts w:ascii="宋体" w:hAnsi="宋体" w:eastAsia="宋体" w:cs="宋体"/>
          <w:sz w:val="24"/>
          <w:szCs w:val="24"/>
        </w:rPr>
      </w:pPr>
      <w:r>
        <w:rPr>
          <w:rFonts w:ascii="宋体" w:hAnsi="宋体" w:eastAsia="宋体" w:cs="宋体"/>
          <w:spacing w:val="-4"/>
          <w:sz w:val="24"/>
          <w:szCs w:val="24"/>
        </w:rPr>
        <w:t>适当辅助人工施工的方法。</w:t>
      </w:r>
    </w:p>
    <w:p>
      <w:pPr>
        <w:spacing w:before="179" w:line="468" w:lineRule="exact"/>
        <w:ind w:right="38"/>
        <w:jc w:val="right"/>
        <w:rPr>
          <w:rFonts w:ascii="宋体" w:hAnsi="宋体" w:eastAsia="宋体" w:cs="宋体"/>
          <w:sz w:val="24"/>
          <w:szCs w:val="24"/>
        </w:rPr>
      </w:pPr>
      <w:r>
        <w:rPr>
          <w:rFonts w:ascii="宋体" w:hAnsi="宋体" w:eastAsia="宋体" w:cs="宋体"/>
          <w:spacing w:val="-11"/>
          <w:position w:val="17"/>
          <w:sz w:val="24"/>
          <w:szCs w:val="24"/>
        </w:rPr>
        <w:t>本项目工程路基填挖方工程量较大， 所需填筑材料数量多，</w:t>
      </w:r>
      <w:r>
        <w:rPr>
          <w:rFonts w:ascii="宋体" w:hAnsi="宋体" w:eastAsia="宋体" w:cs="宋体"/>
          <w:spacing w:val="33"/>
          <w:position w:val="17"/>
          <w:sz w:val="24"/>
          <w:szCs w:val="24"/>
        </w:rPr>
        <w:t xml:space="preserve"> </w:t>
      </w:r>
      <w:r>
        <w:rPr>
          <w:rFonts w:ascii="宋体" w:hAnsi="宋体" w:eastAsia="宋体" w:cs="宋体"/>
          <w:spacing w:val="-11"/>
          <w:position w:val="17"/>
          <w:sz w:val="24"/>
          <w:szCs w:val="24"/>
        </w:rPr>
        <w:t>因此路基</w:t>
      </w:r>
      <w:r>
        <w:rPr>
          <w:rFonts w:ascii="宋体" w:hAnsi="宋体" w:eastAsia="宋体" w:cs="宋体"/>
          <w:spacing w:val="-12"/>
          <w:position w:val="17"/>
          <w:sz w:val="24"/>
          <w:szCs w:val="24"/>
        </w:rPr>
        <w:t>填料尽</w:t>
      </w:r>
    </w:p>
    <w:p>
      <w:pPr>
        <w:spacing w:before="1" w:line="218" w:lineRule="auto"/>
        <w:ind w:left="38"/>
        <w:rPr>
          <w:rFonts w:ascii="宋体" w:hAnsi="宋体" w:eastAsia="宋体" w:cs="宋体"/>
          <w:sz w:val="24"/>
          <w:szCs w:val="24"/>
        </w:rPr>
      </w:pPr>
      <w:r>
        <w:rPr>
          <w:rFonts w:ascii="宋体" w:hAnsi="宋体" w:eastAsia="宋体" w:cs="宋体"/>
          <w:spacing w:val="-3"/>
          <w:sz w:val="24"/>
          <w:szCs w:val="24"/>
        </w:rPr>
        <w:t>量利用沿线附近山体开挖，或利用隧道洞渣。</w:t>
      </w:r>
    </w:p>
    <w:p>
      <w:pPr>
        <w:spacing w:before="183" w:line="359" w:lineRule="auto"/>
        <w:ind w:left="38" w:right="40" w:firstLine="478"/>
        <w:rPr>
          <w:rFonts w:ascii="宋体" w:hAnsi="宋体" w:eastAsia="宋体" w:cs="宋体"/>
          <w:sz w:val="24"/>
          <w:szCs w:val="24"/>
        </w:rPr>
      </w:pPr>
      <w:r>
        <w:rPr>
          <w:rFonts w:ascii="宋体" w:hAnsi="宋体" w:eastAsia="宋体" w:cs="宋体"/>
          <w:spacing w:val="-17"/>
          <w:sz w:val="24"/>
          <w:szCs w:val="24"/>
        </w:rPr>
        <w:t>对填方路段，</w:t>
      </w:r>
      <w:r>
        <w:rPr>
          <w:rFonts w:ascii="宋体" w:hAnsi="宋体" w:eastAsia="宋体" w:cs="宋体"/>
          <w:spacing w:val="33"/>
          <w:sz w:val="24"/>
          <w:szCs w:val="24"/>
        </w:rPr>
        <w:t xml:space="preserve"> </w:t>
      </w:r>
      <w:r>
        <w:rPr>
          <w:rFonts w:ascii="宋体" w:hAnsi="宋体" w:eastAsia="宋体" w:cs="宋体"/>
          <w:spacing w:val="-17"/>
          <w:sz w:val="24"/>
          <w:szCs w:val="24"/>
        </w:rPr>
        <w:t>应配置符合要求的压实机械，</w:t>
      </w:r>
      <w:r>
        <w:rPr>
          <w:rFonts w:ascii="宋体" w:hAnsi="宋体" w:eastAsia="宋体" w:cs="宋体"/>
          <w:spacing w:val="32"/>
          <w:sz w:val="24"/>
          <w:szCs w:val="24"/>
        </w:rPr>
        <w:t xml:space="preserve"> </w:t>
      </w:r>
      <w:r>
        <w:rPr>
          <w:rFonts w:ascii="宋体" w:hAnsi="宋体" w:eastAsia="宋体" w:cs="宋体"/>
          <w:spacing w:val="-17"/>
          <w:sz w:val="24"/>
          <w:szCs w:val="24"/>
        </w:rPr>
        <w:t>做到分层压实，</w:t>
      </w:r>
      <w:r>
        <w:rPr>
          <w:rFonts w:ascii="宋体" w:hAnsi="宋体" w:eastAsia="宋体" w:cs="宋体"/>
          <w:spacing w:val="33"/>
          <w:sz w:val="24"/>
          <w:szCs w:val="24"/>
        </w:rPr>
        <w:t xml:space="preserve"> </w:t>
      </w:r>
      <w:r>
        <w:rPr>
          <w:rFonts w:ascii="宋体" w:hAnsi="宋体" w:eastAsia="宋体" w:cs="宋体"/>
          <w:spacing w:val="-17"/>
          <w:sz w:val="24"/>
          <w:szCs w:val="24"/>
        </w:rPr>
        <w:t>严格控制有效压</w:t>
      </w:r>
      <w:r>
        <w:rPr>
          <w:rFonts w:ascii="宋体" w:hAnsi="宋体" w:eastAsia="宋体" w:cs="宋体"/>
          <w:sz w:val="24"/>
          <w:szCs w:val="24"/>
        </w:rPr>
        <w:t xml:space="preserve"> </w:t>
      </w:r>
      <w:r>
        <w:rPr>
          <w:rFonts w:ascii="宋体" w:hAnsi="宋体" w:eastAsia="宋体" w:cs="宋体"/>
          <w:spacing w:val="-15"/>
          <w:sz w:val="24"/>
          <w:szCs w:val="24"/>
        </w:rPr>
        <w:t>实厚度， 不得超厚压实。对于填土路基，</w:t>
      </w:r>
      <w:r>
        <w:rPr>
          <w:rFonts w:ascii="宋体" w:hAnsi="宋体" w:eastAsia="宋体" w:cs="宋体"/>
          <w:spacing w:val="39"/>
          <w:sz w:val="24"/>
          <w:szCs w:val="24"/>
        </w:rPr>
        <w:t xml:space="preserve"> </w:t>
      </w:r>
      <w:r>
        <w:rPr>
          <w:rFonts w:ascii="宋体" w:hAnsi="宋体" w:eastAsia="宋体" w:cs="宋体"/>
          <w:spacing w:val="-15"/>
          <w:sz w:val="24"/>
          <w:szCs w:val="24"/>
        </w:rPr>
        <w:t>严禁使用超规定含</w:t>
      </w:r>
      <w:r>
        <w:rPr>
          <w:rFonts w:ascii="宋体" w:hAnsi="宋体" w:eastAsia="宋体" w:cs="宋体"/>
          <w:spacing w:val="-16"/>
          <w:sz w:val="24"/>
          <w:szCs w:val="24"/>
        </w:rPr>
        <w:t>水量的填料，</w:t>
      </w:r>
      <w:r>
        <w:rPr>
          <w:rFonts w:ascii="宋体" w:hAnsi="宋体" w:eastAsia="宋体" w:cs="宋体"/>
          <w:spacing w:val="43"/>
          <w:sz w:val="24"/>
          <w:szCs w:val="24"/>
        </w:rPr>
        <w:t xml:space="preserve"> </w:t>
      </w:r>
      <w:r>
        <w:rPr>
          <w:rFonts w:ascii="宋体" w:hAnsi="宋体" w:eastAsia="宋体" w:cs="宋体"/>
          <w:spacing w:val="-16"/>
          <w:sz w:val="24"/>
          <w:szCs w:val="24"/>
        </w:rPr>
        <w:t>如出现</w:t>
      </w:r>
      <w:r>
        <w:rPr>
          <w:rFonts w:ascii="宋体" w:hAnsi="宋体" w:eastAsia="宋体" w:cs="宋体"/>
          <w:sz w:val="24"/>
          <w:szCs w:val="24"/>
        </w:rPr>
        <w:t xml:space="preserve"> </w:t>
      </w:r>
      <w:r>
        <w:rPr>
          <w:rFonts w:ascii="宋体" w:hAnsi="宋体" w:eastAsia="宋体" w:cs="宋体"/>
          <w:spacing w:val="-10"/>
          <w:sz w:val="24"/>
          <w:szCs w:val="24"/>
        </w:rPr>
        <w:t>弹簧，</w:t>
      </w:r>
      <w:r>
        <w:rPr>
          <w:rFonts w:ascii="宋体" w:hAnsi="宋体" w:eastAsia="宋体" w:cs="宋体"/>
          <w:spacing w:val="-25"/>
          <w:sz w:val="24"/>
          <w:szCs w:val="24"/>
        </w:rPr>
        <w:t xml:space="preserve"> </w:t>
      </w:r>
      <w:r>
        <w:rPr>
          <w:rFonts w:ascii="宋体" w:hAnsi="宋体" w:eastAsia="宋体" w:cs="宋体"/>
          <w:spacing w:val="-10"/>
          <w:sz w:val="24"/>
          <w:szCs w:val="24"/>
        </w:rPr>
        <w:t>应挖出重填。对于石方路段，</w:t>
      </w:r>
      <w:r>
        <w:rPr>
          <w:rFonts w:ascii="宋体" w:hAnsi="宋体" w:eastAsia="宋体" w:cs="宋体"/>
          <w:spacing w:val="31"/>
          <w:sz w:val="24"/>
          <w:szCs w:val="24"/>
        </w:rPr>
        <w:t xml:space="preserve"> </w:t>
      </w:r>
      <w:r>
        <w:rPr>
          <w:rFonts w:ascii="宋体" w:hAnsi="宋体" w:eastAsia="宋体" w:cs="宋体"/>
          <w:spacing w:val="-10"/>
          <w:sz w:val="24"/>
          <w:szCs w:val="24"/>
        </w:rPr>
        <w:t>对爆破方式的选择应充分考虑移挖作填的石</w:t>
      </w:r>
      <w:r>
        <w:rPr>
          <w:rFonts w:ascii="宋体" w:hAnsi="宋体" w:eastAsia="宋体" w:cs="宋体"/>
          <w:sz w:val="24"/>
          <w:szCs w:val="24"/>
        </w:rPr>
        <w:t xml:space="preserve"> </w:t>
      </w:r>
      <w:r>
        <w:rPr>
          <w:rFonts w:ascii="宋体" w:hAnsi="宋体" w:eastAsia="宋体" w:cs="宋体"/>
          <w:spacing w:val="-16"/>
          <w:sz w:val="24"/>
          <w:szCs w:val="24"/>
        </w:rPr>
        <w:t>料粒径限制，</w:t>
      </w:r>
      <w:r>
        <w:rPr>
          <w:rFonts w:ascii="宋体" w:hAnsi="宋体" w:eastAsia="宋体" w:cs="宋体"/>
          <w:spacing w:val="31"/>
          <w:sz w:val="24"/>
          <w:szCs w:val="24"/>
        </w:rPr>
        <w:t xml:space="preserve"> </w:t>
      </w:r>
      <w:r>
        <w:rPr>
          <w:rFonts w:ascii="宋体" w:hAnsi="宋体" w:eastAsia="宋体" w:cs="宋体"/>
          <w:spacing w:val="-16"/>
          <w:sz w:val="24"/>
          <w:szCs w:val="24"/>
        </w:rPr>
        <w:t>对填挖交界的过渡路段，</w:t>
      </w:r>
      <w:r>
        <w:rPr>
          <w:rFonts w:ascii="宋体" w:hAnsi="宋体" w:eastAsia="宋体" w:cs="宋体"/>
          <w:spacing w:val="32"/>
          <w:sz w:val="24"/>
          <w:szCs w:val="24"/>
        </w:rPr>
        <w:t xml:space="preserve"> </w:t>
      </w:r>
      <w:r>
        <w:rPr>
          <w:rFonts w:ascii="宋体" w:hAnsi="宋体" w:eastAsia="宋体" w:cs="宋体"/>
          <w:spacing w:val="-16"/>
          <w:sz w:val="24"/>
          <w:szCs w:val="24"/>
        </w:rPr>
        <w:t>应按规定</w:t>
      </w:r>
      <w:r>
        <w:rPr>
          <w:rFonts w:ascii="宋体" w:hAnsi="宋体" w:eastAsia="宋体" w:cs="宋体"/>
          <w:spacing w:val="-17"/>
          <w:sz w:val="24"/>
          <w:szCs w:val="24"/>
        </w:rPr>
        <w:t>采取必要的工程措施，</w:t>
      </w:r>
      <w:r>
        <w:rPr>
          <w:rFonts w:ascii="宋体" w:hAnsi="宋体" w:eastAsia="宋体" w:cs="宋体"/>
          <w:spacing w:val="47"/>
          <w:sz w:val="24"/>
          <w:szCs w:val="24"/>
        </w:rPr>
        <w:t xml:space="preserve"> </w:t>
      </w:r>
      <w:r>
        <w:rPr>
          <w:rFonts w:ascii="宋体" w:hAnsi="宋体" w:eastAsia="宋体" w:cs="宋体"/>
          <w:spacing w:val="-17"/>
          <w:sz w:val="24"/>
          <w:szCs w:val="24"/>
        </w:rPr>
        <w:t>防止路基</w:t>
      </w:r>
    </w:p>
    <w:p>
      <w:pPr>
        <w:spacing w:line="219" w:lineRule="auto"/>
        <w:ind w:left="57"/>
        <w:rPr>
          <w:rFonts w:ascii="宋体" w:hAnsi="宋体" w:eastAsia="宋体" w:cs="宋体"/>
          <w:sz w:val="24"/>
          <w:szCs w:val="24"/>
        </w:rPr>
      </w:pPr>
      <w:r>
        <w:rPr>
          <w:rFonts w:ascii="宋体" w:hAnsi="宋体" w:eastAsia="宋体" w:cs="宋体"/>
          <w:spacing w:val="-4"/>
          <w:sz w:val="24"/>
          <w:szCs w:val="24"/>
        </w:rPr>
        <w:t>的错台产生，造成路面破坏，影响行车。</w:t>
      </w:r>
    </w:p>
    <w:p>
      <w:pPr>
        <w:spacing w:before="182" w:line="220" w:lineRule="auto"/>
        <w:ind w:left="520"/>
        <w:rPr>
          <w:rFonts w:ascii="宋体" w:hAnsi="宋体" w:eastAsia="宋体" w:cs="宋体"/>
          <w:sz w:val="24"/>
          <w:szCs w:val="24"/>
        </w:rPr>
      </w:pPr>
      <w:r>
        <w:rPr>
          <w:rFonts w:ascii="宋体" w:hAnsi="宋体" w:eastAsia="宋体" w:cs="宋体"/>
          <w:spacing w:val="-6"/>
          <w:sz w:val="24"/>
          <w:szCs w:val="24"/>
        </w:rPr>
        <w:t>路基施工工艺流程如下：</w:t>
      </w:r>
    </w:p>
    <w:p>
      <w:pPr>
        <w:spacing w:before="181" w:line="359" w:lineRule="auto"/>
        <w:ind w:left="26" w:right="36" w:firstLine="492"/>
        <w:rPr>
          <w:rFonts w:ascii="宋体" w:hAnsi="宋体" w:eastAsia="宋体" w:cs="宋体"/>
          <w:sz w:val="24"/>
          <w:szCs w:val="24"/>
        </w:rPr>
      </w:pPr>
      <w:r>
        <w:rPr>
          <w:rFonts w:ascii="宋体" w:hAnsi="宋体" w:eastAsia="宋体" w:cs="宋体"/>
          <w:spacing w:val="4"/>
          <w:sz w:val="24"/>
          <w:szCs w:val="24"/>
        </w:rPr>
        <w:t>测量放线</w:t>
      </w:r>
      <w:r>
        <w:rPr>
          <w:rFonts w:ascii="Times New Roman" w:hAnsi="Times New Roman" w:eastAsia="Times New Roman" w:cs="Times New Roman"/>
          <w:spacing w:val="4"/>
          <w:sz w:val="24"/>
          <w:szCs w:val="24"/>
        </w:rPr>
        <w:t>——</w:t>
      </w:r>
      <w:r>
        <w:rPr>
          <w:rFonts w:ascii="宋体" w:hAnsi="宋体" w:eastAsia="宋体" w:cs="宋体"/>
          <w:spacing w:val="4"/>
          <w:sz w:val="24"/>
          <w:szCs w:val="24"/>
        </w:rPr>
        <w:t>清除植被及表层土</w:t>
      </w:r>
      <w:r>
        <w:rPr>
          <w:rFonts w:ascii="Times New Roman" w:hAnsi="Times New Roman" w:eastAsia="Times New Roman" w:cs="Times New Roman"/>
          <w:spacing w:val="4"/>
          <w:sz w:val="24"/>
          <w:szCs w:val="24"/>
        </w:rPr>
        <w:t>——</w:t>
      </w:r>
      <w:r>
        <w:rPr>
          <w:rFonts w:ascii="宋体" w:hAnsi="宋体" w:eastAsia="宋体" w:cs="宋体"/>
          <w:spacing w:val="4"/>
          <w:sz w:val="24"/>
          <w:szCs w:val="24"/>
        </w:rPr>
        <w:t>截水沟及临时排水设施</w:t>
      </w:r>
      <w:r>
        <w:rPr>
          <w:rFonts w:ascii="Times New Roman" w:hAnsi="Times New Roman" w:eastAsia="Times New Roman" w:cs="Times New Roman"/>
          <w:spacing w:val="4"/>
          <w:sz w:val="24"/>
          <w:szCs w:val="24"/>
        </w:rPr>
        <w:t>——</w:t>
      </w:r>
      <w:r>
        <w:rPr>
          <w:rFonts w:ascii="宋体" w:hAnsi="宋体" w:eastAsia="宋体" w:cs="宋体"/>
          <w:spacing w:val="4"/>
          <w:sz w:val="24"/>
          <w:szCs w:val="24"/>
        </w:rPr>
        <w:t>基底处理</w:t>
      </w:r>
      <w:r>
        <w:rPr>
          <w:rFonts w:ascii="宋体" w:hAnsi="宋体" w:eastAsia="宋体" w:cs="宋体"/>
          <w:spacing w:val="10"/>
          <w:sz w:val="24"/>
          <w:szCs w:val="24"/>
        </w:rPr>
        <w:t xml:space="preserve"> </w:t>
      </w:r>
      <w:r>
        <w:rPr>
          <w:rFonts w:ascii="Times New Roman" w:hAnsi="Times New Roman" w:eastAsia="Times New Roman" w:cs="Times New Roman"/>
          <w:spacing w:val="4"/>
          <w:sz w:val="24"/>
          <w:szCs w:val="24"/>
        </w:rPr>
        <w:t>——</w:t>
      </w:r>
      <w:r>
        <w:rPr>
          <w:rFonts w:ascii="宋体" w:hAnsi="宋体" w:eastAsia="宋体" w:cs="宋体"/>
          <w:spacing w:val="4"/>
          <w:sz w:val="24"/>
          <w:szCs w:val="24"/>
        </w:rPr>
        <w:t>分层填筑</w:t>
      </w:r>
      <w:r>
        <w:rPr>
          <w:rFonts w:ascii="Times New Roman" w:hAnsi="Times New Roman" w:eastAsia="Times New Roman" w:cs="Times New Roman"/>
          <w:spacing w:val="4"/>
          <w:sz w:val="24"/>
          <w:szCs w:val="24"/>
        </w:rPr>
        <w:t>——</w:t>
      </w:r>
      <w:r>
        <w:rPr>
          <w:rFonts w:ascii="宋体" w:hAnsi="宋体" w:eastAsia="宋体" w:cs="宋体"/>
          <w:spacing w:val="4"/>
          <w:sz w:val="24"/>
          <w:szCs w:val="24"/>
        </w:rPr>
        <w:t>摊铺平整</w:t>
      </w:r>
      <w:r>
        <w:rPr>
          <w:rFonts w:ascii="Times New Roman" w:hAnsi="Times New Roman" w:eastAsia="Times New Roman" w:cs="Times New Roman"/>
          <w:spacing w:val="4"/>
          <w:sz w:val="24"/>
          <w:szCs w:val="24"/>
        </w:rPr>
        <w:t>——</w:t>
      </w:r>
      <w:r>
        <w:rPr>
          <w:rFonts w:ascii="宋体" w:hAnsi="宋体" w:eastAsia="宋体" w:cs="宋体"/>
          <w:spacing w:val="4"/>
          <w:sz w:val="24"/>
          <w:szCs w:val="24"/>
        </w:rPr>
        <w:t>碾压夯实</w:t>
      </w:r>
      <w:r>
        <w:rPr>
          <w:rFonts w:ascii="Times New Roman" w:hAnsi="Times New Roman" w:eastAsia="Times New Roman" w:cs="Times New Roman"/>
          <w:spacing w:val="4"/>
          <w:sz w:val="24"/>
          <w:szCs w:val="24"/>
        </w:rPr>
        <w:t>—</w:t>
      </w:r>
      <w:r>
        <w:rPr>
          <w:rFonts w:ascii="宋体" w:hAnsi="宋体" w:eastAsia="宋体" w:cs="宋体"/>
          <w:spacing w:val="3"/>
          <w:sz w:val="24"/>
          <w:szCs w:val="24"/>
        </w:rPr>
        <w:t>修整边坡</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防护工程施工</w:t>
      </w:r>
      <w:r>
        <w:rPr>
          <w:rFonts w:ascii="Times New Roman" w:hAnsi="Times New Roman" w:eastAsia="Times New Roman" w:cs="Times New Roman"/>
          <w:spacing w:val="3"/>
          <w:sz w:val="24"/>
          <w:szCs w:val="24"/>
        </w:rPr>
        <w:t>——</w:t>
      </w:r>
      <w:r>
        <w:rPr>
          <w:rFonts w:ascii="宋体" w:hAnsi="宋体" w:eastAsia="宋体" w:cs="宋体"/>
          <w:spacing w:val="3"/>
          <w:sz w:val="24"/>
          <w:szCs w:val="24"/>
        </w:rPr>
        <w:t>测</w:t>
      </w:r>
    </w:p>
    <w:p>
      <w:pPr>
        <w:spacing w:line="219" w:lineRule="auto"/>
        <w:ind w:left="38"/>
        <w:rPr>
          <w:rFonts w:ascii="宋体" w:hAnsi="宋体" w:eastAsia="宋体" w:cs="宋体"/>
          <w:sz w:val="24"/>
          <w:szCs w:val="24"/>
        </w:rPr>
      </w:pPr>
      <w:r>
        <w:rPr>
          <w:rFonts w:ascii="宋体" w:hAnsi="宋体" w:eastAsia="宋体" w:cs="宋体"/>
          <w:spacing w:val="-4"/>
          <w:sz w:val="24"/>
          <w:szCs w:val="24"/>
        </w:rPr>
        <w:t>沟施作</w:t>
      </w:r>
      <w:r>
        <w:rPr>
          <w:rFonts w:ascii="Times New Roman" w:hAnsi="Times New Roman" w:eastAsia="Times New Roman" w:cs="Times New Roman"/>
          <w:spacing w:val="-4"/>
          <w:sz w:val="24"/>
          <w:szCs w:val="24"/>
        </w:rPr>
        <w:t>——</w:t>
      </w:r>
      <w:r>
        <w:rPr>
          <w:rFonts w:ascii="宋体" w:hAnsi="宋体" w:eastAsia="宋体" w:cs="宋体"/>
          <w:spacing w:val="-4"/>
          <w:sz w:val="24"/>
          <w:szCs w:val="24"/>
        </w:rPr>
        <w:t>基面修整。</w:t>
      </w:r>
    </w:p>
    <w:p>
      <w:pPr>
        <w:spacing w:before="182" w:line="220" w:lineRule="auto"/>
        <w:ind w:left="512"/>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、路面工程</w:t>
      </w:r>
    </w:p>
    <w:p>
      <w:pPr>
        <w:spacing w:before="181" w:line="219" w:lineRule="auto"/>
        <w:ind w:right="41"/>
        <w:jc w:val="right"/>
        <w:rPr>
          <w:rFonts w:ascii="宋体" w:hAnsi="宋体" w:eastAsia="宋体" w:cs="宋体"/>
          <w:sz w:val="24"/>
          <w:szCs w:val="24"/>
        </w:rPr>
      </w:pPr>
      <w:r>
        <w:rPr>
          <w:rFonts w:ascii="宋体" w:hAnsi="宋体" w:eastAsia="宋体" w:cs="宋体"/>
          <w:spacing w:val="-10"/>
          <w:sz w:val="24"/>
          <w:szCs w:val="24"/>
        </w:rPr>
        <w:t>路面采用配套路面施工机械设备， 专业化施工方案， 配置少量的人工辅助施</w:t>
      </w:r>
    </w:p>
    <w:p>
      <w:pPr>
        <w:spacing w:line="219" w:lineRule="auto"/>
        <w:rPr>
          <w:rFonts w:ascii="宋体" w:hAnsi="宋体" w:eastAsia="宋体" w:cs="宋体"/>
          <w:sz w:val="24"/>
          <w:szCs w:val="24"/>
        </w:rPr>
        <w:sectPr>
          <w:headerReference r:id="rId140" w:type="default"/>
          <w:footerReference r:id="rId141" w:type="default"/>
          <w:pgSz w:w="11907" w:h="16839"/>
          <w:pgMar w:top="1118" w:right="1759" w:bottom="1184" w:left="1771" w:header="879" w:footer="1024" w:gutter="0"/>
          <w:cols w:space="720" w:num="1"/>
        </w:sectPr>
      </w:pPr>
    </w:p>
    <w:p>
      <w:pPr>
        <w:pStyle w:val="2"/>
        <w:spacing w:line="280" w:lineRule="auto"/>
      </w:pPr>
    </w:p>
    <w:p>
      <w:pPr>
        <w:spacing w:before="78" w:line="359" w:lineRule="auto"/>
        <w:ind w:left="37" w:firstLine="3"/>
        <w:jc w:val="both"/>
        <w:rPr>
          <w:rFonts w:ascii="宋体" w:hAnsi="宋体" w:eastAsia="宋体" w:cs="宋体"/>
          <w:sz w:val="24"/>
          <w:szCs w:val="24"/>
        </w:rPr>
      </w:pPr>
      <w:r>
        <w:rPr>
          <w:rFonts w:ascii="宋体" w:hAnsi="宋体" w:eastAsia="宋体" w:cs="宋体"/>
          <w:spacing w:val="-8"/>
          <w:sz w:val="24"/>
          <w:szCs w:val="24"/>
        </w:rPr>
        <w:t>工。从经济性、使用要求、受力状态，</w:t>
      </w:r>
      <w:r>
        <w:rPr>
          <w:rFonts w:ascii="宋体" w:hAnsi="宋体" w:eastAsia="宋体" w:cs="宋体"/>
          <w:spacing w:val="50"/>
          <w:sz w:val="24"/>
          <w:szCs w:val="24"/>
        </w:rPr>
        <w:t xml:space="preserve"> </w:t>
      </w:r>
      <w:r>
        <w:rPr>
          <w:rFonts w:ascii="宋体" w:hAnsi="宋体" w:eastAsia="宋体" w:cs="宋体"/>
          <w:spacing w:val="-8"/>
          <w:sz w:val="24"/>
          <w:szCs w:val="24"/>
        </w:rPr>
        <w:t>土基支撑条件和受自然因素影响程度的不</w:t>
      </w:r>
      <w:r>
        <w:rPr>
          <w:rFonts w:ascii="宋体" w:hAnsi="宋体" w:eastAsia="宋体" w:cs="宋体"/>
          <w:sz w:val="24"/>
          <w:szCs w:val="24"/>
        </w:rPr>
        <w:t xml:space="preserve"> </w:t>
      </w:r>
      <w:r>
        <w:rPr>
          <w:rFonts w:ascii="宋体" w:hAnsi="宋体" w:eastAsia="宋体" w:cs="宋体"/>
          <w:spacing w:val="-15"/>
          <w:sz w:val="24"/>
          <w:szCs w:val="24"/>
        </w:rPr>
        <w:t>同需要， 一般均采用多层结构型式，</w:t>
      </w:r>
      <w:r>
        <w:rPr>
          <w:rFonts w:ascii="宋体" w:hAnsi="宋体" w:eastAsia="宋体" w:cs="宋体"/>
          <w:spacing w:val="39"/>
          <w:sz w:val="24"/>
          <w:szCs w:val="24"/>
        </w:rPr>
        <w:t xml:space="preserve"> </w:t>
      </w:r>
      <w:r>
        <w:rPr>
          <w:rFonts w:ascii="宋体" w:hAnsi="宋体" w:eastAsia="宋体" w:cs="宋体"/>
          <w:spacing w:val="-15"/>
          <w:sz w:val="24"/>
          <w:szCs w:val="24"/>
        </w:rPr>
        <w:t>针对不同结构层次的受力情况，</w:t>
      </w:r>
      <w:r>
        <w:rPr>
          <w:rFonts w:ascii="宋体" w:hAnsi="宋体" w:eastAsia="宋体" w:cs="宋体"/>
          <w:spacing w:val="38"/>
          <w:sz w:val="24"/>
          <w:szCs w:val="24"/>
        </w:rPr>
        <w:t xml:space="preserve"> </w:t>
      </w:r>
      <w:r>
        <w:rPr>
          <w:rFonts w:ascii="宋体" w:hAnsi="宋体" w:eastAsia="宋体" w:cs="宋体"/>
          <w:spacing w:val="-15"/>
          <w:sz w:val="24"/>
          <w:szCs w:val="24"/>
        </w:rPr>
        <w:t>在强</w:t>
      </w:r>
      <w:r>
        <w:rPr>
          <w:rFonts w:ascii="宋体" w:hAnsi="宋体" w:eastAsia="宋体" w:cs="宋体"/>
          <w:spacing w:val="-16"/>
          <w:sz w:val="24"/>
          <w:szCs w:val="24"/>
        </w:rPr>
        <w:t>度、稳</w:t>
      </w:r>
      <w:r>
        <w:rPr>
          <w:rFonts w:ascii="宋体" w:hAnsi="宋体" w:eastAsia="宋体" w:cs="宋体"/>
          <w:sz w:val="24"/>
          <w:szCs w:val="24"/>
        </w:rPr>
        <w:t xml:space="preserve"> </w:t>
      </w:r>
      <w:r>
        <w:rPr>
          <w:rFonts w:ascii="宋体" w:hAnsi="宋体" w:eastAsia="宋体" w:cs="宋体"/>
          <w:spacing w:val="-3"/>
          <w:sz w:val="24"/>
          <w:szCs w:val="24"/>
        </w:rPr>
        <w:t>定性和耐久性方面保证其质量。路面底基层及基层的水稳碎石以集中拌和摊铺摊</w:t>
      </w:r>
      <w:r>
        <w:rPr>
          <w:rFonts w:ascii="宋体" w:hAnsi="宋体" w:eastAsia="宋体" w:cs="宋体"/>
          <w:spacing w:val="2"/>
          <w:sz w:val="24"/>
          <w:szCs w:val="24"/>
        </w:rPr>
        <w:t xml:space="preserve"> </w:t>
      </w:r>
      <w:r>
        <w:rPr>
          <w:rFonts w:ascii="宋体" w:hAnsi="宋体" w:eastAsia="宋体" w:cs="宋体"/>
          <w:spacing w:val="-1"/>
          <w:sz w:val="24"/>
          <w:szCs w:val="24"/>
        </w:rPr>
        <w:t>铺机摊铺法施工，沥青混凝土面层分上、中、下三层，均</w:t>
      </w:r>
      <w:r>
        <w:rPr>
          <w:rFonts w:ascii="宋体" w:hAnsi="宋体" w:eastAsia="宋体" w:cs="宋体"/>
          <w:spacing w:val="-2"/>
          <w:sz w:val="24"/>
          <w:szCs w:val="24"/>
        </w:rPr>
        <w:t>采用拌和厂集中拌和、</w:t>
      </w:r>
      <w:r>
        <w:rPr>
          <w:rFonts w:ascii="宋体" w:hAnsi="宋体" w:eastAsia="宋体" w:cs="宋体"/>
          <w:sz w:val="24"/>
          <w:szCs w:val="24"/>
        </w:rPr>
        <w:t xml:space="preserve"> </w:t>
      </w:r>
      <w:r>
        <w:rPr>
          <w:rFonts w:ascii="宋体" w:hAnsi="宋体" w:eastAsia="宋体" w:cs="宋体"/>
          <w:spacing w:val="-2"/>
          <w:sz w:val="24"/>
          <w:szCs w:val="24"/>
        </w:rPr>
        <w:t>摊铺机摊铺法施工；路面施工应安排在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月至</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2"/>
          <w:w w:val="101"/>
          <w:sz w:val="24"/>
          <w:szCs w:val="24"/>
        </w:rPr>
        <w:t xml:space="preserve"> </w:t>
      </w:r>
      <w:r>
        <w:rPr>
          <w:rFonts w:ascii="宋体" w:hAnsi="宋体" w:eastAsia="宋体" w:cs="宋体"/>
          <w:spacing w:val="-2"/>
          <w:sz w:val="24"/>
          <w:szCs w:val="24"/>
        </w:rPr>
        <w:t>月之间，避免季</w:t>
      </w:r>
      <w:r>
        <w:rPr>
          <w:rFonts w:ascii="宋体" w:hAnsi="宋体" w:eastAsia="宋体" w:cs="宋体"/>
          <w:spacing w:val="-3"/>
          <w:sz w:val="24"/>
          <w:szCs w:val="24"/>
        </w:rPr>
        <w:t>节性气候的不</w:t>
      </w:r>
    </w:p>
    <w:p>
      <w:pPr>
        <w:spacing w:line="221" w:lineRule="auto"/>
        <w:ind w:left="39"/>
        <w:rPr>
          <w:rFonts w:ascii="宋体" w:hAnsi="宋体" w:eastAsia="宋体" w:cs="宋体"/>
          <w:sz w:val="24"/>
          <w:szCs w:val="24"/>
        </w:rPr>
      </w:pPr>
      <w:r>
        <w:rPr>
          <w:rFonts w:ascii="宋体" w:hAnsi="宋体" w:eastAsia="宋体" w:cs="宋体"/>
          <w:spacing w:val="-9"/>
          <w:sz w:val="24"/>
          <w:szCs w:val="24"/>
        </w:rPr>
        <w:t>利影响。</w:t>
      </w:r>
    </w:p>
    <w:p>
      <w:pPr>
        <w:spacing w:before="176" w:line="220" w:lineRule="auto"/>
        <w:ind w:left="520"/>
        <w:rPr>
          <w:rFonts w:ascii="宋体" w:hAnsi="宋体" w:eastAsia="宋体" w:cs="宋体"/>
          <w:sz w:val="24"/>
          <w:szCs w:val="24"/>
        </w:rPr>
      </w:pPr>
      <w:r>
        <w:rPr>
          <w:rFonts w:ascii="Times New Roman" w:hAnsi="Times New Roman" w:eastAsia="Times New Roman" w:cs="Times New Roman"/>
          <w:spacing w:val="-4"/>
          <w:sz w:val="24"/>
          <w:szCs w:val="24"/>
        </w:rPr>
        <w:t>5</w:t>
      </w:r>
      <w:r>
        <w:rPr>
          <w:rFonts w:ascii="宋体" w:hAnsi="宋体" w:eastAsia="宋体" w:cs="宋体"/>
          <w:spacing w:val="-4"/>
          <w:sz w:val="24"/>
          <w:szCs w:val="24"/>
        </w:rPr>
        <w:t>、桥梁工程</w:t>
      </w:r>
    </w:p>
    <w:p>
      <w:pPr>
        <w:spacing w:before="182"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）桩基施工</w:t>
      </w:r>
    </w:p>
    <w:p>
      <w:pPr>
        <w:spacing w:before="180" w:line="468" w:lineRule="exact"/>
        <w:ind w:right="56"/>
        <w:jc w:val="right"/>
        <w:rPr>
          <w:rFonts w:ascii="宋体" w:hAnsi="宋体" w:eastAsia="宋体" w:cs="宋体"/>
          <w:sz w:val="24"/>
          <w:szCs w:val="24"/>
        </w:rPr>
      </w:pPr>
      <w:r>
        <w:rPr>
          <w:rFonts w:ascii="宋体" w:hAnsi="宋体" w:eastAsia="宋体" w:cs="宋体"/>
          <w:spacing w:val="-17"/>
          <w:position w:val="17"/>
          <w:sz w:val="24"/>
          <w:szCs w:val="24"/>
        </w:rPr>
        <w:t>针对本工程桩基为嵌岩桩，</w:t>
      </w:r>
      <w:r>
        <w:rPr>
          <w:rFonts w:ascii="宋体" w:hAnsi="宋体" w:eastAsia="宋体" w:cs="宋体"/>
          <w:spacing w:val="36"/>
          <w:position w:val="17"/>
          <w:sz w:val="24"/>
          <w:szCs w:val="24"/>
        </w:rPr>
        <w:t xml:space="preserve"> </w:t>
      </w:r>
      <w:r>
        <w:rPr>
          <w:rFonts w:ascii="宋体" w:hAnsi="宋体" w:eastAsia="宋体" w:cs="宋体"/>
          <w:spacing w:val="-17"/>
          <w:position w:val="17"/>
          <w:sz w:val="24"/>
          <w:szCs w:val="24"/>
        </w:rPr>
        <w:t>且进场条件差，</w:t>
      </w:r>
      <w:r>
        <w:rPr>
          <w:rFonts w:ascii="宋体" w:hAnsi="宋体" w:eastAsia="宋体" w:cs="宋体"/>
          <w:spacing w:val="31"/>
          <w:position w:val="17"/>
          <w:sz w:val="24"/>
          <w:szCs w:val="24"/>
        </w:rPr>
        <w:t xml:space="preserve"> </w:t>
      </w:r>
      <w:r>
        <w:rPr>
          <w:rFonts w:ascii="宋体" w:hAnsi="宋体" w:eastAsia="宋体" w:cs="宋体"/>
          <w:spacing w:val="-17"/>
          <w:position w:val="17"/>
          <w:sz w:val="24"/>
          <w:szCs w:val="24"/>
        </w:rPr>
        <w:t>施工场地狭小的特点，</w:t>
      </w:r>
      <w:r>
        <w:rPr>
          <w:rFonts w:ascii="宋体" w:hAnsi="宋体" w:eastAsia="宋体" w:cs="宋体"/>
          <w:spacing w:val="32"/>
          <w:position w:val="17"/>
          <w:sz w:val="24"/>
          <w:szCs w:val="24"/>
        </w:rPr>
        <w:t xml:space="preserve"> </w:t>
      </w:r>
      <w:r>
        <w:rPr>
          <w:rFonts w:ascii="宋体" w:hAnsi="宋体" w:eastAsia="宋体" w:cs="宋体"/>
          <w:spacing w:val="-17"/>
          <w:position w:val="17"/>
          <w:sz w:val="24"/>
          <w:szCs w:val="24"/>
        </w:rPr>
        <w:t>拟采用人</w:t>
      </w:r>
    </w:p>
    <w:p>
      <w:pPr>
        <w:spacing w:before="1" w:line="219" w:lineRule="auto"/>
        <w:ind w:left="41"/>
        <w:rPr>
          <w:rFonts w:ascii="宋体" w:hAnsi="宋体" w:eastAsia="宋体" w:cs="宋体"/>
          <w:sz w:val="24"/>
          <w:szCs w:val="24"/>
        </w:rPr>
      </w:pPr>
      <w:r>
        <w:rPr>
          <w:rFonts w:ascii="宋体" w:hAnsi="宋体" w:eastAsia="宋体" w:cs="宋体"/>
          <w:spacing w:val="-4"/>
          <w:sz w:val="24"/>
          <w:szCs w:val="24"/>
        </w:rPr>
        <w:t>工挖孔桩进行桩基施工。</w:t>
      </w:r>
    </w:p>
    <w:p>
      <w:pPr>
        <w:spacing w:before="180" w:line="359" w:lineRule="auto"/>
        <w:ind w:left="38" w:right="61" w:firstLine="478"/>
        <w:rPr>
          <w:rFonts w:ascii="宋体" w:hAnsi="宋体" w:eastAsia="宋体" w:cs="宋体"/>
          <w:sz w:val="24"/>
          <w:szCs w:val="24"/>
        </w:rPr>
      </w:pPr>
      <w:r>
        <w:rPr>
          <w:rFonts w:ascii="宋体" w:hAnsi="宋体" w:eastAsia="宋体" w:cs="宋体"/>
          <w:spacing w:val="-7"/>
          <w:sz w:val="24"/>
          <w:szCs w:val="24"/>
        </w:rPr>
        <w:t>钢筋笼在钢筋加工棚中采用钢筋滚焊机短线法制作、</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9m</w:t>
      </w:r>
      <w:r>
        <w:rPr>
          <w:rFonts w:ascii="Times New Roman" w:hAnsi="Times New Roman" w:eastAsia="Times New Roman" w:cs="Times New Roman"/>
          <w:spacing w:val="30"/>
          <w:w w:val="101"/>
          <w:sz w:val="24"/>
          <w:szCs w:val="24"/>
        </w:rPr>
        <w:t xml:space="preserve"> </w:t>
      </w:r>
      <w:r>
        <w:rPr>
          <w:rFonts w:ascii="宋体" w:hAnsi="宋体" w:eastAsia="宋体" w:cs="宋体"/>
          <w:spacing w:val="-7"/>
          <w:sz w:val="24"/>
          <w:szCs w:val="24"/>
        </w:rPr>
        <w:t>标准</w:t>
      </w:r>
      <w:r>
        <w:rPr>
          <w:rFonts w:ascii="宋体" w:hAnsi="宋体" w:eastAsia="宋体" w:cs="宋体"/>
          <w:spacing w:val="-8"/>
          <w:sz w:val="24"/>
          <w:szCs w:val="24"/>
        </w:rPr>
        <w:t>节分节预制，</w:t>
      </w:r>
      <w:r>
        <w:rPr>
          <w:rFonts w:ascii="宋体" w:hAnsi="宋体" w:eastAsia="宋体" w:cs="宋体"/>
          <w:sz w:val="24"/>
          <w:szCs w:val="24"/>
        </w:rPr>
        <w:t xml:space="preserve"> </w:t>
      </w:r>
      <w:r>
        <w:rPr>
          <w:rFonts w:ascii="宋体" w:hAnsi="宋体" w:eastAsia="宋体" w:cs="宋体"/>
          <w:spacing w:val="-8"/>
          <w:sz w:val="24"/>
          <w:szCs w:val="24"/>
        </w:rPr>
        <w:t>通过平板车运输至现场后由汽车吊下放。混凝土采用拌合站集中拌制，</w:t>
      </w:r>
      <w:r>
        <w:rPr>
          <w:rFonts w:ascii="宋体" w:hAnsi="宋体" w:eastAsia="宋体" w:cs="宋体"/>
          <w:spacing w:val="53"/>
          <w:sz w:val="24"/>
          <w:szCs w:val="24"/>
        </w:rPr>
        <w:t xml:space="preserve"> </w:t>
      </w:r>
      <w:r>
        <w:rPr>
          <w:rFonts w:ascii="宋体" w:hAnsi="宋体" w:eastAsia="宋体" w:cs="宋体"/>
          <w:spacing w:val="-8"/>
          <w:sz w:val="24"/>
          <w:szCs w:val="24"/>
        </w:rPr>
        <w:t>由混凝土</w:t>
      </w:r>
    </w:p>
    <w:p>
      <w:pPr>
        <w:spacing w:before="1" w:line="219" w:lineRule="auto"/>
        <w:ind w:left="40"/>
        <w:rPr>
          <w:rFonts w:ascii="宋体" w:hAnsi="宋体" w:eastAsia="宋体" w:cs="宋体"/>
          <w:sz w:val="24"/>
          <w:szCs w:val="24"/>
        </w:rPr>
      </w:pPr>
      <w:r>
        <w:rPr>
          <w:rFonts w:ascii="宋体" w:hAnsi="宋体" w:eastAsia="宋体" w:cs="宋体"/>
          <w:spacing w:val="-3"/>
          <w:sz w:val="24"/>
          <w:szCs w:val="24"/>
        </w:rPr>
        <w:t>罐车经便道运输至桩位进行混凝土灌注。</w:t>
      </w:r>
    </w:p>
    <w:p>
      <w:pPr>
        <w:spacing w:before="182"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）承台、底系梁施工</w:t>
      </w:r>
    </w:p>
    <w:p>
      <w:pPr>
        <w:spacing w:before="180" w:line="469" w:lineRule="exact"/>
        <w:ind w:right="61"/>
        <w:jc w:val="right"/>
        <w:rPr>
          <w:rFonts w:ascii="宋体" w:hAnsi="宋体" w:eastAsia="宋体" w:cs="宋体"/>
          <w:sz w:val="24"/>
          <w:szCs w:val="24"/>
        </w:rPr>
      </w:pPr>
      <w:r>
        <w:rPr>
          <w:rFonts w:ascii="宋体" w:hAnsi="宋体" w:eastAsia="宋体" w:cs="宋体"/>
          <w:spacing w:val="-9"/>
          <w:position w:val="17"/>
          <w:sz w:val="24"/>
          <w:szCs w:val="24"/>
        </w:rPr>
        <w:t>由于承台底标高均低于地面标高，</w:t>
      </w:r>
      <w:r>
        <w:rPr>
          <w:rFonts w:ascii="宋体" w:hAnsi="宋体" w:eastAsia="宋体" w:cs="宋体"/>
          <w:spacing w:val="41"/>
          <w:position w:val="17"/>
          <w:sz w:val="24"/>
          <w:szCs w:val="24"/>
        </w:rPr>
        <w:t xml:space="preserve"> </w:t>
      </w:r>
      <w:r>
        <w:rPr>
          <w:rFonts w:ascii="宋体" w:hAnsi="宋体" w:eastAsia="宋体" w:cs="宋体"/>
          <w:spacing w:val="-9"/>
          <w:position w:val="17"/>
          <w:sz w:val="24"/>
          <w:szCs w:val="24"/>
        </w:rPr>
        <w:t>因此在承台施工前应进行基坑开挖。本工</w:t>
      </w:r>
    </w:p>
    <w:p>
      <w:pPr>
        <w:spacing w:before="1" w:line="218" w:lineRule="auto"/>
        <w:jc w:val="right"/>
        <w:rPr>
          <w:rFonts w:ascii="宋体" w:hAnsi="宋体" w:eastAsia="宋体" w:cs="宋体"/>
          <w:sz w:val="24"/>
          <w:szCs w:val="24"/>
        </w:rPr>
      </w:pPr>
      <w:r>
        <w:rPr>
          <w:rFonts w:ascii="宋体" w:hAnsi="宋体" w:eastAsia="宋体" w:cs="宋体"/>
          <w:spacing w:val="-1"/>
          <w:sz w:val="24"/>
          <w:szCs w:val="24"/>
        </w:rPr>
        <w:t>程基坑开挖施工采用放坡开挖，对于局部地质条件较差墩</w:t>
      </w:r>
      <w:r>
        <w:rPr>
          <w:rFonts w:ascii="宋体" w:hAnsi="宋体" w:eastAsia="宋体" w:cs="宋体"/>
          <w:spacing w:val="-2"/>
          <w:sz w:val="24"/>
          <w:szCs w:val="24"/>
        </w:rPr>
        <w:t>位则采用钢板桩支护。</w:t>
      </w:r>
    </w:p>
    <w:p>
      <w:pPr>
        <w:spacing w:before="182" w:line="359" w:lineRule="auto"/>
        <w:ind w:left="38" w:firstLine="479"/>
        <w:rPr>
          <w:rFonts w:ascii="宋体" w:hAnsi="宋体" w:eastAsia="宋体" w:cs="宋体"/>
          <w:sz w:val="24"/>
          <w:szCs w:val="24"/>
        </w:rPr>
      </w:pPr>
      <w:r>
        <w:rPr>
          <w:rFonts w:ascii="宋体" w:hAnsi="宋体" w:eastAsia="宋体" w:cs="宋体"/>
          <w:spacing w:val="-1"/>
          <w:sz w:val="24"/>
          <w:szCs w:val="24"/>
        </w:rPr>
        <w:t>承台模板采用钢模板，根据承台的结构尺寸分</w:t>
      </w:r>
      <w:r>
        <w:rPr>
          <w:rFonts w:ascii="宋体" w:hAnsi="宋体" w:eastAsia="宋体" w:cs="宋体"/>
          <w:spacing w:val="-2"/>
          <w:sz w:val="24"/>
          <w:szCs w:val="24"/>
        </w:rPr>
        <w:t>别设计并交由专业厂家制造。</w:t>
      </w:r>
      <w:r>
        <w:rPr>
          <w:rFonts w:ascii="宋体" w:hAnsi="宋体" w:eastAsia="宋体" w:cs="宋体"/>
          <w:sz w:val="24"/>
          <w:szCs w:val="24"/>
        </w:rPr>
        <w:t xml:space="preserve"> </w:t>
      </w:r>
      <w:r>
        <w:rPr>
          <w:rFonts w:ascii="宋体" w:hAnsi="宋体" w:eastAsia="宋体" w:cs="宋体"/>
          <w:spacing w:val="-1"/>
          <w:sz w:val="24"/>
          <w:szCs w:val="24"/>
        </w:rPr>
        <w:t>承台钢筋采用在钢筋加工棚集中加工成半成品，通过便</w:t>
      </w:r>
      <w:r>
        <w:rPr>
          <w:rFonts w:ascii="宋体" w:hAnsi="宋体" w:eastAsia="宋体" w:cs="宋体"/>
          <w:spacing w:val="-2"/>
          <w:sz w:val="24"/>
          <w:szCs w:val="24"/>
        </w:rPr>
        <w:t>道运输至现场绑扎成型。</w:t>
      </w:r>
      <w:r>
        <w:rPr>
          <w:rFonts w:ascii="宋体" w:hAnsi="宋体" w:eastAsia="宋体" w:cs="宋体"/>
          <w:sz w:val="24"/>
          <w:szCs w:val="24"/>
        </w:rPr>
        <w:t xml:space="preserve"> </w:t>
      </w:r>
      <w:r>
        <w:rPr>
          <w:rFonts w:ascii="宋体" w:hAnsi="宋体" w:eastAsia="宋体" w:cs="宋体"/>
          <w:spacing w:val="-12"/>
          <w:sz w:val="24"/>
          <w:szCs w:val="24"/>
        </w:rPr>
        <w:t>较长的主筋可分两节，</w:t>
      </w:r>
      <w:r>
        <w:rPr>
          <w:rFonts w:ascii="宋体" w:hAnsi="宋体" w:eastAsia="宋体" w:cs="宋体"/>
          <w:spacing w:val="34"/>
          <w:sz w:val="24"/>
          <w:szCs w:val="24"/>
        </w:rPr>
        <w:t xml:space="preserve"> </w:t>
      </w:r>
      <w:r>
        <w:rPr>
          <w:rFonts w:ascii="宋体" w:hAnsi="宋体" w:eastAsia="宋体" w:cs="宋体"/>
          <w:spacing w:val="-12"/>
          <w:sz w:val="24"/>
          <w:szCs w:val="24"/>
        </w:rPr>
        <w:t>钢筋接头采用机械连接。混凝土由拌合站集中拌制，</w:t>
      </w:r>
      <w:r>
        <w:rPr>
          <w:rFonts w:ascii="宋体" w:hAnsi="宋体" w:eastAsia="宋体" w:cs="宋体"/>
          <w:spacing w:val="61"/>
          <w:sz w:val="24"/>
          <w:szCs w:val="24"/>
        </w:rPr>
        <w:t xml:space="preserve"> </w:t>
      </w:r>
      <w:r>
        <w:rPr>
          <w:rFonts w:ascii="宋体" w:hAnsi="宋体" w:eastAsia="宋体" w:cs="宋体"/>
          <w:spacing w:val="-12"/>
          <w:sz w:val="24"/>
          <w:szCs w:val="24"/>
        </w:rPr>
        <w:t>由混</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凝土罐车运送至施工现场经溜槽入模后采用插入式振捣器振捣密实。</w:t>
      </w:r>
    </w:p>
    <w:p>
      <w:pPr>
        <w:spacing w:before="183"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）墩身施工</w:t>
      </w:r>
    </w:p>
    <w:p>
      <w:pPr>
        <w:spacing w:before="179" w:line="360" w:lineRule="auto"/>
        <w:ind w:left="40" w:right="18" w:firstLine="479"/>
        <w:rPr>
          <w:rFonts w:ascii="宋体" w:hAnsi="宋体" w:eastAsia="宋体" w:cs="宋体"/>
          <w:sz w:val="24"/>
          <w:szCs w:val="24"/>
        </w:rPr>
      </w:pPr>
      <w:r>
        <w:rPr>
          <w:rFonts w:ascii="宋体" w:hAnsi="宋体" w:eastAsia="宋体" w:cs="宋体"/>
          <w:spacing w:val="-7"/>
          <w:sz w:val="24"/>
          <w:szCs w:val="24"/>
        </w:rPr>
        <w:t>墩身模板采用钢模板， 根据结构尺寸分别设计并由专业厂家制造。钢筋在加</w:t>
      </w:r>
      <w:r>
        <w:rPr>
          <w:rFonts w:ascii="宋体" w:hAnsi="宋体" w:eastAsia="宋体" w:cs="宋体"/>
          <w:spacing w:val="9"/>
          <w:sz w:val="24"/>
          <w:szCs w:val="24"/>
        </w:rPr>
        <w:t xml:space="preserve"> </w:t>
      </w:r>
      <w:r>
        <w:rPr>
          <w:rFonts w:ascii="宋体" w:hAnsi="宋体" w:eastAsia="宋体" w:cs="宋体"/>
          <w:spacing w:val="-13"/>
          <w:sz w:val="24"/>
          <w:szCs w:val="24"/>
        </w:rPr>
        <w:t>工车间按设计图纸集中下料、分型号、规格堆放、编号，</w:t>
      </w:r>
      <w:r>
        <w:rPr>
          <w:rFonts w:ascii="宋体" w:hAnsi="宋体" w:eastAsia="宋体" w:cs="宋体"/>
          <w:spacing w:val="43"/>
          <w:sz w:val="24"/>
          <w:szCs w:val="24"/>
        </w:rPr>
        <w:t xml:space="preserve"> </w:t>
      </w:r>
      <w:r>
        <w:rPr>
          <w:rFonts w:ascii="宋体" w:hAnsi="宋体" w:eastAsia="宋体" w:cs="宋体"/>
          <w:spacing w:val="-13"/>
          <w:sz w:val="24"/>
          <w:szCs w:val="24"/>
        </w:rPr>
        <w:t>平</w:t>
      </w:r>
      <w:r>
        <w:rPr>
          <w:rFonts w:ascii="宋体" w:hAnsi="宋体" w:eastAsia="宋体" w:cs="宋体"/>
          <w:spacing w:val="-14"/>
          <w:sz w:val="24"/>
          <w:szCs w:val="24"/>
        </w:rPr>
        <w:t>板车运到现场，</w:t>
      </w:r>
      <w:r>
        <w:rPr>
          <w:rFonts w:ascii="宋体" w:hAnsi="宋体" w:eastAsia="宋体" w:cs="宋体"/>
          <w:spacing w:val="72"/>
          <w:sz w:val="24"/>
          <w:szCs w:val="24"/>
        </w:rPr>
        <w:t xml:space="preserve"> </w:t>
      </w:r>
      <w:r>
        <w:rPr>
          <w:rFonts w:ascii="宋体" w:hAnsi="宋体" w:eastAsia="宋体" w:cs="宋体"/>
          <w:spacing w:val="-14"/>
          <w:sz w:val="24"/>
          <w:szCs w:val="24"/>
        </w:rPr>
        <w:t>由汽</w:t>
      </w:r>
      <w:r>
        <w:rPr>
          <w:rFonts w:ascii="宋体" w:hAnsi="宋体" w:eastAsia="宋体" w:cs="宋体"/>
          <w:sz w:val="24"/>
          <w:szCs w:val="24"/>
        </w:rPr>
        <w:t xml:space="preserve"> </w:t>
      </w:r>
      <w:r>
        <w:rPr>
          <w:rFonts w:ascii="宋体" w:hAnsi="宋体" w:eastAsia="宋体" w:cs="宋体"/>
          <w:spacing w:val="-2"/>
          <w:sz w:val="24"/>
          <w:szCs w:val="24"/>
        </w:rPr>
        <w:t>车吊将钢筋半成品装吊至相关施工墩位，完成钢筋绑扎，模板安装，泵送入模，</w:t>
      </w:r>
    </w:p>
    <w:p>
      <w:pPr>
        <w:spacing w:line="219" w:lineRule="auto"/>
        <w:ind w:left="41"/>
        <w:rPr>
          <w:rFonts w:ascii="宋体" w:hAnsi="宋体" w:eastAsia="宋体" w:cs="宋体"/>
          <w:sz w:val="24"/>
          <w:szCs w:val="24"/>
        </w:rPr>
      </w:pPr>
      <w:r>
        <w:rPr>
          <w:rFonts w:ascii="宋体" w:hAnsi="宋体" w:eastAsia="宋体" w:cs="宋体"/>
          <w:spacing w:val="-8"/>
          <w:sz w:val="24"/>
          <w:szCs w:val="24"/>
        </w:rPr>
        <w:t>分层浇筑。</w:t>
      </w:r>
    </w:p>
    <w:p>
      <w:pPr>
        <w:spacing w:before="182" w:line="359" w:lineRule="auto"/>
        <w:ind w:left="37" w:right="54" w:firstLine="482"/>
        <w:rPr>
          <w:rFonts w:ascii="宋体" w:hAnsi="宋体" w:eastAsia="宋体" w:cs="宋体"/>
          <w:sz w:val="24"/>
          <w:szCs w:val="24"/>
        </w:rPr>
      </w:pPr>
      <w:r>
        <w:rPr>
          <w:rFonts w:ascii="宋体" w:hAnsi="宋体" w:eastAsia="宋体" w:cs="宋体"/>
          <w:spacing w:val="-7"/>
          <w:sz w:val="24"/>
          <w:szCs w:val="24"/>
        </w:rPr>
        <w:t>墩身混凝土在拌合站集中拌制， 由混凝土罐车运送至施工现场后由汽车泵直</w:t>
      </w:r>
      <w:r>
        <w:rPr>
          <w:rFonts w:ascii="宋体" w:hAnsi="宋体" w:eastAsia="宋体" w:cs="宋体"/>
          <w:spacing w:val="12"/>
          <w:sz w:val="24"/>
          <w:szCs w:val="24"/>
        </w:rPr>
        <w:t xml:space="preserve"> </w:t>
      </w:r>
      <w:r>
        <w:rPr>
          <w:rFonts w:ascii="宋体" w:hAnsi="宋体" w:eastAsia="宋体" w:cs="宋体"/>
          <w:spacing w:val="-1"/>
          <w:sz w:val="24"/>
          <w:szCs w:val="24"/>
        </w:rPr>
        <w:t xml:space="preserve">接泵送入模。墩身浇筑次数根据墩身的高度而定：对于墩高小于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 xml:space="preserve">2m  </w:t>
      </w:r>
      <w:r>
        <w:rPr>
          <w:rFonts w:ascii="宋体" w:hAnsi="宋体" w:eastAsia="宋体" w:cs="宋体"/>
          <w:spacing w:val="-2"/>
          <w:sz w:val="24"/>
          <w:szCs w:val="24"/>
        </w:rPr>
        <w:t>的直接一</w:t>
      </w:r>
      <w:r>
        <w:rPr>
          <w:rFonts w:ascii="宋体" w:hAnsi="宋体" w:eastAsia="宋体" w:cs="宋体"/>
          <w:sz w:val="24"/>
          <w:szCs w:val="24"/>
        </w:rPr>
        <w:t xml:space="preserve"> </w:t>
      </w:r>
      <w:r>
        <w:rPr>
          <w:rFonts w:ascii="宋体" w:hAnsi="宋体" w:eastAsia="宋体" w:cs="宋体"/>
          <w:spacing w:val="-1"/>
          <w:sz w:val="24"/>
          <w:szCs w:val="24"/>
        </w:rPr>
        <w:t xml:space="preserve">次性立模浇筑完成；墩高大于 </w:t>
      </w:r>
      <w:r>
        <w:rPr>
          <w:rFonts w:ascii="Times New Roman" w:hAnsi="Times New Roman" w:eastAsia="Times New Roman" w:cs="Times New Roman"/>
          <w:spacing w:val="-1"/>
          <w:sz w:val="24"/>
          <w:szCs w:val="24"/>
        </w:rPr>
        <w:t xml:space="preserve">12m  </w:t>
      </w:r>
      <w:r>
        <w:rPr>
          <w:rFonts w:ascii="宋体" w:hAnsi="宋体" w:eastAsia="宋体" w:cs="宋体"/>
          <w:spacing w:val="-1"/>
          <w:sz w:val="24"/>
          <w:szCs w:val="24"/>
        </w:rPr>
        <w:t>的在第一次浇筑并</w:t>
      </w:r>
      <w:r>
        <w:rPr>
          <w:rFonts w:ascii="宋体" w:hAnsi="宋体" w:eastAsia="宋体" w:cs="宋体"/>
          <w:spacing w:val="-2"/>
          <w:sz w:val="24"/>
          <w:szCs w:val="24"/>
        </w:rPr>
        <w:t>养护后，再在其上绑扎钢</w:t>
      </w:r>
    </w:p>
    <w:p>
      <w:pPr>
        <w:spacing w:before="1" w:line="218" w:lineRule="auto"/>
        <w:ind w:left="41"/>
        <w:rPr>
          <w:rFonts w:ascii="宋体" w:hAnsi="宋体" w:eastAsia="宋体" w:cs="宋体"/>
          <w:sz w:val="24"/>
          <w:szCs w:val="24"/>
        </w:rPr>
      </w:pPr>
      <w:r>
        <w:rPr>
          <w:rFonts w:ascii="宋体" w:hAnsi="宋体" w:eastAsia="宋体" w:cs="宋体"/>
          <w:spacing w:val="-4"/>
          <w:sz w:val="24"/>
          <w:szCs w:val="24"/>
        </w:rPr>
        <w:t>筋及支立模板进行第二次浇筑。</w:t>
      </w:r>
    </w:p>
    <w:p>
      <w:pPr>
        <w:spacing w:before="181"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）现浇盖梁施工</w:t>
      </w:r>
    </w:p>
    <w:p>
      <w:pPr>
        <w:spacing w:line="220" w:lineRule="auto"/>
        <w:rPr>
          <w:rFonts w:ascii="宋体" w:hAnsi="宋体" w:eastAsia="宋体" w:cs="宋体"/>
          <w:sz w:val="24"/>
          <w:szCs w:val="24"/>
        </w:rPr>
        <w:sectPr>
          <w:headerReference r:id="rId142" w:type="default"/>
          <w:footerReference r:id="rId143" w:type="default"/>
          <w:pgSz w:w="11907" w:h="16839"/>
          <w:pgMar w:top="1118" w:right="1740" w:bottom="1184" w:left="1771" w:header="879" w:footer="1024" w:gutter="0"/>
          <w:cols w:space="720" w:num="1"/>
        </w:sectPr>
      </w:pPr>
    </w:p>
    <w:p>
      <w:pPr>
        <w:pStyle w:val="2"/>
        <w:spacing w:line="278" w:lineRule="auto"/>
      </w:pPr>
    </w:p>
    <w:p>
      <w:pPr>
        <w:spacing w:before="78" w:line="359" w:lineRule="auto"/>
        <w:ind w:left="38" w:right="32" w:firstLine="480"/>
        <w:rPr>
          <w:rFonts w:ascii="宋体" w:hAnsi="宋体" w:eastAsia="宋体" w:cs="宋体"/>
          <w:sz w:val="24"/>
          <w:szCs w:val="24"/>
        </w:rPr>
      </w:pPr>
      <w:r>
        <w:rPr>
          <w:rFonts w:ascii="宋体" w:hAnsi="宋体" w:eastAsia="宋体" w:cs="宋体"/>
          <w:spacing w:val="-10"/>
          <w:sz w:val="24"/>
          <w:szCs w:val="24"/>
        </w:rPr>
        <w:t>盖梁施工采用抱箍法， 抱箍上设置两道工字钢分配梁， 分配梁上铺设次分配</w:t>
      </w:r>
      <w:r>
        <w:rPr>
          <w:rFonts w:ascii="宋体" w:hAnsi="宋体" w:eastAsia="宋体" w:cs="宋体"/>
          <w:spacing w:val="2"/>
          <w:sz w:val="24"/>
          <w:szCs w:val="24"/>
        </w:rPr>
        <w:t xml:space="preserve"> </w:t>
      </w:r>
      <w:r>
        <w:rPr>
          <w:rFonts w:ascii="宋体" w:hAnsi="宋体" w:eastAsia="宋体" w:cs="宋体"/>
          <w:spacing w:val="-6"/>
          <w:sz w:val="24"/>
          <w:szCs w:val="24"/>
        </w:rPr>
        <w:t>梁及底模板。盖梁模板采用钢模板， 盖梁钢筋骨架在钢</w:t>
      </w:r>
      <w:r>
        <w:rPr>
          <w:rFonts w:ascii="宋体" w:hAnsi="宋体" w:eastAsia="宋体" w:cs="宋体"/>
          <w:spacing w:val="-7"/>
          <w:sz w:val="24"/>
          <w:szCs w:val="24"/>
        </w:rPr>
        <w:t>筋加工厂内集中制作绑扎</w:t>
      </w:r>
      <w:r>
        <w:rPr>
          <w:rFonts w:ascii="宋体" w:hAnsi="宋体" w:eastAsia="宋体" w:cs="宋体"/>
          <w:sz w:val="24"/>
          <w:szCs w:val="24"/>
        </w:rPr>
        <w:t xml:space="preserve"> </w:t>
      </w:r>
      <w:r>
        <w:rPr>
          <w:rFonts w:ascii="宋体" w:hAnsi="宋体" w:eastAsia="宋体" w:cs="宋体"/>
          <w:spacing w:val="-11"/>
          <w:sz w:val="24"/>
          <w:szCs w:val="24"/>
        </w:rPr>
        <w:t>成型， 由平板车运至现场，</w:t>
      </w:r>
      <w:r>
        <w:rPr>
          <w:rFonts w:ascii="宋体" w:hAnsi="宋体" w:eastAsia="宋体" w:cs="宋体"/>
          <w:spacing w:val="49"/>
          <w:sz w:val="24"/>
          <w:szCs w:val="24"/>
        </w:rPr>
        <w:t xml:space="preserve"> </w:t>
      </w:r>
      <w:r>
        <w:rPr>
          <w:rFonts w:ascii="宋体" w:hAnsi="宋体" w:eastAsia="宋体" w:cs="宋体"/>
          <w:spacing w:val="-11"/>
          <w:sz w:val="24"/>
          <w:szCs w:val="24"/>
        </w:rPr>
        <w:t>汽车吊吊装就位、人工绑扎成型。混凝土采用拌合站</w:t>
      </w:r>
      <w:r>
        <w:rPr>
          <w:rFonts w:ascii="宋体" w:hAnsi="宋体" w:eastAsia="宋体" w:cs="宋体"/>
          <w:sz w:val="24"/>
          <w:szCs w:val="24"/>
        </w:rPr>
        <w:t xml:space="preserve"> </w:t>
      </w:r>
      <w:r>
        <w:rPr>
          <w:rFonts w:ascii="宋体" w:hAnsi="宋体" w:eastAsia="宋体" w:cs="宋体"/>
          <w:spacing w:val="-15"/>
          <w:sz w:val="24"/>
          <w:szCs w:val="24"/>
        </w:rPr>
        <w:t>集中搅拌， 混凝土罐车运输，</w:t>
      </w:r>
      <w:r>
        <w:rPr>
          <w:rFonts w:ascii="宋体" w:hAnsi="宋体" w:eastAsia="宋体" w:cs="宋体"/>
          <w:spacing w:val="70"/>
          <w:sz w:val="24"/>
          <w:szCs w:val="24"/>
        </w:rPr>
        <w:t xml:space="preserve"> </w:t>
      </w:r>
      <w:r>
        <w:rPr>
          <w:rFonts w:ascii="Times New Roman" w:hAnsi="Times New Roman" w:eastAsia="Times New Roman" w:cs="Times New Roman"/>
          <w:spacing w:val="-15"/>
          <w:sz w:val="24"/>
          <w:szCs w:val="24"/>
        </w:rPr>
        <w:t>1</w:t>
      </w:r>
      <w:r>
        <w:rPr>
          <w:rFonts w:ascii="Times New Roman" w:hAnsi="Times New Roman" w:eastAsia="Times New Roman" w:cs="Times New Roman"/>
          <w:spacing w:val="28"/>
          <w:sz w:val="24"/>
          <w:szCs w:val="24"/>
        </w:rPr>
        <w:t xml:space="preserve"> </w:t>
      </w:r>
      <w:r>
        <w:rPr>
          <w:rFonts w:ascii="宋体" w:hAnsi="宋体" w:eastAsia="宋体" w:cs="宋体"/>
          <w:spacing w:val="-15"/>
          <w:sz w:val="24"/>
          <w:szCs w:val="24"/>
        </w:rPr>
        <w:t>台混凝土汽车输</w:t>
      </w:r>
      <w:r>
        <w:rPr>
          <w:rFonts w:ascii="宋体" w:hAnsi="宋体" w:eastAsia="宋体" w:cs="宋体"/>
          <w:spacing w:val="-16"/>
          <w:sz w:val="24"/>
          <w:szCs w:val="24"/>
        </w:rPr>
        <w:t>送泵泵送混凝土施工，</w:t>
      </w:r>
      <w:r>
        <w:rPr>
          <w:rFonts w:ascii="宋体" w:hAnsi="宋体" w:eastAsia="宋体" w:cs="宋体"/>
          <w:spacing w:val="50"/>
          <w:sz w:val="24"/>
          <w:szCs w:val="24"/>
        </w:rPr>
        <w:t xml:space="preserve"> </w:t>
      </w:r>
      <w:r>
        <w:rPr>
          <w:rFonts w:ascii="宋体" w:hAnsi="宋体" w:eastAsia="宋体" w:cs="宋体"/>
          <w:spacing w:val="-16"/>
          <w:sz w:val="24"/>
          <w:szCs w:val="24"/>
        </w:rPr>
        <w:t>插入式振</w:t>
      </w:r>
    </w:p>
    <w:p>
      <w:pPr>
        <w:spacing w:line="219" w:lineRule="auto"/>
        <w:ind w:left="37"/>
        <w:rPr>
          <w:rFonts w:ascii="宋体" w:hAnsi="宋体" w:eastAsia="宋体" w:cs="宋体"/>
          <w:sz w:val="24"/>
          <w:szCs w:val="24"/>
        </w:rPr>
      </w:pPr>
      <w:r>
        <w:rPr>
          <w:rFonts w:ascii="宋体" w:hAnsi="宋体" w:eastAsia="宋体" w:cs="宋体"/>
          <w:spacing w:val="-7"/>
          <w:sz w:val="24"/>
          <w:szCs w:val="24"/>
        </w:rPr>
        <w:t>捣器振捣。</w:t>
      </w:r>
    </w:p>
    <w:p>
      <w:pPr>
        <w:spacing w:before="182" w:line="219"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）梁板安装</w:t>
      </w:r>
    </w:p>
    <w:p>
      <w:pPr>
        <w:spacing w:before="181" w:line="359" w:lineRule="auto"/>
        <w:ind w:left="42" w:right="30" w:firstLine="476"/>
        <w:rPr>
          <w:rFonts w:ascii="宋体" w:hAnsi="宋体" w:eastAsia="宋体" w:cs="宋体"/>
          <w:sz w:val="24"/>
          <w:szCs w:val="24"/>
        </w:rPr>
      </w:pPr>
      <w:r>
        <w:rPr>
          <w:rFonts w:ascii="宋体" w:hAnsi="宋体" w:eastAsia="宋体" w:cs="宋体"/>
          <w:spacing w:val="-3"/>
          <w:sz w:val="24"/>
          <w:szCs w:val="24"/>
        </w:rPr>
        <w:t>本工程梁板安装分为架桥机安装及履带吊抬吊安装。工程主线</w:t>
      </w:r>
      <w:r>
        <w:rPr>
          <w:rFonts w:ascii="宋体" w:hAnsi="宋体" w:eastAsia="宋体" w:cs="宋体"/>
          <w:spacing w:val="-4"/>
          <w:sz w:val="24"/>
          <w:szCs w:val="24"/>
        </w:rPr>
        <w:t>桥采用架桥机</w:t>
      </w:r>
      <w:r>
        <w:rPr>
          <w:rFonts w:ascii="宋体" w:hAnsi="宋体" w:eastAsia="宋体" w:cs="宋体"/>
          <w:sz w:val="24"/>
          <w:szCs w:val="24"/>
        </w:rPr>
        <w:t xml:space="preserve"> </w:t>
      </w:r>
      <w:r>
        <w:rPr>
          <w:rFonts w:ascii="宋体" w:hAnsi="宋体" w:eastAsia="宋体" w:cs="宋体"/>
          <w:spacing w:val="-11"/>
          <w:sz w:val="24"/>
          <w:szCs w:val="24"/>
        </w:rPr>
        <w:t>安装， 共投入</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套架桥机。安装墩头垟大桥，</w:t>
      </w:r>
      <w:r>
        <w:rPr>
          <w:rFonts w:ascii="宋体" w:hAnsi="宋体" w:eastAsia="宋体" w:cs="宋体"/>
          <w:spacing w:val="39"/>
          <w:sz w:val="24"/>
          <w:szCs w:val="24"/>
        </w:rPr>
        <w:t xml:space="preserve"> </w:t>
      </w:r>
      <w:r>
        <w:rPr>
          <w:rFonts w:ascii="宋体" w:hAnsi="宋体" w:eastAsia="宋体" w:cs="宋体"/>
          <w:spacing w:val="-11"/>
          <w:sz w:val="24"/>
          <w:szCs w:val="24"/>
        </w:rPr>
        <w:t>梁板架</w:t>
      </w:r>
      <w:r>
        <w:rPr>
          <w:rFonts w:ascii="宋体" w:hAnsi="宋体" w:eastAsia="宋体" w:cs="宋体"/>
          <w:spacing w:val="-12"/>
          <w:sz w:val="24"/>
          <w:szCs w:val="24"/>
        </w:rPr>
        <w:t>设过程中遇桥、路连接时架</w:t>
      </w:r>
    </w:p>
    <w:p>
      <w:pPr>
        <w:spacing w:before="1" w:line="218" w:lineRule="auto"/>
        <w:ind w:left="38"/>
        <w:rPr>
          <w:rFonts w:ascii="宋体" w:hAnsi="宋体" w:eastAsia="宋体" w:cs="宋体"/>
          <w:sz w:val="24"/>
          <w:szCs w:val="24"/>
        </w:rPr>
      </w:pPr>
      <w:r>
        <w:rPr>
          <w:rFonts w:ascii="宋体" w:hAnsi="宋体" w:eastAsia="宋体" w:cs="宋体"/>
          <w:spacing w:val="-3"/>
          <w:sz w:val="24"/>
          <w:szCs w:val="24"/>
        </w:rPr>
        <w:t>桥机整机行走过路基段后在进行架设施工。</w:t>
      </w:r>
    </w:p>
    <w:p>
      <w:pPr>
        <w:spacing w:before="184" w:line="220" w:lineRule="auto"/>
        <w:ind w:left="519"/>
        <w:rPr>
          <w:rFonts w:ascii="宋体" w:hAnsi="宋体" w:eastAsia="宋体" w:cs="宋体"/>
          <w:sz w:val="24"/>
          <w:szCs w:val="24"/>
        </w:rPr>
      </w:pPr>
      <w:r>
        <w:rPr>
          <w:rFonts w:ascii="Times New Roman" w:hAnsi="Times New Roman" w:eastAsia="Times New Roman" w:cs="Times New Roman"/>
          <w:spacing w:val="-3"/>
          <w:sz w:val="24"/>
          <w:szCs w:val="24"/>
        </w:rPr>
        <w:t>6</w:t>
      </w:r>
      <w:r>
        <w:rPr>
          <w:rFonts w:ascii="宋体" w:hAnsi="宋体" w:eastAsia="宋体" w:cs="宋体"/>
          <w:spacing w:val="-3"/>
          <w:sz w:val="24"/>
          <w:szCs w:val="24"/>
        </w:rPr>
        <w:t>、涵洞工程</w:t>
      </w:r>
    </w:p>
    <w:p>
      <w:pPr>
        <w:spacing w:before="179" w:line="219"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）盖板涵施工</w:t>
      </w:r>
    </w:p>
    <w:p>
      <w:pPr>
        <w:spacing w:before="184" w:line="359" w:lineRule="auto"/>
        <w:ind w:left="39" w:right="8" w:firstLine="479"/>
        <w:rPr>
          <w:rFonts w:ascii="宋体" w:hAnsi="宋体" w:eastAsia="宋体" w:cs="宋体"/>
          <w:sz w:val="24"/>
          <w:szCs w:val="24"/>
        </w:rPr>
      </w:pPr>
      <w:r>
        <w:rPr>
          <w:rFonts w:ascii="宋体" w:hAnsi="宋体" w:eastAsia="宋体" w:cs="宋体"/>
          <w:spacing w:val="-3"/>
          <w:sz w:val="24"/>
          <w:szCs w:val="24"/>
        </w:rPr>
        <w:t>本项目盖板涵暗涵盖板混凝土采用</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C30</w:t>
      </w:r>
      <w:r>
        <w:rPr>
          <w:rFonts w:ascii="宋体" w:hAnsi="宋体" w:eastAsia="宋体" w:cs="宋体"/>
          <w:spacing w:val="-3"/>
          <w:sz w:val="24"/>
          <w:szCs w:val="24"/>
        </w:rPr>
        <w:t>，明涵盖板混凝土采用</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C40</w:t>
      </w:r>
      <w:r>
        <w:rPr>
          <w:rFonts w:ascii="宋体" w:hAnsi="宋体" w:eastAsia="宋体" w:cs="宋体"/>
          <w:spacing w:val="-3"/>
          <w:sz w:val="24"/>
          <w:szCs w:val="24"/>
        </w:rPr>
        <w:t>，台帽、</w:t>
      </w:r>
      <w:r>
        <w:rPr>
          <w:rFonts w:ascii="宋体" w:hAnsi="宋体" w:eastAsia="宋体" w:cs="宋体"/>
          <w:sz w:val="24"/>
          <w:szCs w:val="24"/>
        </w:rPr>
        <w:t xml:space="preserve"> </w:t>
      </w:r>
      <w:r>
        <w:rPr>
          <w:rFonts w:ascii="宋体" w:hAnsi="宋体" w:eastAsia="宋体" w:cs="宋体"/>
          <w:spacing w:val="-2"/>
          <w:sz w:val="24"/>
          <w:szCs w:val="24"/>
        </w:rPr>
        <w:t>涵身基础混凝土采用</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C30</w:t>
      </w:r>
      <w:r>
        <w:rPr>
          <w:rFonts w:ascii="宋体" w:hAnsi="宋体" w:eastAsia="宋体" w:cs="宋体"/>
          <w:spacing w:val="-2"/>
          <w:sz w:val="24"/>
          <w:szCs w:val="24"/>
        </w:rPr>
        <w:t xml:space="preserve">，钢筋采用 </w:t>
      </w:r>
      <w:r>
        <w:rPr>
          <w:rFonts w:ascii="Times New Roman" w:hAnsi="Times New Roman" w:eastAsia="Times New Roman" w:cs="Times New Roman"/>
          <w:spacing w:val="-2"/>
          <w:sz w:val="24"/>
          <w:szCs w:val="24"/>
        </w:rPr>
        <w:t>HPB300</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3"/>
          <w:sz w:val="24"/>
          <w:szCs w:val="24"/>
        </w:rPr>
        <w:t>RB400</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钢筋。顶部盖板采用预</w:t>
      </w:r>
    </w:p>
    <w:p>
      <w:pPr>
        <w:spacing w:line="220" w:lineRule="auto"/>
        <w:ind w:left="39"/>
        <w:rPr>
          <w:rFonts w:ascii="宋体" w:hAnsi="宋体" w:eastAsia="宋体" w:cs="宋体"/>
          <w:sz w:val="24"/>
          <w:szCs w:val="24"/>
        </w:rPr>
      </w:pPr>
      <w:r>
        <w:rPr>
          <w:rFonts w:ascii="宋体" w:hAnsi="宋体" w:eastAsia="宋体" w:cs="宋体"/>
          <w:spacing w:val="-9"/>
          <w:sz w:val="24"/>
          <w:szCs w:val="24"/>
        </w:rPr>
        <w:t>制工艺。</w:t>
      </w:r>
    </w:p>
    <w:p>
      <w:pPr>
        <w:spacing w:before="179"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）圆管涵施工</w:t>
      </w:r>
    </w:p>
    <w:p>
      <w:pPr>
        <w:spacing w:before="183" w:line="359" w:lineRule="auto"/>
        <w:ind w:left="39" w:right="29" w:firstLine="498"/>
        <w:rPr>
          <w:rFonts w:ascii="宋体" w:hAnsi="宋体" w:eastAsia="宋体" w:cs="宋体"/>
          <w:sz w:val="24"/>
          <w:szCs w:val="24"/>
        </w:rPr>
      </w:pPr>
      <w:r>
        <w:rPr>
          <w:rFonts w:ascii="宋体" w:hAnsi="宋体" w:eastAsia="宋体" w:cs="宋体"/>
          <w:spacing w:val="-7"/>
          <w:sz w:val="24"/>
          <w:szCs w:val="24"/>
        </w:rPr>
        <w:t>圆管涵管径</w:t>
      </w:r>
      <w:r>
        <w:rPr>
          <w:rFonts w:ascii="宋体" w:hAnsi="宋体" w:eastAsia="宋体" w:cs="宋体"/>
          <w:spacing w:val="-53"/>
          <w:sz w:val="24"/>
          <w:szCs w:val="24"/>
        </w:rPr>
        <w:t xml:space="preserve"> </w:t>
      </w:r>
      <w:r>
        <w:rPr>
          <w:rFonts w:ascii="Times New Roman" w:hAnsi="Times New Roman" w:eastAsia="Times New Roman" w:cs="Times New Roman"/>
          <w:spacing w:val="-7"/>
          <w:sz w:val="24"/>
          <w:szCs w:val="24"/>
        </w:rPr>
        <w:t>φ1.5m</w:t>
      </w:r>
      <w:r>
        <w:rPr>
          <w:rFonts w:ascii="宋体" w:hAnsi="宋体" w:eastAsia="宋体" w:cs="宋体"/>
          <w:spacing w:val="-7"/>
          <w:sz w:val="24"/>
          <w:szCs w:val="24"/>
        </w:rPr>
        <w:t>，设有单排和双排两种型式</w:t>
      </w:r>
      <w:r>
        <w:rPr>
          <w:rFonts w:ascii="宋体" w:hAnsi="宋体" w:eastAsia="宋体" w:cs="宋体"/>
          <w:spacing w:val="-8"/>
          <w:sz w:val="24"/>
          <w:szCs w:val="24"/>
        </w:rPr>
        <w:t>，管节长度主要有</w:t>
      </w:r>
      <w:r>
        <w:rPr>
          <w:rFonts w:ascii="宋体" w:hAnsi="宋体" w:eastAsia="宋体" w:cs="宋体"/>
          <w:spacing w:val="-57"/>
          <w:sz w:val="24"/>
          <w:szCs w:val="24"/>
        </w:rPr>
        <w:t xml:space="preserve"> </w:t>
      </w:r>
      <w:r>
        <w:rPr>
          <w:rFonts w:ascii="Times New Roman" w:hAnsi="Times New Roman" w:eastAsia="Times New Roman" w:cs="Times New Roman"/>
          <w:spacing w:val="-8"/>
          <w:sz w:val="24"/>
          <w:szCs w:val="24"/>
        </w:rPr>
        <w:t xml:space="preserve">2.0m </w:t>
      </w:r>
      <w:r>
        <w:rPr>
          <w:rFonts w:ascii="宋体" w:hAnsi="宋体" w:eastAsia="宋体" w:cs="宋体"/>
          <w:spacing w:val="-8"/>
          <w:sz w:val="24"/>
          <w:szCs w:val="24"/>
        </w:rPr>
        <w:t>和</w:t>
      </w:r>
      <w:r>
        <w:rPr>
          <w:rFonts w:ascii="宋体" w:hAnsi="宋体" w:eastAsia="宋体" w:cs="宋体"/>
          <w:spacing w:val="-54"/>
          <w:sz w:val="24"/>
          <w:szCs w:val="24"/>
        </w:rPr>
        <w:t xml:space="preserve"> </w:t>
      </w:r>
      <w:r>
        <w:rPr>
          <w:rFonts w:ascii="Times New Roman" w:hAnsi="Times New Roman" w:eastAsia="Times New Roman" w:cs="Times New Roman"/>
          <w:spacing w:val="-8"/>
          <w:sz w:val="24"/>
          <w:szCs w:val="24"/>
        </w:rPr>
        <w:t>0.5m</w:t>
      </w:r>
      <w:r>
        <w:rPr>
          <w:rFonts w:ascii="Times New Roman" w:hAnsi="Times New Roman" w:eastAsia="Times New Roman" w:cs="Times New Roman"/>
          <w:sz w:val="24"/>
          <w:szCs w:val="24"/>
        </w:rPr>
        <w:t xml:space="preserve"> </w:t>
      </w:r>
      <w:r>
        <w:rPr>
          <w:rFonts w:ascii="宋体" w:hAnsi="宋体" w:eastAsia="宋体" w:cs="宋体"/>
          <w:spacing w:val="-20"/>
          <w:sz w:val="24"/>
          <w:szCs w:val="24"/>
        </w:rPr>
        <w:t>两种， 前者为基本管节，</w:t>
      </w:r>
      <w:r>
        <w:rPr>
          <w:rFonts w:ascii="宋体" w:hAnsi="宋体" w:eastAsia="宋体" w:cs="宋体"/>
          <w:spacing w:val="47"/>
          <w:sz w:val="24"/>
          <w:szCs w:val="24"/>
        </w:rPr>
        <w:t xml:space="preserve"> </w:t>
      </w:r>
      <w:r>
        <w:rPr>
          <w:rFonts w:ascii="宋体" w:hAnsi="宋体" w:eastAsia="宋体" w:cs="宋体"/>
          <w:spacing w:val="-20"/>
          <w:sz w:val="24"/>
          <w:szCs w:val="24"/>
        </w:rPr>
        <w:t>后者为调节管节，</w:t>
      </w:r>
      <w:r>
        <w:rPr>
          <w:rFonts w:ascii="宋体" w:hAnsi="宋体" w:eastAsia="宋体" w:cs="宋体"/>
          <w:spacing w:val="42"/>
          <w:sz w:val="24"/>
          <w:szCs w:val="24"/>
        </w:rPr>
        <w:t xml:space="preserve"> </w:t>
      </w:r>
      <w:r>
        <w:rPr>
          <w:rFonts w:ascii="宋体" w:hAnsi="宋体" w:eastAsia="宋体" w:cs="宋体"/>
          <w:spacing w:val="-20"/>
          <w:sz w:val="24"/>
          <w:szCs w:val="24"/>
        </w:rPr>
        <w:t>对于斜管涵，</w:t>
      </w:r>
      <w:r>
        <w:rPr>
          <w:rFonts w:ascii="宋体" w:hAnsi="宋体" w:eastAsia="宋体" w:cs="宋体"/>
          <w:spacing w:val="43"/>
          <w:sz w:val="24"/>
          <w:szCs w:val="24"/>
        </w:rPr>
        <w:t xml:space="preserve"> </w:t>
      </w:r>
      <w:r>
        <w:rPr>
          <w:rFonts w:ascii="宋体" w:hAnsi="宋体" w:eastAsia="宋体" w:cs="宋体"/>
          <w:spacing w:val="-20"/>
          <w:sz w:val="24"/>
          <w:szCs w:val="24"/>
        </w:rPr>
        <w:t>还有端部斜管节。管节</w:t>
      </w:r>
    </w:p>
    <w:p>
      <w:pPr>
        <w:spacing w:before="1" w:line="218" w:lineRule="auto"/>
        <w:ind w:left="41"/>
        <w:rPr>
          <w:rFonts w:ascii="宋体" w:hAnsi="宋体" w:eastAsia="宋体" w:cs="宋体"/>
          <w:sz w:val="24"/>
          <w:szCs w:val="24"/>
        </w:rPr>
      </w:pPr>
      <w:r>
        <w:rPr>
          <w:rFonts w:ascii="宋体" w:hAnsi="宋体" w:eastAsia="宋体" w:cs="宋体"/>
          <w:spacing w:val="-4"/>
          <w:sz w:val="24"/>
          <w:szCs w:val="24"/>
        </w:rPr>
        <w:t>混凝土采用</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C30</w:t>
      </w:r>
      <w:r>
        <w:rPr>
          <w:rFonts w:ascii="宋体" w:hAnsi="宋体" w:eastAsia="宋体" w:cs="宋体"/>
          <w:spacing w:val="-4"/>
          <w:sz w:val="24"/>
          <w:szCs w:val="24"/>
        </w:rPr>
        <w:t xml:space="preserve">，管基混凝土采用 </w:t>
      </w:r>
      <w:r>
        <w:rPr>
          <w:rFonts w:ascii="Times New Roman" w:hAnsi="Times New Roman" w:eastAsia="Times New Roman" w:cs="Times New Roman"/>
          <w:spacing w:val="-4"/>
          <w:sz w:val="24"/>
          <w:szCs w:val="24"/>
        </w:rPr>
        <w:t>C20</w:t>
      </w:r>
      <w:r>
        <w:rPr>
          <w:rFonts w:ascii="宋体" w:hAnsi="宋体" w:eastAsia="宋体" w:cs="宋体"/>
          <w:spacing w:val="-4"/>
          <w:sz w:val="24"/>
          <w:szCs w:val="24"/>
        </w:rPr>
        <w:t>，螺旋主筋采用</w:t>
      </w:r>
      <w:r>
        <w:rPr>
          <w:rFonts w:ascii="宋体" w:hAnsi="宋体" w:eastAsia="宋体" w:cs="宋体"/>
          <w:spacing w:val="-26"/>
          <w:sz w:val="24"/>
          <w:szCs w:val="24"/>
        </w:rPr>
        <w:t xml:space="preserve"> </w:t>
      </w:r>
      <w:r>
        <w:rPr>
          <w:rFonts w:ascii="Times New Roman" w:hAnsi="Times New Roman" w:eastAsia="Times New Roman" w:cs="Times New Roman"/>
          <w:spacing w:val="-4"/>
          <w:sz w:val="24"/>
          <w:szCs w:val="24"/>
        </w:rPr>
        <w:t xml:space="preserve">HPB300 </w:t>
      </w:r>
      <w:r>
        <w:rPr>
          <w:rFonts w:ascii="宋体" w:hAnsi="宋体" w:eastAsia="宋体" w:cs="宋体"/>
          <w:spacing w:val="-4"/>
          <w:sz w:val="24"/>
          <w:szCs w:val="24"/>
        </w:rPr>
        <w:t>钢筋。</w:t>
      </w:r>
    </w:p>
    <w:p>
      <w:pPr>
        <w:spacing w:before="184" w:line="220" w:lineRule="auto"/>
        <w:ind w:left="517"/>
        <w:rPr>
          <w:rFonts w:ascii="宋体" w:hAnsi="宋体" w:eastAsia="宋体" w:cs="宋体"/>
          <w:sz w:val="24"/>
          <w:szCs w:val="24"/>
        </w:rPr>
      </w:pPr>
      <w:r>
        <w:rPr>
          <w:rFonts w:ascii="Times New Roman" w:hAnsi="Times New Roman" w:eastAsia="Times New Roman" w:cs="Times New Roman"/>
          <w:spacing w:val="-3"/>
          <w:sz w:val="24"/>
          <w:szCs w:val="24"/>
        </w:rPr>
        <w:t>7</w:t>
      </w:r>
      <w:r>
        <w:rPr>
          <w:rFonts w:ascii="宋体" w:hAnsi="宋体" w:eastAsia="宋体" w:cs="宋体"/>
          <w:spacing w:val="-3"/>
          <w:sz w:val="24"/>
          <w:szCs w:val="24"/>
        </w:rPr>
        <w:t>、隧道工程</w:t>
      </w:r>
    </w:p>
    <w:p>
      <w:pPr>
        <w:spacing w:before="181" w:line="359" w:lineRule="auto"/>
        <w:ind w:left="37" w:right="26" w:firstLine="493"/>
        <w:rPr>
          <w:rFonts w:ascii="宋体" w:hAnsi="宋体" w:eastAsia="宋体" w:cs="宋体"/>
          <w:sz w:val="24"/>
          <w:szCs w:val="24"/>
        </w:rPr>
      </w:pPr>
      <w:r>
        <w:rPr>
          <w:rFonts w:ascii="宋体" w:hAnsi="宋体" w:eastAsia="宋体" w:cs="宋体"/>
          <w:spacing w:val="-9"/>
          <w:sz w:val="24"/>
          <w:szCs w:val="24"/>
        </w:rPr>
        <w:t>隧道洞口明洞采用明挖施工，</w:t>
      </w:r>
      <w:r>
        <w:rPr>
          <w:rFonts w:ascii="宋体" w:hAnsi="宋体" w:eastAsia="宋体" w:cs="宋体"/>
          <w:spacing w:val="60"/>
          <w:sz w:val="24"/>
          <w:szCs w:val="24"/>
        </w:rPr>
        <w:t xml:space="preserve"> </w:t>
      </w:r>
      <w:r>
        <w:rPr>
          <w:rFonts w:ascii="宋体" w:hAnsi="宋体" w:eastAsia="宋体" w:cs="宋体"/>
          <w:spacing w:val="-9"/>
          <w:sz w:val="24"/>
          <w:szCs w:val="24"/>
        </w:rPr>
        <w:t>暗洞采用新奥法施工。根据本工程水文、地质</w:t>
      </w:r>
      <w:r>
        <w:rPr>
          <w:rFonts w:ascii="宋体" w:hAnsi="宋体" w:eastAsia="宋体" w:cs="宋体"/>
          <w:sz w:val="24"/>
          <w:szCs w:val="24"/>
        </w:rPr>
        <w:t xml:space="preserve"> </w:t>
      </w:r>
      <w:r>
        <w:rPr>
          <w:rFonts w:ascii="宋体" w:hAnsi="宋体" w:eastAsia="宋体" w:cs="宋体"/>
          <w:spacing w:val="-12"/>
          <w:sz w:val="24"/>
          <w:szCs w:val="24"/>
        </w:rPr>
        <w:t>情况等特点，</w:t>
      </w:r>
      <w:r>
        <w:rPr>
          <w:rFonts w:ascii="宋体" w:hAnsi="宋体" w:eastAsia="宋体" w:cs="宋体"/>
          <w:spacing w:val="28"/>
          <w:sz w:val="24"/>
          <w:szCs w:val="24"/>
        </w:rPr>
        <w:t xml:space="preserve"> </w:t>
      </w:r>
      <w:r>
        <w:rPr>
          <w:rFonts w:ascii="Times New Roman" w:hAnsi="Times New Roman" w:eastAsia="Times New Roman" w:cs="Times New Roman"/>
          <w:spacing w:val="-12"/>
          <w:sz w:val="24"/>
          <w:szCs w:val="24"/>
        </w:rPr>
        <w:t>Ⅲ</w:t>
      </w:r>
      <w:r>
        <w:rPr>
          <w:rFonts w:ascii="宋体" w:hAnsi="宋体" w:eastAsia="宋体" w:cs="宋体"/>
          <w:spacing w:val="-12"/>
          <w:sz w:val="24"/>
          <w:szCs w:val="24"/>
        </w:rPr>
        <w:t>级围岩地段采用全断面开挖。</w:t>
      </w:r>
      <w:r>
        <w:rPr>
          <w:rFonts w:ascii="Times New Roman" w:hAnsi="Times New Roman" w:eastAsia="Times New Roman" w:cs="Times New Roman"/>
          <w:spacing w:val="-12"/>
          <w:sz w:val="24"/>
          <w:szCs w:val="24"/>
        </w:rPr>
        <w:t>Ⅳ</w:t>
      </w:r>
      <w:r>
        <w:rPr>
          <w:rFonts w:ascii="宋体" w:hAnsi="宋体" w:eastAsia="宋体" w:cs="宋体"/>
          <w:spacing w:val="-12"/>
          <w:sz w:val="24"/>
          <w:szCs w:val="24"/>
        </w:rPr>
        <w:t>级围岩地段采用台阶开挖法，</w:t>
      </w:r>
      <w:r>
        <w:rPr>
          <w:rFonts w:ascii="宋体" w:hAnsi="宋体" w:eastAsia="宋体" w:cs="宋体"/>
          <w:spacing w:val="50"/>
          <w:sz w:val="24"/>
          <w:szCs w:val="24"/>
        </w:rPr>
        <w:t xml:space="preserve"> </w:t>
      </w:r>
      <w:r>
        <w:rPr>
          <w:rFonts w:ascii="宋体" w:hAnsi="宋体" w:eastAsia="宋体" w:cs="宋体"/>
          <w:spacing w:val="-12"/>
          <w:sz w:val="24"/>
          <w:szCs w:val="24"/>
        </w:rPr>
        <w:t>台</w:t>
      </w:r>
      <w:r>
        <w:rPr>
          <w:rFonts w:ascii="宋体" w:hAnsi="宋体" w:eastAsia="宋体" w:cs="宋体"/>
          <w:sz w:val="24"/>
          <w:szCs w:val="24"/>
        </w:rPr>
        <w:t xml:space="preserve"> </w:t>
      </w:r>
      <w:r>
        <w:rPr>
          <w:rFonts w:ascii="宋体" w:hAnsi="宋体" w:eastAsia="宋体" w:cs="宋体"/>
          <w:spacing w:val="-1"/>
          <w:sz w:val="24"/>
          <w:szCs w:val="24"/>
        </w:rPr>
        <w:t>阶长度为</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10~15m</w:t>
      </w:r>
      <w:r>
        <w:rPr>
          <w:rFonts w:ascii="宋体" w:hAnsi="宋体" w:eastAsia="宋体" w:cs="宋体"/>
          <w:spacing w:val="-1"/>
          <w:sz w:val="24"/>
          <w:szCs w:val="24"/>
        </w:rPr>
        <w:t>，在暗洞与明洞相接段附近应视实际情</w:t>
      </w:r>
      <w:r>
        <w:rPr>
          <w:rFonts w:ascii="宋体" w:hAnsi="宋体" w:eastAsia="宋体" w:cs="宋体"/>
          <w:spacing w:val="-2"/>
          <w:sz w:val="24"/>
          <w:szCs w:val="24"/>
        </w:rPr>
        <w:t>况选择正台阶或台阶分</w:t>
      </w:r>
      <w:r>
        <w:rPr>
          <w:rFonts w:ascii="宋体" w:hAnsi="宋体" w:eastAsia="宋体" w:cs="宋体"/>
          <w:sz w:val="24"/>
          <w:szCs w:val="24"/>
        </w:rPr>
        <w:t xml:space="preserve"> </w:t>
      </w:r>
      <w:r>
        <w:rPr>
          <w:rFonts w:ascii="宋体" w:hAnsi="宋体" w:eastAsia="宋体" w:cs="宋体"/>
          <w:spacing w:val="-4"/>
          <w:sz w:val="24"/>
          <w:szCs w:val="24"/>
        </w:rPr>
        <w:t>部开挖法， 并配合超前锚杆等措施防止坍塌。</w:t>
      </w:r>
      <w:r>
        <w:rPr>
          <w:rFonts w:ascii="Times New Roman" w:hAnsi="Times New Roman" w:eastAsia="Times New Roman" w:cs="Times New Roman"/>
          <w:spacing w:val="-4"/>
          <w:sz w:val="24"/>
          <w:szCs w:val="24"/>
        </w:rPr>
        <w:t>Ⅴ</w:t>
      </w:r>
      <w:r>
        <w:rPr>
          <w:rFonts w:ascii="宋体" w:hAnsi="宋体" w:eastAsia="宋体" w:cs="宋体"/>
          <w:spacing w:val="-5"/>
          <w:sz w:val="24"/>
          <w:szCs w:val="24"/>
        </w:rPr>
        <w:t>级围岩区段应先超前预支护后开</w:t>
      </w:r>
      <w:r>
        <w:rPr>
          <w:rFonts w:ascii="宋体" w:hAnsi="宋体" w:eastAsia="宋体" w:cs="宋体"/>
          <w:sz w:val="24"/>
          <w:szCs w:val="24"/>
        </w:rPr>
        <w:t xml:space="preserve"> </w:t>
      </w:r>
      <w:r>
        <w:rPr>
          <w:rFonts w:ascii="宋体" w:hAnsi="宋体" w:eastAsia="宋体" w:cs="宋体"/>
          <w:spacing w:val="-1"/>
          <w:sz w:val="24"/>
          <w:szCs w:val="24"/>
        </w:rPr>
        <w:t>挖，洞口段预支护优先考虑采用</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管棚</w:t>
      </w:r>
      <w:r>
        <w:rPr>
          <w:rFonts w:ascii="Times New Roman" w:hAnsi="Times New Roman" w:eastAsia="Times New Roman" w:cs="Times New Roman"/>
          <w:spacing w:val="-1"/>
          <w:sz w:val="24"/>
          <w:szCs w:val="24"/>
        </w:rPr>
        <w:t>+</w:t>
      </w:r>
      <w:r>
        <w:rPr>
          <w:rFonts w:ascii="宋体" w:hAnsi="宋体" w:eastAsia="宋体" w:cs="宋体"/>
          <w:spacing w:val="-1"/>
          <w:sz w:val="24"/>
          <w:szCs w:val="24"/>
        </w:rPr>
        <w:t>注浆</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，洞身其他地段可采用</w:t>
      </w:r>
      <w:r>
        <w:rPr>
          <w:rFonts w:ascii="Times New Roman" w:hAnsi="Times New Roman" w:eastAsia="Times New Roman" w:cs="Times New Roman"/>
          <w:spacing w:val="-1"/>
          <w:sz w:val="24"/>
          <w:szCs w:val="24"/>
        </w:rPr>
        <w:t>“</w:t>
      </w:r>
      <w:r>
        <w:rPr>
          <w:rFonts w:ascii="宋体" w:hAnsi="宋体" w:eastAsia="宋体" w:cs="宋体"/>
          <w:spacing w:val="-1"/>
          <w:sz w:val="24"/>
          <w:szCs w:val="24"/>
        </w:rPr>
        <w:t>小导管</w:t>
      </w:r>
      <w:r>
        <w:rPr>
          <w:rFonts w:ascii="Times New Roman" w:hAnsi="Times New Roman" w:eastAsia="Times New Roman" w:cs="Times New Roman"/>
          <w:spacing w:val="-1"/>
          <w:sz w:val="24"/>
          <w:szCs w:val="24"/>
        </w:rPr>
        <w:t>+</w:t>
      </w:r>
      <w:r>
        <w:rPr>
          <w:rFonts w:ascii="宋体" w:hAnsi="宋体" w:eastAsia="宋体" w:cs="宋体"/>
          <w:spacing w:val="-1"/>
          <w:sz w:val="24"/>
          <w:szCs w:val="24"/>
        </w:rPr>
        <w:t>注</w:t>
      </w:r>
      <w:r>
        <w:rPr>
          <w:rFonts w:ascii="宋体" w:hAnsi="宋体" w:eastAsia="宋体" w:cs="宋体"/>
          <w:sz w:val="24"/>
          <w:szCs w:val="24"/>
        </w:rPr>
        <w:t xml:space="preserve"> </w:t>
      </w:r>
      <w:r>
        <w:rPr>
          <w:rFonts w:ascii="宋体" w:hAnsi="宋体" w:eastAsia="宋体" w:cs="宋体"/>
          <w:spacing w:val="-6"/>
          <w:sz w:val="24"/>
          <w:szCs w:val="24"/>
        </w:rPr>
        <w:t>浆</w:t>
      </w:r>
      <w:r>
        <w:rPr>
          <w:rFonts w:ascii="Times New Roman" w:hAnsi="Times New Roman" w:eastAsia="Times New Roman" w:cs="Times New Roman"/>
          <w:spacing w:val="-6"/>
          <w:sz w:val="24"/>
          <w:szCs w:val="24"/>
        </w:rPr>
        <w:t>”</w:t>
      </w:r>
      <w:r>
        <w:rPr>
          <w:rFonts w:ascii="宋体" w:hAnsi="宋体" w:eastAsia="宋体" w:cs="宋体"/>
          <w:spacing w:val="-6"/>
          <w:sz w:val="24"/>
          <w:szCs w:val="24"/>
        </w:rPr>
        <w:t>预支护； 开挖宜采用留核心环形开挖， 围岩较破碎路段可采用侧壁导坑法开</w:t>
      </w:r>
    </w:p>
    <w:p>
      <w:pPr>
        <w:spacing w:line="218" w:lineRule="auto"/>
        <w:ind w:left="37"/>
        <w:rPr>
          <w:rFonts w:ascii="宋体" w:hAnsi="宋体" w:eastAsia="宋体" w:cs="宋体"/>
          <w:sz w:val="24"/>
          <w:szCs w:val="24"/>
        </w:rPr>
      </w:pPr>
      <w:r>
        <w:rPr>
          <w:rFonts w:ascii="宋体" w:hAnsi="宋体" w:eastAsia="宋体" w:cs="宋体"/>
          <w:spacing w:val="-4"/>
          <w:sz w:val="24"/>
          <w:szCs w:val="24"/>
        </w:rPr>
        <w:t>挖，人工挖掘或弱爆破开挖。</w:t>
      </w:r>
    </w:p>
    <w:p>
      <w:pPr>
        <w:spacing w:before="184" w:line="220" w:lineRule="auto"/>
        <w:ind w:left="523"/>
        <w:rPr>
          <w:rFonts w:ascii="宋体" w:hAnsi="宋体" w:eastAsia="宋体" w:cs="宋体"/>
          <w:sz w:val="24"/>
          <w:szCs w:val="24"/>
        </w:rPr>
      </w:pPr>
      <w:r>
        <w:rPr>
          <w:rFonts w:ascii="Times New Roman" w:hAnsi="Times New Roman" w:eastAsia="Times New Roman" w:cs="Times New Roman"/>
          <w:spacing w:val="-4"/>
          <w:sz w:val="24"/>
          <w:szCs w:val="24"/>
        </w:rPr>
        <w:t>8</w:t>
      </w:r>
      <w:r>
        <w:rPr>
          <w:rFonts w:ascii="宋体" w:hAnsi="宋体" w:eastAsia="宋体" w:cs="宋体"/>
          <w:spacing w:val="-4"/>
          <w:sz w:val="24"/>
          <w:szCs w:val="24"/>
        </w:rPr>
        <w:t>、改移工程</w:t>
      </w:r>
    </w:p>
    <w:p>
      <w:pPr>
        <w:spacing w:before="181" w:line="359" w:lineRule="auto"/>
        <w:ind w:left="37" w:right="30" w:firstLine="480"/>
        <w:rPr>
          <w:rFonts w:ascii="宋体" w:hAnsi="宋体" w:eastAsia="宋体" w:cs="宋体"/>
          <w:sz w:val="24"/>
          <w:szCs w:val="24"/>
        </w:rPr>
      </w:pPr>
      <w:r>
        <w:rPr>
          <w:rFonts w:ascii="宋体" w:hAnsi="宋体" w:eastAsia="宋体" w:cs="宋体"/>
          <w:spacing w:val="-16"/>
          <w:sz w:val="24"/>
          <w:szCs w:val="24"/>
        </w:rPr>
        <w:t>三改设置， 在原有路基基础上接顺道路，</w:t>
      </w:r>
      <w:r>
        <w:rPr>
          <w:rFonts w:ascii="宋体" w:hAnsi="宋体" w:eastAsia="宋体" w:cs="宋体"/>
          <w:spacing w:val="42"/>
          <w:sz w:val="24"/>
          <w:szCs w:val="24"/>
        </w:rPr>
        <w:t xml:space="preserve"> </w:t>
      </w:r>
      <w:r>
        <w:rPr>
          <w:rFonts w:ascii="宋体" w:hAnsi="宋体" w:eastAsia="宋体" w:cs="宋体"/>
          <w:spacing w:val="-16"/>
          <w:sz w:val="24"/>
          <w:szCs w:val="24"/>
        </w:rPr>
        <w:t>利于当地百姓的出行，</w:t>
      </w:r>
      <w:r>
        <w:rPr>
          <w:rFonts w:ascii="宋体" w:hAnsi="宋体" w:eastAsia="宋体" w:cs="宋体"/>
          <w:spacing w:val="38"/>
          <w:sz w:val="24"/>
          <w:szCs w:val="24"/>
        </w:rPr>
        <w:t xml:space="preserve"> </w:t>
      </w:r>
      <w:r>
        <w:rPr>
          <w:rFonts w:ascii="宋体" w:hAnsi="宋体" w:eastAsia="宋体" w:cs="宋体"/>
          <w:spacing w:val="-16"/>
          <w:sz w:val="24"/>
          <w:szCs w:val="24"/>
        </w:rPr>
        <w:t>并使改路顺</w:t>
      </w:r>
      <w:r>
        <w:rPr>
          <w:rFonts w:ascii="宋体" w:hAnsi="宋体" w:eastAsia="宋体" w:cs="宋体"/>
          <w:sz w:val="24"/>
          <w:szCs w:val="24"/>
        </w:rPr>
        <w:t xml:space="preserve"> </w:t>
      </w:r>
      <w:r>
        <w:rPr>
          <w:rFonts w:ascii="宋体" w:hAnsi="宋体" w:eastAsia="宋体" w:cs="宋体"/>
          <w:spacing w:val="-17"/>
          <w:sz w:val="24"/>
          <w:szCs w:val="24"/>
        </w:rPr>
        <w:t>接，</w:t>
      </w:r>
      <w:r>
        <w:rPr>
          <w:rFonts w:ascii="宋体" w:hAnsi="宋体" w:eastAsia="宋体" w:cs="宋体"/>
          <w:spacing w:val="-48"/>
          <w:sz w:val="24"/>
          <w:szCs w:val="24"/>
        </w:rPr>
        <w:t xml:space="preserve"> </w:t>
      </w:r>
      <w:r>
        <w:rPr>
          <w:rFonts w:ascii="宋体" w:hAnsi="宋体" w:eastAsia="宋体" w:cs="宋体"/>
          <w:spacing w:val="-17"/>
          <w:sz w:val="24"/>
          <w:szCs w:val="24"/>
        </w:rPr>
        <w:t>河道的改移关系到水系的分布，</w:t>
      </w:r>
      <w:r>
        <w:rPr>
          <w:rFonts w:ascii="宋体" w:hAnsi="宋体" w:eastAsia="宋体" w:cs="宋体"/>
          <w:spacing w:val="45"/>
          <w:sz w:val="24"/>
          <w:szCs w:val="24"/>
        </w:rPr>
        <w:t xml:space="preserve"> </w:t>
      </w:r>
      <w:r>
        <w:rPr>
          <w:rFonts w:ascii="宋体" w:hAnsi="宋体" w:eastAsia="宋体" w:cs="宋体"/>
          <w:spacing w:val="-17"/>
          <w:sz w:val="24"/>
          <w:szCs w:val="24"/>
        </w:rPr>
        <w:t>使水流顺畅，</w:t>
      </w:r>
      <w:r>
        <w:rPr>
          <w:rFonts w:ascii="宋体" w:hAnsi="宋体" w:eastAsia="宋体" w:cs="宋体"/>
          <w:spacing w:val="43"/>
          <w:sz w:val="24"/>
          <w:szCs w:val="24"/>
        </w:rPr>
        <w:t xml:space="preserve"> </w:t>
      </w:r>
      <w:r>
        <w:rPr>
          <w:rFonts w:ascii="宋体" w:hAnsi="宋体" w:eastAsia="宋体" w:cs="宋体"/>
          <w:spacing w:val="-17"/>
          <w:sz w:val="24"/>
          <w:szCs w:val="24"/>
        </w:rPr>
        <w:t>沟渠</w:t>
      </w:r>
      <w:r>
        <w:rPr>
          <w:rFonts w:ascii="宋体" w:hAnsi="宋体" w:eastAsia="宋体" w:cs="宋体"/>
          <w:spacing w:val="-18"/>
          <w:sz w:val="24"/>
          <w:szCs w:val="24"/>
        </w:rPr>
        <w:t>（沟） 的改移主要做好标</w:t>
      </w:r>
    </w:p>
    <w:p>
      <w:pPr>
        <w:spacing w:before="1" w:line="218" w:lineRule="auto"/>
        <w:ind w:left="44"/>
        <w:rPr>
          <w:rFonts w:ascii="宋体" w:hAnsi="宋体" w:eastAsia="宋体" w:cs="宋体"/>
          <w:sz w:val="24"/>
          <w:szCs w:val="24"/>
        </w:rPr>
      </w:pPr>
      <w:r>
        <w:rPr>
          <w:rFonts w:ascii="宋体" w:hAnsi="宋体" w:eastAsia="宋体" w:cs="宋体"/>
          <w:spacing w:val="-6"/>
          <w:sz w:val="24"/>
          <w:szCs w:val="24"/>
        </w:rPr>
        <w:t>高的控制接引。改路工程按原等级在附近新开</w:t>
      </w:r>
      <w:r>
        <w:rPr>
          <w:rFonts w:ascii="宋体" w:hAnsi="宋体" w:eastAsia="宋体" w:cs="宋体"/>
          <w:spacing w:val="-7"/>
          <w:sz w:val="24"/>
          <w:szCs w:val="24"/>
        </w:rPr>
        <w:t>， 改移后宽度根据当地道路规划和</w:t>
      </w:r>
    </w:p>
    <w:p>
      <w:pPr>
        <w:spacing w:line="218" w:lineRule="auto"/>
        <w:rPr>
          <w:rFonts w:ascii="宋体" w:hAnsi="宋体" w:eastAsia="宋体" w:cs="宋体"/>
          <w:sz w:val="24"/>
          <w:szCs w:val="24"/>
        </w:rPr>
        <w:sectPr>
          <w:headerReference r:id="rId144" w:type="default"/>
          <w:footerReference r:id="rId145" w:type="default"/>
          <w:pgSz w:w="11907" w:h="16839"/>
          <w:pgMar w:top="1118" w:right="1769" w:bottom="1184" w:left="1771" w:header="879" w:footer="1024" w:gutter="0"/>
          <w:cols w:space="720" w:num="1"/>
        </w:sectPr>
      </w:pPr>
    </w:p>
    <w:p>
      <w:pPr>
        <w:pStyle w:val="2"/>
        <w:spacing w:line="280" w:lineRule="auto"/>
      </w:pPr>
    </w:p>
    <w:p>
      <w:pPr>
        <w:spacing w:before="78" w:line="359" w:lineRule="auto"/>
        <w:ind w:left="37" w:firstLine="1"/>
        <w:jc w:val="both"/>
        <w:rPr>
          <w:rFonts w:ascii="宋体" w:hAnsi="宋体" w:eastAsia="宋体" w:cs="宋体"/>
          <w:sz w:val="24"/>
          <w:szCs w:val="24"/>
        </w:rPr>
      </w:pPr>
      <w:r>
        <w:rPr>
          <w:rFonts w:ascii="宋体" w:hAnsi="宋体" w:eastAsia="宋体" w:cs="宋体"/>
          <w:spacing w:val="-12"/>
          <w:sz w:val="24"/>
          <w:szCs w:val="24"/>
        </w:rPr>
        <w:t>村镇需要确定，</w:t>
      </w:r>
      <w:r>
        <w:rPr>
          <w:rFonts w:ascii="宋体" w:hAnsi="宋体" w:eastAsia="宋体" w:cs="宋体"/>
          <w:spacing w:val="32"/>
          <w:sz w:val="24"/>
          <w:szCs w:val="24"/>
        </w:rPr>
        <w:t xml:space="preserve"> </w:t>
      </w:r>
      <w:r>
        <w:rPr>
          <w:rFonts w:ascii="宋体" w:hAnsi="宋体" w:eastAsia="宋体" w:cs="宋体"/>
          <w:spacing w:val="-12"/>
          <w:sz w:val="24"/>
          <w:szCs w:val="24"/>
        </w:rPr>
        <w:t>要求在工程设计中对路线选取方案、道路规模等进行复核，</w:t>
      </w:r>
      <w:r>
        <w:rPr>
          <w:rFonts w:ascii="宋体" w:hAnsi="宋体" w:eastAsia="宋体" w:cs="宋体"/>
          <w:spacing w:val="37"/>
          <w:sz w:val="24"/>
          <w:szCs w:val="24"/>
        </w:rPr>
        <w:t xml:space="preserve"> </w:t>
      </w:r>
      <w:r>
        <w:rPr>
          <w:rFonts w:ascii="宋体" w:hAnsi="宋体" w:eastAsia="宋体" w:cs="宋体"/>
          <w:spacing w:val="-12"/>
          <w:sz w:val="24"/>
          <w:szCs w:val="24"/>
        </w:rPr>
        <w:t xml:space="preserve">并征 </w:t>
      </w:r>
      <w:r>
        <w:rPr>
          <w:rFonts w:ascii="宋体" w:hAnsi="宋体" w:eastAsia="宋体" w:cs="宋体"/>
          <w:spacing w:val="-9"/>
          <w:sz w:val="24"/>
          <w:szCs w:val="24"/>
        </w:rPr>
        <w:t>得当地交通部门的同意。施工工艺采用常规施工方式，</w:t>
      </w:r>
      <w:r>
        <w:rPr>
          <w:rFonts w:ascii="宋体" w:hAnsi="宋体" w:eastAsia="宋体" w:cs="宋体"/>
          <w:spacing w:val="-45"/>
          <w:sz w:val="24"/>
          <w:szCs w:val="24"/>
        </w:rPr>
        <w:t xml:space="preserve"> </w:t>
      </w:r>
      <w:r>
        <w:rPr>
          <w:rFonts w:ascii="宋体" w:hAnsi="宋体" w:eastAsia="宋体" w:cs="宋体"/>
          <w:spacing w:val="-10"/>
          <w:sz w:val="24"/>
          <w:szCs w:val="24"/>
        </w:rPr>
        <w:t>做好边坡防护和排水工作。</w:t>
      </w:r>
      <w:r>
        <w:rPr>
          <w:rFonts w:ascii="宋体" w:hAnsi="宋体" w:eastAsia="宋体" w:cs="宋体"/>
          <w:sz w:val="24"/>
          <w:szCs w:val="24"/>
        </w:rPr>
        <w:t xml:space="preserve"> </w:t>
      </w:r>
      <w:r>
        <w:rPr>
          <w:rFonts w:ascii="宋体" w:hAnsi="宋体" w:eastAsia="宋体" w:cs="宋体"/>
          <w:spacing w:val="-12"/>
          <w:sz w:val="24"/>
          <w:szCs w:val="24"/>
        </w:rPr>
        <w:t>老路为水泥路面及砂石路面，</w:t>
      </w:r>
      <w:r>
        <w:rPr>
          <w:rFonts w:ascii="宋体" w:hAnsi="宋体" w:eastAsia="宋体" w:cs="宋体"/>
          <w:spacing w:val="41"/>
          <w:sz w:val="24"/>
          <w:szCs w:val="24"/>
        </w:rPr>
        <w:t xml:space="preserve"> </w:t>
      </w:r>
      <w:r>
        <w:rPr>
          <w:rFonts w:ascii="宋体" w:hAnsi="宋体" w:eastAsia="宋体" w:cs="宋体"/>
          <w:spacing w:val="-12"/>
          <w:sz w:val="24"/>
          <w:szCs w:val="24"/>
        </w:rPr>
        <w:t>根据主体设计标高，</w:t>
      </w:r>
      <w:r>
        <w:rPr>
          <w:rFonts w:ascii="宋体" w:hAnsi="宋体" w:eastAsia="宋体" w:cs="宋体"/>
          <w:spacing w:val="30"/>
          <w:sz w:val="24"/>
          <w:szCs w:val="24"/>
        </w:rPr>
        <w:t xml:space="preserve"> </w:t>
      </w:r>
      <w:r>
        <w:rPr>
          <w:rFonts w:ascii="宋体" w:hAnsi="宋体" w:eastAsia="宋体" w:cs="宋体"/>
          <w:spacing w:val="-12"/>
          <w:sz w:val="24"/>
          <w:szCs w:val="24"/>
        </w:rPr>
        <w:t xml:space="preserve">对老路面进行挖填施工。老路 </w:t>
      </w:r>
      <w:r>
        <w:rPr>
          <w:rFonts w:ascii="宋体" w:hAnsi="宋体" w:eastAsia="宋体" w:cs="宋体"/>
          <w:spacing w:val="-9"/>
          <w:sz w:val="24"/>
          <w:szCs w:val="24"/>
        </w:rPr>
        <w:t>面开挖、破碎及凿除采用机械配合人工的方式进行，</w:t>
      </w:r>
      <w:r>
        <w:rPr>
          <w:rFonts w:ascii="宋体" w:hAnsi="宋体" w:eastAsia="宋体" w:cs="宋体"/>
          <w:spacing w:val="-46"/>
          <w:sz w:val="24"/>
          <w:szCs w:val="24"/>
        </w:rPr>
        <w:t xml:space="preserve"> </w:t>
      </w:r>
      <w:r>
        <w:rPr>
          <w:rFonts w:ascii="宋体" w:hAnsi="宋体" w:eastAsia="宋体" w:cs="宋体"/>
          <w:spacing w:val="-9"/>
          <w:sz w:val="24"/>
          <w:szCs w:val="24"/>
        </w:rPr>
        <w:t>采用</w:t>
      </w:r>
      <w:r>
        <w:rPr>
          <w:rFonts w:ascii="宋体" w:hAnsi="宋体" w:eastAsia="宋体" w:cs="宋体"/>
          <w:spacing w:val="-10"/>
          <w:sz w:val="24"/>
          <w:szCs w:val="24"/>
        </w:rPr>
        <w:t>挖掘机和破碎机械施工。</w:t>
      </w:r>
      <w:r>
        <w:rPr>
          <w:rFonts w:ascii="宋体" w:hAnsi="宋体" w:eastAsia="宋体" w:cs="宋体"/>
          <w:sz w:val="24"/>
          <w:szCs w:val="24"/>
        </w:rPr>
        <w:t xml:space="preserve"> </w:t>
      </w:r>
      <w:r>
        <w:rPr>
          <w:rFonts w:ascii="宋体" w:hAnsi="宋体" w:eastAsia="宋体" w:cs="宋体"/>
          <w:spacing w:val="-9"/>
          <w:sz w:val="24"/>
          <w:szCs w:val="24"/>
        </w:rPr>
        <w:t>施工应尽量选在农闲时进行施工， 按照相关要求进行施</w:t>
      </w:r>
      <w:r>
        <w:rPr>
          <w:rFonts w:ascii="宋体" w:hAnsi="宋体" w:eastAsia="宋体" w:cs="宋体"/>
          <w:spacing w:val="-10"/>
          <w:sz w:val="24"/>
          <w:szCs w:val="24"/>
        </w:rPr>
        <w:t>工， 保证与原有道路顺滑</w:t>
      </w:r>
    </w:p>
    <w:p>
      <w:pPr>
        <w:spacing w:line="219" w:lineRule="auto"/>
        <w:ind w:left="39"/>
        <w:rPr>
          <w:rFonts w:ascii="宋体" w:hAnsi="宋体" w:eastAsia="宋体" w:cs="宋体"/>
          <w:sz w:val="24"/>
          <w:szCs w:val="24"/>
        </w:rPr>
      </w:pPr>
      <w:r>
        <w:rPr>
          <w:rFonts w:ascii="宋体" w:hAnsi="宋体" w:eastAsia="宋体" w:cs="宋体"/>
          <w:spacing w:val="-2"/>
          <w:sz w:val="24"/>
          <w:szCs w:val="24"/>
        </w:rPr>
        <w:t>连接，并应统筹安排，尽量减少对当地生产生活的影响。</w:t>
      </w:r>
    </w:p>
    <w:p>
      <w:pPr>
        <w:spacing w:before="178" w:line="360" w:lineRule="auto"/>
        <w:ind w:left="40" w:right="82" w:firstLine="478"/>
        <w:rPr>
          <w:rFonts w:ascii="宋体" w:hAnsi="宋体" w:eastAsia="宋体" w:cs="宋体"/>
          <w:sz w:val="24"/>
          <w:szCs w:val="24"/>
        </w:rPr>
      </w:pPr>
      <w:r>
        <w:rPr>
          <w:rFonts w:ascii="宋体" w:hAnsi="宋体" w:eastAsia="宋体" w:cs="宋体"/>
          <w:spacing w:val="-17"/>
          <w:sz w:val="24"/>
          <w:szCs w:val="24"/>
        </w:rPr>
        <w:t>沟渠改移施工应避开雨季，</w:t>
      </w:r>
      <w:r>
        <w:rPr>
          <w:rFonts w:ascii="宋体" w:hAnsi="宋体" w:eastAsia="宋体" w:cs="宋体"/>
          <w:spacing w:val="65"/>
          <w:sz w:val="24"/>
          <w:szCs w:val="24"/>
        </w:rPr>
        <w:t xml:space="preserve"> </w:t>
      </w:r>
      <w:r>
        <w:rPr>
          <w:rFonts w:ascii="宋体" w:hAnsi="宋体" w:eastAsia="宋体" w:cs="宋体"/>
          <w:spacing w:val="-17"/>
          <w:sz w:val="24"/>
          <w:szCs w:val="24"/>
        </w:rPr>
        <w:t>与原有沟</w:t>
      </w:r>
      <w:r>
        <w:rPr>
          <w:rFonts w:ascii="Times New Roman" w:hAnsi="Times New Roman" w:eastAsia="Times New Roman" w:cs="Times New Roman"/>
          <w:spacing w:val="-17"/>
          <w:sz w:val="24"/>
          <w:szCs w:val="24"/>
        </w:rPr>
        <w:t>(</w:t>
      </w:r>
      <w:r>
        <w:rPr>
          <w:rFonts w:ascii="宋体" w:hAnsi="宋体" w:eastAsia="宋体" w:cs="宋体"/>
          <w:spacing w:val="-17"/>
          <w:sz w:val="24"/>
          <w:szCs w:val="24"/>
        </w:rPr>
        <w:t>渠</w:t>
      </w:r>
      <w:r>
        <w:rPr>
          <w:rFonts w:ascii="Times New Roman" w:hAnsi="Times New Roman" w:eastAsia="Times New Roman" w:cs="Times New Roman"/>
          <w:spacing w:val="-17"/>
          <w:sz w:val="24"/>
          <w:szCs w:val="24"/>
        </w:rPr>
        <w:t>)</w:t>
      </w:r>
      <w:r>
        <w:rPr>
          <w:rFonts w:ascii="宋体" w:hAnsi="宋体" w:eastAsia="宋体" w:cs="宋体"/>
          <w:spacing w:val="-17"/>
          <w:sz w:val="24"/>
          <w:szCs w:val="24"/>
        </w:rPr>
        <w:t>、河道顺接，</w:t>
      </w:r>
      <w:r>
        <w:rPr>
          <w:rFonts w:ascii="宋体" w:hAnsi="宋体" w:eastAsia="宋体" w:cs="宋体"/>
          <w:spacing w:val="66"/>
          <w:sz w:val="24"/>
          <w:szCs w:val="24"/>
        </w:rPr>
        <w:t xml:space="preserve"> </w:t>
      </w:r>
      <w:r>
        <w:rPr>
          <w:rFonts w:ascii="宋体" w:hAnsi="宋体" w:eastAsia="宋体" w:cs="宋体"/>
          <w:spacing w:val="-17"/>
          <w:sz w:val="24"/>
          <w:szCs w:val="24"/>
        </w:rPr>
        <w:t>并注意防渗处</w:t>
      </w:r>
      <w:r>
        <w:rPr>
          <w:rFonts w:ascii="宋体" w:hAnsi="宋体" w:eastAsia="宋体" w:cs="宋体"/>
          <w:spacing w:val="-18"/>
          <w:sz w:val="24"/>
          <w:szCs w:val="24"/>
        </w:rPr>
        <w:t>理，</w:t>
      </w:r>
      <w:r>
        <w:rPr>
          <w:rFonts w:ascii="宋体" w:hAnsi="宋体" w:eastAsia="宋体" w:cs="宋体"/>
          <w:spacing w:val="66"/>
          <w:sz w:val="24"/>
          <w:szCs w:val="24"/>
        </w:rPr>
        <w:t xml:space="preserve"> </w:t>
      </w:r>
      <w:r>
        <w:rPr>
          <w:rFonts w:ascii="宋体" w:hAnsi="宋体" w:eastAsia="宋体" w:cs="宋体"/>
          <w:spacing w:val="-18"/>
          <w:sz w:val="24"/>
          <w:szCs w:val="24"/>
        </w:rPr>
        <w:t>与</w:t>
      </w:r>
      <w:r>
        <w:rPr>
          <w:rFonts w:ascii="宋体" w:hAnsi="宋体" w:eastAsia="宋体" w:cs="宋体"/>
          <w:sz w:val="24"/>
          <w:szCs w:val="24"/>
        </w:rPr>
        <w:t xml:space="preserve"> </w:t>
      </w:r>
      <w:r>
        <w:rPr>
          <w:rFonts w:ascii="宋体" w:hAnsi="宋体" w:eastAsia="宋体" w:cs="宋体"/>
          <w:spacing w:val="-3"/>
          <w:sz w:val="24"/>
          <w:szCs w:val="24"/>
        </w:rPr>
        <w:t>路基边沟共用的改沟应做好与主体工程的衔接。其他工程应按有关规定并参照主</w:t>
      </w:r>
      <w:r>
        <w:rPr>
          <w:rFonts w:ascii="宋体" w:hAnsi="宋体" w:eastAsia="宋体" w:cs="宋体"/>
          <w:sz w:val="24"/>
          <w:szCs w:val="24"/>
        </w:rPr>
        <w:t xml:space="preserve"> </w:t>
      </w:r>
      <w:r>
        <w:rPr>
          <w:rFonts w:ascii="宋体" w:hAnsi="宋体" w:eastAsia="宋体" w:cs="宋体"/>
          <w:spacing w:val="-9"/>
          <w:sz w:val="24"/>
          <w:szCs w:val="24"/>
        </w:rPr>
        <w:t>线各相关专业的要求进行施工， 实施过程中应加</w:t>
      </w:r>
      <w:r>
        <w:rPr>
          <w:rFonts w:ascii="宋体" w:hAnsi="宋体" w:eastAsia="宋体" w:cs="宋体"/>
          <w:spacing w:val="-10"/>
          <w:sz w:val="24"/>
          <w:szCs w:val="24"/>
        </w:rPr>
        <w:t>强管理， 确保地方道路畅通和安</w:t>
      </w:r>
    </w:p>
    <w:p>
      <w:pPr>
        <w:spacing w:before="1" w:line="218" w:lineRule="auto"/>
        <w:ind w:left="38"/>
        <w:rPr>
          <w:rFonts w:ascii="宋体" w:hAnsi="宋体" w:eastAsia="宋体" w:cs="宋体"/>
          <w:sz w:val="24"/>
          <w:szCs w:val="24"/>
        </w:rPr>
      </w:pPr>
      <w:r>
        <w:rPr>
          <w:rFonts w:ascii="宋体" w:hAnsi="宋体" w:eastAsia="宋体" w:cs="宋体"/>
          <w:spacing w:val="-3"/>
          <w:sz w:val="24"/>
          <w:szCs w:val="24"/>
        </w:rPr>
        <w:t>全，满足农田耕作和排涝洪泻的需要。</w:t>
      </w:r>
    </w:p>
    <w:p>
      <w:pPr>
        <w:spacing w:before="181" w:line="220" w:lineRule="auto"/>
        <w:ind w:left="518"/>
        <w:rPr>
          <w:rFonts w:ascii="宋体" w:hAnsi="宋体" w:eastAsia="宋体" w:cs="宋体"/>
          <w:sz w:val="24"/>
          <w:szCs w:val="24"/>
        </w:rPr>
      </w:pPr>
      <w:r>
        <w:rPr>
          <w:rFonts w:ascii="Times New Roman" w:hAnsi="Times New Roman" w:eastAsia="Times New Roman" w:cs="Times New Roman"/>
          <w:spacing w:val="-3"/>
          <w:sz w:val="24"/>
          <w:szCs w:val="24"/>
        </w:rPr>
        <w:t>9</w:t>
      </w:r>
      <w:r>
        <w:rPr>
          <w:rFonts w:ascii="宋体" w:hAnsi="宋体" w:eastAsia="宋体" w:cs="宋体"/>
          <w:spacing w:val="-3"/>
          <w:sz w:val="24"/>
          <w:szCs w:val="24"/>
        </w:rPr>
        <w:t>、绿化工程</w:t>
      </w:r>
    </w:p>
    <w:p>
      <w:pPr>
        <w:spacing w:before="181" w:line="359" w:lineRule="auto"/>
        <w:ind w:left="40" w:firstLine="479"/>
        <w:rPr>
          <w:rFonts w:ascii="宋体" w:hAnsi="宋体" w:eastAsia="宋体" w:cs="宋体"/>
          <w:sz w:val="24"/>
          <w:szCs w:val="24"/>
        </w:rPr>
      </w:pPr>
      <w:r>
        <w:rPr>
          <w:rFonts w:ascii="宋体" w:hAnsi="宋体" w:eastAsia="宋体" w:cs="宋体"/>
          <w:spacing w:val="-2"/>
          <w:sz w:val="24"/>
          <w:szCs w:val="24"/>
        </w:rPr>
        <w:t>绿化工程在路基工程施工完毕后进行，利用施工前剥离的表土对路堤边坡、</w:t>
      </w:r>
      <w:r>
        <w:rPr>
          <w:rFonts w:ascii="宋体" w:hAnsi="宋体" w:eastAsia="宋体" w:cs="宋体"/>
          <w:spacing w:val="18"/>
          <w:sz w:val="24"/>
          <w:szCs w:val="24"/>
        </w:rPr>
        <w:t xml:space="preserve"> </w:t>
      </w:r>
      <w:r>
        <w:rPr>
          <w:rFonts w:ascii="宋体" w:hAnsi="宋体" w:eastAsia="宋体" w:cs="宋体"/>
          <w:spacing w:val="-7"/>
          <w:sz w:val="24"/>
          <w:szCs w:val="24"/>
        </w:rPr>
        <w:t>路堑边坡、施工临时设施等区域覆土后绿化。方格植草</w:t>
      </w:r>
      <w:r>
        <w:rPr>
          <w:rFonts w:ascii="宋体" w:hAnsi="宋体" w:eastAsia="宋体" w:cs="宋体"/>
          <w:spacing w:val="-8"/>
          <w:sz w:val="24"/>
          <w:szCs w:val="24"/>
        </w:rPr>
        <w:t>、草灌混植、栽植、浇水、</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覆土、撒播草籽等均采用人工或人工配合机械方法施工。</w:t>
      </w:r>
    </w:p>
    <w:p>
      <w:pPr>
        <w:spacing w:before="181" w:line="219" w:lineRule="auto"/>
        <w:ind w:left="32"/>
        <w:outlineLvl w:val="1"/>
        <w:rPr>
          <w:rFonts w:ascii="宋体" w:hAnsi="宋体" w:eastAsia="宋体" w:cs="宋体"/>
          <w:sz w:val="24"/>
          <w:szCs w:val="24"/>
        </w:rPr>
      </w:pPr>
      <w:r>
        <w:rPr>
          <w:rFonts w:ascii="Times New Roman" w:hAnsi="Times New Roman" w:eastAsia="Times New Roman" w:cs="Times New Roman"/>
          <w:b/>
          <w:bCs/>
          <w:sz w:val="24"/>
          <w:szCs w:val="24"/>
        </w:rPr>
        <w:t xml:space="preserve">3.4.3 </w:t>
      </w:r>
      <w:r>
        <w:rPr>
          <w:rFonts w:ascii="宋体" w:hAnsi="宋体" w:eastAsia="宋体" w:cs="宋体"/>
          <w:sz w:val="24"/>
          <w:szCs w:val="24"/>
          <w14:textOutline w14:w="4354" w14:cap="flat" w14:cmpd="sng">
            <w14:solidFill>
              <w14:srgbClr w14:val="000000"/>
            </w14:solidFill>
            <w14:prstDash w14:val="solid"/>
            <w14:miter w14:val="0"/>
          </w14:textOutline>
        </w:rPr>
        <w:t>筑路材料及运输条件</w:t>
      </w:r>
    </w:p>
    <w:p>
      <w:pPr>
        <w:spacing w:before="186" w:line="359" w:lineRule="auto"/>
        <w:ind w:left="40" w:right="82" w:firstLine="479"/>
        <w:rPr>
          <w:rFonts w:ascii="宋体" w:hAnsi="宋体" w:eastAsia="宋体" w:cs="宋体"/>
          <w:sz w:val="24"/>
          <w:szCs w:val="24"/>
        </w:rPr>
      </w:pPr>
      <w:r>
        <w:rPr>
          <w:rFonts w:ascii="宋体" w:hAnsi="宋体" w:eastAsia="宋体" w:cs="宋体"/>
          <w:spacing w:val="-3"/>
          <w:sz w:val="24"/>
          <w:szCs w:val="24"/>
        </w:rPr>
        <w:t>筑路材料主要包括路基填筑材料、路面、桥梁、隧道</w:t>
      </w:r>
      <w:r>
        <w:rPr>
          <w:rFonts w:ascii="宋体" w:hAnsi="宋体" w:eastAsia="宋体" w:cs="宋体"/>
          <w:spacing w:val="-4"/>
          <w:sz w:val="24"/>
          <w:szCs w:val="24"/>
        </w:rPr>
        <w:t>及其它结构物材料。线</w:t>
      </w:r>
      <w:r>
        <w:rPr>
          <w:rFonts w:ascii="宋体" w:hAnsi="宋体" w:eastAsia="宋体" w:cs="宋体"/>
          <w:sz w:val="24"/>
          <w:szCs w:val="24"/>
        </w:rPr>
        <w:t xml:space="preserve"> </w:t>
      </w:r>
      <w:r>
        <w:rPr>
          <w:rFonts w:ascii="宋体" w:hAnsi="宋体" w:eastAsia="宋体" w:cs="宋体"/>
          <w:spacing w:val="-8"/>
          <w:sz w:val="24"/>
          <w:szCs w:val="24"/>
        </w:rPr>
        <w:t>路附近有</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322</w:t>
      </w:r>
      <w:r>
        <w:rPr>
          <w:rFonts w:ascii="Times New Roman" w:hAnsi="Times New Roman" w:eastAsia="Times New Roman" w:cs="Times New Roman"/>
          <w:spacing w:val="33"/>
          <w:sz w:val="24"/>
          <w:szCs w:val="24"/>
        </w:rPr>
        <w:t xml:space="preserve"> </w:t>
      </w:r>
      <w:r>
        <w:rPr>
          <w:rFonts w:ascii="宋体" w:hAnsi="宋体" w:eastAsia="宋体" w:cs="宋体"/>
          <w:spacing w:val="-8"/>
          <w:sz w:val="24"/>
          <w:szCs w:val="24"/>
        </w:rPr>
        <w:t>国道和大南公路，</w:t>
      </w:r>
      <w:r>
        <w:rPr>
          <w:rFonts w:ascii="宋体" w:hAnsi="宋体" w:eastAsia="宋体" w:cs="宋体"/>
          <w:spacing w:val="34"/>
          <w:sz w:val="24"/>
          <w:szCs w:val="24"/>
        </w:rPr>
        <w:t xml:space="preserve"> </w:t>
      </w:r>
      <w:r>
        <w:rPr>
          <w:rFonts w:ascii="宋体" w:hAnsi="宋体" w:eastAsia="宋体" w:cs="宋体"/>
          <w:spacing w:val="-8"/>
          <w:sz w:val="24"/>
          <w:szCs w:val="24"/>
        </w:rPr>
        <w:t>再往东至瑞安</w:t>
      </w:r>
      <w:r>
        <w:rPr>
          <w:rFonts w:ascii="宋体" w:hAnsi="宋体" w:eastAsia="宋体" w:cs="宋体"/>
          <w:spacing w:val="-9"/>
          <w:sz w:val="24"/>
          <w:szCs w:val="24"/>
        </w:rPr>
        <w:t>则有温州市发达的水路、公路、铁</w:t>
      </w:r>
      <w:r>
        <w:rPr>
          <w:rFonts w:ascii="宋体" w:hAnsi="宋体" w:eastAsia="宋体" w:cs="宋体"/>
          <w:sz w:val="24"/>
          <w:szCs w:val="24"/>
        </w:rPr>
        <w:t xml:space="preserve"> </w:t>
      </w:r>
      <w:r>
        <w:rPr>
          <w:rFonts w:ascii="宋体" w:hAnsi="宋体" w:eastAsia="宋体" w:cs="宋体"/>
          <w:spacing w:val="-2"/>
          <w:sz w:val="24"/>
          <w:szCs w:val="24"/>
        </w:rPr>
        <w:t>路等运输条件，项目走廊带基本与</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52</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56</w:t>
      </w:r>
      <w:r>
        <w:rPr>
          <w:rFonts w:ascii="Times New Roman" w:hAnsi="Times New Roman" w:eastAsia="Times New Roman" w:cs="Times New Roman"/>
          <w:spacing w:val="25"/>
          <w:w w:val="101"/>
          <w:sz w:val="24"/>
          <w:szCs w:val="24"/>
        </w:rPr>
        <w:t xml:space="preserve"> </w:t>
      </w:r>
      <w:r>
        <w:rPr>
          <w:rFonts w:ascii="宋体" w:hAnsi="宋体" w:eastAsia="宋体" w:cs="宋体"/>
          <w:spacing w:val="-2"/>
          <w:sz w:val="24"/>
          <w:szCs w:val="24"/>
        </w:rPr>
        <w:t>省道公路平行，外购材料及地方材料</w:t>
      </w:r>
    </w:p>
    <w:p>
      <w:pPr>
        <w:spacing w:before="1" w:line="218" w:lineRule="auto"/>
        <w:ind w:left="40"/>
        <w:rPr>
          <w:rFonts w:ascii="宋体" w:hAnsi="宋体" w:eastAsia="宋体" w:cs="宋体"/>
          <w:sz w:val="24"/>
          <w:szCs w:val="24"/>
        </w:rPr>
      </w:pPr>
      <w:r>
        <w:rPr>
          <w:rFonts w:ascii="宋体" w:hAnsi="宋体" w:eastAsia="宋体" w:cs="宋体"/>
          <w:spacing w:val="-7"/>
          <w:sz w:val="24"/>
          <w:szCs w:val="24"/>
        </w:rPr>
        <w:t>可运至温州、丽水等地，再通过</w:t>
      </w:r>
      <w:r>
        <w:rPr>
          <w:rFonts w:ascii="宋体" w:hAnsi="宋体" w:eastAsia="宋体" w:cs="宋体"/>
          <w:spacing w:val="-43"/>
          <w:sz w:val="24"/>
          <w:szCs w:val="24"/>
        </w:rPr>
        <w:t xml:space="preserve"> </w:t>
      </w:r>
      <w:r>
        <w:rPr>
          <w:rFonts w:ascii="Times New Roman" w:hAnsi="Times New Roman" w:eastAsia="Times New Roman" w:cs="Times New Roman"/>
          <w:spacing w:val="-7"/>
          <w:sz w:val="24"/>
          <w:szCs w:val="24"/>
        </w:rPr>
        <w:t>52</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 xml:space="preserve">省道、 </w:t>
      </w:r>
      <w:r>
        <w:rPr>
          <w:rFonts w:ascii="Times New Roman" w:hAnsi="Times New Roman" w:eastAsia="Times New Roman" w:cs="Times New Roman"/>
          <w:spacing w:val="-7"/>
          <w:sz w:val="24"/>
          <w:szCs w:val="24"/>
        </w:rPr>
        <w:t>56</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省道进行转运。</w:t>
      </w:r>
    </w:p>
    <w:p>
      <w:pPr>
        <w:spacing w:before="181" w:line="219" w:lineRule="auto"/>
        <w:ind w:left="536"/>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、路基填筑材料</w:t>
      </w:r>
    </w:p>
    <w:p>
      <w:pPr>
        <w:spacing w:before="184" w:line="359" w:lineRule="auto"/>
        <w:ind w:left="58" w:right="82" w:firstLine="460"/>
        <w:rPr>
          <w:rFonts w:ascii="宋体" w:hAnsi="宋体" w:eastAsia="宋体" w:cs="宋体"/>
          <w:sz w:val="24"/>
          <w:szCs w:val="24"/>
        </w:rPr>
      </w:pPr>
      <w:r>
        <w:rPr>
          <w:rFonts w:ascii="宋体" w:hAnsi="宋体" w:eastAsia="宋体" w:cs="宋体"/>
          <w:spacing w:val="-13"/>
          <w:sz w:val="24"/>
          <w:szCs w:val="24"/>
        </w:rPr>
        <w:t>本项目弃方较多，</w:t>
      </w:r>
      <w:r>
        <w:rPr>
          <w:rFonts w:ascii="宋体" w:hAnsi="宋体" w:eastAsia="宋体" w:cs="宋体"/>
          <w:spacing w:val="40"/>
          <w:sz w:val="24"/>
          <w:szCs w:val="24"/>
        </w:rPr>
        <w:t xml:space="preserve"> </w:t>
      </w:r>
      <w:r>
        <w:rPr>
          <w:rFonts w:ascii="宋体" w:hAnsi="宋体" w:eastAsia="宋体" w:cs="宋体"/>
          <w:spacing w:val="-13"/>
          <w:sz w:val="24"/>
          <w:szCs w:val="24"/>
        </w:rPr>
        <w:t>路基填筑材料可主要考虑利用弃渣，</w:t>
      </w:r>
      <w:r>
        <w:rPr>
          <w:rFonts w:ascii="宋体" w:hAnsi="宋体" w:eastAsia="宋体" w:cs="宋体"/>
          <w:spacing w:val="44"/>
          <w:sz w:val="24"/>
          <w:szCs w:val="24"/>
        </w:rPr>
        <w:t xml:space="preserve"> </w:t>
      </w:r>
      <w:r>
        <w:rPr>
          <w:rFonts w:ascii="宋体" w:hAnsi="宋体" w:eastAsia="宋体" w:cs="宋体"/>
          <w:spacing w:val="-13"/>
          <w:sz w:val="24"/>
          <w:szCs w:val="24"/>
        </w:rPr>
        <w:t>隧道工程、路堑开挖</w:t>
      </w:r>
      <w:r>
        <w:rPr>
          <w:rFonts w:ascii="宋体" w:hAnsi="宋体" w:eastAsia="宋体" w:cs="宋体"/>
          <w:sz w:val="24"/>
          <w:szCs w:val="24"/>
        </w:rPr>
        <w:t xml:space="preserve"> </w:t>
      </w:r>
      <w:r>
        <w:rPr>
          <w:rFonts w:ascii="宋体" w:hAnsi="宋体" w:eastAsia="宋体" w:cs="宋体"/>
          <w:spacing w:val="-10"/>
          <w:sz w:val="24"/>
          <w:szCs w:val="24"/>
        </w:rPr>
        <w:t>出的宕渣， 可用小型装载车辆或拖拉机等运输工具分运至筑路场地， 运输条件较</w:t>
      </w:r>
    </w:p>
    <w:p>
      <w:pPr>
        <w:spacing w:before="1" w:line="219" w:lineRule="auto"/>
        <w:ind w:left="41"/>
        <w:rPr>
          <w:rFonts w:ascii="宋体" w:hAnsi="宋体" w:eastAsia="宋体" w:cs="宋体"/>
          <w:sz w:val="24"/>
          <w:szCs w:val="24"/>
        </w:rPr>
      </w:pPr>
      <w:r>
        <w:rPr>
          <w:rFonts w:ascii="宋体" w:hAnsi="宋体" w:eastAsia="宋体" w:cs="宋体"/>
          <w:spacing w:val="-2"/>
          <w:sz w:val="24"/>
          <w:szCs w:val="24"/>
        </w:rPr>
        <w:t>为不利，需要修建大量便道、便桥运送至现场，便道工程量较大。</w:t>
      </w:r>
    </w:p>
    <w:p>
      <w:pPr>
        <w:spacing w:before="179" w:line="222" w:lineRule="auto"/>
        <w:ind w:left="513"/>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、砂、砂砾</w:t>
      </w:r>
    </w:p>
    <w:p>
      <w:pPr>
        <w:spacing w:before="180" w:line="466" w:lineRule="exact"/>
        <w:ind w:right="22"/>
        <w:jc w:val="right"/>
        <w:rPr>
          <w:rFonts w:ascii="宋体" w:hAnsi="宋体" w:eastAsia="宋体" w:cs="宋体"/>
          <w:sz w:val="24"/>
          <w:szCs w:val="24"/>
        </w:rPr>
      </w:pPr>
      <w:r>
        <w:rPr>
          <w:rFonts w:ascii="宋体" w:hAnsi="宋体" w:eastAsia="宋体" w:cs="宋体"/>
          <w:spacing w:val="-1"/>
          <w:position w:val="17"/>
          <w:sz w:val="24"/>
          <w:szCs w:val="24"/>
        </w:rPr>
        <w:t>考虑从青田、福建等地采购砂料，通过公路运到工</w:t>
      </w:r>
      <w:r>
        <w:rPr>
          <w:rFonts w:ascii="宋体" w:hAnsi="宋体" w:eastAsia="宋体" w:cs="宋体"/>
          <w:spacing w:val="-2"/>
          <w:position w:val="17"/>
          <w:sz w:val="24"/>
          <w:szCs w:val="24"/>
        </w:rPr>
        <w:t>地，运输条件较为方便。</w:t>
      </w:r>
    </w:p>
    <w:p>
      <w:pPr>
        <w:spacing w:before="1" w:line="218" w:lineRule="auto"/>
        <w:ind w:left="51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、路面、桥梁等结构材料</w:t>
      </w:r>
    </w:p>
    <w:p>
      <w:pPr>
        <w:spacing w:before="183" w:line="359" w:lineRule="auto"/>
        <w:ind w:left="39" w:right="18" w:firstLine="481"/>
        <w:jc w:val="both"/>
        <w:rPr>
          <w:rFonts w:ascii="宋体" w:hAnsi="宋体" w:eastAsia="宋体" w:cs="宋体"/>
          <w:sz w:val="24"/>
          <w:szCs w:val="24"/>
        </w:rPr>
      </w:pPr>
      <w:r>
        <w:rPr>
          <w:rFonts w:ascii="宋体" w:hAnsi="宋体" w:eastAsia="宋体" w:cs="宋体"/>
          <w:spacing w:val="-12"/>
          <w:sz w:val="24"/>
          <w:szCs w:val="24"/>
        </w:rPr>
        <w:t>建筑石料（片石、块石、碎石） 主要考虑利用隧道、路堑开挖出的块、片石，</w:t>
      </w:r>
      <w:r>
        <w:rPr>
          <w:rFonts w:ascii="宋体" w:hAnsi="宋体" w:eastAsia="宋体" w:cs="宋体"/>
          <w:spacing w:val="17"/>
          <w:sz w:val="24"/>
          <w:szCs w:val="24"/>
        </w:rPr>
        <w:t xml:space="preserve"> </w:t>
      </w:r>
      <w:r>
        <w:rPr>
          <w:rFonts w:ascii="宋体" w:hAnsi="宋体" w:eastAsia="宋体" w:cs="宋体"/>
          <w:spacing w:val="-4"/>
          <w:sz w:val="24"/>
          <w:szCs w:val="24"/>
        </w:rPr>
        <w:t>其岩性多为凝灰岩、流纹岩，岩质坚硬，</w:t>
      </w:r>
      <w:r>
        <w:rPr>
          <w:rFonts w:ascii="宋体" w:hAnsi="宋体" w:eastAsia="宋体" w:cs="宋体"/>
          <w:spacing w:val="72"/>
          <w:sz w:val="24"/>
          <w:szCs w:val="24"/>
        </w:rPr>
        <w:t xml:space="preserve"> </w:t>
      </w:r>
      <w:r>
        <w:rPr>
          <w:rFonts w:ascii="宋体" w:hAnsi="宋体" w:eastAsia="宋体" w:cs="宋体"/>
          <w:spacing w:val="-4"/>
          <w:sz w:val="24"/>
          <w:szCs w:val="24"/>
        </w:rPr>
        <w:t xml:space="preserve">抗压强度 </w:t>
      </w:r>
      <w:r>
        <w:rPr>
          <w:rFonts w:ascii="Times New Roman" w:hAnsi="Times New Roman" w:eastAsia="Times New Roman" w:cs="Times New Roman"/>
          <w:spacing w:val="-4"/>
          <w:sz w:val="24"/>
          <w:szCs w:val="24"/>
        </w:rPr>
        <w:t>30~120Mpa</w:t>
      </w:r>
      <w:r>
        <w:rPr>
          <w:rFonts w:ascii="宋体" w:hAnsi="宋体" w:eastAsia="宋体" w:cs="宋体"/>
          <w:spacing w:val="-4"/>
          <w:sz w:val="24"/>
          <w:szCs w:val="24"/>
        </w:rPr>
        <w:t>，可用于结构物</w:t>
      </w:r>
      <w:r>
        <w:rPr>
          <w:rFonts w:ascii="宋体" w:hAnsi="宋体" w:eastAsia="宋体" w:cs="宋体"/>
          <w:sz w:val="24"/>
          <w:szCs w:val="24"/>
        </w:rPr>
        <w:t xml:space="preserve"> </w:t>
      </w:r>
      <w:r>
        <w:rPr>
          <w:rFonts w:ascii="宋体" w:hAnsi="宋体" w:eastAsia="宋体" w:cs="宋体"/>
          <w:spacing w:val="-9"/>
          <w:sz w:val="24"/>
          <w:szCs w:val="24"/>
        </w:rPr>
        <w:t>骨料或砌筑用石， 运输可视运距使用小型装载车辆或拖拉机等运输工具</w:t>
      </w:r>
      <w:r>
        <w:rPr>
          <w:rFonts w:ascii="宋体" w:hAnsi="宋体" w:eastAsia="宋体" w:cs="宋体"/>
          <w:spacing w:val="-10"/>
          <w:sz w:val="24"/>
          <w:szCs w:val="24"/>
        </w:rPr>
        <w:t>分运， 运</w:t>
      </w:r>
    </w:p>
    <w:p>
      <w:pPr>
        <w:spacing w:before="1" w:line="219" w:lineRule="auto"/>
        <w:ind w:left="37"/>
        <w:rPr>
          <w:rFonts w:ascii="宋体" w:hAnsi="宋体" w:eastAsia="宋体" w:cs="宋体"/>
          <w:sz w:val="24"/>
          <w:szCs w:val="24"/>
        </w:rPr>
      </w:pPr>
      <w:r>
        <w:rPr>
          <w:rFonts w:ascii="宋体" w:hAnsi="宋体" w:eastAsia="宋体" w:cs="宋体"/>
          <w:spacing w:val="-5"/>
          <w:sz w:val="24"/>
          <w:szCs w:val="24"/>
        </w:rPr>
        <w:t>输条件一般。</w:t>
      </w:r>
    </w:p>
    <w:p>
      <w:pPr>
        <w:spacing w:line="219" w:lineRule="auto"/>
        <w:rPr>
          <w:rFonts w:ascii="宋体" w:hAnsi="宋体" w:eastAsia="宋体" w:cs="宋体"/>
          <w:sz w:val="24"/>
          <w:szCs w:val="24"/>
        </w:rPr>
        <w:sectPr>
          <w:headerReference r:id="rId146" w:type="default"/>
          <w:footerReference r:id="rId147" w:type="default"/>
          <w:pgSz w:w="11907" w:h="16839"/>
          <w:pgMar w:top="1118" w:right="1716" w:bottom="1184" w:left="1771" w:header="879" w:footer="1024" w:gutter="0"/>
          <w:cols w:space="720" w:num="1"/>
        </w:sectPr>
      </w:pPr>
    </w:p>
    <w:p>
      <w:pPr>
        <w:pStyle w:val="2"/>
        <w:spacing w:line="278" w:lineRule="auto"/>
      </w:pPr>
    </w:p>
    <w:p>
      <w:pPr>
        <w:spacing w:before="78" w:line="219" w:lineRule="auto"/>
        <w:ind w:left="512"/>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、四大材料采用外购方式</w:t>
      </w:r>
    </w:p>
    <w:p>
      <w:pPr>
        <w:spacing w:before="183" w:line="359" w:lineRule="auto"/>
        <w:ind w:left="40" w:right="68"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）水泥：沿线生产厂家较少，但浙江省内水泥产量大，主要产地分布在</w:t>
      </w:r>
      <w:r>
        <w:rPr>
          <w:rFonts w:ascii="宋体" w:hAnsi="宋体" w:eastAsia="宋体" w:cs="宋体"/>
          <w:spacing w:val="2"/>
          <w:sz w:val="24"/>
          <w:szCs w:val="24"/>
        </w:rPr>
        <w:t xml:space="preserve"> </w:t>
      </w:r>
      <w:r>
        <w:rPr>
          <w:rFonts w:ascii="宋体" w:hAnsi="宋体" w:eastAsia="宋体" w:cs="宋体"/>
          <w:spacing w:val="-13"/>
          <w:sz w:val="24"/>
          <w:szCs w:val="24"/>
        </w:rPr>
        <w:t>金华、衢州、和绍兴等地区，</w:t>
      </w:r>
      <w:r>
        <w:rPr>
          <w:rFonts w:ascii="宋体" w:hAnsi="宋体" w:eastAsia="宋体" w:cs="宋体"/>
          <w:spacing w:val="61"/>
          <w:sz w:val="24"/>
          <w:szCs w:val="24"/>
        </w:rPr>
        <w:t xml:space="preserve"> </w:t>
      </w:r>
      <w:r>
        <w:rPr>
          <w:rFonts w:ascii="宋体" w:hAnsi="宋体" w:eastAsia="宋体" w:cs="宋体"/>
          <w:spacing w:val="-13"/>
          <w:sz w:val="24"/>
          <w:szCs w:val="24"/>
        </w:rPr>
        <w:t>水泥质量符合国家质量标准，</w:t>
      </w:r>
      <w:r>
        <w:rPr>
          <w:rFonts w:ascii="宋体" w:hAnsi="宋体" w:eastAsia="宋体" w:cs="宋体"/>
          <w:spacing w:val="45"/>
          <w:sz w:val="24"/>
          <w:szCs w:val="24"/>
        </w:rPr>
        <w:t xml:space="preserve"> </w:t>
      </w:r>
      <w:r>
        <w:rPr>
          <w:rFonts w:ascii="宋体" w:hAnsi="宋体" w:eastAsia="宋体" w:cs="宋体"/>
          <w:spacing w:val="-13"/>
          <w:sz w:val="24"/>
          <w:szCs w:val="24"/>
        </w:rPr>
        <w:t>可使用铁路、汽运等</w:t>
      </w:r>
    </w:p>
    <w:p>
      <w:pPr>
        <w:spacing w:before="1" w:line="220" w:lineRule="auto"/>
        <w:ind w:left="39"/>
        <w:rPr>
          <w:rFonts w:ascii="宋体" w:hAnsi="宋体" w:eastAsia="宋体" w:cs="宋体"/>
          <w:sz w:val="24"/>
          <w:szCs w:val="24"/>
        </w:rPr>
      </w:pPr>
      <w:r>
        <w:rPr>
          <w:rFonts w:ascii="宋体" w:hAnsi="宋体" w:eastAsia="宋体" w:cs="宋体"/>
          <w:spacing w:val="-6"/>
          <w:sz w:val="24"/>
          <w:szCs w:val="24"/>
        </w:rPr>
        <w:t>方式运至工地。</w:t>
      </w:r>
    </w:p>
    <w:p>
      <w:pPr>
        <w:spacing w:before="178" w:line="359" w:lineRule="auto"/>
        <w:ind w:left="38"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）沥青材料：本省所需的沥青大部需由外省调入。由于国内生产的沥青</w:t>
      </w:r>
      <w:r>
        <w:rPr>
          <w:rFonts w:ascii="宋体" w:hAnsi="宋体" w:eastAsia="宋体" w:cs="宋体"/>
          <w:spacing w:val="2"/>
          <w:sz w:val="24"/>
          <w:szCs w:val="24"/>
        </w:rPr>
        <w:t xml:space="preserve"> </w:t>
      </w:r>
      <w:r>
        <w:rPr>
          <w:rFonts w:ascii="宋体" w:hAnsi="宋体" w:eastAsia="宋体" w:cs="宋体"/>
          <w:spacing w:val="-14"/>
          <w:sz w:val="24"/>
          <w:szCs w:val="24"/>
        </w:rPr>
        <w:t>材料含腊量较高， 具有延性差、易老化、感温性大等缺点， 故不适用于路面面层，</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本项目为高速公路，沥青要求较高，建议采用进口沥青。</w:t>
      </w:r>
    </w:p>
    <w:p>
      <w:pPr>
        <w:spacing w:before="184" w:line="359" w:lineRule="auto"/>
        <w:ind w:left="39" w:right="68"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）钢材：浙江省内有杭州和绍兴两家钢铁厂，但全省年消费钢材缺口依</w:t>
      </w:r>
      <w:r>
        <w:rPr>
          <w:rFonts w:ascii="宋体" w:hAnsi="宋体" w:eastAsia="宋体" w:cs="宋体"/>
          <w:spacing w:val="2"/>
          <w:sz w:val="24"/>
          <w:szCs w:val="24"/>
        </w:rPr>
        <w:t xml:space="preserve"> </w:t>
      </w:r>
      <w:r>
        <w:rPr>
          <w:rFonts w:ascii="宋体" w:hAnsi="宋体" w:eastAsia="宋体" w:cs="宋体"/>
          <w:spacing w:val="-6"/>
          <w:sz w:val="24"/>
          <w:szCs w:val="24"/>
        </w:rPr>
        <w:t>然很大， 因此钢材对于我省来说是供不应求。本项目</w:t>
      </w:r>
      <w:r>
        <w:rPr>
          <w:rFonts w:ascii="宋体" w:hAnsi="宋体" w:eastAsia="宋体" w:cs="宋体"/>
          <w:spacing w:val="-7"/>
          <w:sz w:val="24"/>
          <w:szCs w:val="24"/>
        </w:rPr>
        <w:t>所需钢材除部分从省内钢厂</w:t>
      </w:r>
    </w:p>
    <w:p>
      <w:pPr>
        <w:spacing w:before="1" w:line="218" w:lineRule="auto"/>
        <w:ind w:left="36"/>
        <w:rPr>
          <w:rFonts w:ascii="宋体" w:hAnsi="宋体" w:eastAsia="宋体" w:cs="宋体"/>
          <w:sz w:val="24"/>
          <w:szCs w:val="24"/>
        </w:rPr>
      </w:pPr>
      <w:r>
        <w:rPr>
          <w:rFonts w:ascii="宋体" w:hAnsi="宋体" w:eastAsia="宋体" w:cs="宋体"/>
          <w:spacing w:val="-3"/>
          <w:sz w:val="24"/>
          <w:szCs w:val="24"/>
        </w:rPr>
        <w:t>购得外，其它大多需从外省市采购调入。</w:t>
      </w:r>
    </w:p>
    <w:p>
      <w:pPr>
        <w:spacing w:before="181" w:line="359" w:lineRule="auto"/>
        <w:ind w:left="38" w:right="68"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）木材：路线区域范围森林覆盖率高，设有多处林场，项目建设所需木</w:t>
      </w:r>
      <w:r>
        <w:rPr>
          <w:rFonts w:ascii="宋体" w:hAnsi="宋体" w:eastAsia="宋体" w:cs="宋体"/>
          <w:spacing w:val="2"/>
          <w:sz w:val="24"/>
          <w:szCs w:val="24"/>
        </w:rPr>
        <w:t xml:space="preserve"> </w:t>
      </w:r>
      <w:r>
        <w:rPr>
          <w:rFonts w:ascii="宋体" w:hAnsi="宋体" w:eastAsia="宋体" w:cs="宋体"/>
          <w:spacing w:val="-9"/>
          <w:sz w:val="24"/>
          <w:szCs w:val="24"/>
        </w:rPr>
        <w:t>材大多可就近从当地林场购入， 不足部分可从市场</w:t>
      </w:r>
      <w:r>
        <w:rPr>
          <w:rFonts w:ascii="宋体" w:hAnsi="宋体" w:eastAsia="宋体" w:cs="宋体"/>
          <w:spacing w:val="-10"/>
          <w:sz w:val="24"/>
          <w:szCs w:val="24"/>
        </w:rPr>
        <w:t>购得或从外地采购调入， 从公</w:t>
      </w:r>
    </w:p>
    <w:p>
      <w:pPr>
        <w:spacing w:before="1" w:line="219" w:lineRule="auto"/>
        <w:ind w:left="40"/>
        <w:rPr>
          <w:rFonts w:ascii="宋体" w:hAnsi="宋体" w:eastAsia="宋体" w:cs="宋体"/>
          <w:sz w:val="24"/>
          <w:szCs w:val="24"/>
        </w:rPr>
      </w:pPr>
      <w:r>
        <w:rPr>
          <w:rFonts w:ascii="宋体" w:hAnsi="宋体" w:eastAsia="宋体" w:cs="宋体"/>
          <w:spacing w:val="-6"/>
          <w:sz w:val="24"/>
          <w:szCs w:val="24"/>
        </w:rPr>
        <w:t>路运送至工地。</w:t>
      </w:r>
    </w:p>
    <w:p>
      <w:pPr>
        <w:spacing w:before="182" w:line="219" w:lineRule="auto"/>
        <w:ind w:left="520"/>
        <w:rPr>
          <w:rFonts w:ascii="宋体" w:hAnsi="宋体" w:eastAsia="宋体" w:cs="宋体"/>
          <w:sz w:val="24"/>
          <w:szCs w:val="24"/>
        </w:rPr>
      </w:pPr>
      <w:r>
        <w:rPr>
          <w:rFonts w:ascii="Times New Roman" w:hAnsi="Times New Roman" w:eastAsia="Times New Roman" w:cs="Times New Roman"/>
          <w:spacing w:val="-3"/>
          <w:sz w:val="24"/>
          <w:szCs w:val="24"/>
        </w:rPr>
        <w:t>5</w:t>
      </w:r>
      <w:r>
        <w:rPr>
          <w:rFonts w:ascii="宋体" w:hAnsi="宋体" w:eastAsia="宋体" w:cs="宋体"/>
          <w:spacing w:val="-3"/>
          <w:sz w:val="24"/>
          <w:szCs w:val="24"/>
        </w:rPr>
        <w:t>、沥青混凝土来源</w:t>
      </w:r>
    </w:p>
    <w:p>
      <w:pPr>
        <w:spacing w:before="181" w:line="469" w:lineRule="exact"/>
        <w:ind w:left="519"/>
        <w:rPr>
          <w:rFonts w:ascii="宋体" w:hAnsi="宋体" w:eastAsia="宋体" w:cs="宋体"/>
          <w:sz w:val="24"/>
          <w:szCs w:val="24"/>
        </w:rPr>
      </w:pPr>
      <w:r>
        <w:rPr>
          <w:rFonts w:ascii="宋体" w:hAnsi="宋体" w:eastAsia="宋体" w:cs="宋体"/>
          <w:spacing w:val="-1"/>
          <w:position w:val="17"/>
          <w:sz w:val="24"/>
          <w:szCs w:val="24"/>
        </w:rPr>
        <w:t>本项目沥青混凝土由溧阳至宁德高速公路（</w:t>
      </w:r>
      <w:r>
        <w:rPr>
          <w:rFonts w:ascii="Times New Roman" w:hAnsi="Times New Roman" w:eastAsia="Times New Roman" w:cs="Times New Roman"/>
          <w:spacing w:val="-1"/>
          <w:position w:val="17"/>
          <w:sz w:val="24"/>
          <w:szCs w:val="24"/>
        </w:rPr>
        <w:t>G4012</w:t>
      </w:r>
      <w:r>
        <w:rPr>
          <w:rFonts w:ascii="宋体" w:hAnsi="宋体" w:eastAsia="宋体" w:cs="宋体"/>
          <w:spacing w:val="-1"/>
          <w:position w:val="17"/>
          <w:sz w:val="24"/>
          <w:szCs w:val="24"/>
        </w:rPr>
        <w:t>）浙</w:t>
      </w:r>
      <w:r>
        <w:rPr>
          <w:rFonts w:ascii="宋体" w:hAnsi="宋体" w:eastAsia="宋体" w:cs="宋体"/>
          <w:spacing w:val="-2"/>
          <w:position w:val="17"/>
          <w:sz w:val="24"/>
          <w:szCs w:val="24"/>
        </w:rPr>
        <w:t>江景宁至文成段工程</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设置的沥青拌合站提供，本项目不单独设置沥青拌合站。</w:t>
      </w:r>
    </w:p>
    <w:p>
      <w:pPr>
        <w:spacing w:before="183" w:line="220" w:lineRule="auto"/>
        <w:ind w:left="519"/>
        <w:rPr>
          <w:rFonts w:ascii="宋体" w:hAnsi="宋体" w:eastAsia="宋体" w:cs="宋体"/>
          <w:sz w:val="24"/>
          <w:szCs w:val="24"/>
        </w:rPr>
      </w:pPr>
      <w:r>
        <w:rPr>
          <w:rFonts w:ascii="Times New Roman" w:hAnsi="Times New Roman" w:eastAsia="Times New Roman" w:cs="Times New Roman"/>
          <w:spacing w:val="-4"/>
          <w:sz w:val="24"/>
          <w:szCs w:val="24"/>
        </w:rPr>
        <w:t>6</w:t>
      </w:r>
      <w:r>
        <w:rPr>
          <w:rFonts w:ascii="宋体" w:hAnsi="宋体" w:eastAsia="宋体" w:cs="宋体"/>
          <w:spacing w:val="-4"/>
          <w:sz w:val="24"/>
          <w:szCs w:val="24"/>
        </w:rPr>
        <w:t>、运输条件</w:t>
      </w:r>
    </w:p>
    <w:p>
      <w:pPr>
        <w:spacing w:before="180" w:line="359" w:lineRule="auto"/>
        <w:ind w:left="38" w:right="65" w:firstLine="479"/>
        <w:rPr>
          <w:rFonts w:ascii="宋体" w:hAnsi="宋体" w:eastAsia="宋体" w:cs="宋体"/>
          <w:sz w:val="24"/>
          <w:szCs w:val="24"/>
        </w:rPr>
      </w:pPr>
      <w:r>
        <w:rPr>
          <w:rFonts w:ascii="宋体" w:hAnsi="宋体" w:eastAsia="宋体" w:cs="宋体"/>
          <w:spacing w:val="-9"/>
          <w:sz w:val="24"/>
          <w:szCs w:val="24"/>
        </w:rPr>
        <w:t>拟建项目区域内运输主要以公路、铁路、水运为主，</w:t>
      </w:r>
      <w:r>
        <w:rPr>
          <w:rFonts w:ascii="宋体" w:hAnsi="宋体" w:eastAsia="宋体" w:cs="宋体"/>
          <w:spacing w:val="73"/>
          <w:sz w:val="24"/>
          <w:szCs w:val="24"/>
        </w:rPr>
        <w:t xml:space="preserve"> </w:t>
      </w:r>
      <w:r>
        <w:rPr>
          <w:rFonts w:ascii="宋体" w:hAnsi="宋体" w:eastAsia="宋体" w:cs="宋体"/>
          <w:spacing w:val="-9"/>
          <w:sz w:val="24"/>
          <w:szCs w:val="24"/>
        </w:rPr>
        <w:t>自建的石料场适宜汽车</w:t>
      </w:r>
      <w:r>
        <w:rPr>
          <w:rFonts w:ascii="宋体" w:hAnsi="宋体" w:eastAsia="宋体" w:cs="宋体"/>
          <w:sz w:val="24"/>
          <w:szCs w:val="24"/>
        </w:rPr>
        <w:t xml:space="preserve"> </w:t>
      </w:r>
      <w:r>
        <w:rPr>
          <w:rFonts w:ascii="宋体" w:hAnsi="宋体" w:eastAsia="宋体" w:cs="宋体"/>
          <w:spacing w:val="-2"/>
          <w:sz w:val="24"/>
          <w:szCs w:val="24"/>
        </w:rPr>
        <w:t xml:space="preserve">运输，平均运距一般在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50"/>
          <w:w w:val="101"/>
          <w:sz w:val="24"/>
          <w:szCs w:val="24"/>
        </w:rPr>
        <w:t xml:space="preserve"> </w:t>
      </w:r>
      <w:r>
        <w:rPr>
          <w:rFonts w:ascii="宋体" w:hAnsi="宋体" w:eastAsia="宋体" w:cs="宋体"/>
          <w:spacing w:val="-2"/>
          <w:sz w:val="24"/>
          <w:szCs w:val="24"/>
        </w:rPr>
        <w:t>公里；黄砂、水泥、沥青、木材</w:t>
      </w:r>
      <w:r>
        <w:rPr>
          <w:rFonts w:ascii="宋体" w:hAnsi="宋体" w:eastAsia="宋体" w:cs="宋体"/>
          <w:spacing w:val="-3"/>
          <w:sz w:val="24"/>
          <w:szCs w:val="24"/>
        </w:rPr>
        <w:t>等可通过铁路、水</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运转公路运输；钢材则考虑以公路、铁路运输或港口船运为主。</w:t>
      </w:r>
    </w:p>
    <w:p>
      <w:pPr>
        <w:spacing w:before="184" w:line="465" w:lineRule="exact"/>
        <w:ind w:right="64"/>
        <w:jc w:val="right"/>
        <w:rPr>
          <w:rFonts w:ascii="宋体" w:hAnsi="宋体" w:eastAsia="宋体" w:cs="宋体"/>
          <w:sz w:val="24"/>
          <w:szCs w:val="24"/>
        </w:rPr>
      </w:pPr>
      <w:r>
        <w:rPr>
          <w:rFonts w:ascii="宋体" w:hAnsi="宋体" w:eastAsia="宋体" w:cs="宋体"/>
          <w:spacing w:val="-5"/>
          <w:position w:val="17"/>
          <w:sz w:val="24"/>
          <w:szCs w:val="24"/>
        </w:rPr>
        <w:t xml:space="preserve">工程沿线主要道路为 </w:t>
      </w:r>
      <w:r>
        <w:rPr>
          <w:rFonts w:ascii="Times New Roman" w:hAnsi="Times New Roman" w:eastAsia="Times New Roman" w:cs="Times New Roman"/>
          <w:spacing w:val="-5"/>
          <w:position w:val="17"/>
          <w:sz w:val="24"/>
          <w:szCs w:val="24"/>
        </w:rPr>
        <w:t xml:space="preserve">322  </w:t>
      </w:r>
      <w:r>
        <w:rPr>
          <w:rFonts w:ascii="宋体" w:hAnsi="宋体" w:eastAsia="宋体" w:cs="宋体"/>
          <w:spacing w:val="-5"/>
          <w:position w:val="17"/>
          <w:sz w:val="24"/>
          <w:szCs w:val="24"/>
        </w:rPr>
        <w:t xml:space="preserve">国道、 </w:t>
      </w:r>
      <w:r>
        <w:rPr>
          <w:rFonts w:ascii="Times New Roman" w:hAnsi="Times New Roman" w:eastAsia="Times New Roman" w:cs="Times New Roman"/>
          <w:spacing w:val="-5"/>
          <w:position w:val="17"/>
          <w:sz w:val="24"/>
          <w:szCs w:val="24"/>
        </w:rPr>
        <w:t>5</w:t>
      </w:r>
      <w:r>
        <w:rPr>
          <w:rFonts w:ascii="Times New Roman" w:hAnsi="Times New Roman" w:eastAsia="Times New Roman" w:cs="Times New Roman"/>
          <w:spacing w:val="-6"/>
          <w:position w:val="17"/>
          <w:sz w:val="24"/>
          <w:szCs w:val="24"/>
        </w:rPr>
        <w:t>6</w:t>
      </w:r>
      <w:r>
        <w:rPr>
          <w:rFonts w:ascii="Times New Roman" w:hAnsi="Times New Roman" w:eastAsia="Times New Roman" w:cs="Times New Roman"/>
          <w:spacing w:val="42"/>
          <w:w w:val="101"/>
          <w:position w:val="17"/>
          <w:sz w:val="24"/>
          <w:szCs w:val="24"/>
        </w:rPr>
        <w:t xml:space="preserve"> </w:t>
      </w:r>
      <w:r>
        <w:rPr>
          <w:rFonts w:ascii="宋体" w:hAnsi="宋体" w:eastAsia="宋体" w:cs="宋体"/>
          <w:spacing w:val="-6"/>
          <w:position w:val="17"/>
          <w:sz w:val="24"/>
          <w:szCs w:val="24"/>
        </w:rPr>
        <w:t>省道、大南公路等，区域内无铁路及航</w:t>
      </w:r>
    </w:p>
    <w:p>
      <w:pPr>
        <w:spacing w:before="1" w:line="218" w:lineRule="auto"/>
        <w:ind w:left="37"/>
        <w:rPr>
          <w:rFonts w:ascii="宋体" w:hAnsi="宋体" w:eastAsia="宋体" w:cs="宋体"/>
          <w:sz w:val="24"/>
          <w:szCs w:val="24"/>
        </w:rPr>
      </w:pPr>
      <w:r>
        <w:rPr>
          <w:rFonts w:ascii="宋体" w:hAnsi="宋体" w:eastAsia="宋体" w:cs="宋体"/>
          <w:spacing w:val="-3"/>
          <w:sz w:val="24"/>
          <w:szCs w:val="24"/>
        </w:rPr>
        <w:t>道，因此工程所需材料主要通过陆路运输。</w:t>
      </w:r>
    </w:p>
    <w:p>
      <w:pPr>
        <w:spacing w:before="185" w:line="220" w:lineRule="auto"/>
        <w:ind w:left="32"/>
        <w:outlineLvl w:val="1"/>
        <w:rPr>
          <w:rFonts w:ascii="宋体" w:hAnsi="宋体" w:eastAsia="宋体" w:cs="宋体"/>
          <w:sz w:val="24"/>
          <w:szCs w:val="24"/>
        </w:rPr>
      </w:pPr>
      <w:r>
        <w:rPr>
          <w:rFonts w:ascii="Times New Roman" w:hAnsi="Times New Roman" w:eastAsia="Times New Roman" w:cs="Times New Roman"/>
          <w:b/>
          <w:bCs/>
          <w:sz w:val="24"/>
          <w:szCs w:val="24"/>
        </w:rPr>
        <w:t xml:space="preserve">3.4.4 </w:t>
      </w:r>
      <w:r>
        <w:rPr>
          <w:rFonts w:ascii="宋体" w:hAnsi="宋体" w:eastAsia="宋体" w:cs="宋体"/>
          <w:sz w:val="24"/>
          <w:szCs w:val="24"/>
          <w14:textOutline w14:w="4354" w14:cap="flat" w14:cmpd="sng">
            <w14:solidFill>
              <w14:srgbClr w14:val="000000"/>
            </w14:solidFill>
            <w14:prstDash w14:val="solid"/>
            <w14:miter w14:val="0"/>
          </w14:textOutline>
        </w:rPr>
        <w:t>施工时序及进度安排</w:t>
      </w:r>
    </w:p>
    <w:p>
      <w:pPr>
        <w:spacing w:before="179" w:line="221" w:lineRule="auto"/>
        <w:ind w:left="536"/>
        <w:rPr>
          <w:rFonts w:ascii="宋体" w:hAnsi="宋体" w:eastAsia="宋体" w:cs="宋体"/>
          <w:sz w:val="24"/>
          <w:szCs w:val="24"/>
        </w:rPr>
      </w:pPr>
      <w:r>
        <w:rPr>
          <w:rFonts w:ascii="Times New Roman" w:hAnsi="Times New Roman" w:eastAsia="Times New Roman" w:cs="Times New Roman"/>
          <w:spacing w:val="-7"/>
          <w:sz w:val="24"/>
          <w:szCs w:val="24"/>
        </w:rPr>
        <w:t>1</w:t>
      </w:r>
      <w:r>
        <w:rPr>
          <w:rFonts w:ascii="宋体" w:hAnsi="宋体" w:eastAsia="宋体" w:cs="宋体"/>
          <w:spacing w:val="-7"/>
          <w:sz w:val="24"/>
          <w:szCs w:val="24"/>
        </w:rPr>
        <w:t>、施工时序</w:t>
      </w:r>
    </w:p>
    <w:p>
      <w:pPr>
        <w:spacing w:before="180" w:line="359" w:lineRule="auto"/>
        <w:ind w:left="39" w:right="7" w:firstLine="479"/>
        <w:rPr>
          <w:rFonts w:ascii="宋体" w:hAnsi="宋体" w:eastAsia="宋体" w:cs="宋体"/>
          <w:sz w:val="24"/>
          <w:szCs w:val="24"/>
        </w:rPr>
      </w:pPr>
      <w:r>
        <w:rPr>
          <w:rFonts w:ascii="宋体" w:hAnsi="宋体" w:eastAsia="宋体" w:cs="宋体"/>
          <w:spacing w:val="-10"/>
          <w:sz w:val="24"/>
          <w:szCs w:val="24"/>
        </w:rPr>
        <w:t>本工程在筑路施工之前， 首先对沿线耕地等进行表层土剥离， 路线途经的坑</w:t>
      </w:r>
      <w:r>
        <w:rPr>
          <w:rFonts w:ascii="宋体" w:hAnsi="宋体" w:eastAsia="宋体" w:cs="宋体"/>
          <w:spacing w:val="2"/>
          <w:sz w:val="24"/>
          <w:szCs w:val="24"/>
        </w:rPr>
        <w:t xml:space="preserve"> </w:t>
      </w:r>
      <w:r>
        <w:rPr>
          <w:rFonts w:ascii="宋体" w:hAnsi="宋体" w:eastAsia="宋体" w:cs="宋体"/>
          <w:spacing w:val="-7"/>
          <w:sz w:val="24"/>
          <w:szCs w:val="24"/>
        </w:rPr>
        <w:t>塘塘底淤泥进行清淤处理、拆除沿线砼场地等建</w:t>
      </w:r>
      <w:r>
        <w:rPr>
          <w:rFonts w:ascii="宋体" w:hAnsi="宋体" w:eastAsia="宋体" w:cs="宋体"/>
          <w:spacing w:val="-8"/>
          <w:sz w:val="24"/>
          <w:szCs w:val="24"/>
        </w:rPr>
        <w:t>筑物；</w:t>
      </w:r>
      <w:r>
        <w:rPr>
          <w:rFonts w:ascii="宋体" w:hAnsi="宋体" w:eastAsia="宋体" w:cs="宋体"/>
          <w:spacing w:val="34"/>
          <w:sz w:val="24"/>
          <w:szCs w:val="24"/>
        </w:rPr>
        <w:t xml:space="preserve"> </w:t>
      </w:r>
      <w:r>
        <w:rPr>
          <w:rFonts w:ascii="宋体" w:hAnsi="宋体" w:eastAsia="宋体" w:cs="宋体"/>
          <w:spacing w:val="-8"/>
          <w:sz w:val="24"/>
          <w:szCs w:val="24"/>
        </w:rPr>
        <w:t>接着进行交叉工程、桥梁</w:t>
      </w:r>
      <w:r>
        <w:rPr>
          <w:rFonts w:ascii="宋体" w:hAnsi="宋体" w:eastAsia="宋体" w:cs="宋体"/>
          <w:sz w:val="24"/>
          <w:szCs w:val="24"/>
        </w:rPr>
        <w:t xml:space="preserve"> </w:t>
      </w:r>
      <w:r>
        <w:rPr>
          <w:rFonts w:ascii="宋体" w:hAnsi="宋体" w:eastAsia="宋体" w:cs="宋体"/>
          <w:spacing w:val="-1"/>
          <w:sz w:val="24"/>
          <w:szCs w:val="24"/>
        </w:rPr>
        <w:t>工程的桩基施工及道路路基的构建；最后进行路面和</w:t>
      </w:r>
      <w:r>
        <w:rPr>
          <w:rFonts w:ascii="宋体" w:hAnsi="宋体" w:eastAsia="宋体" w:cs="宋体"/>
          <w:spacing w:val="-2"/>
          <w:sz w:val="24"/>
          <w:szCs w:val="24"/>
        </w:rPr>
        <w:t>沿线公路配套设施的施工。</w:t>
      </w:r>
    </w:p>
    <w:p>
      <w:pPr>
        <w:spacing w:before="1" w:line="219" w:lineRule="auto"/>
        <w:ind w:left="37"/>
        <w:rPr>
          <w:rFonts w:ascii="宋体" w:hAnsi="宋体" w:eastAsia="宋体" w:cs="宋体"/>
          <w:sz w:val="24"/>
          <w:szCs w:val="24"/>
        </w:rPr>
      </w:pPr>
      <w:r>
        <w:rPr>
          <w:rFonts w:ascii="宋体" w:hAnsi="宋体" w:eastAsia="宋体" w:cs="宋体"/>
          <w:spacing w:val="-7"/>
          <w:sz w:val="24"/>
          <w:szCs w:val="24"/>
        </w:rPr>
        <w:t>在桥涵工程与路基工程相连时，</w:t>
      </w:r>
      <w:r>
        <w:rPr>
          <w:rFonts w:ascii="宋体" w:hAnsi="宋体" w:eastAsia="宋体" w:cs="宋体"/>
          <w:spacing w:val="68"/>
          <w:sz w:val="24"/>
          <w:szCs w:val="24"/>
        </w:rPr>
        <w:t xml:space="preserve"> </w:t>
      </w:r>
      <w:r>
        <w:rPr>
          <w:rFonts w:ascii="宋体" w:hAnsi="宋体" w:eastAsia="宋体" w:cs="宋体"/>
          <w:spacing w:val="-7"/>
          <w:sz w:val="24"/>
          <w:szCs w:val="24"/>
        </w:rPr>
        <w:t>一般先桥涵工程，后路基工程，方便防护。</w:t>
      </w:r>
    </w:p>
    <w:p>
      <w:pPr>
        <w:spacing w:before="183" w:line="220" w:lineRule="auto"/>
        <w:ind w:left="513"/>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、进度安排</w:t>
      </w:r>
    </w:p>
    <w:p>
      <w:pPr>
        <w:spacing w:before="179" w:line="220" w:lineRule="auto"/>
        <w:ind w:left="520"/>
        <w:rPr>
          <w:rFonts w:ascii="宋体" w:hAnsi="宋体" w:eastAsia="宋体" w:cs="宋体"/>
          <w:sz w:val="24"/>
          <w:szCs w:val="24"/>
        </w:rPr>
      </w:pPr>
      <w:r>
        <w:rPr>
          <w:rFonts w:ascii="宋体" w:hAnsi="宋体" w:eastAsia="宋体" w:cs="宋体"/>
          <w:spacing w:val="-12"/>
          <w:sz w:val="24"/>
          <w:szCs w:val="24"/>
        </w:rPr>
        <w:t>工程于</w:t>
      </w:r>
      <w:r>
        <w:rPr>
          <w:rFonts w:ascii="宋体" w:hAnsi="宋体" w:eastAsia="宋体" w:cs="宋体"/>
          <w:spacing w:val="-55"/>
          <w:sz w:val="24"/>
          <w:szCs w:val="24"/>
        </w:rPr>
        <w:t xml:space="preserve"> </w:t>
      </w:r>
      <w:r>
        <w:rPr>
          <w:rFonts w:ascii="Times New Roman" w:hAnsi="Times New Roman" w:eastAsia="Times New Roman" w:cs="Times New Roman"/>
          <w:spacing w:val="-12"/>
          <w:sz w:val="24"/>
          <w:szCs w:val="24"/>
        </w:rPr>
        <w:t>2019</w:t>
      </w:r>
      <w:r>
        <w:rPr>
          <w:rFonts w:ascii="Times New Roman" w:hAnsi="Times New Roman" w:eastAsia="Times New Roman" w:cs="Times New Roman"/>
          <w:spacing w:val="11"/>
          <w:sz w:val="24"/>
          <w:szCs w:val="24"/>
        </w:rPr>
        <w:t xml:space="preserve"> </w:t>
      </w:r>
      <w:r>
        <w:rPr>
          <w:rFonts w:ascii="宋体" w:hAnsi="宋体" w:eastAsia="宋体" w:cs="宋体"/>
          <w:spacing w:val="-12"/>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12"/>
          <w:sz w:val="24"/>
          <w:szCs w:val="24"/>
        </w:rPr>
        <w:t>5</w:t>
      </w:r>
      <w:r>
        <w:rPr>
          <w:rFonts w:ascii="Times New Roman" w:hAnsi="Times New Roman" w:eastAsia="Times New Roman" w:cs="Times New Roman"/>
          <w:spacing w:val="15"/>
          <w:w w:val="101"/>
          <w:sz w:val="24"/>
          <w:szCs w:val="24"/>
        </w:rPr>
        <w:t xml:space="preserve"> </w:t>
      </w:r>
      <w:r>
        <w:rPr>
          <w:rFonts w:ascii="宋体" w:hAnsi="宋体" w:eastAsia="宋体" w:cs="宋体"/>
          <w:spacing w:val="-12"/>
          <w:sz w:val="24"/>
          <w:szCs w:val="24"/>
        </w:rPr>
        <w:t>月开工建设，</w:t>
      </w:r>
      <w:r>
        <w:rPr>
          <w:rFonts w:ascii="宋体" w:hAnsi="宋体" w:eastAsia="宋体" w:cs="宋体"/>
          <w:spacing w:val="42"/>
          <w:sz w:val="24"/>
          <w:szCs w:val="24"/>
        </w:rPr>
        <w:t xml:space="preserve"> </w:t>
      </w:r>
      <w:r>
        <w:rPr>
          <w:rFonts w:ascii="Times New Roman" w:hAnsi="Times New Roman" w:eastAsia="Times New Roman" w:cs="Times New Roman"/>
          <w:spacing w:val="-12"/>
          <w:sz w:val="24"/>
          <w:szCs w:val="24"/>
        </w:rPr>
        <w:t>2022</w:t>
      </w:r>
      <w:r>
        <w:rPr>
          <w:rFonts w:ascii="Times New Roman" w:hAnsi="Times New Roman" w:eastAsia="Times New Roman" w:cs="Times New Roman"/>
          <w:spacing w:val="10"/>
          <w:sz w:val="24"/>
          <w:szCs w:val="24"/>
        </w:rPr>
        <w:t xml:space="preserve"> </w:t>
      </w:r>
      <w:r>
        <w:rPr>
          <w:rFonts w:ascii="宋体" w:hAnsi="宋体" w:eastAsia="宋体" w:cs="宋体"/>
          <w:spacing w:val="-12"/>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12"/>
          <w:sz w:val="24"/>
          <w:szCs w:val="24"/>
        </w:rPr>
        <w:t>月底建成通车，</w:t>
      </w:r>
      <w:r>
        <w:rPr>
          <w:rFonts w:ascii="宋体" w:hAnsi="宋体" w:eastAsia="宋体" w:cs="宋体"/>
          <w:spacing w:val="45"/>
          <w:sz w:val="24"/>
          <w:szCs w:val="24"/>
        </w:rPr>
        <w:t xml:space="preserve"> </w:t>
      </w:r>
      <w:r>
        <w:rPr>
          <w:rFonts w:ascii="宋体" w:hAnsi="宋体" w:eastAsia="宋体" w:cs="宋体"/>
          <w:spacing w:val="-12"/>
          <w:sz w:val="24"/>
          <w:szCs w:val="24"/>
        </w:rPr>
        <w:t>施</w:t>
      </w:r>
      <w:r>
        <w:rPr>
          <w:rFonts w:ascii="宋体" w:hAnsi="宋体" w:eastAsia="宋体" w:cs="宋体"/>
          <w:spacing w:val="-13"/>
          <w:sz w:val="24"/>
          <w:szCs w:val="24"/>
        </w:rPr>
        <w:t>工工期为</w:t>
      </w:r>
      <w:r>
        <w:rPr>
          <w:rFonts w:ascii="宋体" w:hAnsi="宋体" w:eastAsia="宋体" w:cs="宋体"/>
          <w:spacing w:val="-56"/>
          <w:sz w:val="24"/>
          <w:szCs w:val="24"/>
        </w:rPr>
        <w:t xml:space="preserve"> </w:t>
      </w:r>
      <w:r>
        <w:rPr>
          <w:rFonts w:ascii="Times New Roman" w:hAnsi="Times New Roman" w:eastAsia="Times New Roman" w:cs="Times New Roman"/>
          <w:spacing w:val="-13"/>
          <w:sz w:val="24"/>
          <w:szCs w:val="24"/>
        </w:rPr>
        <w:t xml:space="preserve">43 </w:t>
      </w:r>
      <w:r>
        <w:rPr>
          <w:rFonts w:ascii="宋体" w:hAnsi="宋体" w:eastAsia="宋体" w:cs="宋体"/>
          <w:spacing w:val="-13"/>
          <w:sz w:val="24"/>
          <w:szCs w:val="24"/>
        </w:rPr>
        <w:t>个</w:t>
      </w:r>
    </w:p>
    <w:p>
      <w:pPr>
        <w:spacing w:line="220" w:lineRule="auto"/>
        <w:rPr>
          <w:rFonts w:ascii="宋体" w:hAnsi="宋体" w:eastAsia="宋体" w:cs="宋体"/>
          <w:sz w:val="24"/>
          <w:szCs w:val="24"/>
        </w:rPr>
        <w:sectPr>
          <w:headerReference r:id="rId148" w:type="default"/>
          <w:footerReference r:id="rId149" w:type="default"/>
          <w:pgSz w:w="11907" w:h="16839"/>
          <w:pgMar w:top="1118" w:right="1733" w:bottom="1184" w:left="1771" w:header="879" w:footer="1024" w:gutter="0"/>
          <w:cols w:space="720" w:num="1"/>
        </w:sectPr>
      </w:pPr>
    </w:p>
    <w:p>
      <w:pPr>
        <w:pStyle w:val="2"/>
        <w:spacing w:line="277" w:lineRule="auto"/>
      </w:pPr>
    </w:p>
    <w:p>
      <w:pPr>
        <w:spacing w:before="78" w:line="220" w:lineRule="auto"/>
        <w:ind w:left="43"/>
        <w:rPr>
          <w:rFonts w:ascii="宋体" w:hAnsi="宋体" w:eastAsia="宋体" w:cs="宋体"/>
          <w:sz w:val="24"/>
          <w:szCs w:val="24"/>
        </w:rPr>
      </w:pPr>
      <w:r>
        <w:rPr>
          <w:rFonts w:ascii="宋体" w:hAnsi="宋体" w:eastAsia="宋体" w:cs="宋体"/>
          <w:spacing w:val="-13"/>
          <w:sz w:val="24"/>
          <w:szCs w:val="24"/>
        </w:rPr>
        <w:t>月。</w:t>
      </w:r>
    </w:p>
    <w:p>
      <w:pPr>
        <w:spacing w:before="182" w:line="220" w:lineRule="auto"/>
        <w:ind w:left="32"/>
        <w:outlineLvl w:val="1"/>
        <w:rPr>
          <w:rFonts w:ascii="宋体" w:hAnsi="宋体" w:eastAsia="宋体" w:cs="宋体"/>
          <w:sz w:val="24"/>
          <w:szCs w:val="24"/>
        </w:rPr>
      </w:pPr>
      <w:bookmarkStart w:id="19" w:name="bookmark20"/>
      <w:bookmarkEnd w:id="19"/>
      <w:r>
        <w:rPr>
          <w:rFonts w:ascii="Times New Roman" w:hAnsi="Times New Roman" w:eastAsia="Times New Roman" w:cs="Times New Roman"/>
          <w:b/>
          <w:bCs/>
          <w:sz w:val="24"/>
          <w:szCs w:val="24"/>
        </w:rPr>
        <w:t xml:space="preserve">3.5 </w:t>
      </w:r>
      <w:r>
        <w:rPr>
          <w:rFonts w:ascii="宋体" w:hAnsi="宋体" w:eastAsia="宋体" w:cs="宋体"/>
          <w:sz w:val="24"/>
          <w:szCs w:val="24"/>
          <w14:textOutline w14:w="4354" w14:cap="flat" w14:cmpd="sng">
            <w14:solidFill>
              <w14:srgbClr w14:val="000000"/>
            </w14:solidFill>
            <w14:prstDash w14:val="solid"/>
            <w14:miter w14:val="0"/>
          </w14:textOutline>
        </w:rPr>
        <w:t>工程占地和拆迁安置</w:t>
      </w:r>
    </w:p>
    <w:p>
      <w:pPr>
        <w:spacing w:before="179" w:line="220" w:lineRule="auto"/>
        <w:ind w:left="32"/>
        <w:outlineLvl w:val="1"/>
        <w:rPr>
          <w:rFonts w:ascii="宋体" w:hAnsi="宋体" w:eastAsia="宋体" w:cs="宋体"/>
          <w:sz w:val="24"/>
          <w:szCs w:val="24"/>
        </w:rPr>
      </w:pPr>
      <w:r>
        <w:rPr>
          <w:rFonts w:ascii="Times New Roman" w:hAnsi="Times New Roman" w:eastAsia="Times New Roman" w:cs="Times New Roman"/>
          <w:b/>
          <w:bCs/>
          <w:sz w:val="24"/>
          <w:szCs w:val="24"/>
        </w:rPr>
        <w:t xml:space="preserve">3.5.1 </w:t>
      </w:r>
      <w:r>
        <w:rPr>
          <w:rFonts w:ascii="宋体" w:hAnsi="宋体" w:eastAsia="宋体" w:cs="宋体"/>
          <w:sz w:val="24"/>
          <w:szCs w:val="24"/>
          <w14:textOutline w14:w="4354" w14:cap="flat" w14:cmpd="sng">
            <w14:solidFill>
              <w14:srgbClr w14:val="000000"/>
            </w14:solidFill>
            <w14:prstDash w14:val="solid"/>
            <w14:miter w14:val="0"/>
          </w14:textOutline>
        </w:rPr>
        <w:t>工程占地</w:t>
      </w:r>
    </w:p>
    <w:p>
      <w:pPr>
        <w:spacing w:before="182" w:line="465" w:lineRule="exact"/>
        <w:jc w:val="right"/>
        <w:rPr>
          <w:rFonts w:ascii="宋体" w:hAnsi="宋体" w:eastAsia="宋体" w:cs="宋体"/>
          <w:sz w:val="24"/>
          <w:szCs w:val="24"/>
        </w:rPr>
      </w:pPr>
      <w:r>
        <w:rPr>
          <w:rFonts w:ascii="宋体" w:hAnsi="宋体" w:eastAsia="宋体" w:cs="宋体"/>
          <w:spacing w:val="-7"/>
          <w:position w:val="16"/>
          <w:sz w:val="24"/>
          <w:szCs w:val="24"/>
        </w:rPr>
        <w:t>本项目占用土地包括农用地、林地、建设用</w:t>
      </w:r>
      <w:r>
        <w:rPr>
          <w:rFonts w:ascii="宋体" w:hAnsi="宋体" w:eastAsia="宋体" w:cs="宋体"/>
          <w:spacing w:val="-8"/>
          <w:position w:val="16"/>
          <w:sz w:val="24"/>
          <w:szCs w:val="24"/>
        </w:rPr>
        <w:t>地、未利用地，共计</w:t>
      </w:r>
      <w:r>
        <w:rPr>
          <w:rFonts w:ascii="宋体" w:hAnsi="宋体" w:eastAsia="宋体" w:cs="宋体"/>
          <w:spacing w:val="-50"/>
          <w:position w:val="16"/>
          <w:sz w:val="24"/>
          <w:szCs w:val="24"/>
        </w:rPr>
        <w:t xml:space="preserve"> </w:t>
      </w:r>
      <w:r>
        <w:rPr>
          <w:rFonts w:ascii="Times New Roman" w:hAnsi="Times New Roman" w:eastAsia="Times New Roman" w:cs="Times New Roman"/>
          <w:spacing w:val="-8"/>
          <w:position w:val="16"/>
          <w:sz w:val="24"/>
          <w:szCs w:val="24"/>
        </w:rPr>
        <w:t>31.0501hm</w:t>
      </w:r>
      <w:r>
        <w:rPr>
          <w:rFonts w:ascii="Times New Roman" w:hAnsi="Times New Roman" w:eastAsia="Times New Roman" w:cs="Times New Roman"/>
          <w:spacing w:val="-8"/>
          <w:position w:val="25"/>
          <w:sz w:val="16"/>
          <w:szCs w:val="16"/>
        </w:rPr>
        <w:t>2</w:t>
      </w:r>
      <w:r>
        <w:rPr>
          <w:rFonts w:ascii="宋体" w:hAnsi="宋体" w:eastAsia="宋体" w:cs="宋体"/>
          <w:spacing w:val="-8"/>
          <w:position w:val="16"/>
          <w:sz w:val="24"/>
          <w:szCs w:val="24"/>
        </w:rPr>
        <w:t>。</w:t>
      </w:r>
    </w:p>
    <w:p>
      <w:pPr>
        <w:spacing w:before="1" w:line="233" w:lineRule="auto"/>
        <w:ind w:left="41"/>
        <w:rPr>
          <w:rFonts w:ascii="宋体" w:hAnsi="宋体" w:eastAsia="宋体" w:cs="宋体"/>
          <w:sz w:val="24"/>
          <w:szCs w:val="24"/>
        </w:rPr>
      </w:pPr>
      <w:r>
        <w:rPr>
          <w:rFonts w:ascii="宋体" w:hAnsi="宋体" w:eastAsia="宋体" w:cs="宋体"/>
          <w:spacing w:val="-2"/>
          <w:sz w:val="24"/>
          <w:szCs w:val="24"/>
        </w:rPr>
        <w:t>项目临时施工场地占地约</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1.4882hm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w:t>
      </w:r>
    </w:p>
    <w:p>
      <w:pPr>
        <w:spacing w:before="165" w:line="220" w:lineRule="auto"/>
        <w:ind w:left="32"/>
        <w:outlineLvl w:val="1"/>
        <w:rPr>
          <w:rFonts w:ascii="宋体" w:hAnsi="宋体" w:eastAsia="宋体" w:cs="宋体"/>
          <w:sz w:val="24"/>
          <w:szCs w:val="24"/>
        </w:rPr>
      </w:pPr>
      <w:r>
        <w:rPr>
          <w:rFonts w:ascii="Times New Roman" w:hAnsi="Times New Roman" w:eastAsia="Times New Roman" w:cs="Times New Roman"/>
          <w:b/>
          <w:bCs/>
          <w:sz w:val="24"/>
          <w:szCs w:val="24"/>
        </w:rPr>
        <w:t xml:space="preserve">3.5.2 </w:t>
      </w:r>
      <w:r>
        <w:rPr>
          <w:rFonts w:ascii="宋体" w:hAnsi="宋体" w:eastAsia="宋体" w:cs="宋体"/>
          <w:sz w:val="24"/>
          <w:szCs w:val="24"/>
          <w14:textOutline w14:w="4354" w14:cap="flat" w14:cmpd="sng">
            <w14:solidFill>
              <w14:srgbClr w14:val="000000"/>
            </w14:solidFill>
            <w14:prstDash w14:val="solid"/>
            <w14:miter w14:val="0"/>
          </w14:textOutline>
        </w:rPr>
        <w:t>拆迁安置</w:t>
      </w:r>
    </w:p>
    <w:p>
      <w:pPr>
        <w:spacing w:before="180" w:line="359" w:lineRule="auto"/>
        <w:ind w:left="38" w:right="48" w:firstLine="479"/>
        <w:jc w:val="both"/>
        <w:rPr>
          <w:rFonts w:ascii="宋体" w:hAnsi="宋体" w:eastAsia="宋体" w:cs="宋体"/>
          <w:sz w:val="24"/>
          <w:szCs w:val="24"/>
        </w:rPr>
      </w:pPr>
      <w:r>
        <w:rPr>
          <w:rFonts w:ascii="宋体" w:hAnsi="宋体" w:eastAsia="宋体" w:cs="宋体"/>
          <w:spacing w:val="-10"/>
          <w:sz w:val="24"/>
          <w:szCs w:val="24"/>
        </w:rPr>
        <w:t>根据现阶段工程线路走向及红线图， 工程沿线不涉及拆迁企业， 不涉及重金</w:t>
      </w:r>
      <w:r>
        <w:rPr>
          <w:rFonts w:ascii="宋体" w:hAnsi="宋体" w:eastAsia="宋体" w:cs="宋体"/>
          <w:spacing w:val="3"/>
          <w:sz w:val="24"/>
          <w:szCs w:val="24"/>
        </w:rPr>
        <w:t xml:space="preserve"> </w:t>
      </w:r>
      <w:r>
        <w:rPr>
          <w:rFonts w:ascii="宋体" w:hAnsi="宋体" w:eastAsia="宋体" w:cs="宋体"/>
          <w:spacing w:val="-13"/>
          <w:sz w:val="24"/>
          <w:szCs w:val="24"/>
        </w:rPr>
        <w:t>属、持久性有机物等有毒有害物质， 无场地土壤污染遗留环境污染问题。根据《浙</w:t>
      </w:r>
      <w:r>
        <w:rPr>
          <w:rFonts w:ascii="宋体" w:hAnsi="宋体" w:eastAsia="宋体" w:cs="宋体"/>
          <w:spacing w:val="5"/>
          <w:sz w:val="24"/>
          <w:szCs w:val="24"/>
        </w:rPr>
        <w:t xml:space="preserve"> </w:t>
      </w:r>
      <w:r>
        <w:rPr>
          <w:rFonts w:ascii="宋体" w:hAnsi="宋体" w:eastAsia="宋体" w:cs="宋体"/>
          <w:spacing w:val="-1"/>
          <w:sz w:val="24"/>
          <w:szCs w:val="24"/>
        </w:rPr>
        <w:t>江省建设用地土壤污染风险管控和修复监督管理办法》</w:t>
      </w:r>
      <w:r>
        <w:rPr>
          <w:rFonts w:ascii="Times New Roman" w:hAnsi="Times New Roman" w:eastAsia="Times New Roman" w:cs="Times New Roman"/>
          <w:spacing w:val="-1"/>
          <w:sz w:val="24"/>
          <w:szCs w:val="24"/>
        </w:rPr>
        <w:t>(</w:t>
      </w:r>
      <w:r>
        <w:rPr>
          <w:rFonts w:ascii="宋体" w:hAnsi="宋体" w:eastAsia="宋体" w:cs="宋体"/>
          <w:spacing w:val="-1"/>
          <w:sz w:val="24"/>
          <w:szCs w:val="24"/>
        </w:rPr>
        <w:t>浙环发〔</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w:t>
      </w:r>
      <w:r>
        <w:rPr>
          <w:rFonts w:ascii="Times New Roman" w:hAnsi="Times New Roman" w:eastAsia="Times New Roman" w:cs="Times New Roman"/>
          <w:spacing w:val="-1"/>
          <w:sz w:val="24"/>
          <w:szCs w:val="24"/>
        </w:rPr>
        <w:t>21</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
          <w:sz w:val="24"/>
          <w:szCs w:val="24"/>
        </w:rPr>
        <w:t>本项目不涉及监督管理办法中所述的甲类地块</w:t>
      </w:r>
      <w:r>
        <w:rPr>
          <w:rFonts w:ascii="Times New Roman" w:hAnsi="Times New Roman" w:eastAsia="Times New Roman" w:cs="Times New Roman"/>
          <w:spacing w:val="-1"/>
          <w:sz w:val="24"/>
          <w:szCs w:val="24"/>
        </w:rPr>
        <w:t>(</w:t>
      </w:r>
      <w:r>
        <w:rPr>
          <w:rFonts w:ascii="宋体" w:hAnsi="宋体" w:eastAsia="宋体" w:cs="宋体"/>
          <w:spacing w:val="-1"/>
          <w:sz w:val="24"/>
          <w:szCs w:val="24"/>
        </w:rPr>
        <w:t>用途变更为敏感用地的</w:t>
      </w:r>
      <w:r>
        <w:rPr>
          <w:rFonts w:ascii="Times New Roman" w:hAnsi="Times New Roman" w:eastAsia="Times New Roman" w:cs="Times New Roman"/>
          <w:spacing w:val="-1"/>
          <w:sz w:val="24"/>
          <w:szCs w:val="24"/>
        </w:rPr>
        <w:t>)</w:t>
      </w:r>
      <w:r>
        <w:rPr>
          <w:rFonts w:ascii="宋体" w:hAnsi="宋体" w:eastAsia="宋体" w:cs="宋体"/>
          <w:spacing w:val="-1"/>
          <w:sz w:val="24"/>
          <w:szCs w:val="24"/>
        </w:rPr>
        <w:t>、乙类地</w:t>
      </w:r>
      <w:r>
        <w:rPr>
          <w:rFonts w:ascii="宋体" w:hAnsi="宋体" w:eastAsia="宋体" w:cs="宋体"/>
          <w:spacing w:val="11"/>
          <w:sz w:val="24"/>
          <w:szCs w:val="24"/>
        </w:rPr>
        <w:t xml:space="preserve"> </w:t>
      </w:r>
      <w:r>
        <w:rPr>
          <w:rFonts w:ascii="宋体" w:hAnsi="宋体" w:eastAsia="宋体" w:cs="宋体"/>
          <w:spacing w:val="-4"/>
          <w:sz w:val="24"/>
          <w:szCs w:val="24"/>
        </w:rPr>
        <w:t>块</w:t>
      </w:r>
      <w:r>
        <w:rPr>
          <w:rFonts w:ascii="Times New Roman" w:hAnsi="Times New Roman" w:eastAsia="Times New Roman" w:cs="Times New Roman"/>
          <w:spacing w:val="-4"/>
          <w:sz w:val="24"/>
          <w:szCs w:val="24"/>
        </w:rPr>
        <w:t>(2019</w:t>
      </w:r>
      <w:r>
        <w:rPr>
          <w:rFonts w:ascii="Times New Roman" w:hAnsi="Times New Roman" w:eastAsia="Times New Roman" w:cs="Times New Roman"/>
          <w:spacing w:val="17"/>
          <w:w w:val="101"/>
          <w:sz w:val="24"/>
          <w:szCs w:val="24"/>
        </w:rPr>
        <w:t xml:space="preserve"> </w:t>
      </w:r>
      <w:r>
        <w:rPr>
          <w:rFonts w:ascii="宋体" w:hAnsi="宋体" w:eastAsia="宋体" w:cs="宋体"/>
          <w:spacing w:val="-4"/>
          <w:sz w:val="24"/>
          <w:szCs w:val="24"/>
        </w:rPr>
        <w:t>年</w:t>
      </w:r>
      <w:r>
        <w:rPr>
          <w:rFonts w:ascii="宋体" w:hAnsi="宋体" w:eastAsia="宋体" w:cs="宋体"/>
          <w:spacing w:val="-25"/>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2"/>
          <w:w w:val="101"/>
          <w:sz w:val="24"/>
          <w:szCs w:val="24"/>
        </w:rPr>
        <w:t xml:space="preserve"> </w:t>
      </w:r>
      <w:r>
        <w:rPr>
          <w:rFonts w:ascii="宋体" w:hAnsi="宋体" w:eastAsia="宋体" w:cs="宋体"/>
          <w:spacing w:val="-4"/>
          <w:sz w:val="24"/>
          <w:szCs w:val="24"/>
        </w:rPr>
        <w:t>月</w:t>
      </w:r>
      <w:r>
        <w:rPr>
          <w:rFonts w:ascii="宋体" w:hAnsi="宋体" w:eastAsia="宋体" w:cs="宋体"/>
          <w:spacing w:val="-25"/>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日后列入</w:t>
      </w:r>
      <w:r>
        <w:rPr>
          <w:rFonts w:ascii="Times New Roman" w:hAnsi="Times New Roman" w:eastAsia="Times New Roman" w:cs="Times New Roman"/>
          <w:spacing w:val="-4"/>
          <w:sz w:val="24"/>
          <w:szCs w:val="24"/>
        </w:rPr>
        <w:t>“</w:t>
      </w:r>
      <w:r>
        <w:rPr>
          <w:rFonts w:ascii="宋体" w:hAnsi="宋体" w:eastAsia="宋体" w:cs="宋体"/>
          <w:spacing w:val="-4"/>
          <w:sz w:val="24"/>
          <w:szCs w:val="24"/>
        </w:rPr>
        <w:t>土壤污染重点</w:t>
      </w:r>
      <w:r>
        <w:rPr>
          <w:rFonts w:ascii="宋体" w:hAnsi="宋体" w:eastAsia="宋体" w:cs="宋体"/>
          <w:spacing w:val="-5"/>
          <w:sz w:val="24"/>
          <w:szCs w:val="24"/>
        </w:rPr>
        <w:t>监管单位名录</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的单位，其生产经营用</w:t>
      </w:r>
      <w:r>
        <w:rPr>
          <w:rFonts w:ascii="宋体" w:hAnsi="宋体" w:eastAsia="宋体" w:cs="宋体"/>
          <w:sz w:val="24"/>
          <w:szCs w:val="24"/>
        </w:rPr>
        <w:t xml:space="preserve"> </w:t>
      </w:r>
      <w:r>
        <w:rPr>
          <w:rFonts w:ascii="宋体" w:hAnsi="宋体" w:eastAsia="宋体" w:cs="宋体"/>
          <w:spacing w:val="-1"/>
          <w:sz w:val="24"/>
          <w:szCs w:val="24"/>
        </w:rPr>
        <w:t>地用途变更为非工业用地的</w:t>
      </w:r>
      <w:r>
        <w:rPr>
          <w:rFonts w:ascii="Times New Roman" w:hAnsi="Times New Roman" w:eastAsia="Times New Roman" w:cs="Times New Roman"/>
          <w:spacing w:val="-1"/>
          <w:sz w:val="24"/>
          <w:szCs w:val="24"/>
        </w:rPr>
        <w:t>(</w:t>
      </w:r>
      <w:r>
        <w:rPr>
          <w:rFonts w:ascii="宋体" w:hAnsi="宋体" w:eastAsia="宋体" w:cs="宋体"/>
          <w:spacing w:val="-1"/>
          <w:sz w:val="24"/>
          <w:szCs w:val="24"/>
        </w:rPr>
        <w:t>不包括敏感用地</w:t>
      </w:r>
      <w:r>
        <w:rPr>
          <w:rFonts w:ascii="Times New Roman" w:hAnsi="Times New Roman" w:eastAsia="Times New Roman" w:cs="Times New Roman"/>
          <w:spacing w:val="-1"/>
          <w:sz w:val="24"/>
          <w:szCs w:val="24"/>
        </w:rPr>
        <w:t>)</w:t>
      </w:r>
      <w:r>
        <w:rPr>
          <w:rFonts w:ascii="宋体" w:hAnsi="宋体" w:eastAsia="宋体" w:cs="宋体"/>
          <w:spacing w:val="-1"/>
          <w:sz w:val="24"/>
          <w:szCs w:val="24"/>
        </w:rPr>
        <w:t>、或者生产经营用地土地使用权收</w:t>
      </w:r>
      <w:r>
        <w:rPr>
          <w:rFonts w:ascii="宋体" w:hAnsi="宋体" w:eastAsia="宋体" w:cs="宋体"/>
          <w:spacing w:val="13"/>
          <w:sz w:val="24"/>
          <w:szCs w:val="24"/>
        </w:rPr>
        <w:t xml:space="preserve"> </w:t>
      </w:r>
      <w:r>
        <w:rPr>
          <w:rFonts w:ascii="宋体" w:hAnsi="宋体" w:eastAsia="宋体" w:cs="宋体"/>
          <w:spacing w:val="-1"/>
          <w:sz w:val="24"/>
          <w:szCs w:val="24"/>
        </w:rPr>
        <w:t>回收购、转让的</w:t>
      </w:r>
      <w:r>
        <w:rPr>
          <w:rFonts w:ascii="Times New Roman" w:hAnsi="Times New Roman" w:eastAsia="Times New Roman" w:cs="Times New Roman"/>
          <w:spacing w:val="-1"/>
          <w:sz w:val="24"/>
          <w:szCs w:val="24"/>
        </w:rPr>
        <w:t>)</w:t>
      </w:r>
      <w:r>
        <w:rPr>
          <w:rFonts w:ascii="宋体" w:hAnsi="宋体" w:eastAsia="宋体" w:cs="宋体"/>
          <w:spacing w:val="-1"/>
          <w:sz w:val="24"/>
          <w:szCs w:val="24"/>
        </w:rPr>
        <w:t>和丙类地块</w:t>
      </w:r>
      <w:r>
        <w:rPr>
          <w:rFonts w:ascii="Times New Roman" w:hAnsi="Times New Roman" w:eastAsia="Times New Roman" w:cs="Times New Roman"/>
          <w:spacing w:val="-1"/>
          <w:sz w:val="24"/>
          <w:szCs w:val="24"/>
        </w:rPr>
        <w:t>(</w:t>
      </w:r>
      <w:r>
        <w:rPr>
          <w:rFonts w:ascii="宋体" w:hAnsi="宋体" w:eastAsia="宋体" w:cs="宋体"/>
          <w:spacing w:val="-1"/>
          <w:sz w:val="24"/>
          <w:szCs w:val="24"/>
        </w:rPr>
        <w:t>除上述甲类、乙类外，化工</w:t>
      </w:r>
      <w:r>
        <w:rPr>
          <w:rFonts w:ascii="Times New Roman" w:hAnsi="Times New Roman" w:eastAsia="Times New Roman" w:cs="Times New Roman"/>
          <w:spacing w:val="-1"/>
          <w:sz w:val="24"/>
          <w:szCs w:val="24"/>
        </w:rPr>
        <w:t>(</w:t>
      </w:r>
      <w:r>
        <w:rPr>
          <w:rFonts w:ascii="宋体" w:hAnsi="宋体" w:eastAsia="宋体" w:cs="宋体"/>
          <w:spacing w:val="-2"/>
          <w:sz w:val="24"/>
          <w:szCs w:val="24"/>
        </w:rPr>
        <w:t>含制药、农药、焦化、</w:t>
      </w:r>
      <w:r>
        <w:rPr>
          <w:rFonts w:ascii="宋体" w:hAnsi="宋体" w:eastAsia="宋体" w:cs="宋体"/>
          <w:sz w:val="24"/>
          <w:szCs w:val="24"/>
        </w:rPr>
        <w:t xml:space="preserve"> </w:t>
      </w:r>
      <w:r>
        <w:rPr>
          <w:rFonts w:ascii="宋体" w:hAnsi="宋体" w:eastAsia="宋体" w:cs="宋体"/>
          <w:spacing w:val="1"/>
          <w:sz w:val="24"/>
          <w:szCs w:val="24"/>
        </w:rPr>
        <w:t>石油加工等</w:t>
      </w:r>
      <w:r>
        <w:rPr>
          <w:rFonts w:ascii="Times New Roman" w:hAnsi="Times New Roman" w:eastAsia="Times New Roman" w:cs="Times New Roman"/>
          <w:spacing w:val="1"/>
          <w:sz w:val="24"/>
          <w:szCs w:val="24"/>
        </w:rPr>
        <w:t>)</w:t>
      </w:r>
      <w:r>
        <w:rPr>
          <w:rFonts w:ascii="宋体" w:hAnsi="宋体" w:eastAsia="宋体" w:cs="宋体"/>
          <w:spacing w:val="1"/>
          <w:sz w:val="24"/>
          <w:szCs w:val="24"/>
        </w:rPr>
        <w:t>、印染、电镀、制革、铅蓄电池制造、有色金属矿采选、有色金属</w:t>
      </w:r>
    </w:p>
    <w:p>
      <w:pPr>
        <w:spacing w:before="1" w:line="212" w:lineRule="auto"/>
        <w:ind w:left="41"/>
        <w:rPr>
          <w:rFonts w:ascii="宋体" w:hAnsi="宋体" w:eastAsia="宋体" w:cs="宋体"/>
          <w:sz w:val="24"/>
          <w:szCs w:val="24"/>
        </w:rPr>
      </w:pPr>
      <w:r>
        <w:rPr>
          <w:rFonts w:ascii="宋体" w:hAnsi="宋体" w:eastAsia="宋体" w:cs="宋体"/>
          <w:spacing w:val="-1"/>
          <w:sz w:val="24"/>
          <w:szCs w:val="24"/>
        </w:rPr>
        <w:t>冶炼和危险废物经营等</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8 </w:t>
      </w:r>
      <w:r>
        <w:rPr>
          <w:rFonts w:ascii="宋体" w:hAnsi="宋体" w:eastAsia="宋体" w:cs="宋体"/>
          <w:spacing w:val="-1"/>
          <w:sz w:val="24"/>
          <w:szCs w:val="24"/>
        </w:rPr>
        <w:t>个行业中关停并转、破产或搬迁企业的原址用地</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pPr>
        <w:spacing w:before="192" w:line="220" w:lineRule="auto"/>
        <w:ind w:left="32"/>
        <w:outlineLvl w:val="1"/>
        <w:rPr>
          <w:rFonts w:ascii="宋体" w:hAnsi="宋体" w:eastAsia="宋体" w:cs="宋体"/>
          <w:sz w:val="24"/>
          <w:szCs w:val="24"/>
        </w:rPr>
      </w:pPr>
      <w:bookmarkStart w:id="20" w:name="bookmark21"/>
      <w:bookmarkEnd w:id="20"/>
      <w:r>
        <w:rPr>
          <w:rFonts w:ascii="Times New Roman" w:hAnsi="Times New Roman" w:eastAsia="Times New Roman" w:cs="Times New Roman"/>
          <w:b/>
          <w:bCs/>
          <w:sz w:val="24"/>
          <w:szCs w:val="24"/>
        </w:rPr>
        <w:t xml:space="preserve">3.6 </w:t>
      </w:r>
      <w:r>
        <w:rPr>
          <w:rFonts w:ascii="宋体" w:hAnsi="宋体" w:eastAsia="宋体" w:cs="宋体"/>
          <w:sz w:val="24"/>
          <w:szCs w:val="24"/>
          <w14:textOutline w14:w="4354" w14:cap="flat" w14:cmpd="sng">
            <w14:solidFill>
              <w14:srgbClr w14:val="000000"/>
            </w14:solidFill>
            <w14:prstDash w14:val="solid"/>
            <w14:miter w14:val="0"/>
          </w14:textOutline>
        </w:rPr>
        <w:t>工程土石方平衡</w:t>
      </w:r>
    </w:p>
    <w:p>
      <w:pPr>
        <w:spacing w:before="181" w:line="359" w:lineRule="auto"/>
        <w:ind w:left="39" w:right="104" w:firstLine="478"/>
        <w:jc w:val="both"/>
        <w:rPr>
          <w:rFonts w:ascii="宋体" w:hAnsi="宋体" w:eastAsia="宋体" w:cs="宋体"/>
          <w:sz w:val="24"/>
          <w:szCs w:val="24"/>
        </w:rPr>
      </w:pPr>
      <w:r>
        <w:rPr>
          <w:rFonts w:ascii="宋体" w:hAnsi="宋体" w:eastAsia="宋体" w:cs="宋体"/>
          <w:spacing w:val="-2"/>
          <w:sz w:val="24"/>
          <w:szCs w:val="24"/>
        </w:rPr>
        <w:t xml:space="preserve">根据现阶段施工单位统计，工程施工期土石方开挖总量 </w:t>
      </w:r>
      <w:r>
        <w:rPr>
          <w:rFonts w:ascii="Times New Roman" w:hAnsi="Times New Roman" w:eastAsia="Times New Roman" w:cs="Times New Roman"/>
          <w:spacing w:val="-2"/>
          <w:sz w:val="24"/>
          <w:szCs w:val="24"/>
        </w:rPr>
        <w:t>185</w:t>
      </w:r>
      <w:r>
        <w:rPr>
          <w:rFonts w:ascii="Times New Roman" w:hAnsi="Times New Roman" w:eastAsia="Times New Roman" w:cs="Times New Roman"/>
          <w:spacing w:val="47"/>
          <w:sz w:val="24"/>
          <w:szCs w:val="24"/>
        </w:rPr>
        <w:t xml:space="preserve"> </w:t>
      </w:r>
      <w:r>
        <w:rPr>
          <w:rFonts w:ascii="宋体" w:hAnsi="宋体" w:eastAsia="宋体" w:cs="宋体"/>
          <w:spacing w:val="-2"/>
          <w:sz w:val="24"/>
          <w:szCs w:val="24"/>
        </w:rPr>
        <w:t>万</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m³</w:t>
      </w:r>
      <w:r>
        <w:rPr>
          <w:rFonts w:ascii="宋体" w:hAnsi="宋体" w:eastAsia="宋体" w:cs="宋体"/>
          <w:spacing w:val="-2"/>
          <w:sz w:val="24"/>
          <w:szCs w:val="24"/>
        </w:rPr>
        <w:t>, 其中土</w:t>
      </w:r>
      <w:r>
        <w:rPr>
          <w:rFonts w:ascii="宋体" w:hAnsi="宋体" w:eastAsia="宋体" w:cs="宋体"/>
          <w:sz w:val="24"/>
          <w:szCs w:val="24"/>
        </w:rPr>
        <w:t xml:space="preserve"> </w:t>
      </w:r>
      <w:r>
        <w:rPr>
          <w:rFonts w:ascii="宋体" w:hAnsi="宋体" w:eastAsia="宋体" w:cs="宋体"/>
          <w:spacing w:val="-4"/>
          <w:sz w:val="24"/>
          <w:szCs w:val="24"/>
        </w:rPr>
        <w:t>方</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53</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m³</w:t>
      </w:r>
      <w:r>
        <w:rPr>
          <w:rFonts w:ascii="宋体" w:hAnsi="宋体" w:eastAsia="宋体" w:cs="宋体"/>
          <w:spacing w:val="-4"/>
          <w:sz w:val="24"/>
          <w:szCs w:val="24"/>
        </w:rPr>
        <w:t>, 石方</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124</w:t>
      </w:r>
      <w:r>
        <w:rPr>
          <w:rFonts w:ascii="Times New Roman" w:hAnsi="Times New Roman" w:eastAsia="Times New Roman" w:cs="Times New Roman"/>
          <w:spacing w:val="17"/>
          <w:w w:val="101"/>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m³</w:t>
      </w:r>
      <w:r>
        <w:rPr>
          <w:rFonts w:ascii="宋体" w:hAnsi="宋体" w:eastAsia="宋体" w:cs="宋体"/>
          <w:spacing w:val="-4"/>
          <w:sz w:val="24"/>
          <w:szCs w:val="24"/>
        </w:rPr>
        <w:t>, 淤泥</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m³</w:t>
      </w:r>
      <w:r>
        <w:rPr>
          <w:rFonts w:ascii="宋体" w:hAnsi="宋体" w:eastAsia="宋体" w:cs="宋体"/>
          <w:spacing w:val="-4"/>
          <w:sz w:val="24"/>
          <w:szCs w:val="24"/>
        </w:rPr>
        <w:t>; 总填方</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98</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m³</w:t>
      </w:r>
      <w:r>
        <w:rPr>
          <w:rFonts w:ascii="宋体" w:hAnsi="宋体" w:eastAsia="宋体" w:cs="宋体"/>
          <w:spacing w:val="-4"/>
          <w:sz w:val="24"/>
          <w:szCs w:val="24"/>
        </w:rPr>
        <w:t>,</w:t>
      </w:r>
      <w:r>
        <w:rPr>
          <w:rFonts w:ascii="宋体" w:hAnsi="宋体" w:eastAsia="宋体" w:cs="宋体"/>
          <w:spacing w:val="17"/>
          <w:sz w:val="24"/>
          <w:szCs w:val="24"/>
        </w:rPr>
        <w:t xml:space="preserve"> </w:t>
      </w:r>
      <w:r>
        <w:rPr>
          <w:rFonts w:ascii="宋体" w:hAnsi="宋体" w:eastAsia="宋体" w:cs="宋体"/>
          <w:spacing w:val="-4"/>
          <w:sz w:val="24"/>
          <w:szCs w:val="24"/>
        </w:rPr>
        <w:t>工程余方共计</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79</w:t>
      </w:r>
      <w:r>
        <w:rPr>
          <w:rFonts w:ascii="Times New Roman" w:hAnsi="Times New Roman" w:eastAsia="Times New Roman" w:cs="Times New Roman"/>
          <w:sz w:val="24"/>
          <w:szCs w:val="24"/>
        </w:rPr>
        <w:t xml:space="preserve"> </w:t>
      </w:r>
      <w:r>
        <w:rPr>
          <w:rFonts w:ascii="宋体" w:hAnsi="宋体" w:eastAsia="宋体" w:cs="宋体"/>
          <w:sz w:val="24"/>
          <w:szCs w:val="24"/>
        </w:rPr>
        <w:t xml:space="preserve">万 </w:t>
      </w:r>
      <w:r>
        <w:rPr>
          <w:rFonts w:ascii="Times New Roman" w:hAnsi="Times New Roman" w:eastAsia="Times New Roman" w:cs="Times New Roman"/>
          <w:sz w:val="24"/>
          <w:szCs w:val="24"/>
        </w:rPr>
        <w:t>m³</w:t>
      </w:r>
      <w:r>
        <w:rPr>
          <w:rFonts w:ascii="宋体" w:hAnsi="宋体" w:eastAsia="宋体" w:cs="宋体"/>
          <w:sz w:val="24"/>
          <w:szCs w:val="24"/>
        </w:rPr>
        <w:t>。开挖方来自于路基工程、隧道工程、桥梁工程、软基处理、</w:t>
      </w:r>
      <w:r>
        <w:rPr>
          <w:rFonts w:ascii="宋体" w:hAnsi="宋体" w:eastAsia="宋体" w:cs="宋体"/>
          <w:spacing w:val="-1"/>
          <w:sz w:val="24"/>
          <w:szCs w:val="24"/>
        </w:rPr>
        <w:t>排水防护工</w:t>
      </w:r>
    </w:p>
    <w:p>
      <w:pPr>
        <w:spacing w:before="1" w:line="219" w:lineRule="auto"/>
        <w:ind w:left="37"/>
        <w:rPr>
          <w:rFonts w:ascii="宋体" w:hAnsi="宋体" w:eastAsia="宋体" w:cs="宋体"/>
          <w:sz w:val="24"/>
          <w:szCs w:val="24"/>
        </w:rPr>
      </w:pPr>
      <w:r>
        <w:rPr>
          <w:rFonts w:ascii="宋体" w:hAnsi="宋体" w:eastAsia="宋体" w:cs="宋体"/>
          <w:spacing w:val="-3"/>
          <w:sz w:val="24"/>
          <w:szCs w:val="24"/>
        </w:rPr>
        <w:t>程、改移工程、主体清基工程、拆迁工程等。</w:t>
      </w:r>
    </w:p>
    <w:p>
      <w:pPr>
        <w:spacing w:before="182" w:line="359" w:lineRule="auto"/>
        <w:ind w:left="37" w:firstLine="484"/>
        <w:jc w:val="both"/>
        <w:rPr>
          <w:rFonts w:ascii="宋体" w:hAnsi="宋体" w:eastAsia="宋体" w:cs="宋体"/>
          <w:sz w:val="24"/>
          <w:szCs w:val="24"/>
        </w:rPr>
      </w:pPr>
      <w:r>
        <w:rPr>
          <w:rFonts w:ascii="宋体" w:hAnsi="宋体" w:eastAsia="宋体" w:cs="宋体"/>
          <w:spacing w:val="-9"/>
          <w:sz w:val="24"/>
          <w:szCs w:val="24"/>
        </w:rPr>
        <w:t>弃方中，</w:t>
      </w:r>
      <w:r>
        <w:rPr>
          <w:rFonts w:ascii="宋体" w:hAnsi="宋体" w:eastAsia="宋体" w:cs="宋体"/>
          <w:spacing w:val="-31"/>
          <w:sz w:val="24"/>
          <w:szCs w:val="24"/>
        </w:rPr>
        <w:t xml:space="preserve"> </w:t>
      </w:r>
      <w:r>
        <w:rPr>
          <w:rFonts w:ascii="宋体" w:hAnsi="宋体" w:eastAsia="宋体" w:cs="宋体"/>
          <w:spacing w:val="-9"/>
          <w:sz w:val="24"/>
          <w:szCs w:val="24"/>
        </w:rPr>
        <w:t>土石弃渣为路基及隧道工程弃方和软基处</w:t>
      </w:r>
      <w:r>
        <w:rPr>
          <w:rFonts w:ascii="宋体" w:hAnsi="宋体" w:eastAsia="宋体" w:cs="宋体"/>
          <w:spacing w:val="-10"/>
          <w:sz w:val="24"/>
          <w:szCs w:val="24"/>
        </w:rPr>
        <w:t>理弃渣， 工程利用景文高</w:t>
      </w:r>
      <w:r>
        <w:rPr>
          <w:rFonts w:ascii="宋体" w:hAnsi="宋体" w:eastAsia="宋体" w:cs="宋体"/>
          <w:sz w:val="24"/>
          <w:szCs w:val="24"/>
        </w:rPr>
        <w:t xml:space="preserve">  </w:t>
      </w:r>
      <w:r>
        <w:rPr>
          <w:rFonts w:ascii="宋体" w:hAnsi="宋体" w:eastAsia="宋体" w:cs="宋体"/>
          <w:spacing w:val="-6"/>
          <w:sz w:val="24"/>
          <w:szCs w:val="24"/>
        </w:rPr>
        <w:t>速公路施工期弃渣场进行弃渣。双田弃渣场（景文高</w:t>
      </w:r>
      <w:r>
        <w:rPr>
          <w:rFonts w:ascii="宋体" w:hAnsi="宋体" w:eastAsia="宋体" w:cs="宋体"/>
          <w:spacing w:val="-7"/>
          <w:sz w:val="24"/>
          <w:szCs w:val="24"/>
        </w:rPr>
        <w:t>速公路</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 xml:space="preserve">JWYJ-4 </w:t>
      </w:r>
      <w:r>
        <w:rPr>
          <w:rFonts w:ascii="宋体" w:hAnsi="宋体" w:eastAsia="宋体" w:cs="宋体"/>
          <w:spacing w:val="-7"/>
          <w:sz w:val="24"/>
          <w:szCs w:val="24"/>
        </w:rPr>
        <w:t>标</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2#</w:t>
      </w:r>
      <w:r>
        <w:rPr>
          <w:rFonts w:ascii="宋体" w:hAnsi="宋体" w:eastAsia="宋体" w:cs="宋体"/>
          <w:spacing w:val="-7"/>
          <w:sz w:val="24"/>
          <w:szCs w:val="24"/>
        </w:rPr>
        <w:t>弃渣场）</w:t>
      </w:r>
      <w:r>
        <w:rPr>
          <w:rFonts w:ascii="宋体" w:hAnsi="宋体" w:eastAsia="宋体" w:cs="宋体"/>
          <w:sz w:val="24"/>
          <w:szCs w:val="24"/>
        </w:rPr>
        <w:t xml:space="preserve"> </w:t>
      </w:r>
      <w:r>
        <w:rPr>
          <w:rFonts w:ascii="宋体" w:hAnsi="宋体" w:eastAsia="宋体" w:cs="宋体"/>
          <w:spacing w:val="-3"/>
          <w:sz w:val="24"/>
          <w:szCs w:val="24"/>
        </w:rPr>
        <w:t>消纳</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35.5</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m³</w:t>
      </w:r>
      <w:r>
        <w:rPr>
          <w:rFonts w:ascii="宋体" w:hAnsi="宋体" w:eastAsia="宋体" w:cs="宋体"/>
          <w:spacing w:val="-3"/>
          <w:sz w:val="24"/>
          <w:szCs w:val="24"/>
        </w:rPr>
        <w:t>、南坑垟弃土场（景文高速公路</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JWYJ-4 </w:t>
      </w:r>
      <w:r>
        <w:rPr>
          <w:rFonts w:ascii="宋体" w:hAnsi="宋体" w:eastAsia="宋体" w:cs="宋体"/>
          <w:spacing w:val="-3"/>
          <w:sz w:val="24"/>
          <w:szCs w:val="24"/>
        </w:rPr>
        <w:t>标</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 xml:space="preserve">弃渣场）消纳 </w:t>
      </w:r>
      <w:r>
        <w:rPr>
          <w:rFonts w:ascii="Times New Roman" w:hAnsi="Times New Roman" w:eastAsia="Times New Roman" w:cs="Times New Roman"/>
          <w:spacing w:val="-3"/>
          <w:sz w:val="24"/>
          <w:szCs w:val="24"/>
        </w:rPr>
        <w:t>15.5</w:t>
      </w:r>
      <w:r>
        <w:rPr>
          <w:rFonts w:ascii="Times New Roman" w:hAnsi="Times New Roman" w:eastAsia="Times New Roman" w:cs="Times New Roman"/>
          <w:sz w:val="24"/>
          <w:szCs w:val="24"/>
        </w:rPr>
        <w:t xml:space="preserve">   </w:t>
      </w:r>
      <w:r>
        <w:rPr>
          <w:rFonts w:ascii="宋体" w:hAnsi="宋体" w:eastAsia="宋体" w:cs="宋体"/>
          <w:spacing w:val="-8"/>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8"/>
          <w:sz w:val="24"/>
          <w:szCs w:val="24"/>
        </w:rPr>
        <w:t>m³</w:t>
      </w:r>
      <w:r>
        <w:rPr>
          <w:rFonts w:ascii="宋体" w:hAnsi="宋体" w:eastAsia="宋体" w:cs="宋体"/>
          <w:spacing w:val="-8"/>
          <w:sz w:val="24"/>
          <w:szCs w:val="24"/>
        </w:rPr>
        <w:t>。连接线约</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17</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万</w:t>
      </w:r>
      <w:r>
        <w:rPr>
          <w:rFonts w:ascii="宋体" w:hAnsi="宋体" w:eastAsia="宋体" w:cs="宋体"/>
          <w:spacing w:val="-61"/>
          <w:sz w:val="24"/>
          <w:szCs w:val="24"/>
        </w:rPr>
        <w:t xml:space="preserve"> </w:t>
      </w:r>
      <w:r>
        <w:rPr>
          <w:rFonts w:ascii="Times New Roman" w:hAnsi="Times New Roman" w:eastAsia="Times New Roman" w:cs="Times New Roman"/>
          <w:spacing w:val="-8"/>
          <w:sz w:val="24"/>
          <w:szCs w:val="24"/>
        </w:rPr>
        <w:t>m³</w:t>
      </w:r>
      <w:r>
        <w:rPr>
          <w:rFonts w:ascii="宋体" w:hAnsi="宋体" w:eastAsia="宋体" w:cs="宋体"/>
          <w:spacing w:val="-8"/>
          <w:sz w:val="24"/>
          <w:szCs w:val="24"/>
        </w:rPr>
        <w:t>方土石方由景文高速公路施工期进行加</w:t>
      </w:r>
      <w:r>
        <w:rPr>
          <w:rFonts w:ascii="宋体" w:hAnsi="宋体" w:eastAsia="宋体" w:cs="宋体"/>
          <w:spacing w:val="-9"/>
          <w:sz w:val="24"/>
          <w:szCs w:val="24"/>
        </w:rPr>
        <w:t>工利用，</w:t>
      </w:r>
      <w:r>
        <w:rPr>
          <w:rFonts w:ascii="宋体" w:hAnsi="宋体" w:eastAsia="宋体" w:cs="宋体"/>
          <w:spacing w:val="64"/>
          <w:sz w:val="24"/>
          <w:szCs w:val="24"/>
        </w:rPr>
        <w:t xml:space="preserve"> </w:t>
      </w:r>
      <w:r>
        <w:rPr>
          <w:rFonts w:ascii="宋体" w:hAnsi="宋体" w:eastAsia="宋体" w:cs="宋体"/>
          <w:spacing w:val="-9"/>
          <w:sz w:val="24"/>
          <w:szCs w:val="24"/>
        </w:rPr>
        <w:t>另外，</w:t>
      </w:r>
      <w:r>
        <w:rPr>
          <w:rFonts w:ascii="宋体" w:hAnsi="宋体" w:eastAsia="宋体" w:cs="宋体"/>
          <w:sz w:val="24"/>
          <w:szCs w:val="24"/>
        </w:rPr>
        <w:t xml:space="preserve"> </w:t>
      </w:r>
      <w:r>
        <w:rPr>
          <w:rFonts w:ascii="宋体" w:hAnsi="宋体" w:eastAsia="宋体" w:cs="宋体"/>
          <w:spacing w:val="-8"/>
          <w:sz w:val="24"/>
          <w:szCs w:val="24"/>
        </w:rPr>
        <w:t>约</w:t>
      </w:r>
      <w:r>
        <w:rPr>
          <w:rFonts w:ascii="宋体" w:hAnsi="宋体" w:eastAsia="宋体" w:cs="宋体"/>
          <w:spacing w:val="-17"/>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15"/>
          <w:w w:val="101"/>
          <w:sz w:val="24"/>
          <w:szCs w:val="24"/>
        </w:rPr>
        <w:t xml:space="preserve"> </w:t>
      </w:r>
      <w:r>
        <w:rPr>
          <w:rFonts w:ascii="宋体" w:hAnsi="宋体" w:eastAsia="宋体" w:cs="宋体"/>
          <w:spacing w:val="-8"/>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8"/>
          <w:sz w:val="24"/>
          <w:szCs w:val="24"/>
        </w:rPr>
        <w:t>m³</w:t>
      </w:r>
      <w:r>
        <w:rPr>
          <w:rFonts w:ascii="宋体" w:hAnsi="宋体" w:eastAsia="宋体" w:cs="宋体"/>
          <w:spacing w:val="-8"/>
          <w:sz w:val="24"/>
          <w:szCs w:val="24"/>
        </w:rPr>
        <w:t>土石方经文成县财政局进行拍卖，</w:t>
      </w:r>
      <w:r>
        <w:rPr>
          <w:rFonts w:ascii="宋体" w:hAnsi="宋体" w:eastAsia="宋体" w:cs="宋体"/>
          <w:spacing w:val="48"/>
          <w:sz w:val="24"/>
          <w:szCs w:val="24"/>
        </w:rPr>
        <w:t xml:space="preserve"> </w:t>
      </w:r>
      <w:r>
        <w:rPr>
          <w:rFonts w:ascii="宋体" w:hAnsi="宋体" w:eastAsia="宋体" w:cs="宋体"/>
          <w:spacing w:val="-8"/>
          <w:sz w:val="24"/>
          <w:szCs w:val="24"/>
        </w:rPr>
        <w:t>由第三方拍卖中标单位文成县龙翔</w:t>
      </w:r>
    </w:p>
    <w:p>
      <w:pPr>
        <w:spacing w:before="1" w:line="220" w:lineRule="auto"/>
        <w:ind w:left="41"/>
        <w:rPr>
          <w:rFonts w:ascii="宋体" w:hAnsi="宋体" w:eastAsia="宋体" w:cs="宋体"/>
          <w:sz w:val="24"/>
          <w:szCs w:val="24"/>
        </w:rPr>
      </w:pPr>
      <w:r>
        <w:rPr>
          <w:rFonts w:ascii="宋体" w:hAnsi="宋体" w:eastAsia="宋体" w:cs="宋体"/>
          <w:spacing w:val="-4"/>
          <w:sz w:val="24"/>
          <w:szCs w:val="24"/>
        </w:rPr>
        <w:t>混凝土有限公司进行处置。</w:t>
      </w:r>
    </w:p>
    <w:p>
      <w:pPr>
        <w:spacing w:before="182" w:line="220" w:lineRule="auto"/>
        <w:ind w:left="32"/>
        <w:outlineLvl w:val="1"/>
        <w:rPr>
          <w:rFonts w:ascii="宋体" w:hAnsi="宋体" w:eastAsia="宋体" w:cs="宋体"/>
          <w:sz w:val="24"/>
          <w:szCs w:val="24"/>
        </w:rPr>
      </w:pPr>
      <w:bookmarkStart w:id="21" w:name="bookmark22"/>
      <w:bookmarkEnd w:id="21"/>
      <w:r>
        <w:rPr>
          <w:rFonts w:ascii="Times New Roman" w:hAnsi="Times New Roman" w:eastAsia="Times New Roman" w:cs="Times New Roman"/>
          <w:b/>
          <w:bCs/>
          <w:sz w:val="24"/>
          <w:szCs w:val="24"/>
        </w:rPr>
        <w:t xml:space="preserve">3.7 </w:t>
      </w:r>
      <w:r>
        <w:rPr>
          <w:rFonts w:ascii="宋体" w:hAnsi="宋体" w:eastAsia="宋体" w:cs="宋体"/>
          <w:sz w:val="24"/>
          <w:szCs w:val="24"/>
          <w14:textOutline w14:w="4354" w14:cap="flat" w14:cmpd="sng">
            <w14:solidFill>
              <w14:srgbClr w14:val="000000"/>
            </w14:solidFill>
            <w14:prstDash w14:val="solid"/>
            <w14:miter w14:val="0"/>
          </w14:textOutline>
        </w:rPr>
        <w:t>工程总投资</w:t>
      </w:r>
    </w:p>
    <w:p>
      <w:pPr>
        <w:spacing w:before="179" w:line="218" w:lineRule="auto"/>
        <w:ind w:left="520"/>
        <w:rPr>
          <w:rFonts w:ascii="宋体" w:hAnsi="宋体" w:eastAsia="宋体" w:cs="宋体"/>
          <w:sz w:val="24"/>
          <w:szCs w:val="24"/>
        </w:rPr>
      </w:pPr>
      <w:r>
        <w:rPr>
          <w:rFonts w:ascii="宋体" w:hAnsi="宋体" w:eastAsia="宋体" w:cs="宋体"/>
          <w:spacing w:val="-3"/>
          <w:sz w:val="24"/>
          <w:szCs w:val="24"/>
        </w:rPr>
        <w:t>工程估算总投资为</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 xml:space="preserve">7.1691 </w:t>
      </w:r>
      <w:r>
        <w:rPr>
          <w:rFonts w:ascii="宋体" w:hAnsi="宋体" w:eastAsia="宋体" w:cs="宋体"/>
          <w:spacing w:val="-3"/>
          <w:sz w:val="24"/>
          <w:szCs w:val="24"/>
        </w:rPr>
        <w:t>亿元。</w:t>
      </w:r>
    </w:p>
    <w:p>
      <w:pPr>
        <w:spacing w:before="185" w:line="220" w:lineRule="auto"/>
        <w:ind w:left="32"/>
        <w:outlineLvl w:val="1"/>
        <w:rPr>
          <w:rFonts w:ascii="宋体" w:hAnsi="宋体" w:eastAsia="宋体" w:cs="宋体"/>
          <w:sz w:val="24"/>
          <w:szCs w:val="24"/>
        </w:rPr>
      </w:pPr>
      <w:bookmarkStart w:id="22" w:name="bookmark23"/>
      <w:bookmarkEnd w:id="22"/>
      <w:r>
        <w:rPr>
          <w:rFonts w:ascii="Times New Roman" w:hAnsi="Times New Roman" w:eastAsia="Times New Roman" w:cs="Times New Roman"/>
          <w:b/>
          <w:bCs/>
          <w:spacing w:val="-2"/>
          <w:sz w:val="24"/>
          <w:szCs w:val="24"/>
        </w:rPr>
        <w:t>3.8</w:t>
      </w:r>
      <w:r>
        <w:rPr>
          <w:rFonts w:ascii="Times New Roman" w:hAnsi="Times New Roman" w:eastAsia="Times New Roman" w:cs="Times New Roman"/>
          <w:b/>
          <w:bCs/>
          <w:spacing w:val="13"/>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工程分析</w:t>
      </w:r>
    </w:p>
    <w:p>
      <w:pPr>
        <w:spacing w:before="180" w:line="220" w:lineRule="auto"/>
        <w:ind w:left="32"/>
        <w:outlineLvl w:val="1"/>
        <w:rPr>
          <w:rFonts w:ascii="宋体" w:hAnsi="宋体" w:eastAsia="宋体" w:cs="宋体"/>
          <w:sz w:val="24"/>
          <w:szCs w:val="24"/>
        </w:rPr>
      </w:pPr>
      <w:r>
        <w:rPr>
          <w:rFonts w:ascii="Times New Roman" w:hAnsi="Times New Roman" w:eastAsia="Times New Roman" w:cs="Times New Roman"/>
          <w:b/>
          <w:bCs/>
          <w:sz w:val="24"/>
          <w:szCs w:val="24"/>
        </w:rPr>
        <w:t xml:space="preserve">3.8.1 </w:t>
      </w:r>
      <w:r>
        <w:rPr>
          <w:rFonts w:ascii="宋体" w:hAnsi="宋体" w:eastAsia="宋体" w:cs="宋体"/>
          <w:sz w:val="24"/>
          <w:szCs w:val="24"/>
          <w14:textOutline w14:w="4354" w14:cap="flat" w14:cmpd="sng">
            <w14:solidFill>
              <w14:srgbClr w14:val="000000"/>
            </w14:solidFill>
            <w14:prstDash w14:val="solid"/>
            <w14:miter w14:val="0"/>
          </w14:textOutline>
        </w:rPr>
        <w:t>工程环境影响识别</w:t>
      </w:r>
    </w:p>
    <w:p>
      <w:pPr>
        <w:spacing w:line="220" w:lineRule="auto"/>
        <w:rPr>
          <w:rFonts w:ascii="宋体" w:hAnsi="宋体" w:eastAsia="宋体" w:cs="宋体"/>
          <w:sz w:val="24"/>
          <w:szCs w:val="24"/>
        </w:rPr>
        <w:sectPr>
          <w:headerReference r:id="rId150" w:type="default"/>
          <w:footerReference r:id="rId151" w:type="default"/>
          <w:pgSz w:w="11907" w:h="16839"/>
          <w:pgMar w:top="1118" w:right="1693" w:bottom="1184" w:left="1771" w:header="879" w:footer="1024" w:gutter="0"/>
          <w:cols w:space="720" w:num="1"/>
        </w:sectPr>
      </w:pPr>
    </w:p>
    <w:p>
      <w:pPr>
        <w:pStyle w:val="2"/>
        <w:spacing w:line="280" w:lineRule="auto"/>
      </w:pPr>
    </w:p>
    <w:p>
      <w:pPr>
        <w:spacing w:before="78" w:line="359" w:lineRule="auto"/>
        <w:ind w:left="37" w:right="32" w:firstLine="499"/>
        <w:jc w:val="both"/>
        <w:rPr>
          <w:rFonts w:ascii="宋体" w:hAnsi="宋体" w:eastAsia="宋体" w:cs="宋体"/>
          <w:sz w:val="24"/>
          <w:szCs w:val="24"/>
        </w:rPr>
      </w:pPr>
      <w:r>
        <w:rPr>
          <w:rFonts w:ascii="Times New Roman" w:hAnsi="Times New Roman" w:eastAsia="Times New Roman" w:cs="Times New Roman"/>
          <w:sz w:val="24"/>
          <w:szCs w:val="24"/>
        </w:rPr>
        <w:t>1</w:t>
      </w:r>
      <w:r>
        <w:rPr>
          <w:rFonts w:ascii="宋体" w:hAnsi="宋体" w:eastAsia="宋体" w:cs="宋体"/>
          <w:sz w:val="24"/>
          <w:szCs w:val="24"/>
        </w:rPr>
        <w:t>、根据工程环境影响分析的结果，本公路建设影响</w:t>
      </w:r>
      <w:r>
        <w:rPr>
          <w:rFonts w:ascii="宋体" w:hAnsi="宋体" w:eastAsia="宋体" w:cs="宋体"/>
          <w:spacing w:val="-1"/>
          <w:sz w:val="24"/>
          <w:szCs w:val="24"/>
        </w:rPr>
        <w:t>的环境要素包括生态环</w:t>
      </w:r>
      <w:r>
        <w:rPr>
          <w:rFonts w:ascii="宋体" w:hAnsi="宋体" w:eastAsia="宋体" w:cs="宋体"/>
          <w:sz w:val="24"/>
          <w:szCs w:val="24"/>
        </w:rPr>
        <w:t xml:space="preserve"> </w:t>
      </w:r>
      <w:r>
        <w:rPr>
          <w:rFonts w:ascii="宋体" w:hAnsi="宋体" w:eastAsia="宋体" w:cs="宋体"/>
          <w:spacing w:val="-6"/>
          <w:sz w:val="24"/>
          <w:szCs w:val="24"/>
        </w:rPr>
        <w:t>境（含景观环境） 、地表水环境、地下水环境、声环境、</w:t>
      </w:r>
      <w:r>
        <w:rPr>
          <w:rFonts w:ascii="宋体" w:hAnsi="宋体" w:eastAsia="宋体" w:cs="宋体"/>
          <w:spacing w:val="-7"/>
          <w:sz w:val="24"/>
          <w:szCs w:val="24"/>
        </w:rPr>
        <w:t>环境空气。根据实地踏</w:t>
      </w:r>
      <w:r>
        <w:rPr>
          <w:rFonts w:ascii="宋体" w:hAnsi="宋体" w:eastAsia="宋体" w:cs="宋体"/>
          <w:sz w:val="24"/>
          <w:szCs w:val="24"/>
        </w:rPr>
        <w:t xml:space="preserve"> </w:t>
      </w:r>
      <w:r>
        <w:rPr>
          <w:rFonts w:ascii="宋体" w:hAnsi="宋体" w:eastAsia="宋体" w:cs="宋体"/>
          <w:spacing w:val="-9"/>
          <w:sz w:val="24"/>
          <w:szCs w:val="24"/>
        </w:rPr>
        <w:t>勘与相关资料分析， 结合公路沿线的环境现状， 对</w:t>
      </w:r>
      <w:r>
        <w:rPr>
          <w:rFonts w:ascii="宋体" w:hAnsi="宋体" w:eastAsia="宋体" w:cs="宋体"/>
          <w:spacing w:val="-10"/>
          <w:sz w:val="24"/>
          <w:szCs w:val="24"/>
        </w:rPr>
        <w:t>本项目的环境影响因素采用矩</w:t>
      </w:r>
    </w:p>
    <w:p>
      <w:pPr>
        <w:spacing w:line="219" w:lineRule="auto"/>
        <w:ind w:left="51"/>
        <w:rPr>
          <w:rFonts w:ascii="宋体" w:hAnsi="宋体" w:eastAsia="宋体" w:cs="宋体"/>
          <w:sz w:val="24"/>
          <w:szCs w:val="24"/>
        </w:rPr>
      </w:pPr>
      <w:r>
        <w:rPr>
          <w:rFonts w:ascii="宋体" w:hAnsi="宋体" w:eastAsia="宋体" w:cs="宋体"/>
          <w:spacing w:val="-4"/>
          <w:sz w:val="24"/>
          <w:szCs w:val="24"/>
        </w:rPr>
        <w:t>阵筛选法识别，结果详见表</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3.8-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w:t>
      </w:r>
    </w:p>
    <w:p>
      <w:pPr>
        <w:spacing w:before="259" w:line="468" w:lineRule="exact"/>
        <w:ind w:right="30"/>
        <w:jc w:val="right"/>
        <w:rPr>
          <w:rFonts w:ascii="宋体" w:hAnsi="宋体" w:eastAsia="宋体" w:cs="宋体"/>
          <w:sz w:val="24"/>
          <w:szCs w:val="24"/>
        </w:rPr>
      </w:pPr>
      <w:r>
        <w:rPr>
          <w:rFonts w:ascii="宋体" w:hAnsi="宋体" w:eastAsia="宋体" w:cs="宋体"/>
          <w:spacing w:val="-2"/>
          <w:position w:val="17"/>
          <w:sz w:val="24"/>
          <w:szCs w:val="24"/>
        </w:rPr>
        <w:t>从表</w:t>
      </w:r>
      <w:r>
        <w:rPr>
          <w:rFonts w:ascii="宋体" w:hAnsi="宋体" w:eastAsia="宋体" w:cs="宋体"/>
          <w:spacing w:val="-48"/>
          <w:position w:val="17"/>
          <w:sz w:val="24"/>
          <w:szCs w:val="24"/>
        </w:rPr>
        <w:t xml:space="preserve"> </w:t>
      </w:r>
      <w:r>
        <w:rPr>
          <w:rFonts w:ascii="Times New Roman" w:hAnsi="Times New Roman" w:eastAsia="Times New Roman" w:cs="Times New Roman"/>
          <w:spacing w:val="-2"/>
          <w:position w:val="17"/>
          <w:sz w:val="24"/>
          <w:szCs w:val="24"/>
        </w:rPr>
        <w:t>3.8-</w:t>
      </w:r>
      <w:r>
        <w:rPr>
          <w:rFonts w:ascii="Times New Roman" w:hAnsi="Times New Roman" w:eastAsia="Times New Roman" w:cs="Times New Roman"/>
          <w:spacing w:val="-33"/>
          <w:position w:val="17"/>
          <w:sz w:val="24"/>
          <w:szCs w:val="24"/>
        </w:rPr>
        <w:t xml:space="preserve"> </w:t>
      </w:r>
      <w:r>
        <w:rPr>
          <w:rFonts w:ascii="Times New Roman" w:hAnsi="Times New Roman" w:eastAsia="Times New Roman" w:cs="Times New Roman"/>
          <w:spacing w:val="-2"/>
          <w:position w:val="17"/>
          <w:sz w:val="24"/>
          <w:szCs w:val="24"/>
        </w:rPr>
        <w:t>1</w:t>
      </w:r>
      <w:r>
        <w:rPr>
          <w:rFonts w:ascii="Times New Roman" w:hAnsi="Times New Roman" w:eastAsia="Times New Roman" w:cs="Times New Roman"/>
          <w:spacing w:val="34"/>
          <w:w w:val="101"/>
          <w:position w:val="17"/>
          <w:sz w:val="24"/>
          <w:szCs w:val="24"/>
        </w:rPr>
        <w:t xml:space="preserve"> </w:t>
      </w:r>
      <w:r>
        <w:rPr>
          <w:rFonts w:ascii="宋体" w:hAnsi="宋体" w:eastAsia="宋体" w:cs="宋体"/>
          <w:spacing w:val="-2"/>
          <w:position w:val="17"/>
          <w:sz w:val="24"/>
          <w:szCs w:val="24"/>
        </w:rPr>
        <w:t>中可以看出公路建设对沿线环境的影响</w:t>
      </w:r>
      <w:r>
        <w:rPr>
          <w:rFonts w:ascii="宋体" w:hAnsi="宋体" w:eastAsia="宋体" w:cs="宋体"/>
          <w:spacing w:val="-3"/>
          <w:position w:val="17"/>
          <w:sz w:val="24"/>
          <w:szCs w:val="24"/>
        </w:rPr>
        <w:t>主要表现在项目施工期以</w:t>
      </w:r>
    </w:p>
    <w:p>
      <w:pPr>
        <w:spacing w:line="219" w:lineRule="auto"/>
        <w:ind w:left="37"/>
        <w:rPr>
          <w:rFonts w:ascii="宋体" w:hAnsi="宋体" w:eastAsia="宋体" w:cs="宋体"/>
          <w:sz w:val="24"/>
          <w:szCs w:val="24"/>
        </w:rPr>
      </w:pPr>
      <w:r>
        <w:rPr>
          <w:rFonts w:ascii="宋体" w:hAnsi="宋体" w:eastAsia="宋体" w:cs="宋体"/>
          <w:spacing w:val="-3"/>
          <w:sz w:val="24"/>
          <w:szCs w:val="24"/>
        </w:rPr>
        <w:t>及运营期，其中以施工期对环境的影响最大。</w:t>
      </w:r>
    </w:p>
    <w:p>
      <w:pPr>
        <w:spacing w:line="219" w:lineRule="auto"/>
        <w:rPr>
          <w:rFonts w:ascii="宋体" w:hAnsi="宋体" w:eastAsia="宋体" w:cs="宋体"/>
          <w:sz w:val="24"/>
          <w:szCs w:val="24"/>
        </w:rPr>
        <w:sectPr>
          <w:headerReference r:id="rId152" w:type="default"/>
          <w:footerReference r:id="rId153" w:type="default"/>
          <w:pgSz w:w="11907" w:h="16839"/>
          <w:pgMar w:top="1118" w:right="1769" w:bottom="1184" w:left="1771" w:header="879" w:footer="1024" w:gutter="0"/>
          <w:cols w:space="720" w:num="1"/>
        </w:sectPr>
      </w:pPr>
    </w:p>
    <w:p>
      <w:pPr>
        <w:pStyle w:val="2"/>
        <w:spacing w:line="414" w:lineRule="auto"/>
      </w:pPr>
    </w:p>
    <w:p>
      <w:pPr>
        <w:spacing w:before="78" w:line="212" w:lineRule="auto"/>
        <w:ind w:left="5171"/>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3.8-</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环境影响要素的矩阵筛选识别</w:t>
      </w:r>
    </w:p>
    <w:tbl>
      <w:tblPr>
        <w:tblStyle w:val="5"/>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828"/>
        <w:gridCol w:w="590"/>
        <w:gridCol w:w="749"/>
        <w:gridCol w:w="2520"/>
        <w:gridCol w:w="751"/>
        <w:gridCol w:w="748"/>
        <w:gridCol w:w="751"/>
        <w:gridCol w:w="749"/>
        <w:gridCol w:w="912"/>
        <w:gridCol w:w="749"/>
        <w:gridCol w:w="751"/>
        <w:gridCol w:w="751"/>
        <w:gridCol w:w="590"/>
        <w:gridCol w:w="590"/>
        <w:gridCol w:w="748"/>
        <w:gridCol w:w="7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582" w:type="dxa"/>
            <w:gridSpan w:val="2"/>
            <w:vMerge w:val="restart"/>
            <w:tcBorders>
              <w:bottom w:val="nil"/>
            </w:tcBorders>
            <w:vAlign w:val="top"/>
          </w:tcPr>
          <w:p>
            <w:pPr>
              <w:spacing w:line="353" w:lineRule="auto"/>
              <w:rPr>
                <w:rFonts w:ascii="Arial"/>
                <w:sz w:val="21"/>
              </w:rPr>
            </w:pPr>
          </w:p>
          <w:p>
            <w:pPr>
              <w:pStyle w:val="6"/>
              <w:spacing w:before="68" w:line="238" w:lineRule="auto"/>
              <w:ind w:left="375"/>
            </w:pPr>
            <w:r>
              <w:rPr>
                <w:spacing w:val="-2"/>
              </w:rPr>
              <w:t>环境要素</w:t>
            </w:r>
          </w:p>
          <w:p>
            <w:pPr>
              <w:pStyle w:val="6"/>
              <w:spacing w:line="221" w:lineRule="auto"/>
              <w:ind w:left="378"/>
            </w:pPr>
            <w:r>
              <w:rPr>
                <w:spacing w:val="-2"/>
              </w:rPr>
              <w:t>工程行为</w:t>
            </w:r>
          </w:p>
        </w:tc>
        <w:tc>
          <w:tcPr>
            <w:tcW w:w="590" w:type="dxa"/>
            <w:vMerge w:val="restart"/>
            <w:tcBorders>
              <w:bottom w:val="nil"/>
            </w:tcBorders>
            <w:textDirection w:val="tbRlV"/>
            <w:vAlign w:val="top"/>
          </w:tcPr>
          <w:p>
            <w:pPr>
              <w:pStyle w:val="6"/>
              <w:spacing w:before="189" w:line="210" w:lineRule="auto"/>
              <w:ind w:left="403"/>
            </w:pPr>
            <w:r>
              <w:rPr>
                <w:spacing w:val="1"/>
              </w:rPr>
              <w:t>占</w:t>
            </w:r>
            <w:r>
              <w:rPr>
                <w:spacing w:val="-5"/>
              </w:rPr>
              <w:t xml:space="preserve"> </w:t>
            </w:r>
            <w:r>
              <w:rPr>
                <w:spacing w:val="1"/>
              </w:rPr>
              <w:t>地</w:t>
            </w:r>
          </w:p>
        </w:tc>
        <w:tc>
          <w:tcPr>
            <w:tcW w:w="749" w:type="dxa"/>
            <w:vMerge w:val="restart"/>
            <w:tcBorders>
              <w:bottom w:val="nil"/>
            </w:tcBorders>
            <w:vAlign w:val="top"/>
          </w:tcPr>
          <w:p>
            <w:pPr>
              <w:spacing w:line="333" w:lineRule="auto"/>
              <w:rPr>
                <w:rFonts w:ascii="Arial"/>
                <w:sz w:val="21"/>
              </w:rPr>
            </w:pPr>
          </w:p>
          <w:p>
            <w:pPr>
              <w:pStyle w:val="6"/>
              <w:spacing w:before="68" w:line="312" w:lineRule="exact"/>
              <w:ind w:left="166"/>
            </w:pPr>
            <w:r>
              <w:rPr>
                <w:spacing w:val="-2"/>
                <w:position w:val="7"/>
              </w:rPr>
              <w:t>拆迁</w:t>
            </w:r>
          </w:p>
          <w:p>
            <w:pPr>
              <w:pStyle w:val="6"/>
              <w:spacing w:line="220" w:lineRule="auto"/>
              <w:ind w:left="171"/>
            </w:pPr>
            <w:r>
              <w:rPr>
                <w:spacing w:val="-3"/>
              </w:rPr>
              <w:t>安置</w:t>
            </w:r>
          </w:p>
        </w:tc>
        <w:tc>
          <w:tcPr>
            <w:tcW w:w="7931" w:type="dxa"/>
            <w:gridSpan w:val="8"/>
            <w:vAlign w:val="top"/>
          </w:tcPr>
          <w:p>
            <w:pPr>
              <w:pStyle w:val="6"/>
              <w:spacing w:before="56" w:line="221" w:lineRule="auto"/>
              <w:ind w:left="3651"/>
            </w:pPr>
            <w:r>
              <w:rPr>
                <w:spacing w:val="-1"/>
              </w:rPr>
              <w:t>施工期</w:t>
            </w:r>
          </w:p>
        </w:tc>
        <w:tc>
          <w:tcPr>
            <w:tcW w:w="3435" w:type="dxa"/>
            <w:gridSpan w:val="5"/>
            <w:vAlign w:val="top"/>
          </w:tcPr>
          <w:p>
            <w:pPr>
              <w:pStyle w:val="6"/>
              <w:spacing w:before="56" w:line="221" w:lineRule="auto"/>
              <w:ind w:left="1405"/>
            </w:pPr>
            <w:r>
              <w:rPr>
                <w:spacing w:val="-2"/>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1582" w:type="dxa"/>
            <w:gridSpan w:val="2"/>
            <w:vMerge w:val="continue"/>
            <w:tcBorders>
              <w:top w:val="nil"/>
            </w:tcBorders>
            <w:vAlign w:val="top"/>
          </w:tcPr>
          <w:p>
            <w:pPr>
              <w:rPr>
                <w:rFonts w:ascii="Arial"/>
                <w:sz w:val="21"/>
              </w:rPr>
            </w:pPr>
          </w:p>
        </w:tc>
        <w:tc>
          <w:tcPr>
            <w:tcW w:w="590" w:type="dxa"/>
            <w:vMerge w:val="continue"/>
            <w:tcBorders>
              <w:top w:val="nil"/>
            </w:tcBorders>
            <w:textDirection w:val="tbRlV"/>
            <w:vAlign w:val="top"/>
          </w:tcPr>
          <w:p>
            <w:pPr>
              <w:rPr>
                <w:rFonts w:ascii="Arial"/>
                <w:sz w:val="21"/>
              </w:rPr>
            </w:pPr>
          </w:p>
        </w:tc>
        <w:tc>
          <w:tcPr>
            <w:tcW w:w="749" w:type="dxa"/>
            <w:vMerge w:val="continue"/>
            <w:tcBorders>
              <w:top w:val="nil"/>
            </w:tcBorders>
            <w:vAlign w:val="top"/>
          </w:tcPr>
          <w:p>
            <w:pPr>
              <w:rPr>
                <w:rFonts w:ascii="Arial"/>
                <w:sz w:val="21"/>
              </w:rPr>
            </w:pPr>
          </w:p>
        </w:tc>
        <w:tc>
          <w:tcPr>
            <w:tcW w:w="2520" w:type="dxa"/>
            <w:vAlign w:val="top"/>
          </w:tcPr>
          <w:p>
            <w:pPr>
              <w:pStyle w:val="6"/>
              <w:spacing w:before="82" w:line="221" w:lineRule="auto"/>
              <w:ind w:left="211"/>
            </w:pPr>
            <w:r>
              <w:rPr>
                <w:spacing w:val="-1"/>
              </w:rPr>
              <w:t>施工期临时设施弃渣场</w:t>
            </w:r>
          </w:p>
          <w:p>
            <w:pPr>
              <w:pStyle w:val="6"/>
              <w:spacing w:before="62" w:line="247" w:lineRule="auto"/>
              <w:ind w:left="945" w:right="114" w:hanging="828"/>
            </w:pPr>
            <w:r>
              <w:rPr>
                <w:spacing w:val="-3"/>
              </w:rPr>
              <w:t>（弃渣场中转料场、堆土</w:t>
            </w:r>
            <w:r>
              <w:rPr>
                <w:spacing w:val="4"/>
              </w:rPr>
              <w:t xml:space="preserve"> </w:t>
            </w:r>
            <w:r>
              <w:rPr>
                <w:spacing w:val="-5"/>
              </w:rPr>
              <w:t>场等）</w:t>
            </w:r>
          </w:p>
        </w:tc>
        <w:tc>
          <w:tcPr>
            <w:tcW w:w="751" w:type="dxa"/>
            <w:vAlign w:val="top"/>
          </w:tcPr>
          <w:p>
            <w:pPr>
              <w:pStyle w:val="6"/>
              <w:spacing w:before="238" w:line="312" w:lineRule="exact"/>
              <w:ind w:left="168"/>
            </w:pPr>
            <w:r>
              <w:rPr>
                <w:spacing w:val="-2"/>
                <w:position w:val="7"/>
              </w:rPr>
              <w:t>路基</w:t>
            </w:r>
          </w:p>
          <w:p>
            <w:pPr>
              <w:pStyle w:val="6"/>
              <w:spacing w:line="223" w:lineRule="auto"/>
              <w:ind w:left="166"/>
            </w:pPr>
            <w:r>
              <w:rPr>
                <w:spacing w:val="-2"/>
              </w:rPr>
              <w:t>施工</w:t>
            </w:r>
          </w:p>
        </w:tc>
        <w:tc>
          <w:tcPr>
            <w:tcW w:w="748" w:type="dxa"/>
            <w:vAlign w:val="top"/>
          </w:tcPr>
          <w:p>
            <w:pPr>
              <w:pStyle w:val="6"/>
              <w:spacing w:before="238" w:line="312" w:lineRule="exact"/>
              <w:ind w:left="169"/>
            </w:pPr>
            <w:r>
              <w:rPr>
                <w:spacing w:val="-2"/>
                <w:position w:val="7"/>
              </w:rPr>
              <w:t>路面</w:t>
            </w:r>
          </w:p>
          <w:p>
            <w:pPr>
              <w:pStyle w:val="6"/>
              <w:spacing w:line="223" w:lineRule="auto"/>
              <w:ind w:left="166"/>
            </w:pPr>
            <w:r>
              <w:rPr>
                <w:spacing w:val="-2"/>
              </w:rPr>
              <w:t>施工</w:t>
            </w:r>
          </w:p>
        </w:tc>
        <w:tc>
          <w:tcPr>
            <w:tcW w:w="751" w:type="dxa"/>
            <w:vAlign w:val="top"/>
          </w:tcPr>
          <w:p>
            <w:pPr>
              <w:pStyle w:val="6"/>
              <w:spacing w:before="238" w:line="312" w:lineRule="exact"/>
              <w:ind w:left="168"/>
            </w:pPr>
            <w:r>
              <w:rPr>
                <w:spacing w:val="-2"/>
                <w:position w:val="7"/>
              </w:rPr>
              <w:t>桥涵</w:t>
            </w:r>
          </w:p>
          <w:p>
            <w:pPr>
              <w:pStyle w:val="6"/>
              <w:spacing w:line="223" w:lineRule="auto"/>
              <w:ind w:left="167"/>
            </w:pPr>
            <w:r>
              <w:rPr>
                <w:spacing w:val="-2"/>
              </w:rPr>
              <w:t>施工</w:t>
            </w:r>
          </w:p>
        </w:tc>
        <w:tc>
          <w:tcPr>
            <w:tcW w:w="749" w:type="dxa"/>
            <w:vAlign w:val="top"/>
          </w:tcPr>
          <w:p>
            <w:pPr>
              <w:pStyle w:val="6"/>
              <w:spacing w:before="238" w:line="312" w:lineRule="exact"/>
              <w:ind w:left="179"/>
            </w:pPr>
            <w:r>
              <w:rPr>
                <w:spacing w:val="-5"/>
                <w:position w:val="7"/>
              </w:rPr>
              <w:t>隧道</w:t>
            </w:r>
          </w:p>
          <w:p>
            <w:pPr>
              <w:pStyle w:val="6"/>
              <w:spacing w:line="223" w:lineRule="auto"/>
              <w:ind w:left="167"/>
            </w:pPr>
            <w:r>
              <w:rPr>
                <w:spacing w:val="-2"/>
              </w:rPr>
              <w:t>施工</w:t>
            </w:r>
          </w:p>
        </w:tc>
        <w:tc>
          <w:tcPr>
            <w:tcW w:w="912" w:type="dxa"/>
            <w:vAlign w:val="top"/>
          </w:tcPr>
          <w:p>
            <w:pPr>
              <w:pStyle w:val="6"/>
              <w:spacing w:before="238" w:line="249" w:lineRule="auto"/>
              <w:ind w:left="143" w:right="136" w:firstLine="1"/>
            </w:pPr>
            <w:r>
              <w:rPr>
                <w:spacing w:val="-2"/>
              </w:rPr>
              <w:t>沿线设</w:t>
            </w:r>
            <w:r>
              <w:t xml:space="preserve"> </w:t>
            </w:r>
            <w:r>
              <w:rPr>
                <w:spacing w:val="-2"/>
              </w:rPr>
              <w:t>施施工</w:t>
            </w:r>
          </w:p>
        </w:tc>
        <w:tc>
          <w:tcPr>
            <w:tcW w:w="749" w:type="dxa"/>
            <w:vAlign w:val="top"/>
          </w:tcPr>
          <w:p>
            <w:pPr>
              <w:pStyle w:val="6"/>
              <w:spacing w:before="238" w:line="312" w:lineRule="exact"/>
              <w:ind w:left="168"/>
            </w:pPr>
            <w:r>
              <w:rPr>
                <w:spacing w:val="-2"/>
                <w:position w:val="7"/>
              </w:rPr>
              <w:t>材料</w:t>
            </w:r>
          </w:p>
          <w:p>
            <w:pPr>
              <w:pStyle w:val="6"/>
              <w:spacing w:line="220" w:lineRule="auto"/>
              <w:ind w:left="168"/>
            </w:pPr>
            <w:r>
              <w:rPr>
                <w:spacing w:val="-2"/>
              </w:rPr>
              <w:t>运输</w:t>
            </w:r>
          </w:p>
        </w:tc>
        <w:tc>
          <w:tcPr>
            <w:tcW w:w="751" w:type="dxa"/>
            <w:vAlign w:val="top"/>
          </w:tcPr>
          <w:p>
            <w:pPr>
              <w:pStyle w:val="6"/>
              <w:spacing w:before="238" w:line="312" w:lineRule="exact"/>
              <w:ind w:left="167"/>
            </w:pPr>
            <w:r>
              <w:rPr>
                <w:spacing w:val="-2"/>
                <w:position w:val="7"/>
              </w:rPr>
              <w:t>机械</w:t>
            </w:r>
          </w:p>
          <w:p>
            <w:pPr>
              <w:pStyle w:val="6"/>
              <w:spacing w:line="221" w:lineRule="auto"/>
              <w:ind w:left="169"/>
            </w:pPr>
            <w:r>
              <w:rPr>
                <w:spacing w:val="-2"/>
              </w:rPr>
              <w:t>作业</w:t>
            </w:r>
          </w:p>
        </w:tc>
        <w:tc>
          <w:tcPr>
            <w:tcW w:w="751" w:type="dxa"/>
            <w:vAlign w:val="top"/>
          </w:tcPr>
          <w:p>
            <w:pPr>
              <w:pStyle w:val="6"/>
              <w:spacing w:before="238" w:line="312" w:lineRule="exact"/>
              <w:ind w:left="170"/>
            </w:pPr>
            <w:r>
              <w:rPr>
                <w:spacing w:val="-2"/>
                <w:position w:val="7"/>
              </w:rPr>
              <w:t>道路</w:t>
            </w:r>
          </w:p>
          <w:p>
            <w:pPr>
              <w:pStyle w:val="6"/>
              <w:spacing w:line="220" w:lineRule="auto"/>
              <w:ind w:left="171"/>
            </w:pPr>
            <w:r>
              <w:rPr>
                <w:spacing w:val="-2"/>
              </w:rPr>
              <w:t>运输</w:t>
            </w:r>
          </w:p>
        </w:tc>
        <w:tc>
          <w:tcPr>
            <w:tcW w:w="590" w:type="dxa"/>
            <w:textDirection w:val="tbRlV"/>
            <w:vAlign w:val="top"/>
          </w:tcPr>
          <w:p>
            <w:pPr>
              <w:pStyle w:val="6"/>
              <w:spacing w:before="188" w:line="212" w:lineRule="auto"/>
              <w:ind w:left="238"/>
            </w:pPr>
            <w:r>
              <w:rPr>
                <w:spacing w:val="1"/>
              </w:rPr>
              <w:t>隧</w:t>
            </w:r>
            <w:r>
              <w:rPr>
                <w:spacing w:val="-5"/>
              </w:rPr>
              <w:t xml:space="preserve"> </w:t>
            </w:r>
            <w:r>
              <w:rPr>
                <w:spacing w:val="1"/>
              </w:rPr>
              <w:t>道</w:t>
            </w:r>
          </w:p>
        </w:tc>
        <w:tc>
          <w:tcPr>
            <w:tcW w:w="590" w:type="dxa"/>
            <w:textDirection w:val="tbRlV"/>
            <w:vAlign w:val="top"/>
          </w:tcPr>
          <w:p>
            <w:pPr>
              <w:pStyle w:val="6"/>
              <w:spacing w:before="185" w:line="209" w:lineRule="auto"/>
              <w:ind w:left="238"/>
            </w:pPr>
            <w:r>
              <w:rPr>
                <w:spacing w:val="1"/>
              </w:rPr>
              <w:t>桥</w:t>
            </w:r>
            <w:r>
              <w:rPr>
                <w:spacing w:val="-5"/>
              </w:rPr>
              <w:t xml:space="preserve"> </w:t>
            </w:r>
            <w:r>
              <w:rPr>
                <w:spacing w:val="1"/>
              </w:rPr>
              <w:t>梁</w:t>
            </w:r>
          </w:p>
        </w:tc>
        <w:tc>
          <w:tcPr>
            <w:tcW w:w="748" w:type="dxa"/>
            <w:vAlign w:val="top"/>
          </w:tcPr>
          <w:p>
            <w:pPr>
              <w:pStyle w:val="6"/>
              <w:spacing w:before="238" w:line="312" w:lineRule="exact"/>
              <w:ind w:left="176"/>
            </w:pPr>
            <w:r>
              <w:rPr>
                <w:spacing w:val="-4"/>
                <w:position w:val="7"/>
              </w:rPr>
              <w:t>公路</w:t>
            </w:r>
          </w:p>
          <w:p>
            <w:pPr>
              <w:pStyle w:val="6"/>
              <w:spacing w:line="220" w:lineRule="auto"/>
              <w:ind w:left="171"/>
            </w:pPr>
            <w:r>
              <w:rPr>
                <w:spacing w:val="-2"/>
              </w:rPr>
              <w:t>养护</w:t>
            </w:r>
          </w:p>
        </w:tc>
        <w:tc>
          <w:tcPr>
            <w:tcW w:w="756" w:type="dxa"/>
            <w:vAlign w:val="top"/>
          </w:tcPr>
          <w:p>
            <w:pPr>
              <w:spacing w:line="324" w:lineRule="auto"/>
              <w:rPr>
                <w:rFonts w:ascii="Arial"/>
                <w:sz w:val="21"/>
              </w:rPr>
            </w:pPr>
          </w:p>
          <w:p>
            <w:pPr>
              <w:pStyle w:val="6"/>
              <w:spacing w:before="68" w:line="222" w:lineRule="auto"/>
              <w:ind w:left="175"/>
            </w:pPr>
            <w:r>
              <w:rPr>
                <w:spacing w:val="-2"/>
              </w:rPr>
              <w:t>绿化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54"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8" w:line="312" w:lineRule="exact"/>
              <w:ind w:left="205"/>
            </w:pPr>
            <w:r>
              <w:rPr>
                <w:spacing w:val="-11"/>
                <w:position w:val="7"/>
              </w:rPr>
              <w:t>自然</w:t>
            </w:r>
          </w:p>
          <w:p>
            <w:pPr>
              <w:pStyle w:val="6"/>
              <w:spacing w:line="221" w:lineRule="auto"/>
              <w:ind w:left="171"/>
            </w:pPr>
            <w:r>
              <w:rPr>
                <w:spacing w:val="-2"/>
              </w:rPr>
              <w:t>环境</w:t>
            </w:r>
          </w:p>
        </w:tc>
        <w:tc>
          <w:tcPr>
            <w:tcW w:w="828" w:type="dxa"/>
            <w:vAlign w:val="top"/>
          </w:tcPr>
          <w:p>
            <w:pPr>
              <w:pStyle w:val="6"/>
              <w:spacing w:before="51" w:line="313" w:lineRule="exact"/>
              <w:ind w:left="213"/>
            </w:pPr>
            <w:r>
              <w:rPr>
                <w:spacing w:val="-4"/>
                <w:position w:val="7"/>
              </w:rPr>
              <w:t>空气</w:t>
            </w:r>
          </w:p>
          <w:p>
            <w:pPr>
              <w:pStyle w:val="6"/>
              <w:spacing w:line="221" w:lineRule="auto"/>
              <w:ind w:left="207"/>
            </w:pPr>
            <w:r>
              <w:rPr>
                <w:spacing w:val="-2"/>
              </w:rPr>
              <w:t>环境</w:t>
            </w:r>
          </w:p>
        </w:tc>
        <w:tc>
          <w:tcPr>
            <w:tcW w:w="590" w:type="dxa"/>
            <w:vAlign w:val="top"/>
          </w:tcPr>
          <w:p>
            <w:pPr>
              <w:rPr>
                <w:rFonts w:ascii="Arial"/>
                <w:sz w:val="21"/>
              </w:rPr>
            </w:pPr>
          </w:p>
        </w:tc>
        <w:tc>
          <w:tcPr>
            <w:tcW w:w="749" w:type="dxa"/>
            <w:vAlign w:val="top"/>
          </w:tcPr>
          <w:p>
            <w:pPr>
              <w:spacing w:before="243" w:line="252"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2520" w:type="dxa"/>
            <w:vAlign w:val="top"/>
          </w:tcPr>
          <w:p>
            <w:pPr>
              <w:spacing w:before="243" w:line="252" w:lineRule="exact"/>
              <w:ind w:left="1209"/>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43" w:line="252"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8" w:type="dxa"/>
            <w:vAlign w:val="top"/>
          </w:tcPr>
          <w:p>
            <w:pPr>
              <w:spacing w:before="243" w:line="252"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43" w:line="252"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spacing w:before="243" w:line="252"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912" w:type="dxa"/>
            <w:vAlign w:val="top"/>
          </w:tcPr>
          <w:p>
            <w:pPr>
              <w:spacing w:before="243" w:line="252" w:lineRule="exact"/>
              <w:ind w:left="406"/>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spacing w:before="243" w:line="252"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43" w:line="252"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43" w:line="236"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0" w:type="dxa"/>
            <w:vAlign w:val="top"/>
          </w:tcPr>
          <w:p>
            <w:pPr>
              <w:spacing w:before="243" w:line="236"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0" w:type="dxa"/>
            <w:vAlign w:val="top"/>
          </w:tcPr>
          <w:p>
            <w:pPr>
              <w:rPr>
                <w:rFonts w:ascii="Arial"/>
                <w:sz w:val="21"/>
              </w:rPr>
            </w:pPr>
          </w:p>
        </w:tc>
        <w:tc>
          <w:tcPr>
            <w:tcW w:w="748" w:type="dxa"/>
            <w:vAlign w:val="top"/>
          </w:tcPr>
          <w:p>
            <w:pPr>
              <w:spacing w:before="243" w:line="252" w:lineRule="exact"/>
              <w:ind w:left="326"/>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6" w:type="dxa"/>
            <w:vAlign w:val="top"/>
          </w:tcPr>
          <w:p>
            <w:pPr>
              <w:spacing w:before="243" w:line="236" w:lineRule="auto"/>
              <w:ind w:left="3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54" w:type="dxa"/>
            <w:vMerge w:val="continue"/>
            <w:tcBorders>
              <w:top w:val="nil"/>
              <w:bottom w:val="nil"/>
            </w:tcBorders>
            <w:vAlign w:val="top"/>
          </w:tcPr>
          <w:p>
            <w:pPr>
              <w:rPr>
                <w:rFonts w:ascii="Arial"/>
                <w:sz w:val="21"/>
              </w:rPr>
            </w:pPr>
          </w:p>
        </w:tc>
        <w:tc>
          <w:tcPr>
            <w:tcW w:w="828" w:type="dxa"/>
            <w:vAlign w:val="top"/>
          </w:tcPr>
          <w:p>
            <w:pPr>
              <w:pStyle w:val="6"/>
              <w:spacing w:before="52" w:line="312" w:lineRule="exact"/>
              <w:ind w:left="207"/>
            </w:pPr>
            <w:r>
              <w:rPr>
                <w:spacing w:val="-2"/>
                <w:position w:val="7"/>
              </w:rPr>
              <w:t>地表</w:t>
            </w:r>
          </w:p>
          <w:p>
            <w:pPr>
              <w:pStyle w:val="6"/>
              <w:spacing w:line="220" w:lineRule="auto"/>
              <w:ind w:left="209"/>
            </w:pPr>
            <w:r>
              <w:rPr>
                <w:spacing w:val="-3"/>
              </w:rPr>
              <w:t>水环</w:t>
            </w:r>
          </w:p>
          <w:p>
            <w:pPr>
              <w:pStyle w:val="6"/>
              <w:spacing w:before="61" w:line="221" w:lineRule="auto"/>
              <w:ind w:left="311"/>
            </w:pPr>
            <w:r>
              <w:t>境</w:t>
            </w:r>
          </w:p>
        </w:tc>
        <w:tc>
          <w:tcPr>
            <w:tcW w:w="590" w:type="dxa"/>
            <w:vAlign w:val="top"/>
          </w:tcPr>
          <w:p>
            <w:pPr>
              <w:rPr>
                <w:rFonts w:ascii="Arial"/>
                <w:sz w:val="21"/>
              </w:rPr>
            </w:pPr>
          </w:p>
        </w:tc>
        <w:tc>
          <w:tcPr>
            <w:tcW w:w="749" w:type="dxa"/>
            <w:vAlign w:val="top"/>
          </w:tcPr>
          <w:p>
            <w:pPr>
              <w:rPr>
                <w:rFonts w:ascii="Arial"/>
                <w:sz w:val="21"/>
              </w:rPr>
            </w:pPr>
          </w:p>
        </w:tc>
        <w:tc>
          <w:tcPr>
            <w:tcW w:w="2520" w:type="dxa"/>
            <w:vAlign w:val="top"/>
          </w:tcPr>
          <w:p>
            <w:pPr>
              <w:spacing w:line="336" w:lineRule="auto"/>
              <w:rPr>
                <w:rFonts w:ascii="Arial"/>
                <w:sz w:val="21"/>
              </w:rPr>
            </w:pPr>
          </w:p>
          <w:p>
            <w:pPr>
              <w:spacing w:before="61" w:line="251" w:lineRule="exact"/>
              <w:ind w:left="1209"/>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line="336" w:lineRule="auto"/>
              <w:rPr>
                <w:rFonts w:ascii="Arial"/>
                <w:sz w:val="21"/>
              </w:rPr>
            </w:pPr>
          </w:p>
          <w:p>
            <w:pPr>
              <w:spacing w:before="61" w:line="251"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8" w:type="dxa"/>
            <w:vAlign w:val="top"/>
          </w:tcPr>
          <w:p>
            <w:pPr>
              <w:spacing w:line="336" w:lineRule="auto"/>
              <w:rPr>
                <w:rFonts w:ascii="Arial"/>
                <w:sz w:val="21"/>
              </w:rPr>
            </w:pPr>
          </w:p>
          <w:p>
            <w:pPr>
              <w:spacing w:before="61" w:line="251"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line="336" w:lineRule="auto"/>
              <w:rPr>
                <w:rFonts w:ascii="Arial"/>
                <w:sz w:val="21"/>
              </w:rPr>
            </w:pPr>
          </w:p>
          <w:p>
            <w:pPr>
              <w:spacing w:before="61"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spacing w:line="336" w:lineRule="auto"/>
              <w:rPr>
                <w:rFonts w:ascii="Arial"/>
                <w:sz w:val="21"/>
              </w:rPr>
            </w:pPr>
          </w:p>
          <w:p>
            <w:pPr>
              <w:spacing w:before="61"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912" w:type="dxa"/>
            <w:vAlign w:val="top"/>
          </w:tcPr>
          <w:p>
            <w:pPr>
              <w:spacing w:line="336" w:lineRule="auto"/>
              <w:rPr>
                <w:rFonts w:ascii="Arial"/>
                <w:sz w:val="21"/>
              </w:rPr>
            </w:pPr>
          </w:p>
          <w:p>
            <w:pPr>
              <w:spacing w:before="61" w:line="251" w:lineRule="exact"/>
              <w:ind w:left="406"/>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spacing w:line="336" w:lineRule="auto"/>
              <w:rPr>
                <w:rFonts w:ascii="Arial"/>
                <w:sz w:val="21"/>
              </w:rPr>
            </w:pPr>
          </w:p>
          <w:p>
            <w:pPr>
              <w:spacing w:before="61"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rPr>
                <w:rFonts w:ascii="Arial"/>
                <w:sz w:val="21"/>
              </w:rPr>
            </w:pPr>
          </w:p>
        </w:tc>
        <w:tc>
          <w:tcPr>
            <w:tcW w:w="751" w:type="dxa"/>
            <w:vAlign w:val="top"/>
          </w:tcPr>
          <w:p>
            <w:pPr>
              <w:spacing w:line="336" w:lineRule="auto"/>
              <w:rPr>
                <w:rFonts w:ascii="Arial"/>
                <w:sz w:val="21"/>
              </w:rPr>
            </w:pPr>
          </w:p>
          <w:p>
            <w:pPr>
              <w:spacing w:before="61" w:line="236"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0" w:type="dxa"/>
            <w:vAlign w:val="top"/>
          </w:tcPr>
          <w:p>
            <w:pPr>
              <w:rPr>
                <w:rFonts w:ascii="Arial"/>
                <w:sz w:val="21"/>
              </w:rPr>
            </w:pPr>
          </w:p>
        </w:tc>
        <w:tc>
          <w:tcPr>
            <w:tcW w:w="590" w:type="dxa"/>
            <w:vAlign w:val="top"/>
          </w:tcPr>
          <w:p>
            <w:pPr>
              <w:spacing w:line="336" w:lineRule="auto"/>
              <w:rPr>
                <w:rFonts w:ascii="Arial"/>
                <w:sz w:val="21"/>
              </w:rPr>
            </w:pPr>
          </w:p>
          <w:p>
            <w:pPr>
              <w:spacing w:before="61" w:line="236"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48" w:type="dxa"/>
            <w:vAlign w:val="top"/>
          </w:tcPr>
          <w:p>
            <w:pPr>
              <w:rPr>
                <w:rFonts w:ascii="Arial"/>
                <w:sz w:val="21"/>
              </w:rPr>
            </w:pPr>
          </w:p>
        </w:tc>
        <w:tc>
          <w:tcPr>
            <w:tcW w:w="756" w:type="dxa"/>
            <w:vAlign w:val="top"/>
          </w:tcPr>
          <w:p>
            <w:pPr>
              <w:spacing w:line="336" w:lineRule="auto"/>
              <w:rPr>
                <w:rFonts w:ascii="Arial"/>
                <w:sz w:val="21"/>
              </w:rPr>
            </w:pPr>
          </w:p>
          <w:p>
            <w:pPr>
              <w:spacing w:before="61" w:line="236" w:lineRule="auto"/>
              <w:ind w:left="3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4" w:type="dxa"/>
            <w:vMerge w:val="continue"/>
            <w:tcBorders>
              <w:top w:val="nil"/>
              <w:bottom w:val="nil"/>
            </w:tcBorders>
            <w:vAlign w:val="top"/>
          </w:tcPr>
          <w:p>
            <w:pPr>
              <w:rPr>
                <w:rFonts w:ascii="Arial"/>
                <w:sz w:val="21"/>
              </w:rPr>
            </w:pPr>
          </w:p>
        </w:tc>
        <w:tc>
          <w:tcPr>
            <w:tcW w:w="828" w:type="dxa"/>
            <w:vAlign w:val="top"/>
          </w:tcPr>
          <w:p>
            <w:pPr>
              <w:pStyle w:val="6"/>
              <w:spacing w:before="52" w:line="312" w:lineRule="exact"/>
              <w:ind w:left="211"/>
            </w:pPr>
            <w:r>
              <w:rPr>
                <w:spacing w:val="-3"/>
                <w:position w:val="7"/>
              </w:rPr>
              <w:t>声环</w:t>
            </w:r>
          </w:p>
          <w:p>
            <w:pPr>
              <w:pStyle w:val="6"/>
              <w:spacing w:line="221" w:lineRule="auto"/>
              <w:ind w:left="311"/>
            </w:pPr>
            <w:r>
              <w:t>境</w:t>
            </w:r>
          </w:p>
        </w:tc>
        <w:tc>
          <w:tcPr>
            <w:tcW w:w="590" w:type="dxa"/>
            <w:vAlign w:val="top"/>
          </w:tcPr>
          <w:p>
            <w:pPr>
              <w:rPr>
                <w:rFonts w:ascii="Arial"/>
                <w:sz w:val="21"/>
              </w:rPr>
            </w:pPr>
          </w:p>
        </w:tc>
        <w:tc>
          <w:tcPr>
            <w:tcW w:w="749" w:type="dxa"/>
            <w:vAlign w:val="top"/>
          </w:tcPr>
          <w:p>
            <w:pPr>
              <w:spacing w:before="243" w:line="252"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2520" w:type="dxa"/>
            <w:vAlign w:val="top"/>
          </w:tcPr>
          <w:p>
            <w:pPr>
              <w:spacing w:before="243" w:line="252" w:lineRule="exact"/>
              <w:ind w:left="1209"/>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43" w:line="252"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8" w:type="dxa"/>
            <w:vAlign w:val="top"/>
          </w:tcPr>
          <w:p>
            <w:pPr>
              <w:spacing w:before="243" w:line="252"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43" w:line="252"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spacing w:before="243" w:line="252"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912" w:type="dxa"/>
            <w:vAlign w:val="top"/>
          </w:tcPr>
          <w:p>
            <w:pPr>
              <w:spacing w:before="243" w:line="252" w:lineRule="exact"/>
              <w:ind w:left="406"/>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spacing w:before="243" w:line="252"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43" w:line="252"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43" w:line="236"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0" w:type="dxa"/>
            <w:vAlign w:val="top"/>
          </w:tcPr>
          <w:p>
            <w:pPr>
              <w:spacing w:before="243" w:line="236"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0" w:type="dxa"/>
            <w:vAlign w:val="top"/>
          </w:tcPr>
          <w:p>
            <w:pPr>
              <w:spacing w:before="243" w:line="236"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48" w:type="dxa"/>
            <w:vAlign w:val="top"/>
          </w:tcPr>
          <w:p>
            <w:pPr>
              <w:spacing w:before="243" w:line="252" w:lineRule="exact"/>
              <w:ind w:left="326"/>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6" w:type="dxa"/>
            <w:vAlign w:val="top"/>
          </w:tcPr>
          <w:p>
            <w:pPr>
              <w:spacing w:before="243" w:line="236" w:lineRule="auto"/>
              <w:ind w:left="3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54" w:type="dxa"/>
            <w:vMerge w:val="continue"/>
            <w:tcBorders>
              <w:top w:val="nil"/>
            </w:tcBorders>
            <w:vAlign w:val="top"/>
          </w:tcPr>
          <w:p>
            <w:pPr>
              <w:rPr>
                <w:rFonts w:ascii="Arial"/>
                <w:sz w:val="21"/>
              </w:rPr>
            </w:pPr>
          </w:p>
        </w:tc>
        <w:tc>
          <w:tcPr>
            <w:tcW w:w="828" w:type="dxa"/>
            <w:vAlign w:val="top"/>
          </w:tcPr>
          <w:p>
            <w:pPr>
              <w:pStyle w:val="6"/>
              <w:spacing w:before="53" w:line="312" w:lineRule="exact"/>
              <w:ind w:left="207"/>
            </w:pPr>
            <w:r>
              <w:rPr>
                <w:spacing w:val="-2"/>
                <w:position w:val="7"/>
              </w:rPr>
              <w:t>地下</w:t>
            </w:r>
          </w:p>
          <w:p>
            <w:pPr>
              <w:pStyle w:val="6"/>
              <w:spacing w:line="220" w:lineRule="auto"/>
              <w:ind w:left="209"/>
            </w:pPr>
            <w:r>
              <w:rPr>
                <w:spacing w:val="-3"/>
              </w:rPr>
              <w:t>水环</w:t>
            </w:r>
          </w:p>
          <w:p>
            <w:pPr>
              <w:pStyle w:val="6"/>
              <w:spacing w:before="61" w:line="221" w:lineRule="auto"/>
              <w:ind w:left="311"/>
            </w:pPr>
            <w:r>
              <w:t>境</w:t>
            </w:r>
          </w:p>
        </w:tc>
        <w:tc>
          <w:tcPr>
            <w:tcW w:w="590" w:type="dxa"/>
            <w:vAlign w:val="top"/>
          </w:tcPr>
          <w:p>
            <w:pPr>
              <w:rPr>
                <w:rFonts w:ascii="Arial"/>
                <w:sz w:val="21"/>
              </w:rPr>
            </w:pPr>
          </w:p>
        </w:tc>
        <w:tc>
          <w:tcPr>
            <w:tcW w:w="749" w:type="dxa"/>
            <w:vAlign w:val="top"/>
          </w:tcPr>
          <w:p>
            <w:pPr>
              <w:rPr>
                <w:rFonts w:ascii="Arial"/>
                <w:sz w:val="21"/>
              </w:rPr>
            </w:pPr>
          </w:p>
        </w:tc>
        <w:tc>
          <w:tcPr>
            <w:tcW w:w="2520" w:type="dxa"/>
            <w:vAlign w:val="top"/>
          </w:tcPr>
          <w:p>
            <w:pPr>
              <w:rPr>
                <w:rFonts w:ascii="Arial"/>
                <w:sz w:val="21"/>
              </w:rPr>
            </w:pPr>
          </w:p>
        </w:tc>
        <w:tc>
          <w:tcPr>
            <w:tcW w:w="751" w:type="dxa"/>
            <w:vAlign w:val="top"/>
          </w:tcPr>
          <w:p>
            <w:pPr>
              <w:rPr>
                <w:rFonts w:ascii="Arial"/>
                <w:sz w:val="21"/>
              </w:rPr>
            </w:pPr>
          </w:p>
        </w:tc>
        <w:tc>
          <w:tcPr>
            <w:tcW w:w="748" w:type="dxa"/>
            <w:vAlign w:val="top"/>
          </w:tcPr>
          <w:p>
            <w:pPr>
              <w:rPr>
                <w:rFonts w:ascii="Arial"/>
                <w:sz w:val="21"/>
              </w:rPr>
            </w:pPr>
          </w:p>
        </w:tc>
        <w:tc>
          <w:tcPr>
            <w:tcW w:w="751" w:type="dxa"/>
            <w:vAlign w:val="top"/>
          </w:tcPr>
          <w:p>
            <w:pPr>
              <w:rPr>
                <w:rFonts w:ascii="Arial"/>
                <w:sz w:val="21"/>
              </w:rPr>
            </w:pPr>
          </w:p>
        </w:tc>
        <w:tc>
          <w:tcPr>
            <w:tcW w:w="749" w:type="dxa"/>
            <w:vAlign w:val="top"/>
          </w:tcPr>
          <w:p>
            <w:pPr>
              <w:spacing w:line="338" w:lineRule="auto"/>
              <w:rPr>
                <w:rFonts w:ascii="Arial"/>
                <w:sz w:val="21"/>
              </w:rPr>
            </w:pPr>
          </w:p>
          <w:p>
            <w:pPr>
              <w:spacing w:before="60" w:line="252"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912" w:type="dxa"/>
            <w:vAlign w:val="top"/>
          </w:tcPr>
          <w:p>
            <w:pPr>
              <w:rPr>
                <w:rFonts w:ascii="Arial"/>
                <w:sz w:val="21"/>
              </w:rPr>
            </w:pPr>
          </w:p>
        </w:tc>
        <w:tc>
          <w:tcPr>
            <w:tcW w:w="749" w:type="dxa"/>
            <w:vAlign w:val="top"/>
          </w:tcPr>
          <w:p>
            <w:pPr>
              <w:rPr>
                <w:rFonts w:ascii="Arial"/>
                <w:sz w:val="21"/>
              </w:rPr>
            </w:pPr>
          </w:p>
        </w:tc>
        <w:tc>
          <w:tcPr>
            <w:tcW w:w="751" w:type="dxa"/>
            <w:vAlign w:val="top"/>
          </w:tcPr>
          <w:p>
            <w:pPr>
              <w:rPr>
                <w:rFonts w:ascii="Arial"/>
                <w:sz w:val="21"/>
              </w:rPr>
            </w:pPr>
          </w:p>
        </w:tc>
        <w:tc>
          <w:tcPr>
            <w:tcW w:w="751" w:type="dxa"/>
            <w:vAlign w:val="top"/>
          </w:tcPr>
          <w:p>
            <w:pPr>
              <w:rPr>
                <w:rFonts w:ascii="Arial"/>
                <w:sz w:val="21"/>
              </w:rPr>
            </w:pPr>
          </w:p>
        </w:tc>
        <w:tc>
          <w:tcPr>
            <w:tcW w:w="590" w:type="dxa"/>
            <w:vAlign w:val="top"/>
          </w:tcPr>
          <w:p>
            <w:pPr>
              <w:rPr>
                <w:rFonts w:ascii="Arial"/>
                <w:sz w:val="21"/>
              </w:rPr>
            </w:pPr>
          </w:p>
        </w:tc>
        <w:tc>
          <w:tcPr>
            <w:tcW w:w="590" w:type="dxa"/>
            <w:vAlign w:val="top"/>
          </w:tcPr>
          <w:p>
            <w:pPr>
              <w:rPr>
                <w:rFonts w:ascii="Arial"/>
                <w:sz w:val="21"/>
              </w:rPr>
            </w:pPr>
          </w:p>
        </w:tc>
        <w:tc>
          <w:tcPr>
            <w:tcW w:w="748" w:type="dxa"/>
            <w:vAlign w:val="top"/>
          </w:tcPr>
          <w:p>
            <w:pPr>
              <w:rPr>
                <w:rFonts w:ascii="Arial"/>
                <w:sz w:val="21"/>
              </w:rPr>
            </w:pPr>
          </w:p>
        </w:tc>
        <w:tc>
          <w:tcPr>
            <w:tcW w:w="75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754"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8" w:line="312" w:lineRule="exact"/>
              <w:ind w:left="172"/>
            </w:pPr>
            <w:r>
              <w:rPr>
                <w:spacing w:val="-2"/>
                <w:position w:val="7"/>
              </w:rPr>
              <w:t>生态</w:t>
            </w:r>
          </w:p>
          <w:p>
            <w:pPr>
              <w:pStyle w:val="6"/>
              <w:spacing w:line="221" w:lineRule="auto"/>
              <w:ind w:left="171"/>
            </w:pPr>
            <w:r>
              <w:rPr>
                <w:spacing w:val="-2"/>
              </w:rPr>
              <w:t>环境</w:t>
            </w:r>
          </w:p>
        </w:tc>
        <w:tc>
          <w:tcPr>
            <w:tcW w:w="828" w:type="dxa"/>
            <w:vAlign w:val="top"/>
          </w:tcPr>
          <w:p>
            <w:pPr>
              <w:pStyle w:val="6"/>
              <w:spacing w:before="78" w:line="321" w:lineRule="exact"/>
              <w:ind w:left="218"/>
            </w:pPr>
            <w:r>
              <w:rPr>
                <w:spacing w:val="-5"/>
                <w:position w:val="7"/>
              </w:rPr>
              <w:t>陆生</w:t>
            </w:r>
          </w:p>
          <w:p>
            <w:pPr>
              <w:pStyle w:val="6"/>
              <w:spacing w:line="206" w:lineRule="auto"/>
              <w:ind w:left="208"/>
            </w:pPr>
            <w:r>
              <w:rPr>
                <w:spacing w:val="-2"/>
              </w:rPr>
              <w:t>植被</w:t>
            </w:r>
          </w:p>
        </w:tc>
        <w:tc>
          <w:tcPr>
            <w:tcW w:w="590" w:type="dxa"/>
            <w:vAlign w:val="top"/>
          </w:tcPr>
          <w:p>
            <w:pPr>
              <w:spacing w:before="254" w:line="236"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49" w:type="dxa"/>
            <w:vAlign w:val="top"/>
          </w:tcPr>
          <w:p>
            <w:pPr>
              <w:rPr>
                <w:rFonts w:ascii="Arial"/>
                <w:sz w:val="21"/>
              </w:rPr>
            </w:pPr>
          </w:p>
        </w:tc>
        <w:tc>
          <w:tcPr>
            <w:tcW w:w="2520" w:type="dxa"/>
            <w:vAlign w:val="top"/>
          </w:tcPr>
          <w:p>
            <w:pPr>
              <w:spacing w:before="255" w:line="251" w:lineRule="exact"/>
              <w:ind w:left="1209"/>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55" w:line="251"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8" w:type="dxa"/>
            <w:vAlign w:val="top"/>
          </w:tcPr>
          <w:p>
            <w:pPr>
              <w:rPr>
                <w:rFonts w:ascii="Arial"/>
                <w:sz w:val="21"/>
              </w:rPr>
            </w:pPr>
          </w:p>
        </w:tc>
        <w:tc>
          <w:tcPr>
            <w:tcW w:w="751" w:type="dxa"/>
            <w:vAlign w:val="top"/>
          </w:tcPr>
          <w:p>
            <w:pPr>
              <w:spacing w:before="255"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spacing w:before="255"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912" w:type="dxa"/>
            <w:vAlign w:val="top"/>
          </w:tcPr>
          <w:p>
            <w:pPr>
              <w:spacing w:before="255" w:line="251" w:lineRule="exact"/>
              <w:ind w:left="406"/>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spacing w:before="255"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55"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54" w:line="236"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0" w:type="dxa"/>
            <w:vAlign w:val="top"/>
          </w:tcPr>
          <w:p>
            <w:pPr>
              <w:spacing w:before="254" w:line="236"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0" w:type="dxa"/>
            <w:vAlign w:val="top"/>
          </w:tcPr>
          <w:p>
            <w:pPr>
              <w:spacing w:before="254" w:line="236"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48" w:type="dxa"/>
            <w:vAlign w:val="top"/>
          </w:tcPr>
          <w:p>
            <w:pPr>
              <w:spacing w:before="255" w:line="251" w:lineRule="exact"/>
              <w:ind w:left="326"/>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6" w:type="dxa"/>
            <w:vAlign w:val="top"/>
          </w:tcPr>
          <w:p>
            <w:pPr>
              <w:spacing w:before="254" w:line="236" w:lineRule="auto"/>
              <w:ind w:left="3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754" w:type="dxa"/>
            <w:vMerge w:val="continue"/>
            <w:tcBorders>
              <w:top w:val="nil"/>
              <w:bottom w:val="nil"/>
            </w:tcBorders>
            <w:vAlign w:val="top"/>
          </w:tcPr>
          <w:p>
            <w:pPr>
              <w:rPr>
                <w:rFonts w:ascii="Arial"/>
                <w:sz w:val="21"/>
              </w:rPr>
            </w:pPr>
          </w:p>
        </w:tc>
        <w:tc>
          <w:tcPr>
            <w:tcW w:w="828" w:type="dxa"/>
            <w:vAlign w:val="top"/>
          </w:tcPr>
          <w:p>
            <w:pPr>
              <w:pStyle w:val="6"/>
              <w:spacing w:before="78" w:line="322" w:lineRule="exact"/>
              <w:ind w:left="218"/>
            </w:pPr>
            <w:r>
              <w:rPr>
                <w:spacing w:val="-5"/>
                <w:position w:val="7"/>
              </w:rPr>
              <w:t>陆生</w:t>
            </w:r>
          </w:p>
          <w:p>
            <w:pPr>
              <w:pStyle w:val="6"/>
              <w:spacing w:line="206" w:lineRule="auto"/>
              <w:ind w:left="208"/>
            </w:pPr>
            <w:r>
              <w:rPr>
                <w:spacing w:val="-2"/>
              </w:rPr>
              <w:t>动物</w:t>
            </w:r>
          </w:p>
        </w:tc>
        <w:tc>
          <w:tcPr>
            <w:tcW w:w="590" w:type="dxa"/>
            <w:vAlign w:val="top"/>
          </w:tcPr>
          <w:p>
            <w:pPr>
              <w:spacing w:before="255" w:line="236"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49" w:type="dxa"/>
            <w:vAlign w:val="top"/>
          </w:tcPr>
          <w:p>
            <w:pPr>
              <w:rPr>
                <w:rFonts w:ascii="Arial"/>
                <w:sz w:val="21"/>
              </w:rPr>
            </w:pPr>
          </w:p>
        </w:tc>
        <w:tc>
          <w:tcPr>
            <w:tcW w:w="2520" w:type="dxa"/>
            <w:vAlign w:val="top"/>
          </w:tcPr>
          <w:p>
            <w:pPr>
              <w:spacing w:before="255" w:line="251" w:lineRule="exact"/>
              <w:ind w:left="1209"/>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55" w:line="251"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8" w:type="dxa"/>
            <w:vAlign w:val="top"/>
          </w:tcPr>
          <w:p>
            <w:pPr>
              <w:spacing w:before="255" w:line="251"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55"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spacing w:before="255"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912" w:type="dxa"/>
            <w:vAlign w:val="top"/>
          </w:tcPr>
          <w:p>
            <w:pPr>
              <w:spacing w:before="255" w:line="251" w:lineRule="exact"/>
              <w:ind w:left="406"/>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spacing w:before="255"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55"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55" w:line="236"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0" w:type="dxa"/>
            <w:vAlign w:val="top"/>
          </w:tcPr>
          <w:p>
            <w:pPr>
              <w:spacing w:before="255" w:line="236"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0" w:type="dxa"/>
            <w:vAlign w:val="top"/>
          </w:tcPr>
          <w:p>
            <w:pPr>
              <w:spacing w:before="255" w:line="236"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48" w:type="dxa"/>
            <w:vAlign w:val="top"/>
          </w:tcPr>
          <w:p>
            <w:pPr>
              <w:spacing w:before="255" w:line="251" w:lineRule="exact"/>
              <w:ind w:left="326"/>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6" w:type="dxa"/>
            <w:vAlign w:val="top"/>
          </w:tcPr>
          <w:p>
            <w:pPr>
              <w:spacing w:before="255" w:line="236" w:lineRule="auto"/>
              <w:ind w:left="3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754" w:type="dxa"/>
            <w:vMerge w:val="continue"/>
            <w:tcBorders>
              <w:top w:val="nil"/>
              <w:bottom w:val="nil"/>
            </w:tcBorders>
            <w:vAlign w:val="top"/>
          </w:tcPr>
          <w:p>
            <w:pPr>
              <w:rPr>
                <w:rFonts w:ascii="Arial"/>
                <w:sz w:val="21"/>
              </w:rPr>
            </w:pPr>
          </w:p>
        </w:tc>
        <w:tc>
          <w:tcPr>
            <w:tcW w:w="828" w:type="dxa"/>
            <w:vAlign w:val="top"/>
          </w:tcPr>
          <w:p>
            <w:pPr>
              <w:pStyle w:val="6"/>
              <w:spacing w:before="79" w:line="319" w:lineRule="exact"/>
              <w:ind w:left="209"/>
            </w:pPr>
            <w:r>
              <w:rPr>
                <w:spacing w:val="-3"/>
                <w:position w:val="8"/>
              </w:rPr>
              <w:t>水土</w:t>
            </w:r>
          </w:p>
          <w:p>
            <w:pPr>
              <w:pStyle w:val="6"/>
              <w:spacing w:line="207" w:lineRule="auto"/>
              <w:ind w:left="208"/>
            </w:pPr>
            <w:r>
              <w:rPr>
                <w:spacing w:val="-2"/>
              </w:rPr>
              <w:t>流失</w:t>
            </w:r>
          </w:p>
        </w:tc>
        <w:tc>
          <w:tcPr>
            <w:tcW w:w="590" w:type="dxa"/>
            <w:vAlign w:val="top"/>
          </w:tcPr>
          <w:p>
            <w:pPr>
              <w:spacing w:before="253" w:line="236"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49" w:type="dxa"/>
            <w:vAlign w:val="top"/>
          </w:tcPr>
          <w:p>
            <w:pPr>
              <w:spacing w:before="253" w:line="251"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2520" w:type="dxa"/>
            <w:vAlign w:val="top"/>
          </w:tcPr>
          <w:p>
            <w:pPr>
              <w:spacing w:before="253" w:line="251" w:lineRule="exact"/>
              <w:ind w:left="1209"/>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53" w:line="251"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8" w:type="dxa"/>
            <w:vAlign w:val="top"/>
          </w:tcPr>
          <w:p>
            <w:pPr>
              <w:rPr>
                <w:rFonts w:ascii="Arial"/>
                <w:sz w:val="21"/>
              </w:rPr>
            </w:pPr>
          </w:p>
        </w:tc>
        <w:tc>
          <w:tcPr>
            <w:tcW w:w="751" w:type="dxa"/>
            <w:vAlign w:val="top"/>
          </w:tcPr>
          <w:p>
            <w:pPr>
              <w:spacing w:before="253"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spacing w:before="253"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912" w:type="dxa"/>
            <w:vAlign w:val="top"/>
          </w:tcPr>
          <w:p>
            <w:pPr>
              <w:spacing w:before="253" w:line="251" w:lineRule="exact"/>
              <w:ind w:left="406"/>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rPr>
                <w:rFonts w:ascii="Arial"/>
                <w:sz w:val="21"/>
              </w:rPr>
            </w:pPr>
          </w:p>
        </w:tc>
        <w:tc>
          <w:tcPr>
            <w:tcW w:w="751" w:type="dxa"/>
            <w:vAlign w:val="top"/>
          </w:tcPr>
          <w:p>
            <w:pPr>
              <w:spacing w:before="253"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53" w:line="236"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0" w:type="dxa"/>
            <w:vAlign w:val="top"/>
          </w:tcPr>
          <w:p>
            <w:pPr>
              <w:spacing w:before="253" w:line="236"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0" w:type="dxa"/>
            <w:vAlign w:val="top"/>
          </w:tcPr>
          <w:p>
            <w:pPr>
              <w:spacing w:before="253" w:line="236"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48" w:type="dxa"/>
            <w:vAlign w:val="top"/>
          </w:tcPr>
          <w:p>
            <w:pPr>
              <w:spacing w:before="253" w:line="251" w:lineRule="exact"/>
              <w:ind w:left="326"/>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6" w:type="dxa"/>
            <w:vAlign w:val="top"/>
          </w:tcPr>
          <w:p>
            <w:pPr>
              <w:spacing w:before="253" w:line="236" w:lineRule="auto"/>
              <w:ind w:left="3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54" w:type="dxa"/>
            <w:vMerge w:val="continue"/>
            <w:tcBorders>
              <w:top w:val="nil"/>
            </w:tcBorders>
            <w:vAlign w:val="top"/>
          </w:tcPr>
          <w:p>
            <w:pPr>
              <w:rPr>
                <w:rFonts w:ascii="Arial"/>
                <w:sz w:val="21"/>
              </w:rPr>
            </w:pPr>
          </w:p>
        </w:tc>
        <w:tc>
          <w:tcPr>
            <w:tcW w:w="828" w:type="dxa"/>
            <w:vAlign w:val="top"/>
          </w:tcPr>
          <w:p>
            <w:pPr>
              <w:pStyle w:val="6"/>
              <w:spacing w:before="80" w:line="319" w:lineRule="exact"/>
              <w:ind w:left="209"/>
            </w:pPr>
            <w:r>
              <w:rPr>
                <w:spacing w:val="-3"/>
                <w:position w:val="7"/>
              </w:rPr>
              <w:t>水生</w:t>
            </w:r>
          </w:p>
          <w:p>
            <w:pPr>
              <w:pStyle w:val="6"/>
              <w:spacing w:line="211" w:lineRule="auto"/>
              <w:ind w:left="208"/>
            </w:pPr>
            <w:r>
              <w:rPr>
                <w:spacing w:val="-2"/>
              </w:rPr>
              <w:t>生态</w:t>
            </w:r>
          </w:p>
        </w:tc>
        <w:tc>
          <w:tcPr>
            <w:tcW w:w="590" w:type="dxa"/>
            <w:vAlign w:val="top"/>
          </w:tcPr>
          <w:p>
            <w:pPr>
              <w:spacing w:before="254" w:line="236"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49" w:type="dxa"/>
            <w:vAlign w:val="top"/>
          </w:tcPr>
          <w:p>
            <w:pPr>
              <w:rPr>
                <w:rFonts w:ascii="Arial"/>
                <w:sz w:val="21"/>
              </w:rPr>
            </w:pPr>
          </w:p>
        </w:tc>
        <w:tc>
          <w:tcPr>
            <w:tcW w:w="2520" w:type="dxa"/>
            <w:vAlign w:val="top"/>
          </w:tcPr>
          <w:p>
            <w:pPr>
              <w:rPr>
                <w:rFonts w:ascii="Arial"/>
                <w:sz w:val="21"/>
              </w:rPr>
            </w:pPr>
          </w:p>
        </w:tc>
        <w:tc>
          <w:tcPr>
            <w:tcW w:w="751" w:type="dxa"/>
            <w:vAlign w:val="top"/>
          </w:tcPr>
          <w:p>
            <w:pPr>
              <w:spacing w:before="254" w:line="251" w:lineRule="exact"/>
              <w:ind w:left="323"/>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8" w:type="dxa"/>
            <w:vAlign w:val="top"/>
          </w:tcPr>
          <w:p>
            <w:pPr>
              <w:rPr>
                <w:rFonts w:ascii="Arial"/>
                <w:sz w:val="21"/>
              </w:rPr>
            </w:pPr>
          </w:p>
        </w:tc>
        <w:tc>
          <w:tcPr>
            <w:tcW w:w="751" w:type="dxa"/>
            <w:vAlign w:val="top"/>
          </w:tcPr>
          <w:p>
            <w:pPr>
              <w:spacing w:before="254"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spacing w:before="254"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912" w:type="dxa"/>
            <w:vAlign w:val="top"/>
          </w:tcPr>
          <w:p>
            <w:pPr>
              <w:spacing w:before="254" w:line="251" w:lineRule="exact"/>
              <w:ind w:left="406"/>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49" w:type="dxa"/>
            <w:vAlign w:val="top"/>
          </w:tcPr>
          <w:p>
            <w:pPr>
              <w:rPr>
                <w:rFonts w:ascii="Arial"/>
                <w:sz w:val="21"/>
              </w:rPr>
            </w:pPr>
          </w:p>
        </w:tc>
        <w:tc>
          <w:tcPr>
            <w:tcW w:w="751" w:type="dxa"/>
            <w:vAlign w:val="top"/>
          </w:tcPr>
          <w:p>
            <w:pPr>
              <w:spacing w:before="254" w:line="251" w:lineRule="exact"/>
              <w:ind w:left="32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1" w:type="dxa"/>
            <w:vAlign w:val="top"/>
          </w:tcPr>
          <w:p>
            <w:pPr>
              <w:spacing w:before="254" w:line="236"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0" w:type="dxa"/>
            <w:vAlign w:val="top"/>
          </w:tcPr>
          <w:p>
            <w:pPr>
              <w:spacing w:before="254" w:line="236"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0" w:type="dxa"/>
            <w:vAlign w:val="top"/>
          </w:tcPr>
          <w:p>
            <w:pPr>
              <w:spacing w:before="254" w:line="236"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48" w:type="dxa"/>
            <w:vAlign w:val="top"/>
          </w:tcPr>
          <w:p>
            <w:pPr>
              <w:spacing w:before="254" w:line="251" w:lineRule="exact"/>
              <w:ind w:left="326"/>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56" w:type="dxa"/>
            <w:vAlign w:val="top"/>
          </w:tcPr>
          <w:p>
            <w:pPr>
              <w:spacing w:before="254" w:line="236" w:lineRule="auto"/>
              <w:ind w:left="3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spacing w:before="47" w:line="191" w:lineRule="auto"/>
        <w:ind w:left="121"/>
        <w:rPr>
          <w:rFonts w:ascii="微软雅黑" w:hAnsi="微软雅黑" w:eastAsia="微软雅黑" w:cs="微软雅黑"/>
          <w:sz w:val="21"/>
          <w:szCs w:val="21"/>
        </w:rPr>
      </w:pPr>
      <w:r>
        <w:rPr>
          <w:rFonts w:ascii="微软雅黑" w:hAnsi="微软雅黑" w:eastAsia="微软雅黑" w:cs="微软雅黑"/>
          <w:spacing w:val="-6"/>
          <w:sz w:val="21"/>
          <w:szCs w:val="21"/>
        </w:rPr>
        <w:t>注：</w:t>
      </w:r>
      <w:r>
        <w:rPr>
          <w:rFonts w:ascii="微软雅黑" w:hAnsi="微软雅黑" w:eastAsia="微软雅黑" w:cs="微软雅黑"/>
          <w:spacing w:val="29"/>
          <w:w w:val="101"/>
          <w:sz w:val="21"/>
          <w:szCs w:val="21"/>
        </w:rPr>
        <w:t xml:space="preserve"> </w:t>
      </w:r>
      <w:r>
        <w:rPr>
          <w:rFonts w:ascii="Times New Roman" w:hAnsi="Times New Roman" w:eastAsia="Times New Roman" w:cs="Times New Roman"/>
          <w:spacing w:val="-6"/>
          <w:sz w:val="21"/>
          <w:szCs w:val="21"/>
        </w:rPr>
        <w:t>□</w:t>
      </w:r>
      <w:r>
        <w:rPr>
          <w:rFonts w:ascii="微软雅黑" w:hAnsi="微软雅黑" w:eastAsia="微软雅黑" w:cs="微软雅黑"/>
          <w:spacing w:val="-6"/>
          <w:sz w:val="21"/>
          <w:szCs w:val="21"/>
        </w:rPr>
        <w:t>长期有利影响；</w:t>
      </w:r>
      <w:r>
        <w:rPr>
          <w:rFonts w:ascii="微软雅黑" w:hAnsi="微软雅黑" w:eastAsia="微软雅黑" w:cs="微软雅黑"/>
          <w:spacing w:val="-31"/>
          <w:sz w:val="21"/>
          <w:szCs w:val="21"/>
        </w:rPr>
        <w:t xml:space="preserve"> </w:t>
      </w:r>
      <w:r>
        <w:rPr>
          <w:rFonts w:ascii="Times New Roman" w:hAnsi="Times New Roman" w:eastAsia="Times New Roman" w:cs="Times New Roman"/>
          <w:spacing w:val="-6"/>
          <w:sz w:val="21"/>
          <w:szCs w:val="21"/>
        </w:rPr>
        <w:t>○</w:t>
      </w:r>
      <w:r>
        <w:rPr>
          <w:rFonts w:ascii="微软雅黑" w:hAnsi="微软雅黑" w:eastAsia="微软雅黑" w:cs="微软雅黑"/>
          <w:spacing w:val="-6"/>
          <w:sz w:val="21"/>
          <w:szCs w:val="21"/>
        </w:rPr>
        <w:t>短期有利影响；</w:t>
      </w:r>
      <w:r>
        <w:rPr>
          <w:rFonts w:ascii="微软雅黑" w:hAnsi="微软雅黑" w:eastAsia="微软雅黑" w:cs="微软雅黑"/>
          <w:spacing w:val="-34"/>
          <w:sz w:val="21"/>
          <w:szCs w:val="21"/>
        </w:rPr>
        <w:t xml:space="preserve"> </w:t>
      </w:r>
      <w:r>
        <w:rPr>
          <w:rFonts w:ascii="Times New Roman" w:hAnsi="Times New Roman" w:eastAsia="Times New Roman" w:cs="Times New Roman"/>
          <w:spacing w:val="-6"/>
          <w:sz w:val="21"/>
          <w:szCs w:val="21"/>
        </w:rPr>
        <w:t>■</w:t>
      </w:r>
      <w:r>
        <w:rPr>
          <w:rFonts w:ascii="微软雅黑" w:hAnsi="微软雅黑" w:eastAsia="微软雅黑" w:cs="微软雅黑"/>
          <w:spacing w:val="-6"/>
          <w:sz w:val="21"/>
          <w:szCs w:val="21"/>
        </w:rPr>
        <w:t>长期不利影响；</w:t>
      </w:r>
      <w:r>
        <w:rPr>
          <w:rFonts w:ascii="微软雅黑" w:hAnsi="微软雅黑" w:eastAsia="微软雅黑" w:cs="微软雅黑"/>
          <w:spacing w:val="35"/>
          <w:sz w:val="21"/>
          <w:szCs w:val="21"/>
        </w:rPr>
        <w:t xml:space="preserve"> </w:t>
      </w:r>
      <w:r>
        <w:rPr>
          <w:rFonts w:ascii="Times New Roman" w:hAnsi="Times New Roman" w:eastAsia="Times New Roman" w:cs="Times New Roman"/>
          <w:spacing w:val="-6"/>
          <w:sz w:val="21"/>
          <w:szCs w:val="21"/>
        </w:rPr>
        <w:t>●</w:t>
      </w:r>
      <w:r>
        <w:rPr>
          <w:rFonts w:ascii="微软雅黑" w:hAnsi="微软雅黑" w:eastAsia="微软雅黑" w:cs="微软雅黑"/>
          <w:spacing w:val="-6"/>
          <w:sz w:val="21"/>
          <w:szCs w:val="21"/>
        </w:rPr>
        <w:t>短期不利影响；空白：无相互</w:t>
      </w:r>
      <w:r>
        <w:rPr>
          <w:rFonts w:ascii="微软雅黑" w:hAnsi="微软雅黑" w:eastAsia="微软雅黑" w:cs="微软雅黑"/>
          <w:spacing w:val="-7"/>
          <w:sz w:val="21"/>
          <w:szCs w:val="21"/>
        </w:rPr>
        <w:t>作用</w:t>
      </w:r>
    </w:p>
    <w:p>
      <w:pPr>
        <w:spacing w:line="191" w:lineRule="auto"/>
        <w:rPr>
          <w:rFonts w:ascii="微软雅黑" w:hAnsi="微软雅黑" w:eastAsia="微软雅黑" w:cs="微软雅黑"/>
          <w:sz w:val="21"/>
          <w:szCs w:val="21"/>
        </w:rPr>
        <w:sectPr>
          <w:headerReference r:id="rId154" w:type="default"/>
          <w:footerReference r:id="rId155" w:type="default"/>
          <w:pgSz w:w="16839" w:h="11907"/>
          <w:pgMar w:top="1118" w:right="1219" w:bottom="1184" w:left="1327" w:header="879" w:footer="1024" w:gutter="0"/>
          <w:cols w:space="720" w:num="1"/>
        </w:sectPr>
      </w:pPr>
    </w:p>
    <w:p>
      <w:pPr>
        <w:pStyle w:val="2"/>
        <w:spacing w:line="277" w:lineRule="auto"/>
      </w:pPr>
    </w:p>
    <w:p>
      <w:pPr>
        <w:spacing w:before="78" w:line="220" w:lineRule="auto"/>
        <w:ind w:left="234"/>
        <w:outlineLvl w:val="1"/>
        <w:rPr>
          <w:rFonts w:ascii="宋体" w:hAnsi="宋体" w:eastAsia="宋体" w:cs="宋体"/>
          <w:sz w:val="24"/>
          <w:szCs w:val="24"/>
        </w:rPr>
      </w:pPr>
      <w:r>
        <w:rPr>
          <w:rFonts w:ascii="Times New Roman" w:hAnsi="Times New Roman" w:eastAsia="Times New Roman" w:cs="Times New Roman"/>
          <w:b/>
          <w:bCs/>
          <w:sz w:val="24"/>
          <w:szCs w:val="24"/>
        </w:rPr>
        <w:t xml:space="preserve">3.8.2 </w:t>
      </w:r>
      <w:r>
        <w:rPr>
          <w:rFonts w:ascii="宋体" w:hAnsi="宋体" w:eastAsia="宋体" w:cs="宋体"/>
          <w:sz w:val="24"/>
          <w:szCs w:val="24"/>
          <w14:textOutline w14:w="4354" w14:cap="flat" w14:cmpd="sng">
            <w14:solidFill>
              <w14:srgbClr w14:val="000000"/>
            </w14:solidFill>
            <w14:prstDash w14:val="solid"/>
            <w14:miter w14:val="0"/>
          </w14:textOutline>
        </w:rPr>
        <w:t>污染源强核算</w:t>
      </w:r>
    </w:p>
    <w:p>
      <w:pPr>
        <w:spacing w:before="182" w:line="466" w:lineRule="exact"/>
        <w:ind w:left="240"/>
        <w:rPr>
          <w:rFonts w:ascii="宋体" w:hAnsi="宋体" w:eastAsia="宋体" w:cs="宋体"/>
          <w:sz w:val="24"/>
          <w:szCs w:val="24"/>
        </w:rPr>
      </w:pPr>
      <w:r>
        <w:fldChar w:fldCharType="begin"/>
      </w:r>
      <w:r>
        <w:instrText xml:space="preserve"> HYPERLINK "3.8.2.1" </w:instrText>
      </w:r>
      <w:r>
        <w:fldChar w:fldCharType="separate"/>
      </w:r>
      <w:r>
        <w:rPr>
          <w:rFonts w:ascii="Times New Roman" w:hAnsi="Times New Roman" w:eastAsia="Times New Roman" w:cs="Times New Roman"/>
          <w:spacing w:val="-1"/>
          <w:position w:val="17"/>
          <w:sz w:val="24"/>
          <w:szCs w:val="24"/>
        </w:rPr>
        <w:t>3.8.2.1</w:t>
      </w:r>
      <w:r>
        <w:rPr>
          <w:rFonts w:ascii="Times New Roman" w:hAnsi="Times New Roman" w:eastAsia="Times New Roman" w:cs="Times New Roman"/>
          <w:spacing w:val="-1"/>
          <w:position w:val="17"/>
          <w:sz w:val="24"/>
          <w:szCs w:val="24"/>
        </w:rPr>
        <w:fldChar w:fldCharType="end"/>
      </w:r>
      <w:r>
        <w:rPr>
          <w:rFonts w:ascii="Times New Roman" w:hAnsi="Times New Roman" w:eastAsia="Times New Roman" w:cs="Times New Roman"/>
          <w:spacing w:val="-1"/>
          <w:position w:val="17"/>
          <w:sz w:val="24"/>
          <w:szCs w:val="24"/>
        </w:rPr>
        <w:t xml:space="preserve"> </w:t>
      </w:r>
      <w:r>
        <w:rPr>
          <w:rFonts w:ascii="宋体" w:hAnsi="宋体" w:eastAsia="宋体" w:cs="宋体"/>
          <w:spacing w:val="-1"/>
          <w:position w:val="17"/>
          <w:sz w:val="24"/>
          <w:szCs w:val="24"/>
        </w:rPr>
        <w:t>施工期</w:t>
      </w:r>
    </w:p>
    <w:p>
      <w:pPr>
        <w:spacing w:line="220" w:lineRule="auto"/>
        <w:ind w:left="738"/>
        <w:rPr>
          <w:rFonts w:ascii="宋体" w:hAnsi="宋体" w:eastAsia="宋体" w:cs="宋体"/>
          <w:sz w:val="24"/>
          <w:szCs w:val="24"/>
        </w:rPr>
      </w:pPr>
      <w:r>
        <w:rPr>
          <w:rFonts w:ascii="Times New Roman" w:hAnsi="Times New Roman" w:eastAsia="Times New Roman" w:cs="Times New Roman"/>
          <w:spacing w:val="-10"/>
          <w:sz w:val="24"/>
          <w:szCs w:val="24"/>
        </w:rPr>
        <w:t>1</w:t>
      </w:r>
      <w:r>
        <w:rPr>
          <w:rFonts w:ascii="宋体" w:hAnsi="宋体" w:eastAsia="宋体" w:cs="宋体"/>
          <w:spacing w:val="-10"/>
          <w:sz w:val="24"/>
          <w:szCs w:val="24"/>
        </w:rPr>
        <w:t>、噪声</w:t>
      </w:r>
    </w:p>
    <w:p>
      <w:pPr>
        <w:spacing w:before="181" w:line="220" w:lineRule="auto"/>
        <w:ind w:left="72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）一般路段</w:t>
      </w:r>
    </w:p>
    <w:p>
      <w:pPr>
        <w:spacing w:before="180" w:line="468" w:lineRule="exact"/>
        <w:ind w:left="727"/>
        <w:rPr>
          <w:rFonts w:ascii="宋体" w:hAnsi="宋体" w:eastAsia="宋体" w:cs="宋体"/>
          <w:sz w:val="24"/>
          <w:szCs w:val="24"/>
        </w:rPr>
      </w:pPr>
      <w:r>
        <w:rPr>
          <w:rFonts w:ascii="宋体" w:hAnsi="宋体" w:eastAsia="宋体" w:cs="宋体"/>
          <w:spacing w:val="-7"/>
          <w:position w:val="17"/>
          <w:sz w:val="24"/>
          <w:szCs w:val="24"/>
        </w:rPr>
        <w:t>公路的施工噪声主要来自各种筑路设备的机械噪声， 其特点具有间歇性、高</w:t>
      </w:r>
    </w:p>
    <w:p>
      <w:pPr>
        <w:spacing w:before="1" w:line="218" w:lineRule="auto"/>
        <w:ind w:left="245"/>
        <w:rPr>
          <w:rFonts w:ascii="宋体" w:hAnsi="宋体" w:eastAsia="宋体" w:cs="宋体"/>
          <w:sz w:val="24"/>
          <w:szCs w:val="24"/>
        </w:rPr>
      </w:pPr>
      <w:r>
        <w:rPr>
          <w:rFonts w:ascii="宋体" w:hAnsi="宋体" w:eastAsia="宋体" w:cs="宋体"/>
          <w:spacing w:val="-1"/>
          <w:sz w:val="24"/>
          <w:szCs w:val="24"/>
        </w:rPr>
        <w:t>强度和不固定性。主要施工机械的噪声级如表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3.8-2</w:t>
      </w:r>
      <w:r>
        <w:rPr>
          <w:rFonts w:ascii="宋体" w:hAnsi="宋体" w:eastAsia="宋体" w:cs="宋体"/>
          <w:spacing w:val="-1"/>
          <w:sz w:val="24"/>
          <w:szCs w:val="24"/>
        </w:rPr>
        <w:t>。</w:t>
      </w:r>
    </w:p>
    <w:p>
      <w:pPr>
        <w:spacing w:before="180" w:line="219" w:lineRule="auto"/>
        <w:ind w:left="1124"/>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 xml:space="preserve">3.8-2        </w:t>
      </w:r>
      <w:r>
        <w:rPr>
          <w:rFonts w:ascii="宋体" w:hAnsi="宋体" w:eastAsia="宋体" w:cs="宋体"/>
          <w:spacing w:val="-4"/>
          <w:sz w:val="24"/>
          <w:szCs w:val="24"/>
        </w:rPr>
        <w:t xml:space="preserve">主要施工机械设备的噪声源强（单位： </w:t>
      </w:r>
      <w:r>
        <w:rPr>
          <w:rFonts w:ascii="Times New Roman" w:hAnsi="Times New Roman" w:eastAsia="Times New Roman" w:cs="Times New Roman"/>
          <w:spacing w:val="-4"/>
          <w:sz w:val="24"/>
          <w:szCs w:val="24"/>
        </w:rPr>
        <w:t>dB</w:t>
      </w:r>
      <w:r>
        <w:rPr>
          <w:rFonts w:ascii="宋体" w:hAnsi="宋体" w:eastAsia="宋体" w:cs="宋体"/>
          <w:spacing w:val="-4"/>
          <w:sz w:val="24"/>
          <w:szCs w:val="24"/>
        </w:rPr>
        <w:t>（</w:t>
      </w:r>
      <w:r>
        <w:rPr>
          <w:rFonts w:ascii="Times New Roman" w:hAnsi="Times New Roman" w:eastAsia="Times New Roman" w:cs="Times New Roman"/>
          <w:spacing w:val="-4"/>
          <w:sz w:val="24"/>
          <w:szCs w:val="24"/>
        </w:rPr>
        <w:t>A</w:t>
      </w:r>
      <w:r>
        <w:rPr>
          <w:rFonts w:ascii="宋体" w:hAnsi="宋体" w:eastAsia="宋体" w:cs="宋体"/>
          <w:spacing w:val="-1"/>
          <w:sz w:val="24"/>
          <w:szCs w:val="24"/>
        </w:rPr>
        <w:t>））</w:t>
      </w:r>
    </w:p>
    <w:p>
      <w:pPr>
        <w:spacing w:line="147" w:lineRule="exact"/>
      </w:pPr>
    </w:p>
    <w:tbl>
      <w:tblPr>
        <w:tblStyle w:val="5"/>
        <w:tblW w:w="87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1627"/>
        <w:gridCol w:w="1557"/>
        <w:gridCol w:w="629"/>
        <w:gridCol w:w="1477"/>
        <w:gridCol w:w="1658"/>
        <w:gridCol w:w="11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669" w:type="dxa"/>
            <w:vAlign w:val="top"/>
          </w:tcPr>
          <w:p>
            <w:pPr>
              <w:pStyle w:val="6"/>
              <w:spacing w:before="306" w:line="222" w:lineRule="auto"/>
              <w:ind w:left="129"/>
            </w:pPr>
            <w:r>
              <w:rPr>
                <w:spacing w:val="-2"/>
              </w:rPr>
              <w:t>序号</w:t>
            </w:r>
          </w:p>
        </w:tc>
        <w:tc>
          <w:tcPr>
            <w:tcW w:w="1627" w:type="dxa"/>
            <w:vAlign w:val="top"/>
          </w:tcPr>
          <w:p>
            <w:pPr>
              <w:pStyle w:val="6"/>
              <w:spacing w:before="306" w:line="220" w:lineRule="auto"/>
              <w:ind w:left="396"/>
            </w:pPr>
            <w:r>
              <w:rPr>
                <w:spacing w:val="-1"/>
              </w:rPr>
              <w:t>机械名称</w:t>
            </w:r>
          </w:p>
        </w:tc>
        <w:tc>
          <w:tcPr>
            <w:tcW w:w="1557" w:type="dxa"/>
            <w:vAlign w:val="top"/>
          </w:tcPr>
          <w:p>
            <w:pPr>
              <w:pStyle w:val="6"/>
              <w:spacing w:before="306" w:line="222" w:lineRule="auto"/>
              <w:ind w:left="579"/>
            </w:pPr>
            <w:r>
              <w:rPr>
                <w:spacing w:val="-4"/>
              </w:rPr>
              <w:t>型号</w:t>
            </w:r>
          </w:p>
        </w:tc>
        <w:tc>
          <w:tcPr>
            <w:tcW w:w="629" w:type="dxa"/>
            <w:vAlign w:val="top"/>
          </w:tcPr>
          <w:p>
            <w:pPr>
              <w:pStyle w:val="6"/>
              <w:spacing w:before="34" w:line="229" w:lineRule="auto"/>
              <w:ind w:left="85" w:right="70" w:firstLine="24"/>
              <w:jc w:val="both"/>
            </w:pPr>
            <w:r>
              <w:rPr>
                <w:spacing w:val="-4"/>
              </w:rPr>
              <w:t>数量</w:t>
            </w:r>
            <w:r>
              <w:t xml:space="preserve"> </w:t>
            </w:r>
            <w:r>
              <w:rPr>
                <w:spacing w:val="-4"/>
              </w:rPr>
              <w:t>（台</w:t>
            </w:r>
            <w:r>
              <w:rPr>
                <w:rFonts w:ascii="Times New Roman" w:hAnsi="Times New Roman" w:eastAsia="Times New Roman" w:cs="Times New Roman"/>
                <w:spacing w:val="-4"/>
              </w:rPr>
              <w:t>/</w:t>
            </w:r>
            <w:r>
              <w:rPr>
                <w:rFonts w:ascii="Times New Roman" w:hAnsi="Times New Roman" w:eastAsia="Times New Roman" w:cs="Times New Roman"/>
              </w:rPr>
              <w:t xml:space="preserve"> </w:t>
            </w:r>
            <w:r>
              <w:rPr>
                <w:spacing w:val="1"/>
              </w:rPr>
              <w:t>套）</w:t>
            </w:r>
          </w:p>
        </w:tc>
        <w:tc>
          <w:tcPr>
            <w:tcW w:w="1477" w:type="dxa"/>
            <w:vAlign w:val="top"/>
          </w:tcPr>
          <w:p>
            <w:pPr>
              <w:pStyle w:val="6"/>
              <w:spacing w:before="306" w:line="221" w:lineRule="auto"/>
              <w:ind w:left="268"/>
              <w:rPr>
                <w:rFonts w:ascii="Times New Roman" w:hAnsi="Times New Roman" w:eastAsia="Times New Roman" w:cs="Times New Roman"/>
              </w:rPr>
            </w:pPr>
            <w:r>
              <w:rPr>
                <w:spacing w:val="-2"/>
              </w:rPr>
              <w:t>距声源</w:t>
            </w:r>
            <w:r>
              <w:rPr>
                <w:spacing w:val="-43"/>
              </w:rPr>
              <w:t xml:space="preserve"> </w:t>
            </w:r>
            <w:r>
              <w:rPr>
                <w:rFonts w:ascii="Times New Roman" w:hAnsi="Times New Roman" w:eastAsia="Times New Roman" w:cs="Times New Roman"/>
                <w:spacing w:val="-2"/>
              </w:rPr>
              <w:t>5m</w:t>
            </w:r>
          </w:p>
        </w:tc>
        <w:tc>
          <w:tcPr>
            <w:tcW w:w="1658" w:type="dxa"/>
            <w:vAlign w:val="top"/>
          </w:tcPr>
          <w:p>
            <w:pPr>
              <w:pStyle w:val="6"/>
              <w:spacing w:before="306" w:line="221" w:lineRule="auto"/>
              <w:ind w:left="414"/>
            </w:pPr>
            <w:r>
              <w:rPr>
                <w:spacing w:val="-2"/>
              </w:rPr>
              <w:t>运行方式</w:t>
            </w:r>
          </w:p>
        </w:tc>
        <w:tc>
          <w:tcPr>
            <w:tcW w:w="1146" w:type="dxa"/>
            <w:vAlign w:val="top"/>
          </w:tcPr>
          <w:p>
            <w:pPr>
              <w:pStyle w:val="6"/>
              <w:spacing w:before="306" w:line="221" w:lineRule="auto"/>
              <w:ind w:left="158"/>
            </w:pPr>
            <w:r>
              <w:rPr>
                <w:spacing w:val="-2"/>
              </w:rPr>
              <w:t>运行时间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669" w:type="dxa"/>
            <w:vAlign w:val="top"/>
          </w:tcPr>
          <w:p>
            <w:pPr>
              <w:spacing w:line="279" w:lineRule="auto"/>
              <w:rPr>
                <w:rFonts w:ascii="Arial"/>
                <w:sz w:val="21"/>
              </w:rPr>
            </w:pPr>
          </w:p>
          <w:p>
            <w:pPr>
              <w:spacing w:before="61" w:line="187"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27" w:type="dxa"/>
            <w:vAlign w:val="top"/>
          </w:tcPr>
          <w:p>
            <w:pPr>
              <w:pStyle w:val="6"/>
              <w:spacing w:before="303" w:line="220" w:lineRule="auto"/>
              <w:ind w:left="293"/>
            </w:pPr>
            <w:r>
              <w:rPr>
                <w:spacing w:val="-2"/>
              </w:rPr>
              <w:t>液压挖掘机</w:t>
            </w:r>
          </w:p>
        </w:tc>
        <w:tc>
          <w:tcPr>
            <w:tcW w:w="1557" w:type="dxa"/>
            <w:vAlign w:val="top"/>
          </w:tcPr>
          <w:p>
            <w:pPr>
              <w:pStyle w:val="6"/>
              <w:spacing w:before="67" w:line="210" w:lineRule="auto"/>
              <w:ind w:left="261" w:hanging="205"/>
            </w:pPr>
            <w:r>
              <w:rPr>
                <w:rFonts w:ascii="Times New Roman" w:hAnsi="Times New Roman" w:eastAsia="Times New Roman" w:cs="Times New Roman"/>
                <w:spacing w:val="-14"/>
              </w:rPr>
              <w:t>WY60</w:t>
            </w:r>
            <w:r>
              <w:rPr>
                <w:spacing w:val="-14"/>
              </w:rPr>
              <w:t>，</w:t>
            </w:r>
            <w:r>
              <w:rPr>
                <w:rFonts w:ascii="Times New Roman" w:hAnsi="Times New Roman" w:eastAsia="Times New Roman" w:cs="Times New Roman"/>
                <w:spacing w:val="-14"/>
              </w:rPr>
              <w:t>WY100</w:t>
            </w:r>
            <w:r>
              <w:rPr>
                <w:spacing w:val="-14"/>
              </w:rPr>
              <w:t>，</w:t>
            </w:r>
            <w:r>
              <w:rPr>
                <w:spacing w:val="3"/>
              </w:rPr>
              <w:t xml:space="preserve"> </w:t>
            </w:r>
            <w:r>
              <w:rPr>
                <w:rFonts w:ascii="Times New Roman" w:hAnsi="Times New Roman" w:eastAsia="Times New Roman" w:cs="Times New Roman"/>
                <w:spacing w:val="-1"/>
              </w:rPr>
              <w:t>WY200A</w:t>
            </w:r>
            <w:r>
              <w:rPr>
                <w:spacing w:val="-1"/>
              </w:rPr>
              <w:t>，</w:t>
            </w:r>
          </w:p>
          <w:p>
            <w:pPr>
              <w:pStyle w:val="6"/>
              <w:spacing w:before="28" w:line="210" w:lineRule="auto"/>
              <w:ind w:left="313"/>
            </w:pPr>
            <w:r>
              <w:rPr>
                <w:rFonts w:ascii="Times New Roman" w:hAnsi="Times New Roman" w:eastAsia="Times New Roman" w:cs="Times New Roman"/>
              </w:rPr>
              <w:t>WK</w:t>
            </w:r>
            <w:r>
              <w:rPr>
                <w:rFonts w:ascii="Times New Roman" w:hAnsi="Times New Roman" w:eastAsia="Times New Roman" w:cs="Times New Roman"/>
                <w:spacing w:val="1"/>
              </w:rPr>
              <w:t xml:space="preserve">100 </w:t>
            </w:r>
            <w:r>
              <w:rPr>
                <w:spacing w:val="1"/>
              </w:rPr>
              <w:t>等</w:t>
            </w:r>
          </w:p>
        </w:tc>
        <w:tc>
          <w:tcPr>
            <w:tcW w:w="629" w:type="dxa"/>
            <w:vAlign w:val="top"/>
          </w:tcPr>
          <w:p>
            <w:pPr>
              <w:spacing w:line="279" w:lineRule="auto"/>
              <w:rPr>
                <w:rFonts w:ascii="Arial"/>
                <w:sz w:val="21"/>
              </w:rPr>
            </w:pPr>
          </w:p>
          <w:p>
            <w:pPr>
              <w:spacing w:before="61" w:line="187"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477" w:type="dxa"/>
            <w:vAlign w:val="top"/>
          </w:tcPr>
          <w:p>
            <w:pPr>
              <w:spacing w:line="279" w:lineRule="auto"/>
              <w:rPr>
                <w:rFonts w:ascii="Arial"/>
                <w:sz w:val="21"/>
              </w:rPr>
            </w:pPr>
          </w:p>
          <w:p>
            <w:pPr>
              <w:spacing w:before="61"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82~90</w:t>
            </w:r>
          </w:p>
        </w:tc>
        <w:tc>
          <w:tcPr>
            <w:tcW w:w="1658" w:type="dxa"/>
            <w:vAlign w:val="top"/>
          </w:tcPr>
          <w:p>
            <w:pPr>
              <w:pStyle w:val="6"/>
              <w:spacing w:before="302" w:line="221" w:lineRule="auto"/>
              <w:ind w:left="431"/>
            </w:pPr>
            <w:r>
              <w:rPr>
                <w:spacing w:val="-6"/>
              </w:rPr>
              <w:t>间歇运行</w:t>
            </w:r>
          </w:p>
        </w:tc>
        <w:tc>
          <w:tcPr>
            <w:tcW w:w="1146" w:type="dxa"/>
            <w:vAlign w:val="top"/>
          </w:tcPr>
          <w:p>
            <w:pPr>
              <w:pStyle w:val="6"/>
              <w:spacing w:before="303"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9" w:type="dxa"/>
            <w:vAlign w:val="top"/>
          </w:tcPr>
          <w:p>
            <w:pPr>
              <w:spacing w:before="205"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27" w:type="dxa"/>
            <w:vAlign w:val="top"/>
          </w:tcPr>
          <w:p>
            <w:pPr>
              <w:pStyle w:val="6"/>
              <w:spacing w:before="166" w:line="220" w:lineRule="auto"/>
              <w:ind w:left="500"/>
            </w:pPr>
            <w:r>
              <w:rPr>
                <w:spacing w:val="-2"/>
              </w:rPr>
              <w:t>推土机</w:t>
            </w:r>
          </w:p>
        </w:tc>
        <w:tc>
          <w:tcPr>
            <w:tcW w:w="1557" w:type="dxa"/>
            <w:vAlign w:val="top"/>
          </w:tcPr>
          <w:p>
            <w:pPr>
              <w:pStyle w:val="6"/>
              <w:spacing w:before="68" w:line="207" w:lineRule="auto"/>
              <w:ind w:left="677" w:right="75" w:hanging="596"/>
            </w:pPr>
            <w:r>
              <w:rPr>
                <w:rFonts w:ascii="Times New Roman" w:hAnsi="Times New Roman" w:eastAsia="Times New Roman" w:cs="Times New Roman"/>
                <w:spacing w:val="-3"/>
              </w:rPr>
              <w:t>TY100</w:t>
            </w:r>
            <w:r>
              <w:rPr>
                <w:rFonts w:ascii="Times New Roman" w:hAnsi="Times New Roman" w:eastAsia="Times New Roman" w:cs="Times New Roman"/>
                <w:spacing w:val="-27"/>
              </w:rPr>
              <w:t xml:space="preserve"> </w:t>
            </w:r>
            <w:r>
              <w:rPr>
                <w:spacing w:val="-3"/>
              </w:rPr>
              <w:t>，</w:t>
            </w:r>
            <w:r>
              <w:rPr>
                <w:rFonts w:ascii="Times New Roman" w:hAnsi="Times New Roman" w:eastAsia="Times New Roman" w:cs="Times New Roman"/>
                <w:spacing w:val="-3"/>
              </w:rPr>
              <w:t>T120A</w:t>
            </w:r>
            <w:r>
              <w:rPr>
                <w:rFonts w:ascii="Times New Roman" w:hAnsi="Times New Roman" w:eastAsia="Times New Roman" w:cs="Times New Roman"/>
              </w:rPr>
              <w:t xml:space="preserve"> </w:t>
            </w:r>
            <w:r>
              <w:t>等</w:t>
            </w:r>
          </w:p>
        </w:tc>
        <w:tc>
          <w:tcPr>
            <w:tcW w:w="629" w:type="dxa"/>
            <w:vAlign w:val="top"/>
          </w:tcPr>
          <w:p>
            <w:pPr>
              <w:spacing w:before="205"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77" w:type="dxa"/>
            <w:vAlign w:val="top"/>
          </w:tcPr>
          <w:p>
            <w:pPr>
              <w:spacing w:before="204"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83~88</w:t>
            </w:r>
          </w:p>
        </w:tc>
        <w:tc>
          <w:tcPr>
            <w:tcW w:w="1658" w:type="dxa"/>
            <w:vAlign w:val="top"/>
          </w:tcPr>
          <w:p>
            <w:pPr>
              <w:pStyle w:val="6"/>
              <w:spacing w:before="165" w:line="221" w:lineRule="auto"/>
              <w:ind w:left="431"/>
            </w:pPr>
            <w:r>
              <w:rPr>
                <w:spacing w:val="-6"/>
              </w:rPr>
              <w:t>间歇运行</w:t>
            </w:r>
          </w:p>
        </w:tc>
        <w:tc>
          <w:tcPr>
            <w:tcW w:w="1146" w:type="dxa"/>
            <w:vAlign w:val="top"/>
          </w:tcPr>
          <w:p>
            <w:pPr>
              <w:pStyle w:val="6"/>
              <w:spacing w:before="166"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69" w:type="dxa"/>
            <w:vAlign w:val="top"/>
          </w:tcPr>
          <w:p>
            <w:pPr>
              <w:spacing w:before="68"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27" w:type="dxa"/>
            <w:vAlign w:val="top"/>
          </w:tcPr>
          <w:p>
            <w:pPr>
              <w:pStyle w:val="6"/>
              <w:spacing w:before="30" w:line="209" w:lineRule="auto"/>
              <w:ind w:left="503"/>
            </w:pPr>
            <w:r>
              <w:rPr>
                <w:spacing w:val="-2"/>
              </w:rPr>
              <w:t>发电机</w:t>
            </w:r>
          </w:p>
        </w:tc>
        <w:tc>
          <w:tcPr>
            <w:tcW w:w="1557" w:type="dxa"/>
            <w:vAlign w:val="top"/>
          </w:tcPr>
          <w:p>
            <w:pPr>
              <w:spacing w:before="68" w:line="187" w:lineRule="auto"/>
              <w:ind w:left="3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50GFY-2</w:t>
            </w:r>
          </w:p>
        </w:tc>
        <w:tc>
          <w:tcPr>
            <w:tcW w:w="629" w:type="dxa"/>
            <w:vAlign w:val="top"/>
          </w:tcPr>
          <w:p>
            <w:pPr>
              <w:spacing w:before="68" w:line="187" w:lineRule="auto"/>
              <w:ind w:left="259"/>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77" w:type="dxa"/>
            <w:vAlign w:val="top"/>
          </w:tcPr>
          <w:p>
            <w:pPr>
              <w:spacing w:before="68" w:line="187"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95~102</w:t>
            </w:r>
          </w:p>
        </w:tc>
        <w:tc>
          <w:tcPr>
            <w:tcW w:w="1658" w:type="dxa"/>
            <w:vAlign w:val="top"/>
          </w:tcPr>
          <w:p>
            <w:pPr>
              <w:pStyle w:val="6"/>
              <w:spacing w:before="30" w:line="209" w:lineRule="auto"/>
              <w:ind w:left="415"/>
            </w:pPr>
            <w:r>
              <w:rPr>
                <w:spacing w:val="-2"/>
              </w:rPr>
              <w:t>偶尔运行</w:t>
            </w:r>
          </w:p>
        </w:tc>
        <w:tc>
          <w:tcPr>
            <w:tcW w:w="1146" w:type="dxa"/>
            <w:vAlign w:val="top"/>
          </w:tcPr>
          <w:p>
            <w:pPr>
              <w:pStyle w:val="6"/>
              <w:spacing w:before="30" w:line="209"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69" w:type="dxa"/>
            <w:vAlign w:val="top"/>
          </w:tcPr>
          <w:p>
            <w:pPr>
              <w:spacing w:before="188"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27" w:type="dxa"/>
            <w:vAlign w:val="top"/>
          </w:tcPr>
          <w:p>
            <w:pPr>
              <w:pStyle w:val="6"/>
              <w:spacing w:before="150" w:line="220" w:lineRule="auto"/>
              <w:ind w:left="294"/>
            </w:pPr>
            <w:r>
              <w:rPr>
                <w:spacing w:val="-2"/>
              </w:rPr>
              <w:t>各类压路机</w:t>
            </w:r>
          </w:p>
        </w:tc>
        <w:tc>
          <w:tcPr>
            <w:tcW w:w="1557" w:type="dxa"/>
            <w:vAlign w:val="top"/>
          </w:tcPr>
          <w:p>
            <w:pPr>
              <w:pStyle w:val="6"/>
              <w:spacing w:before="64" w:line="226" w:lineRule="auto"/>
              <w:ind w:left="276"/>
            </w:pPr>
            <w:r>
              <w:rPr>
                <w:rFonts w:ascii="Times New Roman" w:hAnsi="Times New Roman" w:eastAsia="Times New Roman" w:cs="Times New Roman"/>
                <w:spacing w:val="-4"/>
              </w:rPr>
              <w:t>3Y-</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12/15</w:t>
            </w:r>
            <w:r>
              <w:rPr>
                <w:spacing w:val="-4"/>
              </w:rPr>
              <w:t>，</w:t>
            </w:r>
          </w:p>
          <w:p>
            <w:pPr>
              <w:spacing w:line="185"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3Y-</w:t>
            </w:r>
            <w:r>
              <w:rPr>
                <w:rFonts w:ascii="Times New Roman" w:hAnsi="Times New Roman" w:eastAsia="Times New Roman" w:cs="Times New Roman"/>
                <w:spacing w:val="-27"/>
                <w:sz w:val="21"/>
                <w:szCs w:val="21"/>
              </w:rPr>
              <w:t xml:space="preserve"> </w:t>
            </w:r>
            <w:r>
              <w:rPr>
                <w:rFonts w:ascii="Times New Roman" w:hAnsi="Times New Roman" w:eastAsia="Times New Roman" w:cs="Times New Roman"/>
                <w:spacing w:val="-4"/>
                <w:sz w:val="21"/>
                <w:szCs w:val="21"/>
              </w:rPr>
              <w:t>18/21</w:t>
            </w:r>
          </w:p>
        </w:tc>
        <w:tc>
          <w:tcPr>
            <w:tcW w:w="629" w:type="dxa"/>
            <w:vAlign w:val="top"/>
          </w:tcPr>
          <w:p>
            <w:pPr>
              <w:spacing w:before="188" w:line="187" w:lineRule="auto"/>
              <w:ind w:left="265"/>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477" w:type="dxa"/>
            <w:vAlign w:val="top"/>
          </w:tcPr>
          <w:p>
            <w:pPr>
              <w:spacing w:before="188"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80~90</w:t>
            </w:r>
          </w:p>
        </w:tc>
        <w:tc>
          <w:tcPr>
            <w:tcW w:w="1658" w:type="dxa"/>
            <w:vAlign w:val="top"/>
          </w:tcPr>
          <w:p>
            <w:pPr>
              <w:pStyle w:val="6"/>
              <w:spacing w:before="150" w:line="221" w:lineRule="auto"/>
              <w:ind w:left="415"/>
            </w:pPr>
            <w:r>
              <w:rPr>
                <w:spacing w:val="-2"/>
              </w:rPr>
              <w:t>连续运行</w:t>
            </w:r>
          </w:p>
        </w:tc>
        <w:tc>
          <w:tcPr>
            <w:tcW w:w="1146" w:type="dxa"/>
            <w:vAlign w:val="top"/>
          </w:tcPr>
          <w:p>
            <w:pPr>
              <w:pStyle w:val="6"/>
              <w:spacing w:before="150"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9" w:type="dxa"/>
            <w:vAlign w:val="top"/>
          </w:tcPr>
          <w:p>
            <w:pPr>
              <w:spacing w:before="208" w:line="184" w:lineRule="auto"/>
              <w:ind w:left="28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627" w:type="dxa"/>
            <w:vAlign w:val="top"/>
          </w:tcPr>
          <w:p>
            <w:pPr>
              <w:pStyle w:val="6"/>
              <w:spacing w:before="166" w:line="221" w:lineRule="auto"/>
              <w:ind w:left="292"/>
            </w:pPr>
            <w:r>
              <w:rPr>
                <w:spacing w:val="-2"/>
              </w:rPr>
              <w:t>重型运输车</w:t>
            </w:r>
          </w:p>
        </w:tc>
        <w:tc>
          <w:tcPr>
            <w:tcW w:w="1557" w:type="dxa"/>
            <w:vAlign w:val="top"/>
          </w:tcPr>
          <w:p>
            <w:pPr>
              <w:pStyle w:val="6"/>
              <w:spacing w:before="166" w:line="221" w:lineRule="auto"/>
              <w:ind w:left="67"/>
            </w:pPr>
            <w:r>
              <w:rPr>
                <w:rFonts w:ascii="Times New Roman" w:hAnsi="Times New Roman" w:eastAsia="Times New Roman" w:cs="Times New Roman"/>
                <w:spacing w:val="-5"/>
              </w:rPr>
              <w:t>SH161</w:t>
            </w:r>
            <w:r>
              <w:rPr>
                <w:spacing w:val="-5"/>
              </w:rPr>
              <w:t>，</w:t>
            </w:r>
            <w:r>
              <w:rPr>
                <w:rFonts w:ascii="Times New Roman" w:hAnsi="Times New Roman" w:eastAsia="Times New Roman" w:cs="Times New Roman"/>
                <w:spacing w:val="-5"/>
              </w:rPr>
              <w:t xml:space="preserve">T815 </w:t>
            </w:r>
            <w:r>
              <w:rPr>
                <w:spacing w:val="-5"/>
              </w:rPr>
              <w:t>等</w:t>
            </w:r>
          </w:p>
        </w:tc>
        <w:tc>
          <w:tcPr>
            <w:tcW w:w="629" w:type="dxa"/>
            <w:vAlign w:val="top"/>
          </w:tcPr>
          <w:p>
            <w:pPr>
              <w:spacing w:before="205"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477" w:type="dxa"/>
            <w:vAlign w:val="top"/>
          </w:tcPr>
          <w:p>
            <w:pPr>
              <w:spacing w:before="205"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82~90</w:t>
            </w:r>
          </w:p>
        </w:tc>
        <w:tc>
          <w:tcPr>
            <w:tcW w:w="1658" w:type="dxa"/>
            <w:vAlign w:val="top"/>
          </w:tcPr>
          <w:p>
            <w:pPr>
              <w:pStyle w:val="6"/>
              <w:spacing w:before="29" w:line="224" w:lineRule="auto"/>
              <w:ind w:left="311" w:right="87" w:hanging="209"/>
            </w:pPr>
            <w:r>
              <w:rPr>
                <w:spacing w:val="-1"/>
              </w:rPr>
              <w:t>无规律连续运行</w:t>
            </w:r>
            <w:r>
              <w:t xml:space="preserve"> </w:t>
            </w:r>
            <w:r>
              <w:rPr>
                <w:spacing w:val="-2"/>
              </w:rPr>
              <w:t>或间歇运行</w:t>
            </w:r>
          </w:p>
        </w:tc>
        <w:tc>
          <w:tcPr>
            <w:tcW w:w="1146" w:type="dxa"/>
            <w:vAlign w:val="top"/>
          </w:tcPr>
          <w:p>
            <w:pPr>
              <w:pStyle w:val="6"/>
              <w:spacing w:before="167"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9" w:type="dxa"/>
            <w:vAlign w:val="top"/>
          </w:tcPr>
          <w:p>
            <w:pPr>
              <w:spacing w:before="206" w:line="187" w:lineRule="auto"/>
              <w:ind w:left="28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627" w:type="dxa"/>
            <w:vAlign w:val="top"/>
          </w:tcPr>
          <w:p>
            <w:pPr>
              <w:pStyle w:val="6"/>
              <w:spacing w:before="167" w:line="221" w:lineRule="auto"/>
              <w:ind w:left="188"/>
            </w:pPr>
            <w:r>
              <w:rPr>
                <w:spacing w:val="-2"/>
              </w:rPr>
              <w:t>混凝土输送泵</w:t>
            </w:r>
          </w:p>
        </w:tc>
        <w:tc>
          <w:tcPr>
            <w:tcW w:w="1557" w:type="dxa"/>
            <w:vAlign w:val="top"/>
          </w:tcPr>
          <w:p>
            <w:pPr>
              <w:pStyle w:val="6"/>
              <w:spacing w:before="85" w:line="208" w:lineRule="auto"/>
              <w:ind w:left="462" w:right="302" w:hanging="203"/>
              <w:rPr>
                <w:rFonts w:ascii="Times New Roman" w:hAnsi="Times New Roman" w:eastAsia="Times New Roman" w:cs="Times New Roman"/>
              </w:rPr>
            </w:pPr>
            <w:r>
              <w:rPr>
                <w:rFonts w:ascii="Times New Roman" w:hAnsi="Times New Roman" w:eastAsia="Times New Roman" w:cs="Times New Roman"/>
                <w:spacing w:val="-7"/>
              </w:rPr>
              <w:t>BSA1406</w:t>
            </w:r>
            <w:r>
              <w:rPr>
                <w:spacing w:val="-7"/>
              </w:rPr>
              <w:t>，</w:t>
            </w:r>
            <w:r>
              <w:rPr>
                <w:spacing w:val="6"/>
              </w:rPr>
              <w:t xml:space="preserve"> </w:t>
            </w:r>
            <w:r>
              <w:rPr>
                <w:rFonts w:ascii="Times New Roman" w:hAnsi="Times New Roman" w:eastAsia="Times New Roman" w:cs="Times New Roman"/>
                <w:spacing w:val="-1"/>
              </w:rPr>
              <w:t>HBT60</w:t>
            </w:r>
          </w:p>
        </w:tc>
        <w:tc>
          <w:tcPr>
            <w:tcW w:w="629" w:type="dxa"/>
            <w:vAlign w:val="top"/>
          </w:tcPr>
          <w:p>
            <w:pPr>
              <w:spacing w:before="206"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477" w:type="dxa"/>
            <w:vAlign w:val="top"/>
          </w:tcPr>
          <w:p>
            <w:pPr>
              <w:spacing w:before="206"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88~95</w:t>
            </w:r>
          </w:p>
        </w:tc>
        <w:tc>
          <w:tcPr>
            <w:tcW w:w="1658" w:type="dxa"/>
            <w:vAlign w:val="top"/>
          </w:tcPr>
          <w:p>
            <w:pPr>
              <w:pStyle w:val="6"/>
              <w:spacing w:before="31" w:line="223" w:lineRule="auto"/>
              <w:ind w:left="311" w:right="87" w:hanging="209"/>
            </w:pPr>
            <w:r>
              <w:rPr>
                <w:spacing w:val="-1"/>
              </w:rPr>
              <w:t>无规律连续运行</w:t>
            </w:r>
            <w:r>
              <w:t xml:space="preserve"> </w:t>
            </w:r>
            <w:r>
              <w:rPr>
                <w:spacing w:val="-2"/>
              </w:rPr>
              <w:t>或间歇运行</w:t>
            </w:r>
          </w:p>
        </w:tc>
        <w:tc>
          <w:tcPr>
            <w:tcW w:w="1146" w:type="dxa"/>
            <w:vAlign w:val="top"/>
          </w:tcPr>
          <w:p>
            <w:pPr>
              <w:pStyle w:val="6"/>
              <w:spacing w:before="168"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669" w:type="dxa"/>
            <w:vAlign w:val="top"/>
          </w:tcPr>
          <w:p>
            <w:pPr>
              <w:spacing w:line="284" w:lineRule="auto"/>
              <w:rPr>
                <w:rFonts w:ascii="Arial"/>
                <w:sz w:val="21"/>
              </w:rPr>
            </w:pPr>
          </w:p>
          <w:p>
            <w:pPr>
              <w:spacing w:before="61" w:line="184"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627" w:type="dxa"/>
            <w:vAlign w:val="top"/>
          </w:tcPr>
          <w:p>
            <w:pPr>
              <w:pStyle w:val="6"/>
              <w:spacing w:before="305" w:line="220" w:lineRule="auto"/>
              <w:ind w:left="188"/>
            </w:pPr>
            <w:r>
              <w:rPr>
                <w:spacing w:val="-2"/>
              </w:rPr>
              <w:t>混凝土搅拌机</w:t>
            </w:r>
          </w:p>
        </w:tc>
        <w:tc>
          <w:tcPr>
            <w:tcW w:w="1557" w:type="dxa"/>
            <w:vAlign w:val="top"/>
          </w:tcPr>
          <w:p>
            <w:pPr>
              <w:pStyle w:val="6"/>
              <w:spacing w:before="304" w:line="229" w:lineRule="auto"/>
              <w:ind w:left="290"/>
            </w:pPr>
            <w:r>
              <w:rPr>
                <w:rFonts w:ascii="Times New Roman" w:hAnsi="Times New Roman" w:eastAsia="Times New Roman" w:cs="Times New Roman"/>
                <w:spacing w:val="-1"/>
              </w:rPr>
              <w:t>HZS120</w:t>
            </w:r>
            <w:r>
              <w:rPr>
                <w:rFonts w:ascii="Times New Roman" w:hAnsi="Times New Roman" w:eastAsia="Times New Roman" w:cs="Times New Roman"/>
                <w:spacing w:val="18"/>
                <w:w w:val="101"/>
              </w:rPr>
              <w:t xml:space="preserve"> </w:t>
            </w:r>
            <w:r>
              <w:rPr>
                <w:spacing w:val="-1"/>
              </w:rPr>
              <w:t>型</w:t>
            </w:r>
          </w:p>
        </w:tc>
        <w:tc>
          <w:tcPr>
            <w:tcW w:w="629" w:type="dxa"/>
            <w:vAlign w:val="top"/>
          </w:tcPr>
          <w:p>
            <w:pPr>
              <w:spacing w:line="281" w:lineRule="auto"/>
              <w:rPr>
                <w:rFonts w:ascii="Arial"/>
                <w:sz w:val="21"/>
              </w:rPr>
            </w:pPr>
          </w:p>
          <w:p>
            <w:pPr>
              <w:spacing w:before="61"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77" w:type="dxa"/>
            <w:vAlign w:val="top"/>
          </w:tcPr>
          <w:p>
            <w:pPr>
              <w:spacing w:line="281" w:lineRule="auto"/>
              <w:rPr>
                <w:rFonts w:ascii="Arial"/>
                <w:sz w:val="21"/>
              </w:rPr>
            </w:pPr>
          </w:p>
          <w:p>
            <w:pPr>
              <w:spacing w:before="61"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88~90</w:t>
            </w:r>
          </w:p>
        </w:tc>
        <w:tc>
          <w:tcPr>
            <w:tcW w:w="1658" w:type="dxa"/>
            <w:vAlign w:val="top"/>
          </w:tcPr>
          <w:p>
            <w:pPr>
              <w:pStyle w:val="6"/>
              <w:spacing w:before="31" w:line="221" w:lineRule="auto"/>
              <w:ind w:left="102"/>
            </w:pPr>
            <w:r>
              <w:rPr>
                <w:spacing w:val="-2"/>
              </w:rPr>
              <w:t>混凝土拌合站无</w:t>
            </w:r>
          </w:p>
          <w:p>
            <w:pPr>
              <w:pStyle w:val="6"/>
              <w:spacing w:before="21" w:line="221" w:lineRule="auto"/>
              <w:ind w:left="101"/>
            </w:pPr>
            <w:r>
              <w:rPr>
                <w:spacing w:val="-1"/>
              </w:rPr>
              <w:t>规律连续运行或</w:t>
            </w:r>
          </w:p>
          <w:p>
            <w:pPr>
              <w:pStyle w:val="6"/>
              <w:spacing w:before="20" w:line="208" w:lineRule="auto"/>
              <w:ind w:left="431"/>
            </w:pPr>
            <w:r>
              <w:rPr>
                <w:spacing w:val="-6"/>
              </w:rPr>
              <w:t>间歇运行</w:t>
            </w:r>
          </w:p>
        </w:tc>
        <w:tc>
          <w:tcPr>
            <w:tcW w:w="1146" w:type="dxa"/>
            <w:vAlign w:val="top"/>
          </w:tcPr>
          <w:p>
            <w:pPr>
              <w:pStyle w:val="6"/>
              <w:spacing w:before="305"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669" w:type="dxa"/>
            <w:vAlign w:val="top"/>
          </w:tcPr>
          <w:p>
            <w:pPr>
              <w:spacing w:line="279"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627" w:type="dxa"/>
            <w:vAlign w:val="top"/>
          </w:tcPr>
          <w:p>
            <w:pPr>
              <w:pStyle w:val="6"/>
              <w:spacing w:before="302" w:line="220" w:lineRule="auto"/>
              <w:ind w:left="511"/>
            </w:pPr>
            <w:r>
              <w:rPr>
                <w:spacing w:val="-4"/>
              </w:rPr>
              <w:t>喂料机</w:t>
            </w:r>
          </w:p>
        </w:tc>
        <w:tc>
          <w:tcPr>
            <w:tcW w:w="1557" w:type="dxa"/>
            <w:vAlign w:val="top"/>
          </w:tcPr>
          <w:p>
            <w:pPr>
              <w:spacing w:line="279" w:lineRule="auto"/>
              <w:rPr>
                <w:rFonts w:ascii="Arial"/>
                <w:sz w:val="21"/>
              </w:rPr>
            </w:pPr>
          </w:p>
          <w:p>
            <w:pPr>
              <w:spacing w:before="60" w:line="187" w:lineRule="auto"/>
              <w:ind w:left="3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PLD3200</w:t>
            </w:r>
          </w:p>
        </w:tc>
        <w:tc>
          <w:tcPr>
            <w:tcW w:w="629" w:type="dxa"/>
            <w:vAlign w:val="top"/>
          </w:tcPr>
          <w:p>
            <w:pPr>
              <w:spacing w:line="279" w:lineRule="auto"/>
              <w:rPr>
                <w:rFonts w:ascii="Arial"/>
                <w:sz w:val="21"/>
              </w:rPr>
            </w:pPr>
          </w:p>
          <w:p>
            <w:pPr>
              <w:spacing w:before="60"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77" w:type="dxa"/>
            <w:vAlign w:val="top"/>
          </w:tcPr>
          <w:p>
            <w:pPr>
              <w:spacing w:line="279" w:lineRule="auto"/>
              <w:rPr>
                <w:rFonts w:ascii="Arial"/>
                <w:sz w:val="21"/>
              </w:rPr>
            </w:pPr>
          </w:p>
          <w:p>
            <w:pPr>
              <w:spacing w:before="60"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88~95</w:t>
            </w:r>
          </w:p>
        </w:tc>
        <w:tc>
          <w:tcPr>
            <w:tcW w:w="1658" w:type="dxa"/>
            <w:vAlign w:val="top"/>
          </w:tcPr>
          <w:p>
            <w:pPr>
              <w:pStyle w:val="6"/>
              <w:spacing w:before="31" w:line="221" w:lineRule="auto"/>
              <w:ind w:left="102"/>
            </w:pPr>
            <w:r>
              <w:rPr>
                <w:spacing w:val="-2"/>
              </w:rPr>
              <w:t>混凝土拌合站无</w:t>
            </w:r>
          </w:p>
          <w:p>
            <w:pPr>
              <w:pStyle w:val="6"/>
              <w:spacing w:before="18" w:line="221" w:lineRule="auto"/>
              <w:ind w:left="101"/>
            </w:pPr>
            <w:r>
              <w:rPr>
                <w:spacing w:val="-1"/>
              </w:rPr>
              <w:t>规律连续运行或</w:t>
            </w:r>
          </w:p>
          <w:p>
            <w:pPr>
              <w:pStyle w:val="6"/>
              <w:spacing w:before="23" w:line="205" w:lineRule="auto"/>
              <w:ind w:left="431"/>
            </w:pPr>
            <w:r>
              <w:rPr>
                <w:spacing w:val="-6"/>
              </w:rPr>
              <w:t>间歇运行</w:t>
            </w:r>
          </w:p>
        </w:tc>
        <w:tc>
          <w:tcPr>
            <w:tcW w:w="1146" w:type="dxa"/>
            <w:vAlign w:val="top"/>
          </w:tcPr>
          <w:p>
            <w:pPr>
              <w:pStyle w:val="6"/>
              <w:spacing w:before="303"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9" w:type="dxa"/>
            <w:vAlign w:val="top"/>
          </w:tcPr>
          <w:p>
            <w:pPr>
              <w:spacing w:before="207"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627" w:type="dxa"/>
            <w:vAlign w:val="top"/>
          </w:tcPr>
          <w:p>
            <w:pPr>
              <w:pStyle w:val="6"/>
              <w:spacing w:before="168" w:line="221" w:lineRule="auto"/>
              <w:ind w:left="188"/>
            </w:pPr>
            <w:r>
              <w:rPr>
                <w:spacing w:val="-2"/>
              </w:rPr>
              <w:t>混凝土搅拌车</w:t>
            </w:r>
          </w:p>
        </w:tc>
        <w:tc>
          <w:tcPr>
            <w:tcW w:w="1557" w:type="dxa"/>
            <w:vAlign w:val="top"/>
          </w:tcPr>
          <w:p>
            <w:pPr>
              <w:spacing w:before="207" w:line="187" w:lineRule="auto"/>
              <w:ind w:left="5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MR45</w:t>
            </w:r>
          </w:p>
        </w:tc>
        <w:tc>
          <w:tcPr>
            <w:tcW w:w="629" w:type="dxa"/>
            <w:vAlign w:val="top"/>
          </w:tcPr>
          <w:p>
            <w:pPr>
              <w:spacing w:before="207"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477" w:type="dxa"/>
            <w:vAlign w:val="top"/>
          </w:tcPr>
          <w:p>
            <w:pPr>
              <w:spacing w:before="207"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85~90</w:t>
            </w:r>
          </w:p>
        </w:tc>
        <w:tc>
          <w:tcPr>
            <w:tcW w:w="1658" w:type="dxa"/>
            <w:vAlign w:val="top"/>
          </w:tcPr>
          <w:p>
            <w:pPr>
              <w:pStyle w:val="6"/>
              <w:spacing w:before="33" w:line="222" w:lineRule="auto"/>
              <w:ind w:left="311" w:right="87" w:hanging="209"/>
            </w:pPr>
            <w:r>
              <w:rPr>
                <w:spacing w:val="-1"/>
              </w:rPr>
              <w:t>无规律连续运行</w:t>
            </w:r>
            <w:r>
              <w:t xml:space="preserve"> </w:t>
            </w:r>
            <w:r>
              <w:rPr>
                <w:spacing w:val="-2"/>
              </w:rPr>
              <w:t>或间歇运行</w:t>
            </w:r>
          </w:p>
        </w:tc>
        <w:tc>
          <w:tcPr>
            <w:tcW w:w="1146" w:type="dxa"/>
            <w:vAlign w:val="top"/>
          </w:tcPr>
          <w:p>
            <w:pPr>
              <w:pStyle w:val="6"/>
              <w:spacing w:before="169"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69" w:type="dxa"/>
            <w:vAlign w:val="top"/>
          </w:tcPr>
          <w:p>
            <w:pPr>
              <w:spacing w:before="207"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627" w:type="dxa"/>
            <w:vAlign w:val="top"/>
          </w:tcPr>
          <w:p>
            <w:pPr>
              <w:pStyle w:val="6"/>
              <w:spacing w:before="169" w:line="220" w:lineRule="auto"/>
              <w:ind w:left="188"/>
            </w:pPr>
            <w:r>
              <w:rPr>
                <w:spacing w:val="-2"/>
              </w:rPr>
              <w:t>混凝土摊铺机</w:t>
            </w:r>
          </w:p>
        </w:tc>
        <w:tc>
          <w:tcPr>
            <w:tcW w:w="1557" w:type="dxa"/>
            <w:vAlign w:val="top"/>
          </w:tcPr>
          <w:p>
            <w:pPr>
              <w:spacing w:before="207" w:line="187" w:lineRule="auto"/>
              <w:ind w:left="3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HTG4500</w:t>
            </w:r>
          </w:p>
        </w:tc>
        <w:tc>
          <w:tcPr>
            <w:tcW w:w="629" w:type="dxa"/>
            <w:vAlign w:val="top"/>
          </w:tcPr>
          <w:p>
            <w:pPr>
              <w:spacing w:before="210" w:line="184" w:lineRule="auto"/>
              <w:ind w:left="266"/>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77" w:type="dxa"/>
            <w:vAlign w:val="top"/>
          </w:tcPr>
          <w:p>
            <w:pPr>
              <w:spacing w:before="207"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80~88</w:t>
            </w:r>
          </w:p>
        </w:tc>
        <w:tc>
          <w:tcPr>
            <w:tcW w:w="1658" w:type="dxa"/>
            <w:vAlign w:val="top"/>
          </w:tcPr>
          <w:p>
            <w:pPr>
              <w:pStyle w:val="6"/>
              <w:spacing w:before="35" w:line="222" w:lineRule="auto"/>
              <w:ind w:left="311" w:right="87" w:hanging="209"/>
            </w:pPr>
            <w:r>
              <w:rPr>
                <w:spacing w:val="-1"/>
              </w:rPr>
              <w:t>无规律连续运行</w:t>
            </w:r>
            <w:r>
              <w:t xml:space="preserve"> </w:t>
            </w:r>
            <w:r>
              <w:rPr>
                <w:spacing w:val="-2"/>
              </w:rPr>
              <w:t>或间歇运行</w:t>
            </w:r>
          </w:p>
        </w:tc>
        <w:tc>
          <w:tcPr>
            <w:tcW w:w="1146" w:type="dxa"/>
            <w:vAlign w:val="top"/>
          </w:tcPr>
          <w:p>
            <w:pPr>
              <w:pStyle w:val="6"/>
              <w:spacing w:before="169"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69" w:type="dxa"/>
            <w:vAlign w:val="top"/>
          </w:tcPr>
          <w:p>
            <w:pPr>
              <w:spacing w:before="72"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627" w:type="dxa"/>
            <w:vAlign w:val="top"/>
          </w:tcPr>
          <w:p>
            <w:pPr>
              <w:pStyle w:val="6"/>
              <w:spacing w:before="33" w:line="204" w:lineRule="auto"/>
              <w:ind w:left="507"/>
            </w:pPr>
            <w:r>
              <w:rPr>
                <w:spacing w:val="-3"/>
              </w:rPr>
              <w:t>空压机</w:t>
            </w:r>
          </w:p>
        </w:tc>
        <w:tc>
          <w:tcPr>
            <w:tcW w:w="1557" w:type="dxa"/>
            <w:vAlign w:val="top"/>
          </w:tcPr>
          <w:p>
            <w:pPr>
              <w:spacing w:before="68" w:line="191" w:lineRule="auto"/>
              <w:ind w:left="474"/>
              <w:rPr>
                <w:rFonts w:ascii="Times New Roman" w:hAnsi="Times New Roman" w:eastAsia="Times New Roman" w:cs="Times New Roman"/>
                <w:sz w:val="21"/>
                <w:szCs w:val="21"/>
              </w:rPr>
            </w:pPr>
            <w:r>
              <w:rPr>
                <w:rFonts w:ascii="Times New Roman" w:hAnsi="Times New Roman" w:eastAsia="Times New Roman" w:cs="Times New Roman"/>
                <w:sz w:val="21"/>
                <w:szCs w:val="21"/>
              </w:rPr>
              <w:t>4L20/8</w:t>
            </w:r>
          </w:p>
        </w:tc>
        <w:tc>
          <w:tcPr>
            <w:tcW w:w="629" w:type="dxa"/>
            <w:vAlign w:val="top"/>
          </w:tcPr>
          <w:p>
            <w:pPr>
              <w:spacing w:before="72" w:line="187" w:lineRule="auto"/>
              <w:ind w:left="26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77" w:type="dxa"/>
            <w:vAlign w:val="top"/>
          </w:tcPr>
          <w:p>
            <w:pPr>
              <w:spacing w:before="72"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88~92</w:t>
            </w:r>
          </w:p>
        </w:tc>
        <w:tc>
          <w:tcPr>
            <w:tcW w:w="1658" w:type="dxa"/>
            <w:vAlign w:val="top"/>
          </w:tcPr>
          <w:p>
            <w:pPr>
              <w:pStyle w:val="6"/>
              <w:spacing w:before="33" w:line="204" w:lineRule="auto"/>
              <w:ind w:left="415"/>
            </w:pPr>
            <w:r>
              <w:rPr>
                <w:spacing w:val="-2"/>
              </w:rPr>
              <w:t>连续运行</w:t>
            </w:r>
          </w:p>
        </w:tc>
        <w:tc>
          <w:tcPr>
            <w:tcW w:w="1146" w:type="dxa"/>
            <w:vAlign w:val="top"/>
          </w:tcPr>
          <w:p>
            <w:pPr>
              <w:pStyle w:val="6"/>
              <w:spacing w:before="33" w:line="204"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69" w:type="dxa"/>
            <w:vAlign w:val="top"/>
          </w:tcPr>
          <w:p>
            <w:pPr>
              <w:spacing w:before="72"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627" w:type="dxa"/>
            <w:vAlign w:val="top"/>
          </w:tcPr>
          <w:p>
            <w:pPr>
              <w:pStyle w:val="6"/>
              <w:spacing w:before="33" w:line="206" w:lineRule="auto"/>
              <w:ind w:left="501"/>
            </w:pPr>
            <w:r>
              <w:rPr>
                <w:spacing w:val="-2"/>
              </w:rPr>
              <w:t>起重机</w:t>
            </w:r>
          </w:p>
        </w:tc>
        <w:tc>
          <w:tcPr>
            <w:tcW w:w="1557" w:type="dxa"/>
            <w:vAlign w:val="top"/>
          </w:tcPr>
          <w:p>
            <w:pPr>
              <w:spacing w:before="68" w:line="195" w:lineRule="auto"/>
              <w:ind w:left="5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QY25</w:t>
            </w:r>
          </w:p>
        </w:tc>
        <w:tc>
          <w:tcPr>
            <w:tcW w:w="629" w:type="dxa"/>
            <w:vAlign w:val="top"/>
          </w:tcPr>
          <w:p>
            <w:pPr>
              <w:spacing w:before="72"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477" w:type="dxa"/>
            <w:vAlign w:val="top"/>
          </w:tcPr>
          <w:p>
            <w:pPr>
              <w:spacing w:before="72"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75~80</w:t>
            </w:r>
          </w:p>
        </w:tc>
        <w:tc>
          <w:tcPr>
            <w:tcW w:w="1658" w:type="dxa"/>
            <w:vAlign w:val="top"/>
          </w:tcPr>
          <w:p>
            <w:pPr>
              <w:pStyle w:val="6"/>
              <w:spacing w:before="33" w:line="206" w:lineRule="auto"/>
              <w:ind w:left="431"/>
            </w:pPr>
            <w:r>
              <w:rPr>
                <w:spacing w:val="-6"/>
              </w:rPr>
              <w:t>间歇运行</w:t>
            </w:r>
          </w:p>
        </w:tc>
        <w:tc>
          <w:tcPr>
            <w:tcW w:w="1146" w:type="dxa"/>
            <w:vAlign w:val="top"/>
          </w:tcPr>
          <w:p>
            <w:pPr>
              <w:pStyle w:val="6"/>
              <w:spacing w:before="33" w:line="206"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69" w:type="dxa"/>
            <w:vAlign w:val="top"/>
          </w:tcPr>
          <w:p>
            <w:pPr>
              <w:spacing w:before="72"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627" w:type="dxa"/>
            <w:vAlign w:val="top"/>
          </w:tcPr>
          <w:p>
            <w:pPr>
              <w:pStyle w:val="6"/>
              <w:spacing w:before="33" w:line="206" w:lineRule="auto"/>
              <w:ind w:left="500"/>
            </w:pPr>
            <w:r>
              <w:rPr>
                <w:spacing w:val="-2"/>
              </w:rPr>
              <w:t>汽车吊</w:t>
            </w:r>
          </w:p>
        </w:tc>
        <w:tc>
          <w:tcPr>
            <w:tcW w:w="1557" w:type="dxa"/>
            <w:vAlign w:val="top"/>
          </w:tcPr>
          <w:p>
            <w:pPr>
              <w:spacing w:before="68" w:line="198" w:lineRule="auto"/>
              <w:ind w:left="74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29" w:type="dxa"/>
            <w:vAlign w:val="top"/>
          </w:tcPr>
          <w:p>
            <w:pPr>
              <w:spacing w:before="72" w:line="187" w:lineRule="auto"/>
              <w:ind w:left="28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77" w:type="dxa"/>
            <w:vAlign w:val="top"/>
          </w:tcPr>
          <w:p>
            <w:pPr>
              <w:spacing w:before="72"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75~80</w:t>
            </w:r>
          </w:p>
        </w:tc>
        <w:tc>
          <w:tcPr>
            <w:tcW w:w="1658" w:type="dxa"/>
            <w:vAlign w:val="top"/>
          </w:tcPr>
          <w:p>
            <w:pPr>
              <w:pStyle w:val="6"/>
              <w:spacing w:before="33" w:line="206" w:lineRule="auto"/>
              <w:ind w:left="431"/>
            </w:pPr>
            <w:r>
              <w:rPr>
                <w:spacing w:val="-6"/>
              </w:rPr>
              <w:t>间歇运行</w:t>
            </w:r>
          </w:p>
        </w:tc>
        <w:tc>
          <w:tcPr>
            <w:tcW w:w="1146" w:type="dxa"/>
            <w:vAlign w:val="top"/>
          </w:tcPr>
          <w:p>
            <w:pPr>
              <w:pStyle w:val="6"/>
              <w:spacing w:before="33" w:line="206"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69" w:type="dxa"/>
            <w:vAlign w:val="top"/>
          </w:tcPr>
          <w:p>
            <w:pPr>
              <w:spacing w:before="72"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627" w:type="dxa"/>
            <w:vAlign w:val="top"/>
          </w:tcPr>
          <w:p>
            <w:pPr>
              <w:pStyle w:val="6"/>
              <w:spacing w:before="33" w:line="204" w:lineRule="auto"/>
              <w:ind w:left="499"/>
            </w:pPr>
            <w:r>
              <w:rPr>
                <w:spacing w:val="-1"/>
              </w:rPr>
              <w:t>平板车</w:t>
            </w:r>
          </w:p>
        </w:tc>
        <w:tc>
          <w:tcPr>
            <w:tcW w:w="1557" w:type="dxa"/>
            <w:vAlign w:val="top"/>
          </w:tcPr>
          <w:p>
            <w:pPr>
              <w:spacing w:before="68" w:line="196" w:lineRule="auto"/>
              <w:ind w:left="74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29" w:type="dxa"/>
            <w:vAlign w:val="top"/>
          </w:tcPr>
          <w:p>
            <w:pPr>
              <w:spacing w:before="72" w:line="187" w:lineRule="auto"/>
              <w:ind w:left="264"/>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77" w:type="dxa"/>
            <w:vAlign w:val="top"/>
          </w:tcPr>
          <w:p>
            <w:pPr>
              <w:spacing w:before="72"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82~90</w:t>
            </w:r>
          </w:p>
        </w:tc>
        <w:tc>
          <w:tcPr>
            <w:tcW w:w="1658" w:type="dxa"/>
            <w:vAlign w:val="top"/>
          </w:tcPr>
          <w:p>
            <w:pPr>
              <w:pStyle w:val="6"/>
              <w:spacing w:before="33" w:line="204" w:lineRule="auto"/>
              <w:ind w:left="431"/>
            </w:pPr>
            <w:r>
              <w:rPr>
                <w:spacing w:val="-6"/>
              </w:rPr>
              <w:t>间歇运行</w:t>
            </w:r>
          </w:p>
        </w:tc>
        <w:tc>
          <w:tcPr>
            <w:tcW w:w="1146" w:type="dxa"/>
            <w:vAlign w:val="top"/>
          </w:tcPr>
          <w:p>
            <w:pPr>
              <w:pStyle w:val="6"/>
              <w:spacing w:before="33" w:line="204"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69" w:type="dxa"/>
            <w:vAlign w:val="top"/>
          </w:tcPr>
          <w:p>
            <w:pPr>
              <w:spacing w:before="72"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627" w:type="dxa"/>
            <w:vAlign w:val="top"/>
          </w:tcPr>
          <w:p>
            <w:pPr>
              <w:pStyle w:val="6"/>
              <w:spacing w:before="33" w:line="206" w:lineRule="auto"/>
              <w:ind w:left="399"/>
            </w:pPr>
            <w:r>
              <w:rPr>
                <w:spacing w:val="-2"/>
              </w:rPr>
              <w:t>工程钻机</w:t>
            </w:r>
          </w:p>
        </w:tc>
        <w:tc>
          <w:tcPr>
            <w:tcW w:w="1557" w:type="dxa"/>
            <w:vAlign w:val="top"/>
          </w:tcPr>
          <w:p>
            <w:pPr>
              <w:spacing w:before="72" w:line="187" w:lineRule="auto"/>
              <w:ind w:left="4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SR280R</w:t>
            </w:r>
          </w:p>
        </w:tc>
        <w:tc>
          <w:tcPr>
            <w:tcW w:w="629" w:type="dxa"/>
            <w:vAlign w:val="top"/>
          </w:tcPr>
          <w:p>
            <w:pPr>
              <w:spacing w:before="72" w:line="187" w:lineRule="auto"/>
              <w:ind w:left="264"/>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77" w:type="dxa"/>
            <w:vAlign w:val="top"/>
          </w:tcPr>
          <w:p>
            <w:pPr>
              <w:spacing w:before="72"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88~92</w:t>
            </w:r>
          </w:p>
        </w:tc>
        <w:tc>
          <w:tcPr>
            <w:tcW w:w="1658" w:type="dxa"/>
            <w:vAlign w:val="top"/>
          </w:tcPr>
          <w:p>
            <w:pPr>
              <w:pStyle w:val="6"/>
              <w:spacing w:before="33" w:line="206" w:lineRule="auto"/>
              <w:ind w:left="100"/>
            </w:pPr>
            <w:r>
              <w:rPr>
                <w:spacing w:val="-1"/>
              </w:rPr>
              <w:t>钻孔时连续运行</w:t>
            </w:r>
          </w:p>
        </w:tc>
        <w:tc>
          <w:tcPr>
            <w:tcW w:w="1146" w:type="dxa"/>
            <w:vAlign w:val="top"/>
          </w:tcPr>
          <w:p>
            <w:pPr>
              <w:pStyle w:val="6"/>
              <w:spacing w:before="33" w:line="206"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9" w:type="dxa"/>
            <w:vAlign w:val="top"/>
          </w:tcPr>
          <w:p>
            <w:pPr>
              <w:spacing w:before="209"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627" w:type="dxa"/>
            <w:vAlign w:val="top"/>
          </w:tcPr>
          <w:p>
            <w:pPr>
              <w:pStyle w:val="6"/>
              <w:spacing w:before="33" w:line="222" w:lineRule="auto"/>
              <w:ind w:left="710" w:right="75" w:hanging="628"/>
            </w:pPr>
            <w:r>
              <w:rPr>
                <w:spacing w:val="-1"/>
              </w:rPr>
              <w:t>液压式静力打桩</w:t>
            </w:r>
            <w:r>
              <w:t xml:space="preserve"> 机</w:t>
            </w:r>
          </w:p>
        </w:tc>
        <w:tc>
          <w:tcPr>
            <w:tcW w:w="1557" w:type="dxa"/>
            <w:vAlign w:val="top"/>
          </w:tcPr>
          <w:p>
            <w:pPr>
              <w:pStyle w:val="6"/>
              <w:spacing w:before="170" w:line="221" w:lineRule="auto"/>
              <w:ind w:left="209"/>
              <w:rPr>
                <w:rFonts w:ascii="Times New Roman" w:hAnsi="Times New Roman" w:eastAsia="Times New Roman" w:cs="Times New Roman"/>
              </w:rPr>
            </w:pPr>
            <w:r>
              <w:rPr>
                <w:spacing w:val="-2"/>
              </w:rPr>
              <w:t>压力</w:t>
            </w:r>
            <w:r>
              <w:rPr>
                <w:spacing w:val="-42"/>
              </w:rPr>
              <w:t xml:space="preserve"> </w:t>
            </w:r>
            <w:r>
              <w:rPr>
                <w:rFonts w:ascii="Times New Roman" w:hAnsi="Times New Roman" w:eastAsia="Times New Roman" w:cs="Times New Roman"/>
                <w:spacing w:val="-2"/>
              </w:rPr>
              <w:t>2000kN</w:t>
            </w:r>
          </w:p>
        </w:tc>
        <w:tc>
          <w:tcPr>
            <w:tcW w:w="629" w:type="dxa"/>
            <w:vAlign w:val="top"/>
          </w:tcPr>
          <w:p>
            <w:pPr>
              <w:spacing w:before="212" w:line="184" w:lineRule="auto"/>
              <w:ind w:left="266"/>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77" w:type="dxa"/>
            <w:vAlign w:val="top"/>
          </w:tcPr>
          <w:p>
            <w:pPr>
              <w:spacing w:before="209"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100~110</w:t>
            </w:r>
          </w:p>
        </w:tc>
        <w:tc>
          <w:tcPr>
            <w:tcW w:w="1658" w:type="dxa"/>
            <w:vAlign w:val="top"/>
          </w:tcPr>
          <w:p>
            <w:pPr>
              <w:pStyle w:val="6"/>
              <w:spacing w:before="170" w:line="221" w:lineRule="auto"/>
              <w:ind w:left="103"/>
            </w:pPr>
            <w:r>
              <w:rPr>
                <w:spacing w:val="-2"/>
              </w:rPr>
              <w:t>打桩时连续运行</w:t>
            </w:r>
          </w:p>
        </w:tc>
        <w:tc>
          <w:tcPr>
            <w:tcW w:w="1146" w:type="dxa"/>
            <w:vAlign w:val="top"/>
          </w:tcPr>
          <w:p>
            <w:pPr>
              <w:pStyle w:val="6"/>
              <w:spacing w:before="171"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9" w:type="dxa"/>
            <w:vAlign w:val="top"/>
          </w:tcPr>
          <w:p>
            <w:pPr>
              <w:spacing w:before="209"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627" w:type="dxa"/>
            <w:vAlign w:val="top"/>
          </w:tcPr>
          <w:p>
            <w:pPr>
              <w:pStyle w:val="6"/>
              <w:spacing w:before="171" w:line="220" w:lineRule="auto"/>
              <w:ind w:left="298"/>
            </w:pPr>
            <w:r>
              <w:rPr>
                <w:spacing w:val="-3"/>
              </w:rPr>
              <w:t>空气压缩机</w:t>
            </w:r>
          </w:p>
        </w:tc>
        <w:tc>
          <w:tcPr>
            <w:tcW w:w="1557" w:type="dxa"/>
            <w:vAlign w:val="top"/>
          </w:tcPr>
          <w:p>
            <w:pPr>
              <w:spacing w:before="205" w:line="191" w:lineRule="auto"/>
              <w:ind w:left="456"/>
              <w:rPr>
                <w:rFonts w:ascii="Times New Roman" w:hAnsi="Times New Roman" w:eastAsia="Times New Roman" w:cs="Times New Roman"/>
                <w:sz w:val="21"/>
                <w:szCs w:val="21"/>
              </w:rPr>
            </w:pPr>
            <w:r>
              <w:rPr>
                <w:rFonts w:ascii="Times New Roman" w:hAnsi="Times New Roman" w:eastAsia="Times New Roman" w:cs="Times New Roman"/>
                <w:sz w:val="21"/>
                <w:szCs w:val="21"/>
              </w:rPr>
              <w:t>VY-9/7</w:t>
            </w:r>
          </w:p>
        </w:tc>
        <w:tc>
          <w:tcPr>
            <w:tcW w:w="629" w:type="dxa"/>
            <w:vAlign w:val="top"/>
          </w:tcPr>
          <w:p>
            <w:pPr>
              <w:spacing w:before="210"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477" w:type="dxa"/>
            <w:vAlign w:val="top"/>
          </w:tcPr>
          <w:p>
            <w:pPr>
              <w:spacing w:before="209"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88~95</w:t>
            </w:r>
          </w:p>
        </w:tc>
        <w:tc>
          <w:tcPr>
            <w:tcW w:w="1658" w:type="dxa"/>
            <w:vAlign w:val="top"/>
          </w:tcPr>
          <w:p>
            <w:pPr>
              <w:pStyle w:val="6"/>
              <w:spacing w:before="33" w:line="222" w:lineRule="auto"/>
              <w:ind w:left="311" w:right="87" w:hanging="209"/>
            </w:pPr>
            <w:r>
              <w:rPr>
                <w:spacing w:val="-1"/>
              </w:rPr>
              <w:t>无规律连续运行</w:t>
            </w:r>
            <w:r>
              <w:t xml:space="preserve"> </w:t>
            </w:r>
            <w:r>
              <w:rPr>
                <w:spacing w:val="-2"/>
              </w:rPr>
              <w:t>或间歇运行</w:t>
            </w:r>
          </w:p>
        </w:tc>
        <w:tc>
          <w:tcPr>
            <w:tcW w:w="1146" w:type="dxa"/>
            <w:vAlign w:val="top"/>
          </w:tcPr>
          <w:p>
            <w:pPr>
              <w:pStyle w:val="6"/>
              <w:spacing w:before="171"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69" w:type="dxa"/>
            <w:vAlign w:val="top"/>
          </w:tcPr>
          <w:p>
            <w:pPr>
              <w:spacing w:before="210"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627" w:type="dxa"/>
            <w:vAlign w:val="top"/>
          </w:tcPr>
          <w:p>
            <w:pPr>
              <w:pStyle w:val="6"/>
              <w:spacing w:before="171" w:line="220" w:lineRule="auto"/>
              <w:ind w:left="82"/>
            </w:pPr>
            <w:r>
              <w:rPr>
                <w:spacing w:val="-1"/>
              </w:rPr>
              <w:t>数控钢筋弯箍机</w:t>
            </w:r>
          </w:p>
        </w:tc>
        <w:tc>
          <w:tcPr>
            <w:tcW w:w="1557" w:type="dxa"/>
            <w:vAlign w:val="top"/>
          </w:tcPr>
          <w:p>
            <w:pPr>
              <w:pStyle w:val="6"/>
              <w:spacing w:before="171" w:line="229" w:lineRule="auto"/>
              <w:ind w:left="563"/>
            </w:pPr>
            <w:r>
              <w:rPr>
                <w:rFonts w:ascii="Times New Roman" w:hAnsi="Times New Roman" w:eastAsia="Times New Roman" w:cs="Times New Roman"/>
                <w:spacing w:val="-8"/>
              </w:rPr>
              <w:t>12</w:t>
            </w:r>
            <w:r>
              <w:rPr>
                <w:rFonts w:ascii="Times New Roman" w:hAnsi="Times New Roman" w:eastAsia="Times New Roman" w:cs="Times New Roman"/>
                <w:spacing w:val="15"/>
              </w:rPr>
              <w:t xml:space="preserve"> </w:t>
            </w:r>
            <w:r>
              <w:rPr>
                <w:spacing w:val="-8"/>
              </w:rPr>
              <w:t>型</w:t>
            </w:r>
          </w:p>
        </w:tc>
        <w:tc>
          <w:tcPr>
            <w:tcW w:w="629" w:type="dxa"/>
            <w:vAlign w:val="top"/>
          </w:tcPr>
          <w:p>
            <w:pPr>
              <w:spacing w:before="210" w:line="187" w:lineRule="auto"/>
              <w:ind w:left="26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77" w:type="dxa"/>
            <w:vAlign w:val="top"/>
          </w:tcPr>
          <w:p>
            <w:pPr>
              <w:spacing w:before="210"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80~82</w:t>
            </w:r>
          </w:p>
        </w:tc>
        <w:tc>
          <w:tcPr>
            <w:tcW w:w="1658" w:type="dxa"/>
            <w:vAlign w:val="top"/>
          </w:tcPr>
          <w:p>
            <w:pPr>
              <w:pStyle w:val="6"/>
              <w:spacing w:before="34" w:line="224" w:lineRule="auto"/>
              <w:ind w:left="625" w:right="87" w:hanging="527"/>
            </w:pPr>
            <w:r>
              <w:rPr>
                <w:spacing w:val="-1"/>
              </w:rPr>
              <w:t>钢筋加工时连续</w:t>
            </w:r>
            <w:r>
              <w:rPr>
                <w:spacing w:val="3"/>
              </w:rPr>
              <w:t xml:space="preserve"> </w:t>
            </w:r>
            <w:r>
              <w:rPr>
                <w:spacing w:val="-2"/>
              </w:rPr>
              <w:t>运行</w:t>
            </w:r>
          </w:p>
        </w:tc>
        <w:tc>
          <w:tcPr>
            <w:tcW w:w="1146" w:type="dxa"/>
            <w:vAlign w:val="top"/>
          </w:tcPr>
          <w:p>
            <w:pPr>
              <w:pStyle w:val="6"/>
              <w:spacing w:before="172"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bl>
    <w:p>
      <w:pPr>
        <w:pStyle w:val="2"/>
      </w:pPr>
    </w:p>
    <w:p>
      <w:pPr>
        <w:sectPr>
          <w:headerReference r:id="rId156" w:type="default"/>
          <w:footerReference r:id="rId157" w:type="default"/>
          <w:pgSz w:w="11907" w:h="16839"/>
          <w:pgMar w:top="1118" w:right="1567" w:bottom="1184" w:left="1570" w:header="879" w:footer="1024" w:gutter="0"/>
          <w:cols w:space="720" w:num="1"/>
        </w:sectPr>
      </w:pPr>
    </w:p>
    <w:p>
      <w:pPr>
        <w:spacing w:before="80"/>
      </w:pPr>
      <w:r>
        <w:pict>
          <v:shape id="_x0000_s1031" o:spid="_x0000_s1031" style="position:absolute;left:0pt;margin-left:193.95pt;margin-top:686.15pt;height:0.5pt;width:11.9pt;mso-position-horizontal-relative:page;mso-position-vertical-relative:page;z-index:-251620352;mso-width-relative:page;mso-height-relative:page;" filled="f" stroked="t" coordsize="237,10" o:allowincell="f" path="m0,4l237,4e">
            <v:fill on="f" focussize="0,0"/>
            <v:stroke weight="0.5pt" color="#000000" miterlimit="10"/>
            <v:imagedata o:title=""/>
            <o:lock v:ext="edit"/>
          </v:shape>
        </w:pict>
      </w:r>
    </w:p>
    <w:tbl>
      <w:tblPr>
        <w:tblStyle w:val="5"/>
        <w:tblW w:w="87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1627"/>
        <w:gridCol w:w="1557"/>
        <w:gridCol w:w="629"/>
        <w:gridCol w:w="1477"/>
        <w:gridCol w:w="1658"/>
        <w:gridCol w:w="11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669" w:type="dxa"/>
            <w:vAlign w:val="top"/>
          </w:tcPr>
          <w:p>
            <w:pPr>
              <w:spacing w:line="284" w:lineRule="auto"/>
              <w:rPr>
                <w:rFonts w:ascii="Arial"/>
                <w:sz w:val="21"/>
              </w:rPr>
            </w:pPr>
          </w:p>
          <w:p>
            <w:pPr>
              <w:spacing w:before="61"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627" w:type="dxa"/>
            <w:vAlign w:val="top"/>
          </w:tcPr>
          <w:p>
            <w:pPr>
              <w:pStyle w:val="6"/>
              <w:spacing w:before="33" w:line="231" w:lineRule="auto"/>
              <w:ind w:left="82" w:right="75"/>
            </w:pPr>
            <w:r>
              <w:rPr>
                <w:spacing w:val="-6"/>
              </w:rPr>
              <w:t>数控钢筋剪切、</w:t>
            </w:r>
            <w:r>
              <w:rPr>
                <w:spacing w:val="3"/>
              </w:rPr>
              <w:t xml:space="preserve"> </w:t>
            </w:r>
            <w:r>
              <w:rPr>
                <w:spacing w:val="-1"/>
              </w:rPr>
              <w:t>车丝、打磨一体</w:t>
            </w:r>
          </w:p>
          <w:p>
            <w:pPr>
              <w:pStyle w:val="6"/>
              <w:spacing w:before="20" w:line="207" w:lineRule="auto"/>
              <w:ind w:left="710"/>
            </w:pPr>
            <w:r>
              <w:t>机</w:t>
            </w:r>
          </w:p>
        </w:tc>
        <w:tc>
          <w:tcPr>
            <w:tcW w:w="1557" w:type="dxa"/>
            <w:vAlign w:val="top"/>
          </w:tcPr>
          <w:p>
            <w:pPr>
              <w:pStyle w:val="6"/>
              <w:spacing w:before="307" w:line="229" w:lineRule="auto"/>
              <w:ind w:left="489"/>
            </w:pPr>
            <w:r>
              <w:rPr>
                <w:rFonts w:ascii="Times New Roman" w:hAnsi="Times New Roman" w:eastAsia="Times New Roman" w:cs="Times New Roman"/>
                <w:spacing w:val="-1"/>
              </w:rPr>
              <w:t>450</w:t>
            </w:r>
            <w:r>
              <w:rPr>
                <w:rFonts w:ascii="Times New Roman" w:hAnsi="Times New Roman" w:eastAsia="Times New Roman" w:cs="Times New Roman"/>
                <w:spacing w:val="16"/>
              </w:rPr>
              <w:t xml:space="preserve"> </w:t>
            </w:r>
            <w:r>
              <w:rPr>
                <w:spacing w:val="-1"/>
              </w:rPr>
              <w:t>型</w:t>
            </w:r>
          </w:p>
        </w:tc>
        <w:tc>
          <w:tcPr>
            <w:tcW w:w="629" w:type="dxa"/>
            <w:vAlign w:val="top"/>
          </w:tcPr>
          <w:p>
            <w:pPr>
              <w:spacing w:line="284" w:lineRule="auto"/>
              <w:rPr>
                <w:rFonts w:ascii="Arial"/>
                <w:sz w:val="21"/>
              </w:rPr>
            </w:pPr>
          </w:p>
          <w:p>
            <w:pPr>
              <w:spacing w:before="61" w:line="187" w:lineRule="auto"/>
              <w:ind w:left="26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77" w:type="dxa"/>
            <w:vAlign w:val="top"/>
          </w:tcPr>
          <w:p>
            <w:pPr>
              <w:spacing w:line="284" w:lineRule="auto"/>
              <w:rPr>
                <w:rFonts w:ascii="Arial"/>
                <w:sz w:val="21"/>
              </w:rPr>
            </w:pPr>
          </w:p>
          <w:p>
            <w:pPr>
              <w:spacing w:before="61"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80~82</w:t>
            </w:r>
          </w:p>
        </w:tc>
        <w:tc>
          <w:tcPr>
            <w:tcW w:w="1658" w:type="dxa"/>
            <w:vAlign w:val="top"/>
          </w:tcPr>
          <w:p>
            <w:pPr>
              <w:pStyle w:val="6"/>
              <w:spacing w:before="171" w:line="230" w:lineRule="auto"/>
              <w:ind w:left="625" w:right="87" w:hanging="527"/>
            </w:pPr>
            <w:r>
              <w:rPr>
                <w:spacing w:val="-1"/>
              </w:rPr>
              <w:t>钢筋加工时连续</w:t>
            </w:r>
            <w:r>
              <w:rPr>
                <w:spacing w:val="3"/>
              </w:rPr>
              <w:t xml:space="preserve"> </w:t>
            </w:r>
            <w:r>
              <w:rPr>
                <w:spacing w:val="-2"/>
              </w:rPr>
              <w:t>运行</w:t>
            </w:r>
          </w:p>
        </w:tc>
        <w:tc>
          <w:tcPr>
            <w:tcW w:w="1146" w:type="dxa"/>
            <w:vAlign w:val="top"/>
          </w:tcPr>
          <w:p>
            <w:pPr>
              <w:pStyle w:val="6"/>
              <w:spacing w:before="308"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69" w:type="dxa"/>
            <w:vAlign w:val="top"/>
          </w:tcPr>
          <w:p>
            <w:pPr>
              <w:spacing w:before="208"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627" w:type="dxa"/>
            <w:vAlign w:val="top"/>
          </w:tcPr>
          <w:p>
            <w:pPr>
              <w:pStyle w:val="6"/>
              <w:spacing w:before="169" w:line="220" w:lineRule="auto"/>
              <w:ind w:left="326"/>
            </w:pPr>
            <w:r>
              <w:rPr>
                <w:spacing w:val="-8"/>
              </w:rPr>
              <w:t>自动滚焊机</w:t>
            </w:r>
          </w:p>
        </w:tc>
        <w:tc>
          <w:tcPr>
            <w:tcW w:w="1557" w:type="dxa"/>
            <w:vAlign w:val="top"/>
          </w:tcPr>
          <w:p>
            <w:pPr>
              <w:pStyle w:val="6"/>
              <w:spacing w:before="169" w:line="229" w:lineRule="auto"/>
              <w:ind w:left="286"/>
            </w:pPr>
            <w:r>
              <w:rPr>
                <w:rFonts w:ascii="Times New Roman" w:hAnsi="Times New Roman" w:eastAsia="Times New Roman" w:cs="Times New Roman"/>
                <w:spacing w:val="-4"/>
              </w:rPr>
              <w:t>L200-</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15"/>
                <w:w w:val="101"/>
              </w:rPr>
              <w:t xml:space="preserve"> </w:t>
            </w:r>
            <w:r>
              <w:rPr>
                <w:spacing w:val="-4"/>
              </w:rPr>
              <w:t>型</w:t>
            </w:r>
          </w:p>
        </w:tc>
        <w:tc>
          <w:tcPr>
            <w:tcW w:w="629" w:type="dxa"/>
            <w:vAlign w:val="top"/>
          </w:tcPr>
          <w:p>
            <w:pPr>
              <w:spacing w:before="208" w:line="187" w:lineRule="auto"/>
              <w:ind w:left="26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77" w:type="dxa"/>
            <w:vAlign w:val="top"/>
          </w:tcPr>
          <w:p>
            <w:pPr>
              <w:spacing w:before="208"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80~82</w:t>
            </w:r>
          </w:p>
        </w:tc>
        <w:tc>
          <w:tcPr>
            <w:tcW w:w="1658" w:type="dxa"/>
            <w:vAlign w:val="top"/>
          </w:tcPr>
          <w:p>
            <w:pPr>
              <w:pStyle w:val="6"/>
              <w:spacing w:before="32" w:line="224" w:lineRule="auto"/>
              <w:ind w:left="625" w:right="87" w:hanging="527"/>
            </w:pPr>
            <w:r>
              <w:rPr>
                <w:spacing w:val="-1"/>
              </w:rPr>
              <w:t>钢筋加工时连续</w:t>
            </w:r>
            <w:r>
              <w:rPr>
                <w:spacing w:val="3"/>
              </w:rPr>
              <w:t xml:space="preserve"> </w:t>
            </w:r>
            <w:r>
              <w:rPr>
                <w:spacing w:val="-2"/>
              </w:rPr>
              <w:t>运行</w:t>
            </w:r>
          </w:p>
        </w:tc>
        <w:tc>
          <w:tcPr>
            <w:tcW w:w="1146" w:type="dxa"/>
            <w:vAlign w:val="top"/>
          </w:tcPr>
          <w:p>
            <w:pPr>
              <w:pStyle w:val="6"/>
              <w:spacing w:before="170" w:line="223" w:lineRule="auto"/>
              <w:ind w:left="184"/>
              <w:rPr>
                <w:rFonts w:ascii="Times New Roman" w:hAnsi="Times New Roman" w:eastAsia="Times New Roman" w:cs="Times New Roman"/>
              </w:rPr>
            </w:pPr>
            <w:r>
              <w:rPr>
                <w:spacing w:val="-6"/>
              </w:rPr>
              <w:t>昼间</w:t>
            </w:r>
            <w:r>
              <w:rPr>
                <w:spacing w:val="-28"/>
              </w:rPr>
              <w:t xml:space="preserve"> </w:t>
            </w:r>
            <w:r>
              <w:rPr>
                <w:rFonts w:ascii="Times New Roman" w:hAnsi="Times New Roman" w:eastAsia="Times New Roman" w:cs="Times New Roman"/>
                <w:spacing w:val="-6"/>
              </w:rPr>
              <w:t>12h</w:t>
            </w:r>
          </w:p>
        </w:tc>
      </w:tr>
    </w:tbl>
    <w:p>
      <w:pPr>
        <w:spacing w:before="192" w:line="465" w:lineRule="exact"/>
        <w:ind w:left="726"/>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2</w:t>
      </w:r>
      <w:r>
        <w:rPr>
          <w:rFonts w:ascii="宋体" w:hAnsi="宋体" w:eastAsia="宋体" w:cs="宋体"/>
          <w:spacing w:val="-2"/>
          <w:position w:val="17"/>
          <w:sz w:val="24"/>
          <w:szCs w:val="24"/>
        </w:rPr>
        <w:t>）隧道路段</w:t>
      </w:r>
    </w:p>
    <w:p>
      <w:pPr>
        <w:spacing w:line="217" w:lineRule="auto"/>
        <w:ind w:left="718"/>
        <w:rPr>
          <w:rFonts w:ascii="宋体" w:hAnsi="宋体" w:eastAsia="宋体" w:cs="宋体"/>
          <w:sz w:val="24"/>
          <w:szCs w:val="24"/>
        </w:rPr>
      </w:pPr>
      <w:r>
        <w:rPr>
          <w:rFonts w:ascii="宋体" w:hAnsi="宋体" w:eastAsia="宋体" w:cs="宋体"/>
          <w:spacing w:val="-2"/>
          <w:sz w:val="24"/>
          <w:szCs w:val="24"/>
        </w:rPr>
        <w:t>①爆破噪声</w:t>
      </w:r>
    </w:p>
    <w:p>
      <w:pPr>
        <w:spacing w:before="185" w:line="466" w:lineRule="exact"/>
        <w:ind w:left="720"/>
        <w:rPr>
          <w:rFonts w:ascii="宋体" w:hAnsi="宋体" w:eastAsia="宋体" w:cs="宋体"/>
          <w:sz w:val="24"/>
          <w:szCs w:val="24"/>
        </w:rPr>
      </w:pPr>
      <w:r>
        <w:rPr>
          <w:rFonts w:ascii="宋体" w:hAnsi="宋体" w:eastAsia="宋体" w:cs="宋体"/>
          <w:spacing w:val="-8"/>
          <w:position w:val="17"/>
          <w:sz w:val="24"/>
          <w:szCs w:val="24"/>
        </w:rPr>
        <w:t>本项目共设</w:t>
      </w:r>
      <w:r>
        <w:rPr>
          <w:rFonts w:ascii="宋体" w:hAnsi="宋体" w:eastAsia="宋体" w:cs="宋体"/>
          <w:spacing w:val="-43"/>
          <w:position w:val="17"/>
          <w:sz w:val="24"/>
          <w:szCs w:val="24"/>
        </w:rPr>
        <w:t xml:space="preserve"> </w:t>
      </w:r>
      <w:r>
        <w:rPr>
          <w:rFonts w:ascii="Times New Roman" w:hAnsi="Times New Roman" w:eastAsia="Times New Roman" w:cs="Times New Roman"/>
          <w:spacing w:val="-8"/>
          <w:position w:val="17"/>
          <w:sz w:val="24"/>
          <w:szCs w:val="24"/>
        </w:rPr>
        <w:t xml:space="preserve">2 </w:t>
      </w:r>
      <w:r>
        <w:rPr>
          <w:rFonts w:ascii="宋体" w:hAnsi="宋体" w:eastAsia="宋体" w:cs="宋体"/>
          <w:spacing w:val="-8"/>
          <w:position w:val="17"/>
          <w:sz w:val="24"/>
          <w:szCs w:val="24"/>
        </w:rPr>
        <w:t>座隧道。在隧道施工过程中，</w:t>
      </w:r>
      <w:r>
        <w:rPr>
          <w:rFonts w:ascii="宋体" w:hAnsi="宋体" w:eastAsia="宋体" w:cs="宋体"/>
          <w:spacing w:val="31"/>
          <w:position w:val="17"/>
          <w:sz w:val="24"/>
          <w:szCs w:val="24"/>
        </w:rPr>
        <w:t xml:space="preserve"> </w:t>
      </w:r>
      <w:r>
        <w:rPr>
          <w:rFonts w:ascii="宋体" w:hAnsi="宋体" w:eastAsia="宋体" w:cs="宋体"/>
          <w:spacing w:val="-8"/>
          <w:position w:val="17"/>
          <w:sz w:val="24"/>
          <w:szCs w:val="24"/>
        </w:rPr>
        <w:t>会进行爆破。露天爆破噪声属于</w:t>
      </w:r>
    </w:p>
    <w:p>
      <w:pPr>
        <w:spacing w:line="218" w:lineRule="auto"/>
        <w:ind w:left="260"/>
        <w:rPr>
          <w:rFonts w:ascii="宋体" w:hAnsi="宋体" w:eastAsia="宋体" w:cs="宋体"/>
          <w:sz w:val="24"/>
          <w:szCs w:val="24"/>
        </w:rPr>
      </w:pPr>
      <w:r>
        <w:rPr>
          <w:rFonts w:ascii="宋体" w:hAnsi="宋体" w:eastAsia="宋体" w:cs="宋体"/>
          <w:spacing w:val="-12"/>
          <w:sz w:val="24"/>
          <w:szCs w:val="24"/>
        </w:rPr>
        <w:t>固定噪声源，</w:t>
      </w:r>
      <w:r>
        <w:rPr>
          <w:rFonts w:ascii="宋体" w:hAnsi="宋体" w:eastAsia="宋体" w:cs="宋体"/>
          <w:spacing w:val="72"/>
          <w:sz w:val="24"/>
          <w:szCs w:val="24"/>
        </w:rPr>
        <w:t xml:space="preserve"> </w:t>
      </w:r>
      <w:r>
        <w:rPr>
          <w:rFonts w:ascii="宋体" w:hAnsi="宋体" w:eastAsia="宋体" w:cs="宋体"/>
          <w:spacing w:val="-12"/>
          <w:sz w:val="24"/>
          <w:szCs w:val="24"/>
        </w:rPr>
        <w:t>爆破噪声声级大约在</w:t>
      </w:r>
      <w:r>
        <w:rPr>
          <w:rFonts w:ascii="宋体" w:hAnsi="宋体" w:eastAsia="宋体" w:cs="宋体"/>
          <w:spacing w:val="-31"/>
          <w:sz w:val="24"/>
          <w:szCs w:val="24"/>
        </w:rPr>
        <w:t xml:space="preserve"> </w:t>
      </w:r>
      <w:r>
        <w:rPr>
          <w:rFonts w:ascii="Times New Roman" w:hAnsi="Times New Roman" w:eastAsia="Times New Roman" w:cs="Times New Roman"/>
          <w:spacing w:val="-12"/>
          <w:sz w:val="24"/>
          <w:szCs w:val="24"/>
        </w:rPr>
        <w:t>120dB</w:t>
      </w:r>
      <w:r>
        <w:rPr>
          <w:rFonts w:ascii="宋体" w:hAnsi="宋体" w:eastAsia="宋体" w:cs="宋体"/>
          <w:spacing w:val="-12"/>
          <w:sz w:val="24"/>
          <w:szCs w:val="24"/>
        </w:rPr>
        <w:t>。</w:t>
      </w:r>
    </w:p>
    <w:p>
      <w:pPr>
        <w:spacing w:before="185" w:line="468" w:lineRule="exact"/>
        <w:ind w:left="720"/>
        <w:rPr>
          <w:rFonts w:ascii="宋体" w:hAnsi="宋体" w:eastAsia="宋体" w:cs="宋体"/>
          <w:sz w:val="24"/>
          <w:szCs w:val="24"/>
        </w:rPr>
      </w:pPr>
      <w:r>
        <w:rPr>
          <w:rFonts w:ascii="宋体" w:hAnsi="宋体" w:eastAsia="宋体" w:cs="宋体"/>
          <w:spacing w:val="-1"/>
          <w:position w:val="17"/>
          <w:sz w:val="24"/>
          <w:szCs w:val="24"/>
        </w:rPr>
        <w:t>本次采用《环境影响评价技术导则  声环境》（</w:t>
      </w:r>
      <w:r>
        <w:rPr>
          <w:rFonts w:ascii="Times New Roman" w:hAnsi="Times New Roman" w:eastAsia="Times New Roman" w:cs="Times New Roman"/>
          <w:spacing w:val="-1"/>
          <w:position w:val="17"/>
          <w:sz w:val="24"/>
          <w:szCs w:val="24"/>
        </w:rPr>
        <w:t>HJ2.4-2021</w:t>
      </w:r>
      <w:r>
        <w:rPr>
          <w:rFonts w:ascii="宋体" w:hAnsi="宋体" w:eastAsia="宋体" w:cs="宋体"/>
          <w:spacing w:val="-1"/>
          <w:position w:val="17"/>
          <w:sz w:val="24"/>
          <w:szCs w:val="24"/>
        </w:rPr>
        <w:t>）中推荐的无指</w:t>
      </w:r>
    </w:p>
    <w:p>
      <w:pPr>
        <w:spacing w:line="218" w:lineRule="auto"/>
        <w:ind w:left="264"/>
        <w:rPr>
          <w:rFonts w:ascii="宋体" w:hAnsi="宋体" w:eastAsia="宋体" w:cs="宋体"/>
          <w:sz w:val="24"/>
          <w:szCs w:val="24"/>
        </w:rPr>
      </w:pPr>
      <w:r>
        <w:rPr>
          <w:rFonts w:ascii="宋体" w:hAnsi="宋体" w:eastAsia="宋体" w:cs="宋体"/>
          <w:spacing w:val="-1"/>
          <w:sz w:val="24"/>
          <w:szCs w:val="24"/>
        </w:rPr>
        <w:t>向性点源几何发散衰减模式，来说明爆破对周边产生噪声影响</w:t>
      </w:r>
      <w:r>
        <w:rPr>
          <w:rFonts w:ascii="宋体" w:hAnsi="宋体" w:eastAsia="宋体" w:cs="宋体"/>
          <w:spacing w:val="-2"/>
          <w:sz w:val="24"/>
          <w:szCs w:val="24"/>
        </w:rPr>
        <w:t>的情况。</w:t>
      </w:r>
    </w:p>
    <w:p>
      <w:pPr>
        <w:spacing w:before="162" w:line="233" w:lineRule="auto"/>
        <w:ind w:left="1347"/>
        <w:rPr>
          <w:rFonts w:ascii="微软雅黑" w:hAnsi="微软雅黑" w:eastAsia="微软雅黑" w:cs="微软雅黑"/>
          <w:sz w:val="31"/>
          <w:szCs w:val="31"/>
        </w:rPr>
      </w:pPr>
      <w:r>
        <w:rPr>
          <w:rFonts w:ascii="Times New Roman" w:hAnsi="Times New Roman" w:eastAsia="Times New Roman" w:cs="Times New Roman"/>
          <w:i/>
          <w:iCs/>
          <w:spacing w:val="-6"/>
          <w:sz w:val="23"/>
          <w:szCs w:val="23"/>
        </w:rPr>
        <w:t>L</w:t>
      </w:r>
      <w:r>
        <w:rPr>
          <w:rFonts w:ascii="Times New Roman" w:hAnsi="Times New Roman" w:eastAsia="Times New Roman" w:cs="Times New Roman"/>
          <w:i/>
          <w:iCs/>
          <w:spacing w:val="-6"/>
          <w:position w:val="-5"/>
          <w:sz w:val="13"/>
          <w:szCs w:val="13"/>
        </w:rPr>
        <w:t>w</w:t>
      </w:r>
      <w:r>
        <w:rPr>
          <w:rFonts w:ascii="Times New Roman" w:hAnsi="Times New Roman" w:eastAsia="Times New Roman" w:cs="Times New Roman"/>
          <w:i/>
          <w:iCs/>
          <w:spacing w:val="9"/>
          <w:position w:val="-5"/>
          <w:sz w:val="13"/>
          <w:szCs w:val="13"/>
        </w:rPr>
        <w:t xml:space="preserve"> </w:t>
      </w:r>
      <w:r>
        <w:rPr>
          <w:rFonts w:ascii="微软雅黑" w:hAnsi="微软雅黑" w:eastAsia="微软雅黑" w:cs="微软雅黑"/>
          <w:spacing w:val="-6"/>
          <w:sz w:val="31"/>
          <w:szCs w:val="31"/>
        </w:rPr>
        <w:t>(</w:t>
      </w:r>
      <w:r>
        <w:rPr>
          <w:rFonts w:ascii="Times New Roman" w:hAnsi="Times New Roman" w:eastAsia="Times New Roman" w:cs="Times New Roman"/>
          <w:i/>
          <w:iCs/>
          <w:spacing w:val="-6"/>
          <w:sz w:val="23"/>
          <w:szCs w:val="23"/>
        </w:rPr>
        <w:t>r</w:t>
      </w:r>
      <w:r>
        <w:rPr>
          <w:rFonts w:ascii="微软雅黑" w:hAnsi="微软雅黑" w:eastAsia="微软雅黑" w:cs="微软雅黑"/>
          <w:spacing w:val="-6"/>
          <w:sz w:val="31"/>
          <w:szCs w:val="31"/>
        </w:rPr>
        <w:t>)</w:t>
      </w:r>
      <w:r>
        <w:rPr>
          <w:rFonts w:ascii="微软雅黑" w:hAnsi="微软雅黑" w:eastAsia="微软雅黑" w:cs="微软雅黑"/>
          <w:spacing w:val="-45"/>
          <w:sz w:val="31"/>
          <w:szCs w:val="31"/>
        </w:rPr>
        <w:t xml:space="preserve"> </w:t>
      </w:r>
      <w:r>
        <w:rPr>
          <w:rFonts w:ascii="微软雅黑" w:hAnsi="微软雅黑" w:eastAsia="微软雅黑" w:cs="微软雅黑"/>
          <w:spacing w:val="-6"/>
          <w:sz w:val="23"/>
          <w:szCs w:val="23"/>
        </w:rPr>
        <w:t xml:space="preserve">= </w:t>
      </w:r>
      <w:r>
        <w:rPr>
          <w:rFonts w:ascii="Times New Roman" w:hAnsi="Times New Roman" w:eastAsia="Times New Roman" w:cs="Times New Roman"/>
          <w:i/>
          <w:iCs/>
          <w:spacing w:val="-6"/>
          <w:sz w:val="23"/>
          <w:szCs w:val="23"/>
        </w:rPr>
        <w:t>L</w:t>
      </w:r>
      <w:r>
        <w:rPr>
          <w:rFonts w:ascii="Times New Roman" w:hAnsi="Times New Roman" w:eastAsia="Times New Roman" w:cs="Times New Roman"/>
          <w:i/>
          <w:iCs/>
          <w:spacing w:val="-6"/>
          <w:position w:val="-5"/>
          <w:sz w:val="13"/>
          <w:szCs w:val="13"/>
        </w:rPr>
        <w:t>A</w:t>
      </w:r>
      <w:r>
        <w:rPr>
          <w:rFonts w:ascii="Times New Roman" w:hAnsi="Times New Roman" w:eastAsia="Times New Roman" w:cs="Times New Roman"/>
          <w:i/>
          <w:iCs/>
          <w:spacing w:val="8"/>
          <w:w w:val="102"/>
          <w:position w:val="-5"/>
          <w:sz w:val="13"/>
          <w:szCs w:val="13"/>
        </w:rPr>
        <w:t xml:space="preserve"> </w:t>
      </w:r>
      <w:r>
        <w:rPr>
          <w:rFonts w:ascii="微软雅黑" w:hAnsi="微软雅黑" w:eastAsia="微软雅黑" w:cs="微软雅黑"/>
          <w:spacing w:val="-6"/>
          <w:sz w:val="31"/>
          <w:szCs w:val="31"/>
        </w:rPr>
        <w:t>(</w:t>
      </w:r>
      <w:r>
        <w:rPr>
          <w:rFonts w:ascii="Times New Roman" w:hAnsi="Times New Roman" w:eastAsia="Times New Roman" w:cs="Times New Roman"/>
          <w:i/>
          <w:iCs/>
          <w:spacing w:val="-6"/>
          <w:sz w:val="23"/>
          <w:szCs w:val="23"/>
        </w:rPr>
        <w:t>r</w:t>
      </w:r>
      <w:r>
        <w:rPr>
          <w:rFonts w:ascii="Times New Roman" w:hAnsi="Times New Roman" w:eastAsia="Times New Roman" w:cs="Times New Roman"/>
          <w:spacing w:val="-6"/>
          <w:position w:val="-5"/>
          <w:sz w:val="13"/>
          <w:szCs w:val="13"/>
        </w:rPr>
        <w:t>0</w:t>
      </w:r>
      <w:r>
        <w:rPr>
          <w:rFonts w:ascii="Times New Roman" w:hAnsi="Times New Roman" w:eastAsia="Times New Roman" w:cs="Times New Roman"/>
          <w:spacing w:val="14"/>
          <w:position w:val="-5"/>
          <w:sz w:val="13"/>
          <w:szCs w:val="13"/>
        </w:rPr>
        <w:t xml:space="preserve"> </w:t>
      </w:r>
      <w:r>
        <w:rPr>
          <w:rFonts w:ascii="微软雅黑" w:hAnsi="微软雅黑" w:eastAsia="微软雅黑" w:cs="微软雅黑"/>
          <w:spacing w:val="-13"/>
          <w:sz w:val="31"/>
          <w:szCs w:val="31"/>
        </w:rPr>
        <w:t>)</w:t>
      </w:r>
      <w:r>
        <w:rPr>
          <w:rFonts w:ascii="微软雅黑" w:hAnsi="微软雅黑" w:eastAsia="微软雅黑" w:cs="微软雅黑"/>
          <w:spacing w:val="-13"/>
          <w:sz w:val="23"/>
          <w:szCs w:val="23"/>
        </w:rPr>
        <w:t>+</w:t>
      </w:r>
      <w:r>
        <w:rPr>
          <w:rFonts w:ascii="微软雅黑" w:hAnsi="微软雅黑" w:eastAsia="微软雅黑" w:cs="微软雅黑"/>
          <w:spacing w:val="-14"/>
          <w:sz w:val="23"/>
          <w:szCs w:val="23"/>
        </w:rPr>
        <w:t xml:space="preserve"> </w:t>
      </w:r>
      <w:r>
        <w:rPr>
          <w:rFonts w:ascii="微软雅黑" w:hAnsi="微软雅黑" w:eastAsia="微软雅黑" w:cs="微软雅黑"/>
          <w:spacing w:val="-13"/>
          <w:sz w:val="23"/>
          <w:szCs w:val="23"/>
        </w:rPr>
        <w:t>Δ</w:t>
      </w:r>
      <w:r>
        <w:rPr>
          <w:rFonts w:ascii="Times New Roman" w:hAnsi="Times New Roman" w:eastAsia="Times New Roman" w:cs="Times New Roman"/>
          <w:i/>
          <w:iCs/>
          <w:spacing w:val="-13"/>
          <w:sz w:val="23"/>
          <w:szCs w:val="23"/>
        </w:rPr>
        <w:t>L</w:t>
      </w:r>
      <w:r>
        <w:rPr>
          <w:rFonts w:ascii="Times New Roman" w:hAnsi="Times New Roman" w:eastAsia="Times New Roman" w:cs="Times New Roman"/>
          <w:i/>
          <w:iCs/>
          <w:spacing w:val="8"/>
          <w:position w:val="-5"/>
          <w:sz w:val="13"/>
          <w:szCs w:val="13"/>
        </w:rPr>
        <w:t>r</w:t>
      </w:r>
      <w:r>
        <w:rPr>
          <w:rFonts w:ascii="Times New Roman" w:hAnsi="Times New Roman" w:eastAsia="Times New Roman" w:cs="Times New Roman"/>
          <w:i/>
          <w:iCs/>
          <w:spacing w:val="12"/>
          <w:w w:val="102"/>
          <w:position w:val="-5"/>
          <w:sz w:val="13"/>
          <w:szCs w:val="13"/>
        </w:rPr>
        <w:t xml:space="preserve">  </w:t>
      </w:r>
      <w:r>
        <w:rPr>
          <w:rFonts w:ascii="微软雅黑" w:hAnsi="微软雅黑" w:eastAsia="微软雅黑" w:cs="微软雅黑"/>
          <w:spacing w:val="-6"/>
          <w:sz w:val="23"/>
          <w:szCs w:val="23"/>
        </w:rPr>
        <w:t>−</w:t>
      </w:r>
      <w:r>
        <w:rPr>
          <w:rFonts w:ascii="微软雅黑" w:hAnsi="微软雅黑" w:eastAsia="微软雅黑" w:cs="微软雅黑"/>
          <w:spacing w:val="-16"/>
          <w:sz w:val="23"/>
          <w:szCs w:val="23"/>
        </w:rPr>
        <w:t xml:space="preserve"> </w:t>
      </w:r>
      <w:r>
        <w:rPr>
          <w:rFonts w:ascii="Times New Roman" w:hAnsi="Times New Roman" w:eastAsia="Times New Roman" w:cs="Times New Roman"/>
          <w:spacing w:val="-6"/>
          <w:sz w:val="23"/>
          <w:szCs w:val="23"/>
        </w:rPr>
        <w:t>20</w:t>
      </w:r>
      <w:r>
        <w:rPr>
          <w:rFonts w:ascii="Times New Roman" w:hAnsi="Times New Roman" w:eastAsia="Times New Roman" w:cs="Times New Roman"/>
          <w:spacing w:val="-27"/>
          <w:sz w:val="23"/>
          <w:szCs w:val="23"/>
        </w:rPr>
        <w:t xml:space="preserve"> </w:t>
      </w:r>
      <w:r>
        <w:rPr>
          <w:rFonts w:ascii="Times New Roman" w:hAnsi="Times New Roman" w:eastAsia="Times New Roman" w:cs="Times New Roman"/>
          <w:spacing w:val="-6"/>
          <w:sz w:val="23"/>
          <w:szCs w:val="23"/>
        </w:rPr>
        <w:t>lg</w:t>
      </w:r>
      <w:r>
        <w:rPr>
          <w:rFonts w:ascii="微软雅黑" w:hAnsi="微软雅黑" w:eastAsia="微软雅黑" w:cs="微软雅黑"/>
          <w:spacing w:val="-6"/>
          <w:sz w:val="31"/>
          <w:szCs w:val="31"/>
        </w:rPr>
        <w:t>(</w:t>
      </w:r>
      <w:r>
        <w:rPr>
          <w:rFonts w:ascii="Times New Roman" w:hAnsi="Times New Roman" w:eastAsia="Times New Roman" w:cs="Times New Roman"/>
          <w:i/>
          <w:iCs/>
          <w:spacing w:val="-6"/>
          <w:sz w:val="23"/>
          <w:szCs w:val="23"/>
        </w:rPr>
        <w:t>r</w:t>
      </w:r>
      <w:r>
        <w:rPr>
          <w:rFonts w:ascii="Times New Roman" w:hAnsi="Times New Roman" w:eastAsia="Times New Roman" w:cs="Times New Roman"/>
          <w:i/>
          <w:iCs/>
          <w:spacing w:val="-12"/>
          <w:sz w:val="23"/>
          <w:szCs w:val="23"/>
        </w:rPr>
        <w:t xml:space="preserve"> </w:t>
      </w:r>
      <w:r>
        <w:rPr>
          <w:rFonts w:ascii="Times New Roman" w:hAnsi="Times New Roman" w:eastAsia="Times New Roman" w:cs="Times New Roman"/>
          <w:spacing w:val="-6"/>
          <w:sz w:val="23"/>
          <w:szCs w:val="23"/>
        </w:rPr>
        <w:t>/</w:t>
      </w:r>
      <w:r>
        <w:rPr>
          <w:rFonts w:ascii="Times New Roman" w:hAnsi="Times New Roman" w:eastAsia="Times New Roman" w:cs="Times New Roman"/>
          <w:spacing w:val="-12"/>
          <w:sz w:val="23"/>
          <w:szCs w:val="23"/>
        </w:rPr>
        <w:t xml:space="preserve"> </w:t>
      </w:r>
      <w:r>
        <w:rPr>
          <w:rFonts w:ascii="Times New Roman" w:hAnsi="Times New Roman" w:eastAsia="Times New Roman" w:cs="Times New Roman"/>
          <w:i/>
          <w:iCs/>
          <w:spacing w:val="-6"/>
          <w:sz w:val="23"/>
          <w:szCs w:val="23"/>
        </w:rPr>
        <w:t>r</w:t>
      </w:r>
      <w:r>
        <w:rPr>
          <w:rFonts w:ascii="Times New Roman" w:hAnsi="Times New Roman" w:eastAsia="Times New Roman" w:cs="Times New Roman"/>
          <w:spacing w:val="-6"/>
          <w:position w:val="-5"/>
          <w:sz w:val="13"/>
          <w:szCs w:val="13"/>
        </w:rPr>
        <w:t>0</w:t>
      </w:r>
      <w:r>
        <w:rPr>
          <w:rFonts w:ascii="Times New Roman" w:hAnsi="Times New Roman" w:eastAsia="Times New Roman" w:cs="Times New Roman"/>
          <w:spacing w:val="14"/>
          <w:w w:val="102"/>
          <w:position w:val="-5"/>
          <w:sz w:val="13"/>
          <w:szCs w:val="13"/>
        </w:rPr>
        <w:t xml:space="preserve"> </w:t>
      </w:r>
      <w:r>
        <w:rPr>
          <w:rFonts w:ascii="微软雅黑" w:hAnsi="微软雅黑" w:eastAsia="微软雅黑" w:cs="微软雅黑"/>
          <w:spacing w:val="-20"/>
          <w:w w:val="96"/>
          <w:sz w:val="31"/>
          <w:szCs w:val="31"/>
        </w:rPr>
        <w:t>)</w:t>
      </w:r>
      <w:r>
        <w:rPr>
          <w:rFonts w:ascii="微软雅黑" w:hAnsi="微软雅黑" w:eastAsia="微软雅黑" w:cs="微软雅黑"/>
          <w:spacing w:val="-20"/>
          <w:w w:val="96"/>
          <w:sz w:val="23"/>
          <w:szCs w:val="23"/>
        </w:rPr>
        <w:t>−</w:t>
      </w:r>
      <w:r>
        <w:rPr>
          <w:rFonts w:ascii="微软雅黑" w:hAnsi="微软雅黑" w:eastAsia="微软雅黑" w:cs="微软雅黑"/>
          <w:spacing w:val="-16"/>
          <w:sz w:val="23"/>
          <w:szCs w:val="23"/>
        </w:rPr>
        <w:t xml:space="preserve"> </w:t>
      </w:r>
      <w:r>
        <w:rPr>
          <w:rFonts w:ascii="Times New Roman" w:hAnsi="Times New Roman" w:eastAsia="Times New Roman" w:cs="Times New Roman"/>
          <w:i/>
          <w:iCs/>
          <w:spacing w:val="-20"/>
          <w:w w:val="96"/>
          <w:sz w:val="23"/>
          <w:szCs w:val="23"/>
        </w:rPr>
        <w:t xml:space="preserve">a </w:t>
      </w:r>
      <w:r>
        <w:rPr>
          <w:rFonts w:ascii="微软雅黑" w:hAnsi="微软雅黑" w:eastAsia="微软雅黑" w:cs="微软雅黑"/>
          <w:spacing w:val="-20"/>
          <w:w w:val="96"/>
          <w:sz w:val="23"/>
          <w:szCs w:val="23"/>
        </w:rPr>
        <w:t>根</w:t>
      </w:r>
      <w:r>
        <w:rPr>
          <w:rFonts w:ascii="微软雅黑" w:hAnsi="微软雅黑" w:eastAsia="微软雅黑" w:cs="微软雅黑"/>
          <w:spacing w:val="-22"/>
          <w:sz w:val="23"/>
          <w:szCs w:val="23"/>
        </w:rPr>
        <w:t xml:space="preserve"> </w:t>
      </w:r>
      <w:r>
        <w:rPr>
          <w:rFonts w:ascii="微软雅黑" w:hAnsi="微软雅黑" w:eastAsia="微软雅黑" w:cs="微软雅黑"/>
          <w:spacing w:val="-20"/>
          <w:w w:val="96"/>
          <w:sz w:val="31"/>
          <w:szCs w:val="31"/>
        </w:rPr>
        <w:t>(</w:t>
      </w:r>
      <w:r>
        <w:rPr>
          <w:rFonts w:ascii="Times New Roman" w:hAnsi="Times New Roman" w:eastAsia="Times New Roman" w:cs="Times New Roman"/>
          <w:i/>
          <w:iCs/>
          <w:spacing w:val="-20"/>
          <w:w w:val="96"/>
          <w:sz w:val="23"/>
          <w:szCs w:val="23"/>
        </w:rPr>
        <w:t>r</w:t>
      </w:r>
      <w:r>
        <w:rPr>
          <w:rFonts w:ascii="Times New Roman" w:hAnsi="Times New Roman" w:eastAsia="Times New Roman" w:cs="Times New Roman"/>
          <w:i/>
          <w:iCs/>
          <w:spacing w:val="3"/>
          <w:sz w:val="23"/>
          <w:szCs w:val="23"/>
        </w:rPr>
        <w:t xml:space="preserve"> </w:t>
      </w:r>
      <w:r>
        <w:rPr>
          <w:rFonts w:ascii="微软雅黑" w:hAnsi="微软雅黑" w:eastAsia="微软雅黑" w:cs="微软雅黑"/>
          <w:spacing w:val="-20"/>
          <w:w w:val="96"/>
          <w:sz w:val="23"/>
          <w:szCs w:val="23"/>
        </w:rPr>
        <w:t xml:space="preserve">− </w:t>
      </w:r>
      <w:r>
        <w:rPr>
          <w:rFonts w:ascii="Times New Roman" w:hAnsi="Times New Roman" w:eastAsia="Times New Roman" w:cs="Times New Roman"/>
          <w:i/>
          <w:iCs/>
          <w:spacing w:val="-20"/>
          <w:w w:val="96"/>
          <w:sz w:val="23"/>
          <w:szCs w:val="23"/>
        </w:rPr>
        <w:t>r</w:t>
      </w:r>
      <w:r>
        <w:rPr>
          <w:rFonts w:ascii="Times New Roman" w:hAnsi="Times New Roman" w:eastAsia="Times New Roman" w:cs="Times New Roman"/>
          <w:spacing w:val="-1"/>
          <w:position w:val="-5"/>
          <w:sz w:val="13"/>
          <w:szCs w:val="13"/>
        </w:rPr>
        <w:t>0</w:t>
      </w:r>
      <w:r>
        <w:rPr>
          <w:rFonts w:ascii="Times New Roman" w:hAnsi="Times New Roman" w:eastAsia="Times New Roman" w:cs="Times New Roman"/>
          <w:spacing w:val="14"/>
          <w:w w:val="101"/>
          <w:position w:val="-5"/>
          <w:sz w:val="13"/>
          <w:szCs w:val="13"/>
        </w:rPr>
        <w:t xml:space="preserve"> </w:t>
      </w:r>
      <w:r>
        <w:rPr>
          <w:rFonts w:ascii="微软雅黑" w:hAnsi="微软雅黑" w:eastAsia="微软雅黑" w:cs="微软雅黑"/>
          <w:spacing w:val="-1"/>
          <w:sz w:val="31"/>
          <w:szCs w:val="31"/>
        </w:rPr>
        <w:t>)</w:t>
      </w:r>
    </w:p>
    <w:p>
      <w:pPr>
        <w:spacing w:line="220" w:lineRule="auto"/>
        <w:ind w:left="724"/>
        <w:rPr>
          <w:rFonts w:ascii="宋体" w:hAnsi="宋体" w:eastAsia="宋体" w:cs="宋体"/>
          <w:sz w:val="24"/>
          <w:szCs w:val="24"/>
        </w:rPr>
      </w:pPr>
      <w:r>
        <w:rPr>
          <w:rFonts w:ascii="宋体" w:hAnsi="宋体" w:eastAsia="宋体" w:cs="宋体"/>
          <w:spacing w:val="-16"/>
          <w:sz w:val="24"/>
          <w:szCs w:val="24"/>
        </w:rPr>
        <w:t>式中：</w:t>
      </w:r>
    </w:p>
    <w:p>
      <w:pPr>
        <w:spacing w:before="163" w:line="182" w:lineRule="auto"/>
        <w:ind w:left="1227"/>
        <w:rPr>
          <w:rFonts w:ascii="宋体" w:hAnsi="宋体" w:eastAsia="宋体" w:cs="宋体"/>
          <w:sz w:val="24"/>
          <w:szCs w:val="24"/>
        </w:rPr>
      </w:pPr>
      <w:r>
        <w:rPr>
          <w:rFonts w:ascii="Times New Roman" w:hAnsi="Times New Roman" w:eastAsia="Times New Roman" w:cs="Times New Roman"/>
          <w:i/>
          <w:iCs/>
          <w:sz w:val="23"/>
          <w:szCs w:val="23"/>
        </w:rPr>
        <w:t>L</w:t>
      </w:r>
      <w:r>
        <w:rPr>
          <w:rFonts w:ascii="Times New Roman" w:hAnsi="Times New Roman" w:eastAsia="Times New Roman" w:cs="Times New Roman"/>
          <w:i/>
          <w:iCs/>
          <w:position w:val="-5"/>
          <w:sz w:val="13"/>
          <w:szCs w:val="13"/>
        </w:rPr>
        <w:t>w</w:t>
      </w:r>
      <w:r>
        <w:rPr>
          <w:rFonts w:ascii="Times New Roman" w:hAnsi="Times New Roman" w:eastAsia="Times New Roman" w:cs="Times New Roman"/>
          <w:i/>
          <w:iCs/>
          <w:spacing w:val="10"/>
          <w:w w:val="102"/>
          <w:position w:val="-5"/>
          <w:sz w:val="13"/>
          <w:szCs w:val="13"/>
        </w:rPr>
        <w:t xml:space="preserve"> </w:t>
      </w:r>
      <w:r>
        <w:rPr>
          <w:rFonts w:ascii="微软雅黑" w:hAnsi="微软雅黑" w:eastAsia="微软雅黑" w:cs="微软雅黑"/>
          <w:sz w:val="31"/>
          <w:szCs w:val="31"/>
        </w:rPr>
        <w:t>(</w:t>
      </w:r>
      <w:r>
        <w:rPr>
          <w:rFonts w:ascii="Times New Roman" w:hAnsi="Times New Roman" w:eastAsia="Times New Roman" w:cs="Times New Roman"/>
          <w:i/>
          <w:iCs/>
          <w:sz w:val="23"/>
          <w:szCs w:val="23"/>
        </w:rPr>
        <w:t>r</w:t>
      </w:r>
      <w:r>
        <w:rPr>
          <w:rFonts w:ascii="微软雅黑" w:hAnsi="微软雅黑" w:eastAsia="微软雅黑" w:cs="微软雅黑"/>
          <w:sz w:val="31"/>
          <w:szCs w:val="31"/>
        </w:rPr>
        <w:t>)</w:t>
      </w:r>
      <w:r>
        <w:rPr>
          <w:rFonts w:ascii="Times New Roman" w:hAnsi="Times New Roman" w:eastAsia="Times New Roman" w:cs="Times New Roman"/>
          <w:sz w:val="24"/>
          <w:szCs w:val="24"/>
        </w:rPr>
        <w:t>——</w:t>
      </w:r>
      <w:r>
        <w:rPr>
          <w:rFonts w:ascii="宋体" w:hAnsi="宋体" w:eastAsia="宋体" w:cs="宋体"/>
          <w:sz w:val="24"/>
          <w:szCs w:val="24"/>
        </w:rPr>
        <w:t>为预测点的噪声</w:t>
      </w:r>
      <w:r>
        <w:rPr>
          <w:rFonts w:ascii="宋体" w:hAnsi="宋体" w:eastAsia="宋体" w:cs="宋体"/>
          <w:spacing w:val="-59"/>
          <w:sz w:val="24"/>
          <w:szCs w:val="24"/>
        </w:rPr>
        <w:t xml:space="preserve"> </w:t>
      </w:r>
      <w:r>
        <w:rPr>
          <w:rFonts w:ascii="Times New Roman" w:hAnsi="Times New Roman" w:eastAsia="Times New Roman" w:cs="Times New Roman"/>
          <w:sz w:val="24"/>
          <w:szCs w:val="24"/>
        </w:rPr>
        <w:t xml:space="preserve">A </w:t>
      </w:r>
      <w:r>
        <w:rPr>
          <w:rFonts w:ascii="宋体" w:hAnsi="宋体" w:eastAsia="宋体" w:cs="宋体"/>
          <w:sz w:val="24"/>
          <w:szCs w:val="24"/>
        </w:rPr>
        <w:t>声压级（</w:t>
      </w:r>
      <w:r>
        <w:rPr>
          <w:rFonts w:ascii="Times New Roman" w:hAnsi="Times New Roman" w:eastAsia="Times New Roman" w:cs="Times New Roman"/>
          <w:sz w:val="24"/>
          <w:szCs w:val="24"/>
        </w:rPr>
        <w:t>dB</w:t>
      </w:r>
      <w:r>
        <w:rPr>
          <w:rFonts w:ascii="宋体" w:hAnsi="宋体" w:eastAsia="宋体" w:cs="宋体"/>
          <w:spacing w:val="-11"/>
          <w:sz w:val="24"/>
          <w:szCs w:val="24"/>
        </w:rPr>
        <w:t>）；</w:t>
      </w:r>
    </w:p>
    <w:p>
      <w:pPr>
        <w:spacing w:before="116" w:line="171" w:lineRule="auto"/>
        <w:ind w:left="1227"/>
        <w:rPr>
          <w:rFonts w:ascii="宋体" w:hAnsi="宋体" w:eastAsia="宋体" w:cs="宋体"/>
          <w:sz w:val="24"/>
          <w:szCs w:val="24"/>
        </w:rPr>
      </w:pPr>
      <w:r>
        <w:rPr>
          <w:rFonts w:ascii="Times New Roman" w:hAnsi="Times New Roman" w:eastAsia="Times New Roman" w:cs="Times New Roman"/>
          <w:i/>
          <w:iCs/>
          <w:spacing w:val="-2"/>
          <w:w w:val="99"/>
          <w:sz w:val="23"/>
          <w:szCs w:val="23"/>
        </w:rPr>
        <w:t>L</w:t>
      </w:r>
      <w:r>
        <w:rPr>
          <w:rFonts w:ascii="Times New Roman" w:hAnsi="Times New Roman" w:eastAsia="Times New Roman" w:cs="Times New Roman"/>
          <w:i/>
          <w:iCs/>
          <w:spacing w:val="-2"/>
          <w:w w:val="99"/>
          <w:position w:val="-5"/>
          <w:sz w:val="13"/>
          <w:szCs w:val="13"/>
        </w:rPr>
        <w:t>A</w:t>
      </w:r>
      <w:r>
        <w:rPr>
          <w:rFonts w:ascii="Times New Roman" w:hAnsi="Times New Roman" w:eastAsia="Times New Roman" w:cs="Times New Roman"/>
          <w:i/>
          <w:iCs/>
          <w:spacing w:val="9"/>
          <w:w w:val="101"/>
          <w:position w:val="-5"/>
          <w:sz w:val="13"/>
          <w:szCs w:val="13"/>
        </w:rPr>
        <w:t xml:space="preserve"> </w:t>
      </w:r>
      <w:r>
        <w:rPr>
          <w:rFonts w:ascii="微软雅黑" w:hAnsi="微软雅黑" w:eastAsia="微软雅黑" w:cs="微软雅黑"/>
          <w:spacing w:val="-2"/>
          <w:w w:val="99"/>
          <w:sz w:val="31"/>
          <w:szCs w:val="31"/>
        </w:rPr>
        <w:t>(</w:t>
      </w:r>
      <w:r>
        <w:rPr>
          <w:rFonts w:ascii="Times New Roman" w:hAnsi="Times New Roman" w:eastAsia="Times New Roman" w:cs="Times New Roman"/>
          <w:i/>
          <w:iCs/>
          <w:spacing w:val="-2"/>
          <w:w w:val="99"/>
          <w:sz w:val="23"/>
          <w:szCs w:val="23"/>
        </w:rPr>
        <w:t>r</w:t>
      </w:r>
      <w:r>
        <w:rPr>
          <w:rFonts w:ascii="Times New Roman" w:hAnsi="Times New Roman" w:eastAsia="Times New Roman" w:cs="Times New Roman"/>
          <w:spacing w:val="-2"/>
          <w:w w:val="99"/>
          <w:position w:val="-5"/>
          <w:sz w:val="13"/>
          <w:szCs w:val="13"/>
        </w:rPr>
        <w:t>0</w:t>
      </w:r>
      <w:r>
        <w:rPr>
          <w:rFonts w:ascii="Times New Roman" w:hAnsi="Times New Roman" w:eastAsia="Times New Roman" w:cs="Times New Roman"/>
          <w:spacing w:val="13"/>
          <w:w w:val="102"/>
          <w:position w:val="-5"/>
          <w:sz w:val="13"/>
          <w:szCs w:val="13"/>
        </w:rPr>
        <w:t xml:space="preserve"> </w:t>
      </w:r>
      <w:r>
        <w:rPr>
          <w:rFonts w:ascii="微软雅黑" w:hAnsi="微软雅黑" w:eastAsia="微软雅黑" w:cs="微软雅黑"/>
          <w:spacing w:val="-2"/>
          <w:sz w:val="31"/>
          <w:szCs w:val="31"/>
        </w:rPr>
        <w:t>)</w:t>
      </w:r>
      <w:r>
        <w:rPr>
          <w:rFonts w:ascii="微软雅黑" w:hAnsi="微软雅黑" w:eastAsia="微软雅黑" w:cs="微软雅黑"/>
          <w:spacing w:val="-65"/>
          <w:sz w:val="31"/>
          <w:szCs w:val="31"/>
        </w:rPr>
        <w:t xml:space="preserve"> </w:t>
      </w:r>
      <w:r>
        <w:rPr>
          <w:rFonts w:ascii="Times New Roman" w:hAnsi="Times New Roman" w:eastAsia="Times New Roman" w:cs="Times New Roman"/>
          <w:spacing w:val="-2"/>
          <w:sz w:val="24"/>
          <w:szCs w:val="24"/>
        </w:rPr>
        <w:t>——</w:t>
      </w:r>
      <w:r>
        <w:rPr>
          <w:rFonts w:ascii="宋体" w:hAnsi="宋体" w:eastAsia="宋体" w:cs="宋体"/>
          <w:spacing w:val="-2"/>
          <w:sz w:val="24"/>
          <w:szCs w:val="24"/>
        </w:rPr>
        <w:t>为参照基准点的噪声</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 xml:space="preserve">A </w:t>
      </w:r>
      <w:r>
        <w:rPr>
          <w:rFonts w:ascii="宋体" w:hAnsi="宋体" w:eastAsia="宋体" w:cs="宋体"/>
          <w:spacing w:val="-2"/>
          <w:sz w:val="24"/>
          <w:szCs w:val="24"/>
        </w:rPr>
        <w:t>声压级（</w:t>
      </w:r>
      <w:r>
        <w:rPr>
          <w:rFonts w:ascii="Times New Roman" w:hAnsi="Times New Roman" w:eastAsia="Times New Roman" w:cs="Times New Roman"/>
          <w:spacing w:val="-2"/>
          <w:sz w:val="24"/>
          <w:szCs w:val="24"/>
        </w:rPr>
        <w:t>dB</w:t>
      </w:r>
      <w:r>
        <w:rPr>
          <w:rFonts w:ascii="宋体" w:hAnsi="宋体" w:eastAsia="宋体" w:cs="宋体"/>
          <w:spacing w:val="-9"/>
          <w:sz w:val="24"/>
          <w:szCs w:val="24"/>
        </w:rPr>
        <w:t>）；</w:t>
      </w:r>
    </w:p>
    <w:p>
      <w:pPr>
        <w:spacing w:before="154" w:line="205" w:lineRule="auto"/>
        <w:ind w:left="1230"/>
        <w:rPr>
          <w:rFonts w:ascii="宋体" w:hAnsi="宋体" w:eastAsia="宋体" w:cs="宋体"/>
          <w:sz w:val="24"/>
          <w:szCs w:val="24"/>
        </w:rPr>
      </w:pPr>
      <w:r>
        <w:rPr>
          <w:rFonts w:ascii="微软雅黑" w:hAnsi="微软雅黑" w:eastAsia="微软雅黑" w:cs="微软雅黑"/>
          <w:spacing w:val="-5"/>
          <w:w w:val="95"/>
          <w:sz w:val="24"/>
          <w:szCs w:val="24"/>
        </w:rPr>
        <w:t>Δ</w:t>
      </w:r>
      <w:r>
        <w:rPr>
          <w:rFonts w:ascii="Times New Roman" w:hAnsi="Times New Roman" w:eastAsia="Times New Roman" w:cs="Times New Roman"/>
          <w:i/>
          <w:iCs/>
          <w:spacing w:val="-5"/>
          <w:w w:val="95"/>
          <w:sz w:val="24"/>
          <w:szCs w:val="24"/>
        </w:rPr>
        <w:t>L</w:t>
      </w:r>
      <w:r>
        <w:rPr>
          <w:rFonts w:ascii="Times New Roman" w:hAnsi="Times New Roman" w:eastAsia="Times New Roman" w:cs="Times New Roman"/>
          <w:i/>
          <w:iCs/>
          <w:spacing w:val="-2"/>
          <w:position w:val="-6"/>
          <w:sz w:val="14"/>
          <w:szCs w:val="14"/>
        </w:rPr>
        <w:t xml:space="preserve">r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山谷反射的叠加值（</w:t>
      </w:r>
      <w:r>
        <w:rPr>
          <w:rFonts w:ascii="Times New Roman" w:hAnsi="Times New Roman" w:eastAsia="Times New Roman" w:cs="Times New Roman"/>
          <w:spacing w:val="-2"/>
          <w:sz w:val="24"/>
          <w:szCs w:val="24"/>
        </w:rPr>
        <w:t>dB</w:t>
      </w:r>
      <w:r>
        <w:rPr>
          <w:rFonts w:ascii="宋体" w:hAnsi="宋体" w:eastAsia="宋体" w:cs="宋体"/>
          <w:spacing w:val="-8"/>
          <w:sz w:val="24"/>
          <w:szCs w:val="24"/>
        </w:rPr>
        <w:t>）；</w:t>
      </w:r>
    </w:p>
    <w:p>
      <w:pPr>
        <w:spacing w:before="131" w:line="241" w:lineRule="auto"/>
        <w:ind w:left="1232"/>
        <w:rPr>
          <w:rFonts w:ascii="宋体" w:hAnsi="宋体" w:eastAsia="宋体" w:cs="宋体"/>
          <w:sz w:val="24"/>
          <w:szCs w:val="24"/>
        </w:rPr>
      </w:pPr>
      <w:r>
        <w:rPr>
          <w:rFonts w:ascii="Times New Roman" w:hAnsi="Times New Roman" w:eastAsia="Times New Roman" w:cs="Times New Roman"/>
          <w:spacing w:val="-2"/>
          <w:sz w:val="23"/>
          <w:szCs w:val="23"/>
        </w:rPr>
        <w:t>20</w:t>
      </w:r>
      <w:r>
        <w:rPr>
          <w:rFonts w:ascii="Times New Roman" w:hAnsi="Times New Roman" w:eastAsia="Times New Roman" w:cs="Times New Roman"/>
          <w:spacing w:val="-27"/>
          <w:sz w:val="23"/>
          <w:szCs w:val="23"/>
        </w:rPr>
        <w:t xml:space="preserve"> </w:t>
      </w:r>
      <w:r>
        <w:rPr>
          <w:rFonts w:ascii="Times New Roman" w:hAnsi="Times New Roman" w:eastAsia="Times New Roman" w:cs="Times New Roman"/>
          <w:spacing w:val="-2"/>
          <w:sz w:val="23"/>
          <w:szCs w:val="23"/>
        </w:rPr>
        <w:t>lg</w:t>
      </w:r>
      <w:r>
        <w:rPr>
          <w:rFonts w:ascii="微软雅黑" w:hAnsi="微软雅黑" w:eastAsia="微软雅黑" w:cs="微软雅黑"/>
          <w:spacing w:val="-2"/>
          <w:sz w:val="31"/>
          <w:szCs w:val="31"/>
        </w:rPr>
        <w:t>(</w:t>
      </w:r>
      <w:r>
        <w:rPr>
          <w:rFonts w:ascii="Times New Roman" w:hAnsi="Times New Roman" w:eastAsia="Times New Roman" w:cs="Times New Roman"/>
          <w:i/>
          <w:iCs/>
          <w:spacing w:val="-2"/>
          <w:sz w:val="23"/>
          <w:szCs w:val="23"/>
        </w:rPr>
        <w:t>r</w:t>
      </w:r>
      <w:r>
        <w:rPr>
          <w:rFonts w:ascii="Times New Roman" w:hAnsi="Times New Roman" w:eastAsia="Times New Roman" w:cs="Times New Roman"/>
          <w:i/>
          <w:iCs/>
          <w:spacing w:val="-12"/>
          <w:sz w:val="23"/>
          <w:szCs w:val="23"/>
        </w:rPr>
        <w:t xml:space="preserve"> </w:t>
      </w:r>
      <w:r>
        <w:rPr>
          <w:rFonts w:ascii="Times New Roman" w:hAnsi="Times New Roman" w:eastAsia="Times New Roman" w:cs="Times New Roman"/>
          <w:spacing w:val="-2"/>
          <w:sz w:val="23"/>
          <w:szCs w:val="23"/>
        </w:rPr>
        <w:t>/</w:t>
      </w:r>
      <w:r>
        <w:rPr>
          <w:rFonts w:ascii="Times New Roman" w:hAnsi="Times New Roman" w:eastAsia="Times New Roman" w:cs="Times New Roman"/>
          <w:spacing w:val="-11"/>
          <w:sz w:val="23"/>
          <w:szCs w:val="23"/>
        </w:rPr>
        <w:t xml:space="preserve"> </w:t>
      </w:r>
      <w:r>
        <w:rPr>
          <w:rFonts w:ascii="Times New Roman" w:hAnsi="Times New Roman" w:eastAsia="Times New Roman" w:cs="Times New Roman"/>
          <w:i/>
          <w:iCs/>
          <w:spacing w:val="-2"/>
          <w:sz w:val="23"/>
          <w:szCs w:val="23"/>
        </w:rPr>
        <w:t>r</w:t>
      </w:r>
      <w:r>
        <w:rPr>
          <w:rFonts w:ascii="Times New Roman" w:hAnsi="Times New Roman" w:eastAsia="Times New Roman" w:cs="Times New Roman"/>
          <w:spacing w:val="-2"/>
          <w:position w:val="-5"/>
          <w:sz w:val="13"/>
          <w:szCs w:val="13"/>
        </w:rPr>
        <w:t>0</w:t>
      </w:r>
      <w:r>
        <w:rPr>
          <w:rFonts w:ascii="Times New Roman" w:hAnsi="Times New Roman" w:eastAsia="Times New Roman" w:cs="Times New Roman"/>
          <w:spacing w:val="14"/>
          <w:w w:val="101"/>
          <w:position w:val="-5"/>
          <w:sz w:val="13"/>
          <w:szCs w:val="13"/>
        </w:rPr>
        <w:t xml:space="preserve"> </w:t>
      </w:r>
      <w:r>
        <w:rPr>
          <w:rFonts w:ascii="微软雅黑" w:hAnsi="微软雅黑" w:eastAsia="微软雅黑" w:cs="微软雅黑"/>
          <w:spacing w:val="-2"/>
          <w:sz w:val="31"/>
          <w:szCs w:val="31"/>
        </w:rPr>
        <w:t>)</w:t>
      </w:r>
      <w:r>
        <w:rPr>
          <w:rFonts w:ascii="微软雅黑" w:hAnsi="微软雅黑" w:eastAsia="微软雅黑" w:cs="微软雅黑"/>
          <w:spacing w:val="-65"/>
          <w:sz w:val="31"/>
          <w:szCs w:val="31"/>
        </w:rPr>
        <w:t xml:space="preserve"> </w:t>
      </w:r>
      <w:r>
        <w:rPr>
          <w:rFonts w:ascii="Times New Roman" w:hAnsi="Times New Roman" w:eastAsia="Times New Roman" w:cs="Times New Roman"/>
          <w:spacing w:val="-2"/>
          <w:sz w:val="24"/>
          <w:szCs w:val="24"/>
        </w:rPr>
        <w:t>——</w:t>
      </w:r>
      <w:r>
        <w:rPr>
          <w:rFonts w:ascii="宋体" w:hAnsi="宋体" w:eastAsia="宋体" w:cs="宋体"/>
          <w:spacing w:val="-2"/>
          <w:sz w:val="24"/>
          <w:szCs w:val="24"/>
        </w:rPr>
        <w:t>几何发散衰减（</w:t>
      </w:r>
      <w:r>
        <w:rPr>
          <w:rFonts w:ascii="Times New Roman" w:hAnsi="Times New Roman" w:eastAsia="Times New Roman" w:cs="Times New Roman"/>
          <w:spacing w:val="-2"/>
          <w:sz w:val="24"/>
          <w:szCs w:val="24"/>
        </w:rPr>
        <w:t>dB</w:t>
      </w:r>
      <w:r>
        <w:rPr>
          <w:rFonts w:ascii="宋体" w:hAnsi="宋体" w:eastAsia="宋体" w:cs="宋体"/>
          <w:spacing w:val="-14"/>
          <w:sz w:val="24"/>
          <w:szCs w:val="24"/>
        </w:rPr>
        <w:t>）；</w:t>
      </w:r>
    </w:p>
    <w:p>
      <w:pPr>
        <w:spacing w:line="234" w:lineRule="auto"/>
        <w:ind w:left="1232"/>
        <w:rPr>
          <w:rFonts w:ascii="宋体" w:hAnsi="宋体" w:eastAsia="宋体" w:cs="宋体"/>
          <w:sz w:val="24"/>
          <w:szCs w:val="24"/>
        </w:rPr>
      </w:pPr>
      <w:r>
        <w:rPr>
          <w:rFonts w:ascii="Times New Roman" w:hAnsi="Times New Roman" w:eastAsia="Times New Roman" w:cs="Times New Roman"/>
          <w:i/>
          <w:iCs/>
          <w:sz w:val="23"/>
          <w:szCs w:val="23"/>
        </w:rPr>
        <w:t>r</w:t>
      </w:r>
      <w:r>
        <w:rPr>
          <w:rFonts w:ascii="Times New Roman" w:hAnsi="Times New Roman" w:eastAsia="Times New Roman" w:cs="Times New Roman"/>
          <w:i/>
          <w:iCs/>
          <w:spacing w:val="-10"/>
          <w:sz w:val="23"/>
          <w:szCs w:val="23"/>
        </w:rPr>
        <w:t xml:space="preserve"> </w:t>
      </w:r>
      <w:r>
        <w:rPr>
          <w:rFonts w:ascii="Times New Roman" w:hAnsi="Times New Roman" w:eastAsia="Times New Roman" w:cs="Times New Roman"/>
          <w:sz w:val="24"/>
          <w:szCs w:val="24"/>
        </w:rPr>
        <w:t>——</w:t>
      </w:r>
      <w:r>
        <w:rPr>
          <w:rFonts w:ascii="宋体" w:hAnsi="宋体" w:eastAsia="宋体" w:cs="宋体"/>
          <w:sz w:val="24"/>
          <w:szCs w:val="24"/>
        </w:rPr>
        <w:t>为预测点到噪声源的距离（</w:t>
      </w:r>
      <w:r>
        <w:rPr>
          <w:rFonts w:ascii="Times New Roman" w:hAnsi="Times New Roman" w:eastAsia="Times New Roman" w:cs="Times New Roman"/>
          <w:sz w:val="24"/>
          <w:szCs w:val="24"/>
        </w:rPr>
        <w:t>m</w:t>
      </w:r>
      <w:r>
        <w:rPr>
          <w:rFonts w:ascii="宋体" w:hAnsi="宋体" w:eastAsia="宋体" w:cs="宋体"/>
          <w:spacing w:val="-14"/>
          <w:sz w:val="24"/>
          <w:szCs w:val="24"/>
        </w:rPr>
        <w:t>）；</w:t>
      </w:r>
    </w:p>
    <w:p>
      <w:pPr>
        <w:spacing w:before="163" w:line="219" w:lineRule="auto"/>
        <w:ind w:left="1232"/>
        <w:rPr>
          <w:rFonts w:ascii="宋体" w:hAnsi="宋体" w:eastAsia="宋体" w:cs="宋体"/>
          <w:sz w:val="24"/>
          <w:szCs w:val="24"/>
        </w:rPr>
      </w:pPr>
      <w:r>
        <w:rPr>
          <w:rFonts w:ascii="Times New Roman" w:hAnsi="Times New Roman" w:eastAsia="Times New Roman" w:cs="Times New Roman"/>
          <w:i/>
          <w:iCs/>
          <w:spacing w:val="-1"/>
          <w:sz w:val="23"/>
          <w:szCs w:val="23"/>
        </w:rPr>
        <w:t>r</w:t>
      </w:r>
      <w:r>
        <w:rPr>
          <w:rFonts w:ascii="Times New Roman" w:hAnsi="Times New Roman" w:eastAsia="Times New Roman" w:cs="Times New Roman"/>
          <w:spacing w:val="-1"/>
          <w:position w:val="-5"/>
          <w:sz w:val="13"/>
          <w:szCs w:val="13"/>
        </w:rPr>
        <w:t xml:space="preserve">0 </w:t>
      </w:r>
      <w:r>
        <w:rPr>
          <w:rFonts w:ascii="Times New Roman" w:hAnsi="Times New Roman" w:eastAsia="Times New Roman" w:cs="Times New Roman"/>
          <w:spacing w:val="-1"/>
          <w:sz w:val="24"/>
          <w:szCs w:val="24"/>
        </w:rPr>
        <w:t>——</w:t>
      </w:r>
      <w:r>
        <w:rPr>
          <w:rFonts w:ascii="宋体" w:hAnsi="宋体" w:eastAsia="宋体" w:cs="宋体"/>
          <w:spacing w:val="-1"/>
          <w:sz w:val="24"/>
          <w:szCs w:val="24"/>
        </w:rPr>
        <w:t>为参照基准点到噪声源的距离（</w:t>
      </w:r>
      <w:r>
        <w:rPr>
          <w:rFonts w:ascii="Times New Roman" w:hAnsi="Times New Roman" w:eastAsia="Times New Roman" w:cs="Times New Roman"/>
          <w:spacing w:val="-1"/>
          <w:sz w:val="24"/>
          <w:szCs w:val="24"/>
        </w:rPr>
        <w:t>m</w:t>
      </w:r>
      <w:r>
        <w:rPr>
          <w:rFonts w:ascii="宋体" w:hAnsi="宋体" w:eastAsia="宋体" w:cs="宋体"/>
          <w:spacing w:val="-9"/>
          <w:sz w:val="24"/>
          <w:szCs w:val="24"/>
        </w:rPr>
        <w:t>）；</w:t>
      </w:r>
    </w:p>
    <w:p>
      <w:pPr>
        <w:spacing w:before="223" w:line="468" w:lineRule="exact"/>
        <w:ind w:left="1232"/>
        <w:rPr>
          <w:rFonts w:ascii="宋体" w:hAnsi="宋体" w:eastAsia="宋体" w:cs="宋体"/>
          <w:sz w:val="24"/>
          <w:szCs w:val="24"/>
        </w:rPr>
      </w:pPr>
      <w:r>
        <w:rPr>
          <w:rFonts w:ascii="Times New Roman" w:hAnsi="Times New Roman" w:eastAsia="Times New Roman" w:cs="Times New Roman"/>
          <w:i/>
          <w:iCs/>
          <w:spacing w:val="-2"/>
          <w:position w:val="16"/>
          <w:sz w:val="24"/>
          <w:szCs w:val="24"/>
        </w:rPr>
        <w:t>a</w:t>
      </w:r>
      <w:r>
        <w:rPr>
          <w:rFonts w:ascii="Times New Roman" w:hAnsi="Times New Roman" w:eastAsia="Times New Roman" w:cs="Times New Roman"/>
          <w:i/>
          <w:iCs/>
          <w:spacing w:val="-17"/>
          <w:position w:val="16"/>
          <w:sz w:val="24"/>
          <w:szCs w:val="24"/>
        </w:rPr>
        <w:t xml:space="preserve"> </w:t>
      </w:r>
      <w:r>
        <w:rPr>
          <w:rFonts w:ascii="Times New Roman" w:hAnsi="Times New Roman" w:eastAsia="Times New Roman" w:cs="Times New Roman"/>
          <w:spacing w:val="-2"/>
          <w:position w:val="16"/>
          <w:sz w:val="24"/>
          <w:szCs w:val="24"/>
        </w:rPr>
        <w:t>——</w:t>
      </w:r>
      <w:r>
        <w:rPr>
          <w:rFonts w:ascii="宋体" w:hAnsi="宋体" w:eastAsia="宋体" w:cs="宋体"/>
          <w:spacing w:val="-2"/>
          <w:position w:val="16"/>
          <w:sz w:val="24"/>
          <w:szCs w:val="24"/>
        </w:rPr>
        <w:t>为空气吸收附加衰减系数（取</w:t>
      </w:r>
      <w:r>
        <w:rPr>
          <w:rFonts w:ascii="宋体" w:hAnsi="宋体" w:eastAsia="宋体" w:cs="宋体"/>
          <w:spacing w:val="-31"/>
          <w:position w:val="16"/>
          <w:sz w:val="24"/>
          <w:szCs w:val="24"/>
        </w:rPr>
        <w:t xml:space="preserve"> </w:t>
      </w:r>
      <w:r>
        <w:rPr>
          <w:rFonts w:ascii="Times New Roman" w:hAnsi="Times New Roman" w:eastAsia="Times New Roman" w:cs="Times New Roman"/>
          <w:spacing w:val="-2"/>
          <w:position w:val="16"/>
          <w:sz w:val="24"/>
          <w:szCs w:val="24"/>
        </w:rPr>
        <w:t>1dB/100m</w:t>
      </w:r>
      <w:r>
        <w:rPr>
          <w:rFonts w:ascii="宋体" w:hAnsi="宋体" w:eastAsia="宋体" w:cs="宋体"/>
          <w:spacing w:val="-2"/>
          <w:position w:val="16"/>
          <w:sz w:val="24"/>
          <w:szCs w:val="24"/>
        </w:rPr>
        <w:t>）。</w:t>
      </w:r>
    </w:p>
    <w:p>
      <w:pPr>
        <w:spacing w:line="218" w:lineRule="auto"/>
        <w:ind w:left="721"/>
        <w:rPr>
          <w:rFonts w:ascii="宋体" w:hAnsi="宋体" w:eastAsia="宋体" w:cs="宋体"/>
          <w:sz w:val="24"/>
          <w:szCs w:val="24"/>
        </w:rPr>
      </w:pPr>
      <w:r>
        <w:rPr>
          <w:rFonts w:ascii="宋体" w:hAnsi="宋体" w:eastAsia="宋体" w:cs="宋体"/>
          <w:spacing w:val="-1"/>
          <w:sz w:val="24"/>
          <w:szCs w:val="24"/>
        </w:rPr>
        <w:t>经计算，施工过程中露天爆破噪声衰减情况见表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3.8-3</w:t>
      </w:r>
      <w:r>
        <w:rPr>
          <w:rFonts w:ascii="宋体" w:hAnsi="宋体" w:eastAsia="宋体" w:cs="宋体"/>
          <w:spacing w:val="-1"/>
          <w:sz w:val="24"/>
          <w:szCs w:val="24"/>
        </w:rPr>
        <w:t>。</w:t>
      </w:r>
    </w:p>
    <w:p>
      <w:pPr>
        <w:spacing w:before="183" w:line="218" w:lineRule="auto"/>
        <w:ind w:left="213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3.8-3          </w:t>
      </w:r>
      <w:r>
        <w:rPr>
          <w:rFonts w:ascii="宋体" w:hAnsi="宋体" w:eastAsia="宋体" w:cs="宋体"/>
          <w:spacing w:val="-1"/>
          <w:sz w:val="24"/>
          <w:szCs w:val="24"/>
        </w:rPr>
        <w:t>露天爆破噪声衰减情况一览表</w:t>
      </w:r>
    </w:p>
    <w:p>
      <w:pPr>
        <w:spacing w:line="148" w:lineRule="exact"/>
      </w:pPr>
    </w:p>
    <w:tbl>
      <w:tblPr>
        <w:tblStyle w:val="5"/>
        <w:tblW w:w="8528"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3"/>
        <w:gridCol w:w="747"/>
        <w:gridCol w:w="763"/>
        <w:gridCol w:w="777"/>
        <w:gridCol w:w="789"/>
        <w:gridCol w:w="748"/>
        <w:gridCol w:w="760"/>
        <w:gridCol w:w="763"/>
        <w:gridCol w:w="760"/>
        <w:gridCol w:w="7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653" w:type="dxa"/>
            <w:vAlign w:val="top"/>
          </w:tcPr>
          <w:p>
            <w:pPr>
              <w:pStyle w:val="6"/>
              <w:spacing w:before="80" w:line="208" w:lineRule="auto"/>
              <w:ind w:left="53"/>
              <w:rPr>
                <w:rFonts w:ascii="Times New Roman" w:hAnsi="Times New Roman" w:eastAsia="Times New Roman" w:cs="Times New Roman"/>
              </w:rPr>
            </w:pPr>
            <w:r>
              <w:rPr>
                <w:spacing w:val="-2"/>
              </w:rPr>
              <w:t>与噪声源距离</w:t>
            </w:r>
            <w:r>
              <w:rPr>
                <w:rFonts w:ascii="Times New Roman" w:hAnsi="Times New Roman" w:eastAsia="Times New Roman" w:cs="Times New Roman"/>
                <w:spacing w:val="-2"/>
              </w:rPr>
              <w:t>(m)</w:t>
            </w:r>
          </w:p>
        </w:tc>
        <w:tc>
          <w:tcPr>
            <w:tcW w:w="747" w:type="dxa"/>
            <w:vAlign w:val="top"/>
          </w:tcPr>
          <w:p>
            <w:pPr>
              <w:spacing w:before="118" w:line="187" w:lineRule="auto"/>
              <w:ind w:left="34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63" w:type="dxa"/>
            <w:vAlign w:val="top"/>
          </w:tcPr>
          <w:p>
            <w:pPr>
              <w:spacing w:before="118" w:line="187"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777" w:type="dxa"/>
            <w:vAlign w:val="top"/>
          </w:tcPr>
          <w:p>
            <w:pPr>
              <w:spacing w:before="118"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89" w:type="dxa"/>
            <w:vAlign w:val="top"/>
          </w:tcPr>
          <w:p>
            <w:pPr>
              <w:spacing w:before="118"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748" w:type="dxa"/>
            <w:vAlign w:val="top"/>
          </w:tcPr>
          <w:p>
            <w:pPr>
              <w:spacing w:before="118"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150</w:t>
            </w:r>
          </w:p>
        </w:tc>
        <w:tc>
          <w:tcPr>
            <w:tcW w:w="760" w:type="dxa"/>
            <w:vAlign w:val="top"/>
          </w:tcPr>
          <w:p>
            <w:pPr>
              <w:spacing w:before="118"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763" w:type="dxa"/>
            <w:vAlign w:val="top"/>
          </w:tcPr>
          <w:p>
            <w:pPr>
              <w:spacing w:before="118"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760" w:type="dxa"/>
            <w:vAlign w:val="top"/>
          </w:tcPr>
          <w:p>
            <w:pPr>
              <w:spacing w:before="118"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768" w:type="dxa"/>
            <w:vAlign w:val="top"/>
          </w:tcPr>
          <w:p>
            <w:pPr>
              <w:spacing w:before="118"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653" w:type="dxa"/>
            <w:vAlign w:val="top"/>
          </w:tcPr>
          <w:p>
            <w:pPr>
              <w:pStyle w:val="6"/>
              <w:spacing w:before="79" w:line="207" w:lineRule="auto"/>
              <w:ind w:left="123"/>
              <w:rPr>
                <w:rFonts w:ascii="Times New Roman" w:hAnsi="Times New Roman" w:eastAsia="Times New Roman" w:cs="Times New Roman"/>
              </w:rPr>
            </w:pPr>
            <w:r>
              <w:rPr>
                <w:spacing w:val="-2"/>
              </w:rPr>
              <w:t>噪声预测值</w:t>
            </w:r>
            <w:r>
              <w:rPr>
                <w:rFonts w:ascii="Times New Roman" w:hAnsi="Times New Roman" w:eastAsia="Times New Roman" w:cs="Times New Roman"/>
                <w:spacing w:val="-2"/>
              </w:rPr>
              <w:t>(dB)</w:t>
            </w:r>
          </w:p>
        </w:tc>
        <w:tc>
          <w:tcPr>
            <w:tcW w:w="747" w:type="dxa"/>
            <w:vAlign w:val="top"/>
          </w:tcPr>
          <w:p>
            <w:pPr>
              <w:spacing w:before="118" w:line="187" w:lineRule="auto"/>
              <w:ind w:left="15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119.4</w:t>
            </w:r>
          </w:p>
        </w:tc>
        <w:tc>
          <w:tcPr>
            <w:tcW w:w="763" w:type="dxa"/>
            <w:vAlign w:val="top"/>
          </w:tcPr>
          <w:p>
            <w:pPr>
              <w:spacing w:before="118"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99.3</w:t>
            </w:r>
          </w:p>
        </w:tc>
        <w:tc>
          <w:tcPr>
            <w:tcW w:w="777" w:type="dxa"/>
            <w:vAlign w:val="top"/>
          </w:tcPr>
          <w:p>
            <w:pPr>
              <w:spacing w:before="118" w:line="187"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85.0</w:t>
            </w:r>
          </w:p>
        </w:tc>
        <w:tc>
          <w:tcPr>
            <w:tcW w:w="789" w:type="dxa"/>
            <w:vAlign w:val="top"/>
          </w:tcPr>
          <w:p>
            <w:pPr>
              <w:spacing w:before="118"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78.4</w:t>
            </w:r>
          </w:p>
        </w:tc>
        <w:tc>
          <w:tcPr>
            <w:tcW w:w="748" w:type="dxa"/>
            <w:vAlign w:val="top"/>
          </w:tcPr>
          <w:p>
            <w:pPr>
              <w:spacing w:before="118"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74.4</w:t>
            </w:r>
          </w:p>
        </w:tc>
        <w:tc>
          <w:tcPr>
            <w:tcW w:w="760" w:type="dxa"/>
            <w:vAlign w:val="top"/>
          </w:tcPr>
          <w:p>
            <w:pPr>
              <w:spacing w:before="118"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69.9</w:t>
            </w:r>
          </w:p>
        </w:tc>
        <w:tc>
          <w:tcPr>
            <w:tcW w:w="763" w:type="dxa"/>
            <w:vAlign w:val="top"/>
          </w:tcPr>
          <w:p>
            <w:pPr>
              <w:spacing w:before="118"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69.0</w:t>
            </w:r>
          </w:p>
        </w:tc>
        <w:tc>
          <w:tcPr>
            <w:tcW w:w="760" w:type="dxa"/>
            <w:vAlign w:val="top"/>
          </w:tcPr>
          <w:p>
            <w:pPr>
              <w:spacing w:before="118" w:line="187"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66.9</w:t>
            </w:r>
          </w:p>
        </w:tc>
        <w:tc>
          <w:tcPr>
            <w:tcW w:w="768" w:type="dxa"/>
            <w:vAlign w:val="top"/>
          </w:tcPr>
          <w:p>
            <w:pPr>
              <w:spacing w:before="118"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653" w:type="dxa"/>
            <w:vAlign w:val="top"/>
          </w:tcPr>
          <w:p>
            <w:pPr>
              <w:pStyle w:val="6"/>
              <w:spacing w:before="78" w:line="206" w:lineRule="auto"/>
              <w:ind w:left="53"/>
              <w:rPr>
                <w:rFonts w:ascii="Times New Roman" w:hAnsi="Times New Roman" w:eastAsia="Times New Roman" w:cs="Times New Roman"/>
              </w:rPr>
            </w:pPr>
            <w:r>
              <w:rPr>
                <w:spacing w:val="-2"/>
              </w:rPr>
              <w:t>与噪声源距离</w:t>
            </w:r>
            <w:r>
              <w:rPr>
                <w:rFonts w:ascii="Times New Roman" w:hAnsi="Times New Roman" w:eastAsia="Times New Roman" w:cs="Times New Roman"/>
                <w:spacing w:val="-2"/>
              </w:rPr>
              <w:t>(m)</w:t>
            </w:r>
          </w:p>
        </w:tc>
        <w:tc>
          <w:tcPr>
            <w:tcW w:w="747" w:type="dxa"/>
            <w:vAlign w:val="top"/>
          </w:tcPr>
          <w:p>
            <w:pPr>
              <w:spacing w:before="117"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763" w:type="dxa"/>
            <w:vAlign w:val="top"/>
          </w:tcPr>
          <w:p>
            <w:pPr>
              <w:spacing w:before="117"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777" w:type="dxa"/>
            <w:vAlign w:val="top"/>
          </w:tcPr>
          <w:p>
            <w:pPr>
              <w:spacing w:before="117" w:line="187"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789" w:type="dxa"/>
            <w:vAlign w:val="top"/>
          </w:tcPr>
          <w:p>
            <w:pPr>
              <w:spacing w:before="117"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550</w:t>
            </w:r>
          </w:p>
        </w:tc>
        <w:tc>
          <w:tcPr>
            <w:tcW w:w="748" w:type="dxa"/>
            <w:vAlign w:val="top"/>
          </w:tcPr>
          <w:p>
            <w:pPr>
              <w:spacing w:before="117"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760" w:type="dxa"/>
            <w:vAlign w:val="top"/>
          </w:tcPr>
          <w:p>
            <w:pPr>
              <w:spacing w:before="117"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650</w:t>
            </w:r>
          </w:p>
        </w:tc>
        <w:tc>
          <w:tcPr>
            <w:tcW w:w="763" w:type="dxa"/>
            <w:vAlign w:val="top"/>
          </w:tcPr>
          <w:p>
            <w:pPr>
              <w:spacing w:before="117"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700</w:t>
            </w:r>
          </w:p>
        </w:tc>
        <w:tc>
          <w:tcPr>
            <w:tcW w:w="760" w:type="dxa"/>
            <w:vAlign w:val="top"/>
          </w:tcPr>
          <w:p>
            <w:pPr>
              <w:spacing w:before="117"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750</w:t>
            </w:r>
          </w:p>
        </w:tc>
        <w:tc>
          <w:tcPr>
            <w:tcW w:w="768" w:type="dxa"/>
            <w:vAlign w:val="top"/>
          </w:tcPr>
          <w:p>
            <w:pPr>
              <w:spacing w:before="117" w:line="187"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653" w:type="dxa"/>
            <w:vAlign w:val="top"/>
          </w:tcPr>
          <w:p>
            <w:pPr>
              <w:pStyle w:val="6"/>
              <w:spacing w:before="82" w:line="209" w:lineRule="auto"/>
              <w:ind w:left="123"/>
              <w:rPr>
                <w:rFonts w:ascii="Times New Roman" w:hAnsi="Times New Roman" w:eastAsia="Times New Roman" w:cs="Times New Roman"/>
              </w:rPr>
            </w:pPr>
            <w:r>
              <w:rPr>
                <w:spacing w:val="-2"/>
              </w:rPr>
              <w:t>噪声预测值</w:t>
            </w:r>
            <w:r>
              <w:rPr>
                <w:rFonts w:ascii="Times New Roman" w:hAnsi="Times New Roman" w:eastAsia="Times New Roman" w:cs="Times New Roman"/>
                <w:spacing w:val="-2"/>
              </w:rPr>
              <w:t>(dB)</w:t>
            </w:r>
          </w:p>
        </w:tc>
        <w:tc>
          <w:tcPr>
            <w:tcW w:w="747" w:type="dxa"/>
            <w:vAlign w:val="top"/>
          </w:tcPr>
          <w:p>
            <w:pPr>
              <w:spacing w:before="120"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63.4</w:t>
            </w:r>
          </w:p>
        </w:tc>
        <w:tc>
          <w:tcPr>
            <w:tcW w:w="763" w:type="dxa"/>
            <w:vAlign w:val="top"/>
          </w:tcPr>
          <w:p>
            <w:pPr>
              <w:spacing w:before="120"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61.9</w:t>
            </w:r>
          </w:p>
        </w:tc>
        <w:tc>
          <w:tcPr>
            <w:tcW w:w="777" w:type="dxa"/>
            <w:vAlign w:val="top"/>
          </w:tcPr>
          <w:p>
            <w:pPr>
              <w:spacing w:before="120"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60.5</w:t>
            </w:r>
          </w:p>
        </w:tc>
        <w:tc>
          <w:tcPr>
            <w:tcW w:w="789" w:type="dxa"/>
            <w:vAlign w:val="top"/>
          </w:tcPr>
          <w:p>
            <w:pPr>
              <w:spacing w:before="120"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59.1</w:t>
            </w:r>
          </w:p>
        </w:tc>
        <w:tc>
          <w:tcPr>
            <w:tcW w:w="748" w:type="dxa"/>
            <w:vAlign w:val="top"/>
          </w:tcPr>
          <w:p>
            <w:pPr>
              <w:spacing w:before="120"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57.9</w:t>
            </w:r>
          </w:p>
        </w:tc>
        <w:tc>
          <w:tcPr>
            <w:tcW w:w="760" w:type="dxa"/>
            <w:vAlign w:val="top"/>
          </w:tcPr>
          <w:p>
            <w:pPr>
              <w:spacing w:before="120" w:line="187"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56.7</w:t>
            </w:r>
          </w:p>
        </w:tc>
        <w:tc>
          <w:tcPr>
            <w:tcW w:w="763" w:type="dxa"/>
            <w:vAlign w:val="top"/>
          </w:tcPr>
          <w:p>
            <w:pPr>
              <w:spacing w:before="123" w:line="184"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55.5</w:t>
            </w:r>
          </w:p>
        </w:tc>
        <w:tc>
          <w:tcPr>
            <w:tcW w:w="760" w:type="dxa"/>
            <w:vAlign w:val="top"/>
          </w:tcPr>
          <w:p>
            <w:pPr>
              <w:spacing w:before="120"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768" w:type="dxa"/>
            <w:vAlign w:val="top"/>
          </w:tcPr>
          <w:p>
            <w:pPr>
              <w:spacing w:before="120"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53.4</w:t>
            </w:r>
          </w:p>
        </w:tc>
      </w:tr>
    </w:tbl>
    <w:p>
      <w:pPr>
        <w:spacing w:before="193" w:line="217" w:lineRule="auto"/>
        <w:ind w:left="717"/>
        <w:rPr>
          <w:rFonts w:ascii="宋体" w:hAnsi="宋体" w:eastAsia="宋体" w:cs="宋体"/>
          <w:sz w:val="24"/>
          <w:szCs w:val="24"/>
        </w:rPr>
      </w:pPr>
      <w:r>
        <w:rPr>
          <w:rFonts w:ascii="宋体" w:hAnsi="宋体" w:eastAsia="宋体" w:cs="宋体"/>
          <w:spacing w:val="-2"/>
          <w:sz w:val="24"/>
          <w:szCs w:val="24"/>
        </w:rPr>
        <w:t>②爆破振动</w:t>
      </w:r>
    </w:p>
    <w:p>
      <w:pPr>
        <w:spacing w:before="185" w:line="232" w:lineRule="auto"/>
        <w:ind w:left="719"/>
        <w:rPr>
          <w:rFonts w:ascii="宋体" w:hAnsi="宋体" w:eastAsia="宋体" w:cs="宋体"/>
          <w:sz w:val="24"/>
          <w:szCs w:val="24"/>
        </w:rPr>
      </w:pPr>
      <w:r>
        <w:rPr>
          <w:rFonts w:ascii="宋体" w:hAnsi="宋体" w:eastAsia="宋体" w:cs="宋体"/>
          <w:spacing w:val="-4"/>
          <w:sz w:val="24"/>
          <w:szCs w:val="24"/>
        </w:rPr>
        <w:t>爆破时产生的振速</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v</w:t>
      </w:r>
      <w:r>
        <w:rPr>
          <w:rFonts w:ascii="Times New Roman" w:hAnsi="Times New Roman" w:eastAsia="Times New Roman" w:cs="Times New Roman"/>
          <w:spacing w:val="29"/>
          <w:sz w:val="24"/>
          <w:szCs w:val="24"/>
        </w:rPr>
        <w:t xml:space="preserve"> </w:t>
      </w:r>
      <w:r>
        <w:rPr>
          <w:rFonts w:ascii="宋体" w:hAnsi="宋体" w:eastAsia="宋体" w:cs="宋体"/>
          <w:spacing w:val="-4"/>
          <w:sz w:val="24"/>
          <w:szCs w:val="24"/>
        </w:rPr>
        <w:t>的衰减可用如下经验公式求出：</w:t>
      </w:r>
    </w:p>
    <w:p>
      <w:pPr>
        <w:spacing w:before="183" w:line="220" w:lineRule="auto"/>
        <w:ind w:left="1468"/>
        <w:rPr>
          <w:rFonts w:ascii="Symbol" w:hAnsi="Symbol" w:eastAsia="Symbol" w:cs="Symbol"/>
          <w:sz w:val="14"/>
          <w:szCs w:val="14"/>
        </w:rPr>
      </w:pPr>
      <w:r>
        <w:rPr>
          <w:rFonts w:ascii="Times New Roman" w:hAnsi="Times New Roman" w:eastAsia="Times New Roman" w:cs="Times New Roman"/>
          <w:i/>
          <w:iCs/>
          <w:spacing w:val="12"/>
          <w:position w:val="2"/>
          <w:sz w:val="23"/>
          <w:szCs w:val="23"/>
        </w:rPr>
        <w:t xml:space="preserve">v </w:t>
      </w:r>
      <w:r>
        <w:rPr>
          <w:rFonts w:ascii="微软雅黑" w:hAnsi="微软雅黑" w:eastAsia="微软雅黑" w:cs="微软雅黑"/>
          <w:spacing w:val="12"/>
          <w:position w:val="2"/>
          <w:sz w:val="23"/>
          <w:szCs w:val="23"/>
        </w:rPr>
        <w:t>=</w:t>
      </w:r>
      <w:r>
        <w:rPr>
          <w:rFonts w:ascii="微软雅黑" w:hAnsi="微软雅黑" w:eastAsia="微软雅黑" w:cs="微软雅黑"/>
          <w:spacing w:val="-4"/>
          <w:position w:val="2"/>
          <w:sz w:val="23"/>
          <w:szCs w:val="23"/>
        </w:rPr>
        <w:t xml:space="preserve"> </w:t>
      </w:r>
      <w:r>
        <w:rPr>
          <w:rFonts w:ascii="Times New Roman" w:hAnsi="Times New Roman" w:eastAsia="Times New Roman" w:cs="Times New Roman"/>
          <w:i/>
          <w:iCs/>
          <w:position w:val="2"/>
          <w:sz w:val="23"/>
          <w:szCs w:val="23"/>
        </w:rPr>
        <w:t>K</w:t>
      </w:r>
      <w:r>
        <w:rPr>
          <w:rFonts w:ascii="Times New Roman" w:hAnsi="Times New Roman" w:eastAsia="Times New Roman" w:cs="Times New Roman"/>
          <w:i/>
          <w:iCs/>
          <w:spacing w:val="-40"/>
          <w:position w:val="2"/>
          <w:sz w:val="23"/>
          <w:szCs w:val="23"/>
        </w:rPr>
        <w:t xml:space="preserve"> </w:t>
      </w:r>
      <w:r>
        <w:rPr>
          <w:position w:val="-26"/>
          <w:sz w:val="23"/>
          <w:szCs w:val="23"/>
        </w:rPr>
        <w:drawing>
          <wp:inline distT="0" distB="0" distL="0" distR="0">
            <wp:extent cx="417195" cy="44005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456"/>
                    <a:stretch>
                      <a:fillRect/>
                    </a:stretch>
                  </pic:blipFill>
                  <pic:spPr>
                    <a:xfrm>
                      <a:off x="0" y="0"/>
                      <a:ext cx="417246" cy="440330"/>
                    </a:xfrm>
                    <a:prstGeom prst="rect">
                      <a:avLst/>
                    </a:prstGeom>
                  </pic:spPr>
                </pic:pic>
              </a:graphicData>
            </a:graphic>
          </wp:inline>
        </w:drawing>
      </w:r>
      <w:r>
        <w:rPr>
          <w:rFonts w:ascii="Symbol" w:hAnsi="Symbol" w:eastAsia="Symbol" w:cs="Symbol"/>
          <w:position w:val="36"/>
          <w:sz w:val="14"/>
          <w:szCs w:val="14"/>
        </w:rPr>
        <w:t>a</w:t>
      </w:r>
    </w:p>
    <w:p>
      <w:pPr>
        <w:spacing w:before="232" w:line="233" w:lineRule="auto"/>
        <w:ind w:left="724"/>
        <w:rPr>
          <w:rFonts w:ascii="宋体" w:hAnsi="宋体" w:eastAsia="宋体" w:cs="宋体"/>
          <w:sz w:val="24"/>
          <w:szCs w:val="24"/>
        </w:rPr>
      </w:pPr>
      <w:r>
        <w:rPr>
          <w:rFonts w:ascii="宋体" w:hAnsi="宋体" w:eastAsia="宋体" w:cs="宋体"/>
          <w:spacing w:val="-16"/>
          <w:sz w:val="24"/>
          <w:szCs w:val="24"/>
        </w:rPr>
        <w:t>式中：</w:t>
      </w:r>
      <w:r>
        <w:rPr>
          <w:rFonts w:ascii="宋体" w:hAnsi="宋体" w:eastAsia="宋体" w:cs="宋体"/>
          <w:spacing w:val="38"/>
          <w:sz w:val="24"/>
          <w:szCs w:val="24"/>
        </w:rPr>
        <w:t xml:space="preserve"> </w:t>
      </w:r>
      <w:r>
        <w:rPr>
          <w:rFonts w:ascii="Times New Roman" w:hAnsi="Times New Roman" w:eastAsia="Times New Roman" w:cs="Times New Roman"/>
          <w:i/>
          <w:iCs/>
          <w:spacing w:val="-16"/>
          <w:sz w:val="24"/>
          <w:szCs w:val="24"/>
        </w:rPr>
        <w:t>v</w:t>
      </w:r>
      <w:r>
        <w:rPr>
          <w:rFonts w:ascii="Times New Roman" w:hAnsi="Times New Roman" w:eastAsia="Times New Roman" w:cs="Times New Roman"/>
          <w:i/>
          <w:iCs/>
          <w:spacing w:val="-21"/>
          <w:sz w:val="24"/>
          <w:szCs w:val="24"/>
        </w:rPr>
        <w:t xml:space="preserve"> </w:t>
      </w:r>
      <w:r>
        <w:rPr>
          <w:rFonts w:ascii="Times New Roman" w:hAnsi="Times New Roman" w:eastAsia="Times New Roman" w:cs="Times New Roman"/>
          <w:spacing w:val="-16"/>
          <w:sz w:val="24"/>
          <w:szCs w:val="24"/>
        </w:rPr>
        <w:t>——</w:t>
      </w:r>
      <w:r>
        <w:rPr>
          <w:rFonts w:ascii="宋体" w:hAnsi="宋体" w:eastAsia="宋体" w:cs="宋体"/>
          <w:spacing w:val="-16"/>
          <w:sz w:val="24"/>
          <w:szCs w:val="24"/>
        </w:rPr>
        <w:t>爆破时产生的振速，</w:t>
      </w:r>
      <w:r>
        <w:rPr>
          <w:rFonts w:ascii="宋体" w:hAnsi="宋体" w:eastAsia="宋体" w:cs="宋体"/>
          <w:spacing w:val="61"/>
          <w:sz w:val="24"/>
          <w:szCs w:val="24"/>
        </w:rPr>
        <w:t xml:space="preserve"> </w:t>
      </w:r>
      <w:r>
        <w:rPr>
          <w:rFonts w:ascii="Times New Roman" w:hAnsi="Times New Roman" w:eastAsia="Times New Roman" w:cs="Times New Roman"/>
          <w:spacing w:val="-16"/>
          <w:sz w:val="24"/>
          <w:szCs w:val="24"/>
        </w:rPr>
        <w:t>cm/s</w:t>
      </w:r>
      <w:r>
        <w:rPr>
          <w:rFonts w:ascii="宋体" w:hAnsi="宋体" w:eastAsia="宋体" w:cs="宋体"/>
          <w:spacing w:val="-16"/>
          <w:sz w:val="24"/>
          <w:szCs w:val="24"/>
        </w:rPr>
        <w:t>；</w:t>
      </w:r>
    </w:p>
    <w:p>
      <w:pPr>
        <w:spacing w:before="164" w:line="225" w:lineRule="auto"/>
        <w:ind w:left="1468"/>
        <w:rPr>
          <w:rFonts w:ascii="宋体" w:hAnsi="宋体" w:eastAsia="宋体" w:cs="宋体"/>
          <w:sz w:val="24"/>
          <w:szCs w:val="24"/>
        </w:rPr>
      </w:pPr>
      <w:r>
        <w:rPr>
          <w:rFonts w:ascii="Times New Roman" w:hAnsi="Times New Roman" w:eastAsia="Times New Roman" w:cs="Times New Roman"/>
          <w:i/>
          <w:iCs/>
          <w:spacing w:val="1"/>
          <w:sz w:val="23"/>
          <w:szCs w:val="23"/>
        </w:rPr>
        <w:t xml:space="preserve">K </w:t>
      </w:r>
      <w:r>
        <w:rPr>
          <w:rFonts w:ascii="宋体" w:hAnsi="宋体" w:eastAsia="宋体" w:cs="宋体"/>
          <w:spacing w:val="1"/>
          <w:sz w:val="24"/>
          <w:szCs w:val="24"/>
        </w:rPr>
        <w:t>、</w:t>
      </w:r>
      <w:r>
        <w:rPr>
          <w:rFonts w:ascii="Symbol" w:hAnsi="Symbol" w:eastAsia="Symbol" w:cs="Symbol"/>
          <w:spacing w:val="1"/>
          <w:sz w:val="25"/>
          <w:szCs w:val="25"/>
        </w:rPr>
        <w:t>a</w:t>
      </w:r>
      <w:r>
        <w:rPr>
          <w:rFonts w:ascii="Times New Roman" w:hAnsi="Times New Roman" w:eastAsia="Times New Roman" w:cs="Times New Roman"/>
          <w:spacing w:val="1"/>
          <w:sz w:val="24"/>
          <w:szCs w:val="24"/>
        </w:rPr>
        <w:t>——</w:t>
      </w:r>
      <w:r>
        <w:rPr>
          <w:rFonts w:ascii="宋体" w:hAnsi="宋体" w:eastAsia="宋体" w:cs="宋体"/>
          <w:spacing w:val="1"/>
          <w:sz w:val="24"/>
          <w:szCs w:val="24"/>
        </w:rPr>
        <w:t>根据地质条件和爆破方式确定的参数；</w:t>
      </w:r>
    </w:p>
    <w:p>
      <w:pPr>
        <w:spacing w:line="225" w:lineRule="auto"/>
        <w:rPr>
          <w:rFonts w:ascii="宋体" w:hAnsi="宋体" w:eastAsia="宋体" w:cs="宋体"/>
          <w:sz w:val="24"/>
          <w:szCs w:val="24"/>
        </w:rPr>
        <w:sectPr>
          <w:pgSz w:w="11907" w:h="16839"/>
          <w:pgMar w:top="1118" w:right="1567" w:bottom="1184" w:left="1570" w:header="879" w:footer="1024" w:gutter="0"/>
          <w:cols w:space="720" w:num="1"/>
        </w:sectPr>
      </w:pPr>
    </w:p>
    <w:p>
      <w:pPr>
        <w:pStyle w:val="2"/>
        <w:spacing w:line="278" w:lineRule="auto"/>
      </w:pPr>
    </w:p>
    <w:p>
      <w:pPr>
        <w:spacing w:before="78" w:line="468" w:lineRule="exact"/>
        <w:ind w:left="1273"/>
        <w:rPr>
          <w:rFonts w:ascii="宋体" w:hAnsi="宋体" w:eastAsia="宋体" w:cs="宋体"/>
          <w:sz w:val="24"/>
          <w:szCs w:val="24"/>
        </w:rPr>
      </w:pPr>
      <w:r>
        <w:rPr>
          <w:rFonts w:ascii="Times New Roman" w:hAnsi="Times New Roman" w:eastAsia="Times New Roman" w:cs="Times New Roman"/>
          <w:i/>
          <w:iCs/>
          <w:spacing w:val="-11"/>
          <w:w w:val="98"/>
          <w:position w:val="17"/>
          <w:sz w:val="24"/>
          <w:szCs w:val="24"/>
        </w:rPr>
        <w:t>W</w:t>
      </w:r>
      <w:r>
        <w:rPr>
          <w:rFonts w:ascii="Times New Roman" w:hAnsi="Times New Roman" w:eastAsia="Times New Roman" w:cs="Times New Roman"/>
          <w:i/>
          <w:iCs/>
          <w:spacing w:val="-16"/>
          <w:position w:val="17"/>
          <w:sz w:val="24"/>
          <w:szCs w:val="24"/>
        </w:rPr>
        <w:t xml:space="preserve"> </w:t>
      </w:r>
      <w:r>
        <w:rPr>
          <w:rFonts w:ascii="Times New Roman" w:hAnsi="Times New Roman" w:eastAsia="Times New Roman" w:cs="Times New Roman"/>
          <w:spacing w:val="-11"/>
          <w:w w:val="98"/>
          <w:position w:val="17"/>
          <w:sz w:val="24"/>
          <w:szCs w:val="24"/>
        </w:rPr>
        <w:t>——</w:t>
      </w:r>
      <w:r>
        <w:rPr>
          <w:rFonts w:ascii="宋体" w:hAnsi="宋体" w:eastAsia="宋体" w:cs="宋体"/>
          <w:spacing w:val="-11"/>
          <w:w w:val="98"/>
          <w:position w:val="17"/>
          <w:sz w:val="24"/>
          <w:szCs w:val="24"/>
        </w:rPr>
        <w:t>爆破装药量，</w:t>
      </w:r>
      <w:r>
        <w:rPr>
          <w:rFonts w:ascii="宋体" w:hAnsi="宋体" w:eastAsia="宋体" w:cs="宋体"/>
          <w:spacing w:val="56"/>
          <w:position w:val="17"/>
          <w:sz w:val="24"/>
          <w:szCs w:val="24"/>
        </w:rPr>
        <w:t xml:space="preserve"> </w:t>
      </w:r>
      <w:r>
        <w:rPr>
          <w:rFonts w:ascii="Times New Roman" w:hAnsi="Times New Roman" w:eastAsia="Times New Roman" w:cs="Times New Roman"/>
          <w:spacing w:val="-11"/>
          <w:w w:val="98"/>
          <w:position w:val="17"/>
          <w:sz w:val="24"/>
          <w:szCs w:val="24"/>
        </w:rPr>
        <w:t>kg</w:t>
      </w:r>
      <w:r>
        <w:rPr>
          <w:rFonts w:ascii="宋体" w:hAnsi="宋体" w:eastAsia="宋体" w:cs="宋体"/>
          <w:spacing w:val="-11"/>
          <w:w w:val="98"/>
          <w:position w:val="17"/>
          <w:sz w:val="24"/>
          <w:szCs w:val="24"/>
        </w:rPr>
        <w:t>；</w:t>
      </w:r>
    </w:p>
    <w:p>
      <w:pPr>
        <w:spacing w:line="234" w:lineRule="auto"/>
        <w:ind w:left="1267"/>
        <w:rPr>
          <w:rFonts w:ascii="宋体" w:hAnsi="宋体" w:eastAsia="宋体" w:cs="宋体"/>
          <w:sz w:val="24"/>
          <w:szCs w:val="24"/>
        </w:rPr>
      </w:pPr>
      <w:r>
        <w:rPr>
          <w:rFonts w:ascii="Times New Roman" w:hAnsi="Times New Roman" w:eastAsia="Times New Roman" w:cs="Times New Roman"/>
          <w:i/>
          <w:iCs/>
          <w:spacing w:val="-12"/>
          <w:sz w:val="23"/>
          <w:szCs w:val="23"/>
        </w:rPr>
        <w:t xml:space="preserve">R </w:t>
      </w:r>
      <w:r>
        <w:rPr>
          <w:rFonts w:ascii="Times New Roman" w:hAnsi="Times New Roman" w:eastAsia="Times New Roman" w:cs="Times New Roman"/>
          <w:spacing w:val="-12"/>
          <w:sz w:val="24"/>
          <w:szCs w:val="24"/>
        </w:rPr>
        <w:t>——</w:t>
      </w:r>
      <w:r>
        <w:rPr>
          <w:rFonts w:ascii="宋体" w:hAnsi="宋体" w:eastAsia="宋体" w:cs="宋体"/>
          <w:spacing w:val="-12"/>
          <w:sz w:val="24"/>
          <w:szCs w:val="24"/>
        </w:rPr>
        <w:t xml:space="preserve">距离， </w:t>
      </w:r>
      <w:r>
        <w:rPr>
          <w:rFonts w:ascii="Times New Roman" w:hAnsi="Times New Roman" w:eastAsia="Times New Roman" w:cs="Times New Roman"/>
          <w:spacing w:val="-12"/>
          <w:sz w:val="24"/>
          <w:szCs w:val="24"/>
        </w:rPr>
        <w:t>m</w:t>
      </w:r>
      <w:r>
        <w:rPr>
          <w:rFonts w:ascii="宋体" w:hAnsi="宋体" w:eastAsia="宋体" w:cs="宋体"/>
          <w:spacing w:val="-12"/>
          <w:sz w:val="24"/>
          <w:szCs w:val="24"/>
        </w:rPr>
        <w:t>。</w:t>
      </w:r>
    </w:p>
    <w:p>
      <w:pPr>
        <w:spacing w:before="161" w:line="359" w:lineRule="auto"/>
        <w:ind w:left="39" w:firstLine="494"/>
        <w:rPr>
          <w:rFonts w:ascii="宋体" w:hAnsi="宋体" w:eastAsia="宋体" w:cs="宋体"/>
          <w:sz w:val="24"/>
          <w:szCs w:val="24"/>
        </w:rPr>
      </w:pPr>
      <w:r>
        <w:rPr>
          <w:rFonts w:ascii="宋体" w:hAnsi="宋体" w:eastAsia="宋体" w:cs="宋体"/>
          <w:spacing w:val="-3"/>
          <w:sz w:val="24"/>
          <w:szCs w:val="24"/>
        </w:rPr>
        <w:t>当爆破点距离砖石房屋建筑小于</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80m</w:t>
      </w:r>
      <w:r>
        <w:rPr>
          <w:rFonts w:ascii="Times New Roman" w:hAnsi="Times New Roman" w:eastAsia="Times New Roman" w:cs="Times New Roman"/>
          <w:spacing w:val="41"/>
          <w:sz w:val="24"/>
          <w:szCs w:val="24"/>
        </w:rPr>
        <w:t xml:space="preserve"> </w:t>
      </w:r>
      <w:r>
        <w:rPr>
          <w:rFonts w:ascii="宋体" w:hAnsi="宋体" w:eastAsia="宋体" w:cs="宋体"/>
          <w:spacing w:val="-3"/>
          <w:sz w:val="24"/>
          <w:szCs w:val="24"/>
        </w:rPr>
        <w:t>时，装药量控制在</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200kg</w:t>
      </w:r>
      <w:r>
        <w:rPr>
          <w:rFonts w:ascii="Times New Roman" w:hAnsi="Times New Roman" w:eastAsia="Times New Roman" w:cs="Times New Roman"/>
          <w:spacing w:val="56"/>
          <w:w w:val="101"/>
          <w:sz w:val="24"/>
          <w:szCs w:val="24"/>
        </w:rPr>
        <w:t xml:space="preserve"> </w:t>
      </w:r>
      <w:r>
        <w:rPr>
          <w:rFonts w:ascii="宋体" w:hAnsi="宋体" w:eastAsia="宋体" w:cs="宋体"/>
          <w:spacing w:val="-3"/>
          <w:sz w:val="24"/>
          <w:szCs w:val="24"/>
        </w:rPr>
        <w:t>以下可使砖</w:t>
      </w:r>
      <w:r>
        <w:rPr>
          <w:rFonts w:ascii="宋体" w:hAnsi="宋体" w:eastAsia="宋体" w:cs="宋体"/>
          <w:sz w:val="24"/>
          <w:szCs w:val="24"/>
        </w:rPr>
        <w:t xml:space="preserve"> </w:t>
      </w:r>
      <w:r>
        <w:rPr>
          <w:rFonts w:ascii="宋体" w:hAnsi="宋体" w:eastAsia="宋体" w:cs="宋体"/>
          <w:spacing w:val="-3"/>
          <w:sz w:val="24"/>
          <w:szCs w:val="24"/>
        </w:rPr>
        <w:t>石房屋建筑的质点振动速度</w:t>
      </w:r>
      <w:r>
        <w:rPr>
          <w:rFonts w:ascii="Times New Roman" w:hAnsi="Times New Roman" w:eastAsia="Times New Roman" w:cs="Times New Roman"/>
          <w:spacing w:val="-3"/>
          <w:sz w:val="24"/>
          <w:szCs w:val="24"/>
        </w:rPr>
        <w:t>≤5cm/s</w:t>
      </w:r>
      <w:r>
        <w:rPr>
          <w:rFonts w:ascii="宋体" w:hAnsi="宋体" w:eastAsia="宋体" w:cs="宋体"/>
          <w:spacing w:val="-3"/>
          <w:sz w:val="24"/>
          <w:szCs w:val="24"/>
        </w:rPr>
        <w:t>；当爆破点距离砖石房屋建筑</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80m~100m</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时，</w:t>
      </w:r>
    </w:p>
    <w:p>
      <w:pPr>
        <w:spacing w:line="212" w:lineRule="auto"/>
        <w:ind w:left="38"/>
        <w:rPr>
          <w:rFonts w:ascii="宋体" w:hAnsi="宋体" w:eastAsia="宋体" w:cs="宋体"/>
          <w:sz w:val="24"/>
          <w:szCs w:val="24"/>
        </w:rPr>
      </w:pPr>
      <w:r>
        <w:rPr>
          <w:rFonts w:ascii="宋体" w:hAnsi="宋体" w:eastAsia="宋体" w:cs="宋体"/>
          <w:spacing w:val="-2"/>
          <w:sz w:val="24"/>
          <w:szCs w:val="24"/>
        </w:rPr>
        <w:t>装药量控制在</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390kg</w:t>
      </w:r>
      <w:r>
        <w:rPr>
          <w:rFonts w:ascii="Times New Roman" w:hAnsi="Times New Roman" w:eastAsia="Times New Roman" w:cs="Times New Roman"/>
          <w:spacing w:val="37"/>
          <w:sz w:val="24"/>
          <w:szCs w:val="24"/>
        </w:rPr>
        <w:t xml:space="preserve"> </w:t>
      </w:r>
      <w:r>
        <w:rPr>
          <w:rFonts w:ascii="宋体" w:hAnsi="宋体" w:eastAsia="宋体" w:cs="宋体"/>
          <w:spacing w:val="-2"/>
          <w:sz w:val="24"/>
          <w:szCs w:val="24"/>
        </w:rPr>
        <w:t>以下，可使砖石房屋建筑的质点振动速度</w:t>
      </w:r>
      <w:r>
        <w:rPr>
          <w:rFonts w:ascii="Times New Roman" w:hAnsi="Times New Roman" w:eastAsia="Times New Roman" w:cs="Times New Roman"/>
          <w:spacing w:val="-2"/>
          <w:sz w:val="24"/>
          <w:szCs w:val="24"/>
        </w:rPr>
        <w:t>≤5cm/s</w:t>
      </w:r>
      <w:r>
        <w:rPr>
          <w:rFonts w:ascii="宋体" w:hAnsi="宋体" w:eastAsia="宋体" w:cs="宋体"/>
          <w:spacing w:val="-2"/>
          <w:sz w:val="24"/>
          <w:szCs w:val="24"/>
        </w:rPr>
        <w:t>。</w:t>
      </w:r>
    </w:p>
    <w:p>
      <w:pPr>
        <w:spacing w:before="192" w:line="220" w:lineRule="auto"/>
        <w:ind w:left="513"/>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、废气</w:t>
      </w:r>
    </w:p>
    <w:p>
      <w:pPr>
        <w:spacing w:before="177" w:line="360" w:lineRule="auto"/>
        <w:ind w:left="37" w:right="51" w:firstLine="479"/>
        <w:rPr>
          <w:rFonts w:ascii="宋体" w:hAnsi="宋体" w:eastAsia="宋体" w:cs="宋体"/>
          <w:sz w:val="24"/>
          <w:szCs w:val="24"/>
        </w:rPr>
      </w:pPr>
      <w:r>
        <w:rPr>
          <w:rFonts w:ascii="宋体" w:hAnsi="宋体" w:eastAsia="宋体" w:cs="宋体"/>
          <w:spacing w:val="-8"/>
          <w:sz w:val="24"/>
          <w:szCs w:val="24"/>
        </w:rPr>
        <w:t>施工期环境空气污染源主要包括三部分：</w:t>
      </w:r>
      <w:r>
        <w:rPr>
          <w:rFonts w:ascii="宋体" w:hAnsi="宋体" w:eastAsia="宋体" w:cs="宋体"/>
          <w:spacing w:val="40"/>
          <w:sz w:val="24"/>
          <w:szCs w:val="24"/>
        </w:rPr>
        <w:t xml:space="preserve"> </w:t>
      </w:r>
      <w:r>
        <w:rPr>
          <w:rFonts w:ascii="宋体" w:hAnsi="宋体" w:eastAsia="宋体" w:cs="宋体"/>
          <w:spacing w:val="-8"/>
          <w:sz w:val="24"/>
          <w:szCs w:val="24"/>
        </w:rPr>
        <w:t>一是施工过程中开挖、堆放、运输</w:t>
      </w:r>
      <w:r>
        <w:rPr>
          <w:rFonts w:ascii="宋体" w:hAnsi="宋体" w:eastAsia="宋体" w:cs="宋体"/>
          <w:sz w:val="24"/>
          <w:szCs w:val="24"/>
        </w:rPr>
        <w:t xml:space="preserve"> </w:t>
      </w:r>
      <w:r>
        <w:rPr>
          <w:rFonts w:ascii="宋体" w:hAnsi="宋体" w:eastAsia="宋体" w:cs="宋体"/>
          <w:spacing w:val="-6"/>
          <w:sz w:val="24"/>
          <w:szCs w:val="24"/>
        </w:rPr>
        <w:t>及混凝土拌和作业等产生的扬尘；</w:t>
      </w:r>
      <w:r>
        <w:rPr>
          <w:rFonts w:ascii="宋体" w:hAnsi="宋体" w:eastAsia="宋体" w:cs="宋体"/>
          <w:spacing w:val="-14"/>
          <w:sz w:val="24"/>
          <w:szCs w:val="24"/>
        </w:rPr>
        <w:t xml:space="preserve"> </w:t>
      </w:r>
      <w:r>
        <w:rPr>
          <w:rFonts w:ascii="宋体" w:hAnsi="宋体" w:eastAsia="宋体" w:cs="宋体"/>
          <w:spacing w:val="-6"/>
          <w:sz w:val="24"/>
          <w:szCs w:val="24"/>
        </w:rPr>
        <w:t>第二类是施工机械和重型运输车辆运行过程中</w:t>
      </w:r>
      <w:r>
        <w:rPr>
          <w:rFonts w:ascii="宋体" w:hAnsi="宋体" w:eastAsia="宋体" w:cs="宋体"/>
          <w:sz w:val="24"/>
          <w:szCs w:val="24"/>
        </w:rPr>
        <w:t xml:space="preserve"> </w:t>
      </w:r>
      <w:r>
        <w:rPr>
          <w:rFonts w:ascii="宋体" w:hAnsi="宋体" w:eastAsia="宋体" w:cs="宋体"/>
          <w:spacing w:val="-7"/>
          <w:sz w:val="24"/>
          <w:szCs w:val="24"/>
        </w:rPr>
        <w:t>所排放的废气，</w:t>
      </w:r>
      <w:r>
        <w:rPr>
          <w:rFonts w:ascii="宋体" w:hAnsi="宋体" w:eastAsia="宋体" w:cs="宋体"/>
          <w:spacing w:val="52"/>
          <w:sz w:val="24"/>
          <w:szCs w:val="24"/>
        </w:rPr>
        <w:t xml:space="preserve"> </w:t>
      </w:r>
      <w:r>
        <w:rPr>
          <w:rFonts w:ascii="宋体" w:hAnsi="宋体" w:eastAsia="宋体" w:cs="宋体"/>
          <w:spacing w:val="-7"/>
          <w:sz w:val="24"/>
          <w:szCs w:val="24"/>
        </w:rPr>
        <w:t>其主要污染物有</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CO</w:t>
      </w:r>
      <w:r>
        <w:rPr>
          <w:rFonts w:ascii="宋体" w:hAnsi="宋体" w:eastAsia="宋体" w:cs="宋体"/>
          <w:spacing w:val="-7"/>
          <w:sz w:val="24"/>
          <w:szCs w:val="24"/>
        </w:rPr>
        <w:t>、</w:t>
      </w:r>
      <w:r>
        <w:rPr>
          <w:rFonts w:ascii="Times New Roman" w:hAnsi="Times New Roman" w:eastAsia="Times New Roman" w:cs="Times New Roman"/>
          <w:spacing w:val="-7"/>
          <w:sz w:val="24"/>
          <w:szCs w:val="24"/>
        </w:rPr>
        <w:t>NO</w:t>
      </w:r>
      <w:r>
        <w:rPr>
          <w:rFonts w:ascii="Times New Roman" w:hAnsi="Times New Roman" w:eastAsia="Times New Roman" w:cs="Times New Roman"/>
          <w:spacing w:val="-7"/>
          <w:position w:val="-1"/>
          <w:sz w:val="16"/>
          <w:szCs w:val="16"/>
        </w:rPr>
        <w:t>x</w:t>
      </w:r>
      <w:r>
        <w:rPr>
          <w:rFonts w:ascii="Times New Roman" w:hAnsi="Times New Roman" w:eastAsia="Times New Roman" w:cs="Times New Roman"/>
          <w:spacing w:val="-12"/>
          <w:position w:val="-1"/>
          <w:sz w:val="16"/>
          <w:szCs w:val="16"/>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HC</w:t>
      </w:r>
      <w:r>
        <w:rPr>
          <w:rFonts w:ascii="宋体" w:hAnsi="宋体" w:eastAsia="宋体" w:cs="宋体"/>
          <w:spacing w:val="-7"/>
          <w:sz w:val="24"/>
          <w:szCs w:val="24"/>
        </w:rPr>
        <w:t>；第三类是沥青混</w:t>
      </w:r>
      <w:r>
        <w:rPr>
          <w:rFonts w:ascii="宋体" w:hAnsi="宋体" w:eastAsia="宋体" w:cs="宋体"/>
          <w:spacing w:val="-8"/>
          <w:sz w:val="24"/>
          <w:szCs w:val="24"/>
        </w:rPr>
        <w:t>凝土搅拌和路</w:t>
      </w:r>
    </w:p>
    <w:p>
      <w:pPr>
        <w:spacing w:before="1" w:line="218" w:lineRule="auto"/>
        <w:ind w:left="39"/>
        <w:rPr>
          <w:rFonts w:ascii="宋体" w:hAnsi="宋体" w:eastAsia="宋体" w:cs="宋体"/>
          <w:sz w:val="24"/>
          <w:szCs w:val="24"/>
        </w:rPr>
      </w:pPr>
      <w:r>
        <w:rPr>
          <w:rFonts w:ascii="宋体" w:hAnsi="宋体" w:eastAsia="宋体" w:cs="宋体"/>
          <w:spacing w:val="-3"/>
          <w:sz w:val="24"/>
          <w:szCs w:val="24"/>
        </w:rPr>
        <w:t>面铺设过程中产生的沥青烟气等。</w:t>
      </w:r>
    </w:p>
    <w:p>
      <w:pPr>
        <w:spacing w:before="180"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）混凝土拌合站粉尘</w:t>
      </w:r>
    </w:p>
    <w:p>
      <w:pPr>
        <w:spacing w:before="183" w:line="219" w:lineRule="auto"/>
        <w:ind w:left="519"/>
        <w:rPr>
          <w:rFonts w:ascii="宋体" w:hAnsi="宋体" w:eastAsia="宋体" w:cs="宋体"/>
          <w:sz w:val="24"/>
          <w:szCs w:val="24"/>
        </w:rPr>
      </w:pPr>
      <w:r>
        <w:rPr>
          <w:rFonts w:ascii="宋体" w:hAnsi="宋体" w:eastAsia="宋体" w:cs="宋体"/>
          <w:spacing w:val="-5"/>
          <w:sz w:val="24"/>
          <w:szCs w:val="24"/>
        </w:rPr>
        <w:t>本工程拟设置</w:t>
      </w:r>
      <w:r>
        <w:rPr>
          <w:rFonts w:ascii="宋体" w:hAnsi="宋体" w:eastAsia="宋体" w:cs="宋体"/>
          <w:spacing w:val="-20"/>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个混凝土拌合站。</w:t>
      </w:r>
    </w:p>
    <w:p>
      <w:pPr>
        <w:spacing w:before="181" w:line="468" w:lineRule="exact"/>
        <w:ind w:right="51"/>
        <w:jc w:val="right"/>
        <w:rPr>
          <w:rFonts w:ascii="宋体" w:hAnsi="宋体" w:eastAsia="宋体" w:cs="宋体"/>
          <w:sz w:val="24"/>
          <w:szCs w:val="24"/>
        </w:rPr>
      </w:pPr>
      <w:r>
        <w:rPr>
          <w:rFonts w:ascii="宋体" w:hAnsi="宋体" w:eastAsia="宋体" w:cs="宋体"/>
          <w:spacing w:val="-3"/>
          <w:position w:val="17"/>
          <w:sz w:val="24"/>
          <w:szCs w:val="24"/>
        </w:rPr>
        <w:t>混凝土拌合站作业产生的废气主要包括原料筒仓废气、</w:t>
      </w:r>
      <w:r>
        <w:rPr>
          <w:rFonts w:ascii="宋体" w:hAnsi="宋体" w:eastAsia="宋体" w:cs="宋体"/>
          <w:spacing w:val="-4"/>
          <w:position w:val="17"/>
          <w:sz w:val="24"/>
          <w:szCs w:val="24"/>
        </w:rPr>
        <w:t>卸料粉尘、搅拌楼产</w:t>
      </w:r>
    </w:p>
    <w:p>
      <w:pPr>
        <w:spacing w:before="1" w:line="219" w:lineRule="auto"/>
        <w:ind w:left="40"/>
        <w:rPr>
          <w:rFonts w:ascii="宋体" w:hAnsi="宋体" w:eastAsia="宋体" w:cs="宋体"/>
          <w:sz w:val="24"/>
          <w:szCs w:val="24"/>
        </w:rPr>
      </w:pPr>
      <w:r>
        <w:rPr>
          <w:rFonts w:ascii="宋体" w:hAnsi="宋体" w:eastAsia="宋体" w:cs="宋体"/>
          <w:spacing w:val="-3"/>
          <w:sz w:val="24"/>
          <w:szCs w:val="24"/>
        </w:rPr>
        <w:t>生的粉尘、原料输送粉尘、堆料粉尘等。</w:t>
      </w:r>
    </w:p>
    <w:p>
      <w:pPr>
        <w:spacing w:before="180" w:line="217" w:lineRule="auto"/>
        <w:ind w:left="517"/>
        <w:rPr>
          <w:rFonts w:ascii="宋体" w:hAnsi="宋体" w:eastAsia="宋体" w:cs="宋体"/>
          <w:sz w:val="24"/>
          <w:szCs w:val="24"/>
        </w:rPr>
      </w:pPr>
      <w:r>
        <w:rPr>
          <w:rFonts w:ascii="宋体" w:hAnsi="宋体" w:eastAsia="宋体" w:cs="宋体"/>
          <w:spacing w:val="-2"/>
          <w:sz w:val="24"/>
          <w:szCs w:val="24"/>
        </w:rPr>
        <w:t>①原料筒仓废气</w:t>
      </w:r>
    </w:p>
    <w:p>
      <w:pPr>
        <w:spacing w:before="188" w:line="359" w:lineRule="auto"/>
        <w:ind w:left="37" w:right="49" w:firstLine="484"/>
        <w:rPr>
          <w:rFonts w:ascii="宋体" w:hAnsi="宋体" w:eastAsia="宋体" w:cs="宋体"/>
          <w:sz w:val="24"/>
          <w:szCs w:val="24"/>
        </w:rPr>
      </w:pPr>
      <w:r>
        <w:rPr>
          <w:rFonts w:ascii="宋体" w:hAnsi="宋体" w:eastAsia="宋体" w:cs="宋体"/>
          <w:spacing w:val="-10"/>
          <w:sz w:val="24"/>
          <w:szCs w:val="24"/>
        </w:rPr>
        <w:t>项目粉性原料均设筒仓， 无露天堆场， 原料仓顶部通风口产生的粉尘主要在</w:t>
      </w:r>
      <w:r>
        <w:rPr>
          <w:rFonts w:ascii="宋体" w:hAnsi="宋体" w:eastAsia="宋体" w:cs="宋体"/>
          <w:spacing w:val="3"/>
          <w:sz w:val="24"/>
          <w:szCs w:val="24"/>
        </w:rPr>
        <w:t xml:space="preserve"> </w:t>
      </w:r>
      <w:r>
        <w:rPr>
          <w:rFonts w:ascii="宋体" w:hAnsi="宋体" w:eastAsia="宋体" w:cs="宋体"/>
          <w:spacing w:val="-3"/>
          <w:sz w:val="24"/>
          <w:szCs w:val="24"/>
        </w:rPr>
        <w:t>散装输送车泵送粉性材料水泥、煤灰等至各向筒仓时产生。本次设置的拌和站的</w:t>
      </w:r>
      <w:r>
        <w:rPr>
          <w:rFonts w:ascii="宋体" w:hAnsi="宋体" w:eastAsia="宋体" w:cs="宋体"/>
          <w:sz w:val="24"/>
          <w:szCs w:val="24"/>
        </w:rPr>
        <w:t xml:space="preserve"> </w:t>
      </w:r>
      <w:r>
        <w:rPr>
          <w:rFonts w:ascii="宋体" w:hAnsi="宋体" w:eastAsia="宋体" w:cs="宋体"/>
          <w:spacing w:val="14"/>
          <w:sz w:val="24"/>
          <w:szCs w:val="24"/>
        </w:rPr>
        <w:t xml:space="preserve">整体规模为 </w:t>
      </w:r>
      <w:r>
        <w:rPr>
          <w:rFonts w:ascii="Times New Roman" w:hAnsi="Times New Roman" w:eastAsia="Times New Roman" w:cs="Times New Roman"/>
          <w:spacing w:val="14"/>
          <w:sz w:val="24"/>
          <w:szCs w:val="24"/>
        </w:rPr>
        <w:t>240m</w:t>
      </w:r>
      <w:r>
        <w:rPr>
          <w:rFonts w:ascii="Times New Roman" w:hAnsi="Times New Roman" w:eastAsia="Times New Roman" w:cs="Times New Roman"/>
          <w:spacing w:val="14"/>
          <w:position w:val="9"/>
          <w:sz w:val="16"/>
          <w:szCs w:val="16"/>
        </w:rPr>
        <w:t>3</w:t>
      </w:r>
      <w:r>
        <w:rPr>
          <w:rFonts w:ascii="Times New Roman" w:hAnsi="Times New Roman" w:eastAsia="Times New Roman" w:cs="Times New Roman"/>
          <w:spacing w:val="14"/>
          <w:sz w:val="24"/>
          <w:szCs w:val="24"/>
        </w:rPr>
        <w:t xml:space="preserve">/h </w:t>
      </w:r>
      <w:r>
        <w:rPr>
          <w:rFonts w:ascii="宋体" w:hAnsi="宋体" w:eastAsia="宋体" w:cs="宋体"/>
          <w:spacing w:val="14"/>
          <w:sz w:val="24"/>
          <w:szCs w:val="24"/>
        </w:rPr>
        <w:t>，粉料仓进</w:t>
      </w:r>
      <w:r>
        <w:rPr>
          <w:rFonts w:ascii="宋体" w:hAnsi="宋体" w:eastAsia="宋体" w:cs="宋体"/>
          <w:spacing w:val="13"/>
          <w:sz w:val="24"/>
          <w:szCs w:val="24"/>
        </w:rPr>
        <w:t>料</w:t>
      </w:r>
      <w:r>
        <w:rPr>
          <w:rFonts w:ascii="宋体" w:hAnsi="宋体" w:eastAsia="宋体" w:cs="宋体"/>
          <w:spacing w:val="-68"/>
          <w:sz w:val="24"/>
          <w:szCs w:val="24"/>
        </w:rPr>
        <w:t xml:space="preserve"> </w:t>
      </w:r>
      <w:r>
        <w:rPr>
          <w:rFonts w:ascii="宋体" w:hAnsi="宋体" w:eastAsia="宋体" w:cs="宋体"/>
          <w:spacing w:val="13"/>
          <w:sz w:val="24"/>
          <w:szCs w:val="24"/>
        </w:rPr>
        <w:t>时粉尘产生量为</w:t>
      </w:r>
      <w:r>
        <w:rPr>
          <w:rFonts w:ascii="宋体" w:hAnsi="宋体" w:eastAsia="宋体" w:cs="宋体"/>
          <w:spacing w:val="45"/>
          <w:sz w:val="24"/>
          <w:szCs w:val="24"/>
        </w:rPr>
        <w:t xml:space="preserve"> </w:t>
      </w:r>
      <w:r>
        <w:rPr>
          <w:rFonts w:ascii="Times New Roman" w:hAnsi="Times New Roman" w:eastAsia="Times New Roman" w:cs="Times New Roman"/>
          <w:spacing w:val="13"/>
          <w:sz w:val="24"/>
          <w:szCs w:val="24"/>
        </w:rPr>
        <w:t>69.12</w:t>
      </w:r>
      <w:r>
        <w:rPr>
          <w:rFonts w:ascii="Times New Roman" w:hAnsi="Times New Roman" w:eastAsia="Times New Roman" w:cs="Times New Roman"/>
          <w:sz w:val="24"/>
          <w:szCs w:val="24"/>
        </w:rPr>
        <w:t>kg</w:t>
      </w:r>
      <w:r>
        <w:rPr>
          <w:rFonts w:ascii="Times New Roman" w:hAnsi="Times New Roman" w:eastAsia="Times New Roman" w:cs="Times New Roman"/>
          <w:spacing w:val="13"/>
          <w:sz w:val="24"/>
          <w:szCs w:val="24"/>
        </w:rPr>
        <w:t xml:space="preserve">/h </w:t>
      </w:r>
      <w:r>
        <w:rPr>
          <w:rFonts w:ascii="宋体" w:hAnsi="宋体" w:eastAsia="宋体" w:cs="宋体"/>
          <w:spacing w:val="13"/>
          <w:sz w:val="24"/>
          <w:szCs w:val="24"/>
        </w:rPr>
        <w:t>，废气量为</w:t>
      </w:r>
    </w:p>
    <w:p>
      <w:pPr>
        <w:spacing w:line="212" w:lineRule="auto"/>
        <w:ind w:left="56"/>
        <w:rPr>
          <w:rFonts w:ascii="宋体" w:hAnsi="宋体" w:eastAsia="宋体" w:cs="宋体"/>
          <w:sz w:val="24"/>
          <w:szCs w:val="24"/>
        </w:rPr>
      </w:pPr>
      <w:r>
        <w:rPr>
          <w:rFonts w:ascii="Times New Roman" w:hAnsi="Times New Roman" w:eastAsia="Times New Roman" w:cs="Times New Roman"/>
          <w:spacing w:val="-1"/>
          <w:sz w:val="24"/>
          <w:szCs w:val="24"/>
        </w:rPr>
        <w:t>12000m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/h</w:t>
      </w:r>
      <w:r>
        <w:rPr>
          <w:rFonts w:ascii="宋体" w:hAnsi="宋体" w:eastAsia="宋体" w:cs="宋体"/>
          <w:spacing w:val="-1"/>
          <w:sz w:val="24"/>
          <w:szCs w:val="24"/>
        </w:rPr>
        <w:t>，经布袋除尘后，则实际的排放速率约为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0.138kg/h</w:t>
      </w:r>
      <w:r>
        <w:rPr>
          <w:rFonts w:ascii="宋体" w:hAnsi="宋体" w:eastAsia="宋体" w:cs="宋体"/>
          <w:spacing w:val="-1"/>
          <w:sz w:val="24"/>
          <w:szCs w:val="24"/>
        </w:rPr>
        <w:t>。</w:t>
      </w:r>
    </w:p>
    <w:p>
      <w:pPr>
        <w:spacing w:before="190" w:line="359" w:lineRule="auto"/>
        <w:ind w:left="40" w:right="49" w:firstLine="477"/>
        <w:rPr>
          <w:rFonts w:ascii="宋体" w:hAnsi="宋体" w:eastAsia="宋体" w:cs="宋体"/>
          <w:sz w:val="24"/>
          <w:szCs w:val="24"/>
        </w:rPr>
      </w:pPr>
      <w:r>
        <w:rPr>
          <w:rFonts w:ascii="宋体" w:hAnsi="宋体" w:eastAsia="宋体" w:cs="宋体"/>
          <w:spacing w:val="-7"/>
          <w:sz w:val="24"/>
          <w:szCs w:val="24"/>
        </w:rPr>
        <w:t>散装水泥、粉煤灰等粉料由散装车直接泵入水泥筒仓， 放空口在抽料时有粉</w:t>
      </w:r>
      <w:r>
        <w:rPr>
          <w:rFonts w:ascii="宋体" w:hAnsi="宋体" w:eastAsia="宋体" w:cs="宋体"/>
          <w:spacing w:val="12"/>
          <w:sz w:val="24"/>
          <w:szCs w:val="24"/>
        </w:rPr>
        <w:t xml:space="preserve"> </w:t>
      </w:r>
      <w:r>
        <w:rPr>
          <w:rFonts w:ascii="宋体" w:hAnsi="宋体" w:eastAsia="宋体" w:cs="宋体"/>
          <w:spacing w:val="-8"/>
          <w:sz w:val="24"/>
          <w:szCs w:val="24"/>
        </w:rPr>
        <w:t>尘产生。企业在罐车放空口套布袋，</w:t>
      </w:r>
      <w:r>
        <w:rPr>
          <w:rFonts w:ascii="宋体" w:hAnsi="宋体" w:eastAsia="宋体" w:cs="宋体"/>
          <w:spacing w:val="33"/>
          <w:sz w:val="24"/>
          <w:szCs w:val="24"/>
        </w:rPr>
        <w:t xml:space="preserve"> </w:t>
      </w:r>
      <w:r>
        <w:rPr>
          <w:rFonts w:ascii="宋体" w:hAnsi="宋体" w:eastAsia="宋体" w:cs="宋体"/>
          <w:spacing w:val="-8"/>
          <w:sz w:val="24"/>
          <w:szCs w:val="24"/>
        </w:rPr>
        <w:t>预计可以削减</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99%</w:t>
      </w:r>
      <w:r>
        <w:rPr>
          <w:rFonts w:ascii="宋体" w:hAnsi="宋体" w:eastAsia="宋体" w:cs="宋体"/>
          <w:spacing w:val="-8"/>
          <w:sz w:val="24"/>
          <w:szCs w:val="24"/>
        </w:rPr>
        <w:t>无组织粉尘，总体产生量</w:t>
      </w:r>
    </w:p>
    <w:p>
      <w:pPr>
        <w:spacing w:before="1" w:line="221" w:lineRule="auto"/>
        <w:ind w:left="38"/>
        <w:rPr>
          <w:rFonts w:ascii="宋体" w:hAnsi="宋体" w:eastAsia="宋体" w:cs="宋体"/>
          <w:sz w:val="24"/>
          <w:szCs w:val="24"/>
        </w:rPr>
      </w:pPr>
      <w:r>
        <w:rPr>
          <w:rFonts w:ascii="宋体" w:hAnsi="宋体" w:eastAsia="宋体" w:cs="宋体"/>
          <w:spacing w:val="-4"/>
          <w:sz w:val="24"/>
          <w:szCs w:val="24"/>
        </w:rPr>
        <w:t>较少。</w:t>
      </w:r>
    </w:p>
    <w:p>
      <w:pPr>
        <w:spacing w:before="181" w:line="217" w:lineRule="auto"/>
        <w:ind w:left="516"/>
        <w:rPr>
          <w:rFonts w:ascii="宋体" w:hAnsi="宋体" w:eastAsia="宋体" w:cs="宋体"/>
          <w:sz w:val="24"/>
          <w:szCs w:val="24"/>
        </w:rPr>
      </w:pPr>
      <w:r>
        <w:rPr>
          <w:rFonts w:ascii="宋体" w:hAnsi="宋体" w:eastAsia="宋体" w:cs="宋体"/>
          <w:spacing w:val="-1"/>
          <w:sz w:val="24"/>
          <w:szCs w:val="24"/>
        </w:rPr>
        <w:t>②搅拌楼产生的粉尘</w:t>
      </w:r>
    </w:p>
    <w:p>
      <w:pPr>
        <w:spacing w:before="183" w:line="359" w:lineRule="auto"/>
        <w:ind w:left="39" w:right="52" w:firstLine="482"/>
        <w:rPr>
          <w:rFonts w:ascii="宋体" w:hAnsi="宋体" w:eastAsia="宋体" w:cs="宋体"/>
          <w:sz w:val="24"/>
          <w:szCs w:val="24"/>
        </w:rPr>
      </w:pPr>
      <w:r>
        <w:rPr>
          <w:rFonts w:ascii="宋体" w:hAnsi="宋体" w:eastAsia="宋体" w:cs="宋体"/>
          <w:spacing w:val="-7"/>
          <w:sz w:val="24"/>
          <w:szCs w:val="24"/>
        </w:rPr>
        <w:t>项目搅拌楼生产过程有粉尘产生， 搅拌楼为间歇运行。本次设置的拌和站的</w:t>
      </w:r>
      <w:r>
        <w:rPr>
          <w:rFonts w:ascii="宋体" w:hAnsi="宋体" w:eastAsia="宋体" w:cs="宋体"/>
          <w:spacing w:val="8"/>
          <w:sz w:val="24"/>
          <w:szCs w:val="24"/>
        </w:rPr>
        <w:t xml:space="preserve"> </w:t>
      </w:r>
      <w:r>
        <w:rPr>
          <w:rFonts w:ascii="宋体" w:hAnsi="宋体" w:eastAsia="宋体" w:cs="宋体"/>
          <w:spacing w:val="-2"/>
          <w:sz w:val="24"/>
          <w:szCs w:val="24"/>
        </w:rPr>
        <w:t>整体规模约为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240m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2"/>
          <w:sz w:val="24"/>
          <w:szCs w:val="24"/>
        </w:rPr>
        <w:t>/h</w:t>
      </w:r>
      <w:r>
        <w:rPr>
          <w:rFonts w:ascii="宋体" w:hAnsi="宋体" w:eastAsia="宋体" w:cs="宋体"/>
          <w:spacing w:val="-2"/>
          <w:sz w:val="24"/>
          <w:szCs w:val="24"/>
        </w:rPr>
        <w:t xml:space="preserve">，废气量为 </w:t>
      </w:r>
      <w:r>
        <w:rPr>
          <w:rFonts w:ascii="Times New Roman" w:hAnsi="Times New Roman" w:eastAsia="Times New Roman" w:cs="Times New Roman"/>
          <w:spacing w:val="-2"/>
          <w:sz w:val="24"/>
          <w:szCs w:val="24"/>
        </w:rPr>
        <w:t>15000m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2"/>
          <w:sz w:val="24"/>
          <w:szCs w:val="24"/>
        </w:rPr>
        <w:t>/h</w:t>
      </w:r>
      <w:r>
        <w:rPr>
          <w:rFonts w:ascii="宋体" w:hAnsi="宋体" w:eastAsia="宋体" w:cs="宋体"/>
          <w:spacing w:val="-2"/>
          <w:sz w:val="24"/>
          <w:szCs w:val="24"/>
        </w:rPr>
        <w:t>，颗粒物产生量为</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74.88kg/</w:t>
      </w:r>
      <w:r>
        <w:rPr>
          <w:rFonts w:ascii="Times New Roman" w:hAnsi="Times New Roman" w:eastAsia="Times New Roman" w:cs="Times New Roman"/>
          <w:spacing w:val="-3"/>
          <w:sz w:val="24"/>
          <w:szCs w:val="24"/>
        </w:rPr>
        <w:t>h</w:t>
      </w:r>
      <w:r>
        <w:rPr>
          <w:rFonts w:ascii="宋体" w:hAnsi="宋体" w:eastAsia="宋体" w:cs="宋体"/>
          <w:spacing w:val="-3"/>
          <w:sz w:val="24"/>
          <w:szCs w:val="24"/>
        </w:rPr>
        <w:t>，经除</w:t>
      </w:r>
    </w:p>
    <w:p>
      <w:pPr>
        <w:spacing w:line="212" w:lineRule="auto"/>
        <w:ind w:left="40"/>
        <w:rPr>
          <w:rFonts w:ascii="宋体" w:hAnsi="宋体" w:eastAsia="宋体" w:cs="宋体"/>
          <w:sz w:val="24"/>
          <w:szCs w:val="24"/>
        </w:rPr>
      </w:pPr>
      <w:r>
        <w:rPr>
          <w:rFonts w:ascii="宋体" w:hAnsi="宋体" w:eastAsia="宋体" w:cs="宋体"/>
          <w:spacing w:val="-1"/>
          <w:sz w:val="24"/>
          <w:szCs w:val="24"/>
        </w:rPr>
        <w:t>尘后，则实际的排放速率约为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0.150kg/h</w:t>
      </w:r>
      <w:r>
        <w:rPr>
          <w:rFonts w:ascii="宋体" w:hAnsi="宋体" w:eastAsia="宋体" w:cs="宋体"/>
          <w:spacing w:val="-1"/>
          <w:sz w:val="24"/>
          <w:szCs w:val="24"/>
        </w:rPr>
        <w:t>。</w:t>
      </w:r>
    </w:p>
    <w:p>
      <w:pPr>
        <w:spacing w:before="193" w:line="217" w:lineRule="auto"/>
        <w:ind w:left="516"/>
        <w:rPr>
          <w:rFonts w:ascii="宋体" w:hAnsi="宋体" w:eastAsia="宋体" w:cs="宋体"/>
          <w:sz w:val="24"/>
          <w:szCs w:val="24"/>
        </w:rPr>
      </w:pPr>
      <w:r>
        <w:rPr>
          <w:rFonts w:ascii="宋体" w:hAnsi="宋体" w:eastAsia="宋体" w:cs="宋体"/>
          <w:spacing w:val="-2"/>
          <w:sz w:val="24"/>
          <w:szCs w:val="24"/>
        </w:rPr>
        <w:t>③原料输送粉尘</w:t>
      </w:r>
    </w:p>
    <w:p>
      <w:pPr>
        <w:spacing w:before="183" w:line="468" w:lineRule="exact"/>
        <w:ind w:right="59"/>
        <w:jc w:val="right"/>
        <w:rPr>
          <w:rFonts w:ascii="宋体" w:hAnsi="宋体" w:eastAsia="宋体" w:cs="宋体"/>
          <w:sz w:val="24"/>
          <w:szCs w:val="24"/>
        </w:rPr>
      </w:pPr>
      <w:r>
        <w:rPr>
          <w:rFonts w:ascii="宋体" w:hAnsi="宋体" w:eastAsia="宋体" w:cs="宋体"/>
          <w:spacing w:val="-4"/>
          <w:position w:val="17"/>
          <w:sz w:val="24"/>
          <w:szCs w:val="24"/>
        </w:rPr>
        <w:t>项目石子、砂子通过输送带输送至搅拌机，输送带采用围挡隔离并配套设置</w:t>
      </w:r>
    </w:p>
    <w:p>
      <w:pPr>
        <w:spacing w:line="218" w:lineRule="auto"/>
        <w:ind w:left="41"/>
        <w:rPr>
          <w:rFonts w:ascii="宋体" w:hAnsi="宋体" w:eastAsia="宋体" w:cs="宋体"/>
          <w:sz w:val="24"/>
          <w:szCs w:val="24"/>
        </w:rPr>
      </w:pPr>
      <w:r>
        <w:rPr>
          <w:rFonts w:ascii="宋体" w:hAnsi="宋体" w:eastAsia="宋体" w:cs="宋体"/>
          <w:spacing w:val="-2"/>
          <w:sz w:val="24"/>
          <w:szCs w:val="24"/>
        </w:rPr>
        <w:t>水喷淋装置，保持其湿润，因此由输送带传输过程粉尘产生量较小。</w:t>
      </w:r>
    </w:p>
    <w:p>
      <w:pPr>
        <w:spacing w:before="183" w:line="217" w:lineRule="auto"/>
        <w:ind w:left="516"/>
        <w:rPr>
          <w:rFonts w:ascii="宋体" w:hAnsi="宋体" w:eastAsia="宋体" w:cs="宋体"/>
          <w:sz w:val="24"/>
          <w:szCs w:val="24"/>
        </w:rPr>
      </w:pPr>
      <w:r>
        <w:rPr>
          <w:rFonts w:ascii="宋体" w:hAnsi="宋体" w:eastAsia="宋体" w:cs="宋体"/>
          <w:spacing w:val="-1"/>
          <w:sz w:val="24"/>
          <w:szCs w:val="24"/>
        </w:rPr>
        <w:t>④ 堆料粉尘</w:t>
      </w:r>
    </w:p>
    <w:p>
      <w:pPr>
        <w:spacing w:line="217" w:lineRule="auto"/>
        <w:rPr>
          <w:rFonts w:ascii="宋体" w:hAnsi="宋体" w:eastAsia="宋体" w:cs="宋体"/>
          <w:sz w:val="24"/>
          <w:szCs w:val="24"/>
        </w:rPr>
        <w:sectPr>
          <w:headerReference r:id="rId158" w:type="default"/>
          <w:footerReference r:id="rId159" w:type="default"/>
          <w:pgSz w:w="11907" w:h="16839"/>
          <w:pgMar w:top="1118" w:right="1748" w:bottom="1184" w:left="1771" w:header="879" w:footer="1024" w:gutter="0"/>
          <w:cols w:space="720" w:num="1"/>
        </w:sectPr>
      </w:pPr>
    </w:p>
    <w:p>
      <w:pPr>
        <w:pStyle w:val="2"/>
        <w:spacing w:line="278" w:lineRule="auto"/>
      </w:pPr>
    </w:p>
    <w:p>
      <w:pPr>
        <w:spacing w:before="78" w:line="359" w:lineRule="auto"/>
        <w:ind w:left="123" w:right="114" w:firstLine="482"/>
        <w:rPr>
          <w:rFonts w:ascii="宋体" w:hAnsi="宋体" w:eastAsia="宋体" w:cs="宋体"/>
          <w:sz w:val="24"/>
          <w:szCs w:val="24"/>
        </w:rPr>
      </w:pPr>
      <w:r>
        <w:rPr>
          <w:rFonts w:ascii="宋体" w:hAnsi="宋体" w:eastAsia="宋体" w:cs="宋体"/>
          <w:spacing w:val="-8"/>
          <w:sz w:val="24"/>
          <w:szCs w:val="24"/>
        </w:rPr>
        <w:t>项目石子、黄砂由散装车运入后卸料到半封闭的料仓。石子粒径较大，</w:t>
      </w:r>
      <w:r>
        <w:rPr>
          <w:rFonts w:ascii="宋体" w:hAnsi="宋体" w:eastAsia="宋体" w:cs="宋体"/>
          <w:spacing w:val="38"/>
          <w:sz w:val="24"/>
          <w:szCs w:val="24"/>
        </w:rPr>
        <w:t xml:space="preserve"> </w:t>
      </w:r>
      <w:r>
        <w:rPr>
          <w:rFonts w:ascii="宋体" w:hAnsi="宋体" w:eastAsia="宋体" w:cs="宋体"/>
          <w:spacing w:val="-9"/>
          <w:sz w:val="24"/>
          <w:szCs w:val="24"/>
        </w:rPr>
        <w:t>并配</w:t>
      </w:r>
      <w:r>
        <w:rPr>
          <w:rFonts w:ascii="宋体" w:hAnsi="宋体" w:eastAsia="宋体" w:cs="宋体"/>
          <w:sz w:val="24"/>
          <w:szCs w:val="24"/>
        </w:rPr>
        <w:t xml:space="preserve"> </w:t>
      </w:r>
      <w:r>
        <w:rPr>
          <w:rFonts w:ascii="宋体" w:hAnsi="宋体" w:eastAsia="宋体" w:cs="宋体"/>
          <w:spacing w:val="-15"/>
          <w:sz w:val="24"/>
          <w:szCs w:val="24"/>
        </w:rPr>
        <w:t>套水喷淋， 基本不产生粉尘。砂子粒径相对较小，</w:t>
      </w:r>
      <w:r>
        <w:rPr>
          <w:rFonts w:ascii="宋体" w:hAnsi="宋体" w:eastAsia="宋体" w:cs="宋体"/>
          <w:spacing w:val="40"/>
          <w:sz w:val="24"/>
          <w:szCs w:val="24"/>
        </w:rPr>
        <w:t xml:space="preserve"> </w:t>
      </w:r>
      <w:r>
        <w:rPr>
          <w:rFonts w:ascii="宋体" w:hAnsi="宋体" w:eastAsia="宋体" w:cs="宋体"/>
          <w:spacing w:val="-15"/>
          <w:sz w:val="24"/>
          <w:szCs w:val="24"/>
        </w:rPr>
        <w:t>有少量扬尘产生</w:t>
      </w:r>
      <w:r>
        <w:rPr>
          <w:rFonts w:ascii="宋体" w:hAnsi="宋体" w:eastAsia="宋体" w:cs="宋体"/>
          <w:spacing w:val="-16"/>
          <w:sz w:val="24"/>
          <w:szCs w:val="24"/>
        </w:rPr>
        <w:t>，</w:t>
      </w:r>
      <w:r>
        <w:rPr>
          <w:rFonts w:ascii="宋体" w:hAnsi="宋体" w:eastAsia="宋体" w:cs="宋体"/>
          <w:spacing w:val="40"/>
          <w:sz w:val="24"/>
          <w:szCs w:val="24"/>
        </w:rPr>
        <w:t xml:space="preserve"> </w:t>
      </w:r>
      <w:r>
        <w:rPr>
          <w:rFonts w:ascii="宋体" w:hAnsi="宋体" w:eastAsia="宋体" w:cs="宋体"/>
          <w:spacing w:val="-16"/>
          <w:sz w:val="24"/>
          <w:szCs w:val="24"/>
        </w:rPr>
        <w:t>经过水喷淋</w:t>
      </w:r>
    </w:p>
    <w:p>
      <w:pPr>
        <w:spacing w:line="219" w:lineRule="auto"/>
        <w:ind w:left="124"/>
        <w:rPr>
          <w:rFonts w:ascii="宋体" w:hAnsi="宋体" w:eastAsia="宋体" w:cs="宋体"/>
          <w:sz w:val="24"/>
          <w:szCs w:val="24"/>
        </w:rPr>
      </w:pPr>
      <w:r>
        <w:rPr>
          <w:rFonts w:ascii="宋体" w:hAnsi="宋体" w:eastAsia="宋体" w:cs="宋体"/>
          <w:spacing w:val="-5"/>
          <w:sz w:val="24"/>
          <w:szCs w:val="24"/>
        </w:rPr>
        <w:t>后，总体产生量较小。</w:t>
      </w:r>
    </w:p>
    <w:p>
      <w:pPr>
        <w:spacing w:before="182" w:line="222"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）施工工地扬尘</w:t>
      </w:r>
    </w:p>
    <w:p>
      <w:pPr>
        <w:spacing w:before="175" w:line="360" w:lineRule="auto"/>
        <w:ind w:left="121" w:right="113" w:firstLine="481"/>
        <w:rPr>
          <w:rFonts w:ascii="宋体" w:hAnsi="宋体" w:eastAsia="宋体" w:cs="宋体"/>
          <w:sz w:val="24"/>
          <w:szCs w:val="24"/>
        </w:rPr>
      </w:pPr>
      <w:r>
        <w:rPr>
          <w:rFonts w:ascii="宋体" w:hAnsi="宋体" w:eastAsia="宋体" w:cs="宋体"/>
          <w:spacing w:val="-7"/>
          <w:sz w:val="24"/>
          <w:szCs w:val="24"/>
        </w:rPr>
        <w:t>本项目施工期大气污染以扬尘污染为主， 主要来源为动拆迁扬尘、路基开挖</w:t>
      </w:r>
      <w:r>
        <w:rPr>
          <w:rFonts w:ascii="宋体" w:hAnsi="宋体" w:eastAsia="宋体" w:cs="宋体"/>
          <w:spacing w:val="10"/>
          <w:sz w:val="24"/>
          <w:szCs w:val="24"/>
        </w:rPr>
        <w:t xml:space="preserve"> </w:t>
      </w:r>
      <w:r>
        <w:rPr>
          <w:rFonts w:ascii="宋体" w:hAnsi="宋体" w:eastAsia="宋体" w:cs="宋体"/>
          <w:spacing w:val="-6"/>
          <w:sz w:val="24"/>
          <w:szCs w:val="24"/>
        </w:rPr>
        <w:t>和填筑等施工作业扬尘、车辆行驶导致的二次扬尘等， 施</w:t>
      </w:r>
      <w:r>
        <w:rPr>
          <w:rFonts w:ascii="宋体" w:hAnsi="宋体" w:eastAsia="宋体" w:cs="宋体"/>
          <w:spacing w:val="-7"/>
          <w:sz w:val="24"/>
          <w:szCs w:val="24"/>
        </w:rPr>
        <w:t>工场地和露天堆场裸露</w:t>
      </w:r>
      <w:r>
        <w:rPr>
          <w:rFonts w:ascii="宋体" w:hAnsi="宋体" w:eastAsia="宋体" w:cs="宋体"/>
          <w:sz w:val="24"/>
          <w:szCs w:val="24"/>
        </w:rPr>
        <w:t xml:space="preserve"> </w:t>
      </w:r>
      <w:r>
        <w:rPr>
          <w:rFonts w:ascii="宋体" w:hAnsi="宋体" w:eastAsia="宋体" w:cs="宋体"/>
          <w:spacing w:val="-12"/>
          <w:sz w:val="24"/>
          <w:szCs w:val="24"/>
        </w:rPr>
        <w:t>表面也将产生风吹扬尘，</w:t>
      </w:r>
      <w:r>
        <w:rPr>
          <w:rFonts w:ascii="宋体" w:hAnsi="宋体" w:eastAsia="宋体" w:cs="宋体"/>
          <w:spacing w:val="51"/>
          <w:sz w:val="24"/>
          <w:szCs w:val="24"/>
        </w:rPr>
        <w:t xml:space="preserve"> </w:t>
      </w:r>
      <w:r>
        <w:rPr>
          <w:rFonts w:ascii="宋体" w:hAnsi="宋体" w:eastAsia="宋体" w:cs="宋体"/>
          <w:spacing w:val="-12"/>
          <w:sz w:val="24"/>
          <w:szCs w:val="24"/>
        </w:rPr>
        <w:t>主要污染物为</w:t>
      </w:r>
      <w:r>
        <w:rPr>
          <w:rFonts w:ascii="宋体" w:hAnsi="宋体" w:eastAsia="宋体" w:cs="宋体"/>
          <w:spacing w:val="-52"/>
          <w:sz w:val="24"/>
          <w:szCs w:val="24"/>
        </w:rPr>
        <w:t xml:space="preserve"> </w:t>
      </w:r>
      <w:r>
        <w:rPr>
          <w:rFonts w:ascii="Times New Roman" w:hAnsi="Times New Roman" w:eastAsia="Times New Roman" w:cs="Times New Roman"/>
          <w:spacing w:val="-12"/>
          <w:sz w:val="24"/>
          <w:szCs w:val="24"/>
        </w:rPr>
        <w:t>TSP</w:t>
      </w:r>
      <w:r>
        <w:rPr>
          <w:rFonts w:ascii="宋体" w:hAnsi="宋体" w:eastAsia="宋体" w:cs="宋体"/>
          <w:spacing w:val="-12"/>
          <w:sz w:val="24"/>
          <w:szCs w:val="24"/>
        </w:rPr>
        <w:t>。在施工过程中，</w:t>
      </w:r>
      <w:r>
        <w:rPr>
          <w:rFonts w:ascii="宋体" w:hAnsi="宋体" w:eastAsia="宋体" w:cs="宋体"/>
          <w:spacing w:val="37"/>
          <w:sz w:val="24"/>
          <w:szCs w:val="24"/>
        </w:rPr>
        <w:t xml:space="preserve"> </w:t>
      </w:r>
      <w:r>
        <w:rPr>
          <w:rFonts w:ascii="宋体" w:hAnsi="宋体" w:eastAsia="宋体" w:cs="宋体"/>
          <w:spacing w:val="-12"/>
          <w:sz w:val="24"/>
          <w:szCs w:val="24"/>
        </w:rPr>
        <w:t>大风及易起尘的天</w:t>
      </w:r>
    </w:p>
    <w:p>
      <w:pPr>
        <w:spacing w:before="1" w:line="218" w:lineRule="auto"/>
        <w:ind w:left="123"/>
        <w:rPr>
          <w:rFonts w:ascii="宋体" w:hAnsi="宋体" w:eastAsia="宋体" w:cs="宋体"/>
          <w:sz w:val="24"/>
          <w:szCs w:val="24"/>
        </w:rPr>
      </w:pPr>
      <w:r>
        <w:rPr>
          <w:rFonts w:ascii="宋体" w:hAnsi="宋体" w:eastAsia="宋体" w:cs="宋体"/>
          <w:spacing w:val="-2"/>
          <w:sz w:val="24"/>
          <w:szCs w:val="24"/>
        </w:rPr>
        <w:t>气较少施工时间，在施工过程中，起尘较多的采用洒水降尘。</w:t>
      </w:r>
    </w:p>
    <w:p>
      <w:pPr>
        <w:spacing w:before="181" w:line="219"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）施工车辆和机械尾气</w:t>
      </w:r>
    </w:p>
    <w:p>
      <w:pPr>
        <w:spacing w:before="183" w:line="466" w:lineRule="exact"/>
        <w:jc w:val="right"/>
        <w:rPr>
          <w:rFonts w:ascii="宋体" w:hAnsi="宋体" w:eastAsia="宋体" w:cs="宋体"/>
          <w:sz w:val="24"/>
          <w:szCs w:val="24"/>
        </w:rPr>
      </w:pPr>
      <w:r>
        <w:rPr>
          <w:rFonts w:ascii="宋体" w:hAnsi="宋体" w:eastAsia="宋体" w:cs="宋体"/>
          <w:spacing w:val="-11"/>
          <w:position w:val="17"/>
          <w:sz w:val="24"/>
          <w:szCs w:val="24"/>
        </w:rPr>
        <w:t>在地面开挖、路堤填筑等施工中， 由于使用各类</w:t>
      </w:r>
      <w:r>
        <w:rPr>
          <w:rFonts w:ascii="宋体" w:hAnsi="宋体" w:eastAsia="宋体" w:cs="宋体"/>
          <w:spacing w:val="-12"/>
          <w:position w:val="17"/>
          <w:sz w:val="24"/>
          <w:szCs w:val="24"/>
        </w:rPr>
        <w:t>机械设备采用柴油等为燃料，</w:t>
      </w:r>
    </w:p>
    <w:p>
      <w:pPr>
        <w:spacing w:before="1" w:line="219" w:lineRule="auto"/>
        <w:ind w:left="123"/>
        <w:rPr>
          <w:rFonts w:ascii="宋体" w:hAnsi="宋体" w:eastAsia="宋体" w:cs="宋体"/>
          <w:sz w:val="24"/>
          <w:szCs w:val="24"/>
        </w:rPr>
      </w:pPr>
      <w:r>
        <w:rPr>
          <w:rFonts w:ascii="宋体" w:hAnsi="宋体" w:eastAsia="宋体" w:cs="宋体"/>
          <w:spacing w:val="-2"/>
          <w:sz w:val="24"/>
          <w:szCs w:val="24"/>
        </w:rPr>
        <w:t xml:space="preserve">有少量的燃油废气产生，主要污染物是 </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
          <w:sz w:val="24"/>
          <w:szCs w:val="24"/>
        </w:rPr>
        <w:t>O</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13"/>
          <w:position w:val="-1"/>
          <w:sz w:val="16"/>
          <w:szCs w:val="16"/>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NO</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12"/>
          <w:position w:val="-1"/>
          <w:sz w:val="16"/>
          <w:szCs w:val="16"/>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CO  </w:t>
      </w:r>
      <w:r>
        <w:rPr>
          <w:rFonts w:ascii="宋体" w:hAnsi="宋体" w:eastAsia="宋体" w:cs="宋体"/>
          <w:spacing w:val="-3"/>
          <w:sz w:val="24"/>
          <w:szCs w:val="24"/>
        </w:rPr>
        <w:t>等。</w:t>
      </w:r>
    </w:p>
    <w:p>
      <w:pPr>
        <w:spacing w:before="182" w:line="466" w:lineRule="exact"/>
        <w:ind w:left="601"/>
        <w:rPr>
          <w:rFonts w:ascii="Times New Roman" w:hAnsi="Times New Roman" w:eastAsia="Times New Roman" w:cs="Times New Roman"/>
          <w:sz w:val="24"/>
          <w:szCs w:val="24"/>
        </w:rPr>
      </w:pPr>
      <w:r>
        <w:rPr>
          <w:rFonts w:ascii="宋体" w:hAnsi="宋体" w:eastAsia="宋体" w:cs="宋体"/>
          <w:spacing w:val="-8"/>
          <w:position w:val="17"/>
          <w:sz w:val="24"/>
          <w:szCs w:val="24"/>
        </w:rPr>
        <w:t xml:space="preserve">施工车辆运输行驶过程中也会产生汽车尾气， 主要污染物为 </w:t>
      </w:r>
      <w:r>
        <w:rPr>
          <w:rFonts w:ascii="Times New Roman" w:hAnsi="Times New Roman" w:eastAsia="Times New Roman" w:cs="Times New Roman"/>
          <w:spacing w:val="-8"/>
          <w:position w:val="17"/>
          <w:sz w:val="24"/>
          <w:szCs w:val="24"/>
        </w:rPr>
        <w:t>SO</w:t>
      </w:r>
      <w:r>
        <w:rPr>
          <w:rFonts w:ascii="Times New Roman" w:hAnsi="Times New Roman" w:eastAsia="Times New Roman" w:cs="Times New Roman"/>
          <w:spacing w:val="-8"/>
          <w:position w:val="16"/>
          <w:sz w:val="16"/>
          <w:szCs w:val="16"/>
        </w:rPr>
        <w:t>2</w:t>
      </w: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NO</w:t>
      </w:r>
      <w:r>
        <w:rPr>
          <w:rFonts w:ascii="Times New Roman" w:hAnsi="Times New Roman" w:eastAsia="Times New Roman" w:cs="Times New Roman"/>
          <w:spacing w:val="-8"/>
          <w:position w:val="16"/>
          <w:sz w:val="16"/>
          <w:szCs w:val="16"/>
        </w:rPr>
        <w:t>2</w:t>
      </w: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CO</w:t>
      </w:r>
    </w:p>
    <w:p>
      <w:pPr>
        <w:spacing w:line="219" w:lineRule="auto"/>
        <w:ind w:left="124"/>
        <w:rPr>
          <w:rFonts w:ascii="宋体" w:hAnsi="宋体" w:eastAsia="宋体" w:cs="宋体"/>
          <w:sz w:val="24"/>
          <w:szCs w:val="24"/>
        </w:rPr>
      </w:pPr>
      <w:r>
        <w:rPr>
          <w:rFonts w:ascii="宋体" w:hAnsi="宋体" w:eastAsia="宋体" w:cs="宋体"/>
          <w:spacing w:val="-12"/>
          <w:sz w:val="24"/>
          <w:szCs w:val="24"/>
        </w:rPr>
        <w:t>等。</w:t>
      </w:r>
    </w:p>
    <w:p>
      <w:pPr>
        <w:spacing w:before="183" w:line="219" w:lineRule="auto"/>
        <w:ind w:left="608"/>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）沥青烟气</w:t>
      </w:r>
    </w:p>
    <w:p>
      <w:pPr>
        <w:spacing w:before="183" w:line="359" w:lineRule="auto"/>
        <w:ind w:left="119" w:right="110" w:firstLine="483"/>
        <w:rPr>
          <w:rFonts w:ascii="宋体" w:hAnsi="宋体" w:eastAsia="宋体" w:cs="宋体"/>
          <w:sz w:val="24"/>
          <w:szCs w:val="24"/>
        </w:rPr>
      </w:pPr>
      <w:r>
        <w:rPr>
          <w:rFonts w:ascii="宋体" w:hAnsi="宋体" w:eastAsia="宋体" w:cs="宋体"/>
          <w:spacing w:val="4"/>
          <w:sz w:val="24"/>
          <w:szCs w:val="24"/>
        </w:rPr>
        <w:t>本工程采用沥青混凝土路面，所需的沥青混凝土来自于景文高速公路拌合</w:t>
      </w:r>
      <w:r>
        <w:rPr>
          <w:rFonts w:ascii="宋体" w:hAnsi="宋体" w:eastAsia="宋体" w:cs="宋体"/>
          <w:spacing w:val="10"/>
          <w:sz w:val="24"/>
          <w:szCs w:val="24"/>
        </w:rPr>
        <w:t xml:space="preserve"> </w:t>
      </w:r>
      <w:r>
        <w:rPr>
          <w:rFonts w:ascii="宋体" w:hAnsi="宋体" w:eastAsia="宋体" w:cs="宋体"/>
          <w:spacing w:val="4"/>
          <w:sz w:val="24"/>
          <w:szCs w:val="24"/>
        </w:rPr>
        <w:t xml:space="preserve">站，本工程不进行拌合，因此本工程沥青烟气主要为铺摊时产生，主要产生以 </w:t>
      </w:r>
      <w:r>
        <w:rPr>
          <w:rFonts w:ascii="Times New Roman" w:hAnsi="Times New Roman" w:eastAsia="Times New Roman" w:cs="Times New Roman"/>
          <w:spacing w:val="-2"/>
          <w:sz w:val="24"/>
          <w:szCs w:val="24"/>
        </w:rPr>
        <w:t>THC</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TSP</w:t>
      </w:r>
      <w:r>
        <w:rPr>
          <w:rFonts w:ascii="Times New Roman" w:hAnsi="Times New Roman" w:eastAsia="Times New Roman" w:cs="Times New Roman"/>
          <w:spacing w:val="50"/>
          <w:w w:val="101"/>
          <w:sz w:val="24"/>
          <w:szCs w:val="24"/>
        </w:rPr>
        <w:t xml:space="preserve"> </w:t>
      </w:r>
      <w:r>
        <w:rPr>
          <w:rFonts w:ascii="宋体" w:hAnsi="宋体" w:eastAsia="宋体" w:cs="宋体"/>
          <w:spacing w:val="-2"/>
          <w:sz w:val="24"/>
          <w:szCs w:val="24"/>
        </w:rPr>
        <w:t xml:space="preserve">和 </w:t>
      </w:r>
      <w:r>
        <w:rPr>
          <w:rFonts w:ascii="Times New Roman" w:hAnsi="Times New Roman" w:eastAsia="Times New Roman" w:cs="Times New Roman"/>
          <w:spacing w:val="-2"/>
          <w:sz w:val="24"/>
          <w:szCs w:val="24"/>
        </w:rPr>
        <w:t>BaP</w:t>
      </w:r>
      <w:r>
        <w:rPr>
          <w:rFonts w:ascii="Times New Roman" w:hAnsi="Times New Roman" w:eastAsia="Times New Roman" w:cs="Times New Roman"/>
          <w:spacing w:val="52"/>
          <w:w w:val="101"/>
          <w:sz w:val="24"/>
          <w:szCs w:val="24"/>
        </w:rPr>
        <w:t xml:space="preserve"> </w:t>
      </w:r>
      <w:r>
        <w:rPr>
          <w:rFonts w:ascii="宋体" w:hAnsi="宋体" w:eastAsia="宋体" w:cs="宋体"/>
          <w:spacing w:val="-2"/>
          <w:sz w:val="24"/>
          <w:szCs w:val="24"/>
        </w:rPr>
        <w:t>为主污染。根据以</w:t>
      </w:r>
      <w:r>
        <w:rPr>
          <w:rFonts w:ascii="宋体" w:hAnsi="宋体" w:eastAsia="宋体" w:cs="宋体"/>
          <w:spacing w:val="-3"/>
          <w:sz w:val="24"/>
          <w:szCs w:val="24"/>
        </w:rPr>
        <w:t>往的调查和监测资料，沥青摊铺时的沥青</w:t>
      </w:r>
    </w:p>
    <w:p>
      <w:pPr>
        <w:spacing w:line="220" w:lineRule="auto"/>
        <w:ind w:left="123"/>
        <w:rPr>
          <w:rFonts w:ascii="宋体" w:hAnsi="宋体" w:eastAsia="宋体" w:cs="宋体"/>
          <w:sz w:val="24"/>
          <w:szCs w:val="24"/>
        </w:rPr>
      </w:pPr>
      <w:r>
        <w:rPr>
          <w:rFonts w:ascii="宋体" w:hAnsi="宋体" w:eastAsia="宋体" w:cs="宋体"/>
          <w:spacing w:val="-3"/>
          <w:sz w:val="24"/>
          <w:szCs w:val="24"/>
        </w:rPr>
        <w:t>烟气污染相对熔融烟气是很小的。</w:t>
      </w:r>
    </w:p>
    <w:p>
      <w:pPr>
        <w:spacing w:before="181" w:line="220" w:lineRule="auto"/>
        <w:ind w:left="602"/>
        <w:rPr>
          <w:rFonts w:ascii="宋体" w:hAnsi="宋体" w:eastAsia="宋体" w:cs="宋体"/>
          <w:sz w:val="24"/>
          <w:szCs w:val="24"/>
        </w:rPr>
      </w:pPr>
      <w:r>
        <w:rPr>
          <w:rFonts w:ascii="Times New Roman" w:hAnsi="Times New Roman" w:eastAsia="Times New Roman" w:cs="Times New Roman"/>
          <w:spacing w:val="-8"/>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8"/>
          <w:sz w:val="24"/>
          <w:szCs w:val="24"/>
        </w:rPr>
        <w:t>、废水</w:t>
      </w:r>
    </w:p>
    <w:p>
      <w:pPr>
        <w:spacing w:before="180" w:line="220" w:lineRule="auto"/>
        <w:ind w:left="60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）施工生活污水</w:t>
      </w:r>
    </w:p>
    <w:p>
      <w:pPr>
        <w:spacing w:before="183" w:line="359" w:lineRule="auto"/>
        <w:ind w:left="145" w:right="113" w:firstLine="459"/>
        <w:rPr>
          <w:rFonts w:ascii="宋体" w:hAnsi="宋体" w:eastAsia="宋体" w:cs="宋体"/>
          <w:sz w:val="24"/>
          <w:szCs w:val="24"/>
        </w:rPr>
      </w:pPr>
      <w:r>
        <w:rPr>
          <w:rFonts w:ascii="宋体" w:hAnsi="宋体" w:eastAsia="宋体" w:cs="宋体"/>
          <w:spacing w:val="-5"/>
          <w:sz w:val="24"/>
          <w:szCs w:val="24"/>
        </w:rPr>
        <w:t>工程设置临时集中施工场地</w:t>
      </w:r>
      <w:r>
        <w:rPr>
          <w:rFonts w:ascii="宋体" w:hAnsi="宋体" w:eastAsia="宋体" w:cs="宋体"/>
          <w:spacing w:val="-16"/>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处，其他临时场地与景文高速公路临时场地共</w:t>
      </w:r>
      <w:r>
        <w:rPr>
          <w:rFonts w:ascii="宋体" w:hAnsi="宋体" w:eastAsia="宋体" w:cs="宋体"/>
          <w:sz w:val="24"/>
          <w:szCs w:val="24"/>
        </w:rPr>
        <w:t xml:space="preserve"> </w:t>
      </w:r>
      <w:r>
        <w:rPr>
          <w:rFonts w:ascii="宋体" w:hAnsi="宋体" w:eastAsia="宋体" w:cs="宋体"/>
          <w:spacing w:val="-4"/>
          <w:sz w:val="24"/>
          <w:szCs w:val="24"/>
        </w:rPr>
        <w:t>同设置。本项目的项目部也利用景文高速主线四标的项目部，用于施工管理人员</w:t>
      </w:r>
    </w:p>
    <w:p>
      <w:pPr>
        <w:spacing w:before="1" w:line="219" w:lineRule="auto"/>
        <w:ind w:left="141"/>
        <w:rPr>
          <w:rFonts w:ascii="宋体" w:hAnsi="宋体" w:eastAsia="宋体" w:cs="宋体"/>
          <w:sz w:val="24"/>
          <w:szCs w:val="24"/>
        </w:rPr>
      </w:pPr>
      <w:r>
        <w:rPr>
          <w:rFonts w:ascii="宋体" w:hAnsi="宋体" w:eastAsia="宋体" w:cs="宋体"/>
          <w:spacing w:val="-3"/>
          <w:sz w:val="24"/>
          <w:szCs w:val="24"/>
        </w:rPr>
        <w:t>的办公用房设置并兼顾部分施工人员的住宿等。</w:t>
      </w:r>
    </w:p>
    <w:p>
      <w:pPr>
        <w:spacing w:before="180" w:line="359" w:lineRule="auto"/>
        <w:ind w:left="124" w:right="124" w:firstLine="478"/>
        <w:rPr>
          <w:rFonts w:ascii="宋体" w:hAnsi="宋体" w:eastAsia="宋体" w:cs="宋体"/>
          <w:sz w:val="24"/>
          <w:szCs w:val="24"/>
        </w:rPr>
      </w:pPr>
      <w:r>
        <w:rPr>
          <w:rFonts w:ascii="宋体" w:hAnsi="宋体" w:eastAsia="宋体" w:cs="宋体"/>
          <w:spacing w:val="-3"/>
          <w:sz w:val="24"/>
          <w:szCs w:val="24"/>
        </w:rPr>
        <w:t>本项目施工人员高峰期约有</w:t>
      </w:r>
      <w:r>
        <w:rPr>
          <w:rFonts w:ascii="宋体" w:hAnsi="宋体" w:eastAsia="宋体" w:cs="宋体"/>
          <w:spacing w:val="-15"/>
          <w:sz w:val="24"/>
          <w:szCs w:val="24"/>
        </w:rPr>
        <w:t xml:space="preserve"> </w:t>
      </w:r>
      <w:r>
        <w:rPr>
          <w:rFonts w:ascii="Times New Roman" w:hAnsi="Times New Roman" w:eastAsia="Times New Roman" w:cs="Times New Roman"/>
          <w:spacing w:val="-3"/>
          <w:sz w:val="24"/>
          <w:szCs w:val="24"/>
        </w:rPr>
        <w:t>500</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 xml:space="preserve">人，每人每天用水量约 </w:t>
      </w:r>
      <w:r>
        <w:rPr>
          <w:rFonts w:ascii="Times New Roman" w:hAnsi="Times New Roman" w:eastAsia="Times New Roman" w:cs="Times New Roman"/>
          <w:spacing w:val="-3"/>
          <w:sz w:val="24"/>
          <w:szCs w:val="24"/>
        </w:rPr>
        <w:t>120L</w:t>
      </w:r>
      <w:r>
        <w:rPr>
          <w:rFonts w:ascii="宋体" w:hAnsi="宋体" w:eastAsia="宋体" w:cs="宋体"/>
          <w:spacing w:val="-3"/>
          <w:sz w:val="24"/>
          <w:szCs w:val="24"/>
        </w:rPr>
        <w:t>，污水排放系</w:t>
      </w:r>
      <w:r>
        <w:rPr>
          <w:rFonts w:ascii="宋体" w:hAnsi="宋体" w:eastAsia="宋体" w:cs="宋体"/>
          <w:sz w:val="24"/>
          <w:szCs w:val="24"/>
        </w:rPr>
        <w:t xml:space="preserve"> </w:t>
      </w:r>
      <w:r>
        <w:rPr>
          <w:rFonts w:ascii="宋体" w:hAnsi="宋体" w:eastAsia="宋体" w:cs="宋体"/>
          <w:spacing w:val="-7"/>
          <w:sz w:val="24"/>
          <w:szCs w:val="24"/>
        </w:rPr>
        <w:t>数取</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0.8</w:t>
      </w:r>
      <w:r>
        <w:rPr>
          <w:rFonts w:ascii="宋体" w:hAnsi="宋体" w:eastAsia="宋体" w:cs="宋体"/>
          <w:spacing w:val="-7"/>
          <w:sz w:val="24"/>
          <w:szCs w:val="24"/>
        </w:rPr>
        <w:t>，生活污水产生量为</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4.8t/d</w:t>
      </w:r>
      <w:r>
        <w:rPr>
          <w:rFonts w:ascii="宋体" w:hAnsi="宋体" w:eastAsia="宋体" w:cs="宋体"/>
          <w:spacing w:val="-7"/>
          <w:sz w:val="24"/>
          <w:szCs w:val="24"/>
        </w:rPr>
        <w:t>。根据调查，</w:t>
      </w:r>
      <w:r>
        <w:rPr>
          <w:rFonts w:ascii="宋体" w:hAnsi="宋体" w:eastAsia="宋体" w:cs="宋体"/>
          <w:spacing w:val="25"/>
          <w:sz w:val="24"/>
          <w:szCs w:val="24"/>
        </w:rPr>
        <w:t xml:space="preserve"> </w:t>
      </w:r>
      <w:r>
        <w:rPr>
          <w:rFonts w:ascii="宋体" w:hAnsi="宋体" w:eastAsia="宋体" w:cs="宋体"/>
          <w:spacing w:val="-7"/>
          <w:sz w:val="24"/>
          <w:szCs w:val="24"/>
        </w:rPr>
        <w:t>施工营地生活</w:t>
      </w:r>
      <w:r>
        <w:rPr>
          <w:rFonts w:ascii="宋体" w:hAnsi="宋体" w:eastAsia="宋体" w:cs="宋体"/>
          <w:spacing w:val="-8"/>
          <w:sz w:val="24"/>
          <w:szCs w:val="24"/>
        </w:rPr>
        <w:t>污水水污染物成分</w:t>
      </w:r>
    </w:p>
    <w:p>
      <w:pPr>
        <w:spacing w:before="1" w:line="219" w:lineRule="auto"/>
        <w:ind w:left="121"/>
        <w:rPr>
          <w:rFonts w:ascii="宋体" w:hAnsi="宋体" w:eastAsia="宋体" w:cs="宋体"/>
          <w:sz w:val="24"/>
          <w:szCs w:val="24"/>
        </w:rPr>
      </w:pPr>
      <w:r>
        <w:rPr>
          <w:rFonts w:ascii="宋体" w:hAnsi="宋体" w:eastAsia="宋体" w:cs="宋体"/>
          <w:spacing w:val="-2"/>
          <w:sz w:val="24"/>
          <w:szCs w:val="24"/>
        </w:rPr>
        <w:t>及其浓度详见表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3.8-5</w:t>
      </w:r>
      <w:r>
        <w:rPr>
          <w:rFonts w:ascii="宋体" w:hAnsi="宋体" w:eastAsia="宋体" w:cs="宋体"/>
          <w:spacing w:val="-2"/>
          <w:sz w:val="24"/>
          <w:szCs w:val="24"/>
        </w:rPr>
        <w:t>。</w:t>
      </w:r>
    </w:p>
    <w:p>
      <w:pPr>
        <w:spacing w:before="182" w:line="220" w:lineRule="auto"/>
        <w:ind w:left="177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3.8-5      </w:t>
      </w:r>
      <w:r>
        <w:rPr>
          <w:rFonts w:ascii="宋体" w:hAnsi="宋体" w:eastAsia="宋体" w:cs="宋体"/>
          <w:spacing w:val="-1"/>
          <w:sz w:val="24"/>
          <w:szCs w:val="24"/>
        </w:rPr>
        <w:t>施工营地生活污水成分及浓度一览表</w:t>
      </w:r>
    </w:p>
    <w:p>
      <w:pPr>
        <w:spacing w:line="144"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1"/>
        <w:gridCol w:w="777"/>
        <w:gridCol w:w="972"/>
        <w:gridCol w:w="1060"/>
        <w:gridCol w:w="918"/>
        <w:gridCol w:w="917"/>
        <w:gridCol w:w="14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471" w:type="dxa"/>
            <w:vAlign w:val="top"/>
          </w:tcPr>
          <w:p>
            <w:pPr>
              <w:pStyle w:val="6"/>
              <w:spacing w:before="58" w:line="221" w:lineRule="auto"/>
              <w:ind w:left="717"/>
            </w:pPr>
            <w:r>
              <w:rPr>
                <w:spacing w:val="-2"/>
              </w:rPr>
              <w:t>主要污染物</w:t>
            </w:r>
          </w:p>
        </w:tc>
        <w:tc>
          <w:tcPr>
            <w:tcW w:w="777" w:type="dxa"/>
            <w:vAlign w:val="top"/>
          </w:tcPr>
          <w:p>
            <w:pPr>
              <w:spacing w:before="96" w:line="187" w:lineRule="auto"/>
              <w:ind w:left="28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972" w:type="dxa"/>
            <w:vAlign w:val="top"/>
          </w:tcPr>
          <w:p>
            <w:pPr>
              <w:spacing w:before="97" w:line="196" w:lineRule="auto"/>
              <w:ind w:left="228"/>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1"/>
                <w:sz w:val="13"/>
                <w:szCs w:val="13"/>
              </w:rPr>
              <w:t>5</w:t>
            </w:r>
          </w:p>
        </w:tc>
        <w:tc>
          <w:tcPr>
            <w:tcW w:w="1060" w:type="dxa"/>
            <w:vAlign w:val="top"/>
          </w:tcPr>
          <w:p>
            <w:pPr>
              <w:spacing w:before="97" w:line="196" w:lineRule="auto"/>
              <w:ind w:left="242"/>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COD</w:t>
            </w:r>
            <w:r>
              <w:rPr>
                <w:rFonts w:ascii="Times New Roman" w:hAnsi="Times New Roman" w:eastAsia="Times New Roman" w:cs="Times New Roman"/>
                <w:spacing w:val="1"/>
                <w:position w:val="-1"/>
                <w:sz w:val="13"/>
                <w:szCs w:val="13"/>
              </w:rPr>
              <w:t>Cr</w:t>
            </w:r>
          </w:p>
        </w:tc>
        <w:tc>
          <w:tcPr>
            <w:tcW w:w="918" w:type="dxa"/>
            <w:vAlign w:val="top"/>
          </w:tcPr>
          <w:p>
            <w:pPr>
              <w:pStyle w:val="6"/>
              <w:spacing w:before="58" w:line="220" w:lineRule="auto"/>
              <w:ind w:left="261"/>
            </w:pPr>
            <w:r>
              <w:rPr>
                <w:spacing w:val="-3"/>
              </w:rPr>
              <w:t>总氮</w:t>
            </w:r>
          </w:p>
        </w:tc>
        <w:tc>
          <w:tcPr>
            <w:tcW w:w="917" w:type="dxa"/>
            <w:vAlign w:val="top"/>
          </w:tcPr>
          <w:p>
            <w:pPr>
              <w:pStyle w:val="6"/>
              <w:spacing w:before="57" w:line="221" w:lineRule="auto"/>
              <w:ind w:left="263"/>
            </w:pPr>
            <w:r>
              <w:rPr>
                <w:spacing w:val="-3"/>
              </w:rPr>
              <w:t>总磷</w:t>
            </w:r>
          </w:p>
        </w:tc>
        <w:tc>
          <w:tcPr>
            <w:tcW w:w="1413" w:type="dxa"/>
            <w:vAlign w:val="top"/>
          </w:tcPr>
          <w:p>
            <w:pPr>
              <w:pStyle w:val="6"/>
              <w:spacing w:before="57" w:line="221" w:lineRule="auto"/>
              <w:ind w:left="292"/>
            </w:pPr>
            <w:r>
              <w:rPr>
                <w:spacing w:val="-2"/>
              </w:rPr>
              <w:t>动植物油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471" w:type="dxa"/>
            <w:vAlign w:val="top"/>
          </w:tcPr>
          <w:p>
            <w:pPr>
              <w:pStyle w:val="6"/>
              <w:spacing w:before="53" w:line="213" w:lineRule="auto"/>
              <w:ind w:left="593"/>
            </w:pPr>
            <w:r>
              <w:rPr>
                <w:spacing w:val="-1"/>
              </w:rPr>
              <w:t>浓度（</w:t>
            </w:r>
            <w:r>
              <w:rPr>
                <w:rFonts w:ascii="Times New Roman" w:hAnsi="Times New Roman" w:eastAsia="Times New Roman" w:cs="Times New Roman"/>
                <w:spacing w:val="-1"/>
              </w:rPr>
              <w:t>mg/L</w:t>
            </w:r>
            <w:r>
              <w:rPr>
                <w:spacing w:val="-1"/>
              </w:rPr>
              <w:t>）</w:t>
            </w:r>
          </w:p>
        </w:tc>
        <w:tc>
          <w:tcPr>
            <w:tcW w:w="777" w:type="dxa"/>
            <w:vAlign w:val="top"/>
          </w:tcPr>
          <w:p>
            <w:pPr>
              <w:spacing w:before="91" w:line="187" w:lineRule="auto"/>
              <w:ind w:left="23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972" w:type="dxa"/>
            <w:vAlign w:val="top"/>
          </w:tcPr>
          <w:p>
            <w:pPr>
              <w:spacing w:before="91"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220</w:t>
            </w:r>
          </w:p>
        </w:tc>
        <w:tc>
          <w:tcPr>
            <w:tcW w:w="1060" w:type="dxa"/>
            <w:vAlign w:val="top"/>
          </w:tcPr>
          <w:p>
            <w:pPr>
              <w:spacing w:before="91" w:line="187" w:lineRule="auto"/>
              <w:ind w:left="3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918" w:type="dxa"/>
            <w:vAlign w:val="top"/>
          </w:tcPr>
          <w:p>
            <w:pPr>
              <w:spacing w:before="91" w:line="187" w:lineRule="auto"/>
              <w:ind w:left="4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917" w:type="dxa"/>
            <w:vAlign w:val="top"/>
          </w:tcPr>
          <w:p>
            <w:pPr>
              <w:spacing w:before="91" w:line="187" w:lineRule="auto"/>
              <w:ind w:left="418"/>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413" w:type="dxa"/>
            <w:vAlign w:val="top"/>
          </w:tcPr>
          <w:p>
            <w:pPr>
              <w:spacing w:before="91" w:line="187" w:lineRule="auto"/>
              <w:ind w:left="6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471" w:type="dxa"/>
            <w:vAlign w:val="top"/>
          </w:tcPr>
          <w:p>
            <w:pPr>
              <w:pStyle w:val="6"/>
              <w:spacing w:before="54" w:line="213" w:lineRule="auto"/>
              <w:ind w:left="423"/>
            </w:pPr>
            <w:r>
              <w:rPr>
                <w:spacing w:val="-1"/>
              </w:rPr>
              <w:t>排放源强（</w:t>
            </w:r>
            <w:r>
              <w:rPr>
                <w:rFonts w:ascii="Times New Roman" w:hAnsi="Times New Roman" w:eastAsia="Times New Roman" w:cs="Times New Roman"/>
                <w:spacing w:val="-1"/>
              </w:rPr>
              <w:t>kg/d</w:t>
            </w:r>
            <w:r>
              <w:rPr>
                <w:spacing w:val="-1"/>
              </w:rPr>
              <w:t>）</w:t>
            </w:r>
          </w:p>
        </w:tc>
        <w:tc>
          <w:tcPr>
            <w:tcW w:w="777" w:type="dxa"/>
            <w:vAlign w:val="top"/>
          </w:tcPr>
          <w:p>
            <w:pPr>
              <w:spacing w:before="93"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2.88</w:t>
            </w:r>
          </w:p>
        </w:tc>
        <w:tc>
          <w:tcPr>
            <w:tcW w:w="972" w:type="dxa"/>
            <w:vAlign w:val="top"/>
          </w:tcPr>
          <w:p>
            <w:pPr>
              <w:spacing w:before="93"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2.11</w:t>
            </w:r>
          </w:p>
        </w:tc>
        <w:tc>
          <w:tcPr>
            <w:tcW w:w="1060" w:type="dxa"/>
            <w:vAlign w:val="top"/>
          </w:tcPr>
          <w:p>
            <w:pPr>
              <w:spacing w:before="93" w:line="187" w:lineRule="auto"/>
              <w:ind w:left="3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3.84</w:t>
            </w:r>
          </w:p>
        </w:tc>
        <w:tc>
          <w:tcPr>
            <w:tcW w:w="918" w:type="dxa"/>
            <w:vAlign w:val="top"/>
          </w:tcPr>
          <w:p>
            <w:pPr>
              <w:spacing w:before="93"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0.384</w:t>
            </w:r>
          </w:p>
        </w:tc>
        <w:tc>
          <w:tcPr>
            <w:tcW w:w="917" w:type="dxa"/>
            <w:vAlign w:val="top"/>
          </w:tcPr>
          <w:p>
            <w:pPr>
              <w:spacing w:before="93"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0.076</w:t>
            </w:r>
          </w:p>
        </w:tc>
        <w:tc>
          <w:tcPr>
            <w:tcW w:w="1413" w:type="dxa"/>
            <w:vAlign w:val="top"/>
          </w:tcPr>
          <w:p>
            <w:pPr>
              <w:spacing w:before="93" w:line="187" w:lineRule="auto"/>
              <w:ind w:left="4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0.288</w:t>
            </w:r>
          </w:p>
        </w:tc>
      </w:tr>
    </w:tbl>
    <w:p>
      <w:pPr>
        <w:pStyle w:val="2"/>
      </w:pPr>
    </w:p>
    <w:p>
      <w:pPr>
        <w:sectPr>
          <w:headerReference r:id="rId160" w:type="default"/>
          <w:footerReference r:id="rId161" w:type="default"/>
          <w:pgSz w:w="11907" w:h="16839"/>
          <w:pgMar w:top="1118" w:right="1685" w:bottom="1184" w:left="1687" w:header="879" w:footer="1024" w:gutter="0"/>
          <w:cols w:space="720" w:num="1"/>
        </w:sectPr>
      </w:pPr>
    </w:p>
    <w:p>
      <w:pPr>
        <w:pStyle w:val="2"/>
        <w:spacing w:line="277" w:lineRule="auto"/>
      </w:pPr>
    </w:p>
    <w:p>
      <w:pPr>
        <w:spacing w:before="78" w:line="220"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）施工冲洗、养护废水</w:t>
      </w:r>
    </w:p>
    <w:p>
      <w:pPr>
        <w:spacing w:before="182" w:line="466" w:lineRule="exact"/>
        <w:ind w:left="601"/>
        <w:rPr>
          <w:rFonts w:ascii="宋体" w:hAnsi="宋体" w:eastAsia="宋体" w:cs="宋体"/>
          <w:sz w:val="24"/>
          <w:szCs w:val="24"/>
        </w:rPr>
      </w:pPr>
      <w:r>
        <w:rPr>
          <w:rFonts w:ascii="宋体" w:hAnsi="宋体" w:eastAsia="宋体" w:cs="宋体"/>
          <w:spacing w:val="4"/>
          <w:position w:val="17"/>
          <w:sz w:val="24"/>
          <w:szCs w:val="24"/>
        </w:rPr>
        <w:t>施工期场地内的废水包括施工场地内砼拌合系统、施工场地冲洗产生的废</w:t>
      </w:r>
    </w:p>
    <w:p>
      <w:pPr>
        <w:spacing w:before="1" w:line="218" w:lineRule="auto"/>
        <w:ind w:left="125"/>
        <w:rPr>
          <w:rFonts w:ascii="宋体" w:hAnsi="宋体" w:eastAsia="宋体" w:cs="宋体"/>
          <w:sz w:val="24"/>
          <w:szCs w:val="24"/>
        </w:rPr>
      </w:pPr>
      <w:r>
        <w:rPr>
          <w:rFonts w:ascii="宋体" w:hAnsi="宋体" w:eastAsia="宋体" w:cs="宋体"/>
          <w:spacing w:val="-2"/>
          <w:sz w:val="24"/>
          <w:szCs w:val="24"/>
        </w:rPr>
        <w:t>水，运输车辆、施工机械冲洗产生各类冲洗废水，预制件养护废水。</w:t>
      </w:r>
    </w:p>
    <w:p>
      <w:pPr>
        <w:spacing w:before="183" w:line="466" w:lineRule="exact"/>
        <w:ind w:left="601"/>
        <w:rPr>
          <w:rFonts w:ascii="宋体" w:hAnsi="宋体" w:eastAsia="宋体" w:cs="宋体"/>
          <w:sz w:val="24"/>
          <w:szCs w:val="24"/>
        </w:rPr>
      </w:pPr>
      <w:r>
        <w:rPr>
          <w:rFonts w:ascii="宋体" w:hAnsi="宋体" w:eastAsia="宋体" w:cs="宋体"/>
          <w:spacing w:val="-2"/>
          <w:position w:val="16"/>
          <w:sz w:val="24"/>
          <w:szCs w:val="24"/>
        </w:rPr>
        <w:t xml:space="preserve">搅拌机冲洗水，每台搅拌机每天冲洗一次，废水产生量约 </w:t>
      </w:r>
      <w:r>
        <w:rPr>
          <w:rFonts w:ascii="Times New Roman" w:hAnsi="Times New Roman" w:eastAsia="Times New Roman" w:cs="Times New Roman"/>
          <w:spacing w:val="-2"/>
          <w:position w:val="16"/>
          <w:sz w:val="24"/>
          <w:szCs w:val="24"/>
        </w:rPr>
        <w:t>1.6t/d</w:t>
      </w:r>
      <w:r>
        <w:rPr>
          <w:rFonts w:ascii="宋体" w:hAnsi="宋体" w:eastAsia="宋体" w:cs="宋体"/>
          <w:spacing w:val="-2"/>
          <w:position w:val="16"/>
          <w:sz w:val="24"/>
          <w:szCs w:val="24"/>
        </w:rPr>
        <w:t>，这类冲洗</w:t>
      </w:r>
    </w:p>
    <w:p>
      <w:pPr>
        <w:spacing w:line="212" w:lineRule="auto"/>
        <w:ind w:left="121"/>
        <w:rPr>
          <w:rFonts w:ascii="宋体" w:hAnsi="宋体" w:eastAsia="宋体" w:cs="宋体"/>
          <w:sz w:val="24"/>
          <w:szCs w:val="24"/>
        </w:rPr>
      </w:pPr>
      <w:r>
        <w:rPr>
          <w:rFonts w:ascii="宋体" w:hAnsi="宋体" w:eastAsia="宋体" w:cs="宋体"/>
          <w:spacing w:val="-2"/>
          <w:sz w:val="24"/>
          <w:szCs w:val="24"/>
        </w:rPr>
        <w:t>废水</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pH </w:t>
      </w:r>
      <w:r>
        <w:rPr>
          <w:rFonts w:ascii="宋体" w:hAnsi="宋体" w:eastAsia="宋体" w:cs="宋体"/>
          <w:spacing w:val="-2"/>
          <w:sz w:val="24"/>
          <w:szCs w:val="24"/>
        </w:rPr>
        <w:t>值约为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11</w:t>
      </w:r>
      <w:r>
        <w:rPr>
          <w:rFonts w:ascii="宋体" w:hAnsi="宋体" w:eastAsia="宋体" w:cs="宋体"/>
          <w:spacing w:val="-2"/>
          <w:sz w:val="24"/>
          <w:szCs w:val="24"/>
        </w:rPr>
        <w:t>，废水中悬浮物浓度约为</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5000mg/L</w:t>
      </w:r>
      <w:r>
        <w:rPr>
          <w:rFonts w:ascii="宋体" w:hAnsi="宋体" w:eastAsia="宋体" w:cs="宋体"/>
          <w:spacing w:val="-2"/>
          <w:sz w:val="24"/>
          <w:szCs w:val="24"/>
        </w:rPr>
        <w:t>。</w:t>
      </w:r>
    </w:p>
    <w:p>
      <w:pPr>
        <w:spacing w:before="191" w:line="219" w:lineRule="auto"/>
        <w:jc w:val="right"/>
        <w:rPr>
          <w:rFonts w:ascii="宋体" w:hAnsi="宋体" w:eastAsia="宋体" w:cs="宋体"/>
          <w:sz w:val="24"/>
          <w:szCs w:val="24"/>
        </w:rPr>
      </w:pPr>
      <w:r>
        <w:rPr>
          <w:rFonts w:ascii="宋体" w:hAnsi="宋体" w:eastAsia="宋体" w:cs="宋体"/>
          <w:spacing w:val="-12"/>
          <w:sz w:val="24"/>
          <w:szCs w:val="24"/>
        </w:rPr>
        <w:t xml:space="preserve">运输车辆、机械冲洗水，车辆、机械冲洗用水量 </w:t>
      </w:r>
      <w:r>
        <w:rPr>
          <w:rFonts w:ascii="Times New Roman" w:hAnsi="Times New Roman" w:eastAsia="Times New Roman" w:cs="Times New Roman"/>
          <w:spacing w:val="-12"/>
          <w:sz w:val="24"/>
          <w:szCs w:val="24"/>
        </w:rPr>
        <w:t>0.1t</w:t>
      </w:r>
      <w:r>
        <w:rPr>
          <w:rFonts w:ascii="Times New Roman" w:hAnsi="Times New Roman" w:eastAsia="Times New Roman" w:cs="Times New Roman"/>
          <w:spacing w:val="-13"/>
          <w:sz w:val="24"/>
          <w:szCs w:val="24"/>
        </w:rPr>
        <w:t>/</w:t>
      </w:r>
      <w:r>
        <w:rPr>
          <w:rFonts w:ascii="宋体" w:hAnsi="宋体" w:eastAsia="宋体" w:cs="宋体"/>
          <w:spacing w:val="-13"/>
          <w:sz w:val="24"/>
          <w:szCs w:val="24"/>
        </w:rPr>
        <w:t>台</w:t>
      </w:r>
      <w:r>
        <w:rPr>
          <w:rFonts w:ascii="Times New Roman" w:hAnsi="Times New Roman" w:eastAsia="Times New Roman" w:cs="Times New Roman"/>
          <w:spacing w:val="-13"/>
          <w:sz w:val="24"/>
          <w:szCs w:val="24"/>
        </w:rPr>
        <w:t>·</w:t>
      </w:r>
      <w:r>
        <w:rPr>
          <w:rFonts w:ascii="宋体" w:hAnsi="宋体" w:eastAsia="宋体" w:cs="宋体"/>
          <w:spacing w:val="-13"/>
          <w:sz w:val="24"/>
          <w:szCs w:val="24"/>
        </w:rPr>
        <w:t>次，废水产生量</w:t>
      </w:r>
      <w:r>
        <w:rPr>
          <w:rFonts w:ascii="宋体" w:hAnsi="宋体" w:eastAsia="宋体" w:cs="宋体"/>
          <w:spacing w:val="-71"/>
          <w:sz w:val="24"/>
          <w:szCs w:val="24"/>
        </w:rPr>
        <w:t xml:space="preserve"> </w:t>
      </w:r>
      <w:r>
        <w:rPr>
          <w:rFonts w:ascii="Times New Roman" w:hAnsi="Times New Roman" w:eastAsia="Times New Roman" w:cs="Times New Roman"/>
          <w:spacing w:val="-13"/>
          <w:sz w:val="24"/>
          <w:szCs w:val="24"/>
        </w:rPr>
        <w:t>3.2t/d</w:t>
      </w:r>
      <w:r>
        <w:rPr>
          <w:rFonts w:ascii="宋体" w:hAnsi="宋体" w:eastAsia="宋体" w:cs="宋体"/>
          <w:spacing w:val="-13"/>
          <w:sz w:val="24"/>
          <w:szCs w:val="24"/>
        </w:rPr>
        <w:t>。</w:t>
      </w:r>
    </w:p>
    <w:p>
      <w:pPr>
        <w:spacing w:before="181" w:line="469" w:lineRule="exact"/>
        <w:ind w:left="602"/>
        <w:rPr>
          <w:rFonts w:ascii="宋体" w:hAnsi="宋体" w:eastAsia="宋体" w:cs="宋体"/>
          <w:sz w:val="24"/>
          <w:szCs w:val="24"/>
        </w:rPr>
      </w:pPr>
      <w:r>
        <w:rPr>
          <w:rFonts w:ascii="宋体" w:hAnsi="宋体" w:eastAsia="宋体" w:cs="宋体"/>
          <w:spacing w:val="-8"/>
          <w:position w:val="16"/>
          <w:sz w:val="24"/>
          <w:szCs w:val="24"/>
        </w:rPr>
        <w:t>地面冲洗废水，</w:t>
      </w:r>
      <w:r>
        <w:rPr>
          <w:rFonts w:ascii="宋体" w:hAnsi="宋体" w:eastAsia="宋体" w:cs="宋体"/>
          <w:spacing w:val="52"/>
          <w:position w:val="16"/>
          <w:sz w:val="24"/>
          <w:szCs w:val="24"/>
        </w:rPr>
        <w:t xml:space="preserve"> </w:t>
      </w:r>
      <w:r>
        <w:rPr>
          <w:rFonts w:ascii="宋体" w:hAnsi="宋体" w:eastAsia="宋体" w:cs="宋体"/>
          <w:spacing w:val="-8"/>
          <w:position w:val="16"/>
          <w:sz w:val="24"/>
          <w:szCs w:val="24"/>
        </w:rPr>
        <w:t>施工场地生产操作地面约</w:t>
      </w:r>
      <w:r>
        <w:rPr>
          <w:rFonts w:ascii="宋体" w:hAnsi="宋体" w:eastAsia="宋体" w:cs="宋体"/>
          <w:spacing w:val="-32"/>
          <w:position w:val="16"/>
          <w:sz w:val="24"/>
          <w:szCs w:val="24"/>
        </w:rPr>
        <w:t xml:space="preserve"> </w:t>
      </w:r>
      <w:r>
        <w:rPr>
          <w:rFonts w:ascii="Times New Roman" w:hAnsi="Times New Roman" w:eastAsia="Times New Roman" w:cs="Times New Roman"/>
          <w:spacing w:val="-8"/>
          <w:position w:val="16"/>
          <w:sz w:val="24"/>
          <w:szCs w:val="24"/>
        </w:rPr>
        <w:t>14882m</w:t>
      </w:r>
      <w:r>
        <w:rPr>
          <w:rFonts w:ascii="Times New Roman" w:hAnsi="Times New Roman" w:eastAsia="Times New Roman" w:cs="Times New Roman"/>
          <w:spacing w:val="-8"/>
          <w:position w:val="25"/>
          <w:sz w:val="16"/>
          <w:szCs w:val="16"/>
        </w:rPr>
        <w:t>2</w:t>
      </w:r>
      <w:r>
        <w:rPr>
          <w:rFonts w:ascii="宋体" w:hAnsi="宋体" w:eastAsia="宋体" w:cs="宋体"/>
          <w:spacing w:val="-8"/>
          <w:position w:val="16"/>
          <w:sz w:val="24"/>
          <w:szCs w:val="24"/>
        </w:rPr>
        <w:t>，每天冲洗</w:t>
      </w:r>
      <w:r>
        <w:rPr>
          <w:rFonts w:ascii="宋体" w:hAnsi="宋体" w:eastAsia="宋体" w:cs="宋体"/>
          <w:spacing w:val="-54"/>
          <w:position w:val="16"/>
          <w:sz w:val="24"/>
          <w:szCs w:val="24"/>
        </w:rPr>
        <w:t xml:space="preserve"> </w:t>
      </w:r>
      <w:r>
        <w:rPr>
          <w:rFonts w:ascii="Times New Roman" w:hAnsi="Times New Roman" w:eastAsia="Times New Roman" w:cs="Times New Roman"/>
          <w:spacing w:val="-8"/>
          <w:position w:val="16"/>
          <w:sz w:val="24"/>
          <w:szCs w:val="24"/>
        </w:rPr>
        <w:t>2</w:t>
      </w:r>
      <w:r>
        <w:rPr>
          <w:rFonts w:ascii="Times New Roman" w:hAnsi="Times New Roman" w:eastAsia="Times New Roman" w:cs="Times New Roman"/>
          <w:spacing w:val="16"/>
          <w:position w:val="16"/>
          <w:sz w:val="24"/>
          <w:szCs w:val="24"/>
        </w:rPr>
        <w:t xml:space="preserve"> </w:t>
      </w:r>
      <w:r>
        <w:rPr>
          <w:rFonts w:ascii="宋体" w:hAnsi="宋体" w:eastAsia="宋体" w:cs="宋体"/>
          <w:spacing w:val="-8"/>
          <w:position w:val="16"/>
          <w:sz w:val="24"/>
          <w:szCs w:val="24"/>
        </w:rPr>
        <w:t>次，冲洗废</w:t>
      </w:r>
    </w:p>
    <w:p>
      <w:pPr>
        <w:spacing w:line="233" w:lineRule="auto"/>
        <w:ind w:left="125"/>
        <w:rPr>
          <w:rFonts w:ascii="宋体" w:hAnsi="宋体" w:eastAsia="宋体" w:cs="宋体"/>
          <w:sz w:val="24"/>
          <w:szCs w:val="24"/>
        </w:rPr>
      </w:pPr>
      <w:r>
        <w:rPr>
          <w:rFonts w:ascii="宋体" w:hAnsi="宋体" w:eastAsia="宋体" w:cs="宋体"/>
          <w:spacing w:val="-2"/>
          <w:sz w:val="24"/>
          <w:szCs w:val="24"/>
        </w:rPr>
        <w:t>水量约为</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29.8t/d</w:t>
      </w:r>
      <w:r>
        <w:rPr>
          <w:rFonts w:ascii="宋体" w:hAnsi="宋体" w:eastAsia="宋体" w:cs="宋体"/>
          <w:spacing w:val="-2"/>
          <w:sz w:val="24"/>
          <w:szCs w:val="24"/>
        </w:rPr>
        <w:t>。</w:t>
      </w:r>
    </w:p>
    <w:p>
      <w:pPr>
        <w:spacing w:before="162" w:line="468" w:lineRule="exact"/>
        <w:ind w:left="602"/>
        <w:rPr>
          <w:rFonts w:ascii="宋体" w:hAnsi="宋体" w:eastAsia="宋体" w:cs="宋体"/>
          <w:sz w:val="24"/>
          <w:szCs w:val="24"/>
        </w:rPr>
      </w:pPr>
      <w:r>
        <w:rPr>
          <w:rFonts w:ascii="宋体" w:hAnsi="宋体" w:eastAsia="宋体" w:cs="宋体"/>
          <w:position w:val="17"/>
          <w:sz w:val="24"/>
          <w:szCs w:val="24"/>
        </w:rPr>
        <w:t xml:space="preserve">根据建设单位和设计单位提供资料，预制件养护用水量约为 </w:t>
      </w:r>
      <w:r>
        <w:rPr>
          <w:rFonts w:ascii="Times New Roman" w:hAnsi="Times New Roman" w:eastAsia="Times New Roman" w:cs="Times New Roman"/>
          <w:position w:val="17"/>
          <w:sz w:val="24"/>
          <w:szCs w:val="24"/>
        </w:rPr>
        <w:t>20t/d</w:t>
      </w:r>
      <w:r>
        <w:rPr>
          <w:rFonts w:ascii="宋体" w:hAnsi="宋体" w:eastAsia="宋体" w:cs="宋体"/>
          <w:spacing w:val="-1"/>
          <w:position w:val="17"/>
          <w:sz w:val="24"/>
          <w:szCs w:val="24"/>
        </w:rPr>
        <w:t>，废水产</w:t>
      </w:r>
    </w:p>
    <w:p>
      <w:pPr>
        <w:spacing w:before="1" w:line="219" w:lineRule="auto"/>
        <w:ind w:left="124"/>
        <w:rPr>
          <w:rFonts w:ascii="宋体" w:hAnsi="宋体" w:eastAsia="宋体" w:cs="宋体"/>
          <w:sz w:val="24"/>
          <w:szCs w:val="24"/>
        </w:rPr>
      </w:pPr>
      <w:r>
        <w:rPr>
          <w:rFonts w:ascii="宋体" w:hAnsi="宋体" w:eastAsia="宋体" w:cs="宋体"/>
          <w:spacing w:val="-4"/>
          <w:sz w:val="24"/>
          <w:szCs w:val="24"/>
        </w:rPr>
        <w:t>生量约为</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80%</w:t>
      </w:r>
      <w:r>
        <w:rPr>
          <w:rFonts w:ascii="宋体" w:hAnsi="宋体" w:eastAsia="宋体" w:cs="宋体"/>
          <w:spacing w:val="-4"/>
          <w:sz w:val="24"/>
          <w:szCs w:val="24"/>
        </w:rPr>
        <w:t xml:space="preserve">，养护废水产生量为 </w:t>
      </w:r>
      <w:r>
        <w:rPr>
          <w:rFonts w:ascii="Times New Roman" w:hAnsi="Times New Roman" w:eastAsia="Times New Roman" w:cs="Times New Roman"/>
          <w:spacing w:val="-4"/>
          <w:sz w:val="24"/>
          <w:szCs w:val="24"/>
        </w:rPr>
        <w:t>16t/d</w:t>
      </w:r>
      <w:r>
        <w:rPr>
          <w:rFonts w:ascii="宋体" w:hAnsi="宋体" w:eastAsia="宋体" w:cs="宋体"/>
          <w:spacing w:val="-4"/>
          <w:sz w:val="24"/>
          <w:szCs w:val="24"/>
        </w:rPr>
        <w:t>。</w:t>
      </w:r>
    </w:p>
    <w:p>
      <w:pPr>
        <w:spacing w:before="180" w:line="468" w:lineRule="exact"/>
        <w:ind w:left="603"/>
        <w:rPr>
          <w:rFonts w:ascii="宋体" w:hAnsi="宋体" w:eastAsia="宋体" w:cs="宋体"/>
          <w:sz w:val="24"/>
          <w:szCs w:val="24"/>
        </w:rPr>
      </w:pPr>
      <w:r>
        <w:rPr>
          <w:rFonts w:ascii="宋体" w:hAnsi="宋体" w:eastAsia="宋体" w:cs="宋体"/>
          <w:spacing w:val="-6"/>
          <w:position w:val="17"/>
          <w:sz w:val="24"/>
          <w:szCs w:val="24"/>
        </w:rPr>
        <w:t>上述废水全部经导流沟汇入沉淀池，</w:t>
      </w:r>
      <w:r>
        <w:rPr>
          <w:rFonts w:ascii="宋体" w:hAnsi="宋体" w:eastAsia="宋体" w:cs="宋体"/>
          <w:spacing w:val="-27"/>
          <w:position w:val="17"/>
          <w:sz w:val="24"/>
          <w:szCs w:val="24"/>
        </w:rPr>
        <w:t xml:space="preserve"> </w:t>
      </w:r>
      <w:r>
        <w:rPr>
          <w:rFonts w:ascii="宋体" w:hAnsi="宋体" w:eastAsia="宋体" w:cs="宋体"/>
          <w:spacing w:val="-6"/>
          <w:position w:val="17"/>
          <w:sz w:val="24"/>
          <w:szCs w:val="24"/>
        </w:rPr>
        <w:t>项目生产废水经中和沉淀等处理后回用</w:t>
      </w:r>
    </w:p>
    <w:p>
      <w:pPr>
        <w:spacing w:before="1" w:line="219" w:lineRule="auto"/>
        <w:ind w:left="125"/>
        <w:rPr>
          <w:rFonts w:ascii="宋体" w:hAnsi="宋体" w:eastAsia="宋体" w:cs="宋体"/>
          <w:sz w:val="24"/>
          <w:szCs w:val="24"/>
        </w:rPr>
      </w:pPr>
      <w:r>
        <w:rPr>
          <w:rFonts w:ascii="宋体" w:hAnsi="宋体" w:eastAsia="宋体" w:cs="宋体"/>
          <w:spacing w:val="-1"/>
          <w:sz w:val="24"/>
          <w:szCs w:val="24"/>
        </w:rPr>
        <w:t>于施工生产，不外排。施工废水污染物成分参考值见表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3.8-6</w:t>
      </w:r>
      <w:r>
        <w:rPr>
          <w:rFonts w:ascii="宋体" w:hAnsi="宋体" w:eastAsia="宋体" w:cs="宋体"/>
          <w:spacing w:val="-1"/>
          <w:sz w:val="24"/>
          <w:szCs w:val="24"/>
        </w:rPr>
        <w:t>。</w:t>
      </w:r>
    </w:p>
    <w:p>
      <w:pPr>
        <w:spacing w:before="180" w:line="220" w:lineRule="auto"/>
        <w:ind w:left="225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3.8-6      </w:t>
      </w:r>
      <w:r>
        <w:rPr>
          <w:rFonts w:ascii="宋体" w:hAnsi="宋体" w:eastAsia="宋体" w:cs="宋体"/>
          <w:spacing w:val="-1"/>
          <w:sz w:val="24"/>
          <w:szCs w:val="24"/>
        </w:rPr>
        <w:t>施工废水成分及浓度一览表</w:t>
      </w:r>
    </w:p>
    <w:p>
      <w:pPr>
        <w:spacing w:line="146"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3"/>
        <w:gridCol w:w="1449"/>
        <w:gridCol w:w="1449"/>
        <w:gridCol w:w="1449"/>
        <w:gridCol w:w="1433"/>
        <w:gridCol w:w="14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83" w:type="dxa"/>
            <w:vAlign w:val="top"/>
          </w:tcPr>
          <w:p>
            <w:pPr>
              <w:pStyle w:val="6"/>
              <w:spacing w:before="111" w:line="215" w:lineRule="auto"/>
              <w:ind w:left="440"/>
            </w:pPr>
            <w:r>
              <w:rPr>
                <w:spacing w:val="-3"/>
              </w:rPr>
              <w:t>指标</w:t>
            </w:r>
          </w:p>
        </w:tc>
        <w:tc>
          <w:tcPr>
            <w:tcW w:w="1449" w:type="dxa"/>
            <w:vAlign w:val="top"/>
          </w:tcPr>
          <w:p>
            <w:pPr>
              <w:spacing w:before="146" w:line="191" w:lineRule="auto"/>
              <w:ind w:left="591"/>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1449" w:type="dxa"/>
            <w:vAlign w:val="top"/>
          </w:tcPr>
          <w:p>
            <w:pPr>
              <w:spacing w:before="149" w:line="196" w:lineRule="auto"/>
              <w:ind w:left="436"/>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COD</w:t>
            </w:r>
            <w:r>
              <w:rPr>
                <w:rFonts w:ascii="Times New Roman" w:hAnsi="Times New Roman" w:eastAsia="Times New Roman" w:cs="Times New Roman"/>
                <w:spacing w:val="1"/>
                <w:position w:val="-1"/>
                <w:sz w:val="13"/>
                <w:szCs w:val="13"/>
              </w:rPr>
              <w:t>Cr</w:t>
            </w:r>
          </w:p>
        </w:tc>
        <w:tc>
          <w:tcPr>
            <w:tcW w:w="1449" w:type="dxa"/>
            <w:vAlign w:val="top"/>
          </w:tcPr>
          <w:p>
            <w:pPr>
              <w:spacing w:before="145" w:line="191" w:lineRule="auto"/>
              <w:ind w:left="6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Pb</w:t>
            </w:r>
          </w:p>
        </w:tc>
        <w:tc>
          <w:tcPr>
            <w:tcW w:w="1433" w:type="dxa"/>
            <w:vAlign w:val="top"/>
          </w:tcPr>
          <w:p>
            <w:pPr>
              <w:pStyle w:val="6"/>
              <w:spacing w:before="111" w:line="215" w:lineRule="auto"/>
              <w:ind w:left="408"/>
            </w:pPr>
            <w:r>
              <w:rPr>
                <w:spacing w:val="-2"/>
              </w:rPr>
              <w:t>石油类</w:t>
            </w:r>
          </w:p>
        </w:tc>
        <w:tc>
          <w:tcPr>
            <w:tcW w:w="1465" w:type="dxa"/>
            <w:vAlign w:val="top"/>
          </w:tcPr>
          <w:p>
            <w:pPr>
              <w:pStyle w:val="6"/>
              <w:spacing w:before="111" w:line="215" w:lineRule="auto"/>
              <w:ind w:left="425"/>
            </w:pPr>
            <w:r>
              <w:rPr>
                <w:spacing w:val="-2"/>
              </w:rPr>
              <w:t>悬浮物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83" w:type="dxa"/>
            <w:vAlign w:val="top"/>
          </w:tcPr>
          <w:p>
            <w:pPr>
              <w:pStyle w:val="6"/>
              <w:spacing w:before="110" w:line="217" w:lineRule="auto"/>
              <w:ind w:left="439"/>
            </w:pPr>
            <w:r>
              <w:rPr>
                <w:spacing w:val="-2"/>
              </w:rPr>
              <w:t>数值</w:t>
            </w:r>
          </w:p>
        </w:tc>
        <w:tc>
          <w:tcPr>
            <w:tcW w:w="1449" w:type="dxa"/>
            <w:vAlign w:val="top"/>
          </w:tcPr>
          <w:p>
            <w:pPr>
              <w:spacing w:before="148"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6.5~11</w:t>
            </w:r>
          </w:p>
        </w:tc>
        <w:tc>
          <w:tcPr>
            <w:tcW w:w="1449" w:type="dxa"/>
            <w:vAlign w:val="top"/>
          </w:tcPr>
          <w:p>
            <w:pPr>
              <w:spacing w:before="148" w:line="187" w:lineRule="auto"/>
              <w:ind w:left="4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25~200</w:t>
            </w:r>
          </w:p>
        </w:tc>
        <w:tc>
          <w:tcPr>
            <w:tcW w:w="1449" w:type="dxa"/>
            <w:vAlign w:val="top"/>
          </w:tcPr>
          <w:p>
            <w:pPr>
              <w:spacing w:before="148" w:line="187" w:lineRule="auto"/>
              <w:ind w:left="4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0.2~1.0</w:t>
            </w:r>
          </w:p>
        </w:tc>
        <w:tc>
          <w:tcPr>
            <w:tcW w:w="1433" w:type="dxa"/>
            <w:vAlign w:val="top"/>
          </w:tcPr>
          <w:p>
            <w:pPr>
              <w:spacing w:before="148" w:line="187"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10~30</w:t>
            </w:r>
          </w:p>
        </w:tc>
        <w:tc>
          <w:tcPr>
            <w:tcW w:w="1465" w:type="dxa"/>
            <w:vAlign w:val="top"/>
          </w:tcPr>
          <w:p>
            <w:pPr>
              <w:spacing w:before="148"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500~5000</w:t>
            </w:r>
          </w:p>
        </w:tc>
      </w:tr>
    </w:tbl>
    <w:p>
      <w:pPr>
        <w:spacing w:before="192" w:line="220"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）涉水施工废水</w:t>
      </w:r>
    </w:p>
    <w:p>
      <w:pPr>
        <w:spacing w:before="183" w:line="359" w:lineRule="auto"/>
        <w:ind w:left="122" w:right="115" w:firstLine="482"/>
        <w:rPr>
          <w:rFonts w:ascii="宋体" w:hAnsi="宋体" w:eastAsia="宋体" w:cs="宋体"/>
          <w:sz w:val="24"/>
          <w:szCs w:val="24"/>
        </w:rPr>
      </w:pPr>
      <w:r>
        <w:rPr>
          <w:rFonts w:ascii="宋体" w:hAnsi="宋体" w:eastAsia="宋体" w:cs="宋体"/>
          <w:spacing w:val="-10"/>
          <w:sz w:val="24"/>
          <w:szCs w:val="24"/>
        </w:rPr>
        <w:t>工程跨溪沟主要采用盖板涵等， 并对溪沟进行改溪， 跨溪施工可能会扰动水</w:t>
      </w:r>
      <w:r>
        <w:rPr>
          <w:rFonts w:ascii="宋体" w:hAnsi="宋体" w:eastAsia="宋体" w:cs="宋体"/>
          <w:spacing w:val="1"/>
          <w:sz w:val="24"/>
          <w:szCs w:val="24"/>
        </w:rPr>
        <w:t xml:space="preserve"> </w:t>
      </w:r>
      <w:r>
        <w:rPr>
          <w:rFonts w:ascii="宋体" w:hAnsi="宋体" w:eastAsia="宋体" w:cs="宋体"/>
          <w:spacing w:val="-14"/>
          <w:sz w:val="24"/>
          <w:szCs w:val="24"/>
        </w:rPr>
        <w:t>体，</w:t>
      </w:r>
      <w:r>
        <w:rPr>
          <w:rFonts w:ascii="宋体" w:hAnsi="宋体" w:eastAsia="宋体" w:cs="宋体"/>
          <w:spacing w:val="-53"/>
          <w:sz w:val="24"/>
          <w:szCs w:val="24"/>
        </w:rPr>
        <w:t xml:space="preserve"> </w:t>
      </w:r>
      <w:r>
        <w:rPr>
          <w:rFonts w:ascii="宋体" w:hAnsi="宋体" w:eastAsia="宋体" w:cs="宋体"/>
          <w:spacing w:val="-14"/>
          <w:sz w:val="24"/>
          <w:szCs w:val="24"/>
        </w:rPr>
        <w:t>影响河道水质。在开挖过程中，</w:t>
      </w:r>
      <w:r>
        <w:rPr>
          <w:rFonts w:ascii="宋体" w:hAnsi="宋体" w:eastAsia="宋体" w:cs="宋体"/>
          <w:spacing w:val="37"/>
          <w:sz w:val="24"/>
          <w:szCs w:val="24"/>
        </w:rPr>
        <w:t xml:space="preserve"> </w:t>
      </w:r>
      <w:r>
        <w:rPr>
          <w:rFonts w:ascii="宋体" w:hAnsi="宋体" w:eastAsia="宋体" w:cs="宋体"/>
          <w:spacing w:val="-14"/>
          <w:sz w:val="24"/>
          <w:szCs w:val="24"/>
        </w:rPr>
        <w:t>将废水集中围护在集水坑，</w:t>
      </w:r>
      <w:r>
        <w:rPr>
          <w:rFonts w:ascii="宋体" w:hAnsi="宋体" w:eastAsia="宋体" w:cs="宋体"/>
          <w:spacing w:val="41"/>
          <w:sz w:val="24"/>
          <w:szCs w:val="24"/>
        </w:rPr>
        <w:t xml:space="preserve"> </w:t>
      </w:r>
      <w:r>
        <w:rPr>
          <w:rFonts w:ascii="宋体" w:hAnsi="宋体" w:eastAsia="宋体" w:cs="宋体"/>
          <w:spacing w:val="-14"/>
          <w:sz w:val="24"/>
          <w:szCs w:val="24"/>
        </w:rPr>
        <w:t>再抽至地面</w:t>
      </w:r>
      <w:r>
        <w:rPr>
          <w:rFonts w:ascii="宋体" w:hAnsi="宋体" w:eastAsia="宋体" w:cs="宋体"/>
          <w:spacing w:val="-15"/>
          <w:sz w:val="24"/>
          <w:szCs w:val="24"/>
        </w:rPr>
        <w:t>进行</w:t>
      </w:r>
    </w:p>
    <w:p>
      <w:pPr>
        <w:spacing w:line="220" w:lineRule="auto"/>
        <w:ind w:left="122"/>
        <w:rPr>
          <w:rFonts w:ascii="宋体" w:hAnsi="宋体" w:eastAsia="宋体" w:cs="宋体"/>
          <w:sz w:val="24"/>
          <w:szCs w:val="24"/>
        </w:rPr>
      </w:pPr>
      <w:r>
        <w:rPr>
          <w:rFonts w:ascii="宋体" w:hAnsi="宋体" w:eastAsia="宋体" w:cs="宋体"/>
          <w:spacing w:val="-6"/>
          <w:sz w:val="24"/>
          <w:szCs w:val="24"/>
        </w:rPr>
        <w:t>沉淀处理回用。</w:t>
      </w:r>
    </w:p>
    <w:p>
      <w:pPr>
        <w:spacing w:before="182" w:line="359" w:lineRule="auto"/>
        <w:ind w:left="121" w:right="31" w:firstLine="481"/>
        <w:rPr>
          <w:rFonts w:ascii="宋体" w:hAnsi="宋体" w:eastAsia="宋体" w:cs="宋体"/>
          <w:sz w:val="24"/>
          <w:szCs w:val="24"/>
        </w:rPr>
      </w:pPr>
      <w:r>
        <w:rPr>
          <w:rFonts w:ascii="宋体" w:hAnsi="宋体" w:eastAsia="宋体" w:cs="宋体"/>
          <w:spacing w:val="-14"/>
          <w:sz w:val="24"/>
          <w:szCs w:val="24"/>
        </w:rPr>
        <w:t>盖板涵、管线沟槽采用围护结构， 围护结构设置截水沟， 防止周边降水进入。</w:t>
      </w:r>
      <w:r>
        <w:rPr>
          <w:rFonts w:ascii="宋体" w:hAnsi="宋体" w:eastAsia="宋体" w:cs="宋体"/>
          <w:spacing w:val="1"/>
          <w:sz w:val="24"/>
          <w:szCs w:val="24"/>
        </w:rPr>
        <w:t xml:space="preserve"> </w:t>
      </w:r>
      <w:r>
        <w:rPr>
          <w:rFonts w:ascii="宋体" w:hAnsi="宋体" w:eastAsia="宋体" w:cs="宋体"/>
          <w:spacing w:val="-9"/>
          <w:sz w:val="24"/>
          <w:szCs w:val="24"/>
        </w:rPr>
        <w:t>在雨天时， 围堰和沟槽内会有雨水的堆积， 积水采用</w:t>
      </w:r>
      <w:r>
        <w:rPr>
          <w:rFonts w:ascii="宋体" w:hAnsi="宋体" w:eastAsia="宋体" w:cs="宋体"/>
          <w:spacing w:val="-10"/>
          <w:sz w:val="24"/>
          <w:szCs w:val="24"/>
        </w:rPr>
        <w:t>水泵抽至沉淀池进行沉淀处</w:t>
      </w:r>
    </w:p>
    <w:p>
      <w:pPr>
        <w:spacing w:before="1" w:line="229" w:lineRule="auto"/>
        <w:ind w:left="125"/>
        <w:rPr>
          <w:rFonts w:ascii="宋体" w:hAnsi="宋体" w:eastAsia="宋体" w:cs="宋体"/>
          <w:sz w:val="24"/>
          <w:szCs w:val="24"/>
        </w:rPr>
      </w:pPr>
      <w:r>
        <w:rPr>
          <w:rFonts w:ascii="宋体" w:hAnsi="宋体" w:eastAsia="宋体" w:cs="宋体"/>
          <w:spacing w:val="-12"/>
          <w:sz w:val="24"/>
          <w:szCs w:val="24"/>
        </w:rPr>
        <w:t>理。</w:t>
      </w:r>
    </w:p>
    <w:p>
      <w:pPr>
        <w:spacing w:before="167" w:line="219" w:lineRule="auto"/>
        <w:ind w:left="60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）建材临时堆放物料流失产生的废水</w:t>
      </w:r>
    </w:p>
    <w:p>
      <w:pPr>
        <w:spacing w:before="184" w:line="359" w:lineRule="auto"/>
        <w:ind w:left="122" w:right="113" w:firstLine="482"/>
        <w:rPr>
          <w:rFonts w:ascii="宋体" w:hAnsi="宋体" w:eastAsia="宋体" w:cs="宋体"/>
          <w:sz w:val="24"/>
          <w:szCs w:val="24"/>
        </w:rPr>
      </w:pPr>
      <w:r>
        <w:rPr>
          <w:rFonts w:ascii="宋体" w:hAnsi="宋体" w:eastAsia="宋体" w:cs="宋体"/>
          <w:spacing w:val="-12"/>
          <w:sz w:val="24"/>
          <w:szCs w:val="24"/>
        </w:rPr>
        <w:t>建筑材料堆放管理不当，</w:t>
      </w:r>
      <w:r>
        <w:rPr>
          <w:rFonts w:ascii="宋体" w:hAnsi="宋体" w:eastAsia="宋体" w:cs="宋体"/>
          <w:spacing w:val="32"/>
          <w:sz w:val="24"/>
          <w:szCs w:val="24"/>
        </w:rPr>
        <w:t xml:space="preserve"> </w:t>
      </w:r>
      <w:r>
        <w:rPr>
          <w:rFonts w:ascii="宋体" w:hAnsi="宋体" w:eastAsia="宋体" w:cs="宋体"/>
          <w:spacing w:val="-12"/>
          <w:sz w:val="24"/>
          <w:szCs w:val="24"/>
        </w:rPr>
        <w:t>特别是易流失的物质</w:t>
      </w:r>
      <w:r>
        <w:rPr>
          <w:rFonts w:ascii="宋体" w:hAnsi="宋体" w:eastAsia="宋体" w:cs="宋体"/>
          <w:spacing w:val="-13"/>
          <w:sz w:val="24"/>
          <w:szCs w:val="24"/>
        </w:rPr>
        <w:t>如黄沙、土方等露天堆放，</w:t>
      </w:r>
      <w:r>
        <w:rPr>
          <w:rFonts w:ascii="宋体" w:hAnsi="宋体" w:eastAsia="宋体" w:cs="宋体"/>
          <w:spacing w:val="31"/>
          <w:sz w:val="24"/>
          <w:szCs w:val="24"/>
        </w:rPr>
        <w:t xml:space="preserve"> </w:t>
      </w:r>
      <w:r>
        <w:rPr>
          <w:rFonts w:ascii="宋体" w:hAnsi="宋体" w:eastAsia="宋体" w:cs="宋体"/>
          <w:spacing w:val="-13"/>
          <w:sz w:val="24"/>
          <w:szCs w:val="24"/>
        </w:rPr>
        <w:t>遇</w:t>
      </w:r>
      <w:r>
        <w:rPr>
          <w:rFonts w:ascii="宋体" w:hAnsi="宋体" w:eastAsia="宋体" w:cs="宋体"/>
          <w:sz w:val="24"/>
          <w:szCs w:val="24"/>
        </w:rPr>
        <w:t xml:space="preserve"> </w:t>
      </w:r>
      <w:r>
        <w:rPr>
          <w:rFonts w:ascii="宋体" w:hAnsi="宋体" w:eastAsia="宋体" w:cs="宋体"/>
          <w:spacing w:val="-6"/>
          <w:sz w:val="24"/>
          <w:szCs w:val="24"/>
        </w:rPr>
        <w:t>暴雨时被冲刷进入水体， 从而造成水体污染。尤其是在桥梁施</w:t>
      </w:r>
      <w:r>
        <w:rPr>
          <w:rFonts w:ascii="宋体" w:hAnsi="宋体" w:eastAsia="宋体" w:cs="宋体"/>
          <w:spacing w:val="-7"/>
          <w:sz w:val="24"/>
          <w:szCs w:val="24"/>
        </w:rPr>
        <w:t>工和靠近河道路段</w:t>
      </w:r>
    </w:p>
    <w:p>
      <w:pPr>
        <w:spacing w:line="220" w:lineRule="auto"/>
        <w:ind w:left="121"/>
        <w:rPr>
          <w:rFonts w:ascii="宋体" w:hAnsi="宋体" w:eastAsia="宋体" w:cs="宋体"/>
          <w:sz w:val="24"/>
          <w:szCs w:val="24"/>
        </w:rPr>
      </w:pPr>
      <w:r>
        <w:rPr>
          <w:rFonts w:ascii="宋体" w:hAnsi="宋体" w:eastAsia="宋体" w:cs="宋体"/>
          <w:spacing w:val="-4"/>
          <w:sz w:val="24"/>
          <w:szCs w:val="24"/>
        </w:rPr>
        <w:t>施工中容易发生物料流失。</w:t>
      </w:r>
    </w:p>
    <w:p>
      <w:pPr>
        <w:spacing w:before="179" w:line="220" w:lineRule="auto"/>
        <w:ind w:left="60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）隧道施工废水</w:t>
      </w:r>
    </w:p>
    <w:p>
      <w:pPr>
        <w:spacing w:before="183" w:line="359" w:lineRule="auto"/>
        <w:ind w:left="122" w:right="74" w:firstLine="492"/>
        <w:rPr>
          <w:rFonts w:ascii="宋体" w:hAnsi="宋体" w:eastAsia="宋体" w:cs="宋体"/>
          <w:sz w:val="24"/>
          <w:szCs w:val="24"/>
        </w:rPr>
      </w:pPr>
      <w:r>
        <w:rPr>
          <w:rFonts w:ascii="宋体" w:hAnsi="宋体" w:eastAsia="宋体" w:cs="宋体"/>
          <w:spacing w:val="-2"/>
          <w:sz w:val="24"/>
          <w:szCs w:val="24"/>
        </w:rPr>
        <w:t>隧道施工过程产生的废水来源主要有以下几种：隧</w:t>
      </w:r>
      <w:r>
        <w:rPr>
          <w:rFonts w:ascii="宋体" w:hAnsi="宋体" w:eastAsia="宋体" w:cs="宋体"/>
          <w:spacing w:val="-3"/>
          <w:sz w:val="24"/>
          <w:szCs w:val="24"/>
        </w:rPr>
        <w:t>道穿越不良地质单元时，</w:t>
      </w:r>
      <w:r>
        <w:rPr>
          <w:rFonts w:ascii="宋体" w:hAnsi="宋体" w:eastAsia="宋体" w:cs="宋体"/>
          <w:sz w:val="24"/>
          <w:szCs w:val="24"/>
        </w:rPr>
        <w:t xml:space="preserve"> </w:t>
      </w:r>
      <w:r>
        <w:rPr>
          <w:rFonts w:ascii="宋体" w:hAnsi="宋体" w:eastAsia="宋体" w:cs="宋体"/>
          <w:spacing w:val="-17"/>
          <w:sz w:val="24"/>
          <w:szCs w:val="24"/>
        </w:rPr>
        <w:t>产生的涌水；</w:t>
      </w:r>
      <w:r>
        <w:rPr>
          <w:rFonts w:ascii="宋体" w:hAnsi="宋体" w:eastAsia="宋体" w:cs="宋体"/>
          <w:spacing w:val="47"/>
          <w:sz w:val="24"/>
          <w:szCs w:val="24"/>
        </w:rPr>
        <w:t xml:space="preserve"> </w:t>
      </w:r>
      <w:r>
        <w:rPr>
          <w:rFonts w:ascii="宋体" w:hAnsi="宋体" w:eastAsia="宋体" w:cs="宋体"/>
          <w:spacing w:val="-17"/>
          <w:sz w:val="24"/>
          <w:szCs w:val="24"/>
        </w:rPr>
        <w:t>施工设备如钻机等产生的废水；</w:t>
      </w:r>
      <w:r>
        <w:rPr>
          <w:rFonts w:ascii="宋体" w:hAnsi="宋体" w:eastAsia="宋体" w:cs="宋体"/>
          <w:spacing w:val="46"/>
          <w:sz w:val="24"/>
          <w:szCs w:val="24"/>
        </w:rPr>
        <w:t xml:space="preserve"> </w:t>
      </w:r>
      <w:r>
        <w:rPr>
          <w:rFonts w:ascii="宋体" w:hAnsi="宋体" w:eastAsia="宋体" w:cs="宋体"/>
          <w:spacing w:val="-17"/>
          <w:sz w:val="24"/>
          <w:szCs w:val="24"/>
        </w:rPr>
        <w:t>隧道爆破后用于降尘的水；</w:t>
      </w:r>
      <w:r>
        <w:rPr>
          <w:rFonts w:ascii="宋体" w:hAnsi="宋体" w:eastAsia="宋体" w:cs="宋体"/>
          <w:spacing w:val="44"/>
          <w:sz w:val="24"/>
          <w:szCs w:val="24"/>
        </w:rPr>
        <w:t xml:space="preserve"> </w:t>
      </w:r>
      <w:r>
        <w:rPr>
          <w:rFonts w:ascii="宋体" w:hAnsi="宋体" w:eastAsia="宋体" w:cs="宋体"/>
          <w:spacing w:val="-17"/>
          <w:sz w:val="24"/>
          <w:szCs w:val="24"/>
        </w:rPr>
        <w:t>喷射水</w:t>
      </w:r>
    </w:p>
    <w:p>
      <w:pPr>
        <w:spacing w:before="1" w:line="219" w:lineRule="auto"/>
        <w:ind w:left="124"/>
        <w:rPr>
          <w:rFonts w:ascii="宋体" w:hAnsi="宋体" w:eastAsia="宋体" w:cs="宋体"/>
          <w:sz w:val="24"/>
          <w:szCs w:val="24"/>
        </w:rPr>
      </w:pPr>
      <w:r>
        <w:rPr>
          <w:rFonts w:ascii="宋体" w:hAnsi="宋体" w:eastAsia="宋体" w:cs="宋体"/>
          <w:spacing w:val="-3"/>
          <w:sz w:val="24"/>
          <w:szCs w:val="24"/>
        </w:rPr>
        <w:t>泥砂浆从中渗出的水以及基岩裂隙水等。</w:t>
      </w:r>
    </w:p>
    <w:p>
      <w:pPr>
        <w:spacing w:line="219" w:lineRule="auto"/>
        <w:rPr>
          <w:rFonts w:ascii="宋体" w:hAnsi="宋体" w:eastAsia="宋体" w:cs="宋体"/>
          <w:sz w:val="24"/>
          <w:szCs w:val="24"/>
        </w:rPr>
        <w:sectPr>
          <w:pgSz w:w="11907" w:h="16839"/>
          <w:pgMar w:top="1118" w:right="1685" w:bottom="1184" w:left="1687" w:header="879" w:footer="1024" w:gutter="0"/>
          <w:cols w:space="720" w:num="1"/>
        </w:sectPr>
      </w:pPr>
    </w:p>
    <w:p>
      <w:pPr>
        <w:pStyle w:val="2"/>
        <w:spacing w:line="278" w:lineRule="auto"/>
      </w:pPr>
    </w:p>
    <w:p>
      <w:pPr>
        <w:spacing w:before="78" w:line="376" w:lineRule="auto"/>
        <w:ind w:left="124" w:right="114" w:firstLine="477"/>
        <w:jc w:val="both"/>
        <w:rPr>
          <w:rFonts w:ascii="宋体" w:hAnsi="宋体" w:eastAsia="宋体" w:cs="宋体"/>
          <w:sz w:val="24"/>
          <w:szCs w:val="24"/>
        </w:rPr>
      </w:pPr>
      <w:r>
        <w:rPr>
          <w:rFonts w:ascii="宋体" w:hAnsi="宋体" w:eastAsia="宋体" w:cs="宋体"/>
          <w:spacing w:val="-18"/>
          <w:sz w:val="24"/>
          <w:szCs w:val="24"/>
        </w:rPr>
        <w:t>在本项目施工过程中，</w:t>
      </w:r>
      <w:r>
        <w:rPr>
          <w:rFonts w:ascii="宋体" w:hAnsi="宋体" w:eastAsia="宋体" w:cs="宋体"/>
          <w:spacing w:val="62"/>
          <w:sz w:val="24"/>
          <w:szCs w:val="24"/>
        </w:rPr>
        <w:t xml:space="preserve"> </w:t>
      </w:r>
      <w:r>
        <w:rPr>
          <w:rFonts w:ascii="宋体" w:hAnsi="宋体" w:eastAsia="宋体" w:cs="宋体"/>
          <w:spacing w:val="-18"/>
          <w:sz w:val="24"/>
          <w:szCs w:val="24"/>
        </w:rPr>
        <w:t>隧道涌水产生量较小，</w:t>
      </w:r>
      <w:r>
        <w:rPr>
          <w:rFonts w:ascii="宋体" w:hAnsi="宋体" w:eastAsia="宋体" w:cs="宋体"/>
          <w:spacing w:val="36"/>
          <w:sz w:val="24"/>
          <w:szCs w:val="24"/>
        </w:rPr>
        <w:t xml:space="preserve"> </w:t>
      </w:r>
      <w:r>
        <w:rPr>
          <w:rFonts w:ascii="宋体" w:hAnsi="宋体" w:eastAsia="宋体" w:cs="宋体"/>
          <w:spacing w:val="-18"/>
          <w:sz w:val="24"/>
          <w:szCs w:val="24"/>
        </w:rPr>
        <w:t>涌水进行利用，</w:t>
      </w:r>
      <w:r>
        <w:rPr>
          <w:rFonts w:ascii="宋体" w:hAnsi="宋体" w:eastAsia="宋体" w:cs="宋体"/>
          <w:spacing w:val="32"/>
          <w:sz w:val="24"/>
          <w:szCs w:val="24"/>
        </w:rPr>
        <w:t xml:space="preserve"> </w:t>
      </w:r>
      <w:r>
        <w:rPr>
          <w:rFonts w:ascii="宋体" w:hAnsi="宋体" w:eastAsia="宋体" w:cs="宋体"/>
          <w:spacing w:val="-18"/>
          <w:sz w:val="24"/>
          <w:szCs w:val="24"/>
        </w:rPr>
        <w:t>作为隧道的降</w:t>
      </w:r>
      <w:r>
        <w:rPr>
          <w:rFonts w:ascii="宋体" w:hAnsi="宋体" w:eastAsia="宋体" w:cs="宋体"/>
          <w:sz w:val="24"/>
          <w:szCs w:val="24"/>
        </w:rPr>
        <w:t xml:space="preserve"> </w:t>
      </w:r>
      <w:r>
        <w:rPr>
          <w:rFonts w:ascii="宋体" w:hAnsi="宋体" w:eastAsia="宋体" w:cs="宋体"/>
          <w:spacing w:val="-8"/>
          <w:sz w:val="24"/>
          <w:szCs w:val="24"/>
        </w:rPr>
        <w:t>尘、冲洗用水。类比同类公路隧道的调查结果，</w:t>
      </w:r>
      <w:r>
        <w:rPr>
          <w:rFonts w:ascii="宋体" w:hAnsi="宋体" w:eastAsia="宋体" w:cs="宋体"/>
          <w:spacing w:val="54"/>
          <w:sz w:val="24"/>
          <w:szCs w:val="24"/>
        </w:rPr>
        <w:t xml:space="preserve"> </w:t>
      </w:r>
      <w:r>
        <w:rPr>
          <w:rFonts w:ascii="宋体" w:hAnsi="宋体" w:eastAsia="宋体" w:cs="宋体"/>
          <w:spacing w:val="-8"/>
          <w:sz w:val="24"/>
          <w:szCs w:val="24"/>
        </w:rPr>
        <w:t>隧道施工废水水质监测结果见表</w:t>
      </w:r>
    </w:p>
    <w:p>
      <w:pPr>
        <w:spacing w:line="178" w:lineRule="auto"/>
        <w:ind w:left="122"/>
        <w:rPr>
          <w:rFonts w:ascii="宋体" w:hAnsi="宋体" w:eastAsia="宋体" w:cs="宋体"/>
          <w:sz w:val="24"/>
          <w:szCs w:val="24"/>
        </w:rPr>
      </w:pPr>
      <w:r>
        <w:rPr>
          <w:rFonts w:ascii="Times New Roman" w:hAnsi="Times New Roman" w:eastAsia="Times New Roman" w:cs="Times New Roman"/>
          <w:spacing w:val="-2"/>
          <w:sz w:val="24"/>
          <w:szCs w:val="24"/>
        </w:rPr>
        <w:t>3.8-9</w:t>
      </w:r>
      <w:r>
        <w:rPr>
          <w:rFonts w:ascii="宋体" w:hAnsi="宋体" w:eastAsia="宋体" w:cs="宋体"/>
          <w:spacing w:val="-2"/>
          <w:sz w:val="24"/>
          <w:szCs w:val="24"/>
        </w:rPr>
        <w:t>。</w:t>
      </w:r>
    </w:p>
    <w:p>
      <w:pPr>
        <w:spacing w:before="192" w:line="465" w:lineRule="exact"/>
        <w:ind w:left="603"/>
        <w:rPr>
          <w:rFonts w:ascii="宋体" w:hAnsi="宋体" w:eastAsia="宋体" w:cs="宋体"/>
          <w:sz w:val="24"/>
          <w:szCs w:val="24"/>
        </w:rPr>
      </w:pPr>
      <w:r>
        <w:rPr>
          <w:rFonts w:ascii="宋体" w:hAnsi="宋体" w:eastAsia="宋体" w:cs="宋体"/>
          <w:spacing w:val="-1"/>
          <w:position w:val="17"/>
          <w:sz w:val="24"/>
          <w:szCs w:val="24"/>
        </w:rPr>
        <w:t xml:space="preserve">可见，隧道施工废水中主要污染物是 </w:t>
      </w:r>
      <w:r>
        <w:rPr>
          <w:rFonts w:ascii="Times New Roman" w:hAnsi="Times New Roman" w:eastAsia="Times New Roman" w:cs="Times New Roman"/>
          <w:spacing w:val="-1"/>
          <w:position w:val="17"/>
          <w:sz w:val="24"/>
          <w:szCs w:val="24"/>
        </w:rPr>
        <w:t>SS</w:t>
      </w:r>
      <w:r>
        <w:rPr>
          <w:rFonts w:ascii="宋体" w:hAnsi="宋体" w:eastAsia="宋体" w:cs="宋体"/>
          <w:spacing w:val="-1"/>
          <w:position w:val="17"/>
          <w:sz w:val="24"/>
          <w:szCs w:val="24"/>
        </w:rPr>
        <w:t>、石油类，对于隧道施工废水配备</w:t>
      </w:r>
    </w:p>
    <w:p>
      <w:pPr>
        <w:spacing w:line="219" w:lineRule="auto"/>
        <w:ind w:left="123"/>
        <w:rPr>
          <w:rFonts w:ascii="宋体" w:hAnsi="宋体" w:eastAsia="宋体" w:cs="宋体"/>
          <w:sz w:val="24"/>
          <w:szCs w:val="24"/>
        </w:rPr>
      </w:pPr>
      <w:r>
        <w:rPr>
          <w:rFonts w:ascii="宋体" w:hAnsi="宋体" w:eastAsia="宋体" w:cs="宋体"/>
          <w:sz w:val="24"/>
          <w:szCs w:val="24"/>
        </w:rPr>
        <w:t>有效的污水处理设施，设置隔油、沉淀池等对废</w:t>
      </w:r>
      <w:r>
        <w:rPr>
          <w:rFonts w:ascii="宋体" w:hAnsi="宋体" w:eastAsia="宋体" w:cs="宋体"/>
          <w:spacing w:val="-1"/>
          <w:sz w:val="24"/>
          <w:szCs w:val="24"/>
        </w:rPr>
        <w:t>水进行处理后循环利用。</w:t>
      </w:r>
    </w:p>
    <w:p>
      <w:pPr>
        <w:spacing w:before="182" w:line="220" w:lineRule="auto"/>
        <w:ind w:left="219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3.8-7        </w:t>
      </w:r>
      <w:r>
        <w:rPr>
          <w:rFonts w:ascii="宋体" w:hAnsi="宋体" w:eastAsia="宋体" w:cs="宋体"/>
          <w:spacing w:val="-1"/>
          <w:sz w:val="24"/>
          <w:szCs w:val="24"/>
        </w:rPr>
        <w:t>隧道施工废水水质监测结果</w:t>
      </w:r>
    </w:p>
    <w:p>
      <w:pPr>
        <w:spacing w:line="144"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2"/>
        <w:gridCol w:w="964"/>
        <w:gridCol w:w="787"/>
        <w:gridCol w:w="1672"/>
        <w:gridCol w:w="1193"/>
        <w:gridCol w:w="964"/>
        <w:gridCol w:w="1245"/>
        <w:gridCol w:w="9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732" w:type="dxa"/>
            <w:vAlign w:val="top"/>
          </w:tcPr>
          <w:p>
            <w:pPr>
              <w:pStyle w:val="6"/>
              <w:spacing w:before="264" w:line="222" w:lineRule="auto"/>
              <w:ind w:left="172"/>
            </w:pPr>
            <w:r>
              <w:rPr>
                <w:spacing w:val="-5"/>
              </w:rPr>
              <w:t>点位</w:t>
            </w:r>
          </w:p>
        </w:tc>
        <w:tc>
          <w:tcPr>
            <w:tcW w:w="964" w:type="dxa"/>
            <w:vAlign w:val="top"/>
          </w:tcPr>
          <w:p>
            <w:pPr>
              <w:pStyle w:val="6"/>
              <w:spacing w:before="144" w:line="226" w:lineRule="auto"/>
              <w:ind w:left="213" w:right="164" w:hanging="46"/>
              <w:rPr>
                <w:rFonts w:ascii="Times New Roman" w:hAnsi="Times New Roman" w:eastAsia="Times New Roman" w:cs="Times New Roman"/>
              </w:rPr>
            </w:pPr>
            <w:r>
              <w:rPr>
                <w:spacing w:val="-2"/>
              </w:rPr>
              <w:t>废水量</w:t>
            </w:r>
            <w:r>
              <w:rPr>
                <w:spacing w:val="1"/>
              </w:rPr>
              <w:t xml:space="preserve"> </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rPr>
              <w:t>/h)</w:t>
            </w:r>
          </w:p>
        </w:tc>
        <w:tc>
          <w:tcPr>
            <w:tcW w:w="787" w:type="dxa"/>
            <w:vAlign w:val="top"/>
          </w:tcPr>
          <w:p>
            <w:pPr>
              <w:spacing w:before="300" w:line="191" w:lineRule="auto"/>
              <w:ind w:left="259"/>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1672" w:type="dxa"/>
            <w:vAlign w:val="top"/>
          </w:tcPr>
          <w:p>
            <w:pPr>
              <w:spacing w:before="299" w:line="191" w:lineRule="auto"/>
              <w:ind w:left="251"/>
              <w:rPr>
                <w:rFonts w:ascii="Times New Roman" w:hAnsi="Times New Roman" w:eastAsia="Times New Roman" w:cs="Times New Roman"/>
                <w:sz w:val="21"/>
                <w:szCs w:val="21"/>
              </w:rPr>
            </w:pPr>
            <w:r>
              <w:rPr>
                <w:rFonts w:ascii="Times New Roman" w:hAnsi="Times New Roman" w:eastAsia="Times New Roman" w:cs="Times New Roman"/>
                <w:sz w:val="21"/>
                <w:szCs w:val="21"/>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mg</w:t>
            </w:r>
            <w:r>
              <w:rPr>
                <w:rFonts w:ascii="Times New Roman" w:hAnsi="Times New Roman" w:eastAsia="Times New Roman" w:cs="Times New Roman"/>
                <w:spacing w:val="1"/>
                <w:sz w:val="21"/>
                <w:szCs w:val="21"/>
              </w:rPr>
              <w:t>/L)</w:t>
            </w:r>
          </w:p>
        </w:tc>
        <w:tc>
          <w:tcPr>
            <w:tcW w:w="1193" w:type="dxa"/>
            <w:vAlign w:val="top"/>
          </w:tcPr>
          <w:p>
            <w:pPr>
              <w:spacing w:before="299" w:line="191"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SS(mg/L)</w:t>
            </w:r>
          </w:p>
        </w:tc>
        <w:tc>
          <w:tcPr>
            <w:tcW w:w="964" w:type="dxa"/>
            <w:vAlign w:val="top"/>
          </w:tcPr>
          <w:p>
            <w:pPr>
              <w:spacing w:before="185" w:line="213" w:lineRule="auto"/>
              <w:ind w:left="190" w:right="180" w:hanging="11"/>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1"/>
                <w:sz w:val="13"/>
                <w:szCs w:val="13"/>
              </w:rPr>
              <w:t>3</w:t>
            </w:r>
            <w:r>
              <w:rPr>
                <w:rFonts w:ascii="Times New Roman" w:hAnsi="Times New Roman" w:eastAsia="Times New Roman" w:cs="Times New Roman"/>
                <w:spacing w:val="3"/>
                <w:sz w:val="21"/>
                <w:szCs w:val="21"/>
              </w:rPr>
              <w:t>-N</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(mg/L)</w:t>
            </w:r>
          </w:p>
        </w:tc>
        <w:tc>
          <w:tcPr>
            <w:tcW w:w="1245" w:type="dxa"/>
            <w:vAlign w:val="top"/>
          </w:tcPr>
          <w:p>
            <w:pPr>
              <w:spacing w:before="299" w:line="191"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TN(mg/L)</w:t>
            </w:r>
          </w:p>
        </w:tc>
        <w:tc>
          <w:tcPr>
            <w:tcW w:w="971" w:type="dxa"/>
            <w:vAlign w:val="top"/>
          </w:tcPr>
          <w:p>
            <w:pPr>
              <w:pStyle w:val="6"/>
              <w:spacing w:before="144" w:line="226" w:lineRule="auto"/>
              <w:ind w:left="192" w:right="164" w:hanging="16"/>
              <w:rPr>
                <w:rFonts w:ascii="Times New Roman" w:hAnsi="Times New Roman" w:eastAsia="Times New Roman" w:cs="Times New Roman"/>
              </w:rPr>
            </w:pPr>
            <w:r>
              <w:rPr>
                <w:spacing w:val="-2"/>
              </w:rPr>
              <w:t>石油类</w:t>
            </w:r>
            <w:r>
              <w:t xml:space="preserve"> </w:t>
            </w:r>
            <w:r>
              <w:rPr>
                <w:rFonts w:ascii="Times New Roman" w:hAnsi="Times New Roman" w:eastAsia="Times New Roman" w:cs="Times New Roman"/>
                <w:spacing w:val="-2"/>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32" w:type="dxa"/>
            <w:vAlign w:val="top"/>
          </w:tcPr>
          <w:p>
            <w:pPr>
              <w:spacing w:before="69" w:line="187" w:lineRule="auto"/>
              <w:ind w:left="31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64" w:type="dxa"/>
            <w:vAlign w:val="top"/>
          </w:tcPr>
          <w:p>
            <w:pPr>
              <w:rPr>
                <w:rFonts w:ascii="Arial"/>
                <w:sz w:val="21"/>
              </w:rPr>
            </w:pPr>
          </w:p>
        </w:tc>
        <w:tc>
          <w:tcPr>
            <w:tcW w:w="787" w:type="dxa"/>
            <w:vAlign w:val="top"/>
          </w:tcPr>
          <w:p>
            <w:pPr>
              <w:spacing w:before="69"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6.47</w:t>
            </w:r>
          </w:p>
        </w:tc>
        <w:tc>
          <w:tcPr>
            <w:tcW w:w="1672" w:type="dxa"/>
            <w:vAlign w:val="top"/>
          </w:tcPr>
          <w:p>
            <w:pPr>
              <w:spacing w:before="69" w:line="187" w:lineRule="auto"/>
              <w:ind w:left="6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7.28</w:t>
            </w:r>
          </w:p>
        </w:tc>
        <w:tc>
          <w:tcPr>
            <w:tcW w:w="1193" w:type="dxa"/>
            <w:vAlign w:val="top"/>
          </w:tcPr>
          <w:p>
            <w:pPr>
              <w:pStyle w:val="6"/>
              <w:spacing w:before="30" w:line="206" w:lineRule="auto"/>
              <w:ind w:left="290"/>
            </w:pPr>
            <w:r>
              <w:rPr>
                <w:spacing w:val="-2"/>
              </w:rPr>
              <w:t>未检出</w:t>
            </w:r>
          </w:p>
        </w:tc>
        <w:tc>
          <w:tcPr>
            <w:tcW w:w="964" w:type="dxa"/>
            <w:vAlign w:val="top"/>
          </w:tcPr>
          <w:p>
            <w:pPr>
              <w:spacing w:before="69" w:line="187" w:lineRule="auto"/>
              <w:ind w:left="3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w:t>
            </w:r>
          </w:p>
        </w:tc>
        <w:tc>
          <w:tcPr>
            <w:tcW w:w="1245" w:type="dxa"/>
            <w:vAlign w:val="top"/>
          </w:tcPr>
          <w:p>
            <w:pPr>
              <w:spacing w:before="69" w:line="187" w:lineRule="auto"/>
              <w:ind w:left="4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0.62</w:t>
            </w:r>
          </w:p>
        </w:tc>
        <w:tc>
          <w:tcPr>
            <w:tcW w:w="971" w:type="dxa"/>
            <w:vAlign w:val="top"/>
          </w:tcPr>
          <w:p>
            <w:pPr>
              <w:pStyle w:val="6"/>
              <w:spacing w:before="30" w:line="206" w:lineRule="auto"/>
              <w:ind w:left="179"/>
            </w:pPr>
            <w:r>
              <w:rPr>
                <w:spacing w:val="-2"/>
              </w:rPr>
              <w:t>未检出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732" w:type="dxa"/>
            <w:vAlign w:val="top"/>
          </w:tcPr>
          <w:p>
            <w:pPr>
              <w:spacing w:before="55" w:line="179" w:lineRule="auto"/>
              <w:ind w:left="33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64" w:type="dxa"/>
            <w:vAlign w:val="top"/>
          </w:tcPr>
          <w:p>
            <w:pPr>
              <w:spacing w:before="55" w:line="179"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220</w:t>
            </w:r>
          </w:p>
        </w:tc>
        <w:tc>
          <w:tcPr>
            <w:tcW w:w="787" w:type="dxa"/>
            <w:vAlign w:val="top"/>
          </w:tcPr>
          <w:p>
            <w:pPr>
              <w:spacing w:before="55" w:line="179" w:lineRule="auto"/>
              <w:ind w:left="2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9.18</w:t>
            </w:r>
          </w:p>
        </w:tc>
        <w:tc>
          <w:tcPr>
            <w:tcW w:w="1672" w:type="dxa"/>
            <w:vAlign w:val="top"/>
          </w:tcPr>
          <w:p>
            <w:pPr>
              <w:spacing w:before="55" w:line="179" w:lineRule="auto"/>
              <w:ind w:left="6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54.7</w:t>
            </w:r>
          </w:p>
        </w:tc>
        <w:tc>
          <w:tcPr>
            <w:tcW w:w="1193" w:type="dxa"/>
            <w:vAlign w:val="top"/>
          </w:tcPr>
          <w:p>
            <w:pPr>
              <w:spacing w:before="55" w:line="179" w:lineRule="auto"/>
              <w:ind w:left="4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341</w:t>
            </w:r>
          </w:p>
        </w:tc>
        <w:tc>
          <w:tcPr>
            <w:tcW w:w="964" w:type="dxa"/>
            <w:vAlign w:val="top"/>
          </w:tcPr>
          <w:p>
            <w:pPr>
              <w:spacing w:before="55" w:line="179"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2.89</w:t>
            </w:r>
          </w:p>
        </w:tc>
        <w:tc>
          <w:tcPr>
            <w:tcW w:w="1245" w:type="dxa"/>
            <w:vAlign w:val="top"/>
          </w:tcPr>
          <w:p>
            <w:pPr>
              <w:spacing w:before="55" w:line="179" w:lineRule="auto"/>
              <w:ind w:left="4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6.15</w:t>
            </w:r>
          </w:p>
        </w:tc>
        <w:tc>
          <w:tcPr>
            <w:tcW w:w="971" w:type="dxa"/>
            <w:vAlign w:val="top"/>
          </w:tcPr>
          <w:p>
            <w:pPr>
              <w:spacing w:before="55" w:line="179" w:lineRule="auto"/>
              <w:ind w:left="3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732" w:type="dxa"/>
            <w:vAlign w:val="top"/>
          </w:tcPr>
          <w:p>
            <w:pPr>
              <w:spacing w:before="56" w:line="178" w:lineRule="auto"/>
              <w:ind w:left="31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64" w:type="dxa"/>
            <w:vAlign w:val="top"/>
          </w:tcPr>
          <w:p>
            <w:pPr>
              <w:spacing w:before="56" w:line="178"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787" w:type="dxa"/>
            <w:vAlign w:val="top"/>
          </w:tcPr>
          <w:p>
            <w:pPr>
              <w:spacing w:before="56" w:line="178"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10.13</w:t>
            </w:r>
          </w:p>
        </w:tc>
        <w:tc>
          <w:tcPr>
            <w:tcW w:w="1672" w:type="dxa"/>
            <w:vAlign w:val="top"/>
          </w:tcPr>
          <w:p>
            <w:pPr>
              <w:spacing w:before="56" w:line="178"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63.4</w:t>
            </w:r>
          </w:p>
        </w:tc>
        <w:tc>
          <w:tcPr>
            <w:tcW w:w="1193" w:type="dxa"/>
            <w:vAlign w:val="top"/>
          </w:tcPr>
          <w:p>
            <w:pPr>
              <w:spacing w:before="56" w:line="178" w:lineRule="auto"/>
              <w:ind w:left="4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513</w:t>
            </w:r>
          </w:p>
        </w:tc>
        <w:tc>
          <w:tcPr>
            <w:tcW w:w="964" w:type="dxa"/>
            <w:vAlign w:val="top"/>
          </w:tcPr>
          <w:p>
            <w:pPr>
              <w:spacing w:before="56" w:line="178"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3.47</w:t>
            </w:r>
          </w:p>
        </w:tc>
        <w:tc>
          <w:tcPr>
            <w:tcW w:w="1245" w:type="dxa"/>
            <w:vAlign w:val="top"/>
          </w:tcPr>
          <w:p>
            <w:pPr>
              <w:spacing w:before="56" w:line="178" w:lineRule="auto"/>
              <w:ind w:left="4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7.32</w:t>
            </w:r>
          </w:p>
        </w:tc>
        <w:tc>
          <w:tcPr>
            <w:tcW w:w="971" w:type="dxa"/>
            <w:vAlign w:val="top"/>
          </w:tcPr>
          <w:p>
            <w:pPr>
              <w:spacing w:before="56" w:line="178"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32" w:type="dxa"/>
            <w:vAlign w:val="top"/>
          </w:tcPr>
          <w:p>
            <w:pPr>
              <w:spacing w:before="57" w:line="178" w:lineRule="auto"/>
              <w:ind w:left="31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964" w:type="dxa"/>
            <w:vAlign w:val="top"/>
          </w:tcPr>
          <w:p>
            <w:pPr>
              <w:spacing w:before="57" w:line="178"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280</w:t>
            </w:r>
          </w:p>
        </w:tc>
        <w:tc>
          <w:tcPr>
            <w:tcW w:w="787" w:type="dxa"/>
            <w:vAlign w:val="top"/>
          </w:tcPr>
          <w:p>
            <w:pPr>
              <w:spacing w:before="57" w:line="178" w:lineRule="auto"/>
              <w:ind w:left="2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9.84</w:t>
            </w:r>
          </w:p>
        </w:tc>
        <w:tc>
          <w:tcPr>
            <w:tcW w:w="1672" w:type="dxa"/>
            <w:vAlign w:val="top"/>
          </w:tcPr>
          <w:p>
            <w:pPr>
              <w:spacing w:before="57" w:line="178" w:lineRule="auto"/>
              <w:ind w:left="6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57.3</w:t>
            </w:r>
          </w:p>
        </w:tc>
        <w:tc>
          <w:tcPr>
            <w:tcW w:w="1193" w:type="dxa"/>
            <w:vAlign w:val="top"/>
          </w:tcPr>
          <w:p>
            <w:pPr>
              <w:spacing w:before="57" w:line="178" w:lineRule="auto"/>
              <w:ind w:left="4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445</w:t>
            </w:r>
          </w:p>
        </w:tc>
        <w:tc>
          <w:tcPr>
            <w:tcW w:w="964" w:type="dxa"/>
            <w:vAlign w:val="top"/>
          </w:tcPr>
          <w:p>
            <w:pPr>
              <w:spacing w:before="57" w:line="178"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3.35</w:t>
            </w:r>
          </w:p>
        </w:tc>
        <w:tc>
          <w:tcPr>
            <w:tcW w:w="1245" w:type="dxa"/>
            <w:vAlign w:val="top"/>
          </w:tcPr>
          <w:p>
            <w:pPr>
              <w:spacing w:before="57" w:line="178" w:lineRule="auto"/>
              <w:ind w:left="4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6.58</w:t>
            </w:r>
          </w:p>
        </w:tc>
        <w:tc>
          <w:tcPr>
            <w:tcW w:w="971" w:type="dxa"/>
            <w:vAlign w:val="top"/>
          </w:tcPr>
          <w:p>
            <w:pPr>
              <w:spacing w:before="57" w:line="178" w:lineRule="auto"/>
              <w:ind w:left="3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732" w:type="dxa"/>
            <w:vAlign w:val="top"/>
          </w:tcPr>
          <w:p>
            <w:pPr>
              <w:spacing w:before="57" w:line="177" w:lineRule="auto"/>
              <w:ind w:left="31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964" w:type="dxa"/>
            <w:vAlign w:val="top"/>
          </w:tcPr>
          <w:p>
            <w:pPr>
              <w:spacing w:before="57" w:line="17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787" w:type="dxa"/>
            <w:vAlign w:val="top"/>
          </w:tcPr>
          <w:p>
            <w:pPr>
              <w:spacing w:before="57" w:line="177" w:lineRule="auto"/>
              <w:ind w:left="21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8.68</w:t>
            </w:r>
          </w:p>
        </w:tc>
        <w:tc>
          <w:tcPr>
            <w:tcW w:w="1672" w:type="dxa"/>
            <w:vAlign w:val="top"/>
          </w:tcPr>
          <w:p>
            <w:pPr>
              <w:spacing w:before="57" w:line="177" w:lineRule="auto"/>
              <w:ind w:left="6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23.9</w:t>
            </w:r>
          </w:p>
        </w:tc>
        <w:tc>
          <w:tcPr>
            <w:tcW w:w="1193" w:type="dxa"/>
            <w:vAlign w:val="top"/>
          </w:tcPr>
          <w:p>
            <w:pPr>
              <w:spacing w:before="57" w:line="177" w:lineRule="auto"/>
              <w:ind w:left="51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964" w:type="dxa"/>
            <w:vAlign w:val="top"/>
          </w:tcPr>
          <w:p>
            <w:pPr>
              <w:spacing w:before="57" w:line="17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1.34</w:t>
            </w:r>
          </w:p>
        </w:tc>
        <w:tc>
          <w:tcPr>
            <w:tcW w:w="1245" w:type="dxa"/>
            <w:vAlign w:val="top"/>
          </w:tcPr>
          <w:p>
            <w:pPr>
              <w:spacing w:before="57" w:line="177" w:lineRule="auto"/>
              <w:ind w:left="4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2.65</w:t>
            </w:r>
          </w:p>
        </w:tc>
        <w:tc>
          <w:tcPr>
            <w:tcW w:w="971" w:type="dxa"/>
            <w:vAlign w:val="top"/>
          </w:tcPr>
          <w:p>
            <w:pPr>
              <w:spacing w:before="57" w:line="17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trPr>
        <w:tc>
          <w:tcPr>
            <w:tcW w:w="732" w:type="dxa"/>
            <w:vAlign w:val="top"/>
          </w:tcPr>
          <w:p>
            <w:pPr>
              <w:spacing w:before="59" w:line="178"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964" w:type="dxa"/>
            <w:vAlign w:val="top"/>
          </w:tcPr>
          <w:p>
            <w:pPr>
              <w:spacing w:before="56" w:line="181"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87" w:type="dxa"/>
            <w:vAlign w:val="top"/>
          </w:tcPr>
          <w:p>
            <w:pPr>
              <w:spacing w:before="56" w:line="181" w:lineRule="auto"/>
              <w:ind w:left="21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8.55</w:t>
            </w:r>
          </w:p>
        </w:tc>
        <w:tc>
          <w:tcPr>
            <w:tcW w:w="1672" w:type="dxa"/>
            <w:vAlign w:val="top"/>
          </w:tcPr>
          <w:p>
            <w:pPr>
              <w:spacing w:before="56" w:line="181" w:lineRule="auto"/>
              <w:ind w:left="67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17.8</w:t>
            </w:r>
          </w:p>
        </w:tc>
        <w:tc>
          <w:tcPr>
            <w:tcW w:w="1193" w:type="dxa"/>
            <w:vAlign w:val="top"/>
          </w:tcPr>
          <w:p>
            <w:pPr>
              <w:spacing w:before="56" w:line="181" w:lineRule="auto"/>
              <w:ind w:left="51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964" w:type="dxa"/>
            <w:vAlign w:val="top"/>
          </w:tcPr>
          <w:p>
            <w:pPr>
              <w:spacing w:before="56" w:line="181"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1.25</w:t>
            </w:r>
          </w:p>
        </w:tc>
        <w:tc>
          <w:tcPr>
            <w:tcW w:w="1245" w:type="dxa"/>
            <w:vAlign w:val="top"/>
          </w:tcPr>
          <w:p>
            <w:pPr>
              <w:spacing w:before="56" w:line="181" w:lineRule="auto"/>
              <w:ind w:left="4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2.04</w:t>
            </w:r>
          </w:p>
        </w:tc>
        <w:tc>
          <w:tcPr>
            <w:tcW w:w="971" w:type="dxa"/>
            <w:vAlign w:val="top"/>
          </w:tcPr>
          <w:p>
            <w:pPr>
              <w:spacing w:before="56" w:line="181"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2.31</w:t>
            </w:r>
          </w:p>
        </w:tc>
      </w:tr>
    </w:tbl>
    <w:p>
      <w:pPr>
        <w:spacing w:before="31" w:line="233" w:lineRule="auto"/>
        <w:ind w:left="121" w:right="117"/>
        <w:jc w:val="both"/>
        <w:rPr>
          <w:rFonts w:ascii="宋体" w:hAnsi="宋体" w:eastAsia="宋体" w:cs="宋体"/>
          <w:sz w:val="21"/>
          <w:szCs w:val="21"/>
        </w:rPr>
      </w:pPr>
      <w:r>
        <w:rPr>
          <w:rFonts w:ascii="宋体" w:hAnsi="宋体" w:eastAsia="宋体" w:cs="宋体"/>
          <w:spacing w:val="-4"/>
          <w:sz w:val="21"/>
          <w:szCs w:val="21"/>
        </w:rPr>
        <w:t>注</w:t>
      </w:r>
      <w:r>
        <w:rPr>
          <w:rFonts w:ascii="宋体" w:hAnsi="宋体" w:eastAsia="宋体" w:cs="宋体"/>
          <w:spacing w:val="-27"/>
          <w:sz w:val="21"/>
          <w:szCs w:val="21"/>
        </w:rPr>
        <w:t xml:space="preserve"> </w:t>
      </w:r>
      <w:r>
        <w:rPr>
          <w:rFonts w:ascii="Times New Roman" w:hAnsi="Times New Roman" w:eastAsia="Times New Roman" w:cs="Times New Roman"/>
          <w:spacing w:val="-4"/>
          <w:sz w:val="21"/>
          <w:szCs w:val="21"/>
        </w:rPr>
        <w:t>1</w:t>
      </w:r>
      <w:r>
        <w:rPr>
          <w:rFonts w:ascii="宋体" w:hAnsi="宋体" w:eastAsia="宋体" w:cs="宋体"/>
          <w:spacing w:val="-4"/>
          <w:sz w:val="21"/>
          <w:szCs w:val="21"/>
        </w:rPr>
        <w:t>：</w:t>
      </w:r>
      <w:r>
        <w:rPr>
          <w:rFonts w:ascii="Times New Roman" w:hAnsi="Times New Roman" w:eastAsia="Times New Roman" w:cs="Times New Roman"/>
          <w:spacing w:val="-4"/>
          <w:sz w:val="21"/>
          <w:szCs w:val="21"/>
        </w:rPr>
        <w:t>0</w:t>
      </w:r>
      <w:r>
        <w:rPr>
          <w:rFonts w:ascii="Times New Roman" w:hAnsi="Times New Roman" w:eastAsia="Times New Roman" w:cs="Times New Roman"/>
          <w:spacing w:val="13"/>
          <w:w w:val="101"/>
          <w:sz w:val="21"/>
          <w:szCs w:val="21"/>
        </w:rPr>
        <w:t xml:space="preserve"> </w:t>
      </w:r>
      <w:r>
        <w:rPr>
          <w:rFonts w:ascii="宋体" w:hAnsi="宋体" w:eastAsia="宋体" w:cs="宋体"/>
          <w:spacing w:val="-4"/>
          <w:sz w:val="21"/>
          <w:szCs w:val="21"/>
        </w:rPr>
        <w:t>号样品为隧道施工现场受纳水体上游水质情况；</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rPr>
        <w:t>1</w:t>
      </w: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Times New Roman" w:hAnsi="Times New Roman" w:eastAsia="Times New Roman" w:cs="Times New Roman"/>
          <w:spacing w:val="-30"/>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3</w:t>
      </w:r>
      <w:r>
        <w:rPr>
          <w:rFonts w:ascii="Times New Roman" w:hAnsi="Times New Roman" w:eastAsia="Times New Roman" w:cs="Times New Roman"/>
          <w:spacing w:val="14"/>
          <w:sz w:val="21"/>
          <w:szCs w:val="21"/>
        </w:rPr>
        <w:t xml:space="preserve"> </w:t>
      </w:r>
      <w:r>
        <w:rPr>
          <w:rFonts w:ascii="宋体" w:hAnsi="宋体" w:eastAsia="宋体" w:cs="宋体"/>
          <w:spacing w:val="-5"/>
          <w:sz w:val="21"/>
          <w:szCs w:val="21"/>
        </w:rPr>
        <w:t>号样品为隧道正常施工时</w:t>
      </w:r>
      <w:r>
        <w:rPr>
          <w:rFonts w:ascii="宋体" w:hAnsi="宋体" w:eastAsia="宋体" w:cs="宋体"/>
          <w:sz w:val="21"/>
          <w:szCs w:val="21"/>
        </w:rPr>
        <w:t xml:space="preserve"> 的废水水质；</w:t>
      </w:r>
      <w:r>
        <w:rPr>
          <w:rFonts w:ascii="Times New Roman" w:hAnsi="Times New Roman" w:eastAsia="Times New Roman" w:cs="Times New Roman"/>
          <w:sz w:val="21"/>
          <w:szCs w:val="21"/>
        </w:rPr>
        <w:t xml:space="preserve">4 </w:t>
      </w:r>
      <w:r>
        <w:rPr>
          <w:rFonts w:ascii="宋体" w:hAnsi="宋体" w:eastAsia="宋体" w:cs="宋体"/>
          <w:sz w:val="21"/>
          <w:szCs w:val="21"/>
        </w:rPr>
        <w:t>号为隧道内发生岩爆；施工停止是隧道排水系统的出水；</w:t>
      </w:r>
      <w:r>
        <w:rPr>
          <w:rFonts w:ascii="Times New Roman" w:hAnsi="Times New Roman" w:eastAsia="Times New Roman" w:cs="Times New Roman"/>
          <w:sz w:val="21"/>
          <w:szCs w:val="21"/>
        </w:rPr>
        <w:t xml:space="preserve">5 </w:t>
      </w:r>
      <w:r>
        <w:rPr>
          <w:rFonts w:ascii="宋体" w:hAnsi="宋体" w:eastAsia="宋体" w:cs="宋体"/>
          <w:sz w:val="21"/>
          <w:szCs w:val="21"/>
        </w:rPr>
        <w:t>号是在施工</w:t>
      </w:r>
      <w:r>
        <w:rPr>
          <w:rFonts w:ascii="宋体" w:hAnsi="宋体" w:eastAsia="宋体" w:cs="宋体"/>
          <w:spacing w:val="-1"/>
          <w:sz w:val="21"/>
          <w:szCs w:val="21"/>
        </w:rPr>
        <w:t>完全</w:t>
      </w:r>
      <w:r>
        <w:rPr>
          <w:rFonts w:ascii="宋体" w:hAnsi="宋体" w:eastAsia="宋体" w:cs="宋体"/>
          <w:sz w:val="21"/>
          <w:szCs w:val="21"/>
        </w:rPr>
        <w:t xml:space="preserve"> </w:t>
      </w:r>
      <w:r>
        <w:rPr>
          <w:rFonts w:ascii="宋体" w:hAnsi="宋体" w:eastAsia="宋体" w:cs="宋体"/>
          <w:spacing w:val="-3"/>
          <w:sz w:val="21"/>
          <w:szCs w:val="21"/>
        </w:rPr>
        <w:t>停止</w:t>
      </w:r>
      <w:r>
        <w:rPr>
          <w:rFonts w:ascii="宋体" w:hAnsi="宋体" w:eastAsia="宋体" w:cs="宋体"/>
          <w:spacing w:val="-39"/>
          <w:sz w:val="21"/>
          <w:szCs w:val="21"/>
        </w:rPr>
        <w:t xml:space="preserve"> </w:t>
      </w: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天后的监测结果。</w:t>
      </w:r>
    </w:p>
    <w:p>
      <w:pPr>
        <w:spacing w:before="22" w:line="229" w:lineRule="auto"/>
        <w:ind w:left="120" w:right="110"/>
        <w:rPr>
          <w:rFonts w:ascii="宋体" w:hAnsi="宋体" w:eastAsia="宋体" w:cs="宋体"/>
          <w:sz w:val="21"/>
          <w:szCs w:val="21"/>
        </w:rPr>
      </w:pPr>
      <w:r>
        <w:rPr>
          <w:rFonts w:ascii="宋体" w:hAnsi="宋体" w:eastAsia="宋体" w:cs="宋体"/>
          <w:spacing w:val="-1"/>
          <w:sz w:val="21"/>
          <w:szCs w:val="21"/>
        </w:rPr>
        <w:t>注</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2</w:t>
      </w:r>
      <w:r>
        <w:rPr>
          <w:rFonts w:ascii="宋体" w:hAnsi="宋体" w:eastAsia="宋体" w:cs="宋体"/>
          <w:spacing w:val="-1"/>
          <w:sz w:val="21"/>
          <w:szCs w:val="21"/>
        </w:rPr>
        <w:t>：数据来源于《某隧道施工废水对地表水环境的影响》，任</w:t>
      </w:r>
      <w:r>
        <w:rPr>
          <w:rFonts w:ascii="宋体" w:hAnsi="宋体" w:eastAsia="宋体" w:cs="宋体"/>
          <w:spacing w:val="-2"/>
          <w:sz w:val="21"/>
          <w:szCs w:val="21"/>
        </w:rPr>
        <w:t>伟，长安大学环境科学与工</w:t>
      </w:r>
      <w:r>
        <w:rPr>
          <w:rFonts w:ascii="宋体" w:hAnsi="宋体" w:eastAsia="宋体" w:cs="宋体"/>
          <w:sz w:val="21"/>
          <w:szCs w:val="21"/>
        </w:rPr>
        <w:t xml:space="preserve"> </w:t>
      </w:r>
      <w:r>
        <w:rPr>
          <w:rFonts w:ascii="宋体" w:hAnsi="宋体" w:eastAsia="宋体" w:cs="宋体"/>
          <w:spacing w:val="-2"/>
          <w:sz w:val="21"/>
          <w:szCs w:val="21"/>
        </w:rPr>
        <w:t>程学院，中国科技信息</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 xml:space="preserve">2005 </w:t>
      </w:r>
      <w:r>
        <w:rPr>
          <w:rFonts w:ascii="宋体" w:hAnsi="宋体" w:eastAsia="宋体" w:cs="宋体"/>
          <w:spacing w:val="-2"/>
          <w:sz w:val="21"/>
          <w:szCs w:val="21"/>
        </w:rPr>
        <w:t>年第</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期。</w:t>
      </w:r>
    </w:p>
    <w:p>
      <w:pPr>
        <w:spacing w:before="187" w:line="220" w:lineRule="auto"/>
        <w:ind w:left="596"/>
        <w:rPr>
          <w:rFonts w:ascii="宋体" w:hAnsi="宋体" w:eastAsia="宋体" w:cs="宋体"/>
          <w:sz w:val="24"/>
          <w:szCs w:val="24"/>
        </w:rPr>
      </w:pPr>
      <w:r>
        <w:rPr>
          <w:rFonts w:ascii="Times New Roman" w:hAnsi="Times New Roman" w:eastAsia="Times New Roman" w:cs="Times New Roman"/>
          <w:spacing w:val="-4"/>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、固废</w:t>
      </w:r>
    </w:p>
    <w:p>
      <w:pPr>
        <w:spacing w:before="179" w:line="359" w:lineRule="auto"/>
        <w:ind w:left="122" w:right="113" w:firstLine="480"/>
        <w:rPr>
          <w:rFonts w:ascii="宋体" w:hAnsi="宋体" w:eastAsia="宋体" w:cs="宋体"/>
          <w:sz w:val="24"/>
          <w:szCs w:val="24"/>
        </w:rPr>
      </w:pPr>
      <w:r>
        <w:rPr>
          <w:rFonts w:ascii="宋体" w:hAnsi="宋体" w:eastAsia="宋体" w:cs="宋体"/>
          <w:spacing w:val="-3"/>
          <w:sz w:val="24"/>
          <w:szCs w:val="24"/>
        </w:rPr>
        <w:t>本项目施工期产生的固废主要为工程的弃渣和生活垃圾等。工</w:t>
      </w:r>
      <w:r>
        <w:rPr>
          <w:rFonts w:ascii="宋体" w:hAnsi="宋体" w:eastAsia="宋体" w:cs="宋体"/>
          <w:spacing w:val="-4"/>
          <w:sz w:val="24"/>
          <w:szCs w:val="24"/>
        </w:rPr>
        <w:t>程机械设备维</w:t>
      </w:r>
      <w:r>
        <w:rPr>
          <w:rFonts w:ascii="宋体" w:hAnsi="宋体" w:eastAsia="宋体" w:cs="宋体"/>
          <w:sz w:val="24"/>
          <w:szCs w:val="24"/>
        </w:rPr>
        <w:t xml:space="preserve"> </w:t>
      </w:r>
      <w:r>
        <w:rPr>
          <w:rFonts w:ascii="宋体" w:hAnsi="宋体" w:eastAsia="宋体" w:cs="宋体"/>
          <w:spacing w:val="-3"/>
          <w:sz w:val="24"/>
          <w:szCs w:val="24"/>
        </w:rPr>
        <w:t>修均依托景文高速公路主线和委托其他维修公司进行，不单独设置进行机械维修</w:t>
      </w:r>
    </w:p>
    <w:p>
      <w:pPr>
        <w:spacing w:before="1" w:line="218" w:lineRule="auto"/>
        <w:ind w:left="141"/>
        <w:rPr>
          <w:rFonts w:ascii="宋体" w:hAnsi="宋体" w:eastAsia="宋体" w:cs="宋体"/>
          <w:sz w:val="24"/>
          <w:szCs w:val="24"/>
        </w:rPr>
      </w:pPr>
      <w:r>
        <w:rPr>
          <w:rFonts w:ascii="宋体" w:hAnsi="宋体" w:eastAsia="宋体" w:cs="宋体"/>
          <w:spacing w:val="-4"/>
          <w:sz w:val="24"/>
          <w:szCs w:val="24"/>
        </w:rPr>
        <w:t>的场地，本次不再估算废机油等。</w:t>
      </w:r>
    </w:p>
    <w:p>
      <w:pPr>
        <w:spacing w:before="184" w:line="220" w:lineRule="auto"/>
        <w:ind w:left="60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）生活垃圾</w:t>
      </w:r>
    </w:p>
    <w:p>
      <w:pPr>
        <w:spacing w:before="182" w:line="359" w:lineRule="auto"/>
        <w:ind w:left="124" w:right="114" w:firstLine="480"/>
        <w:rPr>
          <w:rFonts w:ascii="宋体" w:hAnsi="宋体" w:eastAsia="宋体" w:cs="宋体"/>
          <w:sz w:val="24"/>
          <w:szCs w:val="24"/>
        </w:rPr>
      </w:pPr>
      <w:r>
        <w:rPr>
          <w:rFonts w:ascii="宋体" w:hAnsi="宋体" w:eastAsia="宋体" w:cs="宋体"/>
          <w:spacing w:val="-12"/>
          <w:sz w:val="24"/>
          <w:szCs w:val="24"/>
        </w:rPr>
        <w:t>工程沿线设置施工场地，</w:t>
      </w:r>
      <w:r>
        <w:rPr>
          <w:rFonts w:ascii="宋体" w:hAnsi="宋体" w:eastAsia="宋体" w:cs="宋体"/>
          <w:spacing w:val="31"/>
          <w:sz w:val="24"/>
          <w:szCs w:val="24"/>
        </w:rPr>
        <w:t xml:space="preserve"> </w:t>
      </w:r>
      <w:r>
        <w:rPr>
          <w:rFonts w:ascii="宋体" w:hAnsi="宋体" w:eastAsia="宋体" w:cs="宋体"/>
          <w:spacing w:val="-12"/>
          <w:sz w:val="24"/>
          <w:szCs w:val="24"/>
        </w:rPr>
        <w:t>施工场地内施工人</w:t>
      </w:r>
      <w:r>
        <w:rPr>
          <w:rFonts w:ascii="宋体" w:hAnsi="宋体" w:eastAsia="宋体" w:cs="宋体"/>
          <w:spacing w:val="-13"/>
          <w:sz w:val="24"/>
          <w:szCs w:val="24"/>
        </w:rPr>
        <w:t>员相对集中、稳定，</w:t>
      </w:r>
      <w:r>
        <w:rPr>
          <w:rFonts w:ascii="宋体" w:hAnsi="宋体" w:eastAsia="宋体" w:cs="宋体"/>
          <w:spacing w:val="32"/>
          <w:sz w:val="24"/>
          <w:szCs w:val="24"/>
        </w:rPr>
        <w:t xml:space="preserve"> </w:t>
      </w:r>
      <w:r>
        <w:rPr>
          <w:rFonts w:ascii="宋体" w:hAnsi="宋体" w:eastAsia="宋体" w:cs="宋体"/>
          <w:spacing w:val="-13"/>
          <w:sz w:val="24"/>
          <w:szCs w:val="24"/>
        </w:rPr>
        <w:t>产生的生活</w:t>
      </w:r>
      <w:r>
        <w:rPr>
          <w:rFonts w:ascii="宋体" w:hAnsi="宋体" w:eastAsia="宋体" w:cs="宋体"/>
          <w:sz w:val="24"/>
          <w:szCs w:val="24"/>
        </w:rPr>
        <w:t xml:space="preserve"> </w:t>
      </w:r>
      <w:r>
        <w:rPr>
          <w:rFonts w:ascii="宋体" w:hAnsi="宋体" w:eastAsia="宋体" w:cs="宋体"/>
          <w:spacing w:val="-5"/>
          <w:sz w:val="24"/>
          <w:szCs w:val="24"/>
        </w:rPr>
        <w:t>垃圾主要包括塑料、废纸、果皮等。</w:t>
      </w:r>
      <w:r>
        <w:rPr>
          <w:rFonts w:ascii="宋体" w:hAnsi="宋体" w:eastAsia="宋体" w:cs="宋体"/>
          <w:spacing w:val="47"/>
          <w:sz w:val="24"/>
          <w:szCs w:val="24"/>
        </w:rPr>
        <w:t xml:space="preserve"> </w:t>
      </w:r>
      <w:r>
        <w:rPr>
          <w:rFonts w:ascii="宋体" w:hAnsi="宋体" w:eastAsia="宋体" w:cs="宋体"/>
          <w:spacing w:val="-5"/>
          <w:sz w:val="24"/>
          <w:szCs w:val="24"/>
        </w:rPr>
        <w:t>施工人员平均垃圾产生量约</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250kg/d</w:t>
      </w:r>
      <w:r>
        <w:rPr>
          <w:rFonts w:ascii="宋体" w:hAnsi="宋体" w:eastAsia="宋体" w:cs="宋体"/>
          <w:spacing w:val="-5"/>
          <w:sz w:val="24"/>
          <w:szCs w:val="24"/>
        </w:rPr>
        <w:t>，采取</w:t>
      </w:r>
    </w:p>
    <w:p>
      <w:pPr>
        <w:spacing w:before="1" w:line="219" w:lineRule="auto"/>
        <w:ind w:left="125"/>
        <w:rPr>
          <w:rFonts w:ascii="宋体" w:hAnsi="宋体" w:eastAsia="宋体" w:cs="宋体"/>
          <w:sz w:val="24"/>
          <w:szCs w:val="24"/>
        </w:rPr>
      </w:pPr>
      <w:r>
        <w:rPr>
          <w:rFonts w:ascii="宋体" w:hAnsi="宋体" w:eastAsia="宋体" w:cs="宋体"/>
          <w:spacing w:val="-2"/>
          <w:sz w:val="24"/>
          <w:szCs w:val="24"/>
        </w:rPr>
        <w:t>分类收集后委托清运处置。</w:t>
      </w:r>
    </w:p>
    <w:p>
      <w:pPr>
        <w:spacing w:before="180" w:line="220" w:lineRule="auto"/>
        <w:ind w:left="60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）工程弃渣</w:t>
      </w:r>
    </w:p>
    <w:p>
      <w:pPr>
        <w:spacing w:before="182" w:line="359" w:lineRule="auto"/>
        <w:ind w:left="125" w:right="47" w:firstLine="477"/>
        <w:rPr>
          <w:rFonts w:ascii="宋体" w:hAnsi="宋体" w:eastAsia="宋体" w:cs="宋体"/>
          <w:sz w:val="24"/>
          <w:szCs w:val="24"/>
        </w:rPr>
      </w:pPr>
      <w:r>
        <w:rPr>
          <w:rFonts w:ascii="宋体" w:hAnsi="宋体" w:eastAsia="宋体" w:cs="宋体"/>
          <w:spacing w:val="-9"/>
          <w:sz w:val="24"/>
          <w:szCs w:val="24"/>
        </w:rPr>
        <w:t>本工程弃方中，</w:t>
      </w:r>
      <w:r>
        <w:rPr>
          <w:rFonts w:ascii="宋体" w:hAnsi="宋体" w:eastAsia="宋体" w:cs="宋体"/>
          <w:spacing w:val="-27"/>
          <w:sz w:val="24"/>
          <w:szCs w:val="24"/>
        </w:rPr>
        <w:t xml:space="preserve"> </w:t>
      </w:r>
      <w:r>
        <w:rPr>
          <w:rFonts w:ascii="宋体" w:hAnsi="宋体" w:eastAsia="宋体" w:cs="宋体"/>
          <w:spacing w:val="-9"/>
          <w:sz w:val="24"/>
          <w:szCs w:val="24"/>
        </w:rPr>
        <w:t>土石弃渣为路基及隧道工程弃方</w:t>
      </w:r>
      <w:r>
        <w:rPr>
          <w:rFonts w:ascii="宋体" w:hAnsi="宋体" w:eastAsia="宋体" w:cs="宋体"/>
          <w:spacing w:val="-10"/>
          <w:sz w:val="24"/>
          <w:szCs w:val="24"/>
        </w:rPr>
        <w:t>和软基处理弃渣， 工程利用</w:t>
      </w:r>
      <w:r>
        <w:rPr>
          <w:rFonts w:ascii="宋体" w:hAnsi="宋体" w:eastAsia="宋体" w:cs="宋体"/>
          <w:sz w:val="24"/>
          <w:szCs w:val="24"/>
        </w:rPr>
        <w:t xml:space="preserve"> </w:t>
      </w:r>
      <w:r>
        <w:rPr>
          <w:rFonts w:ascii="宋体" w:hAnsi="宋体" w:eastAsia="宋体" w:cs="宋体"/>
          <w:spacing w:val="-3"/>
          <w:sz w:val="24"/>
          <w:szCs w:val="24"/>
        </w:rPr>
        <w:t>景文高速公路施工期弃渣场进行弃渣。双田弃渣场（景文高速公路</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J</w:t>
      </w:r>
      <w:r>
        <w:rPr>
          <w:rFonts w:ascii="Times New Roman" w:hAnsi="Times New Roman" w:eastAsia="Times New Roman" w:cs="Times New Roman"/>
          <w:spacing w:val="-4"/>
          <w:sz w:val="24"/>
          <w:szCs w:val="24"/>
        </w:rPr>
        <w:t xml:space="preserve">WYJ-4 </w:t>
      </w:r>
      <w:r>
        <w:rPr>
          <w:rFonts w:ascii="宋体" w:hAnsi="宋体" w:eastAsia="宋体" w:cs="宋体"/>
          <w:spacing w:val="-4"/>
          <w:sz w:val="24"/>
          <w:szCs w:val="24"/>
        </w:rPr>
        <w:t>标</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弃渣场）消纳</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35.5</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m³</w:t>
      </w:r>
      <w:r>
        <w:rPr>
          <w:rFonts w:ascii="宋体" w:hAnsi="宋体" w:eastAsia="宋体" w:cs="宋体"/>
          <w:spacing w:val="-3"/>
          <w:sz w:val="24"/>
          <w:szCs w:val="24"/>
        </w:rPr>
        <w:t>、南坑垟弃土场（景文高速公路</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JWYJ-4 </w:t>
      </w:r>
      <w:r>
        <w:rPr>
          <w:rFonts w:ascii="宋体" w:hAnsi="宋体" w:eastAsia="宋体" w:cs="宋体"/>
          <w:spacing w:val="-3"/>
          <w:sz w:val="24"/>
          <w:szCs w:val="24"/>
        </w:rPr>
        <w:t>标</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 xml:space="preserve">弃渣场） </w:t>
      </w:r>
      <w:r>
        <w:rPr>
          <w:rFonts w:ascii="宋体" w:hAnsi="宋体" w:eastAsia="宋体" w:cs="宋体"/>
          <w:spacing w:val="-6"/>
          <w:sz w:val="24"/>
          <w:szCs w:val="24"/>
        </w:rPr>
        <w:t>消纳</w:t>
      </w:r>
      <w:r>
        <w:rPr>
          <w:rFonts w:ascii="宋体" w:hAnsi="宋体" w:eastAsia="宋体" w:cs="宋体"/>
          <w:spacing w:val="-27"/>
          <w:sz w:val="24"/>
          <w:szCs w:val="24"/>
        </w:rPr>
        <w:t xml:space="preserve"> </w:t>
      </w:r>
      <w:r>
        <w:rPr>
          <w:rFonts w:ascii="Times New Roman" w:hAnsi="Times New Roman" w:eastAsia="Times New Roman" w:cs="Times New Roman"/>
          <w:spacing w:val="-6"/>
          <w:sz w:val="24"/>
          <w:szCs w:val="24"/>
        </w:rPr>
        <w:t>15.5</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m³</w:t>
      </w:r>
      <w:r>
        <w:rPr>
          <w:rFonts w:ascii="宋体" w:hAnsi="宋体" w:eastAsia="宋体" w:cs="宋体"/>
          <w:spacing w:val="-6"/>
          <w:sz w:val="24"/>
          <w:szCs w:val="24"/>
        </w:rPr>
        <w:t>。连接线约</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17</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6"/>
          <w:sz w:val="24"/>
          <w:szCs w:val="24"/>
        </w:rPr>
        <w:t>m³</w:t>
      </w:r>
      <w:r>
        <w:rPr>
          <w:rFonts w:ascii="宋体" w:hAnsi="宋体" w:eastAsia="宋体" w:cs="宋体"/>
          <w:spacing w:val="-6"/>
          <w:sz w:val="24"/>
          <w:szCs w:val="24"/>
        </w:rPr>
        <w:t>土石方由景文高速公路施工期进行加工利用，</w:t>
      </w:r>
      <w:r>
        <w:rPr>
          <w:rFonts w:ascii="宋体" w:hAnsi="宋体" w:eastAsia="宋体" w:cs="宋体"/>
          <w:sz w:val="24"/>
          <w:szCs w:val="24"/>
        </w:rPr>
        <w:t xml:space="preserve"> </w:t>
      </w:r>
      <w:r>
        <w:rPr>
          <w:rFonts w:ascii="宋体" w:hAnsi="宋体" w:eastAsia="宋体" w:cs="宋体"/>
          <w:spacing w:val="-11"/>
          <w:sz w:val="24"/>
          <w:szCs w:val="24"/>
        </w:rPr>
        <w:t>另外， 约</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11</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11"/>
          <w:sz w:val="24"/>
          <w:szCs w:val="24"/>
        </w:rPr>
        <w:t>m³</w:t>
      </w:r>
      <w:r>
        <w:rPr>
          <w:rFonts w:ascii="宋体" w:hAnsi="宋体" w:eastAsia="宋体" w:cs="宋体"/>
          <w:spacing w:val="-11"/>
          <w:sz w:val="24"/>
          <w:szCs w:val="24"/>
        </w:rPr>
        <w:t>渣土经文成县财政局进行渣土拍卖，</w:t>
      </w:r>
      <w:r>
        <w:rPr>
          <w:rFonts w:ascii="宋体" w:hAnsi="宋体" w:eastAsia="宋体" w:cs="宋体"/>
          <w:spacing w:val="70"/>
          <w:sz w:val="24"/>
          <w:szCs w:val="24"/>
        </w:rPr>
        <w:t xml:space="preserve"> </w:t>
      </w:r>
      <w:r>
        <w:rPr>
          <w:rFonts w:ascii="宋体" w:hAnsi="宋体" w:eastAsia="宋体" w:cs="宋体"/>
          <w:spacing w:val="-12"/>
          <w:sz w:val="24"/>
          <w:szCs w:val="24"/>
        </w:rPr>
        <w:t>由第三方拍卖中标单位文</w:t>
      </w:r>
    </w:p>
    <w:p>
      <w:pPr>
        <w:spacing w:before="1" w:line="219" w:lineRule="auto"/>
        <w:ind w:left="124"/>
        <w:rPr>
          <w:rFonts w:ascii="宋体" w:hAnsi="宋体" w:eastAsia="宋体" w:cs="宋体"/>
          <w:sz w:val="24"/>
          <w:szCs w:val="24"/>
        </w:rPr>
      </w:pPr>
      <w:r>
        <w:rPr>
          <w:rFonts w:ascii="宋体" w:hAnsi="宋体" w:eastAsia="宋体" w:cs="宋体"/>
          <w:spacing w:val="-3"/>
          <w:sz w:val="24"/>
          <w:szCs w:val="24"/>
        </w:rPr>
        <w:t>成县龙翔混凝土有限公司进行处置。</w:t>
      </w:r>
    </w:p>
    <w:p>
      <w:pPr>
        <w:spacing w:before="183" w:line="220" w:lineRule="auto"/>
        <w:ind w:left="122"/>
        <w:rPr>
          <w:rFonts w:ascii="宋体" w:hAnsi="宋体" w:eastAsia="宋体" w:cs="宋体"/>
          <w:sz w:val="24"/>
          <w:szCs w:val="24"/>
        </w:rPr>
      </w:pPr>
      <w:r>
        <w:fldChar w:fldCharType="begin"/>
      </w:r>
      <w:r>
        <w:instrText xml:space="preserve"> HYPERLINK "3.8.2.2" </w:instrText>
      </w:r>
      <w:r>
        <w:fldChar w:fldCharType="separate"/>
      </w:r>
      <w:r>
        <w:rPr>
          <w:rFonts w:ascii="Times New Roman" w:hAnsi="Times New Roman" w:eastAsia="Times New Roman" w:cs="Times New Roman"/>
          <w:spacing w:val="-3"/>
          <w:sz w:val="24"/>
          <w:szCs w:val="24"/>
        </w:rPr>
        <w:t>3.8.2.2</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24"/>
          <w:w w:val="101"/>
          <w:sz w:val="24"/>
          <w:szCs w:val="24"/>
        </w:rPr>
        <w:t xml:space="preserve"> </w:t>
      </w:r>
      <w:r>
        <w:rPr>
          <w:rFonts w:ascii="宋体" w:hAnsi="宋体" w:eastAsia="宋体" w:cs="宋体"/>
          <w:spacing w:val="-3"/>
          <w:sz w:val="24"/>
          <w:szCs w:val="24"/>
        </w:rPr>
        <w:t>营运期</w:t>
      </w:r>
    </w:p>
    <w:p>
      <w:pPr>
        <w:spacing w:line="220" w:lineRule="auto"/>
        <w:rPr>
          <w:rFonts w:ascii="宋体" w:hAnsi="宋体" w:eastAsia="宋体" w:cs="宋体"/>
          <w:sz w:val="24"/>
          <w:szCs w:val="24"/>
        </w:rPr>
        <w:sectPr>
          <w:footerReference r:id="rId162" w:type="default"/>
          <w:pgSz w:w="11907" w:h="16839"/>
          <w:pgMar w:top="1118" w:right="1685" w:bottom="1184" w:left="1687" w:header="879" w:footer="1024" w:gutter="0"/>
          <w:cols w:space="720" w:num="1"/>
        </w:sectPr>
      </w:pPr>
    </w:p>
    <w:p>
      <w:pPr>
        <w:pStyle w:val="2"/>
        <w:spacing w:line="278" w:lineRule="auto"/>
      </w:pPr>
    </w:p>
    <w:p>
      <w:pPr>
        <w:spacing w:before="78" w:line="220" w:lineRule="auto"/>
        <w:ind w:left="536"/>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、噪声污染源</w:t>
      </w:r>
    </w:p>
    <w:p>
      <w:pPr>
        <w:spacing w:before="181"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）公路噪声源强</w:t>
      </w:r>
    </w:p>
    <w:p>
      <w:pPr>
        <w:spacing w:before="180" w:line="359" w:lineRule="auto"/>
        <w:ind w:left="38" w:firstLine="487"/>
        <w:rPr>
          <w:rFonts w:ascii="宋体" w:hAnsi="宋体" w:eastAsia="宋体" w:cs="宋体"/>
          <w:sz w:val="24"/>
          <w:szCs w:val="24"/>
        </w:rPr>
      </w:pPr>
      <w:r>
        <w:rPr>
          <w:rFonts w:ascii="宋体" w:hAnsi="宋体" w:eastAsia="宋体" w:cs="宋体"/>
          <w:spacing w:val="-10"/>
          <w:sz w:val="24"/>
          <w:szCs w:val="24"/>
        </w:rPr>
        <w:t>公路投入营运后， 在公路上行驶的机动车辆的噪声源为非稳</w:t>
      </w:r>
      <w:r>
        <w:rPr>
          <w:rFonts w:ascii="宋体" w:hAnsi="宋体" w:eastAsia="宋体" w:cs="宋体"/>
          <w:spacing w:val="-11"/>
          <w:sz w:val="24"/>
          <w:szCs w:val="24"/>
        </w:rPr>
        <w:t xml:space="preserve">态源， 车辆行驶 </w:t>
      </w:r>
      <w:r>
        <w:rPr>
          <w:rFonts w:ascii="宋体" w:hAnsi="宋体" w:eastAsia="宋体" w:cs="宋体"/>
          <w:spacing w:val="-10"/>
          <w:sz w:val="24"/>
          <w:szCs w:val="24"/>
        </w:rPr>
        <w:t>时其发动机、冷却系统以及传动系统等部件均会产生噪声；</w:t>
      </w:r>
      <w:r>
        <w:rPr>
          <w:rFonts w:ascii="宋体" w:hAnsi="宋体" w:eastAsia="宋体" w:cs="宋体"/>
          <w:spacing w:val="-22"/>
          <w:sz w:val="24"/>
          <w:szCs w:val="24"/>
        </w:rPr>
        <w:t xml:space="preserve"> </w:t>
      </w:r>
      <w:r>
        <w:rPr>
          <w:rFonts w:ascii="宋体" w:hAnsi="宋体" w:eastAsia="宋体" w:cs="宋体"/>
          <w:spacing w:val="-10"/>
          <w:sz w:val="24"/>
          <w:szCs w:val="24"/>
        </w:rPr>
        <w:t>行驶中引起气流湍动、</w:t>
      </w:r>
      <w:r>
        <w:rPr>
          <w:rFonts w:ascii="宋体" w:hAnsi="宋体" w:eastAsia="宋体" w:cs="宋体"/>
          <w:sz w:val="24"/>
          <w:szCs w:val="24"/>
        </w:rPr>
        <w:t xml:space="preserve"> </w:t>
      </w:r>
      <w:r>
        <w:rPr>
          <w:rFonts w:ascii="宋体" w:hAnsi="宋体" w:eastAsia="宋体" w:cs="宋体"/>
          <w:spacing w:val="-8"/>
          <w:sz w:val="24"/>
          <w:szCs w:val="24"/>
        </w:rPr>
        <w:t>排气系统、轮胎与路面的摩擦等也会产生噪声；</w:t>
      </w:r>
      <w:r>
        <w:rPr>
          <w:rFonts w:ascii="宋体" w:hAnsi="宋体" w:eastAsia="宋体" w:cs="宋体"/>
          <w:spacing w:val="46"/>
          <w:sz w:val="24"/>
          <w:szCs w:val="24"/>
        </w:rPr>
        <w:t xml:space="preserve"> </w:t>
      </w:r>
      <w:r>
        <w:rPr>
          <w:rFonts w:ascii="宋体" w:hAnsi="宋体" w:eastAsia="宋体" w:cs="宋体"/>
          <w:spacing w:val="-8"/>
          <w:sz w:val="24"/>
          <w:szCs w:val="24"/>
        </w:rPr>
        <w:t xml:space="preserve">由于公路路面平整度等原因而使 </w:t>
      </w:r>
      <w:r>
        <w:rPr>
          <w:rFonts w:ascii="宋体" w:hAnsi="宋体" w:eastAsia="宋体" w:cs="宋体"/>
          <w:spacing w:val="-3"/>
          <w:sz w:val="24"/>
          <w:szCs w:val="24"/>
        </w:rPr>
        <w:t>行驶中的汽车产生整车噪声。运营期各类车辆不同预测年份昼、夜平均辐射</w:t>
      </w:r>
      <w:r>
        <w:rPr>
          <w:rFonts w:ascii="宋体" w:hAnsi="宋体" w:eastAsia="宋体" w:cs="宋体"/>
          <w:spacing w:val="-4"/>
          <w:sz w:val="24"/>
          <w:szCs w:val="24"/>
        </w:rPr>
        <w:t>声级</w:t>
      </w:r>
    </w:p>
    <w:p>
      <w:pPr>
        <w:spacing w:line="219" w:lineRule="auto"/>
        <w:ind w:left="57"/>
        <w:rPr>
          <w:rFonts w:ascii="宋体" w:hAnsi="宋体" w:eastAsia="宋体" w:cs="宋体"/>
          <w:sz w:val="24"/>
          <w:szCs w:val="24"/>
        </w:rPr>
      </w:pPr>
      <w:r>
        <w:rPr>
          <w:rFonts w:ascii="宋体" w:hAnsi="宋体" w:eastAsia="宋体" w:cs="宋体"/>
          <w:spacing w:val="-2"/>
          <w:sz w:val="24"/>
          <w:szCs w:val="24"/>
        </w:rPr>
        <w:t>的计算方法见</w:t>
      </w:r>
      <w:r>
        <w:rPr>
          <w:rFonts w:ascii="Times New Roman" w:hAnsi="Times New Roman" w:eastAsia="Times New Roman" w:cs="Times New Roman"/>
          <w:spacing w:val="-2"/>
          <w:sz w:val="24"/>
          <w:szCs w:val="24"/>
        </w:rPr>
        <w:t xml:space="preserve">“5.3.2 </w:t>
      </w:r>
      <w:r>
        <w:rPr>
          <w:rFonts w:ascii="宋体" w:hAnsi="宋体" w:eastAsia="宋体" w:cs="宋体"/>
          <w:spacing w:val="-2"/>
          <w:sz w:val="24"/>
          <w:szCs w:val="24"/>
        </w:rPr>
        <w:t>节</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，工程各预测年份公路交通噪声源强见表</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3.8-8</w:t>
      </w:r>
      <w:r>
        <w:rPr>
          <w:rFonts w:ascii="宋体" w:hAnsi="宋体" w:eastAsia="宋体" w:cs="宋体"/>
          <w:spacing w:val="-2"/>
          <w:sz w:val="24"/>
          <w:szCs w:val="24"/>
        </w:rPr>
        <w:t>。</w:t>
      </w:r>
    </w:p>
    <w:p>
      <w:pPr>
        <w:spacing w:line="219" w:lineRule="auto"/>
        <w:rPr>
          <w:rFonts w:ascii="宋体" w:hAnsi="宋体" w:eastAsia="宋体" w:cs="宋体"/>
          <w:sz w:val="24"/>
          <w:szCs w:val="24"/>
        </w:rPr>
        <w:sectPr>
          <w:headerReference r:id="rId163" w:type="default"/>
          <w:footerReference r:id="rId164" w:type="default"/>
          <w:pgSz w:w="11907" w:h="16839"/>
          <w:pgMar w:top="1118" w:right="1716" w:bottom="1184" w:left="1771" w:header="879" w:footer="1024" w:gutter="0"/>
          <w:cols w:space="720" w:num="1"/>
        </w:sectPr>
      </w:pPr>
    </w:p>
    <w:p>
      <w:pPr>
        <w:pStyle w:val="2"/>
        <w:spacing w:line="244" w:lineRule="auto"/>
      </w:pPr>
    </w:p>
    <w:p>
      <w:pPr>
        <w:spacing w:before="78" w:line="220" w:lineRule="auto"/>
        <w:ind w:left="4216"/>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 xml:space="preserve">3.8-8      </w:t>
      </w:r>
      <w:r>
        <w:rPr>
          <w:rFonts w:ascii="宋体" w:hAnsi="宋体" w:eastAsia="宋体" w:cs="宋体"/>
          <w:spacing w:val="-4"/>
          <w:sz w:val="24"/>
          <w:szCs w:val="24"/>
        </w:rPr>
        <w:t xml:space="preserve">运营期各预测年份源强一览表（单位： </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5"/>
          <w:sz w:val="24"/>
          <w:szCs w:val="24"/>
        </w:rPr>
        <w:t>B</w:t>
      </w:r>
      <w:r>
        <w:rPr>
          <w:rFonts w:ascii="宋体" w:hAnsi="宋体" w:eastAsia="宋体" w:cs="宋体"/>
          <w:spacing w:val="-5"/>
          <w:sz w:val="24"/>
          <w:szCs w:val="24"/>
        </w:rPr>
        <w:t>（</w:t>
      </w:r>
      <w:r>
        <w:rPr>
          <w:rFonts w:ascii="Times New Roman" w:hAnsi="Times New Roman" w:eastAsia="Times New Roman" w:cs="Times New Roman"/>
          <w:spacing w:val="-5"/>
          <w:sz w:val="24"/>
          <w:szCs w:val="24"/>
        </w:rPr>
        <w:t>A</w:t>
      </w:r>
      <w:r>
        <w:rPr>
          <w:rFonts w:ascii="宋体" w:hAnsi="宋体" w:eastAsia="宋体" w:cs="宋体"/>
          <w:spacing w:val="-5"/>
          <w:sz w:val="24"/>
          <w:szCs w:val="24"/>
        </w:rPr>
        <w:t>））</w:t>
      </w:r>
    </w:p>
    <w:p>
      <w:pPr>
        <w:spacing w:line="143" w:lineRule="exact"/>
      </w:pPr>
    </w:p>
    <w:tbl>
      <w:tblPr>
        <w:tblStyle w:val="5"/>
        <w:tblW w:w="148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605"/>
        <w:gridCol w:w="852"/>
        <w:gridCol w:w="657"/>
        <w:gridCol w:w="657"/>
        <w:gridCol w:w="658"/>
        <w:gridCol w:w="657"/>
        <w:gridCol w:w="657"/>
        <w:gridCol w:w="657"/>
        <w:gridCol w:w="655"/>
        <w:gridCol w:w="665"/>
        <w:gridCol w:w="583"/>
        <w:gridCol w:w="581"/>
        <w:gridCol w:w="583"/>
        <w:gridCol w:w="581"/>
        <w:gridCol w:w="583"/>
        <w:gridCol w:w="591"/>
        <w:gridCol w:w="655"/>
        <w:gridCol w:w="657"/>
        <w:gridCol w:w="655"/>
        <w:gridCol w:w="657"/>
        <w:gridCol w:w="656"/>
        <w:gridCol w:w="6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58" w:type="dxa"/>
            <w:gridSpan w:val="2"/>
            <w:vMerge w:val="restart"/>
            <w:tcBorders>
              <w:bottom w:val="nil"/>
            </w:tcBorders>
            <w:vAlign w:val="top"/>
          </w:tcPr>
          <w:p>
            <w:pPr>
              <w:spacing w:line="383" w:lineRule="auto"/>
              <w:rPr>
                <w:rFonts w:ascii="Arial"/>
                <w:sz w:val="21"/>
              </w:rPr>
            </w:pPr>
          </w:p>
          <w:p>
            <w:pPr>
              <w:pStyle w:val="6"/>
              <w:spacing w:before="68" w:line="221" w:lineRule="auto"/>
              <w:ind w:left="424"/>
            </w:pPr>
            <w:r>
              <w:rPr>
                <w:spacing w:val="-2"/>
              </w:rPr>
              <w:t>路段</w:t>
            </w:r>
          </w:p>
        </w:tc>
        <w:tc>
          <w:tcPr>
            <w:tcW w:w="852" w:type="dxa"/>
            <w:vMerge w:val="restart"/>
            <w:tcBorders>
              <w:bottom w:val="nil"/>
            </w:tcBorders>
            <w:vAlign w:val="top"/>
          </w:tcPr>
          <w:p>
            <w:pPr>
              <w:spacing w:line="384" w:lineRule="auto"/>
              <w:rPr>
                <w:rFonts w:ascii="Arial"/>
                <w:sz w:val="21"/>
              </w:rPr>
            </w:pPr>
          </w:p>
          <w:p>
            <w:pPr>
              <w:pStyle w:val="6"/>
              <w:spacing w:before="68" w:line="221" w:lineRule="auto"/>
              <w:ind w:left="229"/>
            </w:pPr>
            <w:r>
              <w:rPr>
                <w:spacing w:val="-4"/>
              </w:rPr>
              <w:t>时期</w:t>
            </w:r>
          </w:p>
        </w:tc>
        <w:tc>
          <w:tcPr>
            <w:tcW w:w="5263" w:type="dxa"/>
            <w:gridSpan w:val="8"/>
            <w:vAlign w:val="top"/>
          </w:tcPr>
          <w:p>
            <w:pPr>
              <w:pStyle w:val="6"/>
              <w:spacing w:before="34" w:line="210" w:lineRule="auto"/>
              <w:ind w:left="1896"/>
            </w:pPr>
            <w:r>
              <w:rPr>
                <w:spacing w:val="-1"/>
              </w:rPr>
              <w:t>车流量</w:t>
            </w:r>
            <w:r>
              <w:rPr>
                <w:rFonts w:ascii="Times New Roman" w:hAnsi="Times New Roman" w:eastAsia="Times New Roman" w:cs="Times New Roman"/>
                <w:spacing w:val="-1"/>
              </w:rPr>
              <w:t>/</w:t>
            </w:r>
            <w:r>
              <w:rPr>
                <w:spacing w:val="-1"/>
              </w:rPr>
              <w:t>（辆</w:t>
            </w:r>
            <w:r>
              <w:rPr>
                <w:rFonts w:ascii="Times New Roman" w:hAnsi="Times New Roman" w:eastAsia="Times New Roman" w:cs="Times New Roman"/>
                <w:spacing w:val="-1"/>
              </w:rPr>
              <w:t>/h</w:t>
            </w:r>
            <w:r>
              <w:rPr>
                <w:spacing w:val="-1"/>
              </w:rPr>
              <w:t>）</w:t>
            </w:r>
          </w:p>
        </w:tc>
        <w:tc>
          <w:tcPr>
            <w:tcW w:w="3502" w:type="dxa"/>
            <w:gridSpan w:val="6"/>
            <w:vAlign w:val="top"/>
          </w:tcPr>
          <w:p>
            <w:pPr>
              <w:pStyle w:val="6"/>
              <w:spacing w:before="34" w:line="210" w:lineRule="auto"/>
              <w:ind w:left="1093"/>
            </w:pPr>
            <w:r>
              <w:rPr>
                <w:spacing w:val="-1"/>
              </w:rPr>
              <w:t>车速</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km/h</w:t>
            </w:r>
            <w:r>
              <w:rPr>
                <w:spacing w:val="-1"/>
              </w:rPr>
              <w:t>）</w:t>
            </w:r>
          </w:p>
        </w:tc>
        <w:tc>
          <w:tcPr>
            <w:tcW w:w="3949" w:type="dxa"/>
            <w:gridSpan w:val="6"/>
            <w:vAlign w:val="top"/>
          </w:tcPr>
          <w:p>
            <w:pPr>
              <w:pStyle w:val="6"/>
              <w:spacing w:before="34" w:line="210" w:lineRule="auto"/>
              <w:ind w:left="1616"/>
              <w:rPr>
                <w:rFonts w:ascii="Times New Roman" w:hAnsi="Times New Roman" w:eastAsia="Times New Roman" w:cs="Times New Roman"/>
              </w:rPr>
            </w:pPr>
            <w:r>
              <w:rPr>
                <w:spacing w:val="-1"/>
              </w:rPr>
              <w:t>源强</w:t>
            </w:r>
            <w:r>
              <w:rPr>
                <w:rFonts w:ascii="Times New Roman" w:hAnsi="Times New Roman" w:eastAsia="Times New Roman" w:cs="Times New Roman"/>
                <w:spacing w:val="-1"/>
              </w:rPr>
              <w:t>/dB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58" w:type="dxa"/>
            <w:gridSpan w:val="2"/>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1314" w:type="dxa"/>
            <w:gridSpan w:val="2"/>
            <w:vAlign w:val="top"/>
          </w:tcPr>
          <w:p>
            <w:pPr>
              <w:pStyle w:val="6"/>
              <w:spacing w:before="29" w:line="208" w:lineRule="auto"/>
              <w:ind w:left="349"/>
            </w:pPr>
            <w:r>
              <w:rPr>
                <w:spacing w:val="-3"/>
              </w:rPr>
              <w:t>小型车</w:t>
            </w:r>
          </w:p>
        </w:tc>
        <w:tc>
          <w:tcPr>
            <w:tcW w:w="1315" w:type="dxa"/>
            <w:gridSpan w:val="2"/>
            <w:vAlign w:val="top"/>
          </w:tcPr>
          <w:p>
            <w:pPr>
              <w:pStyle w:val="6"/>
              <w:spacing w:before="29" w:line="208" w:lineRule="auto"/>
              <w:ind w:left="365"/>
            </w:pPr>
            <w:r>
              <w:rPr>
                <w:spacing w:val="-6"/>
              </w:rPr>
              <w:t>中型车</w:t>
            </w:r>
          </w:p>
        </w:tc>
        <w:tc>
          <w:tcPr>
            <w:tcW w:w="1314" w:type="dxa"/>
            <w:gridSpan w:val="2"/>
            <w:vAlign w:val="top"/>
          </w:tcPr>
          <w:p>
            <w:pPr>
              <w:pStyle w:val="6"/>
              <w:spacing w:before="29" w:line="208" w:lineRule="auto"/>
              <w:ind w:left="348"/>
            </w:pPr>
            <w:r>
              <w:rPr>
                <w:spacing w:val="-2"/>
              </w:rPr>
              <w:t>大型车</w:t>
            </w:r>
          </w:p>
        </w:tc>
        <w:tc>
          <w:tcPr>
            <w:tcW w:w="1320" w:type="dxa"/>
            <w:gridSpan w:val="2"/>
            <w:vAlign w:val="top"/>
          </w:tcPr>
          <w:p>
            <w:pPr>
              <w:pStyle w:val="6"/>
              <w:spacing w:before="29" w:line="208" w:lineRule="auto"/>
              <w:ind w:left="456"/>
            </w:pPr>
            <w:r>
              <w:rPr>
                <w:spacing w:val="-2"/>
              </w:rPr>
              <w:t>合计</w:t>
            </w:r>
          </w:p>
        </w:tc>
        <w:tc>
          <w:tcPr>
            <w:tcW w:w="1164" w:type="dxa"/>
            <w:gridSpan w:val="2"/>
            <w:vAlign w:val="top"/>
          </w:tcPr>
          <w:p>
            <w:pPr>
              <w:pStyle w:val="6"/>
              <w:spacing w:before="29" w:line="208" w:lineRule="auto"/>
              <w:ind w:left="278"/>
            </w:pPr>
            <w:r>
              <w:rPr>
                <w:spacing w:val="-3"/>
              </w:rPr>
              <w:t>小型车</w:t>
            </w:r>
          </w:p>
        </w:tc>
        <w:tc>
          <w:tcPr>
            <w:tcW w:w="1164" w:type="dxa"/>
            <w:gridSpan w:val="2"/>
            <w:vAlign w:val="top"/>
          </w:tcPr>
          <w:p>
            <w:pPr>
              <w:pStyle w:val="6"/>
              <w:spacing w:before="29" w:line="208" w:lineRule="auto"/>
              <w:ind w:left="293"/>
            </w:pPr>
            <w:r>
              <w:rPr>
                <w:spacing w:val="-6"/>
              </w:rPr>
              <w:t>中型车</w:t>
            </w:r>
          </w:p>
        </w:tc>
        <w:tc>
          <w:tcPr>
            <w:tcW w:w="1174" w:type="dxa"/>
            <w:gridSpan w:val="2"/>
            <w:vAlign w:val="top"/>
          </w:tcPr>
          <w:p>
            <w:pPr>
              <w:pStyle w:val="6"/>
              <w:spacing w:before="29" w:line="208" w:lineRule="auto"/>
              <w:ind w:left="280"/>
            </w:pPr>
            <w:r>
              <w:rPr>
                <w:spacing w:val="-2"/>
              </w:rPr>
              <w:t>大型车</w:t>
            </w:r>
          </w:p>
        </w:tc>
        <w:tc>
          <w:tcPr>
            <w:tcW w:w="1312" w:type="dxa"/>
            <w:gridSpan w:val="2"/>
            <w:vAlign w:val="top"/>
          </w:tcPr>
          <w:p>
            <w:pPr>
              <w:pStyle w:val="6"/>
              <w:spacing w:before="29" w:line="208" w:lineRule="auto"/>
              <w:ind w:left="353"/>
            </w:pPr>
            <w:r>
              <w:rPr>
                <w:spacing w:val="-3"/>
              </w:rPr>
              <w:t>小型车</w:t>
            </w:r>
          </w:p>
        </w:tc>
        <w:tc>
          <w:tcPr>
            <w:tcW w:w="1312" w:type="dxa"/>
            <w:gridSpan w:val="2"/>
            <w:vAlign w:val="top"/>
          </w:tcPr>
          <w:p>
            <w:pPr>
              <w:pStyle w:val="6"/>
              <w:spacing w:before="29" w:line="208" w:lineRule="auto"/>
              <w:ind w:left="368"/>
            </w:pPr>
            <w:r>
              <w:rPr>
                <w:spacing w:val="-6"/>
              </w:rPr>
              <w:t>中型车</w:t>
            </w:r>
          </w:p>
        </w:tc>
        <w:tc>
          <w:tcPr>
            <w:tcW w:w="1325" w:type="dxa"/>
            <w:gridSpan w:val="2"/>
            <w:vAlign w:val="top"/>
          </w:tcPr>
          <w:p>
            <w:pPr>
              <w:pStyle w:val="6"/>
              <w:spacing w:before="29" w:line="208" w:lineRule="auto"/>
              <w:ind w:left="354"/>
            </w:pPr>
            <w:r>
              <w:rPr>
                <w:spacing w:val="-2"/>
              </w:rPr>
              <w:t>大型车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258" w:type="dxa"/>
            <w:gridSpan w:val="2"/>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657" w:type="dxa"/>
            <w:vAlign w:val="top"/>
          </w:tcPr>
          <w:p>
            <w:pPr>
              <w:pStyle w:val="6"/>
              <w:spacing w:before="166" w:line="223" w:lineRule="auto"/>
              <w:ind w:left="119"/>
            </w:pPr>
            <w:r>
              <w:rPr>
                <w:spacing w:val="-2"/>
              </w:rPr>
              <w:t>昼间</w:t>
            </w:r>
          </w:p>
        </w:tc>
        <w:tc>
          <w:tcPr>
            <w:tcW w:w="657" w:type="dxa"/>
            <w:vAlign w:val="top"/>
          </w:tcPr>
          <w:p>
            <w:pPr>
              <w:pStyle w:val="6"/>
              <w:spacing w:before="165" w:line="221" w:lineRule="auto"/>
              <w:ind w:left="124"/>
            </w:pPr>
            <w:r>
              <w:rPr>
                <w:spacing w:val="-3"/>
              </w:rPr>
              <w:t>夜间</w:t>
            </w:r>
          </w:p>
        </w:tc>
        <w:tc>
          <w:tcPr>
            <w:tcW w:w="658" w:type="dxa"/>
            <w:vAlign w:val="top"/>
          </w:tcPr>
          <w:p>
            <w:pPr>
              <w:pStyle w:val="6"/>
              <w:spacing w:before="166" w:line="223" w:lineRule="auto"/>
              <w:ind w:left="121"/>
            </w:pPr>
            <w:r>
              <w:rPr>
                <w:spacing w:val="-2"/>
              </w:rPr>
              <w:t>昼间</w:t>
            </w:r>
          </w:p>
        </w:tc>
        <w:tc>
          <w:tcPr>
            <w:tcW w:w="657" w:type="dxa"/>
            <w:vAlign w:val="top"/>
          </w:tcPr>
          <w:p>
            <w:pPr>
              <w:pStyle w:val="6"/>
              <w:spacing w:before="165" w:line="221" w:lineRule="auto"/>
              <w:ind w:left="125"/>
            </w:pPr>
            <w:r>
              <w:rPr>
                <w:spacing w:val="-3"/>
              </w:rPr>
              <w:t>夜间</w:t>
            </w:r>
          </w:p>
        </w:tc>
        <w:tc>
          <w:tcPr>
            <w:tcW w:w="657" w:type="dxa"/>
            <w:vAlign w:val="top"/>
          </w:tcPr>
          <w:p>
            <w:pPr>
              <w:pStyle w:val="6"/>
              <w:spacing w:before="166" w:line="223" w:lineRule="auto"/>
              <w:ind w:left="121"/>
            </w:pPr>
            <w:r>
              <w:rPr>
                <w:spacing w:val="-2"/>
              </w:rPr>
              <w:t>昼间</w:t>
            </w:r>
          </w:p>
        </w:tc>
        <w:tc>
          <w:tcPr>
            <w:tcW w:w="657" w:type="dxa"/>
            <w:vAlign w:val="top"/>
          </w:tcPr>
          <w:p>
            <w:pPr>
              <w:pStyle w:val="6"/>
              <w:spacing w:before="165" w:line="221" w:lineRule="auto"/>
              <w:ind w:left="126"/>
            </w:pPr>
            <w:r>
              <w:rPr>
                <w:spacing w:val="-3"/>
              </w:rPr>
              <w:t>夜间</w:t>
            </w:r>
          </w:p>
        </w:tc>
        <w:tc>
          <w:tcPr>
            <w:tcW w:w="655" w:type="dxa"/>
            <w:vAlign w:val="top"/>
          </w:tcPr>
          <w:p>
            <w:pPr>
              <w:pStyle w:val="6"/>
              <w:spacing w:before="166" w:line="223" w:lineRule="auto"/>
              <w:ind w:left="123"/>
            </w:pPr>
            <w:r>
              <w:rPr>
                <w:spacing w:val="-2"/>
              </w:rPr>
              <w:t>昼间</w:t>
            </w:r>
          </w:p>
        </w:tc>
        <w:tc>
          <w:tcPr>
            <w:tcW w:w="665" w:type="dxa"/>
            <w:vAlign w:val="top"/>
          </w:tcPr>
          <w:p>
            <w:pPr>
              <w:pStyle w:val="6"/>
              <w:spacing w:before="165" w:line="221" w:lineRule="auto"/>
              <w:ind w:left="132"/>
            </w:pPr>
            <w:r>
              <w:rPr>
                <w:spacing w:val="-3"/>
              </w:rPr>
              <w:t>夜间</w:t>
            </w:r>
          </w:p>
        </w:tc>
        <w:tc>
          <w:tcPr>
            <w:tcW w:w="583" w:type="dxa"/>
            <w:textDirection w:val="tbRlV"/>
            <w:vAlign w:val="top"/>
          </w:tcPr>
          <w:p>
            <w:pPr>
              <w:pStyle w:val="6"/>
              <w:spacing w:before="183" w:line="212" w:lineRule="auto"/>
              <w:ind w:left="31"/>
            </w:pPr>
            <w:r>
              <w:rPr>
                <w:spacing w:val="31"/>
              </w:rPr>
              <w:t>昼间</w:t>
            </w:r>
          </w:p>
        </w:tc>
        <w:tc>
          <w:tcPr>
            <w:tcW w:w="581" w:type="dxa"/>
            <w:textDirection w:val="tbRlV"/>
            <w:vAlign w:val="top"/>
          </w:tcPr>
          <w:p>
            <w:pPr>
              <w:pStyle w:val="6"/>
              <w:spacing w:before="181" w:line="206" w:lineRule="auto"/>
              <w:ind w:left="31"/>
            </w:pPr>
            <w:r>
              <w:rPr>
                <w:spacing w:val="31"/>
              </w:rPr>
              <w:t>夜间</w:t>
            </w:r>
          </w:p>
        </w:tc>
        <w:tc>
          <w:tcPr>
            <w:tcW w:w="583" w:type="dxa"/>
            <w:textDirection w:val="tbRlV"/>
            <w:vAlign w:val="top"/>
          </w:tcPr>
          <w:p>
            <w:pPr>
              <w:pStyle w:val="6"/>
              <w:spacing w:before="183" w:line="212" w:lineRule="auto"/>
              <w:ind w:left="31"/>
            </w:pPr>
            <w:r>
              <w:rPr>
                <w:spacing w:val="31"/>
              </w:rPr>
              <w:t>昼间</w:t>
            </w:r>
          </w:p>
        </w:tc>
        <w:tc>
          <w:tcPr>
            <w:tcW w:w="581" w:type="dxa"/>
            <w:textDirection w:val="tbRlV"/>
            <w:vAlign w:val="top"/>
          </w:tcPr>
          <w:p>
            <w:pPr>
              <w:pStyle w:val="6"/>
              <w:spacing w:before="181" w:line="206" w:lineRule="auto"/>
              <w:ind w:left="31"/>
            </w:pPr>
            <w:r>
              <w:rPr>
                <w:spacing w:val="31"/>
              </w:rPr>
              <w:t>夜间</w:t>
            </w:r>
          </w:p>
        </w:tc>
        <w:tc>
          <w:tcPr>
            <w:tcW w:w="583" w:type="dxa"/>
            <w:textDirection w:val="tbRlV"/>
            <w:vAlign w:val="top"/>
          </w:tcPr>
          <w:p>
            <w:pPr>
              <w:pStyle w:val="6"/>
              <w:spacing w:before="183" w:line="212" w:lineRule="auto"/>
              <w:ind w:left="31"/>
            </w:pPr>
            <w:r>
              <w:rPr>
                <w:spacing w:val="31"/>
              </w:rPr>
              <w:t>昼间</w:t>
            </w:r>
          </w:p>
        </w:tc>
        <w:tc>
          <w:tcPr>
            <w:tcW w:w="591" w:type="dxa"/>
            <w:textDirection w:val="tbRlV"/>
            <w:vAlign w:val="top"/>
          </w:tcPr>
          <w:p>
            <w:pPr>
              <w:pStyle w:val="6"/>
              <w:spacing w:before="186" w:line="206" w:lineRule="auto"/>
              <w:ind w:left="31"/>
            </w:pPr>
            <w:r>
              <w:rPr>
                <w:spacing w:val="31"/>
              </w:rPr>
              <w:t>夜间</w:t>
            </w:r>
          </w:p>
        </w:tc>
        <w:tc>
          <w:tcPr>
            <w:tcW w:w="655" w:type="dxa"/>
            <w:vAlign w:val="top"/>
          </w:tcPr>
          <w:p>
            <w:pPr>
              <w:pStyle w:val="6"/>
              <w:spacing w:before="166" w:line="223" w:lineRule="auto"/>
              <w:ind w:left="123"/>
            </w:pPr>
            <w:r>
              <w:rPr>
                <w:spacing w:val="-2"/>
              </w:rPr>
              <w:t>昼间</w:t>
            </w:r>
          </w:p>
        </w:tc>
        <w:tc>
          <w:tcPr>
            <w:tcW w:w="657" w:type="dxa"/>
            <w:vAlign w:val="top"/>
          </w:tcPr>
          <w:p>
            <w:pPr>
              <w:pStyle w:val="6"/>
              <w:spacing w:before="165" w:line="221" w:lineRule="auto"/>
              <w:ind w:left="128"/>
            </w:pPr>
            <w:r>
              <w:rPr>
                <w:spacing w:val="-3"/>
              </w:rPr>
              <w:t>夜间</w:t>
            </w:r>
          </w:p>
        </w:tc>
        <w:tc>
          <w:tcPr>
            <w:tcW w:w="655" w:type="dxa"/>
            <w:vAlign w:val="top"/>
          </w:tcPr>
          <w:p>
            <w:pPr>
              <w:pStyle w:val="6"/>
              <w:spacing w:before="166" w:line="223" w:lineRule="auto"/>
              <w:ind w:left="124"/>
            </w:pPr>
            <w:r>
              <w:rPr>
                <w:spacing w:val="-2"/>
              </w:rPr>
              <w:t>昼间</w:t>
            </w:r>
          </w:p>
        </w:tc>
        <w:tc>
          <w:tcPr>
            <w:tcW w:w="657" w:type="dxa"/>
            <w:vAlign w:val="top"/>
          </w:tcPr>
          <w:p>
            <w:pPr>
              <w:pStyle w:val="6"/>
              <w:spacing w:before="165" w:line="221" w:lineRule="auto"/>
              <w:ind w:left="129"/>
            </w:pPr>
            <w:r>
              <w:rPr>
                <w:spacing w:val="-3"/>
              </w:rPr>
              <w:t>夜间</w:t>
            </w:r>
          </w:p>
        </w:tc>
        <w:tc>
          <w:tcPr>
            <w:tcW w:w="656" w:type="dxa"/>
            <w:vAlign w:val="top"/>
          </w:tcPr>
          <w:p>
            <w:pPr>
              <w:pStyle w:val="6"/>
              <w:spacing w:before="166" w:line="223" w:lineRule="auto"/>
              <w:ind w:left="125"/>
            </w:pPr>
            <w:r>
              <w:rPr>
                <w:spacing w:val="-2"/>
              </w:rPr>
              <w:t>昼间</w:t>
            </w:r>
          </w:p>
        </w:tc>
        <w:tc>
          <w:tcPr>
            <w:tcW w:w="669" w:type="dxa"/>
            <w:vAlign w:val="top"/>
          </w:tcPr>
          <w:p>
            <w:pPr>
              <w:pStyle w:val="6"/>
              <w:spacing w:before="165" w:line="221" w:lineRule="auto"/>
              <w:ind w:left="134"/>
            </w:pPr>
            <w:r>
              <w:rPr>
                <w:spacing w:val="-3"/>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8" w:type="dxa"/>
            <w:gridSpan w:val="2"/>
            <w:vMerge w:val="restart"/>
            <w:tcBorders>
              <w:bottom w:val="nil"/>
            </w:tcBorders>
            <w:vAlign w:val="top"/>
          </w:tcPr>
          <w:p>
            <w:pPr>
              <w:pStyle w:val="6"/>
              <w:spacing w:before="232" w:line="231" w:lineRule="auto"/>
              <w:ind w:left="317" w:right="204" w:hanging="98"/>
            </w:pPr>
            <w:r>
              <w:rPr>
                <w:spacing w:val="-3"/>
              </w:rPr>
              <w:t>西坑互通</w:t>
            </w:r>
            <w:r>
              <w:t xml:space="preserve"> </w:t>
            </w:r>
            <w:r>
              <w:rPr>
                <w:spacing w:val="-2"/>
              </w:rPr>
              <w:t>连接线</w:t>
            </w:r>
          </w:p>
        </w:tc>
        <w:tc>
          <w:tcPr>
            <w:tcW w:w="852" w:type="dxa"/>
            <w:vAlign w:val="top"/>
          </w:tcPr>
          <w:p>
            <w:pPr>
              <w:pStyle w:val="6"/>
              <w:spacing w:before="48" w:line="221" w:lineRule="auto"/>
              <w:ind w:left="218"/>
            </w:pPr>
            <w:r>
              <w:rPr>
                <w:spacing w:val="-2"/>
              </w:rPr>
              <w:t>近期</w:t>
            </w:r>
          </w:p>
        </w:tc>
        <w:tc>
          <w:tcPr>
            <w:tcW w:w="657" w:type="dxa"/>
            <w:vAlign w:val="top"/>
          </w:tcPr>
          <w:p>
            <w:pPr>
              <w:spacing w:before="86"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657" w:type="dxa"/>
            <w:vAlign w:val="top"/>
          </w:tcPr>
          <w:p>
            <w:pPr>
              <w:spacing w:before="86"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658" w:type="dxa"/>
            <w:vAlign w:val="top"/>
          </w:tcPr>
          <w:p>
            <w:pPr>
              <w:spacing w:before="86"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657" w:type="dxa"/>
            <w:vAlign w:val="top"/>
          </w:tcPr>
          <w:p>
            <w:pPr>
              <w:spacing w:before="89" w:line="184"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57" w:type="dxa"/>
            <w:vAlign w:val="top"/>
          </w:tcPr>
          <w:p>
            <w:pPr>
              <w:spacing w:before="86"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657" w:type="dxa"/>
            <w:vAlign w:val="top"/>
          </w:tcPr>
          <w:p>
            <w:pPr>
              <w:spacing w:before="86"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655" w:type="dxa"/>
            <w:vAlign w:val="top"/>
          </w:tcPr>
          <w:p>
            <w:pPr>
              <w:spacing w:before="86"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135</w:t>
            </w:r>
          </w:p>
        </w:tc>
        <w:tc>
          <w:tcPr>
            <w:tcW w:w="665" w:type="dxa"/>
            <w:vAlign w:val="top"/>
          </w:tcPr>
          <w:p>
            <w:pPr>
              <w:spacing w:before="86"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583" w:type="dxa"/>
            <w:vAlign w:val="top"/>
          </w:tcPr>
          <w:p>
            <w:pPr>
              <w:spacing w:before="86"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81" w:type="dxa"/>
            <w:vAlign w:val="top"/>
          </w:tcPr>
          <w:p>
            <w:pPr>
              <w:spacing w:before="86"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83" w:type="dxa"/>
            <w:vAlign w:val="top"/>
          </w:tcPr>
          <w:p>
            <w:pPr>
              <w:spacing w:before="86"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81" w:type="dxa"/>
            <w:vAlign w:val="top"/>
          </w:tcPr>
          <w:p>
            <w:pPr>
              <w:spacing w:before="86"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83" w:type="dxa"/>
            <w:vAlign w:val="top"/>
          </w:tcPr>
          <w:p>
            <w:pPr>
              <w:spacing w:before="86"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91" w:type="dxa"/>
            <w:vAlign w:val="top"/>
          </w:tcPr>
          <w:p>
            <w:pPr>
              <w:spacing w:before="86"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55" w:type="dxa"/>
            <w:vAlign w:val="top"/>
          </w:tcPr>
          <w:p>
            <w:pPr>
              <w:spacing w:before="86" w:line="187" w:lineRule="auto"/>
              <w:ind w:left="1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60.1</w:t>
            </w:r>
          </w:p>
        </w:tc>
        <w:tc>
          <w:tcPr>
            <w:tcW w:w="657" w:type="dxa"/>
            <w:vAlign w:val="top"/>
          </w:tcPr>
          <w:p>
            <w:pPr>
              <w:spacing w:before="86"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54.7</w:t>
            </w:r>
          </w:p>
        </w:tc>
        <w:tc>
          <w:tcPr>
            <w:tcW w:w="655" w:type="dxa"/>
            <w:vAlign w:val="top"/>
          </w:tcPr>
          <w:p>
            <w:pPr>
              <w:spacing w:before="86"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59.6</w:t>
            </w:r>
          </w:p>
        </w:tc>
        <w:tc>
          <w:tcPr>
            <w:tcW w:w="657" w:type="dxa"/>
            <w:vAlign w:val="top"/>
          </w:tcPr>
          <w:p>
            <w:pPr>
              <w:spacing w:before="86"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w:t>
            </w:r>
          </w:p>
        </w:tc>
        <w:tc>
          <w:tcPr>
            <w:tcW w:w="656" w:type="dxa"/>
            <w:vAlign w:val="top"/>
          </w:tcPr>
          <w:p>
            <w:pPr>
              <w:spacing w:before="86"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67.3</w:t>
            </w:r>
          </w:p>
        </w:tc>
        <w:tc>
          <w:tcPr>
            <w:tcW w:w="669" w:type="dxa"/>
            <w:vAlign w:val="top"/>
          </w:tcPr>
          <w:p>
            <w:pPr>
              <w:spacing w:before="86" w:line="187"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58" w:type="dxa"/>
            <w:gridSpan w:val="2"/>
            <w:vMerge w:val="continue"/>
            <w:tcBorders>
              <w:top w:val="nil"/>
              <w:bottom w:val="nil"/>
            </w:tcBorders>
            <w:vAlign w:val="top"/>
          </w:tcPr>
          <w:p>
            <w:pPr>
              <w:rPr>
                <w:rFonts w:ascii="Arial"/>
                <w:sz w:val="21"/>
              </w:rPr>
            </w:pPr>
          </w:p>
        </w:tc>
        <w:tc>
          <w:tcPr>
            <w:tcW w:w="852" w:type="dxa"/>
            <w:vAlign w:val="top"/>
          </w:tcPr>
          <w:p>
            <w:pPr>
              <w:pStyle w:val="6"/>
              <w:spacing w:before="49" w:line="221" w:lineRule="auto"/>
              <w:ind w:left="239"/>
            </w:pPr>
            <w:r>
              <w:rPr>
                <w:spacing w:val="-7"/>
              </w:rPr>
              <w:t>中期</w:t>
            </w:r>
          </w:p>
        </w:tc>
        <w:tc>
          <w:tcPr>
            <w:tcW w:w="657" w:type="dxa"/>
            <w:vAlign w:val="top"/>
          </w:tcPr>
          <w:p>
            <w:pPr>
              <w:spacing w:before="88" w:line="187" w:lineRule="auto"/>
              <w:ind w:left="18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179</w:t>
            </w:r>
          </w:p>
        </w:tc>
        <w:tc>
          <w:tcPr>
            <w:tcW w:w="657" w:type="dxa"/>
            <w:vAlign w:val="top"/>
          </w:tcPr>
          <w:p>
            <w:pPr>
              <w:spacing w:before="88"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658" w:type="dxa"/>
            <w:vAlign w:val="top"/>
          </w:tcPr>
          <w:p>
            <w:pPr>
              <w:spacing w:before="88"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657" w:type="dxa"/>
            <w:vAlign w:val="top"/>
          </w:tcPr>
          <w:p>
            <w:pPr>
              <w:spacing w:before="88" w:line="187" w:lineRule="auto"/>
              <w:ind w:left="280"/>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657" w:type="dxa"/>
            <w:vAlign w:val="top"/>
          </w:tcPr>
          <w:p>
            <w:pPr>
              <w:spacing w:before="88"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tc>
        <w:tc>
          <w:tcPr>
            <w:tcW w:w="657" w:type="dxa"/>
            <w:vAlign w:val="top"/>
          </w:tcPr>
          <w:p>
            <w:pPr>
              <w:spacing w:before="88"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655" w:type="dxa"/>
            <w:vAlign w:val="top"/>
          </w:tcPr>
          <w:p>
            <w:pPr>
              <w:spacing w:before="88"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264</w:t>
            </w:r>
          </w:p>
        </w:tc>
        <w:tc>
          <w:tcPr>
            <w:tcW w:w="665" w:type="dxa"/>
            <w:vAlign w:val="top"/>
          </w:tcPr>
          <w:p>
            <w:pPr>
              <w:spacing w:before="91" w:line="184"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583" w:type="dxa"/>
            <w:vAlign w:val="top"/>
          </w:tcPr>
          <w:p>
            <w:pPr>
              <w:spacing w:before="88"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81" w:type="dxa"/>
            <w:vAlign w:val="top"/>
          </w:tcPr>
          <w:p>
            <w:pPr>
              <w:spacing w:before="88"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83" w:type="dxa"/>
            <w:vAlign w:val="top"/>
          </w:tcPr>
          <w:p>
            <w:pPr>
              <w:spacing w:before="88"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81" w:type="dxa"/>
            <w:vAlign w:val="top"/>
          </w:tcPr>
          <w:p>
            <w:pPr>
              <w:spacing w:before="88"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83" w:type="dxa"/>
            <w:vAlign w:val="top"/>
          </w:tcPr>
          <w:p>
            <w:pPr>
              <w:spacing w:before="88"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91" w:type="dxa"/>
            <w:vAlign w:val="top"/>
          </w:tcPr>
          <w:p>
            <w:pPr>
              <w:spacing w:before="88"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55" w:type="dxa"/>
            <w:vAlign w:val="top"/>
          </w:tcPr>
          <w:p>
            <w:pPr>
              <w:spacing w:before="88" w:line="187" w:lineRule="auto"/>
              <w:ind w:left="1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63.1</w:t>
            </w:r>
          </w:p>
        </w:tc>
        <w:tc>
          <w:tcPr>
            <w:tcW w:w="657" w:type="dxa"/>
            <w:vAlign w:val="top"/>
          </w:tcPr>
          <w:p>
            <w:pPr>
              <w:spacing w:before="88"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57.6</w:t>
            </w:r>
          </w:p>
        </w:tc>
        <w:tc>
          <w:tcPr>
            <w:tcW w:w="655" w:type="dxa"/>
            <w:vAlign w:val="top"/>
          </w:tcPr>
          <w:p>
            <w:pPr>
              <w:spacing w:before="88"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62.0</w:t>
            </w:r>
          </w:p>
        </w:tc>
        <w:tc>
          <w:tcPr>
            <w:tcW w:w="657" w:type="dxa"/>
            <w:vAlign w:val="top"/>
          </w:tcPr>
          <w:p>
            <w:pPr>
              <w:spacing w:before="88"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56.5</w:t>
            </w:r>
          </w:p>
        </w:tc>
        <w:tc>
          <w:tcPr>
            <w:tcW w:w="656" w:type="dxa"/>
            <w:vAlign w:val="top"/>
          </w:tcPr>
          <w:p>
            <w:pPr>
              <w:spacing w:before="88"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70.4</w:t>
            </w:r>
          </w:p>
        </w:tc>
        <w:tc>
          <w:tcPr>
            <w:tcW w:w="669" w:type="dxa"/>
            <w:vAlign w:val="top"/>
          </w:tcPr>
          <w:p>
            <w:pPr>
              <w:spacing w:before="88" w:line="187"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8" w:type="dxa"/>
            <w:gridSpan w:val="2"/>
            <w:vMerge w:val="continue"/>
            <w:tcBorders>
              <w:top w:val="nil"/>
            </w:tcBorders>
            <w:vAlign w:val="top"/>
          </w:tcPr>
          <w:p>
            <w:pPr>
              <w:rPr>
                <w:rFonts w:ascii="Arial"/>
                <w:sz w:val="21"/>
              </w:rPr>
            </w:pPr>
          </w:p>
        </w:tc>
        <w:tc>
          <w:tcPr>
            <w:tcW w:w="852" w:type="dxa"/>
            <w:vAlign w:val="top"/>
          </w:tcPr>
          <w:p>
            <w:pPr>
              <w:pStyle w:val="6"/>
              <w:spacing w:before="49" w:line="221" w:lineRule="auto"/>
              <w:ind w:left="219"/>
            </w:pPr>
            <w:r>
              <w:rPr>
                <w:spacing w:val="-2"/>
              </w:rPr>
              <w:t>远期</w:t>
            </w:r>
          </w:p>
        </w:tc>
        <w:tc>
          <w:tcPr>
            <w:tcW w:w="657" w:type="dxa"/>
            <w:vAlign w:val="top"/>
          </w:tcPr>
          <w:p>
            <w:pPr>
              <w:spacing w:before="87"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239</w:t>
            </w:r>
          </w:p>
        </w:tc>
        <w:tc>
          <w:tcPr>
            <w:tcW w:w="657" w:type="dxa"/>
            <w:vAlign w:val="top"/>
          </w:tcPr>
          <w:p>
            <w:pPr>
              <w:spacing w:before="87" w:line="187" w:lineRule="auto"/>
              <w:ind w:left="2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w:t>
            </w:r>
          </w:p>
        </w:tc>
        <w:tc>
          <w:tcPr>
            <w:tcW w:w="658" w:type="dxa"/>
            <w:vAlign w:val="top"/>
          </w:tcPr>
          <w:p>
            <w:pPr>
              <w:spacing w:before="87"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57" w:type="dxa"/>
            <w:vAlign w:val="top"/>
          </w:tcPr>
          <w:p>
            <w:pPr>
              <w:spacing w:before="87"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657" w:type="dxa"/>
            <w:vAlign w:val="top"/>
          </w:tcPr>
          <w:p>
            <w:pPr>
              <w:spacing w:before="87"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57" w:type="dxa"/>
            <w:vAlign w:val="top"/>
          </w:tcPr>
          <w:p>
            <w:pPr>
              <w:spacing w:before="87"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655" w:type="dxa"/>
            <w:vAlign w:val="top"/>
          </w:tcPr>
          <w:p>
            <w:pPr>
              <w:spacing w:before="87"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351</w:t>
            </w:r>
          </w:p>
        </w:tc>
        <w:tc>
          <w:tcPr>
            <w:tcW w:w="665" w:type="dxa"/>
            <w:vAlign w:val="top"/>
          </w:tcPr>
          <w:p>
            <w:pPr>
              <w:spacing w:before="87"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583" w:type="dxa"/>
            <w:vAlign w:val="top"/>
          </w:tcPr>
          <w:p>
            <w:pPr>
              <w:spacing w:before="87"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81" w:type="dxa"/>
            <w:vAlign w:val="top"/>
          </w:tcPr>
          <w:p>
            <w:pPr>
              <w:spacing w:before="87"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83" w:type="dxa"/>
            <w:vAlign w:val="top"/>
          </w:tcPr>
          <w:p>
            <w:pPr>
              <w:spacing w:before="87"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81" w:type="dxa"/>
            <w:vAlign w:val="top"/>
          </w:tcPr>
          <w:p>
            <w:pPr>
              <w:spacing w:before="87"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83" w:type="dxa"/>
            <w:vAlign w:val="top"/>
          </w:tcPr>
          <w:p>
            <w:pPr>
              <w:spacing w:before="87"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591" w:type="dxa"/>
            <w:vAlign w:val="top"/>
          </w:tcPr>
          <w:p>
            <w:pPr>
              <w:spacing w:before="87"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55" w:type="dxa"/>
            <w:vAlign w:val="top"/>
          </w:tcPr>
          <w:p>
            <w:pPr>
              <w:spacing w:before="87" w:line="187" w:lineRule="auto"/>
              <w:ind w:left="1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64.4</w:t>
            </w:r>
          </w:p>
        </w:tc>
        <w:tc>
          <w:tcPr>
            <w:tcW w:w="657" w:type="dxa"/>
            <w:vAlign w:val="top"/>
          </w:tcPr>
          <w:p>
            <w:pPr>
              <w:spacing w:before="87"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58.9</w:t>
            </w:r>
          </w:p>
        </w:tc>
        <w:tc>
          <w:tcPr>
            <w:tcW w:w="655" w:type="dxa"/>
            <w:vAlign w:val="top"/>
          </w:tcPr>
          <w:p>
            <w:pPr>
              <w:spacing w:before="87"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64.0</w:t>
            </w:r>
          </w:p>
        </w:tc>
        <w:tc>
          <w:tcPr>
            <w:tcW w:w="657" w:type="dxa"/>
            <w:vAlign w:val="top"/>
          </w:tcPr>
          <w:p>
            <w:pPr>
              <w:spacing w:before="87"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58.5</w:t>
            </w:r>
          </w:p>
        </w:tc>
        <w:tc>
          <w:tcPr>
            <w:tcW w:w="656" w:type="dxa"/>
            <w:vAlign w:val="top"/>
          </w:tcPr>
          <w:p>
            <w:pPr>
              <w:spacing w:before="87"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71.3</w:t>
            </w:r>
          </w:p>
        </w:tc>
        <w:tc>
          <w:tcPr>
            <w:tcW w:w="669" w:type="dxa"/>
            <w:vAlign w:val="top"/>
          </w:tcPr>
          <w:p>
            <w:pPr>
              <w:spacing w:before="87" w:line="187"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8" w:line="236" w:lineRule="auto"/>
              <w:ind w:left="122" w:right="113" w:firstLine="1"/>
              <w:jc w:val="both"/>
            </w:pPr>
            <w:r>
              <w:rPr>
                <w:spacing w:val="-5"/>
              </w:rPr>
              <w:t>景文</w:t>
            </w:r>
            <w:r>
              <w:t xml:space="preserve"> </w:t>
            </w:r>
            <w:r>
              <w:rPr>
                <w:spacing w:val="-4"/>
              </w:rPr>
              <w:t>高速</w:t>
            </w:r>
            <w:r>
              <w:t xml:space="preserve"> </w:t>
            </w:r>
            <w:r>
              <w:rPr>
                <w:spacing w:val="-10"/>
              </w:rPr>
              <w:t>（工</w:t>
            </w:r>
            <w:r>
              <w:t xml:space="preserve"> </w:t>
            </w:r>
            <w:r>
              <w:rPr>
                <w:spacing w:val="-4"/>
              </w:rPr>
              <w:t>可补</w:t>
            </w:r>
            <w:r>
              <w:t xml:space="preserve"> </w:t>
            </w:r>
            <w:r>
              <w:rPr>
                <w:spacing w:val="-6"/>
              </w:rPr>
              <w:t>充）</w:t>
            </w:r>
          </w:p>
        </w:tc>
        <w:tc>
          <w:tcPr>
            <w:tcW w:w="605" w:type="dxa"/>
            <w:vMerge w:val="restart"/>
            <w:tcBorders>
              <w:bottom w:val="nil"/>
            </w:tcBorders>
            <w:vAlign w:val="top"/>
          </w:tcPr>
          <w:p>
            <w:pPr>
              <w:pStyle w:val="6"/>
              <w:spacing w:before="30" w:line="241" w:lineRule="auto"/>
              <w:ind w:left="207"/>
            </w:pPr>
            <w:r>
              <w:t>东</w:t>
            </w:r>
          </w:p>
          <w:p>
            <w:pPr>
              <w:pStyle w:val="6"/>
              <w:spacing w:line="221" w:lineRule="auto"/>
              <w:ind w:left="145"/>
              <w:rPr>
                <w:rFonts w:ascii="Times New Roman" w:hAnsi="Times New Roman" w:eastAsia="Times New Roman" w:cs="Times New Roman"/>
              </w:rPr>
            </w:pPr>
            <w:r>
              <w:rPr>
                <w:spacing w:val="-4"/>
              </w:rPr>
              <w:t>坑</w:t>
            </w:r>
            <w:r>
              <w:rPr>
                <w:rFonts w:ascii="Times New Roman" w:hAnsi="Times New Roman" w:eastAsia="Times New Roman" w:cs="Times New Roman"/>
                <w:spacing w:val="-4"/>
              </w:rPr>
              <w:t>~</w:t>
            </w:r>
          </w:p>
          <w:p>
            <w:pPr>
              <w:pStyle w:val="6"/>
              <w:spacing w:before="19" w:line="224" w:lineRule="auto"/>
              <w:ind w:left="205"/>
            </w:pPr>
            <w:r>
              <w:t>西</w:t>
            </w:r>
          </w:p>
          <w:p>
            <w:pPr>
              <w:pStyle w:val="6"/>
              <w:spacing w:before="18" w:line="221" w:lineRule="auto"/>
              <w:ind w:left="200"/>
            </w:pPr>
            <w:r>
              <w:t>坑</w:t>
            </w:r>
          </w:p>
        </w:tc>
        <w:tc>
          <w:tcPr>
            <w:tcW w:w="852" w:type="dxa"/>
            <w:vAlign w:val="top"/>
          </w:tcPr>
          <w:p>
            <w:pPr>
              <w:pStyle w:val="6"/>
              <w:spacing w:before="52" w:line="221" w:lineRule="auto"/>
              <w:ind w:left="218"/>
            </w:pPr>
            <w:r>
              <w:rPr>
                <w:spacing w:val="-2"/>
              </w:rPr>
              <w:t>近期</w:t>
            </w:r>
          </w:p>
        </w:tc>
        <w:tc>
          <w:tcPr>
            <w:tcW w:w="657" w:type="dxa"/>
            <w:vAlign w:val="top"/>
          </w:tcPr>
          <w:p>
            <w:pPr>
              <w:spacing w:before="88"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379</w:t>
            </w:r>
          </w:p>
        </w:tc>
        <w:tc>
          <w:tcPr>
            <w:tcW w:w="657" w:type="dxa"/>
            <w:vAlign w:val="top"/>
          </w:tcPr>
          <w:p>
            <w:pPr>
              <w:spacing w:before="88"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108</w:t>
            </w:r>
          </w:p>
        </w:tc>
        <w:tc>
          <w:tcPr>
            <w:tcW w:w="658" w:type="dxa"/>
            <w:vAlign w:val="top"/>
          </w:tcPr>
          <w:p>
            <w:pPr>
              <w:spacing w:before="88" w:line="187" w:lineRule="auto"/>
              <w:ind w:left="2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w:t>
            </w:r>
          </w:p>
        </w:tc>
        <w:tc>
          <w:tcPr>
            <w:tcW w:w="657" w:type="dxa"/>
            <w:vAlign w:val="top"/>
          </w:tcPr>
          <w:p>
            <w:pPr>
              <w:spacing w:before="88"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657" w:type="dxa"/>
            <w:vAlign w:val="top"/>
          </w:tcPr>
          <w:p>
            <w:pPr>
              <w:spacing w:before="88"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119</w:t>
            </w:r>
          </w:p>
        </w:tc>
        <w:tc>
          <w:tcPr>
            <w:tcW w:w="657" w:type="dxa"/>
            <w:vAlign w:val="top"/>
          </w:tcPr>
          <w:p>
            <w:pPr>
              <w:spacing w:before="88"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655" w:type="dxa"/>
            <w:vAlign w:val="top"/>
          </w:tcPr>
          <w:p>
            <w:pPr>
              <w:spacing w:before="88"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565</w:t>
            </w:r>
          </w:p>
        </w:tc>
        <w:tc>
          <w:tcPr>
            <w:tcW w:w="665" w:type="dxa"/>
            <w:vAlign w:val="top"/>
          </w:tcPr>
          <w:p>
            <w:pPr>
              <w:spacing w:before="88"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161</w:t>
            </w:r>
          </w:p>
        </w:tc>
        <w:tc>
          <w:tcPr>
            <w:tcW w:w="583" w:type="dxa"/>
            <w:vAlign w:val="top"/>
          </w:tcPr>
          <w:p>
            <w:pPr>
              <w:spacing w:before="8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1" w:type="dxa"/>
            <w:vAlign w:val="top"/>
          </w:tcPr>
          <w:p>
            <w:pPr>
              <w:spacing w:before="8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3" w:type="dxa"/>
            <w:vAlign w:val="top"/>
          </w:tcPr>
          <w:p>
            <w:pPr>
              <w:spacing w:before="8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1" w:type="dxa"/>
            <w:vAlign w:val="top"/>
          </w:tcPr>
          <w:p>
            <w:pPr>
              <w:spacing w:before="8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3" w:type="dxa"/>
            <w:vAlign w:val="top"/>
          </w:tcPr>
          <w:p>
            <w:pPr>
              <w:spacing w:before="8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91" w:type="dxa"/>
            <w:vAlign w:val="top"/>
          </w:tcPr>
          <w:p>
            <w:pPr>
              <w:spacing w:before="88"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655" w:type="dxa"/>
            <w:vAlign w:val="top"/>
          </w:tcPr>
          <w:p>
            <w:pPr>
              <w:spacing w:before="88" w:line="187" w:lineRule="auto"/>
              <w:ind w:left="1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69.4</w:t>
            </w:r>
          </w:p>
        </w:tc>
        <w:tc>
          <w:tcPr>
            <w:tcW w:w="657" w:type="dxa"/>
            <w:vAlign w:val="top"/>
          </w:tcPr>
          <w:p>
            <w:pPr>
              <w:spacing w:before="88"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64.0</w:t>
            </w:r>
          </w:p>
        </w:tc>
        <w:tc>
          <w:tcPr>
            <w:tcW w:w="655" w:type="dxa"/>
            <w:vAlign w:val="top"/>
          </w:tcPr>
          <w:p>
            <w:pPr>
              <w:spacing w:before="88"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69.4</w:t>
            </w:r>
          </w:p>
        </w:tc>
        <w:tc>
          <w:tcPr>
            <w:tcW w:w="657" w:type="dxa"/>
            <w:vAlign w:val="top"/>
          </w:tcPr>
          <w:p>
            <w:pPr>
              <w:spacing w:before="88"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64.0</w:t>
            </w:r>
          </w:p>
        </w:tc>
        <w:tc>
          <w:tcPr>
            <w:tcW w:w="656" w:type="dxa"/>
            <w:vAlign w:val="top"/>
          </w:tcPr>
          <w:p>
            <w:pPr>
              <w:spacing w:before="88"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76.8</w:t>
            </w:r>
          </w:p>
        </w:tc>
        <w:tc>
          <w:tcPr>
            <w:tcW w:w="669" w:type="dxa"/>
            <w:vAlign w:val="top"/>
          </w:tcPr>
          <w:p>
            <w:pPr>
              <w:spacing w:before="88" w:line="187"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continue"/>
            <w:tcBorders>
              <w:top w:val="nil"/>
              <w:bottom w:val="nil"/>
            </w:tcBorders>
            <w:vAlign w:val="top"/>
          </w:tcPr>
          <w:p>
            <w:pPr>
              <w:rPr>
                <w:rFonts w:ascii="Arial"/>
                <w:sz w:val="21"/>
              </w:rPr>
            </w:pPr>
          </w:p>
        </w:tc>
        <w:tc>
          <w:tcPr>
            <w:tcW w:w="605" w:type="dxa"/>
            <w:vMerge w:val="continue"/>
            <w:tcBorders>
              <w:top w:val="nil"/>
              <w:bottom w:val="nil"/>
            </w:tcBorders>
            <w:vAlign w:val="top"/>
          </w:tcPr>
          <w:p>
            <w:pPr>
              <w:rPr>
                <w:rFonts w:ascii="Arial"/>
                <w:sz w:val="21"/>
              </w:rPr>
            </w:pPr>
          </w:p>
        </w:tc>
        <w:tc>
          <w:tcPr>
            <w:tcW w:w="852" w:type="dxa"/>
            <w:vAlign w:val="top"/>
          </w:tcPr>
          <w:p>
            <w:pPr>
              <w:pStyle w:val="6"/>
              <w:spacing w:before="52" w:line="221" w:lineRule="auto"/>
              <w:ind w:left="239"/>
            </w:pPr>
            <w:r>
              <w:rPr>
                <w:spacing w:val="-7"/>
              </w:rPr>
              <w:t>中期</w:t>
            </w:r>
          </w:p>
        </w:tc>
        <w:tc>
          <w:tcPr>
            <w:tcW w:w="657" w:type="dxa"/>
            <w:vAlign w:val="top"/>
          </w:tcPr>
          <w:p>
            <w:pPr>
              <w:spacing w:before="87"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579</w:t>
            </w:r>
          </w:p>
        </w:tc>
        <w:tc>
          <w:tcPr>
            <w:tcW w:w="657" w:type="dxa"/>
            <w:vAlign w:val="top"/>
          </w:tcPr>
          <w:p>
            <w:pPr>
              <w:spacing w:before="87"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165</w:t>
            </w:r>
          </w:p>
        </w:tc>
        <w:tc>
          <w:tcPr>
            <w:tcW w:w="658" w:type="dxa"/>
            <w:vAlign w:val="top"/>
          </w:tcPr>
          <w:p>
            <w:pPr>
              <w:spacing w:before="87"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103</w:t>
            </w:r>
          </w:p>
        </w:tc>
        <w:tc>
          <w:tcPr>
            <w:tcW w:w="657" w:type="dxa"/>
            <w:vAlign w:val="top"/>
          </w:tcPr>
          <w:p>
            <w:pPr>
              <w:spacing w:before="87"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657" w:type="dxa"/>
            <w:vAlign w:val="top"/>
          </w:tcPr>
          <w:p>
            <w:pPr>
              <w:spacing w:before="87"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188</w:t>
            </w:r>
          </w:p>
        </w:tc>
        <w:tc>
          <w:tcPr>
            <w:tcW w:w="657" w:type="dxa"/>
            <w:vAlign w:val="top"/>
          </w:tcPr>
          <w:p>
            <w:pPr>
              <w:spacing w:before="87"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655" w:type="dxa"/>
            <w:vAlign w:val="top"/>
          </w:tcPr>
          <w:p>
            <w:pPr>
              <w:spacing w:before="87" w:line="187" w:lineRule="auto"/>
              <w:ind w:left="18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855</w:t>
            </w:r>
          </w:p>
        </w:tc>
        <w:tc>
          <w:tcPr>
            <w:tcW w:w="665" w:type="dxa"/>
            <w:vAlign w:val="top"/>
          </w:tcPr>
          <w:p>
            <w:pPr>
              <w:spacing w:before="88"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244</w:t>
            </w:r>
          </w:p>
        </w:tc>
        <w:tc>
          <w:tcPr>
            <w:tcW w:w="583" w:type="dxa"/>
            <w:vAlign w:val="top"/>
          </w:tcPr>
          <w:p>
            <w:pPr>
              <w:spacing w:before="87"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1" w:type="dxa"/>
            <w:vAlign w:val="top"/>
          </w:tcPr>
          <w:p>
            <w:pPr>
              <w:spacing w:before="87"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3" w:type="dxa"/>
            <w:vAlign w:val="top"/>
          </w:tcPr>
          <w:p>
            <w:pPr>
              <w:spacing w:before="87"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1" w:type="dxa"/>
            <w:vAlign w:val="top"/>
          </w:tcPr>
          <w:p>
            <w:pPr>
              <w:spacing w:before="87"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3" w:type="dxa"/>
            <w:vAlign w:val="top"/>
          </w:tcPr>
          <w:p>
            <w:pPr>
              <w:spacing w:before="87"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91" w:type="dxa"/>
            <w:vAlign w:val="top"/>
          </w:tcPr>
          <w:p>
            <w:pPr>
              <w:spacing w:before="87"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655" w:type="dxa"/>
            <w:vAlign w:val="top"/>
          </w:tcPr>
          <w:p>
            <w:pPr>
              <w:spacing w:before="87"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71.3</w:t>
            </w:r>
          </w:p>
        </w:tc>
        <w:tc>
          <w:tcPr>
            <w:tcW w:w="657" w:type="dxa"/>
            <w:vAlign w:val="top"/>
          </w:tcPr>
          <w:p>
            <w:pPr>
              <w:spacing w:before="87"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65.8</w:t>
            </w:r>
          </w:p>
        </w:tc>
        <w:tc>
          <w:tcPr>
            <w:tcW w:w="655" w:type="dxa"/>
            <w:vAlign w:val="top"/>
          </w:tcPr>
          <w:p>
            <w:pPr>
              <w:spacing w:before="87" w:line="187" w:lineRule="auto"/>
              <w:ind w:left="1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70.9</w:t>
            </w:r>
          </w:p>
        </w:tc>
        <w:tc>
          <w:tcPr>
            <w:tcW w:w="657" w:type="dxa"/>
            <w:vAlign w:val="top"/>
          </w:tcPr>
          <w:p>
            <w:pPr>
              <w:spacing w:before="87"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65.4</w:t>
            </w:r>
          </w:p>
        </w:tc>
        <w:tc>
          <w:tcPr>
            <w:tcW w:w="656" w:type="dxa"/>
            <w:vAlign w:val="top"/>
          </w:tcPr>
          <w:p>
            <w:pPr>
              <w:spacing w:before="87"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78.8</w:t>
            </w:r>
          </w:p>
        </w:tc>
        <w:tc>
          <w:tcPr>
            <w:tcW w:w="669" w:type="dxa"/>
            <w:vAlign w:val="top"/>
          </w:tcPr>
          <w:p>
            <w:pPr>
              <w:spacing w:before="87" w:line="187"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653" w:type="dxa"/>
            <w:vMerge w:val="continue"/>
            <w:tcBorders>
              <w:top w:val="nil"/>
              <w:bottom w:val="nil"/>
            </w:tcBorders>
            <w:vAlign w:val="top"/>
          </w:tcPr>
          <w:p>
            <w:pPr>
              <w:rPr>
                <w:rFonts w:ascii="Arial"/>
                <w:sz w:val="21"/>
              </w:rPr>
            </w:pPr>
          </w:p>
        </w:tc>
        <w:tc>
          <w:tcPr>
            <w:tcW w:w="605" w:type="dxa"/>
            <w:vMerge w:val="continue"/>
            <w:tcBorders>
              <w:top w:val="nil"/>
            </w:tcBorders>
            <w:vAlign w:val="top"/>
          </w:tcPr>
          <w:p>
            <w:pPr>
              <w:rPr>
                <w:rFonts w:ascii="Arial"/>
                <w:sz w:val="21"/>
              </w:rPr>
            </w:pPr>
          </w:p>
        </w:tc>
        <w:tc>
          <w:tcPr>
            <w:tcW w:w="852" w:type="dxa"/>
            <w:vAlign w:val="top"/>
          </w:tcPr>
          <w:p>
            <w:pPr>
              <w:pStyle w:val="6"/>
              <w:spacing w:before="239" w:line="221" w:lineRule="auto"/>
              <w:ind w:left="219"/>
            </w:pPr>
            <w:r>
              <w:rPr>
                <w:spacing w:val="-2"/>
              </w:rPr>
              <w:t>远期</w:t>
            </w:r>
          </w:p>
        </w:tc>
        <w:tc>
          <w:tcPr>
            <w:tcW w:w="657" w:type="dxa"/>
            <w:vAlign w:val="top"/>
          </w:tcPr>
          <w:p>
            <w:pPr>
              <w:spacing w:before="278"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787</w:t>
            </w:r>
          </w:p>
        </w:tc>
        <w:tc>
          <w:tcPr>
            <w:tcW w:w="657" w:type="dxa"/>
            <w:vAlign w:val="top"/>
          </w:tcPr>
          <w:p>
            <w:pPr>
              <w:spacing w:before="278"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225</w:t>
            </w:r>
          </w:p>
        </w:tc>
        <w:tc>
          <w:tcPr>
            <w:tcW w:w="658" w:type="dxa"/>
            <w:vAlign w:val="top"/>
          </w:tcPr>
          <w:p>
            <w:pPr>
              <w:spacing w:before="278"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165</w:t>
            </w:r>
          </w:p>
        </w:tc>
        <w:tc>
          <w:tcPr>
            <w:tcW w:w="657" w:type="dxa"/>
            <w:vAlign w:val="top"/>
          </w:tcPr>
          <w:p>
            <w:pPr>
              <w:spacing w:before="27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657" w:type="dxa"/>
            <w:vAlign w:val="top"/>
          </w:tcPr>
          <w:p>
            <w:pPr>
              <w:spacing w:before="278"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231</w:t>
            </w:r>
          </w:p>
        </w:tc>
        <w:tc>
          <w:tcPr>
            <w:tcW w:w="657" w:type="dxa"/>
            <w:vAlign w:val="top"/>
          </w:tcPr>
          <w:p>
            <w:pPr>
              <w:spacing w:before="278"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w:t>
            </w:r>
          </w:p>
        </w:tc>
        <w:tc>
          <w:tcPr>
            <w:tcW w:w="655" w:type="dxa"/>
            <w:vAlign w:val="top"/>
          </w:tcPr>
          <w:p>
            <w:pPr>
              <w:spacing w:before="278" w:line="187" w:lineRule="auto"/>
              <w:ind w:left="14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1157</w:t>
            </w:r>
          </w:p>
        </w:tc>
        <w:tc>
          <w:tcPr>
            <w:tcW w:w="665" w:type="dxa"/>
            <w:vAlign w:val="top"/>
          </w:tcPr>
          <w:p>
            <w:pPr>
              <w:spacing w:before="278"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331</w:t>
            </w:r>
          </w:p>
        </w:tc>
        <w:tc>
          <w:tcPr>
            <w:tcW w:w="583" w:type="dxa"/>
            <w:vAlign w:val="top"/>
          </w:tcPr>
          <w:p>
            <w:pPr>
              <w:spacing w:before="27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1" w:type="dxa"/>
            <w:vAlign w:val="top"/>
          </w:tcPr>
          <w:p>
            <w:pPr>
              <w:spacing w:before="27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3" w:type="dxa"/>
            <w:vAlign w:val="top"/>
          </w:tcPr>
          <w:p>
            <w:pPr>
              <w:spacing w:before="27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1" w:type="dxa"/>
            <w:vAlign w:val="top"/>
          </w:tcPr>
          <w:p>
            <w:pPr>
              <w:spacing w:before="27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3" w:type="dxa"/>
            <w:vAlign w:val="top"/>
          </w:tcPr>
          <w:p>
            <w:pPr>
              <w:spacing w:before="27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91" w:type="dxa"/>
            <w:vAlign w:val="top"/>
          </w:tcPr>
          <w:p>
            <w:pPr>
              <w:spacing w:before="278"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655" w:type="dxa"/>
            <w:vAlign w:val="top"/>
          </w:tcPr>
          <w:p>
            <w:pPr>
              <w:spacing w:before="278"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72.6</w:t>
            </w:r>
          </w:p>
        </w:tc>
        <w:tc>
          <w:tcPr>
            <w:tcW w:w="657" w:type="dxa"/>
            <w:vAlign w:val="top"/>
          </w:tcPr>
          <w:p>
            <w:pPr>
              <w:spacing w:before="278"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67.2</w:t>
            </w:r>
          </w:p>
        </w:tc>
        <w:tc>
          <w:tcPr>
            <w:tcW w:w="655" w:type="dxa"/>
            <w:vAlign w:val="top"/>
          </w:tcPr>
          <w:p>
            <w:pPr>
              <w:spacing w:before="278" w:line="187" w:lineRule="auto"/>
              <w:ind w:left="1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73.0</w:t>
            </w:r>
          </w:p>
        </w:tc>
        <w:tc>
          <w:tcPr>
            <w:tcW w:w="657" w:type="dxa"/>
            <w:vAlign w:val="top"/>
          </w:tcPr>
          <w:p>
            <w:pPr>
              <w:spacing w:before="278"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67.5</w:t>
            </w:r>
          </w:p>
        </w:tc>
        <w:tc>
          <w:tcPr>
            <w:tcW w:w="656" w:type="dxa"/>
            <w:vAlign w:val="top"/>
          </w:tcPr>
          <w:p>
            <w:pPr>
              <w:spacing w:before="278"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79.7</w:t>
            </w:r>
          </w:p>
        </w:tc>
        <w:tc>
          <w:tcPr>
            <w:tcW w:w="669" w:type="dxa"/>
            <w:vAlign w:val="top"/>
          </w:tcPr>
          <w:p>
            <w:pPr>
              <w:spacing w:before="278" w:line="187"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continue"/>
            <w:tcBorders>
              <w:top w:val="nil"/>
              <w:bottom w:val="nil"/>
            </w:tcBorders>
            <w:vAlign w:val="top"/>
          </w:tcPr>
          <w:p>
            <w:pPr>
              <w:rPr>
                <w:rFonts w:ascii="Arial"/>
                <w:sz w:val="21"/>
              </w:rPr>
            </w:pPr>
          </w:p>
        </w:tc>
        <w:tc>
          <w:tcPr>
            <w:tcW w:w="605" w:type="dxa"/>
            <w:vMerge w:val="restart"/>
            <w:tcBorders>
              <w:bottom w:val="nil"/>
            </w:tcBorders>
            <w:vAlign w:val="top"/>
          </w:tcPr>
          <w:p>
            <w:pPr>
              <w:pStyle w:val="6"/>
              <w:spacing w:before="30" w:line="239" w:lineRule="auto"/>
              <w:ind w:left="205"/>
            </w:pPr>
            <w:r>
              <w:t>西</w:t>
            </w:r>
          </w:p>
          <w:p>
            <w:pPr>
              <w:pStyle w:val="6"/>
              <w:spacing w:line="221" w:lineRule="auto"/>
              <w:ind w:left="145"/>
              <w:rPr>
                <w:rFonts w:ascii="Times New Roman" w:hAnsi="Times New Roman" w:eastAsia="Times New Roman" w:cs="Times New Roman"/>
              </w:rPr>
            </w:pPr>
            <w:r>
              <w:rPr>
                <w:spacing w:val="-4"/>
              </w:rPr>
              <w:t>坑</w:t>
            </w:r>
            <w:r>
              <w:rPr>
                <w:rFonts w:ascii="Times New Roman" w:hAnsi="Times New Roman" w:eastAsia="Times New Roman" w:cs="Times New Roman"/>
                <w:spacing w:val="-4"/>
              </w:rPr>
              <w:t>~</w:t>
            </w:r>
          </w:p>
          <w:p>
            <w:pPr>
              <w:pStyle w:val="6"/>
              <w:spacing w:before="21" w:line="223" w:lineRule="auto"/>
              <w:ind w:left="202"/>
            </w:pPr>
            <w:r>
              <w:t>文</w:t>
            </w:r>
          </w:p>
          <w:p>
            <w:pPr>
              <w:pStyle w:val="6"/>
              <w:spacing w:before="17" w:line="222" w:lineRule="auto"/>
              <w:ind w:left="202"/>
            </w:pPr>
            <w:r>
              <w:t>成</w:t>
            </w:r>
          </w:p>
          <w:p>
            <w:pPr>
              <w:pStyle w:val="6"/>
              <w:spacing w:before="21" w:line="221" w:lineRule="auto"/>
              <w:ind w:left="199"/>
            </w:pPr>
            <w:r>
              <w:t>枢</w:t>
            </w:r>
          </w:p>
          <w:p>
            <w:pPr>
              <w:pStyle w:val="6"/>
              <w:spacing w:before="20" w:line="207" w:lineRule="auto"/>
              <w:ind w:left="205"/>
            </w:pPr>
            <w:r>
              <w:t>纽</w:t>
            </w:r>
          </w:p>
        </w:tc>
        <w:tc>
          <w:tcPr>
            <w:tcW w:w="852" w:type="dxa"/>
            <w:vAlign w:val="top"/>
          </w:tcPr>
          <w:p>
            <w:pPr>
              <w:pStyle w:val="6"/>
              <w:spacing w:before="50" w:line="221" w:lineRule="auto"/>
              <w:ind w:left="218"/>
            </w:pPr>
            <w:r>
              <w:rPr>
                <w:spacing w:val="-2"/>
              </w:rPr>
              <w:t>近期</w:t>
            </w:r>
          </w:p>
        </w:tc>
        <w:tc>
          <w:tcPr>
            <w:tcW w:w="657" w:type="dxa"/>
            <w:vAlign w:val="top"/>
          </w:tcPr>
          <w:p>
            <w:pPr>
              <w:spacing w:before="88"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383</w:t>
            </w:r>
          </w:p>
        </w:tc>
        <w:tc>
          <w:tcPr>
            <w:tcW w:w="657" w:type="dxa"/>
            <w:vAlign w:val="top"/>
          </w:tcPr>
          <w:p>
            <w:pPr>
              <w:spacing w:before="88"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109</w:t>
            </w:r>
          </w:p>
        </w:tc>
        <w:tc>
          <w:tcPr>
            <w:tcW w:w="658" w:type="dxa"/>
            <w:vAlign w:val="top"/>
          </w:tcPr>
          <w:p>
            <w:pPr>
              <w:spacing w:before="88" w:line="187" w:lineRule="auto"/>
              <w:ind w:left="2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w:t>
            </w:r>
          </w:p>
        </w:tc>
        <w:tc>
          <w:tcPr>
            <w:tcW w:w="657" w:type="dxa"/>
            <w:vAlign w:val="top"/>
          </w:tcPr>
          <w:p>
            <w:pPr>
              <w:spacing w:before="89"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657" w:type="dxa"/>
            <w:vAlign w:val="top"/>
          </w:tcPr>
          <w:p>
            <w:pPr>
              <w:spacing w:before="88"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657" w:type="dxa"/>
            <w:vAlign w:val="top"/>
          </w:tcPr>
          <w:p>
            <w:pPr>
              <w:spacing w:before="88"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655" w:type="dxa"/>
            <w:vAlign w:val="top"/>
          </w:tcPr>
          <w:p>
            <w:pPr>
              <w:spacing w:before="88"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571</w:t>
            </w:r>
          </w:p>
        </w:tc>
        <w:tc>
          <w:tcPr>
            <w:tcW w:w="665" w:type="dxa"/>
            <w:vAlign w:val="top"/>
          </w:tcPr>
          <w:p>
            <w:pPr>
              <w:spacing w:before="88"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163</w:t>
            </w:r>
          </w:p>
        </w:tc>
        <w:tc>
          <w:tcPr>
            <w:tcW w:w="583" w:type="dxa"/>
            <w:vAlign w:val="top"/>
          </w:tcPr>
          <w:p>
            <w:pPr>
              <w:spacing w:before="8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1" w:type="dxa"/>
            <w:vAlign w:val="top"/>
          </w:tcPr>
          <w:p>
            <w:pPr>
              <w:spacing w:before="8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3" w:type="dxa"/>
            <w:vAlign w:val="top"/>
          </w:tcPr>
          <w:p>
            <w:pPr>
              <w:spacing w:before="8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1" w:type="dxa"/>
            <w:vAlign w:val="top"/>
          </w:tcPr>
          <w:p>
            <w:pPr>
              <w:spacing w:before="8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3" w:type="dxa"/>
            <w:vAlign w:val="top"/>
          </w:tcPr>
          <w:p>
            <w:pPr>
              <w:spacing w:before="8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91" w:type="dxa"/>
            <w:vAlign w:val="top"/>
          </w:tcPr>
          <w:p>
            <w:pPr>
              <w:spacing w:before="88"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655" w:type="dxa"/>
            <w:vAlign w:val="top"/>
          </w:tcPr>
          <w:p>
            <w:pPr>
              <w:spacing w:before="88" w:line="187" w:lineRule="auto"/>
              <w:ind w:left="1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69.5</w:t>
            </w:r>
          </w:p>
        </w:tc>
        <w:tc>
          <w:tcPr>
            <w:tcW w:w="657" w:type="dxa"/>
            <w:vAlign w:val="top"/>
          </w:tcPr>
          <w:p>
            <w:pPr>
              <w:spacing w:before="88"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64.0</w:t>
            </w:r>
          </w:p>
        </w:tc>
        <w:tc>
          <w:tcPr>
            <w:tcW w:w="655" w:type="dxa"/>
            <w:vAlign w:val="top"/>
          </w:tcPr>
          <w:p>
            <w:pPr>
              <w:spacing w:before="88"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69.5</w:t>
            </w:r>
          </w:p>
        </w:tc>
        <w:tc>
          <w:tcPr>
            <w:tcW w:w="657" w:type="dxa"/>
            <w:vAlign w:val="top"/>
          </w:tcPr>
          <w:p>
            <w:pPr>
              <w:spacing w:before="88"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64.0</w:t>
            </w:r>
          </w:p>
        </w:tc>
        <w:tc>
          <w:tcPr>
            <w:tcW w:w="656" w:type="dxa"/>
            <w:vAlign w:val="top"/>
          </w:tcPr>
          <w:p>
            <w:pPr>
              <w:spacing w:before="88"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76.9</w:t>
            </w:r>
          </w:p>
        </w:tc>
        <w:tc>
          <w:tcPr>
            <w:tcW w:w="669" w:type="dxa"/>
            <w:vAlign w:val="top"/>
          </w:tcPr>
          <w:p>
            <w:pPr>
              <w:spacing w:before="88" w:line="187"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Merge w:val="continue"/>
            <w:tcBorders>
              <w:top w:val="nil"/>
              <w:bottom w:val="nil"/>
            </w:tcBorders>
            <w:vAlign w:val="top"/>
          </w:tcPr>
          <w:p>
            <w:pPr>
              <w:rPr>
                <w:rFonts w:ascii="Arial"/>
                <w:sz w:val="21"/>
              </w:rPr>
            </w:pPr>
          </w:p>
        </w:tc>
        <w:tc>
          <w:tcPr>
            <w:tcW w:w="605" w:type="dxa"/>
            <w:vMerge w:val="continue"/>
            <w:tcBorders>
              <w:top w:val="nil"/>
              <w:bottom w:val="nil"/>
            </w:tcBorders>
            <w:vAlign w:val="top"/>
          </w:tcPr>
          <w:p>
            <w:pPr>
              <w:rPr>
                <w:rFonts w:ascii="Arial"/>
                <w:sz w:val="21"/>
              </w:rPr>
            </w:pPr>
          </w:p>
        </w:tc>
        <w:tc>
          <w:tcPr>
            <w:tcW w:w="852" w:type="dxa"/>
            <w:vAlign w:val="top"/>
          </w:tcPr>
          <w:p>
            <w:pPr>
              <w:pStyle w:val="6"/>
              <w:spacing w:before="51" w:line="221" w:lineRule="auto"/>
              <w:ind w:left="239"/>
            </w:pPr>
            <w:r>
              <w:rPr>
                <w:spacing w:val="-7"/>
              </w:rPr>
              <w:t>中期</w:t>
            </w:r>
          </w:p>
        </w:tc>
        <w:tc>
          <w:tcPr>
            <w:tcW w:w="657" w:type="dxa"/>
            <w:vAlign w:val="top"/>
          </w:tcPr>
          <w:p>
            <w:pPr>
              <w:spacing w:before="89"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592</w:t>
            </w:r>
          </w:p>
        </w:tc>
        <w:tc>
          <w:tcPr>
            <w:tcW w:w="657" w:type="dxa"/>
            <w:vAlign w:val="top"/>
          </w:tcPr>
          <w:p>
            <w:pPr>
              <w:spacing w:before="89"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169</w:t>
            </w:r>
          </w:p>
        </w:tc>
        <w:tc>
          <w:tcPr>
            <w:tcW w:w="658" w:type="dxa"/>
            <w:vAlign w:val="top"/>
          </w:tcPr>
          <w:p>
            <w:pPr>
              <w:spacing w:before="89"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105</w:t>
            </w:r>
          </w:p>
        </w:tc>
        <w:tc>
          <w:tcPr>
            <w:tcW w:w="657" w:type="dxa"/>
            <w:vAlign w:val="top"/>
          </w:tcPr>
          <w:p>
            <w:pPr>
              <w:spacing w:before="89"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657" w:type="dxa"/>
            <w:vAlign w:val="top"/>
          </w:tcPr>
          <w:p>
            <w:pPr>
              <w:spacing w:before="89"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192</w:t>
            </w:r>
          </w:p>
        </w:tc>
        <w:tc>
          <w:tcPr>
            <w:tcW w:w="657" w:type="dxa"/>
            <w:vAlign w:val="top"/>
          </w:tcPr>
          <w:p>
            <w:pPr>
              <w:spacing w:before="92" w:line="184"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55" w:type="dxa"/>
            <w:vAlign w:val="top"/>
          </w:tcPr>
          <w:p>
            <w:pPr>
              <w:spacing w:before="89" w:line="187" w:lineRule="auto"/>
              <w:ind w:left="18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874</w:t>
            </w:r>
          </w:p>
        </w:tc>
        <w:tc>
          <w:tcPr>
            <w:tcW w:w="665" w:type="dxa"/>
            <w:vAlign w:val="top"/>
          </w:tcPr>
          <w:p>
            <w:pPr>
              <w:spacing w:before="89"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583" w:type="dxa"/>
            <w:vAlign w:val="top"/>
          </w:tcPr>
          <w:p>
            <w:pPr>
              <w:spacing w:before="89"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1" w:type="dxa"/>
            <w:vAlign w:val="top"/>
          </w:tcPr>
          <w:p>
            <w:pPr>
              <w:spacing w:before="89"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3" w:type="dxa"/>
            <w:vAlign w:val="top"/>
          </w:tcPr>
          <w:p>
            <w:pPr>
              <w:spacing w:before="89"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1" w:type="dxa"/>
            <w:vAlign w:val="top"/>
          </w:tcPr>
          <w:p>
            <w:pPr>
              <w:spacing w:before="89"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3" w:type="dxa"/>
            <w:vAlign w:val="top"/>
          </w:tcPr>
          <w:p>
            <w:pPr>
              <w:spacing w:before="89"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91" w:type="dxa"/>
            <w:vAlign w:val="top"/>
          </w:tcPr>
          <w:p>
            <w:pPr>
              <w:spacing w:before="89"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655" w:type="dxa"/>
            <w:vAlign w:val="top"/>
          </w:tcPr>
          <w:p>
            <w:pPr>
              <w:spacing w:before="89"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71.4</w:t>
            </w:r>
          </w:p>
        </w:tc>
        <w:tc>
          <w:tcPr>
            <w:tcW w:w="657" w:type="dxa"/>
            <w:vAlign w:val="top"/>
          </w:tcPr>
          <w:p>
            <w:pPr>
              <w:spacing w:before="89"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655" w:type="dxa"/>
            <w:vAlign w:val="top"/>
          </w:tcPr>
          <w:p>
            <w:pPr>
              <w:spacing w:before="89" w:line="187" w:lineRule="auto"/>
              <w:ind w:left="1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71.0</w:t>
            </w:r>
          </w:p>
        </w:tc>
        <w:tc>
          <w:tcPr>
            <w:tcW w:w="657" w:type="dxa"/>
            <w:vAlign w:val="top"/>
          </w:tcPr>
          <w:p>
            <w:pPr>
              <w:spacing w:before="89"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65.6</w:t>
            </w:r>
          </w:p>
        </w:tc>
        <w:tc>
          <w:tcPr>
            <w:tcW w:w="656" w:type="dxa"/>
            <w:vAlign w:val="top"/>
          </w:tcPr>
          <w:p>
            <w:pPr>
              <w:spacing w:before="89"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78.9</w:t>
            </w:r>
          </w:p>
        </w:tc>
        <w:tc>
          <w:tcPr>
            <w:tcW w:w="669" w:type="dxa"/>
            <w:vAlign w:val="top"/>
          </w:tcPr>
          <w:p>
            <w:pPr>
              <w:spacing w:before="89" w:line="187"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653" w:type="dxa"/>
            <w:vMerge w:val="continue"/>
            <w:tcBorders>
              <w:top w:val="nil"/>
            </w:tcBorders>
            <w:vAlign w:val="top"/>
          </w:tcPr>
          <w:p>
            <w:pPr>
              <w:rPr>
                <w:rFonts w:ascii="Arial"/>
                <w:sz w:val="21"/>
              </w:rPr>
            </w:pPr>
          </w:p>
        </w:tc>
        <w:tc>
          <w:tcPr>
            <w:tcW w:w="605" w:type="dxa"/>
            <w:vMerge w:val="continue"/>
            <w:tcBorders>
              <w:top w:val="nil"/>
            </w:tcBorders>
            <w:vAlign w:val="top"/>
          </w:tcPr>
          <w:p>
            <w:pPr>
              <w:rPr>
                <w:rFonts w:ascii="Arial"/>
                <w:sz w:val="21"/>
              </w:rPr>
            </w:pPr>
          </w:p>
        </w:tc>
        <w:tc>
          <w:tcPr>
            <w:tcW w:w="852" w:type="dxa"/>
            <w:vAlign w:val="top"/>
          </w:tcPr>
          <w:p>
            <w:pPr>
              <w:spacing w:line="321" w:lineRule="auto"/>
              <w:rPr>
                <w:rFonts w:ascii="Arial"/>
                <w:sz w:val="21"/>
              </w:rPr>
            </w:pPr>
          </w:p>
          <w:p>
            <w:pPr>
              <w:pStyle w:val="6"/>
              <w:spacing w:before="69" w:line="221" w:lineRule="auto"/>
              <w:ind w:left="219"/>
            </w:pPr>
            <w:r>
              <w:rPr>
                <w:spacing w:val="-2"/>
              </w:rPr>
              <w:t>远期</w:t>
            </w:r>
          </w:p>
        </w:tc>
        <w:tc>
          <w:tcPr>
            <w:tcW w:w="657" w:type="dxa"/>
            <w:vAlign w:val="top"/>
          </w:tcPr>
          <w:p>
            <w:pPr>
              <w:spacing w:line="367"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794</w:t>
            </w:r>
          </w:p>
        </w:tc>
        <w:tc>
          <w:tcPr>
            <w:tcW w:w="657" w:type="dxa"/>
            <w:vAlign w:val="top"/>
          </w:tcPr>
          <w:p>
            <w:pPr>
              <w:spacing w:line="367"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227</w:t>
            </w:r>
          </w:p>
        </w:tc>
        <w:tc>
          <w:tcPr>
            <w:tcW w:w="658" w:type="dxa"/>
            <w:vAlign w:val="top"/>
          </w:tcPr>
          <w:p>
            <w:pPr>
              <w:spacing w:line="367" w:lineRule="auto"/>
              <w:rPr>
                <w:rFonts w:ascii="Arial"/>
                <w:sz w:val="21"/>
              </w:rPr>
            </w:pPr>
          </w:p>
          <w:p>
            <w:pPr>
              <w:spacing w:before="61"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167</w:t>
            </w:r>
          </w:p>
        </w:tc>
        <w:tc>
          <w:tcPr>
            <w:tcW w:w="657" w:type="dxa"/>
            <w:vAlign w:val="top"/>
          </w:tcPr>
          <w:p>
            <w:pPr>
              <w:spacing w:line="367" w:lineRule="auto"/>
              <w:rPr>
                <w:rFonts w:ascii="Arial"/>
                <w:sz w:val="21"/>
              </w:rPr>
            </w:pPr>
          </w:p>
          <w:p>
            <w:pPr>
              <w:spacing w:before="61"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657" w:type="dxa"/>
            <w:vAlign w:val="top"/>
          </w:tcPr>
          <w:p>
            <w:pPr>
              <w:spacing w:line="367" w:lineRule="auto"/>
              <w:rPr>
                <w:rFonts w:ascii="Arial"/>
                <w:sz w:val="21"/>
              </w:rPr>
            </w:pPr>
          </w:p>
          <w:p>
            <w:pPr>
              <w:spacing w:before="6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234</w:t>
            </w:r>
          </w:p>
        </w:tc>
        <w:tc>
          <w:tcPr>
            <w:tcW w:w="657" w:type="dxa"/>
            <w:vAlign w:val="top"/>
          </w:tcPr>
          <w:p>
            <w:pPr>
              <w:spacing w:line="367" w:lineRule="auto"/>
              <w:rPr>
                <w:rFonts w:ascii="Arial"/>
                <w:sz w:val="21"/>
              </w:rPr>
            </w:pPr>
          </w:p>
          <w:p>
            <w:pPr>
              <w:spacing w:before="61"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c>
          <w:tcPr>
            <w:tcW w:w="655" w:type="dxa"/>
            <w:vAlign w:val="top"/>
          </w:tcPr>
          <w:p>
            <w:pPr>
              <w:spacing w:line="367" w:lineRule="auto"/>
              <w:rPr>
                <w:rFonts w:ascii="Arial"/>
                <w:sz w:val="21"/>
              </w:rPr>
            </w:pPr>
          </w:p>
          <w:p>
            <w:pPr>
              <w:spacing w:before="61" w:line="187" w:lineRule="auto"/>
              <w:ind w:left="14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1168</w:t>
            </w:r>
          </w:p>
        </w:tc>
        <w:tc>
          <w:tcPr>
            <w:tcW w:w="665" w:type="dxa"/>
            <w:vAlign w:val="top"/>
          </w:tcPr>
          <w:p>
            <w:pPr>
              <w:spacing w:line="367" w:lineRule="auto"/>
              <w:rPr>
                <w:rFonts w:ascii="Arial"/>
                <w:sz w:val="21"/>
              </w:rPr>
            </w:pPr>
          </w:p>
          <w:p>
            <w:pPr>
              <w:spacing w:before="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334</w:t>
            </w:r>
          </w:p>
        </w:tc>
        <w:tc>
          <w:tcPr>
            <w:tcW w:w="583" w:type="dxa"/>
            <w:vAlign w:val="top"/>
          </w:tcPr>
          <w:p>
            <w:pPr>
              <w:spacing w:line="367" w:lineRule="auto"/>
              <w:rPr>
                <w:rFonts w:ascii="Arial"/>
                <w:sz w:val="21"/>
              </w:rPr>
            </w:pPr>
          </w:p>
          <w:p>
            <w:pPr>
              <w:spacing w:before="61"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1" w:type="dxa"/>
            <w:vAlign w:val="top"/>
          </w:tcPr>
          <w:p>
            <w:pPr>
              <w:spacing w:line="367" w:lineRule="auto"/>
              <w:rPr>
                <w:rFonts w:ascii="Arial"/>
                <w:sz w:val="21"/>
              </w:rPr>
            </w:pPr>
          </w:p>
          <w:p>
            <w:pPr>
              <w:spacing w:before="61"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3" w:type="dxa"/>
            <w:vAlign w:val="top"/>
          </w:tcPr>
          <w:p>
            <w:pPr>
              <w:spacing w:line="367" w:lineRule="auto"/>
              <w:rPr>
                <w:rFonts w:ascii="Arial"/>
                <w:sz w:val="21"/>
              </w:rPr>
            </w:pPr>
          </w:p>
          <w:p>
            <w:pPr>
              <w:spacing w:before="61"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1" w:type="dxa"/>
            <w:vAlign w:val="top"/>
          </w:tcPr>
          <w:p>
            <w:pPr>
              <w:spacing w:line="367" w:lineRule="auto"/>
              <w:rPr>
                <w:rFonts w:ascii="Arial"/>
                <w:sz w:val="21"/>
              </w:rPr>
            </w:pPr>
          </w:p>
          <w:p>
            <w:pPr>
              <w:spacing w:before="61"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83" w:type="dxa"/>
            <w:vAlign w:val="top"/>
          </w:tcPr>
          <w:p>
            <w:pPr>
              <w:spacing w:line="367" w:lineRule="auto"/>
              <w:rPr>
                <w:rFonts w:ascii="Arial"/>
                <w:sz w:val="21"/>
              </w:rPr>
            </w:pPr>
          </w:p>
          <w:p>
            <w:pPr>
              <w:spacing w:before="61"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591" w:type="dxa"/>
            <w:vAlign w:val="top"/>
          </w:tcPr>
          <w:p>
            <w:pPr>
              <w:spacing w:line="367" w:lineRule="auto"/>
              <w:rPr>
                <w:rFonts w:ascii="Arial"/>
                <w:sz w:val="21"/>
              </w:rPr>
            </w:pPr>
          </w:p>
          <w:p>
            <w:pPr>
              <w:spacing w:before="61"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655" w:type="dxa"/>
            <w:vAlign w:val="top"/>
          </w:tcPr>
          <w:p>
            <w:pPr>
              <w:spacing w:line="367" w:lineRule="auto"/>
              <w:rPr>
                <w:rFonts w:ascii="Arial"/>
                <w:sz w:val="21"/>
              </w:rPr>
            </w:pPr>
          </w:p>
          <w:p>
            <w:pPr>
              <w:spacing w:before="61"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72.7</w:t>
            </w:r>
          </w:p>
        </w:tc>
        <w:tc>
          <w:tcPr>
            <w:tcW w:w="657" w:type="dxa"/>
            <w:vAlign w:val="top"/>
          </w:tcPr>
          <w:p>
            <w:pPr>
              <w:spacing w:line="367" w:lineRule="auto"/>
              <w:rPr>
                <w:rFonts w:ascii="Arial"/>
                <w:sz w:val="21"/>
              </w:rPr>
            </w:pPr>
          </w:p>
          <w:p>
            <w:pPr>
              <w:spacing w:before="61"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67.2</w:t>
            </w:r>
          </w:p>
        </w:tc>
        <w:tc>
          <w:tcPr>
            <w:tcW w:w="655" w:type="dxa"/>
            <w:vAlign w:val="top"/>
          </w:tcPr>
          <w:p>
            <w:pPr>
              <w:spacing w:line="367" w:lineRule="auto"/>
              <w:rPr>
                <w:rFonts w:ascii="Arial"/>
                <w:sz w:val="21"/>
              </w:rPr>
            </w:pPr>
          </w:p>
          <w:p>
            <w:pPr>
              <w:spacing w:before="61" w:line="187" w:lineRule="auto"/>
              <w:ind w:left="1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73.0</w:t>
            </w:r>
          </w:p>
        </w:tc>
        <w:tc>
          <w:tcPr>
            <w:tcW w:w="657" w:type="dxa"/>
            <w:vAlign w:val="top"/>
          </w:tcPr>
          <w:p>
            <w:pPr>
              <w:spacing w:line="367" w:lineRule="auto"/>
              <w:rPr>
                <w:rFonts w:ascii="Arial"/>
                <w:sz w:val="21"/>
              </w:rPr>
            </w:pPr>
          </w:p>
          <w:p>
            <w:pPr>
              <w:spacing w:before="61"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67.6</w:t>
            </w:r>
          </w:p>
        </w:tc>
        <w:tc>
          <w:tcPr>
            <w:tcW w:w="656" w:type="dxa"/>
            <w:vAlign w:val="top"/>
          </w:tcPr>
          <w:p>
            <w:pPr>
              <w:spacing w:line="367" w:lineRule="auto"/>
              <w:rPr>
                <w:rFonts w:ascii="Arial"/>
                <w:sz w:val="21"/>
              </w:rPr>
            </w:pPr>
          </w:p>
          <w:p>
            <w:pPr>
              <w:spacing w:before="61"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79.8</w:t>
            </w:r>
          </w:p>
        </w:tc>
        <w:tc>
          <w:tcPr>
            <w:tcW w:w="669" w:type="dxa"/>
            <w:vAlign w:val="top"/>
          </w:tcPr>
          <w:p>
            <w:pPr>
              <w:spacing w:line="367" w:lineRule="auto"/>
              <w:rPr>
                <w:rFonts w:ascii="Arial"/>
                <w:sz w:val="21"/>
              </w:rPr>
            </w:pPr>
          </w:p>
          <w:p>
            <w:pPr>
              <w:spacing w:before="61" w:line="187"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8" w:line="233" w:lineRule="auto"/>
              <w:ind w:left="124" w:right="113" w:firstLine="1"/>
            </w:pPr>
            <w:r>
              <w:rPr>
                <w:spacing w:val="-6"/>
              </w:rPr>
              <w:t>西坑</w:t>
            </w:r>
            <w:r>
              <w:t xml:space="preserve"> </w:t>
            </w:r>
            <w:r>
              <w:rPr>
                <w:spacing w:val="-5"/>
              </w:rPr>
              <w:t>互通</w:t>
            </w:r>
          </w:p>
        </w:tc>
        <w:tc>
          <w:tcPr>
            <w:tcW w:w="605" w:type="dxa"/>
            <w:vMerge w:val="restart"/>
            <w:tcBorders>
              <w:bottom w:val="nil"/>
            </w:tcBorders>
            <w:vAlign w:val="top"/>
          </w:tcPr>
          <w:p>
            <w:pPr>
              <w:pStyle w:val="6"/>
              <w:spacing w:before="238" w:line="233" w:lineRule="auto"/>
              <w:ind w:left="198" w:right="103" w:hanging="92"/>
            </w:pPr>
            <w:r>
              <w:rPr>
                <w:rFonts w:ascii="Times New Roman" w:hAnsi="Times New Roman" w:eastAsia="Times New Roman" w:cs="Times New Roman"/>
                <w:spacing w:val="-11"/>
              </w:rPr>
              <w:t>B</w:t>
            </w:r>
            <w:r>
              <w:rPr>
                <w:rFonts w:ascii="Times New Roman" w:hAnsi="Times New Roman" w:eastAsia="Times New Roman" w:cs="Times New Roman"/>
                <w:spacing w:val="8"/>
              </w:rPr>
              <w:t xml:space="preserve"> </w:t>
            </w:r>
            <w:r>
              <w:rPr>
                <w:spacing w:val="-11"/>
              </w:rPr>
              <w:t>匝</w:t>
            </w:r>
            <w:r>
              <w:t xml:space="preserve"> 道</w:t>
            </w:r>
          </w:p>
        </w:tc>
        <w:tc>
          <w:tcPr>
            <w:tcW w:w="852" w:type="dxa"/>
            <w:vAlign w:val="top"/>
          </w:tcPr>
          <w:p>
            <w:pPr>
              <w:pStyle w:val="6"/>
              <w:spacing w:before="52" w:line="221" w:lineRule="auto"/>
              <w:ind w:left="218"/>
            </w:pPr>
            <w:r>
              <w:rPr>
                <w:spacing w:val="-2"/>
              </w:rPr>
              <w:t>近期</w:t>
            </w:r>
          </w:p>
        </w:tc>
        <w:tc>
          <w:tcPr>
            <w:tcW w:w="657" w:type="dxa"/>
            <w:vAlign w:val="top"/>
          </w:tcPr>
          <w:p>
            <w:pPr>
              <w:spacing w:before="90" w:line="187" w:lineRule="auto"/>
              <w:ind w:left="24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657" w:type="dxa"/>
            <w:vAlign w:val="top"/>
          </w:tcPr>
          <w:p>
            <w:pPr>
              <w:spacing w:before="90" w:line="187" w:lineRule="auto"/>
              <w:ind w:left="27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58" w:type="dxa"/>
            <w:vAlign w:val="top"/>
          </w:tcPr>
          <w:p>
            <w:pPr>
              <w:spacing w:before="90" w:line="187" w:lineRule="auto"/>
              <w:ind w:left="280"/>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57" w:type="dxa"/>
            <w:vAlign w:val="top"/>
          </w:tcPr>
          <w:p>
            <w:pPr>
              <w:spacing w:before="90" w:line="187" w:lineRule="auto"/>
              <w:ind w:left="29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57" w:type="dxa"/>
            <w:vAlign w:val="top"/>
          </w:tcPr>
          <w:p>
            <w:pPr>
              <w:spacing w:before="90" w:line="187"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57" w:type="dxa"/>
            <w:vAlign w:val="top"/>
          </w:tcPr>
          <w:p>
            <w:pPr>
              <w:spacing w:before="90"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55" w:type="dxa"/>
            <w:vAlign w:val="top"/>
          </w:tcPr>
          <w:p>
            <w:pPr>
              <w:spacing w:before="90"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665" w:type="dxa"/>
            <w:vAlign w:val="top"/>
          </w:tcPr>
          <w:p>
            <w:pPr>
              <w:spacing w:before="90" w:line="187" w:lineRule="auto"/>
              <w:ind w:left="285"/>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583" w:type="dxa"/>
            <w:vAlign w:val="top"/>
          </w:tcPr>
          <w:p>
            <w:pPr>
              <w:spacing w:before="90"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0"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0"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0"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0"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0"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0"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47.4</w:t>
            </w:r>
          </w:p>
        </w:tc>
        <w:tc>
          <w:tcPr>
            <w:tcW w:w="657" w:type="dxa"/>
            <w:vAlign w:val="top"/>
          </w:tcPr>
          <w:p>
            <w:pPr>
              <w:spacing w:before="90"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42.2</w:t>
            </w:r>
          </w:p>
        </w:tc>
        <w:tc>
          <w:tcPr>
            <w:tcW w:w="655" w:type="dxa"/>
            <w:vAlign w:val="top"/>
          </w:tcPr>
          <w:p>
            <w:pPr>
              <w:spacing w:before="90"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46.4</w:t>
            </w:r>
          </w:p>
        </w:tc>
        <w:tc>
          <w:tcPr>
            <w:tcW w:w="657" w:type="dxa"/>
            <w:vAlign w:val="top"/>
          </w:tcPr>
          <w:p>
            <w:pPr>
              <w:spacing w:before="90"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c>
          <w:tcPr>
            <w:tcW w:w="656" w:type="dxa"/>
            <w:vAlign w:val="top"/>
          </w:tcPr>
          <w:p>
            <w:pPr>
              <w:spacing w:before="90" w:line="187" w:lineRule="auto"/>
              <w:ind w:left="15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c>
          <w:tcPr>
            <w:tcW w:w="669" w:type="dxa"/>
            <w:vAlign w:val="top"/>
          </w:tcPr>
          <w:p>
            <w:pPr>
              <w:spacing w:before="90"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Merge w:val="continue"/>
            <w:tcBorders>
              <w:top w:val="nil"/>
              <w:bottom w:val="nil"/>
            </w:tcBorders>
            <w:vAlign w:val="top"/>
          </w:tcPr>
          <w:p>
            <w:pPr>
              <w:rPr>
                <w:rFonts w:ascii="Arial"/>
                <w:sz w:val="21"/>
              </w:rPr>
            </w:pPr>
          </w:p>
        </w:tc>
        <w:tc>
          <w:tcPr>
            <w:tcW w:w="605" w:type="dxa"/>
            <w:vMerge w:val="continue"/>
            <w:tcBorders>
              <w:top w:val="nil"/>
              <w:bottom w:val="nil"/>
            </w:tcBorders>
            <w:vAlign w:val="top"/>
          </w:tcPr>
          <w:p>
            <w:pPr>
              <w:rPr>
                <w:rFonts w:ascii="Arial"/>
                <w:sz w:val="21"/>
              </w:rPr>
            </w:pPr>
          </w:p>
        </w:tc>
        <w:tc>
          <w:tcPr>
            <w:tcW w:w="852" w:type="dxa"/>
            <w:vAlign w:val="top"/>
          </w:tcPr>
          <w:p>
            <w:pPr>
              <w:pStyle w:val="6"/>
              <w:spacing w:before="52" w:line="221" w:lineRule="auto"/>
              <w:ind w:left="239"/>
            </w:pPr>
            <w:r>
              <w:rPr>
                <w:spacing w:val="-7"/>
              </w:rPr>
              <w:t>中期</w:t>
            </w:r>
          </w:p>
        </w:tc>
        <w:tc>
          <w:tcPr>
            <w:tcW w:w="657" w:type="dxa"/>
            <w:vAlign w:val="top"/>
          </w:tcPr>
          <w:p>
            <w:pPr>
              <w:spacing w:before="90"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657" w:type="dxa"/>
            <w:vAlign w:val="top"/>
          </w:tcPr>
          <w:p>
            <w:pPr>
              <w:spacing w:before="90" w:line="187"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658" w:type="dxa"/>
            <w:vAlign w:val="top"/>
          </w:tcPr>
          <w:p>
            <w:pPr>
              <w:spacing w:before="90" w:line="187" w:lineRule="auto"/>
              <w:ind w:left="285"/>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657" w:type="dxa"/>
            <w:vAlign w:val="top"/>
          </w:tcPr>
          <w:p>
            <w:pPr>
              <w:spacing w:before="9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57" w:type="dxa"/>
            <w:vAlign w:val="top"/>
          </w:tcPr>
          <w:p>
            <w:pPr>
              <w:spacing w:before="90"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657" w:type="dxa"/>
            <w:vAlign w:val="top"/>
          </w:tcPr>
          <w:p>
            <w:pPr>
              <w:spacing w:before="9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55" w:type="dxa"/>
            <w:vAlign w:val="top"/>
          </w:tcPr>
          <w:p>
            <w:pPr>
              <w:spacing w:before="90"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c>
          <w:tcPr>
            <w:tcW w:w="665" w:type="dxa"/>
            <w:vAlign w:val="top"/>
          </w:tcPr>
          <w:p>
            <w:pPr>
              <w:spacing w:before="90"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583" w:type="dxa"/>
            <w:vAlign w:val="top"/>
          </w:tcPr>
          <w:p>
            <w:pPr>
              <w:spacing w:before="90"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0"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0"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0"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0"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0"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0"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52.8</w:t>
            </w:r>
          </w:p>
        </w:tc>
        <w:tc>
          <w:tcPr>
            <w:tcW w:w="657" w:type="dxa"/>
            <w:vAlign w:val="top"/>
          </w:tcPr>
          <w:p>
            <w:pPr>
              <w:spacing w:before="90"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47.4</w:t>
            </w:r>
          </w:p>
        </w:tc>
        <w:tc>
          <w:tcPr>
            <w:tcW w:w="655" w:type="dxa"/>
            <w:vAlign w:val="top"/>
          </w:tcPr>
          <w:p>
            <w:pPr>
              <w:spacing w:before="90"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50.7</w:t>
            </w:r>
          </w:p>
        </w:tc>
        <w:tc>
          <w:tcPr>
            <w:tcW w:w="657" w:type="dxa"/>
            <w:vAlign w:val="top"/>
          </w:tcPr>
          <w:p>
            <w:pPr>
              <w:spacing w:before="90"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w:t>
            </w:r>
          </w:p>
        </w:tc>
        <w:tc>
          <w:tcPr>
            <w:tcW w:w="656" w:type="dxa"/>
            <w:vAlign w:val="top"/>
          </w:tcPr>
          <w:p>
            <w:pPr>
              <w:spacing w:before="90" w:line="187" w:lineRule="auto"/>
              <w:ind w:left="15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59.9</w:t>
            </w:r>
          </w:p>
        </w:tc>
        <w:tc>
          <w:tcPr>
            <w:tcW w:w="669" w:type="dxa"/>
            <w:vAlign w:val="top"/>
          </w:tcPr>
          <w:p>
            <w:pPr>
              <w:spacing w:before="90"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continue"/>
            <w:tcBorders>
              <w:top w:val="nil"/>
              <w:bottom w:val="nil"/>
            </w:tcBorders>
            <w:vAlign w:val="top"/>
          </w:tcPr>
          <w:p>
            <w:pPr>
              <w:rPr>
                <w:rFonts w:ascii="Arial"/>
                <w:sz w:val="21"/>
              </w:rPr>
            </w:pPr>
          </w:p>
        </w:tc>
        <w:tc>
          <w:tcPr>
            <w:tcW w:w="605" w:type="dxa"/>
            <w:vMerge w:val="continue"/>
            <w:tcBorders>
              <w:top w:val="nil"/>
            </w:tcBorders>
            <w:vAlign w:val="top"/>
          </w:tcPr>
          <w:p>
            <w:pPr>
              <w:rPr>
                <w:rFonts w:ascii="Arial"/>
                <w:sz w:val="21"/>
              </w:rPr>
            </w:pPr>
          </w:p>
        </w:tc>
        <w:tc>
          <w:tcPr>
            <w:tcW w:w="852" w:type="dxa"/>
            <w:vAlign w:val="top"/>
          </w:tcPr>
          <w:p>
            <w:pPr>
              <w:pStyle w:val="6"/>
              <w:spacing w:before="54" w:line="221" w:lineRule="auto"/>
              <w:ind w:left="219"/>
            </w:pPr>
            <w:r>
              <w:rPr>
                <w:spacing w:val="-2"/>
              </w:rPr>
              <w:t>远期</w:t>
            </w:r>
          </w:p>
        </w:tc>
        <w:tc>
          <w:tcPr>
            <w:tcW w:w="657" w:type="dxa"/>
            <w:vAlign w:val="top"/>
          </w:tcPr>
          <w:p>
            <w:pPr>
              <w:spacing w:before="90"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57" w:type="dxa"/>
            <w:vAlign w:val="top"/>
          </w:tcPr>
          <w:p>
            <w:pPr>
              <w:spacing w:before="90" w:line="187"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658" w:type="dxa"/>
            <w:vAlign w:val="top"/>
          </w:tcPr>
          <w:p>
            <w:pPr>
              <w:spacing w:before="90"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657" w:type="dxa"/>
            <w:vAlign w:val="top"/>
          </w:tcPr>
          <w:p>
            <w:pPr>
              <w:spacing w:before="90" w:line="187" w:lineRule="auto"/>
              <w:ind w:left="27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57" w:type="dxa"/>
            <w:vAlign w:val="top"/>
          </w:tcPr>
          <w:p>
            <w:pPr>
              <w:spacing w:before="90"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657" w:type="dxa"/>
            <w:vAlign w:val="top"/>
          </w:tcPr>
          <w:p>
            <w:pPr>
              <w:spacing w:before="93" w:line="184"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55" w:type="dxa"/>
            <w:vAlign w:val="top"/>
          </w:tcPr>
          <w:p>
            <w:pPr>
              <w:spacing w:before="90"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88</w:t>
            </w:r>
          </w:p>
        </w:tc>
        <w:tc>
          <w:tcPr>
            <w:tcW w:w="665" w:type="dxa"/>
            <w:vAlign w:val="top"/>
          </w:tcPr>
          <w:p>
            <w:pPr>
              <w:spacing w:before="90"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583"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2"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0"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w:t>
            </w:r>
          </w:p>
        </w:tc>
        <w:tc>
          <w:tcPr>
            <w:tcW w:w="657" w:type="dxa"/>
            <w:vAlign w:val="top"/>
          </w:tcPr>
          <w:p>
            <w:pPr>
              <w:spacing w:before="90"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48.5</w:t>
            </w:r>
          </w:p>
        </w:tc>
        <w:tc>
          <w:tcPr>
            <w:tcW w:w="655" w:type="dxa"/>
            <w:vAlign w:val="top"/>
          </w:tcPr>
          <w:p>
            <w:pPr>
              <w:spacing w:before="90"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52.8</w:t>
            </w:r>
          </w:p>
        </w:tc>
        <w:tc>
          <w:tcPr>
            <w:tcW w:w="657" w:type="dxa"/>
            <w:vAlign w:val="top"/>
          </w:tcPr>
          <w:p>
            <w:pPr>
              <w:spacing w:before="90"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656" w:type="dxa"/>
            <w:vAlign w:val="top"/>
          </w:tcPr>
          <w:p>
            <w:pPr>
              <w:spacing w:before="90"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60.7</w:t>
            </w:r>
          </w:p>
        </w:tc>
        <w:tc>
          <w:tcPr>
            <w:tcW w:w="669" w:type="dxa"/>
            <w:vAlign w:val="top"/>
          </w:tcPr>
          <w:p>
            <w:pPr>
              <w:spacing w:before="90"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Merge w:val="continue"/>
            <w:tcBorders>
              <w:top w:val="nil"/>
              <w:bottom w:val="nil"/>
            </w:tcBorders>
            <w:vAlign w:val="top"/>
          </w:tcPr>
          <w:p>
            <w:pPr>
              <w:rPr>
                <w:rFonts w:ascii="Arial"/>
                <w:sz w:val="21"/>
              </w:rPr>
            </w:pPr>
          </w:p>
        </w:tc>
        <w:tc>
          <w:tcPr>
            <w:tcW w:w="605" w:type="dxa"/>
            <w:vMerge w:val="restart"/>
            <w:tcBorders>
              <w:bottom w:val="nil"/>
            </w:tcBorders>
            <w:vAlign w:val="top"/>
          </w:tcPr>
          <w:p>
            <w:pPr>
              <w:pStyle w:val="6"/>
              <w:spacing w:before="239" w:line="234" w:lineRule="auto"/>
              <w:ind w:left="198" w:right="103" w:hanging="88"/>
            </w:pPr>
            <w:r>
              <w:rPr>
                <w:rFonts w:ascii="Times New Roman" w:hAnsi="Times New Roman" w:eastAsia="Times New Roman" w:cs="Times New Roman"/>
                <w:spacing w:val="-13"/>
              </w:rPr>
              <w:t>C</w:t>
            </w:r>
            <w:r>
              <w:rPr>
                <w:rFonts w:ascii="Times New Roman" w:hAnsi="Times New Roman" w:eastAsia="Times New Roman" w:cs="Times New Roman"/>
                <w:spacing w:val="8"/>
              </w:rPr>
              <w:t xml:space="preserve"> </w:t>
            </w:r>
            <w:r>
              <w:rPr>
                <w:spacing w:val="-13"/>
              </w:rPr>
              <w:t>匝</w:t>
            </w:r>
            <w:r>
              <w:t xml:space="preserve"> 道</w:t>
            </w:r>
          </w:p>
        </w:tc>
        <w:tc>
          <w:tcPr>
            <w:tcW w:w="852" w:type="dxa"/>
            <w:vAlign w:val="top"/>
          </w:tcPr>
          <w:p>
            <w:pPr>
              <w:pStyle w:val="6"/>
              <w:spacing w:before="55" w:line="221" w:lineRule="auto"/>
              <w:ind w:left="218"/>
            </w:pPr>
            <w:r>
              <w:rPr>
                <w:spacing w:val="-2"/>
              </w:rPr>
              <w:t>近期</w:t>
            </w:r>
          </w:p>
        </w:tc>
        <w:tc>
          <w:tcPr>
            <w:tcW w:w="657" w:type="dxa"/>
            <w:vAlign w:val="top"/>
          </w:tcPr>
          <w:p>
            <w:pPr>
              <w:spacing w:before="91" w:line="187"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657" w:type="dxa"/>
            <w:vAlign w:val="top"/>
          </w:tcPr>
          <w:p>
            <w:pPr>
              <w:spacing w:before="91" w:line="187"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658" w:type="dxa"/>
            <w:vAlign w:val="top"/>
          </w:tcPr>
          <w:p>
            <w:pPr>
              <w:spacing w:before="94" w:line="184"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57" w:type="dxa"/>
            <w:vAlign w:val="top"/>
          </w:tcPr>
          <w:p>
            <w:pPr>
              <w:spacing w:before="9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57" w:type="dxa"/>
            <w:vAlign w:val="top"/>
          </w:tcPr>
          <w:p>
            <w:pPr>
              <w:spacing w:before="91"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657" w:type="dxa"/>
            <w:vAlign w:val="top"/>
          </w:tcPr>
          <w:p>
            <w:pPr>
              <w:spacing w:before="91"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55" w:type="dxa"/>
            <w:vAlign w:val="top"/>
          </w:tcPr>
          <w:p>
            <w:pPr>
              <w:spacing w:before="91"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665" w:type="dxa"/>
            <w:vAlign w:val="top"/>
          </w:tcPr>
          <w:p>
            <w:pPr>
              <w:spacing w:before="91"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583" w:type="dxa"/>
            <w:vAlign w:val="top"/>
          </w:tcPr>
          <w:p>
            <w:pPr>
              <w:spacing w:before="94"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4"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4"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4"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4"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4"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1"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50.7</w:t>
            </w:r>
          </w:p>
        </w:tc>
        <w:tc>
          <w:tcPr>
            <w:tcW w:w="657" w:type="dxa"/>
            <w:vAlign w:val="top"/>
          </w:tcPr>
          <w:p>
            <w:pPr>
              <w:spacing w:before="91"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45.2</w:t>
            </w:r>
          </w:p>
        </w:tc>
        <w:tc>
          <w:tcPr>
            <w:tcW w:w="655" w:type="dxa"/>
            <w:vAlign w:val="top"/>
          </w:tcPr>
          <w:p>
            <w:pPr>
              <w:spacing w:before="91"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657" w:type="dxa"/>
            <w:vAlign w:val="top"/>
          </w:tcPr>
          <w:p>
            <w:pPr>
              <w:spacing w:before="91"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w:t>
            </w:r>
          </w:p>
        </w:tc>
        <w:tc>
          <w:tcPr>
            <w:tcW w:w="656" w:type="dxa"/>
            <w:vAlign w:val="top"/>
          </w:tcPr>
          <w:p>
            <w:pPr>
              <w:spacing w:before="94" w:line="184" w:lineRule="auto"/>
              <w:ind w:left="15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57.7</w:t>
            </w:r>
          </w:p>
        </w:tc>
        <w:tc>
          <w:tcPr>
            <w:tcW w:w="669" w:type="dxa"/>
            <w:vAlign w:val="top"/>
          </w:tcPr>
          <w:p>
            <w:pPr>
              <w:spacing w:before="91"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53" w:type="dxa"/>
            <w:vMerge w:val="continue"/>
            <w:tcBorders>
              <w:top w:val="nil"/>
              <w:bottom w:val="nil"/>
            </w:tcBorders>
            <w:vAlign w:val="top"/>
          </w:tcPr>
          <w:p>
            <w:pPr>
              <w:rPr>
                <w:rFonts w:ascii="Arial"/>
                <w:sz w:val="21"/>
              </w:rPr>
            </w:pPr>
          </w:p>
        </w:tc>
        <w:tc>
          <w:tcPr>
            <w:tcW w:w="605" w:type="dxa"/>
            <w:vMerge w:val="continue"/>
            <w:tcBorders>
              <w:top w:val="nil"/>
              <w:bottom w:val="nil"/>
            </w:tcBorders>
            <w:vAlign w:val="top"/>
          </w:tcPr>
          <w:p>
            <w:pPr>
              <w:rPr>
                <w:rFonts w:ascii="Arial"/>
                <w:sz w:val="21"/>
              </w:rPr>
            </w:pPr>
          </w:p>
        </w:tc>
        <w:tc>
          <w:tcPr>
            <w:tcW w:w="852" w:type="dxa"/>
            <w:vAlign w:val="top"/>
          </w:tcPr>
          <w:p>
            <w:pPr>
              <w:pStyle w:val="6"/>
              <w:spacing w:before="55" w:line="221" w:lineRule="auto"/>
              <w:ind w:left="239"/>
            </w:pPr>
            <w:r>
              <w:rPr>
                <w:spacing w:val="-7"/>
              </w:rPr>
              <w:t>中期</w:t>
            </w:r>
          </w:p>
        </w:tc>
        <w:tc>
          <w:tcPr>
            <w:tcW w:w="657" w:type="dxa"/>
            <w:vAlign w:val="top"/>
          </w:tcPr>
          <w:p>
            <w:pPr>
              <w:spacing w:before="93"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657" w:type="dxa"/>
            <w:vAlign w:val="top"/>
          </w:tcPr>
          <w:p>
            <w:pPr>
              <w:spacing w:before="93" w:line="187"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658" w:type="dxa"/>
            <w:vAlign w:val="top"/>
          </w:tcPr>
          <w:p>
            <w:pPr>
              <w:spacing w:before="93" w:line="187" w:lineRule="auto"/>
              <w:ind w:left="285"/>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657" w:type="dxa"/>
            <w:vAlign w:val="top"/>
          </w:tcPr>
          <w:p>
            <w:pPr>
              <w:spacing w:before="93" w:line="187"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57" w:type="dxa"/>
            <w:vAlign w:val="top"/>
          </w:tcPr>
          <w:p>
            <w:pPr>
              <w:spacing w:before="93"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657" w:type="dxa"/>
            <w:vAlign w:val="top"/>
          </w:tcPr>
          <w:p>
            <w:pPr>
              <w:spacing w:before="93" w:line="187"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55" w:type="dxa"/>
            <w:vAlign w:val="top"/>
          </w:tcPr>
          <w:p>
            <w:pPr>
              <w:spacing w:before="93"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665" w:type="dxa"/>
            <w:vAlign w:val="top"/>
          </w:tcPr>
          <w:p>
            <w:pPr>
              <w:spacing w:before="93"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583" w:type="dxa"/>
            <w:vAlign w:val="top"/>
          </w:tcPr>
          <w:p>
            <w:pPr>
              <w:spacing w:before="93"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3"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3"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3"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3"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3"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3"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52.6</w:t>
            </w:r>
          </w:p>
        </w:tc>
        <w:tc>
          <w:tcPr>
            <w:tcW w:w="657" w:type="dxa"/>
            <w:vAlign w:val="top"/>
          </w:tcPr>
          <w:p>
            <w:pPr>
              <w:spacing w:before="93"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47.0</w:t>
            </w:r>
          </w:p>
        </w:tc>
        <w:tc>
          <w:tcPr>
            <w:tcW w:w="655" w:type="dxa"/>
            <w:vAlign w:val="top"/>
          </w:tcPr>
          <w:p>
            <w:pPr>
              <w:spacing w:before="93"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50.7</w:t>
            </w:r>
          </w:p>
        </w:tc>
        <w:tc>
          <w:tcPr>
            <w:tcW w:w="657" w:type="dxa"/>
            <w:vAlign w:val="top"/>
          </w:tcPr>
          <w:p>
            <w:pPr>
              <w:spacing w:before="93"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w:t>
            </w:r>
          </w:p>
        </w:tc>
        <w:tc>
          <w:tcPr>
            <w:tcW w:w="656" w:type="dxa"/>
            <w:vAlign w:val="top"/>
          </w:tcPr>
          <w:p>
            <w:pPr>
              <w:spacing w:before="93" w:line="187" w:lineRule="auto"/>
              <w:ind w:left="15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59.6</w:t>
            </w:r>
          </w:p>
        </w:tc>
        <w:tc>
          <w:tcPr>
            <w:tcW w:w="669" w:type="dxa"/>
            <w:vAlign w:val="top"/>
          </w:tcPr>
          <w:p>
            <w:pPr>
              <w:spacing w:before="93"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continue"/>
            <w:tcBorders>
              <w:top w:val="nil"/>
              <w:bottom w:val="nil"/>
            </w:tcBorders>
            <w:vAlign w:val="top"/>
          </w:tcPr>
          <w:p>
            <w:pPr>
              <w:rPr>
                <w:rFonts w:ascii="Arial"/>
                <w:sz w:val="21"/>
              </w:rPr>
            </w:pPr>
          </w:p>
        </w:tc>
        <w:tc>
          <w:tcPr>
            <w:tcW w:w="605" w:type="dxa"/>
            <w:vMerge w:val="continue"/>
            <w:tcBorders>
              <w:top w:val="nil"/>
            </w:tcBorders>
            <w:vAlign w:val="top"/>
          </w:tcPr>
          <w:p>
            <w:pPr>
              <w:rPr>
                <w:rFonts w:ascii="Arial"/>
                <w:sz w:val="21"/>
              </w:rPr>
            </w:pPr>
          </w:p>
        </w:tc>
        <w:tc>
          <w:tcPr>
            <w:tcW w:w="852" w:type="dxa"/>
            <w:vAlign w:val="top"/>
          </w:tcPr>
          <w:p>
            <w:pPr>
              <w:pStyle w:val="6"/>
              <w:spacing w:before="53" w:line="221" w:lineRule="auto"/>
              <w:ind w:left="219"/>
            </w:pPr>
            <w:r>
              <w:rPr>
                <w:spacing w:val="-2"/>
              </w:rPr>
              <w:t>远期</w:t>
            </w:r>
          </w:p>
        </w:tc>
        <w:tc>
          <w:tcPr>
            <w:tcW w:w="657" w:type="dxa"/>
            <w:vAlign w:val="top"/>
          </w:tcPr>
          <w:p>
            <w:pPr>
              <w:spacing w:before="94" w:line="184"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w:t>
            </w:r>
          </w:p>
        </w:tc>
        <w:tc>
          <w:tcPr>
            <w:tcW w:w="657" w:type="dxa"/>
            <w:vAlign w:val="top"/>
          </w:tcPr>
          <w:p>
            <w:pPr>
              <w:spacing w:before="91" w:line="187"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658" w:type="dxa"/>
            <w:vAlign w:val="top"/>
          </w:tcPr>
          <w:p>
            <w:pPr>
              <w:spacing w:before="91"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657" w:type="dxa"/>
            <w:vAlign w:val="top"/>
          </w:tcPr>
          <w:p>
            <w:pPr>
              <w:spacing w:before="91"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57" w:type="dxa"/>
            <w:vAlign w:val="top"/>
          </w:tcPr>
          <w:p>
            <w:pPr>
              <w:spacing w:before="91"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657" w:type="dxa"/>
            <w:vAlign w:val="top"/>
          </w:tcPr>
          <w:p>
            <w:pPr>
              <w:spacing w:before="94" w:line="184"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55" w:type="dxa"/>
            <w:vAlign w:val="top"/>
          </w:tcPr>
          <w:p>
            <w:pPr>
              <w:spacing w:before="91"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84</w:t>
            </w:r>
          </w:p>
        </w:tc>
        <w:tc>
          <w:tcPr>
            <w:tcW w:w="665" w:type="dxa"/>
            <w:vAlign w:val="top"/>
          </w:tcPr>
          <w:p>
            <w:pPr>
              <w:spacing w:before="91"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1"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1"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53.8</w:t>
            </w:r>
          </w:p>
        </w:tc>
        <w:tc>
          <w:tcPr>
            <w:tcW w:w="657" w:type="dxa"/>
            <w:vAlign w:val="top"/>
          </w:tcPr>
          <w:p>
            <w:pPr>
              <w:spacing w:before="91"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655" w:type="dxa"/>
            <w:vAlign w:val="top"/>
          </w:tcPr>
          <w:p>
            <w:pPr>
              <w:spacing w:before="91"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657" w:type="dxa"/>
            <w:vAlign w:val="top"/>
          </w:tcPr>
          <w:p>
            <w:pPr>
              <w:spacing w:before="91"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46.4</w:t>
            </w:r>
          </w:p>
        </w:tc>
        <w:tc>
          <w:tcPr>
            <w:tcW w:w="656" w:type="dxa"/>
            <w:vAlign w:val="top"/>
          </w:tcPr>
          <w:p>
            <w:pPr>
              <w:spacing w:before="91"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60.5</w:t>
            </w:r>
          </w:p>
        </w:tc>
        <w:tc>
          <w:tcPr>
            <w:tcW w:w="669" w:type="dxa"/>
            <w:vAlign w:val="top"/>
          </w:tcPr>
          <w:p>
            <w:pPr>
              <w:spacing w:before="91"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continue"/>
            <w:tcBorders>
              <w:top w:val="nil"/>
              <w:bottom w:val="nil"/>
            </w:tcBorders>
            <w:vAlign w:val="top"/>
          </w:tcPr>
          <w:p>
            <w:pPr>
              <w:rPr>
                <w:rFonts w:ascii="Arial"/>
                <w:sz w:val="21"/>
              </w:rPr>
            </w:pPr>
          </w:p>
        </w:tc>
        <w:tc>
          <w:tcPr>
            <w:tcW w:w="605" w:type="dxa"/>
            <w:vMerge w:val="restart"/>
            <w:tcBorders>
              <w:bottom w:val="nil"/>
            </w:tcBorders>
            <w:vAlign w:val="top"/>
          </w:tcPr>
          <w:p>
            <w:pPr>
              <w:pStyle w:val="6"/>
              <w:spacing w:before="239" w:line="233" w:lineRule="auto"/>
              <w:ind w:left="198" w:right="103" w:hanging="92"/>
            </w:pPr>
            <w:r>
              <w:rPr>
                <w:rFonts w:ascii="Times New Roman" w:hAnsi="Times New Roman" w:eastAsia="Times New Roman" w:cs="Times New Roman"/>
                <w:spacing w:val="-9"/>
              </w:rPr>
              <w:t xml:space="preserve">D </w:t>
            </w:r>
            <w:r>
              <w:rPr>
                <w:spacing w:val="-9"/>
              </w:rPr>
              <w:t>匝</w:t>
            </w:r>
            <w:r>
              <w:rPr>
                <w:spacing w:val="1"/>
              </w:rPr>
              <w:t xml:space="preserve"> </w:t>
            </w:r>
            <w:r>
              <w:t>道</w:t>
            </w:r>
          </w:p>
        </w:tc>
        <w:tc>
          <w:tcPr>
            <w:tcW w:w="852" w:type="dxa"/>
            <w:vAlign w:val="top"/>
          </w:tcPr>
          <w:p>
            <w:pPr>
              <w:pStyle w:val="6"/>
              <w:spacing w:before="53" w:line="221" w:lineRule="auto"/>
              <w:ind w:left="218"/>
            </w:pPr>
            <w:r>
              <w:rPr>
                <w:spacing w:val="-2"/>
              </w:rPr>
              <w:t>近期</w:t>
            </w:r>
          </w:p>
        </w:tc>
        <w:tc>
          <w:tcPr>
            <w:tcW w:w="657" w:type="dxa"/>
            <w:vAlign w:val="top"/>
          </w:tcPr>
          <w:p>
            <w:pPr>
              <w:spacing w:before="91" w:line="187"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657" w:type="dxa"/>
            <w:vAlign w:val="top"/>
          </w:tcPr>
          <w:p>
            <w:pPr>
              <w:spacing w:before="94" w:line="184" w:lineRule="auto"/>
              <w:ind w:left="279"/>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658" w:type="dxa"/>
            <w:vAlign w:val="top"/>
          </w:tcPr>
          <w:p>
            <w:pPr>
              <w:spacing w:before="92" w:line="187" w:lineRule="auto"/>
              <w:ind w:left="27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57" w:type="dxa"/>
            <w:vAlign w:val="top"/>
          </w:tcPr>
          <w:p>
            <w:pPr>
              <w:spacing w:before="92" w:line="187" w:lineRule="auto"/>
              <w:ind w:left="29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57" w:type="dxa"/>
            <w:vAlign w:val="top"/>
          </w:tcPr>
          <w:p>
            <w:pPr>
              <w:spacing w:before="94" w:line="184" w:lineRule="auto"/>
              <w:ind w:left="280"/>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657" w:type="dxa"/>
            <w:vAlign w:val="top"/>
          </w:tcPr>
          <w:p>
            <w:pPr>
              <w:spacing w:before="92"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55" w:type="dxa"/>
            <w:vAlign w:val="top"/>
          </w:tcPr>
          <w:p>
            <w:pPr>
              <w:spacing w:before="91"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665" w:type="dxa"/>
            <w:vAlign w:val="top"/>
          </w:tcPr>
          <w:p>
            <w:pPr>
              <w:spacing w:before="91"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1"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1"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49.8</w:t>
            </w:r>
          </w:p>
        </w:tc>
        <w:tc>
          <w:tcPr>
            <w:tcW w:w="657" w:type="dxa"/>
            <w:vAlign w:val="top"/>
          </w:tcPr>
          <w:p>
            <w:pPr>
              <w:spacing w:before="91"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44.7</w:t>
            </w:r>
          </w:p>
        </w:tc>
        <w:tc>
          <w:tcPr>
            <w:tcW w:w="655" w:type="dxa"/>
            <w:vAlign w:val="top"/>
          </w:tcPr>
          <w:p>
            <w:pPr>
              <w:spacing w:before="91"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657" w:type="dxa"/>
            <w:vAlign w:val="top"/>
          </w:tcPr>
          <w:p>
            <w:pPr>
              <w:spacing w:before="91"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c>
          <w:tcPr>
            <w:tcW w:w="656" w:type="dxa"/>
            <w:vAlign w:val="top"/>
          </w:tcPr>
          <w:p>
            <w:pPr>
              <w:spacing w:before="91" w:line="187" w:lineRule="auto"/>
              <w:ind w:left="15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56.6</w:t>
            </w:r>
          </w:p>
        </w:tc>
        <w:tc>
          <w:tcPr>
            <w:tcW w:w="669" w:type="dxa"/>
            <w:vAlign w:val="top"/>
          </w:tcPr>
          <w:p>
            <w:pPr>
              <w:spacing w:before="91"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Merge w:val="continue"/>
            <w:tcBorders>
              <w:top w:val="nil"/>
              <w:bottom w:val="nil"/>
            </w:tcBorders>
            <w:vAlign w:val="top"/>
          </w:tcPr>
          <w:p>
            <w:pPr>
              <w:rPr>
                <w:rFonts w:ascii="Arial"/>
                <w:sz w:val="21"/>
              </w:rPr>
            </w:pPr>
          </w:p>
        </w:tc>
        <w:tc>
          <w:tcPr>
            <w:tcW w:w="605" w:type="dxa"/>
            <w:vMerge w:val="continue"/>
            <w:tcBorders>
              <w:top w:val="nil"/>
              <w:bottom w:val="nil"/>
            </w:tcBorders>
            <w:vAlign w:val="top"/>
          </w:tcPr>
          <w:p>
            <w:pPr>
              <w:rPr>
                <w:rFonts w:ascii="Arial"/>
                <w:sz w:val="21"/>
              </w:rPr>
            </w:pPr>
          </w:p>
        </w:tc>
        <w:tc>
          <w:tcPr>
            <w:tcW w:w="852" w:type="dxa"/>
            <w:vAlign w:val="top"/>
          </w:tcPr>
          <w:p>
            <w:pPr>
              <w:pStyle w:val="6"/>
              <w:spacing w:before="54" w:line="221" w:lineRule="auto"/>
              <w:ind w:left="239"/>
            </w:pPr>
            <w:r>
              <w:rPr>
                <w:spacing w:val="-7"/>
              </w:rPr>
              <w:t>中期</w:t>
            </w:r>
          </w:p>
        </w:tc>
        <w:tc>
          <w:tcPr>
            <w:tcW w:w="657" w:type="dxa"/>
            <w:vAlign w:val="top"/>
          </w:tcPr>
          <w:p>
            <w:pPr>
              <w:spacing w:before="92"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657" w:type="dxa"/>
            <w:vAlign w:val="top"/>
          </w:tcPr>
          <w:p>
            <w:pPr>
              <w:spacing w:before="92" w:line="187"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658" w:type="dxa"/>
            <w:vAlign w:val="top"/>
          </w:tcPr>
          <w:p>
            <w:pPr>
              <w:spacing w:before="95" w:line="184" w:lineRule="auto"/>
              <w:ind w:left="280"/>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657" w:type="dxa"/>
            <w:vAlign w:val="top"/>
          </w:tcPr>
          <w:p>
            <w:pPr>
              <w:spacing w:before="92" w:line="187"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57" w:type="dxa"/>
            <w:vAlign w:val="top"/>
          </w:tcPr>
          <w:p>
            <w:pPr>
              <w:spacing w:before="92"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657" w:type="dxa"/>
            <w:vAlign w:val="top"/>
          </w:tcPr>
          <w:p>
            <w:pPr>
              <w:spacing w:before="92" w:line="187"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55" w:type="dxa"/>
            <w:vAlign w:val="top"/>
          </w:tcPr>
          <w:p>
            <w:pPr>
              <w:spacing w:before="92"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665" w:type="dxa"/>
            <w:vAlign w:val="top"/>
          </w:tcPr>
          <w:p>
            <w:pPr>
              <w:spacing w:before="92"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583"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2"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2"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52.3</w:t>
            </w:r>
          </w:p>
        </w:tc>
        <w:tc>
          <w:tcPr>
            <w:tcW w:w="657" w:type="dxa"/>
            <w:vAlign w:val="top"/>
          </w:tcPr>
          <w:p>
            <w:pPr>
              <w:spacing w:before="92"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47.0</w:t>
            </w:r>
          </w:p>
        </w:tc>
        <w:tc>
          <w:tcPr>
            <w:tcW w:w="655" w:type="dxa"/>
            <w:vAlign w:val="top"/>
          </w:tcPr>
          <w:p>
            <w:pPr>
              <w:spacing w:before="92"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50.1</w:t>
            </w:r>
          </w:p>
        </w:tc>
        <w:tc>
          <w:tcPr>
            <w:tcW w:w="657" w:type="dxa"/>
            <w:vAlign w:val="top"/>
          </w:tcPr>
          <w:p>
            <w:pPr>
              <w:spacing w:before="92"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w:t>
            </w:r>
          </w:p>
        </w:tc>
        <w:tc>
          <w:tcPr>
            <w:tcW w:w="656" w:type="dxa"/>
            <w:vAlign w:val="top"/>
          </w:tcPr>
          <w:p>
            <w:pPr>
              <w:spacing w:before="92" w:line="187" w:lineRule="auto"/>
              <w:ind w:left="15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59.3</w:t>
            </w:r>
          </w:p>
        </w:tc>
        <w:tc>
          <w:tcPr>
            <w:tcW w:w="669" w:type="dxa"/>
            <w:vAlign w:val="top"/>
          </w:tcPr>
          <w:p>
            <w:pPr>
              <w:spacing w:before="92"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53" w:type="dxa"/>
            <w:vMerge w:val="continue"/>
            <w:tcBorders>
              <w:top w:val="nil"/>
            </w:tcBorders>
            <w:vAlign w:val="top"/>
          </w:tcPr>
          <w:p>
            <w:pPr>
              <w:rPr>
                <w:rFonts w:ascii="Arial"/>
                <w:sz w:val="21"/>
              </w:rPr>
            </w:pPr>
          </w:p>
        </w:tc>
        <w:tc>
          <w:tcPr>
            <w:tcW w:w="605" w:type="dxa"/>
            <w:vMerge w:val="continue"/>
            <w:tcBorders>
              <w:top w:val="nil"/>
            </w:tcBorders>
            <w:vAlign w:val="top"/>
          </w:tcPr>
          <w:p>
            <w:pPr>
              <w:rPr>
                <w:rFonts w:ascii="Arial"/>
                <w:sz w:val="21"/>
              </w:rPr>
            </w:pPr>
          </w:p>
        </w:tc>
        <w:tc>
          <w:tcPr>
            <w:tcW w:w="852" w:type="dxa"/>
            <w:vAlign w:val="top"/>
          </w:tcPr>
          <w:p>
            <w:pPr>
              <w:pStyle w:val="6"/>
              <w:spacing w:before="56" w:line="221" w:lineRule="auto"/>
              <w:ind w:left="219"/>
            </w:pPr>
            <w:r>
              <w:rPr>
                <w:spacing w:val="-2"/>
              </w:rPr>
              <w:t>远期</w:t>
            </w:r>
          </w:p>
        </w:tc>
        <w:tc>
          <w:tcPr>
            <w:tcW w:w="657" w:type="dxa"/>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tc>
        <w:tc>
          <w:tcPr>
            <w:tcW w:w="657" w:type="dxa"/>
            <w:vAlign w:val="top"/>
          </w:tcPr>
          <w:p>
            <w:pPr>
              <w:spacing w:before="92" w:line="187"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658" w:type="dxa"/>
            <w:vAlign w:val="top"/>
          </w:tcPr>
          <w:p>
            <w:pPr>
              <w:spacing w:before="92"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657" w:type="dxa"/>
            <w:vAlign w:val="top"/>
          </w:tcPr>
          <w:p>
            <w:pPr>
              <w:spacing w:before="92"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57" w:type="dxa"/>
            <w:vAlign w:val="top"/>
          </w:tcPr>
          <w:p>
            <w:pPr>
              <w:spacing w:before="92"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657" w:type="dxa"/>
            <w:vAlign w:val="top"/>
          </w:tcPr>
          <w:p>
            <w:pPr>
              <w:spacing w:before="95" w:line="184"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55" w:type="dxa"/>
            <w:vAlign w:val="top"/>
          </w:tcPr>
          <w:p>
            <w:pPr>
              <w:spacing w:before="92"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665" w:type="dxa"/>
            <w:vAlign w:val="top"/>
          </w:tcPr>
          <w:p>
            <w:pPr>
              <w:spacing w:before="92"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583" w:type="dxa"/>
            <w:vAlign w:val="top"/>
          </w:tcPr>
          <w:p>
            <w:pPr>
              <w:spacing w:before="94"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4"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4"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4"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4"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4"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2"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53.9</w:t>
            </w:r>
          </w:p>
        </w:tc>
        <w:tc>
          <w:tcPr>
            <w:tcW w:w="657" w:type="dxa"/>
            <w:vAlign w:val="top"/>
          </w:tcPr>
          <w:p>
            <w:pPr>
              <w:spacing w:before="92"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655" w:type="dxa"/>
            <w:vAlign w:val="top"/>
          </w:tcPr>
          <w:p>
            <w:pPr>
              <w:spacing w:before="92"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657" w:type="dxa"/>
            <w:vAlign w:val="top"/>
          </w:tcPr>
          <w:p>
            <w:pPr>
              <w:spacing w:before="92"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46.4</w:t>
            </w:r>
          </w:p>
        </w:tc>
        <w:tc>
          <w:tcPr>
            <w:tcW w:w="656" w:type="dxa"/>
            <w:vAlign w:val="top"/>
          </w:tcPr>
          <w:p>
            <w:pPr>
              <w:spacing w:before="92"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60.5</w:t>
            </w:r>
          </w:p>
        </w:tc>
        <w:tc>
          <w:tcPr>
            <w:tcW w:w="669" w:type="dxa"/>
            <w:vAlign w:val="top"/>
          </w:tcPr>
          <w:p>
            <w:pPr>
              <w:spacing w:before="92"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r>
    </w:tbl>
    <w:p>
      <w:pPr>
        <w:pStyle w:val="2"/>
      </w:pPr>
    </w:p>
    <w:p>
      <w:pPr>
        <w:sectPr>
          <w:headerReference r:id="rId165" w:type="default"/>
          <w:footerReference r:id="rId166" w:type="default"/>
          <w:pgSz w:w="16839" w:h="11907"/>
          <w:pgMar w:top="1289" w:right="1003" w:bottom="1184" w:left="1005" w:header="1048" w:footer="1024" w:gutter="0"/>
          <w:cols w:space="720" w:num="1"/>
        </w:sectPr>
      </w:pPr>
    </w:p>
    <w:p>
      <w:pPr>
        <w:spacing w:before="46"/>
      </w:pPr>
    </w:p>
    <w:tbl>
      <w:tblPr>
        <w:tblStyle w:val="5"/>
        <w:tblW w:w="148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605"/>
        <w:gridCol w:w="852"/>
        <w:gridCol w:w="657"/>
        <w:gridCol w:w="657"/>
        <w:gridCol w:w="658"/>
        <w:gridCol w:w="657"/>
        <w:gridCol w:w="657"/>
        <w:gridCol w:w="657"/>
        <w:gridCol w:w="655"/>
        <w:gridCol w:w="665"/>
        <w:gridCol w:w="583"/>
        <w:gridCol w:w="581"/>
        <w:gridCol w:w="583"/>
        <w:gridCol w:w="581"/>
        <w:gridCol w:w="583"/>
        <w:gridCol w:w="591"/>
        <w:gridCol w:w="655"/>
        <w:gridCol w:w="657"/>
        <w:gridCol w:w="655"/>
        <w:gridCol w:w="657"/>
        <w:gridCol w:w="656"/>
        <w:gridCol w:w="6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58" w:type="dxa"/>
            <w:gridSpan w:val="2"/>
            <w:vMerge w:val="restart"/>
            <w:tcBorders>
              <w:bottom w:val="nil"/>
            </w:tcBorders>
            <w:vAlign w:val="top"/>
          </w:tcPr>
          <w:p>
            <w:pPr>
              <w:spacing w:line="380" w:lineRule="auto"/>
              <w:rPr>
                <w:rFonts w:ascii="Arial"/>
                <w:sz w:val="21"/>
              </w:rPr>
            </w:pPr>
          </w:p>
          <w:p>
            <w:pPr>
              <w:pStyle w:val="6"/>
              <w:spacing w:before="69" w:line="221" w:lineRule="auto"/>
              <w:ind w:left="424"/>
            </w:pPr>
            <w:r>
              <w:rPr>
                <w:spacing w:val="-2"/>
              </w:rPr>
              <w:t>路段</w:t>
            </w:r>
          </w:p>
        </w:tc>
        <w:tc>
          <w:tcPr>
            <w:tcW w:w="852" w:type="dxa"/>
            <w:vMerge w:val="restart"/>
            <w:tcBorders>
              <w:bottom w:val="nil"/>
            </w:tcBorders>
            <w:vAlign w:val="top"/>
          </w:tcPr>
          <w:p>
            <w:pPr>
              <w:spacing w:line="381" w:lineRule="auto"/>
              <w:rPr>
                <w:rFonts w:ascii="Arial"/>
                <w:sz w:val="21"/>
              </w:rPr>
            </w:pPr>
          </w:p>
          <w:p>
            <w:pPr>
              <w:pStyle w:val="6"/>
              <w:spacing w:before="68" w:line="221" w:lineRule="auto"/>
              <w:ind w:left="229"/>
            </w:pPr>
            <w:r>
              <w:rPr>
                <w:spacing w:val="-4"/>
              </w:rPr>
              <w:t>时期</w:t>
            </w:r>
          </w:p>
        </w:tc>
        <w:tc>
          <w:tcPr>
            <w:tcW w:w="5263" w:type="dxa"/>
            <w:gridSpan w:val="8"/>
            <w:vAlign w:val="top"/>
          </w:tcPr>
          <w:p>
            <w:pPr>
              <w:pStyle w:val="6"/>
              <w:spacing w:before="34" w:line="207" w:lineRule="auto"/>
              <w:ind w:left="1896"/>
            </w:pPr>
            <w:r>
              <w:rPr>
                <w:spacing w:val="-1"/>
              </w:rPr>
              <w:t>车流量</w:t>
            </w:r>
            <w:r>
              <w:rPr>
                <w:rFonts w:ascii="Times New Roman" w:hAnsi="Times New Roman" w:eastAsia="Times New Roman" w:cs="Times New Roman"/>
                <w:spacing w:val="-1"/>
              </w:rPr>
              <w:t>/</w:t>
            </w:r>
            <w:r>
              <w:rPr>
                <w:spacing w:val="-1"/>
              </w:rPr>
              <w:t>（辆</w:t>
            </w:r>
            <w:r>
              <w:rPr>
                <w:rFonts w:ascii="Times New Roman" w:hAnsi="Times New Roman" w:eastAsia="Times New Roman" w:cs="Times New Roman"/>
                <w:spacing w:val="-1"/>
              </w:rPr>
              <w:t>/h</w:t>
            </w:r>
            <w:r>
              <w:rPr>
                <w:spacing w:val="-1"/>
              </w:rPr>
              <w:t>）</w:t>
            </w:r>
          </w:p>
        </w:tc>
        <w:tc>
          <w:tcPr>
            <w:tcW w:w="3502" w:type="dxa"/>
            <w:gridSpan w:val="6"/>
            <w:vAlign w:val="top"/>
          </w:tcPr>
          <w:p>
            <w:pPr>
              <w:pStyle w:val="6"/>
              <w:spacing w:before="34" w:line="207" w:lineRule="auto"/>
              <w:ind w:left="1093"/>
            </w:pPr>
            <w:r>
              <w:rPr>
                <w:spacing w:val="-1"/>
              </w:rPr>
              <w:t>车速</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km/h</w:t>
            </w:r>
            <w:r>
              <w:rPr>
                <w:spacing w:val="-1"/>
              </w:rPr>
              <w:t>）</w:t>
            </w:r>
          </w:p>
        </w:tc>
        <w:tc>
          <w:tcPr>
            <w:tcW w:w="3949" w:type="dxa"/>
            <w:gridSpan w:val="6"/>
            <w:vAlign w:val="top"/>
          </w:tcPr>
          <w:p>
            <w:pPr>
              <w:pStyle w:val="6"/>
              <w:spacing w:before="34" w:line="207" w:lineRule="auto"/>
              <w:ind w:left="1616"/>
              <w:rPr>
                <w:rFonts w:ascii="Times New Roman" w:hAnsi="Times New Roman" w:eastAsia="Times New Roman" w:cs="Times New Roman"/>
              </w:rPr>
            </w:pPr>
            <w:r>
              <w:rPr>
                <w:spacing w:val="-1"/>
              </w:rPr>
              <w:t>源强</w:t>
            </w:r>
            <w:r>
              <w:rPr>
                <w:rFonts w:ascii="Times New Roman" w:hAnsi="Times New Roman" w:eastAsia="Times New Roman" w:cs="Times New Roman"/>
                <w:spacing w:val="-1"/>
              </w:rPr>
              <w:t>/dB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58" w:type="dxa"/>
            <w:gridSpan w:val="2"/>
            <w:vMerge w:val="continue"/>
            <w:tcBorders>
              <w:top w:val="nil"/>
              <w:bottom w:val="nil"/>
            </w:tcBorders>
            <w:vAlign w:val="top"/>
          </w:tcPr>
          <w:p>
            <w:pPr>
              <w:rPr>
                <w:rFonts w:ascii="Arial"/>
                <w:sz w:val="21"/>
              </w:rPr>
            </w:pPr>
          </w:p>
        </w:tc>
        <w:tc>
          <w:tcPr>
            <w:tcW w:w="852" w:type="dxa"/>
            <w:vMerge w:val="continue"/>
            <w:tcBorders>
              <w:top w:val="nil"/>
              <w:bottom w:val="nil"/>
            </w:tcBorders>
            <w:vAlign w:val="top"/>
          </w:tcPr>
          <w:p>
            <w:pPr>
              <w:rPr>
                <w:rFonts w:ascii="Arial"/>
                <w:sz w:val="21"/>
              </w:rPr>
            </w:pPr>
          </w:p>
        </w:tc>
        <w:tc>
          <w:tcPr>
            <w:tcW w:w="1314" w:type="dxa"/>
            <w:gridSpan w:val="2"/>
            <w:vAlign w:val="top"/>
          </w:tcPr>
          <w:p>
            <w:pPr>
              <w:pStyle w:val="6"/>
              <w:spacing w:before="30" w:line="209" w:lineRule="auto"/>
              <w:ind w:left="349"/>
            </w:pPr>
            <w:r>
              <w:rPr>
                <w:spacing w:val="-3"/>
              </w:rPr>
              <w:t>小型车</w:t>
            </w:r>
          </w:p>
        </w:tc>
        <w:tc>
          <w:tcPr>
            <w:tcW w:w="1315" w:type="dxa"/>
            <w:gridSpan w:val="2"/>
            <w:vAlign w:val="top"/>
          </w:tcPr>
          <w:p>
            <w:pPr>
              <w:pStyle w:val="6"/>
              <w:spacing w:before="30" w:line="209" w:lineRule="auto"/>
              <w:ind w:left="365"/>
            </w:pPr>
            <w:r>
              <w:rPr>
                <w:spacing w:val="-6"/>
              </w:rPr>
              <w:t>中型车</w:t>
            </w:r>
          </w:p>
        </w:tc>
        <w:tc>
          <w:tcPr>
            <w:tcW w:w="1314" w:type="dxa"/>
            <w:gridSpan w:val="2"/>
            <w:vAlign w:val="top"/>
          </w:tcPr>
          <w:p>
            <w:pPr>
              <w:pStyle w:val="6"/>
              <w:spacing w:before="30" w:line="209" w:lineRule="auto"/>
              <w:ind w:left="348"/>
            </w:pPr>
            <w:r>
              <w:rPr>
                <w:spacing w:val="-2"/>
              </w:rPr>
              <w:t>大型车</w:t>
            </w:r>
          </w:p>
        </w:tc>
        <w:tc>
          <w:tcPr>
            <w:tcW w:w="1320" w:type="dxa"/>
            <w:gridSpan w:val="2"/>
            <w:vAlign w:val="top"/>
          </w:tcPr>
          <w:p>
            <w:pPr>
              <w:pStyle w:val="6"/>
              <w:spacing w:before="30" w:line="209" w:lineRule="auto"/>
              <w:ind w:left="456"/>
            </w:pPr>
            <w:r>
              <w:rPr>
                <w:spacing w:val="-2"/>
              </w:rPr>
              <w:t>合计</w:t>
            </w:r>
          </w:p>
        </w:tc>
        <w:tc>
          <w:tcPr>
            <w:tcW w:w="1164" w:type="dxa"/>
            <w:gridSpan w:val="2"/>
            <w:vAlign w:val="top"/>
          </w:tcPr>
          <w:p>
            <w:pPr>
              <w:pStyle w:val="6"/>
              <w:spacing w:before="30" w:line="209" w:lineRule="auto"/>
              <w:ind w:left="278"/>
            </w:pPr>
            <w:r>
              <w:rPr>
                <w:spacing w:val="-3"/>
              </w:rPr>
              <w:t>小型车</w:t>
            </w:r>
          </w:p>
        </w:tc>
        <w:tc>
          <w:tcPr>
            <w:tcW w:w="1164" w:type="dxa"/>
            <w:gridSpan w:val="2"/>
            <w:vAlign w:val="top"/>
          </w:tcPr>
          <w:p>
            <w:pPr>
              <w:pStyle w:val="6"/>
              <w:spacing w:before="30" w:line="209" w:lineRule="auto"/>
              <w:ind w:left="293"/>
            </w:pPr>
            <w:r>
              <w:rPr>
                <w:spacing w:val="-6"/>
              </w:rPr>
              <w:t>中型车</w:t>
            </w:r>
          </w:p>
        </w:tc>
        <w:tc>
          <w:tcPr>
            <w:tcW w:w="1174" w:type="dxa"/>
            <w:gridSpan w:val="2"/>
            <w:vAlign w:val="top"/>
          </w:tcPr>
          <w:p>
            <w:pPr>
              <w:pStyle w:val="6"/>
              <w:spacing w:before="30" w:line="209" w:lineRule="auto"/>
              <w:ind w:left="280"/>
            </w:pPr>
            <w:r>
              <w:rPr>
                <w:spacing w:val="-2"/>
              </w:rPr>
              <w:t>大型车</w:t>
            </w:r>
          </w:p>
        </w:tc>
        <w:tc>
          <w:tcPr>
            <w:tcW w:w="1312" w:type="dxa"/>
            <w:gridSpan w:val="2"/>
            <w:vAlign w:val="top"/>
          </w:tcPr>
          <w:p>
            <w:pPr>
              <w:pStyle w:val="6"/>
              <w:spacing w:before="30" w:line="209" w:lineRule="auto"/>
              <w:ind w:left="353"/>
            </w:pPr>
            <w:r>
              <w:rPr>
                <w:spacing w:val="-3"/>
              </w:rPr>
              <w:t>小型车</w:t>
            </w:r>
          </w:p>
        </w:tc>
        <w:tc>
          <w:tcPr>
            <w:tcW w:w="1312" w:type="dxa"/>
            <w:gridSpan w:val="2"/>
            <w:vAlign w:val="top"/>
          </w:tcPr>
          <w:p>
            <w:pPr>
              <w:pStyle w:val="6"/>
              <w:spacing w:before="30" w:line="209" w:lineRule="auto"/>
              <w:ind w:left="368"/>
            </w:pPr>
            <w:r>
              <w:rPr>
                <w:spacing w:val="-6"/>
              </w:rPr>
              <w:t>中型车</w:t>
            </w:r>
          </w:p>
        </w:tc>
        <w:tc>
          <w:tcPr>
            <w:tcW w:w="1325" w:type="dxa"/>
            <w:gridSpan w:val="2"/>
            <w:vAlign w:val="top"/>
          </w:tcPr>
          <w:p>
            <w:pPr>
              <w:pStyle w:val="6"/>
              <w:spacing w:before="30" w:line="209" w:lineRule="auto"/>
              <w:ind w:left="354"/>
            </w:pPr>
            <w:r>
              <w:rPr>
                <w:spacing w:val="-2"/>
              </w:rPr>
              <w:t>大型车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258" w:type="dxa"/>
            <w:gridSpan w:val="2"/>
            <w:vMerge w:val="continue"/>
            <w:tcBorders>
              <w:top w:val="nil"/>
              <w:bottom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657" w:type="dxa"/>
            <w:vAlign w:val="top"/>
          </w:tcPr>
          <w:p>
            <w:pPr>
              <w:pStyle w:val="6"/>
              <w:spacing w:before="167" w:line="223" w:lineRule="auto"/>
              <w:ind w:left="119"/>
            </w:pPr>
            <w:r>
              <w:rPr>
                <w:spacing w:val="-2"/>
              </w:rPr>
              <w:t>昼间</w:t>
            </w:r>
          </w:p>
        </w:tc>
        <w:tc>
          <w:tcPr>
            <w:tcW w:w="657" w:type="dxa"/>
            <w:vAlign w:val="top"/>
          </w:tcPr>
          <w:p>
            <w:pPr>
              <w:pStyle w:val="6"/>
              <w:spacing w:before="166" w:line="221" w:lineRule="auto"/>
              <w:ind w:left="124"/>
            </w:pPr>
            <w:r>
              <w:rPr>
                <w:spacing w:val="-3"/>
              </w:rPr>
              <w:t>夜间</w:t>
            </w:r>
          </w:p>
        </w:tc>
        <w:tc>
          <w:tcPr>
            <w:tcW w:w="658" w:type="dxa"/>
            <w:vAlign w:val="top"/>
          </w:tcPr>
          <w:p>
            <w:pPr>
              <w:pStyle w:val="6"/>
              <w:spacing w:before="167" w:line="223" w:lineRule="auto"/>
              <w:ind w:left="121"/>
            </w:pPr>
            <w:r>
              <w:rPr>
                <w:spacing w:val="-2"/>
              </w:rPr>
              <w:t>昼间</w:t>
            </w:r>
          </w:p>
        </w:tc>
        <w:tc>
          <w:tcPr>
            <w:tcW w:w="657" w:type="dxa"/>
            <w:vAlign w:val="top"/>
          </w:tcPr>
          <w:p>
            <w:pPr>
              <w:pStyle w:val="6"/>
              <w:spacing w:before="166" w:line="221" w:lineRule="auto"/>
              <w:ind w:left="125"/>
            </w:pPr>
            <w:r>
              <w:rPr>
                <w:spacing w:val="-3"/>
              </w:rPr>
              <w:t>夜间</w:t>
            </w:r>
          </w:p>
        </w:tc>
        <w:tc>
          <w:tcPr>
            <w:tcW w:w="657" w:type="dxa"/>
            <w:vAlign w:val="top"/>
          </w:tcPr>
          <w:p>
            <w:pPr>
              <w:pStyle w:val="6"/>
              <w:spacing w:before="167" w:line="223" w:lineRule="auto"/>
              <w:ind w:left="121"/>
            </w:pPr>
            <w:r>
              <w:rPr>
                <w:spacing w:val="-2"/>
              </w:rPr>
              <w:t>昼间</w:t>
            </w:r>
          </w:p>
        </w:tc>
        <w:tc>
          <w:tcPr>
            <w:tcW w:w="657" w:type="dxa"/>
            <w:vAlign w:val="top"/>
          </w:tcPr>
          <w:p>
            <w:pPr>
              <w:pStyle w:val="6"/>
              <w:spacing w:before="166" w:line="221" w:lineRule="auto"/>
              <w:ind w:left="126"/>
            </w:pPr>
            <w:r>
              <w:rPr>
                <w:spacing w:val="-3"/>
              </w:rPr>
              <w:t>夜间</w:t>
            </w:r>
          </w:p>
        </w:tc>
        <w:tc>
          <w:tcPr>
            <w:tcW w:w="655" w:type="dxa"/>
            <w:vAlign w:val="top"/>
          </w:tcPr>
          <w:p>
            <w:pPr>
              <w:pStyle w:val="6"/>
              <w:spacing w:before="167" w:line="223" w:lineRule="auto"/>
              <w:ind w:left="123"/>
            </w:pPr>
            <w:r>
              <w:rPr>
                <w:spacing w:val="-2"/>
              </w:rPr>
              <w:t>昼间</w:t>
            </w:r>
          </w:p>
        </w:tc>
        <w:tc>
          <w:tcPr>
            <w:tcW w:w="665" w:type="dxa"/>
            <w:vAlign w:val="top"/>
          </w:tcPr>
          <w:p>
            <w:pPr>
              <w:pStyle w:val="6"/>
              <w:spacing w:before="166" w:line="221" w:lineRule="auto"/>
              <w:ind w:left="132"/>
            </w:pPr>
            <w:r>
              <w:rPr>
                <w:spacing w:val="-3"/>
              </w:rPr>
              <w:t>夜间</w:t>
            </w:r>
          </w:p>
        </w:tc>
        <w:tc>
          <w:tcPr>
            <w:tcW w:w="583" w:type="dxa"/>
            <w:textDirection w:val="tbRlV"/>
            <w:vAlign w:val="top"/>
          </w:tcPr>
          <w:p>
            <w:pPr>
              <w:pStyle w:val="6"/>
              <w:spacing w:before="183" w:line="212" w:lineRule="auto"/>
              <w:ind w:left="30"/>
            </w:pPr>
            <w:r>
              <w:rPr>
                <w:spacing w:val="1"/>
              </w:rPr>
              <w:t>昼</w:t>
            </w:r>
            <w:r>
              <w:rPr>
                <w:spacing w:val="-43"/>
              </w:rPr>
              <w:t xml:space="preserve"> </w:t>
            </w:r>
            <w:r>
              <w:rPr>
                <w:spacing w:val="1"/>
              </w:rPr>
              <w:t>间</w:t>
            </w:r>
          </w:p>
        </w:tc>
        <w:tc>
          <w:tcPr>
            <w:tcW w:w="581" w:type="dxa"/>
            <w:textDirection w:val="tbRlV"/>
            <w:vAlign w:val="top"/>
          </w:tcPr>
          <w:p>
            <w:pPr>
              <w:pStyle w:val="6"/>
              <w:spacing w:before="181" w:line="206" w:lineRule="auto"/>
              <w:ind w:left="30"/>
            </w:pPr>
            <w:r>
              <w:rPr>
                <w:spacing w:val="1"/>
              </w:rPr>
              <w:t>夜</w:t>
            </w:r>
            <w:r>
              <w:rPr>
                <w:spacing w:val="-43"/>
              </w:rPr>
              <w:t xml:space="preserve"> </w:t>
            </w:r>
            <w:r>
              <w:rPr>
                <w:spacing w:val="1"/>
              </w:rPr>
              <w:t>间</w:t>
            </w:r>
          </w:p>
        </w:tc>
        <w:tc>
          <w:tcPr>
            <w:tcW w:w="583" w:type="dxa"/>
            <w:textDirection w:val="tbRlV"/>
            <w:vAlign w:val="top"/>
          </w:tcPr>
          <w:p>
            <w:pPr>
              <w:pStyle w:val="6"/>
              <w:spacing w:before="183" w:line="212" w:lineRule="auto"/>
              <w:ind w:left="30"/>
            </w:pPr>
            <w:r>
              <w:rPr>
                <w:spacing w:val="1"/>
              </w:rPr>
              <w:t>昼</w:t>
            </w:r>
            <w:r>
              <w:rPr>
                <w:spacing w:val="-43"/>
              </w:rPr>
              <w:t xml:space="preserve"> </w:t>
            </w:r>
            <w:r>
              <w:rPr>
                <w:spacing w:val="1"/>
              </w:rPr>
              <w:t>间</w:t>
            </w:r>
          </w:p>
        </w:tc>
        <w:tc>
          <w:tcPr>
            <w:tcW w:w="581" w:type="dxa"/>
            <w:textDirection w:val="tbRlV"/>
            <w:vAlign w:val="top"/>
          </w:tcPr>
          <w:p>
            <w:pPr>
              <w:pStyle w:val="6"/>
              <w:spacing w:before="181" w:line="206" w:lineRule="auto"/>
              <w:ind w:left="30"/>
            </w:pPr>
            <w:r>
              <w:rPr>
                <w:spacing w:val="1"/>
              </w:rPr>
              <w:t>夜</w:t>
            </w:r>
            <w:r>
              <w:rPr>
                <w:spacing w:val="-43"/>
              </w:rPr>
              <w:t xml:space="preserve"> </w:t>
            </w:r>
            <w:r>
              <w:rPr>
                <w:spacing w:val="1"/>
              </w:rPr>
              <w:t>间</w:t>
            </w:r>
          </w:p>
        </w:tc>
        <w:tc>
          <w:tcPr>
            <w:tcW w:w="583" w:type="dxa"/>
            <w:textDirection w:val="tbRlV"/>
            <w:vAlign w:val="top"/>
          </w:tcPr>
          <w:p>
            <w:pPr>
              <w:pStyle w:val="6"/>
              <w:spacing w:before="183" w:line="212" w:lineRule="auto"/>
              <w:ind w:left="30"/>
            </w:pPr>
            <w:r>
              <w:rPr>
                <w:spacing w:val="1"/>
              </w:rPr>
              <w:t>昼</w:t>
            </w:r>
            <w:r>
              <w:rPr>
                <w:spacing w:val="-43"/>
              </w:rPr>
              <w:t xml:space="preserve"> </w:t>
            </w:r>
            <w:r>
              <w:rPr>
                <w:spacing w:val="1"/>
              </w:rPr>
              <w:t>间</w:t>
            </w:r>
          </w:p>
        </w:tc>
        <w:tc>
          <w:tcPr>
            <w:tcW w:w="591" w:type="dxa"/>
            <w:textDirection w:val="tbRlV"/>
            <w:vAlign w:val="top"/>
          </w:tcPr>
          <w:p>
            <w:pPr>
              <w:pStyle w:val="6"/>
              <w:spacing w:before="186" w:line="206" w:lineRule="auto"/>
              <w:ind w:left="30"/>
            </w:pPr>
            <w:r>
              <w:rPr>
                <w:spacing w:val="1"/>
              </w:rPr>
              <w:t>夜</w:t>
            </w:r>
            <w:r>
              <w:rPr>
                <w:spacing w:val="-43"/>
              </w:rPr>
              <w:t xml:space="preserve"> </w:t>
            </w:r>
            <w:r>
              <w:rPr>
                <w:spacing w:val="1"/>
              </w:rPr>
              <w:t>间</w:t>
            </w:r>
          </w:p>
        </w:tc>
        <w:tc>
          <w:tcPr>
            <w:tcW w:w="655" w:type="dxa"/>
            <w:vAlign w:val="top"/>
          </w:tcPr>
          <w:p>
            <w:pPr>
              <w:pStyle w:val="6"/>
              <w:spacing w:before="167" w:line="223" w:lineRule="auto"/>
              <w:ind w:left="123"/>
            </w:pPr>
            <w:r>
              <w:rPr>
                <w:spacing w:val="-2"/>
              </w:rPr>
              <w:t>昼间</w:t>
            </w:r>
          </w:p>
        </w:tc>
        <w:tc>
          <w:tcPr>
            <w:tcW w:w="657" w:type="dxa"/>
            <w:vAlign w:val="top"/>
          </w:tcPr>
          <w:p>
            <w:pPr>
              <w:pStyle w:val="6"/>
              <w:spacing w:before="166" w:line="221" w:lineRule="auto"/>
              <w:ind w:left="128"/>
            </w:pPr>
            <w:r>
              <w:rPr>
                <w:spacing w:val="-3"/>
              </w:rPr>
              <w:t>夜间</w:t>
            </w:r>
          </w:p>
        </w:tc>
        <w:tc>
          <w:tcPr>
            <w:tcW w:w="655" w:type="dxa"/>
            <w:vAlign w:val="top"/>
          </w:tcPr>
          <w:p>
            <w:pPr>
              <w:pStyle w:val="6"/>
              <w:spacing w:before="167" w:line="223" w:lineRule="auto"/>
              <w:ind w:left="124"/>
            </w:pPr>
            <w:r>
              <w:rPr>
                <w:spacing w:val="-2"/>
              </w:rPr>
              <w:t>昼间</w:t>
            </w:r>
          </w:p>
        </w:tc>
        <w:tc>
          <w:tcPr>
            <w:tcW w:w="657" w:type="dxa"/>
            <w:vAlign w:val="top"/>
          </w:tcPr>
          <w:p>
            <w:pPr>
              <w:pStyle w:val="6"/>
              <w:spacing w:before="166" w:line="221" w:lineRule="auto"/>
              <w:ind w:left="129"/>
            </w:pPr>
            <w:r>
              <w:rPr>
                <w:spacing w:val="-3"/>
              </w:rPr>
              <w:t>夜间</w:t>
            </w:r>
          </w:p>
        </w:tc>
        <w:tc>
          <w:tcPr>
            <w:tcW w:w="656" w:type="dxa"/>
            <w:vAlign w:val="top"/>
          </w:tcPr>
          <w:p>
            <w:pPr>
              <w:pStyle w:val="6"/>
              <w:spacing w:before="167" w:line="223" w:lineRule="auto"/>
              <w:ind w:left="125"/>
            </w:pPr>
            <w:r>
              <w:rPr>
                <w:spacing w:val="-2"/>
              </w:rPr>
              <w:t>昼间</w:t>
            </w:r>
          </w:p>
        </w:tc>
        <w:tc>
          <w:tcPr>
            <w:tcW w:w="669" w:type="dxa"/>
            <w:vAlign w:val="top"/>
          </w:tcPr>
          <w:p>
            <w:pPr>
              <w:pStyle w:val="6"/>
              <w:spacing w:before="166" w:line="221" w:lineRule="auto"/>
              <w:ind w:left="134"/>
            </w:pPr>
            <w:r>
              <w:rPr>
                <w:spacing w:val="-3"/>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restart"/>
            <w:tcBorders>
              <w:top w:val="nil"/>
              <w:bottom w:val="nil"/>
            </w:tcBorders>
            <w:vAlign w:val="top"/>
          </w:tcPr>
          <w:p>
            <w:pPr>
              <w:rPr>
                <w:rFonts w:ascii="Arial"/>
                <w:sz w:val="21"/>
              </w:rPr>
            </w:pPr>
          </w:p>
        </w:tc>
        <w:tc>
          <w:tcPr>
            <w:tcW w:w="605" w:type="dxa"/>
            <w:vMerge w:val="restart"/>
            <w:tcBorders>
              <w:bottom w:val="nil"/>
            </w:tcBorders>
            <w:vAlign w:val="top"/>
          </w:tcPr>
          <w:p>
            <w:pPr>
              <w:pStyle w:val="6"/>
              <w:spacing w:before="237" w:line="233" w:lineRule="auto"/>
              <w:ind w:left="198" w:right="103" w:hanging="91"/>
            </w:pPr>
            <w:r>
              <w:rPr>
                <w:rFonts w:ascii="Times New Roman" w:hAnsi="Times New Roman" w:eastAsia="Times New Roman" w:cs="Times New Roman"/>
                <w:spacing w:val="-12"/>
              </w:rPr>
              <w:t>E</w:t>
            </w:r>
            <w:r>
              <w:rPr>
                <w:rFonts w:ascii="Times New Roman" w:hAnsi="Times New Roman" w:eastAsia="Times New Roman" w:cs="Times New Roman"/>
                <w:spacing w:val="21"/>
              </w:rPr>
              <w:t xml:space="preserve"> </w:t>
            </w:r>
            <w:r>
              <w:rPr>
                <w:spacing w:val="-12"/>
              </w:rPr>
              <w:t>匝</w:t>
            </w:r>
            <w:r>
              <w:t xml:space="preserve"> 道</w:t>
            </w:r>
          </w:p>
        </w:tc>
        <w:tc>
          <w:tcPr>
            <w:tcW w:w="852" w:type="dxa"/>
            <w:vAlign w:val="top"/>
          </w:tcPr>
          <w:p>
            <w:pPr>
              <w:pStyle w:val="6"/>
              <w:spacing w:before="53" w:line="221" w:lineRule="auto"/>
              <w:ind w:left="218"/>
            </w:pPr>
            <w:r>
              <w:rPr>
                <w:spacing w:val="-2"/>
              </w:rPr>
              <w:t>近期</w:t>
            </w:r>
          </w:p>
        </w:tc>
        <w:tc>
          <w:tcPr>
            <w:tcW w:w="657" w:type="dxa"/>
            <w:vAlign w:val="top"/>
          </w:tcPr>
          <w:p>
            <w:pPr>
              <w:spacing w:before="89" w:line="187"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657" w:type="dxa"/>
            <w:vAlign w:val="top"/>
          </w:tcPr>
          <w:p>
            <w:pPr>
              <w:spacing w:before="92" w:line="184" w:lineRule="auto"/>
              <w:ind w:left="279"/>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658" w:type="dxa"/>
            <w:vAlign w:val="top"/>
          </w:tcPr>
          <w:p>
            <w:pPr>
              <w:spacing w:before="92" w:line="184"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57" w:type="dxa"/>
            <w:vAlign w:val="top"/>
          </w:tcPr>
          <w:p>
            <w:pPr>
              <w:spacing w:before="89" w:line="187" w:lineRule="auto"/>
              <w:ind w:left="29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57" w:type="dxa"/>
            <w:vAlign w:val="top"/>
          </w:tcPr>
          <w:p>
            <w:pPr>
              <w:spacing w:before="89" w:line="187" w:lineRule="auto"/>
              <w:ind w:left="285"/>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657" w:type="dxa"/>
            <w:vAlign w:val="top"/>
          </w:tcPr>
          <w:p>
            <w:pPr>
              <w:spacing w:before="89"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55" w:type="dxa"/>
            <w:vAlign w:val="top"/>
          </w:tcPr>
          <w:p>
            <w:pPr>
              <w:spacing w:before="89"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665" w:type="dxa"/>
            <w:vAlign w:val="top"/>
          </w:tcPr>
          <w:p>
            <w:pPr>
              <w:spacing w:before="89"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1"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89"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50.4</w:t>
            </w:r>
          </w:p>
        </w:tc>
        <w:tc>
          <w:tcPr>
            <w:tcW w:w="657" w:type="dxa"/>
            <w:vAlign w:val="top"/>
          </w:tcPr>
          <w:p>
            <w:pPr>
              <w:spacing w:before="89"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44.7</w:t>
            </w:r>
          </w:p>
        </w:tc>
        <w:tc>
          <w:tcPr>
            <w:tcW w:w="655" w:type="dxa"/>
            <w:vAlign w:val="top"/>
          </w:tcPr>
          <w:p>
            <w:pPr>
              <w:spacing w:before="89"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657" w:type="dxa"/>
            <w:vAlign w:val="top"/>
          </w:tcPr>
          <w:p>
            <w:pPr>
              <w:spacing w:before="89"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c>
          <w:tcPr>
            <w:tcW w:w="656" w:type="dxa"/>
            <w:vAlign w:val="top"/>
          </w:tcPr>
          <w:p>
            <w:pPr>
              <w:spacing w:before="89" w:line="187" w:lineRule="auto"/>
              <w:ind w:left="15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57.2</w:t>
            </w:r>
          </w:p>
        </w:tc>
        <w:tc>
          <w:tcPr>
            <w:tcW w:w="669" w:type="dxa"/>
            <w:vAlign w:val="top"/>
          </w:tcPr>
          <w:p>
            <w:pPr>
              <w:spacing w:before="89"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continue"/>
            <w:tcBorders>
              <w:top w:val="nil"/>
              <w:bottom w:val="nil"/>
            </w:tcBorders>
            <w:vAlign w:val="top"/>
          </w:tcPr>
          <w:p>
            <w:pPr>
              <w:rPr>
                <w:rFonts w:ascii="Arial"/>
                <w:sz w:val="21"/>
              </w:rPr>
            </w:pPr>
          </w:p>
        </w:tc>
        <w:tc>
          <w:tcPr>
            <w:tcW w:w="605" w:type="dxa"/>
            <w:vMerge w:val="continue"/>
            <w:tcBorders>
              <w:top w:val="nil"/>
              <w:bottom w:val="nil"/>
            </w:tcBorders>
            <w:vAlign w:val="top"/>
          </w:tcPr>
          <w:p>
            <w:pPr>
              <w:rPr>
                <w:rFonts w:ascii="Arial"/>
                <w:sz w:val="21"/>
              </w:rPr>
            </w:pPr>
          </w:p>
        </w:tc>
        <w:tc>
          <w:tcPr>
            <w:tcW w:w="852" w:type="dxa"/>
            <w:vAlign w:val="top"/>
          </w:tcPr>
          <w:p>
            <w:pPr>
              <w:pStyle w:val="6"/>
              <w:spacing w:before="54" w:line="221" w:lineRule="auto"/>
              <w:ind w:left="239"/>
            </w:pPr>
            <w:r>
              <w:rPr>
                <w:spacing w:val="-7"/>
              </w:rPr>
              <w:t>中期</w:t>
            </w:r>
          </w:p>
        </w:tc>
        <w:tc>
          <w:tcPr>
            <w:tcW w:w="657" w:type="dxa"/>
            <w:vAlign w:val="top"/>
          </w:tcPr>
          <w:p>
            <w:pPr>
              <w:spacing w:before="90"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c>
          <w:tcPr>
            <w:tcW w:w="657" w:type="dxa"/>
            <w:vAlign w:val="top"/>
          </w:tcPr>
          <w:p>
            <w:pPr>
              <w:spacing w:before="90" w:line="187"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658" w:type="dxa"/>
            <w:vAlign w:val="top"/>
          </w:tcPr>
          <w:p>
            <w:pPr>
              <w:spacing w:before="90" w:line="187" w:lineRule="auto"/>
              <w:ind w:left="280"/>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657" w:type="dxa"/>
            <w:vAlign w:val="top"/>
          </w:tcPr>
          <w:p>
            <w:pPr>
              <w:spacing w:before="90"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57" w:type="dxa"/>
            <w:vAlign w:val="top"/>
          </w:tcPr>
          <w:p>
            <w:pPr>
              <w:spacing w:before="90"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657" w:type="dxa"/>
            <w:vAlign w:val="top"/>
          </w:tcPr>
          <w:p>
            <w:pPr>
              <w:spacing w:before="93" w:line="184"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55" w:type="dxa"/>
            <w:vAlign w:val="top"/>
          </w:tcPr>
          <w:p>
            <w:pPr>
              <w:spacing w:before="90"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c>
          <w:tcPr>
            <w:tcW w:w="665" w:type="dxa"/>
            <w:vAlign w:val="top"/>
          </w:tcPr>
          <w:p>
            <w:pPr>
              <w:spacing w:before="90"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583"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2"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0"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657" w:type="dxa"/>
            <w:vAlign w:val="top"/>
          </w:tcPr>
          <w:p>
            <w:pPr>
              <w:spacing w:before="90"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655" w:type="dxa"/>
            <w:vAlign w:val="top"/>
          </w:tcPr>
          <w:p>
            <w:pPr>
              <w:spacing w:before="90"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51.2</w:t>
            </w:r>
          </w:p>
        </w:tc>
        <w:tc>
          <w:tcPr>
            <w:tcW w:w="657" w:type="dxa"/>
            <w:vAlign w:val="top"/>
          </w:tcPr>
          <w:p>
            <w:pPr>
              <w:spacing w:before="90"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46.4</w:t>
            </w:r>
          </w:p>
        </w:tc>
        <w:tc>
          <w:tcPr>
            <w:tcW w:w="656" w:type="dxa"/>
            <w:vAlign w:val="top"/>
          </w:tcPr>
          <w:p>
            <w:pPr>
              <w:spacing w:before="90"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60.2</w:t>
            </w:r>
          </w:p>
        </w:tc>
        <w:tc>
          <w:tcPr>
            <w:tcW w:w="669" w:type="dxa"/>
            <w:vAlign w:val="top"/>
          </w:tcPr>
          <w:p>
            <w:pPr>
              <w:spacing w:before="90"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53" w:type="dxa"/>
            <w:vMerge w:val="continue"/>
            <w:tcBorders>
              <w:top w:val="nil"/>
              <w:bottom w:val="nil"/>
            </w:tcBorders>
            <w:vAlign w:val="top"/>
          </w:tcPr>
          <w:p>
            <w:pPr>
              <w:rPr>
                <w:rFonts w:ascii="Arial"/>
                <w:sz w:val="21"/>
              </w:rPr>
            </w:pPr>
          </w:p>
        </w:tc>
        <w:tc>
          <w:tcPr>
            <w:tcW w:w="605" w:type="dxa"/>
            <w:vMerge w:val="continue"/>
            <w:tcBorders>
              <w:top w:val="nil"/>
            </w:tcBorders>
            <w:vAlign w:val="top"/>
          </w:tcPr>
          <w:p>
            <w:pPr>
              <w:rPr>
                <w:rFonts w:ascii="Arial"/>
                <w:sz w:val="21"/>
              </w:rPr>
            </w:pPr>
          </w:p>
        </w:tc>
        <w:tc>
          <w:tcPr>
            <w:tcW w:w="852" w:type="dxa"/>
            <w:vAlign w:val="top"/>
          </w:tcPr>
          <w:p>
            <w:pPr>
              <w:pStyle w:val="6"/>
              <w:spacing w:before="55" w:line="221" w:lineRule="auto"/>
              <w:ind w:left="219"/>
            </w:pPr>
            <w:r>
              <w:rPr>
                <w:spacing w:val="-2"/>
              </w:rPr>
              <w:t>远期</w:t>
            </w:r>
          </w:p>
        </w:tc>
        <w:tc>
          <w:tcPr>
            <w:tcW w:w="657" w:type="dxa"/>
            <w:vAlign w:val="top"/>
          </w:tcPr>
          <w:p>
            <w:pPr>
              <w:spacing w:before="93"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657" w:type="dxa"/>
            <w:vAlign w:val="top"/>
          </w:tcPr>
          <w:p>
            <w:pPr>
              <w:spacing w:before="93" w:line="187"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658" w:type="dxa"/>
            <w:vAlign w:val="top"/>
          </w:tcPr>
          <w:p>
            <w:pPr>
              <w:spacing w:before="93"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657" w:type="dxa"/>
            <w:vAlign w:val="top"/>
          </w:tcPr>
          <w:p>
            <w:pPr>
              <w:spacing w:before="93" w:line="187" w:lineRule="auto"/>
              <w:ind w:left="27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57" w:type="dxa"/>
            <w:vAlign w:val="top"/>
          </w:tcPr>
          <w:p>
            <w:pPr>
              <w:spacing w:before="93"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657" w:type="dxa"/>
            <w:vAlign w:val="top"/>
          </w:tcPr>
          <w:p>
            <w:pPr>
              <w:spacing w:before="96" w:line="184"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55" w:type="dxa"/>
            <w:vAlign w:val="top"/>
          </w:tcPr>
          <w:p>
            <w:pPr>
              <w:spacing w:before="93"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95</w:t>
            </w:r>
          </w:p>
        </w:tc>
        <w:tc>
          <w:tcPr>
            <w:tcW w:w="665" w:type="dxa"/>
            <w:vAlign w:val="top"/>
          </w:tcPr>
          <w:p>
            <w:pPr>
              <w:spacing w:before="93"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583" w:type="dxa"/>
            <w:vAlign w:val="top"/>
          </w:tcPr>
          <w:p>
            <w:pPr>
              <w:spacing w:before="93"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3"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3"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3"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3"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3"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3"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54.3</w:t>
            </w:r>
          </w:p>
        </w:tc>
        <w:tc>
          <w:tcPr>
            <w:tcW w:w="657" w:type="dxa"/>
            <w:vAlign w:val="top"/>
          </w:tcPr>
          <w:p>
            <w:pPr>
              <w:spacing w:before="93"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48.8</w:t>
            </w:r>
          </w:p>
        </w:tc>
        <w:tc>
          <w:tcPr>
            <w:tcW w:w="655" w:type="dxa"/>
            <w:vAlign w:val="top"/>
          </w:tcPr>
          <w:p>
            <w:pPr>
              <w:spacing w:before="93"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657" w:type="dxa"/>
            <w:vAlign w:val="top"/>
          </w:tcPr>
          <w:p>
            <w:pPr>
              <w:spacing w:before="93"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656" w:type="dxa"/>
            <w:vAlign w:val="top"/>
          </w:tcPr>
          <w:p>
            <w:pPr>
              <w:spacing w:before="93"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61.0</w:t>
            </w:r>
          </w:p>
        </w:tc>
        <w:tc>
          <w:tcPr>
            <w:tcW w:w="669" w:type="dxa"/>
            <w:vAlign w:val="top"/>
          </w:tcPr>
          <w:p>
            <w:pPr>
              <w:spacing w:before="93"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continue"/>
            <w:tcBorders>
              <w:top w:val="nil"/>
              <w:bottom w:val="nil"/>
            </w:tcBorders>
            <w:vAlign w:val="top"/>
          </w:tcPr>
          <w:p>
            <w:pPr>
              <w:rPr>
                <w:rFonts w:ascii="Arial"/>
                <w:sz w:val="21"/>
              </w:rPr>
            </w:pPr>
          </w:p>
        </w:tc>
        <w:tc>
          <w:tcPr>
            <w:tcW w:w="605" w:type="dxa"/>
            <w:vMerge w:val="restart"/>
            <w:tcBorders>
              <w:bottom w:val="nil"/>
            </w:tcBorders>
            <w:vAlign w:val="top"/>
          </w:tcPr>
          <w:p>
            <w:pPr>
              <w:pStyle w:val="6"/>
              <w:spacing w:before="237" w:line="234" w:lineRule="auto"/>
              <w:ind w:left="198" w:right="103" w:hanging="94"/>
            </w:pPr>
            <w:r>
              <w:rPr>
                <w:rFonts w:ascii="Times New Roman" w:hAnsi="Times New Roman" w:eastAsia="Times New Roman" w:cs="Times New Roman"/>
                <w:spacing w:val="-8"/>
              </w:rPr>
              <w:t xml:space="preserve">A </w:t>
            </w:r>
            <w:r>
              <w:rPr>
                <w:spacing w:val="-8"/>
              </w:rPr>
              <w:t>匝</w:t>
            </w:r>
            <w:r>
              <w:t xml:space="preserve"> 道</w:t>
            </w:r>
          </w:p>
        </w:tc>
        <w:tc>
          <w:tcPr>
            <w:tcW w:w="852" w:type="dxa"/>
            <w:vAlign w:val="top"/>
          </w:tcPr>
          <w:p>
            <w:pPr>
              <w:pStyle w:val="6"/>
              <w:spacing w:before="53" w:line="221" w:lineRule="auto"/>
              <w:ind w:left="218"/>
            </w:pPr>
            <w:r>
              <w:rPr>
                <w:spacing w:val="-2"/>
              </w:rPr>
              <w:t>近期</w:t>
            </w:r>
          </w:p>
        </w:tc>
        <w:tc>
          <w:tcPr>
            <w:tcW w:w="657" w:type="dxa"/>
            <w:vAlign w:val="top"/>
          </w:tcPr>
          <w:p>
            <w:pPr>
              <w:spacing w:before="91"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657" w:type="dxa"/>
            <w:vAlign w:val="top"/>
          </w:tcPr>
          <w:p>
            <w:pPr>
              <w:spacing w:before="91"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658" w:type="dxa"/>
            <w:vAlign w:val="top"/>
          </w:tcPr>
          <w:p>
            <w:pPr>
              <w:spacing w:before="91"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657" w:type="dxa"/>
            <w:vAlign w:val="top"/>
          </w:tcPr>
          <w:p>
            <w:pPr>
              <w:spacing w:before="94" w:line="184"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57" w:type="dxa"/>
            <w:vAlign w:val="top"/>
          </w:tcPr>
          <w:p>
            <w:pPr>
              <w:spacing w:before="91"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657" w:type="dxa"/>
            <w:vAlign w:val="top"/>
          </w:tcPr>
          <w:p>
            <w:pPr>
              <w:spacing w:before="91"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655" w:type="dxa"/>
            <w:vAlign w:val="top"/>
          </w:tcPr>
          <w:p>
            <w:pPr>
              <w:spacing w:before="91"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135</w:t>
            </w:r>
          </w:p>
        </w:tc>
        <w:tc>
          <w:tcPr>
            <w:tcW w:w="665" w:type="dxa"/>
            <w:vAlign w:val="top"/>
          </w:tcPr>
          <w:p>
            <w:pPr>
              <w:spacing w:before="91"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1"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1"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55.8</w:t>
            </w:r>
          </w:p>
        </w:tc>
        <w:tc>
          <w:tcPr>
            <w:tcW w:w="657" w:type="dxa"/>
            <w:vAlign w:val="top"/>
          </w:tcPr>
          <w:p>
            <w:pPr>
              <w:spacing w:before="91"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50.4</w:t>
            </w:r>
          </w:p>
        </w:tc>
        <w:tc>
          <w:tcPr>
            <w:tcW w:w="655" w:type="dxa"/>
            <w:vAlign w:val="top"/>
          </w:tcPr>
          <w:p>
            <w:pPr>
              <w:spacing w:before="91"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c>
          <w:tcPr>
            <w:tcW w:w="657" w:type="dxa"/>
            <w:vAlign w:val="top"/>
          </w:tcPr>
          <w:p>
            <w:pPr>
              <w:spacing w:before="91"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656" w:type="dxa"/>
            <w:vAlign w:val="top"/>
          </w:tcPr>
          <w:p>
            <w:pPr>
              <w:spacing w:before="91"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62.6</w:t>
            </w:r>
          </w:p>
        </w:tc>
        <w:tc>
          <w:tcPr>
            <w:tcW w:w="669" w:type="dxa"/>
            <w:vAlign w:val="top"/>
          </w:tcPr>
          <w:p>
            <w:pPr>
              <w:spacing w:before="91"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continue"/>
            <w:tcBorders>
              <w:top w:val="nil"/>
              <w:bottom w:val="nil"/>
            </w:tcBorders>
            <w:vAlign w:val="top"/>
          </w:tcPr>
          <w:p>
            <w:pPr>
              <w:rPr>
                <w:rFonts w:ascii="Arial"/>
                <w:sz w:val="21"/>
              </w:rPr>
            </w:pPr>
          </w:p>
        </w:tc>
        <w:tc>
          <w:tcPr>
            <w:tcW w:w="605" w:type="dxa"/>
            <w:vMerge w:val="continue"/>
            <w:tcBorders>
              <w:top w:val="nil"/>
              <w:bottom w:val="nil"/>
            </w:tcBorders>
            <w:vAlign w:val="top"/>
          </w:tcPr>
          <w:p>
            <w:pPr>
              <w:rPr>
                <w:rFonts w:ascii="Arial"/>
                <w:sz w:val="21"/>
              </w:rPr>
            </w:pPr>
          </w:p>
        </w:tc>
        <w:tc>
          <w:tcPr>
            <w:tcW w:w="852" w:type="dxa"/>
            <w:vAlign w:val="top"/>
          </w:tcPr>
          <w:p>
            <w:pPr>
              <w:pStyle w:val="6"/>
              <w:spacing w:before="53" w:line="221" w:lineRule="auto"/>
              <w:ind w:left="239"/>
            </w:pPr>
            <w:r>
              <w:rPr>
                <w:spacing w:val="-7"/>
              </w:rPr>
              <w:t>中期</w:t>
            </w:r>
          </w:p>
        </w:tc>
        <w:tc>
          <w:tcPr>
            <w:tcW w:w="657" w:type="dxa"/>
            <w:vAlign w:val="top"/>
          </w:tcPr>
          <w:p>
            <w:pPr>
              <w:spacing w:before="91" w:line="187" w:lineRule="auto"/>
              <w:ind w:left="18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179</w:t>
            </w:r>
          </w:p>
        </w:tc>
        <w:tc>
          <w:tcPr>
            <w:tcW w:w="657" w:type="dxa"/>
            <w:vAlign w:val="top"/>
          </w:tcPr>
          <w:p>
            <w:pPr>
              <w:spacing w:before="91"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658" w:type="dxa"/>
            <w:vAlign w:val="top"/>
          </w:tcPr>
          <w:p>
            <w:pPr>
              <w:spacing w:before="91"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657" w:type="dxa"/>
            <w:vAlign w:val="top"/>
          </w:tcPr>
          <w:p>
            <w:pPr>
              <w:spacing w:before="91" w:line="187" w:lineRule="auto"/>
              <w:ind w:left="280"/>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657" w:type="dxa"/>
            <w:vAlign w:val="top"/>
          </w:tcPr>
          <w:p>
            <w:pPr>
              <w:spacing w:before="91"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tc>
        <w:tc>
          <w:tcPr>
            <w:tcW w:w="657" w:type="dxa"/>
            <w:vAlign w:val="top"/>
          </w:tcPr>
          <w:p>
            <w:pPr>
              <w:spacing w:before="91"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655" w:type="dxa"/>
            <w:vAlign w:val="top"/>
          </w:tcPr>
          <w:p>
            <w:pPr>
              <w:spacing w:before="91"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264</w:t>
            </w:r>
          </w:p>
        </w:tc>
        <w:tc>
          <w:tcPr>
            <w:tcW w:w="665" w:type="dxa"/>
            <w:vAlign w:val="top"/>
          </w:tcPr>
          <w:p>
            <w:pPr>
              <w:spacing w:before="94" w:line="184"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1"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1"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1"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58.7</w:t>
            </w:r>
          </w:p>
        </w:tc>
        <w:tc>
          <w:tcPr>
            <w:tcW w:w="657" w:type="dxa"/>
            <w:vAlign w:val="top"/>
          </w:tcPr>
          <w:p>
            <w:pPr>
              <w:spacing w:before="91"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53.3</w:t>
            </w:r>
          </w:p>
        </w:tc>
        <w:tc>
          <w:tcPr>
            <w:tcW w:w="655" w:type="dxa"/>
            <w:vAlign w:val="top"/>
          </w:tcPr>
          <w:p>
            <w:pPr>
              <w:spacing w:before="91"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56.7</w:t>
            </w:r>
          </w:p>
        </w:tc>
        <w:tc>
          <w:tcPr>
            <w:tcW w:w="657" w:type="dxa"/>
            <w:vAlign w:val="top"/>
          </w:tcPr>
          <w:p>
            <w:pPr>
              <w:spacing w:before="91"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51.2</w:t>
            </w:r>
          </w:p>
        </w:tc>
        <w:tc>
          <w:tcPr>
            <w:tcW w:w="656" w:type="dxa"/>
            <w:vAlign w:val="top"/>
          </w:tcPr>
          <w:p>
            <w:pPr>
              <w:spacing w:before="91"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65.8</w:t>
            </w:r>
          </w:p>
        </w:tc>
        <w:tc>
          <w:tcPr>
            <w:tcW w:w="669" w:type="dxa"/>
            <w:vAlign w:val="top"/>
          </w:tcPr>
          <w:p>
            <w:pPr>
              <w:spacing w:before="91" w:line="187"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53" w:type="dxa"/>
            <w:vMerge w:val="continue"/>
            <w:tcBorders>
              <w:top w:val="nil"/>
            </w:tcBorders>
            <w:vAlign w:val="top"/>
          </w:tcPr>
          <w:p>
            <w:pPr>
              <w:rPr>
                <w:rFonts w:ascii="Arial"/>
                <w:sz w:val="21"/>
              </w:rPr>
            </w:pPr>
          </w:p>
        </w:tc>
        <w:tc>
          <w:tcPr>
            <w:tcW w:w="605" w:type="dxa"/>
            <w:vMerge w:val="continue"/>
            <w:tcBorders>
              <w:top w:val="nil"/>
            </w:tcBorders>
            <w:vAlign w:val="top"/>
          </w:tcPr>
          <w:p>
            <w:pPr>
              <w:rPr>
                <w:rFonts w:ascii="Arial"/>
                <w:sz w:val="21"/>
              </w:rPr>
            </w:pPr>
          </w:p>
        </w:tc>
        <w:tc>
          <w:tcPr>
            <w:tcW w:w="852" w:type="dxa"/>
            <w:vAlign w:val="top"/>
          </w:tcPr>
          <w:p>
            <w:pPr>
              <w:pStyle w:val="6"/>
              <w:spacing w:before="54" w:line="221" w:lineRule="auto"/>
              <w:ind w:left="219"/>
            </w:pPr>
            <w:r>
              <w:rPr>
                <w:spacing w:val="-2"/>
              </w:rPr>
              <w:t>远期</w:t>
            </w:r>
          </w:p>
        </w:tc>
        <w:tc>
          <w:tcPr>
            <w:tcW w:w="657" w:type="dxa"/>
            <w:vAlign w:val="top"/>
          </w:tcPr>
          <w:p>
            <w:pPr>
              <w:spacing w:before="92"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239</w:t>
            </w:r>
          </w:p>
        </w:tc>
        <w:tc>
          <w:tcPr>
            <w:tcW w:w="657" w:type="dxa"/>
            <w:vAlign w:val="top"/>
          </w:tcPr>
          <w:p>
            <w:pPr>
              <w:spacing w:before="92" w:line="187" w:lineRule="auto"/>
              <w:ind w:left="2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w:t>
            </w:r>
          </w:p>
        </w:tc>
        <w:tc>
          <w:tcPr>
            <w:tcW w:w="658" w:type="dxa"/>
            <w:vAlign w:val="top"/>
          </w:tcPr>
          <w:p>
            <w:pPr>
              <w:spacing w:before="92"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57" w:type="dxa"/>
            <w:vAlign w:val="top"/>
          </w:tcPr>
          <w:p>
            <w:pPr>
              <w:spacing w:before="92"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657" w:type="dxa"/>
            <w:vAlign w:val="top"/>
          </w:tcPr>
          <w:p>
            <w:pPr>
              <w:spacing w:before="92"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57" w:type="dxa"/>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655" w:type="dxa"/>
            <w:vAlign w:val="top"/>
          </w:tcPr>
          <w:p>
            <w:pPr>
              <w:spacing w:before="92"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351</w:t>
            </w:r>
          </w:p>
        </w:tc>
        <w:tc>
          <w:tcPr>
            <w:tcW w:w="665" w:type="dxa"/>
            <w:vAlign w:val="top"/>
          </w:tcPr>
          <w:p>
            <w:pPr>
              <w:spacing w:before="92"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583"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1"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83" w:type="dxa"/>
            <w:vAlign w:val="top"/>
          </w:tcPr>
          <w:p>
            <w:pPr>
              <w:spacing w:before="92"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591" w:type="dxa"/>
            <w:vAlign w:val="top"/>
          </w:tcPr>
          <w:p>
            <w:pPr>
              <w:spacing w:before="92"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55" w:type="dxa"/>
            <w:vAlign w:val="top"/>
          </w:tcPr>
          <w:p>
            <w:pPr>
              <w:spacing w:before="92" w:line="187" w:lineRule="auto"/>
              <w:ind w:left="1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657" w:type="dxa"/>
            <w:vAlign w:val="top"/>
          </w:tcPr>
          <w:p>
            <w:pPr>
              <w:spacing w:before="92"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54.5</w:t>
            </w:r>
          </w:p>
        </w:tc>
        <w:tc>
          <w:tcPr>
            <w:tcW w:w="655" w:type="dxa"/>
            <w:vAlign w:val="top"/>
          </w:tcPr>
          <w:p>
            <w:pPr>
              <w:spacing w:before="92"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58.6</w:t>
            </w:r>
          </w:p>
        </w:tc>
        <w:tc>
          <w:tcPr>
            <w:tcW w:w="657" w:type="dxa"/>
            <w:vAlign w:val="top"/>
          </w:tcPr>
          <w:p>
            <w:pPr>
              <w:spacing w:before="92"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656" w:type="dxa"/>
            <w:vAlign w:val="top"/>
          </w:tcPr>
          <w:p>
            <w:pPr>
              <w:spacing w:before="92"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66.6</w:t>
            </w:r>
          </w:p>
        </w:tc>
        <w:tc>
          <w:tcPr>
            <w:tcW w:w="669" w:type="dxa"/>
            <w:vAlign w:val="top"/>
          </w:tcPr>
          <w:p>
            <w:pPr>
              <w:spacing w:before="92" w:line="187"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61.2</w:t>
            </w:r>
          </w:p>
        </w:tc>
      </w:tr>
    </w:tbl>
    <w:p>
      <w:pPr>
        <w:spacing w:before="29" w:line="220" w:lineRule="auto"/>
        <w:ind w:left="863"/>
        <w:rPr>
          <w:rFonts w:ascii="宋体" w:hAnsi="宋体" w:eastAsia="宋体" w:cs="宋体"/>
          <w:sz w:val="21"/>
          <w:szCs w:val="21"/>
        </w:rPr>
      </w:pPr>
      <w:r>
        <w:rPr>
          <w:rFonts w:ascii="宋体" w:hAnsi="宋体" w:eastAsia="宋体" w:cs="宋体"/>
          <w:spacing w:val="-6"/>
          <w:sz w:val="21"/>
          <w:szCs w:val="21"/>
        </w:rPr>
        <w:t>注：本次保守计算，</w:t>
      </w:r>
      <w:r>
        <w:rPr>
          <w:rFonts w:ascii="宋体" w:hAnsi="宋体" w:eastAsia="宋体" w:cs="宋体"/>
          <w:spacing w:val="-17"/>
          <w:sz w:val="21"/>
          <w:szCs w:val="21"/>
        </w:rPr>
        <w:t xml:space="preserve"> </w:t>
      </w:r>
      <w:r>
        <w:rPr>
          <w:rFonts w:ascii="宋体" w:hAnsi="宋体" w:eastAsia="宋体" w:cs="宋体"/>
          <w:spacing w:val="-6"/>
          <w:sz w:val="21"/>
          <w:szCs w:val="21"/>
        </w:rPr>
        <w:t>车速采用设计车速。</w:t>
      </w:r>
    </w:p>
    <w:p>
      <w:pPr>
        <w:spacing w:line="220" w:lineRule="auto"/>
        <w:rPr>
          <w:rFonts w:ascii="宋体" w:hAnsi="宋体" w:eastAsia="宋体" w:cs="宋体"/>
          <w:sz w:val="21"/>
          <w:szCs w:val="21"/>
        </w:rPr>
        <w:sectPr>
          <w:pgSz w:w="16839" w:h="11907"/>
          <w:pgMar w:top="1289" w:right="1003" w:bottom="1184" w:left="1005" w:header="1048" w:footer="1024" w:gutter="0"/>
          <w:cols w:space="720" w:num="1"/>
        </w:sectPr>
      </w:pPr>
    </w:p>
    <w:p>
      <w:pPr>
        <w:pStyle w:val="2"/>
        <w:spacing w:line="256" w:lineRule="auto"/>
      </w:pPr>
    </w:p>
    <w:p>
      <w:pPr>
        <w:spacing w:before="78" w:line="219"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）隧道风机噪声</w:t>
      </w:r>
    </w:p>
    <w:p>
      <w:pPr>
        <w:spacing w:before="181" w:line="468" w:lineRule="exact"/>
        <w:ind w:right="27"/>
        <w:jc w:val="right"/>
        <w:rPr>
          <w:rFonts w:ascii="宋体" w:hAnsi="宋体" w:eastAsia="宋体" w:cs="宋体"/>
          <w:sz w:val="24"/>
          <w:szCs w:val="24"/>
        </w:rPr>
      </w:pPr>
      <w:r>
        <w:rPr>
          <w:rFonts w:ascii="宋体" w:hAnsi="宋体" w:eastAsia="宋体" w:cs="宋体"/>
          <w:spacing w:val="27"/>
          <w:position w:val="17"/>
          <w:sz w:val="24"/>
          <w:szCs w:val="24"/>
        </w:rPr>
        <w:t>项目隧道采用射流风机机械通风，采用双可逆式射流风机，声功率级</w:t>
      </w:r>
    </w:p>
    <w:p>
      <w:pPr>
        <w:spacing w:line="219" w:lineRule="auto"/>
        <w:ind w:left="38"/>
        <w:rPr>
          <w:rFonts w:ascii="宋体" w:hAnsi="宋体" w:eastAsia="宋体" w:cs="宋体"/>
          <w:sz w:val="24"/>
          <w:szCs w:val="24"/>
        </w:rPr>
      </w:pPr>
      <w:r>
        <w:rPr>
          <w:rFonts w:ascii="Times New Roman" w:hAnsi="Times New Roman" w:eastAsia="Times New Roman" w:cs="Times New Roman"/>
          <w:spacing w:val="-2"/>
          <w:sz w:val="24"/>
          <w:szCs w:val="24"/>
        </w:rPr>
        <w:t>95-</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105dB</w:t>
      </w:r>
      <w:r>
        <w:rPr>
          <w:rFonts w:ascii="宋体" w:hAnsi="宋体" w:eastAsia="宋体" w:cs="宋体"/>
          <w:spacing w:val="-2"/>
          <w:sz w:val="24"/>
          <w:szCs w:val="24"/>
        </w:rPr>
        <w:t>，配备整体式消声器的声功率级</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65-7</w:t>
      </w:r>
      <w:r>
        <w:rPr>
          <w:rFonts w:ascii="Times New Roman" w:hAnsi="Times New Roman" w:eastAsia="Times New Roman" w:cs="Times New Roman"/>
          <w:spacing w:val="-3"/>
          <w:sz w:val="24"/>
          <w:szCs w:val="24"/>
        </w:rPr>
        <w:t>5dB</w:t>
      </w:r>
      <w:r>
        <w:rPr>
          <w:rFonts w:ascii="宋体" w:hAnsi="宋体" w:eastAsia="宋体" w:cs="宋体"/>
          <w:spacing w:val="-3"/>
          <w:sz w:val="24"/>
          <w:szCs w:val="24"/>
        </w:rPr>
        <w:t>。</w:t>
      </w:r>
    </w:p>
    <w:p>
      <w:pPr>
        <w:spacing w:before="180" w:line="220" w:lineRule="auto"/>
        <w:ind w:left="513"/>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、废气污染源</w:t>
      </w:r>
    </w:p>
    <w:p>
      <w:pPr>
        <w:spacing w:before="181" w:line="466" w:lineRule="exact"/>
        <w:ind w:left="524"/>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1</w:t>
      </w:r>
      <w:r>
        <w:rPr>
          <w:rFonts w:ascii="宋体" w:hAnsi="宋体" w:eastAsia="宋体" w:cs="宋体"/>
          <w:spacing w:val="-2"/>
          <w:position w:val="17"/>
          <w:sz w:val="24"/>
          <w:szCs w:val="24"/>
        </w:rPr>
        <w:t>）公路污染源强</w:t>
      </w:r>
    </w:p>
    <w:p>
      <w:pPr>
        <w:spacing w:before="1" w:line="219" w:lineRule="auto"/>
        <w:ind w:left="536"/>
        <w:rPr>
          <w:rFonts w:ascii="宋体" w:hAnsi="宋体" w:eastAsia="宋体" w:cs="宋体"/>
          <w:sz w:val="24"/>
          <w:szCs w:val="24"/>
        </w:rPr>
      </w:pPr>
      <w:r>
        <w:rPr>
          <w:rFonts w:ascii="Times New Roman" w:hAnsi="Times New Roman" w:eastAsia="Times New Roman" w:cs="Times New Roman"/>
          <w:spacing w:val="-7"/>
          <w:sz w:val="24"/>
          <w:szCs w:val="24"/>
        </w:rPr>
        <w:t>1</w:t>
      </w:r>
      <w:r>
        <w:rPr>
          <w:rFonts w:ascii="宋体" w:hAnsi="宋体" w:eastAsia="宋体" w:cs="宋体"/>
          <w:spacing w:val="-7"/>
          <w:sz w:val="24"/>
          <w:szCs w:val="24"/>
        </w:rPr>
        <w:t>）源强计算</w:t>
      </w:r>
    </w:p>
    <w:p>
      <w:pPr>
        <w:spacing w:before="182" w:line="466" w:lineRule="exact"/>
        <w:ind w:right="37"/>
        <w:jc w:val="right"/>
        <w:rPr>
          <w:rFonts w:ascii="宋体" w:hAnsi="宋体" w:eastAsia="宋体" w:cs="宋体"/>
          <w:sz w:val="24"/>
          <w:szCs w:val="24"/>
        </w:rPr>
      </w:pPr>
      <w:r>
        <w:rPr>
          <w:rFonts w:ascii="宋体" w:hAnsi="宋体" w:eastAsia="宋体" w:cs="宋体"/>
          <w:spacing w:val="3"/>
          <w:position w:val="17"/>
          <w:sz w:val="24"/>
          <w:szCs w:val="24"/>
        </w:rPr>
        <w:t>运行期本工程环境空气污染源主要为道路行</w:t>
      </w:r>
      <w:r>
        <w:rPr>
          <w:rFonts w:ascii="宋体" w:hAnsi="宋体" w:eastAsia="宋体" w:cs="宋体"/>
          <w:spacing w:val="2"/>
          <w:position w:val="17"/>
          <w:sz w:val="24"/>
          <w:szCs w:val="24"/>
        </w:rPr>
        <w:t>驶车辆排放的废气，尾气中主要</w:t>
      </w:r>
    </w:p>
    <w:p>
      <w:pPr>
        <w:spacing w:before="1" w:line="219" w:lineRule="auto"/>
        <w:ind w:left="40"/>
        <w:rPr>
          <w:rFonts w:ascii="宋体" w:hAnsi="宋体" w:eastAsia="宋体" w:cs="宋体"/>
          <w:sz w:val="24"/>
          <w:szCs w:val="24"/>
        </w:rPr>
      </w:pPr>
      <w:r>
        <w:rPr>
          <w:rFonts w:ascii="宋体" w:hAnsi="宋体" w:eastAsia="宋体" w:cs="宋体"/>
          <w:spacing w:val="-3"/>
          <w:sz w:val="24"/>
          <w:szCs w:val="24"/>
        </w:rPr>
        <w:t>污染物为</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NOx </w:t>
      </w:r>
      <w:r>
        <w:rPr>
          <w:rFonts w:ascii="宋体" w:hAnsi="宋体" w:eastAsia="宋体" w:cs="宋体"/>
          <w:spacing w:val="-3"/>
          <w:sz w:val="24"/>
          <w:szCs w:val="24"/>
        </w:rPr>
        <w:t>和</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CO</w:t>
      </w:r>
      <w:r>
        <w:rPr>
          <w:rFonts w:ascii="宋体" w:hAnsi="宋体" w:eastAsia="宋体" w:cs="宋体"/>
          <w:spacing w:val="-3"/>
          <w:sz w:val="24"/>
          <w:szCs w:val="24"/>
        </w:rPr>
        <w:t>。道路气态污染物排放源强按下式计算：</w:t>
      </w:r>
    </w:p>
    <w:p>
      <w:pPr>
        <w:spacing w:before="201"/>
        <w:ind w:left="3409"/>
        <w:rPr>
          <w:rFonts w:ascii="Times New Roman" w:hAnsi="Times New Roman" w:eastAsia="Times New Roman" w:cs="Times New Roman"/>
          <w:sz w:val="12"/>
          <w:szCs w:val="12"/>
        </w:rPr>
      </w:pPr>
      <w:r>
        <w:rPr>
          <w:rFonts w:ascii="Times New Roman" w:hAnsi="Times New Roman" w:eastAsia="Times New Roman" w:cs="Times New Roman"/>
          <w:i/>
          <w:iCs/>
          <w:position w:val="2"/>
          <w:sz w:val="21"/>
          <w:szCs w:val="21"/>
        </w:rPr>
        <w:t>Q</w:t>
      </w:r>
      <w:r>
        <w:rPr>
          <w:rFonts w:ascii="Times New Roman" w:hAnsi="Times New Roman" w:eastAsia="Times New Roman" w:cs="Times New Roman"/>
          <w:i/>
          <w:iCs/>
          <w:position w:val="-3"/>
          <w:sz w:val="12"/>
          <w:szCs w:val="12"/>
        </w:rPr>
        <w:t>j</w:t>
      </w:r>
      <w:r>
        <w:rPr>
          <w:rFonts w:ascii="Times New Roman" w:hAnsi="Times New Roman" w:eastAsia="Times New Roman" w:cs="Times New Roman"/>
          <w:i/>
          <w:iCs/>
          <w:spacing w:val="5"/>
          <w:position w:val="-3"/>
          <w:sz w:val="12"/>
          <w:szCs w:val="12"/>
        </w:rPr>
        <w:t xml:space="preserve">   </w:t>
      </w:r>
      <w:r>
        <w:rPr>
          <w:rFonts w:ascii="微软雅黑" w:hAnsi="微软雅黑" w:eastAsia="微软雅黑" w:cs="微软雅黑"/>
          <w:spacing w:val="5"/>
          <w:position w:val="2"/>
          <w:sz w:val="21"/>
          <w:szCs w:val="21"/>
        </w:rPr>
        <w:t xml:space="preserve">= </w:t>
      </w:r>
      <w:r>
        <w:rPr>
          <w:position w:val="-20"/>
          <w:sz w:val="21"/>
          <w:szCs w:val="21"/>
        </w:rPr>
        <w:drawing>
          <wp:inline distT="0" distB="0" distL="0" distR="0">
            <wp:extent cx="144145" cy="33845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457"/>
                    <a:stretch>
                      <a:fillRect/>
                    </a:stretch>
                  </pic:blipFill>
                  <pic:spPr>
                    <a:xfrm>
                      <a:off x="0" y="0"/>
                      <a:ext cx="144152" cy="338616"/>
                    </a:xfrm>
                    <a:prstGeom prst="rect">
                      <a:avLst/>
                    </a:prstGeom>
                  </pic:spPr>
                </pic:pic>
              </a:graphicData>
            </a:graphic>
          </wp:inline>
        </w:drawing>
      </w:r>
      <w:r>
        <w:rPr>
          <w:rFonts w:ascii="Times New Roman" w:hAnsi="Times New Roman" w:eastAsia="Times New Roman" w:cs="Times New Roman"/>
          <w:spacing w:val="5"/>
          <w:position w:val="2"/>
          <w:sz w:val="21"/>
          <w:szCs w:val="21"/>
        </w:rPr>
        <w:t>3600</w:t>
      </w:r>
      <w:r>
        <w:rPr>
          <w:rFonts w:ascii="微软雅黑" w:hAnsi="微软雅黑" w:eastAsia="微软雅黑" w:cs="微软雅黑"/>
          <w:spacing w:val="5"/>
          <w:position w:val="11"/>
          <w:sz w:val="12"/>
          <w:szCs w:val="12"/>
        </w:rPr>
        <w:t>−</w:t>
      </w:r>
      <w:r>
        <w:rPr>
          <w:rFonts w:ascii="Times New Roman" w:hAnsi="Times New Roman" w:eastAsia="Times New Roman" w:cs="Times New Roman"/>
          <w:spacing w:val="5"/>
          <w:position w:val="11"/>
          <w:sz w:val="12"/>
          <w:szCs w:val="12"/>
        </w:rPr>
        <w:t>1</w:t>
      </w:r>
      <w:r>
        <w:rPr>
          <w:rFonts w:ascii="Times New Roman" w:hAnsi="Times New Roman" w:eastAsia="Times New Roman" w:cs="Times New Roman"/>
          <w:i/>
          <w:iCs/>
          <w:position w:val="2"/>
          <w:sz w:val="21"/>
          <w:szCs w:val="21"/>
        </w:rPr>
        <w:t>A</w:t>
      </w:r>
      <w:r>
        <w:rPr>
          <w:rFonts w:ascii="Times New Roman" w:hAnsi="Times New Roman" w:eastAsia="Times New Roman" w:cs="Times New Roman"/>
          <w:i/>
          <w:iCs/>
          <w:position w:val="-3"/>
          <w:sz w:val="12"/>
          <w:szCs w:val="12"/>
        </w:rPr>
        <w:t xml:space="preserve">i </w:t>
      </w:r>
      <w:r>
        <w:rPr>
          <w:rFonts w:ascii="Times New Roman" w:hAnsi="Times New Roman" w:eastAsia="Times New Roman" w:cs="Times New Roman"/>
          <w:i/>
          <w:iCs/>
          <w:position w:val="2"/>
          <w:sz w:val="21"/>
          <w:szCs w:val="21"/>
        </w:rPr>
        <w:t>E</w:t>
      </w:r>
      <w:r>
        <w:rPr>
          <w:rFonts w:ascii="Times New Roman" w:hAnsi="Times New Roman" w:eastAsia="Times New Roman" w:cs="Times New Roman"/>
          <w:i/>
          <w:iCs/>
          <w:position w:val="-3"/>
          <w:sz w:val="12"/>
          <w:szCs w:val="12"/>
        </w:rPr>
        <w:t>ij</w:t>
      </w:r>
    </w:p>
    <w:p>
      <w:pPr>
        <w:spacing w:before="230" w:line="390" w:lineRule="auto"/>
        <w:ind w:left="522"/>
        <w:rPr>
          <w:rFonts w:ascii="宋体" w:hAnsi="宋体" w:eastAsia="宋体" w:cs="宋体"/>
          <w:sz w:val="24"/>
          <w:szCs w:val="24"/>
        </w:rPr>
      </w:pPr>
      <w:r>
        <w:rPr>
          <w:rFonts w:ascii="宋体" w:hAnsi="宋体" w:eastAsia="宋体" w:cs="宋体"/>
          <w:spacing w:val="-36"/>
          <w:sz w:val="24"/>
          <w:szCs w:val="24"/>
        </w:rPr>
        <w:t>式中：</w:t>
      </w:r>
      <w:r>
        <w:rPr>
          <w:rFonts w:ascii="宋体" w:hAnsi="宋体" w:eastAsia="宋体" w:cs="宋体"/>
          <w:spacing w:val="30"/>
          <w:sz w:val="24"/>
          <w:szCs w:val="24"/>
        </w:rPr>
        <w:t xml:space="preserve"> </w:t>
      </w:r>
      <w:r>
        <w:rPr>
          <w:rFonts w:ascii="Times New Roman" w:hAnsi="Times New Roman" w:eastAsia="Times New Roman" w:cs="Times New Roman"/>
          <w:i/>
          <w:iCs/>
          <w:spacing w:val="-36"/>
          <w:position w:val="13"/>
          <w:sz w:val="23"/>
          <w:szCs w:val="23"/>
        </w:rPr>
        <w:t>Q</w:t>
      </w:r>
      <w:r>
        <w:rPr>
          <w:rFonts w:ascii="Times New Roman" w:hAnsi="Times New Roman" w:eastAsia="Times New Roman" w:cs="Times New Roman"/>
          <w:i/>
          <w:iCs/>
          <w:spacing w:val="-3"/>
          <w:position w:val="7"/>
          <w:sz w:val="13"/>
          <w:szCs w:val="13"/>
        </w:rPr>
        <w:t>j</w:t>
      </w:r>
      <w:r>
        <w:rPr>
          <w:rFonts w:ascii="Times New Roman" w:hAnsi="Times New Roman" w:eastAsia="Times New Roman" w:cs="Times New Roman"/>
          <w:i/>
          <w:iCs/>
          <w:spacing w:val="11"/>
          <w:w w:val="101"/>
          <w:position w:val="7"/>
          <w:sz w:val="13"/>
          <w:szCs w:val="13"/>
        </w:rPr>
        <w:t xml:space="preserve"> </w:t>
      </w:r>
      <w:r>
        <w:rPr>
          <w:rFonts w:ascii="Times New Roman" w:hAnsi="Times New Roman" w:eastAsia="Times New Roman" w:cs="Times New Roman"/>
          <w:i/>
          <w:iCs/>
          <w:spacing w:val="-3"/>
          <w:position w:val="7"/>
          <w:sz w:val="13"/>
          <w:szCs w:val="13"/>
          <w:u w:val="single" w:color="auto"/>
        </w:rPr>
        <w:t xml:space="preserve">              </w:t>
      </w:r>
      <w:r>
        <w:rPr>
          <w:rFonts w:ascii="Times New Roman" w:hAnsi="Times New Roman" w:eastAsia="Times New Roman" w:cs="Times New Roman"/>
          <w:spacing w:val="-3"/>
          <w:sz w:val="24"/>
          <w:szCs w:val="24"/>
        </w:rPr>
        <w:t xml:space="preserve">j </w:t>
      </w:r>
      <w:r>
        <w:rPr>
          <w:rFonts w:ascii="宋体" w:hAnsi="宋体" w:eastAsia="宋体" w:cs="宋体"/>
          <w:spacing w:val="-3"/>
          <w:sz w:val="24"/>
          <w:szCs w:val="24"/>
        </w:rPr>
        <w:t>类气态污染物排放源强度，</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mg/(s.m)</w:t>
      </w:r>
      <w:r>
        <w:rPr>
          <w:rFonts w:ascii="宋体" w:hAnsi="宋体" w:eastAsia="宋体" w:cs="宋体"/>
          <w:spacing w:val="-4"/>
          <w:sz w:val="24"/>
          <w:szCs w:val="24"/>
        </w:rPr>
        <w:t>；</w:t>
      </w:r>
    </w:p>
    <w:p>
      <w:pPr>
        <w:spacing w:line="222" w:lineRule="auto"/>
        <w:ind w:left="1275"/>
        <w:rPr>
          <w:rFonts w:ascii="宋体" w:hAnsi="宋体" w:eastAsia="宋体" w:cs="宋体"/>
          <w:sz w:val="24"/>
          <w:szCs w:val="24"/>
        </w:rPr>
      </w:pPr>
      <w:r>
        <w:rPr>
          <w:rFonts w:ascii="Times New Roman" w:hAnsi="Times New Roman" w:eastAsia="Times New Roman" w:cs="Times New Roman"/>
          <w:i/>
          <w:iCs/>
          <w:position w:val="12"/>
          <w:sz w:val="24"/>
          <w:szCs w:val="24"/>
        </w:rPr>
        <w:t>A</w:t>
      </w:r>
      <w:r>
        <w:rPr>
          <w:rFonts w:ascii="Times New Roman" w:hAnsi="Times New Roman" w:eastAsia="Times New Roman" w:cs="Times New Roman"/>
          <w:i/>
          <w:iCs/>
          <w:position w:val="5"/>
          <w:sz w:val="14"/>
          <w:szCs w:val="14"/>
        </w:rPr>
        <w:t>i</w:t>
      </w:r>
      <w:r>
        <w:rPr>
          <w:rFonts w:ascii="Times New Roman" w:hAnsi="Times New Roman" w:eastAsia="Times New Roman" w:cs="Times New Roman"/>
          <w:i/>
          <w:iCs/>
          <w:spacing w:val="16"/>
          <w:w w:val="102"/>
          <w:position w:val="5"/>
          <w:sz w:val="14"/>
          <w:szCs w:val="14"/>
        </w:rPr>
        <w:t xml:space="preserve"> </w:t>
      </w:r>
      <w:r>
        <w:rPr>
          <w:rFonts w:ascii="Times New Roman" w:hAnsi="Times New Roman" w:eastAsia="Times New Roman" w:cs="Times New Roman"/>
          <w:i/>
          <w:iCs/>
          <w:spacing w:val="2"/>
          <w:position w:val="5"/>
          <w:sz w:val="14"/>
          <w:szCs w:val="14"/>
          <w:u w:val="single" w:color="auto"/>
        </w:rPr>
        <w:t xml:space="preserve">             </w:t>
      </w:r>
      <w:r>
        <w:rPr>
          <w:rFonts w:ascii="Times New Roman" w:hAnsi="Times New Roman" w:eastAsia="Times New Roman" w:cs="Times New Roman"/>
          <w:i/>
          <w:iCs/>
          <w:spacing w:val="-27"/>
          <w:position w:val="5"/>
          <w:sz w:val="14"/>
          <w:szCs w:val="14"/>
        </w:rPr>
        <w:t xml:space="preserve"> </w:t>
      </w:r>
      <w:r>
        <w:rPr>
          <w:rFonts w:ascii="Times New Roman" w:hAnsi="Times New Roman" w:eastAsia="Times New Roman" w:cs="Times New Roman"/>
          <w:sz w:val="24"/>
          <w:szCs w:val="24"/>
        </w:rPr>
        <w:t xml:space="preserve">i </w:t>
      </w:r>
      <w:r>
        <w:rPr>
          <w:rFonts w:ascii="宋体" w:hAnsi="宋体" w:eastAsia="宋体" w:cs="宋体"/>
          <w:sz w:val="24"/>
          <w:szCs w:val="24"/>
        </w:rPr>
        <w:t>类车预测年的小时交通量，辆</w:t>
      </w:r>
      <w:r>
        <w:rPr>
          <w:rFonts w:ascii="Times New Roman" w:hAnsi="Times New Roman" w:eastAsia="Times New Roman" w:cs="Times New Roman"/>
          <w:sz w:val="24"/>
          <w:szCs w:val="24"/>
        </w:rPr>
        <w:t>/h</w:t>
      </w:r>
      <w:r>
        <w:rPr>
          <w:rFonts w:ascii="宋体" w:hAnsi="宋体" w:eastAsia="宋体" w:cs="宋体"/>
          <w:sz w:val="24"/>
          <w:szCs w:val="24"/>
        </w:rPr>
        <w:t>；</w:t>
      </w:r>
    </w:p>
    <w:p>
      <w:pPr>
        <w:spacing w:before="209" w:line="349" w:lineRule="auto"/>
        <w:ind w:right="29"/>
        <w:jc w:val="right"/>
        <w:rPr>
          <w:rFonts w:ascii="宋体" w:hAnsi="宋体" w:eastAsia="宋体" w:cs="宋体"/>
          <w:sz w:val="24"/>
          <w:szCs w:val="24"/>
        </w:rPr>
      </w:pPr>
      <w:r>
        <w:rPr>
          <w:rFonts w:ascii="Times New Roman" w:hAnsi="Times New Roman" w:eastAsia="Times New Roman" w:cs="Times New Roman"/>
          <w:i/>
          <w:iCs/>
          <w:position w:val="13"/>
          <w:sz w:val="23"/>
          <w:szCs w:val="23"/>
        </w:rPr>
        <w:t>E</w:t>
      </w:r>
      <w:r>
        <w:rPr>
          <w:rFonts w:ascii="Times New Roman" w:hAnsi="Times New Roman" w:eastAsia="Times New Roman" w:cs="Times New Roman"/>
          <w:i/>
          <w:iCs/>
          <w:position w:val="7"/>
          <w:sz w:val="13"/>
          <w:szCs w:val="13"/>
        </w:rPr>
        <w:t>ij</w:t>
      </w:r>
      <w:r>
        <w:rPr>
          <w:rFonts w:ascii="Times New Roman" w:hAnsi="Times New Roman" w:eastAsia="Times New Roman" w:cs="Times New Roman"/>
          <w:i/>
          <w:iCs/>
          <w:spacing w:val="2"/>
          <w:position w:val="7"/>
          <w:sz w:val="13"/>
          <w:szCs w:val="13"/>
        </w:rPr>
        <w:t xml:space="preserve"> </w:t>
      </w:r>
      <w:r>
        <w:rPr>
          <w:rFonts w:ascii="Times New Roman" w:hAnsi="Times New Roman" w:eastAsia="Times New Roman" w:cs="Times New Roman"/>
          <w:i/>
          <w:iCs/>
          <w:spacing w:val="2"/>
          <w:position w:val="7"/>
          <w:sz w:val="13"/>
          <w:szCs w:val="13"/>
          <w:u w:val="single" w:color="auto"/>
        </w:rPr>
        <w:t xml:space="preserve">              </w:t>
      </w:r>
      <w:r>
        <w:rPr>
          <w:rFonts w:ascii="Times New Roman" w:hAnsi="Times New Roman" w:eastAsia="Times New Roman" w:cs="Times New Roman"/>
          <w:i/>
          <w:iCs/>
          <w:spacing w:val="-24"/>
          <w:position w:val="7"/>
          <w:sz w:val="13"/>
          <w:szCs w:val="13"/>
        </w:rPr>
        <w:t xml:space="preserve"> </w:t>
      </w:r>
      <w:r>
        <w:rPr>
          <w:rFonts w:ascii="宋体" w:hAnsi="宋体" w:eastAsia="宋体" w:cs="宋体"/>
          <w:spacing w:val="2"/>
          <w:sz w:val="24"/>
          <w:szCs w:val="24"/>
        </w:rPr>
        <w:t>汽车专用公路运行工况下</w:t>
      </w:r>
      <w:r>
        <w:rPr>
          <w:rFonts w:ascii="Times New Roman" w:hAnsi="Times New Roman" w:eastAsia="Times New Roman" w:cs="Times New Roman"/>
          <w:spacing w:val="2"/>
          <w:sz w:val="24"/>
          <w:szCs w:val="24"/>
        </w:rPr>
        <w:t xml:space="preserve">i </w:t>
      </w:r>
      <w:r>
        <w:rPr>
          <w:rFonts w:ascii="宋体" w:hAnsi="宋体" w:eastAsia="宋体" w:cs="宋体"/>
          <w:spacing w:val="2"/>
          <w:sz w:val="24"/>
          <w:szCs w:val="24"/>
        </w:rPr>
        <w:t>型车</w:t>
      </w:r>
      <w:r>
        <w:rPr>
          <w:rFonts w:ascii="Times New Roman" w:hAnsi="Times New Roman" w:eastAsia="Times New Roman" w:cs="Times New Roman"/>
          <w:spacing w:val="2"/>
          <w:sz w:val="24"/>
          <w:szCs w:val="24"/>
        </w:rPr>
        <w:t>j</w:t>
      </w:r>
      <w:r>
        <w:rPr>
          <w:rFonts w:ascii="Times New Roman" w:hAnsi="Times New Roman" w:eastAsia="Times New Roman" w:cs="Times New Roman"/>
          <w:spacing w:val="-12"/>
          <w:sz w:val="24"/>
          <w:szCs w:val="24"/>
        </w:rPr>
        <w:t xml:space="preserve"> </w:t>
      </w:r>
      <w:r>
        <w:rPr>
          <w:rFonts w:ascii="宋体" w:hAnsi="宋体" w:eastAsia="宋体" w:cs="宋体"/>
          <w:spacing w:val="2"/>
          <w:sz w:val="24"/>
          <w:szCs w:val="24"/>
        </w:rPr>
        <w:t>类</w:t>
      </w:r>
      <w:r>
        <w:rPr>
          <w:rFonts w:ascii="宋体" w:hAnsi="宋体" w:eastAsia="宋体" w:cs="宋体"/>
          <w:spacing w:val="1"/>
          <w:sz w:val="24"/>
          <w:szCs w:val="24"/>
        </w:rPr>
        <w:t>排放物在预测年的单车排放</w:t>
      </w:r>
    </w:p>
    <w:p>
      <w:pPr>
        <w:spacing w:line="212" w:lineRule="auto"/>
        <w:ind w:left="56"/>
        <w:rPr>
          <w:rFonts w:ascii="宋体" w:hAnsi="宋体" w:eastAsia="宋体" w:cs="宋体"/>
          <w:sz w:val="24"/>
          <w:szCs w:val="24"/>
        </w:rPr>
      </w:pPr>
      <w:r>
        <w:rPr>
          <w:rFonts w:ascii="宋体" w:hAnsi="宋体" w:eastAsia="宋体" w:cs="宋体"/>
          <w:spacing w:val="-12"/>
          <w:sz w:val="24"/>
          <w:szCs w:val="24"/>
        </w:rPr>
        <w:t xml:space="preserve">因子， </w:t>
      </w:r>
      <w:r>
        <w:rPr>
          <w:rFonts w:ascii="Times New Roman" w:hAnsi="Times New Roman" w:eastAsia="Times New Roman" w:cs="Times New Roman"/>
          <w:spacing w:val="-12"/>
          <w:sz w:val="24"/>
          <w:szCs w:val="24"/>
        </w:rPr>
        <w:t>mg/(</w:t>
      </w:r>
      <w:r>
        <w:rPr>
          <w:rFonts w:ascii="宋体" w:hAnsi="宋体" w:eastAsia="宋体" w:cs="宋体"/>
          <w:spacing w:val="-12"/>
          <w:sz w:val="24"/>
          <w:szCs w:val="24"/>
        </w:rPr>
        <w:t>辆</w:t>
      </w:r>
      <w:r>
        <w:rPr>
          <w:rFonts w:ascii="Times New Roman" w:hAnsi="Times New Roman" w:eastAsia="Times New Roman" w:cs="Times New Roman"/>
          <w:spacing w:val="-12"/>
          <w:sz w:val="24"/>
          <w:szCs w:val="24"/>
        </w:rPr>
        <w:t>.m)</w:t>
      </w:r>
      <w:r>
        <w:rPr>
          <w:rFonts w:ascii="宋体" w:hAnsi="宋体" w:eastAsia="宋体" w:cs="宋体"/>
          <w:spacing w:val="-12"/>
          <w:sz w:val="24"/>
          <w:szCs w:val="24"/>
        </w:rPr>
        <w:t>。</w:t>
      </w:r>
    </w:p>
    <w:p>
      <w:pPr>
        <w:spacing w:before="190" w:line="220" w:lineRule="auto"/>
        <w:ind w:left="513"/>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）计算参数</w:t>
      </w:r>
    </w:p>
    <w:p>
      <w:pPr>
        <w:spacing w:before="182" w:line="466" w:lineRule="exact"/>
        <w:ind w:right="38"/>
        <w:jc w:val="right"/>
        <w:rPr>
          <w:rFonts w:ascii="宋体" w:hAnsi="宋体" w:eastAsia="宋体" w:cs="宋体"/>
          <w:sz w:val="24"/>
          <w:szCs w:val="24"/>
        </w:rPr>
      </w:pPr>
      <w:r>
        <w:rPr>
          <w:rFonts w:ascii="宋体" w:hAnsi="宋体" w:eastAsia="宋体" w:cs="宋体"/>
          <w:spacing w:val="-9"/>
          <w:position w:val="17"/>
          <w:sz w:val="24"/>
          <w:szCs w:val="24"/>
          <w14:textOutline w14:w="4354" w14:cap="flat" w14:cmpd="sng">
            <w14:solidFill>
              <w14:srgbClr w14:val="000000"/>
            </w14:solidFill>
            <w14:prstDash w14:val="solid"/>
            <w14:miter w14:val="0"/>
          </w14:textOutline>
        </w:rPr>
        <w:t>预测年份：</w:t>
      </w:r>
      <w:r>
        <w:rPr>
          <w:rFonts w:ascii="宋体" w:hAnsi="宋体" w:eastAsia="宋体" w:cs="宋体"/>
          <w:spacing w:val="-9"/>
          <w:position w:val="17"/>
          <w:sz w:val="24"/>
          <w:szCs w:val="24"/>
        </w:rPr>
        <w:t xml:space="preserve"> 道路营运后的第</w:t>
      </w:r>
      <w:r>
        <w:rPr>
          <w:rFonts w:ascii="宋体" w:hAnsi="宋体" w:eastAsia="宋体" w:cs="宋体"/>
          <w:spacing w:val="-25"/>
          <w:position w:val="17"/>
          <w:sz w:val="24"/>
          <w:szCs w:val="24"/>
        </w:rPr>
        <w:t xml:space="preserve"> </w:t>
      </w:r>
      <w:r>
        <w:rPr>
          <w:rFonts w:ascii="Times New Roman" w:hAnsi="Times New Roman" w:eastAsia="Times New Roman" w:cs="Times New Roman"/>
          <w:spacing w:val="-9"/>
          <w:position w:val="17"/>
          <w:sz w:val="24"/>
          <w:szCs w:val="24"/>
        </w:rPr>
        <w:t>1</w:t>
      </w:r>
      <w:r>
        <w:rPr>
          <w:rFonts w:ascii="Times New Roman" w:hAnsi="Times New Roman" w:eastAsia="Times New Roman" w:cs="Times New Roman"/>
          <w:spacing w:val="15"/>
          <w:position w:val="17"/>
          <w:sz w:val="24"/>
          <w:szCs w:val="24"/>
        </w:rPr>
        <w:t xml:space="preserve"> </w:t>
      </w:r>
      <w:r>
        <w:rPr>
          <w:rFonts w:ascii="宋体" w:hAnsi="宋体" w:eastAsia="宋体" w:cs="宋体"/>
          <w:spacing w:val="-9"/>
          <w:position w:val="17"/>
          <w:sz w:val="24"/>
          <w:szCs w:val="24"/>
        </w:rPr>
        <w:t>年、第</w:t>
      </w:r>
      <w:r>
        <w:rPr>
          <w:rFonts w:ascii="宋体" w:hAnsi="宋体" w:eastAsia="宋体" w:cs="宋体"/>
          <w:spacing w:val="-46"/>
          <w:position w:val="17"/>
          <w:sz w:val="24"/>
          <w:szCs w:val="24"/>
        </w:rPr>
        <w:t xml:space="preserve"> </w:t>
      </w:r>
      <w:r>
        <w:rPr>
          <w:rFonts w:ascii="Times New Roman" w:hAnsi="Times New Roman" w:eastAsia="Times New Roman" w:cs="Times New Roman"/>
          <w:spacing w:val="-9"/>
          <w:position w:val="17"/>
          <w:sz w:val="24"/>
          <w:szCs w:val="24"/>
        </w:rPr>
        <w:t>7</w:t>
      </w:r>
      <w:r>
        <w:rPr>
          <w:rFonts w:ascii="Times New Roman" w:hAnsi="Times New Roman" w:eastAsia="Times New Roman" w:cs="Times New Roman"/>
          <w:spacing w:val="15"/>
          <w:position w:val="17"/>
          <w:sz w:val="24"/>
          <w:szCs w:val="24"/>
        </w:rPr>
        <w:t xml:space="preserve"> </w:t>
      </w:r>
      <w:r>
        <w:rPr>
          <w:rFonts w:ascii="宋体" w:hAnsi="宋体" w:eastAsia="宋体" w:cs="宋体"/>
          <w:spacing w:val="-9"/>
          <w:position w:val="17"/>
          <w:sz w:val="24"/>
          <w:szCs w:val="24"/>
        </w:rPr>
        <w:t>年和第</w:t>
      </w:r>
      <w:r>
        <w:rPr>
          <w:rFonts w:ascii="宋体" w:hAnsi="宋体" w:eastAsia="宋体" w:cs="宋体"/>
          <w:spacing w:val="-27"/>
          <w:position w:val="17"/>
          <w:sz w:val="24"/>
          <w:szCs w:val="24"/>
        </w:rPr>
        <w:t xml:space="preserve"> </w:t>
      </w:r>
      <w:r>
        <w:rPr>
          <w:rFonts w:ascii="Times New Roman" w:hAnsi="Times New Roman" w:eastAsia="Times New Roman" w:cs="Times New Roman"/>
          <w:spacing w:val="-9"/>
          <w:position w:val="17"/>
          <w:sz w:val="24"/>
          <w:szCs w:val="24"/>
        </w:rPr>
        <w:t>15</w:t>
      </w:r>
      <w:r>
        <w:rPr>
          <w:rFonts w:ascii="Times New Roman" w:hAnsi="Times New Roman" w:eastAsia="Times New Roman" w:cs="Times New Roman"/>
          <w:spacing w:val="15"/>
          <w:position w:val="17"/>
          <w:sz w:val="24"/>
          <w:szCs w:val="24"/>
        </w:rPr>
        <w:t xml:space="preserve"> </w:t>
      </w:r>
      <w:r>
        <w:rPr>
          <w:rFonts w:ascii="宋体" w:hAnsi="宋体" w:eastAsia="宋体" w:cs="宋体"/>
          <w:spacing w:val="-9"/>
          <w:position w:val="17"/>
          <w:sz w:val="24"/>
          <w:szCs w:val="24"/>
        </w:rPr>
        <w:t>年，即</w:t>
      </w:r>
      <w:r>
        <w:rPr>
          <w:rFonts w:ascii="宋体" w:hAnsi="宋体" w:eastAsia="宋体" w:cs="宋体"/>
          <w:spacing w:val="-50"/>
          <w:position w:val="17"/>
          <w:sz w:val="24"/>
          <w:szCs w:val="24"/>
        </w:rPr>
        <w:t xml:space="preserve"> </w:t>
      </w:r>
      <w:r>
        <w:rPr>
          <w:rFonts w:ascii="Times New Roman" w:hAnsi="Times New Roman" w:eastAsia="Times New Roman" w:cs="Times New Roman"/>
          <w:spacing w:val="-9"/>
          <w:position w:val="17"/>
          <w:sz w:val="24"/>
          <w:szCs w:val="24"/>
        </w:rPr>
        <w:t>2023</w:t>
      </w:r>
      <w:r>
        <w:rPr>
          <w:rFonts w:ascii="Times New Roman" w:hAnsi="Times New Roman" w:eastAsia="Times New Roman" w:cs="Times New Roman"/>
          <w:spacing w:val="15"/>
          <w:position w:val="17"/>
          <w:sz w:val="24"/>
          <w:szCs w:val="24"/>
        </w:rPr>
        <w:t xml:space="preserve"> </w:t>
      </w:r>
      <w:r>
        <w:rPr>
          <w:rFonts w:ascii="宋体" w:hAnsi="宋体" w:eastAsia="宋体" w:cs="宋体"/>
          <w:spacing w:val="-9"/>
          <w:position w:val="17"/>
          <w:sz w:val="24"/>
          <w:szCs w:val="24"/>
        </w:rPr>
        <w:t>年、</w:t>
      </w:r>
      <w:r>
        <w:rPr>
          <w:rFonts w:ascii="宋体" w:hAnsi="宋体" w:eastAsia="宋体" w:cs="宋体"/>
          <w:spacing w:val="-45"/>
          <w:position w:val="17"/>
          <w:sz w:val="24"/>
          <w:szCs w:val="24"/>
        </w:rPr>
        <w:t xml:space="preserve"> </w:t>
      </w:r>
      <w:r>
        <w:rPr>
          <w:rFonts w:ascii="Times New Roman" w:hAnsi="Times New Roman" w:eastAsia="Times New Roman" w:cs="Times New Roman"/>
          <w:spacing w:val="-9"/>
          <w:position w:val="17"/>
          <w:sz w:val="24"/>
          <w:szCs w:val="24"/>
        </w:rPr>
        <w:t>2029</w:t>
      </w:r>
      <w:r>
        <w:rPr>
          <w:rFonts w:ascii="Times New Roman" w:hAnsi="Times New Roman" w:eastAsia="Times New Roman" w:cs="Times New Roman"/>
          <w:spacing w:val="15"/>
          <w:position w:val="17"/>
          <w:sz w:val="24"/>
          <w:szCs w:val="24"/>
        </w:rPr>
        <w:t xml:space="preserve"> </w:t>
      </w:r>
      <w:r>
        <w:rPr>
          <w:rFonts w:ascii="宋体" w:hAnsi="宋体" w:eastAsia="宋体" w:cs="宋体"/>
          <w:spacing w:val="-9"/>
          <w:position w:val="17"/>
          <w:sz w:val="24"/>
          <w:szCs w:val="24"/>
        </w:rPr>
        <w:t>年、</w:t>
      </w:r>
    </w:p>
    <w:p>
      <w:pPr>
        <w:spacing w:before="1" w:line="219" w:lineRule="auto"/>
        <w:ind w:left="33"/>
        <w:rPr>
          <w:rFonts w:ascii="宋体" w:hAnsi="宋体" w:eastAsia="宋体" w:cs="宋体"/>
          <w:sz w:val="24"/>
          <w:szCs w:val="24"/>
        </w:rPr>
      </w:pPr>
      <w:r>
        <w:rPr>
          <w:rFonts w:ascii="Times New Roman" w:hAnsi="Times New Roman" w:eastAsia="Times New Roman" w:cs="Times New Roman"/>
          <w:spacing w:val="-5"/>
          <w:sz w:val="24"/>
          <w:szCs w:val="24"/>
        </w:rPr>
        <w:t>2037</w:t>
      </w:r>
      <w:r>
        <w:rPr>
          <w:rFonts w:ascii="Times New Roman" w:hAnsi="Times New Roman" w:eastAsia="Times New Roman" w:cs="Times New Roman"/>
          <w:spacing w:val="11"/>
          <w:sz w:val="24"/>
          <w:szCs w:val="24"/>
        </w:rPr>
        <w:t xml:space="preserve"> </w:t>
      </w:r>
      <w:r>
        <w:rPr>
          <w:rFonts w:ascii="宋体" w:hAnsi="宋体" w:eastAsia="宋体" w:cs="宋体"/>
          <w:spacing w:val="-5"/>
          <w:sz w:val="24"/>
          <w:szCs w:val="24"/>
        </w:rPr>
        <w:t>年。</w:t>
      </w:r>
    </w:p>
    <w:p>
      <w:pPr>
        <w:spacing w:before="182" w:line="508" w:lineRule="exact"/>
        <w:ind w:left="522"/>
        <w:rPr>
          <w:rFonts w:ascii="宋体" w:hAnsi="宋体" w:eastAsia="宋体" w:cs="宋体"/>
          <w:sz w:val="24"/>
          <w:szCs w:val="24"/>
        </w:rPr>
      </w:pPr>
      <w:r>
        <w:rPr>
          <w:rFonts w:ascii="宋体" w:hAnsi="宋体" w:eastAsia="宋体" w:cs="宋体"/>
          <w:spacing w:val="-3"/>
          <w:position w:val="20"/>
          <w:sz w:val="24"/>
          <w:szCs w:val="24"/>
          <w14:textOutline w14:w="4354" w14:cap="flat" w14:cmpd="sng">
            <w14:solidFill>
              <w14:srgbClr w14:val="000000"/>
            </w14:solidFill>
            <w14:prstDash w14:val="solid"/>
            <w14:miter w14:val="0"/>
          </w14:textOutline>
        </w:rPr>
        <w:t>车流量：</w:t>
      </w:r>
      <w:r>
        <w:rPr>
          <w:rFonts w:ascii="宋体" w:hAnsi="宋体" w:eastAsia="宋体" w:cs="宋体"/>
          <w:spacing w:val="-3"/>
          <w:position w:val="20"/>
          <w:sz w:val="24"/>
          <w:szCs w:val="24"/>
        </w:rPr>
        <w:t>高峰小时车流量计算公式如下。</w:t>
      </w:r>
    </w:p>
    <w:p>
      <w:pPr>
        <w:spacing w:before="2" w:line="165" w:lineRule="auto"/>
        <w:ind w:left="1390"/>
        <w:rPr>
          <w:rFonts w:ascii="Times New Roman" w:hAnsi="Times New Roman" w:eastAsia="Times New Roman" w:cs="Times New Roman"/>
          <w:sz w:val="14"/>
          <w:szCs w:val="14"/>
        </w:rPr>
      </w:pPr>
      <w:r>
        <w:rPr>
          <w:rFonts w:ascii="Times New Roman" w:hAnsi="Times New Roman" w:eastAsia="Times New Roman" w:cs="Times New Roman"/>
          <w:i/>
          <w:iCs/>
          <w:position w:val="1"/>
          <w:sz w:val="24"/>
          <w:szCs w:val="24"/>
        </w:rPr>
        <w:t>Q</w:t>
      </w:r>
      <w:r>
        <w:rPr>
          <w:rFonts w:ascii="Times New Roman" w:hAnsi="Times New Roman" w:eastAsia="Times New Roman" w:cs="Times New Roman"/>
          <w:i/>
          <w:iCs/>
          <w:position w:val="-5"/>
          <w:sz w:val="14"/>
          <w:szCs w:val="14"/>
        </w:rPr>
        <w:t>LG</w:t>
      </w:r>
      <w:r>
        <w:rPr>
          <w:rFonts w:ascii="Times New Roman" w:hAnsi="Times New Roman" w:eastAsia="Times New Roman" w:cs="Times New Roman"/>
          <w:i/>
          <w:iCs/>
          <w:spacing w:val="1"/>
          <w:position w:val="-5"/>
          <w:sz w:val="14"/>
          <w:szCs w:val="14"/>
        </w:rPr>
        <w:t xml:space="preserve">   </w:t>
      </w:r>
      <w:r>
        <w:rPr>
          <w:rFonts w:ascii="微软雅黑" w:hAnsi="微软雅黑" w:eastAsia="微软雅黑" w:cs="微软雅黑"/>
          <w:spacing w:val="-27"/>
          <w:position w:val="1"/>
          <w:sz w:val="24"/>
          <w:szCs w:val="24"/>
        </w:rPr>
        <w:t>=</w:t>
      </w:r>
      <w:r>
        <w:rPr>
          <w:rFonts w:ascii="微软雅黑" w:hAnsi="微软雅黑" w:eastAsia="微软雅黑" w:cs="微软雅黑"/>
          <w:spacing w:val="-3"/>
          <w:position w:val="1"/>
          <w:sz w:val="24"/>
          <w:szCs w:val="24"/>
        </w:rPr>
        <w:t xml:space="preserve"> </w:t>
      </w:r>
      <w:r>
        <w:rPr>
          <w:rFonts w:ascii="Times New Roman" w:hAnsi="Times New Roman" w:eastAsia="Times New Roman" w:cs="Times New Roman"/>
          <w:i/>
          <w:iCs/>
          <w:spacing w:val="-27"/>
          <w:position w:val="1"/>
          <w:sz w:val="24"/>
          <w:szCs w:val="24"/>
        </w:rPr>
        <w:t>Q</w:t>
      </w:r>
      <w:r>
        <w:rPr>
          <w:rFonts w:ascii="Times New Roman" w:hAnsi="Times New Roman" w:eastAsia="Times New Roman" w:cs="Times New Roman"/>
          <w:i/>
          <w:iCs/>
          <w:position w:val="-5"/>
          <w:sz w:val="14"/>
          <w:szCs w:val="14"/>
        </w:rPr>
        <w:t>L</w:t>
      </w:r>
      <w:r>
        <w:rPr>
          <w:rFonts w:ascii="Times New Roman" w:hAnsi="Times New Roman" w:eastAsia="Times New Roman" w:cs="Times New Roman"/>
          <w:i/>
          <w:iCs/>
          <w:spacing w:val="10"/>
          <w:position w:val="-5"/>
          <w:sz w:val="14"/>
          <w:szCs w:val="14"/>
        </w:rPr>
        <w:t xml:space="preserve">  </w:t>
      </w:r>
      <w:r>
        <w:rPr>
          <w:rFonts w:ascii="微软雅黑" w:hAnsi="微软雅黑" w:eastAsia="微软雅黑" w:cs="微软雅黑"/>
          <w:spacing w:val="18"/>
          <w:position w:val="1"/>
          <w:sz w:val="24"/>
          <w:szCs w:val="24"/>
        </w:rPr>
        <w:t>•</w:t>
      </w:r>
      <w:r>
        <w:rPr>
          <w:rFonts w:ascii="微软雅黑" w:hAnsi="微软雅黑" w:eastAsia="微软雅黑" w:cs="微软雅黑"/>
          <w:spacing w:val="-20"/>
          <w:position w:val="1"/>
          <w:sz w:val="24"/>
          <w:szCs w:val="24"/>
        </w:rPr>
        <w:t xml:space="preserve"> </w:t>
      </w:r>
      <w:r>
        <w:rPr>
          <w:rFonts w:ascii="Times New Roman" w:hAnsi="Times New Roman" w:eastAsia="Times New Roman" w:cs="Times New Roman"/>
          <w:i/>
          <w:iCs/>
          <w:position w:val="1"/>
          <w:sz w:val="24"/>
          <w:szCs w:val="24"/>
        </w:rPr>
        <w:t>A</w:t>
      </w:r>
      <w:r>
        <w:rPr>
          <w:rFonts w:ascii="Times New Roman" w:hAnsi="Times New Roman" w:eastAsia="Times New Roman" w:cs="Times New Roman"/>
          <w:i/>
          <w:iCs/>
          <w:position w:val="-5"/>
          <w:sz w:val="14"/>
          <w:szCs w:val="14"/>
        </w:rPr>
        <w:t>G</w:t>
      </w:r>
    </w:p>
    <w:p>
      <w:pPr>
        <w:spacing w:before="186" w:line="220" w:lineRule="auto"/>
        <w:ind w:left="522"/>
        <w:rPr>
          <w:rFonts w:ascii="宋体" w:hAnsi="宋体" w:eastAsia="宋体" w:cs="宋体"/>
          <w:sz w:val="24"/>
          <w:szCs w:val="24"/>
        </w:rPr>
      </w:pPr>
      <w:r>
        <w:rPr>
          <w:rFonts w:ascii="宋体" w:hAnsi="宋体" w:eastAsia="宋体" w:cs="宋体"/>
          <w:spacing w:val="-33"/>
          <w:sz w:val="24"/>
          <w:szCs w:val="24"/>
        </w:rPr>
        <w:t>式中：</w:t>
      </w:r>
      <w:r>
        <w:rPr>
          <w:rFonts w:ascii="宋体" w:hAnsi="宋体" w:eastAsia="宋体" w:cs="宋体"/>
          <w:spacing w:val="12"/>
          <w:sz w:val="24"/>
          <w:szCs w:val="24"/>
        </w:rPr>
        <w:t xml:space="preserve"> </w:t>
      </w:r>
      <w:r>
        <w:rPr>
          <w:rFonts w:ascii="Times New Roman" w:hAnsi="Times New Roman" w:eastAsia="Times New Roman" w:cs="Times New Roman"/>
          <w:spacing w:val="-33"/>
          <w:sz w:val="24"/>
          <w:szCs w:val="24"/>
        </w:rPr>
        <w:t>A</w:t>
      </w:r>
      <w:r>
        <w:rPr>
          <w:rFonts w:ascii="Times New Roman" w:hAnsi="Times New Roman" w:eastAsia="Times New Roman" w:cs="Times New Roman"/>
          <w:spacing w:val="-1"/>
          <w:position w:val="-1"/>
          <w:sz w:val="16"/>
          <w:szCs w:val="16"/>
        </w:rPr>
        <w:t>G</w:t>
      </w:r>
      <w:r>
        <w:rPr>
          <w:rFonts w:ascii="Times New Roman" w:hAnsi="Times New Roman" w:eastAsia="Times New Roman" w:cs="Times New Roman"/>
          <w:spacing w:val="-1"/>
          <w:sz w:val="24"/>
          <w:szCs w:val="24"/>
        </w:rPr>
        <w:t>—</w:t>
      </w:r>
      <w:r>
        <w:rPr>
          <w:rFonts w:ascii="宋体" w:hAnsi="宋体" w:eastAsia="宋体" w:cs="宋体"/>
          <w:spacing w:val="-1"/>
          <w:sz w:val="24"/>
          <w:szCs w:val="24"/>
        </w:rPr>
        <w:t>高峰小时系数，根据工程设计资料取值</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0.085</w:t>
      </w:r>
      <w:r>
        <w:rPr>
          <w:rFonts w:ascii="宋体" w:hAnsi="宋体" w:eastAsia="宋体" w:cs="宋体"/>
          <w:spacing w:val="-1"/>
          <w:sz w:val="24"/>
          <w:szCs w:val="24"/>
        </w:rPr>
        <w:t>；</w:t>
      </w:r>
    </w:p>
    <w:p>
      <w:pPr>
        <w:spacing w:before="182" w:line="466" w:lineRule="exact"/>
        <w:ind w:left="1237"/>
        <w:rPr>
          <w:rFonts w:ascii="宋体" w:hAnsi="宋体" w:eastAsia="宋体" w:cs="宋体"/>
          <w:sz w:val="24"/>
          <w:szCs w:val="24"/>
        </w:rPr>
      </w:pPr>
      <w:r>
        <w:rPr>
          <w:rFonts w:ascii="Times New Roman" w:hAnsi="Times New Roman" w:eastAsia="Times New Roman" w:cs="Times New Roman"/>
          <w:spacing w:val="-4"/>
          <w:position w:val="17"/>
          <w:sz w:val="24"/>
          <w:szCs w:val="24"/>
        </w:rPr>
        <w:t>Q</w:t>
      </w:r>
      <w:r>
        <w:rPr>
          <w:rFonts w:ascii="Times New Roman" w:hAnsi="Times New Roman" w:eastAsia="Times New Roman" w:cs="Times New Roman"/>
          <w:spacing w:val="-4"/>
          <w:position w:val="16"/>
          <w:sz w:val="16"/>
          <w:szCs w:val="16"/>
        </w:rPr>
        <w:t>L</w:t>
      </w:r>
      <w:r>
        <w:rPr>
          <w:rFonts w:ascii="Times New Roman" w:hAnsi="Times New Roman" w:eastAsia="Times New Roman" w:cs="Times New Roman"/>
          <w:spacing w:val="-4"/>
          <w:position w:val="17"/>
          <w:sz w:val="24"/>
          <w:szCs w:val="24"/>
        </w:rPr>
        <w:t>—</w:t>
      </w:r>
      <w:r>
        <w:rPr>
          <w:rFonts w:ascii="宋体" w:hAnsi="宋体" w:eastAsia="宋体" w:cs="宋体"/>
          <w:spacing w:val="-4"/>
          <w:position w:val="17"/>
          <w:sz w:val="24"/>
          <w:szCs w:val="24"/>
        </w:rPr>
        <w:t>各预测年的</w:t>
      </w:r>
      <w:r>
        <w:rPr>
          <w:rFonts w:ascii="宋体" w:hAnsi="宋体" w:eastAsia="宋体" w:cs="宋体"/>
          <w:spacing w:val="-45"/>
          <w:position w:val="17"/>
          <w:sz w:val="24"/>
          <w:szCs w:val="24"/>
        </w:rPr>
        <w:t xml:space="preserve"> </w:t>
      </w:r>
      <w:r>
        <w:rPr>
          <w:rFonts w:ascii="Times New Roman" w:hAnsi="Times New Roman" w:eastAsia="Times New Roman" w:cs="Times New Roman"/>
          <w:spacing w:val="-4"/>
          <w:position w:val="17"/>
          <w:sz w:val="24"/>
          <w:szCs w:val="24"/>
        </w:rPr>
        <w:t>24</w:t>
      </w:r>
      <w:r>
        <w:rPr>
          <w:rFonts w:ascii="Times New Roman" w:hAnsi="Times New Roman" w:eastAsia="Times New Roman" w:cs="Times New Roman"/>
          <w:spacing w:val="16"/>
          <w:w w:val="101"/>
          <w:position w:val="17"/>
          <w:sz w:val="24"/>
          <w:szCs w:val="24"/>
        </w:rPr>
        <w:t xml:space="preserve"> </w:t>
      </w:r>
      <w:r>
        <w:rPr>
          <w:rFonts w:ascii="宋体" w:hAnsi="宋体" w:eastAsia="宋体" w:cs="宋体"/>
          <w:spacing w:val="-4"/>
          <w:position w:val="17"/>
          <w:sz w:val="24"/>
          <w:szCs w:val="24"/>
        </w:rPr>
        <w:t>小时交通流量。</w:t>
      </w:r>
    </w:p>
    <w:p>
      <w:pPr>
        <w:spacing w:before="1" w:line="219" w:lineRule="auto"/>
        <w:ind w:left="520"/>
        <w:rPr>
          <w:rFonts w:ascii="宋体" w:hAnsi="宋体" w:eastAsia="宋体" w:cs="宋体"/>
          <w:sz w:val="24"/>
          <w:szCs w:val="24"/>
        </w:rPr>
      </w:pPr>
      <w:r>
        <w:rPr>
          <w:rFonts w:ascii="宋体" w:hAnsi="宋体" w:eastAsia="宋体" w:cs="宋体"/>
          <w:spacing w:val="-2"/>
          <w:sz w:val="24"/>
          <w:szCs w:val="24"/>
        </w:rPr>
        <w:t>预测车流量及车型比详见表</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3.3-6~</w:t>
      </w:r>
      <w:r>
        <w:rPr>
          <w:rFonts w:ascii="宋体" w:hAnsi="宋体" w:eastAsia="宋体" w:cs="宋体"/>
          <w:spacing w:val="-2"/>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3.3-7</w:t>
      </w:r>
      <w:r>
        <w:rPr>
          <w:rFonts w:ascii="宋体" w:hAnsi="宋体" w:eastAsia="宋体" w:cs="宋体"/>
          <w:spacing w:val="-2"/>
          <w:sz w:val="24"/>
          <w:szCs w:val="24"/>
        </w:rPr>
        <w:t>。</w:t>
      </w:r>
    </w:p>
    <w:p>
      <w:pPr>
        <w:spacing w:before="214" w:line="466" w:lineRule="exact"/>
        <w:ind w:right="35"/>
        <w:jc w:val="right"/>
        <w:rPr>
          <w:rFonts w:ascii="宋体" w:hAnsi="宋体" w:eastAsia="宋体" w:cs="宋体"/>
          <w:sz w:val="24"/>
          <w:szCs w:val="24"/>
        </w:rPr>
      </w:pPr>
      <w:r>
        <w:rPr>
          <w:rFonts w:ascii="宋体" w:hAnsi="宋体" w:eastAsia="宋体" w:cs="宋体"/>
          <w:spacing w:val="-1"/>
          <w:position w:val="16"/>
          <w:sz w:val="24"/>
          <w:szCs w:val="24"/>
        </w:rPr>
        <w:t>在计算机动车排放</w:t>
      </w:r>
      <w:r>
        <w:rPr>
          <w:rFonts w:ascii="宋体" w:hAnsi="宋体" w:eastAsia="宋体" w:cs="宋体"/>
          <w:spacing w:val="-63"/>
          <w:position w:val="16"/>
          <w:sz w:val="24"/>
          <w:szCs w:val="24"/>
        </w:rPr>
        <w:t xml:space="preserve"> </w:t>
      </w:r>
      <w:r>
        <w:rPr>
          <w:rFonts w:ascii="Times New Roman" w:hAnsi="Times New Roman" w:eastAsia="Times New Roman" w:cs="Times New Roman"/>
          <w:spacing w:val="-1"/>
          <w:position w:val="16"/>
          <w:sz w:val="24"/>
          <w:szCs w:val="24"/>
        </w:rPr>
        <w:t>NO</w:t>
      </w:r>
      <w:r>
        <w:rPr>
          <w:rFonts w:ascii="Times New Roman" w:hAnsi="Times New Roman" w:eastAsia="Times New Roman" w:cs="Times New Roman"/>
          <w:spacing w:val="-1"/>
          <w:position w:val="15"/>
          <w:sz w:val="16"/>
          <w:szCs w:val="16"/>
        </w:rPr>
        <w:t>2</w:t>
      </w:r>
      <w:r>
        <w:rPr>
          <w:rFonts w:ascii="Times New Roman" w:hAnsi="Times New Roman" w:eastAsia="Times New Roman" w:cs="Times New Roman"/>
          <w:spacing w:val="13"/>
          <w:position w:val="15"/>
          <w:sz w:val="16"/>
          <w:szCs w:val="16"/>
        </w:rPr>
        <w:t xml:space="preserve"> </w:t>
      </w:r>
      <w:r>
        <w:rPr>
          <w:rFonts w:ascii="宋体" w:hAnsi="宋体" w:eastAsia="宋体" w:cs="宋体"/>
          <w:spacing w:val="-1"/>
          <w:position w:val="16"/>
          <w:sz w:val="24"/>
          <w:szCs w:val="24"/>
        </w:rPr>
        <w:t>和</w:t>
      </w:r>
      <w:r>
        <w:rPr>
          <w:rFonts w:ascii="宋体" w:hAnsi="宋体" w:eastAsia="宋体" w:cs="宋体"/>
          <w:spacing w:val="-63"/>
          <w:position w:val="16"/>
          <w:sz w:val="24"/>
          <w:szCs w:val="24"/>
        </w:rPr>
        <w:t xml:space="preserve"> </w:t>
      </w:r>
      <w:r>
        <w:rPr>
          <w:rFonts w:ascii="Times New Roman" w:hAnsi="Times New Roman" w:eastAsia="Times New Roman" w:cs="Times New Roman"/>
          <w:spacing w:val="-1"/>
          <w:position w:val="16"/>
          <w:sz w:val="24"/>
          <w:szCs w:val="24"/>
        </w:rPr>
        <w:t>NO</w:t>
      </w:r>
      <w:r>
        <w:rPr>
          <w:rFonts w:ascii="Times New Roman" w:hAnsi="Times New Roman" w:eastAsia="Times New Roman" w:cs="Times New Roman"/>
          <w:spacing w:val="-1"/>
          <w:position w:val="15"/>
          <w:sz w:val="16"/>
          <w:szCs w:val="16"/>
        </w:rPr>
        <w:t>x</w:t>
      </w:r>
      <w:r>
        <w:rPr>
          <w:rFonts w:ascii="Times New Roman" w:hAnsi="Times New Roman" w:eastAsia="Times New Roman" w:cs="Times New Roman"/>
          <w:spacing w:val="37"/>
          <w:w w:val="101"/>
          <w:position w:val="15"/>
          <w:sz w:val="16"/>
          <w:szCs w:val="16"/>
        </w:rPr>
        <w:t xml:space="preserve"> </w:t>
      </w:r>
      <w:r>
        <w:rPr>
          <w:rFonts w:ascii="宋体" w:hAnsi="宋体" w:eastAsia="宋体" w:cs="宋体"/>
          <w:spacing w:val="-1"/>
          <w:position w:val="16"/>
          <w:sz w:val="24"/>
          <w:szCs w:val="24"/>
        </w:rPr>
        <w:t>比例时，应根</w:t>
      </w:r>
      <w:r>
        <w:rPr>
          <w:rFonts w:ascii="宋体" w:hAnsi="宋体" w:eastAsia="宋体" w:cs="宋体"/>
          <w:spacing w:val="-2"/>
          <w:position w:val="16"/>
          <w:sz w:val="24"/>
          <w:szCs w:val="24"/>
        </w:rPr>
        <w:t>据不同车型的实际情况而定，本</w:t>
      </w:r>
    </w:p>
    <w:p>
      <w:pPr>
        <w:spacing w:line="218" w:lineRule="auto"/>
        <w:ind w:left="37"/>
        <w:rPr>
          <w:rFonts w:ascii="宋体" w:hAnsi="宋体" w:eastAsia="宋体" w:cs="宋体"/>
          <w:sz w:val="24"/>
          <w:szCs w:val="24"/>
        </w:rPr>
      </w:pPr>
      <w:r>
        <w:rPr>
          <w:rFonts w:ascii="宋体" w:hAnsi="宋体" w:eastAsia="宋体" w:cs="宋体"/>
          <w:spacing w:val="-1"/>
          <w:sz w:val="24"/>
          <w:szCs w:val="24"/>
        </w:rPr>
        <w:t>评价取</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NO</w:t>
      </w:r>
      <w:r>
        <w:rPr>
          <w:rFonts w:ascii="Times New Roman" w:hAnsi="Times New Roman" w:eastAsia="Times New Roman" w:cs="Times New Roman"/>
          <w:spacing w:val="-1"/>
          <w:position w:val="-1"/>
          <w:sz w:val="16"/>
          <w:szCs w:val="16"/>
        </w:rPr>
        <w:t>2</w:t>
      </w:r>
      <w:r>
        <w:rPr>
          <w:rFonts w:ascii="Times New Roman" w:hAnsi="Times New Roman" w:eastAsia="Times New Roman" w:cs="Times New Roman"/>
          <w:spacing w:val="-1"/>
          <w:sz w:val="24"/>
          <w:szCs w:val="24"/>
        </w:rPr>
        <w:t>/NOx=0.8</w:t>
      </w:r>
      <w:r>
        <w:rPr>
          <w:rFonts w:ascii="宋体" w:hAnsi="宋体" w:eastAsia="宋体" w:cs="宋体"/>
          <w:spacing w:val="-1"/>
          <w:sz w:val="24"/>
          <w:szCs w:val="24"/>
        </w:rPr>
        <w:t>。</w:t>
      </w:r>
    </w:p>
    <w:p>
      <w:pPr>
        <w:spacing w:before="184" w:line="220" w:lineRule="auto"/>
        <w:ind w:left="520"/>
        <w:rPr>
          <w:rFonts w:ascii="宋体" w:hAnsi="宋体" w:eastAsia="宋体" w:cs="宋体"/>
          <w:sz w:val="24"/>
          <w:szCs w:val="24"/>
        </w:rPr>
      </w:pPr>
      <w:r>
        <w:rPr>
          <w:rFonts w:ascii="宋体" w:hAnsi="宋体" w:eastAsia="宋体" w:cs="宋体"/>
          <w:spacing w:val="-7"/>
          <w:sz w:val="24"/>
          <w:szCs w:val="24"/>
          <w14:textOutline w14:w="4354" w14:cap="flat" w14:cmpd="sng">
            <w14:solidFill>
              <w14:srgbClr w14:val="000000"/>
            </w14:solidFill>
            <w14:prstDash w14:val="solid"/>
            <w14:miter w14:val="0"/>
          </w14:textOutline>
        </w:rPr>
        <w:t>排放因子：</w:t>
      </w:r>
    </w:p>
    <w:p>
      <w:pPr>
        <w:spacing w:before="211" w:line="359" w:lineRule="auto"/>
        <w:ind w:left="40" w:right="106" w:firstLine="478"/>
        <w:jc w:val="both"/>
        <w:rPr>
          <w:rFonts w:ascii="宋体" w:hAnsi="宋体" w:eastAsia="宋体" w:cs="宋体"/>
          <w:sz w:val="24"/>
          <w:szCs w:val="24"/>
        </w:rPr>
      </w:pPr>
      <w:r>
        <w:rPr>
          <w:rFonts w:ascii="宋体" w:hAnsi="宋体" w:eastAsia="宋体" w:cs="宋体"/>
          <w:sz w:val="24"/>
          <w:szCs w:val="24"/>
        </w:rPr>
        <w:t>根据《浙江省提前实施国家第五阶段机动车大气污</w:t>
      </w:r>
      <w:r>
        <w:rPr>
          <w:rFonts w:ascii="宋体" w:hAnsi="宋体" w:eastAsia="宋体" w:cs="宋体"/>
          <w:spacing w:val="-1"/>
          <w:sz w:val="24"/>
          <w:szCs w:val="24"/>
        </w:rPr>
        <w:t>染物排放标准工作落实方</w:t>
      </w:r>
      <w:r>
        <w:rPr>
          <w:rFonts w:ascii="宋体" w:hAnsi="宋体" w:eastAsia="宋体" w:cs="宋体"/>
          <w:sz w:val="24"/>
          <w:szCs w:val="24"/>
        </w:rPr>
        <w:t xml:space="preserve"> </w:t>
      </w:r>
      <w:r>
        <w:rPr>
          <w:rFonts w:ascii="宋体" w:hAnsi="宋体" w:eastAsia="宋体" w:cs="宋体"/>
          <w:spacing w:val="-6"/>
          <w:sz w:val="24"/>
          <w:szCs w:val="24"/>
        </w:rPr>
        <w:t xml:space="preserve">案》， </w:t>
      </w:r>
      <w:r>
        <w:rPr>
          <w:rFonts w:ascii="Times New Roman" w:hAnsi="Times New Roman" w:eastAsia="Times New Roman" w:cs="Times New Roman"/>
          <w:spacing w:val="-6"/>
          <w:sz w:val="24"/>
          <w:szCs w:val="24"/>
        </w:rPr>
        <w:t xml:space="preserve">2016 </w:t>
      </w:r>
      <w:r>
        <w:rPr>
          <w:rFonts w:ascii="宋体" w:hAnsi="宋体" w:eastAsia="宋体" w:cs="宋体"/>
          <w:spacing w:val="-6"/>
          <w:sz w:val="24"/>
          <w:szCs w:val="24"/>
        </w:rPr>
        <w:t>年</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月</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 xml:space="preserve">1  </w:t>
      </w:r>
      <w:r>
        <w:rPr>
          <w:rFonts w:ascii="宋体" w:hAnsi="宋体" w:eastAsia="宋体" w:cs="宋体"/>
          <w:spacing w:val="-6"/>
          <w:sz w:val="24"/>
          <w:szCs w:val="24"/>
        </w:rPr>
        <w:t>日起，新车</w:t>
      </w:r>
      <w:r>
        <w:rPr>
          <w:rFonts w:ascii="宋体" w:hAnsi="宋体" w:eastAsia="宋体" w:cs="宋体"/>
          <w:spacing w:val="-7"/>
          <w:sz w:val="24"/>
          <w:szCs w:val="24"/>
        </w:rPr>
        <w:t>执行</w:t>
      </w:r>
      <w:r>
        <w:rPr>
          <w:rFonts w:ascii="Times New Roman" w:hAnsi="Times New Roman" w:eastAsia="Times New Roman" w:cs="Times New Roman"/>
          <w:spacing w:val="-7"/>
          <w:sz w:val="24"/>
          <w:szCs w:val="24"/>
        </w:rPr>
        <w:t>“</w:t>
      </w:r>
      <w:r>
        <w:rPr>
          <w:rFonts w:ascii="Times New Roman" w:hAnsi="Times New Roman" w:eastAsia="Times New Roman" w:cs="Times New Roman"/>
          <w:spacing w:val="-28"/>
          <w:sz w:val="24"/>
          <w:szCs w:val="24"/>
        </w:rPr>
        <w:t xml:space="preserve"> </w:t>
      </w:r>
      <w:r>
        <w:rPr>
          <w:rFonts w:ascii="宋体" w:hAnsi="宋体" w:eastAsia="宋体" w:cs="宋体"/>
          <w:spacing w:val="-7"/>
          <w:sz w:val="24"/>
          <w:szCs w:val="24"/>
        </w:rPr>
        <w:t>国</w:t>
      </w:r>
      <w:r>
        <w:rPr>
          <w:rFonts w:ascii="宋体" w:hAnsi="宋体" w:eastAsia="宋体" w:cs="宋体"/>
          <w:spacing w:val="-58"/>
          <w:sz w:val="24"/>
          <w:szCs w:val="24"/>
        </w:rPr>
        <w:t xml:space="preserve"> </w:t>
      </w:r>
      <w:r>
        <w:rPr>
          <w:rFonts w:ascii="Times New Roman" w:hAnsi="Times New Roman" w:eastAsia="Times New Roman" w:cs="Times New Roman"/>
          <w:spacing w:val="-7"/>
          <w:sz w:val="24"/>
          <w:szCs w:val="24"/>
        </w:rPr>
        <w:t>V”</w:t>
      </w:r>
      <w:r>
        <w:rPr>
          <w:rFonts w:ascii="宋体" w:hAnsi="宋体" w:eastAsia="宋体" w:cs="宋体"/>
          <w:spacing w:val="-7"/>
          <w:sz w:val="24"/>
          <w:szCs w:val="24"/>
        </w:rPr>
        <w:t>标准；根据《关于实施国家第六阶段</w:t>
      </w:r>
    </w:p>
    <w:p>
      <w:pPr>
        <w:spacing w:before="1" w:line="212" w:lineRule="auto"/>
        <w:ind w:left="37"/>
        <w:rPr>
          <w:rFonts w:ascii="Times New Roman" w:hAnsi="Times New Roman" w:eastAsia="Times New Roman" w:cs="Times New Roman"/>
          <w:sz w:val="24"/>
          <w:szCs w:val="24"/>
        </w:rPr>
      </w:pPr>
      <w:r>
        <w:rPr>
          <w:rFonts w:ascii="宋体" w:hAnsi="宋体" w:eastAsia="宋体" w:cs="宋体"/>
          <w:spacing w:val="-5"/>
          <w:sz w:val="24"/>
          <w:szCs w:val="24"/>
        </w:rPr>
        <w:t>机动车排放标准的通告》， 轻型汽车</w:t>
      </w:r>
      <w:r>
        <w:rPr>
          <w:rFonts w:ascii="Times New Roman" w:hAnsi="Times New Roman" w:eastAsia="Times New Roman" w:cs="Times New Roman"/>
          <w:spacing w:val="-5"/>
          <w:sz w:val="24"/>
          <w:szCs w:val="24"/>
        </w:rPr>
        <w:t>(</w:t>
      </w:r>
      <w:r>
        <w:rPr>
          <w:rFonts w:ascii="宋体" w:hAnsi="宋体" w:eastAsia="宋体" w:cs="宋体"/>
          <w:spacing w:val="-5"/>
          <w:sz w:val="24"/>
          <w:szCs w:val="24"/>
        </w:rPr>
        <w:t>包括汽油车、柴油车、燃气车和混合动力车</w:t>
      </w:r>
      <w:r>
        <w:rPr>
          <w:rFonts w:ascii="Times New Roman" w:hAnsi="Times New Roman" w:eastAsia="Times New Roman" w:cs="Times New Roman"/>
          <w:spacing w:val="-5"/>
          <w:sz w:val="24"/>
          <w:szCs w:val="24"/>
        </w:rPr>
        <w:t>)</w:t>
      </w:r>
    </w:p>
    <w:p>
      <w:pPr>
        <w:spacing w:line="212" w:lineRule="auto"/>
        <w:rPr>
          <w:rFonts w:ascii="Times New Roman" w:hAnsi="Times New Roman" w:eastAsia="Times New Roman" w:cs="Times New Roman"/>
          <w:sz w:val="24"/>
          <w:szCs w:val="24"/>
        </w:rPr>
        <w:sectPr>
          <w:headerReference r:id="rId167" w:type="default"/>
          <w:footerReference r:id="rId168" w:type="default"/>
          <w:pgSz w:w="11907" w:h="16839"/>
          <w:pgMar w:top="1401" w:right="1670" w:bottom="1326" w:left="1673" w:header="1160" w:footer="1165" w:gutter="0"/>
          <w:cols w:space="720" w:num="1"/>
        </w:sectPr>
      </w:pPr>
    </w:p>
    <w:p>
      <w:pPr>
        <w:pStyle w:val="2"/>
        <w:spacing w:line="257" w:lineRule="auto"/>
      </w:pPr>
    </w:p>
    <w:p>
      <w:pPr>
        <w:spacing w:before="78" w:line="359" w:lineRule="auto"/>
        <w:ind w:left="38" w:firstLine="3"/>
        <w:jc w:val="both"/>
        <w:rPr>
          <w:rFonts w:ascii="Times New Roman" w:hAnsi="Times New Roman" w:eastAsia="Times New Roman" w:cs="Times New Roman"/>
          <w:sz w:val="24"/>
          <w:szCs w:val="24"/>
        </w:rPr>
      </w:pPr>
      <w:r>
        <w:rPr>
          <w:rFonts w:ascii="宋体" w:hAnsi="宋体" w:eastAsia="宋体" w:cs="宋体"/>
          <w:spacing w:val="-11"/>
          <w:sz w:val="24"/>
          <w:szCs w:val="24"/>
        </w:rPr>
        <w:t>于</w:t>
      </w:r>
      <w:r>
        <w:rPr>
          <w:rFonts w:ascii="宋体" w:hAnsi="宋体" w:eastAsia="宋体" w:cs="宋体"/>
          <w:spacing w:val="-55"/>
          <w:sz w:val="24"/>
          <w:szCs w:val="24"/>
        </w:rPr>
        <w:t xml:space="preserve"> </w:t>
      </w:r>
      <w:r>
        <w:rPr>
          <w:rFonts w:ascii="Times New Roman" w:hAnsi="Times New Roman" w:eastAsia="Times New Roman" w:cs="Times New Roman"/>
          <w:spacing w:val="-11"/>
          <w:sz w:val="24"/>
          <w:szCs w:val="24"/>
        </w:rPr>
        <w:t xml:space="preserve">2019 </w:t>
      </w:r>
      <w:r>
        <w:rPr>
          <w:rFonts w:ascii="宋体" w:hAnsi="宋体" w:eastAsia="宋体" w:cs="宋体"/>
          <w:spacing w:val="-11"/>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11"/>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日起实施</w:t>
      </w:r>
      <w:r>
        <w:rPr>
          <w:rFonts w:ascii="Times New Roman" w:hAnsi="Times New Roman" w:eastAsia="Times New Roman" w:cs="Times New Roman"/>
          <w:spacing w:val="-11"/>
          <w:sz w:val="24"/>
          <w:szCs w:val="24"/>
        </w:rPr>
        <w:t>“</w:t>
      </w:r>
      <w:r>
        <w:rPr>
          <w:rFonts w:ascii="Times New Roman" w:hAnsi="Times New Roman" w:eastAsia="Times New Roman" w:cs="Times New Roman"/>
          <w:spacing w:val="-28"/>
          <w:sz w:val="24"/>
          <w:szCs w:val="24"/>
        </w:rPr>
        <w:t xml:space="preserve"> </w:t>
      </w:r>
      <w:r>
        <w:rPr>
          <w:rFonts w:ascii="宋体" w:hAnsi="宋体" w:eastAsia="宋体" w:cs="宋体"/>
          <w:spacing w:val="-11"/>
          <w:sz w:val="24"/>
          <w:szCs w:val="24"/>
        </w:rPr>
        <w:t>国</w:t>
      </w:r>
      <w:r>
        <w:rPr>
          <w:rFonts w:ascii="宋体" w:hAnsi="宋体" w:eastAsia="宋体" w:cs="宋体"/>
          <w:spacing w:val="-58"/>
          <w:sz w:val="24"/>
          <w:szCs w:val="24"/>
        </w:rPr>
        <w:t xml:space="preserve"> </w:t>
      </w:r>
      <w:r>
        <w:rPr>
          <w:rFonts w:ascii="Times New Roman" w:hAnsi="Times New Roman" w:eastAsia="Times New Roman" w:cs="Times New Roman"/>
          <w:spacing w:val="-11"/>
          <w:sz w:val="24"/>
          <w:szCs w:val="24"/>
        </w:rPr>
        <w:t>VI”</w:t>
      </w:r>
      <w:r>
        <w:rPr>
          <w:rFonts w:ascii="宋体" w:hAnsi="宋体" w:eastAsia="宋体" w:cs="宋体"/>
          <w:spacing w:val="-11"/>
          <w:sz w:val="24"/>
          <w:szCs w:val="24"/>
        </w:rPr>
        <w:t>标准。本次考</w:t>
      </w:r>
      <w:r>
        <w:rPr>
          <w:rFonts w:ascii="宋体" w:hAnsi="宋体" w:eastAsia="宋体" w:cs="宋体"/>
          <w:spacing w:val="-12"/>
          <w:sz w:val="24"/>
          <w:szCs w:val="24"/>
        </w:rPr>
        <w:t>虑最不利条件， 至营运近期、中期、</w:t>
      </w:r>
      <w:r>
        <w:rPr>
          <w:rFonts w:ascii="宋体" w:hAnsi="宋体" w:eastAsia="宋体" w:cs="宋体"/>
          <w:sz w:val="24"/>
          <w:szCs w:val="24"/>
        </w:rPr>
        <w:t xml:space="preserve"> </w:t>
      </w:r>
      <w:r>
        <w:rPr>
          <w:rFonts w:ascii="宋体" w:hAnsi="宋体" w:eastAsia="宋体" w:cs="宋体"/>
          <w:spacing w:val="-2"/>
          <w:sz w:val="24"/>
          <w:szCs w:val="24"/>
        </w:rPr>
        <w:t>远期的汽车尾气排放因子采用</w:t>
      </w:r>
      <w:r>
        <w:rPr>
          <w:rFonts w:ascii="Times New Roman" w:hAnsi="Times New Roman" w:eastAsia="Times New Roman" w:cs="Times New Roman"/>
          <w:spacing w:val="-2"/>
          <w:sz w:val="24"/>
          <w:szCs w:val="24"/>
        </w:rPr>
        <w:t>“</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国</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V”</w:t>
      </w:r>
      <w:r>
        <w:rPr>
          <w:rFonts w:ascii="宋体" w:hAnsi="宋体" w:eastAsia="宋体" w:cs="宋体"/>
          <w:spacing w:val="-2"/>
          <w:sz w:val="24"/>
          <w:szCs w:val="24"/>
        </w:rPr>
        <w:t>标准，计算该路段的不同年份下的</w:t>
      </w:r>
      <w:r>
        <w:rPr>
          <w:rFonts w:ascii="宋体" w:hAnsi="宋体" w:eastAsia="宋体" w:cs="宋体"/>
          <w:spacing w:val="-61"/>
          <w:sz w:val="24"/>
          <w:szCs w:val="24"/>
        </w:rPr>
        <w:t xml:space="preserve"> </w:t>
      </w: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6"/>
          <w:szCs w:val="16"/>
        </w:rPr>
        <w:t>2</w:t>
      </w:r>
      <w:r>
        <w:rPr>
          <w:rFonts w:ascii="Times New Roman" w:hAnsi="Times New Roman" w:eastAsia="Times New Roman" w:cs="Times New Roman"/>
          <w:spacing w:val="-13"/>
          <w:position w:val="-1"/>
          <w:sz w:val="16"/>
          <w:szCs w:val="16"/>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CO</w:t>
      </w:r>
    </w:p>
    <w:p>
      <w:pPr>
        <w:spacing w:before="1" w:line="218" w:lineRule="auto"/>
        <w:ind w:left="38"/>
        <w:rPr>
          <w:rFonts w:ascii="宋体" w:hAnsi="宋体" w:eastAsia="宋体" w:cs="宋体"/>
          <w:sz w:val="24"/>
          <w:szCs w:val="24"/>
        </w:rPr>
      </w:pPr>
      <w:r>
        <w:rPr>
          <w:rFonts w:ascii="宋体" w:hAnsi="宋体" w:eastAsia="宋体" w:cs="宋体"/>
          <w:spacing w:val="-3"/>
          <w:sz w:val="24"/>
          <w:szCs w:val="24"/>
        </w:rPr>
        <w:t>排放源强。大气预测采用高峰期流量计算。</w:t>
      </w:r>
    </w:p>
    <w:p>
      <w:pPr>
        <w:spacing w:before="212" w:line="212" w:lineRule="auto"/>
        <w:ind w:left="156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3.8-9        </w:t>
      </w:r>
      <w:r>
        <w:rPr>
          <w:rFonts w:ascii="宋体" w:hAnsi="宋体" w:eastAsia="宋体" w:cs="宋体"/>
          <w:spacing w:val="-1"/>
          <w:sz w:val="24"/>
          <w:szCs w:val="24"/>
        </w:rPr>
        <w:t xml:space="preserve">车辆单车排放因子值    单位： </w:t>
      </w:r>
      <w:r>
        <w:rPr>
          <w:rFonts w:ascii="Times New Roman" w:hAnsi="Times New Roman" w:eastAsia="Times New Roman" w:cs="Times New Roman"/>
          <w:spacing w:val="-1"/>
          <w:sz w:val="24"/>
          <w:szCs w:val="24"/>
        </w:rPr>
        <w:t>g/km·</w:t>
      </w:r>
      <w:r>
        <w:rPr>
          <w:rFonts w:ascii="宋体" w:hAnsi="宋体" w:eastAsia="宋体" w:cs="宋体"/>
          <w:spacing w:val="-1"/>
          <w:sz w:val="24"/>
          <w:szCs w:val="24"/>
        </w:rPr>
        <w:t>辆</w:t>
      </w:r>
    </w:p>
    <w:p>
      <w:pPr>
        <w:spacing w:line="155" w:lineRule="exact"/>
      </w:pPr>
    </w:p>
    <w:tbl>
      <w:tblPr>
        <w:tblStyle w:val="5"/>
        <w:tblW w:w="8281" w:type="dxa"/>
        <w:tblInd w:w="1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9"/>
        <w:gridCol w:w="1818"/>
        <w:gridCol w:w="1572"/>
        <w:gridCol w:w="1569"/>
        <w:gridCol w:w="15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3567" w:type="dxa"/>
            <w:gridSpan w:val="2"/>
            <w:vAlign w:val="top"/>
          </w:tcPr>
          <w:p>
            <w:pPr>
              <w:pStyle w:val="6"/>
              <w:spacing w:before="60" w:line="221" w:lineRule="auto"/>
              <w:ind w:left="1159"/>
            </w:pPr>
            <w:r>
              <w:rPr>
                <w:spacing w:val="-2"/>
              </w:rPr>
              <w:t>单车排放因子</w:t>
            </w:r>
          </w:p>
        </w:tc>
        <w:tc>
          <w:tcPr>
            <w:tcW w:w="1572" w:type="dxa"/>
            <w:vAlign w:val="top"/>
          </w:tcPr>
          <w:p>
            <w:pPr>
              <w:pStyle w:val="6"/>
              <w:spacing w:before="60" w:line="221" w:lineRule="auto"/>
              <w:ind w:left="585"/>
            </w:pPr>
            <w:r>
              <w:rPr>
                <w:spacing w:val="-3"/>
              </w:rPr>
              <w:t>小车</w:t>
            </w:r>
          </w:p>
        </w:tc>
        <w:tc>
          <w:tcPr>
            <w:tcW w:w="1569" w:type="dxa"/>
            <w:vAlign w:val="top"/>
          </w:tcPr>
          <w:p>
            <w:pPr>
              <w:pStyle w:val="6"/>
              <w:spacing w:before="60" w:line="221" w:lineRule="auto"/>
              <w:ind w:left="597"/>
            </w:pPr>
            <w:r>
              <w:rPr>
                <w:spacing w:val="-7"/>
              </w:rPr>
              <w:t>中车</w:t>
            </w:r>
          </w:p>
        </w:tc>
        <w:tc>
          <w:tcPr>
            <w:tcW w:w="1573" w:type="dxa"/>
            <w:vAlign w:val="top"/>
          </w:tcPr>
          <w:p>
            <w:pPr>
              <w:pStyle w:val="6"/>
              <w:spacing w:before="60" w:line="214" w:lineRule="auto"/>
              <w:ind w:left="302"/>
              <w:rPr>
                <w:rFonts w:ascii="Times New Roman" w:hAnsi="Times New Roman" w:eastAsia="Times New Roman" w:cs="Times New Roman"/>
              </w:rPr>
            </w:pPr>
            <w:r>
              <w:rPr>
                <w:spacing w:val="-2"/>
              </w:rPr>
              <w:t>大车</w:t>
            </w:r>
            <w:r>
              <w:rPr>
                <w:rFonts w:ascii="Times New Roman" w:hAnsi="Times New Roman" w:eastAsia="Times New Roman" w:cs="Times New Roman"/>
                <w:spacing w:val="-2"/>
              </w:rPr>
              <w:t>(</w:t>
            </w:r>
            <w:r>
              <w:rPr>
                <w:spacing w:val="-2"/>
              </w:rPr>
              <w:t>汽油</w:t>
            </w:r>
            <w:r>
              <w:rPr>
                <w:rFonts w:ascii="Times New Roman" w:hAnsi="Times New Roman" w:eastAsia="Times New Roman" w:cs="Times New Roman"/>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749" w:type="dxa"/>
            <w:vMerge w:val="restart"/>
            <w:tcBorders>
              <w:bottom w:val="nil"/>
            </w:tcBorders>
            <w:vAlign w:val="top"/>
          </w:tcPr>
          <w:p>
            <w:pPr>
              <w:pStyle w:val="6"/>
              <w:spacing w:before="233" w:line="221" w:lineRule="auto"/>
              <w:ind w:left="455"/>
            </w:pPr>
            <w:r>
              <w:rPr>
                <w:spacing w:val="-9"/>
              </w:rPr>
              <w:t>国</w:t>
            </w:r>
            <w:r>
              <w:rPr>
                <w:spacing w:val="-52"/>
              </w:rPr>
              <w:t xml:space="preserve"> </w:t>
            </w:r>
            <w:r>
              <w:rPr>
                <w:rFonts w:ascii="Times New Roman" w:hAnsi="Times New Roman" w:eastAsia="Times New Roman" w:cs="Times New Roman"/>
                <w:spacing w:val="-9"/>
              </w:rPr>
              <w:t>V</w:t>
            </w:r>
            <w:r>
              <w:rPr>
                <w:rFonts w:ascii="Times New Roman" w:hAnsi="Times New Roman" w:eastAsia="Times New Roman" w:cs="Times New Roman"/>
                <w:spacing w:val="11"/>
              </w:rPr>
              <w:t xml:space="preserve"> </w:t>
            </w:r>
            <w:r>
              <w:rPr>
                <w:spacing w:val="-9"/>
              </w:rPr>
              <w:t>标准</w:t>
            </w:r>
          </w:p>
        </w:tc>
        <w:tc>
          <w:tcPr>
            <w:tcW w:w="1818" w:type="dxa"/>
            <w:vAlign w:val="top"/>
          </w:tcPr>
          <w:p>
            <w:pPr>
              <w:spacing w:before="96" w:line="187" w:lineRule="auto"/>
              <w:ind w:left="7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w:t>
            </w:r>
          </w:p>
        </w:tc>
        <w:tc>
          <w:tcPr>
            <w:tcW w:w="1572" w:type="dxa"/>
            <w:vAlign w:val="top"/>
          </w:tcPr>
          <w:p>
            <w:pPr>
              <w:spacing w:before="96" w:line="187" w:lineRule="auto"/>
              <w:ind w:left="6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0.46</w:t>
            </w:r>
          </w:p>
        </w:tc>
        <w:tc>
          <w:tcPr>
            <w:tcW w:w="1569" w:type="dxa"/>
            <w:vAlign w:val="top"/>
          </w:tcPr>
          <w:p>
            <w:pPr>
              <w:spacing w:before="96" w:line="187" w:lineRule="auto"/>
              <w:ind w:left="62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1.98</w:t>
            </w:r>
          </w:p>
        </w:tc>
        <w:tc>
          <w:tcPr>
            <w:tcW w:w="1573" w:type="dxa"/>
            <w:vAlign w:val="top"/>
          </w:tcPr>
          <w:p>
            <w:pPr>
              <w:spacing w:before="96" w:line="18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749" w:type="dxa"/>
            <w:vMerge w:val="continue"/>
            <w:tcBorders>
              <w:top w:val="nil"/>
            </w:tcBorders>
            <w:vAlign w:val="top"/>
          </w:tcPr>
          <w:p>
            <w:pPr>
              <w:rPr>
                <w:rFonts w:ascii="Arial"/>
                <w:sz w:val="21"/>
              </w:rPr>
            </w:pPr>
          </w:p>
        </w:tc>
        <w:tc>
          <w:tcPr>
            <w:tcW w:w="1818" w:type="dxa"/>
            <w:vAlign w:val="top"/>
          </w:tcPr>
          <w:p>
            <w:pPr>
              <w:spacing w:before="105" w:line="187" w:lineRule="auto"/>
              <w:ind w:left="6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NOx</w:t>
            </w:r>
          </w:p>
        </w:tc>
        <w:tc>
          <w:tcPr>
            <w:tcW w:w="1572" w:type="dxa"/>
            <w:vAlign w:val="top"/>
          </w:tcPr>
          <w:p>
            <w:pPr>
              <w:spacing w:before="105"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0.017</w:t>
            </w:r>
          </w:p>
        </w:tc>
        <w:tc>
          <w:tcPr>
            <w:tcW w:w="1569" w:type="dxa"/>
            <w:vAlign w:val="top"/>
          </w:tcPr>
          <w:p>
            <w:pPr>
              <w:spacing w:before="105"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0.147</w:t>
            </w:r>
          </w:p>
        </w:tc>
        <w:tc>
          <w:tcPr>
            <w:tcW w:w="1573" w:type="dxa"/>
            <w:vAlign w:val="top"/>
          </w:tcPr>
          <w:p>
            <w:pPr>
              <w:spacing w:before="105" w:line="187" w:lineRule="auto"/>
              <w:ind w:left="5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0.582</w:t>
            </w:r>
          </w:p>
        </w:tc>
      </w:tr>
    </w:tbl>
    <w:p>
      <w:pPr>
        <w:spacing w:before="193" w:line="220" w:lineRule="auto"/>
        <w:ind w:left="518"/>
        <w:rPr>
          <w:rFonts w:ascii="宋体" w:hAnsi="宋体" w:eastAsia="宋体" w:cs="宋体"/>
          <w:sz w:val="24"/>
          <w:szCs w:val="24"/>
        </w:rPr>
      </w:pPr>
      <w:r>
        <w:rPr>
          <w:rFonts w:ascii="Times New Roman" w:hAnsi="Times New Roman" w:eastAsia="Times New Roman" w:cs="Times New Roman"/>
          <w:spacing w:val="-5"/>
          <w:sz w:val="24"/>
          <w:szCs w:val="24"/>
        </w:rPr>
        <w:t>3</w:t>
      </w:r>
      <w:r>
        <w:rPr>
          <w:rFonts w:ascii="宋体" w:hAnsi="宋体" w:eastAsia="宋体" w:cs="宋体"/>
          <w:spacing w:val="-5"/>
          <w:sz w:val="24"/>
          <w:szCs w:val="24"/>
        </w:rPr>
        <w:t>）源强预测</w:t>
      </w:r>
    </w:p>
    <w:p>
      <w:pPr>
        <w:spacing w:before="179" w:line="219" w:lineRule="auto"/>
        <w:ind w:left="639"/>
        <w:rPr>
          <w:rFonts w:ascii="宋体" w:hAnsi="宋体" w:eastAsia="宋体" w:cs="宋体"/>
          <w:sz w:val="24"/>
          <w:szCs w:val="24"/>
        </w:rPr>
      </w:pPr>
      <w:r>
        <w:rPr>
          <w:rFonts w:ascii="宋体" w:hAnsi="宋体" w:eastAsia="宋体" w:cs="宋体"/>
          <w:spacing w:val="-3"/>
          <w:sz w:val="24"/>
          <w:szCs w:val="24"/>
        </w:rPr>
        <w:t>本项目营运期交通废气源强见表</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3.8-</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10</w:t>
      </w:r>
      <w:r>
        <w:rPr>
          <w:rFonts w:ascii="宋体" w:hAnsi="宋体" w:eastAsia="宋体" w:cs="宋体"/>
          <w:spacing w:val="-3"/>
          <w:sz w:val="24"/>
          <w:szCs w:val="24"/>
        </w:rPr>
        <w:t>。</w:t>
      </w:r>
    </w:p>
    <w:p>
      <w:pPr>
        <w:spacing w:before="183" w:line="212" w:lineRule="auto"/>
        <w:ind w:left="999"/>
        <w:rPr>
          <w:rFonts w:ascii="宋体" w:hAnsi="宋体" w:eastAsia="宋体" w:cs="宋体"/>
          <w:sz w:val="24"/>
          <w:szCs w:val="24"/>
        </w:rPr>
      </w:pPr>
      <w:r>
        <w:rPr>
          <w:rFonts w:ascii="宋体" w:hAnsi="宋体" w:eastAsia="宋体" w:cs="宋体"/>
          <w:spacing w:val="-5"/>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3.8-</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本项目高峰小时大气排放源强</w:t>
      </w:r>
      <w:r>
        <w:rPr>
          <w:rFonts w:ascii="宋体" w:hAnsi="宋体" w:eastAsia="宋体" w:cs="宋体"/>
          <w:spacing w:val="19"/>
          <w:sz w:val="24"/>
          <w:szCs w:val="24"/>
        </w:rPr>
        <w:t xml:space="preserve">   </w:t>
      </w:r>
      <w:r>
        <w:rPr>
          <w:rFonts w:ascii="宋体" w:hAnsi="宋体" w:eastAsia="宋体" w:cs="宋体"/>
          <w:spacing w:val="-5"/>
          <w:sz w:val="24"/>
          <w:szCs w:val="24"/>
        </w:rPr>
        <w:t xml:space="preserve">（单位： </w:t>
      </w:r>
      <w:r>
        <w:rPr>
          <w:rFonts w:ascii="Times New Roman" w:hAnsi="Times New Roman" w:eastAsia="Times New Roman" w:cs="Times New Roman"/>
          <w:spacing w:val="-5"/>
          <w:sz w:val="24"/>
          <w:szCs w:val="24"/>
        </w:rPr>
        <w:t>mg/</w:t>
      </w:r>
      <w:r>
        <w:rPr>
          <w:rFonts w:ascii="Times New Roman" w:hAnsi="Times New Roman" w:eastAsia="Times New Roman" w:cs="Times New Roman"/>
          <w:spacing w:val="-6"/>
          <w:sz w:val="24"/>
          <w:szCs w:val="24"/>
        </w:rPr>
        <w:t>m•s</w:t>
      </w:r>
      <w:r>
        <w:rPr>
          <w:rFonts w:ascii="宋体" w:hAnsi="宋体" w:eastAsia="宋体" w:cs="宋体"/>
          <w:spacing w:val="-6"/>
          <w:sz w:val="24"/>
          <w:szCs w:val="24"/>
        </w:rPr>
        <w:t>）</w:t>
      </w:r>
    </w:p>
    <w:p>
      <w:pPr>
        <w:spacing w:line="154" w:lineRule="exact"/>
      </w:pPr>
    </w:p>
    <w:tbl>
      <w:tblPr>
        <w:tblStyle w:val="5"/>
        <w:tblW w:w="8286" w:type="dxa"/>
        <w:tblInd w:w="1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3"/>
        <w:gridCol w:w="1128"/>
        <w:gridCol w:w="2284"/>
        <w:gridCol w:w="2022"/>
        <w:gridCol w:w="19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33" w:type="dxa"/>
            <w:vAlign w:val="top"/>
          </w:tcPr>
          <w:p>
            <w:pPr>
              <w:pStyle w:val="6"/>
              <w:spacing w:before="209" w:line="221" w:lineRule="auto"/>
              <w:ind w:left="261"/>
            </w:pPr>
            <w:r>
              <w:rPr>
                <w:spacing w:val="-2"/>
              </w:rPr>
              <w:t>路段</w:t>
            </w:r>
          </w:p>
        </w:tc>
        <w:tc>
          <w:tcPr>
            <w:tcW w:w="1128" w:type="dxa"/>
            <w:vAlign w:val="top"/>
          </w:tcPr>
          <w:p>
            <w:pPr>
              <w:pStyle w:val="6"/>
              <w:spacing w:before="209" w:line="222" w:lineRule="auto"/>
              <w:ind w:left="366"/>
            </w:pPr>
            <w:r>
              <w:rPr>
                <w:spacing w:val="-4"/>
              </w:rPr>
              <w:t>时段</w:t>
            </w:r>
          </w:p>
        </w:tc>
        <w:tc>
          <w:tcPr>
            <w:tcW w:w="2284" w:type="dxa"/>
            <w:vAlign w:val="top"/>
          </w:tcPr>
          <w:p>
            <w:pPr>
              <w:pStyle w:val="6"/>
              <w:spacing w:before="74" w:line="221" w:lineRule="auto"/>
              <w:ind w:left="415"/>
            </w:pPr>
            <w:r>
              <w:rPr>
                <w:spacing w:val="-2"/>
              </w:rPr>
              <w:t>高峰小时车流量</w:t>
            </w:r>
          </w:p>
          <w:p>
            <w:pPr>
              <w:pStyle w:val="6"/>
              <w:spacing w:before="20" w:line="214" w:lineRule="auto"/>
              <w:ind w:left="887"/>
              <w:rPr>
                <w:rFonts w:ascii="Times New Roman" w:hAnsi="Times New Roman" w:eastAsia="Times New Roman" w:cs="Times New Roman"/>
              </w:rPr>
            </w:pPr>
            <w:r>
              <w:rPr>
                <w:rFonts w:ascii="Times New Roman" w:hAnsi="Times New Roman" w:eastAsia="Times New Roman" w:cs="Times New Roman"/>
                <w:spacing w:val="-2"/>
              </w:rPr>
              <w:t>(</w:t>
            </w:r>
            <w:r>
              <w:rPr>
                <w:spacing w:val="-2"/>
              </w:rPr>
              <w:t>辆</w:t>
            </w:r>
            <w:r>
              <w:rPr>
                <w:rFonts w:ascii="Times New Roman" w:hAnsi="Times New Roman" w:eastAsia="Times New Roman" w:cs="Times New Roman"/>
                <w:spacing w:val="-2"/>
              </w:rPr>
              <w:t>/h)</w:t>
            </w:r>
          </w:p>
        </w:tc>
        <w:tc>
          <w:tcPr>
            <w:tcW w:w="2022" w:type="dxa"/>
            <w:vAlign w:val="top"/>
          </w:tcPr>
          <w:p>
            <w:pPr>
              <w:spacing w:before="248" w:line="187" w:lineRule="auto"/>
              <w:ind w:left="86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CO</w:t>
            </w:r>
          </w:p>
        </w:tc>
        <w:tc>
          <w:tcPr>
            <w:tcW w:w="1919" w:type="dxa"/>
            <w:vAlign w:val="top"/>
          </w:tcPr>
          <w:p>
            <w:pPr>
              <w:spacing w:before="248" w:line="196" w:lineRule="auto"/>
              <w:ind w:left="766"/>
              <w:rPr>
                <w:rFonts w:ascii="Times New Roman" w:hAnsi="Times New Roman" w:eastAsia="Times New Roman" w:cs="Times New Roman"/>
                <w:sz w:val="13"/>
                <w:szCs w:val="13"/>
              </w:rPr>
            </w:pPr>
            <w:r>
              <w:rPr>
                <w:rFonts w:ascii="Times New Roman" w:hAnsi="Times New Roman" w:eastAsia="Times New Roman" w:cs="Times New Roman"/>
                <w:sz w:val="21"/>
                <w:szCs w:val="21"/>
              </w:rPr>
              <w:t>NO</w:t>
            </w:r>
            <w:r>
              <w:rPr>
                <w:rFonts w:ascii="Times New Roman" w:hAnsi="Times New Roman" w:eastAsia="Times New Roman" w:cs="Times New Roman"/>
                <w:spacing w:val="8"/>
                <w:position w:val="-1"/>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33" w:type="dxa"/>
            <w:vMerge w:val="restart"/>
            <w:tcBorders>
              <w:bottom w:val="nil"/>
            </w:tcBorders>
            <w:vAlign w:val="top"/>
          </w:tcPr>
          <w:p>
            <w:pPr>
              <w:pStyle w:val="6"/>
              <w:spacing w:before="171" w:line="221" w:lineRule="auto"/>
              <w:ind w:left="159"/>
            </w:pPr>
            <w:r>
              <w:rPr>
                <w:spacing w:val="-3"/>
              </w:rPr>
              <w:t>西坑互</w:t>
            </w:r>
          </w:p>
          <w:p>
            <w:pPr>
              <w:pStyle w:val="6"/>
              <w:spacing w:before="60" w:line="222" w:lineRule="auto"/>
              <w:ind w:left="154"/>
            </w:pPr>
            <w:r>
              <w:rPr>
                <w:spacing w:val="-2"/>
              </w:rPr>
              <w:t>通连接</w:t>
            </w:r>
          </w:p>
          <w:p>
            <w:pPr>
              <w:pStyle w:val="6"/>
              <w:spacing w:before="59" w:line="221" w:lineRule="auto"/>
              <w:ind w:left="365"/>
            </w:pPr>
            <w:r>
              <w:t>线</w:t>
            </w:r>
          </w:p>
        </w:tc>
        <w:tc>
          <w:tcPr>
            <w:tcW w:w="1128" w:type="dxa"/>
            <w:vAlign w:val="top"/>
          </w:tcPr>
          <w:p>
            <w:pPr>
              <w:pStyle w:val="6"/>
              <w:spacing w:before="85" w:line="221" w:lineRule="auto"/>
              <w:ind w:left="355"/>
            </w:pPr>
            <w:r>
              <w:rPr>
                <w:spacing w:val="-2"/>
              </w:rPr>
              <w:t>近期</w:t>
            </w:r>
          </w:p>
        </w:tc>
        <w:tc>
          <w:tcPr>
            <w:tcW w:w="2284" w:type="dxa"/>
            <w:vAlign w:val="top"/>
          </w:tcPr>
          <w:p>
            <w:pPr>
              <w:spacing w:before="120" w:line="187" w:lineRule="auto"/>
              <w:ind w:left="9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210</w:t>
            </w:r>
          </w:p>
        </w:tc>
        <w:tc>
          <w:tcPr>
            <w:tcW w:w="2022" w:type="dxa"/>
            <w:vAlign w:val="top"/>
          </w:tcPr>
          <w:p>
            <w:pPr>
              <w:spacing w:before="120" w:line="187" w:lineRule="auto"/>
              <w:ind w:left="7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0.0784</w:t>
            </w:r>
          </w:p>
        </w:tc>
        <w:tc>
          <w:tcPr>
            <w:tcW w:w="1919" w:type="dxa"/>
            <w:vAlign w:val="top"/>
          </w:tcPr>
          <w:p>
            <w:pPr>
              <w:spacing w:before="120" w:line="187" w:lineRule="auto"/>
              <w:ind w:left="6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33" w:type="dxa"/>
            <w:vMerge w:val="continue"/>
            <w:tcBorders>
              <w:top w:val="nil"/>
              <w:bottom w:val="nil"/>
            </w:tcBorders>
            <w:vAlign w:val="top"/>
          </w:tcPr>
          <w:p>
            <w:pPr>
              <w:rPr>
                <w:rFonts w:ascii="Arial"/>
                <w:sz w:val="21"/>
              </w:rPr>
            </w:pPr>
          </w:p>
        </w:tc>
        <w:tc>
          <w:tcPr>
            <w:tcW w:w="1128" w:type="dxa"/>
            <w:vAlign w:val="top"/>
          </w:tcPr>
          <w:p>
            <w:pPr>
              <w:pStyle w:val="6"/>
              <w:spacing w:before="84" w:line="221" w:lineRule="auto"/>
              <w:ind w:left="376"/>
            </w:pPr>
            <w:r>
              <w:rPr>
                <w:spacing w:val="-7"/>
              </w:rPr>
              <w:t>中期</w:t>
            </w:r>
          </w:p>
        </w:tc>
        <w:tc>
          <w:tcPr>
            <w:tcW w:w="2284" w:type="dxa"/>
            <w:vAlign w:val="top"/>
          </w:tcPr>
          <w:p>
            <w:pPr>
              <w:spacing w:before="122" w:line="187" w:lineRule="auto"/>
              <w:ind w:left="9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410</w:t>
            </w:r>
          </w:p>
        </w:tc>
        <w:tc>
          <w:tcPr>
            <w:tcW w:w="2022" w:type="dxa"/>
            <w:vAlign w:val="top"/>
          </w:tcPr>
          <w:p>
            <w:pPr>
              <w:spacing w:before="122" w:line="187" w:lineRule="auto"/>
              <w:ind w:left="7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0.1544</w:t>
            </w:r>
          </w:p>
        </w:tc>
        <w:tc>
          <w:tcPr>
            <w:tcW w:w="1919" w:type="dxa"/>
            <w:vAlign w:val="top"/>
          </w:tcPr>
          <w:p>
            <w:pPr>
              <w:spacing w:before="122" w:line="187" w:lineRule="auto"/>
              <w:ind w:left="6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933" w:type="dxa"/>
            <w:vMerge w:val="continue"/>
            <w:tcBorders>
              <w:top w:val="nil"/>
            </w:tcBorders>
            <w:vAlign w:val="top"/>
          </w:tcPr>
          <w:p>
            <w:pPr>
              <w:rPr>
                <w:rFonts w:ascii="Arial"/>
                <w:sz w:val="21"/>
              </w:rPr>
            </w:pPr>
          </w:p>
        </w:tc>
        <w:tc>
          <w:tcPr>
            <w:tcW w:w="1128" w:type="dxa"/>
            <w:vAlign w:val="top"/>
          </w:tcPr>
          <w:p>
            <w:pPr>
              <w:pStyle w:val="6"/>
              <w:spacing w:before="97" w:line="221" w:lineRule="auto"/>
              <w:ind w:left="356"/>
            </w:pPr>
            <w:r>
              <w:rPr>
                <w:spacing w:val="-2"/>
              </w:rPr>
              <w:t>远期</w:t>
            </w:r>
          </w:p>
        </w:tc>
        <w:tc>
          <w:tcPr>
            <w:tcW w:w="2284" w:type="dxa"/>
            <w:vAlign w:val="top"/>
          </w:tcPr>
          <w:p>
            <w:pPr>
              <w:spacing w:before="135" w:line="187" w:lineRule="auto"/>
              <w:ind w:left="9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545</w:t>
            </w:r>
          </w:p>
        </w:tc>
        <w:tc>
          <w:tcPr>
            <w:tcW w:w="2022" w:type="dxa"/>
            <w:vAlign w:val="top"/>
          </w:tcPr>
          <w:p>
            <w:pPr>
              <w:spacing w:before="135" w:line="187" w:lineRule="auto"/>
              <w:ind w:left="7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0.1999</w:t>
            </w:r>
          </w:p>
        </w:tc>
        <w:tc>
          <w:tcPr>
            <w:tcW w:w="1919" w:type="dxa"/>
            <w:vAlign w:val="top"/>
          </w:tcPr>
          <w:p>
            <w:pPr>
              <w:spacing w:before="135" w:line="187" w:lineRule="auto"/>
              <w:ind w:left="6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0.0177</w:t>
            </w:r>
          </w:p>
        </w:tc>
      </w:tr>
    </w:tbl>
    <w:p>
      <w:pPr>
        <w:spacing w:before="193"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）隧道口污染源强</w:t>
      </w:r>
    </w:p>
    <w:p>
      <w:pPr>
        <w:spacing w:before="178" w:line="220" w:lineRule="auto"/>
        <w:ind w:left="510"/>
        <w:rPr>
          <w:rFonts w:ascii="宋体" w:hAnsi="宋体" w:eastAsia="宋体" w:cs="宋体"/>
          <w:sz w:val="24"/>
          <w:szCs w:val="24"/>
        </w:rPr>
      </w:pPr>
      <w:r>
        <w:rPr>
          <w:rFonts w:ascii="Times New Roman" w:hAnsi="Times New Roman" w:eastAsia="Times New Roman" w:cs="Times New Roman"/>
          <w:spacing w:val="-2"/>
          <w:sz w:val="24"/>
          <w:szCs w:val="24"/>
        </w:rPr>
        <w:t>A</w:t>
      </w:r>
      <w:r>
        <w:rPr>
          <w:rFonts w:ascii="宋体" w:hAnsi="宋体" w:eastAsia="宋体" w:cs="宋体"/>
          <w:spacing w:val="-2"/>
          <w:sz w:val="24"/>
          <w:szCs w:val="24"/>
        </w:rPr>
        <w:t>、计算公式</w:t>
      </w:r>
    </w:p>
    <w:p>
      <w:pPr>
        <w:spacing w:before="183" w:line="219" w:lineRule="auto"/>
        <w:ind w:left="518"/>
        <w:rPr>
          <w:rFonts w:ascii="宋体" w:hAnsi="宋体" w:eastAsia="宋体" w:cs="宋体"/>
          <w:sz w:val="24"/>
          <w:szCs w:val="24"/>
        </w:rPr>
      </w:pPr>
      <w:r>
        <w:rPr>
          <w:rFonts w:ascii="宋体" w:hAnsi="宋体" w:eastAsia="宋体" w:cs="宋体"/>
          <w:spacing w:val="-2"/>
          <w:sz w:val="24"/>
          <w:szCs w:val="24"/>
        </w:rPr>
        <w:t>根据隧道内污染物质量守恒原理推导出隧道内有害气体的浓度分布模式为：</w:t>
      </w:r>
    </w:p>
    <w:p>
      <w:pPr>
        <w:spacing w:before="242" w:line="124" w:lineRule="auto"/>
        <w:ind w:left="1824"/>
        <w:rPr>
          <w:rFonts w:ascii="Times New Roman" w:hAnsi="Times New Roman" w:eastAsia="Times New Roman" w:cs="Times New Roman"/>
          <w:sz w:val="23"/>
          <w:szCs w:val="23"/>
        </w:rPr>
      </w:pPr>
      <w:r>
        <w:rPr>
          <w:rFonts w:ascii="Times New Roman" w:hAnsi="Times New Roman" w:eastAsia="Times New Roman" w:cs="Times New Roman"/>
          <w:i/>
          <w:iCs/>
          <w:spacing w:val="26"/>
          <w:position w:val="-8"/>
          <w:sz w:val="23"/>
          <w:szCs w:val="23"/>
        </w:rPr>
        <w:t>C</w:t>
      </w:r>
      <w:r>
        <w:rPr>
          <w:rFonts w:ascii="Times New Roman" w:hAnsi="Times New Roman" w:eastAsia="Times New Roman" w:cs="Times New Roman"/>
          <w:i/>
          <w:iCs/>
          <w:spacing w:val="27"/>
          <w:position w:val="-8"/>
          <w:sz w:val="23"/>
          <w:szCs w:val="23"/>
        </w:rPr>
        <w:t xml:space="preserve"> </w:t>
      </w:r>
      <w:r>
        <w:rPr>
          <w:rFonts w:ascii="微软雅黑" w:hAnsi="微软雅黑" w:eastAsia="微软雅黑" w:cs="微软雅黑"/>
          <w:spacing w:val="26"/>
          <w:position w:val="-8"/>
          <w:sz w:val="23"/>
          <w:szCs w:val="23"/>
        </w:rPr>
        <w:t>=</w:t>
      </w:r>
      <w:r>
        <w:rPr>
          <w:rFonts w:ascii="微软雅黑" w:hAnsi="微软雅黑" w:eastAsia="微软雅黑" w:cs="微软雅黑"/>
          <w:spacing w:val="34"/>
          <w:position w:val="-8"/>
          <w:sz w:val="23"/>
          <w:szCs w:val="23"/>
        </w:rPr>
        <w:t xml:space="preserve"> </w:t>
      </w:r>
      <w:r>
        <w:rPr>
          <w:rFonts w:ascii="Times New Roman" w:hAnsi="Times New Roman" w:eastAsia="Times New Roman" w:cs="Times New Roman"/>
          <w:i/>
          <w:iCs/>
          <w:spacing w:val="26"/>
          <w:position w:val="5"/>
          <w:sz w:val="23"/>
          <w:szCs w:val="23"/>
          <w:u w:val="single" w:color="auto"/>
        </w:rPr>
        <w:t>Q</w:t>
      </w:r>
      <w:r>
        <w:rPr>
          <w:rFonts w:ascii="Times New Roman" w:hAnsi="Times New Roman" w:eastAsia="Times New Roman" w:cs="Times New Roman"/>
          <w:i/>
          <w:iCs/>
          <w:spacing w:val="26"/>
          <w:sz w:val="13"/>
          <w:szCs w:val="13"/>
          <w:u w:val="single" w:color="auto"/>
        </w:rPr>
        <w:t>L</w:t>
      </w:r>
      <w:r>
        <w:rPr>
          <w:rFonts w:ascii="Times New Roman" w:hAnsi="Times New Roman" w:eastAsia="Times New Roman" w:cs="Times New Roman"/>
          <w:i/>
          <w:iCs/>
          <w:sz w:val="13"/>
          <w:szCs w:val="13"/>
          <w:u w:val="single" w:color="auto"/>
        </w:rPr>
        <w:t xml:space="preserve">   </w:t>
      </w:r>
      <w:r>
        <w:rPr>
          <w:rFonts w:ascii="微软雅黑" w:hAnsi="微软雅黑" w:eastAsia="微软雅黑" w:cs="微软雅黑"/>
          <w:spacing w:val="26"/>
          <w:position w:val="5"/>
          <w:sz w:val="23"/>
          <w:szCs w:val="23"/>
          <w:u w:val="single" w:color="auto"/>
        </w:rPr>
        <w:t>.</w:t>
      </w:r>
      <w:r>
        <w:rPr>
          <w:rFonts w:ascii="微软雅黑" w:hAnsi="微软雅黑" w:eastAsia="微软雅黑" w:cs="微软雅黑"/>
          <w:spacing w:val="-17"/>
          <w:position w:val="5"/>
          <w:sz w:val="23"/>
          <w:szCs w:val="23"/>
          <w:u w:val="single" w:color="auto"/>
        </w:rPr>
        <w:t xml:space="preserve"> </w:t>
      </w:r>
      <w:r>
        <w:rPr>
          <w:rFonts w:ascii="Times New Roman" w:hAnsi="Times New Roman" w:eastAsia="Times New Roman" w:cs="Times New Roman"/>
          <w:i/>
          <w:iCs/>
          <w:spacing w:val="26"/>
          <w:position w:val="5"/>
          <w:sz w:val="23"/>
          <w:szCs w:val="23"/>
          <w:u w:val="single" w:color="auto"/>
        </w:rPr>
        <w:t>X</w:t>
      </w:r>
    </w:p>
    <w:p>
      <w:pPr>
        <w:spacing w:line="194" w:lineRule="auto"/>
        <w:ind w:left="2479"/>
        <w:rPr>
          <w:rFonts w:ascii="Times New Roman" w:hAnsi="Times New Roman" w:eastAsia="Times New Roman" w:cs="Times New Roman"/>
          <w:sz w:val="23"/>
          <w:szCs w:val="23"/>
        </w:rPr>
      </w:pPr>
      <w:r>
        <w:rPr>
          <w:rFonts w:ascii="Times New Roman" w:hAnsi="Times New Roman" w:eastAsia="Times New Roman" w:cs="Times New Roman"/>
          <w:i/>
          <w:iCs/>
          <w:spacing w:val="19"/>
          <w:sz w:val="23"/>
          <w:szCs w:val="23"/>
        </w:rPr>
        <w:t>S</w:t>
      </w:r>
      <w:r>
        <w:rPr>
          <w:rFonts w:ascii="Times New Roman" w:hAnsi="Times New Roman" w:eastAsia="Times New Roman" w:cs="Times New Roman"/>
          <w:i/>
          <w:iCs/>
          <w:spacing w:val="20"/>
          <w:sz w:val="23"/>
          <w:szCs w:val="23"/>
        </w:rPr>
        <w:t xml:space="preserve"> </w:t>
      </w:r>
      <w:r>
        <w:rPr>
          <w:rFonts w:ascii="微软雅黑" w:hAnsi="微软雅黑" w:eastAsia="微软雅黑" w:cs="微软雅黑"/>
          <w:spacing w:val="19"/>
          <w:sz w:val="23"/>
          <w:szCs w:val="23"/>
        </w:rPr>
        <w:t>.</w:t>
      </w:r>
      <w:r>
        <w:rPr>
          <w:rFonts w:ascii="微软雅黑" w:hAnsi="微软雅黑" w:eastAsia="微软雅黑" w:cs="微软雅黑"/>
          <w:spacing w:val="-24"/>
          <w:sz w:val="23"/>
          <w:szCs w:val="23"/>
        </w:rPr>
        <w:t xml:space="preserve"> </w:t>
      </w:r>
      <w:r>
        <w:rPr>
          <w:rFonts w:ascii="Times New Roman" w:hAnsi="Times New Roman" w:eastAsia="Times New Roman" w:cs="Times New Roman"/>
          <w:i/>
          <w:iCs/>
          <w:spacing w:val="19"/>
          <w:sz w:val="23"/>
          <w:szCs w:val="23"/>
        </w:rPr>
        <w:t>u</w:t>
      </w:r>
    </w:p>
    <w:p>
      <w:pPr>
        <w:spacing w:before="263" w:line="212" w:lineRule="auto"/>
        <w:ind w:left="522"/>
        <w:rPr>
          <w:rFonts w:ascii="宋体" w:hAnsi="宋体" w:eastAsia="宋体" w:cs="宋体"/>
          <w:sz w:val="24"/>
          <w:szCs w:val="24"/>
        </w:rPr>
      </w:pPr>
      <w:r>
        <w:rPr>
          <w:rFonts w:ascii="宋体" w:hAnsi="宋体" w:eastAsia="宋体" w:cs="宋体"/>
          <w:spacing w:val="-13"/>
          <w:sz w:val="24"/>
          <w:szCs w:val="24"/>
        </w:rPr>
        <w:t xml:space="preserve">式中： </w:t>
      </w:r>
      <w:r>
        <w:rPr>
          <w:rFonts w:ascii="Times New Roman" w:hAnsi="Times New Roman" w:eastAsia="Times New Roman" w:cs="Times New Roman"/>
          <w:i/>
          <w:iCs/>
          <w:spacing w:val="-13"/>
          <w:sz w:val="24"/>
          <w:szCs w:val="24"/>
        </w:rPr>
        <w:t>C</w:t>
      </w:r>
      <w:r>
        <w:rPr>
          <w:rFonts w:ascii="Times New Roman" w:hAnsi="Times New Roman" w:eastAsia="Times New Roman" w:cs="Times New Roman"/>
          <w:spacing w:val="-13"/>
          <w:sz w:val="24"/>
          <w:szCs w:val="24"/>
        </w:rPr>
        <w:t>──</w:t>
      </w:r>
      <w:r>
        <w:rPr>
          <w:rFonts w:ascii="宋体" w:hAnsi="宋体" w:eastAsia="宋体" w:cs="宋体"/>
          <w:spacing w:val="-13"/>
          <w:sz w:val="24"/>
          <w:szCs w:val="24"/>
        </w:rPr>
        <w:t>隧道某截面的污染物浓度，</w:t>
      </w:r>
      <w:r>
        <w:rPr>
          <w:rFonts w:ascii="宋体" w:hAnsi="宋体" w:eastAsia="宋体" w:cs="宋体"/>
          <w:spacing w:val="71"/>
          <w:sz w:val="24"/>
          <w:szCs w:val="24"/>
        </w:rPr>
        <w:t xml:space="preserve"> </w:t>
      </w:r>
      <w:r>
        <w:rPr>
          <w:rFonts w:ascii="Times New Roman" w:hAnsi="Times New Roman" w:eastAsia="Times New Roman" w:cs="Times New Roman"/>
          <w:spacing w:val="-13"/>
          <w:sz w:val="24"/>
          <w:szCs w:val="24"/>
        </w:rPr>
        <w:t>mg/m</w:t>
      </w:r>
      <w:r>
        <w:rPr>
          <w:rFonts w:ascii="Times New Roman" w:hAnsi="Times New Roman" w:eastAsia="Times New Roman" w:cs="Times New Roman"/>
          <w:spacing w:val="-13"/>
          <w:position w:val="9"/>
          <w:sz w:val="16"/>
          <w:szCs w:val="16"/>
        </w:rPr>
        <w:t>3</w:t>
      </w:r>
      <w:r>
        <w:rPr>
          <w:rFonts w:ascii="宋体" w:hAnsi="宋体" w:eastAsia="宋体" w:cs="宋体"/>
          <w:spacing w:val="-13"/>
          <w:sz w:val="24"/>
          <w:szCs w:val="24"/>
        </w:rPr>
        <w:t>；</w:t>
      </w:r>
    </w:p>
    <w:p>
      <w:pPr>
        <w:spacing w:before="243" w:line="212" w:lineRule="auto"/>
        <w:ind w:left="1240"/>
        <w:rPr>
          <w:rFonts w:ascii="宋体" w:hAnsi="宋体" w:eastAsia="宋体" w:cs="宋体"/>
          <w:sz w:val="24"/>
          <w:szCs w:val="24"/>
        </w:rPr>
      </w:pPr>
      <w:r>
        <w:rPr>
          <w:rFonts w:ascii="Times New Roman" w:hAnsi="Times New Roman" w:eastAsia="Times New Roman" w:cs="Times New Roman"/>
          <w:i/>
          <w:iCs/>
          <w:spacing w:val="-10"/>
          <w:sz w:val="24"/>
          <w:szCs w:val="24"/>
        </w:rPr>
        <w:t>Q</w:t>
      </w:r>
      <w:r>
        <w:rPr>
          <w:rFonts w:ascii="Times New Roman" w:hAnsi="Times New Roman" w:eastAsia="Times New Roman" w:cs="Times New Roman"/>
          <w:i/>
          <w:iCs/>
          <w:spacing w:val="-10"/>
          <w:position w:val="-1"/>
          <w:sz w:val="16"/>
          <w:szCs w:val="16"/>
        </w:rPr>
        <w:t>L</w:t>
      </w:r>
      <w:r>
        <w:rPr>
          <w:rFonts w:ascii="Times New Roman" w:hAnsi="Times New Roman" w:eastAsia="Times New Roman" w:cs="Times New Roman"/>
          <w:spacing w:val="-10"/>
          <w:sz w:val="24"/>
          <w:szCs w:val="24"/>
        </w:rPr>
        <w:t>──</w:t>
      </w:r>
      <w:r>
        <w:rPr>
          <w:rFonts w:ascii="宋体" w:hAnsi="宋体" w:eastAsia="宋体" w:cs="宋体"/>
          <w:spacing w:val="-10"/>
          <w:sz w:val="24"/>
          <w:szCs w:val="24"/>
        </w:rPr>
        <w:t>污染物排放源强，</w:t>
      </w:r>
      <w:r>
        <w:rPr>
          <w:rFonts w:ascii="宋体" w:hAnsi="宋体" w:eastAsia="宋体" w:cs="宋体"/>
          <w:spacing w:val="58"/>
          <w:sz w:val="24"/>
          <w:szCs w:val="24"/>
        </w:rPr>
        <w:t xml:space="preserve"> </w:t>
      </w:r>
      <w:r>
        <w:rPr>
          <w:rFonts w:ascii="Times New Roman" w:hAnsi="Times New Roman" w:eastAsia="Times New Roman" w:cs="Times New Roman"/>
          <w:spacing w:val="-10"/>
          <w:sz w:val="24"/>
          <w:szCs w:val="24"/>
        </w:rPr>
        <w:t>mg/s·m</w:t>
      </w:r>
      <w:r>
        <w:rPr>
          <w:rFonts w:ascii="宋体" w:hAnsi="宋体" w:eastAsia="宋体" w:cs="宋体"/>
          <w:spacing w:val="-10"/>
          <w:sz w:val="24"/>
          <w:szCs w:val="24"/>
        </w:rPr>
        <w:t>；</w:t>
      </w:r>
    </w:p>
    <w:p>
      <w:pPr>
        <w:spacing w:before="245" w:line="521" w:lineRule="exact"/>
        <w:ind w:left="1212"/>
        <w:rPr>
          <w:rFonts w:ascii="宋体" w:hAnsi="宋体" w:eastAsia="宋体" w:cs="宋体"/>
          <w:sz w:val="24"/>
          <w:szCs w:val="24"/>
        </w:rPr>
      </w:pPr>
      <w:r>
        <w:rPr>
          <w:rFonts w:ascii="Times New Roman" w:hAnsi="Times New Roman" w:eastAsia="Times New Roman" w:cs="Times New Roman"/>
          <w:i/>
          <w:iCs/>
          <w:spacing w:val="-11"/>
          <w:position w:val="20"/>
          <w:sz w:val="24"/>
          <w:szCs w:val="24"/>
        </w:rPr>
        <w:t>X</w:t>
      </w:r>
      <w:r>
        <w:rPr>
          <w:rFonts w:ascii="Times New Roman" w:hAnsi="Times New Roman" w:eastAsia="Times New Roman" w:cs="Times New Roman"/>
          <w:spacing w:val="-11"/>
          <w:position w:val="20"/>
          <w:sz w:val="24"/>
          <w:szCs w:val="24"/>
        </w:rPr>
        <w:t>──</w:t>
      </w:r>
      <w:r>
        <w:rPr>
          <w:rFonts w:ascii="宋体" w:hAnsi="宋体" w:eastAsia="宋体" w:cs="宋体"/>
          <w:spacing w:val="-11"/>
          <w:position w:val="20"/>
          <w:sz w:val="24"/>
          <w:szCs w:val="24"/>
        </w:rPr>
        <w:t>某截面到入口处距离，</w:t>
      </w:r>
      <w:r>
        <w:rPr>
          <w:rFonts w:ascii="宋体" w:hAnsi="宋体" w:eastAsia="宋体" w:cs="宋体"/>
          <w:spacing w:val="61"/>
          <w:position w:val="20"/>
          <w:sz w:val="24"/>
          <w:szCs w:val="24"/>
        </w:rPr>
        <w:t xml:space="preserve"> </w:t>
      </w:r>
      <w:r>
        <w:rPr>
          <w:rFonts w:ascii="Times New Roman" w:hAnsi="Times New Roman" w:eastAsia="Times New Roman" w:cs="Times New Roman"/>
          <w:spacing w:val="-11"/>
          <w:position w:val="20"/>
          <w:sz w:val="24"/>
          <w:szCs w:val="24"/>
        </w:rPr>
        <w:t>m</w:t>
      </w:r>
      <w:r>
        <w:rPr>
          <w:rFonts w:ascii="宋体" w:hAnsi="宋体" w:eastAsia="宋体" w:cs="宋体"/>
          <w:spacing w:val="-11"/>
          <w:position w:val="20"/>
          <w:sz w:val="24"/>
          <w:szCs w:val="24"/>
        </w:rPr>
        <w:t>；</w:t>
      </w:r>
    </w:p>
    <w:p>
      <w:pPr>
        <w:spacing w:before="1" w:line="233" w:lineRule="auto"/>
        <w:ind w:left="1230"/>
        <w:rPr>
          <w:rFonts w:ascii="宋体" w:hAnsi="宋体" w:eastAsia="宋体" w:cs="宋体"/>
          <w:sz w:val="24"/>
          <w:szCs w:val="24"/>
        </w:rPr>
      </w:pPr>
      <w:r>
        <w:rPr>
          <w:rFonts w:ascii="Times New Roman" w:hAnsi="Times New Roman" w:eastAsia="Times New Roman" w:cs="Times New Roman"/>
          <w:i/>
          <w:iCs/>
          <w:spacing w:val="-13"/>
          <w:sz w:val="24"/>
          <w:szCs w:val="24"/>
        </w:rPr>
        <w:t>S</w:t>
      </w:r>
      <w:r>
        <w:rPr>
          <w:rFonts w:ascii="Times New Roman" w:hAnsi="Times New Roman" w:eastAsia="Times New Roman" w:cs="Times New Roman"/>
          <w:spacing w:val="-13"/>
          <w:sz w:val="24"/>
          <w:szCs w:val="24"/>
        </w:rPr>
        <w:t>──</w:t>
      </w:r>
      <w:r>
        <w:rPr>
          <w:rFonts w:ascii="宋体" w:hAnsi="宋体" w:eastAsia="宋体" w:cs="宋体"/>
          <w:spacing w:val="-13"/>
          <w:sz w:val="24"/>
          <w:szCs w:val="24"/>
        </w:rPr>
        <w:t>隧道横截面面积，</w:t>
      </w:r>
      <w:r>
        <w:rPr>
          <w:rFonts w:ascii="宋体" w:hAnsi="宋体" w:eastAsia="宋体" w:cs="宋体"/>
          <w:spacing w:val="61"/>
          <w:sz w:val="24"/>
          <w:szCs w:val="24"/>
        </w:rPr>
        <w:t xml:space="preserve"> </w:t>
      </w:r>
      <w:r>
        <w:rPr>
          <w:rFonts w:ascii="Times New Roman" w:hAnsi="Times New Roman" w:eastAsia="Times New Roman" w:cs="Times New Roman"/>
          <w:spacing w:val="-13"/>
          <w:sz w:val="24"/>
          <w:szCs w:val="24"/>
        </w:rPr>
        <w:t>m</w:t>
      </w:r>
      <w:r>
        <w:rPr>
          <w:rFonts w:ascii="Times New Roman" w:hAnsi="Times New Roman" w:eastAsia="Times New Roman" w:cs="Times New Roman"/>
          <w:spacing w:val="-13"/>
          <w:position w:val="8"/>
          <w:sz w:val="16"/>
          <w:szCs w:val="16"/>
        </w:rPr>
        <w:t>2</w:t>
      </w:r>
      <w:r>
        <w:rPr>
          <w:rFonts w:ascii="宋体" w:hAnsi="宋体" w:eastAsia="宋体" w:cs="宋体"/>
          <w:spacing w:val="-13"/>
          <w:sz w:val="24"/>
          <w:szCs w:val="24"/>
        </w:rPr>
        <w:t>；</w:t>
      </w:r>
    </w:p>
    <w:p>
      <w:pPr>
        <w:spacing w:before="215" w:line="521" w:lineRule="exact"/>
        <w:ind w:left="1235"/>
        <w:rPr>
          <w:rFonts w:ascii="宋体" w:hAnsi="宋体" w:eastAsia="宋体" w:cs="宋体"/>
          <w:sz w:val="24"/>
          <w:szCs w:val="24"/>
        </w:rPr>
      </w:pPr>
      <w:r>
        <w:rPr>
          <w:rFonts w:ascii="Times New Roman" w:hAnsi="Times New Roman" w:eastAsia="Times New Roman" w:cs="Times New Roman"/>
          <w:i/>
          <w:iCs/>
          <w:spacing w:val="-11"/>
          <w:position w:val="20"/>
          <w:sz w:val="24"/>
          <w:szCs w:val="24"/>
        </w:rPr>
        <w:t>u</w:t>
      </w:r>
      <w:r>
        <w:rPr>
          <w:rFonts w:ascii="Times New Roman" w:hAnsi="Times New Roman" w:eastAsia="Times New Roman" w:cs="Times New Roman"/>
          <w:spacing w:val="-11"/>
          <w:position w:val="20"/>
          <w:sz w:val="24"/>
          <w:szCs w:val="24"/>
        </w:rPr>
        <w:t>──</w:t>
      </w:r>
      <w:r>
        <w:rPr>
          <w:rFonts w:ascii="宋体" w:hAnsi="宋体" w:eastAsia="宋体" w:cs="宋体"/>
          <w:spacing w:val="-11"/>
          <w:position w:val="20"/>
          <w:sz w:val="24"/>
          <w:szCs w:val="24"/>
        </w:rPr>
        <w:t>隧道内的空气流动速度，</w:t>
      </w:r>
      <w:r>
        <w:rPr>
          <w:rFonts w:ascii="宋体" w:hAnsi="宋体" w:eastAsia="宋体" w:cs="宋体"/>
          <w:spacing w:val="72"/>
          <w:position w:val="20"/>
          <w:sz w:val="24"/>
          <w:szCs w:val="24"/>
        </w:rPr>
        <w:t xml:space="preserve"> </w:t>
      </w:r>
      <w:r>
        <w:rPr>
          <w:rFonts w:ascii="Times New Roman" w:hAnsi="Times New Roman" w:eastAsia="Times New Roman" w:cs="Times New Roman"/>
          <w:spacing w:val="-11"/>
          <w:position w:val="20"/>
          <w:sz w:val="24"/>
          <w:szCs w:val="24"/>
        </w:rPr>
        <w:t>m/s</w:t>
      </w:r>
      <w:r>
        <w:rPr>
          <w:rFonts w:ascii="宋体" w:hAnsi="宋体" w:eastAsia="宋体" w:cs="宋体"/>
          <w:spacing w:val="-11"/>
          <w:position w:val="20"/>
          <w:sz w:val="24"/>
          <w:szCs w:val="24"/>
        </w:rPr>
        <w:t>。</w:t>
      </w:r>
    </w:p>
    <w:p>
      <w:pPr>
        <w:spacing w:line="219" w:lineRule="auto"/>
        <w:ind w:left="512"/>
        <w:rPr>
          <w:rFonts w:ascii="宋体" w:hAnsi="宋体" w:eastAsia="宋体" w:cs="宋体"/>
          <w:sz w:val="24"/>
          <w:szCs w:val="24"/>
        </w:rPr>
      </w:pPr>
      <w:r>
        <w:rPr>
          <w:rFonts w:ascii="Times New Roman" w:hAnsi="Times New Roman" w:eastAsia="Times New Roman" w:cs="Times New Roman"/>
          <w:spacing w:val="-3"/>
          <w:sz w:val="24"/>
          <w:szCs w:val="24"/>
        </w:rPr>
        <w:t>B</w:t>
      </w:r>
      <w:r>
        <w:rPr>
          <w:rFonts w:ascii="宋体" w:hAnsi="宋体" w:eastAsia="宋体" w:cs="宋体"/>
          <w:spacing w:val="-3"/>
          <w:sz w:val="24"/>
          <w:szCs w:val="24"/>
        </w:rPr>
        <w:t>、源强计算</w:t>
      </w:r>
    </w:p>
    <w:p>
      <w:pPr>
        <w:spacing w:before="236" w:line="458" w:lineRule="exact"/>
        <w:ind w:left="518"/>
        <w:rPr>
          <w:rFonts w:ascii="宋体" w:hAnsi="宋体" w:eastAsia="宋体" w:cs="宋体"/>
          <w:sz w:val="24"/>
          <w:szCs w:val="24"/>
        </w:rPr>
      </w:pPr>
      <w:r>
        <w:rPr>
          <w:rFonts w:ascii="宋体" w:hAnsi="宋体" w:eastAsia="宋体" w:cs="宋体"/>
          <w:spacing w:val="3"/>
          <w:position w:val="16"/>
          <w:sz w:val="24"/>
          <w:szCs w:val="24"/>
        </w:rPr>
        <w:t>根据各预测隧道的有关参数，利用隧道内大</w:t>
      </w:r>
      <w:r>
        <w:rPr>
          <w:rFonts w:ascii="宋体" w:hAnsi="宋体" w:eastAsia="宋体" w:cs="宋体"/>
          <w:spacing w:val="2"/>
          <w:position w:val="16"/>
          <w:sz w:val="24"/>
          <w:szCs w:val="24"/>
        </w:rPr>
        <w:t>气污染物的扩散模式可以计算出</w:t>
      </w:r>
    </w:p>
    <w:p>
      <w:pPr>
        <w:spacing w:before="1" w:line="219" w:lineRule="auto"/>
        <w:ind w:left="37"/>
        <w:rPr>
          <w:rFonts w:ascii="宋体" w:hAnsi="宋体" w:eastAsia="宋体" w:cs="宋体"/>
          <w:sz w:val="24"/>
          <w:szCs w:val="24"/>
        </w:rPr>
      </w:pPr>
      <w:r>
        <w:rPr>
          <w:rFonts w:ascii="宋体" w:hAnsi="宋体" w:eastAsia="宋体" w:cs="宋体"/>
          <w:spacing w:val="-1"/>
          <w:sz w:val="24"/>
          <w:szCs w:val="24"/>
        </w:rPr>
        <w:t>在一般气象条件下各隧道口汽车尾气污染物扩散情况，预测结果见表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3.2.2-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13</w:t>
      </w:r>
      <w:r>
        <w:rPr>
          <w:rFonts w:ascii="宋体" w:hAnsi="宋体" w:eastAsia="宋体" w:cs="宋体"/>
          <w:spacing w:val="-2"/>
          <w:sz w:val="24"/>
          <w:szCs w:val="24"/>
        </w:rPr>
        <w:t>。</w:t>
      </w:r>
    </w:p>
    <w:p>
      <w:pPr>
        <w:spacing w:line="219" w:lineRule="auto"/>
        <w:rPr>
          <w:rFonts w:ascii="宋体" w:hAnsi="宋体" w:eastAsia="宋体" w:cs="宋体"/>
          <w:sz w:val="24"/>
          <w:szCs w:val="24"/>
        </w:rPr>
        <w:sectPr>
          <w:headerReference r:id="rId169" w:type="default"/>
          <w:footerReference r:id="rId170" w:type="default"/>
          <w:pgSz w:w="11907" w:h="16839"/>
          <w:pgMar w:top="1401" w:right="1613" w:bottom="1326" w:left="1673" w:header="1160" w:footer="1165" w:gutter="0"/>
          <w:cols w:space="720" w:num="1"/>
        </w:sectPr>
      </w:pPr>
    </w:p>
    <w:p>
      <w:pPr>
        <w:pStyle w:val="2"/>
        <w:spacing w:line="278" w:lineRule="auto"/>
      </w:pPr>
    </w:p>
    <w:p>
      <w:pPr>
        <w:spacing w:before="78" w:line="219" w:lineRule="auto"/>
        <w:ind w:left="1489"/>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3.8-</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 xml:space="preserve">11        </w:t>
      </w:r>
      <w:r>
        <w:rPr>
          <w:rFonts w:ascii="宋体" w:hAnsi="宋体" w:eastAsia="宋体" w:cs="宋体"/>
          <w:spacing w:val="-1"/>
          <w:sz w:val="24"/>
          <w:szCs w:val="24"/>
        </w:rPr>
        <w:t>隧道口高峰小时一般气象条件下</w:t>
      </w:r>
      <w:r>
        <w:rPr>
          <w:rFonts w:ascii="宋体" w:hAnsi="宋体" w:eastAsia="宋体" w:cs="宋体"/>
          <w:spacing w:val="-2"/>
          <w:sz w:val="24"/>
          <w:szCs w:val="24"/>
        </w:rPr>
        <w:t>污染物浓度预测结果</w:t>
      </w:r>
    </w:p>
    <w:p>
      <w:pPr>
        <w:spacing w:line="147" w:lineRule="exact"/>
      </w:pPr>
    </w:p>
    <w:tbl>
      <w:tblPr>
        <w:tblStyle w:val="5"/>
        <w:tblW w:w="986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752"/>
        <w:gridCol w:w="776"/>
        <w:gridCol w:w="1455"/>
        <w:gridCol w:w="803"/>
        <w:gridCol w:w="858"/>
        <w:gridCol w:w="776"/>
        <w:gridCol w:w="779"/>
        <w:gridCol w:w="779"/>
        <w:gridCol w:w="777"/>
        <w:gridCol w:w="779"/>
        <w:gridCol w:w="7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545" w:type="dxa"/>
            <w:vMerge w:val="restart"/>
            <w:tcBorders>
              <w:bottom w:val="nil"/>
            </w:tcBorders>
            <w:textDirection w:val="tbRlV"/>
            <w:vAlign w:val="top"/>
          </w:tcPr>
          <w:p>
            <w:pPr>
              <w:pStyle w:val="6"/>
              <w:spacing w:before="162" w:line="211" w:lineRule="auto"/>
              <w:ind w:left="252"/>
            </w:pPr>
            <w:r>
              <w:rPr>
                <w:spacing w:val="31"/>
              </w:rPr>
              <w:t>序号</w:t>
            </w:r>
          </w:p>
        </w:tc>
        <w:tc>
          <w:tcPr>
            <w:tcW w:w="752" w:type="dxa"/>
            <w:vMerge w:val="restart"/>
            <w:tcBorders>
              <w:bottom w:val="nil"/>
            </w:tcBorders>
            <w:vAlign w:val="top"/>
          </w:tcPr>
          <w:p>
            <w:pPr>
              <w:pStyle w:val="6"/>
              <w:spacing w:before="252" w:line="238" w:lineRule="auto"/>
              <w:ind w:left="169"/>
            </w:pPr>
            <w:r>
              <w:rPr>
                <w:spacing w:val="-5"/>
              </w:rPr>
              <w:t>隧道</w:t>
            </w:r>
          </w:p>
          <w:p>
            <w:pPr>
              <w:pStyle w:val="6"/>
              <w:spacing w:line="222" w:lineRule="auto"/>
              <w:ind w:left="161"/>
            </w:pPr>
            <w:r>
              <w:rPr>
                <w:spacing w:val="-3"/>
              </w:rPr>
              <w:t>名称</w:t>
            </w:r>
          </w:p>
        </w:tc>
        <w:tc>
          <w:tcPr>
            <w:tcW w:w="776" w:type="dxa"/>
            <w:vMerge w:val="restart"/>
            <w:tcBorders>
              <w:bottom w:val="nil"/>
            </w:tcBorders>
            <w:vAlign w:val="top"/>
          </w:tcPr>
          <w:p>
            <w:pPr>
              <w:pStyle w:val="6"/>
              <w:spacing w:before="252" w:line="238" w:lineRule="auto"/>
              <w:ind w:left="181"/>
            </w:pPr>
            <w:r>
              <w:rPr>
                <w:spacing w:val="-5"/>
              </w:rPr>
              <w:t>隧道</w:t>
            </w:r>
          </w:p>
          <w:p>
            <w:pPr>
              <w:pStyle w:val="6"/>
              <w:spacing w:line="220" w:lineRule="auto"/>
              <w:ind w:left="170"/>
            </w:pPr>
            <w:r>
              <w:rPr>
                <w:spacing w:val="-2"/>
              </w:rPr>
              <w:t>类型</w:t>
            </w:r>
          </w:p>
        </w:tc>
        <w:tc>
          <w:tcPr>
            <w:tcW w:w="1455" w:type="dxa"/>
            <w:vMerge w:val="restart"/>
            <w:tcBorders>
              <w:bottom w:val="nil"/>
            </w:tcBorders>
            <w:vAlign w:val="top"/>
          </w:tcPr>
          <w:p>
            <w:pPr>
              <w:spacing w:line="316" w:lineRule="auto"/>
              <w:rPr>
                <w:rFonts w:ascii="Arial"/>
                <w:sz w:val="21"/>
              </w:rPr>
            </w:pPr>
          </w:p>
          <w:p>
            <w:pPr>
              <w:pStyle w:val="6"/>
              <w:spacing w:before="68" w:line="221" w:lineRule="auto"/>
              <w:ind w:left="307"/>
            </w:pPr>
            <w:r>
              <w:rPr>
                <w:spacing w:val="-2"/>
              </w:rPr>
              <w:t>起讫桩号</w:t>
            </w:r>
          </w:p>
        </w:tc>
        <w:tc>
          <w:tcPr>
            <w:tcW w:w="803" w:type="dxa"/>
            <w:vMerge w:val="restart"/>
            <w:tcBorders>
              <w:bottom w:val="nil"/>
            </w:tcBorders>
            <w:vAlign w:val="top"/>
          </w:tcPr>
          <w:p>
            <w:pPr>
              <w:pStyle w:val="6"/>
              <w:spacing w:before="129" w:line="241" w:lineRule="auto"/>
              <w:ind w:left="201"/>
            </w:pPr>
            <w:r>
              <w:rPr>
                <w:spacing w:val="-5"/>
              </w:rPr>
              <w:t>隧道</w:t>
            </w:r>
          </w:p>
          <w:p>
            <w:pPr>
              <w:pStyle w:val="6"/>
              <w:spacing w:line="221" w:lineRule="auto"/>
              <w:ind w:left="191"/>
            </w:pPr>
            <w:r>
              <w:rPr>
                <w:spacing w:val="-2"/>
              </w:rPr>
              <w:t>长度</w:t>
            </w:r>
          </w:p>
          <w:p>
            <w:pPr>
              <w:spacing w:before="40" w:line="191" w:lineRule="auto"/>
              <w:ind w:left="24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858" w:type="dxa"/>
            <w:vMerge w:val="restart"/>
            <w:tcBorders>
              <w:bottom w:val="nil"/>
            </w:tcBorders>
            <w:vAlign w:val="top"/>
          </w:tcPr>
          <w:p>
            <w:pPr>
              <w:pStyle w:val="6"/>
              <w:spacing w:before="252" w:line="229" w:lineRule="auto"/>
              <w:ind w:left="327" w:right="104" w:hanging="215"/>
            </w:pPr>
            <w:r>
              <w:rPr>
                <w:spacing w:val="-2"/>
              </w:rPr>
              <w:t>通风方</w:t>
            </w:r>
            <w:r>
              <w:t xml:space="preserve"> 式</w:t>
            </w:r>
          </w:p>
        </w:tc>
        <w:tc>
          <w:tcPr>
            <w:tcW w:w="2334" w:type="dxa"/>
            <w:gridSpan w:val="3"/>
            <w:vAlign w:val="top"/>
          </w:tcPr>
          <w:p>
            <w:pPr>
              <w:pStyle w:val="6"/>
              <w:spacing w:before="120" w:line="213" w:lineRule="auto"/>
              <w:ind w:left="296"/>
            </w:pPr>
            <w:r>
              <w:rPr>
                <w:rFonts w:ascii="Times New Roman" w:hAnsi="Times New Roman" w:eastAsia="Times New Roman" w:cs="Times New Roman"/>
                <w:spacing w:val="-1"/>
              </w:rPr>
              <w:t xml:space="preserve">CO </w:t>
            </w:r>
            <w:r>
              <w:rPr>
                <w:spacing w:val="-1"/>
              </w:rPr>
              <w:t>浓度（</w:t>
            </w:r>
            <w:r>
              <w:rPr>
                <w:rFonts w:ascii="Times New Roman" w:hAnsi="Times New Roman" w:eastAsia="Times New Roman" w:cs="Times New Roman"/>
                <w:spacing w:val="-1"/>
              </w:rPr>
              <w:t>mg/m</w:t>
            </w:r>
            <w:r>
              <w:rPr>
                <w:rFonts w:ascii="Times New Roman" w:hAnsi="Times New Roman" w:eastAsia="Times New Roman" w:cs="Times New Roman"/>
                <w:spacing w:val="-1"/>
                <w:position w:val="6"/>
                <w:sz w:val="13"/>
                <w:szCs w:val="13"/>
              </w:rPr>
              <w:t>3</w:t>
            </w:r>
            <w:r>
              <w:rPr>
                <w:spacing w:val="-1"/>
              </w:rPr>
              <w:t>）</w:t>
            </w:r>
          </w:p>
        </w:tc>
        <w:tc>
          <w:tcPr>
            <w:tcW w:w="2345" w:type="dxa"/>
            <w:gridSpan w:val="3"/>
            <w:vAlign w:val="top"/>
          </w:tcPr>
          <w:p>
            <w:pPr>
              <w:pStyle w:val="6"/>
              <w:spacing w:before="120" w:line="213" w:lineRule="auto"/>
              <w:ind w:left="256"/>
            </w:pPr>
            <w:r>
              <w:rPr>
                <w:rFonts w:ascii="Times New Roman" w:hAnsi="Times New Roman" w:eastAsia="Times New Roman" w:cs="Times New Roman"/>
              </w:rPr>
              <w:t>NO</w:t>
            </w:r>
            <w:r>
              <w:rPr>
                <w:rFonts w:ascii="Times New Roman" w:hAnsi="Times New Roman" w:eastAsia="Times New Roman" w:cs="Times New Roman"/>
                <w:b/>
                <w:bCs/>
                <w:position w:val="-2"/>
                <w:sz w:val="13"/>
                <w:szCs w:val="13"/>
              </w:rPr>
              <w:t>2</w:t>
            </w:r>
            <w:r>
              <w:rPr>
                <w:rFonts w:ascii="Times New Roman" w:hAnsi="Times New Roman" w:eastAsia="Times New Roman" w:cs="Times New Roman"/>
                <w:b/>
                <w:bCs/>
                <w:spacing w:val="16"/>
                <w:w w:val="101"/>
                <w:position w:val="-2"/>
                <w:sz w:val="13"/>
                <w:szCs w:val="13"/>
              </w:rPr>
              <w:t xml:space="preserve"> </w:t>
            </w:r>
            <w:r>
              <w:t>浓度（</w:t>
            </w:r>
            <w:r>
              <w:rPr>
                <w:rFonts w:ascii="Times New Roman" w:hAnsi="Times New Roman" w:eastAsia="Times New Roman" w:cs="Times New Roman"/>
              </w:rPr>
              <w:t>mg/m</w:t>
            </w:r>
            <w:r>
              <w:rPr>
                <w:rFonts w:ascii="Times New Roman" w:hAnsi="Times New Roman" w:eastAsia="Times New Roman" w:cs="Times New Roman"/>
                <w:position w:val="6"/>
                <w:sz w:val="13"/>
                <w:szCs w:val="13"/>
              </w:rPr>
              <w:t>3</w:t>
            </w: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545" w:type="dxa"/>
            <w:vMerge w:val="continue"/>
            <w:tcBorders>
              <w:top w:val="nil"/>
            </w:tcBorders>
            <w:textDirection w:val="tbRlV"/>
            <w:vAlign w:val="top"/>
          </w:tcPr>
          <w:p>
            <w:pPr>
              <w:rPr>
                <w:rFonts w:ascii="Arial"/>
                <w:sz w:val="21"/>
              </w:rPr>
            </w:pPr>
          </w:p>
        </w:tc>
        <w:tc>
          <w:tcPr>
            <w:tcW w:w="752" w:type="dxa"/>
            <w:vMerge w:val="continue"/>
            <w:tcBorders>
              <w:top w:val="nil"/>
            </w:tcBorders>
            <w:vAlign w:val="top"/>
          </w:tcPr>
          <w:p>
            <w:pPr>
              <w:rPr>
                <w:rFonts w:ascii="Arial"/>
                <w:sz w:val="21"/>
              </w:rPr>
            </w:pPr>
          </w:p>
        </w:tc>
        <w:tc>
          <w:tcPr>
            <w:tcW w:w="776" w:type="dxa"/>
            <w:vMerge w:val="continue"/>
            <w:tcBorders>
              <w:top w:val="nil"/>
            </w:tcBorders>
            <w:vAlign w:val="top"/>
          </w:tcPr>
          <w:p>
            <w:pPr>
              <w:rPr>
                <w:rFonts w:ascii="Arial"/>
                <w:sz w:val="21"/>
              </w:rPr>
            </w:pPr>
          </w:p>
        </w:tc>
        <w:tc>
          <w:tcPr>
            <w:tcW w:w="1455" w:type="dxa"/>
            <w:vMerge w:val="continue"/>
            <w:tcBorders>
              <w:top w:val="nil"/>
            </w:tcBorders>
            <w:vAlign w:val="top"/>
          </w:tcPr>
          <w:p>
            <w:pPr>
              <w:rPr>
                <w:rFonts w:ascii="Arial"/>
                <w:sz w:val="21"/>
              </w:rPr>
            </w:pPr>
          </w:p>
        </w:tc>
        <w:tc>
          <w:tcPr>
            <w:tcW w:w="803" w:type="dxa"/>
            <w:vMerge w:val="continue"/>
            <w:tcBorders>
              <w:top w:val="nil"/>
            </w:tcBorders>
            <w:vAlign w:val="top"/>
          </w:tcPr>
          <w:p>
            <w:pPr>
              <w:rPr>
                <w:rFonts w:ascii="Arial"/>
                <w:sz w:val="21"/>
              </w:rPr>
            </w:pPr>
          </w:p>
        </w:tc>
        <w:tc>
          <w:tcPr>
            <w:tcW w:w="858" w:type="dxa"/>
            <w:vMerge w:val="continue"/>
            <w:tcBorders>
              <w:top w:val="nil"/>
            </w:tcBorders>
            <w:vAlign w:val="top"/>
          </w:tcPr>
          <w:p>
            <w:pPr>
              <w:rPr>
                <w:rFonts w:ascii="Arial"/>
                <w:sz w:val="21"/>
              </w:rPr>
            </w:pPr>
          </w:p>
        </w:tc>
        <w:tc>
          <w:tcPr>
            <w:tcW w:w="776" w:type="dxa"/>
            <w:vAlign w:val="top"/>
          </w:tcPr>
          <w:p>
            <w:pPr>
              <w:spacing w:before="51" w:line="21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2023</w:t>
            </w:r>
          </w:p>
          <w:p>
            <w:pPr>
              <w:pStyle w:val="6"/>
              <w:spacing w:line="207" w:lineRule="auto"/>
              <w:ind w:left="285"/>
            </w:pPr>
            <w:r>
              <w:t>年</w:t>
            </w:r>
          </w:p>
        </w:tc>
        <w:tc>
          <w:tcPr>
            <w:tcW w:w="779" w:type="dxa"/>
            <w:vAlign w:val="top"/>
          </w:tcPr>
          <w:p>
            <w:pPr>
              <w:spacing w:before="51" w:line="21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2029</w:t>
            </w:r>
          </w:p>
          <w:p>
            <w:pPr>
              <w:pStyle w:val="6"/>
              <w:spacing w:line="207" w:lineRule="auto"/>
              <w:ind w:left="287"/>
            </w:pPr>
            <w:r>
              <w:t>年</w:t>
            </w:r>
          </w:p>
        </w:tc>
        <w:tc>
          <w:tcPr>
            <w:tcW w:w="779" w:type="dxa"/>
            <w:vAlign w:val="top"/>
          </w:tcPr>
          <w:p>
            <w:pPr>
              <w:spacing w:before="51" w:line="21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2037</w:t>
            </w:r>
          </w:p>
          <w:p>
            <w:pPr>
              <w:pStyle w:val="6"/>
              <w:spacing w:line="207" w:lineRule="auto"/>
              <w:ind w:left="288"/>
            </w:pPr>
            <w:r>
              <w:t>年</w:t>
            </w:r>
          </w:p>
        </w:tc>
        <w:tc>
          <w:tcPr>
            <w:tcW w:w="777" w:type="dxa"/>
            <w:vAlign w:val="top"/>
          </w:tcPr>
          <w:p>
            <w:pPr>
              <w:spacing w:before="51" w:line="21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2023</w:t>
            </w:r>
          </w:p>
          <w:p>
            <w:pPr>
              <w:pStyle w:val="6"/>
              <w:spacing w:line="207" w:lineRule="auto"/>
              <w:ind w:left="289"/>
            </w:pPr>
            <w:r>
              <w:t>年</w:t>
            </w:r>
          </w:p>
        </w:tc>
        <w:tc>
          <w:tcPr>
            <w:tcW w:w="779" w:type="dxa"/>
            <w:vAlign w:val="top"/>
          </w:tcPr>
          <w:p>
            <w:pPr>
              <w:spacing w:before="51" w:line="217" w:lineRule="auto"/>
              <w:ind w:left="1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2029</w:t>
            </w:r>
          </w:p>
          <w:p>
            <w:pPr>
              <w:pStyle w:val="6"/>
              <w:spacing w:line="207" w:lineRule="auto"/>
              <w:ind w:left="290"/>
            </w:pPr>
            <w:r>
              <w:t>年</w:t>
            </w:r>
          </w:p>
        </w:tc>
        <w:tc>
          <w:tcPr>
            <w:tcW w:w="789" w:type="dxa"/>
            <w:vAlign w:val="top"/>
          </w:tcPr>
          <w:p>
            <w:pPr>
              <w:spacing w:before="51" w:line="21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2037</w:t>
            </w:r>
          </w:p>
          <w:p>
            <w:pPr>
              <w:pStyle w:val="6"/>
              <w:spacing w:line="207" w:lineRule="auto"/>
              <w:ind w:left="291"/>
            </w:pPr>
            <w:r>
              <w:t>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545" w:type="dxa"/>
            <w:vAlign w:val="top"/>
          </w:tcPr>
          <w:p>
            <w:pPr>
              <w:spacing w:before="207" w:line="187" w:lineRule="auto"/>
              <w:ind w:left="23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52" w:type="dxa"/>
            <w:vAlign w:val="top"/>
          </w:tcPr>
          <w:p>
            <w:pPr>
              <w:pStyle w:val="6"/>
              <w:spacing w:before="32" w:line="238" w:lineRule="auto"/>
              <w:ind w:left="159"/>
            </w:pPr>
            <w:r>
              <w:rPr>
                <w:spacing w:val="-2"/>
              </w:rPr>
              <w:t>敖里</w:t>
            </w:r>
          </w:p>
          <w:p>
            <w:pPr>
              <w:pStyle w:val="6"/>
              <w:spacing w:before="1" w:line="203" w:lineRule="auto"/>
              <w:ind w:left="169"/>
            </w:pPr>
            <w:r>
              <w:rPr>
                <w:spacing w:val="-5"/>
              </w:rPr>
              <w:t>隧道</w:t>
            </w:r>
          </w:p>
        </w:tc>
        <w:tc>
          <w:tcPr>
            <w:tcW w:w="776" w:type="dxa"/>
            <w:vAlign w:val="top"/>
          </w:tcPr>
          <w:p>
            <w:pPr>
              <w:pStyle w:val="6"/>
              <w:spacing w:before="168" w:line="221" w:lineRule="auto"/>
              <w:ind w:left="171"/>
            </w:pPr>
            <w:r>
              <w:rPr>
                <w:spacing w:val="-2"/>
              </w:rPr>
              <w:t>单洞</w:t>
            </w:r>
          </w:p>
        </w:tc>
        <w:tc>
          <w:tcPr>
            <w:tcW w:w="1455" w:type="dxa"/>
            <w:vAlign w:val="top"/>
          </w:tcPr>
          <w:p>
            <w:pPr>
              <w:spacing w:before="84" w:line="214" w:lineRule="auto"/>
              <w:ind w:left="458" w:right="114" w:hanging="3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LK2+410~LK</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pacing w:val="-2"/>
                <w:sz w:val="21"/>
                <w:szCs w:val="21"/>
              </w:rPr>
              <w:t>3+263</w:t>
            </w:r>
          </w:p>
        </w:tc>
        <w:tc>
          <w:tcPr>
            <w:tcW w:w="803" w:type="dxa"/>
            <w:vAlign w:val="top"/>
          </w:tcPr>
          <w:p>
            <w:pPr>
              <w:spacing w:before="207"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853</w:t>
            </w:r>
          </w:p>
        </w:tc>
        <w:tc>
          <w:tcPr>
            <w:tcW w:w="858" w:type="dxa"/>
            <w:vAlign w:val="top"/>
          </w:tcPr>
          <w:p>
            <w:pPr>
              <w:pStyle w:val="6"/>
              <w:spacing w:before="32" w:line="221" w:lineRule="auto"/>
              <w:ind w:left="323" w:right="104" w:hanging="212"/>
            </w:pPr>
            <w:r>
              <w:rPr>
                <w:spacing w:val="-2"/>
              </w:rPr>
              <w:t>机械通</w:t>
            </w:r>
            <w:r>
              <w:rPr>
                <w:spacing w:val="1"/>
              </w:rPr>
              <w:t xml:space="preserve"> </w:t>
            </w:r>
            <w:r>
              <w:t>风</w:t>
            </w:r>
          </w:p>
        </w:tc>
        <w:tc>
          <w:tcPr>
            <w:tcW w:w="776" w:type="dxa"/>
            <w:vAlign w:val="top"/>
          </w:tcPr>
          <w:p>
            <w:pPr>
              <w:spacing w:before="207"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0.142</w:t>
            </w:r>
          </w:p>
        </w:tc>
        <w:tc>
          <w:tcPr>
            <w:tcW w:w="779" w:type="dxa"/>
            <w:vAlign w:val="top"/>
          </w:tcPr>
          <w:p>
            <w:pPr>
              <w:spacing w:before="207"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0.280</w:t>
            </w:r>
          </w:p>
        </w:tc>
        <w:tc>
          <w:tcPr>
            <w:tcW w:w="779" w:type="dxa"/>
            <w:vAlign w:val="top"/>
          </w:tcPr>
          <w:p>
            <w:pPr>
              <w:spacing w:before="207" w:line="187" w:lineRule="auto"/>
              <w:ind w:left="1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0.363</w:t>
            </w:r>
          </w:p>
        </w:tc>
        <w:tc>
          <w:tcPr>
            <w:tcW w:w="777" w:type="dxa"/>
            <w:vAlign w:val="top"/>
          </w:tcPr>
          <w:p>
            <w:pPr>
              <w:spacing w:before="207" w:line="187"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0.013</w:t>
            </w:r>
          </w:p>
        </w:tc>
        <w:tc>
          <w:tcPr>
            <w:tcW w:w="779" w:type="dxa"/>
            <w:vAlign w:val="top"/>
          </w:tcPr>
          <w:p>
            <w:pPr>
              <w:spacing w:before="207" w:line="187"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0.026</w:t>
            </w:r>
          </w:p>
        </w:tc>
        <w:tc>
          <w:tcPr>
            <w:tcW w:w="789" w:type="dxa"/>
            <w:vAlign w:val="top"/>
          </w:tcPr>
          <w:p>
            <w:pPr>
              <w:spacing w:before="207"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8" w:hRule="atLeast"/>
        </w:trPr>
        <w:tc>
          <w:tcPr>
            <w:tcW w:w="545" w:type="dxa"/>
            <w:vAlign w:val="top"/>
          </w:tcPr>
          <w:p>
            <w:pPr>
              <w:spacing w:before="223" w:line="187" w:lineRule="auto"/>
              <w:ind w:left="21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52" w:type="dxa"/>
            <w:vAlign w:val="top"/>
          </w:tcPr>
          <w:p>
            <w:pPr>
              <w:pStyle w:val="6"/>
              <w:spacing w:before="48" w:line="238" w:lineRule="auto"/>
              <w:ind w:left="166"/>
            </w:pPr>
            <w:r>
              <w:rPr>
                <w:spacing w:val="-4"/>
              </w:rPr>
              <w:t>百丈</w:t>
            </w:r>
          </w:p>
          <w:p>
            <w:pPr>
              <w:pStyle w:val="6"/>
              <w:spacing w:before="1" w:line="218" w:lineRule="auto"/>
              <w:ind w:left="169"/>
            </w:pPr>
            <w:r>
              <w:rPr>
                <w:spacing w:val="-5"/>
              </w:rPr>
              <w:t>隧道</w:t>
            </w:r>
          </w:p>
        </w:tc>
        <w:tc>
          <w:tcPr>
            <w:tcW w:w="776" w:type="dxa"/>
            <w:vAlign w:val="top"/>
          </w:tcPr>
          <w:p>
            <w:pPr>
              <w:pStyle w:val="6"/>
              <w:spacing w:before="184" w:line="221" w:lineRule="auto"/>
              <w:ind w:left="171"/>
            </w:pPr>
            <w:r>
              <w:rPr>
                <w:spacing w:val="-2"/>
              </w:rPr>
              <w:t>单洞</w:t>
            </w:r>
          </w:p>
        </w:tc>
        <w:tc>
          <w:tcPr>
            <w:tcW w:w="1455" w:type="dxa"/>
            <w:vAlign w:val="top"/>
          </w:tcPr>
          <w:p>
            <w:pPr>
              <w:spacing w:before="100" w:line="214" w:lineRule="auto"/>
              <w:ind w:left="458" w:right="114" w:hanging="3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LK4+830~LK</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pacing w:val="-2"/>
                <w:sz w:val="21"/>
                <w:szCs w:val="21"/>
              </w:rPr>
              <w:t>6+140</w:t>
            </w:r>
          </w:p>
        </w:tc>
        <w:tc>
          <w:tcPr>
            <w:tcW w:w="803" w:type="dxa"/>
            <w:vAlign w:val="top"/>
          </w:tcPr>
          <w:p>
            <w:pPr>
              <w:spacing w:before="223"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1310</w:t>
            </w:r>
          </w:p>
        </w:tc>
        <w:tc>
          <w:tcPr>
            <w:tcW w:w="858" w:type="dxa"/>
            <w:vAlign w:val="top"/>
          </w:tcPr>
          <w:p>
            <w:pPr>
              <w:pStyle w:val="6"/>
              <w:spacing w:before="47" w:line="229" w:lineRule="auto"/>
              <w:ind w:left="323" w:right="104" w:hanging="212"/>
            </w:pPr>
            <w:r>
              <w:rPr>
                <w:spacing w:val="-2"/>
              </w:rPr>
              <w:t>机械通</w:t>
            </w:r>
            <w:r>
              <w:rPr>
                <w:spacing w:val="1"/>
              </w:rPr>
              <w:t xml:space="preserve"> </w:t>
            </w:r>
            <w:r>
              <w:t>风</w:t>
            </w:r>
          </w:p>
        </w:tc>
        <w:tc>
          <w:tcPr>
            <w:tcW w:w="776" w:type="dxa"/>
            <w:vAlign w:val="top"/>
          </w:tcPr>
          <w:p>
            <w:pPr>
              <w:spacing w:before="223" w:line="187" w:lineRule="auto"/>
              <w:ind w:left="1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0.219</w:t>
            </w:r>
          </w:p>
        </w:tc>
        <w:tc>
          <w:tcPr>
            <w:tcW w:w="779" w:type="dxa"/>
            <w:vAlign w:val="top"/>
          </w:tcPr>
          <w:p>
            <w:pPr>
              <w:spacing w:before="223" w:line="187" w:lineRule="auto"/>
              <w:ind w:left="1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0.431</w:t>
            </w:r>
          </w:p>
        </w:tc>
        <w:tc>
          <w:tcPr>
            <w:tcW w:w="779" w:type="dxa"/>
            <w:vAlign w:val="top"/>
          </w:tcPr>
          <w:p>
            <w:pPr>
              <w:spacing w:before="223" w:line="187" w:lineRule="auto"/>
              <w:ind w:left="1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0.558</w:t>
            </w:r>
          </w:p>
        </w:tc>
        <w:tc>
          <w:tcPr>
            <w:tcW w:w="777" w:type="dxa"/>
            <w:vAlign w:val="top"/>
          </w:tcPr>
          <w:p>
            <w:pPr>
              <w:spacing w:before="223" w:line="187"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0.020</w:t>
            </w:r>
          </w:p>
        </w:tc>
        <w:tc>
          <w:tcPr>
            <w:tcW w:w="779" w:type="dxa"/>
            <w:vAlign w:val="top"/>
          </w:tcPr>
          <w:p>
            <w:pPr>
              <w:spacing w:before="223" w:line="187"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0.039</w:t>
            </w:r>
          </w:p>
        </w:tc>
        <w:tc>
          <w:tcPr>
            <w:tcW w:w="789" w:type="dxa"/>
            <w:vAlign w:val="top"/>
          </w:tcPr>
          <w:p>
            <w:pPr>
              <w:spacing w:before="223" w:line="187" w:lineRule="auto"/>
              <w:ind w:left="1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0.049</w:t>
            </w:r>
          </w:p>
        </w:tc>
      </w:tr>
    </w:tbl>
    <w:p>
      <w:pPr>
        <w:spacing w:before="191" w:line="220" w:lineRule="auto"/>
        <w:ind w:left="1277"/>
        <w:rPr>
          <w:rFonts w:ascii="宋体" w:hAnsi="宋体" w:eastAsia="宋体" w:cs="宋体"/>
          <w:sz w:val="24"/>
          <w:szCs w:val="24"/>
        </w:rPr>
      </w:pPr>
      <w:r>
        <w:rPr>
          <w:rFonts w:ascii="Times New Roman" w:hAnsi="Times New Roman" w:eastAsia="Times New Roman" w:cs="Times New Roman"/>
          <w:spacing w:val="-6"/>
          <w:sz w:val="24"/>
          <w:szCs w:val="24"/>
        </w:rPr>
        <w:t>3</w:t>
      </w:r>
      <w:r>
        <w:rPr>
          <w:rFonts w:ascii="Times New Roman" w:hAnsi="Times New Roman" w:eastAsia="Times New Roman" w:cs="Times New Roman"/>
          <w:spacing w:val="-32"/>
          <w:sz w:val="24"/>
          <w:szCs w:val="24"/>
        </w:rPr>
        <w:t xml:space="preserve"> </w:t>
      </w:r>
      <w:r>
        <w:rPr>
          <w:rFonts w:ascii="宋体" w:hAnsi="宋体" w:eastAsia="宋体" w:cs="宋体"/>
          <w:spacing w:val="-6"/>
          <w:sz w:val="24"/>
          <w:szCs w:val="24"/>
        </w:rPr>
        <w:t>、水污染源</w:t>
      </w:r>
    </w:p>
    <w:p>
      <w:pPr>
        <w:spacing w:before="180" w:line="220" w:lineRule="auto"/>
        <w:ind w:left="128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）路面、桥面径流</w:t>
      </w:r>
    </w:p>
    <w:p>
      <w:pPr>
        <w:spacing w:before="225" w:line="360" w:lineRule="auto"/>
        <w:ind w:left="797" w:right="789" w:firstLine="479"/>
        <w:rPr>
          <w:rFonts w:ascii="宋体" w:hAnsi="宋体" w:eastAsia="宋体" w:cs="宋体"/>
          <w:sz w:val="24"/>
          <w:szCs w:val="24"/>
        </w:rPr>
      </w:pPr>
      <w:r>
        <w:rPr>
          <w:rFonts w:ascii="宋体" w:hAnsi="宋体" w:eastAsia="宋体" w:cs="宋体"/>
          <w:spacing w:val="-3"/>
          <w:sz w:val="24"/>
          <w:szCs w:val="24"/>
        </w:rPr>
        <w:t>本项目运营期水污染源主要是路面、桥面径流。降雨冲刷路面</w:t>
      </w:r>
      <w:r>
        <w:rPr>
          <w:rFonts w:ascii="宋体" w:hAnsi="宋体" w:eastAsia="宋体" w:cs="宋体"/>
          <w:spacing w:val="-4"/>
          <w:sz w:val="24"/>
          <w:szCs w:val="24"/>
        </w:rPr>
        <w:t>产生的路、桥</w:t>
      </w:r>
      <w:r>
        <w:rPr>
          <w:rFonts w:ascii="宋体" w:hAnsi="宋体" w:eastAsia="宋体" w:cs="宋体"/>
          <w:sz w:val="24"/>
          <w:szCs w:val="24"/>
        </w:rPr>
        <w:t xml:space="preserve"> </w:t>
      </w:r>
      <w:r>
        <w:rPr>
          <w:rFonts w:ascii="宋体" w:hAnsi="宋体" w:eastAsia="宋体" w:cs="宋体"/>
          <w:spacing w:val="-8"/>
          <w:sz w:val="24"/>
          <w:szCs w:val="24"/>
        </w:rPr>
        <w:t>面径流污水，</w:t>
      </w:r>
      <w:r>
        <w:rPr>
          <w:rFonts w:ascii="宋体" w:hAnsi="宋体" w:eastAsia="宋体" w:cs="宋体"/>
          <w:spacing w:val="52"/>
          <w:sz w:val="24"/>
          <w:szCs w:val="24"/>
        </w:rPr>
        <w:t xml:space="preserve"> </w:t>
      </w:r>
      <w:r>
        <w:rPr>
          <w:rFonts w:ascii="宋体" w:hAnsi="宋体" w:eastAsia="宋体" w:cs="宋体"/>
          <w:spacing w:val="-8"/>
          <w:sz w:val="24"/>
          <w:szCs w:val="24"/>
        </w:rPr>
        <w:t>影响因素包括降雨强度、降雨历时、降雨频率、车流量、路面宽度</w:t>
      </w:r>
    </w:p>
    <w:p>
      <w:pPr>
        <w:spacing w:line="219" w:lineRule="auto"/>
        <w:ind w:left="797"/>
        <w:rPr>
          <w:rFonts w:ascii="宋体" w:hAnsi="宋体" w:eastAsia="宋体" w:cs="宋体"/>
          <w:sz w:val="24"/>
          <w:szCs w:val="24"/>
        </w:rPr>
      </w:pPr>
      <w:r>
        <w:rPr>
          <w:rFonts w:ascii="宋体" w:hAnsi="宋体" w:eastAsia="宋体" w:cs="宋体"/>
          <w:spacing w:val="-5"/>
          <w:sz w:val="24"/>
          <w:szCs w:val="24"/>
        </w:rPr>
        <w:t>和产污路段长度等。</w:t>
      </w:r>
    </w:p>
    <w:p>
      <w:pPr>
        <w:spacing w:before="183" w:line="360" w:lineRule="auto"/>
        <w:ind w:left="797" w:right="787" w:firstLine="479"/>
        <w:rPr>
          <w:rFonts w:ascii="宋体" w:hAnsi="宋体" w:eastAsia="宋体" w:cs="宋体"/>
          <w:sz w:val="24"/>
          <w:szCs w:val="24"/>
        </w:rPr>
      </w:pPr>
      <w:r>
        <w:rPr>
          <w:rFonts w:ascii="宋体" w:hAnsi="宋体" w:eastAsia="宋体" w:cs="宋体"/>
          <w:spacing w:val="-11"/>
          <w:sz w:val="24"/>
          <w:szCs w:val="24"/>
        </w:rPr>
        <w:t>根据国内有关研究数据表明，</w:t>
      </w:r>
      <w:r>
        <w:rPr>
          <w:rFonts w:ascii="宋体" w:hAnsi="宋体" w:eastAsia="宋体" w:cs="宋体"/>
          <w:spacing w:val="48"/>
          <w:sz w:val="24"/>
          <w:szCs w:val="24"/>
        </w:rPr>
        <w:t xml:space="preserve"> </w:t>
      </w:r>
      <w:r>
        <w:rPr>
          <w:rFonts w:ascii="宋体" w:hAnsi="宋体" w:eastAsia="宋体" w:cs="宋体"/>
          <w:spacing w:val="-11"/>
          <w:sz w:val="24"/>
          <w:szCs w:val="24"/>
        </w:rPr>
        <w:t>降雨初期到形成路、桥面径流的</w:t>
      </w:r>
      <w:r>
        <w:rPr>
          <w:rFonts w:ascii="宋体" w:hAnsi="宋体" w:eastAsia="宋体" w:cs="宋体"/>
          <w:spacing w:val="-48"/>
          <w:sz w:val="24"/>
          <w:szCs w:val="24"/>
        </w:rPr>
        <w:t xml:space="preserve"> </w:t>
      </w:r>
      <w:r>
        <w:rPr>
          <w:rFonts w:ascii="Times New Roman" w:hAnsi="Times New Roman" w:eastAsia="Times New Roman" w:cs="Times New Roman"/>
          <w:spacing w:val="-11"/>
          <w:sz w:val="24"/>
          <w:szCs w:val="24"/>
        </w:rPr>
        <w:t>30min</w:t>
      </w:r>
      <w:r>
        <w:rPr>
          <w:rFonts w:ascii="Times New Roman" w:hAnsi="Times New Roman" w:eastAsia="Times New Roman" w:cs="Times New Roman"/>
          <w:spacing w:val="39"/>
          <w:sz w:val="24"/>
          <w:szCs w:val="24"/>
        </w:rPr>
        <w:t xml:space="preserve"> </w:t>
      </w:r>
      <w:r>
        <w:rPr>
          <w:rFonts w:ascii="宋体" w:hAnsi="宋体" w:eastAsia="宋体" w:cs="宋体"/>
          <w:spacing w:val="-11"/>
          <w:sz w:val="24"/>
          <w:szCs w:val="24"/>
        </w:rPr>
        <w:t>内，</w:t>
      </w:r>
      <w:r>
        <w:rPr>
          <w:rFonts w:ascii="宋体" w:hAnsi="宋体" w:eastAsia="宋体" w:cs="宋体"/>
          <w:spacing w:val="-70"/>
          <w:sz w:val="24"/>
          <w:szCs w:val="24"/>
        </w:rPr>
        <w:t xml:space="preserve"> </w:t>
      </w:r>
      <w:r>
        <w:rPr>
          <w:rFonts w:ascii="宋体" w:hAnsi="宋体" w:eastAsia="宋体" w:cs="宋体"/>
          <w:spacing w:val="-11"/>
          <w:sz w:val="24"/>
          <w:szCs w:val="24"/>
        </w:rPr>
        <w:t>雨</w:t>
      </w:r>
      <w:r>
        <w:rPr>
          <w:rFonts w:ascii="宋体" w:hAnsi="宋体" w:eastAsia="宋体" w:cs="宋体"/>
          <w:sz w:val="24"/>
          <w:szCs w:val="24"/>
        </w:rPr>
        <w:t xml:space="preserve"> </w:t>
      </w:r>
      <w:r>
        <w:rPr>
          <w:rFonts w:ascii="宋体" w:hAnsi="宋体" w:eastAsia="宋体" w:cs="宋体"/>
          <w:spacing w:val="14"/>
          <w:sz w:val="24"/>
          <w:szCs w:val="24"/>
        </w:rPr>
        <w:t>水径流</w:t>
      </w:r>
      <w:r>
        <w:rPr>
          <w:rFonts w:ascii="宋体" w:hAnsi="宋体" w:eastAsia="宋体" w:cs="宋体"/>
          <w:spacing w:val="-42"/>
          <w:sz w:val="24"/>
          <w:szCs w:val="24"/>
        </w:rPr>
        <w:t xml:space="preserve"> </w:t>
      </w:r>
      <w:r>
        <w:rPr>
          <w:rFonts w:ascii="宋体" w:hAnsi="宋体" w:eastAsia="宋体" w:cs="宋体"/>
          <w:spacing w:val="14"/>
          <w:sz w:val="24"/>
          <w:szCs w:val="24"/>
        </w:rPr>
        <w:t>中</w:t>
      </w:r>
      <w:r>
        <w:rPr>
          <w:rFonts w:ascii="宋体" w:hAnsi="宋体" w:eastAsia="宋体" w:cs="宋体"/>
          <w:spacing w:val="-58"/>
          <w:sz w:val="24"/>
          <w:szCs w:val="24"/>
        </w:rPr>
        <w:t xml:space="preserve"> </w:t>
      </w:r>
      <w:r>
        <w:rPr>
          <w:rFonts w:ascii="宋体" w:hAnsi="宋体" w:eastAsia="宋体" w:cs="宋体"/>
          <w:spacing w:val="14"/>
          <w:sz w:val="24"/>
          <w:szCs w:val="24"/>
        </w:rPr>
        <w:t>的悬浮物和油类物质</w:t>
      </w:r>
      <w:r>
        <w:rPr>
          <w:rFonts w:ascii="宋体" w:hAnsi="宋体" w:eastAsia="宋体" w:cs="宋体"/>
          <w:spacing w:val="-58"/>
          <w:sz w:val="24"/>
          <w:szCs w:val="24"/>
        </w:rPr>
        <w:t xml:space="preserve"> </w:t>
      </w:r>
      <w:r>
        <w:rPr>
          <w:rFonts w:ascii="宋体" w:hAnsi="宋体" w:eastAsia="宋体" w:cs="宋体"/>
          <w:spacing w:val="14"/>
          <w:sz w:val="24"/>
          <w:szCs w:val="24"/>
        </w:rPr>
        <w:t>的浓度</w:t>
      </w:r>
      <w:r>
        <w:rPr>
          <w:rFonts w:ascii="宋体" w:hAnsi="宋体" w:eastAsia="宋体" w:cs="宋体"/>
          <w:spacing w:val="-53"/>
          <w:sz w:val="24"/>
          <w:szCs w:val="24"/>
        </w:rPr>
        <w:t xml:space="preserve"> </w:t>
      </w:r>
      <w:r>
        <w:rPr>
          <w:rFonts w:ascii="宋体" w:hAnsi="宋体" w:eastAsia="宋体" w:cs="宋体"/>
          <w:spacing w:val="14"/>
          <w:sz w:val="24"/>
          <w:szCs w:val="24"/>
        </w:rPr>
        <w:t>比较</w:t>
      </w:r>
      <w:r>
        <w:rPr>
          <w:rFonts w:ascii="宋体" w:hAnsi="宋体" w:eastAsia="宋体" w:cs="宋体"/>
          <w:spacing w:val="-71"/>
          <w:sz w:val="24"/>
          <w:szCs w:val="24"/>
        </w:rPr>
        <w:t xml:space="preserve"> </w:t>
      </w:r>
      <w:r>
        <w:rPr>
          <w:rFonts w:ascii="宋体" w:hAnsi="宋体" w:eastAsia="宋体" w:cs="宋体"/>
          <w:spacing w:val="14"/>
          <w:sz w:val="24"/>
          <w:szCs w:val="24"/>
        </w:rPr>
        <w:t>高</w:t>
      </w:r>
      <w:r>
        <w:rPr>
          <w:rFonts w:ascii="宋体" w:hAnsi="宋体" w:eastAsia="宋体" w:cs="宋体"/>
          <w:spacing w:val="-57"/>
          <w:sz w:val="24"/>
          <w:szCs w:val="24"/>
        </w:rPr>
        <w:t xml:space="preserve"> </w:t>
      </w:r>
      <w:r>
        <w:rPr>
          <w:rFonts w:ascii="宋体" w:hAnsi="宋体" w:eastAsia="宋体" w:cs="宋体"/>
          <w:spacing w:val="14"/>
          <w:sz w:val="24"/>
          <w:szCs w:val="24"/>
        </w:rPr>
        <w:t>，</w:t>
      </w:r>
      <w:r>
        <w:rPr>
          <w:rFonts w:ascii="宋体" w:hAnsi="宋体" w:eastAsia="宋体" w:cs="宋体"/>
          <w:spacing w:val="-64"/>
          <w:sz w:val="24"/>
          <w:szCs w:val="24"/>
        </w:rPr>
        <w:t xml:space="preserve"> </w:t>
      </w:r>
      <w:r>
        <w:rPr>
          <w:rFonts w:ascii="Times New Roman" w:hAnsi="Times New Roman" w:eastAsia="Times New Roman" w:cs="Times New Roman"/>
          <w:sz w:val="24"/>
          <w:szCs w:val="24"/>
        </w:rPr>
        <w:t>SS</w:t>
      </w:r>
      <w:r>
        <w:rPr>
          <w:rFonts w:ascii="Times New Roman" w:hAnsi="Times New Roman" w:eastAsia="Times New Roman" w:cs="Times New Roman"/>
          <w:spacing w:val="22"/>
          <w:sz w:val="24"/>
          <w:szCs w:val="24"/>
        </w:rPr>
        <w:t xml:space="preserve">  </w:t>
      </w:r>
      <w:r>
        <w:rPr>
          <w:rFonts w:ascii="宋体" w:hAnsi="宋体" w:eastAsia="宋体" w:cs="宋体"/>
          <w:spacing w:val="14"/>
          <w:sz w:val="24"/>
          <w:szCs w:val="24"/>
        </w:rPr>
        <w:t>和石油类</w:t>
      </w:r>
      <w:r>
        <w:rPr>
          <w:rFonts w:ascii="宋体" w:hAnsi="宋体" w:eastAsia="宋体" w:cs="宋体"/>
          <w:spacing w:val="-57"/>
          <w:sz w:val="24"/>
          <w:szCs w:val="24"/>
        </w:rPr>
        <w:t xml:space="preserve"> </w:t>
      </w:r>
      <w:r>
        <w:rPr>
          <w:rFonts w:ascii="宋体" w:hAnsi="宋体" w:eastAsia="宋体" w:cs="宋体"/>
          <w:spacing w:val="14"/>
          <w:sz w:val="24"/>
          <w:szCs w:val="24"/>
        </w:rPr>
        <w:t>的含量可达</w:t>
      </w:r>
      <w:r>
        <w:rPr>
          <w:rFonts w:ascii="宋体" w:hAnsi="宋体" w:eastAsia="宋体" w:cs="宋体"/>
          <w:sz w:val="24"/>
          <w:szCs w:val="24"/>
        </w:rPr>
        <w:t xml:space="preserve"> </w:t>
      </w:r>
      <w:r>
        <w:rPr>
          <w:rFonts w:ascii="Times New Roman" w:hAnsi="Times New Roman" w:eastAsia="Times New Roman" w:cs="Times New Roman"/>
          <w:sz w:val="24"/>
          <w:szCs w:val="24"/>
        </w:rPr>
        <w:t>158.5~231.4mg/L</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19.74~22.30mg/L</w:t>
      </w:r>
      <w:r>
        <w:rPr>
          <w:rFonts w:ascii="宋体" w:hAnsi="宋体" w:eastAsia="宋体" w:cs="宋体"/>
          <w:sz w:val="24"/>
          <w:szCs w:val="24"/>
        </w:rPr>
        <w:t>；</w:t>
      </w:r>
      <w:r>
        <w:rPr>
          <w:rFonts w:ascii="Times New Roman" w:hAnsi="Times New Roman" w:eastAsia="Times New Roman" w:cs="Times New Roman"/>
          <w:sz w:val="24"/>
          <w:szCs w:val="24"/>
        </w:rPr>
        <w:t xml:space="preserve">30min  </w:t>
      </w:r>
      <w:r>
        <w:rPr>
          <w:rFonts w:ascii="宋体" w:hAnsi="宋体" w:eastAsia="宋体" w:cs="宋体"/>
          <w:sz w:val="24"/>
          <w:szCs w:val="24"/>
        </w:rPr>
        <w:t>后，其浓度随降雨历</w:t>
      </w:r>
      <w:r>
        <w:rPr>
          <w:rFonts w:ascii="宋体" w:hAnsi="宋体" w:eastAsia="宋体" w:cs="宋体"/>
          <w:spacing w:val="-1"/>
          <w:sz w:val="24"/>
          <w:szCs w:val="24"/>
        </w:rPr>
        <w:t>时的延长下降</w:t>
      </w:r>
      <w:r>
        <w:rPr>
          <w:rFonts w:ascii="宋体" w:hAnsi="宋体" w:eastAsia="宋体" w:cs="宋体"/>
          <w:sz w:val="24"/>
          <w:szCs w:val="24"/>
        </w:rPr>
        <w:t xml:space="preserve"> </w:t>
      </w:r>
      <w:r>
        <w:rPr>
          <w:rFonts w:ascii="宋体" w:hAnsi="宋体" w:eastAsia="宋体" w:cs="宋体"/>
          <w:spacing w:val="-17"/>
          <w:sz w:val="24"/>
          <w:szCs w:val="24"/>
        </w:rPr>
        <w:t>较快； 降雨历时</w:t>
      </w:r>
      <w:r>
        <w:rPr>
          <w:rFonts w:ascii="宋体" w:hAnsi="宋体" w:eastAsia="宋体" w:cs="宋体"/>
          <w:spacing w:val="-56"/>
          <w:sz w:val="24"/>
          <w:szCs w:val="24"/>
        </w:rPr>
        <w:t xml:space="preserve"> </w:t>
      </w:r>
      <w:r>
        <w:rPr>
          <w:rFonts w:ascii="Times New Roman" w:hAnsi="Times New Roman" w:eastAsia="Times New Roman" w:cs="Times New Roman"/>
          <w:spacing w:val="-17"/>
          <w:sz w:val="24"/>
          <w:szCs w:val="24"/>
        </w:rPr>
        <w:t>40min</w:t>
      </w:r>
      <w:r>
        <w:rPr>
          <w:rFonts w:ascii="Times New Roman" w:hAnsi="Times New Roman" w:eastAsia="Times New Roman" w:cs="Times New Roman"/>
          <w:spacing w:val="12"/>
          <w:sz w:val="24"/>
          <w:szCs w:val="24"/>
        </w:rPr>
        <w:t xml:space="preserve"> </w:t>
      </w:r>
      <w:r>
        <w:rPr>
          <w:rFonts w:ascii="宋体" w:hAnsi="宋体" w:eastAsia="宋体" w:cs="宋体"/>
          <w:spacing w:val="-17"/>
          <w:sz w:val="24"/>
          <w:szCs w:val="24"/>
        </w:rPr>
        <w:t>后，</w:t>
      </w:r>
      <w:r>
        <w:rPr>
          <w:rFonts w:ascii="宋体" w:hAnsi="宋体" w:eastAsia="宋体" w:cs="宋体"/>
          <w:spacing w:val="-50"/>
          <w:sz w:val="24"/>
          <w:szCs w:val="24"/>
        </w:rPr>
        <w:t xml:space="preserve"> </w:t>
      </w:r>
      <w:r>
        <w:rPr>
          <w:rFonts w:ascii="宋体" w:hAnsi="宋体" w:eastAsia="宋体" w:cs="宋体"/>
          <w:spacing w:val="-17"/>
          <w:sz w:val="24"/>
          <w:szCs w:val="24"/>
        </w:rPr>
        <w:t>路、桥面基本被冲洗干净，</w:t>
      </w:r>
      <w:r>
        <w:rPr>
          <w:rFonts w:ascii="宋体" w:hAnsi="宋体" w:eastAsia="宋体" w:cs="宋体"/>
          <w:spacing w:val="44"/>
          <w:sz w:val="24"/>
          <w:szCs w:val="24"/>
        </w:rPr>
        <w:t xml:space="preserve"> </w:t>
      </w:r>
      <w:r>
        <w:rPr>
          <w:rFonts w:ascii="宋体" w:hAnsi="宋体" w:eastAsia="宋体" w:cs="宋体"/>
          <w:spacing w:val="-17"/>
          <w:sz w:val="24"/>
          <w:szCs w:val="24"/>
        </w:rPr>
        <w:t>污染物含量较</w:t>
      </w:r>
      <w:r>
        <w:rPr>
          <w:rFonts w:ascii="宋体" w:hAnsi="宋体" w:eastAsia="宋体" w:cs="宋体"/>
          <w:spacing w:val="-18"/>
          <w:sz w:val="24"/>
          <w:szCs w:val="24"/>
        </w:rPr>
        <w:t>低，</w:t>
      </w:r>
      <w:r>
        <w:rPr>
          <w:rFonts w:ascii="宋体" w:hAnsi="宋体" w:eastAsia="宋体" w:cs="宋体"/>
          <w:spacing w:val="44"/>
          <w:sz w:val="24"/>
          <w:szCs w:val="24"/>
        </w:rPr>
        <w:t xml:space="preserve"> </w:t>
      </w:r>
      <w:r>
        <w:rPr>
          <w:rFonts w:ascii="宋体" w:hAnsi="宋体" w:eastAsia="宋体" w:cs="宋体"/>
          <w:spacing w:val="-18"/>
          <w:sz w:val="24"/>
          <w:szCs w:val="24"/>
        </w:rPr>
        <w:t>详见下</w:t>
      </w:r>
    </w:p>
    <w:p>
      <w:pPr>
        <w:spacing w:before="2" w:line="220" w:lineRule="auto"/>
        <w:ind w:left="796"/>
        <w:rPr>
          <w:rFonts w:ascii="宋体" w:hAnsi="宋体" w:eastAsia="宋体" w:cs="宋体"/>
          <w:sz w:val="24"/>
          <w:szCs w:val="24"/>
        </w:rPr>
      </w:pPr>
      <w:r>
        <w:rPr>
          <w:rFonts w:ascii="宋体" w:hAnsi="宋体" w:eastAsia="宋体" w:cs="宋体"/>
          <w:spacing w:val="-11"/>
          <w:sz w:val="24"/>
          <w:szCs w:val="24"/>
        </w:rPr>
        <w:t>表。</w:t>
      </w:r>
    </w:p>
    <w:p>
      <w:pPr>
        <w:spacing w:before="132" w:line="220" w:lineRule="auto"/>
        <w:ind w:left="287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3.8-</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 xml:space="preserve">12      </w:t>
      </w:r>
      <w:r>
        <w:rPr>
          <w:rFonts w:ascii="宋体" w:hAnsi="宋体" w:eastAsia="宋体" w:cs="宋体"/>
          <w:spacing w:val="-2"/>
          <w:sz w:val="24"/>
          <w:szCs w:val="24"/>
        </w:rPr>
        <w:t>路面径流中污染物浓度值表</w:t>
      </w:r>
    </w:p>
    <w:p>
      <w:pPr>
        <w:spacing w:line="146" w:lineRule="exact"/>
      </w:pPr>
    </w:p>
    <w:tbl>
      <w:tblPr>
        <w:tblStyle w:val="5"/>
        <w:tblW w:w="8528" w:type="dxa"/>
        <w:tblInd w:w="6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5"/>
        <w:gridCol w:w="1624"/>
        <w:gridCol w:w="1622"/>
        <w:gridCol w:w="1622"/>
        <w:gridCol w:w="15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35" w:type="dxa"/>
            <w:vAlign w:val="top"/>
          </w:tcPr>
          <w:p>
            <w:pPr>
              <w:pStyle w:val="6"/>
              <w:spacing w:before="68" w:line="221" w:lineRule="auto"/>
              <w:ind w:left="758"/>
            </w:pPr>
            <w:r>
              <w:rPr>
                <w:spacing w:val="-2"/>
              </w:rPr>
              <w:t>污染物</w:t>
            </w:r>
          </w:p>
        </w:tc>
        <w:tc>
          <w:tcPr>
            <w:tcW w:w="1624" w:type="dxa"/>
            <w:vAlign w:val="top"/>
          </w:tcPr>
          <w:p>
            <w:pPr>
              <w:spacing w:before="103" w:line="190" w:lineRule="auto"/>
              <w:ind w:left="4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0~20min</w:t>
            </w:r>
          </w:p>
        </w:tc>
        <w:tc>
          <w:tcPr>
            <w:tcW w:w="1622" w:type="dxa"/>
            <w:vAlign w:val="top"/>
          </w:tcPr>
          <w:p>
            <w:pPr>
              <w:spacing w:before="103" w:line="190" w:lineRule="auto"/>
              <w:ind w:left="3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20~40min</w:t>
            </w:r>
          </w:p>
        </w:tc>
        <w:tc>
          <w:tcPr>
            <w:tcW w:w="1622" w:type="dxa"/>
            <w:vAlign w:val="top"/>
          </w:tcPr>
          <w:p>
            <w:pPr>
              <w:spacing w:before="103" w:line="190" w:lineRule="auto"/>
              <w:ind w:left="3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40~60min</w:t>
            </w:r>
          </w:p>
        </w:tc>
        <w:tc>
          <w:tcPr>
            <w:tcW w:w="1525" w:type="dxa"/>
            <w:vAlign w:val="top"/>
          </w:tcPr>
          <w:p>
            <w:pPr>
              <w:pStyle w:val="6"/>
              <w:spacing w:before="67" w:line="221" w:lineRule="auto"/>
              <w:ind w:left="450"/>
            </w:pPr>
            <w:r>
              <w:rPr>
                <w:spacing w:val="-1"/>
              </w:rPr>
              <w:t>平均值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2135" w:type="dxa"/>
            <w:vAlign w:val="top"/>
          </w:tcPr>
          <w:p>
            <w:pPr>
              <w:spacing w:before="99" w:line="191" w:lineRule="auto"/>
              <w:ind w:left="6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SS(mg/L)</w:t>
            </w:r>
          </w:p>
        </w:tc>
        <w:tc>
          <w:tcPr>
            <w:tcW w:w="1624" w:type="dxa"/>
            <w:vAlign w:val="top"/>
          </w:tcPr>
          <w:p>
            <w:pPr>
              <w:spacing w:before="102"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231.42~158.22</w:t>
            </w:r>
          </w:p>
        </w:tc>
        <w:tc>
          <w:tcPr>
            <w:tcW w:w="1622" w:type="dxa"/>
            <w:vAlign w:val="top"/>
          </w:tcPr>
          <w:p>
            <w:pPr>
              <w:spacing w:before="102"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158.22~90.36</w:t>
            </w:r>
          </w:p>
        </w:tc>
        <w:tc>
          <w:tcPr>
            <w:tcW w:w="1622" w:type="dxa"/>
            <w:vAlign w:val="top"/>
          </w:tcPr>
          <w:p>
            <w:pPr>
              <w:spacing w:before="102" w:line="187"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90.36~18.71</w:t>
            </w:r>
          </w:p>
        </w:tc>
        <w:tc>
          <w:tcPr>
            <w:tcW w:w="1525" w:type="dxa"/>
            <w:vAlign w:val="top"/>
          </w:tcPr>
          <w:p>
            <w:pPr>
              <w:spacing w:before="102"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5" w:type="dxa"/>
            <w:vAlign w:val="top"/>
          </w:tcPr>
          <w:p>
            <w:pPr>
              <w:spacing w:before="103" w:line="191"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COD(mg/L)</w:t>
            </w:r>
          </w:p>
        </w:tc>
        <w:tc>
          <w:tcPr>
            <w:tcW w:w="1624" w:type="dxa"/>
            <w:vAlign w:val="top"/>
          </w:tcPr>
          <w:p>
            <w:pPr>
              <w:spacing w:before="107" w:line="187" w:lineRule="auto"/>
              <w:ind w:left="67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170</w:t>
            </w:r>
          </w:p>
        </w:tc>
        <w:tc>
          <w:tcPr>
            <w:tcW w:w="1622" w:type="dxa"/>
            <w:vAlign w:val="top"/>
          </w:tcPr>
          <w:p>
            <w:pPr>
              <w:spacing w:before="107" w:line="187" w:lineRule="auto"/>
              <w:ind w:left="67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110</w:t>
            </w:r>
          </w:p>
        </w:tc>
        <w:tc>
          <w:tcPr>
            <w:tcW w:w="1622" w:type="dxa"/>
            <w:vAlign w:val="top"/>
          </w:tcPr>
          <w:p>
            <w:pPr>
              <w:spacing w:before="107" w:line="187" w:lineRule="auto"/>
              <w:ind w:left="71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97</w:t>
            </w:r>
          </w:p>
        </w:tc>
        <w:tc>
          <w:tcPr>
            <w:tcW w:w="1525" w:type="dxa"/>
            <w:vAlign w:val="top"/>
          </w:tcPr>
          <w:p>
            <w:pPr>
              <w:spacing w:before="107" w:line="187" w:lineRule="auto"/>
              <w:ind w:left="6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35" w:type="dxa"/>
            <w:vAlign w:val="top"/>
          </w:tcPr>
          <w:p>
            <w:pPr>
              <w:pStyle w:val="6"/>
              <w:spacing w:before="68" w:line="213" w:lineRule="auto"/>
              <w:ind w:left="462"/>
              <w:rPr>
                <w:rFonts w:ascii="Times New Roman" w:hAnsi="Times New Roman" w:eastAsia="Times New Roman" w:cs="Times New Roman"/>
              </w:rPr>
            </w:pPr>
            <w:r>
              <w:rPr>
                <w:spacing w:val="-1"/>
              </w:rPr>
              <w:t>石油类</w:t>
            </w:r>
            <w:r>
              <w:rPr>
                <w:rFonts w:ascii="Times New Roman" w:hAnsi="Times New Roman" w:eastAsia="Times New Roman" w:cs="Times New Roman"/>
                <w:spacing w:val="-1"/>
              </w:rPr>
              <w:t>(mg/L)</w:t>
            </w:r>
          </w:p>
        </w:tc>
        <w:tc>
          <w:tcPr>
            <w:tcW w:w="1624" w:type="dxa"/>
            <w:vAlign w:val="top"/>
          </w:tcPr>
          <w:p>
            <w:pPr>
              <w:spacing w:before="108" w:line="187" w:lineRule="auto"/>
              <w:ind w:left="2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22.30~19.74</w:t>
            </w:r>
          </w:p>
        </w:tc>
        <w:tc>
          <w:tcPr>
            <w:tcW w:w="1622" w:type="dxa"/>
            <w:vAlign w:val="top"/>
          </w:tcPr>
          <w:p>
            <w:pPr>
              <w:spacing w:before="108"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19.74~3.12</w:t>
            </w:r>
          </w:p>
        </w:tc>
        <w:tc>
          <w:tcPr>
            <w:tcW w:w="1622" w:type="dxa"/>
            <w:vAlign w:val="top"/>
          </w:tcPr>
          <w:p>
            <w:pPr>
              <w:spacing w:before="108"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3.12~0.21</w:t>
            </w:r>
          </w:p>
        </w:tc>
        <w:tc>
          <w:tcPr>
            <w:tcW w:w="1525" w:type="dxa"/>
            <w:vAlign w:val="top"/>
          </w:tcPr>
          <w:p>
            <w:pPr>
              <w:spacing w:before="108"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11.25</w:t>
            </w:r>
          </w:p>
        </w:tc>
      </w:tr>
    </w:tbl>
    <w:p>
      <w:pPr>
        <w:spacing w:before="271" w:line="220" w:lineRule="auto"/>
        <w:ind w:left="1279"/>
        <w:rPr>
          <w:rFonts w:ascii="宋体" w:hAnsi="宋体" w:eastAsia="宋体" w:cs="宋体"/>
          <w:sz w:val="24"/>
          <w:szCs w:val="24"/>
        </w:rPr>
      </w:pPr>
      <w:r>
        <w:rPr>
          <w:rFonts w:ascii="宋体" w:hAnsi="宋体" w:eastAsia="宋体" w:cs="宋体"/>
          <w:spacing w:val="-14"/>
          <w:sz w:val="24"/>
          <w:szCs w:val="24"/>
        </w:rPr>
        <w:t>工程沿线穿越小溪沟， 工程运营后， 路面、桥面径流通过边沟排放周边环境。</w:t>
      </w:r>
    </w:p>
    <w:p>
      <w:pPr>
        <w:spacing w:before="183" w:line="220" w:lineRule="auto"/>
        <w:ind w:left="128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）危险品运输</w:t>
      </w:r>
    </w:p>
    <w:p>
      <w:pPr>
        <w:spacing w:before="182" w:line="360" w:lineRule="auto"/>
        <w:ind w:left="796" w:right="791" w:firstLine="483"/>
        <w:rPr>
          <w:rFonts w:ascii="宋体" w:hAnsi="宋体" w:eastAsia="宋体" w:cs="宋体"/>
          <w:sz w:val="24"/>
          <w:szCs w:val="24"/>
        </w:rPr>
      </w:pPr>
      <w:r>
        <w:rPr>
          <w:rFonts w:ascii="宋体" w:hAnsi="宋体" w:eastAsia="宋体" w:cs="宋体"/>
          <w:spacing w:val="-7"/>
          <w:sz w:val="24"/>
          <w:szCs w:val="24"/>
        </w:rPr>
        <w:t>工程沿线未伴行敏感水体， 但部分以盖板涵的形式跨越小溪沟。危险品的运</w:t>
      </w:r>
      <w:r>
        <w:rPr>
          <w:rFonts w:ascii="宋体" w:hAnsi="宋体" w:eastAsia="宋体" w:cs="宋体"/>
          <w:spacing w:val="8"/>
          <w:sz w:val="24"/>
          <w:szCs w:val="24"/>
        </w:rPr>
        <w:t xml:space="preserve"> </w:t>
      </w:r>
      <w:r>
        <w:rPr>
          <w:rFonts w:ascii="宋体" w:hAnsi="宋体" w:eastAsia="宋体" w:cs="宋体"/>
          <w:spacing w:val="-6"/>
          <w:sz w:val="24"/>
          <w:szCs w:val="24"/>
        </w:rPr>
        <w:t>输对周边环境存在一定的风险， 在伴行敏感区域的桥梁、</w:t>
      </w:r>
      <w:r>
        <w:rPr>
          <w:rFonts w:ascii="宋体" w:hAnsi="宋体" w:eastAsia="宋体" w:cs="宋体"/>
          <w:spacing w:val="-7"/>
          <w:sz w:val="24"/>
          <w:szCs w:val="24"/>
        </w:rPr>
        <w:t>路基段应设置高等级防</w:t>
      </w:r>
    </w:p>
    <w:p>
      <w:pPr>
        <w:spacing w:before="1" w:line="219" w:lineRule="auto"/>
        <w:ind w:left="796"/>
        <w:rPr>
          <w:rFonts w:ascii="宋体" w:hAnsi="宋体" w:eastAsia="宋体" w:cs="宋体"/>
          <w:sz w:val="24"/>
          <w:szCs w:val="24"/>
        </w:rPr>
      </w:pPr>
      <w:r>
        <w:rPr>
          <w:rFonts w:ascii="宋体" w:hAnsi="宋体" w:eastAsia="宋体" w:cs="宋体"/>
          <w:spacing w:val="-3"/>
          <w:sz w:val="24"/>
          <w:szCs w:val="24"/>
        </w:rPr>
        <w:t>撞护栏，减少事故发生的概率。</w:t>
      </w:r>
    </w:p>
    <w:p>
      <w:pPr>
        <w:spacing w:before="183" w:line="220" w:lineRule="auto"/>
        <w:ind w:left="1271"/>
        <w:rPr>
          <w:rFonts w:ascii="宋体" w:hAnsi="宋体" w:eastAsia="宋体" w:cs="宋体"/>
          <w:sz w:val="24"/>
          <w:szCs w:val="24"/>
        </w:rPr>
      </w:pPr>
      <w:r>
        <w:rPr>
          <w:rFonts w:ascii="Times New Roman" w:hAnsi="Times New Roman" w:eastAsia="Times New Roman" w:cs="Times New Roman"/>
          <w:spacing w:val="-3"/>
          <w:sz w:val="24"/>
          <w:szCs w:val="24"/>
        </w:rPr>
        <w:t>4</w:t>
      </w:r>
      <w:r>
        <w:rPr>
          <w:rFonts w:ascii="宋体" w:hAnsi="宋体" w:eastAsia="宋体" w:cs="宋体"/>
          <w:spacing w:val="-3"/>
          <w:sz w:val="24"/>
          <w:szCs w:val="24"/>
        </w:rPr>
        <w:t>、固体废物</w:t>
      </w:r>
    </w:p>
    <w:p>
      <w:pPr>
        <w:spacing w:before="102" w:line="219" w:lineRule="auto"/>
        <w:ind w:left="1277"/>
        <w:rPr>
          <w:rFonts w:ascii="宋体" w:hAnsi="宋体" w:eastAsia="宋体" w:cs="宋体"/>
          <w:sz w:val="24"/>
          <w:szCs w:val="24"/>
        </w:rPr>
      </w:pPr>
      <w:r>
        <w:rPr>
          <w:rFonts w:ascii="宋体" w:hAnsi="宋体" w:eastAsia="宋体" w:cs="宋体"/>
          <w:spacing w:val="-3"/>
          <w:sz w:val="24"/>
          <w:szCs w:val="24"/>
        </w:rPr>
        <w:t>本路段未设置服务区、停车区等场地设置。</w:t>
      </w:r>
    </w:p>
    <w:p>
      <w:pPr>
        <w:spacing w:before="183" w:line="219" w:lineRule="auto"/>
        <w:ind w:left="1277"/>
        <w:rPr>
          <w:rFonts w:ascii="宋体" w:hAnsi="宋体" w:eastAsia="宋体" w:cs="宋体"/>
          <w:sz w:val="24"/>
          <w:szCs w:val="24"/>
        </w:rPr>
      </w:pPr>
      <w:r>
        <w:rPr>
          <w:rFonts w:ascii="宋体" w:hAnsi="宋体" w:eastAsia="宋体" w:cs="宋体"/>
          <w:spacing w:val="-2"/>
          <w:sz w:val="24"/>
          <w:szCs w:val="24"/>
        </w:rPr>
        <w:t>本项目运营期固体废物主要为生活垃圾和养护时产生的固体废物。</w:t>
      </w:r>
    </w:p>
    <w:p>
      <w:pPr>
        <w:spacing w:before="181" w:line="220" w:lineRule="auto"/>
        <w:ind w:left="1284"/>
        <w:rPr>
          <w:rFonts w:ascii="宋体" w:hAnsi="宋体" w:eastAsia="宋体" w:cs="宋体"/>
          <w:sz w:val="24"/>
          <w:szCs w:val="24"/>
        </w:rPr>
      </w:pPr>
      <w:r>
        <w:rPr>
          <w:rFonts w:ascii="宋体" w:hAnsi="宋体" w:eastAsia="宋体" w:cs="宋体"/>
          <w:spacing w:val="-17"/>
          <w:sz w:val="24"/>
          <w:szCs w:val="24"/>
        </w:rPr>
        <w:t>公路运营后，</w:t>
      </w:r>
      <w:r>
        <w:rPr>
          <w:rFonts w:ascii="宋体" w:hAnsi="宋体" w:eastAsia="宋体" w:cs="宋体"/>
          <w:spacing w:val="30"/>
          <w:sz w:val="24"/>
          <w:szCs w:val="24"/>
        </w:rPr>
        <w:t xml:space="preserve"> </w:t>
      </w:r>
      <w:r>
        <w:rPr>
          <w:rFonts w:ascii="宋体" w:hAnsi="宋体" w:eastAsia="宋体" w:cs="宋体"/>
          <w:spacing w:val="-17"/>
          <w:sz w:val="24"/>
          <w:szCs w:val="24"/>
        </w:rPr>
        <w:t>在日常管理过程中，</w:t>
      </w:r>
      <w:r>
        <w:rPr>
          <w:rFonts w:ascii="宋体" w:hAnsi="宋体" w:eastAsia="宋体" w:cs="宋体"/>
          <w:spacing w:val="33"/>
          <w:sz w:val="24"/>
          <w:szCs w:val="24"/>
        </w:rPr>
        <w:t xml:space="preserve"> </w:t>
      </w:r>
      <w:r>
        <w:rPr>
          <w:rFonts w:ascii="宋体" w:hAnsi="宋体" w:eastAsia="宋体" w:cs="宋体"/>
          <w:spacing w:val="-17"/>
          <w:sz w:val="24"/>
          <w:szCs w:val="24"/>
        </w:rPr>
        <w:t>沿线路面将产生一定量的生活垃圾，</w:t>
      </w:r>
      <w:r>
        <w:rPr>
          <w:rFonts w:ascii="宋体" w:hAnsi="宋体" w:eastAsia="宋体" w:cs="宋体"/>
          <w:spacing w:val="34"/>
          <w:sz w:val="24"/>
          <w:szCs w:val="24"/>
        </w:rPr>
        <w:t xml:space="preserve"> </w:t>
      </w:r>
      <w:r>
        <w:rPr>
          <w:rFonts w:ascii="宋体" w:hAnsi="宋体" w:eastAsia="宋体" w:cs="宋体"/>
          <w:spacing w:val="-18"/>
          <w:sz w:val="24"/>
          <w:szCs w:val="24"/>
        </w:rPr>
        <w:t>主要</w:t>
      </w:r>
    </w:p>
    <w:p>
      <w:pPr>
        <w:spacing w:line="220" w:lineRule="auto"/>
        <w:rPr>
          <w:rFonts w:ascii="宋体" w:hAnsi="宋体" w:eastAsia="宋体" w:cs="宋体"/>
          <w:sz w:val="24"/>
          <w:szCs w:val="24"/>
        </w:rPr>
        <w:sectPr>
          <w:headerReference r:id="rId171" w:type="default"/>
          <w:footerReference r:id="rId172" w:type="default"/>
          <w:pgSz w:w="11907" w:h="16839"/>
          <w:pgMar w:top="1118" w:right="1010" w:bottom="1184" w:left="1012" w:header="879" w:footer="1024" w:gutter="0"/>
          <w:cols w:space="720" w:num="1"/>
        </w:sectPr>
      </w:pPr>
    </w:p>
    <w:p>
      <w:pPr>
        <w:pStyle w:val="2"/>
        <w:spacing w:line="278" w:lineRule="auto"/>
      </w:pPr>
    </w:p>
    <w:p>
      <w:pPr>
        <w:spacing w:before="78" w:line="468" w:lineRule="exact"/>
        <w:jc w:val="right"/>
        <w:rPr>
          <w:rFonts w:ascii="宋体" w:hAnsi="宋体" w:eastAsia="宋体" w:cs="宋体"/>
          <w:sz w:val="24"/>
          <w:szCs w:val="24"/>
        </w:rPr>
      </w:pPr>
      <w:r>
        <w:rPr>
          <w:rFonts w:ascii="宋体" w:hAnsi="宋体" w:eastAsia="宋体" w:cs="宋体"/>
          <w:spacing w:val="-10"/>
          <w:position w:val="17"/>
          <w:sz w:val="24"/>
          <w:szCs w:val="24"/>
        </w:rPr>
        <w:t>包括各类包装袋、烟蒂、废纸巾以及散落货物等， 主要</w:t>
      </w:r>
      <w:r>
        <w:rPr>
          <w:rFonts w:ascii="宋体" w:hAnsi="宋体" w:eastAsia="宋体" w:cs="宋体"/>
          <w:spacing w:val="-11"/>
          <w:position w:val="17"/>
          <w:sz w:val="24"/>
          <w:szCs w:val="24"/>
        </w:rPr>
        <w:t>来自于垃圾箱及路面各处。</w:t>
      </w:r>
    </w:p>
    <w:p>
      <w:pPr>
        <w:spacing w:line="219" w:lineRule="auto"/>
        <w:ind w:left="39"/>
        <w:rPr>
          <w:rFonts w:ascii="宋体" w:hAnsi="宋体" w:eastAsia="宋体" w:cs="宋体"/>
          <w:sz w:val="24"/>
          <w:szCs w:val="24"/>
        </w:rPr>
      </w:pPr>
      <w:r>
        <w:rPr>
          <w:rFonts w:ascii="宋体" w:hAnsi="宋体" w:eastAsia="宋体" w:cs="宋体"/>
          <w:spacing w:val="-2"/>
          <w:sz w:val="24"/>
          <w:szCs w:val="24"/>
        </w:rPr>
        <w:t>这些垃圾由环卫工人清扫收集后委托清运处</w:t>
      </w:r>
      <w:r>
        <w:rPr>
          <w:rFonts w:ascii="宋体" w:hAnsi="宋体" w:eastAsia="宋体" w:cs="宋体"/>
          <w:spacing w:val="-3"/>
          <w:sz w:val="24"/>
          <w:szCs w:val="24"/>
        </w:rPr>
        <w:t>理。</w:t>
      </w:r>
    </w:p>
    <w:p>
      <w:pPr>
        <w:spacing w:before="179" w:line="219" w:lineRule="auto"/>
        <w:ind w:left="519"/>
        <w:rPr>
          <w:rFonts w:ascii="宋体" w:hAnsi="宋体" w:eastAsia="宋体" w:cs="宋体"/>
          <w:sz w:val="24"/>
          <w:szCs w:val="24"/>
        </w:rPr>
      </w:pPr>
      <w:r>
        <w:rPr>
          <w:rFonts w:ascii="宋体" w:hAnsi="宋体" w:eastAsia="宋体" w:cs="宋体"/>
          <w:spacing w:val="-2"/>
          <w:sz w:val="24"/>
          <w:szCs w:val="24"/>
        </w:rPr>
        <w:t>本项目公路养护会产生废沥青，建议综合回收进行再生利用。</w:t>
      </w:r>
    </w:p>
    <w:p>
      <w:pPr>
        <w:spacing w:before="183" w:line="466" w:lineRule="exact"/>
        <w:ind w:left="32"/>
        <w:rPr>
          <w:rFonts w:ascii="宋体" w:hAnsi="宋体" w:eastAsia="宋体" w:cs="宋体"/>
          <w:sz w:val="24"/>
          <w:szCs w:val="24"/>
        </w:rPr>
      </w:pPr>
      <w:r>
        <w:rPr>
          <w:rFonts w:ascii="Times New Roman" w:hAnsi="Times New Roman" w:eastAsia="Times New Roman" w:cs="Times New Roman"/>
          <w:b/>
          <w:bCs/>
          <w:position w:val="17"/>
          <w:sz w:val="24"/>
          <w:szCs w:val="24"/>
        </w:rPr>
        <w:t xml:space="preserve">3.8.3 </w:t>
      </w:r>
      <w:r>
        <w:rPr>
          <w:rFonts w:ascii="宋体" w:hAnsi="宋体" w:eastAsia="宋体" w:cs="宋体"/>
          <w:position w:val="17"/>
          <w:sz w:val="24"/>
          <w:szCs w:val="24"/>
          <w14:textOutline w14:w="4354" w14:cap="flat" w14:cmpd="sng">
            <w14:solidFill>
              <w14:srgbClr w14:val="000000"/>
            </w14:solidFill>
            <w14:prstDash w14:val="solid"/>
            <w14:miter w14:val="0"/>
          </w14:textOutline>
        </w:rPr>
        <w:t>非污染生态影响因素分析</w:t>
      </w:r>
    </w:p>
    <w:p>
      <w:pPr>
        <w:spacing w:line="220" w:lineRule="auto"/>
        <w:ind w:left="32"/>
        <w:rPr>
          <w:rFonts w:ascii="宋体" w:hAnsi="宋体" w:eastAsia="宋体" w:cs="宋体"/>
          <w:sz w:val="24"/>
          <w:szCs w:val="24"/>
        </w:rPr>
      </w:pPr>
      <w:r>
        <w:fldChar w:fldCharType="begin"/>
      </w:r>
      <w:r>
        <w:instrText xml:space="preserve"> HYPERLINK "3.8.3.1" </w:instrText>
      </w:r>
      <w:r>
        <w:fldChar w:fldCharType="separate"/>
      </w:r>
      <w:r>
        <w:rPr>
          <w:rFonts w:ascii="Times New Roman" w:hAnsi="Times New Roman" w:eastAsia="Times New Roman" w:cs="Times New Roman"/>
          <w:b/>
          <w:bCs/>
          <w:spacing w:val="-1"/>
          <w:sz w:val="24"/>
          <w:szCs w:val="24"/>
        </w:rPr>
        <w:t>3.8.3.1</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施工期</w:t>
      </w:r>
    </w:p>
    <w:p>
      <w:pPr>
        <w:spacing w:before="181" w:line="220" w:lineRule="auto"/>
        <w:ind w:left="52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）动植物影响</w:t>
      </w:r>
    </w:p>
    <w:p>
      <w:pPr>
        <w:spacing w:before="180" w:line="469" w:lineRule="exact"/>
        <w:ind w:left="519"/>
        <w:rPr>
          <w:rFonts w:ascii="宋体" w:hAnsi="宋体" w:eastAsia="宋体" w:cs="宋体"/>
          <w:sz w:val="24"/>
          <w:szCs w:val="24"/>
        </w:rPr>
      </w:pPr>
      <w:r>
        <w:rPr>
          <w:rFonts w:ascii="宋体" w:hAnsi="宋体" w:eastAsia="宋体" w:cs="宋体"/>
          <w:spacing w:val="-6"/>
          <w:position w:val="17"/>
          <w:sz w:val="24"/>
          <w:szCs w:val="24"/>
        </w:rPr>
        <w:t>本项目工程占地及施工活动将破坏植被和动物栖息环境，</w:t>
      </w:r>
      <w:r>
        <w:rPr>
          <w:rFonts w:ascii="宋体" w:hAnsi="宋体" w:eastAsia="宋体" w:cs="宋体"/>
          <w:spacing w:val="-25"/>
          <w:position w:val="17"/>
          <w:sz w:val="24"/>
          <w:szCs w:val="24"/>
        </w:rPr>
        <w:t xml:space="preserve"> </w:t>
      </w:r>
      <w:r>
        <w:rPr>
          <w:rFonts w:ascii="宋体" w:hAnsi="宋体" w:eastAsia="宋体" w:cs="宋体"/>
          <w:spacing w:val="-6"/>
          <w:position w:val="17"/>
          <w:sz w:val="24"/>
          <w:szCs w:val="24"/>
        </w:rPr>
        <w:t>对沿线动植物会产</w:t>
      </w:r>
    </w:p>
    <w:p>
      <w:pPr>
        <w:spacing w:line="220" w:lineRule="auto"/>
        <w:ind w:left="40"/>
        <w:rPr>
          <w:rFonts w:ascii="宋体" w:hAnsi="宋体" w:eastAsia="宋体" w:cs="宋体"/>
          <w:sz w:val="24"/>
          <w:szCs w:val="24"/>
        </w:rPr>
      </w:pPr>
      <w:r>
        <w:rPr>
          <w:rFonts w:ascii="宋体" w:hAnsi="宋体" w:eastAsia="宋体" w:cs="宋体"/>
          <w:spacing w:val="-6"/>
          <w:sz w:val="24"/>
          <w:szCs w:val="24"/>
        </w:rPr>
        <w:t>生一定的影响。</w:t>
      </w:r>
    </w:p>
    <w:p>
      <w:pPr>
        <w:spacing w:before="179"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）水土流失</w:t>
      </w:r>
    </w:p>
    <w:p>
      <w:pPr>
        <w:spacing w:before="183" w:line="465" w:lineRule="exact"/>
        <w:ind w:left="547"/>
        <w:rPr>
          <w:rFonts w:ascii="宋体" w:hAnsi="宋体" w:eastAsia="宋体" w:cs="宋体"/>
          <w:sz w:val="24"/>
          <w:szCs w:val="24"/>
        </w:rPr>
      </w:pPr>
      <w:r>
        <w:rPr>
          <w:rFonts w:ascii="宋体" w:hAnsi="宋体" w:eastAsia="宋体" w:cs="宋体"/>
          <w:spacing w:val="-12"/>
          <w:position w:val="17"/>
          <w:sz w:val="24"/>
          <w:szCs w:val="24"/>
        </w:rPr>
        <w:t>由于堆填地基构筑人工边坡， 从而造成原地貌的破坏，</w:t>
      </w:r>
      <w:r>
        <w:rPr>
          <w:rFonts w:ascii="宋体" w:hAnsi="宋体" w:eastAsia="宋体" w:cs="宋体"/>
          <w:spacing w:val="39"/>
          <w:position w:val="17"/>
          <w:sz w:val="24"/>
          <w:szCs w:val="24"/>
        </w:rPr>
        <w:t xml:space="preserve"> </w:t>
      </w:r>
      <w:r>
        <w:rPr>
          <w:rFonts w:ascii="宋体" w:hAnsi="宋体" w:eastAsia="宋体" w:cs="宋体"/>
          <w:spacing w:val="-12"/>
          <w:position w:val="17"/>
          <w:sz w:val="24"/>
          <w:szCs w:val="24"/>
        </w:rPr>
        <w:t>同时废弃物的</w:t>
      </w:r>
      <w:r>
        <w:rPr>
          <w:rFonts w:ascii="宋体" w:hAnsi="宋体" w:eastAsia="宋体" w:cs="宋体"/>
          <w:spacing w:val="-13"/>
          <w:position w:val="17"/>
          <w:sz w:val="24"/>
          <w:szCs w:val="24"/>
        </w:rPr>
        <w:t>松散性</w:t>
      </w:r>
    </w:p>
    <w:p>
      <w:pPr>
        <w:spacing w:before="1" w:line="218" w:lineRule="auto"/>
        <w:jc w:val="right"/>
        <w:rPr>
          <w:rFonts w:ascii="宋体" w:hAnsi="宋体" w:eastAsia="宋体" w:cs="宋体"/>
          <w:sz w:val="24"/>
          <w:szCs w:val="24"/>
        </w:rPr>
      </w:pPr>
      <w:r>
        <w:rPr>
          <w:rFonts w:ascii="宋体" w:hAnsi="宋体" w:eastAsia="宋体" w:cs="宋体"/>
          <w:spacing w:val="-12"/>
          <w:sz w:val="24"/>
          <w:szCs w:val="24"/>
        </w:rPr>
        <w:t>及不整合性，</w:t>
      </w:r>
      <w:r>
        <w:rPr>
          <w:rFonts w:ascii="宋体" w:hAnsi="宋体" w:eastAsia="宋体" w:cs="宋体"/>
          <w:spacing w:val="-26"/>
          <w:sz w:val="24"/>
          <w:szCs w:val="24"/>
        </w:rPr>
        <w:t xml:space="preserve"> </w:t>
      </w:r>
      <w:r>
        <w:rPr>
          <w:rFonts w:ascii="宋体" w:hAnsi="宋体" w:eastAsia="宋体" w:cs="宋体"/>
          <w:spacing w:val="-12"/>
          <w:sz w:val="24"/>
          <w:szCs w:val="24"/>
        </w:rPr>
        <w:t>降低或丧失了原地貌的水土保持功能，</w:t>
      </w:r>
      <w:r>
        <w:rPr>
          <w:rFonts w:ascii="宋体" w:hAnsi="宋体" w:eastAsia="宋体" w:cs="宋体"/>
          <w:spacing w:val="-39"/>
          <w:sz w:val="24"/>
          <w:szCs w:val="24"/>
        </w:rPr>
        <w:t xml:space="preserve"> </w:t>
      </w:r>
      <w:r>
        <w:rPr>
          <w:rFonts w:ascii="宋体" w:hAnsi="宋体" w:eastAsia="宋体" w:cs="宋体"/>
          <w:spacing w:val="-12"/>
          <w:sz w:val="24"/>
          <w:szCs w:val="24"/>
        </w:rPr>
        <w:t>导致水土流失的发生</w:t>
      </w:r>
      <w:r>
        <w:rPr>
          <w:rFonts w:ascii="宋体" w:hAnsi="宋体" w:eastAsia="宋体" w:cs="宋体"/>
          <w:spacing w:val="-13"/>
          <w:sz w:val="24"/>
          <w:szCs w:val="24"/>
        </w:rPr>
        <w:t>和发展。</w:t>
      </w:r>
    </w:p>
    <w:p>
      <w:pPr>
        <w:spacing w:before="184" w:line="220" w:lineRule="auto"/>
        <w:ind w:left="32"/>
        <w:outlineLvl w:val="1"/>
        <w:rPr>
          <w:rFonts w:ascii="宋体" w:hAnsi="宋体" w:eastAsia="宋体" w:cs="宋体"/>
          <w:sz w:val="24"/>
          <w:szCs w:val="24"/>
        </w:rPr>
      </w:pPr>
      <w:r>
        <w:fldChar w:fldCharType="begin"/>
      </w:r>
      <w:r>
        <w:instrText xml:space="preserve"> HYPERLINK "3.8.3.2" </w:instrText>
      </w:r>
      <w:r>
        <w:fldChar w:fldCharType="separate"/>
      </w:r>
      <w:r>
        <w:rPr>
          <w:rFonts w:ascii="Times New Roman" w:hAnsi="Times New Roman" w:eastAsia="Times New Roman" w:cs="Times New Roman"/>
          <w:b/>
          <w:bCs/>
          <w:spacing w:val="-1"/>
          <w:sz w:val="24"/>
          <w:szCs w:val="24"/>
        </w:rPr>
        <w:t>3.8.3.2</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运营期</w:t>
      </w:r>
    </w:p>
    <w:p>
      <w:pPr>
        <w:spacing w:before="180" w:line="359" w:lineRule="auto"/>
        <w:ind w:left="59" w:right="82" w:firstLine="461"/>
        <w:jc w:val="both"/>
        <w:rPr>
          <w:rFonts w:ascii="宋体" w:hAnsi="宋体" w:eastAsia="宋体" w:cs="宋体"/>
          <w:sz w:val="24"/>
          <w:szCs w:val="24"/>
        </w:rPr>
      </w:pPr>
      <w:r>
        <w:rPr>
          <w:rFonts w:ascii="宋体" w:hAnsi="宋体" w:eastAsia="宋体" w:cs="宋体"/>
          <w:spacing w:val="-6"/>
          <w:sz w:val="24"/>
          <w:szCs w:val="24"/>
        </w:rPr>
        <w:t>工程建成运行后对生态环境的影响主要表现在两方面：</w:t>
      </w:r>
      <w:r>
        <w:rPr>
          <w:rFonts w:ascii="宋体" w:hAnsi="宋体" w:eastAsia="宋体" w:cs="宋体"/>
          <w:spacing w:val="-25"/>
          <w:sz w:val="24"/>
          <w:szCs w:val="24"/>
        </w:rPr>
        <w:t xml:space="preserve"> </w:t>
      </w:r>
      <w:r>
        <w:rPr>
          <w:rFonts w:ascii="宋体" w:hAnsi="宋体" w:eastAsia="宋体" w:cs="宋体"/>
          <w:spacing w:val="-6"/>
          <w:sz w:val="24"/>
          <w:szCs w:val="24"/>
        </w:rPr>
        <w:t>一是因公路</w:t>
      </w:r>
      <w:r>
        <w:rPr>
          <w:rFonts w:ascii="宋体" w:hAnsi="宋体" w:eastAsia="宋体" w:cs="宋体"/>
          <w:spacing w:val="-7"/>
          <w:sz w:val="24"/>
          <w:szCs w:val="24"/>
        </w:rPr>
        <w:t>建设分隔</w:t>
      </w:r>
      <w:r>
        <w:rPr>
          <w:rFonts w:ascii="宋体" w:hAnsi="宋体" w:eastAsia="宋体" w:cs="宋体"/>
          <w:sz w:val="24"/>
          <w:szCs w:val="24"/>
        </w:rPr>
        <w:t xml:space="preserve"> </w:t>
      </w:r>
      <w:r>
        <w:rPr>
          <w:rFonts w:ascii="宋体" w:hAnsi="宋体" w:eastAsia="宋体" w:cs="宋体"/>
          <w:spacing w:val="-10"/>
          <w:sz w:val="24"/>
          <w:szCs w:val="24"/>
        </w:rPr>
        <w:t>了生态环境， 从而对野生动物产生阻隔影响； 二是公路建成运行产生的环境污染</w:t>
      </w:r>
    </w:p>
    <w:p>
      <w:pPr>
        <w:spacing w:line="219" w:lineRule="auto"/>
        <w:ind w:left="37"/>
        <w:rPr>
          <w:rFonts w:ascii="宋体" w:hAnsi="宋体" w:eastAsia="宋体" w:cs="宋体"/>
          <w:sz w:val="24"/>
          <w:szCs w:val="24"/>
        </w:rPr>
      </w:pPr>
      <w:r>
        <w:rPr>
          <w:rFonts w:ascii="宋体" w:hAnsi="宋体" w:eastAsia="宋体" w:cs="宋体"/>
          <w:spacing w:val="-4"/>
          <w:sz w:val="24"/>
          <w:szCs w:val="24"/>
        </w:rPr>
        <w:t>对沿线动植物的影响。</w:t>
      </w:r>
    </w:p>
    <w:p>
      <w:pPr>
        <w:spacing w:line="219" w:lineRule="auto"/>
        <w:rPr>
          <w:rFonts w:ascii="宋体" w:hAnsi="宋体" w:eastAsia="宋体" w:cs="宋体"/>
          <w:sz w:val="24"/>
          <w:szCs w:val="24"/>
        </w:rPr>
        <w:sectPr>
          <w:headerReference r:id="rId173" w:type="default"/>
          <w:footerReference r:id="rId174" w:type="default"/>
          <w:pgSz w:w="11907" w:h="16839"/>
          <w:pgMar w:top="1118" w:right="1716" w:bottom="1184" w:left="1771" w:header="879" w:footer="1024" w:gutter="0"/>
          <w:cols w:space="720" w:num="1"/>
        </w:sectPr>
      </w:pPr>
    </w:p>
    <w:p>
      <w:pPr>
        <w:pStyle w:val="2"/>
        <w:spacing w:line="271" w:lineRule="auto"/>
      </w:pPr>
    </w:p>
    <w:p>
      <w:pPr>
        <w:spacing w:before="91" w:line="539" w:lineRule="exact"/>
        <w:ind w:left="35"/>
        <w:rPr>
          <w:rFonts w:ascii="宋体" w:hAnsi="宋体" w:eastAsia="宋体" w:cs="宋体"/>
          <w:sz w:val="28"/>
          <w:szCs w:val="28"/>
        </w:rPr>
      </w:pPr>
      <w:bookmarkStart w:id="23" w:name="bookmark25"/>
      <w:bookmarkEnd w:id="23"/>
      <w:bookmarkStart w:id="24" w:name="bookmark24"/>
      <w:bookmarkEnd w:id="24"/>
      <w:r>
        <w:rPr>
          <w:rFonts w:ascii="Times New Roman" w:hAnsi="Times New Roman" w:eastAsia="Times New Roman" w:cs="Times New Roman"/>
          <w:b/>
          <w:bCs/>
          <w:position w:val="19"/>
          <w:sz w:val="28"/>
          <w:szCs w:val="28"/>
        </w:rPr>
        <w:t xml:space="preserve">4 </w:t>
      </w:r>
      <w:r>
        <w:rPr>
          <w:rFonts w:ascii="宋体" w:hAnsi="宋体" w:eastAsia="宋体" w:cs="宋体"/>
          <w:position w:val="19"/>
          <w:sz w:val="28"/>
          <w:szCs w:val="28"/>
          <w14:textOutline w14:w="5094" w14:cap="flat" w14:cmpd="sng">
            <w14:solidFill>
              <w14:srgbClr w14:val="000000"/>
            </w14:solidFill>
            <w14:prstDash w14:val="solid"/>
            <w14:miter w14:val="0"/>
          </w14:textOutline>
        </w:rPr>
        <w:t>环境现状调查与评价</w:t>
      </w:r>
    </w:p>
    <w:p>
      <w:pPr>
        <w:spacing w:line="219" w:lineRule="auto"/>
        <w:ind w:left="34"/>
        <w:rPr>
          <w:rFonts w:ascii="宋体" w:hAnsi="宋体" w:eastAsia="宋体" w:cs="宋体"/>
          <w:sz w:val="24"/>
          <w:szCs w:val="24"/>
        </w:rPr>
      </w:pPr>
      <w:r>
        <w:rPr>
          <w:rFonts w:ascii="Times New Roman" w:hAnsi="Times New Roman" w:eastAsia="Times New Roman" w:cs="Times New Roman"/>
          <w:b/>
          <w:bCs/>
          <w:spacing w:val="-6"/>
          <w:sz w:val="24"/>
          <w:szCs w:val="24"/>
        </w:rPr>
        <w:t>4.1</w:t>
      </w:r>
      <w:r>
        <w:rPr>
          <w:rFonts w:ascii="Times New Roman" w:hAnsi="Times New Roman" w:eastAsia="Times New Roman" w:cs="Times New Roman"/>
          <w:b/>
          <w:bCs/>
          <w:spacing w:val="53"/>
          <w:sz w:val="24"/>
          <w:szCs w:val="24"/>
        </w:rPr>
        <w:t xml:space="preserve"> </w:t>
      </w:r>
      <w:r>
        <w:rPr>
          <w:rFonts w:ascii="宋体" w:hAnsi="宋体" w:eastAsia="宋体" w:cs="宋体"/>
          <w:spacing w:val="-6"/>
          <w:sz w:val="24"/>
          <w:szCs w:val="24"/>
          <w14:textOutline w14:w="4354" w14:cap="flat" w14:cmpd="sng">
            <w14:solidFill>
              <w14:srgbClr w14:val="000000"/>
            </w14:solidFill>
            <w14:prstDash w14:val="solid"/>
            <w14:miter w14:val="0"/>
          </w14:textOutline>
        </w:rPr>
        <w:t>自然环境概况</w:t>
      </w:r>
    </w:p>
    <w:p>
      <w:pPr>
        <w:spacing w:before="180" w:line="221" w:lineRule="auto"/>
        <w:ind w:left="34"/>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4.1.1 </w:t>
      </w:r>
      <w:r>
        <w:rPr>
          <w:rFonts w:ascii="宋体" w:hAnsi="宋体" w:eastAsia="宋体" w:cs="宋体"/>
          <w:spacing w:val="-1"/>
          <w:sz w:val="24"/>
          <w:szCs w:val="24"/>
          <w14:textOutline w14:w="4354" w14:cap="flat" w14:cmpd="sng">
            <w14:solidFill>
              <w14:srgbClr w14:val="000000"/>
            </w14:solidFill>
            <w14:prstDash w14:val="solid"/>
            <w14:miter w14:val="0"/>
          </w14:textOutline>
        </w:rPr>
        <w:t>地理位置</w:t>
      </w:r>
    </w:p>
    <w:p>
      <w:pPr>
        <w:spacing w:before="182" w:line="359" w:lineRule="auto"/>
        <w:ind w:left="38" w:right="3" w:firstLine="480"/>
        <w:jc w:val="both"/>
        <w:rPr>
          <w:rFonts w:ascii="Times New Roman" w:hAnsi="Times New Roman" w:eastAsia="Times New Roman" w:cs="Times New Roman"/>
          <w:sz w:val="24"/>
          <w:szCs w:val="24"/>
        </w:rPr>
      </w:pPr>
      <w:r>
        <w:rPr>
          <w:rFonts w:ascii="宋体" w:hAnsi="宋体" w:eastAsia="宋体" w:cs="宋体"/>
          <w:spacing w:val="-13"/>
          <w:sz w:val="24"/>
          <w:szCs w:val="24"/>
        </w:rPr>
        <w:t>本项目位于温州市文成县境内，</w:t>
      </w:r>
      <w:r>
        <w:rPr>
          <w:rFonts w:ascii="宋体" w:hAnsi="宋体" w:eastAsia="宋体" w:cs="宋体"/>
          <w:spacing w:val="-36"/>
          <w:sz w:val="24"/>
          <w:szCs w:val="24"/>
        </w:rPr>
        <w:t xml:space="preserve"> </w:t>
      </w:r>
      <w:r>
        <w:rPr>
          <w:rFonts w:ascii="宋体" w:hAnsi="宋体" w:eastAsia="宋体" w:cs="宋体"/>
          <w:spacing w:val="-13"/>
          <w:sz w:val="24"/>
          <w:szCs w:val="24"/>
        </w:rPr>
        <w:t>文成县位于浙江省南部山区，</w:t>
      </w:r>
      <w:r>
        <w:rPr>
          <w:rFonts w:ascii="宋体" w:hAnsi="宋体" w:eastAsia="宋体" w:cs="宋体"/>
          <w:spacing w:val="-43"/>
          <w:sz w:val="24"/>
          <w:szCs w:val="24"/>
        </w:rPr>
        <w:t xml:space="preserve"> </w:t>
      </w:r>
      <w:r>
        <w:rPr>
          <w:rFonts w:ascii="宋体" w:hAnsi="宋体" w:eastAsia="宋体" w:cs="宋体"/>
          <w:spacing w:val="-13"/>
          <w:sz w:val="24"/>
          <w:szCs w:val="24"/>
        </w:rPr>
        <w:t>温州市西南部，</w:t>
      </w:r>
      <w:r>
        <w:rPr>
          <w:rFonts w:ascii="宋体" w:hAnsi="宋体" w:eastAsia="宋体" w:cs="宋体"/>
          <w:sz w:val="24"/>
          <w:szCs w:val="24"/>
        </w:rPr>
        <w:t xml:space="preserve"> </w:t>
      </w:r>
      <w:r>
        <w:rPr>
          <w:rFonts w:ascii="宋体" w:hAnsi="宋体" w:eastAsia="宋体" w:cs="宋体"/>
          <w:spacing w:val="-5"/>
          <w:sz w:val="24"/>
          <w:szCs w:val="24"/>
        </w:rPr>
        <w:t>飞云江中上游，</w:t>
      </w:r>
      <w:r>
        <w:rPr>
          <w:rFonts w:ascii="宋体" w:hAnsi="宋体" w:eastAsia="宋体" w:cs="宋体"/>
          <w:spacing w:val="42"/>
          <w:sz w:val="24"/>
          <w:szCs w:val="24"/>
        </w:rPr>
        <w:t xml:space="preserve"> </w:t>
      </w:r>
      <w:r>
        <w:rPr>
          <w:rFonts w:ascii="宋体" w:hAnsi="宋体" w:eastAsia="宋体" w:cs="宋体"/>
          <w:spacing w:val="-5"/>
          <w:sz w:val="24"/>
          <w:szCs w:val="24"/>
        </w:rPr>
        <w:t>地理坐标为东经</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119°46'~120</w:t>
      </w:r>
      <w:r>
        <w:rPr>
          <w:rFonts w:ascii="Times New Roman" w:hAnsi="Times New Roman" w:eastAsia="Times New Roman" w:cs="Times New Roman"/>
          <w:spacing w:val="-6"/>
          <w:sz w:val="24"/>
          <w:szCs w:val="24"/>
        </w:rPr>
        <w:t>°15'</w:t>
      </w:r>
      <w:r>
        <w:rPr>
          <w:rFonts w:ascii="宋体" w:hAnsi="宋体" w:eastAsia="宋体" w:cs="宋体"/>
          <w:spacing w:val="-6"/>
          <w:sz w:val="24"/>
          <w:szCs w:val="24"/>
        </w:rPr>
        <w:t>，北纬</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27°34'~27°59'</w:t>
      </w:r>
      <w:r>
        <w:rPr>
          <w:rFonts w:ascii="宋体" w:hAnsi="宋体" w:eastAsia="宋体" w:cs="宋体"/>
          <w:spacing w:val="-6"/>
          <w:sz w:val="24"/>
          <w:szCs w:val="24"/>
        </w:rPr>
        <w:t>之间。东邻</w:t>
      </w:r>
      <w:r>
        <w:rPr>
          <w:rFonts w:ascii="宋体" w:hAnsi="宋体" w:eastAsia="宋体" w:cs="宋体"/>
          <w:sz w:val="24"/>
          <w:szCs w:val="24"/>
        </w:rPr>
        <w:t xml:space="preserve"> </w:t>
      </w:r>
      <w:r>
        <w:rPr>
          <w:rFonts w:ascii="宋体" w:hAnsi="宋体" w:eastAsia="宋体" w:cs="宋体"/>
          <w:spacing w:val="-19"/>
          <w:sz w:val="24"/>
          <w:szCs w:val="24"/>
        </w:rPr>
        <w:t>瑞安市，</w:t>
      </w:r>
      <w:r>
        <w:rPr>
          <w:rFonts w:ascii="宋体" w:hAnsi="宋体" w:eastAsia="宋体" w:cs="宋体"/>
          <w:spacing w:val="-50"/>
          <w:sz w:val="24"/>
          <w:szCs w:val="24"/>
        </w:rPr>
        <w:t xml:space="preserve"> </w:t>
      </w:r>
      <w:r>
        <w:rPr>
          <w:rFonts w:ascii="宋体" w:hAnsi="宋体" w:eastAsia="宋体" w:cs="宋体"/>
          <w:spacing w:val="-19"/>
          <w:sz w:val="24"/>
          <w:szCs w:val="24"/>
        </w:rPr>
        <w:t>南界平阳县、苍南县， 西倚泰顺县、景宁县， 北接青田县。总面积</w:t>
      </w:r>
      <w:r>
        <w:rPr>
          <w:rFonts w:ascii="宋体" w:hAnsi="宋体" w:eastAsia="宋体" w:cs="宋体"/>
          <w:spacing w:val="-31"/>
          <w:sz w:val="24"/>
          <w:szCs w:val="24"/>
        </w:rPr>
        <w:t xml:space="preserve"> </w:t>
      </w:r>
      <w:r>
        <w:rPr>
          <w:rFonts w:ascii="Times New Roman" w:hAnsi="Times New Roman" w:eastAsia="Times New Roman" w:cs="Times New Roman"/>
          <w:spacing w:val="-19"/>
          <w:sz w:val="24"/>
          <w:szCs w:val="24"/>
        </w:rPr>
        <w:t>1292.16</w:t>
      </w:r>
    </w:p>
    <w:p>
      <w:pPr>
        <w:spacing w:line="219" w:lineRule="auto"/>
        <w:ind w:left="37"/>
        <w:rPr>
          <w:rFonts w:ascii="宋体" w:hAnsi="宋体" w:eastAsia="宋体" w:cs="宋体"/>
          <w:sz w:val="24"/>
          <w:szCs w:val="24"/>
        </w:rPr>
      </w:pPr>
      <w:r>
        <w:rPr>
          <w:rFonts w:ascii="宋体" w:hAnsi="宋体" w:eastAsia="宋体" w:cs="宋体"/>
          <w:spacing w:val="-7"/>
          <w:sz w:val="24"/>
          <w:szCs w:val="24"/>
        </w:rPr>
        <w:t>平方千米。</w:t>
      </w:r>
    </w:p>
    <w:p>
      <w:pPr>
        <w:spacing w:before="180" w:line="219" w:lineRule="auto"/>
        <w:ind w:left="34"/>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4.1.2 </w:t>
      </w:r>
      <w:r>
        <w:rPr>
          <w:rFonts w:ascii="宋体" w:hAnsi="宋体" w:eastAsia="宋体" w:cs="宋体"/>
          <w:spacing w:val="-1"/>
          <w:sz w:val="24"/>
          <w:szCs w:val="24"/>
          <w14:textOutline w14:w="4354" w14:cap="flat" w14:cmpd="sng">
            <w14:solidFill>
              <w14:srgbClr w14:val="000000"/>
            </w14:solidFill>
            <w14:prstDash w14:val="solid"/>
            <w14:miter w14:val="0"/>
          </w14:textOutline>
        </w:rPr>
        <w:t>地形地貌</w:t>
      </w:r>
    </w:p>
    <w:p>
      <w:pPr>
        <w:spacing w:before="184" w:line="359" w:lineRule="auto"/>
        <w:ind w:left="40" w:right="67" w:firstLine="479"/>
        <w:rPr>
          <w:rFonts w:ascii="宋体" w:hAnsi="宋体" w:eastAsia="宋体" w:cs="宋体"/>
          <w:sz w:val="24"/>
          <w:szCs w:val="24"/>
        </w:rPr>
      </w:pPr>
      <w:r>
        <w:rPr>
          <w:rFonts w:ascii="宋体" w:hAnsi="宋体" w:eastAsia="宋体" w:cs="宋体"/>
          <w:spacing w:val="-16"/>
          <w:sz w:val="24"/>
          <w:szCs w:val="24"/>
        </w:rPr>
        <w:t>文成县域属浙南山地，</w:t>
      </w:r>
      <w:r>
        <w:rPr>
          <w:rFonts w:ascii="宋体" w:hAnsi="宋体" w:eastAsia="宋体" w:cs="宋体"/>
          <w:spacing w:val="45"/>
          <w:sz w:val="24"/>
          <w:szCs w:val="24"/>
        </w:rPr>
        <w:t xml:space="preserve"> </w:t>
      </w:r>
      <w:r>
        <w:rPr>
          <w:rFonts w:ascii="宋体" w:hAnsi="宋体" w:eastAsia="宋体" w:cs="宋体"/>
          <w:spacing w:val="-16"/>
          <w:sz w:val="24"/>
          <w:szCs w:val="24"/>
        </w:rPr>
        <w:t>境内山峦起伏，</w:t>
      </w:r>
      <w:r>
        <w:rPr>
          <w:rFonts w:ascii="宋体" w:hAnsi="宋体" w:eastAsia="宋体" w:cs="宋体"/>
          <w:spacing w:val="33"/>
          <w:sz w:val="24"/>
          <w:szCs w:val="24"/>
        </w:rPr>
        <w:t xml:space="preserve"> </w:t>
      </w:r>
      <w:r>
        <w:rPr>
          <w:rFonts w:ascii="宋体" w:hAnsi="宋体" w:eastAsia="宋体" w:cs="宋体"/>
          <w:spacing w:val="-16"/>
          <w:sz w:val="24"/>
          <w:szCs w:val="24"/>
        </w:rPr>
        <w:t>连绵不绝， 山地面积占全县总面积的</w:t>
      </w:r>
      <w:r>
        <w:rPr>
          <w:rFonts w:ascii="宋体" w:hAnsi="宋体" w:eastAsia="宋体" w:cs="宋体"/>
          <w:sz w:val="24"/>
          <w:szCs w:val="24"/>
        </w:rPr>
        <w:t xml:space="preserve"> </w:t>
      </w:r>
      <w:r>
        <w:rPr>
          <w:rFonts w:ascii="Times New Roman" w:hAnsi="Times New Roman" w:eastAsia="Times New Roman" w:cs="Times New Roman"/>
          <w:spacing w:val="-1"/>
          <w:sz w:val="24"/>
          <w:szCs w:val="24"/>
        </w:rPr>
        <w:t>82.5%</w:t>
      </w:r>
      <w:r>
        <w:rPr>
          <w:rFonts w:ascii="宋体" w:hAnsi="宋体" w:eastAsia="宋体" w:cs="宋体"/>
          <w:spacing w:val="-1"/>
          <w:sz w:val="24"/>
          <w:szCs w:val="24"/>
        </w:rPr>
        <w:t>，俗称</w:t>
      </w:r>
      <w:r>
        <w:rPr>
          <w:rFonts w:ascii="Times New Roman" w:hAnsi="Times New Roman" w:eastAsia="Times New Roman" w:cs="Times New Roman"/>
          <w:spacing w:val="-1"/>
          <w:sz w:val="24"/>
          <w:szCs w:val="24"/>
        </w:rPr>
        <w:t>“</w:t>
      </w:r>
      <w:r>
        <w:rPr>
          <w:rFonts w:ascii="宋体" w:hAnsi="宋体" w:eastAsia="宋体" w:cs="宋体"/>
          <w:spacing w:val="-1"/>
          <w:sz w:val="24"/>
          <w:szCs w:val="24"/>
        </w:rPr>
        <w:t>八山一水一分田</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。地势自西北向东南倾斜，西</w:t>
      </w:r>
      <w:r>
        <w:rPr>
          <w:rFonts w:ascii="宋体" w:hAnsi="宋体" w:eastAsia="宋体" w:cs="宋体"/>
          <w:spacing w:val="-2"/>
          <w:sz w:val="24"/>
          <w:szCs w:val="24"/>
        </w:rPr>
        <w:t>北部地势较高，山</w:t>
      </w:r>
      <w:r>
        <w:rPr>
          <w:rFonts w:ascii="宋体" w:hAnsi="宋体" w:eastAsia="宋体" w:cs="宋体"/>
          <w:sz w:val="24"/>
          <w:szCs w:val="24"/>
        </w:rPr>
        <w:t xml:space="preserve"> </w:t>
      </w:r>
      <w:r>
        <w:rPr>
          <w:rFonts w:ascii="宋体" w:hAnsi="宋体" w:eastAsia="宋体" w:cs="宋体"/>
          <w:spacing w:val="-4"/>
          <w:sz w:val="24"/>
          <w:szCs w:val="24"/>
        </w:rPr>
        <w:t>势高峻陡峭，千米以上山峰有</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159</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座，最高为石垟林场杨顶峰，海拔</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1362</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米，</w:t>
      </w:r>
      <w:r>
        <w:rPr>
          <w:rFonts w:ascii="宋体" w:hAnsi="宋体" w:eastAsia="宋体" w:cs="宋体"/>
          <w:sz w:val="24"/>
          <w:szCs w:val="24"/>
        </w:rPr>
        <w:t xml:space="preserve"> </w:t>
      </w:r>
      <w:r>
        <w:rPr>
          <w:rFonts w:ascii="宋体" w:hAnsi="宋体" w:eastAsia="宋体" w:cs="宋体"/>
          <w:spacing w:val="-2"/>
          <w:sz w:val="24"/>
          <w:szCs w:val="24"/>
        </w:rPr>
        <w:t xml:space="preserve">东南部地势显得平坦，县境入口平和乡大垟口，海拔 </w:t>
      </w:r>
      <w:r>
        <w:rPr>
          <w:rFonts w:ascii="Times New Roman" w:hAnsi="Times New Roman" w:eastAsia="Times New Roman" w:cs="Times New Roman"/>
          <w:spacing w:val="-2"/>
          <w:sz w:val="24"/>
          <w:szCs w:val="24"/>
        </w:rPr>
        <w:t>15</w:t>
      </w:r>
      <w:r>
        <w:rPr>
          <w:rFonts w:ascii="Times New Roman" w:hAnsi="Times New Roman" w:eastAsia="Times New Roman" w:cs="Times New Roman"/>
          <w:spacing w:val="26"/>
          <w:w w:val="101"/>
          <w:sz w:val="24"/>
          <w:szCs w:val="24"/>
        </w:rPr>
        <w:t xml:space="preserve"> </w:t>
      </w:r>
      <w:r>
        <w:rPr>
          <w:rFonts w:ascii="宋体" w:hAnsi="宋体" w:eastAsia="宋体" w:cs="宋体"/>
          <w:spacing w:val="-2"/>
          <w:sz w:val="24"/>
          <w:szCs w:val="24"/>
        </w:rPr>
        <w:t>米，为全县最低点。山</w:t>
      </w:r>
      <w:r>
        <w:rPr>
          <w:rFonts w:ascii="宋体" w:hAnsi="宋体" w:eastAsia="宋体" w:cs="宋体"/>
          <w:sz w:val="24"/>
          <w:szCs w:val="24"/>
        </w:rPr>
        <w:t xml:space="preserve"> </w:t>
      </w:r>
      <w:r>
        <w:rPr>
          <w:rFonts w:ascii="宋体" w:hAnsi="宋体" w:eastAsia="宋体" w:cs="宋体"/>
          <w:spacing w:val="-17"/>
          <w:sz w:val="24"/>
          <w:szCs w:val="24"/>
        </w:rPr>
        <w:t>脉分属两支，</w:t>
      </w:r>
      <w:r>
        <w:rPr>
          <w:rFonts w:ascii="宋体" w:hAnsi="宋体" w:eastAsia="宋体" w:cs="宋体"/>
          <w:spacing w:val="43"/>
          <w:sz w:val="24"/>
          <w:szCs w:val="24"/>
        </w:rPr>
        <w:t xml:space="preserve"> </w:t>
      </w:r>
      <w:r>
        <w:rPr>
          <w:rFonts w:ascii="宋体" w:hAnsi="宋体" w:eastAsia="宋体" w:cs="宋体"/>
          <w:spacing w:val="-17"/>
          <w:sz w:val="24"/>
          <w:szCs w:val="24"/>
        </w:rPr>
        <w:t>江北属南田山脉，</w:t>
      </w:r>
      <w:r>
        <w:rPr>
          <w:rFonts w:ascii="宋体" w:hAnsi="宋体" w:eastAsia="宋体" w:cs="宋体"/>
          <w:spacing w:val="41"/>
          <w:sz w:val="24"/>
          <w:szCs w:val="24"/>
        </w:rPr>
        <w:t xml:space="preserve"> </w:t>
      </w:r>
      <w:r>
        <w:rPr>
          <w:rFonts w:ascii="宋体" w:hAnsi="宋体" w:eastAsia="宋体" w:cs="宋体"/>
          <w:spacing w:val="-17"/>
          <w:sz w:val="24"/>
          <w:szCs w:val="24"/>
        </w:rPr>
        <w:t>为洞宫山脉分支。江南为南雁荡山脉分支，</w:t>
      </w:r>
      <w:r>
        <w:rPr>
          <w:rFonts w:ascii="宋体" w:hAnsi="宋体" w:eastAsia="宋体" w:cs="宋体"/>
          <w:spacing w:val="42"/>
          <w:sz w:val="24"/>
          <w:szCs w:val="24"/>
        </w:rPr>
        <w:t xml:space="preserve"> </w:t>
      </w:r>
      <w:r>
        <w:rPr>
          <w:rFonts w:ascii="宋体" w:hAnsi="宋体" w:eastAsia="宋体" w:cs="宋体"/>
          <w:spacing w:val="-17"/>
          <w:sz w:val="24"/>
          <w:szCs w:val="24"/>
        </w:rPr>
        <w:t>从平</w:t>
      </w:r>
      <w:r>
        <w:rPr>
          <w:rFonts w:ascii="宋体" w:hAnsi="宋体" w:eastAsia="宋体" w:cs="宋体"/>
          <w:sz w:val="24"/>
          <w:szCs w:val="24"/>
        </w:rPr>
        <w:t xml:space="preserve"> </w:t>
      </w:r>
      <w:r>
        <w:rPr>
          <w:rFonts w:ascii="宋体" w:hAnsi="宋体" w:eastAsia="宋体" w:cs="宋体"/>
          <w:spacing w:val="-12"/>
          <w:sz w:val="24"/>
          <w:szCs w:val="24"/>
        </w:rPr>
        <w:t>阳县进入文成县，</w:t>
      </w:r>
      <w:r>
        <w:rPr>
          <w:rFonts w:ascii="宋体" w:hAnsi="宋体" w:eastAsia="宋体" w:cs="宋体"/>
          <w:spacing w:val="39"/>
          <w:sz w:val="24"/>
          <w:szCs w:val="24"/>
        </w:rPr>
        <w:t xml:space="preserve"> </w:t>
      </w:r>
      <w:r>
        <w:rPr>
          <w:rFonts w:ascii="宋体" w:hAnsi="宋体" w:eastAsia="宋体" w:cs="宋体"/>
          <w:spacing w:val="-12"/>
          <w:sz w:val="24"/>
          <w:szCs w:val="24"/>
        </w:rPr>
        <w:t>南田高山平台，</w:t>
      </w:r>
      <w:r>
        <w:rPr>
          <w:rFonts w:ascii="宋体" w:hAnsi="宋体" w:eastAsia="宋体" w:cs="宋体"/>
          <w:spacing w:val="35"/>
          <w:sz w:val="24"/>
          <w:szCs w:val="24"/>
        </w:rPr>
        <w:t xml:space="preserve"> </w:t>
      </w:r>
      <w:r>
        <w:rPr>
          <w:rFonts w:ascii="宋体" w:hAnsi="宋体" w:eastAsia="宋体" w:cs="宋体"/>
          <w:spacing w:val="-12"/>
          <w:sz w:val="24"/>
          <w:szCs w:val="24"/>
        </w:rPr>
        <w:t>为文成县山地的典型地貌。河流绝大部分属飞</w:t>
      </w:r>
    </w:p>
    <w:p>
      <w:pPr>
        <w:spacing w:before="1" w:line="219" w:lineRule="auto"/>
        <w:ind w:left="44"/>
        <w:rPr>
          <w:rFonts w:ascii="宋体" w:hAnsi="宋体" w:eastAsia="宋体" w:cs="宋体"/>
          <w:sz w:val="24"/>
          <w:szCs w:val="24"/>
        </w:rPr>
      </w:pPr>
      <w:r>
        <w:rPr>
          <w:rFonts w:ascii="宋体" w:hAnsi="宋体" w:eastAsia="宋体" w:cs="宋体"/>
          <w:spacing w:val="-2"/>
          <w:sz w:val="24"/>
          <w:szCs w:val="24"/>
        </w:rPr>
        <w:t>云江水系，主要河流是飞云江（中上游</w:t>
      </w:r>
      <w:r>
        <w:rPr>
          <w:rFonts w:ascii="宋体" w:hAnsi="宋体" w:eastAsia="宋体" w:cs="宋体"/>
          <w:spacing w:val="5"/>
          <w:sz w:val="24"/>
          <w:szCs w:val="24"/>
        </w:rPr>
        <w:t>），</w:t>
      </w:r>
      <w:r>
        <w:rPr>
          <w:rFonts w:ascii="宋体" w:hAnsi="宋体" w:eastAsia="宋体" w:cs="宋体"/>
          <w:spacing w:val="-2"/>
          <w:sz w:val="24"/>
          <w:szCs w:val="24"/>
        </w:rPr>
        <w:t>横贯县境南部，流程</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43.5</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公里。</w:t>
      </w:r>
    </w:p>
    <w:p>
      <w:pPr>
        <w:spacing w:before="184" w:line="359" w:lineRule="auto"/>
        <w:ind w:left="38" w:firstLine="485"/>
        <w:rPr>
          <w:rFonts w:ascii="宋体" w:hAnsi="宋体" w:eastAsia="宋体" w:cs="宋体"/>
          <w:sz w:val="24"/>
          <w:szCs w:val="24"/>
        </w:rPr>
      </w:pPr>
      <w:r>
        <w:rPr>
          <w:rFonts w:ascii="宋体" w:hAnsi="宋体" w:eastAsia="宋体" w:cs="宋体"/>
          <w:spacing w:val="-12"/>
          <w:sz w:val="24"/>
          <w:szCs w:val="24"/>
        </w:rPr>
        <w:t>西坑连接线敖里隧道处于丘陵区， 地形较平缓，</w:t>
      </w:r>
      <w:r>
        <w:rPr>
          <w:rFonts w:ascii="宋体" w:hAnsi="宋体" w:eastAsia="宋体" w:cs="宋体"/>
          <w:spacing w:val="56"/>
          <w:sz w:val="24"/>
          <w:szCs w:val="24"/>
        </w:rPr>
        <w:t xml:space="preserve"> </w:t>
      </w:r>
      <w:r>
        <w:rPr>
          <w:rFonts w:ascii="宋体" w:hAnsi="宋体" w:eastAsia="宋体" w:cs="宋体"/>
          <w:spacing w:val="-12"/>
          <w:sz w:val="24"/>
          <w:szCs w:val="24"/>
        </w:rPr>
        <w:t>顶部分布农田、民居。进洞</w:t>
      </w:r>
      <w:r>
        <w:rPr>
          <w:rFonts w:ascii="宋体" w:hAnsi="宋体" w:eastAsia="宋体" w:cs="宋体"/>
          <w:sz w:val="24"/>
          <w:szCs w:val="24"/>
        </w:rPr>
        <w:t xml:space="preserve"> </w:t>
      </w:r>
      <w:r>
        <w:rPr>
          <w:rFonts w:ascii="宋体" w:hAnsi="宋体" w:eastAsia="宋体" w:cs="宋体"/>
          <w:spacing w:val="-4"/>
          <w:sz w:val="24"/>
          <w:szCs w:val="24"/>
        </w:rPr>
        <w:t>口位于沟谷处，上覆残坡积含碎石粉质黏土，</w:t>
      </w:r>
      <w:r>
        <w:rPr>
          <w:rFonts w:ascii="宋体" w:hAnsi="宋体" w:eastAsia="宋体" w:cs="宋体"/>
          <w:spacing w:val="68"/>
          <w:sz w:val="24"/>
          <w:szCs w:val="24"/>
        </w:rPr>
        <w:t xml:space="preserve"> </w:t>
      </w:r>
      <w:r>
        <w:rPr>
          <w:rFonts w:ascii="宋体" w:hAnsi="宋体" w:eastAsia="宋体" w:cs="宋体"/>
          <w:spacing w:val="-4"/>
          <w:sz w:val="24"/>
          <w:szCs w:val="24"/>
        </w:rPr>
        <w:t>厚度</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0~3.0m</w:t>
      </w:r>
      <w:r>
        <w:rPr>
          <w:rFonts w:ascii="宋体" w:hAnsi="宋体" w:eastAsia="宋体" w:cs="宋体"/>
          <w:spacing w:val="-5"/>
          <w:sz w:val="24"/>
          <w:szCs w:val="24"/>
        </w:rPr>
        <w:t>，局部全风化基岩</w:t>
      </w:r>
      <w:r>
        <w:rPr>
          <w:rFonts w:ascii="宋体" w:hAnsi="宋体" w:eastAsia="宋体" w:cs="宋体"/>
          <w:sz w:val="24"/>
          <w:szCs w:val="24"/>
        </w:rPr>
        <w:t xml:space="preserve"> </w:t>
      </w:r>
      <w:r>
        <w:rPr>
          <w:rFonts w:ascii="宋体" w:hAnsi="宋体" w:eastAsia="宋体" w:cs="宋体"/>
          <w:spacing w:val="-14"/>
          <w:sz w:val="24"/>
          <w:szCs w:val="24"/>
        </w:rPr>
        <w:t>出露， 下伏基岩为朝川组含角砾凝灰岩，</w:t>
      </w:r>
      <w:r>
        <w:rPr>
          <w:rFonts w:ascii="宋体" w:hAnsi="宋体" w:eastAsia="宋体" w:cs="宋体"/>
          <w:spacing w:val="46"/>
          <w:sz w:val="24"/>
          <w:szCs w:val="24"/>
        </w:rPr>
        <w:t xml:space="preserve"> </w:t>
      </w:r>
      <w:r>
        <w:rPr>
          <w:rFonts w:ascii="宋体" w:hAnsi="宋体" w:eastAsia="宋体" w:cs="宋体"/>
          <w:spacing w:val="-14"/>
          <w:sz w:val="24"/>
          <w:szCs w:val="24"/>
        </w:rPr>
        <w:t>岩</w:t>
      </w:r>
      <w:r>
        <w:rPr>
          <w:rFonts w:ascii="宋体" w:hAnsi="宋体" w:eastAsia="宋体" w:cs="宋体"/>
          <w:spacing w:val="-15"/>
          <w:sz w:val="24"/>
          <w:szCs w:val="24"/>
        </w:rPr>
        <w:t>石风化较强，</w:t>
      </w:r>
      <w:r>
        <w:rPr>
          <w:rFonts w:ascii="宋体" w:hAnsi="宋体" w:eastAsia="宋体" w:cs="宋体"/>
          <w:spacing w:val="46"/>
          <w:sz w:val="24"/>
          <w:szCs w:val="24"/>
        </w:rPr>
        <w:t xml:space="preserve"> </w:t>
      </w:r>
      <w:r>
        <w:rPr>
          <w:rFonts w:ascii="宋体" w:hAnsi="宋体" w:eastAsia="宋体" w:cs="宋体"/>
          <w:spacing w:val="-15"/>
          <w:sz w:val="24"/>
          <w:szCs w:val="24"/>
        </w:rPr>
        <w:t xml:space="preserve">全强风化层厚 </w:t>
      </w:r>
      <w:r>
        <w:rPr>
          <w:rFonts w:ascii="Times New Roman" w:hAnsi="Times New Roman" w:eastAsia="Times New Roman" w:cs="Times New Roman"/>
          <w:spacing w:val="-15"/>
          <w:sz w:val="24"/>
          <w:szCs w:val="24"/>
        </w:rPr>
        <w:t>5~10m</w:t>
      </w:r>
      <w:r>
        <w:rPr>
          <w:rFonts w:ascii="宋体" w:hAnsi="宋体" w:eastAsia="宋体" w:cs="宋体"/>
          <w:spacing w:val="-15"/>
          <w:sz w:val="24"/>
          <w:szCs w:val="24"/>
        </w:rPr>
        <w:t>，</w:t>
      </w:r>
      <w:r>
        <w:rPr>
          <w:rFonts w:ascii="宋体" w:hAnsi="宋体" w:eastAsia="宋体" w:cs="宋体"/>
          <w:sz w:val="24"/>
          <w:szCs w:val="24"/>
        </w:rPr>
        <w:t xml:space="preserve"> </w:t>
      </w:r>
      <w:r>
        <w:rPr>
          <w:rFonts w:ascii="宋体" w:hAnsi="宋体" w:eastAsia="宋体" w:cs="宋体"/>
          <w:spacing w:val="-3"/>
          <w:sz w:val="24"/>
          <w:szCs w:val="24"/>
        </w:rPr>
        <w:t>中风化岩岩质较坚硬， 岩体较破碎</w:t>
      </w:r>
      <w:r>
        <w:rPr>
          <w:rFonts w:ascii="Times New Roman" w:hAnsi="Times New Roman" w:eastAsia="Times New Roman" w:cs="Times New Roman"/>
          <w:spacing w:val="-3"/>
          <w:sz w:val="24"/>
          <w:szCs w:val="24"/>
        </w:rPr>
        <w:t>~</w:t>
      </w:r>
      <w:r>
        <w:rPr>
          <w:rFonts w:ascii="宋体" w:hAnsi="宋体" w:eastAsia="宋体" w:cs="宋体"/>
          <w:spacing w:val="-3"/>
          <w:sz w:val="24"/>
          <w:szCs w:val="24"/>
        </w:rPr>
        <w:t>较完整。出洞口位于沟</w:t>
      </w:r>
      <w:r>
        <w:rPr>
          <w:rFonts w:ascii="宋体" w:hAnsi="宋体" w:eastAsia="宋体" w:cs="宋体"/>
          <w:spacing w:val="-4"/>
          <w:sz w:val="24"/>
          <w:szCs w:val="24"/>
        </w:rPr>
        <w:t>谷处，上覆坡洪积含</w:t>
      </w:r>
      <w:r>
        <w:rPr>
          <w:rFonts w:ascii="宋体" w:hAnsi="宋体" w:eastAsia="宋体" w:cs="宋体"/>
          <w:sz w:val="24"/>
          <w:szCs w:val="24"/>
        </w:rPr>
        <w:t xml:space="preserve"> </w:t>
      </w:r>
      <w:r>
        <w:rPr>
          <w:rFonts w:ascii="宋体" w:hAnsi="宋体" w:eastAsia="宋体" w:cs="宋体"/>
          <w:spacing w:val="1"/>
          <w:sz w:val="24"/>
          <w:szCs w:val="24"/>
        </w:rPr>
        <w:t>黏性土碎石，厚</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1.0~3.0m</w:t>
      </w:r>
      <w:r>
        <w:rPr>
          <w:rFonts w:ascii="宋体" w:hAnsi="宋体" w:eastAsia="宋体" w:cs="宋体"/>
          <w:spacing w:val="1"/>
          <w:sz w:val="24"/>
          <w:szCs w:val="24"/>
        </w:rPr>
        <w:t>，下部分布花岗斑岩侵入</w:t>
      </w:r>
      <w:r>
        <w:rPr>
          <w:rFonts w:ascii="宋体" w:hAnsi="宋体" w:eastAsia="宋体" w:cs="宋体"/>
          <w:sz w:val="24"/>
          <w:szCs w:val="24"/>
        </w:rPr>
        <w:t xml:space="preserve">岩脉，走向与线位成大角度 </w:t>
      </w:r>
      <w:r>
        <w:rPr>
          <w:rFonts w:ascii="宋体" w:hAnsi="宋体" w:eastAsia="宋体" w:cs="宋体"/>
          <w:spacing w:val="-3"/>
          <w:sz w:val="24"/>
          <w:szCs w:val="24"/>
        </w:rPr>
        <w:t>相交，岩石风化较强，</w:t>
      </w:r>
      <w:r>
        <w:rPr>
          <w:rFonts w:ascii="宋体" w:hAnsi="宋体" w:eastAsia="宋体" w:cs="宋体"/>
          <w:spacing w:val="63"/>
          <w:sz w:val="24"/>
          <w:szCs w:val="24"/>
        </w:rPr>
        <w:t xml:space="preserve"> </w:t>
      </w:r>
      <w:r>
        <w:rPr>
          <w:rFonts w:ascii="宋体" w:hAnsi="宋体" w:eastAsia="宋体" w:cs="宋体"/>
          <w:spacing w:val="-3"/>
          <w:sz w:val="24"/>
          <w:szCs w:val="24"/>
        </w:rPr>
        <w:t xml:space="preserve">全强风化岩厚 </w:t>
      </w:r>
      <w:r>
        <w:rPr>
          <w:rFonts w:ascii="Times New Roman" w:hAnsi="Times New Roman" w:eastAsia="Times New Roman" w:cs="Times New Roman"/>
          <w:spacing w:val="-3"/>
          <w:sz w:val="24"/>
          <w:szCs w:val="24"/>
        </w:rPr>
        <w:t>5~15m</w:t>
      </w:r>
      <w:r>
        <w:rPr>
          <w:rFonts w:ascii="宋体" w:hAnsi="宋体" w:eastAsia="宋体" w:cs="宋体"/>
          <w:spacing w:val="-3"/>
          <w:sz w:val="24"/>
          <w:szCs w:val="24"/>
        </w:rPr>
        <w:t>，岩体</w:t>
      </w:r>
      <w:r>
        <w:rPr>
          <w:rFonts w:ascii="宋体" w:hAnsi="宋体" w:eastAsia="宋体" w:cs="宋体"/>
          <w:spacing w:val="-4"/>
          <w:sz w:val="24"/>
          <w:szCs w:val="24"/>
        </w:rPr>
        <w:t>较完整，岩性接触带岩体较</w:t>
      </w:r>
    </w:p>
    <w:p>
      <w:pPr>
        <w:spacing w:line="219" w:lineRule="auto"/>
        <w:ind w:left="37"/>
        <w:rPr>
          <w:rFonts w:ascii="宋体" w:hAnsi="宋体" w:eastAsia="宋体" w:cs="宋体"/>
          <w:sz w:val="24"/>
          <w:szCs w:val="24"/>
        </w:rPr>
      </w:pPr>
      <w:r>
        <w:rPr>
          <w:rFonts w:ascii="宋体" w:hAnsi="宋体" w:eastAsia="宋体" w:cs="宋体"/>
          <w:spacing w:val="-10"/>
          <w:sz w:val="24"/>
          <w:szCs w:val="24"/>
        </w:rPr>
        <w:t>破碎。</w:t>
      </w:r>
    </w:p>
    <w:p>
      <w:pPr>
        <w:spacing w:before="182" w:line="359" w:lineRule="auto"/>
        <w:ind w:left="38" w:right="2" w:firstLine="485"/>
        <w:rPr>
          <w:rFonts w:ascii="宋体" w:hAnsi="宋体" w:eastAsia="宋体" w:cs="宋体"/>
          <w:sz w:val="24"/>
          <w:szCs w:val="24"/>
        </w:rPr>
      </w:pPr>
      <w:r>
        <w:rPr>
          <w:rFonts w:ascii="宋体" w:hAnsi="宋体" w:eastAsia="宋体" w:cs="宋体"/>
          <w:spacing w:val="-9"/>
          <w:sz w:val="24"/>
          <w:szCs w:val="24"/>
        </w:rPr>
        <w:t>西坑连接线百丈隧道处于低山丘陵区，</w:t>
      </w:r>
      <w:r>
        <w:rPr>
          <w:rFonts w:ascii="宋体" w:hAnsi="宋体" w:eastAsia="宋体" w:cs="宋体"/>
          <w:spacing w:val="-27"/>
          <w:sz w:val="24"/>
          <w:szCs w:val="24"/>
        </w:rPr>
        <w:t xml:space="preserve"> </w:t>
      </w:r>
      <w:r>
        <w:rPr>
          <w:rFonts w:ascii="宋体" w:hAnsi="宋体" w:eastAsia="宋体" w:cs="宋体"/>
          <w:spacing w:val="-9"/>
          <w:sz w:val="24"/>
          <w:szCs w:val="24"/>
        </w:rPr>
        <w:t>地形坡度约</w:t>
      </w:r>
      <w:r>
        <w:rPr>
          <w:rFonts w:ascii="宋体" w:hAnsi="宋体" w:eastAsia="宋体" w:cs="宋体"/>
          <w:spacing w:val="29"/>
          <w:sz w:val="24"/>
          <w:szCs w:val="24"/>
        </w:rPr>
        <w:t xml:space="preserve"> </w:t>
      </w:r>
      <w:r>
        <w:rPr>
          <w:rFonts w:ascii="Times New Roman" w:hAnsi="Times New Roman" w:eastAsia="Times New Roman" w:cs="Times New Roman"/>
          <w:spacing w:val="-9"/>
          <w:sz w:val="24"/>
          <w:szCs w:val="24"/>
        </w:rPr>
        <w:t>10</w:t>
      </w:r>
      <w:r>
        <w:rPr>
          <w:rFonts w:ascii="宋体" w:hAnsi="宋体" w:eastAsia="宋体" w:cs="宋体"/>
          <w:spacing w:val="-9"/>
          <w:sz w:val="24"/>
          <w:szCs w:val="24"/>
        </w:rPr>
        <w:t>～</w:t>
      </w:r>
      <w:r>
        <w:rPr>
          <w:rFonts w:ascii="Times New Roman" w:hAnsi="Times New Roman" w:eastAsia="Times New Roman" w:cs="Times New Roman"/>
          <w:spacing w:val="-9"/>
          <w:sz w:val="24"/>
          <w:szCs w:val="24"/>
        </w:rPr>
        <w:t>25°</w:t>
      </w:r>
      <w:r>
        <w:rPr>
          <w:rFonts w:ascii="宋体" w:hAnsi="宋体" w:eastAsia="宋体" w:cs="宋体"/>
          <w:spacing w:val="-9"/>
          <w:sz w:val="24"/>
          <w:szCs w:val="24"/>
        </w:rPr>
        <w:t>,</w:t>
      </w:r>
      <w:r>
        <w:rPr>
          <w:rFonts w:ascii="宋体" w:hAnsi="宋体" w:eastAsia="宋体" w:cs="宋体"/>
          <w:spacing w:val="-59"/>
          <w:sz w:val="24"/>
          <w:szCs w:val="24"/>
        </w:rPr>
        <w:t xml:space="preserve"> </w:t>
      </w:r>
      <w:r>
        <w:rPr>
          <w:rFonts w:ascii="宋体" w:hAnsi="宋体" w:eastAsia="宋体" w:cs="宋体"/>
          <w:spacing w:val="-9"/>
          <w:sz w:val="24"/>
          <w:szCs w:val="24"/>
        </w:rPr>
        <w:t>沟谷较不发育，</w:t>
      </w:r>
      <w:r>
        <w:rPr>
          <w:rFonts w:ascii="宋体" w:hAnsi="宋体" w:eastAsia="宋体" w:cs="宋体"/>
          <w:sz w:val="24"/>
          <w:szCs w:val="24"/>
        </w:rPr>
        <w:t xml:space="preserve"> </w:t>
      </w:r>
      <w:r>
        <w:rPr>
          <w:rFonts w:ascii="宋体" w:hAnsi="宋体" w:eastAsia="宋体" w:cs="宋体"/>
          <w:spacing w:val="-13"/>
          <w:sz w:val="24"/>
          <w:szCs w:val="24"/>
        </w:rPr>
        <w:t>山体完整性一般，</w:t>
      </w:r>
      <w:r>
        <w:rPr>
          <w:rFonts w:ascii="宋体" w:hAnsi="宋体" w:eastAsia="宋体" w:cs="宋体"/>
          <w:spacing w:val="-35"/>
          <w:sz w:val="24"/>
          <w:szCs w:val="24"/>
        </w:rPr>
        <w:t xml:space="preserve"> </w:t>
      </w:r>
      <w:r>
        <w:rPr>
          <w:rFonts w:ascii="宋体" w:hAnsi="宋体" w:eastAsia="宋体" w:cs="宋体"/>
          <w:spacing w:val="-13"/>
          <w:sz w:val="24"/>
          <w:szCs w:val="24"/>
        </w:rPr>
        <w:t>植被较不发育。现为平整场地，</w:t>
      </w:r>
      <w:r>
        <w:rPr>
          <w:rFonts w:ascii="宋体" w:hAnsi="宋体" w:eastAsia="宋体" w:cs="宋体"/>
          <w:spacing w:val="52"/>
          <w:sz w:val="24"/>
          <w:szCs w:val="24"/>
        </w:rPr>
        <w:t xml:space="preserve"> </w:t>
      </w:r>
      <w:r>
        <w:rPr>
          <w:rFonts w:ascii="宋体" w:hAnsi="宋体" w:eastAsia="宋体" w:cs="宋体"/>
          <w:spacing w:val="-13"/>
          <w:sz w:val="24"/>
          <w:szCs w:val="24"/>
        </w:rPr>
        <w:t>上覆人</w:t>
      </w:r>
      <w:r>
        <w:rPr>
          <w:rFonts w:ascii="宋体" w:hAnsi="宋体" w:eastAsia="宋体" w:cs="宋体"/>
          <w:spacing w:val="-14"/>
          <w:sz w:val="24"/>
          <w:szCs w:val="24"/>
        </w:rPr>
        <w:t>工填土，</w:t>
      </w:r>
      <w:r>
        <w:rPr>
          <w:rFonts w:ascii="宋体" w:hAnsi="宋体" w:eastAsia="宋体" w:cs="宋体"/>
          <w:spacing w:val="57"/>
          <w:sz w:val="24"/>
          <w:szCs w:val="24"/>
        </w:rPr>
        <w:t xml:space="preserve"> </w:t>
      </w:r>
      <w:r>
        <w:rPr>
          <w:rFonts w:ascii="宋体" w:hAnsi="宋体" w:eastAsia="宋体" w:cs="宋体"/>
          <w:spacing w:val="-14"/>
          <w:sz w:val="24"/>
          <w:szCs w:val="24"/>
        </w:rPr>
        <w:t>厚</w:t>
      </w:r>
      <w:r>
        <w:rPr>
          <w:rFonts w:ascii="宋体" w:hAnsi="宋体" w:eastAsia="宋体" w:cs="宋体"/>
          <w:spacing w:val="30"/>
          <w:sz w:val="24"/>
          <w:szCs w:val="24"/>
        </w:rPr>
        <w:t xml:space="preserve"> </w:t>
      </w:r>
      <w:r>
        <w:rPr>
          <w:rFonts w:ascii="Times New Roman" w:hAnsi="Times New Roman" w:eastAsia="Times New Roman" w:cs="Times New Roman"/>
          <w:spacing w:val="-14"/>
          <w:sz w:val="24"/>
          <w:szCs w:val="24"/>
        </w:rPr>
        <w:t>1.0~40.0m</w:t>
      </w:r>
      <w:r>
        <w:rPr>
          <w:rFonts w:ascii="Times New Roman" w:hAnsi="Times New Roman" w:eastAsia="Times New Roman" w:cs="Times New Roman"/>
          <w:sz w:val="24"/>
          <w:szCs w:val="24"/>
        </w:rPr>
        <w:t xml:space="preserve">  </w:t>
      </w:r>
      <w:r>
        <w:rPr>
          <w:rFonts w:ascii="宋体" w:hAnsi="宋体" w:eastAsia="宋体" w:cs="宋体"/>
          <w:sz w:val="24"/>
          <w:szCs w:val="24"/>
        </w:rPr>
        <w:t xml:space="preserve">不等。隧址区轴线地面高程在 </w:t>
      </w:r>
      <w:r>
        <w:rPr>
          <w:rFonts w:ascii="Times New Roman" w:hAnsi="Times New Roman" w:eastAsia="Times New Roman" w:cs="Times New Roman"/>
          <w:sz w:val="24"/>
          <w:szCs w:val="24"/>
        </w:rPr>
        <w:t>610</w:t>
      </w:r>
      <w:r>
        <w:rPr>
          <w:rFonts w:ascii="宋体" w:hAnsi="宋体" w:eastAsia="宋体" w:cs="宋体"/>
          <w:sz w:val="24"/>
          <w:szCs w:val="24"/>
        </w:rPr>
        <w:t>～</w:t>
      </w:r>
      <w:r>
        <w:rPr>
          <w:rFonts w:ascii="Times New Roman" w:hAnsi="Times New Roman" w:eastAsia="Times New Roman" w:cs="Times New Roman"/>
          <w:sz w:val="24"/>
          <w:szCs w:val="24"/>
        </w:rPr>
        <w:t xml:space="preserve">690m  </w:t>
      </w:r>
      <w:r>
        <w:rPr>
          <w:rFonts w:ascii="宋体" w:hAnsi="宋体" w:eastAsia="宋体" w:cs="宋体"/>
          <w:sz w:val="24"/>
          <w:szCs w:val="24"/>
        </w:rPr>
        <w:t xml:space="preserve">之间，地面最高点高程约为 </w:t>
      </w:r>
      <w:r>
        <w:rPr>
          <w:rFonts w:ascii="Times New Roman" w:hAnsi="Times New Roman" w:eastAsia="Times New Roman" w:cs="Times New Roman"/>
          <w:sz w:val="24"/>
          <w:szCs w:val="24"/>
        </w:rPr>
        <w:t>701m</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 xml:space="preserve">， </w:t>
      </w:r>
      <w:r>
        <w:rPr>
          <w:rFonts w:ascii="宋体" w:hAnsi="宋体" w:eastAsia="宋体" w:cs="宋体"/>
          <w:spacing w:val="1"/>
          <w:sz w:val="24"/>
          <w:szCs w:val="24"/>
        </w:rPr>
        <w:t>属傍山隧道。进洞口位于沟谷处，上覆坡洪积含</w:t>
      </w:r>
      <w:r>
        <w:rPr>
          <w:rFonts w:ascii="宋体" w:hAnsi="宋体" w:eastAsia="宋体" w:cs="宋体"/>
          <w:sz w:val="24"/>
          <w:szCs w:val="24"/>
        </w:rPr>
        <w:t>黏性土碎石，厚度</w:t>
      </w:r>
      <w:r>
        <w:rPr>
          <w:rFonts w:ascii="宋体" w:hAnsi="宋体" w:eastAsia="宋体" w:cs="宋体"/>
          <w:spacing w:val="34"/>
          <w:sz w:val="24"/>
          <w:szCs w:val="24"/>
        </w:rPr>
        <w:t xml:space="preserve"> </w:t>
      </w:r>
      <w:r>
        <w:rPr>
          <w:rFonts w:ascii="Times New Roman" w:hAnsi="Times New Roman" w:eastAsia="Times New Roman" w:cs="Times New Roman"/>
          <w:sz w:val="24"/>
          <w:szCs w:val="24"/>
        </w:rPr>
        <w:t>1.0~4.0m</w:t>
      </w:r>
      <w:r>
        <w:rPr>
          <w:rFonts w:ascii="Times New Roman" w:hAnsi="Times New Roman" w:eastAsia="Times New Roman" w:cs="Times New Roman"/>
          <w:spacing w:val="-24"/>
          <w:sz w:val="24"/>
          <w:szCs w:val="24"/>
        </w:rPr>
        <w:t xml:space="preserve"> </w:t>
      </w:r>
      <w:r>
        <w:rPr>
          <w:rFonts w:ascii="宋体" w:hAnsi="宋体" w:eastAsia="宋体" w:cs="宋体"/>
          <w:sz w:val="24"/>
          <w:szCs w:val="24"/>
        </w:rPr>
        <w:t xml:space="preserve">。 </w:t>
      </w:r>
      <w:r>
        <w:rPr>
          <w:rFonts w:ascii="宋体" w:hAnsi="宋体" w:eastAsia="宋体" w:cs="宋体"/>
          <w:spacing w:val="-14"/>
          <w:sz w:val="24"/>
          <w:szCs w:val="24"/>
        </w:rPr>
        <w:t>出洞口位于沟谷处，</w:t>
      </w:r>
      <w:r>
        <w:rPr>
          <w:rFonts w:ascii="宋体" w:hAnsi="宋体" w:eastAsia="宋体" w:cs="宋体"/>
          <w:spacing w:val="43"/>
          <w:sz w:val="24"/>
          <w:szCs w:val="24"/>
        </w:rPr>
        <w:t xml:space="preserve"> </w:t>
      </w:r>
      <w:r>
        <w:rPr>
          <w:rFonts w:ascii="宋体" w:hAnsi="宋体" w:eastAsia="宋体" w:cs="宋体"/>
          <w:spacing w:val="-14"/>
          <w:sz w:val="24"/>
          <w:szCs w:val="24"/>
        </w:rPr>
        <w:t>现为平整场地，</w:t>
      </w:r>
      <w:r>
        <w:rPr>
          <w:rFonts w:ascii="宋体" w:hAnsi="宋体" w:eastAsia="宋体" w:cs="宋体"/>
          <w:spacing w:val="36"/>
          <w:sz w:val="24"/>
          <w:szCs w:val="24"/>
        </w:rPr>
        <w:t xml:space="preserve"> </w:t>
      </w:r>
      <w:r>
        <w:rPr>
          <w:rFonts w:ascii="宋体" w:hAnsi="宋体" w:eastAsia="宋体" w:cs="宋体"/>
          <w:spacing w:val="-14"/>
          <w:sz w:val="24"/>
          <w:szCs w:val="24"/>
        </w:rPr>
        <w:t>上覆人工填土， 厚</w:t>
      </w:r>
      <w:r>
        <w:rPr>
          <w:rFonts w:ascii="宋体" w:hAnsi="宋体" w:eastAsia="宋体" w:cs="宋体"/>
          <w:spacing w:val="-30"/>
          <w:sz w:val="24"/>
          <w:szCs w:val="24"/>
        </w:rPr>
        <w:t xml:space="preserve"> </w:t>
      </w:r>
      <w:r>
        <w:rPr>
          <w:rFonts w:ascii="Times New Roman" w:hAnsi="Times New Roman" w:eastAsia="Times New Roman" w:cs="Times New Roman"/>
          <w:spacing w:val="-14"/>
          <w:sz w:val="24"/>
          <w:szCs w:val="24"/>
        </w:rPr>
        <w:t xml:space="preserve">1.0~22.0m  </w:t>
      </w:r>
      <w:r>
        <w:rPr>
          <w:rFonts w:ascii="宋体" w:hAnsi="宋体" w:eastAsia="宋体" w:cs="宋体"/>
          <w:spacing w:val="-14"/>
          <w:sz w:val="24"/>
          <w:szCs w:val="24"/>
        </w:rPr>
        <w:t>不等。下伏基</w:t>
      </w:r>
      <w:r>
        <w:rPr>
          <w:rFonts w:ascii="宋体" w:hAnsi="宋体" w:eastAsia="宋体" w:cs="宋体"/>
          <w:sz w:val="24"/>
          <w:szCs w:val="24"/>
        </w:rPr>
        <w:t xml:space="preserve"> </w:t>
      </w:r>
      <w:r>
        <w:rPr>
          <w:rFonts w:ascii="宋体" w:hAnsi="宋体" w:eastAsia="宋体" w:cs="宋体"/>
          <w:spacing w:val="-12"/>
          <w:sz w:val="24"/>
          <w:szCs w:val="24"/>
        </w:rPr>
        <w:t>岩为朝川组含角砾凝灰岩、凝灰质角砾岩、凝灰质粉砂岩，</w:t>
      </w:r>
      <w:r>
        <w:rPr>
          <w:rFonts w:ascii="宋体" w:hAnsi="宋体" w:eastAsia="宋体" w:cs="宋体"/>
          <w:spacing w:val="39"/>
          <w:sz w:val="24"/>
          <w:szCs w:val="24"/>
        </w:rPr>
        <w:t xml:space="preserve"> </w:t>
      </w:r>
      <w:r>
        <w:rPr>
          <w:rFonts w:ascii="宋体" w:hAnsi="宋体" w:eastAsia="宋体" w:cs="宋体"/>
          <w:spacing w:val="-12"/>
          <w:sz w:val="24"/>
          <w:szCs w:val="24"/>
        </w:rPr>
        <w:t>岩石风化较弱，</w:t>
      </w:r>
      <w:r>
        <w:rPr>
          <w:rFonts w:ascii="宋体" w:hAnsi="宋体" w:eastAsia="宋体" w:cs="宋体"/>
          <w:spacing w:val="39"/>
          <w:sz w:val="24"/>
          <w:szCs w:val="24"/>
        </w:rPr>
        <w:t xml:space="preserve"> </w:t>
      </w:r>
      <w:r>
        <w:rPr>
          <w:rFonts w:ascii="宋体" w:hAnsi="宋体" w:eastAsia="宋体" w:cs="宋体"/>
          <w:spacing w:val="-12"/>
          <w:sz w:val="24"/>
          <w:szCs w:val="24"/>
        </w:rPr>
        <w:t>岩质</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较硬，岩体完整性一般。总体水文地质条件简单，水量较贫乏。</w:t>
      </w:r>
    </w:p>
    <w:p>
      <w:pPr>
        <w:spacing w:before="183" w:line="220" w:lineRule="auto"/>
        <w:ind w:left="34"/>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4.1.3 </w:t>
      </w:r>
      <w:r>
        <w:rPr>
          <w:rFonts w:ascii="宋体" w:hAnsi="宋体" w:eastAsia="宋体" w:cs="宋体"/>
          <w:spacing w:val="-1"/>
          <w:sz w:val="24"/>
          <w:szCs w:val="24"/>
          <w14:textOutline w14:w="4354" w14:cap="flat" w14:cmpd="sng">
            <w14:solidFill>
              <w14:srgbClr w14:val="000000"/>
            </w14:solidFill>
            <w14:prstDash w14:val="solid"/>
            <w14:miter w14:val="0"/>
          </w14:textOutline>
        </w:rPr>
        <w:t>气候气象</w:t>
      </w:r>
    </w:p>
    <w:p>
      <w:pPr>
        <w:spacing w:line="220" w:lineRule="auto"/>
        <w:rPr>
          <w:rFonts w:ascii="宋体" w:hAnsi="宋体" w:eastAsia="宋体" w:cs="宋体"/>
          <w:sz w:val="24"/>
          <w:szCs w:val="24"/>
        </w:rPr>
        <w:sectPr>
          <w:headerReference r:id="rId175" w:type="default"/>
          <w:footerReference r:id="rId176" w:type="default"/>
          <w:pgSz w:w="11907" w:h="16839"/>
          <w:pgMar w:top="1118" w:right="1731" w:bottom="1151" w:left="1771" w:header="879" w:footer="990" w:gutter="0"/>
          <w:cols w:space="720" w:num="1"/>
        </w:sectPr>
      </w:pPr>
    </w:p>
    <w:p>
      <w:pPr>
        <w:pStyle w:val="2"/>
        <w:spacing w:line="278" w:lineRule="auto"/>
      </w:pPr>
    </w:p>
    <w:p>
      <w:pPr>
        <w:spacing w:before="78" w:line="219" w:lineRule="auto"/>
        <w:ind w:left="520"/>
        <w:rPr>
          <w:rFonts w:ascii="宋体" w:hAnsi="宋体" w:eastAsia="宋体" w:cs="宋体"/>
          <w:sz w:val="24"/>
          <w:szCs w:val="24"/>
        </w:rPr>
      </w:pPr>
      <w:r>
        <w:rPr>
          <w:rFonts w:ascii="宋体" w:hAnsi="宋体" w:eastAsia="宋体" w:cs="宋体"/>
          <w:spacing w:val="-1"/>
          <w:sz w:val="24"/>
          <w:szCs w:val="24"/>
        </w:rPr>
        <w:t>工程沿线途径温州市文成县的西坑畲族乡和百丈漈镇。</w:t>
      </w:r>
    </w:p>
    <w:p>
      <w:pPr>
        <w:spacing w:before="182" w:line="359" w:lineRule="auto"/>
        <w:ind w:left="38" w:right="28" w:firstLine="481"/>
        <w:rPr>
          <w:rFonts w:ascii="宋体" w:hAnsi="宋体" w:eastAsia="宋体" w:cs="宋体"/>
          <w:sz w:val="24"/>
          <w:szCs w:val="24"/>
        </w:rPr>
      </w:pPr>
      <w:r>
        <w:rPr>
          <w:rFonts w:ascii="宋体" w:hAnsi="宋体" w:eastAsia="宋体" w:cs="宋体"/>
          <w:spacing w:val="-16"/>
          <w:sz w:val="24"/>
          <w:szCs w:val="24"/>
        </w:rPr>
        <w:t>文成县文成县属亚热带海洋季风气候区，</w:t>
      </w:r>
      <w:r>
        <w:rPr>
          <w:rFonts w:ascii="宋体" w:hAnsi="宋体" w:eastAsia="宋体" w:cs="宋体"/>
          <w:spacing w:val="37"/>
          <w:sz w:val="24"/>
          <w:szCs w:val="24"/>
        </w:rPr>
        <w:t xml:space="preserve"> </w:t>
      </w:r>
      <w:r>
        <w:rPr>
          <w:rFonts w:ascii="宋体" w:hAnsi="宋体" w:eastAsia="宋体" w:cs="宋体"/>
          <w:spacing w:val="-16"/>
          <w:sz w:val="24"/>
          <w:szCs w:val="24"/>
        </w:rPr>
        <w:t>常年</w:t>
      </w:r>
      <w:r>
        <w:rPr>
          <w:rFonts w:ascii="宋体" w:hAnsi="宋体" w:eastAsia="宋体" w:cs="宋体"/>
          <w:spacing w:val="-17"/>
          <w:sz w:val="24"/>
          <w:szCs w:val="24"/>
        </w:rPr>
        <w:t>温暖湿润，</w:t>
      </w:r>
      <w:r>
        <w:rPr>
          <w:rFonts w:ascii="宋体" w:hAnsi="宋体" w:eastAsia="宋体" w:cs="宋体"/>
          <w:spacing w:val="55"/>
          <w:sz w:val="24"/>
          <w:szCs w:val="24"/>
        </w:rPr>
        <w:t xml:space="preserve"> </w:t>
      </w:r>
      <w:r>
        <w:rPr>
          <w:rFonts w:ascii="宋体" w:hAnsi="宋体" w:eastAsia="宋体" w:cs="宋体"/>
          <w:spacing w:val="-17"/>
          <w:sz w:val="24"/>
          <w:szCs w:val="24"/>
        </w:rPr>
        <w:t>四季分明， 热量丰</w:t>
      </w:r>
      <w:r>
        <w:rPr>
          <w:rFonts w:ascii="宋体" w:hAnsi="宋体" w:eastAsia="宋体" w:cs="宋体"/>
          <w:sz w:val="24"/>
          <w:szCs w:val="24"/>
        </w:rPr>
        <w:t xml:space="preserve"> </w:t>
      </w:r>
      <w:r>
        <w:rPr>
          <w:rFonts w:ascii="宋体" w:hAnsi="宋体" w:eastAsia="宋体" w:cs="宋体"/>
          <w:spacing w:val="-12"/>
          <w:sz w:val="24"/>
          <w:szCs w:val="24"/>
        </w:rPr>
        <w:t>富，雨水充足。四季划分。累年年平均气温</w:t>
      </w:r>
      <w:r>
        <w:rPr>
          <w:rFonts w:ascii="宋体" w:hAnsi="宋体" w:eastAsia="宋体" w:cs="宋体"/>
          <w:spacing w:val="-40"/>
          <w:sz w:val="24"/>
          <w:szCs w:val="24"/>
        </w:rPr>
        <w:t xml:space="preserve"> </w:t>
      </w:r>
      <w:r>
        <w:rPr>
          <w:rFonts w:ascii="Times New Roman" w:hAnsi="Times New Roman" w:eastAsia="Times New Roman" w:cs="Times New Roman"/>
          <w:spacing w:val="-12"/>
          <w:sz w:val="24"/>
          <w:szCs w:val="24"/>
        </w:rPr>
        <w:t>14~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2"/>
          <w:sz w:val="24"/>
          <w:szCs w:val="24"/>
        </w:rPr>
        <w:t>18.5℃</w:t>
      </w:r>
      <w:r>
        <w:rPr>
          <w:rFonts w:ascii="宋体" w:hAnsi="宋体" w:eastAsia="宋体" w:cs="宋体"/>
          <w:spacing w:val="-12"/>
          <w:sz w:val="24"/>
          <w:szCs w:val="24"/>
        </w:rPr>
        <w:t>,累年年极端最低气温</w:t>
      </w:r>
      <w:r>
        <w:rPr>
          <w:rFonts w:ascii="Times New Roman" w:hAnsi="Times New Roman" w:eastAsia="Times New Roman" w:cs="Times New Roman"/>
          <w:spacing w:val="-12"/>
          <w:sz w:val="24"/>
          <w:szCs w:val="24"/>
        </w:rPr>
        <w:t>-4.7℃</w:t>
      </w:r>
      <w:r>
        <w:rPr>
          <w:rFonts w:ascii="Times New Roman" w:hAnsi="Times New Roman" w:eastAsia="Times New Roman" w:cs="Times New Roman"/>
          <w:spacing w:val="-32"/>
          <w:sz w:val="24"/>
          <w:szCs w:val="24"/>
        </w:rPr>
        <w:t xml:space="preserve"> </w:t>
      </w:r>
      <w:r>
        <w:rPr>
          <w:rFonts w:ascii="宋体" w:hAnsi="宋体" w:eastAsia="宋体" w:cs="宋体"/>
          <w:spacing w:val="-12"/>
          <w:sz w:val="24"/>
          <w:szCs w:val="24"/>
        </w:rPr>
        <w:t>,</w:t>
      </w:r>
      <w:r>
        <w:rPr>
          <w:rFonts w:ascii="宋体" w:hAnsi="宋体" w:eastAsia="宋体" w:cs="宋体"/>
          <w:sz w:val="24"/>
          <w:szCs w:val="24"/>
        </w:rPr>
        <w:t xml:space="preserve"> </w:t>
      </w:r>
      <w:r>
        <w:rPr>
          <w:rFonts w:ascii="宋体" w:hAnsi="宋体" w:eastAsia="宋体" w:cs="宋体"/>
          <w:spacing w:val="-3"/>
          <w:sz w:val="24"/>
          <w:szCs w:val="24"/>
        </w:rPr>
        <w:t>全年平均气温在地域上的分布总体上呈由西部、北部乡镇低和中部、南部、东部</w:t>
      </w:r>
      <w:r>
        <w:rPr>
          <w:rFonts w:ascii="宋体" w:hAnsi="宋体" w:eastAsia="宋体" w:cs="宋体"/>
          <w:spacing w:val="1"/>
          <w:sz w:val="24"/>
          <w:szCs w:val="24"/>
        </w:rPr>
        <w:t xml:space="preserve"> </w:t>
      </w:r>
      <w:r>
        <w:rPr>
          <w:rFonts w:ascii="宋体" w:hAnsi="宋体" w:eastAsia="宋体" w:cs="宋体"/>
          <w:sz w:val="24"/>
          <w:szCs w:val="24"/>
        </w:rPr>
        <w:t xml:space="preserve">高的分布趋势；累年年平均风速 </w:t>
      </w:r>
      <w:r>
        <w:rPr>
          <w:rFonts w:ascii="Times New Roman" w:hAnsi="Times New Roman" w:eastAsia="Times New Roman" w:cs="Times New Roman"/>
          <w:sz w:val="24"/>
          <w:szCs w:val="24"/>
        </w:rPr>
        <w:t>2.0~</w:t>
      </w:r>
      <w:r>
        <w:rPr>
          <w:rFonts w:ascii="Times New Roman" w:hAnsi="Times New Roman" w:eastAsia="Times New Roman" w:cs="Times New Roman"/>
          <w:spacing w:val="-1"/>
          <w:sz w:val="24"/>
          <w:szCs w:val="24"/>
        </w:rPr>
        <w:t>3.0m/s</w:t>
      </w:r>
      <w:r>
        <w:rPr>
          <w:rFonts w:ascii="宋体" w:hAnsi="宋体" w:eastAsia="宋体" w:cs="宋体"/>
          <w:spacing w:val="-1"/>
          <w:sz w:val="24"/>
          <w:szCs w:val="24"/>
        </w:rPr>
        <w:t xml:space="preserve">，累年最大风速 </w:t>
      </w:r>
      <w:r>
        <w:rPr>
          <w:rFonts w:ascii="Times New Roman" w:hAnsi="Times New Roman" w:eastAsia="Times New Roman" w:cs="Times New Roman"/>
          <w:spacing w:val="-1"/>
          <w:sz w:val="24"/>
          <w:szCs w:val="24"/>
        </w:rPr>
        <w:t>28.9m/s</w:t>
      </w:r>
      <w:r>
        <w:rPr>
          <w:rFonts w:ascii="宋体" w:hAnsi="宋体" w:eastAsia="宋体" w:cs="宋体"/>
          <w:spacing w:val="-1"/>
          <w:sz w:val="24"/>
          <w:szCs w:val="24"/>
        </w:rPr>
        <w:t>；累年年平</w:t>
      </w:r>
      <w:r>
        <w:rPr>
          <w:rFonts w:ascii="宋体" w:hAnsi="宋体" w:eastAsia="宋体" w:cs="宋体"/>
          <w:sz w:val="24"/>
          <w:szCs w:val="24"/>
        </w:rPr>
        <w:t xml:space="preserve"> </w:t>
      </w:r>
      <w:r>
        <w:rPr>
          <w:rFonts w:ascii="宋体" w:hAnsi="宋体" w:eastAsia="宋体" w:cs="宋体"/>
          <w:spacing w:val="-3"/>
          <w:sz w:val="24"/>
          <w:szCs w:val="24"/>
        </w:rPr>
        <w:t>均相对湿度</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79%</w:t>
      </w:r>
      <w:r>
        <w:rPr>
          <w:rFonts w:ascii="宋体" w:hAnsi="宋体" w:eastAsia="宋体" w:cs="宋体"/>
          <w:spacing w:val="-3"/>
          <w:sz w:val="24"/>
          <w:szCs w:val="24"/>
        </w:rPr>
        <w:t>，累年年降水量</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1885mm</w:t>
      </w:r>
      <w:r>
        <w:rPr>
          <w:rFonts w:ascii="宋体" w:hAnsi="宋体" w:eastAsia="宋体" w:cs="宋体"/>
          <w:spacing w:val="-3"/>
          <w:sz w:val="24"/>
          <w:szCs w:val="24"/>
        </w:rPr>
        <w:t>，全县总降水量在地域上大致呈西北乡</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镇多东南乡镇少的分布趋势；无霜期</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220~280d</w:t>
      </w:r>
      <w:r>
        <w:rPr>
          <w:rFonts w:ascii="宋体" w:hAnsi="宋体" w:eastAsia="宋体" w:cs="宋体"/>
          <w:spacing w:val="-2"/>
          <w:sz w:val="24"/>
          <w:szCs w:val="24"/>
        </w:rPr>
        <w:t xml:space="preserve">，年日照 </w:t>
      </w:r>
      <w:r>
        <w:rPr>
          <w:rFonts w:ascii="Times New Roman" w:hAnsi="Times New Roman" w:eastAsia="Times New Roman" w:cs="Times New Roman"/>
          <w:spacing w:val="-2"/>
          <w:sz w:val="24"/>
          <w:szCs w:val="24"/>
        </w:rPr>
        <w:t>1714.2h</w:t>
      </w:r>
      <w:r>
        <w:rPr>
          <w:rFonts w:ascii="宋体" w:hAnsi="宋体" w:eastAsia="宋体" w:cs="宋体"/>
          <w:spacing w:val="-2"/>
          <w:sz w:val="24"/>
          <w:szCs w:val="24"/>
        </w:rPr>
        <w:t>。</w:t>
      </w:r>
    </w:p>
    <w:p>
      <w:pPr>
        <w:spacing w:before="183" w:line="220" w:lineRule="auto"/>
        <w:ind w:left="34"/>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4.1.4  </w:t>
      </w:r>
      <w:r>
        <w:rPr>
          <w:rFonts w:ascii="宋体" w:hAnsi="宋体" w:eastAsia="宋体" w:cs="宋体"/>
          <w:spacing w:val="-1"/>
          <w:sz w:val="24"/>
          <w:szCs w:val="24"/>
          <w14:textOutline w14:w="4354" w14:cap="flat" w14:cmpd="sng">
            <w14:solidFill>
              <w14:srgbClr w14:val="000000"/>
            </w14:solidFill>
            <w14:prstDash w14:val="solid"/>
            <w14:miter w14:val="0"/>
          </w14:textOutline>
        </w:rPr>
        <w:t>河流水系</w:t>
      </w:r>
    </w:p>
    <w:p>
      <w:pPr>
        <w:spacing w:before="180" w:line="359" w:lineRule="auto"/>
        <w:ind w:left="39" w:right="28" w:firstLine="480"/>
        <w:jc w:val="both"/>
        <w:rPr>
          <w:rFonts w:ascii="宋体" w:hAnsi="宋体" w:eastAsia="宋体" w:cs="宋体"/>
          <w:sz w:val="24"/>
          <w:szCs w:val="24"/>
        </w:rPr>
      </w:pPr>
      <w:r>
        <w:rPr>
          <w:rFonts w:ascii="宋体" w:hAnsi="宋体" w:eastAsia="宋体" w:cs="宋体"/>
          <w:spacing w:val="-11"/>
          <w:sz w:val="24"/>
          <w:szCs w:val="24"/>
        </w:rPr>
        <w:t>文成县河流绝大部分属飞云江水系，</w:t>
      </w:r>
      <w:r>
        <w:rPr>
          <w:rFonts w:ascii="宋体" w:hAnsi="宋体" w:eastAsia="宋体" w:cs="宋体"/>
          <w:spacing w:val="41"/>
          <w:sz w:val="24"/>
          <w:szCs w:val="24"/>
        </w:rPr>
        <w:t xml:space="preserve"> </w:t>
      </w:r>
      <w:r>
        <w:rPr>
          <w:rFonts w:ascii="宋体" w:hAnsi="宋体" w:eastAsia="宋体" w:cs="宋体"/>
          <w:spacing w:val="-11"/>
          <w:sz w:val="24"/>
          <w:szCs w:val="24"/>
        </w:rPr>
        <w:t>主要河流是飞云江（中上游</w:t>
      </w:r>
      <w:r>
        <w:rPr>
          <w:rFonts w:ascii="宋体" w:hAnsi="宋体" w:eastAsia="宋体" w:cs="宋体"/>
          <w:spacing w:val="-19"/>
          <w:sz w:val="24"/>
          <w:szCs w:val="24"/>
        </w:rPr>
        <w:t>）</w:t>
      </w:r>
      <w:r>
        <w:rPr>
          <w:rFonts w:ascii="宋体" w:hAnsi="宋体" w:eastAsia="宋体" w:cs="宋体"/>
          <w:spacing w:val="-8"/>
          <w:sz w:val="24"/>
          <w:szCs w:val="24"/>
        </w:rPr>
        <w:t xml:space="preserve"> </w:t>
      </w:r>
      <w:r>
        <w:rPr>
          <w:rFonts w:ascii="宋体" w:hAnsi="宋体" w:eastAsia="宋体" w:cs="宋体"/>
          <w:spacing w:val="-19"/>
          <w:sz w:val="24"/>
          <w:szCs w:val="24"/>
        </w:rPr>
        <w:t>，</w:t>
      </w:r>
      <w:r>
        <w:rPr>
          <w:rFonts w:ascii="宋体" w:hAnsi="宋体" w:eastAsia="宋体" w:cs="宋体"/>
          <w:spacing w:val="-11"/>
          <w:sz w:val="24"/>
          <w:szCs w:val="24"/>
        </w:rPr>
        <w:t>横贯县</w:t>
      </w:r>
      <w:r>
        <w:rPr>
          <w:rFonts w:ascii="宋体" w:hAnsi="宋体" w:eastAsia="宋体" w:cs="宋体"/>
          <w:sz w:val="24"/>
          <w:szCs w:val="24"/>
        </w:rPr>
        <w:t xml:space="preserve"> </w:t>
      </w:r>
      <w:r>
        <w:rPr>
          <w:rFonts w:ascii="宋体" w:hAnsi="宋体" w:eastAsia="宋体" w:cs="宋体"/>
          <w:spacing w:val="-1"/>
          <w:sz w:val="24"/>
          <w:szCs w:val="24"/>
        </w:rPr>
        <w:t xml:space="preserve">境南部，流程 </w:t>
      </w:r>
      <w:r>
        <w:rPr>
          <w:rFonts w:ascii="Times New Roman" w:hAnsi="Times New Roman" w:eastAsia="Times New Roman" w:cs="Times New Roman"/>
          <w:spacing w:val="-1"/>
          <w:sz w:val="24"/>
          <w:szCs w:val="24"/>
        </w:rPr>
        <w:t>43.5</w:t>
      </w:r>
      <w:r>
        <w:rPr>
          <w:rFonts w:ascii="Times New Roman" w:hAnsi="Times New Roman" w:eastAsia="Times New Roman" w:cs="Times New Roman"/>
          <w:spacing w:val="53"/>
          <w:sz w:val="24"/>
          <w:szCs w:val="24"/>
        </w:rPr>
        <w:t xml:space="preserve"> </w:t>
      </w:r>
      <w:r>
        <w:rPr>
          <w:rFonts w:ascii="宋体" w:hAnsi="宋体" w:eastAsia="宋体" w:cs="宋体"/>
          <w:spacing w:val="-1"/>
          <w:sz w:val="24"/>
          <w:szCs w:val="24"/>
        </w:rPr>
        <w:t>千米，还有泗溪、峃作口溪、玉泉溪、东溪、凤溪，共六条</w:t>
      </w:r>
    </w:p>
    <w:p>
      <w:pPr>
        <w:spacing w:line="219" w:lineRule="auto"/>
        <w:ind w:left="39"/>
        <w:rPr>
          <w:rFonts w:ascii="宋体" w:hAnsi="宋体" w:eastAsia="宋体" w:cs="宋体"/>
          <w:sz w:val="24"/>
          <w:szCs w:val="24"/>
        </w:rPr>
      </w:pPr>
      <w:r>
        <w:rPr>
          <w:rFonts w:ascii="宋体" w:hAnsi="宋体" w:eastAsia="宋体" w:cs="宋体"/>
          <w:spacing w:val="-6"/>
          <w:sz w:val="24"/>
          <w:szCs w:val="24"/>
        </w:rPr>
        <w:t>县内主要河流。</w:t>
      </w:r>
    </w:p>
    <w:p>
      <w:pPr>
        <w:spacing w:before="182" w:line="359" w:lineRule="auto"/>
        <w:ind w:left="38" w:right="28" w:firstLine="481"/>
        <w:jc w:val="both"/>
        <w:rPr>
          <w:rFonts w:ascii="Times New Roman" w:hAnsi="Times New Roman" w:eastAsia="Times New Roman" w:cs="Times New Roman"/>
          <w:sz w:val="24"/>
          <w:szCs w:val="24"/>
        </w:rPr>
      </w:pPr>
      <w:r>
        <w:rPr>
          <w:rFonts w:ascii="宋体" w:hAnsi="宋体" w:eastAsia="宋体" w:cs="宋体"/>
          <w:spacing w:val="-3"/>
          <w:sz w:val="24"/>
          <w:szCs w:val="24"/>
        </w:rPr>
        <w:t>文成县多年平均水资源总量为</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16.79</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 xml:space="preserve">亿立方米，其中地表水资源量 </w:t>
      </w:r>
      <w:r>
        <w:rPr>
          <w:rFonts w:ascii="Times New Roman" w:hAnsi="Times New Roman" w:eastAsia="Times New Roman" w:cs="Times New Roman"/>
          <w:spacing w:val="-3"/>
          <w:sz w:val="24"/>
          <w:szCs w:val="24"/>
        </w:rPr>
        <w:t>15.2</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7"/>
          <w:w w:val="101"/>
          <w:sz w:val="24"/>
          <w:szCs w:val="24"/>
        </w:rPr>
        <w:t xml:space="preserve"> </w:t>
      </w:r>
      <w:r>
        <w:rPr>
          <w:rFonts w:ascii="宋体" w:hAnsi="宋体" w:eastAsia="宋体" w:cs="宋体"/>
          <w:spacing w:val="-4"/>
          <w:sz w:val="24"/>
          <w:szCs w:val="24"/>
        </w:rPr>
        <w:t>亿</w:t>
      </w:r>
      <w:r>
        <w:rPr>
          <w:rFonts w:ascii="宋体" w:hAnsi="宋体" w:eastAsia="宋体" w:cs="宋体"/>
          <w:sz w:val="24"/>
          <w:szCs w:val="24"/>
        </w:rPr>
        <w:t xml:space="preserve"> </w:t>
      </w:r>
      <w:r>
        <w:rPr>
          <w:rFonts w:ascii="宋体" w:hAnsi="宋体" w:eastAsia="宋体" w:cs="宋体"/>
          <w:spacing w:val="-8"/>
          <w:sz w:val="24"/>
          <w:szCs w:val="24"/>
        </w:rPr>
        <w:t>立方米（飞云江干流</w:t>
      </w:r>
      <w:r>
        <w:rPr>
          <w:rFonts w:ascii="宋体" w:hAnsi="宋体" w:eastAsia="宋体" w:cs="宋体"/>
          <w:spacing w:val="-39"/>
          <w:sz w:val="24"/>
          <w:szCs w:val="24"/>
        </w:rPr>
        <w:t xml:space="preserve"> </w:t>
      </w:r>
      <w:r>
        <w:rPr>
          <w:rFonts w:ascii="Times New Roman" w:hAnsi="Times New Roman" w:eastAsia="Times New Roman" w:cs="Times New Roman"/>
          <w:spacing w:val="-8"/>
          <w:sz w:val="24"/>
          <w:szCs w:val="24"/>
        </w:rPr>
        <w:t xml:space="preserve">4.29 </w:t>
      </w:r>
      <w:r>
        <w:rPr>
          <w:rFonts w:ascii="宋体" w:hAnsi="宋体" w:eastAsia="宋体" w:cs="宋体"/>
          <w:spacing w:val="-8"/>
          <w:sz w:val="24"/>
          <w:szCs w:val="24"/>
        </w:rPr>
        <w:t>亿立方米， 峃作口溪</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4.19 </w:t>
      </w:r>
      <w:r>
        <w:rPr>
          <w:rFonts w:ascii="宋体" w:hAnsi="宋体" w:eastAsia="宋体" w:cs="宋体"/>
          <w:spacing w:val="-8"/>
          <w:sz w:val="24"/>
          <w:szCs w:val="24"/>
        </w:rPr>
        <w:t>亿立方米，</w:t>
      </w:r>
      <w:r>
        <w:rPr>
          <w:rFonts w:ascii="宋体" w:hAnsi="宋体" w:eastAsia="宋体" w:cs="宋体"/>
          <w:spacing w:val="17"/>
          <w:sz w:val="24"/>
          <w:szCs w:val="24"/>
        </w:rPr>
        <w:t xml:space="preserve"> </w:t>
      </w:r>
      <w:r>
        <w:rPr>
          <w:rFonts w:ascii="宋体" w:hAnsi="宋体" w:eastAsia="宋体" w:cs="宋体"/>
          <w:spacing w:val="-8"/>
          <w:sz w:val="24"/>
          <w:szCs w:val="24"/>
        </w:rPr>
        <w:t>泗溪</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2.95</w:t>
      </w:r>
      <w:r>
        <w:rPr>
          <w:rFonts w:ascii="Times New Roman" w:hAnsi="Times New Roman" w:eastAsia="Times New Roman" w:cs="Times New Roman"/>
          <w:spacing w:val="11"/>
          <w:sz w:val="24"/>
          <w:szCs w:val="24"/>
        </w:rPr>
        <w:t xml:space="preserve"> </w:t>
      </w:r>
      <w:r>
        <w:rPr>
          <w:rFonts w:ascii="宋体" w:hAnsi="宋体" w:eastAsia="宋体" w:cs="宋体"/>
          <w:spacing w:val="-8"/>
          <w:sz w:val="24"/>
          <w:szCs w:val="24"/>
        </w:rPr>
        <w:t>亿立方</w:t>
      </w:r>
      <w:r>
        <w:rPr>
          <w:rFonts w:ascii="宋体" w:hAnsi="宋体" w:eastAsia="宋体" w:cs="宋体"/>
          <w:sz w:val="24"/>
          <w:szCs w:val="24"/>
        </w:rPr>
        <w:t xml:space="preserve"> </w:t>
      </w:r>
      <w:r>
        <w:rPr>
          <w:rFonts w:ascii="宋体" w:hAnsi="宋体" w:eastAsia="宋体" w:cs="宋体"/>
          <w:spacing w:val="-9"/>
          <w:sz w:val="24"/>
          <w:szCs w:val="24"/>
        </w:rPr>
        <w:t>米，玉泉溪</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 xml:space="preserve">3.22 </w:t>
      </w:r>
      <w:r>
        <w:rPr>
          <w:rFonts w:ascii="宋体" w:hAnsi="宋体" w:eastAsia="宋体" w:cs="宋体"/>
          <w:spacing w:val="-9"/>
          <w:sz w:val="24"/>
          <w:szCs w:val="24"/>
        </w:rPr>
        <w:t>亿立方米， 鳌江和瓯江水</w:t>
      </w:r>
      <w:r>
        <w:rPr>
          <w:rFonts w:ascii="宋体" w:hAnsi="宋体" w:eastAsia="宋体" w:cs="宋体"/>
          <w:spacing w:val="-10"/>
          <w:sz w:val="24"/>
          <w:szCs w:val="24"/>
        </w:rPr>
        <w:t>系</w:t>
      </w:r>
      <w:r>
        <w:rPr>
          <w:rFonts w:ascii="宋体" w:hAnsi="宋体" w:eastAsia="宋体" w:cs="宋体"/>
          <w:spacing w:val="-54"/>
          <w:sz w:val="24"/>
          <w:szCs w:val="24"/>
        </w:rPr>
        <w:t xml:space="preserve"> </w:t>
      </w:r>
      <w:r>
        <w:rPr>
          <w:rFonts w:ascii="Times New Roman" w:hAnsi="Times New Roman" w:eastAsia="Times New Roman" w:cs="Times New Roman"/>
          <w:spacing w:val="-10"/>
          <w:sz w:val="24"/>
          <w:szCs w:val="24"/>
        </w:rPr>
        <w:t xml:space="preserve">2.14 </w:t>
      </w:r>
      <w:r>
        <w:rPr>
          <w:rFonts w:ascii="宋体" w:hAnsi="宋体" w:eastAsia="宋体" w:cs="宋体"/>
          <w:spacing w:val="-10"/>
          <w:sz w:val="24"/>
          <w:szCs w:val="24"/>
        </w:rPr>
        <w:t>亿立方米</w:t>
      </w:r>
      <w:r>
        <w:rPr>
          <w:rFonts w:ascii="宋体" w:hAnsi="宋体" w:eastAsia="宋体" w:cs="宋体"/>
          <w:spacing w:val="-36"/>
          <w:sz w:val="24"/>
          <w:szCs w:val="24"/>
        </w:rPr>
        <w:t>）</w:t>
      </w:r>
      <w:r>
        <w:rPr>
          <w:rFonts w:ascii="宋体" w:hAnsi="宋体" w:eastAsia="宋体" w:cs="宋体"/>
          <w:spacing w:val="-37"/>
          <w:sz w:val="24"/>
          <w:szCs w:val="24"/>
        </w:rPr>
        <w:t xml:space="preserve"> </w:t>
      </w:r>
      <w:r>
        <w:rPr>
          <w:rFonts w:ascii="宋体" w:hAnsi="宋体" w:eastAsia="宋体" w:cs="宋体"/>
          <w:spacing w:val="-36"/>
          <w:sz w:val="24"/>
          <w:szCs w:val="24"/>
        </w:rPr>
        <w:t>，</w:t>
      </w:r>
      <w:r>
        <w:rPr>
          <w:rFonts w:ascii="宋体" w:hAnsi="宋体" w:eastAsia="宋体" w:cs="宋体"/>
          <w:spacing w:val="-10"/>
          <w:sz w:val="24"/>
          <w:szCs w:val="24"/>
        </w:rPr>
        <w:t>地下水资源量</w:t>
      </w:r>
      <w:r>
        <w:rPr>
          <w:rFonts w:ascii="宋体" w:hAnsi="宋体" w:eastAsia="宋体" w:cs="宋体"/>
          <w:spacing w:val="-31"/>
          <w:sz w:val="24"/>
          <w:szCs w:val="24"/>
        </w:rPr>
        <w:t xml:space="preserve"> </w:t>
      </w:r>
      <w:r>
        <w:rPr>
          <w:rFonts w:ascii="Times New Roman" w:hAnsi="Times New Roman" w:eastAsia="Times New Roman" w:cs="Times New Roman"/>
          <w:spacing w:val="-10"/>
          <w:sz w:val="24"/>
          <w:szCs w:val="24"/>
        </w:rPr>
        <w:t>1.55</w:t>
      </w:r>
    </w:p>
    <w:p>
      <w:pPr>
        <w:spacing w:before="1" w:line="219" w:lineRule="auto"/>
        <w:ind w:left="39"/>
        <w:rPr>
          <w:rFonts w:ascii="宋体" w:hAnsi="宋体" w:eastAsia="宋体" w:cs="宋体"/>
          <w:sz w:val="24"/>
          <w:szCs w:val="24"/>
        </w:rPr>
      </w:pPr>
      <w:r>
        <w:rPr>
          <w:rFonts w:ascii="宋体" w:hAnsi="宋体" w:eastAsia="宋体" w:cs="宋体"/>
          <w:spacing w:val="-8"/>
          <w:sz w:val="24"/>
          <w:szCs w:val="24"/>
        </w:rPr>
        <w:t>亿立方米。</w:t>
      </w:r>
    </w:p>
    <w:p>
      <w:pPr>
        <w:spacing w:before="184" w:line="359" w:lineRule="auto"/>
        <w:ind w:left="37" w:right="30" w:firstLine="479"/>
        <w:jc w:val="both"/>
        <w:rPr>
          <w:rFonts w:ascii="宋体" w:hAnsi="宋体" w:eastAsia="宋体" w:cs="宋体"/>
          <w:sz w:val="24"/>
          <w:szCs w:val="24"/>
        </w:rPr>
      </w:pPr>
      <w:r>
        <w:rPr>
          <w:rFonts w:ascii="宋体" w:hAnsi="宋体" w:eastAsia="宋体" w:cs="宋体"/>
          <w:spacing w:val="2"/>
          <w:sz w:val="24"/>
          <w:szCs w:val="24"/>
        </w:rPr>
        <w:t>珊溪</w:t>
      </w:r>
      <w:r>
        <w:rPr>
          <w:rFonts w:ascii="Times New Roman" w:hAnsi="Times New Roman" w:eastAsia="Times New Roman" w:cs="Times New Roman"/>
          <w:spacing w:val="2"/>
          <w:sz w:val="24"/>
          <w:szCs w:val="24"/>
        </w:rPr>
        <w:t>-</w:t>
      </w:r>
      <w:r>
        <w:rPr>
          <w:rFonts w:ascii="宋体" w:hAnsi="宋体" w:eastAsia="宋体" w:cs="宋体"/>
          <w:spacing w:val="2"/>
          <w:sz w:val="24"/>
          <w:szCs w:val="24"/>
        </w:rPr>
        <w:t>赵山渡库区位于浙江省南部，北及西北</w:t>
      </w:r>
      <w:r>
        <w:rPr>
          <w:rFonts w:ascii="宋体" w:hAnsi="宋体" w:eastAsia="宋体" w:cs="宋体"/>
          <w:spacing w:val="1"/>
          <w:sz w:val="24"/>
          <w:szCs w:val="24"/>
        </w:rPr>
        <w:t>面以洞宫山脉之支脉与瓯江小</w:t>
      </w:r>
      <w:r>
        <w:rPr>
          <w:rFonts w:ascii="宋体" w:hAnsi="宋体" w:eastAsia="宋体" w:cs="宋体"/>
          <w:sz w:val="24"/>
          <w:szCs w:val="24"/>
        </w:rPr>
        <w:t xml:space="preserve"> </w:t>
      </w:r>
      <w:r>
        <w:rPr>
          <w:rFonts w:ascii="宋体" w:hAnsi="宋体" w:eastAsia="宋体" w:cs="宋体"/>
          <w:spacing w:val="-12"/>
          <w:sz w:val="24"/>
          <w:szCs w:val="24"/>
        </w:rPr>
        <w:t>溪流域为界，</w:t>
      </w:r>
      <w:r>
        <w:rPr>
          <w:rFonts w:ascii="宋体" w:hAnsi="宋体" w:eastAsia="宋体" w:cs="宋体"/>
          <w:spacing w:val="42"/>
          <w:sz w:val="24"/>
          <w:szCs w:val="24"/>
        </w:rPr>
        <w:t xml:space="preserve"> </w:t>
      </w:r>
      <w:r>
        <w:rPr>
          <w:rFonts w:ascii="宋体" w:hAnsi="宋体" w:eastAsia="宋体" w:cs="宋体"/>
          <w:spacing w:val="-12"/>
          <w:sz w:val="24"/>
          <w:szCs w:val="24"/>
        </w:rPr>
        <w:t>西面以仙霞岭与福建交溪交界，</w:t>
      </w:r>
      <w:r>
        <w:rPr>
          <w:rFonts w:ascii="宋体" w:hAnsi="宋体" w:eastAsia="宋体" w:cs="宋体"/>
          <w:spacing w:val="34"/>
          <w:sz w:val="24"/>
          <w:szCs w:val="24"/>
        </w:rPr>
        <w:t xml:space="preserve"> </w:t>
      </w:r>
      <w:r>
        <w:rPr>
          <w:rFonts w:ascii="宋体" w:hAnsi="宋体" w:eastAsia="宋体" w:cs="宋体"/>
          <w:spacing w:val="-12"/>
          <w:sz w:val="24"/>
          <w:szCs w:val="24"/>
        </w:rPr>
        <w:t>南面以雁荡山与敖江分界。主流发</w:t>
      </w:r>
      <w:r>
        <w:rPr>
          <w:rFonts w:ascii="宋体" w:hAnsi="宋体" w:eastAsia="宋体" w:cs="宋体"/>
          <w:sz w:val="24"/>
          <w:szCs w:val="24"/>
        </w:rPr>
        <w:t xml:space="preserve"> </w:t>
      </w:r>
      <w:r>
        <w:rPr>
          <w:rFonts w:ascii="宋体" w:hAnsi="宋体" w:eastAsia="宋体" w:cs="宋体"/>
          <w:spacing w:val="-6"/>
          <w:sz w:val="24"/>
          <w:szCs w:val="24"/>
        </w:rPr>
        <w:t>源于泰顺县与景宁县交界处的白云尖， 包括文成县、泰顺</w:t>
      </w:r>
      <w:r>
        <w:rPr>
          <w:rFonts w:ascii="宋体" w:hAnsi="宋体" w:eastAsia="宋体" w:cs="宋体"/>
          <w:spacing w:val="-7"/>
          <w:sz w:val="24"/>
          <w:szCs w:val="24"/>
        </w:rPr>
        <w:t>县的大部分和瑞安市的</w:t>
      </w:r>
      <w:r>
        <w:rPr>
          <w:rFonts w:ascii="宋体" w:hAnsi="宋体" w:eastAsia="宋体" w:cs="宋体"/>
          <w:sz w:val="24"/>
          <w:szCs w:val="24"/>
        </w:rPr>
        <w:t xml:space="preserve"> </w:t>
      </w:r>
      <w:r>
        <w:rPr>
          <w:rFonts w:ascii="宋体" w:hAnsi="宋体" w:eastAsia="宋体" w:cs="宋体"/>
          <w:spacing w:val="1"/>
          <w:sz w:val="24"/>
          <w:szCs w:val="24"/>
        </w:rPr>
        <w:t>一部分。珊溪</w:t>
      </w:r>
      <w:r>
        <w:rPr>
          <w:rFonts w:ascii="Times New Roman" w:hAnsi="Times New Roman" w:eastAsia="Times New Roman" w:cs="Times New Roman"/>
          <w:spacing w:val="1"/>
          <w:sz w:val="24"/>
          <w:szCs w:val="24"/>
        </w:rPr>
        <w:t>-</w:t>
      </w:r>
      <w:r>
        <w:rPr>
          <w:rFonts w:ascii="宋体" w:hAnsi="宋体" w:eastAsia="宋体" w:cs="宋体"/>
          <w:spacing w:val="1"/>
          <w:sz w:val="24"/>
          <w:szCs w:val="24"/>
        </w:rPr>
        <w:t>赵山渡水库饮用水水源地主要由珊溪水库和赵山渡引水工程（即</w:t>
      </w:r>
      <w:r>
        <w:rPr>
          <w:rFonts w:ascii="宋体" w:hAnsi="宋体" w:eastAsia="宋体" w:cs="宋体"/>
          <w:spacing w:val="16"/>
          <w:sz w:val="24"/>
          <w:szCs w:val="24"/>
        </w:rPr>
        <w:t xml:space="preserve"> </w:t>
      </w:r>
      <w:r>
        <w:rPr>
          <w:rFonts w:ascii="宋体" w:hAnsi="宋体" w:eastAsia="宋体" w:cs="宋体"/>
          <w:spacing w:val="-20"/>
          <w:sz w:val="24"/>
          <w:szCs w:val="24"/>
        </w:rPr>
        <w:t>赵山渡水库） 两部分组成，</w:t>
      </w:r>
      <w:r>
        <w:rPr>
          <w:rFonts w:ascii="宋体" w:hAnsi="宋体" w:eastAsia="宋体" w:cs="宋体"/>
          <w:spacing w:val="66"/>
          <w:sz w:val="24"/>
          <w:szCs w:val="24"/>
        </w:rPr>
        <w:t xml:space="preserve"> </w:t>
      </w:r>
      <w:r>
        <w:rPr>
          <w:rFonts w:ascii="宋体" w:hAnsi="宋体" w:eastAsia="宋体" w:cs="宋体"/>
          <w:spacing w:val="-20"/>
          <w:sz w:val="24"/>
          <w:szCs w:val="24"/>
        </w:rPr>
        <w:t>以城市供水和灌</w:t>
      </w:r>
      <w:r>
        <w:rPr>
          <w:rFonts w:ascii="宋体" w:hAnsi="宋体" w:eastAsia="宋体" w:cs="宋体"/>
          <w:spacing w:val="-21"/>
          <w:sz w:val="24"/>
          <w:szCs w:val="24"/>
        </w:rPr>
        <w:t>溉为主，</w:t>
      </w:r>
      <w:r>
        <w:rPr>
          <w:rFonts w:ascii="宋体" w:hAnsi="宋体" w:eastAsia="宋体" w:cs="宋体"/>
          <w:spacing w:val="42"/>
          <w:sz w:val="24"/>
          <w:szCs w:val="24"/>
        </w:rPr>
        <w:t xml:space="preserve"> </w:t>
      </w:r>
      <w:r>
        <w:rPr>
          <w:rFonts w:ascii="宋体" w:hAnsi="宋体" w:eastAsia="宋体" w:cs="宋体"/>
          <w:spacing w:val="-21"/>
          <w:sz w:val="24"/>
          <w:szCs w:val="24"/>
        </w:rPr>
        <w:t>兼有防洪和发电等功能，</w:t>
      </w:r>
      <w:r>
        <w:rPr>
          <w:rFonts w:ascii="宋体" w:hAnsi="宋体" w:eastAsia="宋体" w:cs="宋体"/>
          <w:spacing w:val="42"/>
          <w:sz w:val="24"/>
          <w:szCs w:val="24"/>
        </w:rPr>
        <w:t xml:space="preserve"> </w:t>
      </w:r>
      <w:r>
        <w:rPr>
          <w:rFonts w:ascii="宋体" w:hAnsi="宋体" w:eastAsia="宋体" w:cs="宋体"/>
          <w:spacing w:val="-21"/>
          <w:sz w:val="24"/>
          <w:szCs w:val="24"/>
        </w:rPr>
        <w:t>为</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温州地区主要水源之一。</w:t>
      </w:r>
    </w:p>
    <w:p>
      <w:pPr>
        <w:spacing w:before="180" w:line="360" w:lineRule="auto"/>
        <w:ind w:left="37" w:right="3" w:firstLine="479"/>
        <w:jc w:val="both"/>
        <w:rPr>
          <w:rFonts w:ascii="Times New Roman" w:hAnsi="Times New Roman" w:eastAsia="Times New Roman" w:cs="Times New Roman"/>
          <w:sz w:val="24"/>
          <w:szCs w:val="24"/>
        </w:rPr>
      </w:pPr>
      <w:r>
        <w:rPr>
          <w:rFonts w:ascii="宋体" w:hAnsi="宋体" w:eastAsia="宋体" w:cs="宋体"/>
          <w:spacing w:val="-8"/>
          <w:sz w:val="24"/>
          <w:szCs w:val="24"/>
        </w:rPr>
        <w:t>珊溪水库正常蓄水位</w:t>
      </w:r>
      <w:r>
        <w:rPr>
          <w:rFonts w:ascii="宋体" w:hAnsi="宋体" w:eastAsia="宋体" w:cs="宋体"/>
          <w:spacing w:val="-27"/>
          <w:sz w:val="24"/>
          <w:szCs w:val="24"/>
        </w:rPr>
        <w:t xml:space="preserve"> </w:t>
      </w:r>
      <w:r>
        <w:rPr>
          <w:rFonts w:ascii="Times New Roman" w:hAnsi="Times New Roman" w:eastAsia="Times New Roman" w:cs="Times New Roman"/>
          <w:spacing w:val="-8"/>
          <w:sz w:val="24"/>
          <w:szCs w:val="24"/>
        </w:rPr>
        <w:t xml:space="preserve">142 </w:t>
      </w:r>
      <w:r>
        <w:rPr>
          <w:rFonts w:ascii="宋体" w:hAnsi="宋体" w:eastAsia="宋体" w:cs="宋体"/>
          <w:spacing w:val="-8"/>
          <w:sz w:val="24"/>
          <w:szCs w:val="24"/>
        </w:rPr>
        <w:t>米，</w:t>
      </w:r>
      <w:r>
        <w:rPr>
          <w:rFonts w:ascii="宋体" w:hAnsi="宋体" w:eastAsia="宋体" w:cs="宋体"/>
          <w:spacing w:val="-34"/>
          <w:sz w:val="24"/>
          <w:szCs w:val="24"/>
        </w:rPr>
        <w:t xml:space="preserve"> </w:t>
      </w:r>
      <w:r>
        <w:rPr>
          <w:rFonts w:ascii="宋体" w:hAnsi="宋体" w:eastAsia="宋体" w:cs="宋体"/>
          <w:spacing w:val="-8"/>
          <w:sz w:val="24"/>
          <w:szCs w:val="24"/>
        </w:rPr>
        <w:t>总库容</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18.24 </w:t>
      </w:r>
      <w:r>
        <w:rPr>
          <w:rFonts w:ascii="宋体" w:hAnsi="宋体" w:eastAsia="宋体" w:cs="宋体"/>
          <w:spacing w:val="-8"/>
          <w:sz w:val="24"/>
          <w:szCs w:val="24"/>
        </w:rPr>
        <w:t>亿立方米， 为多年调节水库。珊</w:t>
      </w:r>
      <w:r>
        <w:rPr>
          <w:rFonts w:ascii="宋体" w:hAnsi="宋体" w:eastAsia="宋体" w:cs="宋体"/>
          <w:sz w:val="24"/>
          <w:szCs w:val="24"/>
        </w:rPr>
        <w:t xml:space="preserve"> </w:t>
      </w:r>
      <w:r>
        <w:rPr>
          <w:rFonts w:ascii="宋体" w:hAnsi="宋体" w:eastAsia="宋体" w:cs="宋体"/>
          <w:spacing w:val="-2"/>
          <w:sz w:val="24"/>
          <w:szCs w:val="24"/>
        </w:rPr>
        <w:t>溪水库坝址控制流域面积</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 xml:space="preserve">l529 </w:t>
      </w:r>
      <w:r>
        <w:rPr>
          <w:rFonts w:ascii="宋体" w:hAnsi="宋体" w:eastAsia="宋体" w:cs="宋体"/>
          <w:spacing w:val="-2"/>
          <w:sz w:val="24"/>
          <w:szCs w:val="24"/>
        </w:rPr>
        <w:t>平方公里，占全流域面积</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3252 </w:t>
      </w:r>
      <w:r>
        <w:rPr>
          <w:rFonts w:ascii="宋体" w:hAnsi="宋体" w:eastAsia="宋体" w:cs="宋体"/>
          <w:spacing w:val="-2"/>
          <w:sz w:val="24"/>
          <w:szCs w:val="24"/>
        </w:rPr>
        <w:t>平方公里的</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47%</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 xml:space="preserve">坝址多年平均年径流量 </w:t>
      </w:r>
      <w:r>
        <w:rPr>
          <w:rFonts w:ascii="Times New Roman" w:hAnsi="Times New Roman" w:eastAsia="Times New Roman" w:cs="Times New Roman"/>
          <w:spacing w:val="-2"/>
          <w:sz w:val="24"/>
          <w:szCs w:val="24"/>
        </w:rPr>
        <w:t>18</w:t>
      </w:r>
      <w:r>
        <w:rPr>
          <w:rFonts w:ascii="Times New Roman" w:hAnsi="Times New Roman" w:eastAsia="Times New Roman" w:cs="Times New Roman"/>
          <w:spacing w:val="27"/>
          <w:w w:val="101"/>
          <w:sz w:val="24"/>
          <w:szCs w:val="24"/>
        </w:rPr>
        <w:t xml:space="preserve"> </w:t>
      </w:r>
      <w:r>
        <w:rPr>
          <w:rFonts w:ascii="宋体" w:hAnsi="宋体" w:eastAsia="宋体" w:cs="宋体"/>
          <w:spacing w:val="-2"/>
          <w:sz w:val="24"/>
          <w:szCs w:val="24"/>
        </w:rPr>
        <w:t>亿立方米。总库容</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l8.04</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亿立方</w:t>
      </w:r>
      <w:r>
        <w:rPr>
          <w:rFonts w:ascii="宋体" w:hAnsi="宋体" w:eastAsia="宋体" w:cs="宋体"/>
          <w:spacing w:val="-3"/>
          <w:sz w:val="24"/>
          <w:szCs w:val="24"/>
        </w:rPr>
        <w:t>米，电站装机容量</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20</w:t>
      </w:r>
    </w:p>
    <w:p>
      <w:pPr>
        <w:spacing w:line="233" w:lineRule="auto"/>
        <w:ind w:left="43"/>
        <w:rPr>
          <w:rFonts w:ascii="宋体" w:hAnsi="宋体" w:eastAsia="宋体" w:cs="宋体"/>
          <w:sz w:val="24"/>
          <w:szCs w:val="24"/>
        </w:rPr>
      </w:pPr>
      <w:r>
        <w:rPr>
          <w:rFonts w:ascii="宋体" w:hAnsi="宋体" w:eastAsia="宋体" w:cs="宋体"/>
          <w:spacing w:val="-2"/>
          <w:sz w:val="24"/>
          <w:szCs w:val="24"/>
        </w:rPr>
        <w:t>万</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kW</w:t>
      </w:r>
      <w:r>
        <w:rPr>
          <w:rFonts w:ascii="宋体" w:hAnsi="宋体" w:eastAsia="宋体" w:cs="宋体"/>
          <w:spacing w:val="-2"/>
          <w:sz w:val="24"/>
          <w:szCs w:val="24"/>
        </w:rPr>
        <w:t>，平均年发电量多年</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3.55 </w:t>
      </w:r>
      <w:r>
        <w:rPr>
          <w:rFonts w:ascii="宋体" w:hAnsi="宋体" w:eastAsia="宋体" w:cs="宋体"/>
          <w:spacing w:val="-2"/>
          <w:sz w:val="24"/>
          <w:szCs w:val="24"/>
        </w:rPr>
        <w:t>亿</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kW•h</w:t>
      </w:r>
      <w:r>
        <w:rPr>
          <w:rFonts w:ascii="宋体" w:hAnsi="宋体" w:eastAsia="宋体" w:cs="宋体"/>
          <w:spacing w:val="-2"/>
          <w:sz w:val="24"/>
          <w:szCs w:val="24"/>
        </w:rPr>
        <w:t>。</w:t>
      </w:r>
    </w:p>
    <w:p>
      <w:pPr>
        <w:spacing w:before="164" w:line="359" w:lineRule="auto"/>
        <w:ind w:left="38" w:right="30" w:firstLine="481"/>
        <w:jc w:val="both"/>
        <w:rPr>
          <w:rFonts w:ascii="宋体" w:hAnsi="宋体" w:eastAsia="宋体" w:cs="宋体"/>
          <w:sz w:val="24"/>
          <w:szCs w:val="24"/>
        </w:rPr>
      </w:pPr>
      <w:r>
        <w:rPr>
          <w:rFonts w:ascii="宋体" w:hAnsi="宋体" w:eastAsia="宋体" w:cs="宋体"/>
          <w:spacing w:val="-6"/>
          <w:sz w:val="24"/>
          <w:szCs w:val="24"/>
        </w:rPr>
        <w:t>文成县包垟水库工程位于百丈漈镇长塘村境内的包垟溪上，</w:t>
      </w:r>
      <w:r>
        <w:rPr>
          <w:rFonts w:ascii="宋体" w:hAnsi="宋体" w:eastAsia="宋体" w:cs="宋体"/>
          <w:spacing w:val="-28"/>
          <w:sz w:val="24"/>
          <w:szCs w:val="24"/>
        </w:rPr>
        <w:t xml:space="preserve"> </w:t>
      </w:r>
      <w:r>
        <w:rPr>
          <w:rFonts w:ascii="宋体" w:hAnsi="宋体" w:eastAsia="宋体" w:cs="宋体"/>
          <w:spacing w:val="-6"/>
          <w:sz w:val="24"/>
          <w:szCs w:val="24"/>
        </w:rPr>
        <w:t>坝址以上集雨面</w:t>
      </w:r>
      <w:r>
        <w:rPr>
          <w:rFonts w:ascii="宋体" w:hAnsi="宋体" w:eastAsia="宋体" w:cs="宋体"/>
          <w:sz w:val="24"/>
          <w:szCs w:val="24"/>
        </w:rPr>
        <w:t xml:space="preserve"> </w:t>
      </w:r>
      <w:r>
        <w:rPr>
          <w:rFonts w:ascii="宋体" w:hAnsi="宋体" w:eastAsia="宋体" w:cs="宋体"/>
          <w:spacing w:val="-10"/>
          <w:sz w:val="24"/>
          <w:szCs w:val="24"/>
        </w:rPr>
        <w:t>积</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 xml:space="preserve">1.09 </w:t>
      </w:r>
      <w:r>
        <w:rPr>
          <w:rFonts w:ascii="宋体" w:hAnsi="宋体" w:eastAsia="宋体" w:cs="宋体"/>
          <w:spacing w:val="-10"/>
          <w:sz w:val="24"/>
          <w:szCs w:val="24"/>
        </w:rPr>
        <w:t>平方公里，</w:t>
      </w:r>
      <w:r>
        <w:rPr>
          <w:rFonts w:ascii="宋体" w:hAnsi="宋体" w:eastAsia="宋体" w:cs="宋体"/>
          <w:spacing w:val="23"/>
          <w:sz w:val="24"/>
          <w:szCs w:val="24"/>
        </w:rPr>
        <w:t xml:space="preserve"> </w:t>
      </w:r>
      <w:r>
        <w:rPr>
          <w:rFonts w:ascii="宋体" w:hAnsi="宋体" w:eastAsia="宋体" w:cs="宋体"/>
          <w:spacing w:val="-10"/>
          <w:sz w:val="24"/>
          <w:szCs w:val="24"/>
        </w:rPr>
        <w:t>坝型为重力坝，</w:t>
      </w:r>
      <w:r>
        <w:rPr>
          <w:rFonts w:ascii="宋体" w:hAnsi="宋体" w:eastAsia="宋体" w:cs="宋体"/>
          <w:spacing w:val="67"/>
          <w:sz w:val="24"/>
          <w:szCs w:val="24"/>
        </w:rPr>
        <w:t xml:space="preserve"> </w:t>
      </w:r>
      <w:r>
        <w:rPr>
          <w:rFonts w:ascii="宋体" w:hAnsi="宋体" w:eastAsia="宋体" w:cs="宋体"/>
          <w:spacing w:val="-10"/>
          <w:sz w:val="24"/>
          <w:szCs w:val="24"/>
        </w:rPr>
        <w:t>总库容</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4</w:t>
      </w:r>
      <w:r>
        <w:rPr>
          <w:rFonts w:ascii="Times New Roman" w:hAnsi="Times New Roman" w:eastAsia="Times New Roman" w:cs="Times New Roman"/>
          <w:spacing w:val="-11"/>
          <w:sz w:val="24"/>
          <w:szCs w:val="24"/>
        </w:rPr>
        <w:t>2.55</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11"/>
          <w:sz w:val="24"/>
          <w:szCs w:val="24"/>
        </w:rPr>
        <w:t>m</w:t>
      </w:r>
      <w:r>
        <w:rPr>
          <w:rFonts w:ascii="Times New Roman" w:hAnsi="Times New Roman" w:eastAsia="Times New Roman" w:cs="Times New Roman"/>
          <w:spacing w:val="-11"/>
          <w:position w:val="9"/>
          <w:sz w:val="16"/>
          <w:szCs w:val="16"/>
        </w:rPr>
        <w:t>3</w:t>
      </w:r>
      <w:r>
        <w:rPr>
          <w:rFonts w:ascii="Times New Roman" w:hAnsi="Times New Roman" w:eastAsia="Times New Roman" w:cs="Times New Roman"/>
          <w:spacing w:val="-10"/>
          <w:position w:val="9"/>
          <w:sz w:val="16"/>
          <w:szCs w:val="16"/>
        </w:rPr>
        <w:t xml:space="preserve"> </w:t>
      </w:r>
      <w:r>
        <w:rPr>
          <w:rFonts w:ascii="宋体" w:hAnsi="宋体" w:eastAsia="宋体" w:cs="宋体"/>
          <w:spacing w:val="-11"/>
          <w:sz w:val="24"/>
          <w:szCs w:val="24"/>
        </w:rPr>
        <w:t>，正常蓄水位</w:t>
      </w:r>
      <w:r>
        <w:rPr>
          <w:rFonts w:ascii="宋体" w:hAnsi="宋体" w:eastAsia="宋体" w:cs="宋体"/>
          <w:spacing w:val="-49"/>
          <w:sz w:val="24"/>
          <w:szCs w:val="24"/>
        </w:rPr>
        <w:t xml:space="preserve"> </w:t>
      </w:r>
      <w:r>
        <w:rPr>
          <w:rFonts w:ascii="Times New Roman" w:hAnsi="Times New Roman" w:eastAsia="Times New Roman" w:cs="Times New Roman"/>
          <w:spacing w:val="-11"/>
          <w:sz w:val="24"/>
          <w:szCs w:val="24"/>
        </w:rPr>
        <w:t>668.0m</w:t>
      </w:r>
      <w:r>
        <w:rPr>
          <w:rFonts w:ascii="宋体" w:hAnsi="宋体" w:eastAsia="宋体" w:cs="宋体"/>
          <w:spacing w:val="-11"/>
          <w:sz w:val="24"/>
          <w:szCs w:val="24"/>
        </w:rPr>
        <w:t>，水</w:t>
      </w:r>
      <w:r>
        <w:rPr>
          <w:rFonts w:ascii="宋体" w:hAnsi="宋体" w:eastAsia="宋体" w:cs="宋体"/>
          <w:sz w:val="24"/>
          <w:szCs w:val="24"/>
        </w:rPr>
        <w:t xml:space="preserve"> </w:t>
      </w:r>
      <w:r>
        <w:rPr>
          <w:rFonts w:ascii="宋体" w:hAnsi="宋体" w:eastAsia="宋体" w:cs="宋体"/>
          <w:spacing w:val="-1"/>
          <w:sz w:val="24"/>
          <w:szCs w:val="24"/>
        </w:rPr>
        <w:t>库功能为供水。包垟溪为包垟水库下游溪流，溪流宽度约</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~2m</w:t>
      </w:r>
      <w:r>
        <w:rPr>
          <w:rFonts w:ascii="宋体" w:hAnsi="宋体" w:eastAsia="宋体" w:cs="宋体"/>
          <w:spacing w:val="-2"/>
          <w:sz w:val="24"/>
          <w:szCs w:val="24"/>
        </w:rPr>
        <w:t>，每年生态流量</w:t>
      </w:r>
    </w:p>
    <w:p>
      <w:pPr>
        <w:spacing w:line="234" w:lineRule="auto"/>
        <w:ind w:left="41"/>
        <w:rPr>
          <w:rFonts w:ascii="宋体" w:hAnsi="宋体" w:eastAsia="宋体" w:cs="宋体"/>
          <w:sz w:val="24"/>
          <w:szCs w:val="24"/>
        </w:rPr>
      </w:pPr>
      <w:r>
        <w:rPr>
          <w:rFonts w:ascii="宋体" w:hAnsi="宋体" w:eastAsia="宋体" w:cs="宋体"/>
          <w:spacing w:val="-7"/>
          <w:sz w:val="24"/>
          <w:szCs w:val="24"/>
        </w:rPr>
        <w:t>为</w:t>
      </w:r>
      <w:r>
        <w:rPr>
          <w:rFonts w:ascii="宋体" w:hAnsi="宋体" w:eastAsia="宋体" w:cs="宋体"/>
          <w:spacing w:val="-27"/>
          <w:sz w:val="24"/>
          <w:szCs w:val="24"/>
        </w:rPr>
        <w:t xml:space="preserve"> </w:t>
      </w:r>
      <w:r>
        <w:rPr>
          <w:rFonts w:ascii="Times New Roman" w:hAnsi="Times New Roman" w:eastAsia="Times New Roman" w:cs="Times New Roman"/>
          <w:spacing w:val="-7"/>
          <w:sz w:val="24"/>
          <w:szCs w:val="24"/>
        </w:rPr>
        <w:t>13.7</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7"/>
          <w:position w:val="8"/>
          <w:sz w:val="16"/>
          <w:szCs w:val="16"/>
        </w:rPr>
        <w:t>3</w:t>
      </w:r>
      <w:r>
        <w:rPr>
          <w:rFonts w:ascii="宋体" w:hAnsi="宋体" w:eastAsia="宋体" w:cs="宋体"/>
          <w:spacing w:val="-7"/>
          <w:sz w:val="24"/>
          <w:szCs w:val="24"/>
        </w:rPr>
        <w:t>。</w:t>
      </w:r>
    </w:p>
    <w:p>
      <w:pPr>
        <w:spacing w:before="162" w:line="221" w:lineRule="auto"/>
        <w:ind w:left="34"/>
        <w:outlineLvl w:val="1"/>
        <w:rPr>
          <w:rFonts w:ascii="宋体" w:hAnsi="宋体" w:eastAsia="宋体" w:cs="宋体"/>
          <w:sz w:val="24"/>
          <w:szCs w:val="24"/>
        </w:rPr>
      </w:pPr>
      <w:r>
        <w:rPr>
          <w:rFonts w:ascii="Times New Roman" w:hAnsi="Times New Roman" w:eastAsia="Times New Roman" w:cs="Times New Roman"/>
          <w:b/>
          <w:bCs/>
          <w:spacing w:val="-2"/>
          <w:sz w:val="24"/>
          <w:szCs w:val="24"/>
        </w:rPr>
        <w:t>4.1.5</w:t>
      </w:r>
      <w:r>
        <w:rPr>
          <w:rFonts w:ascii="Times New Roman" w:hAnsi="Times New Roman" w:eastAsia="Times New Roman" w:cs="Times New Roman"/>
          <w:b/>
          <w:bCs/>
          <w:spacing w:val="13"/>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土壤</w:t>
      </w:r>
    </w:p>
    <w:p>
      <w:pPr>
        <w:spacing w:line="221" w:lineRule="auto"/>
        <w:rPr>
          <w:rFonts w:ascii="宋体" w:hAnsi="宋体" w:eastAsia="宋体" w:cs="宋体"/>
          <w:sz w:val="24"/>
          <w:szCs w:val="24"/>
        </w:rPr>
        <w:sectPr>
          <w:headerReference r:id="rId177" w:type="default"/>
          <w:footerReference r:id="rId178" w:type="default"/>
          <w:pgSz w:w="11907" w:h="16839"/>
          <w:pgMar w:top="1118" w:right="1769" w:bottom="1151" w:left="1771" w:header="879" w:footer="990" w:gutter="0"/>
          <w:cols w:space="720" w:num="1"/>
        </w:sectPr>
      </w:pPr>
    </w:p>
    <w:p>
      <w:pPr>
        <w:pStyle w:val="2"/>
        <w:spacing w:line="278" w:lineRule="auto"/>
      </w:pPr>
    </w:p>
    <w:p>
      <w:pPr>
        <w:spacing w:before="78" w:line="359" w:lineRule="auto"/>
        <w:ind w:left="165" w:right="92" w:firstLine="484"/>
        <w:jc w:val="both"/>
        <w:rPr>
          <w:rFonts w:ascii="宋体" w:hAnsi="宋体" w:eastAsia="宋体" w:cs="宋体"/>
          <w:sz w:val="24"/>
          <w:szCs w:val="24"/>
        </w:rPr>
      </w:pPr>
      <w:r>
        <w:rPr>
          <w:rFonts w:ascii="宋体" w:hAnsi="宋体" w:eastAsia="宋体" w:cs="宋体"/>
          <w:spacing w:val="-1"/>
          <w:sz w:val="24"/>
          <w:szCs w:val="24"/>
        </w:rPr>
        <w:t>根据当地资料，项目所在文成县土壤类型有红</w:t>
      </w:r>
      <w:r>
        <w:rPr>
          <w:rFonts w:ascii="宋体" w:hAnsi="宋体" w:eastAsia="宋体" w:cs="宋体"/>
          <w:spacing w:val="-2"/>
          <w:sz w:val="24"/>
          <w:szCs w:val="24"/>
        </w:rPr>
        <w:t>壤、黄壤、紫色土、粗骨土、</w:t>
      </w:r>
      <w:r>
        <w:rPr>
          <w:rFonts w:ascii="宋体" w:hAnsi="宋体" w:eastAsia="宋体" w:cs="宋体"/>
          <w:sz w:val="24"/>
          <w:szCs w:val="24"/>
        </w:rPr>
        <w:t xml:space="preserve"> </w:t>
      </w:r>
      <w:r>
        <w:rPr>
          <w:rFonts w:ascii="宋体" w:hAnsi="宋体" w:eastAsia="宋体" w:cs="宋体"/>
          <w:spacing w:val="-4"/>
          <w:sz w:val="24"/>
          <w:szCs w:val="24"/>
        </w:rPr>
        <w:t xml:space="preserve">潮土、水稻土 </w:t>
      </w:r>
      <w:r>
        <w:rPr>
          <w:rFonts w:ascii="Times New Roman" w:hAnsi="Times New Roman" w:eastAsia="Times New Roman" w:cs="Times New Roman"/>
          <w:spacing w:val="-4"/>
          <w:sz w:val="24"/>
          <w:szCs w:val="24"/>
        </w:rPr>
        <w:t xml:space="preserve">6  </w:t>
      </w:r>
      <w:r>
        <w:rPr>
          <w:rFonts w:ascii="宋体" w:hAnsi="宋体" w:eastAsia="宋体" w:cs="宋体"/>
          <w:spacing w:val="-4"/>
          <w:sz w:val="24"/>
          <w:szCs w:val="24"/>
        </w:rPr>
        <w:t>个土类，包括</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10  </w:t>
      </w:r>
      <w:r>
        <w:rPr>
          <w:rFonts w:ascii="宋体" w:hAnsi="宋体" w:eastAsia="宋体" w:cs="宋体"/>
          <w:spacing w:val="-4"/>
          <w:sz w:val="24"/>
          <w:szCs w:val="24"/>
        </w:rPr>
        <w:t xml:space="preserve">个亚类、 </w:t>
      </w:r>
      <w:r>
        <w:rPr>
          <w:rFonts w:ascii="Times New Roman" w:hAnsi="Times New Roman" w:eastAsia="Times New Roman" w:cs="Times New Roman"/>
          <w:spacing w:val="-4"/>
          <w:sz w:val="24"/>
          <w:szCs w:val="24"/>
        </w:rPr>
        <w:t>18</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个</w:t>
      </w:r>
      <w:r>
        <w:rPr>
          <w:rFonts w:ascii="宋体" w:hAnsi="宋体" w:eastAsia="宋体" w:cs="宋体"/>
          <w:spacing w:val="-5"/>
          <w:sz w:val="24"/>
          <w:szCs w:val="24"/>
        </w:rPr>
        <w:t>土属、</w:t>
      </w:r>
      <w:r>
        <w:rPr>
          <w:rFonts w:ascii="Times New Roman" w:hAnsi="Times New Roman" w:eastAsia="Times New Roman" w:cs="Times New Roman"/>
          <w:spacing w:val="-5"/>
          <w:sz w:val="24"/>
          <w:szCs w:val="24"/>
        </w:rPr>
        <w:t>33</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 xml:space="preserve">个土种，其中红壤 </w:t>
      </w:r>
      <w:r>
        <w:rPr>
          <w:rFonts w:ascii="宋体" w:hAnsi="宋体" w:eastAsia="宋体" w:cs="宋体"/>
          <w:spacing w:val="5"/>
          <w:sz w:val="24"/>
          <w:szCs w:val="24"/>
        </w:rPr>
        <w:t>土广泛分布在海拔</w:t>
      </w:r>
      <w:r>
        <w:rPr>
          <w:rFonts w:ascii="宋体" w:hAnsi="宋体" w:eastAsia="宋体" w:cs="宋体"/>
          <w:spacing w:val="34"/>
          <w:sz w:val="24"/>
          <w:szCs w:val="24"/>
        </w:rPr>
        <w:t xml:space="preserve"> </w:t>
      </w:r>
      <w:r>
        <w:rPr>
          <w:rFonts w:ascii="Times New Roman" w:hAnsi="Times New Roman" w:eastAsia="Times New Roman" w:cs="Times New Roman"/>
          <w:spacing w:val="5"/>
          <w:sz w:val="24"/>
          <w:szCs w:val="24"/>
        </w:rPr>
        <w:t>600m</w:t>
      </w:r>
      <w:r>
        <w:rPr>
          <w:rFonts w:ascii="Times New Roman" w:hAnsi="Times New Roman" w:eastAsia="Times New Roman" w:cs="Times New Roman"/>
          <w:spacing w:val="23"/>
          <w:sz w:val="24"/>
          <w:szCs w:val="24"/>
        </w:rPr>
        <w:t xml:space="preserve">  </w:t>
      </w:r>
      <w:r>
        <w:rPr>
          <w:rFonts w:ascii="宋体" w:hAnsi="宋体" w:eastAsia="宋体" w:cs="宋体"/>
          <w:spacing w:val="5"/>
          <w:sz w:val="24"/>
          <w:szCs w:val="24"/>
        </w:rPr>
        <w:t>以下地势较为平缓</w:t>
      </w:r>
      <w:r>
        <w:rPr>
          <w:rFonts w:ascii="宋体" w:hAnsi="宋体" w:eastAsia="宋体" w:cs="宋体"/>
          <w:spacing w:val="4"/>
          <w:sz w:val="24"/>
          <w:szCs w:val="24"/>
        </w:rPr>
        <w:t>的丘陵区，</w:t>
      </w:r>
      <w:r>
        <w:rPr>
          <w:rFonts w:ascii="宋体" w:hAnsi="宋体" w:eastAsia="宋体" w:cs="宋体"/>
          <w:spacing w:val="-50"/>
          <w:sz w:val="24"/>
          <w:szCs w:val="24"/>
        </w:rPr>
        <w:t xml:space="preserve"> </w:t>
      </w:r>
      <w:r>
        <w:rPr>
          <w:rFonts w:ascii="宋体" w:hAnsi="宋体" w:eastAsia="宋体" w:cs="宋体"/>
          <w:spacing w:val="4"/>
          <w:sz w:val="24"/>
          <w:szCs w:val="24"/>
        </w:rPr>
        <w:t>占全县土壤总面积的</w:t>
      </w:r>
      <w:r>
        <w:rPr>
          <w:rFonts w:ascii="宋体" w:hAnsi="宋体" w:eastAsia="宋体" w:cs="宋体"/>
          <w:sz w:val="24"/>
          <w:szCs w:val="24"/>
        </w:rPr>
        <w:t xml:space="preserve"> </w:t>
      </w:r>
      <w:r>
        <w:rPr>
          <w:rFonts w:ascii="Times New Roman" w:hAnsi="Times New Roman" w:eastAsia="Times New Roman" w:cs="Times New Roman"/>
          <w:spacing w:val="-11"/>
          <w:sz w:val="24"/>
          <w:szCs w:val="24"/>
        </w:rPr>
        <w:t>22.9%</w:t>
      </w:r>
      <w:r>
        <w:rPr>
          <w:rFonts w:ascii="宋体" w:hAnsi="宋体" w:eastAsia="宋体" w:cs="宋体"/>
          <w:spacing w:val="-11"/>
          <w:sz w:val="24"/>
          <w:szCs w:val="24"/>
        </w:rPr>
        <w:t>；黄壤土主要分布在</w:t>
      </w:r>
      <w:r>
        <w:rPr>
          <w:rFonts w:ascii="宋体" w:hAnsi="宋体" w:eastAsia="宋体" w:cs="宋体"/>
          <w:spacing w:val="-45"/>
          <w:sz w:val="24"/>
          <w:szCs w:val="24"/>
        </w:rPr>
        <w:t xml:space="preserve"> </w:t>
      </w:r>
      <w:r>
        <w:rPr>
          <w:rFonts w:ascii="Times New Roman" w:hAnsi="Times New Roman" w:eastAsia="Times New Roman" w:cs="Times New Roman"/>
          <w:spacing w:val="-11"/>
          <w:sz w:val="24"/>
          <w:szCs w:val="24"/>
        </w:rPr>
        <w:t>800m</w:t>
      </w:r>
      <w:r>
        <w:rPr>
          <w:rFonts w:ascii="Times New Roman" w:hAnsi="Times New Roman" w:eastAsia="Times New Roman" w:cs="Times New Roman"/>
          <w:spacing w:val="18"/>
          <w:w w:val="101"/>
          <w:sz w:val="24"/>
          <w:szCs w:val="24"/>
        </w:rPr>
        <w:t xml:space="preserve">  </w:t>
      </w:r>
      <w:r>
        <w:rPr>
          <w:rFonts w:ascii="宋体" w:hAnsi="宋体" w:eastAsia="宋体" w:cs="宋体"/>
          <w:spacing w:val="-11"/>
          <w:sz w:val="24"/>
          <w:szCs w:val="24"/>
        </w:rPr>
        <w:t>以上山地，</w:t>
      </w:r>
      <w:r>
        <w:rPr>
          <w:rFonts w:ascii="宋体" w:hAnsi="宋体" w:eastAsia="宋体" w:cs="宋体"/>
          <w:spacing w:val="-63"/>
          <w:sz w:val="24"/>
          <w:szCs w:val="24"/>
        </w:rPr>
        <w:t xml:space="preserve"> </w:t>
      </w:r>
      <w:r>
        <w:rPr>
          <w:rFonts w:ascii="宋体" w:hAnsi="宋体" w:eastAsia="宋体" w:cs="宋体"/>
          <w:spacing w:val="-11"/>
          <w:sz w:val="24"/>
          <w:szCs w:val="24"/>
        </w:rPr>
        <w:t>呈黄色或淡黄色，</w:t>
      </w:r>
      <w:r>
        <w:rPr>
          <w:rFonts w:ascii="宋体" w:hAnsi="宋体" w:eastAsia="宋体" w:cs="宋体"/>
          <w:spacing w:val="23"/>
          <w:sz w:val="24"/>
          <w:szCs w:val="24"/>
        </w:rPr>
        <w:t xml:space="preserve"> </w:t>
      </w:r>
      <w:r>
        <w:rPr>
          <w:rFonts w:ascii="宋体" w:hAnsi="宋体" w:eastAsia="宋体" w:cs="宋体"/>
          <w:spacing w:val="-11"/>
          <w:sz w:val="24"/>
          <w:szCs w:val="24"/>
        </w:rPr>
        <w:t>有机质积累</w:t>
      </w:r>
      <w:r>
        <w:rPr>
          <w:rFonts w:ascii="宋体" w:hAnsi="宋体" w:eastAsia="宋体" w:cs="宋体"/>
          <w:spacing w:val="-12"/>
          <w:sz w:val="24"/>
          <w:szCs w:val="24"/>
        </w:rPr>
        <w:t>量大，</w:t>
      </w:r>
    </w:p>
    <w:p>
      <w:pPr>
        <w:spacing w:line="220" w:lineRule="auto"/>
        <w:ind w:left="209"/>
        <w:rPr>
          <w:rFonts w:ascii="宋体" w:hAnsi="宋体" w:eastAsia="宋体" w:cs="宋体"/>
          <w:sz w:val="24"/>
          <w:szCs w:val="24"/>
        </w:rPr>
      </w:pPr>
      <w:r>
        <w:rPr>
          <w:rFonts w:ascii="宋体" w:hAnsi="宋体" w:eastAsia="宋体" w:cs="宋体"/>
          <w:spacing w:val="-5"/>
          <w:sz w:val="24"/>
          <w:szCs w:val="24"/>
        </w:rPr>
        <w:t>占土壤总面积的</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33.2%</w:t>
      </w:r>
      <w:r>
        <w:rPr>
          <w:rFonts w:ascii="宋体" w:hAnsi="宋体" w:eastAsia="宋体" w:cs="宋体"/>
          <w:spacing w:val="-5"/>
          <w:sz w:val="24"/>
          <w:szCs w:val="24"/>
        </w:rPr>
        <w:t>。</w:t>
      </w:r>
    </w:p>
    <w:p>
      <w:pPr>
        <w:pStyle w:val="2"/>
        <w:spacing w:line="258" w:lineRule="auto"/>
      </w:pPr>
    </w:p>
    <w:p>
      <w:pPr>
        <w:spacing w:before="78" w:line="218" w:lineRule="auto"/>
        <w:ind w:left="166"/>
        <w:outlineLvl w:val="1"/>
        <w:rPr>
          <w:rFonts w:ascii="宋体" w:hAnsi="宋体" w:eastAsia="宋体" w:cs="宋体"/>
          <w:sz w:val="24"/>
          <w:szCs w:val="24"/>
        </w:rPr>
      </w:pPr>
      <w:bookmarkStart w:id="25" w:name="bookmark26"/>
      <w:bookmarkEnd w:id="25"/>
      <w:r>
        <w:rPr>
          <w:rFonts w:ascii="Times New Roman" w:hAnsi="Times New Roman" w:eastAsia="Times New Roman" w:cs="Times New Roman"/>
          <w:b/>
          <w:bCs/>
          <w:sz w:val="24"/>
          <w:szCs w:val="24"/>
        </w:rPr>
        <w:t xml:space="preserve">4.2 </w:t>
      </w:r>
      <w:r>
        <w:rPr>
          <w:rFonts w:ascii="宋体" w:hAnsi="宋体" w:eastAsia="宋体" w:cs="宋体"/>
          <w:sz w:val="24"/>
          <w:szCs w:val="24"/>
          <w14:textOutline w14:w="4354" w14:cap="flat" w14:cmpd="sng">
            <w14:solidFill>
              <w14:srgbClr w14:val="000000"/>
            </w14:solidFill>
            <w14:prstDash w14:val="solid"/>
            <w14:miter w14:val="0"/>
          </w14:textOutline>
        </w:rPr>
        <w:t>地表水环境现状调查与评价</w:t>
      </w:r>
    </w:p>
    <w:p>
      <w:pPr>
        <w:spacing w:before="182" w:line="468" w:lineRule="exact"/>
        <w:ind w:left="650"/>
        <w:rPr>
          <w:rFonts w:ascii="宋体" w:hAnsi="宋体" w:eastAsia="宋体" w:cs="宋体"/>
          <w:sz w:val="24"/>
          <w:szCs w:val="24"/>
        </w:rPr>
      </w:pPr>
      <w:r>
        <w:rPr>
          <w:rFonts w:ascii="宋体" w:hAnsi="宋体" w:eastAsia="宋体" w:cs="宋体"/>
          <w:spacing w:val="-2"/>
          <w:position w:val="17"/>
          <w:sz w:val="24"/>
          <w:szCs w:val="24"/>
        </w:rPr>
        <w:t>根据《文成县环境质量年报（</w:t>
      </w:r>
      <w:r>
        <w:rPr>
          <w:rFonts w:ascii="Times New Roman" w:hAnsi="Times New Roman" w:eastAsia="Times New Roman" w:cs="Times New Roman"/>
          <w:spacing w:val="-2"/>
          <w:position w:val="17"/>
          <w:sz w:val="24"/>
          <w:szCs w:val="24"/>
        </w:rPr>
        <w:t xml:space="preserve">2022 </w:t>
      </w:r>
      <w:r>
        <w:rPr>
          <w:rFonts w:ascii="宋体" w:hAnsi="宋体" w:eastAsia="宋体" w:cs="宋体"/>
          <w:spacing w:val="-2"/>
          <w:position w:val="17"/>
          <w:sz w:val="24"/>
          <w:szCs w:val="24"/>
        </w:rPr>
        <w:t>年）》，文成县地表水环境状况如下：</w:t>
      </w:r>
    </w:p>
    <w:p>
      <w:pPr>
        <w:spacing w:line="219" w:lineRule="auto"/>
        <w:ind w:left="65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）地表水控制断面水质</w:t>
      </w:r>
    </w:p>
    <w:p>
      <w:pPr>
        <w:spacing w:before="181" w:line="468" w:lineRule="exact"/>
        <w:ind w:left="645"/>
        <w:rPr>
          <w:rFonts w:ascii="宋体" w:hAnsi="宋体" w:eastAsia="宋体" w:cs="宋体"/>
          <w:sz w:val="24"/>
          <w:szCs w:val="24"/>
        </w:rPr>
      </w:pPr>
      <w:r>
        <w:rPr>
          <w:rFonts w:ascii="Times New Roman" w:hAnsi="Times New Roman" w:eastAsia="Times New Roman" w:cs="Times New Roman"/>
          <w:spacing w:val="-6"/>
          <w:position w:val="17"/>
          <w:sz w:val="24"/>
          <w:szCs w:val="24"/>
        </w:rPr>
        <w:t xml:space="preserve">2022 </w:t>
      </w:r>
      <w:r>
        <w:rPr>
          <w:rFonts w:ascii="宋体" w:hAnsi="宋体" w:eastAsia="宋体" w:cs="宋体"/>
          <w:spacing w:val="-6"/>
          <w:position w:val="17"/>
          <w:sz w:val="24"/>
          <w:szCs w:val="24"/>
        </w:rPr>
        <w:t>年对文成县</w:t>
      </w:r>
      <w:r>
        <w:rPr>
          <w:rFonts w:ascii="宋体" w:hAnsi="宋体" w:eastAsia="宋体" w:cs="宋体"/>
          <w:spacing w:val="-49"/>
          <w:position w:val="17"/>
          <w:sz w:val="24"/>
          <w:szCs w:val="24"/>
        </w:rPr>
        <w:t xml:space="preserve"> </w:t>
      </w:r>
      <w:r>
        <w:rPr>
          <w:rFonts w:ascii="Times New Roman" w:hAnsi="Times New Roman" w:eastAsia="Times New Roman" w:cs="Times New Roman"/>
          <w:spacing w:val="-6"/>
          <w:position w:val="17"/>
          <w:sz w:val="24"/>
          <w:szCs w:val="24"/>
        </w:rPr>
        <w:t xml:space="preserve">6 </w:t>
      </w:r>
      <w:r>
        <w:rPr>
          <w:rFonts w:ascii="宋体" w:hAnsi="宋体" w:eastAsia="宋体" w:cs="宋体"/>
          <w:spacing w:val="-6"/>
          <w:position w:val="17"/>
          <w:sz w:val="24"/>
          <w:szCs w:val="24"/>
        </w:rPr>
        <w:t>条主要河流的</w:t>
      </w:r>
      <w:r>
        <w:rPr>
          <w:rFonts w:ascii="宋体" w:hAnsi="宋体" w:eastAsia="宋体" w:cs="宋体"/>
          <w:spacing w:val="-32"/>
          <w:position w:val="17"/>
          <w:sz w:val="24"/>
          <w:szCs w:val="24"/>
        </w:rPr>
        <w:t xml:space="preserve"> </w:t>
      </w:r>
      <w:r>
        <w:rPr>
          <w:rFonts w:ascii="Times New Roman" w:hAnsi="Times New Roman" w:eastAsia="Times New Roman" w:cs="Times New Roman"/>
          <w:spacing w:val="-6"/>
          <w:position w:val="17"/>
          <w:sz w:val="24"/>
          <w:szCs w:val="24"/>
        </w:rPr>
        <w:t xml:space="preserve">11 </w:t>
      </w:r>
      <w:r>
        <w:rPr>
          <w:rFonts w:ascii="宋体" w:hAnsi="宋体" w:eastAsia="宋体" w:cs="宋体"/>
          <w:spacing w:val="-6"/>
          <w:position w:val="17"/>
          <w:sz w:val="24"/>
          <w:szCs w:val="24"/>
        </w:rPr>
        <w:t>个地表水控制断面开展</w:t>
      </w:r>
      <w:r>
        <w:rPr>
          <w:rFonts w:ascii="宋体" w:hAnsi="宋体" w:eastAsia="宋体" w:cs="宋体"/>
          <w:spacing w:val="-7"/>
          <w:position w:val="17"/>
          <w:sz w:val="24"/>
          <w:szCs w:val="24"/>
        </w:rPr>
        <w:t>水质监测，</w:t>
      </w:r>
      <w:r>
        <w:rPr>
          <w:rFonts w:ascii="宋体" w:hAnsi="宋体" w:eastAsia="宋体" w:cs="宋体"/>
          <w:spacing w:val="44"/>
          <w:position w:val="17"/>
          <w:sz w:val="24"/>
          <w:szCs w:val="24"/>
        </w:rPr>
        <w:t xml:space="preserve"> </w:t>
      </w:r>
      <w:r>
        <w:rPr>
          <w:rFonts w:ascii="宋体" w:hAnsi="宋体" w:eastAsia="宋体" w:cs="宋体"/>
          <w:spacing w:val="-7"/>
          <w:position w:val="17"/>
          <w:sz w:val="24"/>
          <w:szCs w:val="24"/>
        </w:rPr>
        <w:t>结果</w:t>
      </w:r>
    </w:p>
    <w:p>
      <w:pPr>
        <w:spacing w:line="220" w:lineRule="auto"/>
        <w:ind w:left="173"/>
        <w:rPr>
          <w:rFonts w:ascii="宋体" w:hAnsi="宋体" w:eastAsia="宋体" w:cs="宋体"/>
          <w:sz w:val="24"/>
          <w:szCs w:val="24"/>
        </w:rPr>
      </w:pPr>
      <w:r>
        <w:rPr>
          <w:rFonts w:ascii="宋体" w:hAnsi="宋体" w:eastAsia="宋体" w:cs="宋体"/>
          <w:spacing w:val="-11"/>
          <w:sz w:val="24"/>
          <w:szCs w:val="24"/>
        </w:rPr>
        <w:t>如下。</w:t>
      </w:r>
    </w:p>
    <w:p>
      <w:pPr>
        <w:spacing w:before="179" w:line="220" w:lineRule="auto"/>
        <w:ind w:left="203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4.2-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 xml:space="preserve">1          2022 </w:t>
      </w:r>
      <w:r>
        <w:rPr>
          <w:rFonts w:ascii="宋体" w:hAnsi="宋体" w:eastAsia="宋体" w:cs="宋体"/>
          <w:spacing w:val="-1"/>
          <w:sz w:val="24"/>
          <w:szCs w:val="24"/>
        </w:rPr>
        <w:t>年</w:t>
      </w:r>
      <w:r>
        <w:rPr>
          <w:rFonts w:ascii="宋体" w:hAnsi="宋体" w:eastAsia="宋体" w:cs="宋体"/>
          <w:spacing w:val="-2"/>
          <w:sz w:val="24"/>
          <w:szCs w:val="24"/>
        </w:rPr>
        <w:t>文成县地表水水质状况</w:t>
      </w:r>
    </w:p>
    <w:p>
      <w:pPr>
        <w:spacing w:line="146" w:lineRule="exact"/>
      </w:pPr>
    </w:p>
    <w:tbl>
      <w:tblPr>
        <w:tblStyle w:val="5"/>
        <w:tblW w:w="86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3"/>
        <w:gridCol w:w="1037"/>
        <w:gridCol w:w="1038"/>
        <w:gridCol w:w="957"/>
        <w:gridCol w:w="1008"/>
        <w:gridCol w:w="2812"/>
        <w:gridCol w:w="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43" w:type="dxa"/>
            <w:vAlign w:val="top"/>
          </w:tcPr>
          <w:p>
            <w:pPr>
              <w:pStyle w:val="6"/>
              <w:spacing w:before="43" w:line="241" w:lineRule="auto"/>
              <w:ind w:left="316"/>
            </w:pPr>
            <w:r>
              <w:rPr>
                <w:spacing w:val="-2"/>
              </w:rPr>
              <w:t>河流</w:t>
            </w:r>
          </w:p>
          <w:p>
            <w:pPr>
              <w:pStyle w:val="6"/>
              <w:spacing w:line="215" w:lineRule="auto"/>
              <w:ind w:left="320"/>
            </w:pPr>
            <w:r>
              <w:rPr>
                <w:spacing w:val="-3"/>
              </w:rPr>
              <w:t>名称</w:t>
            </w:r>
          </w:p>
        </w:tc>
        <w:tc>
          <w:tcPr>
            <w:tcW w:w="1037" w:type="dxa"/>
            <w:textDirection w:val="tbRlV"/>
            <w:vAlign w:val="top"/>
          </w:tcPr>
          <w:p>
            <w:pPr>
              <w:pStyle w:val="6"/>
              <w:spacing w:before="252" w:line="239" w:lineRule="auto"/>
              <w:ind w:left="43" w:right="44"/>
            </w:pPr>
            <w:r>
              <w:rPr>
                <w:spacing w:val="1"/>
              </w:rPr>
              <w:t>面</w:t>
            </w:r>
            <w:r>
              <w:rPr>
                <w:spacing w:val="-43"/>
              </w:rPr>
              <w:t xml:space="preserve"> </w:t>
            </w:r>
            <w:r>
              <w:rPr>
                <w:spacing w:val="1"/>
              </w:rPr>
              <w:t>称</w:t>
            </w:r>
            <w:r>
              <w:t xml:space="preserve"> </w:t>
            </w:r>
            <w:r>
              <w:rPr>
                <w:spacing w:val="1"/>
              </w:rPr>
              <w:t>断</w:t>
            </w:r>
            <w:r>
              <w:rPr>
                <w:spacing w:val="-43"/>
              </w:rPr>
              <w:t xml:space="preserve"> </w:t>
            </w:r>
            <w:r>
              <w:rPr>
                <w:spacing w:val="1"/>
              </w:rPr>
              <w:t>名</w:t>
            </w:r>
          </w:p>
        </w:tc>
        <w:tc>
          <w:tcPr>
            <w:tcW w:w="1038" w:type="dxa"/>
            <w:vAlign w:val="top"/>
          </w:tcPr>
          <w:p>
            <w:pPr>
              <w:pStyle w:val="6"/>
              <w:spacing w:before="43" w:line="241" w:lineRule="auto"/>
              <w:ind w:left="313"/>
            </w:pPr>
            <w:r>
              <w:rPr>
                <w:spacing w:val="-2"/>
              </w:rPr>
              <w:t>控制</w:t>
            </w:r>
          </w:p>
          <w:p>
            <w:pPr>
              <w:pStyle w:val="6"/>
              <w:spacing w:line="215" w:lineRule="auto"/>
              <w:ind w:left="314"/>
            </w:pPr>
            <w:r>
              <w:rPr>
                <w:spacing w:val="-2"/>
              </w:rPr>
              <w:t>类别</w:t>
            </w:r>
          </w:p>
        </w:tc>
        <w:tc>
          <w:tcPr>
            <w:tcW w:w="957" w:type="dxa"/>
            <w:vAlign w:val="top"/>
          </w:tcPr>
          <w:p>
            <w:pPr>
              <w:pStyle w:val="6"/>
              <w:spacing w:before="44" w:line="228" w:lineRule="auto"/>
              <w:ind w:left="378" w:right="54" w:hanging="312"/>
            </w:pPr>
            <w:r>
              <w:rPr>
                <w:spacing w:val="-3"/>
              </w:rPr>
              <w:t>功能区要</w:t>
            </w:r>
            <w:r>
              <w:rPr>
                <w:spacing w:val="1"/>
              </w:rPr>
              <w:t xml:space="preserve"> </w:t>
            </w:r>
            <w:r>
              <w:t>求</w:t>
            </w:r>
          </w:p>
        </w:tc>
        <w:tc>
          <w:tcPr>
            <w:tcW w:w="1008" w:type="dxa"/>
            <w:vAlign w:val="top"/>
          </w:tcPr>
          <w:p>
            <w:pPr>
              <w:pStyle w:val="6"/>
              <w:spacing w:before="43" w:line="241" w:lineRule="auto"/>
              <w:ind w:left="299"/>
            </w:pPr>
            <w:r>
              <w:rPr>
                <w:spacing w:val="-3"/>
              </w:rPr>
              <w:t>水质</w:t>
            </w:r>
          </w:p>
          <w:p>
            <w:pPr>
              <w:pStyle w:val="6"/>
              <w:spacing w:line="215" w:lineRule="auto"/>
              <w:ind w:left="298"/>
            </w:pPr>
            <w:r>
              <w:rPr>
                <w:spacing w:val="-2"/>
              </w:rPr>
              <w:t>现状</w:t>
            </w:r>
          </w:p>
        </w:tc>
        <w:tc>
          <w:tcPr>
            <w:tcW w:w="2812" w:type="dxa"/>
            <w:vAlign w:val="top"/>
          </w:tcPr>
          <w:p>
            <w:pPr>
              <w:pStyle w:val="6"/>
              <w:spacing w:before="180" w:line="221" w:lineRule="auto"/>
              <w:ind w:left="995"/>
            </w:pPr>
            <w:r>
              <w:rPr>
                <w:spacing w:val="-3"/>
              </w:rPr>
              <w:t>定类项目</w:t>
            </w:r>
          </w:p>
        </w:tc>
        <w:tc>
          <w:tcPr>
            <w:tcW w:w="727" w:type="dxa"/>
            <w:vAlign w:val="top"/>
          </w:tcPr>
          <w:p>
            <w:pPr>
              <w:pStyle w:val="6"/>
              <w:spacing w:before="180" w:line="219" w:lineRule="auto"/>
              <w:ind w:left="158"/>
            </w:pPr>
            <w:r>
              <w:rPr>
                <w:spacing w:val="-2"/>
              </w:rPr>
              <w:t>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43" w:type="dxa"/>
            <w:vMerge w:val="restart"/>
            <w:tcBorders>
              <w:bottom w:val="nil"/>
            </w:tcBorders>
            <w:vAlign w:val="top"/>
          </w:tcPr>
          <w:p>
            <w:pPr>
              <w:spacing w:line="382" w:lineRule="auto"/>
              <w:rPr>
                <w:rFonts w:ascii="Arial"/>
                <w:sz w:val="21"/>
              </w:rPr>
            </w:pPr>
          </w:p>
          <w:p>
            <w:pPr>
              <w:pStyle w:val="6"/>
              <w:spacing w:before="68" w:line="229" w:lineRule="auto"/>
              <w:ind w:left="316" w:right="200" w:hanging="98"/>
            </w:pPr>
            <w:r>
              <w:rPr>
                <w:spacing w:val="-4"/>
              </w:rPr>
              <w:t>飞云江</w:t>
            </w:r>
            <w:r>
              <w:t xml:space="preserve"> </w:t>
            </w:r>
            <w:r>
              <w:rPr>
                <w:spacing w:val="-2"/>
              </w:rPr>
              <w:t>干流</w:t>
            </w:r>
          </w:p>
        </w:tc>
        <w:tc>
          <w:tcPr>
            <w:tcW w:w="1037" w:type="dxa"/>
            <w:vAlign w:val="top"/>
          </w:tcPr>
          <w:p>
            <w:pPr>
              <w:pStyle w:val="6"/>
              <w:spacing w:before="120" w:line="223" w:lineRule="auto"/>
              <w:ind w:left="318"/>
            </w:pPr>
            <w:r>
              <w:rPr>
                <w:spacing w:val="-4"/>
              </w:rPr>
              <w:t>峃口</w:t>
            </w:r>
          </w:p>
        </w:tc>
        <w:tc>
          <w:tcPr>
            <w:tcW w:w="1038" w:type="dxa"/>
            <w:vAlign w:val="top"/>
          </w:tcPr>
          <w:p>
            <w:pPr>
              <w:pStyle w:val="6"/>
              <w:spacing w:before="120" w:line="221" w:lineRule="auto"/>
              <w:ind w:left="319"/>
            </w:pPr>
            <w:r>
              <w:rPr>
                <w:spacing w:val="-3"/>
              </w:rPr>
              <w:t>市控</w:t>
            </w:r>
          </w:p>
        </w:tc>
        <w:tc>
          <w:tcPr>
            <w:tcW w:w="957" w:type="dxa"/>
            <w:vAlign w:val="top"/>
          </w:tcPr>
          <w:p>
            <w:pPr>
              <w:pStyle w:val="6"/>
              <w:spacing w:before="120" w:line="221" w:lineRule="auto"/>
              <w:ind w:left="307"/>
            </w:pPr>
            <w:r>
              <w:rPr>
                <w:rFonts w:ascii="Times New Roman" w:hAnsi="Times New Roman" w:eastAsia="Times New Roman" w:cs="Times New Roman"/>
                <w:spacing w:val="-2"/>
              </w:rPr>
              <w:t>Ⅱ</w:t>
            </w:r>
            <w:r>
              <w:rPr>
                <w:spacing w:val="-2"/>
              </w:rPr>
              <w:t>类</w:t>
            </w:r>
          </w:p>
        </w:tc>
        <w:tc>
          <w:tcPr>
            <w:tcW w:w="1008" w:type="dxa"/>
            <w:vAlign w:val="top"/>
          </w:tcPr>
          <w:p>
            <w:pPr>
              <w:pStyle w:val="6"/>
              <w:spacing w:before="120" w:line="221" w:lineRule="auto"/>
              <w:ind w:left="332"/>
            </w:pPr>
            <w:r>
              <w:rPr>
                <w:rFonts w:ascii="Times New Roman" w:hAnsi="Times New Roman" w:eastAsia="Times New Roman" w:cs="Times New Roman"/>
                <w:spacing w:val="-2"/>
              </w:rPr>
              <w:t>Ⅱ</w:t>
            </w:r>
            <w:r>
              <w:rPr>
                <w:spacing w:val="-2"/>
              </w:rPr>
              <w:t>类</w:t>
            </w:r>
          </w:p>
        </w:tc>
        <w:tc>
          <w:tcPr>
            <w:tcW w:w="2812" w:type="dxa"/>
            <w:vAlign w:val="top"/>
          </w:tcPr>
          <w:p>
            <w:pPr>
              <w:pStyle w:val="6"/>
              <w:spacing w:before="120" w:line="221" w:lineRule="auto"/>
              <w:ind w:left="470"/>
            </w:pPr>
            <w:r>
              <w:rPr>
                <w:spacing w:val="-1"/>
              </w:rPr>
              <w:t>高锰酸盐指数、总磷</w:t>
            </w:r>
          </w:p>
        </w:tc>
        <w:tc>
          <w:tcPr>
            <w:tcW w:w="727" w:type="dxa"/>
            <w:vAlign w:val="top"/>
          </w:tcPr>
          <w:p>
            <w:pPr>
              <w:pStyle w:val="6"/>
              <w:spacing w:before="121" w:line="221" w:lineRule="auto"/>
              <w:ind w:left="15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43" w:type="dxa"/>
            <w:vMerge w:val="continue"/>
            <w:tcBorders>
              <w:top w:val="nil"/>
              <w:bottom w:val="nil"/>
            </w:tcBorders>
            <w:vAlign w:val="top"/>
          </w:tcPr>
          <w:p>
            <w:pPr>
              <w:rPr>
                <w:rFonts w:ascii="Arial"/>
                <w:sz w:val="21"/>
              </w:rPr>
            </w:pPr>
          </w:p>
        </w:tc>
        <w:tc>
          <w:tcPr>
            <w:tcW w:w="1037" w:type="dxa"/>
            <w:vAlign w:val="top"/>
          </w:tcPr>
          <w:p>
            <w:pPr>
              <w:pStyle w:val="6"/>
              <w:spacing w:before="123" w:line="221" w:lineRule="auto"/>
              <w:ind w:left="99"/>
            </w:pPr>
            <w:r>
              <w:rPr>
                <w:spacing w:val="-1"/>
              </w:rPr>
              <w:t>珊溪库中</w:t>
            </w:r>
          </w:p>
        </w:tc>
        <w:tc>
          <w:tcPr>
            <w:tcW w:w="1038" w:type="dxa"/>
            <w:vAlign w:val="top"/>
          </w:tcPr>
          <w:p>
            <w:pPr>
              <w:pStyle w:val="6"/>
              <w:spacing w:before="124" w:line="221" w:lineRule="auto"/>
              <w:ind w:left="334"/>
            </w:pPr>
            <w:r>
              <w:rPr>
                <w:spacing w:val="-14"/>
              </w:rPr>
              <w:t>国控</w:t>
            </w:r>
          </w:p>
        </w:tc>
        <w:tc>
          <w:tcPr>
            <w:tcW w:w="957" w:type="dxa"/>
            <w:vAlign w:val="top"/>
          </w:tcPr>
          <w:p>
            <w:pPr>
              <w:pStyle w:val="6"/>
              <w:spacing w:before="123" w:line="221" w:lineRule="auto"/>
              <w:ind w:left="307"/>
            </w:pPr>
            <w:r>
              <w:rPr>
                <w:rFonts w:ascii="Times New Roman" w:hAnsi="Times New Roman" w:eastAsia="Times New Roman" w:cs="Times New Roman"/>
                <w:spacing w:val="-2"/>
              </w:rPr>
              <w:t>Ⅱ</w:t>
            </w:r>
            <w:r>
              <w:rPr>
                <w:spacing w:val="-2"/>
              </w:rPr>
              <w:t>类</w:t>
            </w:r>
          </w:p>
        </w:tc>
        <w:tc>
          <w:tcPr>
            <w:tcW w:w="1008" w:type="dxa"/>
            <w:vAlign w:val="top"/>
          </w:tcPr>
          <w:p>
            <w:pPr>
              <w:pStyle w:val="6"/>
              <w:spacing w:before="123" w:line="221" w:lineRule="auto"/>
              <w:ind w:left="363"/>
            </w:pPr>
            <w:r>
              <w:rPr>
                <w:rFonts w:ascii="Times New Roman" w:hAnsi="Times New Roman" w:eastAsia="Times New Roman" w:cs="Times New Roman"/>
                <w:spacing w:val="-3"/>
              </w:rPr>
              <w:t>Ⅰ</w:t>
            </w:r>
            <w:r>
              <w:rPr>
                <w:spacing w:val="-3"/>
              </w:rPr>
              <w:t>类</w:t>
            </w:r>
          </w:p>
        </w:tc>
        <w:tc>
          <w:tcPr>
            <w:tcW w:w="2812" w:type="dxa"/>
            <w:vAlign w:val="top"/>
          </w:tcPr>
          <w:p>
            <w:pPr>
              <w:spacing w:before="250" w:line="100" w:lineRule="exact"/>
              <w:ind w:left="1377"/>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27" w:type="dxa"/>
            <w:vAlign w:val="top"/>
          </w:tcPr>
          <w:p>
            <w:pPr>
              <w:pStyle w:val="6"/>
              <w:spacing w:before="124" w:line="221" w:lineRule="auto"/>
              <w:ind w:left="15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043" w:type="dxa"/>
            <w:vMerge w:val="continue"/>
            <w:tcBorders>
              <w:top w:val="nil"/>
            </w:tcBorders>
            <w:vAlign w:val="top"/>
          </w:tcPr>
          <w:p>
            <w:pPr>
              <w:rPr>
                <w:rFonts w:ascii="Arial"/>
                <w:sz w:val="21"/>
              </w:rPr>
            </w:pPr>
          </w:p>
        </w:tc>
        <w:tc>
          <w:tcPr>
            <w:tcW w:w="1037" w:type="dxa"/>
            <w:vAlign w:val="top"/>
          </w:tcPr>
          <w:p>
            <w:pPr>
              <w:pStyle w:val="6"/>
              <w:spacing w:before="124" w:line="221" w:lineRule="auto"/>
              <w:ind w:left="99"/>
            </w:pPr>
            <w:r>
              <w:rPr>
                <w:spacing w:val="-1"/>
              </w:rPr>
              <w:t>珊溪坝前</w:t>
            </w:r>
          </w:p>
        </w:tc>
        <w:tc>
          <w:tcPr>
            <w:tcW w:w="1038" w:type="dxa"/>
            <w:vAlign w:val="top"/>
          </w:tcPr>
          <w:p>
            <w:pPr>
              <w:pStyle w:val="6"/>
              <w:spacing w:before="124" w:line="221" w:lineRule="auto"/>
              <w:ind w:left="317"/>
            </w:pPr>
            <w:r>
              <w:rPr>
                <w:spacing w:val="-3"/>
              </w:rPr>
              <w:t>省控</w:t>
            </w:r>
          </w:p>
        </w:tc>
        <w:tc>
          <w:tcPr>
            <w:tcW w:w="957" w:type="dxa"/>
            <w:vAlign w:val="top"/>
          </w:tcPr>
          <w:p>
            <w:pPr>
              <w:pStyle w:val="6"/>
              <w:spacing w:before="124" w:line="221" w:lineRule="auto"/>
              <w:ind w:left="307"/>
            </w:pPr>
            <w:r>
              <w:rPr>
                <w:rFonts w:ascii="Times New Roman" w:hAnsi="Times New Roman" w:eastAsia="Times New Roman" w:cs="Times New Roman"/>
                <w:spacing w:val="-2"/>
              </w:rPr>
              <w:t>Ⅱ</w:t>
            </w:r>
            <w:r>
              <w:rPr>
                <w:spacing w:val="-2"/>
              </w:rPr>
              <w:t>类</w:t>
            </w:r>
          </w:p>
        </w:tc>
        <w:tc>
          <w:tcPr>
            <w:tcW w:w="1008" w:type="dxa"/>
            <w:vAlign w:val="top"/>
          </w:tcPr>
          <w:p>
            <w:pPr>
              <w:pStyle w:val="6"/>
              <w:spacing w:before="124" w:line="221" w:lineRule="auto"/>
              <w:ind w:left="363"/>
            </w:pPr>
            <w:r>
              <w:rPr>
                <w:rFonts w:ascii="Times New Roman" w:hAnsi="Times New Roman" w:eastAsia="Times New Roman" w:cs="Times New Roman"/>
                <w:spacing w:val="-3"/>
              </w:rPr>
              <w:t>Ⅰ</w:t>
            </w:r>
            <w:r>
              <w:rPr>
                <w:spacing w:val="-3"/>
              </w:rPr>
              <w:t>类</w:t>
            </w:r>
          </w:p>
        </w:tc>
        <w:tc>
          <w:tcPr>
            <w:tcW w:w="2812" w:type="dxa"/>
            <w:vAlign w:val="top"/>
          </w:tcPr>
          <w:p>
            <w:pPr>
              <w:spacing w:before="251" w:line="100" w:lineRule="exact"/>
              <w:ind w:left="1377"/>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27" w:type="dxa"/>
            <w:vAlign w:val="top"/>
          </w:tcPr>
          <w:p>
            <w:pPr>
              <w:pStyle w:val="6"/>
              <w:spacing w:before="125" w:line="221" w:lineRule="auto"/>
              <w:ind w:left="15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43"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8" w:line="223" w:lineRule="auto"/>
              <w:ind w:left="320"/>
            </w:pPr>
            <w:r>
              <w:rPr>
                <w:spacing w:val="-3"/>
              </w:rPr>
              <w:t>泗溪</w:t>
            </w:r>
          </w:p>
        </w:tc>
        <w:tc>
          <w:tcPr>
            <w:tcW w:w="1037" w:type="dxa"/>
            <w:vAlign w:val="top"/>
          </w:tcPr>
          <w:p>
            <w:pPr>
              <w:pStyle w:val="6"/>
              <w:spacing w:before="122" w:line="223" w:lineRule="auto"/>
              <w:ind w:left="313"/>
            </w:pPr>
            <w:r>
              <w:rPr>
                <w:spacing w:val="-3"/>
              </w:rPr>
              <w:t>南田</w:t>
            </w:r>
          </w:p>
        </w:tc>
        <w:tc>
          <w:tcPr>
            <w:tcW w:w="1038" w:type="dxa"/>
            <w:vAlign w:val="top"/>
          </w:tcPr>
          <w:p>
            <w:pPr>
              <w:pStyle w:val="6"/>
              <w:spacing w:before="123" w:line="221" w:lineRule="auto"/>
              <w:ind w:left="315"/>
            </w:pPr>
            <w:r>
              <w:rPr>
                <w:spacing w:val="-2"/>
              </w:rPr>
              <w:t>县控</w:t>
            </w:r>
          </w:p>
        </w:tc>
        <w:tc>
          <w:tcPr>
            <w:tcW w:w="957" w:type="dxa"/>
            <w:vAlign w:val="top"/>
          </w:tcPr>
          <w:p>
            <w:pPr>
              <w:pStyle w:val="6"/>
              <w:spacing w:before="122" w:line="221" w:lineRule="auto"/>
              <w:ind w:left="274"/>
            </w:pPr>
            <w:r>
              <w:rPr>
                <w:rFonts w:ascii="Times New Roman" w:hAnsi="Times New Roman" w:eastAsia="Times New Roman" w:cs="Times New Roman"/>
                <w:spacing w:val="-2"/>
              </w:rPr>
              <w:t>Ⅲ</w:t>
            </w:r>
            <w:r>
              <w:rPr>
                <w:spacing w:val="-2"/>
              </w:rPr>
              <w:t>类</w:t>
            </w:r>
          </w:p>
        </w:tc>
        <w:tc>
          <w:tcPr>
            <w:tcW w:w="1008" w:type="dxa"/>
            <w:vAlign w:val="top"/>
          </w:tcPr>
          <w:p>
            <w:pPr>
              <w:pStyle w:val="6"/>
              <w:spacing w:before="122" w:line="221" w:lineRule="auto"/>
              <w:ind w:left="332"/>
            </w:pPr>
            <w:r>
              <w:rPr>
                <w:rFonts w:ascii="Times New Roman" w:hAnsi="Times New Roman" w:eastAsia="Times New Roman" w:cs="Times New Roman"/>
                <w:spacing w:val="-2"/>
              </w:rPr>
              <w:t>Ⅱ</w:t>
            </w:r>
            <w:r>
              <w:rPr>
                <w:spacing w:val="-2"/>
              </w:rPr>
              <w:t>类</w:t>
            </w:r>
          </w:p>
        </w:tc>
        <w:tc>
          <w:tcPr>
            <w:tcW w:w="2812" w:type="dxa"/>
            <w:vAlign w:val="top"/>
          </w:tcPr>
          <w:p>
            <w:pPr>
              <w:pStyle w:val="6"/>
              <w:spacing w:before="122" w:line="217" w:lineRule="auto"/>
              <w:ind w:left="156"/>
            </w:pPr>
            <w:r>
              <w:rPr>
                <w:spacing w:val="-1"/>
              </w:rPr>
              <w:t>高锰酸盐指数、氨氮、总磷</w:t>
            </w:r>
          </w:p>
        </w:tc>
        <w:tc>
          <w:tcPr>
            <w:tcW w:w="727" w:type="dxa"/>
            <w:vAlign w:val="top"/>
          </w:tcPr>
          <w:p>
            <w:pPr>
              <w:pStyle w:val="6"/>
              <w:spacing w:before="123" w:line="221" w:lineRule="auto"/>
              <w:ind w:left="15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43" w:type="dxa"/>
            <w:vMerge w:val="continue"/>
            <w:tcBorders>
              <w:top w:val="nil"/>
              <w:bottom w:val="nil"/>
            </w:tcBorders>
            <w:vAlign w:val="top"/>
          </w:tcPr>
          <w:p>
            <w:pPr>
              <w:rPr>
                <w:rFonts w:ascii="Arial"/>
                <w:sz w:val="21"/>
              </w:rPr>
            </w:pPr>
          </w:p>
        </w:tc>
        <w:tc>
          <w:tcPr>
            <w:tcW w:w="1037" w:type="dxa"/>
            <w:vAlign w:val="top"/>
          </w:tcPr>
          <w:p>
            <w:pPr>
              <w:pStyle w:val="6"/>
              <w:spacing w:before="123" w:line="220" w:lineRule="auto"/>
              <w:ind w:left="213"/>
            </w:pPr>
            <w:r>
              <w:rPr>
                <w:spacing w:val="-3"/>
              </w:rPr>
              <w:t>百丈漈</w:t>
            </w:r>
          </w:p>
        </w:tc>
        <w:tc>
          <w:tcPr>
            <w:tcW w:w="1038" w:type="dxa"/>
            <w:vAlign w:val="top"/>
          </w:tcPr>
          <w:p>
            <w:pPr>
              <w:pStyle w:val="6"/>
              <w:spacing w:before="122" w:line="221" w:lineRule="auto"/>
              <w:ind w:left="319"/>
            </w:pPr>
            <w:r>
              <w:rPr>
                <w:spacing w:val="-3"/>
              </w:rPr>
              <w:t>市控</w:t>
            </w:r>
          </w:p>
        </w:tc>
        <w:tc>
          <w:tcPr>
            <w:tcW w:w="957" w:type="dxa"/>
            <w:vAlign w:val="top"/>
          </w:tcPr>
          <w:p>
            <w:pPr>
              <w:pStyle w:val="6"/>
              <w:spacing w:before="122" w:line="221" w:lineRule="auto"/>
              <w:ind w:left="274"/>
            </w:pPr>
            <w:r>
              <w:rPr>
                <w:rFonts w:ascii="Times New Roman" w:hAnsi="Times New Roman" w:eastAsia="Times New Roman" w:cs="Times New Roman"/>
                <w:spacing w:val="-2"/>
              </w:rPr>
              <w:t>Ⅲ</w:t>
            </w:r>
            <w:r>
              <w:rPr>
                <w:spacing w:val="-2"/>
              </w:rPr>
              <w:t>类</w:t>
            </w:r>
          </w:p>
        </w:tc>
        <w:tc>
          <w:tcPr>
            <w:tcW w:w="1008" w:type="dxa"/>
            <w:vAlign w:val="top"/>
          </w:tcPr>
          <w:p>
            <w:pPr>
              <w:pStyle w:val="6"/>
              <w:spacing w:before="122" w:line="221" w:lineRule="auto"/>
              <w:ind w:left="332"/>
            </w:pPr>
            <w:r>
              <w:rPr>
                <w:rFonts w:ascii="Times New Roman" w:hAnsi="Times New Roman" w:eastAsia="Times New Roman" w:cs="Times New Roman"/>
                <w:spacing w:val="-2"/>
              </w:rPr>
              <w:t>Ⅱ</w:t>
            </w:r>
            <w:r>
              <w:rPr>
                <w:spacing w:val="-2"/>
              </w:rPr>
              <w:t>类</w:t>
            </w:r>
          </w:p>
        </w:tc>
        <w:tc>
          <w:tcPr>
            <w:tcW w:w="2812" w:type="dxa"/>
            <w:vAlign w:val="top"/>
          </w:tcPr>
          <w:p>
            <w:pPr>
              <w:pStyle w:val="6"/>
              <w:spacing w:before="122" w:line="221" w:lineRule="auto"/>
              <w:ind w:left="1207"/>
            </w:pPr>
            <w:r>
              <w:rPr>
                <w:spacing w:val="-3"/>
              </w:rPr>
              <w:t>总磷</w:t>
            </w:r>
          </w:p>
        </w:tc>
        <w:tc>
          <w:tcPr>
            <w:tcW w:w="727" w:type="dxa"/>
            <w:vAlign w:val="top"/>
          </w:tcPr>
          <w:p>
            <w:pPr>
              <w:pStyle w:val="6"/>
              <w:spacing w:before="123" w:line="221" w:lineRule="auto"/>
              <w:ind w:left="15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43" w:type="dxa"/>
            <w:vMerge w:val="continue"/>
            <w:tcBorders>
              <w:top w:val="nil"/>
              <w:bottom w:val="nil"/>
            </w:tcBorders>
            <w:vAlign w:val="top"/>
          </w:tcPr>
          <w:p>
            <w:pPr>
              <w:rPr>
                <w:rFonts w:ascii="Arial"/>
                <w:sz w:val="21"/>
              </w:rPr>
            </w:pPr>
          </w:p>
        </w:tc>
        <w:tc>
          <w:tcPr>
            <w:tcW w:w="1037" w:type="dxa"/>
            <w:vAlign w:val="top"/>
          </w:tcPr>
          <w:p>
            <w:pPr>
              <w:pStyle w:val="6"/>
              <w:spacing w:before="123" w:line="221" w:lineRule="auto"/>
              <w:ind w:left="206"/>
            </w:pPr>
            <w:r>
              <w:rPr>
                <w:spacing w:val="-2"/>
              </w:rPr>
              <w:t>县水厂</w:t>
            </w:r>
          </w:p>
        </w:tc>
        <w:tc>
          <w:tcPr>
            <w:tcW w:w="1038" w:type="dxa"/>
            <w:vAlign w:val="top"/>
          </w:tcPr>
          <w:p>
            <w:pPr>
              <w:pStyle w:val="6"/>
              <w:spacing w:before="124" w:line="221" w:lineRule="auto"/>
              <w:ind w:left="315"/>
            </w:pPr>
            <w:r>
              <w:rPr>
                <w:spacing w:val="-2"/>
              </w:rPr>
              <w:t>县控</w:t>
            </w:r>
          </w:p>
        </w:tc>
        <w:tc>
          <w:tcPr>
            <w:tcW w:w="957" w:type="dxa"/>
            <w:vAlign w:val="top"/>
          </w:tcPr>
          <w:p>
            <w:pPr>
              <w:pStyle w:val="6"/>
              <w:spacing w:before="123" w:line="221" w:lineRule="auto"/>
              <w:ind w:left="307"/>
            </w:pPr>
            <w:r>
              <w:rPr>
                <w:rFonts w:ascii="Times New Roman" w:hAnsi="Times New Roman" w:eastAsia="Times New Roman" w:cs="Times New Roman"/>
                <w:spacing w:val="-2"/>
              </w:rPr>
              <w:t>Ⅱ</w:t>
            </w:r>
            <w:r>
              <w:rPr>
                <w:spacing w:val="-2"/>
              </w:rPr>
              <w:t>类</w:t>
            </w:r>
          </w:p>
        </w:tc>
        <w:tc>
          <w:tcPr>
            <w:tcW w:w="1008" w:type="dxa"/>
            <w:vAlign w:val="top"/>
          </w:tcPr>
          <w:p>
            <w:pPr>
              <w:pStyle w:val="6"/>
              <w:spacing w:before="123" w:line="221" w:lineRule="auto"/>
              <w:ind w:left="332"/>
            </w:pPr>
            <w:r>
              <w:rPr>
                <w:rFonts w:ascii="Times New Roman" w:hAnsi="Times New Roman" w:eastAsia="Times New Roman" w:cs="Times New Roman"/>
                <w:spacing w:val="-2"/>
              </w:rPr>
              <w:t>Ⅱ</w:t>
            </w:r>
            <w:r>
              <w:rPr>
                <w:spacing w:val="-2"/>
              </w:rPr>
              <w:t>类</w:t>
            </w:r>
          </w:p>
        </w:tc>
        <w:tc>
          <w:tcPr>
            <w:tcW w:w="2812" w:type="dxa"/>
            <w:vAlign w:val="top"/>
          </w:tcPr>
          <w:p>
            <w:pPr>
              <w:pStyle w:val="6"/>
              <w:spacing w:before="123" w:line="220" w:lineRule="auto"/>
              <w:ind w:left="784"/>
            </w:pPr>
            <w:r>
              <w:rPr>
                <w:spacing w:val="-1"/>
              </w:rPr>
              <w:t>溶解氧、总磷</w:t>
            </w:r>
          </w:p>
        </w:tc>
        <w:tc>
          <w:tcPr>
            <w:tcW w:w="727" w:type="dxa"/>
            <w:vAlign w:val="top"/>
          </w:tcPr>
          <w:p>
            <w:pPr>
              <w:pStyle w:val="6"/>
              <w:spacing w:before="124" w:line="221" w:lineRule="auto"/>
              <w:ind w:left="15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43" w:type="dxa"/>
            <w:vMerge w:val="continue"/>
            <w:tcBorders>
              <w:top w:val="nil"/>
            </w:tcBorders>
            <w:vAlign w:val="top"/>
          </w:tcPr>
          <w:p>
            <w:pPr>
              <w:rPr>
                <w:rFonts w:ascii="Arial"/>
                <w:sz w:val="21"/>
              </w:rPr>
            </w:pPr>
          </w:p>
        </w:tc>
        <w:tc>
          <w:tcPr>
            <w:tcW w:w="1037" w:type="dxa"/>
            <w:vAlign w:val="top"/>
          </w:tcPr>
          <w:p>
            <w:pPr>
              <w:pStyle w:val="6"/>
              <w:spacing w:before="124" w:line="223" w:lineRule="auto"/>
              <w:ind w:left="313"/>
            </w:pPr>
            <w:r>
              <w:rPr>
                <w:spacing w:val="-3"/>
              </w:rPr>
              <w:t>泗溪</w:t>
            </w:r>
          </w:p>
        </w:tc>
        <w:tc>
          <w:tcPr>
            <w:tcW w:w="1038" w:type="dxa"/>
            <w:vAlign w:val="top"/>
          </w:tcPr>
          <w:p>
            <w:pPr>
              <w:pStyle w:val="6"/>
              <w:spacing w:before="124" w:line="221" w:lineRule="auto"/>
              <w:ind w:left="334"/>
            </w:pPr>
            <w:r>
              <w:rPr>
                <w:spacing w:val="-14"/>
              </w:rPr>
              <w:t>国控</w:t>
            </w:r>
          </w:p>
        </w:tc>
        <w:tc>
          <w:tcPr>
            <w:tcW w:w="957" w:type="dxa"/>
            <w:vAlign w:val="top"/>
          </w:tcPr>
          <w:p>
            <w:pPr>
              <w:pStyle w:val="6"/>
              <w:spacing w:before="124" w:line="221" w:lineRule="auto"/>
              <w:ind w:left="274"/>
            </w:pPr>
            <w:r>
              <w:rPr>
                <w:rFonts w:ascii="Times New Roman" w:hAnsi="Times New Roman" w:eastAsia="Times New Roman" w:cs="Times New Roman"/>
                <w:spacing w:val="-2"/>
              </w:rPr>
              <w:t>Ⅲ</w:t>
            </w:r>
            <w:r>
              <w:rPr>
                <w:spacing w:val="-2"/>
              </w:rPr>
              <w:t>类</w:t>
            </w:r>
          </w:p>
        </w:tc>
        <w:tc>
          <w:tcPr>
            <w:tcW w:w="1008" w:type="dxa"/>
            <w:vAlign w:val="top"/>
          </w:tcPr>
          <w:p>
            <w:pPr>
              <w:pStyle w:val="6"/>
              <w:spacing w:before="124" w:line="221" w:lineRule="auto"/>
              <w:ind w:left="332"/>
            </w:pPr>
            <w:r>
              <w:rPr>
                <w:rFonts w:ascii="Times New Roman" w:hAnsi="Times New Roman" w:eastAsia="Times New Roman" w:cs="Times New Roman"/>
                <w:spacing w:val="-2"/>
              </w:rPr>
              <w:t>Ⅱ</w:t>
            </w:r>
            <w:r>
              <w:rPr>
                <w:spacing w:val="-2"/>
              </w:rPr>
              <w:t>类</w:t>
            </w:r>
          </w:p>
        </w:tc>
        <w:tc>
          <w:tcPr>
            <w:tcW w:w="2812" w:type="dxa"/>
            <w:vAlign w:val="top"/>
          </w:tcPr>
          <w:p>
            <w:pPr>
              <w:pStyle w:val="6"/>
              <w:spacing w:before="124" w:line="217" w:lineRule="auto"/>
              <w:ind w:left="885"/>
            </w:pPr>
            <w:r>
              <w:rPr>
                <w:spacing w:val="-1"/>
              </w:rPr>
              <w:t>氨氮、总磷</w:t>
            </w:r>
          </w:p>
        </w:tc>
        <w:tc>
          <w:tcPr>
            <w:tcW w:w="727" w:type="dxa"/>
            <w:vAlign w:val="top"/>
          </w:tcPr>
          <w:p>
            <w:pPr>
              <w:pStyle w:val="6"/>
              <w:spacing w:before="124" w:line="221" w:lineRule="auto"/>
              <w:ind w:left="15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43" w:type="dxa"/>
            <w:vAlign w:val="top"/>
          </w:tcPr>
          <w:p>
            <w:pPr>
              <w:pStyle w:val="6"/>
              <w:spacing w:before="127" w:line="221" w:lineRule="auto"/>
              <w:ind w:left="325"/>
            </w:pPr>
            <w:r>
              <w:rPr>
                <w:spacing w:val="-4"/>
              </w:rPr>
              <w:t>东溪</w:t>
            </w:r>
          </w:p>
        </w:tc>
        <w:tc>
          <w:tcPr>
            <w:tcW w:w="1037" w:type="dxa"/>
            <w:vAlign w:val="top"/>
          </w:tcPr>
          <w:p>
            <w:pPr>
              <w:pStyle w:val="6"/>
              <w:spacing w:before="127" w:line="221" w:lineRule="auto"/>
              <w:ind w:left="318"/>
            </w:pPr>
            <w:r>
              <w:rPr>
                <w:spacing w:val="-4"/>
              </w:rPr>
              <w:t>东溪</w:t>
            </w:r>
          </w:p>
        </w:tc>
        <w:tc>
          <w:tcPr>
            <w:tcW w:w="1038" w:type="dxa"/>
            <w:vAlign w:val="top"/>
          </w:tcPr>
          <w:p>
            <w:pPr>
              <w:pStyle w:val="6"/>
              <w:spacing w:before="127" w:line="221" w:lineRule="auto"/>
              <w:ind w:left="315"/>
            </w:pPr>
            <w:r>
              <w:rPr>
                <w:spacing w:val="-2"/>
              </w:rPr>
              <w:t>县控</w:t>
            </w:r>
          </w:p>
        </w:tc>
        <w:tc>
          <w:tcPr>
            <w:tcW w:w="957" w:type="dxa"/>
            <w:vAlign w:val="top"/>
          </w:tcPr>
          <w:p>
            <w:pPr>
              <w:pStyle w:val="6"/>
              <w:spacing w:before="127" w:line="221" w:lineRule="auto"/>
              <w:ind w:left="307"/>
            </w:pPr>
            <w:r>
              <w:rPr>
                <w:rFonts w:ascii="Times New Roman" w:hAnsi="Times New Roman" w:eastAsia="Times New Roman" w:cs="Times New Roman"/>
                <w:spacing w:val="-2"/>
              </w:rPr>
              <w:t>Ⅱ</w:t>
            </w:r>
            <w:r>
              <w:rPr>
                <w:spacing w:val="-2"/>
              </w:rPr>
              <w:t>类</w:t>
            </w:r>
          </w:p>
        </w:tc>
        <w:tc>
          <w:tcPr>
            <w:tcW w:w="1008" w:type="dxa"/>
            <w:vAlign w:val="top"/>
          </w:tcPr>
          <w:p>
            <w:pPr>
              <w:pStyle w:val="6"/>
              <w:spacing w:before="127" w:line="221" w:lineRule="auto"/>
              <w:ind w:left="363"/>
            </w:pPr>
            <w:r>
              <w:rPr>
                <w:rFonts w:ascii="Times New Roman" w:hAnsi="Times New Roman" w:eastAsia="Times New Roman" w:cs="Times New Roman"/>
                <w:spacing w:val="-3"/>
              </w:rPr>
              <w:t>Ⅰ</w:t>
            </w:r>
            <w:r>
              <w:rPr>
                <w:spacing w:val="-3"/>
              </w:rPr>
              <w:t>类</w:t>
            </w:r>
          </w:p>
        </w:tc>
        <w:tc>
          <w:tcPr>
            <w:tcW w:w="2812" w:type="dxa"/>
            <w:vAlign w:val="top"/>
          </w:tcPr>
          <w:p>
            <w:pPr>
              <w:spacing w:before="253" w:line="101" w:lineRule="exact"/>
              <w:ind w:left="1377"/>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27" w:type="dxa"/>
            <w:vAlign w:val="top"/>
          </w:tcPr>
          <w:p>
            <w:pPr>
              <w:pStyle w:val="6"/>
              <w:spacing w:before="127" w:line="221" w:lineRule="auto"/>
              <w:ind w:left="15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043" w:type="dxa"/>
            <w:vAlign w:val="top"/>
          </w:tcPr>
          <w:p>
            <w:pPr>
              <w:pStyle w:val="6"/>
              <w:spacing w:before="128" w:line="221" w:lineRule="auto"/>
              <w:ind w:left="212"/>
            </w:pPr>
            <w:r>
              <w:rPr>
                <w:spacing w:val="-2"/>
              </w:rPr>
              <w:t>玉泉溪</w:t>
            </w:r>
          </w:p>
        </w:tc>
        <w:tc>
          <w:tcPr>
            <w:tcW w:w="1037" w:type="dxa"/>
            <w:vAlign w:val="top"/>
          </w:tcPr>
          <w:p>
            <w:pPr>
              <w:pStyle w:val="6"/>
              <w:spacing w:before="127" w:line="231" w:lineRule="auto"/>
              <w:ind w:left="312"/>
            </w:pPr>
            <w:r>
              <w:rPr>
                <w:spacing w:val="-2"/>
              </w:rPr>
              <w:t>玉壶</w:t>
            </w:r>
          </w:p>
        </w:tc>
        <w:tc>
          <w:tcPr>
            <w:tcW w:w="1038" w:type="dxa"/>
            <w:vAlign w:val="top"/>
          </w:tcPr>
          <w:p>
            <w:pPr>
              <w:pStyle w:val="6"/>
              <w:spacing w:before="128" w:line="221" w:lineRule="auto"/>
              <w:ind w:left="315"/>
            </w:pPr>
            <w:r>
              <w:rPr>
                <w:spacing w:val="-2"/>
              </w:rPr>
              <w:t>县控</w:t>
            </w:r>
          </w:p>
        </w:tc>
        <w:tc>
          <w:tcPr>
            <w:tcW w:w="957" w:type="dxa"/>
            <w:vAlign w:val="top"/>
          </w:tcPr>
          <w:p>
            <w:pPr>
              <w:pStyle w:val="6"/>
              <w:spacing w:before="127" w:line="221" w:lineRule="auto"/>
              <w:ind w:left="307"/>
            </w:pPr>
            <w:r>
              <w:rPr>
                <w:rFonts w:ascii="Times New Roman" w:hAnsi="Times New Roman" w:eastAsia="Times New Roman" w:cs="Times New Roman"/>
                <w:spacing w:val="-2"/>
              </w:rPr>
              <w:t>Ⅱ</w:t>
            </w:r>
            <w:r>
              <w:rPr>
                <w:spacing w:val="-2"/>
              </w:rPr>
              <w:t>类</w:t>
            </w:r>
          </w:p>
        </w:tc>
        <w:tc>
          <w:tcPr>
            <w:tcW w:w="1008" w:type="dxa"/>
            <w:vAlign w:val="top"/>
          </w:tcPr>
          <w:p>
            <w:pPr>
              <w:pStyle w:val="6"/>
              <w:spacing w:before="127" w:line="221" w:lineRule="auto"/>
              <w:ind w:left="332"/>
            </w:pPr>
            <w:r>
              <w:rPr>
                <w:rFonts w:ascii="Times New Roman" w:hAnsi="Times New Roman" w:eastAsia="Times New Roman" w:cs="Times New Roman"/>
                <w:spacing w:val="-2"/>
              </w:rPr>
              <w:t>Ⅱ</w:t>
            </w:r>
            <w:r>
              <w:rPr>
                <w:spacing w:val="-2"/>
              </w:rPr>
              <w:t>类</w:t>
            </w:r>
          </w:p>
        </w:tc>
        <w:tc>
          <w:tcPr>
            <w:tcW w:w="2812" w:type="dxa"/>
            <w:vAlign w:val="top"/>
          </w:tcPr>
          <w:p>
            <w:pPr>
              <w:pStyle w:val="6"/>
              <w:spacing w:before="127" w:line="221" w:lineRule="auto"/>
              <w:ind w:left="1207"/>
            </w:pPr>
            <w:r>
              <w:rPr>
                <w:spacing w:val="-3"/>
              </w:rPr>
              <w:t>总磷</w:t>
            </w:r>
          </w:p>
        </w:tc>
        <w:tc>
          <w:tcPr>
            <w:tcW w:w="727" w:type="dxa"/>
            <w:vAlign w:val="top"/>
          </w:tcPr>
          <w:p>
            <w:pPr>
              <w:pStyle w:val="6"/>
              <w:spacing w:before="128" w:line="221" w:lineRule="auto"/>
              <w:ind w:left="158"/>
            </w:pPr>
            <w:r>
              <w:rPr>
                <w:spacing w:val="-2"/>
              </w:rPr>
              <w:t>达标</w:t>
            </w:r>
          </w:p>
        </w:tc>
      </w:tr>
      <w:tr>
        <w:tblPrEx>
          <w:tblCellMar>
            <w:top w:w="0" w:type="dxa"/>
            <w:left w:w="0" w:type="dxa"/>
            <w:bottom w:w="0" w:type="dxa"/>
            <w:right w:w="0" w:type="dxa"/>
          </w:tblCellMar>
        </w:tblPrEx>
        <w:trPr>
          <w:trHeight w:val="461" w:hRule="atLeast"/>
        </w:trPr>
        <w:tc>
          <w:tcPr>
            <w:tcW w:w="1043" w:type="dxa"/>
            <w:vAlign w:val="top"/>
          </w:tcPr>
          <w:p>
            <w:pPr>
              <w:pStyle w:val="6"/>
              <w:spacing w:before="126" w:line="221" w:lineRule="auto"/>
              <w:ind w:left="318"/>
            </w:pPr>
            <w:r>
              <w:rPr>
                <w:spacing w:val="-2"/>
              </w:rPr>
              <w:t>凤溪</w:t>
            </w:r>
          </w:p>
        </w:tc>
        <w:tc>
          <w:tcPr>
            <w:tcW w:w="1037" w:type="dxa"/>
            <w:vAlign w:val="top"/>
          </w:tcPr>
          <w:p>
            <w:pPr>
              <w:pStyle w:val="6"/>
              <w:spacing w:before="126" w:line="221" w:lineRule="auto"/>
              <w:ind w:left="312"/>
            </w:pPr>
            <w:r>
              <w:rPr>
                <w:spacing w:val="-2"/>
              </w:rPr>
              <w:t>凤溪</w:t>
            </w:r>
          </w:p>
        </w:tc>
        <w:tc>
          <w:tcPr>
            <w:tcW w:w="1038" w:type="dxa"/>
            <w:vAlign w:val="top"/>
          </w:tcPr>
          <w:p>
            <w:pPr>
              <w:pStyle w:val="6"/>
              <w:spacing w:before="126" w:line="221" w:lineRule="auto"/>
              <w:ind w:left="315"/>
            </w:pPr>
            <w:r>
              <w:rPr>
                <w:spacing w:val="-2"/>
              </w:rPr>
              <w:t>县控</w:t>
            </w:r>
          </w:p>
        </w:tc>
        <w:tc>
          <w:tcPr>
            <w:tcW w:w="957" w:type="dxa"/>
            <w:vAlign w:val="top"/>
          </w:tcPr>
          <w:p>
            <w:pPr>
              <w:pStyle w:val="6"/>
              <w:spacing w:before="125" w:line="221" w:lineRule="auto"/>
              <w:ind w:left="264"/>
            </w:pPr>
            <w:r>
              <w:rPr>
                <w:rFonts w:ascii="Times New Roman" w:hAnsi="Times New Roman" w:eastAsia="Times New Roman" w:cs="Times New Roman"/>
                <w:spacing w:val="-1"/>
              </w:rPr>
              <w:t>Ⅳ</w:t>
            </w:r>
            <w:r>
              <w:rPr>
                <w:spacing w:val="-1"/>
              </w:rPr>
              <w:t>类</w:t>
            </w:r>
          </w:p>
        </w:tc>
        <w:tc>
          <w:tcPr>
            <w:tcW w:w="1008" w:type="dxa"/>
            <w:vAlign w:val="top"/>
          </w:tcPr>
          <w:p>
            <w:pPr>
              <w:pStyle w:val="6"/>
              <w:spacing w:before="125" w:line="221" w:lineRule="auto"/>
              <w:ind w:left="299"/>
            </w:pPr>
            <w:r>
              <w:rPr>
                <w:rFonts w:ascii="Times New Roman" w:hAnsi="Times New Roman" w:eastAsia="Times New Roman" w:cs="Times New Roman"/>
                <w:spacing w:val="-2"/>
              </w:rPr>
              <w:t>Ⅲ</w:t>
            </w:r>
            <w:r>
              <w:rPr>
                <w:spacing w:val="-2"/>
              </w:rPr>
              <w:t>类</w:t>
            </w:r>
          </w:p>
        </w:tc>
        <w:tc>
          <w:tcPr>
            <w:tcW w:w="2812" w:type="dxa"/>
            <w:vAlign w:val="top"/>
          </w:tcPr>
          <w:p>
            <w:pPr>
              <w:pStyle w:val="6"/>
              <w:spacing w:before="125" w:line="221" w:lineRule="auto"/>
              <w:ind w:left="1207"/>
            </w:pPr>
            <w:r>
              <w:rPr>
                <w:spacing w:val="-3"/>
              </w:rPr>
              <w:t>总磷</w:t>
            </w:r>
          </w:p>
        </w:tc>
        <w:tc>
          <w:tcPr>
            <w:tcW w:w="727" w:type="dxa"/>
            <w:vAlign w:val="top"/>
          </w:tcPr>
          <w:p>
            <w:pPr>
              <w:pStyle w:val="6"/>
              <w:spacing w:before="126" w:line="221" w:lineRule="auto"/>
              <w:ind w:left="15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043" w:type="dxa"/>
            <w:vAlign w:val="top"/>
          </w:tcPr>
          <w:p>
            <w:pPr>
              <w:pStyle w:val="6"/>
              <w:spacing w:before="143" w:line="221" w:lineRule="auto"/>
              <w:ind w:left="113"/>
            </w:pPr>
            <w:r>
              <w:rPr>
                <w:spacing w:val="-4"/>
              </w:rPr>
              <w:t>峃作口溪</w:t>
            </w:r>
          </w:p>
        </w:tc>
        <w:tc>
          <w:tcPr>
            <w:tcW w:w="1037" w:type="dxa"/>
            <w:vAlign w:val="top"/>
          </w:tcPr>
          <w:p>
            <w:pPr>
              <w:pStyle w:val="6"/>
              <w:spacing w:before="143" w:line="221" w:lineRule="auto"/>
              <w:ind w:left="316"/>
            </w:pPr>
            <w:r>
              <w:rPr>
                <w:spacing w:val="-3"/>
              </w:rPr>
              <w:t>西坑</w:t>
            </w:r>
          </w:p>
        </w:tc>
        <w:tc>
          <w:tcPr>
            <w:tcW w:w="1038" w:type="dxa"/>
            <w:vAlign w:val="top"/>
          </w:tcPr>
          <w:p>
            <w:pPr>
              <w:pStyle w:val="6"/>
              <w:spacing w:before="143" w:line="221" w:lineRule="auto"/>
              <w:ind w:left="315"/>
            </w:pPr>
            <w:r>
              <w:rPr>
                <w:spacing w:val="-2"/>
              </w:rPr>
              <w:t>县控</w:t>
            </w:r>
          </w:p>
        </w:tc>
        <w:tc>
          <w:tcPr>
            <w:tcW w:w="957" w:type="dxa"/>
            <w:vAlign w:val="top"/>
          </w:tcPr>
          <w:p>
            <w:pPr>
              <w:pStyle w:val="6"/>
              <w:spacing w:before="142" w:line="221" w:lineRule="auto"/>
              <w:ind w:left="307"/>
            </w:pPr>
            <w:r>
              <w:rPr>
                <w:rFonts w:ascii="Times New Roman" w:hAnsi="Times New Roman" w:eastAsia="Times New Roman" w:cs="Times New Roman"/>
                <w:spacing w:val="-2"/>
              </w:rPr>
              <w:t>Ⅱ</w:t>
            </w:r>
            <w:r>
              <w:rPr>
                <w:spacing w:val="-2"/>
              </w:rPr>
              <w:t>类</w:t>
            </w:r>
          </w:p>
        </w:tc>
        <w:tc>
          <w:tcPr>
            <w:tcW w:w="1008" w:type="dxa"/>
            <w:vAlign w:val="top"/>
          </w:tcPr>
          <w:p>
            <w:pPr>
              <w:pStyle w:val="6"/>
              <w:spacing w:before="142" w:line="221" w:lineRule="auto"/>
              <w:ind w:left="332"/>
            </w:pPr>
            <w:r>
              <w:rPr>
                <w:rFonts w:ascii="Times New Roman" w:hAnsi="Times New Roman" w:eastAsia="Times New Roman" w:cs="Times New Roman"/>
                <w:spacing w:val="-2"/>
              </w:rPr>
              <w:t>Ⅱ</w:t>
            </w:r>
            <w:r>
              <w:rPr>
                <w:spacing w:val="-2"/>
              </w:rPr>
              <w:t>类</w:t>
            </w:r>
          </w:p>
        </w:tc>
        <w:tc>
          <w:tcPr>
            <w:tcW w:w="2812" w:type="dxa"/>
            <w:vAlign w:val="top"/>
          </w:tcPr>
          <w:p>
            <w:pPr>
              <w:pStyle w:val="6"/>
              <w:spacing w:before="142" w:line="217" w:lineRule="auto"/>
              <w:ind w:left="885"/>
            </w:pPr>
            <w:r>
              <w:rPr>
                <w:spacing w:val="-1"/>
              </w:rPr>
              <w:t>氨氮、总磷</w:t>
            </w:r>
          </w:p>
        </w:tc>
        <w:tc>
          <w:tcPr>
            <w:tcW w:w="727" w:type="dxa"/>
            <w:vAlign w:val="top"/>
          </w:tcPr>
          <w:p>
            <w:pPr>
              <w:pStyle w:val="6"/>
              <w:spacing w:before="143" w:line="221" w:lineRule="auto"/>
              <w:ind w:left="158"/>
            </w:pPr>
            <w:r>
              <w:rPr>
                <w:spacing w:val="-2"/>
              </w:rPr>
              <w:t>达标</w:t>
            </w:r>
          </w:p>
        </w:tc>
      </w:tr>
    </w:tbl>
    <w:p>
      <w:pPr>
        <w:spacing w:before="194" w:line="359" w:lineRule="auto"/>
        <w:ind w:left="171" w:right="155" w:firstLine="478"/>
        <w:jc w:val="both"/>
        <w:rPr>
          <w:rFonts w:ascii="宋体" w:hAnsi="宋体" w:eastAsia="宋体" w:cs="宋体"/>
          <w:sz w:val="24"/>
          <w:szCs w:val="24"/>
        </w:rPr>
      </w:pPr>
      <w:r>
        <w:rPr>
          <w:rFonts w:ascii="宋体" w:hAnsi="宋体" w:eastAsia="宋体" w:cs="宋体"/>
          <w:spacing w:val="-10"/>
          <w:sz w:val="24"/>
          <w:szCs w:val="24"/>
        </w:rPr>
        <w:t>对文成县域内</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 xml:space="preserve">11 </w:t>
      </w:r>
      <w:r>
        <w:rPr>
          <w:rFonts w:ascii="宋体" w:hAnsi="宋体" w:eastAsia="宋体" w:cs="宋体"/>
          <w:spacing w:val="-10"/>
          <w:sz w:val="24"/>
          <w:szCs w:val="24"/>
        </w:rPr>
        <w:t>个断面水质进行监测结果统计显示，</w:t>
      </w:r>
      <w:r>
        <w:rPr>
          <w:rFonts w:ascii="宋体" w:hAnsi="宋体" w:eastAsia="宋体" w:cs="宋体"/>
          <w:spacing w:val="39"/>
          <w:sz w:val="24"/>
          <w:szCs w:val="24"/>
        </w:rPr>
        <w:t xml:space="preserve"> </w:t>
      </w:r>
      <w:r>
        <w:rPr>
          <w:rFonts w:ascii="Times New Roman" w:hAnsi="Times New Roman" w:eastAsia="Times New Roman" w:cs="Times New Roman"/>
          <w:spacing w:val="-10"/>
          <w:sz w:val="24"/>
          <w:szCs w:val="24"/>
        </w:rPr>
        <w:t>Ⅰ</w:t>
      </w:r>
      <w:r>
        <w:rPr>
          <w:rFonts w:ascii="宋体" w:hAnsi="宋体" w:eastAsia="宋体" w:cs="宋体"/>
          <w:spacing w:val="-10"/>
          <w:sz w:val="24"/>
          <w:szCs w:val="24"/>
        </w:rPr>
        <w:t>类断</w:t>
      </w:r>
      <w:r>
        <w:rPr>
          <w:rFonts w:ascii="宋体" w:hAnsi="宋体" w:eastAsia="宋体" w:cs="宋体"/>
          <w:spacing w:val="-11"/>
          <w:sz w:val="24"/>
          <w:szCs w:val="24"/>
        </w:rPr>
        <w:t>面</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 xml:space="preserve">3 </w:t>
      </w:r>
      <w:r>
        <w:rPr>
          <w:rFonts w:ascii="宋体" w:hAnsi="宋体" w:eastAsia="宋体" w:cs="宋体"/>
          <w:spacing w:val="-11"/>
          <w:sz w:val="24"/>
          <w:szCs w:val="24"/>
        </w:rPr>
        <w:t>个， 占总断</w:t>
      </w:r>
      <w:r>
        <w:rPr>
          <w:rFonts w:ascii="宋体" w:hAnsi="宋体" w:eastAsia="宋体" w:cs="宋体"/>
          <w:sz w:val="24"/>
          <w:szCs w:val="24"/>
        </w:rPr>
        <w:t xml:space="preserve"> </w:t>
      </w:r>
      <w:r>
        <w:rPr>
          <w:rFonts w:ascii="宋体" w:hAnsi="宋体" w:eastAsia="宋体" w:cs="宋体"/>
          <w:spacing w:val="-3"/>
          <w:sz w:val="24"/>
          <w:szCs w:val="24"/>
        </w:rPr>
        <w:t>面数的</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27.3%</w:t>
      </w:r>
      <w:r>
        <w:rPr>
          <w:rFonts w:ascii="宋体" w:hAnsi="宋体" w:eastAsia="宋体" w:cs="宋体"/>
          <w:spacing w:val="-3"/>
          <w:sz w:val="24"/>
          <w:szCs w:val="24"/>
        </w:rPr>
        <w:t>；</w:t>
      </w:r>
      <w:r>
        <w:rPr>
          <w:rFonts w:ascii="Times New Roman" w:hAnsi="Times New Roman" w:eastAsia="Times New Roman" w:cs="Times New Roman"/>
          <w:spacing w:val="-3"/>
          <w:sz w:val="24"/>
          <w:szCs w:val="24"/>
        </w:rPr>
        <w:t>Ⅱ</w:t>
      </w:r>
      <w:r>
        <w:rPr>
          <w:rFonts w:ascii="宋体" w:hAnsi="宋体" w:eastAsia="宋体" w:cs="宋体"/>
          <w:spacing w:val="-3"/>
          <w:sz w:val="24"/>
          <w:szCs w:val="24"/>
        </w:rPr>
        <w:t>类水断面</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23"/>
          <w:w w:val="101"/>
          <w:sz w:val="24"/>
          <w:szCs w:val="24"/>
        </w:rPr>
        <w:t xml:space="preserve"> </w:t>
      </w:r>
      <w:r>
        <w:rPr>
          <w:rFonts w:ascii="宋体" w:hAnsi="宋体" w:eastAsia="宋体" w:cs="宋体"/>
          <w:spacing w:val="-3"/>
          <w:sz w:val="24"/>
          <w:szCs w:val="24"/>
        </w:rPr>
        <w:t>个，占总断面数的</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63.6%</w:t>
      </w:r>
      <w:r>
        <w:rPr>
          <w:rFonts w:ascii="宋体" w:hAnsi="宋体" w:eastAsia="宋体" w:cs="宋体"/>
          <w:spacing w:val="-3"/>
          <w:sz w:val="24"/>
          <w:szCs w:val="24"/>
        </w:rPr>
        <w:t>；</w:t>
      </w:r>
      <w:r>
        <w:rPr>
          <w:rFonts w:ascii="Times New Roman" w:hAnsi="Times New Roman" w:eastAsia="Times New Roman" w:cs="Times New Roman"/>
          <w:spacing w:val="-3"/>
          <w:sz w:val="24"/>
          <w:szCs w:val="24"/>
        </w:rPr>
        <w:t>Ⅲ</w:t>
      </w:r>
      <w:r>
        <w:rPr>
          <w:rFonts w:ascii="宋体" w:hAnsi="宋体" w:eastAsia="宋体" w:cs="宋体"/>
          <w:spacing w:val="-3"/>
          <w:sz w:val="24"/>
          <w:szCs w:val="24"/>
        </w:rPr>
        <w:t xml:space="preserve">类水断面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个，占总</w:t>
      </w:r>
      <w:r>
        <w:rPr>
          <w:rFonts w:ascii="宋体" w:hAnsi="宋体" w:eastAsia="宋体" w:cs="宋体"/>
          <w:sz w:val="24"/>
          <w:szCs w:val="24"/>
        </w:rPr>
        <w:t xml:space="preserve"> </w:t>
      </w:r>
      <w:r>
        <w:rPr>
          <w:rFonts w:ascii="宋体" w:hAnsi="宋体" w:eastAsia="宋体" w:cs="宋体"/>
          <w:spacing w:val="-1"/>
          <w:sz w:val="24"/>
          <w:szCs w:val="24"/>
        </w:rPr>
        <w:t xml:space="preserve">断面数的 </w:t>
      </w:r>
      <w:r>
        <w:rPr>
          <w:rFonts w:ascii="Times New Roman" w:hAnsi="Times New Roman" w:eastAsia="Times New Roman" w:cs="Times New Roman"/>
          <w:spacing w:val="-1"/>
          <w:sz w:val="24"/>
          <w:szCs w:val="24"/>
        </w:rPr>
        <w:t>9.1%</w:t>
      </w:r>
      <w:r>
        <w:rPr>
          <w:rFonts w:ascii="宋体" w:hAnsi="宋体" w:eastAsia="宋体" w:cs="宋体"/>
          <w:spacing w:val="-1"/>
          <w:sz w:val="24"/>
          <w:szCs w:val="24"/>
        </w:rPr>
        <w:t>，其中珊溪库中、坝前，泗溪断面采用采测分离数据。所有监测</w:t>
      </w:r>
    </w:p>
    <w:p>
      <w:pPr>
        <w:spacing w:line="219" w:lineRule="auto"/>
        <w:ind w:left="179"/>
        <w:rPr>
          <w:rFonts w:ascii="宋体" w:hAnsi="宋体" w:eastAsia="宋体" w:cs="宋体"/>
          <w:sz w:val="24"/>
          <w:szCs w:val="24"/>
        </w:rPr>
      </w:pPr>
      <w:r>
        <w:rPr>
          <w:rFonts w:ascii="宋体" w:hAnsi="宋体" w:eastAsia="宋体" w:cs="宋体"/>
          <w:spacing w:val="-6"/>
          <w:sz w:val="24"/>
          <w:szCs w:val="24"/>
        </w:rPr>
        <w:t>断面水质均达标。</w:t>
      </w:r>
    </w:p>
    <w:p>
      <w:pPr>
        <w:spacing w:before="180" w:line="220" w:lineRule="auto"/>
        <w:ind w:left="65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）主要河流水质</w:t>
      </w:r>
    </w:p>
    <w:p>
      <w:pPr>
        <w:spacing w:before="183" w:line="219" w:lineRule="auto"/>
        <w:ind w:left="657"/>
        <w:rPr>
          <w:rFonts w:ascii="宋体" w:hAnsi="宋体" w:eastAsia="宋体" w:cs="宋体"/>
          <w:sz w:val="24"/>
          <w:szCs w:val="24"/>
        </w:rPr>
      </w:pPr>
      <w:r>
        <w:rPr>
          <w:rFonts w:ascii="宋体" w:hAnsi="宋体" w:eastAsia="宋体" w:cs="宋体"/>
          <w:spacing w:val="-12"/>
          <w:sz w:val="24"/>
          <w:szCs w:val="24"/>
        </w:rPr>
        <w:t>飞云江干流：</w:t>
      </w:r>
      <w:r>
        <w:rPr>
          <w:rFonts w:ascii="宋体" w:hAnsi="宋体" w:eastAsia="宋体" w:cs="宋体"/>
          <w:spacing w:val="72"/>
          <w:sz w:val="24"/>
          <w:szCs w:val="24"/>
        </w:rPr>
        <w:t xml:space="preserve"> </w:t>
      </w:r>
      <w:r>
        <w:rPr>
          <w:rFonts w:ascii="宋体" w:hAnsi="宋体" w:eastAsia="宋体" w:cs="宋体"/>
          <w:spacing w:val="-12"/>
          <w:sz w:val="24"/>
          <w:szCs w:val="24"/>
        </w:rPr>
        <w:t>水质均优于或达到</w:t>
      </w:r>
      <w:r>
        <w:rPr>
          <w:rFonts w:ascii="Times New Roman" w:hAnsi="Times New Roman" w:eastAsia="Times New Roman" w:cs="Times New Roman"/>
          <w:spacing w:val="-12"/>
          <w:sz w:val="24"/>
          <w:szCs w:val="24"/>
        </w:rPr>
        <w:t>Ⅱ</w:t>
      </w:r>
      <w:r>
        <w:rPr>
          <w:rFonts w:ascii="宋体" w:hAnsi="宋体" w:eastAsia="宋体" w:cs="宋体"/>
          <w:spacing w:val="-12"/>
          <w:sz w:val="24"/>
          <w:szCs w:val="24"/>
        </w:rPr>
        <w:t>类水标准，</w:t>
      </w:r>
      <w:r>
        <w:rPr>
          <w:rFonts w:ascii="宋体" w:hAnsi="宋体" w:eastAsia="宋体" w:cs="宋体"/>
          <w:spacing w:val="58"/>
          <w:sz w:val="24"/>
          <w:szCs w:val="24"/>
        </w:rPr>
        <w:t xml:space="preserve"> </w:t>
      </w:r>
      <w:r>
        <w:rPr>
          <w:rFonts w:ascii="宋体" w:hAnsi="宋体" w:eastAsia="宋体" w:cs="宋体"/>
          <w:spacing w:val="-12"/>
          <w:sz w:val="24"/>
          <w:szCs w:val="24"/>
        </w:rPr>
        <w:t>所有断面水质能满足功能区要</w:t>
      </w:r>
    </w:p>
    <w:p>
      <w:pPr>
        <w:spacing w:line="219" w:lineRule="auto"/>
        <w:rPr>
          <w:rFonts w:ascii="宋体" w:hAnsi="宋体" w:eastAsia="宋体" w:cs="宋体"/>
          <w:sz w:val="24"/>
          <w:szCs w:val="24"/>
        </w:rPr>
        <w:sectPr>
          <w:headerReference r:id="rId179" w:type="default"/>
          <w:footerReference r:id="rId180" w:type="default"/>
          <w:pgSz w:w="11907" w:h="16839"/>
          <w:pgMar w:top="1118" w:right="1639" w:bottom="1151" w:left="1639" w:header="879" w:footer="990" w:gutter="0"/>
          <w:cols w:space="720" w:num="1"/>
        </w:sectPr>
      </w:pPr>
    </w:p>
    <w:p>
      <w:pPr>
        <w:pStyle w:val="2"/>
        <w:spacing w:line="278" w:lineRule="auto"/>
      </w:pPr>
    </w:p>
    <w:p>
      <w:pPr>
        <w:spacing w:before="78" w:line="221" w:lineRule="auto"/>
        <w:ind w:left="40"/>
        <w:rPr>
          <w:rFonts w:ascii="宋体" w:hAnsi="宋体" w:eastAsia="宋体" w:cs="宋体"/>
          <w:sz w:val="24"/>
          <w:szCs w:val="24"/>
        </w:rPr>
      </w:pPr>
      <w:r>
        <w:rPr>
          <w:rFonts w:ascii="宋体" w:hAnsi="宋体" w:eastAsia="宋体" w:cs="宋体"/>
          <w:spacing w:val="-12"/>
          <w:sz w:val="24"/>
          <w:szCs w:val="24"/>
        </w:rPr>
        <w:t>求。</w:t>
      </w:r>
    </w:p>
    <w:p>
      <w:pPr>
        <w:spacing w:before="180" w:line="220" w:lineRule="auto"/>
        <w:ind w:left="520"/>
        <w:rPr>
          <w:rFonts w:ascii="宋体" w:hAnsi="宋体" w:eastAsia="宋体" w:cs="宋体"/>
          <w:sz w:val="24"/>
          <w:szCs w:val="24"/>
        </w:rPr>
      </w:pPr>
      <w:r>
        <w:rPr>
          <w:rFonts w:ascii="宋体" w:hAnsi="宋体" w:eastAsia="宋体" w:cs="宋体"/>
          <w:spacing w:val="-3"/>
          <w:sz w:val="24"/>
          <w:szCs w:val="24"/>
        </w:rPr>
        <w:t>泗溪：水体为</w:t>
      </w:r>
      <w:r>
        <w:rPr>
          <w:rFonts w:ascii="Times New Roman" w:hAnsi="Times New Roman" w:eastAsia="Times New Roman" w:cs="Times New Roman"/>
          <w:spacing w:val="-3"/>
          <w:sz w:val="24"/>
          <w:szCs w:val="24"/>
        </w:rPr>
        <w:t>Ⅱ</w:t>
      </w:r>
      <w:r>
        <w:rPr>
          <w:rFonts w:ascii="宋体" w:hAnsi="宋体" w:eastAsia="宋体" w:cs="宋体"/>
          <w:spacing w:val="-3"/>
          <w:sz w:val="24"/>
          <w:szCs w:val="24"/>
        </w:rPr>
        <w:t>类水质，能满足功能区要求。</w:t>
      </w:r>
    </w:p>
    <w:p>
      <w:pPr>
        <w:spacing w:before="180" w:line="468" w:lineRule="exact"/>
        <w:ind w:left="526"/>
        <w:rPr>
          <w:rFonts w:ascii="宋体" w:hAnsi="宋体" w:eastAsia="宋体" w:cs="宋体"/>
          <w:sz w:val="24"/>
          <w:szCs w:val="24"/>
        </w:rPr>
      </w:pPr>
      <w:r>
        <w:rPr>
          <w:rFonts w:ascii="宋体" w:hAnsi="宋体" w:eastAsia="宋体" w:cs="宋体"/>
          <w:spacing w:val="-3"/>
          <w:position w:val="17"/>
          <w:sz w:val="24"/>
          <w:szCs w:val="24"/>
        </w:rPr>
        <w:t>峃作口溪：水体为</w:t>
      </w:r>
      <w:r>
        <w:rPr>
          <w:rFonts w:ascii="Times New Roman" w:hAnsi="Times New Roman" w:eastAsia="Times New Roman" w:cs="Times New Roman"/>
          <w:spacing w:val="-3"/>
          <w:position w:val="17"/>
          <w:sz w:val="24"/>
          <w:szCs w:val="24"/>
        </w:rPr>
        <w:t>Ⅱ</w:t>
      </w:r>
      <w:r>
        <w:rPr>
          <w:rFonts w:ascii="宋体" w:hAnsi="宋体" w:eastAsia="宋体" w:cs="宋体"/>
          <w:spacing w:val="-3"/>
          <w:position w:val="17"/>
          <w:sz w:val="24"/>
          <w:szCs w:val="24"/>
        </w:rPr>
        <w:t>类水质，能满足功能区要求。</w:t>
      </w:r>
    </w:p>
    <w:p>
      <w:pPr>
        <w:spacing w:line="219" w:lineRule="auto"/>
        <w:ind w:left="519"/>
        <w:rPr>
          <w:rFonts w:ascii="宋体" w:hAnsi="宋体" w:eastAsia="宋体" w:cs="宋体"/>
          <w:sz w:val="24"/>
          <w:szCs w:val="24"/>
        </w:rPr>
      </w:pPr>
      <w:r>
        <w:rPr>
          <w:rFonts w:ascii="宋体" w:hAnsi="宋体" w:eastAsia="宋体" w:cs="宋体"/>
          <w:spacing w:val="-2"/>
          <w:sz w:val="24"/>
          <w:szCs w:val="24"/>
        </w:rPr>
        <w:t>玉泉溪：水体为</w:t>
      </w:r>
      <w:r>
        <w:rPr>
          <w:rFonts w:ascii="Times New Roman" w:hAnsi="Times New Roman" w:eastAsia="Times New Roman" w:cs="Times New Roman"/>
          <w:spacing w:val="-2"/>
          <w:sz w:val="24"/>
          <w:szCs w:val="24"/>
        </w:rPr>
        <w:t>Ⅱ</w:t>
      </w:r>
      <w:r>
        <w:rPr>
          <w:rFonts w:ascii="宋体" w:hAnsi="宋体" w:eastAsia="宋体" w:cs="宋体"/>
          <w:spacing w:val="-2"/>
          <w:sz w:val="24"/>
          <w:szCs w:val="24"/>
        </w:rPr>
        <w:t>类水质，能满足功能区要求。</w:t>
      </w:r>
    </w:p>
    <w:p>
      <w:pPr>
        <w:spacing w:before="179" w:line="220" w:lineRule="auto"/>
        <w:ind w:left="526"/>
        <w:rPr>
          <w:rFonts w:ascii="宋体" w:hAnsi="宋体" w:eastAsia="宋体" w:cs="宋体"/>
          <w:sz w:val="24"/>
          <w:szCs w:val="24"/>
        </w:rPr>
      </w:pPr>
      <w:r>
        <w:rPr>
          <w:rFonts w:ascii="宋体" w:hAnsi="宋体" w:eastAsia="宋体" w:cs="宋体"/>
          <w:spacing w:val="-3"/>
          <w:sz w:val="24"/>
          <w:szCs w:val="24"/>
        </w:rPr>
        <w:t>东溪：水体为</w:t>
      </w:r>
      <w:r>
        <w:rPr>
          <w:rFonts w:ascii="Times New Roman" w:hAnsi="Times New Roman" w:eastAsia="Times New Roman" w:cs="Times New Roman"/>
          <w:spacing w:val="-3"/>
          <w:sz w:val="24"/>
          <w:szCs w:val="24"/>
        </w:rPr>
        <w:t>Ⅰ</w:t>
      </w:r>
      <w:r>
        <w:rPr>
          <w:rFonts w:ascii="宋体" w:hAnsi="宋体" w:eastAsia="宋体" w:cs="宋体"/>
          <w:spacing w:val="-3"/>
          <w:sz w:val="24"/>
          <w:szCs w:val="24"/>
        </w:rPr>
        <w:t>类水质，能满足功能区要求。</w:t>
      </w:r>
    </w:p>
    <w:p>
      <w:pPr>
        <w:spacing w:before="182" w:line="466" w:lineRule="exact"/>
        <w:ind w:left="519"/>
        <w:rPr>
          <w:rFonts w:ascii="宋体" w:hAnsi="宋体" w:eastAsia="宋体" w:cs="宋体"/>
          <w:sz w:val="24"/>
          <w:szCs w:val="24"/>
        </w:rPr>
      </w:pPr>
      <w:r>
        <w:rPr>
          <w:rFonts w:ascii="宋体" w:hAnsi="宋体" w:eastAsia="宋体" w:cs="宋体"/>
          <w:spacing w:val="-3"/>
          <w:position w:val="17"/>
          <w:sz w:val="24"/>
          <w:szCs w:val="24"/>
        </w:rPr>
        <w:t>凤溪：水体为</w:t>
      </w:r>
      <w:r>
        <w:rPr>
          <w:rFonts w:ascii="Times New Roman" w:hAnsi="Times New Roman" w:eastAsia="Times New Roman" w:cs="Times New Roman"/>
          <w:spacing w:val="-3"/>
          <w:position w:val="17"/>
          <w:sz w:val="24"/>
          <w:szCs w:val="24"/>
        </w:rPr>
        <w:t>Ⅲ</w:t>
      </w:r>
      <w:r>
        <w:rPr>
          <w:rFonts w:ascii="宋体" w:hAnsi="宋体" w:eastAsia="宋体" w:cs="宋体"/>
          <w:spacing w:val="-3"/>
          <w:position w:val="17"/>
          <w:sz w:val="24"/>
          <w:szCs w:val="24"/>
        </w:rPr>
        <w:t>类水质，能满足功能区要求。</w:t>
      </w:r>
    </w:p>
    <w:p>
      <w:pPr>
        <w:spacing w:before="1" w:line="219"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）集中式饮用水源地水质</w:t>
      </w:r>
    </w:p>
    <w:p>
      <w:pPr>
        <w:spacing w:before="183" w:line="465" w:lineRule="exact"/>
        <w:ind w:left="520"/>
        <w:rPr>
          <w:rFonts w:ascii="宋体" w:hAnsi="宋体" w:eastAsia="宋体" w:cs="宋体"/>
          <w:sz w:val="24"/>
          <w:szCs w:val="24"/>
        </w:rPr>
      </w:pPr>
      <w:r>
        <w:rPr>
          <w:rFonts w:ascii="宋体" w:hAnsi="宋体" w:eastAsia="宋体" w:cs="宋体"/>
          <w:spacing w:val="-9"/>
          <w:position w:val="17"/>
          <w:sz w:val="24"/>
          <w:szCs w:val="24"/>
        </w:rPr>
        <w:t>文成县集中式饮用水源地为珊溪水库，</w:t>
      </w:r>
      <w:r>
        <w:rPr>
          <w:rFonts w:ascii="宋体" w:hAnsi="宋体" w:eastAsia="宋体" w:cs="宋体"/>
          <w:spacing w:val="46"/>
          <w:position w:val="17"/>
          <w:sz w:val="24"/>
          <w:szCs w:val="24"/>
        </w:rPr>
        <w:t xml:space="preserve"> </w:t>
      </w:r>
      <w:r>
        <w:rPr>
          <w:rFonts w:ascii="Times New Roman" w:hAnsi="Times New Roman" w:eastAsia="Times New Roman" w:cs="Times New Roman"/>
          <w:spacing w:val="-9"/>
          <w:position w:val="17"/>
          <w:sz w:val="24"/>
          <w:szCs w:val="24"/>
        </w:rPr>
        <w:t xml:space="preserve">2022 </w:t>
      </w:r>
      <w:r>
        <w:rPr>
          <w:rFonts w:ascii="宋体" w:hAnsi="宋体" w:eastAsia="宋体" w:cs="宋体"/>
          <w:spacing w:val="-9"/>
          <w:position w:val="17"/>
          <w:sz w:val="24"/>
          <w:szCs w:val="24"/>
        </w:rPr>
        <w:t>年共采样监测</w:t>
      </w:r>
      <w:r>
        <w:rPr>
          <w:rFonts w:ascii="宋体" w:hAnsi="宋体" w:eastAsia="宋体" w:cs="宋体"/>
          <w:spacing w:val="-31"/>
          <w:position w:val="17"/>
          <w:sz w:val="24"/>
          <w:szCs w:val="24"/>
        </w:rPr>
        <w:t xml:space="preserve"> </w:t>
      </w:r>
      <w:r>
        <w:rPr>
          <w:rFonts w:ascii="Times New Roman" w:hAnsi="Times New Roman" w:eastAsia="Times New Roman" w:cs="Times New Roman"/>
          <w:spacing w:val="-9"/>
          <w:position w:val="17"/>
          <w:sz w:val="24"/>
          <w:szCs w:val="24"/>
        </w:rPr>
        <w:t>12</w:t>
      </w:r>
      <w:r>
        <w:rPr>
          <w:rFonts w:ascii="Times New Roman" w:hAnsi="Times New Roman" w:eastAsia="Times New Roman" w:cs="Times New Roman"/>
          <w:spacing w:val="16"/>
          <w:position w:val="17"/>
          <w:sz w:val="24"/>
          <w:szCs w:val="24"/>
        </w:rPr>
        <w:t xml:space="preserve"> </w:t>
      </w:r>
      <w:r>
        <w:rPr>
          <w:rFonts w:ascii="宋体" w:hAnsi="宋体" w:eastAsia="宋体" w:cs="宋体"/>
          <w:spacing w:val="-9"/>
          <w:position w:val="17"/>
          <w:sz w:val="24"/>
          <w:szCs w:val="24"/>
        </w:rPr>
        <w:t>次，</w:t>
      </w:r>
      <w:r>
        <w:rPr>
          <w:rFonts w:ascii="宋体" w:hAnsi="宋体" w:eastAsia="宋体" w:cs="宋体"/>
          <w:spacing w:val="-50"/>
          <w:position w:val="17"/>
          <w:sz w:val="24"/>
          <w:szCs w:val="24"/>
        </w:rPr>
        <w:t xml:space="preserve"> </w:t>
      </w:r>
      <w:r>
        <w:rPr>
          <w:rFonts w:ascii="宋体" w:hAnsi="宋体" w:eastAsia="宋体" w:cs="宋体"/>
          <w:spacing w:val="-9"/>
          <w:position w:val="17"/>
          <w:sz w:val="24"/>
          <w:szCs w:val="24"/>
        </w:rPr>
        <w:t>采样位置</w:t>
      </w:r>
    </w:p>
    <w:p>
      <w:pPr>
        <w:spacing w:before="1" w:line="219" w:lineRule="auto"/>
        <w:ind w:left="38"/>
        <w:rPr>
          <w:rFonts w:ascii="宋体" w:hAnsi="宋体" w:eastAsia="宋体" w:cs="宋体"/>
          <w:sz w:val="24"/>
          <w:szCs w:val="24"/>
        </w:rPr>
      </w:pPr>
      <w:r>
        <w:rPr>
          <w:rFonts w:ascii="宋体" w:hAnsi="宋体" w:eastAsia="宋体" w:cs="宋体"/>
          <w:spacing w:val="-5"/>
          <w:sz w:val="24"/>
          <w:szCs w:val="24"/>
        </w:rPr>
        <w:t>位于珊溪水库坝前。</w:t>
      </w:r>
    </w:p>
    <w:p>
      <w:pPr>
        <w:spacing w:before="188" w:line="221" w:lineRule="auto"/>
        <w:ind w:left="2341"/>
        <w:rPr>
          <w:rFonts w:ascii="仿宋" w:hAnsi="仿宋" w:eastAsia="仿宋" w:cs="仿宋"/>
          <w:sz w:val="28"/>
          <w:szCs w:val="28"/>
        </w:rPr>
      </w:pPr>
      <w:r>
        <w:rPr>
          <w:rFonts w:ascii="宋体" w:hAnsi="宋体" w:eastAsia="宋体" w:cs="宋体"/>
          <w:spacing w:val="-1"/>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 xml:space="preserve">4.2-2          2022 </w:t>
      </w:r>
      <w:r>
        <w:rPr>
          <w:rFonts w:ascii="宋体" w:hAnsi="宋体" w:eastAsia="宋体" w:cs="宋体"/>
          <w:spacing w:val="-1"/>
          <w:sz w:val="24"/>
          <w:szCs w:val="24"/>
        </w:rPr>
        <w:t>年珊溪水库水质</w:t>
      </w:r>
      <w:r>
        <w:rPr>
          <w:rFonts w:ascii="仿宋" w:hAnsi="仿宋" w:eastAsia="仿宋" w:cs="仿宋"/>
          <w:spacing w:val="-1"/>
          <w:sz w:val="28"/>
          <w:szCs w:val="28"/>
        </w:rPr>
        <w:t>状况</w:t>
      </w:r>
    </w:p>
    <w:p>
      <w:pPr>
        <w:spacing w:line="168" w:lineRule="exact"/>
      </w:pPr>
    </w:p>
    <w:tbl>
      <w:tblPr>
        <w:tblStyle w:val="5"/>
        <w:tblW w:w="8084" w:type="dxa"/>
        <w:tblInd w:w="1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07"/>
        <w:gridCol w:w="1758"/>
        <w:gridCol w:w="1756"/>
        <w:gridCol w:w="17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807" w:type="dxa"/>
            <w:vAlign w:val="top"/>
          </w:tcPr>
          <w:p>
            <w:pPr>
              <w:pStyle w:val="6"/>
              <w:spacing w:before="103" w:line="221" w:lineRule="auto"/>
              <w:ind w:left="886"/>
            </w:pPr>
            <w:r>
              <w:rPr>
                <w:spacing w:val="-2"/>
              </w:rPr>
              <w:t>水源地名称</w:t>
            </w:r>
          </w:p>
        </w:tc>
        <w:tc>
          <w:tcPr>
            <w:tcW w:w="1758" w:type="dxa"/>
            <w:vAlign w:val="top"/>
          </w:tcPr>
          <w:p>
            <w:pPr>
              <w:pStyle w:val="6"/>
              <w:spacing w:before="104" w:line="221" w:lineRule="auto"/>
              <w:ind w:left="464"/>
            </w:pPr>
            <w:r>
              <w:rPr>
                <w:spacing w:val="-2"/>
              </w:rPr>
              <w:t>监测项目</w:t>
            </w:r>
          </w:p>
        </w:tc>
        <w:tc>
          <w:tcPr>
            <w:tcW w:w="1756" w:type="dxa"/>
            <w:vAlign w:val="top"/>
          </w:tcPr>
          <w:p>
            <w:pPr>
              <w:pStyle w:val="6"/>
              <w:spacing w:before="104" w:line="219" w:lineRule="auto"/>
              <w:ind w:left="675"/>
            </w:pPr>
            <w:r>
              <w:rPr>
                <w:spacing w:val="-2"/>
              </w:rPr>
              <w:t>评价</w:t>
            </w:r>
          </w:p>
        </w:tc>
        <w:tc>
          <w:tcPr>
            <w:tcW w:w="1763" w:type="dxa"/>
            <w:vAlign w:val="top"/>
          </w:tcPr>
          <w:p>
            <w:pPr>
              <w:pStyle w:val="6"/>
              <w:spacing w:before="104" w:line="221" w:lineRule="auto"/>
              <w:ind w:left="465"/>
            </w:pPr>
            <w:r>
              <w:rPr>
                <w:spacing w:val="-1"/>
              </w:rPr>
              <w:t>超标指标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2807" w:type="dxa"/>
            <w:vAlign w:val="top"/>
          </w:tcPr>
          <w:p>
            <w:pPr>
              <w:pStyle w:val="6"/>
              <w:spacing w:before="103" w:line="221" w:lineRule="auto"/>
              <w:ind w:left="779"/>
            </w:pPr>
            <w:r>
              <w:rPr>
                <w:spacing w:val="-1"/>
              </w:rPr>
              <w:t>珊溪水库坝前</w:t>
            </w:r>
          </w:p>
        </w:tc>
        <w:tc>
          <w:tcPr>
            <w:tcW w:w="1758" w:type="dxa"/>
            <w:vAlign w:val="top"/>
          </w:tcPr>
          <w:p>
            <w:pPr>
              <w:pStyle w:val="6"/>
              <w:spacing w:before="104" w:line="221" w:lineRule="auto"/>
              <w:ind w:left="648"/>
            </w:pPr>
            <w:r>
              <w:rPr>
                <w:rFonts w:ascii="Times New Roman" w:hAnsi="Times New Roman" w:eastAsia="Times New Roman" w:cs="Times New Roman"/>
                <w:spacing w:val="-3"/>
              </w:rPr>
              <w:t>31</w:t>
            </w:r>
            <w:r>
              <w:rPr>
                <w:rFonts w:ascii="Times New Roman" w:hAnsi="Times New Roman" w:eastAsia="Times New Roman" w:cs="Times New Roman"/>
                <w:spacing w:val="12"/>
              </w:rPr>
              <w:t xml:space="preserve"> </w:t>
            </w:r>
            <w:r>
              <w:rPr>
                <w:spacing w:val="-3"/>
              </w:rPr>
              <w:t>项</w:t>
            </w:r>
          </w:p>
        </w:tc>
        <w:tc>
          <w:tcPr>
            <w:tcW w:w="1756" w:type="dxa"/>
            <w:vAlign w:val="top"/>
          </w:tcPr>
          <w:p>
            <w:pPr>
              <w:pStyle w:val="6"/>
              <w:spacing w:before="104" w:line="221" w:lineRule="auto"/>
              <w:ind w:left="675"/>
            </w:pPr>
            <w:r>
              <w:rPr>
                <w:spacing w:val="-2"/>
              </w:rPr>
              <w:t>达标</w:t>
            </w:r>
          </w:p>
        </w:tc>
        <w:tc>
          <w:tcPr>
            <w:tcW w:w="1763" w:type="dxa"/>
            <w:vAlign w:val="top"/>
          </w:tcPr>
          <w:p>
            <w:pPr>
              <w:spacing w:before="230" w:line="100" w:lineRule="exact"/>
              <w:ind w:left="816"/>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p>
        </w:tc>
      </w:tr>
    </w:tbl>
    <w:p>
      <w:pPr>
        <w:spacing w:before="193" w:line="359" w:lineRule="auto"/>
        <w:ind w:left="33" w:right="74" w:firstLine="484"/>
        <w:rPr>
          <w:rFonts w:ascii="宋体" w:hAnsi="宋体" w:eastAsia="宋体" w:cs="宋体"/>
          <w:sz w:val="24"/>
          <w:szCs w:val="24"/>
        </w:rPr>
      </w:pPr>
      <w:r>
        <w:rPr>
          <w:rFonts w:ascii="宋体" w:hAnsi="宋体" w:eastAsia="宋体" w:cs="宋体"/>
          <w:spacing w:val="-3"/>
          <w:sz w:val="24"/>
          <w:szCs w:val="24"/>
        </w:rPr>
        <w:t>根据原国家环境保护总局《关于印发〈城市集中式饮用水源地水</w:t>
      </w:r>
      <w:r>
        <w:rPr>
          <w:rFonts w:ascii="宋体" w:hAnsi="宋体" w:eastAsia="宋体" w:cs="宋体"/>
          <w:spacing w:val="-4"/>
          <w:sz w:val="24"/>
          <w:szCs w:val="24"/>
        </w:rPr>
        <w:t>质监测、评</w:t>
      </w:r>
      <w:r>
        <w:rPr>
          <w:rFonts w:ascii="宋体" w:hAnsi="宋体" w:eastAsia="宋体" w:cs="宋体"/>
          <w:sz w:val="24"/>
          <w:szCs w:val="24"/>
        </w:rPr>
        <w:t xml:space="preserve"> </w:t>
      </w:r>
      <w:r>
        <w:rPr>
          <w:rFonts w:ascii="宋体" w:hAnsi="宋体" w:eastAsia="宋体" w:cs="宋体"/>
          <w:spacing w:val="-1"/>
          <w:sz w:val="24"/>
          <w:szCs w:val="24"/>
        </w:rPr>
        <w:t>价与公布方案〉的通知》（环发</w:t>
      </w:r>
      <w:r>
        <w:rPr>
          <w:rFonts w:ascii="Times New Roman" w:hAnsi="Times New Roman" w:eastAsia="Times New Roman" w:cs="Times New Roman"/>
          <w:spacing w:val="-1"/>
          <w:sz w:val="24"/>
          <w:szCs w:val="24"/>
        </w:rPr>
        <w:t xml:space="preserve">[2002]144  </w:t>
      </w:r>
      <w:r>
        <w:rPr>
          <w:rFonts w:ascii="宋体" w:hAnsi="宋体" w:eastAsia="宋体" w:cs="宋体"/>
          <w:spacing w:val="-1"/>
          <w:sz w:val="24"/>
          <w:szCs w:val="24"/>
        </w:rPr>
        <w:t>号）文件，地表水水源水质评价执行</w:t>
      </w:r>
      <w:r>
        <w:rPr>
          <w:rFonts w:ascii="宋体" w:hAnsi="宋体" w:eastAsia="宋体" w:cs="宋体"/>
          <w:spacing w:val="9"/>
          <w:sz w:val="24"/>
          <w:szCs w:val="24"/>
        </w:rPr>
        <w:t xml:space="preserve"> </w:t>
      </w:r>
      <w:r>
        <w:rPr>
          <w:rFonts w:ascii="宋体" w:hAnsi="宋体" w:eastAsia="宋体" w:cs="宋体"/>
          <w:spacing w:val="-3"/>
          <w:sz w:val="24"/>
          <w:szCs w:val="24"/>
        </w:rPr>
        <w:t>《地表水环境质量标准》（</w:t>
      </w:r>
      <w:r>
        <w:rPr>
          <w:rFonts w:ascii="Times New Roman" w:hAnsi="Times New Roman" w:eastAsia="Times New Roman" w:cs="Times New Roman"/>
          <w:spacing w:val="-3"/>
          <w:sz w:val="24"/>
          <w:szCs w:val="24"/>
        </w:rPr>
        <w:t>GB3838-20</w:t>
      </w:r>
      <w:r>
        <w:rPr>
          <w:rFonts w:ascii="Times New Roman" w:hAnsi="Times New Roman" w:eastAsia="Times New Roman" w:cs="Times New Roman"/>
          <w:spacing w:val="-4"/>
          <w:sz w:val="24"/>
          <w:szCs w:val="24"/>
        </w:rPr>
        <w:t>02</w:t>
      </w:r>
      <w:r>
        <w:rPr>
          <w:rFonts w:ascii="宋体" w:hAnsi="宋体" w:eastAsia="宋体" w:cs="宋体"/>
          <w:spacing w:val="-4"/>
          <w:sz w:val="24"/>
          <w:szCs w:val="24"/>
        </w:rPr>
        <w:t>）的</w:t>
      </w:r>
      <w:r>
        <w:rPr>
          <w:rFonts w:ascii="Times New Roman" w:hAnsi="Times New Roman" w:eastAsia="Times New Roman" w:cs="Times New Roman"/>
          <w:spacing w:val="-4"/>
          <w:sz w:val="24"/>
          <w:szCs w:val="24"/>
        </w:rPr>
        <w:t>Ⅲ</w:t>
      </w:r>
      <w:r>
        <w:rPr>
          <w:rFonts w:ascii="宋体" w:hAnsi="宋体" w:eastAsia="宋体" w:cs="宋体"/>
          <w:spacing w:val="-4"/>
          <w:sz w:val="24"/>
          <w:szCs w:val="24"/>
        </w:rPr>
        <w:t>类标准， 评价方法按中国环境监</w:t>
      </w:r>
      <w:r>
        <w:rPr>
          <w:rFonts w:ascii="宋体" w:hAnsi="宋体" w:eastAsia="宋体" w:cs="宋体"/>
          <w:sz w:val="24"/>
          <w:szCs w:val="24"/>
        </w:rPr>
        <w:t xml:space="preserve"> </w:t>
      </w:r>
      <w:r>
        <w:rPr>
          <w:rFonts w:ascii="宋体" w:hAnsi="宋体" w:eastAsia="宋体" w:cs="宋体"/>
          <w:spacing w:val="-8"/>
          <w:sz w:val="24"/>
          <w:szCs w:val="24"/>
        </w:rPr>
        <w:t>测总站《地表水环境质量评价办法（试行）</w:t>
      </w:r>
      <w:r>
        <w:rPr>
          <w:rFonts w:ascii="宋体" w:hAnsi="宋体" w:eastAsia="宋体" w:cs="宋体"/>
          <w:spacing w:val="-42"/>
          <w:sz w:val="24"/>
          <w:szCs w:val="24"/>
        </w:rPr>
        <w:t xml:space="preserve"> </w:t>
      </w:r>
      <w:r>
        <w:rPr>
          <w:rFonts w:ascii="宋体" w:hAnsi="宋体" w:eastAsia="宋体" w:cs="宋体"/>
          <w:spacing w:val="-8"/>
          <w:sz w:val="24"/>
          <w:szCs w:val="24"/>
        </w:rPr>
        <w:t>》</w:t>
      </w:r>
      <w:r>
        <w:rPr>
          <w:rFonts w:ascii="宋体" w:hAnsi="宋体" w:eastAsia="宋体" w:cs="宋体"/>
          <w:spacing w:val="-9"/>
          <w:sz w:val="24"/>
          <w:szCs w:val="24"/>
        </w:rPr>
        <w:t>（</w:t>
      </w:r>
      <w:r>
        <w:rPr>
          <w:rFonts w:ascii="Times New Roman" w:hAnsi="Times New Roman" w:eastAsia="Times New Roman" w:cs="Times New Roman"/>
          <w:spacing w:val="-9"/>
          <w:sz w:val="24"/>
          <w:szCs w:val="24"/>
        </w:rPr>
        <w:t xml:space="preserve">2011 </w:t>
      </w:r>
      <w:r>
        <w:rPr>
          <w:rFonts w:ascii="宋体" w:hAnsi="宋体" w:eastAsia="宋体" w:cs="宋体"/>
          <w:spacing w:val="-9"/>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月</w:t>
      </w:r>
      <w:r>
        <w:rPr>
          <w:rFonts w:ascii="宋体" w:hAnsi="宋体" w:eastAsia="宋体" w:cs="宋体"/>
          <w:spacing w:val="16"/>
          <w:sz w:val="24"/>
          <w:szCs w:val="24"/>
        </w:rPr>
        <w:t>），</w:t>
      </w:r>
      <w:r>
        <w:rPr>
          <w:rFonts w:ascii="宋体" w:hAnsi="宋体" w:eastAsia="宋体" w:cs="宋体"/>
          <w:spacing w:val="-9"/>
          <w:sz w:val="24"/>
          <w:szCs w:val="24"/>
        </w:rPr>
        <w:t>评价指标为《地</w:t>
      </w:r>
      <w:r>
        <w:rPr>
          <w:rFonts w:ascii="宋体" w:hAnsi="宋体" w:eastAsia="宋体" w:cs="宋体"/>
          <w:sz w:val="24"/>
          <w:szCs w:val="24"/>
        </w:rPr>
        <w:t xml:space="preserve"> </w:t>
      </w:r>
      <w:r>
        <w:rPr>
          <w:rFonts w:ascii="宋体" w:hAnsi="宋体" w:eastAsia="宋体" w:cs="宋体"/>
          <w:spacing w:val="-3"/>
          <w:sz w:val="24"/>
          <w:szCs w:val="24"/>
        </w:rPr>
        <w:t>表水环境质量标准》（</w:t>
      </w:r>
      <w:r>
        <w:rPr>
          <w:rFonts w:ascii="Times New Roman" w:hAnsi="Times New Roman" w:eastAsia="Times New Roman" w:cs="Times New Roman"/>
          <w:spacing w:val="-3"/>
          <w:sz w:val="24"/>
          <w:szCs w:val="24"/>
        </w:rPr>
        <w:t>GB3838-2002</w:t>
      </w:r>
      <w:r>
        <w:rPr>
          <w:rFonts w:ascii="宋体" w:hAnsi="宋体" w:eastAsia="宋体" w:cs="宋体"/>
          <w:spacing w:val="-3"/>
          <w:sz w:val="24"/>
          <w:szCs w:val="24"/>
        </w:rPr>
        <w:t xml:space="preserve">）表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中除水温、总氮、粪大肠菌群以外的</w:t>
      </w:r>
      <w:r>
        <w:rPr>
          <w:rFonts w:ascii="宋体" w:hAnsi="宋体" w:eastAsia="宋体" w:cs="宋体"/>
          <w:sz w:val="24"/>
          <w:szCs w:val="24"/>
        </w:rPr>
        <w:t xml:space="preserve"> </w:t>
      </w:r>
      <w:r>
        <w:rPr>
          <w:rFonts w:ascii="Times New Roman" w:hAnsi="Times New Roman" w:eastAsia="Times New Roman" w:cs="Times New Roman"/>
          <w:spacing w:val="-2"/>
          <w:sz w:val="24"/>
          <w:szCs w:val="24"/>
        </w:rPr>
        <w:t>21</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项指标及表</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2</w:t>
      </w:r>
      <w:r>
        <w:rPr>
          <w:rFonts w:ascii="宋体" w:hAnsi="宋体" w:eastAsia="宋体" w:cs="宋体"/>
          <w:spacing w:val="-2"/>
          <w:sz w:val="24"/>
          <w:szCs w:val="24"/>
        </w:rPr>
        <w:t>、表</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3</w:t>
      </w:r>
      <w:r>
        <w:rPr>
          <w:rFonts w:ascii="宋体" w:hAnsi="宋体" w:eastAsia="宋体" w:cs="宋体"/>
          <w:spacing w:val="-2"/>
          <w:sz w:val="24"/>
          <w:szCs w:val="24"/>
        </w:rPr>
        <w:t>；总氮、粪大肠菌群作为参考指标，珊溪水库</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2022</w:t>
      </w:r>
      <w:r>
        <w:rPr>
          <w:rFonts w:ascii="Times New Roman" w:hAnsi="Times New Roman" w:eastAsia="Times New Roman" w:cs="Times New Roman"/>
          <w:spacing w:val="27"/>
          <w:w w:val="101"/>
          <w:sz w:val="24"/>
          <w:szCs w:val="24"/>
        </w:rPr>
        <w:t xml:space="preserve"> </w:t>
      </w:r>
      <w:r>
        <w:rPr>
          <w:rFonts w:ascii="宋体" w:hAnsi="宋体" w:eastAsia="宋体" w:cs="宋体"/>
          <w:spacing w:val="-2"/>
          <w:sz w:val="24"/>
          <w:szCs w:val="24"/>
        </w:rPr>
        <w:t>年水</w:t>
      </w:r>
    </w:p>
    <w:p>
      <w:pPr>
        <w:spacing w:before="1" w:line="219" w:lineRule="auto"/>
        <w:ind w:left="39"/>
        <w:rPr>
          <w:rFonts w:ascii="宋体" w:hAnsi="宋体" w:eastAsia="宋体" w:cs="宋体"/>
          <w:sz w:val="24"/>
          <w:szCs w:val="24"/>
        </w:rPr>
      </w:pPr>
      <w:r>
        <w:rPr>
          <w:rFonts w:ascii="宋体" w:hAnsi="宋体" w:eastAsia="宋体" w:cs="宋体"/>
          <w:spacing w:val="-4"/>
          <w:sz w:val="24"/>
          <w:szCs w:val="24"/>
        </w:rPr>
        <w:t>质符合饮用水源地水质标准。</w:t>
      </w:r>
    </w:p>
    <w:p>
      <w:pPr>
        <w:spacing w:before="182"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）跨行政区域交接断面水质</w:t>
      </w:r>
    </w:p>
    <w:p>
      <w:pPr>
        <w:spacing w:before="178" w:line="360" w:lineRule="auto"/>
        <w:ind w:left="28" w:firstLine="491"/>
        <w:rPr>
          <w:rFonts w:ascii="宋体" w:hAnsi="宋体" w:eastAsia="宋体" w:cs="宋体"/>
          <w:sz w:val="24"/>
          <w:szCs w:val="24"/>
        </w:rPr>
      </w:pPr>
      <w:r>
        <w:rPr>
          <w:rFonts w:ascii="宋体" w:hAnsi="宋体" w:eastAsia="宋体" w:cs="宋体"/>
          <w:spacing w:val="-6"/>
          <w:sz w:val="24"/>
          <w:szCs w:val="24"/>
        </w:rPr>
        <w:t>文成县跨行政区域交接断面共</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 xml:space="preserve">1 </w:t>
      </w:r>
      <w:r>
        <w:rPr>
          <w:rFonts w:ascii="宋体" w:hAnsi="宋体" w:eastAsia="宋体" w:cs="宋体"/>
          <w:spacing w:val="-6"/>
          <w:sz w:val="24"/>
          <w:szCs w:val="24"/>
        </w:rPr>
        <w:t>个，</w:t>
      </w:r>
      <w:r>
        <w:rPr>
          <w:rFonts w:ascii="宋体" w:hAnsi="宋体" w:eastAsia="宋体" w:cs="宋体"/>
          <w:spacing w:val="-57"/>
          <w:sz w:val="24"/>
          <w:szCs w:val="24"/>
        </w:rPr>
        <w:t xml:space="preserve"> </w:t>
      </w:r>
      <w:r>
        <w:rPr>
          <w:rFonts w:ascii="宋体" w:hAnsi="宋体" w:eastAsia="宋体" w:cs="宋体"/>
          <w:spacing w:val="-6"/>
          <w:sz w:val="24"/>
          <w:szCs w:val="24"/>
        </w:rPr>
        <w:t>为文成县和瑞安市</w:t>
      </w:r>
      <w:r>
        <w:rPr>
          <w:rFonts w:ascii="宋体" w:hAnsi="宋体" w:eastAsia="宋体" w:cs="宋体"/>
          <w:spacing w:val="-7"/>
          <w:sz w:val="24"/>
          <w:szCs w:val="24"/>
        </w:rPr>
        <w:t xml:space="preserve">交接断面。根据《浙 </w:t>
      </w:r>
      <w:r>
        <w:rPr>
          <w:rFonts w:ascii="宋体" w:hAnsi="宋体" w:eastAsia="宋体" w:cs="宋体"/>
          <w:spacing w:val="4"/>
          <w:sz w:val="24"/>
          <w:szCs w:val="24"/>
        </w:rPr>
        <w:t>江省跨行政区域河流交接断面水质保护管理考核办法（试行）》，监测项目为</w:t>
      </w:r>
      <w:r>
        <w:rPr>
          <w:rFonts w:ascii="宋体" w:hAnsi="宋体" w:eastAsia="宋体" w:cs="宋体"/>
          <w:spacing w:val="12"/>
          <w:sz w:val="24"/>
          <w:szCs w:val="24"/>
        </w:rPr>
        <w:t xml:space="preserve"> </w:t>
      </w:r>
      <w:r>
        <w:rPr>
          <w:rFonts w:ascii="Times New Roman" w:hAnsi="Times New Roman" w:eastAsia="Times New Roman" w:cs="Times New Roman"/>
          <w:spacing w:val="-2"/>
          <w:sz w:val="24"/>
          <w:szCs w:val="24"/>
        </w:rPr>
        <w:t>pH</w:t>
      </w:r>
      <w:r>
        <w:rPr>
          <w:rFonts w:ascii="宋体" w:hAnsi="宋体" w:eastAsia="宋体" w:cs="宋体"/>
          <w:spacing w:val="-2"/>
          <w:sz w:val="24"/>
          <w:szCs w:val="24"/>
        </w:rPr>
        <w:t>、溶解氧、高锰酸盐指数、氨氮、总磷。根据省、</w:t>
      </w:r>
      <w:r>
        <w:rPr>
          <w:rFonts w:ascii="宋体" w:hAnsi="宋体" w:eastAsia="宋体" w:cs="宋体"/>
          <w:spacing w:val="-3"/>
          <w:sz w:val="24"/>
          <w:szCs w:val="24"/>
        </w:rPr>
        <w:t>市环境监测工作任务要求，</w:t>
      </w:r>
      <w:r>
        <w:rPr>
          <w:rFonts w:ascii="宋体" w:hAnsi="宋体" w:eastAsia="宋体" w:cs="宋体"/>
          <w:sz w:val="24"/>
          <w:szCs w:val="24"/>
        </w:rPr>
        <w:t xml:space="preserve"> </w:t>
      </w:r>
      <w:r>
        <w:rPr>
          <w:rFonts w:ascii="宋体" w:hAnsi="宋体" w:eastAsia="宋体" w:cs="宋体"/>
          <w:spacing w:val="-1"/>
          <w:sz w:val="24"/>
          <w:szCs w:val="24"/>
        </w:rPr>
        <w:t>文瑞跨行政区域交接断面水质监测采用自动站（属温州市生态环境局瑞安分局）</w:t>
      </w:r>
    </w:p>
    <w:p>
      <w:pPr>
        <w:spacing w:before="1" w:line="219" w:lineRule="auto"/>
        <w:ind w:left="40"/>
        <w:rPr>
          <w:rFonts w:ascii="宋体" w:hAnsi="宋体" w:eastAsia="宋体" w:cs="宋体"/>
          <w:sz w:val="24"/>
          <w:szCs w:val="24"/>
        </w:rPr>
      </w:pPr>
      <w:r>
        <w:rPr>
          <w:rFonts w:ascii="宋体" w:hAnsi="宋体" w:eastAsia="宋体" w:cs="宋体"/>
          <w:spacing w:val="-8"/>
          <w:sz w:val="24"/>
          <w:szCs w:val="24"/>
        </w:rPr>
        <w:t>数据考核。</w:t>
      </w:r>
    </w:p>
    <w:p>
      <w:pPr>
        <w:spacing w:before="180" w:line="220" w:lineRule="auto"/>
        <w:ind w:left="214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4.2-3          2022 </w:t>
      </w:r>
      <w:r>
        <w:rPr>
          <w:rFonts w:ascii="宋体" w:hAnsi="宋体" w:eastAsia="宋体" w:cs="宋体"/>
          <w:spacing w:val="-1"/>
          <w:sz w:val="24"/>
          <w:szCs w:val="24"/>
        </w:rPr>
        <w:t>年文瑞交接断面水质状况</w:t>
      </w:r>
    </w:p>
    <w:p>
      <w:pPr>
        <w:spacing w:line="146" w:lineRule="exact"/>
      </w:pPr>
    </w:p>
    <w:tbl>
      <w:tblPr>
        <w:tblStyle w:val="5"/>
        <w:tblW w:w="8322"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7"/>
        <w:gridCol w:w="1663"/>
        <w:gridCol w:w="1662"/>
        <w:gridCol w:w="1663"/>
        <w:gridCol w:w="16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2" w:hRule="atLeast"/>
        </w:trPr>
        <w:tc>
          <w:tcPr>
            <w:tcW w:w="1667" w:type="dxa"/>
            <w:vAlign w:val="top"/>
          </w:tcPr>
          <w:p>
            <w:pPr>
              <w:pStyle w:val="6"/>
              <w:spacing w:before="105" w:line="221" w:lineRule="auto"/>
              <w:ind w:left="426"/>
            </w:pPr>
            <w:r>
              <w:rPr>
                <w:spacing w:val="-4"/>
              </w:rPr>
              <w:t>断面名称</w:t>
            </w:r>
          </w:p>
        </w:tc>
        <w:tc>
          <w:tcPr>
            <w:tcW w:w="1663" w:type="dxa"/>
            <w:vAlign w:val="top"/>
          </w:tcPr>
          <w:p>
            <w:pPr>
              <w:pStyle w:val="6"/>
              <w:spacing w:before="106" w:line="222" w:lineRule="auto"/>
              <w:ind w:left="312"/>
            </w:pPr>
            <w:r>
              <w:rPr>
                <w:spacing w:val="-2"/>
              </w:rPr>
              <w:t>功能区要求</w:t>
            </w:r>
          </w:p>
        </w:tc>
        <w:tc>
          <w:tcPr>
            <w:tcW w:w="1662" w:type="dxa"/>
            <w:vAlign w:val="top"/>
          </w:tcPr>
          <w:p>
            <w:pPr>
              <w:pStyle w:val="6"/>
              <w:spacing w:before="105" w:line="221" w:lineRule="auto"/>
              <w:ind w:left="417"/>
            </w:pPr>
            <w:r>
              <w:rPr>
                <w:spacing w:val="-2"/>
              </w:rPr>
              <w:t>水质现状</w:t>
            </w:r>
          </w:p>
        </w:tc>
        <w:tc>
          <w:tcPr>
            <w:tcW w:w="1663" w:type="dxa"/>
            <w:vAlign w:val="top"/>
          </w:tcPr>
          <w:p>
            <w:pPr>
              <w:pStyle w:val="6"/>
              <w:spacing w:before="105" w:line="221" w:lineRule="auto"/>
              <w:ind w:left="419"/>
            </w:pPr>
            <w:r>
              <w:rPr>
                <w:spacing w:val="-3"/>
              </w:rPr>
              <w:t>定类项目</w:t>
            </w:r>
          </w:p>
        </w:tc>
        <w:tc>
          <w:tcPr>
            <w:tcW w:w="1667" w:type="dxa"/>
            <w:vAlign w:val="top"/>
          </w:tcPr>
          <w:p>
            <w:pPr>
              <w:pStyle w:val="6"/>
              <w:spacing w:before="106" w:line="219" w:lineRule="auto"/>
              <w:ind w:left="625"/>
            </w:pPr>
            <w:r>
              <w:rPr>
                <w:spacing w:val="-2"/>
              </w:rPr>
              <w:t>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667" w:type="dxa"/>
            <w:vAlign w:val="top"/>
          </w:tcPr>
          <w:p>
            <w:pPr>
              <w:pStyle w:val="6"/>
              <w:spacing w:before="108" w:line="221" w:lineRule="auto"/>
              <w:ind w:left="211"/>
            </w:pPr>
            <w:r>
              <w:rPr>
                <w:spacing w:val="-2"/>
              </w:rPr>
              <w:t>文瑞交接断面</w:t>
            </w:r>
          </w:p>
        </w:tc>
        <w:tc>
          <w:tcPr>
            <w:tcW w:w="1663" w:type="dxa"/>
            <w:vAlign w:val="top"/>
          </w:tcPr>
          <w:p>
            <w:pPr>
              <w:pStyle w:val="6"/>
              <w:spacing w:before="108" w:line="221" w:lineRule="auto"/>
              <w:ind w:left="659"/>
            </w:pPr>
            <w:r>
              <w:rPr>
                <w:rFonts w:ascii="Times New Roman" w:hAnsi="Times New Roman" w:eastAsia="Times New Roman" w:cs="Times New Roman"/>
                <w:spacing w:val="-2"/>
              </w:rPr>
              <w:t>Ⅱ</w:t>
            </w:r>
            <w:r>
              <w:rPr>
                <w:spacing w:val="-2"/>
              </w:rPr>
              <w:t>类</w:t>
            </w:r>
          </w:p>
        </w:tc>
        <w:tc>
          <w:tcPr>
            <w:tcW w:w="1662" w:type="dxa"/>
            <w:vAlign w:val="top"/>
          </w:tcPr>
          <w:p>
            <w:pPr>
              <w:pStyle w:val="6"/>
              <w:spacing w:before="108" w:line="221" w:lineRule="auto"/>
              <w:ind w:left="693"/>
            </w:pPr>
            <w:r>
              <w:rPr>
                <w:rFonts w:ascii="Times New Roman" w:hAnsi="Times New Roman" w:eastAsia="Times New Roman" w:cs="Times New Roman"/>
                <w:spacing w:val="-3"/>
              </w:rPr>
              <w:t>Ⅰ</w:t>
            </w:r>
            <w:r>
              <w:rPr>
                <w:spacing w:val="-3"/>
              </w:rPr>
              <w:t>类</w:t>
            </w:r>
          </w:p>
        </w:tc>
        <w:tc>
          <w:tcPr>
            <w:tcW w:w="1663" w:type="dxa"/>
            <w:vAlign w:val="top"/>
          </w:tcPr>
          <w:p>
            <w:pPr>
              <w:spacing w:before="235" w:line="100" w:lineRule="exact"/>
              <w:ind w:left="801"/>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1667" w:type="dxa"/>
            <w:vAlign w:val="top"/>
          </w:tcPr>
          <w:p>
            <w:pPr>
              <w:pStyle w:val="6"/>
              <w:spacing w:before="109" w:line="221" w:lineRule="auto"/>
              <w:ind w:left="625"/>
            </w:pPr>
            <w:r>
              <w:rPr>
                <w:spacing w:val="-2"/>
              </w:rPr>
              <w:t>达标</w:t>
            </w:r>
          </w:p>
        </w:tc>
      </w:tr>
    </w:tbl>
    <w:p>
      <w:pPr>
        <w:spacing w:before="192" w:line="219" w:lineRule="auto"/>
        <w:ind w:left="52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）农村</w:t>
      </w:r>
      <w:r>
        <w:rPr>
          <w:rFonts w:ascii="Times New Roman" w:hAnsi="Times New Roman" w:eastAsia="Times New Roman" w:cs="Times New Roman"/>
          <w:spacing w:val="-1"/>
          <w:sz w:val="24"/>
          <w:szCs w:val="24"/>
        </w:rPr>
        <w:t>“</w:t>
      </w:r>
      <w:r>
        <w:rPr>
          <w:rFonts w:ascii="宋体" w:hAnsi="宋体" w:eastAsia="宋体" w:cs="宋体"/>
          <w:spacing w:val="-1"/>
          <w:sz w:val="24"/>
          <w:szCs w:val="24"/>
        </w:rPr>
        <w:t>千吨万人</w:t>
      </w:r>
      <w:r>
        <w:rPr>
          <w:rFonts w:ascii="Times New Roman" w:hAnsi="Times New Roman" w:eastAsia="Times New Roman" w:cs="Times New Roman"/>
          <w:spacing w:val="-1"/>
          <w:sz w:val="24"/>
          <w:szCs w:val="24"/>
        </w:rPr>
        <w:t>”</w:t>
      </w:r>
      <w:r>
        <w:rPr>
          <w:rFonts w:ascii="宋体" w:hAnsi="宋体" w:eastAsia="宋体" w:cs="宋体"/>
          <w:spacing w:val="-1"/>
          <w:sz w:val="24"/>
          <w:szCs w:val="24"/>
        </w:rPr>
        <w:t>地表水饮用水源地水质</w:t>
      </w:r>
    </w:p>
    <w:p>
      <w:pPr>
        <w:spacing w:line="219" w:lineRule="auto"/>
        <w:rPr>
          <w:rFonts w:ascii="宋体" w:hAnsi="宋体" w:eastAsia="宋体" w:cs="宋体"/>
          <w:sz w:val="24"/>
          <w:szCs w:val="24"/>
        </w:rPr>
        <w:sectPr>
          <w:headerReference r:id="rId181" w:type="default"/>
          <w:footerReference r:id="rId182" w:type="default"/>
          <w:pgSz w:w="11907" w:h="16839"/>
          <w:pgMar w:top="1118" w:right="1721" w:bottom="1151" w:left="1771" w:header="879" w:footer="990" w:gutter="0"/>
          <w:cols w:space="720" w:num="1"/>
        </w:sectPr>
      </w:pPr>
    </w:p>
    <w:p>
      <w:pPr>
        <w:pStyle w:val="2"/>
        <w:spacing w:line="278" w:lineRule="auto"/>
      </w:pPr>
    </w:p>
    <w:p>
      <w:pPr>
        <w:spacing w:before="78" w:line="468" w:lineRule="exact"/>
        <w:ind w:left="603"/>
        <w:rPr>
          <w:rFonts w:ascii="宋体" w:hAnsi="宋体" w:eastAsia="宋体" w:cs="宋体"/>
          <w:sz w:val="24"/>
          <w:szCs w:val="24"/>
        </w:rPr>
      </w:pPr>
      <w:r>
        <w:rPr>
          <w:rFonts w:ascii="宋体" w:hAnsi="宋体" w:eastAsia="宋体" w:cs="宋体"/>
          <w:spacing w:val="-2"/>
          <w:position w:val="17"/>
          <w:sz w:val="24"/>
          <w:szCs w:val="24"/>
        </w:rPr>
        <w:t>文成县农村</w:t>
      </w:r>
      <w:r>
        <w:rPr>
          <w:rFonts w:ascii="Times New Roman" w:hAnsi="Times New Roman" w:eastAsia="Times New Roman" w:cs="Times New Roman"/>
          <w:spacing w:val="-2"/>
          <w:position w:val="17"/>
          <w:sz w:val="24"/>
          <w:szCs w:val="24"/>
        </w:rPr>
        <w:t>“</w:t>
      </w:r>
      <w:r>
        <w:rPr>
          <w:rFonts w:ascii="宋体" w:hAnsi="宋体" w:eastAsia="宋体" w:cs="宋体"/>
          <w:spacing w:val="-2"/>
          <w:position w:val="17"/>
          <w:sz w:val="24"/>
          <w:szCs w:val="24"/>
        </w:rPr>
        <w:t>千吨万人</w:t>
      </w:r>
      <w:r>
        <w:rPr>
          <w:rFonts w:ascii="Times New Roman" w:hAnsi="Times New Roman" w:eastAsia="Times New Roman" w:cs="Times New Roman"/>
          <w:spacing w:val="-2"/>
          <w:position w:val="17"/>
          <w:sz w:val="24"/>
          <w:szCs w:val="24"/>
        </w:rPr>
        <w:t>”</w:t>
      </w:r>
      <w:r>
        <w:rPr>
          <w:rFonts w:ascii="宋体" w:hAnsi="宋体" w:eastAsia="宋体" w:cs="宋体"/>
          <w:spacing w:val="-2"/>
          <w:position w:val="17"/>
          <w:sz w:val="24"/>
          <w:szCs w:val="24"/>
        </w:rPr>
        <w:t>地表水饮用水源地为玉壶镇</w:t>
      </w:r>
      <w:r>
        <w:rPr>
          <w:rFonts w:ascii="宋体" w:hAnsi="宋体" w:eastAsia="宋体" w:cs="宋体"/>
          <w:spacing w:val="-3"/>
          <w:position w:val="17"/>
          <w:sz w:val="24"/>
          <w:szCs w:val="24"/>
        </w:rPr>
        <w:t>水源地、梅树水库、黄坦</w:t>
      </w:r>
    </w:p>
    <w:p>
      <w:pPr>
        <w:spacing w:before="1" w:line="218" w:lineRule="auto"/>
        <w:ind w:left="122"/>
        <w:rPr>
          <w:rFonts w:ascii="宋体" w:hAnsi="宋体" w:eastAsia="宋体" w:cs="宋体"/>
          <w:sz w:val="24"/>
          <w:szCs w:val="24"/>
        </w:rPr>
      </w:pPr>
      <w:r>
        <w:rPr>
          <w:rFonts w:ascii="宋体" w:hAnsi="宋体" w:eastAsia="宋体" w:cs="宋体"/>
          <w:spacing w:val="-8"/>
          <w:sz w:val="24"/>
          <w:szCs w:val="24"/>
        </w:rPr>
        <w:t>镇水源地、西坑畲族镇水源地，</w:t>
      </w:r>
      <w:r>
        <w:rPr>
          <w:rFonts w:ascii="宋体" w:hAnsi="宋体" w:eastAsia="宋体" w:cs="宋体"/>
          <w:spacing w:val="65"/>
          <w:sz w:val="24"/>
          <w:szCs w:val="24"/>
        </w:rPr>
        <w:t xml:space="preserve"> </w:t>
      </w:r>
      <w:r>
        <w:rPr>
          <w:rFonts w:ascii="Times New Roman" w:hAnsi="Times New Roman" w:eastAsia="Times New Roman" w:cs="Times New Roman"/>
          <w:spacing w:val="-8"/>
          <w:sz w:val="24"/>
          <w:szCs w:val="24"/>
        </w:rPr>
        <w:t xml:space="preserve">2022 </w:t>
      </w:r>
      <w:r>
        <w:rPr>
          <w:rFonts w:ascii="宋体" w:hAnsi="宋体" w:eastAsia="宋体" w:cs="宋体"/>
          <w:spacing w:val="-8"/>
          <w:sz w:val="24"/>
          <w:szCs w:val="24"/>
        </w:rPr>
        <w:t>年共采样监测</w:t>
      </w:r>
      <w:r>
        <w:rPr>
          <w:rFonts w:ascii="宋体" w:hAnsi="宋体" w:eastAsia="宋体" w:cs="宋体"/>
          <w:spacing w:val="-56"/>
          <w:sz w:val="24"/>
          <w:szCs w:val="24"/>
        </w:rPr>
        <w:t xml:space="preserve"> </w:t>
      </w:r>
      <w:r>
        <w:rPr>
          <w:rFonts w:ascii="Times New Roman" w:hAnsi="Times New Roman" w:eastAsia="Times New Roman" w:cs="Times New Roman"/>
          <w:spacing w:val="-8"/>
          <w:sz w:val="24"/>
          <w:szCs w:val="24"/>
        </w:rPr>
        <w:t>4</w:t>
      </w:r>
      <w:r>
        <w:rPr>
          <w:rFonts w:ascii="Times New Roman" w:hAnsi="Times New Roman" w:eastAsia="Times New Roman" w:cs="Times New Roman"/>
          <w:spacing w:val="16"/>
          <w:sz w:val="24"/>
          <w:szCs w:val="24"/>
        </w:rPr>
        <w:t xml:space="preserve"> </w:t>
      </w:r>
      <w:r>
        <w:rPr>
          <w:rFonts w:ascii="宋体" w:hAnsi="宋体" w:eastAsia="宋体" w:cs="宋体"/>
          <w:spacing w:val="-8"/>
          <w:sz w:val="24"/>
          <w:szCs w:val="24"/>
        </w:rPr>
        <w:t>次。</w:t>
      </w:r>
    </w:p>
    <w:p>
      <w:pPr>
        <w:spacing w:before="180" w:line="219" w:lineRule="auto"/>
        <w:ind w:left="1157"/>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4.2-4          2022 </w:t>
      </w:r>
      <w:r>
        <w:rPr>
          <w:rFonts w:ascii="宋体" w:hAnsi="宋体" w:eastAsia="宋体" w:cs="宋体"/>
          <w:sz w:val="24"/>
          <w:szCs w:val="24"/>
        </w:rPr>
        <w:t>年农村</w:t>
      </w:r>
      <w:r>
        <w:rPr>
          <w:rFonts w:ascii="Times New Roman" w:hAnsi="Times New Roman" w:eastAsia="Times New Roman" w:cs="Times New Roman"/>
          <w:sz w:val="24"/>
          <w:szCs w:val="24"/>
        </w:rPr>
        <w:t>“</w:t>
      </w:r>
      <w:r>
        <w:rPr>
          <w:rFonts w:ascii="宋体" w:hAnsi="宋体" w:eastAsia="宋体" w:cs="宋体"/>
          <w:sz w:val="24"/>
          <w:szCs w:val="24"/>
        </w:rPr>
        <w:t>千吨万人</w:t>
      </w:r>
      <w:r>
        <w:rPr>
          <w:rFonts w:ascii="Times New Roman" w:hAnsi="Times New Roman" w:eastAsia="Times New Roman" w:cs="Times New Roman"/>
          <w:spacing w:val="-1"/>
          <w:sz w:val="24"/>
          <w:szCs w:val="24"/>
        </w:rPr>
        <w:t>”</w:t>
      </w:r>
      <w:r>
        <w:rPr>
          <w:rFonts w:ascii="宋体" w:hAnsi="宋体" w:eastAsia="宋体" w:cs="宋体"/>
          <w:spacing w:val="-1"/>
          <w:sz w:val="24"/>
          <w:szCs w:val="24"/>
        </w:rPr>
        <w:t>地表水饮用水源地水质状况</w:t>
      </w:r>
    </w:p>
    <w:p>
      <w:pPr>
        <w:spacing w:line="147" w:lineRule="exact"/>
      </w:pPr>
    </w:p>
    <w:tbl>
      <w:tblPr>
        <w:tblStyle w:val="5"/>
        <w:tblW w:w="8382" w:type="dxa"/>
        <w:tblInd w:w="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22"/>
        <w:gridCol w:w="1869"/>
        <w:gridCol w:w="2092"/>
        <w:gridCol w:w="20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322" w:type="dxa"/>
            <w:vAlign w:val="top"/>
          </w:tcPr>
          <w:p>
            <w:pPr>
              <w:pStyle w:val="6"/>
              <w:spacing w:before="67" w:line="221" w:lineRule="auto"/>
              <w:ind w:left="644"/>
            </w:pPr>
            <w:r>
              <w:rPr>
                <w:spacing w:val="-2"/>
              </w:rPr>
              <w:t>水源地名称</w:t>
            </w:r>
          </w:p>
        </w:tc>
        <w:tc>
          <w:tcPr>
            <w:tcW w:w="1869" w:type="dxa"/>
            <w:vAlign w:val="top"/>
          </w:tcPr>
          <w:p>
            <w:pPr>
              <w:pStyle w:val="6"/>
              <w:spacing w:before="68" w:line="221" w:lineRule="auto"/>
              <w:ind w:left="519"/>
            </w:pPr>
            <w:r>
              <w:rPr>
                <w:spacing w:val="-2"/>
              </w:rPr>
              <w:t>监测项目</w:t>
            </w:r>
          </w:p>
        </w:tc>
        <w:tc>
          <w:tcPr>
            <w:tcW w:w="2092" w:type="dxa"/>
            <w:vAlign w:val="top"/>
          </w:tcPr>
          <w:p>
            <w:pPr>
              <w:pStyle w:val="6"/>
              <w:spacing w:before="68" w:line="219" w:lineRule="auto"/>
              <w:ind w:left="840"/>
            </w:pPr>
            <w:r>
              <w:rPr>
                <w:spacing w:val="-2"/>
              </w:rPr>
              <w:t>评价</w:t>
            </w:r>
          </w:p>
        </w:tc>
        <w:tc>
          <w:tcPr>
            <w:tcW w:w="2099" w:type="dxa"/>
            <w:vAlign w:val="top"/>
          </w:tcPr>
          <w:p>
            <w:pPr>
              <w:pStyle w:val="6"/>
              <w:spacing w:before="68" w:line="221" w:lineRule="auto"/>
              <w:ind w:left="635"/>
            </w:pPr>
            <w:r>
              <w:rPr>
                <w:spacing w:val="-1"/>
              </w:rPr>
              <w:t>超标指标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322" w:type="dxa"/>
            <w:vAlign w:val="top"/>
          </w:tcPr>
          <w:p>
            <w:pPr>
              <w:pStyle w:val="6"/>
              <w:spacing w:before="63" w:line="221" w:lineRule="auto"/>
              <w:ind w:left="539"/>
            </w:pPr>
            <w:r>
              <w:rPr>
                <w:spacing w:val="-1"/>
              </w:rPr>
              <w:t>玉壶镇水源地</w:t>
            </w:r>
          </w:p>
        </w:tc>
        <w:tc>
          <w:tcPr>
            <w:tcW w:w="1869" w:type="dxa"/>
            <w:vAlign w:val="top"/>
          </w:tcPr>
          <w:p>
            <w:pPr>
              <w:pStyle w:val="6"/>
              <w:spacing w:before="64" w:line="221" w:lineRule="auto"/>
              <w:ind w:left="699"/>
            </w:pPr>
            <w:r>
              <w:rPr>
                <w:rFonts w:ascii="Times New Roman" w:hAnsi="Times New Roman" w:eastAsia="Times New Roman" w:cs="Times New Roman"/>
                <w:spacing w:val="-2"/>
              </w:rPr>
              <w:t>29</w:t>
            </w:r>
            <w:r>
              <w:rPr>
                <w:rFonts w:ascii="Times New Roman" w:hAnsi="Times New Roman" w:eastAsia="Times New Roman" w:cs="Times New Roman"/>
                <w:spacing w:val="13"/>
                <w:w w:val="101"/>
              </w:rPr>
              <w:t xml:space="preserve"> </w:t>
            </w:r>
            <w:r>
              <w:rPr>
                <w:spacing w:val="-2"/>
              </w:rPr>
              <w:t>项</w:t>
            </w:r>
          </w:p>
        </w:tc>
        <w:tc>
          <w:tcPr>
            <w:tcW w:w="2092" w:type="dxa"/>
            <w:vAlign w:val="top"/>
          </w:tcPr>
          <w:p>
            <w:pPr>
              <w:pStyle w:val="6"/>
              <w:spacing w:before="64" w:line="221" w:lineRule="auto"/>
              <w:ind w:left="840"/>
            </w:pPr>
            <w:r>
              <w:rPr>
                <w:spacing w:val="-2"/>
              </w:rPr>
              <w:t>达标</w:t>
            </w:r>
          </w:p>
        </w:tc>
        <w:tc>
          <w:tcPr>
            <w:tcW w:w="2099" w:type="dxa"/>
            <w:vAlign w:val="top"/>
          </w:tcPr>
          <w:p>
            <w:pPr>
              <w:spacing w:before="190" w:line="100" w:lineRule="exact"/>
              <w:ind w:left="986"/>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322" w:type="dxa"/>
            <w:vAlign w:val="top"/>
          </w:tcPr>
          <w:p>
            <w:pPr>
              <w:pStyle w:val="6"/>
              <w:spacing w:before="62" w:line="221" w:lineRule="auto"/>
              <w:ind w:left="746"/>
            </w:pPr>
            <w:r>
              <w:rPr>
                <w:spacing w:val="-1"/>
              </w:rPr>
              <w:t>梅树水库</w:t>
            </w:r>
          </w:p>
        </w:tc>
        <w:tc>
          <w:tcPr>
            <w:tcW w:w="1869" w:type="dxa"/>
            <w:vAlign w:val="top"/>
          </w:tcPr>
          <w:p>
            <w:pPr>
              <w:pStyle w:val="6"/>
              <w:spacing w:before="62" w:line="221" w:lineRule="auto"/>
              <w:ind w:left="699"/>
            </w:pPr>
            <w:r>
              <w:rPr>
                <w:rFonts w:ascii="Times New Roman" w:hAnsi="Times New Roman" w:eastAsia="Times New Roman" w:cs="Times New Roman"/>
                <w:spacing w:val="-2"/>
              </w:rPr>
              <w:t>29</w:t>
            </w:r>
            <w:r>
              <w:rPr>
                <w:rFonts w:ascii="Times New Roman" w:hAnsi="Times New Roman" w:eastAsia="Times New Roman" w:cs="Times New Roman"/>
                <w:spacing w:val="13"/>
                <w:w w:val="101"/>
              </w:rPr>
              <w:t xml:space="preserve"> </w:t>
            </w:r>
            <w:r>
              <w:rPr>
                <w:spacing w:val="-2"/>
              </w:rPr>
              <w:t>项</w:t>
            </w:r>
          </w:p>
        </w:tc>
        <w:tc>
          <w:tcPr>
            <w:tcW w:w="2092" w:type="dxa"/>
            <w:vAlign w:val="top"/>
          </w:tcPr>
          <w:p>
            <w:pPr>
              <w:pStyle w:val="6"/>
              <w:spacing w:before="62" w:line="221" w:lineRule="auto"/>
              <w:ind w:left="840"/>
            </w:pPr>
            <w:r>
              <w:rPr>
                <w:spacing w:val="-2"/>
              </w:rPr>
              <w:t>达标</w:t>
            </w:r>
          </w:p>
        </w:tc>
        <w:tc>
          <w:tcPr>
            <w:tcW w:w="2099" w:type="dxa"/>
            <w:vAlign w:val="top"/>
          </w:tcPr>
          <w:p>
            <w:pPr>
              <w:spacing w:before="188" w:line="101" w:lineRule="exact"/>
              <w:ind w:left="986"/>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322" w:type="dxa"/>
            <w:vAlign w:val="top"/>
          </w:tcPr>
          <w:p>
            <w:pPr>
              <w:pStyle w:val="6"/>
              <w:spacing w:before="60" w:line="221" w:lineRule="auto"/>
              <w:ind w:left="537"/>
            </w:pPr>
            <w:r>
              <w:rPr>
                <w:spacing w:val="-1"/>
              </w:rPr>
              <w:t>黄坦镇水源地</w:t>
            </w:r>
          </w:p>
        </w:tc>
        <w:tc>
          <w:tcPr>
            <w:tcW w:w="1869" w:type="dxa"/>
            <w:vAlign w:val="top"/>
          </w:tcPr>
          <w:p>
            <w:pPr>
              <w:pStyle w:val="6"/>
              <w:spacing w:before="61" w:line="221" w:lineRule="auto"/>
              <w:ind w:left="699"/>
            </w:pPr>
            <w:r>
              <w:rPr>
                <w:rFonts w:ascii="Times New Roman" w:hAnsi="Times New Roman" w:eastAsia="Times New Roman" w:cs="Times New Roman"/>
                <w:spacing w:val="-2"/>
              </w:rPr>
              <w:t>29</w:t>
            </w:r>
            <w:r>
              <w:rPr>
                <w:rFonts w:ascii="Times New Roman" w:hAnsi="Times New Roman" w:eastAsia="Times New Roman" w:cs="Times New Roman"/>
                <w:spacing w:val="13"/>
                <w:w w:val="101"/>
              </w:rPr>
              <w:t xml:space="preserve"> </w:t>
            </w:r>
            <w:r>
              <w:rPr>
                <w:spacing w:val="-2"/>
              </w:rPr>
              <w:t>项</w:t>
            </w:r>
          </w:p>
        </w:tc>
        <w:tc>
          <w:tcPr>
            <w:tcW w:w="2092" w:type="dxa"/>
            <w:vAlign w:val="top"/>
          </w:tcPr>
          <w:p>
            <w:pPr>
              <w:pStyle w:val="6"/>
              <w:spacing w:before="61" w:line="221" w:lineRule="auto"/>
              <w:ind w:left="840"/>
            </w:pPr>
            <w:r>
              <w:rPr>
                <w:spacing w:val="-2"/>
              </w:rPr>
              <w:t>达标</w:t>
            </w:r>
          </w:p>
        </w:tc>
        <w:tc>
          <w:tcPr>
            <w:tcW w:w="2099" w:type="dxa"/>
            <w:vAlign w:val="top"/>
          </w:tcPr>
          <w:p>
            <w:pPr>
              <w:spacing w:before="187" w:line="100" w:lineRule="exact"/>
              <w:ind w:left="986"/>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2322" w:type="dxa"/>
            <w:vAlign w:val="top"/>
          </w:tcPr>
          <w:p>
            <w:pPr>
              <w:pStyle w:val="6"/>
              <w:spacing w:before="71" w:line="221" w:lineRule="auto"/>
              <w:ind w:left="332"/>
            </w:pPr>
            <w:r>
              <w:rPr>
                <w:spacing w:val="-2"/>
              </w:rPr>
              <w:t>西坑畲族镇水源地</w:t>
            </w:r>
          </w:p>
        </w:tc>
        <w:tc>
          <w:tcPr>
            <w:tcW w:w="1869" w:type="dxa"/>
            <w:vAlign w:val="top"/>
          </w:tcPr>
          <w:p>
            <w:pPr>
              <w:pStyle w:val="6"/>
              <w:spacing w:before="72" w:line="221" w:lineRule="auto"/>
              <w:ind w:left="699"/>
            </w:pPr>
            <w:r>
              <w:rPr>
                <w:rFonts w:ascii="Times New Roman" w:hAnsi="Times New Roman" w:eastAsia="Times New Roman" w:cs="Times New Roman"/>
                <w:spacing w:val="-2"/>
              </w:rPr>
              <w:t>29</w:t>
            </w:r>
            <w:r>
              <w:rPr>
                <w:rFonts w:ascii="Times New Roman" w:hAnsi="Times New Roman" w:eastAsia="Times New Roman" w:cs="Times New Roman"/>
                <w:spacing w:val="13"/>
                <w:w w:val="101"/>
              </w:rPr>
              <w:t xml:space="preserve"> </w:t>
            </w:r>
            <w:r>
              <w:rPr>
                <w:spacing w:val="-2"/>
              </w:rPr>
              <w:t>项</w:t>
            </w:r>
          </w:p>
        </w:tc>
        <w:tc>
          <w:tcPr>
            <w:tcW w:w="2092" w:type="dxa"/>
            <w:vAlign w:val="top"/>
          </w:tcPr>
          <w:p>
            <w:pPr>
              <w:pStyle w:val="6"/>
              <w:spacing w:before="72" w:line="221" w:lineRule="auto"/>
              <w:ind w:left="840"/>
            </w:pPr>
            <w:r>
              <w:rPr>
                <w:spacing w:val="-2"/>
              </w:rPr>
              <w:t>达标</w:t>
            </w:r>
          </w:p>
        </w:tc>
        <w:tc>
          <w:tcPr>
            <w:tcW w:w="2099" w:type="dxa"/>
            <w:vAlign w:val="top"/>
          </w:tcPr>
          <w:p>
            <w:pPr>
              <w:spacing w:before="198" w:line="100" w:lineRule="exact"/>
              <w:ind w:left="986"/>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p>
        </w:tc>
      </w:tr>
    </w:tbl>
    <w:p>
      <w:pPr>
        <w:spacing w:before="192" w:line="466" w:lineRule="exact"/>
        <w:ind w:left="597"/>
        <w:rPr>
          <w:rFonts w:ascii="宋体" w:hAnsi="宋体" w:eastAsia="宋体" w:cs="宋体"/>
          <w:sz w:val="24"/>
          <w:szCs w:val="24"/>
        </w:rPr>
      </w:pPr>
      <w:r>
        <w:rPr>
          <w:rFonts w:ascii="Times New Roman" w:hAnsi="Times New Roman" w:eastAsia="Times New Roman" w:cs="Times New Roman"/>
          <w:spacing w:val="1"/>
          <w:position w:val="17"/>
          <w:sz w:val="24"/>
          <w:szCs w:val="24"/>
        </w:rPr>
        <w:t xml:space="preserve">2022  </w:t>
      </w:r>
      <w:r>
        <w:rPr>
          <w:rFonts w:ascii="宋体" w:hAnsi="宋体" w:eastAsia="宋体" w:cs="宋体"/>
          <w:spacing w:val="1"/>
          <w:position w:val="17"/>
          <w:sz w:val="24"/>
          <w:szCs w:val="24"/>
        </w:rPr>
        <w:t>年文成县农村</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千吨万人</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地表水饮用水源地水质符合饮用水源地水质</w:t>
      </w:r>
    </w:p>
    <w:p>
      <w:pPr>
        <w:spacing w:line="220" w:lineRule="auto"/>
        <w:ind w:left="123"/>
        <w:rPr>
          <w:rFonts w:ascii="宋体" w:hAnsi="宋体" w:eastAsia="宋体" w:cs="宋体"/>
          <w:sz w:val="24"/>
          <w:szCs w:val="24"/>
        </w:rPr>
      </w:pPr>
      <w:r>
        <w:rPr>
          <w:rFonts w:ascii="宋体" w:hAnsi="宋体" w:eastAsia="宋体" w:cs="宋体"/>
          <w:spacing w:val="-11"/>
          <w:sz w:val="24"/>
          <w:szCs w:val="24"/>
        </w:rPr>
        <w:t>标准。</w:t>
      </w:r>
    </w:p>
    <w:p>
      <w:pPr>
        <w:spacing w:before="181" w:line="220" w:lineRule="auto"/>
        <w:ind w:left="60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）珊溪水库入库支流水质</w:t>
      </w:r>
    </w:p>
    <w:p>
      <w:pPr>
        <w:spacing w:before="182" w:line="359" w:lineRule="auto"/>
        <w:ind w:left="122" w:right="110" w:firstLine="479"/>
        <w:rPr>
          <w:rFonts w:ascii="Times New Roman" w:hAnsi="Times New Roman" w:eastAsia="Times New Roman" w:cs="Times New Roman"/>
          <w:sz w:val="24"/>
          <w:szCs w:val="24"/>
        </w:rPr>
      </w:pPr>
      <w:r>
        <w:rPr>
          <w:rFonts w:ascii="宋体" w:hAnsi="宋体" w:eastAsia="宋体" w:cs="宋体"/>
          <w:spacing w:val="4"/>
          <w:sz w:val="24"/>
          <w:szCs w:val="24"/>
        </w:rPr>
        <w:t>根据温州市生态环境局文成分局针对文成县珊溪水库入库支流水质的监测</w:t>
      </w:r>
      <w:r>
        <w:rPr>
          <w:rFonts w:ascii="宋体" w:hAnsi="宋体" w:eastAsia="宋体" w:cs="宋体"/>
          <w:spacing w:val="10"/>
          <w:sz w:val="24"/>
          <w:szCs w:val="24"/>
        </w:rPr>
        <w:t xml:space="preserve"> </w:t>
      </w:r>
      <w:r>
        <w:rPr>
          <w:rFonts w:ascii="宋体" w:hAnsi="宋体" w:eastAsia="宋体" w:cs="宋体"/>
          <w:spacing w:val="-4"/>
          <w:sz w:val="24"/>
          <w:szCs w:val="24"/>
        </w:rPr>
        <w:t xml:space="preserve">数据， </w:t>
      </w:r>
      <w:r>
        <w:rPr>
          <w:rFonts w:ascii="Times New Roman" w:hAnsi="Times New Roman" w:eastAsia="Times New Roman" w:cs="Times New Roman"/>
          <w:spacing w:val="-4"/>
          <w:sz w:val="24"/>
          <w:szCs w:val="24"/>
        </w:rPr>
        <w:t xml:space="preserve">2022 </w:t>
      </w:r>
      <w:r>
        <w:rPr>
          <w:rFonts w:ascii="宋体" w:hAnsi="宋体" w:eastAsia="宋体" w:cs="宋体"/>
          <w:spacing w:val="-4"/>
          <w:sz w:val="24"/>
          <w:szCs w:val="24"/>
        </w:rPr>
        <w:t>年文成县珊溪水库入库支流水质状况</w:t>
      </w:r>
      <w:r>
        <w:rPr>
          <w:rFonts w:ascii="宋体" w:hAnsi="宋体" w:eastAsia="宋体" w:cs="宋体"/>
          <w:spacing w:val="-5"/>
          <w:sz w:val="24"/>
          <w:szCs w:val="24"/>
        </w:rPr>
        <w:t>如下。水质评价指标为</w:t>
      </w:r>
      <w:r>
        <w:rPr>
          <w:rFonts w:ascii="宋体" w:hAnsi="宋体" w:eastAsia="宋体" w:cs="宋体"/>
          <w:spacing w:val="-59"/>
          <w:sz w:val="24"/>
          <w:szCs w:val="24"/>
        </w:rPr>
        <w:t xml:space="preserve"> </w:t>
      </w:r>
      <w:r>
        <w:rPr>
          <w:rFonts w:ascii="Times New Roman" w:hAnsi="Times New Roman" w:eastAsia="Times New Roman" w:cs="Times New Roman"/>
          <w:spacing w:val="-5"/>
          <w:sz w:val="24"/>
          <w:szCs w:val="24"/>
        </w:rPr>
        <w:t>pH</w:t>
      </w:r>
      <w:r>
        <w:rPr>
          <w:rFonts w:ascii="宋体" w:hAnsi="宋体" w:eastAsia="宋体" w:cs="宋体"/>
          <w:spacing w:val="-5"/>
          <w:sz w:val="24"/>
          <w:szCs w:val="24"/>
        </w:rPr>
        <w:t>、高</w:t>
      </w:r>
      <w:r>
        <w:rPr>
          <w:rFonts w:ascii="宋体" w:hAnsi="宋体" w:eastAsia="宋体" w:cs="宋体"/>
          <w:sz w:val="24"/>
          <w:szCs w:val="24"/>
        </w:rPr>
        <w:t xml:space="preserve"> </w:t>
      </w:r>
      <w:r>
        <w:rPr>
          <w:rFonts w:ascii="宋体" w:hAnsi="宋体" w:eastAsia="宋体" w:cs="宋体"/>
          <w:spacing w:val="-7"/>
          <w:sz w:val="24"/>
          <w:szCs w:val="24"/>
        </w:rPr>
        <w:t>锰酸盐指数、总磷、总氮、氨氮等</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5</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项，</w:t>
      </w:r>
      <w:r>
        <w:rPr>
          <w:rFonts w:ascii="宋体" w:hAnsi="宋体" w:eastAsia="宋体" w:cs="宋体"/>
          <w:spacing w:val="-57"/>
          <w:sz w:val="24"/>
          <w:szCs w:val="24"/>
        </w:rPr>
        <w:t xml:space="preserve"> </w:t>
      </w:r>
      <w:r>
        <w:rPr>
          <w:rFonts w:ascii="宋体" w:hAnsi="宋体" w:eastAsia="宋体" w:cs="宋体"/>
          <w:spacing w:val="-7"/>
          <w:sz w:val="24"/>
          <w:szCs w:val="24"/>
        </w:rPr>
        <w:t>执行《</w:t>
      </w:r>
      <w:r>
        <w:rPr>
          <w:rFonts w:ascii="宋体" w:hAnsi="宋体" w:eastAsia="宋体" w:cs="宋体"/>
          <w:spacing w:val="-8"/>
          <w:sz w:val="24"/>
          <w:szCs w:val="24"/>
        </w:rPr>
        <w:t>地表水环境质量标准》（</w:t>
      </w:r>
      <w:r>
        <w:rPr>
          <w:rFonts w:ascii="Times New Roman" w:hAnsi="Times New Roman" w:eastAsia="Times New Roman" w:cs="Times New Roman"/>
          <w:spacing w:val="-8"/>
          <w:sz w:val="24"/>
          <w:szCs w:val="24"/>
        </w:rPr>
        <w:t>GB3838</w:t>
      </w:r>
    </w:p>
    <w:p>
      <w:pPr>
        <w:spacing w:line="218" w:lineRule="auto"/>
        <w:ind w:right="19"/>
        <w:jc w:val="right"/>
        <w:rPr>
          <w:rFonts w:ascii="宋体" w:hAnsi="宋体" w:eastAsia="宋体" w:cs="宋体"/>
          <w:sz w:val="24"/>
          <w:szCs w:val="24"/>
        </w:rPr>
      </w:pPr>
      <w:r>
        <w:rPr>
          <w:rFonts w:ascii="宋体" w:hAnsi="宋体" w:eastAsia="宋体" w:cs="宋体"/>
          <w:spacing w:val="-12"/>
          <w:sz w:val="24"/>
          <w:szCs w:val="24"/>
        </w:rPr>
        <w:t>-</w:t>
      </w:r>
      <w:r>
        <w:rPr>
          <w:rFonts w:ascii="Times New Roman" w:hAnsi="Times New Roman" w:eastAsia="Times New Roman" w:cs="Times New Roman"/>
          <w:spacing w:val="-12"/>
          <w:sz w:val="24"/>
          <w:szCs w:val="24"/>
        </w:rPr>
        <w:t>2002</w:t>
      </w:r>
      <w:r>
        <w:rPr>
          <w:rFonts w:ascii="宋体" w:hAnsi="宋体" w:eastAsia="宋体" w:cs="宋体"/>
          <w:spacing w:val="-12"/>
          <w:sz w:val="24"/>
          <w:szCs w:val="24"/>
        </w:rPr>
        <w:t>）评价，</w:t>
      </w:r>
      <w:r>
        <w:rPr>
          <w:rFonts w:ascii="宋体" w:hAnsi="宋体" w:eastAsia="宋体" w:cs="宋体"/>
          <w:spacing w:val="-31"/>
          <w:sz w:val="24"/>
          <w:szCs w:val="24"/>
        </w:rPr>
        <w:t xml:space="preserve"> </w:t>
      </w:r>
      <w:r>
        <w:rPr>
          <w:rFonts w:ascii="宋体" w:hAnsi="宋体" w:eastAsia="宋体" w:cs="宋体"/>
          <w:spacing w:val="-12"/>
          <w:sz w:val="24"/>
          <w:szCs w:val="24"/>
        </w:rPr>
        <w:t>其中总磷项目采用河流标准评价， 总氮项目仅作参考， 不做评价。</w:t>
      </w:r>
    </w:p>
    <w:p>
      <w:pPr>
        <w:spacing w:before="184" w:line="220" w:lineRule="auto"/>
        <w:ind w:left="207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4.2-5        </w:t>
      </w:r>
      <w:r>
        <w:rPr>
          <w:rFonts w:ascii="宋体" w:hAnsi="宋体" w:eastAsia="宋体" w:cs="宋体"/>
          <w:spacing w:val="-1"/>
          <w:sz w:val="24"/>
          <w:szCs w:val="24"/>
        </w:rPr>
        <w:t>文成县珊溪水库入库支流水质状况</w:t>
      </w:r>
    </w:p>
    <w:p>
      <w:pPr>
        <w:spacing w:line="144"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6"/>
        <w:gridCol w:w="1533"/>
        <w:gridCol w:w="1562"/>
        <w:gridCol w:w="2130"/>
        <w:gridCol w:w="14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876" w:type="dxa"/>
            <w:vAlign w:val="top"/>
          </w:tcPr>
          <w:p>
            <w:pPr>
              <w:pStyle w:val="6"/>
              <w:spacing w:before="34" w:line="209" w:lineRule="auto"/>
              <w:ind w:left="523"/>
            </w:pPr>
            <w:r>
              <w:rPr>
                <w:spacing w:val="-1"/>
              </w:rPr>
              <w:t>采样位置</w:t>
            </w:r>
          </w:p>
        </w:tc>
        <w:tc>
          <w:tcPr>
            <w:tcW w:w="1533" w:type="dxa"/>
            <w:vAlign w:val="top"/>
          </w:tcPr>
          <w:p>
            <w:pPr>
              <w:pStyle w:val="6"/>
              <w:spacing w:before="34" w:line="209" w:lineRule="auto"/>
              <w:ind w:left="247"/>
            </w:pPr>
            <w:r>
              <w:rPr>
                <w:spacing w:val="-2"/>
              </w:rPr>
              <w:t>功能区要求</w:t>
            </w:r>
          </w:p>
        </w:tc>
        <w:tc>
          <w:tcPr>
            <w:tcW w:w="1562" w:type="dxa"/>
            <w:vAlign w:val="top"/>
          </w:tcPr>
          <w:p>
            <w:pPr>
              <w:pStyle w:val="6"/>
              <w:spacing w:before="34" w:line="209" w:lineRule="auto"/>
              <w:ind w:left="367"/>
            </w:pPr>
            <w:r>
              <w:rPr>
                <w:spacing w:val="-2"/>
              </w:rPr>
              <w:t>水质现状</w:t>
            </w:r>
          </w:p>
        </w:tc>
        <w:tc>
          <w:tcPr>
            <w:tcW w:w="2130" w:type="dxa"/>
            <w:vAlign w:val="top"/>
          </w:tcPr>
          <w:p>
            <w:pPr>
              <w:pStyle w:val="6"/>
              <w:spacing w:before="34" w:line="209" w:lineRule="auto"/>
              <w:ind w:left="656"/>
            </w:pPr>
            <w:r>
              <w:rPr>
                <w:spacing w:val="-3"/>
              </w:rPr>
              <w:t>定类项目</w:t>
            </w:r>
          </w:p>
        </w:tc>
        <w:tc>
          <w:tcPr>
            <w:tcW w:w="1427" w:type="dxa"/>
            <w:vAlign w:val="top"/>
          </w:tcPr>
          <w:p>
            <w:pPr>
              <w:pStyle w:val="6"/>
              <w:spacing w:before="34" w:line="209" w:lineRule="auto"/>
              <w:ind w:left="508"/>
            </w:pPr>
            <w:r>
              <w:rPr>
                <w:spacing w:val="-2"/>
              </w:rPr>
              <w:t>评级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876" w:type="dxa"/>
            <w:vAlign w:val="top"/>
          </w:tcPr>
          <w:p>
            <w:pPr>
              <w:pStyle w:val="6"/>
              <w:spacing w:before="30" w:line="206" w:lineRule="auto"/>
              <w:ind w:left="208"/>
            </w:pPr>
            <w:r>
              <w:rPr>
                <w:spacing w:val="-3"/>
              </w:rPr>
              <w:t>玉泉溪（上林）</w:t>
            </w:r>
          </w:p>
        </w:tc>
        <w:tc>
          <w:tcPr>
            <w:tcW w:w="1533" w:type="dxa"/>
            <w:vAlign w:val="top"/>
          </w:tcPr>
          <w:p>
            <w:pPr>
              <w:pStyle w:val="6"/>
              <w:spacing w:before="30" w:line="206" w:lineRule="auto"/>
              <w:ind w:left="594"/>
            </w:pPr>
            <w:r>
              <w:rPr>
                <w:rFonts w:ascii="Times New Roman" w:hAnsi="Times New Roman" w:eastAsia="Times New Roman" w:cs="Times New Roman"/>
                <w:spacing w:val="-2"/>
              </w:rPr>
              <w:t>Ⅱ</w:t>
            </w:r>
            <w:r>
              <w:rPr>
                <w:spacing w:val="-2"/>
              </w:rPr>
              <w:t>类</w:t>
            </w:r>
          </w:p>
        </w:tc>
        <w:tc>
          <w:tcPr>
            <w:tcW w:w="1562" w:type="dxa"/>
            <w:vAlign w:val="top"/>
          </w:tcPr>
          <w:p>
            <w:pPr>
              <w:pStyle w:val="6"/>
              <w:spacing w:before="30" w:line="206" w:lineRule="auto"/>
              <w:ind w:left="609"/>
            </w:pPr>
            <w:r>
              <w:rPr>
                <w:rFonts w:ascii="Times New Roman" w:hAnsi="Times New Roman" w:eastAsia="Times New Roman" w:cs="Times New Roman"/>
                <w:spacing w:val="-2"/>
              </w:rPr>
              <w:t>Ⅱ</w:t>
            </w:r>
            <w:r>
              <w:rPr>
                <w:spacing w:val="-2"/>
              </w:rPr>
              <w:t>类</w:t>
            </w:r>
          </w:p>
        </w:tc>
        <w:tc>
          <w:tcPr>
            <w:tcW w:w="2130" w:type="dxa"/>
            <w:vAlign w:val="top"/>
          </w:tcPr>
          <w:p>
            <w:pPr>
              <w:pStyle w:val="6"/>
              <w:spacing w:before="30" w:line="206" w:lineRule="auto"/>
              <w:ind w:left="866"/>
            </w:pPr>
            <w:r>
              <w:rPr>
                <w:spacing w:val="-3"/>
              </w:rPr>
              <w:t>总磷</w:t>
            </w:r>
          </w:p>
        </w:tc>
        <w:tc>
          <w:tcPr>
            <w:tcW w:w="1427" w:type="dxa"/>
            <w:vAlign w:val="top"/>
          </w:tcPr>
          <w:p>
            <w:pPr>
              <w:pStyle w:val="6"/>
              <w:spacing w:before="30" w:line="206" w:lineRule="auto"/>
              <w:ind w:left="50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876" w:type="dxa"/>
            <w:vAlign w:val="top"/>
          </w:tcPr>
          <w:p>
            <w:pPr>
              <w:pStyle w:val="6"/>
              <w:spacing w:before="33" w:line="206" w:lineRule="auto"/>
              <w:ind w:left="737"/>
            </w:pPr>
            <w:r>
              <w:rPr>
                <w:spacing w:val="-3"/>
              </w:rPr>
              <w:t>九溪</w:t>
            </w:r>
          </w:p>
        </w:tc>
        <w:tc>
          <w:tcPr>
            <w:tcW w:w="1533" w:type="dxa"/>
            <w:vAlign w:val="top"/>
          </w:tcPr>
          <w:p>
            <w:pPr>
              <w:pStyle w:val="6"/>
              <w:spacing w:before="33" w:line="206" w:lineRule="auto"/>
              <w:ind w:left="594"/>
            </w:pPr>
            <w:r>
              <w:rPr>
                <w:rFonts w:ascii="Times New Roman" w:hAnsi="Times New Roman" w:eastAsia="Times New Roman" w:cs="Times New Roman"/>
                <w:spacing w:val="-2"/>
              </w:rPr>
              <w:t>Ⅱ</w:t>
            </w:r>
            <w:r>
              <w:rPr>
                <w:spacing w:val="-2"/>
              </w:rPr>
              <w:t>类</w:t>
            </w:r>
          </w:p>
        </w:tc>
        <w:tc>
          <w:tcPr>
            <w:tcW w:w="1562" w:type="dxa"/>
            <w:vAlign w:val="top"/>
          </w:tcPr>
          <w:p>
            <w:pPr>
              <w:pStyle w:val="6"/>
              <w:spacing w:before="33" w:line="206" w:lineRule="auto"/>
              <w:ind w:left="609"/>
            </w:pPr>
            <w:r>
              <w:rPr>
                <w:rFonts w:ascii="Times New Roman" w:hAnsi="Times New Roman" w:eastAsia="Times New Roman" w:cs="Times New Roman"/>
                <w:spacing w:val="-2"/>
              </w:rPr>
              <w:t>Ⅱ</w:t>
            </w:r>
            <w:r>
              <w:rPr>
                <w:spacing w:val="-2"/>
              </w:rPr>
              <w:t>类</w:t>
            </w:r>
          </w:p>
        </w:tc>
        <w:tc>
          <w:tcPr>
            <w:tcW w:w="2130" w:type="dxa"/>
            <w:vAlign w:val="top"/>
          </w:tcPr>
          <w:p>
            <w:pPr>
              <w:pStyle w:val="6"/>
              <w:spacing w:before="33" w:line="206" w:lineRule="auto"/>
              <w:ind w:left="866"/>
            </w:pPr>
            <w:r>
              <w:rPr>
                <w:spacing w:val="-3"/>
              </w:rPr>
              <w:t>总磷</w:t>
            </w:r>
          </w:p>
        </w:tc>
        <w:tc>
          <w:tcPr>
            <w:tcW w:w="1427" w:type="dxa"/>
            <w:vAlign w:val="top"/>
          </w:tcPr>
          <w:p>
            <w:pPr>
              <w:pStyle w:val="6"/>
              <w:spacing w:before="33" w:line="206" w:lineRule="auto"/>
              <w:ind w:left="50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876" w:type="dxa"/>
            <w:vAlign w:val="top"/>
          </w:tcPr>
          <w:p>
            <w:pPr>
              <w:pStyle w:val="6"/>
              <w:spacing w:before="168" w:line="223" w:lineRule="auto"/>
              <w:ind w:left="735"/>
            </w:pPr>
            <w:r>
              <w:rPr>
                <w:spacing w:val="-3"/>
              </w:rPr>
              <w:t>泗溪</w:t>
            </w:r>
          </w:p>
        </w:tc>
        <w:tc>
          <w:tcPr>
            <w:tcW w:w="1533" w:type="dxa"/>
            <w:vAlign w:val="top"/>
          </w:tcPr>
          <w:p>
            <w:pPr>
              <w:pStyle w:val="6"/>
              <w:spacing w:before="167" w:line="221" w:lineRule="auto"/>
              <w:ind w:left="563"/>
            </w:pPr>
            <w:r>
              <w:rPr>
                <w:rFonts w:ascii="Times New Roman" w:hAnsi="Times New Roman" w:eastAsia="Times New Roman" w:cs="Times New Roman"/>
                <w:spacing w:val="-2"/>
              </w:rPr>
              <w:t>Ⅲ</w:t>
            </w:r>
            <w:r>
              <w:rPr>
                <w:spacing w:val="-2"/>
              </w:rPr>
              <w:t>类</w:t>
            </w:r>
          </w:p>
        </w:tc>
        <w:tc>
          <w:tcPr>
            <w:tcW w:w="1562" w:type="dxa"/>
            <w:vAlign w:val="top"/>
          </w:tcPr>
          <w:p>
            <w:pPr>
              <w:pStyle w:val="6"/>
              <w:spacing w:before="167" w:line="221" w:lineRule="auto"/>
              <w:ind w:left="609"/>
            </w:pPr>
            <w:r>
              <w:rPr>
                <w:rFonts w:ascii="Times New Roman" w:hAnsi="Times New Roman" w:eastAsia="Times New Roman" w:cs="Times New Roman"/>
                <w:spacing w:val="-2"/>
              </w:rPr>
              <w:t>Ⅱ</w:t>
            </w:r>
            <w:r>
              <w:rPr>
                <w:spacing w:val="-2"/>
              </w:rPr>
              <w:t>类</w:t>
            </w:r>
          </w:p>
        </w:tc>
        <w:tc>
          <w:tcPr>
            <w:tcW w:w="2130" w:type="dxa"/>
            <w:vAlign w:val="top"/>
          </w:tcPr>
          <w:p>
            <w:pPr>
              <w:pStyle w:val="6"/>
              <w:spacing w:before="31" w:line="223" w:lineRule="auto"/>
              <w:ind w:left="865" w:right="26" w:hanging="746"/>
            </w:pPr>
            <w:r>
              <w:rPr>
                <w:spacing w:val="-13"/>
              </w:rPr>
              <w:t>高锰酸盐指数、氨氮、</w:t>
            </w:r>
            <w:r>
              <w:rPr>
                <w:spacing w:val="7"/>
              </w:rPr>
              <w:t xml:space="preserve"> </w:t>
            </w:r>
            <w:r>
              <w:rPr>
                <w:spacing w:val="-3"/>
              </w:rPr>
              <w:t>总磷</w:t>
            </w:r>
          </w:p>
        </w:tc>
        <w:tc>
          <w:tcPr>
            <w:tcW w:w="1427" w:type="dxa"/>
            <w:vAlign w:val="top"/>
          </w:tcPr>
          <w:p>
            <w:pPr>
              <w:pStyle w:val="6"/>
              <w:spacing w:before="168" w:line="221" w:lineRule="auto"/>
              <w:ind w:left="50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876" w:type="dxa"/>
            <w:vAlign w:val="top"/>
          </w:tcPr>
          <w:p>
            <w:pPr>
              <w:pStyle w:val="6"/>
              <w:spacing w:before="32" w:line="207" w:lineRule="auto"/>
              <w:ind w:left="627"/>
            </w:pPr>
            <w:r>
              <w:rPr>
                <w:spacing w:val="-2"/>
              </w:rPr>
              <w:t>双桂溪</w:t>
            </w:r>
          </w:p>
        </w:tc>
        <w:tc>
          <w:tcPr>
            <w:tcW w:w="1533" w:type="dxa"/>
            <w:vAlign w:val="top"/>
          </w:tcPr>
          <w:p>
            <w:pPr>
              <w:pStyle w:val="6"/>
              <w:spacing w:before="32" w:line="207" w:lineRule="auto"/>
              <w:ind w:left="594"/>
            </w:pPr>
            <w:r>
              <w:rPr>
                <w:rFonts w:ascii="Times New Roman" w:hAnsi="Times New Roman" w:eastAsia="Times New Roman" w:cs="Times New Roman"/>
                <w:spacing w:val="-2"/>
              </w:rPr>
              <w:t>Ⅱ</w:t>
            </w:r>
            <w:r>
              <w:rPr>
                <w:spacing w:val="-2"/>
              </w:rPr>
              <w:t>类</w:t>
            </w:r>
          </w:p>
        </w:tc>
        <w:tc>
          <w:tcPr>
            <w:tcW w:w="1562" w:type="dxa"/>
            <w:vAlign w:val="top"/>
          </w:tcPr>
          <w:p>
            <w:pPr>
              <w:pStyle w:val="6"/>
              <w:spacing w:before="32" w:line="207" w:lineRule="auto"/>
              <w:ind w:left="609"/>
            </w:pPr>
            <w:r>
              <w:rPr>
                <w:rFonts w:ascii="Times New Roman" w:hAnsi="Times New Roman" w:eastAsia="Times New Roman" w:cs="Times New Roman"/>
                <w:spacing w:val="-2"/>
              </w:rPr>
              <w:t>Ⅱ</w:t>
            </w:r>
            <w:r>
              <w:rPr>
                <w:spacing w:val="-2"/>
              </w:rPr>
              <w:t>类</w:t>
            </w:r>
          </w:p>
        </w:tc>
        <w:tc>
          <w:tcPr>
            <w:tcW w:w="2130" w:type="dxa"/>
            <w:vAlign w:val="top"/>
          </w:tcPr>
          <w:p>
            <w:pPr>
              <w:pStyle w:val="6"/>
              <w:spacing w:before="32" w:line="207" w:lineRule="auto"/>
              <w:ind w:left="131"/>
            </w:pPr>
            <w:r>
              <w:rPr>
                <w:spacing w:val="-1"/>
              </w:rPr>
              <w:t>高锰酸盐指数、总磷</w:t>
            </w:r>
          </w:p>
        </w:tc>
        <w:tc>
          <w:tcPr>
            <w:tcW w:w="1427" w:type="dxa"/>
            <w:vAlign w:val="top"/>
          </w:tcPr>
          <w:p>
            <w:pPr>
              <w:pStyle w:val="6"/>
              <w:spacing w:before="32" w:line="207" w:lineRule="auto"/>
              <w:ind w:left="50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876" w:type="dxa"/>
            <w:vAlign w:val="top"/>
          </w:tcPr>
          <w:p>
            <w:pPr>
              <w:pStyle w:val="6"/>
              <w:spacing w:before="32" w:line="207" w:lineRule="auto"/>
              <w:ind w:left="627"/>
            </w:pPr>
            <w:r>
              <w:rPr>
                <w:spacing w:val="-2"/>
              </w:rPr>
              <w:t>渡渎溪</w:t>
            </w:r>
          </w:p>
        </w:tc>
        <w:tc>
          <w:tcPr>
            <w:tcW w:w="1533" w:type="dxa"/>
            <w:vAlign w:val="top"/>
          </w:tcPr>
          <w:p>
            <w:pPr>
              <w:pStyle w:val="6"/>
              <w:spacing w:before="32" w:line="207" w:lineRule="auto"/>
              <w:ind w:left="594"/>
            </w:pPr>
            <w:r>
              <w:rPr>
                <w:rFonts w:ascii="Times New Roman" w:hAnsi="Times New Roman" w:eastAsia="Times New Roman" w:cs="Times New Roman"/>
                <w:spacing w:val="-2"/>
              </w:rPr>
              <w:t>Ⅱ</w:t>
            </w:r>
            <w:r>
              <w:rPr>
                <w:spacing w:val="-2"/>
              </w:rPr>
              <w:t>类</w:t>
            </w:r>
          </w:p>
        </w:tc>
        <w:tc>
          <w:tcPr>
            <w:tcW w:w="1562" w:type="dxa"/>
            <w:vAlign w:val="top"/>
          </w:tcPr>
          <w:p>
            <w:pPr>
              <w:pStyle w:val="6"/>
              <w:spacing w:before="32" w:line="207" w:lineRule="auto"/>
              <w:ind w:left="609"/>
            </w:pPr>
            <w:r>
              <w:rPr>
                <w:rFonts w:ascii="Times New Roman" w:hAnsi="Times New Roman" w:eastAsia="Times New Roman" w:cs="Times New Roman"/>
                <w:spacing w:val="-2"/>
              </w:rPr>
              <w:t>Ⅱ</w:t>
            </w:r>
            <w:r>
              <w:rPr>
                <w:spacing w:val="-2"/>
              </w:rPr>
              <w:t>类</w:t>
            </w:r>
          </w:p>
        </w:tc>
        <w:tc>
          <w:tcPr>
            <w:tcW w:w="2130" w:type="dxa"/>
            <w:vAlign w:val="top"/>
          </w:tcPr>
          <w:p>
            <w:pPr>
              <w:pStyle w:val="6"/>
              <w:spacing w:before="32" w:line="207" w:lineRule="auto"/>
              <w:ind w:left="866"/>
            </w:pPr>
            <w:r>
              <w:rPr>
                <w:spacing w:val="-3"/>
              </w:rPr>
              <w:t>总磷</w:t>
            </w:r>
          </w:p>
        </w:tc>
        <w:tc>
          <w:tcPr>
            <w:tcW w:w="1427" w:type="dxa"/>
            <w:vAlign w:val="top"/>
          </w:tcPr>
          <w:p>
            <w:pPr>
              <w:pStyle w:val="6"/>
              <w:spacing w:before="32" w:line="207" w:lineRule="auto"/>
              <w:ind w:left="50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876" w:type="dxa"/>
            <w:vAlign w:val="top"/>
          </w:tcPr>
          <w:p>
            <w:pPr>
              <w:pStyle w:val="6"/>
              <w:spacing w:before="31" w:line="205" w:lineRule="auto"/>
              <w:ind w:left="628"/>
            </w:pPr>
            <w:r>
              <w:rPr>
                <w:spacing w:val="-2"/>
              </w:rPr>
              <w:t>李井坑</w:t>
            </w:r>
          </w:p>
        </w:tc>
        <w:tc>
          <w:tcPr>
            <w:tcW w:w="1533" w:type="dxa"/>
            <w:vAlign w:val="top"/>
          </w:tcPr>
          <w:p>
            <w:pPr>
              <w:pStyle w:val="6"/>
              <w:spacing w:before="31" w:line="205" w:lineRule="auto"/>
              <w:ind w:left="594"/>
            </w:pPr>
            <w:r>
              <w:rPr>
                <w:rFonts w:ascii="Times New Roman" w:hAnsi="Times New Roman" w:eastAsia="Times New Roman" w:cs="Times New Roman"/>
                <w:spacing w:val="-2"/>
              </w:rPr>
              <w:t>Ⅱ</w:t>
            </w:r>
            <w:r>
              <w:rPr>
                <w:spacing w:val="-2"/>
              </w:rPr>
              <w:t>类</w:t>
            </w:r>
          </w:p>
        </w:tc>
        <w:tc>
          <w:tcPr>
            <w:tcW w:w="1562" w:type="dxa"/>
            <w:vAlign w:val="top"/>
          </w:tcPr>
          <w:p>
            <w:pPr>
              <w:pStyle w:val="6"/>
              <w:spacing w:before="31" w:line="205" w:lineRule="auto"/>
              <w:ind w:left="609"/>
            </w:pPr>
            <w:r>
              <w:rPr>
                <w:rFonts w:ascii="Times New Roman" w:hAnsi="Times New Roman" w:eastAsia="Times New Roman" w:cs="Times New Roman"/>
                <w:spacing w:val="-2"/>
              </w:rPr>
              <w:t>Ⅱ</w:t>
            </w:r>
            <w:r>
              <w:rPr>
                <w:spacing w:val="-2"/>
              </w:rPr>
              <w:t>类</w:t>
            </w:r>
          </w:p>
        </w:tc>
        <w:tc>
          <w:tcPr>
            <w:tcW w:w="2130" w:type="dxa"/>
            <w:vAlign w:val="top"/>
          </w:tcPr>
          <w:p>
            <w:pPr>
              <w:pStyle w:val="6"/>
              <w:spacing w:before="31" w:line="205" w:lineRule="auto"/>
              <w:ind w:left="545"/>
            </w:pPr>
            <w:r>
              <w:rPr>
                <w:spacing w:val="-1"/>
              </w:rPr>
              <w:t>氨氮、总磷</w:t>
            </w:r>
          </w:p>
        </w:tc>
        <w:tc>
          <w:tcPr>
            <w:tcW w:w="1427" w:type="dxa"/>
            <w:vAlign w:val="top"/>
          </w:tcPr>
          <w:p>
            <w:pPr>
              <w:pStyle w:val="6"/>
              <w:spacing w:before="31" w:line="205" w:lineRule="auto"/>
              <w:ind w:left="50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876" w:type="dxa"/>
            <w:vAlign w:val="top"/>
          </w:tcPr>
          <w:p>
            <w:pPr>
              <w:pStyle w:val="6"/>
              <w:spacing w:before="33" w:line="206" w:lineRule="auto"/>
              <w:ind w:left="626"/>
            </w:pPr>
            <w:r>
              <w:rPr>
                <w:spacing w:val="-1"/>
              </w:rPr>
              <w:t>珊溪坑</w:t>
            </w:r>
          </w:p>
        </w:tc>
        <w:tc>
          <w:tcPr>
            <w:tcW w:w="1533" w:type="dxa"/>
            <w:vAlign w:val="top"/>
          </w:tcPr>
          <w:p>
            <w:pPr>
              <w:pStyle w:val="6"/>
              <w:spacing w:before="33" w:line="206" w:lineRule="auto"/>
              <w:ind w:left="594"/>
            </w:pPr>
            <w:r>
              <w:rPr>
                <w:rFonts w:ascii="Times New Roman" w:hAnsi="Times New Roman" w:eastAsia="Times New Roman" w:cs="Times New Roman"/>
                <w:spacing w:val="-2"/>
              </w:rPr>
              <w:t>Ⅱ</w:t>
            </w:r>
            <w:r>
              <w:rPr>
                <w:spacing w:val="-2"/>
              </w:rPr>
              <w:t>类</w:t>
            </w:r>
          </w:p>
        </w:tc>
        <w:tc>
          <w:tcPr>
            <w:tcW w:w="1562" w:type="dxa"/>
            <w:vAlign w:val="top"/>
          </w:tcPr>
          <w:p>
            <w:pPr>
              <w:pStyle w:val="6"/>
              <w:spacing w:before="33" w:line="206" w:lineRule="auto"/>
              <w:ind w:left="609"/>
            </w:pPr>
            <w:r>
              <w:rPr>
                <w:rFonts w:ascii="Times New Roman" w:hAnsi="Times New Roman" w:eastAsia="Times New Roman" w:cs="Times New Roman"/>
                <w:spacing w:val="-2"/>
              </w:rPr>
              <w:t>Ⅱ</w:t>
            </w:r>
            <w:r>
              <w:rPr>
                <w:spacing w:val="-2"/>
              </w:rPr>
              <w:t>类</w:t>
            </w:r>
          </w:p>
        </w:tc>
        <w:tc>
          <w:tcPr>
            <w:tcW w:w="2130" w:type="dxa"/>
            <w:vAlign w:val="top"/>
          </w:tcPr>
          <w:p>
            <w:pPr>
              <w:pStyle w:val="6"/>
              <w:spacing w:before="33" w:line="206" w:lineRule="auto"/>
              <w:ind w:left="545"/>
            </w:pPr>
            <w:r>
              <w:rPr>
                <w:spacing w:val="-1"/>
              </w:rPr>
              <w:t>氨氮、总磷</w:t>
            </w:r>
          </w:p>
        </w:tc>
        <w:tc>
          <w:tcPr>
            <w:tcW w:w="1427" w:type="dxa"/>
            <w:vAlign w:val="top"/>
          </w:tcPr>
          <w:p>
            <w:pPr>
              <w:pStyle w:val="6"/>
              <w:spacing w:before="33" w:line="206" w:lineRule="auto"/>
              <w:ind w:left="50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876" w:type="dxa"/>
            <w:vAlign w:val="top"/>
          </w:tcPr>
          <w:p>
            <w:pPr>
              <w:pStyle w:val="6"/>
              <w:spacing w:before="32" w:line="204" w:lineRule="auto"/>
              <w:ind w:left="626"/>
            </w:pPr>
            <w:r>
              <w:rPr>
                <w:spacing w:val="-1"/>
              </w:rPr>
              <w:t>黄坦坑</w:t>
            </w:r>
          </w:p>
        </w:tc>
        <w:tc>
          <w:tcPr>
            <w:tcW w:w="1533" w:type="dxa"/>
            <w:vAlign w:val="top"/>
          </w:tcPr>
          <w:p>
            <w:pPr>
              <w:pStyle w:val="6"/>
              <w:spacing w:before="32" w:line="204" w:lineRule="auto"/>
              <w:ind w:left="594"/>
            </w:pPr>
            <w:r>
              <w:rPr>
                <w:rFonts w:ascii="Times New Roman" w:hAnsi="Times New Roman" w:eastAsia="Times New Roman" w:cs="Times New Roman"/>
                <w:spacing w:val="-2"/>
              </w:rPr>
              <w:t>Ⅱ</w:t>
            </w:r>
            <w:r>
              <w:rPr>
                <w:spacing w:val="-2"/>
              </w:rPr>
              <w:t>类</w:t>
            </w:r>
          </w:p>
        </w:tc>
        <w:tc>
          <w:tcPr>
            <w:tcW w:w="1562" w:type="dxa"/>
            <w:vAlign w:val="top"/>
          </w:tcPr>
          <w:p>
            <w:pPr>
              <w:pStyle w:val="6"/>
              <w:spacing w:before="32" w:line="204" w:lineRule="auto"/>
              <w:ind w:left="616"/>
            </w:pPr>
            <w:r>
              <w:rPr>
                <w:rFonts w:ascii="Times New Roman" w:hAnsi="Times New Roman" w:eastAsia="Times New Roman" w:cs="Times New Roman"/>
                <w:spacing w:val="-3"/>
              </w:rPr>
              <w:t>I</w:t>
            </w:r>
            <w:r>
              <w:rPr>
                <w:rFonts w:ascii="Times New Roman" w:hAnsi="Times New Roman" w:eastAsia="Times New Roman" w:cs="Times New Roman"/>
                <w:spacing w:val="7"/>
              </w:rPr>
              <w:t xml:space="preserve"> </w:t>
            </w:r>
            <w:r>
              <w:rPr>
                <w:spacing w:val="-3"/>
              </w:rPr>
              <w:t>类</w:t>
            </w:r>
          </w:p>
        </w:tc>
        <w:tc>
          <w:tcPr>
            <w:tcW w:w="2130" w:type="dxa"/>
            <w:vAlign w:val="top"/>
          </w:tcPr>
          <w:p>
            <w:pPr>
              <w:spacing w:before="159" w:line="100" w:lineRule="exact"/>
              <w:ind w:left="103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1427" w:type="dxa"/>
            <w:vAlign w:val="top"/>
          </w:tcPr>
          <w:p>
            <w:pPr>
              <w:pStyle w:val="6"/>
              <w:spacing w:before="32" w:line="204" w:lineRule="auto"/>
              <w:ind w:left="50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76" w:type="dxa"/>
            <w:vAlign w:val="top"/>
          </w:tcPr>
          <w:p>
            <w:pPr>
              <w:pStyle w:val="6"/>
              <w:spacing w:before="36" w:line="239" w:lineRule="auto"/>
              <w:ind w:left="531"/>
            </w:pPr>
            <w:r>
              <w:rPr>
                <w:spacing w:val="-4"/>
              </w:rPr>
              <w:t>峃作口溪</w:t>
            </w:r>
          </w:p>
          <w:p>
            <w:pPr>
              <w:pStyle w:val="6"/>
              <w:spacing w:line="205" w:lineRule="auto"/>
              <w:ind w:left="530"/>
            </w:pPr>
            <w:r>
              <w:rPr>
                <w:spacing w:val="-7"/>
              </w:rPr>
              <w:t>（岩门）</w:t>
            </w:r>
          </w:p>
        </w:tc>
        <w:tc>
          <w:tcPr>
            <w:tcW w:w="1533" w:type="dxa"/>
            <w:vAlign w:val="top"/>
          </w:tcPr>
          <w:p>
            <w:pPr>
              <w:pStyle w:val="6"/>
              <w:spacing w:before="170" w:line="221" w:lineRule="auto"/>
              <w:ind w:left="594"/>
            </w:pPr>
            <w:r>
              <w:rPr>
                <w:rFonts w:ascii="Times New Roman" w:hAnsi="Times New Roman" w:eastAsia="Times New Roman" w:cs="Times New Roman"/>
                <w:spacing w:val="-2"/>
              </w:rPr>
              <w:t>Ⅱ</w:t>
            </w:r>
            <w:r>
              <w:rPr>
                <w:spacing w:val="-2"/>
              </w:rPr>
              <w:t>类</w:t>
            </w:r>
          </w:p>
        </w:tc>
        <w:tc>
          <w:tcPr>
            <w:tcW w:w="1562" w:type="dxa"/>
            <w:vAlign w:val="top"/>
          </w:tcPr>
          <w:p>
            <w:pPr>
              <w:pStyle w:val="6"/>
              <w:spacing w:before="170" w:line="221" w:lineRule="auto"/>
              <w:ind w:left="616"/>
            </w:pPr>
            <w:r>
              <w:rPr>
                <w:rFonts w:ascii="Times New Roman" w:hAnsi="Times New Roman" w:eastAsia="Times New Roman" w:cs="Times New Roman"/>
                <w:spacing w:val="-3"/>
              </w:rPr>
              <w:t>I</w:t>
            </w:r>
            <w:r>
              <w:rPr>
                <w:rFonts w:ascii="Times New Roman" w:hAnsi="Times New Roman" w:eastAsia="Times New Roman" w:cs="Times New Roman"/>
                <w:spacing w:val="7"/>
              </w:rPr>
              <w:t xml:space="preserve"> </w:t>
            </w:r>
            <w:r>
              <w:rPr>
                <w:spacing w:val="-3"/>
              </w:rPr>
              <w:t>类</w:t>
            </w:r>
          </w:p>
        </w:tc>
        <w:tc>
          <w:tcPr>
            <w:tcW w:w="2130" w:type="dxa"/>
            <w:vAlign w:val="top"/>
          </w:tcPr>
          <w:p>
            <w:pPr>
              <w:spacing w:before="297" w:line="100" w:lineRule="exact"/>
              <w:ind w:left="103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1427" w:type="dxa"/>
            <w:vAlign w:val="top"/>
          </w:tcPr>
          <w:p>
            <w:pPr>
              <w:pStyle w:val="6"/>
              <w:spacing w:before="171" w:line="221" w:lineRule="auto"/>
              <w:ind w:left="508"/>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876" w:type="dxa"/>
            <w:vAlign w:val="top"/>
          </w:tcPr>
          <w:p>
            <w:pPr>
              <w:pStyle w:val="6"/>
              <w:spacing w:before="34" w:line="207" w:lineRule="auto"/>
              <w:ind w:left="626"/>
            </w:pPr>
            <w:r>
              <w:rPr>
                <w:spacing w:val="-1"/>
              </w:rPr>
              <w:t>平和溪</w:t>
            </w:r>
          </w:p>
        </w:tc>
        <w:tc>
          <w:tcPr>
            <w:tcW w:w="1533" w:type="dxa"/>
            <w:vAlign w:val="top"/>
          </w:tcPr>
          <w:p>
            <w:pPr>
              <w:pStyle w:val="6"/>
              <w:spacing w:before="34" w:line="207" w:lineRule="auto"/>
              <w:ind w:left="594"/>
            </w:pPr>
            <w:r>
              <w:rPr>
                <w:rFonts w:ascii="Times New Roman" w:hAnsi="Times New Roman" w:eastAsia="Times New Roman" w:cs="Times New Roman"/>
                <w:spacing w:val="-2"/>
              </w:rPr>
              <w:t>Ⅱ</w:t>
            </w:r>
            <w:r>
              <w:rPr>
                <w:spacing w:val="-2"/>
              </w:rPr>
              <w:t>类</w:t>
            </w:r>
          </w:p>
        </w:tc>
        <w:tc>
          <w:tcPr>
            <w:tcW w:w="1562" w:type="dxa"/>
            <w:vAlign w:val="top"/>
          </w:tcPr>
          <w:p>
            <w:pPr>
              <w:pStyle w:val="6"/>
              <w:spacing w:before="34" w:line="207" w:lineRule="auto"/>
              <w:ind w:left="609"/>
            </w:pPr>
            <w:r>
              <w:rPr>
                <w:rFonts w:ascii="Times New Roman" w:hAnsi="Times New Roman" w:eastAsia="Times New Roman" w:cs="Times New Roman"/>
                <w:spacing w:val="-2"/>
              </w:rPr>
              <w:t>Ⅱ</w:t>
            </w:r>
            <w:r>
              <w:rPr>
                <w:spacing w:val="-2"/>
              </w:rPr>
              <w:t>类</w:t>
            </w:r>
          </w:p>
        </w:tc>
        <w:tc>
          <w:tcPr>
            <w:tcW w:w="2130" w:type="dxa"/>
            <w:vAlign w:val="top"/>
          </w:tcPr>
          <w:p>
            <w:pPr>
              <w:pStyle w:val="6"/>
              <w:spacing w:before="34" w:line="207" w:lineRule="auto"/>
              <w:ind w:left="866"/>
            </w:pPr>
            <w:r>
              <w:rPr>
                <w:spacing w:val="-3"/>
              </w:rPr>
              <w:t>总磷</w:t>
            </w:r>
          </w:p>
        </w:tc>
        <w:tc>
          <w:tcPr>
            <w:tcW w:w="1427" w:type="dxa"/>
            <w:vAlign w:val="top"/>
          </w:tcPr>
          <w:p>
            <w:pPr>
              <w:pStyle w:val="6"/>
              <w:spacing w:before="34" w:line="207" w:lineRule="auto"/>
              <w:ind w:left="508"/>
            </w:pPr>
            <w:r>
              <w:rPr>
                <w:spacing w:val="-2"/>
              </w:rPr>
              <w:t>达标</w:t>
            </w:r>
          </w:p>
        </w:tc>
      </w:tr>
    </w:tbl>
    <w:p>
      <w:pPr>
        <w:spacing w:before="192" w:line="468" w:lineRule="exact"/>
        <w:ind w:left="602"/>
        <w:rPr>
          <w:rFonts w:ascii="宋体" w:hAnsi="宋体" w:eastAsia="宋体" w:cs="宋体"/>
          <w:sz w:val="24"/>
          <w:szCs w:val="24"/>
        </w:rPr>
      </w:pPr>
      <w:r>
        <w:rPr>
          <w:rFonts w:ascii="宋体" w:hAnsi="宋体" w:eastAsia="宋体" w:cs="宋体"/>
          <w:spacing w:val="-1"/>
          <w:position w:val="17"/>
          <w:sz w:val="24"/>
          <w:szCs w:val="24"/>
        </w:rPr>
        <w:t>根据</w:t>
      </w:r>
      <w:r>
        <w:rPr>
          <w:rFonts w:ascii="宋体" w:hAnsi="宋体" w:eastAsia="宋体" w:cs="宋体"/>
          <w:spacing w:val="-33"/>
          <w:position w:val="17"/>
          <w:sz w:val="24"/>
          <w:szCs w:val="24"/>
        </w:rPr>
        <w:t xml:space="preserve"> </w:t>
      </w:r>
      <w:r>
        <w:rPr>
          <w:rFonts w:ascii="Times New Roman" w:hAnsi="Times New Roman" w:eastAsia="Times New Roman" w:cs="Times New Roman"/>
          <w:spacing w:val="-1"/>
          <w:position w:val="17"/>
          <w:sz w:val="24"/>
          <w:szCs w:val="24"/>
        </w:rPr>
        <w:t>2022</w:t>
      </w:r>
      <w:r>
        <w:rPr>
          <w:rFonts w:ascii="Times New Roman" w:hAnsi="Times New Roman" w:eastAsia="Times New Roman" w:cs="Times New Roman"/>
          <w:spacing w:val="22"/>
          <w:w w:val="101"/>
          <w:position w:val="17"/>
          <w:sz w:val="24"/>
          <w:szCs w:val="24"/>
        </w:rPr>
        <w:t xml:space="preserve"> </w:t>
      </w:r>
      <w:r>
        <w:rPr>
          <w:rFonts w:ascii="宋体" w:hAnsi="宋体" w:eastAsia="宋体" w:cs="宋体"/>
          <w:spacing w:val="-1"/>
          <w:position w:val="17"/>
          <w:sz w:val="24"/>
          <w:szCs w:val="24"/>
        </w:rPr>
        <w:t>年珊溪水利枢纽水源地入库支流考核断面水质监测结果，所有支</w:t>
      </w:r>
    </w:p>
    <w:p>
      <w:pPr>
        <w:spacing w:before="1" w:line="219" w:lineRule="auto"/>
        <w:ind w:left="123"/>
        <w:rPr>
          <w:rFonts w:ascii="宋体" w:hAnsi="宋体" w:eastAsia="宋体" w:cs="宋体"/>
          <w:sz w:val="24"/>
          <w:szCs w:val="24"/>
        </w:rPr>
      </w:pPr>
      <w:r>
        <w:rPr>
          <w:rFonts w:ascii="宋体" w:hAnsi="宋体" w:eastAsia="宋体" w:cs="宋体"/>
          <w:spacing w:val="-3"/>
          <w:sz w:val="24"/>
          <w:szCs w:val="24"/>
        </w:rPr>
        <w:t>流考核断面均符合地表水环境功能区要求。</w:t>
      </w:r>
    </w:p>
    <w:p>
      <w:pPr>
        <w:spacing w:before="180" w:line="218"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）现状监测及评价</w:t>
      </w:r>
    </w:p>
    <w:p>
      <w:pPr>
        <w:spacing w:before="185" w:line="359" w:lineRule="auto"/>
        <w:ind w:left="128" w:right="112" w:firstLine="476"/>
        <w:rPr>
          <w:rFonts w:ascii="宋体" w:hAnsi="宋体" w:eastAsia="宋体" w:cs="宋体"/>
          <w:sz w:val="24"/>
          <w:szCs w:val="24"/>
        </w:rPr>
      </w:pPr>
      <w:r>
        <w:rPr>
          <w:rFonts w:ascii="宋体" w:hAnsi="宋体" w:eastAsia="宋体" w:cs="宋体"/>
          <w:spacing w:val="4"/>
          <w:sz w:val="24"/>
          <w:szCs w:val="24"/>
        </w:rPr>
        <w:t>为了解项目所在地周围地表水水质现状，本项目引用溧阳至宁德高速公路</w:t>
      </w:r>
      <w:r>
        <w:rPr>
          <w:rFonts w:ascii="宋体" w:hAnsi="宋体" w:eastAsia="宋体" w:cs="宋体"/>
          <w:spacing w:val="7"/>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G4012</w:t>
      </w:r>
      <w:r>
        <w:rPr>
          <w:rFonts w:ascii="宋体" w:hAnsi="宋体" w:eastAsia="宋体" w:cs="宋体"/>
          <w:spacing w:val="-1"/>
          <w:sz w:val="24"/>
          <w:szCs w:val="24"/>
        </w:rPr>
        <w:t>）浙江景宁至文成段工程竣工环保验收阶段对高岭头二</w:t>
      </w:r>
      <w:r>
        <w:rPr>
          <w:rFonts w:ascii="宋体" w:hAnsi="宋体" w:eastAsia="宋体" w:cs="宋体"/>
          <w:spacing w:val="-2"/>
          <w:sz w:val="24"/>
          <w:szCs w:val="24"/>
        </w:rPr>
        <w:t>级水库水质监测</w:t>
      </w:r>
    </w:p>
    <w:p>
      <w:pPr>
        <w:spacing w:before="1" w:line="219" w:lineRule="auto"/>
        <w:ind w:left="141"/>
        <w:rPr>
          <w:rFonts w:ascii="宋体" w:hAnsi="宋体" w:eastAsia="宋体" w:cs="宋体"/>
          <w:sz w:val="24"/>
          <w:szCs w:val="24"/>
        </w:rPr>
      </w:pPr>
      <w:r>
        <w:rPr>
          <w:rFonts w:ascii="宋体" w:hAnsi="宋体" w:eastAsia="宋体" w:cs="宋体"/>
          <w:spacing w:val="-12"/>
          <w:sz w:val="24"/>
          <w:szCs w:val="24"/>
        </w:rPr>
        <w:t>的数据。</w:t>
      </w:r>
    </w:p>
    <w:p>
      <w:pPr>
        <w:spacing w:line="219" w:lineRule="auto"/>
        <w:rPr>
          <w:rFonts w:ascii="宋体" w:hAnsi="宋体" w:eastAsia="宋体" w:cs="宋体"/>
          <w:sz w:val="24"/>
          <w:szCs w:val="24"/>
        </w:rPr>
        <w:sectPr>
          <w:headerReference r:id="rId183" w:type="default"/>
          <w:footerReference r:id="rId184" w:type="default"/>
          <w:pgSz w:w="11907" w:h="16839"/>
          <w:pgMar w:top="1118" w:right="1685" w:bottom="1151" w:left="1687" w:header="879" w:footer="990" w:gutter="0"/>
          <w:cols w:space="720" w:num="1"/>
        </w:sectPr>
      </w:pPr>
    </w:p>
    <w:p>
      <w:pPr>
        <w:pStyle w:val="2"/>
        <w:spacing w:line="340" w:lineRule="auto"/>
      </w:pPr>
    </w:p>
    <w:p>
      <w:pPr>
        <w:spacing w:before="69" w:line="221" w:lineRule="auto"/>
        <w:ind w:left="473"/>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）监测点位及监测因子等</w:t>
      </w:r>
    </w:p>
    <w:p>
      <w:pPr>
        <w:spacing w:line="95" w:lineRule="exact"/>
      </w:pPr>
    </w:p>
    <w:p>
      <w:pPr>
        <w:spacing w:line="95" w:lineRule="exact"/>
        <w:sectPr>
          <w:headerReference r:id="rId185" w:type="default"/>
          <w:footerReference r:id="rId186" w:type="default"/>
          <w:pgSz w:w="11907" w:h="16839"/>
          <w:pgMar w:top="1118" w:right="1769" w:bottom="1151" w:left="1771" w:header="879" w:footer="990" w:gutter="0"/>
          <w:cols w:equalWidth="0" w:num="1">
            <w:col w:w="8366"/>
          </w:cols>
        </w:sectPr>
      </w:pPr>
    </w:p>
    <w:p>
      <w:pPr>
        <w:spacing w:before="41" w:line="221" w:lineRule="auto"/>
        <w:ind w:left="456"/>
        <w:rPr>
          <w:rFonts w:ascii="宋体" w:hAnsi="宋体" w:eastAsia="宋体" w:cs="宋体"/>
          <w:sz w:val="21"/>
          <w:szCs w:val="21"/>
        </w:rPr>
      </w:pPr>
      <w:r>
        <w:rPr>
          <w:rFonts w:ascii="宋体" w:hAnsi="宋体" w:eastAsia="宋体" w:cs="宋体"/>
          <w:spacing w:val="-1"/>
          <w:sz w:val="21"/>
          <w:szCs w:val="21"/>
        </w:rPr>
        <w:t>地标水监测点位情况如下：</w:t>
      </w:r>
    </w:p>
    <w:p>
      <w:pPr>
        <w:spacing w:before="139" w:line="186" w:lineRule="auto"/>
        <w:ind w:left="2842"/>
        <w:rPr>
          <w:rFonts w:ascii="Times New Roman" w:hAnsi="Times New Roman" w:eastAsia="Times New Roman" w:cs="Times New Roman"/>
          <w:sz w:val="21"/>
          <w:szCs w:val="21"/>
        </w:rPr>
      </w:pPr>
      <w:r>
        <w:rPr>
          <w:rFonts w:ascii="宋体" w:hAnsi="宋体" w:eastAsia="宋体" w:cs="宋体"/>
          <w:spacing w:val="-2"/>
          <w:sz w:val="21"/>
          <w:szCs w:val="21"/>
        </w:rPr>
        <w:t>表</w:t>
      </w:r>
      <w:r>
        <w:rPr>
          <w:rFonts w:ascii="宋体" w:hAnsi="宋体" w:eastAsia="宋体" w:cs="宋体"/>
          <w:spacing w:val="-46"/>
          <w:sz w:val="21"/>
          <w:szCs w:val="21"/>
        </w:rPr>
        <w:t xml:space="preserve"> </w:t>
      </w:r>
      <w:r>
        <w:rPr>
          <w:rFonts w:ascii="Times New Roman" w:hAnsi="Times New Roman" w:eastAsia="Times New Roman" w:cs="Times New Roman"/>
          <w:spacing w:val="-2"/>
          <w:sz w:val="21"/>
          <w:szCs w:val="21"/>
        </w:rPr>
        <w:t>4.2-6</w:t>
      </w:r>
    </w:p>
    <w:p>
      <w:pPr>
        <w:pStyle w:val="2"/>
        <w:spacing w:line="14" w:lineRule="auto"/>
        <w:rPr>
          <w:sz w:val="2"/>
        </w:rPr>
      </w:pPr>
      <w:r>
        <w:rPr>
          <w:sz w:val="2"/>
          <w:szCs w:val="2"/>
        </w:rPr>
        <w:br w:type="column"/>
      </w:r>
    </w:p>
    <w:p>
      <w:pPr>
        <w:pStyle w:val="2"/>
        <w:spacing w:line="361" w:lineRule="auto"/>
      </w:pPr>
    </w:p>
    <w:p>
      <w:pPr>
        <w:spacing w:before="68" w:line="186" w:lineRule="auto"/>
        <w:rPr>
          <w:rFonts w:ascii="宋体" w:hAnsi="宋体" w:eastAsia="宋体" w:cs="宋体"/>
          <w:sz w:val="21"/>
          <w:szCs w:val="21"/>
        </w:rPr>
      </w:pPr>
      <w:r>
        <w:rPr>
          <w:rFonts w:ascii="宋体" w:hAnsi="宋体" w:eastAsia="宋体" w:cs="宋体"/>
          <w:spacing w:val="-1"/>
          <w:sz w:val="21"/>
          <w:szCs w:val="21"/>
        </w:rPr>
        <w:t>地表水监测参数表</w:t>
      </w:r>
    </w:p>
    <w:p>
      <w:pPr>
        <w:spacing w:line="186" w:lineRule="auto"/>
        <w:rPr>
          <w:rFonts w:ascii="宋体" w:hAnsi="宋体" w:eastAsia="宋体" w:cs="宋体"/>
          <w:sz w:val="21"/>
          <w:szCs w:val="21"/>
        </w:rPr>
        <w:sectPr>
          <w:type w:val="continuous"/>
          <w:pgSz w:w="11907" w:h="16839"/>
          <w:pgMar w:top="1118" w:right="1769" w:bottom="1151" w:left="1771" w:header="879" w:footer="990" w:gutter="0"/>
          <w:cols w:equalWidth="0" w:num="2">
            <w:col w:w="3759" w:space="100"/>
            <w:col w:w="4508"/>
          </w:cols>
        </w:sectPr>
      </w:pPr>
    </w:p>
    <w:p>
      <w:pPr>
        <w:spacing w:line="87" w:lineRule="exact"/>
      </w:pPr>
    </w:p>
    <w:tbl>
      <w:tblPr>
        <w:tblStyle w:val="5"/>
        <w:tblW w:w="7942" w:type="dxa"/>
        <w:tblInd w:w="2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3"/>
        <w:gridCol w:w="2250"/>
        <w:gridCol w:w="3555"/>
        <w:gridCol w:w="8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283" w:type="dxa"/>
            <w:vAlign w:val="top"/>
          </w:tcPr>
          <w:p>
            <w:pPr>
              <w:pStyle w:val="6"/>
              <w:spacing w:before="260" w:line="221" w:lineRule="auto"/>
              <w:ind w:left="465"/>
              <w:rPr>
                <w:sz w:val="18"/>
                <w:szCs w:val="18"/>
              </w:rPr>
            </w:pPr>
            <w:r>
              <w:rPr>
                <w:spacing w:val="-2"/>
                <w:sz w:val="18"/>
                <w:szCs w:val="18"/>
              </w:rPr>
              <w:t>位置</w:t>
            </w:r>
          </w:p>
        </w:tc>
        <w:tc>
          <w:tcPr>
            <w:tcW w:w="2250" w:type="dxa"/>
            <w:vAlign w:val="top"/>
          </w:tcPr>
          <w:p>
            <w:pPr>
              <w:pStyle w:val="6"/>
              <w:spacing w:before="260" w:line="220" w:lineRule="auto"/>
              <w:ind w:left="947"/>
              <w:rPr>
                <w:sz w:val="18"/>
                <w:szCs w:val="18"/>
              </w:rPr>
            </w:pPr>
            <w:r>
              <w:rPr>
                <w:spacing w:val="-2"/>
                <w:sz w:val="18"/>
                <w:szCs w:val="18"/>
              </w:rPr>
              <w:t>坐标</w:t>
            </w:r>
          </w:p>
        </w:tc>
        <w:tc>
          <w:tcPr>
            <w:tcW w:w="3555" w:type="dxa"/>
            <w:vAlign w:val="top"/>
          </w:tcPr>
          <w:p>
            <w:pPr>
              <w:pStyle w:val="6"/>
              <w:spacing w:before="259" w:line="220" w:lineRule="auto"/>
              <w:ind w:left="1421"/>
              <w:rPr>
                <w:sz w:val="18"/>
                <w:szCs w:val="18"/>
              </w:rPr>
            </w:pPr>
            <w:r>
              <w:rPr>
                <w:spacing w:val="-2"/>
                <w:sz w:val="18"/>
                <w:szCs w:val="18"/>
              </w:rPr>
              <w:t>检测因子</w:t>
            </w:r>
          </w:p>
        </w:tc>
        <w:tc>
          <w:tcPr>
            <w:tcW w:w="854" w:type="dxa"/>
            <w:vAlign w:val="top"/>
          </w:tcPr>
          <w:p>
            <w:pPr>
              <w:pStyle w:val="6"/>
              <w:spacing w:before="72" w:line="270" w:lineRule="auto"/>
              <w:ind w:left="345" w:right="154" w:hanging="184"/>
              <w:rPr>
                <w:sz w:val="18"/>
                <w:szCs w:val="18"/>
              </w:rPr>
            </w:pPr>
            <w:r>
              <w:rPr>
                <w:spacing w:val="-3"/>
                <w:sz w:val="18"/>
                <w:szCs w:val="18"/>
              </w:rPr>
              <w:t>检测频</w:t>
            </w:r>
            <w:r>
              <w:rPr>
                <w:sz w:val="18"/>
                <w:szCs w:val="18"/>
              </w:rPr>
              <w:t xml:space="preserve"> 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283" w:type="dxa"/>
            <w:vAlign w:val="top"/>
          </w:tcPr>
          <w:p>
            <w:pPr>
              <w:pStyle w:val="6"/>
              <w:spacing w:before="105" w:line="273" w:lineRule="auto"/>
              <w:ind w:left="467" w:right="188" w:hanging="266"/>
              <w:rPr>
                <w:sz w:val="18"/>
                <w:szCs w:val="18"/>
              </w:rPr>
            </w:pPr>
            <w:r>
              <w:rPr>
                <w:spacing w:val="-3"/>
                <w:sz w:val="18"/>
                <w:szCs w:val="18"/>
              </w:rPr>
              <w:t>高岭头二级</w:t>
            </w:r>
            <w:r>
              <w:rPr>
                <w:spacing w:val="2"/>
                <w:sz w:val="18"/>
                <w:szCs w:val="18"/>
              </w:rPr>
              <w:t xml:space="preserve"> </w:t>
            </w:r>
            <w:r>
              <w:rPr>
                <w:spacing w:val="-3"/>
                <w:sz w:val="18"/>
                <w:szCs w:val="18"/>
              </w:rPr>
              <w:t>水库</w:t>
            </w:r>
          </w:p>
        </w:tc>
        <w:tc>
          <w:tcPr>
            <w:tcW w:w="2250" w:type="dxa"/>
            <w:vAlign w:val="top"/>
          </w:tcPr>
          <w:p>
            <w:pPr>
              <w:pStyle w:val="6"/>
              <w:spacing w:before="135" w:line="319" w:lineRule="exact"/>
              <w:ind w:left="444"/>
              <w:rPr>
                <w:sz w:val="18"/>
                <w:szCs w:val="18"/>
              </w:rPr>
            </w:pPr>
            <w:r>
              <w:rPr>
                <w:rFonts w:ascii="Times New Roman" w:hAnsi="Times New Roman" w:eastAsia="Times New Roman" w:cs="Times New Roman"/>
                <w:spacing w:val="-2"/>
                <w:position w:val="13"/>
                <w:sz w:val="18"/>
                <w:szCs w:val="18"/>
              </w:rPr>
              <w:t>119°55′1.03182″</w:t>
            </w:r>
            <w:r>
              <w:rPr>
                <w:spacing w:val="-2"/>
                <w:position w:val="13"/>
                <w:sz w:val="18"/>
                <w:szCs w:val="18"/>
              </w:rPr>
              <w:t>，</w:t>
            </w:r>
          </w:p>
          <w:p>
            <w:pPr>
              <w:spacing w:line="188" w:lineRule="auto"/>
              <w:ind w:left="5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27°48′55.14518″</w:t>
            </w:r>
          </w:p>
        </w:tc>
        <w:tc>
          <w:tcPr>
            <w:tcW w:w="3555" w:type="dxa"/>
            <w:vAlign w:val="top"/>
          </w:tcPr>
          <w:p>
            <w:pPr>
              <w:pStyle w:val="6"/>
              <w:spacing w:before="78" w:line="246" w:lineRule="auto"/>
              <w:ind w:left="940" w:right="100" w:hanging="826"/>
            </w:pPr>
            <w:r>
              <w:rPr>
                <w:spacing w:val="-7"/>
              </w:rPr>
              <w:t>水温、</w:t>
            </w:r>
            <w:r>
              <w:rPr>
                <w:rFonts w:ascii="Times New Roman" w:hAnsi="Times New Roman" w:eastAsia="Times New Roman" w:cs="Times New Roman"/>
                <w:spacing w:val="-7"/>
              </w:rPr>
              <w:t>pH</w:t>
            </w:r>
            <w:r>
              <w:rPr>
                <w:rFonts w:ascii="Times New Roman" w:hAnsi="Times New Roman" w:eastAsia="Times New Roman" w:cs="Times New Roman"/>
                <w:spacing w:val="-11"/>
              </w:rPr>
              <w:t xml:space="preserve"> </w:t>
            </w:r>
            <w:r>
              <w:rPr>
                <w:spacing w:val="-7"/>
              </w:rPr>
              <w:t>、</w:t>
            </w:r>
            <w:r>
              <w:rPr>
                <w:rFonts w:ascii="Times New Roman" w:hAnsi="Times New Roman" w:eastAsia="Times New Roman" w:cs="Times New Roman"/>
                <w:spacing w:val="-7"/>
              </w:rPr>
              <w:t>DO</w:t>
            </w:r>
            <w:r>
              <w:rPr>
                <w:rFonts w:ascii="Times New Roman" w:hAnsi="Times New Roman" w:eastAsia="Times New Roman" w:cs="Times New Roman"/>
                <w:spacing w:val="-29"/>
              </w:rPr>
              <w:t xml:space="preserve"> </w:t>
            </w:r>
            <w:r>
              <w:rPr>
                <w:spacing w:val="-7"/>
              </w:rPr>
              <w:t>、</w:t>
            </w:r>
            <w:r>
              <w:rPr>
                <w:rFonts w:ascii="Times New Roman" w:hAnsi="Times New Roman" w:eastAsia="Times New Roman" w:cs="Times New Roman"/>
                <w:spacing w:val="-7"/>
              </w:rPr>
              <w:t>COD</w:t>
            </w:r>
            <w:r>
              <w:rPr>
                <w:rFonts w:ascii="Times New Roman" w:hAnsi="Times New Roman" w:eastAsia="Times New Roman" w:cs="Times New Roman"/>
                <w:spacing w:val="-7"/>
                <w:position w:val="-1"/>
                <w:sz w:val="13"/>
                <w:szCs w:val="13"/>
              </w:rPr>
              <w:t>Mn</w:t>
            </w:r>
            <w:r>
              <w:rPr>
                <w:rFonts w:ascii="Times New Roman" w:hAnsi="Times New Roman" w:eastAsia="Times New Roman" w:cs="Times New Roman"/>
                <w:spacing w:val="-9"/>
                <w:position w:val="-1"/>
                <w:sz w:val="13"/>
                <w:szCs w:val="13"/>
              </w:rPr>
              <w:t xml:space="preserve"> </w:t>
            </w:r>
            <w:r>
              <w:rPr>
                <w:spacing w:val="-7"/>
              </w:rPr>
              <w:t>、</w:t>
            </w:r>
            <w:r>
              <w:rPr>
                <w:rFonts w:ascii="Times New Roman" w:hAnsi="Times New Roman" w:eastAsia="Times New Roman" w:cs="Times New Roman"/>
                <w:spacing w:val="-7"/>
              </w:rPr>
              <w:t>BOD</w:t>
            </w:r>
            <w:r>
              <w:rPr>
                <w:rFonts w:ascii="Times New Roman" w:hAnsi="Times New Roman" w:eastAsia="Times New Roman" w:cs="Times New Roman"/>
                <w:spacing w:val="-7"/>
                <w:position w:val="-1"/>
                <w:sz w:val="13"/>
                <w:szCs w:val="13"/>
              </w:rPr>
              <w:t>5</w:t>
            </w:r>
            <w:r>
              <w:rPr>
                <w:rFonts w:ascii="Times New Roman" w:hAnsi="Times New Roman" w:eastAsia="Times New Roman" w:cs="Times New Roman"/>
                <w:spacing w:val="-12"/>
                <w:position w:val="-1"/>
                <w:sz w:val="13"/>
                <w:szCs w:val="13"/>
              </w:rPr>
              <w:t xml:space="preserve"> </w:t>
            </w:r>
            <w:r>
              <w:rPr>
                <w:spacing w:val="-7"/>
              </w:rPr>
              <w:t>、氨</w:t>
            </w:r>
            <w:r>
              <w:t xml:space="preserve"> 氮、石油类、总磷</w:t>
            </w:r>
          </w:p>
        </w:tc>
        <w:tc>
          <w:tcPr>
            <w:tcW w:w="854" w:type="dxa"/>
            <w:vAlign w:val="top"/>
          </w:tcPr>
          <w:p>
            <w:pPr>
              <w:pStyle w:val="6"/>
              <w:spacing w:before="75" w:line="220" w:lineRule="auto"/>
              <w:ind w:left="112"/>
              <w:rPr>
                <w:sz w:val="18"/>
                <w:szCs w:val="18"/>
              </w:rPr>
            </w:pPr>
            <w:r>
              <w:rPr>
                <w:rFonts w:ascii="Times New Roman" w:hAnsi="Times New Roman" w:eastAsia="Times New Roman" w:cs="Times New Roman"/>
                <w:spacing w:val="-18"/>
                <w:sz w:val="18"/>
                <w:szCs w:val="18"/>
              </w:rPr>
              <w:t>2</w:t>
            </w:r>
            <w:r>
              <w:rPr>
                <w:spacing w:val="-18"/>
                <w:sz w:val="18"/>
                <w:szCs w:val="18"/>
              </w:rPr>
              <w:t>天，</w:t>
            </w:r>
            <w:r>
              <w:rPr>
                <w:spacing w:val="-15"/>
                <w:sz w:val="18"/>
                <w:szCs w:val="18"/>
              </w:rPr>
              <w:t xml:space="preserve"> </w:t>
            </w:r>
            <w:r>
              <w:rPr>
                <w:spacing w:val="-18"/>
                <w:sz w:val="18"/>
                <w:szCs w:val="18"/>
              </w:rPr>
              <w:t>每</w:t>
            </w:r>
          </w:p>
          <w:p>
            <w:pPr>
              <w:pStyle w:val="6"/>
              <w:spacing w:before="97" w:line="220" w:lineRule="auto"/>
              <w:ind w:left="210"/>
              <w:rPr>
                <w:sz w:val="18"/>
                <w:szCs w:val="18"/>
              </w:rPr>
            </w:pPr>
            <w:r>
              <w:rPr>
                <w:spacing w:val="-4"/>
                <w:sz w:val="18"/>
                <w:szCs w:val="18"/>
              </w:rPr>
              <w:t>天</w:t>
            </w:r>
            <w:r>
              <w:rPr>
                <w:rFonts w:ascii="Times New Roman" w:hAnsi="Times New Roman" w:eastAsia="Times New Roman" w:cs="Times New Roman"/>
                <w:spacing w:val="-4"/>
                <w:sz w:val="18"/>
                <w:szCs w:val="18"/>
              </w:rPr>
              <w:t>2</w:t>
            </w:r>
            <w:r>
              <w:rPr>
                <w:spacing w:val="-4"/>
                <w:sz w:val="18"/>
                <w:szCs w:val="18"/>
              </w:rPr>
              <w:t>次</w:t>
            </w:r>
          </w:p>
        </w:tc>
      </w:tr>
    </w:tbl>
    <w:p>
      <w:pPr>
        <w:spacing w:before="186" w:line="219" w:lineRule="auto"/>
        <w:ind w:left="453"/>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）评价标准</w:t>
      </w:r>
    </w:p>
    <w:p>
      <w:pPr>
        <w:spacing w:before="158" w:line="409" w:lineRule="exact"/>
        <w:ind w:right="24"/>
        <w:jc w:val="right"/>
        <w:rPr>
          <w:rFonts w:ascii="宋体" w:hAnsi="宋体" w:eastAsia="宋体" w:cs="宋体"/>
          <w:sz w:val="21"/>
          <w:szCs w:val="21"/>
        </w:rPr>
      </w:pPr>
      <w:r>
        <w:rPr>
          <w:rFonts w:ascii="宋体" w:hAnsi="宋体" w:eastAsia="宋体" w:cs="宋体"/>
          <w:spacing w:val="-2"/>
          <w:position w:val="15"/>
          <w:sz w:val="21"/>
          <w:szCs w:val="21"/>
        </w:rPr>
        <w:t>根据《浙江省水功能区、水环境功能区划分方案》（</w:t>
      </w:r>
      <w:r>
        <w:rPr>
          <w:rFonts w:ascii="Times New Roman" w:hAnsi="Times New Roman" w:eastAsia="Times New Roman" w:cs="Times New Roman"/>
          <w:spacing w:val="-2"/>
          <w:position w:val="15"/>
          <w:sz w:val="21"/>
          <w:szCs w:val="21"/>
        </w:rPr>
        <w:t>2015</w:t>
      </w:r>
      <w:r>
        <w:rPr>
          <w:rFonts w:ascii="宋体" w:hAnsi="宋体" w:eastAsia="宋体" w:cs="宋体"/>
          <w:spacing w:val="-42"/>
          <w:position w:val="15"/>
          <w:sz w:val="21"/>
          <w:szCs w:val="21"/>
        </w:rPr>
        <w:t>），</w:t>
      </w:r>
      <w:r>
        <w:rPr>
          <w:rFonts w:ascii="宋体" w:hAnsi="宋体" w:eastAsia="宋体" w:cs="宋体"/>
          <w:spacing w:val="-40"/>
          <w:position w:val="15"/>
          <w:sz w:val="21"/>
          <w:szCs w:val="21"/>
        </w:rPr>
        <w:t xml:space="preserve"> </w:t>
      </w:r>
      <w:r>
        <w:rPr>
          <w:rFonts w:ascii="宋体" w:hAnsi="宋体" w:eastAsia="宋体" w:cs="宋体"/>
          <w:spacing w:val="-2"/>
          <w:position w:val="15"/>
          <w:sz w:val="21"/>
          <w:szCs w:val="21"/>
        </w:rPr>
        <w:t>高岭头二级水库水质</w:t>
      </w:r>
      <w:r>
        <w:rPr>
          <w:rFonts w:ascii="宋体" w:hAnsi="宋体" w:eastAsia="宋体" w:cs="宋体"/>
          <w:spacing w:val="-3"/>
          <w:position w:val="15"/>
          <w:sz w:val="21"/>
          <w:szCs w:val="21"/>
        </w:rPr>
        <w:t>参照</w:t>
      </w:r>
    </w:p>
    <w:p>
      <w:pPr>
        <w:spacing w:before="1" w:line="220" w:lineRule="auto"/>
        <w:ind w:left="37"/>
        <w:rPr>
          <w:rFonts w:ascii="宋体" w:hAnsi="宋体" w:eastAsia="宋体" w:cs="宋体"/>
          <w:sz w:val="21"/>
          <w:szCs w:val="21"/>
        </w:rPr>
      </w:pPr>
      <w:r>
        <w:rPr>
          <w:rFonts w:ascii="宋体" w:hAnsi="宋体" w:eastAsia="宋体" w:cs="宋体"/>
          <w:spacing w:val="-1"/>
          <w:sz w:val="21"/>
          <w:szCs w:val="21"/>
        </w:rPr>
        <w:t>执行《地表水环境质量标准》（</w:t>
      </w:r>
      <w:r>
        <w:rPr>
          <w:rFonts w:ascii="Times New Roman" w:hAnsi="Times New Roman" w:eastAsia="Times New Roman" w:cs="Times New Roman"/>
          <w:spacing w:val="-1"/>
          <w:sz w:val="21"/>
          <w:szCs w:val="21"/>
        </w:rPr>
        <w:t>GB3838-2002</w:t>
      </w:r>
      <w:r>
        <w:rPr>
          <w:rFonts w:ascii="宋体" w:hAnsi="宋体" w:eastAsia="宋体" w:cs="宋体"/>
          <w:spacing w:val="-1"/>
          <w:sz w:val="21"/>
          <w:szCs w:val="21"/>
        </w:rPr>
        <w:t>）</w:t>
      </w:r>
      <w:r>
        <w:rPr>
          <w:rFonts w:ascii="Times New Roman" w:hAnsi="Times New Roman" w:eastAsia="Times New Roman" w:cs="Times New Roman"/>
          <w:spacing w:val="-1"/>
          <w:sz w:val="21"/>
          <w:szCs w:val="21"/>
        </w:rPr>
        <w:t>Ⅱ</w:t>
      </w:r>
      <w:r>
        <w:rPr>
          <w:rFonts w:ascii="宋体" w:hAnsi="宋体" w:eastAsia="宋体" w:cs="宋体"/>
          <w:spacing w:val="-1"/>
          <w:sz w:val="21"/>
          <w:szCs w:val="21"/>
        </w:rPr>
        <w:t>类标准。</w:t>
      </w:r>
    </w:p>
    <w:p>
      <w:pPr>
        <w:spacing w:before="157" w:line="219" w:lineRule="auto"/>
        <w:ind w:left="457"/>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）评价方法</w:t>
      </w:r>
    </w:p>
    <w:p>
      <w:pPr>
        <w:spacing w:before="161" w:line="408" w:lineRule="exact"/>
        <w:ind w:left="456"/>
        <w:rPr>
          <w:rFonts w:ascii="宋体" w:hAnsi="宋体" w:eastAsia="宋体" w:cs="宋体"/>
          <w:sz w:val="21"/>
          <w:szCs w:val="21"/>
        </w:rPr>
      </w:pPr>
      <w:r>
        <w:rPr>
          <w:rFonts w:ascii="宋体" w:hAnsi="宋体" w:eastAsia="宋体" w:cs="宋体"/>
          <w:position w:val="15"/>
          <w:sz w:val="21"/>
          <w:szCs w:val="21"/>
        </w:rPr>
        <w:t>评价方法采用导则推荐的水质指数法，对各污染物的污染状况作出评</w:t>
      </w:r>
      <w:r>
        <w:rPr>
          <w:rFonts w:ascii="宋体" w:hAnsi="宋体" w:eastAsia="宋体" w:cs="宋体"/>
          <w:spacing w:val="-1"/>
          <w:position w:val="15"/>
          <w:sz w:val="21"/>
          <w:szCs w:val="21"/>
        </w:rPr>
        <w:t>价。</w:t>
      </w:r>
    </w:p>
    <w:p>
      <w:pPr>
        <w:spacing w:line="213" w:lineRule="auto"/>
        <w:ind w:left="459"/>
        <w:rPr>
          <w:rFonts w:ascii="宋体" w:hAnsi="宋体" w:eastAsia="宋体" w:cs="宋体"/>
          <w:sz w:val="21"/>
          <w:szCs w:val="21"/>
        </w:rPr>
      </w:pPr>
      <w:r>
        <w:rPr>
          <w:rFonts w:ascii="宋体" w:hAnsi="宋体" w:eastAsia="宋体" w:cs="宋体"/>
          <w:sz w:val="21"/>
          <w:szCs w:val="21"/>
        </w:rPr>
        <w:t>水质评价因子</w:t>
      </w:r>
      <w:r>
        <w:rPr>
          <w:rFonts w:ascii="宋体" w:hAnsi="宋体" w:eastAsia="宋体" w:cs="宋体"/>
          <w:spacing w:val="-33"/>
          <w:sz w:val="21"/>
          <w:szCs w:val="21"/>
        </w:rPr>
        <w:t xml:space="preserve"> </w:t>
      </w:r>
      <w:r>
        <w:rPr>
          <w:rFonts w:ascii="Times New Roman" w:hAnsi="Times New Roman" w:eastAsia="Times New Roman" w:cs="Times New Roman"/>
          <w:sz w:val="21"/>
          <w:szCs w:val="21"/>
        </w:rPr>
        <w:t xml:space="preserve">i </w:t>
      </w:r>
      <w:r>
        <w:rPr>
          <w:rFonts w:ascii="宋体" w:hAnsi="宋体" w:eastAsia="宋体" w:cs="宋体"/>
          <w:sz w:val="21"/>
          <w:szCs w:val="21"/>
        </w:rPr>
        <w:t>在第</w:t>
      </w:r>
      <w:r>
        <w:rPr>
          <w:rFonts w:ascii="Times New Roman" w:hAnsi="Times New Roman" w:eastAsia="Times New Roman" w:cs="Times New Roman"/>
          <w:sz w:val="21"/>
          <w:szCs w:val="21"/>
        </w:rPr>
        <w:t xml:space="preserve">j </w:t>
      </w:r>
      <w:r>
        <w:rPr>
          <w:rFonts w:ascii="宋体" w:hAnsi="宋体" w:eastAsia="宋体" w:cs="宋体"/>
          <w:sz w:val="21"/>
          <w:szCs w:val="21"/>
        </w:rPr>
        <w:t>取样点的指数：</w:t>
      </w:r>
    </w:p>
    <w:p>
      <w:pPr>
        <w:spacing w:before="186" w:line="202" w:lineRule="auto"/>
        <w:ind w:left="2142"/>
        <w:rPr>
          <w:rFonts w:ascii="Times New Roman" w:hAnsi="Times New Roman" w:eastAsia="Times New Roman" w:cs="Times New Roman"/>
          <w:sz w:val="13"/>
          <w:szCs w:val="13"/>
        </w:rPr>
      </w:pPr>
      <w:r>
        <w:rPr>
          <w:rFonts w:ascii="Times New Roman" w:hAnsi="Times New Roman" w:eastAsia="Times New Roman" w:cs="Times New Roman"/>
          <w:sz w:val="21"/>
          <w:szCs w:val="21"/>
        </w:rPr>
        <w:t>S</w:t>
      </w:r>
      <w:r>
        <w:rPr>
          <w:rFonts w:ascii="Times New Roman" w:hAnsi="Times New Roman" w:eastAsia="Times New Roman" w:cs="Times New Roman"/>
          <w:position w:val="-1"/>
          <w:sz w:val="13"/>
          <w:szCs w:val="13"/>
        </w:rPr>
        <w:t>ij</w:t>
      </w:r>
      <w:r>
        <w:rPr>
          <w:rFonts w:ascii="Times New Roman" w:hAnsi="Times New Roman" w:eastAsia="Times New Roman" w:cs="Times New Roman"/>
          <w:spacing w:val="3"/>
          <w:sz w:val="21"/>
          <w:szCs w:val="21"/>
        </w:rPr>
        <w:t>=</w:t>
      </w:r>
      <w:r>
        <w:rPr>
          <w:rFonts w:ascii="Times New Roman" w:hAnsi="Times New Roman" w:eastAsia="Times New Roman" w:cs="Times New Roman"/>
          <w:sz w:val="21"/>
          <w:szCs w:val="21"/>
        </w:rPr>
        <w:t>C</w:t>
      </w:r>
      <w:r>
        <w:rPr>
          <w:rFonts w:ascii="Times New Roman" w:hAnsi="Times New Roman" w:eastAsia="Times New Roman" w:cs="Times New Roman"/>
          <w:position w:val="-1"/>
          <w:sz w:val="13"/>
          <w:szCs w:val="13"/>
        </w:rPr>
        <w:t>ij</w:t>
      </w:r>
      <w:r>
        <w:rPr>
          <w:rFonts w:ascii="Times New Roman" w:hAnsi="Times New Roman" w:eastAsia="Times New Roman" w:cs="Times New Roman"/>
          <w:spacing w:val="3"/>
          <w:sz w:val="21"/>
          <w:szCs w:val="21"/>
        </w:rPr>
        <w:t>/</w:t>
      </w:r>
      <w:r>
        <w:rPr>
          <w:rFonts w:ascii="Times New Roman" w:hAnsi="Times New Roman" w:eastAsia="Times New Roman" w:cs="Times New Roman"/>
          <w:sz w:val="21"/>
          <w:szCs w:val="21"/>
        </w:rPr>
        <w:t>C</w:t>
      </w:r>
      <w:r>
        <w:rPr>
          <w:rFonts w:ascii="Times New Roman" w:hAnsi="Times New Roman" w:eastAsia="Times New Roman" w:cs="Times New Roman"/>
          <w:position w:val="-1"/>
          <w:sz w:val="13"/>
          <w:szCs w:val="13"/>
        </w:rPr>
        <w:t>si</w:t>
      </w:r>
    </w:p>
    <w:p>
      <w:pPr>
        <w:spacing w:before="139" w:line="408" w:lineRule="exact"/>
        <w:ind w:left="461"/>
        <w:rPr>
          <w:rFonts w:ascii="宋体" w:hAnsi="宋体" w:eastAsia="宋体" w:cs="宋体"/>
          <w:sz w:val="21"/>
          <w:szCs w:val="21"/>
        </w:rPr>
      </w:pPr>
      <w:r>
        <w:rPr>
          <w:rFonts w:ascii="宋体" w:hAnsi="宋体" w:eastAsia="宋体" w:cs="宋体"/>
          <w:spacing w:val="-31"/>
          <w:position w:val="14"/>
          <w:sz w:val="21"/>
          <w:szCs w:val="21"/>
        </w:rPr>
        <w:t>式中：</w:t>
      </w:r>
      <w:r>
        <w:rPr>
          <w:rFonts w:ascii="宋体" w:hAnsi="宋体" w:eastAsia="宋体" w:cs="宋体"/>
          <w:spacing w:val="21"/>
          <w:position w:val="14"/>
          <w:sz w:val="21"/>
          <w:szCs w:val="21"/>
        </w:rPr>
        <w:t xml:space="preserve"> </w:t>
      </w:r>
      <w:r>
        <w:rPr>
          <w:rFonts w:ascii="Times New Roman" w:hAnsi="Times New Roman" w:eastAsia="Times New Roman" w:cs="Times New Roman"/>
          <w:spacing w:val="-31"/>
          <w:position w:val="14"/>
          <w:sz w:val="21"/>
          <w:szCs w:val="21"/>
        </w:rPr>
        <w:t>S</w:t>
      </w:r>
      <w:r>
        <w:rPr>
          <w:rFonts w:ascii="Times New Roman" w:hAnsi="Times New Roman" w:eastAsia="Times New Roman" w:cs="Times New Roman"/>
          <w:spacing w:val="-2"/>
          <w:position w:val="13"/>
          <w:sz w:val="13"/>
          <w:szCs w:val="13"/>
        </w:rPr>
        <w:t>ij</w:t>
      </w:r>
      <w:r>
        <w:rPr>
          <w:rFonts w:ascii="Times New Roman" w:hAnsi="Times New Roman" w:eastAsia="Times New Roman" w:cs="Times New Roman"/>
          <w:spacing w:val="-2"/>
          <w:position w:val="14"/>
          <w:sz w:val="21"/>
          <w:szCs w:val="21"/>
        </w:rPr>
        <w:t>——</w:t>
      </w:r>
      <w:r>
        <w:rPr>
          <w:rFonts w:ascii="宋体" w:hAnsi="宋体" w:eastAsia="宋体" w:cs="宋体"/>
          <w:spacing w:val="-2"/>
          <w:position w:val="14"/>
          <w:sz w:val="21"/>
          <w:szCs w:val="21"/>
        </w:rPr>
        <w:t>评价因子</w:t>
      </w:r>
      <w:r>
        <w:rPr>
          <w:rFonts w:ascii="宋体" w:hAnsi="宋体" w:eastAsia="宋体" w:cs="宋体"/>
          <w:spacing w:val="-46"/>
          <w:position w:val="14"/>
          <w:sz w:val="21"/>
          <w:szCs w:val="21"/>
        </w:rPr>
        <w:t xml:space="preserve"> </w:t>
      </w:r>
      <w:r>
        <w:rPr>
          <w:rFonts w:ascii="Times New Roman" w:hAnsi="Times New Roman" w:eastAsia="Times New Roman" w:cs="Times New Roman"/>
          <w:spacing w:val="-2"/>
          <w:position w:val="14"/>
          <w:sz w:val="21"/>
          <w:szCs w:val="21"/>
        </w:rPr>
        <w:t>i</w:t>
      </w:r>
      <w:r>
        <w:rPr>
          <w:rFonts w:ascii="Times New Roman" w:hAnsi="Times New Roman" w:eastAsia="Times New Roman" w:cs="Times New Roman"/>
          <w:spacing w:val="23"/>
          <w:position w:val="14"/>
          <w:sz w:val="21"/>
          <w:szCs w:val="21"/>
        </w:rPr>
        <w:t xml:space="preserve"> </w:t>
      </w:r>
      <w:r>
        <w:rPr>
          <w:rFonts w:ascii="宋体" w:hAnsi="宋体" w:eastAsia="宋体" w:cs="宋体"/>
          <w:spacing w:val="-2"/>
          <w:position w:val="14"/>
          <w:sz w:val="21"/>
          <w:szCs w:val="21"/>
        </w:rPr>
        <w:t>的水质指数，大于</w:t>
      </w:r>
      <w:r>
        <w:rPr>
          <w:rFonts w:ascii="宋体" w:hAnsi="宋体" w:eastAsia="宋体" w:cs="宋体"/>
          <w:spacing w:val="-28"/>
          <w:position w:val="14"/>
          <w:sz w:val="21"/>
          <w:szCs w:val="21"/>
        </w:rPr>
        <w:t xml:space="preserve"> </w:t>
      </w:r>
      <w:r>
        <w:rPr>
          <w:rFonts w:ascii="Times New Roman" w:hAnsi="Times New Roman" w:eastAsia="Times New Roman" w:cs="Times New Roman"/>
          <w:spacing w:val="-2"/>
          <w:position w:val="14"/>
          <w:sz w:val="21"/>
          <w:szCs w:val="21"/>
        </w:rPr>
        <w:t xml:space="preserve">1 </w:t>
      </w:r>
      <w:r>
        <w:rPr>
          <w:rFonts w:ascii="宋体" w:hAnsi="宋体" w:eastAsia="宋体" w:cs="宋体"/>
          <w:spacing w:val="-2"/>
          <w:position w:val="14"/>
          <w:sz w:val="21"/>
          <w:szCs w:val="21"/>
        </w:rPr>
        <w:t>表明该水质因子超标；</w:t>
      </w:r>
    </w:p>
    <w:p>
      <w:pPr>
        <w:spacing w:line="216" w:lineRule="auto"/>
        <w:ind w:left="1087"/>
        <w:rPr>
          <w:rFonts w:ascii="宋体" w:hAnsi="宋体" w:eastAsia="宋体" w:cs="宋体"/>
          <w:sz w:val="21"/>
          <w:szCs w:val="21"/>
        </w:rPr>
      </w:pPr>
      <w:r>
        <w:rPr>
          <w:rFonts w:ascii="Times New Roman" w:hAnsi="Times New Roman" w:eastAsia="Times New Roman" w:cs="Times New Roman"/>
          <w:sz w:val="21"/>
          <w:szCs w:val="21"/>
        </w:rPr>
        <w:t>C</w:t>
      </w:r>
      <w:r>
        <w:rPr>
          <w:rFonts w:ascii="Times New Roman" w:hAnsi="Times New Roman" w:eastAsia="Times New Roman" w:cs="Times New Roman"/>
          <w:position w:val="-1"/>
          <w:sz w:val="13"/>
          <w:szCs w:val="13"/>
        </w:rPr>
        <w:t>ij</w:t>
      </w:r>
      <w:r>
        <w:rPr>
          <w:rFonts w:ascii="Times New Roman" w:hAnsi="Times New Roman" w:eastAsia="Times New Roman" w:cs="Times New Roman"/>
          <w:spacing w:val="2"/>
          <w:sz w:val="21"/>
          <w:szCs w:val="21"/>
        </w:rPr>
        <w:t>——</w:t>
      </w:r>
      <w:r>
        <w:rPr>
          <w:rFonts w:ascii="宋体" w:hAnsi="宋体" w:eastAsia="宋体" w:cs="宋体"/>
          <w:spacing w:val="2"/>
          <w:sz w:val="21"/>
          <w:szCs w:val="21"/>
        </w:rPr>
        <w:t>评价因子</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 xml:space="preserve">i </w:t>
      </w:r>
      <w:r>
        <w:rPr>
          <w:rFonts w:ascii="宋体" w:hAnsi="宋体" w:eastAsia="宋体" w:cs="宋体"/>
          <w:spacing w:val="2"/>
          <w:sz w:val="21"/>
          <w:szCs w:val="21"/>
        </w:rPr>
        <w:t>在第</w:t>
      </w:r>
      <w:r>
        <w:rPr>
          <w:rFonts w:ascii="Times New Roman" w:hAnsi="Times New Roman" w:eastAsia="Times New Roman" w:cs="Times New Roman"/>
          <w:spacing w:val="2"/>
          <w:sz w:val="21"/>
          <w:szCs w:val="21"/>
        </w:rPr>
        <w:t xml:space="preserve">j </w:t>
      </w:r>
      <w:r>
        <w:rPr>
          <w:rFonts w:ascii="宋体" w:hAnsi="宋体" w:eastAsia="宋体" w:cs="宋体"/>
          <w:spacing w:val="2"/>
          <w:sz w:val="21"/>
          <w:szCs w:val="21"/>
        </w:rPr>
        <w:t>取样点的浓度，</w:t>
      </w:r>
      <w:r>
        <w:rPr>
          <w:rFonts w:ascii="Times New Roman" w:hAnsi="Times New Roman" w:eastAsia="Times New Roman" w:cs="Times New Roman"/>
          <w:sz w:val="21"/>
          <w:szCs w:val="21"/>
        </w:rPr>
        <w:t>mg</w:t>
      </w:r>
      <w:r>
        <w:rPr>
          <w:rFonts w:ascii="Times New Roman" w:hAnsi="Times New Roman" w:eastAsia="Times New Roman" w:cs="Times New Roman"/>
          <w:spacing w:val="2"/>
          <w:sz w:val="21"/>
          <w:szCs w:val="21"/>
        </w:rPr>
        <w:t>/L</w:t>
      </w:r>
      <w:r>
        <w:rPr>
          <w:rFonts w:ascii="宋体" w:hAnsi="宋体" w:eastAsia="宋体" w:cs="宋体"/>
          <w:spacing w:val="2"/>
          <w:sz w:val="21"/>
          <w:szCs w:val="21"/>
        </w:rPr>
        <w:t>；</w:t>
      </w:r>
    </w:p>
    <w:p>
      <w:pPr>
        <w:spacing w:before="162" w:line="411" w:lineRule="exact"/>
        <w:ind w:left="1087"/>
        <w:rPr>
          <w:rFonts w:ascii="宋体" w:hAnsi="宋体" w:eastAsia="宋体" w:cs="宋体"/>
          <w:sz w:val="21"/>
          <w:szCs w:val="21"/>
        </w:rPr>
      </w:pPr>
      <w:r>
        <w:rPr>
          <w:rFonts w:ascii="Times New Roman" w:hAnsi="Times New Roman" w:eastAsia="Times New Roman" w:cs="Times New Roman"/>
          <w:spacing w:val="-5"/>
          <w:position w:val="15"/>
          <w:sz w:val="21"/>
          <w:szCs w:val="21"/>
        </w:rPr>
        <w:t>C</w:t>
      </w:r>
      <w:r>
        <w:rPr>
          <w:rFonts w:ascii="Times New Roman" w:hAnsi="Times New Roman" w:eastAsia="Times New Roman" w:cs="Times New Roman"/>
          <w:spacing w:val="-5"/>
          <w:position w:val="14"/>
          <w:sz w:val="13"/>
          <w:szCs w:val="13"/>
        </w:rPr>
        <w:t>si</w:t>
      </w:r>
      <w:r>
        <w:rPr>
          <w:rFonts w:ascii="Times New Roman" w:hAnsi="Times New Roman" w:eastAsia="Times New Roman" w:cs="Times New Roman"/>
          <w:spacing w:val="-5"/>
          <w:position w:val="15"/>
          <w:sz w:val="21"/>
          <w:szCs w:val="21"/>
        </w:rPr>
        <w:t>——</w:t>
      </w:r>
      <w:r>
        <w:rPr>
          <w:rFonts w:ascii="宋体" w:hAnsi="宋体" w:eastAsia="宋体" w:cs="宋体"/>
          <w:spacing w:val="-5"/>
          <w:position w:val="15"/>
          <w:sz w:val="21"/>
          <w:szCs w:val="21"/>
        </w:rPr>
        <w:t>评价因子</w:t>
      </w:r>
      <w:r>
        <w:rPr>
          <w:rFonts w:ascii="宋体" w:hAnsi="宋体" w:eastAsia="宋体" w:cs="宋体"/>
          <w:spacing w:val="-30"/>
          <w:position w:val="15"/>
          <w:sz w:val="21"/>
          <w:szCs w:val="21"/>
        </w:rPr>
        <w:t xml:space="preserve"> </w:t>
      </w:r>
      <w:r>
        <w:rPr>
          <w:rFonts w:ascii="Times New Roman" w:hAnsi="Times New Roman" w:eastAsia="Times New Roman" w:cs="Times New Roman"/>
          <w:spacing w:val="-5"/>
          <w:position w:val="15"/>
          <w:sz w:val="21"/>
          <w:szCs w:val="21"/>
        </w:rPr>
        <w:t>i</w:t>
      </w:r>
      <w:r>
        <w:rPr>
          <w:rFonts w:ascii="Times New Roman" w:hAnsi="Times New Roman" w:eastAsia="Times New Roman" w:cs="Times New Roman"/>
          <w:spacing w:val="25"/>
          <w:position w:val="15"/>
          <w:sz w:val="21"/>
          <w:szCs w:val="21"/>
        </w:rPr>
        <w:t xml:space="preserve"> </w:t>
      </w:r>
      <w:r>
        <w:rPr>
          <w:rFonts w:ascii="宋体" w:hAnsi="宋体" w:eastAsia="宋体" w:cs="宋体"/>
          <w:spacing w:val="-5"/>
          <w:position w:val="15"/>
          <w:sz w:val="21"/>
          <w:szCs w:val="21"/>
        </w:rPr>
        <w:t>的水质评价标准现状，</w:t>
      </w:r>
      <w:r>
        <w:rPr>
          <w:rFonts w:ascii="宋体" w:hAnsi="宋体" w:eastAsia="宋体" w:cs="宋体"/>
          <w:spacing w:val="-27"/>
          <w:position w:val="15"/>
          <w:sz w:val="21"/>
          <w:szCs w:val="21"/>
        </w:rPr>
        <w:t xml:space="preserve"> </w:t>
      </w:r>
      <w:r>
        <w:rPr>
          <w:rFonts w:ascii="Times New Roman" w:hAnsi="Times New Roman" w:eastAsia="Times New Roman" w:cs="Times New Roman"/>
          <w:spacing w:val="-5"/>
          <w:position w:val="15"/>
          <w:sz w:val="21"/>
          <w:szCs w:val="21"/>
        </w:rPr>
        <w:t>mg/L</w:t>
      </w:r>
      <w:r>
        <w:rPr>
          <w:rFonts w:ascii="宋体" w:hAnsi="宋体" w:eastAsia="宋体" w:cs="宋体"/>
          <w:spacing w:val="-5"/>
          <w:position w:val="15"/>
          <w:sz w:val="21"/>
          <w:szCs w:val="21"/>
        </w:rPr>
        <w:t>。</w:t>
      </w:r>
    </w:p>
    <w:p>
      <w:pPr>
        <w:spacing w:before="1" w:line="220" w:lineRule="auto"/>
        <w:ind w:left="452"/>
        <w:rPr>
          <w:rFonts w:ascii="宋体" w:hAnsi="宋体" w:eastAsia="宋体" w:cs="宋体"/>
          <w:sz w:val="21"/>
          <w:szCs w:val="21"/>
        </w:rPr>
      </w:pPr>
      <w:r>
        <w:rPr>
          <w:rFonts w:ascii="Times New Roman" w:hAnsi="Times New Roman" w:eastAsia="Times New Roman" w:cs="Times New Roman"/>
          <w:spacing w:val="-6"/>
          <w:sz w:val="21"/>
          <w:szCs w:val="21"/>
        </w:rPr>
        <w:t>DO</w:t>
      </w:r>
      <w:r>
        <w:rPr>
          <w:rFonts w:ascii="Times New Roman" w:hAnsi="Times New Roman" w:eastAsia="Times New Roman" w:cs="Times New Roman"/>
          <w:spacing w:val="28"/>
          <w:sz w:val="21"/>
          <w:szCs w:val="21"/>
        </w:rPr>
        <w:t xml:space="preserve"> </w:t>
      </w:r>
      <w:r>
        <w:rPr>
          <w:rFonts w:ascii="宋体" w:hAnsi="宋体" w:eastAsia="宋体" w:cs="宋体"/>
          <w:spacing w:val="-6"/>
          <w:sz w:val="21"/>
          <w:szCs w:val="21"/>
        </w:rPr>
        <w:t>的标准指数为：</w:t>
      </w:r>
    </w:p>
    <w:p>
      <w:pPr>
        <w:spacing w:before="167" w:line="193" w:lineRule="auto"/>
        <w:ind w:left="2775"/>
        <w:rPr>
          <w:sz w:val="14"/>
          <w:szCs w:val="14"/>
        </w:rPr>
      </w:pPr>
      <w:r>
        <w:rPr>
          <w:rFonts w:ascii="Times New Roman" w:hAnsi="Times New Roman" w:eastAsia="Times New Roman" w:cs="Times New Roman"/>
          <w:position w:val="-9"/>
          <w:sz w:val="23"/>
          <w:szCs w:val="23"/>
        </w:rPr>
        <w:drawing>
          <wp:inline distT="0" distB="0" distL="0" distR="0">
            <wp:extent cx="5715" cy="20066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458"/>
                    <a:stretch>
                      <a:fillRect/>
                    </a:stretch>
                  </pic:blipFill>
                  <pic:spPr>
                    <a:xfrm>
                      <a:off x="0" y="0"/>
                      <a:ext cx="6253" cy="201280"/>
                    </a:xfrm>
                    <a:prstGeom prst="rect">
                      <a:avLst/>
                    </a:prstGeom>
                  </pic:spPr>
                </pic:pic>
              </a:graphicData>
            </a:graphic>
          </wp:inline>
        </w:drawing>
      </w:r>
      <w:r>
        <w:rPr>
          <w:rFonts w:ascii="Times New Roman" w:hAnsi="Times New Roman" w:eastAsia="Times New Roman" w:cs="Times New Roman"/>
          <w:i/>
          <w:iCs/>
          <w:spacing w:val="8"/>
          <w:position w:val="1"/>
          <w:sz w:val="23"/>
          <w:szCs w:val="23"/>
        </w:rPr>
        <w:t>DO</w:t>
      </w:r>
      <w:r>
        <w:rPr>
          <w:rFonts w:ascii="Times New Roman" w:hAnsi="Times New Roman" w:eastAsia="Times New Roman" w:cs="Times New Roman"/>
          <w:i/>
          <w:iCs/>
          <w:spacing w:val="8"/>
          <w:position w:val="-4"/>
          <w:sz w:val="14"/>
          <w:szCs w:val="14"/>
        </w:rPr>
        <w:t xml:space="preserve">f   </w:t>
      </w:r>
      <w:r>
        <w:rPr>
          <w:rFonts w:ascii="微软雅黑" w:hAnsi="微软雅黑" w:eastAsia="微软雅黑" w:cs="微软雅黑"/>
          <w:spacing w:val="8"/>
          <w:position w:val="1"/>
          <w:sz w:val="23"/>
          <w:szCs w:val="23"/>
        </w:rPr>
        <w:t>−</w:t>
      </w:r>
      <w:r>
        <w:rPr>
          <w:rFonts w:ascii="微软雅黑" w:hAnsi="微软雅黑" w:eastAsia="微软雅黑" w:cs="微软雅黑"/>
          <w:spacing w:val="-16"/>
          <w:position w:val="1"/>
          <w:sz w:val="23"/>
          <w:szCs w:val="23"/>
        </w:rPr>
        <w:t xml:space="preserve"> </w:t>
      </w:r>
      <w:r>
        <w:rPr>
          <w:rFonts w:ascii="Times New Roman" w:hAnsi="Times New Roman" w:eastAsia="Times New Roman" w:cs="Times New Roman"/>
          <w:i/>
          <w:iCs/>
          <w:spacing w:val="8"/>
          <w:position w:val="1"/>
          <w:sz w:val="23"/>
          <w:szCs w:val="23"/>
        </w:rPr>
        <w:t>DO</w:t>
      </w:r>
      <w:r>
        <w:rPr>
          <w:rFonts w:ascii="Times New Roman" w:hAnsi="Times New Roman" w:eastAsia="Times New Roman" w:cs="Times New Roman"/>
          <w:i/>
          <w:iCs/>
          <w:spacing w:val="8"/>
          <w:position w:val="-4"/>
          <w:sz w:val="14"/>
          <w:szCs w:val="14"/>
        </w:rPr>
        <w:t>j</w:t>
      </w:r>
      <w:r>
        <w:rPr>
          <w:rFonts w:ascii="Times New Roman" w:hAnsi="Times New Roman" w:eastAsia="Times New Roman" w:cs="Times New Roman"/>
          <w:i/>
          <w:iCs/>
          <w:spacing w:val="14"/>
          <w:w w:val="101"/>
          <w:position w:val="-4"/>
          <w:sz w:val="14"/>
          <w:szCs w:val="14"/>
        </w:rPr>
        <w:t xml:space="preserve"> </w:t>
      </w:r>
      <w:r>
        <w:rPr>
          <w:position w:val="-9"/>
          <w:sz w:val="14"/>
          <w:szCs w:val="14"/>
        </w:rPr>
        <w:drawing>
          <wp:inline distT="0" distB="0" distL="0" distR="0">
            <wp:extent cx="5715" cy="20066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459"/>
                    <a:stretch>
                      <a:fillRect/>
                    </a:stretch>
                  </pic:blipFill>
                  <pic:spPr>
                    <a:xfrm>
                      <a:off x="0" y="0"/>
                      <a:ext cx="6253" cy="201280"/>
                    </a:xfrm>
                    <a:prstGeom prst="rect">
                      <a:avLst/>
                    </a:prstGeom>
                  </pic:spPr>
                </pic:pic>
              </a:graphicData>
            </a:graphic>
          </wp:inline>
        </w:drawing>
      </w:r>
    </w:p>
    <w:p>
      <w:pPr>
        <w:spacing w:line="157" w:lineRule="exact"/>
        <w:ind w:left="2142"/>
        <w:rPr>
          <w:rFonts w:ascii="Times New Roman" w:hAnsi="Times New Roman" w:eastAsia="Times New Roman" w:cs="Times New Roman"/>
          <w:sz w:val="13"/>
          <w:szCs w:val="13"/>
        </w:rPr>
      </w:pPr>
      <w:r>
        <w:rPr>
          <w:rFonts w:ascii="Times New Roman" w:hAnsi="Times New Roman" w:eastAsia="Times New Roman" w:cs="Times New Roman"/>
          <w:sz w:val="21"/>
          <w:szCs w:val="21"/>
        </w:rPr>
        <w:t>S</w:t>
      </w:r>
      <w:r>
        <w:rPr>
          <w:rFonts w:ascii="Times New Roman" w:hAnsi="Times New Roman" w:eastAsia="Times New Roman" w:cs="Times New Roman"/>
          <w:position w:val="-1"/>
          <w:sz w:val="13"/>
          <w:szCs w:val="13"/>
        </w:rPr>
        <w:t>DO</w:t>
      </w:r>
      <w:r>
        <w:rPr>
          <w:rFonts w:ascii="宋体" w:hAnsi="宋体" w:eastAsia="宋体" w:cs="宋体"/>
          <w:spacing w:val="5"/>
          <w:sz w:val="11"/>
          <w:szCs w:val="11"/>
        </w:rPr>
        <w:t>，</w:t>
      </w:r>
      <w:r>
        <w:rPr>
          <w:rFonts w:ascii="Times New Roman" w:hAnsi="Times New Roman" w:eastAsia="Times New Roman" w:cs="Times New Roman"/>
          <w:spacing w:val="5"/>
          <w:position w:val="-1"/>
          <w:sz w:val="13"/>
          <w:szCs w:val="13"/>
        </w:rPr>
        <w:t>j</w:t>
      </w:r>
      <w:r>
        <w:rPr>
          <w:rFonts w:ascii="Times New Roman" w:hAnsi="Times New Roman" w:eastAsia="Times New Roman" w:cs="Times New Roman"/>
          <w:spacing w:val="5"/>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trike/>
          <w:sz w:val="21"/>
          <w:szCs w:val="21"/>
        </w:rPr>
        <w:t xml:space="preserve">                        </w:t>
      </w:r>
      <w:r>
        <w:rPr>
          <w:rFonts w:ascii="Times New Roman" w:hAnsi="Times New Roman" w:eastAsia="Times New Roman" w:cs="Times New Roman"/>
          <w:sz w:val="21"/>
          <w:szCs w:val="21"/>
        </w:rPr>
        <w:t xml:space="preserve">                   DO</w:t>
      </w:r>
      <w:r>
        <w:rPr>
          <w:rFonts w:ascii="Times New Roman" w:hAnsi="Times New Roman" w:eastAsia="Times New Roman" w:cs="Times New Roman"/>
          <w:position w:val="-1"/>
          <w:sz w:val="13"/>
          <w:szCs w:val="13"/>
        </w:rPr>
        <w:t>j</w:t>
      </w:r>
      <w:r>
        <w:rPr>
          <w:rFonts w:ascii="Times New Roman" w:hAnsi="Times New Roman" w:eastAsia="Times New Roman" w:cs="Times New Roman"/>
          <w:spacing w:val="5"/>
          <w:sz w:val="21"/>
          <w:szCs w:val="21"/>
        </w:rPr>
        <w:t>≥</w:t>
      </w:r>
      <w:r>
        <w:rPr>
          <w:rFonts w:ascii="Times New Roman" w:hAnsi="Times New Roman" w:eastAsia="Times New Roman" w:cs="Times New Roman"/>
          <w:sz w:val="21"/>
          <w:szCs w:val="21"/>
        </w:rPr>
        <w:t>DO</w:t>
      </w:r>
      <w:r>
        <w:rPr>
          <w:rFonts w:ascii="Times New Roman" w:hAnsi="Times New Roman" w:eastAsia="Times New Roman" w:cs="Times New Roman"/>
          <w:position w:val="-1"/>
          <w:sz w:val="13"/>
          <w:szCs w:val="13"/>
        </w:rPr>
        <w:t>f</w:t>
      </w:r>
    </w:p>
    <w:p>
      <w:pPr>
        <w:spacing w:before="1" w:line="162" w:lineRule="auto"/>
        <w:ind w:left="2811"/>
        <w:rPr>
          <w:rFonts w:ascii="Times New Roman" w:hAnsi="Times New Roman" w:eastAsia="Times New Roman" w:cs="Times New Roman"/>
          <w:sz w:val="14"/>
          <w:szCs w:val="14"/>
        </w:rPr>
      </w:pPr>
      <w:r>
        <w:rPr>
          <w:rFonts w:ascii="Times New Roman" w:hAnsi="Times New Roman" w:eastAsia="Times New Roman" w:cs="Times New Roman"/>
          <w:i/>
          <w:iCs/>
          <w:position w:val="1"/>
          <w:sz w:val="23"/>
          <w:szCs w:val="23"/>
        </w:rPr>
        <w:t>DO</w:t>
      </w:r>
      <w:r>
        <w:rPr>
          <w:rFonts w:ascii="Times New Roman" w:hAnsi="Times New Roman" w:eastAsia="Times New Roman" w:cs="Times New Roman"/>
          <w:i/>
          <w:iCs/>
          <w:position w:val="-4"/>
          <w:sz w:val="14"/>
          <w:szCs w:val="14"/>
        </w:rPr>
        <w:t>f</w:t>
      </w:r>
      <w:r>
        <w:rPr>
          <w:rFonts w:ascii="Times New Roman" w:hAnsi="Times New Roman" w:eastAsia="Times New Roman" w:cs="Times New Roman"/>
          <w:i/>
          <w:iCs/>
          <w:spacing w:val="10"/>
          <w:position w:val="-4"/>
          <w:sz w:val="14"/>
          <w:szCs w:val="14"/>
        </w:rPr>
        <w:t xml:space="preserve">   </w:t>
      </w:r>
      <w:r>
        <w:rPr>
          <w:rFonts w:ascii="微软雅黑" w:hAnsi="微软雅黑" w:eastAsia="微软雅黑" w:cs="微软雅黑"/>
          <w:spacing w:val="10"/>
          <w:position w:val="1"/>
          <w:sz w:val="23"/>
          <w:szCs w:val="23"/>
        </w:rPr>
        <w:t>−</w:t>
      </w:r>
      <w:r>
        <w:rPr>
          <w:rFonts w:ascii="微软雅黑" w:hAnsi="微软雅黑" w:eastAsia="微软雅黑" w:cs="微软雅黑"/>
          <w:spacing w:val="-20"/>
          <w:position w:val="1"/>
          <w:sz w:val="23"/>
          <w:szCs w:val="23"/>
        </w:rPr>
        <w:t xml:space="preserve"> </w:t>
      </w:r>
      <w:r>
        <w:rPr>
          <w:rFonts w:ascii="Times New Roman" w:hAnsi="Times New Roman" w:eastAsia="Times New Roman" w:cs="Times New Roman"/>
          <w:i/>
          <w:iCs/>
          <w:position w:val="1"/>
          <w:sz w:val="23"/>
          <w:szCs w:val="23"/>
        </w:rPr>
        <w:t>DO</w:t>
      </w:r>
      <w:r>
        <w:rPr>
          <w:rFonts w:ascii="Times New Roman" w:hAnsi="Times New Roman" w:eastAsia="Times New Roman" w:cs="Times New Roman"/>
          <w:i/>
          <w:iCs/>
          <w:position w:val="-4"/>
          <w:sz w:val="14"/>
          <w:szCs w:val="14"/>
        </w:rPr>
        <w:t>s</w:t>
      </w:r>
    </w:p>
    <w:p>
      <w:pPr>
        <w:spacing w:before="219" w:line="202" w:lineRule="auto"/>
        <w:ind w:left="2142"/>
        <w:rPr>
          <w:rFonts w:ascii="Times New Roman" w:hAnsi="Times New Roman" w:eastAsia="Times New Roman" w:cs="Times New Roman"/>
          <w:sz w:val="13"/>
          <w:szCs w:val="13"/>
        </w:rPr>
      </w:pPr>
      <w:r>
        <w:rPr>
          <w:rFonts w:ascii="Times New Roman" w:hAnsi="Times New Roman" w:eastAsia="Times New Roman" w:cs="Times New Roman"/>
          <w:sz w:val="21"/>
          <w:szCs w:val="21"/>
        </w:rPr>
        <w:t>S</w:t>
      </w:r>
      <w:r>
        <w:rPr>
          <w:rFonts w:ascii="Times New Roman" w:hAnsi="Times New Roman" w:eastAsia="Times New Roman" w:cs="Times New Roman"/>
          <w:position w:val="-1"/>
          <w:sz w:val="13"/>
          <w:szCs w:val="13"/>
        </w:rPr>
        <w:t>DO</w:t>
      </w:r>
      <w:r>
        <w:rPr>
          <w:rFonts w:ascii="宋体" w:hAnsi="宋体" w:eastAsia="宋体" w:cs="宋体"/>
          <w:spacing w:val="2"/>
          <w:sz w:val="11"/>
          <w:szCs w:val="11"/>
        </w:rPr>
        <w:t>，</w:t>
      </w:r>
      <w:r>
        <w:rPr>
          <w:rFonts w:ascii="Times New Roman" w:hAnsi="Times New Roman" w:eastAsia="Times New Roman" w:cs="Times New Roman"/>
          <w:spacing w:val="2"/>
          <w:position w:val="-1"/>
          <w:sz w:val="13"/>
          <w:szCs w:val="13"/>
        </w:rPr>
        <w:t>j</w:t>
      </w:r>
      <w:r>
        <w:rPr>
          <w:rFonts w:ascii="Times New Roman" w:hAnsi="Times New Roman" w:eastAsia="Times New Roman" w:cs="Times New Roman"/>
          <w:spacing w:val="2"/>
          <w:sz w:val="21"/>
          <w:szCs w:val="21"/>
        </w:rPr>
        <w:t>=</w:t>
      </w:r>
      <w:r>
        <w:rPr>
          <w:rFonts w:ascii="Times New Roman" w:hAnsi="Times New Roman" w:eastAsia="Times New Roman" w:cs="Times New Roman"/>
          <w:sz w:val="21"/>
          <w:szCs w:val="21"/>
        </w:rPr>
        <w:t>DO</w:t>
      </w:r>
      <w:r>
        <w:rPr>
          <w:rFonts w:ascii="Times New Roman" w:hAnsi="Times New Roman" w:eastAsia="Times New Roman" w:cs="Times New Roman"/>
          <w:position w:val="-1"/>
          <w:sz w:val="13"/>
          <w:szCs w:val="13"/>
        </w:rPr>
        <w:t>s</w:t>
      </w:r>
      <w:r>
        <w:rPr>
          <w:rFonts w:ascii="Times New Roman" w:hAnsi="Times New Roman" w:eastAsia="Times New Roman" w:cs="Times New Roman"/>
          <w:spacing w:val="2"/>
          <w:sz w:val="21"/>
          <w:szCs w:val="21"/>
        </w:rPr>
        <w:t>/</w:t>
      </w:r>
      <w:r>
        <w:rPr>
          <w:rFonts w:ascii="Times New Roman" w:hAnsi="Times New Roman" w:eastAsia="Times New Roman" w:cs="Times New Roman"/>
          <w:sz w:val="21"/>
          <w:szCs w:val="21"/>
        </w:rPr>
        <w:t>DO</w:t>
      </w:r>
      <w:r>
        <w:rPr>
          <w:rFonts w:ascii="Times New Roman" w:hAnsi="Times New Roman" w:eastAsia="Times New Roman" w:cs="Times New Roman"/>
          <w:position w:val="-1"/>
          <w:sz w:val="13"/>
          <w:szCs w:val="13"/>
        </w:rPr>
        <w:t>j</w:t>
      </w:r>
      <w:r>
        <w:rPr>
          <w:rFonts w:ascii="Times New Roman" w:hAnsi="Times New Roman" w:eastAsia="Times New Roman" w:cs="Times New Roman"/>
          <w:spacing w:val="2"/>
          <w:position w:val="-1"/>
          <w:sz w:val="13"/>
          <w:szCs w:val="13"/>
        </w:rPr>
        <w:t xml:space="preserve">                </w:t>
      </w:r>
      <w:r>
        <w:rPr>
          <w:rFonts w:ascii="Times New Roman" w:hAnsi="Times New Roman" w:eastAsia="Times New Roman" w:cs="Times New Roman"/>
          <w:spacing w:val="1"/>
          <w:position w:val="-1"/>
          <w:sz w:val="13"/>
          <w:szCs w:val="13"/>
        </w:rPr>
        <w:t xml:space="preserve">                          </w:t>
      </w:r>
      <w:r>
        <w:rPr>
          <w:rFonts w:ascii="Times New Roman" w:hAnsi="Times New Roman" w:eastAsia="Times New Roman" w:cs="Times New Roman"/>
          <w:sz w:val="21"/>
          <w:szCs w:val="21"/>
        </w:rPr>
        <w:t>DO</w:t>
      </w:r>
      <w:r>
        <w:rPr>
          <w:rFonts w:ascii="Times New Roman" w:hAnsi="Times New Roman" w:eastAsia="Times New Roman" w:cs="Times New Roman"/>
          <w:position w:val="-1"/>
          <w:sz w:val="13"/>
          <w:szCs w:val="13"/>
        </w:rPr>
        <w:t>j</w:t>
      </w:r>
      <w:r>
        <w:rPr>
          <w:rFonts w:ascii="Times New Roman" w:hAnsi="Times New Roman" w:eastAsia="Times New Roman" w:cs="Times New Roman"/>
          <w:spacing w:val="1"/>
          <w:sz w:val="21"/>
          <w:szCs w:val="21"/>
        </w:rPr>
        <w:t>&lt;</w:t>
      </w:r>
      <w:r>
        <w:rPr>
          <w:rFonts w:ascii="Times New Roman" w:hAnsi="Times New Roman" w:eastAsia="Times New Roman" w:cs="Times New Roman"/>
          <w:sz w:val="21"/>
          <w:szCs w:val="21"/>
        </w:rPr>
        <w:t>DO</w:t>
      </w:r>
      <w:r>
        <w:rPr>
          <w:rFonts w:ascii="Times New Roman" w:hAnsi="Times New Roman" w:eastAsia="Times New Roman" w:cs="Times New Roman"/>
          <w:position w:val="-1"/>
          <w:sz w:val="13"/>
          <w:szCs w:val="13"/>
        </w:rPr>
        <w:t>f</w:t>
      </w:r>
    </w:p>
    <w:p>
      <w:pPr>
        <w:spacing w:before="170" w:line="408" w:lineRule="exact"/>
        <w:ind w:left="1092"/>
        <w:rPr>
          <w:rFonts w:ascii="宋体" w:hAnsi="宋体" w:eastAsia="宋体" w:cs="宋体"/>
          <w:sz w:val="21"/>
          <w:szCs w:val="21"/>
        </w:rPr>
      </w:pPr>
      <w:r>
        <w:rPr>
          <w:rFonts w:ascii="宋体" w:hAnsi="宋体" w:eastAsia="宋体" w:cs="宋体"/>
          <w:spacing w:val="-31"/>
          <w:position w:val="14"/>
          <w:sz w:val="21"/>
          <w:szCs w:val="21"/>
        </w:rPr>
        <w:t>式中：</w:t>
      </w:r>
      <w:r>
        <w:rPr>
          <w:rFonts w:ascii="宋体" w:hAnsi="宋体" w:eastAsia="宋体" w:cs="宋体"/>
          <w:spacing w:val="7"/>
          <w:position w:val="14"/>
          <w:sz w:val="21"/>
          <w:szCs w:val="21"/>
        </w:rPr>
        <w:t xml:space="preserve"> </w:t>
      </w:r>
      <w:r>
        <w:rPr>
          <w:rFonts w:ascii="Times New Roman" w:hAnsi="Times New Roman" w:eastAsia="Times New Roman" w:cs="Times New Roman"/>
          <w:spacing w:val="-31"/>
          <w:position w:val="14"/>
          <w:sz w:val="21"/>
          <w:szCs w:val="21"/>
        </w:rPr>
        <w:t>S</w:t>
      </w:r>
      <w:r>
        <w:rPr>
          <w:rFonts w:ascii="Times New Roman" w:hAnsi="Times New Roman" w:eastAsia="Times New Roman" w:cs="Times New Roman"/>
          <w:position w:val="13"/>
          <w:sz w:val="13"/>
          <w:szCs w:val="13"/>
        </w:rPr>
        <w:t>DO</w:t>
      </w:r>
      <w:r>
        <w:rPr>
          <w:rFonts w:ascii="宋体" w:hAnsi="宋体" w:eastAsia="宋体" w:cs="宋体"/>
          <w:position w:val="14"/>
          <w:sz w:val="11"/>
          <w:szCs w:val="11"/>
        </w:rPr>
        <w:t>，</w:t>
      </w:r>
      <w:r>
        <w:rPr>
          <w:rFonts w:ascii="Times New Roman" w:hAnsi="Times New Roman" w:eastAsia="Times New Roman" w:cs="Times New Roman"/>
          <w:position w:val="13"/>
          <w:sz w:val="13"/>
          <w:szCs w:val="13"/>
        </w:rPr>
        <w:t>j</w:t>
      </w:r>
      <w:r>
        <w:rPr>
          <w:rFonts w:ascii="Times New Roman" w:hAnsi="Times New Roman" w:eastAsia="Times New Roman" w:cs="Times New Roman"/>
          <w:spacing w:val="18"/>
          <w:w w:val="102"/>
          <w:position w:val="13"/>
          <w:sz w:val="13"/>
          <w:szCs w:val="13"/>
        </w:rPr>
        <w:t xml:space="preserve"> </w:t>
      </w:r>
      <w:r>
        <w:rPr>
          <w:rFonts w:ascii="Times New Roman" w:hAnsi="Times New Roman" w:eastAsia="Times New Roman" w:cs="Times New Roman"/>
          <w:position w:val="14"/>
          <w:sz w:val="21"/>
          <w:szCs w:val="21"/>
        </w:rPr>
        <w:t>—</w:t>
      </w:r>
      <w:r>
        <w:rPr>
          <w:rFonts w:ascii="宋体" w:hAnsi="宋体" w:eastAsia="宋体" w:cs="宋体"/>
          <w:position w:val="14"/>
          <w:sz w:val="21"/>
          <w:szCs w:val="21"/>
        </w:rPr>
        <w:t>溶解氧的标准指数，大于</w:t>
      </w:r>
      <w:r>
        <w:rPr>
          <w:rFonts w:ascii="宋体" w:hAnsi="宋体" w:eastAsia="宋体" w:cs="宋体"/>
          <w:spacing w:val="-28"/>
          <w:position w:val="14"/>
          <w:sz w:val="21"/>
          <w:szCs w:val="21"/>
        </w:rPr>
        <w:t xml:space="preserve"> </w:t>
      </w:r>
      <w:r>
        <w:rPr>
          <w:rFonts w:ascii="Times New Roman" w:hAnsi="Times New Roman" w:eastAsia="Times New Roman" w:cs="Times New Roman"/>
          <w:position w:val="14"/>
          <w:sz w:val="21"/>
          <w:szCs w:val="21"/>
        </w:rPr>
        <w:t xml:space="preserve">1 </w:t>
      </w:r>
      <w:r>
        <w:rPr>
          <w:rFonts w:ascii="宋体" w:hAnsi="宋体" w:eastAsia="宋体" w:cs="宋体"/>
          <w:position w:val="14"/>
          <w:sz w:val="21"/>
          <w:szCs w:val="21"/>
        </w:rPr>
        <w:t>表明该水质因子</w:t>
      </w:r>
      <w:r>
        <w:rPr>
          <w:rFonts w:ascii="宋体" w:hAnsi="宋体" w:eastAsia="宋体" w:cs="宋体"/>
          <w:spacing w:val="-1"/>
          <w:position w:val="14"/>
          <w:sz w:val="21"/>
          <w:szCs w:val="21"/>
        </w:rPr>
        <w:t>超标；</w:t>
      </w:r>
    </w:p>
    <w:p>
      <w:pPr>
        <w:spacing w:line="216" w:lineRule="auto"/>
        <w:ind w:left="1083"/>
        <w:rPr>
          <w:rFonts w:ascii="宋体" w:hAnsi="宋体" w:eastAsia="宋体" w:cs="宋体"/>
          <w:sz w:val="21"/>
          <w:szCs w:val="21"/>
        </w:rPr>
      </w:pPr>
      <w:r>
        <w:rPr>
          <w:rFonts w:ascii="Times New Roman" w:hAnsi="Times New Roman" w:eastAsia="Times New Roman" w:cs="Times New Roman"/>
          <w:sz w:val="21"/>
          <w:szCs w:val="21"/>
        </w:rPr>
        <w:t>DO</w:t>
      </w:r>
      <w:r>
        <w:rPr>
          <w:rFonts w:ascii="Times New Roman" w:hAnsi="Times New Roman" w:eastAsia="Times New Roman" w:cs="Times New Roman"/>
          <w:position w:val="-1"/>
          <w:sz w:val="13"/>
          <w:szCs w:val="13"/>
        </w:rPr>
        <w:t>f</w:t>
      </w:r>
      <w:r>
        <w:rPr>
          <w:rFonts w:ascii="Times New Roman" w:hAnsi="Times New Roman" w:eastAsia="Times New Roman" w:cs="Times New Roman"/>
          <w:sz w:val="21"/>
          <w:szCs w:val="21"/>
        </w:rPr>
        <w:t>—</w:t>
      </w:r>
      <w:r>
        <w:rPr>
          <w:rFonts w:ascii="宋体" w:hAnsi="宋体" w:eastAsia="宋体" w:cs="宋体"/>
          <w:sz w:val="21"/>
          <w:szCs w:val="21"/>
        </w:rPr>
        <w:t>饱和溶解氧浓度，</w:t>
      </w:r>
      <w:r>
        <w:rPr>
          <w:rFonts w:ascii="Times New Roman" w:hAnsi="Times New Roman" w:eastAsia="Times New Roman" w:cs="Times New Roman"/>
          <w:sz w:val="21"/>
          <w:szCs w:val="21"/>
        </w:rPr>
        <w:t>mg/L</w:t>
      </w:r>
      <w:r>
        <w:rPr>
          <w:rFonts w:ascii="宋体" w:hAnsi="宋体" w:eastAsia="宋体" w:cs="宋体"/>
          <w:sz w:val="21"/>
          <w:szCs w:val="21"/>
        </w:rPr>
        <w:t>；</w:t>
      </w:r>
    </w:p>
    <w:p>
      <w:pPr>
        <w:spacing w:before="162" w:line="410" w:lineRule="exact"/>
        <w:ind w:left="1083"/>
        <w:rPr>
          <w:rFonts w:ascii="宋体" w:hAnsi="宋体" w:eastAsia="宋体" w:cs="宋体"/>
          <w:sz w:val="21"/>
          <w:szCs w:val="21"/>
        </w:rPr>
      </w:pPr>
      <w:r>
        <w:rPr>
          <w:rFonts w:ascii="Times New Roman" w:hAnsi="Times New Roman" w:eastAsia="Times New Roman" w:cs="Times New Roman"/>
          <w:position w:val="15"/>
          <w:sz w:val="21"/>
          <w:szCs w:val="21"/>
        </w:rPr>
        <w:t>DO</w:t>
      </w:r>
      <w:r>
        <w:rPr>
          <w:rFonts w:ascii="Times New Roman" w:hAnsi="Times New Roman" w:eastAsia="Times New Roman" w:cs="Times New Roman"/>
          <w:position w:val="14"/>
          <w:sz w:val="13"/>
          <w:szCs w:val="13"/>
        </w:rPr>
        <w:t>j</w:t>
      </w:r>
      <w:r>
        <w:rPr>
          <w:rFonts w:ascii="Times New Roman" w:hAnsi="Times New Roman" w:eastAsia="Times New Roman" w:cs="Times New Roman"/>
          <w:spacing w:val="1"/>
          <w:position w:val="15"/>
          <w:sz w:val="21"/>
          <w:szCs w:val="21"/>
        </w:rPr>
        <w:t>—</w:t>
      </w:r>
      <w:r>
        <w:rPr>
          <w:rFonts w:ascii="宋体" w:hAnsi="宋体" w:eastAsia="宋体" w:cs="宋体"/>
          <w:spacing w:val="1"/>
          <w:position w:val="15"/>
          <w:sz w:val="21"/>
          <w:szCs w:val="21"/>
        </w:rPr>
        <w:t>溶解氧在</w:t>
      </w:r>
      <w:r>
        <w:rPr>
          <w:rFonts w:ascii="Times New Roman" w:hAnsi="Times New Roman" w:eastAsia="Times New Roman" w:cs="Times New Roman"/>
          <w:spacing w:val="1"/>
          <w:position w:val="15"/>
          <w:sz w:val="21"/>
          <w:szCs w:val="21"/>
        </w:rPr>
        <w:t>j</w:t>
      </w:r>
      <w:r>
        <w:rPr>
          <w:rFonts w:ascii="Times New Roman" w:hAnsi="Times New Roman" w:eastAsia="Times New Roman" w:cs="Times New Roman"/>
          <w:spacing w:val="35"/>
          <w:position w:val="15"/>
          <w:sz w:val="21"/>
          <w:szCs w:val="21"/>
        </w:rPr>
        <w:t xml:space="preserve"> </w:t>
      </w:r>
      <w:r>
        <w:rPr>
          <w:rFonts w:ascii="宋体" w:hAnsi="宋体" w:eastAsia="宋体" w:cs="宋体"/>
          <w:spacing w:val="1"/>
          <w:position w:val="15"/>
          <w:sz w:val="21"/>
          <w:szCs w:val="21"/>
        </w:rPr>
        <w:t>点的实测统计代表值，</w:t>
      </w:r>
      <w:r>
        <w:rPr>
          <w:rFonts w:ascii="Times New Roman" w:hAnsi="Times New Roman" w:eastAsia="Times New Roman" w:cs="Times New Roman"/>
          <w:position w:val="15"/>
          <w:sz w:val="21"/>
          <w:szCs w:val="21"/>
        </w:rPr>
        <w:t>mg</w:t>
      </w:r>
      <w:r>
        <w:rPr>
          <w:rFonts w:ascii="Times New Roman" w:hAnsi="Times New Roman" w:eastAsia="Times New Roman" w:cs="Times New Roman"/>
          <w:spacing w:val="1"/>
          <w:position w:val="15"/>
          <w:sz w:val="21"/>
          <w:szCs w:val="21"/>
        </w:rPr>
        <w:t>/L</w:t>
      </w:r>
      <w:r>
        <w:rPr>
          <w:rFonts w:ascii="宋体" w:hAnsi="宋体" w:eastAsia="宋体" w:cs="宋体"/>
          <w:spacing w:val="1"/>
          <w:position w:val="15"/>
          <w:sz w:val="21"/>
          <w:szCs w:val="21"/>
        </w:rPr>
        <w:t>；</w:t>
      </w:r>
    </w:p>
    <w:p>
      <w:pPr>
        <w:spacing w:before="1" w:line="216" w:lineRule="auto"/>
        <w:ind w:left="1083"/>
        <w:rPr>
          <w:rFonts w:ascii="宋体" w:hAnsi="宋体" w:eastAsia="宋体" w:cs="宋体"/>
          <w:sz w:val="21"/>
          <w:szCs w:val="21"/>
        </w:rPr>
      </w:pPr>
      <w:r>
        <w:rPr>
          <w:rFonts w:ascii="Times New Roman" w:hAnsi="Times New Roman" w:eastAsia="Times New Roman" w:cs="Times New Roman"/>
          <w:spacing w:val="-4"/>
          <w:sz w:val="21"/>
          <w:szCs w:val="21"/>
        </w:rPr>
        <w:t>DO</w:t>
      </w:r>
      <w:r>
        <w:rPr>
          <w:rFonts w:ascii="Times New Roman" w:hAnsi="Times New Roman" w:eastAsia="Times New Roman" w:cs="Times New Roman"/>
          <w:spacing w:val="-4"/>
          <w:position w:val="-1"/>
          <w:sz w:val="13"/>
          <w:szCs w:val="13"/>
        </w:rPr>
        <w:t>s</w:t>
      </w:r>
      <w:r>
        <w:rPr>
          <w:rFonts w:ascii="Times New Roman" w:hAnsi="Times New Roman" w:eastAsia="Times New Roman" w:cs="Times New Roman"/>
          <w:spacing w:val="-4"/>
          <w:sz w:val="21"/>
          <w:szCs w:val="21"/>
        </w:rPr>
        <w:t>—</w:t>
      </w:r>
      <w:r>
        <w:rPr>
          <w:rFonts w:ascii="宋体" w:hAnsi="宋体" w:eastAsia="宋体" w:cs="宋体"/>
          <w:spacing w:val="-4"/>
          <w:sz w:val="21"/>
          <w:szCs w:val="21"/>
        </w:rPr>
        <w:t>溶解氧的水质评价标准限值，</w:t>
      </w:r>
      <w:r>
        <w:rPr>
          <w:rFonts w:ascii="宋体" w:hAnsi="宋体" w:eastAsia="宋体" w:cs="宋体"/>
          <w:spacing w:val="-15"/>
          <w:sz w:val="21"/>
          <w:szCs w:val="21"/>
        </w:rPr>
        <w:t xml:space="preserve"> </w:t>
      </w:r>
      <w:r>
        <w:rPr>
          <w:rFonts w:ascii="Times New Roman" w:hAnsi="Times New Roman" w:eastAsia="Times New Roman" w:cs="Times New Roman"/>
          <w:spacing w:val="-4"/>
          <w:sz w:val="21"/>
          <w:szCs w:val="21"/>
        </w:rPr>
        <w:t>mg/L</w:t>
      </w:r>
      <w:r>
        <w:rPr>
          <w:rFonts w:ascii="宋体" w:hAnsi="宋体" w:eastAsia="宋体" w:cs="宋体"/>
          <w:spacing w:val="-4"/>
          <w:sz w:val="21"/>
          <w:szCs w:val="21"/>
        </w:rPr>
        <w:t>；</w:t>
      </w:r>
    </w:p>
    <w:p>
      <w:pPr>
        <w:spacing w:before="162" w:line="408" w:lineRule="exact"/>
        <w:ind w:left="1083"/>
        <w:rPr>
          <w:rFonts w:ascii="Times New Roman" w:hAnsi="Times New Roman" w:eastAsia="Times New Roman" w:cs="Times New Roman"/>
          <w:sz w:val="21"/>
          <w:szCs w:val="21"/>
        </w:rPr>
      </w:pPr>
      <w:r>
        <w:rPr>
          <w:rFonts w:ascii="Times New Roman" w:hAnsi="Times New Roman" w:eastAsia="Times New Roman" w:cs="Times New Roman"/>
          <w:position w:val="15"/>
          <w:sz w:val="21"/>
          <w:szCs w:val="21"/>
        </w:rPr>
        <w:t>DO</w:t>
      </w:r>
      <w:r>
        <w:rPr>
          <w:rFonts w:ascii="Times New Roman" w:hAnsi="Times New Roman" w:eastAsia="Times New Roman" w:cs="Times New Roman"/>
          <w:position w:val="14"/>
          <w:sz w:val="13"/>
          <w:szCs w:val="13"/>
        </w:rPr>
        <w:t>f</w:t>
      </w:r>
      <w:r>
        <w:rPr>
          <w:rFonts w:ascii="Times New Roman" w:hAnsi="Times New Roman" w:eastAsia="Times New Roman" w:cs="Times New Roman"/>
          <w:position w:val="15"/>
          <w:sz w:val="21"/>
          <w:szCs w:val="21"/>
        </w:rPr>
        <w:t>—</w:t>
      </w:r>
      <w:r>
        <w:rPr>
          <w:rFonts w:ascii="宋体" w:hAnsi="宋体" w:eastAsia="宋体" w:cs="宋体"/>
          <w:position w:val="15"/>
          <w:sz w:val="21"/>
          <w:szCs w:val="21"/>
        </w:rPr>
        <w:t>饱和溶解氧浓度，</w:t>
      </w:r>
      <w:r>
        <w:rPr>
          <w:rFonts w:ascii="Times New Roman" w:hAnsi="Times New Roman" w:eastAsia="Times New Roman" w:cs="Times New Roman"/>
          <w:position w:val="15"/>
          <w:sz w:val="21"/>
          <w:szCs w:val="21"/>
        </w:rPr>
        <w:t>mg/L</w:t>
      </w:r>
      <w:r>
        <w:rPr>
          <w:rFonts w:ascii="宋体" w:hAnsi="宋体" w:eastAsia="宋体" w:cs="宋体"/>
          <w:position w:val="15"/>
          <w:sz w:val="21"/>
          <w:szCs w:val="21"/>
        </w:rPr>
        <w:t>，对于河流</w:t>
      </w:r>
      <w:r>
        <w:rPr>
          <w:rFonts w:ascii="宋体" w:hAnsi="宋体" w:eastAsia="宋体" w:cs="宋体"/>
          <w:spacing w:val="-43"/>
          <w:position w:val="15"/>
          <w:sz w:val="21"/>
          <w:szCs w:val="21"/>
        </w:rPr>
        <w:t xml:space="preserve"> </w:t>
      </w:r>
      <w:r>
        <w:rPr>
          <w:rFonts w:ascii="Times New Roman" w:hAnsi="Times New Roman" w:eastAsia="Times New Roman" w:cs="Times New Roman"/>
          <w:position w:val="15"/>
          <w:sz w:val="21"/>
          <w:szCs w:val="21"/>
        </w:rPr>
        <w:t>DO</w:t>
      </w:r>
      <w:r>
        <w:rPr>
          <w:rFonts w:ascii="Times New Roman" w:hAnsi="Times New Roman" w:eastAsia="Times New Roman" w:cs="Times New Roman"/>
          <w:position w:val="14"/>
          <w:sz w:val="13"/>
          <w:szCs w:val="13"/>
        </w:rPr>
        <w:t>f</w:t>
      </w:r>
      <w:r>
        <w:rPr>
          <w:rFonts w:ascii="Times New Roman" w:hAnsi="Times New Roman" w:eastAsia="Times New Roman" w:cs="Times New Roman"/>
          <w:spacing w:val="-7"/>
          <w:position w:val="14"/>
          <w:sz w:val="13"/>
          <w:szCs w:val="13"/>
        </w:rPr>
        <w:t xml:space="preserve"> </w:t>
      </w:r>
      <w:r>
        <w:rPr>
          <w:rFonts w:ascii="Times New Roman" w:hAnsi="Times New Roman" w:eastAsia="Times New Roman" w:cs="Times New Roman"/>
          <w:position w:val="15"/>
          <w:sz w:val="21"/>
          <w:szCs w:val="21"/>
        </w:rPr>
        <w:t>= 468 /(31.6 + T )</w:t>
      </w:r>
    </w:p>
    <w:p>
      <w:pPr>
        <w:spacing w:before="1" w:line="220" w:lineRule="auto"/>
        <w:ind w:left="1093"/>
        <w:rPr>
          <w:rFonts w:ascii="宋体" w:hAnsi="宋体" w:eastAsia="宋体" w:cs="宋体"/>
          <w:sz w:val="21"/>
          <w:szCs w:val="21"/>
        </w:rPr>
      </w:pPr>
      <w:r>
        <w:rPr>
          <w:rFonts w:ascii="Times New Roman" w:hAnsi="Times New Roman" w:eastAsia="Times New Roman" w:cs="Times New Roman"/>
          <w:spacing w:val="-7"/>
          <w:sz w:val="21"/>
          <w:szCs w:val="21"/>
        </w:rPr>
        <w:t>S—</w:t>
      </w:r>
      <w:r>
        <w:rPr>
          <w:rFonts w:ascii="宋体" w:hAnsi="宋体" w:eastAsia="宋体" w:cs="宋体"/>
          <w:spacing w:val="-7"/>
          <w:sz w:val="21"/>
          <w:szCs w:val="21"/>
        </w:rPr>
        <w:t>使用盐度统一单位，</w:t>
      </w:r>
      <w:r>
        <w:rPr>
          <w:rFonts w:ascii="宋体" w:hAnsi="宋体" w:eastAsia="宋体" w:cs="宋体"/>
          <w:spacing w:val="-12"/>
          <w:sz w:val="21"/>
          <w:szCs w:val="21"/>
        </w:rPr>
        <w:t xml:space="preserve"> </w:t>
      </w:r>
      <w:r>
        <w:rPr>
          <w:rFonts w:ascii="宋体" w:hAnsi="宋体" w:eastAsia="宋体" w:cs="宋体"/>
          <w:spacing w:val="-7"/>
          <w:sz w:val="21"/>
          <w:szCs w:val="21"/>
        </w:rPr>
        <w:t>量统一；</w:t>
      </w:r>
    </w:p>
    <w:p>
      <w:pPr>
        <w:spacing w:before="157" w:line="408" w:lineRule="exact"/>
        <w:ind w:left="1086"/>
        <w:rPr>
          <w:rFonts w:ascii="宋体" w:hAnsi="宋体" w:eastAsia="宋体" w:cs="宋体"/>
          <w:sz w:val="21"/>
          <w:szCs w:val="21"/>
        </w:rPr>
      </w:pPr>
      <w:r>
        <w:rPr>
          <w:rFonts w:ascii="Times New Roman" w:hAnsi="Times New Roman" w:eastAsia="Times New Roman" w:cs="Times New Roman"/>
          <w:spacing w:val="-1"/>
          <w:position w:val="14"/>
          <w:sz w:val="21"/>
          <w:szCs w:val="21"/>
        </w:rPr>
        <w:t>T—</w:t>
      </w:r>
      <w:r>
        <w:rPr>
          <w:rFonts w:ascii="宋体" w:hAnsi="宋体" w:eastAsia="宋体" w:cs="宋体"/>
          <w:spacing w:val="-1"/>
          <w:position w:val="14"/>
          <w:sz w:val="21"/>
          <w:szCs w:val="21"/>
        </w:rPr>
        <w:t>水温，</w:t>
      </w:r>
      <w:r>
        <w:rPr>
          <w:rFonts w:ascii="Times New Roman" w:hAnsi="Times New Roman" w:eastAsia="Times New Roman" w:cs="Times New Roman"/>
          <w:spacing w:val="-1"/>
          <w:position w:val="14"/>
          <w:sz w:val="21"/>
          <w:szCs w:val="21"/>
        </w:rPr>
        <w:t>℃</w:t>
      </w:r>
      <w:r>
        <w:rPr>
          <w:rFonts w:ascii="宋体" w:hAnsi="宋体" w:eastAsia="宋体" w:cs="宋体"/>
          <w:spacing w:val="-1"/>
          <w:position w:val="14"/>
          <w:sz w:val="21"/>
          <w:szCs w:val="21"/>
        </w:rPr>
        <w:t>。</w:t>
      </w:r>
    </w:p>
    <w:p>
      <w:pPr>
        <w:spacing w:before="1" w:line="213" w:lineRule="auto"/>
        <w:ind w:left="448"/>
        <w:rPr>
          <w:rFonts w:ascii="宋体" w:hAnsi="宋体" w:eastAsia="宋体" w:cs="宋体"/>
          <w:sz w:val="21"/>
          <w:szCs w:val="21"/>
        </w:rPr>
      </w:pPr>
      <w:r>
        <w:rPr>
          <w:rFonts w:ascii="Times New Roman" w:hAnsi="Times New Roman" w:eastAsia="Times New Roman" w:cs="Times New Roman"/>
          <w:spacing w:val="-2"/>
          <w:sz w:val="21"/>
          <w:szCs w:val="21"/>
        </w:rPr>
        <w:t>pH</w:t>
      </w:r>
      <w:r>
        <w:rPr>
          <w:rFonts w:ascii="Times New Roman" w:hAnsi="Times New Roman" w:eastAsia="Times New Roman" w:cs="Times New Roman"/>
          <w:spacing w:val="24"/>
          <w:w w:val="101"/>
          <w:sz w:val="21"/>
          <w:szCs w:val="21"/>
        </w:rPr>
        <w:t xml:space="preserve"> </w:t>
      </w:r>
      <w:r>
        <w:rPr>
          <w:rFonts w:ascii="宋体" w:hAnsi="宋体" w:eastAsia="宋体" w:cs="宋体"/>
          <w:spacing w:val="-2"/>
          <w:sz w:val="21"/>
          <w:szCs w:val="21"/>
        </w:rPr>
        <w:t>的评价标准指数为：</w:t>
      </w:r>
    </w:p>
    <w:p>
      <w:pPr>
        <w:spacing w:before="202" w:line="233" w:lineRule="exact"/>
        <w:ind w:left="2796"/>
        <w:rPr>
          <w:rFonts w:ascii="Times New Roman" w:hAnsi="Times New Roman" w:eastAsia="Times New Roman" w:cs="Times New Roman"/>
          <w:sz w:val="14"/>
          <w:szCs w:val="14"/>
        </w:rPr>
      </w:pPr>
      <w:r>
        <w:rPr>
          <w:rFonts w:ascii="Times New Roman" w:hAnsi="Times New Roman" w:eastAsia="Times New Roman" w:cs="Times New Roman"/>
          <w:spacing w:val="5"/>
          <w:position w:val="3"/>
          <w:sz w:val="24"/>
          <w:szCs w:val="24"/>
        </w:rPr>
        <w:t>7.0</w:t>
      </w:r>
      <w:r>
        <w:rPr>
          <w:rFonts w:ascii="Times New Roman" w:hAnsi="Times New Roman" w:eastAsia="Times New Roman" w:cs="Times New Roman"/>
          <w:spacing w:val="-11"/>
          <w:position w:val="3"/>
          <w:sz w:val="24"/>
          <w:szCs w:val="24"/>
        </w:rPr>
        <w:t xml:space="preserve"> </w:t>
      </w:r>
      <w:r>
        <w:rPr>
          <w:rFonts w:ascii="微软雅黑" w:hAnsi="微软雅黑" w:eastAsia="微软雅黑" w:cs="微软雅黑"/>
          <w:spacing w:val="5"/>
          <w:position w:val="3"/>
          <w:sz w:val="24"/>
          <w:szCs w:val="24"/>
        </w:rPr>
        <w:t>−</w:t>
      </w:r>
      <w:r>
        <w:rPr>
          <w:rFonts w:ascii="微软雅黑" w:hAnsi="微软雅黑" w:eastAsia="微软雅黑" w:cs="微软雅黑"/>
          <w:spacing w:val="-20"/>
          <w:position w:val="3"/>
          <w:sz w:val="24"/>
          <w:szCs w:val="24"/>
        </w:rPr>
        <w:t xml:space="preserve"> </w:t>
      </w:r>
      <w:r>
        <w:rPr>
          <w:rFonts w:ascii="Times New Roman" w:hAnsi="Times New Roman" w:eastAsia="Times New Roman" w:cs="Times New Roman"/>
          <w:i/>
          <w:iCs/>
          <w:position w:val="3"/>
          <w:sz w:val="24"/>
          <w:szCs w:val="24"/>
        </w:rPr>
        <w:t>pH</w:t>
      </w:r>
      <w:r>
        <w:rPr>
          <w:rFonts w:ascii="Times New Roman" w:hAnsi="Times New Roman" w:eastAsia="Times New Roman" w:cs="Times New Roman"/>
          <w:i/>
          <w:iCs/>
          <w:position w:val="-2"/>
          <w:sz w:val="14"/>
          <w:szCs w:val="14"/>
        </w:rPr>
        <w:t>j</w:t>
      </w:r>
    </w:p>
    <w:p>
      <w:pPr>
        <w:spacing w:line="157" w:lineRule="exact"/>
        <w:ind w:left="214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S</w:t>
      </w:r>
      <w:r>
        <w:rPr>
          <w:rFonts w:ascii="Times New Roman" w:hAnsi="Times New Roman" w:eastAsia="Times New Roman" w:cs="Times New Roman"/>
          <w:spacing w:val="-2"/>
          <w:position w:val="-1"/>
          <w:sz w:val="13"/>
          <w:szCs w:val="13"/>
        </w:rPr>
        <w:t xml:space="preserve">pH,j </w:t>
      </w:r>
      <w:r>
        <w:rPr>
          <w:rFonts w:ascii="宋体" w:hAnsi="宋体" w:eastAsia="宋体" w:cs="宋体"/>
          <w:spacing w:val="-2"/>
          <w:sz w:val="21"/>
          <w:szCs w:val="21"/>
        </w:rPr>
        <w:t>＝</w:t>
      </w:r>
      <w:r>
        <w:rPr>
          <w:rFonts w:ascii="宋体" w:hAnsi="宋体" w:eastAsia="宋体" w:cs="宋体"/>
          <w:spacing w:val="-68"/>
          <w:sz w:val="21"/>
          <w:szCs w:val="21"/>
        </w:rPr>
        <w:t xml:space="preserve"> </w:t>
      </w:r>
      <w:r>
        <w:rPr>
          <w:rFonts w:ascii="宋体" w:hAnsi="宋体" w:eastAsia="宋体" w:cs="宋体"/>
          <w:strike/>
          <w:spacing w:val="2"/>
          <w:sz w:val="21"/>
          <w:szCs w:val="21"/>
        </w:rPr>
        <w:t xml:space="preserve">          </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rPr>
        <w:t>pH≤7.0</w:t>
      </w:r>
    </w:p>
    <w:p>
      <w:pPr>
        <w:spacing w:before="2" w:line="175" w:lineRule="auto"/>
        <w:ind w:left="2762"/>
        <w:rPr>
          <w:rFonts w:ascii="Times New Roman" w:hAnsi="Times New Roman" w:eastAsia="Times New Roman" w:cs="Times New Roman"/>
          <w:sz w:val="14"/>
          <w:szCs w:val="14"/>
        </w:rPr>
      </w:pPr>
      <w:r>
        <w:rPr>
          <w:rFonts w:ascii="Times New Roman" w:hAnsi="Times New Roman" w:eastAsia="Times New Roman" w:cs="Times New Roman"/>
          <w:sz w:val="24"/>
          <w:szCs w:val="24"/>
        </w:rPr>
        <w:t>7.0</w:t>
      </w:r>
      <w:r>
        <w:rPr>
          <w:rFonts w:ascii="Times New Roman" w:hAnsi="Times New Roman" w:eastAsia="Times New Roman" w:cs="Times New Roman"/>
          <w:spacing w:val="-12"/>
          <w:sz w:val="24"/>
          <w:szCs w:val="24"/>
        </w:rPr>
        <w:t xml:space="preserve"> </w:t>
      </w:r>
      <w:r>
        <w:rPr>
          <w:rFonts w:ascii="微软雅黑" w:hAnsi="微软雅黑" w:eastAsia="微软雅黑" w:cs="微软雅黑"/>
          <w:sz w:val="24"/>
          <w:szCs w:val="24"/>
        </w:rPr>
        <w:t>−</w:t>
      </w:r>
      <w:r>
        <w:rPr>
          <w:rFonts w:ascii="微软雅黑" w:hAnsi="微软雅黑" w:eastAsia="微软雅黑" w:cs="微软雅黑"/>
          <w:spacing w:val="-20"/>
          <w:sz w:val="24"/>
          <w:szCs w:val="24"/>
        </w:rPr>
        <w:t xml:space="preserve"> </w:t>
      </w:r>
      <w:r>
        <w:rPr>
          <w:rFonts w:ascii="Times New Roman" w:hAnsi="Times New Roman" w:eastAsia="Times New Roman" w:cs="Times New Roman"/>
          <w:i/>
          <w:iCs/>
          <w:sz w:val="24"/>
          <w:szCs w:val="24"/>
        </w:rPr>
        <w:t>pH</w:t>
      </w:r>
      <w:r>
        <w:rPr>
          <w:rFonts w:ascii="Times New Roman" w:hAnsi="Times New Roman" w:eastAsia="Times New Roman" w:cs="Times New Roman"/>
          <w:i/>
          <w:iCs/>
          <w:position w:val="-5"/>
          <w:sz w:val="14"/>
          <w:szCs w:val="14"/>
        </w:rPr>
        <w:t>sd</w:t>
      </w:r>
    </w:p>
    <w:p>
      <w:pPr>
        <w:spacing w:before="162" w:line="233" w:lineRule="exact"/>
        <w:ind w:left="2790"/>
        <w:rPr>
          <w:rFonts w:ascii="Times New Roman" w:hAnsi="Times New Roman" w:eastAsia="Times New Roman" w:cs="Times New Roman"/>
          <w:sz w:val="24"/>
          <w:szCs w:val="24"/>
        </w:rPr>
      </w:pPr>
      <w:r>
        <w:rPr>
          <w:rFonts w:ascii="Times New Roman" w:hAnsi="Times New Roman" w:eastAsia="Times New Roman" w:cs="Times New Roman"/>
          <w:i/>
          <w:iCs/>
          <w:position w:val="3"/>
          <w:sz w:val="24"/>
          <w:szCs w:val="24"/>
        </w:rPr>
        <w:t>pH</w:t>
      </w:r>
      <w:r>
        <w:rPr>
          <w:rFonts w:ascii="Times New Roman" w:hAnsi="Times New Roman" w:eastAsia="Times New Roman" w:cs="Times New Roman"/>
          <w:i/>
          <w:iCs/>
          <w:position w:val="-2"/>
          <w:sz w:val="14"/>
          <w:szCs w:val="14"/>
        </w:rPr>
        <w:t>j</w:t>
      </w:r>
      <w:r>
        <w:rPr>
          <w:rFonts w:ascii="Times New Roman" w:hAnsi="Times New Roman" w:eastAsia="Times New Roman" w:cs="Times New Roman"/>
          <w:i/>
          <w:iCs/>
          <w:spacing w:val="11"/>
          <w:position w:val="-2"/>
          <w:sz w:val="14"/>
          <w:szCs w:val="14"/>
        </w:rPr>
        <w:t xml:space="preserve">  </w:t>
      </w:r>
      <w:r>
        <w:rPr>
          <w:rFonts w:ascii="微软雅黑" w:hAnsi="微软雅黑" w:eastAsia="微软雅黑" w:cs="微软雅黑"/>
          <w:spacing w:val="5"/>
          <w:position w:val="3"/>
          <w:sz w:val="24"/>
          <w:szCs w:val="24"/>
        </w:rPr>
        <w:t>−</w:t>
      </w:r>
      <w:r>
        <w:rPr>
          <w:rFonts w:ascii="微软雅黑" w:hAnsi="微软雅黑" w:eastAsia="微软雅黑" w:cs="微软雅黑"/>
          <w:spacing w:val="-19"/>
          <w:position w:val="3"/>
          <w:sz w:val="24"/>
          <w:szCs w:val="24"/>
        </w:rPr>
        <w:t xml:space="preserve"> </w:t>
      </w:r>
      <w:r>
        <w:rPr>
          <w:rFonts w:ascii="Times New Roman" w:hAnsi="Times New Roman" w:eastAsia="Times New Roman" w:cs="Times New Roman"/>
          <w:spacing w:val="5"/>
          <w:position w:val="3"/>
          <w:sz w:val="24"/>
          <w:szCs w:val="24"/>
        </w:rPr>
        <w:t>7.0</w:t>
      </w:r>
    </w:p>
    <w:p>
      <w:pPr>
        <w:spacing w:line="157" w:lineRule="exact"/>
        <w:ind w:left="214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S</w:t>
      </w:r>
      <w:r>
        <w:rPr>
          <w:rFonts w:ascii="Times New Roman" w:hAnsi="Times New Roman" w:eastAsia="Times New Roman" w:cs="Times New Roman"/>
          <w:spacing w:val="-2"/>
          <w:position w:val="-1"/>
          <w:sz w:val="13"/>
          <w:szCs w:val="13"/>
        </w:rPr>
        <w:t xml:space="preserve">pH,j </w:t>
      </w:r>
      <w:r>
        <w:rPr>
          <w:rFonts w:ascii="宋体" w:hAnsi="宋体" w:eastAsia="宋体" w:cs="宋体"/>
          <w:spacing w:val="-2"/>
          <w:sz w:val="21"/>
          <w:szCs w:val="21"/>
        </w:rPr>
        <w:t>＝</w:t>
      </w:r>
      <w:r>
        <w:rPr>
          <w:rFonts w:ascii="宋体" w:hAnsi="宋体" w:eastAsia="宋体" w:cs="宋体"/>
          <w:spacing w:val="-66"/>
          <w:sz w:val="21"/>
          <w:szCs w:val="21"/>
        </w:rPr>
        <w:t xml:space="preserve"> </w:t>
      </w:r>
      <w:r>
        <w:rPr>
          <w:rFonts w:ascii="宋体" w:hAnsi="宋体" w:eastAsia="宋体" w:cs="宋体"/>
          <w:strike/>
          <w:spacing w:val="1"/>
          <w:sz w:val="21"/>
          <w:szCs w:val="21"/>
        </w:rPr>
        <w:t xml:space="preserve">          </w:t>
      </w:r>
      <w:r>
        <w:rPr>
          <w:rFonts w:ascii="宋体" w:hAnsi="宋体" w:eastAsia="宋体" w:cs="宋体"/>
          <w:spacing w:val="3"/>
          <w:sz w:val="21"/>
          <w:szCs w:val="21"/>
        </w:rPr>
        <w:t xml:space="preserve">                  </w:t>
      </w:r>
      <w:r>
        <w:rPr>
          <w:rFonts w:ascii="Times New Roman" w:hAnsi="Times New Roman" w:eastAsia="Times New Roman" w:cs="Times New Roman"/>
          <w:spacing w:val="-2"/>
          <w:sz w:val="21"/>
          <w:szCs w:val="21"/>
        </w:rPr>
        <w:t>pH&gt;7.0</w:t>
      </w:r>
    </w:p>
    <w:p>
      <w:pPr>
        <w:spacing w:before="1" w:line="175" w:lineRule="auto"/>
        <w:ind w:left="2760"/>
        <w:rPr>
          <w:rFonts w:ascii="Times New Roman" w:hAnsi="Times New Roman" w:eastAsia="Times New Roman" w:cs="Times New Roman"/>
          <w:sz w:val="24"/>
          <w:szCs w:val="24"/>
        </w:rPr>
      </w:pPr>
      <w:r>
        <w:rPr>
          <w:rFonts w:ascii="Times New Roman" w:hAnsi="Times New Roman" w:eastAsia="Times New Roman" w:cs="Times New Roman"/>
          <w:i/>
          <w:iCs/>
          <w:spacing w:val="-1"/>
          <w:sz w:val="24"/>
          <w:szCs w:val="24"/>
        </w:rPr>
        <w:t>pH</w:t>
      </w:r>
      <w:r>
        <w:rPr>
          <w:rFonts w:ascii="Times New Roman" w:hAnsi="Times New Roman" w:eastAsia="Times New Roman" w:cs="Times New Roman"/>
          <w:i/>
          <w:iCs/>
          <w:spacing w:val="-1"/>
          <w:position w:val="-5"/>
          <w:sz w:val="14"/>
          <w:szCs w:val="14"/>
        </w:rPr>
        <w:t>su</w:t>
      </w:r>
      <w:r>
        <w:rPr>
          <w:rFonts w:ascii="Times New Roman" w:hAnsi="Times New Roman" w:eastAsia="Times New Roman" w:cs="Times New Roman"/>
          <w:i/>
          <w:iCs/>
          <w:spacing w:val="12"/>
          <w:w w:val="101"/>
          <w:position w:val="-5"/>
          <w:sz w:val="14"/>
          <w:szCs w:val="14"/>
        </w:rPr>
        <w:t xml:space="preserve">  </w:t>
      </w:r>
      <w:r>
        <w:rPr>
          <w:rFonts w:ascii="微软雅黑" w:hAnsi="微软雅黑" w:eastAsia="微软雅黑" w:cs="微软雅黑"/>
          <w:spacing w:val="-1"/>
          <w:sz w:val="24"/>
          <w:szCs w:val="24"/>
        </w:rPr>
        <w:t>−</w:t>
      </w:r>
      <w:r>
        <w:rPr>
          <w:rFonts w:ascii="微软雅黑" w:hAnsi="微软雅黑" w:eastAsia="微软雅黑" w:cs="微软雅黑"/>
          <w:spacing w:val="-18"/>
          <w:sz w:val="24"/>
          <w:szCs w:val="24"/>
        </w:rPr>
        <w:t xml:space="preserve"> </w:t>
      </w:r>
      <w:r>
        <w:rPr>
          <w:rFonts w:ascii="Times New Roman" w:hAnsi="Times New Roman" w:eastAsia="Times New Roman" w:cs="Times New Roman"/>
          <w:spacing w:val="-1"/>
          <w:sz w:val="24"/>
          <w:szCs w:val="24"/>
        </w:rPr>
        <w:t>7.0</w:t>
      </w:r>
    </w:p>
    <w:p>
      <w:pPr>
        <w:spacing w:before="131" w:line="203" w:lineRule="auto"/>
        <w:ind w:left="461"/>
        <w:rPr>
          <w:rFonts w:ascii="宋体" w:hAnsi="宋体" w:eastAsia="宋体" w:cs="宋体"/>
          <w:sz w:val="21"/>
          <w:szCs w:val="21"/>
        </w:rPr>
      </w:pPr>
      <w:r>
        <w:rPr>
          <w:rFonts w:ascii="宋体" w:hAnsi="宋体" w:eastAsia="宋体" w:cs="宋体"/>
          <w:spacing w:val="-31"/>
          <w:sz w:val="21"/>
          <w:szCs w:val="21"/>
        </w:rPr>
        <w:t>式中：</w:t>
      </w:r>
      <w:r>
        <w:rPr>
          <w:rFonts w:ascii="宋体" w:hAnsi="宋体" w:eastAsia="宋体" w:cs="宋体"/>
          <w:spacing w:val="6"/>
          <w:sz w:val="21"/>
          <w:szCs w:val="21"/>
        </w:rPr>
        <w:t xml:space="preserve"> </w:t>
      </w:r>
      <w:r>
        <w:rPr>
          <w:rFonts w:ascii="Times New Roman" w:hAnsi="Times New Roman" w:eastAsia="Times New Roman" w:cs="Times New Roman"/>
          <w:spacing w:val="-31"/>
          <w:sz w:val="21"/>
          <w:szCs w:val="21"/>
        </w:rPr>
        <w:t>S</w:t>
      </w:r>
      <w:r>
        <w:rPr>
          <w:rFonts w:ascii="Times New Roman" w:hAnsi="Times New Roman" w:eastAsia="Times New Roman" w:cs="Times New Roman"/>
          <w:position w:val="-1"/>
          <w:sz w:val="13"/>
          <w:szCs w:val="13"/>
        </w:rPr>
        <w:t>pH,j</w:t>
      </w:r>
      <w:r>
        <w:rPr>
          <w:rFonts w:ascii="Times New Roman" w:hAnsi="Times New Roman" w:eastAsia="Times New Roman" w:cs="Times New Roman"/>
          <w:sz w:val="21"/>
          <w:szCs w:val="21"/>
        </w:rPr>
        <w:t xml:space="preserve">——pH </w:t>
      </w:r>
      <w:r>
        <w:rPr>
          <w:rFonts w:ascii="宋体" w:hAnsi="宋体" w:eastAsia="宋体" w:cs="宋体"/>
          <w:sz w:val="21"/>
          <w:szCs w:val="21"/>
        </w:rPr>
        <w:t>值的指数，大于</w:t>
      </w:r>
      <w:r>
        <w:rPr>
          <w:rFonts w:ascii="宋体" w:hAnsi="宋体" w:eastAsia="宋体" w:cs="宋体"/>
          <w:spacing w:val="-27"/>
          <w:sz w:val="21"/>
          <w:szCs w:val="21"/>
        </w:rPr>
        <w:t xml:space="preserve"> </w:t>
      </w:r>
      <w:r>
        <w:rPr>
          <w:rFonts w:ascii="Times New Roman" w:hAnsi="Times New Roman" w:eastAsia="Times New Roman" w:cs="Times New Roman"/>
          <w:sz w:val="21"/>
          <w:szCs w:val="21"/>
        </w:rPr>
        <w:t xml:space="preserve">1 </w:t>
      </w:r>
      <w:r>
        <w:rPr>
          <w:rFonts w:ascii="宋体" w:hAnsi="宋体" w:eastAsia="宋体" w:cs="宋体"/>
          <w:sz w:val="21"/>
          <w:szCs w:val="21"/>
        </w:rPr>
        <w:t>表明该水质因子超</w:t>
      </w:r>
      <w:r>
        <w:rPr>
          <w:rFonts w:ascii="宋体" w:hAnsi="宋体" w:eastAsia="宋体" w:cs="宋体"/>
          <w:spacing w:val="-1"/>
          <w:sz w:val="21"/>
          <w:szCs w:val="21"/>
        </w:rPr>
        <w:t>标；</w:t>
      </w:r>
    </w:p>
    <w:p>
      <w:pPr>
        <w:spacing w:line="203" w:lineRule="auto"/>
        <w:rPr>
          <w:rFonts w:ascii="宋体" w:hAnsi="宋体" w:eastAsia="宋体" w:cs="宋体"/>
          <w:sz w:val="21"/>
          <w:szCs w:val="21"/>
        </w:rPr>
        <w:sectPr>
          <w:type w:val="continuous"/>
          <w:pgSz w:w="11907" w:h="16839"/>
          <w:pgMar w:top="1118" w:right="1769" w:bottom="1151" w:left="1771" w:header="879" w:footer="990" w:gutter="0"/>
          <w:cols w:equalWidth="0" w:num="1">
            <w:col w:w="8366"/>
          </w:cols>
        </w:sectPr>
      </w:pPr>
    </w:p>
    <w:p>
      <w:pPr>
        <w:pStyle w:val="2"/>
        <w:spacing w:line="281" w:lineRule="auto"/>
      </w:pPr>
    </w:p>
    <w:p>
      <w:pPr>
        <w:spacing w:before="69" w:line="408" w:lineRule="exact"/>
        <w:ind w:left="1163"/>
        <w:rPr>
          <w:rFonts w:ascii="宋体" w:hAnsi="宋体" w:eastAsia="宋体" w:cs="宋体"/>
          <w:sz w:val="21"/>
          <w:szCs w:val="21"/>
        </w:rPr>
      </w:pPr>
      <w:r>
        <w:rPr>
          <w:rFonts w:ascii="Times New Roman" w:hAnsi="Times New Roman" w:eastAsia="Times New Roman" w:cs="Times New Roman"/>
          <w:spacing w:val="-2"/>
          <w:position w:val="15"/>
          <w:sz w:val="21"/>
          <w:szCs w:val="21"/>
        </w:rPr>
        <w:t>pH</w:t>
      </w:r>
      <w:r>
        <w:rPr>
          <w:rFonts w:ascii="Times New Roman" w:hAnsi="Times New Roman" w:eastAsia="Times New Roman" w:cs="Times New Roman"/>
          <w:spacing w:val="-2"/>
          <w:position w:val="14"/>
          <w:sz w:val="13"/>
          <w:szCs w:val="13"/>
        </w:rPr>
        <w:t>j</w:t>
      </w:r>
      <w:r>
        <w:rPr>
          <w:rFonts w:ascii="Times New Roman" w:hAnsi="Times New Roman" w:eastAsia="Times New Roman" w:cs="Times New Roman"/>
          <w:spacing w:val="-2"/>
          <w:position w:val="15"/>
          <w:sz w:val="21"/>
          <w:szCs w:val="21"/>
        </w:rPr>
        <w:t xml:space="preserve">——pH </w:t>
      </w:r>
      <w:r>
        <w:rPr>
          <w:rFonts w:ascii="宋体" w:hAnsi="宋体" w:eastAsia="宋体" w:cs="宋体"/>
          <w:spacing w:val="-2"/>
          <w:position w:val="15"/>
          <w:sz w:val="21"/>
          <w:szCs w:val="21"/>
        </w:rPr>
        <w:t>值实测统计代表值；</w:t>
      </w:r>
    </w:p>
    <w:p>
      <w:pPr>
        <w:spacing w:before="1" w:line="216" w:lineRule="auto"/>
        <w:ind w:left="1163"/>
        <w:rPr>
          <w:rFonts w:ascii="宋体" w:hAnsi="宋体" w:eastAsia="宋体" w:cs="宋体"/>
          <w:sz w:val="21"/>
          <w:szCs w:val="21"/>
        </w:rPr>
      </w:pPr>
      <w:r>
        <w:rPr>
          <w:rFonts w:ascii="Times New Roman" w:hAnsi="Times New Roman" w:eastAsia="Times New Roman" w:cs="Times New Roman"/>
          <w:spacing w:val="-2"/>
          <w:sz w:val="21"/>
          <w:szCs w:val="21"/>
        </w:rPr>
        <w:t>pH</w:t>
      </w:r>
      <w:r>
        <w:rPr>
          <w:rFonts w:ascii="Times New Roman" w:hAnsi="Times New Roman" w:eastAsia="Times New Roman" w:cs="Times New Roman"/>
          <w:spacing w:val="-2"/>
          <w:position w:val="-1"/>
          <w:sz w:val="13"/>
          <w:szCs w:val="13"/>
        </w:rPr>
        <w:t>sd</w:t>
      </w:r>
      <w:r>
        <w:rPr>
          <w:rFonts w:ascii="Times New Roman" w:hAnsi="Times New Roman" w:eastAsia="Times New Roman" w:cs="Times New Roman"/>
          <w:spacing w:val="-2"/>
          <w:sz w:val="21"/>
          <w:szCs w:val="21"/>
        </w:rPr>
        <w:t>——</w:t>
      </w:r>
      <w:r>
        <w:rPr>
          <w:rFonts w:ascii="宋体" w:hAnsi="宋体" w:eastAsia="宋体" w:cs="宋体"/>
          <w:spacing w:val="-2"/>
          <w:sz w:val="21"/>
          <w:szCs w:val="21"/>
        </w:rPr>
        <w:t>评价标准规定下限值；</w:t>
      </w:r>
    </w:p>
    <w:p>
      <w:pPr>
        <w:spacing w:before="161" w:line="217" w:lineRule="auto"/>
        <w:ind w:left="1163"/>
        <w:rPr>
          <w:rFonts w:ascii="宋体" w:hAnsi="宋体" w:eastAsia="宋体" w:cs="宋体"/>
          <w:sz w:val="21"/>
          <w:szCs w:val="21"/>
        </w:rPr>
      </w:pPr>
      <w:r>
        <w:rPr>
          <w:rFonts w:ascii="Times New Roman" w:hAnsi="Times New Roman" w:eastAsia="Times New Roman" w:cs="Times New Roman"/>
          <w:spacing w:val="-1"/>
          <w:sz w:val="21"/>
          <w:szCs w:val="21"/>
        </w:rPr>
        <w:t>pH</w:t>
      </w:r>
      <w:r>
        <w:rPr>
          <w:rFonts w:ascii="Times New Roman" w:hAnsi="Times New Roman" w:eastAsia="Times New Roman" w:cs="Times New Roman"/>
          <w:spacing w:val="-1"/>
          <w:position w:val="-1"/>
          <w:sz w:val="13"/>
          <w:szCs w:val="13"/>
        </w:rPr>
        <w:t>su</w:t>
      </w:r>
      <w:r>
        <w:rPr>
          <w:rFonts w:ascii="Times New Roman" w:hAnsi="Times New Roman" w:eastAsia="Times New Roman" w:cs="Times New Roman"/>
          <w:spacing w:val="-1"/>
          <w:sz w:val="21"/>
          <w:szCs w:val="21"/>
        </w:rPr>
        <w:t>——</w:t>
      </w:r>
      <w:r>
        <w:rPr>
          <w:rFonts w:ascii="宋体" w:hAnsi="宋体" w:eastAsia="宋体" w:cs="宋体"/>
          <w:spacing w:val="-1"/>
          <w:sz w:val="21"/>
          <w:szCs w:val="21"/>
        </w:rPr>
        <w:t>评价标准规定上限值。</w:t>
      </w:r>
    </w:p>
    <w:p>
      <w:pPr>
        <w:spacing w:before="170" w:line="218" w:lineRule="auto"/>
        <w:ind w:left="596"/>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）评价结论</w:t>
      </w:r>
    </w:p>
    <w:p>
      <w:pPr>
        <w:spacing w:before="181" w:line="220" w:lineRule="auto"/>
        <w:ind w:left="608"/>
        <w:rPr>
          <w:rFonts w:ascii="宋体" w:hAnsi="宋体" w:eastAsia="宋体" w:cs="宋体"/>
          <w:sz w:val="24"/>
          <w:szCs w:val="24"/>
        </w:rPr>
      </w:pPr>
      <w:r>
        <w:rPr>
          <w:rFonts w:ascii="宋体" w:hAnsi="宋体" w:eastAsia="宋体" w:cs="宋体"/>
          <w:spacing w:val="-5"/>
          <w:sz w:val="24"/>
          <w:szCs w:val="24"/>
        </w:rPr>
        <w:t>高岭头二级水库水质监测结果如下：</w:t>
      </w:r>
    </w:p>
    <w:p>
      <w:pPr>
        <w:spacing w:before="181" w:line="220" w:lineRule="auto"/>
        <w:ind w:left="267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4.2-7        </w:t>
      </w:r>
      <w:r>
        <w:rPr>
          <w:rFonts w:ascii="宋体" w:hAnsi="宋体" w:eastAsia="宋体" w:cs="宋体"/>
          <w:spacing w:val="-1"/>
          <w:sz w:val="24"/>
          <w:szCs w:val="24"/>
        </w:rPr>
        <w:t>地表水监测结果表</w:t>
      </w:r>
    </w:p>
    <w:p>
      <w:pPr>
        <w:spacing w:line="143" w:lineRule="exact"/>
      </w:pPr>
    </w:p>
    <w:tbl>
      <w:tblPr>
        <w:tblStyle w:val="5"/>
        <w:tblW w:w="8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1"/>
        <w:gridCol w:w="1161"/>
        <w:gridCol w:w="875"/>
        <w:gridCol w:w="878"/>
        <w:gridCol w:w="881"/>
        <w:gridCol w:w="875"/>
        <w:gridCol w:w="880"/>
        <w:gridCol w:w="962"/>
        <w:gridCol w:w="7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991" w:type="dxa"/>
            <w:vAlign w:val="top"/>
          </w:tcPr>
          <w:p>
            <w:pPr>
              <w:pStyle w:val="6"/>
              <w:spacing w:before="34" w:line="224" w:lineRule="auto"/>
              <w:ind w:left="393" w:right="175" w:hanging="207"/>
            </w:pPr>
            <w:r>
              <w:rPr>
                <w:spacing w:val="-2"/>
              </w:rPr>
              <w:t>监测点</w:t>
            </w:r>
            <w:r>
              <w:t xml:space="preserve"> 位</w:t>
            </w:r>
          </w:p>
        </w:tc>
        <w:tc>
          <w:tcPr>
            <w:tcW w:w="1161" w:type="dxa"/>
            <w:vAlign w:val="top"/>
          </w:tcPr>
          <w:p>
            <w:pPr>
              <w:pStyle w:val="6"/>
              <w:spacing w:before="171" w:line="220" w:lineRule="auto"/>
              <w:ind w:left="163"/>
            </w:pPr>
            <w:r>
              <w:rPr>
                <w:spacing w:val="-1"/>
              </w:rPr>
              <w:t>采样时间</w:t>
            </w:r>
          </w:p>
        </w:tc>
        <w:tc>
          <w:tcPr>
            <w:tcW w:w="875" w:type="dxa"/>
            <w:vAlign w:val="top"/>
          </w:tcPr>
          <w:p>
            <w:pPr>
              <w:pStyle w:val="6"/>
              <w:spacing w:before="34" w:line="224" w:lineRule="auto"/>
              <w:ind w:left="338" w:right="117" w:hanging="212"/>
            </w:pPr>
            <w:r>
              <w:rPr>
                <w:spacing w:val="-2"/>
              </w:rPr>
              <w:t>样品性</w:t>
            </w:r>
            <w:r>
              <w:rPr>
                <w:spacing w:val="1"/>
              </w:rPr>
              <w:t xml:space="preserve"> </w:t>
            </w:r>
            <w:r>
              <w:t>状</w:t>
            </w:r>
          </w:p>
        </w:tc>
        <w:tc>
          <w:tcPr>
            <w:tcW w:w="878" w:type="dxa"/>
            <w:vAlign w:val="top"/>
          </w:tcPr>
          <w:p>
            <w:pPr>
              <w:pStyle w:val="6"/>
              <w:spacing w:before="34" w:line="224" w:lineRule="auto"/>
              <w:ind w:left="378" w:right="119" w:hanging="251"/>
            </w:pPr>
            <w:r>
              <w:rPr>
                <w:spacing w:val="-2"/>
              </w:rPr>
              <w:t>检测项</w:t>
            </w:r>
            <w:r>
              <w:t xml:space="preserve"> 目</w:t>
            </w:r>
          </w:p>
        </w:tc>
        <w:tc>
          <w:tcPr>
            <w:tcW w:w="881" w:type="dxa"/>
            <w:vAlign w:val="top"/>
          </w:tcPr>
          <w:p>
            <w:pPr>
              <w:pStyle w:val="6"/>
              <w:spacing w:before="171" w:line="221" w:lineRule="auto"/>
              <w:ind w:left="235"/>
            </w:pPr>
            <w:r>
              <w:rPr>
                <w:spacing w:val="-2"/>
              </w:rPr>
              <w:t>单位</w:t>
            </w:r>
          </w:p>
        </w:tc>
        <w:tc>
          <w:tcPr>
            <w:tcW w:w="875" w:type="dxa"/>
            <w:vAlign w:val="top"/>
          </w:tcPr>
          <w:p>
            <w:pPr>
              <w:pStyle w:val="6"/>
              <w:spacing w:before="171" w:line="221" w:lineRule="auto"/>
              <w:ind w:left="233"/>
            </w:pPr>
            <w:r>
              <w:rPr>
                <w:spacing w:val="-2"/>
              </w:rPr>
              <w:t>上游</w:t>
            </w:r>
          </w:p>
        </w:tc>
        <w:tc>
          <w:tcPr>
            <w:tcW w:w="880" w:type="dxa"/>
            <w:vAlign w:val="top"/>
          </w:tcPr>
          <w:p>
            <w:pPr>
              <w:pStyle w:val="6"/>
              <w:spacing w:before="171" w:line="221" w:lineRule="auto"/>
              <w:ind w:left="241"/>
            </w:pPr>
            <w:r>
              <w:rPr>
                <w:spacing w:val="-4"/>
              </w:rPr>
              <w:t>下游</w:t>
            </w:r>
          </w:p>
        </w:tc>
        <w:tc>
          <w:tcPr>
            <w:tcW w:w="962" w:type="dxa"/>
            <w:vAlign w:val="top"/>
          </w:tcPr>
          <w:p>
            <w:pPr>
              <w:pStyle w:val="6"/>
              <w:spacing w:before="170" w:line="221" w:lineRule="auto"/>
              <w:ind w:left="175"/>
            </w:pPr>
            <w:r>
              <w:rPr>
                <w:spacing w:val="-2"/>
              </w:rPr>
              <w:t>标准值</w:t>
            </w:r>
          </w:p>
        </w:tc>
        <w:tc>
          <w:tcPr>
            <w:tcW w:w="799" w:type="dxa"/>
            <w:vAlign w:val="top"/>
          </w:tcPr>
          <w:p>
            <w:pPr>
              <w:pStyle w:val="6"/>
              <w:spacing w:before="33" w:line="241" w:lineRule="auto"/>
              <w:ind w:left="192"/>
            </w:pPr>
            <w:r>
              <w:rPr>
                <w:spacing w:val="-2"/>
              </w:rPr>
              <w:t>达标</w:t>
            </w:r>
          </w:p>
          <w:p>
            <w:pPr>
              <w:pStyle w:val="6"/>
              <w:spacing w:line="207" w:lineRule="auto"/>
              <w:ind w:left="194"/>
            </w:pPr>
            <w:r>
              <w:rPr>
                <w:spacing w:val="-2"/>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9" w:line="229" w:lineRule="auto"/>
              <w:ind w:left="185" w:right="175" w:firstLine="5"/>
            </w:pPr>
            <w:r>
              <w:rPr>
                <w:spacing w:val="-4"/>
              </w:rPr>
              <w:t>高岭头</w:t>
            </w:r>
            <w:r>
              <w:t xml:space="preserve"> </w:t>
            </w:r>
            <w:r>
              <w:rPr>
                <w:spacing w:val="-2"/>
              </w:rPr>
              <w:t>特大桥</w:t>
            </w:r>
          </w:p>
        </w:tc>
        <w:tc>
          <w:tcPr>
            <w:tcW w:w="1161"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60" w:line="187" w:lineRule="auto"/>
              <w:ind w:left="1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2023.12.02</w:t>
            </w:r>
          </w:p>
        </w:tc>
        <w:tc>
          <w:tcPr>
            <w:tcW w:w="875"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8" w:line="229" w:lineRule="auto"/>
              <w:ind w:left="357" w:right="117" w:hanging="229"/>
            </w:pPr>
            <w:r>
              <w:rPr>
                <w:spacing w:val="-3"/>
              </w:rPr>
              <w:t>无色透</w:t>
            </w:r>
            <w:r>
              <w:rPr>
                <w:spacing w:val="1"/>
              </w:rPr>
              <w:t xml:space="preserve"> </w:t>
            </w:r>
            <w:r>
              <w:t>明</w:t>
            </w:r>
          </w:p>
        </w:tc>
        <w:tc>
          <w:tcPr>
            <w:tcW w:w="878" w:type="dxa"/>
            <w:vAlign w:val="top"/>
          </w:tcPr>
          <w:p>
            <w:pPr>
              <w:pStyle w:val="6"/>
              <w:spacing w:before="36" w:line="214" w:lineRule="auto"/>
              <w:ind w:left="176"/>
            </w:pP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1"/>
              </w:rPr>
              <w:t>值</w:t>
            </w:r>
          </w:p>
        </w:tc>
        <w:tc>
          <w:tcPr>
            <w:tcW w:w="881" w:type="dxa"/>
            <w:vAlign w:val="top"/>
          </w:tcPr>
          <w:p>
            <w:pPr>
              <w:pStyle w:val="6"/>
              <w:spacing w:before="36" w:line="214" w:lineRule="auto"/>
              <w:ind w:left="130"/>
            </w:pPr>
            <w:r>
              <w:rPr>
                <w:spacing w:val="-2"/>
              </w:rPr>
              <w:t>无量纲</w:t>
            </w:r>
          </w:p>
        </w:tc>
        <w:tc>
          <w:tcPr>
            <w:tcW w:w="875" w:type="dxa"/>
            <w:vAlign w:val="top"/>
          </w:tcPr>
          <w:p>
            <w:pPr>
              <w:spacing w:before="75"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8.1</w:t>
            </w:r>
          </w:p>
        </w:tc>
        <w:tc>
          <w:tcPr>
            <w:tcW w:w="880" w:type="dxa"/>
            <w:vAlign w:val="top"/>
          </w:tcPr>
          <w:p>
            <w:pPr>
              <w:spacing w:before="75"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8.1</w:t>
            </w:r>
          </w:p>
        </w:tc>
        <w:tc>
          <w:tcPr>
            <w:tcW w:w="962" w:type="dxa"/>
            <w:vAlign w:val="top"/>
          </w:tcPr>
          <w:p>
            <w:pPr>
              <w:spacing w:before="75"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c>
          <w:tcPr>
            <w:tcW w:w="799" w:type="dxa"/>
            <w:vAlign w:val="top"/>
          </w:tcPr>
          <w:p>
            <w:pPr>
              <w:pStyle w:val="6"/>
              <w:spacing w:before="36" w:line="214"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7" w:line="214" w:lineRule="auto"/>
              <w:ind w:left="236"/>
            </w:pPr>
            <w:r>
              <w:rPr>
                <w:spacing w:val="-3"/>
              </w:rPr>
              <w:t>水温</w:t>
            </w:r>
          </w:p>
        </w:tc>
        <w:tc>
          <w:tcPr>
            <w:tcW w:w="881" w:type="dxa"/>
            <w:vAlign w:val="top"/>
          </w:tcPr>
          <w:p>
            <w:pPr>
              <w:pStyle w:val="6"/>
              <w:spacing w:before="37" w:line="214" w:lineRule="auto"/>
              <w:ind w:left="128"/>
            </w:pPr>
            <w:r>
              <w:rPr>
                <w:spacing w:val="-2"/>
              </w:rPr>
              <w:t>摄氏度</w:t>
            </w:r>
          </w:p>
        </w:tc>
        <w:tc>
          <w:tcPr>
            <w:tcW w:w="875" w:type="dxa"/>
            <w:vAlign w:val="top"/>
          </w:tcPr>
          <w:p>
            <w:pPr>
              <w:spacing w:before="76" w:line="187"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w:t>
            </w:r>
          </w:p>
        </w:tc>
        <w:tc>
          <w:tcPr>
            <w:tcW w:w="880" w:type="dxa"/>
            <w:vAlign w:val="top"/>
          </w:tcPr>
          <w:p>
            <w:pPr>
              <w:spacing w:before="76"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w:t>
            </w:r>
          </w:p>
        </w:tc>
        <w:tc>
          <w:tcPr>
            <w:tcW w:w="962" w:type="dxa"/>
            <w:vAlign w:val="top"/>
          </w:tcPr>
          <w:p>
            <w:pPr>
              <w:spacing w:before="164" w:line="100" w:lineRule="exact"/>
              <w:ind w:left="45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99" w:type="dxa"/>
            <w:vAlign w:val="top"/>
          </w:tcPr>
          <w:p>
            <w:pPr>
              <w:spacing w:before="164" w:line="100" w:lineRule="exact"/>
              <w:ind w:left="369"/>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6" w:line="214" w:lineRule="auto"/>
              <w:ind w:left="130"/>
            </w:pPr>
            <w:r>
              <w:rPr>
                <w:spacing w:val="-2"/>
              </w:rPr>
              <w:t>溶解氧</w:t>
            </w:r>
          </w:p>
        </w:tc>
        <w:tc>
          <w:tcPr>
            <w:tcW w:w="881" w:type="dxa"/>
            <w:vAlign w:val="top"/>
          </w:tcPr>
          <w:p>
            <w:pPr>
              <w:spacing w:before="71"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5"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10.2</w:t>
            </w:r>
          </w:p>
        </w:tc>
        <w:tc>
          <w:tcPr>
            <w:tcW w:w="880" w:type="dxa"/>
            <w:vAlign w:val="top"/>
          </w:tcPr>
          <w:p>
            <w:pPr>
              <w:spacing w:before="75"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10.1</w:t>
            </w:r>
          </w:p>
        </w:tc>
        <w:tc>
          <w:tcPr>
            <w:tcW w:w="962" w:type="dxa"/>
            <w:vAlign w:val="top"/>
          </w:tcPr>
          <w:p>
            <w:pPr>
              <w:spacing w:before="75" w:line="203"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1"/>
                <w:sz w:val="18"/>
                <w:szCs w:val="18"/>
              </w:rPr>
              <w:t>≥</w:t>
            </w:r>
            <w:r>
              <w:rPr>
                <w:rFonts w:ascii="Times New Roman" w:hAnsi="Times New Roman" w:eastAsia="Times New Roman" w:cs="Times New Roman"/>
                <w:spacing w:val="-1"/>
                <w:sz w:val="21"/>
                <w:szCs w:val="21"/>
              </w:rPr>
              <w:t>6</w:t>
            </w:r>
          </w:p>
        </w:tc>
        <w:tc>
          <w:tcPr>
            <w:tcW w:w="799" w:type="dxa"/>
            <w:vAlign w:val="top"/>
          </w:tcPr>
          <w:p>
            <w:pPr>
              <w:pStyle w:val="6"/>
              <w:spacing w:before="36" w:line="214"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7" w:line="213" w:lineRule="auto"/>
              <w:ind w:left="233"/>
            </w:pPr>
            <w:r>
              <w:rPr>
                <w:spacing w:val="-2"/>
              </w:rPr>
              <w:t>氨氮</w:t>
            </w:r>
          </w:p>
        </w:tc>
        <w:tc>
          <w:tcPr>
            <w:tcW w:w="881" w:type="dxa"/>
            <w:vAlign w:val="top"/>
          </w:tcPr>
          <w:p>
            <w:pPr>
              <w:spacing w:before="72"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5"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0.058</w:t>
            </w:r>
          </w:p>
        </w:tc>
        <w:tc>
          <w:tcPr>
            <w:tcW w:w="880" w:type="dxa"/>
            <w:vAlign w:val="top"/>
          </w:tcPr>
          <w:p>
            <w:pPr>
              <w:spacing w:before="75"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0.054</w:t>
            </w:r>
          </w:p>
        </w:tc>
        <w:tc>
          <w:tcPr>
            <w:tcW w:w="962" w:type="dxa"/>
            <w:vAlign w:val="top"/>
          </w:tcPr>
          <w:p>
            <w:pPr>
              <w:spacing w:before="72" w:line="206"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c>
          <w:tcPr>
            <w:tcW w:w="799" w:type="dxa"/>
            <w:vAlign w:val="top"/>
          </w:tcPr>
          <w:p>
            <w:pPr>
              <w:pStyle w:val="6"/>
              <w:spacing w:before="37" w:line="213"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29" w:line="224" w:lineRule="auto"/>
              <w:ind w:left="129" w:right="119" w:firstLine="4"/>
            </w:pPr>
            <w:r>
              <w:rPr>
                <w:spacing w:val="-4"/>
              </w:rPr>
              <w:t>高锰酸</w:t>
            </w:r>
            <w:r>
              <w:t xml:space="preserve"> </w:t>
            </w:r>
            <w:r>
              <w:rPr>
                <w:spacing w:val="-3"/>
              </w:rPr>
              <w:t>盐指数</w:t>
            </w:r>
          </w:p>
        </w:tc>
        <w:tc>
          <w:tcPr>
            <w:tcW w:w="881" w:type="dxa"/>
            <w:vAlign w:val="top"/>
          </w:tcPr>
          <w:p>
            <w:pPr>
              <w:spacing w:before="201"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205"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w:t>
            </w:r>
          </w:p>
        </w:tc>
        <w:tc>
          <w:tcPr>
            <w:tcW w:w="880" w:type="dxa"/>
            <w:vAlign w:val="top"/>
          </w:tcPr>
          <w:p>
            <w:pPr>
              <w:spacing w:before="205"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0.8</w:t>
            </w:r>
          </w:p>
        </w:tc>
        <w:tc>
          <w:tcPr>
            <w:tcW w:w="962" w:type="dxa"/>
            <w:vAlign w:val="top"/>
          </w:tcPr>
          <w:p>
            <w:pPr>
              <w:spacing w:before="202" w:line="219"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w:t>
            </w:r>
          </w:p>
        </w:tc>
        <w:tc>
          <w:tcPr>
            <w:tcW w:w="799" w:type="dxa"/>
            <w:vAlign w:val="top"/>
          </w:tcPr>
          <w:p>
            <w:pPr>
              <w:pStyle w:val="6"/>
              <w:spacing w:before="167" w:line="221"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7" w:line="213" w:lineRule="auto"/>
              <w:ind w:left="239"/>
            </w:pPr>
            <w:r>
              <w:rPr>
                <w:spacing w:val="-3"/>
              </w:rPr>
              <w:t>总磷</w:t>
            </w:r>
          </w:p>
        </w:tc>
        <w:tc>
          <w:tcPr>
            <w:tcW w:w="881" w:type="dxa"/>
            <w:vAlign w:val="top"/>
          </w:tcPr>
          <w:p>
            <w:pPr>
              <w:spacing w:before="72"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6"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w:t>
            </w:r>
          </w:p>
        </w:tc>
        <w:tc>
          <w:tcPr>
            <w:tcW w:w="880" w:type="dxa"/>
            <w:vAlign w:val="top"/>
          </w:tcPr>
          <w:p>
            <w:pPr>
              <w:spacing w:before="76"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0.015</w:t>
            </w:r>
          </w:p>
        </w:tc>
        <w:tc>
          <w:tcPr>
            <w:tcW w:w="962" w:type="dxa"/>
            <w:vAlign w:val="top"/>
          </w:tcPr>
          <w:p>
            <w:pPr>
              <w:spacing w:before="72" w:line="206" w:lineRule="auto"/>
              <w:ind w:left="190"/>
              <w:rPr>
                <w:rFonts w:ascii="Times New Roman" w:hAnsi="Times New Roman" w:eastAsia="Times New Roman" w:cs="Times New Roman"/>
                <w:sz w:val="21"/>
                <w:szCs w:val="21"/>
              </w:rPr>
            </w:pPr>
            <w:r>
              <w:rPr>
                <w:rFonts w:ascii="Times New Roman" w:hAnsi="Times New Roman" w:eastAsia="Times New Roman" w:cs="Times New Roman"/>
                <w:sz w:val="21"/>
                <w:szCs w:val="21"/>
              </w:rPr>
              <w:t>≤0.025</w:t>
            </w:r>
          </w:p>
        </w:tc>
        <w:tc>
          <w:tcPr>
            <w:tcW w:w="799" w:type="dxa"/>
            <w:vAlign w:val="top"/>
          </w:tcPr>
          <w:p>
            <w:pPr>
              <w:pStyle w:val="6"/>
              <w:spacing w:before="37" w:line="213"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spacing w:before="76" w:line="196" w:lineRule="auto"/>
              <w:ind w:left="183"/>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1"/>
                <w:sz w:val="13"/>
                <w:szCs w:val="13"/>
              </w:rPr>
              <w:t>5</w:t>
            </w:r>
          </w:p>
        </w:tc>
        <w:tc>
          <w:tcPr>
            <w:tcW w:w="881" w:type="dxa"/>
            <w:vAlign w:val="top"/>
          </w:tcPr>
          <w:p>
            <w:pPr>
              <w:spacing w:before="72"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pStyle w:val="6"/>
              <w:spacing w:before="37" w:line="213" w:lineRule="auto"/>
              <w:ind w:left="168"/>
              <w:rPr>
                <w:rFonts w:ascii="Times New Roman" w:hAnsi="Times New Roman" w:eastAsia="Times New Roman" w:cs="Times New Roman"/>
              </w:rPr>
            </w:pPr>
            <w:r>
              <w:rPr>
                <w:spacing w:val="-5"/>
              </w:rPr>
              <w:t>＜</w:t>
            </w:r>
            <w:r>
              <w:rPr>
                <w:rFonts w:ascii="Times New Roman" w:hAnsi="Times New Roman" w:eastAsia="Times New Roman" w:cs="Times New Roman"/>
                <w:spacing w:val="-5"/>
              </w:rPr>
              <w:t>0.05</w:t>
            </w:r>
          </w:p>
        </w:tc>
        <w:tc>
          <w:tcPr>
            <w:tcW w:w="880" w:type="dxa"/>
            <w:vAlign w:val="top"/>
          </w:tcPr>
          <w:p>
            <w:pPr>
              <w:pStyle w:val="6"/>
              <w:spacing w:before="37" w:line="213" w:lineRule="auto"/>
              <w:ind w:left="171"/>
              <w:rPr>
                <w:rFonts w:ascii="Times New Roman" w:hAnsi="Times New Roman" w:eastAsia="Times New Roman" w:cs="Times New Roman"/>
              </w:rPr>
            </w:pPr>
            <w:r>
              <w:rPr>
                <w:spacing w:val="-5"/>
              </w:rPr>
              <w:t>＜</w:t>
            </w:r>
            <w:r>
              <w:rPr>
                <w:rFonts w:ascii="Times New Roman" w:hAnsi="Times New Roman" w:eastAsia="Times New Roman" w:cs="Times New Roman"/>
                <w:spacing w:val="-5"/>
              </w:rPr>
              <w:t>0.05</w:t>
            </w:r>
          </w:p>
        </w:tc>
        <w:tc>
          <w:tcPr>
            <w:tcW w:w="962" w:type="dxa"/>
            <w:vAlign w:val="top"/>
          </w:tcPr>
          <w:p>
            <w:pPr>
              <w:spacing w:before="72" w:line="206"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p>
        </w:tc>
        <w:tc>
          <w:tcPr>
            <w:tcW w:w="799" w:type="dxa"/>
            <w:vAlign w:val="top"/>
          </w:tcPr>
          <w:p>
            <w:pPr>
              <w:pStyle w:val="6"/>
              <w:spacing w:before="37" w:line="213"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tcBorders>
            <w:vAlign w:val="top"/>
          </w:tcPr>
          <w:p>
            <w:pPr>
              <w:rPr>
                <w:rFonts w:ascii="Arial"/>
                <w:sz w:val="21"/>
              </w:rPr>
            </w:pPr>
          </w:p>
        </w:tc>
        <w:tc>
          <w:tcPr>
            <w:tcW w:w="878" w:type="dxa"/>
            <w:vAlign w:val="top"/>
          </w:tcPr>
          <w:p>
            <w:pPr>
              <w:pStyle w:val="6"/>
              <w:spacing w:before="37" w:line="213" w:lineRule="auto"/>
              <w:ind w:left="128"/>
            </w:pPr>
            <w:r>
              <w:rPr>
                <w:spacing w:val="-2"/>
              </w:rPr>
              <w:t>石油类</w:t>
            </w:r>
          </w:p>
        </w:tc>
        <w:tc>
          <w:tcPr>
            <w:tcW w:w="881" w:type="dxa"/>
            <w:vAlign w:val="top"/>
          </w:tcPr>
          <w:p>
            <w:pPr>
              <w:spacing w:before="73"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6"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w:t>
            </w:r>
          </w:p>
        </w:tc>
        <w:tc>
          <w:tcPr>
            <w:tcW w:w="880" w:type="dxa"/>
            <w:vAlign w:val="top"/>
          </w:tcPr>
          <w:p>
            <w:pPr>
              <w:spacing w:before="76"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w:t>
            </w:r>
          </w:p>
        </w:tc>
        <w:tc>
          <w:tcPr>
            <w:tcW w:w="962" w:type="dxa"/>
            <w:vAlign w:val="top"/>
          </w:tcPr>
          <w:p>
            <w:pPr>
              <w:spacing w:before="73" w:line="205"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799" w:type="dxa"/>
            <w:vAlign w:val="top"/>
          </w:tcPr>
          <w:p>
            <w:pPr>
              <w:pStyle w:val="6"/>
              <w:spacing w:before="37" w:line="213"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31" w:lineRule="auto"/>
              <w:ind w:left="357" w:right="117" w:hanging="229"/>
            </w:pPr>
            <w:r>
              <w:rPr>
                <w:spacing w:val="-3"/>
              </w:rPr>
              <w:t>无色透</w:t>
            </w:r>
            <w:r>
              <w:rPr>
                <w:spacing w:val="1"/>
              </w:rPr>
              <w:t xml:space="preserve"> </w:t>
            </w:r>
            <w:r>
              <w:t>明</w:t>
            </w:r>
          </w:p>
        </w:tc>
        <w:tc>
          <w:tcPr>
            <w:tcW w:w="878" w:type="dxa"/>
            <w:vAlign w:val="top"/>
          </w:tcPr>
          <w:p>
            <w:pPr>
              <w:pStyle w:val="6"/>
              <w:spacing w:before="38" w:line="212" w:lineRule="auto"/>
              <w:ind w:left="176"/>
            </w:pP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1"/>
              </w:rPr>
              <w:t>值</w:t>
            </w:r>
          </w:p>
        </w:tc>
        <w:tc>
          <w:tcPr>
            <w:tcW w:w="881" w:type="dxa"/>
            <w:vAlign w:val="top"/>
          </w:tcPr>
          <w:p>
            <w:pPr>
              <w:pStyle w:val="6"/>
              <w:spacing w:before="38" w:line="212" w:lineRule="auto"/>
              <w:ind w:left="130"/>
            </w:pPr>
            <w:r>
              <w:rPr>
                <w:spacing w:val="-2"/>
              </w:rPr>
              <w:t>无量纲</w:t>
            </w:r>
          </w:p>
        </w:tc>
        <w:tc>
          <w:tcPr>
            <w:tcW w:w="875" w:type="dxa"/>
            <w:vAlign w:val="top"/>
          </w:tcPr>
          <w:p>
            <w:pPr>
              <w:spacing w:before="76"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w:t>
            </w:r>
          </w:p>
        </w:tc>
        <w:tc>
          <w:tcPr>
            <w:tcW w:w="880" w:type="dxa"/>
            <w:vAlign w:val="top"/>
          </w:tcPr>
          <w:p>
            <w:pPr>
              <w:spacing w:before="76"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962" w:type="dxa"/>
            <w:vAlign w:val="top"/>
          </w:tcPr>
          <w:p>
            <w:pPr>
              <w:spacing w:before="76"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c>
          <w:tcPr>
            <w:tcW w:w="799" w:type="dxa"/>
            <w:vAlign w:val="top"/>
          </w:tcPr>
          <w:p>
            <w:pPr>
              <w:pStyle w:val="6"/>
              <w:spacing w:before="38" w:line="212"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8" w:line="212" w:lineRule="auto"/>
              <w:ind w:left="236"/>
            </w:pPr>
            <w:r>
              <w:rPr>
                <w:spacing w:val="-3"/>
              </w:rPr>
              <w:t>水温</w:t>
            </w:r>
          </w:p>
        </w:tc>
        <w:tc>
          <w:tcPr>
            <w:tcW w:w="881" w:type="dxa"/>
            <w:vAlign w:val="top"/>
          </w:tcPr>
          <w:p>
            <w:pPr>
              <w:pStyle w:val="6"/>
              <w:spacing w:before="38" w:line="212" w:lineRule="auto"/>
              <w:ind w:left="128"/>
            </w:pPr>
            <w:r>
              <w:rPr>
                <w:spacing w:val="-2"/>
              </w:rPr>
              <w:t>摄氏度</w:t>
            </w:r>
          </w:p>
        </w:tc>
        <w:tc>
          <w:tcPr>
            <w:tcW w:w="875" w:type="dxa"/>
            <w:vAlign w:val="top"/>
          </w:tcPr>
          <w:p>
            <w:pPr>
              <w:spacing w:before="77"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11.3</w:t>
            </w:r>
          </w:p>
        </w:tc>
        <w:tc>
          <w:tcPr>
            <w:tcW w:w="880" w:type="dxa"/>
            <w:vAlign w:val="top"/>
          </w:tcPr>
          <w:p>
            <w:pPr>
              <w:spacing w:before="77"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11.4</w:t>
            </w:r>
          </w:p>
        </w:tc>
        <w:tc>
          <w:tcPr>
            <w:tcW w:w="962" w:type="dxa"/>
            <w:vAlign w:val="top"/>
          </w:tcPr>
          <w:p>
            <w:pPr>
              <w:spacing w:before="164" w:line="101" w:lineRule="exact"/>
              <w:ind w:left="45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99" w:type="dxa"/>
            <w:vAlign w:val="top"/>
          </w:tcPr>
          <w:p>
            <w:pPr>
              <w:spacing w:before="164" w:line="101" w:lineRule="exact"/>
              <w:ind w:left="369"/>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8" w:line="212" w:lineRule="auto"/>
              <w:ind w:left="130"/>
            </w:pPr>
            <w:r>
              <w:rPr>
                <w:spacing w:val="-2"/>
              </w:rPr>
              <w:t>溶解氧</w:t>
            </w:r>
          </w:p>
        </w:tc>
        <w:tc>
          <w:tcPr>
            <w:tcW w:w="881" w:type="dxa"/>
            <w:vAlign w:val="top"/>
          </w:tcPr>
          <w:p>
            <w:pPr>
              <w:spacing w:before="73"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7" w:line="187"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9.7</w:t>
            </w:r>
          </w:p>
        </w:tc>
        <w:tc>
          <w:tcPr>
            <w:tcW w:w="880" w:type="dxa"/>
            <w:vAlign w:val="top"/>
          </w:tcPr>
          <w:p>
            <w:pPr>
              <w:spacing w:before="77"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9.7</w:t>
            </w:r>
          </w:p>
        </w:tc>
        <w:tc>
          <w:tcPr>
            <w:tcW w:w="962" w:type="dxa"/>
            <w:vAlign w:val="top"/>
          </w:tcPr>
          <w:p>
            <w:pPr>
              <w:spacing w:before="77" w:line="201"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1"/>
                <w:sz w:val="18"/>
                <w:szCs w:val="18"/>
              </w:rPr>
              <w:t>≥</w:t>
            </w:r>
            <w:r>
              <w:rPr>
                <w:rFonts w:ascii="Times New Roman" w:hAnsi="Times New Roman" w:eastAsia="Times New Roman" w:cs="Times New Roman"/>
                <w:spacing w:val="-1"/>
                <w:sz w:val="21"/>
                <w:szCs w:val="21"/>
              </w:rPr>
              <w:t>6</w:t>
            </w:r>
          </w:p>
        </w:tc>
        <w:tc>
          <w:tcPr>
            <w:tcW w:w="799" w:type="dxa"/>
            <w:vAlign w:val="top"/>
          </w:tcPr>
          <w:p>
            <w:pPr>
              <w:pStyle w:val="6"/>
              <w:spacing w:before="38" w:line="212"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6" w:line="215" w:lineRule="auto"/>
              <w:ind w:left="233"/>
            </w:pPr>
            <w:r>
              <w:rPr>
                <w:spacing w:val="-2"/>
              </w:rPr>
              <w:t>氨氮</w:t>
            </w:r>
          </w:p>
        </w:tc>
        <w:tc>
          <w:tcPr>
            <w:tcW w:w="881" w:type="dxa"/>
            <w:vAlign w:val="top"/>
          </w:tcPr>
          <w:p>
            <w:pPr>
              <w:spacing w:before="71"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5"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0.045</w:t>
            </w:r>
          </w:p>
        </w:tc>
        <w:tc>
          <w:tcPr>
            <w:tcW w:w="880" w:type="dxa"/>
            <w:vAlign w:val="top"/>
          </w:tcPr>
          <w:p>
            <w:pPr>
              <w:spacing w:before="75"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0.045</w:t>
            </w:r>
          </w:p>
        </w:tc>
        <w:tc>
          <w:tcPr>
            <w:tcW w:w="962" w:type="dxa"/>
            <w:vAlign w:val="top"/>
          </w:tcPr>
          <w:p>
            <w:pPr>
              <w:spacing w:before="71" w:line="208"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c>
          <w:tcPr>
            <w:tcW w:w="799" w:type="dxa"/>
            <w:vAlign w:val="top"/>
          </w:tcPr>
          <w:p>
            <w:pPr>
              <w:pStyle w:val="6"/>
              <w:spacing w:before="36" w:line="215"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1" w:line="223" w:lineRule="auto"/>
              <w:ind w:left="129" w:right="119" w:firstLine="4"/>
            </w:pPr>
            <w:r>
              <w:rPr>
                <w:spacing w:val="-4"/>
              </w:rPr>
              <w:t>高锰酸</w:t>
            </w:r>
            <w:r>
              <w:t xml:space="preserve"> </w:t>
            </w:r>
            <w:r>
              <w:rPr>
                <w:spacing w:val="-3"/>
              </w:rPr>
              <w:t>盐指数</w:t>
            </w:r>
          </w:p>
        </w:tc>
        <w:tc>
          <w:tcPr>
            <w:tcW w:w="881" w:type="dxa"/>
            <w:vAlign w:val="top"/>
          </w:tcPr>
          <w:p>
            <w:pPr>
              <w:spacing w:before="203"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206"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w:t>
            </w:r>
          </w:p>
        </w:tc>
        <w:tc>
          <w:tcPr>
            <w:tcW w:w="880" w:type="dxa"/>
            <w:vAlign w:val="top"/>
          </w:tcPr>
          <w:p>
            <w:pPr>
              <w:spacing w:before="206"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0.8</w:t>
            </w:r>
          </w:p>
        </w:tc>
        <w:tc>
          <w:tcPr>
            <w:tcW w:w="962" w:type="dxa"/>
            <w:vAlign w:val="top"/>
          </w:tcPr>
          <w:p>
            <w:pPr>
              <w:spacing w:before="203" w:line="219"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w:t>
            </w:r>
          </w:p>
        </w:tc>
        <w:tc>
          <w:tcPr>
            <w:tcW w:w="799" w:type="dxa"/>
            <w:vAlign w:val="top"/>
          </w:tcPr>
          <w:p>
            <w:pPr>
              <w:pStyle w:val="6"/>
              <w:spacing w:before="166" w:line="221"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6" w:line="214" w:lineRule="auto"/>
              <w:ind w:left="239"/>
            </w:pPr>
            <w:r>
              <w:rPr>
                <w:spacing w:val="-3"/>
              </w:rPr>
              <w:t>总磷</w:t>
            </w:r>
          </w:p>
        </w:tc>
        <w:tc>
          <w:tcPr>
            <w:tcW w:w="881" w:type="dxa"/>
            <w:vAlign w:val="top"/>
          </w:tcPr>
          <w:p>
            <w:pPr>
              <w:spacing w:before="73"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7"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0.015</w:t>
            </w:r>
          </w:p>
        </w:tc>
        <w:tc>
          <w:tcPr>
            <w:tcW w:w="880" w:type="dxa"/>
            <w:vAlign w:val="top"/>
          </w:tcPr>
          <w:p>
            <w:pPr>
              <w:spacing w:before="77"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0.015</w:t>
            </w:r>
          </w:p>
        </w:tc>
        <w:tc>
          <w:tcPr>
            <w:tcW w:w="962" w:type="dxa"/>
            <w:vAlign w:val="top"/>
          </w:tcPr>
          <w:p>
            <w:pPr>
              <w:spacing w:before="73" w:line="205" w:lineRule="auto"/>
              <w:ind w:left="190"/>
              <w:rPr>
                <w:rFonts w:ascii="Times New Roman" w:hAnsi="Times New Roman" w:eastAsia="Times New Roman" w:cs="Times New Roman"/>
                <w:sz w:val="21"/>
                <w:szCs w:val="21"/>
              </w:rPr>
            </w:pPr>
            <w:r>
              <w:rPr>
                <w:rFonts w:ascii="Times New Roman" w:hAnsi="Times New Roman" w:eastAsia="Times New Roman" w:cs="Times New Roman"/>
                <w:sz w:val="21"/>
                <w:szCs w:val="21"/>
              </w:rPr>
              <w:t>≤0.025</w:t>
            </w:r>
          </w:p>
        </w:tc>
        <w:tc>
          <w:tcPr>
            <w:tcW w:w="799" w:type="dxa"/>
            <w:vAlign w:val="top"/>
          </w:tcPr>
          <w:p>
            <w:pPr>
              <w:pStyle w:val="6"/>
              <w:spacing w:before="36" w:line="214"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spacing w:before="75" w:line="196" w:lineRule="auto"/>
              <w:ind w:left="183"/>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1"/>
                <w:sz w:val="13"/>
                <w:szCs w:val="13"/>
              </w:rPr>
              <w:t>5</w:t>
            </w:r>
          </w:p>
        </w:tc>
        <w:tc>
          <w:tcPr>
            <w:tcW w:w="881" w:type="dxa"/>
            <w:vAlign w:val="top"/>
          </w:tcPr>
          <w:p>
            <w:pPr>
              <w:spacing w:before="71"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pStyle w:val="6"/>
              <w:spacing w:before="36" w:line="214" w:lineRule="auto"/>
              <w:ind w:left="168"/>
              <w:rPr>
                <w:rFonts w:ascii="Times New Roman" w:hAnsi="Times New Roman" w:eastAsia="Times New Roman" w:cs="Times New Roman"/>
              </w:rPr>
            </w:pPr>
            <w:r>
              <w:rPr>
                <w:spacing w:val="-5"/>
              </w:rPr>
              <w:t>＜</w:t>
            </w:r>
            <w:r>
              <w:rPr>
                <w:rFonts w:ascii="Times New Roman" w:hAnsi="Times New Roman" w:eastAsia="Times New Roman" w:cs="Times New Roman"/>
                <w:spacing w:val="-5"/>
              </w:rPr>
              <w:t>0.05</w:t>
            </w:r>
          </w:p>
        </w:tc>
        <w:tc>
          <w:tcPr>
            <w:tcW w:w="880" w:type="dxa"/>
            <w:vAlign w:val="top"/>
          </w:tcPr>
          <w:p>
            <w:pPr>
              <w:pStyle w:val="6"/>
              <w:spacing w:before="36" w:line="214" w:lineRule="auto"/>
              <w:ind w:left="171"/>
              <w:rPr>
                <w:rFonts w:ascii="Times New Roman" w:hAnsi="Times New Roman" w:eastAsia="Times New Roman" w:cs="Times New Roman"/>
              </w:rPr>
            </w:pPr>
            <w:r>
              <w:rPr>
                <w:spacing w:val="-5"/>
              </w:rPr>
              <w:t>＜</w:t>
            </w:r>
            <w:r>
              <w:rPr>
                <w:rFonts w:ascii="Times New Roman" w:hAnsi="Times New Roman" w:eastAsia="Times New Roman" w:cs="Times New Roman"/>
                <w:spacing w:val="-5"/>
              </w:rPr>
              <w:t>0.05</w:t>
            </w:r>
          </w:p>
        </w:tc>
        <w:tc>
          <w:tcPr>
            <w:tcW w:w="962" w:type="dxa"/>
            <w:vAlign w:val="top"/>
          </w:tcPr>
          <w:p>
            <w:pPr>
              <w:spacing w:before="71" w:line="20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p>
        </w:tc>
        <w:tc>
          <w:tcPr>
            <w:tcW w:w="799" w:type="dxa"/>
            <w:vAlign w:val="top"/>
          </w:tcPr>
          <w:p>
            <w:pPr>
              <w:pStyle w:val="6"/>
              <w:spacing w:before="36" w:line="214"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991" w:type="dxa"/>
            <w:vMerge w:val="continue"/>
            <w:tcBorders>
              <w:top w:val="nil"/>
            </w:tcBorders>
            <w:vAlign w:val="top"/>
          </w:tcPr>
          <w:p>
            <w:pPr>
              <w:rPr>
                <w:rFonts w:ascii="Arial"/>
                <w:sz w:val="21"/>
              </w:rPr>
            </w:pPr>
          </w:p>
        </w:tc>
        <w:tc>
          <w:tcPr>
            <w:tcW w:w="1161" w:type="dxa"/>
            <w:vMerge w:val="continue"/>
            <w:tcBorders>
              <w:top w:val="nil"/>
            </w:tcBorders>
            <w:vAlign w:val="top"/>
          </w:tcPr>
          <w:p>
            <w:pPr>
              <w:rPr>
                <w:rFonts w:ascii="Arial"/>
                <w:sz w:val="21"/>
              </w:rPr>
            </w:pPr>
          </w:p>
        </w:tc>
        <w:tc>
          <w:tcPr>
            <w:tcW w:w="875" w:type="dxa"/>
            <w:vMerge w:val="continue"/>
            <w:tcBorders>
              <w:top w:val="nil"/>
            </w:tcBorders>
            <w:vAlign w:val="top"/>
          </w:tcPr>
          <w:p>
            <w:pPr>
              <w:rPr>
                <w:rFonts w:ascii="Arial"/>
                <w:sz w:val="21"/>
              </w:rPr>
            </w:pPr>
          </w:p>
        </w:tc>
        <w:tc>
          <w:tcPr>
            <w:tcW w:w="878" w:type="dxa"/>
            <w:vAlign w:val="top"/>
          </w:tcPr>
          <w:p>
            <w:pPr>
              <w:pStyle w:val="6"/>
              <w:spacing w:before="36" w:line="212" w:lineRule="auto"/>
              <w:ind w:left="128"/>
            </w:pPr>
            <w:r>
              <w:rPr>
                <w:spacing w:val="-2"/>
              </w:rPr>
              <w:t>石油类</w:t>
            </w:r>
          </w:p>
        </w:tc>
        <w:tc>
          <w:tcPr>
            <w:tcW w:w="881" w:type="dxa"/>
            <w:vAlign w:val="top"/>
          </w:tcPr>
          <w:p>
            <w:pPr>
              <w:spacing w:before="71"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5"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w:t>
            </w:r>
          </w:p>
        </w:tc>
        <w:tc>
          <w:tcPr>
            <w:tcW w:w="880" w:type="dxa"/>
            <w:vAlign w:val="top"/>
          </w:tcPr>
          <w:p>
            <w:pPr>
              <w:spacing w:before="75"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w:t>
            </w:r>
          </w:p>
        </w:tc>
        <w:tc>
          <w:tcPr>
            <w:tcW w:w="962" w:type="dxa"/>
            <w:vAlign w:val="top"/>
          </w:tcPr>
          <w:p>
            <w:pPr>
              <w:spacing w:before="71" w:line="205"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799" w:type="dxa"/>
            <w:vAlign w:val="top"/>
          </w:tcPr>
          <w:p>
            <w:pPr>
              <w:pStyle w:val="6"/>
              <w:spacing w:before="36" w:line="212"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8" w:line="229" w:lineRule="auto"/>
              <w:ind w:left="185" w:right="175" w:firstLine="5"/>
            </w:pPr>
            <w:r>
              <w:rPr>
                <w:spacing w:val="-4"/>
              </w:rPr>
              <w:t>高岭头</w:t>
            </w:r>
            <w:r>
              <w:t xml:space="preserve"> </w:t>
            </w:r>
            <w:r>
              <w:rPr>
                <w:spacing w:val="-2"/>
              </w:rPr>
              <w:t>特大桥</w:t>
            </w:r>
          </w:p>
        </w:tc>
        <w:tc>
          <w:tcPr>
            <w:tcW w:w="1161"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1" w:line="187" w:lineRule="auto"/>
              <w:ind w:left="1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2023.12.03</w:t>
            </w:r>
          </w:p>
        </w:tc>
        <w:tc>
          <w:tcPr>
            <w:tcW w:w="875"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8" w:line="229" w:lineRule="auto"/>
              <w:ind w:left="357" w:right="117" w:hanging="229"/>
            </w:pPr>
            <w:r>
              <w:rPr>
                <w:spacing w:val="-3"/>
              </w:rPr>
              <w:t>无色透</w:t>
            </w:r>
            <w:r>
              <w:rPr>
                <w:spacing w:val="1"/>
              </w:rPr>
              <w:t xml:space="preserve"> </w:t>
            </w:r>
            <w:r>
              <w:t>明</w:t>
            </w:r>
          </w:p>
        </w:tc>
        <w:tc>
          <w:tcPr>
            <w:tcW w:w="878" w:type="dxa"/>
            <w:vAlign w:val="top"/>
          </w:tcPr>
          <w:p>
            <w:pPr>
              <w:pStyle w:val="6"/>
              <w:spacing w:before="38" w:line="212" w:lineRule="auto"/>
              <w:ind w:left="176"/>
            </w:pP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1"/>
              </w:rPr>
              <w:t>值</w:t>
            </w:r>
          </w:p>
        </w:tc>
        <w:tc>
          <w:tcPr>
            <w:tcW w:w="881" w:type="dxa"/>
            <w:vAlign w:val="top"/>
          </w:tcPr>
          <w:p>
            <w:pPr>
              <w:pStyle w:val="6"/>
              <w:spacing w:before="38" w:line="212" w:lineRule="auto"/>
              <w:ind w:left="130"/>
            </w:pPr>
            <w:r>
              <w:rPr>
                <w:spacing w:val="-2"/>
              </w:rPr>
              <w:t>无量纲</w:t>
            </w:r>
          </w:p>
        </w:tc>
        <w:tc>
          <w:tcPr>
            <w:tcW w:w="875" w:type="dxa"/>
            <w:vAlign w:val="top"/>
          </w:tcPr>
          <w:p>
            <w:pPr>
              <w:spacing w:before="7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8.3</w:t>
            </w:r>
          </w:p>
        </w:tc>
        <w:tc>
          <w:tcPr>
            <w:tcW w:w="880" w:type="dxa"/>
            <w:vAlign w:val="top"/>
          </w:tcPr>
          <w:p>
            <w:pPr>
              <w:spacing w:before="77"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8.1</w:t>
            </w:r>
          </w:p>
        </w:tc>
        <w:tc>
          <w:tcPr>
            <w:tcW w:w="962" w:type="dxa"/>
            <w:vAlign w:val="top"/>
          </w:tcPr>
          <w:p>
            <w:pPr>
              <w:spacing w:before="77"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c>
          <w:tcPr>
            <w:tcW w:w="799" w:type="dxa"/>
            <w:vAlign w:val="top"/>
          </w:tcPr>
          <w:p>
            <w:pPr>
              <w:pStyle w:val="6"/>
              <w:spacing w:before="38" w:line="212"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8" w:line="212" w:lineRule="auto"/>
              <w:ind w:left="236"/>
            </w:pPr>
            <w:r>
              <w:rPr>
                <w:spacing w:val="-3"/>
              </w:rPr>
              <w:t>水温</w:t>
            </w:r>
          </w:p>
        </w:tc>
        <w:tc>
          <w:tcPr>
            <w:tcW w:w="881" w:type="dxa"/>
            <w:vAlign w:val="top"/>
          </w:tcPr>
          <w:p>
            <w:pPr>
              <w:pStyle w:val="6"/>
              <w:spacing w:before="38" w:line="212" w:lineRule="auto"/>
              <w:ind w:left="128"/>
            </w:pPr>
            <w:r>
              <w:rPr>
                <w:spacing w:val="-2"/>
              </w:rPr>
              <w:t>摄氏度</w:t>
            </w:r>
          </w:p>
        </w:tc>
        <w:tc>
          <w:tcPr>
            <w:tcW w:w="875" w:type="dxa"/>
            <w:vAlign w:val="top"/>
          </w:tcPr>
          <w:p>
            <w:pPr>
              <w:spacing w:before="7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8.2</w:t>
            </w:r>
          </w:p>
        </w:tc>
        <w:tc>
          <w:tcPr>
            <w:tcW w:w="880" w:type="dxa"/>
            <w:vAlign w:val="top"/>
          </w:tcPr>
          <w:p>
            <w:pPr>
              <w:spacing w:before="77"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w:t>
            </w:r>
          </w:p>
        </w:tc>
        <w:tc>
          <w:tcPr>
            <w:tcW w:w="962" w:type="dxa"/>
            <w:vAlign w:val="top"/>
          </w:tcPr>
          <w:p>
            <w:pPr>
              <w:spacing w:before="165" w:line="100" w:lineRule="exact"/>
              <w:ind w:left="45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99" w:type="dxa"/>
            <w:vAlign w:val="top"/>
          </w:tcPr>
          <w:p>
            <w:pPr>
              <w:spacing w:before="165" w:line="100" w:lineRule="exact"/>
              <w:ind w:left="369"/>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9" w:line="211" w:lineRule="auto"/>
              <w:ind w:left="130"/>
            </w:pPr>
            <w:r>
              <w:rPr>
                <w:spacing w:val="-2"/>
              </w:rPr>
              <w:t>溶解氧</w:t>
            </w:r>
          </w:p>
        </w:tc>
        <w:tc>
          <w:tcPr>
            <w:tcW w:w="881" w:type="dxa"/>
            <w:vAlign w:val="top"/>
          </w:tcPr>
          <w:p>
            <w:pPr>
              <w:spacing w:before="74"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8"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10.3</w:t>
            </w:r>
          </w:p>
        </w:tc>
        <w:tc>
          <w:tcPr>
            <w:tcW w:w="880" w:type="dxa"/>
            <w:vAlign w:val="top"/>
          </w:tcPr>
          <w:p>
            <w:pPr>
              <w:spacing w:before="78"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10.1</w:t>
            </w:r>
          </w:p>
        </w:tc>
        <w:tc>
          <w:tcPr>
            <w:tcW w:w="962" w:type="dxa"/>
            <w:vAlign w:val="top"/>
          </w:tcPr>
          <w:p>
            <w:pPr>
              <w:spacing w:before="77" w:line="201"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1"/>
                <w:sz w:val="18"/>
                <w:szCs w:val="18"/>
              </w:rPr>
              <w:t>≥</w:t>
            </w:r>
            <w:r>
              <w:rPr>
                <w:rFonts w:ascii="Times New Roman" w:hAnsi="Times New Roman" w:eastAsia="Times New Roman" w:cs="Times New Roman"/>
                <w:spacing w:val="-1"/>
                <w:sz w:val="21"/>
                <w:szCs w:val="21"/>
              </w:rPr>
              <w:t>6</w:t>
            </w:r>
          </w:p>
        </w:tc>
        <w:tc>
          <w:tcPr>
            <w:tcW w:w="799" w:type="dxa"/>
            <w:vAlign w:val="top"/>
          </w:tcPr>
          <w:p>
            <w:pPr>
              <w:pStyle w:val="6"/>
              <w:spacing w:before="39" w:line="211"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9" w:line="211" w:lineRule="auto"/>
              <w:ind w:left="233"/>
            </w:pPr>
            <w:r>
              <w:rPr>
                <w:spacing w:val="-2"/>
              </w:rPr>
              <w:t>氨氮</w:t>
            </w:r>
          </w:p>
        </w:tc>
        <w:tc>
          <w:tcPr>
            <w:tcW w:w="881" w:type="dxa"/>
            <w:vAlign w:val="top"/>
          </w:tcPr>
          <w:p>
            <w:pPr>
              <w:spacing w:before="74"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8"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0.064</w:t>
            </w:r>
          </w:p>
        </w:tc>
        <w:tc>
          <w:tcPr>
            <w:tcW w:w="880" w:type="dxa"/>
            <w:vAlign w:val="top"/>
          </w:tcPr>
          <w:p>
            <w:pPr>
              <w:spacing w:before="78"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0.059</w:t>
            </w:r>
          </w:p>
        </w:tc>
        <w:tc>
          <w:tcPr>
            <w:tcW w:w="962" w:type="dxa"/>
            <w:vAlign w:val="top"/>
          </w:tcPr>
          <w:p>
            <w:pPr>
              <w:spacing w:before="74" w:line="204"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c>
          <w:tcPr>
            <w:tcW w:w="799" w:type="dxa"/>
            <w:vAlign w:val="top"/>
          </w:tcPr>
          <w:p>
            <w:pPr>
              <w:pStyle w:val="6"/>
              <w:spacing w:before="39" w:line="211"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1" w:line="223" w:lineRule="auto"/>
              <w:ind w:left="129" w:right="119" w:firstLine="4"/>
            </w:pPr>
            <w:r>
              <w:rPr>
                <w:spacing w:val="-4"/>
              </w:rPr>
              <w:t>高锰酸</w:t>
            </w:r>
            <w:r>
              <w:t xml:space="preserve"> </w:t>
            </w:r>
            <w:r>
              <w:rPr>
                <w:spacing w:val="-3"/>
              </w:rPr>
              <w:t>盐指数</w:t>
            </w:r>
          </w:p>
        </w:tc>
        <w:tc>
          <w:tcPr>
            <w:tcW w:w="881" w:type="dxa"/>
            <w:vAlign w:val="top"/>
          </w:tcPr>
          <w:p>
            <w:pPr>
              <w:spacing w:before="204"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208"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0.8</w:t>
            </w:r>
          </w:p>
        </w:tc>
        <w:tc>
          <w:tcPr>
            <w:tcW w:w="880" w:type="dxa"/>
            <w:vAlign w:val="top"/>
          </w:tcPr>
          <w:p>
            <w:pPr>
              <w:spacing w:before="208"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w:t>
            </w:r>
          </w:p>
        </w:tc>
        <w:tc>
          <w:tcPr>
            <w:tcW w:w="962" w:type="dxa"/>
            <w:vAlign w:val="top"/>
          </w:tcPr>
          <w:p>
            <w:pPr>
              <w:spacing w:before="204" w:line="219"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w:t>
            </w:r>
          </w:p>
        </w:tc>
        <w:tc>
          <w:tcPr>
            <w:tcW w:w="799" w:type="dxa"/>
            <w:vAlign w:val="top"/>
          </w:tcPr>
          <w:p>
            <w:pPr>
              <w:pStyle w:val="6"/>
              <w:spacing w:before="169" w:line="221"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40" w:line="211" w:lineRule="auto"/>
              <w:ind w:left="239"/>
            </w:pPr>
            <w:r>
              <w:rPr>
                <w:spacing w:val="-3"/>
              </w:rPr>
              <w:t>总磷</w:t>
            </w:r>
          </w:p>
        </w:tc>
        <w:tc>
          <w:tcPr>
            <w:tcW w:w="881" w:type="dxa"/>
            <w:vAlign w:val="top"/>
          </w:tcPr>
          <w:p>
            <w:pPr>
              <w:spacing w:before="75"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9"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0.017</w:t>
            </w:r>
          </w:p>
        </w:tc>
        <w:tc>
          <w:tcPr>
            <w:tcW w:w="880" w:type="dxa"/>
            <w:vAlign w:val="top"/>
          </w:tcPr>
          <w:p>
            <w:pPr>
              <w:spacing w:before="79"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0.017</w:t>
            </w:r>
          </w:p>
        </w:tc>
        <w:tc>
          <w:tcPr>
            <w:tcW w:w="962" w:type="dxa"/>
            <w:vAlign w:val="top"/>
          </w:tcPr>
          <w:p>
            <w:pPr>
              <w:spacing w:before="75" w:line="204" w:lineRule="auto"/>
              <w:ind w:left="190"/>
              <w:rPr>
                <w:rFonts w:ascii="Times New Roman" w:hAnsi="Times New Roman" w:eastAsia="Times New Roman" w:cs="Times New Roman"/>
                <w:sz w:val="21"/>
                <w:szCs w:val="21"/>
              </w:rPr>
            </w:pPr>
            <w:r>
              <w:rPr>
                <w:rFonts w:ascii="Times New Roman" w:hAnsi="Times New Roman" w:eastAsia="Times New Roman" w:cs="Times New Roman"/>
                <w:sz w:val="21"/>
                <w:szCs w:val="21"/>
              </w:rPr>
              <w:t>≤0.025</w:t>
            </w:r>
          </w:p>
        </w:tc>
        <w:tc>
          <w:tcPr>
            <w:tcW w:w="799" w:type="dxa"/>
            <w:vAlign w:val="top"/>
          </w:tcPr>
          <w:p>
            <w:pPr>
              <w:pStyle w:val="6"/>
              <w:spacing w:before="40" w:line="211"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spacing w:before="79" w:line="196" w:lineRule="auto"/>
              <w:ind w:left="183"/>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1"/>
                <w:sz w:val="13"/>
                <w:szCs w:val="13"/>
              </w:rPr>
              <w:t>5</w:t>
            </w:r>
          </w:p>
        </w:tc>
        <w:tc>
          <w:tcPr>
            <w:tcW w:w="881" w:type="dxa"/>
            <w:vAlign w:val="top"/>
          </w:tcPr>
          <w:p>
            <w:pPr>
              <w:spacing w:before="75"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pStyle w:val="6"/>
              <w:spacing w:before="39" w:line="211" w:lineRule="auto"/>
              <w:ind w:left="168"/>
              <w:rPr>
                <w:rFonts w:ascii="Times New Roman" w:hAnsi="Times New Roman" w:eastAsia="Times New Roman" w:cs="Times New Roman"/>
              </w:rPr>
            </w:pPr>
            <w:r>
              <w:rPr>
                <w:spacing w:val="-5"/>
              </w:rPr>
              <w:t>＜</w:t>
            </w:r>
            <w:r>
              <w:rPr>
                <w:rFonts w:ascii="Times New Roman" w:hAnsi="Times New Roman" w:eastAsia="Times New Roman" w:cs="Times New Roman"/>
                <w:spacing w:val="-5"/>
              </w:rPr>
              <w:t>0.05</w:t>
            </w:r>
          </w:p>
        </w:tc>
        <w:tc>
          <w:tcPr>
            <w:tcW w:w="880" w:type="dxa"/>
            <w:vAlign w:val="top"/>
          </w:tcPr>
          <w:p>
            <w:pPr>
              <w:pStyle w:val="6"/>
              <w:spacing w:before="39" w:line="211" w:lineRule="auto"/>
              <w:ind w:left="171"/>
              <w:rPr>
                <w:rFonts w:ascii="Times New Roman" w:hAnsi="Times New Roman" w:eastAsia="Times New Roman" w:cs="Times New Roman"/>
              </w:rPr>
            </w:pPr>
            <w:r>
              <w:rPr>
                <w:spacing w:val="-5"/>
              </w:rPr>
              <w:t>＜</w:t>
            </w:r>
            <w:r>
              <w:rPr>
                <w:rFonts w:ascii="Times New Roman" w:hAnsi="Times New Roman" w:eastAsia="Times New Roman" w:cs="Times New Roman"/>
                <w:spacing w:val="-5"/>
              </w:rPr>
              <w:t>0.05</w:t>
            </w:r>
          </w:p>
        </w:tc>
        <w:tc>
          <w:tcPr>
            <w:tcW w:w="962" w:type="dxa"/>
            <w:vAlign w:val="top"/>
          </w:tcPr>
          <w:p>
            <w:pPr>
              <w:spacing w:before="74" w:line="204"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p>
        </w:tc>
        <w:tc>
          <w:tcPr>
            <w:tcW w:w="799" w:type="dxa"/>
            <w:vAlign w:val="top"/>
          </w:tcPr>
          <w:p>
            <w:pPr>
              <w:pStyle w:val="6"/>
              <w:spacing w:before="39" w:line="211"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tcBorders>
            <w:vAlign w:val="top"/>
          </w:tcPr>
          <w:p>
            <w:pPr>
              <w:rPr>
                <w:rFonts w:ascii="Arial"/>
                <w:sz w:val="21"/>
              </w:rPr>
            </w:pPr>
          </w:p>
        </w:tc>
        <w:tc>
          <w:tcPr>
            <w:tcW w:w="878" w:type="dxa"/>
            <w:vAlign w:val="top"/>
          </w:tcPr>
          <w:p>
            <w:pPr>
              <w:pStyle w:val="6"/>
              <w:spacing w:before="39" w:line="211" w:lineRule="auto"/>
              <w:ind w:left="128"/>
            </w:pPr>
            <w:r>
              <w:rPr>
                <w:spacing w:val="-2"/>
              </w:rPr>
              <w:t>石油类</w:t>
            </w:r>
          </w:p>
        </w:tc>
        <w:tc>
          <w:tcPr>
            <w:tcW w:w="881" w:type="dxa"/>
            <w:vAlign w:val="top"/>
          </w:tcPr>
          <w:p>
            <w:pPr>
              <w:spacing w:before="75"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8"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w:t>
            </w:r>
          </w:p>
        </w:tc>
        <w:tc>
          <w:tcPr>
            <w:tcW w:w="880" w:type="dxa"/>
            <w:vAlign w:val="top"/>
          </w:tcPr>
          <w:p>
            <w:pPr>
              <w:spacing w:before="78"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w:t>
            </w:r>
          </w:p>
        </w:tc>
        <w:tc>
          <w:tcPr>
            <w:tcW w:w="962" w:type="dxa"/>
            <w:vAlign w:val="top"/>
          </w:tcPr>
          <w:p>
            <w:pPr>
              <w:spacing w:before="75" w:line="203"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799" w:type="dxa"/>
            <w:vAlign w:val="top"/>
          </w:tcPr>
          <w:p>
            <w:pPr>
              <w:pStyle w:val="6"/>
              <w:spacing w:before="39" w:line="211"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8" w:line="231" w:lineRule="auto"/>
              <w:ind w:left="357" w:right="117" w:hanging="229"/>
            </w:pPr>
            <w:r>
              <w:rPr>
                <w:spacing w:val="-3"/>
              </w:rPr>
              <w:t>无色透</w:t>
            </w:r>
            <w:r>
              <w:rPr>
                <w:spacing w:val="1"/>
              </w:rPr>
              <w:t xml:space="preserve"> </w:t>
            </w:r>
            <w:r>
              <w:t>明</w:t>
            </w:r>
          </w:p>
        </w:tc>
        <w:tc>
          <w:tcPr>
            <w:tcW w:w="878" w:type="dxa"/>
            <w:vAlign w:val="top"/>
          </w:tcPr>
          <w:p>
            <w:pPr>
              <w:pStyle w:val="6"/>
              <w:spacing w:before="41" w:line="210" w:lineRule="auto"/>
              <w:ind w:left="176"/>
            </w:pP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1"/>
              </w:rPr>
              <w:t>值</w:t>
            </w:r>
          </w:p>
        </w:tc>
        <w:tc>
          <w:tcPr>
            <w:tcW w:w="881" w:type="dxa"/>
            <w:vAlign w:val="top"/>
          </w:tcPr>
          <w:p>
            <w:pPr>
              <w:pStyle w:val="6"/>
              <w:spacing w:before="41" w:line="210" w:lineRule="auto"/>
              <w:ind w:left="130"/>
            </w:pPr>
            <w:r>
              <w:rPr>
                <w:spacing w:val="-2"/>
              </w:rPr>
              <w:t>无量纲</w:t>
            </w:r>
          </w:p>
        </w:tc>
        <w:tc>
          <w:tcPr>
            <w:tcW w:w="875" w:type="dxa"/>
            <w:vAlign w:val="top"/>
          </w:tcPr>
          <w:p>
            <w:pPr>
              <w:spacing w:before="7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8.1</w:t>
            </w:r>
          </w:p>
        </w:tc>
        <w:tc>
          <w:tcPr>
            <w:tcW w:w="880" w:type="dxa"/>
            <w:vAlign w:val="top"/>
          </w:tcPr>
          <w:p>
            <w:pPr>
              <w:spacing w:before="79"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w:t>
            </w:r>
          </w:p>
        </w:tc>
        <w:tc>
          <w:tcPr>
            <w:tcW w:w="962" w:type="dxa"/>
            <w:vAlign w:val="top"/>
          </w:tcPr>
          <w:p>
            <w:pPr>
              <w:spacing w:before="79"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c>
          <w:tcPr>
            <w:tcW w:w="799" w:type="dxa"/>
            <w:vAlign w:val="top"/>
          </w:tcPr>
          <w:p>
            <w:pPr>
              <w:pStyle w:val="6"/>
              <w:spacing w:before="41" w:line="210"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41" w:line="210" w:lineRule="auto"/>
              <w:ind w:left="236"/>
            </w:pPr>
            <w:r>
              <w:rPr>
                <w:spacing w:val="-3"/>
              </w:rPr>
              <w:t>水温</w:t>
            </w:r>
          </w:p>
        </w:tc>
        <w:tc>
          <w:tcPr>
            <w:tcW w:w="881" w:type="dxa"/>
            <w:vAlign w:val="top"/>
          </w:tcPr>
          <w:p>
            <w:pPr>
              <w:pStyle w:val="6"/>
              <w:spacing w:before="41" w:line="210" w:lineRule="auto"/>
              <w:ind w:left="128"/>
            </w:pPr>
            <w:r>
              <w:rPr>
                <w:spacing w:val="-2"/>
              </w:rPr>
              <w:t>摄氏度</w:t>
            </w:r>
          </w:p>
        </w:tc>
        <w:tc>
          <w:tcPr>
            <w:tcW w:w="875" w:type="dxa"/>
            <w:vAlign w:val="top"/>
          </w:tcPr>
          <w:p>
            <w:pPr>
              <w:spacing w:before="79"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10.3</w:t>
            </w:r>
          </w:p>
        </w:tc>
        <w:tc>
          <w:tcPr>
            <w:tcW w:w="880" w:type="dxa"/>
            <w:vAlign w:val="top"/>
          </w:tcPr>
          <w:p>
            <w:pPr>
              <w:spacing w:before="79"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9.6</w:t>
            </w:r>
          </w:p>
        </w:tc>
        <w:tc>
          <w:tcPr>
            <w:tcW w:w="962" w:type="dxa"/>
            <w:vAlign w:val="top"/>
          </w:tcPr>
          <w:p>
            <w:pPr>
              <w:spacing w:before="167" w:line="100" w:lineRule="exact"/>
              <w:ind w:left="455"/>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c>
          <w:tcPr>
            <w:tcW w:w="799" w:type="dxa"/>
            <w:vAlign w:val="top"/>
          </w:tcPr>
          <w:p>
            <w:pPr>
              <w:spacing w:before="167" w:line="100" w:lineRule="exact"/>
              <w:ind w:left="369"/>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41" w:line="210" w:lineRule="auto"/>
              <w:ind w:left="130"/>
            </w:pPr>
            <w:r>
              <w:rPr>
                <w:spacing w:val="-2"/>
              </w:rPr>
              <w:t>溶解氧</w:t>
            </w:r>
          </w:p>
        </w:tc>
        <w:tc>
          <w:tcPr>
            <w:tcW w:w="881" w:type="dxa"/>
            <w:vAlign w:val="top"/>
          </w:tcPr>
          <w:p>
            <w:pPr>
              <w:spacing w:before="75"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9" w:line="187"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9.6</w:t>
            </w:r>
          </w:p>
        </w:tc>
        <w:tc>
          <w:tcPr>
            <w:tcW w:w="880" w:type="dxa"/>
            <w:vAlign w:val="top"/>
          </w:tcPr>
          <w:p>
            <w:pPr>
              <w:spacing w:before="79"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w:t>
            </w:r>
          </w:p>
        </w:tc>
        <w:tc>
          <w:tcPr>
            <w:tcW w:w="962" w:type="dxa"/>
            <w:vAlign w:val="top"/>
          </w:tcPr>
          <w:p>
            <w:pPr>
              <w:spacing w:before="79" w:line="199"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1"/>
                <w:sz w:val="18"/>
                <w:szCs w:val="18"/>
              </w:rPr>
              <w:t>≥</w:t>
            </w:r>
            <w:r>
              <w:rPr>
                <w:rFonts w:ascii="Times New Roman" w:hAnsi="Times New Roman" w:eastAsia="Times New Roman" w:cs="Times New Roman"/>
                <w:spacing w:val="-1"/>
                <w:sz w:val="21"/>
                <w:szCs w:val="21"/>
              </w:rPr>
              <w:t>6</w:t>
            </w:r>
          </w:p>
        </w:tc>
        <w:tc>
          <w:tcPr>
            <w:tcW w:w="799" w:type="dxa"/>
            <w:vAlign w:val="top"/>
          </w:tcPr>
          <w:p>
            <w:pPr>
              <w:pStyle w:val="6"/>
              <w:spacing w:before="41" w:line="210"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41" w:line="210" w:lineRule="auto"/>
              <w:ind w:left="233"/>
            </w:pPr>
            <w:r>
              <w:rPr>
                <w:spacing w:val="-2"/>
              </w:rPr>
              <w:t>氨氮</w:t>
            </w:r>
          </w:p>
        </w:tc>
        <w:tc>
          <w:tcPr>
            <w:tcW w:w="881" w:type="dxa"/>
            <w:vAlign w:val="top"/>
          </w:tcPr>
          <w:p>
            <w:pPr>
              <w:spacing w:before="76"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9"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0.057</w:t>
            </w:r>
          </w:p>
        </w:tc>
        <w:tc>
          <w:tcPr>
            <w:tcW w:w="880" w:type="dxa"/>
            <w:vAlign w:val="top"/>
          </w:tcPr>
          <w:p>
            <w:pPr>
              <w:spacing w:before="79"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0.051</w:t>
            </w:r>
          </w:p>
        </w:tc>
        <w:tc>
          <w:tcPr>
            <w:tcW w:w="962" w:type="dxa"/>
            <w:vAlign w:val="top"/>
          </w:tcPr>
          <w:p>
            <w:pPr>
              <w:spacing w:before="75" w:line="203"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c>
          <w:tcPr>
            <w:tcW w:w="799" w:type="dxa"/>
            <w:vAlign w:val="top"/>
          </w:tcPr>
          <w:p>
            <w:pPr>
              <w:pStyle w:val="6"/>
              <w:spacing w:before="41" w:line="210"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33" w:line="222" w:lineRule="auto"/>
              <w:ind w:left="129" w:right="119" w:firstLine="4"/>
            </w:pPr>
            <w:r>
              <w:rPr>
                <w:spacing w:val="-4"/>
              </w:rPr>
              <w:t>高锰酸</w:t>
            </w:r>
            <w:r>
              <w:t xml:space="preserve"> </w:t>
            </w:r>
            <w:r>
              <w:rPr>
                <w:spacing w:val="-3"/>
              </w:rPr>
              <w:t>盐指数</w:t>
            </w:r>
          </w:p>
        </w:tc>
        <w:tc>
          <w:tcPr>
            <w:tcW w:w="881" w:type="dxa"/>
            <w:vAlign w:val="top"/>
          </w:tcPr>
          <w:p>
            <w:pPr>
              <w:spacing w:before="205"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209"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w:t>
            </w:r>
          </w:p>
        </w:tc>
        <w:tc>
          <w:tcPr>
            <w:tcW w:w="880" w:type="dxa"/>
            <w:vAlign w:val="top"/>
          </w:tcPr>
          <w:p>
            <w:pPr>
              <w:spacing w:before="209"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w:t>
            </w:r>
          </w:p>
        </w:tc>
        <w:tc>
          <w:tcPr>
            <w:tcW w:w="962" w:type="dxa"/>
            <w:vAlign w:val="top"/>
          </w:tcPr>
          <w:p>
            <w:pPr>
              <w:spacing w:before="206" w:line="219"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w:t>
            </w:r>
          </w:p>
        </w:tc>
        <w:tc>
          <w:tcPr>
            <w:tcW w:w="799" w:type="dxa"/>
            <w:vAlign w:val="top"/>
          </w:tcPr>
          <w:p>
            <w:pPr>
              <w:pStyle w:val="6"/>
              <w:spacing w:before="171" w:line="221"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pStyle w:val="6"/>
              <w:spacing w:before="42" w:line="209" w:lineRule="auto"/>
              <w:ind w:left="239"/>
            </w:pPr>
            <w:r>
              <w:rPr>
                <w:spacing w:val="-3"/>
              </w:rPr>
              <w:t>总磷</w:t>
            </w:r>
          </w:p>
        </w:tc>
        <w:tc>
          <w:tcPr>
            <w:tcW w:w="881" w:type="dxa"/>
            <w:vAlign w:val="top"/>
          </w:tcPr>
          <w:p>
            <w:pPr>
              <w:spacing w:before="76"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80"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0.015</w:t>
            </w:r>
          </w:p>
        </w:tc>
        <w:tc>
          <w:tcPr>
            <w:tcW w:w="880" w:type="dxa"/>
            <w:vAlign w:val="top"/>
          </w:tcPr>
          <w:p>
            <w:pPr>
              <w:spacing w:before="80"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0.015</w:t>
            </w:r>
          </w:p>
        </w:tc>
        <w:tc>
          <w:tcPr>
            <w:tcW w:w="962" w:type="dxa"/>
            <w:vAlign w:val="top"/>
          </w:tcPr>
          <w:p>
            <w:pPr>
              <w:spacing w:before="76" w:line="202" w:lineRule="auto"/>
              <w:ind w:left="190"/>
              <w:rPr>
                <w:rFonts w:ascii="Times New Roman" w:hAnsi="Times New Roman" w:eastAsia="Times New Roman" w:cs="Times New Roman"/>
                <w:sz w:val="21"/>
                <w:szCs w:val="21"/>
              </w:rPr>
            </w:pPr>
            <w:r>
              <w:rPr>
                <w:rFonts w:ascii="Times New Roman" w:hAnsi="Times New Roman" w:eastAsia="Times New Roman" w:cs="Times New Roman"/>
                <w:sz w:val="21"/>
                <w:szCs w:val="21"/>
              </w:rPr>
              <w:t>≤0.025</w:t>
            </w:r>
          </w:p>
        </w:tc>
        <w:tc>
          <w:tcPr>
            <w:tcW w:w="799" w:type="dxa"/>
            <w:vAlign w:val="top"/>
          </w:tcPr>
          <w:p>
            <w:pPr>
              <w:pStyle w:val="6"/>
              <w:spacing w:before="42" w:line="209"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91" w:type="dxa"/>
            <w:vMerge w:val="continue"/>
            <w:tcBorders>
              <w:top w:val="nil"/>
              <w:bottom w:val="nil"/>
            </w:tcBorders>
            <w:vAlign w:val="top"/>
          </w:tcPr>
          <w:p>
            <w:pPr>
              <w:rPr>
                <w:rFonts w:ascii="Arial"/>
                <w:sz w:val="21"/>
              </w:rPr>
            </w:pPr>
          </w:p>
        </w:tc>
        <w:tc>
          <w:tcPr>
            <w:tcW w:w="1161" w:type="dxa"/>
            <w:vMerge w:val="continue"/>
            <w:tcBorders>
              <w:top w:val="nil"/>
              <w:bottom w:val="nil"/>
            </w:tcBorders>
            <w:vAlign w:val="top"/>
          </w:tcPr>
          <w:p>
            <w:pPr>
              <w:rPr>
                <w:rFonts w:ascii="Arial"/>
                <w:sz w:val="21"/>
              </w:rPr>
            </w:pPr>
          </w:p>
        </w:tc>
        <w:tc>
          <w:tcPr>
            <w:tcW w:w="875" w:type="dxa"/>
            <w:vMerge w:val="continue"/>
            <w:tcBorders>
              <w:top w:val="nil"/>
              <w:bottom w:val="nil"/>
            </w:tcBorders>
            <w:vAlign w:val="top"/>
          </w:tcPr>
          <w:p>
            <w:pPr>
              <w:rPr>
                <w:rFonts w:ascii="Arial"/>
                <w:sz w:val="21"/>
              </w:rPr>
            </w:pPr>
          </w:p>
        </w:tc>
        <w:tc>
          <w:tcPr>
            <w:tcW w:w="878" w:type="dxa"/>
            <w:vAlign w:val="top"/>
          </w:tcPr>
          <w:p>
            <w:pPr>
              <w:spacing w:before="80" w:line="196" w:lineRule="auto"/>
              <w:ind w:left="183"/>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1"/>
                <w:sz w:val="13"/>
                <w:szCs w:val="13"/>
              </w:rPr>
              <w:t>5</w:t>
            </w:r>
          </w:p>
        </w:tc>
        <w:tc>
          <w:tcPr>
            <w:tcW w:w="881" w:type="dxa"/>
            <w:vAlign w:val="top"/>
          </w:tcPr>
          <w:p>
            <w:pPr>
              <w:spacing w:before="76"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pStyle w:val="6"/>
              <w:spacing w:before="39" w:line="211" w:lineRule="auto"/>
              <w:ind w:left="168"/>
              <w:rPr>
                <w:rFonts w:ascii="Times New Roman" w:hAnsi="Times New Roman" w:eastAsia="Times New Roman" w:cs="Times New Roman"/>
              </w:rPr>
            </w:pPr>
            <w:r>
              <w:rPr>
                <w:spacing w:val="-5"/>
              </w:rPr>
              <w:t>＜</w:t>
            </w:r>
            <w:r>
              <w:rPr>
                <w:rFonts w:ascii="Times New Roman" w:hAnsi="Times New Roman" w:eastAsia="Times New Roman" w:cs="Times New Roman"/>
                <w:spacing w:val="-5"/>
              </w:rPr>
              <w:t>0.05</w:t>
            </w:r>
          </w:p>
        </w:tc>
        <w:tc>
          <w:tcPr>
            <w:tcW w:w="880" w:type="dxa"/>
            <w:vAlign w:val="top"/>
          </w:tcPr>
          <w:p>
            <w:pPr>
              <w:pStyle w:val="6"/>
              <w:spacing w:before="39" w:line="211" w:lineRule="auto"/>
              <w:ind w:left="171"/>
              <w:rPr>
                <w:rFonts w:ascii="Times New Roman" w:hAnsi="Times New Roman" w:eastAsia="Times New Roman" w:cs="Times New Roman"/>
              </w:rPr>
            </w:pPr>
            <w:r>
              <w:rPr>
                <w:spacing w:val="-5"/>
              </w:rPr>
              <w:t>＜</w:t>
            </w:r>
            <w:r>
              <w:rPr>
                <w:rFonts w:ascii="Times New Roman" w:hAnsi="Times New Roman" w:eastAsia="Times New Roman" w:cs="Times New Roman"/>
                <w:spacing w:val="-5"/>
              </w:rPr>
              <w:t>0.05</w:t>
            </w:r>
          </w:p>
        </w:tc>
        <w:tc>
          <w:tcPr>
            <w:tcW w:w="962" w:type="dxa"/>
            <w:vAlign w:val="top"/>
          </w:tcPr>
          <w:p>
            <w:pPr>
              <w:spacing w:before="76" w:line="202"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w:t>
            </w:r>
          </w:p>
        </w:tc>
        <w:tc>
          <w:tcPr>
            <w:tcW w:w="799" w:type="dxa"/>
            <w:vAlign w:val="top"/>
          </w:tcPr>
          <w:p>
            <w:pPr>
              <w:pStyle w:val="6"/>
              <w:spacing w:before="39" w:line="211" w:lineRule="auto"/>
              <w:ind w:left="192"/>
            </w:pPr>
            <w:r>
              <w:rPr>
                <w:spacing w:val="-2"/>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91" w:type="dxa"/>
            <w:vMerge w:val="continue"/>
            <w:tcBorders>
              <w:top w:val="nil"/>
            </w:tcBorders>
            <w:vAlign w:val="top"/>
          </w:tcPr>
          <w:p>
            <w:pPr>
              <w:rPr>
                <w:rFonts w:ascii="Arial"/>
                <w:sz w:val="21"/>
              </w:rPr>
            </w:pPr>
          </w:p>
        </w:tc>
        <w:tc>
          <w:tcPr>
            <w:tcW w:w="1161" w:type="dxa"/>
            <w:vMerge w:val="continue"/>
            <w:tcBorders>
              <w:top w:val="nil"/>
            </w:tcBorders>
            <w:vAlign w:val="top"/>
          </w:tcPr>
          <w:p>
            <w:pPr>
              <w:rPr>
                <w:rFonts w:ascii="Arial"/>
                <w:sz w:val="21"/>
              </w:rPr>
            </w:pPr>
          </w:p>
        </w:tc>
        <w:tc>
          <w:tcPr>
            <w:tcW w:w="875" w:type="dxa"/>
            <w:vMerge w:val="continue"/>
            <w:tcBorders>
              <w:top w:val="nil"/>
            </w:tcBorders>
            <w:vAlign w:val="top"/>
          </w:tcPr>
          <w:p>
            <w:pPr>
              <w:rPr>
                <w:rFonts w:ascii="Arial"/>
                <w:sz w:val="21"/>
              </w:rPr>
            </w:pPr>
          </w:p>
        </w:tc>
        <w:tc>
          <w:tcPr>
            <w:tcW w:w="878" w:type="dxa"/>
            <w:vAlign w:val="top"/>
          </w:tcPr>
          <w:p>
            <w:pPr>
              <w:pStyle w:val="6"/>
              <w:spacing w:before="39" w:line="216" w:lineRule="auto"/>
              <w:ind w:left="128"/>
            </w:pPr>
            <w:r>
              <w:rPr>
                <w:spacing w:val="-2"/>
              </w:rPr>
              <w:t>石油类</w:t>
            </w:r>
          </w:p>
        </w:tc>
        <w:tc>
          <w:tcPr>
            <w:tcW w:w="881" w:type="dxa"/>
            <w:vAlign w:val="top"/>
          </w:tcPr>
          <w:p>
            <w:pPr>
              <w:spacing w:before="74" w:line="191"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875" w:type="dxa"/>
            <w:vAlign w:val="top"/>
          </w:tcPr>
          <w:p>
            <w:pPr>
              <w:spacing w:before="78"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w:t>
            </w:r>
          </w:p>
        </w:tc>
        <w:tc>
          <w:tcPr>
            <w:tcW w:w="880" w:type="dxa"/>
            <w:vAlign w:val="top"/>
          </w:tcPr>
          <w:p>
            <w:pPr>
              <w:spacing w:before="78"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w:t>
            </w:r>
          </w:p>
        </w:tc>
        <w:tc>
          <w:tcPr>
            <w:tcW w:w="962" w:type="dxa"/>
            <w:vAlign w:val="top"/>
          </w:tcPr>
          <w:p>
            <w:pPr>
              <w:spacing w:before="74" w:line="209"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799" w:type="dxa"/>
            <w:vAlign w:val="top"/>
          </w:tcPr>
          <w:p>
            <w:pPr>
              <w:pStyle w:val="6"/>
              <w:spacing w:before="39" w:line="216" w:lineRule="auto"/>
              <w:ind w:left="192"/>
            </w:pPr>
            <w:r>
              <w:rPr>
                <w:spacing w:val="-2"/>
              </w:rPr>
              <w:t>达标</w:t>
            </w:r>
          </w:p>
        </w:tc>
      </w:tr>
    </w:tbl>
    <w:p>
      <w:pPr>
        <w:pStyle w:val="2"/>
      </w:pPr>
    </w:p>
    <w:p>
      <w:pPr>
        <w:sectPr>
          <w:headerReference r:id="rId187" w:type="default"/>
          <w:footerReference r:id="rId188" w:type="default"/>
          <w:pgSz w:w="11907" w:h="16839"/>
          <w:pgMar w:top="1118" w:right="1769" w:bottom="1151" w:left="1687" w:header="879" w:footer="990" w:gutter="0"/>
          <w:cols w:space="720" w:num="1"/>
        </w:sectPr>
      </w:pPr>
    </w:p>
    <w:p>
      <w:pPr>
        <w:pStyle w:val="2"/>
        <w:spacing w:line="278" w:lineRule="auto"/>
      </w:pPr>
    </w:p>
    <w:p>
      <w:pPr>
        <w:spacing w:before="78" w:line="468" w:lineRule="exact"/>
        <w:ind w:left="602"/>
        <w:rPr>
          <w:rFonts w:ascii="宋体" w:hAnsi="宋体" w:eastAsia="宋体" w:cs="宋体"/>
          <w:sz w:val="24"/>
          <w:szCs w:val="24"/>
        </w:rPr>
      </w:pPr>
      <w:r>
        <w:rPr>
          <w:rFonts w:ascii="宋体" w:hAnsi="宋体" w:eastAsia="宋体" w:cs="宋体"/>
          <w:spacing w:val="13"/>
          <w:position w:val="17"/>
          <w:sz w:val="24"/>
          <w:szCs w:val="24"/>
        </w:rPr>
        <w:t>根据监测结果，</w:t>
      </w:r>
      <w:r>
        <w:rPr>
          <w:rFonts w:ascii="宋体" w:hAnsi="宋体" w:eastAsia="宋体" w:cs="宋体"/>
          <w:spacing w:val="97"/>
          <w:position w:val="17"/>
          <w:sz w:val="24"/>
          <w:szCs w:val="24"/>
        </w:rPr>
        <w:t xml:space="preserve"> </w:t>
      </w:r>
      <w:r>
        <w:rPr>
          <w:rFonts w:ascii="宋体" w:hAnsi="宋体" w:eastAsia="宋体" w:cs="宋体"/>
          <w:spacing w:val="13"/>
          <w:position w:val="17"/>
          <w:sz w:val="24"/>
          <w:szCs w:val="24"/>
        </w:rPr>
        <w:t>高岭头二级水库水质能达到《地表水环境质量标准》</w:t>
      </w:r>
    </w:p>
    <w:p>
      <w:pPr>
        <w:spacing w:line="219" w:lineRule="auto"/>
        <w:ind w:left="12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GB3838-2002</w:t>
      </w:r>
      <w:r>
        <w:rPr>
          <w:rFonts w:ascii="宋体" w:hAnsi="宋体" w:eastAsia="宋体" w:cs="宋体"/>
          <w:spacing w:val="-2"/>
          <w:sz w:val="24"/>
          <w:szCs w:val="24"/>
        </w:rPr>
        <w:t>）中的</w:t>
      </w:r>
      <w:r>
        <w:rPr>
          <w:rFonts w:ascii="Times New Roman" w:hAnsi="Times New Roman" w:eastAsia="Times New Roman" w:cs="Times New Roman"/>
          <w:spacing w:val="-2"/>
          <w:sz w:val="24"/>
          <w:szCs w:val="24"/>
        </w:rPr>
        <w:t>Ⅱ</w:t>
      </w:r>
      <w:r>
        <w:rPr>
          <w:rFonts w:ascii="宋体" w:hAnsi="宋体" w:eastAsia="宋体" w:cs="宋体"/>
          <w:spacing w:val="-2"/>
          <w:sz w:val="24"/>
          <w:szCs w:val="24"/>
        </w:rPr>
        <w:t>类水环境功能区对应标准要求。</w:t>
      </w:r>
    </w:p>
    <w:p>
      <w:pPr>
        <w:spacing w:before="180" w:line="218" w:lineRule="auto"/>
        <w:ind w:left="118"/>
        <w:outlineLvl w:val="1"/>
        <w:rPr>
          <w:rFonts w:ascii="宋体" w:hAnsi="宋体" w:eastAsia="宋体" w:cs="宋体"/>
          <w:sz w:val="24"/>
          <w:szCs w:val="24"/>
        </w:rPr>
      </w:pPr>
      <w:bookmarkStart w:id="26" w:name="bookmark27"/>
      <w:bookmarkEnd w:id="26"/>
      <w:r>
        <w:rPr>
          <w:rFonts w:ascii="Times New Roman" w:hAnsi="Times New Roman" w:eastAsia="Times New Roman" w:cs="Times New Roman"/>
          <w:b/>
          <w:bCs/>
          <w:sz w:val="24"/>
          <w:szCs w:val="24"/>
        </w:rPr>
        <w:t xml:space="preserve">4.3 </w:t>
      </w:r>
      <w:r>
        <w:rPr>
          <w:rFonts w:ascii="宋体" w:hAnsi="宋体" w:eastAsia="宋体" w:cs="宋体"/>
          <w:sz w:val="24"/>
          <w:szCs w:val="24"/>
          <w14:textOutline w14:w="4354" w14:cap="flat" w14:cmpd="sng">
            <w14:solidFill>
              <w14:srgbClr w14:val="000000"/>
            </w14:solidFill>
            <w14:prstDash w14:val="solid"/>
            <w14:miter w14:val="0"/>
          </w14:textOutline>
        </w:rPr>
        <w:t>大气环境质量现状监测与评价</w:t>
      </w:r>
    </w:p>
    <w:p>
      <w:pPr>
        <w:spacing w:before="184" w:line="219" w:lineRule="auto"/>
        <w:ind w:left="60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）基本因子监测情况及达标区判定</w:t>
      </w:r>
    </w:p>
    <w:p>
      <w:pPr>
        <w:spacing w:before="181" w:line="359" w:lineRule="auto"/>
        <w:ind w:left="139" w:right="114" w:firstLine="462"/>
        <w:jc w:val="both"/>
        <w:rPr>
          <w:rFonts w:ascii="宋体" w:hAnsi="宋体" w:eastAsia="宋体" w:cs="宋体"/>
          <w:sz w:val="24"/>
          <w:szCs w:val="24"/>
        </w:rPr>
      </w:pPr>
      <w:r>
        <w:rPr>
          <w:rFonts w:ascii="宋体" w:hAnsi="宋体" w:eastAsia="宋体" w:cs="宋体"/>
          <w:spacing w:val="-1"/>
          <w:sz w:val="24"/>
          <w:szCs w:val="24"/>
        </w:rPr>
        <w:t>根据《环境影响评价技术导则大气环境》（</w:t>
      </w:r>
      <w:r>
        <w:rPr>
          <w:rFonts w:ascii="Times New Roman" w:hAnsi="Times New Roman" w:eastAsia="Times New Roman" w:cs="Times New Roman"/>
          <w:spacing w:val="-1"/>
          <w:sz w:val="24"/>
          <w:szCs w:val="24"/>
        </w:rPr>
        <w:t>HJ2.2-2018</w:t>
      </w:r>
      <w:r>
        <w:rPr>
          <w:rFonts w:ascii="宋体" w:hAnsi="宋体" w:eastAsia="宋体" w:cs="宋体"/>
          <w:spacing w:val="2"/>
          <w:sz w:val="24"/>
          <w:szCs w:val="24"/>
        </w:rPr>
        <w:t>），</w:t>
      </w:r>
      <w:r>
        <w:rPr>
          <w:rFonts w:ascii="宋体" w:hAnsi="宋体" w:eastAsia="宋体" w:cs="宋体"/>
          <w:spacing w:val="-1"/>
          <w:sz w:val="24"/>
          <w:szCs w:val="24"/>
        </w:rPr>
        <w:t>判断项目所在地</w:t>
      </w:r>
      <w:r>
        <w:rPr>
          <w:rFonts w:ascii="宋体" w:hAnsi="宋体" w:eastAsia="宋体" w:cs="宋体"/>
          <w:spacing w:val="1"/>
          <w:sz w:val="24"/>
          <w:szCs w:val="24"/>
        </w:rPr>
        <w:t xml:space="preserve"> </w:t>
      </w:r>
      <w:r>
        <w:rPr>
          <w:rFonts w:ascii="宋体" w:hAnsi="宋体" w:eastAsia="宋体" w:cs="宋体"/>
          <w:spacing w:val="-6"/>
          <w:sz w:val="24"/>
          <w:szCs w:val="24"/>
        </w:rPr>
        <w:t>区域是否达标，</w:t>
      </w:r>
      <w:r>
        <w:rPr>
          <w:rFonts w:ascii="宋体" w:hAnsi="宋体" w:eastAsia="宋体" w:cs="宋体"/>
          <w:spacing w:val="-32"/>
          <w:sz w:val="24"/>
          <w:szCs w:val="24"/>
        </w:rPr>
        <w:t xml:space="preserve"> </w:t>
      </w:r>
      <w:r>
        <w:rPr>
          <w:rFonts w:ascii="宋体" w:hAnsi="宋体" w:eastAsia="宋体" w:cs="宋体"/>
          <w:spacing w:val="-6"/>
          <w:sz w:val="24"/>
          <w:szCs w:val="24"/>
        </w:rPr>
        <w:t>优先采用国家或地方生态环境主管部门公开发布的评价基准年环</w:t>
      </w:r>
    </w:p>
    <w:p>
      <w:pPr>
        <w:spacing w:line="218" w:lineRule="auto"/>
        <w:ind w:left="123"/>
        <w:rPr>
          <w:rFonts w:ascii="宋体" w:hAnsi="宋体" w:eastAsia="宋体" w:cs="宋体"/>
          <w:sz w:val="24"/>
          <w:szCs w:val="24"/>
        </w:rPr>
      </w:pPr>
      <w:r>
        <w:rPr>
          <w:rFonts w:ascii="宋体" w:hAnsi="宋体" w:eastAsia="宋体" w:cs="宋体"/>
          <w:spacing w:val="-3"/>
          <w:sz w:val="24"/>
          <w:szCs w:val="24"/>
        </w:rPr>
        <w:t>境质量公告或环境质量报告中的数据或结论。</w:t>
      </w:r>
    </w:p>
    <w:p>
      <w:pPr>
        <w:spacing w:before="185" w:line="465" w:lineRule="exact"/>
        <w:ind w:left="603"/>
        <w:rPr>
          <w:rFonts w:ascii="宋体" w:hAnsi="宋体" w:eastAsia="宋体" w:cs="宋体"/>
          <w:sz w:val="24"/>
          <w:szCs w:val="24"/>
        </w:rPr>
      </w:pPr>
      <w:r>
        <w:rPr>
          <w:rFonts w:ascii="宋体" w:hAnsi="宋体" w:eastAsia="宋体" w:cs="宋体"/>
          <w:position w:val="17"/>
          <w:sz w:val="24"/>
          <w:szCs w:val="24"/>
        </w:rPr>
        <w:t>本项目位于温州市文成县，根据《文成县环境质量年报（</w:t>
      </w:r>
      <w:r>
        <w:rPr>
          <w:rFonts w:ascii="Times New Roman" w:hAnsi="Times New Roman" w:eastAsia="Times New Roman" w:cs="Times New Roman"/>
          <w:position w:val="17"/>
          <w:sz w:val="24"/>
          <w:szCs w:val="24"/>
        </w:rPr>
        <w:t xml:space="preserve">2022 </w:t>
      </w:r>
      <w:r>
        <w:rPr>
          <w:rFonts w:ascii="宋体" w:hAnsi="宋体" w:eastAsia="宋体" w:cs="宋体"/>
          <w:position w:val="17"/>
          <w:sz w:val="24"/>
          <w:szCs w:val="24"/>
        </w:rPr>
        <w:t>年）》，文</w:t>
      </w:r>
    </w:p>
    <w:p>
      <w:pPr>
        <w:spacing w:before="1" w:line="219" w:lineRule="auto"/>
        <w:ind w:left="124"/>
        <w:rPr>
          <w:rFonts w:ascii="宋体" w:hAnsi="宋体" w:eastAsia="宋体" w:cs="宋体"/>
          <w:sz w:val="24"/>
          <w:szCs w:val="24"/>
        </w:rPr>
      </w:pPr>
      <w:r>
        <w:rPr>
          <w:rFonts w:ascii="宋体" w:hAnsi="宋体" w:eastAsia="宋体" w:cs="宋体"/>
          <w:spacing w:val="-4"/>
          <w:sz w:val="24"/>
          <w:szCs w:val="24"/>
        </w:rPr>
        <w:t>成县各项污染物浓度见下表。</w:t>
      </w:r>
    </w:p>
    <w:p>
      <w:pPr>
        <w:spacing w:before="183" w:line="212" w:lineRule="auto"/>
        <w:ind w:left="1061"/>
        <w:rPr>
          <w:rFonts w:ascii="Times New Roman" w:hAnsi="Times New Roman" w:eastAsia="Times New Roman" w:cs="Times New Roman"/>
          <w:sz w:val="16"/>
          <w:szCs w:val="16"/>
        </w:rPr>
      </w:pPr>
      <w:r>
        <w:rPr>
          <w:rFonts w:ascii="宋体" w:hAnsi="宋体" w:eastAsia="宋体" w:cs="宋体"/>
          <w:spacing w:val="-5"/>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4.3-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文成县环境空气污染物浓度值</w:t>
      </w:r>
      <w:r>
        <w:rPr>
          <w:rFonts w:ascii="宋体" w:hAnsi="宋体" w:eastAsia="宋体" w:cs="宋体"/>
          <w:spacing w:val="1"/>
          <w:sz w:val="24"/>
          <w:szCs w:val="24"/>
        </w:rPr>
        <w:t xml:space="preserve">      </w:t>
      </w:r>
      <w:r>
        <w:rPr>
          <w:rFonts w:ascii="宋体" w:hAnsi="宋体" w:eastAsia="宋体" w:cs="宋体"/>
          <w:spacing w:val="-5"/>
          <w:sz w:val="24"/>
          <w:szCs w:val="24"/>
        </w:rPr>
        <w:t xml:space="preserve">单位： </w:t>
      </w:r>
      <w:r>
        <w:rPr>
          <w:rFonts w:ascii="Times New Roman" w:hAnsi="Times New Roman" w:eastAsia="Times New Roman" w:cs="Times New Roman"/>
          <w:spacing w:val="-5"/>
          <w:sz w:val="24"/>
          <w:szCs w:val="24"/>
        </w:rPr>
        <w:t>μg/m</w:t>
      </w:r>
      <w:r>
        <w:rPr>
          <w:rFonts w:ascii="Times New Roman" w:hAnsi="Times New Roman" w:eastAsia="Times New Roman" w:cs="Times New Roman"/>
          <w:spacing w:val="-5"/>
          <w:position w:val="9"/>
          <w:sz w:val="16"/>
          <w:szCs w:val="16"/>
        </w:rPr>
        <w:t>3</w:t>
      </w:r>
    </w:p>
    <w:p>
      <w:pPr>
        <w:spacing w:line="153"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2692"/>
        <w:gridCol w:w="1005"/>
        <w:gridCol w:w="1532"/>
        <w:gridCol w:w="1188"/>
        <w:gridCol w:w="9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13" w:type="dxa"/>
            <w:vAlign w:val="top"/>
          </w:tcPr>
          <w:p>
            <w:pPr>
              <w:pStyle w:val="6"/>
              <w:spacing w:before="75" w:line="231" w:lineRule="auto"/>
              <w:ind w:left="496" w:right="131" w:hanging="352"/>
            </w:pPr>
            <w:r>
              <w:rPr>
                <w:spacing w:val="-2"/>
              </w:rPr>
              <w:t>污染物项</w:t>
            </w:r>
            <w:r>
              <w:t xml:space="preserve"> 目</w:t>
            </w:r>
          </w:p>
        </w:tc>
        <w:tc>
          <w:tcPr>
            <w:tcW w:w="2692" w:type="dxa"/>
            <w:vAlign w:val="top"/>
          </w:tcPr>
          <w:p>
            <w:pPr>
              <w:pStyle w:val="6"/>
              <w:spacing w:before="212" w:line="221" w:lineRule="auto"/>
              <w:ind w:left="929"/>
            </w:pPr>
            <w:r>
              <w:rPr>
                <w:spacing w:val="-1"/>
              </w:rPr>
              <w:t>平均时间</w:t>
            </w:r>
          </w:p>
        </w:tc>
        <w:tc>
          <w:tcPr>
            <w:tcW w:w="1005" w:type="dxa"/>
            <w:vAlign w:val="top"/>
          </w:tcPr>
          <w:p>
            <w:pPr>
              <w:pStyle w:val="6"/>
              <w:spacing w:before="212" w:line="221" w:lineRule="auto"/>
              <w:ind w:left="297"/>
            </w:pPr>
            <w:r>
              <w:rPr>
                <w:spacing w:val="-2"/>
              </w:rPr>
              <w:t>浓度</w:t>
            </w:r>
          </w:p>
        </w:tc>
        <w:tc>
          <w:tcPr>
            <w:tcW w:w="1532" w:type="dxa"/>
            <w:vAlign w:val="top"/>
          </w:tcPr>
          <w:p>
            <w:pPr>
              <w:pStyle w:val="6"/>
              <w:spacing w:before="211" w:line="221" w:lineRule="auto"/>
              <w:ind w:left="143"/>
            </w:pPr>
            <w:r>
              <w:rPr>
                <w:spacing w:val="-2"/>
              </w:rPr>
              <w:t>二级浓度限值</w:t>
            </w:r>
          </w:p>
        </w:tc>
        <w:tc>
          <w:tcPr>
            <w:tcW w:w="1188" w:type="dxa"/>
            <w:vAlign w:val="top"/>
          </w:tcPr>
          <w:p>
            <w:pPr>
              <w:pStyle w:val="6"/>
              <w:spacing w:before="55" w:line="312" w:lineRule="exact"/>
              <w:ind w:left="321"/>
            </w:pPr>
            <w:r>
              <w:rPr>
                <w:spacing w:val="-9"/>
                <w:position w:val="7"/>
              </w:rPr>
              <w:t>占标率</w:t>
            </w:r>
          </w:p>
          <w:p>
            <w:pPr>
              <w:pStyle w:val="6"/>
              <w:spacing w:line="224" w:lineRule="auto"/>
              <w:ind w:left="309"/>
            </w:pPr>
            <w:r>
              <w:rPr>
                <w:spacing w:val="-5"/>
              </w:rPr>
              <w:t>（</w:t>
            </w:r>
            <w:r>
              <w:rPr>
                <w:rFonts w:ascii="Times New Roman" w:hAnsi="Times New Roman" w:eastAsia="Times New Roman" w:cs="Times New Roman"/>
                <w:spacing w:val="-5"/>
              </w:rPr>
              <w:t>%</w:t>
            </w:r>
            <w:r>
              <w:rPr>
                <w:spacing w:val="-5"/>
              </w:rPr>
              <w:t>）</w:t>
            </w:r>
          </w:p>
        </w:tc>
        <w:tc>
          <w:tcPr>
            <w:tcW w:w="998" w:type="dxa"/>
            <w:vAlign w:val="top"/>
          </w:tcPr>
          <w:p>
            <w:pPr>
              <w:pStyle w:val="6"/>
              <w:spacing w:before="55" w:line="248" w:lineRule="auto"/>
              <w:ind w:left="400" w:right="179" w:hanging="213"/>
            </w:pPr>
            <w:r>
              <w:rPr>
                <w:spacing w:val="-2"/>
              </w:rPr>
              <w:t>达标情</w:t>
            </w:r>
            <w:r>
              <w:rPr>
                <w:spacing w:val="1"/>
              </w:rPr>
              <w:t xml:space="preserve"> </w:t>
            </w:r>
            <w: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113" w:type="dxa"/>
            <w:vMerge w:val="restart"/>
            <w:tcBorders>
              <w:bottom w:val="nil"/>
            </w:tcBorders>
            <w:vAlign w:val="top"/>
          </w:tcPr>
          <w:p>
            <w:pPr>
              <w:pStyle w:val="6"/>
              <w:spacing w:before="212" w:line="220" w:lineRule="auto"/>
              <w:ind w:left="145"/>
            </w:pPr>
            <w:r>
              <w:rPr>
                <w:spacing w:val="-3"/>
              </w:rPr>
              <w:t>二氧化硫</w:t>
            </w:r>
          </w:p>
        </w:tc>
        <w:tc>
          <w:tcPr>
            <w:tcW w:w="2692" w:type="dxa"/>
            <w:vAlign w:val="top"/>
          </w:tcPr>
          <w:p>
            <w:pPr>
              <w:pStyle w:val="6"/>
              <w:spacing w:before="51" w:line="221" w:lineRule="auto"/>
              <w:ind w:left="1034"/>
            </w:pPr>
            <w:r>
              <w:rPr>
                <w:spacing w:val="-2"/>
              </w:rPr>
              <w:t>年平均</w:t>
            </w:r>
          </w:p>
        </w:tc>
        <w:tc>
          <w:tcPr>
            <w:tcW w:w="1005" w:type="dxa"/>
            <w:vAlign w:val="top"/>
          </w:tcPr>
          <w:p>
            <w:pPr>
              <w:spacing w:before="90" w:line="187"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32" w:type="dxa"/>
            <w:vAlign w:val="top"/>
          </w:tcPr>
          <w:p>
            <w:pPr>
              <w:spacing w:before="90" w:line="187" w:lineRule="auto"/>
              <w:ind w:left="6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188" w:type="dxa"/>
            <w:vAlign w:val="top"/>
          </w:tcPr>
          <w:p>
            <w:pPr>
              <w:spacing w:before="85" w:line="187" w:lineRule="auto"/>
              <w:ind w:left="37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6.7%</w:t>
            </w:r>
          </w:p>
        </w:tc>
        <w:tc>
          <w:tcPr>
            <w:tcW w:w="998" w:type="dxa"/>
            <w:vAlign w:val="top"/>
          </w:tcPr>
          <w:p>
            <w:pPr>
              <w:pStyle w:val="6"/>
              <w:spacing w:before="59" w:line="229" w:lineRule="auto"/>
              <w:ind w:left="302"/>
              <w:rPr>
                <w:sz w:val="19"/>
                <w:szCs w:val="19"/>
              </w:rPr>
            </w:pPr>
            <w:r>
              <w:rPr>
                <w:spacing w:val="5"/>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13" w:type="dxa"/>
            <w:vMerge w:val="continue"/>
            <w:tcBorders>
              <w:top w:val="nil"/>
            </w:tcBorders>
            <w:vAlign w:val="top"/>
          </w:tcPr>
          <w:p>
            <w:pPr>
              <w:rPr>
                <w:rFonts w:ascii="Arial"/>
                <w:sz w:val="21"/>
              </w:rPr>
            </w:pPr>
          </w:p>
        </w:tc>
        <w:tc>
          <w:tcPr>
            <w:tcW w:w="2692" w:type="dxa"/>
            <w:vAlign w:val="top"/>
          </w:tcPr>
          <w:p>
            <w:pPr>
              <w:pStyle w:val="6"/>
              <w:spacing w:before="48" w:line="221" w:lineRule="auto"/>
              <w:ind w:left="110"/>
            </w:pPr>
            <w:r>
              <w:rPr>
                <w:rFonts w:ascii="Times New Roman" w:hAnsi="Times New Roman" w:eastAsia="Times New Roman" w:cs="Times New Roman"/>
                <w:spacing w:val="-4"/>
              </w:rPr>
              <w:t>24</w:t>
            </w:r>
            <w:r>
              <w:rPr>
                <w:rFonts w:ascii="Times New Roman" w:hAnsi="Times New Roman" w:eastAsia="Times New Roman" w:cs="Times New Roman"/>
                <w:spacing w:val="25"/>
              </w:rPr>
              <w:t xml:space="preserve"> </w:t>
            </w:r>
            <w:r>
              <w:rPr>
                <w:spacing w:val="-4"/>
              </w:rPr>
              <w:t>小时平均第</w:t>
            </w:r>
            <w:r>
              <w:rPr>
                <w:spacing w:val="-43"/>
              </w:rPr>
              <w:t xml:space="preserve"> </w:t>
            </w:r>
            <w:r>
              <w:rPr>
                <w:rFonts w:ascii="Times New Roman" w:hAnsi="Times New Roman" w:eastAsia="Times New Roman" w:cs="Times New Roman"/>
                <w:spacing w:val="-4"/>
              </w:rPr>
              <w:t>98</w:t>
            </w:r>
            <w:r>
              <w:rPr>
                <w:rFonts w:ascii="Times New Roman" w:hAnsi="Times New Roman" w:eastAsia="Times New Roman" w:cs="Times New Roman"/>
                <w:spacing w:val="16"/>
              </w:rPr>
              <w:t xml:space="preserve"> </w:t>
            </w:r>
            <w:r>
              <w:rPr>
                <w:spacing w:val="-4"/>
              </w:rPr>
              <w:t>百分位数</w:t>
            </w:r>
          </w:p>
        </w:tc>
        <w:tc>
          <w:tcPr>
            <w:tcW w:w="1005" w:type="dxa"/>
            <w:vAlign w:val="top"/>
          </w:tcPr>
          <w:p>
            <w:pPr>
              <w:spacing w:before="90" w:line="184" w:lineRule="auto"/>
              <w:ind w:left="453"/>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32" w:type="dxa"/>
            <w:vAlign w:val="top"/>
          </w:tcPr>
          <w:p>
            <w:pPr>
              <w:spacing w:before="87" w:line="187" w:lineRule="auto"/>
              <w:ind w:left="62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150</w:t>
            </w:r>
          </w:p>
        </w:tc>
        <w:tc>
          <w:tcPr>
            <w:tcW w:w="1188" w:type="dxa"/>
            <w:vAlign w:val="top"/>
          </w:tcPr>
          <w:p>
            <w:pPr>
              <w:spacing w:before="83" w:line="187" w:lineRule="auto"/>
              <w:ind w:left="36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w:t>
            </w:r>
          </w:p>
        </w:tc>
        <w:tc>
          <w:tcPr>
            <w:tcW w:w="998" w:type="dxa"/>
            <w:vAlign w:val="top"/>
          </w:tcPr>
          <w:p>
            <w:pPr>
              <w:pStyle w:val="6"/>
              <w:spacing w:before="57" w:line="229" w:lineRule="auto"/>
              <w:ind w:left="302"/>
              <w:rPr>
                <w:sz w:val="19"/>
                <w:szCs w:val="19"/>
              </w:rPr>
            </w:pPr>
            <w:r>
              <w:rPr>
                <w:spacing w:val="5"/>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13" w:type="dxa"/>
            <w:vMerge w:val="restart"/>
            <w:tcBorders>
              <w:bottom w:val="nil"/>
            </w:tcBorders>
            <w:vAlign w:val="top"/>
          </w:tcPr>
          <w:p>
            <w:pPr>
              <w:pStyle w:val="6"/>
              <w:spacing w:before="210" w:line="220" w:lineRule="auto"/>
              <w:ind w:left="145"/>
            </w:pPr>
            <w:r>
              <w:rPr>
                <w:spacing w:val="-3"/>
              </w:rPr>
              <w:t>二氧化氮</w:t>
            </w:r>
          </w:p>
        </w:tc>
        <w:tc>
          <w:tcPr>
            <w:tcW w:w="2692" w:type="dxa"/>
            <w:vAlign w:val="top"/>
          </w:tcPr>
          <w:p>
            <w:pPr>
              <w:pStyle w:val="6"/>
              <w:spacing w:before="49" w:line="221" w:lineRule="auto"/>
              <w:ind w:left="1034"/>
            </w:pPr>
            <w:r>
              <w:rPr>
                <w:spacing w:val="-2"/>
              </w:rPr>
              <w:t>年平均</w:t>
            </w:r>
          </w:p>
        </w:tc>
        <w:tc>
          <w:tcPr>
            <w:tcW w:w="1005" w:type="dxa"/>
            <w:vAlign w:val="top"/>
          </w:tcPr>
          <w:p>
            <w:pPr>
              <w:spacing w:before="88" w:line="187" w:lineRule="auto"/>
              <w:ind w:left="422"/>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1532" w:type="dxa"/>
            <w:vAlign w:val="top"/>
          </w:tcPr>
          <w:p>
            <w:pPr>
              <w:spacing w:before="88" w:line="187" w:lineRule="auto"/>
              <w:ind w:left="6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188" w:type="dxa"/>
            <w:vAlign w:val="top"/>
          </w:tcPr>
          <w:p>
            <w:pPr>
              <w:spacing w:before="83" w:line="187" w:lineRule="auto"/>
              <w:ind w:left="31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27.5%</w:t>
            </w:r>
          </w:p>
        </w:tc>
        <w:tc>
          <w:tcPr>
            <w:tcW w:w="998" w:type="dxa"/>
            <w:vAlign w:val="top"/>
          </w:tcPr>
          <w:p>
            <w:pPr>
              <w:pStyle w:val="6"/>
              <w:spacing w:before="57" w:line="229" w:lineRule="auto"/>
              <w:ind w:left="302"/>
              <w:rPr>
                <w:sz w:val="19"/>
                <w:szCs w:val="19"/>
              </w:rPr>
            </w:pPr>
            <w:r>
              <w:rPr>
                <w:spacing w:val="5"/>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13" w:type="dxa"/>
            <w:vMerge w:val="continue"/>
            <w:tcBorders>
              <w:top w:val="nil"/>
            </w:tcBorders>
            <w:vAlign w:val="top"/>
          </w:tcPr>
          <w:p>
            <w:pPr>
              <w:rPr>
                <w:rFonts w:ascii="Arial"/>
                <w:sz w:val="21"/>
              </w:rPr>
            </w:pPr>
          </w:p>
        </w:tc>
        <w:tc>
          <w:tcPr>
            <w:tcW w:w="2692" w:type="dxa"/>
            <w:vAlign w:val="top"/>
          </w:tcPr>
          <w:p>
            <w:pPr>
              <w:pStyle w:val="6"/>
              <w:spacing w:before="49" w:line="221" w:lineRule="auto"/>
              <w:ind w:left="110"/>
            </w:pPr>
            <w:r>
              <w:rPr>
                <w:rFonts w:ascii="Times New Roman" w:hAnsi="Times New Roman" w:eastAsia="Times New Roman" w:cs="Times New Roman"/>
                <w:spacing w:val="-4"/>
              </w:rPr>
              <w:t>24</w:t>
            </w:r>
            <w:r>
              <w:rPr>
                <w:rFonts w:ascii="Times New Roman" w:hAnsi="Times New Roman" w:eastAsia="Times New Roman" w:cs="Times New Roman"/>
                <w:spacing w:val="25"/>
              </w:rPr>
              <w:t xml:space="preserve"> </w:t>
            </w:r>
            <w:r>
              <w:rPr>
                <w:spacing w:val="-4"/>
              </w:rPr>
              <w:t>小时平均第</w:t>
            </w:r>
            <w:r>
              <w:rPr>
                <w:spacing w:val="-43"/>
              </w:rPr>
              <w:t xml:space="preserve"> </w:t>
            </w:r>
            <w:r>
              <w:rPr>
                <w:rFonts w:ascii="Times New Roman" w:hAnsi="Times New Roman" w:eastAsia="Times New Roman" w:cs="Times New Roman"/>
                <w:spacing w:val="-4"/>
              </w:rPr>
              <w:t>98</w:t>
            </w:r>
            <w:r>
              <w:rPr>
                <w:rFonts w:ascii="Times New Roman" w:hAnsi="Times New Roman" w:eastAsia="Times New Roman" w:cs="Times New Roman"/>
                <w:spacing w:val="16"/>
              </w:rPr>
              <w:t xml:space="preserve"> </w:t>
            </w:r>
            <w:r>
              <w:rPr>
                <w:spacing w:val="-4"/>
              </w:rPr>
              <w:t>百分位数</w:t>
            </w:r>
          </w:p>
        </w:tc>
        <w:tc>
          <w:tcPr>
            <w:tcW w:w="1005" w:type="dxa"/>
            <w:vAlign w:val="top"/>
          </w:tcPr>
          <w:p>
            <w:pPr>
              <w:spacing w:before="88"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1532" w:type="dxa"/>
            <w:vAlign w:val="top"/>
          </w:tcPr>
          <w:p>
            <w:pPr>
              <w:spacing w:before="88" w:line="187" w:lineRule="auto"/>
              <w:ind w:left="6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188" w:type="dxa"/>
            <w:vAlign w:val="top"/>
          </w:tcPr>
          <w:p>
            <w:pPr>
              <w:spacing w:before="84" w:line="187" w:lineRule="auto"/>
              <w:ind w:left="31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28.8%</w:t>
            </w:r>
          </w:p>
        </w:tc>
        <w:tc>
          <w:tcPr>
            <w:tcW w:w="998" w:type="dxa"/>
            <w:vAlign w:val="top"/>
          </w:tcPr>
          <w:p>
            <w:pPr>
              <w:pStyle w:val="6"/>
              <w:spacing w:before="58" w:line="229" w:lineRule="auto"/>
              <w:ind w:left="302"/>
              <w:rPr>
                <w:sz w:val="19"/>
                <w:szCs w:val="19"/>
              </w:rPr>
            </w:pPr>
            <w:r>
              <w:rPr>
                <w:spacing w:val="5"/>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13" w:type="dxa"/>
            <w:vAlign w:val="top"/>
          </w:tcPr>
          <w:p>
            <w:pPr>
              <w:pStyle w:val="6"/>
              <w:spacing w:before="31" w:line="223" w:lineRule="auto"/>
              <w:ind w:left="122" w:right="33" w:firstLine="23"/>
            </w:pPr>
            <w:r>
              <w:rPr>
                <w:spacing w:val="-3"/>
              </w:rPr>
              <w:t>一氧化碳</w:t>
            </w:r>
            <w:r>
              <w:t xml:space="preserve">  </w:t>
            </w:r>
            <w:r>
              <w:rPr>
                <w:spacing w:val="-4"/>
              </w:rPr>
              <w:t>（</w:t>
            </w:r>
            <w:r>
              <w:rPr>
                <w:rFonts w:ascii="Times New Roman" w:hAnsi="Times New Roman" w:eastAsia="Times New Roman" w:cs="Times New Roman"/>
                <w:spacing w:val="-4"/>
              </w:rPr>
              <w:t>mg/m</w:t>
            </w:r>
            <w:r>
              <w:rPr>
                <w:rFonts w:ascii="Times New Roman" w:hAnsi="Times New Roman" w:eastAsia="Times New Roman" w:cs="Times New Roman"/>
                <w:spacing w:val="-4"/>
                <w:position w:val="6"/>
                <w:sz w:val="13"/>
                <w:szCs w:val="13"/>
              </w:rPr>
              <w:t>3</w:t>
            </w:r>
            <w:r>
              <w:rPr>
                <w:spacing w:val="-4"/>
              </w:rPr>
              <w:t>）</w:t>
            </w:r>
          </w:p>
        </w:tc>
        <w:tc>
          <w:tcPr>
            <w:tcW w:w="2692" w:type="dxa"/>
            <w:vAlign w:val="top"/>
          </w:tcPr>
          <w:p>
            <w:pPr>
              <w:pStyle w:val="6"/>
              <w:spacing w:before="168" w:line="221" w:lineRule="auto"/>
              <w:ind w:left="110"/>
            </w:pPr>
            <w:r>
              <w:rPr>
                <w:rFonts w:ascii="Times New Roman" w:hAnsi="Times New Roman" w:eastAsia="Times New Roman" w:cs="Times New Roman"/>
                <w:spacing w:val="-4"/>
              </w:rPr>
              <w:t>24</w:t>
            </w:r>
            <w:r>
              <w:rPr>
                <w:rFonts w:ascii="Times New Roman" w:hAnsi="Times New Roman" w:eastAsia="Times New Roman" w:cs="Times New Roman"/>
                <w:spacing w:val="25"/>
              </w:rPr>
              <w:t xml:space="preserve"> </w:t>
            </w:r>
            <w:r>
              <w:rPr>
                <w:spacing w:val="-4"/>
              </w:rPr>
              <w:t>小时平均第</w:t>
            </w:r>
            <w:r>
              <w:rPr>
                <w:spacing w:val="-43"/>
              </w:rPr>
              <w:t xml:space="preserve"> </w:t>
            </w:r>
            <w:r>
              <w:rPr>
                <w:rFonts w:ascii="Times New Roman" w:hAnsi="Times New Roman" w:eastAsia="Times New Roman" w:cs="Times New Roman"/>
                <w:spacing w:val="-4"/>
              </w:rPr>
              <w:t>95</w:t>
            </w:r>
            <w:r>
              <w:rPr>
                <w:rFonts w:ascii="Times New Roman" w:hAnsi="Times New Roman" w:eastAsia="Times New Roman" w:cs="Times New Roman"/>
                <w:spacing w:val="16"/>
              </w:rPr>
              <w:t xml:space="preserve"> </w:t>
            </w:r>
            <w:r>
              <w:rPr>
                <w:spacing w:val="-4"/>
              </w:rPr>
              <w:t>百分位数</w:t>
            </w:r>
          </w:p>
        </w:tc>
        <w:tc>
          <w:tcPr>
            <w:tcW w:w="1005" w:type="dxa"/>
            <w:vAlign w:val="top"/>
          </w:tcPr>
          <w:p>
            <w:pPr>
              <w:spacing w:before="207" w:line="187" w:lineRule="auto"/>
              <w:ind w:left="3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tc>
        <w:tc>
          <w:tcPr>
            <w:tcW w:w="1532" w:type="dxa"/>
            <w:vAlign w:val="top"/>
          </w:tcPr>
          <w:p>
            <w:pPr>
              <w:pStyle w:val="6"/>
              <w:spacing w:before="169" w:line="221" w:lineRule="auto"/>
              <w:ind w:left="110"/>
              <w:rPr>
                <w:rFonts w:ascii="Times New Roman" w:hAnsi="Times New Roman" w:eastAsia="Times New Roman" w:cs="Times New Roman"/>
              </w:rPr>
            </w:pPr>
            <w:r>
              <w:rPr>
                <w:rFonts w:ascii="Times New Roman" w:hAnsi="Times New Roman" w:eastAsia="Times New Roman" w:cs="Times New Roman"/>
                <w:spacing w:val="-15"/>
              </w:rPr>
              <w:t>24</w:t>
            </w:r>
            <w:r>
              <w:rPr>
                <w:rFonts w:ascii="Times New Roman" w:hAnsi="Times New Roman" w:eastAsia="Times New Roman" w:cs="Times New Roman"/>
                <w:spacing w:val="14"/>
                <w:w w:val="101"/>
              </w:rPr>
              <w:t xml:space="preserve"> </w:t>
            </w:r>
            <w:r>
              <w:rPr>
                <w:spacing w:val="-15"/>
              </w:rPr>
              <w:t>小时平均：</w:t>
            </w:r>
            <w:r>
              <w:rPr>
                <w:rFonts w:ascii="Times New Roman" w:hAnsi="Times New Roman" w:eastAsia="Times New Roman" w:cs="Times New Roman"/>
                <w:spacing w:val="-15"/>
              </w:rPr>
              <w:t>4</w:t>
            </w:r>
          </w:p>
        </w:tc>
        <w:tc>
          <w:tcPr>
            <w:tcW w:w="1188" w:type="dxa"/>
            <w:vAlign w:val="top"/>
          </w:tcPr>
          <w:p>
            <w:pPr>
              <w:spacing w:before="203" w:line="187" w:lineRule="auto"/>
              <w:ind w:left="33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15.0%</w:t>
            </w:r>
          </w:p>
        </w:tc>
        <w:tc>
          <w:tcPr>
            <w:tcW w:w="998" w:type="dxa"/>
            <w:vAlign w:val="top"/>
          </w:tcPr>
          <w:p>
            <w:pPr>
              <w:pStyle w:val="6"/>
              <w:spacing w:before="177" w:line="229" w:lineRule="auto"/>
              <w:ind w:left="302"/>
              <w:rPr>
                <w:sz w:val="19"/>
                <w:szCs w:val="19"/>
              </w:rPr>
            </w:pPr>
            <w:r>
              <w:rPr>
                <w:spacing w:val="5"/>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13" w:type="dxa"/>
            <w:vAlign w:val="top"/>
          </w:tcPr>
          <w:p>
            <w:pPr>
              <w:pStyle w:val="6"/>
              <w:spacing w:before="169" w:line="220" w:lineRule="auto"/>
              <w:ind w:left="351"/>
            </w:pPr>
            <w:r>
              <w:rPr>
                <w:spacing w:val="-2"/>
              </w:rPr>
              <w:t>臭氧</w:t>
            </w:r>
          </w:p>
        </w:tc>
        <w:tc>
          <w:tcPr>
            <w:tcW w:w="2692" w:type="dxa"/>
            <w:vAlign w:val="top"/>
          </w:tcPr>
          <w:p>
            <w:pPr>
              <w:pStyle w:val="6"/>
              <w:spacing w:before="31" w:line="223" w:lineRule="auto"/>
              <w:ind w:left="666" w:right="103" w:hanging="518"/>
            </w:pPr>
            <w:r>
              <w:rPr>
                <w:spacing w:val="-6"/>
              </w:rPr>
              <w:t>日最大</w:t>
            </w:r>
            <w:r>
              <w:rPr>
                <w:spacing w:val="-60"/>
              </w:rPr>
              <w:t xml:space="preserve"> </w:t>
            </w:r>
            <w:r>
              <w:rPr>
                <w:rFonts w:ascii="Times New Roman" w:hAnsi="Times New Roman" w:eastAsia="Times New Roman" w:cs="Times New Roman"/>
                <w:spacing w:val="-6"/>
              </w:rPr>
              <w:t xml:space="preserve">8 </w:t>
            </w:r>
            <w:r>
              <w:rPr>
                <w:spacing w:val="-6"/>
              </w:rPr>
              <w:t>小时滑动平均值的</w:t>
            </w:r>
            <w:r>
              <w:t xml:space="preserve"> </w:t>
            </w:r>
            <w:r>
              <w:rPr>
                <w:spacing w:val="-4"/>
              </w:rPr>
              <w:t>第</w:t>
            </w:r>
            <w:r>
              <w:rPr>
                <w:spacing w:val="-44"/>
              </w:rPr>
              <w:t xml:space="preserve"> </w:t>
            </w:r>
            <w:r>
              <w:rPr>
                <w:rFonts w:ascii="Times New Roman" w:hAnsi="Times New Roman" w:eastAsia="Times New Roman" w:cs="Times New Roman"/>
                <w:spacing w:val="-4"/>
              </w:rPr>
              <w:t>90</w:t>
            </w:r>
            <w:r>
              <w:rPr>
                <w:rFonts w:ascii="Times New Roman" w:hAnsi="Times New Roman" w:eastAsia="Times New Roman" w:cs="Times New Roman"/>
                <w:spacing w:val="13"/>
                <w:w w:val="101"/>
              </w:rPr>
              <w:t xml:space="preserve"> </w:t>
            </w:r>
            <w:r>
              <w:rPr>
                <w:spacing w:val="-4"/>
              </w:rPr>
              <w:t>百分位数</w:t>
            </w:r>
          </w:p>
        </w:tc>
        <w:tc>
          <w:tcPr>
            <w:tcW w:w="1005" w:type="dxa"/>
            <w:vAlign w:val="top"/>
          </w:tcPr>
          <w:p>
            <w:pPr>
              <w:spacing w:before="207" w:line="187" w:lineRule="auto"/>
              <w:ind w:left="36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123</w:t>
            </w:r>
          </w:p>
        </w:tc>
        <w:tc>
          <w:tcPr>
            <w:tcW w:w="1532" w:type="dxa"/>
            <w:vAlign w:val="top"/>
          </w:tcPr>
          <w:p>
            <w:pPr>
              <w:pStyle w:val="6"/>
              <w:spacing w:before="31" w:line="223" w:lineRule="auto"/>
              <w:ind w:left="297" w:right="132" w:hanging="121"/>
              <w:rPr>
                <w:rFonts w:ascii="Times New Roman" w:hAnsi="Times New Roman" w:eastAsia="Times New Roman" w:cs="Times New Roman"/>
              </w:rPr>
            </w:pPr>
            <w:r>
              <w:rPr>
                <w:spacing w:val="-12"/>
              </w:rPr>
              <w:t>日最大</w:t>
            </w:r>
            <w:r>
              <w:rPr>
                <w:spacing w:val="-38"/>
              </w:rPr>
              <w:t xml:space="preserve"> </w:t>
            </w:r>
            <w:r>
              <w:rPr>
                <w:rFonts w:ascii="Times New Roman" w:hAnsi="Times New Roman" w:eastAsia="Times New Roman" w:cs="Times New Roman"/>
                <w:spacing w:val="-12"/>
              </w:rPr>
              <w:t>8</w:t>
            </w:r>
            <w:r>
              <w:rPr>
                <w:rFonts w:ascii="Times New Roman" w:hAnsi="Times New Roman" w:eastAsia="Times New Roman" w:cs="Times New Roman"/>
                <w:spacing w:val="14"/>
              </w:rPr>
              <w:t xml:space="preserve"> </w:t>
            </w:r>
            <w:r>
              <w:rPr>
                <w:spacing w:val="-12"/>
              </w:rPr>
              <w:t>小时</w:t>
            </w:r>
            <w:r>
              <w:t xml:space="preserve"> </w:t>
            </w:r>
            <w:r>
              <w:rPr>
                <w:spacing w:val="-21"/>
              </w:rPr>
              <w:t>平均：</w:t>
            </w:r>
            <w:r>
              <w:rPr>
                <w:spacing w:val="23"/>
              </w:rPr>
              <w:t xml:space="preserve"> </w:t>
            </w:r>
            <w:r>
              <w:rPr>
                <w:rFonts w:ascii="Times New Roman" w:hAnsi="Times New Roman" w:eastAsia="Times New Roman" w:cs="Times New Roman"/>
                <w:spacing w:val="-21"/>
              </w:rPr>
              <w:t>160</w:t>
            </w:r>
          </w:p>
        </w:tc>
        <w:tc>
          <w:tcPr>
            <w:tcW w:w="1188" w:type="dxa"/>
            <w:vAlign w:val="top"/>
          </w:tcPr>
          <w:p>
            <w:pPr>
              <w:spacing w:before="203" w:line="187" w:lineRule="auto"/>
              <w:ind w:left="31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76.9%</w:t>
            </w:r>
          </w:p>
        </w:tc>
        <w:tc>
          <w:tcPr>
            <w:tcW w:w="998" w:type="dxa"/>
            <w:vAlign w:val="top"/>
          </w:tcPr>
          <w:p>
            <w:pPr>
              <w:pStyle w:val="6"/>
              <w:spacing w:before="177" w:line="229" w:lineRule="auto"/>
              <w:ind w:left="302"/>
              <w:rPr>
                <w:sz w:val="19"/>
                <w:szCs w:val="19"/>
              </w:rPr>
            </w:pPr>
            <w:r>
              <w:rPr>
                <w:spacing w:val="5"/>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113" w:type="dxa"/>
            <w:vMerge w:val="restart"/>
            <w:tcBorders>
              <w:bottom w:val="nil"/>
            </w:tcBorders>
            <w:vAlign w:val="top"/>
          </w:tcPr>
          <w:p>
            <w:pPr>
              <w:pStyle w:val="6"/>
              <w:spacing w:before="215" w:line="221" w:lineRule="auto"/>
              <w:ind w:left="143"/>
            </w:pPr>
            <w:r>
              <w:rPr>
                <w:spacing w:val="-2"/>
              </w:rPr>
              <w:t>细颗粒物</w:t>
            </w:r>
          </w:p>
        </w:tc>
        <w:tc>
          <w:tcPr>
            <w:tcW w:w="2692" w:type="dxa"/>
            <w:vAlign w:val="top"/>
          </w:tcPr>
          <w:p>
            <w:pPr>
              <w:pStyle w:val="6"/>
              <w:spacing w:before="54" w:line="221" w:lineRule="auto"/>
              <w:ind w:left="1034"/>
            </w:pPr>
            <w:r>
              <w:rPr>
                <w:spacing w:val="-2"/>
              </w:rPr>
              <w:t>年平均</w:t>
            </w:r>
          </w:p>
        </w:tc>
        <w:tc>
          <w:tcPr>
            <w:tcW w:w="1005" w:type="dxa"/>
            <w:vAlign w:val="top"/>
          </w:tcPr>
          <w:p>
            <w:pPr>
              <w:spacing w:before="93" w:line="187" w:lineRule="auto"/>
              <w:ind w:left="41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532" w:type="dxa"/>
            <w:vAlign w:val="top"/>
          </w:tcPr>
          <w:p>
            <w:pPr>
              <w:spacing w:before="93" w:line="187" w:lineRule="auto"/>
              <w:ind w:left="6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188" w:type="dxa"/>
            <w:vAlign w:val="top"/>
          </w:tcPr>
          <w:p>
            <w:pPr>
              <w:spacing w:before="88" w:line="187" w:lineRule="auto"/>
              <w:ind w:left="3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54.3%</w:t>
            </w:r>
          </w:p>
        </w:tc>
        <w:tc>
          <w:tcPr>
            <w:tcW w:w="998" w:type="dxa"/>
            <w:vAlign w:val="top"/>
          </w:tcPr>
          <w:p>
            <w:pPr>
              <w:pStyle w:val="6"/>
              <w:spacing w:before="62" w:line="229" w:lineRule="auto"/>
              <w:ind w:left="302"/>
              <w:rPr>
                <w:sz w:val="19"/>
                <w:szCs w:val="19"/>
              </w:rPr>
            </w:pPr>
            <w:r>
              <w:rPr>
                <w:spacing w:val="5"/>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13" w:type="dxa"/>
            <w:vMerge w:val="continue"/>
            <w:tcBorders>
              <w:top w:val="nil"/>
            </w:tcBorders>
            <w:vAlign w:val="top"/>
          </w:tcPr>
          <w:p>
            <w:pPr>
              <w:rPr>
                <w:rFonts w:ascii="Arial"/>
                <w:sz w:val="21"/>
              </w:rPr>
            </w:pPr>
          </w:p>
        </w:tc>
        <w:tc>
          <w:tcPr>
            <w:tcW w:w="2692" w:type="dxa"/>
            <w:vAlign w:val="top"/>
          </w:tcPr>
          <w:p>
            <w:pPr>
              <w:pStyle w:val="6"/>
              <w:spacing w:before="51" w:line="221" w:lineRule="auto"/>
              <w:ind w:left="110"/>
            </w:pPr>
            <w:r>
              <w:rPr>
                <w:rFonts w:ascii="Times New Roman" w:hAnsi="Times New Roman" w:eastAsia="Times New Roman" w:cs="Times New Roman"/>
                <w:spacing w:val="-4"/>
              </w:rPr>
              <w:t>24</w:t>
            </w:r>
            <w:r>
              <w:rPr>
                <w:rFonts w:ascii="Times New Roman" w:hAnsi="Times New Roman" w:eastAsia="Times New Roman" w:cs="Times New Roman"/>
                <w:spacing w:val="25"/>
              </w:rPr>
              <w:t xml:space="preserve"> </w:t>
            </w:r>
            <w:r>
              <w:rPr>
                <w:spacing w:val="-4"/>
              </w:rPr>
              <w:t>小时平均第</w:t>
            </w:r>
            <w:r>
              <w:rPr>
                <w:spacing w:val="-43"/>
              </w:rPr>
              <w:t xml:space="preserve"> </w:t>
            </w:r>
            <w:r>
              <w:rPr>
                <w:rFonts w:ascii="Times New Roman" w:hAnsi="Times New Roman" w:eastAsia="Times New Roman" w:cs="Times New Roman"/>
                <w:spacing w:val="-4"/>
              </w:rPr>
              <w:t>95</w:t>
            </w:r>
            <w:r>
              <w:rPr>
                <w:rFonts w:ascii="Times New Roman" w:hAnsi="Times New Roman" w:eastAsia="Times New Roman" w:cs="Times New Roman"/>
                <w:spacing w:val="16"/>
              </w:rPr>
              <w:t xml:space="preserve"> </w:t>
            </w:r>
            <w:r>
              <w:rPr>
                <w:spacing w:val="-4"/>
              </w:rPr>
              <w:t>百分位数</w:t>
            </w:r>
          </w:p>
        </w:tc>
        <w:tc>
          <w:tcPr>
            <w:tcW w:w="1005" w:type="dxa"/>
            <w:vAlign w:val="top"/>
          </w:tcPr>
          <w:p>
            <w:pPr>
              <w:spacing w:before="90"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532" w:type="dxa"/>
            <w:vAlign w:val="top"/>
          </w:tcPr>
          <w:p>
            <w:pPr>
              <w:spacing w:before="93" w:line="184" w:lineRule="auto"/>
              <w:ind w:left="6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188" w:type="dxa"/>
            <w:vAlign w:val="top"/>
          </w:tcPr>
          <w:p>
            <w:pPr>
              <w:spacing w:before="86" w:line="187" w:lineRule="auto"/>
              <w:ind w:left="3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53.3%</w:t>
            </w:r>
          </w:p>
        </w:tc>
        <w:tc>
          <w:tcPr>
            <w:tcW w:w="998" w:type="dxa"/>
            <w:vAlign w:val="top"/>
          </w:tcPr>
          <w:p>
            <w:pPr>
              <w:pStyle w:val="6"/>
              <w:spacing w:before="60" w:line="229" w:lineRule="auto"/>
              <w:ind w:left="302"/>
              <w:rPr>
                <w:sz w:val="19"/>
                <w:szCs w:val="19"/>
              </w:rPr>
            </w:pPr>
            <w:r>
              <w:rPr>
                <w:spacing w:val="5"/>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13" w:type="dxa"/>
            <w:vMerge w:val="restart"/>
            <w:tcBorders>
              <w:bottom w:val="nil"/>
            </w:tcBorders>
            <w:vAlign w:val="top"/>
          </w:tcPr>
          <w:p>
            <w:pPr>
              <w:pStyle w:val="6"/>
              <w:spacing w:before="76" w:line="231" w:lineRule="auto"/>
              <w:ind w:left="351" w:right="131" w:hanging="207"/>
            </w:pPr>
            <w:r>
              <w:rPr>
                <w:spacing w:val="-2"/>
              </w:rPr>
              <w:t>可吸入颗</w:t>
            </w:r>
            <w:r>
              <w:t xml:space="preserve"> </w:t>
            </w:r>
            <w:r>
              <w:rPr>
                <w:spacing w:val="-2"/>
              </w:rPr>
              <w:t>粒物</w:t>
            </w:r>
          </w:p>
        </w:tc>
        <w:tc>
          <w:tcPr>
            <w:tcW w:w="2692" w:type="dxa"/>
            <w:vAlign w:val="top"/>
          </w:tcPr>
          <w:p>
            <w:pPr>
              <w:pStyle w:val="6"/>
              <w:spacing w:before="52" w:line="221" w:lineRule="auto"/>
              <w:ind w:left="1034"/>
            </w:pPr>
            <w:r>
              <w:rPr>
                <w:spacing w:val="-2"/>
              </w:rPr>
              <w:t>年平均</w:t>
            </w:r>
          </w:p>
        </w:tc>
        <w:tc>
          <w:tcPr>
            <w:tcW w:w="1005" w:type="dxa"/>
            <w:vAlign w:val="top"/>
          </w:tcPr>
          <w:p>
            <w:pPr>
              <w:spacing w:before="91" w:line="187"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532" w:type="dxa"/>
            <w:vAlign w:val="top"/>
          </w:tcPr>
          <w:p>
            <w:pPr>
              <w:spacing w:before="91" w:line="187" w:lineRule="auto"/>
              <w:ind w:left="6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188" w:type="dxa"/>
            <w:vAlign w:val="top"/>
          </w:tcPr>
          <w:p>
            <w:pPr>
              <w:spacing w:before="86" w:line="187" w:lineRule="auto"/>
              <w:ind w:left="31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45.7%</w:t>
            </w:r>
          </w:p>
        </w:tc>
        <w:tc>
          <w:tcPr>
            <w:tcW w:w="998" w:type="dxa"/>
            <w:vAlign w:val="top"/>
          </w:tcPr>
          <w:p>
            <w:pPr>
              <w:pStyle w:val="6"/>
              <w:spacing w:before="60" w:line="229" w:lineRule="auto"/>
              <w:ind w:left="302"/>
              <w:rPr>
                <w:sz w:val="19"/>
                <w:szCs w:val="19"/>
              </w:rPr>
            </w:pPr>
            <w:r>
              <w:rPr>
                <w:spacing w:val="5"/>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13" w:type="dxa"/>
            <w:vMerge w:val="continue"/>
            <w:tcBorders>
              <w:top w:val="nil"/>
            </w:tcBorders>
            <w:vAlign w:val="top"/>
          </w:tcPr>
          <w:p>
            <w:pPr>
              <w:rPr>
                <w:rFonts w:ascii="Arial"/>
                <w:sz w:val="21"/>
              </w:rPr>
            </w:pPr>
          </w:p>
        </w:tc>
        <w:tc>
          <w:tcPr>
            <w:tcW w:w="2692" w:type="dxa"/>
            <w:vAlign w:val="top"/>
          </w:tcPr>
          <w:p>
            <w:pPr>
              <w:pStyle w:val="6"/>
              <w:spacing w:before="52" w:line="221" w:lineRule="auto"/>
              <w:ind w:left="110"/>
            </w:pPr>
            <w:r>
              <w:rPr>
                <w:rFonts w:ascii="Times New Roman" w:hAnsi="Times New Roman" w:eastAsia="Times New Roman" w:cs="Times New Roman"/>
                <w:spacing w:val="-4"/>
              </w:rPr>
              <w:t>24</w:t>
            </w:r>
            <w:r>
              <w:rPr>
                <w:rFonts w:ascii="Times New Roman" w:hAnsi="Times New Roman" w:eastAsia="Times New Roman" w:cs="Times New Roman"/>
                <w:spacing w:val="25"/>
              </w:rPr>
              <w:t xml:space="preserve"> </w:t>
            </w:r>
            <w:r>
              <w:rPr>
                <w:spacing w:val="-4"/>
              </w:rPr>
              <w:t>小时平均第</w:t>
            </w:r>
            <w:r>
              <w:rPr>
                <w:spacing w:val="-43"/>
              </w:rPr>
              <w:t xml:space="preserve"> </w:t>
            </w:r>
            <w:r>
              <w:rPr>
                <w:rFonts w:ascii="Times New Roman" w:hAnsi="Times New Roman" w:eastAsia="Times New Roman" w:cs="Times New Roman"/>
                <w:spacing w:val="-4"/>
              </w:rPr>
              <w:t>95</w:t>
            </w:r>
            <w:r>
              <w:rPr>
                <w:rFonts w:ascii="Times New Roman" w:hAnsi="Times New Roman" w:eastAsia="Times New Roman" w:cs="Times New Roman"/>
                <w:spacing w:val="16"/>
              </w:rPr>
              <w:t xml:space="preserve"> </w:t>
            </w:r>
            <w:r>
              <w:rPr>
                <w:spacing w:val="-4"/>
              </w:rPr>
              <w:t>百分位数</w:t>
            </w:r>
          </w:p>
        </w:tc>
        <w:tc>
          <w:tcPr>
            <w:tcW w:w="1005" w:type="dxa"/>
            <w:vAlign w:val="top"/>
          </w:tcPr>
          <w:p>
            <w:pPr>
              <w:spacing w:before="91"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w:t>
            </w:r>
          </w:p>
        </w:tc>
        <w:tc>
          <w:tcPr>
            <w:tcW w:w="1532" w:type="dxa"/>
            <w:vAlign w:val="top"/>
          </w:tcPr>
          <w:p>
            <w:pPr>
              <w:spacing w:before="91" w:line="187" w:lineRule="auto"/>
              <w:ind w:left="62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150</w:t>
            </w:r>
          </w:p>
        </w:tc>
        <w:tc>
          <w:tcPr>
            <w:tcW w:w="1188" w:type="dxa"/>
            <w:vAlign w:val="top"/>
          </w:tcPr>
          <w:p>
            <w:pPr>
              <w:spacing w:before="87" w:line="187" w:lineRule="auto"/>
              <w:ind w:left="31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46.0%</w:t>
            </w:r>
          </w:p>
        </w:tc>
        <w:tc>
          <w:tcPr>
            <w:tcW w:w="998" w:type="dxa"/>
            <w:vAlign w:val="top"/>
          </w:tcPr>
          <w:p>
            <w:pPr>
              <w:pStyle w:val="6"/>
              <w:spacing w:before="61" w:line="229" w:lineRule="auto"/>
              <w:ind w:left="302"/>
              <w:rPr>
                <w:sz w:val="19"/>
                <w:szCs w:val="19"/>
              </w:rPr>
            </w:pPr>
            <w:r>
              <w:rPr>
                <w:spacing w:val="5"/>
                <w:sz w:val="19"/>
                <w:szCs w:val="19"/>
              </w:rPr>
              <w:t>达标</w:t>
            </w:r>
          </w:p>
        </w:tc>
      </w:tr>
    </w:tbl>
    <w:p>
      <w:pPr>
        <w:spacing w:before="164" w:line="461" w:lineRule="exact"/>
        <w:ind w:left="604"/>
        <w:rPr>
          <w:rFonts w:ascii="宋体" w:hAnsi="宋体" w:eastAsia="宋体" w:cs="宋体"/>
          <w:sz w:val="24"/>
          <w:szCs w:val="24"/>
        </w:rPr>
      </w:pPr>
      <w:r>
        <w:rPr>
          <w:rFonts w:ascii="宋体" w:hAnsi="宋体" w:eastAsia="宋体" w:cs="宋体"/>
          <w:spacing w:val="-6"/>
          <w:position w:val="16"/>
          <w:sz w:val="24"/>
          <w:szCs w:val="24"/>
        </w:rPr>
        <w:t>从上表可知，</w:t>
      </w:r>
      <w:r>
        <w:rPr>
          <w:rFonts w:ascii="宋体" w:hAnsi="宋体" w:eastAsia="宋体" w:cs="宋体"/>
          <w:spacing w:val="73"/>
          <w:position w:val="16"/>
          <w:sz w:val="24"/>
          <w:szCs w:val="24"/>
        </w:rPr>
        <w:t xml:space="preserve"> </w:t>
      </w:r>
      <w:r>
        <w:rPr>
          <w:rFonts w:ascii="宋体" w:hAnsi="宋体" w:eastAsia="宋体" w:cs="宋体"/>
          <w:spacing w:val="-6"/>
          <w:position w:val="16"/>
          <w:sz w:val="24"/>
          <w:szCs w:val="24"/>
        </w:rPr>
        <w:t>文成县</w:t>
      </w:r>
      <w:r>
        <w:rPr>
          <w:rFonts w:ascii="宋体" w:hAnsi="宋体" w:eastAsia="宋体" w:cs="宋体"/>
          <w:spacing w:val="-55"/>
          <w:position w:val="16"/>
          <w:sz w:val="24"/>
          <w:szCs w:val="24"/>
        </w:rPr>
        <w:t xml:space="preserve"> </w:t>
      </w:r>
      <w:r>
        <w:rPr>
          <w:rFonts w:ascii="Times New Roman" w:hAnsi="Times New Roman" w:eastAsia="Times New Roman" w:cs="Times New Roman"/>
          <w:spacing w:val="-6"/>
          <w:position w:val="16"/>
          <w:sz w:val="24"/>
          <w:szCs w:val="24"/>
        </w:rPr>
        <w:t xml:space="preserve">2022 </w:t>
      </w:r>
      <w:r>
        <w:rPr>
          <w:rFonts w:ascii="宋体" w:hAnsi="宋体" w:eastAsia="宋体" w:cs="宋体"/>
          <w:spacing w:val="-6"/>
          <w:position w:val="16"/>
          <w:sz w:val="24"/>
          <w:szCs w:val="24"/>
        </w:rPr>
        <w:t>年大气环境质量现状均可达到《环境空气质量标</w:t>
      </w:r>
    </w:p>
    <w:p>
      <w:pPr>
        <w:spacing w:line="220" w:lineRule="auto"/>
        <w:ind w:left="124"/>
        <w:rPr>
          <w:rFonts w:ascii="宋体" w:hAnsi="宋体" w:eastAsia="宋体" w:cs="宋体"/>
          <w:sz w:val="24"/>
          <w:szCs w:val="24"/>
        </w:rPr>
      </w:pPr>
      <w:r>
        <w:rPr>
          <w:rFonts w:ascii="宋体" w:hAnsi="宋体" w:eastAsia="宋体" w:cs="宋体"/>
          <w:spacing w:val="-2"/>
          <w:sz w:val="24"/>
          <w:szCs w:val="24"/>
        </w:rPr>
        <w:t>准》（</w:t>
      </w:r>
      <w:r>
        <w:rPr>
          <w:rFonts w:ascii="Times New Roman" w:hAnsi="Times New Roman" w:eastAsia="Times New Roman" w:cs="Times New Roman"/>
          <w:spacing w:val="-2"/>
          <w:sz w:val="24"/>
          <w:szCs w:val="24"/>
        </w:rPr>
        <w:t>GB3095-2012</w:t>
      </w:r>
      <w:r>
        <w:rPr>
          <w:rFonts w:ascii="宋体" w:hAnsi="宋体" w:eastAsia="宋体" w:cs="宋体"/>
          <w:spacing w:val="-2"/>
          <w:sz w:val="24"/>
          <w:szCs w:val="24"/>
        </w:rPr>
        <w:t>）中的二级标准。</w:t>
      </w:r>
    </w:p>
    <w:p>
      <w:pPr>
        <w:spacing w:before="158" w:line="219" w:lineRule="auto"/>
        <w:ind w:left="604"/>
        <w:rPr>
          <w:rFonts w:ascii="宋体" w:hAnsi="宋体" w:eastAsia="宋体" w:cs="宋体"/>
          <w:sz w:val="24"/>
          <w:szCs w:val="24"/>
        </w:rPr>
      </w:pPr>
      <w:r>
        <w:rPr>
          <w:rFonts w:ascii="宋体" w:hAnsi="宋体" w:eastAsia="宋体" w:cs="宋体"/>
          <w:spacing w:val="-2"/>
          <w:sz w:val="24"/>
          <w:szCs w:val="24"/>
        </w:rPr>
        <w:t>综上所述，本项目所在区域属于达标区。</w:t>
      </w:r>
    </w:p>
    <w:p>
      <w:pPr>
        <w:spacing w:before="133" w:line="218" w:lineRule="auto"/>
        <w:ind w:left="60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）特征因子现状监测与评价</w:t>
      </w:r>
    </w:p>
    <w:p>
      <w:pPr>
        <w:spacing w:before="184" w:line="359" w:lineRule="auto"/>
        <w:ind w:left="123" w:right="112" w:firstLine="481"/>
        <w:rPr>
          <w:rFonts w:ascii="宋体" w:hAnsi="宋体" w:eastAsia="宋体" w:cs="宋体"/>
          <w:sz w:val="24"/>
          <w:szCs w:val="24"/>
        </w:rPr>
      </w:pPr>
      <w:r>
        <w:rPr>
          <w:rFonts w:ascii="宋体" w:hAnsi="宋体" w:eastAsia="宋体" w:cs="宋体"/>
          <w:spacing w:val="-6"/>
          <w:sz w:val="24"/>
          <w:szCs w:val="24"/>
        </w:rPr>
        <w:t>为了解项目所在区域的环境空气其他污染物质量现状，</w:t>
      </w:r>
      <w:r>
        <w:rPr>
          <w:rFonts w:ascii="宋体" w:hAnsi="宋体" w:eastAsia="宋体" w:cs="宋体"/>
          <w:spacing w:val="-28"/>
          <w:sz w:val="24"/>
          <w:szCs w:val="24"/>
        </w:rPr>
        <w:t xml:space="preserve"> </w:t>
      </w:r>
      <w:r>
        <w:rPr>
          <w:rFonts w:ascii="宋体" w:hAnsi="宋体" w:eastAsia="宋体" w:cs="宋体"/>
          <w:spacing w:val="-6"/>
          <w:sz w:val="24"/>
          <w:szCs w:val="24"/>
        </w:rPr>
        <w:t>本项目引用温州中一</w:t>
      </w:r>
      <w:r>
        <w:rPr>
          <w:rFonts w:ascii="宋体" w:hAnsi="宋体" w:eastAsia="宋体" w:cs="宋体"/>
          <w:sz w:val="24"/>
          <w:szCs w:val="24"/>
        </w:rPr>
        <w:t xml:space="preserve"> </w:t>
      </w:r>
      <w:r>
        <w:rPr>
          <w:rFonts w:ascii="宋体" w:hAnsi="宋体" w:eastAsia="宋体" w:cs="宋体"/>
          <w:spacing w:val="-4"/>
          <w:sz w:val="24"/>
          <w:szCs w:val="24"/>
        </w:rPr>
        <w:t>监测研究院有限公司于</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 xml:space="preserve">2022 </w:t>
      </w:r>
      <w:r>
        <w:rPr>
          <w:rFonts w:ascii="宋体" w:hAnsi="宋体" w:eastAsia="宋体" w:cs="宋体"/>
          <w:spacing w:val="-4"/>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 xml:space="preserve">9 </w:t>
      </w:r>
      <w:r>
        <w:rPr>
          <w:rFonts w:ascii="宋体" w:hAnsi="宋体" w:eastAsia="宋体" w:cs="宋体"/>
          <w:spacing w:val="-4"/>
          <w:sz w:val="24"/>
          <w:szCs w:val="24"/>
        </w:rPr>
        <w:t>月</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 xml:space="preserve">17  </w:t>
      </w:r>
      <w:r>
        <w:rPr>
          <w:rFonts w:ascii="宋体" w:hAnsi="宋体" w:eastAsia="宋体" w:cs="宋体"/>
          <w:spacing w:val="-4"/>
          <w:sz w:val="24"/>
          <w:szCs w:val="24"/>
        </w:rPr>
        <w:t>日～</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5"/>
          <w:sz w:val="24"/>
          <w:szCs w:val="24"/>
        </w:rPr>
        <w:t xml:space="preserve">022 </w:t>
      </w:r>
      <w:r>
        <w:rPr>
          <w:rFonts w:ascii="宋体" w:hAnsi="宋体" w:eastAsia="宋体" w:cs="宋体"/>
          <w:spacing w:val="-5"/>
          <w:sz w:val="24"/>
          <w:szCs w:val="24"/>
        </w:rPr>
        <w:t>年</w:t>
      </w:r>
      <w:r>
        <w:rPr>
          <w:rFonts w:ascii="宋体" w:hAnsi="宋体" w:eastAsia="宋体" w:cs="宋体"/>
          <w:spacing w:val="-53"/>
          <w:sz w:val="24"/>
          <w:szCs w:val="24"/>
        </w:rPr>
        <w:t xml:space="preserve"> </w:t>
      </w:r>
      <w:r>
        <w:rPr>
          <w:rFonts w:ascii="Times New Roman" w:hAnsi="Times New Roman" w:eastAsia="Times New Roman" w:cs="Times New Roman"/>
          <w:spacing w:val="-5"/>
          <w:sz w:val="24"/>
          <w:szCs w:val="24"/>
        </w:rPr>
        <w:t xml:space="preserve">9 </w:t>
      </w:r>
      <w:r>
        <w:rPr>
          <w:rFonts w:ascii="宋体" w:hAnsi="宋体" w:eastAsia="宋体" w:cs="宋体"/>
          <w:spacing w:val="-5"/>
          <w:sz w:val="24"/>
          <w:szCs w:val="24"/>
        </w:rPr>
        <w:t>月</w:t>
      </w:r>
      <w:r>
        <w:rPr>
          <w:rFonts w:ascii="宋体" w:hAnsi="宋体" w:eastAsia="宋体" w:cs="宋体"/>
          <w:spacing w:val="-57"/>
          <w:sz w:val="24"/>
          <w:szCs w:val="24"/>
        </w:rPr>
        <w:t xml:space="preserve"> </w:t>
      </w:r>
      <w:r>
        <w:rPr>
          <w:rFonts w:ascii="Times New Roman" w:hAnsi="Times New Roman" w:eastAsia="Times New Roman" w:cs="Times New Roman"/>
          <w:spacing w:val="-5"/>
          <w:sz w:val="24"/>
          <w:szCs w:val="24"/>
        </w:rPr>
        <w:t xml:space="preserve">23  </w:t>
      </w:r>
      <w:r>
        <w:rPr>
          <w:rFonts w:ascii="宋体" w:hAnsi="宋体" w:eastAsia="宋体" w:cs="宋体"/>
          <w:spacing w:val="-5"/>
          <w:sz w:val="24"/>
          <w:szCs w:val="24"/>
        </w:rPr>
        <w:t>日对评价范围内的环</w:t>
      </w:r>
      <w:r>
        <w:rPr>
          <w:rFonts w:ascii="宋体" w:hAnsi="宋体" w:eastAsia="宋体" w:cs="宋体"/>
          <w:sz w:val="24"/>
          <w:szCs w:val="24"/>
        </w:rPr>
        <w:t xml:space="preserve"> </w:t>
      </w:r>
      <w:r>
        <w:rPr>
          <w:rFonts w:ascii="宋体" w:hAnsi="宋体" w:eastAsia="宋体" w:cs="宋体"/>
          <w:spacing w:val="-6"/>
          <w:sz w:val="24"/>
          <w:szCs w:val="24"/>
        </w:rPr>
        <w:t>境空气中总悬浮颗粒物（</w:t>
      </w:r>
      <w:r>
        <w:rPr>
          <w:rFonts w:ascii="Times New Roman" w:hAnsi="Times New Roman" w:eastAsia="Times New Roman" w:cs="Times New Roman"/>
          <w:spacing w:val="-6"/>
          <w:sz w:val="24"/>
          <w:szCs w:val="24"/>
        </w:rPr>
        <w:t>TSP</w:t>
      </w:r>
      <w:r>
        <w:rPr>
          <w:rFonts w:ascii="宋体" w:hAnsi="宋体" w:eastAsia="宋体" w:cs="宋体"/>
          <w:spacing w:val="-6"/>
          <w:sz w:val="24"/>
          <w:szCs w:val="24"/>
        </w:rPr>
        <w:t>）的补充监测数据（报告编号：</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HJ220947</w:t>
      </w:r>
      <w:r>
        <w:rPr>
          <w:rFonts w:ascii="宋体" w:hAnsi="宋体" w:eastAsia="宋体" w:cs="宋体"/>
          <w:spacing w:val="-6"/>
          <w:sz w:val="24"/>
          <w:szCs w:val="24"/>
        </w:rPr>
        <w:t>）。具体</w:t>
      </w:r>
    </w:p>
    <w:p>
      <w:pPr>
        <w:spacing w:before="1" w:line="219" w:lineRule="auto"/>
        <w:ind w:left="123"/>
        <w:rPr>
          <w:rFonts w:ascii="宋体" w:hAnsi="宋体" w:eastAsia="宋体" w:cs="宋体"/>
          <w:sz w:val="24"/>
          <w:szCs w:val="24"/>
        </w:rPr>
      </w:pPr>
      <w:r>
        <w:rPr>
          <w:rFonts w:ascii="宋体" w:hAnsi="宋体" w:eastAsia="宋体" w:cs="宋体"/>
          <w:spacing w:val="-5"/>
          <w:sz w:val="24"/>
          <w:szCs w:val="24"/>
        </w:rPr>
        <w:t>监测结果见下表。</w:t>
      </w:r>
    </w:p>
    <w:p>
      <w:pPr>
        <w:spacing w:before="182" w:line="233" w:lineRule="auto"/>
        <w:ind w:left="603"/>
        <w:rPr>
          <w:rFonts w:ascii="宋体" w:hAnsi="宋体" w:eastAsia="宋体" w:cs="宋体"/>
          <w:sz w:val="24"/>
          <w:szCs w:val="24"/>
        </w:rPr>
      </w:pPr>
      <w:r>
        <w:rPr>
          <w:rFonts w:ascii="宋体" w:hAnsi="宋体" w:eastAsia="宋体" w:cs="宋体"/>
          <w:spacing w:val="-1"/>
          <w:sz w:val="24"/>
          <w:szCs w:val="24"/>
        </w:rPr>
        <w:t>监测点位与本项目的最近距离约</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2.4km</w:t>
      </w:r>
      <w:r>
        <w:rPr>
          <w:rFonts w:ascii="宋体" w:hAnsi="宋体" w:eastAsia="宋体" w:cs="宋体"/>
          <w:spacing w:val="-1"/>
          <w:sz w:val="24"/>
          <w:szCs w:val="24"/>
        </w:rPr>
        <w:t>。</w:t>
      </w:r>
    </w:p>
    <w:p>
      <w:pPr>
        <w:spacing w:line="233" w:lineRule="auto"/>
        <w:rPr>
          <w:rFonts w:ascii="宋体" w:hAnsi="宋体" w:eastAsia="宋体" w:cs="宋体"/>
          <w:sz w:val="24"/>
          <w:szCs w:val="24"/>
        </w:rPr>
        <w:sectPr>
          <w:headerReference r:id="rId189" w:type="default"/>
          <w:footerReference r:id="rId190" w:type="default"/>
          <w:pgSz w:w="11907" w:h="16839"/>
          <w:pgMar w:top="1118" w:right="1685" w:bottom="1151" w:left="1687" w:header="879" w:footer="990" w:gutter="0"/>
          <w:cols w:space="720" w:num="1"/>
        </w:sectPr>
      </w:pPr>
    </w:p>
    <w:p>
      <w:pPr>
        <w:pStyle w:val="2"/>
        <w:spacing w:line="357" w:lineRule="auto"/>
      </w:pPr>
    </w:p>
    <w:p>
      <w:pPr>
        <w:spacing w:before="78" w:line="218" w:lineRule="auto"/>
        <w:ind w:left="194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4.3-2      </w:t>
      </w:r>
      <w:r>
        <w:rPr>
          <w:rFonts w:ascii="宋体" w:hAnsi="宋体" w:eastAsia="宋体" w:cs="宋体"/>
          <w:spacing w:val="-1"/>
          <w:sz w:val="24"/>
          <w:szCs w:val="24"/>
        </w:rPr>
        <w:t>特征污染物总悬浮颗粒物的评价结果</w:t>
      </w:r>
    </w:p>
    <w:p>
      <w:pPr>
        <w:spacing w:line="69" w:lineRule="exact"/>
      </w:pPr>
    </w:p>
    <w:tbl>
      <w:tblPr>
        <w:tblStyle w:val="5"/>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118"/>
        <w:gridCol w:w="958"/>
        <w:gridCol w:w="1634"/>
        <w:gridCol w:w="1050"/>
        <w:gridCol w:w="923"/>
        <w:gridCol w:w="1089"/>
        <w:gridCol w:w="408"/>
        <w:gridCol w:w="9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722" w:type="dxa"/>
            <w:vMerge w:val="restart"/>
            <w:tcBorders>
              <w:bottom w:val="nil"/>
            </w:tcBorders>
            <w:vAlign w:val="top"/>
          </w:tcPr>
          <w:p>
            <w:pPr>
              <w:spacing w:line="297" w:lineRule="auto"/>
              <w:rPr>
                <w:rFonts w:ascii="Arial"/>
                <w:sz w:val="21"/>
              </w:rPr>
            </w:pPr>
          </w:p>
          <w:p>
            <w:pPr>
              <w:pStyle w:val="6"/>
              <w:spacing w:before="69" w:line="312" w:lineRule="exact"/>
              <w:ind w:left="157"/>
            </w:pPr>
            <w:r>
              <w:rPr>
                <w:spacing w:val="-2"/>
                <w:position w:val="7"/>
              </w:rPr>
              <w:t>监测</w:t>
            </w:r>
          </w:p>
          <w:p>
            <w:pPr>
              <w:pStyle w:val="6"/>
              <w:spacing w:line="221" w:lineRule="auto"/>
              <w:ind w:left="167"/>
            </w:pPr>
            <w:r>
              <w:rPr>
                <w:spacing w:val="-5"/>
              </w:rPr>
              <w:t>点位</w:t>
            </w:r>
          </w:p>
        </w:tc>
        <w:tc>
          <w:tcPr>
            <w:tcW w:w="2076" w:type="dxa"/>
            <w:gridSpan w:val="2"/>
            <w:vAlign w:val="top"/>
          </w:tcPr>
          <w:p>
            <w:pPr>
              <w:pStyle w:val="6"/>
              <w:spacing w:before="277" w:line="221" w:lineRule="auto"/>
              <w:ind w:left="515"/>
            </w:pPr>
            <w:r>
              <w:rPr>
                <w:spacing w:val="-2"/>
              </w:rPr>
              <w:t>监测点坐标</w:t>
            </w:r>
          </w:p>
        </w:tc>
        <w:tc>
          <w:tcPr>
            <w:tcW w:w="1634" w:type="dxa"/>
            <w:vMerge w:val="restart"/>
            <w:tcBorders>
              <w:bottom w:val="nil"/>
            </w:tcBorders>
            <w:vAlign w:val="top"/>
          </w:tcPr>
          <w:p>
            <w:pPr>
              <w:pStyle w:val="6"/>
              <w:spacing w:before="55" w:line="221" w:lineRule="auto"/>
              <w:ind w:left="197"/>
            </w:pPr>
            <w:r>
              <w:rPr>
                <w:spacing w:val="-2"/>
              </w:rPr>
              <w:t>总悬浮颗粒物</w:t>
            </w:r>
          </w:p>
          <w:p>
            <w:pPr>
              <w:pStyle w:val="6"/>
              <w:spacing w:before="61" w:line="221" w:lineRule="auto"/>
              <w:ind w:left="161"/>
            </w:pPr>
            <w:r>
              <w:rPr>
                <w:rFonts w:ascii="Times New Roman" w:hAnsi="Times New Roman" w:eastAsia="Times New Roman" w:cs="Times New Roman"/>
                <w:spacing w:val="-3"/>
              </w:rPr>
              <w:t>24</w:t>
            </w:r>
            <w:r>
              <w:rPr>
                <w:rFonts w:ascii="Times New Roman" w:hAnsi="Times New Roman" w:eastAsia="Times New Roman" w:cs="Times New Roman"/>
                <w:spacing w:val="18"/>
              </w:rPr>
              <w:t xml:space="preserve"> </w:t>
            </w:r>
            <w:r>
              <w:rPr>
                <w:spacing w:val="-3"/>
              </w:rPr>
              <w:t>小时平均浓</w:t>
            </w:r>
          </w:p>
          <w:p>
            <w:pPr>
              <w:pStyle w:val="6"/>
              <w:spacing w:before="59" w:line="221" w:lineRule="auto"/>
              <w:ind w:left="401"/>
            </w:pPr>
            <w:r>
              <w:rPr>
                <w:spacing w:val="-1"/>
              </w:rPr>
              <w:t>度最大值</w:t>
            </w:r>
          </w:p>
          <w:p>
            <w:pPr>
              <w:pStyle w:val="6"/>
              <w:spacing w:before="61" w:line="213" w:lineRule="auto"/>
              <w:ind w:left="339"/>
            </w:pPr>
            <w:r>
              <w:rPr>
                <w:spacing w:val="-2"/>
              </w:rPr>
              <w:t>（</w:t>
            </w:r>
            <w:r>
              <w:rPr>
                <w:rFonts w:ascii="Times New Roman" w:hAnsi="Times New Roman" w:eastAsia="Times New Roman" w:cs="Times New Roman"/>
                <w:spacing w:val="-2"/>
              </w:rPr>
              <w:t>mg/m</w:t>
            </w:r>
            <w:r>
              <w:rPr>
                <w:rFonts w:ascii="Times New Roman" w:hAnsi="Times New Roman" w:eastAsia="Times New Roman" w:cs="Times New Roman"/>
                <w:spacing w:val="-2"/>
                <w:position w:val="6"/>
                <w:sz w:val="13"/>
                <w:szCs w:val="13"/>
              </w:rPr>
              <w:t>3</w:t>
            </w:r>
            <w:r>
              <w:rPr>
                <w:spacing w:val="-2"/>
              </w:rPr>
              <w:t>）</w:t>
            </w:r>
          </w:p>
        </w:tc>
        <w:tc>
          <w:tcPr>
            <w:tcW w:w="1050" w:type="dxa"/>
            <w:vMerge w:val="restart"/>
            <w:tcBorders>
              <w:bottom w:val="nil"/>
            </w:tcBorders>
            <w:vAlign w:val="top"/>
          </w:tcPr>
          <w:p>
            <w:pPr>
              <w:pStyle w:val="6"/>
              <w:spacing w:before="56" w:line="248" w:lineRule="auto"/>
              <w:ind w:left="423" w:right="205" w:hanging="211"/>
            </w:pPr>
            <w:r>
              <w:rPr>
                <w:spacing w:val="-2"/>
              </w:rPr>
              <w:t>评价标</w:t>
            </w:r>
            <w:r>
              <w:rPr>
                <w:spacing w:val="1"/>
              </w:rPr>
              <w:t xml:space="preserve"> </w:t>
            </w:r>
            <w:r>
              <w:t>准</w:t>
            </w:r>
          </w:p>
          <w:p>
            <w:pPr>
              <w:pStyle w:val="6"/>
              <w:spacing w:before="59" w:line="248" w:lineRule="auto"/>
              <w:ind w:left="444" w:right="138" w:hanging="294"/>
            </w:pPr>
            <w:r>
              <w:rPr>
                <w:spacing w:val="-2"/>
              </w:rPr>
              <w:t>（</w:t>
            </w:r>
            <w:r>
              <w:rPr>
                <w:rFonts w:ascii="Times New Roman" w:hAnsi="Times New Roman" w:eastAsia="Times New Roman" w:cs="Times New Roman"/>
                <w:spacing w:val="-2"/>
              </w:rPr>
              <w:t>mg/m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1"/>
                <w:position w:val="6"/>
                <w:sz w:val="13"/>
                <w:szCs w:val="13"/>
              </w:rPr>
              <w:t xml:space="preserve"> </w:t>
            </w:r>
            <w:r>
              <w:t>)</w:t>
            </w:r>
          </w:p>
        </w:tc>
        <w:tc>
          <w:tcPr>
            <w:tcW w:w="923" w:type="dxa"/>
            <w:vMerge w:val="restart"/>
            <w:tcBorders>
              <w:bottom w:val="nil"/>
            </w:tcBorders>
            <w:vAlign w:val="top"/>
          </w:tcPr>
          <w:p>
            <w:pPr>
              <w:spacing w:line="298" w:lineRule="auto"/>
              <w:rPr>
                <w:rFonts w:ascii="Arial"/>
                <w:sz w:val="21"/>
              </w:rPr>
            </w:pPr>
          </w:p>
          <w:p>
            <w:pPr>
              <w:pStyle w:val="6"/>
              <w:spacing w:before="69" w:line="247" w:lineRule="auto"/>
              <w:ind w:left="154" w:right="140"/>
            </w:pPr>
            <w:r>
              <w:rPr>
                <w:spacing w:val="-3"/>
              </w:rPr>
              <w:t>最大标</w:t>
            </w:r>
            <w:r>
              <w:t xml:space="preserve"> </w:t>
            </w:r>
            <w:r>
              <w:rPr>
                <w:spacing w:val="-3"/>
              </w:rPr>
              <w:t>准指数</w:t>
            </w:r>
          </w:p>
        </w:tc>
        <w:tc>
          <w:tcPr>
            <w:tcW w:w="1089" w:type="dxa"/>
            <w:vMerge w:val="restart"/>
            <w:tcBorders>
              <w:bottom w:val="nil"/>
            </w:tcBorders>
            <w:vAlign w:val="top"/>
          </w:tcPr>
          <w:p>
            <w:pPr>
              <w:spacing w:line="298" w:lineRule="auto"/>
              <w:rPr>
                <w:rFonts w:ascii="Arial"/>
                <w:sz w:val="21"/>
              </w:rPr>
            </w:pPr>
          </w:p>
          <w:p>
            <w:pPr>
              <w:pStyle w:val="6"/>
              <w:spacing w:before="69" w:line="247" w:lineRule="auto"/>
              <w:ind w:left="269" w:right="120" w:hanging="137"/>
            </w:pPr>
            <w:r>
              <w:rPr>
                <w:spacing w:val="-3"/>
              </w:rPr>
              <w:t>最大浓度</w:t>
            </w:r>
            <w:r>
              <w:rPr>
                <w:spacing w:val="2"/>
              </w:rPr>
              <w:t xml:space="preserve"> </w:t>
            </w:r>
            <w:r>
              <w:rPr>
                <w:spacing w:val="-9"/>
              </w:rPr>
              <w:t>占标率</w:t>
            </w:r>
          </w:p>
        </w:tc>
        <w:tc>
          <w:tcPr>
            <w:tcW w:w="408" w:type="dxa"/>
            <w:vMerge w:val="restart"/>
            <w:tcBorders>
              <w:bottom w:val="nil"/>
            </w:tcBorders>
            <w:textDirection w:val="tbRlV"/>
            <w:vAlign w:val="top"/>
          </w:tcPr>
          <w:p>
            <w:pPr>
              <w:pStyle w:val="6"/>
              <w:spacing w:before="83" w:line="210" w:lineRule="auto"/>
              <w:ind w:left="211"/>
            </w:pPr>
            <w:r>
              <w:rPr>
                <w:spacing w:val="-1"/>
              </w:rPr>
              <w:t>超 标</w:t>
            </w:r>
            <w:r>
              <w:rPr>
                <w:spacing w:val="-2"/>
              </w:rPr>
              <w:t xml:space="preserve"> </w:t>
            </w:r>
            <w:r>
              <w:rPr>
                <w:spacing w:val="-1"/>
              </w:rPr>
              <w:t>率</w:t>
            </w:r>
          </w:p>
        </w:tc>
        <w:tc>
          <w:tcPr>
            <w:tcW w:w="962" w:type="dxa"/>
            <w:vMerge w:val="restart"/>
            <w:tcBorders>
              <w:bottom w:val="nil"/>
            </w:tcBorders>
            <w:vAlign w:val="top"/>
          </w:tcPr>
          <w:p>
            <w:pPr>
              <w:spacing w:line="297" w:lineRule="auto"/>
              <w:rPr>
                <w:rFonts w:ascii="Arial"/>
                <w:sz w:val="21"/>
              </w:rPr>
            </w:pPr>
          </w:p>
          <w:p>
            <w:pPr>
              <w:pStyle w:val="6"/>
              <w:spacing w:before="68" w:line="248" w:lineRule="auto"/>
              <w:ind w:left="381" w:right="160" w:hanging="211"/>
            </w:pPr>
            <w:r>
              <w:rPr>
                <w:spacing w:val="-2"/>
              </w:rPr>
              <w:t>达标情</w:t>
            </w:r>
            <w:r>
              <w:rPr>
                <w:spacing w:val="1"/>
              </w:rPr>
              <w:t xml:space="preserve"> </w:t>
            </w:r>
            <w: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722" w:type="dxa"/>
            <w:vMerge w:val="continue"/>
            <w:tcBorders>
              <w:top w:val="nil"/>
            </w:tcBorders>
            <w:vAlign w:val="top"/>
          </w:tcPr>
          <w:p>
            <w:pPr>
              <w:rPr>
                <w:rFonts w:ascii="Arial"/>
                <w:sz w:val="21"/>
              </w:rPr>
            </w:pPr>
          </w:p>
        </w:tc>
        <w:tc>
          <w:tcPr>
            <w:tcW w:w="1118" w:type="dxa"/>
            <w:vAlign w:val="top"/>
          </w:tcPr>
          <w:p>
            <w:pPr>
              <w:pStyle w:val="6"/>
              <w:spacing w:before="139" w:line="221" w:lineRule="auto"/>
              <w:ind w:left="353"/>
            </w:pPr>
            <w:r>
              <w:rPr>
                <w:spacing w:val="-2"/>
              </w:rPr>
              <w:t>经度</w:t>
            </w:r>
          </w:p>
        </w:tc>
        <w:tc>
          <w:tcPr>
            <w:tcW w:w="958" w:type="dxa"/>
            <w:vAlign w:val="top"/>
          </w:tcPr>
          <w:p>
            <w:pPr>
              <w:pStyle w:val="6"/>
              <w:spacing w:before="139" w:line="221" w:lineRule="auto"/>
              <w:ind w:left="274"/>
            </w:pPr>
            <w:r>
              <w:rPr>
                <w:spacing w:val="-2"/>
              </w:rPr>
              <w:t>纬度</w:t>
            </w:r>
          </w:p>
        </w:tc>
        <w:tc>
          <w:tcPr>
            <w:tcW w:w="1634" w:type="dxa"/>
            <w:vMerge w:val="continue"/>
            <w:tcBorders>
              <w:top w:val="nil"/>
            </w:tcBorders>
            <w:vAlign w:val="top"/>
          </w:tcPr>
          <w:p>
            <w:pPr>
              <w:rPr>
                <w:rFonts w:ascii="Arial"/>
                <w:sz w:val="21"/>
              </w:rPr>
            </w:pPr>
          </w:p>
        </w:tc>
        <w:tc>
          <w:tcPr>
            <w:tcW w:w="1050" w:type="dxa"/>
            <w:vMerge w:val="continue"/>
            <w:tcBorders>
              <w:top w:val="nil"/>
            </w:tcBorders>
            <w:vAlign w:val="top"/>
          </w:tcPr>
          <w:p>
            <w:pPr>
              <w:rPr>
                <w:rFonts w:ascii="Arial"/>
                <w:sz w:val="21"/>
              </w:rPr>
            </w:pPr>
          </w:p>
        </w:tc>
        <w:tc>
          <w:tcPr>
            <w:tcW w:w="923" w:type="dxa"/>
            <w:vMerge w:val="continue"/>
            <w:tcBorders>
              <w:top w:val="nil"/>
            </w:tcBorders>
            <w:vAlign w:val="top"/>
          </w:tcPr>
          <w:p>
            <w:pPr>
              <w:rPr>
                <w:rFonts w:ascii="Arial"/>
                <w:sz w:val="21"/>
              </w:rPr>
            </w:pPr>
          </w:p>
        </w:tc>
        <w:tc>
          <w:tcPr>
            <w:tcW w:w="1089" w:type="dxa"/>
            <w:vMerge w:val="continue"/>
            <w:tcBorders>
              <w:top w:val="nil"/>
            </w:tcBorders>
            <w:vAlign w:val="top"/>
          </w:tcPr>
          <w:p>
            <w:pPr>
              <w:rPr>
                <w:rFonts w:ascii="Arial"/>
                <w:sz w:val="21"/>
              </w:rPr>
            </w:pPr>
          </w:p>
        </w:tc>
        <w:tc>
          <w:tcPr>
            <w:tcW w:w="408" w:type="dxa"/>
            <w:vMerge w:val="continue"/>
            <w:tcBorders>
              <w:top w:val="nil"/>
            </w:tcBorders>
            <w:textDirection w:val="tbRlV"/>
            <w:vAlign w:val="top"/>
          </w:tcPr>
          <w:p>
            <w:pPr>
              <w:rPr>
                <w:rFonts w:ascii="Arial"/>
                <w:sz w:val="21"/>
              </w:rPr>
            </w:pPr>
          </w:p>
        </w:tc>
        <w:tc>
          <w:tcPr>
            <w:tcW w:w="96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22" w:type="dxa"/>
            <w:vAlign w:val="top"/>
          </w:tcPr>
          <w:p>
            <w:pPr>
              <w:spacing w:before="249"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w:t>
            </w:r>
          </w:p>
        </w:tc>
        <w:tc>
          <w:tcPr>
            <w:tcW w:w="1118" w:type="dxa"/>
            <w:vAlign w:val="top"/>
          </w:tcPr>
          <w:p>
            <w:pPr>
              <w:spacing w:before="93" w:line="297" w:lineRule="exact"/>
              <w:ind w:left="132"/>
              <w:rPr>
                <w:rFonts w:ascii="Times New Roman" w:hAnsi="Times New Roman" w:eastAsia="Times New Roman" w:cs="Times New Roman"/>
                <w:sz w:val="21"/>
                <w:szCs w:val="21"/>
              </w:rPr>
            </w:pPr>
            <w:r>
              <w:rPr>
                <w:rFonts w:ascii="Times New Roman" w:hAnsi="Times New Roman" w:eastAsia="Times New Roman" w:cs="Times New Roman"/>
                <w:spacing w:val="-3"/>
                <w:position w:val="10"/>
                <w:sz w:val="21"/>
                <w:szCs w:val="21"/>
              </w:rPr>
              <w:t>120.00148</w:t>
            </w:r>
          </w:p>
          <w:p>
            <w:pPr>
              <w:pStyle w:val="6"/>
              <w:spacing w:line="191" w:lineRule="auto"/>
              <w:ind w:left="352"/>
            </w:pPr>
            <w:r>
              <w:rPr>
                <w:rFonts w:ascii="Times New Roman" w:hAnsi="Times New Roman" w:eastAsia="Times New Roman" w:cs="Times New Roman"/>
                <w:spacing w:val="-3"/>
              </w:rPr>
              <w:t>60</w:t>
            </w:r>
            <w:r>
              <w:rPr>
                <w:rFonts w:ascii="Times New Roman" w:hAnsi="Times New Roman" w:eastAsia="Times New Roman" w:cs="Times New Roman"/>
                <w:spacing w:val="-26"/>
              </w:rPr>
              <w:t xml:space="preserve"> </w:t>
            </w:r>
            <w:r>
              <w:rPr>
                <w:spacing w:val="-3"/>
              </w:rPr>
              <w:t>°</w:t>
            </w:r>
          </w:p>
        </w:tc>
        <w:tc>
          <w:tcPr>
            <w:tcW w:w="958" w:type="dxa"/>
            <w:vAlign w:val="top"/>
          </w:tcPr>
          <w:p>
            <w:pPr>
              <w:spacing w:before="93" w:line="187" w:lineRule="auto"/>
              <w:ind w:left="1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27.8329</w:t>
            </w:r>
          </w:p>
          <w:p>
            <w:pPr>
              <w:pStyle w:val="6"/>
              <w:spacing w:before="109" w:line="192" w:lineRule="auto"/>
              <w:ind w:left="215"/>
            </w:pPr>
            <w:r>
              <w:rPr>
                <w:rFonts w:ascii="Times New Roman" w:hAnsi="Times New Roman" w:eastAsia="Times New Roman" w:cs="Times New Roman"/>
                <w:spacing w:val="-1"/>
              </w:rPr>
              <w:t>494</w:t>
            </w:r>
            <w:r>
              <w:rPr>
                <w:rFonts w:ascii="Times New Roman" w:hAnsi="Times New Roman" w:eastAsia="Times New Roman" w:cs="Times New Roman"/>
                <w:spacing w:val="-24"/>
              </w:rPr>
              <w:t xml:space="preserve"> </w:t>
            </w:r>
            <w:r>
              <w:rPr>
                <w:spacing w:val="-1"/>
              </w:rPr>
              <w:t>°</w:t>
            </w:r>
          </w:p>
        </w:tc>
        <w:tc>
          <w:tcPr>
            <w:tcW w:w="1634" w:type="dxa"/>
            <w:vAlign w:val="top"/>
          </w:tcPr>
          <w:p>
            <w:pPr>
              <w:spacing w:before="249" w:line="187" w:lineRule="auto"/>
              <w:ind w:left="6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0.21</w:t>
            </w:r>
          </w:p>
        </w:tc>
        <w:tc>
          <w:tcPr>
            <w:tcW w:w="1050" w:type="dxa"/>
            <w:vAlign w:val="top"/>
          </w:tcPr>
          <w:p>
            <w:pPr>
              <w:spacing w:before="249"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923" w:type="dxa"/>
            <w:vAlign w:val="top"/>
          </w:tcPr>
          <w:p>
            <w:pPr>
              <w:spacing w:before="249" w:line="187" w:lineRule="auto"/>
              <w:ind w:left="33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0.7</w:t>
            </w:r>
          </w:p>
        </w:tc>
        <w:tc>
          <w:tcPr>
            <w:tcW w:w="1089" w:type="dxa"/>
            <w:vAlign w:val="top"/>
          </w:tcPr>
          <w:p>
            <w:pPr>
              <w:spacing w:before="249" w:line="187" w:lineRule="auto"/>
              <w:ind w:left="3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408" w:type="dxa"/>
            <w:vAlign w:val="top"/>
          </w:tcPr>
          <w:p>
            <w:pPr>
              <w:spacing w:before="249" w:line="187" w:lineRule="auto"/>
              <w:ind w:left="15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62" w:type="dxa"/>
            <w:vAlign w:val="top"/>
          </w:tcPr>
          <w:p>
            <w:pPr>
              <w:pStyle w:val="6"/>
              <w:spacing w:before="210" w:line="221" w:lineRule="auto"/>
              <w:ind w:left="275"/>
            </w:pPr>
            <w:r>
              <w:rPr>
                <w:spacing w:val="-2"/>
              </w:rPr>
              <w:t>擦表</w:t>
            </w:r>
          </w:p>
        </w:tc>
      </w:tr>
    </w:tbl>
    <w:p>
      <w:pPr>
        <w:spacing w:before="192" w:line="468" w:lineRule="exact"/>
        <w:ind w:left="772"/>
        <w:rPr>
          <w:rFonts w:ascii="宋体" w:hAnsi="宋体" w:eastAsia="宋体" w:cs="宋体"/>
          <w:sz w:val="24"/>
          <w:szCs w:val="24"/>
        </w:rPr>
      </w:pPr>
      <w:r>
        <w:rPr>
          <w:rFonts w:ascii="宋体" w:hAnsi="宋体" w:eastAsia="宋体" w:cs="宋体"/>
          <w:spacing w:val="-7"/>
          <w:position w:val="17"/>
          <w:sz w:val="24"/>
          <w:szCs w:val="24"/>
        </w:rPr>
        <w:t>从监测结果可知， 项目所在区域</w:t>
      </w:r>
      <w:r>
        <w:rPr>
          <w:rFonts w:ascii="宋体" w:hAnsi="宋体" w:eastAsia="宋体" w:cs="宋体"/>
          <w:spacing w:val="-49"/>
          <w:position w:val="17"/>
          <w:sz w:val="24"/>
          <w:szCs w:val="24"/>
        </w:rPr>
        <w:t xml:space="preserve"> </w:t>
      </w:r>
      <w:r>
        <w:rPr>
          <w:rFonts w:ascii="Times New Roman" w:hAnsi="Times New Roman" w:eastAsia="Times New Roman" w:cs="Times New Roman"/>
          <w:spacing w:val="-7"/>
          <w:position w:val="17"/>
          <w:sz w:val="24"/>
          <w:szCs w:val="24"/>
        </w:rPr>
        <w:t>TSP</w:t>
      </w:r>
      <w:r>
        <w:rPr>
          <w:rFonts w:ascii="Times New Roman" w:hAnsi="Times New Roman" w:eastAsia="Times New Roman" w:cs="Times New Roman"/>
          <w:spacing w:val="31"/>
          <w:position w:val="17"/>
          <w:sz w:val="24"/>
          <w:szCs w:val="24"/>
        </w:rPr>
        <w:t xml:space="preserve"> </w:t>
      </w:r>
      <w:r>
        <w:rPr>
          <w:rFonts w:ascii="宋体" w:hAnsi="宋体" w:eastAsia="宋体" w:cs="宋体"/>
          <w:spacing w:val="-7"/>
          <w:position w:val="17"/>
          <w:sz w:val="24"/>
          <w:szCs w:val="24"/>
        </w:rPr>
        <w:t>的</w:t>
      </w:r>
      <w:r>
        <w:rPr>
          <w:rFonts w:ascii="宋体" w:hAnsi="宋体" w:eastAsia="宋体" w:cs="宋体"/>
          <w:spacing w:val="-55"/>
          <w:position w:val="17"/>
          <w:sz w:val="24"/>
          <w:szCs w:val="24"/>
        </w:rPr>
        <w:t xml:space="preserve"> </w:t>
      </w:r>
      <w:r>
        <w:rPr>
          <w:rFonts w:ascii="Times New Roman" w:hAnsi="Times New Roman" w:eastAsia="Times New Roman" w:cs="Times New Roman"/>
          <w:spacing w:val="-7"/>
          <w:position w:val="17"/>
          <w:sz w:val="24"/>
          <w:szCs w:val="24"/>
        </w:rPr>
        <w:t>24</w:t>
      </w:r>
      <w:r>
        <w:rPr>
          <w:rFonts w:ascii="Times New Roman" w:hAnsi="Times New Roman" w:eastAsia="Times New Roman" w:cs="Times New Roman"/>
          <w:spacing w:val="16"/>
          <w:position w:val="17"/>
          <w:sz w:val="24"/>
          <w:szCs w:val="24"/>
        </w:rPr>
        <w:t xml:space="preserve"> </w:t>
      </w:r>
      <w:r>
        <w:rPr>
          <w:rFonts w:ascii="宋体" w:hAnsi="宋体" w:eastAsia="宋体" w:cs="宋体"/>
          <w:spacing w:val="-7"/>
          <w:position w:val="17"/>
          <w:sz w:val="24"/>
          <w:szCs w:val="24"/>
        </w:rPr>
        <w:t>小时平均浓度满足《环境空气质</w:t>
      </w:r>
    </w:p>
    <w:p>
      <w:pPr>
        <w:spacing w:line="217" w:lineRule="auto"/>
        <w:ind w:left="290"/>
        <w:rPr>
          <w:rFonts w:ascii="宋体" w:hAnsi="宋体" w:eastAsia="宋体" w:cs="宋体"/>
          <w:sz w:val="24"/>
          <w:szCs w:val="24"/>
        </w:rPr>
      </w:pPr>
      <w:r>
        <w:rPr>
          <w:rFonts w:ascii="宋体" w:hAnsi="宋体" w:eastAsia="宋体" w:cs="宋体"/>
          <w:spacing w:val="-4"/>
          <w:sz w:val="24"/>
          <w:szCs w:val="24"/>
        </w:rPr>
        <w:t>量标准》 （</w:t>
      </w:r>
      <w:r>
        <w:rPr>
          <w:rFonts w:ascii="Times New Roman" w:hAnsi="Times New Roman" w:eastAsia="Times New Roman" w:cs="Times New Roman"/>
          <w:spacing w:val="-4"/>
          <w:sz w:val="24"/>
          <w:szCs w:val="24"/>
        </w:rPr>
        <w:t>GB3095-2012</w:t>
      </w:r>
      <w:r>
        <w:rPr>
          <w:rFonts w:ascii="宋体" w:hAnsi="宋体" w:eastAsia="宋体" w:cs="宋体"/>
          <w:spacing w:val="-4"/>
          <w:sz w:val="24"/>
          <w:szCs w:val="24"/>
        </w:rPr>
        <w:t>）及其修改单中的二级标准要</w:t>
      </w:r>
      <w:r>
        <w:rPr>
          <w:rFonts w:ascii="宋体" w:hAnsi="宋体" w:eastAsia="宋体" w:cs="宋体"/>
          <w:spacing w:val="-5"/>
          <w:sz w:val="24"/>
          <w:szCs w:val="24"/>
        </w:rPr>
        <w:t>求。</w:t>
      </w:r>
    </w:p>
    <w:p>
      <w:pPr>
        <w:spacing w:before="186" w:line="218" w:lineRule="auto"/>
        <w:ind w:left="286"/>
        <w:outlineLvl w:val="1"/>
        <w:rPr>
          <w:rFonts w:ascii="宋体" w:hAnsi="宋体" w:eastAsia="宋体" w:cs="宋体"/>
          <w:sz w:val="24"/>
          <w:szCs w:val="24"/>
        </w:rPr>
      </w:pPr>
      <w:bookmarkStart w:id="27" w:name="bookmark28"/>
      <w:bookmarkEnd w:id="27"/>
      <w:r>
        <w:rPr>
          <w:rFonts w:ascii="Times New Roman" w:hAnsi="Times New Roman" w:eastAsia="Times New Roman" w:cs="Times New Roman"/>
          <w:b/>
          <w:bCs/>
          <w:sz w:val="24"/>
          <w:szCs w:val="24"/>
        </w:rPr>
        <w:t xml:space="preserve">4.4 </w:t>
      </w:r>
      <w:r>
        <w:rPr>
          <w:rFonts w:ascii="宋体" w:hAnsi="宋体" w:eastAsia="宋体" w:cs="宋体"/>
          <w:sz w:val="24"/>
          <w:szCs w:val="24"/>
          <w14:textOutline w14:w="4354" w14:cap="flat" w14:cmpd="sng">
            <w14:solidFill>
              <w14:srgbClr w14:val="000000"/>
            </w14:solidFill>
            <w14:prstDash w14:val="solid"/>
            <w14:miter w14:val="0"/>
          </w14:textOutline>
        </w:rPr>
        <w:t>声环境质量现状调查与评价</w:t>
      </w:r>
    </w:p>
    <w:p>
      <w:pPr>
        <w:spacing w:before="181" w:line="220" w:lineRule="auto"/>
        <w:ind w:left="286"/>
        <w:outlineLvl w:val="1"/>
        <w:rPr>
          <w:rFonts w:ascii="宋体" w:hAnsi="宋体" w:eastAsia="宋体" w:cs="宋体"/>
          <w:sz w:val="24"/>
          <w:szCs w:val="24"/>
        </w:rPr>
      </w:pPr>
      <w:r>
        <w:rPr>
          <w:rFonts w:ascii="Times New Roman" w:hAnsi="Times New Roman" w:eastAsia="Times New Roman" w:cs="Times New Roman"/>
          <w:b/>
          <w:bCs/>
          <w:sz w:val="24"/>
          <w:szCs w:val="24"/>
        </w:rPr>
        <w:t xml:space="preserve">4.4.1 </w:t>
      </w:r>
      <w:r>
        <w:rPr>
          <w:rFonts w:ascii="宋体" w:hAnsi="宋体" w:eastAsia="宋体" w:cs="宋体"/>
          <w:sz w:val="24"/>
          <w:szCs w:val="24"/>
          <w14:textOutline w14:w="4354" w14:cap="flat" w14:cmpd="sng">
            <w14:solidFill>
              <w14:srgbClr w14:val="000000"/>
            </w14:solidFill>
            <w14:prstDash w14:val="solid"/>
            <w14:miter w14:val="0"/>
          </w14:textOutline>
        </w:rPr>
        <w:t>声环境现状调查</w:t>
      </w:r>
    </w:p>
    <w:p>
      <w:pPr>
        <w:spacing w:before="182" w:line="222" w:lineRule="auto"/>
        <w:ind w:left="77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）调查目的</w:t>
      </w:r>
    </w:p>
    <w:p>
      <w:pPr>
        <w:spacing w:before="177" w:line="468" w:lineRule="exact"/>
        <w:ind w:left="772"/>
        <w:rPr>
          <w:rFonts w:ascii="宋体" w:hAnsi="宋体" w:eastAsia="宋体" w:cs="宋体"/>
          <w:sz w:val="24"/>
          <w:szCs w:val="24"/>
        </w:rPr>
      </w:pPr>
      <w:r>
        <w:rPr>
          <w:rFonts w:ascii="宋体" w:hAnsi="宋体" w:eastAsia="宋体" w:cs="宋体"/>
          <w:spacing w:val="-2"/>
          <w:position w:val="17"/>
          <w:sz w:val="24"/>
          <w:szCs w:val="24"/>
        </w:rPr>
        <w:t>为了解本工程沿线声环境现状，为噪声预测计算提供背景资料。</w:t>
      </w:r>
    </w:p>
    <w:p>
      <w:pPr>
        <w:spacing w:before="1" w:line="220" w:lineRule="auto"/>
        <w:ind w:left="77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）调查方法</w:t>
      </w:r>
    </w:p>
    <w:p>
      <w:pPr>
        <w:spacing w:before="179" w:line="359" w:lineRule="auto"/>
        <w:ind w:left="290" w:right="280" w:firstLine="481"/>
        <w:jc w:val="both"/>
        <w:rPr>
          <w:rFonts w:ascii="宋体" w:hAnsi="宋体" w:eastAsia="宋体" w:cs="宋体"/>
          <w:sz w:val="24"/>
          <w:szCs w:val="24"/>
        </w:rPr>
      </w:pPr>
      <w:r>
        <w:rPr>
          <w:rFonts w:ascii="宋体" w:hAnsi="宋体" w:eastAsia="宋体" w:cs="宋体"/>
          <w:spacing w:val="-3"/>
          <w:sz w:val="24"/>
          <w:szCs w:val="24"/>
        </w:rPr>
        <w:t>调查范围主要为评价范围内声环境敏感目标。本工程主要调查</w:t>
      </w:r>
      <w:r>
        <w:rPr>
          <w:rFonts w:ascii="宋体" w:hAnsi="宋体" w:eastAsia="宋体" w:cs="宋体"/>
          <w:spacing w:val="-4"/>
          <w:sz w:val="24"/>
          <w:szCs w:val="24"/>
        </w:rPr>
        <w:t>对象为沿线村</w:t>
      </w:r>
      <w:r>
        <w:rPr>
          <w:rFonts w:ascii="宋体" w:hAnsi="宋体" w:eastAsia="宋体" w:cs="宋体"/>
          <w:sz w:val="24"/>
          <w:szCs w:val="24"/>
        </w:rPr>
        <w:t xml:space="preserve"> </w:t>
      </w:r>
      <w:r>
        <w:rPr>
          <w:rFonts w:ascii="宋体" w:hAnsi="宋体" w:eastAsia="宋体" w:cs="宋体"/>
          <w:spacing w:val="-9"/>
          <w:sz w:val="24"/>
          <w:szCs w:val="24"/>
        </w:rPr>
        <w:t>庄等声环境敏感点， 调查方法为按照设计单位提供</w:t>
      </w:r>
      <w:r>
        <w:rPr>
          <w:rFonts w:ascii="宋体" w:hAnsi="宋体" w:eastAsia="宋体" w:cs="宋体"/>
          <w:spacing w:val="-10"/>
          <w:sz w:val="24"/>
          <w:szCs w:val="24"/>
        </w:rPr>
        <w:t>的地形图， 实地查看路边建筑</w:t>
      </w:r>
      <w:r>
        <w:rPr>
          <w:rFonts w:ascii="宋体" w:hAnsi="宋体" w:eastAsia="宋体" w:cs="宋体"/>
          <w:sz w:val="24"/>
          <w:szCs w:val="24"/>
        </w:rPr>
        <w:t xml:space="preserve"> </w:t>
      </w:r>
      <w:r>
        <w:rPr>
          <w:rFonts w:ascii="宋体" w:hAnsi="宋体" w:eastAsia="宋体" w:cs="宋体"/>
          <w:spacing w:val="-15"/>
          <w:sz w:val="24"/>
          <w:szCs w:val="24"/>
        </w:rPr>
        <w:t>物，</w:t>
      </w:r>
      <w:r>
        <w:rPr>
          <w:rFonts w:ascii="宋体" w:hAnsi="宋体" w:eastAsia="宋体" w:cs="宋体"/>
          <w:spacing w:val="-43"/>
          <w:sz w:val="24"/>
          <w:szCs w:val="24"/>
        </w:rPr>
        <w:t xml:space="preserve"> </w:t>
      </w:r>
      <w:r>
        <w:rPr>
          <w:rFonts w:ascii="宋体" w:hAnsi="宋体" w:eastAsia="宋体" w:cs="宋体"/>
          <w:spacing w:val="-15"/>
          <w:sz w:val="24"/>
          <w:szCs w:val="24"/>
        </w:rPr>
        <w:t>询问当地干部、群众，</w:t>
      </w:r>
      <w:r>
        <w:rPr>
          <w:rFonts w:ascii="宋体" w:hAnsi="宋体" w:eastAsia="宋体" w:cs="宋体"/>
          <w:spacing w:val="60"/>
          <w:sz w:val="24"/>
          <w:szCs w:val="24"/>
        </w:rPr>
        <w:t xml:space="preserve"> </w:t>
      </w:r>
      <w:r>
        <w:rPr>
          <w:rFonts w:ascii="宋体" w:hAnsi="宋体" w:eastAsia="宋体" w:cs="宋体"/>
          <w:spacing w:val="-15"/>
          <w:sz w:val="24"/>
          <w:szCs w:val="24"/>
        </w:rPr>
        <w:t>了解该敏感点概况，</w:t>
      </w:r>
      <w:r>
        <w:rPr>
          <w:rFonts w:ascii="宋体" w:hAnsi="宋体" w:eastAsia="宋体" w:cs="宋体"/>
          <w:spacing w:val="41"/>
          <w:sz w:val="24"/>
          <w:szCs w:val="24"/>
        </w:rPr>
        <w:t xml:space="preserve"> </w:t>
      </w:r>
      <w:r>
        <w:rPr>
          <w:rFonts w:ascii="宋体" w:hAnsi="宋体" w:eastAsia="宋体" w:cs="宋体"/>
          <w:spacing w:val="-15"/>
          <w:sz w:val="24"/>
          <w:szCs w:val="24"/>
        </w:rPr>
        <w:t>尤其注意沿公路两侧的住户分布</w:t>
      </w:r>
      <w:r>
        <w:rPr>
          <w:rFonts w:ascii="宋体" w:hAnsi="宋体" w:eastAsia="宋体" w:cs="宋体"/>
          <w:sz w:val="24"/>
          <w:szCs w:val="24"/>
        </w:rPr>
        <w:t xml:space="preserve"> </w:t>
      </w:r>
      <w:r>
        <w:rPr>
          <w:rFonts w:ascii="宋体" w:hAnsi="宋体" w:eastAsia="宋体" w:cs="宋体"/>
          <w:spacing w:val="-6"/>
          <w:sz w:val="24"/>
          <w:szCs w:val="24"/>
        </w:rPr>
        <w:t>情况， 如相对于公路的方位、沿路第一排户数、第</w:t>
      </w:r>
      <w:r>
        <w:rPr>
          <w:rFonts w:ascii="宋体" w:hAnsi="宋体" w:eastAsia="宋体" w:cs="宋体"/>
          <w:spacing w:val="-7"/>
          <w:sz w:val="24"/>
          <w:szCs w:val="24"/>
        </w:rPr>
        <w:t>一排建筑物与道路红线（中心</w:t>
      </w:r>
    </w:p>
    <w:p>
      <w:pPr>
        <w:spacing w:before="1" w:line="218" w:lineRule="auto"/>
        <w:ind w:left="293"/>
        <w:rPr>
          <w:rFonts w:ascii="宋体" w:hAnsi="宋体" w:eastAsia="宋体" w:cs="宋体"/>
          <w:sz w:val="24"/>
          <w:szCs w:val="24"/>
        </w:rPr>
      </w:pPr>
      <w:r>
        <w:rPr>
          <w:rFonts w:ascii="宋体" w:hAnsi="宋体" w:eastAsia="宋体" w:cs="宋体"/>
          <w:spacing w:val="-3"/>
          <w:sz w:val="24"/>
          <w:szCs w:val="24"/>
        </w:rPr>
        <w:t>线）的距离、该敏感点沿公路分布的长度等。</w:t>
      </w:r>
    </w:p>
    <w:p>
      <w:pPr>
        <w:spacing w:before="183" w:line="220" w:lineRule="auto"/>
        <w:ind w:left="286"/>
        <w:outlineLvl w:val="1"/>
        <w:rPr>
          <w:rFonts w:ascii="宋体" w:hAnsi="宋体" w:eastAsia="宋体" w:cs="宋体"/>
          <w:sz w:val="24"/>
          <w:szCs w:val="24"/>
        </w:rPr>
      </w:pPr>
      <w:r>
        <w:rPr>
          <w:rFonts w:ascii="Times New Roman" w:hAnsi="Times New Roman" w:eastAsia="Times New Roman" w:cs="Times New Roman"/>
          <w:b/>
          <w:bCs/>
          <w:sz w:val="24"/>
          <w:szCs w:val="24"/>
        </w:rPr>
        <w:t xml:space="preserve">4.4.2 </w:t>
      </w:r>
      <w:r>
        <w:rPr>
          <w:rFonts w:ascii="宋体" w:hAnsi="宋体" w:eastAsia="宋体" w:cs="宋体"/>
          <w:sz w:val="24"/>
          <w:szCs w:val="24"/>
          <w14:textOutline w14:w="4354" w14:cap="flat" w14:cmpd="sng">
            <w14:solidFill>
              <w14:srgbClr w14:val="000000"/>
            </w14:solidFill>
            <w14:prstDash w14:val="solid"/>
            <w14:miter w14:val="0"/>
          </w14:textOutline>
        </w:rPr>
        <w:t>声环境现状监测</w:t>
      </w:r>
    </w:p>
    <w:p>
      <w:pPr>
        <w:spacing w:before="180" w:line="468" w:lineRule="exact"/>
        <w:ind w:left="772"/>
        <w:rPr>
          <w:rFonts w:ascii="宋体" w:hAnsi="宋体" w:eastAsia="宋体" w:cs="宋体"/>
          <w:sz w:val="24"/>
          <w:szCs w:val="24"/>
        </w:rPr>
      </w:pPr>
      <w:r>
        <w:rPr>
          <w:rFonts w:ascii="宋体" w:hAnsi="宋体" w:eastAsia="宋体" w:cs="宋体"/>
          <w:spacing w:val="-6"/>
          <w:position w:val="17"/>
          <w:sz w:val="24"/>
          <w:szCs w:val="24"/>
        </w:rPr>
        <w:t>为详细了解沿线声环境质量状况，</w:t>
      </w:r>
      <w:r>
        <w:rPr>
          <w:rFonts w:ascii="宋体" w:hAnsi="宋体" w:eastAsia="宋体" w:cs="宋体"/>
          <w:spacing w:val="-28"/>
          <w:position w:val="17"/>
          <w:sz w:val="24"/>
          <w:szCs w:val="24"/>
        </w:rPr>
        <w:t xml:space="preserve"> </w:t>
      </w:r>
      <w:r>
        <w:rPr>
          <w:rFonts w:ascii="宋体" w:hAnsi="宋体" w:eastAsia="宋体" w:cs="宋体"/>
          <w:spacing w:val="-6"/>
          <w:position w:val="17"/>
          <w:sz w:val="24"/>
          <w:szCs w:val="24"/>
        </w:rPr>
        <w:t>本次环评委托浙江瑞启检测技术有限公司</w:t>
      </w:r>
    </w:p>
    <w:p>
      <w:pPr>
        <w:spacing w:before="1" w:line="219" w:lineRule="auto"/>
        <w:ind w:left="289"/>
        <w:rPr>
          <w:rFonts w:ascii="宋体" w:hAnsi="宋体" w:eastAsia="宋体" w:cs="宋体"/>
          <w:sz w:val="24"/>
          <w:szCs w:val="24"/>
        </w:rPr>
      </w:pPr>
      <w:r>
        <w:rPr>
          <w:rFonts w:ascii="宋体" w:hAnsi="宋体" w:eastAsia="宋体" w:cs="宋体"/>
          <w:spacing w:val="-3"/>
          <w:sz w:val="24"/>
          <w:szCs w:val="24"/>
        </w:rPr>
        <w:t>对沿线敏感目标进行声环境现状监测。</w:t>
      </w:r>
    </w:p>
    <w:p>
      <w:pPr>
        <w:spacing w:before="180" w:line="219" w:lineRule="auto"/>
        <w:ind w:left="788"/>
        <w:rPr>
          <w:rFonts w:ascii="宋体" w:hAnsi="宋体" w:eastAsia="宋体" w:cs="宋体"/>
          <w:sz w:val="24"/>
          <w:szCs w:val="24"/>
        </w:rPr>
      </w:pPr>
      <w:r>
        <w:rPr>
          <w:rFonts w:ascii="Times New Roman" w:hAnsi="Times New Roman" w:eastAsia="Times New Roman" w:cs="Times New Roman"/>
          <w:spacing w:val="-9"/>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9"/>
          <w:sz w:val="24"/>
          <w:szCs w:val="24"/>
        </w:rPr>
        <w:t>、监测布点</w:t>
      </w:r>
    </w:p>
    <w:p>
      <w:pPr>
        <w:spacing w:before="184" w:line="359" w:lineRule="auto"/>
        <w:ind w:left="301" w:right="283" w:firstLine="469"/>
        <w:rPr>
          <w:rFonts w:ascii="宋体" w:hAnsi="宋体" w:eastAsia="宋体" w:cs="宋体"/>
          <w:sz w:val="24"/>
          <w:szCs w:val="24"/>
        </w:rPr>
      </w:pPr>
      <w:r>
        <w:rPr>
          <w:rFonts w:ascii="宋体" w:hAnsi="宋体" w:eastAsia="宋体" w:cs="宋体"/>
          <w:spacing w:val="-10"/>
          <w:sz w:val="24"/>
          <w:szCs w:val="24"/>
        </w:rPr>
        <w:t>本项目为线性工程， 道路沿线有村庄等环境保护目标沿线分布， 其现状主要</w:t>
      </w:r>
      <w:r>
        <w:rPr>
          <w:rFonts w:ascii="宋体" w:hAnsi="宋体" w:eastAsia="宋体" w:cs="宋体"/>
          <w:spacing w:val="3"/>
          <w:sz w:val="24"/>
          <w:szCs w:val="24"/>
        </w:rPr>
        <w:t xml:space="preserve"> </w:t>
      </w:r>
      <w:r>
        <w:rPr>
          <w:rFonts w:ascii="宋体" w:hAnsi="宋体" w:eastAsia="宋体" w:cs="宋体"/>
          <w:spacing w:val="-2"/>
          <w:sz w:val="24"/>
          <w:szCs w:val="24"/>
        </w:rPr>
        <w:t>噪声源为交通噪声、建筑施工噪声和社会生活噪声。本次监测共布设</w:t>
      </w:r>
      <w:r>
        <w:rPr>
          <w:rFonts w:ascii="宋体" w:hAnsi="宋体" w:eastAsia="宋体" w:cs="宋体"/>
          <w:spacing w:val="-3"/>
          <w:sz w:val="24"/>
          <w:szCs w:val="24"/>
        </w:rPr>
        <w:t xml:space="preserve">了 </w:t>
      </w:r>
      <w:r>
        <w:rPr>
          <w:rFonts w:ascii="Times New Roman" w:hAnsi="Times New Roman" w:eastAsia="Times New Roman" w:cs="Times New Roman"/>
          <w:spacing w:val="-3"/>
          <w:sz w:val="24"/>
          <w:szCs w:val="24"/>
        </w:rPr>
        <w:t>17</w:t>
      </w:r>
      <w:r>
        <w:rPr>
          <w:rFonts w:ascii="Times New Roman" w:hAnsi="Times New Roman" w:eastAsia="Times New Roman" w:cs="Times New Roman"/>
          <w:spacing w:val="21"/>
          <w:w w:val="101"/>
          <w:sz w:val="24"/>
          <w:szCs w:val="24"/>
        </w:rPr>
        <w:t xml:space="preserve"> </w:t>
      </w:r>
      <w:r>
        <w:rPr>
          <w:rFonts w:ascii="宋体" w:hAnsi="宋体" w:eastAsia="宋体" w:cs="宋体"/>
          <w:spacing w:val="-3"/>
          <w:sz w:val="24"/>
          <w:szCs w:val="24"/>
        </w:rPr>
        <w:t>个声</w:t>
      </w:r>
    </w:p>
    <w:p>
      <w:pPr>
        <w:spacing w:before="1" w:line="219" w:lineRule="auto"/>
        <w:ind w:left="290"/>
        <w:rPr>
          <w:rFonts w:ascii="宋体" w:hAnsi="宋体" w:eastAsia="宋体" w:cs="宋体"/>
          <w:sz w:val="24"/>
          <w:szCs w:val="24"/>
        </w:rPr>
      </w:pPr>
      <w:r>
        <w:rPr>
          <w:rFonts w:ascii="宋体" w:hAnsi="宋体" w:eastAsia="宋体" w:cs="宋体"/>
          <w:spacing w:val="-2"/>
          <w:sz w:val="24"/>
          <w:szCs w:val="24"/>
        </w:rPr>
        <w:t>环境现状监测点。</w:t>
      </w:r>
    </w:p>
    <w:p>
      <w:pPr>
        <w:spacing w:before="183" w:line="218" w:lineRule="auto"/>
        <w:ind w:left="765"/>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、点位布设合理性和代表性分析</w:t>
      </w:r>
    </w:p>
    <w:p>
      <w:pPr>
        <w:spacing w:before="183" w:line="359" w:lineRule="auto"/>
        <w:ind w:left="290" w:right="241" w:firstLine="479"/>
        <w:rPr>
          <w:rFonts w:ascii="宋体" w:hAnsi="宋体" w:eastAsia="宋体" w:cs="宋体"/>
          <w:sz w:val="24"/>
          <w:szCs w:val="24"/>
        </w:rPr>
      </w:pPr>
      <w:r>
        <w:rPr>
          <w:rFonts w:ascii="宋体" w:hAnsi="宋体" w:eastAsia="宋体" w:cs="宋体"/>
          <w:spacing w:val="-1"/>
          <w:sz w:val="24"/>
          <w:szCs w:val="24"/>
        </w:rPr>
        <w:t>根据《环境影响评价技术导则声环境》</w:t>
      </w:r>
      <w:r>
        <w:rPr>
          <w:rFonts w:ascii="Times New Roman" w:hAnsi="Times New Roman" w:eastAsia="Times New Roman" w:cs="Times New Roman"/>
          <w:spacing w:val="-1"/>
          <w:sz w:val="24"/>
          <w:szCs w:val="24"/>
        </w:rPr>
        <w:t>(HJ2.4</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r>
        <w:rPr>
          <w:rFonts w:ascii="宋体" w:hAnsi="宋体" w:eastAsia="宋体" w:cs="宋体"/>
          <w:spacing w:val="-2"/>
          <w:sz w:val="24"/>
          <w:szCs w:val="24"/>
        </w:rPr>
        <w:t>评价范围内具有代表</w:t>
      </w:r>
      <w:r>
        <w:rPr>
          <w:rFonts w:ascii="宋体" w:hAnsi="宋体" w:eastAsia="宋体" w:cs="宋体"/>
          <w:sz w:val="24"/>
          <w:szCs w:val="24"/>
        </w:rPr>
        <w:t xml:space="preserve"> </w:t>
      </w:r>
      <w:r>
        <w:rPr>
          <w:rFonts w:ascii="宋体" w:hAnsi="宋体" w:eastAsia="宋体" w:cs="宋体"/>
          <w:spacing w:val="-8"/>
          <w:sz w:val="24"/>
          <w:szCs w:val="24"/>
        </w:rPr>
        <w:t>性的声环境保护目标的声环境质量现状需要现场监测。</w:t>
      </w:r>
      <w:r>
        <w:rPr>
          <w:rFonts w:ascii="宋体" w:hAnsi="宋体" w:eastAsia="宋体" w:cs="宋体"/>
          <w:spacing w:val="72"/>
          <w:sz w:val="24"/>
          <w:szCs w:val="24"/>
        </w:rPr>
        <w:t xml:space="preserve"> </w:t>
      </w:r>
      <w:r>
        <w:rPr>
          <w:rFonts w:ascii="Times New Roman" w:hAnsi="Times New Roman" w:eastAsia="Times New Roman" w:cs="Times New Roman"/>
          <w:spacing w:val="-8"/>
          <w:sz w:val="24"/>
          <w:szCs w:val="24"/>
        </w:rPr>
        <w:t>……</w:t>
      </w:r>
      <w:r>
        <w:rPr>
          <w:rFonts w:ascii="Times New Roman" w:hAnsi="Times New Roman" w:eastAsia="Times New Roman" w:cs="Times New Roman"/>
          <w:spacing w:val="-35"/>
          <w:sz w:val="24"/>
          <w:szCs w:val="24"/>
        </w:rPr>
        <w:t xml:space="preserve"> </w:t>
      </w:r>
      <w:r>
        <w:rPr>
          <w:rFonts w:ascii="宋体" w:hAnsi="宋体" w:eastAsia="宋体" w:cs="宋体"/>
          <w:spacing w:val="-8"/>
          <w:sz w:val="24"/>
          <w:szCs w:val="24"/>
        </w:rPr>
        <w:t>当声源为移动声源，</w:t>
      </w:r>
      <w:r>
        <w:rPr>
          <w:rFonts w:ascii="宋体" w:hAnsi="宋体" w:eastAsia="宋体" w:cs="宋体"/>
          <w:sz w:val="24"/>
          <w:szCs w:val="24"/>
        </w:rPr>
        <w:t xml:space="preserve"> </w:t>
      </w:r>
      <w:r>
        <w:rPr>
          <w:rFonts w:ascii="宋体" w:hAnsi="宋体" w:eastAsia="宋体" w:cs="宋体"/>
          <w:spacing w:val="-6"/>
          <w:sz w:val="24"/>
          <w:szCs w:val="24"/>
        </w:rPr>
        <w:t>且呈线声源特点时， 现状测点位置选取应兼顾声环境保</w:t>
      </w:r>
      <w:r>
        <w:rPr>
          <w:rFonts w:ascii="宋体" w:hAnsi="宋体" w:eastAsia="宋体" w:cs="宋体"/>
          <w:spacing w:val="-7"/>
          <w:sz w:val="24"/>
          <w:szCs w:val="24"/>
        </w:rPr>
        <w:t>护目标的分布状况、工程</w:t>
      </w:r>
    </w:p>
    <w:p>
      <w:pPr>
        <w:spacing w:before="1" w:line="217" w:lineRule="auto"/>
        <w:ind w:left="290"/>
        <w:rPr>
          <w:rFonts w:ascii="宋体" w:hAnsi="宋体" w:eastAsia="宋体" w:cs="宋体"/>
          <w:sz w:val="24"/>
          <w:szCs w:val="24"/>
        </w:rPr>
      </w:pPr>
      <w:r>
        <w:rPr>
          <w:rFonts w:ascii="宋体" w:hAnsi="宋体" w:eastAsia="宋体" w:cs="宋体"/>
          <w:spacing w:val="-6"/>
          <w:sz w:val="24"/>
          <w:szCs w:val="24"/>
        </w:rPr>
        <w:t>特点及线声源噪声影响随距离衰减的特点，</w:t>
      </w:r>
      <w:r>
        <w:rPr>
          <w:rFonts w:ascii="宋体" w:hAnsi="宋体" w:eastAsia="宋体" w:cs="宋体"/>
          <w:spacing w:val="-14"/>
          <w:sz w:val="24"/>
          <w:szCs w:val="24"/>
        </w:rPr>
        <w:t xml:space="preserve"> </w:t>
      </w:r>
      <w:r>
        <w:rPr>
          <w:rFonts w:ascii="宋体" w:hAnsi="宋体" w:eastAsia="宋体" w:cs="宋体"/>
          <w:spacing w:val="-6"/>
          <w:sz w:val="24"/>
          <w:szCs w:val="24"/>
        </w:rPr>
        <w:t>布设在具有代表性的声环境保护目标</w:t>
      </w:r>
    </w:p>
    <w:p>
      <w:pPr>
        <w:spacing w:line="217" w:lineRule="auto"/>
        <w:rPr>
          <w:rFonts w:ascii="宋体" w:hAnsi="宋体" w:eastAsia="宋体" w:cs="宋体"/>
          <w:sz w:val="24"/>
          <w:szCs w:val="24"/>
        </w:rPr>
        <w:sectPr>
          <w:headerReference r:id="rId191" w:type="default"/>
          <w:footerReference r:id="rId192" w:type="default"/>
          <w:pgSz w:w="11907" w:h="16839"/>
          <w:pgMar w:top="1118" w:right="1517" w:bottom="1151" w:left="1519" w:header="879" w:footer="990" w:gutter="0"/>
          <w:cols w:space="720" w:num="1"/>
        </w:sectPr>
      </w:pPr>
    </w:p>
    <w:p>
      <w:pPr>
        <w:pStyle w:val="2"/>
        <w:spacing w:line="278" w:lineRule="auto"/>
      </w:pPr>
    </w:p>
    <w:p>
      <w:pPr>
        <w:spacing w:before="78" w:line="224" w:lineRule="auto"/>
        <w:ind w:left="42"/>
        <w:rPr>
          <w:rFonts w:ascii="Times New Roman" w:hAnsi="Times New Roman" w:eastAsia="Times New Roman" w:cs="Times New Roman"/>
          <w:sz w:val="24"/>
          <w:szCs w:val="24"/>
        </w:rPr>
      </w:pPr>
      <w:r>
        <w:rPr>
          <w:rFonts w:ascii="宋体" w:hAnsi="宋体" w:eastAsia="宋体" w:cs="宋体"/>
          <w:spacing w:val="-14"/>
          <w:sz w:val="24"/>
          <w:szCs w:val="24"/>
        </w:rPr>
        <w:t>处。</w:t>
      </w:r>
      <w:r>
        <w:rPr>
          <w:rFonts w:ascii="宋体" w:hAnsi="宋体" w:eastAsia="宋体" w:cs="宋体"/>
          <w:spacing w:val="-40"/>
          <w:sz w:val="24"/>
          <w:szCs w:val="24"/>
        </w:rPr>
        <w:t xml:space="preserve"> </w:t>
      </w:r>
      <w:r>
        <w:rPr>
          <w:rFonts w:ascii="Times New Roman" w:hAnsi="Times New Roman" w:eastAsia="Times New Roman" w:cs="Times New Roman"/>
          <w:spacing w:val="-14"/>
          <w:sz w:val="24"/>
          <w:szCs w:val="24"/>
        </w:rPr>
        <w:t>”</w:t>
      </w:r>
    </w:p>
    <w:p>
      <w:pPr>
        <w:spacing w:before="176" w:line="359" w:lineRule="auto"/>
        <w:ind w:left="32" w:right="49" w:firstLine="486"/>
        <w:rPr>
          <w:rFonts w:ascii="宋体" w:hAnsi="宋体" w:eastAsia="宋体" w:cs="宋体"/>
          <w:sz w:val="24"/>
          <w:szCs w:val="24"/>
        </w:rPr>
      </w:pPr>
      <w:r>
        <w:rPr>
          <w:rFonts w:ascii="宋体" w:hAnsi="宋体" w:eastAsia="宋体" w:cs="宋体"/>
          <w:sz w:val="24"/>
          <w:szCs w:val="24"/>
        </w:rPr>
        <w:t xml:space="preserve">本项目声环境现状监测点位均按照导则的要求进行设置。项目涉及 </w:t>
      </w:r>
      <w:r>
        <w:rPr>
          <w:rFonts w:ascii="Times New Roman" w:hAnsi="Times New Roman" w:eastAsia="Times New Roman" w:cs="Times New Roman"/>
          <w:sz w:val="24"/>
          <w:szCs w:val="24"/>
        </w:rPr>
        <w:t xml:space="preserve">2  </w:t>
      </w:r>
      <w:r>
        <w:rPr>
          <w:rFonts w:ascii="宋体" w:hAnsi="宋体" w:eastAsia="宋体" w:cs="宋体"/>
          <w:sz w:val="24"/>
          <w:szCs w:val="24"/>
        </w:rPr>
        <w:t>类和</w:t>
      </w:r>
      <w:r>
        <w:rPr>
          <w:rFonts w:ascii="宋体" w:hAnsi="宋体" w:eastAsia="宋体" w:cs="宋体"/>
          <w:spacing w:val="16"/>
          <w:sz w:val="24"/>
          <w:szCs w:val="24"/>
        </w:rPr>
        <w:t xml:space="preserve"> </w:t>
      </w:r>
      <w:r>
        <w:rPr>
          <w:rFonts w:ascii="Times New Roman" w:hAnsi="Times New Roman" w:eastAsia="Times New Roman" w:cs="Times New Roman"/>
          <w:spacing w:val="-5"/>
          <w:sz w:val="24"/>
          <w:szCs w:val="24"/>
        </w:rPr>
        <w:t xml:space="preserve">4a </w:t>
      </w:r>
      <w:r>
        <w:rPr>
          <w:rFonts w:ascii="宋体" w:hAnsi="宋体" w:eastAsia="宋体" w:cs="宋体"/>
          <w:spacing w:val="-5"/>
          <w:sz w:val="24"/>
          <w:szCs w:val="24"/>
        </w:rPr>
        <w:t>类声环境功能区，</w:t>
      </w:r>
      <w:r>
        <w:rPr>
          <w:rFonts w:ascii="宋体" w:hAnsi="宋体" w:eastAsia="宋体" w:cs="宋体"/>
          <w:spacing w:val="57"/>
          <w:sz w:val="24"/>
          <w:szCs w:val="24"/>
        </w:rPr>
        <w:t xml:space="preserve"> </w:t>
      </w:r>
      <w:r>
        <w:rPr>
          <w:rFonts w:ascii="宋体" w:hAnsi="宋体" w:eastAsia="宋体" w:cs="宋体"/>
          <w:spacing w:val="-5"/>
          <w:sz w:val="24"/>
          <w:szCs w:val="24"/>
        </w:rPr>
        <w:t>本次主要对</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类和</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 xml:space="preserve">4a </w:t>
      </w:r>
      <w:r>
        <w:rPr>
          <w:rFonts w:ascii="宋体" w:hAnsi="宋体" w:eastAsia="宋体" w:cs="宋体"/>
          <w:spacing w:val="-5"/>
          <w:sz w:val="24"/>
          <w:szCs w:val="24"/>
        </w:rPr>
        <w:t>类声环境功能区内声环境保护</w:t>
      </w:r>
      <w:r>
        <w:rPr>
          <w:rFonts w:ascii="宋体" w:hAnsi="宋体" w:eastAsia="宋体" w:cs="宋体"/>
          <w:spacing w:val="-6"/>
          <w:sz w:val="24"/>
          <w:szCs w:val="24"/>
        </w:rPr>
        <w:t>目标的</w:t>
      </w:r>
      <w:r>
        <w:rPr>
          <w:rFonts w:ascii="宋体" w:hAnsi="宋体" w:eastAsia="宋体" w:cs="宋体"/>
          <w:sz w:val="24"/>
          <w:szCs w:val="24"/>
        </w:rPr>
        <w:t xml:space="preserve"> </w:t>
      </w:r>
      <w:r>
        <w:rPr>
          <w:rFonts w:ascii="宋体" w:hAnsi="宋体" w:eastAsia="宋体" w:cs="宋体"/>
          <w:spacing w:val="-3"/>
          <w:sz w:val="24"/>
          <w:szCs w:val="24"/>
        </w:rPr>
        <w:t>声环境质量现状进行监测。检测结果及本次监测点与声环境保护目标对应情况见</w:t>
      </w:r>
    </w:p>
    <w:p>
      <w:pPr>
        <w:spacing w:before="1" w:line="220" w:lineRule="auto"/>
        <w:ind w:left="37"/>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4.4-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6"/>
          <w:sz w:val="24"/>
          <w:szCs w:val="24"/>
        </w:rPr>
        <w:t>1</w:t>
      </w:r>
      <w:r>
        <w:rPr>
          <w:rFonts w:ascii="宋体" w:hAnsi="宋体" w:eastAsia="宋体" w:cs="宋体"/>
          <w:spacing w:val="-6"/>
          <w:sz w:val="24"/>
          <w:szCs w:val="24"/>
        </w:rPr>
        <w:t>。</w:t>
      </w:r>
    </w:p>
    <w:p>
      <w:pPr>
        <w:spacing w:before="180" w:line="359" w:lineRule="auto"/>
        <w:ind w:left="38" w:firstLine="508"/>
        <w:rPr>
          <w:rFonts w:ascii="宋体" w:hAnsi="宋体" w:eastAsia="宋体" w:cs="宋体"/>
          <w:sz w:val="24"/>
          <w:szCs w:val="24"/>
        </w:rPr>
      </w:pPr>
      <w:r>
        <w:rPr>
          <w:rFonts w:ascii="宋体" w:hAnsi="宋体" w:eastAsia="宋体" w:cs="宋体"/>
          <w:spacing w:val="-3"/>
          <w:sz w:val="24"/>
          <w:szCs w:val="24"/>
        </w:rPr>
        <w:t>由于声环境保护目标主要为沿线村庄和安置</w:t>
      </w:r>
      <w:r>
        <w:rPr>
          <w:rFonts w:ascii="宋体" w:hAnsi="宋体" w:eastAsia="宋体" w:cs="宋体"/>
          <w:spacing w:val="-4"/>
          <w:sz w:val="24"/>
          <w:szCs w:val="24"/>
        </w:rPr>
        <w:t>小区，楼房形式以</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1~3 </w:t>
      </w:r>
      <w:r>
        <w:rPr>
          <w:rFonts w:ascii="宋体" w:hAnsi="宋体" w:eastAsia="宋体" w:cs="宋体"/>
          <w:spacing w:val="-4"/>
          <w:sz w:val="24"/>
          <w:szCs w:val="24"/>
        </w:rPr>
        <w:t>层居多，</w:t>
      </w:r>
      <w:r>
        <w:rPr>
          <w:rFonts w:ascii="宋体" w:hAnsi="宋体" w:eastAsia="宋体" w:cs="宋体"/>
          <w:sz w:val="24"/>
          <w:szCs w:val="24"/>
        </w:rPr>
        <w:t xml:space="preserve"> </w:t>
      </w:r>
      <w:r>
        <w:rPr>
          <w:rFonts w:ascii="宋体" w:hAnsi="宋体" w:eastAsia="宋体" w:cs="宋体"/>
          <w:spacing w:val="-3"/>
          <w:sz w:val="24"/>
          <w:szCs w:val="24"/>
        </w:rPr>
        <w:t xml:space="preserve">因此本次在村庄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层等设置监测点位；由于本项目部分路段涉及与现状道路</w:t>
      </w:r>
      <w:r>
        <w:rPr>
          <w:rFonts w:ascii="宋体" w:hAnsi="宋体" w:eastAsia="宋体" w:cs="宋体"/>
          <w:sz w:val="24"/>
          <w:szCs w:val="24"/>
        </w:rPr>
        <w:t xml:space="preserve"> </w:t>
      </w:r>
      <w:r>
        <w:rPr>
          <w:rFonts w:ascii="宋体" w:hAnsi="宋体" w:eastAsia="宋体" w:cs="宋体"/>
          <w:spacing w:val="-9"/>
          <w:sz w:val="24"/>
          <w:szCs w:val="24"/>
        </w:rPr>
        <w:t>交叉或衔接， 评价范围内主要噪声源为现有交通噪</w:t>
      </w:r>
      <w:r>
        <w:rPr>
          <w:rFonts w:ascii="宋体" w:hAnsi="宋体" w:eastAsia="宋体" w:cs="宋体"/>
          <w:spacing w:val="-10"/>
          <w:sz w:val="24"/>
          <w:szCs w:val="24"/>
        </w:rPr>
        <w:t>声， 故在现状道路与本次线路</w:t>
      </w:r>
      <w:r>
        <w:rPr>
          <w:rFonts w:ascii="宋体" w:hAnsi="宋体" w:eastAsia="宋体" w:cs="宋体"/>
          <w:sz w:val="24"/>
          <w:szCs w:val="24"/>
        </w:rPr>
        <w:t xml:space="preserve"> </w:t>
      </w:r>
      <w:r>
        <w:rPr>
          <w:rFonts w:ascii="宋体" w:hAnsi="宋体" w:eastAsia="宋体" w:cs="宋体"/>
          <w:spacing w:val="-1"/>
          <w:sz w:val="24"/>
          <w:szCs w:val="24"/>
        </w:rPr>
        <w:t>的</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4a</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类及</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类区声环境保护目标布设监测点，能够反映声环境保护目标受现状</w:t>
      </w:r>
      <w:r>
        <w:rPr>
          <w:rFonts w:ascii="宋体" w:hAnsi="宋体" w:eastAsia="宋体" w:cs="宋体"/>
          <w:sz w:val="24"/>
          <w:szCs w:val="24"/>
        </w:rPr>
        <w:t xml:space="preserve"> </w:t>
      </w:r>
      <w:r>
        <w:rPr>
          <w:rFonts w:ascii="宋体" w:hAnsi="宋体" w:eastAsia="宋体" w:cs="宋体"/>
          <w:spacing w:val="-6"/>
          <w:sz w:val="24"/>
          <w:szCs w:val="24"/>
        </w:rPr>
        <w:t>交通噪声影响情况， 具有代表性。除受现状道路交通噪</w:t>
      </w:r>
      <w:r>
        <w:rPr>
          <w:rFonts w:ascii="宋体" w:hAnsi="宋体" w:eastAsia="宋体" w:cs="宋体"/>
          <w:spacing w:val="-7"/>
          <w:sz w:val="24"/>
          <w:szCs w:val="24"/>
        </w:rPr>
        <w:t>声影响的声环境保护目标</w:t>
      </w:r>
      <w:r>
        <w:rPr>
          <w:rFonts w:ascii="宋体" w:hAnsi="宋体" w:eastAsia="宋体" w:cs="宋体"/>
          <w:sz w:val="24"/>
          <w:szCs w:val="24"/>
        </w:rPr>
        <w:t xml:space="preserve"> </w:t>
      </w:r>
      <w:r>
        <w:rPr>
          <w:rFonts w:ascii="宋体" w:hAnsi="宋体" w:eastAsia="宋体" w:cs="宋体"/>
          <w:spacing w:val="-2"/>
          <w:sz w:val="24"/>
          <w:szCs w:val="24"/>
        </w:rPr>
        <w:t>外，起点路段主要声源为乡镇生活噪声，属于</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类区。本次检测共布设</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17</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个点</w:t>
      </w:r>
      <w:r>
        <w:rPr>
          <w:rFonts w:ascii="宋体" w:hAnsi="宋体" w:eastAsia="宋体" w:cs="宋体"/>
          <w:sz w:val="24"/>
          <w:szCs w:val="24"/>
        </w:rPr>
        <w:t xml:space="preserve"> </w:t>
      </w:r>
      <w:r>
        <w:rPr>
          <w:rFonts w:ascii="宋体" w:hAnsi="宋体" w:eastAsia="宋体" w:cs="宋体"/>
          <w:spacing w:val="-6"/>
          <w:sz w:val="24"/>
          <w:szCs w:val="24"/>
        </w:rPr>
        <w:t>位，覆盖沿线大部分声环境保护目标， 能够反映沿线声环</w:t>
      </w:r>
      <w:r>
        <w:rPr>
          <w:rFonts w:ascii="宋体" w:hAnsi="宋体" w:eastAsia="宋体" w:cs="宋体"/>
          <w:spacing w:val="-7"/>
          <w:sz w:val="24"/>
          <w:szCs w:val="24"/>
        </w:rPr>
        <w:t>境保护目标的声环境质</w:t>
      </w:r>
    </w:p>
    <w:p>
      <w:pPr>
        <w:spacing w:line="219" w:lineRule="auto"/>
        <w:ind w:left="38"/>
        <w:rPr>
          <w:rFonts w:ascii="宋体" w:hAnsi="宋体" w:eastAsia="宋体" w:cs="宋体"/>
          <w:sz w:val="24"/>
          <w:szCs w:val="24"/>
        </w:rPr>
      </w:pPr>
      <w:r>
        <w:rPr>
          <w:rFonts w:ascii="宋体" w:hAnsi="宋体" w:eastAsia="宋体" w:cs="宋体"/>
          <w:spacing w:val="-4"/>
          <w:sz w:val="24"/>
          <w:szCs w:val="24"/>
        </w:rPr>
        <w:t>量现状，具有代表性。</w:t>
      </w:r>
    </w:p>
    <w:p>
      <w:pPr>
        <w:spacing w:before="182" w:line="466" w:lineRule="exact"/>
        <w:ind w:right="48"/>
        <w:jc w:val="right"/>
        <w:rPr>
          <w:rFonts w:ascii="宋体" w:hAnsi="宋体" w:eastAsia="宋体" w:cs="宋体"/>
          <w:sz w:val="24"/>
          <w:szCs w:val="24"/>
        </w:rPr>
      </w:pPr>
      <w:r>
        <w:rPr>
          <w:rFonts w:ascii="宋体" w:hAnsi="宋体" w:eastAsia="宋体" w:cs="宋体"/>
          <w:spacing w:val="-16"/>
          <w:position w:val="17"/>
          <w:sz w:val="24"/>
          <w:szCs w:val="24"/>
        </w:rPr>
        <w:t>综上分析， 本次声环境现状监测点位设置合理，</w:t>
      </w:r>
      <w:r>
        <w:rPr>
          <w:rFonts w:ascii="宋体" w:hAnsi="宋体" w:eastAsia="宋体" w:cs="宋体"/>
          <w:spacing w:val="43"/>
          <w:position w:val="17"/>
          <w:sz w:val="24"/>
          <w:szCs w:val="24"/>
        </w:rPr>
        <w:t xml:space="preserve"> </w:t>
      </w:r>
      <w:r>
        <w:rPr>
          <w:rFonts w:ascii="宋体" w:hAnsi="宋体" w:eastAsia="宋体" w:cs="宋体"/>
          <w:spacing w:val="-16"/>
          <w:position w:val="17"/>
          <w:sz w:val="24"/>
          <w:szCs w:val="24"/>
        </w:rPr>
        <w:t>具有代表性，</w:t>
      </w:r>
      <w:r>
        <w:rPr>
          <w:rFonts w:ascii="宋体" w:hAnsi="宋体" w:eastAsia="宋体" w:cs="宋体"/>
          <w:spacing w:val="36"/>
          <w:position w:val="17"/>
          <w:sz w:val="24"/>
          <w:szCs w:val="24"/>
        </w:rPr>
        <w:t xml:space="preserve"> </w:t>
      </w:r>
      <w:r>
        <w:rPr>
          <w:rFonts w:ascii="宋体" w:hAnsi="宋体" w:eastAsia="宋体" w:cs="宋体"/>
          <w:spacing w:val="-16"/>
          <w:position w:val="17"/>
          <w:sz w:val="24"/>
          <w:szCs w:val="24"/>
        </w:rPr>
        <w:t>声环境现状检</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测结果基本能够反映工程沿线现有声环境情况，能满足导则要求。</w:t>
      </w:r>
    </w:p>
    <w:p>
      <w:pPr>
        <w:spacing w:before="184" w:line="221" w:lineRule="auto"/>
        <w:ind w:left="518"/>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、监测方法</w:t>
      </w:r>
    </w:p>
    <w:p>
      <w:pPr>
        <w:spacing w:before="181" w:line="465" w:lineRule="exact"/>
        <w:ind w:right="58"/>
        <w:jc w:val="right"/>
        <w:rPr>
          <w:rFonts w:ascii="宋体" w:hAnsi="宋体" w:eastAsia="宋体" w:cs="宋体"/>
          <w:sz w:val="24"/>
          <w:szCs w:val="24"/>
        </w:rPr>
      </w:pPr>
      <w:r>
        <w:rPr>
          <w:rFonts w:ascii="宋体" w:hAnsi="宋体" w:eastAsia="宋体" w:cs="宋体"/>
          <w:spacing w:val="1"/>
          <w:position w:val="17"/>
          <w:sz w:val="24"/>
          <w:szCs w:val="24"/>
        </w:rPr>
        <w:t>监测方法按照《声环境质量标准》</w:t>
      </w:r>
      <w:r>
        <w:rPr>
          <w:rFonts w:ascii="Times New Roman" w:hAnsi="Times New Roman" w:eastAsia="Times New Roman" w:cs="Times New Roman"/>
          <w:spacing w:val="1"/>
          <w:position w:val="17"/>
          <w:sz w:val="24"/>
          <w:szCs w:val="24"/>
        </w:rPr>
        <w:t>(</w:t>
      </w:r>
      <w:r>
        <w:rPr>
          <w:rFonts w:ascii="Times New Roman" w:hAnsi="Times New Roman" w:eastAsia="Times New Roman" w:cs="Times New Roman"/>
          <w:position w:val="17"/>
          <w:sz w:val="24"/>
          <w:szCs w:val="24"/>
        </w:rPr>
        <w:t>GB</w:t>
      </w:r>
      <w:r>
        <w:rPr>
          <w:rFonts w:ascii="Times New Roman" w:hAnsi="Times New Roman" w:eastAsia="Times New Roman" w:cs="Times New Roman"/>
          <w:spacing w:val="1"/>
          <w:position w:val="17"/>
          <w:sz w:val="24"/>
          <w:szCs w:val="24"/>
        </w:rPr>
        <w:t>3096-2008)</w:t>
      </w:r>
      <w:r>
        <w:rPr>
          <w:rFonts w:ascii="宋体" w:hAnsi="宋体" w:eastAsia="宋体" w:cs="宋体"/>
          <w:spacing w:val="1"/>
          <w:position w:val="17"/>
          <w:sz w:val="24"/>
          <w:szCs w:val="24"/>
        </w:rPr>
        <w:t>，每次测量前后均</w:t>
      </w:r>
      <w:r>
        <w:rPr>
          <w:rFonts w:ascii="宋体" w:hAnsi="宋体" w:eastAsia="宋体" w:cs="宋体"/>
          <w:position w:val="17"/>
          <w:sz w:val="24"/>
          <w:szCs w:val="24"/>
        </w:rPr>
        <w:t>对仪器</w:t>
      </w:r>
    </w:p>
    <w:p>
      <w:pPr>
        <w:spacing w:before="1" w:line="220" w:lineRule="auto"/>
        <w:ind w:left="36"/>
        <w:rPr>
          <w:rFonts w:ascii="宋体" w:hAnsi="宋体" w:eastAsia="宋体" w:cs="宋体"/>
          <w:sz w:val="24"/>
          <w:szCs w:val="24"/>
        </w:rPr>
      </w:pPr>
      <w:r>
        <w:rPr>
          <w:rFonts w:ascii="宋体" w:hAnsi="宋体" w:eastAsia="宋体" w:cs="宋体"/>
          <w:spacing w:val="-7"/>
          <w:sz w:val="24"/>
          <w:szCs w:val="24"/>
        </w:rPr>
        <w:t>进行校准。</w:t>
      </w:r>
    </w:p>
    <w:p>
      <w:pPr>
        <w:spacing w:before="181" w:line="220" w:lineRule="auto"/>
        <w:ind w:left="512"/>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、监测时间、频次</w:t>
      </w:r>
    </w:p>
    <w:p>
      <w:pPr>
        <w:spacing w:before="180" w:line="468" w:lineRule="exact"/>
        <w:ind w:right="34"/>
        <w:jc w:val="right"/>
        <w:rPr>
          <w:rFonts w:ascii="宋体" w:hAnsi="宋体" w:eastAsia="宋体" w:cs="宋体"/>
          <w:sz w:val="24"/>
          <w:szCs w:val="24"/>
        </w:rPr>
      </w:pPr>
      <w:r>
        <w:rPr>
          <w:rFonts w:ascii="宋体" w:hAnsi="宋体" w:eastAsia="宋体" w:cs="宋体"/>
          <w:spacing w:val="-12"/>
          <w:position w:val="17"/>
          <w:sz w:val="24"/>
          <w:szCs w:val="24"/>
        </w:rPr>
        <w:t>监测时间：</w:t>
      </w:r>
      <w:r>
        <w:rPr>
          <w:rFonts w:ascii="宋体" w:hAnsi="宋体" w:eastAsia="宋体" w:cs="宋体"/>
          <w:spacing w:val="23"/>
          <w:position w:val="17"/>
          <w:sz w:val="24"/>
          <w:szCs w:val="24"/>
        </w:rPr>
        <w:t xml:space="preserve"> </w:t>
      </w:r>
      <w:r>
        <w:rPr>
          <w:rFonts w:ascii="Times New Roman" w:hAnsi="Times New Roman" w:eastAsia="Times New Roman" w:cs="Times New Roman"/>
          <w:spacing w:val="-12"/>
          <w:position w:val="17"/>
          <w:sz w:val="24"/>
          <w:szCs w:val="24"/>
        </w:rPr>
        <w:t>2023</w:t>
      </w:r>
      <w:r>
        <w:rPr>
          <w:rFonts w:ascii="Times New Roman" w:hAnsi="Times New Roman" w:eastAsia="Times New Roman" w:cs="Times New Roman"/>
          <w:spacing w:val="16"/>
          <w:position w:val="17"/>
          <w:sz w:val="24"/>
          <w:szCs w:val="24"/>
        </w:rPr>
        <w:t xml:space="preserve"> </w:t>
      </w:r>
      <w:r>
        <w:rPr>
          <w:rFonts w:ascii="宋体" w:hAnsi="宋体" w:eastAsia="宋体" w:cs="宋体"/>
          <w:spacing w:val="-12"/>
          <w:position w:val="17"/>
          <w:sz w:val="24"/>
          <w:szCs w:val="24"/>
        </w:rPr>
        <w:t>年</w:t>
      </w:r>
      <w:r>
        <w:rPr>
          <w:rFonts w:ascii="宋体" w:hAnsi="宋体" w:eastAsia="宋体" w:cs="宋体"/>
          <w:spacing w:val="-46"/>
          <w:position w:val="17"/>
          <w:sz w:val="24"/>
          <w:szCs w:val="24"/>
        </w:rPr>
        <w:t xml:space="preserve"> </w:t>
      </w:r>
      <w:r>
        <w:rPr>
          <w:rFonts w:ascii="Times New Roman" w:hAnsi="Times New Roman" w:eastAsia="Times New Roman" w:cs="Times New Roman"/>
          <w:spacing w:val="-12"/>
          <w:position w:val="17"/>
          <w:sz w:val="24"/>
          <w:szCs w:val="24"/>
        </w:rPr>
        <w:t>7</w:t>
      </w:r>
      <w:r>
        <w:rPr>
          <w:rFonts w:ascii="Times New Roman" w:hAnsi="Times New Roman" w:eastAsia="Times New Roman" w:cs="Times New Roman"/>
          <w:spacing w:val="17"/>
          <w:w w:val="101"/>
          <w:position w:val="17"/>
          <w:sz w:val="24"/>
          <w:szCs w:val="24"/>
        </w:rPr>
        <w:t xml:space="preserve"> </w:t>
      </w:r>
      <w:r>
        <w:rPr>
          <w:rFonts w:ascii="宋体" w:hAnsi="宋体" w:eastAsia="宋体" w:cs="宋体"/>
          <w:spacing w:val="-12"/>
          <w:position w:val="17"/>
          <w:sz w:val="24"/>
          <w:szCs w:val="24"/>
        </w:rPr>
        <w:t>月</w:t>
      </w:r>
      <w:r>
        <w:rPr>
          <w:rFonts w:ascii="宋体" w:hAnsi="宋体" w:eastAsia="宋体" w:cs="宋体"/>
          <w:spacing w:val="-45"/>
          <w:position w:val="17"/>
          <w:sz w:val="24"/>
          <w:szCs w:val="24"/>
        </w:rPr>
        <w:t xml:space="preserve"> </w:t>
      </w:r>
      <w:r>
        <w:rPr>
          <w:rFonts w:ascii="Times New Roman" w:hAnsi="Times New Roman" w:eastAsia="Times New Roman" w:cs="Times New Roman"/>
          <w:spacing w:val="-12"/>
          <w:position w:val="17"/>
          <w:sz w:val="24"/>
          <w:szCs w:val="24"/>
        </w:rPr>
        <w:t xml:space="preserve">6  </w:t>
      </w:r>
      <w:r>
        <w:rPr>
          <w:rFonts w:ascii="宋体" w:hAnsi="宋体" w:eastAsia="宋体" w:cs="宋体"/>
          <w:spacing w:val="-12"/>
          <w:position w:val="17"/>
          <w:sz w:val="24"/>
          <w:szCs w:val="24"/>
        </w:rPr>
        <w:t>日</w:t>
      </w:r>
      <w:r>
        <w:rPr>
          <w:rFonts w:ascii="Times New Roman" w:hAnsi="Times New Roman" w:eastAsia="Times New Roman" w:cs="Times New Roman"/>
          <w:spacing w:val="-12"/>
          <w:position w:val="17"/>
          <w:sz w:val="24"/>
          <w:szCs w:val="24"/>
        </w:rPr>
        <w:t>~7</w:t>
      </w:r>
      <w:r>
        <w:rPr>
          <w:rFonts w:ascii="Times New Roman" w:hAnsi="Times New Roman" w:eastAsia="Times New Roman" w:cs="Times New Roman"/>
          <w:spacing w:val="20"/>
          <w:position w:val="17"/>
          <w:sz w:val="24"/>
          <w:szCs w:val="24"/>
        </w:rPr>
        <w:t xml:space="preserve"> </w:t>
      </w:r>
      <w:r>
        <w:rPr>
          <w:rFonts w:ascii="宋体" w:hAnsi="宋体" w:eastAsia="宋体" w:cs="宋体"/>
          <w:spacing w:val="-12"/>
          <w:position w:val="17"/>
          <w:sz w:val="24"/>
          <w:szCs w:val="24"/>
        </w:rPr>
        <w:t>月</w:t>
      </w:r>
      <w:r>
        <w:rPr>
          <w:rFonts w:ascii="宋体" w:hAnsi="宋体" w:eastAsia="宋体" w:cs="宋体"/>
          <w:spacing w:val="-49"/>
          <w:position w:val="17"/>
          <w:sz w:val="24"/>
          <w:szCs w:val="24"/>
        </w:rPr>
        <w:t xml:space="preserve"> </w:t>
      </w:r>
      <w:r>
        <w:rPr>
          <w:rFonts w:ascii="Times New Roman" w:hAnsi="Times New Roman" w:eastAsia="Times New Roman" w:cs="Times New Roman"/>
          <w:spacing w:val="-12"/>
          <w:position w:val="17"/>
          <w:sz w:val="24"/>
          <w:szCs w:val="24"/>
        </w:rPr>
        <w:t xml:space="preserve">7  </w:t>
      </w:r>
      <w:r>
        <w:rPr>
          <w:rFonts w:ascii="宋体" w:hAnsi="宋体" w:eastAsia="宋体" w:cs="宋体"/>
          <w:spacing w:val="-12"/>
          <w:position w:val="17"/>
          <w:sz w:val="24"/>
          <w:szCs w:val="24"/>
        </w:rPr>
        <w:t>日，</w:t>
      </w:r>
      <w:r>
        <w:rPr>
          <w:rFonts w:ascii="Times New Roman" w:hAnsi="Times New Roman" w:eastAsia="Times New Roman" w:cs="Times New Roman"/>
          <w:spacing w:val="-12"/>
          <w:position w:val="17"/>
          <w:sz w:val="24"/>
          <w:szCs w:val="24"/>
        </w:rPr>
        <w:t>20</w:t>
      </w:r>
      <w:r>
        <w:rPr>
          <w:rFonts w:ascii="Times New Roman" w:hAnsi="Times New Roman" w:eastAsia="Times New Roman" w:cs="Times New Roman"/>
          <w:spacing w:val="-13"/>
          <w:position w:val="17"/>
          <w:sz w:val="24"/>
          <w:szCs w:val="24"/>
        </w:rPr>
        <w:t>24</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13"/>
          <w:position w:val="17"/>
          <w:sz w:val="24"/>
          <w:szCs w:val="24"/>
        </w:rPr>
        <w:t xml:space="preserve">年 </w:t>
      </w:r>
      <w:r>
        <w:rPr>
          <w:rFonts w:ascii="Times New Roman" w:hAnsi="Times New Roman" w:eastAsia="Times New Roman" w:cs="Times New Roman"/>
          <w:spacing w:val="-13"/>
          <w:position w:val="17"/>
          <w:sz w:val="24"/>
          <w:szCs w:val="24"/>
        </w:rPr>
        <w:t>1</w:t>
      </w:r>
      <w:r>
        <w:rPr>
          <w:rFonts w:ascii="Times New Roman" w:hAnsi="Times New Roman" w:eastAsia="Times New Roman" w:cs="Times New Roman"/>
          <w:spacing w:val="19"/>
          <w:w w:val="101"/>
          <w:position w:val="17"/>
          <w:sz w:val="24"/>
          <w:szCs w:val="24"/>
        </w:rPr>
        <w:t xml:space="preserve"> </w:t>
      </w:r>
      <w:r>
        <w:rPr>
          <w:rFonts w:ascii="宋体" w:hAnsi="宋体" w:eastAsia="宋体" w:cs="宋体"/>
          <w:spacing w:val="-13"/>
          <w:position w:val="17"/>
          <w:sz w:val="24"/>
          <w:szCs w:val="24"/>
        </w:rPr>
        <w:t>月</w:t>
      </w:r>
      <w:r>
        <w:rPr>
          <w:rFonts w:ascii="宋体" w:hAnsi="宋体" w:eastAsia="宋体" w:cs="宋体"/>
          <w:spacing w:val="-46"/>
          <w:position w:val="17"/>
          <w:sz w:val="24"/>
          <w:szCs w:val="24"/>
        </w:rPr>
        <w:t xml:space="preserve"> </w:t>
      </w:r>
      <w:r>
        <w:rPr>
          <w:rFonts w:ascii="Times New Roman" w:hAnsi="Times New Roman" w:eastAsia="Times New Roman" w:cs="Times New Roman"/>
          <w:spacing w:val="-13"/>
          <w:position w:val="17"/>
          <w:sz w:val="24"/>
          <w:szCs w:val="24"/>
        </w:rPr>
        <w:t xml:space="preserve">31  </w:t>
      </w:r>
      <w:r>
        <w:rPr>
          <w:rFonts w:ascii="宋体" w:hAnsi="宋体" w:eastAsia="宋体" w:cs="宋体"/>
          <w:spacing w:val="-13"/>
          <w:position w:val="17"/>
          <w:sz w:val="24"/>
          <w:szCs w:val="24"/>
        </w:rPr>
        <w:t>日</w:t>
      </w:r>
      <w:r>
        <w:rPr>
          <w:rFonts w:ascii="Times New Roman" w:hAnsi="Times New Roman" w:eastAsia="Times New Roman" w:cs="Times New Roman"/>
          <w:spacing w:val="-13"/>
          <w:position w:val="17"/>
          <w:sz w:val="24"/>
          <w:szCs w:val="24"/>
        </w:rPr>
        <w:t>~2</w:t>
      </w:r>
      <w:r>
        <w:rPr>
          <w:rFonts w:ascii="Times New Roman" w:hAnsi="Times New Roman" w:eastAsia="Times New Roman" w:cs="Times New Roman"/>
          <w:spacing w:val="20"/>
          <w:w w:val="101"/>
          <w:position w:val="17"/>
          <w:sz w:val="24"/>
          <w:szCs w:val="24"/>
        </w:rPr>
        <w:t xml:space="preserve"> </w:t>
      </w:r>
      <w:r>
        <w:rPr>
          <w:rFonts w:ascii="宋体" w:hAnsi="宋体" w:eastAsia="宋体" w:cs="宋体"/>
          <w:spacing w:val="-13"/>
          <w:position w:val="17"/>
          <w:sz w:val="24"/>
          <w:szCs w:val="24"/>
        </w:rPr>
        <w:t>月</w:t>
      </w:r>
      <w:r>
        <w:rPr>
          <w:rFonts w:ascii="宋体" w:hAnsi="宋体" w:eastAsia="宋体" w:cs="宋体"/>
          <w:spacing w:val="-30"/>
          <w:position w:val="17"/>
          <w:sz w:val="24"/>
          <w:szCs w:val="24"/>
        </w:rPr>
        <w:t xml:space="preserve"> </w:t>
      </w:r>
      <w:r>
        <w:rPr>
          <w:rFonts w:ascii="Times New Roman" w:hAnsi="Times New Roman" w:eastAsia="Times New Roman" w:cs="Times New Roman"/>
          <w:spacing w:val="-13"/>
          <w:position w:val="17"/>
          <w:sz w:val="24"/>
          <w:szCs w:val="24"/>
        </w:rPr>
        <w:t xml:space="preserve">1  </w:t>
      </w:r>
      <w:r>
        <w:rPr>
          <w:rFonts w:ascii="宋体" w:hAnsi="宋体" w:eastAsia="宋体" w:cs="宋体"/>
          <w:spacing w:val="-13"/>
          <w:position w:val="17"/>
          <w:sz w:val="24"/>
          <w:szCs w:val="24"/>
        </w:rPr>
        <w:t>日、</w:t>
      </w:r>
      <w:r>
        <w:rPr>
          <w:rFonts w:ascii="Times New Roman" w:hAnsi="Times New Roman" w:eastAsia="Times New Roman" w:cs="Times New Roman"/>
          <w:spacing w:val="-13"/>
          <w:position w:val="17"/>
          <w:sz w:val="24"/>
          <w:szCs w:val="24"/>
        </w:rPr>
        <w:t>2</w:t>
      </w:r>
      <w:r>
        <w:rPr>
          <w:rFonts w:ascii="Times New Roman" w:hAnsi="Times New Roman" w:eastAsia="Times New Roman" w:cs="Times New Roman"/>
          <w:spacing w:val="20"/>
          <w:w w:val="101"/>
          <w:position w:val="17"/>
          <w:sz w:val="24"/>
          <w:szCs w:val="24"/>
        </w:rPr>
        <w:t xml:space="preserve"> </w:t>
      </w:r>
      <w:r>
        <w:rPr>
          <w:rFonts w:ascii="宋体" w:hAnsi="宋体" w:eastAsia="宋体" w:cs="宋体"/>
          <w:spacing w:val="-13"/>
          <w:position w:val="17"/>
          <w:sz w:val="24"/>
          <w:szCs w:val="24"/>
        </w:rPr>
        <w:t>月</w:t>
      </w:r>
    </w:p>
    <w:p>
      <w:pPr>
        <w:spacing w:before="1" w:line="219" w:lineRule="auto"/>
        <w:ind w:left="33"/>
        <w:rPr>
          <w:rFonts w:ascii="宋体" w:hAnsi="宋体" w:eastAsia="宋体" w:cs="宋体"/>
          <w:sz w:val="24"/>
          <w:szCs w:val="24"/>
        </w:rPr>
      </w:pPr>
      <w:r>
        <w:rPr>
          <w:rFonts w:ascii="Times New Roman" w:hAnsi="Times New Roman" w:eastAsia="Times New Roman" w:cs="Times New Roman"/>
          <w:spacing w:val="-16"/>
          <w:sz w:val="24"/>
          <w:szCs w:val="24"/>
        </w:rPr>
        <w:t xml:space="preserve">20  </w:t>
      </w:r>
      <w:r>
        <w:rPr>
          <w:rFonts w:ascii="宋体" w:hAnsi="宋体" w:eastAsia="宋体" w:cs="宋体"/>
          <w:spacing w:val="-16"/>
          <w:sz w:val="24"/>
          <w:szCs w:val="24"/>
        </w:rPr>
        <w:t>日、</w:t>
      </w:r>
      <w:r>
        <w:rPr>
          <w:rFonts w:ascii="宋体" w:hAnsi="宋体" w:eastAsia="宋体" w:cs="宋体"/>
          <w:spacing w:val="-41"/>
          <w:sz w:val="24"/>
          <w:szCs w:val="24"/>
        </w:rPr>
        <w:t xml:space="preserve"> </w:t>
      </w:r>
      <w:r>
        <w:rPr>
          <w:rFonts w:ascii="Times New Roman" w:hAnsi="Times New Roman" w:eastAsia="Times New Roman" w:cs="Times New Roman"/>
          <w:spacing w:val="-16"/>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16"/>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16"/>
          <w:sz w:val="24"/>
          <w:szCs w:val="24"/>
        </w:rPr>
        <w:t xml:space="preserve">7  </w:t>
      </w:r>
      <w:r>
        <w:rPr>
          <w:rFonts w:ascii="宋体" w:hAnsi="宋体" w:eastAsia="宋体" w:cs="宋体"/>
          <w:spacing w:val="-16"/>
          <w:sz w:val="24"/>
          <w:szCs w:val="24"/>
        </w:rPr>
        <w:t>日</w:t>
      </w:r>
      <w:r>
        <w:rPr>
          <w:rFonts w:ascii="Times New Roman" w:hAnsi="Times New Roman" w:eastAsia="Times New Roman" w:cs="Times New Roman"/>
          <w:spacing w:val="-16"/>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16"/>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pacing w:val="-16"/>
          <w:sz w:val="24"/>
          <w:szCs w:val="24"/>
        </w:rPr>
        <w:t xml:space="preserve">8  </w:t>
      </w:r>
      <w:r>
        <w:rPr>
          <w:rFonts w:ascii="宋体" w:hAnsi="宋体" w:eastAsia="宋体" w:cs="宋体"/>
          <w:spacing w:val="-16"/>
          <w:sz w:val="24"/>
          <w:szCs w:val="24"/>
        </w:rPr>
        <w:t>日。</w:t>
      </w:r>
    </w:p>
    <w:p>
      <w:pPr>
        <w:spacing w:before="179" w:line="220" w:lineRule="auto"/>
        <w:ind w:left="519"/>
        <w:rPr>
          <w:rFonts w:ascii="宋体" w:hAnsi="宋体" w:eastAsia="宋体" w:cs="宋体"/>
          <w:sz w:val="24"/>
          <w:szCs w:val="24"/>
        </w:rPr>
      </w:pPr>
      <w:r>
        <w:rPr>
          <w:rFonts w:ascii="宋体" w:hAnsi="宋体" w:eastAsia="宋体" w:cs="宋体"/>
          <w:spacing w:val="-3"/>
          <w:sz w:val="24"/>
          <w:szCs w:val="24"/>
        </w:rPr>
        <w:t>监测频次为各环境噪声监测点监测</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期，每期昼、夜各监测</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6"/>
          <w:w w:val="101"/>
          <w:sz w:val="24"/>
          <w:szCs w:val="24"/>
        </w:rPr>
        <w:t xml:space="preserve"> </w:t>
      </w:r>
      <w:r>
        <w:rPr>
          <w:rFonts w:ascii="宋体" w:hAnsi="宋体" w:eastAsia="宋体" w:cs="宋体"/>
          <w:spacing w:val="-4"/>
          <w:sz w:val="24"/>
          <w:szCs w:val="24"/>
        </w:rPr>
        <w:t>次。</w:t>
      </w:r>
    </w:p>
    <w:p>
      <w:pPr>
        <w:spacing w:before="183" w:line="218" w:lineRule="auto"/>
        <w:ind w:left="520"/>
        <w:rPr>
          <w:rFonts w:ascii="宋体" w:hAnsi="宋体" w:eastAsia="宋体" w:cs="宋体"/>
          <w:sz w:val="24"/>
          <w:szCs w:val="24"/>
        </w:rPr>
      </w:pPr>
      <w:r>
        <w:rPr>
          <w:rFonts w:ascii="Times New Roman" w:hAnsi="Times New Roman" w:eastAsia="Times New Roman" w:cs="Times New Roman"/>
          <w:spacing w:val="-3"/>
          <w:sz w:val="24"/>
          <w:szCs w:val="24"/>
        </w:rPr>
        <w:t>5</w:t>
      </w:r>
      <w:r>
        <w:rPr>
          <w:rFonts w:ascii="宋体" w:hAnsi="宋体" w:eastAsia="宋体" w:cs="宋体"/>
          <w:spacing w:val="-3"/>
          <w:sz w:val="24"/>
          <w:szCs w:val="24"/>
        </w:rPr>
        <w:t>、监测结果及评价</w:t>
      </w:r>
    </w:p>
    <w:p>
      <w:pPr>
        <w:spacing w:before="182" w:line="219" w:lineRule="auto"/>
        <w:ind w:left="519"/>
        <w:rPr>
          <w:rFonts w:ascii="宋体" w:hAnsi="宋体" w:eastAsia="宋体" w:cs="宋体"/>
          <w:sz w:val="24"/>
          <w:szCs w:val="24"/>
        </w:rPr>
      </w:pPr>
      <w:r>
        <w:rPr>
          <w:rFonts w:ascii="宋体" w:hAnsi="宋体" w:eastAsia="宋体" w:cs="宋体"/>
          <w:spacing w:val="-2"/>
          <w:sz w:val="24"/>
          <w:szCs w:val="24"/>
        </w:rPr>
        <w:t>本次声环境保护目标声环境质量现状监测结果见表</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4.4-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1~2</w:t>
      </w:r>
      <w:r>
        <w:rPr>
          <w:rFonts w:ascii="宋体" w:hAnsi="宋体" w:eastAsia="宋体" w:cs="宋体"/>
          <w:spacing w:val="-2"/>
          <w:sz w:val="24"/>
          <w:szCs w:val="24"/>
        </w:rPr>
        <w:t>。</w:t>
      </w:r>
    </w:p>
    <w:p>
      <w:pPr>
        <w:spacing w:before="184"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）沿线主要声环境保护目标</w:t>
      </w:r>
    </w:p>
    <w:p>
      <w:pPr>
        <w:spacing w:before="180" w:line="359" w:lineRule="auto"/>
        <w:ind w:left="39" w:right="49" w:firstLine="478"/>
        <w:rPr>
          <w:rFonts w:ascii="宋体" w:hAnsi="宋体" w:eastAsia="宋体" w:cs="宋体"/>
          <w:sz w:val="24"/>
          <w:szCs w:val="24"/>
        </w:rPr>
      </w:pPr>
      <w:r>
        <w:rPr>
          <w:rFonts w:ascii="宋体" w:hAnsi="宋体" w:eastAsia="宋体" w:cs="宋体"/>
          <w:spacing w:val="-1"/>
          <w:sz w:val="24"/>
          <w:szCs w:val="24"/>
        </w:rPr>
        <w:t>根据表</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4.4-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可见，现状声环境保护目标昼间、夜间噪声都能满足《声</w:t>
      </w:r>
      <w:r>
        <w:rPr>
          <w:rFonts w:ascii="宋体" w:hAnsi="宋体" w:eastAsia="宋体" w:cs="宋体"/>
          <w:spacing w:val="-2"/>
          <w:sz w:val="24"/>
          <w:szCs w:val="24"/>
        </w:rPr>
        <w:t>环境</w:t>
      </w:r>
      <w:r>
        <w:rPr>
          <w:rFonts w:ascii="宋体" w:hAnsi="宋体" w:eastAsia="宋体" w:cs="宋体"/>
          <w:sz w:val="24"/>
          <w:szCs w:val="24"/>
        </w:rPr>
        <w:t xml:space="preserve"> </w:t>
      </w:r>
      <w:r>
        <w:rPr>
          <w:rFonts w:ascii="宋体" w:hAnsi="宋体" w:eastAsia="宋体" w:cs="宋体"/>
          <w:spacing w:val="-2"/>
          <w:sz w:val="24"/>
          <w:szCs w:val="24"/>
        </w:rPr>
        <w:t>质量标准》（</w:t>
      </w:r>
      <w:r>
        <w:rPr>
          <w:rFonts w:ascii="Times New Roman" w:hAnsi="Times New Roman" w:eastAsia="Times New Roman" w:cs="Times New Roman"/>
          <w:spacing w:val="-2"/>
          <w:sz w:val="24"/>
          <w:szCs w:val="24"/>
        </w:rPr>
        <w:t>GB3096-2008</w:t>
      </w:r>
      <w:r>
        <w:rPr>
          <w:rFonts w:ascii="宋体" w:hAnsi="宋体" w:eastAsia="宋体" w:cs="宋体"/>
          <w:spacing w:val="-2"/>
          <w:sz w:val="24"/>
          <w:szCs w:val="24"/>
        </w:rPr>
        <w:t xml:space="preserve">）中 </w:t>
      </w:r>
      <w:r>
        <w:rPr>
          <w:rFonts w:ascii="Times New Roman" w:hAnsi="Times New Roman" w:eastAsia="Times New Roman" w:cs="Times New Roman"/>
          <w:spacing w:val="-2"/>
          <w:sz w:val="24"/>
          <w:szCs w:val="24"/>
        </w:rPr>
        <w:t>4a</w:t>
      </w:r>
      <w:r>
        <w:rPr>
          <w:rFonts w:ascii="Times New Roman" w:hAnsi="Times New Roman" w:eastAsia="Times New Roman" w:cs="Times New Roman"/>
          <w:spacing w:val="51"/>
          <w:sz w:val="24"/>
          <w:szCs w:val="24"/>
        </w:rPr>
        <w:t xml:space="preserve"> </w:t>
      </w:r>
      <w:r>
        <w:rPr>
          <w:rFonts w:ascii="宋体" w:hAnsi="宋体" w:eastAsia="宋体" w:cs="宋体"/>
          <w:spacing w:val="-2"/>
          <w:sz w:val="24"/>
          <w:szCs w:val="24"/>
        </w:rPr>
        <w:t>类和</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6"/>
          <w:w w:val="101"/>
          <w:sz w:val="24"/>
          <w:szCs w:val="24"/>
        </w:rPr>
        <w:t xml:space="preserve"> </w:t>
      </w:r>
      <w:r>
        <w:rPr>
          <w:rFonts w:ascii="宋体" w:hAnsi="宋体" w:eastAsia="宋体" w:cs="宋体"/>
          <w:spacing w:val="-2"/>
          <w:sz w:val="24"/>
          <w:szCs w:val="24"/>
        </w:rPr>
        <w:t>类标准要求，现阶段环境噪声和交通</w:t>
      </w:r>
    </w:p>
    <w:p>
      <w:pPr>
        <w:spacing w:line="220" w:lineRule="auto"/>
        <w:ind w:left="49"/>
        <w:rPr>
          <w:rFonts w:ascii="宋体" w:hAnsi="宋体" w:eastAsia="宋体" w:cs="宋体"/>
          <w:sz w:val="24"/>
          <w:szCs w:val="24"/>
        </w:rPr>
      </w:pPr>
      <w:r>
        <w:rPr>
          <w:rFonts w:ascii="宋体" w:hAnsi="宋体" w:eastAsia="宋体" w:cs="宋体"/>
          <w:spacing w:val="-2"/>
          <w:sz w:val="24"/>
          <w:szCs w:val="24"/>
        </w:rPr>
        <w:t>噪声对声环境保护目标的影响不大。</w:t>
      </w:r>
    </w:p>
    <w:p>
      <w:pPr>
        <w:spacing w:before="182" w:line="218"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小时交通噪声现状监测结果评价</w:t>
      </w:r>
    </w:p>
    <w:p>
      <w:pPr>
        <w:spacing w:before="182" w:line="220" w:lineRule="auto"/>
        <w:ind w:left="521"/>
        <w:rPr>
          <w:rFonts w:ascii="宋体" w:hAnsi="宋体" w:eastAsia="宋体" w:cs="宋体"/>
          <w:sz w:val="24"/>
          <w:szCs w:val="24"/>
        </w:rPr>
      </w:pPr>
      <w:r>
        <w:rPr>
          <w:rFonts w:ascii="宋体" w:hAnsi="宋体" w:eastAsia="宋体" w:cs="宋体"/>
          <w:spacing w:val="-7"/>
          <w:sz w:val="24"/>
          <w:szCs w:val="24"/>
        </w:rPr>
        <w:t>景文高速沿线，</w:t>
      </w:r>
      <w:r>
        <w:rPr>
          <w:rFonts w:ascii="宋体" w:hAnsi="宋体" w:eastAsia="宋体" w:cs="宋体"/>
          <w:spacing w:val="52"/>
          <w:sz w:val="24"/>
          <w:szCs w:val="24"/>
        </w:rPr>
        <w:t xml:space="preserve"> </w:t>
      </w:r>
      <w:r>
        <w:rPr>
          <w:rFonts w:ascii="宋体" w:hAnsi="宋体" w:eastAsia="宋体" w:cs="宋体"/>
          <w:spacing w:val="-7"/>
          <w:sz w:val="24"/>
          <w:szCs w:val="24"/>
        </w:rPr>
        <w:t>南坑下测点昼间连续等效声级</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Ld=45.1dB</w:t>
      </w:r>
      <w:r>
        <w:rPr>
          <w:rFonts w:ascii="宋体" w:hAnsi="宋体" w:eastAsia="宋体" w:cs="宋体"/>
          <w:spacing w:val="-7"/>
          <w:sz w:val="24"/>
          <w:szCs w:val="24"/>
        </w:rPr>
        <w:t>，夜间连续等效声</w:t>
      </w:r>
    </w:p>
    <w:p>
      <w:pPr>
        <w:spacing w:line="220" w:lineRule="auto"/>
        <w:rPr>
          <w:rFonts w:ascii="宋体" w:hAnsi="宋体" w:eastAsia="宋体" w:cs="宋体"/>
          <w:sz w:val="24"/>
          <w:szCs w:val="24"/>
        </w:rPr>
        <w:sectPr>
          <w:headerReference r:id="rId193" w:type="default"/>
          <w:footerReference r:id="rId194" w:type="default"/>
          <w:pgSz w:w="11907" w:h="16839"/>
          <w:pgMar w:top="1118" w:right="1748" w:bottom="1151" w:left="1771" w:header="879" w:footer="990" w:gutter="0"/>
          <w:cols w:space="720" w:num="1"/>
        </w:sectPr>
      </w:pPr>
    </w:p>
    <w:p>
      <w:pPr>
        <w:pStyle w:val="2"/>
        <w:spacing w:line="278" w:lineRule="auto"/>
      </w:pPr>
    </w:p>
    <w:p>
      <w:pPr>
        <w:spacing w:before="78" w:line="468" w:lineRule="exact"/>
        <w:ind w:left="41"/>
        <w:rPr>
          <w:rFonts w:ascii="宋体" w:hAnsi="宋体" w:eastAsia="宋体" w:cs="宋体"/>
          <w:sz w:val="24"/>
          <w:szCs w:val="24"/>
        </w:rPr>
      </w:pPr>
      <w:r>
        <w:rPr>
          <w:rFonts w:ascii="宋体" w:hAnsi="宋体" w:eastAsia="宋体" w:cs="宋体"/>
          <w:spacing w:val="-2"/>
          <w:position w:val="17"/>
          <w:sz w:val="24"/>
          <w:szCs w:val="24"/>
        </w:rPr>
        <w:t>级</w:t>
      </w:r>
      <w:r>
        <w:rPr>
          <w:rFonts w:ascii="宋体" w:hAnsi="宋体" w:eastAsia="宋体" w:cs="宋体"/>
          <w:spacing w:val="-7"/>
          <w:position w:val="17"/>
          <w:sz w:val="24"/>
          <w:szCs w:val="24"/>
        </w:rPr>
        <w:t xml:space="preserve"> </w:t>
      </w:r>
      <w:r>
        <w:rPr>
          <w:rFonts w:ascii="Times New Roman" w:hAnsi="Times New Roman" w:eastAsia="Times New Roman" w:cs="Times New Roman"/>
          <w:spacing w:val="-2"/>
          <w:position w:val="17"/>
          <w:sz w:val="24"/>
          <w:szCs w:val="24"/>
        </w:rPr>
        <w:t>Ln=40.2dB</w:t>
      </w:r>
      <w:r>
        <w:rPr>
          <w:rFonts w:ascii="宋体" w:hAnsi="宋体" w:eastAsia="宋体" w:cs="宋体"/>
          <w:spacing w:val="-2"/>
          <w:position w:val="17"/>
          <w:sz w:val="24"/>
          <w:szCs w:val="24"/>
        </w:rPr>
        <w:t>，昼间</w:t>
      </w:r>
      <w:r>
        <w:rPr>
          <w:rFonts w:ascii="宋体" w:hAnsi="宋体" w:eastAsia="宋体" w:cs="宋体"/>
          <w:spacing w:val="-70"/>
          <w:position w:val="17"/>
          <w:sz w:val="24"/>
          <w:szCs w:val="24"/>
        </w:rPr>
        <w:t xml:space="preserve"> </w:t>
      </w:r>
      <w:r>
        <w:rPr>
          <w:rFonts w:ascii="宋体" w:hAnsi="宋体" w:eastAsia="宋体" w:cs="宋体"/>
          <w:spacing w:val="-2"/>
          <w:position w:val="17"/>
          <w:sz w:val="24"/>
          <w:szCs w:val="24"/>
        </w:rPr>
        <w:t>、夜间均能满足《声环境质量标准》</w:t>
      </w:r>
      <w:r>
        <w:rPr>
          <w:rFonts w:ascii="Times New Roman" w:hAnsi="Times New Roman" w:eastAsia="Times New Roman" w:cs="Times New Roman"/>
          <w:spacing w:val="-2"/>
          <w:position w:val="17"/>
          <w:sz w:val="24"/>
          <w:szCs w:val="24"/>
        </w:rPr>
        <w:t>(GB3096-2008)</w:t>
      </w:r>
      <w:r>
        <w:rPr>
          <w:rFonts w:ascii="宋体" w:hAnsi="宋体" w:eastAsia="宋体" w:cs="宋体"/>
          <w:spacing w:val="-2"/>
          <w:position w:val="17"/>
          <w:sz w:val="24"/>
          <w:szCs w:val="24"/>
        </w:rPr>
        <w:t>中</w:t>
      </w:r>
      <w:r>
        <w:rPr>
          <w:rFonts w:ascii="宋体" w:hAnsi="宋体" w:eastAsia="宋体" w:cs="宋体"/>
          <w:spacing w:val="-24"/>
          <w:position w:val="17"/>
          <w:sz w:val="24"/>
          <w:szCs w:val="24"/>
        </w:rPr>
        <w:t xml:space="preserve"> </w:t>
      </w:r>
      <w:r>
        <w:rPr>
          <w:rFonts w:ascii="Times New Roman" w:hAnsi="Times New Roman" w:eastAsia="Times New Roman" w:cs="Times New Roman"/>
          <w:spacing w:val="-2"/>
          <w:position w:val="17"/>
          <w:sz w:val="24"/>
          <w:szCs w:val="24"/>
        </w:rPr>
        <w:t>2</w:t>
      </w:r>
      <w:r>
        <w:rPr>
          <w:rFonts w:ascii="Times New Roman" w:hAnsi="Times New Roman" w:eastAsia="Times New Roman" w:cs="Times New Roman"/>
          <w:spacing w:val="41"/>
          <w:position w:val="17"/>
          <w:sz w:val="24"/>
          <w:szCs w:val="24"/>
        </w:rPr>
        <w:t xml:space="preserve"> </w:t>
      </w:r>
      <w:r>
        <w:rPr>
          <w:rFonts w:ascii="宋体" w:hAnsi="宋体" w:eastAsia="宋体" w:cs="宋体"/>
          <w:spacing w:val="-2"/>
          <w:position w:val="17"/>
          <w:sz w:val="24"/>
          <w:szCs w:val="24"/>
        </w:rPr>
        <w:t>类</w:t>
      </w:r>
    </w:p>
    <w:p>
      <w:pPr>
        <w:spacing w:line="220" w:lineRule="auto"/>
        <w:ind w:left="39"/>
        <w:rPr>
          <w:rFonts w:ascii="宋体" w:hAnsi="宋体" w:eastAsia="宋体" w:cs="宋体"/>
          <w:sz w:val="24"/>
          <w:szCs w:val="24"/>
        </w:rPr>
      </w:pPr>
      <w:r>
        <w:rPr>
          <w:rFonts w:ascii="宋体" w:hAnsi="宋体" w:eastAsia="宋体" w:cs="宋体"/>
          <w:spacing w:val="-4"/>
          <w:sz w:val="24"/>
          <w:szCs w:val="24"/>
        </w:rPr>
        <w:t>标准；</w:t>
      </w:r>
    </w:p>
    <w:p>
      <w:pPr>
        <w:spacing w:before="179" w:line="359" w:lineRule="auto"/>
        <w:ind w:left="41" w:right="38" w:firstLine="477"/>
        <w:rPr>
          <w:rFonts w:ascii="宋体" w:hAnsi="宋体" w:eastAsia="宋体" w:cs="宋体"/>
          <w:sz w:val="24"/>
          <w:szCs w:val="24"/>
        </w:rPr>
      </w:pPr>
      <w:r>
        <w:rPr>
          <w:rFonts w:ascii="Times New Roman" w:hAnsi="Times New Roman" w:eastAsia="Times New Roman" w:cs="Times New Roman"/>
          <w:spacing w:val="-5"/>
          <w:sz w:val="24"/>
          <w:szCs w:val="24"/>
        </w:rPr>
        <w:t>322</w:t>
      </w:r>
      <w:r>
        <w:rPr>
          <w:rFonts w:ascii="Times New Roman" w:hAnsi="Times New Roman" w:eastAsia="Times New Roman" w:cs="Times New Roman"/>
          <w:spacing w:val="53"/>
          <w:sz w:val="24"/>
          <w:szCs w:val="24"/>
        </w:rPr>
        <w:t xml:space="preserve"> </w:t>
      </w:r>
      <w:r>
        <w:rPr>
          <w:rFonts w:ascii="宋体" w:hAnsi="宋体" w:eastAsia="宋体" w:cs="宋体"/>
          <w:spacing w:val="-5"/>
          <w:sz w:val="24"/>
          <w:szCs w:val="24"/>
        </w:rPr>
        <w:t>国道沿线， 让川村安置小区测点昼间连续等效声级</w:t>
      </w:r>
      <w:r>
        <w:rPr>
          <w:rFonts w:ascii="宋体" w:hAnsi="宋体" w:eastAsia="宋体" w:cs="宋体"/>
          <w:spacing w:val="-53"/>
          <w:sz w:val="24"/>
          <w:szCs w:val="24"/>
        </w:rPr>
        <w:t xml:space="preserve"> </w:t>
      </w:r>
      <w:r>
        <w:rPr>
          <w:rFonts w:ascii="Times New Roman" w:hAnsi="Times New Roman" w:eastAsia="Times New Roman" w:cs="Times New Roman"/>
          <w:spacing w:val="-5"/>
          <w:sz w:val="24"/>
          <w:szCs w:val="24"/>
        </w:rPr>
        <w:t>Ld=58.2dB</w:t>
      </w:r>
      <w:r>
        <w:rPr>
          <w:rFonts w:ascii="宋体" w:hAnsi="宋体" w:eastAsia="宋体" w:cs="宋体"/>
          <w:spacing w:val="-5"/>
          <w:sz w:val="24"/>
          <w:szCs w:val="24"/>
        </w:rPr>
        <w:t>，夜间连</w:t>
      </w:r>
      <w:r>
        <w:rPr>
          <w:rFonts w:ascii="宋体" w:hAnsi="宋体" w:eastAsia="宋体" w:cs="宋体"/>
          <w:sz w:val="24"/>
          <w:szCs w:val="24"/>
        </w:rPr>
        <w:t xml:space="preserve"> </w:t>
      </w:r>
      <w:r>
        <w:rPr>
          <w:rFonts w:ascii="宋体" w:hAnsi="宋体" w:eastAsia="宋体" w:cs="宋体"/>
          <w:spacing w:val="3"/>
          <w:sz w:val="24"/>
          <w:szCs w:val="24"/>
        </w:rPr>
        <w:t xml:space="preserve">续等效声级 </w:t>
      </w:r>
      <w:r>
        <w:rPr>
          <w:rFonts w:ascii="Times New Roman" w:hAnsi="Times New Roman" w:eastAsia="Times New Roman" w:cs="Times New Roman"/>
          <w:sz w:val="24"/>
          <w:szCs w:val="24"/>
        </w:rPr>
        <w:t>Ln</w:t>
      </w:r>
      <w:r>
        <w:rPr>
          <w:rFonts w:ascii="Times New Roman" w:hAnsi="Times New Roman" w:eastAsia="Times New Roman" w:cs="Times New Roman"/>
          <w:spacing w:val="3"/>
          <w:sz w:val="24"/>
          <w:szCs w:val="24"/>
        </w:rPr>
        <w:t>=51.2</w:t>
      </w:r>
      <w:r>
        <w:rPr>
          <w:rFonts w:ascii="Times New Roman" w:hAnsi="Times New Roman" w:eastAsia="Times New Roman" w:cs="Times New Roman"/>
          <w:sz w:val="24"/>
          <w:szCs w:val="24"/>
        </w:rPr>
        <w:t>dB</w:t>
      </w:r>
      <w:r>
        <w:rPr>
          <w:rFonts w:ascii="宋体" w:hAnsi="宋体" w:eastAsia="宋体" w:cs="宋体"/>
          <w:spacing w:val="3"/>
          <w:sz w:val="24"/>
          <w:szCs w:val="24"/>
        </w:rPr>
        <w:t>，昼间、夜间等效声级均能够满足《声环境质量</w:t>
      </w:r>
      <w:r>
        <w:rPr>
          <w:rFonts w:ascii="宋体" w:hAnsi="宋体" w:eastAsia="宋体" w:cs="宋体"/>
          <w:spacing w:val="2"/>
          <w:sz w:val="24"/>
          <w:szCs w:val="24"/>
        </w:rPr>
        <w:t>标准》</w:t>
      </w:r>
    </w:p>
    <w:p>
      <w:pPr>
        <w:spacing w:line="212" w:lineRule="auto"/>
        <w:ind w:left="38"/>
        <w:rPr>
          <w:rFonts w:ascii="宋体" w:hAnsi="宋体" w:eastAsia="宋体" w:cs="宋体"/>
          <w:sz w:val="24"/>
          <w:szCs w:val="24"/>
        </w:rPr>
      </w:pPr>
      <w:r>
        <w:rPr>
          <w:rFonts w:ascii="Times New Roman" w:hAnsi="Times New Roman" w:eastAsia="Times New Roman" w:cs="Times New Roman"/>
          <w:spacing w:val="-3"/>
          <w:sz w:val="24"/>
          <w:szCs w:val="24"/>
        </w:rPr>
        <w:t>(GB3096-2008)</w:t>
      </w:r>
      <w:r>
        <w:rPr>
          <w:rFonts w:ascii="宋体" w:hAnsi="宋体" w:eastAsia="宋体" w:cs="宋体"/>
          <w:spacing w:val="-3"/>
          <w:sz w:val="24"/>
          <w:szCs w:val="24"/>
        </w:rPr>
        <w:t>中</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4a </w:t>
      </w:r>
      <w:r>
        <w:rPr>
          <w:rFonts w:ascii="宋体" w:hAnsi="宋体" w:eastAsia="宋体" w:cs="宋体"/>
          <w:spacing w:val="-3"/>
          <w:sz w:val="24"/>
          <w:szCs w:val="24"/>
        </w:rPr>
        <w:t>类标准；</w:t>
      </w:r>
    </w:p>
    <w:p>
      <w:pPr>
        <w:spacing w:before="192" w:line="359" w:lineRule="auto"/>
        <w:ind w:left="33" w:right="29" w:firstLine="487"/>
        <w:rPr>
          <w:rFonts w:ascii="宋体" w:hAnsi="宋体" w:eastAsia="宋体" w:cs="宋体"/>
          <w:sz w:val="24"/>
          <w:szCs w:val="24"/>
        </w:rPr>
      </w:pPr>
      <w:r>
        <w:rPr>
          <w:rFonts w:ascii="宋体" w:hAnsi="宋体" w:eastAsia="宋体" w:cs="宋体"/>
          <w:spacing w:val="-9"/>
          <w:sz w:val="24"/>
          <w:szCs w:val="24"/>
        </w:rPr>
        <w:t xml:space="preserve">大南公路沿线， </w:t>
      </w:r>
      <w:r>
        <w:rPr>
          <w:rFonts w:ascii="Times New Roman" w:hAnsi="Times New Roman" w:eastAsia="Times New Roman" w:cs="Times New Roman"/>
          <w:spacing w:val="-9"/>
          <w:sz w:val="24"/>
          <w:szCs w:val="24"/>
        </w:rPr>
        <w:t xml:space="preserve">2024 </w:t>
      </w:r>
      <w:r>
        <w:rPr>
          <w:rFonts w:ascii="宋体" w:hAnsi="宋体" w:eastAsia="宋体" w:cs="宋体"/>
          <w:spacing w:val="-9"/>
          <w:sz w:val="24"/>
          <w:szCs w:val="24"/>
        </w:rPr>
        <w:t>年</w:t>
      </w:r>
      <w:r>
        <w:rPr>
          <w:rFonts w:ascii="宋体" w:hAnsi="宋体" w:eastAsia="宋体" w:cs="宋体"/>
          <w:spacing w:val="-18"/>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月，</w:t>
      </w:r>
      <w:r>
        <w:rPr>
          <w:rFonts w:ascii="宋体" w:hAnsi="宋体" w:eastAsia="宋体" w:cs="宋体"/>
          <w:spacing w:val="-63"/>
          <w:sz w:val="24"/>
          <w:szCs w:val="24"/>
        </w:rPr>
        <w:t xml:space="preserve"> </w:t>
      </w:r>
      <w:r>
        <w:rPr>
          <w:rFonts w:ascii="宋体" w:hAnsi="宋体" w:eastAsia="宋体" w:cs="宋体"/>
          <w:spacing w:val="-9"/>
          <w:sz w:val="24"/>
          <w:szCs w:val="24"/>
        </w:rPr>
        <w:t>蔡处测点昼间连续等效声级</w:t>
      </w:r>
      <w:r>
        <w:rPr>
          <w:rFonts w:ascii="宋体" w:hAnsi="宋体" w:eastAsia="宋体" w:cs="宋体"/>
          <w:spacing w:val="-54"/>
          <w:sz w:val="24"/>
          <w:szCs w:val="24"/>
        </w:rPr>
        <w:t xml:space="preserve"> </w:t>
      </w:r>
      <w:r>
        <w:rPr>
          <w:rFonts w:ascii="Times New Roman" w:hAnsi="Times New Roman" w:eastAsia="Times New Roman" w:cs="Times New Roman"/>
          <w:spacing w:val="-9"/>
          <w:sz w:val="24"/>
          <w:szCs w:val="24"/>
        </w:rPr>
        <w:t>Ld=65.7dB</w:t>
      </w:r>
      <w:r>
        <w:rPr>
          <w:rFonts w:ascii="宋体" w:hAnsi="宋体" w:eastAsia="宋体" w:cs="宋体"/>
          <w:spacing w:val="-9"/>
          <w:sz w:val="24"/>
          <w:szCs w:val="24"/>
        </w:rPr>
        <w:t>，夜间</w:t>
      </w:r>
      <w:r>
        <w:rPr>
          <w:rFonts w:ascii="宋体" w:hAnsi="宋体" w:eastAsia="宋体" w:cs="宋体"/>
          <w:sz w:val="24"/>
          <w:szCs w:val="24"/>
        </w:rPr>
        <w:t xml:space="preserve"> </w:t>
      </w:r>
      <w:r>
        <w:rPr>
          <w:rFonts w:ascii="宋体" w:hAnsi="宋体" w:eastAsia="宋体" w:cs="宋体"/>
          <w:spacing w:val="16"/>
          <w:sz w:val="24"/>
          <w:szCs w:val="24"/>
        </w:rPr>
        <w:t xml:space="preserve">连续等效声级 </w:t>
      </w:r>
      <w:r>
        <w:rPr>
          <w:rFonts w:ascii="Times New Roman" w:hAnsi="Times New Roman" w:eastAsia="Times New Roman" w:cs="Times New Roman"/>
          <w:sz w:val="24"/>
          <w:szCs w:val="24"/>
        </w:rPr>
        <w:t>Ln</w:t>
      </w:r>
      <w:r>
        <w:rPr>
          <w:rFonts w:ascii="Times New Roman" w:hAnsi="Times New Roman" w:eastAsia="Times New Roman" w:cs="Times New Roman"/>
          <w:spacing w:val="16"/>
          <w:sz w:val="24"/>
          <w:szCs w:val="24"/>
        </w:rPr>
        <w:t>=54.7</w:t>
      </w:r>
      <w:r>
        <w:rPr>
          <w:rFonts w:ascii="Times New Roman" w:hAnsi="Times New Roman" w:eastAsia="Times New Roman" w:cs="Times New Roman"/>
          <w:sz w:val="24"/>
          <w:szCs w:val="24"/>
        </w:rPr>
        <w:t>dB</w:t>
      </w:r>
      <w:r>
        <w:rPr>
          <w:rFonts w:ascii="宋体" w:hAnsi="宋体" w:eastAsia="宋体" w:cs="宋体"/>
          <w:spacing w:val="16"/>
          <w:sz w:val="24"/>
          <w:szCs w:val="24"/>
        </w:rPr>
        <w:t>，</w:t>
      </w:r>
      <w:r>
        <w:rPr>
          <w:rFonts w:ascii="宋体" w:hAnsi="宋体" w:eastAsia="宋体" w:cs="宋体"/>
          <w:spacing w:val="-68"/>
          <w:sz w:val="24"/>
          <w:szCs w:val="24"/>
        </w:rPr>
        <w:t xml:space="preserve"> </w:t>
      </w:r>
      <w:r>
        <w:rPr>
          <w:rFonts w:ascii="宋体" w:hAnsi="宋体" w:eastAsia="宋体" w:cs="宋体"/>
          <w:spacing w:val="16"/>
          <w:sz w:val="24"/>
          <w:szCs w:val="24"/>
        </w:rPr>
        <w:t>昼、夜等效声级均能满足《声环境质量标准》</w:t>
      </w:r>
      <w:r>
        <w:rPr>
          <w:rFonts w:ascii="宋体" w:hAnsi="宋体" w:eastAsia="宋体" w:cs="宋体"/>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 xml:space="preserve">3096-2008) </w:t>
      </w:r>
      <w:r>
        <w:rPr>
          <w:rFonts w:ascii="宋体" w:hAnsi="宋体" w:eastAsia="宋体" w:cs="宋体"/>
          <w:spacing w:val="4"/>
          <w:sz w:val="24"/>
          <w:szCs w:val="24"/>
        </w:rPr>
        <w:t xml:space="preserve">中 </w:t>
      </w:r>
      <w:r>
        <w:rPr>
          <w:rFonts w:ascii="Times New Roman" w:hAnsi="Times New Roman" w:eastAsia="Times New Roman" w:cs="Times New Roman"/>
          <w:spacing w:val="4"/>
          <w:sz w:val="24"/>
          <w:szCs w:val="24"/>
        </w:rPr>
        <w:t>4a</w:t>
      </w:r>
      <w:r>
        <w:rPr>
          <w:rFonts w:ascii="Times New Roman" w:hAnsi="Times New Roman" w:eastAsia="Times New Roman" w:cs="Times New Roman"/>
          <w:spacing w:val="17"/>
          <w:w w:val="101"/>
          <w:sz w:val="24"/>
          <w:szCs w:val="24"/>
        </w:rPr>
        <w:t xml:space="preserve">  </w:t>
      </w:r>
      <w:r>
        <w:rPr>
          <w:rFonts w:ascii="宋体" w:hAnsi="宋体" w:eastAsia="宋体" w:cs="宋体"/>
          <w:spacing w:val="4"/>
          <w:sz w:val="24"/>
          <w:szCs w:val="24"/>
        </w:rPr>
        <w:t>类标准。</w:t>
      </w:r>
      <w:r>
        <w:rPr>
          <w:rFonts w:ascii="宋体" w:hAnsi="宋体" w:eastAsia="宋体" w:cs="宋体"/>
          <w:spacing w:val="64"/>
          <w:sz w:val="24"/>
          <w:szCs w:val="24"/>
        </w:rPr>
        <w:t xml:space="preserve"> </w:t>
      </w:r>
      <w:r>
        <w:rPr>
          <w:rFonts w:ascii="Times New Roman" w:hAnsi="Times New Roman" w:eastAsia="Times New Roman" w:cs="Times New Roman"/>
          <w:spacing w:val="4"/>
          <w:sz w:val="24"/>
          <w:szCs w:val="24"/>
        </w:rPr>
        <w:t>2023</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 xml:space="preserve">年 </w:t>
      </w:r>
      <w:r>
        <w:rPr>
          <w:rFonts w:ascii="Times New Roman" w:hAnsi="Times New Roman" w:eastAsia="Times New Roman" w:cs="Times New Roman"/>
          <w:spacing w:val="4"/>
          <w:sz w:val="24"/>
          <w:szCs w:val="24"/>
        </w:rPr>
        <w:t xml:space="preserve">7   </w:t>
      </w:r>
      <w:r>
        <w:rPr>
          <w:rFonts w:ascii="宋体" w:hAnsi="宋体" w:eastAsia="宋体" w:cs="宋体"/>
          <w:spacing w:val="4"/>
          <w:sz w:val="24"/>
          <w:szCs w:val="24"/>
        </w:rPr>
        <w:t>月，蔡处</w:t>
      </w:r>
      <w:r>
        <w:rPr>
          <w:rFonts w:ascii="宋体" w:hAnsi="宋体" w:eastAsia="宋体" w:cs="宋体"/>
          <w:spacing w:val="3"/>
          <w:sz w:val="24"/>
          <w:szCs w:val="24"/>
        </w:rPr>
        <w:t>测点昼间连续等效声级</w:t>
      </w:r>
      <w:r>
        <w:rPr>
          <w:rFonts w:ascii="宋体" w:hAnsi="宋体" w:eastAsia="宋体" w:cs="宋体"/>
          <w:sz w:val="24"/>
          <w:szCs w:val="24"/>
        </w:rPr>
        <w:t xml:space="preserve"> </w:t>
      </w:r>
      <w:r>
        <w:rPr>
          <w:rFonts w:ascii="Times New Roman" w:hAnsi="Times New Roman" w:eastAsia="Times New Roman" w:cs="Times New Roman"/>
          <w:sz w:val="24"/>
          <w:szCs w:val="24"/>
        </w:rPr>
        <w:t>Ld=66.6dB</w:t>
      </w:r>
      <w:r>
        <w:rPr>
          <w:rFonts w:ascii="宋体" w:hAnsi="宋体" w:eastAsia="宋体" w:cs="宋体"/>
          <w:sz w:val="24"/>
          <w:szCs w:val="24"/>
        </w:rPr>
        <w:t xml:space="preserve">，夜间连续等效声级 </w:t>
      </w:r>
      <w:r>
        <w:rPr>
          <w:rFonts w:ascii="Times New Roman" w:hAnsi="Times New Roman" w:eastAsia="Times New Roman" w:cs="Times New Roman"/>
          <w:sz w:val="24"/>
          <w:szCs w:val="24"/>
        </w:rPr>
        <w:t>Ln</w:t>
      </w:r>
      <w:r>
        <w:rPr>
          <w:rFonts w:ascii="Times New Roman" w:hAnsi="Times New Roman" w:eastAsia="Times New Roman" w:cs="Times New Roman"/>
          <w:spacing w:val="-1"/>
          <w:sz w:val="24"/>
          <w:szCs w:val="24"/>
        </w:rPr>
        <w:t>=60.5dB</w:t>
      </w:r>
      <w:r>
        <w:rPr>
          <w:rFonts w:ascii="宋体" w:hAnsi="宋体" w:eastAsia="宋体" w:cs="宋体"/>
          <w:spacing w:val="-1"/>
          <w:sz w:val="24"/>
          <w:szCs w:val="24"/>
        </w:rPr>
        <w:t>，昼间等效声级能满足《声环境质量</w:t>
      </w:r>
    </w:p>
    <w:p>
      <w:pPr>
        <w:spacing w:before="1" w:line="212" w:lineRule="auto"/>
        <w:ind w:left="39"/>
        <w:rPr>
          <w:rFonts w:ascii="宋体" w:hAnsi="宋体" w:eastAsia="宋体" w:cs="宋体"/>
          <w:sz w:val="24"/>
          <w:szCs w:val="24"/>
        </w:rPr>
      </w:pPr>
      <w:r>
        <w:rPr>
          <w:rFonts w:ascii="宋体" w:hAnsi="宋体" w:eastAsia="宋体" w:cs="宋体"/>
          <w:sz w:val="24"/>
          <w:szCs w:val="24"/>
        </w:rPr>
        <w:t>标准》</w:t>
      </w:r>
      <w:r>
        <w:rPr>
          <w:rFonts w:ascii="Times New Roman" w:hAnsi="Times New Roman" w:eastAsia="Times New Roman" w:cs="Times New Roman"/>
          <w:sz w:val="24"/>
          <w:szCs w:val="24"/>
        </w:rPr>
        <w:t>(GB3096-2008)</w:t>
      </w:r>
      <w:r>
        <w:rPr>
          <w:rFonts w:ascii="宋体" w:hAnsi="宋体" w:eastAsia="宋体" w:cs="宋体"/>
          <w:sz w:val="24"/>
          <w:szCs w:val="24"/>
        </w:rPr>
        <w:t>中</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4a</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类标准，夜间则超过了标准要求。</w:t>
      </w:r>
    </w:p>
    <w:p>
      <w:pPr>
        <w:spacing w:before="189" w:line="359" w:lineRule="auto"/>
        <w:ind w:left="49" w:right="28" w:firstLine="475"/>
        <w:rPr>
          <w:rFonts w:ascii="宋体" w:hAnsi="宋体" w:eastAsia="宋体" w:cs="宋体"/>
          <w:sz w:val="24"/>
          <w:szCs w:val="24"/>
        </w:rPr>
      </w:pPr>
      <w:r>
        <w:rPr>
          <w:rFonts w:ascii="宋体" w:hAnsi="宋体" w:eastAsia="宋体" w:cs="宋体"/>
          <w:spacing w:val="-2"/>
          <w:sz w:val="24"/>
          <w:szCs w:val="24"/>
        </w:rPr>
        <w:t>总体上看，公路拟建线位沿线声环境质量尚可，除蔡处</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2023</w:t>
      </w:r>
      <w:r>
        <w:rPr>
          <w:rFonts w:ascii="Times New Roman" w:hAnsi="Times New Roman" w:eastAsia="Times New Roman" w:cs="Times New Roman"/>
          <w:spacing w:val="18"/>
          <w:w w:val="101"/>
          <w:sz w:val="24"/>
          <w:szCs w:val="24"/>
        </w:rPr>
        <w:t xml:space="preserve"> </w:t>
      </w:r>
      <w:r>
        <w:rPr>
          <w:rFonts w:ascii="宋体" w:hAnsi="宋体" w:eastAsia="宋体" w:cs="宋体"/>
          <w:spacing w:val="-2"/>
          <w:sz w:val="24"/>
          <w:szCs w:val="24"/>
        </w:rPr>
        <w:t>年</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月受交通</w:t>
      </w:r>
      <w:r>
        <w:rPr>
          <w:rFonts w:ascii="宋体" w:hAnsi="宋体" w:eastAsia="宋体" w:cs="宋体"/>
          <w:sz w:val="24"/>
          <w:szCs w:val="24"/>
        </w:rPr>
        <w:t xml:space="preserve"> </w:t>
      </w:r>
      <w:r>
        <w:rPr>
          <w:rFonts w:ascii="宋体" w:hAnsi="宋体" w:eastAsia="宋体" w:cs="宋体"/>
          <w:spacing w:val="-7"/>
          <w:sz w:val="24"/>
          <w:szCs w:val="24"/>
        </w:rPr>
        <w:t>噪声影响、夜间等效声级不能达标外， 其他声环境保护目标昼夜噪声能满足标准</w:t>
      </w:r>
    </w:p>
    <w:p>
      <w:pPr>
        <w:spacing w:before="2" w:line="220" w:lineRule="auto"/>
        <w:ind w:left="39"/>
        <w:rPr>
          <w:rFonts w:ascii="宋体" w:hAnsi="宋体" w:eastAsia="宋体" w:cs="宋体"/>
          <w:sz w:val="24"/>
          <w:szCs w:val="24"/>
        </w:rPr>
      </w:pPr>
      <w:r>
        <w:rPr>
          <w:rFonts w:ascii="宋体" w:hAnsi="宋体" w:eastAsia="宋体" w:cs="宋体"/>
          <w:spacing w:val="-11"/>
          <w:sz w:val="24"/>
          <w:szCs w:val="24"/>
        </w:rPr>
        <w:t>要求。</w:t>
      </w:r>
    </w:p>
    <w:p>
      <w:pPr>
        <w:spacing w:line="220" w:lineRule="auto"/>
        <w:rPr>
          <w:rFonts w:ascii="宋体" w:hAnsi="宋体" w:eastAsia="宋体" w:cs="宋体"/>
          <w:sz w:val="24"/>
          <w:szCs w:val="24"/>
        </w:rPr>
        <w:sectPr>
          <w:headerReference r:id="rId195" w:type="default"/>
          <w:footerReference r:id="rId196" w:type="default"/>
          <w:pgSz w:w="11907" w:h="16839"/>
          <w:pgMar w:top="1118" w:right="1769" w:bottom="1151" w:left="1771" w:header="879" w:footer="990" w:gutter="0"/>
          <w:cols w:space="720" w:num="1"/>
        </w:sectPr>
      </w:pPr>
    </w:p>
    <w:p>
      <w:pPr>
        <w:spacing w:before="196" w:line="220" w:lineRule="auto"/>
        <w:ind w:left="5183"/>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4.4-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声环境质量现状监测一览表</w:t>
      </w:r>
    </w:p>
    <w:p>
      <w:pPr>
        <w:spacing w:line="112" w:lineRule="exact"/>
      </w:pPr>
    </w:p>
    <w:tbl>
      <w:tblPr>
        <w:tblStyle w:val="5"/>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1"/>
        <w:gridCol w:w="727"/>
        <w:gridCol w:w="854"/>
        <w:gridCol w:w="552"/>
        <w:gridCol w:w="1905"/>
        <w:gridCol w:w="643"/>
        <w:gridCol w:w="1082"/>
        <w:gridCol w:w="749"/>
        <w:gridCol w:w="722"/>
        <w:gridCol w:w="849"/>
        <w:gridCol w:w="794"/>
        <w:gridCol w:w="784"/>
        <w:gridCol w:w="821"/>
        <w:gridCol w:w="984"/>
        <w:gridCol w:w="20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31" w:type="dxa"/>
            <w:vMerge w:val="restart"/>
            <w:tcBorders>
              <w:bottom w:val="nil"/>
            </w:tcBorders>
            <w:textDirection w:val="tbRlV"/>
            <w:vAlign w:val="top"/>
          </w:tcPr>
          <w:p>
            <w:pPr>
              <w:pStyle w:val="6"/>
              <w:spacing w:before="158" w:line="211" w:lineRule="auto"/>
              <w:ind w:left="41"/>
            </w:pPr>
            <w:r>
              <w:rPr>
                <w:spacing w:val="31"/>
              </w:rPr>
              <w:t>序号</w:t>
            </w:r>
          </w:p>
        </w:tc>
        <w:tc>
          <w:tcPr>
            <w:tcW w:w="2133" w:type="dxa"/>
            <w:gridSpan w:val="3"/>
            <w:vMerge w:val="restart"/>
            <w:tcBorders>
              <w:bottom w:val="nil"/>
            </w:tcBorders>
            <w:vAlign w:val="top"/>
          </w:tcPr>
          <w:p>
            <w:pPr>
              <w:pStyle w:val="6"/>
              <w:spacing w:before="175" w:line="221" w:lineRule="auto"/>
              <w:ind w:left="648"/>
            </w:pPr>
            <w:r>
              <w:rPr>
                <w:spacing w:val="-2"/>
              </w:rPr>
              <w:t>检测点位</w:t>
            </w:r>
          </w:p>
        </w:tc>
        <w:tc>
          <w:tcPr>
            <w:tcW w:w="2548" w:type="dxa"/>
            <w:gridSpan w:val="2"/>
            <w:vMerge w:val="restart"/>
            <w:tcBorders>
              <w:bottom w:val="nil"/>
            </w:tcBorders>
            <w:vAlign w:val="top"/>
          </w:tcPr>
          <w:p>
            <w:pPr>
              <w:pStyle w:val="6"/>
              <w:spacing w:before="175" w:line="221" w:lineRule="auto"/>
              <w:ind w:left="858"/>
            </w:pPr>
            <w:r>
              <w:rPr>
                <w:spacing w:val="-2"/>
              </w:rPr>
              <w:t>检测时间</w:t>
            </w:r>
          </w:p>
        </w:tc>
        <w:tc>
          <w:tcPr>
            <w:tcW w:w="1082" w:type="dxa"/>
            <w:vMerge w:val="restart"/>
            <w:tcBorders>
              <w:bottom w:val="nil"/>
            </w:tcBorders>
            <w:vAlign w:val="top"/>
          </w:tcPr>
          <w:p>
            <w:pPr>
              <w:pStyle w:val="6"/>
              <w:spacing w:before="176" w:line="221" w:lineRule="auto"/>
              <w:ind w:left="126"/>
            </w:pPr>
            <w:r>
              <w:rPr>
                <w:spacing w:val="-2"/>
              </w:rPr>
              <w:t>主要声源</w:t>
            </w:r>
          </w:p>
        </w:tc>
        <w:tc>
          <w:tcPr>
            <w:tcW w:w="1471" w:type="dxa"/>
            <w:gridSpan w:val="2"/>
            <w:vAlign w:val="top"/>
          </w:tcPr>
          <w:p>
            <w:pPr>
              <w:pStyle w:val="6"/>
              <w:spacing w:before="36" w:line="208" w:lineRule="auto"/>
              <w:ind w:left="319"/>
            </w:pPr>
            <w:r>
              <w:rPr>
                <w:spacing w:val="-2"/>
              </w:rPr>
              <w:t>检测结果</w:t>
            </w:r>
          </w:p>
        </w:tc>
        <w:tc>
          <w:tcPr>
            <w:tcW w:w="849" w:type="dxa"/>
            <w:vMerge w:val="restart"/>
            <w:tcBorders>
              <w:bottom w:val="nil"/>
            </w:tcBorders>
            <w:vAlign w:val="top"/>
          </w:tcPr>
          <w:p>
            <w:pPr>
              <w:pStyle w:val="6"/>
              <w:spacing w:before="175" w:line="221" w:lineRule="auto"/>
              <w:ind w:left="114"/>
            </w:pPr>
            <w:r>
              <w:rPr>
                <w:spacing w:val="-2"/>
              </w:rPr>
              <w:t>标准值</w:t>
            </w:r>
          </w:p>
        </w:tc>
        <w:tc>
          <w:tcPr>
            <w:tcW w:w="794" w:type="dxa"/>
            <w:vMerge w:val="restart"/>
            <w:tcBorders>
              <w:bottom w:val="nil"/>
            </w:tcBorders>
            <w:vAlign w:val="top"/>
          </w:tcPr>
          <w:p>
            <w:pPr>
              <w:pStyle w:val="6"/>
              <w:spacing w:before="42" w:line="238" w:lineRule="auto"/>
              <w:ind w:left="194"/>
            </w:pPr>
            <w:r>
              <w:rPr>
                <w:spacing w:val="-3"/>
              </w:rPr>
              <w:t>是否</w:t>
            </w:r>
          </w:p>
          <w:p>
            <w:pPr>
              <w:pStyle w:val="6"/>
              <w:spacing w:line="213" w:lineRule="auto"/>
              <w:ind w:left="190"/>
            </w:pPr>
            <w:r>
              <w:rPr>
                <w:spacing w:val="-2"/>
              </w:rPr>
              <w:t>达标</w:t>
            </w:r>
          </w:p>
        </w:tc>
        <w:tc>
          <w:tcPr>
            <w:tcW w:w="2589" w:type="dxa"/>
            <w:gridSpan w:val="3"/>
            <w:vAlign w:val="top"/>
          </w:tcPr>
          <w:p>
            <w:pPr>
              <w:pStyle w:val="6"/>
              <w:spacing w:before="36" w:line="208" w:lineRule="auto"/>
              <w:ind w:left="164"/>
            </w:pPr>
            <w:r>
              <w:rPr>
                <w:spacing w:val="-1"/>
              </w:rPr>
              <w:t>车流量情况（辆</w:t>
            </w:r>
            <w:r>
              <w:rPr>
                <w:rFonts w:ascii="Times New Roman" w:hAnsi="Times New Roman" w:eastAsia="Times New Roman" w:cs="Times New Roman"/>
                <w:spacing w:val="-1"/>
              </w:rPr>
              <w:t>/20min</w:t>
            </w:r>
            <w:r>
              <w:rPr>
                <w:spacing w:val="-1"/>
              </w:rPr>
              <w:t>）</w:t>
            </w:r>
          </w:p>
        </w:tc>
        <w:tc>
          <w:tcPr>
            <w:tcW w:w="2088" w:type="dxa"/>
            <w:vMerge w:val="restart"/>
            <w:tcBorders>
              <w:bottom w:val="nil"/>
            </w:tcBorders>
            <w:vAlign w:val="top"/>
          </w:tcPr>
          <w:p>
            <w:pPr>
              <w:pStyle w:val="6"/>
              <w:spacing w:before="175" w:line="222" w:lineRule="auto"/>
              <w:ind w:left="841"/>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31" w:type="dxa"/>
            <w:vMerge w:val="continue"/>
            <w:tcBorders>
              <w:top w:val="nil"/>
            </w:tcBorders>
            <w:textDirection w:val="tbRlV"/>
            <w:vAlign w:val="top"/>
          </w:tcPr>
          <w:p>
            <w:pPr>
              <w:rPr>
                <w:rFonts w:ascii="Arial"/>
                <w:sz w:val="21"/>
              </w:rPr>
            </w:pPr>
          </w:p>
        </w:tc>
        <w:tc>
          <w:tcPr>
            <w:tcW w:w="2133" w:type="dxa"/>
            <w:gridSpan w:val="3"/>
            <w:vMerge w:val="continue"/>
            <w:tcBorders>
              <w:top w:val="nil"/>
            </w:tcBorders>
            <w:vAlign w:val="top"/>
          </w:tcPr>
          <w:p>
            <w:pPr>
              <w:rPr>
                <w:rFonts w:ascii="Arial"/>
                <w:sz w:val="21"/>
              </w:rPr>
            </w:pPr>
          </w:p>
        </w:tc>
        <w:tc>
          <w:tcPr>
            <w:tcW w:w="2548" w:type="dxa"/>
            <w:gridSpan w:val="2"/>
            <w:vMerge w:val="continue"/>
            <w:tcBorders>
              <w:top w:val="nil"/>
            </w:tcBorders>
            <w:vAlign w:val="top"/>
          </w:tcPr>
          <w:p>
            <w:pPr>
              <w:rPr>
                <w:rFonts w:ascii="Arial"/>
                <w:sz w:val="21"/>
              </w:rPr>
            </w:pPr>
          </w:p>
        </w:tc>
        <w:tc>
          <w:tcPr>
            <w:tcW w:w="1082" w:type="dxa"/>
            <w:vMerge w:val="continue"/>
            <w:tcBorders>
              <w:top w:val="nil"/>
            </w:tcBorders>
            <w:vAlign w:val="top"/>
          </w:tcPr>
          <w:p>
            <w:pPr>
              <w:rPr>
                <w:rFonts w:ascii="Arial"/>
                <w:sz w:val="21"/>
              </w:rPr>
            </w:pPr>
          </w:p>
        </w:tc>
        <w:tc>
          <w:tcPr>
            <w:tcW w:w="749" w:type="dxa"/>
            <w:vAlign w:val="top"/>
          </w:tcPr>
          <w:p>
            <w:pPr>
              <w:spacing w:before="64" w:line="191"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Leq</w:t>
            </w:r>
          </w:p>
        </w:tc>
        <w:tc>
          <w:tcPr>
            <w:tcW w:w="722" w:type="dxa"/>
            <w:vAlign w:val="top"/>
          </w:tcPr>
          <w:p>
            <w:pPr>
              <w:spacing w:before="70" w:line="196" w:lineRule="auto"/>
              <w:ind w:left="227"/>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L</w:t>
            </w:r>
            <w:r>
              <w:rPr>
                <w:rFonts w:ascii="Times New Roman" w:hAnsi="Times New Roman" w:eastAsia="Times New Roman" w:cs="Times New Roman"/>
                <w:spacing w:val="2"/>
                <w:sz w:val="13"/>
                <w:szCs w:val="13"/>
              </w:rPr>
              <w:t>90</w:t>
            </w:r>
          </w:p>
        </w:tc>
        <w:tc>
          <w:tcPr>
            <w:tcW w:w="849" w:type="dxa"/>
            <w:vMerge w:val="continue"/>
            <w:tcBorders>
              <w:top w:val="nil"/>
            </w:tcBorders>
            <w:vAlign w:val="top"/>
          </w:tcPr>
          <w:p>
            <w:pPr>
              <w:rPr>
                <w:rFonts w:ascii="Arial"/>
                <w:sz w:val="21"/>
              </w:rPr>
            </w:pPr>
          </w:p>
        </w:tc>
        <w:tc>
          <w:tcPr>
            <w:tcW w:w="794" w:type="dxa"/>
            <w:vMerge w:val="continue"/>
            <w:tcBorders>
              <w:top w:val="nil"/>
            </w:tcBorders>
            <w:vAlign w:val="top"/>
          </w:tcPr>
          <w:p>
            <w:pPr>
              <w:rPr>
                <w:rFonts w:ascii="Arial"/>
                <w:sz w:val="21"/>
              </w:rPr>
            </w:pPr>
          </w:p>
        </w:tc>
        <w:tc>
          <w:tcPr>
            <w:tcW w:w="784" w:type="dxa"/>
            <w:vAlign w:val="top"/>
          </w:tcPr>
          <w:p>
            <w:pPr>
              <w:pStyle w:val="6"/>
              <w:spacing w:before="29" w:line="210" w:lineRule="auto"/>
              <w:ind w:left="191"/>
            </w:pPr>
            <w:r>
              <w:rPr>
                <w:spacing w:val="-3"/>
              </w:rPr>
              <w:t>大车</w:t>
            </w:r>
          </w:p>
        </w:tc>
        <w:tc>
          <w:tcPr>
            <w:tcW w:w="821" w:type="dxa"/>
            <w:vAlign w:val="top"/>
          </w:tcPr>
          <w:p>
            <w:pPr>
              <w:pStyle w:val="6"/>
              <w:spacing w:before="29" w:line="210" w:lineRule="auto"/>
              <w:ind w:left="227"/>
            </w:pPr>
            <w:r>
              <w:rPr>
                <w:spacing w:val="-7"/>
              </w:rPr>
              <w:t>中车</w:t>
            </w:r>
          </w:p>
        </w:tc>
        <w:tc>
          <w:tcPr>
            <w:tcW w:w="984" w:type="dxa"/>
            <w:vAlign w:val="top"/>
          </w:tcPr>
          <w:p>
            <w:pPr>
              <w:pStyle w:val="6"/>
              <w:spacing w:before="29" w:line="210" w:lineRule="auto"/>
              <w:ind w:left="294"/>
            </w:pPr>
            <w:r>
              <w:rPr>
                <w:spacing w:val="-3"/>
              </w:rPr>
              <w:t>小车</w:t>
            </w:r>
          </w:p>
        </w:tc>
        <w:tc>
          <w:tcPr>
            <w:tcW w:w="208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restart"/>
            <w:tcBorders>
              <w:bottom w:val="nil"/>
            </w:tcBorders>
            <w:vAlign w:val="top"/>
          </w:tcPr>
          <w:p>
            <w:pPr>
              <w:spacing w:line="349" w:lineRule="auto"/>
              <w:rPr>
                <w:rFonts w:ascii="Arial"/>
                <w:sz w:val="21"/>
              </w:rPr>
            </w:pPr>
          </w:p>
          <w:p>
            <w:pPr>
              <w:spacing w:line="350" w:lineRule="auto"/>
              <w:rPr>
                <w:rFonts w:ascii="Arial"/>
                <w:sz w:val="21"/>
              </w:rPr>
            </w:pPr>
          </w:p>
          <w:p>
            <w:pPr>
              <w:spacing w:before="61" w:line="187" w:lineRule="auto"/>
              <w:ind w:left="23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27"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9" w:line="221" w:lineRule="auto"/>
              <w:ind w:left="159"/>
            </w:pPr>
            <w:r>
              <w:rPr>
                <w:spacing w:val="-3"/>
              </w:rPr>
              <w:t>南坑</w:t>
            </w:r>
          </w:p>
          <w:p>
            <w:pPr>
              <w:pStyle w:val="6"/>
              <w:spacing w:before="19" w:line="222" w:lineRule="auto"/>
              <w:ind w:left="266"/>
            </w:pPr>
            <w:r>
              <w:t>下</w:t>
            </w:r>
          </w:p>
        </w:tc>
        <w:tc>
          <w:tcPr>
            <w:tcW w:w="854" w:type="dxa"/>
            <w:vMerge w:val="restart"/>
            <w:tcBorders>
              <w:bottom w:val="nil"/>
            </w:tcBorders>
            <w:vAlign w:val="top"/>
          </w:tcPr>
          <w:p>
            <w:pPr>
              <w:spacing w:line="247" w:lineRule="auto"/>
              <w:rPr>
                <w:rFonts w:ascii="Arial"/>
                <w:sz w:val="21"/>
              </w:rPr>
            </w:pPr>
          </w:p>
          <w:p>
            <w:pPr>
              <w:pStyle w:val="6"/>
              <w:spacing w:before="68" w:line="221" w:lineRule="auto"/>
              <w:ind w:left="195"/>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p>
            <w:pPr>
              <w:pStyle w:val="6"/>
              <w:spacing w:before="19" w:line="229" w:lineRule="auto"/>
              <w:ind w:left="225"/>
            </w:pPr>
            <w:r>
              <w:rPr>
                <w:spacing w:val="-7"/>
              </w:rPr>
              <w:t>（匝</w:t>
            </w:r>
          </w:p>
          <w:p>
            <w:pPr>
              <w:pStyle w:val="6"/>
              <w:spacing w:before="10" w:line="221" w:lineRule="auto"/>
              <w:ind w:left="112"/>
            </w:pPr>
            <w:r>
              <w:rPr>
                <w:spacing w:val="-1"/>
              </w:rPr>
              <w:t>道）第</w:t>
            </w:r>
          </w:p>
          <w:p>
            <w:pPr>
              <w:pStyle w:val="6"/>
              <w:spacing w:before="23" w:line="223" w:lineRule="auto"/>
              <w:ind w:left="222"/>
            </w:pPr>
            <w:r>
              <w:rPr>
                <w:spacing w:val="-5"/>
              </w:rPr>
              <w:t>一排</w:t>
            </w:r>
          </w:p>
        </w:tc>
        <w:tc>
          <w:tcPr>
            <w:tcW w:w="552" w:type="dxa"/>
            <w:vMerge w:val="restart"/>
            <w:tcBorders>
              <w:bottom w:val="nil"/>
            </w:tcBorders>
            <w:vAlign w:val="top"/>
          </w:tcPr>
          <w:p>
            <w:pPr>
              <w:spacing w:line="349" w:lineRule="auto"/>
              <w:rPr>
                <w:rFonts w:ascii="Arial"/>
                <w:sz w:val="21"/>
              </w:rPr>
            </w:pPr>
          </w:p>
          <w:p>
            <w:pPr>
              <w:spacing w:line="350"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Merge w:val="restart"/>
            <w:tcBorders>
              <w:bottom w:val="nil"/>
            </w:tcBorders>
            <w:vAlign w:val="top"/>
          </w:tcPr>
          <w:p>
            <w:pPr>
              <w:spacing w:line="326" w:lineRule="auto"/>
              <w:rPr>
                <w:rFonts w:ascii="Arial"/>
                <w:sz w:val="21"/>
              </w:rPr>
            </w:pPr>
          </w:p>
          <w:p>
            <w:pPr>
              <w:spacing w:line="327" w:lineRule="auto"/>
              <w:rPr>
                <w:rFonts w:ascii="Arial"/>
                <w:sz w:val="21"/>
              </w:rPr>
            </w:pPr>
          </w:p>
          <w:p>
            <w:pPr>
              <w:pStyle w:val="6"/>
              <w:spacing w:before="68"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Merge w:val="restart"/>
            <w:tcBorders>
              <w:bottom w:val="nil"/>
            </w:tcBorders>
            <w:vAlign w:val="top"/>
          </w:tcPr>
          <w:p>
            <w:pPr>
              <w:pStyle w:val="6"/>
              <w:spacing w:before="306" w:line="223" w:lineRule="auto"/>
              <w:ind w:left="114"/>
            </w:pPr>
            <w:r>
              <w:rPr>
                <w:spacing w:val="-2"/>
              </w:rPr>
              <w:t>昼间</w:t>
            </w:r>
          </w:p>
        </w:tc>
        <w:tc>
          <w:tcPr>
            <w:tcW w:w="1082" w:type="dxa"/>
            <w:vMerge w:val="restart"/>
            <w:tcBorders>
              <w:bottom w:val="nil"/>
            </w:tcBorders>
            <w:vAlign w:val="top"/>
          </w:tcPr>
          <w:p>
            <w:pPr>
              <w:pStyle w:val="6"/>
              <w:spacing w:before="306" w:line="221" w:lineRule="auto"/>
              <w:ind w:left="125"/>
            </w:pPr>
            <w:r>
              <w:rPr>
                <w:spacing w:val="-2"/>
              </w:rPr>
              <w:t>环境噪声</w:t>
            </w:r>
          </w:p>
        </w:tc>
        <w:tc>
          <w:tcPr>
            <w:tcW w:w="749" w:type="dxa"/>
            <w:vMerge w:val="restart"/>
            <w:tcBorders>
              <w:bottom w:val="nil"/>
            </w:tcBorders>
            <w:vAlign w:val="top"/>
          </w:tcPr>
          <w:p>
            <w:pPr>
              <w:spacing w:line="282" w:lineRule="auto"/>
              <w:rPr>
                <w:rFonts w:ascii="Arial"/>
                <w:sz w:val="21"/>
              </w:rPr>
            </w:pPr>
          </w:p>
          <w:p>
            <w:pPr>
              <w:spacing w:before="60"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w:t>
            </w:r>
          </w:p>
        </w:tc>
        <w:tc>
          <w:tcPr>
            <w:tcW w:w="722" w:type="dxa"/>
            <w:vMerge w:val="restart"/>
            <w:tcBorders>
              <w:bottom w:val="nil"/>
            </w:tcBorders>
            <w:vAlign w:val="top"/>
          </w:tcPr>
          <w:p>
            <w:pPr>
              <w:spacing w:line="282"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w:t>
            </w:r>
          </w:p>
        </w:tc>
        <w:tc>
          <w:tcPr>
            <w:tcW w:w="849" w:type="dxa"/>
            <w:vMerge w:val="restart"/>
            <w:tcBorders>
              <w:bottom w:val="nil"/>
            </w:tcBorders>
            <w:vAlign w:val="top"/>
          </w:tcPr>
          <w:p>
            <w:pPr>
              <w:spacing w:line="282" w:lineRule="auto"/>
              <w:rPr>
                <w:rFonts w:ascii="Arial"/>
                <w:sz w:val="21"/>
              </w:rPr>
            </w:pPr>
          </w:p>
          <w:p>
            <w:pPr>
              <w:spacing w:before="6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794" w:type="dxa"/>
            <w:vMerge w:val="restart"/>
            <w:tcBorders>
              <w:bottom w:val="nil"/>
            </w:tcBorders>
            <w:vAlign w:val="top"/>
          </w:tcPr>
          <w:p>
            <w:pPr>
              <w:pStyle w:val="6"/>
              <w:spacing w:before="305" w:line="224" w:lineRule="auto"/>
              <w:ind w:left="298"/>
            </w:pPr>
            <w:r>
              <w:t>是</w:t>
            </w:r>
          </w:p>
        </w:tc>
        <w:tc>
          <w:tcPr>
            <w:tcW w:w="784" w:type="dxa"/>
            <w:vAlign w:val="top"/>
          </w:tcPr>
          <w:p>
            <w:pPr>
              <w:spacing w:before="205" w:line="187"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c>
          <w:tcPr>
            <w:tcW w:w="821" w:type="dxa"/>
            <w:vAlign w:val="top"/>
          </w:tcPr>
          <w:p>
            <w:pPr>
              <w:spacing w:before="205" w:line="187" w:lineRule="auto"/>
              <w:ind w:left="38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84" w:type="dxa"/>
            <w:vAlign w:val="top"/>
          </w:tcPr>
          <w:p>
            <w:pPr>
              <w:spacing w:before="205" w:line="187" w:lineRule="auto"/>
              <w:ind w:left="46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88" w:type="dxa"/>
            <w:vAlign w:val="top"/>
          </w:tcPr>
          <w:p>
            <w:pPr>
              <w:pStyle w:val="6"/>
              <w:spacing w:before="29" w:line="224" w:lineRule="auto"/>
              <w:ind w:left="732" w:right="198" w:hanging="518"/>
            </w:pPr>
            <w:r>
              <w:rPr>
                <w:spacing w:val="-2"/>
              </w:rPr>
              <w:t>西侧西坑互通收费</w:t>
            </w:r>
            <w:r>
              <w:rPr>
                <w:spacing w:val="4"/>
              </w:rPr>
              <w:t xml:space="preserve"> </w:t>
            </w:r>
            <w:r>
              <w:rPr>
                <w:spacing w:val="-2"/>
              </w:rPr>
              <w:t>站匝道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bottom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1082" w:type="dxa"/>
            <w:vMerge w:val="continue"/>
            <w:tcBorders>
              <w:top w:val="nil"/>
            </w:tcBorders>
            <w:vAlign w:val="top"/>
          </w:tcPr>
          <w:p>
            <w:pPr>
              <w:rPr>
                <w:rFonts w:ascii="Arial"/>
                <w:sz w:val="21"/>
              </w:rPr>
            </w:pPr>
          </w:p>
        </w:tc>
        <w:tc>
          <w:tcPr>
            <w:tcW w:w="749" w:type="dxa"/>
            <w:vMerge w:val="continue"/>
            <w:tcBorders>
              <w:top w:val="nil"/>
            </w:tcBorders>
            <w:vAlign w:val="top"/>
          </w:tcPr>
          <w:p>
            <w:pPr>
              <w:rPr>
                <w:rFonts w:ascii="Arial"/>
                <w:sz w:val="21"/>
              </w:rPr>
            </w:pPr>
          </w:p>
        </w:tc>
        <w:tc>
          <w:tcPr>
            <w:tcW w:w="722" w:type="dxa"/>
            <w:vMerge w:val="continue"/>
            <w:tcBorders>
              <w:top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794" w:type="dxa"/>
            <w:vMerge w:val="continue"/>
            <w:tcBorders>
              <w:top w:val="nil"/>
            </w:tcBorders>
            <w:vAlign w:val="top"/>
          </w:tcPr>
          <w:p>
            <w:pPr>
              <w:rPr>
                <w:rFonts w:ascii="Arial"/>
                <w:sz w:val="21"/>
              </w:rPr>
            </w:pPr>
          </w:p>
        </w:tc>
        <w:tc>
          <w:tcPr>
            <w:tcW w:w="784" w:type="dxa"/>
            <w:vAlign w:val="top"/>
          </w:tcPr>
          <w:p>
            <w:pPr>
              <w:spacing w:before="68" w:line="187"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821" w:type="dxa"/>
            <w:vAlign w:val="top"/>
          </w:tcPr>
          <w:p>
            <w:pPr>
              <w:spacing w:before="68" w:line="187" w:lineRule="auto"/>
              <w:ind w:left="36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84" w:type="dxa"/>
            <w:vAlign w:val="top"/>
          </w:tcPr>
          <w:p>
            <w:pPr>
              <w:spacing w:before="68" w:line="187"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088" w:type="dxa"/>
            <w:vAlign w:val="top"/>
          </w:tcPr>
          <w:p>
            <w:pPr>
              <w:pStyle w:val="6"/>
              <w:spacing w:before="30" w:line="207" w:lineRule="auto"/>
              <w:ind w:left="212"/>
            </w:pPr>
            <w:r>
              <w:rPr>
                <w:spacing w:val="-1"/>
              </w:rPr>
              <w:t>南侧景文高速公路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bottom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Merge w:val="restart"/>
            <w:tcBorders>
              <w:bottom w:val="nil"/>
            </w:tcBorders>
            <w:vAlign w:val="top"/>
          </w:tcPr>
          <w:p>
            <w:pPr>
              <w:pStyle w:val="6"/>
              <w:spacing w:before="308" w:line="221" w:lineRule="auto"/>
              <w:ind w:left="118"/>
            </w:pPr>
            <w:r>
              <w:rPr>
                <w:spacing w:val="-3"/>
              </w:rPr>
              <w:t>夜间</w:t>
            </w:r>
          </w:p>
        </w:tc>
        <w:tc>
          <w:tcPr>
            <w:tcW w:w="1082" w:type="dxa"/>
            <w:vMerge w:val="restart"/>
            <w:tcBorders>
              <w:bottom w:val="nil"/>
            </w:tcBorders>
            <w:vAlign w:val="top"/>
          </w:tcPr>
          <w:p>
            <w:pPr>
              <w:pStyle w:val="6"/>
              <w:spacing w:before="309" w:line="221" w:lineRule="auto"/>
              <w:ind w:left="125"/>
            </w:pPr>
            <w:r>
              <w:rPr>
                <w:spacing w:val="-2"/>
              </w:rPr>
              <w:t>环境噪声</w:t>
            </w:r>
          </w:p>
        </w:tc>
        <w:tc>
          <w:tcPr>
            <w:tcW w:w="749" w:type="dxa"/>
            <w:vMerge w:val="restart"/>
            <w:tcBorders>
              <w:bottom w:val="nil"/>
            </w:tcBorders>
            <w:vAlign w:val="top"/>
          </w:tcPr>
          <w:p>
            <w:pPr>
              <w:spacing w:line="285" w:lineRule="auto"/>
              <w:rPr>
                <w:rFonts w:ascii="Arial"/>
                <w:sz w:val="21"/>
              </w:rPr>
            </w:pPr>
          </w:p>
          <w:p>
            <w:pPr>
              <w:spacing w:before="60"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39.3</w:t>
            </w:r>
          </w:p>
        </w:tc>
        <w:tc>
          <w:tcPr>
            <w:tcW w:w="722" w:type="dxa"/>
            <w:vMerge w:val="restart"/>
            <w:tcBorders>
              <w:bottom w:val="nil"/>
            </w:tcBorders>
            <w:vAlign w:val="top"/>
          </w:tcPr>
          <w:p>
            <w:pPr>
              <w:spacing w:line="285"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37.0</w:t>
            </w:r>
          </w:p>
        </w:tc>
        <w:tc>
          <w:tcPr>
            <w:tcW w:w="849" w:type="dxa"/>
            <w:vMerge w:val="restart"/>
            <w:tcBorders>
              <w:bottom w:val="nil"/>
            </w:tcBorders>
            <w:vAlign w:val="top"/>
          </w:tcPr>
          <w:p>
            <w:pPr>
              <w:spacing w:line="288" w:lineRule="auto"/>
              <w:rPr>
                <w:rFonts w:ascii="Arial"/>
                <w:sz w:val="21"/>
              </w:rPr>
            </w:pPr>
          </w:p>
          <w:p>
            <w:pPr>
              <w:spacing w:before="60" w:line="184"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794" w:type="dxa"/>
            <w:vMerge w:val="restart"/>
            <w:tcBorders>
              <w:bottom w:val="nil"/>
            </w:tcBorders>
            <w:vAlign w:val="top"/>
          </w:tcPr>
          <w:p>
            <w:pPr>
              <w:pStyle w:val="6"/>
              <w:spacing w:before="309" w:line="224" w:lineRule="auto"/>
              <w:ind w:left="298"/>
            </w:pPr>
            <w:r>
              <w:t>是</w:t>
            </w:r>
          </w:p>
        </w:tc>
        <w:tc>
          <w:tcPr>
            <w:tcW w:w="784" w:type="dxa"/>
            <w:vAlign w:val="top"/>
          </w:tcPr>
          <w:p>
            <w:pPr>
              <w:spacing w:before="206"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821" w:type="dxa"/>
            <w:vAlign w:val="top"/>
          </w:tcPr>
          <w:p>
            <w:pPr>
              <w:spacing w:before="2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4" w:type="dxa"/>
            <w:vAlign w:val="top"/>
          </w:tcPr>
          <w:p>
            <w:pPr>
              <w:spacing w:before="205"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88" w:type="dxa"/>
            <w:vAlign w:val="top"/>
          </w:tcPr>
          <w:p>
            <w:pPr>
              <w:pStyle w:val="6"/>
              <w:spacing w:before="32" w:line="224" w:lineRule="auto"/>
              <w:ind w:left="732" w:right="198" w:hanging="518"/>
            </w:pPr>
            <w:r>
              <w:rPr>
                <w:spacing w:val="-2"/>
              </w:rPr>
              <w:t>西侧西坑互通收费</w:t>
            </w:r>
            <w:r>
              <w:rPr>
                <w:spacing w:val="4"/>
              </w:rPr>
              <w:t xml:space="preserve"> </w:t>
            </w:r>
            <w:r>
              <w:rPr>
                <w:spacing w:val="-2"/>
              </w:rPr>
              <w:t>站匝道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1082" w:type="dxa"/>
            <w:vMerge w:val="continue"/>
            <w:tcBorders>
              <w:top w:val="nil"/>
            </w:tcBorders>
            <w:vAlign w:val="top"/>
          </w:tcPr>
          <w:p>
            <w:pPr>
              <w:rPr>
                <w:rFonts w:ascii="Arial"/>
                <w:sz w:val="21"/>
              </w:rPr>
            </w:pPr>
          </w:p>
        </w:tc>
        <w:tc>
          <w:tcPr>
            <w:tcW w:w="749" w:type="dxa"/>
            <w:vMerge w:val="continue"/>
            <w:tcBorders>
              <w:top w:val="nil"/>
            </w:tcBorders>
            <w:vAlign w:val="top"/>
          </w:tcPr>
          <w:p>
            <w:pPr>
              <w:rPr>
                <w:rFonts w:ascii="Arial"/>
                <w:sz w:val="21"/>
              </w:rPr>
            </w:pPr>
          </w:p>
        </w:tc>
        <w:tc>
          <w:tcPr>
            <w:tcW w:w="722" w:type="dxa"/>
            <w:vMerge w:val="continue"/>
            <w:tcBorders>
              <w:top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794" w:type="dxa"/>
            <w:vMerge w:val="continue"/>
            <w:tcBorders>
              <w:top w:val="nil"/>
            </w:tcBorders>
            <w:vAlign w:val="top"/>
          </w:tcPr>
          <w:p>
            <w:pPr>
              <w:rPr>
                <w:rFonts w:ascii="Arial"/>
                <w:sz w:val="21"/>
              </w:rPr>
            </w:pPr>
          </w:p>
        </w:tc>
        <w:tc>
          <w:tcPr>
            <w:tcW w:w="784" w:type="dxa"/>
            <w:vAlign w:val="top"/>
          </w:tcPr>
          <w:p>
            <w:pPr>
              <w:spacing w:before="68"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821" w:type="dxa"/>
            <w:vAlign w:val="top"/>
          </w:tcPr>
          <w:p>
            <w:pPr>
              <w:spacing w:before="68" w:line="187" w:lineRule="auto"/>
              <w:ind w:left="36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984" w:type="dxa"/>
            <w:vAlign w:val="top"/>
          </w:tcPr>
          <w:p>
            <w:pPr>
              <w:spacing w:before="68"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88" w:type="dxa"/>
            <w:vAlign w:val="top"/>
          </w:tcPr>
          <w:p>
            <w:pPr>
              <w:pStyle w:val="6"/>
              <w:spacing w:before="30" w:line="207" w:lineRule="auto"/>
              <w:ind w:left="212"/>
            </w:pPr>
            <w:r>
              <w:rPr>
                <w:spacing w:val="-1"/>
              </w:rPr>
              <w:t>南侧景文高速公路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1" w:line="187" w:lineRule="auto"/>
              <w:ind w:left="21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27"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8" w:line="221" w:lineRule="auto"/>
              <w:ind w:left="159"/>
            </w:pPr>
            <w:r>
              <w:rPr>
                <w:spacing w:val="-3"/>
              </w:rPr>
              <w:t>南坑</w:t>
            </w:r>
          </w:p>
          <w:p>
            <w:pPr>
              <w:pStyle w:val="6"/>
              <w:spacing w:before="22" w:line="222" w:lineRule="auto"/>
              <w:ind w:left="266"/>
            </w:pPr>
            <w:r>
              <w:t>下</w:t>
            </w:r>
          </w:p>
        </w:tc>
        <w:tc>
          <w:tcPr>
            <w:tcW w:w="854" w:type="dxa"/>
            <w:vMerge w:val="restart"/>
            <w:tcBorders>
              <w:bottom w:val="nil"/>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9" w:line="232" w:lineRule="auto"/>
              <w:ind w:left="222" w:right="136" w:hanging="86"/>
            </w:pPr>
            <w:r>
              <w:rPr>
                <w:rFonts w:ascii="Times New Roman" w:hAnsi="Times New Roman" w:eastAsia="Times New Roman" w:cs="Times New Roman"/>
                <w:spacing w:val="-4"/>
              </w:rPr>
              <w:t>2</w:t>
            </w:r>
            <w:r>
              <w:rPr>
                <w:rFonts w:ascii="Times New Roman" w:hAnsi="Times New Roman" w:eastAsia="Times New Roman" w:cs="Times New Roman"/>
                <w:spacing w:val="9"/>
              </w:rPr>
              <w:t xml:space="preserve"> </w:t>
            </w:r>
            <w:r>
              <w:rPr>
                <w:spacing w:val="-4"/>
              </w:rPr>
              <w:t>类第</w:t>
            </w:r>
            <w:r>
              <w:t xml:space="preserve"> </w:t>
            </w:r>
            <w:r>
              <w:rPr>
                <w:spacing w:val="-5"/>
              </w:rPr>
              <w:t>一排</w:t>
            </w:r>
          </w:p>
        </w:tc>
        <w:tc>
          <w:tcPr>
            <w:tcW w:w="552" w:type="dxa"/>
            <w:vMerge w:val="restart"/>
            <w:tcBorders>
              <w:bottom w:val="nil"/>
            </w:tcBorders>
            <w:vAlign w:val="top"/>
          </w:tcPr>
          <w:p>
            <w:pPr>
              <w:spacing w:line="350" w:lineRule="auto"/>
              <w:rPr>
                <w:rFonts w:ascii="Arial"/>
                <w:sz w:val="21"/>
              </w:rPr>
            </w:pPr>
          </w:p>
          <w:p>
            <w:pPr>
              <w:spacing w:line="350"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Merge w:val="restart"/>
            <w:tcBorders>
              <w:bottom w:val="nil"/>
            </w:tcBorders>
            <w:vAlign w:val="top"/>
          </w:tcPr>
          <w:p>
            <w:pPr>
              <w:spacing w:line="327" w:lineRule="auto"/>
              <w:rPr>
                <w:rFonts w:ascii="Arial"/>
                <w:sz w:val="21"/>
              </w:rPr>
            </w:pPr>
          </w:p>
          <w:p>
            <w:pPr>
              <w:spacing w:line="328" w:lineRule="auto"/>
              <w:rPr>
                <w:rFonts w:ascii="Arial"/>
                <w:sz w:val="21"/>
              </w:rPr>
            </w:pPr>
          </w:p>
          <w:p>
            <w:pPr>
              <w:pStyle w:val="6"/>
              <w:spacing w:before="69"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Merge w:val="restart"/>
            <w:tcBorders>
              <w:bottom w:val="nil"/>
            </w:tcBorders>
            <w:vAlign w:val="top"/>
          </w:tcPr>
          <w:p>
            <w:pPr>
              <w:pStyle w:val="6"/>
              <w:spacing w:before="309" w:line="223" w:lineRule="auto"/>
              <w:ind w:left="114"/>
            </w:pPr>
            <w:r>
              <w:rPr>
                <w:spacing w:val="-2"/>
              </w:rPr>
              <w:t>昼间</w:t>
            </w:r>
          </w:p>
        </w:tc>
        <w:tc>
          <w:tcPr>
            <w:tcW w:w="1082" w:type="dxa"/>
            <w:vMerge w:val="restart"/>
            <w:tcBorders>
              <w:bottom w:val="nil"/>
            </w:tcBorders>
            <w:vAlign w:val="top"/>
          </w:tcPr>
          <w:p>
            <w:pPr>
              <w:pStyle w:val="6"/>
              <w:spacing w:before="308" w:line="221" w:lineRule="auto"/>
              <w:ind w:left="125"/>
            </w:pPr>
            <w:r>
              <w:rPr>
                <w:spacing w:val="-2"/>
              </w:rPr>
              <w:t>环境噪声</w:t>
            </w:r>
          </w:p>
        </w:tc>
        <w:tc>
          <w:tcPr>
            <w:tcW w:w="749" w:type="dxa"/>
            <w:vMerge w:val="restart"/>
            <w:tcBorders>
              <w:bottom w:val="nil"/>
            </w:tcBorders>
            <w:vAlign w:val="top"/>
          </w:tcPr>
          <w:p>
            <w:pPr>
              <w:spacing w:line="285" w:lineRule="auto"/>
              <w:rPr>
                <w:rFonts w:ascii="Arial"/>
                <w:sz w:val="21"/>
              </w:rPr>
            </w:pPr>
          </w:p>
          <w:p>
            <w:pPr>
              <w:spacing w:before="60"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41.9</w:t>
            </w:r>
          </w:p>
        </w:tc>
        <w:tc>
          <w:tcPr>
            <w:tcW w:w="722" w:type="dxa"/>
            <w:vMerge w:val="restart"/>
            <w:tcBorders>
              <w:bottom w:val="nil"/>
            </w:tcBorders>
            <w:vAlign w:val="top"/>
          </w:tcPr>
          <w:p>
            <w:pPr>
              <w:spacing w:line="285"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34.6</w:t>
            </w:r>
          </w:p>
        </w:tc>
        <w:tc>
          <w:tcPr>
            <w:tcW w:w="849" w:type="dxa"/>
            <w:vMerge w:val="restart"/>
            <w:tcBorders>
              <w:bottom w:val="nil"/>
            </w:tcBorders>
            <w:vAlign w:val="top"/>
          </w:tcPr>
          <w:p>
            <w:pPr>
              <w:spacing w:line="285" w:lineRule="auto"/>
              <w:rPr>
                <w:rFonts w:ascii="Arial"/>
                <w:sz w:val="21"/>
              </w:rPr>
            </w:pPr>
          </w:p>
          <w:p>
            <w:pPr>
              <w:spacing w:before="60"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Merge w:val="restart"/>
            <w:tcBorders>
              <w:bottom w:val="nil"/>
            </w:tcBorders>
            <w:vAlign w:val="top"/>
          </w:tcPr>
          <w:p>
            <w:pPr>
              <w:pStyle w:val="6"/>
              <w:spacing w:before="308" w:line="224" w:lineRule="auto"/>
              <w:ind w:left="298"/>
            </w:pPr>
            <w:r>
              <w:t>是</w:t>
            </w:r>
          </w:p>
        </w:tc>
        <w:tc>
          <w:tcPr>
            <w:tcW w:w="784" w:type="dxa"/>
            <w:vAlign w:val="top"/>
          </w:tcPr>
          <w:p>
            <w:pPr>
              <w:spacing w:before="205" w:line="187"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w:t>
            </w:r>
          </w:p>
        </w:tc>
        <w:tc>
          <w:tcPr>
            <w:tcW w:w="821" w:type="dxa"/>
            <w:vAlign w:val="top"/>
          </w:tcPr>
          <w:p>
            <w:pPr>
              <w:spacing w:before="205" w:line="187" w:lineRule="auto"/>
              <w:ind w:left="36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84" w:type="dxa"/>
            <w:vAlign w:val="top"/>
          </w:tcPr>
          <w:p>
            <w:pPr>
              <w:spacing w:before="205"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88" w:type="dxa"/>
            <w:vAlign w:val="top"/>
          </w:tcPr>
          <w:p>
            <w:pPr>
              <w:pStyle w:val="6"/>
              <w:spacing w:before="29" w:line="224" w:lineRule="auto"/>
              <w:ind w:left="732" w:right="198" w:hanging="518"/>
            </w:pPr>
            <w:r>
              <w:rPr>
                <w:spacing w:val="-2"/>
              </w:rPr>
              <w:t>西侧西坑互通收费</w:t>
            </w:r>
            <w:r>
              <w:rPr>
                <w:spacing w:val="4"/>
              </w:rPr>
              <w:t xml:space="preserve"> </w:t>
            </w:r>
            <w:r>
              <w:rPr>
                <w:spacing w:val="-2"/>
              </w:rPr>
              <w:t>站匝道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bottom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1082" w:type="dxa"/>
            <w:vMerge w:val="continue"/>
            <w:tcBorders>
              <w:top w:val="nil"/>
            </w:tcBorders>
            <w:vAlign w:val="top"/>
          </w:tcPr>
          <w:p>
            <w:pPr>
              <w:rPr>
                <w:rFonts w:ascii="Arial"/>
                <w:sz w:val="21"/>
              </w:rPr>
            </w:pPr>
          </w:p>
        </w:tc>
        <w:tc>
          <w:tcPr>
            <w:tcW w:w="749" w:type="dxa"/>
            <w:vMerge w:val="continue"/>
            <w:tcBorders>
              <w:top w:val="nil"/>
            </w:tcBorders>
            <w:vAlign w:val="top"/>
          </w:tcPr>
          <w:p>
            <w:pPr>
              <w:rPr>
                <w:rFonts w:ascii="Arial"/>
                <w:sz w:val="21"/>
              </w:rPr>
            </w:pPr>
          </w:p>
        </w:tc>
        <w:tc>
          <w:tcPr>
            <w:tcW w:w="722" w:type="dxa"/>
            <w:vMerge w:val="continue"/>
            <w:tcBorders>
              <w:top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794" w:type="dxa"/>
            <w:vMerge w:val="continue"/>
            <w:tcBorders>
              <w:top w:val="nil"/>
            </w:tcBorders>
            <w:vAlign w:val="top"/>
          </w:tcPr>
          <w:p>
            <w:pPr>
              <w:rPr>
                <w:rFonts w:ascii="Arial"/>
                <w:sz w:val="21"/>
              </w:rPr>
            </w:pPr>
          </w:p>
        </w:tc>
        <w:tc>
          <w:tcPr>
            <w:tcW w:w="784" w:type="dxa"/>
            <w:vAlign w:val="top"/>
          </w:tcPr>
          <w:p>
            <w:pPr>
              <w:spacing w:before="69" w:line="187"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821" w:type="dxa"/>
            <w:vAlign w:val="top"/>
          </w:tcPr>
          <w:p>
            <w:pPr>
              <w:spacing w:before="69" w:line="187" w:lineRule="auto"/>
              <w:ind w:left="36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84" w:type="dxa"/>
            <w:vAlign w:val="top"/>
          </w:tcPr>
          <w:p>
            <w:pPr>
              <w:spacing w:before="69"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88" w:type="dxa"/>
            <w:vAlign w:val="top"/>
          </w:tcPr>
          <w:p>
            <w:pPr>
              <w:pStyle w:val="6"/>
              <w:spacing w:before="30" w:line="209" w:lineRule="auto"/>
              <w:ind w:left="212"/>
            </w:pPr>
            <w:r>
              <w:rPr>
                <w:spacing w:val="-1"/>
              </w:rPr>
              <w:t>南侧景文高速公路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bottom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Merge w:val="restart"/>
            <w:tcBorders>
              <w:bottom w:val="nil"/>
            </w:tcBorders>
            <w:vAlign w:val="top"/>
          </w:tcPr>
          <w:p>
            <w:pPr>
              <w:pStyle w:val="6"/>
              <w:spacing w:before="308" w:line="221" w:lineRule="auto"/>
              <w:ind w:left="118"/>
            </w:pPr>
            <w:r>
              <w:rPr>
                <w:spacing w:val="-3"/>
              </w:rPr>
              <w:t>夜间</w:t>
            </w:r>
          </w:p>
        </w:tc>
        <w:tc>
          <w:tcPr>
            <w:tcW w:w="1082" w:type="dxa"/>
            <w:vMerge w:val="restart"/>
            <w:tcBorders>
              <w:bottom w:val="nil"/>
            </w:tcBorders>
            <w:vAlign w:val="top"/>
          </w:tcPr>
          <w:p>
            <w:pPr>
              <w:pStyle w:val="6"/>
              <w:spacing w:before="309" w:line="221" w:lineRule="auto"/>
              <w:ind w:left="125"/>
            </w:pPr>
            <w:r>
              <w:rPr>
                <w:spacing w:val="-2"/>
              </w:rPr>
              <w:t>环境噪声</w:t>
            </w:r>
          </w:p>
        </w:tc>
        <w:tc>
          <w:tcPr>
            <w:tcW w:w="749" w:type="dxa"/>
            <w:vMerge w:val="restart"/>
            <w:tcBorders>
              <w:bottom w:val="nil"/>
            </w:tcBorders>
            <w:vAlign w:val="top"/>
          </w:tcPr>
          <w:p>
            <w:pPr>
              <w:spacing w:line="285" w:lineRule="auto"/>
              <w:rPr>
                <w:rFonts w:ascii="Arial"/>
                <w:sz w:val="21"/>
              </w:rPr>
            </w:pPr>
          </w:p>
          <w:p>
            <w:pPr>
              <w:spacing w:before="60"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37.1</w:t>
            </w:r>
          </w:p>
        </w:tc>
        <w:tc>
          <w:tcPr>
            <w:tcW w:w="722" w:type="dxa"/>
            <w:vMerge w:val="restart"/>
            <w:tcBorders>
              <w:bottom w:val="nil"/>
            </w:tcBorders>
            <w:vAlign w:val="top"/>
          </w:tcPr>
          <w:p>
            <w:pPr>
              <w:spacing w:line="285"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33.8</w:t>
            </w:r>
          </w:p>
        </w:tc>
        <w:tc>
          <w:tcPr>
            <w:tcW w:w="849" w:type="dxa"/>
            <w:vMerge w:val="restart"/>
            <w:tcBorders>
              <w:bottom w:val="nil"/>
            </w:tcBorders>
            <w:vAlign w:val="top"/>
          </w:tcPr>
          <w:p>
            <w:pPr>
              <w:spacing w:line="285" w:lineRule="auto"/>
              <w:rPr>
                <w:rFonts w:ascii="Arial"/>
                <w:sz w:val="21"/>
              </w:rPr>
            </w:pPr>
          </w:p>
          <w:p>
            <w:pPr>
              <w:spacing w:before="60"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Merge w:val="restart"/>
            <w:tcBorders>
              <w:bottom w:val="nil"/>
            </w:tcBorders>
            <w:vAlign w:val="top"/>
          </w:tcPr>
          <w:p>
            <w:pPr>
              <w:pStyle w:val="6"/>
              <w:spacing w:before="309" w:line="224" w:lineRule="auto"/>
              <w:ind w:left="298"/>
            </w:pPr>
            <w:r>
              <w:t>是</w:t>
            </w:r>
          </w:p>
        </w:tc>
        <w:tc>
          <w:tcPr>
            <w:tcW w:w="784" w:type="dxa"/>
            <w:vAlign w:val="top"/>
          </w:tcPr>
          <w:p>
            <w:pPr>
              <w:spacing w:before="206"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821" w:type="dxa"/>
            <w:vAlign w:val="top"/>
          </w:tcPr>
          <w:p>
            <w:pPr>
              <w:spacing w:before="206" w:line="187" w:lineRule="auto"/>
              <w:ind w:left="38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84" w:type="dxa"/>
            <w:vAlign w:val="top"/>
          </w:tcPr>
          <w:p>
            <w:pPr>
              <w:spacing w:before="206" w:line="187" w:lineRule="auto"/>
              <w:ind w:left="46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88" w:type="dxa"/>
            <w:vAlign w:val="top"/>
          </w:tcPr>
          <w:p>
            <w:pPr>
              <w:pStyle w:val="6"/>
              <w:spacing w:before="31" w:line="223" w:lineRule="auto"/>
              <w:ind w:left="732" w:right="198" w:hanging="518"/>
            </w:pPr>
            <w:r>
              <w:rPr>
                <w:spacing w:val="-2"/>
              </w:rPr>
              <w:t>西侧西坑互通收费</w:t>
            </w:r>
            <w:r>
              <w:rPr>
                <w:spacing w:val="4"/>
              </w:rPr>
              <w:t xml:space="preserve"> </w:t>
            </w:r>
            <w:r>
              <w:rPr>
                <w:spacing w:val="-2"/>
              </w:rPr>
              <w:t>站匝道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1082" w:type="dxa"/>
            <w:vMerge w:val="continue"/>
            <w:tcBorders>
              <w:top w:val="nil"/>
            </w:tcBorders>
            <w:vAlign w:val="top"/>
          </w:tcPr>
          <w:p>
            <w:pPr>
              <w:rPr>
                <w:rFonts w:ascii="Arial"/>
                <w:sz w:val="21"/>
              </w:rPr>
            </w:pPr>
          </w:p>
        </w:tc>
        <w:tc>
          <w:tcPr>
            <w:tcW w:w="749" w:type="dxa"/>
            <w:vMerge w:val="continue"/>
            <w:tcBorders>
              <w:top w:val="nil"/>
            </w:tcBorders>
            <w:vAlign w:val="top"/>
          </w:tcPr>
          <w:p>
            <w:pPr>
              <w:rPr>
                <w:rFonts w:ascii="Arial"/>
                <w:sz w:val="21"/>
              </w:rPr>
            </w:pPr>
          </w:p>
        </w:tc>
        <w:tc>
          <w:tcPr>
            <w:tcW w:w="722" w:type="dxa"/>
            <w:vMerge w:val="continue"/>
            <w:tcBorders>
              <w:top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794" w:type="dxa"/>
            <w:vMerge w:val="continue"/>
            <w:tcBorders>
              <w:top w:val="nil"/>
            </w:tcBorders>
            <w:vAlign w:val="top"/>
          </w:tcPr>
          <w:p>
            <w:pPr>
              <w:rPr>
                <w:rFonts w:ascii="Arial"/>
                <w:sz w:val="21"/>
              </w:rPr>
            </w:pPr>
          </w:p>
        </w:tc>
        <w:tc>
          <w:tcPr>
            <w:tcW w:w="784" w:type="dxa"/>
            <w:vAlign w:val="top"/>
          </w:tcPr>
          <w:p>
            <w:pPr>
              <w:spacing w:before="69"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821" w:type="dxa"/>
            <w:vAlign w:val="top"/>
          </w:tcPr>
          <w:p>
            <w:pPr>
              <w:spacing w:before="69" w:line="187" w:lineRule="auto"/>
              <w:ind w:left="36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984" w:type="dxa"/>
            <w:vAlign w:val="top"/>
          </w:tcPr>
          <w:p>
            <w:pPr>
              <w:spacing w:before="69"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88" w:type="dxa"/>
            <w:vAlign w:val="top"/>
          </w:tcPr>
          <w:p>
            <w:pPr>
              <w:pStyle w:val="6"/>
              <w:spacing w:before="31" w:line="208" w:lineRule="auto"/>
              <w:ind w:left="212"/>
            </w:pPr>
            <w:r>
              <w:rPr>
                <w:spacing w:val="-1"/>
              </w:rPr>
              <w:t>南侧景文高速公路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restart"/>
            <w:tcBorders>
              <w:bottom w:val="nil"/>
            </w:tcBorders>
            <w:vAlign w:val="top"/>
          </w:tcPr>
          <w:p>
            <w:pPr>
              <w:spacing w:line="350" w:lineRule="auto"/>
              <w:rPr>
                <w:rFonts w:ascii="Arial"/>
                <w:sz w:val="21"/>
              </w:rPr>
            </w:pPr>
          </w:p>
          <w:p>
            <w:pPr>
              <w:spacing w:line="351" w:lineRule="auto"/>
              <w:rPr>
                <w:rFonts w:ascii="Arial"/>
                <w:sz w:val="21"/>
              </w:rPr>
            </w:pPr>
          </w:p>
          <w:p>
            <w:pPr>
              <w:spacing w:before="61"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Merge w:val="restart"/>
            <w:tcBorders>
              <w:bottom w:val="nil"/>
            </w:tcBorders>
            <w:vAlign w:val="top"/>
          </w:tcPr>
          <w:p>
            <w:pPr>
              <w:spacing w:line="327" w:lineRule="auto"/>
              <w:rPr>
                <w:rFonts w:ascii="Arial"/>
                <w:sz w:val="21"/>
              </w:rPr>
            </w:pPr>
          </w:p>
          <w:p>
            <w:pPr>
              <w:spacing w:line="328" w:lineRule="auto"/>
              <w:rPr>
                <w:rFonts w:ascii="Arial"/>
                <w:sz w:val="21"/>
              </w:rPr>
            </w:pPr>
          </w:p>
          <w:p>
            <w:pPr>
              <w:pStyle w:val="6"/>
              <w:spacing w:before="68"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Merge w:val="restart"/>
            <w:tcBorders>
              <w:bottom w:val="nil"/>
            </w:tcBorders>
            <w:vAlign w:val="top"/>
          </w:tcPr>
          <w:p>
            <w:pPr>
              <w:pStyle w:val="6"/>
              <w:spacing w:before="308" w:line="223" w:lineRule="auto"/>
              <w:ind w:left="114"/>
            </w:pPr>
            <w:r>
              <w:rPr>
                <w:spacing w:val="-2"/>
              </w:rPr>
              <w:t>昼间</w:t>
            </w:r>
          </w:p>
        </w:tc>
        <w:tc>
          <w:tcPr>
            <w:tcW w:w="1082" w:type="dxa"/>
            <w:vMerge w:val="restart"/>
            <w:tcBorders>
              <w:bottom w:val="nil"/>
            </w:tcBorders>
            <w:vAlign w:val="top"/>
          </w:tcPr>
          <w:p>
            <w:pPr>
              <w:pStyle w:val="6"/>
              <w:spacing w:before="308" w:line="221" w:lineRule="auto"/>
              <w:ind w:left="125"/>
            </w:pPr>
            <w:r>
              <w:rPr>
                <w:spacing w:val="-2"/>
              </w:rPr>
              <w:t>环境噪声</w:t>
            </w:r>
          </w:p>
        </w:tc>
        <w:tc>
          <w:tcPr>
            <w:tcW w:w="749" w:type="dxa"/>
            <w:vMerge w:val="restart"/>
            <w:tcBorders>
              <w:bottom w:val="nil"/>
            </w:tcBorders>
            <w:vAlign w:val="top"/>
          </w:tcPr>
          <w:p>
            <w:pPr>
              <w:spacing w:line="284" w:lineRule="auto"/>
              <w:rPr>
                <w:rFonts w:ascii="Arial"/>
                <w:sz w:val="21"/>
              </w:rPr>
            </w:pPr>
          </w:p>
          <w:p>
            <w:pPr>
              <w:spacing w:before="60"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722" w:type="dxa"/>
            <w:vMerge w:val="restart"/>
            <w:tcBorders>
              <w:bottom w:val="nil"/>
            </w:tcBorders>
            <w:vAlign w:val="top"/>
          </w:tcPr>
          <w:p>
            <w:pPr>
              <w:spacing w:line="284"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34.0</w:t>
            </w:r>
          </w:p>
        </w:tc>
        <w:tc>
          <w:tcPr>
            <w:tcW w:w="849" w:type="dxa"/>
            <w:vMerge w:val="restart"/>
            <w:tcBorders>
              <w:bottom w:val="nil"/>
            </w:tcBorders>
            <w:vAlign w:val="top"/>
          </w:tcPr>
          <w:p>
            <w:pPr>
              <w:spacing w:line="284" w:lineRule="auto"/>
              <w:rPr>
                <w:rFonts w:ascii="Arial"/>
                <w:sz w:val="21"/>
              </w:rPr>
            </w:pPr>
          </w:p>
          <w:p>
            <w:pPr>
              <w:spacing w:before="60"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Merge w:val="restart"/>
            <w:tcBorders>
              <w:bottom w:val="nil"/>
            </w:tcBorders>
            <w:vAlign w:val="top"/>
          </w:tcPr>
          <w:p>
            <w:pPr>
              <w:pStyle w:val="6"/>
              <w:spacing w:before="307" w:line="224" w:lineRule="auto"/>
              <w:ind w:left="298"/>
            </w:pPr>
            <w:r>
              <w:t>是</w:t>
            </w:r>
          </w:p>
        </w:tc>
        <w:tc>
          <w:tcPr>
            <w:tcW w:w="784" w:type="dxa"/>
            <w:vAlign w:val="top"/>
          </w:tcPr>
          <w:p>
            <w:pPr>
              <w:spacing w:before="207" w:line="187"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w:t>
            </w:r>
          </w:p>
        </w:tc>
        <w:tc>
          <w:tcPr>
            <w:tcW w:w="821" w:type="dxa"/>
            <w:vAlign w:val="top"/>
          </w:tcPr>
          <w:p>
            <w:pPr>
              <w:spacing w:before="207" w:line="187" w:lineRule="auto"/>
              <w:ind w:left="36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84" w:type="dxa"/>
            <w:vAlign w:val="top"/>
          </w:tcPr>
          <w:p>
            <w:pPr>
              <w:spacing w:before="207"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88" w:type="dxa"/>
            <w:vAlign w:val="top"/>
          </w:tcPr>
          <w:p>
            <w:pPr>
              <w:pStyle w:val="6"/>
              <w:spacing w:before="31" w:line="223" w:lineRule="auto"/>
              <w:ind w:left="732" w:right="198" w:hanging="518"/>
            </w:pPr>
            <w:r>
              <w:rPr>
                <w:spacing w:val="-2"/>
              </w:rPr>
              <w:t>西侧西坑互通收费</w:t>
            </w:r>
            <w:r>
              <w:rPr>
                <w:spacing w:val="4"/>
              </w:rPr>
              <w:t xml:space="preserve"> </w:t>
            </w:r>
            <w:r>
              <w:rPr>
                <w:spacing w:val="-2"/>
              </w:rPr>
              <w:t>站匝道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bottom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1082" w:type="dxa"/>
            <w:vMerge w:val="continue"/>
            <w:tcBorders>
              <w:top w:val="nil"/>
            </w:tcBorders>
            <w:vAlign w:val="top"/>
          </w:tcPr>
          <w:p>
            <w:pPr>
              <w:rPr>
                <w:rFonts w:ascii="Arial"/>
                <w:sz w:val="21"/>
              </w:rPr>
            </w:pPr>
          </w:p>
        </w:tc>
        <w:tc>
          <w:tcPr>
            <w:tcW w:w="749" w:type="dxa"/>
            <w:vMerge w:val="continue"/>
            <w:tcBorders>
              <w:top w:val="nil"/>
            </w:tcBorders>
            <w:vAlign w:val="top"/>
          </w:tcPr>
          <w:p>
            <w:pPr>
              <w:rPr>
                <w:rFonts w:ascii="Arial"/>
                <w:sz w:val="21"/>
              </w:rPr>
            </w:pPr>
          </w:p>
        </w:tc>
        <w:tc>
          <w:tcPr>
            <w:tcW w:w="722" w:type="dxa"/>
            <w:vMerge w:val="continue"/>
            <w:tcBorders>
              <w:top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794" w:type="dxa"/>
            <w:vMerge w:val="continue"/>
            <w:tcBorders>
              <w:top w:val="nil"/>
            </w:tcBorders>
            <w:vAlign w:val="top"/>
          </w:tcPr>
          <w:p>
            <w:pPr>
              <w:rPr>
                <w:rFonts w:ascii="Arial"/>
                <w:sz w:val="21"/>
              </w:rPr>
            </w:pPr>
          </w:p>
        </w:tc>
        <w:tc>
          <w:tcPr>
            <w:tcW w:w="784" w:type="dxa"/>
            <w:vAlign w:val="top"/>
          </w:tcPr>
          <w:p>
            <w:pPr>
              <w:spacing w:before="70" w:line="187"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821" w:type="dxa"/>
            <w:vAlign w:val="top"/>
          </w:tcPr>
          <w:p>
            <w:pPr>
              <w:spacing w:before="70" w:line="187" w:lineRule="auto"/>
              <w:ind w:left="36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84" w:type="dxa"/>
            <w:vAlign w:val="top"/>
          </w:tcPr>
          <w:p>
            <w:pPr>
              <w:spacing w:before="70"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88" w:type="dxa"/>
            <w:vAlign w:val="top"/>
          </w:tcPr>
          <w:p>
            <w:pPr>
              <w:pStyle w:val="6"/>
              <w:spacing w:before="31" w:line="206" w:lineRule="auto"/>
              <w:ind w:left="212"/>
            </w:pPr>
            <w:r>
              <w:rPr>
                <w:spacing w:val="-1"/>
              </w:rPr>
              <w:t>南侧景文高速公路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bottom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Merge w:val="restart"/>
            <w:tcBorders>
              <w:bottom w:val="nil"/>
            </w:tcBorders>
            <w:vAlign w:val="top"/>
          </w:tcPr>
          <w:p>
            <w:pPr>
              <w:rPr>
                <w:rFonts w:ascii="Arial"/>
                <w:sz w:val="21"/>
              </w:rPr>
            </w:pPr>
          </w:p>
          <w:p>
            <w:pPr>
              <w:pStyle w:val="6"/>
              <w:spacing w:before="68" w:line="221" w:lineRule="auto"/>
              <w:ind w:left="118"/>
            </w:pPr>
            <w:r>
              <w:rPr>
                <w:spacing w:val="-3"/>
              </w:rPr>
              <w:t>夜间</w:t>
            </w:r>
          </w:p>
        </w:tc>
        <w:tc>
          <w:tcPr>
            <w:tcW w:w="1082" w:type="dxa"/>
            <w:vMerge w:val="restart"/>
            <w:tcBorders>
              <w:bottom w:val="nil"/>
            </w:tcBorders>
            <w:vAlign w:val="top"/>
          </w:tcPr>
          <w:p>
            <w:pPr>
              <w:rPr>
                <w:rFonts w:ascii="Arial"/>
                <w:sz w:val="21"/>
              </w:rPr>
            </w:pPr>
          </w:p>
          <w:p>
            <w:pPr>
              <w:pStyle w:val="6"/>
              <w:spacing w:before="69" w:line="221" w:lineRule="auto"/>
              <w:ind w:left="125"/>
            </w:pPr>
            <w:r>
              <w:rPr>
                <w:spacing w:val="-2"/>
              </w:rPr>
              <w:t>环境噪声</w:t>
            </w:r>
          </w:p>
        </w:tc>
        <w:tc>
          <w:tcPr>
            <w:tcW w:w="749" w:type="dxa"/>
            <w:vMerge w:val="restart"/>
            <w:tcBorders>
              <w:bottom w:val="nil"/>
            </w:tcBorders>
            <w:vAlign w:val="top"/>
          </w:tcPr>
          <w:p>
            <w:pPr>
              <w:spacing w:line="286" w:lineRule="auto"/>
              <w:rPr>
                <w:rFonts w:ascii="Arial"/>
                <w:sz w:val="21"/>
              </w:rPr>
            </w:pPr>
          </w:p>
          <w:p>
            <w:pPr>
              <w:spacing w:before="61"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39.2</w:t>
            </w:r>
          </w:p>
        </w:tc>
        <w:tc>
          <w:tcPr>
            <w:tcW w:w="722" w:type="dxa"/>
            <w:vMerge w:val="restart"/>
            <w:tcBorders>
              <w:bottom w:val="nil"/>
            </w:tcBorders>
            <w:vAlign w:val="top"/>
          </w:tcPr>
          <w:p>
            <w:pPr>
              <w:spacing w:line="286"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36.6</w:t>
            </w:r>
          </w:p>
        </w:tc>
        <w:tc>
          <w:tcPr>
            <w:tcW w:w="849" w:type="dxa"/>
            <w:vMerge w:val="restart"/>
            <w:tcBorders>
              <w:bottom w:val="nil"/>
            </w:tcBorders>
            <w:vAlign w:val="top"/>
          </w:tcPr>
          <w:p>
            <w:pPr>
              <w:spacing w:line="286" w:lineRule="auto"/>
              <w:rPr>
                <w:rFonts w:ascii="Arial"/>
                <w:sz w:val="21"/>
              </w:rPr>
            </w:pPr>
          </w:p>
          <w:p>
            <w:pPr>
              <w:spacing w:before="61"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Merge w:val="restart"/>
            <w:tcBorders>
              <w:bottom w:val="nil"/>
            </w:tcBorders>
            <w:vAlign w:val="top"/>
          </w:tcPr>
          <w:p>
            <w:pPr>
              <w:rPr>
                <w:rFonts w:ascii="Arial"/>
                <w:sz w:val="21"/>
              </w:rPr>
            </w:pPr>
          </w:p>
          <w:p>
            <w:pPr>
              <w:pStyle w:val="6"/>
              <w:spacing w:before="69" w:line="224" w:lineRule="auto"/>
              <w:ind w:left="298"/>
            </w:pPr>
            <w:r>
              <w:t>是</w:t>
            </w:r>
          </w:p>
        </w:tc>
        <w:tc>
          <w:tcPr>
            <w:tcW w:w="784" w:type="dxa"/>
            <w:vAlign w:val="top"/>
          </w:tcPr>
          <w:p>
            <w:pPr>
              <w:spacing w:before="207"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821" w:type="dxa"/>
            <w:vAlign w:val="top"/>
          </w:tcPr>
          <w:p>
            <w:pPr>
              <w:spacing w:before="207" w:line="187" w:lineRule="auto"/>
              <w:ind w:left="38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84" w:type="dxa"/>
            <w:vAlign w:val="top"/>
          </w:tcPr>
          <w:p>
            <w:pPr>
              <w:spacing w:before="207" w:line="187" w:lineRule="auto"/>
              <w:ind w:left="46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88" w:type="dxa"/>
            <w:vAlign w:val="top"/>
          </w:tcPr>
          <w:p>
            <w:pPr>
              <w:pStyle w:val="6"/>
              <w:spacing w:before="33" w:line="223" w:lineRule="auto"/>
              <w:ind w:left="732" w:right="198" w:hanging="518"/>
            </w:pPr>
            <w:r>
              <w:rPr>
                <w:spacing w:val="-2"/>
              </w:rPr>
              <w:t>西侧西坑互通收费</w:t>
            </w:r>
            <w:r>
              <w:rPr>
                <w:spacing w:val="4"/>
              </w:rPr>
              <w:t xml:space="preserve"> </w:t>
            </w:r>
            <w:r>
              <w:rPr>
                <w:spacing w:val="-2"/>
              </w:rPr>
              <w:t>站匝道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1082" w:type="dxa"/>
            <w:vMerge w:val="continue"/>
            <w:tcBorders>
              <w:top w:val="nil"/>
            </w:tcBorders>
            <w:vAlign w:val="top"/>
          </w:tcPr>
          <w:p>
            <w:pPr>
              <w:rPr>
                <w:rFonts w:ascii="Arial"/>
                <w:sz w:val="21"/>
              </w:rPr>
            </w:pPr>
          </w:p>
        </w:tc>
        <w:tc>
          <w:tcPr>
            <w:tcW w:w="749" w:type="dxa"/>
            <w:vMerge w:val="continue"/>
            <w:tcBorders>
              <w:top w:val="nil"/>
            </w:tcBorders>
            <w:vAlign w:val="top"/>
          </w:tcPr>
          <w:p>
            <w:pPr>
              <w:rPr>
                <w:rFonts w:ascii="Arial"/>
                <w:sz w:val="21"/>
              </w:rPr>
            </w:pPr>
          </w:p>
        </w:tc>
        <w:tc>
          <w:tcPr>
            <w:tcW w:w="722" w:type="dxa"/>
            <w:vMerge w:val="continue"/>
            <w:tcBorders>
              <w:top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794" w:type="dxa"/>
            <w:vMerge w:val="continue"/>
            <w:tcBorders>
              <w:top w:val="nil"/>
            </w:tcBorders>
            <w:vAlign w:val="top"/>
          </w:tcPr>
          <w:p>
            <w:pPr>
              <w:rPr>
                <w:rFonts w:ascii="Arial"/>
                <w:sz w:val="21"/>
              </w:rPr>
            </w:pPr>
          </w:p>
        </w:tc>
        <w:tc>
          <w:tcPr>
            <w:tcW w:w="784" w:type="dxa"/>
            <w:vAlign w:val="top"/>
          </w:tcPr>
          <w:p>
            <w:pPr>
              <w:spacing w:before="71"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821" w:type="dxa"/>
            <w:vAlign w:val="top"/>
          </w:tcPr>
          <w:p>
            <w:pPr>
              <w:spacing w:before="71" w:line="187" w:lineRule="auto"/>
              <w:ind w:left="36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984" w:type="dxa"/>
            <w:vAlign w:val="top"/>
          </w:tcPr>
          <w:p>
            <w:pPr>
              <w:spacing w:before="71"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88" w:type="dxa"/>
            <w:vAlign w:val="top"/>
          </w:tcPr>
          <w:p>
            <w:pPr>
              <w:pStyle w:val="6"/>
              <w:spacing w:before="32" w:line="205" w:lineRule="auto"/>
              <w:ind w:left="212"/>
            </w:pPr>
            <w:r>
              <w:rPr>
                <w:spacing w:val="-1"/>
              </w:rPr>
              <w:t>南侧景文高速公路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31"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61" w:line="187" w:lineRule="auto"/>
              <w:ind w:left="21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27" w:type="dxa"/>
            <w:vMerge w:val="restart"/>
            <w:tcBorders>
              <w:bottom w:val="nil"/>
            </w:tcBorders>
            <w:vAlign w:val="top"/>
          </w:tcPr>
          <w:p>
            <w:pPr>
              <w:spacing w:line="293" w:lineRule="auto"/>
              <w:rPr>
                <w:rFonts w:ascii="Arial"/>
                <w:sz w:val="21"/>
              </w:rPr>
            </w:pPr>
          </w:p>
          <w:p>
            <w:pPr>
              <w:spacing w:line="294" w:lineRule="auto"/>
              <w:rPr>
                <w:rFonts w:ascii="Arial"/>
                <w:sz w:val="21"/>
              </w:rPr>
            </w:pPr>
          </w:p>
          <w:p>
            <w:pPr>
              <w:pStyle w:val="6"/>
              <w:spacing w:before="68" w:line="241" w:lineRule="auto"/>
              <w:ind w:left="159"/>
            </w:pPr>
            <w:r>
              <w:rPr>
                <w:spacing w:val="-3"/>
              </w:rPr>
              <w:t>南坑</w:t>
            </w:r>
          </w:p>
          <w:p>
            <w:pPr>
              <w:pStyle w:val="6"/>
              <w:spacing w:line="220" w:lineRule="auto"/>
              <w:ind w:left="261"/>
            </w:pPr>
            <w:r>
              <w:t>垟</w:t>
            </w:r>
          </w:p>
        </w:tc>
        <w:tc>
          <w:tcPr>
            <w:tcW w:w="854"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8" w:line="221" w:lineRule="auto"/>
              <w:ind w:left="24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2" w:type="dxa"/>
            <w:vMerge w:val="restart"/>
            <w:tcBorders>
              <w:bottom w:val="nil"/>
            </w:tcBorders>
            <w:vAlign w:val="top"/>
          </w:tcPr>
          <w:p>
            <w:pPr>
              <w:spacing w:line="318"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8" w:line="221" w:lineRule="auto"/>
              <w:ind w:left="136"/>
            </w:pPr>
            <w:r>
              <w:rPr>
                <w:rFonts w:ascii="Times New Roman" w:hAnsi="Times New Roman" w:eastAsia="Times New Roman" w:cs="Times New Roman"/>
                <w:spacing w:val="-3"/>
              </w:rPr>
              <w:t xml:space="preserve">2024 </w:t>
            </w:r>
            <w:r>
              <w:rPr>
                <w:spacing w:val="-3"/>
              </w:rPr>
              <w:t>年</w:t>
            </w:r>
            <w:r>
              <w:rPr>
                <w:spacing w:val="-4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1"/>
              </w:rPr>
              <w:t xml:space="preserve"> </w:t>
            </w:r>
            <w:r>
              <w:rPr>
                <w:spacing w:val="-3"/>
              </w:rPr>
              <w:t>月</w:t>
            </w:r>
            <w:r>
              <w:rPr>
                <w:spacing w:val="-47"/>
              </w:rPr>
              <w:t xml:space="preserve"> </w:t>
            </w:r>
            <w:r>
              <w:rPr>
                <w:rFonts w:ascii="Times New Roman" w:hAnsi="Times New Roman" w:eastAsia="Times New Roman" w:cs="Times New Roman"/>
                <w:spacing w:val="-3"/>
              </w:rPr>
              <w:t xml:space="preserve">20  </w:t>
            </w:r>
            <w:r>
              <w:rPr>
                <w:spacing w:val="-3"/>
              </w:rPr>
              <w:t>日</w:t>
            </w:r>
          </w:p>
        </w:tc>
        <w:tc>
          <w:tcPr>
            <w:tcW w:w="643" w:type="dxa"/>
            <w:vAlign w:val="top"/>
          </w:tcPr>
          <w:p>
            <w:pPr>
              <w:pStyle w:val="6"/>
              <w:spacing w:before="117" w:line="223" w:lineRule="auto"/>
              <w:ind w:left="114"/>
            </w:pPr>
            <w:r>
              <w:rPr>
                <w:spacing w:val="-2"/>
              </w:rPr>
              <w:t>昼间</w:t>
            </w:r>
          </w:p>
        </w:tc>
        <w:tc>
          <w:tcPr>
            <w:tcW w:w="1082" w:type="dxa"/>
            <w:vAlign w:val="top"/>
          </w:tcPr>
          <w:p>
            <w:pPr>
              <w:pStyle w:val="6"/>
              <w:spacing w:before="116" w:line="221" w:lineRule="auto"/>
              <w:ind w:left="125"/>
            </w:pPr>
            <w:r>
              <w:rPr>
                <w:spacing w:val="-2"/>
              </w:rPr>
              <w:t>环境噪声</w:t>
            </w:r>
          </w:p>
        </w:tc>
        <w:tc>
          <w:tcPr>
            <w:tcW w:w="749" w:type="dxa"/>
            <w:vAlign w:val="top"/>
          </w:tcPr>
          <w:p>
            <w:pPr>
              <w:spacing w:before="155"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722" w:type="dxa"/>
            <w:vAlign w:val="top"/>
          </w:tcPr>
          <w:p>
            <w:pPr>
              <w:spacing w:before="155"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42.2</w:t>
            </w:r>
          </w:p>
        </w:tc>
        <w:tc>
          <w:tcPr>
            <w:tcW w:w="849" w:type="dxa"/>
            <w:vAlign w:val="top"/>
          </w:tcPr>
          <w:p>
            <w:pPr>
              <w:spacing w:before="15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16"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15" w:line="221" w:lineRule="auto"/>
              <w:ind w:left="118"/>
            </w:pPr>
            <w:r>
              <w:rPr>
                <w:spacing w:val="-3"/>
              </w:rPr>
              <w:t>夜间</w:t>
            </w:r>
          </w:p>
        </w:tc>
        <w:tc>
          <w:tcPr>
            <w:tcW w:w="1082" w:type="dxa"/>
            <w:vAlign w:val="top"/>
          </w:tcPr>
          <w:p>
            <w:pPr>
              <w:pStyle w:val="6"/>
              <w:spacing w:before="116" w:line="221" w:lineRule="auto"/>
              <w:ind w:left="125"/>
            </w:pPr>
            <w:r>
              <w:rPr>
                <w:spacing w:val="-2"/>
              </w:rPr>
              <w:t>环境噪声</w:t>
            </w:r>
          </w:p>
        </w:tc>
        <w:tc>
          <w:tcPr>
            <w:tcW w:w="749" w:type="dxa"/>
            <w:vAlign w:val="top"/>
          </w:tcPr>
          <w:p>
            <w:pPr>
              <w:spacing w:before="154"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w:t>
            </w:r>
          </w:p>
        </w:tc>
        <w:tc>
          <w:tcPr>
            <w:tcW w:w="722" w:type="dxa"/>
            <w:vAlign w:val="top"/>
          </w:tcPr>
          <w:p>
            <w:pPr>
              <w:spacing w:before="154"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38.0</w:t>
            </w:r>
          </w:p>
        </w:tc>
        <w:tc>
          <w:tcPr>
            <w:tcW w:w="849" w:type="dxa"/>
            <w:vAlign w:val="top"/>
          </w:tcPr>
          <w:p>
            <w:pPr>
              <w:spacing w:before="15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16"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restart"/>
            <w:tcBorders>
              <w:bottom w:val="nil"/>
            </w:tcBorders>
            <w:vAlign w:val="top"/>
          </w:tcPr>
          <w:p>
            <w:pPr>
              <w:spacing w:line="323" w:lineRule="auto"/>
              <w:rPr>
                <w:rFonts w:ascii="Arial"/>
                <w:sz w:val="21"/>
              </w:rPr>
            </w:pPr>
          </w:p>
          <w:p>
            <w:pPr>
              <w:spacing w:before="6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17" w:line="223" w:lineRule="auto"/>
              <w:ind w:left="114"/>
            </w:pPr>
            <w:r>
              <w:rPr>
                <w:spacing w:val="-2"/>
              </w:rPr>
              <w:t>昼间</w:t>
            </w:r>
          </w:p>
        </w:tc>
        <w:tc>
          <w:tcPr>
            <w:tcW w:w="1082" w:type="dxa"/>
            <w:vAlign w:val="top"/>
          </w:tcPr>
          <w:p>
            <w:pPr>
              <w:pStyle w:val="6"/>
              <w:spacing w:before="117" w:line="221" w:lineRule="auto"/>
              <w:ind w:left="125"/>
            </w:pPr>
            <w:r>
              <w:rPr>
                <w:spacing w:val="-2"/>
              </w:rPr>
              <w:t>环境噪声</w:t>
            </w:r>
          </w:p>
        </w:tc>
        <w:tc>
          <w:tcPr>
            <w:tcW w:w="749" w:type="dxa"/>
            <w:vAlign w:val="top"/>
          </w:tcPr>
          <w:p>
            <w:pPr>
              <w:spacing w:before="157"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54.9</w:t>
            </w:r>
          </w:p>
        </w:tc>
        <w:tc>
          <w:tcPr>
            <w:tcW w:w="722" w:type="dxa"/>
            <w:vAlign w:val="top"/>
          </w:tcPr>
          <w:p>
            <w:pPr>
              <w:spacing w:before="157"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44.2</w:t>
            </w:r>
          </w:p>
        </w:tc>
        <w:tc>
          <w:tcPr>
            <w:tcW w:w="849" w:type="dxa"/>
            <w:vAlign w:val="top"/>
          </w:tcPr>
          <w:p>
            <w:pPr>
              <w:spacing w:before="15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16"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Align w:val="top"/>
          </w:tcPr>
          <w:p>
            <w:pPr>
              <w:pStyle w:val="6"/>
              <w:spacing w:before="123" w:line="221" w:lineRule="auto"/>
              <w:ind w:left="118"/>
            </w:pPr>
            <w:r>
              <w:rPr>
                <w:spacing w:val="-3"/>
              </w:rPr>
              <w:t>夜间</w:t>
            </w:r>
          </w:p>
        </w:tc>
        <w:tc>
          <w:tcPr>
            <w:tcW w:w="1082" w:type="dxa"/>
            <w:vAlign w:val="top"/>
          </w:tcPr>
          <w:p>
            <w:pPr>
              <w:pStyle w:val="6"/>
              <w:spacing w:before="124" w:line="221" w:lineRule="auto"/>
              <w:ind w:left="125"/>
            </w:pPr>
            <w:r>
              <w:rPr>
                <w:spacing w:val="-2"/>
              </w:rPr>
              <w:t>环境噪声</w:t>
            </w:r>
          </w:p>
        </w:tc>
        <w:tc>
          <w:tcPr>
            <w:tcW w:w="749" w:type="dxa"/>
            <w:vAlign w:val="top"/>
          </w:tcPr>
          <w:p>
            <w:pPr>
              <w:spacing w:before="162"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w:t>
            </w:r>
          </w:p>
        </w:tc>
        <w:tc>
          <w:tcPr>
            <w:tcW w:w="722" w:type="dxa"/>
            <w:vAlign w:val="top"/>
          </w:tcPr>
          <w:p>
            <w:pPr>
              <w:spacing w:before="162"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849" w:type="dxa"/>
            <w:vAlign w:val="top"/>
          </w:tcPr>
          <w:p>
            <w:pPr>
              <w:spacing w:before="162"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23"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531" w:type="dxa"/>
            <w:vMerge w:val="restart"/>
            <w:tcBorders>
              <w:bottom w:val="nil"/>
            </w:tcBorders>
            <w:vAlign w:val="top"/>
          </w:tcPr>
          <w:p>
            <w:pPr>
              <w:spacing w:line="328" w:lineRule="auto"/>
              <w:rPr>
                <w:rFonts w:ascii="Arial"/>
                <w:sz w:val="21"/>
              </w:rPr>
            </w:pPr>
          </w:p>
          <w:p>
            <w:pPr>
              <w:spacing w:before="61" w:line="187" w:lineRule="auto"/>
              <w:ind w:left="21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727" w:type="dxa"/>
            <w:vMerge w:val="restart"/>
            <w:tcBorders>
              <w:bottom w:val="nil"/>
            </w:tcBorders>
            <w:vAlign w:val="top"/>
          </w:tcPr>
          <w:p>
            <w:pPr>
              <w:pStyle w:val="6"/>
              <w:spacing w:before="216"/>
              <w:ind w:left="155"/>
            </w:pPr>
            <w:r>
              <w:rPr>
                <w:spacing w:val="-2"/>
              </w:rPr>
              <w:t>漈头</w:t>
            </w:r>
          </w:p>
          <w:p>
            <w:pPr>
              <w:pStyle w:val="6"/>
              <w:spacing w:line="222" w:lineRule="auto"/>
              <w:ind w:left="260"/>
            </w:pPr>
            <w:r>
              <w:t>面</w:t>
            </w:r>
          </w:p>
        </w:tc>
        <w:tc>
          <w:tcPr>
            <w:tcW w:w="854" w:type="dxa"/>
            <w:vMerge w:val="restart"/>
            <w:tcBorders>
              <w:bottom w:val="nil"/>
            </w:tcBorders>
            <w:vAlign w:val="top"/>
          </w:tcPr>
          <w:p>
            <w:pPr>
              <w:spacing w:line="282" w:lineRule="auto"/>
              <w:rPr>
                <w:rFonts w:ascii="Arial"/>
                <w:sz w:val="21"/>
              </w:rPr>
            </w:pPr>
          </w:p>
          <w:p>
            <w:pPr>
              <w:pStyle w:val="6"/>
              <w:spacing w:before="68" w:line="221" w:lineRule="auto"/>
              <w:ind w:left="24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2" w:type="dxa"/>
            <w:vMerge w:val="restart"/>
            <w:tcBorders>
              <w:bottom w:val="nil"/>
            </w:tcBorders>
            <w:vAlign w:val="top"/>
          </w:tcPr>
          <w:p>
            <w:pPr>
              <w:spacing w:line="328"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Merge w:val="restart"/>
            <w:tcBorders>
              <w:bottom w:val="nil"/>
            </w:tcBorders>
            <w:vAlign w:val="top"/>
          </w:tcPr>
          <w:p>
            <w:pPr>
              <w:spacing w:line="282" w:lineRule="auto"/>
              <w:rPr>
                <w:rFonts w:ascii="Arial"/>
                <w:sz w:val="21"/>
              </w:rPr>
            </w:pPr>
          </w:p>
          <w:p>
            <w:pPr>
              <w:pStyle w:val="6"/>
              <w:spacing w:before="68" w:line="221" w:lineRule="auto"/>
              <w:ind w:left="136"/>
            </w:pPr>
            <w:r>
              <w:rPr>
                <w:rFonts w:ascii="Times New Roman" w:hAnsi="Times New Roman" w:eastAsia="Times New Roman" w:cs="Times New Roman"/>
                <w:spacing w:val="-3"/>
              </w:rPr>
              <w:t xml:space="preserve">2024 </w:t>
            </w:r>
            <w:r>
              <w:rPr>
                <w:spacing w:val="-3"/>
              </w:rPr>
              <w:t>年</w:t>
            </w:r>
            <w:r>
              <w:rPr>
                <w:spacing w:val="-4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1"/>
              </w:rPr>
              <w:t xml:space="preserve"> </w:t>
            </w:r>
            <w:r>
              <w:rPr>
                <w:spacing w:val="-3"/>
              </w:rPr>
              <w:t>月</w:t>
            </w:r>
            <w:r>
              <w:rPr>
                <w:spacing w:val="-47"/>
              </w:rPr>
              <w:t xml:space="preserve"> </w:t>
            </w:r>
            <w:r>
              <w:rPr>
                <w:rFonts w:ascii="Times New Roman" w:hAnsi="Times New Roman" w:eastAsia="Times New Roman" w:cs="Times New Roman"/>
                <w:spacing w:val="-3"/>
              </w:rPr>
              <w:t xml:space="preserve">20  </w:t>
            </w:r>
            <w:r>
              <w:rPr>
                <w:spacing w:val="-3"/>
              </w:rPr>
              <w:t>日</w:t>
            </w:r>
          </w:p>
        </w:tc>
        <w:tc>
          <w:tcPr>
            <w:tcW w:w="643" w:type="dxa"/>
            <w:vAlign w:val="top"/>
          </w:tcPr>
          <w:p>
            <w:pPr>
              <w:pStyle w:val="6"/>
              <w:spacing w:before="122" w:line="223" w:lineRule="auto"/>
              <w:ind w:left="114"/>
            </w:pPr>
            <w:r>
              <w:rPr>
                <w:spacing w:val="-2"/>
              </w:rPr>
              <w:t>昼间</w:t>
            </w:r>
          </w:p>
        </w:tc>
        <w:tc>
          <w:tcPr>
            <w:tcW w:w="1082" w:type="dxa"/>
            <w:vAlign w:val="top"/>
          </w:tcPr>
          <w:p>
            <w:pPr>
              <w:pStyle w:val="6"/>
              <w:spacing w:before="122" w:line="221" w:lineRule="auto"/>
              <w:ind w:left="125"/>
            </w:pPr>
            <w:r>
              <w:rPr>
                <w:spacing w:val="-2"/>
              </w:rPr>
              <w:t>环境噪声</w:t>
            </w:r>
          </w:p>
        </w:tc>
        <w:tc>
          <w:tcPr>
            <w:tcW w:w="749" w:type="dxa"/>
            <w:vAlign w:val="top"/>
          </w:tcPr>
          <w:p>
            <w:pPr>
              <w:spacing w:before="163"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722" w:type="dxa"/>
            <w:vAlign w:val="top"/>
          </w:tcPr>
          <w:p>
            <w:pPr>
              <w:spacing w:before="163"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36.8</w:t>
            </w:r>
          </w:p>
        </w:tc>
        <w:tc>
          <w:tcPr>
            <w:tcW w:w="849" w:type="dxa"/>
            <w:vAlign w:val="top"/>
          </w:tcPr>
          <w:p>
            <w:pPr>
              <w:spacing w:before="160"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22"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Align w:val="top"/>
          </w:tcPr>
          <w:p>
            <w:pPr>
              <w:pStyle w:val="6"/>
              <w:spacing w:before="122" w:line="221" w:lineRule="auto"/>
              <w:ind w:left="118"/>
            </w:pPr>
            <w:r>
              <w:rPr>
                <w:spacing w:val="-3"/>
              </w:rPr>
              <w:t>夜间</w:t>
            </w:r>
          </w:p>
        </w:tc>
        <w:tc>
          <w:tcPr>
            <w:tcW w:w="1082" w:type="dxa"/>
            <w:vAlign w:val="top"/>
          </w:tcPr>
          <w:p>
            <w:pPr>
              <w:pStyle w:val="6"/>
              <w:spacing w:before="123" w:line="221" w:lineRule="auto"/>
              <w:ind w:left="125"/>
            </w:pPr>
            <w:r>
              <w:rPr>
                <w:spacing w:val="-2"/>
              </w:rPr>
              <w:t>环境噪声</w:t>
            </w:r>
          </w:p>
        </w:tc>
        <w:tc>
          <w:tcPr>
            <w:tcW w:w="749" w:type="dxa"/>
            <w:vAlign w:val="top"/>
          </w:tcPr>
          <w:p>
            <w:pPr>
              <w:spacing w:before="161"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31.6</w:t>
            </w:r>
          </w:p>
        </w:tc>
        <w:tc>
          <w:tcPr>
            <w:tcW w:w="722" w:type="dxa"/>
            <w:vAlign w:val="top"/>
          </w:tcPr>
          <w:p>
            <w:pPr>
              <w:spacing w:before="1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28.8</w:t>
            </w:r>
          </w:p>
        </w:tc>
        <w:tc>
          <w:tcPr>
            <w:tcW w:w="849" w:type="dxa"/>
            <w:vAlign w:val="top"/>
          </w:tcPr>
          <w:p>
            <w:pPr>
              <w:spacing w:before="161"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23"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bl>
    <w:p>
      <w:pPr>
        <w:pStyle w:val="2"/>
      </w:pPr>
    </w:p>
    <w:p>
      <w:pPr>
        <w:sectPr>
          <w:headerReference r:id="rId197" w:type="default"/>
          <w:footerReference r:id="rId198" w:type="default"/>
          <w:pgSz w:w="16839" w:h="11907"/>
          <w:pgMar w:top="1260" w:right="1372" w:bottom="1151" w:left="1375" w:header="1019" w:footer="990" w:gutter="0"/>
          <w:cols w:space="720" w:num="1"/>
        </w:sectPr>
      </w:pPr>
    </w:p>
    <w:p>
      <w:pPr>
        <w:spacing w:line="155" w:lineRule="exact"/>
      </w:pPr>
    </w:p>
    <w:tbl>
      <w:tblPr>
        <w:tblStyle w:val="5"/>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1"/>
        <w:gridCol w:w="727"/>
        <w:gridCol w:w="854"/>
        <w:gridCol w:w="552"/>
        <w:gridCol w:w="1905"/>
        <w:gridCol w:w="643"/>
        <w:gridCol w:w="1082"/>
        <w:gridCol w:w="749"/>
        <w:gridCol w:w="722"/>
        <w:gridCol w:w="849"/>
        <w:gridCol w:w="794"/>
        <w:gridCol w:w="784"/>
        <w:gridCol w:w="821"/>
        <w:gridCol w:w="984"/>
        <w:gridCol w:w="20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 w:hRule="atLeast"/>
        </w:trPr>
        <w:tc>
          <w:tcPr>
            <w:tcW w:w="531" w:type="dxa"/>
            <w:vMerge w:val="restart"/>
            <w:tcBorders>
              <w:bottom w:val="nil"/>
            </w:tcBorders>
            <w:textDirection w:val="tbRlV"/>
            <w:vAlign w:val="top"/>
          </w:tcPr>
          <w:p>
            <w:pPr>
              <w:pStyle w:val="6"/>
              <w:spacing w:before="158" w:line="211" w:lineRule="auto"/>
              <w:ind w:left="41"/>
            </w:pPr>
            <w:r>
              <w:rPr>
                <w:spacing w:val="31"/>
              </w:rPr>
              <w:t>序号</w:t>
            </w:r>
          </w:p>
        </w:tc>
        <w:tc>
          <w:tcPr>
            <w:tcW w:w="1581" w:type="dxa"/>
            <w:gridSpan w:val="2"/>
            <w:vMerge w:val="restart"/>
            <w:tcBorders>
              <w:bottom w:val="nil"/>
            </w:tcBorders>
            <w:vAlign w:val="top"/>
          </w:tcPr>
          <w:p>
            <w:pPr>
              <w:pStyle w:val="6"/>
              <w:spacing w:before="175" w:line="221" w:lineRule="auto"/>
              <w:ind w:left="648"/>
            </w:pPr>
            <w:r>
              <w:rPr>
                <w:spacing w:val="-2"/>
              </w:rPr>
              <w:t>检测点位</w:t>
            </w:r>
          </w:p>
          <w:p>
            <w:pPr>
              <w:spacing w:before="134" w:line="10" w:lineRule="exact"/>
              <w:ind w:left="717"/>
            </w:pPr>
            <w:r>
              <w:drawing>
                <wp:inline distT="0" distB="0" distL="0" distR="0">
                  <wp:extent cx="5715" cy="571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460"/>
                          <a:stretch>
                            <a:fillRect/>
                          </a:stretch>
                        </pic:blipFill>
                        <pic:spPr>
                          <a:xfrm>
                            <a:off x="0" y="0"/>
                            <a:ext cx="6096" cy="6096"/>
                          </a:xfrm>
                          <a:prstGeom prst="rect">
                            <a:avLst/>
                          </a:prstGeom>
                        </pic:spPr>
                      </pic:pic>
                    </a:graphicData>
                  </a:graphic>
                </wp:inline>
              </w:drawing>
            </w:r>
          </w:p>
          <w:p>
            <w:pPr>
              <w:spacing w:line="448" w:lineRule="exact"/>
              <w:ind w:left="717"/>
            </w:pPr>
            <w:r>
              <w:rPr>
                <w:position w:val="-9"/>
              </w:rPr>
              <w:drawing>
                <wp:inline distT="0" distB="0" distL="0" distR="0">
                  <wp:extent cx="5715" cy="28448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461"/>
                          <a:stretch>
                            <a:fillRect/>
                          </a:stretch>
                        </pic:blipFill>
                        <pic:spPr>
                          <a:xfrm>
                            <a:off x="0" y="0"/>
                            <a:ext cx="6096" cy="284988"/>
                          </a:xfrm>
                          <a:prstGeom prst="rect">
                            <a:avLst/>
                          </a:prstGeom>
                        </pic:spPr>
                      </pic:pic>
                    </a:graphicData>
                  </a:graphic>
                </wp:inline>
              </w:drawing>
            </w:r>
          </w:p>
          <w:p>
            <w:pPr>
              <w:spacing w:line="9" w:lineRule="exact"/>
              <w:ind w:left="717"/>
            </w:pPr>
            <w:r>
              <w:drawing>
                <wp:inline distT="0" distB="0" distL="0" distR="0">
                  <wp:extent cx="5715" cy="571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462"/>
                          <a:stretch>
                            <a:fillRect/>
                          </a:stretch>
                        </pic:blipFill>
                        <pic:spPr>
                          <a:xfrm>
                            <a:off x="0" y="0"/>
                            <a:ext cx="6096" cy="6096"/>
                          </a:xfrm>
                          <a:prstGeom prst="rect">
                            <a:avLst/>
                          </a:prstGeom>
                        </pic:spPr>
                      </pic:pic>
                    </a:graphicData>
                  </a:graphic>
                </wp:inline>
              </w:drawing>
            </w:r>
          </w:p>
          <w:p>
            <w:pPr>
              <w:spacing w:line="444" w:lineRule="exact"/>
              <w:ind w:left="717"/>
            </w:pPr>
            <w:r>
              <w:rPr>
                <w:position w:val="-9"/>
              </w:rPr>
              <w:drawing>
                <wp:inline distT="0" distB="0" distL="0" distR="0">
                  <wp:extent cx="5715" cy="28194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463"/>
                          <a:stretch>
                            <a:fillRect/>
                          </a:stretch>
                        </pic:blipFill>
                        <pic:spPr>
                          <a:xfrm>
                            <a:off x="0" y="0"/>
                            <a:ext cx="6096" cy="282320"/>
                          </a:xfrm>
                          <a:prstGeom prst="rect">
                            <a:avLst/>
                          </a:prstGeom>
                        </pic:spPr>
                      </pic:pic>
                    </a:graphicData>
                  </a:graphic>
                </wp:inline>
              </w:drawing>
            </w:r>
          </w:p>
        </w:tc>
        <w:tc>
          <w:tcPr>
            <w:tcW w:w="552" w:type="dxa"/>
            <w:vMerge w:val="restart"/>
            <w:tcBorders>
              <w:left w:val="nil"/>
              <w:bottom w:val="nil"/>
            </w:tcBorders>
            <w:vAlign w:val="top"/>
          </w:tcPr>
          <w:p>
            <w:pPr>
              <w:rPr>
                <w:rFonts w:ascii="Arial"/>
                <w:sz w:val="21"/>
              </w:rPr>
            </w:pPr>
          </w:p>
        </w:tc>
        <w:tc>
          <w:tcPr>
            <w:tcW w:w="1905" w:type="dxa"/>
            <w:vMerge w:val="restart"/>
            <w:tcBorders>
              <w:bottom w:val="nil"/>
            </w:tcBorders>
            <w:vAlign w:val="top"/>
          </w:tcPr>
          <w:p>
            <w:pPr>
              <w:pStyle w:val="6"/>
              <w:spacing w:before="175" w:line="221" w:lineRule="auto"/>
              <w:ind w:left="858"/>
            </w:pPr>
            <w:r>
              <w:rPr>
                <w:spacing w:val="-2"/>
              </w:rPr>
              <w:t>检测时间</w:t>
            </w:r>
          </w:p>
        </w:tc>
        <w:tc>
          <w:tcPr>
            <w:tcW w:w="643" w:type="dxa"/>
            <w:vMerge w:val="restart"/>
            <w:tcBorders>
              <w:left w:val="nil"/>
              <w:bottom w:val="nil"/>
            </w:tcBorders>
            <w:vAlign w:val="top"/>
          </w:tcPr>
          <w:p>
            <w:pPr>
              <w:rPr>
                <w:rFonts w:ascii="Arial"/>
                <w:sz w:val="21"/>
              </w:rPr>
            </w:pPr>
          </w:p>
        </w:tc>
        <w:tc>
          <w:tcPr>
            <w:tcW w:w="1082" w:type="dxa"/>
            <w:vMerge w:val="restart"/>
            <w:tcBorders>
              <w:bottom w:val="nil"/>
            </w:tcBorders>
            <w:vAlign w:val="top"/>
          </w:tcPr>
          <w:p>
            <w:pPr>
              <w:pStyle w:val="6"/>
              <w:spacing w:before="176" w:line="221" w:lineRule="auto"/>
              <w:ind w:left="126"/>
            </w:pPr>
            <w:r>
              <w:rPr>
                <w:spacing w:val="-2"/>
              </w:rPr>
              <w:t>主要声源</w:t>
            </w:r>
          </w:p>
        </w:tc>
        <w:tc>
          <w:tcPr>
            <w:tcW w:w="1471" w:type="dxa"/>
            <w:gridSpan w:val="2"/>
            <w:vAlign w:val="top"/>
          </w:tcPr>
          <w:p>
            <w:pPr>
              <w:pStyle w:val="6"/>
              <w:spacing w:before="36" w:line="208" w:lineRule="auto"/>
              <w:ind w:left="319"/>
            </w:pPr>
            <w:r>
              <w:rPr>
                <w:spacing w:val="-2"/>
              </w:rPr>
              <w:t>检测结果</w:t>
            </w:r>
          </w:p>
        </w:tc>
        <w:tc>
          <w:tcPr>
            <w:tcW w:w="849" w:type="dxa"/>
            <w:vMerge w:val="restart"/>
            <w:tcBorders>
              <w:bottom w:val="nil"/>
            </w:tcBorders>
            <w:vAlign w:val="top"/>
          </w:tcPr>
          <w:p>
            <w:pPr>
              <w:pStyle w:val="6"/>
              <w:spacing w:before="175" w:line="221" w:lineRule="auto"/>
              <w:ind w:left="114"/>
            </w:pPr>
            <w:r>
              <w:rPr>
                <w:spacing w:val="-2"/>
              </w:rPr>
              <w:t>标准值</w:t>
            </w:r>
          </w:p>
        </w:tc>
        <w:tc>
          <w:tcPr>
            <w:tcW w:w="794" w:type="dxa"/>
            <w:vMerge w:val="restart"/>
            <w:tcBorders>
              <w:bottom w:val="nil"/>
            </w:tcBorders>
            <w:vAlign w:val="top"/>
          </w:tcPr>
          <w:p>
            <w:pPr>
              <w:pStyle w:val="6"/>
              <w:spacing w:before="42" w:line="238" w:lineRule="auto"/>
              <w:ind w:left="194"/>
            </w:pPr>
            <w:r>
              <w:rPr>
                <w:spacing w:val="-3"/>
              </w:rPr>
              <w:t>是否</w:t>
            </w:r>
          </w:p>
          <w:p>
            <w:pPr>
              <w:pStyle w:val="6"/>
              <w:spacing w:line="213" w:lineRule="auto"/>
              <w:ind w:left="190"/>
            </w:pPr>
            <w:r>
              <w:rPr>
                <w:spacing w:val="-2"/>
              </w:rPr>
              <w:t>达标</w:t>
            </w:r>
          </w:p>
        </w:tc>
        <w:tc>
          <w:tcPr>
            <w:tcW w:w="2589" w:type="dxa"/>
            <w:gridSpan w:val="3"/>
            <w:vAlign w:val="top"/>
          </w:tcPr>
          <w:p>
            <w:pPr>
              <w:pStyle w:val="6"/>
              <w:spacing w:before="36" w:line="208" w:lineRule="auto"/>
              <w:ind w:left="164"/>
            </w:pPr>
            <w:r>
              <w:rPr>
                <w:spacing w:val="-1"/>
              </w:rPr>
              <w:t>车流量情况（辆</w:t>
            </w:r>
            <w:r>
              <w:rPr>
                <w:rFonts w:ascii="Times New Roman" w:hAnsi="Times New Roman" w:eastAsia="Times New Roman" w:cs="Times New Roman"/>
                <w:spacing w:val="-1"/>
              </w:rPr>
              <w:t>/20min</w:t>
            </w:r>
            <w:r>
              <w:rPr>
                <w:spacing w:val="-1"/>
              </w:rPr>
              <w:t>）</w:t>
            </w:r>
          </w:p>
        </w:tc>
        <w:tc>
          <w:tcPr>
            <w:tcW w:w="2088" w:type="dxa"/>
            <w:vMerge w:val="restart"/>
            <w:tcBorders>
              <w:bottom w:val="nil"/>
            </w:tcBorders>
            <w:vAlign w:val="top"/>
          </w:tcPr>
          <w:p>
            <w:pPr>
              <w:pStyle w:val="6"/>
              <w:spacing w:before="175" w:line="222" w:lineRule="auto"/>
              <w:ind w:left="841"/>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31" w:type="dxa"/>
            <w:vMerge w:val="continue"/>
            <w:tcBorders>
              <w:top w:val="nil"/>
              <w:bottom w:val="nil"/>
            </w:tcBorders>
            <w:textDirection w:val="tbRlV"/>
            <w:vAlign w:val="top"/>
          </w:tcPr>
          <w:p>
            <w:pPr>
              <w:rPr>
                <w:rFonts w:ascii="Arial"/>
                <w:sz w:val="21"/>
              </w:rPr>
            </w:pPr>
          </w:p>
        </w:tc>
        <w:tc>
          <w:tcPr>
            <w:tcW w:w="1581" w:type="dxa"/>
            <w:gridSpan w:val="2"/>
            <w:vMerge w:val="continue"/>
            <w:tcBorders>
              <w:top w:val="nil"/>
              <w:bottom w:val="nil"/>
            </w:tcBorders>
            <w:vAlign w:val="top"/>
          </w:tcPr>
          <w:p>
            <w:pPr>
              <w:rPr>
                <w:rFonts w:ascii="Arial"/>
                <w:sz w:val="21"/>
              </w:rPr>
            </w:pPr>
          </w:p>
        </w:tc>
        <w:tc>
          <w:tcPr>
            <w:tcW w:w="552" w:type="dxa"/>
            <w:vMerge w:val="continue"/>
            <w:tcBorders>
              <w:top w:val="nil"/>
              <w:left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Merge w:val="continue"/>
            <w:tcBorders>
              <w:top w:val="nil"/>
              <w:left w:val="nil"/>
            </w:tcBorders>
            <w:vAlign w:val="top"/>
          </w:tcPr>
          <w:p>
            <w:pPr>
              <w:rPr>
                <w:rFonts w:ascii="Arial"/>
                <w:sz w:val="21"/>
              </w:rPr>
            </w:pPr>
          </w:p>
        </w:tc>
        <w:tc>
          <w:tcPr>
            <w:tcW w:w="1082" w:type="dxa"/>
            <w:vMerge w:val="continue"/>
            <w:tcBorders>
              <w:top w:val="nil"/>
            </w:tcBorders>
            <w:vAlign w:val="top"/>
          </w:tcPr>
          <w:p>
            <w:pPr>
              <w:rPr>
                <w:rFonts w:ascii="Arial"/>
                <w:sz w:val="21"/>
              </w:rPr>
            </w:pPr>
          </w:p>
        </w:tc>
        <w:tc>
          <w:tcPr>
            <w:tcW w:w="749" w:type="dxa"/>
            <w:vAlign w:val="top"/>
          </w:tcPr>
          <w:p>
            <w:pPr>
              <w:spacing w:before="64" w:line="191"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Leq</w:t>
            </w:r>
          </w:p>
        </w:tc>
        <w:tc>
          <w:tcPr>
            <w:tcW w:w="722" w:type="dxa"/>
            <w:vAlign w:val="top"/>
          </w:tcPr>
          <w:p>
            <w:pPr>
              <w:spacing w:before="70" w:line="196" w:lineRule="auto"/>
              <w:ind w:left="227"/>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L</w:t>
            </w:r>
            <w:r>
              <w:rPr>
                <w:rFonts w:ascii="Times New Roman" w:hAnsi="Times New Roman" w:eastAsia="Times New Roman" w:cs="Times New Roman"/>
                <w:spacing w:val="2"/>
                <w:sz w:val="13"/>
                <w:szCs w:val="13"/>
              </w:rPr>
              <w:t>90</w:t>
            </w:r>
          </w:p>
        </w:tc>
        <w:tc>
          <w:tcPr>
            <w:tcW w:w="849" w:type="dxa"/>
            <w:vMerge w:val="continue"/>
            <w:tcBorders>
              <w:top w:val="nil"/>
            </w:tcBorders>
            <w:vAlign w:val="top"/>
          </w:tcPr>
          <w:p>
            <w:pPr>
              <w:rPr>
                <w:rFonts w:ascii="Arial"/>
                <w:sz w:val="21"/>
              </w:rPr>
            </w:pPr>
          </w:p>
        </w:tc>
        <w:tc>
          <w:tcPr>
            <w:tcW w:w="794" w:type="dxa"/>
            <w:vMerge w:val="continue"/>
            <w:tcBorders>
              <w:top w:val="nil"/>
            </w:tcBorders>
            <w:vAlign w:val="top"/>
          </w:tcPr>
          <w:p>
            <w:pPr>
              <w:rPr>
                <w:rFonts w:ascii="Arial"/>
                <w:sz w:val="21"/>
              </w:rPr>
            </w:pPr>
          </w:p>
        </w:tc>
        <w:tc>
          <w:tcPr>
            <w:tcW w:w="784" w:type="dxa"/>
            <w:vAlign w:val="top"/>
          </w:tcPr>
          <w:p>
            <w:pPr>
              <w:pStyle w:val="6"/>
              <w:spacing w:before="29" w:line="210" w:lineRule="auto"/>
              <w:ind w:left="191"/>
            </w:pPr>
            <w:r>
              <w:rPr>
                <w:spacing w:val="-3"/>
              </w:rPr>
              <w:t>大车</w:t>
            </w:r>
          </w:p>
        </w:tc>
        <w:tc>
          <w:tcPr>
            <w:tcW w:w="821" w:type="dxa"/>
            <w:vAlign w:val="top"/>
          </w:tcPr>
          <w:p>
            <w:pPr>
              <w:pStyle w:val="6"/>
              <w:spacing w:before="29" w:line="210" w:lineRule="auto"/>
              <w:ind w:left="227"/>
            </w:pPr>
            <w:r>
              <w:rPr>
                <w:spacing w:val="-7"/>
              </w:rPr>
              <w:t>中车</w:t>
            </w:r>
          </w:p>
        </w:tc>
        <w:tc>
          <w:tcPr>
            <w:tcW w:w="984" w:type="dxa"/>
            <w:vAlign w:val="top"/>
          </w:tcPr>
          <w:p>
            <w:pPr>
              <w:pStyle w:val="6"/>
              <w:spacing w:before="29" w:line="210" w:lineRule="auto"/>
              <w:ind w:left="294"/>
            </w:pPr>
            <w:r>
              <w:rPr>
                <w:spacing w:val="-3"/>
              </w:rPr>
              <w:t>小车</w:t>
            </w:r>
          </w:p>
        </w:tc>
        <w:tc>
          <w:tcPr>
            <w:tcW w:w="208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1" w:type="dxa"/>
            <w:vMerge w:val="continue"/>
            <w:tcBorders>
              <w:top w:val="nil"/>
              <w:bottom w:val="nil"/>
            </w:tcBorders>
            <w:textDirection w:val="tbRlV"/>
            <w:vAlign w:val="top"/>
          </w:tcPr>
          <w:p>
            <w:pPr>
              <w:rPr>
                <w:rFonts w:ascii="Arial"/>
                <w:sz w:val="21"/>
              </w:rPr>
            </w:pPr>
          </w:p>
        </w:tc>
        <w:tc>
          <w:tcPr>
            <w:tcW w:w="1581" w:type="dxa"/>
            <w:gridSpan w:val="2"/>
            <w:vMerge w:val="continue"/>
            <w:tcBorders>
              <w:top w:val="nil"/>
              <w:bottom w:val="nil"/>
            </w:tcBorders>
            <w:vAlign w:val="top"/>
          </w:tcPr>
          <w:p>
            <w:pPr>
              <w:rPr>
                <w:rFonts w:ascii="Arial"/>
                <w:sz w:val="21"/>
              </w:rPr>
            </w:pPr>
          </w:p>
        </w:tc>
        <w:tc>
          <w:tcPr>
            <w:tcW w:w="552" w:type="dxa"/>
            <w:vMerge w:val="restart"/>
            <w:tcBorders>
              <w:bottom w:val="nil"/>
            </w:tcBorders>
            <w:vAlign w:val="top"/>
          </w:tcPr>
          <w:p>
            <w:pPr>
              <w:spacing w:line="325" w:lineRule="auto"/>
              <w:rPr>
                <w:rFonts w:ascii="Arial"/>
                <w:sz w:val="21"/>
              </w:rPr>
            </w:pPr>
          </w:p>
          <w:p>
            <w:pPr>
              <w:spacing w:before="6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19" w:line="223" w:lineRule="auto"/>
              <w:ind w:left="114"/>
            </w:pPr>
            <w:r>
              <w:rPr>
                <w:spacing w:val="-2"/>
              </w:rPr>
              <w:t>昼间</w:t>
            </w:r>
          </w:p>
        </w:tc>
        <w:tc>
          <w:tcPr>
            <w:tcW w:w="1082" w:type="dxa"/>
            <w:vAlign w:val="top"/>
          </w:tcPr>
          <w:p>
            <w:pPr>
              <w:pStyle w:val="6"/>
              <w:spacing w:before="118" w:line="221" w:lineRule="auto"/>
              <w:ind w:left="125"/>
            </w:pPr>
            <w:r>
              <w:rPr>
                <w:spacing w:val="-2"/>
              </w:rPr>
              <w:t>环境噪声</w:t>
            </w:r>
          </w:p>
        </w:tc>
        <w:tc>
          <w:tcPr>
            <w:tcW w:w="749" w:type="dxa"/>
            <w:vAlign w:val="top"/>
          </w:tcPr>
          <w:p>
            <w:pPr>
              <w:spacing w:before="157"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722" w:type="dxa"/>
            <w:vAlign w:val="top"/>
          </w:tcPr>
          <w:p>
            <w:pPr>
              <w:spacing w:before="157"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38.0</w:t>
            </w:r>
          </w:p>
        </w:tc>
        <w:tc>
          <w:tcPr>
            <w:tcW w:w="849" w:type="dxa"/>
            <w:vAlign w:val="top"/>
          </w:tcPr>
          <w:p>
            <w:pPr>
              <w:spacing w:before="157"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18"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531" w:type="dxa"/>
            <w:vMerge w:val="continue"/>
            <w:tcBorders>
              <w:top w:val="nil"/>
            </w:tcBorders>
            <w:textDirection w:val="tbRlV"/>
            <w:vAlign w:val="top"/>
          </w:tcPr>
          <w:p>
            <w:pPr>
              <w:rPr>
                <w:rFonts w:ascii="Arial"/>
                <w:sz w:val="21"/>
              </w:rPr>
            </w:pPr>
          </w:p>
        </w:tc>
        <w:tc>
          <w:tcPr>
            <w:tcW w:w="1581" w:type="dxa"/>
            <w:gridSpan w:val="2"/>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Align w:val="top"/>
          </w:tcPr>
          <w:p>
            <w:pPr>
              <w:pStyle w:val="6"/>
              <w:spacing w:before="120" w:line="221" w:lineRule="auto"/>
              <w:ind w:left="118"/>
            </w:pPr>
            <w:r>
              <w:rPr>
                <w:spacing w:val="-3"/>
              </w:rPr>
              <w:t>夜间</w:t>
            </w:r>
          </w:p>
        </w:tc>
        <w:tc>
          <w:tcPr>
            <w:tcW w:w="1082" w:type="dxa"/>
            <w:vAlign w:val="top"/>
          </w:tcPr>
          <w:p>
            <w:pPr>
              <w:pStyle w:val="6"/>
              <w:spacing w:before="121" w:line="221" w:lineRule="auto"/>
              <w:ind w:left="125"/>
            </w:pPr>
            <w:r>
              <w:rPr>
                <w:spacing w:val="-2"/>
              </w:rPr>
              <w:t>环境噪声</w:t>
            </w:r>
          </w:p>
        </w:tc>
        <w:tc>
          <w:tcPr>
            <w:tcW w:w="749" w:type="dxa"/>
            <w:vAlign w:val="top"/>
          </w:tcPr>
          <w:p>
            <w:pPr>
              <w:spacing w:before="159"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34.1</w:t>
            </w:r>
          </w:p>
        </w:tc>
        <w:tc>
          <w:tcPr>
            <w:tcW w:w="722" w:type="dxa"/>
            <w:vAlign w:val="top"/>
          </w:tcPr>
          <w:p>
            <w:pPr>
              <w:spacing w:before="159"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30.2</w:t>
            </w:r>
          </w:p>
        </w:tc>
        <w:tc>
          <w:tcPr>
            <w:tcW w:w="849" w:type="dxa"/>
            <w:vAlign w:val="top"/>
          </w:tcPr>
          <w:p>
            <w:pPr>
              <w:spacing w:before="159"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21"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31"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60" w:line="184" w:lineRule="auto"/>
              <w:ind w:left="21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727" w:type="dxa"/>
            <w:vMerge w:val="restart"/>
            <w:tcBorders>
              <w:bottom w:val="nil"/>
            </w:tcBorders>
            <w:vAlign w:val="top"/>
          </w:tcPr>
          <w:p>
            <w:pPr>
              <w:spacing w:line="290" w:lineRule="auto"/>
              <w:rPr>
                <w:rFonts w:ascii="Arial"/>
                <w:sz w:val="21"/>
              </w:rPr>
            </w:pPr>
          </w:p>
          <w:p>
            <w:pPr>
              <w:spacing w:line="291" w:lineRule="auto"/>
              <w:rPr>
                <w:rFonts w:ascii="Arial"/>
                <w:sz w:val="21"/>
              </w:rPr>
            </w:pPr>
          </w:p>
          <w:p>
            <w:pPr>
              <w:pStyle w:val="6"/>
              <w:spacing w:before="69" w:line="238" w:lineRule="auto"/>
              <w:ind w:left="158"/>
            </w:pPr>
            <w:r>
              <w:rPr>
                <w:spacing w:val="-2"/>
              </w:rPr>
              <w:t>墩头</w:t>
            </w:r>
          </w:p>
          <w:p>
            <w:pPr>
              <w:pStyle w:val="6"/>
              <w:spacing w:line="220" w:lineRule="auto"/>
              <w:ind w:left="261"/>
            </w:pPr>
            <w:r>
              <w:t>垟</w:t>
            </w:r>
          </w:p>
        </w:tc>
        <w:tc>
          <w:tcPr>
            <w:tcW w:w="854" w:type="dxa"/>
            <w:vMerge w:val="restart"/>
            <w:tcBorders>
              <w:bottom w:val="nil"/>
            </w:tcBorders>
            <w:vAlign w:val="top"/>
          </w:tcPr>
          <w:p>
            <w:pPr>
              <w:spacing w:line="358" w:lineRule="auto"/>
              <w:rPr>
                <w:rFonts w:ascii="Arial"/>
                <w:sz w:val="21"/>
              </w:rPr>
            </w:pPr>
          </w:p>
          <w:p>
            <w:pPr>
              <w:spacing w:line="358" w:lineRule="auto"/>
              <w:rPr>
                <w:rFonts w:ascii="Arial"/>
                <w:sz w:val="21"/>
              </w:rPr>
            </w:pPr>
          </w:p>
          <w:p>
            <w:pPr>
              <w:pStyle w:val="6"/>
              <w:spacing w:before="69" w:line="221" w:lineRule="auto"/>
              <w:ind w:left="24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2" w:type="dxa"/>
            <w:vMerge w:val="restart"/>
            <w:tcBorders>
              <w:bottom w:val="nil"/>
            </w:tcBorders>
            <w:vAlign w:val="top"/>
          </w:tcPr>
          <w:p>
            <w:pPr>
              <w:spacing w:line="316"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Align w:val="top"/>
          </w:tcPr>
          <w:p>
            <w:pPr>
              <w:pStyle w:val="6"/>
              <w:spacing w:before="114"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Align w:val="top"/>
          </w:tcPr>
          <w:p>
            <w:pPr>
              <w:pStyle w:val="6"/>
              <w:spacing w:before="115" w:line="223" w:lineRule="auto"/>
              <w:ind w:left="114"/>
            </w:pPr>
            <w:r>
              <w:rPr>
                <w:spacing w:val="-2"/>
              </w:rPr>
              <w:t>昼间</w:t>
            </w:r>
          </w:p>
        </w:tc>
        <w:tc>
          <w:tcPr>
            <w:tcW w:w="1082" w:type="dxa"/>
            <w:vAlign w:val="top"/>
          </w:tcPr>
          <w:p>
            <w:pPr>
              <w:pStyle w:val="6"/>
              <w:spacing w:before="115" w:line="221" w:lineRule="auto"/>
              <w:ind w:left="125"/>
            </w:pPr>
            <w:r>
              <w:rPr>
                <w:spacing w:val="-2"/>
              </w:rPr>
              <w:t>环境噪声</w:t>
            </w:r>
          </w:p>
        </w:tc>
        <w:tc>
          <w:tcPr>
            <w:tcW w:w="749" w:type="dxa"/>
            <w:vAlign w:val="top"/>
          </w:tcPr>
          <w:p>
            <w:pPr>
              <w:spacing w:before="153"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722" w:type="dxa"/>
            <w:vAlign w:val="top"/>
          </w:tcPr>
          <w:p>
            <w:pPr>
              <w:spacing w:before="153"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38.6</w:t>
            </w:r>
          </w:p>
        </w:tc>
        <w:tc>
          <w:tcPr>
            <w:tcW w:w="849" w:type="dxa"/>
            <w:vAlign w:val="top"/>
          </w:tcPr>
          <w:p>
            <w:pPr>
              <w:spacing w:before="153"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15"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Align w:val="top"/>
          </w:tcPr>
          <w:p>
            <w:pPr>
              <w:pStyle w:val="6"/>
              <w:spacing w:before="114" w:line="221" w:lineRule="auto"/>
              <w:ind w:left="189"/>
            </w:pPr>
            <w:r>
              <w:rPr>
                <w:rFonts w:ascii="Times New Roman" w:hAnsi="Times New Roman" w:eastAsia="Times New Roman" w:cs="Times New Roman"/>
                <w:spacing w:val="-4"/>
              </w:rPr>
              <w:t xml:space="preserve">2023 </w:t>
            </w:r>
            <w:r>
              <w:rPr>
                <w:spacing w:val="-4"/>
              </w:rPr>
              <w:t>年</w:t>
            </w:r>
            <w:r>
              <w:rPr>
                <w:spacing w:val="-37"/>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4"/>
              </w:rPr>
              <w:t xml:space="preserve"> </w:t>
            </w:r>
            <w:r>
              <w:rPr>
                <w:rFonts w:ascii="Times New Roman" w:hAnsi="Times New Roman" w:eastAsia="Times New Roman" w:cs="Times New Roman"/>
                <w:spacing w:val="-4"/>
              </w:rPr>
              <w:t xml:space="preserve">7  </w:t>
            </w:r>
            <w:r>
              <w:rPr>
                <w:spacing w:val="-4"/>
              </w:rPr>
              <w:t>日</w:t>
            </w:r>
          </w:p>
        </w:tc>
        <w:tc>
          <w:tcPr>
            <w:tcW w:w="643" w:type="dxa"/>
            <w:vAlign w:val="top"/>
          </w:tcPr>
          <w:p>
            <w:pPr>
              <w:pStyle w:val="6"/>
              <w:spacing w:before="114" w:line="221" w:lineRule="auto"/>
              <w:ind w:left="118"/>
            </w:pPr>
            <w:r>
              <w:rPr>
                <w:spacing w:val="-3"/>
              </w:rPr>
              <w:t>夜间</w:t>
            </w:r>
          </w:p>
        </w:tc>
        <w:tc>
          <w:tcPr>
            <w:tcW w:w="1082" w:type="dxa"/>
            <w:vAlign w:val="top"/>
          </w:tcPr>
          <w:p>
            <w:pPr>
              <w:pStyle w:val="6"/>
              <w:spacing w:before="115" w:line="221" w:lineRule="auto"/>
              <w:ind w:left="125"/>
            </w:pPr>
            <w:r>
              <w:rPr>
                <w:spacing w:val="-2"/>
              </w:rPr>
              <w:t>环境噪声</w:t>
            </w:r>
          </w:p>
        </w:tc>
        <w:tc>
          <w:tcPr>
            <w:tcW w:w="749" w:type="dxa"/>
            <w:vAlign w:val="top"/>
          </w:tcPr>
          <w:p>
            <w:pPr>
              <w:spacing w:before="153"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722" w:type="dxa"/>
            <w:vAlign w:val="top"/>
          </w:tcPr>
          <w:p>
            <w:pPr>
              <w:spacing w:before="153"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32.6</w:t>
            </w:r>
          </w:p>
        </w:tc>
        <w:tc>
          <w:tcPr>
            <w:tcW w:w="849" w:type="dxa"/>
            <w:vAlign w:val="top"/>
          </w:tcPr>
          <w:p>
            <w:pPr>
              <w:spacing w:before="153"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15"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restart"/>
            <w:tcBorders>
              <w:bottom w:val="nil"/>
            </w:tcBorders>
            <w:vAlign w:val="top"/>
          </w:tcPr>
          <w:p>
            <w:pPr>
              <w:spacing w:line="317" w:lineRule="auto"/>
              <w:rPr>
                <w:rFonts w:ascii="Arial"/>
                <w:sz w:val="21"/>
              </w:rPr>
            </w:pPr>
          </w:p>
          <w:p>
            <w:pPr>
              <w:spacing w:before="6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Align w:val="top"/>
          </w:tcPr>
          <w:p>
            <w:pPr>
              <w:pStyle w:val="6"/>
              <w:spacing w:before="114"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Align w:val="top"/>
          </w:tcPr>
          <w:p>
            <w:pPr>
              <w:pStyle w:val="6"/>
              <w:spacing w:before="115" w:line="223" w:lineRule="auto"/>
              <w:ind w:left="114"/>
            </w:pPr>
            <w:r>
              <w:rPr>
                <w:spacing w:val="-2"/>
              </w:rPr>
              <w:t>昼间</w:t>
            </w:r>
          </w:p>
        </w:tc>
        <w:tc>
          <w:tcPr>
            <w:tcW w:w="1082" w:type="dxa"/>
            <w:vAlign w:val="top"/>
          </w:tcPr>
          <w:p>
            <w:pPr>
              <w:pStyle w:val="6"/>
              <w:spacing w:before="115" w:line="221" w:lineRule="auto"/>
              <w:ind w:left="125"/>
            </w:pPr>
            <w:r>
              <w:rPr>
                <w:spacing w:val="-2"/>
              </w:rPr>
              <w:t>环境噪声</w:t>
            </w:r>
          </w:p>
        </w:tc>
        <w:tc>
          <w:tcPr>
            <w:tcW w:w="749" w:type="dxa"/>
            <w:vAlign w:val="top"/>
          </w:tcPr>
          <w:p>
            <w:pPr>
              <w:spacing w:before="153"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722" w:type="dxa"/>
            <w:vAlign w:val="top"/>
          </w:tcPr>
          <w:p>
            <w:pPr>
              <w:spacing w:before="153"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849" w:type="dxa"/>
            <w:vAlign w:val="top"/>
          </w:tcPr>
          <w:p>
            <w:pPr>
              <w:spacing w:before="153"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15"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Align w:val="top"/>
          </w:tcPr>
          <w:p>
            <w:pPr>
              <w:pStyle w:val="6"/>
              <w:spacing w:before="115" w:line="221" w:lineRule="auto"/>
              <w:ind w:left="189"/>
            </w:pPr>
            <w:r>
              <w:rPr>
                <w:rFonts w:ascii="Times New Roman" w:hAnsi="Times New Roman" w:eastAsia="Times New Roman" w:cs="Times New Roman"/>
                <w:spacing w:val="-4"/>
              </w:rPr>
              <w:t xml:space="preserve">2023 </w:t>
            </w:r>
            <w:r>
              <w:rPr>
                <w:spacing w:val="-4"/>
              </w:rPr>
              <w:t>年</w:t>
            </w:r>
            <w:r>
              <w:rPr>
                <w:spacing w:val="-37"/>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4"/>
              </w:rPr>
              <w:t xml:space="preserve"> </w:t>
            </w:r>
            <w:r>
              <w:rPr>
                <w:rFonts w:ascii="Times New Roman" w:hAnsi="Times New Roman" w:eastAsia="Times New Roman" w:cs="Times New Roman"/>
                <w:spacing w:val="-4"/>
              </w:rPr>
              <w:t xml:space="preserve">7  </w:t>
            </w:r>
            <w:r>
              <w:rPr>
                <w:spacing w:val="-4"/>
              </w:rPr>
              <w:t>日</w:t>
            </w:r>
          </w:p>
        </w:tc>
        <w:tc>
          <w:tcPr>
            <w:tcW w:w="643" w:type="dxa"/>
            <w:vAlign w:val="top"/>
          </w:tcPr>
          <w:p>
            <w:pPr>
              <w:pStyle w:val="6"/>
              <w:spacing w:before="115" w:line="221" w:lineRule="auto"/>
              <w:ind w:left="118"/>
            </w:pPr>
            <w:r>
              <w:rPr>
                <w:spacing w:val="-3"/>
              </w:rPr>
              <w:t>夜间</w:t>
            </w:r>
          </w:p>
        </w:tc>
        <w:tc>
          <w:tcPr>
            <w:tcW w:w="1082" w:type="dxa"/>
            <w:vAlign w:val="top"/>
          </w:tcPr>
          <w:p>
            <w:pPr>
              <w:pStyle w:val="6"/>
              <w:spacing w:before="116" w:line="221" w:lineRule="auto"/>
              <w:ind w:left="125"/>
            </w:pPr>
            <w:r>
              <w:rPr>
                <w:spacing w:val="-2"/>
              </w:rPr>
              <w:t>环境噪声</w:t>
            </w:r>
          </w:p>
        </w:tc>
        <w:tc>
          <w:tcPr>
            <w:tcW w:w="749" w:type="dxa"/>
            <w:vAlign w:val="top"/>
          </w:tcPr>
          <w:p>
            <w:pPr>
              <w:spacing w:before="154"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w:t>
            </w:r>
          </w:p>
        </w:tc>
        <w:tc>
          <w:tcPr>
            <w:tcW w:w="722" w:type="dxa"/>
            <w:vAlign w:val="top"/>
          </w:tcPr>
          <w:p>
            <w:pPr>
              <w:spacing w:before="154"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36.6</w:t>
            </w:r>
          </w:p>
        </w:tc>
        <w:tc>
          <w:tcPr>
            <w:tcW w:w="849" w:type="dxa"/>
            <w:vAlign w:val="top"/>
          </w:tcPr>
          <w:p>
            <w:pPr>
              <w:spacing w:before="15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16"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31"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1" w:line="187" w:lineRule="auto"/>
              <w:ind w:left="218"/>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727" w:type="dxa"/>
            <w:vMerge w:val="restart"/>
            <w:tcBorders>
              <w:bottom w:val="nil"/>
            </w:tcBorders>
            <w:vAlign w:val="top"/>
          </w:tcPr>
          <w:p>
            <w:pPr>
              <w:spacing w:line="290" w:lineRule="auto"/>
              <w:rPr>
                <w:rFonts w:ascii="Arial"/>
                <w:sz w:val="21"/>
              </w:rPr>
            </w:pPr>
          </w:p>
          <w:p>
            <w:pPr>
              <w:spacing w:line="291" w:lineRule="auto"/>
              <w:rPr>
                <w:rFonts w:ascii="Arial"/>
                <w:sz w:val="21"/>
              </w:rPr>
            </w:pPr>
          </w:p>
          <w:p>
            <w:pPr>
              <w:pStyle w:val="6"/>
              <w:spacing w:before="68" w:line="241" w:lineRule="auto"/>
              <w:ind w:left="155"/>
            </w:pPr>
            <w:r>
              <w:rPr>
                <w:spacing w:val="-2"/>
              </w:rPr>
              <w:t>庙儿</w:t>
            </w:r>
          </w:p>
          <w:p>
            <w:pPr>
              <w:pStyle w:val="6"/>
              <w:spacing w:line="225" w:lineRule="auto"/>
              <w:ind w:left="260"/>
            </w:pPr>
            <w:r>
              <w:t>垄</w:t>
            </w:r>
          </w:p>
        </w:tc>
        <w:tc>
          <w:tcPr>
            <w:tcW w:w="854" w:type="dxa"/>
            <w:vMerge w:val="restart"/>
            <w:tcBorders>
              <w:bottom w:val="nil"/>
            </w:tcBorders>
            <w:vAlign w:val="top"/>
          </w:tcPr>
          <w:p>
            <w:pPr>
              <w:spacing w:line="358" w:lineRule="auto"/>
              <w:rPr>
                <w:rFonts w:ascii="Arial"/>
                <w:sz w:val="21"/>
              </w:rPr>
            </w:pPr>
          </w:p>
          <w:p>
            <w:pPr>
              <w:spacing w:line="359" w:lineRule="auto"/>
              <w:rPr>
                <w:rFonts w:ascii="Arial"/>
                <w:sz w:val="21"/>
              </w:rPr>
            </w:pPr>
          </w:p>
          <w:p>
            <w:pPr>
              <w:pStyle w:val="6"/>
              <w:spacing w:before="68" w:line="221" w:lineRule="auto"/>
              <w:ind w:left="24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2" w:type="dxa"/>
            <w:vMerge w:val="restart"/>
            <w:tcBorders>
              <w:bottom w:val="nil"/>
            </w:tcBorders>
            <w:vAlign w:val="top"/>
          </w:tcPr>
          <w:p>
            <w:pPr>
              <w:spacing w:line="317"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Merge w:val="restart"/>
            <w:tcBorders>
              <w:bottom w:val="nil"/>
            </w:tcBorders>
            <w:vAlign w:val="top"/>
          </w:tcPr>
          <w:p>
            <w:pPr>
              <w:spacing w:line="358" w:lineRule="auto"/>
              <w:rPr>
                <w:rFonts w:ascii="Arial"/>
                <w:sz w:val="21"/>
              </w:rPr>
            </w:pPr>
          </w:p>
          <w:p>
            <w:pPr>
              <w:spacing w:line="359" w:lineRule="auto"/>
              <w:rPr>
                <w:rFonts w:ascii="Arial"/>
                <w:sz w:val="21"/>
              </w:rPr>
            </w:pPr>
          </w:p>
          <w:p>
            <w:pPr>
              <w:pStyle w:val="6"/>
              <w:spacing w:before="68" w:line="221" w:lineRule="auto"/>
              <w:ind w:left="136"/>
            </w:pPr>
            <w:r>
              <w:rPr>
                <w:rFonts w:ascii="Times New Roman" w:hAnsi="Times New Roman" w:eastAsia="Times New Roman" w:cs="Times New Roman"/>
                <w:spacing w:val="-3"/>
              </w:rPr>
              <w:t xml:space="preserve">2024 </w:t>
            </w:r>
            <w:r>
              <w:rPr>
                <w:spacing w:val="-3"/>
              </w:rPr>
              <w:t>年</w:t>
            </w:r>
            <w:r>
              <w:rPr>
                <w:spacing w:val="-4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1"/>
              </w:rPr>
              <w:t xml:space="preserve"> </w:t>
            </w:r>
            <w:r>
              <w:rPr>
                <w:spacing w:val="-3"/>
              </w:rPr>
              <w:t>月</w:t>
            </w:r>
            <w:r>
              <w:rPr>
                <w:spacing w:val="-47"/>
              </w:rPr>
              <w:t xml:space="preserve"> </w:t>
            </w:r>
            <w:r>
              <w:rPr>
                <w:rFonts w:ascii="Times New Roman" w:hAnsi="Times New Roman" w:eastAsia="Times New Roman" w:cs="Times New Roman"/>
                <w:spacing w:val="-3"/>
              </w:rPr>
              <w:t xml:space="preserve">20  </w:t>
            </w:r>
            <w:r>
              <w:rPr>
                <w:spacing w:val="-3"/>
              </w:rPr>
              <w:t>日</w:t>
            </w:r>
          </w:p>
        </w:tc>
        <w:tc>
          <w:tcPr>
            <w:tcW w:w="643" w:type="dxa"/>
            <w:vAlign w:val="top"/>
          </w:tcPr>
          <w:p>
            <w:pPr>
              <w:pStyle w:val="6"/>
              <w:spacing w:before="116" w:line="223" w:lineRule="auto"/>
              <w:ind w:left="114"/>
            </w:pPr>
            <w:r>
              <w:rPr>
                <w:spacing w:val="-2"/>
              </w:rPr>
              <w:t>昼间</w:t>
            </w:r>
          </w:p>
        </w:tc>
        <w:tc>
          <w:tcPr>
            <w:tcW w:w="1082" w:type="dxa"/>
            <w:vAlign w:val="top"/>
          </w:tcPr>
          <w:p>
            <w:pPr>
              <w:pStyle w:val="6"/>
              <w:spacing w:before="116" w:line="221" w:lineRule="auto"/>
              <w:ind w:left="125"/>
            </w:pPr>
            <w:r>
              <w:rPr>
                <w:spacing w:val="-2"/>
              </w:rPr>
              <w:t>环境噪声</w:t>
            </w:r>
          </w:p>
        </w:tc>
        <w:tc>
          <w:tcPr>
            <w:tcW w:w="749" w:type="dxa"/>
            <w:vAlign w:val="top"/>
          </w:tcPr>
          <w:p>
            <w:pPr>
              <w:spacing w:before="156"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722" w:type="dxa"/>
            <w:vAlign w:val="top"/>
          </w:tcPr>
          <w:p>
            <w:pPr>
              <w:spacing w:before="156"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41.0</w:t>
            </w:r>
          </w:p>
        </w:tc>
        <w:tc>
          <w:tcPr>
            <w:tcW w:w="849" w:type="dxa"/>
            <w:vAlign w:val="top"/>
          </w:tcPr>
          <w:p>
            <w:pPr>
              <w:spacing w:before="154"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15"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15" w:line="221" w:lineRule="auto"/>
              <w:ind w:left="118"/>
            </w:pPr>
            <w:r>
              <w:rPr>
                <w:spacing w:val="-3"/>
              </w:rPr>
              <w:t>夜间</w:t>
            </w:r>
          </w:p>
        </w:tc>
        <w:tc>
          <w:tcPr>
            <w:tcW w:w="1082" w:type="dxa"/>
            <w:vAlign w:val="top"/>
          </w:tcPr>
          <w:p>
            <w:pPr>
              <w:pStyle w:val="6"/>
              <w:spacing w:before="115" w:line="221" w:lineRule="auto"/>
              <w:ind w:left="125"/>
            </w:pPr>
            <w:r>
              <w:rPr>
                <w:spacing w:val="-2"/>
              </w:rPr>
              <w:t>环境噪声</w:t>
            </w:r>
          </w:p>
        </w:tc>
        <w:tc>
          <w:tcPr>
            <w:tcW w:w="749" w:type="dxa"/>
            <w:vAlign w:val="top"/>
          </w:tcPr>
          <w:p>
            <w:pPr>
              <w:spacing w:before="156"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722" w:type="dxa"/>
            <w:vAlign w:val="top"/>
          </w:tcPr>
          <w:p>
            <w:pPr>
              <w:spacing w:before="156"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31.8</w:t>
            </w:r>
          </w:p>
        </w:tc>
        <w:tc>
          <w:tcPr>
            <w:tcW w:w="849" w:type="dxa"/>
            <w:vAlign w:val="top"/>
          </w:tcPr>
          <w:p>
            <w:pPr>
              <w:spacing w:before="15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15"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restart"/>
            <w:tcBorders>
              <w:bottom w:val="nil"/>
            </w:tcBorders>
            <w:vAlign w:val="top"/>
          </w:tcPr>
          <w:p>
            <w:pPr>
              <w:spacing w:line="315" w:lineRule="auto"/>
              <w:rPr>
                <w:rFonts w:ascii="Arial"/>
                <w:sz w:val="21"/>
              </w:rPr>
            </w:pPr>
          </w:p>
          <w:p>
            <w:pPr>
              <w:spacing w:before="6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14" w:line="223" w:lineRule="auto"/>
              <w:ind w:left="114"/>
            </w:pPr>
            <w:r>
              <w:rPr>
                <w:spacing w:val="-2"/>
              </w:rPr>
              <w:t>昼间</w:t>
            </w:r>
          </w:p>
        </w:tc>
        <w:tc>
          <w:tcPr>
            <w:tcW w:w="1082" w:type="dxa"/>
            <w:vAlign w:val="top"/>
          </w:tcPr>
          <w:p>
            <w:pPr>
              <w:pStyle w:val="6"/>
              <w:spacing w:before="114" w:line="221" w:lineRule="auto"/>
              <w:ind w:left="125"/>
            </w:pPr>
            <w:r>
              <w:rPr>
                <w:spacing w:val="-2"/>
              </w:rPr>
              <w:t>环境噪声</w:t>
            </w:r>
          </w:p>
        </w:tc>
        <w:tc>
          <w:tcPr>
            <w:tcW w:w="749" w:type="dxa"/>
            <w:vAlign w:val="top"/>
          </w:tcPr>
          <w:p>
            <w:pPr>
              <w:spacing w:before="154"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722" w:type="dxa"/>
            <w:vAlign w:val="top"/>
          </w:tcPr>
          <w:p>
            <w:pPr>
              <w:spacing w:before="154"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43.0</w:t>
            </w:r>
          </w:p>
        </w:tc>
        <w:tc>
          <w:tcPr>
            <w:tcW w:w="849" w:type="dxa"/>
            <w:vAlign w:val="top"/>
          </w:tcPr>
          <w:p>
            <w:pPr>
              <w:spacing w:before="15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13"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Align w:val="top"/>
          </w:tcPr>
          <w:p>
            <w:pPr>
              <w:pStyle w:val="6"/>
              <w:spacing w:before="115" w:line="221" w:lineRule="auto"/>
              <w:ind w:left="118"/>
            </w:pPr>
            <w:r>
              <w:rPr>
                <w:spacing w:val="-3"/>
              </w:rPr>
              <w:t>夜间</w:t>
            </w:r>
          </w:p>
        </w:tc>
        <w:tc>
          <w:tcPr>
            <w:tcW w:w="1082" w:type="dxa"/>
            <w:vAlign w:val="top"/>
          </w:tcPr>
          <w:p>
            <w:pPr>
              <w:pStyle w:val="6"/>
              <w:spacing w:before="116" w:line="221" w:lineRule="auto"/>
              <w:ind w:left="125"/>
            </w:pPr>
            <w:r>
              <w:rPr>
                <w:spacing w:val="-2"/>
              </w:rPr>
              <w:t>环境噪声</w:t>
            </w:r>
          </w:p>
        </w:tc>
        <w:tc>
          <w:tcPr>
            <w:tcW w:w="749" w:type="dxa"/>
            <w:vAlign w:val="top"/>
          </w:tcPr>
          <w:p>
            <w:pPr>
              <w:spacing w:before="154"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39.1</w:t>
            </w:r>
          </w:p>
        </w:tc>
        <w:tc>
          <w:tcPr>
            <w:tcW w:w="722" w:type="dxa"/>
            <w:vAlign w:val="top"/>
          </w:tcPr>
          <w:p>
            <w:pPr>
              <w:spacing w:before="154"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32.2</w:t>
            </w:r>
          </w:p>
        </w:tc>
        <w:tc>
          <w:tcPr>
            <w:tcW w:w="849" w:type="dxa"/>
            <w:vAlign w:val="top"/>
          </w:tcPr>
          <w:p>
            <w:pPr>
              <w:spacing w:before="15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16"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531" w:type="dxa"/>
            <w:vMerge w:val="restart"/>
            <w:tcBorders>
              <w:bottom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0" w:line="184" w:lineRule="auto"/>
              <w:ind w:left="216"/>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727" w:type="dxa"/>
            <w:vMerge w:val="restart"/>
            <w:tcBorders>
              <w:bottom w:val="nil"/>
            </w:tcBorders>
            <w:vAlign w:val="top"/>
          </w:tcPr>
          <w:p>
            <w:pPr>
              <w:spacing w:line="357" w:lineRule="auto"/>
              <w:rPr>
                <w:rFonts w:ascii="Arial"/>
                <w:sz w:val="21"/>
              </w:rPr>
            </w:pPr>
          </w:p>
          <w:p>
            <w:pPr>
              <w:spacing w:line="357" w:lineRule="auto"/>
              <w:rPr>
                <w:rFonts w:ascii="Arial"/>
                <w:sz w:val="21"/>
              </w:rPr>
            </w:pPr>
          </w:p>
          <w:p>
            <w:pPr>
              <w:pStyle w:val="6"/>
              <w:spacing w:before="69" w:line="223" w:lineRule="auto"/>
              <w:ind w:left="160"/>
            </w:pPr>
            <w:r>
              <w:rPr>
                <w:spacing w:val="-3"/>
              </w:rPr>
              <w:t>前垄</w:t>
            </w:r>
          </w:p>
        </w:tc>
        <w:tc>
          <w:tcPr>
            <w:tcW w:w="854" w:type="dxa"/>
            <w:vMerge w:val="restart"/>
            <w:tcBorders>
              <w:bottom w:val="nil"/>
            </w:tcBorders>
            <w:vAlign w:val="top"/>
          </w:tcPr>
          <w:p>
            <w:pPr>
              <w:spacing w:line="357" w:lineRule="auto"/>
              <w:rPr>
                <w:rFonts w:ascii="Arial"/>
                <w:sz w:val="21"/>
              </w:rPr>
            </w:pPr>
          </w:p>
          <w:p>
            <w:pPr>
              <w:spacing w:line="357" w:lineRule="auto"/>
              <w:rPr>
                <w:rFonts w:ascii="Arial"/>
                <w:sz w:val="21"/>
              </w:rPr>
            </w:pPr>
          </w:p>
          <w:p>
            <w:pPr>
              <w:pStyle w:val="6"/>
              <w:spacing w:before="68" w:line="221" w:lineRule="auto"/>
              <w:ind w:left="24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2" w:type="dxa"/>
            <w:vMerge w:val="restart"/>
            <w:tcBorders>
              <w:bottom w:val="nil"/>
            </w:tcBorders>
            <w:vAlign w:val="top"/>
          </w:tcPr>
          <w:p>
            <w:pPr>
              <w:spacing w:line="315"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Merge w:val="restart"/>
            <w:tcBorders>
              <w:bottom w:val="nil"/>
            </w:tcBorders>
            <w:vAlign w:val="top"/>
          </w:tcPr>
          <w:p>
            <w:pPr>
              <w:spacing w:line="357" w:lineRule="auto"/>
              <w:rPr>
                <w:rFonts w:ascii="Arial"/>
                <w:sz w:val="21"/>
              </w:rPr>
            </w:pPr>
          </w:p>
          <w:p>
            <w:pPr>
              <w:spacing w:line="357" w:lineRule="auto"/>
              <w:rPr>
                <w:rFonts w:ascii="Arial"/>
                <w:sz w:val="21"/>
              </w:rPr>
            </w:pPr>
          </w:p>
          <w:p>
            <w:pPr>
              <w:pStyle w:val="6"/>
              <w:spacing w:before="68" w:line="221" w:lineRule="auto"/>
              <w:ind w:left="136"/>
            </w:pPr>
            <w:r>
              <w:rPr>
                <w:rFonts w:ascii="Times New Roman" w:hAnsi="Times New Roman" w:eastAsia="Times New Roman" w:cs="Times New Roman"/>
                <w:spacing w:val="-3"/>
              </w:rPr>
              <w:t xml:space="preserve">2024 </w:t>
            </w:r>
            <w:r>
              <w:rPr>
                <w:spacing w:val="-3"/>
              </w:rPr>
              <w:t>年</w:t>
            </w:r>
            <w:r>
              <w:rPr>
                <w:spacing w:val="-4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1"/>
              </w:rPr>
              <w:t xml:space="preserve"> </w:t>
            </w:r>
            <w:r>
              <w:rPr>
                <w:spacing w:val="-3"/>
              </w:rPr>
              <w:t>月</w:t>
            </w:r>
            <w:r>
              <w:rPr>
                <w:spacing w:val="-47"/>
              </w:rPr>
              <w:t xml:space="preserve"> </w:t>
            </w:r>
            <w:r>
              <w:rPr>
                <w:rFonts w:ascii="Times New Roman" w:hAnsi="Times New Roman" w:eastAsia="Times New Roman" w:cs="Times New Roman"/>
                <w:spacing w:val="-3"/>
              </w:rPr>
              <w:t xml:space="preserve">20  </w:t>
            </w:r>
            <w:r>
              <w:rPr>
                <w:spacing w:val="-3"/>
              </w:rPr>
              <w:t>日</w:t>
            </w:r>
          </w:p>
        </w:tc>
        <w:tc>
          <w:tcPr>
            <w:tcW w:w="643" w:type="dxa"/>
            <w:vAlign w:val="top"/>
          </w:tcPr>
          <w:p>
            <w:pPr>
              <w:pStyle w:val="6"/>
              <w:spacing w:before="116" w:line="223" w:lineRule="auto"/>
              <w:ind w:left="114"/>
            </w:pPr>
            <w:r>
              <w:rPr>
                <w:spacing w:val="-2"/>
              </w:rPr>
              <w:t>昼间</w:t>
            </w:r>
          </w:p>
        </w:tc>
        <w:tc>
          <w:tcPr>
            <w:tcW w:w="1082" w:type="dxa"/>
            <w:vAlign w:val="top"/>
          </w:tcPr>
          <w:p>
            <w:pPr>
              <w:pStyle w:val="6"/>
              <w:spacing w:before="116" w:line="221" w:lineRule="auto"/>
              <w:ind w:left="125"/>
            </w:pPr>
            <w:r>
              <w:rPr>
                <w:spacing w:val="-2"/>
              </w:rPr>
              <w:t>环境噪声</w:t>
            </w:r>
          </w:p>
        </w:tc>
        <w:tc>
          <w:tcPr>
            <w:tcW w:w="749" w:type="dxa"/>
            <w:vAlign w:val="top"/>
          </w:tcPr>
          <w:p>
            <w:pPr>
              <w:spacing w:before="154"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722" w:type="dxa"/>
            <w:vAlign w:val="top"/>
          </w:tcPr>
          <w:p>
            <w:pPr>
              <w:spacing w:before="154"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30.6</w:t>
            </w:r>
          </w:p>
        </w:tc>
        <w:tc>
          <w:tcPr>
            <w:tcW w:w="849" w:type="dxa"/>
            <w:vAlign w:val="top"/>
          </w:tcPr>
          <w:p>
            <w:pPr>
              <w:spacing w:before="154"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15"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16" w:line="221" w:lineRule="auto"/>
              <w:ind w:left="118"/>
            </w:pPr>
            <w:r>
              <w:rPr>
                <w:spacing w:val="-3"/>
              </w:rPr>
              <w:t>夜间</w:t>
            </w:r>
          </w:p>
        </w:tc>
        <w:tc>
          <w:tcPr>
            <w:tcW w:w="1082" w:type="dxa"/>
            <w:vAlign w:val="top"/>
          </w:tcPr>
          <w:p>
            <w:pPr>
              <w:pStyle w:val="6"/>
              <w:spacing w:before="116" w:line="221" w:lineRule="auto"/>
              <w:ind w:left="125"/>
            </w:pPr>
            <w:r>
              <w:rPr>
                <w:spacing w:val="-2"/>
              </w:rPr>
              <w:t>环境噪声</w:t>
            </w:r>
          </w:p>
        </w:tc>
        <w:tc>
          <w:tcPr>
            <w:tcW w:w="749" w:type="dxa"/>
            <w:vAlign w:val="top"/>
          </w:tcPr>
          <w:p>
            <w:pPr>
              <w:spacing w:before="155"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36.9</w:t>
            </w:r>
          </w:p>
        </w:tc>
        <w:tc>
          <w:tcPr>
            <w:tcW w:w="722" w:type="dxa"/>
            <w:vAlign w:val="top"/>
          </w:tcPr>
          <w:p>
            <w:pPr>
              <w:spacing w:before="155"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26.4</w:t>
            </w:r>
          </w:p>
        </w:tc>
        <w:tc>
          <w:tcPr>
            <w:tcW w:w="849" w:type="dxa"/>
            <w:vAlign w:val="top"/>
          </w:tcPr>
          <w:p>
            <w:pPr>
              <w:spacing w:before="15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16"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restart"/>
            <w:tcBorders>
              <w:bottom w:val="nil"/>
            </w:tcBorders>
            <w:vAlign w:val="top"/>
          </w:tcPr>
          <w:p>
            <w:pPr>
              <w:spacing w:line="316" w:lineRule="auto"/>
              <w:rPr>
                <w:rFonts w:ascii="Arial"/>
                <w:sz w:val="21"/>
              </w:rPr>
            </w:pPr>
          </w:p>
          <w:p>
            <w:pPr>
              <w:spacing w:before="61"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17" w:line="223" w:lineRule="auto"/>
              <w:ind w:left="114"/>
            </w:pPr>
            <w:r>
              <w:rPr>
                <w:spacing w:val="-2"/>
              </w:rPr>
              <w:t>昼间</w:t>
            </w:r>
          </w:p>
        </w:tc>
        <w:tc>
          <w:tcPr>
            <w:tcW w:w="1082" w:type="dxa"/>
            <w:vAlign w:val="top"/>
          </w:tcPr>
          <w:p>
            <w:pPr>
              <w:pStyle w:val="6"/>
              <w:spacing w:before="117" w:line="221" w:lineRule="auto"/>
              <w:ind w:left="125"/>
            </w:pPr>
            <w:r>
              <w:rPr>
                <w:spacing w:val="-2"/>
              </w:rPr>
              <w:t>环境噪声</w:t>
            </w:r>
          </w:p>
        </w:tc>
        <w:tc>
          <w:tcPr>
            <w:tcW w:w="749" w:type="dxa"/>
            <w:vAlign w:val="top"/>
          </w:tcPr>
          <w:p>
            <w:pPr>
              <w:spacing w:before="155"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722" w:type="dxa"/>
            <w:vAlign w:val="top"/>
          </w:tcPr>
          <w:p>
            <w:pPr>
              <w:spacing w:before="155"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32.4</w:t>
            </w:r>
          </w:p>
        </w:tc>
        <w:tc>
          <w:tcPr>
            <w:tcW w:w="849" w:type="dxa"/>
            <w:vAlign w:val="top"/>
          </w:tcPr>
          <w:p>
            <w:pPr>
              <w:spacing w:before="15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17"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Align w:val="top"/>
          </w:tcPr>
          <w:p>
            <w:pPr>
              <w:pStyle w:val="6"/>
              <w:spacing w:before="116" w:line="221" w:lineRule="auto"/>
              <w:ind w:left="118"/>
            </w:pPr>
            <w:r>
              <w:rPr>
                <w:spacing w:val="-3"/>
              </w:rPr>
              <w:t>夜间</w:t>
            </w:r>
          </w:p>
        </w:tc>
        <w:tc>
          <w:tcPr>
            <w:tcW w:w="1082" w:type="dxa"/>
            <w:vAlign w:val="top"/>
          </w:tcPr>
          <w:p>
            <w:pPr>
              <w:pStyle w:val="6"/>
              <w:spacing w:before="117" w:line="221" w:lineRule="auto"/>
              <w:ind w:left="125"/>
            </w:pPr>
            <w:r>
              <w:rPr>
                <w:spacing w:val="-2"/>
              </w:rPr>
              <w:t>环境噪声</w:t>
            </w:r>
          </w:p>
        </w:tc>
        <w:tc>
          <w:tcPr>
            <w:tcW w:w="749" w:type="dxa"/>
            <w:vAlign w:val="top"/>
          </w:tcPr>
          <w:p>
            <w:pPr>
              <w:spacing w:before="155"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722" w:type="dxa"/>
            <w:vAlign w:val="top"/>
          </w:tcPr>
          <w:p>
            <w:pPr>
              <w:spacing w:before="155"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26.4</w:t>
            </w:r>
          </w:p>
        </w:tc>
        <w:tc>
          <w:tcPr>
            <w:tcW w:w="849" w:type="dxa"/>
            <w:vAlign w:val="top"/>
          </w:tcPr>
          <w:p>
            <w:pPr>
              <w:spacing w:before="15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17"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restart"/>
            <w:tcBorders>
              <w:bottom w:val="nil"/>
            </w:tcBorders>
            <w:vAlign w:val="top"/>
          </w:tcPr>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1" w:line="187" w:lineRule="auto"/>
              <w:ind w:left="221"/>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727" w:type="dxa"/>
            <w:vMerge w:val="restart"/>
            <w:tcBorders>
              <w:bottom w:val="nil"/>
            </w:tcBorders>
            <w:vAlign w:val="top"/>
          </w:tcPr>
          <w:p>
            <w:pPr>
              <w:spacing w:line="468" w:lineRule="auto"/>
              <w:rPr>
                <w:rFonts w:ascii="Arial"/>
                <w:sz w:val="21"/>
              </w:rPr>
            </w:pPr>
          </w:p>
          <w:p>
            <w:pPr>
              <w:pStyle w:val="6"/>
              <w:spacing w:before="68" w:line="221" w:lineRule="auto"/>
              <w:ind w:left="158"/>
            </w:pPr>
            <w:r>
              <w:rPr>
                <w:spacing w:val="-2"/>
              </w:rPr>
              <w:t>让川</w:t>
            </w:r>
          </w:p>
          <w:p>
            <w:pPr>
              <w:pStyle w:val="6"/>
              <w:spacing w:before="22" w:line="220" w:lineRule="auto"/>
              <w:ind w:left="157"/>
            </w:pPr>
            <w:r>
              <w:rPr>
                <w:spacing w:val="-2"/>
              </w:rPr>
              <w:t>村安</w:t>
            </w:r>
          </w:p>
          <w:p>
            <w:pPr>
              <w:pStyle w:val="6"/>
              <w:spacing w:before="20" w:line="223" w:lineRule="auto"/>
              <w:ind w:left="154"/>
            </w:pPr>
            <w:r>
              <w:rPr>
                <w:spacing w:val="-2"/>
              </w:rPr>
              <w:t>置小</w:t>
            </w:r>
          </w:p>
          <w:p>
            <w:pPr>
              <w:pStyle w:val="6"/>
              <w:spacing w:before="19" w:line="226" w:lineRule="auto"/>
              <w:ind w:left="275"/>
            </w:pPr>
            <w:r>
              <w:t>区</w:t>
            </w:r>
          </w:p>
        </w:tc>
        <w:tc>
          <w:tcPr>
            <w:tcW w:w="854"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9" w:line="229" w:lineRule="auto"/>
              <w:ind w:left="113" w:right="109" w:firstLine="81"/>
            </w:pPr>
            <w:r>
              <w:rPr>
                <w:rFonts w:ascii="Times New Roman" w:hAnsi="Times New Roman" w:eastAsia="Times New Roman" w:cs="Times New Roman"/>
                <w:spacing w:val="-4"/>
              </w:rPr>
              <w:t>4a</w:t>
            </w:r>
            <w:r>
              <w:rPr>
                <w:rFonts w:ascii="Times New Roman" w:hAnsi="Times New Roman" w:eastAsia="Times New Roman" w:cs="Times New Roman"/>
                <w:spacing w:val="10"/>
              </w:rPr>
              <w:t xml:space="preserve"> </w:t>
            </w:r>
            <w:r>
              <w:rPr>
                <w:spacing w:val="-4"/>
              </w:rPr>
              <w:t>类</w:t>
            </w:r>
            <w:r>
              <w:t xml:space="preserve"> </w:t>
            </w:r>
            <w:r>
              <w:rPr>
                <w:spacing w:val="-2"/>
              </w:rPr>
              <w:t>第一排</w:t>
            </w:r>
          </w:p>
        </w:tc>
        <w:tc>
          <w:tcPr>
            <w:tcW w:w="552" w:type="dxa"/>
            <w:vMerge w:val="restart"/>
            <w:tcBorders>
              <w:bottom w:val="nil"/>
            </w:tcBorders>
            <w:vAlign w:val="top"/>
          </w:tcPr>
          <w:p>
            <w:pPr>
              <w:spacing w:line="424"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Align w:val="top"/>
          </w:tcPr>
          <w:p>
            <w:pPr>
              <w:pStyle w:val="6"/>
              <w:spacing w:before="169"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Align w:val="top"/>
          </w:tcPr>
          <w:p>
            <w:pPr>
              <w:pStyle w:val="6"/>
              <w:spacing w:before="170" w:line="223" w:lineRule="auto"/>
              <w:ind w:left="114"/>
            </w:pPr>
            <w:r>
              <w:rPr>
                <w:spacing w:val="-2"/>
              </w:rPr>
              <w:t>昼间</w:t>
            </w:r>
          </w:p>
        </w:tc>
        <w:tc>
          <w:tcPr>
            <w:tcW w:w="1082" w:type="dxa"/>
            <w:vAlign w:val="top"/>
          </w:tcPr>
          <w:p>
            <w:pPr>
              <w:pStyle w:val="6"/>
              <w:spacing w:before="33" w:line="222"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722" w:type="dxa"/>
            <w:vAlign w:val="top"/>
          </w:tcPr>
          <w:p>
            <w:pPr>
              <w:spacing w:before="208"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c>
          <w:tcPr>
            <w:tcW w:w="849" w:type="dxa"/>
            <w:vAlign w:val="top"/>
          </w:tcPr>
          <w:p>
            <w:pPr>
              <w:spacing w:before="208"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794" w:type="dxa"/>
            <w:vAlign w:val="top"/>
          </w:tcPr>
          <w:p>
            <w:pPr>
              <w:pStyle w:val="6"/>
              <w:spacing w:before="170" w:line="224" w:lineRule="auto"/>
              <w:ind w:left="298"/>
            </w:pPr>
            <w:r>
              <w:t>是</w:t>
            </w:r>
          </w:p>
        </w:tc>
        <w:tc>
          <w:tcPr>
            <w:tcW w:w="784" w:type="dxa"/>
            <w:vAlign w:val="top"/>
          </w:tcPr>
          <w:p>
            <w:pPr>
              <w:spacing w:before="208" w:line="187"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w:t>
            </w:r>
          </w:p>
        </w:tc>
        <w:tc>
          <w:tcPr>
            <w:tcW w:w="821" w:type="dxa"/>
            <w:vAlign w:val="top"/>
          </w:tcPr>
          <w:p>
            <w:pPr>
              <w:spacing w:before="211" w:line="184" w:lineRule="auto"/>
              <w:ind w:left="367"/>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984" w:type="dxa"/>
            <w:vAlign w:val="top"/>
          </w:tcPr>
          <w:p>
            <w:pPr>
              <w:spacing w:before="211" w:line="184"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88" w:type="dxa"/>
            <w:vAlign w:val="top"/>
          </w:tcPr>
          <w:p>
            <w:pPr>
              <w:pStyle w:val="6"/>
              <w:spacing w:before="169" w:line="221" w:lineRule="auto"/>
              <w:ind w:right="7"/>
              <w:jc w:val="right"/>
            </w:pPr>
            <w:r>
              <w:rPr>
                <w:rFonts w:ascii="Times New Roman" w:hAnsi="Times New Roman" w:eastAsia="Times New Roman" w:cs="Times New Roman"/>
                <w:spacing w:val="-14"/>
              </w:rPr>
              <w:t xml:space="preserve">322 </w:t>
            </w:r>
            <w:r>
              <w:rPr>
                <w:spacing w:val="-14"/>
              </w:rPr>
              <w:t>国道（原</w:t>
            </w:r>
            <w:r>
              <w:rPr>
                <w:spacing w:val="-51"/>
              </w:rPr>
              <w:t xml:space="preserve"> </w:t>
            </w:r>
            <w:r>
              <w:rPr>
                <w:rFonts w:ascii="Times New Roman" w:hAnsi="Times New Roman" w:eastAsia="Times New Roman" w:cs="Times New Roman"/>
                <w:spacing w:val="-14"/>
              </w:rPr>
              <w:t xml:space="preserve">56 </w:t>
            </w:r>
            <w:r>
              <w:rPr>
                <w:spacing w:val="-14"/>
              </w:rPr>
              <w:t>省道）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Align w:val="top"/>
          </w:tcPr>
          <w:p>
            <w:pPr>
              <w:pStyle w:val="6"/>
              <w:spacing w:before="170" w:line="221" w:lineRule="auto"/>
              <w:ind w:left="189"/>
            </w:pPr>
            <w:r>
              <w:rPr>
                <w:rFonts w:ascii="Times New Roman" w:hAnsi="Times New Roman" w:eastAsia="Times New Roman" w:cs="Times New Roman"/>
                <w:spacing w:val="-4"/>
              </w:rPr>
              <w:t xml:space="preserve">2023 </w:t>
            </w:r>
            <w:r>
              <w:rPr>
                <w:spacing w:val="-4"/>
              </w:rPr>
              <w:t>年</w:t>
            </w:r>
            <w:r>
              <w:rPr>
                <w:spacing w:val="-37"/>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4"/>
              </w:rPr>
              <w:t xml:space="preserve"> </w:t>
            </w:r>
            <w:r>
              <w:rPr>
                <w:rFonts w:ascii="Times New Roman" w:hAnsi="Times New Roman" w:eastAsia="Times New Roman" w:cs="Times New Roman"/>
                <w:spacing w:val="-4"/>
              </w:rPr>
              <w:t xml:space="preserve">7  </w:t>
            </w:r>
            <w:r>
              <w:rPr>
                <w:spacing w:val="-4"/>
              </w:rPr>
              <w:t>日</w:t>
            </w:r>
          </w:p>
        </w:tc>
        <w:tc>
          <w:tcPr>
            <w:tcW w:w="643" w:type="dxa"/>
            <w:vAlign w:val="top"/>
          </w:tcPr>
          <w:p>
            <w:pPr>
              <w:pStyle w:val="6"/>
              <w:spacing w:before="170" w:line="221" w:lineRule="auto"/>
              <w:ind w:left="118"/>
            </w:pPr>
            <w:r>
              <w:rPr>
                <w:spacing w:val="-3"/>
              </w:rPr>
              <w:t>夜间</w:t>
            </w:r>
          </w:p>
        </w:tc>
        <w:tc>
          <w:tcPr>
            <w:tcW w:w="1082" w:type="dxa"/>
            <w:vAlign w:val="top"/>
          </w:tcPr>
          <w:p>
            <w:pPr>
              <w:pStyle w:val="6"/>
              <w:spacing w:before="33" w:line="222"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9"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722" w:type="dxa"/>
            <w:vAlign w:val="top"/>
          </w:tcPr>
          <w:p>
            <w:pPr>
              <w:spacing w:before="209"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33.6</w:t>
            </w:r>
          </w:p>
        </w:tc>
        <w:tc>
          <w:tcPr>
            <w:tcW w:w="849" w:type="dxa"/>
            <w:vAlign w:val="top"/>
          </w:tcPr>
          <w:p>
            <w:pPr>
              <w:spacing w:before="212" w:line="184"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794" w:type="dxa"/>
            <w:vAlign w:val="top"/>
          </w:tcPr>
          <w:p>
            <w:pPr>
              <w:pStyle w:val="6"/>
              <w:spacing w:before="170" w:line="224" w:lineRule="auto"/>
              <w:ind w:left="298"/>
            </w:pPr>
            <w:r>
              <w:t>是</w:t>
            </w:r>
          </w:p>
        </w:tc>
        <w:tc>
          <w:tcPr>
            <w:tcW w:w="784" w:type="dxa"/>
            <w:vAlign w:val="top"/>
          </w:tcPr>
          <w:p>
            <w:pPr>
              <w:spacing w:before="212" w:line="184"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821" w:type="dxa"/>
            <w:vAlign w:val="top"/>
          </w:tcPr>
          <w:p>
            <w:pPr>
              <w:spacing w:before="209" w:line="187" w:lineRule="auto"/>
              <w:ind w:left="36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4" w:type="dxa"/>
            <w:vAlign w:val="top"/>
          </w:tcPr>
          <w:p>
            <w:pPr>
              <w:spacing w:before="209" w:line="187"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2088" w:type="dxa"/>
            <w:vAlign w:val="top"/>
          </w:tcPr>
          <w:p>
            <w:pPr>
              <w:pStyle w:val="6"/>
              <w:spacing w:before="170" w:line="221" w:lineRule="auto"/>
              <w:ind w:right="7"/>
              <w:jc w:val="right"/>
            </w:pPr>
            <w:r>
              <w:rPr>
                <w:rFonts w:ascii="Times New Roman" w:hAnsi="Times New Roman" w:eastAsia="Times New Roman" w:cs="Times New Roman"/>
                <w:spacing w:val="-14"/>
              </w:rPr>
              <w:t xml:space="preserve">322 </w:t>
            </w:r>
            <w:r>
              <w:rPr>
                <w:spacing w:val="-14"/>
              </w:rPr>
              <w:t>国道（原</w:t>
            </w:r>
            <w:r>
              <w:rPr>
                <w:spacing w:val="-51"/>
              </w:rPr>
              <w:t xml:space="preserve"> </w:t>
            </w:r>
            <w:r>
              <w:rPr>
                <w:rFonts w:ascii="Times New Roman" w:hAnsi="Times New Roman" w:eastAsia="Times New Roman" w:cs="Times New Roman"/>
                <w:spacing w:val="-14"/>
              </w:rPr>
              <w:t xml:space="preserve">56 </w:t>
            </w:r>
            <w:r>
              <w:rPr>
                <w:spacing w:val="-14"/>
              </w:rPr>
              <w:t>省道）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restart"/>
            <w:tcBorders>
              <w:bottom w:val="nil"/>
            </w:tcBorders>
            <w:vAlign w:val="top"/>
          </w:tcPr>
          <w:p>
            <w:pPr>
              <w:spacing w:line="372" w:lineRule="auto"/>
              <w:rPr>
                <w:rFonts w:ascii="Arial"/>
                <w:sz w:val="21"/>
              </w:rPr>
            </w:pPr>
          </w:p>
          <w:p>
            <w:pPr>
              <w:spacing w:before="6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Align w:val="top"/>
          </w:tcPr>
          <w:p>
            <w:pPr>
              <w:pStyle w:val="6"/>
              <w:spacing w:before="170"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Align w:val="top"/>
          </w:tcPr>
          <w:p>
            <w:pPr>
              <w:pStyle w:val="6"/>
              <w:spacing w:before="171" w:line="223" w:lineRule="auto"/>
              <w:ind w:left="114"/>
            </w:pPr>
            <w:r>
              <w:rPr>
                <w:spacing w:val="-2"/>
              </w:rPr>
              <w:t>昼间</w:t>
            </w:r>
          </w:p>
        </w:tc>
        <w:tc>
          <w:tcPr>
            <w:tcW w:w="1082" w:type="dxa"/>
            <w:vAlign w:val="top"/>
          </w:tcPr>
          <w:p>
            <w:pPr>
              <w:pStyle w:val="6"/>
              <w:spacing w:before="33" w:line="222"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9"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58.6</w:t>
            </w:r>
          </w:p>
        </w:tc>
        <w:tc>
          <w:tcPr>
            <w:tcW w:w="722" w:type="dxa"/>
            <w:vAlign w:val="top"/>
          </w:tcPr>
          <w:p>
            <w:pPr>
              <w:spacing w:before="209"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46.8</w:t>
            </w:r>
          </w:p>
        </w:tc>
        <w:tc>
          <w:tcPr>
            <w:tcW w:w="849" w:type="dxa"/>
            <w:vAlign w:val="top"/>
          </w:tcPr>
          <w:p>
            <w:pPr>
              <w:spacing w:before="209"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794" w:type="dxa"/>
            <w:vAlign w:val="top"/>
          </w:tcPr>
          <w:p>
            <w:pPr>
              <w:pStyle w:val="6"/>
              <w:spacing w:before="171" w:line="224" w:lineRule="auto"/>
              <w:ind w:left="298"/>
            </w:pPr>
            <w:r>
              <w:t>是</w:t>
            </w:r>
          </w:p>
        </w:tc>
        <w:tc>
          <w:tcPr>
            <w:tcW w:w="784" w:type="dxa"/>
            <w:vAlign w:val="top"/>
          </w:tcPr>
          <w:p>
            <w:pPr>
              <w:spacing w:before="209" w:line="187"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w:t>
            </w:r>
          </w:p>
        </w:tc>
        <w:tc>
          <w:tcPr>
            <w:tcW w:w="821" w:type="dxa"/>
            <w:vAlign w:val="top"/>
          </w:tcPr>
          <w:p>
            <w:pPr>
              <w:spacing w:before="212" w:line="184" w:lineRule="auto"/>
              <w:ind w:left="367"/>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984" w:type="dxa"/>
            <w:vAlign w:val="top"/>
          </w:tcPr>
          <w:p>
            <w:pPr>
              <w:spacing w:before="212" w:line="184"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88" w:type="dxa"/>
            <w:vAlign w:val="top"/>
          </w:tcPr>
          <w:p>
            <w:pPr>
              <w:pStyle w:val="6"/>
              <w:spacing w:before="170" w:line="221" w:lineRule="auto"/>
              <w:ind w:right="7"/>
              <w:jc w:val="right"/>
            </w:pPr>
            <w:r>
              <w:rPr>
                <w:rFonts w:ascii="Times New Roman" w:hAnsi="Times New Roman" w:eastAsia="Times New Roman" w:cs="Times New Roman"/>
                <w:spacing w:val="-14"/>
              </w:rPr>
              <w:t xml:space="preserve">322 </w:t>
            </w:r>
            <w:r>
              <w:rPr>
                <w:spacing w:val="-14"/>
              </w:rPr>
              <w:t>国道（原</w:t>
            </w:r>
            <w:r>
              <w:rPr>
                <w:spacing w:val="-51"/>
              </w:rPr>
              <w:t xml:space="preserve"> </w:t>
            </w:r>
            <w:r>
              <w:rPr>
                <w:rFonts w:ascii="Times New Roman" w:hAnsi="Times New Roman" w:eastAsia="Times New Roman" w:cs="Times New Roman"/>
                <w:spacing w:val="-14"/>
              </w:rPr>
              <w:t xml:space="preserve">56 </w:t>
            </w:r>
            <w:r>
              <w:rPr>
                <w:spacing w:val="-14"/>
              </w:rPr>
              <w:t>省道）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Align w:val="top"/>
          </w:tcPr>
          <w:p>
            <w:pPr>
              <w:pStyle w:val="6"/>
              <w:spacing w:before="118" w:line="221" w:lineRule="auto"/>
              <w:ind w:left="189"/>
            </w:pPr>
            <w:r>
              <w:rPr>
                <w:rFonts w:ascii="Times New Roman" w:hAnsi="Times New Roman" w:eastAsia="Times New Roman" w:cs="Times New Roman"/>
                <w:spacing w:val="-4"/>
              </w:rPr>
              <w:t xml:space="preserve">2023 </w:t>
            </w:r>
            <w:r>
              <w:rPr>
                <w:spacing w:val="-4"/>
              </w:rPr>
              <w:t>年</w:t>
            </w:r>
            <w:r>
              <w:rPr>
                <w:spacing w:val="-37"/>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4"/>
              </w:rPr>
              <w:t xml:space="preserve"> </w:t>
            </w:r>
            <w:r>
              <w:rPr>
                <w:rFonts w:ascii="Times New Roman" w:hAnsi="Times New Roman" w:eastAsia="Times New Roman" w:cs="Times New Roman"/>
                <w:spacing w:val="-4"/>
              </w:rPr>
              <w:t xml:space="preserve">7  </w:t>
            </w:r>
            <w:r>
              <w:rPr>
                <w:spacing w:val="-4"/>
              </w:rPr>
              <w:t>日</w:t>
            </w:r>
          </w:p>
        </w:tc>
        <w:tc>
          <w:tcPr>
            <w:tcW w:w="643" w:type="dxa"/>
            <w:vAlign w:val="top"/>
          </w:tcPr>
          <w:p>
            <w:pPr>
              <w:pStyle w:val="6"/>
              <w:spacing w:before="118" w:line="221" w:lineRule="auto"/>
              <w:ind w:left="118"/>
            </w:pPr>
            <w:r>
              <w:rPr>
                <w:spacing w:val="-3"/>
              </w:rPr>
              <w:t>夜间</w:t>
            </w:r>
          </w:p>
        </w:tc>
        <w:tc>
          <w:tcPr>
            <w:tcW w:w="1082" w:type="dxa"/>
            <w:vAlign w:val="top"/>
          </w:tcPr>
          <w:p>
            <w:pPr>
              <w:pStyle w:val="6"/>
              <w:spacing w:before="118" w:line="221" w:lineRule="auto"/>
              <w:ind w:left="124"/>
            </w:pPr>
            <w:r>
              <w:rPr>
                <w:spacing w:val="-1"/>
              </w:rPr>
              <w:t>道路交通</w:t>
            </w:r>
          </w:p>
        </w:tc>
        <w:tc>
          <w:tcPr>
            <w:tcW w:w="749" w:type="dxa"/>
            <w:vAlign w:val="top"/>
          </w:tcPr>
          <w:p>
            <w:pPr>
              <w:spacing w:before="157"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51.8</w:t>
            </w:r>
          </w:p>
        </w:tc>
        <w:tc>
          <w:tcPr>
            <w:tcW w:w="722" w:type="dxa"/>
            <w:vAlign w:val="top"/>
          </w:tcPr>
          <w:p>
            <w:pPr>
              <w:spacing w:before="157"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35.6</w:t>
            </w:r>
          </w:p>
        </w:tc>
        <w:tc>
          <w:tcPr>
            <w:tcW w:w="849" w:type="dxa"/>
            <w:vAlign w:val="top"/>
          </w:tcPr>
          <w:p>
            <w:pPr>
              <w:spacing w:before="160" w:line="184"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794" w:type="dxa"/>
            <w:vAlign w:val="top"/>
          </w:tcPr>
          <w:p>
            <w:pPr>
              <w:pStyle w:val="6"/>
              <w:spacing w:before="118" w:line="224" w:lineRule="auto"/>
              <w:ind w:left="298"/>
            </w:pPr>
            <w:r>
              <w:t>是</w:t>
            </w:r>
          </w:p>
        </w:tc>
        <w:tc>
          <w:tcPr>
            <w:tcW w:w="784" w:type="dxa"/>
            <w:vAlign w:val="top"/>
          </w:tcPr>
          <w:p>
            <w:pPr>
              <w:spacing w:before="160" w:line="184"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821" w:type="dxa"/>
            <w:vAlign w:val="top"/>
          </w:tcPr>
          <w:p>
            <w:pPr>
              <w:spacing w:before="157" w:line="187" w:lineRule="auto"/>
              <w:ind w:left="36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84" w:type="dxa"/>
            <w:vAlign w:val="top"/>
          </w:tcPr>
          <w:p>
            <w:pPr>
              <w:spacing w:before="157" w:line="187"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2088" w:type="dxa"/>
            <w:vAlign w:val="top"/>
          </w:tcPr>
          <w:p>
            <w:pPr>
              <w:pStyle w:val="6"/>
              <w:spacing w:before="118" w:line="221" w:lineRule="auto"/>
              <w:ind w:right="7"/>
              <w:jc w:val="right"/>
            </w:pPr>
            <w:r>
              <w:rPr>
                <w:rFonts w:ascii="Times New Roman" w:hAnsi="Times New Roman" w:eastAsia="Times New Roman" w:cs="Times New Roman"/>
                <w:spacing w:val="-14"/>
              </w:rPr>
              <w:t xml:space="preserve">322 </w:t>
            </w:r>
            <w:r>
              <w:rPr>
                <w:spacing w:val="-14"/>
              </w:rPr>
              <w:t>国道（原</w:t>
            </w:r>
            <w:r>
              <w:rPr>
                <w:spacing w:val="-51"/>
              </w:rPr>
              <w:t xml:space="preserve"> </w:t>
            </w:r>
            <w:r>
              <w:rPr>
                <w:rFonts w:ascii="Times New Roman" w:hAnsi="Times New Roman" w:eastAsia="Times New Roman" w:cs="Times New Roman"/>
                <w:spacing w:val="-14"/>
              </w:rPr>
              <w:t xml:space="preserve">56 </w:t>
            </w:r>
            <w:r>
              <w:rPr>
                <w:spacing w:val="-14"/>
              </w:rPr>
              <w:t>省道）</w:t>
            </w:r>
          </w:p>
        </w:tc>
      </w:tr>
    </w:tbl>
    <w:p>
      <w:pPr>
        <w:pStyle w:val="2"/>
      </w:pPr>
    </w:p>
    <w:p>
      <w:pPr>
        <w:sectPr>
          <w:footerReference r:id="rId199" w:type="default"/>
          <w:pgSz w:w="16839" w:h="11907"/>
          <w:pgMar w:top="1260" w:right="1372" w:bottom="1151" w:left="1375" w:header="1019" w:footer="990" w:gutter="0"/>
          <w:cols w:space="720" w:num="1"/>
        </w:sectPr>
      </w:pPr>
    </w:p>
    <w:p>
      <w:pPr>
        <w:spacing w:line="155" w:lineRule="exact"/>
      </w:pPr>
    </w:p>
    <w:tbl>
      <w:tblPr>
        <w:tblStyle w:val="5"/>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1"/>
        <w:gridCol w:w="727"/>
        <w:gridCol w:w="854"/>
        <w:gridCol w:w="552"/>
        <w:gridCol w:w="1905"/>
        <w:gridCol w:w="643"/>
        <w:gridCol w:w="1082"/>
        <w:gridCol w:w="749"/>
        <w:gridCol w:w="722"/>
        <w:gridCol w:w="849"/>
        <w:gridCol w:w="794"/>
        <w:gridCol w:w="784"/>
        <w:gridCol w:w="821"/>
        <w:gridCol w:w="984"/>
        <w:gridCol w:w="20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31" w:type="dxa"/>
            <w:vMerge w:val="restart"/>
            <w:tcBorders>
              <w:bottom w:val="nil"/>
            </w:tcBorders>
            <w:textDirection w:val="tbRlV"/>
            <w:vAlign w:val="top"/>
          </w:tcPr>
          <w:p>
            <w:pPr>
              <w:pStyle w:val="6"/>
              <w:spacing w:before="158" w:line="211" w:lineRule="auto"/>
              <w:ind w:left="41"/>
            </w:pPr>
            <w:r>
              <w:rPr>
                <w:spacing w:val="31"/>
              </w:rPr>
              <w:t>序号</w:t>
            </w:r>
          </w:p>
        </w:tc>
        <w:tc>
          <w:tcPr>
            <w:tcW w:w="2133" w:type="dxa"/>
            <w:gridSpan w:val="3"/>
            <w:vMerge w:val="restart"/>
            <w:tcBorders>
              <w:bottom w:val="nil"/>
            </w:tcBorders>
            <w:vAlign w:val="top"/>
          </w:tcPr>
          <w:p>
            <w:pPr>
              <w:pStyle w:val="6"/>
              <w:spacing w:before="175" w:line="221" w:lineRule="auto"/>
              <w:ind w:left="648"/>
            </w:pPr>
            <w:r>
              <w:rPr>
                <w:spacing w:val="-2"/>
              </w:rPr>
              <w:t>检测点位</w:t>
            </w:r>
          </w:p>
          <w:p>
            <w:pPr>
              <w:spacing w:before="134" w:line="10" w:lineRule="exact"/>
              <w:ind w:left="717"/>
            </w:pPr>
            <w:r>
              <w:drawing>
                <wp:inline distT="0" distB="0" distL="0" distR="0">
                  <wp:extent cx="548640" cy="571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464"/>
                          <a:stretch>
                            <a:fillRect/>
                          </a:stretch>
                        </pic:blipFill>
                        <pic:spPr>
                          <a:xfrm>
                            <a:off x="0" y="0"/>
                            <a:ext cx="548640" cy="6096"/>
                          </a:xfrm>
                          <a:prstGeom prst="rect">
                            <a:avLst/>
                          </a:prstGeom>
                        </pic:spPr>
                      </pic:pic>
                    </a:graphicData>
                  </a:graphic>
                </wp:inline>
              </w:drawing>
            </w:r>
          </w:p>
          <w:p>
            <w:pPr>
              <w:spacing w:line="434" w:lineRule="exact"/>
              <w:ind w:left="717"/>
            </w:pPr>
            <w:r>
              <w:rPr>
                <w:position w:val="-9"/>
              </w:rPr>
              <w:drawing>
                <wp:inline distT="0" distB="0" distL="0" distR="0">
                  <wp:extent cx="548640" cy="27559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465"/>
                          <a:stretch>
                            <a:fillRect/>
                          </a:stretch>
                        </pic:blipFill>
                        <pic:spPr>
                          <a:xfrm>
                            <a:off x="0" y="0"/>
                            <a:ext cx="548640" cy="275590"/>
                          </a:xfrm>
                          <a:prstGeom prst="rect">
                            <a:avLst/>
                          </a:prstGeom>
                        </pic:spPr>
                      </pic:pic>
                    </a:graphicData>
                  </a:graphic>
                </wp:inline>
              </w:drawing>
            </w:r>
          </w:p>
        </w:tc>
        <w:tc>
          <w:tcPr>
            <w:tcW w:w="2548" w:type="dxa"/>
            <w:gridSpan w:val="2"/>
            <w:vMerge w:val="restart"/>
            <w:tcBorders>
              <w:bottom w:val="nil"/>
            </w:tcBorders>
            <w:vAlign w:val="top"/>
          </w:tcPr>
          <w:p>
            <w:pPr>
              <w:pStyle w:val="6"/>
              <w:spacing w:before="175" w:line="221" w:lineRule="auto"/>
              <w:ind w:left="858"/>
            </w:pPr>
            <w:r>
              <w:rPr>
                <w:spacing w:val="-2"/>
              </w:rPr>
              <w:t>检测时间</w:t>
            </w:r>
          </w:p>
        </w:tc>
        <w:tc>
          <w:tcPr>
            <w:tcW w:w="1082" w:type="dxa"/>
            <w:vMerge w:val="restart"/>
            <w:tcBorders>
              <w:bottom w:val="nil"/>
            </w:tcBorders>
            <w:vAlign w:val="top"/>
          </w:tcPr>
          <w:p>
            <w:pPr>
              <w:pStyle w:val="6"/>
              <w:spacing w:before="176" w:line="221" w:lineRule="auto"/>
              <w:ind w:left="126"/>
            </w:pPr>
            <w:r>
              <w:rPr>
                <w:spacing w:val="-2"/>
              </w:rPr>
              <w:t>主要声源</w:t>
            </w:r>
          </w:p>
        </w:tc>
        <w:tc>
          <w:tcPr>
            <w:tcW w:w="1471" w:type="dxa"/>
            <w:gridSpan w:val="2"/>
            <w:vAlign w:val="top"/>
          </w:tcPr>
          <w:p>
            <w:pPr>
              <w:pStyle w:val="6"/>
              <w:spacing w:before="36" w:line="208" w:lineRule="auto"/>
              <w:ind w:left="319"/>
            </w:pPr>
            <w:r>
              <w:rPr>
                <w:spacing w:val="-2"/>
              </w:rPr>
              <w:t>检测结果</w:t>
            </w:r>
          </w:p>
        </w:tc>
        <w:tc>
          <w:tcPr>
            <w:tcW w:w="849" w:type="dxa"/>
            <w:vMerge w:val="restart"/>
            <w:tcBorders>
              <w:bottom w:val="nil"/>
            </w:tcBorders>
            <w:vAlign w:val="top"/>
          </w:tcPr>
          <w:p>
            <w:pPr>
              <w:pStyle w:val="6"/>
              <w:spacing w:before="175" w:line="221" w:lineRule="auto"/>
              <w:ind w:left="114"/>
            </w:pPr>
            <w:r>
              <w:rPr>
                <w:spacing w:val="-2"/>
              </w:rPr>
              <w:t>标准值</w:t>
            </w:r>
          </w:p>
        </w:tc>
        <w:tc>
          <w:tcPr>
            <w:tcW w:w="794" w:type="dxa"/>
            <w:vMerge w:val="restart"/>
            <w:tcBorders>
              <w:bottom w:val="nil"/>
            </w:tcBorders>
            <w:vAlign w:val="top"/>
          </w:tcPr>
          <w:p>
            <w:pPr>
              <w:pStyle w:val="6"/>
              <w:spacing w:before="42" w:line="238" w:lineRule="auto"/>
              <w:ind w:left="194"/>
            </w:pPr>
            <w:r>
              <w:rPr>
                <w:spacing w:val="-3"/>
              </w:rPr>
              <w:t>是否</w:t>
            </w:r>
          </w:p>
          <w:p>
            <w:pPr>
              <w:pStyle w:val="6"/>
              <w:spacing w:line="213" w:lineRule="auto"/>
              <w:ind w:left="190"/>
            </w:pPr>
            <w:r>
              <w:rPr>
                <w:spacing w:val="-2"/>
              </w:rPr>
              <w:t>达标</w:t>
            </w:r>
          </w:p>
        </w:tc>
        <w:tc>
          <w:tcPr>
            <w:tcW w:w="2589" w:type="dxa"/>
            <w:gridSpan w:val="3"/>
            <w:vAlign w:val="top"/>
          </w:tcPr>
          <w:p>
            <w:pPr>
              <w:pStyle w:val="6"/>
              <w:spacing w:before="36" w:line="208" w:lineRule="auto"/>
              <w:ind w:left="164"/>
            </w:pPr>
            <w:r>
              <w:rPr>
                <w:spacing w:val="-1"/>
              </w:rPr>
              <w:t>车流量情况（辆</w:t>
            </w:r>
            <w:r>
              <w:rPr>
                <w:rFonts w:ascii="Times New Roman" w:hAnsi="Times New Roman" w:eastAsia="Times New Roman" w:cs="Times New Roman"/>
                <w:spacing w:val="-1"/>
              </w:rPr>
              <w:t>/20min</w:t>
            </w:r>
            <w:r>
              <w:rPr>
                <w:spacing w:val="-1"/>
              </w:rPr>
              <w:t>）</w:t>
            </w:r>
          </w:p>
        </w:tc>
        <w:tc>
          <w:tcPr>
            <w:tcW w:w="2088" w:type="dxa"/>
            <w:vMerge w:val="restart"/>
            <w:tcBorders>
              <w:bottom w:val="nil"/>
            </w:tcBorders>
            <w:vAlign w:val="top"/>
          </w:tcPr>
          <w:p>
            <w:pPr>
              <w:pStyle w:val="6"/>
              <w:spacing w:before="175" w:line="222" w:lineRule="auto"/>
              <w:ind w:left="841"/>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31" w:type="dxa"/>
            <w:vMerge w:val="continue"/>
            <w:tcBorders>
              <w:top w:val="nil"/>
              <w:bottom w:val="nil"/>
            </w:tcBorders>
            <w:textDirection w:val="tbRlV"/>
            <w:vAlign w:val="top"/>
          </w:tcPr>
          <w:p>
            <w:pPr>
              <w:rPr>
                <w:rFonts w:ascii="Arial"/>
                <w:sz w:val="21"/>
              </w:rPr>
            </w:pPr>
          </w:p>
        </w:tc>
        <w:tc>
          <w:tcPr>
            <w:tcW w:w="2133" w:type="dxa"/>
            <w:gridSpan w:val="3"/>
            <w:vMerge w:val="continue"/>
            <w:tcBorders>
              <w:top w:val="nil"/>
              <w:bottom w:val="nil"/>
            </w:tcBorders>
            <w:vAlign w:val="top"/>
          </w:tcPr>
          <w:p>
            <w:pPr>
              <w:rPr>
                <w:rFonts w:ascii="Arial"/>
                <w:sz w:val="21"/>
              </w:rPr>
            </w:pPr>
          </w:p>
        </w:tc>
        <w:tc>
          <w:tcPr>
            <w:tcW w:w="2548" w:type="dxa"/>
            <w:gridSpan w:val="2"/>
            <w:vMerge w:val="continue"/>
            <w:tcBorders>
              <w:top w:val="nil"/>
            </w:tcBorders>
            <w:vAlign w:val="top"/>
          </w:tcPr>
          <w:p>
            <w:pPr>
              <w:rPr>
                <w:rFonts w:ascii="Arial"/>
                <w:sz w:val="21"/>
              </w:rPr>
            </w:pPr>
          </w:p>
        </w:tc>
        <w:tc>
          <w:tcPr>
            <w:tcW w:w="1082" w:type="dxa"/>
            <w:vMerge w:val="continue"/>
            <w:tcBorders>
              <w:top w:val="nil"/>
            </w:tcBorders>
            <w:vAlign w:val="top"/>
          </w:tcPr>
          <w:p>
            <w:pPr>
              <w:rPr>
                <w:rFonts w:ascii="Arial"/>
                <w:sz w:val="21"/>
              </w:rPr>
            </w:pPr>
          </w:p>
        </w:tc>
        <w:tc>
          <w:tcPr>
            <w:tcW w:w="749" w:type="dxa"/>
            <w:vAlign w:val="top"/>
          </w:tcPr>
          <w:p>
            <w:pPr>
              <w:spacing w:before="64" w:line="191"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Leq</w:t>
            </w:r>
          </w:p>
        </w:tc>
        <w:tc>
          <w:tcPr>
            <w:tcW w:w="722" w:type="dxa"/>
            <w:vAlign w:val="top"/>
          </w:tcPr>
          <w:p>
            <w:pPr>
              <w:spacing w:before="70" w:line="196" w:lineRule="auto"/>
              <w:ind w:left="227"/>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L</w:t>
            </w:r>
            <w:r>
              <w:rPr>
                <w:rFonts w:ascii="Times New Roman" w:hAnsi="Times New Roman" w:eastAsia="Times New Roman" w:cs="Times New Roman"/>
                <w:spacing w:val="2"/>
                <w:sz w:val="13"/>
                <w:szCs w:val="13"/>
              </w:rPr>
              <w:t>90</w:t>
            </w:r>
          </w:p>
        </w:tc>
        <w:tc>
          <w:tcPr>
            <w:tcW w:w="849" w:type="dxa"/>
            <w:vMerge w:val="continue"/>
            <w:tcBorders>
              <w:top w:val="nil"/>
            </w:tcBorders>
            <w:vAlign w:val="top"/>
          </w:tcPr>
          <w:p>
            <w:pPr>
              <w:rPr>
                <w:rFonts w:ascii="Arial"/>
                <w:sz w:val="21"/>
              </w:rPr>
            </w:pPr>
          </w:p>
        </w:tc>
        <w:tc>
          <w:tcPr>
            <w:tcW w:w="794" w:type="dxa"/>
            <w:vMerge w:val="continue"/>
            <w:tcBorders>
              <w:top w:val="nil"/>
            </w:tcBorders>
            <w:vAlign w:val="top"/>
          </w:tcPr>
          <w:p>
            <w:pPr>
              <w:rPr>
                <w:rFonts w:ascii="Arial"/>
                <w:sz w:val="21"/>
              </w:rPr>
            </w:pPr>
          </w:p>
        </w:tc>
        <w:tc>
          <w:tcPr>
            <w:tcW w:w="784" w:type="dxa"/>
            <w:vAlign w:val="top"/>
          </w:tcPr>
          <w:p>
            <w:pPr>
              <w:pStyle w:val="6"/>
              <w:spacing w:before="29" w:line="210" w:lineRule="auto"/>
              <w:ind w:left="191"/>
            </w:pPr>
            <w:r>
              <w:rPr>
                <w:spacing w:val="-3"/>
              </w:rPr>
              <w:t>大车</w:t>
            </w:r>
          </w:p>
        </w:tc>
        <w:tc>
          <w:tcPr>
            <w:tcW w:w="821" w:type="dxa"/>
            <w:vAlign w:val="top"/>
          </w:tcPr>
          <w:p>
            <w:pPr>
              <w:pStyle w:val="6"/>
              <w:spacing w:before="29" w:line="210" w:lineRule="auto"/>
              <w:ind w:left="227"/>
            </w:pPr>
            <w:r>
              <w:rPr>
                <w:spacing w:val="-7"/>
              </w:rPr>
              <w:t>中车</w:t>
            </w:r>
          </w:p>
        </w:tc>
        <w:tc>
          <w:tcPr>
            <w:tcW w:w="984" w:type="dxa"/>
            <w:vAlign w:val="top"/>
          </w:tcPr>
          <w:p>
            <w:pPr>
              <w:pStyle w:val="6"/>
              <w:spacing w:before="29" w:line="210" w:lineRule="auto"/>
              <w:ind w:left="294"/>
            </w:pPr>
            <w:r>
              <w:rPr>
                <w:spacing w:val="-3"/>
              </w:rPr>
              <w:t>小车</w:t>
            </w:r>
          </w:p>
        </w:tc>
        <w:tc>
          <w:tcPr>
            <w:tcW w:w="208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31" w:type="dxa"/>
            <w:vMerge w:val="continue"/>
            <w:tcBorders>
              <w:top w:val="nil"/>
            </w:tcBorders>
            <w:textDirection w:val="tbRlV"/>
            <w:vAlign w:val="top"/>
          </w:tcPr>
          <w:p>
            <w:pPr>
              <w:rPr>
                <w:rFonts w:ascii="Arial"/>
                <w:sz w:val="21"/>
              </w:rPr>
            </w:pPr>
          </w:p>
        </w:tc>
        <w:tc>
          <w:tcPr>
            <w:tcW w:w="2133" w:type="dxa"/>
            <w:gridSpan w:val="3"/>
            <w:vMerge w:val="continue"/>
            <w:tcBorders>
              <w:top w:val="nil"/>
            </w:tcBorders>
            <w:vAlign w:val="top"/>
          </w:tcPr>
          <w:p>
            <w:pPr>
              <w:rPr>
                <w:rFonts w:ascii="Arial"/>
                <w:sz w:val="21"/>
              </w:rPr>
            </w:pPr>
          </w:p>
        </w:tc>
        <w:tc>
          <w:tcPr>
            <w:tcW w:w="1905" w:type="dxa"/>
            <w:vAlign w:val="top"/>
          </w:tcPr>
          <w:p>
            <w:pPr>
              <w:rPr>
                <w:rFonts w:ascii="Arial"/>
                <w:sz w:val="21"/>
              </w:rPr>
            </w:pPr>
          </w:p>
        </w:tc>
        <w:tc>
          <w:tcPr>
            <w:tcW w:w="643" w:type="dxa"/>
            <w:vAlign w:val="top"/>
          </w:tcPr>
          <w:p>
            <w:pPr>
              <w:rPr>
                <w:rFonts w:ascii="Arial"/>
                <w:sz w:val="21"/>
              </w:rPr>
            </w:pPr>
          </w:p>
        </w:tc>
        <w:tc>
          <w:tcPr>
            <w:tcW w:w="1082" w:type="dxa"/>
            <w:vAlign w:val="top"/>
          </w:tcPr>
          <w:p>
            <w:pPr>
              <w:pStyle w:val="6"/>
              <w:spacing w:before="30" w:line="221" w:lineRule="auto"/>
              <w:ind w:left="346"/>
            </w:pPr>
            <w:r>
              <w:rPr>
                <w:spacing w:val="-4"/>
              </w:rPr>
              <w:t>噪声</w:t>
            </w:r>
          </w:p>
        </w:tc>
        <w:tc>
          <w:tcPr>
            <w:tcW w:w="749" w:type="dxa"/>
            <w:vAlign w:val="top"/>
          </w:tcPr>
          <w:p>
            <w:pPr>
              <w:rPr>
                <w:rFonts w:ascii="Arial"/>
                <w:sz w:val="21"/>
              </w:rPr>
            </w:pPr>
          </w:p>
        </w:tc>
        <w:tc>
          <w:tcPr>
            <w:tcW w:w="722" w:type="dxa"/>
            <w:vAlign w:val="top"/>
          </w:tcPr>
          <w:p>
            <w:pPr>
              <w:rPr>
                <w:rFonts w:ascii="Arial"/>
                <w:sz w:val="21"/>
              </w:rPr>
            </w:pPr>
          </w:p>
        </w:tc>
        <w:tc>
          <w:tcPr>
            <w:tcW w:w="849" w:type="dxa"/>
            <w:vAlign w:val="top"/>
          </w:tcPr>
          <w:p>
            <w:pPr>
              <w:rPr>
                <w:rFonts w:ascii="Arial"/>
                <w:sz w:val="21"/>
              </w:rPr>
            </w:pPr>
          </w:p>
        </w:tc>
        <w:tc>
          <w:tcPr>
            <w:tcW w:w="794" w:type="dxa"/>
            <w:vAlign w:val="top"/>
          </w:tcPr>
          <w:p>
            <w:pPr>
              <w:rPr>
                <w:rFonts w:ascii="Arial"/>
                <w:sz w:val="21"/>
              </w:rPr>
            </w:pP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60" w:line="187" w:lineRule="auto"/>
              <w:ind w:left="217"/>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727" w:type="dxa"/>
            <w:vMerge w:val="restart"/>
            <w:tcBorders>
              <w:bottom w:val="nil"/>
            </w:tcBorders>
            <w:vAlign w:val="top"/>
          </w:tcPr>
          <w:p>
            <w:pPr>
              <w:spacing w:line="258" w:lineRule="auto"/>
              <w:rPr>
                <w:rFonts w:ascii="Arial"/>
                <w:sz w:val="21"/>
              </w:rPr>
            </w:pPr>
          </w:p>
          <w:p>
            <w:pPr>
              <w:spacing w:line="258" w:lineRule="auto"/>
              <w:rPr>
                <w:rFonts w:ascii="Arial"/>
                <w:sz w:val="21"/>
              </w:rPr>
            </w:pPr>
          </w:p>
          <w:p>
            <w:pPr>
              <w:pStyle w:val="6"/>
              <w:spacing w:before="69" w:line="221" w:lineRule="auto"/>
              <w:ind w:left="158"/>
            </w:pPr>
            <w:r>
              <w:rPr>
                <w:spacing w:val="-2"/>
              </w:rPr>
              <w:t>让川</w:t>
            </w:r>
          </w:p>
          <w:p>
            <w:pPr>
              <w:pStyle w:val="6"/>
              <w:spacing w:before="22" w:line="220" w:lineRule="auto"/>
              <w:ind w:left="157"/>
            </w:pPr>
            <w:r>
              <w:rPr>
                <w:spacing w:val="-2"/>
              </w:rPr>
              <w:t>村安</w:t>
            </w:r>
          </w:p>
          <w:p>
            <w:pPr>
              <w:pStyle w:val="6"/>
              <w:spacing w:before="21" w:line="223" w:lineRule="auto"/>
              <w:ind w:left="154"/>
            </w:pPr>
            <w:r>
              <w:rPr>
                <w:spacing w:val="-2"/>
              </w:rPr>
              <w:t>置小</w:t>
            </w:r>
          </w:p>
          <w:p>
            <w:pPr>
              <w:pStyle w:val="6"/>
              <w:spacing w:before="19" w:line="226" w:lineRule="auto"/>
              <w:ind w:left="275"/>
            </w:pPr>
            <w:r>
              <w:t>区</w:t>
            </w:r>
          </w:p>
        </w:tc>
        <w:tc>
          <w:tcPr>
            <w:tcW w:w="854"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9" w:line="221" w:lineRule="auto"/>
              <w:ind w:left="109"/>
            </w:pPr>
            <w:r>
              <w:rPr>
                <w:rFonts w:ascii="Times New Roman" w:hAnsi="Times New Roman" w:eastAsia="Times New Roman" w:cs="Times New Roman"/>
                <w:spacing w:val="-3"/>
              </w:rPr>
              <w:t>2</w:t>
            </w:r>
            <w:r>
              <w:rPr>
                <w:rFonts w:ascii="Times New Roman" w:hAnsi="Times New Roman" w:eastAsia="Times New Roman" w:cs="Times New Roman"/>
                <w:spacing w:val="5"/>
              </w:rPr>
              <w:t xml:space="preserve">  </w:t>
            </w:r>
            <w:r>
              <w:rPr>
                <w:spacing w:val="-3"/>
              </w:rPr>
              <w:t>类第</w:t>
            </w:r>
          </w:p>
          <w:p>
            <w:pPr>
              <w:pStyle w:val="6"/>
              <w:spacing w:before="20" w:line="223" w:lineRule="auto"/>
              <w:ind w:left="222"/>
            </w:pPr>
            <w:r>
              <w:rPr>
                <w:spacing w:val="-5"/>
              </w:rPr>
              <w:t>一排</w:t>
            </w:r>
          </w:p>
        </w:tc>
        <w:tc>
          <w:tcPr>
            <w:tcW w:w="552" w:type="dxa"/>
            <w:vMerge w:val="restart"/>
            <w:tcBorders>
              <w:bottom w:val="nil"/>
            </w:tcBorders>
            <w:vAlign w:val="top"/>
          </w:tcPr>
          <w:p>
            <w:pPr>
              <w:spacing w:line="418"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Align w:val="top"/>
          </w:tcPr>
          <w:p>
            <w:pPr>
              <w:pStyle w:val="6"/>
              <w:spacing w:before="165"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Align w:val="top"/>
          </w:tcPr>
          <w:p>
            <w:pPr>
              <w:pStyle w:val="6"/>
              <w:spacing w:before="166" w:line="223" w:lineRule="auto"/>
              <w:ind w:left="114"/>
            </w:pPr>
            <w:r>
              <w:rPr>
                <w:spacing w:val="-2"/>
              </w:rPr>
              <w:t>昼间</w:t>
            </w:r>
          </w:p>
        </w:tc>
        <w:tc>
          <w:tcPr>
            <w:tcW w:w="1082" w:type="dxa"/>
            <w:vAlign w:val="top"/>
          </w:tcPr>
          <w:p>
            <w:pPr>
              <w:pStyle w:val="6"/>
              <w:spacing w:before="29" w:line="224"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4"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722" w:type="dxa"/>
            <w:vAlign w:val="top"/>
          </w:tcPr>
          <w:p>
            <w:pPr>
              <w:spacing w:before="204"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38.0</w:t>
            </w:r>
          </w:p>
        </w:tc>
        <w:tc>
          <w:tcPr>
            <w:tcW w:w="849" w:type="dxa"/>
            <w:vAlign w:val="top"/>
          </w:tcPr>
          <w:p>
            <w:pPr>
              <w:spacing w:before="204"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66" w:line="224" w:lineRule="auto"/>
              <w:ind w:left="298"/>
            </w:pPr>
            <w:r>
              <w:t>是</w:t>
            </w:r>
          </w:p>
        </w:tc>
        <w:tc>
          <w:tcPr>
            <w:tcW w:w="784" w:type="dxa"/>
            <w:vAlign w:val="top"/>
          </w:tcPr>
          <w:p>
            <w:pPr>
              <w:spacing w:before="204" w:line="187"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821" w:type="dxa"/>
            <w:vAlign w:val="top"/>
          </w:tcPr>
          <w:p>
            <w:pPr>
              <w:spacing w:before="205" w:line="187" w:lineRule="auto"/>
              <w:ind w:left="36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984" w:type="dxa"/>
            <w:vAlign w:val="top"/>
          </w:tcPr>
          <w:p>
            <w:pPr>
              <w:spacing w:before="204"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088" w:type="dxa"/>
            <w:vAlign w:val="top"/>
          </w:tcPr>
          <w:p>
            <w:pPr>
              <w:pStyle w:val="6"/>
              <w:spacing w:before="165" w:line="221" w:lineRule="auto"/>
              <w:ind w:right="7"/>
              <w:jc w:val="right"/>
            </w:pPr>
            <w:r>
              <w:rPr>
                <w:rFonts w:ascii="Times New Roman" w:hAnsi="Times New Roman" w:eastAsia="Times New Roman" w:cs="Times New Roman"/>
                <w:spacing w:val="-14"/>
              </w:rPr>
              <w:t xml:space="preserve">322 </w:t>
            </w:r>
            <w:r>
              <w:rPr>
                <w:spacing w:val="-14"/>
              </w:rPr>
              <w:t>国道（原</w:t>
            </w:r>
            <w:r>
              <w:rPr>
                <w:spacing w:val="-51"/>
              </w:rPr>
              <w:t xml:space="preserve"> </w:t>
            </w:r>
            <w:r>
              <w:rPr>
                <w:rFonts w:ascii="Times New Roman" w:hAnsi="Times New Roman" w:eastAsia="Times New Roman" w:cs="Times New Roman"/>
                <w:spacing w:val="-14"/>
              </w:rPr>
              <w:t xml:space="preserve">56 </w:t>
            </w:r>
            <w:r>
              <w:rPr>
                <w:spacing w:val="-14"/>
              </w:rPr>
              <w:t>省道）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Align w:val="top"/>
          </w:tcPr>
          <w:p>
            <w:pPr>
              <w:pStyle w:val="6"/>
              <w:spacing w:before="166" w:line="221" w:lineRule="auto"/>
              <w:ind w:left="189"/>
            </w:pPr>
            <w:r>
              <w:rPr>
                <w:rFonts w:ascii="Times New Roman" w:hAnsi="Times New Roman" w:eastAsia="Times New Roman" w:cs="Times New Roman"/>
                <w:spacing w:val="-4"/>
              </w:rPr>
              <w:t xml:space="preserve">2023 </w:t>
            </w:r>
            <w:r>
              <w:rPr>
                <w:spacing w:val="-4"/>
              </w:rPr>
              <w:t>年</w:t>
            </w:r>
            <w:r>
              <w:rPr>
                <w:spacing w:val="-37"/>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4"/>
              </w:rPr>
              <w:t xml:space="preserve"> </w:t>
            </w:r>
            <w:r>
              <w:rPr>
                <w:rFonts w:ascii="Times New Roman" w:hAnsi="Times New Roman" w:eastAsia="Times New Roman" w:cs="Times New Roman"/>
                <w:spacing w:val="-4"/>
              </w:rPr>
              <w:t xml:space="preserve">7  </w:t>
            </w:r>
            <w:r>
              <w:rPr>
                <w:spacing w:val="-4"/>
              </w:rPr>
              <w:t>日</w:t>
            </w:r>
          </w:p>
        </w:tc>
        <w:tc>
          <w:tcPr>
            <w:tcW w:w="643" w:type="dxa"/>
            <w:vAlign w:val="top"/>
          </w:tcPr>
          <w:p>
            <w:pPr>
              <w:pStyle w:val="6"/>
              <w:spacing w:before="166" w:line="221" w:lineRule="auto"/>
              <w:ind w:left="118"/>
            </w:pPr>
            <w:r>
              <w:rPr>
                <w:spacing w:val="-3"/>
              </w:rPr>
              <w:t>夜间</w:t>
            </w:r>
          </w:p>
        </w:tc>
        <w:tc>
          <w:tcPr>
            <w:tcW w:w="1082" w:type="dxa"/>
            <w:vAlign w:val="top"/>
          </w:tcPr>
          <w:p>
            <w:pPr>
              <w:pStyle w:val="6"/>
              <w:spacing w:before="30" w:line="224"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5"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722" w:type="dxa"/>
            <w:vAlign w:val="top"/>
          </w:tcPr>
          <w:p>
            <w:pPr>
              <w:spacing w:before="205"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37.8</w:t>
            </w:r>
          </w:p>
        </w:tc>
        <w:tc>
          <w:tcPr>
            <w:tcW w:w="849" w:type="dxa"/>
            <w:vAlign w:val="top"/>
          </w:tcPr>
          <w:p>
            <w:pPr>
              <w:spacing w:before="2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66" w:line="224" w:lineRule="auto"/>
              <w:ind w:left="298"/>
            </w:pPr>
            <w:r>
              <w:t>是</w:t>
            </w:r>
          </w:p>
        </w:tc>
        <w:tc>
          <w:tcPr>
            <w:tcW w:w="784" w:type="dxa"/>
            <w:vAlign w:val="top"/>
          </w:tcPr>
          <w:p>
            <w:pPr>
              <w:spacing w:before="205"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821" w:type="dxa"/>
            <w:vAlign w:val="top"/>
          </w:tcPr>
          <w:p>
            <w:pPr>
              <w:spacing w:before="205" w:line="187" w:lineRule="auto"/>
              <w:ind w:left="38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84" w:type="dxa"/>
            <w:vAlign w:val="top"/>
          </w:tcPr>
          <w:p>
            <w:pPr>
              <w:spacing w:before="208" w:line="184"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088" w:type="dxa"/>
            <w:vAlign w:val="top"/>
          </w:tcPr>
          <w:p>
            <w:pPr>
              <w:pStyle w:val="6"/>
              <w:spacing w:before="166" w:line="221" w:lineRule="auto"/>
              <w:ind w:right="7"/>
              <w:jc w:val="right"/>
            </w:pPr>
            <w:r>
              <w:rPr>
                <w:rFonts w:ascii="Times New Roman" w:hAnsi="Times New Roman" w:eastAsia="Times New Roman" w:cs="Times New Roman"/>
                <w:spacing w:val="-14"/>
              </w:rPr>
              <w:t xml:space="preserve">322 </w:t>
            </w:r>
            <w:r>
              <w:rPr>
                <w:spacing w:val="-14"/>
              </w:rPr>
              <w:t>国道（原</w:t>
            </w:r>
            <w:r>
              <w:rPr>
                <w:spacing w:val="-51"/>
              </w:rPr>
              <w:t xml:space="preserve"> </w:t>
            </w:r>
            <w:r>
              <w:rPr>
                <w:rFonts w:ascii="Times New Roman" w:hAnsi="Times New Roman" w:eastAsia="Times New Roman" w:cs="Times New Roman"/>
                <w:spacing w:val="-14"/>
              </w:rPr>
              <w:t xml:space="preserve">56 </w:t>
            </w:r>
            <w:r>
              <w:rPr>
                <w:spacing w:val="-14"/>
              </w:rPr>
              <w:t>省道）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restart"/>
            <w:tcBorders>
              <w:bottom w:val="nil"/>
            </w:tcBorders>
            <w:vAlign w:val="top"/>
          </w:tcPr>
          <w:p>
            <w:pPr>
              <w:spacing w:line="420" w:lineRule="auto"/>
              <w:rPr>
                <w:rFonts w:ascii="Arial"/>
                <w:sz w:val="21"/>
              </w:rPr>
            </w:pPr>
          </w:p>
          <w:p>
            <w:pPr>
              <w:spacing w:before="61"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Align w:val="top"/>
          </w:tcPr>
          <w:p>
            <w:pPr>
              <w:pStyle w:val="6"/>
              <w:spacing w:before="166"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Align w:val="top"/>
          </w:tcPr>
          <w:p>
            <w:pPr>
              <w:pStyle w:val="6"/>
              <w:spacing w:before="167" w:line="223" w:lineRule="auto"/>
              <w:ind w:left="114"/>
            </w:pPr>
            <w:r>
              <w:rPr>
                <w:spacing w:val="-2"/>
              </w:rPr>
              <w:t>昼间</w:t>
            </w:r>
          </w:p>
        </w:tc>
        <w:tc>
          <w:tcPr>
            <w:tcW w:w="1082" w:type="dxa"/>
            <w:vAlign w:val="top"/>
          </w:tcPr>
          <w:p>
            <w:pPr>
              <w:pStyle w:val="6"/>
              <w:spacing w:before="29" w:line="224"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5"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722" w:type="dxa"/>
            <w:vAlign w:val="top"/>
          </w:tcPr>
          <w:p>
            <w:pPr>
              <w:spacing w:before="205"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849" w:type="dxa"/>
            <w:vAlign w:val="top"/>
          </w:tcPr>
          <w:p>
            <w:pPr>
              <w:spacing w:before="20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66" w:line="224" w:lineRule="auto"/>
              <w:ind w:left="298"/>
            </w:pPr>
            <w:r>
              <w:t>是</w:t>
            </w:r>
          </w:p>
        </w:tc>
        <w:tc>
          <w:tcPr>
            <w:tcW w:w="784" w:type="dxa"/>
            <w:vAlign w:val="top"/>
          </w:tcPr>
          <w:p>
            <w:pPr>
              <w:spacing w:before="205" w:line="187"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821" w:type="dxa"/>
            <w:vAlign w:val="top"/>
          </w:tcPr>
          <w:p>
            <w:pPr>
              <w:spacing w:before="205" w:line="187" w:lineRule="auto"/>
              <w:ind w:left="36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984" w:type="dxa"/>
            <w:vAlign w:val="top"/>
          </w:tcPr>
          <w:p>
            <w:pPr>
              <w:spacing w:before="205"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088" w:type="dxa"/>
            <w:vAlign w:val="top"/>
          </w:tcPr>
          <w:p>
            <w:pPr>
              <w:pStyle w:val="6"/>
              <w:spacing w:before="166" w:line="221" w:lineRule="auto"/>
              <w:ind w:right="7"/>
              <w:jc w:val="right"/>
            </w:pPr>
            <w:r>
              <w:rPr>
                <w:rFonts w:ascii="Times New Roman" w:hAnsi="Times New Roman" w:eastAsia="Times New Roman" w:cs="Times New Roman"/>
                <w:spacing w:val="-14"/>
              </w:rPr>
              <w:t xml:space="preserve">322 </w:t>
            </w:r>
            <w:r>
              <w:rPr>
                <w:spacing w:val="-14"/>
              </w:rPr>
              <w:t>国道（原</w:t>
            </w:r>
            <w:r>
              <w:rPr>
                <w:spacing w:val="-51"/>
              </w:rPr>
              <w:t xml:space="preserve"> </w:t>
            </w:r>
            <w:r>
              <w:rPr>
                <w:rFonts w:ascii="Times New Roman" w:hAnsi="Times New Roman" w:eastAsia="Times New Roman" w:cs="Times New Roman"/>
                <w:spacing w:val="-14"/>
              </w:rPr>
              <w:t xml:space="preserve">56 </w:t>
            </w:r>
            <w:r>
              <w:rPr>
                <w:spacing w:val="-14"/>
              </w:rPr>
              <w:t>省道）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Align w:val="top"/>
          </w:tcPr>
          <w:p>
            <w:pPr>
              <w:pStyle w:val="6"/>
              <w:spacing w:before="166" w:line="221" w:lineRule="auto"/>
              <w:ind w:left="189"/>
            </w:pPr>
            <w:r>
              <w:rPr>
                <w:rFonts w:ascii="Times New Roman" w:hAnsi="Times New Roman" w:eastAsia="Times New Roman" w:cs="Times New Roman"/>
                <w:spacing w:val="-4"/>
              </w:rPr>
              <w:t xml:space="preserve">2023 </w:t>
            </w:r>
            <w:r>
              <w:rPr>
                <w:spacing w:val="-4"/>
              </w:rPr>
              <w:t>年</w:t>
            </w:r>
            <w:r>
              <w:rPr>
                <w:spacing w:val="-37"/>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4"/>
              </w:rPr>
              <w:t xml:space="preserve"> </w:t>
            </w:r>
            <w:r>
              <w:rPr>
                <w:rFonts w:ascii="Times New Roman" w:hAnsi="Times New Roman" w:eastAsia="Times New Roman" w:cs="Times New Roman"/>
                <w:spacing w:val="-4"/>
              </w:rPr>
              <w:t xml:space="preserve">7  </w:t>
            </w:r>
            <w:r>
              <w:rPr>
                <w:spacing w:val="-4"/>
              </w:rPr>
              <w:t>日</w:t>
            </w:r>
          </w:p>
        </w:tc>
        <w:tc>
          <w:tcPr>
            <w:tcW w:w="643" w:type="dxa"/>
            <w:vAlign w:val="top"/>
          </w:tcPr>
          <w:p>
            <w:pPr>
              <w:pStyle w:val="6"/>
              <w:spacing w:before="166" w:line="221" w:lineRule="auto"/>
              <w:ind w:left="118"/>
            </w:pPr>
            <w:r>
              <w:rPr>
                <w:spacing w:val="-3"/>
              </w:rPr>
              <w:t>夜间</w:t>
            </w:r>
          </w:p>
        </w:tc>
        <w:tc>
          <w:tcPr>
            <w:tcW w:w="1082" w:type="dxa"/>
            <w:vAlign w:val="top"/>
          </w:tcPr>
          <w:p>
            <w:pPr>
              <w:pStyle w:val="6"/>
              <w:spacing w:before="29" w:line="224"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5"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45.1</w:t>
            </w:r>
          </w:p>
        </w:tc>
        <w:tc>
          <w:tcPr>
            <w:tcW w:w="722" w:type="dxa"/>
            <w:vAlign w:val="top"/>
          </w:tcPr>
          <w:p>
            <w:pPr>
              <w:spacing w:before="205"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37.2</w:t>
            </w:r>
          </w:p>
        </w:tc>
        <w:tc>
          <w:tcPr>
            <w:tcW w:w="849" w:type="dxa"/>
            <w:vAlign w:val="top"/>
          </w:tcPr>
          <w:p>
            <w:pPr>
              <w:spacing w:before="2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67" w:line="224" w:lineRule="auto"/>
              <w:ind w:left="298"/>
            </w:pPr>
            <w:r>
              <w:t>是</w:t>
            </w:r>
          </w:p>
        </w:tc>
        <w:tc>
          <w:tcPr>
            <w:tcW w:w="784" w:type="dxa"/>
            <w:vAlign w:val="top"/>
          </w:tcPr>
          <w:p>
            <w:pPr>
              <w:spacing w:before="205"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821" w:type="dxa"/>
            <w:vAlign w:val="top"/>
          </w:tcPr>
          <w:p>
            <w:pPr>
              <w:spacing w:before="205" w:line="187" w:lineRule="auto"/>
              <w:ind w:left="38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84" w:type="dxa"/>
            <w:vAlign w:val="top"/>
          </w:tcPr>
          <w:p>
            <w:pPr>
              <w:spacing w:before="208" w:line="184"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088" w:type="dxa"/>
            <w:vAlign w:val="top"/>
          </w:tcPr>
          <w:p>
            <w:pPr>
              <w:pStyle w:val="6"/>
              <w:spacing w:before="166" w:line="221" w:lineRule="auto"/>
              <w:ind w:right="7"/>
              <w:jc w:val="right"/>
            </w:pPr>
            <w:r>
              <w:rPr>
                <w:rFonts w:ascii="Times New Roman" w:hAnsi="Times New Roman" w:eastAsia="Times New Roman" w:cs="Times New Roman"/>
                <w:spacing w:val="-14"/>
              </w:rPr>
              <w:t xml:space="preserve">322 </w:t>
            </w:r>
            <w:r>
              <w:rPr>
                <w:spacing w:val="-14"/>
              </w:rPr>
              <w:t>国道（原</w:t>
            </w:r>
            <w:r>
              <w:rPr>
                <w:spacing w:val="-51"/>
              </w:rPr>
              <w:t xml:space="preserve"> </w:t>
            </w:r>
            <w:r>
              <w:rPr>
                <w:rFonts w:ascii="Times New Roman" w:hAnsi="Times New Roman" w:eastAsia="Times New Roman" w:cs="Times New Roman"/>
                <w:spacing w:val="-14"/>
              </w:rPr>
              <w:t xml:space="preserve">56 </w:t>
            </w:r>
            <w:r>
              <w:rPr>
                <w:spacing w:val="-14"/>
              </w:rPr>
              <w:t>省道）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727"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8" w:line="241" w:lineRule="auto"/>
              <w:ind w:left="156"/>
            </w:pPr>
            <w:r>
              <w:rPr>
                <w:spacing w:val="-2"/>
              </w:rPr>
              <w:t>双田</w:t>
            </w:r>
          </w:p>
          <w:p>
            <w:pPr>
              <w:pStyle w:val="6"/>
              <w:spacing w:line="219" w:lineRule="auto"/>
              <w:ind w:left="260"/>
            </w:pPr>
            <w:r>
              <w:t>村</w:t>
            </w:r>
          </w:p>
        </w:tc>
        <w:tc>
          <w:tcPr>
            <w:tcW w:w="854"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9" w:line="231" w:lineRule="auto"/>
              <w:ind w:left="113" w:right="109" w:firstLine="81"/>
            </w:pPr>
            <w:r>
              <w:rPr>
                <w:rFonts w:ascii="Times New Roman" w:hAnsi="Times New Roman" w:eastAsia="Times New Roman" w:cs="Times New Roman"/>
                <w:spacing w:val="-4"/>
              </w:rPr>
              <w:t>4a</w:t>
            </w:r>
            <w:r>
              <w:rPr>
                <w:rFonts w:ascii="Times New Roman" w:hAnsi="Times New Roman" w:eastAsia="Times New Roman" w:cs="Times New Roman"/>
                <w:spacing w:val="10"/>
              </w:rPr>
              <w:t xml:space="preserve"> </w:t>
            </w:r>
            <w:r>
              <w:rPr>
                <w:spacing w:val="-4"/>
              </w:rPr>
              <w:t>类</w:t>
            </w:r>
            <w:r>
              <w:t xml:space="preserve"> </w:t>
            </w:r>
            <w:r>
              <w:rPr>
                <w:spacing w:val="-2"/>
              </w:rPr>
              <w:t>第一排</w:t>
            </w:r>
          </w:p>
        </w:tc>
        <w:tc>
          <w:tcPr>
            <w:tcW w:w="552" w:type="dxa"/>
            <w:vMerge w:val="restart"/>
            <w:tcBorders>
              <w:bottom w:val="nil"/>
            </w:tcBorders>
            <w:vAlign w:val="top"/>
          </w:tcPr>
          <w:p>
            <w:pPr>
              <w:spacing w:line="421"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Merge w:val="restart"/>
            <w:tcBorders>
              <w:bottom w:val="nil"/>
            </w:tcBorders>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69" w:line="221" w:lineRule="auto"/>
              <w:ind w:left="136"/>
            </w:pPr>
            <w:r>
              <w:rPr>
                <w:rFonts w:ascii="Times New Roman" w:hAnsi="Times New Roman" w:eastAsia="Times New Roman" w:cs="Times New Roman"/>
                <w:spacing w:val="-3"/>
              </w:rPr>
              <w:t xml:space="preserve">2024 </w:t>
            </w:r>
            <w:r>
              <w:rPr>
                <w:spacing w:val="-3"/>
              </w:rPr>
              <w:t>年</w:t>
            </w:r>
            <w:r>
              <w:rPr>
                <w:spacing w:val="-4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1"/>
              </w:rPr>
              <w:t xml:space="preserve"> </w:t>
            </w:r>
            <w:r>
              <w:rPr>
                <w:spacing w:val="-3"/>
              </w:rPr>
              <w:t>月</w:t>
            </w:r>
            <w:r>
              <w:rPr>
                <w:spacing w:val="-47"/>
              </w:rPr>
              <w:t xml:space="preserve"> </w:t>
            </w:r>
            <w:r>
              <w:rPr>
                <w:rFonts w:ascii="Times New Roman" w:hAnsi="Times New Roman" w:eastAsia="Times New Roman" w:cs="Times New Roman"/>
                <w:spacing w:val="-3"/>
              </w:rPr>
              <w:t xml:space="preserve">20  </w:t>
            </w:r>
            <w:r>
              <w:rPr>
                <w:spacing w:val="-3"/>
              </w:rPr>
              <w:t>日</w:t>
            </w:r>
          </w:p>
        </w:tc>
        <w:tc>
          <w:tcPr>
            <w:tcW w:w="643" w:type="dxa"/>
            <w:vAlign w:val="top"/>
          </w:tcPr>
          <w:p>
            <w:pPr>
              <w:pStyle w:val="6"/>
              <w:spacing w:before="168" w:line="223" w:lineRule="auto"/>
              <w:ind w:left="114"/>
            </w:pPr>
            <w:r>
              <w:rPr>
                <w:spacing w:val="-2"/>
              </w:rPr>
              <w:t>昼间</w:t>
            </w:r>
          </w:p>
        </w:tc>
        <w:tc>
          <w:tcPr>
            <w:tcW w:w="1082" w:type="dxa"/>
            <w:vAlign w:val="top"/>
          </w:tcPr>
          <w:p>
            <w:pPr>
              <w:pStyle w:val="6"/>
              <w:spacing w:before="31" w:line="223"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6"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722" w:type="dxa"/>
            <w:vAlign w:val="top"/>
          </w:tcPr>
          <w:p>
            <w:pPr>
              <w:spacing w:before="206"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38.4</w:t>
            </w:r>
          </w:p>
        </w:tc>
        <w:tc>
          <w:tcPr>
            <w:tcW w:w="849" w:type="dxa"/>
            <w:vAlign w:val="top"/>
          </w:tcPr>
          <w:p>
            <w:pPr>
              <w:spacing w:before="206"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794" w:type="dxa"/>
            <w:vAlign w:val="top"/>
          </w:tcPr>
          <w:p>
            <w:pPr>
              <w:pStyle w:val="6"/>
              <w:spacing w:before="167"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67" w:line="221" w:lineRule="auto"/>
              <w:ind w:left="118"/>
            </w:pPr>
            <w:r>
              <w:rPr>
                <w:spacing w:val="-3"/>
              </w:rPr>
              <w:t>夜间</w:t>
            </w:r>
          </w:p>
        </w:tc>
        <w:tc>
          <w:tcPr>
            <w:tcW w:w="1082" w:type="dxa"/>
            <w:vAlign w:val="top"/>
          </w:tcPr>
          <w:p>
            <w:pPr>
              <w:pStyle w:val="6"/>
              <w:spacing w:before="33" w:line="223"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722" w:type="dxa"/>
            <w:vAlign w:val="top"/>
          </w:tcPr>
          <w:p>
            <w:pPr>
              <w:spacing w:before="208"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37.0</w:t>
            </w:r>
          </w:p>
        </w:tc>
        <w:tc>
          <w:tcPr>
            <w:tcW w:w="849" w:type="dxa"/>
            <w:vAlign w:val="top"/>
          </w:tcPr>
          <w:p>
            <w:pPr>
              <w:spacing w:before="209" w:line="184"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794" w:type="dxa"/>
            <w:vAlign w:val="top"/>
          </w:tcPr>
          <w:p>
            <w:pPr>
              <w:pStyle w:val="6"/>
              <w:spacing w:before="168"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restart"/>
            <w:tcBorders>
              <w:bottom w:val="nil"/>
            </w:tcBorders>
            <w:vAlign w:val="top"/>
          </w:tcPr>
          <w:p>
            <w:pPr>
              <w:spacing w:line="420" w:lineRule="auto"/>
              <w:rPr>
                <w:rFonts w:ascii="Arial"/>
                <w:sz w:val="21"/>
              </w:rPr>
            </w:pPr>
          </w:p>
          <w:p>
            <w:pPr>
              <w:spacing w:before="61"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67" w:line="223" w:lineRule="auto"/>
              <w:ind w:left="114"/>
            </w:pPr>
            <w:r>
              <w:rPr>
                <w:spacing w:val="-2"/>
              </w:rPr>
              <w:t>昼间</w:t>
            </w:r>
          </w:p>
        </w:tc>
        <w:tc>
          <w:tcPr>
            <w:tcW w:w="1082" w:type="dxa"/>
            <w:vAlign w:val="top"/>
          </w:tcPr>
          <w:p>
            <w:pPr>
              <w:pStyle w:val="6"/>
              <w:spacing w:before="31" w:line="223"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7"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722" w:type="dxa"/>
            <w:vAlign w:val="top"/>
          </w:tcPr>
          <w:p>
            <w:pPr>
              <w:spacing w:before="207"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38.2</w:t>
            </w:r>
          </w:p>
        </w:tc>
        <w:tc>
          <w:tcPr>
            <w:tcW w:w="849" w:type="dxa"/>
            <w:vAlign w:val="top"/>
          </w:tcPr>
          <w:p>
            <w:pPr>
              <w:spacing w:before="205"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794" w:type="dxa"/>
            <w:vAlign w:val="top"/>
          </w:tcPr>
          <w:p>
            <w:pPr>
              <w:pStyle w:val="6"/>
              <w:spacing w:before="166"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Align w:val="top"/>
          </w:tcPr>
          <w:p>
            <w:pPr>
              <w:pStyle w:val="6"/>
              <w:spacing w:before="169" w:line="221" w:lineRule="auto"/>
              <w:ind w:left="118"/>
            </w:pPr>
            <w:r>
              <w:rPr>
                <w:spacing w:val="-3"/>
              </w:rPr>
              <w:t>夜间</w:t>
            </w:r>
          </w:p>
        </w:tc>
        <w:tc>
          <w:tcPr>
            <w:tcW w:w="1082" w:type="dxa"/>
            <w:vAlign w:val="top"/>
          </w:tcPr>
          <w:p>
            <w:pPr>
              <w:pStyle w:val="6"/>
              <w:spacing w:before="31" w:line="223"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722" w:type="dxa"/>
            <w:vAlign w:val="top"/>
          </w:tcPr>
          <w:p>
            <w:pPr>
              <w:spacing w:before="208"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36.6</w:t>
            </w:r>
          </w:p>
        </w:tc>
        <w:tc>
          <w:tcPr>
            <w:tcW w:w="849" w:type="dxa"/>
            <w:vAlign w:val="top"/>
          </w:tcPr>
          <w:p>
            <w:pPr>
              <w:spacing w:before="211" w:line="184"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794" w:type="dxa"/>
            <w:vAlign w:val="top"/>
          </w:tcPr>
          <w:p>
            <w:pPr>
              <w:pStyle w:val="6"/>
              <w:spacing w:before="169"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72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8" w:line="238" w:lineRule="auto"/>
              <w:ind w:left="160"/>
            </w:pPr>
            <w:r>
              <w:rPr>
                <w:spacing w:val="-3"/>
              </w:rPr>
              <w:t>丁坑</w:t>
            </w:r>
          </w:p>
          <w:p>
            <w:pPr>
              <w:pStyle w:val="6"/>
              <w:spacing w:line="221" w:lineRule="auto"/>
              <w:ind w:left="264"/>
            </w:pPr>
            <w:r>
              <w:t>岭</w:t>
            </w:r>
          </w:p>
        </w:tc>
        <w:tc>
          <w:tcPr>
            <w:tcW w:w="854" w:type="dxa"/>
            <w:vMerge w:val="restart"/>
            <w:tcBorders>
              <w:bottom w:val="nil"/>
            </w:tcBorders>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69" w:line="221" w:lineRule="auto"/>
              <w:ind w:left="24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2" w:type="dxa"/>
            <w:vMerge w:val="restart"/>
            <w:tcBorders>
              <w:bottom w:val="nil"/>
            </w:tcBorders>
            <w:vAlign w:val="top"/>
          </w:tcPr>
          <w:p>
            <w:pPr>
              <w:spacing w:line="421"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Align w:val="top"/>
          </w:tcPr>
          <w:p>
            <w:pPr>
              <w:pStyle w:val="6"/>
              <w:spacing w:before="169"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Align w:val="top"/>
          </w:tcPr>
          <w:p>
            <w:pPr>
              <w:pStyle w:val="6"/>
              <w:spacing w:before="170" w:line="223" w:lineRule="auto"/>
              <w:ind w:left="114"/>
            </w:pPr>
            <w:r>
              <w:rPr>
                <w:spacing w:val="-2"/>
              </w:rPr>
              <w:t>昼间</w:t>
            </w:r>
          </w:p>
        </w:tc>
        <w:tc>
          <w:tcPr>
            <w:tcW w:w="1082" w:type="dxa"/>
            <w:vAlign w:val="top"/>
          </w:tcPr>
          <w:p>
            <w:pPr>
              <w:pStyle w:val="6"/>
              <w:spacing w:before="33" w:line="222"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8"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49.6</w:t>
            </w:r>
          </w:p>
        </w:tc>
        <w:tc>
          <w:tcPr>
            <w:tcW w:w="722" w:type="dxa"/>
            <w:vAlign w:val="top"/>
          </w:tcPr>
          <w:p>
            <w:pPr>
              <w:spacing w:before="208"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849" w:type="dxa"/>
            <w:vAlign w:val="top"/>
          </w:tcPr>
          <w:p>
            <w:pPr>
              <w:spacing w:before="208"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70"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Align w:val="top"/>
          </w:tcPr>
          <w:p>
            <w:pPr>
              <w:pStyle w:val="6"/>
              <w:spacing w:before="169" w:line="221" w:lineRule="auto"/>
              <w:ind w:left="189"/>
            </w:pPr>
            <w:r>
              <w:rPr>
                <w:rFonts w:ascii="Times New Roman" w:hAnsi="Times New Roman" w:eastAsia="Times New Roman" w:cs="Times New Roman"/>
                <w:spacing w:val="-4"/>
              </w:rPr>
              <w:t xml:space="preserve">2023 </w:t>
            </w:r>
            <w:r>
              <w:rPr>
                <w:spacing w:val="-4"/>
              </w:rPr>
              <w:t>年</w:t>
            </w:r>
            <w:r>
              <w:rPr>
                <w:spacing w:val="-37"/>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4"/>
              </w:rPr>
              <w:t xml:space="preserve"> </w:t>
            </w:r>
            <w:r>
              <w:rPr>
                <w:rFonts w:ascii="Times New Roman" w:hAnsi="Times New Roman" w:eastAsia="Times New Roman" w:cs="Times New Roman"/>
                <w:spacing w:val="-4"/>
              </w:rPr>
              <w:t xml:space="preserve">7  </w:t>
            </w:r>
            <w:r>
              <w:rPr>
                <w:spacing w:val="-4"/>
              </w:rPr>
              <w:t>日</w:t>
            </w:r>
          </w:p>
        </w:tc>
        <w:tc>
          <w:tcPr>
            <w:tcW w:w="643" w:type="dxa"/>
            <w:vAlign w:val="top"/>
          </w:tcPr>
          <w:p>
            <w:pPr>
              <w:pStyle w:val="6"/>
              <w:spacing w:before="169" w:line="221" w:lineRule="auto"/>
              <w:ind w:left="118"/>
            </w:pPr>
            <w:r>
              <w:rPr>
                <w:spacing w:val="-3"/>
              </w:rPr>
              <w:t>夜间</w:t>
            </w:r>
          </w:p>
        </w:tc>
        <w:tc>
          <w:tcPr>
            <w:tcW w:w="1082" w:type="dxa"/>
            <w:vAlign w:val="top"/>
          </w:tcPr>
          <w:p>
            <w:pPr>
              <w:pStyle w:val="6"/>
              <w:spacing w:before="33" w:line="222"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8"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w:t>
            </w:r>
          </w:p>
        </w:tc>
        <w:tc>
          <w:tcPr>
            <w:tcW w:w="722" w:type="dxa"/>
            <w:vAlign w:val="top"/>
          </w:tcPr>
          <w:p>
            <w:pPr>
              <w:spacing w:before="208"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39.2</w:t>
            </w:r>
          </w:p>
        </w:tc>
        <w:tc>
          <w:tcPr>
            <w:tcW w:w="849" w:type="dxa"/>
            <w:vAlign w:val="top"/>
          </w:tcPr>
          <w:p>
            <w:pPr>
              <w:spacing w:before="208"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70"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restart"/>
            <w:tcBorders>
              <w:bottom w:val="nil"/>
            </w:tcBorders>
            <w:vAlign w:val="top"/>
          </w:tcPr>
          <w:p>
            <w:pPr>
              <w:spacing w:line="422" w:lineRule="auto"/>
              <w:rPr>
                <w:rFonts w:ascii="Arial"/>
                <w:sz w:val="21"/>
              </w:rPr>
            </w:pPr>
          </w:p>
          <w:p>
            <w:pPr>
              <w:spacing w:before="61"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Align w:val="top"/>
          </w:tcPr>
          <w:p>
            <w:pPr>
              <w:pStyle w:val="6"/>
              <w:spacing w:before="170"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Align w:val="top"/>
          </w:tcPr>
          <w:p>
            <w:pPr>
              <w:pStyle w:val="6"/>
              <w:spacing w:before="171" w:line="223" w:lineRule="auto"/>
              <w:ind w:left="114"/>
            </w:pPr>
            <w:r>
              <w:rPr>
                <w:spacing w:val="-2"/>
              </w:rPr>
              <w:t>昼间</w:t>
            </w:r>
          </w:p>
        </w:tc>
        <w:tc>
          <w:tcPr>
            <w:tcW w:w="1082" w:type="dxa"/>
            <w:vAlign w:val="top"/>
          </w:tcPr>
          <w:p>
            <w:pPr>
              <w:pStyle w:val="6"/>
              <w:spacing w:before="34" w:line="222"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9"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c>
          <w:tcPr>
            <w:tcW w:w="722" w:type="dxa"/>
            <w:vAlign w:val="top"/>
          </w:tcPr>
          <w:p>
            <w:pPr>
              <w:spacing w:before="209"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44.8</w:t>
            </w:r>
          </w:p>
        </w:tc>
        <w:tc>
          <w:tcPr>
            <w:tcW w:w="849" w:type="dxa"/>
            <w:vAlign w:val="top"/>
          </w:tcPr>
          <w:p>
            <w:pPr>
              <w:spacing w:before="209"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71"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Align w:val="top"/>
          </w:tcPr>
          <w:p>
            <w:pPr>
              <w:pStyle w:val="6"/>
              <w:spacing w:before="170" w:line="221" w:lineRule="auto"/>
              <w:ind w:left="189"/>
            </w:pPr>
            <w:r>
              <w:rPr>
                <w:rFonts w:ascii="Times New Roman" w:hAnsi="Times New Roman" w:eastAsia="Times New Roman" w:cs="Times New Roman"/>
                <w:spacing w:val="-4"/>
              </w:rPr>
              <w:t xml:space="preserve">2023 </w:t>
            </w:r>
            <w:r>
              <w:rPr>
                <w:spacing w:val="-4"/>
              </w:rPr>
              <w:t>年</w:t>
            </w:r>
            <w:r>
              <w:rPr>
                <w:spacing w:val="-37"/>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4"/>
              </w:rPr>
              <w:t xml:space="preserve"> </w:t>
            </w:r>
            <w:r>
              <w:rPr>
                <w:rFonts w:ascii="Times New Roman" w:hAnsi="Times New Roman" w:eastAsia="Times New Roman" w:cs="Times New Roman"/>
                <w:spacing w:val="-4"/>
              </w:rPr>
              <w:t xml:space="preserve">7  </w:t>
            </w:r>
            <w:r>
              <w:rPr>
                <w:spacing w:val="-4"/>
              </w:rPr>
              <w:t>日</w:t>
            </w:r>
          </w:p>
        </w:tc>
        <w:tc>
          <w:tcPr>
            <w:tcW w:w="643" w:type="dxa"/>
            <w:vAlign w:val="top"/>
          </w:tcPr>
          <w:p>
            <w:pPr>
              <w:pStyle w:val="6"/>
              <w:spacing w:before="170" w:line="221" w:lineRule="auto"/>
              <w:ind w:left="118"/>
            </w:pPr>
            <w:r>
              <w:rPr>
                <w:spacing w:val="-3"/>
              </w:rPr>
              <w:t>夜间</w:t>
            </w:r>
          </w:p>
        </w:tc>
        <w:tc>
          <w:tcPr>
            <w:tcW w:w="1082" w:type="dxa"/>
            <w:vAlign w:val="top"/>
          </w:tcPr>
          <w:p>
            <w:pPr>
              <w:pStyle w:val="6"/>
              <w:spacing w:before="33" w:line="222"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9"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43.5</w:t>
            </w:r>
          </w:p>
        </w:tc>
        <w:tc>
          <w:tcPr>
            <w:tcW w:w="722" w:type="dxa"/>
            <w:vAlign w:val="top"/>
          </w:tcPr>
          <w:p>
            <w:pPr>
              <w:spacing w:before="209"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41.8</w:t>
            </w:r>
          </w:p>
        </w:tc>
        <w:tc>
          <w:tcPr>
            <w:tcW w:w="849" w:type="dxa"/>
            <w:vAlign w:val="top"/>
          </w:tcPr>
          <w:p>
            <w:pPr>
              <w:spacing w:before="209"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70"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restart"/>
            <w:tcBorders>
              <w:bottom w:val="nil"/>
            </w:tcBorders>
            <w:vAlign w:val="top"/>
          </w:tcPr>
          <w:p>
            <w:pPr>
              <w:spacing w:line="372" w:lineRule="auto"/>
              <w:rPr>
                <w:rFonts w:ascii="Arial"/>
                <w:sz w:val="21"/>
              </w:rPr>
            </w:pPr>
          </w:p>
          <w:p>
            <w:pPr>
              <w:spacing w:before="6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12</w:t>
            </w:r>
          </w:p>
        </w:tc>
        <w:tc>
          <w:tcPr>
            <w:tcW w:w="727" w:type="dxa"/>
            <w:vMerge w:val="restart"/>
            <w:tcBorders>
              <w:bottom w:val="nil"/>
            </w:tcBorders>
            <w:vAlign w:val="top"/>
          </w:tcPr>
          <w:p>
            <w:pPr>
              <w:spacing w:line="326" w:lineRule="auto"/>
              <w:rPr>
                <w:rFonts w:ascii="Arial"/>
                <w:sz w:val="21"/>
              </w:rPr>
            </w:pPr>
          </w:p>
          <w:p>
            <w:pPr>
              <w:pStyle w:val="6"/>
              <w:spacing w:before="68" w:line="228" w:lineRule="auto"/>
              <w:ind w:left="156"/>
            </w:pPr>
            <w:r>
              <w:rPr>
                <w:spacing w:val="-2"/>
              </w:rPr>
              <w:t>包山</w:t>
            </w:r>
          </w:p>
        </w:tc>
        <w:tc>
          <w:tcPr>
            <w:tcW w:w="854" w:type="dxa"/>
            <w:vMerge w:val="restart"/>
            <w:tcBorders>
              <w:bottom w:val="nil"/>
            </w:tcBorders>
            <w:vAlign w:val="top"/>
          </w:tcPr>
          <w:p>
            <w:pPr>
              <w:spacing w:line="326" w:lineRule="auto"/>
              <w:rPr>
                <w:rFonts w:ascii="Arial"/>
                <w:sz w:val="21"/>
              </w:rPr>
            </w:pPr>
          </w:p>
          <w:p>
            <w:pPr>
              <w:pStyle w:val="6"/>
              <w:spacing w:before="68" w:line="221" w:lineRule="auto"/>
              <w:ind w:left="24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2" w:type="dxa"/>
            <w:vMerge w:val="restart"/>
            <w:tcBorders>
              <w:bottom w:val="nil"/>
            </w:tcBorders>
            <w:vAlign w:val="top"/>
          </w:tcPr>
          <w:p>
            <w:pPr>
              <w:spacing w:line="372"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Merge w:val="restart"/>
            <w:tcBorders>
              <w:bottom w:val="nil"/>
            </w:tcBorders>
            <w:vAlign w:val="top"/>
          </w:tcPr>
          <w:p>
            <w:pPr>
              <w:spacing w:line="326" w:lineRule="auto"/>
              <w:rPr>
                <w:rFonts w:ascii="Arial"/>
                <w:sz w:val="21"/>
              </w:rPr>
            </w:pPr>
          </w:p>
          <w:p>
            <w:pPr>
              <w:pStyle w:val="6"/>
              <w:spacing w:before="68"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Align w:val="top"/>
          </w:tcPr>
          <w:p>
            <w:pPr>
              <w:pStyle w:val="6"/>
              <w:spacing w:before="171" w:line="223" w:lineRule="auto"/>
              <w:ind w:left="114"/>
            </w:pPr>
            <w:r>
              <w:rPr>
                <w:spacing w:val="-2"/>
              </w:rPr>
              <w:t>昼间</w:t>
            </w:r>
          </w:p>
        </w:tc>
        <w:tc>
          <w:tcPr>
            <w:tcW w:w="1082" w:type="dxa"/>
            <w:vAlign w:val="top"/>
          </w:tcPr>
          <w:p>
            <w:pPr>
              <w:pStyle w:val="6"/>
              <w:spacing w:before="33" w:line="222"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9"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722" w:type="dxa"/>
            <w:vAlign w:val="top"/>
          </w:tcPr>
          <w:p>
            <w:pPr>
              <w:spacing w:before="209"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36.4</w:t>
            </w:r>
          </w:p>
        </w:tc>
        <w:tc>
          <w:tcPr>
            <w:tcW w:w="849" w:type="dxa"/>
            <w:vAlign w:val="top"/>
          </w:tcPr>
          <w:p>
            <w:pPr>
              <w:spacing w:before="209"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71"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Align w:val="top"/>
          </w:tcPr>
          <w:p>
            <w:pPr>
              <w:pStyle w:val="6"/>
              <w:spacing w:before="118" w:line="221" w:lineRule="auto"/>
              <w:ind w:left="118"/>
            </w:pPr>
            <w:r>
              <w:rPr>
                <w:spacing w:val="-3"/>
              </w:rPr>
              <w:t>夜间</w:t>
            </w:r>
          </w:p>
        </w:tc>
        <w:tc>
          <w:tcPr>
            <w:tcW w:w="1082" w:type="dxa"/>
            <w:vAlign w:val="top"/>
          </w:tcPr>
          <w:p>
            <w:pPr>
              <w:pStyle w:val="6"/>
              <w:spacing w:before="119" w:line="221" w:lineRule="auto"/>
              <w:ind w:left="125"/>
            </w:pPr>
            <w:r>
              <w:rPr>
                <w:spacing w:val="-2"/>
              </w:rPr>
              <w:t>环境噪声</w:t>
            </w:r>
          </w:p>
        </w:tc>
        <w:tc>
          <w:tcPr>
            <w:tcW w:w="749" w:type="dxa"/>
            <w:vAlign w:val="top"/>
          </w:tcPr>
          <w:p>
            <w:pPr>
              <w:spacing w:before="157"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722" w:type="dxa"/>
            <w:vAlign w:val="top"/>
          </w:tcPr>
          <w:p>
            <w:pPr>
              <w:spacing w:before="157"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30.8</w:t>
            </w:r>
          </w:p>
        </w:tc>
        <w:tc>
          <w:tcPr>
            <w:tcW w:w="849" w:type="dxa"/>
            <w:vAlign w:val="top"/>
          </w:tcPr>
          <w:p>
            <w:pPr>
              <w:spacing w:before="157"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18"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bl>
    <w:p>
      <w:pPr>
        <w:pStyle w:val="2"/>
      </w:pPr>
    </w:p>
    <w:p>
      <w:pPr>
        <w:sectPr>
          <w:footerReference r:id="rId200" w:type="default"/>
          <w:pgSz w:w="16839" w:h="11907"/>
          <w:pgMar w:top="1260" w:right="1372" w:bottom="1151" w:left="1375" w:header="1019" w:footer="990" w:gutter="0"/>
          <w:cols w:space="720" w:num="1"/>
        </w:sectPr>
      </w:pPr>
    </w:p>
    <w:p>
      <w:pPr>
        <w:spacing w:line="155" w:lineRule="exact"/>
      </w:pPr>
    </w:p>
    <w:tbl>
      <w:tblPr>
        <w:tblStyle w:val="5"/>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1"/>
        <w:gridCol w:w="727"/>
        <w:gridCol w:w="854"/>
        <w:gridCol w:w="552"/>
        <w:gridCol w:w="1905"/>
        <w:gridCol w:w="643"/>
        <w:gridCol w:w="1082"/>
        <w:gridCol w:w="749"/>
        <w:gridCol w:w="722"/>
        <w:gridCol w:w="849"/>
        <w:gridCol w:w="794"/>
        <w:gridCol w:w="784"/>
        <w:gridCol w:w="821"/>
        <w:gridCol w:w="984"/>
        <w:gridCol w:w="20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31" w:type="dxa"/>
            <w:vMerge w:val="restart"/>
            <w:tcBorders>
              <w:bottom w:val="nil"/>
            </w:tcBorders>
            <w:textDirection w:val="tbRlV"/>
            <w:vAlign w:val="top"/>
          </w:tcPr>
          <w:p>
            <w:pPr>
              <w:pStyle w:val="6"/>
              <w:spacing w:before="158" w:line="211" w:lineRule="auto"/>
              <w:ind w:left="41"/>
            </w:pPr>
            <w:r>
              <w:rPr>
                <w:spacing w:val="31"/>
              </w:rPr>
              <w:t>序号</w:t>
            </w:r>
          </w:p>
        </w:tc>
        <w:tc>
          <w:tcPr>
            <w:tcW w:w="727" w:type="dxa"/>
            <w:vMerge w:val="restart"/>
            <w:tcBorders>
              <w:bottom w:val="nil"/>
            </w:tcBorders>
            <w:vAlign w:val="top"/>
          </w:tcPr>
          <w:p>
            <w:pPr>
              <w:rPr>
                <w:rFonts w:ascii="Arial"/>
                <w:sz w:val="21"/>
              </w:rPr>
            </w:pPr>
          </w:p>
        </w:tc>
        <w:tc>
          <w:tcPr>
            <w:tcW w:w="1406" w:type="dxa"/>
            <w:gridSpan w:val="2"/>
            <w:vMerge w:val="restart"/>
            <w:tcBorders>
              <w:left w:val="nil"/>
              <w:bottom w:val="nil"/>
            </w:tcBorders>
            <w:vAlign w:val="top"/>
          </w:tcPr>
          <w:p>
            <w:pPr>
              <w:pStyle w:val="6"/>
              <w:spacing w:before="175" w:line="221" w:lineRule="auto"/>
            </w:pPr>
            <w:r>
              <w:rPr>
                <w:spacing w:val="-16"/>
              </w:rPr>
              <w:t>检测点位</w:t>
            </w:r>
          </w:p>
        </w:tc>
        <w:tc>
          <w:tcPr>
            <w:tcW w:w="2548" w:type="dxa"/>
            <w:gridSpan w:val="2"/>
            <w:vMerge w:val="restart"/>
            <w:tcBorders>
              <w:bottom w:val="nil"/>
            </w:tcBorders>
            <w:vAlign w:val="top"/>
          </w:tcPr>
          <w:p>
            <w:pPr>
              <w:pStyle w:val="6"/>
              <w:spacing w:before="175" w:line="221" w:lineRule="auto"/>
              <w:ind w:left="858"/>
            </w:pPr>
            <w:r>
              <w:rPr>
                <w:spacing w:val="-2"/>
              </w:rPr>
              <w:t>检测时间</w:t>
            </w:r>
          </w:p>
        </w:tc>
        <w:tc>
          <w:tcPr>
            <w:tcW w:w="1082" w:type="dxa"/>
            <w:vMerge w:val="restart"/>
            <w:tcBorders>
              <w:bottom w:val="nil"/>
            </w:tcBorders>
            <w:vAlign w:val="top"/>
          </w:tcPr>
          <w:p>
            <w:pPr>
              <w:pStyle w:val="6"/>
              <w:spacing w:before="176" w:line="221" w:lineRule="auto"/>
              <w:ind w:left="126"/>
            </w:pPr>
            <w:r>
              <w:rPr>
                <w:spacing w:val="-2"/>
              </w:rPr>
              <w:t>主要声源</w:t>
            </w:r>
          </w:p>
        </w:tc>
        <w:tc>
          <w:tcPr>
            <w:tcW w:w="1471" w:type="dxa"/>
            <w:gridSpan w:val="2"/>
            <w:vAlign w:val="top"/>
          </w:tcPr>
          <w:p>
            <w:pPr>
              <w:pStyle w:val="6"/>
              <w:spacing w:before="36" w:line="208" w:lineRule="auto"/>
              <w:ind w:left="319"/>
            </w:pPr>
            <w:r>
              <w:rPr>
                <w:spacing w:val="-2"/>
              </w:rPr>
              <w:t>检测结果</w:t>
            </w:r>
          </w:p>
        </w:tc>
        <w:tc>
          <w:tcPr>
            <w:tcW w:w="849" w:type="dxa"/>
            <w:vMerge w:val="restart"/>
            <w:tcBorders>
              <w:bottom w:val="nil"/>
            </w:tcBorders>
            <w:vAlign w:val="top"/>
          </w:tcPr>
          <w:p>
            <w:pPr>
              <w:pStyle w:val="6"/>
              <w:spacing w:before="175" w:line="221" w:lineRule="auto"/>
              <w:ind w:left="114"/>
            </w:pPr>
            <w:r>
              <w:rPr>
                <w:spacing w:val="-2"/>
              </w:rPr>
              <w:t>标准值</w:t>
            </w:r>
          </w:p>
        </w:tc>
        <w:tc>
          <w:tcPr>
            <w:tcW w:w="794" w:type="dxa"/>
            <w:vMerge w:val="restart"/>
            <w:tcBorders>
              <w:bottom w:val="nil"/>
            </w:tcBorders>
            <w:vAlign w:val="top"/>
          </w:tcPr>
          <w:p>
            <w:pPr>
              <w:pStyle w:val="6"/>
              <w:spacing w:before="42" w:line="238" w:lineRule="auto"/>
              <w:ind w:left="194"/>
            </w:pPr>
            <w:r>
              <w:rPr>
                <w:spacing w:val="-3"/>
              </w:rPr>
              <w:t>是否</w:t>
            </w:r>
          </w:p>
          <w:p>
            <w:pPr>
              <w:pStyle w:val="6"/>
              <w:spacing w:line="213" w:lineRule="auto"/>
              <w:ind w:left="190"/>
            </w:pPr>
            <w:r>
              <w:rPr>
                <w:spacing w:val="-2"/>
              </w:rPr>
              <w:t>达标</w:t>
            </w:r>
          </w:p>
        </w:tc>
        <w:tc>
          <w:tcPr>
            <w:tcW w:w="2589" w:type="dxa"/>
            <w:gridSpan w:val="3"/>
            <w:vAlign w:val="top"/>
          </w:tcPr>
          <w:p>
            <w:pPr>
              <w:pStyle w:val="6"/>
              <w:spacing w:before="36" w:line="208" w:lineRule="auto"/>
              <w:ind w:left="164"/>
            </w:pPr>
            <w:r>
              <w:rPr>
                <w:spacing w:val="-1"/>
              </w:rPr>
              <w:t>车流量情况（辆</w:t>
            </w:r>
            <w:r>
              <w:rPr>
                <w:rFonts w:ascii="Times New Roman" w:hAnsi="Times New Roman" w:eastAsia="Times New Roman" w:cs="Times New Roman"/>
                <w:spacing w:val="-1"/>
              </w:rPr>
              <w:t>/20min</w:t>
            </w:r>
            <w:r>
              <w:rPr>
                <w:spacing w:val="-1"/>
              </w:rPr>
              <w:t>）</w:t>
            </w:r>
          </w:p>
        </w:tc>
        <w:tc>
          <w:tcPr>
            <w:tcW w:w="2088" w:type="dxa"/>
            <w:vMerge w:val="restart"/>
            <w:tcBorders>
              <w:bottom w:val="nil"/>
            </w:tcBorders>
            <w:vAlign w:val="top"/>
          </w:tcPr>
          <w:p>
            <w:pPr>
              <w:pStyle w:val="6"/>
              <w:spacing w:before="175" w:line="222" w:lineRule="auto"/>
              <w:ind w:left="841"/>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31" w:type="dxa"/>
            <w:vMerge w:val="continue"/>
            <w:tcBorders>
              <w:top w:val="nil"/>
              <w:bottom w:val="nil"/>
            </w:tcBorders>
            <w:textDirection w:val="tbRlV"/>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1406" w:type="dxa"/>
            <w:gridSpan w:val="2"/>
            <w:vMerge w:val="continue"/>
            <w:tcBorders>
              <w:top w:val="nil"/>
              <w:left w:val="nil"/>
            </w:tcBorders>
            <w:vAlign w:val="top"/>
          </w:tcPr>
          <w:p>
            <w:pPr>
              <w:rPr>
                <w:rFonts w:ascii="Arial"/>
                <w:sz w:val="21"/>
              </w:rPr>
            </w:pPr>
          </w:p>
        </w:tc>
        <w:tc>
          <w:tcPr>
            <w:tcW w:w="2548" w:type="dxa"/>
            <w:gridSpan w:val="2"/>
            <w:vMerge w:val="continue"/>
            <w:tcBorders>
              <w:top w:val="nil"/>
            </w:tcBorders>
            <w:vAlign w:val="top"/>
          </w:tcPr>
          <w:p>
            <w:pPr>
              <w:rPr>
                <w:rFonts w:ascii="Arial"/>
                <w:sz w:val="21"/>
              </w:rPr>
            </w:pPr>
          </w:p>
        </w:tc>
        <w:tc>
          <w:tcPr>
            <w:tcW w:w="1082" w:type="dxa"/>
            <w:vMerge w:val="continue"/>
            <w:tcBorders>
              <w:top w:val="nil"/>
            </w:tcBorders>
            <w:vAlign w:val="top"/>
          </w:tcPr>
          <w:p>
            <w:pPr>
              <w:rPr>
                <w:rFonts w:ascii="Arial"/>
                <w:sz w:val="21"/>
              </w:rPr>
            </w:pPr>
          </w:p>
        </w:tc>
        <w:tc>
          <w:tcPr>
            <w:tcW w:w="749" w:type="dxa"/>
            <w:vAlign w:val="top"/>
          </w:tcPr>
          <w:p>
            <w:pPr>
              <w:spacing w:before="64" w:line="191"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Leq</w:t>
            </w:r>
          </w:p>
        </w:tc>
        <w:tc>
          <w:tcPr>
            <w:tcW w:w="722" w:type="dxa"/>
            <w:vAlign w:val="top"/>
          </w:tcPr>
          <w:p>
            <w:pPr>
              <w:spacing w:before="70" w:line="196" w:lineRule="auto"/>
              <w:ind w:left="227"/>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L</w:t>
            </w:r>
            <w:r>
              <w:rPr>
                <w:rFonts w:ascii="Times New Roman" w:hAnsi="Times New Roman" w:eastAsia="Times New Roman" w:cs="Times New Roman"/>
                <w:spacing w:val="2"/>
                <w:sz w:val="13"/>
                <w:szCs w:val="13"/>
              </w:rPr>
              <w:t>90</w:t>
            </w:r>
          </w:p>
        </w:tc>
        <w:tc>
          <w:tcPr>
            <w:tcW w:w="849" w:type="dxa"/>
            <w:vMerge w:val="continue"/>
            <w:tcBorders>
              <w:top w:val="nil"/>
            </w:tcBorders>
            <w:vAlign w:val="top"/>
          </w:tcPr>
          <w:p>
            <w:pPr>
              <w:rPr>
                <w:rFonts w:ascii="Arial"/>
                <w:sz w:val="21"/>
              </w:rPr>
            </w:pPr>
          </w:p>
        </w:tc>
        <w:tc>
          <w:tcPr>
            <w:tcW w:w="794" w:type="dxa"/>
            <w:vMerge w:val="continue"/>
            <w:tcBorders>
              <w:top w:val="nil"/>
            </w:tcBorders>
            <w:vAlign w:val="top"/>
          </w:tcPr>
          <w:p>
            <w:pPr>
              <w:rPr>
                <w:rFonts w:ascii="Arial"/>
                <w:sz w:val="21"/>
              </w:rPr>
            </w:pPr>
          </w:p>
        </w:tc>
        <w:tc>
          <w:tcPr>
            <w:tcW w:w="784" w:type="dxa"/>
            <w:vAlign w:val="top"/>
          </w:tcPr>
          <w:p>
            <w:pPr>
              <w:pStyle w:val="6"/>
              <w:spacing w:before="29" w:line="210" w:lineRule="auto"/>
              <w:ind w:left="191"/>
            </w:pPr>
            <w:r>
              <w:rPr>
                <w:spacing w:val="-3"/>
              </w:rPr>
              <w:t>大车</w:t>
            </w:r>
          </w:p>
        </w:tc>
        <w:tc>
          <w:tcPr>
            <w:tcW w:w="821" w:type="dxa"/>
            <w:vAlign w:val="top"/>
          </w:tcPr>
          <w:p>
            <w:pPr>
              <w:pStyle w:val="6"/>
              <w:spacing w:before="29" w:line="210" w:lineRule="auto"/>
              <w:ind w:left="227"/>
            </w:pPr>
            <w:r>
              <w:rPr>
                <w:spacing w:val="-7"/>
              </w:rPr>
              <w:t>中车</w:t>
            </w:r>
          </w:p>
        </w:tc>
        <w:tc>
          <w:tcPr>
            <w:tcW w:w="984" w:type="dxa"/>
            <w:vAlign w:val="top"/>
          </w:tcPr>
          <w:p>
            <w:pPr>
              <w:pStyle w:val="6"/>
              <w:spacing w:before="29" w:line="210" w:lineRule="auto"/>
              <w:ind w:left="294"/>
            </w:pPr>
            <w:r>
              <w:rPr>
                <w:spacing w:val="-3"/>
              </w:rPr>
              <w:t>小车</w:t>
            </w:r>
          </w:p>
        </w:tc>
        <w:tc>
          <w:tcPr>
            <w:tcW w:w="208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bottom w:val="nil"/>
            </w:tcBorders>
            <w:textDirection w:val="tbRlV"/>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restart"/>
            <w:tcBorders>
              <w:bottom w:val="nil"/>
            </w:tcBorders>
            <w:vAlign w:val="top"/>
          </w:tcPr>
          <w:p>
            <w:pPr>
              <w:spacing w:line="323" w:lineRule="auto"/>
              <w:rPr>
                <w:rFonts w:ascii="Arial"/>
                <w:sz w:val="21"/>
              </w:rPr>
            </w:pPr>
          </w:p>
          <w:p>
            <w:pPr>
              <w:pStyle w:val="6"/>
              <w:spacing w:before="69" w:line="221" w:lineRule="auto"/>
              <w:ind w:left="24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2" w:type="dxa"/>
            <w:vMerge w:val="restart"/>
            <w:tcBorders>
              <w:bottom w:val="nil"/>
            </w:tcBorders>
            <w:vAlign w:val="top"/>
          </w:tcPr>
          <w:p>
            <w:pPr>
              <w:spacing w:line="370" w:lineRule="auto"/>
              <w:rPr>
                <w:rFonts w:ascii="Arial"/>
                <w:sz w:val="21"/>
              </w:rPr>
            </w:pPr>
          </w:p>
          <w:p>
            <w:pPr>
              <w:spacing w:before="6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Merge w:val="restart"/>
            <w:tcBorders>
              <w:bottom w:val="nil"/>
            </w:tcBorders>
            <w:vAlign w:val="top"/>
          </w:tcPr>
          <w:p>
            <w:pPr>
              <w:spacing w:line="323" w:lineRule="auto"/>
              <w:rPr>
                <w:rFonts w:ascii="Arial"/>
                <w:sz w:val="21"/>
              </w:rPr>
            </w:pPr>
          </w:p>
          <w:p>
            <w:pPr>
              <w:pStyle w:val="6"/>
              <w:spacing w:before="69" w:line="221" w:lineRule="auto"/>
              <w:ind w:left="189"/>
            </w:pPr>
            <w:r>
              <w:rPr>
                <w:rFonts w:ascii="Times New Roman" w:hAnsi="Times New Roman" w:eastAsia="Times New Roman" w:cs="Times New Roman"/>
                <w:spacing w:val="-4"/>
              </w:rPr>
              <w:t xml:space="preserve">2023 </w:t>
            </w:r>
            <w:r>
              <w:rPr>
                <w:spacing w:val="-4"/>
              </w:rPr>
              <w:t>年</w:t>
            </w:r>
            <w:r>
              <w:rPr>
                <w:spacing w:val="-37"/>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4"/>
              </w:rPr>
              <w:t xml:space="preserve"> </w:t>
            </w:r>
            <w:r>
              <w:rPr>
                <w:rFonts w:ascii="Times New Roman" w:hAnsi="Times New Roman" w:eastAsia="Times New Roman" w:cs="Times New Roman"/>
                <w:spacing w:val="-4"/>
              </w:rPr>
              <w:t xml:space="preserve">7  </w:t>
            </w:r>
            <w:r>
              <w:rPr>
                <w:spacing w:val="-4"/>
              </w:rPr>
              <w:t>日</w:t>
            </w:r>
          </w:p>
        </w:tc>
        <w:tc>
          <w:tcPr>
            <w:tcW w:w="643" w:type="dxa"/>
            <w:vAlign w:val="top"/>
          </w:tcPr>
          <w:p>
            <w:pPr>
              <w:pStyle w:val="6"/>
              <w:spacing w:before="167" w:line="223" w:lineRule="auto"/>
              <w:ind w:left="114"/>
            </w:pPr>
            <w:r>
              <w:rPr>
                <w:spacing w:val="-2"/>
              </w:rPr>
              <w:t>昼间</w:t>
            </w:r>
          </w:p>
        </w:tc>
        <w:tc>
          <w:tcPr>
            <w:tcW w:w="1082" w:type="dxa"/>
            <w:vAlign w:val="top"/>
          </w:tcPr>
          <w:p>
            <w:pPr>
              <w:pStyle w:val="6"/>
              <w:spacing w:before="29" w:line="224"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5"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722" w:type="dxa"/>
            <w:vAlign w:val="top"/>
          </w:tcPr>
          <w:p>
            <w:pPr>
              <w:spacing w:before="205"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849" w:type="dxa"/>
            <w:vAlign w:val="top"/>
          </w:tcPr>
          <w:p>
            <w:pPr>
              <w:spacing w:before="20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66"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1" w:type="dxa"/>
            <w:vMerge w:val="continue"/>
            <w:tcBorders>
              <w:top w:val="nil"/>
            </w:tcBorders>
            <w:textDirection w:val="tbRlV"/>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Align w:val="top"/>
          </w:tcPr>
          <w:p>
            <w:pPr>
              <w:pStyle w:val="6"/>
              <w:spacing w:before="118" w:line="221" w:lineRule="auto"/>
              <w:ind w:left="118"/>
            </w:pPr>
            <w:r>
              <w:rPr>
                <w:spacing w:val="-3"/>
              </w:rPr>
              <w:t>夜间</w:t>
            </w:r>
          </w:p>
        </w:tc>
        <w:tc>
          <w:tcPr>
            <w:tcW w:w="1082" w:type="dxa"/>
            <w:vAlign w:val="top"/>
          </w:tcPr>
          <w:p>
            <w:pPr>
              <w:pStyle w:val="6"/>
              <w:spacing w:before="119" w:line="221" w:lineRule="auto"/>
              <w:ind w:left="125"/>
            </w:pPr>
            <w:r>
              <w:rPr>
                <w:spacing w:val="-2"/>
              </w:rPr>
              <w:t>环境噪声</w:t>
            </w:r>
          </w:p>
        </w:tc>
        <w:tc>
          <w:tcPr>
            <w:tcW w:w="749" w:type="dxa"/>
            <w:vAlign w:val="top"/>
          </w:tcPr>
          <w:p>
            <w:pPr>
              <w:spacing w:before="157"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722" w:type="dxa"/>
            <w:vAlign w:val="top"/>
          </w:tcPr>
          <w:p>
            <w:pPr>
              <w:spacing w:before="157"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w:t>
            </w:r>
          </w:p>
        </w:tc>
        <w:tc>
          <w:tcPr>
            <w:tcW w:w="849" w:type="dxa"/>
            <w:vAlign w:val="top"/>
          </w:tcPr>
          <w:p>
            <w:pPr>
              <w:spacing w:before="157"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19"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31"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13</w:t>
            </w:r>
          </w:p>
        </w:tc>
        <w:tc>
          <w:tcPr>
            <w:tcW w:w="727" w:type="dxa"/>
            <w:vMerge w:val="restart"/>
            <w:tcBorders>
              <w:bottom w:val="nil"/>
            </w:tcBorders>
            <w:vAlign w:val="top"/>
          </w:tcPr>
          <w:p>
            <w:pPr>
              <w:spacing w:line="385" w:lineRule="auto"/>
              <w:rPr>
                <w:rFonts w:ascii="Arial"/>
                <w:sz w:val="21"/>
              </w:rPr>
            </w:pPr>
          </w:p>
          <w:p>
            <w:pPr>
              <w:pStyle w:val="6"/>
              <w:spacing w:before="68" w:line="217" w:lineRule="auto"/>
              <w:ind w:left="155"/>
            </w:pPr>
            <w:r>
              <w:rPr>
                <w:spacing w:val="-2"/>
              </w:rPr>
              <w:t>横路</w:t>
            </w:r>
          </w:p>
          <w:p>
            <w:pPr>
              <w:pStyle w:val="6"/>
              <w:spacing w:before="26" w:line="221" w:lineRule="auto"/>
              <w:ind w:left="261"/>
            </w:pPr>
            <w:r>
              <w:t>垟</w:t>
            </w:r>
          </w:p>
          <w:p>
            <w:pPr>
              <w:pStyle w:val="6"/>
              <w:spacing w:before="20" w:line="229" w:lineRule="auto"/>
              <w:ind w:left="162"/>
            </w:pPr>
            <w:r>
              <w:rPr>
                <w:spacing w:val="-7"/>
              </w:rPr>
              <w:t>（江</w:t>
            </w:r>
          </w:p>
          <w:p>
            <w:pPr>
              <w:pStyle w:val="6"/>
              <w:spacing w:before="13" w:line="238" w:lineRule="auto"/>
              <w:ind w:left="266"/>
            </w:pPr>
            <w:r>
              <w:t>下</w:t>
            </w:r>
          </w:p>
          <w:p>
            <w:pPr>
              <w:pStyle w:val="6"/>
              <w:spacing w:line="221" w:lineRule="auto"/>
              <w:ind w:left="158"/>
            </w:pPr>
            <w:r>
              <w:rPr>
                <w:spacing w:val="-5"/>
              </w:rPr>
              <w:t>寮）</w:t>
            </w:r>
          </w:p>
        </w:tc>
        <w:tc>
          <w:tcPr>
            <w:tcW w:w="854" w:type="dxa"/>
            <w:vMerge w:val="restart"/>
            <w:tcBorders>
              <w:bottom w:val="nil"/>
            </w:tcBorders>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68" w:line="221" w:lineRule="auto"/>
              <w:ind w:left="24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2" w:type="dxa"/>
            <w:vMerge w:val="restart"/>
            <w:tcBorders>
              <w:bottom w:val="nil"/>
            </w:tcBorders>
            <w:vAlign w:val="top"/>
          </w:tcPr>
          <w:p>
            <w:pPr>
              <w:spacing w:line="422"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Merge w:val="restart"/>
            <w:tcBorders>
              <w:bottom w:val="nil"/>
            </w:tcBorders>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68"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Align w:val="top"/>
          </w:tcPr>
          <w:p>
            <w:pPr>
              <w:pStyle w:val="6"/>
              <w:spacing w:before="167" w:line="223" w:lineRule="auto"/>
              <w:ind w:left="114"/>
            </w:pPr>
            <w:r>
              <w:rPr>
                <w:spacing w:val="-2"/>
              </w:rPr>
              <w:t>昼间</w:t>
            </w:r>
          </w:p>
        </w:tc>
        <w:tc>
          <w:tcPr>
            <w:tcW w:w="1082" w:type="dxa"/>
            <w:vAlign w:val="top"/>
          </w:tcPr>
          <w:p>
            <w:pPr>
              <w:pStyle w:val="6"/>
              <w:spacing w:before="32" w:line="224"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5"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w:t>
            </w:r>
          </w:p>
        </w:tc>
        <w:tc>
          <w:tcPr>
            <w:tcW w:w="722" w:type="dxa"/>
            <w:vAlign w:val="top"/>
          </w:tcPr>
          <w:p>
            <w:pPr>
              <w:spacing w:before="205"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34.2</w:t>
            </w:r>
          </w:p>
        </w:tc>
        <w:tc>
          <w:tcPr>
            <w:tcW w:w="849" w:type="dxa"/>
            <w:vAlign w:val="top"/>
          </w:tcPr>
          <w:p>
            <w:pPr>
              <w:spacing w:before="20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67"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67" w:line="221" w:lineRule="auto"/>
              <w:ind w:left="118"/>
            </w:pPr>
            <w:r>
              <w:rPr>
                <w:spacing w:val="-3"/>
              </w:rPr>
              <w:t>夜间</w:t>
            </w:r>
          </w:p>
        </w:tc>
        <w:tc>
          <w:tcPr>
            <w:tcW w:w="1082" w:type="dxa"/>
            <w:vAlign w:val="top"/>
          </w:tcPr>
          <w:p>
            <w:pPr>
              <w:pStyle w:val="6"/>
              <w:spacing w:before="31" w:line="223"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6"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37.1</w:t>
            </w:r>
          </w:p>
        </w:tc>
        <w:tc>
          <w:tcPr>
            <w:tcW w:w="722" w:type="dxa"/>
            <w:vAlign w:val="top"/>
          </w:tcPr>
          <w:p>
            <w:pPr>
              <w:spacing w:before="206"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849" w:type="dxa"/>
            <w:vAlign w:val="top"/>
          </w:tcPr>
          <w:p>
            <w:pPr>
              <w:spacing w:before="206"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67"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restart"/>
            <w:tcBorders>
              <w:bottom w:val="nil"/>
            </w:tcBorders>
            <w:vAlign w:val="top"/>
          </w:tcPr>
          <w:p>
            <w:pPr>
              <w:spacing w:line="419" w:lineRule="auto"/>
              <w:rPr>
                <w:rFonts w:ascii="Arial"/>
                <w:sz w:val="21"/>
              </w:rPr>
            </w:pPr>
          </w:p>
          <w:p>
            <w:pPr>
              <w:spacing w:before="61"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68" w:line="223" w:lineRule="auto"/>
              <w:ind w:left="114"/>
            </w:pPr>
            <w:r>
              <w:rPr>
                <w:spacing w:val="-2"/>
              </w:rPr>
              <w:t>昼间</w:t>
            </w:r>
          </w:p>
        </w:tc>
        <w:tc>
          <w:tcPr>
            <w:tcW w:w="1082" w:type="dxa"/>
            <w:vAlign w:val="top"/>
          </w:tcPr>
          <w:p>
            <w:pPr>
              <w:pStyle w:val="6"/>
              <w:spacing w:before="31" w:line="223"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6"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w:t>
            </w:r>
          </w:p>
        </w:tc>
        <w:tc>
          <w:tcPr>
            <w:tcW w:w="722" w:type="dxa"/>
            <w:vAlign w:val="top"/>
          </w:tcPr>
          <w:p>
            <w:pPr>
              <w:spacing w:before="206"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37.2</w:t>
            </w:r>
          </w:p>
        </w:tc>
        <w:tc>
          <w:tcPr>
            <w:tcW w:w="849" w:type="dxa"/>
            <w:vAlign w:val="top"/>
          </w:tcPr>
          <w:p>
            <w:pPr>
              <w:spacing w:before="206"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68"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Align w:val="top"/>
          </w:tcPr>
          <w:p>
            <w:pPr>
              <w:pStyle w:val="6"/>
              <w:spacing w:before="168" w:line="221" w:lineRule="auto"/>
              <w:ind w:left="118"/>
            </w:pPr>
            <w:r>
              <w:rPr>
                <w:spacing w:val="-3"/>
              </w:rPr>
              <w:t>夜间</w:t>
            </w:r>
          </w:p>
        </w:tc>
        <w:tc>
          <w:tcPr>
            <w:tcW w:w="1082" w:type="dxa"/>
            <w:vAlign w:val="top"/>
          </w:tcPr>
          <w:p>
            <w:pPr>
              <w:pStyle w:val="6"/>
              <w:spacing w:before="31" w:line="223"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7"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39.3</w:t>
            </w:r>
          </w:p>
        </w:tc>
        <w:tc>
          <w:tcPr>
            <w:tcW w:w="722" w:type="dxa"/>
            <w:vAlign w:val="top"/>
          </w:tcPr>
          <w:p>
            <w:pPr>
              <w:spacing w:before="207"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36.2</w:t>
            </w:r>
          </w:p>
        </w:tc>
        <w:tc>
          <w:tcPr>
            <w:tcW w:w="849" w:type="dxa"/>
            <w:vAlign w:val="top"/>
          </w:tcPr>
          <w:p>
            <w:pPr>
              <w:spacing w:before="207"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68"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14</w:t>
            </w:r>
          </w:p>
        </w:tc>
        <w:tc>
          <w:tcPr>
            <w:tcW w:w="727" w:type="dxa"/>
            <w:vMerge w:val="restart"/>
            <w:tcBorders>
              <w:bottom w:val="nil"/>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68" w:line="221" w:lineRule="auto"/>
              <w:ind w:left="163"/>
            </w:pPr>
            <w:r>
              <w:rPr>
                <w:spacing w:val="-4"/>
              </w:rPr>
              <w:t>蔡处</w:t>
            </w:r>
          </w:p>
        </w:tc>
        <w:tc>
          <w:tcPr>
            <w:tcW w:w="854"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8" w:line="229" w:lineRule="auto"/>
              <w:ind w:left="113" w:right="109" w:firstLine="81"/>
            </w:pPr>
            <w:r>
              <w:rPr>
                <w:rFonts w:ascii="Times New Roman" w:hAnsi="Times New Roman" w:eastAsia="Times New Roman" w:cs="Times New Roman"/>
                <w:spacing w:val="-4"/>
              </w:rPr>
              <w:t>4a</w:t>
            </w:r>
            <w:r>
              <w:rPr>
                <w:rFonts w:ascii="Times New Roman" w:hAnsi="Times New Roman" w:eastAsia="Times New Roman" w:cs="Times New Roman"/>
                <w:spacing w:val="10"/>
              </w:rPr>
              <w:t xml:space="preserve"> </w:t>
            </w:r>
            <w:r>
              <w:rPr>
                <w:spacing w:val="-4"/>
              </w:rPr>
              <w:t>类</w:t>
            </w:r>
            <w:r>
              <w:t xml:space="preserve"> </w:t>
            </w:r>
            <w:r>
              <w:rPr>
                <w:spacing w:val="-2"/>
              </w:rPr>
              <w:t>第一排</w:t>
            </w:r>
          </w:p>
        </w:tc>
        <w:tc>
          <w:tcPr>
            <w:tcW w:w="552" w:type="dxa"/>
            <w:vMerge w:val="restart"/>
            <w:tcBorders>
              <w:bottom w:val="nil"/>
            </w:tcBorders>
            <w:vAlign w:val="top"/>
          </w:tcPr>
          <w:p>
            <w:pPr>
              <w:spacing w:line="420"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Merge w:val="restart"/>
            <w:tcBorders>
              <w:bottom w:val="nil"/>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68" w:line="221" w:lineRule="auto"/>
              <w:ind w:left="189"/>
            </w:pPr>
            <w:r>
              <w:rPr>
                <w:rFonts w:ascii="Times New Roman" w:hAnsi="Times New Roman" w:eastAsia="Times New Roman" w:cs="Times New Roman"/>
                <w:spacing w:val="-4"/>
              </w:rPr>
              <w:t xml:space="preserve">2023 </w:t>
            </w:r>
            <w:r>
              <w:rPr>
                <w:spacing w:val="-4"/>
              </w:rPr>
              <w:t>年</w:t>
            </w:r>
            <w:r>
              <w:rPr>
                <w:spacing w:val="-37"/>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4"/>
              </w:rPr>
              <w:t xml:space="preserve"> </w:t>
            </w:r>
            <w:r>
              <w:rPr>
                <w:rFonts w:ascii="Times New Roman" w:hAnsi="Times New Roman" w:eastAsia="Times New Roman" w:cs="Times New Roman"/>
                <w:spacing w:val="-4"/>
              </w:rPr>
              <w:t xml:space="preserve">7  </w:t>
            </w:r>
            <w:r>
              <w:rPr>
                <w:spacing w:val="-4"/>
              </w:rPr>
              <w:t>日</w:t>
            </w:r>
          </w:p>
        </w:tc>
        <w:tc>
          <w:tcPr>
            <w:tcW w:w="643" w:type="dxa"/>
            <w:vAlign w:val="top"/>
          </w:tcPr>
          <w:p>
            <w:pPr>
              <w:pStyle w:val="6"/>
              <w:spacing w:before="169" w:line="223" w:lineRule="auto"/>
              <w:ind w:left="114"/>
            </w:pPr>
            <w:r>
              <w:rPr>
                <w:spacing w:val="-2"/>
              </w:rPr>
              <w:t>昼间</w:t>
            </w:r>
          </w:p>
        </w:tc>
        <w:tc>
          <w:tcPr>
            <w:tcW w:w="1082" w:type="dxa"/>
            <w:vAlign w:val="top"/>
          </w:tcPr>
          <w:p>
            <w:pPr>
              <w:pStyle w:val="6"/>
              <w:spacing w:before="31" w:line="223"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7"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722" w:type="dxa"/>
            <w:vAlign w:val="top"/>
          </w:tcPr>
          <w:p>
            <w:pPr>
              <w:spacing w:before="207" w:line="187"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849" w:type="dxa"/>
            <w:vAlign w:val="top"/>
          </w:tcPr>
          <w:p>
            <w:pPr>
              <w:spacing w:before="207"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794" w:type="dxa"/>
            <w:vAlign w:val="top"/>
          </w:tcPr>
          <w:p>
            <w:pPr>
              <w:pStyle w:val="6"/>
              <w:spacing w:before="169" w:line="224" w:lineRule="auto"/>
              <w:ind w:left="298"/>
            </w:pPr>
            <w:r>
              <w:t>是</w:t>
            </w:r>
          </w:p>
        </w:tc>
        <w:tc>
          <w:tcPr>
            <w:tcW w:w="784" w:type="dxa"/>
            <w:vAlign w:val="top"/>
          </w:tcPr>
          <w:p>
            <w:pPr>
              <w:spacing w:before="207"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187</w:t>
            </w:r>
          </w:p>
        </w:tc>
        <w:tc>
          <w:tcPr>
            <w:tcW w:w="821" w:type="dxa"/>
            <w:vAlign w:val="top"/>
          </w:tcPr>
          <w:p>
            <w:pPr>
              <w:spacing w:before="207" w:line="187" w:lineRule="auto"/>
              <w:ind w:left="366"/>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984" w:type="dxa"/>
            <w:vAlign w:val="top"/>
          </w:tcPr>
          <w:p>
            <w:pPr>
              <w:spacing w:before="210" w:line="184"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88" w:type="dxa"/>
            <w:vAlign w:val="top"/>
          </w:tcPr>
          <w:p>
            <w:pPr>
              <w:pStyle w:val="6"/>
              <w:spacing w:before="168" w:line="221" w:lineRule="auto"/>
              <w:ind w:left="632"/>
            </w:pPr>
            <w:r>
              <w:rPr>
                <w:spacing w:val="-2"/>
              </w:rPr>
              <w:t>大南公路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69" w:line="221" w:lineRule="auto"/>
              <w:ind w:left="118"/>
            </w:pPr>
            <w:r>
              <w:rPr>
                <w:spacing w:val="-3"/>
              </w:rPr>
              <w:t>夜间</w:t>
            </w:r>
          </w:p>
        </w:tc>
        <w:tc>
          <w:tcPr>
            <w:tcW w:w="1082" w:type="dxa"/>
            <w:vAlign w:val="top"/>
          </w:tcPr>
          <w:p>
            <w:pPr>
              <w:pStyle w:val="6"/>
              <w:spacing w:before="32" w:line="223"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722" w:type="dxa"/>
            <w:vAlign w:val="top"/>
          </w:tcPr>
          <w:p>
            <w:pPr>
              <w:spacing w:before="208"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849" w:type="dxa"/>
            <w:vAlign w:val="top"/>
          </w:tcPr>
          <w:p>
            <w:pPr>
              <w:spacing w:before="211" w:line="184"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794" w:type="dxa"/>
            <w:vAlign w:val="top"/>
          </w:tcPr>
          <w:p>
            <w:pPr>
              <w:pStyle w:val="6"/>
              <w:spacing w:before="169" w:line="224" w:lineRule="auto"/>
              <w:ind w:left="298"/>
            </w:pPr>
            <w:r>
              <w:t>是</w:t>
            </w:r>
          </w:p>
        </w:tc>
        <w:tc>
          <w:tcPr>
            <w:tcW w:w="784" w:type="dxa"/>
            <w:vAlign w:val="top"/>
          </w:tcPr>
          <w:p>
            <w:pPr>
              <w:spacing w:before="208" w:line="187" w:lineRule="auto"/>
              <w:ind w:left="29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821" w:type="dxa"/>
            <w:vAlign w:val="top"/>
          </w:tcPr>
          <w:p>
            <w:pPr>
              <w:spacing w:before="208" w:line="187" w:lineRule="auto"/>
              <w:ind w:left="38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84" w:type="dxa"/>
            <w:vAlign w:val="top"/>
          </w:tcPr>
          <w:p>
            <w:pPr>
              <w:spacing w:before="208" w:line="187"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88" w:type="dxa"/>
            <w:vAlign w:val="top"/>
          </w:tcPr>
          <w:p>
            <w:pPr>
              <w:pStyle w:val="6"/>
              <w:spacing w:before="169" w:line="221" w:lineRule="auto"/>
              <w:ind w:left="632"/>
            </w:pPr>
            <w:r>
              <w:rPr>
                <w:spacing w:val="-2"/>
              </w:rPr>
              <w:t>大南公路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bottom w:val="nil"/>
            </w:tcBorders>
            <w:vAlign w:val="top"/>
          </w:tcPr>
          <w:p>
            <w:pPr>
              <w:rPr>
                <w:rFonts w:ascii="Arial"/>
                <w:sz w:val="21"/>
              </w:rPr>
            </w:pPr>
          </w:p>
        </w:tc>
        <w:tc>
          <w:tcPr>
            <w:tcW w:w="727" w:type="dxa"/>
            <w:vMerge w:val="continue"/>
            <w:tcBorders>
              <w:top w:val="nil"/>
              <w:bottom w:val="nil"/>
            </w:tcBorders>
            <w:vAlign w:val="top"/>
          </w:tcPr>
          <w:p>
            <w:pPr>
              <w:rPr>
                <w:rFonts w:ascii="Arial"/>
                <w:sz w:val="21"/>
              </w:rPr>
            </w:pPr>
          </w:p>
        </w:tc>
        <w:tc>
          <w:tcPr>
            <w:tcW w:w="854" w:type="dxa"/>
            <w:vMerge w:val="continue"/>
            <w:tcBorders>
              <w:top w:val="nil"/>
              <w:bottom w:val="nil"/>
            </w:tcBorders>
            <w:vAlign w:val="top"/>
          </w:tcPr>
          <w:p>
            <w:pPr>
              <w:rPr>
                <w:rFonts w:ascii="Arial"/>
                <w:sz w:val="21"/>
              </w:rPr>
            </w:pPr>
          </w:p>
        </w:tc>
        <w:tc>
          <w:tcPr>
            <w:tcW w:w="552" w:type="dxa"/>
            <w:vMerge w:val="restart"/>
            <w:tcBorders>
              <w:bottom w:val="nil"/>
            </w:tcBorders>
            <w:vAlign w:val="top"/>
          </w:tcPr>
          <w:p>
            <w:pPr>
              <w:spacing w:line="423" w:lineRule="auto"/>
              <w:rPr>
                <w:rFonts w:ascii="Arial"/>
                <w:sz w:val="21"/>
              </w:rPr>
            </w:pPr>
          </w:p>
          <w:p>
            <w:pPr>
              <w:spacing w:before="6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69" w:line="223" w:lineRule="auto"/>
              <w:ind w:left="114"/>
            </w:pPr>
            <w:r>
              <w:rPr>
                <w:spacing w:val="-2"/>
              </w:rPr>
              <w:t>昼间</w:t>
            </w:r>
          </w:p>
        </w:tc>
        <w:tc>
          <w:tcPr>
            <w:tcW w:w="1082" w:type="dxa"/>
            <w:vAlign w:val="top"/>
          </w:tcPr>
          <w:p>
            <w:pPr>
              <w:pStyle w:val="6"/>
              <w:spacing w:before="31" w:line="223"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7"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67.4</w:t>
            </w:r>
          </w:p>
        </w:tc>
        <w:tc>
          <w:tcPr>
            <w:tcW w:w="722" w:type="dxa"/>
            <w:vAlign w:val="top"/>
          </w:tcPr>
          <w:p>
            <w:pPr>
              <w:spacing w:before="207" w:line="187"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53.6</w:t>
            </w:r>
          </w:p>
        </w:tc>
        <w:tc>
          <w:tcPr>
            <w:tcW w:w="849" w:type="dxa"/>
            <w:vAlign w:val="top"/>
          </w:tcPr>
          <w:p>
            <w:pPr>
              <w:spacing w:before="207"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794" w:type="dxa"/>
            <w:vAlign w:val="top"/>
          </w:tcPr>
          <w:p>
            <w:pPr>
              <w:pStyle w:val="6"/>
              <w:spacing w:before="169" w:line="224" w:lineRule="auto"/>
              <w:ind w:left="298"/>
            </w:pPr>
            <w:r>
              <w:t>是</w:t>
            </w:r>
          </w:p>
        </w:tc>
        <w:tc>
          <w:tcPr>
            <w:tcW w:w="784" w:type="dxa"/>
            <w:vAlign w:val="top"/>
          </w:tcPr>
          <w:p>
            <w:pPr>
              <w:spacing w:before="207"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187</w:t>
            </w:r>
          </w:p>
        </w:tc>
        <w:tc>
          <w:tcPr>
            <w:tcW w:w="821" w:type="dxa"/>
            <w:vAlign w:val="top"/>
          </w:tcPr>
          <w:p>
            <w:pPr>
              <w:spacing w:before="207" w:line="187" w:lineRule="auto"/>
              <w:ind w:left="366"/>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984" w:type="dxa"/>
            <w:vAlign w:val="top"/>
          </w:tcPr>
          <w:p>
            <w:pPr>
              <w:spacing w:before="210" w:line="184"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88" w:type="dxa"/>
            <w:vAlign w:val="top"/>
          </w:tcPr>
          <w:p>
            <w:pPr>
              <w:pStyle w:val="6"/>
              <w:spacing w:before="168" w:line="221" w:lineRule="auto"/>
              <w:ind w:left="632"/>
            </w:pPr>
            <w:r>
              <w:rPr>
                <w:spacing w:val="-2"/>
              </w:rPr>
              <w:t>大南公路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Align w:val="top"/>
          </w:tcPr>
          <w:p>
            <w:pPr>
              <w:pStyle w:val="6"/>
              <w:spacing w:before="169" w:line="221" w:lineRule="auto"/>
              <w:ind w:left="118"/>
            </w:pPr>
            <w:r>
              <w:rPr>
                <w:spacing w:val="-3"/>
              </w:rPr>
              <w:t>夜间</w:t>
            </w:r>
          </w:p>
        </w:tc>
        <w:tc>
          <w:tcPr>
            <w:tcW w:w="1082" w:type="dxa"/>
            <w:vAlign w:val="top"/>
          </w:tcPr>
          <w:p>
            <w:pPr>
              <w:pStyle w:val="6"/>
              <w:spacing w:before="31" w:line="223"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c>
          <w:tcPr>
            <w:tcW w:w="722" w:type="dxa"/>
            <w:vAlign w:val="top"/>
          </w:tcPr>
          <w:p>
            <w:pPr>
              <w:spacing w:before="208"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849" w:type="dxa"/>
            <w:vAlign w:val="top"/>
          </w:tcPr>
          <w:p>
            <w:pPr>
              <w:spacing w:before="211" w:line="184"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794" w:type="dxa"/>
            <w:vAlign w:val="top"/>
          </w:tcPr>
          <w:p>
            <w:pPr>
              <w:pStyle w:val="6"/>
              <w:spacing w:before="169" w:line="224" w:lineRule="auto"/>
              <w:ind w:left="298"/>
            </w:pPr>
            <w:r>
              <w:t>是</w:t>
            </w:r>
          </w:p>
        </w:tc>
        <w:tc>
          <w:tcPr>
            <w:tcW w:w="784" w:type="dxa"/>
            <w:vAlign w:val="top"/>
          </w:tcPr>
          <w:p>
            <w:pPr>
              <w:spacing w:before="208" w:line="187" w:lineRule="auto"/>
              <w:ind w:left="29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821" w:type="dxa"/>
            <w:vAlign w:val="top"/>
          </w:tcPr>
          <w:p>
            <w:pPr>
              <w:spacing w:before="208" w:line="187" w:lineRule="auto"/>
              <w:ind w:left="38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84" w:type="dxa"/>
            <w:vAlign w:val="top"/>
          </w:tcPr>
          <w:p>
            <w:pPr>
              <w:spacing w:before="208" w:line="187" w:lineRule="auto"/>
              <w:ind w:left="46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88" w:type="dxa"/>
            <w:vAlign w:val="top"/>
          </w:tcPr>
          <w:p>
            <w:pPr>
              <w:pStyle w:val="6"/>
              <w:spacing w:before="169" w:line="221" w:lineRule="auto"/>
              <w:ind w:left="632"/>
            </w:pPr>
            <w:r>
              <w:rPr>
                <w:spacing w:val="-2"/>
              </w:rPr>
              <w:t>大南公路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531" w:type="dxa"/>
            <w:vMerge w:val="restart"/>
            <w:tcBorders>
              <w:bottom w:val="nil"/>
            </w:tcBorders>
            <w:vAlign w:val="top"/>
          </w:tcPr>
          <w:p>
            <w:pPr>
              <w:spacing w:line="423" w:lineRule="auto"/>
              <w:rPr>
                <w:rFonts w:ascii="Arial"/>
                <w:sz w:val="21"/>
              </w:rPr>
            </w:pPr>
          </w:p>
          <w:p>
            <w:pPr>
              <w:spacing w:before="6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15</w:t>
            </w:r>
          </w:p>
        </w:tc>
        <w:tc>
          <w:tcPr>
            <w:tcW w:w="727" w:type="dxa"/>
            <w:vMerge w:val="restart"/>
            <w:tcBorders>
              <w:bottom w:val="nil"/>
            </w:tcBorders>
            <w:vAlign w:val="top"/>
          </w:tcPr>
          <w:p>
            <w:pPr>
              <w:spacing w:line="377" w:lineRule="auto"/>
              <w:rPr>
                <w:rFonts w:ascii="Arial"/>
                <w:sz w:val="21"/>
              </w:rPr>
            </w:pPr>
          </w:p>
          <w:p>
            <w:pPr>
              <w:pStyle w:val="6"/>
              <w:spacing w:before="68" w:line="221" w:lineRule="auto"/>
              <w:ind w:left="163"/>
            </w:pPr>
            <w:r>
              <w:rPr>
                <w:spacing w:val="-4"/>
              </w:rPr>
              <w:t>蔡处</w:t>
            </w:r>
          </w:p>
        </w:tc>
        <w:tc>
          <w:tcPr>
            <w:tcW w:w="854" w:type="dxa"/>
            <w:vMerge w:val="restart"/>
            <w:tcBorders>
              <w:bottom w:val="nil"/>
            </w:tcBorders>
            <w:vAlign w:val="top"/>
          </w:tcPr>
          <w:p>
            <w:pPr>
              <w:spacing w:line="377" w:lineRule="auto"/>
              <w:rPr>
                <w:rFonts w:ascii="Arial"/>
                <w:sz w:val="21"/>
              </w:rPr>
            </w:pPr>
          </w:p>
          <w:p>
            <w:pPr>
              <w:pStyle w:val="6"/>
              <w:spacing w:before="68" w:line="221" w:lineRule="auto"/>
              <w:ind w:left="24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2" w:type="dxa"/>
            <w:vMerge w:val="restart"/>
            <w:tcBorders>
              <w:bottom w:val="nil"/>
            </w:tcBorders>
            <w:vAlign w:val="top"/>
          </w:tcPr>
          <w:p>
            <w:pPr>
              <w:spacing w:line="424"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Merge w:val="restart"/>
            <w:tcBorders>
              <w:bottom w:val="nil"/>
            </w:tcBorders>
            <w:vAlign w:val="top"/>
          </w:tcPr>
          <w:p>
            <w:pPr>
              <w:spacing w:line="377" w:lineRule="auto"/>
              <w:rPr>
                <w:rFonts w:ascii="Arial"/>
                <w:sz w:val="21"/>
              </w:rPr>
            </w:pPr>
          </w:p>
          <w:p>
            <w:pPr>
              <w:pStyle w:val="6"/>
              <w:spacing w:before="68" w:line="221" w:lineRule="auto"/>
              <w:ind w:left="189"/>
            </w:pPr>
            <w:r>
              <w:rPr>
                <w:rFonts w:ascii="Times New Roman" w:hAnsi="Times New Roman" w:eastAsia="Times New Roman" w:cs="Times New Roman"/>
                <w:spacing w:val="-4"/>
              </w:rPr>
              <w:t xml:space="preserve">2023 </w:t>
            </w:r>
            <w:r>
              <w:rPr>
                <w:spacing w:val="-4"/>
              </w:rPr>
              <w:t>年</w:t>
            </w:r>
            <w:r>
              <w:rPr>
                <w:spacing w:val="-37"/>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4"/>
              </w:rPr>
              <w:t xml:space="preserve"> </w:t>
            </w:r>
            <w:r>
              <w:rPr>
                <w:rFonts w:ascii="Times New Roman" w:hAnsi="Times New Roman" w:eastAsia="Times New Roman" w:cs="Times New Roman"/>
                <w:spacing w:val="-4"/>
              </w:rPr>
              <w:t xml:space="preserve">7  </w:t>
            </w:r>
            <w:r>
              <w:rPr>
                <w:spacing w:val="-4"/>
              </w:rPr>
              <w:t>日</w:t>
            </w:r>
          </w:p>
        </w:tc>
        <w:tc>
          <w:tcPr>
            <w:tcW w:w="643" w:type="dxa"/>
            <w:vAlign w:val="top"/>
          </w:tcPr>
          <w:p>
            <w:pPr>
              <w:pStyle w:val="6"/>
              <w:spacing w:before="170" w:line="223" w:lineRule="auto"/>
              <w:ind w:left="114"/>
            </w:pPr>
            <w:r>
              <w:rPr>
                <w:spacing w:val="-2"/>
              </w:rPr>
              <w:t>昼间</w:t>
            </w:r>
          </w:p>
        </w:tc>
        <w:tc>
          <w:tcPr>
            <w:tcW w:w="1082" w:type="dxa"/>
            <w:vAlign w:val="top"/>
          </w:tcPr>
          <w:p>
            <w:pPr>
              <w:pStyle w:val="6"/>
              <w:spacing w:before="35" w:line="222"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8"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52.3</w:t>
            </w:r>
          </w:p>
        </w:tc>
        <w:tc>
          <w:tcPr>
            <w:tcW w:w="722" w:type="dxa"/>
            <w:vAlign w:val="top"/>
          </w:tcPr>
          <w:p>
            <w:pPr>
              <w:spacing w:before="208"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42.2</w:t>
            </w:r>
          </w:p>
        </w:tc>
        <w:tc>
          <w:tcPr>
            <w:tcW w:w="849" w:type="dxa"/>
            <w:vAlign w:val="top"/>
          </w:tcPr>
          <w:p>
            <w:pPr>
              <w:spacing w:before="208"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70"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Align w:val="top"/>
          </w:tcPr>
          <w:p>
            <w:pPr>
              <w:pStyle w:val="6"/>
              <w:spacing w:before="168" w:line="221" w:lineRule="auto"/>
              <w:ind w:left="118"/>
            </w:pPr>
            <w:r>
              <w:rPr>
                <w:spacing w:val="-3"/>
              </w:rPr>
              <w:t>夜间</w:t>
            </w:r>
          </w:p>
        </w:tc>
        <w:tc>
          <w:tcPr>
            <w:tcW w:w="1082" w:type="dxa"/>
            <w:vAlign w:val="top"/>
          </w:tcPr>
          <w:p>
            <w:pPr>
              <w:pStyle w:val="6"/>
              <w:spacing w:before="34" w:line="222"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9"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42.7</w:t>
            </w:r>
          </w:p>
        </w:tc>
        <w:tc>
          <w:tcPr>
            <w:tcW w:w="722" w:type="dxa"/>
            <w:vAlign w:val="top"/>
          </w:tcPr>
          <w:p>
            <w:pPr>
              <w:spacing w:before="209"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31.4</w:t>
            </w:r>
          </w:p>
        </w:tc>
        <w:tc>
          <w:tcPr>
            <w:tcW w:w="849" w:type="dxa"/>
            <w:vAlign w:val="top"/>
          </w:tcPr>
          <w:p>
            <w:pPr>
              <w:spacing w:before="209"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69"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restart"/>
            <w:tcBorders>
              <w:bottom w:val="nil"/>
            </w:tcBorders>
            <w:vAlign w:val="top"/>
          </w:tcPr>
          <w:p>
            <w:pPr>
              <w:spacing w:line="422"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16</w:t>
            </w:r>
          </w:p>
        </w:tc>
        <w:tc>
          <w:tcPr>
            <w:tcW w:w="727" w:type="dxa"/>
            <w:vMerge w:val="restart"/>
            <w:tcBorders>
              <w:bottom w:val="nil"/>
            </w:tcBorders>
            <w:vAlign w:val="top"/>
          </w:tcPr>
          <w:p>
            <w:pPr>
              <w:pStyle w:val="6"/>
              <w:spacing w:before="309" w:line="241" w:lineRule="auto"/>
              <w:ind w:left="158"/>
            </w:pPr>
            <w:r>
              <w:rPr>
                <w:spacing w:val="-2"/>
              </w:rPr>
              <w:t>金路</w:t>
            </w:r>
          </w:p>
          <w:p>
            <w:pPr>
              <w:pStyle w:val="6"/>
              <w:spacing w:line="221" w:lineRule="auto"/>
              <w:ind w:left="259"/>
            </w:pPr>
            <w:r>
              <w:t>桥</w:t>
            </w:r>
          </w:p>
        </w:tc>
        <w:tc>
          <w:tcPr>
            <w:tcW w:w="854" w:type="dxa"/>
            <w:vMerge w:val="restart"/>
            <w:tcBorders>
              <w:bottom w:val="nil"/>
            </w:tcBorders>
            <w:vAlign w:val="top"/>
          </w:tcPr>
          <w:p>
            <w:pPr>
              <w:pStyle w:val="6"/>
              <w:spacing w:before="309" w:line="232" w:lineRule="auto"/>
              <w:ind w:left="222" w:right="136" w:hanging="86"/>
            </w:pPr>
            <w:r>
              <w:rPr>
                <w:rFonts w:ascii="Times New Roman" w:hAnsi="Times New Roman" w:eastAsia="Times New Roman" w:cs="Times New Roman"/>
                <w:spacing w:val="-4"/>
              </w:rPr>
              <w:t>2</w:t>
            </w:r>
            <w:r>
              <w:rPr>
                <w:rFonts w:ascii="Times New Roman" w:hAnsi="Times New Roman" w:eastAsia="Times New Roman" w:cs="Times New Roman"/>
                <w:spacing w:val="9"/>
              </w:rPr>
              <w:t xml:space="preserve"> </w:t>
            </w:r>
            <w:r>
              <w:rPr>
                <w:spacing w:val="-4"/>
              </w:rPr>
              <w:t>类第</w:t>
            </w:r>
            <w:r>
              <w:t xml:space="preserve"> </w:t>
            </w:r>
            <w:r>
              <w:rPr>
                <w:spacing w:val="-5"/>
              </w:rPr>
              <w:t>一排</w:t>
            </w:r>
          </w:p>
        </w:tc>
        <w:tc>
          <w:tcPr>
            <w:tcW w:w="552" w:type="dxa"/>
            <w:vMerge w:val="restart"/>
            <w:tcBorders>
              <w:bottom w:val="nil"/>
            </w:tcBorders>
            <w:vAlign w:val="top"/>
          </w:tcPr>
          <w:p>
            <w:pPr>
              <w:spacing w:line="422" w:lineRule="auto"/>
              <w:rPr>
                <w:rFonts w:ascii="Arial"/>
                <w:sz w:val="21"/>
              </w:rPr>
            </w:pPr>
          </w:p>
          <w:p>
            <w:pPr>
              <w:spacing w:before="60"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2F</w:t>
            </w:r>
          </w:p>
        </w:tc>
        <w:tc>
          <w:tcPr>
            <w:tcW w:w="1905" w:type="dxa"/>
            <w:vMerge w:val="restart"/>
            <w:tcBorders>
              <w:bottom w:val="nil"/>
            </w:tcBorders>
            <w:vAlign w:val="top"/>
          </w:tcPr>
          <w:p>
            <w:pPr>
              <w:spacing w:line="375" w:lineRule="auto"/>
              <w:rPr>
                <w:rFonts w:ascii="Arial"/>
                <w:sz w:val="21"/>
              </w:rPr>
            </w:pPr>
          </w:p>
          <w:p>
            <w:pPr>
              <w:pStyle w:val="6"/>
              <w:spacing w:before="68" w:line="221" w:lineRule="auto"/>
              <w:ind w:left="189"/>
            </w:pPr>
            <w:r>
              <w:rPr>
                <w:rFonts w:ascii="Times New Roman" w:hAnsi="Times New Roman" w:eastAsia="Times New Roman" w:cs="Times New Roman"/>
                <w:spacing w:val="-4"/>
              </w:rPr>
              <w:t xml:space="preserve">2023 </w:t>
            </w:r>
            <w:r>
              <w:rPr>
                <w:spacing w:val="-4"/>
              </w:rPr>
              <w:t>年</w:t>
            </w:r>
            <w:r>
              <w:rPr>
                <w:spacing w:val="-37"/>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4"/>
              </w:rPr>
              <w:t xml:space="preserve"> </w:t>
            </w:r>
            <w:r>
              <w:rPr>
                <w:rFonts w:ascii="Times New Roman" w:hAnsi="Times New Roman" w:eastAsia="Times New Roman" w:cs="Times New Roman"/>
                <w:spacing w:val="-4"/>
              </w:rPr>
              <w:t xml:space="preserve">7  </w:t>
            </w:r>
            <w:r>
              <w:rPr>
                <w:spacing w:val="-4"/>
              </w:rPr>
              <w:t>日</w:t>
            </w:r>
          </w:p>
        </w:tc>
        <w:tc>
          <w:tcPr>
            <w:tcW w:w="643" w:type="dxa"/>
            <w:vAlign w:val="top"/>
          </w:tcPr>
          <w:p>
            <w:pPr>
              <w:pStyle w:val="6"/>
              <w:spacing w:before="171" w:line="223" w:lineRule="auto"/>
              <w:ind w:left="114"/>
            </w:pPr>
            <w:r>
              <w:rPr>
                <w:spacing w:val="-2"/>
              </w:rPr>
              <w:t>昼间</w:t>
            </w:r>
          </w:p>
        </w:tc>
        <w:tc>
          <w:tcPr>
            <w:tcW w:w="1082" w:type="dxa"/>
            <w:vAlign w:val="top"/>
          </w:tcPr>
          <w:p>
            <w:pPr>
              <w:pStyle w:val="6"/>
              <w:spacing w:before="33" w:line="222"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9" w:line="187" w:lineRule="auto"/>
              <w:ind w:left="1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722" w:type="dxa"/>
            <w:vAlign w:val="top"/>
          </w:tcPr>
          <w:p>
            <w:pPr>
              <w:spacing w:before="209"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46.8</w:t>
            </w:r>
          </w:p>
        </w:tc>
        <w:tc>
          <w:tcPr>
            <w:tcW w:w="849" w:type="dxa"/>
            <w:vAlign w:val="top"/>
          </w:tcPr>
          <w:p>
            <w:pPr>
              <w:spacing w:before="209"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70"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31" w:type="dxa"/>
            <w:vMerge w:val="continue"/>
            <w:tcBorders>
              <w:top w:val="nil"/>
            </w:tcBorders>
            <w:vAlign w:val="top"/>
          </w:tcPr>
          <w:p>
            <w:pPr>
              <w:rPr>
                <w:rFonts w:ascii="Arial"/>
                <w:sz w:val="21"/>
              </w:rPr>
            </w:pPr>
          </w:p>
        </w:tc>
        <w:tc>
          <w:tcPr>
            <w:tcW w:w="727" w:type="dxa"/>
            <w:vMerge w:val="continue"/>
            <w:tcBorders>
              <w:top w:val="nil"/>
            </w:tcBorders>
            <w:vAlign w:val="top"/>
          </w:tcPr>
          <w:p>
            <w:pPr>
              <w:rPr>
                <w:rFonts w:ascii="Arial"/>
                <w:sz w:val="21"/>
              </w:rPr>
            </w:pPr>
          </w:p>
        </w:tc>
        <w:tc>
          <w:tcPr>
            <w:tcW w:w="854" w:type="dxa"/>
            <w:vMerge w:val="continue"/>
            <w:tcBorders>
              <w:top w:val="nil"/>
            </w:tcBorders>
            <w:vAlign w:val="top"/>
          </w:tcPr>
          <w:p>
            <w:pPr>
              <w:rPr>
                <w:rFonts w:ascii="Arial"/>
                <w:sz w:val="21"/>
              </w:rPr>
            </w:pPr>
          </w:p>
        </w:tc>
        <w:tc>
          <w:tcPr>
            <w:tcW w:w="552"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Align w:val="top"/>
          </w:tcPr>
          <w:p>
            <w:pPr>
              <w:pStyle w:val="6"/>
              <w:spacing w:before="170" w:line="221" w:lineRule="auto"/>
              <w:ind w:left="118"/>
            </w:pPr>
            <w:r>
              <w:rPr>
                <w:spacing w:val="-3"/>
              </w:rPr>
              <w:t>夜间</w:t>
            </w:r>
          </w:p>
        </w:tc>
        <w:tc>
          <w:tcPr>
            <w:tcW w:w="1082" w:type="dxa"/>
            <w:vAlign w:val="top"/>
          </w:tcPr>
          <w:p>
            <w:pPr>
              <w:pStyle w:val="6"/>
              <w:spacing w:before="33" w:line="222"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9"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722" w:type="dxa"/>
            <w:vAlign w:val="top"/>
          </w:tcPr>
          <w:p>
            <w:pPr>
              <w:spacing w:before="209"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34.0</w:t>
            </w:r>
          </w:p>
        </w:tc>
        <w:tc>
          <w:tcPr>
            <w:tcW w:w="849" w:type="dxa"/>
            <w:vAlign w:val="top"/>
          </w:tcPr>
          <w:p>
            <w:pPr>
              <w:spacing w:before="209"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71"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31" w:type="dxa"/>
            <w:vAlign w:val="top"/>
          </w:tcPr>
          <w:p>
            <w:pPr>
              <w:spacing w:before="21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17</w:t>
            </w:r>
          </w:p>
        </w:tc>
        <w:tc>
          <w:tcPr>
            <w:tcW w:w="727" w:type="dxa"/>
            <w:vAlign w:val="top"/>
          </w:tcPr>
          <w:p>
            <w:pPr>
              <w:pStyle w:val="6"/>
              <w:spacing w:before="171" w:line="222" w:lineRule="auto"/>
              <w:ind w:left="157"/>
            </w:pPr>
            <w:r>
              <w:rPr>
                <w:spacing w:val="-2"/>
              </w:rPr>
              <w:t>莲塘</w:t>
            </w:r>
          </w:p>
        </w:tc>
        <w:tc>
          <w:tcPr>
            <w:tcW w:w="854" w:type="dxa"/>
            <w:vAlign w:val="top"/>
          </w:tcPr>
          <w:p>
            <w:pPr>
              <w:pStyle w:val="6"/>
              <w:spacing w:before="171" w:line="221" w:lineRule="auto"/>
              <w:ind w:left="241"/>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52" w:type="dxa"/>
            <w:vAlign w:val="top"/>
          </w:tcPr>
          <w:p>
            <w:pPr>
              <w:spacing w:before="21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1905" w:type="dxa"/>
            <w:vAlign w:val="top"/>
          </w:tcPr>
          <w:p>
            <w:pPr>
              <w:pStyle w:val="6"/>
              <w:spacing w:before="171" w:line="221" w:lineRule="auto"/>
              <w:ind w:left="189"/>
            </w:pPr>
            <w:r>
              <w:rPr>
                <w:rFonts w:ascii="Times New Roman" w:hAnsi="Times New Roman" w:eastAsia="Times New Roman" w:cs="Times New Roman"/>
                <w:spacing w:val="-4"/>
              </w:rPr>
              <w:t xml:space="preserve">2023 </w:t>
            </w:r>
            <w:r>
              <w:rPr>
                <w:spacing w:val="-4"/>
              </w:rPr>
              <w:t>年</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1"/>
              </w:rPr>
              <w:t xml:space="preserve"> </w:t>
            </w:r>
            <w:r>
              <w:rPr>
                <w:spacing w:val="-4"/>
              </w:rPr>
              <w:t>月</w:t>
            </w:r>
            <w:r>
              <w:rPr>
                <w:spacing w:val="-43"/>
              </w:rPr>
              <w:t xml:space="preserve"> </w:t>
            </w:r>
            <w:r>
              <w:rPr>
                <w:rFonts w:ascii="Times New Roman" w:hAnsi="Times New Roman" w:eastAsia="Times New Roman" w:cs="Times New Roman"/>
                <w:spacing w:val="-4"/>
              </w:rPr>
              <w:t xml:space="preserve">6  </w:t>
            </w:r>
            <w:r>
              <w:rPr>
                <w:spacing w:val="-4"/>
              </w:rPr>
              <w:t>日</w:t>
            </w:r>
          </w:p>
        </w:tc>
        <w:tc>
          <w:tcPr>
            <w:tcW w:w="643" w:type="dxa"/>
            <w:vAlign w:val="top"/>
          </w:tcPr>
          <w:p>
            <w:pPr>
              <w:pStyle w:val="6"/>
              <w:spacing w:before="172" w:line="223" w:lineRule="auto"/>
              <w:ind w:left="114"/>
            </w:pPr>
            <w:r>
              <w:rPr>
                <w:spacing w:val="-2"/>
              </w:rPr>
              <w:t>昼间</w:t>
            </w:r>
          </w:p>
        </w:tc>
        <w:tc>
          <w:tcPr>
            <w:tcW w:w="1082" w:type="dxa"/>
            <w:vAlign w:val="top"/>
          </w:tcPr>
          <w:p>
            <w:pPr>
              <w:pStyle w:val="6"/>
              <w:spacing w:before="34" w:line="224"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10"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49.2</w:t>
            </w:r>
          </w:p>
        </w:tc>
        <w:tc>
          <w:tcPr>
            <w:tcW w:w="722" w:type="dxa"/>
            <w:vAlign w:val="top"/>
          </w:tcPr>
          <w:p>
            <w:pPr>
              <w:spacing w:before="21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43.4</w:t>
            </w:r>
          </w:p>
        </w:tc>
        <w:tc>
          <w:tcPr>
            <w:tcW w:w="849" w:type="dxa"/>
            <w:vAlign w:val="top"/>
          </w:tcPr>
          <w:p>
            <w:pPr>
              <w:spacing w:before="210"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71"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bl>
    <w:p>
      <w:pPr>
        <w:pStyle w:val="2"/>
      </w:pPr>
    </w:p>
    <w:p>
      <w:pPr>
        <w:sectPr>
          <w:footerReference r:id="rId201" w:type="default"/>
          <w:pgSz w:w="16839" w:h="11907"/>
          <w:pgMar w:top="1260" w:right="1372" w:bottom="1151" w:left="1375" w:header="1019" w:footer="990" w:gutter="0"/>
          <w:cols w:space="720" w:num="1"/>
        </w:sectPr>
      </w:pPr>
    </w:p>
    <w:p>
      <w:pPr>
        <w:spacing w:line="155" w:lineRule="exact"/>
      </w:pPr>
    </w:p>
    <w:tbl>
      <w:tblPr>
        <w:tblStyle w:val="5"/>
        <w:tblW w:w="14085"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1"/>
        <w:gridCol w:w="2133"/>
        <w:gridCol w:w="1905"/>
        <w:gridCol w:w="643"/>
        <w:gridCol w:w="1082"/>
        <w:gridCol w:w="749"/>
        <w:gridCol w:w="722"/>
        <w:gridCol w:w="849"/>
        <w:gridCol w:w="794"/>
        <w:gridCol w:w="784"/>
        <w:gridCol w:w="821"/>
        <w:gridCol w:w="984"/>
        <w:gridCol w:w="20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531" w:type="dxa"/>
            <w:vMerge w:val="restart"/>
            <w:tcBorders>
              <w:bottom w:val="nil"/>
            </w:tcBorders>
            <w:textDirection w:val="tbRlV"/>
            <w:vAlign w:val="top"/>
          </w:tcPr>
          <w:p>
            <w:pPr>
              <w:pStyle w:val="6"/>
              <w:spacing w:before="158" w:line="211" w:lineRule="auto"/>
              <w:ind w:left="41"/>
            </w:pPr>
            <w:r>
              <w:rPr>
                <w:spacing w:val="31"/>
              </w:rPr>
              <w:t>序号</w:t>
            </w:r>
          </w:p>
        </w:tc>
        <w:tc>
          <w:tcPr>
            <w:tcW w:w="2133" w:type="dxa"/>
            <w:vMerge w:val="restart"/>
            <w:tcBorders>
              <w:bottom w:val="nil"/>
            </w:tcBorders>
            <w:vAlign w:val="top"/>
          </w:tcPr>
          <w:p>
            <w:pPr>
              <w:pStyle w:val="6"/>
              <w:spacing w:before="175" w:line="221" w:lineRule="auto"/>
              <w:ind w:left="648"/>
            </w:pPr>
            <w:r>
              <w:rPr>
                <w:spacing w:val="-2"/>
              </w:rPr>
              <w:t>检测点位</w:t>
            </w:r>
          </w:p>
          <w:p>
            <w:pPr>
              <w:spacing w:line="134" w:lineRule="exact"/>
            </w:pPr>
          </w:p>
          <w:tbl>
            <w:tblPr>
              <w:tblStyle w:val="5"/>
              <w:tblW w:w="1403" w:type="dxa"/>
              <w:tblInd w:w="7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7"/>
              <w:gridCol w:w="5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857" w:type="dxa"/>
                  <w:tcBorders>
                    <w:top w:val="nil"/>
                  </w:tcBorders>
                  <w:vAlign w:val="top"/>
                </w:tcPr>
                <w:p>
                  <w:pPr>
                    <w:rPr>
                      <w:rFonts w:ascii="Arial"/>
                      <w:sz w:val="21"/>
                    </w:rPr>
                  </w:pPr>
                </w:p>
              </w:tc>
              <w:tc>
                <w:tcPr>
                  <w:tcW w:w="546" w:type="dxa"/>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857" w:type="dxa"/>
                  <w:tcBorders>
                    <w:bottom w:val="nil"/>
                  </w:tcBorders>
                  <w:vAlign w:val="top"/>
                </w:tcPr>
                <w:p>
                  <w:pPr>
                    <w:spacing w:line="373" w:lineRule="auto"/>
                    <w:rPr>
                      <w:rFonts w:ascii="Arial"/>
                      <w:sz w:val="21"/>
                    </w:rPr>
                  </w:pPr>
                </w:p>
                <w:p>
                  <w:pPr>
                    <w:pStyle w:val="6"/>
                    <w:spacing w:before="68" w:line="221" w:lineRule="auto"/>
                    <w:ind w:left="246"/>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546" w:type="dxa"/>
                  <w:tcBorders>
                    <w:bottom w:val="nil"/>
                    <w:right w:val="nil"/>
                  </w:tcBorders>
                  <w:vAlign w:val="top"/>
                </w:tcPr>
                <w:p>
                  <w:pPr>
                    <w:spacing w:line="420"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r>
          </w:tbl>
          <w:p>
            <w:pPr>
              <w:spacing w:line="14" w:lineRule="auto"/>
              <w:rPr>
                <w:rFonts w:ascii="Arial"/>
                <w:sz w:val="2"/>
              </w:rPr>
            </w:pPr>
          </w:p>
        </w:tc>
        <w:tc>
          <w:tcPr>
            <w:tcW w:w="1905" w:type="dxa"/>
            <w:vMerge w:val="restart"/>
            <w:tcBorders>
              <w:bottom w:val="nil"/>
            </w:tcBorders>
            <w:vAlign w:val="top"/>
          </w:tcPr>
          <w:p>
            <w:pPr>
              <w:pStyle w:val="6"/>
              <w:spacing w:before="175" w:line="221" w:lineRule="auto"/>
              <w:ind w:left="858"/>
            </w:pPr>
            <w:r>
              <w:rPr>
                <w:spacing w:val="-2"/>
              </w:rPr>
              <w:t>检测时间</w:t>
            </w:r>
          </w:p>
        </w:tc>
        <w:tc>
          <w:tcPr>
            <w:tcW w:w="643" w:type="dxa"/>
            <w:vMerge w:val="restart"/>
            <w:tcBorders>
              <w:left w:val="nil"/>
              <w:bottom w:val="nil"/>
            </w:tcBorders>
            <w:vAlign w:val="top"/>
          </w:tcPr>
          <w:p>
            <w:pPr>
              <w:rPr>
                <w:rFonts w:ascii="Arial"/>
                <w:sz w:val="21"/>
              </w:rPr>
            </w:pPr>
          </w:p>
        </w:tc>
        <w:tc>
          <w:tcPr>
            <w:tcW w:w="1082" w:type="dxa"/>
            <w:vMerge w:val="restart"/>
            <w:tcBorders>
              <w:bottom w:val="nil"/>
            </w:tcBorders>
            <w:vAlign w:val="top"/>
          </w:tcPr>
          <w:p>
            <w:pPr>
              <w:pStyle w:val="6"/>
              <w:spacing w:before="176" w:line="221" w:lineRule="auto"/>
              <w:ind w:left="126"/>
            </w:pPr>
            <w:r>
              <w:rPr>
                <w:spacing w:val="-2"/>
              </w:rPr>
              <w:t>主要声源</w:t>
            </w:r>
          </w:p>
        </w:tc>
        <w:tc>
          <w:tcPr>
            <w:tcW w:w="1471" w:type="dxa"/>
            <w:gridSpan w:val="2"/>
            <w:vAlign w:val="top"/>
          </w:tcPr>
          <w:p>
            <w:pPr>
              <w:pStyle w:val="6"/>
              <w:spacing w:before="36" w:line="207" w:lineRule="auto"/>
              <w:ind w:left="319"/>
            </w:pPr>
            <w:r>
              <w:rPr>
                <w:spacing w:val="-2"/>
              </w:rPr>
              <w:t>检测结果</w:t>
            </w:r>
          </w:p>
        </w:tc>
        <w:tc>
          <w:tcPr>
            <w:tcW w:w="849" w:type="dxa"/>
            <w:vMerge w:val="restart"/>
            <w:tcBorders>
              <w:bottom w:val="nil"/>
            </w:tcBorders>
            <w:vAlign w:val="top"/>
          </w:tcPr>
          <w:p>
            <w:pPr>
              <w:pStyle w:val="6"/>
              <w:spacing w:before="175" w:line="221" w:lineRule="auto"/>
              <w:ind w:left="114"/>
            </w:pPr>
            <w:r>
              <w:rPr>
                <w:spacing w:val="-2"/>
              </w:rPr>
              <w:t>标准值</w:t>
            </w:r>
          </w:p>
        </w:tc>
        <w:tc>
          <w:tcPr>
            <w:tcW w:w="794" w:type="dxa"/>
            <w:vMerge w:val="restart"/>
            <w:tcBorders>
              <w:bottom w:val="nil"/>
            </w:tcBorders>
            <w:vAlign w:val="top"/>
          </w:tcPr>
          <w:p>
            <w:pPr>
              <w:pStyle w:val="6"/>
              <w:spacing w:before="42" w:line="238" w:lineRule="auto"/>
              <w:ind w:left="194"/>
            </w:pPr>
            <w:r>
              <w:rPr>
                <w:spacing w:val="-3"/>
              </w:rPr>
              <w:t>是否</w:t>
            </w:r>
          </w:p>
          <w:p>
            <w:pPr>
              <w:pStyle w:val="6"/>
              <w:spacing w:before="1" w:line="212" w:lineRule="auto"/>
              <w:ind w:left="190"/>
            </w:pPr>
            <w:r>
              <w:rPr>
                <w:spacing w:val="-2"/>
              </w:rPr>
              <w:t>达标</w:t>
            </w:r>
          </w:p>
        </w:tc>
        <w:tc>
          <w:tcPr>
            <w:tcW w:w="2589" w:type="dxa"/>
            <w:gridSpan w:val="3"/>
            <w:vAlign w:val="top"/>
          </w:tcPr>
          <w:p>
            <w:pPr>
              <w:pStyle w:val="6"/>
              <w:spacing w:before="36" w:line="207" w:lineRule="auto"/>
              <w:ind w:left="164"/>
            </w:pPr>
            <w:r>
              <w:rPr>
                <w:spacing w:val="-1"/>
              </w:rPr>
              <w:t>车流量情况（辆</w:t>
            </w:r>
            <w:r>
              <w:rPr>
                <w:rFonts w:ascii="Times New Roman" w:hAnsi="Times New Roman" w:eastAsia="Times New Roman" w:cs="Times New Roman"/>
                <w:spacing w:val="-1"/>
              </w:rPr>
              <w:t>/20min</w:t>
            </w:r>
            <w:r>
              <w:rPr>
                <w:spacing w:val="-1"/>
              </w:rPr>
              <w:t>）</w:t>
            </w:r>
          </w:p>
        </w:tc>
        <w:tc>
          <w:tcPr>
            <w:tcW w:w="2088" w:type="dxa"/>
            <w:vMerge w:val="restart"/>
            <w:tcBorders>
              <w:bottom w:val="nil"/>
            </w:tcBorders>
            <w:vAlign w:val="top"/>
          </w:tcPr>
          <w:p>
            <w:pPr>
              <w:pStyle w:val="6"/>
              <w:spacing w:before="175" w:line="222" w:lineRule="auto"/>
              <w:ind w:left="841"/>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31" w:type="dxa"/>
            <w:vMerge w:val="continue"/>
            <w:tcBorders>
              <w:top w:val="nil"/>
              <w:bottom w:val="nil"/>
            </w:tcBorders>
            <w:textDirection w:val="tbRlV"/>
            <w:vAlign w:val="top"/>
          </w:tcPr>
          <w:p>
            <w:pPr>
              <w:rPr>
                <w:rFonts w:ascii="Arial"/>
                <w:sz w:val="21"/>
              </w:rPr>
            </w:pPr>
          </w:p>
        </w:tc>
        <w:tc>
          <w:tcPr>
            <w:tcW w:w="2133" w:type="dxa"/>
            <w:vMerge w:val="continue"/>
            <w:tcBorders>
              <w:top w:val="nil"/>
              <w:bottom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Merge w:val="continue"/>
            <w:tcBorders>
              <w:top w:val="nil"/>
              <w:left w:val="nil"/>
            </w:tcBorders>
            <w:vAlign w:val="top"/>
          </w:tcPr>
          <w:p>
            <w:pPr>
              <w:rPr>
                <w:rFonts w:ascii="Arial"/>
                <w:sz w:val="21"/>
              </w:rPr>
            </w:pPr>
          </w:p>
        </w:tc>
        <w:tc>
          <w:tcPr>
            <w:tcW w:w="1082" w:type="dxa"/>
            <w:vMerge w:val="continue"/>
            <w:tcBorders>
              <w:top w:val="nil"/>
            </w:tcBorders>
            <w:vAlign w:val="top"/>
          </w:tcPr>
          <w:p>
            <w:pPr>
              <w:rPr>
                <w:rFonts w:ascii="Arial"/>
                <w:sz w:val="21"/>
              </w:rPr>
            </w:pPr>
          </w:p>
        </w:tc>
        <w:tc>
          <w:tcPr>
            <w:tcW w:w="749" w:type="dxa"/>
            <w:vAlign w:val="top"/>
          </w:tcPr>
          <w:p>
            <w:pPr>
              <w:spacing w:before="65" w:line="191"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Leq</w:t>
            </w:r>
          </w:p>
        </w:tc>
        <w:tc>
          <w:tcPr>
            <w:tcW w:w="722" w:type="dxa"/>
            <w:vAlign w:val="top"/>
          </w:tcPr>
          <w:p>
            <w:pPr>
              <w:spacing w:before="71" w:line="195" w:lineRule="auto"/>
              <w:ind w:left="227"/>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L</w:t>
            </w:r>
            <w:r>
              <w:rPr>
                <w:rFonts w:ascii="Times New Roman" w:hAnsi="Times New Roman" w:eastAsia="Times New Roman" w:cs="Times New Roman"/>
                <w:spacing w:val="2"/>
                <w:sz w:val="13"/>
                <w:szCs w:val="13"/>
              </w:rPr>
              <w:t>90</w:t>
            </w:r>
          </w:p>
        </w:tc>
        <w:tc>
          <w:tcPr>
            <w:tcW w:w="849" w:type="dxa"/>
            <w:vMerge w:val="continue"/>
            <w:tcBorders>
              <w:top w:val="nil"/>
            </w:tcBorders>
            <w:vAlign w:val="top"/>
          </w:tcPr>
          <w:p>
            <w:pPr>
              <w:rPr>
                <w:rFonts w:ascii="Arial"/>
                <w:sz w:val="21"/>
              </w:rPr>
            </w:pPr>
          </w:p>
        </w:tc>
        <w:tc>
          <w:tcPr>
            <w:tcW w:w="794" w:type="dxa"/>
            <w:vMerge w:val="continue"/>
            <w:tcBorders>
              <w:top w:val="nil"/>
            </w:tcBorders>
            <w:vAlign w:val="top"/>
          </w:tcPr>
          <w:p>
            <w:pPr>
              <w:rPr>
                <w:rFonts w:ascii="Arial"/>
                <w:sz w:val="21"/>
              </w:rPr>
            </w:pPr>
          </w:p>
        </w:tc>
        <w:tc>
          <w:tcPr>
            <w:tcW w:w="784" w:type="dxa"/>
            <w:vAlign w:val="top"/>
          </w:tcPr>
          <w:p>
            <w:pPr>
              <w:pStyle w:val="6"/>
              <w:spacing w:before="30" w:line="209" w:lineRule="auto"/>
              <w:ind w:left="191"/>
            </w:pPr>
            <w:r>
              <w:rPr>
                <w:spacing w:val="-3"/>
              </w:rPr>
              <w:t>大车</w:t>
            </w:r>
          </w:p>
        </w:tc>
        <w:tc>
          <w:tcPr>
            <w:tcW w:w="821" w:type="dxa"/>
            <w:vAlign w:val="top"/>
          </w:tcPr>
          <w:p>
            <w:pPr>
              <w:pStyle w:val="6"/>
              <w:spacing w:before="30" w:line="209" w:lineRule="auto"/>
              <w:ind w:left="227"/>
            </w:pPr>
            <w:r>
              <w:rPr>
                <w:spacing w:val="-7"/>
              </w:rPr>
              <w:t>中车</w:t>
            </w:r>
          </w:p>
        </w:tc>
        <w:tc>
          <w:tcPr>
            <w:tcW w:w="984" w:type="dxa"/>
            <w:vAlign w:val="top"/>
          </w:tcPr>
          <w:p>
            <w:pPr>
              <w:pStyle w:val="6"/>
              <w:spacing w:before="30" w:line="209" w:lineRule="auto"/>
              <w:ind w:left="294"/>
            </w:pPr>
            <w:r>
              <w:rPr>
                <w:spacing w:val="-3"/>
              </w:rPr>
              <w:t>小车</w:t>
            </w:r>
          </w:p>
        </w:tc>
        <w:tc>
          <w:tcPr>
            <w:tcW w:w="208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31" w:type="dxa"/>
            <w:vMerge w:val="continue"/>
            <w:tcBorders>
              <w:top w:val="nil"/>
              <w:bottom w:val="nil"/>
            </w:tcBorders>
            <w:textDirection w:val="tbRlV"/>
            <w:vAlign w:val="top"/>
          </w:tcPr>
          <w:p>
            <w:pPr>
              <w:rPr>
                <w:rFonts w:ascii="Arial"/>
                <w:sz w:val="21"/>
              </w:rPr>
            </w:pPr>
          </w:p>
        </w:tc>
        <w:tc>
          <w:tcPr>
            <w:tcW w:w="2133" w:type="dxa"/>
            <w:vMerge w:val="continue"/>
            <w:tcBorders>
              <w:top w:val="nil"/>
              <w:bottom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67" w:line="221" w:lineRule="auto"/>
              <w:ind w:left="118"/>
            </w:pPr>
            <w:r>
              <w:rPr>
                <w:spacing w:val="-3"/>
              </w:rPr>
              <w:t>夜间</w:t>
            </w:r>
          </w:p>
        </w:tc>
        <w:tc>
          <w:tcPr>
            <w:tcW w:w="1082" w:type="dxa"/>
            <w:vAlign w:val="top"/>
          </w:tcPr>
          <w:p>
            <w:pPr>
              <w:pStyle w:val="6"/>
              <w:spacing w:before="30" w:line="223"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6"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44.9</w:t>
            </w:r>
          </w:p>
        </w:tc>
        <w:tc>
          <w:tcPr>
            <w:tcW w:w="722" w:type="dxa"/>
            <w:vAlign w:val="top"/>
          </w:tcPr>
          <w:p>
            <w:pPr>
              <w:spacing w:before="206"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39.2</w:t>
            </w:r>
          </w:p>
        </w:tc>
        <w:tc>
          <w:tcPr>
            <w:tcW w:w="849" w:type="dxa"/>
            <w:vAlign w:val="top"/>
          </w:tcPr>
          <w:p>
            <w:pPr>
              <w:spacing w:before="206"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67"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31" w:type="dxa"/>
            <w:vMerge w:val="continue"/>
            <w:tcBorders>
              <w:top w:val="nil"/>
              <w:bottom w:val="nil"/>
            </w:tcBorders>
            <w:textDirection w:val="tbRlV"/>
            <w:vAlign w:val="top"/>
          </w:tcPr>
          <w:p>
            <w:pPr>
              <w:rPr>
                <w:rFonts w:ascii="Arial"/>
                <w:sz w:val="21"/>
              </w:rPr>
            </w:pPr>
          </w:p>
        </w:tc>
        <w:tc>
          <w:tcPr>
            <w:tcW w:w="2133" w:type="dxa"/>
            <w:vMerge w:val="continue"/>
            <w:tcBorders>
              <w:top w:val="nil"/>
              <w:bottom w:val="nil"/>
            </w:tcBorders>
            <w:vAlign w:val="top"/>
          </w:tcPr>
          <w:p>
            <w:pPr>
              <w:rPr>
                <w:rFonts w:ascii="Arial"/>
                <w:sz w:val="21"/>
              </w:rPr>
            </w:pPr>
          </w:p>
        </w:tc>
        <w:tc>
          <w:tcPr>
            <w:tcW w:w="1905" w:type="dxa"/>
            <w:vMerge w:val="continue"/>
            <w:tcBorders>
              <w:top w:val="nil"/>
              <w:bottom w:val="nil"/>
            </w:tcBorders>
            <w:vAlign w:val="top"/>
          </w:tcPr>
          <w:p>
            <w:pPr>
              <w:rPr>
                <w:rFonts w:ascii="Arial"/>
                <w:sz w:val="21"/>
              </w:rPr>
            </w:pPr>
          </w:p>
        </w:tc>
        <w:tc>
          <w:tcPr>
            <w:tcW w:w="643" w:type="dxa"/>
            <w:vAlign w:val="top"/>
          </w:tcPr>
          <w:p>
            <w:pPr>
              <w:pStyle w:val="6"/>
              <w:spacing w:before="169" w:line="223" w:lineRule="auto"/>
              <w:ind w:left="114"/>
            </w:pPr>
            <w:r>
              <w:rPr>
                <w:spacing w:val="-2"/>
              </w:rPr>
              <w:t>昼间</w:t>
            </w:r>
          </w:p>
        </w:tc>
        <w:tc>
          <w:tcPr>
            <w:tcW w:w="1082" w:type="dxa"/>
            <w:vAlign w:val="top"/>
          </w:tcPr>
          <w:p>
            <w:pPr>
              <w:pStyle w:val="6"/>
              <w:spacing w:before="32" w:line="222"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7"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50.3</w:t>
            </w:r>
          </w:p>
        </w:tc>
        <w:tc>
          <w:tcPr>
            <w:tcW w:w="722" w:type="dxa"/>
            <w:vAlign w:val="top"/>
          </w:tcPr>
          <w:p>
            <w:pPr>
              <w:spacing w:before="207"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849" w:type="dxa"/>
            <w:vAlign w:val="top"/>
          </w:tcPr>
          <w:p>
            <w:pPr>
              <w:spacing w:before="207"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794" w:type="dxa"/>
            <w:vAlign w:val="top"/>
          </w:tcPr>
          <w:p>
            <w:pPr>
              <w:pStyle w:val="6"/>
              <w:spacing w:before="169"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31" w:type="dxa"/>
            <w:vMerge w:val="continue"/>
            <w:tcBorders>
              <w:top w:val="nil"/>
            </w:tcBorders>
            <w:textDirection w:val="tbRlV"/>
            <w:vAlign w:val="top"/>
          </w:tcPr>
          <w:p>
            <w:pPr>
              <w:rPr>
                <w:rFonts w:ascii="Arial"/>
                <w:sz w:val="21"/>
              </w:rPr>
            </w:pPr>
          </w:p>
        </w:tc>
        <w:tc>
          <w:tcPr>
            <w:tcW w:w="2133" w:type="dxa"/>
            <w:vMerge w:val="continue"/>
            <w:tcBorders>
              <w:top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643" w:type="dxa"/>
            <w:vAlign w:val="top"/>
          </w:tcPr>
          <w:p>
            <w:pPr>
              <w:pStyle w:val="6"/>
              <w:spacing w:before="169" w:line="221" w:lineRule="auto"/>
              <w:ind w:left="118"/>
            </w:pPr>
            <w:r>
              <w:rPr>
                <w:spacing w:val="-3"/>
              </w:rPr>
              <w:t>夜间</w:t>
            </w:r>
          </w:p>
        </w:tc>
        <w:tc>
          <w:tcPr>
            <w:tcW w:w="1082" w:type="dxa"/>
            <w:vAlign w:val="top"/>
          </w:tcPr>
          <w:p>
            <w:pPr>
              <w:pStyle w:val="6"/>
              <w:spacing w:before="33" w:line="224" w:lineRule="auto"/>
              <w:ind w:left="345" w:right="117" w:hanging="221"/>
            </w:pPr>
            <w:r>
              <w:rPr>
                <w:spacing w:val="-2"/>
              </w:rPr>
              <w:t>道路交通</w:t>
            </w:r>
            <w:r>
              <w:rPr>
                <w:spacing w:val="2"/>
              </w:rPr>
              <w:t xml:space="preserve"> </w:t>
            </w:r>
            <w:r>
              <w:rPr>
                <w:spacing w:val="-4"/>
              </w:rPr>
              <w:t>噪声</w:t>
            </w:r>
          </w:p>
        </w:tc>
        <w:tc>
          <w:tcPr>
            <w:tcW w:w="749" w:type="dxa"/>
            <w:vAlign w:val="top"/>
          </w:tcPr>
          <w:p>
            <w:pPr>
              <w:spacing w:before="208"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722" w:type="dxa"/>
            <w:vAlign w:val="top"/>
          </w:tcPr>
          <w:p>
            <w:pPr>
              <w:spacing w:before="208"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43.8</w:t>
            </w:r>
          </w:p>
        </w:tc>
        <w:tc>
          <w:tcPr>
            <w:tcW w:w="849" w:type="dxa"/>
            <w:vAlign w:val="top"/>
          </w:tcPr>
          <w:p>
            <w:pPr>
              <w:spacing w:before="208"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94" w:type="dxa"/>
            <w:vAlign w:val="top"/>
          </w:tcPr>
          <w:p>
            <w:pPr>
              <w:pStyle w:val="6"/>
              <w:spacing w:before="170" w:line="224" w:lineRule="auto"/>
              <w:ind w:left="298"/>
            </w:pPr>
            <w:r>
              <w:t>是</w:t>
            </w:r>
          </w:p>
        </w:tc>
        <w:tc>
          <w:tcPr>
            <w:tcW w:w="784" w:type="dxa"/>
            <w:vAlign w:val="top"/>
          </w:tcPr>
          <w:p>
            <w:pPr>
              <w:rPr>
                <w:rFonts w:ascii="Arial"/>
                <w:sz w:val="21"/>
              </w:rPr>
            </w:pPr>
          </w:p>
        </w:tc>
        <w:tc>
          <w:tcPr>
            <w:tcW w:w="821" w:type="dxa"/>
            <w:vAlign w:val="top"/>
          </w:tcPr>
          <w:p>
            <w:pPr>
              <w:rPr>
                <w:rFonts w:ascii="Arial"/>
                <w:sz w:val="21"/>
              </w:rPr>
            </w:pPr>
          </w:p>
        </w:tc>
        <w:tc>
          <w:tcPr>
            <w:tcW w:w="984" w:type="dxa"/>
            <w:vAlign w:val="top"/>
          </w:tcPr>
          <w:p>
            <w:pPr>
              <w:rPr>
                <w:rFonts w:ascii="Arial"/>
                <w:sz w:val="21"/>
              </w:rPr>
            </w:pPr>
          </w:p>
        </w:tc>
        <w:tc>
          <w:tcPr>
            <w:tcW w:w="2088" w:type="dxa"/>
            <w:vAlign w:val="top"/>
          </w:tcPr>
          <w:p>
            <w:pPr>
              <w:rPr>
                <w:rFonts w:ascii="Arial"/>
                <w:sz w:val="21"/>
              </w:rPr>
            </w:pPr>
          </w:p>
        </w:tc>
      </w:tr>
    </w:tbl>
    <w:p>
      <w:pPr>
        <w:pStyle w:val="2"/>
        <w:spacing w:line="475" w:lineRule="auto"/>
      </w:pPr>
    </w:p>
    <w:p>
      <w:pPr>
        <w:spacing w:before="78" w:line="220" w:lineRule="auto"/>
        <w:ind w:left="456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4.4-2            </w:t>
      </w:r>
      <w:r>
        <w:rPr>
          <w:rFonts w:ascii="宋体" w:hAnsi="宋体" w:eastAsia="宋体" w:cs="宋体"/>
          <w:spacing w:val="-1"/>
          <w:sz w:val="24"/>
          <w:szCs w:val="24"/>
        </w:rPr>
        <w:t>声环境保护目标</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24</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小时监测数据一览表</w:t>
      </w:r>
    </w:p>
    <w:p>
      <w:pPr>
        <w:spacing w:line="143" w:lineRule="exact"/>
      </w:pPr>
    </w:p>
    <w:tbl>
      <w:tblPr>
        <w:tblStyle w:val="5"/>
        <w:tblW w:w="142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951"/>
        <w:gridCol w:w="1905"/>
        <w:gridCol w:w="1361"/>
        <w:gridCol w:w="1200"/>
        <w:gridCol w:w="707"/>
        <w:gridCol w:w="688"/>
        <w:gridCol w:w="707"/>
        <w:gridCol w:w="687"/>
        <w:gridCol w:w="707"/>
        <w:gridCol w:w="690"/>
        <w:gridCol w:w="650"/>
        <w:gridCol w:w="644"/>
        <w:gridCol w:w="647"/>
        <w:gridCol w:w="740"/>
        <w:gridCol w:w="1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504" w:type="dxa"/>
            <w:vMerge w:val="restart"/>
            <w:tcBorders>
              <w:top w:val="single" w:color="000000" w:sz="10" w:space="0"/>
              <w:left w:val="single" w:color="000000" w:sz="10" w:space="0"/>
              <w:bottom w:val="nil"/>
            </w:tcBorders>
            <w:textDirection w:val="tbRlV"/>
            <w:vAlign w:val="top"/>
          </w:tcPr>
          <w:p>
            <w:pPr>
              <w:pStyle w:val="6"/>
              <w:spacing w:before="144" w:line="211" w:lineRule="auto"/>
              <w:ind w:left="374"/>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951" w:type="dxa"/>
            <w:vMerge w:val="restart"/>
            <w:tcBorders>
              <w:top w:val="single" w:color="000000" w:sz="10" w:space="0"/>
              <w:bottom w:val="nil"/>
            </w:tcBorders>
            <w:vAlign w:val="top"/>
          </w:tcPr>
          <w:p>
            <w:pPr>
              <w:spacing w:line="304" w:lineRule="auto"/>
              <w:rPr>
                <w:rFonts w:ascii="Arial"/>
                <w:sz w:val="21"/>
              </w:rPr>
            </w:pPr>
          </w:p>
          <w:p>
            <w:pPr>
              <w:pStyle w:val="6"/>
              <w:spacing w:before="69" w:line="231" w:lineRule="auto"/>
              <w:ind w:left="367" w:right="170" w:hanging="199"/>
            </w:pPr>
            <w:r>
              <w:rPr>
                <w:spacing w:val="-8"/>
                <w14:textOutline w14:w="3831" w14:cap="flat" w14:cmpd="sng">
                  <w14:solidFill>
                    <w14:srgbClr w14:val="000000"/>
                  </w14:solidFill>
                  <w14:prstDash w14:val="solid"/>
                  <w14:miter w14:val="0"/>
                </w14:textOutline>
              </w:rPr>
              <w:t>检测点</w:t>
            </w:r>
            <w:r>
              <w:t xml:space="preserve"> </w:t>
            </w:r>
            <w:r>
              <w:rPr>
                <w14:textOutline w14:w="3831" w14:cap="flat" w14:cmpd="sng">
                  <w14:solidFill>
                    <w14:srgbClr w14:val="000000"/>
                  </w14:solidFill>
                  <w14:prstDash w14:val="solid"/>
                  <w14:miter w14:val="0"/>
                </w14:textOutline>
              </w:rPr>
              <w:t>位</w:t>
            </w:r>
          </w:p>
        </w:tc>
        <w:tc>
          <w:tcPr>
            <w:tcW w:w="3266" w:type="dxa"/>
            <w:gridSpan w:val="2"/>
            <w:vMerge w:val="restart"/>
            <w:tcBorders>
              <w:top w:val="single" w:color="000000" w:sz="10" w:space="0"/>
              <w:bottom w:val="nil"/>
            </w:tcBorders>
            <w:vAlign w:val="top"/>
          </w:tcPr>
          <w:p>
            <w:pPr>
              <w:spacing w:line="439" w:lineRule="auto"/>
              <w:rPr>
                <w:rFonts w:ascii="Arial"/>
                <w:sz w:val="21"/>
              </w:rPr>
            </w:pPr>
          </w:p>
          <w:p>
            <w:pPr>
              <w:pStyle w:val="6"/>
              <w:spacing w:before="68" w:line="221" w:lineRule="auto"/>
              <w:ind w:left="1209"/>
            </w:pPr>
            <w:r>
              <w:rPr>
                <w:spacing w:val="-1"/>
                <w14:textOutline w14:w="3831" w14:cap="flat" w14:cmpd="sng">
                  <w14:solidFill>
                    <w14:srgbClr w14:val="000000"/>
                  </w14:solidFill>
                  <w14:prstDash w14:val="solid"/>
                  <w14:miter w14:val="0"/>
                </w14:textOutline>
              </w:rPr>
              <w:t>检测时间</w:t>
            </w:r>
          </w:p>
        </w:tc>
        <w:tc>
          <w:tcPr>
            <w:tcW w:w="1200" w:type="dxa"/>
            <w:vMerge w:val="restart"/>
            <w:tcBorders>
              <w:top w:val="single" w:color="000000" w:sz="10" w:space="0"/>
              <w:bottom w:val="nil"/>
            </w:tcBorders>
            <w:vAlign w:val="top"/>
          </w:tcPr>
          <w:p>
            <w:pPr>
              <w:spacing w:line="440" w:lineRule="auto"/>
              <w:rPr>
                <w:rFonts w:ascii="Arial"/>
                <w:sz w:val="21"/>
              </w:rPr>
            </w:pPr>
          </w:p>
          <w:p>
            <w:pPr>
              <w:pStyle w:val="6"/>
              <w:spacing w:before="68" w:line="221" w:lineRule="auto"/>
              <w:ind w:left="202"/>
            </w:pPr>
            <w:r>
              <w:rPr>
                <w:spacing w:val="-7"/>
                <w14:textOutline w14:w="3831" w14:cap="flat" w14:cmpd="sng">
                  <w14:solidFill>
                    <w14:srgbClr w14:val="000000"/>
                  </w14:solidFill>
                  <w14:prstDash w14:val="solid"/>
                  <w14:miter w14:val="0"/>
                </w14:textOutline>
              </w:rPr>
              <w:t>主要声源</w:t>
            </w:r>
          </w:p>
        </w:tc>
        <w:tc>
          <w:tcPr>
            <w:tcW w:w="4836" w:type="dxa"/>
            <w:gridSpan w:val="7"/>
            <w:tcBorders>
              <w:top w:val="single" w:color="000000" w:sz="10" w:space="0"/>
            </w:tcBorders>
            <w:vAlign w:val="top"/>
          </w:tcPr>
          <w:p>
            <w:pPr>
              <w:pStyle w:val="6"/>
              <w:spacing w:before="184" w:line="221" w:lineRule="auto"/>
              <w:ind w:left="2022"/>
            </w:pPr>
            <w:r>
              <w:rPr>
                <w:spacing w:val="-7"/>
                <w14:textOutline w14:w="3831" w14:cap="flat" w14:cmpd="sng">
                  <w14:solidFill>
                    <w14:srgbClr w14:val="000000"/>
                  </w14:solidFill>
                  <w14:prstDash w14:val="solid"/>
                  <w14:miter w14:val="0"/>
                </w14:textOutline>
              </w:rPr>
              <w:t>检测结果</w:t>
            </w:r>
          </w:p>
        </w:tc>
        <w:tc>
          <w:tcPr>
            <w:tcW w:w="2031" w:type="dxa"/>
            <w:gridSpan w:val="3"/>
            <w:tcBorders>
              <w:top w:val="single" w:color="000000" w:sz="10" w:space="0"/>
            </w:tcBorders>
            <w:vAlign w:val="top"/>
          </w:tcPr>
          <w:p>
            <w:pPr>
              <w:pStyle w:val="6"/>
              <w:spacing w:before="48" w:line="238" w:lineRule="auto"/>
              <w:ind w:left="529"/>
            </w:pPr>
            <w:r>
              <w:rPr>
                <w:spacing w:val="-7"/>
                <w14:textOutline w14:w="3831" w14:cap="flat" w14:cmpd="sng">
                  <w14:solidFill>
                    <w14:srgbClr w14:val="000000"/>
                  </w14:solidFill>
                  <w14:prstDash w14:val="solid"/>
                  <w14:miter w14:val="0"/>
                </w14:textOutline>
              </w:rPr>
              <w:t>车流量情况</w:t>
            </w:r>
          </w:p>
          <w:p>
            <w:pPr>
              <w:pStyle w:val="6"/>
              <w:spacing w:line="217" w:lineRule="auto"/>
              <w:ind w:left="440"/>
            </w:pPr>
            <w:r>
              <w:rPr>
                <w:spacing w:val="-7"/>
                <w14:textOutline w14:w="3831" w14:cap="flat" w14:cmpd="sng">
                  <w14:solidFill>
                    <w14:srgbClr w14:val="000000"/>
                  </w14:solidFill>
                  <w14:prstDash w14:val="solid"/>
                  <w14:miter w14:val="0"/>
                </w14:textOutline>
              </w:rPr>
              <w:t>（辆</w:t>
            </w:r>
            <w:r>
              <w:rPr>
                <w:rFonts w:ascii="Times New Roman" w:hAnsi="Times New Roman" w:eastAsia="Times New Roman" w:cs="Times New Roman"/>
                <w:b/>
                <w:bCs/>
                <w:spacing w:val="-7"/>
              </w:rPr>
              <w:t>/20min</w:t>
            </w:r>
            <w:r>
              <w:rPr>
                <w:spacing w:val="-7"/>
                <w14:textOutline w14:w="3831" w14:cap="flat" w14:cmpd="sng">
                  <w14:solidFill>
                    <w14:srgbClr w14:val="000000"/>
                  </w14:solidFill>
                  <w14:prstDash w14:val="solid"/>
                  <w14:miter w14:val="0"/>
                </w14:textOutline>
              </w:rPr>
              <w:t>）</w:t>
            </w:r>
          </w:p>
        </w:tc>
        <w:tc>
          <w:tcPr>
            <w:tcW w:w="1459" w:type="dxa"/>
            <w:vMerge w:val="restart"/>
            <w:tcBorders>
              <w:top w:val="single" w:color="000000" w:sz="10" w:space="0"/>
              <w:bottom w:val="nil"/>
              <w:right w:val="single" w:color="000000" w:sz="10" w:space="0"/>
            </w:tcBorders>
            <w:vAlign w:val="top"/>
          </w:tcPr>
          <w:p>
            <w:pPr>
              <w:spacing w:line="440" w:lineRule="auto"/>
              <w:rPr>
                <w:rFonts w:ascii="Arial"/>
                <w:sz w:val="21"/>
              </w:rPr>
            </w:pPr>
          </w:p>
          <w:p>
            <w:pPr>
              <w:pStyle w:val="6"/>
              <w:spacing w:before="68" w:line="222" w:lineRule="auto"/>
              <w:ind w:left="541"/>
            </w:pPr>
            <w:r>
              <w:rPr>
                <w:spacing w:val="-5"/>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504" w:type="dxa"/>
            <w:vMerge w:val="continue"/>
            <w:tcBorders>
              <w:top w:val="nil"/>
              <w:left w:val="single" w:color="000000" w:sz="10" w:space="0"/>
            </w:tcBorders>
            <w:textDirection w:val="tbRlV"/>
            <w:vAlign w:val="top"/>
          </w:tcPr>
          <w:p>
            <w:pPr>
              <w:rPr>
                <w:rFonts w:ascii="Arial"/>
                <w:sz w:val="21"/>
              </w:rPr>
            </w:pPr>
          </w:p>
        </w:tc>
        <w:tc>
          <w:tcPr>
            <w:tcW w:w="951" w:type="dxa"/>
            <w:vMerge w:val="continue"/>
            <w:tcBorders>
              <w:top w:val="nil"/>
            </w:tcBorders>
            <w:vAlign w:val="top"/>
          </w:tcPr>
          <w:p>
            <w:pPr>
              <w:rPr>
                <w:rFonts w:ascii="Arial"/>
                <w:sz w:val="21"/>
              </w:rPr>
            </w:pPr>
          </w:p>
        </w:tc>
        <w:tc>
          <w:tcPr>
            <w:tcW w:w="3266" w:type="dxa"/>
            <w:gridSpan w:val="2"/>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Align w:val="top"/>
          </w:tcPr>
          <w:p>
            <w:pPr>
              <w:spacing w:before="261" w:line="195" w:lineRule="auto"/>
              <w:ind w:left="213"/>
              <w:rPr>
                <w:rFonts w:ascii="Times New Roman" w:hAnsi="Times New Roman" w:eastAsia="Times New Roman" w:cs="Times New Roman"/>
                <w:sz w:val="13"/>
                <w:szCs w:val="13"/>
              </w:rPr>
            </w:pPr>
            <w:r>
              <w:rPr>
                <w:rFonts w:ascii="Times New Roman" w:hAnsi="Times New Roman" w:eastAsia="Times New Roman" w:cs="Times New Roman"/>
                <w:b/>
                <w:bCs/>
                <w:spacing w:val="2"/>
                <w:position w:val="1"/>
                <w:sz w:val="21"/>
                <w:szCs w:val="21"/>
              </w:rPr>
              <w:t>L</w:t>
            </w:r>
            <w:r>
              <w:rPr>
                <w:rFonts w:ascii="Times New Roman" w:hAnsi="Times New Roman" w:eastAsia="Times New Roman" w:cs="Times New Roman"/>
                <w:b/>
                <w:bCs/>
                <w:spacing w:val="2"/>
                <w:sz w:val="13"/>
                <w:szCs w:val="13"/>
              </w:rPr>
              <w:t>eq</w:t>
            </w:r>
          </w:p>
        </w:tc>
        <w:tc>
          <w:tcPr>
            <w:tcW w:w="688" w:type="dxa"/>
            <w:vAlign w:val="top"/>
          </w:tcPr>
          <w:p>
            <w:pPr>
              <w:spacing w:before="261" w:line="203" w:lineRule="auto"/>
              <w:ind w:left="204"/>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10</w:t>
            </w:r>
          </w:p>
        </w:tc>
        <w:tc>
          <w:tcPr>
            <w:tcW w:w="707" w:type="dxa"/>
            <w:vAlign w:val="top"/>
          </w:tcPr>
          <w:p>
            <w:pPr>
              <w:spacing w:before="261" w:line="203" w:lineRule="auto"/>
              <w:ind w:left="215"/>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50</w:t>
            </w:r>
          </w:p>
        </w:tc>
        <w:tc>
          <w:tcPr>
            <w:tcW w:w="687" w:type="dxa"/>
            <w:vAlign w:val="top"/>
          </w:tcPr>
          <w:p>
            <w:pPr>
              <w:spacing w:before="261" w:line="203" w:lineRule="auto"/>
              <w:ind w:left="206"/>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90</w:t>
            </w:r>
          </w:p>
        </w:tc>
        <w:tc>
          <w:tcPr>
            <w:tcW w:w="707" w:type="dxa"/>
            <w:vAlign w:val="top"/>
          </w:tcPr>
          <w:p>
            <w:pPr>
              <w:spacing w:before="261" w:line="222" w:lineRule="auto"/>
              <w:ind w:left="160"/>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max</w:t>
            </w:r>
          </w:p>
        </w:tc>
        <w:tc>
          <w:tcPr>
            <w:tcW w:w="690" w:type="dxa"/>
            <w:vAlign w:val="top"/>
          </w:tcPr>
          <w:p>
            <w:pPr>
              <w:spacing w:before="261" w:line="223" w:lineRule="auto"/>
              <w:ind w:left="161"/>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min</w:t>
            </w:r>
          </w:p>
        </w:tc>
        <w:tc>
          <w:tcPr>
            <w:tcW w:w="650" w:type="dxa"/>
            <w:vAlign w:val="top"/>
          </w:tcPr>
          <w:p>
            <w:pPr>
              <w:spacing w:before="258" w:line="187" w:lineRule="auto"/>
              <w:ind w:left="200"/>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SD</w:t>
            </w:r>
          </w:p>
        </w:tc>
        <w:tc>
          <w:tcPr>
            <w:tcW w:w="644" w:type="dxa"/>
            <w:vAlign w:val="top"/>
          </w:tcPr>
          <w:p>
            <w:pPr>
              <w:pStyle w:val="6"/>
              <w:spacing w:before="83" w:line="229" w:lineRule="auto"/>
              <w:ind w:left="231" w:right="100" w:hanging="101"/>
            </w:pPr>
            <w:r>
              <w:rPr>
                <w:spacing w:val="-6"/>
                <w14:textOutline w14:w="3831" w14:cap="flat" w14:cmpd="sng">
                  <w14:solidFill>
                    <w14:srgbClr w14:val="000000"/>
                  </w14:solidFill>
                  <w14:prstDash w14:val="solid"/>
                  <w14:miter w14:val="0"/>
                </w14:textOutline>
              </w:rPr>
              <w:t>小型</w:t>
            </w:r>
            <w:r>
              <w:t xml:space="preserve"> </w:t>
            </w:r>
            <w:r>
              <w:rPr>
                <w14:textOutline w14:w="3831" w14:cap="flat" w14:cmpd="sng">
                  <w14:solidFill>
                    <w14:srgbClr w14:val="000000"/>
                  </w14:solidFill>
                  <w14:prstDash w14:val="solid"/>
                  <w14:miter w14:val="0"/>
                </w14:textOutline>
              </w:rPr>
              <w:t>车</w:t>
            </w:r>
          </w:p>
        </w:tc>
        <w:tc>
          <w:tcPr>
            <w:tcW w:w="647" w:type="dxa"/>
            <w:vAlign w:val="top"/>
          </w:tcPr>
          <w:p>
            <w:pPr>
              <w:pStyle w:val="6"/>
              <w:spacing w:before="83" w:line="229" w:lineRule="auto"/>
              <w:ind w:left="230" w:right="103" w:hanging="87"/>
            </w:pPr>
            <w:r>
              <w:rPr>
                <w:spacing w:val="-13"/>
                <w14:textOutline w14:w="3831" w14:cap="flat" w14:cmpd="sng">
                  <w14:solidFill>
                    <w14:srgbClr w14:val="000000"/>
                  </w14:solidFill>
                  <w14:prstDash w14:val="solid"/>
                  <w14:miter w14:val="0"/>
                </w14:textOutline>
              </w:rPr>
              <w:t>中型</w:t>
            </w:r>
            <w:r>
              <w:t xml:space="preserve"> </w:t>
            </w:r>
            <w:r>
              <w:rPr>
                <w14:textOutline w14:w="3831" w14:cap="flat" w14:cmpd="sng">
                  <w14:solidFill>
                    <w14:srgbClr w14:val="000000"/>
                  </w14:solidFill>
                  <w14:prstDash w14:val="solid"/>
                  <w14:miter w14:val="0"/>
                </w14:textOutline>
              </w:rPr>
              <w:t>车</w:t>
            </w:r>
          </w:p>
        </w:tc>
        <w:tc>
          <w:tcPr>
            <w:tcW w:w="740" w:type="dxa"/>
            <w:vAlign w:val="top"/>
          </w:tcPr>
          <w:p>
            <w:pPr>
              <w:pStyle w:val="6"/>
              <w:spacing w:before="83" w:line="238" w:lineRule="auto"/>
              <w:ind w:left="172"/>
            </w:pPr>
            <w:r>
              <w:rPr>
                <w:spacing w:val="-3"/>
                <w14:textOutline w14:w="3831" w14:cap="flat" w14:cmpd="sng">
                  <w14:solidFill>
                    <w14:srgbClr w14:val="000000"/>
                  </w14:solidFill>
                  <w14:prstDash w14:val="solid"/>
                  <w14:miter w14:val="0"/>
                </w14:textOutline>
              </w:rPr>
              <w:t>大型</w:t>
            </w:r>
          </w:p>
          <w:p>
            <w:pPr>
              <w:pStyle w:val="6"/>
              <w:spacing w:line="220" w:lineRule="auto"/>
              <w:ind w:left="277"/>
            </w:pPr>
            <w:r>
              <w:rPr>
                <w14:textOutline w14:w="3831" w14:cap="flat" w14:cmpd="sng">
                  <w14:solidFill>
                    <w14:srgbClr w14:val="000000"/>
                  </w14:solidFill>
                  <w14:prstDash w14:val="solid"/>
                  <w14:miter w14:val="0"/>
                </w14:textOutline>
              </w:rPr>
              <w:t>车</w:t>
            </w:r>
          </w:p>
        </w:tc>
        <w:tc>
          <w:tcPr>
            <w:tcW w:w="145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04" w:type="dxa"/>
            <w:vMerge w:val="restart"/>
            <w:tcBorders>
              <w:left w:val="single" w:color="000000" w:sz="10" w:space="0"/>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61" w:line="187" w:lineRule="auto"/>
              <w:ind w:left="20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51"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9" w:line="239" w:lineRule="auto"/>
              <w:ind w:left="292"/>
              <w:rPr>
                <w:rFonts w:ascii="Times New Roman" w:hAnsi="Times New Roman" w:eastAsia="Times New Roman" w:cs="Times New Roman"/>
                <w:sz w:val="13"/>
                <w:szCs w:val="13"/>
              </w:rPr>
            </w:pPr>
            <w:r>
              <w:rPr>
                <w:spacing w:val="-12"/>
                <w:position w:val="-1"/>
              </w:rPr>
              <w:t>△</w:t>
            </w:r>
            <w:r>
              <w:rPr>
                <w:rFonts w:ascii="Times New Roman" w:hAnsi="Times New Roman" w:eastAsia="Times New Roman" w:cs="Times New Roman"/>
                <w:spacing w:val="-12"/>
                <w:position w:val="-1"/>
              </w:rPr>
              <w:t>1</w:t>
            </w:r>
            <w:r>
              <w:rPr>
                <w:rFonts w:ascii="Times New Roman" w:hAnsi="Times New Roman" w:eastAsia="Times New Roman" w:cs="Times New Roman"/>
                <w:position w:val="5"/>
                <w:sz w:val="13"/>
                <w:szCs w:val="13"/>
              </w:rPr>
              <w:t>#</w:t>
            </w:r>
          </w:p>
          <w:p>
            <w:pPr>
              <w:pStyle w:val="6"/>
              <w:spacing w:before="2" w:line="221" w:lineRule="auto"/>
              <w:ind w:left="171"/>
            </w:pPr>
            <w:r>
              <w:rPr>
                <w:spacing w:val="-6"/>
              </w:rPr>
              <w:t>南坑下</w:t>
            </w:r>
          </w:p>
          <w:p>
            <w:pPr>
              <w:pStyle w:val="6"/>
              <w:spacing w:before="18" w:line="221" w:lineRule="auto"/>
              <w:ind w:left="169"/>
            </w:pPr>
            <w:r>
              <w:rPr>
                <w:spacing w:val="-6"/>
              </w:rPr>
              <w:t>面向景</w:t>
            </w:r>
          </w:p>
          <w:p>
            <w:pPr>
              <w:pStyle w:val="6"/>
              <w:spacing w:before="22" w:line="221" w:lineRule="auto"/>
              <w:ind w:left="103"/>
              <w:rPr>
                <w:rFonts w:ascii="Times New Roman" w:hAnsi="Times New Roman" w:eastAsia="Times New Roman" w:cs="Times New Roman"/>
              </w:rPr>
            </w:pPr>
            <w:r>
              <w:rPr>
                <w:spacing w:val="-1"/>
              </w:rPr>
              <w:t>文高速</w:t>
            </w:r>
            <w:r>
              <w:rPr>
                <w:rFonts w:ascii="Times New Roman" w:hAnsi="Times New Roman" w:eastAsia="Times New Roman" w:cs="Times New Roman"/>
                <w:spacing w:val="-1"/>
              </w:rPr>
              <w:t>2</w:t>
            </w:r>
          </w:p>
          <w:p>
            <w:pPr>
              <w:pStyle w:val="6"/>
              <w:spacing w:before="20" w:line="221" w:lineRule="auto"/>
              <w:ind w:left="168"/>
            </w:pPr>
            <w:r>
              <w:rPr>
                <w:spacing w:val="-6"/>
              </w:rPr>
              <w:t>类第一</w:t>
            </w:r>
          </w:p>
          <w:p>
            <w:pPr>
              <w:pStyle w:val="6"/>
              <w:spacing w:before="22" w:line="223" w:lineRule="auto"/>
              <w:ind w:left="238"/>
              <w:rPr>
                <w:rFonts w:ascii="Times New Roman" w:hAnsi="Times New Roman" w:eastAsia="Times New Roman" w:cs="Times New Roman"/>
              </w:rPr>
            </w:pPr>
            <w:r>
              <w:rPr>
                <w:spacing w:val="-5"/>
              </w:rPr>
              <w:t>排</w:t>
            </w:r>
            <w:r>
              <w:rPr>
                <w:spacing w:val="-56"/>
              </w:rPr>
              <w:t xml:space="preserve"> </w:t>
            </w:r>
            <w:r>
              <w:rPr>
                <w:rFonts w:ascii="Times New Roman" w:hAnsi="Times New Roman" w:eastAsia="Times New Roman" w:cs="Times New Roman"/>
                <w:spacing w:val="-5"/>
              </w:rPr>
              <w:t>3F</w:t>
            </w:r>
          </w:p>
        </w:tc>
        <w:tc>
          <w:tcPr>
            <w:tcW w:w="1905" w:type="dxa"/>
            <w:vMerge w:val="restart"/>
            <w:tcBorders>
              <w:bottom w:val="nil"/>
            </w:tcBorders>
            <w:vAlign w:val="top"/>
          </w:tcPr>
          <w:p>
            <w:pPr>
              <w:spacing w:line="381"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28"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10:09~10:29</w:t>
            </w:r>
          </w:p>
        </w:tc>
        <w:tc>
          <w:tcPr>
            <w:tcW w:w="1200" w:type="dxa"/>
            <w:vMerge w:val="restart"/>
            <w:tcBorders>
              <w:bottom w:val="nil"/>
            </w:tcBorders>
            <w:vAlign w:val="top"/>
          </w:tcPr>
          <w:p>
            <w:pPr>
              <w:spacing w:line="382"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28"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42.9</w:t>
            </w:r>
          </w:p>
        </w:tc>
        <w:tc>
          <w:tcPr>
            <w:tcW w:w="688" w:type="dxa"/>
            <w:vMerge w:val="restart"/>
            <w:tcBorders>
              <w:bottom w:val="nil"/>
            </w:tcBorders>
            <w:vAlign w:val="top"/>
          </w:tcPr>
          <w:p>
            <w:pPr>
              <w:spacing w:line="428"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46.6</w:t>
            </w:r>
          </w:p>
        </w:tc>
        <w:tc>
          <w:tcPr>
            <w:tcW w:w="707" w:type="dxa"/>
            <w:vMerge w:val="restart"/>
            <w:tcBorders>
              <w:bottom w:val="nil"/>
            </w:tcBorders>
            <w:vAlign w:val="top"/>
          </w:tcPr>
          <w:p>
            <w:pPr>
              <w:spacing w:line="428" w:lineRule="auto"/>
              <w:rPr>
                <w:rFonts w:ascii="Arial"/>
                <w:sz w:val="21"/>
              </w:rPr>
            </w:pPr>
          </w:p>
          <w:p>
            <w:pPr>
              <w:spacing w:before="6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40.4</w:t>
            </w:r>
          </w:p>
        </w:tc>
        <w:tc>
          <w:tcPr>
            <w:tcW w:w="687" w:type="dxa"/>
            <w:vMerge w:val="restart"/>
            <w:tcBorders>
              <w:bottom w:val="nil"/>
            </w:tcBorders>
            <w:vAlign w:val="top"/>
          </w:tcPr>
          <w:p>
            <w:pPr>
              <w:spacing w:line="428" w:lineRule="auto"/>
              <w:rPr>
                <w:rFonts w:ascii="Arial"/>
                <w:sz w:val="21"/>
              </w:rPr>
            </w:pPr>
          </w:p>
          <w:p>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33.6</w:t>
            </w:r>
          </w:p>
        </w:tc>
        <w:tc>
          <w:tcPr>
            <w:tcW w:w="707" w:type="dxa"/>
            <w:vMerge w:val="restart"/>
            <w:tcBorders>
              <w:bottom w:val="nil"/>
            </w:tcBorders>
            <w:vAlign w:val="top"/>
          </w:tcPr>
          <w:p>
            <w:pPr>
              <w:spacing w:line="428"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690" w:type="dxa"/>
            <w:vMerge w:val="restart"/>
            <w:tcBorders>
              <w:bottom w:val="nil"/>
            </w:tcBorders>
            <w:vAlign w:val="top"/>
          </w:tcPr>
          <w:p>
            <w:pPr>
              <w:spacing w:line="428"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29.7</w:t>
            </w:r>
          </w:p>
        </w:tc>
        <w:tc>
          <w:tcPr>
            <w:tcW w:w="650" w:type="dxa"/>
            <w:vMerge w:val="restart"/>
            <w:tcBorders>
              <w:bottom w:val="nil"/>
            </w:tcBorders>
            <w:vAlign w:val="top"/>
          </w:tcPr>
          <w:p>
            <w:pPr>
              <w:spacing w:line="428" w:lineRule="auto"/>
              <w:rPr>
                <w:rFonts w:ascii="Arial"/>
                <w:sz w:val="21"/>
              </w:rPr>
            </w:pPr>
          </w:p>
          <w:p>
            <w:pPr>
              <w:spacing w:before="60"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644" w:type="dxa"/>
            <w:vAlign w:val="top"/>
          </w:tcPr>
          <w:p>
            <w:pPr>
              <w:spacing w:before="221" w:line="186"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c>
        <w:tc>
          <w:tcPr>
            <w:tcW w:w="647" w:type="dxa"/>
            <w:vAlign w:val="top"/>
          </w:tcPr>
          <w:p>
            <w:pPr>
              <w:spacing w:before="222" w:line="186" w:lineRule="auto"/>
              <w:ind w:left="284"/>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740" w:type="dxa"/>
            <w:vAlign w:val="top"/>
          </w:tcPr>
          <w:p>
            <w:pPr>
              <w:spacing w:before="221" w:line="186"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459" w:type="dxa"/>
            <w:tcBorders>
              <w:right w:val="single" w:color="000000" w:sz="10" w:space="0"/>
            </w:tcBorders>
            <w:vAlign w:val="top"/>
          </w:tcPr>
          <w:p>
            <w:pPr>
              <w:pStyle w:val="6"/>
              <w:spacing w:before="36" w:line="222"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4" w:line="186"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tc>
        <w:tc>
          <w:tcPr>
            <w:tcW w:w="647" w:type="dxa"/>
            <w:vAlign w:val="top"/>
          </w:tcPr>
          <w:p>
            <w:pPr>
              <w:spacing w:before="226" w:line="183"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740" w:type="dxa"/>
            <w:vAlign w:val="top"/>
          </w:tcPr>
          <w:p>
            <w:pPr>
              <w:spacing w:before="226" w:line="183"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459" w:type="dxa"/>
            <w:tcBorders>
              <w:right w:val="single" w:color="000000" w:sz="10" w:space="0"/>
            </w:tcBorders>
            <w:vAlign w:val="top"/>
          </w:tcPr>
          <w:p>
            <w:pPr>
              <w:pStyle w:val="6"/>
              <w:spacing w:before="39" w:line="221"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88"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34"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11:09~11:29</w:t>
            </w:r>
          </w:p>
        </w:tc>
        <w:tc>
          <w:tcPr>
            <w:tcW w:w="1200" w:type="dxa"/>
            <w:vMerge w:val="restart"/>
            <w:tcBorders>
              <w:bottom w:val="nil"/>
            </w:tcBorders>
            <w:vAlign w:val="top"/>
          </w:tcPr>
          <w:p>
            <w:pPr>
              <w:spacing w:line="389"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34"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44.3</w:t>
            </w:r>
          </w:p>
        </w:tc>
        <w:tc>
          <w:tcPr>
            <w:tcW w:w="688" w:type="dxa"/>
            <w:vMerge w:val="restart"/>
            <w:tcBorders>
              <w:bottom w:val="nil"/>
            </w:tcBorders>
            <w:vAlign w:val="top"/>
          </w:tcPr>
          <w:p>
            <w:pPr>
              <w:spacing w:line="434" w:lineRule="auto"/>
              <w:rPr>
                <w:rFonts w:ascii="Arial"/>
                <w:sz w:val="21"/>
              </w:rPr>
            </w:pPr>
          </w:p>
          <w:p>
            <w:pPr>
              <w:spacing w:before="6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707" w:type="dxa"/>
            <w:vMerge w:val="restart"/>
            <w:tcBorders>
              <w:bottom w:val="nil"/>
            </w:tcBorders>
            <w:vAlign w:val="top"/>
          </w:tcPr>
          <w:p>
            <w:pPr>
              <w:spacing w:line="434" w:lineRule="auto"/>
              <w:rPr>
                <w:rFonts w:ascii="Arial"/>
                <w:sz w:val="21"/>
              </w:rPr>
            </w:pPr>
          </w:p>
          <w:p>
            <w:pPr>
              <w:spacing w:before="61"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39.2</w:t>
            </w:r>
          </w:p>
        </w:tc>
        <w:tc>
          <w:tcPr>
            <w:tcW w:w="687" w:type="dxa"/>
            <w:vMerge w:val="restart"/>
            <w:tcBorders>
              <w:bottom w:val="nil"/>
            </w:tcBorders>
            <w:vAlign w:val="top"/>
          </w:tcPr>
          <w:p>
            <w:pPr>
              <w:spacing w:line="434"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33.4</w:t>
            </w:r>
          </w:p>
        </w:tc>
        <w:tc>
          <w:tcPr>
            <w:tcW w:w="707" w:type="dxa"/>
            <w:vMerge w:val="restart"/>
            <w:tcBorders>
              <w:bottom w:val="nil"/>
            </w:tcBorders>
            <w:vAlign w:val="top"/>
          </w:tcPr>
          <w:p>
            <w:pPr>
              <w:spacing w:line="434" w:lineRule="auto"/>
              <w:rPr>
                <w:rFonts w:ascii="Arial"/>
                <w:sz w:val="21"/>
              </w:rPr>
            </w:pPr>
          </w:p>
          <w:p>
            <w:pPr>
              <w:spacing w:before="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66.7</w:t>
            </w:r>
          </w:p>
        </w:tc>
        <w:tc>
          <w:tcPr>
            <w:tcW w:w="690" w:type="dxa"/>
            <w:vMerge w:val="restart"/>
            <w:tcBorders>
              <w:bottom w:val="nil"/>
            </w:tcBorders>
            <w:vAlign w:val="top"/>
          </w:tcPr>
          <w:p>
            <w:pPr>
              <w:spacing w:line="434"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29.8</w:t>
            </w:r>
          </w:p>
        </w:tc>
        <w:tc>
          <w:tcPr>
            <w:tcW w:w="650" w:type="dxa"/>
            <w:vMerge w:val="restart"/>
            <w:tcBorders>
              <w:bottom w:val="nil"/>
            </w:tcBorders>
            <w:vAlign w:val="top"/>
          </w:tcPr>
          <w:p>
            <w:pPr>
              <w:spacing w:line="437" w:lineRule="auto"/>
              <w:rPr>
                <w:rFonts w:ascii="Arial"/>
                <w:sz w:val="21"/>
              </w:rPr>
            </w:pPr>
          </w:p>
          <w:p>
            <w:pPr>
              <w:spacing w:before="61" w:line="184"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644" w:type="dxa"/>
            <w:vAlign w:val="top"/>
          </w:tcPr>
          <w:p>
            <w:pPr>
              <w:spacing w:before="226" w:line="186"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647" w:type="dxa"/>
            <w:vAlign w:val="top"/>
          </w:tcPr>
          <w:p>
            <w:pPr>
              <w:spacing w:before="226"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2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459" w:type="dxa"/>
            <w:tcBorders>
              <w:right w:val="single" w:color="000000" w:sz="10" w:space="0"/>
            </w:tcBorders>
            <w:vAlign w:val="top"/>
          </w:tcPr>
          <w:p>
            <w:pPr>
              <w:pStyle w:val="6"/>
              <w:spacing w:before="41" w:line="221"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8" w:line="186" w:lineRule="auto"/>
              <w:ind w:left="24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w:t>
            </w:r>
          </w:p>
        </w:tc>
        <w:tc>
          <w:tcPr>
            <w:tcW w:w="647" w:type="dxa"/>
            <w:vAlign w:val="top"/>
          </w:tcPr>
          <w:p>
            <w:pPr>
              <w:spacing w:before="229" w:line="186" w:lineRule="auto"/>
              <w:ind w:left="28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40" w:type="dxa"/>
            <w:vAlign w:val="top"/>
          </w:tcPr>
          <w:p>
            <w:pPr>
              <w:spacing w:before="231" w:line="183"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459" w:type="dxa"/>
            <w:tcBorders>
              <w:right w:val="single" w:color="000000" w:sz="10" w:space="0"/>
            </w:tcBorders>
            <w:vAlign w:val="top"/>
          </w:tcPr>
          <w:p>
            <w:pPr>
              <w:pStyle w:val="6"/>
              <w:spacing w:before="43" w:line="219"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93"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40"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12:09~12:29</w:t>
            </w:r>
          </w:p>
        </w:tc>
        <w:tc>
          <w:tcPr>
            <w:tcW w:w="1200" w:type="dxa"/>
            <w:vMerge w:val="restart"/>
            <w:tcBorders>
              <w:bottom w:val="nil"/>
            </w:tcBorders>
            <w:vAlign w:val="top"/>
          </w:tcPr>
          <w:p>
            <w:pPr>
              <w:spacing w:line="394"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40"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688" w:type="dxa"/>
            <w:vMerge w:val="restart"/>
            <w:tcBorders>
              <w:bottom w:val="nil"/>
            </w:tcBorders>
            <w:vAlign w:val="top"/>
          </w:tcPr>
          <w:p>
            <w:pPr>
              <w:spacing w:line="440"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707" w:type="dxa"/>
            <w:vMerge w:val="restart"/>
            <w:tcBorders>
              <w:bottom w:val="nil"/>
            </w:tcBorders>
            <w:vAlign w:val="top"/>
          </w:tcPr>
          <w:p>
            <w:pPr>
              <w:spacing w:line="440" w:lineRule="auto"/>
              <w:rPr>
                <w:rFonts w:ascii="Arial"/>
                <w:sz w:val="21"/>
              </w:rPr>
            </w:pPr>
          </w:p>
          <w:p>
            <w:pPr>
              <w:spacing w:before="6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687" w:type="dxa"/>
            <w:vMerge w:val="restart"/>
            <w:tcBorders>
              <w:bottom w:val="nil"/>
            </w:tcBorders>
            <w:vAlign w:val="top"/>
          </w:tcPr>
          <w:p>
            <w:pPr>
              <w:spacing w:line="440" w:lineRule="auto"/>
              <w:rPr>
                <w:rFonts w:ascii="Arial"/>
                <w:sz w:val="21"/>
              </w:rPr>
            </w:pPr>
          </w:p>
          <w:p>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32.6</w:t>
            </w:r>
          </w:p>
        </w:tc>
        <w:tc>
          <w:tcPr>
            <w:tcW w:w="707" w:type="dxa"/>
            <w:vMerge w:val="restart"/>
            <w:tcBorders>
              <w:bottom w:val="nil"/>
            </w:tcBorders>
            <w:vAlign w:val="top"/>
          </w:tcPr>
          <w:p>
            <w:pPr>
              <w:spacing w:line="440" w:lineRule="auto"/>
              <w:rPr>
                <w:rFonts w:ascii="Arial"/>
                <w:sz w:val="21"/>
              </w:rPr>
            </w:pPr>
          </w:p>
          <w:p>
            <w:pPr>
              <w:spacing w:before="6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67.4</w:t>
            </w:r>
          </w:p>
        </w:tc>
        <w:tc>
          <w:tcPr>
            <w:tcW w:w="690" w:type="dxa"/>
            <w:vMerge w:val="restart"/>
            <w:tcBorders>
              <w:bottom w:val="nil"/>
            </w:tcBorders>
            <w:vAlign w:val="top"/>
          </w:tcPr>
          <w:p>
            <w:pPr>
              <w:spacing w:line="440"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29.2</w:t>
            </w:r>
          </w:p>
        </w:tc>
        <w:tc>
          <w:tcPr>
            <w:tcW w:w="650" w:type="dxa"/>
            <w:vMerge w:val="restart"/>
            <w:tcBorders>
              <w:bottom w:val="nil"/>
            </w:tcBorders>
            <w:vAlign w:val="top"/>
          </w:tcPr>
          <w:p>
            <w:pPr>
              <w:spacing w:line="440" w:lineRule="auto"/>
              <w:rPr>
                <w:rFonts w:ascii="Arial"/>
                <w:sz w:val="21"/>
              </w:rPr>
            </w:pPr>
          </w:p>
          <w:p>
            <w:pPr>
              <w:spacing w:before="6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644" w:type="dxa"/>
            <w:vAlign w:val="top"/>
          </w:tcPr>
          <w:p>
            <w:pPr>
              <w:spacing w:before="231" w:line="186"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647" w:type="dxa"/>
            <w:vAlign w:val="top"/>
          </w:tcPr>
          <w:p>
            <w:pPr>
              <w:spacing w:before="231" w:line="186" w:lineRule="auto"/>
              <w:ind w:left="30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740" w:type="dxa"/>
            <w:vAlign w:val="top"/>
          </w:tcPr>
          <w:p>
            <w:pPr>
              <w:spacing w:before="231" w:line="186" w:lineRule="auto"/>
              <w:ind w:left="34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459" w:type="dxa"/>
            <w:tcBorders>
              <w:right w:val="single" w:color="000000" w:sz="10" w:space="0"/>
            </w:tcBorders>
            <w:vAlign w:val="top"/>
          </w:tcPr>
          <w:p>
            <w:pPr>
              <w:pStyle w:val="6"/>
              <w:spacing w:before="46" w:line="218"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33" w:line="186"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52</w:t>
            </w:r>
          </w:p>
        </w:tc>
        <w:tc>
          <w:tcPr>
            <w:tcW w:w="647" w:type="dxa"/>
            <w:vAlign w:val="top"/>
          </w:tcPr>
          <w:p>
            <w:pPr>
              <w:spacing w:before="233" w:line="186" w:lineRule="auto"/>
              <w:ind w:left="292"/>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740" w:type="dxa"/>
            <w:vAlign w:val="top"/>
          </w:tcPr>
          <w:p>
            <w:pPr>
              <w:spacing w:before="233" w:line="186"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459" w:type="dxa"/>
            <w:tcBorders>
              <w:right w:val="single" w:color="000000" w:sz="10" w:space="0"/>
            </w:tcBorders>
            <w:vAlign w:val="top"/>
          </w:tcPr>
          <w:p>
            <w:pPr>
              <w:pStyle w:val="6"/>
              <w:spacing w:before="50" w:line="217"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96"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42"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13:09~13:29</w:t>
            </w:r>
          </w:p>
        </w:tc>
        <w:tc>
          <w:tcPr>
            <w:tcW w:w="1200" w:type="dxa"/>
            <w:vMerge w:val="restart"/>
            <w:tcBorders>
              <w:bottom w:val="nil"/>
            </w:tcBorders>
            <w:vAlign w:val="top"/>
          </w:tcPr>
          <w:p>
            <w:pPr>
              <w:spacing w:line="396" w:lineRule="auto"/>
              <w:rPr>
                <w:rFonts w:ascii="Arial"/>
                <w:sz w:val="21"/>
              </w:rPr>
            </w:pPr>
          </w:p>
          <w:p>
            <w:pPr>
              <w:pStyle w:val="6"/>
              <w:spacing w:before="69" w:line="221" w:lineRule="auto"/>
              <w:ind w:left="181"/>
            </w:pPr>
            <w:r>
              <w:rPr>
                <w:spacing w:val="-2"/>
              </w:rPr>
              <w:t>环境噪声</w:t>
            </w:r>
          </w:p>
        </w:tc>
        <w:tc>
          <w:tcPr>
            <w:tcW w:w="707" w:type="dxa"/>
            <w:vMerge w:val="restart"/>
            <w:tcBorders>
              <w:bottom w:val="nil"/>
            </w:tcBorders>
            <w:vAlign w:val="top"/>
          </w:tcPr>
          <w:p>
            <w:pPr>
              <w:spacing w:line="442"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44.8</w:t>
            </w:r>
          </w:p>
        </w:tc>
        <w:tc>
          <w:tcPr>
            <w:tcW w:w="688" w:type="dxa"/>
            <w:vMerge w:val="restart"/>
            <w:tcBorders>
              <w:bottom w:val="nil"/>
            </w:tcBorders>
            <w:vAlign w:val="top"/>
          </w:tcPr>
          <w:p>
            <w:pPr>
              <w:spacing w:line="442" w:lineRule="auto"/>
              <w:rPr>
                <w:rFonts w:ascii="Arial"/>
                <w:sz w:val="21"/>
              </w:rPr>
            </w:pPr>
          </w:p>
          <w:p>
            <w:pPr>
              <w:spacing w:before="6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707" w:type="dxa"/>
            <w:vMerge w:val="restart"/>
            <w:tcBorders>
              <w:bottom w:val="nil"/>
            </w:tcBorders>
            <w:vAlign w:val="top"/>
          </w:tcPr>
          <w:p>
            <w:pPr>
              <w:spacing w:line="442" w:lineRule="auto"/>
              <w:rPr>
                <w:rFonts w:ascii="Arial"/>
                <w:sz w:val="21"/>
              </w:rPr>
            </w:pPr>
          </w:p>
          <w:p>
            <w:pPr>
              <w:spacing w:before="6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42.2</w:t>
            </w:r>
          </w:p>
        </w:tc>
        <w:tc>
          <w:tcPr>
            <w:tcW w:w="687" w:type="dxa"/>
            <w:vMerge w:val="restart"/>
            <w:tcBorders>
              <w:bottom w:val="nil"/>
            </w:tcBorders>
            <w:vAlign w:val="top"/>
          </w:tcPr>
          <w:p>
            <w:pPr>
              <w:spacing w:line="442"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34.4</w:t>
            </w:r>
          </w:p>
        </w:tc>
        <w:tc>
          <w:tcPr>
            <w:tcW w:w="707" w:type="dxa"/>
            <w:vMerge w:val="restart"/>
            <w:tcBorders>
              <w:bottom w:val="nil"/>
            </w:tcBorders>
            <w:vAlign w:val="top"/>
          </w:tcPr>
          <w:p>
            <w:pPr>
              <w:spacing w:line="442" w:lineRule="auto"/>
              <w:rPr>
                <w:rFonts w:ascii="Arial"/>
                <w:sz w:val="21"/>
              </w:rPr>
            </w:pPr>
          </w:p>
          <w:p>
            <w:pPr>
              <w:spacing w:before="6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56.6</w:t>
            </w:r>
          </w:p>
        </w:tc>
        <w:tc>
          <w:tcPr>
            <w:tcW w:w="690" w:type="dxa"/>
            <w:vMerge w:val="restart"/>
            <w:tcBorders>
              <w:bottom w:val="nil"/>
            </w:tcBorders>
            <w:vAlign w:val="top"/>
          </w:tcPr>
          <w:p>
            <w:pPr>
              <w:spacing w:line="442"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31.1</w:t>
            </w:r>
          </w:p>
        </w:tc>
        <w:tc>
          <w:tcPr>
            <w:tcW w:w="650" w:type="dxa"/>
            <w:vMerge w:val="restart"/>
            <w:tcBorders>
              <w:bottom w:val="nil"/>
            </w:tcBorders>
            <w:vAlign w:val="top"/>
          </w:tcPr>
          <w:p>
            <w:pPr>
              <w:spacing w:line="442" w:lineRule="auto"/>
              <w:rPr>
                <w:rFonts w:ascii="Arial"/>
                <w:sz w:val="21"/>
              </w:rPr>
            </w:pPr>
          </w:p>
          <w:p>
            <w:pPr>
              <w:spacing w:before="61"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w:t>
            </w:r>
          </w:p>
        </w:tc>
        <w:tc>
          <w:tcPr>
            <w:tcW w:w="644" w:type="dxa"/>
            <w:vAlign w:val="top"/>
          </w:tcPr>
          <w:p>
            <w:pPr>
              <w:spacing w:before="236" w:line="186"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w:t>
            </w:r>
          </w:p>
        </w:tc>
        <w:tc>
          <w:tcPr>
            <w:tcW w:w="647" w:type="dxa"/>
            <w:vAlign w:val="top"/>
          </w:tcPr>
          <w:p>
            <w:pPr>
              <w:spacing w:before="236" w:line="186" w:lineRule="auto"/>
              <w:ind w:left="28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40" w:type="dxa"/>
            <w:vAlign w:val="top"/>
          </w:tcPr>
          <w:p>
            <w:pPr>
              <w:spacing w:before="23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459" w:type="dxa"/>
            <w:tcBorders>
              <w:right w:val="single" w:color="000000" w:sz="10" w:space="0"/>
            </w:tcBorders>
            <w:vAlign w:val="top"/>
          </w:tcPr>
          <w:p>
            <w:pPr>
              <w:pStyle w:val="6"/>
              <w:spacing w:before="52" w:line="215"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504" w:type="dxa"/>
            <w:vMerge w:val="continue"/>
            <w:tcBorders>
              <w:top w:val="nil"/>
              <w:left w:val="single" w:color="000000" w:sz="10" w:space="0"/>
              <w:bottom w:val="single" w:color="000000" w:sz="10" w:space="0"/>
            </w:tcBorders>
            <w:vAlign w:val="top"/>
          </w:tcPr>
          <w:p>
            <w:pPr>
              <w:rPr>
                <w:rFonts w:ascii="Arial"/>
                <w:sz w:val="21"/>
              </w:rPr>
            </w:pPr>
          </w:p>
        </w:tc>
        <w:tc>
          <w:tcPr>
            <w:tcW w:w="951" w:type="dxa"/>
            <w:vMerge w:val="continue"/>
            <w:tcBorders>
              <w:top w:val="nil"/>
              <w:bottom w:val="single" w:color="000000" w:sz="10" w:space="0"/>
            </w:tcBorders>
            <w:vAlign w:val="top"/>
          </w:tcPr>
          <w:p>
            <w:pPr>
              <w:rPr>
                <w:rFonts w:ascii="Arial"/>
                <w:sz w:val="21"/>
              </w:rPr>
            </w:pPr>
          </w:p>
        </w:tc>
        <w:tc>
          <w:tcPr>
            <w:tcW w:w="1905" w:type="dxa"/>
            <w:vMerge w:val="continue"/>
            <w:tcBorders>
              <w:top w:val="nil"/>
              <w:bottom w:val="single" w:color="000000" w:sz="10" w:space="0"/>
            </w:tcBorders>
            <w:vAlign w:val="top"/>
          </w:tcPr>
          <w:p>
            <w:pPr>
              <w:rPr>
                <w:rFonts w:ascii="Arial"/>
                <w:sz w:val="21"/>
              </w:rPr>
            </w:pPr>
          </w:p>
        </w:tc>
        <w:tc>
          <w:tcPr>
            <w:tcW w:w="1361" w:type="dxa"/>
            <w:vMerge w:val="continue"/>
            <w:tcBorders>
              <w:top w:val="nil"/>
              <w:bottom w:val="single" w:color="000000" w:sz="10" w:space="0"/>
            </w:tcBorders>
            <w:vAlign w:val="top"/>
          </w:tcPr>
          <w:p>
            <w:pPr>
              <w:rPr>
                <w:rFonts w:ascii="Arial"/>
                <w:sz w:val="21"/>
              </w:rPr>
            </w:pPr>
          </w:p>
        </w:tc>
        <w:tc>
          <w:tcPr>
            <w:tcW w:w="1200"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88"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87"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90" w:type="dxa"/>
            <w:vMerge w:val="continue"/>
            <w:tcBorders>
              <w:top w:val="nil"/>
              <w:bottom w:val="single" w:color="000000" w:sz="10" w:space="0"/>
            </w:tcBorders>
            <w:vAlign w:val="top"/>
          </w:tcPr>
          <w:p>
            <w:pPr>
              <w:rPr>
                <w:rFonts w:ascii="Arial"/>
                <w:sz w:val="21"/>
              </w:rPr>
            </w:pPr>
          </w:p>
        </w:tc>
        <w:tc>
          <w:tcPr>
            <w:tcW w:w="650" w:type="dxa"/>
            <w:vMerge w:val="continue"/>
            <w:tcBorders>
              <w:top w:val="nil"/>
              <w:bottom w:val="single" w:color="000000" w:sz="10" w:space="0"/>
            </w:tcBorders>
            <w:vAlign w:val="top"/>
          </w:tcPr>
          <w:p>
            <w:pPr>
              <w:rPr>
                <w:rFonts w:ascii="Arial"/>
                <w:sz w:val="21"/>
              </w:rPr>
            </w:pPr>
          </w:p>
        </w:tc>
        <w:tc>
          <w:tcPr>
            <w:tcW w:w="644" w:type="dxa"/>
            <w:tcBorders>
              <w:bottom w:val="single" w:color="000000" w:sz="10" w:space="0"/>
            </w:tcBorders>
            <w:vAlign w:val="top"/>
          </w:tcPr>
          <w:p>
            <w:pPr>
              <w:spacing w:before="241" w:line="183"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w:t>
            </w:r>
          </w:p>
        </w:tc>
        <w:tc>
          <w:tcPr>
            <w:tcW w:w="647" w:type="dxa"/>
            <w:tcBorders>
              <w:bottom w:val="single" w:color="000000" w:sz="10" w:space="0"/>
            </w:tcBorders>
            <w:vAlign w:val="top"/>
          </w:tcPr>
          <w:p>
            <w:pPr>
              <w:spacing w:before="238" w:line="186" w:lineRule="auto"/>
              <w:ind w:left="284"/>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740" w:type="dxa"/>
            <w:tcBorders>
              <w:bottom w:val="single" w:color="000000" w:sz="10" w:space="0"/>
            </w:tcBorders>
            <w:vAlign w:val="top"/>
          </w:tcPr>
          <w:p>
            <w:pPr>
              <w:spacing w:before="238" w:line="186" w:lineRule="auto"/>
              <w:ind w:left="30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tc>
        <w:tc>
          <w:tcPr>
            <w:tcW w:w="1459" w:type="dxa"/>
            <w:tcBorders>
              <w:bottom w:val="single" w:color="000000" w:sz="10" w:space="0"/>
              <w:right w:val="single" w:color="000000" w:sz="10" w:space="0"/>
            </w:tcBorders>
            <w:vAlign w:val="top"/>
          </w:tcPr>
          <w:p>
            <w:pPr>
              <w:pStyle w:val="6"/>
              <w:spacing w:before="53" w:line="225" w:lineRule="auto"/>
              <w:ind w:left="422" w:right="185" w:hanging="207"/>
            </w:pPr>
            <w:r>
              <w:rPr>
                <w:spacing w:val="-2"/>
              </w:rPr>
              <w:t>南侧景文高</w:t>
            </w:r>
            <w:r>
              <w:rPr>
                <w:spacing w:val="1"/>
              </w:rPr>
              <w:t xml:space="preserve"> </w:t>
            </w:r>
            <w:r>
              <w:rPr>
                <w:spacing w:val="-1"/>
              </w:rPr>
              <w:t>速公路</w:t>
            </w:r>
          </w:p>
        </w:tc>
      </w:tr>
    </w:tbl>
    <w:p>
      <w:pPr>
        <w:pStyle w:val="2"/>
      </w:pPr>
    </w:p>
    <w:p>
      <w:pPr>
        <w:sectPr>
          <w:headerReference r:id="rId202" w:type="default"/>
          <w:footerReference r:id="rId203" w:type="default"/>
          <w:pgSz w:w="16839" w:h="11907"/>
          <w:pgMar w:top="1260" w:right="1281" w:bottom="1151" w:left="1283" w:header="1019" w:footer="990" w:gutter="0"/>
          <w:cols w:space="720" w:num="1"/>
        </w:sectPr>
      </w:pPr>
    </w:p>
    <w:p>
      <w:pPr>
        <w:spacing w:line="155" w:lineRule="exact"/>
      </w:pPr>
    </w:p>
    <w:tbl>
      <w:tblPr>
        <w:tblStyle w:val="5"/>
        <w:tblW w:w="142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951"/>
        <w:gridCol w:w="1905"/>
        <w:gridCol w:w="1361"/>
        <w:gridCol w:w="1200"/>
        <w:gridCol w:w="707"/>
        <w:gridCol w:w="688"/>
        <w:gridCol w:w="707"/>
        <w:gridCol w:w="687"/>
        <w:gridCol w:w="707"/>
        <w:gridCol w:w="690"/>
        <w:gridCol w:w="650"/>
        <w:gridCol w:w="644"/>
        <w:gridCol w:w="647"/>
        <w:gridCol w:w="740"/>
        <w:gridCol w:w="1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04" w:type="dxa"/>
            <w:vMerge w:val="restart"/>
            <w:tcBorders>
              <w:top w:val="single" w:color="000000" w:sz="10" w:space="0"/>
              <w:left w:val="single" w:color="000000" w:sz="10" w:space="0"/>
              <w:bottom w:val="nil"/>
            </w:tcBorders>
            <w:textDirection w:val="tbRlV"/>
            <w:vAlign w:val="top"/>
          </w:tcPr>
          <w:p>
            <w:pPr>
              <w:pStyle w:val="6"/>
              <w:spacing w:before="144" w:line="211" w:lineRule="auto"/>
              <w:ind w:left="374"/>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951" w:type="dxa"/>
            <w:vMerge w:val="restart"/>
            <w:tcBorders>
              <w:top w:val="single" w:color="000000" w:sz="10" w:space="0"/>
              <w:bottom w:val="nil"/>
            </w:tcBorders>
            <w:vAlign w:val="top"/>
          </w:tcPr>
          <w:p>
            <w:pPr>
              <w:spacing w:line="304" w:lineRule="auto"/>
              <w:rPr>
                <w:rFonts w:ascii="Arial"/>
                <w:sz w:val="21"/>
              </w:rPr>
            </w:pPr>
          </w:p>
          <w:p>
            <w:pPr>
              <w:pStyle w:val="6"/>
              <w:spacing w:before="69" w:line="231" w:lineRule="auto"/>
              <w:ind w:left="367" w:right="170" w:hanging="199"/>
            </w:pPr>
            <w:r>
              <w:rPr>
                <w:spacing w:val="-8"/>
                <w14:textOutline w14:w="3831" w14:cap="flat" w14:cmpd="sng">
                  <w14:solidFill>
                    <w14:srgbClr w14:val="000000"/>
                  </w14:solidFill>
                  <w14:prstDash w14:val="solid"/>
                  <w14:miter w14:val="0"/>
                </w14:textOutline>
              </w:rPr>
              <w:t>检测点</w:t>
            </w:r>
            <w:r>
              <w:t xml:space="preserve"> </w:t>
            </w:r>
            <w:r>
              <w:rPr>
                <w14:textOutline w14:w="3831" w14:cap="flat" w14:cmpd="sng">
                  <w14:solidFill>
                    <w14:srgbClr w14:val="000000"/>
                  </w14:solidFill>
                  <w14:prstDash w14:val="solid"/>
                  <w14:miter w14:val="0"/>
                </w14:textOutline>
              </w:rPr>
              <w:t>位</w:t>
            </w:r>
          </w:p>
        </w:tc>
        <w:tc>
          <w:tcPr>
            <w:tcW w:w="3266" w:type="dxa"/>
            <w:gridSpan w:val="2"/>
            <w:vMerge w:val="restart"/>
            <w:tcBorders>
              <w:top w:val="single" w:color="000000" w:sz="10" w:space="0"/>
              <w:bottom w:val="nil"/>
            </w:tcBorders>
            <w:vAlign w:val="top"/>
          </w:tcPr>
          <w:p>
            <w:pPr>
              <w:spacing w:line="439" w:lineRule="auto"/>
              <w:rPr>
                <w:rFonts w:ascii="Arial"/>
                <w:sz w:val="21"/>
              </w:rPr>
            </w:pPr>
          </w:p>
          <w:p>
            <w:pPr>
              <w:pStyle w:val="6"/>
              <w:spacing w:before="68" w:line="221" w:lineRule="auto"/>
              <w:ind w:left="1209"/>
            </w:pPr>
            <w:r>
              <w:rPr>
                <w:spacing w:val="-1"/>
                <w14:textOutline w14:w="3831" w14:cap="flat" w14:cmpd="sng">
                  <w14:solidFill>
                    <w14:srgbClr w14:val="000000"/>
                  </w14:solidFill>
                  <w14:prstDash w14:val="solid"/>
                  <w14:miter w14:val="0"/>
                </w14:textOutline>
              </w:rPr>
              <w:t>检测时间</w:t>
            </w:r>
          </w:p>
        </w:tc>
        <w:tc>
          <w:tcPr>
            <w:tcW w:w="1200" w:type="dxa"/>
            <w:vMerge w:val="restart"/>
            <w:tcBorders>
              <w:top w:val="single" w:color="000000" w:sz="10" w:space="0"/>
              <w:bottom w:val="nil"/>
            </w:tcBorders>
            <w:vAlign w:val="top"/>
          </w:tcPr>
          <w:p>
            <w:pPr>
              <w:spacing w:line="440" w:lineRule="auto"/>
              <w:rPr>
                <w:rFonts w:ascii="Arial"/>
                <w:sz w:val="21"/>
              </w:rPr>
            </w:pPr>
          </w:p>
          <w:p>
            <w:pPr>
              <w:pStyle w:val="6"/>
              <w:spacing w:before="68" w:line="221" w:lineRule="auto"/>
              <w:ind w:left="202"/>
            </w:pPr>
            <w:r>
              <w:rPr>
                <w:spacing w:val="-7"/>
                <w14:textOutline w14:w="3831" w14:cap="flat" w14:cmpd="sng">
                  <w14:solidFill>
                    <w14:srgbClr w14:val="000000"/>
                  </w14:solidFill>
                  <w14:prstDash w14:val="solid"/>
                  <w14:miter w14:val="0"/>
                </w14:textOutline>
              </w:rPr>
              <w:t>主要声源</w:t>
            </w:r>
          </w:p>
        </w:tc>
        <w:tc>
          <w:tcPr>
            <w:tcW w:w="4836" w:type="dxa"/>
            <w:gridSpan w:val="7"/>
            <w:tcBorders>
              <w:top w:val="single" w:color="000000" w:sz="10" w:space="0"/>
            </w:tcBorders>
            <w:vAlign w:val="top"/>
          </w:tcPr>
          <w:p>
            <w:pPr>
              <w:pStyle w:val="6"/>
              <w:spacing w:before="184" w:line="221" w:lineRule="auto"/>
              <w:ind w:left="2022"/>
            </w:pPr>
            <w:r>
              <w:rPr>
                <w:spacing w:val="-7"/>
                <w14:textOutline w14:w="3831" w14:cap="flat" w14:cmpd="sng">
                  <w14:solidFill>
                    <w14:srgbClr w14:val="000000"/>
                  </w14:solidFill>
                  <w14:prstDash w14:val="solid"/>
                  <w14:miter w14:val="0"/>
                </w14:textOutline>
              </w:rPr>
              <w:t>检测结果</w:t>
            </w:r>
          </w:p>
        </w:tc>
        <w:tc>
          <w:tcPr>
            <w:tcW w:w="2031" w:type="dxa"/>
            <w:gridSpan w:val="3"/>
            <w:tcBorders>
              <w:top w:val="single" w:color="000000" w:sz="10" w:space="0"/>
            </w:tcBorders>
            <w:vAlign w:val="top"/>
          </w:tcPr>
          <w:p>
            <w:pPr>
              <w:pStyle w:val="6"/>
              <w:spacing w:before="48" w:line="238" w:lineRule="auto"/>
              <w:ind w:left="529"/>
            </w:pPr>
            <w:r>
              <w:rPr>
                <w:spacing w:val="-7"/>
                <w14:textOutline w14:w="3831" w14:cap="flat" w14:cmpd="sng">
                  <w14:solidFill>
                    <w14:srgbClr w14:val="000000"/>
                  </w14:solidFill>
                  <w14:prstDash w14:val="solid"/>
                  <w14:miter w14:val="0"/>
                </w14:textOutline>
              </w:rPr>
              <w:t>车流量情况</w:t>
            </w:r>
          </w:p>
          <w:p>
            <w:pPr>
              <w:pStyle w:val="6"/>
              <w:spacing w:line="218" w:lineRule="auto"/>
              <w:ind w:left="440"/>
            </w:pPr>
            <w:r>
              <w:rPr>
                <w:spacing w:val="-7"/>
                <w14:textOutline w14:w="3831" w14:cap="flat" w14:cmpd="sng">
                  <w14:solidFill>
                    <w14:srgbClr w14:val="000000"/>
                  </w14:solidFill>
                  <w14:prstDash w14:val="solid"/>
                  <w14:miter w14:val="0"/>
                </w14:textOutline>
              </w:rPr>
              <w:t>（辆</w:t>
            </w:r>
            <w:r>
              <w:rPr>
                <w:rFonts w:ascii="Times New Roman" w:hAnsi="Times New Roman" w:eastAsia="Times New Roman" w:cs="Times New Roman"/>
                <w:b/>
                <w:bCs/>
                <w:spacing w:val="-7"/>
              </w:rPr>
              <w:t>/20min</w:t>
            </w:r>
            <w:r>
              <w:rPr>
                <w:spacing w:val="-7"/>
                <w14:textOutline w14:w="3831" w14:cap="flat" w14:cmpd="sng">
                  <w14:solidFill>
                    <w14:srgbClr w14:val="000000"/>
                  </w14:solidFill>
                  <w14:prstDash w14:val="solid"/>
                  <w14:miter w14:val="0"/>
                </w14:textOutline>
              </w:rPr>
              <w:t>）</w:t>
            </w:r>
          </w:p>
        </w:tc>
        <w:tc>
          <w:tcPr>
            <w:tcW w:w="1459" w:type="dxa"/>
            <w:vMerge w:val="restart"/>
            <w:tcBorders>
              <w:top w:val="single" w:color="000000" w:sz="10" w:space="0"/>
              <w:bottom w:val="nil"/>
              <w:right w:val="single" w:color="000000" w:sz="10" w:space="0"/>
            </w:tcBorders>
            <w:vAlign w:val="top"/>
          </w:tcPr>
          <w:p>
            <w:pPr>
              <w:spacing w:line="440" w:lineRule="auto"/>
              <w:rPr>
                <w:rFonts w:ascii="Arial"/>
                <w:sz w:val="21"/>
              </w:rPr>
            </w:pPr>
          </w:p>
          <w:p>
            <w:pPr>
              <w:pStyle w:val="6"/>
              <w:spacing w:before="68" w:line="222" w:lineRule="auto"/>
              <w:ind w:left="541"/>
            </w:pPr>
            <w:r>
              <w:rPr>
                <w:spacing w:val="-5"/>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Align w:val="top"/>
          </w:tcPr>
          <w:p>
            <w:pPr>
              <w:spacing w:before="260" w:line="195" w:lineRule="auto"/>
              <w:ind w:left="213"/>
              <w:rPr>
                <w:rFonts w:ascii="Times New Roman" w:hAnsi="Times New Roman" w:eastAsia="Times New Roman" w:cs="Times New Roman"/>
                <w:sz w:val="13"/>
                <w:szCs w:val="13"/>
              </w:rPr>
            </w:pPr>
            <w:r>
              <w:rPr>
                <w:rFonts w:ascii="Times New Roman" w:hAnsi="Times New Roman" w:eastAsia="Times New Roman" w:cs="Times New Roman"/>
                <w:b/>
                <w:bCs/>
                <w:spacing w:val="2"/>
                <w:position w:val="1"/>
                <w:sz w:val="21"/>
                <w:szCs w:val="21"/>
              </w:rPr>
              <w:t>L</w:t>
            </w:r>
            <w:r>
              <w:rPr>
                <w:rFonts w:ascii="Times New Roman" w:hAnsi="Times New Roman" w:eastAsia="Times New Roman" w:cs="Times New Roman"/>
                <w:b/>
                <w:bCs/>
                <w:spacing w:val="2"/>
                <w:sz w:val="13"/>
                <w:szCs w:val="13"/>
              </w:rPr>
              <w:t>eq</w:t>
            </w:r>
          </w:p>
        </w:tc>
        <w:tc>
          <w:tcPr>
            <w:tcW w:w="688" w:type="dxa"/>
            <w:vAlign w:val="top"/>
          </w:tcPr>
          <w:p>
            <w:pPr>
              <w:spacing w:before="260" w:line="203" w:lineRule="auto"/>
              <w:ind w:left="204"/>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10</w:t>
            </w:r>
          </w:p>
        </w:tc>
        <w:tc>
          <w:tcPr>
            <w:tcW w:w="707" w:type="dxa"/>
            <w:vAlign w:val="top"/>
          </w:tcPr>
          <w:p>
            <w:pPr>
              <w:spacing w:before="260" w:line="203" w:lineRule="auto"/>
              <w:ind w:left="215"/>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50</w:t>
            </w:r>
          </w:p>
        </w:tc>
        <w:tc>
          <w:tcPr>
            <w:tcW w:w="687" w:type="dxa"/>
            <w:vAlign w:val="top"/>
          </w:tcPr>
          <w:p>
            <w:pPr>
              <w:spacing w:before="260" w:line="203" w:lineRule="auto"/>
              <w:ind w:left="206"/>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90</w:t>
            </w:r>
          </w:p>
        </w:tc>
        <w:tc>
          <w:tcPr>
            <w:tcW w:w="707" w:type="dxa"/>
            <w:vAlign w:val="top"/>
          </w:tcPr>
          <w:p>
            <w:pPr>
              <w:spacing w:before="260" w:line="222" w:lineRule="auto"/>
              <w:ind w:left="160"/>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max</w:t>
            </w:r>
          </w:p>
        </w:tc>
        <w:tc>
          <w:tcPr>
            <w:tcW w:w="690" w:type="dxa"/>
            <w:vAlign w:val="top"/>
          </w:tcPr>
          <w:p>
            <w:pPr>
              <w:spacing w:before="260" w:line="223" w:lineRule="auto"/>
              <w:ind w:left="161"/>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min</w:t>
            </w:r>
          </w:p>
        </w:tc>
        <w:tc>
          <w:tcPr>
            <w:tcW w:w="650" w:type="dxa"/>
            <w:vAlign w:val="top"/>
          </w:tcPr>
          <w:p>
            <w:pPr>
              <w:spacing w:before="257" w:line="187" w:lineRule="auto"/>
              <w:ind w:left="200"/>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SD</w:t>
            </w:r>
          </w:p>
        </w:tc>
        <w:tc>
          <w:tcPr>
            <w:tcW w:w="644" w:type="dxa"/>
            <w:vAlign w:val="top"/>
          </w:tcPr>
          <w:p>
            <w:pPr>
              <w:pStyle w:val="6"/>
              <w:spacing w:before="82" w:line="229" w:lineRule="auto"/>
              <w:ind w:left="231" w:right="100" w:hanging="101"/>
            </w:pPr>
            <w:r>
              <w:rPr>
                <w:spacing w:val="-6"/>
                <w14:textOutline w14:w="3831" w14:cap="flat" w14:cmpd="sng">
                  <w14:solidFill>
                    <w14:srgbClr w14:val="000000"/>
                  </w14:solidFill>
                  <w14:prstDash w14:val="solid"/>
                  <w14:miter w14:val="0"/>
                </w14:textOutline>
              </w:rPr>
              <w:t>小型</w:t>
            </w:r>
            <w:r>
              <w:t xml:space="preserve"> </w:t>
            </w:r>
            <w:r>
              <w:rPr>
                <w14:textOutline w14:w="3831" w14:cap="flat" w14:cmpd="sng">
                  <w14:solidFill>
                    <w14:srgbClr w14:val="000000"/>
                  </w14:solidFill>
                  <w14:prstDash w14:val="solid"/>
                  <w14:miter w14:val="0"/>
                </w14:textOutline>
              </w:rPr>
              <w:t>车</w:t>
            </w:r>
          </w:p>
        </w:tc>
        <w:tc>
          <w:tcPr>
            <w:tcW w:w="647" w:type="dxa"/>
            <w:vAlign w:val="top"/>
          </w:tcPr>
          <w:p>
            <w:pPr>
              <w:pStyle w:val="6"/>
              <w:spacing w:before="82" w:line="229" w:lineRule="auto"/>
              <w:ind w:left="230" w:right="103" w:hanging="87"/>
            </w:pPr>
            <w:r>
              <w:rPr>
                <w:spacing w:val="-13"/>
                <w14:textOutline w14:w="3831" w14:cap="flat" w14:cmpd="sng">
                  <w14:solidFill>
                    <w14:srgbClr w14:val="000000"/>
                  </w14:solidFill>
                  <w14:prstDash w14:val="solid"/>
                  <w14:miter w14:val="0"/>
                </w14:textOutline>
              </w:rPr>
              <w:t>中型</w:t>
            </w:r>
            <w:r>
              <w:t xml:space="preserve"> </w:t>
            </w:r>
            <w:r>
              <w:rPr>
                <w14:textOutline w14:w="3831" w14:cap="flat" w14:cmpd="sng">
                  <w14:solidFill>
                    <w14:srgbClr w14:val="000000"/>
                  </w14:solidFill>
                  <w14:prstDash w14:val="solid"/>
                  <w14:miter w14:val="0"/>
                </w14:textOutline>
              </w:rPr>
              <w:t>车</w:t>
            </w:r>
          </w:p>
        </w:tc>
        <w:tc>
          <w:tcPr>
            <w:tcW w:w="740" w:type="dxa"/>
            <w:vAlign w:val="top"/>
          </w:tcPr>
          <w:p>
            <w:pPr>
              <w:pStyle w:val="6"/>
              <w:spacing w:before="82" w:line="238" w:lineRule="auto"/>
              <w:ind w:left="172"/>
            </w:pPr>
            <w:r>
              <w:rPr>
                <w:spacing w:val="-3"/>
                <w14:textOutline w14:w="3831" w14:cap="flat" w14:cmpd="sng">
                  <w14:solidFill>
                    <w14:srgbClr w14:val="000000"/>
                  </w14:solidFill>
                  <w14:prstDash w14:val="solid"/>
                  <w14:miter w14:val="0"/>
                </w14:textOutline>
              </w:rPr>
              <w:t>大型</w:t>
            </w:r>
          </w:p>
          <w:p>
            <w:pPr>
              <w:pStyle w:val="6"/>
              <w:spacing w:line="220" w:lineRule="auto"/>
              <w:ind w:left="277"/>
            </w:pPr>
            <w:r>
              <w:rPr>
                <w14:textOutline w14:w="3831" w14:cap="flat" w14:cmpd="sng">
                  <w14:solidFill>
                    <w14:srgbClr w14:val="000000"/>
                  </w14:solidFill>
                  <w14:prstDash w14:val="solid"/>
                  <w14:miter w14:val="0"/>
                </w14:textOutline>
              </w:rPr>
              <w:t>车</w:t>
            </w:r>
          </w:p>
        </w:tc>
        <w:tc>
          <w:tcPr>
            <w:tcW w:w="145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80"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26"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14:09~14:29</w:t>
            </w:r>
          </w:p>
        </w:tc>
        <w:tc>
          <w:tcPr>
            <w:tcW w:w="1200" w:type="dxa"/>
            <w:vMerge w:val="restart"/>
            <w:tcBorders>
              <w:bottom w:val="nil"/>
            </w:tcBorders>
            <w:vAlign w:val="top"/>
          </w:tcPr>
          <w:p>
            <w:pPr>
              <w:spacing w:line="380" w:lineRule="auto"/>
              <w:rPr>
                <w:rFonts w:ascii="Arial"/>
                <w:sz w:val="21"/>
              </w:rPr>
            </w:pPr>
          </w:p>
          <w:p>
            <w:pPr>
              <w:pStyle w:val="6"/>
              <w:spacing w:before="69" w:line="221" w:lineRule="auto"/>
              <w:ind w:left="181"/>
            </w:pPr>
            <w:r>
              <w:rPr>
                <w:spacing w:val="-2"/>
              </w:rPr>
              <w:t>环境噪声</w:t>
            </w:r>
          </w:p>
        </w:tc>
        <w:tc>
          <w:tcPr>
            <w:tcW w:w="707" w:type="dxa"/>
            <w:vMerge w:val="restart"/>
            <w:tcBorders>
              <w:bottom w:val="nil"/>
            </w:tcBorders>
            <w:vAlign w:val="top"/>
          </w:tcPr>
          <w:p>
            <w:pPr>
              <w:spacing w:line="426"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w:t>
            </w:r>
          </w:p>
        </w:tc>
        <w:tc>
          <w:tcPr>
            <w:tcW w:w="688" w:type="dxa"/>
            <w:vMerge w:val="restart"/>
            <w:tcBorders>
              <w:bottom w:val="nil"/>
            </w:tcBorders>
            <w:vAlign w:val="top"/>
          </w:tcPr>
          <w:p>
            <w:pPr>
              <w:spacing w:line="426" w:lineRule="auto"/>
              <w:rPr>
                <w:rFonts w:ascii="Arial"/>
                <w:sz w:val="21"/>
              </w:rPr>
            </w:pPr>
          </w:p>
          <w:p>
            <w:pPr>
              <w:spacing w:before="6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45.6</w:t>
            </w:r>
          </w:p>
        </w:tc>
        <w:tc>
          <w:tcPr>
            <w:tcW w:w="707" w:type="dxa"/>
            <w:vMerge w:val="restart"/>
            <w:tcBorders>
              <w:bottom w:val="nil"/>
            </w:tcBorders>
            <w:vAlign w:val="top"/>
          </w:tcPr>
          <w:p>
            <w:pPr>
              <w:spacing w:line="426" w:lineRule="auto"/>
              <w:rPr>
                <w:rFonts w:ascii="Arial"/>
                <w:sz w:val="21"/>
              </w:rPr>
            </w:pPr>
          </w:p>
          <w:p>
            <w:pPr>
              <w:spacing w:before="6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40.4</w:t>
            </w:r>
          </w:p>
        </w:tc>
        <w:tc>
          <w:tcPr>
            <w:tcW w:w="687" w:type="dxa"/>
            <w:vMerge w:val="restart"/>
            <w:tcBorders>
              <w:bottom w:val="nil"/>
            </w:tcBorders>
            <w:vAlign w:val="top"/>
          </w:tcPr>
          <w:p>
            <w:pPr>
              <w:spacing w:line="426"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34.6</w:t>
            </w:r>
          </w:p>
        </w:tc>
        <w:tc>
          <w:tcPr>
            <w:tcW w:w="707" w:type="dxa"/>
            <w:vMerge w:val="restart"/>
            <w:tcBorders>
              <w:bottom w:val="nil"/>
            </w:tcBorders>
            <w:vAlign w:val="top"/>
          </w:tcPr>
          <w:p>
            <w:pPr>
              <w:spacing w:line="426" w:lineRule="auto"/>
              <w:rPr>
                <w:rFonts w:ascii="Arial"/>
                <w:sz w:val="21"/>
              </w:rPr>
            </w:pPr>
          </w:p>
          <w:p>
            <w:pPr>
              <w:spacing w:before="6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56.8</w:t>
            </w:r>
          </w:p>
        </w:tc>
        <w:tc>
          <w:tcPr>
            <w:tcW w:w="690" w:type="dxa"/>
            <w:vMerge w:val="restart"/>
            <w:tcBorders>
              <w:bottom w:val="nil"/>
            </w:tcBorders>
            <w:vAlign w:val="top"/>
          </w:tcPr>
          <w:p>
            <w:pPr>
              <w:spacing w:line="426"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31.6</w:t>
            </w:r>
          </w:p>
        </w:tc>
        <w:tc>
          <w:tcPr>
            <w:tcW w:w="650" w:type="dxa"/>
            <w:vMerge w:val="restart"/>
            <w:tcBorders>
              <w:bottom w:val="nil"/>
            </w:tcBorders>
            <w:vAlign w:val="top"/>
          </w:tcPr>
          <w:p>
            <w:pPr>
              <w:spacing w:line="426" w:lineRule="auto"/>
              <w:rPr>
                <w:rFonts w:ascii="Arial"/>
                <w:sz w:val="21"/>
              </w:rPr>
            </w:pPr>
          </w:p>
          <w:p>
            <w:pPr>
              <w:spacing w:before="61"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644" w:type="dxa"/>
            <w:vAlign w:val="top"/>
          </w:tcPr>
          <w:p>
            <w:pPr>
              <w:spacing w:before="220" w:line="186"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w:t>
            </w:r>
          </w:p>
        </w:tc>
        <w:tc>
          <w:tcPr>
            <w:tcW w:w="647" w:type="dxa"/>
            <w:vAlign w:val="top"/>
          </w:tcPr>
          <w:p>
            <w:pPr>
              <w:spacing w:before="220" w:line="186"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740" w:type="dxa"/>
            <w:vAlign w:val="top"/>
          </w:tcPr>
          <w:p>
            <w:pPr>
              <w:spacing w:before="220" w:line="186"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459" w:type="dxa"/>
            <w:tcBorders>
              <w:right w:val="single" w:color="000000" w:sz="10" w:space="0"/>
            </w:tcBorders>
            <w:vAlign w:val="top"/>
          </w:tcPr>
          <w:p>
            <w:pPr>
              <w:pStyle w:val="6"/>
              <w:spacing w:before="35" w:line="223"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2" w:line="186"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tc>
        <w:tc>
          <w:tcPr>
            <w:tcW w:w="647" w:type="dxa"/>
            <w:vAlign w:val="top"/>
          </w:tcPr>
          <w:p>
            <w:pPr>
              <w:spacing w:before="224" w:line="183"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740" w:type="dxa"/>
            <w:vAlign w:val="top"/>
          </w:tcPr>
          <w:p>
            <w:pPr>
              <w:spacing w:before="222" w:line="186"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459" w:type="dxa"/>
            <w:tcBorders>
              <w:right w:val="single" w:color="000000" w:sz="10" w:space="0"/>
            </w:tcBorders>
            <w:vAlign w:val="top"/>
          </w:tcPr>
          <w:p>
            <w:pPr>
              <w:pStyle w:val="6"/>
              <w:spacing w:before="37" w:line="222"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85"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32"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15:09~15:29</w:t>
            </w:r>
          </w:p>
        </w:tc>
        <w:tc>
          <w:tcPr>
            <w:tcW w:w="1200" w:type="dxa"/>
            <w:vMerge w:val="restart"/>
            <w:tcBorders>
              <w:bottom w:val="nil"/>
            </w:tcBorders>
            <w:vAlign w:val="top"/>
          </w:tcPr>
          <w:p>
            <w:pPr>
              <w:spacing w:line="386"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32"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44.3</w:t>
            </w:r>
          </w:p>
        </w:tc>
        <w:tc>
          <w:tcPr>
            <w:tcW w:w="688" w:type="dxa"/>
            <w:vMerge w:val="restart"/>
            <w:tcBorders>
              <w:bottom w:val="nil"/>
            </w:tcBorders>
            <w:vAlign w:val="top"/>
          </w:tcPr>
          <w:p>
            <w:pPr>
              <w:spacing w:line="432"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48.2</w:t>
            </w:r>
          </w:p>
        </w:tc>
        <w:tc>
          <w:tcPr>
            <w:tcW w:w="707" w:type="dxa"/>
            <w:vMerge w:val="restart"/>
            <w:tcBorders>
              <w:bottom w:val="nil"/>
            </w:tcBorders>
            <w:vAlign w:val="top"/>
          </w:tcPr>
          <w:p>
            <w:pPr>
              <w:spacing w:line="432" w:lineRule="auto"/>
              <w:rPr>
                <w:rFonts w:ascii="Arial"/>
                <w:sz w:val="21"/>
              </w:rPr>
            </w:pPr>
          </w:p>
          <w:p>
            <w:pPr>
              <w:spacing w:before="6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c>
          <w:tcPr>
            <w:tcW w:w="687" w:type="dxa"/>
            <w:vMerge w:val="restart"/>
            <w:tcBorders>
              <w:bottom w:val="nil"/>
            </w:tcBorders>
            <w:vAlign w:val="top"/>
          </w:tcPr>
          <w:p>
            <w:pPr>
              <w:spacing w:line="432" w:lineRule="auto"/>
              <w:rPr>
                <w:rFonts w:ascii="Arial"/>
                <w:sz w:val="21"/>
              </w:rPr>
            </w:pPr>
          </w:p>
          <w:p>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707" w:type="dxa"/>
            <w:vMerge w:val="restart"/>
            <w:tcBorders>
              <w:bottom w:val="nil"/>
            </w:tcBorders>
            <w:vAlign w:val="top"/>
          </w:tcPr>
          <w:p>
            <w:pPr>
              <w:spacing w:line="432"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57.8</w:t>
            </w:r>
          </w:p>
        </w:tc>
        <w:tc>
          <w:tcPr>
            <w:tcW w:w="690" w:type="dxa"/>
            <w:vMerge w:val="restart"/>
            <w:tcBorders>
              <w:bottom w:val="nil"/>
            </w:tcBorders>
            <w:vAlign w:val="top"/>
          </w:tcPr>
          <w:p>
            <w:pPr>
              <w:spacing w:line="432"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30.6</w:t>
            </w:r>
          </w:p>
        </w:tc>
        <w:tc>
          <w:tcPr>
            <w:tcW w:w="650" w:type="dxa"/>
            <w:vMerge w:val="restart"/>
            <w:tcBorders>
              <w:bottom w:val="nil"/>
            </w:tcBorders>
            <w:vAlign w:val="top"/>
          </w:tcPr>
          <w:p>
            <w:pPr>
              <w:spacing w:line="432" w:lineRule="auto"/>
              <w:rPr>
                <w:rFonts w:ascii="Arial"/>
                <w:sz w:val="21"/>
              </w:rPr>
            </w:pPr>
          </w:p>
          <w:p>
            <w:pPr>
              <w:spacing w:before="60"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644" w:type="dxa"/>
            <w:vAlign w:val="top"/>
          </w:tcPr>
          <w:p>
            <w:pPr>
              <w:spacing w:before="223" w:line="186"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tc>
        <w:tc>
          <w:tcPr>
            <w:tcW w:w="647" w:type="dxa"/>
            <w:vAlign w:val="top"/>
          </w:tcPr>
          <w:p>
            <w:pPr>
              <w:spacing w:before="223"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23" w:line="186"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459" w:type="dxa"/>
            <w:tcBorders>
              <w:right w:val="single" w:color="000000" w:sz="10" w:space="0"/>
            </w:tcBorders>
            <w:vAlign w:val="top"/>
          </w:tcPr>
          <w:p>
            <w:pPr>
              <w:pStyle w:val="6"/>
              <w:spacing w:before="39" w:line="222"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5" w:line="186" w:lineRule="auto"/>
              <w:ind w:left="24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w:t>
            </w:r>
          </w:p>
        </w:tc>
        <w:tc>
          <w:tcPr>
            <w:tcW w:w="647" w:type="dxa"/>
            <w:vAlign w:val="top"/>
          </w:tcPr>
          <w:p>
            <w:pPr>
              <w:spacing w:before="225" w:line="186" w:lineRule="auto"/>
              <w:ind w:left="30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740" w:type="dxa"/>
            <w:vAlign w:val="top"/>
          </w:tcPr>
          <w:p>
            <w:pPr>
              <w:spacing w:before="225" w:line="186"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459" w:type="dxa"/>
            <w:tcBorders>
              <w:right w:val="single" w:color="000000" w:sz="10" w:space="0"/>
            </w:tcBorders>
            <w:vAlign w:val="top"/>
          </w:tcPr>
          <w:p>
            <w:pPr>
              <w:pStyle w:val="6"/>
              <w:spacing w:before="40" w:line="221"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88"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34"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16:09~16:29</w:t>
            </w:r>
          </w:p>
        </w:tc>
        <w:tc>
          <w:tcPr>
            <w:tcW w:w="1200" w:type="dxa"/>
            <w:vMerge w:val="restart"/>
            <w:tcBorders>
              <w:bottom w:val="nil"/>
            </w:tcBorders>
            <w:vAlign w:val="top"/>
          </w:tcPr>
          <w:p>
            <w:pPr>
              <w:spacing w:line="389"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34"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43.3</w:t>
            </w:r>
          </w:p>
        </w:tc>
        <w:tc>
          <w:tcPr>
            <w:tcW w:w="688" w:type="dxa"/>
            <w:vMerge w:val="restart"/>
            <w:tcBorders>
              <w:bottom w:val="nil"/>
            </w:tcBorders>
            <w:vAlign w:val="top"/>
          </w:tcPr>
          <w:p>
            <w:pPr>
              <w:spacing w:line="434" w:lineRule="auto"/>
              <w:rPr>
                <w:rFonts w:ascii="Arial"/>
                <w:sz w:val="21"/>
              </w:rPr>
            </w:pPr>
          </w:p>
          <w:p>
            <w:pPr>
              <w:spacing w:before="6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47.0</w:t>
            </w:r>
          </w:p>
        </w:tc>
        <w:tc>
          <w:tcPr>
            <w:tcW w:w="707" w:type="dxa"/>
            <w:vMerge w:val="restart"/>
            <w:tcBorders>
              <w:bottom w:val="nil"/>
            </w:tcBorders>
            <w:vAlign w:val="top"/>
          </w:tcPr>
          <w:p>
            <w:pPr>
              <w:spacing w:line="434" w:lineRule="auto"/>
              <w:rPr>
                <w:rFonts w:ascii="Arial"/>
                <w:sz w:val="21"/>
              </w:rPr>
            </w:pPr>
          </w:p>
          <w:p>
            <w:pPr>
              <w:spacing w:before="6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687" w:type="dxa"/>
            <w:vMerge w:val="restart"/>
            <w:tcBorders>
              <w:bottom w:val="nil"/>
            </w:tcBorders>
            <w:vAlign w:val="top"/>
          </w:tcPr>
          <w:p>
            <w:pPr>
              <w:spacing w:line="434"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34.6</w:t>
            </w:r>
          </w:p>
        </w:tc>
        <w:tc>
          <w:tcPr>
            <w:tcW w:w="707" w:type="dxa"/>
            <w:vMerge w:val="restart"/>
            <w:tcBorders>
              <w:bottom w:val="nil"/>
            </w:tcBorders>
            <w:vAlign w:val="top"/>
          </w:tcPr>
          <w:p>
            <w:pPr>
              <w:spacing w:line="434" w:lineRule="auto"/>
              <w:rPr>
                <w:rFonts w:ascii="Arial"/>
                <w:sz w:val="21"/>
              </w:rPr>
            </w:pPr>
          </w:p>
          <w:p>
            <w:pPr>
              <w:spacing w:before="6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59.7</w:t>
            </w:r>
          </w:p>
        </w:tc>
        <w:tc>
          <w:tcPr>
            <w:tcW w:w="690" w:type="dxa"/>
            <w:vMerge w:val="restart"/>
            <w:tcBorders>
              <w:bottom w:val="nil"/>
            </w:tcBorders>
            <w:vAlign w:val="top"/>
          </w:tcPr>
          <w:p>
            <w:pPr>
              <w:spacing w:line="434"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31.5</w:t>
            </w:r>
          </w:p>
        </w:tc>
        <w:tc>
          <w:tcPr>
            <w:tcW w:w="650" w:type="dxa"/>
            <w:vMerge w:val="restart"/>
            <w:tcBorders>
              <w:bottom w:val="nil"/>
            </w:tcBorders>
            <w:vAlign w:val="top"/>
          </w:tcPr>
          <w:p>
            <w:pPr>
              <w:spacing w:line="434" w:lineRule="auto"/>
              <w:rPr>
                <w:rFonts w:ascii="Arial"/>
                <w:sz w:val="21"/>
              </w:rPr>
            </w:pPr>
          </w:p>
          <w:p>
            <w:pPr>
              <w:spacing w:before="61"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644" w:type="dxa"/>
            <w:vAlign w:val="top"/>
          </w:tcPr>
          <w:p>
            <w:pPr>
              <w:spacing w:before="226" w:line="186"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w:t>
            </w:r>
          </w:p>
        </w:tc>
        <w:tc>
          <w:tcPr>
            <w:tcW w:w="647" w:type="dxa"/>
            <w:vAlign w:val="top"/>
          </w:tcPr>
          <w:p>
            <w:pPr>
              <w:spacing w:before="226" w:line="186"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740" w:type="dxa"/>
            <w:vAlign w:val="top"/>
          </w:tcPr>
          <w:p>
            <w:pPr>
              <w:spacing w:before="226" w:line="186"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459" w:type="dxa"/>
            <w:tcBorders>
              <w:right w:val="single" w:color="000000" w:sz="10" w:space="0"/>
            </w:tcBorders>
            <w:vAlign w:val="top"/>
          </w:tcPr>
          <w:p>
            <w:pPr>
              <w:pStyle w:val="6"/>
              <w:spacing w:before="42" w:line="220"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7" w:line="186"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58</w:t>
            </w:r>
          </w:p>
        </w:tc>
        <w:tc>
          <w:tcPr>
            <w:tcW w:w="647" w:type="dxa"/>
            <w:vAlign w:val="top"/>
          </w:tcPr>
          <w:p>
            <w:pPr>
              <w:spacing w:before="227" w:line="186"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740" w:type="dxa"/>
            <w:vAlign w:val="top"/>
          </w:tcPr>
          <w:p>
            <w:pPr>
              <w:spacing w:before="227" w:line="186" w:lineRule="auto"/>
              <w:ind w:left="30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tc>
        <w:tc>
          <w:tcPr>
            <w:tcW w:w="1459" w:type="dxa"/>
            <w:tcBorders>
              <w:right w:val="single" w:color="000000" w:sz="10" w:space="0"/>
            </w:tcBorders>
            <w:vAlign w:val="top"/>
          </w:tcPr>
          <w:p>
            <w:pPr>
              <w:pStyle w:val="6"/>
              <w:spacing w:before="42" w:line="221"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89"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35"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17:09~17:29</w:t>
            </w:r>
          </w:p>
        </w:tc>
        <w:tc>
          <w:tcPr>
            <w:tcW w:w="1200" w:type="dxa"/>
            <w:vMerge w:val="restart"/>
            <w:tcBorders>
              <w:bottom w:val="nil"/>
            </w:tcBorders>
            <w:vAlign w:val="top"/>
          </w:tcPr>
          <w:p>
            <w:pPr>
              <w:spacing w:line="389" w:lineRule="auto"/>
              <w:rPr>
                <w:rFonts w:ascii="Arial"/>
                <w:sz w:val="21"/>
              </w:rPr>
            </w:pPr>
          </w:p>
          <w:p>
            <w:pPr>
              <w:pStyle w:val="6"/>
              <w:spacing w:before="69" w:line="221" w:lineRule="auto"/>
              <w:ind w:left="181"/>
            </w:pPr>
            <w:r>
              <w:rPr>
                <w:spacing w:val="-2"/>
              </w:rPr>
              <w:t>环境噪声</w:t>
            </w:r>
          </w:p>
        </w:tc>
        <w:tc>
          <w:tcPr>
            <w:tcW w:w="707" w:type="dxa"/>
            <w:vMerge w:val="restart"/>
            <w:tcBorders>
              <w:bottom w:val="nil"/>
            </w:tcBorders>
            <w:vAlign w:val="top"/>
          </w:tcPr>
          <w:p>
            <w:pPr>
              <w:spacing w:line="435"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47.1</w:t>
            </w:r>
          </w:p>
        </w:tc>
        <w:tc>
          <w:tcPr>
            <w:tcW w:w="688" w:type="dxa"/>
            <w:vMerge w:val="restart"/>
            <w:tcBorders>
              <w:bottom w:val="nil"/>
            </w:tcBorders>
            <w:vAlign w:val="top"/>
          </w:tcPr>
          <w:p>
            <w:pPr>
              <w:spacing w:line="435" w:lineRule="auto"/>
              <w:rPr>
                <w:rFonts w:ascii="Arial"/>
                <w:sz w:val="21"/>
              </w:rPr>
            </w:pPr>
          </w:p>
          <w:p>
            <w:pPr>
              <w:spacing w:before="61"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50.8</w:t>
            </w:r>
          </w:p>
        </w:tc>
        <w:tc>
          <w:tcPr>
            <w:tcW w:w="707" w:type="dxa"/>
            <w:vMerge w:val="restart"/>
            <w:tcBorders>
              <w:bottom w:val="nil"/>
            </w:tcBorders>
            <w:vAlign w:val="top"/>
          </w:tcPr>
          <w:p>
            <w:pPr>
              <w:spacing w:line="435" w:lineRule="auto"/>
              <w:rPr>
                <w:rFonts w:ascii="Arial"/>
                <w:sz w:val="21"/>
              </w:rPr>
            </w:pPr>
          </w:p>
          <w:p>
            <w:pPr>
              <w:spacing w:before="6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43.4</w:t>
            </w:r>
          </w:p>
        </w:tc>
        <w:tc>
          <w:tcPr>
            <w:tcW w:w="687" w:type="dxa"/>
            <w:vMerge w:val="restart"/>
            <w:tcBorders>
              <w:bottom w:val="nil"/>
            </w:tcBorders>
            <w:vAlign w:val="top"/>
          </w:tcPr>
          <w:p>
            <w:pPr>
              <w:spacing w:line="435"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36.6</w:t>
            </w:r>
          </w:p>
        </w:tc>
        <w:tc>
          <w:tcPr>
            <w:tcW w:w="707" w:type="dxa"/>
            <w:vMerge w:val="restart"/>
            <w:tcBorders>
              <w:bottom w:val="nil"/>
            </w:tcBorders>
            <w:vAlign w:val="top"/>
          </w:tcPr>
          <w:p>
            <w:pPr>
              <w:spacing w:line="435" w:lineRule="auto"/>
              <w:rPr>
                <w:rFonts w:ascii="Arial"/>
                <w:sz w:val="21"/>
              </w:rPr>
            </w:pPr>
          </w:p>
          <w:p>
            <w:pPr>
              <w:spacing w:before="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63.4</w:t>
            </w:r>
          </w:p>
        </w:tc>
        <w:tc>
          <w:tcPr>
            <w:tcW w:w="690" w:type="dxa"/>
            <w:vMerge w:val="restart"/>
            <w:tcBorders>
              <w:bottom w:val="nil"/>
            </w:tcBorders>
            <w:vAlign w:val="top"/>
          </w:tcPr>
          <w:p>
            <w:pPr>
              <w:spacing w:line="435"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32.2</w:t>
            </w:r>
          </w:p>
        </w:tc>
        <w:tc>
          <w:tcPr>
            <w:tcW w:w="650" w:type="dxa"/>
            <w:vMerge w:val="restart"/>
            <w:tcBorders>
              <w:bottom w:val="nil"/>
            </w:tcBorders>
            <w:vAlign w:val="top"/>
          </w:tcPr>
          <w:p>
            <w:pPr>
              <w:spacing w:line="435" w:lineRule="auto"/>
              <w:rPr>
                <w:rFonts w:ascii="Arial"/>
                <w:sz w:val="21"/>
              </w:rPr>
            </w:pPr>
          </w:p>
          <w:p>
            <w:pPr>
              <w:spacing w:before="61"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w:t>
            </w:r>
          </w:p>
        </w:tc>
        <w:tc>
          <w:tcPr>
            <w:tcW w:w="644" w:type="dxa"/>
            <w:vAlign w:val="top"/>
          </w:tcPr>
          <w:p>
            <w:pPr>
              <w:spacing w:before="229" w:line="186"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tc>
        <w:tc>
          <w:tcPr>
            <w:tcW w:w="647" w:type="dxa"/>
            <w:vAlign w:val="top"/>
          </w:tcPr>
          <w:p>
            <w:pPr>
              <w:spacing w:before="229"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29" w:line="186"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459" w:type="dxa"/>
            <w:tcBorders>
              <w:right w:val="single" w:color="000000" w:sz="10" w:space="0"/>
            </w:tcBorders>
            <w:vAlign w:val="top"/>
          </w:tcPr>
          <w:p>
            <w:pPr>
              <w:pStyle w:val="6"/>
              <w:spacing w:before="44" w:line="219"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33" w:line="183"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w:t>
            </w:r>
          </w:p>
        </w:tc>
        <w:tc>
          <w:tcPr>
            <w:tcW w:w="647" w:type="dxa"/>
            <w:vAlign w:val="top"/>
          </w:tcPr>
          <w:p>
            <w:pPr>
              <w:spacing w:before="233" w:line="183" w:lineRule="auto"/>
              <w:ind w:left="28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740" w:type="dxa"/>
            <w:vAlign w:val="top"/>
          </w:tcPr>
          <w:p>
            <w:pPr>
              <w:spacing w:before="233" w:line="183"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459" w:type="dxa"/>
            <w:tcBorders>
              <w:right w:val="single" w:color="000000" w:sz="10" w:space="0"/>
            </w:tcBorders>
            <w:vAlign w:val="top"/>
          </w:tcPr>
          <w:p>
            <w:pPr>
              <w:pStyle w:val="6"/>
              <w:spacing w:before="46" w:line="218"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94" w:lineRule="auto"/>
              <w:rPr>
                <w:rFonts w:ascii="Arial"/>
                <w:sz w:val="21"/>
              </w:rPr>
            </w:pPr>
          </w:p>
          <w:p>
            <w:pPr>
              <w:pStyle w:val="6"/>
              <w:spacing w:before="69"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41"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18:09~18:29</w:t>
            </w:r>
          </w:p>
        </w:tc>
        <w:tc>
          <w:tcPr>
            <w:tcW w:w="1200" w:type="dxa"/>
            <w:vMerge w:val="restart"/>
            <w:tcBorders>
              <w:bottom w:val="nil"/>
            </w:tcBorders>
            <w:vAlign w:val="top"/>
          </w:tcPr>
          <w:p>
            <w:pPr>
              <w:spacing w:line="395"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41"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688" w:type="dxa"/>
            <w:vMerge w:val="restart"/>
            <w:tcBorders>
              <w:bottom w:val="nil"/>
            </w:tcBorders>
            <w:vAlign w:val="top"/>
          </w:tcPr>
          <w:p>
            <w:pPr>
              <w:spacing w:line="441"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48.0</w:t>
            </w:r>
          </w:p>
        </w:tc>
        <w:tc>
          <w:tcPr>
            <w:tcW w:w="707" w:type="dxa"/>
            <w:vMerge w:val="restart"/>
            <w:tcBorders>
              <w:bottom w:val="nil"/>
            </w:tcBorders>
            <w:vAlign w:val="top"/>
          </w:tcPr>
          <w:p>
            <w:pPr>
              <w:spacing w:line="441" w:lineRule="auto"/>
              <w:rPr>
                <w:rFonts w:ascii="Arial"/>
                <w:sz w:val="21"/>
              </w:rPr>
            </w:pPr>
          </w:p>
          <w:p>
            <w:pPr>
              <w:spacing w:before="6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41.2</w:t>
            </w:r>
          </w:p>
        </w:tc>
        <w:tc>
          <w:tcPr>
            <w:tcW w:w="687" w:type="dxa"/>
            <w:vMerge w:val="restart"/>
            <w:tcBorders>
              <w:bottom w:val="nil"/>
            </w:tcBorders>
            <w:vAlign w:val="top"/>
          </w:tcPr>
          <w:p>
            <w:pPr>
              <w:spacing w:line="441" w:lineRule="auto"/>
              <w:rPr>
                <w:rFonts w:ascii="Arial"/>
                <w:sz w:val="21"/>
              </w:rPr>
            </w:pPr>
          </w:p>
          <w:p>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33.8</w:t>
            </w:r>
          </w:p>
        </w:tc>
        <w:tc>
          <w:tcPr>
            <w:tcW w:w="707" w:type="dxa"/>
            <w:vMerge w:val="restart"/>
            <w:tcBorders>
              <w:bottom w:val="nil"/>
            </w:tcBorders>
            <w:vAlign w:val="top"/>
          </w:tcPr>
          <w:p>
            <w:pPr>
              <w:spacing w:line="441" w:lineRule="auto"/>
              <w:rPr>
                <w:rFonts w:ascii="Arial"/>
                <w:sz w:val="21"/>
              </w:rPr>
            </w:pPr>
          </w:p>
          <w:p>
            <w:pPr>
              <w:spacing w:before="6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63.6</w:t>
            </w:r>
          </w:p>
        </w:tc>
        <w:tc>
          <w:tcPr>
            <w:tcW w:w="690" w:type="dxa"/>
            <w:vMerge w:val="restart"/>
            <w:tcBorders>
              <w:bottom w:val="nil"/>
            </w:tcBorders>
            <w:vAlign w:val="top"/>
          </w:tcPr>
          <w:p>
            <w:pPr>
              <w:spacing w:line="441"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29.3</w:t>
            </w:r>
          </w:p>
        </w:tc>
        <w:tc>
          <w:tcPr>
            <w:tcW w:w="650" w:type="dxa"/>
            <w:vMerge w:val="restart"/>
            <w:tcBorders>
              <w:bottom w:val="nil"/>
            </w:tcBorders>
            <w:vAlign w:val="top"/>
          </w:tcPr>
          <w:p>
            <w:pPr>
              <w:spacing w:line="441" w:lineRule="auto"/>
              <w:rPr>
                <w:rFonts w:ascii="Arial"/>
                <w:sz w:val="21"/>
              </w:rPr>
            </w:pPr>
          </w:p>
          <w:p>
            <w:pPr>
              <w:spacing w:before="60"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w:t>
            </w:r>
          </w:p>
        </w:tc>
        <w:tc>
          <w:tcPr>
            <w:tcW w:w="644" w:type="dxa"/>
            <w:vAlign w:val="top"/>
          </w:tcPr>
          <w:p>
            <w:pPr>
              <w:spacing w:before="232" w:line="186"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tc>
        <w:tc>
          <w:tcPr>
            <w:tcW w:w="647" w:type="dxa"/>
            <w:vAlign w:val="top"/>
          </w:tcPr>
          <w:p>
            <w:pPr>
              <w:spacing w:before="233" w:line="186" w:lineRule="auto"/>
              <w:ind w:left="30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740" w:type="dxa"/>
            <w:vAlign w:val="top"/>
          </w:tcPr>
          <w:p>
            <w:pPr>
              <w:spacing w:before="232" w:line="186"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459" w:type="dxa"/>
            <w:tcBorders>
              <w:right w:val="single" w:color="000000" w:sz="10" w:space="0"/>
            </w:tcBorders>
            <w:vAlign w:val="top"/>
          </w:tcPr>
          <w:p>
            <w:pPr>
              <w:pStyle w:val="6"/>
              <w:spacing w:before="49" w:line="218"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34" w:line="186"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w:t>
            </w:r>
          </w:p>
        </w:tc>
        <w:tc>
          <w:tcPr>
            <w:tcW w:w="647" w:type="dxa"/>
            <w:vAlign w:val="top"/>
          </w:tcPr>
          <w:p>
            <w:pPr>
              <w:spacing w:before="234" w:line="186"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tc>
        <w:tc>
          <w:tcPr>
            <w:tcW w:w="740" w:type="dxa"/>
            <w:vAlign w:val="top"/>
          </w:tcPr>
          <w:p>
            <w:pPr>
              <w:spacing w:before="234" w:line="186"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459" w:type="dxa"/>
            <w:tcBorders>
              <w:right w:val="single" w:color="000000" w:sz="10" w:space="0"/>
            </w:tcBorders>
            <w:vAlign w:val="top"/>
          </w:tcPr>
          <w:p>
            <w:pPr>
              <w:pStyle w:val="6"/>
              <w:spacing w:before="49" w:line="217"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98"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44"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19:09~19:29</w:t>
            </w:r>
          </w:p>
        </w:tc>
        <w:tc>
          <w:tcPr>
            <w:tcW w:w="1200" w:type="dxa"/>
            <w:vMerge w:val="restart"/>
            <w:tcBorders>
              <w:bottom w:val="nil"/>
            </w:tcBorders>
            <w:vAlign w:val="top"/>
          </w:tcPr>
          <w:p>
            <w:pPr>
              <w:spacing w:line="399"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44"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42.2</w:t>
            </w:r>
          </w:p>
        </w:tc>
        <w:tc>
          <w:tcPr>
            <w:tcW w:w="688" w:type="dxa"/>
            <w:vMerge w:val="restart"/>
            <w:tcBorders>
              <w:bottom w:val="nil"/>
            </w:tcBorders>
            <w:vAlign w:val="top"/>
          </w:tcPr>
          <w:p>
            <w:pPr>
              <w:spacing w:line="444" w:lineRule="auto"/>
              <w:rPr>
                <w:rFonts w:ascii="Arial"/>
                <w:sz w:val="21"/>
              </w:rPr>
            </w:pPr>
          </w:p>
          <w:p>
            <w:pPr>
              <w:spacing w:before="6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47.0</w:t>
            </w:r>
          </w:p>
        </w:tc>
        <w:tc>
          <w:tcPr>
            <w:tcW w:w="707" w:type="dxa"/>
            <w:vMerge w:val="restart"/>
            <w:tcBorders>
              <w:bottom w:val="nil"/>
            </w:tcBorders>
            <w:vAlign w:val="top"/>
          </w:tcPr>
          <w:p>
            <w:pPr>
              <w:spacing w:line="444" w:lineRule="auto"/>
              <w:rPr>
                <w:rFonts w:ascii="Arial"/>
                <w:sz w:val="21"/>
              </w:rPr>
            </w:pPr>
          </w:p>
          <w:p>
            <w:pPr>
              <w:spacing w:before="6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49.0</w:t>
            </w:r>
          </w:p>
        </w:tc>
        <w:tc>
          <w:tcPr>
            <w:tcW w:w="687" w:type="dxa"/>
            <w:vMerge w:val="restart"/>
            <w:tcBorders>
              <w:bottom w:val="nil"/>
            </w:tcBorders>
            <w:vAlign w:val="top"/>
          </w:tcPr>
          <w:p>
            <w:pPr>
              <w:spacing w:line="444"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707" w:type="dxa"/>
            <w:vMerge w:val="restart"/>
            <w:tcBorders>
              <w:bottom w:val="nil"/>
            </w:tcBorders>
            <w:vAlign w:val="top"/>
          </w:tcPr>
          <w:p>
            <w:pPr>
              <w:spacing w:line="444" w:lineRule="auto"/>
              <w:rPr>
                <w:rFonts w:ascii="Arial"/>
                <w:sz w:val="21"/>
              </w:rPr>
            </w:pPr>
          </w:p>
          <w:p>
            <w:pPr>
              <w:spacing w:before="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61.4</w:t>
            </w:r>
          </w:p>
        </w:tc>
        <w:tc>
          <w:tcPr>
            <w:tcW w:w="690" w:type="dxa"/>
            <w:vMerge w:val="restart"/>
            <w:tcBorders>
              <w:bottom w:val="nil"/>
            </w:tcBorders>
            <w:vAlign w:val="top"/>
          </w:tcPr>
          <w:p>
            <w:pPr>
              <w:spacing w:line="444"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30.4</w:t>
            </w:r>
          </w:p>
        </w:tc>
        <w:tc>
          <w:tcPr>
            <w:tcW w:w="650" w:type="dxa"/>
            <w:vMerge w:val="restart"/>
            <w:tcBorders>
              <w:bottom w:val="nil"/>
            </w:tcBorders>
            <w:vAlign w:val="top"/>
          </w:tcPr>
          <w:p>
            <w:pPr>
              <w:spacing w:line="444" w:lineRule="auto"/>
              <w:rPr>
                <w:rFonts w:ascii="Arial"/>
                <w:sz w:val="21"/>
              </w:rPr>
            </w:pPr>
          </w:p>
          <w:p>
            <w:pPr>
              <w:spacing w:before="61"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w:t>
            </w:r>
          </w:p>
        </w:tc>
        <w:tc>
          <w:tcPr>
            <w:tcW w:w="644" w:type="dxa"/>
            <w:vAlign w:val="top"/>
          </w:tcPr>
          <w:p>
            <w:pPr>
              <w:spacing w:before="236" w:line="186" w:lineRule="auto"/>
              <w:ind w:left="28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47" w:type="dxa"/>
            <w:vAlign w:val="top"/>
          </w:tcPr>
          <w:p>
            <w:pPr>
              <w:spacing w:before="236"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36" w:line="186"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459" w:type="dxa"/>
            <w:tcBorders>
              <w:right w:val="single" w:color="000000" w:sz="10" w:space="0"/>
            </w:tcBorders>
            <w:vAlign w:val="top"/>
          </w:tcPr>
          <w:p>
            <w:pPr>
              <w:pStyle w:val="6"/>
              <w:spacing w:before="52" w:line="215"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38" w:line="186"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w:t>
            </w:r>
          </w:p>
        </w:tc>
        <w:tc>
          <w:tcPr>
            <w:tcW w:w="647" w:type="dxa"/>
            <w:vAlign w:val="top"/>
          </w:tcPr>
          <w:p>
            <w:pPr>
              <w:spacing w:before="238" w:line="186" w:lineRule="auto"/>
              <w:ind w:left="30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740" w:type="dxa"/>
            <w:vAlign w:val="top"/>
          </w:tcPr>
          <w:p>
            <w:pPr>
              <w:spacing w:before="238" w:line="186" w:lineRule="auto"/>
              <w:ind w:left="30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tc>
        <w:tc>
          <w:tcPr>
            <w:tcW w:w="1459" w:type="dxa"/>
            <w:tcBorders>
              <w:right w:val="single" w:color="000000" w:sz="10" w:space="0"/>
            </w:tcBorders>
            <w:vAlign w:val="top"/>
          </w:tcPr>
          <w:p>
            <w:pPr>
              <w:pStyle w:val="6"/>
              <w:spacing w:before="53" w:line="216"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04" w:type="dxa"/>
            <w:vMerge w:val="continue"/>
            <w:tcBorders>
              <w:top w:val="nil"/>
              <w:left w:val="single" w:color="000000" w:sz="10" w:space="0"/>
              <w:bottom w:val="single" w:color="000000" w:sz="10" w:space="0"/>
            </w:tcBorders>
            <w:textDirection w:val="tbRlV"/>
            <w:vAlign w:val="top"/>
          </w:tcPr>
          <w:p>
            <w:pPr>
              <w:rPr>
                <w:rFonts w:ascii="Arial"/>
                <w:sz w:val="21"/>
              </w:rPr>
            </w:pPr>
          </w:p>
        </w:tc>
        <w:tc>
          <w:tcPr>
            <w:tcW w:w="951" w:type="dxa"/>
            <w:vMerge w:val="continue"/>
            <w:tcBorders>
              <w:top w:val="nil"/>
              <w:bottom w:val="single" w:color="000000" w:sz="10" w:space="0"/>
            </w:tcBorders>
            <w:vAlign w:val="top"/>
          </w:tcPr>
          <w:p>
            <w:pPr>
              <w:rPr>
                <w:rFonts w:ascii="Arial"/>
                <w:sz w:val="21"/>
              </w:rPr>
            </w:pPr>
          </w:p>
        </w:tc>
        <w:tc>
          <w:tcPr>
            <w:tcW w:w="1905" w:type="dxa"/>
            <w:tcBorders>
              <w:bottom w:val="single" w:color="000000" w:sz="10" w:space="0"/>
            </w:tcBorders>
            <w:vAlign w:val="top"/>
          </w:tcPr>
          <w:p>
            <w:pPr>
              <w:pStyle w:val="6"/>
              <w:spacing w:before="191"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tcBorders>
              <w:bottom w:val="single" w:color="000000" w:sz="10" w:space="0"/>
            </w:tcBorders>
            <w:vAlign w:val="top"/>
          </w:tcPr>
          <w:p>
            <w:pPr>
              <w:spacing w:before="230"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20:09~20:29</w:t>
            </w:r>
          </w:p>
        </w:tc>
        <w:tc>
          <w:tcPr>
            <w:tcW w:w="1200" w:type="dxa"/>
            <w:tcBorders>
              <w:bottom w:val="single" w:color="000000" w:sz="10" w:space="0"/>
            </w:tcBorders>
            <w:vAlign w:val="top"/>
          </w:tcPr>
          <w:p>
            <w:pPr>
              <w:pStyle w:val="6"/>
              <w:spacing w:before="192" w:line="221" w:lineRule="auto"/>
              <w:ind w:left="181"/>
            </w:pPr>
            <w:r>
              <w:rPr>
                <w:spacing w:val="-2"/>
              </w:rPr>
              <w:t>环境噪声</w:t>
            </w:r>
          </w:p>
        </w:tc>
        <w:tc>
          <w:tcPr>
            <w:tcW w:w="707" w:type="dxa"/>
            <w:tcBorders>
              <w:bottom w:val="single" w:color="000000" w:sz="10" w:space="0"/>
            </w:tcBorders>
            <w:vAlign w:val="top"/>
          </w:tcPr>
          <w:p>
            <w:pPr>
              <w:spacing w:before="23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688" w:type="dxa"/>
            <w:tcBorders>
              <w:bottom w:val="single" w:color="000000" w:sz="10" w:space="0"/>
            </w:tcBorders>
            <w:vAlign w:val="top"/>
          </w:tcPr>
          <w:p>
            <w:pPr>
              <w:spacing w:before="23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51.8</w:t>
            </w:r>
          </w:p>
        </w:tc>
        <w:tc>
          <w:tcPr>
            <w:tcW w:w="707" w:type="dxa"/>
            <w:tcBorders>
              <w:bottom w:val="single" w:color="000000" w:sz="10" w:space="0"/>
            </w:tcBorders>
            <w:vAlign w:val="top"/>
          </w:tcPr>
          <w:p>
            <w:pPr>
              <w:spacing w:before="23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43.0</w:t>
            </w:r>
          </w:p>
        </w:tc>
        <w:tc>
          <w:tcPr>
            <w:tcW w:w="687" w:type="dxa"/>
            <w:tcBorders>
              <w:bottom w:val="single" w:color="000000" w:sz="10" w:space="0"/>
            </w:tcBorders>
            <w:vAlign w:val="top"/>
          </w:tcPr>
          <w:p>
            <w:pPr>
              <w:spacing w:before="23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33.2</w:t>
            </w:r>
          </w:p>
        </w:tc>
        <w:tc>
          <w:tcPr>
            <w:tcW w:w="707" w:type="dxa"/>
            <w:tcBorders>
              <w:bottom w:val="single" w:color="000000" w:sz="10" w:space="0"/>
            </w:tcBorders>
            <w:vAlign w:val="top"/>
          </w:tcPr>
          <w:p>
            <w:pPr>
              <w:spacing w:before="23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65.3</w:t>
            </w:r>
          </w:p>
        </w:tc>
        <w:tc>
          <w:tcPr>
            <w:tcW w:w="690" w:type="dxa"/>
            <w:tcBorders>
              <w:bottom w:val="single" w:color="000000" w:sz="10" w:space="0"/>
            </w:tcBorders>
            <w:vAlign w:val="top"/>
          </w:tcPr>
          <w:p>
            <w:pPr>
              <w:spacing w:before="23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29.6</w:t>
            </w:r>
          </w:p>
        </w:tc>
        <w:tc>
          <w:tcPr>
            <w:tcW w:w="650" w:type="dxa"/>
            <w:tcBorders>
              <w:bottom w:val="single" w:color="000000" w:sz="10" w:space="0"/>
            </w:tcBorders>
            <w:vAlign w:val="top"/>
          </w:tcPr>
          <w:p>
            <w:pPr>
              <w:spacing w:before="23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w:t>
            </w:r>
          </w:p>
        </w:tc>
        <w:tc>
          <w:tcPr>
            <w:tcW w:w="644" w:type="dxa"/>
            <w:tcBorders>
              <w:bottom w:val="single" w:color="000000" w:sz="10" w:space="0"/>
            </w:tcBorders>
            <w:vAlign w:val="top"/>
          </w:tcPr>
          <w:p>
            <w:pPr>
              <w:spacing w:before="242" w:line="183" w:lineRule="auto"/>
              <w:ind w:left="29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47" w:type="dxa"/>
            <w:tcBorders>
              <w:bottom w:val="single" w:color="000000" w:sz="10" w:space="0"/>
            </w:tcBorders>
            <w:vAlign w:val="top"/>
          </w:tcPr>
          <w:p>
            <w:pPr>
              <w:spacing w:before="240"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tcBorders>
              <w:bottom w:val="single" w:color="000000" w:sz="10" w:space="0"/>
            </w:tcBorders>
            <w:vAlign w:val="top"/>
          </w:tcPr>
          <w:p>
            <w:pPr>
              <w:spacing w:before="240" w:line="186"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459" w:type="dxa"/>
            <w:tcBorders>
              <w:bottom w:val="single" w:color="000000" w:sz="10" w:space="0"/>
              <w:right w:val="single" w:color="000000" w:sz="10" w:space="0"/>
            </w:tcBorders>
            <w:vAlign w:val="top"/>
          </w:tcPr>
          <w:p>
            <w:pPr>
              <w:pStyle w:val="6"/>
              <w:spacing w:before="56" w:line="223"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bl>
    <w:p>
      <w:pPr>
        <w:pStyle w:val="2"/>
      </w:pPr>
    </w:p>
    <w:p>
      <w:pPr>
        <w:sectPr>
          <w:footerReference r:id="rId204" w:type="default"/>
          <w:pgSz w:w="16839" w:h="11907"/>
          <w:pgMar w:top="1260" w:right="1281" w:bottom="1151" w:left="1283" w:header="1019" w:footer="990" w:gutter="0"/>
          <w:cols w:space="720" w:num="1"/>
        </w:sectPr>
      </w:pPr>
    </w:p>
    <w:p>
      <w:pPr>
        <w:spacing w:line="155" w:lineRule="exact"/>
      </w:pPr>
    </w:p>
    <w:tbl>
      <w:tblPr>
        <w:tblStyle w:val="5"/>
        <w:tblW w:w="142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951"/>
        <w:gridCol w:w="1905"/>
        <w:gridCol w:w="1361"/>
        <w:gridCol w:w="1200"/>
        <w:gridCol w:w="707"/>
        <w:gridCol w:w="688"/>
        <w:gridCol w:w="707"/>
        <w:gridCol w:w="687"/>
        <w:gridCol w:w="707"/>
        <w:gridCol w:w="690"/>
        <w:gridCol w:w="650"/>
        <w:gridCol w:w="644"/>
        <w:gridCol w:w="647"/>
        <w:gridCol w:w="740"/>
        <w:gridCol w:w="1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04" w:type="dxa"/>
            <w:vMerge w:val="restart"/>
            <w:tcBorders>
              <w:top w:val="single" w:color="000000" w:sz="10" w:space="0"/>
              <w:left w:val="single" w:color="000000" w:sz="10" w:space="0"/>
              <w:bottom w:val="nil"/>
            </w:tcBorders>
            <w:textDirection w:val="tbRlV"/>
            <w:vAlign w:val="top"/>
          </w:tcPr>
          <w:p>
            <w:pPr>
              <w:pStyle w:val="6"/>
              <w:spacing w:before="144" w:line="211" w:lineRule="auto"/>
              <w:ind w:left="374"/>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951" w:type="dxa"/>
            <w:vMerge w:val="restart"/>
            <w:tcBorders>
              <w:top w:val="single" w:color="000000" w:sz="10" w:space="0"/>
              <w:bottom w:val="nil"/>
            </w:tcBorders>
            <w:vAlign w:val="top"/>
          </w:tcPr>
          <w:p>
            <w:pPr>
              <w:spacing w:line="304" w:lineRule="auto"/>
              <w:rPr>
                <w:rFonts w:ascii="Arial"/>
                <w:sz w:val="21"/>
              </w:rPr>
            </w:pPr>
          </w:p>
          <w:p>
            <w:pPr>
              <w:pStyle w:val="6"/>
              <w:spacing w:before="69" w:line="231" w:lineRule="auto"/>
              <w:ind w:left="367" w:right="170" w:hanging="199"/>
            </w:pPr>
            <w:r>
              <w:rPr>
                <w:spacing w:val="-8"/>
                <w14:textOutline w14:w="3831" w14:cap="flat" w14:cmpd="sng">
                  <w14:solidFill>
                    <w14:srgbClr w14:val="000000"/>
                  </w14:solidFill>
                  <w14:prstDash w14:val="solid"/>
                  <w14:miter w14:val="0"/>
                </w14:textOutline>
              </w:rPr>
              <w:t>检测点</w:t>
            </w:r>
            <w:r>
              <w:t xml:space="preserve"> </w:t>
            </w:r>
            <w:r>
              <w:rPr>
                <w14:textOutline w14:w="3831" w14:cap="flat" w14:cmpd="sng">
                  <w14:solidFill>
                    <w14:srgbClr w14:val="000000"/>
                  </w14:solidFill>
                  <w14:prstDash w14:val="solid"/>
                  <w14:miter w14:val="0"/>
                </w14:textOutline>
              </w:rPr>
              <w:t>位</w:t>
            </w:r>
          </w:p>
        </w:tc>
        <w:tc>
          <w:tcPr>
            <w:tcW w:w="3266" w:type="dxa"/>
            <w:gridSpan w:val="2"/>
            <w:vMerge w:val="restart"/>
            <w:tcBorders>
              <w:top w:val="single" w:color="000000" w:sz="10" w:space="0"/>
              <w:bottom w:val="nil"/>
            </w:tcBorders>
            <w:vAlign w:val="top"/>
          </w:tcPr>
          <w:p>
            <w:pPr>
              <w:spacing w:line="439" w:lineRule="auto"/>
              <w:rPr>
                <w:rFonts w:ascii="Arial"/>
                <w:sz w:val="21"/>
              </w:rPr>
            </w:pPr>
            <w:r>
              <w:pict>
                <v:rect id="_x0000_s1032" o:spid="_x0000_s1032" o:spt="1" style="position:absolute;left:0pt;margin-left:94.7pt;margin-top:62.75pt;height:28pt;width:0.5pt;mso-position-horizontal-relative:page;mso-position-vertical-relative:page;z-index:251710464;mso-width-relative:page;mso-height-relative:page;" fillcolor="#000000" filled="t" stroked="f" coordsize="21600,21600">
                  <v:path/>
                  <v:fill on="t" focussize="0,0"/>
                  <v:stroke on="f"/>
                  <v:imagedata o:title=""/>
                  <o:lock v:ext="edit"/>
                </v:rect>
              </w:pict>
            </w:r>
          </w:p>
          <w:p>
            <w:pPr>
              <w:pStyle w:val="6"/>
              <w:spacing w:before="68" w:line="221" w:lineRule="auto"/>
              <w:ind w:left="1209"/>
            </w:pPr>
            <w:r>
              <w:rPr>
                <w:spacing w:val="-1"/>
                <w14:textOutline w14:w="3831" w14:cap="flat" w14:cmpd="sng">
                  <w14:solidFill>
                    <w14:srgbClr w14:val="000000"/>
                  </w14:solidFill>
                  <w14:prstDash w14:val="solid"/>
                  <w14:miter w14:val="0"/>
                </w14:textOutline>
              </w:rPr>
              <w:t>检测时间</w:t>
            </w:r>
          </w:p>
        </w:tc>
        <w:tc>
          <w:tcPr>
            <w:tcW w:w="1200" w:type="dxa"/>
            <w:vMerge w:val="restart"/>
            <w:tcBorders>
              <w:top w:val="single" w:color="000000" w:sz="10" w:space="0"/>
              <w:bottom w:val="nil"/>
            </w:tcBorders>
            <w:vAlign w:val="top"/>
          </w:tcPr>
          <w:p>
            <w:pPr>
              <w:spacing w:line="440" w:lineRule="auto"/>
              <w:rPr>
                <w:rFonts w:ascii="Arial"/>
                <w:sz w:val="21"/>
              </w:rPr>
            </w:pPr>
          </w:p>
          <w:p>
            <w:pPr>
              <w:pStyle w:val="6"/>
              <w:spacing w:before="68" w:line="221" w:lineRule="auto"/>
              <w:ind w:left="202"/>
            </w:pPr>
            <w:r>
              <w:rPr>
                <w:spacing w:val="-7"/>
                <w14:textOutline w14:w="3831" w14:cap="flat" w14:cmpd="sng">
                  <w14:solidFill>
                    <w14:srgbClr w14:val="000000"/>
                  </w14:solidFill>
                  <w14:prstDash w14:val="solid"/>
                  <w14:miter w14:val="0"/>
                </w14:textOutline>
              </w:rPr>
              <w:t>主要声源</w:t>
            </w:r>
          </w:p>
        </w:tc>
        <w:tc>
          <w:tcPr>
            <w:tcW w:w="4836" w:type="dxa"/>
            <w:gridSpan w:val="7"/>
            <w:tcBorders>
              <w:top w:val="single" w:color="000000" w:sz="10" w:space="0"/>
            </w:tcBorders>
            <w:vAlign w:val="top"/>
          </w:tcPr>
          <w:p>
            <w:pPr>
              <w:pStyle w:val="6"/>
              <w:spacing w:before="184" w:line="221" w:lineRule="auto"/>
              <w:ind w:left="2022"/>
            </w:pPr>
            <w:r>
              <w:rPr>
                <w:spacing w:val="-7"/>
                <w14:textOutline w14:w="3831" w14:cap="flat" w14:cmpd="sng">
                  <w14:solidFill>
                    <w14:srgbClr w14:val="000000"/>
                  </w14:solidFill>
                  <w14:prstDash w14:val="solid"/>
                  <w14:miter w14:val="0"/>
                </w14:textOutline>
              </w:rPr>
              <w:t>检测结果</w:t>
            </w:r>
          </w:p>
        </w:tc>
        <w:tc>
          <w:tcPr>
            <w:tcW w:w="2031" w:type="dxa"/>
            <w:gridSpan w:val="3"/>
            <w:tcBorders>
              <w:top w:val="single" w:color="000000" w:sz="10" w:space="0"/>
            </w:tcBorders>
            <w:vAlign w:val="top"/>
          </w:tcPr>
          <w:p>
            <w:pPr>
              <w:pStyle w:val="6"/>
              <w:spacing w:before="48" w:line="238" w:lineRule="auto"/>
              <w:ind w:left="529"/>
            </w:pPr>
            <w:r>
              <w:rPr>
                <w:spacing w:val="-7"/>
                <w14:textOutline w14:w="3831" w14:cap="flat" w14:cmpd="sng">
                  <w14:solidFill>
                    <w14:srgbClr w14:val="000000"/>
                  </w14:solidFill>
                  <w14:prstDash w14:val="solid"/>
                  <w14:miter w14:val="0"/>
                </w14:textOutline>
              </w:rPr>
              <w:t>车流量情况</w:t>
            </w:r>
          </w:p>
          <w:p>
            <w:pPr>
              <w:pStyle w:val="6"/>
              <w:spacing w:line="218" w:lineRule="auto"/>
              <w:ind w:left="440"/>
            </w:pPr>
            <w:r>
              <w:rPr>
                <w:spacing w:val="-7"/>
                <w14:textOutline w14:w="3831" w14:cap="flat" w14:cmpd="sng">
                  <w14:solidFill>
                    <w14:srgbClr w14:val="000000"/>
                  </w14:solidFill>
                  <w14:prstDash w14:val="solid"/>
                  <w14:miter w14:val="0"/>
                </w14:textOutline>
              </w:rPr>
              <w:t>（辆</w:t>
            </w:r>
            <w:r>
              <w:rPr>
                <w:rFonts w:ascii="Times New Roman" w:hAnsi="Times New Roman" w:eastAsia="Times New Roman" w:cs="Times New Roman"/>
                <w:b/>
                <w:bCs/>
                <w:spacing w:val="-7"/>
              </w:rPr>
              <w:t>/20min</w:t>
            </w:r>
            <w:r>
              <w:rPr>
                <w:spacing w:val="-7"/>
                <w14:textOutline w14:w="3831" w14:cap="flat" w14:cmpd="sng">
                  <w14:solidFill>
                    <w14:srgbClr w14:val="000000"/>
                  </w14:solidFill>
                  <w14:prstDash w14:val="solid"/>
                  <w14:miter w14:val="0"/>
                </w14:textOutline>
              </w:rPr>
              <w:t>）</w:t>
            </w:r>
          </w:p>
        </w:tc>
        <w:tc>
          <w:tcPr>
            <w:tcW w:w="1459" w:type="dxa"/>
            <w:vMerge w:val="restart"/>
            <w:tcBorders>
              <w:top w:val="single" w:color="000000" w:sz="10" w:space="0"/>
              <w:bottom w:val="nil"/>
              <w:right w:val="single" w:color="000000" w:sz="10" w:space="0"/>
            </w:tcBorders>
            <w:vAlign w:val="top"/>
          </w:tcPr>
          <w:p>
            <w:pPr>
              <w:spacing w:line="440" w:lineRule="auto"/>
              <w:rPr>
                <w:rFonts w:ascii="Arial"/>
                <w:sz w:val="21"/>
              </w:rPr>
            </w:pPr>
          </w:p>
          <w:p>
            <w:pPr>
              <w:pStyle w:val="6"/>
              <w:spacing w:before="68" w:line="222" w:lineRule="auto"/>
              <w:ind w:left="541"/>
            </w:pPr>
            <w:r>
              <w:rPr>
                <w:spacing w:val="-5"/>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bottom w:val="nil"/>
            </w:tcBorders>
            <w:vAlign w:val="top"/>
          </w:tcPr>
          <w:p>
            <w:pPr>
              <w:rPr>
                <w:rFonts w:ascii="Arial"/>
                <w:sz w:val="21"/>
              </w:rPr>
            </w:pPr>
          </w:p>
        </w:tc>
        <w:tc>
          <w:tcPr>
            <w:tcW w:w="1200" w:type="dxa"/>
            <w:vMerge w:val="continue"/>
            <w:tcBorders>
              <w:top w:val="nil"/>
              <w:bottom w:val="nil"/>
            </w:tcBorders>
            <w:vAlign w:val="top"/>
          </w:tcPr>
          <w:p>
            <w:pPr>
              <w:rPr>
                <w:rFonts w:ascii="Arial"/>
                <w:sz w:val="21"/>
              </w:rPr>
            </w:pPr>
          </w:p>
        </w:tc>
        <w:tc>
          <w:tcPr>
            <w:tcW w:w="707" w:type="dxa"/>
            <w:vAlign w:val="top"/>
          </w:tcPr>
          <w:p>
            <w:pPr>
              <w:spacing w:before="260" w:line="195" w:lineRule="auto"/>
              <w:ind w:left="213"/>
              <w:rPr>
                <w:rFonts w:ascii="Times New Roman" w:hAnsi="Times New Roman" w:eastAsia="Times New Roman" w:cs="Times New Roman"/>
                <w:sz w:val="13"/>
                <w:szCs w:val="13"/>
              </w:rPr>
            </w:pPr>
            <w:r>
              <w:rPr>
                <w:rFonts w:ascii="Times New Roman" w:hAnsi="Times New Roman" w:eastAsia="Times New Roman" w:cs="Times New Roman"/>
                <w:b/>
                <w:bCs/>
                <w:spacing w:val="2"/>
                <w:position w:val="1"/>
                <w:sz w:val="21"/>
                <w:szCs w:val="21"/>
              </w:rPr>
              <w:t>L</w:t>
            </w:r>
            <w:r>
              <w:rPr>
                <w:rFonts w:ascii="Times New Roman" w:hAnsi="Times New Roman" w:eastAsia="Times New Roman" w:cs="Times New Roman"/>
                <w:b/>
                <w:bCs/>
                <w:spacing w:val="2"/>
                <w:sz w:val="13"/>
                <w:szCs w:val="13"/>
              </w:rPr>
              <w:t>eq</w:t>
            </w:r>
          </w:p>
        </w:tc>
        <w:tc>
          <w:tcPr>
            <w:tcW w:w="688" w:type="dxa"/>
            <w:vAlign w:val="top"/>
          </w:tcPr>
          <w:p>
            <w:pPr>
              <w:spacing w:before="260" w:line="203" w:lineRule="auto"/>
              <w:ind w:left="204"/>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10</w:t>
            </w:r>
          </w:p>
        </w:tc>
        <w:tc>
          <w:tcPr>
            <w:tcW w:w="707" w:type="dxa"/>
            <w:vAlign w:val="top"/>
          </w:tcPr>
          <w:p>
            <w:pPr>
              <w:spacing w:before="260" w:line="203" w:lineRule="auto"/>
              <w:ind w:left="215"/>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50</w:t>
            </w:r>
          </w:p>
        </w:tc>
        <w:tc>
          <w:tcPr>
            <w:tcW w:w="687" w:type="dxa"/>
            <w:vAlign w:val="top"/>
          </w:tcPr>
          <w:p>
            <w:pPr>
              <w:spacing w:before="260" w:line="203" w:lineRule="auto"/>
              <w:ind w:left="206"/>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90</w:t>
            </w:r>
          </w:p>
        </w:tc>
        <w:tc>
          <w:tcPr>
            <w:tcW w:w="707" w:type="dxa"/>
            <w:vAlign w:val="top"/>
          </w:tcPr>
          <w:p>
            <w:pPr>
              <w:spacing w:before="260" w:line="222" w:lineRule="auto"/>
              <w:ind w:left="160"/>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max</w:t>
            </w:r>
          </w:p>
        </w:tc>
        <w:tc>
          <w:tcPr>
            <w:tcW w:w="690" w:type="dxa"/>
            <w:vAlign w:val="top"/>
          </w:tcPr>
          <w:p>
            <w:pPr>
              <w:spacing w:before="260" w:line="223" w:lineRule="auto"/>
              <w:ind w:left="161"/>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min</w:t>
            </w:r>
          </w:p>
        </w:tc>
        <w:tc>
          <w:tcPr>
            <w:tcW w:w="650" w:type="dxa"/>
            <w:vAlign w:val="top"/>
          </w:tcPr>
          <w:p>
            <w:pPr>
              <w:spacing w:before="257" w:line="187" w:lineRule="auto"/>
              <w:ind w:left="200"/>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SD</w:t>
            </w:r>
          </w:p>
        </w:tc>
        <w:tc>
          <w:tcPr>
            <w:tcW w:w="644" w:type="dxa"/>
            <w:vAlign w:val="top"/>
          </w:tcPr>
          <w:p>
            <w:pPr>
              <w:pStyle w:val="6"/>
              <w:spacing w:before="82" w:line="229" w:lineRule="auto"/>
              <w:ind w:left="231" w:right="100" w:hanging="101"/>
            </w:pPr>
            <w:r>
              <w:rPr>
                <w:spacing w:val="-6"/>
                <w14:textOutline w14:w="3831" w14:cap="flat" w14:cmpd="sng">
                  <w14:solidFill>
                    <w14:srgbClr w14:val="000000"/>
                  </w14:solidFill>
                  <w14:prstDash w14:val="solid"/>
                  <w14:miter w14:val="0"/>
                </w14:textOutline>
              </w:rPr>
              <w:t>小型</w:t>
            </w:r>
            <w:r>
              <w:t xml:space="preserve"> </w:t>
            </w:r>
            <w:r>
              <w:rPr>
                <w14:textOutline w14:w="3831" w14:cap="flat" w14:cmpd="sng">
                  <w14:solidFill>
                    <w14:srgbClr w14:val="000000"/>
                  </w14:solidFill>
                  <w14:prstDash w14:val="solid"/>
                  <w14:miter w14:val="0"/>
                </w14:textOutline>
              </w:rPr>
              <w:t>车</w:t>
            </w:r>
          </w:p>
        </w:tc>
        <w:tc>
          <w:tcPr>
            <w:tcW w:w="647" w:type="dxa"/>
            <w:vAlign w:val="top"/>
          </w:tcPr>
          <w:p>
            <w:pPr>
              <w:pStyle w:val="6"/>
              <w:spacing w:before="82" w:line="229" w:lineRule="auto"/>
              <w:ind w:left="230" w:right="103" w:hanging="87"/>
            </w:pPr>
            <w:r>
              <w:rPr>
                <w:spacing w:val="-13"/>
                <w14:textOutline w14:w="3831" w14:cap="flat" w14:cmpd="sng">
                  <w14:solidFill>
                    <w14:srgbClr w14:val="000000"/>
                  </w14:solidFill>
                  <w14:prstDash w14:val="solid"/>
                  <w14:miter w14:val="0"/>
                </w14:textOutline>
              </w:rPr>
              <w:t>中型</w:t>
            </w:r>
            <w:r>
              <w:t xml:space="preserve"> </w:t>
            </w:r>
            <w:r>
              <w:rPr>
                <w14:textOutline w14:w="3831" w14:cap="flat" w14:cmpd="sng">
                  <w14:solidFill>
                    <w14:srgbClr w14:val="000000"/>
                  </w14:solidFill>
                  <w14:prstDash w14:val="solid"/>
                  <w14:miter w14:val="0"/>
                </w14:textOutline>
              </w:rPr>
              <w:t>车</w:t>
            </w:r>
          </w:p>
        </w:tc>
        <w:tc>
          <w:tcPr>
            <w:tcW w:w="740" w:type="dxa"/>
            <w:vAlign w:val="top"/>
          </w:tcPr>
          <w:p>
            <w:pPr>
              <w:pStyle w:val="6"/>
              <w:spacing w:before="82" w:line="238" w:lineRule="auto"/>
              <w:ind w:left="172"/>
            </w:pPr>
            <w:r>
              <w:rPr>
                <w:spacing w:val="-3"/>
                <w14:textOutline w14:w="3831" w14:cap="flat" w14:cmpd="sng">
                  <w14:solidFill>
                    <w14:srgbClr w14:val="000000"/>
                  </w14:solidFill>
                  <w14:prstDash w14:val="solid"/>
                  <w14:miter w14:val="0"/>
                </w14:textOutline>
              </w:rPr>
              <w:t>大型</w:t>
            </w:r>
          </w:p>
          <w:p>
            <w:pPr>
              <w:pStyle w:val="6"/>
              <w:spacing w:line="220" w:lineRule="auto"/>
              <w:ind w:left="277"/>
            </w:pPr>
            <w:r>
              <w:rPr>
                <w14:textOutline w14:w="3831" w14:cap="flat" w14:cmpd="sng">
                  <w14:solidFill>
                    <w14:srgbClr w14:val="000000"/>
                  </w14:solidFill>
                  <w14:prstDash w14:val="solid"/>
                  <w14:miter w14:val="0"/>
                </w14:textOutline>
              </w:rPr>
              <w:t>车</w:t>
            </w:r>
          </w:p>
        </w:tc>
        <w:tc>
          <w:tcPr>
            <w:tcW w:w="145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Align w:val="top"/>
          </w:tcPr>
          <w:p>
            <w:pPr>
              <w:rPr>
                <w:rFonts w:ascii="Arial"/>
                <w:sz w:val="21"/>
              </w:rPr>
            </w:pPr>
          </w:p>
        </w:tc>
        <w:tc>
          <w:tcPr>
            <w:tcW w:w="688" w:type="dxa"/>
            <w:vAlign w:val="top"/>
          </w:tcPr>
          <w:p>
            <w:pPr>
              <w:rPr>
                <w:rFonts w:ascii="Arial"/>
                <w:sz w:val="21"/>
              </w:rPr>
            </w:pPr>
          </w:p>
        </w:tc>
        <w:tc>
          <w:tcPr>
            <w:tcW w:w="707" w:type="dxa"/>
            <w:vAlign w:val="top"/>
          </w:tcPr>
          <w:p>
            <w:pPr>
              <w:rPr>
                <w:rFonts w:ascii="Arial"/>
                <w:sz w:val="21"/>
              </w:rPr>
            </w:pPr>
          </w:p>
        </w:tc>
        <w:tc>
          <w:tcPr>
            <w:tcW w:w="687" w:type="dxa"/>
            <w:vAlign w:val="top"/>
          </w:tcPr>
          <w:p>
            <w:pPr>
              <w:rPr>
                <w:rFonts w:ascii="Arial"/>
                <w:sz w:val="21"/>
              </w:rPr>
            </w:pPr>
          </w:p>
        </w:tc>
        <w:tc>
          <w:tcPr>
            <w:tcW w:w="707" w:type="dxa"/>
            <w:vAlign w:val="top"/>
          </w:tcPr>
          <w:p>
            <w:pPr>
              <w:rPr>
                <w:rFonts w:ascii="Arial"/>
                <w:sz w:val="21"/>
              </w:rPr>
            </w:pPr>
          </w:p>
        </w:tc>
        <w:tc>
          <w:tcPr>
            <w:tcW w:w="690" w:type="dxa"/>
            <w:vAlign w:val="top"/>
          </w:tcPr>
          <w:p>
            <w:pPr>
              <w:rPr>
                <w:rFonts w:ascii="Arial"/>
                <w:sz w:val="21"/>
              </w:rPr>
            </w:pPr>
          </w:p>
        </w:tc>
        <w:tc>
          <w:tcPr>
            <w:tcW w:w="650" w:type="dxa"/>
            <w:vAlign w:val="top"/>
          </w:tcPr>
          <w:p>
            <w:pPr>
              <w:rPr>
                <w:rFonts w:ascii="Arial"/>
                <w:sz w:val="21"/>
              </w:rPr>
            </w:pPr>
          </w:p>
        </w:tc>
        <w:tc>
          <w:tcPr>
            <w:tcW w:w="644" w:type="dxa"/>
            <w:vAlign w:val="top"/>
          </w:tcPr>
          <w:p>
            <w:pPr>
              <w:spacing w:before="220" w:line="186"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w:t>
            </w:r>
          </w:p>
        </w:tc>
        <w:tc>
          <w:tcPr>
            <w:tcW w:w="647" w:type="dxa"/>
            <w:vAlign w:val="top"/>
          </w:tcPr>
          <w:p>
            <w:pPr>
              <w:spacing w:before="220" w:line="186"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740" w:type="dxa"/>
            <w:vAlign w:val="top"/>
          </w:tcPr>
          <w:p>
            <w:pPr>
              <w:spacing w:before="220" w:line="186" w:lineRule="auto"/>
              <w:ind w:left="30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w:t>
            </w:r>
          </w:p>
        </w:tc>
        <w:tc>
          <w:tcPr>
            <w:tcW w:w="1459" w:type="dxa"/>
            <w:tcBorders>
              <w:right w:val="single" w:color="000000" w:sz="10" w:space="0"/>
            </w:tcBorders>
            <w:vAlign w:val="top"/>
          </w:tcPr>
          <w:p>
            <w:pPr>
              <w:pStyle w:val="6"/>
              <w:spacing w:before="35" w:line="223"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79"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26" w:lineRule="auto"/>
              <w:rPr>
                <w:rFonts w:ascii="Arial"/>
                <w:sz w:val="21"/>
              </w:rPr>
            </w:pPr>
          </w:p>
          <w:p>
            <w:pPr>
              <w:spacing w:before="60"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21:09~21:29</w:t>
            </w:r>
          </w:p>
        </w:tc>
        <w:tc>
          <w:tcPr>
            <w:tcW w:w="1200" w:type="dxa"/>
            <w:vMerge w:val="restart"/>
            <w:tcBorders>
              <w:bottom w:val="nil"/>
            </w:tcBorders>
            <w:vAlign w:val="top"/>
          </w:tcPr>
          <w:p>
            <w:pPr>
              <w:spacing w:line="380"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26"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w:t>
            </w:r>
          </w:p>
        </w:tc>
        <w:tc>
          <w:tcPr>
            <w:tcW w:w="688" w:type="dxa"/>
            <w:vMerge w:val="restart"/>
            <w:tcBorders>
              <w:bottom w:val="nil"/>
            </w:tcBorders>
            <w:vAlign w:val="top"/>
          </w:tcPr>
          <w:p>
            <w:pPr>
              <w:spacing w:line="426"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49.8</w:t>
            </w:r>
          </w:p>
        </w:tc>
        <w:tc>
          <w:tcPr>
            <w:tcW w:w="707" w:type="dxa"/>
            <w:vMerge w:val="restart"/>
            <w:tcBorders>
              <w:bottom w:val="nil"/>
            </w:tcBorders>
            <w:vAlign w:val="top"/>
          </w:tcPr>
          <w:p>
            <w:pPr>
              <w:spacing w:line="426" w:lineRule="auto"/>
              <w:rPr>
                <w:rFonts w:ascii="Arial"/>
                <w:sz w:val="21"/>
              </w:rPr>
            </w:pPr>
          </w:p>
          <w:p>
            <w:pPr>
              <w:spacing w:before="60"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687" w:type="dxa"/>
            <w:vMerge w:val="restart"/>
            <w:tcBorders>
              <w:bottom w:val="nil"/>
            </w:tcBorders>
            <w:vAlign w:val="top"/>
          </w:tcPr>
          <w:p>
            <w:pPr>
              <w:spacing w:line="426" w:lineRule="auto"/>
              <w:rPr>
                <w:rFonts w:ascii="Arial"/>
                <w:sz w:val="21"/>
              </w:rPr>
            </w:pPr>
          </w:p>
          <w:p>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30.6</w:t>
            </w:r>
          </w:p>
        </w:tc>
        <w:tc>
          <w:tcPr>
            <w:tcW w:w="707" w:type="dxa"/>
            <w:vMerge w:val="restart"/>
            <w:tcBorders>
              <w:bottom w:val="nil"/>
            </w:tcBorders>
            <w:vAlign w:val="top"/>
          </w:tcPr>
          <w:p>
            <w:pPr>
              <w:spacing w:line="426" w:lineRule="auto"/>
              <w:rPr>
                <w:rFonts w:ascii="Arial"/>
                <w:sz w:val="21"/>
              </w:rPr>
            </w:pPr>
          </w:p>
          <w:p>
            <w:pPr>
              <w:spacing w:before="6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67.2</w:t>
            </w:r>
          </w:p>
        </w:tc>
        <w:tc>
          <w:tcPr>
            <w:tcW w:w="690" w:type="dxa"/>
            <w:vMerge w:val="restart"/>
            <w:tcBorders>
              <w:bottom w:val="nil"/>
            </w:tcBorders>
            <w:vAlign w:val="top"/>
          </w:tcPr>
          <w:p>
            <w:pPr>
              <w:spacing w:line="426"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27.8</w:t>
            </w:r>
          </w:p>
        </w:tc>
        <w:tc>
          <w:tcPr>
            <w:tcW w:w="650" w:type="dxa"/>
            <w:vMerge w:val="restart"/>
            <w:tcBorders>
              <w:bottom w:val="nil"/>
            </w:tcBorders>
            <w:vAlign w:val="top"/>
          </w:tcPr>
          <w:p>
            <w:pPr>
              <w:spacing w:line="426" w:lineRule="auto"/>
              <w:rPr>
                <w:rFonts w:ascii="Arial"/>
                <w:sz w:val="21"/>
              </w:rPr>
            </w:pPr>
          </w:p>
          <w:p>
            <w:pPr>
              <w:spacing w:before="60"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w:t>
            </w:r>
          </w:p>
        </w:tc>
        <w:tc>
          <w:tcPr>
            <w:tcW w:w="644" w:type="dxa"/>
            <w:vAlign w:val="top"/>
          </w:tcPr>
          <w:p>
            <w:pPr>
              <w:spacing w:before="222" w:line="186" w:lineRule="auto"/>
              <w:ind w:left="289"/>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647" w:type="dxa"/>
            <w:vAlign w:val="top"/>
          </w:tcPr>
          <w:p>
            <w:pPr>
              <w:spacing w:before="222"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22" w:line="186"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459" w:type="dxa"/>
            <w:tcBorders>
              <w:right w:val="single" w:color="000000" w:sz="10" w:space="0"/>
            </w:tcBorders>
            <w:vAlign w:val="top"/>
          </w:tcPr>
          <w:p>
            <w:pPr>
              <w:pStyle w:val="6"/>
              <w:spacing w:before="37" w:line="222"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1" w:line="186"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w:t>
            </w:r>
          </w:p>
        </w:tc>
        <w:tc>
          <w:tcPr>
            <w:tcW w:w="647" w:type="dxa"/>
            <w:vAlign w:val="top"/>
          </w:tcPr>
          <w:p>
            <w:pPr>
              <w:spacing w:before="223" w:line="183" w:lineRule="auto"/>
              <w:ind w:left="28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740" w:type="dxa"/>
            <w:vAlign w:val="top"/>
          </w:tcPr>
          <w:p>
            <w:pPr>
              <w:spacing w:before="221" w:line="186"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459" w:type="dxa"/>
            <w:tcBorders>
              <w:right w:val="single" w:color="000000" w:sz="10" w:space="0"/>
            </w:tcBorders>
            <w:vAlign w:val="top"/>
          </w:tcPr>
          <w:p>
            <w:pPr>
              <w:pStyle w:val="6"/>
              <w:spacing w:before="37" w:line="220"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86" w:lineRule="auto"/>
              <w:rPr>
                <w:rFonts w:ascii="Arial"/>
                <w:sz w:val="21"/>
              </w:rPr>
            </w:pPr>
          </w:p>
          <w:p>
            <w:pPr>
              <w:pStyle w:val="6"/>
              <w:spacing w:before="69"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33" w:lineRule="auto"/>
              <w:rPr>
                <w:rFonts w:ascii="Arial"/>
                <w:sz w:val="21"/>
              </w:rPr>
            </w:pPr>
          </w:p>
          <w:p>
            <w:pPr>
              <w:spacing w:before="60"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22:09~22:29</w:t>
            </w:r>
          </w:p>
        </w:tc>
        <w:tc>
          <w:tcPr>
            <w:tcW w:w="1200" w:type="dxa"/>
            <w:vMerge w:val="restart"/>
            <w:tcBorders>
              <w:bottom w:val="nil"/>
            </w:tcBorders>
            <w:vAlign w:val="top"/>
          </w:tcPr>
          <w:p>
            <w:pPr>
              <w:spacing w:line="387"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33"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39.7</w:t>
            </w:r>
          </w:p>
        </w:tc>
        <w:tc>
          <w:tcPr>
            <w:tcW w:w="688" w:type="dxa"/>
            <w:vMerge w:val="restart"/>
            <w:tcBorders>
              <w:bottom w:val="nil"/>
            </w:tcBorders>
            <w:vAlign w:val="top"/>
          </w:tcPr>
          <w:p>
            <w:pPr>
              <w:spacing w:line="433"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43.6</w:t>
            </w:r>
          </w:p>
        </w:tc>
        <w:tc>
          <w:tcPr>
            <w:tcW w:w="707" w:type="dxa"/>
            <w:vMerge w:val="restart"/>
            <w:tcBorders>
              <w:bottom w:val="nil"/>
            </w:tcBorders>
            <w:vAlign w:val="top"/>
          </w:tcPr>
          <w:p>
            <w:pPr>
              <w:spacing w:line="433" w:lineRule="auto"/>
              <w:rPr>
                <w:rFonts w:ascii="Arial"/>
                <w:sz w:val="21"/>
              </w:rPr>
            </w:pPr>
          </w:p>
          <w:p>
            <w:pPr>
              <w:spacing w:before="60"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32.2</w:t>
            </w:r>
          </w:p>
        </w:tc>
        <w:tc>
          <w:tcPr>
            <w:tcW w:w="687" w:type="dxa"/>
            <w:vMerge w:val="restart"/>
            <w:tcBorders>
              <w:bottom w:val="nil"/>
            </w:tcBorders>
            <w:vAlign w:val="top"/>
          </w:tcPr>
          <w:p>
            <w:pPr>
              <w:spacing w:line="433" w:lineRule="auto"/>
              <w:rPr>
                <w:rFonts w:ascii="Arial"/>
                <w:sz w:val="21"/>
              </w:rPr>
            </w:pPr>
          </w:p>
          <w:p>
            <w:pPr>
              <w:spacing w:before="60"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29.6</w:t>
            </w:r>
          </w:p>
        </w:tc>
        <w:tc>
          <w:tcPr>
            <w:tcW w:w="707" w:type="dxa"/>
            <w:vMerge w:val="restart"/>
            <w:tcBorders>
              <w:bottom w:val="nil"/>
            </w:tcBorders>
            <w:vAlign w:val="top"/>
          </w:tcPr>
          <w:p>
            <w:pPr>
              <w:spacing w:line="433"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53.3</w:t>
            </w:r>
          </w:p>
        </w:tc>
        <w:tc>
          <w:tcPr>
            <w:tcW w:w="690" w:type="dxa"/>
            <w:vMerge w:val="restart"/>
            <w:tcBorders>
              <w:bottom w:val="nil"/>
            </w:tcBorders>
            <w:vAlign w:val="top"/>
          </w:tcPr>
          <w:p>
            <w:pPr>
              <w:spacing w:line="433"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27.4</w:t>
            </w:r>
          </w:p>
        </w:tc>
        <w:tc>
          <w:tcPr>
            <w:tcW w:w="650" w:type="dxa"/>
            <w:vMerge w:val="restart"/>
            <w:tcBorders>
              <w:bottom w:val="nil"/>
            </w:tcBorders>
            <w:vAlign w:val="top"/>
          </w:tcPr>
          <w:p>
            <w:pPr>
              <w:spacing w:line="436" w:lineRule="auto"/>
              <w:rPr>
                <w:rFonts w:ascii="Arial"/>
                <w:sz w:val="21"/>
              </w:rPr>
            </w:pPr>
          </w:p>
          <w:p>
            <w:pPr>
              <w:spacing w:before="60" w:line="184"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644" w:type="dxa"/>
            <w:vAlign w:val="top"/>
          </w:tcPr>
          <w:p>
            <w:pPr>
              <w:spacing w:before="227" w:line="186" w:lineRule="auto"/>
              <w:ind w:left="28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647" w:type="dxa"/>
            <w:vAlign w:val="top"/>
          </w:tcPr>
          <w:p>
            <w:pPr>
              <w:spacing w:before="227"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27" w:line="186"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459" w:type="dxa"/>
            <w:tcBorders>
              <w:right w:val="single" w:color="000000" w:sz="10" w:space="0"/>
            </w:tcBorders>
            <w:vAlign w:val="top"/>
          </w:tcPr>
          <w:p>
            <w:pPr>
              <w:pStyle w:val="6"/>
              <w:spacing w:before="42" w:line="221"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6" w:line="186"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w:t>
            </w:r>
          </w:p>
        </w:tc>
        <w:tc>
          <w:tcPr>
            <w:tcW w:w="647" w:type="dxa"/>
            <w:vAlign w:val="top"/>
          </w:tcPr>
          <w:p>
            <w:pPr>
              <w:spacing w:before="229" w:line="183" w:lineRule="auto"/>
              <w:ind w:left="28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740" w:type="dxa"/>
            <w:vAlign w:val="top"/>
          </w:tcPr>
          <w:p>
            <w:pPr>
              <w:spacing w:before="226" w:line="186" w:lineRule="auto"/>
              <w:ind w:left="30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tc>
        <w:tc>
          <w:tcPr>
            <w:tcW w:w="1459" w:type="dxa"/>
            <w:tcBorders>
              <w:right w:val="single" w:color="000000" w:sz="10" w:space="0"/>
            </w:tcBorders>
            <w:vAlign w:val="top"/>
          </w:tcPr>
          <w:p>
            <w:pPr>
              <w:pStyle w:val="6"/>
              <w:spacing w:before="42" w:line="220"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90"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36" w:lineRule="auto"/>
              <w:rPr>
                <w:rFonts w:ascii="Arial"/>
                <w:sz w:val="21"/>
              </w:rPr>
            </w:pPr>
          </w:p>
          <w:p>
            <w:pPr>
              <w:spacing w:before="61"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23:09~23:29</w:t>
            </w:r>
          </w:p>
        </w:tc>
        <w:tc>
          <w:tcPr>
            <w:tcW w:w="1200" w:type="dxa"/>
            <w:vMerge w:val="restart"/>
            <w:tcBorders>
              <w:bottom w:val="nil"/>
            </w:tcBorders>
            <w:vAlign w:val="top"/>
          </w:tcPr>
          <w:p>
            <w:pPr>
              <w:spacing w:line="390" w:lineRule="auto"/>
              <w:rPr>
                <w:rFonts w:ascii="Arial"/>
                <w:sz w:val="21"/>
              </w:rPr>
            </w:pPr>
          </w:p>
          <w:p>
            <w:pPr>
              <w:pStyle w:val="6"/>
              <w:spacing w:before="69" w:line="221" w:lineRule="auto"/>
              <w:ind w:left="181"/>
            </w:pPr>
            <w:r>
              <w:rPr>
                <w:spacing w:val="-2"/>
              </w:rPr>
              <w:t>环境噪声</w:t>
            </w:r>
          </w:p>
        </w:tc>
        <w:tc>
          <w:tcPr>
            <w:tcW w:w="707" w:type="dxa"/>
            <w:vMerge w:val="restart"/>
            <w:tcBorders>
              <w:bottom w:val="nil"/>
            </w:tcBorders>
            <w:vAlign w:val="top"/>
          </w:tcPr>
          <w:p>
            <w:pPr>
              <w:spacing w:line="436"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40.7</w:t>
            </w:r>
          </w:p>
        </w:tc>
        <w:tc>
          <w:tcPr>
            <w:tcW w:w="688" w:type="dxa"/>
            <w:vMerge w:val="restart"/>
            <w:tcBorders>
              <w:bottom w:val="nil"/>
            </w:tcBorders>
            <w:vAlign w:val="top"/>
          </w:tcPr>
          <w:p>
            <w:pPr>
              <w:spacing w:line="436" w:lineRule="auto"/>
              <w:rPr>
                <w:rFonts w:ascii="Arial"/>
                <w:sz w:val="21"/>
              </w:rPr>
            </w:pPr>
          </w:p>
          <w:p>
            <w:pPr>
              <w:spacing w:before="6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43.2</w:t>
            </w:r>
          </w:p>
        </w:tc>
        <w:tc>
          <w:tcPr>
            <w:tcW w:w="707" w:type="dxa"/>
            <w:vMerge w:val="restart"/>
            <w:tcBorders>
              <w:bottom w:val="nil"/>
            </w:tcBorders>
            <w:vAlign w:val="top"/>
          </w:tcPr>
          <w:p>
            <w:pPr>
              <w:spacing w:line="436" w:lineRule="auto"/>
              <w:rPr>
                <w:rFonts w:ascii="Arial"/>
                <w:sz w:val="21"/>
              </w:rPr>
            </w:pPr>
          </w:p>
          <w:p>
            <w:pPr>
              <w:spacing w:before="61"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30.8</w:t>
            </w:r>
          </w:p>
        </w:tc>
        <w:tc>
          <w:tcPr>
            <w:tcW w:w="687" w:type="dxa"/>
            <w:vMerge w:val="restart"/>
            <w:tcBorders>
              <w:bottom w:val="nil"/>
            </w:tcBorders>
            <w:vAlign w:val="top"/>
          </w:tcPr>
          <w:p>
            <w:pPr>
              <w:spacing w:line="436" w:lineRule="auto"/>
              <w:rPr>
                <w:rFonts w:ascii="Arial"/>
                <w:sz w:val="21"/>
              </w:rPr>
            </w:pPr>
          </w:p>
          <w:p>
            <w:pPr>
              <w:spacing w:before="61"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28.6</w:t>
            </w:r>
          </w:p>
        </w:tc>
        <w:tc>
          <w:tcPr>
            <w:tcW w:w="707" w:type="dxa"/>
            <w:vMerge w:val="restart"/>
            <w:tcBorders>
              <w:bottom w:val="nil"/>
            </w:tcBorders>
            <w:vAlign w:val="top"/>
          </w:tcPr>
          <w:p>
            <w:pPr>
              <w:spacing w:line="436" w:lineRule="auto"/>
              <w:rPr>
                <w:rFonts w:ascii="Arial"/>
                <w:sz w:val="21"/>
              </w:rPr>
            </w:pPr>
          </w:p>
          <w:p>
            <w:pPr>
              <w:spacing w:before="6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55.8</w:t>
            </w:r>
          </w:p>
        </w:tc>
        <w:tc>
          <w:tcPr>
            <w:tcW w:w="690" w:type="dxa"/>
            <w:vMerge w:val="restart"/>
            <w:tcBorders>
              <w:bottom w:val="nil"/>
            </w:tcBorders>
            <w:vAlign w:val="top"/>
          </w:tcPr>
          <w:p>
            <w:pPr>
              <w:spacing w:line="436"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27.3</w:t>
            </w:r>
          </w:p>
        </w:tc>
        <w:tc>
          <w:tcPr>
            <w:tcW w:w="650" w:type="dxa"/>
            <w:vMerge w:val="restart"/>
            <w:tcBorders>
              <w:bottom w:val="nil"/>
            </w:tcBorders>
            <w:vAlign w:val="top"/>
          </w:tcPr>
          <w:p>
            <w:pPr>
              <w:spacing w:line="436" w:lineRule="auto"/>
              <w:rPr>
                <w:rFonts w:ascii="Arial"/>
                <w:sz w:val="21"/>
              </w:rPr>
            </w:pPr>
          </w:p>
          <w:p>
            <w:pPr>
              <w:spacing w:before="61"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644" w:type="dxa"/>
            <w:vAlign w:val="top"/>
          </w:tcPr>
          <w:p>
            <w:pPr>
              <w:spacing w:before="227" w:line="186" w:lineRule="auto"/>
              <w:ind w:left="28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47" w:type="dxa"/>
            <w:vAlign w:val="top"/>
          </w:tcPr>
          <w:p>
            <w:pPr>
              <w:spacing w:before="227"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27" w:line="186"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459" w:type="dxa"/>
            <w:tcBorders>
              <w:right w:val="single" w:color="000000" w:sz="10" w:space="0"/>
            </w:tcBorders>
            <w:vAlign w:val="top"/>
          </w:tcPr>
          <w:p>
            <w:pPr>
              <w:pStyle w:val="6"/>
              <w:spacing w:before="42" w:line="220"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34" w:line="183"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647" w:type="dxa"/>
            <w:vAlign w:val="top"/>
          </w:tcPr>
          <w:p>
            <w:pPr>
              <w:spacing w:before="231" w:line="186" w:lineRule="auto"/>
              <w:ind w:left="30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740" w:type="dxa"/>
            <w:vAlign w:val="top"/>
          </w:tcPr>
          <w:p>
            <w:pPr>
              <w:spacing w:before="234" w:line="183"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459" w:type="dxa"/>
            <w:tcBorders>
              <w:right w:val="single" w:color="000000" w:sz="10" w:space="0"/>
            </w:tcBorders>
            <w:vAlign w:val="top"/>
          </w:tcPr>
          <w:p>
            <w:pPr>
              <w:pStyle w:val="6"/>
              <w:spacing w:before="46" w:line="219"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90"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37"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00:09~00:29</w:t>
            </w:r>
          </w:p>
        </w:tc>
        <w:tc>
          <w:tcPr>
            <w:tcW w:w="1200" w:type="dxa"/>
            <w:vMerge w:val="restart"/>
            <w:tcBorders>
              <w:bottom w:val="nil"/>
            </w:tcBorders>
            <w:vAlign w:val="top"/>
          </w:tcPr>
          <w:p>
            <w:pPr>
              <w:spacing w:line="391"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37"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w:t>
            </w:r>
          </w:p>
        </w:tc>
        <w:tc>
          <w:tcPr>
            <w:tcW w:w="688" w:type="dxa"/>
            <w:vMerge w:val="restart"/>
            <w:tcBorders>
              <w:bottom w:val="nil"/>
            </w:tcBorders>
            <w:vAlign w:val="top"/>
          </w:tcPr>
          <w:p>
            <w:pPr>
              <w:spacing w:line="437"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44.8</w:t>
            </w:r>
          </w:p>
        </w:tc>
        <w:tc>
          <w:tcPr>
            <w:tcW w:w="707" w:type="dxa"/>
            <w:vMerge w:val="restart"/>
            <w:tcBorders>
              <w:bottom w:val="nil"/>
            </w:tcBorders>
            <w:vAlign w:val="top"/>
          </w:tcPr>
          <w:p>
            <w:pPr>
              <w:spacing w:line="437" w:lineRule="auto"/>
              <w:rPr>
                <w:rFonts w:ascii="Arial"/>
                <w:sz w:val="21"/>
              </w:rPr>
            </w:pPr>
          </w:p>
          <w:p>
            <w:pPr>
              <w:spacing w:before="60"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31.0</w:t>
            </w:r>
          </w:p>
        </w:tc>
        <w:tc>
          <w:tcPr>
            <w:tcW w:w="687" w:type="dxa"/>
            <w:vMerge w:val="restart"/>
            <w:tcBorders>
              <w:bottom w:val="nil"/>
            </w:tcBorders>
            <w:vAlign w:val="top"/>
          </w:tcPr>
          <w:p>
            <w:pPr>
              <w:spacing w:line="437" w:lineRule="auto"/>
              <w:rPr>
                <w:rFonts w:ascii="Arial"/>
                <w:sz w:val="21"/>
              </w:rPr>
            </w:pPr>
          </w:p>
          <w:p>
            <w:pPr>
              <w:spacing w:before="60"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28.6</w:t>
            </w:r>
          </w:p>
        </w:tc>
        <w:tc>
          <w:tcPr>
            <w:tcW w:w="707" w:type="dxa"/>
            <w:vMerge w:val="restart"/>
            <w:tcBorders>
              <w:bottom w:val="nil"/>
            </w:tcBorders>
            <w:vAlign w:val="top"/>
          </w:tcPr>
          <w:p>
            <w:pPr>
              <w:spacing w:line="437"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c>
          <w:tcPr>
            <w:tcW w:w="690" w:type="dxa"/>
            <w:vMerge w:val="restart"/>
            <w:tcBorders>
              <w:bottom w:val="nil"/>
            </w:tcBorders>
            <w:vAlign w:val="top"/>
          </w:tcPr>
          <w:p>
            <w:pPr>
              <w:spacing w:line="437"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27.3</w:t>
            </w:r>
          </w:p>
        </w:tc>
        <w:tc>
          <w:tcPr>
            <w:tcW w:w="650" w:type="dxa"/>
            <w:vMerge w:val="restart"/>
            <w:tcBorders>
              <w:bottom w:val="nil"/>
            </w:tcBorders>
            <w:vAlign w:val="top"/>
          </w:tcPr>
          <w:p>
            <w:pPr>
              <w:spacing w:line="437" w:lineRule="auto"/>
              <w:rPr>
                <w:rFonts w:ascii="Arial"/>
                <w:sz w:val="21"/>
              </w:rPr>
            </w:pPr>
          </w:p>
          <w:p>
            <w:pPr>
              <w:spacing w:before="6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644" w:type="dxa"/>
            <w:vAlign w:val="top"/>
          </w:tcPr>
          <w:p>
            <w:pPr>
              <w:spacing w:before="230" w:line="186" w:lineRule="auto"/>
              <w:ind w:left="28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647" w:type="dxa"/>
            <w:vAlign w:val="top"/>
          </w:tcPr>
          <w:p>
            <w:pPr>
              <w:spacing w:before="230"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31" w:line="186"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459" w:type="dxa"/>
            <w:tcBorders>
              <w:right w:val="single" w:color="000000" w:sz="10" w:space="0"/>
            </w:tcBorders>
            <w:vAlign w:val="top"/>
          </w:tcPr>
          <w:p>
            <w:pPr>
              <w:pStyle w:val="6"/>
              <w:spacing w:before="46" w:line="218"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35" w:line="183"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647" w:type="dxa"/>
            <w:vAlign w:val="top"/>
          </w:tcPr>
          <w:p>
            <w:pPr>
              <w:spacing w:before="233" w:line="186" w:lineRule="auto"/>
              <w:ind w:left="30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740" w:type="dxa"/>
            <w:vAlign w:val="top"/>
          </w:tcPr>
          <w:p>
            <w:pPr>
              <w:spacing w:before="233" w:line="186"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459" w:type="dxa"/>
            <w:tcBorders>
              <w:right w:val="single" w:color="000000" w:sz="10" w:space="0"/>
            </w:tcBorders>
            <w:vAlign w:val="top"/>
          </w:tcPr>
          <w:p>
            <w:pPr>
              <w:pStyle w:val="6"/>
              <w:spacing w:before="48" w:line="217"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97" w:lineRule="auto"/>
              <w:rPr>
                <w:rFonts w:ascii="Arial"/>
                <w:sz w:val="21"/>
              </w:rPr>
            </w:pPr>
          </w:p>
          <w:p>
            <w:pPr>
              <w:pStyle w:val="6"/>
              <w:spacing w:before="69"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44"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01:09~01:29</w:t>
            </w:r>
          </w:p>
        </w:tc>
        <w:tc>
          <w:tcPr>
            <w:tcW w:w="1200" w:type="dxa"/>
            <w:vMerge w:val="restart"/>
            <w:tcBorders>
              <w:bottom w:val="nil"/>
            </w:tcBorders>
            <w:vAlign w:val="top"/>
          </w:tcPr>
          <w:p>
            <w:pPr>
              <w:spacing w:line="398"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44"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39.2</w:t>
            </w:r>
          </w:p>
        </w:tc>
        <w:tc>
          <w:tcPr>
            <w:tcW w:w="688" w:type="dxa"/>
            <w:vMerge w:val="restart"/>
            <w:tcBorders>
              <w:bottom w:val="nil"/>
            </w:tcBorders>
            <w:vAlign w:val="top"/>
          </w:tcPr>
          <w:p>
            <w:pPr>
              <w:spacing w:line="444"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43.0</w:t>
            </w:r>
          </w:p>
        </w:tc>
        <w:tc>
          <w:tcPr>
            <w:tcW w:w="707" w:type="dxa"/>
            <w:vMerge w:val="restart"/>
            <w:tcBorders>
              <w:bottom w:val="nil"/>
            </w:tcBorders>
            <w:vAlign w:val="top"/>
          </w:tcPr>
          <w:p>
            <w:pPr>
              <w:spacing w:line="444" w:lineRule="auto"/>
              <w:rPr>
                <w:rFonts w:ascii="Arial"/>
                <w:sz w:val="21"/>
              </w:rPr>
            </w:pPr>
          </w:p>
          <w:p>
            <w:pPr>
              <w:spacing w:before="60" w:line="187" w:lineRule="auto"/>
              <w:ind w:left="1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29.8</w:t>
            </w:r>
          </w:p>
        </w:tc>
        <w:tc>
          <w:tcPr>
            <w:tcW w:w="687" w:type="dxa"/>
            <w:vMerge w:val="restart"/>
            <w:tcBorders>
              <w:bottom w:val="nil"/>
            </w:tcBorders>
            <w:vAlign w:val="top"/>
          </w:tcPr>
          <w:p>
            <w:pPr>
              <w:spacing w:line="444" w:lineRule="auto"/>
              <w:rPr>
                <w:rFonts w:ascii="Arial"/>
                <w:sz w:val="21"/>
              </w:rPr>
            </w:pPr>
          </w:p>
          <w:p>
            <w:pPr>
              <w:spacing w:before="60"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28.0</w:t>
            </w:r>
          </w:p>
        </w:tc>
        <w:tc>
          <w:tcPr>
            <w:tcW w:w="707" w:type="dxa"/>
            <w:vMerge w:val="restart"/>
            <w:tcBorders>
              <w:bottom w:val="nil"/>
            </w:tcBorders>
            <w:vAlign w:val="top"/>
          </w:tcPr>
          <w:p>
            <w:pPr>
              <w:spacing w:line="444"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54.5</w:t>
            </w:r>
          </w:p>
        </w:tc>
        <w:tc>
          <w:tcPr>
            <w:tcW w:w="690" w:type="dxa"/>
            <w:vMerge w:val="restart"/>
            <w:tcBorders>
              <w:bottom w:val="nil"/>
            </w:tcBorders>
            <w:vAlign w:val="top"/>
          </w:tcPr>
          <w:p>
            <w:pPr>
              <w:spacing w:line="444"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27.0</w:t>
            </w:r>
          </w:p>
        </w:tc>
        <w:tc>
          <w:tcPr>
            <w:tcW w:w="650" w:type="dxa"/>
            <w:vMerge w:val="restart"/>
            <w:tcBorders>
              <w:bottom w:val="nil"/>
            </w:tcBorders>
            <w:vAlign w:val="top"/>
          </w:tcPr>
          <w:p>
            <w:pPr>
              <w:spacing w:line="444" w:lineRule="auto"/>
              <w:rPr>
                <w:rFonts w:ascii="Arial"/>
                <w:sz w:val="21"/>
              </w:rPr>
            </w:pPr>
          </w:p>
          <w:p>
            <w:pPr>
              <w:spacing w:before="6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44" w:type="dxa"/>
            <w:vAlign w:val="top"/>
          </w:tcPr>
          <w:p>
            <w:pPr>
              <w:spacing w:before="237" w:line="186"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647" w:type="dxa"/>
            <w:vAlign w:val="top"/>
          </w:tcPr>
          <w:p>
            <w:pPr>
              <w:spacing w:before="237"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37" w:line="186" w:lineRule="auto"/>
              <w:ind w:left="34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459" w:type="dxa"/>
            <w:tcBorders>
              <w:right w:val="single" w:color="000000" w:sz="10" w:space="0"/>
            </w:tcBorders>
            <w:vAlign w:val="top"/>
          </w:tcPr>
          <w:p>
            <w:pPr>
              <w:pStyle w:val="6"/>
              <w:spacing w:before="53" w:line="216"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37" w:line="186" w:lineRule="auto"/>
              <w:ind w:left="292"/>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647" w:type="dxa"/>
            <w:vAlign w:val="top"/>
          </w:tcPr>
          <w:p>
            <w:pPr>
              <w:spacing w:before="237" w:line="186" w:lineRule="auto"/>
              <w:ind w:left="284"/>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740" w:type="dxa"/>
            <w:vAlign w:val="top"/>
          </w:tcPr>
          <w:p>
            <w:pPr>
              <w:spacing w:before="237" w:line="186"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459" w:type="dxa"/>
            <w:tcBorders>
              <w:right w:val="single" w:color="000000" w:sz="10" w:space="0"/>
            </w:tcBorders>
            <w:vAlign w:val="top"/>
          </w:tcPr>
          <w:p>
            <w:pPr>
              <w:pStyle w:val="6"/>
              <w:spacing w:before="53" w:line="215"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400"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47"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02:09~02:29</w:t>
            </w:r>
          </w:p>
        </w:tc>
        <w:tc>
          <w:tcPr>
            <w:tcW w:w="1200" w:type="dxa"/>
            <w:vMerge w:val="restart"/>
            <w:tcBorders>
              <w:bottom w:val="nil"/>
            </w:tcBorders>
            <w:vAlign w:val="top"/>
          </w:tcPr>
          <w:p>
            <w:pPr>
              <w:spacing w:line="401"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47"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688" w:type="dxa"/>
            <w:vMerge w:val="restart"/>
            <w:tcBorders>
              <w:bottom w:val="nil"/>
            </w:tcBorders>
            <w:vAlign w:val="top"/>
          </w:tcPr>
          <w:p>
            <w:pPr>
              <w:spacing w:line="447" w:lineRule="auto"/>
              <w:rPr>
                <w:rFonts w:ascii="Arial"/>
                <w:sz w:val="21"/>
              </w:rPr>
            </w:pPr>
          </w:p>
          <w:p>
            <w:pPr>
              <w:spacing w:before="6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37.2</w:t>
            </w:r>
          </w:p>
        </w:tc>
        <w:tc>
          <w:tcPr>
            <w:tcW w:w="707" w:type="dxa"/>
            <w:vMerge w:val="restart"/>
            <w:tcBorders>
              <w:bottom w:val="nil"/>
            </w:tcBorders>
            <w:vAlign w:val="top"/>
          </w:tcPr>
          <w:p>
            <w:pPr>
              <w:spacing w:line="447" w:lineRule="auto"/>
              <w:rPr>
                <w:rFonts w:ascii="Arial"/>
                <w:sz w:val="21"/>
              </w:rPr>
            </w:pPr>
          </w:p>
          <w:p>
            <w:pPr>
              <w:spacing w:before="60" w:line="187" w:lineRule="auto"/>
              <w:ind w:left="1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29.2</w:t>
            </w:r>
          </w:p>
        </w:tc>
        <w:tc>
          <w:tcPr>
            <w:tcW w:w="687" w:type="dxa"/>
            <w:vMerge w:val="restart"/>
            <w:tcBorders>
              <w:bottom w:val="nil"/>
            </w:tcBorders>
            <w:vAlign w:val="top"/>
          </w:tcPr>
          <w:p>
            <w:pPr>
              <w:spacing w:line="447" w:lineRule="auto"/>
              <w:rPr>
                <w:rFonts w:ascii="Arial"/>
                <w:sz w:val="21"/>
              </w:rPr>
            </w:pPr>
          </w:p>
          <w:p>
            <w:pPr>
              <w:spacing w:before="60"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27.8</w:t>
            </w:r>
          </w:p>
        </w:tc>
        <w:tc>
          <w:tcPr>
            <w:tcW w:w="707" w:type="dxa"/>
            <w:vMerge w:val="restart"/>
            <w:tcBorders>
              <w:bottom w:val="nil"/>
            </w:tcBorders>
            <w:vAlign w:val="top"/>
          </w:tcPr>
          <w:p>
            <w:pPr>
              <w:spacing w:line="447"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690" w:type="dxa"/>
            <w:vMerge w:val="restart"/>
            <w:tcBorders>
              <w:bottom w:val="nil"/>
            </w:tcBorders>
            <w:vAlign w:val="top"/>
          </w:tcPr>
          <w:p>
            <w:pPr>
              <w:spacing w:line="447"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26.8</w:t>
            </w:r>
          </w:p>
        </w:tc>
        <w:tc>
          <w:tcPr>
            <w:tcW w:w="650" w:type="dxa"/>
            <w:vMerge w:val="restart"/>
            <w:tcBorders>
              <w:bottom w:val="nil"/>
            </w:tcBorders>
            <w:vAlign w:val="top"/>
          </w:tcPr>
          <w:p>
            <w:pPr>
              <w:spacing w:line="447" w:lineRule="auto"/>
              <w:rPr>
                <w:rFonts w:ascii="Arial"/>
                <w:sz w:val="21"/>
              </w:rPr>
            </w:pPr>
          </w:p>
          <w:p>
            <w:pPr>
              <w:spacing w:before="60"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c>
          <w:tcPr>
            <w:tcW w:w="644" w:type="dxa"/>
            <w:vAlign w:val="top"/>
          </w:tcPr>
          <w:p>
            <w:pPr>
              <w:spacing w:before="238" w:line="186" w:lineRule="auto"/>
              <w:ind w:left="30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47" w:type="dxa"/>
            <w:vAlign w:val="top"/>
          </w:tcPr>
          <w:p>
            <w:pPr>
              <w:spacing w:before="238"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38" w:line="186"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459" w:type="dxa"/>
            <w:tcBorders>
              <w:right w:val="single" w:color="000000" w:sz="10" w:space="0"/>
            </w:tcBorders>
            <w:vAlign w:val="top"/>
          </w:tcPr>
          <w:p>
            <w:pPr>
              <w:pStyle w:val="6"/>
              <w:spacing w:before="53" w:line="215"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04" w:type="dxa"/>
            <w:vMerge w:val="continue"/>
            <w:tcBorders>
              <w:top w:val="nil"/>
              <w:left w:val="single" w:color="000000" w:sz="10" w:space="0"/>
              <w:bottom w:val="single" w:color="000000" w:sz="10" w:space="0"/>
            </w:tcBorders>
            <w:textDirection w:val="tbRlV"/>
            <w:vAlign w:val="top"/>
          </w:tcPr>
          <w:p>
            <w:pPr>
              <w:rPr>
                <w:rFonts w:ascii="Arial"/>
                <w:sz w:val="21"/>
              </w:rPr>
            </w:pPr>
          </w:p>
        </w:tc>
        <w:tc>
          <w:tcPr>
            <w:tcW w:w="951" w:type="dxa"/>
            <w:vMerge w:val="continue"/>
            <w:tcBorders>
              <w:top w:val="nil"/>
              <w:bottom w:val="single" w:color="000000" w:sz="10" w:space="0"/>
            </w:tcBorders>
            <w:vAlign w:val="top"/>
          </w:tcPr>
          <w:p>
            <w:pPr>
              <w:rPr>
                <w:rFonts w:ascii="Arial"/>
                <w:sz w:val="21"/>
              </w:rPr>
            </w:pPr>
          </w:p>
        </w:tc>
        <w:tc>
          <w:tcPr>
            <w:tcW w:w="1905" w:type="dxa"/>
            <w:vMerge w:val="continue"/>
            <w:tcBorders>
              <w:top w:val="nil"/>
              <w:bottom w:val="single" w:color="000000" w:sz="10" w:space="0"/>
            </w:tcBorders>
            <w:vAlign w:val="top"/>
          </w:tcPr>
          <w:p>
            <w:pPr>
              <w:rPr>
                <w:rFonts w:ascii="Arial"/>
                <w:sz w:val="21"/>
              </w:rPr>
            </w:pPr>
          </w:p>
        </w:tc>
        <w:tc>
          <w:tcPr>
            <w:tcW w:w="1361" w:type="dxa"/>
            <w:vMerge w:val="continue"/>
            <w:tcBorders>
              <w:top w:val="nil"/>
              <w:bottom w:val="single" w:color="000000" w:sz="10" w:space="0"/>
            </w:tcBorders>
            <w:vAlign w:val="top"/>
          </w:tcPr>
          <w:p>
            <w:pPr>
              <w:rPr>
                <w:rFonts w:ascii="Arial"/>
                <w:sz w:val="21"/>
              </w:rPr>
            </w:pPr>
          </w:p>
        </w:tc>
        <w:tc>
          <w:tcPr>
            <w:tcW w:w="1200"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88"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87"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90" w:type="dxa"/>
            <w:vMerge w:val="continue"/>
            <w:tcBorders>
              <w:top w:val="nil"/>
              <w:bottom w:val="single" w:color="000000" w:sz="10" w:space="0"/>
            </w:tcBorders>
            <w:vAlign w:val="top"/>
          </w:tcPr>
          <w:p>
            <w:pPr>
              <w:rPr>
                <w:rFonts w:ascii="Arial"/>
                <w:sz w:val="21"/>
              </w:rPr>
            </w:pPr>
          </w:p>
        </w:tc>
        <w:tc>
          <w:tcPr>
            <w:tcW w:w="650" w:type="dxa"/>
            <w:vMerge w:val="continue"/>
            <w:tcBorders>
              <w:top w:val="nil"/>
              <w:bottom w:val="single" w:color="000000" w:sz="10" w:space="0"/>
            </w:tcBorders>
            <w:vAlign w:val="top"/>
          </w:tcPr>
          <w:p>
            <w:pPr>
              <w:rPr>
                <w:rFonts w:ascii="Arial"/>
                <w:sz w:val="21"/>
              </w:rPr>
            </w:pPr>
          </w:p>
        </w:tc>
        <w:tc>
          <w:tcPr>
            <w:tcW w:w="644" w:type="dxa"/>
            <w:tcBorders>
              <w:bottom w:val="single" w:color="000000" w:sz="10" w:space="0"/>
            </w:tcBorders>
            <w:vAlign w:val="top"/>
          </w:tcPr>
          <w:p>
            <w:pPr>
              <w:spacing w:before="242" w:line="186" w:lineRule="auto"/>
              <w:ind w:left="292"/>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647" w:type="dxa"/>
            <w:tcBorders>
              <w:bottom w:val="single" w:color="000000" w:sz="10" w:space="0"/>
            </w:tcBorders>
            <w:vAlign w:val="top"/>
          </w:tcPr>
          <w:p>
            <w:pPr>
              <w:spacing w:before="242" w:line="186"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740" w:type="dxa"/>
            <w:tcBorders>
              <w:bottom w:val="single" w:color="000000" w:sz="10" w:space="0"/>
            </w:tcBorders>
            <w:vAlign w:val="top"/>
          </w:tcPr>
          <w:p>
            <w:pPr>
              <w:spacing w:before="244" w:line="183"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459" w:type="dxa"/>
            <w:tcBorders>
              <w:bottom w:val="single" w:color="000000" w:sz="10" w:space="0"/>
              <w:right w:val="single" w:color="000000" w:sz="10" w:space="0"/>
            </w:tcBorders>
            <w:vAlign w:val="top"/>
          </w:tcPr>
          <w:p>
            <w:pPr>
              <w:pStyle w:val="6"/>
              <w:spacing w:before="58" w:line="223" w:lineRule="auto"/>
              <w:ind w:left="422" w:right="185" w:hanging="207"/>
            </w:pPr>
            <w:r>
              <w:rPr>
                <w:spacing w:val="-2"/>
              </w:rPr>
              <w:t>南侧景文高</w:t>
            </w:r>
            <w:r>
              <w:rPr>
                <w:spacing w:val="1"/>
              </w:rPr>
              <w:t xml:space="preserve"> </w:t>
            </w:r>
            <w:r>
              <w:rPr>
                <w:spacing w:val="-1"/>
              </w:rPr>
              <w:t>速公路</w:t>
            </w:r>
          </w:p>
        </w:tc>
      </w:tr>
    </w:tbl>
    <w:p>
      <w:pPr>
        <w:pStyle w:val="2"/>
      </w:pPr>
    </w:p>
    <w:p>
      <w:pPr>
        <w:sectPr>
          <w:footerReference r:id="rId205" w:type="default"/>
          <w:pgSz w:w="16839" w:h="11907"/>
          <w:pgMar w:top="1260" w:right="1281" w:bottom="1151" w:left="1283" w:header="1019" w:footer="990" w:gutter="0"/>
          <w:cols w:space="720" w:num="1"/>
        </w:sectPr>
      </w:pPr>
    </w:p>
    <w:p>
      <w:pPr>
        <w:spacing w:line="155" w:lineRule="exact"/>
      </w:pPr>
    </w:p>
    <w:tbl>
      <w:tblPr>
        <w:tblStyle w:val="5"/>
        <w:tblW w:w="142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951"/>
        <w:gridCol w:w="1905"/>
        <w:gridCol w:w="1361"/>
        <w:gridCol w:w="1200"/>
        <w:gridCol w:w="707"/>
        <w:gridCol w:w="688"/>
        <w:gridCol w:w="707"/>
        <w:gridCol w:w="687"/>
        <w:gridCol w:w="707"/>
        <w:gridCol w:w="690"/>
        <w:gridCol w:w="650"/>
        <w:gridCol w:w="644"/>
        <w:gridCol w:w="647"/>
        <w:gridCol w:w="740"/>
        <w:gridCol w:w="1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04" w:type="dxa"/>
            <w:vMerge w:val="restart"/>
            <w:tcBorders>
              <w:top w:val="single" w:color="000000" w:sz="10" w:space="0"/>
              <w:left w:val="single" w:color="000000" w:sz="10" w:space="0"/>
              <w:bottom w:val="nil"/>
            </w:tcBorders>
            <w:textDirection w:val="tbRlV"/>
            <w:vAlign w:val="top"/>
          </w:tcPr>
          <w:p>
            <w:pPr>
              <w:pStyle w:val="6"/>
              <w:spacing w:before="144" w:line="211" w:lineRule="auto"/>
              <w:ind w:left="374"/>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951" w:type="dxa"/>
            <w:vMerge w:val="restart"/>
            <w:tcBorders>
              <w:top w:val="single" w:color="000000" w:sz="10" w:space="0"/>
              <w:bottom w:val="nil"/>
            </w:tcBorders>
            <w:vAlign w:val="top"/>
          </w:tcPr>
          <w:p>
            <w:pPr>
              <w:spacing w:line="304" w:lineRule="auto"/>
              <w:rPr>
                <w:rFonts w:ascii="Arial"/>
                <w:sz w:val="21"/>
              </w:rPr>
            </w:pPr>
          </w:p>
          <w:p>
            <w:pPr>
              <w:pStyle w:val="6"/>
              <w:spacing w:before="69" w:line="231" w:lineRule="auto"/>
              <w:ind w:left="367" w:right="170" w:hanging="199"/>
            </w:pPr>
            <w:r>
              <w:rPr>
                <w:spacing w:val="-8"/>
                <w14:textOutline w14:w="3831" w14:cap="flat" w14:cmpd="sng">
                  <w14:solidFill>
                    <w14:srgbClr w14:val="000000"/>
                  </w14:solidFill>
                  <w14:prstDash w14:val="solid"/>
                  <w14:miter w14:val="0"/>
                </w14:textOutline>
              </w:rPr>
              <w:t>检测点</w:t>
            </w:r>
            <w:r>
              <w:t xml:space="preserve"> </w:t>
            </w:r>
            <w:r>
              <w:rPr>
                <w14:textOutline w14:w="3831" w14:cap="flat" w14:cmpd="sng">
                  <w14:solidFill>
                    <w14:srgbClr w14:val="000000"/>
                  </w14:solidFill>
                  <w14:prstDash w14:val="solid"/>
                  <w14:miter w14:val="0"/>
                </w14:textOutline>
              </w:rPr>
              <w:t>位</w:t>
            </w:r>
          </w:p>
        </w:tc>
        <w:tc>
          <w:tcPr>
            <w:tcW w:w="3266" w:type="dxa"/>
            <w:gridSpan w:val="2"/>
            <w:vMerge w:val="restart"/>
            <w:tcBorders>
              <w:top w:val="single" w:color="000000" w:sz="10" w:space="0"/>
              <w:bottom w:val="nil"/>
            </w:tcBorders>
            <w:vAlign w:val="top"/>
          </w:tcPr>
          <w:p>
            <w:pPr>
              <w:spacing w:line="439" w:lineRule="auto"/>
              <w:rPr>
                <w:rFonts w:ascii="Arial"/>
                <w:sz w:val="21"/>
              </w:rPr>
            </w:pPr>
          </w:p>
          <w:p>
            <w:pPr>
              <w:pStyle w:val="6"/>
              <w:spacing w:before="68" w:line="221" w:lineRule="auto"/>
              <w:ind w:left="1209"/>
            </w:pPr>
            <w:r>
              <w:rPr>
                <w:spacing w:val="-1"/>
                <w14:textOutline w14:w="3831" w14:cap="flat" w14:cmpd="sng">
                  <w14:solidFill>
                    <w14:srgbClr w14:val="000000"/>
                  </w14:solidFill>
                  <w14:prstDash w14:val="solid"/>
                  <w14:miter w14:val="0"/>
                </w14:textOutline>
              </w:rPr>
              <w:t>检测时间</w:t>
            </w:r>
          </w:p>
        </w:tc>
        <w:tc>
          <w:tcPr>
            <w:tcW w:w="1200" w:type="dxa"/>
            <w:vMerge w:val="restart"/>
            <w:tcBorders>
              <w:top w:val="single" w:color="000000" w:sz="10" w:space="0"/>
              <w:bottom w:val="nil"/>
            </w:tcBorders>
            <w:vAlign w:val="top"/>
          </w:tcPr>
          <w:p>
            <w:pPr>
              <w:spacing w:line="440" w:lineRule="auto"/>
              <w:rPr>
                <w:rFonts w:ascii="Arial"/>
                <w:sz w:val="21"/>
              </w:rPr>
            </w:pPr>
          </w:p>
          <w:p>
            <w:pPr>
              <w:pStyle w:val="6"/>
              <w:spacing w:before="68" w:line="221" w:lineRule="auto"/>
              <w:ind w:left="202"/>
            </w:pPr>
            <w:r>
              <w:rPr>
                <w:spacing w:val="-7"/>
                <w14:textOutline w14:w="3831" w14:cap="flat" w14:cmpd="sng">
                  <w14:solidFill>
                    <w14:srgbClr w14:val="000000"/>
                  </w14:solidFill>
                  <w14:prstDash w14:val="solid"/>
                  <w14:miter w14:val="0"/>
                </w14:textOutline>
              </w:rPr>
              <w:t>主要声源</w:t>
            </w:r>
          </w:p>
        </w:tc>
        <w:tc>
          <w:tcPr>
            <w:tcW w:w="4836" w:type="dxa"/>
            <w:gridSpan w:val="7"/>
            <w:tcBorders>
              <w:top w:val="single" w:color="000000" w:sz="10" w:space="0"/>
            </w:tcBorders>
            <w:vAlign w:val="top"/>
          </w:tcPr>
          <w:p>
            <w:pPr>
              <w:pStyle w:val="6"/>
              <w:spacing w:before="184" w:line="221" w:lineRule="auto"/>
              <w:ind w:left="2022"/>
            </w:pPr>
            <w:r>
              <w:rPr>
                <w:spacing w:val="-7"/>
                <w14:textOutline w14:w="3831" w14:cap="flat" w14:cmpd="sng">
                  <w14:solidFill>
                    <w14:srgbClr w14:val="000000"/>
                  </w14:solidFill>
                  <w14:prstDash w14:val="solid"/>
                  <w14:miter w14:val="0"/>
                </w14:textOutline>
              </w:rPr>
              <w:t>检测结果</w:t>
            </w:r>
          </w:p>
        </w:tc>
        <w:tc>
          <w:tcPr>
            <w:tcW w:w="2031" w:type="dxa"/>
            <w:gridSpan w:val="3"/>
            <w:tcBorders>
              <w:top w:val="single" w:color="000000" w:sz="10" w:space="0"/>
            </w:tcBorders>
            <w:vAlign w:val="top"/>
          </w:tcPr>
          <w:p>
            <w:pPr>
              <w:pStyle w:val="6"/>
              <w:spacing w:before="48" w:line="238" w:lineRule="auto"/>
              <w:ind w:left="529"/>
            </w:pPr>
            <w:r>
              <w:rPr>
                <w:spacing w:val="-7"/>
                <w14:textOutline w14:w="3831" w14:cap="flat" w14:cmpd="sng">
                  <w14:solidFill>
                    <w14:srgbClr w14:val="000000"/>
                  </w14:solidFill>
                  <w14:prstDash w14:val="solid"/>
                  <w14:miter w14:val="0"/>
                </w14:textOutline>
              </w:rPr>
              <w:t>车流量情况</w:t>
            </w:r>
          </w:p>
          <w:p>
            <w:pPr>
              <w:pStyle w:val="6"/>
              <w:spacing w:line="218" w:lineRule="auto"/>
              <w:ind w:left="440"/>
            </w:pPr>
            <w:r>
              <w:rPr>
                <w:spacing w:val="-7"/>
                <w14:textOutline w14:w="3831" w14:cap="flat" w14:cmpd="sng">
                  <w14:solidFill>
                    <w14:srgbClr w14:val="000000"/>
                  </w14:solidFill>
                  <w14:prstDash w14:val="solid"/>
                  <w14:miter w14:val="0"/>
                </w14:textOutline>
              </w:rPr>
              <w:t>（辆</w:t>
            </w:r>
            <w:r>
              <w:rPr>
                <w:rFonts w:ascii="Times New Roman" w:hAnsi="Times New Roman" w:eastAsia="Times New Roman" w:cs="Times New Roman"/>
                <w:b/>
                <w:bCs/>
                <w:spacing w:val="-7"/>
              </w:rPr>
              <w:t>/20min</w:t>
            </w:r>
            <w:r>
              <w:rPr>
                <w:spacing w:val="-7"/>
                <w14:textOutline w14:w="3831" w14:cap="flat" w14:cmpd="sng">
                  <w14:solidFill>
                    <w14:srgbClr w14:val="000000"/>
                  </w14:solidFill>
                  <w14:prstDash w14:val="solid"/>
                  <w14:miter w14:val="0"/>
                </w14:textOutline>
              </w:rPr>
              <w:t>）</w:t>
            </w:r>
          </w:p>
        </w:tc>
        <w:tc>
          <w:tcPr>
            <w:tcW w:w="1459" w:type="dxa"/>
            <w:vMerge w:val="restart"/>
            <w:tcBorders>
              <w:top w:val="single" w:color="000000" w:sz="10" w:space="0"/>
              <w:bottom w:val="nil"/>
              <w:right w:val="single" w:color="000000" w:sz="10" w:space="0"/>
            </w:tcBorders>
            <w:vAlign w:val="top"/>
          </w:tcPr>
          <w:p>
            <w:pPr>
              <w:spacing w:line="440" w:lineRule="auto"/>
              <w:rPr>
                <w:rFonts w:ascii="Arial"/>
                <w:sz w:val="21"/>
              </w:rPr>
            </w:pPr>
          </w:p>
          <w:p>
            <w:pPr>
              <w:pStyle w:val="6"/>
              <w:spacing w:before="68" w:line="222" w:lineRule="auto"/>
              <w:ind w:left="541"/>
            </w:pPr>
            <w:r>
              <w:rPr>
                <w:spacing w:val="-5"/>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Align w:val="top"/>
          </w:tcPr>
          <w:p>
            <w:pPr>
              <w:spacing w:before="260" w:line="195" w:lineRule="auto"/>
              <w:ind w:left="213"/>
              <w:rPr>
                <w:rFonts w:ascii="Times New Roman" w:hAnsi="Times New Roman" w:eastAsia="Times New Roman" w:cs="Times New Roman"/>
                <w:sz w:val="13"/>
                <w:szCs w:val="13"/>
              </w:rPr>
            </w:pPr>
            <w:r>
              <w:rPr>
                <w:rFonts w:ascii="Times New Roman" w:hAnsi="Times New Roman" w:eastAsia="Times New Roman" w:cs="Times New Roman"/>
                <w:b/>
                <w:bCs/>
                <w:spacing w:val="2"/>
                <w:position w:val="1"/>
                <w:sz w:val="21"/>
                <w:szCs w:val="21"/>
              </w:rPr>
              <w:t>L</w:t>
            </w:r>
            <w:r>
              <w:rPr>
                <w:rFonts w:ascii="Times New Roman" w:hAnsi="Times New Roman" w:eastAsia="Times New Roman" w:cs="Times New Roman"/>
                <w:b/>
                <w:bCs/>
                <w:spacing w:val="2"/>
                <w:sz w:val="13"/>
                <w:szCs w:val="13"/>
              </w:rPr>
              <w:t>eq</w:t>
            </w:r>
          </w:p>
        </w:tc>
        <w:tc>
          <w:tcPr>
            <w:tcW w:w="688" w:type="dxa"/>
            <w:vAlign w:val="top"/>
          </w:tcPr>
          <w:p>
            <w:pPr>
              <w:spacing w:before="260" w:line="203" w:lineRule="auto"/>
              <w:ind w:left="204"/>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10</w:t>
            </w:r>
          </w:p>
        </w:tc>
        <w:tc>
          <w:tcPr>
            <w:tcW w:w="707" w:type="dxa"/>
            <w:vAlign w:val="top"/>
          </w:tcPr>
          <w:p>
            <w:pPr>
              <w:spacing w:before="260" w:line="203" w:lineRule="auto"/>
              <w:ind w:left="215"/>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50</w:t>
            </w:r>
          </w:p>
        </w:tc>
        <w:tc>
          <w:tcPr>
            <w:tcW w:w="687" w:type="dxa"/>
            <w:vAlign w:val="top"/>
          </w:tcPr>
          <w:p>
            <w:pPr>
              <w:spacing w:before="260" w:line="203" w:lineRule="auto"/>
              <w:ind w:left="206"/>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90</w:t>
            </w:r>
          </w:p>
        </w:tc>
        <w:tc>
          <w:tcPr>
            <w:tcW w:w="707" w:type="dxa"/>
            <w:vAlign w:val="top"/>
          </w:tcPr>
          <w:p>
            <w:pPr>
              <w:spacing w:before="260" w:line="222" w:lineRule="auto"/>
              <w:ind w:left="160"/>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max</w:t>
            </w:r>
          </w:p>
        </w:tc>
        <w:tc>
          <w:tcPr>
            <w:tcW w:w="690" w:type="dxa"/>
            <w:vAlign w:val="top"/>
          </w:tcPr>
          <w:p>
            <w:pPr>
              <w:spacing w:before="260" w:line="223" w:lineRule="auto"/>
              <w:ind w:left="161"/>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min</w:t>
            </w:r>
          </w:p>
        </w:tc>
        <w:tc>
          <w:tcPr>
            <w:tcW w:w="650" w:type="dxa"/>
            <w:vAlign w:val="top"/>
          </w:tcPr>
          <w:p>
            <w:pPr>
              <w:spacing w:before="257" w:line="187" w:lineRule="auto"/>
              <w:ind w:left="200"/>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SD</w:t>
            </w:r>
          </w:p>
        </w:tc>
        <w:tc>
          <w:tcPr>
            <w:tcW w:w="644" w:type="dxa"/>
            <w:vAlign w:val="top"/>
          </w:tcPr>
          <w:p>
            <w:pPr>
              <w:pStyle w:val="6"/>
              <w:spacing w:before="82" w:line="229" w:lineRule="auto"/>
              <w:ind w:left="231" w:right="100" w:hanging="101"/>
            </w:pPr>
            <w:r>
              <w:rPr>
                <w:spacing w:val="-6"/>
                <w14:textOutline w14:w="3831" w14:cap="flat" w14:cmpd="sng">
                  <w14:solidFill>
                    <w14:srgbClr w14:val="000000"/>
                  </w14:solidFill>
                  <w14:prstDash w14:val="solid"/>
                  <w14:miter w14:val="0"/>
                </w14:textOutline>
              </w:rPr>
              <w:t>小型</w:t>
            </w:r>
            <w:r>
              <w:t xml:space="preserve"> </w:t>
            </w:r>
            <w:r>
              <w:rPr>
                <w14:textOutline w14:w="3831" w14:cap="flat" w14:cmpd="sng">
                  <w14:solidFill>
                    <w14:srgbClr w14:val="000000"/>
                  </w14:solidFill>
                  <w14:prstDash w14:val="solid"/>
                  <w14:miter w14:val="0"/>
                </w14:textOutline>
              </w:rPr>
              <w:t>车</w:t>
            </w:r>
          </w:p>
        </w:tc>
        <w:tc>
          <w:tcPr>
            <w:tcW w:w="647" w:type="dxa"/>
            <w:vAlign w:val="top"/>
          </w:tcPr>
          <w:p>
            <w:pPr>
              <w:pStyle w:val="6"/>
              <w:spacing w:before="82" w:line="229" w:lineRule="auto"/>
              <w:ind w:left="230" w:right="103" w:hanging="87"/>
            </w:pPr>
            <w:r>
              <w:rPr>
                <w:spacing w:val="-13"/>
                <w14:textOutline w14:w="3831" w14:cap="flat" w14:cmpd="sng">
                  <w14:solidFill>
                    <w14:srgbClr w14:val="000000"/>
                  </w14:solidFill>
                  <w14:prstDash w14:val="solid"/>
                  <w14:miter w14:val="0"/>
                </w14:textOutline>
              </w:rPr>
              <w:t>中型</w:t>
            </w:r>
            <w:r>
              <w:t xml:space="preserve"> </w:t>
            </w:r>
            <w:r>
              <w:rPr>
                <w14:textOutline w14:w="3831" w14:cap="flat" w14:cmpd="sng">
                  <w14:solidFill>
                    <w14:srgbClr w14:val="000000"/>
                  </w14:solidFill>
                  <w14:prstDash w14:val="solid"/>
                  <w14:miter w14:val="0"/>
                </w14:textOutline>
              </w:rPr>
              <w:t>车</w:t>
            </w:r>
          </w:p>
        </w:tc>
        <w:tc>
          <w:tcPr>
            <w:tcW w:w="740" w:type="dxa"/>
            <w:vAlign w:val="top"/>
          </w:tcPr>
          <w:p>
            <w:pPr>
              <w:pStyle w:val="6"/>
              <w:spacing w:before="82" w:line="238" w:lineRule="auto"/>
              <w:ind w:left="172"/>
            </w:pPr>
            <w:r>
              <w:rPr>
                <w:spacing w:val="-3"/>
                <w14:textOutline w14:w="3831" w14:cap="flat" w14:cmpd="sng">
                  <w14:solidFill>
                    <w14:srgbClr w14:val="000000"/>
                  </w14:solidFill>
                  <w14:prstDash w14:val="solid"/>
                  <w14:miter w14:val="0"/>
                </w14:textOutline>
              </w:rPr>
              <w:t>大型</w:t>
            </w:r>
          </w:p>
          <w:p>
            <w:pPr>
              <w:pStyle w:val="6"/>
              <w:spacing w:line="220" w:lineRule="auto"/>
              <w:ind w:left="277"/>
            </w:pPr>
            <w:r>
              <w:rPr>
                <w14:textOutline w14:w="3831" w14:cap="flat" w14:cmpd="sng">
                  <w14:solidFill>
                    <w14:srgbClr w14:val="000000"/>
                  </w14:solidFill>
                  <w14:prstDash w14:val="solid"/>
                  <w14:miter w14:val="0"/>
                </w14:textOutline>
              </w:rPr>
              <w:t>车</w:t>
            </w:r>
          </w:p>
        </w:tc>
        <w:tc>
          <w:tcPr>
            <w:tcW w:w="145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80"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26"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03:09~03:29</w:t>
            </w:r>
          </w:p>
        </w:tc>
        <w:tc>
          <w:tcPr>
            <w:tcW w:w="1200" w:type="dxa"/>
            <w:vMerge w:val="restart"/>
            <w:tcBorders>
              <w:bottom w:val="nil"/>
            </w:tcBorders>
            <w:vAlign w:val="top"/>
          </w:tcPr>
          <w:p>
            <w:pPr>
              <w:spacing w:line="380" w:lineRule="auto"/>
              <w:rPr>
                <w:rFonts w:ascii="Arial"/>
                <w:sz w:val="21"/>
              </w:rPr>
            </w:pPr>
          </w:p>
          <w:p>
            <w:pPr>
              <w:pStyle w:val="6"/>
              <w:spacing w:before="69" w:line="221" w:lineRule="auto"/>
              <w:ind w:left="181"/>
            </w:pPr>
            <w:r>
              <w:rPr>
                <w:spacing w:val="-2"/>
              </w:rPr>
              <w:t>环境噪声</w:t>
            </w:r>
          </w:p>
        </w:tc>
        <w:tc>
          <w:tcPr>
            <w:tcW w:w="707" w:type="dxa"/>
            <w:vMerge w:val="restart"/>
            <w:tcBorders>
              <w:bottom w:val="nil"/>
            </w:tcBorders>
            <w:vAlign w:val="top"/>
          </w:tcPr>
          <w:p>
            <w:pPr>
              <w:spacing w:line="426"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688" w:type="dxa"/>
            <w:vMerge w:val="restart"/>
            <w:tcBorders>
              <w:bottom w:val="nil"/>
            </w:tcBorders>
            <w:vAlign w:val="top"/>
          </w:tcPr>
          <w:p>
            <w:pPr>
              <w:spacing w:line="426" w:lineRule="auto"/>
              <w:rPr>
                <w:rFonts w:ascii="Arial"/>
                <w:sz w:val="21"/>
              </w:rPr>
            </w:pPr>
          </w:p>
          <w:p>
            <w:pPr>
              <w:spacing w:before="6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707" w:type="dxa"/>
            <w:vMerge w:val="restart"/>
            <w:tcBorders>
              <w:bottom w:val="nil"/>
            </w:tcBorders>
            <w:vAlign w:val="top"/>
          </w:tcPr>
          <w:p>
            <w:pPr>
              <w:spacing w:line="426" w:lineRule="auto"/>
              <w:rPr>
                <w:rFonts w:ascii="Arial"/>
                <w:sz w:val="21"/>
              </w:rPr>
            </w:pPr>
          </w:p>
          <w:p>
            <w:pPr>
              <w:spacing w:before="61" w:line="187" w:lineRule="auto"/>
              <w:ind w:left="1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29.0</w:t>
            </w:r>
          </w:p>
        </w:tc>
        <w:tc>
          <w:tcPr>
            <w:tcW w:w="687" w:type="dxa"/>
            <w:vMerge w:val="restart"/>
            <w:tcBorders>
              <w:bottom w:val="nil"/>
            </w:tcBorders>
            <w:vAlign w:val="top"/>
          </w:tcPr>
          <w:p>
            <w:pPr>
              <w:spacing w:line="426" w:lineRule="auto"/>
              <w:rPr>
                <w:rFonts w:ascii="Arial"/>
                <w:sz w:val="21"/>
              </w:rPr>
            </w:pPr>
          </w:p>
          <w:p>
            <w:pPr>
              <w:spacing w:before="61"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27.8</w:t>
            </w:r>
          </w:p>
        </w:tc>
        <w:tc>
          <w:tcPr>
            <w:tcW w:w="707" w:type="dxa"/>
            <w:vMerge w:val="restart"/>
            <w:tcBorders>
              <w:bottom w:val="nil"/>
            </w:tcBorders>
            <w:vAlign w:val="top"/>
          </w:tcPr>
          <w:p>
            <w:pPr>
              <w:spacing w:line="426" w:lineRule="auto"/>
              <w:rPr>
                <w:rFonts w:ascii="Arial"/>
                <w:sz w:val="21"/>
              </w:rPr>
            </w:pPr>
          </w:p>
          <w:p>
            <w:pPr>
              <w:spacing w:before="6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52.8</w:t>
            </w:r>
          </w:p>
        </w:tc>
        <w:tc>
          <w:tcPr>
            <w:tcW w:w="690" w:type="dxa"/>
            <w:vMerge w:val="restart"/>
            <w:tcBorders>
              <w:bottom w:val="nil"/>
            </w:tcBorders>
            <w:vAlign w:val="top"/>
          </w:tcPr>
          <w:p>
            <w:pPr>
              <w:spacing w:line="426"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27.1</w:t>
            </w:r>
          </w:p>
        </w:tc>
        <w:tc>
          <w:tcPr>
            <w:tcW w:w="650" w:type="dxa"/>
            <w:vMerge w:val="restart"/>
            <w:tcBorders>
              <w:bottom w:val="nil"/>
            </w:tcBorders>
            <w:vAlign w:val="top"/>
          </w:tcPr>
          <w:p>
            <w:pPr>
              <w:spacing w:line="426" w:lineRule="auto"/>
              <w:rPr>
                <w:rFonts w:ascii="Arial"/>
                <w:sz w:val="21"/>
              </w:rPr>
            </w:pPr>
          </w:p>
          <w:p>
            <w:pPr>
              <w:spacing w:before="61"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w:t>
            </w:r>
          </w:p>
        </w:tc>
        <w:tc>
          <w:tcPr>
            <w:tcW w:w="644" w:type="dxa"/>
            <w:vAlign w:val="top"/>
          </w:tcPr>
          <w:p>
            <w:pPr>
              <w:spacing w:before="220" w:line="186" w:lineRule="auto"/>
              <w:ind w:left="30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47" w:type="dxa"/>
            <w:vAlign w:val="top"/>
          </w:tcPr>
          <w:p>
            <w:pPr>
              <w:spacing w:before="220"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20" w:line="186"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459" w:type="dxa"/>
            <w:tcBorders>
              <w:right w:val="single" w:color="000000" w:sz="10" w:space="0"/>
            </w:tcBorders>
            <w:vAlign w:val="top"/>
          </w:tcPr>
          <w:p>
            <w:pPr>
              <w:pStyle w:val="6"/>
              <w:spacing w:before="35" w:line="223"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2" w:line="186" w:lineRule="auto"/>
              <w:ind w:left="292"/>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647" w:type="dxa"/>
            <w:vAlign w:val="top"/>
          </w:tcPr>
          <w:p>
            <w:pPr>
              <w:spacing w:before="222" w:line="186" w:lineRule="auto"/>
              <w:ind w:left="28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40" w:type="dxa"/>
            <w:vAlign w:val="top"/>
          </w:tcPr>
          <w:p>
            <w:pPr>
              <w:spacing w:before="222" w:line="186"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459" w:type="dxa"/>
            <w:tcBorders>
              <w:right w:val="single" w:color="000000" w:sz="10" w:space="0"/>
            </w:tcBorders>
            <w:vAlign w:val="top"/>
          </w:tcPr>
          <w:p>
            <w:pPr>
              <w:pStyle w:val="6"/>
              <w:spacing w:before="37" w:line="222"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85"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32"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04:09~04:29</w:t>
            </w:r>
          </w:p>
        </w:tc>
        <w:tc>
          <w:tcPr>
            <w:tcW w:w="1200" w:type="dxa"/>
            <w:vMerge w:val="restart"/>
            <w:tcBorders>
              <w:bottom w:val="nil"/>
            </w:tcBorders>
            <w:vAlign w:val="top"/>
          </w:tcPr>
          <w:p>
            <w:pPr>
              <w:spacing w:line="386"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32"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c>
          <w:tcPr>
            <w:tcW w:w="688" w:type="dxa"/>
            <w:vMerge w:val="restart"/>
            <w:tcBorders>
              <w:bottom w:val="nil"/>
            </w:tcBorders>
            <w:vAlign w:val="top"/>
          </w:tcPr>
          <w:p>
            <w:pPr>
              <w:spacing w:line="432"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44.8</w:t>
            </w:r>
          </w:p>
        </w:tc>
        <w:tc>
          <w:tcPr>
            <w:tcW w:w="707" w:type="dxa"/>
            <w:vMerge w:val="restart"/>
            <w:tcBorders>
              <w:bottom w:val="nil"/>
            </w:tcBorders>
            <w:vAlign w:val="top"/>
          </w:tcPr>
          <w:p>
            <w:pPr>
              <w:spacing w:line="432" w:lineRule="auto"/>
              <w:rPr>
                <w:rFonts w:ascii="Arial"/>
                <w:sz w:val="21"/>
              </w:rPr>
            </w:pPr>
          </w:p>
          <w:p>
            <w:pPr>
              <w:spacing w:before="60"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687" w:type="dxa"/>
            <w:vMerge w:val="restart"/>
            <w:tcBorders>
              <w:bottom w:val="nil"/>
            </w:tcBorders>
            <w:vAlign w:val="top"/>
          </w:tcPr>
          <w:p>
            <w:pPr>
              <w:spacing w:line="432" w:lineRule="auto"/>
              <w:rPr>
                <w:rFonts w:ascii="Arial"/>
                <w:sz w:val="21"/>
              </w:rPr>
            </w:pPr>
          </w:p>
          <w:p>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34.6</w:t>
            </w:r>
          </w:p>
        </w:tc>
        <w:tc>
          <w:tcPr>
            <w:tcW w:w="707" w:type="dxa"/>
            <w:vMerge w:val="restart"/>
            <w:tcBorders>
              <w:bottom w:val="nil"/>
            </w:tcBorders>
            <w:vAlign w:val="top"/>
          </w:tcPr>
          <w:p>
            <w:pPr>
              <w:spacing w:line="432"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58.8</w:t>
            </w:r>
          </w:p>
        </w:tc>
        <w:tc>
          <w:tcPr>
            <w:tcW w:w="690" w:type="dxa"/>
            <w:vMerge w:val="restart"/>
            <w:tcBorders>
              <w:bottom w:val="nil"/>
            </w:tcBorders>
            <w:vAlign w:val="top"/>
          </w:tcPr>
          <w:p>
            <w:pPr>
              <w:spacing w:line="432"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30.3</w:t>
            </w:r>
          </w:p>
        </w:tc>
        <w:tc>
          <w:tcPr>
            <w:tcW w:w="650" w:type="dxa"/>
            <w:vMerge w:val="restart"/>
            <w:tcBorders>
              <w:bottom w:val="nil"/>
            </w:tcBorders>
            <w:vAlign w:val="top"/>
          </w:tcPr>
          <w:p>
            <w:pPr>
              <w:spacing w:line="432" w:lineRule="auto"/>
              <w:rPr>
                <w:rFonts w:ascii="Arial"/>
                <w:sz w:val="21"/>
              </w:rPr>
            </w:pPr>
          </w:p>
          <w:p>
            <w:pPr>
              <w:spacing w:before="6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644" w:type="dxa"/>
            <w:vAlign w:val="top"/>
          </w:tcPr>
          <w:p>
            <w:pPr>
              <w:spacing w:before="223" w:line="186"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647" w:type="dxa"/>
            <w:vAlign w:val="top"/>
          </w:tcPr>
          <w:p>
            <w:pPr>
              <w:spacing w:before="223"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23" w:line="186"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459" w:type="dxa"/>
            <w:tcBorders>
              <w:right w:val="single" w:color="000000" w:sz="10" w:space="0"/>
            </w:tcBorders>
            <w:vAlign w:val="top"/>
          </w:tcPr>
          <w:p>
            <w:pPr>
              <w:pStyle w:val="6"/>
              <w:spacing w:before="39" w:line="222"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7" w:line="183" w:lineRule="auto"/>
              <w:ind w:left="29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47" w:type="dxa"/>
            <w:vAlign w:val="top"/>
          </w:tcPr>
          <w:p>
            <w:pPr>
              <w:spacing w:before="225" w:line="186" w:lineRule="auto"/>
              <w:ind w:left="28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40" w:type="dxa"/>
            <w:vAlign w:val="top"/>
          </w:tcPr>
          <w:p>
            <w:pPr>
              <w:spacing w:before="227" w:line="183" w:lineRule="auto"/>
              <w:ind w:left="33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459" w:type="dxa"/>
            <w:tcBorders>
              <w:right w:val="single" w:color="000000" w:sz="10" w:space="0"/>
            </w:tcBorders>
            <w:vAlign w:val="top"/>
          </w:tcPr>
          <w:p>
            <w:pPr>
              <w:pStyle w:val="6"/>
              <w:spacing w:before="40" w:line="221"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88"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34"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05:09~05:29</w:t>
            </w:r>
          </w:p>
        </w:tc>
        <w:tc>
          <w:tcPr>
            <w:tcW w:w="1200" w:type="dxa"/>
            <w:vMerge w:val="restart"/>
            <w:tcBorders>
              <w:bottom w:val="nil"/>
            </w:tcBorders>
            <w:vAlign w:val="top"/>
          </w:tcPr>
          <w:p>
            <w:pPr>
              <w:spacing w:line="389"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34"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41.9</w:t>
            </w:r>
          </w:p>
        </w:tc>
        <w:tc>
          <w:tcPr>
            <w:tcW w:w="688" w:type="dxa"/>
            <w:vMerge w:val="restart"/>
            <w:tcBorders>
              <w:bottom w:val="nil"/>
            </w:tcBorders>
            <w:vAlign w:val="top"/>
          </w:tcPr>
          <w:p>
            <w:pPr>
              <w:spacing w:line="434" w:lineRule="auto"/>
              <w:rPr>
                <w:rFonts w:ascii="Arial"/>
                <w:sz w:val="21"/>
              </w:rPr>
            </w:pPr>
          </w:p>
          <w:p>
            <w:pPr>
              <w:spacing w:before="6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44.8</w:t>
            </w:r>
          </w:p>
        </w:tc>
        <w:tc>
          <w:tcPr>
            <w:tcW w:w="707" w:type="dxa"/>
            <w:vMerge w:val="restart"/>
            <w:tcBorders>
              <w:bottom w:val="nil"/>
            </w:tcBorders>
            <w:vAlign w:val="top"/>
          </w:tcPr>
          <w:p>
            <w:pPr>
              <w:spacing w:line="434" w:lineRule="auto"/>
              <w:rPr>
                <w:rFonts w:ascii="Arial"/>
                <w:sz w:val="21"/>
              </w:rPr>
            </w:pPr>
          </w:p>
          <w:p>
            <w:pPr>
              <w:spacing w:before="61"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39.6</w:t>
            </w:r>
          </w:p>
        </w:tc>
        <w:tc>
          <w:tcPr>
            <w:tcW w:w="687" w:type="dxa"/>
            <w:vMerge w:val="restart"/>
            <w:tcBorders>
              <w:bottom w:val="nil"/>
            </w:tcBorders>
            <w:vAlign w:val="top"/>
          </w:tcPr>
          <w:p>
            <w:pPr>
              <w:spacing w:line="434"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w:t>
            </w:r>
          </w:p>
        </w:tc>
        <w:tc>
          <w:tcPr>
            <w:tcW w:w="707" w:type="dxa"/>
            <w:vMerge w:val="restart"/>
            <w:tcBorders>
              <w:bottom w:val="nil"/>
            </w:tcBorders>
            <w:vAlign w:val="top"/>
          </w:tcPr>
          <w:p>
            <w:pPr>
              <w:spacing w:line="434" w:lineRule="auto"/>
              <w:rPr>
                <w:rFonts w:ascii="Arial"/>
                <w:sz w:val="21"/>
              </w:rPr>
            </w:pPr>
          </w:p>
          <w:p>
            <w:pPr>
              <w:spacing w:before="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62.3</w:t>
            </w:r>
          </w:p>
        </w:tc>
        <w:tc>
          <w:tcPr>
            <w:tcW w:w="690" w:type="dxa"/>
            <w:vMerge w:val="restart"/>
            <w:tcBorders>
              <w:bottom w:val="nil"/>
            </w:tcBorders>
            <w:vAlign w:val="top"/>
          </w:tcPr>
          <w:p>
            <w:pPr>
              <w:spacing w:line="434"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29.8</w:t>
            </w:r>
          </w:p>
        </w:tc>
        <w:tc>
          <w:tcPr>
            <w:tcW w:w="650" w:type="dxa"/>
            <w:vMerge w:val="restart"/>
            <w:tcBorders>
              <w:bottom w:val="nil"/>
            </w:tcBorders>
            <w:vAlign w:val="top"/>
          </w:tcPr>
          <w:p>
            <w:pPr>
              <w:spacing w:line="434" w:lineRule="auto"/>
              <w:rPr>
                <w:rFonts w:ascii="Arial"/>
                <w:sz w:val="21"/>
              </w:rPr>
            </w:pPr>
          </w:p>
          <w:p>
            <w:pPr>
              <w:spacing w:before="61"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644" w:type="dxa"/>
            <w:vAlign w:val="top"/>
          </w:tcPr>
          <w:p>
            <w:pPr>
              <w:spacing w:before="226" w:line="186" w:lineRule="auto"/>
              <w:ind w:left="30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47" w:type="dxa"/>
            <w:vAlign w:val="top"/>
          </w:tcPr>
          <w:p>
            <w:pPr>
              <w:spacing w:before="226"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2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459" w:type="dxa"/>
            <w:tcBorders>
              <w:right w:val="single" w:color="000000" w:sz="10" w:space="0"/>
            </w:tcBorders>
            <w:vAlign w:val="top"/>
          </w:tcPr>
          <w:p>
            <w:pPr>
              <w:pStyle w:val="6"/>
              <w:spacing w:before="42" w:line="220"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7" w:line="186" w:lineRule="auto"/>
              <w:ind w:left="2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tc>
        <w:tc>
          <w:tcPr>
            <w:tcW w:w="647" w:type="dxa"/>
            <w:vAlign w:val="top"/>
          </w:tcPr>
          <w:p>
            <w:pPr>
              <w:spacing w:before="227" w:line="186"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740" w:type="dxa"/>
            <w:vAlign w:val="top"/>
          </w:tcPr>
          <w:p>
            <w:pPr>
              <w:spacing w:before="227" w:line="186"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459" w:type="dxa"/>
            <w:tcBorders>
              <w:right w:val="single" w:color="000000" w:sz="10" w:space="0"/>
            </w:tcBorders>
            <w:vAlign w:val="top"/>
          </w:tcPr>
          <w:p>
            <w:pPr>
              <w:pStyle w:val="6"/>
              <w:spacing w:before="42" w:line="221"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89"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35"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06:09~06:29</w:t>
            </w:r>
          </w:p>
        </w:tc>
        <w:tc>
          <w:tcPr>
            <w:tcW w:w="1200" w:type="dxa"/>
            <w:vMerge w:val="restart"/>
            <w:tcBorders>
              <w:bottom w:val="nil"/>
            </w:tcBorders>
            <w:vAlign w:val="top"/>
          </w:tcPr>
          <w:p>
            <w:pPr>
              <w:spacing w:line="389" w:lineRule="auto"/>
              <w:rPr>
                <w:rFonts w:ascii="Arial"/>
                <w:sz w:val="21"/>
              </w:rPr>
            </w:pPr>
          </w:p>
          <w:p>
            <w:pPr>
              <w:pStyle w:val="6"/>
              <w:spacing w:before="69" w:line="221" w:lineRule="auto"/>
              <w:ind w:left="181"/>
            </w:pPr>
            <w:r>
              <w:rPr>
                <w:spacing w:val="-2"/>
              </w:rPr>
              <w:t>环境噪声</w:t>
            </w:r>
          </w:p>
        </w:tc>
        <w:tc>
          <w:tcPr>
            <w:tcW w:w="707" w:type="dxa"/>
            <w:vMerge w:val="restart"/>
            <w:tcBorders>
              <w:bottom w:val="nil"/>
            </w:tcBorders>
            <w:vAlign w:val="top"/>
          </w:tcPr>
          <w:p>
            <w:pPr>
              <w:spacing w:line="435"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43.7</w:t>
            </w:r>
          </w:p>
        </w:tc>
        <w:tc>
          <w:tcPr>
            <w:tcW w:w="688" w:type="dxa"/>
            <w:vMerge w:val="restart"/>
            <w:tcBorders>
              <w:bottom w:val="nil"/>
            </w:tcBorders>
            <w:vAlign w:val="top"/>
          </w:tcPr>
          <w:p>
            <w:pPr>
              <w:spacing w:line="435" w:lineRule="auto"/>
              <w:rPr>
                <w:rFonts w:ascii="Arial"/>
                <w:sz w:val="21"/>
              </w:rPr>
            </w:pPr>
          </w:p>
          <w:p>
            <w:pPr>
              <w:spacing w:before="6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47.0</w:t>
            </w:r>
          </w:p>
        </w:tc>
        <w:tc>
          <w:tcPr>
            <w:tcW w:w="707" w:type="dxa"/>
            <w:vMerge w:val="restart"/>
            <w:tcBorders>
              <w:bottom w:val="nil"/>
            </w:tcBorders>
            <w:vAlign w:val="top"/>
          </w:tcPr>
          <w:p>
            <w:pPr>
              <w:spacing w:line="435" w:lineRule="auto"/>
              <w:rPr>
                <w:rFonts w:ascii="Arial"/>
                <w:sz w:val="21"/>
              </w:rPr>
            </w:pPr>
          </w:p>
          <w:p>
            <w:pPr>
              <w:spacing w:before="6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c>
          <w:tcPr>
            <w:tcW w:w="687" w:type="dxa"/>
            <w:vMerge w:val="restart"/>
            <w:tcBorders>
              <w:bottom w:val="nil"/>
            </w:tcBorders>
            <w:vAlign w:val="top"/>
          </w:tcPr>
          <w:p>
            <w:pPr>
              <w:spacing w:line="435"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37.2</w:t>
            </w:r>
          </w:p>
        </w:tc>
        <w:tc>
          <w:tcPr>
            <w:tcW w:w="707" w:type="dxa"/>
            <w:vMerge w:val="restart"/>
            <w:tcBorders>
              <w:bottom w:val="nil"/>
            </w:tcBorders>
            <w:vAlign w:val="top"/>
          </w:tcPr>
          <w:p>
            <w:pPr>
              <w:spacing w:line="435" w:lineRule="auto"/>
              <w:rPr>
                <w:rFonts w:ascii="Arial"/>
                <w:sz w:val="21"/>
              </w:rPr>
            </w:pPr>
          </w:p>
          <w:p>
            <w:pPr>
              <w:spacing w:before="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61.9</w:t>
            </w:r>
          </w:p>
        </w:tc>
        <w:tc>
          <w:tcPr>
            <w:tcW w:w="690" w:type="dxa"/>
            <w:vMerge w:val="restart"/>
            <w:tcBorders>
              <w:bottom w:val="nil"/>
            </w:tcBorders>
            <w:vAlign w:val="top"/>
          </w:tcPr>
          <w:p>
            <w:pPr>
              <w:spacing w:line="435"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650" w:type="dxa"/>
            <w:vMerge w:val="restart"/>
            <w:tcBorders>
              <w:bottom w:val="nil"/>
            </w:tcBorders>
            <w:vAlign w:val="top"/>
          </w:tcPr>
          <w:p>
            <w:pPr>
              <w:spacing w:line="435" w:lineRule="auto"/>
              <w:rPr>
                <w:rFonts w:ascii="Arial"/>
                <w:sz w:val="21"/>
              </w:rPr>
            </w:pPr>
          </w:p>
          <w:p>
            <w:pPr>
              <w:spacing w:before="61"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644" w:type="dxa"/>
            <w:vAlign w:val="top"/>
          </w:tcPr>
          <w:p>
            <w:pPr>
              <w:spacing w:before="229" w:line="186"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647" w:type="dxa"/>
            <w:vAlign w:val="top"/>
          </w:tcPr>
          <w:p>
            <w:pPr>
              <w:spacing w:before="229"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29" w:line="186"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459" w:type="dxa"/>
            <w:tcBorders>
              <w:right w:val="single" w:color="000000" w:sz="10" w:space="0"/>
            </w:tcBorders>
            <w:vAlign w:val="top"/>
          </w:tcPr>
          <w:p>
            <w:pPr>
              <w:pStyle w:val="6"/>
              <w:spacing w:before="44" w:line="219"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30" w:line="186"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w:t>
            </w:r>
          </w:p>
        </w:tc>
        <w:tc>
          <w:tcPr>
            <w:tcW w:w="647" w:type="dxa"/>
            <w:vAlign w:val="top"/>
          </w:tcPr>
          <w:p>
            <w:pPr>
              <w:spacing w:before="230" w:line="186" w:lineRule="auto"/>
              <w:ind w:left="28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40" w:type="dxa"/>
            <w:vAlign w:val="top"/>
          </w:tcPr>
          <w:p>
            <w:pPr>
              <w:spacing w:before="230" w:line="186" w:lineRule="auto"/>
              <w:ind w:left="30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tc>
        <w:tc>
          <w:tcPr>
            <w:tcW w:w="1459" w:type="dxa"/>
            <w:tcBorders>
              <w:right w:val="single" w:color="000000" w:sz="10" w:space="0"/>
            </w:tcBorders>
            <w:vAlign w:val="top"/>
          </w:tcPr>
          <w:p>
            <w:pPr>
              <w:pStyle w:val="6"/>
              <w:spacing w:before="46" w:line="218"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94" w:lineRule="auto"/>
              <w:rPr>
                <w:rFonts w:ascii="Arial"/>
                <w:sz w:val="21"/>
              </w:rPr>
            </w:pPr>
          </w:p>
          <w:p>
            <w:pPr>
              <w:pStyle w:val="6"/>
              <w:spacing w:before="69"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41"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07:09~07:29</w:t>
            </w:r>
          </w:p>
        </w:tc>
        <w:tc>
          <w:tcPr>
            <w:tcW w:w="1200" w:type="dxa"/>
            <w:vMerge w:val="restart"/>
            <w:tcBorders>
              <w:bottom w:val="nil"/>
            </w:tcBorders>
            <w:vAlign w:val="top"/>
          </w:tcPr>
          <w:p>
            <w:pPr>
              <w:spacing w:line="395"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41"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46.2</w:t>
            </w:r>
          </w:p>
        </w:tc>
        <w:tc>
          <w:tcPr>
            <w:tcW w:w="688" w:type="dxa"/>
            <w:vMerge w:val="restart"/>
            <w:tcBorders>
              <w:bottom w:val="nil"/>
            </w:tcBorders>
            <w:vAlign w:val="top"/>
          </w:tcPr>
          <w:p>
            <w:pPr>
              <w:spacing w:line="441"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49.6</w:t>
            </w:r>
          </w:p>
        </w:tc>
        <w:tc>
          <w:tcPr>
            <w:tcW w:w="707" w:type="dxa"/>
            <w:vMerge w:val="restart"/>
            <w:tcBorders>
              <w:bottom w:val="nil"/>
            </w:tcBorders>
            <w:vAlign w:val="top"/>
          </w:tcPr>
          <w:p>
            <w:pPr>
              <w:spacing w:line="441" w:lineRule="auto"/>
              <w:rPr>
                <w:rFonts w:ascii="Arial"/>
                <w:sz w:val="21"/>
              </w:rPr>
            </w:pPr>
          </w:p>
          <w:p>
            <w:pPr>
              <w:spacing w:before="6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43.0</w:t>
            </w:r>
          </w:p>
        </w:tc>
        <w:tc>
          <w:tcPr>
            <w:tcW w:w="687" w:type="dxa"/>
            <w:vMerge w:val="restart"/>
            <w:tcBorders>
              <w:bottom w:val="nil"/>
            </w:tcBorders>
            <w:vAlign w:val="top"/>
          </w:tcPr>
          <w:p>
            <w:pPr>
              <w:spacing w:line="441" w:lineRule="auto"/>
              <w:rPr>
                <w:rFonts w:ascii="Arial"/>
                <w:sz w:val="21"/>
              </w:rPr>
            </w:pPr>
          </w:p>
          <w:p>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38.0</w:t>
            </w:r>
          </w:p>
        </w:tc>
        <w:tc>
          <w:tcPr>
            <w:tcW w:w="707" w:type="dxa"/>
            <w:vMerge w:val="restart"/>
            <w:tcBorders>
              <w:bottom w:val="nil"/>
            </w:tcBorders>
            <w:vAlign w:val="top"/>
          </w:tcPr>
          <w:p>
            <w:pPr>
              <w:spacing w:line="441" w:lineRule="auto"/>
              <w:rPr>
                <w:rFonts w:ascii="Arial"/>
                <w:sz w:val="21"/>
              </w:rPr>
            </w:pPr>
          </w:p>
          <w:p>
            <w:pPr>
              <w:spacing w:before="6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61.4</w:t>
            </w:r>
          </w:p>
        </w:tc>
        <w:tc>
          <w:tcPr>
            <w:tcW w:w="690" w:type="dxa"/>
            <w:vMerge w:val="restart"/>
            <w:tcBorders>
              <w:bottom w:val="nil"/>
            </w:tcBorders>
            <w:vAlign w:val="top"/>
          </w:tcPr>
          <w:p>
            <w:pPr>
              <w:spacing w:line="441"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32.1</w:t>
            </w:r>
          </w:p>
        </w:tc>
        <w:tc>
          <w:tcPr>
            <w:tcW w:w="650" w:type="dxa"/>
            <w:vMerge w:val="restart"/>
            <w:tcBorders>
              <w:bottom w:val="nil"/>
            </w:tcBorders>
            <w:vAlign w:val="top"/>
          </w:tcPr>
          <w:p>
            <w:pPr>
              <w:spacing w:line="441" w:lineRule="auto"/>
              <w:rPr>
                <w:rFonts w:ascii="Arial"/>
                <w:sz w:val="21"/>
              </w:rPr>
            </w:pPr>
          </w:p>
          <w:p>
            <w:pPr>
              <w:spacing w:before="60"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644" w:type="dxa"/>
            <w:vAlign w:val="top"/>
          </w:tcPr>
          <w:p>
            <w:pPr>
              <w:spacing w:before="232" w:line="186"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647" w:type="dxa"/>
            <w:vAlign w:val="top"/>
          </w:tcPr>
          <w:p>
            <w:pPr>
              <w:spacing w:before="232"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740" w:type="dxa"/>
            <w:vAlign w:val="top"/>
          </w:tcPr>
          <w:p>
            <w:pPr>
              <w:spacing w:before="233" w:line="186" w:lineRule="auto"/>
              <w:ind w:left="330"/>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459" w:type="dxa"/>
            <w:tcBorders>
              <w:right w:val="single" w:color="000000" w:sz="10" w:space="0"/>
            </w:tcBorders>
            <w:vAlign w:val="top"/>
          </w:tcPr>
          <w:p>
            <w:pPr>
              <w:pStyle w:val="6"/>
              <w:spacing w:before="49" w:line="218"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34" w:line="186"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w:t>
            </w:r>
          </w:p>
        </w:tc>
        <w:tc>
          <w:tcPr>
            <w:tcW w:w="647" w:type="dxa"/>
            <w:vAlign w:val="top"/>
          </w:tcPr>
          <w:p>
            <w:pPr>
              <w:spacing w:before="234" w:line="186" w:lineRule="auto"/>
              <w:ind w:left="284"/>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740" w:type="dxa"/>
            <w:vAlign w:val="top"/>
          </w:tcPr>
          <w:p>
            <w:pPr>
              <w:spacing w:before="234" w:line="186"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459" w:type="dxa"/>
            <w:tcBorders>
              <w:right w:val="single" w:color="000000" w:sz="10" w:space="0"/>
            </w:tcBorders>
            <w:vAlign w:val="top"/>
          </w:tcPr>
          <w:p>
            <w:pPr>
              <w:pStyle w:val="6"/>
              <w:spacing w:before="49" w:line="217"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98"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444"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08:09~08:29</w:t>
            </w:r>
          </w:p>
        </w:tc>
        <w:tc>
          <w:tcPr>
            <w:tcW w:w="1200" w:type="dxa"/>
            <w:vMerge w:val="restart"/>
            <w:tcBorders>
              <w:bottom w:val="nil"/>
            </w:tcBorders>
            <w:vAlign w:val="top"/>
          </w:tcPr>
          <w:p>
            <w:pPr>
              <w:spacing w:line="399" w:lineRule="auto"/>
              <w:rPr>
                <w:rFonts w:ascii="Arial"/>
                <w:sz w:val="21"/>
              </w:rPr>
            </w:pPr>
          </w:p>
          <w:p>
            <w:pPr>
              <w:pStyle w:val="6"/>
              <w:spacing w:before="68" w:line="221" w:lineRule="auto"/>
              <w:ind w:left="181"/>
            </w:pPr>
            <w:r>
              <w:rPr>
                <w:spacing w:val="-2"/>
              </w:rPr>
              <w:t>环境噪声</w:t>
            </w:r>
          </w:p>
        </w:tc>
        <w:tc>
          <w:tcPr>
            <w:tcW w:w="707" w:type="dxa"/>
            <w:vMerge w:val="restart"/>
            <w:tcBorders>
              <w:bottom w:val="nil"/>
            </w:tcBorders>
            <w:vAlign w:val="top"/>
          </w:tcPr>
          <w:p>
            <w:pPr>
              <w:spacing w:line="444"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46.2</w:t>
            </w:r>
          </w:p>
        </w:tc>
        <w:tc>
          <w:tcPr>
            <w:tcW w:w="688" w:type="dxa"/>
            <w:vMerge w:val="restart"/>
            <w:tcBorders>
              <w:bottom w:val="nil"/>
            </w:tcBorders>
            <w:vAlign w:val="top"/>
          </w:tcPr>
          <w:p>
            <w:pPr>
              <w:spacing w:line="444" w:lineRule="auto"/>
              <w:rPr>
                <w:rFonts w:ascii="Arial"/>
                <w:sz w:val="21"/>
              </w:rPr>
            </w:pPr>
          </w:p>
          <w:p>
            <w:pPr>
              <w:spacing w:before="6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49.6</w:t>
            </w:r>
          </w:p>
        </w:tc>
        <w:tc>
          <w:tcPr>
            <w:tcW w:w="707" w:type="dxa"/>
            <w:vMerge w:val="restart"/>
            <w:tcBorders>
              <w:bottom w:val="nil"/>
            </w:tcBorders>
            <w:vAlign w:val="top"/>
          </w:tcPr>
          <w:p>
            <w:pPr>
              <w:spacing w:line="444" w:lineRule="auto"/>
              <w:rPr>
                <w:rFonts w:ascii="Arial"/>
                <w:sz w:val="21"/>
              </w:rPr>
            </w:pPr>
          </w:p>
          <w:p>
            <w:pPr>
              <w:spacing w:before="61"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687" w:type="dxa"/>
            <w:vMerge w:val="restart"/>
            <w:tcBorders>
              <w:bottom w:val="nil"/>
            </w:tcBorders>
            <w:vAlign w:val="top"/>
          </w:tcPr>
          <w:p>
            <w:pPr>
              <w:spacing w:line="444"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34.6</w:t>
            </w:r>
          </w:p>
        </w:tc>
        <w:tc>
          <w:tcPr>
            <w:tcW w:w="707" w:type="dxa"/>
            <w:vMerge w:val="restart"/>
            <w:tcBorders>
              <w:bottom w:val="nil"/>
            </w:tcBorders>
            <w:vAlign w:val="top"/>
          </w:tcPr>
          <w:p>
            <w:pPr>
              <w:spacing w:line="444" w:lineRule="auto"/>
              <w:rPr>
                <w:rFonts w:ascii="Arial"/>
                <w:sz w:val="21"/>
              </w:rPr>
            </w:pPr>
          </w:p>
          <w:p>
            <w:pPr>
              <w:spacing w:before="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63.2</w:t>
            </w:r>
          </w:p>
        </w:tc>
        <w:tc>
          <w:tcPr>
            <w:tcW w:w="690" w:type="dxa"/>
            <w:vMerge w:val="restart"/>
            <w:tcBorders>
              <w:bottom w:val="nil"/>
            </w:tcBorders>
            <w:vAlign w:val="top"/>
          </w:tcPr>
          <w:p>
            <w:pPr>
              <w:spacing w:line="444"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28.7</w:t>
            </w:r>
          </w:p>
        </w:tc>
        <w:tc>
          <w:tcPr>
            <w:tcW w:w="650" w:type="dxa"/>
            <w:vMerge w:val="restart"/>
            <w:tcBorders>
              <w:bottom w:val="nil"/>
            </w:tcBorders>
            <w:vAlign w:val="top"/>
          </w:tcPr>
          <w:p>
            <w:pPr>
              <w:spacing w:line="444" w:lineRule="auto"/>
              <w:rPr>
                <w:rFonts w:ascii="Arial"/>
                <w:sz w:val="21"/>
              </w:rPr>
            </w:pPr>
          </w:p>
          <w:p>
            <w:pPr>
              <w:spacing w:before="61"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w:t>
            </w:r>
          </w:p>
        </w:tc>
        <w:tc>
          <w:tcPr>
            <w:tcW w:w="644" w:type="dxa"/>
            <w:vAlign w:val="top"/>
          </w:tcPr>
          <w:p>
            <w:pPr>
              <w:spacing w:before="236" w:line="186"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tc>
        <w:tc>
          <w:tcPr>
            <w:tcW w:w="647" w:type="dxa"/>
            <w:vAlign w:val="top"/>
          </w:tcPr>
          <w:p>
            <w:pPr>
              <w:spacing w:before="236" w:line="186" w:lineRule="auto"/>
              <w:ind w:left="30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740" w:type="dxa"/>
            <w:vAlign w:val="top"/>
          </w:tcPr>
          <w:p>
            <w:pPr>
              <w:spacing w:before="236" w:line="186" w:lineRule="auto"/>
              <w:ind w:left="338"/>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459" w:type="dxa"/>
            <w:tcBorders>
              <w:right w:val="single" w:color="000000" w:sz="10" w:space="0"/>
            </w:tcBorders>
            <w:vAlign w:val="top"/>
          </w:tcPr>
          <w:p>
            <w:pPr>
              <w:pStyle w:val="6"/>
              <w:spacing w:before="52" w:line="215"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38" w:line="186"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tc>
        <w:tc>
          <w:tcPr>
            <w:tcW w:w="647" w:type="dxa"/>
            <w:vAlign w:val="top"/>
          </w:tcPr>
          <w:p>
            <w:pPr>
              <w:spacing w:before="238" w:line="186"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740" w:type="dxa"/>
            <w:vAlign w:val="top"/>
          </w:tcPr>
          <w:p>
            <w:pPr>
              <w:spacing w:before="238" w:line="186"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459" w:type="dxa"/>
            <w:tcBorders>
              <w:right w:val="single" w:color="000000" w:sz="10" w:space="0"/>
            </w:tcBorders>
            <w:vAlign w:val="top"/>
          </w:tcPr>
          <w:p>
            <w:pPr>
              <w:pStyle w:val="6"/>
              <w:spacing w:before="53" w:line="216"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04" w:type="dxa"/>
            <w:vMerge w:val="continue"/>
            <w:tcBorders>
              <w:top w:val="nil"/>
              <w:left w:val="single" w:color="000000" w:sz="10" w:space="0"/>
              <w:bottom w:val="single" w:color="000000" w:sz="10" w:space="0"/>
            </w:tcBorders>
            <w:textDirection w:val="tbRlV"/>
            <w:vAlign w:val="top"/>
          </w:tcPr>
          <w:p>
            <w:pPr>
              <w:rPr>
                <w:rFonts w:ascii="Arial"/>
                <w:sz w:val="21"/>
              </w:rPr>
            </w:pPr>
          </w:p>
        </w:tc>
        <w:tc>
          <w:tcPr>
            <w:tcW w:w="951" w:type="dxa"/>
            <w:vMerge w:val="continue"/>
            <w:tcBorders>
              <w:top w:val="nil"/>
              <w:bottom w:val="single" w:color="000000" w:sz="10" w:space="0"/>
            </w:tcBorders>
            <w:vAlign w:val="top"/>
          </w:tcPr>
          <w:p>
            <w:pPr>
              <w:rPr>
                <w:rFonts w:ascii="Arial"/>
                <w:sz w:val="21"/>
              </w:rPr>
            </w:pPr>
          </w:p>
        </w:tc>
        <w:tc>
          <w:tcPr>
            <w:tcW w:w="1905" w:type="dxa"/>
            <w:tcBorders>
              <w:bottom w:val="single" w:color="000000" w:sz="10" w:space="0"/>
            </w:tcBorders>
            <w:vAlign w:val="top"/>
          </w:tcPr>
          <w:p>
            <w:pPr>
              <w:pStyle w:val="6"/>
              <w:spacing w:before="191"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tcBorders>
              <w:bottom w:val="single" w:color="000000" w:sz="10" w:space="0"/>
            </w:tcBorders>
            <w:vAlign w:val="top"/>
          </w:tcPr>
          <w:p>
            <w:pPr>
              <w:spacing w:before="23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09:09~09:29</w:t>
            </w:r>
          </w:p>
        </w:tc>
        <w:tc>
          <w:tcPr>
            <w:tcW w:w="1200" w:type="dxa"/>
            <w:tcBorders>
              <w:bottom w:val="single" w:color="000000" w:sz="10" w:space="0"/>
            </w:tcBorders>
            <w:vAlign w:val="top"/>
          </w:tcPr>
          <w:p>
            <w:pPr>
              <w:pStyle w:val="6"/>
              <w:spacing w:before="192" w:line="221" w:lineRule="auto"/>
              <w:ind w:left="181"/>
            </w:pPr>
            <w:r>
              <w:rPr>
                <w:spacing w:val="-2"/>
              </w:rPr>
              <w:t>环境噪声</w:t>
            </w:r>
          </w:p>
        </w:tc>
        <w:tc>
          <w:tcPr>
            <w:tcW w:w="707" w:type="dxa"/>
            <w:tcBorders>
              <w:bottom w:val="single" w:color="000000" w:sz="10" w:space="0"/>
            </w:tcBorders>
            <w:vAlign w:val="top"/>
          </w:tcPr>
          <w:p>
            <w:pPr>
              <w:spacing w:before="23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45.9</w:t>
            </w:r>
          </w:p>
        </w:tc>
        <w:tc>
          <w:tcPr>
            <w:tcW w:w="688" w:type="dxa"/>
            <w:tcBorders>
              <w:bottom w:val="single" w:color="000000" w:sz="10" w:space="0"/>
            </w:tcBorders>
            <w:vAlign w:val="top"/>
          </w:tcPr>
          <w:p>
            <w:pPr>
              <w:spacing w:before="23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707" w:type="dxa"/>
            <w:tcBorders>
              <w:bottom w:val="single" w:color="000000" w:sz="10" w:space="0"/>
            </w:tcBorders>
            <w:vAlign w:val="top"/>
          </w:tcPr>
          <w:p>
            <w:pPr>
              <w:spacing w:before="23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w:t>
            </w:r>
          </w:p>
        </w:tc>
        <w:tc>
          <w:tcPr>
            <w:tcW w:w="687" w:type="dxa"/>
            <w:tcBorders>
              <w:bottom w:val="single" w:color="000000" w:sz="10" w:space="0"/>
            </w:tcBorders>
            <w:vAlign w:val="top"/>
          </w:tcPr>
          <w:p>
            <w:pPr>
              <w:spacing w:before="23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35.6</w:t>
            </w:r>
          </w:p>
        </w:tc>
        <w:tc>
          <w:tcPr>
            <w:tcW w:w="707" w:type="dxa"/>
            <w:tcBorders>
              <w:bottom w:val="single" w:color="000000" w:sz="10" w:space="0"/>
            </w:tcBorders>
            <w:vAlign w:val="top"/>
          </w:tcPr>
          <w:p>
            <w:pPr>
              <w:spacing w:before="23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66.9</w:t>
            </w:r>
          </w:p>
        </w:tc>
        <w:tc>
          <w:tcPr>
            <w:tcW w:w="690" w:type="dxa"/>
            <w:tcBorders>
              <w:bottom w:val="single" w:color="000000" w:sz="10" w:space="0"/>
            </w:tcBorders>
            <w:vAlign w:val="top"/>
          </w:tcPr>
          <w:p>
            <w:pPr>
              <w:spacing w:before="23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31.1</w:t>
            </w:r>
          </w:p>
        </w:tc>
        <w:tc>
          <w:tcPr>
            <w:tcW w:w="650" w:type="dxa"/>
            <w:tcBorders>
              <w:bottom w:val="single" w:color="000000" w:sz="10" w:space="0"/>
            </w:tcBorders>
            <w:vAlign w:val="top"/>
          </w:tcPr>
          <w:p>
            <w:pPr>
              <w:spacing w:before="230"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w:t>
            </w:r>
          </w:p>
        </w:tc>
        <w:tc>
          <w:tcPr>
            <w:tcW w:w="644" w:type="dxa"/>
            <w:tcBorders>
              <w:bottom w:val="single" w:color="000000" w:sz="10" w:space="0"/>
            </w:tcBorders>
            <w:vAlign w:val="top"/>
          </w:tcPr>
          <w:p>
            <w:pPr>
              <w:spacing w:before="240" w:line="186"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w:t>
            </w:r>
          </w:p>
        </w:tc>
        <w:tc>
          <w:tcPr>
            <w:tcW w:w="647" w:type="dxa"/>
            <w:tcBorders>
              <w:bottom w:val="single" w:color="000000" w:sz="10" w:space="0"/>
            </w:tcBorders>
            <w:vAlign w:val="top"/>
          </w:tcPr>
          <w:p>
            <w:pPr>
              <w:spacing w:before="240" w:line="186"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740" w:type="dxa"/>
            <w:tcBorders>
              <w:bottom w:val="single" w:color="000000" w:sz="10" w:space="0"/>
            </w:tcBorders>
            <w:vAlign w:val="top"/>
          </w:tcPr>
          <w:p>
            <w:pPr>
              <w:spacing w:before="242" w:line="183"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459" w:type="dxa"/>
            <w:tcBorders>
              <w:bottom w:val="single" w:color="000000" w:sz="10" w:space="0"/>
              <w:right w:val="single" w:color="000000" w:sz="10" w:space="0"/>
            </w:tcBorders>
            <w:vAlign w:val="top"/>
          </w:tcPr>
          <w:p>
            <w:pPr>
              <w:pStyle w:val="6"/>
              <w:spacing w:before="56" w:line="223"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bl>
    <w:p>
      <w:pPr>
        <w:pStyle w:val="2"/>
      </w:pPr>
    </w:p>
    <w:p>
      <w:pPr>
        <w:sectPr>
          <w:footerReference r:id="rId206" w:type="default"/>
          <w:pgSz w:w="16839" w:h="11907"/>
          <w:pgMar w:top="1260" w:right="1281" w:bottom="1151" w:left="1283" w:header="1019" w:footer="990" w:gutter="0"/>
          <w:cols w:space="720" w:num="1"/>
        </w:sectPr>
      </w:pPr>
    </w:p>
    <w:p>
      <w:pPr>
        <w:spacing w:line="155" w:lineRule="exact"/>
      </w:pPr>
    </w:p>
    <w:tbl>
      <w:tblPr>
        <w:tblStyle w:val="5"/>
        <w:tblW w:w="142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951"/>
        <w:gridCol w:w="1905"/>
        <w:gridCol w:w="1361"/>
        <w:gridCol w:w="1200"/>
        <w:gridCol w:w="707"/>
        <w:gridCol w:w="688"/>
        <w:gridCol w:w="707"/>
        <w:gridCol w:w="687"/>
        <w:gridCol w:w="707"/>
        <w:gridCol w:w="690"/>
        <w:gridCol w:w="650"/>
        <w:gridCol w:w="644"/>
        <w:gridCol w:w="647"/>
        <w:gridCol w:w="740"/>
        <w:gridCol w:w="1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04" w:type="dxa"/>
            <w:vMerge w:val="restart"/>
            <w:tcBorders>
              <w:top w:val="single" w:color="000000" w:sz="10" w:space="0"/>
              <w:left w:val="single" w:color="000000" w:sz="10" w:space="0"/>
              <w:bottom w:val="nil"/>
            </w:tcBorders>
            <w:textDirection w:val="tbRlV"/>
            <w:vAlign w:val="top"/>
          </w:tcPr>
          <w:p>
            <w:pPr>
              <w:pStyle w:val="6"/>
              <w:spacing w:before="144" w:line="211" w:lineRule="auto"/>
              <w:ind w:left="374"/>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951" w:type="dxa"/>
            <w:vMerge w:val="restart"/>
            <w:tcBorders>
              <w:top w:val="single" w:color="000000" w:sz="10" w:space="0"/>
              <w:bottom w:val="nil"/>
            </w:tcBorders>
            <w:vAlign w:val="top"/>
          </w:tcPr>
          <w:p>
            <w:pPr>
              <w:spacing w:line="304" w:lineRule="auto"/>
              <w:rPr>
                <w:rFonts w:ascii="Arial"/>
                <w:sz w:val="21"/>
              </w:rPr>
            </w:pPr>
          </w:p>
          <w:p>
            <w:pPr>
              <w:pStyle w:val="6"/>
              <w:spacing w:before="69" w:line="231" w:lineRule="auto"/>
              <w:ind w:left="367" w:right="170" w:hanging="199"/>
            </w:pPr>
            <w:r>
              <w:rPr>
                <w:spacing w:val="-8"/>
                <w14:textOutline w14:w="3831" w14:cap="flat" w14:cmpd="sng">
                  <w14:solidFill>
                    <w14:srgbClr w14:val="000000"/>
                  </w14:solidFill>
                  <w14:prstDash w14:val="solid"/>
                  <w14:miter w14:val="0"/>
                </w14:textOutline>
              </w:rPr>
              <w:t>检测点</w:t>
            </w:r>
            <w:r>
              <w:t xml:space="preserve"> </w:t>
            </w:r>
            <w:r>
              <w:rPr>
                <w14:textOutline w14:w="3831" w14:cap="flat" w14:cmpd="sng">
                  <w14:solidFill>
                    <w14:srgbClr w14:val="000000"/>
                  </w14:solidFill>
                  <w14:prstDash w14:val="solid"/>
                  <w14:miter w14:val="0"/>
                </w14:textOutline>
              </w:rPr>
              <w:t>位</w:t>
            </w:r>
          </w:p>
        </w:tc>
        <w:tc>
          <w:tcPr>
            <w:tcW w:w="3266" w:type="dxa"/>
            <w:gridSpan w:val="2"/>
            <w:vMerge w:val="restart"/>
            <w:tcBorders>
              <w:top w:val="single" w:color="000000" w:sz="10" w:space="0"/>
              <w:bottom w:val="nil"/>
            </w:tcBorders>
            <w:vAlign w:val="top"/>
          </w:tcPr>
          <w:p>
            <w:pPr>
              <w:spacing w:line="439" w:lineRule="auto"/>
              <w:rPr>
                <w:rFonts w:ascii="Arial"/>
                <w:sz w:val="21"/>
              </w:rPr>
            </w:pPr>
            <w:r>
              <w:pict>
                <v:rect id="_x0000_s1033" o:spid="_x0000_s1033" o:spt="1" style="position:absolute;left:0pt;margin-left:94.7pt;margin-top:62.75pt;height:28pt;width:0.5pt;mso-position-horizontal-relative:page;mso-position-vertical-relative:page;z-index:251712512;mso-width-relative:page;mso-height-relative:page;" fillcolor="#000000" filled="t" stroked="f" coordsize="21600,21600">
                  <v:path/>
                  <v:fill on="t" focussize="0,0"/>
                  <v:stroke on="f"/>
                  <v:imagedata o:title=""/>
                  <o:lock v:ext="edit"/>
                </v:rect>
              </w:pict>
            </w:r>
          </w:p>
          <w:p>
            <w:pPr>
              <w:pStyle w:val="6"/>
              <w:spacing w:before="68" w:line="221" w:lineRule="auto"/>
              <w:ind w:left="1209"/>
            </w:pPr>
            <w:r>
              <w:rPr>
                <w:spacing w:val="-1"/>
                <w14:textOutline w14:w="3831" w14:cap="flat" w14:cmpd="sng">
                  <w14:solidFill>
                    <w14:srgbClr w14:val="000000"/>
                  </w14:solidFill>
                  <w14:prstDash w14:val="solid"/>
                  <w14:miter w14:val="0"/>
                </w14:textOutline>
              </w:rPr>
              <w:t>检测时间</w:t>
            </w:r>
          </w:p>
        </w:tc>
        <w:tc>
          <w:tcPr>
            <w:tcW w:w="1200" w:type="dxa"/>
            <w:vMerge w:val="restart"/>
            <w:tcBorders>
              <w:top w:val="single" w:color="000000" w:sz="10" w:space="0"/>
              <w:bottom w:val="nil"/>
            </w:tcBorders>
            <w:vAlign w:val="top"/>
          </w:tcPr>
          <w:p>
            <w:pPr>
              <w:spacing w:line="440" w:lineRule="auto"/>
              <w:rPr>
                <w:rFonts w:ascii="Arial"/>
                <w:sz w:val="21"/>
              </w:rPr>
            </w:pPr>
          </w:p>
          <w:p>
            <w:pPr>
              <w:pStyle w:val="6"/>
              <w:spacing w:before="68" w:line="221" w:lineRule="auto"/>
              <w:ind w:left="202"/>
            </w:pPr>
            <w:r>
              <w:rPr>
                <w:spacing w:val="-7"/>
                <w14:textOutline w14:w="3831" w14:cap="flat" w14:cmpd="sng">
                  <w14:solidFill>
                    <w14:srgbClr w14:val="000000"/>
                  </w14:solidFill>
                  <w14:prstDash w14:val="solid"/>
                  <w14:miter w14:val="0"/>
                </w14:textOutline>
              </w:rPr>
              <w:t>主要声源</w:t>
            </w:r>
          </w:p>
        </w:tc>
        <w:tc>
          <w:tcPr>
            <w:tcW w:w="4836" w:type="dxa"/>
            <w:gridSpan w:val="7"/>
            <w:tcBorders>
              <w:top w:val="single" w:color="000000" w:sz="10" w:space="0"/>
            </w:tcBorders>
            <w:vAlign w:val="top"/>
          </w:tcPr>
          <w:p>
            <w:pPr>
              <w:pStyle w:val="6"/>
              <w:spacing w:before="184" w:line="221" w:lineRule="auto"/>
              <w:ind w:left="2022"/>
            </w:pPr>
            <w:r>
              <w:rPr>
                <w:spacing w:val="-7"/>
                <w14:textOutline w14:w="3831" w14:cap="flat" w14:cmpd="sng">
                  <w14:solidFill>
                    <w14:srgbClr w14:val="000000"/>
                  </w14:solidFill>
                  <w14:prstDash w14:val="solid"/>
                  <w14:miter w14:val="0"/>
                </w14:textOutline>
              </w:rPr>
              <w:t>检测结果</w:t>
            </w:r>
          </w:p>
        </w:tc>
        <w:tc>
          <w:tcPr>
            <w:tcW w:w="2031" w:type="dxa"/>
            <w:gridSpan w:val="3"/>
            <w:tcBorders>
              <w:top w:val="single" w:color="000000" w:sz="10" w:space="0"/>
            </w:tcBorders>
            <w:vAlign w:val="top"/>
          </w:tcPr>
          <w:p>
            <w:pPr>
              <w:pStyle w:val="6"/>
              <w:spacing w:before="48" w:line="238" w:lineRule="auto"/>
              <w:ind w:left="529"/>
            </w:pPr>
            <w:r>
              <w:rPr>
                <w:spacing w:val="-7"/>
                <w14:textOutline w14:w="3831" w14:cap="flat" w14:cmpd="sng">
                  <w14:solidFill>
                    <w14:srgbClr w14:val="000000"/>
                  </w14:solidFill>
                  <w14:prstDash w14:val="solid"/>
                  <w14:miter w14:val="0"/>
                </w14:textOutline>
              </w:rPr>
              <w:t>车流量情况</w:t>
            </w:r>
          </w:p>
          <w:p>
            <w:pPr>
              <w:pStyle w:val="6"/>
              <w:spacing w:line="218" w:lineRule="auto"/>
              <w:ind w:left="440"/>
            </w:pPr>
            <w:r>
              <w:rPr>
                <w:spacing w:val="-7"/>
                <w14:textOutline w14:w="3831" w14:cap="flat" w14:cmpd="sng">
                  <w14:solidFill>
                    <w14:srgbClr w14:val="000000"/>
                  </w14:solidFill>
                  <w14:prstDash w14:val="solid"/>
                  <w14:miter w14:val="0"/>
                </w14:textOutline>
              </w:rPr>
              <w:t>（辆</w:t>
            </w:r>
            <w:r>
              <w:rPr>
                <w:rFonts w:ascii="Times New Roman" w:hAnsi="Times New Roman" w:eastAsia="Times New Roman" w:cs="Times New Roman"/>
                <w:b/>
                <w:bCs/>
                <w:spacing w:val="-7"/>
              </w:rPr>
              <w:t>/20min</w:t>
            </w:r>
            <w:r>
              <w:rPr>
                <w:spacing w:val="-7"/>
                <w14:textOutline w14:w="3831" w14:cap="flat" w14:cmpd="sng">
                  <w14:solidFill>
                    <w14:srgbClr w14:val="000000"/>
                  </w14:solidFill>
                  <w14:prstDash w14:val="solid"/>
                  <w14:miter w14:val="0"/>
                </w14:textOutline>
              </w:rPr>
              <w:t>）</w:t>
            </w:r>
          </w:p>
        </w:tc>
        <w:tc>
          <w:tcPr>
            <w:tcW w:w="1459" w:type="dxa"/>
            <w:vMerge w:val="restart"/>
            <w:tcBorders>
              <w:top w:val="single" w:color="000000" w:sz="10" w:space="0"/>
              <w:bottom w:val="nil"/>
              <w:right w:val="single" w:color="000000" w:sz="10" w:space="0"/>
            </w:tcBorders>
            <w:vAlign w:val="top"/>
          </w:tcPr>
          <w:p>
            <w:pPr>
              <w:spacing w:line="440" w:lineRule="auto"/>
              <w:rPr>
                <w:rFonts w:ascii="Arial"/>
                <w:sz w:val="21"/>
              </w:rPr>
            </w:pPr>
          </w:p>
          <w:p>
            <w:pPr>
              <w:pStyle w:val="6"/>
              <w:spacing w:before="68" w:line="222" w:lineRule="auto"/>
              <w:ind w:left="541"/>
            </w:pPr>
            <w:r>
              <w:rPr>
                <w:spacing w:val="-5"/>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bottom w:val="nil"/>
            </w:tcBorders>
            <w:vAlign w:val="top"/>
          </w:tcPr>
          <w:p>
            <w:pPr>
              <w:rPr>
                <w:rFonts w:ascii="Arial"/>
                <w:sz w:val="21"/>
              </w:rPr>
            </w:pPr>
          </w:p>
        </w:tc>
        <w:tc>
          <w:tcPr>
            <w:tcW w:w="1200" w:type="dxa"/>
            <w:vMerge w:val="continue"/>
            <w:tcBorders>
              <w:top w:val="nil"/>
              <w:bottom w:val="nil"/>
            </w:tcBorders>
            <w:vAlign w:val="top"/>
          </w:tcPr>
          <w:p>
            <w:pPr>
              <w:rPr>
                <w:rFonts w:ascii="Arial"/>
                <w:sz w:val="21"/>
              </w:rPr>
            </w:pPr>
          </w:p>
        </w:tc>
        <w:tc>
          <w:tcPr>
            <w:tcW w:w="707" w:type="dxa"/>
            <w:vAlign w:val="top"/>
          </w:tcPr>
          <w:p>
            <w:pPr>
              <w:spacing w:before="260" w:line="195" w:lineRule="auto"/>
              <w:ind w:left="213"/>
              <w:rPr>
                <w:rFonts w:ascii="Times New Roman" w:hAnsi="Times New Roman" w:eastAsia="Times New Roman" w:cs="Times New Roman"/>
                <w:sz w:val="13"/>
                <w:szCs w:val="13"/>
              </w:rPr>
            </w:pPr>
            <w:r>
              <w:rPr>
                <w:rFonts w:ascii="Times New Roman" w:hAnsi="Times New Roman" w:eastAsia="Times New Roman" w:cs="Times New Roman"/>
                <w:b/>
                <w:bCs/>
                <w:spacing w:val="2"/>
                <w:position w:val="1"/>
                <w:sz w:val="21"/>
                <w:szCs w:val="21"/>
              </w:rPr>
              <w:t>L</w:t>
            </w:r>
            <w:r>
              <w:rPr>
                <w:rFonts w:ascii="Times New Roman" w:hAnsi="Times New Roman" w:eastAsia="Times New Roman" w:cs="Times New Roman"/>
                <w:b/>
                <w:bCs/>
                <w:spacing w:val="2"/>
                <w:sz w:val="13"/>
                <w:szCs w:val="13"/>
              </w:rPr>
              <w:t>eq</w:t>
            </w:r>
          </w:p>
        </w:tc>
        <w:tc>
          <w:tcPr>
            <w:tcW w:w="688" w:type="dxa"/>
            <w:vAlign w:val="top"/>
          </w:tcPr>
          <w:p>
            <w:pPr>
              <w:spacing w:before="260" w:line="203" w:lineRule="auto"/>
              <w:ind w:left="204"/>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10</w:t>
            </w:r>
          </w:p>
        </w:tc>
        <w:tc>
          <w:tcPr>
            <w:tcW w:w="707" w:type="dxa"/>
            <w:vAlign w:val="top"/>
          </w:tcPr>
          <w:p>
            <w:pPr>
              <w:spacing w:before="260" w:line="203" w:lineRule="auto"/>
              <w:ind w:left="215"/>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50</w:t>
            </w:r>
          </w:p>
        </w:tc>
        <w:tc>
          <w:tcPr>
            <w:tcW w:w="687" w:type="dxa"/>
            <w:vAlign w:val="top"/>
          </w:tcPr>
          <w:p>
            <w:pPr>
              <w:spacing w:before="260" w:line="203" w:lineRule="auto"/>
              <w:ind w:left="206"/>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90</w:t>
            </w:r>
          </w:p>
        </w:tc>
        <w:tc>
          <w:tcPr>
            <w:tcW w:w="707" w:type="dxa"/>
            <w:vAlign w:val="top"/>
          </w:tcPr>
          <w:p>
            <w:pPr>
              <w:spacing w:before="260" w:line="222" w:lineRule="auto"/>
              <w:ind w:left="160"/>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max</w:t>
            </w:r>
          </w:p>
        </w:tc>
        <w:tc>
          <w:tcPr>
            <w:tcW w:w="690" w:type="dxa"/>
            <w:vAlign w:val="top"/>
          </w:tcPr>
          <w:p>
            <w:pPr>
              <w:spacing w:before="260" w:line="223" w:lineRule="auto"/>
              <w:ind w:left="161"/>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min</w:t>
            </w:r>
          </w:p>
        </w:tc>
        <w:tc>
          <w:tcPr>
            <w:tcW w:w="650" w:type="dxa"/>
            <w:vAlign w:val="top"/>
          </w:tcPr>
          <w:p>
            <w:pPr>
              <w:spacing w:before="257" w:line="187" w:lineRule="auto"/>
              <w:ind w:left="200"/>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SD</w:t>
            </w:r>
          </w:p>
        </w:tc>
        <w:tc>
          <w:tcPr>
            <w:tcW w:w="644" w:type="dxa"/>
            <w:vAlign w:val="top"/>
          </w:tcPr>
          <w:p>
            <w:pPr>
              <w:pStyle w:val="6"/>
              <w:spacing w:before="82" w:line="229" w:lineRule="auto"/>
              <w:ind w:left="231" w:right="100" w:hanging="101"/>
            </w:pPr>
            <w:r>
              <w:rPr>
                <w:spacing w:val="-6"/>
                <w14:textOutline w14:w="3831" w14:cap="flat" w14:cmpd="sng">
                  <w14:solidFill>
                    <w14:srgbClr w14:val="000000"/>
                  </w14:solidFill>
                  <w14:prstDash w14:val="solid"/>
                  <w14:miter w14:val="0"/>
                </w14:textOutline>
              </w:rPr>
              <w:t>小型</w:t>
            </w:r>
            <w:r>
              <w:t xml:space="preserve"> </w:t>
            </w:r>
            <w:r>
              <w:rPr>
                <w14:textOutline w14:w="3831" w14:cap="flat" w14:cmpd="sng">
                  <w14:solidFill>
                    <w14:srgbClr w14:val="000000"/>
                  </w14:solidFill>
                  <w14:prstDash w14:val="solid"/>
                  <w14:miter w14:val="0"/>
                </w14:textOutline>
              </w:rPr>
              <w:t>车</w:t>
            </w:r>
          </w:p>
        </w:tc>
        <w:tc>
          <w:tcPr>
            <w:tcW w:w="647" w:type="dxa"/>
            <w:vAlign w:val="top"/>
          </w:tcPr>
          <w:p>
            <w:pPr>
              <w:pStyle w:val="6"/>
              <w:spacing w:before="82" w:line="229" w:lineRule="auto"/>
              <w:ind w:left="230" w:right="103" w:hanging="87"/>
            </w:pPr>
            <w:r>
              <w:rPr>
                <w:spacing w:val="-13"/>
                <w14:textOutline w14:w="3831" w14:cap="flat" w14:cmpd="sng">
                  <w14:solidFill>
                    <w14:srgbClr w14:val="000000"/>
                  </w14:solidFill>
                  <w14:prstDash w14:val="solid"/>
                  <w14:miter w14:val="0"/>
                </w14:textOutline>
              </w:rPr>
              <w:t>中型</w:t>
            </w:r>
            <w:r>
              <w:t xml:space="preserve"> </w:t>
            </w:r>
            <w:r>
              <w:rPr>
                <w14:textOutline w14:w="3831" w14:cap="flat" w14:cmpd="sng">
                  <w14:solidFill>
                    <w14:srgbClr w14:val="000000"/>
                  </w14:solidFill>
                  <w14:prstDash w14:val="solid"/>
                  <w14:miter w14:val="0"/>
                </w14:textOutline>
              </w:rPr>
              <w:t>车</w:t>
            </w:r>
          </w:p>
        </w:tc>
        <w:tc>
          <w:tcPr>
            <w:tcW w:w="740" w:type="dxa"/>
            <w:vAlign w:val="top"/>
          </w:tcPr>
          <w:p>
            <w:pPr>
              <w:pStyle w:val="6"/>
              <w:spacing w:before="82" w:line="238" w:lineRule="auto"/>
              <w:ind w:left="172"/>
            </w:pPr>
            <w:r>
              <w:rPr>
                <w:spacing w:val="-3"/>
                <w14:textOutline w14:w="3831" w14:cap="flat" w14:cmpd="sng">
                  <w14:solidFill>
                    <w14:srgbClr w14:val="000000"/>
                  </w14:solidFill>
                  <w14:prstDash w14:val="solid"/>
                  <w14:miter w14:val="0"/>
                </w14:textOutline>
              </w:rPr>
              <w:t>大型</w:t>
            </w:r>
          </w:p>
          <w:p>
            <w:pPr>
              <w:pStyle w:val="6"/>
              <w:spacing w:line="220" w:lineRule="auto"/>
              <w:ind w:left="277"/>
            </w:pPr>
            <w:r>
              <w:rPr>
                <w14:textOutline w14:w="3831" w14:cap="flat" w14:cmpd="sng">
                  <w14:solidFill>
                    <w14:srgbClr w14:val="000000"/>
                  </w14:solidFill>
                  <w14:prstDash w14:val="solid"/>
                  <w14:miter w14:val="0"/>
                </w14:textOutline>
              </w:rPr>
              <w:t>车</w:t>
            </w:r>
          </w:p>
        </w:tc>
        <w:tc>
          <w:tcPr>
            <w:tcW w:w="145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Align w:val="top"/>
          </w:tcPr>
          <w:p>
            <w:pPr>
              <w:rPr>
                <w:rFonts w:ascii="Arial"/>
                <w:sz w:val="21"/>
              </w:rPr>
            </w:pPr>
          </w:p>
        </w:tc>
        <w:tc>
          <w:tcPr>
            <w:tcW w:w="688" w:type="dxa"/>
            <w:vAlign w:val="top"/>
          </w:tcPr>
          <w:p>
            <w:pPr>
              <w:rPr>
                <w:rFonts w:ascii="Arial"/>
                <w:sz w:val="21"/>
              </w:rPr>
            </w:pPr>
          </w:p>
        </w:tc>
        <w:tc>
          <w:tcPr>
            <w:tcW w:w="707" w:type="dxa"/>
            <w:vAlign w:val="top"/>
          </w:tcPr>
          <w:p>
            <w:pPr>
              <w:rPr>
                <w:rFonts w:ascii="Arial"/>
                <w:sz w:val="21"/>
              </w:rPr>
            </w:pPr>
          </w:p>
        </w:tc>
        <w:tc>
          <w:tcPr>
            <w:tcW w:w="687" w:type="dxa"/>
            <w:vAlign w:val="top"/>
          </w:tcPr>
          <w:p>
            <w:pPr>
              <w:rPr>
                <w:rFonts w:ascii="Arial"/>
                <w:sz w:val="21"/>
              </w:rPr>
            </w:pPr>
          </w:p>
        </w:tc>
        <w:tc>
          <w:tcPr>
            <w:tcW w:w="707" w:type="dxa"/>
            <w:vAlign w:val="top"/>
          </w:tcPr>
          <w:p>
            <w:pPr>
              <w:rPr>
                <w:rFonts w:ascii="Arial"/>
                <w:sz w:val="21"/>
              </w:rPr>
            </w:pPr>
          </w:p>
        </w:tc>
        <w:tc>
          <w:tcPr>
            <w:tcW w:w="690" w:type="dxa"/>
            <w:vAlign w:val="top"/>
          </w:tcPr>
          <w:p>
            <w:pPr>
              <w:rPr>
                <w:rFonts w:ascii="Arial"/>
                <w:sz w:val="21"/>
              </w:rPr>
            </w:pPr>
          </w:p>
        </w:tc>
        <w:tc>
          <w:tcPr>
            <w:tcW w:w="650" w:type="dxa"/>
            <w:vAlign w:val="top"/>
          </w:tcPr>
          <w:p>
            <w:pPr>
              <w:rPr>
                <w:rFonts w:ascii="Arial"/>
                <w:sz w:val="21"/>
              </w:rPr>
            </w:pPr>
          </w:p>
        </w:tc>
        <w:tc>
          <w:tcPr>
            <w:tcW w:w="644" w:type="dxa"/>
            <w:vAlign w:val="top"/>
          </w:tcPr>
          <w:p>
            <w:pPr>
              <w:spacing w:before="220" w:line="186"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tc>
        <w:tc>
          <w:tcPr>
            <w:tcW w:w="647" w:type="dxa"/>
            <w:vAlign w:val="top"/>
          </w:tcPr>
          <w:p>
            <w:pPr>
              <w:spacing w:before="220" w:line="186" w:lineRule="auto"/>
              <w:ind w:left="28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40" w:type="dxa"/>
            <w:vAlign w:val="top"/>
          </w:tcPr>
          <w:p>
            <w:pPr>
              <w:spacing w:before="220" w:line="186" w:lineRule="auto"/>
              <w:ind w:left="30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w:t>
            </w:r>
          </w:p>
        </w:tc>
        <w:tc>
          <w:tcPr>
            <w:tcW w:w="1459" w:type="dxa"/>
            <w:tcBorders>
              <w:right w:val="single" w:color="000000" w:sz="10" w:space="0"/>
            </w:tcBorders>
            <w:vAlign w:val="top"/>
          </w:tcPr>
          <w:p>
            <w:pPr>
              <w:pStyle w:val="6"/>
              <w:spacing w:before="35" w:line="223" w:lineRule="auto"/>
              <w:ind w:left="422" w:right="185" w:hanging="207"/>
            </w:pPr>
            <w:r>
              <w:rPr>
                <w:spacing w:val="-2"/>
              </w:rPr>
              <w:t>南侧景文高</w:t>
            </w:r>
            <w:r>
              <w:rPr>
                <w:spacing w:val="1"/>
              </w:rPr>
              <w:t xml:space="preserve"> </w:t>
            </w:r>
            <w:r>
              <w:rPr>
                <w:spacing w:val="-1"/>
              </w:rPr>
              <w:t>速公路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nil"/>
              <w:left w:val="single" w:color="000000" w:sz="10" w:space="0"/>
            </w:tcBorders>
            <w:textDirection w:val="tbRlV"/>
            <w:vAlign w:val="top"/>
          </w:tcPr>
          <w:p>
            <w:pPr>
              <w:rPr>
                <w:rFonts w:ascii="Arial"/>
                <w:sz w:val="21"/>
              </w:rPr>
            </w:pPr>
          </w:p>
        </w:tc>
        <w:tc>
          <w:tcPr>
            <w:tcW w:w="951" w:type="dxa"/>
            <w:vMerge w:val="continue"/>
            <w:tcBorders>
              <w:top w:val="nil"/>
            </w:tcBorders>
            <w:vAlign w:val="top"/>
          </w:tcPr>
          <w:p>
            <w:pPr>
              <w:rPr>
                <w:rFonts w:ascii="Arial"/>
                <w:sz w:val="21"/>
              </w:rPr>
            </w:pPr>
          </w:p>
        </w:tc>
        <w:tc>
          <w:tcPr>
            <w:tcW w:w="12792" w:type="dxa"/>
            <w:gridSpan w:val="14"/>
            <w:tcBorders>
              <w:right w:val="single" w:color="000000" w:sz="10" w:space="0"/>
            </w:tcBorders>
            <w:vAlign w:val="top"/>
          </w:tcPr>
          <w:p>
            <w:pPr>
              <w:pStyle w:val="6"/>
              <w:spacing w:before="209" w:line="182" w:lineRule="auto"/>
              <w:ind w:left="5567"/>
              <w:rPr>
                <w:rFonts w:ascii="Times New Roman" w:hAnsi="Times New Roman" w:eastAsia="Times New Roman" w:cs="Times New Roman"/>
              </w:rPr>
            </w:pPr>
            <w:r>
              <w:rPr>
                <w:rFonts w:ascii="Times New Roman" w:hAnsi="Times New Roman" w:eastAsia="Times New Roman" w:cs="Times New Roman"/>
                <w:spacing w:val="-2"/>
              </w:rPr>
              <w:t>Ld=45.1</w:t>
            </w:r>
            <w:r>
              <w:rPr>
                <w:rFonts w:ascii="Times New Roman" w:hAnsi="Times New Roman" w:eastAsia="Times New Roman" w:cs="Times New Roman"/>
                <w:spacing w:val="-26"/>
              </w:rPr>
              <w:t xml:space="preserve"> </w:t>
            </w:r>
            <w:r>
              <w:rPr>
                <w:spacing w:val="-2"/>
              </w:rPr>
              <w:t>，</w:t>
            </w:r>
            <w:r>
              <w:rPr>
                <w:rFonts w:ascii="Times New Roman" w:hAnsi="Times New Roman" w:eastAsia="Times New Roman" w:cs="Times New Roman"/>
                <w:spacing w:val="-2"/>
              </w:rPr>
              <w:t>Ln=40.2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04" w:type="dxa"/>
            <w:vMerge w:val="restart"/>
            <w:tcBorders>
              <w:left w:val="single" w:color="000000" w:sz="10" w:space="0"/>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0" w:line="187" w:lineRule="auto"/>
              <w:ind w:left="18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51"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8" w:line="237" w:lineRule="auto"/>
              <w:ind w:left="283"/>
              <w:rPr>
                <w:rFonts w:ascii="Times New Roman" w:hAnsi="Times New Roman" w:eastAsia="Times New Roman" w:cs="Times New Roman"/>
                <w:sz w:val="13"/>
                <w:szCs w:val="13"/>
              </w:rPr>
            </w:pPr>
            <w:r>
              <w:rPr>
                <w:spacing w:val="-3"/>
                <w:position w:val="-1"/>
              </w:rPr>
              <w:t>△</w:t>
            </w:r>
            <w:r>
              <w:rPr>
                <w:rFonts w:ascii="Times New Roman" w:hAnsi="Times New Roman" w:eastAsia="Times New Roman" w:cs="Times New Roman"/>
                <w:spacing w:val="-3"/>
                <w:position w:val="-1"/>
              </w:rPr>
              <w:t>6</w:t>
            </w:r>
            <w:r>
              <w:rPr>
                <w:rFonts w:ascii="Times New Roman" w:hAnsi="Times New Roman" w:eastAsia="Times New Roman" w:cs="Times New Roman"/>
                <w:spacing w:val="-3"/>
                <w:position w:val="5"/>
                <w:sz w:val="13"/>
                <w:szCs w:val="13"/>
              </w:rPr>
              <w:t>#</w:t>
            </w:r>
          </w:p>
          <w:p>
            <w:pPr>
              <w:pStyle w:val="6"/>
              <w:spacing w:before="49" w:line="220" w:lineRule="auto"/>
              <w:ind w:left="156"/>
            </w:pPr>
            <w:r>
              <w:rPr>
                <w:spacing w:val="-2"/>
              </w:rPr>
              <w:t>让川村</w:t>
            </w:r>
          </w:p>
          <w:p>
            <w:pPr>
              <w:pStyle w:val="6"/>
              <w:spacing w:before="69" w:line="222" w:lineRule="auto"/>
              <w:ind w:left="158"/>
            </w:pPr>
            <w:r>
              <w:rPr>
                <w:spacing w:val="-2"/>
              </w:rPr>
              <w:t>安置小</w:t>
            </w:r>
          </w:p>
          <w:p>
            <w:pPr>
              <w:pStyle w:val="6"/>
              <w:spacing w:before="63" w:line="226" w:lineRule="auto"/>
              <w:ind w:left="378"/>
            </w:pPr>
            <w:r>
              <w:t>区</w:t>
            </w:r>
          </w:p>
        </w:tc>
        <w:tc>
          <w:tcPr>
            <w:tcW w:w="1905" w:type="dxa"/>
            <w:vMerge w:val="restart"/>
            <w:tcBorders>
              <w:bottom w:val="nil"/>
            </w:tcBorders>
            <w:vAlign w:val="top"/>
          </w:tcPr>
          <w:p>
            <w:pPr>
              <w:spacing w:line="266"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12"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13:20~13:40</w:t>
            </w:r>
          </w:p>
        </w:tc>
        <w:tc>
          <w:tcPr>
            <w:tcW w:w="1200" w:type="dxa"/>
            <w:vMerge w:val="restart"/>
            <w:tcBorders>
              <w:bottom w:val="nil"/>
            </w:tcBorders>
            <w:vAlign w:val="top"/>
          </w:tcPr>
          <w:p>
            <w:pPr>
              <w:pStyle w:val="6"/>
              <w:spacing w:before="199"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12" w:lineRule="auto"/>
              <w:rPr>
                <w:rFonts w:ascii="Arial"/>
                <w:sz w:val="21"/>
              </w:rPr>
            </w:pPr>
          </w:p>
          <w:p>
            <w:pPr>
              <w:spacing w:before="61"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58.4</w:t>
            </w:r>
          </w:p>
        </w:tc>
        <w:tc>
          <w:tcPr>
            <w:tcW w:w="688" w:type="dxa"/>
            <w:vMerge w:val="restart"/>
            <w:tcBorders>
              <w:bottom w:val="nil"/>
            </w:tcBorders>
            <w:vAlign w:val="top"/>
          </w:tcPr>
          <w:p>
            <w:pPr>
              <w:spacing w:line="312"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61.0</w:t>
            </w:r>
          </w:p>
        </w:tc>
        <w:tc>
          <w:tcPr>
            <w:tcW w:w="707" w:type="dxa"/>
            <w:vMerge w:val="restart"/>
            <w:tcBorders>
              <w:bottom w:val="nil"/>
            </w:tcBorders>
            <w:vAlign w:val="top"/>
          </w:tcPr>
          <w:p>
            <w:pPr>
              <w:spacing w:line="312"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50.8</w:t>
            </w:r>
          </w:p>
        </w:tc>
        <w:tc>
          <w:tcPr>
            <w:tcW w:w="687" w:type="dxa"/>
            <w:vMerge w:val="restart"/>
            <w:tcBorders>
              <w:bottom w:val="nil"/>
            </w:tcBorders>
            <w:vAlign w:val="top"/>
          </w:tcPr>
          <w:p>
            <w:pPr>
              <w:spacing w:line="312" w:lineRule="auto"/>
              <w:rPr>
                <w:rFonts w:ascii="Arial"/>
                <w:sz w:val="21"/>
              </w:rPr>
            </w:pPr>
          </w:p>
          <w:p>
            <w:pPr>
              <w:spacing w:before="61"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w:t>
            </w:r>
          </w:p>
        </w:tc>
        <w:tc>
          <w:tcPr>
            <w:tcW w:w="707" w:type="dxa"/>
            <w:vMerge w:val="restart"/>
            <w:tcBorders>
              <w:bottom w:val="nil"/>
            </w:tcBorders>
            <w:vAlign w:val="top"/>
          </w:tcPr>
          <w:p>
            <w:pPr>
              <w:spacing w:line="312"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79.4</w:t>
            </w:r>
          </w:p>
        </w:tc>
        <w:tc>
          <w:tcPr>
            <w:tcW w:w="690" w:type="dxa"/>
            <w:vMerge w:val="restart"/>
            <w:tcBorders>
              <w:bottom w:val="nil"/>
            </w:tcBorders>
            <w:vAlign w:val="top"/>
          </w:tcPr>
          <w:p>
            <w:pPr>
              <w:spacing w:line="312"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37.6</w:t>
            </w:r>
          </w:p>
        </w:tc>
        <w:tc>
          <w:tcPr>
            <w:tcW w:w="650" w:type="dxa"/>
            <w:vMerge w:val="restart"/>
            <w:tcBorders>
              <w:bottom w:val="nil"/>
            </w:tcBorders>
            <w:vAlign w:val="top"/>
          </w:tcPr>
          <w:p>
            <w:pPr>
              <w:spacing w:line="312" w:lineRule="auto"/>
              <w:rPr>
                <w:rFonts w:ascii="Arial"/>
                <w:sz w:val="21"/>
              </w:rPr>
            </w:pPr>
          </w:p>
          <w:p>
            <w:pPr>
              <w:spacing w:before="61"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644" w:type="dxa"/>
            <w:vAlign w:val="top"/>
          </w:tcPr>
          <w:p>
            <w:pPr>
              <w:spacing w:before="96"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647" w:type="dxa"/>
            <w:vAlign w:val="top"/>
          </w:tcPr>
          <w:p>
            <w:pPr>
              <w:spacing w:before="99" w:line="184"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740" w:type="dxa"/>
            <w:vAlign w:val="top"/>
          </w:tcPr>
          <w:p>
            <w:pPr>
              <w:spacing w:before="96"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58" w:line="221"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13"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647" w:type="dxa"/>
            <w:vAlign w:val="top"/>
          </w:tcPr>
          <w:p>
            <w:pPr>
              <w:spacing w:before="213"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13"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37" w:line="220"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90"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37"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14:20~14:40</w:t>
            </w:r>
          </w:p>
        </w:tc>
        <w:tc>
          <w:tcPr>
            <w:tcW w:w="1200" w:type="dxa"/>
            <w:vMerge w:val="restart"/>
            <w:tcBorders>
              <w:bottom w:val="nil"/>
            </w:tcBorders>
            <w:vAlign w:val="top"/>
          </w:tcPr>
          <w:p>
            <w:pPr>
              <w:pStyle w:val="6"/>
              <w:spacing w:before="223"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37" w:lineRule="auto"/>
              <w:rPr>
                <w:rFonts w:ascii="Arial"/>
                <w:sz w:val="21"/>
              </w:rPr>
            </w:pPr>
          </w:p>
          <w:p>
            <w:pPr>
              <w:spacing w:before="60"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688" w:type="dxa"/>
            <w:vMerge w:val="restart"/>
            <w:tcBorders>
              <w:bottom w:val="nil"/>
            </w:tcBorders>
            <w:vAlign w:val="top"/>
          </w:tcPr>
          <w:p>
            <w:pPr>
              <w:spacing w:line="337"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60.4</w:t>
            </w:r>
          </w:p>
        </w:tc>
        <w:tc>
          <w:tcPr>
            <w:tcW w:w="707" w:type="dxa"/>
            <w:vMerge w:val="restart"/>
            <w:tcBorders>
              <w:bottom w:val="nil"/>
            </w:tcBorders>
            <w:vAlign w:val="top"/>
          </w:tcPr>
          <w:p>
            <w:pPr>
              <w:spacing w:line="337" w:lineRule="auto"/>
              <w:rPr>
                <w:rFonts w:ascii="Arial"/>
                <w:sz w:val="21"/>
              </w:rPr>
            </w:pPr>
          </w:p>
          <w:p>
            <w:pPr>
              <w:spacing w:before="6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49.6</w:t>
            </w:r>
          </w:p>
        </w:tc>
        <w:tc>
          <w:tcPr>
            <w:tcW w:w="687" w:type="dxa"/>
            <w:vMerge w:val="restart"/>
            <w:tcBorders>
              <w:bottom w:val="nil"/>
            </w:tcBorders>
            <w:vAlign w:val="top"/>
          </w:tcPr>
          <w:p>
            <w:pPr>
              <w:spacing w:line="337" w:lineRule="auto"/>
              <w:rPr>
                <w:rFonts w:ascii="Arial"/>
                <w:sz w:val="21"/>
              </w:rPr>
            </w:pPr>
          </w:p>
          <w:p>
            <w:pPr>
              <w:spacing w:before="6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c>
          <w:tcPr>
            <w:tcW w:w="707" w:type="dxa"/>
            <w:vMerge w:val="restart"/>
            <w:tcBorders>
              <w:bottom w:val="nil"/>
            </w:tcBorders>
            <w:vAlign w:val="top"/>
          </w:tcPr>
          <w:p>
            <w:pPr>
              <w:spacing w:line="337"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77.3</w:t>
            </w:r>
          </w:p>
        </w:tc>
        <w:tc>
          <w:tcPr>
            <w:tcW w:w="690" w:type="dxa"/>
            <w:vMerge w:val="restart"/>
            <w:tcBorders>
              <w:bottom w:val="nil"/>
            </w:tcBorders>
            <w:vAlign w:val="top"/>
          </w:tcPr>
          <w:p>
            <w:pPr>
              <w:spacing w:line="337"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37.0</w:t>
            </w:r>
          </w:p>
        </w:tc>
        <w:tc>
          <w:tcPr>
            <w:tcW w:w="650" w:type="dxa"/>
            <w:vMerge w:val="restart"/>
            <w:tcBorders>
              <w:bottom w:val="nil"/>
            </w:tcBorders>
            <w:vAlign w:val="top"/>
          </w:tcPr>
          <w:p>
            <w:pPr>
              <w:spacing w:line="337" w:lineRule="auto"/>
              <w:rPr>
                <w:rFonts w:ascii="Arial"/>
                <w:sz w:val="21"/>
              </w:rPr>
            </w:pPr>
          </w:p>
          <w:p>
            <w:pPr>
              <w:spacing w:before="60"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44" w:type="dxa"/>
            <w:vAlign w:val="top"/>
          </w:tcPr>
          <w:p>
            <w:pPr>
              <w:spacing w:before="126" w:line="184"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w:t>
            </w:r>
          </w:p>
        </w:tc>
        <w:tc>
          <w:tcPr>
            <w:tcW w:w="647" w:type="dxa"/>
            <w:vAlign w:val="top"/>
          </w:tcPr>
          <w:p>
            <w:pPr>
              <w:spacing w:before="123"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40" w:type="dxa"/>
            <w:vAlign w:val="top"/>
          </w:tcPr>
          <w:p>
            <w:pPr>
              <w:spacing w:before="123"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85"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15"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647" w:type="dxa"/>
            <w:vAlign w:val="top"/>
          </w:tcPr>
          <w:p>
            <w:pPr>
              <w:spacing w:before="215"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218" w:line="184"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59" w:type="dxa"/>
            <w:tcBorders>
              <w:right w:val="single" w:color="000000" w:sz="10" w:space="0"/>
            </w:tcBorders>
            <w:vAlign w:val="top"/>
          </w:tcPr>
          <w:p>
            <w:pPr>
              <w:pStyle w:val="6"/>
              <w:spacing w:before="39" w:line="219"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68" w:lineRule="auto"/>
              <w:rPr>
                <w:rFonts w:ascii="Arial"/>
                <w:sz w:val="21"/>
              </w:rPr>
            </w:pPr>
          </w:p>
          <w:p>
            <w:pPr>
              <w:pStyle w:val="6"/>
              <w:spacing w:before="69"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15"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15:20~15:40</w:t>
            </w:r>
          </w:p>
        </w:tc>
        <w:tc>
          <w:tcPr>
            <w:tcW w:w="1200" w:type="dxa"/>
            <w:vMerge w:val="restart"/>
            <w:tcBorders>
              <w:bottom w:val="nil"/>
            </w:tcBorders>
            <w:vAlign w:val="top"/>
          </w:tcPr>
          <w:p>
            <w:pPr>
              <w:pStyle w:val="6"/>
              <w:spacing w:before="202"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15" w:lineRule="auto"/>
              <w:rPr>
                <w:rFonts w:ascii="Arial"/>
                <w:sz w:val="21"/>
              </w:rPr>
            </w:pPr>
          </w:p>
          <w:p>
            <w:pPr>
              <w:spacing w:before="61"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58.5</w:t>
            </w:r>
          </w:p>
        </w:tc>
        <w:tc>
          <w:tcPr>
            <w:tcW w:w="688" w:type="dxa"/>
            <w:vMerge w:val="restart"/>
            <w:tcBorders>
              <w:bottom w:val="nil"/>
            </w:tcBorders>
            <w:vAlign w:val="top"/>
          </w:tcPr>
          <w:p>
            <w:pPr>
              <w:spacing w:line="315"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61.0</w:t>
            </w:r>
          </w:p>
        </w:tc>
        <w:tc>
          <w:tcPr>
            <w:tcW w:w="707" w:type="dxa"/>
            <w:vMerge w:val="restart"/>
            <w:tcBorders>
              <w:bottom w:val="nil"/>
            </w:tcBorders>
            <w:vAlign w:val="top"/>
          </w:tcPr>
          <w:p>
            <w:pPr>
              <w:spacing w:line="315"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50.2</w:t>
            </w:r>
          </w:p>
        </w:tc>
        <w:tc>
          <w:tcPr>
            <w:tcW w:w="687" w:type="dxa"/>
            <w:vMerge w:val="restart"/>
            <w:tcBorders>
              <w:bottom w:val="nil"/>
            </w:tcBorders>
            <w:vAlign w:val="top"/>
          </w:tcPr>
          <w:p>
            <w:pPr>
              <w:spacing w:line="315" w:lineRule="auto"/>
              <w:rPr>
                <w:rFonts w:ascii="Arial"/>
                <w:sz w:val="21"/>
              </w:rPr>
            </w:pPr>
          </w:p>
          <w:p>
            <w:pPr>
              <w:spacing w:before="61"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707" w:type="dxa"/>
            <w:vMerge w:val="restart"/>
            <w:tcBorders>
              <w:bottom w:val="nil"/>
            </w:tcBorders>
            <w:vAlign w:val="top"/>
          </w:tcPr>
          <w:p>
            <w:pPr>
              <w:spacing w:line="315"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80.7</w:t>
            </w:r>
          </w:p>
        </w:tc>
        <w:tc>
          <w:tcPr>
            <w:tcW w:w="690" w:type="dxa"/>
            <w:vMerge w:val="restart"/>
            <w:tcBorders>
              <w:bottom w:val="nil"/>
            </w:tcBorders>
            <w:vAlign w:val="top"/>
          </w:tcPr>
          <w:p>
            <w:pPr>
              <w:spacing w:line="315"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34.1</w:t>
            </w:r>
          </w:p>
        </w:tc>
        <w:tc>
          <w:tcPr>
            <w:tcW w:w="650" w:type="dxa"/>
            <w:vMerge w:val="restart"/>
            <w:tcBorders>
              <w:bottom w:val="nil"/>
            </w:tcBorders>
            <w:vAlign w:val="top"/>
          </w:tcPr>
          <w:p>
            <w:pPr>
              <w:spacing w:line="315" w:lineRule="auto"/>
              <w:rPr>
                <w:rFonts w:ascii="Arial"/>
                <w:sz w:val="21"/>
              </w:rPr>
            </w:pPr>
          </w:p>
          <w:p>
            <w:pPr>
              <w:spacing w:before="61"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c>
          <w:tcPr>
            <w:tcW w:w="644" w:type="dxa"/>
            <w:vAlign w:val="top"/>
          </w:tcPr>
          <w:p>
            <w:pPr>
              <w:spacing w:before="99"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647" w:type="dxa"/>
            <w:vAlign w:val="top"/>
          </w:tcPr>
          <w:p>
            <w:pPr>
              <w:spacing w:before="99" w:line="187"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740" w:type="dxa"/>
            <w:vAlign w:val="top"/>
          </w:tcPr>
          <w:p>
            <w:pPr>
              <w:spacing w:before="9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60" w:line="214"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17"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647" w:type="dxa"/>
            <w:vAlign w:val="top"/>
          </w:tcPr>
          <w:p>
            <w:pPr>
              <w:spacing w:before="217" w:line="187"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740" w:type="dxa"/>
            <w:vAlign w:val="top"/>
          </w:tcPr>
          <w:p>
            <w:pPr>
              <w:spacing w:before="217"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42" w:line="218"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89"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36"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16:20~16:40</w:t>
            </w:r>
          </w:p>
        </w:tc>
        <w:tc>
          <w:tcPr>
            <w:tcW w:w="1200" w:type="dxa"/>
            <w:vMerge w:val="restart"/>
            <w:tcBorders>
              <w:bottom w:val="nil"/>
            </w:tcBorders>
            <w:vAlign w:val="top"/>
          </w:tcPr>
          <w:p>
            <w:pPr>
              <w:pStyle w:val="6"/>
              <w:spacing w:before="225"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36" w:lineRule="auto"/>
              <w:rPr>
                <w:rFonts w:ascii="Arial"/>
                <w:sz w:val="21"/>
              </w:rPr>
            </w:pPr>
          </w:p>
          <w:p>
            <w:pPr>
              <w:spacing w:before="60"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59.3</w:t>
            </w:r>
          </w:p>
        </w:tc>
        <w:tc>
          <w:tcPr>
            <w:tcW w:w="688" w:type="dxa"/>
            <w:vMerge w:val="restart"/>
            <w:tcBorders>
              <w:bottom w:val="nil"/>
            </w:tcBorders>
            <w:vAlign w:val="top"/>
          </w:tcPr>
          <w:p>
            <w:pPr>
              <w:spacing w:line="336"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62.6</w:t>
            </w:r>
          </w:p>
        </w:tc>
        <w:tc>
          <w:tcPr>
            <w:tcW w:w="707" w:type="dxa"/>
            <w:vMerge w:val="restart"/>
            <w:tcBorders>
              <w:bottom w:val="nil"/>
            </w:tcBorders>
            <w:vAlign w:val="top"/>
          </w:tcPr>
          <w:p>
            <w:pPr>
              <w:spacing w:line="336"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687" w:type="dxa"/>
            <w:vMerge w:val="restart"/>
            <w:tcBorders>
              <w:bottom w:val="nil"/>
            </w:tcBorders>
            <w:vAlign w:val="top"/>
          </w:tcPr>
          <w:p>
            <w:pPr>
              <w:spacing w:line="336" w:lineRule="auto"/>
              <w:rPr>
                <w:rFonts w:ascii="Arial"/>
                <w:sz w:val="21"/>
              </w:rPr>
            </w:pPr>
          </w:p>
          <w:p>
            <w:pPr>
              <w:spacing w:before="6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707" w:type="dxa"/>
            <w:vMerge w:val="restart"/>
            <w:tcBorders>
              <w:bottom w:val="nil"/>
            </w:tcBorders>
            <w:vAlign w:val="top"/>
          </w:tcPr>
          <w:p>
            <w:pPr>
              <w:spacing w:line="336"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78.7</w:t>
            </w:r>
          </w:p>
        </w:tc>
        <w:tc>
          <w:tcPr>
            <w:tcW w:w="690" w:type="dxa"/>
            <w:vMerge w:val="restart"/>
            <w:tcBorders>
              <w:bottom w:val="nil"/>
            </w:tcBorders>
            <w:vAlign w:val="top"/>
          </w:tcPr>
          <w:p>
            <w:pPr>
              <w:spacing w:line="336"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38.6</w:t>
            </w:r>
          </w:p>
        </w:tc>
        <w:tc>
          <w:tcPr>
            <w:tcW w:w="650" w:type="dxa"/>
            <w:vMerge w:val="restart"/>
            <w:tcBorders>
              <w:bottom w:val="nil"/>
            </w:tcBorders>
            <w:vAlign w:val="top"/>
          </w:tcPr>
          <w:p>
            <w:pPr>
              <w:spacing w:line="336" w:lineRule="auto"/>
              <w:rPr>
                <w:rFonts w:ascii="Arial"/>
                <w:sz w:val="21"/>
              </w:rPr>
            </w:pPr>
          </w:p>
          <w:p>
            <w:pPr>
              <w:spacing w:before="6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w:t>
            </w:r>
          </w:p>
        </w:tc>
        <w:tc>
          <w:tcPr>
            <w:tcW w:w="644" w:type="dxa"/>
            <w:vAlign w:val="top"/>
          </w:tcPr>
          <w:p>
            <w:pPr>
              <w:spacing w:before="122"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647" w:type="dxa"/>
            <w:vAlign w:val="top"/>
          </w:tcPr>
          <w:p>
            <w:pPr>
              <w:spacing w:before="122" w:line="187"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740" w:type="dxa"/>
            <w:vAlign w:val="top"/>
          </w:tcPr>
          <w:p>
            <w:pPr>
              <w:spacing w:before="122"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84"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0"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647" w:type="dxa"/>
            <w:vAlign w:val="top"/>
          </w:tcPr>
          <w:p>
            <w:pPr>
              <w:spacing w:before="220"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220"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44" w:line="217"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94" w:lineRule="auto"/>
              <w:rPr>
                <w:rFonts w:ascii="Arial"/>
                <w:sz w:val="21"/>
              </w:rPr>
            </w:pPr>
          </w:p>
          <w:p>
            <w:pPr>
              <w:pStyle w:val="6"/>
              <w:spacing w:before="69"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41"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17:20~17:40</w:t>
            </w:r>
          </w:p>
        </w:tc>
        <w:tc>
          <w:tcPr>
            <w:tcW w:w="1200" w:type="dxa"/>
            <w:vMerge w:val="restart"/>
            <w:tcBorders>
              <w:bottom w:val="nil"/>
            </w:tcBorders>
            <w:vAlign w:val="top"/>
          </w:tcPr>
          <w:p>
            <w:pPr>
              <w:pStyle w:val="6"/>
              <w:spacing w:before="228"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41" w:lineRule="auto"/>
              <w:rPr>
                <w:rFonts w:ascii="Arial"/>
                <w:sz w:val="21"/>
              </w:rPr>
            </w:pPr>
          </w:p>
          <w:p>
            <w:pPr>
              <w:spacing w:before="60"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59.2</w:t>
            </w:r>
          </w:p>
        </w:tc>
        <w:tc>
          <w:tcPr>
            <w:tcW w:w="688" w:type="dxa"/>
            <w:vMerge w:val="restart"/>
            <w:tcBorders>
              <w:bottom w:val="nil"/>
            </w:tcBorders>
            <w:vAlign w:val="top"/>
          </w:tcPr>
          <w:p>
            <w:pPr>
              <w:spacing w:line="341"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62.0</w:t>
            </w:r>
          </w:p>
        </w:tc>
        <w:tc>
          <w:tcPr>
            <w:tcW w:w="707" w:type="dxa"/>
            <w:vMerge w:val="restart"/>
            <w:tcBorders>
              <w:bottom w:val="nil"/>
            </w:tcBorders>
            <w:vAlign w:val="top"/>
          </w:tcPr>
          <w:p>
            <w:pPr>
              <w:spacing w:line="341"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52.0</w:t>
            </w:r>
          </w:p>
        </w:tc>
        <w:tc>
          <w:tcPr>
            <w:tcW w:w="687" w:type="dxa"/>
            <w:vMerge w:val="restart"/>
            <w:tcBorders>
              <w:bottom w:val="nil"/>
            </w:tcBorders>
            <w:vAlign w:val="top"/>
          </w:tcPr>
          <w:p>
            <w:pPr>
              <w:spacing w:line="341" w:lineRule="auto"/>
              <w:rPr>
                <w:rFonts w:ascii="Arial"/>
                <w:sz w:val="21"/>
              </w:rPr>
            </w:pPr>
          </w:p>
          <w:p>
            <w:pPr>
              <w:spacing w:before="6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43.4</w:t>
            </w:r>
          </w:p>
        </w:tc>
        <w:tc>
          <w:tcPr>
            <w:tcW w:w="707" w:type="dxa"/>
            <w:vMerge w:val="restart"/>
            <w:tcBorders>
              <w:bottom w:val="nil"/>
            </w:tcBorders>
            <w:vAlign w:val="top"/>
          </w:tcPr>
          <w:p>
            <w:pPr>
              <w:spacing w:line="341"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82.8</w:t>
            </w:r>
          </w:p>
        </w:tc>
        <w:tc>
          <w:tcPr>
            <w:tcW w:w="690" w:type="dxa"/>
            <w:vMerge w:val="restart"/>
            <w:tcBorders>
              <w:bottom w:val="nil"/>
            </w:tcBorders>
            <w:vAlign w:val="top"/>
          </w:tcPr>
          <w:p>
            <w:pPr>
              <w:spacing w:line="341"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35.8</w:t>
            </w:r>
          </w:p>
        </w:tc>
        <w:tc>
          <w:tcPr>
            <w:tcW w:w="650" w:type="dxa"/>
            <w:vMerge w:val="restart"/>
            <w:tcBorders>
              <w:bottom w:val="nil"/>
            </w:tcBorders>
            <w:vAlign w:val="top"/>
          </w:tcPr>
          <w:p>
            <w:pPr>
              <w:spacing w:line="341" w:lineRule="auto"/>
              <w:rPr>
                <w:rFonts w:ascii="Arial"/>
                <w:sz w:val="21"/>
              </w:rPr>
            </w:pPr>
          </w:p>
          <w:p>
            <w:pPr>
              <w:spacing w:before="60"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c>
          <w:tcPr>
            <w:tcW w:w="644" w:type="dxa"/>
            <w:vAlign w:val="top"/>
          </w:tcPr>
          <w:p>
            <w:pPr>
              <w:spacing w:before="125"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647" w:type="dxa"/>
            <w:vAlign w:val="top"/>
          </w:tcPr>
          <w:p>
            <w:pPr>
              <w:spacing w:before="125" w:line="187"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740" w:type="dxa"/>
            <w:vAlign w:val="top"/>
          </w:tcPr>
          <w:p>
            <w:pPr>
              <w:spacing w:before="125"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87"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2"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47" w:type="dxa"/>
            <w:vAlign w:val="top"/>
          </w:tcPr>
          <w:p>
            <w:pPr>
              <w:spacing w:before="222"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2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59" w:type="dxa"/>
            <w:tcBorders>
              <w:right w:val="single" w:color="000000" w:sz="10" w:space="0"/>
            </w:tcBorders>
            <w:vAlign w:val="top"/>
          </w:tcPr>
          <w:p>
            <w:pPr>
              <w:pStyle w:val="6"/>
              <w:spacing w:before="46" w:line="216"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43"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90"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18:20~18:40</w:t>
            </w:r>
          </w:p>
        </w:tc>
        <w:tc>
          <w:tcPr>
            <w:tcW w:w="1200" w:type="dxa"/>
            <w:vMerge w:val="restart"/>
            <w:tcBorders>
              <w:bottom w:val="nil"/>
            </w:tcBorders>
            <w:vAlign w:val="top"/>
          </w:tcPr>
          <w:p>
            <w:pPr>
              <w:pStyle w:val="6"/>
              <w:spacing w:before="277"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90" w:lineRule="auto"/>
              <w:rPr>
                <w:rFonts w:ascii="Arial"/>
                <w:sz w:val="21"/>
              </w:rPr>
            </w:pPr>
          </w:p>
          <w:p>
            <w:pPr>
              <w:spacing w:before="60"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688" w:type="dxa"/>
            <w:vMerge w:val="restart"/>
            <w:tcBorders>
              <w:bottom w:val="nil"/>
            </w:tcBorders>
            <w:vAlign w:val="top"/>
          </w:tcPr>
          <w:p>
            <w:pPr>
              <w:spacing w:line="390" w:lineRule="auto"/>
              <w:rPr>
                <w:rFonts w:ascii="Arial"/>
                <w:sz w:val="21"/>
              </w:rPr>
            </w:pPr>
          </w:p>
          <w:p>
            <w:pPr>
              <w:spacing w:before="6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59.2</w:t>
            </w:r>
          </w:p>
        </w:tc>
        <w:tc>
          <w:tcPr>
            <w:tcW w:w="707" w:type="dxa"/>
            <w:vMerge w:val="restart"/>
            <w:tcBorders>
              <w:bottom w:val="nil"/>
            </w:tcBorders>
            <w:vAlign w:val="top"/>
          </w:tcPr>
          <w:p>
            <w:pPr>
              <w:spacing w:line="390" w:lineRule="auto"/>
              <w:rPr>
                <w:rFonts w:ascii="Arial"/>
                <w:sz w:val="21"/>
              </w:rPr>
            </w:pPr>
          </w:p>
          <w:p>
            <w:pPr>
              <w:spacing w:before="6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47.6</w:t>
            </w:r>
          </w:p>
        </w:tc>
        <w:tc>
          <w:tcPr>
            <w:tcW w:w="687" w:type="dxa"/>
            <w:vMerge w:val="restart"/>
            <w:tcBorders>
              <w:bottom w:val="nil"/>
            </w:tcBorders>
            <w:vAlign w:val="top"/>
          </w:tcPr>
          <w:p>
            <w:pPr>
              <w:spacing w:line="390" w:lineRule="auto"/>
              <w:rPr>
                <w:rFonts w:ascii="Arial"/>
                <w:sz w:val="21"/>
              </w:rPr>
            </w:pPr>
          </w:p>
          <w:p>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707" w:type="dxa"/>
            <w:vMerge w:val="restart"/>
            <w:tcBorders>
              <w:bottom w:val="nil"/>
            </w:tcBorders>
            <w:vAlign w:val="top"/>
          </w:tcPr>
          <w:p>
            <w:pPr>
              <w:spacing w:line="390"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71.2</w:t>
            </w:r>
          </w:p>
        </w:tc>
        <w:tc>
          <w:tcPr>
            <w:tcW w:w="690" w:type="dxa"/>
            <w:vMerge w:val="restart"/>
            <w:tcBorders>
              <w:bottom w:val="nil"/>
            </w:tcBorders>
            <w:vAlign w:val="top"/>
          </w:tcPr>
          <w:p>
            <w:pPr>
              <w:spacing w:line="390"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32.5</w:t>
            </w:r>
          </w:p>
        </w:tc>
        <w:tc>
          <w:tcPr>
            <w:tcW w:w="650" w:type="dxa"/>
            <w:vMerge w:val="restart"/>
            <w:tcBorders>
              <w:bottom w:val="nil"/>
            </w:tcBorders>
            <w:vAlign w:val="top"/>
          </w:tcPr>
          <w:p>
            <w:pPr>
              <w:spacing w:line="390" w:lineRule="auto"/>
              <w:rPr>
                <w:rFonts w:ascii="Arial"/>
                <w:sz w:val="21"/>
              </w:rPr>
            </w:pPr>
          </w:p>
          <w:p>
            <w:pPr>
              <w:spacing w:before="60"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w:t>
            </w:r>
          </w:p>
        </w:tc>
        <w:tc>
          <w:tcPr>
            <w:tcW w:w="644" w:type="dxa"/>
            <w:vAlign w:val="top"/>
          </w:tcPr>
          <w:p>
            <w:pPr>
              <w:spacing w:before="176"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w:t>
            </w:r>
          </w:p>
        </w:tc>
        <w:tc>
          <w:tcPr>
            <w:tcW w:w="647" w:type="dxa"/>
            <w:vAlign w:val="top"/>
          </w:tcPr>
          <w:p>
            <w:pPr>
              <w:spacing w:before="176"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40" w:type="dxa"/>
            <w:vAlign w:val="top"/>
          </w:tcPr>
          <w:p>
            <w:pPr>
              <w:spacing w:before="17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136"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5"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647" w:type="dxa"/>
            <w:vAlign w:val="top"/>
          </w:tcPr>
          <w:p>
            <w:pPr>
              <w:spacing w:before="226"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226"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51" w:line="214"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76"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23"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19:20~19:40</w:t>
            </w:r>
          </w:p>
        </w:tc>
        <w:tc>
          <w:tcPr>
            <w:tcW w:w="1200" w:type="dxa"/>
            <w:vMerge w:val="restart"/>
            <w:tcBorders>
              <w:bottom w:val="nil"/>
            </w:tcBorders>
            <w:vAlign w:val="top"/>
          </w:tcPr>
          <w:p>
            <w:pPr>
              <w:pStyle w:val="6"/>
              <w:spacing w:before="210"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23" w:lineRule="auto"/>
              <w:rPr>
                <w:rFonts w:ascii="Arial"/>
                <w:sz w:val="21"/>
              </w:rPr>
            </w:pPr>
          </w:p>
          <w:p>
            <w:pPr>
              <w:spacing w:before="60"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688" w:type="dxa"/>
            <w:vMerge w:val="restart"/>
            <w:tcBorders>
              <w:bottom w:val="nil"/>
            </w:tcBorders>
            <w:vAlign w:val="top"/>
          </w:tcPr>
          <w:p>
            <w:pPr>
              <w:spacing w:line="323" w:lineRule="auto"/>
              <w:rPr>
                <w:rFonts w:ascii="Arial"/>
                <w:sz w:val="21"/>
              </w:rPr>
            </w:pPr>
          </w:p>
          <w:p>
            <w:pPr>
              <w:spacing w:before="6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58.4</w:t>
            </w:r>
          </w:p>
        </w:tc>
        <w:tc>
          <w:tcPr>
            <w:tcW w:w="707" w:type="dxa"/>
            <w:vMerge w:val="restart"/>
            <w:tcBorders>
              <w:bottom w:val="nil"/>
            </w:tcBorders>
            <w:vAlign w:val="top"/>
          </w:tcPr>
          <w:p>
            <w:pPr>
              <w:spacing w:line="323" w:lineRule="auto"/>
              <w:rPr>
                <w:rFonts w:ascii="Arial"/>
                <w:sz w:val="21"/>
              </w:rPr>
            </w:pPr>
          </w:p>
          <w:p>
            <w:pPr>
              <w:spacing w:before="6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47.4</w:t>
            </w:r>
          </w:p>
        </w:tc>
        <w:tc>
          <w:tcPr>
            <w:tcW w:w="687" w:type="dxa"/>
            <w:vMerge w:val="restart"/>
            <w:tcBorders>
              <w:bottom w:val="nil"/>
            </w:tcBorders>
            <w:vAlign w:val="top"/>
          </w:tcPr>
          <w:p>
            <w:pPr>
              <w:spacing w:line="323" w:lineRule="auto"/>
              <w:rPr>
                <w:rFonts w:ascii="Arial"/>
                <w:sz w:val="21"/>
              </w:rPr>
            </w:pPr>
          </w:p>
          <w:p>
            <w:pPr>
              <w:spacing w:before="6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42.6</w:t>
            </w:r>
          </w:p>
        </w:tc>
        <w:tc>
          <w:tcPr>
            <w:tcW w:w="707" w:type="dxa"/>
            <w:vMerge w:val="restart"/>
            <w:tcBorders>
              <w:bottom w:val="nil"/>
            </w:tcBorders>
            <w:vAlign w:val="top"/>
          </w:tcPr>
          <w:p>
            <w:pPr>
              <w:spacing w:line="323"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76.7</w:t>
            </w:r>
          </w:p>
        </w:tc>
        <w:tc>
          <w:tcPr>
            <w:tcW w:w="690" w:type="dxa"/>
            <w:vMerge w:val="restart"/>
            <w:tcBorders>
              <w:bottom w:val="nil"/>
            </w:tcBorders>
            <w:vAlign w:val="top"/>
          </w:tcPr>
          <w:p>
            <w:pPr>
              <w:spacing w:line="323"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37.2</w:t>
            </w:r>
          </w:p>
        </w:tc>
        <w:tc>
          <w:tcPr>
            <w:tcW w:w="650" w:type="dxa"/>
            <w:vMerge w:val="restart"/>
            <w:tcBorders>
              <w:bottom w:val="nil"/>
            </w:tcBorders>
            <w:vAlign w:val="top"/>
          </w:tcPr>
          <w:p>
            <w:pPr>
              <w:spacing w:line="323" w:lineRule="auto"/>
              <w:rPr>
                <w:rFonts w:ascii="Arial"/>
                <w:sz w:val="21"/>
              </w:rPr>
            </w:pPr>
          </w:p>
          <w:p>
            <w:pPr>
              <w:spacing w:before="6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44" w:type="dxa"/>
            <w:vAlign w:val="top"/>
          </w:tcPr>
          <w:p>
            <w:pPr>
              <w:spacing w:before="109"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647" w:type="dxa"/>
            <w:vAlign w:val="top"/>
          </w:tcPr>
          <w:p>
            <w:pPr>
              <w:spacing w:before="109"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10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70" w:line="204"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04" w:type="dxa"/>
            <w:vMerge w:val="continue"/>
            <w:tcBorders>
              <w:top w:val="nil"/>
              <w:left w:val="single" w:color="000000" w:sz="10" w:space="0"/>
              <w:bottom w:val="single" w:color="000000" w:sz="10" w:space="0"/>
            </w:tcBorders>
            <w:vAlign w:val="top"/>
          </w:tcPr>
          <w:p>
            <w:pPr>
              <w:rPr>
                <w:rFonts w:ascii="Arial"/>
                <w:sz w:val="21"/>
              </w:rPr>
            </w:pPr>
          </w:p>
        </w:tc>
        <w:tc>
          <w:tcPr>
            <w:tcW w:w="951" w:type="dxa"/>
            <w:vMerge w:val="continue"/>
            <w:tcBorders>
              <w:top w:val="nil"/>
              <w:bottom w:val="single" w:color="000000" w:sz="10" w:space="0"/>
            </w:tcBorders>
            <w:vAlign w:val="top"/>
          </w:tcPr>
          <w:p>
            <w:pPr>
              <w:rPr>
                <w:rFonts w:ascii="Arial"/>
                <w:sz w:val="21"/>
              </w:rPr>
            </w:pPr>
          </w:p>
        </w:tc>
        <w:tc>
          <w:tcPr>
            <w:tcW w:w="1905" w:type="dxa"/>
            <w:vMerge w:val="continue"/>
            <w:tcBorders>
              <w:top w:val="nil"/>
              <w:bottom w:val="single" w:color="000000" w:sz="10" w:space="0"/>
            </w:tcBorders>
            <w:vAlign w:val="top"/>
          </w:tcPr>
          <w:p>
            <w:pPr>
              <w:rPr>
                <w:rFonts w:ascii="Arial"/>
                <w:sz w:val="21"/>
              </w:rPr>
            </w:pPr>
          </w:p>
        </w:tc>
        <w:tc>
          <w:tcPr>
            <w:tcW w:w="1361" w:type="dxa"/>
            <w:vMerge w:val="continue"/>
            <w:tcBorders>
              <w:top w:val="nil"/>
              <w:bottom w:val="single" w:color="000000" w:sz="10" w:space="0"/>
            </w:tcBorders>
            <w:vAlign w:val="top"/>
          </w:tcPr>
          <w:p>
            <w:pPr>
              <w:rPr>
                <w:rFonts w:ascii="Arial"/>
                <w:sz w:val="21"/>
              </w:rPr>
            </w:pPr>
          </w:p>
        </w:tc>
        <w:tc>
          <w:tcPr>
            <w:tcW w:w="1200"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88"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87"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90" w:type="dxa"/>
            <w:vMerge w:val="continue"/>
            <w:tcBorders>
              <w:top w:val="nil"/>
              <w:bottom w:val="single" w:color="000000" w:sz="10" w:space="0"/>
            </w:tcBorders>
            <w:vAlign w:val="top"/>
          </w:tcPr>
          <w:p>
            <w:pPr>
              <w:rPr>
                <w:rFonts w:ascii="Arial"/>
                <w:sz w:val="21"/>
              </w:rPr>
            </w:pPr>
          </w:p>
        </w:tc>
        <w:tc>
          <w:tcPr>
            <w:tcW w:w="650" w:type="dxa"/>
            <w:vMerge w:val="continue"/>
            <w:tcBorders>
              <w:top w:val="nil"/>
              <w:bottom w:val="single" w:color="000000" w:sz="10" w:space="0"/>
            </w:tcBorders>
            <w:vAlign w:val="top"/>
          </w:tcPr>
          <w:p>
            <w:pPr>
              <w:rPr>
                <w:rFonts w:ascii="Arial"/>
                <w:sz w:val="21"/>
              </w:rPr>
            </w:pPr>
          </w:p>
        </w:tc>
        <w:tc>
          <w:tcPr>
            <w:tcW w:w="644" w:type="dxa"/>
            <w:tcBorders>
              <w:bottom w:val="single" w:color="000000" w:sz="10" w:space="0"/>
            </w:tcBorders>
            <w:vAlign w:val="top"/>
          </w:tcPr>
          <w:p>
            <w:pPr>
              <w:spacing w:before="228"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647" w:type="dxa"/>
            <w:tcBorders>
              <w:bottom w:val="single" w:color="000000" w:sz="10" w:space="0"/>
            </w:tcBorders>
            <w:vAlign w:val="top"/>
          </w:tcPr>
          <w:p>
            <w:pPr>
              <w:spacing w:before="228"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tcBorders>
              <w:bottom w:val="single" w:color="000000" w:sz="10" w:space="0"/>
            </w:tcBorders>
            <w:vAlign w:val="top"/>
          </w:tcPr>
          <w:p>
            <w:pPr>
              <w:spacing w:before="228"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bottom w:val="single" w:color="000000" w:sz="10" w:space="0"/>
              <w:right w:val="single" w:color="000000" w:sz="10" w:space="0"/>
            </w:tcBorders>
            <w:vAlign w:val="top"/>
          </w:tcPr>
          <w:p>
            <w:pPr>
              <w:pStyle w:val="6"/>
              <w:spacing w:before="53" w:line="222"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bl>
    <w:p>
      <w:pPr>
        <w:pStyle w:val="2"/>
      </w:pPr>
    </w:p>
    <w:p>
      <w:pPr>
        <w:sectPr>
          <w:footerReference r:id="rId207" w:type="default"/>
          <w:pgSz w:w="16839" w:h="11907"/>
          <w:pgMar w:top="1260" w:right="1281" w:bottom="1151" w:left="1283" w:header="1019" w:footer="990" w:gutter="0"/>
          <w:cols w:space="720" w:num="1"/>
        </w:sectPr>
      </w:pPr>
    </w:p>
    <w:p>
      <w:pPr>
        <w:spacing w:line="155" w:lineRule="exact"/>
      </w:pPr>
    </w:p>
    <w:tbl>
      <w:tblPr>
        <w:tblStyle w:val="5"/>
        <w:tblW w:w="142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951"/>
        <w:gridCol w:w="1905"/>
        <w:gridCol w:w="1361"/>
        <w:gridCol w:w="1200"/>
        <w:gridCol w:w="707"/>
        <w:gridCol w:w="688"/>
        <w:gridCol w:w="707"/>
        <w:gridCol w:w="687"/>
        <w:gridCol w:w="707"/>
        <w:gridCol w:w="690"/>
        <w:gridCol w:w="650"/>
        <w:gridCol w:w="644"/>
        <w:gridCol w:w="647"/>
        <w:gridCol w:w="740"/>
        <w:gridCol w:w="1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04" w:type="dxa"/>
            <w:vMerge w:val="restart"/>
            <w:tcBorders>
              <w:top w:val="single" w:color="000000" w:sz="10" w:space="0"/>
              <w:left w:val="single" w:color="000000" w:sz="10" w:space="0"/>
              <w:bottom w:val="nil"/>
            </w:tcBorders>
            <w:textDirection w:val="tbRlV"/>
            <w:vAlign w:val="top"/>
          </w:tcPr>
          <w:p>
            <w:pPr>
              <w:pStyle w:val="6"/>
              <w:spacing w:before="144" w:line="211" w:lineRule="auto"/>
              <w:ind w:left="374"/>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951" w:type="dxa"/>
            <w:vMerge w:val="restart"/>
            <w:tcBorders>
              <w:top w:val="single" w:color="000000" w:sz="10" w:space="0"/>
              <w:bottom w:val="nil"/>
            </w:tcBorders>
            <w:vAlign w:val="top"/>
          </w:tcPr>
          <w:p>
            <w:pPr>
              <w:spacing w:line="304" w:lineRule="auto"/>
              <w:rPr>
                <w:rFonts w:ascii="Arial"/>
                <w:sz w:val="21"/>
              </w:rPr>
            </w:pPr>
          </w:p>
          <w:p>
            <w:pPr>
              <w:pStyle w:val="6"/>
              <w:spacing w:before="69" w:line="231" w:lineRule="auto"/>
              <w:ind w:left="367" w:right="170" w:hanging="199"/>
            </w:pPr>
            <w:r>
              <w:rPr>
                <w:spacing w:val="-8"/>
                <w14:textOutline w14:w="3831" w14:cap="flat" w14:cmpd="sng">
                  <w14:solidFill>
                    <w14:srgbClr w14:val="000000"/>
                  </w14:solidFill>
                  <w14:prstDash w14:val="solid"/>
                  <w14:miter w14:val="0"/>
                </w14:textOutline>
              </w:rPr>
              <w:t>检测点</w:t>
            </w:r>
            <w:r>
              <w:t xml:space="preserve"> </w:t>
            </w:r>
            <w:r>
              <w:rPr>
                <w14:textOutline w14:w="3831" w14:cap="flat" w14:cmpd="sng">
                  <w14:solidFill>
                    <w14:srgbClr w14:val="000000"/>
                  </w14:solidFill>
                  <w14:prstDash w14:val="solid"/>
                  <w14:miter w14:val="0"/>
                </w14:textOutline>
              </w:rPr>
              <w:t>位</w:t>
            </w:r>
          </w:p>
        </w:tc>
        <w:tc>
          <w:tcPr>
            <w:tcW w:w="3266" w:type="dxa"/>
            <w:gridSpan w:val="2"/>
            <w:vMerge w:val="restart"/>
            <w:tcBorders>
              <w:top w:val="single" w:color="000000" w:sz="10" w:space="0"/>
              <w:bottom w:val="nil"/>
            </w:tcBorders>
            <w:vAlign w:val="top"/>
          </w:tcPr>
          <w:p>
            <w:pPr>
              <w:spacing w:line="439" w:lineRule="auto"/>
              <w:rPr>
                <w:rFonts w:ascii="Arial"/>
                <w:sz w:val="21"/>
              </w:rPr>
            </w:pPr>
          </w:p>
          <w:p>
            <w:pPr>
              <w:pStyle w:val="6"/>
              <w:spacing w:before="68" w:line="221" w:lineRule="auto"/>
              <w:ind w:left="1209"/>
            </w:pPr>
            <w:r>
              <w:rPr>
                <w:spacing w:val="-1"/>
                <w14:textOutline w14:w="3831" w14:cap="flat" w14:cmpd="sng">
                  <w14:solidFill>
                    <w14:srgbClr w14:val="000000"/>
                  </w14:solidFill>
                  <w14:prstDash w14:val="solid"/>
                  <w14:miter w14:val="0"/>
                </w14:textOutline>
              </w:rPr>
              <w:t>检测时间</w:t>
            </w:r>
          </w:p>
        </w:tc>
        <w:tc>
          <w:tcPr>
            <w:tcW w:w="1200" w:type="dxa"/>
            <w:vMerge w:val="restart"/>
            <w:tcBorders>
              <w:top w:val="single" w:color="000000" w:sz="10" w:space="0"/>
              <w:bottom w:val="nil"/>
            </w:tcBorders>
            <w:vAlign w:val="top"/>
          </w:tcPr>
          <w:p>
            <w:pPr>
              <w:spacing w:line="440" w:lineRule="auto"/>
              <w:rPr>
                <w:rFonts w:ascii="Arial"/>
                <w:sz w:val="21"/>
              </w:rPr>
            </w:pPr>
          </w:p>
          <w:p>
            <w:pPr>
              <w:pStyle w:val="6"/>
              <w:spacing w:before="68" w:line="221" w:lineRule="auto"/>
              <w:ind w:left="202"/>
            </w:pPr>
            <w:r>
              <w:rPr>
                <w:spacing w:val="-7"/>
                <w14:textOutline w14:w="3831" w14:cap="flat" w14:cmpd="sng">
                  <w14:solidFill>
                    <w14:srgbClr w14:val="000000"/>
                  </w14:solidFill>
                  <w14:prstDash w14:val="solid"/>
                  <w14:miter w14:val="0"/>
                </w14:textOutline>
              </w:rPr>
              <w:t>主要声源</w:t>
            </w:r>
          </w:p>
        </w:tc>
        <w:tc>
          <w:tcPr>
            <w:tcW w:w="4836" w:type="dxa"/>
            <w:gridSpan w:val="7"/>
            <w:tcBorders>
              <w:top w:val="single" w:color="000000" w:sz="10" w:space="0"/>
            </w:tcBorders>
            <w:vAlign w:val="top"/>
          </w:tcPr>
          <w:p>
            <w:pPr>
              <w:pStyle w:val="6"/>
              <w:spacing w:before="184" w:line="221" w:lineRule="auto"/>
              <w:ind w:left="2022"/>
            </w:pPr>
            <w:r>
              <w:rPr>
                <w:spacing w:val="-7"/>
                <w14:textOutline w14:w="3831" w14:cap="flat" w14:cmpd="sng">
                  <w14:solidFill>
                    <w14:srgbClr w14:val="000000"/>
                  </w14:solidFill>
                  <w14:prstDash w14:val="solid"/>
                  <w14:miter w14:val="0"/>
                </w14:textOutline>
              </w:rPr>
              <w:t>检测结果</w:t>
            </w:r>
          </w:p>
        </w:tc>
        <w:tc>
          <w:tcPr>
            <w:tcW w:w="2031" w:type="dxa"/>
            <w:gridSpan w:val="3"/>
            <w:tcBorders>
              <w:top w:val="single" w:color="000000" w:sz="10" w:space="0"/>
            </w:tcBorders>
            <w:vAlign w:val="top"/>
          </w:tcPr>
          <w:p>
            <w:pPr>
              <w:pStyle w:val="6"/>
              <w:spacing w:before="48" w:line="238" w:lineRule="auto"/>
              <w:ind w:left="529"/>
            </w:pPr>
            <w:r>
              <w:rPr>
                <w:spacing w:val="-7"/>
                <w14:textOutline w14:w="3831" w14:cap="flat" w14:cmpd="sng">
                  <w14:solidFill>
                    <w14:srgbClr w14:val="000000"/>
                  </w14:solidFill>
                  <w14:prstDash w14:val="solid"/>
                  <w14:miter w14:val="0"/>
                </w14:textOutline>
              </w:rPr>
              <w:t>车流量情况</w:t>
            </w:r>
          </w:p>
          <w:p>
            <w:pPr>
              <w:pStyle w:val="6"/>
              <w:spacing w:line="218" w:lineRule="auto"/>
              <w:ind w:left="440"/>
            </w:pPr>
            <w:r>
              <w:rPr>
                <w:spacing w:val="-7"/>
                <w14:textOutline w14:w="3831" w14:cap="flat" w14:cmpd="sng">
                  <w14:solidFill>
                    <w14:srgbClr w14:val="000000"/>
                  </w14:solidFill>
                  <w14:prstDash w14:val="solid"/>
                  <w14:miter w14:val="0"/>
                </w14:textOutline>
              </w:rPr>
              <w:t>（辆</w:t>
            </w:r>
            <w:r>
              <w:rPr>
                <w:rFonts w:ascii="Times New Roman" w:hAnsi="Times New Roman" w:eastAsia="Times New Roman" w:cs="Times New Roman"/>
                <w:b/>
                <w:bCs/>
                <w:spacing w:val="-7"/>
              </w:rPr>
              <w:t>/20min</w:t>
            </w:r>
            <w:r>
              <w:rPr>
                <w:spacing w:val="-7"/>
                <w14:textOutline w14:w="3831" w14:cap="flat" w14:cmpd="sng">
                  <w14:solidFill>
                    <w14:srgbClr w14:val="000000"/>
                  </w14:solidFill>
                  <w14:prstDash w14:val="solid"/>
                  <w14:miter w14:val="0"/>
                </w14:textOutline>
              </w:rPr>
              <w:t>）</w:t>
            </w:r>
          </w:p>
        </w:tc>
        <w:tc>
          <w:tcPr>
            <w:tcW w:w="1459" w:type="dxa"/>
            <w:vMerge w:val="restart"/>
            <w:tcBorders>
              <w:top w:val="single" w:color="000000" w:sz="10" w:space="0"/>
              <w:bottom w:val="nil"/>
              <w:right w:val="single" w:color="000000" w:sz="10" w:space="0"/>
            </w:tcBorders>
            <w:vAlign w:val="top"/>
          </w:tcPr>
          <w:p>
            <w:pPr>
              <w:spacing w:line="440" w:lineRule="auto"/>
              <w:rPr>
                <w:rFonts w:ascii="Arial"/>
                <w:sz w:val="21"/>
              </w:rPr>
            </w:pPr>
          </w:p>
          <w:p>
            <w:pPr>
              <w:pStyle w:val="6"/>
              <w:spacing w:before="68" w:line="222" w:lineRule="auto"/>
              <w:ind w:left="541"/>
            </w:pPr>
            <w:r>
              <w:rPr>
                <w:spacing w:val="-5"/>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Align w:val="top"/>
          </w:tcPr>
          <w:p>
            <w:pPr>
              <w:spacing w:before="260" w:line="195" w:lineRule="auto"/>
              <w:ind w:left="213"/>
              <w:rPr>
                <w:rFonts w:ascii="Times New Roman" w:hAnsi="Times New Roman" w:eastAsia="Times New Roman" w:cs="Times New Roman"/>
                <w:sz w:val="13"/>
                <w:szCs w:val="13"/>
              </w:rPr>
            </w:pPr>
            <w:r>
              <w:rPr>
                <w:rFonts w:ascii="Times New Roman" w:hAnsi="Times New Roman" w:eastAsia="Times New Roman" w:cs="Times New Roman"/>
                <w:b/>
                <w:bCs/>
                <w:spacing w:val="2"/>
                <w:position w:val="1"/>
                <w:sz w:val="21"/>
                <w:szCs w:val="21"/>
              </w:rPr>
              <w:t>L</w:t>
            </w:r>
            <w:r>
              <w:rPr>
                <w:rFonts w:ascii="Times New Roman" w:hAnsi="Times New Roman" w:eastAsia="Times New Roman" w:cs="Times New Roman"/>
                <w:b/>
                <w:bCs/>
                <w:spacing w:val="2"/>
                <w:sz w:val="13"/>
                <w:szCs w:val="13"/>
              </w:rPr>
              <w:t>eq</w:t>
            </w:r>
          </w:p>
        </w:tc>
        <w:tc>
          <w:tcPr>
            <w:tcW w:w="688" w:type="dxa"/>
            <w:vAlign w:val="top"/>
          </w:tcPr>
          <w:p>
            <w:pPr>
              <w:spacing w:before="260" w:line="203" w:lineRule="auto"/>
              <w:ind w:left="204"/>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10</w:t>
            </w:r>
          </w:p>
        </w:tc>
        <w:tc>
          <w:tcPr>
            <w:tcW w:w="707" w:type="dxa"/>
            <w:vAlign w:val="top"/>
          </w:tcPr>
          <w:p>
            <w:pPr>
              <w:spacing w:before="260" w:line="203" w:lineRule="auto"/>
              <w:ind w:left="215"/>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50</w:t>
            </w:r>
          </w:p>
        </w:tc>
        <w:tc>
          <w:tcPr>
            <w:tcW w:w="687" w:type="dxa"/>
            <w:vAlign w:val="top"/>
          </w:tcPr>
          <w:p>
            <w:pPr>
              <w:spacing w:before="260" w:line="203" w:lineRule="auto"/>
              <w:ind w:left="206"/>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90</w:t>
            </w:r>
          </w:p>
        </w:tc>
        <w:tc>
          <w:tcPr>
            <w:tcW w:w="707" w:type="dxa"/>
            <w:vAlign w:val="top"/>
          </w:tcPr>
          <w:p>
            <w:pPr>
              <w:spacing w:before="260" w:line="222" w:lineRule="auto"/>
              <w:ind w:left="160"/>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max</w:t>
            </w:r>
          </w:p>
        </w:tc>
        <w:tc>
          <w:tcPr>
            <w:tcW w:w="690" w:type="dxa"/>
            <w:vAlign w:val="top"/>
          </w:tcPr>
          <w:p>
            <w:pPr>
              <w:spacing w:before="260" w:line="223" w:lineRule="auto"/>
              <w:ind w:left="161"/>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min</w:t>
            </w:r>
          </w:p>
        </w:tc>
        <w:tc>
          <w:tcPr>
            <w:tcW w:w="650" w:type="dxa"/>
            <w:vAlign w:val="top"/>
          </w:tcPr>
          <w:p>
            <w:pPr>
              <w:spacing w:before="257" w:line="187" w:lineRule="auto"/>
              <w:ind w:left="200"/>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SD</w:t>
            </w:r>
          </w:p>
        </w:tc>
        <w:tc>
          <w:tcPr>
            <w:tcW w:w="644" w:type="dxa"/>
            <w:vAlign w:val="top"/>
          </w:tcPr>
          <w:p>
            <w:pPr>
              <w:pStyle w:val="6"/>
              <w:spacing w:before="82" w:line="229" w:lineRule="auto"/>
              <w:ind w:left="231" w:right="100" w:hanging="101"/>
            </w:pPr>
            <w:r>
              <w:rPr>
                <w:spacing w:val="-6"/>
                <w14:textOutline w14:w="3831" w14:cap="flat" w14:cmpd="sng">
                  <w14:solidFill>
                    <w14:srgbClr w14:val="000000"/>
                  </w14:solidFill>
                  <w14:prstDash w14:val="solid"/>
                  <w14:miter w14:val="0"/>
                </w14:textOutline>
              </w:rPr>
              <w:t>小型</w:t>
            </w:r>
            <w:r>
              <w:t xml:space="preserve"> </w:t>
            </w:r>
            <w:r>
              <w:rPr>
                <w14:textOutline w14:w="3831" w14:cap="flat" w14:cmpd="sng">
                  <w14:solidFill>
                    <w14:srgbClr w14:val="000000"/>
                  </w14:solidFill>
                  <w14:prstDash w14:val="solid"/>
                  <w14:miter w14:val="0"/>
                </w14:textOutline>
              </w:rPr>
              <w:t>车</w:t>
            </w:r>
          </w:p>
        </w:tc>
        <w:tc>
          <w:tcPr>
            <w:tcW w:w="647" w:type="dxa"/>
            <w:vAlign w:val="top"/>
          </w:tcPr>
          <w:p>
            <w:pPr>
              <w:pStyle w:val="6"/>
              <w:spacing w:before="82" w:line="229" w:lineRule="auto"/>
              <w:ind w:left="230" w:right="103" w:hanging="87"/>
            </w:pPr>
            <w:r>
              <w:rPr>
                <w:spacing w:val="-13"/>
                <w14:textOutline w14:w="3831" w14:cap="flat" w14:cmpd="sng">
                  <w14:solidFill>
                    <w14:srgbClr w14:val="000000"/>
                  </w14:solidFill>
                  <w14:prstDash w14:val="solid"/>
                  <w14:miter w14:val="0"/>
                </w14:textOutline>
              </w:rPr>
              <w:t>中型</w:t>
            </w:r>
            <w:r>
              <w:t xml:space="preserve"> </w:t>
            </w:r>
            <w:r>
              <w:rPr>
                <w14:textOutline w14:w="3831" w14:cap="flat" w14:cmpd="sng">
                  <w14:solidFill>
                    <w14:srgbClr w14:val="000000"/>
                  </w14:solidFill>
                  <w14:prstDash w14:val="solid"/>
                  <w14:miter w14:val="0"/>
                </w14:textOutline>
              </w:rPr>
              <w:t>车</w:t>
            </w:r>
          </w:p>
        </w:tc>
        <w:tc>
          <w:tcPr>
            <w:tcW w:w="740" w:type="dxa"/>
            <w:vAlign w:val="top"/>
          </w:tcPr>
          <w:p>
            <w:pPr>
              <w:pStyle w:val="6"/>
              <w:spacing w:before="82" w:line="238" w:lineRule="auto"/>
              <w:ind w:left="172"/>
            </w:pPr>
            <w:r>
              <w:rPr>
                <w:spacing w:val="-3"/>
                <w14:textOutline w14:w="3831" w14:cap="flat" w14:cmpd="sng">
                  <w14:solidFill>
                    <w14:srgbClr w14:val="000000"/>
                  </w14:solidFill>
                  <w14:prstDash w14:val="solid"/>
                  <w14:miter w14:val="0"/>
                </w14:textOutline>
              </w:rPr>
              <w:t>大型</w:t>
            </w:r>
          </w:p>
          <w:p>
            <w:pPr>
              <w:pStyle w:val="6"/>
              <w:spacing w:line="220" w:lineRule="auto"/>
              <w:ind w:left="277"/>
            </w:pPr>
            <w:r>
              <w:rPr>
                <w14:textOutline w14:w="3831" w14:cap="flat" w14:cmpd="sng">
                  <w14:solidFill>
                    <w14:srgbClr w14:val="000000"/>
                  </w14:solidFill>
                  <w14:prstDash w14:val="solid"/>
                  <w14:miter w14:val="0"/>
                </w14:textOutline>
              </w:rPr>
              <w:t>车</w:t>
            </w:r>
          </w:p>
        </w:tc>
        <w:tc>
          <w:tcPr>
            <w:tcW w:w="145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82"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28" w:lineRule="auto"/>
              <w:rPr>
                <w:rFonts w:ascii="Arial"/>
                <w:sz w:val="21"/>
              </w:rPr>
            </w:pPr>
          </w:p>
          <w:p>
            <w:pPr>
              <w:spacing w:before="61"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20:20~20:40</w:t>
            </w:r>
          </w:p>
        </w:tc>
        <w:tc>
          <w:tcPr>
            <w:tcW w:w="1200" w:type="dxa"/>
            <w:vMerge w:val="restart"/>
            <w:tcBorders>
              <w:bottom w:val="nil"/>
            </w:tcBorders>
            <w:vAlign w:val="top"/>
          </w:tcPr>
          <w:p>
            <w:pPr>
              <w:pStyle w:val="6"/>
              <w:spacing w:before="215"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28" w:lineRule="auto"/>
              <w:rPr>
                <w:rFonts w:ascii="Arial"/>
                <w:sz w:val="21"/>
              </w:rPr>
            </w:pPr>
          </w:p>
          <w:p>
            <w:pPr>
              <w:spacing w:before="61"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51.9</w:t>
            </w:r>
          </w:p>
        </w:tc>
        <w:tc>
          <w:tcPr>
            <w:tcW w:w="688" w:type="dxa"/>
            <w:vMerge w:val="restart"/>
            <w:tcBorders>
              <w:bottom w:val="nil"/>
            </w:tcBorders>
            <w:vAlign w:val="top"/>
          </w:tcPr>
          <w:p>
            <w:pPr>
              <w:spacing w:line="328" w:lineRule="auto"/>
              <w:rPr>
                <w:rFonts w:ascii="Arial"/>
                <w:sz w:val="21"/>
              </w:rPr>
            </w:pPr>
          </w:p>
          <w:p>
            <w:pPr>
              <w:spacing w:before="61"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55.6</w:t>
            </w:r>
          </w:p>
        </w:tc>
        <w:tc>
          <w:tcPr>
            <w:tcW w:w="707" w:type="dxa"/>
            <w:vMerge w:val="restart"/>
            <w:tcBorders>
              <w:bottom w:val="nil"/>
            </w:tcBorders>
            <w:vAlign w:val="top"/>
          </w:tcPr>
          <w:p>
            <w:pPr>
              <w:spacing w:line="328" w:lineRule="auto"/>
              <w:rPr>
                <w:rFonts w:ascii="Arial"/>
                <w:sz w:val="21"/>
              </w:rPr>
            </w:pPr>
          </w:p>
          <w:p>
            <w:pPr>
              <w:spacing w:before="6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45.2</w:t>
            </w:r>
          </w:p>
        </w:tc>
        <w:tc>
          <w:tcPr>
            <w:tcW w:w="687" w:type="dxa"/>
            <w:vMerge w:val="restart"/>
            <w:tcBorders>
              <w:bottom w:val="nil"/>
            </w:tcBorders>
            <w:vAlign w:val="top"/>
          </w:tcPr>
          <w:p>
            <w:pPr>
              <w:spacing w:line="328" w:lineRule="auto"/>
              <w:rPr>
                <w:rFonts w:ascii="Arial"/>
                <w:sz w:val="21"/>
              </w:rPr>
            </w:pPr>
          </w:p>
          <w:p>
            <w:pPr>
              <w:spacing w:before="61"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c>
          <w:tcPr>
            <w:tcW w:w="707" w:type="dxa"/>
            <w:vMerge w:val="restart"/>
            <w:tcBorders>
              <w:bottom w:val="nil"/>
            </w:tcBorders>
            <w:vAlign w:val="top"/>
          </w:tcPr>
          <w:p>
            <w:pPr>
              <w:spacing w:line="328" w:lineRule="auto"/>
              <w:rPr>
                <w:rFonts w:ascii="Arial"/>
                <w:sz w:val="21"/>
              </w:rPr>
            </w:pPr>
          </w:p>
          <w:p>
            <w:pPr>
              <w:spacing w:before="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66.9</w:t>
            </w:r>
          </w:p>
        </w:tc>
        <w:tc>
          <w:tcPr>
            <w:tcW w:w="690" w:type="dxa"/>
            <w:vMerge w:val="restart"/>
            <w:tcBorders>
              <w:bottom w:val="nil"/>
            </w:tcBorders>
            <w:vAlign w:val="top"/>
          </w:tcPr>
          <w:p>
            <w:pPr>
              <w:spacing w:line="328"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36.0</w:t>
            </w:r>
          </w:p>
        </w:tc>
        <w:tc>
          <w:tcPr>
            <w:tcW w:w="650" w:type="dxa"/>
            <w:vMerge w:val="restart"/>
            <w:tcBorders>
              <w:bottom w:val="nil"/>
            </w:tcBorders>
            <w:vAlign w:val="top"/>
          </w:tcPr>
          <w:p>
            <w:pPr>
              <w:spacing w:line="331" w:lineRule="auto"/>
              <w:rPr>
                <w:rFonts w:ascii="Arial"/>
                <w:sz w:val="21"/>
              </w:rPr>
            </w:pPr>
          </w:p>
          <w:p>
            <w:pPr>
              <w:spacing w:before="61" w:line="184"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644" w:type="dxa"/>
            <w:vAlign w:val="top"/>
          </w:tcPr>
          <w:p>
            <w:pPr>
              <w:spacing w:before="112"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647" w:type="dxa"/>
            <w:vAlign w:val="top"/>
          </w:tcPr>
          <w:p>
            <w:pPr>
              <w:spacing w:before="112"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112"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74"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12" w:line="184"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647" w:type="dxa"/>
            <w:vAlign w:val="top"/>
          </w:tcPr>
          <w:p>
            <w:pPr>
              <w:spacing w:before="209"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09"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35" w:line="221"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73"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19" w:lineRule="auto"/>
              <w:rPr>
                <w:rFonts w:ascii="Arial"/>
                <w:sz w:val="21"/>
              </w:rPr>
            </w:pPr>
          </w:p>
          <w:p>
            <w:pPr>
              <w:spacing w:before="61"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21:20~21:40</w:t>
            </w:r>
          </w:p>
        </w:tc>
        <w:tc>
          <w:tcPr>
            <w:tcW w:w="1200" w:type="dxa"/>
            <w:vMerge w:val="restart"/>
            <w:tcBorders>
              <w:bottom w:val="nil"/>
            </w:tcBorders>
            <w:vAlign w:val="top"/>
          </w:tcPr>
          <w:p>
            <w:pPr>
              <w:pStyle w:val="6"/>
              <w:spacing w:before="206"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19" w:lineRule="auto"/>
              <w:rPr>
                <w:rFonts w:ascii="Arial"/>
                <w:sz w:val="21"/>
              </w:rPr>
            </w:pPr>
          </w:p>
          <w:p>
            <w:pPr>
              <w:spacing w:before="61"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688" w:type="dxa"/>
            <w:vMerge w:val="restart"/>
            <w:tcBorders>
              <w:bottom w:val="nil"/>
            </w:tcBorders>
            <w:vAlign w:val="top"/>
          </w:tcPr>
          <w:p>
            <w:pPr>
              <w:spacing w:line="319" w:lineRule="auto"/>
              <w:rPr>
                <w:rFonts w:ascii="Arial"/>
                <w:sz w:val="21"/>
              </w:rPr>
            </w:pPr>
          </w:p>
          <w:p>
            <w:pPr>
              <w:spacing w:before="61"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707" w:type="dxa"/>
            <w:vMerge w:val="restart"/>
            <w:tcBorders>
              <w:bottom w:val="nil"/>
            </w:tcBorders>
            <w:vAlign w:val="top"/>
          </w:tcPr>
          <w:p>
            <w:pPr>
              <w:spacing w:line="319" w:lineRule="auto"/>
              <w:rPr>
                <w:rFonts w:ascii="Arial"/>
                <w:sz w:val="21"/>
              </w:rPr>
            </w:pPr>
          </w:p>
          <w:p>
            <w:pPr>
              <w:spacing w:before="6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687" w:type="dxa"/>
            <w:vMerge w:val="restart"/>
            <w:tcBorders>
              <w:bottom w:val="nil"/>
            </w:tcBorders>
            <w:vAlign w:val="top"/>
          </w:tcPr>
          <w:p>
            <w:pPr>
              <w:spacing w:line="319"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39.4</w:t>
            </w:r>
          </w:p>
        </w:tc>
        <w:tc>
          <w:tcPr>
            <w:tcW w:w="707" w:type="dxa"/>
            <w:vMerge w:val="restart"/>
            <w:tcBorders>
              <w:bottom w:val="nil"/>
            </w:tcBorders>
            <w:vAlign w:val="top"/>
          </w:tcPr>
          <w:p>
            <w:pPr>
              <w:spacing w:line="319"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77.3</w:t>
            </w:r>
          </w:p>
        </w:tc>
        <w:tc>
          <w:tcPr>
            <w:tcW w:w="690" w:type="dxa"/>
            <w:vMerge w:val="restart"/>
            <w:tcBorders>
              <w:bottom w:val="nil"/>
            </w:tcBorders>
            <w:vAlign w:val="top"/>
          </w:tcPr>
          <w:p>
            <w:pPr>
              <w:spacing w:line="319"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36.1</w:t>
            </w:r>
          </w:p>
        </w:tc>
        <w:tc>
          <w:tcPr>
            <w:tcW w:w="650" w:type="dxa"/>
            <w:vMerge w:val="restart"/>
            <w:tcBorders>
              <w:bottom w:val="nil"/>
            </w:tcBorders>
            <w:vAlign w:val="top"/>
          </w:tcPr>
          <w:p>
            <w:pPr>
              <w:spacing w:line="319" w:lineRule="auto"/>
              <w:rPr>
                <w:rFonts w:ascii="Arial"/>
                <w:sz w:val="21"/>
              </w:rPr>
            </w:pPr>
          </w:p>
          <w:p>
            <w:pPr>
              <w:spacing w:before="61"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644" w:type="dxa"/>
            <w:vAlign w:val="top"/>
          </w:tcPr>
          <w:p>
            <w:pPr>
              <w:spacing w:before="103"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647" w:type="dxa"/>
            <w:vAlign w:val="top"/>
          </w:tcPr>
          <w:p>
            <w:pPr>
              <w:spacing w:before="103"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103"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65"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15" w:line="184"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47" w:type="dxa"/>
            <w:vAlign w:val="top"/>
          </w:tcPr>
          <w:p>
            <w:pPr>
              <w:spacing w:before="212"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12"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37" w:line="220"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82"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29" w:lineRule="auto"/>
              <w:rPr>
                <w:rFonts w:ascii="Arial"/>
                <w:sz w:val="21"/>
              </w:rPr>
            </w:pPr>
          </w:p>
          <w:p>
            <w:pPr>
              <w:spacing w:before="60"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22:20~22:40</w:t>
            </w:r>
          </w:p>
        </w:tc>
        <w:tc>
          <w:tcPr>
            <w:tcW w:w="1200" w:type="dxa"/>
            <w:vMerge w:val="restart"/>
            <w:tcBorders>
              <w:bottom w:val="nil"/>
            </w:tcBorders>
            <w:vAlign w:val="top"/>
          </w:tcPr>
          <w:p>
            <w:pPr>
              <w:pStyle w:val="6"/>
              <w:spacing w:before="215"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29"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49.4</w:t>
            </w:r>
          </w:p>
        </w:tc>
        <w:tc>
          <w:tcPr>
            <w:tcW w:w="688" w:type="dxa"/>
            <w:vMerge w:val="restart"/>
            <w:tcBorders>
              <w:bottom w:val="nil"/>
            </w:tcBorders>
            <w:vAlign w:val="top"/>
          </w:tcPr>
          <w:p>
            <w:pPr>
              <w:spacing w:line="329" w:lineRule="auto"/>
              <w:rPr>
                <w:rFonts w:ascii="Arial"/>
                <w:sz w:val="21"/>
              </w:rPr>
            </w:pPr>
          </w:p>
          <w:p>
            <w:pPr>
              <w:spacing w:before="6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51.2</w:t>
            </w:r>
          </w:p>
        </w:tc>
        <w:tc>
          <w:tcPr>
            <w:tcW w:w="707" w:type="dxa"/>
            <w:vMerge w:val="restart"/>
            <w:tcBorders>
              <w:bottom w:val="nil"/>
            </w:tcBorders>
            <w:vAlign w:val="top"/>
          </w:tcPr>
          <w:p>
            <w:pPr>
              <w:spacing w:line="329" w:lineRule="auto"/>
              <w:rPr>
                <w:rFonts w:ascii="Arial"/>
                <w:sz w:val="21"/>
              </w:rPr>
            </w:pPr>
          </w:p>
          <w:p>
            <w:pPr>
              <w:spacing w:before="6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40.4</w:t>
            </w:r>
          </w:p>
        </w:tc>
        <w:tc>
          <w:tcPr>
            <w:tcW w:w="687" w:type="dxa"/>
            <w:vMerge w:val="restart"/>
            <w:tcBorders>
              <w:bottom w:val="nil"/>
            </w:tcBorders>
            <w:vAlign w:val="top"/>
          </w:tcPr>
          <w:p>
            <w:pPr>
              <w:spacing w:line="329" w:lineRule="auto"/>
              <w:rPr>
                <w:rFonts w:ascii="Arial"/>
                <w:sz w:val="21"/>
              </w:rPr>
            </w:pPr>
          </w:p>
          <w:p>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37.0</w:t>
            </w:r>
          </w:p>
        </w:tc>
        <w:tc>
          <w:tcPr>
            <w:tcW w:w="707" w:type="dxa"/>
            <w:vMerge w:val="restart"/>
            <w:tcBorders>
              <w:bottom w:val="nil"/>
            </w:tcBorders>
            <w:vAlign w:val="top"/>
          </w:tcPr>
          <w:p>
            <w:pPr>
              <w:spacing w:line="329" w:lineRule="auto"/>
              <w:rPr>
                <w:rFonts w:ascii="Arial"/>
                <w:sz w:val="21"/>
              </w:rPr>
            </w:pPr>
          </w:p>
          <w:p>
            <w:pPr>
              <w:spacing w:before="6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66.8</w:t>
            </w:r>
          </w:p>
        </w:tc>
        <w:tc>
          <w:tcPr>
            <w:tcW w:w="690" w:type="dxa"/>
            <w:vMerge w:val="restart"/>
            <w:tcBorders>
              <w:bottom w:val="nil"/>
            </w:tcBorders>
            <w:vAlign w:val="top"/>
          </w:tcPr>
          <w:p>
            <w:pPr>
              <w:spacing w:line="329"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34.0</w:t>
            </w:r>
          </w:p>
        </w:tc>
        <w:tc>
          <w:tcPr>
            <w:tcW w:w="650" w:type="dxa"/>
            <w:vMerge w:val="restart"/>
            <w:tcBorders>
              <w:bottom w:val="nil"/>
            </w:tcBorders>
            <w:vAlign w:val="top"/>
          </w:tcPr>
          <w:p>
            <w:pPr>
              <w:spacing w:line="329" w:lineRule="auto"/>
              <w:rPr>
                <w:rFonts w:ascii="Arial"/>
                <w:sz w:val="21"/>
              </w:rPr>
            </w:pPr>
          </w:p>
          <w:p>
            <w:pPr>
              <w:spacing w:before="60"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w:t>
            </w:r>
          </w:p>
        </w:tc>
        <w:tc>
          <w:tcPr>
            <w:tcW w:w="644" w:type="dxa"/>
            <w:vAlign w:val="top"/>
          </w:tcPr>
          <w:p>
            <w:pPr>
              <w:spacing w:before="113" w:line="187" w:lineRule="auto"/>
              <w:ind w:left="287"/>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647" w:type="dxa"/>
            <w:vAlign w:val="top"/>
          </w:tcPr>
          <w:p>
            <w:pPr>
              <w:spacing w:before="113"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113"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75"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14" w:line="187"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647" w:type="dxa"/>
            <w:vAlign w:val="top"/>
          </w:tcPr>
          <w:p>
            <w:pPr>
              <w:spacing w:before="214"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14"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41" w:line="219"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87" w:lineRule="auto"/>
              <w:rPr>
                <w:rFonts w:ascii="Arial"/>
                <w:sz w:val="21"/>
              </w:rPr>
            </w:pPr>
          </w:p>
          <w:p>
            <w:pPr>
              <w:pStyle w:val="6"/>
              <w:spacing w:before="69"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34" w:lineRule="auto"/>
              <w:rPr>
                <w:rFonts w:ascii="Arial"/>
                <w:sz w:val="21"/>
              </w:rPr>
            </w:pPr>
          </w:p>
          <w:p>
            <w:pPr>
              <w:spacing w:before="60"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23:20~23:40</w:t>
            </w:r>
          </w:p>
        </w:tc>
        <w:tc>
          <w:tcPr>
            <w:tcW w:w="1200" w:type="dxa"/>
            <w:vMerge w:val="restart"/>
            <w:tcBorders>
              <w:bottom w:val="nil"/>
            </w:tcBorders>
            <w:vAlign w:val="top"/>
          </w:tcPr>
          <w:p>
            <w:pPr>
              <w:pStyle w:val="6"/>
              <w:spacing w:before="223"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34"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48.8</w:t>
            </w:r>
          </w:p>
        </w:tc>
        <w:tc>
          <w:tcPr>
            <w:tcW w:w="688" w:type="dxa"/>
            <w:vMerge w:val="restart"/>
            <w:tcBorders>
              <w:bottom w:val="nil"/>
            </w:tcBorders>
            <w:vAlign w:val="top"/>
          </w:tcPr>
          <w:p>
            <w:pPr>
              <w:spacing w:line="334" w:lineRule="auto"/>
              <w:rPr>
                <w:rFonts w:ascii="Arial"/>
                <w:sz w:val="21"/>
              </w:rPr>
            </w:pPr>
          </w:p>
          <w:p>
            <w:pPr>
              <w:spacing w:before="6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50.4</w:t>
            </w:r>
          </w:p>
        </w:tc>
        <w:tc>
          <w:tcPr>
            <w:tcW w:w="707" w:type="dxa"/>
            <w:vMerge w:val="restart"/>
            <w:tcBorders>
              <w:bottom w:val="nil"/>
            </w:tcBorders>
            <w:vAlign w:val="top"/>
          </w:tcPr>
          <w:p>
            <w:pPr>
              <w:spacing w:line="334" w:lineRule="auto"/>
              <w:rPr>
                <w:rFonts w:ascii="Arial"/>
                <w:sz w:val="21"/>
              </w:rPr>
            </w:pPr>
          </w:p>
          <w:p>
            <w:pPr>
              <w:spacing w:before="6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41.8</w:t>
            </w:r>
          </w:p>
        </w:tc>
        <w:tc>
          <w:tcPr>
            <w:tcW w:w="687" w:type="dxa"/>
            <w:vMerge w:val="restart"/>
            <w:tcBorders>
              <w:bottom w:val="nil"/>
            </w:tcBorders>
            <w:vAlign w:val="top"/>
          </w:tcPr>
          <w:p>
            <w:pPr>
              <w:spacing w:line="334" w:lineRule="auto"/>
              <w:rPr>
                <w:rFonts w:ascii="Arial"/>
                <w:sz w:val="21"/>
              </w:rPr>
            </w:pPr>
          </w:p>
          <w:p>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39.6</w:t>
            </w:r>
          </w:p>
        </w:tc>
        <w:tc>
          <w:tcPr>
            <w:tcW w:w="707" w:type="dxa"/>
            <w:vMerge w:val="restart"/>
            <w:tcBorders>
              <w:bottom w:val="nil"/>
            </w:tcBorders>
            <w:vAlign w:val="top"/>
          </w:tcPr>
          <w:p>
            <w:pPr>
              <w:spacing w:line="334" w:lineRule="auto"/>
              <w:rPr>
                <w:rFonts w:ascii="Arial"/>
                <w:sz w:val="21"/>
              </w:rPr>
            </w:pPr>
          </w:p>
          <w:p>
            <w:pPr>
              <w:spacing w:before="6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69.0</w:t>
            </w:r>
          </w:p>
        </w:tc>
        <w:tc>
          <w:tcPr>
            <w:tcW w:w="690" w:type="dxa"/>
            <w:vMerge w:val="restart"/>
            <w:tcBorders>
              <w:bottom w:val="nil"/>
            </w:tcBorders>
            <w:vAlign w:val="top"/>
          </w:tcPr>
          <w:p>
            <w:pPr>
              <w:spacing w:line="334"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37.6</w:t>
            </w:r>
          </w:p>
        </w:tc>
        <w:tc>
          <w:tcPr>
            <w:tcW w:w="650" w:type="dxa"/>
            <w:vMerge w:val="restart"/>
            <w:tcBorders>
              <w:bottom w:val="nil"/>
            </w:tcBorders>
            <w:vAlign w:val="top"/>
          </w:tcPr>
          <w:p>
            <w:pPr>
              <w:spacing w:line="334" w:lineRule="auto"/>
              <w:rPr>
                <w:rFonts w:ascii="Arial"/>
                <w:sz w:val="21"/>
              </w:rPr>
            </w:pPr>
          </w:p>
          <w:p>
            <w:pPr>
              <w:spacing w:before="60"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644" w:type="dxa"/>
            <w:vAlign w:val="top"/>
          </w:tcPr>
          <w:p>
            <w:pPr>
              <w:spacing w:before="123" w:line="184"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47" w:type="dxa"/>
            <w:vAlign w:val="top"/>
          </w:tcPr>
          <w:p>
            <w:pPr>
              <w:spacing w:before="120"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120"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82"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1" w:line="184"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647" w:type="dxa"/>
            <w:vAlign w:val="top"/>
          </w:tcPr>
          <w:p>
            <w:pPr>
              <w:spacing w:before="218"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18"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42" w:line="218"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69"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15"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00:20~00:40</w:t>
            </w:r>
          </w:p>
        </w:tc>
        <w:tc>
          <w:tcPr>
            <w:tcW w:w="1200" w:type="dxa"/>
            <w:vMerge w:val="restart"/>
            <w:tcBorders>
              <w:bottom w:val="nil"/>
            </w:tcBorders>
            <w:vAlign w:val="top"/>
          </w:tcPr>
          <w:p>
            <w:pPr>
              <w:pStyle w:val="6"/>
              <w:spacing w:before="204"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15" w:lineRule="auto"/>
              <w:rPr>
                <w:rFonts w:ascii="Arial"/>
                <w:sz w:val="21"/>
              </w:rPr>
            </w:pPr>
          </w:p>
          <w:p>
            <w:pPr>
              <w:spacing w:before="61"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688" w:type="dxa"/>
            <w:vMerge w:val="restart"/>
            <w:tcBorders>
              <w:bottom w:val="nil"/>
            </w:tcBorders>
            <w:vAlign w:val="top"/>
          </w:tcPr>
          <w:p>
            <w:pPr>
              <w:spacing w:line="315" w:lineRule="auto"/>
              <w:rPr>
                <w:rFonts w:ascii="Arial"/>
                <w:sz w:val="21"/>
              </w:rPr>
            </w:pPr>
          </w:p>
          <w:p>
            <w:pPr>
              <w:spacing w:before="6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46.8</w:t>
            </w:r>
          </w:p>
        </w:tc>
        <w:tc>
          <w:tcPr>
            <w:tcW w:w="707" w:type="dxa"/>
            <w:vMerge w:val="restart"/>
            <w:tcBorders>
              <w:bottom w:val="nil"/>
            </w:tcBorders>
            <w:vAlign w:val="top"/>
          </w:tcPr>
          <w:p>
            <w:pPr>
              <w:spacing w:line="315" w:lineRule="auto"/>
              <w:rPr>
                <w:rFonts w:ascii="Arial"/>
                <w:sz w:val="21"/>
              </w:rPr>
            </w:pPr>
          </w:p>
          <w:p>
            <w:pPr>
              <w:spacing w:before="6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42.0</w:t>
            </w:r>
          </w:p>
        </w:tc>
        <w:tc>
          <w:tcPr>
            <w:tcW w:w="687" w:type="dxa"/>
            <w:vMerge w:val="restart"/>
            <w:tcBorders>
              <w:bottom w:val="nil"/>
            </w:tcBorders>
            <w:vAlign w:val="top"/>
          </w:tcPr>
          <w:p>
            <w:pPr>
              <w:spacing w:line="315"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39.6</w:t>
            </w:r>
          </w:p>
        </w:tc>
        <w:tc>
          <w:tcPr>
            <w:tcW w:w="707" w:type="dxa"/>
            <w:vMerge w:val="restart"/>
            <w:tcBorders>
              <w:bottom w:val="nil"/>
            </w:tcBorders>
            <w:vAlign w:val="top"/>
          </w:tcPr>
          <w:p>
            <w:pPr>
              <w:spacing w:line="315"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71.6</w:t>
            </w:r>
          </w:p>
        </w:tc>
        <w:tc>
          <w:tcPr>
            <w:tcW w:w="690" w:type="dxa"/>
            <w:vMerge w:val="restart"/>
            <w:tcBorders>
              <w:bottom w:val="nil"/>
            </w:tcBorders>
            <w:vAlign w:val="top"/>
          </w:tcPr>
          <w:p>
            <w:pPr>
              <w:spacing w:line="315"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37.9</w:t>
            </w:r>
          </w:p>
        </w:tc>
        <w:tc>
          <w:tcPr>
            <w:tcW w:w="650" w:type="dxa"/>
            <w:vMerge w:val="restart"/>
            <w:tcBorders>
              <w:bottom w:val="nil"/>
            </w:tcBorders>
            <w:vAlign w:val="top"/>
          </w:tcPr>
          <w:p>
            <w:pPr>
              <w:spacing w:line="315" w:lineRule="auto"/>
              <w:rPr>
                <w:rFonts w:ascii="Arial"/>
                <w:sz w:val="21"/>
              </w:rPr>
            </w:pPr>
          </w:p>
          <w:p>
            <w:pPr>
              <w:spacing w:before="61"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644" w:type="dxa"/>
            <w:vAlign w:val="top"/>
          </w:tcPr>
          <w:p>
            <w:pPr>
              <w:spacing w:before="105" w:line="184"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47" w:type="dxa"/>
            <w:vAlign w:val="top"/>
          </w:tcPr>
          <w:p>
            <w:pPr>
              <w:spacing w:before="102"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102"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63" w:line="209"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3" w:line="184"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47" w:type="dxa"/>
            <w:vAlign w:val="top"/>
          </w:tcPr>
          <w:p>
            <w:pPr>
              <w:spacing w:before="220"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20"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48" w:line="216"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00"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47"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01:20~01:40</w:t>
            </w:r>
          </w:p>
        </w:tc>
        <w:tc>
          <w:tcPr>
            <w:tcW w:w="1200" w:type="dxa"/>
            <w:vMerge w:val="restart"/>
            <w:tcBorders>
              <w:bottom w:val="nil"/>
            </w:tcBorders>
            <w:vAlign w:val="top"/>
          </w:tcPr>
          <w:p>
            <w:pPr>
              <w:pStyle w:val="6"/>
              <w:spacing w:before="233"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47"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47.4</w:t>
            </w:r>
          </w:p>
        </w:tc>
        <w:tc>
          <w:tcPr>
            <w:tcW w:w="688" w:type="dxa"/>
            <w:vMerge w:val="restart"/>
            <w:tcBorders>
              <w:bottom w:val="nil"/>
            </w:tcBorders>
            <w:vAlign w:val="top"/>
          </w:tcPr>
          <w:p>
            <w:pPr>
              <w:spacing w:line="347"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47.0</w:t>
            </w:r>
          </w:p>
        </w:tc>
        <w:tc>
          <w:tcPr>
            <w:tcW w:w="707" w:type="dxa"/>
            <w:vMerge w:val="restart"/>
            <w:tcBorders>
              <w:bottom w:val="nil"/>
            </w:tcBorders>
            <w:vAlign w:val="top"/>
          </w:tcPr>
          <w:p>
            <w:pPr>
              <w:spacing w:line="347" w:lineRule="auto"/>
              <w:rPr>
                <w:rFonts w:ascii="Arial"/>
                <w:sz w:val="21"/>
              </w:rPr>
            </w:pPr>
          </w:p>
          <w:p>
            <w:pPr>
              <w:spacing w:before="6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42.6</w:t>
            </w:r>
          </w:p>
        </w:tc>
        <w:tc>
          <w:tcPr>
            <w:tcW w:w="687" w:type="dxa"/>
            <w:vMerge w:val="restart"/>
            <w:tcBorders>
              <w:bottom w:val="nil"/>
            </w:tcBorders>
            <w:vAlign w:val="top"/>
          </w:tcPr>
          <w:p>
            <w:pPr>
              <w:spacing w:line="347" w:lineRule="auto"/>
              <w:rPr>
                <w:rFonts w:ascii="Arial"/>
                <w:sz w:val="21"/>
              </w:rPr>
            </w:pPr>
          </w:p>
          <w:p>
            <w:pPr>
              <w:spacing w:before="6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40.8</w:t>
            </w:r>
          </w:p>
        </w:tc>
        <w:tc>
          <w:tcPr>
            <w:tcW w:w="707" w:type="dxa"/>
            <w:vMerge w:val="restart"/>
            <w:tcBorders>
              <w:bottom w:val="nil"/>
            </w:tcBorders>
            <w:vAlign w:val="top"/>
          </w:tcPr>
          <w:p>
            <w:pPr>
              <w:spacing w:line="347" w:lineRule="auto"/>
              <w:rPr>
                <w:rFonts w:ascii="Arial"/>
                <w:sz w:val="21"/>
              </w:rPr>
            </w:pPr>
          </w:p>
          <w:p>
            <w:pPr>
              <w:spacing w:before="6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68.4</w:t>
            </w:r>
          </w:p>
        </w:tc>
        <w:tc>
          <w:tcPr>
            <w:tcW w:w="690" w:type="dxa"/>
            <w:vMerge w:val="restart"/>
            <w:tcBorders>
              <w:bottom w:val="nil"/>
            </w:tcBorders>
            <w:vAlign w:val="top"/>
          </w:tcPr>
          <w:p>
            <w:pPr>
              <w:spacing w:line="347"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38.1</w:t>
            </w:r>
          </w:p>
        </w:tc>
        <w:tc>
          <w:tcPr>
            <w:tcW w:w="650" w:type="dxa"/>
            <w:vMerge w:val="restart"/>
            <w:tcBorders>
              <w:bottom w:val="nil"/>
            </w:tcBorders>
            <w:vAlign w:val="top"/>
          </w:tcPr>
          <w:p>
            <w:pPr>
              <w:spacing w:line="347" w:lineRule="auto"/>
              <w:rPr>
                <w:rFonts w:ascii="Arial"/>
                <w:sz w:val="21"/>
              </w:rPr>
            </w:pPr>
          </w:p>
          <w:p>
            <w:pPr>
              <w:spacing w:before="6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644" w:type="dxa"/>
            <w:vAlign w:val="top"/>
          </w:tcPr>
          <w:p>
            <w:pPr>
              <w:spacing w:before="133" w:line="187" w:lineRule="auto"/>
              <w:ind w:left="29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47" w:type="dxa"/>
            <w:vAlign w:val="top"/>
          </w:tcPr>
          <w:p>
            <w:pPr>
              <w:spacing w:before="133"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133"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95"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3"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647" w:type="dxa"/>
            <w:vAlign w:val="top"/>
          </w:tcPr>
          <w:p>
            <w:pPr>
              <w:spacing w:before="223"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23"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48" w:line="215"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98"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45"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02:20~02:40</w:t>
            </w:r>
          </w:p>
        </w:tc>
        <w:tc>
          <w:tcPr>
            <w:tcW w:w="1200" w:type="dxa"/>
            <w:vMerge w:val="restart"/>
            <w:tcBorders>
              <w:bottom w:val="nil"/>
            </w:tcBorders>
            <w:vAlign w:val="top"/>
          </w:tcPr>
          <w:p>
            <w:pPr>
              <w:pStyle w:val="6"/>
              <w:spacing w:before="231"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45"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43.9</w:t>
            </w:r>
          </w:p>
        </w:tc>
        <w:tc>
          <w:tcPr>
            <w:tcW w:w="688" w:type="dxa"/>
            <w:vMerge w:val="restart"/>
            <w:tcBorders>
              <w:bottom w:val="nil"/>
            </w:tcBorders>
            <w:vAlign w:val="top"/>
          </w:tcPr>
          <w:p>
            <w:pPr>
              <w:spacing w:line="345"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707" w:type="dxa"/>
            <w:vMerge w:val="restart"/>
            <w:tcBorders>
              <w:bottom w:val="nil"/>
            </w:tcBorders>
            <w:vAlign w:val="top"/>
          </w:tcPr>
          <w:p>
            <w:pPr>
              <w:spacing w:line="345" w:lineRule="auto"/>
              <w:rPr>
                <w:rFonts w:ascii="Arial"/>
                <w:sz w:val="21"/>
              </w:rPr>
            </w:pPr>
          </w:p>
          <w:p>
            <w:pPr>
              <w:spacing w:before="6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42.0</w:t>
            </w:r>
          </w:p>
        </w:tc>
        <w:tc>
          <w:tcPr>
            <w:tcW w:w="687" w:type="dxa"/>
            <w:vMerge w:val="restart"/>
            <w:tcBorders>
              <w:bottom w:val="nil"/>
            </w:tcBorders>
            <w:vAlign w:val="top"/>
          </w:tcPr>
          <w:p>
            <w:pPr>
              <w:spacing w:line="345" w:lineRule="auto"/>
              <w:rPr>
                <w:rFonts w:ascii="Arial"/>
                <w:sz w:val="21"/>
              </w:rPr>
            </w:pPr>
          </w:p>
          <w:p>
            <w:pPr>
              <w:spacing w:before="6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w:t>
            </w:r>
          </w:p>
        </w:tc>
        <w:tc>
          <w:tcPr>
            <w:tcW w:w="707" w:type="dxa"/>
            <w:vMerge w:val="restart"/>
            <w:tcBorders>
              <w:bottom w:val="nil"/>
            </w:tcBorders>
            <w:vAlign w:val="top"/>
          </w:tcPr>
          <w:p>
            <w:pPr>
              <w:spacing w:line="345" w:lineRule="auto"/>
              <w:rPr>
                <w:rFonts w:ascii="Arial"/>
                <w:sz w:val="21"/>
              </w:rPr>
            </w:pPr>
          </w:p>
          <w:p>
            <w:pPr>
              <w:spacing w:before="6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60.7</w:t>
            </w:r>
          </w:p>
        </w:tc>
        <w:tc>
          <w:tcPr>
            <w:tcW w:w="690" w:type="dxa"/>
            <w:vMerge w:val="restart"/>
            <w:tcBorders>
              <w:bottom w:val="nil"/>
            </w:tcBorders>
            <w:vAlign w:val="top"/>
          </w:tcPr>
          <w:p>
            <w:pPr>
              <w:spacing w:line="345"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38.6</w:t>
            </w:r>
          </w:p>
        </w:tc>
        <w:tc>
          <w:tcPr>
            <w:tcW w:w="650" w:type="dxa"/>
            <w:vMerge w:val="restart"/>
            <w:tcBorders>
              <w:bottom w:val="nil"/>
            </w:tcBorders>
            <w:vAlign w:val="top"/>
          </w:tcPr>
          <w:p>
            <w:pPr>
              <w:spacing w:line="345" w:lineRule="auto"/>
              <w:rPr>
                <w:rFonts w:ascii="Arial"/>
                <w:sz w:val="21"/>
              </w:rPr>
            </w:pPr>
          </w:p>
          <w:p>
            <w:pPr>
              <w:spacing w:before="60"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644" w:type="dxa"/>
            <w:vAlign w:val="top"/>
          </w:tcPr>
          <w:p>
            <w:pPr>
              <w:spacing w:before="132" w:line="184"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47" w:type="dxa"/>
            <w:vAlign w:val="top"/>
          </w:tcPr>
          <w:p>
            <w:pPr>
              <w:spacing w:before="129"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12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91"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5" w:line="187"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647" w:type="dxa"/>
            <w:vAlign w:val="top"/>
          </w:tcPr>
          <w:p>
            <w:pPr>
              <w:spacing w:before="225"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2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53" w:line="214"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57"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04"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03:20~03:40</w:t>
            </w:r>
          </w:p>
        </w:tc>
        <w:tc>
          <w:tcPr>
            <w:tcW w:w="1200" w:type="dxa"/>
            <w:vMerge w:val="restart"/>
            <w:tcBorders>
              <w:bottom w:val="nil"/>
            </w:tcBorders>
            <w:vAlign w:val="top"/>
          </w:tcPr>
          <w:p>
            <w:pPr>
              <w:pStyle w:val="6"/>
              <w:spacing w:before="190"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04" w:lineRule="auto"/>
              <w:rPr>
                <w:rFonts w:ascii="Arial"/>
                <w:sz w:val="21"/>
              </w:rPr>
            </w:pPr>
          </w:p>
          <w:p>
            <w:pPr>
              <w:spacing w:before="60"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50.4</w:t>
            </w:r>
          </w:p>
        </w:tc>
        <w:tc>
          <w:tcPr>
            <w:tcW w:w="688" w:type="dxa"/>
            <w:vMerge w:val="restart"/>
            <w:tcBorders>
              <w:bottom w:val="nil"/>
            </w:tcBorders>
            <w:vAlign w:val="top"/>
          </w:tcPr>
          <w:p>
            <w:pPr>
              <w:spacing w:line="304" w:lineRule="auto"/>
              <w:rPr>
                <w:rFonts w:ascii="Arial"/>
                <w:sz w:val="21"/>
              </w:rPr>
            </w:pPr>
          </w:p>
          <w:p>
            <w:pPr>
              <w:spacing w:before="60"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47.6</w:t>
            </w:r>
          </w:p>
        </w:tc>
        <w:tc>
          <w:tcPr>
            <w:tcW w:w="707" w:type="dxa"/>
            <w:vMerge w:val="restart"/>
            <w:tcBorders>
              <w:bottom w:val="nil"/>
            </w:tcBorders>
            <w:vAlign w:val="top"/>
          </w:tcPr>
          <w:p>
            <w:pPr>
              <w:spacing w:line="304" w:lineRule="auto"/>
              <w:rPr>
                <w:rFonts w:ascii="Arial"/>
                <w:sz w:val="21"/>
              </w:rPr>
            </w:pPr>
          </w:p>
          <w:p>
            <w:pPr>
              <w:spacing w:before="60"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42.6</w:t>
            </w:r>
          </w:p>
        </w:tc>
        <w:tc>
          <w:tcPr>
            <w:tcW w:w="687" w:type="dxa"/>
            <w:vMerge w:val="restart"/>
            <w:tcBorders>
              <w:bottom w:val="nil"/>
            </w:tcBorders>
            <w:vAlign w:val="top"/>
          </w:tcPr>
          <w:p>
            <w:pPr>
              <w:spacing w:line="304" w:lineRule="auto"/>
              <w:rPr>
                <w:rFonts w:ascii="Arial"/>
                <w:sz w:val="21"/>
              </w:rPr>
            </w:pPr>
          </w:p>
          <w:p>
            <w:pPr>
              <w:spacing w:before="6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40.4</w:t>
            </w:r>
          </w:p>
        </w:tc>
        <w:tc>
          <w:tcPr>
            <w:tcW w:w="707" w:type="dxa"/>
            <w:vMerge w:val="restart"/>
            <w:tcBorders>
              <w:bottom w:val="nil"/>
            </w:tcBorders>
            <w:vAlign w:val="top"/>
          </w:tcPr>
          <w:p>
            <w:pPr>
              <w:spacing w:line="304"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72.8</w:t>
            </w:r>
          </w:p>
        </w:tc>
        <w:tc>
          <w:tcPr>
            <w:tcW w:w="690" w:type="dxa"/>
            <w:vMerge w:val="restart"/>
            <w:tcBorders>
              <w:bottom w:val="nil"/>
            </w:tcBorders>
            <w:vAlign w:val="top"/>
          </w:tcPr>
          <w:p>
            <w:pPr>
              <w:spacing w:line="304"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38.1</w:t>
            </w:r>
          </w:p>
        </w:tc>
        <w:tc>
          <w:tcPr>
            <w:tcW w:w="650" w:type="dxa"/>
            <w:vMerge w:val="restart"/>
            <w:tcBorders>
              <w:bottom w:val="nil"/>
            </w:tcBorders>
            <w:vAlign w:val="top"/>
          </w:tcPr>
          <w:p>
            <w:pPr>
              <w:spacing w:line="304" w:lineRule="auto"/>
              <w:rPr>
                <w:rFonts w:ascii="Arial"/>
                <w:sz w:val="21"/>
              </w:rPr>
            </w:pPr>
          </w:p>
          <w:p>
            <w:pPr>
              <w:spacing w:before="60"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644" w:type="dxa"/>
            <w:vAlign w:val="top"/>
          </w:tcPr>
          <w:p>
            <w:pPr>
              <w:spacing w:before="90" w:line="173" w:lineRule="auto"/>
              <w:ind w:left="27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47" w:type="dxa"/>
            <w:vAlign w:val="top"/>
          </w:tcPr>
          <w:p>
            <w:pPr>
              <w:spacing w:before="90" w:line="173"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90" w:line="173"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52" w:line="187"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8" w:line="187" w:lineRule="auto"/>
              <w:ind w:left="27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47" w:type="dxa"/>
            <w:vAlign w:val="top"/>
          </w:tcPr>
          <w:p>
            <w:pPr>
              <w:spacing w:before="228"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28"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53" w:line="213"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04" w:type="dxa"/>
            <w:vMerge w:val="continue"/>
            <w:tcBorders>
              <w:top w:val="nil"/>
              <w:left w:val="single" w:color="000000" w:sz="10" w:space="0"/>
              <w:bottom w:val="single" w:color="000000" w:sz="10" w:space="0"/>
            </w:tcBorders>
            <w:textDirection w:val="tbRlV"/>
            <w:vAlign w:val="top"/>
          </w:tcPr>
          <w:p>
            <w:pPr>
              <w:rPr>
                <w:rFonts w:ascii="Arial"/>
                <w:sz w:val="21"/>
              </w:rPr>
            </w:pPr>
          </w:p>
        </w:tc>
        <w:tc>
          <w:tcPr>
            <w:tcW w:w="951" w:type="dxa"/>
            <w:vMerge w:val="continue"/>
            <w:tcBorders>
              <w:top w:val="nil"/>
              <w:bottom w:val="single" w:color="000000" w:sz="10" w:space="0"/>
            </w:tcBorders>
            <w:vAlign w:val="top"/>
          </w:tcPr>
          <w:p>
            <w:pPr>
              <w:rPr>
                <w:rFonts w:ascii="Arial"/>
                <w:sz w:val="21"/>
              </w:rPr>
            </w:pPr>
          </w:p>
        </w:tc>
        <w:tc>
          <w:tcPr>
            <w:tcW w:w="1905" w:type="dxa"/>
            <w:tcBorders>
              <w:bottom w:val="single" w:color="000000" w:sz="10" w:space="0"/>
            </w:tcBorders>
            <w:vAlign w:val="top"/>
          </w:tcPr>
          <w:p>
            <w:pPr>
              <w:pStyle w:val="6"/>
              <w:spacing w:before="96"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tcBorders>
              <w:bottom w:val="single" w:color="000000" w:sz="10" w:space="0"/>
            </w:tcBorders>
            <w:vAlign w:val="top"/>
          </w:tcPr>
          <w:p>
            <w:pPr>
              <w:spacing w:before="135"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04:20~04:40</w:t>
            </w:r>
          </w:p>
        </w:tc>
        <w:tc>
          <w:tcPr>
            <w:tcW w:w="1200" w:type="dxa"/>
            <w:tcBorders>
              <w:bottom w:val="single" w:color="000000" w:sz="10" w:space="0"/>
            </w:tcBorders>
            <w:vAlign w:val="top"/>
          </w:tcPr>
          <w:p>
            <w:pPr>
              <w:pStyle w:val="6"/>
              <w:spacing w:before="96" w:line="221" w:lineRule="auto"/>
              <w:ind w:left="180"/>
            </w:pPr>
            <w:r>
              <w:rPr>
                <w:spacing w:val="-1"/>
              </w:rPr>
              <w:t>道路交通</w:t>
            </w:r>
          </w:p>
        </w:tc>
        <w:tc>
          <w:tcPr>
            <w:tcW w:w="707" w:type="dxa"/>
            <w:tcBorders>
              <w:bottom w:val="single" w:color="000000" w:sz="10" w:space="0"/>
            </w:tcBorders>
            <w:vAlign w:val="top"/>
          </w:tcPr>
          <w:p>
            <w:pPr>
              <w:spacing w:before="135"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57.3</w:t>
            </w:r>
          </w:p>
        </w:tc>
        <w:tc>
          <w:tcPr>
            <w:tcW w:w="688" w:type="dxa"/>
            <w:tcBorders>
              <w:bottom w:val="single" w:color="000000" w:sz="10" w:space="0"/>
            </w:tcBorders>
            <w:vAlign w:val="top"/>
          </w:tcPr>
          <w:p>
            <w:pPr>
              <w:spacing w:before="135"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707" w:type="dxa"/>
            <w:tcBorders>
              <w:bottom w:val="single" w:color="000000" w:sz="10" w:space="0"/>
            </w:tcBorders>
            <w:vAlign w:val="top"/>
          </w:tcPr>
          <w:p>
            <w:pPr>
              <w:spacing w:before="135"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42.6</w:t>
            </w:r>
          </w:p>
        </w:tc>
        <w:tc>
          <w:tcPr>
            <w:tcW w:w="687" w:type="dxa"/>
            <w:tcBorders>
              <w:bottom w:val="single" w:color="000000" w:sz="10" w:space="0"/>
            </w:tcBorders>
            <w:vAlign w:val="top"/>
          </w:tcPr>
          <w:p>
            <w:pPr>
              <w:spacing w:before="135"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40.4</w:t>
            </w:r>
          </w:p>
        </w:tc>
        <w:tc>
          <w:tcPr>
            <w:tcW w:w="707" w:type="dxa"/>
            <w:tcBorders>
              <w:bottom w:val="single" w:color="000000" w:sz="10" w:space="0"/>
            </w:tcBorders>
            <w:vAlign w:val="top"/>
          </w:tcPr>
          <w:p>
            <w:pPr>
              <w:spacing w:before="135"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78.1</w:t>
            </w:r>
          </w:p>
        </w:tc>
        <w:tc>
          <w:tcPr>
            <w:tcW w:w="690" w:type="dxa"/>
            <w:tcBorders>
              <w:bottom w:val="single" w:color="000000" w:sz="10" w:space="0"/>
            </w:tcBorders>
            <w:vAlign w:val="top"/>
          </w:tcPr>
          <w:p>
            <w:pPr>
              <w:spacing w:before="135"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38.4</w:t>
            </w:r>
          </w:p>
        </w:tc>
        <w:tc>
          <w:tcPr>
            <w:tcW w:w="650" w:type="dxa"/>
            <w:tcBorders>
              <w:bottom w:val="single" w:color="000000" w:sz="10" w:space="0"/>
            </w:tcBorders>
            <w:vAlign w:val="top"/>
          </w:tcPr>
          <w:p>
            <w:pPr>
              <w:spacing w:before="135"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644" w:type="dxa"/>
            <w:tcBorders>
              <w:bottom w:val="single" w:color="000000" w:sz="10" w:space="0"/>
            </w:tcBorders>
            <w:vAlign w:val="top"/>
          </w:tcPr>
          <w:p>
            <w:pPr>
              <w:spacing w:before="135" w:line="187" w:lineRule="auto"/>
              <w:ind w:left="29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47" w:type="dxa"/>
            <w:tcBorders>
              <w:bottom w:val="single" w:color="000000" w:sz="10" w:space="0"/>
            </w:tcBorders>
            <w:vAlign w:val="top"/>
          </w:tcPr>
          <w:p>
            <w:pPr>
              <w:spacing w:before="135"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tcBorders>
              <w:bottom w:val="single" w:color="000000" w:sz="10" w:space="0"/>
            </w:tcBorders>
            <w:vAlign w:val="top"/>
          </w:tcPr>
          <w:p>
            <w:pPr>
              <w:spacing w:before="13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bottom w:val="single" w:color="000000" w:sz="10" w:space="0"/>
              <w:right w:val="single" w:color="000000" w:sz="10" w:space="0"/>
            </w:tcBorders>
            <w:vAlign w:val="top"/>
          </w:tcPr>
          <w:p>
            <w:pPr>
              <w:pStyle w:val="6"/>
              <w:spacing w:before="97"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bl>
    <w:p>
      <w:pPr>
        <w:pStyle w:val="2"/>
      </w:pPr>
    </w:p>
    <w:p>
      <w:pPr>
        <w:sectPr>
          <w:footerReference r:id="rId208" w:type="default"/>
          <w:pgSz w:w="16839" w:h="11907"/>
          <w:pgMar w:top="1260" w:right="1281" w:bottom="1151" w:left="1283" w:header="1019" w:footer="990" w:gutter="0"/>
          <w:cols w:space="720" w:num="1"/>
        </w:sectPr>
      </w:pPr>
    </w:p>
    <w:p>
      <w:pPr>
        <w:spacing w:line="155" w:lineRule="exact"/>
      </w:pPr>
    </w:p>
    <w:tbl>
      <w:tblPr>
        <w:tblStyle w:val="5"/>
        <w:tblW w:w="142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951"/>
        <w:gridCol w:w="1905"/>
        <w:gridCol w:w="1361"/>
        <w:gridCol w:w="1200"/>
        <w:gridCol w:w="707"/>
        <w:gridCol w:w="688"/>
        <w:gridCol w:w="707"/>
        <w:gridCol w:w="687"/>
        <w:gridCol w:w="707"/>
        <w:gridCol w:w="690"/>
        <w:gridCol w:w="650"/>
        <w:gridCol w:w="644"/>
        <w:gridCol w:w="647"/>
        <w:gridCol w:w="740"/>
        <w:gridCol w:w="1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04" w:type="dxa"/>
            <w:vMerge w:val="restart"/>
            <w:tcBorders>
              <w:top w:val="single" w:color="000000" w:sz="10" w:space="0"/>
              <w:left w:val="single" w:color="000000" w:sz="10" w:space="0"/>
              <w:bottom w:val="nil"/>
            </w:tcBorders>
            <w:textDirection w:val="tbRlV"/>
            <w:vAlign w:val="top"/>
          </w:tcPr>
          <w:p>
            <w:pPr>
              <w:pStyle w:val="6"/>
              <w:spacing w:before="144" w:line="211" w:lineRule="auto"/>
              <w:ind w:left="374"/>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951" w:type="dxa"/>
            <w:vMerge w:val="restart"/>
            <w:tcBorders>
              <w:top w:val="single" w:color="000000" w:sz="10" w:space="0"/>
              <w:bottom w:val="nil"/>
            </w:tcBorders>
            <w:vAlign w:val="top"/>
          </w:tcPr>
          <w:p>
            <w:pPr>
              <w:spacing w:line="304" w:lineRule="auto"/>
              <w:rPr>
                <w:rFonts w:ascii="Arial"/>
                <w:sz w:val="21"/>
              </w:rPr>
            </w:pPr>
          </w:p>
          <w:p>
            <w:pPr>
              <w:pStyle w:val="6"/>
              <w:spacing w:before="69" w:line="231" w:lineRule="auto"/>
              <w:ind w:left="367" w:right="170" w:hanging="199"/>
            </w:pPr>
            <w:r>
              <w:rPr>
                <w:spacing w:val="-8"/>
                <w14:textOutline w14:w="3831" w14:cap="flat" w14:cmpd="sng">
                  <w14:solidFill>
                    <w14:srgbClr w14:val="000000"/>
                  </w14:solidFill>
                  <w14:prstDash w14:val="solid"/>
                  <w14:miter w14:val="0"/>
                </w14:textOutline>
              </w:rPr>
              <w:t>检测点</w:t>
            </w:r>
            <w:r>
              <w:t xml:space="preserve"> </w:t>
            </w:r>
            <w:r>
              <w:rPr>
                <w14:textOutline w14:w="3831" w14:cap="flat" w14:cmpd="sng">
                  <w14:solidFill>
                    <w14:srgbClr w14:val="000000"/>
                  </w14:solidFill>
                  <w14:prstDash w14:val="solid"/>
                  <w14:miter w14:val="0"/>
                </w14:textOutline>
              </w:rPr>
              <w:t>位</w:t>
            </w:r>
          </w:p>
        </w:tc>
        <w:tc>
          <w:tcPr>
            <w:tcW w:w="3266" w:type="dxa"/>
            <w:gridSpan w:val="2"/>
            <w:vMerge w:val="restart"/>
            <w:tcBorders>
              <w:top w:val="single" w:color="000000" w:sz="10" w:space="0"/>
              <w:bottom w:val="nil"/>
            </w:tcBorders>
            <w:vAlign w:val="top"/>
          </w:tcPr>
          <w:p>
            <w:pPr>
              <w:spacing w:line="439" w:lineRule="auto"/>
              <w:rPr>
                <w:rFonts w:ascii="Arial"/>
                <w:sz w:val="21"/>
              </w:rPr>
            </w:pPr>
            <w:r>
              <w:pict>
                <v:rect id="_x0000_s1034" o:spid="_x0000_s1034" o:spt="1" style="position:absolute;left:0pt;margin-left:94.7pt;margin-top:62.75pt;height:27.75pt;width:0.5pt;mso-position-horizontal-relative:page;mso-position-vertical-relative:page;z-index:251713536;mso-width-relative:page;mso-height-relative:page;" fillcolor="#000000" filled="t" stroked="f" coordsize="21600,21600">
                  <v:path/>
                  <v:fill on="t" focussize="0,0"/>
                  <v:stroke on="f"/>
                  <v:imagedata o:title=""/>
                  <o:lock v:ext="edit"/>
                </v:rect>
              </w:pict>
            </w:r>
          </w:p>
          <w:p>
            <w:pPr>
              <w:pStyle w:val="6"/>
              <w:spacing w:before="68" w:line="221" w:lineRule="auto"/>
              <w:ind w:left="1209"/>
            </w:pPr>
            <w:r>
              <w:rPr>
                <w:spacing w:val="-1"/>
                <w14:textOutline w14:w="3831" w14:cap="flat" w14:cmpd="sng">
                  <w14:solidFill>
                    <w14:srgbClr w14:val="000000"/>
                  </w14:solidFill>
                  <w14:prstDash w14:val="solid"/>
                  <w14:miter w14:val="0"/>
                </w14:textOutline>
              </w:rPr>
              <w:t>检测时间</w:t>
            </w:r>
          </w:p>
        </w:tc>
        <w:tc>
          <w:tcPr>
            <w:tcW w:w="1200" w:type="dxa"/>
            <w:vMerge w:val="restart"/>
            <w:tcBorders>
              <w:top w:val="single" w:color="000000" w:sz="10" w:space="0"/>
              <w:bottom w:val="nil"/>
            </w:tcBorders>
            <w:vAlign w:val="top"/>
          </w:tcPr>
          <w:p>
            <w:pPr>
              <w:spacing w:line="440" w:lineRule="auto"/>
              <w:rPr>
                <w:rFonts w:ascii="Arial"/>
                <w:sz w:val="21"/>
              </w:rPr>
            </w:pPr>
          </w:p>
          <w:p>
            <w:pPr>
              <w:pStyle w:val="6"/>
              <w:spacing w:before="68" w:line="221" w:lineRule="auto"/>
              <w:ind w:left="202"/>
            </w:pPr>
            <w:r>
              <w:rPr>
                <w:spacing w:val="-7"/>
                <w14:textOutline w14:w="3831" w14:cap="flat" w14:cmpd="sng">
                  <w14:solidFill>
                    <w14:srgbClr w14:val="000000"/>
                  </w14:solidFill>
                  <w14:prstDash w14:val="solid"/>
                  <w14:miter w14:val="0"/>
                </w14:textOutline>
              </w:rPr>
              <w:t>主要声源</w:t>
            </w:r>
          </w:p>
          <w:p>
            <w:pPr>
              <w:spacing w:line="436" w:lineRule="auto"/>
              <w:rPr>
                <w:rFonts w:ascii="Arial"/>
                <w:sz w:val="21"/>
              </w:rPr>
            </w:pPr>
          </w:p>
          <w:p>
            <w:pPr>
              <w:pStyle w:val="6"/>
              <w:spacing w:before="68" w:line="221" w:lineRule="auto"/>
              <w:ind w:left="402"/>
            </w:pPr>
            <w:r>
              <w:rPr>
                <w:spacing w:val="-4"/>
              </w:rPr>
              <w:t>噪声</w:t>
            </w:r>
          </w:p>
        </w:tc>
        <w:tc>
          <w:tcPr>
            <w:tcW w:w="4836" w:type="dxa"/>
            <w:gridSpan w:val="7"/>
            <w:tcBorders>
              <w:top w:val="single" w:color="000000" w:sz="10" w:space="0"/>
            </w:tcBorders>
            <w:vAlign w:val="top"/>
          </w:tcPr>
          <w:p>
            <w:pPr>
              <w:pStyle w:val="6"/>
              <w:spacing w:before="184" w:line="221" w:lineRule="auto"/>
              <w:ind w:left="2022"/>
            </w:pPr>
            <w:r>
              <w:rPr>
                <w:spacing w:val="-7"/>
                <w14:textOutline w14:w="3831" w14:cap="flat" w14:cmpd="sng">
                  <w14:solidFill>
                    <w14:srgbClr w14:val="000000"/>
                  </w14:solidFill>
                  <w14:prstDash w14:val="solid"/>
                  <w14:miter w14:val="0"/>
                </w14:textOutline>
              </w:rPr>
              <w:t>检测结果</w:t>
            </w:r>
          </w:p>
        </w:tc>
        <w:tc>
          <w:tcPr>
            <w:tcW w:w="2031" w:type="dxa"/>
            <w:gridSpan w:val="3"/>
            <w:tcBorders>
              <w:top w:val="single" w:color="000000" w:sz="10" w:space="0"/>
            </w:tcBorders>
            <w:vAlign w:val="top"/>
          </w:tcPr>
          <w:p>
            <w:pPr>
              <w:pStyle w:val="6"/>
              <w:spacing w:before="48" w:line="238" w:lineRule="auto"/>
              <w:ind w:left="529"/>
            </w:pPr>
            <w:r>
              <w:rPr>
                <w:spacing w:val="-7"/>
                <w14:textOutline w14:w="3831" w14:cap="flat" w14:cmpd="sng">
                  <w14:solidFill>
                    <w14:srgbClr w14:val="000000"/>
                  </w14:solidFill>
                  <w14:prstDash w14:val="solid"/>
                  <w14:miter w14:val="0"/>
                </w14:textOutline>
              </w:rPr>
              <w:t>车流量情况</w:t>
            </w:r>
          </w:p>
          <w:p>
            <w:pPr>
              <w:pStyle w:val="6"/>
              <w:spacing w:line="218" w:lineRule="auto"/>
              <w:ind w:left="440"/>
            </w:pPr>
            <w:r>
              <w:rPr>
                <w:spacing w:val="-7"/>
                <w14:textOutline w14:w="3831" w14:cap="flat" w14:cmpd="sng">
                  <w14:solidFill>
                    <w14:srgbClr w14:val="000000"/>
                  </w14:solidFill>
                  <w14:prstDash w14:val="solid"/>
                  <w14:miter w14:val="0"/>
                </w14:textOutline>
              </w:rPr>
              <w:t>（辆</w:t>
            </w:r>
            <w:r>
              <w:rPr>
                <w:rFonts w:ascii="Times New Roman" w:hAnsi="Times New Roman" w:eastAsia="Times New Roman" w:cs="Times New Roman"/>
                <w:b/>
                <w:bCs/>
                <w:spacing w:val="-7"/>
              </w:rPr>
              <w:t>/20min</w:t>
            </w:r>
            <w:r>
              <w:rPr>
                <w:spacing w:val="-7"/>
                <w14:textOutline w14:w="3831" w14:cap="flat" w14:cmpd="sng">
                  <w14:solidFill>
                    <w14:srgbClr w14:val="000000"/>
                  </w14:solidFill>
                  <w14:prstDash w14:val="solid"/>
                  <w14:miter w14:val="0"/>
                </w14:textOutline>
              </w:rPr>
              <w:t>）</w:t>
            </w:r>
          </w:p>
        </w:tc>
        <w:tc>
          <w:tcPr>
            <w:tcW w:w="1459" w:type="dxa"/>
            <w:vMerge w:val="restart"/>
            <w:tcBorders>
              <w:top w:val="single" w:color="000000" w:sz="10" w:space="0"/>
              <w:bottom w:val="nil"/>
              <w:right w:val="single" w:color="000000" w:sz="10" w:space="0"/>
            </w:tcBorders>
            <w:vAlign w:val="top"/>
          </w:tcPr>
          <w:p>
            <w:pPr>
              <w:spacing w:line="440" w:lineRule="auto"/>
              <w:rPr>
                <w:rFonts w:ascii="Arial"/>
                <w:sz w:val="21"/>
              </w:rPr>
            </w:pPr>
          </w:p>
          <w:p>
            <w:pPr>
              <w:pStyle w:val="6"/>
              <w:spacing w:before="68" w:line="222" w:lineRule="auto"/>
              <w:ind w:left="541"/>
            </w:pPr>
            <w:r>
              <w:rPr>
                <w:spacing w:val="-5"/>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bottom w:val="nil"/>
            </w:tcBorders>
            <w:vAlign w:val="top"/>
          </w:tcPr>
          <w:p>
            <w:pPr>
              <w:rPr>
                <w:rFonts w:ascii="Arial"/>
                <w:sz w:val="21"/>
              </w:rPr>
            </w:pPr>
          </w:p>
        </w:tc>
        <w:tc>
          <w:tcPr>
            <w:tcW w:w="1200" w:type="dxa"/>
            <w:vMerge w:val="continue"/>
            <w:tcBorders>
              <w:top w:val="nil"/>
              <w:bottom w:val="nil"/>
            </w:tcBorders>
            <w:vAlign w:val="top"/>
          </w:tcPr>
          <w:p>
            <w:pPr>
              <w:rPr>
                <w:rFonts w:ascii="Arial"/>
                <w:sz w:val="21"/>
              </w:rPr>
            </w:pPr>
          </w:p>
        </w:tc>
        <w:tc>
          <w:tcPr>
            <w:tcW w:w="707" w:type="dxa"/>
            <w:vAlign w:val="top"/>
          </w:tcPr>
          <w:p>
            <w:pPr>
              <w:spacing w:before="260" w:line="195" w:lineRule="auto"/>
              <w:ind w:left="213"/>
              <w:rPr>
                <w:rFonts w:ascii="Times New Roman" w:hAnsi="Times New Roman" w:eastAsia="Times New Roman" w:cs="Times New Roman"/>
                <w:sz w:val="13"/>
                <w:szCs w:val="13"/>
              </w:rPr>
            </w:pPr>
            <w:r>
              <w:rPr>
                <w:rFonts w:ascii="Times New Roman" w:hAnsi="Times New Roman" w:eastAsia="Times New Roman" w:cs="Times New Roman"/>
                <w:b/>
                <w:bCs/>
                <w:spacing w:val="2"/>
                <w:position w:val="1"/>
                <w:sz w:val="21"/>
                <w:szCs w:val="21"/>
              </w:rPr>
              <w:t>L</w:t>
            </w:r>
            <w:r>
              <w:rPr>
                <w:rFonts w:ascii="Times New Roman" w:hAnsi="Times New Roman" w:eastAsia="Times New Roman" w:cs="Times New Roman"/>
                <w:b/>
                <w:bCs/>
                <w:spacing w:val="2"/>
                <w:sz w:val="13"/>
                <w:szCs w:val="13"/>
              </w:rPr>
              <w:t>eq</w:t>
            </w:r>
          </w:p>
        </w:tc>
        <w:tc>
          <w:tcPr>
            <w:tcW w:w="688" w:type="dxa"/>
            <w:vAlign w:val="top"/>
          </w:tcPr>
          <w:p>
            <w:pPr>
              <w:spacing w:before="260" w:line="203" w:lineRule="auto"/>
              <w:ind w:left="204"/>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10</w:t>
            </w:r>
          </w:p>
        </w:tc>
        <w:tc>
          <w:tcPr>
            <w:tcW w:w="707" w:type="dxa"/>
            <w:vAlign w:val="top"/>
          </w:tcPr>
          <w:p>
            <w:pPr>
              <w:spacing w:before="260" w:line="203" w:lineRule="auto"/>
              <w:ind w:left="215"/>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50</w:t>
            </w:r>
          </w:p>
        </w:tc>
        <w:tc>
          <w:tcPr>
            <w:tcW w:w="687" w:type="dxa"/>
            <w:vAlign w:val="top"/>
          </w:tcPr>
          <w:p>
            <w:pPr>
              <w:spacing w:before="260" w:line="203" w:lineRule="auto"/>
              <w:ind w:left="206"/>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90</w:t>
            </w:r>
          </w:p>
        </w:tc>
        <w:tc>
          <w:tcPr>
            <w:tcW w:w="707" w:type="dxa"/>
            <w:vAlign w:val="top"/>
          </w:tcPr>
          <w:p>
            <w:pPr>
              <w:spacing w:before="260" w:line="222" w:lineRule="auto"/>
              <w:ind w:left="160"/>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max</w:t>
            </w:r>
          </w:p>
        </w:tc>
        <w:tc>
          <w:tcPr>
            <w:tcW w:w="690" w:type="dxa"/>
            <w:vAlign w:val="top"/>
          </w:tcPr>
          <w:p>
            <w:pPr>
              <w:spacing w:before="260" w:line="223" w:lineRule="auto"/>
              <w:ind w:left="161"/>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min</w:t>
            </w:r>
          </w:p>
        </w:tc>
        <w:tc>
          <w:tcPr>
            <w:tcW w:w="650" w:type="dxa"/>
            <w:vAlign w:val="top"/>
          </w:tcPr>
          <w:p>
            <w:pPr>
              <w:spacing w:before="257" w:line="187" w:lineRule="auto"/>
              <w:ind w:left="200"/>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SD</w:t>
            </w:r>
          </w:p>
        </w:tc>
        <w:tc>
          <w:tcPr>
            <w:tcW w:w="644" w:type="dxa"/>
            <w:vAlign w:val="top"/>
          </w:tcPr>
          <w:p>
            <w:pPr>
              <w:pStyle w:val="6"/>
              <w:spacing w:before="82" w:line="229" w:lineRule="auto"/>
              <w:ind w:left="231" w:right="100" w:hanging="101"/>
            </w:pPr>
            <w:r>
              <w:rPr>
                <w:spacing w:val="-6"/>
                <w14:textOutline w14:w="3831" w14:cap="flat" w14:cmpd="sng">
                  <w14:solidFill>
                    <w14:srgbClr w14:val="000000"/>
                  </w14:solidFill>
                  <w14:prstDash w14:val="solid"/>
                  <w14:miter w14:val="0"/>
                </w14:textOutline>
              </w:rPr>
              <w:t>小型</w:t>
            </w:r>
            <w:r>
              <w:t xml:space="preserve"> </w:t>
            </w:r>
            <w:r>
              <w:rPr>
                <w14:textOutline w14:w="3831" w14:cap="flat" w14:cmpd="sng">
                  <w14:solidFill>
                    <w14:srgbClr w14:val="000000"/>
                  </w14:solidFill>
                  <w14:prstDash w14:val="solid"/>
                  <w14:miter w14:val="0"/>
                </w14:textOutline>
              </w:rPr>
              <w:t>车</w:t>
            </w:r>
          </w:p>
        </w:tc>
        <w:tc>
          <w:tcPr>
            <w:tcW w:w="647" w:type="dxa"/>
            <w:vAlign w:val="top"/>
          </w:tcPr>
          <w:p>
            <w:pPr>
              <w:pStyle w:val="6"/>
              <w:spacing w:before="82" w:line="229" w:lineRule="auto"/>
              <w:ind w:left="230" w:right="103" w:hanging="87"/>
            </w:pPr>
            <w:r>
              <w:rPr>
                <w:spacing w:val="-13"/>
                <w14:textOutline w14:w="3831" w14:cap="flat" w14:cmpd="sng">
                  <w14:solidFill>
                    <w14:srgbClr w14:val="000000"/>
                  </w14:solidFill>
                  <w14:prstDash w14:val="solid"/>
                  <w14:miter w14:val="0"/>
                </w14:textOutline>
              </w:rPr>
              <w:t>中型</w:t>
            </w:r>
            <w:r>
              <w:t xml:space="preserve"> </w:t>
            </w:r>
            <w:r>
              <w:rPr>
                <w14:textOutline w14:w="3831" w14:cap="flat" w14:cmpd="sng">
                  <w14:solidFill>
                    <w14:srgbClr w14:val="000000"/>
                  </w14:solidFill>
                  <w14:prstDash w14:val="solid"/>
                  <w14:miter w14:val="0"/>
                </w14:textOutline>
              </w:rPr>
              <w:t>车</w:t>
            </w:r>
          </w:p>
        </w:tc>
        <w:tc>
          <w:tcPr>
            <w:tcW w:w="740" w:type="dxa"/>
            <w:vAlign w:val="top"/>
          </w:tcPr>
          <w:p>
            <w:pPr>
              <w:pStyle w:val="6"/>
              <w:spacing w:before="82" w:line="238" w:lineRule="auto"/>
              <w:ind w:left="172"/>
            </w:pPr>
            <w:r>
              <w:rPr>
                <w:spacing w:val="-3"/>
                <w14:textOutline w14:w="3831" w14:cap="flat" w14:cmpd="sng">
                  <w14:solidFill>
                    <w14:srgbClr w14:val="000000"/>
                  </w14:solidFill>
                  <w14:prstDash w14:val="solid"/>
                  <w14:miter w14:val="0"/>
                </w14:textOutline>
              </w:rPr>
              <w:t>大型</w:t>
            </w:r>
          </w:p>
          <w:p>
            <w:pPr>
              <w:pStyle w:val="6"/>
              <w:spacing w:line="220" w:lineRule="auto"/>
              <w:ind w:left="277"/>
            </w:pPr>
            <w:r>
              <w:rPr>
                <w14:textOutline w14:w="3831" w14:cap="flat" w14:cmpd="sng">
                  <w14:solidFill>
                    <w14:srgbClr w14:val="000000"/>
                  </w14:solidFill>
                  <w14:prstDash w14:val="solid"/>
                  <w14:miter w14:val="0"/>
                </w14:textOutline>
              </w:rPr>
              <w:t>车</w:t>
            </w:r>
          </w:p>
        </w:tc>
        <w:tc>
          <w:tcPr>
            <w:tcW w:w="145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Align w:val="top"/>
          </w:tcPr>
          <w:p>
            <w:pPr>
              <w:rPr>
                <w:rFonts w:ascii="Arial"/>
                <w:sz w:val="21"/>
              </w:rPr>
            </w:pPr>
          </w:p>
        </w:tc>
        <w:tc>
          <w:tcPr>
            <w:tcW w:w="688" w:type="dxa"/>
            <w:vAlign w:val="top"/>
          </w:tcPr>
          <w:p>
            <w:pPr>
              <w:rPr>
                <w:rFonts w:ascii="Arial"/>
                <w:sz w:val="21"/>
              </w:rPr>
            </w:pPr>
          </w:p>
        </w:tc>
        <w:tc>
          <w:tcPr>
            <w:tcW w:w="707" w:type="dxa"/>
            <w:vAlign w:val="top"/>
          </w:tcPr>
          <w:p>
            <w:pPr>
              <w:rPr>
                <w:rFonts w:ascii="Arial"/>
                <w:sz w:val="21"/>
              </w:rPr>
            </w:pPr>
          </w:p>
        </w:tc>
        <w:tc>
          <w:tcPr>
            <w:tcW w:w="687" w:type="dxa"/>
            <w:vAlign w:val="top"/>
          </w:tcPr>
          <w:p>
            <w:pPr>
              <w:rPr>
                <w:rFonts w:ascii="Arial"/>
                <w:sz w:val="21"/>
              </w:rPr>
            </w:pPr>
          </w:p>
        </w:tc>
        <w:tc>
          <w:tcPr>
            <w:tcW w:w="707" w:type="dxa"/>
            <w:vAlign w:val="top"/>
          </w:tcPr>
          <w:p>
            <w:pPr>
              <w:rPr>
                <w:rFonts w:ascii="Arial"/>
                <w:sz w:val="21"/>
              </w:rPr>
            </w:pPr>
          </w:p>
        </w:tc>
        <w:tc>
          <w:tcPr>
            <w:tcW w:w="690" w:type="dxa"/>
            <w:vAlign w:val="top"/>
          </w:tcPr>
          <w:p>
            <w:pPr>
              <w:rPr>
                <w:rFonts w:ascii="Arial"/>
                <w:sz w:val="21"/>
              </w:rPr>
            </w:pPr>
          </w:p>
        </w:tc>
        <w:tc>
          <w:tcPr>
            <w:tcW w:w="650" w:type="dxa"/>
            <w:vAlign w:val="top"/>
          </w:tcPr>
          <w:p>
            <w:pPr>
              <w:rPr>
                <w:rFonts w:ascii="Arial"/>
                <w:sz w:val="21"/>
              </w:rPr>
            </w:pPr>
          </w:p>
        </w:tc>
        <w:tc>
          <w:tcPr>
            <w:tcW w:w="644" w:type="dxa"/>
            <w:vAlign w:val="top"/>
          </w:tcPr>
          <w:p>
            <w:pPr>
              <w:spacing w:before="206" w:line="187"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47" w:type="dxa"/>
            <w:vAlign w:val="top"/>
          </w:tcPr>
          <w:p>
            <w:pPr>
              <w:spacing w:before="206"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0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32" w:line="222"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89"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35"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05:20~05:40</w:t>
            </w:r>
          </w:p>
        </w:tc>
        <w:tc>
          <w:tcPr>
            <w:tcW w:w="1200" w:type="dxa"/>
            <w:vMerge w:val="restart"/>
            <w:tcBorders>
              <w:bottom w:val="nil"/>
            </w:tcBorders>
            <w:vAlign w:val="top"/>
          </w:tcPr>
          <w:p>
            <w:pPr>
              <w:pStyle w:val="6"/>
              <w:spacing w:before="222"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35"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688" w:type="dxa"/>
            <w:vMerge w:val="restart"/>
            <w:tcBorders>
              <w:bottom w:val="nil"/>
            </w:tcBorders>
            <w:vAlign w:val="top"/>
          </w:tcPr>
          <w:p>
            <w:pPr>
              <w:spacing w:line="335" w:lineRule="auto"/>
              <w:rPr>
                <w:rFonts w:ascii="Arial"/>
                <w:sz w:val="21"/>
              </w:rPr>
            </w:pPr>
          </w:p>
          <w:p>
            <w:pPr>
              <w:spacing w:before="6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45.2</w:t>
            </w:r>
          </w:p>
        </w:tc>
        <w:tc>
          <w:tcPr>
            <w:tcW w:w="707" w:type="dxa"/>
            <w:vMerge w:val="restart"/>
            <w:tcBorders>
              <w:bottom w:val="nil"/>
            </w:tcBorders>
            <w:vAlign w:val="top"/>
          </w:tcPr>
          <w:p>
            <w:pPr>
              <w:spacing w:line="335" w:lineRule="auto"/>
              <w:rPr>
                <w:rFonts w:ascii="Arial"/>
                <w:sz w:val="21"/>
              </w:rPr>
            </w:pPr>
          </w:p>
          <w:p>
            <w:pPr>
              <w:spacing w:before="6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41.2</w:t>
            </w:r>
          </w:p>
        </w:tc>
        <w:tc>
          <w:tcPr>
            <w:tcW w:w="687" w:type="dxa"/>
            <w:vMerge w:val="restart"/>
            <w:tcBorders>
              <w:bottom w:val="nil"/>
            </w:tcBorders>
            <w:vAlign w:val="top"/>
          </w:tcPr>
          <w:p>
            <w:pPr>
              <w:spacing w:line="335"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38.0</w:t>
            </w:r>
          </w:p>
        </w:tc>
        <w:tc>
          <w:tcPr>
            <w:tcW w:w="707" w:type="dxa"/>
            <w:vMerge w:val="restart"/>
            <w:tcBorders>
              <w:bottom w:val="nil"/>
            </w:tcBorders>
            <w:vAlign w:val="top"/>
          </w:tcPr>
          <w:p>
            <w:pPr>
              <w:spacing w:line="335" w:lineRule="auto"/>
              <w:rPr>
                <w:rFonts w:ascii="Arial"/>
                <w:sz w:val="21"/>
              </w:rPr>
            </w:pPr>
          </w:p>
          <w:p>
            <w:pPr>
              <w:spacing w:before="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64.4</w:t>
            </w:r>
          </w:p>
        </w:tc>
        <w:tc>
          <w:tcPr>
            <w:tcW w:w="690" w:type="dxa"/>
            <w:vMerge w:val="restart"/>
            <w:tcBorders>
              <w:bottom w:val="nil"/>
            </w:tcBorders>
            <w:vAlign w:val="top"/>
          </w:tcPr>
          <w:p>
            <w:pPr>
              <w:spacing w:line="335"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34.4</w:t>
            </w:r>
          </w:p>
        </w:tc>
        <w:tc>
          <w:tcPr>
            <w:tcW w:w="650" w:type="dxa"/>
            <w:vMerge w:val="restart"/>
            <w:tcBorders>
              <w:bottom w:val="nil"/>
            </w:tcBorders>
            <w:vAlign w:val="top"/>
          </w:tcPr>
          <w:p>
            <w:pPr>
              <w:spacing w:line="335" w:lineRule="auto"/>
              <w:rPr>
                <w:rFonts w:ascii="Arial"/>
                <w:sz w:val="21"/>
              </w:rPr>
            </w:pPr>
          </w:p>
          <w:p>
            <w:pPr>
              <w:spacing w:before="61"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644" w:type="dxa"/>
            <w:vAlign w:val="top"/>
          </w:tcPr>
          <w:p>
            <w:pPr>
              <w:spacing w:before="119" w:line="187"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47" w:type="dxa"/>
            <w:vAlign w:val="top"/>
          </w:tcPr>
          <w:p>
            <w:pPr>
              <w:spacing w:before="119"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11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81"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11"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47" w:type="dxa"/>
            <w:vAlign w:val="top"/>
          </w:tcPr>
          <w:p>
            <w:pPr>
              <w:spacing w:before="211"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11"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35" w:line="221"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95"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42"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06:20~06:40</w:t>
            </w:r>
          </w:p>
        </w:tc>
        <w:tc>
          <w:tcPr>
            <w:tcW w:w="1200" w:type="dxa"/>
            <w:vMerge w:val="restart"/>
            <w:tcBorders>
              <w:bottom w:val="nil"/>
            </w:tcBorders>
            <w:vAlign w:val="top"/>
          </w:tcPr>
          <w:p>
            <w:pPr>
              <w:pStyle w:val="6"/>
              <w:spacing w:before="231"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42"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49.4</w:t>
            </w:r>
          </w:p>
        </w:tc>
        <w:tc>
          <w:tcPr>
            <w:tcW w:w="688" w:type="dxa"/>
            <w:vMerge w:val="restart"/>
            <w:tcBorders>
              <w:bottom w:val="nil"/>
            </w:tcBorders>
            <w:vAlign w:val="top"/>
          </w:tcPr>
          <w:p>
            <w:pPr>
              <w:spacing w:line="342"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61.8</w:t>
            </w:r>
          </w:p>
        </w:tc>
        <w:tc>
          <w:tcPr>
            <w:tcW w:w="707" w:type="dxa"/>
            <w:vMerge w:val="restart"/>
            <w:tcBorders>
              <w:bottom w:val="nil"/>
            </w:tcBorders>
            <w:vAlign w:val="top"/>
          </w:tcPr>
          <w:p>
            <w:pPr>
              <w:spacing w:line="342"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687" w:type="dxa"/>
            <w:vMerge w:val="restart"/>
            <w:tcBorders>
              <w:bottom w:val="nil"/>
            </w:tcBorders>
            <w:vAlign w:val="top"/>
          </w:tcPr>
          <w:p>
            <w:pPr>
              <w:spacing w:line="342" w:lineRule="auto"/>
              <w:rPr>
                <w:rFonts w:ascii="Arial"/>
                <w:sz w:val="21"/>
              </w:rPr>
            </w:pPr>
          </w:p>
          <w:p>
            <w:pPr>
              <w:spacing w:before="6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47.2</w:t>
            </w:r>
          </w:p>
        </w:tc>
        <w:tc>
          <w:tcPr>
            <w:tcW w:w="707" w:type="dxa"/>
            <w:vMerge w:val="restart"/>
            <w:tcBorders>
              <w:bottom w:val="nil"/>
            </w:tcBorders>
            <w:vAlign w:val="top"/>
          </w:tcPr>
          <w:p>
            <w:pPr>
              <w:spacing w:line="342"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80.5</w:t>
            </w:r>
          </w:p>
        </w:tc>
        <w:tc>
          <w:tcPr>
            <w:tcW w:w="690" w:type="dxa"/>
            <w:vMerge w:val="restart"/>
            <w:tcBorders>
              <w:bottom w:val="nil"/>
            </w:tcBorders>
            <w:vAlign w:val="top"/>
          </w:tcPr>
          <w:p>
            <w:pPr>
              <w:spacing w:line="342" w:lineRule="auto"/>
              <w:rPr>
                <w:rFonts w:ascii="Arial"/>
                <w:sz w:val="21"/>
              </w:rPr>
            </w:pPr>
          </w:p>
          <w:p>
            <w:pPr>
              <w:spacing w:before="6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w:t>
            </w:r>
          </w:p>
        </w:tc>
        <w:tc>
          <w:tcPr>
            <w:tcW w:w="650" w:type="dxa"/>
            <w:vMerge w:val="restart"/>
            <w:tcBorders>
              <w:bottom w:val="nil"/>
            </w:tcBorders>
            <w:vAlign w:val="top"/>
          </w:tcPr>
          <w:p>
            <w:pPr>
              <w:spacing w:line="342" w:lineRule="auto"/>
              <w:rPr>
                <w:rFonts w:ascii="Arial"/>
                <w:sz w:val="21"/>
              </w:rPr>
            </w:pPr>
          </w:p>
          <w:p>
            <w:pPr>
              <w:spacing w:before="60"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w:t>
            </w:r>
          </w:p>
        </w:tc>
        <w:tc>
          <w:tcPr>
            <w:tcW w:w="644" w:type="dxa"/>
            <w:vAlign w:val="top"/>
          </w:tcPr>
          <w:p>
            <w:pPr>
              <w:spacing w:before="128"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647" w:type="dxa"/>
            <w:vAlign w:val="top"/>
          </w:tcPr>
          <w:p>
            <w:pPr>
              <w:spacing w:before="128"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740" w:type="dxa"/>
            <w:vAlign w:val="top"/>
          </w:tcPr>
          <w:p>
            <w:pPr>
              <w:spacing w:before="128"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90"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14"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647" w:type="dxa"/>
            <w:vAlign w:val="top"/>
          </w:tcPr>
          <w:p>
            <w:pPr>
              <w:spacing w:before="214"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vAlign w:val="top"/>
          </w:tcPr>
          <w:p>
            <w:pPr>
              <w:spacing w:before="214"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39" w:line="219"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86"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35"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07:20~07:40</w:t>
            </w:r>
          </w:p>
        </w:tc>
        <w:tc>
          <w:tcPr>
            <w:tcW w:w="1200" w:type="dxa"/>
            <w:vMerge w:val="restart"/>
            <w:tcBorders>
              <w:bottom w:val="nil"/>
            </w:tcBorders>
            <w:vAlign w:val="top"/>
          </w:tcPr>
          <w:p>
            <w:pPr>
              <w:pStyle w:val="6"/>
              <w:spacing w:before="222"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35" w:lineRule="auto"/>
              <w:rPr>
                <w:rFonts w:ascii="Arial"/>
                <w:sz w:val="21"/>
              </w:rPr>
            </w:pPr>
          </w:p>
          <w:p>
            <w:pPr>
              <w:spacing w:before="60"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57.9</w:t>
            </w:r>
          </w:p>
        </w:tc>
        <w:tc>
          <w:tcPr>
            <w:tcW w:w="688" w:type="dxa"/>
            <w:vMerge w:val="restart"/>
            <w:tcBorders>
              <w:bottom w:val="nil"/>
            </w:tcBorders>
            <w:vAlign w:val="top"/>
          </w:tcPr>
          <w:p>
            <w:pPr>
              <w:spacing w:line="335"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61.8</w:t>
            </w:r>
          </w:p>
        </w:tc>
        <w:tc>
          <w:tcPr>
            <w:tcW w:w="707" w:type="dxa"/>
            <w:vMerge w:val="restart"/>
            <w:tcBorders>
              <w:bottom w:val="nil"/>
            </w:tcBorders>
            <w:vAlign w:val="top"/>
          </w:tcPr>
          <w:p>
            <w:pPr>
              <w:spacing w:line="335"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52.6</w:t>
            </w:r>
          </w:p>
        </w:tc>
        <w:tc>
          <w:tcPr>
            <w:tcW w:w="687" w:type="dxa"/>
            <w:vMerge w:val="restart"/>
            <w:tcBorders>
              <w:bottom w:val="nil"/>
            </w:tcBorders>
            <w:vAlign w:val="top"/>
          </w:tcPr>
          <w:p>
            <w:pPr>
              <w:spacing w:line="335" w:lineRule="auto"/>
              <w:rPr>
                <w:rFonts w:ascii="Arial"/>
                <w:sz w:val="21"/>
              </w:rPr>
            </w:pPr>
          </w:p>
          <w:p>
            <w:pPr>
              <w:spacing w:before="6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45.6</w:t>
            </w:r>
          </w:p>
        </w:tc>
        <w:tc>
          <w:tcPr>
            <w:tcW w:w="707" w:type="dxa"/>
            <w:vMerge w:val="restart"/>
            <w:tcBorders>
              <w:bottom w:val="nil"/>
            </w:tcBorders>
            <w:vAlign w:val="top"/>
          </w:tcPr>
          <w:p>
            <w:pPr>
              <w:spacing w:line="335"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74.7</w:t>
            </w:r>
          </w:p>
        </w:tc>
        <w:tc>
          <w:tcPr>
            <w:tcW w:w="690" w:type="dxa"/>
            <w:vMerge w:val="restart"/>
            <w:tcBorders>
              <w:bottom w:val="nil"/>
            </w:tcBorders>
            <w:vAlign w:val="top"/>
          </w:tcPr>
          <w:p>
            <w:pPr>
              <w:spacing w:line="335"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37.9</w:t>
            </w:r>
          </w:p>
        </w:tc>
        <w:tc>
          <w:tcPr>
            <w:tcW w:w="650" w:type="dxa"/>
            <w:vMerge w:val="restart"/>
            <w:tcBorders>
              <w:bottom w:val="nil"/>
            </w:tcBorders>
            <w:vAlign w:val="top"/>
          </w:tcPr>
          <w:p>
            <w:pPr>
              <w:spacing w:line="335" w:lineRule="auto"/>
              <w:rPr>
                <w:rFonts w:ascii="Arial"/>
                <w:sz w:val="21"/>
              </w:rPr>
            </w:pPr>
          </w:p>
          <w:p>
            <w:pPr>
              <w:spacing w:before="6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644" w:type="dxa"/>
            <w:vAlign w:val="top"/>
          </w:tcPr>
          <w:p>
            <w:pPr>
              <w:spacing w:before="119"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647" w:type="dxa"/>
            <w:vAlign w:val="top"/>
          </w:tcPr>
          <w:p>
            <w:pPr>
              <w:spacing w:before="119" w:line="187"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740" w:type="dxa"/>
            <w:vAlign w:val="top"/>
          </w:tcPr>
          <w:p>
            <w:pPr>
              <w:spacing w:before="11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81"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16"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647" w:type="dxa"/>
            <w:vAlign w:val="top"/>
          </w:tcPr>
          <w:p>
            <w:pPr>
              <w:spacing w:before="216"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17"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42" w:line="218"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87"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33"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08:20~08:40</w:t>
            </w:r>
          </w:p>
        </w:tc>
        <w:tc>
          <w:tcPr>
            <w:tcW w:w="1200" w:type="dxa"/>
            <w:vMerge w:val="restart"/>
            <w:tcBorders>
              <w:bottom w:val="nil"/>
            </w:tcBorders>
            <w:vAlign w:val="top"/>
          </w:tcPr>
          <w:p>
            <w:pPr>
              <w:pStyle w:val="6"/>
              <w:spacing w:before="220"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33" w:lineRule="auto"/>
              <w:rPr>
                <w:rFonts w:ascii="Arial"/>
                <w:sz w:val="21"/>
              </w:rPr>
            </w:pPr>
          </w:p>
          <w:p>
            <w:pPr>
              <w:spacing w:before="61"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688" w:type="dxa"/>
            <w:vMerge w:val="restart"/>
            <w:tcBorders>
              <w:bottom w:val="nil"/>
            </w:tcBorders>
            <w:vAlign w:val="top"/>
          </w:tcPr>
          <w:p>
            <w:pPr>
              <w:spacing w:line="333"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63.2</w:t>
            </w:r>
          </w:p>
        </w:tc>
        <w:tc>
          <w:tcPr>
            <w:tcW w:w="707" w:type="dxa"/>
            <w:vMerge w:val="restart"/>
            <w:tcBorders>
              <w:bottom w:val="nil"/>
            </w:tcBorders>
            <w:vAlign w:val="top"/>
          </w:tcPr>
          <w:p>
            <w:pPr>
              <w:spacing w:line="333"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c>
          <w:tcPr>
            <w:tcW w:w="687" w:type="dxa"/>
            <w:vMerge w:val="restart"/>
            <w:tcBorders>
              <w:bottom w:val="nil"/>
            </w:tcBorders>
            <w:vAlign w:val="top"/>
          </w:tcPr>
          <w:p>
            <w:pPr>
              <w:spacing w:line="333" w:lineRule="auto"/>
              <w:rPr>
                <w:rFonts w:ascii="Arial"/>
                <w:sz w:val="21"/>
              </w:rPr>
            </w:pPr>
          </w:p>
          <w:p>
            <w:pPr>
              <w:spacing w:before="61"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46.6</w:t>
            </w:r>
          </w:p>
        </w:tc>
        <w:tc>
          <w:tcPr>
            <w:tcW w:w="707" w:type="dxa"/>
            <w:vMerge w:val="restart"/>
            <w:tcBorders>
              <w:bottom w:val="nil"/>
            </w:tcBorders>
            <w:vAlign w:val="top"/>
          </w:tcPr>
          <w:p>
            <w:pPr>
              <w:spacing w:line="333"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75.1</w:t>
            </w:r>
          </w:p>
        </w:tc>
        <w:tc>
          <w:tcPr>
            <w:tcW w:w="690" w:type="dxa"/>
            <w:vMerge w:val="restart"/>
            <w:tcBorders>
              <w:bottom w:val="nil"/>
            </w:tcBorders>
            <w:vAlign w:val="top"/>
          </w:tcPr>
          <w:p>
            <w:pPr>
              <w:spacing w:line="333"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37.2</w:t>
            </w:r>
          </w:p>
        </w:tc>
        <w:tc>
          <w:tcPr>
            <w:tcW w:w="650" w:type="dxa"/>
            <w:vMerge w:val="restart"/>
            <w:tcBorders>
              <w:bottom w:val="nil"/>
            </w:tcBorders>
            <w:vAlign w:val="top"/>
          </w:tcPr>
          <w:p>
            <w:pPr>
              <w:spacing w:line="333" w:lineRule="auto"/>
              <w:rPr>
                <w:rFonts w:ascii="Arial"/>
                <w:sz w:val="21"/>
              </w:rPr>
            </w:pPr>
          </w:p>
          <w:p>
            <w:pPr>
              <w:spacing w:before="61"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644" w:type="dxa"/>
            <w:vAlign w:val="top"/>
          </w:tcPr>
          <w:p>
            <w:pPr>
              <w:spacing w:before="117"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w:t>
            </w:r>
          </w:p>
        </w:tc>
        <w:tc>
          <w:tcPr>
            <w:tcW w:w="647" w:type="dxa"/>
            <w:vAlign w:val="top"/>
          </w:tcPr>
          <w:p>
            <w:pPr>
              <w:spacing w:before="120" w:line="184"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740" w:type="dxa"/>
            <w:vAlign w:val="top"/>
          </w:tcPr>
          <w:p>
            <w:pPr>
              <w:spacing w:before="117"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79"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19"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647" w:type="dxa"/>
            <w:vAlign w:val="top"/>
          </w:tcPr>
          <w:p>
            <w:pPr>
              <w:spacing w:before="219"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1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44" w:line="217"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87"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33"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09:20~09:40</w:t>
            </w:r>
          </w:p>
        </w:tc>
        <w:tc>
          <w:tcPr>
            <w:tcW w:w="1200" w:type="dxa"/>
            <w:vMerge w:val="restart"/>
            <w:tcBorders>
              <w:bottom w:val="nil"/>
            </w:tcBorders>
            <w:vAlign w:val="top"/>
          </w:tcPr>
          <w:p>
            <w:pPr>
              <w:pStyle w:val="6"/>
              <w:spacing w:before="222"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33"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63.5</w:t>
            </w:r>
          </w:p>
        </w:tc>
        <w:tc>
          <w:tcPr>
            <w:tcW w:w="688" w:type="dxa"/>
            <w:vMerge w:val="restart"/>
            <w:tcBorders>
              <w:bottom w:val="nil"/>
            </w:tcBorders>
            <w:vAlign w:val="top"/>
          </w:tcPr>
          <w:p>
            <w:pPr>
              <w:spacing w:line="333"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62.6</w:t>
            </w:r>
          </w:p>
        </w:tc>
        <w:tc>
          <w:tcPr>
            <w:tcW w:w="707" w:type="dxa"/>
            <w:vMerge w:val="restart"/>
            <w:tcBorders>
              <w:bottom w:val="nil"/>
            </w:tcBorders>
            <w:vAlign w:val="top"/>
          </w:tcPr>
          <w:p>
            <w:pPr>
              <w:spacing w:line="333"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55.6</w:t>
            </w:r>
          </w:p>
        </w:tc>
        <w:tc>
          <w:tcPr>
            <w:tcW w:w="687" w:type="dxa"/>
            <w:vMerge w:val="restart"/>
            <w:tcBorders>
              <w:bottom w:val="nil"/>
            </w:tcBorders>
            <w:vAlign w:val="top"/>
          </w:tcPr>
          <w:p>
            <w:pPr>
              <w:spacing w:line="333" w:lineRule="auto"/>
              <w:rPr>
                <w:rFonts w:ascii="Arial"/>
                <w:sz w:val="21"/>
              </w:rPr>
            </w:pPr>
          </w:p>
          <w:p>
            <w:pPr>
              <w:spacing w:before="61"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49.0</w:t>
            </w:r>
          </w:p>
        </w:tc>
        <w:tc>
          <w:tcPr>
            <w:tcW w:w="707" w:type="dxa"/>
            <w:vMerge w:val="restart"/>
            <w:tcBorders>
              <w:bottom w:val="nil"/>
            </w:tcBorders>
            <w:vAlign w:val="top"/>
          </w:tcPr>
          <w:p>
            <w:pPr>
              <w:spacing w:line="333" w:lineRule="auto"/>
              <w:rPr>
                <w:rFonts w:ascii="Arial"/>
                <w:sz w:val="21"/>
              </w:rPr>
            </w:pPr>
          </w:p>
          <w:p>
            <w:pPr>
              <w:spacing w:before="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98.3</w:t>
            </w:r>
          </w:p>
        </w:tc>
        <w:tc>
          <w:tcPr>
            <w:tcW w:w="690" w:type="dxa"/>
            <w:vMerge w:val="restart"/>
            <w:tcBorders>
              <w:bottom w:val="nil"/>
            </w:tcBorders>
            <w:vAlign w:val="top"/>
          </w:tcPr>
          <w:p>
            <w:pPr>
              <w:spacing w:line="333" w:lineRule="auto"/>
              <w:rPr>
                <w:rFonts w:ascii="Arial"/>
                <w:sz w:val="21"/>
              </w:rPr>
            </w:pPr>
          </w:p>
          <w:p>
            <w:pPr>
              <w:spacing w:before="61"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w:t>
            </w:r>
          </w:p>
        </w:tc>
        <w:tc>
          <w:tcPr>
            <w:tcW w:w="650" w:type="dxa"/>
            <w:vMerge w:val="restart"/>
            <w:tcBorders>
              <w:bottom w:val="nil"/>
            </w:tcBorders>
            <w:vAlign w:val="top"/>
          </w:tcPr>
          <w:p>
            <w:pPr>
              <w:spacing w:line="333" w:lineRule="auto"/>
              <w:rPr>
                <w:rFonts w:ascii="Arial"/>
                <w:sz w:val="21"/>
              </w:rPr>
            </w:pPr>
          </w:p>
          <w:p>
            <w:pPr>
              <w:spacing w:before="61"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w:t>
            </w:r>
          </w:p>
        </w:tc>
        <w:tc>
          <w:tcPr>
            <w:tcW w:w="644" w:type="dxa"/>
            <w:vAlign w:val="top"/>
          </w:tcPr>
          <w:p>
            <w:pPr>
              <w:spacing w:before="120"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w:t>
            </w:r>
          </w:p>
        </w:tc>
        <w:tc>
          <w:tcPr>
            <w:tcW w:w="647" w:type="dxa"/>
            <w:vAlign w:val="top"/>
          </w:tcPr>
          <w:p>
            <w:pPr>
              <w:spacing w:before="123" w:line="184"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740" w:type="dxa"/>
            <w:vAlign w:val="top"/>
          </w:tcPr>
          <w:p>
            <w:pPr>
              <w:spacing w:before="120"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82"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1"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647" w:type="dxa"/>
            <w:vAlign w:val="top"/>
          </w:tcPr>
          <w:p>
            <w:pPr>
              <w:spacing w:before="221"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vAlign w:val="top"/>
          </w:tcPr>
          <w:p>
            <w:pPr>
              <w:spacing w:before="22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59" w:type="dxa"/>
            <w:tcBorders>
              <w:right w:val="single" w:color="000000" w:sz="10" w:space="0"/>
            </w:tcBorders>
            <w:vAlign w:val="top"/>
          </w:tcPr>
          <w:p>
            <w:pPr>
              <w:pStyle w:val="6"/>
              <w:spacing w:before="46" w:line="216"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94"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41"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10:20~10:40</w:t>
            </w:r>
          </w:p>
        </w:tc>
        <w:tc>
          <w:tcPr>
            <w:tcW w:w="1200" w:type="dxa"/>
            <w:vMerge w:val="restart"/>
            <w:tcBorders>
              <w:bottom w:val="nil"/>
            </w:tcBorders>
            <w:vAlign w:val="top"/>
          </w:tcPr>
          <w:p>
            <w:pPr>
              <w:pStyle w:val="6"/>
              <w:spacing w:before="230"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41" w:lineRule="auto"/>
              <w:rPr>
                <w:rFonts w:ascii="Arial"/>
                <w:sz w:val="21"/>
              </w:rPr>
            </w:pPr>
          </w:p>
          <w:p>
            <w:pPr>
              <w:spacing w:before="60"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56.5</w:t>
            </w:r>
          </w:p>
        </w:tc>
        <w:tc>
          <w:tcPr>
            <w:tcW w:w="688" w:type="dxa"/>
            <w:vMerge w:val="restart"/>
            <w:tcBorders>
              <w:bottom w:val="nil"/>
            </w:tcBorders>
            <w:vAlign w:val="top"/>
          </w:tcPr>
          <w:p>
            <w:pPr>
              <w:spacing w:line="341"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707" w:type="dxa"/>
            <w:vMerge w:val="restart"/>
            <w:tcBorders>
              <w:bottom w:val="nil"/>
            </w:tcBorders>
            <w:vAlign w:val="top"/>
          </w:tcPr>
          <w:p>
            <w:pPr>
              <w:spacing w:line="341"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687" w:type="dxa"/>
            <w:vMerge w:val="restart"/>
            <w:tcBorders>
              <w:bottom w:val="nil"/>
            </w:tcBorders>
            <w:vAlign w:val="top"/>
          </w:tcPr>
          <w:p>
            <w:pPr>
              <w:spacing w:line="341" w:lineRule="auto"/>
              <w:rPr>
                <w:rFonts w:ascii="Arial"/>
                <w:sz w:val="21"/>
              </w:rPr>
            </w:pPr>
          </w:p>
          <w:p>
            <w:pPr>
              <w:spacing w:before="6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42.2</w:t>
            </w:r>
          </w:p>
        </w:tc>
        <w:tc>
          <w:tcPr>
            <w:tcW w:w="707" w:type="dxa"/>
            <w:vMerge w:val="restart"/>
            <w:tcBorders>
              <w:bottom w:val="nil"/>
            </w:tcBorders>
            <w:vAlign w:val="top"/>
          </w:tcPr>
          <w:p>
            <w:pPr>
              <w:spacing w:line="341"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86.1</w:t>
            </w:r>
          </w:p>
        </w:tc>
        <w:tc>
          <w:tcPr>
            <w:tcW w:w="690" w:type="dxa"/>
            <w:vMerge w:val="restart"/>
            <w:tcBorders>
              <w:bottom w:val="nil"/>
            </w:tcBorders>
            <w:vAlign w:val="top"/>
          </w:tcPr>
          <w:p>
            <w:pPr>
              <w:spacing w:line="341"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34.8</w:t>
            </w:r>
          </w:p>
        </w:tc>
        <w:tc>
          <w:tcPr>
            <w:tcW w:w="650" w:type="dxa"/>
            <w:vMerge w:val="restart"/>
            <w:tcBorders>
              <w:bottom w:val="nil"/>
            </w:tcBorders>
            <w:vAlign w:val="top"/>
          </w:tcPr>
          <w:p>
            <w:pPr>
              <w:spacing w:line="341" w:lineRule="auto"/>
              <w:rPr>
                <w:rFonts w:ascii="Arial"/>
                <w:sz w:val="21"/>
              </w:rPr>
            </w:pPr>
          </w:p>
          <w:p>
            <w:pPr>
              <w:spacing w:before="6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c>
          <w:tcPr>
            <w:tcW w:w="644" w:type="dxa"/>
            <w:vAlign w:val="top"/>
          </w:tcPr>
          <w:p>
            <w:pPr>
              <w:spacing w:before="127"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47" w:type="dxa"/>
            <w:vAlign w:val="top"/>
          </w:tcPr>
          <w:p>
            <w:pPr>
              <w:spacing w:before="127"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740" w:type="dxa"/>
            <w:vAlign w:val="top"/>
          </w:tcPr>
          <w:p>
            <w:pPr>
              <w:spacing w:before="127"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89" w:line="22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5"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47" w:type="dxa"/>
            <w:vAlign w:val="top"/>
          </w:tcPr>
          <w:p>
            <w:pPr>
              <w:spacing w:before="225"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25"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48" w:line="215"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275" w:lineRule="auto"/>
              <w:rPr>
                <w:rFonts w:ascii="Arial"/>
                <w:sz w:val="21"/>
              </w:rPr>
            </w:pPr>
          </w:p>
          <w:p>
            <w:pPr>
              <w:pStyle w:val="6"/>
              <w:spacing w:before="69"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22" w:lineRule="auto"/>
              <w:rPr>
                <w:rFonts w:ascii="Arial"/>
                <w:sz w:val="21"/>
              </w:rPr>
            </w:pPr>
          </w:p>
          <w:p>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11:20~11:40</w:t>
            </w:r>
          </w:p>
        </w:tc>
        <w:tc>
          <w:tcPr>
            <w:tcW w:w="1200" w:type="dxa"/>
            <w:vMerge w:val="restart"/>
            <w:tcBorders>
              <w:bottom w:val="nil"/>
            </w:tcBorders>
            <w:vAlign w:val="top"/>
          </w:tcPr>
          <w:p>
            <w:pPr>
              <w:pStyle w:val="6"/>
              <w:spacing w:before="209"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22" w:lineRule="auto"/>
              <w:rPr>
                <w:rFonts w:ascii="Arial"/>
                <w:sz w:val="21"/>
              </w:rPr>
            </w:pPr>
          </w:p>
          <w:p>
            <w:pPr>
              <w:spacing w:before="60"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58.7</w:t>
            </w:r>
          </w:p>
        </w:tc>
        <w:tc>
          <w:tcPr>
            <w:tcW w:w="688" w:type="dxa"/>
            <w:vMerge w:val="restart"/>
            <w:tcBorders>
              <w:bottom w:val="nil"/>
            </w:tcBorders>
            <w:vAlign w:val="top"/>
          </w:tcPr>
          <w:p>
            <w:pPr>
              <w:spacing w:line="322"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62.6</w:t>
            </w:r>
          </w:p>
        </w:tc>
        <w:tc>
          <w:tcPr>
            <w:tcW w:w="707" w:type="dxa"/>
            <w:vMerge w:val="restart"/>
            <w:tcBorders>
              <w:bottom w:val="nil"/>
            </w:tcBorders>
            <w:vAlign w:val="top"/>
          </w:tcPr>
          <w:p>
            <w:pPr>
              <w:spacing w:line="322"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687" w:type="dxa"/>
            <w:vMerge w:val="restart"/>
            <w:tcBorders>
              <w:bottom w:val="nil"/>
            </w:tcBorders>
            <w:vAlign w:val="top"/>
          </w:tcPr>
          <w:p>
            <w:pPr>
              <w:spacing w:line="322" w:lineRule="auto"/>
              <w:rPr>
                <w:rFonts w:ascii="Arial"/>
                <w:sz w:val="21"/>
              </w:rPr>
            </w:pPr>
          </w:p>
          <w:p>
            <w:pPr>
              <w:spacing w:before="6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707" w:type="dxa"/>
            <w:vMerge w:val="restart"/>
            <w:tcBorders>
              <w:bottom w:val="nil"/>
            </w:tcBorders>
            <w:vAlign w:val="top"/>
          </w:tcPr>
          <w:p>
            <w:pPr>
              <w:spacing w:line="322"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81.3</w:t>
            </w:r>
          </w:p>
        </w:tc>
        <w:tc>
          <w:tcPr>
            <w:tcW w:w="690" w:type="dxa"/>
            <w:vMerge w:val="restart"/>
            <w:tcBorders>
              <w:bottom w:val="nil"/>
            </w:tcBorders>
            <w:vAlign w:val="top"/>
          </w:tcPr>
          <w:p>
            <w:pPr>
              <w:spacing w:line="322"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37.7</w:t>
            </w:r>
          </w:p>
        </w:tc>
        <w:tc>
          <w:tcPr>
            <w:tcW w:w="650" w:type="dxa"/>
            <w:vMerge w:val="restart"/>
            <w:tcBorders>
              <w:bottom w:val="nil"/>
            </w:tcBorders>
            <w:vAlign w:val="top"/>
          </w:tcPr>
          <w:p>
            <w:pPr>
              <w:spacing w:line="322" w:lineRule="auto"/>
              <w:rPr>
                <w:rFonts w:ascii="Arial"/>
                <w:sz w:val="21"/>
              </w:rPr>
            </w:pPr>
          </w:p>
          <w:p>
            <w:pPr>
              <w:spacing w:before="6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644" w:type="dxa"/>
            <w:vAlign w:val="top"/>
          </w:tcPr>
          <w:p>
            <w:pPr>
              <w:spacing w:before="108"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647" w:type="dxa"/>
            <w:vAlign w:val="top"/>
          </w:tcPr>
          <w:p>
            <w:pPr>
              <w:spacing w:before="109" w:line="187"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740" w:type="dxa"/>
            <w:vAlign w:val="top"/>
          </w:tcPr>
          <w:p>
            <w:pPr>
              <w:spacing w:before="108"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70" w:line="203"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27"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647" w:type="dxa"/>
            <w:vAlign w:val="top"/>
          </w:tcPr>
          <w:p>
            <w:pPr>
              <w:spacing w:before="227"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vAlign w:val="top"/>
          </w:tcPr>
          <w:p>
            <w:pPr>
              <w:spacing w:before="227"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53" w:line="213"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504" w:type="dxa"/>
            <w:vMerge w:val="continue"/>
            <w:tcBorders>
              <w:top w:val="nil"/>
              <w:left w:val="single" w:color="000000" w:sz="10" w:space="0"/>
              <w:bottom w:val="single" w:color="000000" w:sz="10" w:space="0"/>
            </w:tcBorders>
            <w:textDirection w:val="tbRlV"/>
            <w:vAlign w:val="top"/>
          </w:tcPr>
          <w:p>
            <w:pPr>
              <w:rPr>
                <w:rFonts w:ascii="Arial"/>
                <w:sz w:val="21"/>
              </w:rPr>
            </w:pPr>
          </w:p>
        </w:tc>
        <w:tc>
          <w:tcPr>
            <w:tcW w:w="951" w:type="dxa"/>
            <w:vMerge w:val="continue"/>
            <w:tcBorders>
              <w:top w:val="nil"/>
              <w:bottom w:val="single" w:color="000000" w:sz="10" w:space="0"/>
            </w:tcBorders>
            <w:vAlign w:val="top"/>
          </w:tcPr>
          <w:p>
            <w:pPr>
              <w:rPr>
                <w:rFonts w:ascii="Arial"/>
                <w:sz w:val="21"/>
              </w:rPr>
            </w:pPr>
          </w:p>
        </w:tc>
        <w:tc>
          <w:tcPr>
            <w:tcW w:w="1905" w:type="dxa"/>
            <w:tcBorders>
              <w:bottom w:val="single" w:color="000000" w:sz="10" w:space="0"/>
            </w:tcBorders>
            <w:vAlign w:val="top"/>
          </w:tcPr>
          <w:p>
            <w:pPr>
              <w:pStyle w:val="6"/>
              <w:spacing w:before="67" w:line="215"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03 </w:t>
            </w:r>
            <w:r>
              <w:rPr>
                <w:spacing w:val="-3"/>
              </w:rPr>
              <w:t>月</w:t>
            </w:r>
            <w:r>
              <w:rPr>
                <w:spacing w:val="-54"/>
              </w:rPr>
              <w:t xml:space="preserve"> </w:t>
            </w:r>
            <w:r>
              <w:rPr>
                <w:rFonts w:ascii="Times New Roman" w:hAnsi="Times New Roman" w:eastAsia="Times New Roman" w:cs="Times New Roman"/>
                <w:spacing w:val="-3"/>
              </w:rPr>
              <w:t>08</w:t>
            </w:r>
            <w:r>
              <w:rPr>
                <w:rFonts w:ascii="Times New Roman" w:hAnsi="Times New Roman" w:eastAsia="Times New Roman" w:cs="Times New Roman"/>
                <w:spacing w:val="35"/>
                <w:w w:val="101"/>
              </w:rPr>
              <w:t xml:space="preserve"> </w:t>
            </w:r>
            <w:r>
              <w:rPr>
                <w:spacing w:val="-3"/>
              </w:rPr>
              <w:t>日</w:t>
            </w:r>
          </w:p>
        </w:tc>
        <w:tc>
          <w:tcPr>
            <w:tcW w:w="1361" w:type="dxa"/>
            <w:tcBorders>
              <w:bottom w:val="single" w:color="000000" w:sz="10" w:space="0"/>
            </w:tcBorders>
            <w:vAlign w:val="top"/>
          </w:tcPr>
          <w:p>
            <w:pPr>
              <w:spacing w:before="106"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12:20~12:40</w:t>
            </w:r>
          </w:p>
        </w:tc>
        <w:tc>
          <w:tcPr>
            <w:tcW w:w="1200" w:type="dxa"/>
            <w:tcBorders>
              <w:bottom w:val="single" w:color="000000" w:sz="10" w:space="0"/>
            </w:tcBorders>
            <w:vAlign w:val="top"/>
          </w:tcPr>
          <w:p>
            <w:pPr>
              <w:pStyle w:val="6"/>
              <w:spacing w:before="67" w:line="215" w:lineRule="auto"/>
              <w:ind w:left="180"/>
            </w:pPr>
            <w:r>
              <w:rPr>
                <w:spacing w:val="-1"/>
              </w:rPr>
              <w:t>道路交通</w:t>
            </w:r>
          </w:p>
        </w:tc>
        <w:tc>
          <w:tcPr>
            <w:tcW w:w="707" w:type="dxa"/>
            <w:tcBorders>
              <w:bottom w:val="single" w:color="000000" w:sz="10" w:space="0"/>
            </w:tcBorders>
            <w:vAlign w:val="top"/>
          </w:tcPr>
          <w:p>
            <w:pPr>
              <w:spacing w:before="106"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60.7</w:t>
            </w:r>
          </w:p>
        </w:tc>
        <w:tc>
          <w:tcPr>
            <w:tcW w:w="688" w:type="dxa"/>
            <w:tcBorders>
              <w:bottom w:val="single" w:color="000000" w:sz="10" w:space="0"/>
            </w:tcBorders>
            <w:vAlign w:val="top"/>
          </w:tcPr>
          <w:p>
            <w:pPr>
              <w:spacing w:before="106"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63.2</w:t>
            </w:r>
          </w:p>
        </w:tc>
        <w:tc>
          <w:tcPr>
            <w:tcW w:w="707" w:type="dxa"/>
            <w:tcBorders>
              <w:bottom w:val="single" w:color="000000" w:sz="10" w:space="0"/>
            </w:tcBorders>
            <w:vAlign w:val="top"/>
          </w:tcPr>
          <w:p>
            <w:pPr>
              <w:spacing w:before="106"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53.4</w:t>
            </w:r>
          </w:p>
        </w:tc>
        <w:tc>
          <w:tcPr>
            <w:tcW w:w="687" w:type="dxa"/>
            <w:tcBorders>
              <w:bottom w:val="single" w:color="000000" w:sz="10" w:space="0"/>
            </w:tcBorders>
            <w:vAlign w:val="top"/>
          </w:tcPr>
          <w:p>
            <w:pPr>
              <w:spacing w:before="106"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45.4</w:t>
            </w:r>
          </w:p>
        </w:tc>
        <w:tc>
          <w:tcPr>
            <w:tcW w:w="707" w:type="dxa"/>
            <w:tcBorders>
              <w:bottom w:val="single" w:color="000000" w:sz="10" w:space="0"/>
            </w:tcBorders>
            <w:vAlign w:val="top"/>
          </w:tcPr>
          <w:p>
            <w:pPr>
              <w:spacing w:before="106"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80.4</w:t>
            </w:r>
          </w:p>
        </w:tc>
        <w:tc>
          <w:tcPr>
            <w:tcW w:w="690" w:type="dxa"/>
            <w:tcBorders>
              <w:bottom w:val="single" w:color="000000" w:sz="10" w:space="0"/>
            </w:tcBorders>
            <w:vAlign w:val="top"/>
          </w:tcPr>
          <w:p>
            <w:pPr>
              <w:spacing w:before="106"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40.4</w:t>
            </w:r>
          </w:p>
        </w:tc>
        <w:tc>
          <w:tcPr>
            <w:tcW w:w="650" w:type="dxa"/>
            <w:tcBorders>
              <w:bottom w:val="single" w:color="000000" w:sz="10" w:space="0"/>
            </w:tcBorders>
            <w:vAlign w:val="top"/>
          </w:tcPr>
          <w:p>
            <w:pPr>
              <w:spacing w:before="106"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w:t>
            </w:r>
          </w:p>
        </w:tc>
        <w:tc>
          <w:tcPr>
            <w:tcW w:w="644" w:type="dxa"/>
            <w:tcBorders>
              <w:bottom w:val="single" w:color="000000" w:sz="10" w:space="0"/>
            </w:tcBorders>
            <w:vAlign w:val="top"/>
          </w:tcPr>
          <w:p>
            <w:pPr>
              <w:spacing w:before="106"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647" w:type="dxa"/>
            <w:tcBorders>
              <w:bottom w:val="single" w:color="000000" w:sz="10" w:space="0"/>
            </w:tcBorders>
            <w:vAlign w:val="top"/>
          </w:tcPr>
          <w:p>
            <w:pPr>
              <w:spacing w:before="106" w:line="187"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740" w:type="dxa"/>
            <w:tcBorders>
              <w:bottom w:val="single" w:color="000000" w:sz="10" w:space="0"/>
            </w:tcBorders>
            <w:vAlign w:val="top"/>
          </w:tcPr>
          <w:p>
            <w:pPr>
              <w:spacing w:before="106"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bottom w:val="single" w:color="000000" w:sz="10" w:space="0"/>
              <w:right w:val="single" w:color="000000" w:sz="10" w:space="0"/>
            </w:tcBorders>
            <w:vAlign w:val="top"/>
          </w:tcPr>
          <w:p>
            <w:pPr>
              <w:pStyle w:val="6"/>
              <w:spacing w:before="67" w:line="215" w:lineRule="auto"/>
              <w:ind w:left="269"/>
            </w:pPr>
            <w:r>
              <w:rPr>
                <w:rFonts w:ascii="Times New Roman" w:hAnsi="Times New Roman" w:eastAsia="Times New Roman" w:cs="Times New Roman"/>
                <w:spacing w:val="-4"/>
              </w:rPr>
              <w:t>G322</w:t>
            </w:r>
            <w:r>
              <w:rPr>
                <w:rFonts w:ascii="Times New Roman" w:hAnsi="Times New Roman" w:eastAsia="Times New Roman" w:cs="Times New Roman"/>
                <w:spacing w:val="31"/>
                <w:w w:val="101"/>
              </w:rPr>
              <w:t xml:space="preserve"> </w:t>
            </w:r>
            <w:r>
              <w:rPr>
                <w:spacing w:val="-4"/>
              </w:rPr>
              <w:t>国道</w:t>
            </w:r>
          </w:p>
        </w:tc>
      </w:tr>
    </w:tbl>
    <w:p>
      <w:pPr>
        <w:pStyle w:val="2"/>
      </w:pPr>
    </w:p>
    <w:p>
      <w:pPr>
        <w:sectPr>
          <w:footerReference r:id="rId209" w:type="default"/>
          <w:pgSz w:w="16839" w:h="11907"/>
          <w:pgMar w:top="1260" w:right="1281" w:bottom="1151" w:left="1283" w:header="1019" w:footer="990" w:gutter="0"/>
          <w:cols w:space="720" w:num="1"/>
        </w:sectPr>
      </w:pPr>
    </w:p>
    <w:p>
      <w:pPr>
        <w:spacing w:line="155" w:lineRule="exact"/>
      </w:pPr>
    </w:p>
    <w:tbl>
      <w:tblPr>
        <w:tblStyle w:val="5"/>
        <w:tblW w:w="142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951"/>
        <w:gridCol w:w="1905"/>
        <w:gridCol w:w="1361"/>
        <w:gridCol w:w="1200"/>
        <w:gridCol w:w="707"/>
        <w:gridCol w:w="688"/>
        <w:gridCol w:w="707"/>
        <w:gridCol w:w="687"/>
        <w:gridCol w:w="707"/>
        <w:gridCol w:w="690"/>
        <w:gridCol w:w="650"/>
        <w:gridCol w:w="644"/>
        <w:gridCol w:w="647"/>
        <w:gridCol w:w="740"/>
        <w:gridCol w:w="1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04" w:type="dxa"/>
            <w:vMerge w:val="restart"/>
            <w:tcBorders>
              <w:top w:val="single" w:color="000000" w:sz="10" w:space="0"/>
              <w:left w:val="single" w:color="000000" w:sz="10" w:space="0"/>
              <w:bottom w:val="nil"/>
            </w:tcBorders>
            <w:textDirection w:val="tbRlV"/>
            <w:vAlign w:val="top"/>
          </w:tcPr>
          <w:p>
            <w:pPr>
              <w:pStyle w:val="6"/>
              <w:spacing w:before="144" w:line="211" w:lineRule="auto"/>
              <w:ind w:left="374"/>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951" w:type="dxa"/>
            <w:vMerge w:val="restart"/>
            <w:tcBorders>
              <w:top w:val="single" w:color="000000" w:sz="10" w:space="0"/>
              <w:bottom w:val="nil"/>
            </w:tcBorders>
            <w:vAlign w:val="top"/>
          </w:tcPr>
          <w:p>
            <w:pPr>
              <w:spacing w:line="304" w:lineRule="auto"/>
              <w:rPr>
                <w:rFonts w:ascii="Arial"/>
                <w:sz w:val="21"/>
              </w:rPr>
            </w:pPr>
          </w:p>
          <w:p>
            <w:pPr>
              <w:pStyle w:val="6"/>
              <w:spacing w:before="69" w:line="231" w:lineRule="auto"/>
              <w:ind w:left="367" w:right="170" w:hanging="199"/>
            </w:pPr>
            <w:r>
              <w:rPr>
                <w:spacing w:val="-8"/>
                <w14:textOutline w14:w="3831" w14:cap="flat" w14:cmpd="sng">
                  <w14:solidFill>
                    <w14:srgbClr w14:val="000000"/>
                  </w14:solidFill>
                  <w14:prstDash w14:val="solid"/>
                  <w14:miter w14:val="0"/>
                </w14:textOutline>
              </w:rPr>
              <w:t>检测点</w:t>
            </w:r>
            <w:r>
              <w:t xml:space="preserve"> </w:t>
            </w:r>
            <w:r>
              <w:rPr>
                <w14:textOutline w14:w="3831" w14:cap="flat" w14:cmpd="sng">
                  <w14:solidFill>
                    <w14:srgbClr w14:val="000000"/>
                  </w14:solidFill>
                  <w14:prstDash w14:val="solid"/>
                  <w14:miter w14:val="0"/>
                </w14:textOutline>
              </w:rPr>
              <w:t>位</w:t>
            </w:r>
          </w:p>
        </w:tc>
        <w:tc>
          <w:tcPr>
            <w:tcW w:w="3266" w:type="dxa"/>
            <w:gridSpan w:val="2"/>
            <w:vMerge w:val="restart"/>
            <w:tcBorders>
              <w:top w:val="single" w:color="000000" w:sz="10" w:space="0"/>
              <w:bottom w:val="nil"/>
            </w:tcBorders>
            <w:vAlign w:val="top"/>
          </w:tcPr>
          <w:p>
            <w:pPr>
              <w:spacing w:line="439" w:lineRule="auto"/>
              <w:rPr>
                <w:rFonts w:ascii="Arial"/>
                <w:sz w:val="21"/>
              </w:rPr>
            </w:pPr>
            <w:r>
              <w:pict>
                <v:rect id="_x0000_s1035" o:spid="_x0000_s1035" o:spt="1" style="position:absolute;left:0pt;margin-left:94.7pt;margin-top:62.75pt;height:27.75pt;width:0.5pt;mso-position-horizontal-relative:page;mso-position-vertical-relative:page;z-index:251714560;mso-width-relative:page;mso-height-relative:page;" fillcolor="#000000" filled="t" stroked="f" coordsize="21600,21600">
                  <v:path/>
                  <v:fill on="t" focussize="0,0"/>
                  <v:stroke on="f"/>
                  <v:imagedata o:title=""/>
                  <o:lock v:ext="edit"/>
                </v:rect>
              </w:pict>
            </w:r>
          </w:p>
          <w:p>
            <w:pPr>
              <w:pStyle w:val="6"/>
              <w:spacing w:before="68" w:line="221" w:lineRule="auto"/>
              <w:ind w:left="1209"/>
            </w:pPr>
            <w:r>
              <w:rPr>
                <w:spacing w:val="-1"/>
                <w14:textOutline w14:w="3831" w14:cap="flat" w14:cmpd="sng">
                  <w14:solidFill>
                    <w14:srgbClr w14:val="000000"/>
                  </w14:solidFill>
                  <w14:prstDash w14:val="solid"/>
                  <w14:miter w14:val="0"/>
                </w14:textOutline>
              </w:rPr>
              <w:t>检测时间</w:t>
            </w:r>
          </w:p>
        </w:tc>
        <w:tc>
          <w:tcPr>
            <w:tcW w:w="1200" w:type="dxa"/>
            <w:vMerge w:val="restart"/>
            <w:tcBorders>
              <w:top w:val="single" w:color="000000" w:sz="10" w:space="0"/>
              <w:bottom w:val="nil"/>
            </w:tcBorders>
            <w:vAlign w:val="top"/>
          </w:tcPr>
          <w:p>
            <w:pPr>
              <w:spacing w:line="440" w:lineRule="auto"/>
              <w:rPr>
                <w:rFonts w:ascii="Arial"/>
                <w:sz w:val="21"/>
              </w:rPr>
            </w:pPr>
          </w:p>
          <w:p>
            <w:pPr>
              <w:pStyle w:val="6"/>
              <w:spacing w:before="68" w:line="221" w:lineRule="auto"/>
              <w:ind w:left="202"/>
            </w:pPr>
            <w:r>
              <w:rPr>
                <w:spacing w:val="-7"/>
                <w14:textOutline w14:w="3831" w14:cap="flat" w14:cmpd="sng">
                  <w14:solidFill>
                    <w14:srgbClr w14:val="000000"/>
                  </w14:solidFill>
                  <w14:prstDash w14:val="solid"/>
                  <w14:miter w14:val="0"/>
                </w14:textOutline>
              </w:rPr>
              <w:t>主要声源</w:t>
            </w:r>
          </w:p>
          <w:p>
            <w:pPr>
              <w:spacing w:line="436" w:lineRule="auto"/>
              <w:rPr>
                <w:rFonts w:ascii="Arial"/>
                <w:sz w:val="21"/>
              </w:rPr>
            </w:pPr>
          </w:p>
          <w:p>
            <w:pPr>
              <w:pStyle w:val="6"/>
              <w:spacing w:before="68" w:line="221" w:lineRule="auto"/>
              <w:ind w:left="402"/>
            </w:pPr>
            <w:r>
              <w:rPr>
                <w:spacing w:val="-4"/>
              </w:rPr>
              <w:t>噪声</w:t>
            </w:r>
          </w:p>
        </w:tc>
        <w:tc>
          <w:tcPr>
            <w:tcW w:w="4836" w:type="dxa"/>
            <w:gridSpan w:val="7"/>
            <w:tcBorders>
              <w:top w:val="single" w:color="000000" w:sz="10" w:space="0"/>
            </w:tcBorders>
            <w:vAlign w:val="top"/>
          </w:tcPr>
          <w:p>
            <w:pPr>
              <w:pStyle w:val="6"/>
              <w:spacing w:before="184" w:line="221" w:lineRule="auto"/>
              <w:ind w:left="2022"/>
            </w:pPr>
            <w:r>
              <w:rPr>
                <w:spacing w:val="-7"/>
                <w14:textOutline w14:w="3831" w14:cap="flat" w14:cmpd="sng">
                  <w14:solidFill>
                    <w14:srgbClr w14:val="000000"/>
                  </w14:solidFill>
                  <w14:prstDash w14:val="solid"/>
                  <w14:miter w14:val="0"/>
                </w14:textOutline>
              </w:rPr>
              <w:t>检测结果</w:t>
            </w:r>
          </w:p>
        </w:tc>
        <w:tc>
          <w:tcPr>
            <w:tcW w:w="2031" w:type="dxa"/>
            <w:gridSpan w:val="3"/>
            <w:tcBorders>
              <w:top w:val="single" w:color="000000" w:sz="10" w:space="0"/>
            </w:tcBorders>
            <w:vAlign w:val="top"/>
          </w:tcPr>
          <w:p>
            <w:pPr>
              <w:pStyle w:val="6"/>
              <w:spacing w:before="48" w:line="238" w:lineRule="auto"/>
              <w:ind w:left="529"/>
            </w:pPr>
            <w:r>
              <w:rPr>
                <w:spacing w:val="-7"/>
                <w14:textOutline w14:w="3831" w14:cap="flat" w14:cmpd="sng">
                  <w14:solidFill>
                    <w14:srgbClr w14:val="000000"/>
                  </w14:solidFill>
                  <w14:prstDash w14:val="solid"/>
                  <w14:miter w14:val="0"/>
                </w14:textOutline>
              </w:rPr>
              <w:t>车流量情况</w:t>
            </w:r>
          </w:p>
          <w:p>
            <w:pPr>
              <w:pStyle w:val="6"/>
              <w:spacing w:line="218" w:lineRule="auto"/>
              <w:ind w:left="440"/>
            </w:pPr>
            <w:r>
              <w:rPr>
                <w:spacing w:val="-7"/>
                <w14:textOutline w14:w="3831" w14:cap="flat" w14:cmpd="sng">
                  <w14:solidFill>
                    <w14:srgbClr w14:val="000000"/>
                  </w14:solidFill>
                  <w14:prstDash w14:val="solid"/>
                  <w14:miter w14:val="0"/>
                </w14:textOutline>
              </w:rPr>
              <w:t>（辆</w:t>
            </w:r>
            <w:r>
              <w:rPr>
                <w:rFonts w:ascii="Times New Roman" w:hAnsi="Times New Roman" w:eastAsia="Times New Roman" w:cs="Times New Roman"/>
                <w:b/>
                <w:bCs/>
                <w:spacing w:val="-7"/>
              </w:rPr>
              <w:t>/20min</w:t>
            </w:r>
            <w:r>
              <w:rPr>
                <w:spacing w:val="-7"/>
                <w14:textOutline w14:w="3831" w14:cap="flat" w14:cmpd="sng">
                  <w14:solidFill>
                    <w14:srgbClr w14:val="000000"/>
                  </w14:solidFill>
                  <w14:prstDash w14:val="solid"/>
                  <w14:miter w14:val="0"/>
                </w14:textOutline>
              </w:rPr>
              <w:t>）</w:t>
            </w:r>
          </w:p>
        </w:tc>
        <w:tc>
          <w:tcPr>
            <w:tcW w:w="1459" w:type="dxa"/>
            <w:vMerge w:val="restart"/>
            <w:tcBorders>
              <w:top w:val="single" w:color="000000" w:sz="10" w:space="0"/>
              <w:bottom w:val="nil"/>
              <w:right w:val="single" w:color="000000" w:sz="10" w:space="0"/>
            </w:tcBorders>
            <w:vAlign w:val="top"/>
          </w:tcPr>
          <w:p>
            <w:pPr>
              <w:spacing w:line="440" w:lineRule="auto"/>
              <w:rPr>
                <w:rFonts w:ascii="Arial"/>
                <w:sz w:val="21"/>
              </w:rPr>
            </w:pPr>
          </w:p>
          <w:p>
            <w:pPr>
              <w:pStyle w:val="6"/>
              <w:spacing w:before="68" w:line="222" w:lineRule="auto"/>
              <w:ind w:left="541"/>
            </w:pPr>
            <w:r>
              <w:rPr>
                <w:spacing w:val="-5"/>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bottom w:val="nil"/>
            </w:tcBorders>
            <w:vAlign w:val="top"/>
          </w:tcPr>
          <w:p>
            <w:pPr>
              <w:rPr>
                <w:rFonts w:ascii="Arial"/>
                <w:sz w:val="21"/>
              </w:rPr>
            </w:pPr>
          </w:p>
        </w:tc>
        <w:tc>
          <w:tcPr>
            <w:tcW w:w="1200" w:type="dxa"/>
            <w:vMerge w:val="continue"/>
            <w:tcBorders>
              <w:top w:val="nil"/>
              <w:bottom w:val="nil"/>
            </w:tcBorders>
            <w:vAlign w:val="top"/>
          </w:tcPr>
          <w:p>
            <w:pPr>
              <w:rPr>
                <w:rFonts w:ascii="Arial"/>
                <w:sz w:val="21"/>
              </w:rPr>
            </w:pPr>
          </w:p>
        </w:tc>
        <w:tc>
          <w:tcPr>
            <w:tcW w:w="707" w:type="dxa"/>
            <w:vAlign w:val="top"/>
          </w:tcPr>
          <w:p>
            <w:pPr>
              <w:spacing w:before="260" w:line="195" w:lineRule="auto"/>
              <w:ind w:left="213"/>
              <w:rPr>
                <w:rFonts w:ascii="Times New Roman" w:hAnsi="Times New Roman" w:eastAsia="Times New Roman" w:cs="Times New Roman"/>
                <w:sz w:val="13"/>
                <w:szCs w:val="13"/>
              </w:rPr>
            </w:pPr>
            <w:r>
              <w:rPr>
                <w:rFonts w:ascii="Times New Roman" w:hAnsi="Times New Roman" w:eastAsia="Times New Roman" w:cs="Times New Roman"/>
                <w:b/>
                <w:bCs/>
                <w:spacing w:val="2"/>
                <w:position w:val="1"/>
                <w:sz w:val="21"/>
                <w:szCs w:val="21"/>
              </w:rPr>
              <w:t>L</w:t>
            </w:r>
            <w:r>
              <w:rPr>
                <w:rFonts w:ascii="Times New Roman" w:hAnsi="Times New Roman" w:eastAsia="Times New Roman" w:cs="Times New Roman"/>
                <w:b/>
                <w:bCs/>
                <w:spacing w:val="2"/>
                <w:sz w:val="13"/>
                <w:szCs w:val="13"/>
              </w:rPr>
              <w:t>eq</w:t>
            </w:r>
          </w:p>
        </w:tc>
        <w:tc>
          <w:tcPr>
            <w:tcW w:w="688" w:type="dxa"/>
            <w:vAlign w:val="top"/>
          </w:tcPr>
          <w:p>
            <w:pPr>
              <w:spacing w:before="260" w:line="203" w:lineRule="auto"/>
              <w:ind w:left="204"/>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10</w:t>
            </w:r>
          </w:p>
        </w:tc>
        <w:tc>
          <w:tcPr>
            <w:tcW w:w="707" w:type="dxa"/>
            <w:vAlign w:val="top"/>
          </w:tcPr>
          <w:p>
            <w:pPr>
              <w:spacing w:before="260" w:line="203" w:lineRule="auto"/>
              <w:ind w:left="215"/>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50</w:t>
            </w:r>
          </w:p>
        </w:tc>
        <w:tc>
          <w:tcPr>
            <w:tcW w:w="687" w:type="dxa"/>
            <w:vAlign w:val="top"/>
          </w:tcPr>
          <w:p>
            <w:pPr>
              <w:spacing w:before="260" w:line="203" w:lineRule="auto"/>
              <w:ind w:left="206"/>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90</w:t>
            </w:r>
          </w:p>
        </w:tc>
        <w:tc>
          <w:tcPr>
            <w:tcW w:w="707" w:type="dxa"/>
            <w:vAlign w:val="top"/>
          </w:tcPr>
          <w:p>
            <w:pPr>
              <w:spacing w:before="260" w:line="222" w:lineRule="auto"/>
              <w:ind w:left="160"/>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max</w:t>
            </w:r>
          </w:p>
        </w:tc>
        <w:tc>
          <w:tcPr>
            <w:tcW w:w="690" w:type="dxa"/>
            <w:vAlign w:val="top"/>
          </w:tcPr>
          <w:p>
            <w:pPr>
              <w:spacing w:before="260" w:line="223" w:lineRule="auto"/>
              <w:ind w:left="161"/>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min</w:t>
            </w:r>
          </w:p>
        </w:tc>
        <w:tc>
          <w:tcPr>
            <w:tcW w:w="650" w:type="dxa"/>
            <w:vAlign w:val="top"/>
          </w:tcPr>
          <w:p>
            <w:pPr>
              <w:spacing w:before="257" w:line="187" w:lineRule="auto"/>
              <w:ind w:left="200"/>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SD</w:t>
            </w:r>
          </w:p>
        </w:tc>
        <w:tc>
          <w:tcPr>
            <w:tcW w:w="644" w:type="dxa"/>
            <w:vAlign w:val="top"/>
          </w:tcPr>
          <w:p>
            <w:pPr>
              <w:pStyle w:val="6"/>
              <w:spacing w:before="82" w:line="229" w:lineRule="auto"/>
              <w:ind w:left="231" w:right="100" w:hanging="101"/>
            </w:pPr>
            <w:r>
              <w:rPr>
                <w:spacing w:val="-6"/>
                <w14:textOutline w14:w="3831" w14:cap="flat" w14:cmpd="sng">
                  <w14:solidFill>
                    <w14:srgbClr w14:val="000000"/>
                  </w14:solidFill>
                  <w14:prstDash w14:val="solid"/>
                  <w14:miter w14:val="0"/>
                </w14:textOutline>
              </w:rPr>
              <w:t>小型</w:t>
            </w:r>
            <w:r>
              <w:t xml:space="preserve"> </w:t>
            </w:r>
            <w:r>
              <w:rPr>
                <w14:textOutline w14:w="3831" w14:cap="flat" w14:cmpd="sng">
                  <w14:solidFill>
                    <w14:srgbClr w14:val="000000"/>
                  </w14:solidFill>
                  <w14:prstDash w14:val="solid"/>
                  <w14:miter w14:val="0"/>
                </w14:textOutline>
              </w:rPr>
              <w:t>车</w:t>
            </w:r>
          </w:p>
        </w:tc>
        <w:tc>
          <w:tcPr>
            <w:tcW w:w="647" w:type="dxa"/>
            <w:vAlign w:val="top"/>
          </w:tcPr>
          <w:p>
            <w:pPr>
              <w:pStyle w:val="6"/>
              <w:spacing w:before="82" w:line="229" w:lineRule="auto"/>
              <w:ind w:left="230" w:right="103" w:hanging="87"/>
            </w:pPr>
            <w:r>
              <w:rPr>
                <w:spacing w:val="-13"/>
                <w14:textOutline w14:w="3831" w14:cap="flat" w14:cmpd="sng">
                  <w14:solidFill>
                    <w14:srgbClr w14:val="000000"/>
                  </w14:solidFill>
                  <w14:prstDash w14:val="solid"/>
                  <w14:miter w14:val="0"/>
                </w14:textOutline>
              </w:rPr>
              <w:t>中型</w:t>
            </w:r>
            <w:r>
              <w:t xml:space="preserve"> </w:t>
            </w:r>
            <w:r>
              <w:rPr>
                <w14:textOutline w14:w="3831" w14:cap="flat" w14:cmpd="sng">
                  <w14:solidFill>
                    <w14:srgbClr w14:val="000000"/>
                  </w14:solidFill>
                  <w14:prstDash w14:val="solid"/>
                  <w14:miter w14:val="0"/>
                </w14:textOutline>
              </w:rPr>
              <w:t>车</w:t>
            </w:r>
          </w:p>
        </w:tc>
        <w:tc>
          <w:tcPr>
            <w:tcW w:w="740" w:type="dxa"/>
            <w:vAlign w:val="top"/>
          </w:tcPr>
          <w:p>
            <w:pPr>
              <w:pStyle w:val="6"/>
              <w:spacing w:before="82" w:line="238" w:lineRule="auto"/>
              <w:ind w:left="172"/>
            </w:pPr>
            <w:r>
              <w:rPr>
                <w:spacing w:val="-3"/>
                <w14:textOutline w14:w="3831" w14:cap="flat" w14:cmpd="sng">
                  <w14:solidFill>
                    <w14:srgbClr w14:val="000000"/>
                  </w14:solidFill>
                  <w14:prstDash w14:val="solid"/>
                  <w14:miter w14:val="0"/>
                </w14:textOutline>
              </w:rPr>
              <w:t>大型</w:t>
            </w:r>
          </w:p>
          <w:p>
            <w:pPr>
              <w:pStyle w:val="6"/>
              <w:spacing w:line="220" w:lineRule="auto"/>
              <w:ind w:left="277"/>
            </w:pPr>
            <w:r>
              <w:rPr>
                <w14:textOutline w14:w="3831" w14:cap="flat" w14:cmpd="sng">
                  <w14:solidFill>
                    <w14:srgbClr w14:val="000000"/>
                  </w14:solidFill>
                  <w14:prstDash w14:val="solid"/>
                  <w14:miter w14:val="0"/>
                </w14:textOutline>
              </w:rPr>
              <w:t>车</w:t>
            </w:r>
          </w:p>
        </w:tc>
        <w:tc>
          <w:tcPr>
            <w:tcW w:w="145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Align w:val="top"/>
          </w:tcPr>
          <w:p>
            <w:pPr>
              <w:rPr>
                <w:rFonts w:ascii="Arial"/>
                <w:sz w:val="21"/>
              </w:rPr>
            </w:pPr>
          </w:p>
        </w:tc>
        <w:tc>
          <w:tcPr>
            <w:tcW w:w="688" w:type="dxa"/>
            <w:vAlign w:val="top"/>
          </w:tcPr>
          <w:p>
            <w:pPr>
              <w:rPr>
                <w:rFonts w:ascii="Arial"/>
                <w:sz w:val="21"/>
              </w:rPr>
            </w:pPr>
          </w:p>
        </w:tc>
        <w:tc>
          <w:tcPr>
            <w:tcW w:w="707" w:type="dxa"/>
            <w:vAlign w:val="top"/>
          </w:tcPr>
          <w:p>
            <w:pPr>
              <w:rPr>
                <w:rFonts w:ascii="Arial"/>
                <w:sz w:val="21"/>
              </w:rPr>
            </w:pPr>
          </w:p>
        </w:tc>
        <w:tc>
          <w:tcPr>
            <w:tcW w:w="687" w:type="dxa"/>
            <w:vAlign w:val="top"/>
          </w:tcPr>
          <w:p>
            <w:pPr>
              <w:rPr>
                <w:rFonts w:ascii="Arial"/>
                <w:sz w:val="21"/>
              </w:rPr>
            </w:pPr>
          </w:p>
        </w:tc>
        <w:tc>
          <w:tcPr>
            <w:tcW w:w="707" w:type="dxa"/>
            <w:vAlign w:val="top"/>
          </w:tcPr>
          <w:p>
            <w:pPr>
              <w:rPr>
                <w:rFonts w:ascii="Arial"/>
                <w:sz w:val="21"/>
              </w:rPr>
            </w:pPr>
          </w:p>
        </w:tc>
        <w:tc>
          <w:tcPr>
            <w:tcW w:w="690" w:type="dxa"/>
            <w:vAlign w:val="top"/>
          </w:tcPr>
          <w:p>
            <w:pPr>
              <w:rPr>
                <w:rFonts w:ascii="Arial"/>
                <w:sz w:val="21"/>
              </w:rPr>
            </w:pPr>
          </w:p>
        </w:tc>
        <w:tc>
          <w:tcPr>
            <w:tcW w:w="650" w:type="dxa"/>
            <w:vAlign w:val="top"/>
          </w:tcPr>
          <w:p>
            <w:pPr>
              <w:rPr>
                <w:rFonts w:ascii="Arial"/>
                <w:sz w:val="21"/>
              </w:rPr>
            </w:pPr>
          </w:p>
        </w:tc>
        <w:tc>
          <w:tcPr>
            <w:tcW w:w="644" w:type="dxa"/>
            <w:vAlign w:val="top"/>
          </w:tcPr>
          <w:p>
            <w:pPr>
              <w:spacing w:before="206"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647" w:type="dxa"/>
            <w:vAlign w:val="top"/>
          </w:tcPr>
          <w:p>
            <w:pPr>
              <w:spacing w:before="209" w:line="184"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740" w:type="dxa"/>
            <w:vAlign w:val="top"/>
          </w:tcPr>
          <w:p>
            <w:pPr>
              <w:spacing w:before="206"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32" w:line="222"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504" w:type="dxa"/>
            <w:vMerge w:val="continue"/>
            <w:tcBorders>
              <w:top w:val="nil"/>
              <w:left w:val="single" w:color="000000" w:sz="10" w:space="0"/>
            </w:tcBorders>
            <w:textDirection w:val="tbRlV"/>
            <w:vAlign w:val="top"/>
          </w:tcPr>
          <w:p>
            <w:pPr>
              <w:rPr>
                <w:rFonts w:ascii="Arial"/>
                <w:sz w:val="21"/>
              </w:rPr>
            </w:pPr>
          </w:p>
        </w:tc>
        <w:tc>
          <w:tcPr>
            <w:tcW w:w="951" w:type="dxa"/>
            <w:vMerge w:val="continue"/>
            <w:tcBorders>
              <w:top w:val="nil"/>
            </w:tcBorders>
            <w:vAlign w:val="top"/>
          </w:tcPr>
          <w:p>
            <w:pPr>
              <w:rPr>
                <w:rFonts w:ascii="Arial"/>
                <w:sz w:val="21"/>
              </w:rPr>
            </w:pPr>
          </w:p>
        </w:tc>
        <w:tc>
          <w:tcPr>
            <w:tcW w:w="12792" w:type="dxa"/>
            <w:gridSpan w:val="14"/>
            <w:tcBorders>
              <w:right w:val="single" w:color="000000" w:sz="10" w:space="0"/>
            </w:tcBorders>
            <w:vAlign w:val="top"/>
          </w:tcPr>
          <w:p>
            <w:pPr>
              <w:pStyle w:val="6"/>
              <w:spacing w:before="79" w:line="182" w:lineRule="auto"/>
              <w:ind w:left="5322"/>
              <w:rPr>
                <w:rFonts w:ascii="Times New Roman" w:hAnsi="Times New Roman" w:eastAsia="Times New Roman" w:cs="Times New Roman"/>
              </w:rPr>
            </w:pPr>
            <w:r>
              <w:rPr>
                <w:rFonts w:ascii="Times New Roman" w:hAnsi="Times New Roman" w:eastAsia="Times New Roman" w:cs="Times New Roman"/>
                <w:spacing w:val="-2"/>
              </w:rPr>
              <w:t>Ld=58.2dB</w:t>
            </w:r>
            <w:r>
              <w:rPr>
                <w:rFonts w:ascii="Times New Roman" w:hAnsi="Times New Roman" w:eastAsia="Times New Roman" w:cs="Times New Roman"/>
                <w:spacing w:val="-17"/>
              </w:rPr>
              <w:t xml:space="preserve"> </w:t>
            </w:r>
            <w:r>
              <w:rPr>
                <w:spacing w:val="-2"/>
              </w:rPr>
              <w:t>，</w:t>
            </w:r>
            <w:r>
              <w:rPr>
                <w:rFonts w:ascii="Times New Roman" w:hAnsi="Times New Roman" w:eastAsia="Times New Roman" w:cs="Times New Roman"/>
                <w:spacing w:val="-2"/>
              </w:rPr>
              <w:t>Ln=51.2dB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restart"/>
            <w:tcBorders>
              <w:left w:val="single" w:color="000000" w:sz="10" w:space="0"/>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0" w:line="187" w:lineRule="auto"/>
              <w:ind w:left="19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951"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9" w:line="237" w:lineRule="auto"/>
              <w:ind w:left="266"/>
              <w:rPr>
                <w:rFonts w:ascii="Times New Roman" w:hAnsi="Times New Roman" w:eastAsia="Times New Roman" w:cs="Times New Roman"/>
              </w:rPr>
            </w:pPr>
            <w:r>
              <w:rPr>
                <w:spacing w:val="-5"/>
              </w:rPr>
              <w:t>△</w:t>
            </w:r>
            <w:r>
              <w:rPr>
                <w:rFonts w:ascii="Times New Roman" w:hAnsi="Times New Roman" w:eastAsia="Times New Roman" w:cs="Times New Roman"/>
                <w:spacing w:val="-5"/>
              </w:rPr>
              <w:t>8#</w:t>
            </w:r>
          </w:p>
          <w:p>
            <w:pPr>
              <w:pStyle w:val="6"/>
              <w:spacing w:line="231" w:lineRule="auto"/>
              <w:ind w:left="154" w:right="166" w:firstLine="112"/>
            </w:pPr>
            <w:r>
              <w:rPr>
                <w:spacing w:val="-7"/>
              </w:rPr>
              <w:t>蔡处</w:t>
            </w:r>
            <w:r>
              <w:t xml:space="preserve">  </w:t>
            </w:r>
            <w:r>
              <w:rPr>
                <w:spacing w:val="-2"/>
              </w:rPr>
              <w:t>第一排</w:t>
            </w:r>
          </w:p>
          <w:p>
            <w:pPr>
              <w:spacing w:before="44"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1905" w:type="dxa"/>
            <w:vMerge w:val="restart"/>
            <w:tcBorders>
              <w:bottom w:val="nil"/>
            </w:tcBorders>
            <w:vAlign w:val="top"/>
          </w:tcPr>
          <w:p>
            <w:pPr>
              <w:spacing w:line="313"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9"/>
              </w:rPr>
              <w:t xml:space="preserve"> </w:t>
            </w:r>
            <w:r>
              <w:rPr>
                <w:rFonts w:ascii="Times New Roman" w:hAnsi="Times New Roman" w:eastAsia="Times New Roman" w:cs="Times New Roman"/>
                <w:spacing w:val="-3"/>
              </w:rPr>
              <w:t xml:space="preserve">01 </w:t>
            </w:r>
            <w:r>
              <w:rPr>
                <w:spacing w:val="-3"/>
              </w:rPr>
              <w:t>月</w:t>
            </w:r>
            <w:r>
              <w:rPr>
                <w:spacing w:val="-53"/>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59"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12:10~12:30</w:t>
            </w:r>
          </w:p>
        </w:tc>
        <w:tc>
          <w:tcPr>
            <w:tcW w:w="1200" w:type="dxa"/>
            <w:vMerge w:val="restart"/>
            <w:tcBorders>
              <w:bottom w:val="nil"/>
            </w:tcBorders>
            <w:vAlign w:val="top"/>
          </w:tcPr>
          <w:p>
            <w:pPr>
              <w:pStyle w:val="6"/>
              <w:spacing w:before="246"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59"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688" w:type="dxa"/>
            <w:vMerge w:val="restart"/>
            <w:tcBorders>
              <w:bottom w:val="nil"/>
            </w:tcBorders>
            <w:vAlign w:val="top"/>
          </w:tcPr>
          <w:p>
            <w:pPr>
              <w:spacing w:line="359"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68.2</w:t>
            </w:r>
          </w:p>
        </w:tc>
        <w:tc>
          <w:tcPr>
            <w:tcW w:w="707" w:type="dxa"/>
            <w:vMerge w:val="restart"/>
            <w:tcBorders>
              <w:bottom w:val="nil"/>
            </w:tcBorders>
            <w:vAlign w:val="top"/>
          </w:tcPr>
          <w:p>
            <w:pPr>
              <w:spacing w:line="359"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60.8</w:t>
            </w:r>
          </w:p>
        </w:tc>
        <w:tc>
          <w:tcPr>
            <w:tcW w:w="687" w:type="dxa"/>
            <w:vMerge w:val="restart"/>
            <w:tcBorders>
              <w:bottom w:val="nil"/>
            </w:tcBorders>
            <w:vAlign w:val="top"/>
          </w:tcPr>
          <w:p>
            <w:pPr>
              <w:spacing w:line="359"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707" w:type="dxa"/>
            <w:vMerge w:val="restart"/>
            <w:tcBorders>
              <w:bottom w:val="nil"/>
            </w:tcBorders>
            <w:vAlign w:val="top"/>
          </w:tcPr>
          <w:p>
            <w:pPr>
              <w:spacing w:line="359"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84.4</w:t>
            </w:r>
          </w:p>
        </w:tc>
        <w:tc>
          <w:tcPr>
            <w:tcW w:w="690" w:type="dxa"/>
            <w:vMerge w:val="restart"/>
            <w:tcBorders>
              <w:bottom w:val="nil"/>
            </w:tcBorders>
            <w:vAlign w:val="top"/>
          </w:tcPr>
          <w:p>
            <w:pPr>
              <w:spacing w:line="359" w:lineRule="auto"/>
              <w:rPr>
                <w:rFonts w:ascii="Arial"/>
                <w:sz w:val="21"/>
              </w:rPr>
            </w:pPr>
          </w:p>
          <w:p>
            <w:pPr>
              <w:spacing w:before="61"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43.2</w:t>
            </w:r>
          </w:p>
        </w:tc>
        <w:tc>
          <w:tcPr>
            <w:tcW w:w="650" w:type="dxa"/>
            <w:vMerge w:val="restart"/>
            <w:tcBorders>
              <w:bottom w:val="nil"/>
            </w:tcBorders>
            <w:vAlign w:val="top"/>
          </w:tcPr>
          <w:p>
            <w:pPr>
              <w:spacing w:line="359" w:lineRule="auto"/>
              <w:rPr>
                <w:rFonts w:ascii="Arial"/>
                <w:sz w:val="21"/>
              </w:rPr>
            </w:pPr>
          </w:p>
          <w:p>
            <w:pPr>
              <w:spacing w:before="61"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44" w:type="dxa"/>
            <w:vAlign w:val="top"/>
          </w:tcPr>
          <w:p>
            <w:pPr>
              <w:spacing w:before="98"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148</w:t>
            </w:r>
          </w:p>
        </w:tc>
        <w:tc>
          <w:tcPr>
            <w:tcW w:w="647" w:type="dxa"/>
            <w:vAlign w:val="top"/>
          </w:tcPr>
          <w:p>
            <w:pPr>
              <w:spacing w:before="101" w:line="184"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740" w:type="dxa"/>
            <w:vAlign w:val="top"/>
          </w:tcPr>
          <w:p>
            <w:pPr>
              <w:spacing w:before="98" w:line="187"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59" w:type="dxa"/>
            <w:tcBorders>
              <w:right w:val="single" w:color="000000" w:sz="10" w:space="0"/>
            </w:tcBorders>
            <w:vAlign w:val="top"/>
          </w:tcPr>
          <w:p>
            <w:pPr>
              <w:pStyle w:val="6"/>
              <w:spacing w:before="60"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60"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647" w:type="dxa"/>
            <w:vAlign w:val="top"/>
          </w:tcPr>
          <w:p>
            <w:pPr>
              <w:spacing w:before="260"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260"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62" w:line="250"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16"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9"/>
              </w:rPr>
              <w:t xml:space="preserve"> </w:t>
            </w:r>
            <w:r>
              <w:rPr>
                <w:rFonts w:ascii="Times New Roman" w:hAnsi="Times New Roman" w:eastAsia="Times New Roman" w:cs="Times New Roman"/>
                <w:spacing w:val="-3"/>
              </w:rPr>
              <w:t xml:space="preserve">01 </w:t>
            </w:r>
            <w:r>
              <w:rPr>
                <w:spacing w:val="-3"/>
              </w:rPr>
              <w:t>月</w:t>
            </w:r>
            <w:r>
              <w:rPr>
                <w:spacing w:val="-53"/>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62"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13:10~13:30</w:t>
            </w:r>
          </w:p>
        </w:tc>
        <w:tc>
          <w:tcPr>
            <w:tcW w:w="1200" w:type="dxa"/>
            <w:vMerge w:val="restart"/>
            <w:tcBorders>
              <w:bottom w:val="nil"/>
            </w:tcBorders>
            <w:vAlign w:val="top"/>
          </w:tcPr>
          <w:p>
            <w:pPr>
              <w:pStyle w:val="6"/>
              <w:spacing w:before="252"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62"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688" w:type="dxa"/>
            <w:vMerge w:val="restart"/>
            <w:tcBorders>
              <w:bottom w:val="nil"/>
            </w:tcBorders>
            <w:vAlign w:val="top"/>
          </w:tcPr>
          <w:p>
            <w:pPr>
              <w:spacing w:line="362"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68.2</w:t>
            </w:r>
          </w:p>
        </w:tc>
        <w:tc>
          <w:tcPr>
            <w:tcW w:w="707" w:type="dxa"/>
            <w:vMerge w:val="restart"/>
            <w:tcBorders>
              <w:bottom w:val="nil"/>
            </w:tcBorders>
            <w:vAlign w:val="top"/>
          </w:tcPr>
          <w:p>
            <w:pPr>
              <w:spacing w:line="362"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61.0</w:t>
            </w:r>
          </w:p>
        </w:tc>
        <w:tc>
          <w:tcPr>
            <w:tcW w:w="687" w:type="dxa"/>
            <w:vMerge w:val="restart"/>
            <w:tcBorders>
              <w:bottom w:val="nil"/>
            </w:tcBorders>
            <w:vAlign w:val="top"/>
          </w:tcPr>
          <w:p>
            <w:pPr>
              <w:spacing w:line="362"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w:t>
            </w:r>
          </w:p>
        </w:tc>
        <w:tc>
          <w:tcPr>
            <w:tcW w:w="707" w:type="dxa"/>
            <w:vMerge w:val="restart"/>
            <w:tcBorders>
              <w:bottom w:val="nil"/>
            </w:tcBorders>
            <w:vAlign w:val="top"/>
          </w:tcPr>
          <w:p>
            <w:pPr>
              <w:spacing w:line="362"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87.8</w:t>
            </w:r>
          </w:p>
        </w:tc>
        <w:tc>
          <w:tcPr>
            <w:tcW w:w="690" w:type="dxa"/>
            <w:vMerge w:val="restart"/>
            <w:tcBorders>
              <w:bottom w:val="nil"/>
            </w:tcBorders>
            <w:vAlign w:val="top"/>
          </w:tcPr>
          <w:p>
            <w:pPr>
              <w:spacing w:line="362" w:lineRule="auto"/>
              <w:rPr>
                <w:rFonts w:ascii="Arial"/>
                <w:sz w:val="21"/>
              </w:rPr>
            </w:pPr>
          </w:p>
          <w:p>
            <w:pPr>
              <w:spacing w:before="61"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41.5</w:t>
            </w:r>
          </w:p>
        </w:tc>
        <w:tc>
          <w:tcPr>
            <w:tcW w:w="650" w:type="dxa"/>
            <w:vMerge w:val="restart"/>
            <w:tcBorders>
              <w:bottom w:val="nil"/>
            </w:tcBorders>
            <w:vAlign w:val="top"/>
          </w:tcPr>
          <w:p>
            <w:pPr>
              <w:spacing w:line="362" w:lineRule="auto"/>
              <w:rPr>
                <w:rFonts w:ascii="Arial"/>
                <w:sz w:val="21"/>
              </w:rPr>
            </w:pPr>
          </w:p>
          <w:p>
            <w:pPr>
              <w:spacing w:before="61"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w:t>
            </w:r>
          </w:p>
        </w:tc>
        <w:tc>
          <w:tcPr>
            <w:tcW w:w="644" w:type="dxa"/>
            <w:vAlign w:val="top"/>
          </w:tcPr>
          <w:p>
            <w:pPr>
              <w:spacing w:before="103"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201</w:t>
            </w:r>
          </w:p>
        </w:tc>
        <w:tc>
          <w:tcPr>
            <w:tcW w:w="647" w:type="dxa"/>
            <w:vAlign w:val="top"/>
          </w:tcPr>
          <w:p>
            <w:pPr>
              <w:spacing w:before="103"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740" w:type="dxa"/>
            <w:vAlign w:val="top"/>
          </w:tcPr>
          <w:p>
            <w:pPr>
              <w:spacing w:before="103" w:line="187" w:lineRule="auto"/>
              <w:ind w:left="297"/>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1459" w:type="dxa"/>
            <w:tcBorders>
              <w:right w:val="single" w:color="000000" w:sz="10" w:space="0"/>
            </w:tcBorders>
            <w:vAlign w:val="top"/>
          </w:tcPr>
          <w:p>
            <w:pPr>
              <w:pStyle w:val="6"/>
              <w:spacing w:before="65" w:line="218"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62"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647" w:type="dxa"/>
            <w:vAlign w:val="top"/>
          </w:tcPr>
          <w:p>
            <w:pPr>
              <w:spacing w:before="263"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vAlign w:val="top"/>
          </w:tcPr>
          <w:p>
            <w:pPr>
              <w:spacing w:before="263"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59" w:type="dxa"/>
            <w:tcBorders>
              <w:right w:val="single" w:color="000000" w:sz="10" w:space="0"/>
            </w:tcBorders>
            <w:vAlign w:val="top"/>
          </w:tcPr>
          <w:p>
            <w:pPr>
              <w:pStyle w:val="6"/>
              <w:spacing w:before="66" w:line="248"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19"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9"/>
              </w:rPr>
              <w:t xml:space="preserve"> </w:t>
            </w:r>
            <w:r>
              <w:rPr>
                <w:rFonts w:ascii="Times New Roman" w:hAnsi="Times New Roman" w:eastAsia="Times New Roman" w:cs="Times New Roman"/>
                <w:spacing w:val="-3"/>
              </w:rPr>
              <w:t xml:space="preserve">01 </w:t>
            </w:r>
            <w:r>
              <w:rPr>
                <w:spacing w:val="-3"/>
              </w:rPr>
              <w:t>月</w:t>
            </w:r>
            <w:r>
              <w:rPr>
                <w:spacing w:val="-53"/>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65"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14:10~14:30</w:t>
            </w:r>
          </w:p>
        </w:tc>
        <w:tc>
          <w:tcPr>
            <w:tcW w:w="1200" w:type="dxa"/>
            <w:vMerge w:val="restart"/>
            <w:tcBorders>
              <w:bottom w:val="nil"/>
            </w:tcBorders>
            <w:vAlign w:val="top"/>
          </w:tcPr>
          <w:p>
            <w:pPr>
              <w:pStyle w:val="6"/>
              <w:spacing w:before="255"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65"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66.9</w:t>
            </w:r>
          </w:p>
        </w:tc>
        <w:tc>
          <w:tcPr>
            <w:tcW w:w="688" w:type="dxa"/>
            <w:vMerge w:val="restart"/>
            <w:tcBorders>
              <w:bottom w:val="nil"/>
            </w:tcBorders>
            <w:vAlign w:val="top"/>
          </w:tcPr>
          <w:p>
            <w:pPr>
              <w:spacing w:line="365"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69.8</w:t>
            </w:r>
          </w:p>
        </w:tc>
        <w:tc>
          <w:tcPr>
            <w:tcW w:w="707" w:type="dxa"/>
            <w:vMerge w:val="restart"/>
            <w:tcBorders>
              <w:bottom w:val="nil"/>
            </w:tcBorders>
            <w:vAlign w:val="top"/>
          </w:tcPr>
          <w:p>
            <w:pPr>
              <w:spacing w:line="365"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62.0</w:t>
            </w:r>
          </w:p>
        </w:tc>
        <w:tc>
          <w:tcPr>
            <w:tcW w:w="687" w:type="dxa"/>
            <w:vMerge w:val="restart"/>
            <w:tcBorders>
              <w:bottom w:val="nil"/>
            </w:tcBorders>
            <w:vAlign w:val="top"/>
          </w:tcPr>
          <w:p>
            <w:pPr>
              <w:spacing w:line="365"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55.0</w:t>
            </w:r>
          </w:p>
        </w:tc>
        <w:tc>
          <w:tcPr>
            <w:tcW w:w="707" w:type="dxa"/>
            <w:vMerge w:val="restart"/>
            <w:tcBorders>
              <w:bottom w:val="nil"/>
            </w:tcBorders>
            <w:vAlign w:val="top"/>
          </w:tcPr>
          <w:p>
            <w:pPr>
              <w:spacing w:line="365"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89.2</w:t>
            </w:r>
          </w:p>
        </w:tc>
        <w:tc>
          <w:tcPr>
            <w:tcW w:w="690" w:type="dxa"/>
            <w:vMerge w:val="restart"/>
            <w:tcBorders>
              <w:bottom w:val="nil"/>
            </w:tcBorders>
            <w:vAlign w:val="top"/>
          </w:tcPr>
          <w:p>
            <w:pPr>
              <w:spacing w:line="365" w:lineRule="auto"/>
              <w:rPr>
                <w:rFonts w:ascii="Arial"/>
                <w:sz w:val="21"/>
              </w:rPr>
            </w:pPr>
          </w:p>
          <w:p>
            <w:pPr>
              <w:spacing w:before="61"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46.0</w:t>
            </w:r>
          </w:p>
        </w:tc>
        <w:tc>
          <w:tcPr>
            <w:tcW w:w="650" w:type="dxa"/>
            <w:vMerge w:val="restart"/>
            <w:tcBorders>
              <w:bottom w:val="nil"/>
            </w:tcBorders>
            <w:vAlign w:val="top"/>
          </w:tcPr>
          <w:p>
            <w:pPr>
              <w:spacing w:line="365" w:lineRule="auto"/>
              <w:rPr>
                <w:rFonts w:ascii="Arial"/>
                <w:sz w:val="21"/>
              </w:rPr>
            </w:pPr>
          </w:p>
          <w:p>
            <w:pPr>
              <w:spacing w:before="61"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w:t>
            </w:r>
          </w:p>
        </w:tc>
        <w:tc>
          <w:tcPr>
            <w:tcW w:w="644" w:type="dxa"/>
            <w:vAlign w:val="top"/>
          </w:tcPr>
          <w:p>
            <w:pPr>
              <w:spacing w:before="106"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238</w:t>
            </w:r>
          </w:p>
        </w:tc>
        <w:tc>
          <w:tcPr>
            <w:tcW w:w="647" w:type="dxa"/>
            <w:vAlign w:val="top"/>
          </w:tcPr>
          <w:p>
            <w:pPr>
              <w:spacing w:before="106"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740" w:type="dxa"/>
            <w:vAlign w:val="top"/>
          </w:tcPr>
          <w:p>
            <w:pPr>
              <w:spacing w:before="106"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59" w:type="dxa"/>
            <w:tcBorders>
              <w:right w:val="single" w:color="000000" w:sz="10" w:space="0"/>
            </w:tcBorders>
            <w:vAlign w:val="top"/>
          </w:tcPr>
          <w:p>
            <w:pPr>
              <w:pStyle w:val="6"/>
              <w:spacing w:before="68" w:line="217"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64"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86</w:t>
            </w:r>
          </w:p>
        </w:tc>
        <w:tc>
          <w:tcPr>
            <w:tcW w:w="647" w:type="dxa"/>
            <w:vAlign w:val="top"/>
          </w:tcPr>
          <w:p>
            <w:pPr>
              <w:spacing w:before="264"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vAlign w:val="top"/>
          </w:tcPr>
          <w:p>
            <w:pPr>
              <w:spacing w:before="267" w:line="184" w:lineRule="auto"/>
              <w:ind w:left="33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59" w:type="dxa"/>
            <w:tcBorders>
              <w:right w:val="single" w:color="000000" w:sz="10" w:space="0"/>
            </w:tcBorders>
            <w:vAlign w:val="top"/>
          </w:tcPr>
          <w:p>
            <w:pPr>
              <w:pStyle w:val="6"/>
              <w:spacing w:before="66" w:line="248"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20"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9"/>
              </w:rPr>
              <w:t xml:space="preserve"> </w:t>
            </w:r>
            <w:r>
              <w:rPr>
                <w:rFonts w:ascii="Times New Roman" w:hAnsi="Times New Roman" w:eastAsia="Times New Roman" w:cs="Times New Roman"/>
                <w:spacing w:val="-3"/>
              </w:rPr>
              <w:t xml:space="preserve">01 </w:t>
            </w:r>
            <w:r>
              <w:rPr>
                <w:spacing w:val="-3"/>
              </w:rPr>
              <w:t>月</w:t>
            </w:r>
            <w:r>
              <w:rPr>
                <w:spacing w:val="-53"/>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66"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15:10~15:30</w:t>
            </w:r>
          </w:p>
        </w:tc>
        <w:tc>
          <w:tcPr>
            <w:tcW w:w="1200" w:type="dxa"/>
            <w:vMerge w:val="restart"/>
            <w:tcBorders>
              <w:bottom w:val="nil"/>
            </w:tcBorders>
            <w:vAlign w:val="top"/>
          </w:tcPr>
          <w:p>
            <w:pPr>
              <w:pStyle w:val="6"/>
              <w:spacing w:before="256"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66"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69.5</w:t>
            </w:r>
          </w:p>
        </w:tc>
        <w:tc>
          <w:tcPr>
            <w:tcW w:w="688" w:type="dxa"/>
            <w:vMerge w:val="restart"/>
            <w:tcBorders>
              <w:bottom w:val="nil"/>
            </w:tcBorders>
            <w:vAlign w:val="top"/>
          </w:tcPr>
          <w:p>
            <w:pPr>
              <w:spacing w:line="366"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69.4</w:t>
            </w:r>
          </w:p>
        </w:tc>
        <w:tc>
          <w:tcPr>
            <w:tcW w:w="707" w:type="dxa"/>
            <w:vMerge w:val="restart"/>
            <w:tcBorders>
              <w:bottom w:val="nil"/>
            </w:tcBorders>
            <w:vAlign w:val="top"/>
          </w:tcPr>
          <w:p>
            <w:pPr>
              <w:spacing w:line="366"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61.8</w:t>
            </w:r>
          </w:p>
        </w:tc>
        <w:tc>
          <w:tcPr>
            <w:tcW w:w="687" w:type="dxa"/>
            <w:vMerge w:val="restart"/>
            <w:tcBorders>
              <w:bottom w:val="nil"/>
            </w:tcBorders>
            <w:vAlign w:val="top"/>
          </w:tcPr>
          <w:p>
            <w:pPr>
              <w:spacing w:line="366"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w:t>
            </w:r>
          </w:p>
        </w:tc>
        <w:tc>
          <w:tcPr>
            <w:tcW w:w="707" w:type="dxa"/>
            <w:vMerge w:val="restart"/>
            <w:tcBorders>
              <w:bottom w:val="nil"/>
            </w:tcBorders>
            <w:vAlign w:val="top"/>
          </w:tcPr>
          <w:p>
            <w:pPr>
              <w:spacing w:line="366" w:lineRule="auto"/>
              <w:rPr>
                <w:rFonts w:ascii="Arial"/>
                <w:sz w:val="21"/>
              </w:rPr>
            </w:pPr>
          </w:p>
          <w:p>
            <w:pPr>
              <w:spacing w:before="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98.3</w:t>
            </w:r>
          </w:p>
        </w:tc>
        <w:tc>
          <w:tcPr>
            <w:tcW w:w="690" w:type="dxa"/>
            <w:vMerge w:val="restart"/>
            <w:tcBorders>
              <w:bottom w:val="nil"/>
            </w:tcBorders>
            <w:vAlign w:val="top"/>
          </w:tcPr>
          <w:p>
            <w:pPr>
              <w:spacing w:line="366" w:lineRule="auto"/>
              <w:rPr>
                <w:rFonts w:ascii="Arial"/>
                <w:sz w:val="21"/>
              </w:rPr>
            </w:pPr>
          </w:p>
          <w:p>
            <w:pPr>
              <w:spacing w:before="61"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46.2</w:t>
            </w:r>
          </w:p>
        </w:tc>
        <w:tc>
          <w:tcPr>
            <w:tcW w:w="650" w:type="dxa"/>
            <w:vMerge w:val="restart"/>
            <w:tcBorders>
              <w:bottom w:val="nil"/>
            </w:tcBorders>
            <w:vAlign w:val="top"/>
          </w:tcPr>
          <w:p>
            <w:pPr>
              <w:spacing w:line="366" w:lineRule="auto"/>
              <w:rPr>
                <w:rFonts w:ascii="Arial"/>
                <w:sz w:val="21"/>
              </w:rPr>
            </w:pPr>
          </w:p>
          <w:p>
            <w:pPr>
              <w:spacing w:before="61"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644" w:type="dxa"/>
            <w:vAlign w:val="top"/>
          </w:tcPr>
          <w:p>
            <w:pPr>
              <w:spacing w:before="107"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205</w:t>
            </w:r>
          </w:p>
        </w:tc>
        <w:tc>
          <w:tcPr>
            <w:tcW w:w="647" w:type="dxa"/>
            <w:vAlign w:val="top"/>
          </w:tcPr>
          <w:p>
            <w:pPr>
              <w:spacing w:before="107"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740" w:type="dxa"/>
            <w:vAlign w:val="top"/>
          </w:tcPr>
          <w:p>
            <w:pPr>
              <w:spacing w:before="107"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59" w:type="dxa"/>
            <w:tcBorders>
              <w:right w:val="single" w:color="000000" w:sz="10" w:space="0"/>
            </w:tcBorders>
            <w:vAlign w:val="top"/>
          </w:tcPr>
          <w:p>
            <w:pPr>
              <w:pStyle w:val="6"/>
              <w:spacing w:before="69" w:line="214"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66"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647" w:type="dxa"/>
            <w:vAlign w:val="top"/>
          </w:tcPr>
          <w:p>
            <w:pPr>
              <w:spacing w:before="267"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26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69" w:line="247"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22" w:lineRule="auto"/>
              <w:rPr>
                <w:rFonts w:ascii="Arial"/>
                <w:sz w:val="21"/>
              </w:rPr>
            </w:pPr>
          </w:p>
          <w:p>
            <w:pPr>
              <w:pStyle w:val="6"/>
              <w:spacing w:before="69" w:line="221" w:lineRule="auto"/>
              <w:ind w:left="99"/>
            </w:pPr>
            <w:r>
              <w:rPr>
                <w:rFonts w:ascii="Times New Roman" w:hAnsi="Times New Roman" w:eastAsia="Times New Roman" w:cs="Times New Roman"/>
                <w:spacing w:val="-3"/>
              </w:rPr>
              <w:t xml:space="preserve">2024 </w:t>
            </w:r>
            <w:r>
              <w:rPr>
                <w:spacing w:val="-3"/>
              </w:rPr>
              <w:t>年</w:t>
            </w:r>
            <w:r>
              <w:rPr>
                <w:spacing w:val="-49"/>
              </w:rPr>
              <w:t xml:space="preserve"> </w:t>
            </w:r>
            <w:r>
              <w:rPr>
                <w:rFonts w:ascii="Times New Roman" w:hAnsi="Times New Roman" w:eastAsia="Times New Roman" w:cs="Times New Roman"/>
                <w:spacing w:val="-3"/>
              </w:rPr>
              <w:t xml:space="preserve">01 </w:t>
            </w:r>
            <w:r>
              <w:rPr>
                <w:spacing w:val="-3"/>
              </w:rPr>
              <w:t>月</w:t>
            </w:r>
            <w:r>
              <w:rPr>
                <w:spacing w:val="-53"/>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71"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16:10~16:30</w:t>
            </w:r>
          </w:p>
        </w:tc>
        <w:tc>
          <w:tcPr>
            <w:tcW w:w="1200" w:type="dxa"/>
            <w:vMerge w:val="restart"/>
            <w:tcBorders>
              <w:bottom w:val="nil"/>
            </w:tcBorders>
            <w:vAlign w:val="top"/>
          </w:tcPr>
          <w:p>
            <w:pPr>
              <w:pStyle w:val="6"/>
              <w:spacing w:before="258"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71"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66.9</w:t>
            </w:r>
          </w:p>
        </w:tc>
        <w:tc>
          <w:tcPr>
            <w:tcW w:w="688" w:type="dxa"/>
            <w:vMerge w:val="restart"/>
            <w:tcBorders>
              <w:bottom w:val="nil"/>
            </w:tcBorders>
            <w:vAlign w:val="top"/>
          </w:tcPr>
          <w:p>
            <w:pPr>
              <w:spacing w:line="371"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69.8</w:t>
            </w:r>
          </w:p>
        </w:tc>
        <w:tc>
          <w:tcPr>
            <w:tcW w:w="707" w:type="dxa"/>
            <w:vMerge w:val="restart"/>
            <w:tcBorders>
              <w:bottom w:val="nil"/>
            </w:tcBorders>
            <w:vAlign w:val="top"/>
          </w:tcPr>
          <w:p>
            <w:pPr>
              <w:spacing w:line="371"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63.2</w:t>
            </w:r>
          </w:p>
        </w:tc>
        <w:tc>
          <w:tcPr>
            <w:tcW w:w="687" w:type="dxa"/>
            <w:vMerge w:val="restart"/>
            <w:tcBorders>
              <w:bottom w:val="nil"/>
            </w:tcBorders>
            <w:vAlign w:val="top"/>
          </w:tcPr>
          <w:p>
            <w:pPr>
              <w:spacing w:line="371"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57.2</w:t>
            </w:r>
          </w:p>
        </w:tc>
        <w:tc>
          <w:tcPr>
            <w:tcW w:w="707" w:type="dxa"/>
            <w:vMerge w:val="restart"/>
            <w:tcBorders>
              <w:bottom w:val="nil"/>
            </w:tcBorders>
            <w:vAlign w:val="top"/>
          </w:tcPr>
          <w:p>
            <w:pPr>
              <w:spacing w:line="371"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83.7</w:t>
            </w:r>
          </w:p>
        </w:tc>
        <w:tc>
          <w:tcPr>
            <w:tcW w:w="690" w:type="dxa"/>
            <w:vMerge w:val="restart"/>
            <w:tcBorders>
              <w:bottom w:val="nil"/>
            </w:tcBorders>
            <w:vAlign w:val="top"/>
          </w:tcPr>
          <w:p>
            <w:pPr>
              <w:spacing w:line="371" w:lineRule="auto"/>
              <w:rPr>
                <w:rFonts w:ascii="Arial"/>
                <w:sz w:val="21"/>
              </w:rPr>
            </w:pPr>
          </w:p>
          <w:p>
            <w:pPr>
              <w:spacing w:before="61" w:line="187" w:lineRule="auto"/>
              <w:ind w:left="1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50.7</w:t>
            </w:r>
          </w:p>
        </w:tc>
        <w:tc>
          <w:tcPr>
            <w:tcW w:w="650" w:type="dxa"/>
            <w:vMerge w:val="restart"/>
            <w:tcBorders>
              <w:bottom w:val="nil"/>
            </w:tcBorders>
            <w:vAlign w:val="top"/>
          </w:tcPr>
          <w:p>
            <w:pPr>
              <w:spacing w:line="371" w:lineRule="auto"/>
              <w:rPr>
                <w:rFonts w:ascii="Arial"/>
                <w:sz w:val="21"/>
              </w:rPr>
            </w:pPr>
          </w:p>
          <w:p>
            <w:pPr>
              <w:spacing w:before="61"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w:t>
            </w:r>
          </w:p>
        </w:tc>
        <w:tc>
          <w:tcPr>
            <w:tcW w:w="644" w:type="dxa"/>
            <w:vAlign w:val="top"/>
          </w:tcPr>
          <w:p>
            <w:pPr>
              <w:spacing w:before="110"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175</w:t>
            </w:r>
          </w:p>
        </w:tc>
        <w:tc>
          <w:tcPr>
            <w:tcW w:w="647" w:type="dxa"/>
            <w:vAlign w:val="top"/>
          </w:tcPr>
          <w:p>
            <w:pPr>
              <w:spacing w:before="110"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740" w:type="dxa"/>
            <w:vAlign w:val="top"/>
          </w:tcPr>
          <w:p>
            <w:pPr>
              <w:spacing w:before="110"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71" w:line="212"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69"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647" w:type="dxa"/>
            <w:vAlign w:val="top"/>
          </w:tcPr>
          <w:p>
            <w:pPr>
              <w:spacing w:before="269"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vAlign w:val="top"/>
          </w:tcPr>
          <w:p>
            <w:pPr>
              <w:spacing w:before="269"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72" w:line="246"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27"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9"/>
              </w:rPr>
              <w:t xml:space="preserve"> </w:t>
            </w:r>
            <w:r>
              <w:rPr>
                <w:rFonts w:ascii="Times New Roman" w:hAnsi="Times New Roman" w:eastAsia="Times New Roman" w:cs="Times New Roman"/>
                <w:spacing w:val="-3"/>
              </w:rPr>
              <w:t xml:space="preserve">01 </w:t>
            </w:r>
            <w:r>
              <w:rPr>
                <w:spacing w:val="-3"/>
              </w:rPr>
              <w:t>月</w:t>
            </w:r>
            <w:r>
              <w:rPr>
                <w:spacing w:val="-53"/>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74"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17:10~17:30</w:t>
            </w:r>
          </w:p>
        </w:tc>
        <w:tc>
          <w:tcPr>
            <w:tcW w:w="1200" w:type="dxa"/>
            <w:vMerge w:val="restart"/>
            <w:tcBorders>
              <w:bottom w:val="nil"/>
            </w:tcBorders>
            <w:vAlign w:val="top"/>
          </w:tcPr>
          <w:p>
            <w:pPr>
              <w:pStyle w:val="6"/>
              <w:spacing w:before="261"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74"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688" w:type="dxa"/>
            <w:vMerge w:val="restart"/>
            <w:tcBorders>
              <w:bottom w:val="nil"/>
            </w:tcBorders>
            <w:vAlign w:val="top"/>
          </w:tcPr>
          <w:p>
            <w:pPr>
              <w:spacing w:line="374"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68.2</w:t>
            </w:r>
          </w:p>
        </w:tc>
        <w:tc>
          <w:tcPr>
            <w:tcW w:w="707" w:type="dxa"/>
            <w:vMerge w:val="restart"/>
            <w:tcBorders>
              <w:bottom w:val="nil"/>
            </w:tcBorders>
            <w:vAlign w:val="top"/>
          </w:tcPr>
          <w:p>
            <w:pPr>
              <w:spacing w:line="374"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61.4</w:t>
            </w:r>
          </w:p>
        </w:tc>
        <w:tc>
          <w:tcPr>
            <w:tcW w:w="687" w:type="dxa"/>
            <w:vMerge w:val="restart"/>
            <w:tcBorders>
              <w:bottom w:val="nil"/>
            </w:tcBorders>
            <w:vAlign w:val="top"/>
          </w:tcPr>
          <w:p>
            <w:pPr>
              <w:spacing w:line="374"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54.8</w:t>
            </w:r>
          </w:p>
        </w:tc>
        <w:tc>
          <w:tcPr>
            <w:tcW w:w="707" w:type="dxa"/>
            <w:vMerge w:val="restart"/>
            <w:tcBorders>
              <w:bottom w:val="nil"/>
            </w:tcBorders>
            <w:vAlign w:val="top"/>
          </w:tcPr>
          <w:p>
            <w:pPr>
              <w:spacing w:line="374"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89.8</w:t>
            </w:r>
          </w:p>
        </w:tc>
        <w:tc>
          <w:tcPr>
            <w:tcW w:w="690" w:type="dxa"/>
            <w:vMerge w:val="restart"/>
            <w:tcBorders>
              <w:bottom w:val="nil"/>
            </w:tcBorders>
            <w:vAlign w:val="top"/>
          </w:tcPr>
          <w:p>
            <w:pPr>
              <w:spacing w:line="374" w:lineRule="auto"/>
              <w:rPr>
                <w:rFonts w:ascii="Arial"/>
                <w:sz w:val="21"/>
              </w:rPr>
            </w:pPr>
          </w:p>
          <w:p>
            <w:pPr>
              <w:spacing w:before="6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650" w:type="dxa"/>
            <w:vMerge w:val="restart"/>
            <w:tcBorders>
              <w:bottom w:val="nil"/>
            </w:tcBorders>
            <w:vAlign w:val="top"/>
          </w:tcPr>
          <w:p>
            <w:pPr>
              <w:spacing w:line="374" w:lineRule="auto"/>
              <w:rPr>
                <w:rFonts w:ascii="Arial"/>
                <w:sz w:val="21"/>
              </w:rPr>
            </w:pPr>
          </w:p>
          <w:p>
            <w:pPr>
              <w:spacing w:before="60"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w:t>
            </w:r>
          </w:p>
        </w:tc>
        <w:tc>
          <w:tcPr>
            <w:tcW w:w="644" w:type="dxa"/>
            <w:vAlign w:val="top"/>
          </w:tcPr>
          <w:p>
            <w:pPr>
              <w:spacing w:before="11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196</w:t>
            </w:r>
          </w:p>
        </w:tc>
        <w:tc>
          <w:tcPr>
            <w:tcW w:w="647" w:type="dxa"/>
            <w:vAlign w:val="top"/>
          </w:tcPr>
          <w:p>
            <w:pPr>
              <w:spacing w:before="112"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740" w:type="dxa"/>
            <w:vAlign w:val="top"/>
          </w:tcPr>
          <w:p>
            <w:pPr>
              <w:spacing w:before="113"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74" w:line="210"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7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647" w:type="dxa"/>
            <w:vAlign w:val="top"/>
          </w:tcPr>
          <w:p>
            <w:pPr>
              <w:spacing w:before="272"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40" w:type="dxa"/>
            <w:vAlign w:val="top"/>
          </w:tcPr>
          <w:p>
            <w:pPr>
              <w:spacing w:before="272"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75" w:line="244"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37"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9"/>
              </w:rPr>
              <w:t xml:space="preserve"> </w:t>
            </w:r>
            <w:r>
              <w:rPr>
                <w:rFonts w:ascii="Times New Roman" w:hAnsi="Times New Roman" w:eastAsia="Times New Roman" w:cs="Times New Roman"/>
                <w:spacing w:val="-3"/>
              </w:rPr>
              <w:t xml:space="preserve">01 </w:t>
            </w:r>
            <w:r>
              <w:rPr>
                <w:spacing w:val="-3"/>
              </w:rPr>
              <w:t>月</w:t>
            </w:r>
            <w:r>
              <w:rPr>
                <w:spacing w:val="-53"/>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84"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18:10~18:30</w:t>
            </w:r>
          </w:p>
        </w:tc>
        <w:tc>
          <w:tcPr>
            <w:tcW w:w="1200" w:type="dxa"/>
            <w:vMerge w:val="restart"/>
            <w:tcBorders>
              <w:bottom w:val="nil"/>
            </w:tcBorders>
            <w:vAlign w:val="top"/>
          </w:tcPr>
          <w:p>
            <w:pPr>
              <w:pStyle w:val="6"/>
              <w:spacing w:before="271"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84"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62.5</w:t>
            </w:r>
          </w:p>
        </w:tc>
        <w:tc>
          <w:tcPr>
            <w:tcW w:w="688" w:type="dxa"/>
            <w:vMerge w:val="restart"/>
            <w:tcBorders>
              <w:bottom w:val="nil"/>
            </w:tcBorders>
            <w:vAlign w:val="top"/>
          </w:tcPr>
          <w:p>
            <w:pPr>
              <w:spacing w:line="384"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65.6</w:t>
            </w:r>
          </w:p>
        </w:tc>
        <w:tc>
          <w:tcPr>
            <w:tcW w:w="707" w:type="dxa"/>
            <w:vMerge w:val="restart"/>
            <w:tcBorders>
              <w:bottom w:val="nil"/>
            </w:tcBorders>
            <w:vAlign w:val="top"/>
          </w:tcPr>
          <w:p>
            <w:pPr>
              <w:spacing w:line="384"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58.0</w:t>
            </w:r>
          </w:p>
        </w:tc>
        <w:tc>
          <w:tcPr>
            <w:tcW w:w="687" w:type="dxa"/>
            <w:vMerge w:val="restart"/>
            <w:tcBorders>
              <w:bottom w:val="nil"/>
            </w:tcBorders>
            <w:vAlign w:val="top"/>
          </w:tcPr>
          <w:p>
            <w:pPr>
              <w:spacing w:line="384"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707" w:type="dxa"/>
            <w:vMerge w:val="restart"/>
            <w:tcBorders>
              <w:bottom w:val="nil"/>
            </w:tcBorders>
            <w:vAlign w:val="top"/>
          </w:tcPr>
          <w:p>
            <w:pPr>
              <w:spacing w:line="384"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88.6</w:t>
            </w:r>
          </w:p>
        </w:tc>
        <w:tc>
          <w:tcPr>
            <w:tcW w:w="690" w:type="dxa"/>
            <w:vMerge w:val="restart"/>
            <w:tcBorders>
              <w:bottom w:val="nil"/>
            </w:tcBorders>
            <w:vAlign w:val="top"/>
          </w:tcPr>
          <w:p>
            <w:pPr>
              <w:spacing w:line="384" w:lineRule="auto"/>
              <w:rPr>
                <w:rFonts w:ascii="Arial"/>
                <w:sz w:val="21"/>
              </w:rPr>
            </w:pPr>
          </w:p>
          <w:p>
            <w:pPr>
              <w:spacing w:before="6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43.7</w:t>
            </w:r>
          </w:p>
        </w:tc>
        <w:tc>
          <w:tcPr>
            <w:tcW w:w="650" w:type="dxa"/>
            <w:vMerge w:val="restart"/>
            <w:tcBorders>
              <w:bottom w:val="nil"/>
            </w:tcBorders>
            <w:vAlign w:val="top"/>
          </w:tcPr>
          <w:p>
            <w:pPr>
              <w:spacing w:line="384" w:lineRule="auto"/>
              <w:rPr>
                <w:rFonts w:ascii="Arial"/>
                <w:sz w:val="21"/>
              </w:rPr>
            </w:pPr>
          </w:p>
          <w:p>
            <w:pPr>
              <w:spacing w:before="60"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w:t>
            </w:r>
          </w:p>
        </w:tc>
        <w:tc>
          <w:tcPr>
            <w:tcW w:w="644" w:type="dxa"/>
            <w:vAlign w:val="top"/>
          </w:tcPr>
          <w:p>
            <w:pPr>
              <w:spacing w:before="123"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124</w:t>
            </w:r>
          </w:p>
        </w:tc>
        <w:tc>
          <w:tcPr>
            <w:tcW w:w="647" w:type="dxa"/>
            <w:vAlign w:val="top"/>
          </w:tcPr>
          <w:p>
            <w:pPr>
              <w:spacing w:before="125" w:line="184"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740" w:type="dxa"/>
            <w:vAlign w:val="top"/>
          </w:tcPr>
          <w:p>
            <w:pPr>
              <w:spacing w:before="123"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84" w:line="216"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504" w:type="dxa"/>
            <w:vMerge w:val="continue"/>
            <w:tcBorders>
              <w:top w:val="nil"/>
              <w:left w:val="single" w:color="000000" w:sz="10" w:space="0"/>
              <w:bottom w:val="single" w:color="000000" w:sz="10" w:space="0"/>
            </w:tcBorders>
            <w:vAlign w:val="top"/>
          </w:tcPr>
          <w:p>
            <w:pPr>
              <w:rPr>
                <w:rFonts w:ascii="Arial"/>
                <w:sz w:val="21"/>
              </w:rPr>
            </w:pPr>
          </w:p>
        </w:tc>
        <w:tc>
          <w:tcPr>
            <w:tcW w:w="951" w:type="dxa"/>
            <w:vMerge w:val="continue"/>
            <w:tcBorders>
              <w:top w:val="nil"/>
              <w:bottom w:val="single" w:color="000000" w:sz="10" w:space="0"/>
            </w:tcBorders>
            <w:vAlign w:val="top"/>
          </w:tcPr>
          <w:p>
            <w:pPr>
              <w:rPr>
                <w:rFonts w:ascii="Arial"/>
                <w:sz w:val="21"/>
              </w:rPr>
            </w:pPr>
          </w:p>
        </w:tc>
        <w:tc>
          <w:tcPr>
            <w:tcW w:w="1905" w:type="dxa"/>
            <w:vMerge w:val="continue"/>
            <w:tcBorders>
              <w:top w:val="nil"/>
              <w:bottom w:val="single" w:color="000000" w:sz="10" w:space="0"/>
            </w:tcBorders>
            <w:vAlign w:val="top"/>
          </w:tcPr>
          <w:p>
            <w:pPr>
              <w:rPr>
                <w:rFonts w:ascii="Arial"/>
                <w:sz w:val="21"/>
              </w:rPr>
            </w:pPr>
          </w:p>
        </w:tc>
        <w:tc>
          <w:tcPr>
            <w:tcW w:w="1361" w:type="dxa"/>
            <w:vMerge w:val="continue"/>
            <w:tcBorders>
              <w:top w:val="nil"/>
              <w:bottom w:val="single" w:color="000000" w:sz="10" w:space="0"/>
            </w:tcBorders>
            <w:vAlign w:val="top"/>
          </w:tcPr>
          <w:p>
            <w:pPr>
              <w:rPr>
                <w:rFonts w:ascii="Arial"/>
                <w:sz w:val="21"/>
              </w:rPr>
            </w:pPr>
          </w:p>
        </w:tc>
        <w:tc>
          <w:tcPr>
            <w:tcW w:w="1200"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88"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87"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90" w:type="dxa"/>
            <w:vMerge w:val="continue"/>
            <w:tcBorders>
              <w:top w:val="nil"/>
              <w:bottom w:val="single" w:color="000000" w:sz="10" w:space="0"/>
            </w:tcBorders>
            <w:vAlign w:val="top"/>
          </w:tcPr>
          <w:p>
            <w:pPr>
              <w:rPr>
                <w:rFonts w:ascii="Arial"/>
                <w:sz w:val="21"/>
              </w:rPr>
            </w:pPr>
          </w:p>
        </w:tc>
        <w:tc>
          <w:tcPr>
            <w:tcW w:w="650" w:type="dxa"/>
            <w:vMerge w:val="continue"/>
            <w:tcBorders>
              <w:top w:val="nil"/>
              <w:bottom w:val="single" w:color="000000" w:sz="10" w:space="0"/>
            </w:tcBorders>
            <w:vAlign w:val="top"/>
          </w:tcPr>
          <w:p>
            <w:pPr>
              <w:rPr>
                <w:rFonts w:ascii="Arial"/>
                <w:sz w:val="21"/>
              </w:rPr>
            </w:pPr>
          </w:p>
        </w:tc>
        <w:tc>
          <w:tcPr>
            <w:tcW w:w="644" w:type="dxa"/>
            <w:tcBorders>
              <w:bottom w:val="single" w:color="000000" w:sz="10" w:space="0"/>
            </w:tcBorders>
            <w:vAlign w:val="top"/>
          </w:tcPr>
          <w:p>
            <w:pPr>
              <w:spacing w:before="274"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647" w:type="dxa"/>
            <w:tcBorders>
              <w:bottom w:val="single" w:color="000000" w:sz="10" w:space="0"/>
            </w:tcBorders>
            <w:vAlign w:val="top"/>
          </w:tcPr>
          <w:p>
            <w:pPr>
              <w:spacing w:before="274"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tcBorders>
              <w:bottom w:val="single" w:color="000000" w:sz="10" w:space="0"/>
            </w:tcBorders>
            <w:vAlign w:val="top"/>
          </w:tcPr>
          <w:p>
            <w:pPr>
              <w:spacing w:before="274"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bottom w:val="single" w:color="000000" w:sz="10" w:space="0"/>
              <w:right w:val="single" w:color="000000" w:sz="10" w:space="0"/>
            </w:tcBorders>
            <w:vAlign w:val="top"/>
          </w:tcPr>
          <w:p>
            <w:pPr>
              <w:pStyle w:val="6"/>
              <w:spacing w:before="77" w:line="251"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bl>
    <w:p>
      <w:pPr>
        <w:pStyle w:val="2"/>
      </w:pPr>
    </w:p>
    <w:p>
      <w:pPr>
        <w:sectPr>
          <w:footerReference r:id="rId210" w:type="default"/>
          <w:pgSz w:w="16839" w:h="11907"/>
          <w:pgMar w:top="1260" w:right="1281" w:bottom="1151" w:left="1283" w:header="1019" w:footer="990" w:gutter="0"/>
          <w:cols w:space="720" w:num="1"/>
        </w:sectPr>
      </w:pPr>
    </w:p>
    <w:p>
      <w:pPr>
        <w:spacing w:line="155" w:lineRule="exact"/>
      </w:pPr>
    </w:p>
    <w:tbl>
      <w:tblPr>
        <w:tblStyle w:val="5"/>
        <w:tblW w:w="142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951"/>
        <w:gridCol w:w="1905"/>
        <w:gridCol w:w="1361"/>
        <w:gridCol w:w="1200"/>
        <w:gridCol w:w="707"/>
        <w:gridCol w:w="688"/>
        <w:gridCol w:w="707"/>
        <w:gridCol w:w="687"/>
        <w:gridCol w:w="707"/>
        <w:gridCol w:w="690"/>
        <w:gridCol w:w="650"/>
        <w:gridCol w:w="644"/>
        <w:gridCol w:w="647"/>
        <w:gridCol w:w="740"/>
        <w:gridCol w:w="1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04" w:type="dxa"/>
            <w:vMerge w:val="restart"/>
            <w:tcBorders>
              <w:top w:val="single" w:color="000000" w:sz="10" w:space="0"/>
              <w:left w:val="single" w:color="000000" w:sz="10" w:space="0"/>
              <w:bottom w:val="nil"/>
            </w:tcBorders>
            <w:textDirection w:val="tbRlV"/>
            <w:vAlign w:val="top"/>
          </w:tcPr>
          <w:p>
            <w:pPr>
              <w:pStyle w:val="6"/>
              <w:spacing w:before="144" w:line="211" w:lineRule="auto"/>
              <w:ind w:left="374"/>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951" w:type="dxa"/>
            <w:vMerge w:val="restart"/>
            <w:tcBorders>
              <w:top w:val="single" w:color="000000" w:sz="10" w:space="0"/>
              <w:bottom w:val="nil"/>
            </w:tcBorders>
            <w:vAlign w:val="top"/>
          </w:tcPr>
          <w:p>
            <w:pPr>
              <w:spacing w:line="304" w:lineRule="auto"/>
              <w:rPr>
                <w:rFonts w:ascii="Arial"/>
                <w:sz w:val="21"/>
              </w:rPr>
            </w:pPr>
          </w:p>
          <w:p>
            <w:pPr>
              <w:pStyle w:val="6"/>
              <w:spacing w:before="69" w:line="231" w:lineRule="auto"/>
              <w:ind w:left="367" w:right="170" w:hanging="199"/>
            </w:pPr>
            <w:r>
              <w:rPr>
                <w:spacing w:val="-8"/>
                <w14:textOutline w14:w="3831" w14:cap="flat" w14:cmpd="sng">
                  <w14:solidFill>
                    <w14:srgbClr w14:val="000000"/>
                  </w14:solidFill>
                  <w14:prstDash w14:val="solid"/>
                  <w14:miter w14:val="0"/>
                </w14:textOutline>
              </w:rPr>
              <w:t>检测点</w:t>
            </w:r>
            <w:r>
              <w:t xml:space="preserve"> </w:t>
            </w:r>
            <w:r>
              <w:rPr>
                <w14:textOutline w14:w="3831" w14:cap="flat" w14:cmpd="sng">
                  <w14:solidFill>
                    <w14:srgbClr w14:val="000000"/>
                  </w14:solidFill>
                  <w14:prstDash w14:val="solid"/>
                  <w14:miter w14:val="0"/>
                </w14:textOutline>
              </w:rPr>
              <w:t>位</w:t>
            </w:r>
          </w:p>
        </w:tc>
        <w:tc>
          <w:tcPr>
            <w:tcW w:w="3266" w:type="dxa"/>
            <w:gridSpan w:val="2"/>
            <w:vMerge w:val="restart"/>
            <w:tcBorders>
              <w:top w:val="single" w:color="000000" w:sz="10" w:space="0"/>
              <w:bottom w:val="nil"/>
            </w:tcBorders>
            <w:vAlign w:val="top"/>
          </w:tcPr>
          <w:p>
            <w:pPr>
              <w:spacing w:line="439" w:lineRule="auto"/>
              <w:rPr>
                <w:rFonts w:ascii="Arial"/>
                <w:sz w:val="21"/>
              </w:rPr>
            </w:pPr>
          </w:p>
          <w:p>
            <w:pPr>
              <w:pStyle w:val="6"/>
              <w:spacing w:before="68" w:line="221" w:lineRule="auto"/>
              <w:ind w:left="1209"/>
            </w:pPr>
            <w:r>
              <w:rPr>
                <w:spacing w:val="-1"/>
                <w14:textOutline w14:w="3831" w14:cap="flat" w14:cmpd="sng">
                  <w14:solidFill>
                    <w14:srgbClr w14:val="000000"/>
                  </w14:solidFill>
                  <w14:prstDash w14:val="solid"/>
                  <w14:miter w14:val="0"/>
                </w14:textOutline>
              </w:rPr>
              <w:t>检测时间</w:t>
            </w:r>
          </w:p>
        </w:tc>
        <w:tc>
          <w:tcPr>
            <w:tcW w:w="1200" w:type="dxa"/>
            <w:vMerge w:val="restart"/>
            <w:tcBorders>
              <w:top w:val="single" w:color="000000" w:sz="10" w:space="0"/>
              <w:bottom w:val="nil"/>
            </w:tcBorders>
            <w:vAlign w:val="top"/>
          </w:tcPr>
          <w:p>
            <w:pPr>
              <w:spacing w:line="440" w:lineRule="auto"/>
              <w:rPr>
                <w:rFonts w:ascii="Arial"/>
                <w:sz w:val="21"/>
              </w:rPr>
            </w:pPr>
          </w:p>
          <w:p>
            <w:pPr>
              <w:pStyle w:val="6"/>
              <w:spacing w:before="68" w:line="221" w:lineRule="auto"/>
              <w:ind w:left="202"/>
            </w:pPr>
            <w:r>
              <w:rPr>
                <w:spacing w:val="-7"/>
                <w14:textOutline w14:w="3831" w14:cap="flat" w14:cmpd="sng">
                  <w14:solidFill>
                    <w14:srgbClr w14:val="000000"/>
                  </w14:solidFill>
                  <w14:prstDash w14:val="solid"/>
                  <w14:miter w14:val="0"/>
                </w14:textOutline>
              </w:rPr>
              <w:t>主要声源</w:t>
            </w:r>
          </w:p>
        </w:tc>
        <w:tc>
          <w:tcPr>
            <w:tcW w:w="4836" w:type="dxa"/>
            <w:gridSpan w:val="7"/>
            <w:tcBorders>
              <w:top w:val="single" w:color="000000" w:sz="10" w:space="0"/>
            </w:tcBorders>
            <w:vAlign w:val="top"/>
          </w:tcPr>
          <w:p>
            <w:pPr>
              <w:pStyle w:val="6"/>
              <w:spacing w:before="184" w:line="221" w:lineRule="auto"/>
              <w:ind w:left="2022"/>
            </w:pPr>
            <w:r>
              <w:rPr>
                <w:spacing w:val="-7"/>
                <w14:textOutline w14:w="3831" w14:cap="flat" w14:cmpd="sng">
                  <w14:solidFill>
                    <w14:srgbClr w14:val="000000"/>
                  </w14:solidFill>
                  <w14:prstDash w14:val="solid"/>
                  <w14:miter w14:val="0"/>
                </w14:textOutline>
              </w:rPr>
              <w:t>检测结果</w:t>
            </w:r>
          </w:p>
        </w:tc>
        <w:tc>
          <w:tcPr>
            <w:tcW w:w="2031" w:type="dxa"/>
            <w:gridSpan w:val="3"/>
            <w:tcBorders>
              <w:top w:val="single" w:color="000000" w:sz="10" w:space="0"/>
            </w:tcBorders>
            <w:vAlign w:val="top"/>
          </w:tcPr>
          <w:p>
            <w:pPr>
              <w:pStyle w:val="6"/>
              <w:spacing w:before="48" w:line="238" w:lineRule="auto"/>
              <w:ind w:left="529"/>
            </w:pPr>
            <w:r>
              <w:rPr>
                <w:spacing w:val="-7"/>
                <w14:textOutline w14:w="3831" w14:cap="flat" w14:cmpd="sng">
                  <w14:solidFill>
                    <w14:srgbClr w14:val="000000"/>
                  </w14:solidFill>
                  <w14:prstDash w14:val="solid"/>
                  <w14:miter w14:val="0"/>
                </w14:textOutline>
              </w:rPr>
              <w:t>车流量情况</w:t>
            </w:r>
          </w:p>
          <w:p>
            <w:pPr>
              <w:pStyle w:val="6"/>
              <w:spacing w:line="218" w:lineRule="auto"/>
              <w:ind w:left="440"/>
            </w:pPr>
            <w:r>
              <w:rPr>
                <w:spacing w:val="-7"/>
                <w14:textOutline w14:w="3831" w14:cap="flat" w14:cmpd="sng">
                  <w14:solidFill>
                    <w14:srgbClr w14:val="000000"/>
                  </w14:solidFill>
                  <w14:prstDash w14:val="solid"/>
                  <w14:miter w14:val="0"/>
                </w14:textOutline>
              </w:rPr>
              <w:t>（辆</w:t>
            </w:r>
            <w:r>
              <w:rPr>
                <w:rFonts w:ascii="Times New Roman" w:hAnsi="Times New Roman" w:eastAsia="Times New Roman" w:cs="Times New Roman"/>
                <w:b/>
                <w:bCs/>
                <w:spacing w:val="-7"/>
              </w:rPr>
              <w:t>/20min</w:t>
            </w:r>
            <w:r>
              <w:rPr>
                <w:spacing w:val="-7"/>
                <w14:textOutline w14:w="3831" w14:cap="flat" w14:cmpd="sng">
                  <w14:solidFill>
                    <w14:srgbClr w14:val="000000"/>
                  </w14:solidFill>
                  <w14:prstDash w14:val="solid"/>
                  <w14:miter w14:val="0"/>
                </w14:textOutline>
              </w:rPr>
              <w:t>）</w:t>
            </w:r>
          </w:p>
        </w:tc>
        <w:tc>
          <w:tcPr>
            <w:tcW w:w="1459" w:type="dxa"/>
            <w:vMerge w:val="restart"/>
            <w:tcBorders>
              <w:top w:val="single" w:color="000000" w:sz="10" w:space="0"/>
              <w:bottom w:val="nil"/>
              <w:right w:val="single" w:color="000000" w:sz="10" w:space="0"/>
            </w:tcBorders>
            <w:vAlign w:val="top"/>
          </w:tcPr>
          <w:p>
            <w:pPr>
              <w:spacing w:line="440" w:lineRule="auto"/>
              <w:rPr>
                <w:rFonts w:ascii="Arial"/>
                <w:sz w:val="21"/>
              </w:rPr>
            </w:pPr>
          </w:p>
          <w:p>
            <w:pPr>
              <w:pStyle w:val="6"/>
              <w:spacing w:before="68" w:line="222" w:lineRule="auto"/>
              <w:ind w:left="541"/>
            </w:pPr>
            <w:r>
              <w:rPr>
                <w:spacing w:val="-5"/>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Align w:val="top"/>
          </w:tcPr>
          <w:p>
            <w:pPr>
              <w:spacing w:before="260" w:line="195" w:lineRule="auto"/>
              <w:ind w:left="213"/>
              <w:rPr>
                <w:rFonts w:ascii="Times New Roman" w:hAnsi="Times New Roman" w:eastAsia="Times New Roman" w:cs="Times New Roman"/>
                <w:sz w:val="13"/>
                <w:szCs w:val="13"/>
              </w:rPr>
            </w:pPr>
            <w:r>
              <w:rPr>
                <w:rFonts w:ascii="Times New Roman" w:hAnsi="Times New Roman" w:eastAsia="Times New Roman" w:cs="Times New Roman"/>
                <w:b/>
                <w:bCs/>
                <w:spacing w:val="2"/>
                <w:position w:val="1"/>
                <w:sz w:val="21"/>
                <w:szCs w:val="21"/>
              </w:rPr>
              <w:t>L</w:t>
            </w:r>
            <w:r>
              <w:rPr>
                <w:rFonts w:ascii="Times New Roman" w:hAnsi="Times New Roman" w:eastAsia="Times New Roman" w:cs="Times New Roman"/>
                <w:b/>
                <w:bCs/>
                <w:spacing w:val="2"/>
                <w:sz w:val="13"/>
                <w:szCs w:val="13"/>
              </w:rPr>
              <w:t>eq</w:t>
            </w:r>
          </w:p>
        </w:tc>
        <w:tc>
          <w:tcPr>
            <w:tcW w:w="688" w:type="dxa"/>
            <w:vAlign w:val="top"/>
          </w:tcPr>
          <w:p>
            <w:pPr>
              <w:spacing w:before="260" w:line="203" w:lineRule="auto"/>
              <w:ind w:left="204"/>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10</w:t>
            </w:r>
          </w:p>
        </w:tc>
        <w:tc>
          <w:tcPr>
            <w:tcW w:w="707" w:type="dxa"/>
            <w:vAlign w:val="top"/>
          </w:tcPr>
          <w:p>
            <w:pPr>
              <w:spacing w:before="260" w:line="203" w:lineRule="auto"/>
              <w:ind w:left="215"/>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50</w:t>
            </w:r>
          </w:p>
        </w:tc>
        <w:tc>
          <w:tcPr>
            <w:tcW w:w="687" w:type="dxa"/>
            <w:vAlign w:val="top"/>
          </w:tcPr>
          <w:p>
            <w:pPr>
              <w:spacing w:before="260" w:line="203" w:lineRule="auto"/>
              <w:ind w:left="206"/>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90</w:t>
            </w:r>
          </w:p>
        </w:tc>
        <w:tc>
          <w:tcPr>
            <w:tcW w:w="707" w:type="dxa"/>
            <w:vAlign w:val="top"/>
          </w:tcPr>
          <w:p>
            <w:pPr>
              <w:spacing w:before="260" w:line="222" w:lineRule="auto"/>
              <w:ind w:left="160"/>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max</w:t>
            </w:r>
          </w:p>
        </w:tc>
        <w:tc>
          <w:tcPr>
            <w:tcW w:w="690" w:type="dxa"/>
            <w:vAlign w:val="top"/>
          </w:tcPr>
          <w:p>
            <w:pPr>
              <w:spacing w:before="260" w:line="223" w:lineRule="auto"/>
              <w:ind w:left="161"/>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min</w:t>
            </w:r>
          </w:p>
        </w:tc>
        <w:tc>
          <w:tcPr>
            <w:tcW w:w="650" w:type="dxa"/>
            <w:vAlign w:val="top"/>
          </w:tcPr>
          <w:p>
            <w:pPr>
              <w:spacing w:before="257" w:line="187" w:lineRule="auto"/>
              <w:ind w:left="200"/>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SD</w:t>
            </w:r>
          </w:p>
        </w:tc>
        <w:tc>
          <w:tcPr>
            <w:tcW w:w="644" w:type="dxa"/>
            <w:vAlign w:val="top"/>
          </w:tcPr>
          <w:p>
            <w:pPr>
              <w:pStyle w:val="6"/>
              <w:spacing w:before="82" w:line="229" w:lineRule="auto"/>
              <w:ind w:left="231" w:right="100" w:hanging="101"/>
            </w:pPr>
            <w:r>
              <w:rPr>
                <w:spacing w:val="-6"/>
                <w14:textOutline w14:w="3831" w14:cap="flat" w14:cmpd="sng">
                  <w14:solidFill>
                    <w14:srgbClr w14:val="000000"/>
                  </w14:solidFill>
                  <w14:prstDash w14:val="solid"/>
                  <w14:miter w14:val="0"/>
                </w14:textOutline>
              </w:rPr>
              <w:t>小型</w:t>
            </w:r>
            <w:r>
              <w:t xml:space="preserve"> </w:t>
            </w:r>
            <w:r>
              <w:rPr>
                <w14:textOutline w14:w="3831" w14:cap="flat" w14:cmpd="sng">
                  <w14:solidFill>
                    <w14:srgbClr w14:val="000000"/>
                  </w14:solidFill>
                  <w14:prstDash w14:val="solid"/>
                  <w14:miter w14:val="0"/>
                </w14:textOutline>
              </w:rPr>
              <w:t>车</w:t>
            </w:r>
          </w:p>
        </w:tc>
        <w:tc>
          <w:tcPr>
            <w:tcW w:w="647" w:type="dxa"/>
            <w:vAlign w:val="top"/>
          </w:tcPr>
          <w:p>
            <w:pPr>
              <w:pStyle w:val="6"/>
              <w:spacing w:before="82" w:line="229" w:lineRule="auto"/>
              <w:ind w:left="230" w:right="103" w:hanging="87"/>
            </w:pPr>
            <w:r>
              <w:rPr>
                <w:spacing w:val="-13"/>
                <w14:textOutline w14:w="3831" w14:cap="flat" w14:cmpd="sng">
                  <w14:solidFill>
                    <w14:srgbClr w14:val="000000"/>
                  </w14:solidFill>
                  <w14:prstDash w14:val="solid"/>
                  <w14:miter w14:val="0"/>
                </w14:textOutline>
              </w:rPr>
              <w:t>中型</w:t>
            </w:r>
            <w:r>
              <w:t xml:space="preserve"> </w:t>
            </w:r>
            <w:r>
              <w:rPr>
                <w14:textOutline w14:w="3831" w14:cap="flat" w14:cmpd="sng">
                  <w14:solidFill>
                    <w14:srgbClr w14:val="000000"/>
                  </w14:solidFill>
                  <w14:prstDash w14:val="solid"/>
                  <w14:miter w14:val="0"/>
                </w14:textOutline>
              </w:rPr>
              <w:t>车</w:t>
            </w:r>
          </w:p>
        </w:tc>
        <w:tc>
          <w:tcPr>
            <w:tcW w:w="740" w:type="dxa"/>
            <w:vAlign w:val="top"/>
          </w:tcPr>
          <w:p>
            <w:pPr>
              <w:pStyle w:val="6"/>
              <w:spacing w:before="82" w:line="238" w:lineRule="auto"/>
              <w:ind w:left="172"/>
            </w:pPr>
            <w:r>
              <w:rPr>
                <w:spacing w:val="-3"/>
                <w14:textOutline w14:w="3831" w14:cap="flat" w14:cmpd="sng">
                  <w14:solidFill>
                    <w14:srgbClr w14:val="000000"/>
                  </w14:solidFill>
                  <w14:prstDash w14:val="solid"/>
                  <w14:miter w14:val="0"/>
                </w14:textOutline>
              </w:rPr>
              <w:t>大型</w:t>
            </w:r>
          </w:p>
          <w:p>
            <w:pPr>
              <w:pStyle w:val="6"/>
              <w:spacing w:line="220" w:lineRule="auto"/>
              <w:ind w:left="277"/>
            </w:pPr>
            <w:r>
              <w:rPr>
                <w14:textOutline w14:w="3831" w14:cap="flat" w14:cmpd="sng">
                  <w14:solidFill>
                    <w14:srgbClr w14:val="000000"/>
                  </w14:solidFill>
                  <w14:prstDash w14:val="solid"/>
                  <w14:miter w14:val="0"/>
                </w14:textOutline>
              </w:rPr>
              <w:t>车</w:t>
            </w:r>
          </w:p>
        </w:tc>
        <w:tc>
          <w:tcPr>
            <w:tcW w:w="145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08"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9"/>
              </w:rPr>
              <w:t xml:space="preserve"> </w:t>
            </w:r>
            <w:r>
              <w:rPr>
                <w:rFonts w:ascii="Times New Roman" w:hAnsi="Times New Roman" w:eastAsia="Times New Roman" w:cs="Times New Roman"/>
                <w:spacing w:val="-3"/>
              </w:rPr>
              <w:t xml:space="preserve">01 </w:t>
            </w:r>
            <w:r>
              <w:rPr>
                <w:spacing w:val="-3"/>
              </w:rPr>
              <w:t>月</w:t>
            </w:r>
            <w:r>
              <w:rPr>
                <w:spacing w:val="-53"/>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55"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19:10~19:30</w:t>
            </w:r>
          </w:p>
        </w:tc>
        <w:tc>
          <w:tcPr>
            <w:tcW w:w="1200" w:type="dxa"/>
            <w:vMerge w:val="restart"/>
            <w:tcBorders>
              <w:bottom w:val="nil"/>
            </w:tcBorders>
            <w:vAlign w:val="top"/>
          </w:tcPr>
          <w:p>
            <w:pPr>
              <w:pStyle w:val="6"/>
              <w:spacing w:before="244"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55"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60.9</w:t>
            </w:r>
          </w:p>
        </w:tc>
        <w:tc>
          <w:tcPr>
            <w:tcW w:w="688" w:type="dxa"/>
            <w:vMerge w:val="restart"/>
            <w:tcBorders>
              <w:bottom w:val="nil"/>
            </w:tcBorders>
            <w:vAlign w:val="top"/>
          </w:tcPr>
          <w:p>
            <w:pPr>
              <w:spacing w:line="355"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64.8</w:t>
            </w:r>
          </w:p>
        </w:tc>
        <w:tc>
          <w:tcPr>
            <w:tcW w:w="707" w:type="dxa"/>
            <w:vMerge w:val="restart"/>
            <w:tcBorders>
              <w:bottom w:val="nil"/>
            </w:tcBorders>
            <w:vAlign w:val="top"/>
          </w:tcPr>
          <w:p>
            <w:pPr>
              <w:spacing w:line="355"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56.6</w:t>
            </w:r>
          </w:p>
        </w:tc>
        <w:tc>
          <w:tcPr>
            <w:tcW w:w="687" w:type="dxa"/>
            <w:vMerge w:val="restart"/>
            <w:tcBorders>
              <w:bottom w:val="nil"/>
            </w:tcBorders>
            <w:vAlign w:val="top"/>
          </w:tcPr>
          <w:p>
            <w:pPr>
              <w:spacing w:line="355" w:lineRule="auto"/>
              <w:rPr>
                <w:rFonts w:ascii="Arial"/>
                <w:sz w:val="21"/>
              </w:rPr>
            </w:pPr>
          </w:p>
          <w:p>
            <w:pPr>
              <w:spacing w:before="6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48.8</w:t>
            </w:r>
          </w:p>
        </w:tc>
        <w:tc>
          <w:tcPr>
            <w:tcW w:w="707" w:type="dxa"/>
            <w:vMerge w:val="restart"/>
            <w:tcBorders>
              <w:bottom w:val="nil"/>
            </w:tcBorders>
            <w:vAlign w:val="top"/>
          </w:tcPr>
          <w:p>
            <w:pPr>
              <w:spacing w:line="355"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83.8</w:t>
            </w:r>
          </w:p>
        </w:tc>
        <w:tc>
          <w:tcPr>
            <w:tcW w:w="690" w:type="dxa"/>
            <w:vMerge w:val="restart"/>
            <w:tcBorders>
              <w:bottom w:val="nil"/>
            </w:tcBorders>
            <w:vAlign w:val="top"/>
          </w:tcPr>
          <w:p>
            <w:pPr>
              <w:spacing w:line="355" w:lineRule="auto"/>
              <w:rPr>
                <w:rFonts w:ascii="Arial"/>
                <w:sz w:val="21"/>
              </w:rPr>
            </w:pPr>
          </w:p>
          <w:p>
            <w:pPr>
              <w:spacing w:before="6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41.8</w:t>
            </w:r>
          </w:p>
        </w:tc>
        <w:tc>
          <w:tcPr>
            <w:tcW w:w="650" w:type="dxa"/>
            <w:vMerge w:val="restart"/>
            <w:tcBorders>
              <w:bottom w:val="nil"/>
            </w:tcBorders>
            <w:vAlign w:val="top"/>
          </w:tcPr>
          <w:p>
            <w:pPr>
              <w:spacing w:line="355" w:lineRule="auto"/>
              <w:rPr>
                <w:rFonts w:ascii="Arial"/>
                <w:sz w:val="21"/>
              </w:rPr>
            </w:pPr>
          </w:p>
          <w:p>
            <w:pPr>
              <w:spacing w:before="60"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w:t>
            </w:r>
          </w:p>
        </w:tc>
        <w:tc>
          <w:tcPr>
            <w:tcW w:w="644" w:type="dxa"/>
            <w:vAlign w:val="top"/>
          </w:tcPr>
          <w:p>
            <w:pPr>
              <w:spacing w:before="96"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w:t>
            </w:r>
          </w:p>
        </w:tc>
        <w:tc>
          <w:tcPr>
            <w:tcW w:w="647" w:type="dxa"/>
            <w:vAlign w:val="top"/>
          </w:tcPr>
          <w:p>
            <w:pPr>
              <w:spacing w:before="96"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vAlign w:val="top"/>
          </w:tcPr>
          <w:p>
            <w:pPr>
              <w:spacing w:before="96"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57"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55"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647" w:type="dxa"/>
            <w:vAlign w:val="top"/>
          </w:tcPr>
          <w:p>
            <w:pPr>
              <w:spacing w:before="255"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255"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58" w:line="251"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14"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9"/>
              </w:rPr>
              <w:t xml:space="preserve"> </w:t>
            </w:r>
            <w:r>
              <w:rPr>
                <w:rFonts w:ascii="Times New Roman" w:hAnsi="Times New Roman" w:eastAsia="Times New Roman" w:cs="Times New Roman"/>
                <w:spacing w:val="-3"/>
              </w:rPr>
              <w:t xml:space="preserve">01 </w:t>
            </w:r>
            <w:r>
              <w:rPr>
                <w:spacing w:val="-3"/>
              </w:rPr>
              <w:t>月</w:t>
            </w:r>
            <w:r>
              <w:rPr>
                <w:spacing w:val="-53"/>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60" w:lineRule="auto"/>
              <w:rPr>
                <w:rFonts w:ascii="Arial"/>
                <w:sz w:val="21"/>
              </w:rPr>
            </w:pPr>
          </w:p>
          <w:p>
            <w:pPr>
              <w:spacing w:before="61"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20:10~20:30</w:t>
            </w:r>
          </w:p>
        </w:tc>
        <w:tc>
          <w:tcPr>
            <w:tcW w:w="1200" w:type="dxa"/>
            <w:vMerge w:val="restart"/>
            <w:tcBorders>
              <w:bottom w:val="nil"/>
            </w:tcBorders>
            <w:vAlign w:val="top"/>
          </w:tcPr>
          <w:p>
            <w:pPr>
              <w:pStyle w:val="6"/>
              <w:spacing w:before="247"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60" w:lineRule="auto"/>
              <w:rPr>
                <w:rFonts w:ascii="Arial"/>
                <w:sz w:val="21"/>
              </w:rPr>
            </w:pPr>
          </w:p>
          <w:p>
            <w:pPr>
              <w:spacing w:before="61"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59.6</w:t>
            </w:r>
          </w:p>
        </w:tc>
        <w:tc>
          <w:tcPr>
            <w:tcW w:w="688" w:type="dxa"/>
            <w:vMerge w:val="restart"/>
            <w:tcBorders>
              <w:bottom w:val="nil"/>
            </w:tcBorders>
            <w:vAlign w:val="top"/>
          </w:tcPr>
          <w:p>
            <w:pPr>
              <w:spacing w:line="360"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63.4</w:t>
            </w:r>
          </w:p>
        </w:tc>
        <w:tc>
          <w:tcPr>
            <w:tcW w:w="707" w:type="dxa"/>
            <w:vMerge w:val="restart"/>
            <w:tcBorders>
              <w:bottom w:val="nil"/>
            </w:tcBorders>
            <w:vAlign w:val="top"/>
          </w:tcPr>
          <w:p>
            <w:pPr>
              <w:spacing w:line="360"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55.0</w:t>
            </w:r>
          </w:p>
        </w:tc>
        <w:tc>
          <w:tcPr>
            <w:tcW w:w="687" w:type="dxa"/>
            <w:vMerge w:val="restart"/>
            <w:tcBorders>
              <w:bottom w:val="nil"/>
            </w:tcBorders>
            <w:vAlign w:val="top"/>
          </w:tcPr>
          <w:p>
            <w:pPr>
              <w:spacing w:line="360" w:lineRule="auto"/>
              <w:rPr>
                <w:rFonts w:ascii="Arial"/>
                <w:sz w:val="21"/>
              </w:rPr>
            </w:pPr>
          </w:p>
          <w:p>
            <w:pPr>
              <w:spacing w:before="61"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43.4</w:t>
            </w:r>
          </w:p>
        </w:tc>
        <w:tc>
          <w:tcPr>
            <w:tcW w:w="707" w:type="dxa"/>
            <w:vMerge w:val="restart"/>
            <w:tcBorders>
              <w:bottom w:val="nil"/>
            </w:tcBorders>
            <w:vAlign w:val="top"/>
          </w:tcPr>
          <w:p>
            <w:pPr>
              <w:spacing w:line="360"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81.7</w:t>
            </w:r>
          </w:p>
        </w:tc>
        <w:tc>
          <w:tcPr>
            <w:tcW w:w="690" w:type="dxa"/>
            <w:vMerge w:val="restart"/>
            <w:tcBorders>
              <w:bottom w:val="nil"/>
            </w:tcBorders>
            <w:vAlign w:val="top"/>
          </w:tcPr>
          <w:p>
            <w:pPr>
              <w:spacing w:line="360"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34.5</w:t>
            </w:r>
          </w:p>
        </w:tc>
        <w:tc>
          <w:tcPr>
            <w:tcW w:w="650" w:type="dxa"/>
            <w:vMerge w:val="restart"/>
            <w:tcBorders>
              <w:bottom w:val="nil"/>
            </w:tcBorders>
            <w:vAlign w:val="top"/>
          </w:tcPr>
          <w:p>
            <w:pPr>
              <w:spacing w:line="363" w:lineRule="auto"/>
              <w:rPr>
                <w:rFonts w:ascii="Arial"/>
                <w:sz w:val="21"/>
              </w:rPr>
            </w:pPr>
          </w:p>
          <w:p>
            <w:pPr>
              <w:spacing w:before="61" w:line="184"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644" w:type="dxa"/>
            <w:vAlign w:val="top"/>
          </w:tcPr>
          <w:p>
            <w:pPr>
              <w:spacing w:before="99"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w:t>
            </w:r>
          </w:p>
        </w:tc>
        <w:tc>
          <w:tcPr>
            <w:tcW w:w="647" w:type="dxa"/>
            <w:vAlign w:val="top"/>
          </w:tcPr>
          <w:p>
            <w:pPr>
              <w:spacing w:before="99"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40" w:type="dxa"/>
            <w:vAlign w:val="top"/>
          </w:tcPr>
          <w:p>
            <w:pPr>
              <w:spacing w:before="9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61"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61"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647" w:type="dxa"/>
            <w:vAlign w:val="top"/>
          </w:tcPr>
          <w:p>
            <w:pPr>
              <w:spacing w:before="261"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261"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62" w:line="250"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17"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9"/>
              </w:rPr>
              <w:t xml:space="preserve"> </w:t>
            </w:r>
            <w:r>
              <w:rPr>
                <w:rFonts w:ascii="Times New Roman" w:hAnsi="Times New Roman" w:eastAsia="Times New Roman" w:cs="Times New Roman"/>
                <w:spacing w:val="-3"/>
              </w:rPr>
              <w:t xml:space="preserve">01 </w:t>
            </w:r>
            <w:r>
              <w:rPr>
                <w:spacing w:val="-3"/>
              </w:rPr>
              <w:t>月</w:t>
            </w:r>
            <w:r>
              <w:rPr>
                <w:spacing w:val="-53"/>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63" w:lineRule="auto"/>
              <w:rPr>
                <w:rFonts w:ascii="Arial"/>
                <w:sz w:val="21"/>
              </w:rPr>
            </w:pPr>
          </w:p>
          <w:p>
            <w:pPr>
              <w:spacing w:before="61"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21:10~21:30</w:t>
            </w:r>
          </w:p>
        </w:tc>
        <w:tc>
          <w:tcPr>
            <w:tcW w:w="1200" w:type="dxa"/>
            <w:vMerge w:val="restart"/>
            <w:tcBorders>
              <w:bottom w:val="nil"/>
            </w:tcBorders>
            <w:vAlign w:val="top"/>
          </w:tcPr>
          <w:p>
            <w:pPr>
              <w:pStyle w:val="6"/>
              <w:spacing w:before="250"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63"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63.2</w:t>
            </w:r>
          </w:p>
        </w:tc>
        <w:tc>
          <w:tcPr>
            <w:tcW w:w="688" w:type="dxa"/>
            <w:vMerge w:val="restart"/>
            <w:tcBorders>
              <w:bottom w:val="nil"/>
            </w:tcBorders>
            <w:vAlign w:val="top"/>
          </w:tcPr>
          <w:p>
            <w:pPr>
              <w:spacing w:line="363"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65.2</w:t>
            </w:r>
          </w:p>
        </w:tc>
        <w:tc>
          <w:tcPr>
            <w:tcW w:w="707" w:type="dxa"/>
            <w:vMerge w:val="restart"/>
            <w:tcBorders>
              <w:bottom w:val="nil"/>
            </w:tcBorders>
            <w:vAlign w:val="top"/>
          </w:tcPr>
          <w:p>
            <w:pPr>
              <w:spacing w:line="363"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56.6</w:t>
            </w:r>
          </w:p>
        </w:tc>
        <w:tc>
          <w:tcPr>
            <w:tcW w:w="687" w:type="dxa"/>
            <w:vMerge w:val="restart"/>
            <w:tcBorders>
              <w:bottom w:val="nil"/>
            </w:tcBorders>
            <w:vAlign w:val="top"/>
          </w:tcPr>
          <w:p>
            <w:pPr>
              <w:spacing w:line="363" w:lineRule="auto"/>
              <w:rPr>
                <w:rFonts w:ascii="Arial"/>
                <w:sz w:val="21"/>
              </w:rPr>
            </w:pPr>
          </w:p>
          <w:p>
            <w:pPr>
              <w:spacing w:before="61"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43.0</w:t>
            </w:r>
          </w:p>
        </w:tc>
        <w:tc>
          <w:tcPr>
            <w:tcW w:w="707" w:type="dxa"/>
            <w:vMerge w:val="restart"/>
            <w:tcBorders>
              <w:bottom w:val="nil"/>
            </w:tcBorders>
            <w:vAlign w:val="top"/>
          </w:tcPr>
          <w:p>
            <w:pPr>
              <w:spacing w:line="363"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87.8</w:t>
            </w:r>
          </w:p>
        </w:tc>
        <w:tc>
          <w:tcPr>
            <w:tcW w:w="690" w:type="dxa"/>
            <w:vMerge w:val="restart"/>
            <w:tcBorders>
              <w:bottom w:val="nil"/>
            </w:tcBorders>
            <w:vAlign w:val="top"/>
          </w:tcPr>
          <w:p>
            <w:pPr>
              <w:spacing w:line="363" w:lineRule="auto"/>
              <w:rPr>
                <w:rFonts w:ascii="Arial"/>
                <w:sz w:val="21"/>
              </w:rPr>
            </w:pPr>
          </w:p>
          <w:p>
            <w:pPr>
              <w:spacing w:before="6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31.8</w:t>
            </w:r>
          </w:p>
        </w:tc>
        <w:tc>
          <w:tcPr>
            <w:tcW w:w="650" w:type="dxa"/>
            <w:vMerge w:val="restart"/>
            <w:tcBorders>
              <w:bottom w:val="nil"/>
            </w:tcBorders>
            <w:vAlign w:val="top"/>
          </w:tcPr>
          <w:p>
            <w:pPr>
              <w:spacing w:line="363" w:lineRule="auto"/>
              <w:rPr>
                <w:rFonts w:ascii="Arial"/>
                <w:sz w:val="21"/>
              </w:rPr>
            </w:pPr>
          </w:p>
          <w:p>
            <w:pPr>
              <w:spacing w:before="61"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644" w:type="dxa"/>
            <w:vAlign w:val="top"/>
          </w:tcPr>
          <w:p>
            <w:pPr>
              <w:spacing w:before="102"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w:t>
            </w:r>
          </w:p>
        </w:tc>
        <w:tc>
          <w:tcPr>
            <w:tcW w:w="647" w:type="dxa"/>
            <w:vAlign w:val="top"/>
          </w:tcPr>
          <w:p>
            <w:pPr>
              <w:spacing w:before="102"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40" w:type="dxa"/>
            <w:vAlign w:val="top"/>
          </w:tcPr>
          <w:p>
            <w:pPr>
              <w:spacing w:before="102"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63" w:line="219"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64"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647" w:type="dxa"/>
            <w:vAlign w:val="top"/>
          </w:tcPr>
          <w:p>
            <w:pPr>
              <w:spacing w:before="263"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64"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64" w:line="249"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20"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9"/>
              </w:rPr>
              <w:t xml:space="preserve"> </w:t>
            </w:r>
            <w:r>
              <w:rPr>
                <w:rFonts w:ascii="Times New Roman" w:hAnsi="Times New Roman" w:eastAsia="Times New Roman" w:cs="Times New Roman"/>
                <w:spacing w:val="-3"/>
              </w:rPr>
              <w:t xml:space="preserve">01 </w:t>
            </w:r>
            <w:r>
              <w:rPr>
                <w:spacing w:val="-3"/>
              </w:rPr>
              <w:t>月</w:t>
            </w:r>
            <w:r>
              <w:rPr>
                <w:spacing w:val="-53"/>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66" w:lineRule="auto"/>
              <w:rPr>
                <w:rFonts w:ascii="Arial"/>
                <w:sz w:val="21"/>
              </w:rPr>
            </w:pPr>
          </w:p>
          <w:p>
            <w:pPr>
              <w:spacing w:before="61"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22:10~22:30</w:t>
            </w:r>
          </w:p>
        </w:tc>
        <w:tc>
          <w:tcPr>
            <w:tcW w:w="1200" w:type="dxa"/>
            <w:vMerge w:val="restart"/>
            <w:tcBorders>
              <w:bottom w:val="nil"/>
            </w:tcBorders>
            <w:vAlign w:val="top"/>
          </w:tcPr>
          <w:p>
            <w:pPr>
              <w:pStyle w:val="6"/>
              <w:spacing w:before="253"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66" w:lineRule="auto"/>
              <w:rPr>
                <w:rFonts w:ascii="Arial"/>
                <w:sz w:val="21"/>
              </w:rPr>
            </w:pPr>
          </w:p>
          <w:p>
            <w:pPr>
              <w:spacing w:before="61"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688" w:type="dxa"/>
            <w:vMerge w:val="restart"/>
            <w:tcBorders>
              <w:bottom w:val="nil"/>
            </w:tcBorders>
            <w:vAlign w:val="top"/>
          </w:tcPr>
          <w:p>
            <w:pPr>
              <w:spacing w:line="366"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60.4</w:t>
            </w:r>
          </w:p>
        </w:tc>
        <w:tc>
          <w:tcPr>
            <w:tcW w:w="707" w:type="dxa"/>
            <w:vMerge w:val="restart"/>
            <w:tcBorders>
              <w:bottom w:val="nil"/>
            </w:tcBorders>
            <w:vAlign w:val="top"/>
          </w:tcPr>
          <w:p>
            <w:pPr>
              <w:spacing w:line="366"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687" w:type="dxa"/>
            <w:vMerge w:val="restart"/>
            <w:tcBorders>
              <w:bottom w:val="nil"/>
            </w:tcBorders>
            <w:vAlign w:val="top"/>
          </w:tcPr>
          <w:p>
            <w:pPr>
              <w:spacing w:line="366"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35.4</w:t>
            </w:r>
          </w:p>
        </w:tc>
        <w:tc>
          <w:tcPr>
            <w:tcW w:w="707" w:type="dxa"/>
            <w:vMerge w:val="restart"/>
            <w:tcBorders>
              <w:bottom w:val="nil"/>
            </w:tcBorders>
            <w:vAlign w:val="top"/>
          </w:tcPr>
          <w:p>
            <w:pPr>
              <w:spacing w:line="366"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71.9</w:t>
            </w:r>
          </w:p>
        </w:tc>
        <w:tc>
          <w:tcPr>
            <w:tcW w:w="690" w:type="dxa"/>
            <w:vMerge w:val="restart"/>
            <w:tcBorders>
              <w:bottom w:val="nil"/>
            </w:tcBorders>
            <w:vAlign w:val="top"/>
          </w:tcPr>
          <w:p>
            <w:pPr>
              <w:spacing w:line="366"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27.0</w:t>
            </w:r>
          </w:p>
        </w:tc>
        <w:tc>
          <w:tcPr>
            <w:tcW w:w="650" w:type="dxa"/>
            <w:vMerge w:val="restart"/>
            <w:tcBorders>
              <w:bottom w:val="nil"/>
            </w:tcBorders>
            <w:vAlign w:val="top"/>
          </w:tcPr>
          <w:p>
            <w:pPr>
              <w:spacing w:line="366" w:lineRule="auto"/>
              <w:rPr>
                <w:rFonts w:ascii="Arial"/>
                <w:sz w:val="21"/>
              </w:rPr>
            </w:pPr>
          </w:p>
          <w:p>
            <w:pPr>
              <w:spacing w:before="61"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9.3</w:t>
            </w:r>
          </w:p>
        </w:tc>
        <w:tc>
          <w:tcPr>
            <w:tcW w:w="644" w:type="dxa"/>
            <w:vAlign w:val="top"/>
          </w:tcPr>
          <w:p>
            <w:pPr>
              <w:spacing w:before="105"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647" w:type="dxa"/>
            <w:vAlign w:val="top"/>
          </w:tcPr>
          <w:p>
            <w:pPr>
              <w:spacing w:before="105"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10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66" w:line="217"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67"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647" w:type="dxa"/>
            <w:vAlign w:val="top"/>
          </w:tcPr>
          <w:p>
            <w:pPr>
              <w:spacing w:before="267"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67"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66" w:line="248"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23"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9"/>
              </w:rPr>
              <w:t xml:space="preserve"> </w:t>
            </w:r>
            <w:r>
              <w:rPr>
                <w:rFonts w:ascii="Times New Roman" w:hAnsi="Times New Roman" w:eastAsia="Times New Roman" w:cs="Times New Roman"/>
                <w:spacing w:val="-3"/>
              </w:rPr>
              <w:t xml:space="preserve">01 </w:t>
            </w:r>
            <w:r>
              <w:rPr>
                <w:spacing w:val="-3"/>
              </w:rPr>
              <w:t>月</w:t>
            </w:r>
            <w:r>
              <w:rPr>
                <w:spacing w:val="-53"/>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69" w:lineRule="auto"/>
              <w:rPr>
                <w:rFonts w:ascii="Arial"/>
                <w:sz w:val="21"/>
              </w:rPr>
            </w:pPr>
          </w:p>
          <w:p>
            <w:pPr>
              <w:spacing w:before="61"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23:10~23:30</w:t>
            </w:r>
          </w:p>
        </w:tc>
        <w:tc>
          <w:tcPr>
            <w:tcW w:w="1200" w:type="dxa"/>
            <w:vMerge w:val="restart"/>
            <w:tcBorders>
              <w:bottom w:val="nil"/>
            </w:tcBorders>
            <w:vAlign w:val="top"/>
          </w:tcPr>
          <w:p>
            <w:pPr>
              <w:pStyle w:val="6"/>
              <w:spacing w:before="256"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69" w:lineRule="auto"/>
              <w:rPr>
                <w:rFonts w:ascii="Arial"/>
                <w:sz w:val="21"/>
              </w:rPr>
            </w:pPr>
          </w:p>
          <w:p>
            <w:pPr>
              <w:spacing w:before="61"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58.0</w:t>
            </w:r>
          </w:p>
        </w:tc>
        <w:tc>
          <w:tcPr>
            <w:tcW w:w="688" w:type="dxa"/>
            <w:vMerge w:val="restart"/>
            <w:tcBorders>
              <w:bottom w:val="nil"/>
            </w:tcBorders>
            <w:vAlign w:val="top"/>
          </w:tcPr>
          <w:p>
            <w:pPr>
              <w:spacing w:line="369"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707" w:type="dxa"/>
            <w:vMerge w:val="restart"/>
            <w:tcBorders>
              <w:bottom w:val="nil"/>
            </w:tcBorders>
            <w:vAlign w:val="top"/>
          </w:tcPr>
          <w:p>
            <w:pPr>
              <w:spacing w:line="369" w:lineRule="auto"/>
              <w:rPr>
                <w:rFonts w:ascii="Arial"/>
                <w:sz w:val="21"/>
              </w:rPr>
            </w:pPr>
          </w:p>
          <w:p>
            <w:pPr>
              <w:spacing w:before="6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48.0</w:t>
            </w:r>
          </w:p>
        </w:tc>
        <w:tc>
          <w:tcPr>
            <w:tcW w:w="687" w:type="dxa"/>
            <w:vMerge w:val="restart"/>
            <w:tcBorders>
              <w:bottom w:val="nil"/>
            </w:tcBorders>
            <w:vAlign w:val="top"/>
          </w:tcPr>
          <w:p>
            <w:pPr>
              <w:spacing w:line="369"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32.2</w:t>
            </w:r>
          </w:p>
        </w:tc>
        <w:tc>
          <w:tcPr>
            <w:tcW w:w="707" w:type="dxa"/>
            <w:vMerge w:val="restart"/>
            <w:tcBorders>
              <w:bottom w:val="nil"/>
            </w:tcBorders>
            <w:vAlign w:val="top"/>
          </w:tcPr>
          <w:p>
            <w:pPr>
              <w:spacing w:line="369"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77.8</w:t>
            </w:r>
          </w:p>
        </w:tc>
        <w:tc>
          <w:tcPr>
            <w:tcW w:w="690" w:type="dxa"/>
            <w:vMerge w:val="restart"/>
            <w:tcBorders>
              <w:bottom w:val="nil"/>
            </w:tcBorders>
            <w:vAlign w:val="top"/>
          </w:tcPr>
          <w:p>
            <w:pPr>
              <w:spacing w:line="369"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21.5</w:t>
            </w:r>
          </w:p>
        </w:tc>
        <w:tc>
          <w:tcPr>
            <w:tcW w:w="650" w:type="dxa"/>
            <w:vMerge w:val="restart"/>
            <w:tcBorders>
              <w:bottom w:val="nil"/>
            </w:tcBorders>
            <w:vAlign w:val="top"/>
          </w:tcPr>
          <w:p>
            <w:pPr>
              <w:spacing w:line="369"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11.1</w:t>
            </w:r>
          </w:p>
        </w:tc>
        <w:tc>
          <w:tcPr>
            <w:tcW w:w="644" w:type="dxa"/>
            <w:vAlign w:val="top"/>
          </w:tcPr>
          <w:p>
            <w:pPr>
              <w:spacing w:before="108"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47" w:type="dxa"/>
            <w:vAlign w:val="top"/>
          </w:tcPr>
          <w:p>
            <w:pPr>
              <w:spacing w:before="108"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40" w:type="dxa"/>
            <w:vAlign w:val="top"/>
          </w:tcPr>
          <w:p>
            <w:pPr>
              <w:spacing w:before="108"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69" w:line="214"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70"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647" w:type="dxa"/>
            <w:vAlign w:val="top"/>
          </w:tcPr>
          <w:p>
            <w:pPr>
              <w:spacing w:before="269"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70"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71" w:line="246"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25" w:lineRule="auto"/>
              <w:rPr>
                <w:rFonts w:ascii="Arial"/>
                <w:sz w:val="21"/>
              </w:rPr>
            </w:pPr>
          </w:p>
          <w:p>
            <w:pPr>
              <w:pStyle w:val="6"/>
              <w:spacing w:before="69"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02 </w:t>
            </w:r>
            <w:r>
              <w:rPr>
                <w:spacing w:val="-3"/>
              </w:rPr>
              <w:t>月</w:t>
            </w:r>
            <w:r>
              <w:rPr>
                <w:spacing w:val="-54"/>
              </w:rPr>
              <w:t xml:space="preserve"> </w:t>
            </w:r>
            <w:r>
              <w:rPr>
                <w:rFonts w:ascii="Times New Roman" w:hAnsi="Times New Roman" w:eastAsia="Times New Roman" w:cs="Times New Roman"/>
                <w:spacing w:val="-3"/>
              </w:rPr>
              <w:t>01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72"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00:10~00:30</w:t>
            </w:r>
          </w:p>
        </w:tc>
        <w:tc>
          <w:tcPr>
            <w:tcW w:w="1200" w:type="dxa"/>
            <w:vMerge w:val="restart"/>
            <w:tcBorders>
              <w:bottom w:val="nil"/>
            </w:tcBorders>
            <w:vAlign w:val="top"/>
          </w:tcPr>
          <w:p>
            <w:pPr>
              <w:pStyle w:val="6"/>
              <w:spacing w:before="260"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72" w:lineRule="auto"/>
              <w:rPr>
                <w:rFonts w:ascii="Arial"/>
                <w:sz w:val="21"/>
              </w:rPr>
            </w:pPr>
          </w:p>
          <w:p>
            <w:pPr>
              <w:spacing w:before="60"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53.0</w:t>
            </w:r>
          </w:p>
        </w:tc>
        <w:tc>
          <w:tcPr>
            <w:tcW w:w="688" w:type="dxa"/>
            <w:vMerge w:val="restart"/>
            <w:tcBorders>
              <w:bottom w:val="nil"/>
            </w:tcBorders>
            <w:vAlign w:val="top"/>
          </w:tcPr>
          <w:p>
            <w:pPr>
              <w:spacing w:line="372" w:lineRule="auto"/>
              <w:rPr>
                <w:rFonts w:ascii="Arial"/>
                <w:sz w:val="21"/>
              </w:rPr>
            </w:pPr>
          </w:p>
          <w:p>
            <w:pPr>
              <w:spacing w:before="6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707" w:type="dxa"/>
            <w:vMerge w:val="restart"/>
            <w:tcBorders>
              <w:bottom w:val="nil"/>
            </w:tcBorders>
            <w:vAlign w:val="top"/>
          </w:tcPr>
          <w:p>
            <w:pPr>
              <w:spacing w:line="372" w:lineRule="auto"/>
              <w:rPr>
                <w:rFonts w:ascii="Arial"/>
                <w:sz w:val="21"/>
              </w:rPr>
            </w:pPr>
          </w:p>
          <w:p>
            <w:pPr>
              <w:spacing w:before="60"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39.6</w:t>
            </w:r>
          </w:p>
        </w:tc>
        <w:tc>
          <w:tcPr>
            <w:tcW w:w="687" w:type="dxa"/>
            <w:vMerge w:val="restart"/>
            <w:tcBorders>
              <w:bottom w:val="nil"/>
            </w:tcBorders>
            <w:vAlign w:val="top"/>
          </w:tcPr>
          <w:p>
            <w:pPr>
              <w:spacing w:line="372" w:lineRule="auto"/>
              <w:rPr>
                <w:rFonts w:ascii="Arial"/>
                <w:sz w:val="21"/>
              </w:rPr>
            </w:pPr>
          </w:p>
          <w:p>
            <w:pPr>
              <w:spacing w:before="60"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29.0</w:t>
            </w:r>
          </w:p>
        </w:tc>
        <w:tc>
          <w:tcPr>
            <w:tcW w:w="707" w:type="dxa"/>
            <w:vMerge w:val="restart"/>
            <w:tcBorders>
              <w:bottom w:val="nil"/>
            </w:tcBorders>
            <w:vAlign w:val="top"/>
          </w:tcPr>
          <w:p>
            <w:pPr>
              <w:spacing w:line="372"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73.1</w:t>
            </w:r>
          </w:p>
        </w:tc>
        <w:tc>
          <w:tcPr>
            <w:tcW w:w="690" w:type="dxa"/>
            <w:vMerge w:val="restart"/>
            <w:tcBorders>
              <w:bottom w:val="nil"/>
            </w:tcBorders>
            <w:vAlign w:val="top"/>
          </w:tcPr>
          <w:p>
            <w:pPr>
              <w:spacing w:line="372"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21.7</w:t>
            </w:r>
          </w:p>
        </w:tc>
        <w:tc>
          <w:tcPr>
            <w:tcW w:w="650" w:type="dxa"/>
            <w:vMerge w:val="restart"/>
            <w:tcBorders>
              <w:bottom w:val="nil"/>
            </w:tcBorders>
            <w:vAlign w:val="top"/>
          </w:tcPr>
          <w:p>
            <w:pPr>
              <w:spacing w:line="372"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10.7</w:t>
            </w:r>
          </w:p>
        </w:tc>
        <w:tc>
          <w:tcPr>
            <w:tcW w:w="644" w:type="dxa"/>
            <w:vAlign w:val="top"/>
          </w:tcPr>
          <w:p>
            <w:pPr>
              <w:spacing w:before="111"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647" w:type="dxa"/>
            <w:vAlign w:val="top"/>
          </w:tcPr>
          <w:p>
            <w:pPr>
              <w:spacing w:before="111"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40" w:type="dxa"/>
            <w:vAlign w:val="top"/>
          </w:tcPr>
          <w:p>
            <w:pPr>
              <w:spacing w:before="111"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72" w:line="21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73"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647" w:type="dxa"/>
            <w:vAlign w:val="top"/>
          </w:tcPr>
          <w:p>
            <w:pPr>
              <w:spacing w:before="273"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vAlign w:val="top"/>
          </w:tcPr>
          <w:p>
            <w:pPr>
              <w:spacing w:before="273"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76" w:line="244"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28"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02 </w:t>
            </w:r>
            <w:r>
              <w:rPr>
                <w:spacing w:val="-3"/>
              </w:rPr>
              <w:t>月</w:t>
            </w:r>
            <w:r>
              <w:rPr>
                <w:spacing w:val="-54"/>
              </w:rPr>
              <w:t xml:space="preserve"> </w:t>
            </w:r>
            <w:r>
              <w:rPr>
                <w:rFonts w:ascii="Times New Roman" w:hAnsi="Times New Roman" w:eastAsia="Times New Roman" w:cs="Times New Roman"/>
                <w:spacing w:val="-3"/>
              </w:rPr>
              <w:t>01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74"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01:10~01:30</w:t>
            </w:r>
          </w:p>
        </w:tc>
        <w:tc>
          <w:tcPr>
            <w:tcW w:w="1200" w:type="dxa"/>
            <w:vMerge w:val="restart"/>
            <w:tcBorders>
              <w:bottom w:val="nil"/>
            </w:tcBorders>
            <w:vAlign w:val="top"/>
          </w:tcPr>
          <w:p>
            <w:pPr>
              <w:pStyle w:val="6"/>
              <w:spacing w:before="264"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74" w:lineRule="auto"/>
              <w:rPr>
                <w:rFonts w:ascii="Arial"/>
                <w:sz w:val="21"/>
              </w:rPr>
            </w:pPr>
          </w:p>
          <w:p>
            <w:pPr>
              <w:spacing w:before="61"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57.8</w:t>
            </w:r>
          </w:p>
        </w:tc>
        <w:tc>
          <w:tcPr>
            <w:tcW w:w="688" w:type="dxa"/>
            <w:vMerge w:val="restart"/>
            <w:tcBorders>
              <w:bottom w:val="nil"/>
            </w:tcBorders>
            <w:vAlign w:val="top"/>
          </w:tcPr>
          <w:p>
            <w:pPr>
              <w:spacing w:line="374" w:lineRule="auto"/>
              <w:rPr>
                <w:rFonts w:ascii="Arial"/>
                <w:sz w:val="21"/>
              </w:rPr>
            </w:pPr>
          </w:p>
          <w:p>
            <w:pPr>
              <w:spacing w:before="61"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59.2</w:t>
            </w:r>
          </w:p>
        </w:tc>
        <w:tc>
          <w:tcPr>
            <w:tcW w:w="707" w:type="dxa"/>
            <w:vMerge w:val="restart"/>
            <w:tcBorders>
              <w:bottom w:val="nil"/>
            </w:tcBorders>
            <w:vAlign w:val="top"/>
          </w:tcPr>
          <w:p>
            <w:pPr>
              <w:spacing w:line="374" w:lineRule="auto"/>
              <w:rPr>
                <w:rFonts w:ascii="Arial"/>
                <w:sz w:val="21"/>
              </w:rPr>
            </w:pPr>
          </w:p>
          <w:p>
            <w:pPr>
              <w:spacing w:before="61"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36.6</w:t>
            </w:r>
          </w:p>
        </w:tc>
        <w:tc>
          <w:tcPr>
            <w:tcW w:w="687" w:type="dxa"/>
            <w:vMerge w:val="restart"/>
            <w:tcBorders>
              <w:bottom w:val="nil"/>
            </w:tcBorders>
            <w:vAlign w:val="top"/>
          </w:tcPr>
          <w:p>
            <w:pPr>
              <w:spacing w:line="374" w:lineRule="auto"/>
              <w:rPr>
                <w:rFonts w:ascii="Arial"/>
                <w:sz w:val="21"/>
              </w:rPr>
            </w:pPr>
          </w:p>
          <w:p>
            <w:pPr>
              <w:spacing w:before="61"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27.4</w:t>
            </w:r>
          </w:p>
        </w:tc>
        <w:tc>
          <w:tcPr>
            <w:tcW w:w="707" w:type="dxa"/>
            <w:vMerge w:val="restart"/>
            <w:tcBorders>
              <w:bottom w:val="nil"/>
            </w:tcBorders>
            <w:vAlign w:val="top"/>
          </w:tcPr>
          <w:p>
            <w:pPr>
              <w:spacing w:line="374"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80.2</w:t>
            </w:r>
          </w:p>
        </w:tc>
        <w:tc>
          <w:tcPr>
            <w:tcW w:w="690" w:type="dxa"/>
            <w:vMerge w:val="restart"/>
            <w:tcBorders>
              <w:bottom w:val="nil"/>
            </w:tcBorders>
            <w:vAlign w:val="top"/>
          </w:tcPr>
          <w:p>
            <w:pPr>
              <w:spacing w:line="374"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22.3</w:t>
            </w:r>
          </w:p>
        </w:tc>
        <w:tc>
          <w:tcPr>
            <w:tcW w:w="650" w:type="dxa"/>
            <w:vMerge w:val="restart"/>
            <w:tcBorders>
              <w:bottom w:val="nil"/>
            </w:tcBorders>
            <w:vAlign w:val="top"/>
          </w:tcPr>
          <w:p>
            <w:pPr>
              <w:spacing w:line="374"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12.5</w:t>
            </w:r>
          </w:p>
        </w:tc>
        <w:tc>
          <w:tcPr>
            <w:tcW w:w="644" w:type="dxa"/>
            <w:vAlign w:val="top"/>
          </w:tcPr>
          <w:p>
            <w:pPr>
              <w:spacing w:before="115"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647" w:type="dxa"/>
            <w:vAlign w:val="top"/>
          </w:tcPr>
          <w:p>
            <w:pPr>
              <w:spacing w:before="115"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11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77" w:line="207"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75"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647" w:type="dxa"/>
            <w:vAlign w:val="top"/>
          </w:tcPr>
          <w:p>
            <w:pPr>
              <w:spacing w:before="275"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7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78" w:line="243"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04" w:type="dxa"/>
            <w:vMerge w:val="continue"/>
            <w:tcBorders>
              <w:top w:val="nil"/>
              <w:left w:val="single" w:color="000000" w:sz="10" w:space="0"/>
              <w:bottom w:val="single" w:color="000000" w:sz="10" w:space="0"/>
            </w:tcBorders>
            <w:textDirection w:val="tbRlV"/>
            <w:vAlign w:val="top"/>
          </w:tcPr>
          <w:p>
            <w:pPr>
              <w:rPr>
                <w:rFonts w:ascii="Arial"/>
                <w:sz w:val="21"/>
              </w:rPr>
            </w:pPr>
          </w:p>
        </w:tc>
        <w:tc>
          <w:tcPr>
            <w:tcW w:w="951" w:type="dxa"/>
            <w:vMerge w:val="continue"/>
            <w:tcBorders>
              <w:top w:val="nil"/>
              <w:bottom w:val="single" w:color="000000" w:sz="10" w:space="0"/>
            </w:tcBorders>
            <w:vAlign w:val="top"/>
          </w:tcPr>
          <w:p>
            <w:pPr>
              <w:rPr>
                <w:rFonts w:ascii="Arial"/>
                <w:sz w:val="21"/>
              </w:rPr>
            </w:pPr>
          </w:p>
        </w:tc>
        <w:tc>
          <w:tcPr>
            <w:tcW w:w="1905" w:type="dxa"/>
            <w:tcBorders>
              <w:bottom w:val="single" w:color="000000" w:sz="10" w:space="0"/>
            </w:tcBorders>
            <w:vAlign w:val="top"/>
          </w:tcPr>
          <w:p>
            <w:pPr>
              <w:pStyle w:val="6"/>
              <w:spacing w:before="77"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02 </w:t>
            </w:r>
            <w:r>
              <w:rPr>
                <w:spacing w:val="-3"/>
              </w:rPr>
              <w:t>月</w:t>
            </w:r>
            <w:r>
              <w:rPr>
                <w:spacing w:val="-54"/>
              </w:rPr>
              <w:t xml:space="preserve"> </w:t>
            </w:r>
            <w:r>
              <w:rPr>
                <w:rFonts w:ascii="Times New Roman" w:hAnsi="Times New Roman" w:eastAsia="Times New Roman" w:cs="Times New Roman"/>
                <w:spacing w:val="-3"/>
              </w:rPr>
              <w:t>01</w:t>
            </w:r>
            <w:r>
              <w:rPr>
                <w:rFonts w:ascii="Times New Roman" w:hAnsi="Times New Roman" w:eastAsia="Times New Roman" w:cs="Times New Roman"/>
                <w:spacing w:val="35"/>
                <w:w w:val="101"/>
              </w:rPr>
              <w:t xml:space="preserve"> </w:t>
            </w:r>
            <w:r>
              <w:rPr>
                <w:spacing w:val="-3"/>
              </w:rPr>
              <w:t>日</w:t>
            </w:r>
          </w:p>
        </w:tc>
        <w:tc>
          <w:tcPr>
            <w:tcW w:w="1361" w:type="dxa"/>
            <w:tcBorders>
              <w:bottom w:val="single" w:color="000000" w:sz="10" w:space="0"/>
            </w:tcBorders>
            <w:vAlign w:val="top"/>
          </w:tcPr>
          <w:p>
            <w:pPr>
              <w:spacing w:before="116"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02:10~02:30</w:t>
            </w:r>
          </w:p>
        </w:tc>
        <w:tc>
          <w:tcPr>
            <w:tcW w:w="1200" w:type="dxa"/>
            <w:tcBorders>
              <w:bottom w:val="single" w:color="000000" w:sz="10" w:space="0"/>
            </w:tcBorders>
            <w:vAlign w:val="top"/>
          </w:tcPr>
          <w:p>
            <w:pPr>
              <w:pStyle w:val="6"/>
              <w:spacing w:before="77" w:line="221" w:lineRule="auto"/>
              <w:ind w:left="180"/>
            </w:pPr>
            <w:r>
              <w:rPr>
                <w:spacing w:val="-1"/>
              </w:rPr>
              <w:t>道路交通</w:t>
            </w:r>
          </w:p>
        </w:tc>
        <w:tc>
          <w:tcPr>
            <w:tcW w:w="707" w:type="dxa"/>
            <w:tcBorders>
              <w:bottom w:val="single" w:color="000000" w:sz="10" w:space="0"/>
            </w:tcBorders>
            <w:vAlign w:val="top"/>
          </w:tcPr>
          <w:p>
            <w:pPr>
              <w:spacing w:before="116"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52.8</w:t>
            </w:r>
          </w:p>
        </w:tc>
        <w:tc>
          <w:tcPr>
            <w:tcW w:w="688" w:type="dxa"/>
            <w:tcBorders>
              <w:bottom w:val="single" w:color="000000" w:sz="10" w:space="0"/>
            </w:tcBorders>
            <w:vAlign w:val="top"/>
          </w:tcPr>
          <w:p>
            <w:pPr>
              <w:spacing w:before="116"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707" w:type="dxa"/>
            <w:tcBorders>
              <w:bottom w:val="single" w:color="000000" w:sz="10" w:space="0"/>
            </w:tcBorders>
            <w:vAlign w:val="top"/>
          </w:tcPr>
          <w:p>
            <w:pPr>
              <w:spacing w:before="116"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31.6</w:t>
            </w:r>
          </w:p>
        </w:tc>
        <w:tc>
          <w:tcPr>
            <w:tcW w:w="687" w:type="dxa"/>
            <w:tcBorders>
              <w:bottom w:val="single" w:color="000000" w:sz="10" w:space="0"/>
            </w:tcBorders>
            <w:vAlign w:val="top"/>
          </w:tcPr>
          <w:p>
            <w:pPr>
              <w:spacing w:before="116"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24.8</w:t>
            </w:r>
          </w:p>
        </w:tc>
        <w:tc>
          <w:tcPr>
            <w:tcW w:w="707" w:type="dxa"/>
            <w:tcBorders>
              <w:bottom w:val="single" w:color="000000" w:sz="10" w:space="0"/>
            </w:tcBorders>
            <w:vAlign w:val="top"/>
          </w:tcPr>
          <w:p>
            <w:pPr>
              <w:spacing w:before="116"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76.1</w:t>
            </w:r>
          </w:p>
        </w:tc>
        <w:tc>
          <w:tcPr>
            <w:tcW w:w="690" w:type="dxa"/>
            <w:tcBorders>
              <w:bottom w:val="single" w:color="000000" w:sz="10" w:space="0"/>
            </w:tcBorders>
            <w:vAlign w:val="top"/>
          </w:tcPr>
          <w:p>
            <w:pPr>
              <w:spacing w:before="116"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w:t>
            </w:r>
          </w:p>
        </w:tc>
        <w:tc>
          <w:tcPr>
            <w:tcW w:w="650" w:type="dxa"/>
            <w:tcBorders>
              <w:bottom w:val="single" w:color="000000" w:sz="10" w:space="0"/>
            </w:tcBorders>
            <w:vAlign w:val="top"/>
          </w:tcPr>
          <w:p>
            <w:pPr>
              <w:spacing w:before="116"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11.4</w:t>
            </w:r>
          </w:p>
        </w:tc>
        <w:tc>
          <w:tcPr>
            <w:tcW w:w="644" w:type="dxa"/>
            <w:tcBorders>
              <w:bottom w:val="single" w:color="000000" w:sz="10" w:space="0"/>
            </w:tcBorders>
            <w:vAlign w:val="top"/>
          </w:tcPr>
          <w:p>
            <w:pPr>
              <w:spacing w:before="118"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647" w:type="dxa"/>
            <w:tcBorders>
              <w:bottom w:val="single" w:color="000000" w:sz="10" w:space="0"/>
            </w:tcBorders>
            <w:vAlign w:val="top"/>
          </w:tcPr>
          <w:p>
            <w:pPr>
              <w:spacing w:before="118"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tcBorders>
              <w:bottom w:val="single" w:color="000000" w:sz="10" w:space="0"/>
            </w:tcBorders>
            <w:vAlign w:val="top"/>
          </w:tcPr>
          <w:p>
            <w:pPr>
              <w:spacing w:before="118"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bottom w:val="single" w:color="000000" w:sz="10" w:space="0"/>
              <w:right w:val="single" w:color="000000" w:sz="10" w:space="0"/>
            </w:tcBorders>
            <w:vAlign w:val="top"/>
          </w:tcPr>
          <w:p>
            <w:pPr>
              <w:pStyle w:val="6"/>
              <w:spacing w:before="80" w:line="221" w:lineRule="auto"/>
              <w:ind w:left="426"/>
            </w:pPr>
            <w:r>
              <w:rPr>
                <w:spacing w:val="-2"/>
              </w:rPr>
              <w:t>大南线</w:t>
            </w:r>
          </w:p>
        </w:tc>
      </w:tr>
    </w:tbl>
    <w:p>
      <w:pPr>
        <w:pStyle w:val="2"/>
      </w:pPr>
    </w:p>
    <w:p>
      <w:pPr>
        <w:sectPr>
          <w:footerReference r:id="rId211" w:type="default"/>
          <w:pgSz w:w="16839" w:h="11907"/>
          <w:pgMar w:top="1260" w:right="1281" w:bottom="1151" w:left="1283" w:header="1019" w:footer="990" w:gutter="0"/>
          <w:cols w:space="720" w:num="1"/>
        </w:sectPr>
      </w:pPr>
    </w:p>
    <w:p>
      <w:pPr>
        <w:spacing w:line="155" w:lineRule="exact"/>
      </w:pPr>
    </w:p>
    <w:tbl>
      <w:tblPr>
        <w:tblStyle w:val="5"/>
        <w:tblW w:w="142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951"/>
        <w:gridCol w:w="1905"/>
        <w:gridCol w:w="1361"/>
        <w:gridCol w:w="1200"/>
        <w:gridCol w:w="707"/>
        <w:gridCol w:w="688"/>
        <w:gridCol w:w="707"/>
        <w:gridCol w:w="687"/>
        <w:gridCol w:w="707"/>
        <w:gridCol w:w="690"/>
        <w:gridCol w:w="650"/>
        <w:gridCol w:w="644"/>
        <w:gridCol w:w="647"/>
        <w:gridCol w:w="740"/>
        <w:gridCol w:w="1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04" w:type="dxa"/>
            <w:vMerge w:val="restart"/>
            <w:tcBorders>
              <w:top w:val="single" w:color="000000" w:sz="10" w:space="0"/>
              <w:left w:val="single" w:color="000000" w:sz="10" w:space="0"/>
              <w:bottom w:val="nil"/>
            </w:tcBorders>
            <w:textDirection w:val="tbRlV"/>
            <w:vAlign w:val="top"/>
          </w:tcPr>
          <w:p>
            <w:pPr>
              <w:pStyle w:val="6"/>
              <w:spacing w:before="144" w:line="211" w:lineRule="auto"/>
              <w:ind w:left="374"/>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951" w:type="dxa"/>
            <w:vMerge w:val="restart"/>
            <w:tcBorders>
              <w:top w:val="single" w:color="000000" w:sz="10" w:space="0"/>
              <w:bottom w:val="nil"/>
            </w:tcBorders>
            <w:vAlign w:val="top"/>
          </w:tcPr>
          <w:p>
            <w:pPr>
              <w:spacing w:line="304" w:lineRule="auto"/>
              <w:rPr>
                <w:rFonts w:ascii="Arial"/>
                <w:sz w:val="21"/>
              </w:rPr>
            </w:pPr>
          </w:p>
          <w:p>
            <w:pPr>
              <w:pStyle w:val="6"/>
              <w:spacing w:before="69" w:line="231" w:lineRule="auto"/>
              <w:ind w:left="367" w:right="170" w:hanging="199"/>
            </w:pPr>
            <w:r>
              <w:rPr>
                <w:spacing w:val="-8"/>
                <w14:textOutline w14:w="3831" w14:cap="flat" w14:cmpd="sng">
                  <w14:solidFill>
                    <w14:srgbClr w14:val="000000"/>
                  </w14:solidFill>
                  <w14:prstDash w14:val="solid"/>
                  <w14:miter w14:val="0"/>
                </w14:textOutline>
              </w:rPr>
              <w:t>检测点</w:t>
            </w:r>
            <w:r>
              <w:t xml:space="preserve"> </w:t>
            </w:r>
            <w:r>
              <w:rPr>
                <w14:textOutline w14:w="3831" w14:cap="flat" w14:cmpd="sng">
                  <w14:solidFill>
                    <w14:srgbClr w14:val="000000"/>
                  </w14:solidFill>
                  <w14:prstDash w14:val="solid"/>
                  <w14:miter w14:val="0"/>
                </w14:textOutline>
              </w:rPr>
              <w:t>位</w:t>
            </w:r>
          </w:p>
        </w:tc>
        <w:tc>
          <w:tcPr>
            <w:tcW w:w="3266" w:type="dxa"/>
            <w:gridSpan w:val="2"/>
            <w:vMerge w:val="restart"/>
            <w:tcBorders>
              <w:top w:val="single" w:color="000000" w:sz="10" w:space="0"/>
              <w:bottom w:val="nil"/>
            </w:tcBorders>
            <w:vAlign w:val="top"/>
          </w:tcPr>
          <w:p>
            <w:pPr>
              <w:spacing w:line="439" w:lineRule="auto"/>
              <w:rPr>
                <w:rFonts w:ascii="Arial"/>
                <w:sz w:val="21"/>
              </w:rPr>
            </w:pPr>
            <w:r>
              <w:pict>
                <v:rect id="_x0000_s1036" o:spid="_x0000_s1036" o:spt="1" style="position:absolute;left:0pt;margin-left:94.7pt;margin-top:62.75pt;height:32.3pt;width:0.5pt;mso-position-horizontal-relative:page;mso-position-vertical-relative:page;z-index:251716608;mso-width-relative:page;mso-height-relative:page;" fillcolor="#000000" filled="t" stroked="f" coordsize="21600,21600">
                  <v:path/>
                  <v:fill on="t" focussize="0,0"/>
                  <v:stroke on="f"/>
                  <v:imagedata o:title=""/>
                  <o:lock v:ext="edit"/>
                </v:rect>
              </w:pict>
            </w:r>
          </w:p>
          <w:p>
            <w:pPr>
              <w:pStyle w:val="6"/>
              <w:spacing w:before="68" w:line="221" w:lineRule="auto"/>
              <w:ind w:left="1209"/>
            </w:pPr>
            <w:r>
              <w:rPr>
                <w:spacing w:val="-1"/>
                <w14:textOutline w14:w="3831" w14:cap="flat" w14:cmpd="sng">
                  <w14:solidFill>
                    <w14:srgbClr w14:val="000000"/>
                  </w14:solidFill>
                  <w14:prstDash w14:val="solid"/>
                  <w14:miter w14:val="0"/>
                </w14:textOutline>
              </w:rPr>
              <w:t>检测时间</w:t>
            </w:r>
          </w:p>
        </w:tc>
        <w:tc>
          <w:tcPr>
            <w:tcW w:w="1200" w:type="dxa"/>
            <w:vMerge w:val="restart"/>
            <w:tcBorders>
              <w:top w:val="single" w:color="000000" w:sz="10" w:space="0"/>
              <w:bottom w:val="nil"/>
            </w:tcBorders>
            <w:vAlign w:val="top"/>
          </w:tcPr>
          <w:p>
            <w:pPr>
              <w:spacing w:line="440" w:lineRule="auto"/>
              <w:rPr>
                <w:rFonts w:ascii="Arial"/>
                <w:sz w:val="21"/>
              </w:rPr>
            </w:pPr>
          </w:p>
          <w:p>
            <w:pPr>
              <w:pStyle w:val="6"/>
              <w:spacing w:before="68" w:line="221" w:lineRule="auto"/>
              <w:ind w:left="202"/>
            </w:pPr>
            <w:r>
              <w:rPr>
                <w:spacing w:val="-7"/>
                <w14:textOutline w14:w="3831" w14:cap="flat" w14:cmpd="sng">
                  <w14:solidFill>
                    <w14:srgbClr w14:val="000000"/>
                  </w14:solidFill>
                  <w14:prstDash w14:val="solid"/>
                  <w14:miter w14:val="0"/>
                </w14:textOutline>
              </w:rPr>
              <w:t>主要声源</w:t>
            </w:r>
          </w:p>
          <w:p>
            <w:pPr>
              <w:spacing w:line="436" w:lineRule="auto"/>
              <w:rPr>
                <w:rFonts w:ascii="Arial"/>
                <w:sz w:val="21"/>
              </w:rPr>
            </w:pPr>
          </w:p>
          <w:p>
            <w:pPr>
              <w:pStyle w:val="6"/>
              <w:spacing w:before="68" w:line="221" w:lineRule="auto"/>
              <w:ind w:left="402"/>
            </w:pPr>
            <w:r>
              <w:rPr>
                <w:spacing w:val="-4"/>
              </w:rPr>
              <w:t>噪声</w:t>
            </w:r>
          </w:p>
        </w:tc>
        <w:tc>
          <w:tcPr>
            <w:tcW w:w="4836" w:type="dxa"/>
            <w:gridSpan w:val="7"/>
            <w:tcBorders>
              <w:top w:val="single" w:color="000000" w:sz="10" w:space="0"/>
            </w:tcBorders>
            <w:vAlign w:val="top"/>
          </w:tcPr>
          <w:p>
            <w:pPr>
              <w:pStyle w:val="6"/>
              <w:spacing w:before="184" w:line="221" w:lineRule="auto"/>
              <w:ind w:left="2022"/>
            </w:pPr>
            <w:r>
              <w:rPr>
                <w:spacing w:val="-7"/>
                <w14:textOutline w14:w="3831" w14:cap="flat" w14:cmpd="sng">
                  <w14:solidFill>
                    <w14:srgbClr w14:val="000000"/>
                  </w14:solidFill>
                  <w14:prstDash w14:val="solid"/>
                  <w14:miter w14:val="0"/>
                </w14:textOutline>
              </w:rPr>
              <w:t>检测结果</w:t>
            </w:r>
          </w:p>
        </w:tc>
        <w:tc>
          <w:tcPr>
            <w:tcW w:w="2031" w:type="dxa"/>
            <w:gridSpan w:val="3"/>
            <w:tcBorders>
              <w:top w:val="single" w:color="000000" w:sz="10" w:space="0"/>
            </w:tcBorders>
            <w:vAlign w:val="top"/>
          </w:tcPr>
          <w:p>
            <w:pPr>
              <w:pStyle w:val="6"/>
              <w:spacing w:before="48" w:line="238" w:lineRule="auto"/>
              <w:ind w:left="529"/>
            </w:pPr>
            <w:r>
              <w:rPr>
                <w:spacing w:val="-7"/>
                <w14:textOutline w14:w="3831" w14:cap="flat" w14:cmpd="sng">
                  <w14:solidFill>
                    <w14:srgbClr w14:val="000000"/>
                  </w14:solidFill>
                  <w14:prstDash w14:val="solid"/>
                  <w14:miter w14:val="0"/>
                </w14:textOutline>
              </w:rPr>
              <w:t>车流量情况</w:t>
            </w:r>
          </w:p>
          <w:p>
            <w:pPr>
              <w:pStyle w:val="6"/>
              <w:spacing w:line="218" w:lineRule="auto"/>
              <w:ind w:left="440"/>
            </w:pPr>
            <w:r>
              <w:rPr>
                <w:spacing w:val="-7"/>
                <w14:textOutline w14:w="3831" w14:cap="flat" w14:cmpd="sng">
                  <w14:solidFill>
                    <w14:srgbClr w14:val="000000"/>
                  </w14:solidFill>
                  <w14:prstDash w14:val="solid"/>
                  <w14:miter w14:val="0"/>
                </w14:textOutline>
              </w:rPr>
              <w:t>（辆</w:t>
            </w:r>
            <w:r>
              <w:rPr>
                <w:rFonts w:ascii="Times New Roman" w:hAnsi="Times New Roman" w:eastAsia="Times New Roman" w:cs="Times New Roman"/>
                <w:b/>
                <w:bCs/>
                <w:spacing w:val="-7"/>
              </w:rPr>
              <w:t>/20min</w:t>
            </w:r>
            <w:r>
              <w:rPr>
                <w:spacing w:val="-7"/>
                <w14:textOutline w14:w="3831" w14:cap="flat" w14:cmpd="sng">
                  <w14:solidFill>
                    <w14:srgbClr w14:val="000000"/>
                  </w14:solidFill>
                  <w14:prstDash w14:val="solid"/>
                  <w14:miter w14:val="0"/>
                </w14:textOutline>
              </w:rPr>
              <w:t>）</w:t>
            </w:r>
          </w:p>
        </w:tc>
        <w:tc>
          <w:tcPr>
            <w:tcW w:w="1459" w:type="dxa"/>
            <w:vMerge w:val="restart"/>
            <w:tcBorders>
              <w:top w:val="single" w:color="000000" w:sz="10" w:space="0"/>
              <w:bottom w:val="nil"/>
              <w:right w:val="single" w:color="000000" w:sz="10" w:space="0"/>
            </w:tcBorders>
            <w:vAlign w:val="top"/>
          </w:tcPr>
          <w:p>
            <w:pPr>
              <w:spacing w:line="440" w:lineRule="auto"/>
              <w:rPr>
                <w:rFonts w:ascii="Arial"/>
                <w:sz w:val="21"/>
              </w:rPr>
            </w:pPr>
          </w:p>
          <w:p>
            <w:pPr>
              <w:pStyle w:val="6"/>
              <w:spacing w:before="68" w:line="222" w:lineRule="auto"/>
              <w:ind w:left="541"/>
            </w:pPr>
            <w:r>
              <w:rPr>
                <w:spacing w:val="-5"/>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bottom w:val="nil"/>
            </w:tcBorders>
            <w:vAlign w:val="top"/>
          </w:tcPr>
          <w:p>
            <w:pPr>
              <w:rPr>
                <w:rFonts w:ascii="Arial"/>
                <w:sz w:val="21"/>
              </w:rPr>
            </w:pPr>
          </w:p>
        </w:tc>
        <w:tc>
          <w:tcPr>
            <w:tcW w:w="1200" w:type="dxa"/>
            <w:vMerge w:val="continue"/>
            <w:tcBorders>
              <w:top w:val="nil"/>
              <w:bottom w:val="nil"/>
            </w:tcBorders>
            <w:vAlign w:val="top"/>
          </w:tcPr>
          <w:p>
            <w:pPr>
              <w:rPr>
                <w:rFonts w:ascii="Arial"/>
                <w:sz w:val="21"/>
              </w:rPr>
            </w:pPr>
          </w:p>
        </w:tc>
        <w:tc>
          <w:tcPr>
            <w:tcW w:w="707" w:type="dxa"/>
            <w:vAlign w:val="top"/>
          </w:tcPr>
          <w:p>
            <w:pPr>
              <w:spacing w:before="260" w:line="195" w:lineRule="auto"/>
              <w:ind w:left="213"/>
              <w:rPr>
                <w:rFonts w:ascii="Times New Roman" w:hAnsi="Times New Roman" w:eastAsia="Times New Roman" w:cs="Times New Roman"/>
                <w:sz w:val="13"/>
                <w:szCs w:val="13"/>
              </w:rPr>
            </w:pPr>
            <w:r>
              <w:rPr>
                <w:rFonts w:ascii="Times New Roman" w:hAnsi="Times New Roman" w:eastAsia="Times New Roman" w:cs="Times New Roman"/>
                <w:b/>
                <w:bCs/>
                <w:spacing w:val="2"/>
                <w:position w:val="1"/>
                <w:sz w:val="21"/>
                <w:szCs w:val="21"/>
              </w:rPr>
              <w:t>L</w:t>
            </w:r>
            <w:r>
              <w:rPr>
                <w:rFonts w:ascii="Times New Roman" w:hAnsi="Times New Roman" w:eastAsia="Times New Roman" w:cs="Times New Roman"/>
                <w:b/>
                <w:bCs/>
                <w:spacing w:val="2"/>
                <w:sz w:val="13"/>
                <w:szCs w:val="13"/>
              </w:rPr>
              <w:t>eq</w:t>
            </w:r>
          </w:p>
        </w:tc>
        <w:tc>
          <w:tcPr>
            <w:tcW w:w="688" w:type="dxa"/>
            <w:vAlign w:val="top"/>
          </w:tcPr>
          <w:p>
            <w:pPr>
              <w:spacing w:before="260" w:line="203" w:lineRule="auto"/>
              <w:ind w:left="204"/>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10</w:t>
            </w:r>
          </w:p>
        </w:tc>
        <w:tc>
          <w:tcPr>
            <w:tcW w:w="707" w:type="dxa"/>
            <w:vAlign w:val="top"/>
          </w:tcPr>
          <w:p>
            <w:pPr>
              <w:spacing w:before="260" w:line="203" w:lineRule="auto"/>
              <w:ind w:left="215"/>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50</w:t>
            </w:r>
          </w:p>
        </w:tc>
        <w:tc>
          <w:tcPr>
            <w:tcW w:w="687" w:type="dxa"/>
            <w:vAlign w:val="top"/>
          </w:tcPr>
          <w:p>
            <w:pPr>
              <w:spacing w:before="260" w:line="203" w:lineRule="auto"/>
              <w:ind w:left="206"/>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90</w:t>
            </w:r>
          </w:p>
        </w:tc>
        <w:tc>
          <w:tcPr>
            <w:tcW w:w="707" w:type="dxa"/>
            <w:vAlign w:val="top"/>
          </w:tcPr>
          <w:p>
            <w:pPr>
              <w:spacing w:before="260" w:line="222" w:lineRule="auto"/>
              <w:ind w:left="160"/>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max</w:t>
            </w:r>
          </w:p>
        </w:tc>
        <w:tc>
          <w:tcPr>
            <w:tcW w:w="690" w:type="dxa"/>
            <w:vAlign w:val="top"/>
          </w:tcPr>
          <w:p>
            <w:pPr>
              <w:spacing w:before="260" w:line="223" w:lineRule="auto"/>
              <w:ind w:left="161"/>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min</w:t>
            </w:r>
          </w:p>
        </w:tc>
        <w:tc>
          <w:tcPr>
            <w:tcW w:w="650" w:type="dxa"/>
            <w:vAlign w:val="top"/>
          </w:tcPr>
          <w:p>
            <w:pPr>
              <w:spacing w:before="257" w:line="187" w:lineRule="auto"/>
              <w:ind w:left="200"/>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SD</w:t>
            </w:r>
          </w:p>
        </w:tc>
        <w:tc>
          <w:tcPr>
            <w:tcW w:w="644" w:type="dxa"/>
            <w:vAlign w:val="top"/>
          </w:tcPr>
          <w:p>
            <w:pPr>
              <w:pStyle w:val="6"/>
              <w:spacing w:before="82" w:line="229" w:lineRule="auto"/>
              <w:ind w:left="231" w:right="100" w:hanging="101"/>
            </w:pPr>
            <w:r>
              <w:rPr>
                <w:spacing w:val="-6"/>
                <w14:textOutline w14:w="3831" w14:cap="flat" w14:cmpd="sng">
                  <w14:solidFill>
                    <w14:srgbClr w14:val="000000"/>
                  </w14:solidFill>
                  <w14:prstDash w14:val="solid"/>
                  <w14:miter w14:val="0"/>
                </w14:textOutline>
              </w:rPr>
              <w:t>小型</w:t>
            </w:r>
            <w:r>
              <w:t xml:space="preserve"> </w:t>
            </w:r>
            <w:r>
              <w:rPr>
                <w14:textOutline w14:w="3831" w14:cap="flat" w14:cmpd="sng">
                  <w14:solidFill>
                    <w14:srgbClr w14:val="000000"/>
                  </w14:solidFill>
                  <w14:prstDash w14:val="solid"/>
                  <w14:miter w14:val="0"/>
                </w14:textOutline>
              </w:rPr>
              <w:t>车</w:t>
            </w:r>
          </w:p>
        </w:tc>
        <w:tc>
          <w:tcPr>
            <w:tcW w:w="647" w:type="dxa"/>
            <w:vAlign w:val="top"/>
          </w:tcPr>
          <w:p>
            <w:pPr>
              <w:pStyle w:val="6"/>
              <w:spacing w:before="82" w:line="229" w:lineRule="auto"/>
              <w:ind w:left="230" w:right="103" w:hanging="87"/>
            </w:pPr>
            <w:r>
              <w:rPr>
                <w:spacing w:val="-13"/>
                <w14:textOutline w14:w="3831" w14:cap="flat" w14:cmpd="sng">
                  <w14:solidFill>
                    <w14:srgbClr w14:val="000000"/>
                  </w14:solidFill>
                  <w14:prstDash w14:val="solid"/>
                  <w14:miter w14:val="0"/>
                </w14:textOutline>
              </w:rPr>
              <w:t>中型</w:t>
            </w:r>
            <w:r>
              <w:t xml:space="preserve"> </w:t>
            </w:r>
            <w:r>
              <w:rPr>
                <w14:textOutline w14:w="3831" w14:cap="flat" w14:cmpd="sng">
                  <w14:solidFill>
                    <w14:srgbClr w14:val="000000"/>
                  </w14:solidFill>
                  <w14:prstDash w14:val="solid"/>
                  <w14:miter w14:val="0"/>
                </w14:textOutline>
              </w:rPr>
              <w:t>车</w:t>
            </w:r>
          </w:p>
        </w:tc>
        <w:tc>
          <w:tcPr>
            <w:tcW w:w="740" w:type="dxa"/>
            <w:vAlign w:val="top"/>
          </w:tcPr>
          <w:p>
            <w:pPr>
              <w:pStyle w:val="6"/>
              <w:spacing w:before="82" w:line="238" w:lineRule="auto"/>
              <w:ind w:left="172"/>
            </w:pPr>
            <w:r>
              <w:rPr>
                <w:spacing w:val="-3"/>
                <w14:textOutline w14:w="3831" w14:cap="flat" w14:cmpd="sng">
                  <w14:solidFill>
                    <w14:srgbClr w14:val="000000"/>
                  </w14:solidFill>
                  <w14:prstDash w14:val="solid"/>
                  <w14:miter w14:val="0"/>
                </w14:textOutline>
              </w:rPr>
              <w:t>大型</w:t>
            </w:r>
          </w:p>
          <w:p>
            <w:pPr>
              <w:pStyle w:val="6"/>
              <w:spacing w:line="220" w:lineRule="auto"/>
              <w:ind w:left="277"/>
            </w:pPr>
            <w:r>
              <w:rPr>
                <w14:textOutline w14:w="3831" w14:cap="flat" w14:cmpd="sng">
                  <w14:solidFill>
                    <w14:srgbClr w14:val="000000"/>
                  </w14:solidFill>
                  <w14:prstDash w14:val="solid"/>
                  <w14:miter w14:val="0"/>
                </w14:textOutline>
              </w:rPr>
              <w:t>车</w:t>
            </w:r>
          </w:p>
        </w:tc>
        <w:tc>
          <w:tcPr>
            <w:tcW w:w="145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Align w:val="top"/>
          </w:tcPr>
          <w:p>
            <w:pPr>
              <w:rPr>
                <w:rFonts w:ascii="Arial"/>
                <w:sz w:val="21"/>
              </w:rPr>
            </w:pPr>
          </w:p>
        </w:tc>
        <w:tc>
          <w:tcPr>
            <w:tcW w:w="688" w:type="dxa"/>
            <w:vAlign w:val="top"/>
          </w:tcPr>
          <w:p>
            <w:pPr>
              <w:rPr>
                <w:rFonts w:ascii="Arial"/>
                <w:sz w:val="21"/>
              </w:rPr>
            </w:pPr>
          </w:p>
        </w:tc>
        <w:tc>
          <w:tcPr>
            <w:tcW w:w="707" w:type="dxa"/>
            <w:vAlign w:val="top"/>
          </w:tcPr>
          <w:p>
            <w:pPr>
              <w:rPr>
                <w:rFonts w:ascii="Arial"/>
                <w:sz w:val="21"/>
              </w:rPr>
            </w:pPr>
          </w:p>
        </w:tc>
        <w:tc>
          <w:tcPr>
            <w:tcW w:w="687" w:type="dxa"/>
            <w:vAlign w:val="top"/>
          </w:tcPr>
          <w:p>
            <w:pPr>
              <w:rPr>
                <w:rFonts w:ascii="Arial"/>
                <w:sz w:val="21"/>
              </w:rPr>
            </w:pPr>
          </w:p>
        </w:tc>
        <w:tc>
          <w:tcPr>
            <w:tcW w:w="707" w:type="dxa"/>
            <w:vAlign w:val="top"/>
          </w:tcPr>
          <w:p>
            <w:pPr>
              <w:rPr>
                <w:rFonts w:ascii="Arial"/>
                <w:sz w:val="21"/>
              </w:rPr>
            </w:pPr>
          </w:p>
        </w:tc>
        <w:tc>
          <w:tcPr>
            <w:tcW w:w="690" w:type="dxa"/>
            <w:vAlign w:val="top"/>
          </w:tcPr>
          <w:p>
            <w:pPr>
              <w:rPr>
                <w:rFonts w:ascii="Arial"/>
                <w:sz w:val="21"/>
              </w:rPr>
            </w:pPr>
          </w:p>
        </w:tc>
        <w:tc>
          <w:tcPr>
            <w:tcW w:w="650" w:type="dxa"/>
            <w:vAlign w:val="top"/>
          </w:tcPr>
          <w:p>
            <w:pPr>
              <w:rPr>
                <w:rFonts w:ascii="Arial"/>
                <w:sz w:val="21"/>
              </w:rPr>
            </w:pPr>
          </w:p>
        </w:tc>
        <w:tc>
          <w:tcPr>
            <w:tcW w:w="644" w:type="dxa"/>
            <w:vAlign w:val="top"/>
          </w:tcPr>
          <w:p>
            <w:pPr>
              <w:spacing w:before="254"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647" w:type="dxa"/>
            <w:vAlign w:val="top"/>
          </w:tcPr>
          <w:p>
            <w:pPr>
              <w:spacing w:before="254"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54"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57" w:line="251"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13"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02 </w:t>
            </w:r>
            <w:r>
              <w:rPr>
                <w:spacing w:val="-3"/>
              </w:rPr>
              <w:t>月</w:t>
            </w:r>
            <w:r>
              <w:rPr>
                <w:spacing w:val="-54"/>
              </w:rPr>
              <w:t xml:space="preserve"> </w:t>
            </w:r>
            <w:r>
              <w:rPr>
                <w:rFonts w:ascii="Times New Roman" w:hAnsi="Times New Roman" w:eastAsia="Times New Roman" w:cs="Times New Roman"/>
                <w:spacing w:val="-3"/>
              </w:rPr>
              <w:t>01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59"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03:10~03:30</w:t>
            </w:r>
          </w:p>
        </w:tc>
        <w:tc>
          <w:tcPr>
            <w:tcW w:w="1200" w:type="dxa"/>
            <w:vMerge w:val="restart"/>
            <w:tcBorders>
              <w:bottom w:val="nil"/>
            </w:tcBorders>
            <w:vAlign w:val="top"/>
          </w:tcPr>
          <w:p>
            <w:pPr>
              <w:pStyle w:val="6"/>
              <w:spacing w:before="249"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59" w:lineRule="auto"/>
              <w:rPr>
                <w:rFonts w:ascii="Arial"/>
                <w:sz w:val="21"/>
              </w:rPr>
            </w:pPr>
          </w:p>
          <w:p>
            <w:pPr>
              <w:spacing w:before="61"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51.5</w:t>
            </w:r>
          </w:p>
        </w:tc>
        <w:tc>
          <w:tcPr>
            <w:tcW w:w="688" w:type="dxa"/>
            <w:vMerge w:val="restart"/>
            <w:tcBorders>
              <w:bottom w:val="nil"/>
            </w:tcBorders>
            <w:vAlign w:val="top"/>
          </w:tcPr>
          <w:p>
            <w:pPr>
              <w:spacing w:line="359" w:lineRule="auto"/>
              <w:rPr>
                <w:rFonts w:ascii="Arial"/>
                <w:sz w:val="21"/>
              </w:rPr>
            </w:pPr>
          </w:p>
          <w:p>
            <w:pPr>
              <w:spacing w:before="61"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707" w:type="dxa"/>
            <w:vMerge w:val="restart"/>
            <w:tcBorders>
              <w:bottom w:val="nil"/>
            </w:tcBorders>
            <w:vAlign w:val="top"/>
          </w:tcPr>
          <w:p>
            <w:pPr>
              <w:spacing w:line="359" w:lineRule="auto"/>
              <w:rPr>
                <w:rFonts w:ascii="Arial"/>
                <w:sz w:val="21"/>
              </w:rPr>
            </w:pPr>
          </w:p>
          <w:p>
            <w:pPr>
              <w:spacing w:before="61" w:line="187" w:lineRule="auto"/>
              <w:ind w:left="1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26.6</w:t>
            </w:r>
          </w:p>
        </w:tc>
        <w:tc>
          <w:tcPr>
            <w:tcW w:w="687" w:type="dxa"/>
            <w:vMerge w:val="restart"/>
            <w:tcBorders>
              <w:bottom w:val="nil"/>
            </w:tcBorders>
            <w:vAlign w:val="top"/>
          </w:tcPr>
          <w:p>
            <w:pPr>
              <w:spacing w:line="359" w:lineRule="auto"/>
              <w:rPr>
                <w:rFonts w:ascii="Arial"/>
                <w:sz w:val="21"/>
              </w:rPr>
            </w:pPr>
          </w:p>
          <w:p>
            <w:pPr>
              <w:spacing w:before="61"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23.8</w:t>
            </w:r>
          </w:p>
        </w:tc>
        <w:tc>
          <w:tcPr>
            <w:tcW w:w="707" w:type="dxa"/>
            <w:vMerge w:val="restart"/>
            <w:tcBorders>
              <w:bottom w:val="nil"/>
            </w:tcBorders>
            <w:vAlign w:val="top"/>
          </w:tcPr>
          <w:p>
            <w:pPr>
              <w:spacing w:line="359"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72.8</w:t>
            </w:r>
          </w:p>
        </w:tc>
        <w:tc>
          <w:tcPr>
            <w:tcW w:w="690" w:type="dxa"/>
            <w:vMerge w:val="restart"/>
            <w:tcBorders>
              <w:bottom w:val="nil"/>
            </w:tcBorders>
            <w:vAlign w:val="top"/>
          </w:tcPr>
          <w:p>
            <w:pPr>
              <w:spacing w:line="359"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20.9</w:t>
            </w:r>
          </w:p>
        </w:tc>
        <w:tc>
          <w:tcPr>
            <w:tcW w:w="650" w:type="dxa"/>
            <w:vMerge w:val="restart"/>
            <w:tcBorders>
              <w:bottom w:val="nil"/>
            </w:tcBorders>
            <w:vAlign w:val="top"/>
          </w:tcPr>
          <w:p>
            <w:pPr>
              <w:spacing w:line="359"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11.4</w:t>
            </w:r>
          </w:p>
        </w:tc>
        <w:tc>
          <w:tcPr>
            <w:tcW w:w="644" w:type="dxa"/>
            <w:vAlign w:val="top"/>
          </w:tcPr>
          <w:p>
            <w:pPr>
              <w:spacing w:before="100"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647" w:type="dxa"/>
            <w:vAlign w:val="top"/>
          </w:tcPr>
          <w:p>
            <w:pPr>
              <w:spacing w:before="100"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100"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62"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57" w:line="187" w:lineRule="auto"/>
              <w:ind w:left="27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47" w:type="dxa"/>
            <w:vAlign w:val="top"/>
          </w:tcPr>
          <w:p>
            <w:pPr>
              <w:spacing w:before="256"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5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59" w:line="251"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12" w:lineRule="auto"/>
              <w:rPr>
                <w:rFonts w:ascii="Arial"/>
                <w:sz w:val="21"/>
              </w:rPr>
            </w:pPr>
          </w:p>
          <w:p>
            <w:pPr>
              <w:pStyle w:val="6"/>
              <w:spacing w:before="69"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02 </w:t>
            </w:r>
            <w:r>
              <w:rPr>
                <w:spacing w:val="-3"/>
              </w:rPr>
              <w:t>月</w:t>
            </w:r>
            <w:r>
              <w:rPr>
                <w:spacing w:val="-54"/>
              </w:rPr>
              <w:t xml:space="preserve"> </w:t>
            </w:r>
            <w:r>
              <w:rPr>
                <w:rFonts w:ascii="Times New Roman" w:hAnsi="Times New Roman" w:eastAsia="Times New Roman" w:cs="Times New Roman"/>
                <w:spacing w:val="-3"/>
              </w:rPr>
              <w:t>01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61"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04:10~04:30</w:t>
            </w:r>
          </w:p>
        </w:tc>
        <w:tc>
          <w:tcPr>
            <w:tcW w:w="1200" w:type="dxa"/>
            <w:vMerge w:val="restart"/>
            <w:tcBorders>
              <w:bottom w:val="nil"/>
            </w:tcBorders>
            <w:vAlign w:val="top"/>
          </w:tcPr>
          <w:p>
            <w:pPr>
              <w:pStyle w:val="6"/>
              <w:spacing w:before="248"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61"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48.5</w:t>
            </w:r>
          </w:p>
        </w:tc>
        <w:tc>
          <w:tcPr>
            <w:tcW w:w="688" w:type="dxa"/>
            <w:vMerge w:val="restart"/>
            <w:tcBorders>
              <w:bottom w:val="nil"/>
            </w:tcBorders>
            <w:vAlign w:val="top"/>
          </w:tcPr>
          <w:p>
            <w:pPr>
              <w:spacing w:line="361" w:lineRule="auto"/>
              <w:rPr>
                <w:rFonts w:ascii="Arial"/>
                <w:sz w:val="21"/>
              </w:rPr>
            </w:pPr>
          </w:p>
          <w:p>
            <w:pPr>
              <w:spacing w:before="61"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42.2</w:t>
            </w:r>
          </w:p>
        </w:tc>
        <w:tc>
          <w:tcPr>
            <w:tcW w:w="707" w:type="dxa"/>
            <w:vMerge w:val="restart"/>
            <w:tcBorders>
              <w:bottom w:val="nil"/>
            </w:tcBorders>
            <w:vAlign w:val="top"/>
          </w:tcPr>
          <w:p>
            <w:pPr>
              <w:spacing w:line="361" w:lineRule="auto"/>
              <w:rPr>
                <w:rFonts w:ascii="Arial"/>
                <w:sz w:val="21"/>
              </w:rPr>
            </w:pPr>
          </w:p>
          <w:p>
            <w:pPr>
              <w:spacing w:before="61" w:line="187" w:lineRule="auto"/>
              <w:ind w:left="1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28.4</w:t>
            </w:r>
          </w:p>
        </w:tc>
        <w:tc>
          <w:tcPr>
            <w:tcW w:w="687" w:type="dxa"/>
            <w:vMerge w:val="restart"/>
            <w:tcBorders>
              <w:bottom w:val="nil"/>
            </w:tcBorders>
            <w:vAlign w:val="top"/>
          </w:tcPr>
          <w:p>
            <w:pPr>
              <w:spacing w:line="361" w:lineRule="auto"/>
              <w:rPr>
                <w:rFonts w:ascii="Arial"/>
                <w:sz w:val="21"/>
              </w:rPr>
            </w:pPr>
          </w:p>
          <w:p>
            <w:pPr>
              <w:spacing w:before="61"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23.4</w:t>
            </w:r>
          </w:p>
        </w:tc>
        <w:tc>
          <w:tcPr>
            <w:tcW w:w="707" w:type="dxa"/>
            <w:vMerge w:val="restart"/>
            <w:tcBorders>
              <w:bottom w:val="nil"/>
            </w:tcBorders>
            <w:vAlign w:val="top"/>
          </w:tcPr>
          <w:p>
            <w:pPr>
              <w:spacing w:line="361"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72.5</w:t>
            </w:r>
          </w:p>
        </w:tc>
        <w:tc>
          <w:tcPr>
            <w:tcW w:w="690" w:type="dxa"/>
            <w:vMerge w:val="restart"/>
            <w:tcBorders>
              <w:bottom w:val="nil"/>
            </w:tcBorders>
            <w:vAlign w:val="top"/>
          </w:tcPr>
          <w:p>
            <w:pPr>
              <w:spacing w:line="361"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21.1</w:t>
            </w:r>
          </w:p>
        </w:tc>
        <w:tc>
          <w:tcPr>
            <w:tcW w:w="650" w:type="dxa"/>
            <w:vMerge w:val="restart"/>
            <w:tcBorders>
              <w:bottom w:val="nil"/>
            </w:tcBorders>
            <w:vAlign w:val="top"/>
          </w:tcPr>
          <w:p>
            <w:pPr>
              <w:spacing w:line="361" w:lineRule="auto"/>
              <w:rPr>
                <w:rFonts w:ascii="Arial"/>
                <w:sz w:val="21"/>
              </w:rPr>
            </w:pPr>
          </w:p>
          <w:p>
            <w:pPr>
              <w:spacing w:before="61"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8.8</w:t>
            </w:r>
          </w:p>
        </w:tc>
        <w:tc>
          <w:tcPr>
            <w:tcW w:w="644" w:type="dxa"/>
            <w:vAlign w:val="top"/>
          </w:tcPr>
          <w:p>
            <w:pPr>
              <w:spacing w:before="100"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647" w:type="dxa"/>
            <w:vAlign w:val="top"/>
          </w:tcPr>
          <w:p>
            <w:pPr>
              <w:spacing w:before="100"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100"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61"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62" w:line="184"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47" w:type="dxa"/>
            <w:vAlign w:val="top"/>
          </w:tcPr>
          <w:p>
            <w:pPr>
              <w:spacing w:before="259"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25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62" w:line="250"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18"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02 </w:t>
            </w:r>
            <w:r>
              <w:rPr>
                <w:spacing w:val="-3"/>
              </w:rPr>
              <w:t>月</w:t>
            </w:r>
            <w:r>
              <w:rPr>
                <w:spacing w:val="-54"/>
              </w:rPr>
              <w:t xml:space="preserve"> </w:t>
            </w:r>
            <w:r>
              <w:rPr>
                <w:rFonts w:ascii="Times New Roman" w:hAnsi="Times New Roman" w:eastAsia="Times New Roman" w:cs="Times New Roman"/>
                <w:spacing w:val="-3"/>
              </w:rPr>
              <w:t>01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64"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05:10~05:30</w:t>
            </w:r>
          </w:p>
        </w:tc>
        <w:tc>
          <w:tcPr>
            <w:tcW w:w="1200" w:type="dxa"/>
            <w:vMerge w:val="restart"/>
            <w:tcBorders>
              <w:bottom w:val="nil"/>
            </w:tcBorders>
            <w:vAlign w:val="top"/>
          </w:tcPr>
          <w:p>
            <w:pPr>
              <w:pStyle w:val="6"/>
              <w:spacing w:before="252"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64" w:lineRule="auto"/>
              <w:rPr>
                <w:rFonts w:ascii="Arial"/>
                <w:sz w:val="21"/>
              </w:rPr>
            </w:pPr>
          </w:p>
          <w:p>
            <w:pPr>
              <w:spacing w:before="61"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50.3</w:t>
            </w:r>
          </w:p>
        </w:tc>
        <w:tc>
          <w:tcPr>
            <w:tcW w:w="688" w:type="dxa"/>
            <w:vMerge w:val="restart"/>
            <w:tcBorders>
              <w:bottom w:val="nil"/>
            </w:tcBorders>
            <w:vAlign w:val="top"/>
          </w:tcPr>
          <w:p>
            <w:pPr>
              <w:spacing w:line="364" w:lineRule="auto"/>
              <w:rPr>
                <w:rFonts w:ascii="Arial"/>
                <w:sz w:val="21"/>
              </w:rPr>
            </w:pPr>
          </w:p>
          <w:p>
            <w:pPr>
              <w:spacing w:before="61"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w:t>
            </w:r>
          </w:p>
        </w:tc>
        <w:tc>
          <w:tcPr>
            <w:tcW w:w="707" w:type="dxa"/>
            <w:vMerge w:val="restart"/>
            <w:tcBorders>
              <w:bottom w:val="nil"/>
            </w:tcBorders>
            <w:vAlign w:val="top"/>
          </w:tcPr>
          <w:p>
            <w:pPr>
              <w:spacing w:line="364" w:lineRule="auto"/>
              <w:rPr>
                <w:rFonts w:ascii="Arial"/>
                <w:sz w:val="21"/>
              </w:rPr>
            </w:pPr>
          </w:p>
          <w:p>
            <w:pPr>
              <w:spacing w:before="61" w:line="187"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38.4</w:t>
            </w:r>
          </w:p>
        </w:tc>
        <w:tc>
          <w:tcPr>
            <w:tcW w:w="687" w:type="dxa"/>
            <w:vMerge w:val="restart"/>
            <w:tcBorders>
              <w:bottom w:val="nil"/>
            </w:tcBorders>
            <w:vAlign w:val="top"/>
          </w:tcPr>
          <w:p>
            <w:pPr>
              <w:spacing w:line="364"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31.2</w:t>
            </w:r>
          </w:p>
        </w:tc>
        <w:tc>
          <w:tcPr>
            <w:tcW w:w="707" w:type="dxa"/>
            <w:vMerge w:val="restart"/>
            <w:tcBorders>
              <w:bottom w:val="nil"/>
            </w:tcBorders>
            <w:vAlign w:val="top"/>
          </w:tcPr>
          <w:p>
            <w:pPr>
              <w:spacing w:line="364" w:lineRule="auto"/>
              <w:rPr>
                <w:rFonts w:ascii="Arial"/>
                <w:sz w:val="21"/>
              </w:rPr>
            </w:pPr>
          </w:p>
          <w:p>
            <w:pPr>
              <w:spacing w:before="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66.8</w:t>
            </w:r>
          </w:p>
        </w:tc>
        <w:tc>
          <w:tcPr>
            <w:tcW w:w="690" w:type="dxa"/>
            <w:vMerge w:val="restart"/>
            <w:tcBorders>
              <w:bottom w:val="nil"/>
            </w:tcBorders>
            <w:vAlign w:val="top"/>
          </w:tcPr>
          <w:p>
            <w:pPr>
              <w:spacing w:line="364"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27.7</w:t>
            </w:r>
          </w:p>
        </w:tc>
        <w:tc>
          <w:tcPr>
            <w:tcW w:w="650" w:type="dxa"/>
            <w:vMerge w:val="restart"/>
            <w:tcBorders>
              <w:bottom w:val="nil"/>
            </w:tcBorders>
            <w:vAlign w:val="top"/>
          </w:tcPr>
          <w:p>
            <w:pPr>
              <w:spacing w:line="364" w:lineRule="auto"/>
              <w:rPr>
                <w:rFonts w:ascii="Arial"/>
                <w:sz w:val="21"/>
              </w:rPr>
            </w:pPr>
          </w:p>
          <w:p>
            <w:pPr>
              <w:spacing w:before="61"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644" w:type="dxa"/>
            <w:vAlign w:val="top"/>
          </w:tcPr>
          <w:p>
            <w:pPr>
              <w:spacing w:before="103"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647" w:type="dxa"/>
            <w:vAlign w:val="top"/>
          </w:tcPr>
          <w:p>
            <w:pPr>
              <w:spacing w:before="103"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vAlign w:val="top"/>
          </w:tcPr>
          <w:p>
            <w:pPr>
              <w:spacing w:before="103"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65" w:line="218"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63"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647" w:type="dxa"/>
            <w:vAlign w:val="top"/>
          </w:tcPr>
          <w:p>
            <w:pPr>
              <w:spacing w:before="263"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262"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65" w:line="249"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22"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02 </w:t>
            </w:r>
            <w:r>
              <w:rPr>
                <w:spacing w:val="-3"/>
              </w:rPr>
              <w:t>月</w:t>
            </w:r>
            <w:r>
              <w:rPr>
                <w:spacing w:val="-54"/>
              </w:rPr>
              <w:t xml:space="preserve"> </w:t>
            </w:r>
            <w:r>
              <w:rPr>
                <w:rFonts w:ascii="Times New Roman" w:hAnsi="Times New Roman" w:eastAsia="Times New Roman" w:cs="Times New Roman"/>
                <w:spacing w:val="-3"/>
              </w:rPr>
              <w:t>01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69"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06:10~06:30</w:t>
            </w:r>
          </w:p>
        </w:tc>
        <w:tc>
          <w:tcPr>
            <w:tcW w:w="1200" w:type="dxa"/>
            <w:vMerge w:val="restart"/>
            <w:tcBorders>
              <w:bottom w:val="nil"/>
            </w:tcBorders>
            <w:vAlign w:val="top"/>
          </w:tcPr>
          <w:p>
            <w:pPr>
              <w:pStyle w:val="6"/>
              <w:spacing w:before="258"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69"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63.6</w:t>
            </w:r>
          </w:p>
        </w:tc>
        <w:tc>
          <w:tcPr>
            <w:tcW w:w="688" w:type="dxa"/>
            <w:vMerge w:val="restart"/>
            <w:tcBorders>
              <w:bottom w:val="nil"/>
            </w:tcBorders>
            <w:vAlign w:val="top"/>
          </w:tcPr>
          <w:p>
            <w:pPr>
              <w:spacing w:line="369"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64.2</w:t>
            </w:r>
          </w:p>
        </w:tc>
        <w:tc>
          <w:tcPr>
            <w:tcW w:w="707" w:type="dxa"/>
            <w:vMerge w:val="restart"/>
            <w:tcBorders>
              <w:bottom w:val="nil"/>
            </w:tcBorders>
            <w:vAlign w:val="top"/>
          </w:tcPr>
          <w:p>
            <w:pPr>
              <w:spacing w:line="369" w:lineRule="auto"/>
              <w:rPr>
                <w:rFonts w:ascii="Arial"/>
                <w:sz w:val="21"/>
              </w:rPr>
            </w:pPr>
          </w:p>
          <w:p>
            <w:pPr>
              <w:spacing w:before="60"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687" w:type="dxa"/>
            <w:vMerge w:val="restart"/>
            <w:tcBorders>
              <w:bottom w:val="nil"/>
            </w:tcBorders>
            <w:vAlign w:val="top"/>
          </w:tcPr>
          <w:p>
            <w:pPr>
              <w:spacing w:line="369" w:lineRule="auto"/>
              <w:rPr>
                <w:rFonts w:ascii="Arial"/>
                <w:sz w:val="21"/>
              </w:rPr>
            </w:pPr>
          </w:p>
          <w:p>
            <w:pPr>
              <w:spacing w:before="6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707" w:type="dxa"/>
            <w:vMerge w:val="restart"/>
            <w:tcBorders>
              <w:bottom w:val="nil"/>
            </w:tcBorders>
            <w:vAlign w:val="top"/>
          </w:tcPr>
          <w:p>
            <w:pPr>
              <w:spacing w:line="369" w:lineRule="auto"/>
              <w:rPr>
                <w:rFonts w:ascii="Arial"/>
                <w:sz w:val="21"/>
              </w:rPr>
            </w:pPr>
          </w:p>
          <w:p>
            <w:pPr>
              <w:spacing w:before="60"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83.6</w:t>
            </w:r>
          </w:p>
        </w:tc>
        <w:tc>
          <w:tcPr>
            <w:tcW w:w="690" w:type="dxa"/>
            <w:vMerge w:val="restart"/>
            <w:tcBorders>
              <w:bottom w:val="nil"/>
            </w:tcBorders>
            <w:vAlign w:val="top"/>
          </w:tcPr>
          <w:p>
            <w:pPr>
              <w:spacing w:line="369" w:lineRule="auto"/>
              <w:rPr>
                <w:rFonts w:ascii="Arial"/>
                <w:sz w:val="21"/>
              </w:rPr>
            </w:pPr>
          </w:p>
          <w:p>
            <w:pPr>
              <w:spacing w:before="60"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37.8</w:t>
            </w:r>
          </w:p>
        </w:tc>
        <w:tc>
          <w:tcPr>
            <w:tcW w:w="650" w:type="dxa"/>
            <w:vMerge w:val="restart"/>
            <w:tcBorders>
              <w:bottom w:val="nil"/>
            </w:tcBorders>
            <w:vAlign w:val="top"/>
          </w:tcPr>
          <w:p>
            <w:pPr>
              <w:spacing w:line="369" w:lineRule="auto"/>
              <w:rPr>
                <w:rFonts w:ascii="Arial"/>
                <w:sz w:val="21"/>
              </w:rPr>
            </w:pPr>
          </w:p>
          <w:p>
            <w:pPr>
              <w:spacing w:before="60"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w:t>
            </w:r>
          </w:p>
        </w:tc>
        <w:tc>
          <w:tcPr>
            <w:tcW w:w="644" w:type="dxa"/>
            <w:vAlign w:val="top"/>
          </w:tcPr>
          <w:p>
            <w:pPr>
              <w:spacing w:before="110"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647" w:type="dxa"/>
            <w:vAlign w:val="top"/>
          </w:tcPr>
          <w:p>
            <w:pPr>
              <w:spacing w:before="110"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vAlign w:val="top"/>
          </w:tcPr>
          <w:p>
            <w:pPr>
              <w:spacing w:before="110"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72" w:line="218"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67"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647" w:type="dxa"/>
            <w:vAlign w:val="top"/>
          </w:tcPr>
          <w:p>
            <w:pPr>
              <w:spacing w:before="267"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vAlign w:val="top"/>
          </w:tcPr>
          <w:p>
            <w:pPr>
              <w:spacing w:before="267"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69" w:line="247"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23"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02 </w:t>
            </w:r>
            <w:r>
              <w:rPr>
                <w:spacing w:val="-3"/>
              </w:rPr>
              <w:t>月</w:t>
            </w:r>
            <w:r>
              <w:rPr>
                <w:spacing w:val="-54"/>
              </w:rPr>
              <w:t xml:space="preserve"> </w:t>
            </w:r>
            <w:r>
              <w:rPr>
                <w:rFonts w:ascii="Times New Roman" w:hAnsi="Times New Roman" w:eastAsia="Times New Roman" w:cs="Times New Roman"/>
                <w:spacing w:val="-3"/>
              </w:rPr>
              <w:t>01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69"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07:10~07:30</w:t>
            </w:r>
          </w:p>
        </w:tc>
        <w:tc>
          <w:tcPr>
            <w:tcW w:w="1200" w:type="dxa"/>
            <w:vMerge w:val="restart"/>
            <w:tcBorders>
              <w:bottom w:val="nil"/>
            </w:tcBorders>
            <w:vAlign w:val="top"/>
          </w:tcPr>
          <w:p>
            <w:pPr>
              <w:pStyle w:val="6"/>
              <w:spacing w:before="256"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69"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65.6</w:t>
            </w:r>
          </w:p>
        </w:tc>
        <w:tc>
          <w:tcPr>
            <w:tcW w:w="688" w:type="dxa"/>
            <w:vMerge w:val="restart"/>
            <w:tcBorders>
              <w:bottom w:val="nil"/>
            </w:tcBorders>
            <w:vAlign w:val="top"/>
          </w:tcPr>
          <w:p>
            <w:pPr>
              <w:spacing w:line="369"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68.4</w:t>
            </w:r>
          </w:p>
        </w:tc>
        <w:tc>
          <w:tcPr>
            <w:tcW w:w="707" w:type="dxa"/>
            <w:vMerge w:val="restart"/>
            <w:tcBorders>
              <w:bottom w:val="nil"/>
            </w:tcBorders>
            <w:vAlign w:val="top"/>
          </w:tcPr>
          <w:p>
            <w:pPr>
              <w:spacing w:line="369"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687" w:type="dxa"/>
            <w:vMerge w:val="restart"/>
            <w:tcBorders>
              <w:bottom w:val="nil"/>
            </w:tcBorders>
            <w:vAlign w:val="top"/>
          </w:tcPr>
          <w:p>
            <w:pPr>
              <w:spacing w:line="369"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51.8</w:t>
            </w:r>
          </w:p>
        </w:tc>
        <w:tc>
          <w:tcPr>
            <w:tcW w:w="707" w:type="dxa"/>
            <w:vMerge w:val="restart"/>
            <w:tcBorders>
              <w:bottom w:val="nil"/>
            </w:tcBorders>
            <w:vAlign w:val="top"/>
          </w:tcPr>
          <w:p>
            <w:pPr>
              <w:spacing w:line="369"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89.9</w:t>
            </w:r>
          </w:p>
        </w:tc>
        <w:tc>
          <w:tcPr>
            <w:tcW w:w="690" w:type="dxa"/>
            <w:vMerge w:val="restart"/>
            <w:tcBorders>
              <w:bottom w:val="nil"/>
            </w:tcBorders>
            <w:vAlign w:val="top"/>
          </w:tcPr>
          <w:p>
            <w:pPr>
              <w:spacing w:line="369" w:lineRule="auto"/>
              <w:rPr>
                <w:rFonts w:ascii="Arial"/>
                <w:sz w:val="21"/>
              </w:rPr>
            </w:pPr>
          </w:p>
          <w:p>
            <w:pPr>
              <w:spacing w:before="61"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41.9</w:t>
            </w:r>
          </w:p>
        </w:tc>
        <w:tc>
          <w:tcPr>
            <w:tcW w:w="650" w:type="dxa"/>
            <w:vMerge w:val="restart"/>
            <w:tcBorders>
              <w:bottom w:val="nil"/>
            </w:tcBorders>
            <w:vAlign w:val="top"/>
          </w:tcPr>
          <w:p>
            <w:pPr>
              <w:spacing w:line="369" w:lineRule="auto"/>
              <w:rPr>
                <w:rFonts w:ascii="Arial"/>
                <w:sz w:val="21"/>
              </w:rPr>
            </w:pPr>
          </w:p>
          <w:p>
            <w:pPr>
              <w:spacing w:before="61"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644" w:type="dxa"/>
            <w:vAlign w:val="top"/>
          </w:tcPr>
          <w:p>
            <w:pPr>
              <w:spacing w:before="108"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96</w:t>
            </w:r>
          </w:p>
        </w:tc>
        <w:tc>
          <w:tcPr>
            <w:tcW w:w="647" w:type="dxa"/>
            <w:vAlign w:val="top"/>
          </w:tcPr>
          <w:p>
            <w:pPr>
              <w:spacing w:before="108" w:line="187"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740" w:type="dxa"/>
            <w:vAlign w:val="top"/>
          </w:tcPr>
          <w:p>
            <w:pPr>
              <w:spacing w:before="111" w:line="184"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59" w:type="dxa"/>
            <w:tcBorders>
              <w:right w:val="single" w:color="000000" w:sz="10" w:space="0"/>
            </w:tcBorders>
            <w:vAlign w:val="top"/>
          </w:tcPr>
          <w:p>
            <w:pPr>
              <w:pStyle w:val="6"/>
              <w:spacing w:before="69" w:line="214"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70"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647" w:type="dxa"/>
            <w:vAlign w:val="top"/>
          </w:tcPr>
          <w:p>
            <w:pPr>
              <w:spacing w:before="270"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70"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71" w:line="246"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26"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02 </w:t>
            </w:r>
            <w:r>
              <w:rPr>
                <w:spacing w:val="-3"/>
              </w:rPr>
              <w:t>月</w:t>
            </w:r>
            <w:r>
              <w:rPr>
                <w:spacing w:val="-54"/>
              </w:rPr>
              <w:t xml:space="preserve"> </w:t>
            </w:r>
            <w:r>
              <w:rPr>
                <w:rFonts w:ascii="Times New Roman" w:hAnsi="Times New Roman" w:eastAsia="Times New Roman" w:cs="Times New Roman"/>
                <w:spacing w:val="-3"/>
              </w:rPr>
              <w:t>01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73"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08:10~08:30</w:t>
            </w:r>
          </w:p>
        </w:tc>
        <w:tc>
          <w:tcPr>
            <w:tcW w:w="1200" w:type="dxa"/>
            <w:vMerge w:val="restart"/>
            <w:tcBorders>
              <w:bottom w:val="nil"/>
            </w:tcBorders>
            <w:vAlign w:val="top"/>
          </w:tcPr>
          <w:p>
            <w:pPr>
              <w:pStyle w:val="6"/>
              <w:spacing w:before="260"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73"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68.1</w:t>
            </w:r>
          </w:p>
        </w:tc>
        <w:tc>
          <w:tcPr>
            <w:tcW w:w="688" w:type="dxa"/>
            <w:vMerge w:val="restart"/>
            <w:tcBorders>
              <w:bottom w:val="nil"/>
            </w:tcBorders>
            <w:vAlign w:val="top"/>
          </w:tcPr>
          <w:p>
            <w:pPr>
              <w:spacing w:line="373" w:lineRule="auto"/>
              <w:rPr>
                <w:rFonts w:ascii="Arial"/>
                <w:sz w:val="21"/>
              </w:rPr>
            </w:pPr>
          </w:p>
          <w:p>
            <w:pPr>
              <w:spacing w:before="6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70.2</w:t>
            </w:r>
          </w:p>
        </w:tc>
        <w:tc>
          <w:tcPr>
            <w:tcW w:w="707" w:type="dxa"/>
            <w:vMerge w:val="restart"/>
            <w:tcBorders>
              <w:bottom w:val="nil"/>
            </w:tcBorders>
            <w:vAlign w:val="top"/>
          </w:tcPr>
          <w:p>
            <w:pPr>
              <w:spacing w:line="373"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62.4</w:t>
            </w:r>
          </w:p>
        </w:tc>
        <w:tc>
          <w:tcPr>
            <w:tcW w:w="687" w:type="dxa"/>
            <w:vMerge w:val="restart"/>
            <w:tcBorders>
              <w:bottom w:val="nil"/>
            </w:tcBorders>
            <w:vAlign w:val="top"/>
          </w:tcPr>
          <w:p>
            <w:pPr>
              <w:spacing w:line="373"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c>
          <w:tcPr>
            <w:tcW w:w="707" w:type="dxa"/>
            <w:vMerge w:val="restart"/>
            <w:tcBorders>
              <w:bottom w:val="nil"/>
            </w:tcBorders>
            <w:vAlign w:val="top"/>
          </w:tcPr>
          <w:p>
            <w:pPr>
              <w:spacing w:line="373" w:lineRule="auto"/>
              <w:rPr>
                <w:rFonts w:ascii="Arial"/>
                <w:sz w:val="21"/>
              </w:rPr>
            </w:pPr>
          </w:p>
          <w:p>
            <w:pPr>
              <w:spacing w:before="6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97.2</w:t>
            </w:r>
          </w:p>
        </w:tc>
        <w:tc>
          <w:tcPr>
            <w:tcW w:w="690" w:type="dxa"/>
            <w:vMerge w:val="restart"/>
            <w:tcBorders>
              <w:bottom w:val="nil"/>
            </w:tcBorders>
            <w:vAlign w:val="top"/>
          </w:tcPr>
          <w:p>
            <w:pPr>
              <w:spacing w:line="373" w:lineRule="auto"/>
              <w:rPr>
                <w:rFonts w:ascii="Arial"/>
                <w:sz w:val="21"/>
              </w:rPr>
            </w:pPr>
          </w:p>
          <w:p>
            <w:pPr>
              <w:spacing w:before="6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w:t>
            </w:r>
          </w:p>
        </w:tc>
        <w:tc>
          <w:tcPr>
            <w:tcW w:w="650" w:type="dxa"/>
            <w:vMerge w:val="restart"/>
            <w:tcBorders>
              <w:bottom w:val="nil"/>
            </w:tcBorders>
            <w:vAlign w:val="top"/>
          </w:tcPr>
          <w:p>
            <w:pPr>
              <w:spacing w:line="373" w:lineRule="auto"/>
              <w:rPr>
                <w:rFonts w:ascii="Arial"/>
                <w:sz w:val="21"/>
              </w:rPr>
            </w:pPr>
          </w:p>
          <w:p>
            <w:pPr>
              <w:spacing w:before="6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44" w:type="dxa"/>
            <w:vAlign w:val="top"/>
          </w:tcPr>
          <w:p>
            <w:pPr>
              <w:spacing w:before="111"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119</w:t>
            </w:r>
          </w:p>
        </w:tc>
        <w:tc>
          <w:tcPr>
            <w:tcW w:w="647" w:type="dxa"/>
            <w:vAlign w:val="top"/>
          </w:tcPr>
          <w:p>
            <w:pPr>
              <w:spacing w:before="111"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740" w:type="dxa"/>
            <w:vAlign w:val="top"/>
          </w:tcPr>
          <w:p>
            <w:pPr>
              <w:spacing w:before="11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59" w:type="dxa"/>
            <w:tcBorders>
              <w:right w:val="single" w:color="000000" w:sz="10" w:space="0"/>
            </w:tcBorders>
            <w:vAlign w:val="top"/>
          </w:tcPr>
          <w:p>
            <w:pPr>
              <w:pStyle w:val="6"/>
              <w:spacing w:before="72" w:line="21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73"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647" w:type="dxa"/>
            <w:vAlign w:val="top"/>
          </w:tcPr>
          <w:p>
            <w:pPr>
              <w:spacing w:before="273"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73"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73" w:line="245"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29"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02 </w:t>
            </w:r>
            <w:r>
              <w:rPr>
                <w:spacing w:val="-3"/>
              </w:rPr>
              <w:t>月</w:t>
            </w:r>
            <w:r>
              <w:rPr>
                <w:spacing w:val="-54"/>
              </w:rPr>
              <w:t xml:space="preserve"> </w:t>
            </w:r>
            <w:r>
              <w:rPr>
                <w:rFonts w:ascii="Times New Roman" w:hAnsi="Times New Roman" w:eastAsia="Times New Roman" w:cs="Times New Roman"/>
                <w:spacing w:val="-3"/>
              </w:rPr>
              <w:t>01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76"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09:10~09:30</w:t>
            </w:r>
          </w:p>
        </w:tc>
        <w:tc>
          <w:tcPr>
            <w:tcW w:w="1200" w:type="dxa"/>
            <w:vMerge w:val="restart"/>
            <w:tcBorders>
              <w:bottom w:val="nil"/>
            </w:tcBorders>
            <w:vAlign w:val="top"/>
          </w:tcPr>
          <w:p>
            <w:pPr>
              <w:pStyle w:val="6"/>
              <w:spacing w:before="263" w:line="231"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76"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65.3</w:t>
            </w:r>
          </w:p>
        </w:tc>
        <w:tc>
          <w:tcPr>
            <w:tcW w:w="688" w:type="dxa"/>
            <w:vMerge w:val="restart"/>
            <w:tcBorders>
              <w:bottom w:val="nil"/>
            </w:tcBorders>
            <w:vAlign w:val="top"/>
          </w:tcPr>
          <w:p>
            <w:pPr>
              <w:spacing w:line="376"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68.2</w:t>
            </w:r>
          </w:p>
        </w:tc>
        <w:tc>
          <w:tcPr>
            <w:tcW w:w="707" w:type="dxa"/>
            <w:vMerge w:val="restart"/>
            <w:tcBorders>
              <w:bottom w:val="nil"/>
            </w:tcBorders>
            <w:vAlign w:val="top"/>
          </w:tcPr>
          <w:p>
            <w:pPr>
              <w:spacing w:line="376"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60.2</w:t>
            </w:r>
          </w:p>
        </w:tc>
        <w:tc>
          <w:tcPr>
            <w:tcW w:w="687" w:type="dxa"/>
            <w:vMerge w:val="restart"/>
            <w:tcBorders>
              <w:bottom w:val="nil"/>
            </w:tcBorders>
            <w:vAlign w:val="top"/>
          </w:tcPr>
          <w:p>
            <w:pPr>
              <w:spacing w:line="376"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707" w:type="dxa"/>
            <w:vMerge w:val="restart"/>
            <w:tcBorders>
              <w:bottom w:val="nil"/>
            </w:tcBorders>
            <w:vAlign w:val="top"/>
          </w:tcPr>
          <w:p>
            <w:pPr>
              <w:spacing w:line="376" w:lineRule="auto"/>
              <w:rPr>
                <w:rFonts w:ascii="Arial"/>
                <w:sz w:val="21"/>
              </w:rPr>
            </w:pPr>
          </w:p>
          <w:p>
            <w:pPr>
              <w:spacing w:before="6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91.5</w:t>
            </w:r>
          </w:p>
        </w:tc>
        <w:tc>
          <w:tcPr>
            <w:tcW w:w="690" w:type="dxa"/>
            <w:vMerge w:val="restart"/>
            <w:tcBorders>
              <w:bottom w:val="nil"/>
            </w:tcBorders>
            <w:vAlign w:val="top"/>
          </w:tcPr>
          <w:p>
            <w:pPr>
              <w:spacing w:line="376" w:lineRule="auto"/>
              <w:rPr>
                <w:rFonts w:ascii="Arial"/>
                <w:sz w:val="21"/>
              </w:rPr>
            </w:pPr>
          </w:p>
          <w:p>
            <w:pPr>
              <w:spacing w:before="6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41.9</w:t>
            </w:r>
          </w:p>
        </w:tc>
        <w:tc>
          <w:tcPr>
            <w:tcW w:w="650" w:type="dxa"/>
            <w:vMerge w:val="restart"/>
            <w:tcBorders>
              <w:bottom w:val="nil"/>
            </w:tcBorders>
            <w:vAlign w:val="top"/>
          </w:tcPr>
          <w:p>
            <w:pPr>
              <w:spacing w:line="376" w:lineRule="auto"/>
              <w:rPr>
                <w:rFonts w:ascii="Arial"/>
                <w:sz w:val="21"/>
              </w:rPr>
            </w:pPr>
          </w:p>
          <w:p>
            <w:pPr>
              <w:spacing w:before="60"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c>
          <w:tcPr>
            <w:tcW w:w="644" w:type="dxa"/>
            <w:vAlign w:val="top"/>
          </w:tcPr>
          <w:p>
            <w:pPr>
              <w:spacing w:before="114"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175</w:t>
            </w:r>
          </w:p>
        </w:tc>
        <w:tc>
          <w:tcPr>
            <w:tcW w:w="647" w:type="dxa"/>
            <w:vAlign w:val="top"/>
          </w:tcPr>
          <w:p>
            <w:pPr>
              <w:spacing w:before="114"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740" w:type="dxa"/>
            <w:vAlign w:val="top"/>
          </w:tcPr>
          <w:p>
            <w:pPr>
              <w:spacing w:before="114" w:line="187" w:lineRule="auto"/>
              <w:ind w:left="333"/>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459" w:type="dxa"/>
            <w:tcBorders>
              <w:right w:val="single" w:color="000000" w:sz="10" w:space="0"/>
            </w:tcBorders>
            <w:vAlign w:val="top"/>
          </w:tcPr>
          <w:p>
            <w:pPr>
              <w:pStyle w:val="6"/>
              <w:spacing w:before="76" w:line="208"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504" w:type="dxa"/>
            <w:vMerge w:val="continue"/>
            <w:tcBorders>
              <w:top w:val="nil"/>
              <w:left w:val="single" w:color="000000" w:sz="10" w:space="0"/>
              <w:bottom w:val="single" w:color="000000" w:sz="10" w:space="0"/>
            </w:tcBorders>
            <w:textDirection w:val="tbRlV"/>
            <w:vAlign w:val="top"/>
          </w:tcPr>
          <w:p>
            <w:pPr>
              <w:rPr>
                <w:rFonts w:ascii="Arial"/>
                <w:sz w:val="21"/>
              </w:rPr>
            </w:pPr>
          </w:p>
        </w:tc>
        <w:tc>
          <w:tcPr>
            <w:tcW w:w="951" w:type="dxa"/>
            <w:vMerge w:val="continue"/>
            <w:tcBorders>
              <w:top w:val="nil"/>
              <w:bottom w:val="single" w:color="000000" w:sz="10" w:space="0"/>
            </w:tcBorders>
            <w:vAlign w:val="top"/>
          </w:tcPr>
          <w:p>
            <w:pPr>
              <w:rPr>
                <w:rFonts w:ascii="Arial"/>
                <w:sz w:val="21"/>
              </w:rPr>
            </w:pPr>
          </w:p>
        </w:tc>
        <w:tc>
          <w:tcPr>
            <w:tcW w:w="1905" w:type="dxa"/>
            <w:vMerge w:val="continue"/>
            <w:tcBorders>
              <w:top w:val="nil"/>
              <w:bottom w:val="single" w:color="000000" w:sz="10" w:space="0"/>
            </w:tcBorders>
            <w:vAlign w:val="top"/>
          </w:tcPr>
          <w:p>
            <w:pPr>
              <w:rPr>
                <w:rFonts w:ascii="Arial"/>
                <w:sz w:val="21"/>
              </w:rPr>
            </w:pPr>
          </w:p>
        </w:tc>
        <w:tc>
          <w:tcPr>
            <w:tcW w:w="1361" w:type="dxa"/>
            <w:vMerge w:val="continue"/>
            <w:tcBorders>
              <w:top w:val="nil"/>
              <w:bottom w:val="single" w:color="000000" w:sz="10" w:space="0"/>
            </w:tcBorders>
            <w:vAlign w:val="top"/>
          </w:tcPr>
          <w:p>
            <w:pPr>
              <w:rPr>
                <w:rFonts w:ascii="Arial"/>
                <w:sz w:val="21"/>
              </w:rPr>
            </w:pPr>
          </w:p>
        </w:tc>
        <w:tc>
          <w:tcPr>
            <w:tcW w:w="1200"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88"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87" w:type="dxa"/>
            <w:vMerge w:val="continue"/>
            <w:tcBorders>
              <w:top w:val="nil"/>
              <w:bottom w:val="single" w:color="000000" w:sz="10" w:space="0"/>
            </w:tcBorders>
            <w:vAlign w:val="top"/>
          </w:tcPr>
          <w:p>
            <w:pPr>
              <w:rPr>
                <w:rFonts w:ascii="Arial"/>
                <w:sz w:val="21"/>
              </w:rPr>
            </w:pPr>
          </w:p>
        </w:tc>
        <w:tc>
          <w:tcPr>
            <w:tcW w:w="707" w:type="dxa"/>
            <w:vMerge w:val="continue"/>
            <w:tcBorders>
              <w:top w:val="nil"/>
              <w:bottom w:val="single" w:color="000000" w:sz="10" w:space="0"/>
            </w:tcBorders>
            <w:vAlign w:val="top"/>
          </w:tcPr>
          <w:p>
            <w:pPr>
              <w:rPr>
                <w:rFonts w:ascii="Arial"/>
                <w:sz w:val="21"/>
              </w:rPr>
            </w:pPr>
          </w:p>
        </w:tc>
        <w:tc>
          <w:tcPr>
            <w:tcW w:w="690" w:type="dxa"/>
            <w:vMerge w:val="continue"/>
            <w:tcBorders>
              <w:top w:val="nil"/>
              <w:bottom w:val="single" w:color="000000" w:sz="10" w:space="0"/>
            </w:tcBorders>
            <w:vAlign w:val="top"/>
          </w:tcPr>
          <w:p>
            <w:pPr>
              <w:rPr>
                <w:rFonts w:ascii="Arial"/>
                <w:sz w:val="21"/>
              </w:rPr>
            </w:pPr>
          </w:p>
        </w:tc>
        <w:tc>
          <w:tcPr>
            <w:tcW w:w="650" w:type="dxa"/>
            <w:vMerge w:val="continue"/>
            <w:tcBorders>
              <w:top w:val="nil"/>
              <w:bottom w:val="single" w:color="000000" w:sz="10" w:space="0"/>
            </w:tcBorders>
            <w:vAlign w:val="top"/>
          </w:tcPr>
          <w:p>
            <w:pPr>
              <w:rPr>
                <w:rFonts w:ascii="Arial"/>
                <w:sz w:val="21"/>
              </w:rPr>
            </w:pPr>
          </w:p>
        </w:tc>
        <w:tc>
          <w:tcPr>
            <w:tcW w:w="644" w:type="dxa"/>
            <w:tcBorders>
              <w:bottom w:val="single" w:color="000000" w:sz="10" w:space="0"/>
            </w:tcBorders>
            <w:vAlign w:val="top"/>
          </w:tcPr>
          <w:p>
            <w:pPr>
              <w:spacing w:before="276"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647" w:type="dxa"/>
            <w:tcBorders>
              <w:bottom w:val="single" w:color="000000" w:sz="10" w:space="0"/>
            </w:tcBorders>
            <w:vAlign w:val="top"/>
          </w:tcPr>
          <w:p>
            <w:pPr>
              <w:spacing w:before="276" w:line="187"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740" w:type="dxa"/>
            <w:tcBorders>
              <w:bottom w:val="single" w:color="000000" w:sz="10" w:space="0"/>
            </w:tcBorders>
            <w:vAlign w:val="top"/>
          </w:tcPr>
          <w:p>
            <w:pPr>
              <w:spacing w:before="27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bottom w:val="single" w:color="000000" w:sz="10" w:space="0"/>
              <w:right w:val="single" w:color="000000" w:sz="10" w:space="0"/>
            </w:tcBorders>
            <w:vAlign w:val="top"/>
          </w:tcPr>
          <w:p>
            <w:pPr>
              <w:pStyle w:val="6"/>
              <w:spacing w:before="79" w:line="250"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bl>
    <w:p>
      <w:pPr>
        <w:pStyle w:val="2"/>
      </w:pPr>
    </w:p>
    <w:p>
      <w:pPr>
        <w:sectPr>
          <w:footerReference r:id="rId212" w:type="default"/>
          <w:pgSz w:w="16839" w:h="11907"/>
          <w:pgMar w:top="1260" w:right="1281" w:bottom="1151" w:left="1283" w:header="1019" w:footer="990" w:gutter="0"/>
          <w:cols w:space="720" w:num="1"/>
        </w:sectPr>
      </w:pPr>
    </w:p>
    <w:p>
      <w:pPr>
        <w:spacing w:line="155" w:lineRule="exact"/>
      </w:pPr>
    </w:p>
    <w:tbl>
      <w:tblPr>
        <w:tblStyle w:val="5"/>
        <w:tblW w:w="142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951"/>
        <w:gridCol w:w="1905"/>
        <w:gridCol w:w="1361"/>
        <w:gridCol w:w="1200"/>
        <w:gridCol w:w="707"/>
        <w:gridCol w:w="688"/>
        <w:gridCol w:w="707"/>
        <w:gridCol w:w="687"/>
        <w:gridCol w:w="707"/>
        <w:gridCol w:w="690"/>
        <w:gridCol w:w="650"/>
        <w:gridCol w:w="644"/>
        <w:gridCol w:w="647"/>
        <w:gridCol w:w="740"/>
        <w:gridCol w:w="1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04" w:type="dxa"/>
            <w:vMerge w:val="restart"/>
            <w:tcBorders>
              <w:top w:val="single" w:color="000000" w:sz="10" w:space="0"/>
              <w:left w:val="single" w:color="000000" w:sz="10" w:space="0"/>
              <w:bottom w:val="nil"/>
            </w:tcBorders>
            <w:textDirection w:val="tbRlV"/>
            <w:vAlign w:val="top"/>
          </w:tcPr>
          <w:p>
            <w:pPr>
              <w:pStyle w:val="6"/>
              <w:spacing w:before="144" w:line="211" w:lineRule="auto"/>
              <w:ind w:left="374"/>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951" w:type="dxa"/>
            <w:vMerge w:val="restart"/>
            <w:tcBorders>
              <w:top w:val="single" w:color="000000" w:sz="10" w:space="0"/>
              <w:bottom w:val="nil"/>
            </w:tcBorders>
            <w:vAlign w:val="top"/>
          </w:tcPr>
          <w:p>
            <w:pPr>
              <w:spacing w:line="304" w:lineRule="auto"/>
              <w:rPr>
                <w:rFonts w:ascii="Arial"/>
                <w:sz w:val="21"/>
              </w:rPr>
            </w:pPr>
          </w:p>
          <w:p>
            <w:pPr>
              <w:pStyle w:val="6"/>
              <w:spacing w:before="69" w:line="231" w:lineRule="auto"/>
              <w:ind w:left="367" w:right="170" w:hanging="199"/>
            </w:pPr>
            <w:r>
              <w:rPr>
                <w:spacing w:val="-8"/>
                <w14:textOutline w14:w="3831" w14:cap="flat" w14:cmpd="sng">
                  <w14:solidFill>
                    <w14:srgbClr w14:val="000000"/>
                  </w14:solidFill>
                  <w14:prstDash w14:val="solid"/>
                  <w14:miter w14:val="0"/>
                </w14:textOutline>
              </w:rPr>
              <w:t>检测点</w:t>
            </w:r>
            <w:r>
              <w:t xml:space="preserve"> </w:t>
            </w:r>
            <w:r>
              <w:rPr>
                <w14:textOutline w14:w="3831" w14:cap="flat" w14:cmpd="sng">
                  <w14:solidFill>
                    <w14:srgbClr w14:val="000000"/>
                  </w14:solidFill>
                  <w14:prstDash w14:val="solid"/>
                  <w14:miter w14:val="0"/>
                </w14:textOutline>
              </w:rPr>
              <w:t>位</w:t>
            </w:r>
          </w:p>
        </w:tc>
        <w:tc>
          <w:tcPr>
            <w:tcW w:w="3266" w:type="dxa"/>
            <w:gridSpan w:val="2"/>
            <w:vMerge w:val="restart"/>
            <w:tcBorders>
              <w:top w:val="single" w:color="000000" w:sz="10" w:space="0"/>
              <w:bottom w:val="nil"/>
            </w:tcBorders>
            <w:vAlign w:val="top"/>
          </w:tcPr>
          <w:p>
            <w:pPr>
              <w:spacing w:line="439" w:lineRule="auto"/>
              <w:rPr>
                <w:rFonts w:ascii="Arial"/>
                <w:sz w:val="21"/>
              </w:rPr>
            </w:pPr>
          </w:p>
          <w:p>
            <w:pPr>
              <w:pStyle w:val="6"/>
              <w:spacing w:before="68" w:line="221" w:lineRule="auto"/>
              <w:ind w:left="1209"/>
            </w:pPr>
            <w:r>
              <w:rPr>
                <w:spacing w:val="-1"/>
                <w14:textOutline w14:w="3831" w14:cap="flat" w14:cmpd="sng">
                  <w14:solidFill>
                    <w14:srgbClr w14:val="000000"/>
                  </w14:solidFill>
                  <w14:prstDash w14:val="solid"/>
                  <w14:miter w14:val="0"/>
                </w14:textOutline>
              </w:rPr>
              <w:t>检测时间</w:t>
            </w:r>
          </w:p>
        </w:tc>
        <w:tc>
          <w:tcPr>
            <w:tcW w:w="1200" w:type="dxa"/>
            <w:vMerge w:val="restart"/>
            <w:tcBorders>
              <w:top w:val="single" w:color="000000" w:sz="10" w:space="0"/>
              <w:bottom w:val="nil"/>
            </w:tcBorders>
            <w:vAlign w:val="top"/>
          </w:tcPr>
          <w:p>
            <w:pPr>
              <w:spacing w:line="440" w:lineRule="auto"/>
              <w:rPr>
                <w:rFonts w:ascii="Arial"/>
                <w:sz w:val="21"/>
              </w:rPr>
            </w:pPr>
          </w:p>
          <w:p>
            <w:pPr>
              <w:pStyle w:val="6"/>
              <w:spacing w:before="68" w:line="221" w:lineRule="auto"/>
              <w:ind w:left="202"/>
            </w:pPr>
            <w:r>
              <w:rPr>
                <w:spacing w:val="-7"/>
                <w14:textOutline w14:w="3831" w14:cap="flat" w14:cmpd="sng">
                  <w14:solidFill>
                    <w14:srgbClr w14:val="000000"/>
                  </w14:solidFill>
                  <w14:prstDash w14:val="solid"/>
                  <w14:miter w14:val="0"/>
                </w14:textOutline>
              </w:rPr>
              <w:t>主要声源</w:t>
            </w:r>
          </w:p>
        </w:tc>
        <w:tc>
          <w:tcPr>
            <w:tcW w:w="4836" w:type="dxa"/>
            <w:gridSpan w:val="7"/>
            <w:tcBorders>
              <w:top w:val="single" w:color="000000" w:sz="10" w:space="0"/>
            </w:tcBorders>
            <w:vAlign w:val="top"/>
          </w:tcPr>
          <w:p>
            <w:pPr>
              <w:pStyle w:val="6"/>
              <w:spacing w:before="184" w:line="221" w:lineRule="auto"/>
              <w:ind w:left="2022"/>
            </w:pPr>
            <w:r>
              <w:rPr>
                <w:spacing w:val="-7"/>
                <w14:textOutline w14:w="3831" w14:cap="flat" w14:cmpd="sng">
                  <w14:solidFill>
                    <w14:srgbClr w14:val="000000"/>
                  </w14:solidFill>
                  <w14:prstDash w14:val="solid"/>
                  <w14:miter w14:val="0"/>
                </w14:textOutline>
              </w:rPr>
              <w:t>检测结果</w:t>
            </w:r>
          </w:p>
        </w:tc>
        <w:tc>
          <w:tcPr>
            <w:tcW w:w="2031" w:type="dxa"/>
            <w:gridSpan w:val="3"/>
            <w:tcBorders>
              <w:top w:val="single" w:color="000000" w:sz="10" w:space="0"/>
            </w:tcBorders>
            <w:vAlign w:val="top"/>
          </w:tcPr>
          <w:p>
            <w:pPr>
              <w:pStyle w:val="6"/>
              <w:spacing w:before="48" w:line="238" w:lineRule="auto"/>
              <w:ind w:left="529"/>
            </w:pPr>
            <w:r>
              <w:rPr>
                <w:spacing w:val="-7"/>
                <w14:textOutline w14:w="3831" w14:cap="flat" w14:cmpd="sng">
                  <w14:solidFill>
                    <w14:srgbClr w14:val="000000"/>
                  </w14:solidFill>
                  <w14:prstDash w14:val="solid"/>
                  <w14:miter w14:val="0"/>
                </w14:textOutline>
              </w:rPr>
              <w:t>车流量情况</w:t>
            </w:r>
          </w:p>
          <w:p>
            <w:pPr>
              <w:pStyle w:val="6"/>
              <w:spacing w:line="218" w:lineRule="auto"/>
              <w:ind w:left="440"/>
            </w:pPr>
            <w:r>
              <w:rPr>
                <w:spacing w:val="-7"/>
                <w14:textOutline w14:w="3831" w14:cap="flat" w14:cmpd="sng">
                  <w14:solidFill>
                    <w14:srgbClr w14:val="000000"/>
                  </w14:solidFill>
                  <w14:prstDash w14:val="solid"/>
                  <w14:miter w14:val="0"/>
                </w14:textOutline>
              </w:rPr>
              <w:t>（辆</w:t>
            </w:r>
            <w:r>
              <w:rPr>
                <w:rFonts w:ascii="Times New Roman" w:hAnsi="Times New Roman" w:eastAsia="Times New Roman" w:cs="Times New Roman"/>
                <w:b/>
                <w:bCs/>
                <w:spacing w:val="-7"/>
              </w:rPr>
              <w:t>/20min</w:t>
            </w:r>
            <w:r>
              <w:rPr>
                <w:spacing w:val="-7"/>
                <w14:textOutline w14:w="3831" w14:cap="flat" w14:cmpd="sng">
                  <w14:solidFill>
                    <w14:srgbClr w14:val="000000"/>
                  </w14:solidFill>
                  <w14:prstDash w14:val="solid"/>
                  <w14:miter w14:val="0"/>
                </w14:textOutline>
              </w:rPr>
              <w:t>）</w:t>
            </w:r>
          </w:p>
        </w:tc>
        <w:tc>
          <w:tcPr>
            <w:tcW w:w="1459" w:type="dxa"/>
            <w:vMerge w:val="restart"/>
            <w:tcBorders>
              <w:top w:val="single" w:color="000000" w:sz="10" w:space="0"/>
              <w:bottom w:val="nil"/>
              <w:right w:val="single" w:color="000000" w:sz="10" w:space="0"/>
            </w:tcBorders>
            <w:vAlign w:val="top"/>
          </w:tcPr>
          <w:p>
            <w:pPr>
              <w:spacing w:line="440" w:lineRule="auto"/>
              <w:rPr>
                <w:rFonts w:ascii="Arial"/>
                <w:sz w:val="21"/>
              </w:rPr>
            </w:pPr>
          </w:p>
          <w:p>
            <w:pPr>
              <w:pStyle w:val="6"/>
              <w:spacing w:before="68" w:line="222" w:lineRule="auto"/>
              <w:ind w:left="541"/>
            </w:pPr>
            <w:r>
              <w:rPr>
                <w:spacing w:val="-5"/>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Align w:val="top"/>
          </w:tcPr>
          <w:p>
            <w:pPr>
              <w:spacing w:before="260" w:line="195" w:lineRule="auto"/>
              <w:ind w:left="213"/>
              <w:rPr>
                <w:rFonts w:ascii="Times New Roman" w:hAnsi="Times New Roman" w:eastAsia="Times New Roman" w:cs="Times New Roman"/>
                <w:sz w:val="13"/>
                <w:szCs w:val="13"/>
              </w:rPr>
            </w:pPr>
            <w:r>
              <w:rPr>
                <w:rFonts w:ascii="Times New Roman" w:hAnsi="Times New Roman" w:eastAsia="Times New Roman" w:cs="Times New Roman"/>
                <w:b/>
                <w:bCs/>
                <w:spacing w:val="2"/>
                <w:position w:val="1"/>
                <w:sz w:val="21"/>
                <w:szCs w:val="21"/>
              </w:rPr>
              <w:t>L</w:t>
            </w:r>
            <w:r>
              <w:rPr>
                <w:rFonts w:ascii="Times New Roman" w:hAnsi="Times New Roman" w:eastAsia="Times New Roman" w:cs="Times New Roman"/>
                <w:b/>
                <w:bCs/>
                <w:spacing w:val="2"/>
                <w:sz w:val="13"/>
                <w:szCs w:val="13"/>
              </w:rPr>
              <w:t>eq</w:t>
            </w:r>
          </w:p>
        </w:tc>
        <w:tc>
          <w:tcPr>
            <w:tcW w:w="688" w:type="dxa"/>
            <w:vAlign w:val="top"/>
          </w:tcPr>
          <w:p>
            <w:pPr>
              <w:spacing w:before="260" w:line="203" w:lineRule="auto"/>
              <w:ind w:left="204"/>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10</w:t>
            </w:r>
          </w:p>
        </w:tc>
        <w:tc>
          <w:tcPr>
            <w:tcW w:w="707" w:type="dxa"/>
            <w:vAlign w:val="top"/>
          </w:tcPr>
          <w:p>
            <w:pPr>
              <w:spacing w:before="260" w:line="203" w:lineRule="auto"/>
              <w:ind w:left="215"/>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50</w:t>
            </w:r>
          </w:p>
        </w:tc>
        <w:tc>
          <w:tcPr>
            <w:tcW w:w="687" w:type="dxa"/>
            <w:vAlign w:val="top"/>
          </w:tcPr>
          <w:p>
            <w:pPr>
              <w:spacing w:before="260" w:line="203" w:lineRule="auto"/>
              <w:ind w:left="206"/>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90</w:t>
            </w:r>
          </w:p>
        </w:tc>
        <w:tc>
          <w:tcPr>
            <w:tcW w:w="707" w:type="dxa"/>
            <w:vAlign w:val="top"/>
          </w:tcPr>
          <w:p>
            <w:pPr>
              <w:spacing w:before="260" w:line="222" w:lineRule="auto"/>
              <w:ind w:left="160"/>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max</w:t>
            </w:r>
          </w:p>
        </w:tc>
        <w:tc>
          <w:tcPr>
            <w:tcW w:w="690" w:type="dxa"/>
            <w:vAlign w:val="top"/>
          </w:tcPr>
          <w:p>
            <w:pPr>
              <w:spacing w:before="260" w:line="223" w:lineRule="auto"/>
              <w:ind w:left="161"/>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min</w:t>
            </w:r>
          </w:p>
        </w:tc>
        <w:tc>
          <w:tcPr>
            <w:tcW w:w="650" w:type="dxa"/>
            <w:vAlign w:val="top"/>
          </w:tcPr>
          <w:p>
            <w:pPr>
              <w:spacing w:before="257" w:line="187" w:lineRule="auto"/>
              <w:ind w:left="200"/>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SD</w:t>
            </w:r>
          </w:p>
        </w:tc>
        <w:tc>
          <w:tcPr>
            <w:tcW w:w="644" w:type="dxa"/>
            <w:vAlign w:val="top"/>
          </w:tcPr>
          <w:p>
            <w:pPr>
              <w:pStyle w:val="6"/>
              <w:spacing w:before="82" w:line="229" w:lineRule="auto"/>
              <w:ind w:left="231" w:right="100" w:hanging="101"/>
            </w:pPr>
            <w:r>
              <w:rPr>
                <w:spacing w:val="-6"/>
                <w14:textOutline w14:w="3831" w14:cap="flat" w14:cmpd="sng">
                  <w14:solidFill>
                    <w14:srgbClr w14:val="000000"/>
                  </w14:solidFill>
                  <w14:prstDash w14:val="solid"/>
                  <w14:miter w14:val="0"/>
                </w14:textOutline>
              </w:rPr>
              <w:t>小型</w:t>
            </w:r>
            <w:r>
              <w:t xml:space="preserve"> </w:t>
            </w:r>
            <w:r>
              <w:rPr>
                <w14:textOutline w14:w="3831" w14:cap="flat" w14:cmpd="sng">
                  <w14:solidFill>
                    <w14:srgbClr w14:val="000000"/>
                  </w14:solidFill>
                  <w14:prstDash w14:val="solid"/>
                  <w14:miter w14:val="0"/>
                </w14:textOutline>
              </w:rPr>
              <w:t>车</w:t>
            </w:r>
          </w:p>
        </w:tc>
        <w:tc>
          <w:tcPr>
            <w:tcW w:w="647" w:type="dxa"/>
            <w:vAlign w:val="top"/>
          </w:tcPr>
          <w:p>
            <w:pPr>
              <w:pStyle w:val="6"/>
              <w:spacing w:before="82" w:line="229" w:lineRule="auto"/>
              <w:ind w:left="230" w:right="103" w:hanging="87"/>
            </w:pPr>
            <w:r>
              <w:rPr>
                <w:spacing w:val="-13"/>
                <w14:textOutline w14:w="3831" w14:cap="flat" w14:cmpd="sng">
                  <w14:solidFill>
                    <w14:srgbClr w14:val="000000"/>
                  </w14:solidFill>
                  <w14:prstDash w14:val="solid"/>
                  <w14:miter w14:val="0"/>
                </w14:textOutline>
              </w:rPr>
              <w:t>中型</w:t>
            </w:r>
            <w:r>
              <w:t xml:space="preserve"> </w:t>
            </w:r>
            <w:r>
              <w:rPr>
                <w14:textOutline w14:w="3831" w14:cap="flat" w14:cmpd="sng">
                  <w14:solidFill>
                    <w14:srgbClr w14:val="000000"/>
                  </w14:solidFill>
                  <w14:prstDash w14:val="solid"/>
                  <w14:miter w14:val="0"/>
                </w14:textOutline>
              </w:rPr>
              <w:t>车</w:t>
            </w:r>
          </w:p>
        </w:tc>
        <w:tc>
          <w:tcPr>
            <w:tcW w:w="740" w:type="dxa"/>
            <w:vAlign w:val="top"/>
          </w:tcPr>
          <w:p>
            <w:pPr>
              <w:pStyle w:val="6"/>
              <w:spacing w:before="82" w:line="238" w:lineRule="auto"/>
              <w:ind w:left="172"/>
            </w:pPr>
            <w:r>
              <w:rPr>
                <w:spacing w:val="-3"/>
                <w14:textOutline w14:w="3831" w14:cap="flat" w14:cmpd="sng">
                  <w14:solidFill>
                    <w14:srgbClr w14:val="000000"/>
                  </w14:solidFill>
                  <w14:prstDash w14:val="solid"/>
                  <w14:miter w14:val="0"/>
                </w14:textOutline>
              </w:rPr>
              <w:t>大型</w:t>
            </w:r>
          </w:p>
          <w:p>
            <w:pPr>
              <w:pStyle w:val="6"/>
              <w:spacing w:line="220" w:lineRule="auto"/>
              <w:ind w:left="277"/>
            </w:pPr>
            <w:r>
              <w:rPr>
                <w14:textOutline w14:w="3831" w14:cap="flat" w14:cmpd="sng">
                  <w14:solidFill>
                    <w14:srgbClr w14:val="000000"/>
                  </w14:solidFill>
                  <w14:prstDash w14:val="solid"/>
                  <w14:miter w14:val="0"/>
                </w14:textOutline>
              </w:rPr>
              <w:t>车</w:t>
            </w:r>
          </w:p>
        </w:tc>
        <w:tc>
          <w:tcPr>
            <w:tcW w:w="145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08" w:lineRule="auto"/>
              <w:rPr>
                <w:rFonts w:ascii="Arial"/>
                <w:sz w:val="21"/>
              </w:rPr>
            </w:pPr>
          </w:p>
          <w:p>
            <w:pPr>
              <w:pStyle w:val="6"/>
              <w:spacing w:before="68"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02 </w:t>
            </w:r>
            <w:r>
              <w:rPr>
                <w:spacing w:val="-3"/>
              </w:rPr>
              <w:t>月</w:t>
            </w:r>
            <w:r>
              <w:rPr>
                <w:spacing w:val="-54"/>
              </w:rPr>
              <w:t xml:space="preserve"> </w:t>
            </w:r>
            <w:r>
              <w:rPr>
                <w:rFonts w:ascii="Times New Roman" w:hAnsi="Times New Roman" w:eastAsia="Times New Roman" w:cs="Times New Roman"/>
                <w:spacing w:val="-3"/>
              </w:rPr>
              <w:t>01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55"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10:10~10:30</w:t>
            </w:r>
          </w:p>
        </w:tc>
        <w:tc>
          <w:tcPr>
            <w:tcW w:w="1200" w:type="dxa"/>
            <w:vMerge w:val="restart"/>
            <w:tcBorders>
              <w:bottom w:val="nil"/>
            </w:tcBorders>
            <w:vAlign w:val="top"/>
          </w:tcPr>
          <w:p>
            <w:pPr>
              <w:pStyle w:val="6"/>
              <w:spacing w:before="244"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55"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66.3</w:t>
            </w:r>
          </w:p>
        </w:tc>
        <w:tc>
          <w:tcPr>
            <w:tcW w:w="688" w:type="dxa"/>
            <w:vMerge w:val="restart"/>
            <w:tcBorders>
              <w:bottom w:val="nil"/>
            </w:tcBorders>
            <w:vAlign w:val="top"/>
          </w:tcPr>
          <w:p>
            <w:pPr>
              <w:spacing w:line="355" w:lineRule="auto"/>
              <w:rPr>
                <w:rFonts w:ascii="Arial"/>
                <w:sz w:val="21"/>
              </w:rPr>
            </w:pPr>
          </w:p>
          <w:p>
            <w:pPr>
              <w:spacing w:before="6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68.8</w:t>
            </w:r>
          </w:p>
        </w:tc>
        <w:tc>
          <w:tcPr>
            <w:tcW w:w="707" w:type="dxa"/>
            <w:vMerge w:val="restart"/>
            <w:tcBorders>
              <w:bottom w:val="nil"/>
            </w:tcBorders>
            <w:vAlign w:val="top"/>
          </w:tcPr>
          <w:p>
            <w:pPr>
              <w:spacing w:line="355"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687" w:type="dxa"/>
            <w:vMerge w:val="restart"/>
            <w:tcBorders>
              <w:bottom w:val="nil"/>
            </w:tcBorders>
            <w:vAlign w:val="top"/>
          </w:tcPr>
          <w:p>
            <w:pPr>
              <w:spacing w:line="355" w:lineRule="auto"/>
              <w:rPr>
                <w:rFonts w:ascii="Arial"/>
                <w:sz w:val="21"/>
              </w:rPr>
            </w:pPr>
          </w:p>
          <w:p>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53.4</w:t>
            </w:r>
          </w:p>
        </w:tc>
        <w:tc>
          <w:tcPr>
            <w:tcW w:w="707" w:type="dxa"/>
            <w:vMerge w:val="restart"/>
            <w:tcBorders>
              <w:bottom w:val="nil"/>
            </w:tcBorders>
            <w:vAlign w:val="top"/>
          </w:tcPr>
          <w:p>
            <w:pPr>
              <w:spacing w:line="355" w:lineRule="auto"/>
              <w:rPr>
                <w:rFonts w:ascii="Arial"/>
                <w:sz w:val="21"/>
              </w:rPr>
            </w:pPr>
          </w:p>
          <w:p>
            <w:pPr>
              <w:spacing w:before="6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96.4</w:t>
            </w:r>
          </w:p>
        </w:tc>
        <w:tc>
          <w:tcPr>
            <w:tcW w:w="690" w:type="dxa"/>
            <w:vMerge w:val="restart"/>
            <w:tcBorders>
              <w:bottom w:val="nil"/>
            </w:tcBorders>
            <w:vAlign w:val="top"/>
          </w:tcPr>
          <w:p>
            <w:pPr>
              <w:spacing w:line="355" w:lineRule="auto"/>
              <w:rPr>
                <w:rFonts w:ascii="Arial"/>
                <w:sz w:val="21"/>
              </w:rPr>
            </w:pPr>
          </w:p>
          <w:p>
            <w:pPr>
              <w:spacing w:before="6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43.0</w:t>
            </w:r>
          </w:p>
        </w:tc>
        <w:tc>
          <w:tcPr>
            <w:tcW w:w="650" w:type="dxa"/>
            <w:vMerge w:val="restart"/>
            <w:tcBorders>
              <w:bottom w:val="nil"/>
            </w:tcBorders>
            <w:vAlign w:val="top"/>
          </w:tcPr>
          <w:p>
            <w:pPr>
              <w:spacing w:line="355" w:lineRule="auto"/>
              <w:rPr>
                <w:rFonts w:ascii="Arial"/>
                <w:sz w:val="21"/>
              </w:rPr>
            </w:pPr>
          </w:p>
          <w:p>
            <w:pPr>
              <w:spacing w:before="60"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w:t>
            </w:r>
          </w:p>
        </w:tc>
        <w:tc>
          <w:tcPr>
            <w:tcW w:w="644" w:type="dxa"/>
            <w:vAlign w:val="top"/>
          </w:tcPr>
          <w:p>
            <w:pPr>
              <w:spacing w:before="96"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144</w:t>
            </w:r>
          </w:p>
        </w:tc>
        <w:tc>
          <w:tcPr>
            <w:tcW w:w="647" w:type="dxa"/>
            <w:vAlign w:val="top"/>
          </w:tcPr>
          <w:p>
            <w:pPr>
              <w:spacing w:before="96"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740" w:type="dxa"/>
            <w:vAlign w:val="top"/>
          </w:tcPr>
          <w:p>
            <w:pPr>
              <w:spacing w:before="96"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57"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55"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647" w:type="dxa"/>
            <w:vAlign w:val="top"/>
          </w:tcPr>
          <w:p>
            <w:pPr>
              <w:spacing w:before="255"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vAlign w:val="top"/>
          </w:tcPr>
          <w:p>
            <w:pPr>
              <w:spacing w:before="255" w:line="187"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9" w:type="dxa"/>
            <w:tcBorders>
              <w:right w:val="single" w:color="000000" w:sz="10" w:space="0"/>
            </w:tcBorders>
            <w:vAlign w:val="top"/>
          </w:tcPr>
          <w:p>
            <w:pPr>
              <w:pStyle w:val="6"/>
              <w:spacing w:before="58" w:line="251"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restart"/>
            <w:tcBorders>
              <w:bottom w:val="nil"/>
            </w:tcBorders>
            <w:vAlign w:val="top"/>
          </w:tcPr>
          <w:p>
            <w:pPr>
              <w:spacing w:line="310" w:lineRule="auto"/>
              <w:rPr>
                <w:rFonts w:ascii="Arial"/>
                <w:sz w:val="21"/>
              </w:rPr>
            </w:pPr>
          </w:p>
          <w:p>
            <w:pPr>
              <w:pStyle w:val="6"/>
              <w:spacing w:before="69" w:line="221" w:lineRule="auto"/>
              <w:ind w:left="99"/>
            </w:pPr>
            <w:r>
              <w:rPr>
                <w:rFonts w:ascii="Times New Roman" w:hAnsi="Times New Roman" w:eastAsia="Times New Roman" w:cs="Times New Roman"/>
                <w:spacing w:val="-3"/>
              </w:rPr>
              <w:t xml:space="preserve">2024 </w:t>
            </w:r>
            <w:r>
              <w:rPr>
                <w:spacing w:val="-3"/>
              </w:rPr>
              <w:t>年</w:t>
            </w:r>
            <w:r>
              <w:rPr>
                <w:spacing w:val="-48"/>
              </w:rPr>
              <w:t xml:space="preserve"> </w:t>
            </w:r>
            <w:r>
              <w:rPr>
                <w:rFonts w:ascii="Times New Roman" w:hAnsi="Times New Roman" w:eastAsia="Times New Roman" w:cs="Times New Roman"/>
                <w:spacing w:val="-3"/>
              </w:rPr>
              <w:t xml:space="preserve">02 </w:t>
            </w:r>
            <w:r>
              <w:rPr>
                <w:spacing w:val="-3"/>
              </w:rPr>
              <w:t>月</w:t>
            </w:r>
            <w:r>
              <w:rPr>
                <w:spacing w:val="-54"/>
              </w:rPr>
              <w:t xml:space="preserve"> </w:t>
            </w:r>
            <w:r>
              <w:rPr>
                <w:rFonts w:ascii="Times New Roman" w:hAnsi="Times New Roman" w:eastAsia="Times New Roman" w:cs="Times New Roman"/>
                <w:spacing w:val="-3"/>
              </w:rPr>
              <w:t>01</w:t>
            </w:r>
            <w:r>
              <w:rPr>
                <w:rFonts w:ascii="Times New Roman" w:hAnsi="Times New Roman" w:eastAsia="Times New Roman" w:cs="Times New Roman"/>
                <w:spacing w:val="35"/>
                <w:w w:val="101"/>
              </w:rPr>
              <w:t xml:space="preserve"> </w:t>
            </w:r>
            <w:r>
              <w:rPr>
                <w:spacing w:val="-3"/>
              </w:rPr>
              <w:t>日</w:t>
            </w:r>
          </w:p>
        </w:tc>
        <w:tc>
          <w:tcPr>
            <w:tcW w:w="1361" w:type="dxa"/>
            <w:vMerge w:val="restart"/>
            <w:tcBorders>
              <w:bottom w:val="nil"/>
            </w:tcBorders>
            <w:vAlign w:val="top"/>
          </w:tcPr>
          <w:p>
            <w:pPr>
              <w:spacing w:line="359" w:lineRule="auto"/>
              <w:rPr>
                <w:rFonts w:ascii="Arial"/>
                <w:sz w:val="21"/>
              </w:rPr>
            </w:pPr>
          </w:p>
          <w:p>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11:10~11:30</w:t>
            </w:r>
          </w:p>
        </w:tc>
        <w:tc>
          <w:tcPr>
            <w:tcW w:w="1200" w:type="dxa"/>
            <w:vMerge w:val="restart"/>
            <w:tcBorders>
              <w:bottom w:val="nil"/>
            </w:tcBorders>
            <w:vAlign w:val="top"/>
          </w:tcPr>
          <w:p>
            <w:pPr>
              <w:pStyle w:val="6"/>
              <w:spacing w:before="246" w:line="230" w:lineRule="auto"/>
              <w:ind w:left="401" w:right="179" w:hanging="221"/>
            </w:pPr>
            <w:r>
              <w:rPr>
                <w:spacing w:val="-2"/>
              </w:rPr>
              <w:t>道路交通</w:t>
            </w:r>
            <w:r>
              <w:rPr>
                <w:spacing w:val="2"/>
              </w:rPr>
              <w:t xml:space="preserve"> </w:t>
            </w:r>
            <w:r>
              <w:rPr>
                <w:spacing w:val="-4"/>
              </w:rPr>
              <w:t>噪声</w:t>
            </w:r>
          </w:p>
        </w:tc>
        <w:tc>
          <w:tcPr>
            <w:tcW w:w="707" w:type="dxa"/>
            <w:vMerge w:val="restart"/>
            <w:tcBorders>
              <w:bottom w:val="nil"/>
            </w:tcBorders>
            <w:vAlign w:val="top"/>
          </w:tcPr>
          <w:p>
            <w:pPr>
              <w:spacing w:line="359"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65.3</w:t>
            </w:r>
          </w:p>
        </w:tc>
        <w:tc>
          <w:tcPr>
            <w:tcW w:w="688" w:type="dxa"/>
            <w:vMerge w:val="restart"/>
            <w:tcBorders>
              <w:bottom w:val="nil"/>
            </w:tcBorders>
            <w:vAlign w:val="top"/>
          </w:tcPr>
          <w:p>
            <w:pPr>
              <w:spacing w:line="359" w:lineRule="auto"/>
              <w:rPr>
                <w:rFonts w:ascii="Arial"/>
                <w:sz w:val="21"/>
              </w:rPr>
            </w:pPr>
          </w:p>
          <w:p>
            <w:pPr>
              <w:spacing w:before="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68.4</w:t>
            </w:r>
          </w:p>
        </w:tc>
        <w:tc>
          <w:tcPr>
            <w:tcW w:w="707" w:type="dxa"/>
            <w:vMerge w:val="restart"/>
            <w:tcBorders>
              <w:bottom w:val="nil"/>
            </w:tcBorders>
            <w:vAlign w:val="top"/>
          </w:tcPr>
          <w:p>
            <w:pPr>
              <w:spacing w:line="359"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687" w:type="dxa"/>
            <w:vMerge w:val="restart"/>
            <w:tcBorders>
              <w:bottom w:val="nil"/>
            </w:tcBorders>
            <w:vAlign w:val="top"/>
          </w:tcPr>
          <w:p>
            <w:pPr>
              <w:spacing w:line="359" w:lineRule="auto"/>
              <w:rPr>
                <w:rFonts w:ascii="Arial"/>
                <w:sz w:val="21"/>
              </w:rPr>
            </w:pPr>
          </w:p>
          <w:p>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52.0</w:t>
            </w:r>
          </w:p>
        </w:tc>
        <w:tc>
          <w:tcPr>
            <w:tcW w:w="707" w:type="dxa"/>
            <w:vMerge w:val="restart"/>
            <w:tcBorders>
              <w:bottom w:val="nil"/>
            </w:tcBorders>
            <w:vAlign w:val="top"/>
          </w:tcPr>
          <w:p>
            <w:pPr>
              <w:spacing w:line="359"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82.9</w:t>
            </w:r>
          </w:p>
        </w:tc>
        <w:tc>
          <w:tcPr>
            <w:tcW w:w="690" w:type="dxa"/>
            <w:vMerge w:val="restart"/>
            <w:tcBorders>
              <w:bottom w:val="nil"/>
            </w:tcBorders>
            <w:vAlign w:val="top"/>
          </w:tcPr>
          <w:p>
            <w:pPr>
              <w:spacing w:line="359" w:lineRule="auto"/>
              <w:rPr>
                <w:rFonts w:ascii="Arial"/>
                <w:sz w:val="21"/>
              </w:rPr>
            </w:pPr>
          </w:p>
          <w:p>
            <w:pPr>
              <w:spacing w:before="61"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40.1</w:t>
            </w:r>
          </w:p>
        </w:tc>
        <w:tc>
          <w:tcPr>
            <w:tcW w:w="650" w:type="dxa"/>
            <w:vMerge w:val="restart"/>
            <w:tcBorders>
              <w:bottom w:val="nil"/>
            </w:tcBorders>
            <w:vAlign w:val="top"/>
          </w:tcPr>
          <w:p>
            <w:pPr>
              <w:spacing w:line="359" w:lineRule="auto"/>
              <w:rPr>
                <w:rFonts w:ascii="Arial"/>
                <w:sz w:val="21"/>
              </w:rPr>
            </w:pPr>
          </w:p>
          <w:p>
            <w:pPr>
              <w:spacing w:before="61"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644" w:type="dxa"/>
            <w:vAlign w:val="top"/>
          </w:tcPr>
          <w:p>
            <w:pPr>
              <w:spacing w:before="98"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139</w:t>
            </w:r>
          </w:p>
        </w:tc>
        <w:tc>
          <w:tcPr>
            <w:tcW w:w="647" w:type="dxa"/>
            <w:vAlign w:val="top"/>
          </w:tcPr>
          <w:p>
            <w:pPr>
              <w:spacing w:before="101" w:line="184"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740" w:type="dxa"/>
            <w:vAlign w:val="top"/>
          </w:tcPr>
          <w:p>
            <w:pPr>
              <w:spacing w:before="101" w:line="184"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59" w:type="dxa"/>
            <w:tcBorders>
              <w:right w:val="single" w:color="000000" w:sz="10" w:space="0"/>
            </w:tcBorders>
            <w:vAlign w:val="top"/>
          </w:tcPr>
          <w:p>
            <w:pPr>
              <w:pStyle w:val="6"/>
              <w:spacing w:before="60"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650" w:type="dxa"/>
            <w:vMerge w:val="continue"/>
            <w:tcBorders>
              <w:top w:val="nil"/>
            </w:tcBorders>
            <w:vAlign w:val="top"/>
          </w:tcPr>
          <w:p>
            <w:pPr>
              <w:rPr>
                <w:rFonts w:ascii="Arial"/>
                <w:sz w:val="21"/>
              </w:rPr>
            </w:pPr>
          </w:p>
        </w:tc>
        <w:tc>
          <w:tcPr>
            <w:tcW w:w="644" w:type="dxa"/>
            <w:vAlign w:val="top"/>
          </w:tcPr>
          <w:p>
            <w:pPr>
              <w:spacing w:before="257"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w:t>
            </w:r>
          </w:p>
        </w:tc>
        <w:tc>
          <w:tcPr>
            <w:tcW w:w="647" w:type="dxa"/>
            <w:vAlign w:val="top"/>
          </w:tcPr>
          <w:p>
            <w:pPr>
              <w:spacing w:before="257"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40" w:type="dxa"/>
            <w:vAlign w:val="top"/>
          </w:tcPr>
          <w:p>
            <w:pPr>
              <w:spacing w:before="257"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right w:val="single" w:color="000000" w:sz="10" w:space="0"/>
            </w:tcBorders>
            <w:vAlign w:val="top"/>
          </w:tcPr>
          <w:p>
            <w:pPr>
              <w:pStyle w:val="6"/>
              <w:spacing w:before="59" w:line="251" w:lineRule="auto"/>
              <w:ind w:left="383" w:right="185" w:hanging="166"/>
              <w:rPr>
                <w:rFonts w:ascii="Times New Roman" w:hAnsi="Times New Roman" w:eastAsia="Times New Roman" w:cs="Times New Roman"/>
              </w:rPr>
            </w:pPr>
            <w:r>
              <w:rPr>
                <w:spacing w:val="-2"/>
              </w:rPr>
              <w:t>西坑互通连</w:t>
            </w:r>
            <w:r>
              <w:t xml:space="preserve"> </w:t>
            </w:r>
            <w:r>
              <w:rPr>
                <w:spacing w:val="-2"/>
              </w:rPr>
              <w:t>接线</w:t>
            </w:r>
            <w:r>
              <w:rPr>
                <w:spacing w:val="-50"/>
              </w:rPr>
              <w:t xml:space="preserve"> </w:t>
            </w:r>
            <w:r>
              <w:rPr>
                <w:rFonts w:ascii="Times New Roman" w:hAnsi="Times New Roman" w:eastAsia="Times New Roman" w:cs="Times New Roman"/>
                <w:spacing w:val="-2"/>
              </w:rPr>
              <w:t>L1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04" w:type="dxa"/>
            <w:vMerge w:val="continue"/>
            <w:tcBorders>
              <w:top w:val="nil"/>
              <w:left w:val="single" w:color="000000" w:sz="10" w:space="0"/>
            </w:tcBorders>
            <w:textDirection w:val="tbRlV"/>
            <w:vAlign w:val="top"/>
          </w:tcPr>
          <w:p>
            <w:pPr>
              <w:rPr>
                <w:rFonts w:ascii="Arial"/>
                <w:sz w:val="21"/>
              </w:rPr>
            </w:pPr>
          </w:p>
        </w:tc>
        <w:tc>
          <w:tcPr>
            <w:tcW w:w="951" w:type="dxa"/>
            <w:vMerge w:val="continue"/>
            <w:tcBorders>
              <w:top w:val="nil"/>
            </w:tcBorders>
            <w:vAlign w:val="top"/>
          </w:tcPr>
          <w:p>
            <w:pPr>
              <w:rPr>
                <w:rFonts w:ascii="Arial"/>
                <w:sz w:val="21"/>
              </w:rPr>
            </w:pPr>
          </w:p>
        </w:tc>
        <w:tc>
          <w:tcPr>
            <w:tcW w:w="12792" w:type="dxa"/>
            <w:gridSpan w:val="14"/>
            <w:tcBorders>
              <w:right w:val="single" w:color="000000" w:sz="10" w:space="0"/>
            </w:tcBorders>
            <w:vAlign w:val="top"/>
          </w:tcPr>
          <w:p>
            <w:pPr>
              <w:pStyle w:val="6"/>
              <w:spacing w:before="117" w:line="182" w:lineRule="auto"/>
              <w:ind w:left="5322"/>
              <w:rPr>
                <w:rFonts w:ascii="Times New Roman" w:hAnsi="Times New Roman" w:eastAsia="Times New Roman" w:cs="Times New Roman"/>
              </w:rPr>
            </w:pPr>
            <w:r>
              <w:rPr>
                <w:rFonts w:ascii="Times New Roman" w:hAnsi="Times New Roman" w:eastAsia="Times New Roman" w:cs="Times New Roman"/>
                <w:spacing w:val="-2"/>
              </w:rPr>
              <w:t>Ld=65.7dB</w:t>
            </w:r>
            <w:r>
              <w:rPr>
                <w:rFonts w:ascii="Times New Roman" w:hAnsi="Times New Roman" w:eastAsia="Times New Roman" w:cs="Times New Roman"/>
                <w:spacing w:val="-17"/>
              </w:rPr>
              <w:t xml:space="preserve"> </w:t>
            </w:r>
            <w:r>
              <w:rPr>
                <w:spacing w:val="-2"/>
              </w:rPr>
              <w:t>，</w:t>
            </w:r>
            <w:r>
              <w:rPr>
                <w:rFonts w:ascii="Times New Roman" w:hAnsi="Times New Roman" w:eastAsia="Times New Roman" w:cs="Times New Roman"/>
                <w:spacing w:val="-2"/>
              </w:rPr>
              <w:t>Ln=54.7dB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restart"/>
            <w:tcBorders>
              <w:left w:val="single" w:color="000000" w:sz="10"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0" w:line="187" w:lineRule="auto"/>
              <w:ind w:left="18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951"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11" w:lineRule="auto"/>
              <w:ind w:left="135" w:right="146" w:firstLine="104"/>
              <w:jc w:val="both"/>
              <w:rPr>
                <w:rFonts w:ascii="Times New Roman" w:hAnsi="Times New Roman" w:eastAsia="Times New Roman" w:cs="Times New Roman"/>
                <w:sz w:val="21"/>
                <w:szCs w:val="21"/>
              </w:rPr>
            </w:pPr>
            <w:r>
              <w:rPr>
                <w:rFonts w:ascii="Cambria Math" w:hAnsi="Cambria Math" w:eastAsia="Cambria Math" w:cs="Cambria Math"/>
                <w:spacing w:val="5"/>
                <w:position w:val="-1"/>
                <w:sz w:val="21"/>
                <w:szCs w:val="21"/>
              </w:rPr>
              <w:t>△</w:t>
            </w:r>
            <w:r>
              <w:rPr>
                <w:rFonts w:ascii="Times New Roman" w:hAnsi="Times New Roman" w:eastAsia="Times New Roman" w:cs="Times New Roman"/>
                <w:spacing w:val="5"/>
                <w:position w:val="-1"/>
                <w:sz w:val="21"/>
                <w:szCs w:val="21"/>
              </w:rPr>
              <w:t>12</w:t>
            </w:r>
            <w:r>
              <w:rPr>
                <w:rFonts w:ascii="Times New Roman" w:hAnsi="Times New Roman" w:eastAsia="Times New Roman" w:cs="Times New Roman"/>
                <w:spacing w:val="5"/>
                <w:position w:val="5"/>
                <w:sz w:val="13"/>
                <w:szCs w:val="13"/>
              </w:rPr>
              <w:t>#</w:t>
            </w:r>
            <w:r>
              <w:rPr>
                <w:rFonts w:ascii="Times New Roman" w:hAnsi="Times New Roman" w:eastAsia="Times New Roman" w:cs="Times New Roman"/>
                <w:position w:val="5"/>
                <w:sz w:val="13"/>
                <w:szCs w:val="13"/>
              </w:rPr>
              <w:t xml:space="preserve">    </w:t>
            </w:r>
            <w:r>
              <w:rPr>
                <w:rFonts w:ascii="微软雅黑" w:hAnsi="微软雅黑" w:eastAsia="微软雅黑" w:cs="微软雅黑"/>
                <w:spacing w:val="-4"/>
                <w:sz w:val="21"/>
                <w:szCs w:val="21"/>
              </w:rPr>
              <w:t xml:space="preserve">蔡处 </w:t>
            </w:r>
            <w:r>
              <w:rPr>
                <w:rFonts w:ascii="Times New Roman" w:hAnsi="Times New Roman" w:eastAsia="Times New Roman" w:cs="Times New Roman"/>
                <w:spacing w:val="-4"/>
                <w:sz w:val="21"/>
                <w:szCs w:val="21"/>
              </w:rPr>
              <w:t>4a</w:t>
            </w:r>
            <w:r>
              <w:rPr>
                <w:rFonts w:ascii="Times New Roman" w:hAnsi="Times New Roman" w:eastAsia="Times New Roman" w:cs="Times New Roman"/>
                <w:spacing w:val="1"/>
                <w:sz w:val="21"/>
                <w:szCs w:val="21"/>
              </w:rPr>
              <w:t xml:space="preserve"> </w:t>
            </w:r>
            <w:r>
              <w:rPr>
                <w:rFonts w:ascii="微软雅黑" w:hAnsi="微软雅黑" w:eastAsia="微软雅黑" w:cs="微软雅黑"/>
                <w:spacing w:val="4"/>
                <w:sz w:val="21"/>
                <w:szCs w:val="21"/>
              </w:rPr>
              <w:t>类第一</w:t>
            </w:r>
            <w:r>
              <w:rPr>
                <w:rFonts w:ascii="微软雅黑" w:hAnsi="微软雅黑" w:eastAsia="微软雅黑" w:cs="微软雅黑"/>
                <w:sz w:val="21"/>
                <w:szCs w:val="21"/>
              </w:rPr>
              <w:t xml:space="preserve"> </w:t>
            </w:r>
            <w:r>
              <w:rPr>
                <w:rFonts w:ascii="微软雅黑" w:hAnsi="微软雅黑" w:eastAsia="微软雅黑" w:cs="微软雅黑"/>
                <w:spacing w:val="26"/>
                <w:sz w:val="21"/>
                <w:szCs w:val="21"/>
              </w:rPr>
              <w:t>排</w:t>
            </w:r>
            <w:r>
              <w:rPr>
                <w:rFonts w:ascii="微软雅黑" w:hAnsi="微软雅黑" w:eastAsia="微软雅黑" w:cs="微软雅黑"/>
                <w:sz w:val="21"/>
                <w:szCs w:val="21"/>
              </w:rPr>
              <w:t xml:space="preserve"> </w:t>
            </w:r>
            <w:r>
              <w:rPr>
                <w:rFonts w:ascii="Times New Roman" w:hAnsi="Times New Roman" w:eastAsia="Times New Roman" w:cs="Times New Roman"/>
                <w:spacing w:val="26"/>
                <w:sz w:val="21"/>
                <w:szCs w:val="21"/>
              </w:rPr>
              <w:t>3F</w:t>
            </w:r>
          </w:p>
        </w:tc>
        <w:tc>
          <w:tcPr>
            <w:tcW w:w="1905" w:type="dxa"/>
            <w:vAlign w:val="top"/>
          </w:tcPr>
          <w:p>
            <w:pPr>
              <w:pStyle w:val="6"/>
              <w:spacing w:before="213"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57" w:line="233"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09:30~09:50</w:t>
            </w:r>
          </w:p>
        </w:tc>
        <w:tc>
          <w:tcPr>
            <w:tcW w:w="1200" w:type="dxa"/>
            <w:vAlign w:val="top"/>
          </w:tcPr>
          <w:p>
            <w:pPr>
              <w:spacing w:before="60" w:line="190"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67.0</w:t>
            </w:r>
          </w:p>
        </w:tc>
        <w:tc>
          <w:tcPr>
            <w:tcW w:w="688" w:type="dxa"/>
            <w:vAlign w:val="top"/>
          </w:tcPr>
          <w:p>
            <w:pPr>
              <w:spacing w:before="2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69.6</w:t>
            </w:r>
          </w:p>
        </w:tc>
        <w:tc>
          <w:tcPr>
            <w:tcW w:w="707" w:type="dxa"/>
            <w:vAlign w:val="top"/>
          </w:tcPr>
          <w:p>
            <w:pPr>
              <w:spacing w:before="2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62.2</w:t>
            </w:r>
          </w:p>
        </w:tc>
        <w:tc>
          <w:tcPr>
            <w:tcW w:w="687" w:type="dxa"/>
            <w:vAlign w:val="top"/>
          </w:tcPr>
          <w:p>
            <w:pPr>
              <w:spacing w:before="2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55.8</w:t>
            </w:r>
          </w:p>
        </w:tc>
        <w:tc>
          <w:tcPr>
            <w:tcW w:w="707" w:type="dxa"/>
            <w:vAlign w:val="top"/>
          </w:tcPr>
          <w:p>
            <w:pPr>
              <w:spacing w:before="261"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92.4</w:t>
            </w:r>
          </w:p>
        </w:tc>
        <w:tc>
          <w:tcPr>
            <w:tcW w:w="690" w:type="dxa"/>
            <w:vAlign w:val="top"/>
          </w:tcPr>
          <w:p>
            <w:pPr>
              <w:spacing w:before="261"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650" w:type="dxa"/>
            <w:vAlign w:val="top"/>
          </w:tcPr>
          <w:p>
            <w:pPr>
              <w:spacing w:before="261"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w:t>
            </w:r>
          </w:p>
        </w:tc>
        <w:tc>
          <w:tcPr>
            <w:tcW w:w="644" w:type="dxa"/>
            <w:vAlign w:val="top"/>
          </w:tcPr>
          <w:p>
            <w:pPr>
              <w:spacing w:before="261"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161</w:t>
            </w:r>
          </w:p>
        </w:tc>
        <w:tc>
          <w:tcPr>
            <w:tcW w:w="647" w:type="dxa"/>
            <w:vAlign w:val="top"/>
          </w:tcPr>
          <w:p>
            <w:pPr>
              <w:spacing w:before="261"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740" w:type="dxa"/>
            <w:vAlign w:val="top"/>
          </w:tcPr>
          <w:p>
            <w:pPr>
              <w:spacing w:before="261" w:line="187" w:lineRule="auto"/>
              <w:ind w:left="333"/>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459" w:type="dxa"/>
            <w:tcBorders>
              <w:right w:val="single" w:color="000000" w:sz="10" w:space="0"/>
            </w:tcBorders>
            <w:vAlign w:val="top"/>
          </w:tcPr>
          <w:p>
            <w:pPr>
              <w:pStyle w:val="6"/>
              <w:spacing w:before="223"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15"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0" w:line="233"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10:30~</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pacing w:val="-5"/>
                <w:sz w:val="21"/>
                <w:szCs w:val="21"/>
              </w:rPr>
              <w:t>10:50</w:t>
            </w:r>
          </w:p>
        </w:tc>
        <w:tc>
          <w:tcPr>
            <w:tcW w:w="1200" w:type="dxa"/>
            <w:vAlign w:val="top"/>
          </w:tcPr>
          <w:p>
            <w:pPr>
              <w:spacing w:before="61" w:line="190"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63"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66.0</w:t>
            </w:r>
          </w:p>
        </w:tc>
        <w:tc>
          <w:tcPr>
            <w:tcW w:w="688" w:type="dxa"/>
            <w:vAlign w:val="top"/>
          </w:tcPr>
          <w:p>
            <w:pPr>
              <w:spacing w:before="263"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68.6</w:t>
            </w:r>
          </w:p>
        </w:tc>
        <w:tc>
          <w:tcPr>
            <w:tcW w:w="707" w:type="dxa"/>
            <w:vAlign w:val="top"/>
          </w:tcPr>
          <w:p>
            <w:pPr>
              <w:spacing w:before="263"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62.4</w:t>
            </w:r>
          </w:p>
        </w:tc>
        <w:tc>
          <w:tcPr>
            <w:tcW w:w="687" w:type="dxa"/>
            <w:vAlign w:val="top"/>
          </w:tcPr>
          <w:p>
            <w:pPr>
              <w:spacing w:before="263"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707" w:type="dxa"/>
            <w:vAlign w:val="top"/>
          </w:tcPr>
          <w:p>
            <w:pPr>
              <w:spacing w:before="263"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92.8</w:t>
            </w:r>
          </w:p>
        </w:tc>
        <w:tc>
          <w:tcPr>
            <w:tcW w:w="690" w:type="dxa"/>
            <w:vAlign w:val="top"/>
          </w:tcPr>
          <w:p>
            <w:pPr>
              <w:spacing w:before="263" w:line="187" w:lineRule="auto"/>
              <w:ind w:left="1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50.3</w:t>
            </w:r>
          </w:p>
        </w:tc>
        <w:tc>
          <w:tcPr>
            <w:tcW w:w="650" w:type="dxa"/>
            <w:vAlign w:val="top"/>
          </w:tcPr>
          <w:p>
            <w:pPr>
              <w:spacing w:before="263"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c>
          <w:tcPr>
            <w:tcW w:w="644" w:type="dxa"/>
            <w:vAlign w:val="top"/>
          </w:tcPr>
          <w:p>
            <w:pPr>
              <w:spacing w:before="263"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166</w:t>
            </w:r>
          </w:p>
        </w:tc>
        <w:tc>
          <w:tcPr>
            <w:tcW w:w="647" w:type="dxa"/>
            <w:vAlign w:val="top"/>
          </w:tcPr>
          <w:p>
            <w:pPr>
              <w:spacing w:before="263"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740" w:type="dxa"/>
            <w:vAlign w:val="top"/>
          </w:tcPr>
          <w:p>
            <w:pPr>
              <w:spacing w:before="266" w:line="184"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59" w:type="dxa"/>
            <w:tcBorders>
              <w:right w:val="single" w:color="000000" w:sz="10" w:space="0"/>
            </w:tcBorders>
            <w:vAlign w:val="top"/>
          </w:tcPr>
          <w:p>
            <w:pPr>
              <w:pStyle w:val="6"/>
              <w:spacing w:before="67"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16"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1" w:line="233"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11:30~</w:t>
            </w:r>
            <w:r>
              <w:rPr>
                <w:rFonts w:ascii="Times New Roman" w:hAnsi="Times New Roman" w:eastAsia="Times New Roman" w:cs="Times New Roman"/>
                <w:spacing w:val="-25"/>
                <w:sz w:val="21"/>
                <w:szCs w:val="21"/>
              </w:rPr>
              <w:t xml:space="preserve"> </w:t>
            </w:r>
            <w:r>
              <w:rPr>
                <w:rFonts w:ascii="Times New Roman" w:hAnsi="Times New Roman" w:eastAsia="Times New Roman" w:cs="Times New Roman"/>
                <w:spacing w:val="-6"/>
                <w:sz w:val="21"/>
                <w:szCs w:val="21"/>
              </w:rPr>
              <w:t>11:50</w:t>
            </w:r>
          </w:p>
        </w:tc>
        <w:tc>
          <w:tcPr>
            <w:tcW w:w="1200" w:type="dxa"/>
            <w:vAlign w:val="top"/>
          </w:tcPr>
          <w:p>
            <w:pPr>
              <w:spacing w:before="63" w:line="189"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64"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65.8</w:t>
            </w:r>
          </w:p>
        </w:tc>
        <w:tc>
          <w:tcPr>
            <w:tcW w:w="688" w:type="dxa"/>
            <w:vAlign w:val="top"/>
          </w:tcPr>
          <w:p>
            <w:pPr>
              <w:spacing w:before="264"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69.2</w:t>
            </w:r>
          </w:p>
        </w:tc>
        <w:tc>
          <w:tcPr>
            <w:tcW w:w="707" w:type="dxa"/>
            <w:vAlign w:val="top"/>
          </w:tcPr>
          <w:p>
            <w:pPr>
              <w:spacing w:before="264"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60.2</w:t>
            </w:r>
          </w:p>
        </w:tc>
        <w:tc>
          <w:tcPr>
            <w:tcW w:w="687" w:type="dxa"/>
            <w:vAlign w:val="top"/>
          </w:tcPr>
          <w:p>
            <w:pPr>
              <w:spacing w:before="264"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707" w:type="dxa"/>
            <w:vAlign w:val="top"/>
          </w:tcPr>
          <w:p>
            <w:pPr>
              <w:spacing w:before="264"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83.7</w:t>
            </w:r>
          </w:p>
        </w:tc>
        <w:tc>
          <w:tcPr>
            <w:tcW w:w="690" w:type="dxa"/>
            <w:vAlign w:val="top"/>
          </w:tcPr>
          <w:p>
            <w:pPr>
              <w:spacing w:before="264"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47.4</w:t>
            </w:r>
          </w:p>
        </w:tc>
        <w:tc>
          <w:tcPr>
            <w:tcW w:w="650" w:type="dxa"/>
            <w:vAlign w:val="top"/>
          </w:tcPr>
          <w:p>
            <w:pPr>
              <w:spacing w:before="264"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w:t>
            </w:r>
          </w:p>
        </w:tc>
        <w:tc>
          <w:tcPr>
            <w:tcW w:w="644" w:type="dxa"/>
            <w:vAlign w:val="top"/>
          </w:tcPr>
          <w:p>
            <w:pPr>
              <w:spacing w:before="264"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142</w:t>
            </w:r>
          </w:p>
        </w:tc>
        <w:tc>
          <w:tcPr>
            <w:tcW w:w="647" w:type="dxa"/>
            <w:vAlign w:val="top"/>
          </w:tcPr>
          <w:p>
            <w:pPr>
              <w:spacing w:before="264"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740" w:type="dxa"/>
            <w:vAlign w:val="top"/>
          </w:tcPr>
          <w:p>
            <w:pPr>
              <w:spacing w:before="264" w:line="187" w:lineRule="auto"/>
              <w:ind w:left="297"/>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1459" w:type="dxa"/>
            <w:tcBorders>
              <w:right w:val="single" w:color="000000" w:sz="10" w:space="0"/>
            </w:tcBorders>
            <w:vAlign w:val="top"/>
          </w:tcPr>
          <w:p>
            <w:pPr>
              <w:pStyle w:val="6"/>
              <w:spacing w:before="68"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18"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3" w:line="233"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12:30~</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pacing w:val="-5"/>
                <w:sz w:val="21"/>
                <w:szCs w:val="21"/>
              </w:rPr>
              <w:t>12:50</w:t>
            </w:r>
          </w:p>
        </w:tc>
        <w:tc>
          <w:tcPr>
            <w:tcW w:w="1200" w:type="dxa"/>
            <w:vAlign w:val="top"/>
          </w:tcPr>
          <w:p>
            <w:pPr>
              <w:spacing w:before="66" w:line="188"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66"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64.8</w:t>
            </w:r>
          </w:p>
        </w:tc>
        <w:tc>
          <w:tcPr>
            <w:tcW w:w="688" w:type="dxa"/>
            <w:vAlign w:val="top"/>
          </w:tcPr>
          <w:p>
            <w:pPr>
              <w:spacing w:before="266"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68.4</w:t>
            </w:r>
          </w:p>
        </w:tc>
        <w:tc>
          <w:tcPr>
            <w:tcW w:w="707" w:type="dxa"/>
            <w:vAlign w:val="top"/>
          </w:tcPr>
          <w:p>
            <w:pPr>
              <w:spacing w:before="266"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60.2</w:t>
            </w:r>
          </w:p>
        </w:tc>
        <w:tc>
          <w:tcPr>
            <w:tcW w:w="687" w:type="dxa"/>
            <w:vAlign w:val="top"/>
          </w:tcPr>
          <w:p>
            <w:pPr>
              <w:spacing w:before="266"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53.8</w:t>
            </w:r>
          </w:p>
        </w:tc>
        <w:tc>
          <w:tcPr>
            <w:tcW w:w="707" w:type="dxa"/>
            <w:vAlign w:val="top"/>
          </w:tcPr>
          <w:p>
            <w:pPr>
              <w:spacing w:before="266"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82.8</w:t>
            </w:r>
          </w:p>
        </w:tc>
        <w:tc>
          <w:tcPr>
            <w:tcW w:w="690" w:type="dxa"/>
            <w:vAlign w:val="top"/>
          </w:tcPr>
          <w:p>
            <w:pPr>
              <w:spacing w:before="266"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49.0</w:t>
            </w:r>
          </w:p>
        </w:tc>
        <w:tc>
          <w:tcPr>
            <w:tcW w:w="650" w:type="dxa"/>
            <w:vAlign w:val="top"/>
          </w:tcPr>
          <w:p>
            <w:pPr>
              <w:spacing w:before="269" w:line="184"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644" w:type="dxa"/>
            <w:vAlign w:val="top"/>
          </w:tcPr>
          <w:p>
            <w:pPr>
              <w:spacing w:before="266"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183</w:t>
            </w:r>
          </w:p>
        </w:tc>
        <w:tc>
          <w:tcPr>
            <w:tcW w:w="647" w:type="dxa"/>
            <w:vAlign w:val="top"/>
          </w:tcPr>
          <w:p>
            <w:pPr>
              <w:spacing w:before="266"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740" w:type="dxa"/>
            <w:vAlign w:val="top"/>
          </w:tcPr>
          <w:p>
            <w:pPr>
              <w:spacing w:before="269" w:line="184" w:lineRule="auto"/>
              <w:ind w:left="33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59" w:type="dxa"/>
            <w:tcBorders>
              <w:right w:val="single" w:color="000000" w:sz="10" w:space="0"/>
            </w:tcBorders>
            <w:vAlign w:val="top"/>
          </w:tcPr>
          <w:p>
            <w:pPr>
              <w:pStyle w:val="6"/>
              <w:spacing w:before="70"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20"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5" w:line="233"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13:30~</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pacing w:val="-5"/>
                <w:sz w:val="21"/>
                <w:szCs w:val="21"/>
              </w:rPr>
              <w:t>13:50</w:t>
            </w:r>
          </w:p>
        </w:tc>
        <w:tc>
          <w:tcPr>
            <w:tcW w:w="1200" w:type="dxa"/>
            <w:vAlign w:val="top"/>
          </w:tcPr>
          <w:p>
            <w:pPr>
              <w:spacing w:before="66" w:line="188"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68"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66.1</w:t>
            </w:r>
          </w:p>
        </w:tc>
        <w:tc>
          <w:tcPr>
            <w:tcW w:w="688" w:type="dxa"/>
            <w:vAlign w:val="top"/>
          </w:tcPr>
          <w:p>
            <w:pPr>
              <w:spacing w:before="268"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69.8</w:t>
            </w:r>
          </w:p>
        </w:tc>
        <w:tc>
          <w:tcPr>
            <w:tcW w:w="707" w:type="dxa"/>
            <w:vAlign w:val="top"/>
          </w:tcPr>
          <w:p>
            <w:pPr>
              <w:spacing w:before="268"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61.4</w:t>
            </w:r>
          </w:p>
        </w:tc>
        <w:tc>
          <w:tcPr>
            <w:tcW w:w="687" w:type="dxa"/>
            <w:vAlign w:val="top"/>
          </w:tcPr>
          <w:p>
            <w:pPr>
              <w:spacing w:before="268"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55.6</w:t>
            </w:r>
          </w:p>
        </w:tc>
        <w:tc>
          <w:tcPr>
            <w:tcW w:w="707" w:type="dxa"/>
            <w:vAlign w:val="top"/>
          </w:tcPr>
          <w:p>
            <w:pPr>
              <w:spacing w:before="268"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82.0</w:t>
            </w:r>
          </w:p>
        </w:tc>
        <w:tc>
          <w:tcPr>
            <w:tcW w:w="690" w:type="dxa"/>
            <w:vAlign w:val="top"/>
          </w:tcPr>
          <w:p>
            <w:pPr>
              <w:spacing w:before="268"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48.8</w:t>
            </w:r>
          </w:p>
        </w:tc>
        <w:tc>
          <w:tcPr>
            <w:tcW w:w="650" w:type="dxa"/>
            <w:vAlign w:val="top"/>
          </w:tcPr>
          <w:p>
            <w:pPr>
              <w:spacing w:before="271" w:line="184"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644" w:type="dxa"/>
            <w:vAlign w:val="top"/>
          </w:tcPr>
          <w:p>
            <w:pPr>
              <w:spacing w:before="268"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157</w:t>
            </w:r>
          </w:p>
        </w:tc>
        <w:tc>
          <w:tcPr>
            <w:tcW w:w="647" w:type="dxa"/>
            <w:vAlign w:val="top"/>
          </w:tcPr>
          <w:p>
            <w:pPr>
              <w:spacing w:before="268"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740" w:type="dxa"/>
            <w:vAlign w:val="top"/>
          </w:tcPr>
          <w:p>
            <w:pPr>
              <w:spacing w:before="271" w:line="184"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59" w:type="dxa"/>
            <w:tcBorders>
              <w:right w:val="single" w:color="000000" w:sz="10" w:space="0"/>
            </w:tcBorders>
            <w:vAlign w:val="top"/>
          </w:tcPr>
          <w:p>
            <w:pPr>
              <w:pStyle w:val="6"/>
              <w:spacing w:before="72"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23"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7" w:line="233"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14:30~</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pacing w:val="-5"/>
                <w:sz w:val="21"/>
                <w:szCs w:val="21"/>
              </w:rPr>
              <w:t>14:50</w:t>
            </w:r>
          </w:p>
        </w:tc>
        <w:tc>
          <w:tcPr>
            <w:tcW w:w="1200" w:type="dxa"/>
            <w:vAlign w:val="top"/>
          </w:tcPr>
          <w:p>
            <w:pPr>
              <w:spacing w:before="70" w:line="187"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7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65.5</w:t>
            </w:r>
          </w:p>
        </w:tc>
        <w:tc>
          <w:tcPr>
            <w:tcW w:w="688" w:type="dxa"/>
            <w:vAlign w:val="top"/>
          </w:tcPr>
          <w:p>
            <w:pPr>
              <w:spacing w:before="27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68.6</w:t>
            </w:r>
          </w:p>
        </w:tc>
        <w:tc>
          <w:tcPr>
            <w:tcW w:w="707" w:type="dxa"/>
            <w:vAlign w:val="top"/>
          </w:tcPr>
          <w:p>
            <w:pPr>
              <w:spacing w:before="27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687" w:type="dxa"/>
            <w:vAlign w:val="top"/>
          </w:tcPr>
          <w:p>
            <w:pPr>
              <w:spacing w:before="27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55.6</w:t>
            </w:r>
          </w:p>
        </w:tc>
        <w:tc>
          <w:tcPr>
            <w:tcW w:w="707" w:type="dxa"/>
            <w:vAlign w:val="top"/>
          </w:tcPr>
          <w:p>
            <w:pPr>
              <w:spacing w:before="27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83.1</w:t>
            </w:r>
          </w:p>
        </w:tc>
        <w:tc>
          <w:tcPr>
            <w:tcW w:w="690" w:type="dxa"/>
            <w:vAlign w:val="top"/>
          </w:tcPr>
          <w:p>
            <w:pPr>
              <w:spacing w:before="271" w:line="187" w:lineRule="auto"/>
              <w:ind w:left="1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51.7</w:t>
            </w:r>
          </w:p>
        </w:tc>
        <w:tc>
          <w:tcPr>
            <w:tcW w:w="650" w:type="dxa"/>
            <w:vAlign w:val="top"/>
          </w:tcPr>
          <w:p>
            <w:pPr>
              <w:spacing w:before="271"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w:t>
            </w:r>
          </w:p>
        </w:tc>
        <w:tc>
          <w:tcPr>
            <w:tcW w:w="644" w:type="dxa"/>
            <w:vAlign w:val="top"/>
          </w:tcPr>
          <w:p>
            <w:pPr>
              <w:spacing w:before="271"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149</w:t>
            </w:r>
          </w:p>
        </w:tc>
        <w:tc>
          <w:tcPr>
            <w:tcW w:w="647" w:type="dxa"/>
            <w:vAlign w:val="top"/>
          </w:tcPr>
          <w:p>
            <w:pPr>
              <w:spacing w:before="271"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740" w:type="dxa"/>
            <w:vAlign w:val="top"/>
          </w:tcPr>
          <w:p>
            <w:pPr>
              <w:spacing w:before="271" w:line="187"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459" w:type="dxa"/>
            <w:tcBorders>
              <w:right w:val="single" w:color="000000" w:sz="10" w:space="0"/>
            </w:tcBorders>
            <w:vAlign w:val="top"/>
          </w:tcPr>
          <w:p>
            <w:pPr>
              <w:pStyle w:val="6"/>
              <w:spacing w:before="74"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24"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8" w:line="233"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15:30~</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pacing w:val="-5"/>
                <w:sz w:val="21"/>
                <w:szCs w:val="21"/>
              </w:rPr>
              <w:t>15:50</w:t>
            </w:r>
          </w:p>
        </w:tc>
        <w:tc>
          <w:tcPr>
            <w:tcW w:w="1200" w:type="dxa"/>
            <w:vAlign w:val="top"/>
          </w:tcPr>
          <w:p>
            <w:pPr>
              <w:spacing w:before="72" w:line="186"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72"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64.5</w:t>
            </w:r>
          </w:p>
        </w:tc>
        <w:tc>
          <w:tcPr>
            <w:tcW w:w="688" w:type="dxa"/>
            <w:vAlign w:val="top"/>
          </w:tcPr>
          <w:p>
            <w:pPr>
              <w:spacing w:before="272"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67.0</w:t>
            </w:r>
          </w:p>
        </w:tc>
        <w:tc>
          <w:tcPr>
            <w:tcW w:w="707" w:type="dxa"/>
            <w:vAlign w:val="top"/>
          </w:tcPr>
          <w:p>
            <w:pPr>
              <w:spacing w:before="272"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60.8</w:t>
            </w:r>
          </w:p>
        </w:tc>
        <w:tc>
          <w:tcPr>
            <w:tcW w:w="687" w:type="dxa"/>
            <w:vAlign w:val="top"/>
          </w:tcPr>
          <w:p>
            <w:pPr>
              <w:spacing w:before="272"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55.0</w:t>
            </w:r>
          </w:p>
        </w:tc>
        <w:tc>
          <w:tcPr>
            <w:tcW w:w="707" w:type="dxa"/>
            <w:vAlign w:val="top"/>
          </w:tcPr>
          <w:p>
            <w:pPr>
              <w:spacing w:before="272"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83.5</w:t>
            </w:r>
          </w:p>
        </w:tc>
        <w:tc>
          <w:tcPr>
            <w:tcW w:w="690" w:type="dxa"/>
            <w:vAlign w:val="top"/>
          </w:tcPr>
          <w:p>
            <w:pPr>
              <w:spacing w:before="272"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49.5</w:t>
            </w:r>
          </w:p>
        </w:tc>
        <w:tc>
          <w:tcPr>
            <w:tcW w:w="650" w:type="dxa"/>
            <w:vAlign w:val="top"/>
          </w:tcPr>
          <w:p>
            <w:pPr>
              <w:spacing w:before="272" w:line="187" w:lineRule="auto"/>
              <w:ind w:left="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c>
          <w:tcPr>
            <w:tcW w:w="644" w:type="dxa"/>
            <w:vAlign w:val="top"/>
          </w:tcPr>
          <w:p>
            <w:pPr>
              <w:spacing w:before="27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170</w:t>
            </w:r>
          </w:p>
        </w:tc>
        <w:tc>
          <w:tcPr>
            <w:tcW w:w="647" w:type="dxa"/>
            <w:vAlign w:val="top"/>
          </w:tcPr>
          <w:p>
            <w:pPr>
              <w:spacing w:before="272"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740" w:type="dxa"/>
            <w:vAlign w:val="top"/>
          </w:tcPr>
          <w:p>
            <w:pPr>
              <w:spacing w:before="272" w:line="187"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459" w:type="dxa"/>
            <w:tcBorders>
              <w:right w:val="single" w:color="000000" w:sz="10" w:space="0"/>
            </w:tcBorders>
            <w:vAlign w:val="top"/>
          </w:tcPr>
          <w:p>
            <w:pPr>
              <w:pStyle w:val="6"/>
              <w:spacing w:before="75"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504" w:type="dxa"/>
            <w:vMerge w:val="continue"/>
            <w:tcBorders>
              <w:top w:val="nil"/>
              <w:left w:val="single" w:color="000000" w:sz="10" w:space="0"/>
              <w:bottom w:val="single" w:color="000000" w:sz="10" w:space="0"/>
            </w:tcBorders>
            <w:vAlign w:val="top"/>
          </w:tcPr>
          <w:p>
            <w:pPr>
              <w:rPr>
                <w:rFonts w:ascii="Arial"/>
                <w:sz w:val="21"/>
              </w:rPr>
            </w:pPr>
          </w:p>
        </w:tc>
        <w:tc>
          <w:tcPr>
            <w:tcW w:w="951" w:type="dxa"/>
            <w:vMerge w:val="continue"/>
            <w:tcBorders>
              <w:top w:val="nil"/>
              <w:bottom w:val="single" w:color="000000" w:sz="10" w:space="0"/>
            </w:tcBorders>
            <w:vAlign w:val="top"/>
          </w:tcPr>
          <w:p>
            <w:pPr>
              <w:rPr>
                <w:rFonts w:ascii="Arial"/>
                <w:sz w:val="21"/>
              </w:rPr>
            </w:pPr>
          </w:p>
        </w:tc>
        <w:tc>
          <w:tcPr>
            <w:tcW w:w="1905" w:type="dxa"/>
            <w:tcBorders>
              <w:bottom w:val="single" w:color="000000" w:sz="10" w:space="0"/>
            </w:tcBorders>
            <w:vAlign w:val="top"/>
          </w:tcPr>
          <w:p>
            <w:pPr>
              <w:pStyle w:val="6"/>
              <w:spacing w:before="226"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tcBorders>
              <w:bottom w:val="single" w:color="000000" w:sz="10" w:space="0"/>
            </w:tcBorders>
            <w:vAlign w:val="top"/>
          </w:tcPr>
          <w:p>
            <w:pPr>
              <w:spacing w:before="270" w:line="233"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16:30~</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pacing w:val="-5"/>
                <w:sz w:val="21"/>
                <w:szCs w:val="21"/>
              </w:rPr>
              <w:t>16:50</w:t>
            </w:r>
          </w:p>
        </w:tc>
        <w:tc>
          <w:tcPr>
            <w:tcW w:w="1200" w:type="dxa"/>
            <w:tcBorders>
              <w:bottom w:val="single" w:color="000000" w:sz="10" w:space="0"/>
            </w:tcBorders>
            <w:vAlign w:val="top"/>
          </w:tcPr>
          <w:p>
            <w:pPr>
              <w:spacing w:before="73" w:line="193"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tcBorders>
              <w:bottom w:val="single" w:color="000000" w:sz="10" w:space="0"/>
            </w:tcBorders>
            <w:vAlign w:val="top"/>
          </w:tcPr>
          <w:p>
            <w:pPr>
              <w:spacing w:before="274"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70.1</w:t>
            </w:r>
          </w:p>
        </w:tc>
        <w:tc>
          <w:tcPr>
            <w:tcW w:w="688" w:type="dxa"/>
            <w:tcBorders>
              <w:bottom w:val="single" w:color="000000" w:sz="10" w:space="0"/>
            </w:tcBorders>
            <w:vAlign w:val="top"/>
          </w:tcPr>
          <w:p>
            <w:pPr>
              <w:spacing w:before="274"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71.2</w:t>
            </w:r>
          </w:p>
        </w:tc>
        <w:tc>
          <w:tcPr>
            <w:tcW w:w="707" w:type="dxa"/>
            <w:tcBorders>
              <w:bottom w:val="single" w:color="000000" w:sz="10" w:space="0"/>
            </w:tcBorders>
            <w:vAlign w:val="top"/>
          </w:tcPr>
          <w:p>
            <w:pPr>
              <w:spacing w:before="274"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62.0</w:t>
            </w:r>
          </w:p>
        </w:tc>
        <w:tc>
          <w:tcPr>
            <w:tcW w:w="687" w:type="dxa"/>
            <w:tcBorders>
              <w:bottom w:val="single" w:color="000000" w:sz="10" w:space="0"/>
            </w:tcBorders>
            <w:vAlign w:val="top"/>
          </w:tcPr>
          <w:p>
            <w:pPr>
              <w:spacing w:before="274"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55.6</w:t>
            </w:r>
          </w:p>
        </w:tc>
        <w:tc>
          <w:tcPr>
            <w:tcW w:w="707" w:type="dxa"/>
            <w:tcBorders>
              <w:bottom w:val="single" w:color="000000" w:sz="10" w:space="0"/>
            </w:tcBorders>
            <w:vAlign w:val="top"/>
          </w:tcPr>
          <w:p>
            <w:pPr>
              <w:spacing w:before="274"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99.4</w:t>
            </w:r>
          </w:p>
        </w:tc>
        <w:tc>
          <w:tcPr>
            <w:tcW w:w="690" w:type="dxa"/>
            <w:tcBorders>
              <w:bottom w:val="single" w:color="000000" w:sz="10" w:space="0"/>
            </w:tcBorders>
            <w:vAlign w:val="top"/>
          </w:tcPr>
          <w:p>
            <w:pPr>
              <w:spacing w:before="274"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49.0</w:t>
            </w:r>
          </w:p>
        </w:tc>
        <w:tc>
          <w:tcPr>
            <w:tcW w:w="650" w:type="dxa"/>
            <w:tcBorders>
              <w:bottom w:val="single" w:color="000000" w:sz="10" w:space="0"/>
            </w:tcBorders>
            <w:vAlign w:val="top"/>
          </w:tcPr>
          <w:p>
            <w:pPr>
              <w:spacing w:before="274"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644" w:type="dxa"/>
            <w:tcBorders>
              <w:bottom w:val="single" w:color="000000" w:sz="10" w:space="0"/>
            </w:tcBorders>
            <w:vAlign w:val="top"/>
          </w:tcPr>
          <w:p>
            <w:pPr>
              <w:spacing w:before="274"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163</w:t>
            </w:r>
          </w:p>
        </w:tc>
        <w:tc>
          <w:tcPr>
            <w:tcW w:w="647" w:type="dxa"/>
            <w:tcBorders>
              <w:bottom w:val="single" w:color="000000" w:sz="10" w:space="0"/>
            </w:tcBorders>
            <w:vAlign w:val="top"/>
          </w:tcPr>
          <w:p>
            <w:pPr>
              <w:spacing w:before="274"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740" w:type="dxa"/>
            <w:tcBorders>
              <w:bottom w:val="single" w:color="000000" w:sz="10" w:space="0"/>
            </w:tcBorders>
            <w:vAlign w:val="top"/>
          </w:tcPr>
          <w:p>
            <w:pPr>
              <w:spacing w:before="274" w:line="187"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459" w:type="dxa"/>
            <w:tcBorders>
              <w:bottom w:val="single" w:color="000000" w:sz="10" w:space="0"/>
              <w:right w:val="single" w:color="000000" w:sz="10" w:space="0"/>
            </w:tcBorders>
            <w:vAlign w:val="top"/>
          </w:tcPr>
          <w:p>
            <w:pPr>
              <w:pStyle w:val="6"/>
              <w:spacing w:before="77" w:line="221" w:lineRule="auto"/>
              <w:ind w:left="426"/>
            </w:pPr>
            <w:r>
              <w:rPr>
                <w:spacing w:val="-2"/>
              </w:rPr>
              <w:t>大南线</w:t>
            </w:r>
          </w:p>
        </w:tc>
      </w:tr>
    </w:tbl>
    <w:p>
      <w:pPr>
        <w:pStyle w:val="2"/>
      </w:pPr>
    </w:p>
    <w:p>
      <w:pPr>
        <w:sectPr>
          <w:footerReference r:id="rId213" w:type="default"/>
          <w:pgSz w:w="16839" w:h="11907"/>
          <w:pgMar w:top="1260" w:right="1281" w:bottom="1151" w:left="1283" w:header="1019" w:footer="990" w:gutter="0"/>
          <w:cols w:space="720" w:num="1"/>
        </w:sectPr>
      </w:pPr>
    </w:p>
    <w:p>
      <w:pPr>
        <w:spacing w:line="155" w:lineRule="exact"/>
      </w:pPr>
    </w:p>
    <w:tbl>
      <w:tblPr>
        <w:tblStyle w:val="5"/>
        <w:tblW w:w="142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951"/>
        <w:gridCol w:w="1905"/>
        <w:gridCol w:w="1361"/>
        <w:gridCol w:w="1200"/>
        <w:gridCol w:w="707"/>
        <w:gridCol w:w="688"/>
        <w:gridCol w:w="707"/>
        <w:gridCol w:w="687"/>
        <w:gridCol w:w="707"/>
        <w:gridCol w:w="690"/>
        <w:gridCol w:w="650"/>
        <w:gridCol w:w="644"/>
        <w:gridCol w:w="647"/>
        <w:gridCol w:w="740"/>
        <w:gridCol w:w="1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04" w:type="dxa"/>
            <w:vMerge w:val="restart"/>
            <w:tcBorders>
              <w:top w:val="single" w:color="000000" w:sz="10" w:space="0"/>
              <w:left w:val="single" w:color="000000" w:sz="10" w:space="0"/>
              <w:bottom w:val="nil"/>
            </w:tcBorders>
            <w:textDirection w:val="tbRlV"/>
            <w:vAlign w:val="top"/>
          </w:tcPr>
          <w:p>
            <w:pPr>
              <w:pStyle w:val="6"/>
              <w:spacing w:before="144" w:line="211" w:lineRule="auto"/>
              <w:ind w:left="374"/>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951" w:type="dxa"/>
            <w:vMerge w:val="restart"/>
            <w:tcBorders>
              <w:top w:val="single" w:color="000000" w:sz="10" w:space="0"/>
              <w:bottom w:val="nil"/>
            </w:tcBorders>
            <w:vAlign w:val="top"/>
          </w:tcPr>
          <w:p>
            <w:pPr>
              <w:spacing w:line="304" w:lineRule="auto"/>
              <w:rPr>
                <w:rFonts w:ascii="Arial"/>
                <w:sz w:val="21"/>
              </w:rPr>
            </w:pPr>
          </w:p>
          <w:p>
            <w:pPr>
              <w:pStyle w:val="6"/>
              <w:spacing w:before="69" w:line="231" w:lineRule="auto"/>
              <w:ind w:left="367" w:right="170" w:hanging="199"/>
            </w:pPr>
            <w:r>
              <w:rPr>
                <w:spacing w:val="-8"/>
                <w14:textOutline w14:w="3831" w14:cap="flat" w14:cmpd="sng">
                  <w14:solidFill>
                    <w14:srgbClr w14:val="000000"/>
                  </w14:solidFill>
                  <w14:prstDash w14:val="solid"/>
                  <w14:miter w14:val="0"/>
                </w14:textOutline>
              </w:rPr>
              <w:t>检测点</w:t>
            </w:r>
            <w:r>
              <w:t xml:space="preserve"> </w:t>
            </w:r>
            <w:r>
              <w:rPr>
                <w14:textOutline w14:w="3831" w14:cap="flat" w14:cmpd="sng">
                  <w14:solidFill>
                    <w14:srgbClr w14:val="000000"/>
                  </w14:solidFill>
                  <w14:prstDash w14:val="solid"/>
                  <w14:miter w14:val="0"/>
                </w14:textOutline>
              </w:rPr>
              <w:t>位</w:t>
            </w:r>
          </w:p>
        </w:tc>
        <w:tc>
          <w:tcPr>
            <w:tcW w:w="3266" w:type="dxa"/>
            <w:gridSpan w:val="2"/>
            <w:vMerge w:val="restart"/>
            <w:tcBorders>
              <w:top w:val="single" w:color="000000" w:sz="10" w:space="0"/>
              <w:bottom w:val="nil"/>
            </w:tcBorders>
            <w:vAlign w:val="top"/>
          </w:tcPr>
          <w:p>
            <w:pPr>
              <w:spacing w:line="439" w:lineRule="auto"/>
              <w:rPr>
                <w:rFonts w:ascii="Arial"/>
                <w:sz w:val="21"/>
              </w:rPr>
            </w:pPr>
          </w:p>
          <w:p>
            <w:pPr>
              <w:pStyle w:val="6"/>
              <w:spacing w:before="68" w:line="221" w:lineRule="auto"/>
              <w:ind w:left="1209"/>
            </w:pPr>
            <w:r>
              <w:rPr>
                <w:spacing w:val="-1"/>
                <w14:textOutline w14:w="3831" w14:cap="flat" w14:cmpd="sng">
                  <w14:solidFill>
                    <w14:srgbClr w14:val="000000"/>
                  </w14:solidFill>
                  <w14:prstDash w14:val="solid"/>
                  <w14:miter w14:val="0"/>
                </w14:textOutline>
              </w:rPr>
              <w:t>检测时间</w:t>
            </w:r>
          </w:p>
        </w:tc>
        <w:tc>
          <w:tcPr>
            <w:tcW w:w="1200" w:type="dxa"/>
            <w:vMerge w:val="restart"/>
            <w:tcBorders>
              <w:top w:val="single" w:color="000000" w:sz="10" w:space="0"/>
              <w:bottom w:val="nil"/>
            </w:tcBorders>
            <w:vAlign w:val="top"/>
          </w:tcPr>
          <w:p>
            <w:pPr>
              <w:spacing w:line="440" w:lineRule="auto"/>
              <w:rPr>
                <w:rFonts w:ascii="Arial"/>
                <w:sz w:val="21"/>
              </w:rPr>
            </w:pPr>
          </w:p>
          <w:p>
            <w:pPr>
              <w:pStyle w:val="6"/>
              <w:spacing w:before="68" w:line="221" w:lineRule="auto"/>
              <w:ind w:left="202"/>
            </w:pPr>
            <w:r>
              <w:rPr>
                <w:spacing w:val="-7"/>
                <w14:textOutline w14:w="3831" w14:cap="flat" w14:cmpd="sng">
                  <w14:solidFill>
                    <w14:srgbClr w14:val="000000"/>
                  </w14:solidFill>
                  <w14:prstDash w14:val="solid"/>
                  <w14:miter w14:val="0"/>
                </w14:textOutline>
              </w:rPr>
              <w:t>主要声源</w:t>
            </w:r>
          </w:p>
        </w:tc>
        <w:tc>
          <w:tcPr>
            <w:tcW w:w="4836" w:type="dxa"/>
            <w:gridSpan w:val="7"/>
            <w:tcBorders>
              <w:top w:val="single" w:color="000000" w:sz="10" w:space="0"/>
            </w:tcBorders>
            <w:vAlign w:val="top"/>
          </w:tcPr>
          <w:p>
            <w:pPr>
              <w:pStyle w:val="6"/>
              <w:spacing w:before="184" w:line="221" w:lineRule="auto"/>
              <w:ind w:left="2022"/>
            </w:pPr>
            <w:r>
              <w:rPr>
                <w:spacing w:val="-7"/>
                <w14:textOutline w14:w="3831" w14:cap="flat" w14:cmpd="sng">
                  <w14:solidFill>
                    <w14:srgbClr w14:val="000000"/>
                  </w14:solidFill>
                  <w14:prstDash w14:val="solid"/>
                  <w14:miter w14:val="0"/>
                </w14:textOutline>
              </w:rPr>
              <w:t>检测结果</w:t>
            </w:r>
          </w:p>
        </w:tc>
        <w:tc>
          <w:tcPr>
            <w:tcW w:w="2031" w:type="dxa"/>
            <w:gridSpan w:val="3"/>
            <w:tcBorders>
              <w:top w:val="single" w:color="000000" w:sz="10" w:space="0"/>
            </w:tcBorders>
            <w:vAlign w:val="top"/>
          </w:tcPr>
          <w:p>
            <w:pPr>
              <w:pStyle w:val="6"/>
              <w:spacing w:before="48" w:line="238" w:lineRule="auto"/>
              <w:ind w:left="529"/>
            </w:pPr>
            <w:r>
              <w:rPr>
                <w:spacing w:val="-7"/>
                <w14:textOutline w14:w="3831" w14:cap="flat" w14:cmpd="sng">
                  <w14:solidFill>
                    <w14:srgbClr w14:val="000000"/>
                  </w14:solidFill>
                  <w14:prstDash w14:val="solid"/>
                  <w14:miter w14:val="0"/>
                </w14:textOutline>
              </w:rPr>
              <w:t>车流量情况</w:t>
            </w:r>
          </w:p>
          <w:p>
            <w:pPr>
              <w:pStyle w:val="6"/>
              <w:spacing w:line="218" w:lineRule="auto"/>
              <w:ind w:left="440"/>
            </w:pPr>
            <w:r>
              <w:rPr>
                <w:spacing w:val="-7"/>
                <w14:textOutline w14:w="3831" w14:cap="flat" w14:cmpd="sng">
                  <w14:solidFill>
                    <w14:srgbClr w14:val="000000"/>
                  </w14:solidFill>
                  <w14:prstDash w14:val="solid"/>
                  <w14:miter w14:val="0"/>
                </w14:textOutline>
              </w:rPr>
              <w:t>（辆</w:t>
            </w:r>
            <w:r>
              <w:rPr>
                <w:rFonts w:ascii="Times New Roman" w:hAnsi="Times New Roman" w:eastAsia="Times New Roman" w:cs="Times New Roman"/>
                <w:b/>
                <w:bCs/>
                <w:spacing w:val="-7"/>
              </w:rPr>
              <w:t>/20min</w:t>
            </w:r>
            <w:r>
              <w:rPr>
                <w:spacing w:val="-7"/>
                <w14:textOutline w14:w="3831" w14:cap="flat" w14:cmpd="sng">
                  <w14:solidFill>
                    <w14:srgbClr w14:val="000000"/>
                  </w14:solidFill>
                  <w14:prstDash w14:val="solid"/>
                  <w14:miter w14:val="0"/>
                </w14:textOutline>
              </w:rPr>
              <w:t>）</w:t>
            </w:r>
          </w:p>
        </w:tc>
        <w:tc>
          <w:tcPr>
            <w:tcW w:w="1459" w:type="dxa"/>
            <w:vMerge w:val="restart"/>
            <w:tcBorders>
              <w:top w:val="single" w:color="000000" w:sz="10" w:space="0"/>
              <w:bottom w:val="nil"/>
              <w:right w:val="single" w:color="000000" w:sz="10" w:space="0"/>
            </w:tcBorders>
            <w:vAlign w:val="top"/>
          </w:tcPr>
          <w:p>
            <w:pPr>
              <w:spacing w:line="440" w:lineRule="auto"/>
              <w:rPr>
                <w:rFonts w:ascii="Arial"/>
                <w:sz w:val="21"/>
              </w:rPr>
            </w:pPr>
          </w:p>
          <w:p>
            <w:pPr>
              <w:pStyle w:val="6"/>
              <w:spacing w:before="68" w:line="222" w:lineRule="auto"/>
              <w:ind w:left="541"/>
            </w:pPr>
            <w:r>
              <w:rPr>
                <w:spacing w:val="-5"/>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Align w:val="top"/>
          </w:tcPr>
          <w:p>
            <w:pPr>
              <w:spacing w:before="260" w:line="195" w:lineRule="auto"/>
              <w:ind w:left="213"/>
              <w:rPr>
                <w:rFonts w:ascii="Times New Roman" w:hAnsi="Times New Roman" w:eastAsia="Times New Roman" w:cs="Times New Roman"/>
                <w:sz w:val="13"/>
                <w:szCs w:val="13"/>
              </w:rPr>
            </w:pPr>
            <w:r>
              <w:rPr>
                <w:rFonts w:ascii="Times New Roman" w:hAnsi="Times New Roman" w:eastAsia="Times New Roman" w:cs="Times New Roman"/>
                <w:b/>
                <w:bCs/>
                <w:spacing w:val="2"/>
                <w:position w:val="1"/>
                <w:sz w:val="21"/>
                <w:szCs w:val="21"/>
              </w:rPr>
              <w:t>L</w:t>
            </w:r>
            <w:r>
              <w:rPr>
                <w:rFonts w:ascii="Times New Roman" w:hAnsi="Times New Roman" w:eastAsia="Times New Roman" w:cs="Times New Roman"/>
                <w:b/>
                <w:bCs/>
                <w:spacing w:val="2"/>
                <w:sz w:val="13"/>
                <w:szCs w:val="13"/>
              </w:rPr>
              <w:t>eq</w:t>
            </w:r>
          </w:p>
        </w:tc>
        <w:tc>
          <w:tcPr>
            <w:tcW w:w="688" w:type="dxa"/>
            <w:vAlign w:val="top"/>
          </w:tcPr>
          <w:p>
            <w:pPr>
              <w:spacing w:before="260" w:line="203" w:lineRule="auto"/>
              <w:ind w:left="204"/>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10</w:t>
            </w:r>
          </w:p>
        </w:tc>
        <w:tc>
          <w:tcPr>
            <w:tcW w:w="707" w:type="dxa"/>
            <w:vAlign w:val="top"/>
          </w:tcPr>
          <w:p>
            <w:pPr>
              <w:spacing w:before="260" w:line="203" w:lineRule="auto"/>
              <w:ind w:left="215"/>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50</w:t>
            </w:r>
          </w:p>
        </w:tc>
        <w:tc>
          <w:tcPr>
            <w:tcW w:w="687" w:type="dxa"/>
            <w:vAlign w:val="top"/>
          </w:tcPr>
          <w:p>
            <w:pPr>
              <w:spacing w:before="260" w:line="203" w:lineRule="auto"/>
              <w:ind w:left="206"/>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90</w:t>
            </w:r>
          </w:p>
        </w:tc>
        <w:tc>
          <w:tcPr>
            <w:tcW w:w="707" w:type="dxa"/>
            <w:vAlign w:val="top"/>
          </w:tcPr>
          <w:p>
            <w:pPr>
              <w:spacing w:before="260" w:line="222" w:lineRule="auto"/>
              <w:ind w:left="160"/>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max</w:t>
            </w:r>
          </w:p>
        </w:tc>
        <w:tc>
          <w:tcPr>
            <w:tcW w:w="690" w:type="dxa"/>
            <w:vAlign w:val="top"/>
          </w:tcPr>
          <w:p>
            <w:pPr>
              <w:spacing w:before="260" w:line="223" w:lineRule="auto"/>
              <w:ind w:left="161"/>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min</w:t>
            </w:r>
          </w:p>
        </w:tc>
        <w:tc>
          <w:tcPr>
            <w:tcW w:w="650" w:type="dxa"/>
            <w:vAlign w:val="top"/>
          </w:tcPr>
          <w:p>
            <w:pPr>
              <w:spacing w:before="257" w:line="187" w:lineRule="auto"/>
              <w:ind w:left="200"/>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SD</w:t>
            </w:r>
          </w:p>
        </w:tc>
        <w:tc>
          <w:tcPr>
            <w:tcW w:w="644" w:type="dxa"/>
            <w:vAlign w:val="top"/>
          </w:tcPr>
          <w:p>
            <w:pPr>
              <w:pStyle w:val="6"/>
              <w:spacing w:before="82" w:line="229" w:lineRule="auto"/>
              <w:ind w:left="231" w:right="100" w:hanging="101"/>
            </w:pPr>
            <w:r>
              <w:rPr>
                <w:spacing w:val="-6"/>
                <w14:textOutline w14:w="3831" w14:cap="flat" w14:cmpd="sng">
                  <w14:solidFill>
                    <w14:srgbClr w14:val="000000"/>
                  </w14:solidFill>
                  <w14:prstDash w14:val="solid"/>
                  <w14:miter w14:val="0"/>
                </w14:textOutline>
              </w:rPr>
              <w:t>小型</w:t>
            </w:r>
            <w:r>
              <w:t xml:space="preserve"> </w:t>
            </w:r>
            <w:r>
              <w:rPr>
                <w14:textOutline w14:w="3831" w14:cap="flat" w14:cmpd="sng">
                  <w14:solidFill>
                    <w14:srgbClr w14:val="000000"/>
                  </w14:solidFill>
                  <w14:prstDash w14:val="solid"/>
                  <w14:miter w14:val="0"/>
                </w14:textOutline>
              </w:rPr>
              <w:t>车</w:t>
            </w:r>
          </w:p>
        </w:tc>
        <w:tc>
          <w:tcPr>
            <w:tcW w:w="647" w:type="dxa"/>
            <w:vAlign w:val="top"/>
          </w:tcPr>
          <w:p>
            <w:pPr>
              <w:pStyle w:val="6"/>
              <w:spacing w:before="82" w:line="229" w:lineRule="auto"/>
              <w:ind w:left="230" w:right="103" w:hanging="87"/>
            </w:pPr>
            <w:r>
              <w:rPr>
                <w:spacing w:val="-13"/>
                <w14:textOutline w14:w="3831" w14:cap="flat" w14:cmpd="sng">
                  <w14:solidFill>
                    <w14:srgbClr w14:val="000000"/>
                  </w14:solidFill>
                  <w14:prstDash w14:val="solid"/>
                  <w14:miter w14:val="0"/>
                </w14:textOutline>
              </w:rPr>
              <w:t>中型</w:t>
            </w:r>
            <w:r>
              <w:t xml:space="preserve"> </w:t>
            </w:r>
            <w:r>
              <w:rPr>
                <w14:textOutline w14:w="3831" w14:cap="flat" w14:cmpd="sng">
                  <w14:solidFill>
                    <w14:srgbClr w14:val="000000"/>
                  </w14:solidFill>
                  <w14:prstDash w14:val="solid"/>
                  <w14:miter w14:val="0"/>
                </w14:textOutline>
              </w:rPr>
              <w:t>车</w:t>
            </w:r>
          </w:p>
        </w:tc>
        <w:tc>
          <w:tcPr>
            <w:tcW w:w="740" w:type="dxa"/>
            <w:vAlign w:val="top"/>
          </w:tcPr>
          <w:p>
            <w:pPr>
              <w:pStyle w:val="6"/>
              <w:spacing w:before="82" w:line="238" w:lineRule="auto"/>
              <w:ind w:left="172"/>
            </w:pPr>
            <w:r>
              <w:rPr>
                <w:spacing w:val="-3"/>
                <w14:textOutline w14:w="3831" w14:cap="flat" w14:cmpd="sng">
                  <w14:solidFill>
                    <w14:srgbClr w14:val="000000"/>
                  </w14:solidFill>
                  <w14:prstDash w14:val="solid"/>
                  <w14:miter w14:val="0"/>
                </w14:textOutline>
              </w:rPr>
              <w:t>大型</w:t>
            </w:r>
          </w:p>
          <w:p>
            <w:pPr>
              <w:pStyle w:val="6"/>
              <w:spacing w:line="220" w:lineRule="auto"/>
              <w:ind w:left="277"/>
            </w:pPr>
            <w:r>
              <w:rPr>
                <w14:textOutline w14:w="3831" w14:cap="flat" w14:cmpd="sng">
                  <w14:solidFill>
                    <w14:srgbClr w14:val="000000"/>
                  </w14:solidFill>
                  <w14:prstDash w14:val="solid"/>
                  <w14:miter w14:val="0"/>
                </w14:textOutline>
              </w:rPr>
              <w:t>车</w:t>
            </w:r>
          </w:p>
        </w:tc>
        <w:tc>
          <w:tcPr>
            <w:tcW w:w="145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05"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50" w:line="233"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17:30~</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pacing w:val="-5"/>
                <w:sz w:val="21"/>
                <w:szCs w:val="21"/>
              </w:rPr>
              <w:t>17:50</w:t>
            </w:r>
          </w:p>
        </w:tc>
        <w:tc>
          <w:tcPr>
            <w:tcW w:w="1200" w:type="dxa"/>
            <w:vAlign w:val="top"/>
          </w:tcPr>
          <w:p>
            <w:pPr>
              <w:spacing w:before="52" w:line="192"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53"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67.2</w:t>
            </w:r>
          </w:p>
        </w:tc>
        <w:tc>
          <w:tcPr>
            <w:tcW w:w="688" w:type="dxa"/>
            <w:vAlign w:val="top"/>
          </w:tcPr>
          <w:p>
            <w:pPr>
              <w:spacing w:before="253"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69.0</w:t>
            </w:r>
          </w:p>
        </w:tc>
        <w:tc>
          <w:tcPr>
            <w:tcW w:w="707" w:type="dxa"/>
            <w:vAlign w:val="top"/>
          </w:tcPr>
          <w:p>
            <w:pPr>
              <w:spacing w:before="253"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62.6</w:t>
            </w:r>
          </w:p>
        </w:tc>
        <w:tc>
          <w:tcPr>
            <w:tcW w:w="687" w:type="dxa"/>
            <w:vAlign w:val="top"/>
          </w:tcPr>
          <w:p>
            <w:pPr>
              <w:spacing w:before="253"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707" w:type="dxa"/>
            <w:vAlign w:val="top"/>
          </w:tcPr>
          <w:p>
            <w:pPr>
              <w:spacing w:before="253"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94.1</w:t>
            </w:r>
          </w:p>
        </w:tc>
        <w:tc>
          <w:tcPr>
            <w:tcW w:w="690" w:type="dxa"/>
            <w:vAlign w:val="top"/>
          </w:tcPr>
          <w:p>
            <w:pPr>
              <w:spacing w:before="253"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48.9</w:t>
            </w:r>
          </w:p>
        </w:tc>
        <w:tc>
          <w:tcPr>
            <w:tcW w:w="650" w:type="dxa"/>
            <w:vAlign w:val="top"/>
          </w:tcPr>
          <w:p>
            <w:pPr>
              <w:spacing w:before="253"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w:t>
            </w:r>
          </w:p>
        </w:tc>
        <w:tc>
          <w:tcPr>
            <w:tcW w:w="644" w:type="dxa"/>
            <w:vAlign w:val="top"/>
          </w:tcPr>
          <w:p>
            <w:pPr>
              <w:spacing w:before="253"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180</w:t>
            </w:r>
          </w:p>
        </w:tc>
        <w:tc>
          <w:tcPr>
            <w:tcW w:w="647" w:type="dxa"/>
            <w:vAlign w:val="top"/>
          </w:tcPr>
          <w:p>
            <w:pPr>
              <w:spacing w:before="253"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740" w:type="dxa"/>
            <w:vAlign w:val="top"/>
          </w:tcPr>
          <w:p>
            <w:pPr>
              <w:spacing w:before="253" w:line="187"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459" w:type="dxa"/>
            <w:tcBorders>
              <w:right w:val="single" w:color="000000" w:sz="10" w:space="0"/>
            </w:tcBorders>
            <w:vAlign w:val="top"/>
          </w:tcPr>
          <w:p>
            <w:pPr>
              <w:pStyle w:val="6"/>
              <w:spacing w:before="56"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10"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54" w:line="233"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18:30~</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pacing w:val="-5"/>
                <w:sz w:val="21"/>
                <w:szCs w:val="21"/>
              </w:rPr>
              <w:t>18:50</w:t>
            </w:r>
          </w:p>
        </w:tc>
        <w:tc>
          <w:tcPr>
            <w:tcW w:w="1200" w:type="dxa"/>
            <w:vAlign w:val="top"/>
          </w:tcPr>
          <w:p>
            <w:pPr>
              <w:spacing w:before="58" w:line="191"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58"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68.7</w:t>
            </w:r>
          </w:p>
        </w:tc>
        <w:tc>
          <w:tcPr>
            <w:tcW w:w="688" w:type="dxa"/>
            <w:vAlign w:val="top"/>
          </w:tcPr>
          <w:p>
            <w:pPr>
              <w:spacing w:before="258"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69.4</w:t>
            </w:r>
          </w:p>
        </w:tc>
        <w:tc>
          <w:tcPr>
            <w:tcW w:w="707" w:type="dxa"/>
            <w:vAlign w:val="top"/>
          </w:tcPr>
          <w:p>
            <w:pPr>
              <w:spacing w:before="258"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62.2</w:t>
            </w:r>
          </w:p>
        </w:tc>
        <w:tc>
          <w:tcPr>
            <w:tcW w:w="687" w:type="dxa"/>
            <w:vAlign w:val="top"/>
          </w:tcPr>
          <w:p>
            <w:pPr>
              <w:spacing w:before="258"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56.2</w:t>
            </w:r>
          </w:p>
        </w:tc>
        <w:tc>
          <w:tcPr>
            <w:tcW w:w="707" w:type="dxa"/>
            <w:vAlign w:val="top"/>
          </w:tcPr>
          <w:p>
            <w:pPr>
              <w:spacing w:before="258"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95.9</w:t>
            </w:r>
          </w:p>
        </w:tc>
        <w:tc>
          <w:tcPr>
            <w:tcW w:w="690" w:type="dxa"/>
            <w:vAlign w:val="top"/>
          </w:tcPr>
          <w:p>
            <w:pPr>
              <w:spacing w:before="258"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48.5</w:t>
            </w:r>
          </w:p>
        </w:tc>
        <w:tc>
          <w:tcPr>
            <w:tcW w:w="650" w:type="dxa"/>
            <w:vAlign w:val="top"/>
          </w:tcPr>
          <w:p>
            <w:pPr>
              <w:spacing w:before="258" w:line="187"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w:t>
            </w:r>
          </w:p>
        </w:tc>
        <w:tc>
          <w:tcPr>
            <w:tcW w:w="644" w:type="dxa"/>
            <w:vAlign w:val="top"/>
          </w:tcPr>
          <w:p>
            <w:pPr>
              <w:spacing w:before="258"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145</w:t>
            </w:r>
          </w:p>
        </w:tc>
        <w:tc>
          <w:tcPr>
            <w:tcW w:w="647" w:type="dxa"/>
            <w:vAlign w:val="top"/>
          </w:tcPr>
          <w:p>
            <w:pPr>
              <w:spacing w:before="258"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40" w:type="dxa"/>
            <w:vAlign w:val="top"/>
          </w:tcPr>
          <w:p>
            <w:pPr>
              <w:spacing w:before="258" w:line="187" w:lineRule="auto"/>
              <w:ind w:left="333"/>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459" w:type="dxa"/>
            <w:tcBorders>
              <w:right w:val="single" w:color="000000" w:sz="10" w:space="0"/>
            </w:tcBorders>
            <w:vAlign w:val="top"/>
          </w:tcPr>
          <w:p>
            <w:pPr>
              <w:pStyle w:val="6"/>
              <w:spacing w:before="61"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11"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55" w:line="233"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19:30~</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pacing w:val="-5"/>
                <w:sz w:val="21"/>
                <w:szCs w:val="21"/>
              </w:rPr>
              <w:t>19:50</w:t>
            </w:r>
          </w:p>
        </w:tc>
        <w:tc>
          <w:tcPr>
            <w:tcW w:w="1200" w:type="dxa"/>
            <w:vAlign w:val="top"/>
          </w:tcPr>
          <w:p>
            <w:pPr>
              <w:spacing w:before="57" w:line="191"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59"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65.1</w:t>
            </w:r>
          </w:p>
        </w:tc>
        <w:tc>
          <w:tcPr>
            <w:tcW w:w="688" w:type="dxa"/>
            <w:vAlign w:val="top"/>
          </w:tcPr>
          <w:p>
            <w:pPr>
              <w:spacing w:before="259"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67.4</w:t>
            </w:r>
          </w:p>
        </w:tc>
        <w:tc>
          <w:tcPr>
            <w:tcW w:w="707" w:type="dxa"/>
            <w:vAlign w:val="top"/>
          </w:tcPr>
          <w:p>
            <w:pPr>
              <w:spacing w:before="259"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687" w:type="dxa"/>
            <w:vAlign w:val="top"/>
          </w:tcPr>
          <w:p>
            <w:pPr>
              <w:spacing w:before="259"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51.8</w:t>
            </w:r>
          </w:p>
        </w:tc>
        <w:tc>
          <w:tcPr>
            <w:tcW w:w="707" w:type="dxa"/>
            <w:vAlign w:val="top"/>
          </w:tcPr>
          <w:p>
            <w:pPr>
              <w:spacing w:before="259"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88.6</w:t>
            </w:r>
          </w:p>
        </w:tc>
        <w:tc>
          <w:tcPr>
            <w:tcW w:w="690" w:type="dxa"/>
            <w:vAlign w:val="top"/>
          </w:tcPr>
          <w:p>
            <w:pPr>
              <w:spacing w:before="259"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43.2</w:t>
            </w:r>
          </w:p>
        </w:tc>
        <w:tc>
          <w:tcPr>
            <w:tcW w:w="650" w:type="dxa"/>
            <w:vAlign w:val="top"/>
          </w:tcPr>
          <w:p>
            <w:pPr>
              <w:spacing w:before="259"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w:t>
            </w:r>
          </w:p>
        </w:tc>
        <w:tc>
          <w:tcPr>
            <w:tcW w:w="644" w:type="dxa"/>
            <w:vAlign w:val="top"/>
          </w:tcPr>
          <w:p>
            <w:pPr>
              <w:spacing w:before="259"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136</w:t>
            </w:r>
          </w:p>
        </w:tc>
        <w:tc>
          <w:tcPr>
            <w:tcW w:w="647" w:type="dxa"/>
            <w:vAlign w:val="top"/>
          </w:tcPr>
          <w:p>
            <w:pPr>
              <w:spacing w:before="259"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40" w:type="dxa"/>
            <w:vAlign w:val="top"/>
          </w:tcPr>
          <w:p>
            <w:pPr>
              <w:spacing w:before="262" w:line="184" w:lineRule="auto"/>
              <w:ind w:left="33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59" w:type="dxa"/>
            <w:tcBorders>
              <w:right w:val="single" w:color="000000" w:sz="10" w:space="0"/>
            </w:tcBorders>
            <w:vAlign w:val="top"/>
          </w:tcPr>
          <w:p>
            <w:pPr>
              <w:pStyle w:val="6"/>
              <w:spacing w:before="62"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13"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57" w:line="233"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20:30~20:50</w:t>
            </w:r>
          </w:p>
        </w:tc>
        <w:tc>
          <w:tcPr>
            <w:tcW w:w="1200" w:type="dxa"/>
            <w:vAlign w:val="top"/>
          </w:tcPr>
          <w:p>
            <w:pPr>
              <w:spacing w:before="60" w:line="190"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64.8</w:t>
            </w:r>
          </w:p>
        </w:tc>
        <w:tc>
          <w:tcPr>
            <w:tcW w:w="688" w:type="dxa"/>
            <w:vAlign w:val="top"/>
          </w:tcPr>
          <w:p>
            <w:pPr>
              <w:spacing w:before="26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67.2</w:t>
            </w:r>
          </w:p>
        </w:tc>
        <w:tc>
          <w:tcPr>
            <w:tcW w:w="707" w:type="dxa"/>
            <w:vAlign w:val="top"/>
          </w:tcPr>
          <w:p>
            <w:pPr>
              <w:spacing w:before="2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57.0</w:t>
            </w:r>
          </w:p>
        </w:tc>
        <w:tc>
          <w:tcPr>
            <w:tcW w:w="687" w:type="dxa"/>
            <w:vAlign w:val="top"/>
          </w:tcPr>
          <w:p>
            <w:pPr>
              <w:spacing w:before="261"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49.8</w:t>
            </w:r>
          </w:p>
        </w:tc>
        <w:tc>
          <w:tcPr>
            <w:tcW w:w="707" w:type="dxa"/>
            <w:vAlign w:val="top"/>
          </w:tcPr>
          <w:p>
            <w:pPr>
              <w:spacing w:before="2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84.4</w:t>
            </w:r>
          </w:p>
        </w:tc>
        <w:tc>
          <w:tcPr>
            <w:tcW w:w="690" w:type="dxa"/>
            <w:vAlign w:val="top"/>
          </w:tcPr>
          <w:p>
            <w:pPr>
              <w:spacing w:before="261"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44.1</w:t>
            </w:r>
          </w:p>
        </w:tc>
        <w:tc>
          <w:tcPr>
            <w:tcW w:w="650" w:type="dxa"/>
            <w:vAlign w:val="top"/>
          </w:tcPr>
          <w:p>
            <w:pPr>
              <w:spacing w:before="261"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w:t>
            </w:r>
          </w:p>
        </w:tc>
        <w:tc>
          <w:tcPr>
            <w:tcW w:w="644" w:type="dxa"/>
            <w:vAlign w:val="top"/>
          </w:tcPr>
          <w:p>
            <w:pPr>
              <w:spacing w:before="261"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121</w:t>
            </w:r>
          </w:p>
        </w:tc>
        <w:tc>
          <w:tcPr>
            <w:tcW w:w="647" w:type="dxa"/>
            <w:vAlign w:val="top"/>
          </w:tcPr>
          <w:p>
            <w:pPr>
              <w:spacing w:before="261"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40" w:type="dxa"/>
            <w:vAlign w:val="top"/>
          </w:tcPr>
          <w:p>
            <w:pPr>
              <w:spacing w:before="261" w:line="187"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459" w:type="dxa"/>
            <w:tcBorders>
              <w:right w:val="single" w:color="000000" w:sz="10" w:space="0"/>
            </w:tcBorders>
            <w:vAlign w:val="top"/>
          </w:tcPr>
          <w:p>
            <w:pPr>
              <w:pStyle w:val="6"/>
              <w:spacing w:before="64"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15"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59" w:line="233"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21:30~21:50</w:t>
            </w:r>
          </w:p>
        </w:tc>
        <w:tc>
          <w:tcPr>
            <w:tcW w:w="1200" w:type="dxa"/>
            <w:vAlign w:val="top"/>
          </w:tcPr>
          <w:p>
            <w:pPr>
              <w:spacing w:before="61" w:line="190"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63"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64.0</w:t>
            </w:r>
          </w:p>
        </w:tc>
        <w:tc>
          <w:tcPr>
            <w:tcW w:w="688" w:type="dxa"/>
            <w:vAlign w:val="top"/>
          </w:tcPr>
          <w:p>
            <w:pPr>
              <w:spacing w:before="263"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66.2</w:t>
            </w:r>
          </w:p>
        </w:tc>
        <w:tc>
          <w:tcPr>
            <w:tcW w:w="707" w:type="dxa"/>
            <w:vAlign w:val="top"/>
          </w:tcPr>
          <w:p>
            <w:pPr>
              <w:spacing w:before="263"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55.0</w:t>
            </w:r>
          </w:p>
        </w:tc>
        <w:tc>
          <w:tcPr>
            <w:tcW w:w="687" w:type="dxa"/>
            <w:vAlign w:val="top"/>
          </w:tcPr>
          <w:p>
            <w:pPr>
              <w:spacing w:before="263"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46.0</w:t>
            </w:r>
          </w:p>
        </w:tc>
        <w:tc>
          <w:tcPr>
            <w:tcW w:w="707" w:type="dxa"/>
            <w:vAlign w:val="top"/>
          </w:tcPr>
          <w:p>
            <w:pPr>
              <w:spacing w:before="263"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82.6</w:t>
            </w:r>
          </w:p>
        </w:tc>
        <w:tc>
          <w:tcPr>
            <w:tcW w:w="690" w:type="dxa"/>
            <w:vAlign w:val="top"/>
          </w:tcPr>
          <w:p>
            <w:pPr>
              <w:spacing w:before="263"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40.8</w:t>
            </w:r>
          </w:p>
        </w:tc>
        <w:tc>
          <w:tcPr>
            <w:tcW w:w="650" w:type="dxa"/>
            <w:vAlign w:val="top"/>
          </w:tcPr>
          <w:p>
            <w:pPr>
              <w:spacing w:before="266" w:line="184"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w:t>
            </w:r>
          </w:p>
        </w:tc>
        <w:tc>
          <w:tcPr>
            <w:tcW w:w="644" w:type="dxa"/>
            <w:vAlign w:val="top"/>
          </w:tcPr>
          <w:p>
            <w:pPr>
              <w:spacing w:before="263"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96</w:t>
            </w:r>
          </w:p>
        </w:tc>
        <w:tc>
          <w:tcPr>
            <w:tcW w:w="647" w:type="dxa"/>
            <w:vAlign w:val="top"/>
          </w:tcPr>
          <w:p>
            <w:pPr>
              <w:spacing w:before="263"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26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459" w:type="dxa"/>
            <w:tcBorders>
              <w:right w:val="single" w:color="000000" w:sz="10" w:space="0"/>
            </w:tcBorders>
            <w:vAlign w:val="top"/>
          </w:tcPr>
          <w:p>
            <w:pPr>
              <w:pStyle w:val="6"/>
              <w:spacing w:before="66"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16"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1" w:line="233"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22:30~22:50</w:t>
            </w:r>
          </w:p>
        </w:tc>
        <w:tc>
          <w:tcPr>
            <w:tcW w:w="1200" w:type="dxa"/>
            <w:vAlign w:val="top"/>
          </w:tcPr>
          <w:p>
            <w:pPr>
              <w:spacing w:before="63" w:line="189"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64"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61.9</w:t>
            </w:r>
          </w:p>
        </w:tc>
        <w:tc>
          <w:tcPr>
            <w:tcW w:w="688" w:type="dxa"/>
            <w:vAlign w:val="top"/>
          </w:tcPr>
          <w:p>
            <w:pPr>
              <w:spacing w:before="264"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65.0</w:t>
            </w:r>
          </w:p>
        </w:tc>
        <w:tc>
          <w:tcPr>
            <w:tcW w:w="707" w:type="dxa"/>
            <w:vAlign w:val="top"/>
          </w:tcPr>
          <w:p>
            <w:pPr>
              <w:spacing w:before="264"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53.6</w:t>
            </w:r>
          </w:p>
        </w:tc>
        <w:tc>
          <w:tcPr>
            <w:tcW w:w="687" w:type="dxa"/>
            <w:vAlign w:val="top"/>
          </w:tcPr>
          <w:p>
            <w:pPr>
              <w:spacing w:before="264"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44.2</w:t>
            </w:r>
          </w:p>
        </w:tc>
        <w:tc>
          <w:tcPr>
            <w:tcW w:w="707" w:type="dxa"/>
            <w:vAlign w:val="top"/>
          </w:tcPr>
          <w:p>
            <w:pPr>
              <w:spacing w:before="264"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80.5</w:t>
            </w:r>
          </w:p>
        </w:tc>
        <w:tc>
          <w:tcPr>
            <w:tcW w:w="690" w:type="dxa"/>
            <w:vAlign w:val="top"/>
          </w:tcPr>
          <w:p>
            <w:pPr>
              <w:spacing w:before="264"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38.7</w:t>
            </w:r>
          </w:p>
        </w:tc>
        <w:tc>
          <w:tcPr>
            <w:tcW w:w="650" w:type="dxa"/>
            <w:vAlign w:val="top"/>
          </w:tcPr>
          <w:p>
            <w:pPr>
              <w:spacing w:before="267" w:line="184"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w:t>
            </w:r>
          </w:p>
        </w:tc>
        <w:tc>
          <w:tcPr>
            <w:tcW w:w="644" w:type="dxa"/>
            <w:vAlign w:val="top"/>
          </w:tcPr>
          <w:p>
            <w:pPr>
              <w:spacing w:before="264"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647" w:type="dxa"/>
            <w:vAlign w:val="top"/>
          </w:tcPr>
          <w:p>
            <w:pPr>
              <w:spacing w:before="264"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vAlign w:val="top"/>
          </w:tcPr>
          <w:p>
            <w:pPr>
              <w:spacing w:before="267" w:line="184" w:lineRule="auto"/>
              <w:ind w:left="33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59" w:type="dxa"/>
            <w:tcBorders>
              <w:right w:val="single" w:color="000000" w:sz="10" w:space="0"/>
            </w:tcBorders>
            <w:vAlign w:val="top"/>
          </w:tcPr>
          <w:p>
            <w:pPr>
              <w:pStyle w:val="6"/>
              <w:spacing w:before="67"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18"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13</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3" w:line="233"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23:30~23:50</w:t>
            </w:r>
          </w:p>
        </w:tc>
        <w:tc>
          <w:tcPr>
            <w:tcW w:w="1200" w:type="dxa"/>
            <w:vAlign w:val="top"/>
          </w:tcPr>
          <w:p>
            <w:pPr>
              <w:spacing w:before="66" w:line="188"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66"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62.0</w:t>
            </w:r>
          </w:p>
        </w:tc>
        <w:tc>
          <w:tcPr>
            <w:tcW w:w="688" w:type="dxa"/>
            <w:vAlign w:val="top"/>
          </w:tcPr>
          <w:p>
            <w:pPr>
              <w:spacing w:before="266"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64.2</w:t>
            </w:r>
          </w:p>
        </w:tc>
        <w:tc>
          <w:tcPr>
            <w:tcW w:w="707" w:type="dxa"/>
            <w:vAlign w:val="top"/>
          </w:tcPr>
          <w:p>
            <w:pPr>
              <w:spacing w:before="266"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51.4</w:t>
            </w:r>
          </w:p>
        </w:tc>
        <w:tc>
          <w:tcPr>
            <w:tcW w:w="687" w:type="dxa"/>
            <w:vAlign w:val="top"/>
          </w:tcPr>
          <w:p>
            <w:pPr>
              <w:spacing w:before="266"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w:t>
            </w:r>
          </w:p>
        </w:tc>
        <w:tc>
          <w:tcPr>
            <w:tcW w:w="707" w:type="dxa"/>
            <w:vAlign w:val="top"/>
          </w:tcPr>
          <w:p>
            <w:pPr>
              <w:spacing w:before="266"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82.7</w:t>
            </w:r>
          </w:p>
        </w:tc>
        <w:tc>
          <w:tcPr>
            <w:tcW w:w="690" w:type="dxa"/>
            <w:vAlign w:val="top"/>
          </w:tcPr>
          <w:p>
            <w:pPr>
              <w:spacing w:before="266"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37.0</w:t>
            </w:r>
          </w:p>
        </w:tc>
        <w:tc>
          <w:tcPr>
            <w:tcW w:w="650" w:type="dxa"/>
            <w:vAlign w:val="top"/>
          </w:tcPr>
          <w:p>
            <w:pPr>
              <w:spacing w:before="266"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644" w:type="dxa"/>
            <w:vAlign w:val="top"/>
          </w:tcPr>
          <w:p>
            <w:pPr>
              <w:spacing w:before="266"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647" w:type="dxa"/>
            <w:vAlign w:val="top"/>
          </w:tcPr>
          <w:p>
            <w:pPr>
              <w:spacing w:before="266"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69" w:line="184"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59" w:type="dxa"/>
            <w:tcBorders>
              <w:right w:val="single" w:color="000000" w:sz="10" w:space="0"/>
            </w:tcBorders>
            <w:vAlign w:val="top"/>
          </w:tcPr>
          <w:p>
            <w:pPr>
              <w:pStyle w:val="6"/>
              <w:spacing w:before="69"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20"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14</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5" w:line="233"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00:30~00:50</w:t>
            </w:r>
          </w:p>
        </w:tc>
        <w:tc>
          <w:tcPr>
            <w:tcW w:w="1200" w:type="dxa"/>
            <w:vAlign w:val="top"/>
          </w:tcPr>
          <w:p>
            <w:pPr>
              <w:spacing w:before="66" w:line="188"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68"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60.3</w:t>
            </w:r>
          </w:p>
        </w:tc>
        <w:tc>
          <w:tcPr>
            <w:tcW w:w="688" w:type="dxa"/>
            <w:vAlign w:val="top"/>
          </w:tcPr>
          <w:p>
            <w:pPr>
              <w:spacing w:before="268"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59.6</w:t>
            </w:r>
          </w:p>
        </w:tc>
        <w:tc>
          <w:tcPr>
            <w:tcW w:w="707" w:type="dxa"/>
            <w:vAlign w:val="top"/>
          </w:tcPr>
          <w:p>
            <w:pPr>
              <w:spacing w:before="268"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43.0</w:t>
            </w:r>
          </w:p>
        </w:tc>
        <w:tc>
          <w:tcPr>
            <w:tcW w:w="687" w:type="dxa"/>
            <w:vAlign w:val="top"/>
          </w:tcPr>
          <w:p>
            <w:pPr>
              <w:spacing w:before="268"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36.8</w:t>
            </w:r>
          </w:p>
        </w:tc>
        <w:tc>
          <w:tcPr>
            <w:tcW w:w="707" w:type="dxa"/>
            <w:vAlign w:val="top"/>
          </w:tcPr>
          <w:p>
            <w:pPr>
              <w:spacing w:before="268"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83.5</w:t>
            </w:r>
          </w:p>
        </w:tc>
        <w:tc>
          <w:tcPr>
            <w:tcW w:w="690" w:type="dxa"/>
            <w:vAlign w:val="top"/>
          </w:tcPr>
          <w:p>
            <w:pPr>
              <w:spacing w:before="268"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650" w:type="dxa"/>
            <w:vAlign w:val="top"/>
          </w:tcPr>
          <w:p>
            <w:pPr>
              <w:spacing w:before="268"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9.4</w:t>
            </w:r>
          </w:p>
        </w:tc>
        <w:tc>
          <w:tcPr>
            <w:tcW w:w="644" w:type="dxa"/>
            <w:vAlign w:val="top"/>
          </w:tcPr>
          <w:p>
            <w:pPr>
              <w:spacing w:before="268"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647" w:type="dxa"/>
            <w:vAlign w:val="top"/>
          </w:tcPr>
          <w:p>
            <w:pPr>
              <w:spacing w:before="268"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68" w:line="187"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59" w:type="dxa"/>
            <w:tcBorders>
              <w:right w:val="single" w:color="000000" w:sz="10" w:space="0"/>
            </w:tcBorders>
            <w:vAlign w:val="top"/>
          </w:tcPr>
          <w:p>
            <w:pPr>
              <w:pStyle w:val="6"/>
              <w:spacing w:before="71"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22"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14</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7" w:line="233"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01:30~01:50</w:t>
            </w:r>
          </w:p>
        </w:tc>
        <w:tc>
          <w:tcPr>
            <w:tcW w:w="1200" w:type="dxa"/>
            <w:vAlign w:val="top"/>
          </w:tcPr>
          <w:p>
            <w:pPr>
              <w:spacing w:before="70" w:line="187"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71"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688" w:type="dxa"/>
            <w:vAlign w:val="top"/>
          </w:tcPr>
          <w:p>
            <w:pPr>
              <w:spacing w:before="271"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707" w:type="dxa"/>
            <w:vAlign w:val="top"/>
          </w:tcPr>
          <w:p>
            <w:pPr>
              <w:spacing w:before="271"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40.8</w:t>
            </w:r>
          </w:p>
        </w:tc>
        <w:tc>
          <w:tcPr>
            <w:tcW w:w="687" w:type="dxa"/>
            <w:vAlign w:val="top"/>
          </w:tcPr>
          <w:p>
            <w:pPr>
              <w:spacing w:before="27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37.2</w:t>
            </w:r>
          </w:p>
        </w:tc>
        <w:tc>
          <w:tcPr>
            <w:tcW w:w="707" w:type="dxa"/>
            <w:vAlign w:val="top"/>
          </w:tcPr>
          <w:p>
            <w:pPr>
              <w:spacing w:before="27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79.9</w:t>
            </w:r>
          </w:p>
        </w:tc>
        <w:tc>
          <w:tcPr>
            <w:tcW w:w="690" w:type="dxa"/>
            <w:vAlign w:val="top"/>
          </w:tcPr>
          <w:p>
            <w:pPr>
              <w:spacing w:before="271"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34.7</w:t>
            </w:r>
          </w:p>
        </w:tc>
        <w:tc>
          <w:tcPr>
            <w:tcW w:w="650" w:type="dxa"/>
            <w:vAlign w:val="top"/>
          </w:tcPr>
          <w:p>
            <w:pPr>
              <w:spacing w:before="274" w:line="184"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w:t>
            </w:r>
          </w:p>
        </w:tc>
        <w:tc>
          <w:tcPr>
            <w:tcW w:w="644" w:type="dxa"/>
            <w:vAlign w:val="top"/>
          </w:tcPr>
          <w:p>
            <w:pPr>
              <w:spacing w:before="271"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647" w:type="dxa"/>
            <w:vAlign w:val="top"/>
          </w:tcPr>
          <w:p>
            <w:pPr>
              <w:spacing w:before="271"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71"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59" w:type="dxa"/>
            <w:tcBorders>
              <w:right w:val="single" w:color="000000" w:sz="10" w:space="0"/>
            </w:tcBorders>
            <w:vAlign w:val="top"/>
          </w:tcPr>
          <w:p>
            <w:pPr>
              <w:pStyle w:val="6"/>
              <w:spacing w:before="73"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24"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14</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8" w:line="233"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02:30~02:50</w:t>
            </w:r>
          </w:p>
        </w:tc>
        <w:tc>
          <w:tcPr>
            <w:tcW w:w="1200" w:type="dxa"/>
            <w:vAlign w:val="top"/>
          </w:tcPr>
          <w:p>
            <w:pPr>
              <w:spacing w:before="72" w:line="186"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72"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57.0</w:t>
            </w:r>
          </w:p>
        </w:tc>
        <w:tc>
          <w:tcPr>
            <w:tcW w:w="688" w:type="dxa"/>
            <w:vAlign w:val="top"/>
          </w:tcPr>
          <w:p>
            <w:pPr>
              <w:spacing w:before="272"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56.8</w:t>
            </w:r>
          </w:p>
        </w:tc>
        <w:tc>
          <w:tcPr>
            <w:tcW w:w="707" w:type="dxa"/>
            <w:vAlign w:val="top"/>
          </w:tcPr>
          <w:p>
            <w:pPr>
              <w:spacing w:before="272"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41.4</w:t>
            </w:r>
          </w:p>
        </w:tc>
        <w:tc>
          <w:tcPr>
            <w:tcW w:w="687" w:type="dxa"/>
            <w:vAlign w:val="top"/>
          </w:tcPr>
          <w:p>
            <w:pPr>
              <w:spacing w:before="272"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37.1</w:t>
            </w:r>
          </w:p>
        </w:tc>
        <w:tc>
          <w:tcPr>
            <w:tcW w:w="707" w:type="dxa"/>
            <w:vAlign w:val="top"/>
          </w:tcPr>
          <w:p>
            <w:pPr>
              <w:spacing w:before="272"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79.7</w:t>
            </w:r>
          </w:p>
        </w:tc>
        <w:tc>
          <w:tcPr>
            <w:tcW w:w="690" w:type="dxa"/>
            <w:vAlign w:val="top"/>
          </w:tcPr>
          <w:p>
            <w:pPr>
              <w:spacing w:before="272"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33.5</w:t>
            </w:r>
          </w:p>
        </w:tc>
        <w:tc>
          <w:tcPr>
            <w:tcW w:w="650" w:type="dxa"/>
            <w:vAlign w:val="top"/>
          </w:tcPr>
          <w:p>
            <w:pPr>
              <w:spacing w:before="272"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8.3</w:t>
            </w:r>
          </w:p>
        </w:tc>
        <w:tc>
          <w:tcPr>
            <w:tcW w:w="644" w:type="dxa"/>
            <w:vAlign w:val="top"/>
          </w:tcPr>
          <w:p>
            <w:pPr>
              <w:spacing w:before="272"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647" w:type="dxa"/>
            <w:vAlign w:val="top"/>
          </w:tcPr>
          <w:p>
            <w:pPr>
              <w:spacing w:before="272"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7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59" w:type="dxa"/>
            <w:tcBorders>
              <w:right w:val="single" w:color="000000" w:sz="10" w:space="0"/>
            </w:tcBorders>
            <w:vAlign w:val="top"/>
          </w:tcPr>
          <w:p>
            <w:pPr>
              <w:pStyle w:val="6"/>
              <w:spacing w:before="75"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26"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14</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70" w:line="233"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03:30~03:50</w:t>
            </w:r>
          </w:p>
        </w:tc>
        <w:tc>
          <w:tcPr>
            <w:tcW w:w="1200" w:type="dxa"/>
            <w:vAlign w:val="top"/>
          </w:tcPr>
          <w:p>
            <w:pPr>
              <w:spacing w:before="72" w:line="186"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74"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52.5</w:t>
            </w:r>
          </w:p>
        </w:tc>
        <w:tc>
          <w:tcPr>
            <w:tcW w:w="688" w:type="dxa"/>
            <w:vAlign w:val="top"/>
          </w:tcPr>
          <w:p>
            <w:pPr>
              <w:spacing w:before="274"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56.6</w:t>
            </w:r>
          </w:p>
        </w:tc>
        <w:tc>
          <w:tcPr>
            <w:tcW w:w="707" w:type="dxa"/>
            <w:vAlign w:val="top"/>
          </w:tcPr>
          <w:p>
            <w:pPr>
              <w:spacing w:before="274"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687" w:type="dxa"/>
            <w:vAlign w:val="top"/>
          </w:tcPr>
          <w:p>
            <w:pPr>
              <w:spacing w:before="274"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36.4</w:t>
            </w:r>
          </w:p>
        </w:tc>
        <w:tc>
          <w:tcPr>
            <w:tcW w:w="707" w:type="dxa"/>
            <w:vAlign w:val="top"/>
          </w:tcPr>
          <w:p>
            <w:pPr>
              <w:spacing w:before="274"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67.9</w:t>
            </w:r>
          </w:p>
        </w:tc>
        <w:tc>
          <w:tcPr>
            <w:tcW w:w="690" w:type="dxa"/>
            <w:vAlign w:val="top"/>
          </w:tcPr>
          <w:p>
            <w:pPr>
              <w:spacing w:before="274"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33.1</w:t>
            </w:r>
          </w:p>
        </w:tc>
        <w:tc>
          <w:tcPr>
            <w:tcW w:w="650" w:type="dxa"/>
            <w:vAlign w:val="top"/>
          </w:tcPr>
          <w:p>
            <w:pPr>
              <w:spacing w:before="274"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w:t>
            </w:r>
          </w:p>
        </w:tc>
        <w:tc>
          <w:tcPr>
            <w:tcW w:w="644" w:type="dxa"/>
            <w:vAlign w:val="top"/>
          </w:tcPr>
          <w:p>
            <w:pPr>
              <w:spacing w:before="274"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647" w:type="dxa"/>
            <w:vAlign w:val="top"/>
          </w:tcPr>
          <w:p>
            <w:pPr>
              <w:spacing w:before="274"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40" w:type="dxa"/>
            <w:vAlign w:val="top"/>
          </w:tcPr>
          <w:p>
            <w:pPr>
              <w:spacing w:before="274" w:line="187" w:lineRule="auto"/>
              <w:ind w:left="3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59" w:type="dxa"/>
            <w:tcBorders>
              <w:right w:val="single" w:color="000000" w:sz="10" w:space="0"/>
            </w:tcBorders>
            <w:vAlign w:val="top"/>
          </w:tcPr>
          <w:p>
            <w:pPr>
              <w:pStyle w:val="6"/>
              <w:spacing w:before="77"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504" w:type="dxa"/>
            <w:vMerge w:val="continue"/>
            <w:tcBorders>
              <w:top w:val="nil"/>
              <w:left w:val="single" w:color="000000" w:sz="10" w:space="0"/>
              <w:bottom w:val="single" w:color="000000" w:sz="10" w:space="0"/>
            </w:tcBorders>
            <w:textDirection w:val="tbRlV"/>
            <w:vAlign w:val="top"/>
          </w:tcPr>
          <w:p>
            <w:pPr>
              <w:rPr>
                <w:rFonts w:ascii="Arial"/>
                <w:sz w:val="21"/>
              </w:rPr>
            </w:pPr>
          </w:p>
        </w:tc>
        <w:tc>
          <w:tcPr>
            <w:tcW w:w="951" w:type="dxa"/>
            <w:vMerge w:val="continue"/>
            <w:tcBorders>
              <w:top w:val="nil"/>
              <w:bottom w:val="single" w:color="000000" w:sz="10" w:space="0"/>
            </w:tcBorders>
            <w:vAlign w:val="top"/>
          </w:tcPr>
          <w:p>
            <w:pPr>
              <w:rPr>
                <w:rFonts w:ascii="Arial"/>
                <w:sz w:val="21"/>
              </w:rPr>
            </w:pPr>
          </w:p>
        </w:tc>
        <w:tc>
          <w:tcPr>
            <w:tcW w:w="1905" w:type="dxa"/>
            <w:tcBorders>
              <w:bottom w:val="single" w:color="000000" w:sz="10" w:space="0"/>
            </w:tcBorders>
            <w:vAlign w:val="top"/>
          </w:tcPr>
          <w:p>
            <w:pPr>
              <w:pStyle w:val="6"/>
              <w:spacing w:before="228"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14</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tcBorders>
              <w:bottom w:val="single" w:color="000000" w:sz="10" w:space="0"/>
            </w:tcBorders>
            <w:vAlign w:val="top"/>
          </w:tcPr>
          <w:p>
            <w:pPr>
              <w:spacing w:before="272" w:line="233"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04:30~04:50</w:t>
            </w:r>
          </w:p>
        </w:tc>
        <w:tc>
          <w:tcPr>
            <w:tcW w:w="1200" w:type="dxa"/>
            <w:tcBorders>
              <w:bottom w:val="single" w:color="000000" w:sz="10" w:space="0"/>
            </w:tcBorders>
            <w:vAlign w:val="top"/>
          </w:tcPr>
          <w:p>
            <w:pPr>
              <w:spacing w:before="75" w:line="193"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tcBorders>
              <w:bottom w:val="single" w:color="000000" w:sz="10" w:space="0"/>
            </w:tcBorders>
            <w:vAlign w:val="top"/>
          </w:tcPr>
          <w:p>
            <w:pPr>
              <w:spacing w:before="279" w:line="184"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55.5</w:t>
            </w:r>
          </w:p>
        </w:tc>
        <w:tc>
          <w:tcPr>
            <w:tcW w:w="688" w:type="dxa"/>
            <w:tcBorders>
              <w:bottom w:val="single" w:color="000000" w:sz="10" w:space="0"/>
            </w:tcBorders>
            <w:vAlign w:val="top"/>
          </w:tcPr>
          <w:p>
            <w:pPr>
              <w:spacing w:before="276"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59.2</w:t>
            </w:r>
          </w:p>
        </w:tc>
        <w:tc>
          <w:tcPr>
            <w:tcW w:w="707" w:type="dxa"/>
            <w:tcBorders>
              <w:bottom w:val="single" w:color="000000" w:sz="10" w:space="0"/>
            </w:tcBorders>
            <w:vAlign w:val="top"/>
          </w:tcPr>
          <w:p>
            <w:pPr>
              <w:spacing w:before="276" w:line="187" w:lineRule="auto"/>
              <w:ind w:left="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47.2</w:t>
            </w:r>
          </w:p>
        </w:tc>
        <w:tc>
          <w:tcPr>
            <w:tcW w:w="687" w:type="dxa"/>
            <w:tcBorders>
              <w:bottom w:val="single" w:color="000000" w:sz="10" w:space="0"/>
            </w:tcBorders>
            <w:vAlign w:val="top"/>
          </w:tcPr>
          <w:p>
            <w:pPr>
              <w:spacing w:before="276"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38.4</w:t>
            </w:r>
          </w:p>
        </w:tc>
        <w:tc>
          <w:tcPr>
            <w:tcW w:w="707" w:type="dxa"/>
            <w:tcBorders>
              <w:bottom w:val="single" w:color="000000" w:sz="10" w:space="0"/>
            </w:tcBorders>
            <w:vAlign w:val="top"/>
          </w:tcPr>
          <w:p>
            <w:pPr>
              <w:spacing w:before="276"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71.8</w:t>
            </w:r>
          </w:p>
        </w:tc>
        <w:tc>
          <w:tcPr>
            <w:tcW w:w="690" w:type="dxa"/>
            <w:tcBorders>
              <w:bottom w:val="single" w:color="000000" w:sz="10" w:space="0"/>
            </w:tcBorders>
            <w:vAlign w:val="top"/>
          </w:tcPr>
          <w:p>
            <w:pPr>
              <w:spacing w:before="276" w:line="187"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35.6</w:t>
            </w:r>
          </w:p>
        </w:tc>
        <w:tc>
          <w:tcPr>
            <w:tcW w:w="650" w:type="dxa"/>
            <w:tcBorders>
              <w:bottom w:val="single" w:color="000000" w:sz="10" w:space="0"/>
            </w:tcBorders>
            <w:vAlign w:val="top"/>
          </w:tcPr>
          <w:p>
            <w:pPr>
              <w:spacing w:before="276" w:line="187" w:lineRule="auto"/>
              <w:ind w:left="2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w:t>
            </w:r>
          </w:p>
        </w:tc>
        <w:tc>
          <w:tcPr>
            <w:tcW w:w="644" w:type="dxa"/>
            <w:tcBorders>
              <w:bottom w:val="single" w:color="000000" w:sz="10" w:space="0"/>
            </w:tcBorders>
            <w:vAlign w:val="top"/>
          </w:tcPr>
          <w:p>
            <w:pPr>
              <w:spacing w:before="276"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647" w:type="dxa"/>
            <w:tcBorders>
              <w:bottom w:val="single" w:color="000000" w:sz="10" w:space="0"/>
            </w:tcBorders>
            <w:vAlign w:val="top"/>
          </w:tcPr>
          <w:p>
            <w:pPr>
              <w:spacing w:before="276"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40" w:type="dxa"/>
            <w:tcBorders>
              <w:bottom w:val="single" w:color="000000" w:sz="10" w:space="0"/>
            </w:tcBorders>
            <w:vAlign w:val="top"/>
          </w:tcPr>
          <w:p>
            <w:pPr>
              <w:spacing w:before="27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9" w:type="dxa"/>
            <w:tcBorders>
              <w:bottom w:val="single" w:color="000000" w:sz="10" w:space="0"/>
              <w:right w:val="single" w:color="000000" w:sz="10" w:space="0"/>
            </w:tcBorders>
            <w:vAlign w:val="top"/>
          </w:tcPr>
          <w:p>
            <w:pPr>
              <w:pStyle w:val="6"/>
              <w:spacing w:before="79" w:line="221" w:lineRule="auto"/>
              <w:ind w:left="426"/>
            </w:pPr>
            <w:r>
              <w:rPr>
                <w:spacing w:val="-2"/>
              </w:rPr>
              <w:t>大南线</w:t>
            </w:r>
          </w:p>
        </w:tc>
      </w:tr>
    </w:tbl>
    <w:p>
      <w:pPr>
        <w:pStyle w:val="2"/>
      </w:pPr>
    </w:p>
    <w:p>
      <w:pPr>
        <w:sectPr>
          <w:footerReference r:id="rId214" w:type="default"/>
          <w:pgSz w:w="16839" w:h="11907"/>
          <w:pgMar w:top="1260" w:right="1281" w:bottom="1151" w:left="1283" w:header="1019" w:footer="990" w:gutter="0"/>
          <w:cols w:space="720" w:num="1"/>
        </w:sectPr>
      </w:pPr>
    </w:p>
    <w:p>
      <w:pPr>
        <w:spacing w:line="155" w:lineRule="exact"/>
      </w:pPr>
    </w:p>
    <w:tbl>
      <w:tblPr>
        <w:tblStyle w:val="5"/>
        <w:tblW w:w="142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951"/>
        <w:gridCol w:w="1905"/>
        <w:gridCol w:w="1361"/>
        <w:gridCol w:w="1200"/>
        <w:gridCol w:w="707"/>
        <w:gridCol w:w="688"/>
        <w:gridCol w:w="707"/>
        <w:gridCol w:w="687"/>
        <w:gridCol w:w="707"/>
        <w:gridCol w:w="690"/>
        <w:gridCol w:w="650"/>
        <w:gridCol w:w="644"/>
        <w:gridCol w:w="647"/>
        <w:gridCol w:w="740"/>
        <w:gridCol w:w="1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04" w:type="dxa"/>
            <w:vMerge w:val="restart"/>
            <w:tcBorders>
              <w:top w:val="single" w:color="000000" w:sz="10" w:space="0"/>
              <w:left w:val="single" w:color="000000" w:sz="10" w:space="0"/>
              <w:bottom w:val="nil"/>
            </w:tcBorders>
            <w:textDirection w:val="tbRlV"/>
            <w:vAlign w:val="top"/>
          </w:tcPr>
          <w:p>
            <w:pPr>
              <w:pStyle w:val="6"/>
              <w:spacing w:before="144" w:line="211" w:lineRule="auto"/>
              <w:ind w:left="374"/>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951" w:type="dxa"/>
            <w:vMerge w:val="restart"/>
            <w:tcBorders>
              <w:top w:val="single" w:color="000000" w:sz="10" w:space="0"/>
              <w:bottom w:val="nil"/>
            </w:tcBorders>
            <w:vAlign w:val="top"/>
          </w:tcPr>
          <w:p>
            <w:pPr>
              <w:spacing w:line="304" w:lineRule="auto"/>
              <w:rPr>
                <w:rFonts w:ascii="Arial"/>
                <w:sz w:val="21"/>
              </w:rPr>
            </w:pPr>
          </w:p>
          <w:p>
            <w:pPr>
              <w:pStyle w:val="6"/>
              <w:spacing w:before="69" w:line="231" w:lineRule="auto"/>
              <w:ind w:left="367" w:right="170" w:hanging="199"/>
            </w:pPr>
            <w:r>
              <w:rPr>
                <w:spacing w:val="-8"/>
                <w14:textOutline w14:w="3831" w14:cap="flat" w14:cmpd="sng">
                  <w14:solidFill>
                    <w14:srgbClr w14:val="000000"/>
                  </w14:solidFill>
                  <w14:prstDash w14:val="solid"/>
                  <w14:miter w14:val="0"/>
                </w14:textOutline>
              </w:rPr>
              <w:t>检测点</w:t>
            </w:r>
            <w:r>
              <w:t xml:space="preserve"> </w:t>
            </w:r>
            <w:r>
              <w:rPr>
                <w14:textOutline w14:w="3831" w14:cap="flat" w14:cmpd="sng">
                  <w14:solidFill>
                    <w14:srgbClr w14:val="000000"/>
                  </w14:solidFill>
                  <w14:prstDash w14:val="solid"/>
                  <w14:miter w14:val="0"/>
                </w14:textOutline>
              </w:rPr>
              <w:t>位</w:t>
            </w:r>
          </w:p>
        </w:tc>
        <w:tc>
          <w:tcPr>
            <w:tcW w:w="3266" w:type="dxa"/>
            <w:gridSpan w:val="2"/>
            <w:vMerge w:val="restart"/>
            <w:tcBorders>
              <w:top w:val="single" w:color="000000" w:sz="10" w:space="0"/>
              <w:bottom w:val="nil"/>
            </w:tcBorders>
            <w:vAlign w:val="top"/>
          </w:tcPr>
          <w:p>
            <w:pPr>
              <w:spacing w:line="439" w:lineRule="auto"/>
              <w:rPr>
                <w:rFonts w:ascii="Arial"/>
                <w:sz w:val="21"/>
              </w:rPr>
            </w:pPr>
          </w:p>
          <w:p>
            <w:pPr>
              <w:pStyle w:val="6"/>
              <w:spacing w:before="68" w:line="221" w:lineRule="auto"/>
              <w:ind w:left="1209"/>
            </w:pPr>
            <w:r>
              <w:rPr>
                <w:spacing w:val="-1"/>
                <w14:textOutline w14:w="3831" w14:cap="flat" w14:cmpd="sng">
                  <w14:solidFill>
                    <w14:srgbClr w14:val="000000"/>
                  </w14:solidFill>
                  <w14:prstDash w14:val="solid"/>
                  <w14:miter w14:val="0"/>
                </w14:textOutline>
              </w:rPr>
              <w:t>检测时间</w:t>
            </w:r>
          </w:p>
        </w:tc>
        <w:tc>
          <w:tcPr>
            <w:tcW w:w="1200" w:type="dxa"/>
            <w:vMerge w:val="restart"/>
            <w:tcBorders>
              <w:top w:val="single" w:color="000000" w:sz="10" w:space="0"/>
              <w:bottom w:val="nil"/>
            </w:tcBorders>
            <w:vAlign w:val="top"/>
          </w:tcPr>
          <w:p>
            <w:pPr>
              <w:spacing w:line="440" w:lineRule="auto"/>
              <w:rPr>
                <w:rFonts w:ascii="Arial"/>
                <w:sz w:val="21"/>
              </w:rPr>
            </w:pPr>
          </w:p>
          <w:p>
            <w:pPr>
              <w:pStyle w:val="6"/>
              <w:spacing w:before="68" w:line="221" w:lineRule="auto"/>
              <w:ind w:left="202"/>
            </w:pPr>
            <w:r>
              <w:rPr>
                <w:spacing w:val="-7"/>
                <w14:textOutline w14:w="3831" w14:cap="flat" w14:cmpd="sng">
                  <w14:solidFill>
                    <w14:srgbClr w14:val="000000"/>
                  </w14:solidFill>
                  <w14:prstDash w14:val="solid"/>
                  <w14:miter w14:val="0"/>
                </w14:textOutline>
              </w:rPr>
              <w:t>主要声源</w:t>
            </w:r>
          </w:p>
        </w:tc>
        <w:tc>
          <w:tcPr>
            <w:tcW w:w="4836" w:type="dxa"/>
            <w:gridSpan w:val="7"/>
            <w:tcBorders>
              <w:top w:val="single" w:color="000000" w:sz="10" w:space="0"/>
            </w:tcBorders>
            <w:vAlign w:val="top"/>
          </w:tcPr>
          <w:p>
            <w:pPr>
              <w:pStyle w:val="6"/>
              <w:spacing w:before="184" w:line="221" w:lineRule="auto"/>
              <w:ind w:left="2022"/>
            </w:pPr>
            <w:r>
              <w:rPr>
                <w:spacing w:val="-7"/>
                <w14:textOutline w14:w="3831" w14:cap="flat" w14:cmpd="sng">
                  <w14:solidFill>
                    <w14:srgbClr w14:val="000000"/>
                  </w14:solidFill>
                  <w14:prstDash w14:val="solid"/>
                  <w14:miter w14:val="0"/>
                </w14:textOutline>
              </w:rPr>
              <w:t>检测结果</w:t>
            </w:r>
          </w:p>
        </w:tc>
        <w:tc>
          <w:tcPr>
            <w:tcW w:w="2031" w:type="dxa"/>
            <w:gridSpan w:val="3"/>
            <w:tcBorders>
              <w:top w:val="single" w:color="000000" w:sz="10" w:space="0"/>
            </w:tcBorders>
            <w:vAlign w:val="top"/>
          </w:tcPr>
          <w:p>
            <w:pPr>
              <w:pStyle w:val="6"/>
              <w:spacing w:before="48" w:line="238" w:lineRule="auto"/>
              <w:ind w:left="529"/>
            </w:pPr>
            <w:r>
              <w:rPr>
                <w:spacing w:val="-7"/>
                <w14:textOutline w14:w="3831" w14:cap="flat" w14:cmpd="sng">
                  <w14:solidFill>
                    <w14:srgbClr w14:val="000000"/>
                  </w14:solidFill>
                  <w14:prstDash w14:val="solid"/>
                  <w14:miter w14:val="0"/>
                </w14:textOutline>
              </w:rPr>
              <w:t>车流量情况</w:t>
            </w:r>
          </w:p>
          <w:p>
            <w:pPr>
              <w:pStyle w:val="6"/>
              <w:spacing w:before="1" w:line="216" w:lineRule="auto"/>
              <w:ind w:left="440"/>
            </w:pPr>
            <w:r>
              <w:rPr>
                <w:spacing w:val="-7"/>
                <w14:textOutline w14:w="3831" w14:cap="flat" w14:cmpd="sng">
                  <w14:solidFill>
                    <w14:srgbClr w14:val="000000"/>
                  </w14:solidFill>
                  <w14:prstDash w14:val="solid"/>
                  <w14:miter w14:val="0"/>
                </w14:textOutline>
              </w:rPr>
              <w:t>（辆</w:t>
            </w:r>
            <w:r>
              <w:rPr>
                <w:rFonts w:ascii="Times New Roman" w:hAnsi="Times New Roman" w:eastAsia="Times New Roman" w:cs="Times New Roman"/>
                <w:b/>
                <w:bCs/>
                <w:spacing w:val="-7"/>
              </w:rPr>
              <w:t>/20min</w:t>
            </w:r>
            <w:r>
              <w:rPr>
                <w:spacing w:val="-7"/>
                <w14:textOutline w14:w="3831" w14:cap="flat" w14:cmpd="sng">
                  <w14:solidFill>
                    <w14:srgbClr w14:val="000000"/>
                  </w14:solidFill>
                  <w14:prstDash w14:val="solid"/>
                  <w14:miter w14:val="0"/>
                </w14:textOutline>
              </w:rPr>
              <w:t>）</w:t>
            </w:r>
          </w:p>
        </w:tc>
        <w:tc>
          <w:tcPr>
            <w:tcW w:w="1459" w:type="dxa"/>
            <w:vMerge w:val="restart"/>
            <w:tcBorders>
              <w:top w:val="single" w:color="000000" w:sz="10" w:space="0"/>
              <w:bottom w:val="nil"/>
              <w:right w:val="single" w:color="000000" w:sz="10" w:space="0"/>
            </w:tcBorders>
            <w:vAlign w:val="top"/>
          </w:tcPr>
          <w:p>
            <w:pPr>
              <w:spacing w:line="440" w:lineRule="auto"/>
              <w:rPr>
                <w:rFonts w:ascii="Arial"/>
                <w:sz w:val="21"/>
              </w:rPr>
            </w:pPr>
          </w:p>
          <w:p>
            <w:pPr>
              <w:pStyle w:val="6"/>
              <w:spacing w:before="68" w:line="222" w:lineRule="auto"/>
              <w:ind w:left="541"/>
            </w:pPr>
            <w:r>
              <w:rPr>
                <w:spacing w:val="-5"/>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3266" w:type="dxa"/>
            <w:gridSpan w:val="2"/>
            <w:vMerge w:val="continue"/>
            <w:tcBorders>
              <w:top w:val="nil"/>
            </w:tcBorders>
            <w:vAlign w:val="top"/>
          </w:tcPr>
          <w:p>
            <w:pPr>
              <w:rPr>
                <w:rFonts w:ascii="Arial"/>
                <w:sz w:val="21"/>
              </w:rPr>
            </w:pPr>
          </w:p>
        </w:tc>
        <w:tc>
          <w:tcPr>
            <w:tcW w:w="1200" w:type="dxa"/>
            <w:vMerge w:val="continue"/>
            <w:tcBorders>
              <w:top w:val="nil"/>
            </w:tcBorders>
            <w:vAlign w:val="top"/>
          </w:tcPr>
          <w:p>
            <w:pPr>
              <w:rPr>
                <w:rFonts w:ascii="Arial"/>
                <w:sz w:val="21"/>
              </w:rPr>
            </w:pPr>
          </w:p>
        </w:tc>
        <w:tc>
          <w:tcPr>
            <w:tcW w:w="707" w:type="dxa"/>
            <w:vAlign w:val="top"/>
          </w:tcPr>
          <w:p>
            <w:pPr>
              <w:spacing w:before="262" w:line="195" w:lineRule="auto"/>
              <w:ind w:left="213"/>
              <w:rPr>
                <w:rFonts w:ascii="Times New Roman" w:hAnsi="Times New Roman" w:eastAsia="Times New Roman" w:cs="Times New Roman"/>
                <w:sz w:val="13"/>
                <w:szCs w:val="13"/>
              </w:rPr>
            </w:pPr>
            <w:r>
              <w:rPr>
                <w:rFonts w:ascii="Times New Roman" w:hAnsi="Times New Roman" w:eastAsia="Times New Roman" w:cs="Times New Roman"/>
                <w:b/>
                <w:bCs/>
                <w:spacing w:val="2"/>
                <w:position w:val="1"/>
                <w:sz w:val="21"/>
                <w:szCs w:val="21"/>
              </w:rPr>
              <w:t>L</w:t>
            </w:r>
            <w:r>
              <w:rPr>
                <w:rFonts w:ascii="Times New Roman" w:hAnsi="Times New Roman" w:eastAsia="Times New Roman" w:cs="Times New Roman"/>
                <w:b/>
                <w:bCs/>
                <w:spacing w:val="2"/>
                <w:sz w:val="13"/>
                <w:szCs w:val="13"/>
              </w:rPr>
              <w:t>eq</w:t>
            </w:r>
          </w:p>
        </w:tc>
        <w:tc>
          <w:tcPr>
            <w:tcW w:w="688" w:type="dxa"/>
            <w:vAlign w:val="top"/>
          </w:tcPr>
          <w:p>
            <w:pPr>
              <w:spacing w:before="262" w:line="203" w:lineRule="auto"/>
              <w:ind w:left="204"/>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10</w:t>
            </w:r>
          </w:p>
        </w:tc>
        <w:tc>
          <w:tcPr>
            <w:tcW w:w="707" w:type="dxa"/>
            <w:vAlign w:val="top"/>
          </w:tcPr>
          <w:p>
            <w:pPr>
              <w:spacing w:before="262" w:line="203" w:lineRule="auto"/>
              <w:ind w:left="215"/>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50</w:t>
            </w:r>
          </w:p>
        </w:tc>
        <w:tc>
          <w:tcPr>
            <w:tcW w:w="687" w:type="dxa"/>
            <w:vAlign w:val="top"/>
          </w:tcPr>
          <w:p>
            <w:pPr>
              <w:spacing w:before="262" w:line="203" w:lineRule="auto"/>
              <w:ind w:left="206"/>
              <w:rPr>
                <w:rFonts w:ascii="Times New Roman" w:hAnsi="Times New Roman" w:eastAsia="Times New Roman" w:cs="Times New Roman"/>
                <w:sz w:val="13"/>
                <w:szCs w:val="13"/>
              </w:rPr>
            </w:pPr>
            <w:r>
              <w:rPr>
                <w:rFonts w:ascii="Times New Roman" w:hAnsi="Times New Roman" w:eastAsia="Times New Roman" w:cs="Times New Roman"/>
                <w:b/>
                <w:bCs/>
                <w:spacing w:val="2"/>
                <w:sz w:val="21"/>
                <w:szCs w:val="21"/>
              </w:rPr>
              <w:t>L</w:t>
            </w:r>
            <w:r>
              <w:rPr>
                <w:rFonts w:ascii="Times New Roman" w:hAnsi="Times New Roman" w:eastAsia="Times New Roman" w:cs="Times New Roman"/>
                <w:b/>
                <w:bCs/>
                <w:spacing w:val="2"/>
                <w:sz w:val="13"/>
                <w:szCs w:val="13"/>
              </w:rPr>
              <w:t>90</w:t>
            </w:r>
          </w:p>
        </w:tc>
        <w:tc>
          <w:tcPr>
            <w:tcW w:w="707" w:type="dxa"/>
            <w:vAlign w:val="top"/>
          </w:tcPr>
          <w:p>
            <w:pPr>
              <w:spacing w:before="262" w:line="222" w:lineRule="auto"/>
              <w:ind w:left="160"/>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max</w:t>
            </w:r>
          </w:p>
        </w:tc>
        <w:tc>
          <w:tcPr>
            <w:tcW w:w="690" w:type="dxa"/>
            <w:vAlign w:val="top"/>
          </w:tcPr>
          <w:p>
            <w:pPr>
              <w:spacing w:before="262" w:line="223" w:lineRule="auto"/>
              <w:ind w:left="161"/>
              <w:rPr>
                <w:rFonts w:ascii="Times New Roman" w:hAnsi="Times New Roman" w:eastAsia="Times New Roman" w:cs="Times New Roman"/>
                <w:sz w:val="13"/>
                <w:szCs w:val="13"/>
              </w:rPr>
            </w:pPr>
            <w:r>
              <w:rPr>
                <w:rFonts w:ascii="Times New Roman" w:hAnsi="Times New Roman" w:eastAsia="Times New Roman" w:cs="Times New Roman"/>
                <w:b/>
                <w:bCs/>
                <w:spacing w:val="3"/>
                <w:position w:val="1"/>
                <w:sz w:val="21"/>
                <w:szCs w:val="21"/>
              </w:rPr>
              <w:t>L</w:t>
            </w:r>
            <w:r>
              <w:rPr>
                <w:rFonts w:ascii="Times New Roman" w:hAnsi="Times New Roman" w:eastAsia="Times New Roman" w:cs="Times New Roman"/>
                <w:b/>
                <w:bCs/>
                <w:spacing w:val="3"/>
                <w:sz w:val="13"/>
                <w:szCs w:val="13"/>
              </w:rPr>
              <w:t>min</w:t>
            </w:r>
          </w:p>
        </w:tc>
        <w:tc>
          <w:tcPr>
            <w:tcW w:w="650" w:type="dxa"/>
            <w:vAlign w:val="top"/>
          </w:tcPr>
          <w:p>
            <w:pPr>
              <w:spacing w:before="259" w:line="187" w:lineRule="auto"/>
              <w:ind w:left="200"/>
              <w:rPr>
                <w:rFonts w:ascii="Times New Roman" w:hAnsi="Times New Roman" w:eastAsia="Times New Roman" w:cs="Times New Roman"/>
                <w:sz w:val="21"/>
                <w:szCs w:val="21"/>
              </w:rPr>
            </w:pPr>
            <w:r>
              <w:rPr>
                <w:rFonts w:ascii="Times New Roman" w:hAnsi="Times New Roman" w:eastAsia="Times New Roman" w:cs="Times New Roman"/>
                <w:b/>
                <w:bCs/>
                <w:spacing w:val="-3"/>
                <w:sz w:val="21"/>
                <w:szCs w:val="21"/>
              </w:rPr>
              <w:t>SD</w:t>
            </w:r>
          </w:p>
        </w:tc>
        <w:tc>
          <w:tcPr>
            <w:tcW w:w="644" w:type="dxa"/>
            <w:vAlign w:val="top"/>
          </w:tcPr>
          <w:p>
            <w:pPr>
              <w:pStyle w:val="6"/>
              <w:spacing w:before="84" w:line="229" w:lineRule="auto"/>
              <w:ind w:left="231" w:right="100" w:hanging="101"/>
            </w:pPr>
            <w:r>
              <w:rPr>
                <w:spacing w:val="-6"/>
                <w14:textOutline w14:w="3831" w14:cap="flat" w14:cmpd="sng">
                  <w14:solidFill>
                    <w14:srgbClr w14:val="000000"/>
                  </w14:solidFill>
                  <w14:prstDash w14:val="solid"/>
                  <w14:miter w14:val="0"/>
                </w14:textOutline>
              </w:rPr>
              <w:t>小型</w:t>
            </w:r>
            <w:r>
              <w:t xml:space="preserve"> </w:t>
            </w:r>
            <w:r>
              <w:rPr>
                <w14:textOutline w14:w="3831" w14:cap="flat" w14:cmpd="sng">
                  <w14:solidFill>
                    <w14:srgbClr w14:val="000000"/>
                  </w14:solidFill>
                  <w14:prstDash w14:val="solid"/>
                  <w14:miter w14:val="0"/>
                </w14:textOutline>
              </w:rPr>
              <w:t>车</w:t>
            </w:r>
          </w:p>
        </w:tc>
        <w:tc>
          <w:tcPr>
            <w:tcW w:w="647" w:type="dxa"/>
            <w:vAlign w:val="top"/>
          </w:tcPr>
          <w:p>
            <w:pPr>
              <w:pStyle w:val="6"/>
              <w:spacing w:before="84" w:line="229" w:lineRule="auto"/>
              <w:ind w:left="230" w:right="103" w:hanging="87"/>
            </w:pPr>
            <w:r>
              <w:rPr>
                <w:spacing w:val="-13"/>
                <w14:textOutline w14:w="3831" w14:cap="flat" w14:cmpd="sng">
                  <w14:solidFill>
                    <w14:srgbClr w14:val="000000"/>
                  </w14:solidFill>
                  <w14:prstDash w14:val="solid"/>
                  <w14:miter w14:val="0"/>
                </w14:textOutline>
              </w:rPr>
              <w:t>中型</w:t>
            </w:r>
            <w:r>
              <w:t xml:space="preserve"> </w:t>
            </w:r>
            <w:r>
              <w:rPr>
                <w14:textOutline w14:w="3831" w14:cap="flat" w14:cmpd="sng">
                  <w14:solidFill>
                    <w14:srgbClr w14:val="000000"/>
                  </w14:solidFill>
                  <w14:prstDash w14:val="solid"/>
                  <w14:miter w14:val="0"/>
                </w14:textOutline>
              </w:rPr>
              <w:t>车</w:t>
            </w:r>
          </w:p>
        </w:tc>
        <w:tc>
          <w:tcPr>
            <w:tcW w:w="740" w:type="dxa"/>
            <w:vAlign w:val="top"/>
          </w:tcPr>
          <w:p>
            <w:pPr>
              <w:pStyle w:val="6"/>
              <w:spacing w:before="84" w:line="238" w:lineRule="auto"/>
              <w:ind w:left="172"/>
            </w:pPr>
            <w:r>
              <w:rPr>
                <w:spacing w:val="-3"/>
                <w14:textOutline w14:w="3831" w14:cap="flat" w14:cmpd="sng">
                  <w14:solidFill>
                    <w14:srgbClr w14:val="000000"/>
                  </w14:solidFill>
                  <w14:prstDash w14:val="solid"/>
                  <w14:miter w14:val="0"/>
                </w14:textOutline>
              </w:rPr>
              <w:t>大型</w:t>
            </w:r>
          </w:p>
          <w:p>
            <w:pPr>
              <w:pStyle w:val="6"/>
              <w:spacing w:line="220" w:lineRule="auto"/>
              <w:ind w:left="277"/>
            </w:pPr>
            <w:r>
              <w:rPr>
                <w14:textOutline w14:w="3831" w14:cap="flat" w14:cmpd="sng">
                  <w14:solidFill>
                    <w14:srgbClr w14:val="000000"/>
                  </w14:solidFill>
                  <w14:prstDash w14:val="solid"/>
                  <w14:miter w14:val="0"/>
                </w14:textOutline>
              </w:rPr>
              <w:t>车</w:t>
            </w:r>
          </w:p>
        </w:tc>
        <w:tc>
          <w:tcPr>
            <w:tcW w:w="145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10"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14</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55" w:line="233"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05:30~05:50</w:t>
            </w:r>
          </w:p>
        </w:tc>
        <w:tc>
          <w:tcPr>
            <w:tcW w:w="1200" w:type="dxa"/>
            <w:vAlign w:val="top"/>
          </w:tcPr>
          <w:p>
            <w:pPr>
              <w:spacing w:before="56" w:line="190"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58"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65.5</w:t>
            </w:r>
          </w:p>
        </w:tc>
        <w:tc>
          <w:tcPr>
            <w:tcW w:w="688" w:type="dxa"/>
            <w:vAlign w:val="top"/>
          </w:tcPr>
          <w:p>
            <w:pPr>
              <w:spacing w:before="258"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69.4</w:t>
            </w:r>
          </w:p>
        </w:tc>
        <w:tc>
          <w:tcPr>
            <w:tcW w:w="707" w:type="dxa"/>
            <w:vAlign w:val="top"/>
          </w:tcPr>
          <w:p>
            <w:pPr>
              <w:spacing w:before="258" w:line="187" w:lineRule="auto"/>
              <w:ind w:left="1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687" w:type="dxa"/>
            <w:vAlign w:val="top"/>
          </w:tcPr>
          <w:p>
            <w:pPr>
              <w:spacing w:before="258"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52.0</w:t>
            </w:r>
          </w:p>
        </w:tc>
        <w:tc>
          <w:tcPr>
            <w:tcW w:w="707" w:type="dxa"/>
            <w:vAlign w:val="top"/>
          </w:tcPr>
          <w:p>
            <w:pPr>
              <w:spacing w:before="258"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87.1</w:t>
            </w:r>
          </w:p>
        </w:tc>
        <w:tc>
          <w:tcPr>
            <w:tcW w:w="690" w:type="dxa"/>
            <w:vAlign w:val="top"/>
          </w:tcPr>
          <w:p>
            <w:pPr>
              <w:spacing w:before="258"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43.6</w:t>
            </w:r>
          </w:p>
        </w:tc>
        <w:tc>
          <w:tcPr>
            <w:tcW w:w="650" w:type="dxa"/>
            <w:vAlign w:val="top"/>
          </w:tcPr>
          <w:p>
            <w:pPr>
              <w:spacing w:before="258"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644" w:type="dxa"/>
            <w:vAlign w:val="top"/>
          </w:tcPr>
          <w:p>
            <w:pPr>
              <w:spacing w:before="258"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101</w:t>
            </w:r>
          </w:p>
        </w:tc>
        <w:tc>
          <w:tcPr>
            <w:tcW w:w="647" w:type="dxa"/>
            <w:vAlign w:val="top"/>
          </w:tcPr>
          <w:p>
            <w:pPr>
              <w:spacing w:before="258"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740" w:type="dxa"/>
            <w:vAlign w:val="top"/>
          </w:tcPr>
          <w:p>
            <w:pPr>
              <w:spacing w:before="258" w:line="187"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59" w:type="dxa"/>
            <w:tcBorders>
              <w:right w:val="single" w:color="000000" w:sz="10" w:space="0"/>
            </w:tcBorders>
            <w:vAlign w:val="top"/>
          </w:tcPr>
          <w:p>
            <w:pPr>
              <w:pStyle w:val="6"/>
              <w:spacing w:before="61"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17"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14</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1" w:line="233"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06:30~06:50</w:t>
            </w:r>
          </w:p>
        </w:tc>
        <w:tc>
          <w:tcPr>
            <w:tcW w:w="1200" w:type="dxa"/>
            <w:vAlign w:val="top"/>
          </w:tcPr>
          <w:p>
            <w:pPr>
              <w:spacing w:before="65" w:line="188"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65"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67.4</w:t>
            </w:r>
          </w:p>
        </w:tc>
        <w:tc>
          <w:tcPr>
            <w:tcW w:w="688" w:type="dxa"/>
            <w:vAlign w:val="top"/>
          </w:tcPr>
          <w:p>
            <w:pPr>
              <w:spacing w:before="265"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69.2</w:t>
            </w:r>
          </w:p>
        </w:tc>
        <w:tc>
          <w:tcPr>
            <w:tcW w:w="707" w:type="dxa"/>
            <w:vAlign w:val="top"/>
          </w:tcPr>
          <w:p>
            <w:pPr>
              <w:spacing w:before="265"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61.8</w:t>
            </w:r>
          </w:p>
        </w:tc>
        <w:tc>
          <w:tcPr>
            <w:tcW w:w="687" w:type="dxa"/>
            <w:vAlign w:val="top"/>
          </w:tcPr>
          <w:p>
            <w:pPr>
              <w:spacing w:before="265"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w:t>
            </w:r>
          </w:p>
        </w:tc>
        <w:tc>
          <w:tcPr>
            <w:tcW w:w="707" w:type="dxa"/>
            <w:vAlign w:val="top"/>
          </w:tcPr>
          <w:p>
            <w:pPr>
              <w:spacing w:before="265"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88.3</w:t>
            </w:r>
          </w:p>
        </w:tc>
        <w:tc>
          <w:tcPr>
            <w:tcW w:w="690" w:type="dxa"/>
            <w:vAlign w:val="top"/>
          </w:tcPr>
          <w:p>
            <w:pPr>
              <w:spacing w:before="265"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44.5</w:t>
            </w:r>
          </w:p>
        </w:tc>
        <w:tc>
          <w:tcPr>
            <w:tcW w:w="650" w:type="dxa"/>
            <w:vAlign w:val="top"/>
          </w:tcPr>
          <w:p>
            <w:pPr>
              <w:spacing w:before="265"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644" w:type="dxa"/>
            <w:vAlign w:val="top"/>
          </w:tcPr>
          <w:p>
            <w:pPr>
              <w:spacing w:before="265"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99</w:t>
            </w:r>
          </w:p>
        </w:tc>
        <w:tc>
          <w:tcPr>
            <w:tcW w:w="647" w:type="dxa"/>
            <w:vAlign w:val="top"/>
          </w:tcPr>
          <w:p>
            <w:pPr>
              <w:spacing w:before="265" w:line="187"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740" w:type="dxa"/>
            <w:vAlign w:val="top"/>
          </w:tcPr>
          <w:p>
            <w:pPr>
              <w:spacing w:before="26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59" w:type="dxa"/>
            <w:tcBorders>
              <w:right w:val="single" w:color="000000" w:sz="10" w:space="0"/>
            </w:tcBorders>
            <w:vAlign w:val="top"/>
          </w:tcPr>
          <w:p>
            <w:pPr>
              <w:pStyle w:val="6"/>
              <w:spacing w:before="68"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20"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14</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4" w:line="233"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07:30~07:50</w:t>
            </w:r>
          </w:p>
        </w:tc>
        <w:tc>
          <w:tcPr>
            <w:tcW w:w="1200" w:type="dxa"/>
            <w:vAlign w:val="top"/>
          </w:tcPr>
          <w:p>
            <w:pPr>
              <w:spacing w:before="67" w:line="187"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68"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65.4</w:t>
            </w:r>
          </w:p>
        </w:tc>
        <w:tc>
          <w:tcPr>
            <w:tcW w:w="688" w:type="dxa"/>
            <w:vAlign w:val="top"/>
          </w:tcPr>
          <w:p>
            <w:pPr>
              <w:spacing w:before="268"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68.4</w:t>
            </w:r>
          </w:p>
        </w:tc>
        <w:tc>
          <w:tcPr>
            <w:tcW w:w="707" w:type="dxa"/>
            <w:vAlign w:val="top"/>
          </w:tcPr>
          <w:p>
            <w:pPr>
              <w:spacing w:before="268"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61.0</w:t>
            </w:r>
          </w:p>
        </w:tc>
        <w:tc>
          <w:tcPr>
            <w:tcW w:w="687" w:type="dxa"/>
            <w:vAlign w:val="top"/>
          </w:tcPr>
          <w:p>
            <w:pPr>
              <w:spacing w:before="268"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w:t>
            </w:r>
          </w:p>
        </w:tc>
        <w:tc>
          <w:tcPr>
            <w:tcW w:w="707" w:type="dxa"/>
            <w:vAlign w:val="top"/>
          </w:tcPr>
          <w:p>
            <w:pPr>
              <w:spacing w:before="268"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89.0</w:t>
            </w:r>
          </w:p>
        </w:tc>
        <w:tc>
          <w:tcPr>
            <w:tcW w:w="690" w:type="dxa"/>
            <w:vAlign w:val="top"/>
          </w:tcPr>
          <w:p>
            <w:pPr>
              <w:spacing w:before="268"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46.3</w:t>
            </w:r>
          </w:p>
        </w:tc>
        <w:tc>
          <w:tcPr>
            <w:tcW w:w="650" w:type="dxa"/>
            <w:vAlign w:val="top"/>
          </w:tcPr>
          <w:p>
            <w:pPr>
              <w:spacing w:before="271" w:line="184"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644" w:type="dxa"/>
            <w:vAlign w:val="top"/>
          </w:tcPr>
          <w:p>
            <w:pPr>
              <w:spacing w:before="268"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153</w:t>
            </w:r>
          </w:p>
        </w:tc>
        <w:tc>
          <w:tcPr>
            <w:tcW w:w="647" w:type="dxa"/>
            <w:vAlign w:val="top"/>
          </w:tcPr>
          <w:p>
            <w:pPr>
              <w:spacing w:before="268"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740" w:type="dxa"/>
            <w:vAlign w:val="top"/>
          </w:tcPr>
          <w:p>
            <w:pPr>
              <w:spacing w:before="271" w:line="184" w:lineRule="auto"/>
              <w:ind w:left="33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59" w:type="dxa"/>
            <w:tcBorders>
              <w:right w:val="single" w:color="000000" w:sz="10" w:space="0"/>
            </w:tcBorders>
            <w:vAlign w:val="top"/>
          </w:tcPr>
          <w:p>
            <w:pPr>
              <w:pStyle w:val="6"/>
              <w:spacing w:before="71"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504" w:type="dxa"/>
            <w:vMerge w:val="continue"/>
            <w:tcBorders>
              <w:top w:val="nil"/>
              <w:left w:val="single" w:color="000000" w:sz="10" w:space="0"/>
              <w:bottom w:val="nil"/>
            </w:tcBorders>
            <w:textDirection w:val="tbRlV"/>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1905" w:type="dxa"/>
            <w:vAlign w:val="top"/>
          </w:tcPr>
          <w:p>
            <w:pPr>
              <w:pStyle w:val="6"/>
              <w:spacing w:before="224" w:line="198" w:lineRule="auto"/>
              <w:ind w:left="99"/>
              <w:rPr>
                <w:rFonts w:ascii="微软雅黑" w:hAnsi="微软雅黑" w:eastAsia="微软雅黑" w:cs="微软雅黑"/>
              </w:rPr>
            </w:pPr>
            <w:r>
              <w:rPr>
                <w:rFonts w:ascii="Times New Roman" w:hAnsi="Times New Roman" w:eastAsia="Times New Roman" w:cs="Times New Roman"/>
                <w:spacing w:val="-4"/>
              </w:rPr>
              <w:t xml:space="preserve">2023 </w:t>
            </w:r>
            <w:r>
              <w:rPr>
                <w:spacing w:val="-4"/>
              </w:rPr>
              <w:t>年</w:t>
            </w:r>
            <w:r>
              <w:rPr>
                <w:spacing w:val="-42"/>
              </w:rPr>
              <w:t xml:space="preserve"> </w:t>
            </w:r>
            <w:r>
              <w:rPr>
                <w:rFonts w:ascii="Times New Roman" w:hAnsi="Times New Roman" w:eastAsia="Times New Roman" w:cs="Times New Roman"/>
                <w:spacing w:val="-4"/>
              </w:rPr>
              <w:t xml:space="preserve">07 </w:t>
            </w:r>
            <w:r>
              <w:rPr>
                <w:rFonts w:ascii="微软雅黑" w:hAnsi="微软雅黑" w:eastAsia="微软雅黑" w:cs="微软雅黑"/>
                <w:spacing w:val="-4"/>
              </w:rPr>
              <w:t xml:space="preserve">月 </w:t>
            </w:r>
            <w:r>
              <w:rPr>
                <w:rFonts w:ascii="Times New Roman" w:hAnsi="Times New Roman" w:eastAsia="Times New Roman" w:cs="Times New Roman"/>
                <w:spacing w:val="-4"/>
              </w:rPr>
              <w:t>14</w:t>
            </w:r>
            <w:r>
              <w:rPr>
                <w:rFonts w:ascii="Times New Roman" w:hAnsi="Times New Roman" w:eastAsia="Times New Roman" w:cs="Times New Roman"/>
                <w:spacing w:val="28"/>
              </w:rPr>
              <w:t xml:space="preserve"> </w:t>
            </w:r>
            <w:r>
              <w:rPr>
                <w:rFonts w:ascii="微软雅黑" w:hAnsi="微软雅黑" w:eastAsia="微软雅黑" w:cs="微软雅黑"/>
                <w:spacing w:val="-4"/>
              </w:rPr>
              <w:t>日</w:t>
            </w:r>
          </w:p>
        </w:tc>
        <w:tc>
          <w:tcPr>
            <w:tcW w:w="1361" w:type="dxa"/>
            <w:vAlign w:val="top"/>
          </w:tcPr>
          <w:p>
            <w:pPr>
              <w:spacing w:before="268" w:line="233"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08:30~08:50</w:t>
            </w:r>
          </w:p>
        </w:tc>
        <w:tc>
          <w:tcPr>
            <w:tcW w:w="1200" w:type="dxa"/>
            <w:vAlign w:val="top"/>
          </w:tcPr>
          <w:p>
            <w:pPr>
              <w:spacing w:before="70" w:line="186" w:lineRule="auto"/>
              <w:ind w:left="402" w:right="179" w:hanging="218"/>
              <w:rPr>
                <w:rFonts w:ascii="微软雅黑" w:hAnsi="微软雅黑" w:eastAsia="微软雅黑" w:cs="微软雅黑"/>
                <w:sz w:val="21"/>
                <w:szCs w:val="21"/>
              </w:rPr>
            </w:pPr>
            <w:r>
              <w:rPr>
                <w:rFonts w:ascii="微软雅黑" w:hAnsi="微软雅黑" w:eastAsia="微软雅黑" w:cs="微软雅黑"/>
                <w:spacing w:val="-3"/>
                <w:sz w:val="21"/>
                <w:szCs w:val="21"/>
              </w:rPr>
              <w:t>道路交通</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噪声</w:t>
            </w:r>
          </w:p>
        </w:tc>
        <w:tc>
          <w:tcPr>
            <w:tcW w:w="707" w:type="dxa"/>
            <w:vAlign w:val="top"/>
          </w:tcPr>
          <w:p>
            <w:pPr>
              <w:spacing w:before="272"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68.4</w:t>
            </w:r>
          </w:p>
        </w:tc>
        <w:tc>
          <w:tcPr>
            <w:tcW w:w="688" w:type="dxa"/>
            <w:vAlign w:val="top"/>
          </w:tcPr>
          <w:p>
            <w:pPr>
              <w:spacing w:before="272"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70.2</w:t>
            </w:r>
          </w:p>
        </w:tc>
        <w:tc>
          <w:tcPr>
            <w:tcW w:w="707" w:type="dxa"/>
            <w:vAlign w:val="top"/>
          </w:tcPr>
          <w:p>
            <w:pPr>
              <w:spacing w:before="272"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62.0</w:t>
            </w:r>
          </w:p>
        </w:tc>
        <w:tc>
          <w:tcPr>
            <w:tcW w:w="687" w:type="dxa"/>
            <w:vAlign w:val="top"/>
          </w:tcPr>
          <w:p>
            <w:pPr>
              <w:spacing w:before="272"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53.4</w:t>
            </w:r>
          </w:p>
        </w:tc>
        <w:tc>
          <w:tcPr>
            <w:tcW w:w="707" w:type="dxa"/>
            <w:vAlign w:val="top"/>
          </w:tcPr>
          <w:p>
            <w:pPr>
              <w:spacing w:before="272"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88.6</w:t>
            </w:r>
          </w:p>
        </w:tc>
        <w:tc>
          <w:tcPr>
            <w:tcW w:w="690" w:type="dxa"/>
            <w:vAlign w:val="top"/>
          </w:tcPr>
          <w:p>
            <w:pPr>
              <w:spacing w:before="272"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44.1</w:t>
            </w:r>
          </w:p>
        </w:tc>
        <w:tc>
          <w:tcPr>
            <w:tcW w:w="650" w:type="dxa"/>
            <w:vAlign w:val="top"/>
          </w:tcPr>
          <w:p>
            <w:pPr>
              <w:spacing w:before="272"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c>
          <w:tcPr>
            <w:tcW w:w="644" w:type="dxa"/>
            <w:vAlign w:val="top"/>
          </w:tcPr>
          <w:p>
            <w:pPr>
              <w:spacing w:before="272"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87</w:t>
            </w:r>
          </w:p>
        </w:tc>
        <w:tc>
          <w:tcPr>
            <w:tcW w:w="647" w:type="dxa"/>
            <w:vAlign w:val="top"/>
          </w:tcPr>
          <w:p>
            <w:pPr>
              <w:spacing w:before="272"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740" w:type="dxa"/>
            <w:vAlign w:val="top"/>
          </w:tcPr>
          <w:p>
            <w:pPr>
              <w:spacing w:before="27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59" w:type="dxa"/>
            <w:tcBorders>
              <w:right w:val="single" w:color="000000" w:sz="10" w:space="0"/>
            </w:tcBorders>
            <w:vAlign w:val="top"/>
          </w:tcPr>
          <w:p>
            <w:pPr>
              <w:pStyle w:val="6"/>
              <w:spacing w:before="75" w:line="221" w:lineRule="auto"/>
              <w:ind w:left="426"/>
            </w:pPr>
            <w:r>
              <w:rPr>
                <w:spacing w:val="-2"/>
              </w:rPr>
              <w:t>大南线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504" w:type="dxa"/>
            <w:vMerge w:val="continue"/>
            <w:tcBorders>
              <w:top w:val="nil"/>
              <w:left w:val="single" w:color="000000" w:sz="10" w:space="0"/>
              <w:bottom w:val="single" w:color="000000" w:sz="10" w:space="0"/>
            </w:tcBorders>
            <w:textDirection w:val="tbRlV"/>
            <w:vAlign w:val="top"/>
          </w:tcPr>
          <w:p>
            <w:pPr>
              <w:rPr>
                <w:rFonts w:ascii="Arial"/>
                <w:sz w:val="21"/>
              </w:rPr>
            </w:pPr>
          </w:p>
        </w:tc>
        <w:tc>
          <w:tcPr>
            <w:tcW w:w="951" w:type="dxa"/>
            <w:vMerge w:val="continue"/>
            <w:tcBorders>
              <w:top w:val="nil"/>
              <w:bottom w:val="single" w:color="000000" w:sz="10" w:space="0"/>
            </w:tcBorders>
            <w:vAlign w:val="top"/>
          </w:tcPr>
          <w:p>
            <w:pPr>
              <w:rPr>
                <w:rFonts w:ascii="Arial"/>
                <w:sz w:val="21"/>
              </w:rPr>
            </w:pPr>
          </w:p>
        </w:tc>
        <w:tc>
          <w:tcPr>
            <w:tcW w:w="12792" w:type="dxa"/>
            <w:gridSpan w:val="14"/>
            <w:tcBorders>
              <w:bottom w:val="single" w:color="000000" w:sz="10" w:space="0"/>
              <w:right w:val="single" w:color="000000" w:sz="10" w:space="0"/>
            </w:tcBorders>
            <w:vAlign w:val="top"/>
          </w:tcPr>
          <w:p>
            <w:pPr>
              <w:pStyle w:val="6"/>
              <w:spacing w:before="133" w:line="182" w:lineRule="auto"/>
              <w:ind w:left="5322"/>
              <w:rPr>
                <w:rFonts w:ascii="Times New Roman" w:hAnsi="Times New Roman" w:eastAsia="Times New Roman" w:cs="Times New Roman"/>
              </w:rPr>
            </w:pPr>
            <w:r>
              <w:rPr>
                <w:rFonts w:ascii="Times New Roman" w:hAnsi="Times New Roman" w:eastAsia="Times New Roman" w:cs="Times New Roman"/>
                <w:spacing w:val="-2"/>
              </w:rPr>
              <w:t>Ld=66.6dB</w:t>
            </w:r>
            <w:r>
              <w:rPr>
                <w:rFonts w:ascii="Times New Roman" w:hAnsi="Times New Roman" w:eastAsia="Times New Roman" w:cs="Times New Roman"/>
                <w:spacing w:val="-18"/>
              </w:rPr>
              <w:t xml:space="preserve"> </w:t>
            </w:r>
            <w:r>
              <w:rPr>
                <w:spacing w:val="-2"/>
              </w:rPr>
              <w:t>，</w:t>
            </w:r>
            <w:r>
              <w:rPr>
                <w:rFonts w:ascii="Times New Roman" w:hAnsi="Times New Roman" w:eastAsia="Times New Roman" w:cs="Times New Roman"/>
                <w:spacing w:val="-2"/>
              </w:rPr>
              <w:t>Ln=60.5dB</w:t>
            </w:r>
          </w:p>
        </w:tc>
      </w:tr>
    </w:tbl>
    <w:p>
      <w:pPr>
        <w:pStyle w:val="2"/>
      </w:pPr>
    </w:p>
    <w:p>
      <w:pPr>
        <w:sectPr>
          <w:footerReference r:id="rId215" w:type="default"/>
          <w:pgSz w:w="16839" w:h="11907"/>
          <w:pgMar w:top="1260" w:right="1281" w:bottom="1151" w:left="1283" w:header="1019" w:footer="990" w:gutter="0"/>
          <w:cols w:space="720" w:num="1"/>
        </w:sectPr>
      </w:pPr>
    </w:p>
    <w:p>
      <w:pPr>
        <w:pStyle w:val="2"/>
        <w:spacing w:line="254" w:lineRule="auto"/>
      </w:pPr>
    </w:p>
    <w:p>
      <w:pPr>
        <w:spacing w:before="78" w:line="220" w:lineRule="auto"/>
        <w:ind w:left="34"/>
        <w:outlineLvl w:val="1"/>
        <w:rPr>
          <w:rFonts w:ascii="宋体" w:hAnsi="宋体" w:eastAsia="宋体" w:cs="宋体"/>
          <w:sz w:val="24"/>
          <w:szCs w:val="24"/>
        </w:rPr>
      </w:pPr>
      <w:bookmarkStart w:id="28" w:name="bookmark29"/>
      <w:bookmarkEnd w:id="28"/>
      <w:r>
        <w:rPr>
          <w:rFonts w:ascii="Times New Roman" w:hAnsi="Times New Roman" w:eastAsia="Times New Roman" w:cs="Times New Roman"/>
          <w:b/>
          <w:bCs/>
          <w:sz w:val="24"/>
          <w:szCs w:val="24"/>
        </w:rPr>
        <w:t xml:space="preserve">4.5 </w:t>
      </w:r>
      <w:r>
        <w:rPr>
          <w:rFonts w:ascii="宋体" w:hAnsi="宋体" w:eastAsia="宋体" w:cs="宋体"/>
          <w:sz w:val="24"/>
          <w:szCs w:val="24"/>
          <w14:textOutline w14:w="4354" w14:cap="flat" w14:cmpd="sng">
            <w14:solidFill>
              <w14:srgbClr w14:val="000000"/>
            </w14:solidFill>
            <w14:prstDash w14:val="solid"/>
            <w14:miter w14:val="0"/>
          </w14:textOutline>
        </w:rPr>
        <w:t>生态环境现状调查与分析</w:t>
      </w:r>
    </w:p>
    <w:p>
      <w:pPr>
        <w:spacing w:before="182" w:line="220" w:lineRule="auto"/>
        <w:ind w:left="34"/>
        <w:outlineLvl w:val="1"/>
        <w:rPr>
          <w:rFonts w:ascii="宋体" w:hAnsi="宋体" w:eastAsia="宋体" w:cs="宋体"/>
          <w:sz w:val="24"/>
          <w:szCs w:val="24"/>
        </w:rPr>
      </w:pPr>
      <w:r>
        <w:rPr>
          <w:rFonts w:ascii="Times New Roman" w:hAnsi="Times New Roman" w:eastAsia="Times New Roman" w:cs="Times New Roman"/>
          <w:b/>
          <w:bCs/>
          <w:spacing w:val="-2"/>
          <w:sz w:val="24"/>
          <w:szCs w:val="24"/>
        </w:rPr>
        <w:t>4.5.1</w:t>
      </w:r>
      <w:r>
        <w:rPr>
          <w:rFonts w:ascii="Times New Roman" w:hAnsi="Times New Roman" w:eastAsia="Times New Roman" w:cs="Times New Roman"/>
          <w:b/>
          <w:bCs/>
          <w:spacing w:val="35"/>
          <w:w w:val="101"/>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陆生植物与植被资源调查</w:t>
      </w:r>
    </w:p>
    <w:p>
      <w:pPr>
        <w:spacing w:before="179" w:line="219" w:lineRule="auto"/>
        <w:ind w:left="34"/>
        <w:outlineLvl w:val="1"/>
        <w:rPr>
          <w:rFonts w:ascii="宋体" w:hAnsi="宋体" w:eastAsia="宋体" w:cs="宋体"/>
          <w:sz w:val="24"/>
          <w:szCs w:val="24"/>
        </w:rPr>
      </w:pPr>
      <w:r>
        <w:fldChar w:fldCharType="begin"/>
      </w:r>
      <w:r>
        <w:instrText xml:space="preserve"> HYPERLINK "4.5.1.1" </w:instrText>
      </w:r>
      <w:r>
        <w:fldChar w:fldCharType="separate"/>
      </w:r>
      <w:r>
        <w:rPr>
          <w:rFonts w:ascii="Times New Roman" w:hAnsi="Times New Roman" w:eastAsia="Times New Roman" w:cs="Times New Roman"/>
          <w:b/>
          <w:bCs/>
          <w:spacing w:val="-2"/>
          <w:sz w:val="24"/>
          <w:szCs w:val="24"/>
        </w:rPr>
        <w:t>4.5.1.1</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29"/>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陆生植物分布情况</w:t>
      </w:r>
    </w:p>
    <w:p>
      <w:pPr>
        <w:spacing w:before="266"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）植被区划分及特点</w:t>
      </w:r>
    </w:p>
    <w:p>
      <w:pPr>
        <w:spacing w:before="194" w:line="368" w:lineRule="auto"/>
        <w:ind w:left="39" w:right="64" w:firstLine="481"/>
        <w:rPr>
          <w:rFonts w:ascii="宋体" w:hAnsi="宋体" w:eastAsia="宋体" w:cs="宋体"/>
          <w:sz w:val="24"/>
          <w:szCs w:val="24"/>
        </w:rPr>
      </w:pPr>
      <w:r>
        <w:rPr>
          <w:rFonts w:ascii="宋体" w:hAnsi="宋体" w:eastAsia="宋体" w:cs="宋体"/>
          <w:spacing w:val="2"/>
          <w:sz w:val="24"/>
          <w:szCs w:val="24"/>
        </w:rPr>
        <w:t>工程处于亚热带季风气候，特点是冬夏季风交替显著</w:t>
      </w:r>
      <w:r>
        <w:rPr>
          <w:rFonts w:ascii="宋体" w:hAnsi="宋体" w:eastAsia="宋体" w:cs="宋体"/>
          <w:spacing w:val="1"/>
          <w:sz w:val="24"/>
          <w:szCs w:val="24"/>
        </w:rPr>
        <w:t>。根据《中国植被》中</w:t>
      </w:r>
      <w:r>
        <w:rPr>
          <w:rFonts w:ascii="宋体" w:hAnsi="宋体" w:eastAsia="宋体" w:cs="宋体"/>
          <w:sz w:val="24"/>
          <w:szCs w:val="24"/>
        </w:rPr>
        <w:t xml:space="preserve"> </w:t>
      </w:r>
      <w:r>
        <w:rPr>
          <w:rFonts w:ascii="宋体" w:hAnsi="宋体" w:eastAsia="宋体" w:cs="宋体"/>
          <w:spacing w:val="-2"/>
          <w:sz w:val="24"/>
          <w:szCs w:val="24"/>
        </w:rPr>
        <w:t>自然植被的分类系统，</w:t>
      </w:r>
      <w:r>
        <w:rPr>
          <w:rFonts w:ascii="宋体" w:hAnsi="宋体" w:eastAsia="宋体" w:cs="宋体"/>
          <w:spacing w:val="-22"/>
          <w:sz w:val="24"/>
          <w:szCs w:val="24"/>
        </w:rPr>
        <w:t xml:space="preserve"> </w:t>
      </w:r>
      <w:r>
        <w:rPr>
          <w:rFonts w:ascii="宋体" w:hAnsi="宋体" w:eastAsia="宋体" w:cs="宋体"/>
          <w:spacing w:val="-2"/>
          <w:sz w:val="24"/>
          <w:szCs w:val="24"/>
        </w:rPr>
        <w:t>评价区属亚热带常绿阔叶林区域</w:t>
      </w:r>
      <w:r>
        <w:rPr>
          <w:rFonts w:ascii="Times New Roman" w:hAnsi="Times New Roman" w:eastAsia="Times New Roman" w:cs="Times New Roman"/>
          <w:spacing w:val="-2"/>
          <w:sz w:val="24"/>
          <w:szCs w:val="24"/>
        </w:rPr>
        <w:t>—ⅣAⅱ</w:t>
      </w:r>
      <w:r>
        <w:rPr>
          <w:rFonts w:ascii="宋体" w:hAnsi="宋体" w:eastAsia="宋体" w:cs="宋体"/>
          <w:spacing w:val="-3"/>
          <w:sz w:val="24"/>
          <w:szCs w:val="24"/>
        </w:rPr>
        <w:t>中亚热带常绿阔叶</w:t>
      </w:r>
      <w:r>
        <w:rPr>
          <w:rFonts w:ascii="宋体" w:hAnsi="宋体" w:eastAsia="宋体" w:cs="宋体"/>
          <w:sz w:val="24"/>
          <w:szCs w:val="24"/>
        </w:rPr>
        <w:t xml:space="preserve"> 林地带</w:t>
      </w:r>
      <w:r>
        <w:rPr>
          <w:rFonts w:ascii="Times New Roman" w:hAnsi="Times New Roman" w:eastAsia="Times New Roman" w:cs="Times New Roman"/>
          <w:sz w:val="24"/>
          <w:szCs w:val="24"/>
        </w:rPr>
        <w:t>—ⅣAⅱa</w:t>
      </w:r>
      <w:r>
        <w:rPr>
          <w:rFonts w:ascii="Times New Roman" w:hAnsi="Times New Roman" w:eastAsia="Times New Roman" w:cs="Times New Roman"/>
          <w:spacing w:val="17"/>
          <w:sz w:val="24"/>
          <w:szCs w:val="24"/>
        </w:rPr>
        <w:t xml:space="preserve">  </w:t>
      </w:r>
      <w:r>
        <w:rPr>
          <w:rFonts w:ascii="宋体" w:hAnsi="宋体" w:eastAsia="宋体" w:cs="宋体"/>
          <w:sz w:val="24"/>
          <w:szCs w:val="24"/>
        </w:rPr>
        <w:t>中亚热带常绿阔叶林北部亚地带，地带性植被为常绿阔叶林</w:t>
      </w:r>
      <w:r>
        <w:rPr>
          <w:rFonts w:ascii="宋体" w:hAnsi="宋体" w:eastAsia="宋体" w:cs="宋体"/>
          <w:spacing w:val="-1"/>
          <w:sz w:val="24"/>
          <w:szCs w:val="24"/>
        </w:rPr>
        <w:t>，组</w:t>
      </w:r>
      <w:r>
        <w:rPr>
          <w:rFonts w:ascii="宋体" w:hAnsi="宋体" w:eastAsia="宋体" w:cs="宋体"/>
          <w:sz w:val="24"/>
          <w:szCs w:val="24"/>
        </w:rPr>
        <w:t xml:space="preserve"> </w:t>
      </w:r>
      <w:r>
        <w:rPr>
          <w:rFonts w:ascii="宋体" w:hAnsi="宋体" w:eastAsia="宋体" w:cs="宋体"/>
          <w:spacing w:val="3"/>
          <w:sz w:val="24"/>
          <w:szCs w:val="24"/>
        </w:rPr>
        <w:t>成林木层的优势种主要是松科的松属、柏科的</w:t>
      </w:r>
      <w:r>
        <w:rPr>
          <w:rFonts w:ascii="宋体" w:hAnsi="宋体" w:eastAsia="宋体" w:cs="宋体"/>
          <w:spacing w:val="2"/>
          <w:sz w:val="24"/>
          <w:szCs w:val="24"/>
        </w:rPr>
        <w:t>柳杉属、杉科的杉木属、禾本科的</w:t>
      </w:r>
      <w:r>
        <w:rPr>
          <w:rFonts w:ascii="宋体" w:hAnsi="宋体" w:eastAsia="宋体" w:cs="宋体"/>
          <w:sz w:val="24"/>
          <w:szCs w:val="24"/>
        </w:rPr>
        <w:t xml:space="preserve"> </w:t>
      </w:r>
      <w:r>
        <w:rPr>
          <w:rFonts w:ascii="宋体" w:hAnsi="宋体" w:eastAsia="宋体" w:cs="宋体"/>
          <w:spacing w:val="-7"/>
          <w:sz w:val="24"/>
          <w:szCs w:val="24"/>
        </w:rPr>
        <w:t>刚竹属的种类。马尾松林在本地带内分布面积很广， 海拔</w:t>
      </w:r>
      <w:r>
        <w:rPr>
          <w:rFonts w:ascii="宋体" w:hAnsi="宋体" w:eastAsia="宋体" w:cs="宋体"/>
          <w:spacing w:val="-44"/>
          <w:sz w:val="24"/>
          <w:szCs w:val="24"/>
        </w:rPr>
        <w:t xml:space="preserve"> </w:t>
      </w:r>
      <w:r>
        <w:rPr>
          <w:rFonts w:ascii="Times New Roman" w:hAnsi="Times New Roman" w:eastAsia="Times New Roman" w:cs="Times New Roman"/>
          <w:spacing w:val="-7"/>
          <w:sz w:val="24"/>
          <w:szCs w:val="24"/>
        </w:rPr>
        <w:t xml:space="preserve">800m  </w:t>
      </w:r>
      <w:r>
        <w:rPr>
          <w:rFonts w:ascii="宋体" w:hAnsi="宋体" w:eastAsia="宋体" w:cs="宋体"/>
          <w:spacing w:val="-7"/>
          <w:sz w:val="24"/>
          <w:szCs w:val="24"/>
        </w:rPr>
        <w:t>以</w:t>
      </w:r>
      <w:r>
        <w:rPr>
          <w:rFonts w:ascii="宋体" w:hAnsi="宋体" w:eastAsia="宋体" w:cs="宋体"/>
          <w:spacing w:val="-8"/>
          <w:sz w:val="24"/>
          <w:szCs w:val="24"/>
        </w:rPr>
        <w:t>下的丘陵山地几</w:t>
      </w:r>
      <w:r>
        <w:rPr>
          <w:rFonts w:ascii="宋体" w:hAnsi="宋体" w:eastAsia="宋体" w:cs="宋体"/>
          <w:sz w:val="24"/>
          <w:szCs w:val="24"/>
        </w:rPr>
        <w:t xml:space="preserve"> </w:t>
      </w:r>
      <w:r>
        <w:rPr>
          <w:rFonts w:ascii="宋体" w:hAnsi="宋体" w:eastAsia="宋体" w:cs="宋体"/>
          <w:spacing w:val="3"/>
          <w:sz w:val="24"/>
          <w:szCs w:val="24"/>
        </w:rPr>
        <w:t>乎随处可见，林下灌木主要为白栎、寒莓、檵木</w:t>
      </w:r>
      <w:r>
        <w:rPr>
          <w:rFonts w:ascii="宋体" w:hAnsi="宋体" w:eastAsia="宋体" w:cs="宋体"/>
          <w:spacing w:val="2"/>
          <w:sz w:val="24"/>
          <w:szCs w:val="24"/>
        </w:rPr>
        <w:t>，草本层主要为乌蕨、芒萁、狗</w:t>
      </w:r>
      <w:r>
        <w:rPr>
          <w:rFonts w:ascii="宋体" w:hAnsi="宋体" w:eastAsia="宋体" w:cs="宋体"/>
          <w:sz w:val="24"/>
          <w:szCs w:val="24"/>
        </w:rPr>
        <w:t xml:space="preserve"> </w:t>
      </w:r>
      <w:r>
        <w:rPr>
          <w:rFonts w:ascii="宋体" w:hAnsi="宋体" w:eastAsia="宋体" w:cs="宋体"/>
          <w:spacing w:val="3"/>
          <w:sz w:val="24"/>
          <w:szCs w:val="24"/>
        </w:rPr>
        <w:t>脊、里白等。此外杉木、柳杉混交林、毛竹林分布也</w:t>
      </w:r>
      <w:r>
        <w:rPr>
          <w:rFonts w:ascii="宋体" w:hAnsi="宋体" w:eastAsia="宋体" w:cs="宋体"/>
          <w:spacing w:val="2"/>
          <w:sz w:val="24"/>
          <w:szCs w:val="24"/>
        </w:rPr>
        <w:t>很广泛，林下灌木组成种类</w:t>
      </w:r>
    </w:p>
    <w:p>
      <w:pPr>
        <w:spacing w:before="1" w:line="216" w:lineRule="auto"/>
        <w:ind w:left="72"/>
        <w:rPr>
          <w:rFonts w:ascii="宋体" w:hAnsi="宋体" w:eastAsia="宋体" w:cs="宋体"/>
          <w:sz w:val="24"/>
          <w:szCs w:val="24"/>
        </w:rPr>
      </w:pPr>
      <w:r>
        <w:rPr>
          <w:rFonts w:ascii="宋体" w:hAnsi="宋体" w:eastAsia="宋体" w:cs="宋体"/>
          <w:spacing w:val="-6"/>
          <w:sz w:val="24"/>
          <w:szCs w:val="24"/>
        </w:rPr>
        <w:t>白栎、寒莓、杜茎山等；草丛多为禾草芒萁草丛、 五节芒灌丛草丛等。</w:t>
      </w:r>
    </w:p>
    <w:p>
      <w:pPr>
        <w:spacing w:before="195"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）植被类型及植物种类</w:t>
      </w:r>
    </w:p>
    <w:p>
      <w:pPr>
        <w:spacing w:before="194" w:line="368" w:lineRule="auto"/>
        <w:ind w:left="38" w:firstLine="482"/>
        <w:rPr>
          <w:rFonts w:ascii="Times New Roman" w:hAnsi="Times New Roman" w:eastAsia="Times New Roman" w:cs="Times New Roman"/>
          <w:sz w:val="24"/>
          <w:szCs w:val="24"/>
        </w:rPr>
      </w:pPr>
      <w:r>
        <w:rPr>
          <w:rFonts w:ascii="宋体" w:hAnsi="宋体" w:eastAsia="宋体" w:cs="宋体"/>
          <w:spacing w:val="2"/>
          <w:sz w:val="24"/>
          <w:szCs w:val="24"/>
        </w:rPr>
        <w:t>为了解区域植被现状，在实地调查的基础上，确定典型的群落地段，采用法</w:t>
      </w:r>
      <w:r>
        <w:rPr>
          <w:rFonts w:ascii="宋体" w:hAnsi="宋体" w:eastAsia="宋体" w:cs="宋体"/>
          <w:spacing w:val="16"/>
          <w:sz w:val="24"/>
          <w:szCs w:val="24"/>
        </w:rPr>
        <w:t xml:space="preserve"> </w:t>
      </w:r>
      <w:r>
        <w:rPr>
          <w:rFonts w:ascii="宋体" w:hAnsi="宋体" w:eastAsia="宋体" w:cs="宋体"/>
          <w:spacing w:val="-2"/>
          <w:sz w:val="24"/>
          <w:szCs w:val="24"/>
        </w:rPr>
        <w:t>瑞学派样地记录法进行群落调查，地点随机设置，乔木群落样方面积为</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20×20m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6"/>
          <w:sz w:val="24"/>
          <w:szCs w:val="24"/>
        </w:rPr>
        <w:t>草本样方为</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1×1m</w:t>
      </w:r>
      <w:r>
        <w:rPr>
          <w:rFonts w:ascii="Times New Roman" w:hAnsi="Times New Roman" w:eastAsia="Times New Roman" w:cs="Times New Roman"/>
          <w:spacing w:val="-6"/>
          <w:position w:val="9"/>
          <w:sz w:val="16"/>
          <w:szCs w:val="16"/>
        </w:rPr>
        <w:t>2</w:t>
      </w:r>
      <w:r>
        <w:rPr>
          <w:rFonts w:ascii="宋体" w:hAnsi="宋体" w:eastAsia="宋体" w:cs="宋体"/>
          <w:spacing w:val="-6"/>
          <w:sz w:val="24"/>
          <w:szCs w:val="24"/>
        </w:rPr>
        <w:t>、</w:t>
      </w:r>
      <w:r>
        <w:rPr>
          <w:rFonts w:ascii="Times New Roman" w:hAnsi="Times New Roman" w:eastAsia="Times New Roman" w:cs="Times New Roman"/>
          <w:spacing w:val="-6"/>
          <w:sz w:val="24"/>
          <w:szCs w:val="24"/>
        </w:rPr>
        <w:t>2×2m</w:t>
      </w:r>
      <w:r>
        <w:rPr>
          <w:rFonts w:ascii="Times New Roman" w:hAnsi="Times New Roman" w:eastAsia="Times New Roman" w:cs="Times New Roman"/>
          <w:spacing w:val="-6"/>
          <w:position w:val="9"/>
          <w:sz w:val="16"/>
          <w:szCs w:val="16"/>
        </w:rPr>
        <w:t>2</w:t>
      </w:r>
      <w:r>
        <w:rPr>
          <w:rFonts w:ascii="Times New Roman" w:hAnsi="Times New Roman" w:eastAsia="Times New Roman" w:cs="Times New Roman"/>
          <w:spacing w:val="11"/>
          <w:position w:val="9"/>
          <w:sz w:val="16"/>
          <w:szCs w:val="16"/>
        </w:rPr>
        <w:t xml:space="preserve"> </w:t>
      </w:r>
      <w:r>
        <w:rPr>
          <w:rFonts w:ascii="宋体" w:hAnsi="宋体" w:eastAsia="宋体" w:cs="宋体"/>
          <w:spacing w:val="-6"/>
          <w:sz w:val="24"/>
          <w:szCs w:val="24"/>
        </w:rPr>
        <w:t>记录样地所有植物的种类； 本次野外实地调查</w:t>
      </w:r>
      <w:r>
        <w:rPr>
          <w:rFonts w:ascii="宋体" w:hAnsi="宋体" w:eastAsia="宋体" w:cs="宋体"/>
          <w:spacing w:val="-7"/>
          <w:sz w:val="24"/>
          <w:szCs w:val="24"/>
        </w:rPr>
        <w:t>共记录了</w:t>
      </w:r>
      <w:r>
        <w:rPr>
          <w:rFonts w:ascii="宋体" w:hAnsi="宋体" w:eastAsia="宋体" w:cs="宋体"/>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9"/>
          <w:w w:val="101"/>
          <w:sz w:val="24"/>
          <w:szCs w:val="24"/>
        </w:rPr>
        <w:t xml:space="preserve"> </w:t>
      </w:r>
      <w:r>
        <w:rPr>
          <w:rFonts w:ascii="宋体" w:hAnsi="宋体" w:eastAsia="宋体" w:cs="宋体"/>
          <w:spacing w:val="-4"/>
          <w:sz w:val="24"/>
          <w:szCs w:val="24"/>
        </w:rPr>
        <w:t xml:space="preserve">个样方。评价区维管束植物共有 </w:t>
      </w:r>
      <w:r>
        <w:rPr>
          <w:rFonts w:ascii="Times New Roman" w:hAnsi="Times New Roman" w:eastAsia="Times New Roman" w:cs="Times New Roman"/>
          <w:spacing w:val="-4"/>
          <w:sz w:val="24"/>
          <w:szCs w:val="24"/>
        </w:rPr>
        <w:t>122</w:t>
      </w:r>
      <w:r>
        <w:rPr>
          <w:rFonts w:ascii="Times New Roman" w:hAnsi="Times New Roman" w:eastAsia="Times New Roman" w:cs="Times New Roman"/>
          <w:spacing w:val="18"/>
          <w:w w:val="101"/>
          <w:sz w:val="24"/>
          <w:szCs w:val="24"/>
        </w:rPr>
        <w:t xml:space="preserve"> </w:t>
      </w:r>
      <w:r>
        <w:rPr>
          <w:rFonts w:ascii="宋体" w:hAnsi="宋体" w:eastAsia="宋体" w:cs="宋体"/>
          <w:spacing w:val="-4"/>
          <w:sz w:val="24"/>
          <w:szCs w:val="24"/>
        </w:rPr>
        <w:t>科</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331</w:t>
      </w:r>
      <w:r>
        <w:rPr>
          <w:rFonts w:ascii="Times New Roman" w:hAnsi="Times New Roman" w:eastAsia="Times New Roman" w:cs="Times New Roman"/>
          <w:spacing w:val="21"/>
          <w:sz w:val="24"/>
          <w:szCs w:val="24"/>
        </w:rPr>
        <w:t xml:space="preserve"> </w:t>
      </w:r>
      <w:r>
        <w:rPr>
          <w:rFonts w:ascii="宋体" w:hAnsi="宋体" w:eastAsia="宋体" w:cs="宋体"/>
          <w:spacing w:val="-4"/>
          <w:sz w:val="24"/>
          <w:szCs w:val="24"/>
        </w:rPr>
        <w:t>属</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511</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种</w:t>
      </w:r>
      <w:r>
        <w:rPr>
          <w:rFonts w:ascii="宋体" w:hAnsi="宋体" w:eastAsia="宋体" w:cs="宋体"/>
          <w:spacing w:val="-5"/>
          <w:sz w:val="24"/>
          <w:szCs w:val="24"/>
        </w:rPr>
        <w:t xml:space="preserve">，包括蕨类植物 </w:t>
      </w:r>
      <w:r>
        <w:rPr>
          <w:rFonts w:ascii="Times New Roman" w:hAnsi="Times New Roman" w:eastAsia="Times New Roman" w:cs="Times New Roman"/>
          <w:spacing w:val="-5"/>
          <w:sz w:val="24"/>
          <w:szCs w:val="24"/>
        </w:rPr>
        <w:t>19</w:t>
      </w:r>
      <w:r>
        <w:rPr>
          <w:rFonts w:ascii="Times New Roman" w:hAnsi="Times New Roman" w:eastAsia="Times New Roman" w:cs="Times New Roman"/>
          <w:spacing w:val="19"/>
          <w:sz w:val="24"/>
          <w:szCs w:val="24"/>
        </w:rPr>
        <w:t xml:space="preserve"> </w:t>
      </w:r>
      <w:r>
        <w:rPr>
          <w:rFonts w:ascii="宋体" w:hAnsi="宋体" w:eastAsia="宋体" w:cs="宋体"/>
          <w:spacing w:val="-5"/>
          <w:sz w:val="24"/>
          <w:szCs w:val="24"/>
        </w:rPr>
        <w:t>科</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27</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属</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36 </w:t>
      </w:r>
      <w:r>
        <w:rPr>
          <w:rFonts w:ascii="宋体" w:hAnsi="宋体" w:eastAsia="宋体" w:cs="宋体"/>
          <w:spacing w:val="-2"/>
          <w:sz w:val="24"/>
          <w:szCs w:val="24"/>
        </w:rPr>
        <w:t>种、裸子植物</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科</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8 </w:t>
      </w:r>
      <w:r>
        <w:rPr>
          <w:rFonts w:ascii="宋体" w:hAnsi="宋体" w:eastAsia="宋体" w:cs="宋体"/>
          <w:spacing w:val="-2"/>
          <w:sz w:val="24"/>
          <w:szCs w:val="24"/>
        </w:rPr>
        <w:t>属</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9 </w:t>
      </w:r>
      <w:r>
        <w:rPr>
          <w:rFonts w:ascii="宋体" w:hAnsi="宋体" w:eastAsia="宋体" w:cs="宋体"/>
          <w:spacing w:val="-2"/>
          <w:sz w:val="24"/>
          <w:szCs w:val="24"/>
        </w:rPr>
        <w:t>种、被</w:t>
      </w:r>
      <w:r>
        <w:rPr>
          <w:rFonts w:ascii="宋体" w:hAnsi="宋体" w:eastAsia="宋体" w:cs="宋体"/>
          <w:spacing w:val="-3"/>
          <w:sz w:val="24"/>
          <w:szCs w:val="24"/>
        </w:rPr>
        <w:t>子植物</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99 </w:t>
      </w:r>
      <w:r>
        <w:rPr>
          <w:rFonts w:ascii="宋体" w:hAnsi="宋体" w:eastAsia="宋体" w:cs="宋体"/>
          <w:spacing w:val="-3"/>
          <w:sz w:val="24"/>
          <w:szCs w:val="24"/>
        </w:rPr>
        <w:t>科</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296</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属</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466</w:t>
      </w:r>
      <w:r>
        <w:rPr>
          <w:rFonts w:ascii="Times New Roman" w:hAnsi="Times New Roman" w:eastAsia="Times New Roman" w:cs="Times New Roman"/>
          <w:spacing w:val="9"/>
          <w:sz w:val="24"/>
          <w:szCs w:val="24"/>
        </w:rPr>
        <w:t xml:space="preserve"> </w:t>
      </w:r>
      <w:r>
        <w:rPr>
          <w:rFonts w:ascii="宋体" w:hAnsi="宋体" w:eastAsia="宋体" w:cs="宋体"/>
          <w:spacing w:val="-3"/>
          <w:sz w:val="24"/>
          <w:szCs w:val="24"/>
        </w:rPr>
        <w:t>种。</w:t>
      </w:r>
    </w:p>
    <w:p>
      <w:pPr>
        <w:spacing w:before="194" w:line="368" w:lineRule="auto"/>
        <w:ind w:left="65" w:right="75" w:firstLine="454"/>
        <w:rPr>
          <w:rFonts w:ascii="宋体" w:hAnsi="宋体" w:eastAsia="宋体" w:cs="宋体"/>
          <w:sz w:val="24"/>
          <w:szCs w:val="24"/>
        </w:rPr>
      </w:pPr>
      <w:r>
        <w:rPr>
          <w:rFonts w:ascii="宋体" w:hAnsi="宋体" w:eastAsia="宋体" w:cs="宋体"/>
          <w:spacing w:val="-2"/>
          <w:sz w:val="24"/>
          <w:szCs w:val="24"/>
        </w:rPr>
        <w:t>参考《中国植被》，</w:t>
      </w:r>
      <w:r>
        <w:rPr>
          <w:rFonts w:ascii="宋体" w:hAnsi="宋体" w:eastAsia="宋体" w:cs="宋体"/>
          <w:spacing w:val="31"/>
          <w:sz w:val="24"/>
          <w:szCs w:val="24"/>
        </w:rPr>
        <w:t xml:space="preserve"> </w:t>
      </w:r>
      <w:r>
        <w:rPr>
          <w:rFonts w:ascii="宋体" w:hAnsi="宋体" w:eastAsia="宋体" w:cs="宋体"/>
          <w:spacing w:val="-2"/>
          <w:sz w:val="24"/>
          <w:szCs w:val="24"/>
        </w:rPr>
        <w:t>并根据野外实地样方调查的结果，评价区自然植被</w:t>
      </w:r>
      <w:r>
        <w:rPr>
          <w:rFonts w:ascii="宋体" w:hAnsi="宋体" w:eastAsia="宋体" w:cs="宋体"/>
          <w:spacing w:val="-3"/>
          <w:sz w:val="24"/>
          <w:szCs w:val="24"/>
        </w:rPr>
        <w:t>类型</w:t>
      </w:r>
      <w:r>
        <w:rPr>
          <w:rFonts w:ascii="宋体" w:hAnsi="宋体" w:eastAsia="宋体" w:cs="宋体"/>
          <w:sz w:val="24"/>
          <w:szCs w:val="24"/>
        </w:rPr>
        <w:t xml:space="preserve"> </w:t>
      </w:r>
      <w:r>
        <w:rPr>
          <w:rFonts w:ascii="宋体" w:hAnsi="宋体" w:eastAsia="宋体" w:cs="宋体"/>
          <w:spacing w:val="-1"/>
          <w:sz w:val="24"/>
          <w:szCs w:val="24"/>
        </w:rPr>
        <w:t>以暖性针叶林中的杉木林、马尾松林和常绿阔叶林中的毛竹林等为主；灌丛</w:t>
      </w:r>
      <w:r>
        <w:rPr>
          <w:rFonts w:ascii="宋体" w:hAnsi="宋体" w:eastAsia="宋体" w:cs="宋体"/>
          <w:spacing w:val="-2"/>
          <w:sz w:val="24"/>
          <w:szCs w:val="24"/>
        </w:rPr>
        <w:t>主要</w:t>
      </w:r>
    </w:p>
    <w:p>
      <w:pPr>
        <w:spacing w:before="1" w:line="216" w:lineRule="auto"/>
        <w:ind w:left="41"/>
        <w:rPr>
          <w:rFonts w:ascii="宋体" w:hAnsi="宋体" w:eastAsia="宋体" w:cs="宋体"/>
          <w:sz w:val="24"/>
          <w:szCs w:val="24"/>
        </w:rPr>
      </w:pPr>
      <w:r>
        <w:rPr>
          <w:rFonts w:ascii="宋体" w:hAnsi="宋体" w:eastAsia="宋体" w:cs="宋体"/>
          <w:spacing w:val="-3"/>
          <w:sz w:val="24"/>
          <w:szCs w:val="24"/>
        </w:rPr>
        <w:t>为芒萁草丛和五节芒灌草丛等。</w:t>
      </w:r>
    </w:p>
    <w:p>
      <w:pPr>
        <w:spacing w:before="119" w:line="220" w:lineRule="auto"/>
        <w:ind w:left="2629"/>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4.5-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各样地与工程位置关系</w:t>
      </w:r>
    </w:p>
    <w:p>
      <w:pPr>
        <w:spacing w:line="111" w:lineRule="exact"/>
      </w:pPr>
    </w:p>
    <w:tbl>
      <w:tblPr>
        <w:tblStyle w:val="5"/>
        <w:tblW w:w="8528"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3231"/>
        <w:gridCol w:w="1173"/>
        <w:gridCol w:w="1626"/>
        <w:gridCol w:w="660"/>
        <w:gridCol w:w="13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504" w:type="dxa"/>
            <w:textDirection w:val="tbRlV"/>
            <w:vAlign w:val="top"/>
          </w:tcPr>
          <w:p>
            <w:pPr>
              <w:pStyle w:val="6"/>
              <w:spacing w:before="143" w:line="211" w:lineRule="auto"/>
              <w:ind w:left="60"/>
            </w:pPr>
            <w:r>
              <w:rPr>
                <w:spacing w:val="1"/>
              </w:rPr>
              <w:t>序 号</w:t>
            </w:r>
          </w:p>
        </w:tc>
        <w:tc>
          <w:tcPr>
            <w:tcW w:w="3231" w:type="dxa"/>
            <w:vAlign w:val="top"/>
          </w:tcPr>
          <w:p>
            <w:pPr>
              <w:pStyle w:val="6"/>
              <w:spacing w:before="218" w:line="221" w:lineRule="auto"/>
              <w:ind w:left="1196"/>
            </w:pPr>
            <w:r>
              <w:rPr>
                <w:spacing w:val="-2"/>
              </w:rPr>
              <w:t>植被类型</w:t>
            </w:r>
          </w:p>
        </w:tc>
        <w:tc>
          <w:tcPr>
            <w:tcW w:w="1173" w:type="dxa"/>
            <w:vAlign w:val="top"/>
          </w:tcPr>
          <w:p>
            <w:pPr>
              <w:pStyle w:val="6"/>
              <w:spacing w:before="218" w:line="221" w:lineRule="auto"/>
              <w:ind w:left="170"/>
            </w:pPr>
            <w:r>
              <w:rPr>
                <w:spacing w:val="-1"/>
              </w:rPr>
              <w:t>样方面积</w:t>
            </w:r>
          </w:p>
        </w:tc>
        <w:tc>
          <w:tcPr>
            <w:tcW w:w="1626" w:type="dxa"/>
            <w:vAlign w:val="top"/>
          </w:tcPr>
          <w:p>
            <w:pPr>
              <w:pStyle w:val="6"/>
              <w:spacing w:before="219" w:line="221" w:lineRule="auto"/>
              <w:ind w:left="505"/>
            </w:pPr>
            <w:r>
              <w:rPr>
                <w:spacing w:val="-2"/>
              </w:rPr>
              <w:t>经纬度</w:t>
            </w:r>
          </w:p>
        </w:tc>
        <w:tc>
          <w:tcPr>
            <w:tcW w:w="660" w:type="dxa"/>
            <w:vAlign w:val="top"/>
          </w:tcPr>
          <w:p>
            <w:pPr>
              <w:pStyle w:val="6"/>
              <w:spacing w:before="219" w:line="221" w:lineRule="auto"/>
              <w:ind w:left="125"/>
            </w:pPr>
            <w:r>
              <w:rPr>
                <w:spacing w:val="-2"/>
              </w:rPr>
              <w:t>地点</w:t>
            </w:r>
          </w:p>
        </w:tc>
        <w:tc>
          <w:tcPr>
            <w:tcW w:w="1334" w:type="dxa"/>
            <w:vAlign w:val="top"/>
          </w:tcPr>
          <w:p>
            <w:pPr>
              <w:pStyle w:val="6"/>
              <w:spacing w:before="219" w:line="221" w:lineRule="auto"/>
              <w:ind w:left="255"/>
            </w:pPr>
            <w:r>
              <w:rPr>
                <w:spacing w:val="-2"/>
              </w:rPr>
              <w:t>工程位置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Align w:val="top"/>
          </w:tcPr>
          <w:p>
            <w:pPr>
              <w:spacing w:before="254" w:line="187" w:lineRule="auto"/>
              <w:ind w:left="22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231" w:type="dxa"/>
            <w:vAlign w:val="top"/>
          </w:tcPr>
          <w:p>
            <w:pPr>
              <w:pStyle w:val="6"/>
              <w:spacing w:before="57" w:line="221" w:lineRule="auto"/>
              <w:ind w:left="1202"/>
            </w:pPr>
            <w:r>
              <w:rPr>
                <w:spacing w:val="-3"/>
              </w:rPr>
              <w:t>马尾松林</w:t>
            </w:r>
          </w:p>
          <w:p>
            <w:pPr>
              <w:pStyle w:val="6"/>
              <w:spacing w:before="68" w:line="224" w:lineRule="auto"/>
              <w:ind w:left="364"/>
            </w:pPr>
            <w:r>
              <w:rPr>
                <w:spacing w:val="-1"/>
              </w:rPr>
              <w:t>（</w:t>
            </w:r>
            <w:r>
              <w:rPr>
                <w:rFonts w:ascii="Times New Roman" w:hAnsi="Times New Roman" w:eastAsia="Times New Roman" w:cs="Times New Roman"/>
                <w:spacing w:val="-1"/>
              </w:rPr>
              <w:t xml:space="preserve">From. </w:t>
            </w:r>
            <w:r>
              <w:rPr>
                <w:rFonts w:ascii="Times New Roman" w:hAnsi="Times New Roman" w:eastAsia="Times New Roman" w:cs="Times New Roman"/>
                <w:i/>
                <w:iCs/>
                <w:spacing w:val="-1"/>
              </w:rPr>
              <w:t>Pinus massoniana</w:t>
            </w:r>
            <w:r>
              <w:rPr>
                <w:spacing w:val="-1"/>
              </w:rPr>
              <w:t>）</w:t>
            </w:r>
          </w:p>
        </w:tc>
        <w:tc>
          <w:tcPr>
            <w:tcW w:w="1173" w:type="dxa"/>
            <w:vAlign w:val="top"/>
          </w:tcPr>
          <w:p>
            <w:pPr>
              <w:spacing w:before="250" w:line="234"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20m×20m</w:t>
            </w:r>
          </w:p>
        </w:tc>
        <w:tc>
          <w:tcPr>
            <w:tcW w:w="1626" w:type="dxa"/>
            <w:vAlign w:val="top"/>
          </w:tcPr>
          <w:p>
            <w:pPr>
              <w:spacing w:before="96" w:line="319" w:lineRule="exact"/>
              <w:ind w:left="175"/>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E:119.9742866</w:t>
            </w:r>
          </w:p>
          <w:p>
            <w:pPr>
              <w:spacing w:line="186"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N:27.84004378</w:t>
            </w:r>
          </w:p>
        </w:tc>
        <w:tc>
          <w:tcPr>
            <w:tcW w:w="660" w:type="dxa"/>
            <w:vAlign w:val="top"/>
          </w:tcPr>
          <w:p>
            <w:pPr>
              <w:pStyle w:val="6"/>
              <w:spacing w:before="58" w:line="251" w:lineRule="auto"/>
              <w:ind w:left="232" w:right="114" w:hanging="103"/>
            </w:pPr>
            <w:r>
              <w:rPr>
                <w:spacing w:val="-5"/>
              </w:rPr>
              <w:t>老牛</w:t>
            </w:r>
            <w:r>
              <w:t xml:space="preserve"> 塘</w:t>
            </w:r>
          </w:p>
        </w:tc>
        <w:tc>
          <w:tcPr>
            <w:tcW w:w="1334" w:type="dxa"/>
            <w:vAlign w:val="top"/>
          </w:tcPr>
          <w:p>
            <w:pPr>
              <w:pStyle w:val="6"/>
              <w:spacing w:before="58" w:line="250" w:lineRule="auto"/>
              <w:ind w:left="387" w:right="136" w:hanging="233"/>
            </w:pPr>
            <w:r>
              <w:rPr>
                <w:spacing w:val="-3"/>
              </w:rPr>
              <w:t>百丈隧道出</w:t>
            </w:r>
            <w:r>
              <w:rPr>
                <w:spacing w:val="2"/>
              </w:rPr>
              <w:t xml:space="preserve"> </w:t>
            </w:r>
            <w:r>
              <w:rPr>
                <w:spacing w:val="-9"/>
              </w:rPr>
              <w:t>口附近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Align w:val="top"/>
          </w:tcPr>
          <w:p>
            <w:pPr>
              <w:spacing w:before="255" w:line="187" w:lineRule="auto"/>
              <w:ind w:left="20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231" w:type="dxa"/>
            <w:vAlign w:val="top"/>
          </w:tcPr>
          <w:p>
            <w:pPr>
              <w:pStyle w:val="6"/>
              <w:spacing w:before="58" w:line="221" w:lineRule="auto"/>
              <w:ind w:left="1202"/>
            </w:pPr>
            <w:r>
              <w:rPr>
                <w:spacing w:val="-3"/>
              </w:rPr>
              <w:t>马尾松林</w:t>
            </w:r>
          </w:p>
          <w:p>
            <w:pPr>
              <w:pStyle w:val="6"/>
              <w:spacing w:before="68" w:line="223" w:lineRule="auto"/>
              <w:ind w:left="364"/>
            </w:pPr>
            <w:r>
              <w:rPr>
                <w:spacing w:val="-1"/>
              </w:rPr>
              <w:t>（</w:t>
            </w:r>
            <w:r>
              <w:rPr>
                <w:rFonts w:ascii="Times New Roman" w:hAnsi="Times New Roman" w:eastAsia="Times New Roman" w:cs="Times New Roman"/>
                <w:spacing w:val="-1"/>
              </w:rPr>
              <w:t xml:space="preserve">From. </w:t>
            </w:r>
            <w:r>
              <w:rPr>
                <w:rFonts w:ascii="Times New Roman" w:hAnsi="Times New Roman" w:eastAsia="Times New Roman" w:cs="Times New Roman"/>
                <w:i/>
                <w:iCs/>
                <w:spacing w:val="-1"/>
              </w:rPr>
              <w:t>Pinus massoniana</w:t>
            </w:r>
            <w:r>
              <w:rPr>
                <w:spacing w:val="-1"/>
              </w:rPr>
              <w:t>）</w:t>
            </w:r>
          </w:p>
        </w:tc>
        <w:tc>
          <w:tcPr>
            <w:tcW w:w="1173" w:type="dxa"/>
            <w:vAlign w:val="top"/>
          </w:tcPr>
          <w:p>
            <w:pPr>
              <w:spacing w:before="251" w:line="234"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20m×20m</w:t>
            </w:r>
          </w:p>
        </w:tc>
        <w:tc>
          <w:tcPr>
            <w:tcW w:w="1626" w:type="dxa"/>
            <w:vAlign w:val="top"/>
          </w:tcPr>
          <w:p>
            <w:pPr>
              <w:spacing w:before="97" w:line="319" w:lineRule="exact"/>
              <w:ind w:left="175"/>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E:119.9663901</w:t>
            </w:r>
          </w:p>
          <w:p>
            <w:pPr>
              <w:spacing w:line="186"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N:27.83084097</w:t>
            </w:r>
          </w:p>
        </w:tc>
        <w:tc>
          <w:tcPr>
            <w:tcW w:w="660" w:type="dxa"/>
            <w:vAlign w:val="top"/>
          </w:tcPr>
          <w:p>
            <w:pPr>
              <w:pStyle w:val="6"/>
              <w:spacing w:before="58" w:line="222" w:lineRule="auto"/>
              <w:ind w:left="126"/>
            </w:pPr>
            <w:r>
              <w:rPr>
                <w:spacing w:val="-2"/>
              </w:rPr>
              <w:t>江下</w:t>
            </w:r>
          </w:p>
          <w:p>
            <w:pPr>
              <w:pStyle w:val="6"/>
              <w:spacing w:before="66" w:line="221" w:lineRule="auto"/>
              <w:ind w:left="233"/>
            </w:pPr>
            <w:r>
              <w:t>寮</w:t>
            </w:r>
          </w:p>
        </w:tc>
        <w:tc>
          <w:tcPr>
            <w:tcW w:w="1334" w:type="dxa"/>
            <w:vAlign w:val="top"/>
          </w:tcPr>
          <w:p>
            <w:pPr>
              <w:pStyle w:val="6"/>
              <w:spacing w:before="59" w:line="250" w:lineRule="auto"/>
              <w:ind w:left="387" w:right="136" w:hanging="233"/>
            </w:pPr>
            <w:r>
              <w:rPr>
                <w:spacing w:val="-3"/>
              </w:rPr>
              <w:t>百丈隧道入</w:t>
            </w:r>
            <w:r>
              <w:rPr>
                <w:spacing w:val="2"/>
              </w:rPr>
              <w:t xml:space="preserve"> </w:t>
            </w:r>
            <w:r>
              <w:rPr>
                <w:spacing w:val="-9"/>
              </w:rPr>
              <w:t>口附近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Align w:val="top"/>
          </w:tcPr>
          <w:p>
            <w:pPr>
              <w:spacing w:before="256" w:line="187" w:lineRule="auto"/>
              <w:ind w:left="205"/>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231" w:type="dxa"/>
            <w:vAlign w:val="top"/>
          </w:tcPr>
          <w:p>
            <w:pPr>
              <w:pStyle w:val="6"/>
              <w:spacing w:before="59" w:line="218" w:lineRule="auto"/>
              <w:ind w:left="1198"/>
            </w:pPr>
            <w:r>
              <w:rPr>
                <w:spacing w:val="-2"/>
              </w:rPr>
              <w:t>芒萁草丛</w:t>
            </w:r>
          </w:p>
          <w:p>
            <w:pPr>
              <w:pStyle w:val="6"/>
              <w:spacing w:before="71" w:line="214" w:lineRule="auto"/>
              <w:ind w:left="230"/>
            </w:pPr>
            <w:r>
              <w:rPr>
                <w:spacing w:val="2"/>
              </w:rPr>
              <w:t>（</w:t>
            </w:r>
            <w:r>
              <w:rPr>
                <w:rFonts w:ascii="Times New Roman" w:hAnsi="Times New Roman" w:eastAsia="Times New Roman" w:cs="Times New Roman"/>
              </w:rPr>
              <w:t>Form</w:t>
            </w:r>
            <w:r>
              <w:rPr>
                <w:rFonts w:ascii="Times New Roman" w:hAnsi="Times New Roman" w:eastAsia="Times New Roman" w:cs="Times New Roman"/>
                <w:spacing w:val="2"/>
              </w:rPr>
              <w:t xml:space="preserve">. </w:t>
            </w:r>
            <w:r>
              <w:rPr>
                <w:rFonts w:ascii="Times New Roman" w:hAnsi="Times New Roman" w:eastAsia="Times New Roman" w:cs="Times New Roman"/>
                <w:i/>
                <w:iCs/>
              </w:rPr>
              <w:t>Dicranopteris</w:t>
            </w:r>
            <w:r>
              <w:rPr>
                <w:rFonts w:ascii="Times New Roman" w:hAnsi="Times New Roman" w:eastAsia="Times New Roman" w:cs="Times New Roman"/>
                <w:i/>
                <w:iCs/>
                <w:spacing w:val="-23"/>
              </w:rPr>
              <w:t xml:space="preserve"> </w:t>
            </w:r>
            <w:r>
              <w:rPr>
                <w:rFonts w:ascii="Times New Roman" w:hAnsi="Times New Roman" w:eastAsia="Times New Roman" w:cs="Times New Roman"/>
                <w:i/>
                <w:iCs/>
              </w:rPr>
              <w:t>pedata</w:t>
            </w:r>
            <w:r>
              <w:rPr>
                <w:spacing w:val="2"/>
              </w:rPr>
              <w:t>）</w:t>
            </w:r>
          </w:p>
        </w:tc>
        <w:tc>
          <w:tcPr>
            <w:tcW w:w="1173" w:type="dxa"/>
            <w:vAlign w:val="top"/>
          </w:tcPr>
          <w:p>
            <w:pPr>
              <w:spacing w:before="253" w:line="236" w:lineRule="auto"/>
              <w:ind w:left="28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1m×1m</w:t>
            </w:r>
          </w:p>
        </w:tc>
        <w:tc>
          <w:tcPr>
            <w:tcW w:w="1626" w:type="dxa"/>
            <w:vAlign w:val="top"/>
          </w:tcPr>
          <w:p>
            <w:pPr>
              <w:spacing w:before="98" w:line="319" w:lineRule="exact"/>
              <w:ind w:left="228"/>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E:119.935872</w:t>
            </w:r>
          </w:p>
          <w:p>
            <w:pPr>
              <w:spacing w:line="186"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N:27.82914264</w:t>
            </w:r>
          </w:p>
        </w:tc>
        <w:tc>
          <w:tcPr>
            <w:tcW w:w="660" w:type="dxa"/>
            <w:vAlign w:val="top"/>
          </w:tcPr>
          <w:p>
            <w:pPr>
              <w:pStyle w:val="6"/>
              <w:spacing w:before="58" w:line="252" w:lineRule="auto"/>
              <w:ind w:left="126" w:right="114" w:hanging="1"/>
            </w:pPr>
            <w:r>
              <w:rPr>
                <w:spacing w:val="-3"/>
              </w:rPr>
              <w:t>庙儿</w:t>
            </w:r>
            <w:r>
              <w:t xml:space="preserve"> </w:t>
            </w:r>
            <w:r>
              <w:rPr>
                <w:spacing w:val="-4"/>
              </w:rPr>
              <w:t>垄南</w:t>
            </w:r>
          </w:p>
        </w:tc>
        <w:tc>
          <w:tcPr>
            <w:tcW w:w="1334" w:type="dxa"/>
            <w:vAlign w:val="top"/>
          </w:tcPr>
          <w:p>
            <w:pPr>
              <w:pStyle w:val="6"/>
              <w:spacing w:before="59" w:line="251" w:lineRule="auto"/>
              <w:ind w:left="387" w:right="193" w:hanging="189"/>
            </w:pPr>
            <w:r>
              <w:rPr>
                <w:rFonts w:ascii="Times New Roman" w:hAnsi="Times New Roman" w:eastAsia="Times New Roman" w:cs="Times New Roman"/>
                <w:spacing w:val="-1"/>
              </w:rPr>
              <w:t xml:space="preserve">L1L2 </w:t>
            </w:r>
            <w:r>
              <w:rPr>
                <w:spacing w:val="-1"/>
              </w:rPr>
              <w:t>平脚</w:t>
            </w:r>
            <w:r>
              <w:rPr>
                <w:spacing w:val="3"/>
              </w:rPr>
              <w:t xml:space="preserve"> </w:t>
            </w:r>
            <w:r>
              <w:rPr>
                <w:spacing w:val="-9"/>
              </w:rPr>
              <w:t>口终点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04" w:type="dxa"/>
            <w:vAlign w:val="top"/>
          </w:tcPr>
          <w:p>
            <w:pPr>
              <w:spacing w:before="99" w:line="187" w:lineRule="auto"/>
              <w:ind w:left="199"/>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231" w:type="dxa"/>
            <w:vAlign w:val="top"/>
          </w:tcPr>
          <w:p>
            <w:pPr>
              <w:pStyle w:val="6"/>
              <w:spacing w:before="60" w:line="218" w:lineRule="auto"/>
              <w:ind w:left="1198"/>
            </w:pPr>
            <w:r>
              <w:rPr>
                <w:spacing w:val="-2"/>
              </w:rPr>
              <w:t>芒萁草丛</w:t>
            </w:r>
          </w:p>
        </w:tc>
        <w:tc>
          <w:tcPr>
            <w:tcW w:w="1173" w:type="dxa"/>
            <w:vAlign w:val="top"/>
          </w:tcPr>
          <w:p>
            <w:pPr>
              <w:spacing w:before="95" w:line="223" w:lineRule="auto"/>
              <w:ind w:left="28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1m×1m</w:t>
            </w:r>
          </w:p>
        </w:tc>
        <w:tc>
          <w:tcPr>
            <w:tcW w:w="1626" w:type="dxa"/>
            <w:vAlign w:val="top"/>
          </w:tcPr>
          <w:p>
            <w:pPr>
              <w:spacing w:before="99"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E:119.9270368</w:t>
            </w:r>
          </w:p>
        </w:tc>
        <w:tc>
          <w:tcPr>
            <w:tcW w:w="660" w:type="dxa"/>
            <w:vAlign w:val="top"/>
          </w:tcPr>
          <w:p>
            <w:pPr>
              <w:pStyle w:val="6"/>
              <w:spacing w:before="61" w:line="221" w:lineRule="auto"/>
              <w:ind w:left="126"/>
            </w:pPr>
            <w:r>
              <w:rPr>
                <w:spacing w:val="-2"/>
              </w:rPr>
              <w:t>严驮</w:t>
            </w:r>
          </w:p>
        </w:tc>
        <w:tc>
          <w:tcPr>
            <w:tcW w:w="1334" w:type="dxa"/>
            <w:vAlign w:val="top"/>
          </w:tcPr>
          <w:p>
            <w:pPr>
              <w:pStyle w:val="6"/>
              <w:spacing w:before="60" w:line="220" w:lineRule="auto"/>
              <w:ind w:left="190"/>
            </w:pPr>
            <w:r>
              <w:rPr>
                <w:rFonts w:ascii="Times New Roman" w:hAnsi="Times New Roman" w:eastAsia="Times New Roman" w:cs="Times New Roman"/>
                <w:spacing w:val="-1"/>
              </w:rPr>
              <w:t>K0+450</w:t>
            </w:r>
            <w:r>
              <w:rPr>
                <w:rFonts w:ascii="Times New Roman" w:hAnsi="Times New Roman" w:eastAsia="Times New Roman" w:cs="Times New Roman"/>
                <w:spacing w:val="28"/>
                <w:w w:val="101"/>
              </w:rPr>
              <w:t xml:space="preserve"> </w:t>
            </w:r>
            <w:r>
              <w:rPr>
                <w:spacing w:val="-1"/>
              </w:rPr>
              <w:t>附</w:t>
            </w:r>
          </w:p>
        </w:tc>
      </w:tr>
    </w:tbl>
    <w:p>
      <w:pPr>
        <w:pStyle w:val="2"/>
      </w:pPr>
    </w:p>
    <w:p>
      <w:pPr>
        <w:sectPr>
          <w:headerReference r:id="rId216" w:type="default"/>
          <w:footerReference r:id="rId217" w:type="default"/>
          <w:pgSz w:w="11907" w:h="16839"/>
          <w:pgMar w:top="1288" w:right="1633" w:bottom="1151" w:left="1673" w:header="1047" w:footer="990" w:gutter="0"/>
          <w:cols w:space="720" w:num="1"/>
        </w:sectPr>
      </w:pPr>
    </w:p>
    <w:p>
      <w:pPr>
        <w:spacing w:before="56"/>
      </w:pPr>
    </w:p>
    <w:tbl>
      <w:tblPr>
        <w:tblStyle w:val="5"/>
        <w:tblW w:w="8528"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3231"/>
        <w:gridCol w:w="1173"/>
        <w:gridCol w:w="1626"/>
        <w:gridCol w:w="660"/>
        <w:gridCol w:w="13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04" w:type="dxa"/>
            <w:vAlign w:val="top"/>
          </w:tcPr>
          <w:p>
            <w:pPr>
              <w:rPr>
                <w:rFonts w:ascii="Arial"/>
                <w:sz w:val="21"/>
              </w:rPr>
            </w:pPr>
          </w:p>
        </w:tc>
        <w:tc>
          <w:tcPr>
            <w:tcW w:w="3231" w:type="dxa"/>
            <w:vAlign w:val="top"/>
          </w:tcPr>
          <w:p>
            <w:pPr>
              <w:pStyle w:val="6"/>
              <w:spacing w:before="58" w:line="214" w:lineRule="auto"/>
              <w:ind w:left="230"/>
            </w:pPr>
            <w:r>
              <w:rPr>
                <w:spacing w:val="2"/>
              </w:rPr>
              <w:t>（</w:t>
            </w:r>
            <w:r>
              <w:rPr>
                <w:rFonts w:ascii="Times New Roman" w:hAnsi="Times New Roman" w:eastAsia="Times New Roman" w:cs="Times New Roman"/>
              </w:rPr>
              <w:t>Form</w:t>
            </w:r>
            <w:r>
              <w:rPr>
                <w:rFonts w:ascii="Times New Roman" w:hAnsi="Times New Roman" w:eastAsia="Times New Roman" w:cs="Times New Roman"/>
                <w:spacing w:val="2"/>
              </w:rPr>
              <w:t xml:space="preserve">. </w:t>
            </w:r>
            <w:r>
              <w:rPr>
                <w:rFonts w:ascii="Times New Roman" w:hAnsi="Times New Roman" w:eastAsia="Times New Roman" w:cs="Times New Roman"/>
                <w:i/>
                <w:iCs/>
              </w:rPr>
              <w:t>Dicranopteris</w:t>
            </w:r>
            <w:r>
              <w:rPr>
                <w:rFonts w:ascii="Times New Roman" w:hAnsi="Times New Roman" w:eastAsia="Times New Roman" w:cs="Times New Roman"/>
                <w:i/>
                <w:iCs/>
                <w:spacing w:val="-23"/>
              </w:rPr>
              <w:t xml:space="preserve"> </w:t>
            </w:r>
            <w:r>
              <w:rPr>
                <w:rFonts w:ascii="Times New Roman" w:hAnsi="Times New Roman" w:eastAsia="Times New Roman" w:cs="Times New Roman"/>
                <w:i/>
                <w:iCs/>
              </w:rPr>
              <w:t>pedata</w:t>
            </w:r>
            <w:r>
              <w:rPr>
                <w:spacing w:val="2"/>
              </w:rPr>
              <w:t>）</w:t>
            </w:r>
          </w:p>
        </w:tc>
        <w:tc>
          <w:tcPr>
            <w:tcW w:w="1173" w:type="dxa"/>
            <w:vAlign w:val="top"/>
          </w:tcPr>
          <w:p>
            <w:pPr>
              <w:rPr>
                <w:rFonts w:ascii="Arial"/>
                <w:sz w:val="21"/>
              </w:rPr>
            </w:pPr>
          </w:p>
        </w:tc>
        <w:tc>
          <w:tcPr>
            <w:tcW w:w="1626" w:type="dxa"/>
            <w:vAlign w:val="top"/>
          </w:tcPr>
          <w:p>
            <w:pPr>
              <w:spacing w:before="96" w:line="187"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N:27.82082136</w:t>
            </w:r>
          </w:p>
        </w:tc>
        <w:tc>
          <w:tcPr>
            <w:tcW w:w="660" w:type="dxa"/>
            <w:vAlign w:val="top"/>
          </w:tcPr>
          <w:p>
            <w:pPr>
              <w:pStyle w:val="6"/>
              <w:spacing w:before="58" w:line="224" w:lineRule="auto"/>
              <w:ind w:left="125"/>
            </w:pPr>
            <w:r>
              <w:rPr>
                <w:spacing w:val="-2"/>
              </w:rPr>
              <w:t>岙西</w:t>
            </w:r>
          </w:p>
        </w:tc>
        <w:tc>
          <w:tcPr>
            <w:tcW w:w="1334" w:type="dxa"/>
            <w:vAlign w:val="top"/>
          </w:tcPr>
          <w:p>
            <w:pPr>
              <w:pStyle w:val="6"/>
              <w:spacing w:before="58" w:line="228" w:lineRule="auto"/>
              <w:ind w:left="566"/>
            </w:pPr>
            <w:r>
              <w:t>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Align w:val="top"/>
          </w:tcPr>
          <w:p>
            <w:pPr>
              <w:spacing w:before="256" w:line="184" w:lineRule="auto"/>
              <w:ind w:left="206"/>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231" w:type="dxa"/>
            <w:vAlign w:val="top"/>
          </w:tcPr>
          <w:p>
            <w:pPr>
              <w:pStyle w:val="6"/>
              <w:spacing w:before="56" w:line="221" w:lineRule="auto"/>
              <w:ind w:left="1202"/>
            </w:pPr>
            <w:r>
              <w:rPr>
                <w:spacing w:val="-3"/>
              </w:rPr>
              <w:t>马尾松林</w:t>
            </w:r>
          </w:p>
          <w:p>
            <w:pPr>
              <w:pStyle w:val="6"/>
              <w:spacing w:before="66" w:line="227" w:lineRule="auto"/>
              <w:ind w:left="364"/>
            </w:pPr>
            <w:r>
              <w:rPr>
                <w:spacing w:val="-1"/>
              </w:rPr>
              <w:t>（</w:t>
            </w:r>
            <w:r>
              <w:rPr>
                <w:rFonts w:ascii="Times New Roman" w:hAnsi="Times New Roman" w:eastAsia="Times New Roman" w:cs="Times New Roman"/>
                <w:spacing w:val="-1"/>
              </w:rPr>
              <w:t xml:space="preserve">From. </w:t>
            </w:r>
            <w:r>
              <w:rPr>
                <w:rFonts w:ascii="Times New Roman" w:hAnsi="Times New Roman" w:eastAsia="Times New Roman" w:cs="Times New Roman"/>
                <w:i/>
                <w:iCs/>
                <w:spacing w:val="-1"/>
              </w:rPr>
              <w:t>Pinus massoniana</w:t>
            </w:r>
            <w:r>
              <w:rPr>
                <w:spacing w:val="-1"/>
              </w:rPr>
              <w:t>）</w:t>
            </w:r>
          </w:p>
        </w:tc>
        <w:tc>
          <w:tcPr>
            <w:tcW w:w="1173" w:type="dxa"/>
            <w:vAlign w:val="top"/>
          </w:tcPr>
          <w:p>
            <w:pPr>
              <w:spacing w:before="249" w:line="234"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20m×20m</w:t>
            </w:r>
          </w:p>
        </w:tc>
        <w:tc>
          <w:tcPr>
            <w:tcW w:w="1626" w:type="dxa"/>
            <w:vAlign w:val="top"/>
          </w:tcPr>
          <w:p>
            <w:pPr>
              <w:spacing w:before="95" w:line="317" w:lineRule="exact"/>
              <w:ind w:left="175"/>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E:119.9358773</w:t>
            </w:r>
          </w:p>
          <w:p>
            <w:pPr>
              <w:spacing w:line="186"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N:27.81505207</w:t>
            </w:r>
          </w:p>
        </w:tc>
        <w:tc>
          <w:tcPr>
            <w:tcW w:w="660" w:type="dxa"/>
            <w:vAlign w:val="top"/>
          </w:tcPr>
          <w:p>
            <w:pPr>
              <w:pStyle w:val="6"/>
              <w:spacing w:before="56" w:line="221" w:lineRule="auto"/>
              <w:ind w:left="127"/>
            </w:pPr>
            <w:r>
              <w:rPr>
                <w:spacing w:val="-2"/>
              </w:rPr>
              <w:t>派岩</w:t>
            </w:r>
          </w:p>
          <w:p>
            <w:pPr>
              <w:pStyle w:val="6"/>
              <w:spacing w:before="64" w:line="223" w:lineRule="auto"/>
              <w:ind w:left="234"/>
            </w:pPr>
            <w:r>
              <w:t>南</w:t>
            </w:r>
          </w:p>
        </w:tc>
        <w:tc>
          <w:tcPr>
            <w:tcW w:w="1334" w:type="dxa"/>
            <w:vAlign w:val="top"/>
          </w:tcPr>
          <w:p>
            <w:pPr>
              <w:pStyle w:val="6"/>
              <w:spacing w:before="56" w:line="253" w:lineRule="auto"/>
              <w:ind w:left="566" w:right="136" w:hanging="419"/>
            </w:pPr>
            <w:r>
              <w:rPr>
                <w:spacing w:val="-1"/>
              </w:rPr>
              <w:t>双坑隧道附</w:t>
            </w:r>
            <w:r>
              <w:t xml:space="preserve"> 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04" w:type="dxa"/>
            <w:vAlign w:val="top"/>
          </w:tcPr>
          <w:p>
            <w:pPr>
              <w:spacing w:before="254" w:line="187" w:lineRule="auto"/>
              <w:ind w:left="205"/>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231" w:type="dxa"/>
            <w:vAlign w:val="top"/>
          </w:tcPr>
          <w:p>
            <w:pPr>
              <w:pStyle w:val="6"/>
              <w:spacing w:before="54" w:line="221" w:lineRule="auto"/>
              <w:ind w:left="990"/>
            </w:pPr>
            <w:r>
              <w:rPr>
                <w:spacing w:val="-2"/>
              </w:rPr>
              <w:t>五节芒灌草丛</w:t>
            </w:r>
          </w:p>
          <w:p>
            <w:pPr>
              <w:pStyle w:val="6"/>
              <w:spacing w:before="68" w:line="213" w:lineRule="auto"/>
              <w:ind w:left="213"/>
            </w:pPr>
            <w:r>
              <w:rPr>
                <w:spacing w:val="5"/>
              </w:rPr>
              <w:t>（</w:t>
            </w:r>
            <w:r>
              <w:rPr>
                <w:rFonts w:ascii="Times New Roman" w:hAnsi="Times New Roman" w:eastAsia="Times New Roman" w:cs="Times New Roman"/>
              </w:rPr>
              <w:t>From</w:t>
            </w:r>
            <w:r>
              <w:rPr>
                <w:rFonts w:ascii="Times New Roman" w:hAnsi="Times New Roman" w:eastAsia="Times New Roman" w:cs="Times New Roman"/>
                <w:spacing w:val="5"/>
              </w:rPr>
              <w:t xml:space="preserve">. </w:t>
            </w:r>
            <w:r>
              <w:rPr>
                <w:rFonts w:ascii="Times New Roman" w:hAnsi="Times New Roman" w:eastAsia="Times New Roman" w:cs="Times New Roman"/>
                <w:i/>
                <w:iCs/>
              </w:rPr>
              <w:t>Miscanthus</w:t>
            </w:r>
            <w:r>
              <w:rPr>
                <w:rFonts w:ascii="Times New Roman" w:hAnsi="Times New Roman" w:eastAsia="Times New Roman" w:cs="Times New Roman"/>
                <w:i/>
                <w:iCs/>
                <w:spacing w:val="-34"/>
              </w:rPr>
              <w:t xml:space="preserve"> </w:t>
            </w:r>
            <w:r>
              <w:rPr>
                <w:rFonts w:ascii="Times New Roman" w:hAnsi="Times New Roman" w:eastAsia="Times New Roman" w:cs="Times New Roman"/>
                <w:i/>
                <w:iCs/>
              </w:rPr>
              <w:t>floridulus</w:t>
            </w:r>
            <w:r>
              <w:rPr>
                <w:spacing w:val="5"/>
              </w:rPr>
              <w:t>）</w:t>
            </w:r>
          </w:p>
        </w:tc>
        <w:tc>
          <w:tcPr>
            <w:tcW w:w="1173" w:type="dxa"/>
            <w:vAlign w:val="top"/>
          </w:tcPr>
          <w:p>
            <w:pPr>
              <w:spacing w:before="254"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2m×2m</w:t>
            </w:r>
          </w:p>
        </w:tc>
        <w:tc>
          <w:tcPr>
            <w:tcW w:w="1626" w:type="dxa"/>
            <w:vAlign w:val="top"/>
          </w:tcPr>
          <w:p>
            <w:pPr>
              <w:spacing w:before="93" w:line="320" w:lineRule="exact"/>
              <w:ind w:left="175"/>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E:119.9371862</w:t>
            </w:r>
          </w:p>
          <w:p>
            <w:pPr>
              <w:spacing w:line="186"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N:27.8104592</w:t>
            </w:r>
          </w:p>
        </w:tc>
        <w:tc>
          <w:tcPr>
            <w:tcW w:w="660" w:type="dxa"/>
            <w:vAlign w:val="top"/>
          </w:tcPr>
          <w:p>
            <w:pPr>
              <w:pStyle w:val="6"/>
              <w:spacing w:before="55" w:line="250" w:lineRule="auto"/>
              <w:ind w:left="126" w:right="114" w:firstLine="2"/>
            </w:pPr>
            <w:r>
              <w:rPr>
                <w:spacing w:val="-5"/>
              </w:rPr>
              <w:t>前垟</w:t>
            </w:r>
            <w:r>
              <w:t xml:space="preserve"> </w:t>
            </w:r>
            <w:r>
              <w:rPr>
                <w:spacing w:val="-4"/>
              </w:rPr>
              <w:t>村北</w:t>
            </w:r>
          </w:p>
        </w:tc>
        <w:tc>
          <w:tcPr>
            <w:tcW w:w="1334" w:type="dxa"/>
            <w:vAlign w:val="top"/>
          </w:tcPr>
          <w:p>
            <w:pPr>
              <w:pStyle w:val="6"/>
              <w:spacing w:before="55" w:line="254" w:lineRule="auto"/>
              <w:ind w:left="566" w:right="136" w:hanging="419"/>
            </w:pPr>
            <w:r>
              <w:rPr>
                <w:spacing w:val="-1"/>
              </w:rPr>
              <w:t>双坑隧道附</w:t>
            </w:r>
            <w:r>
              <w:t xml:space="preserve"> 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04" w:type="dxa"/>
            <w:vAlign w:val="top"/>
          </w:tcPr>
          <w:p>
            <w:pPr>
              <w:spacing w:before="257" w:line="184"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231" w:type="dxa"/>
            <w:vAlign w:val="top"/>
          </w:tcPr>
          <w:p>
            <w:pPr>
              <w:pStyle w:val="6"/>
              <w:spacing w:before="54" w:line="221" w:lineRule="auto"/>
              <w:ind w:left="990"/>
            </w:pPr>
            <w:r>
              <w:rPr>
                <w:spacing w:val="-2"/>
              </w:rPr>
              <w:t>五节芒灌草丛</w:t>
            </w:r>
          </w:p>
          <w:p>
            <w:pPr>
              <w:pStyle w:val="6"/>
              <w:spacing w:before="68" w:line="213" w:lineRule="auto"/>
              <w:ind w:left="213"/>
            </w:pPr>
            <w:r>
              <w:rPr>
                <w:spacing w:val="5"/>
              </w:rPr>
              <w:t>（</w:t>
            </w:r>
            <w:r>
              <w:rPr>
                <w:rFonts w:ascii="Times New Roman" w:hAnsi="Times New Roman" w:eastAsia="Times New Roman" w:cs="Times New Roman"/>
              </w:rPr>
              <w:t>From</w:t>
            </w:r>
            <w:r>
              <w:rPr>
                <w:rFonts w:ascii="Times New Roman" w:hAnsi="Times New Roman" w:eastAsia="Times New Roman" w:cs="Times New Roman"/>
                <w:spacing w:val="5"/>
              </w:rPr>
              <w:t xml:space="preserve">. </w:t>
            </w:r>
            <w:r>
              <w:rPr>
                <w:rFonts w:ascii="Times New Roman" w:hAnsi="Times New Roman" w:eastAsia="Times New Roman" w:cs="Times New Roman"/>
                <w:i/>
                <w:iCs/>
              </w:rPr>
              <w:t>Miscanthus</w:t>
            </w:r>
            <w:r>
              <w:rPr>
                <w:rFonts w:ascii="Times New Roman" w:hAnsi="Times New Roman" w:eastAsia="Times New Roman" w:cs="Times New Roman"/>
                <w:i/>
                <w:iCs/>
                <w:spacing w:val="-34"/>
              </w:rPr>
              <w:t xml:space="preserve"> </w:t>
            </w:r>
            <w:r>
              <w:rPr>
                <w:rFonts w:ascii="Times New Roman" w:hAnsi="Times New Roman" w:eastAsia="Times New Roman" w:cs="Times New Roman"/>
                <w:i/>
                <w:iCs/>
              </w:rPr>
              <w:t>floridulus</w:t>
            </w:r>
            <w:r>
              <w:rPr>
                <w:spacing w:val="5"/>
              </w:rPr>
              <w:t>）</w:t>
            </w:r>
          </w:p>
        </w:tc>
        <w:tc>
          <w:tcPr>
            <w:tcW w:w="1173" w:type="dxa"/>
            <w:vAlign w:val="top"/>
          </w:tcPr>
          <w:p>
            <w:pPr>
              <w:spacing w:before="254"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2m×2m</w:t>
            </w:r>
          </w:p>
        </w:tc>
        <w:tc>
          <w:tcPr>
            <w:tcW w:w="1626" w:type="dxa"/>
            <w:vAlign w:val="top"/>
          </w:tcPr>
          <w:p>
            <w:pPr>
              <w:spacing w:before="93" w:line="320" w:lineRule="exact"/>
              <w:ind w:left="175"/>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E:119.9248052</w:t>
            </w:r>
          </w:p>
          <w:p>
            <w:pPr>
              <w:spacing w:line="186"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N:27.81463455</w:t>
            </w:r>
          </w:p>
        </w:tc>
        <w:tc>
          <w:tcPr>
            <w:tcW w:w="660" w:type="dxa"/>
            <w:vAlign w:val="top"/>
          </w:tcPr>
          <w:p>
            <w:pPr>
              <w:pStyle w:val="6"/>
              <w:spacing w:before="55" w:line="251" w:lineRule="auto"/>
              <w:ind w:left="132" w:right="114" w:hanging="4"/>
            </w:pPr>
            <w:r>
              <w:rPr>
                <w:spacing w:val="-5"/>
              </w:rPr>
              <w:t>南坑</w:t>
            </w:r>
            <w:r>
              <w:t xml:space="preserve"> </w:t>
            </w:r>
            <w:r>
              <w:rPr>
                <w:spacing w:val="-7"/>
              </w:rPr>
              <w:t>下西</w:t>
            </w:r>
          </w:p>
        </w:tc>
        <w:tc>
          <w:tcPr>
            <w:tcW w:w="1334" w:type="dxa"/>
            <w:vAlign w:val="top"/>
          </w:tcPr>
          <w:p>
            <w:pPr>
              <w:pStyle w:val="6"/>
              <w:spacing w:before="54" w:line="254" w:lineRule="auto"/>
              <w:ind w:left="566" w:right="136" w:hanging="414"/>
            </w:pPr>
            <w:r>
              <w:rPr>
                <w:spacing w:val="-2"/>
              </w:rPr>
              <w:t>西坑互通附</w:t>
            </w:r>
            <w:r>
              <w:t xml:space="preserve"> 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04" w:type="dxa"/>
            <w:vAlign w:val="top"/>
          </w:tcPr>
          <w:p>
            <w:pPr>
              <w:spacing w:before="255" w:line="187" w:lineRule="auto"/>
              <w:ind w:left="209"/>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3231" w:type="dxa"/>
            <w:vAlign w:val="top"/>
          </w:tcPr>
          <w:p>
            <w:pPr>
              <w:pStyle w:val="6"/>
              <w:spacing w:before="55" w:line="221" w:lineRule="auto"/>
              <w:ind w:left="1302"/>
            </w:pPr>
            <w:r>
              <w:rPr>
                <w:spacing w:val="-2"/>
              </w:rPr>
              <w:t>毛竹林</w:t>
            </w:r>
          </w:p>
          <w:p>
            <w:pPr>
              <w:pStyle w:val="6"/>
              <w:spacing w:before="68" w:line="213" w:lineRule="auto"/>
              <w:ind w:left="271"/>
            </w:pPr>
            <w:r>
              <w:rPr>
                <w:spacing w:val="9"/>
              </w:rPr>
              <w:t>（</w:t>
            </w:r>
            <w:r>
              <w:rPr>
                <w:rFonts w:ascii="Times New Roman" w:hAnsi="Times New Roman" w:eastAsia="Times New Roman" w:cs="Times New Roman"/>
              </w:rPr>
              <w:t>From</w:t>
            </w:r>
            <w:r>
              <w:rPr>
                <w:rFonts w:ascii="Times New Roman" w:hAnsi="Times New Roman" w:eastAsia="Times New Roman" w:cs="Times New Roman"/>
                <w:spacing w:val="9"/>
              </w:rPr>
              <w:t xml:space="preserve">. </w:t>
            </w:r>
            <w:r>
              <w:rPr>
                <w:rFonts w:ascii="Times New Roman" w:hAnsi="Times New Roman" w:eastAsia="Times New Roman" w:cs="Times New Roman"/>
                <w:i/>
                <w:iCs/>
              </w:rPr>
              <w:t>Phyllostachysedulis</w:t>
            </w:r>
            <w:r>
              <w:rPr>
                <w:spacing w:val="9"/>
              </w:rPr>
              <w:t>）</w:t>
            </w:r>
          </w:p>
        </w:tc>
        <w:tc>
          <w:tcPr>
            <w:tcW w:w="1173" w:type="dxa"/>
            <w:vAlign w:val="top"/>
          </w:tcPr>
          <w:p>
            <w:pPr>
              <w:spacing w:before="251" w:line="234"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20m×20m</w:t>
            </w:r>
          </w:p>
        </w:tc>
        <w:tc>
          <w:tcPr>
            <w:tcW w:w="1626" w:type="dxa"/>
            <w:vAlign w:val="top"/>
          </w:tcPr>
          <w:p>
            <w:pPr>
              <w:spacing w:before="94" w:line="320" w:lineRule="exact"/>
              <w:ind w:left="228"/>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E:119.940834</w:t>
            </w:r>
          </w:p>
          <w:p>
            <w:pPr>
              <w:spacing w:line="186"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N:27.83573658</w:t>
            </w:r>
          </w:p>
        </w:tc>
        <w:tc>
          <w:tcPr>
            <w:tcW w:w="660" w:type="dxa"/>
            <w:vAlign w:val="top"/>
          </w:tcPr>
          <w:p>
            <w:pPr>
              <w:pStyle w:val="6"/>
              <w:spacing w:before="56" w:line="222" w:lineRule="auto"/>
              <w:ind w:left="125"/>
            </w:pPr>
            <w:r>
              <w:rPr>
                <w:spacing w:val="-2"/>
              </w:rPr>
              <w:t>竹园</w:t>
            </w:r>
          </w:p>
          <w:p>
            <w:pPr>
              <w:pStyle w:val="6"/>
              <w:spacing w:before="66" w:line="222" w:lineRule="auto"/>
              <w:ind w:left="233"/>
            </w:pPr>
            <w:r>
              <w:t>寮</w:t>
            </w:r>
          </w:p>
        </w:tc>
        <w:tc>
          <w:tcPr>
            <w:tcW w:w="1334" w:type="dxa"/>
            <w:vAlign w:val="top"/>
          </w:tcPr>
          <w:p>
            <w:pPr>
              <w:pStyle w:val="6"/>
              <w:spacing w:before="57" w:line="252" w:lineRule="auto"/>
              <w:ind w:left="284" w:right="193" w:hanging="86"/>
            </w:pPr>
            <w:r>
              <w:rPr>
                <w:rFonts w:ascii="Times New Roman" w:hAnsi="Times New Roman" w:eastAsia="Times New Roman" w:cs="Times New Roman"/>
                <w:spacing w:val="-1"/>
              </w:rPr>
              <w:t xml:space="preserve">L1L2 </w:t>
            </w:r>
            <w:r>
              <w:rPr>
                <w:spacing w:val="-1"/>
              </w:rPr>
              <w:t>平脚</w:t>
            </w:r>
            <w:r>
              <w:rPr>
                <w:spacing w:val="3"/>
              </w:rPr>
              <w:t xml:space="preserve"> </w:t>
            </w:r>
            <w:r>
              <w:rPr>
                <w:spacing w:val="-10"/>
              </w:rPr>
              <w:t>口终点北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04" w:type="dxa"/>
            <w:vAlign w:val="top"/>
          </w:tcPr>
          <w:p>
            <w:pPr>
              <w:spacing w:before="255" w:line="187" w:lineRule="auto"/>
              <w:ind w:left="205"/>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3231" w:type="dxa"/>
            <w:vAlign w:val="top"/>
          </w:tcPr>
          <w:p>
            <w:pPr>
              <w:pStyle w:val="6"/>
              <w:spacing w:before="55" w:line="221" w:lineRule="auto"/>
              <w:ind w:left="1302"/>
            </w:pPr>
            <w:r>
              <w:rPr>
                <w:spacing w:val="-2"/>
              </w:rPr>
              <w:t>毛竹林</w:t>
            </w:r>
          </w:p>
          <w:p>
            <w:pPr>
              <w:pStyle w:val="6"/>
              <w:spacing w:before="69" w:line="213" w:lineRule="auto"/>
              <w:ind w:left="271"/>
            </w:pPr>
            <w:r>
              <w:rPr>
                <w:spacing w:val="9"/>
              </w:rPr>
              <w:t>（</w:t>
            </w:r>
            <w:r>
              <w:rPr>
                <w:rFonts w:ascii="Times New Roman" w:hAnsi="Times New Roman" w:eastAsia="Times New Roman" w:cs="Times New Roman"/>
              </w:rPr>
              <w:t>From</w:t>
            </w:r>
            <w:r>
              <w:rPr>
                <w:rFonts w:ascii="Times New Roman" w:hAnsi="Times New Roman" w:eastAsia="Times New Roman" w:cs="Times New Roman"/>
                <w:spacing w:val="9"/>
              </w:rPr>
              <w:t xml:space="preserve">. </w:t>
            </w:r>
            <w:r>
              <w:rPr>
                <w:rFonts w:ascii="Times New Roman" w:hAnsi="Times New Roman" w:eastAsia="Times New Roman" w:cs="Times New Roman"/>
                <w:i/>
                <w:iCs/>
              </w:rPr>
              <w:t>Phyllostachysedulis</w:t>
            </w:r>
            <w:r>
              <w:rPr>
                <w:spacing w:val="9"/>
              </w:rPr>
              <w:t>）</w:t>
            </w:r>
          </w:p>
        </w:tc>
        <w:tc>
          <w:tcPr>
            <w:tcW w:w="1173" w:type="dxa"/>
            <w:vAlign w:val="top"/>
          </w:tcPr>
          <w:p>
            <w:pPr>
              <w:spacing w:before="251" w:line="234"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20m×20m</w:t>
            </w:r>
          </w:p>
        </w:tc>
        <w:tc>
          <w:tcPr>
            <w:tcW w:w="1626" w:type="dxa"/>
            <w:vAlign w:val="top"/>
          </w:tcPr>
          <w:p>
            <w:pPr>
              <w:spacing w:before="94" w:line="320" w:lineRule="exact"/>
              <w:ind w:left="175"/>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E:119.9610043</w:t>
            </w:r>
          </w:p>
          <w:p>
            <w:pPr>
              <w:spacing w:line="186"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N:27.82662829</w:t>
            </w:r>
          </w:p>
        </w:tc>
        <w:tc>
          <w:tcPr>
            <w:tcW w:w="660" w:type="dxa"/>
            <w:vAlign w:val="top"/>
          </w:tcPr>
          <w:p>
            <w:pPr>
              <w:pStyle w:val="6"/>
              <w:spacing w:before="57" w:line="250" w:lineRule="auto"/>
              <w:ind w:left="231" w:right="114" w:hanging="105"/>
            </w:pPr>
            <w:r>
              <w:rPr>
                <w:spacing w:val="-4"/>
              </w:rPr>
              <w:t>江山</w:t>
            </w:r>
            <w:r>
              <w:t xml:space="preserve"> 村</w:t>
            </w:r>
          </w:p>
        </w:tc>
        <w:tc>
          <w:tcPr>
            <w:tcW w:w="1334" w:type="dxa"/>
            <w:vAlign w:val="top"/>
          </w:tcPr>
          <w:p>
            <w:pPr>
              <w:pStyle w:val="6"/>
              <w:spacing w:before="55" w:line="254" w:lineRule="auto"/>
              <w:ind w:left="565" w:right="186" w:hanging="375"/>
            </w:pPr>
            <w:r>
              <w:rPr>
                <w:rFonts w:ascii="Times New Roman" w:hAnsi="Times New Roman" w:eastAsia="Times New Roman" w:cs="Times New Roman"/>
                <w:spacing w:val="-4"/>
              </w:rPr>
              <w:t>K4+220</w:t>
            </w:r>
            <w:r>
              <w:rPr>
                <w:rFonts w:ascii="Times New Roman" w:hAnsi="Times New Roman" w:eastAsia="Times New Roman" w:cs="Times New Roman"/>
                <w:spacing w:val="26"/>
              </w:rPr>
              <w:t xml:space="preserve"> </w:t>
            </w:r>
            <w:r>
              <w:rPr>
                <w:spacing w:val="-4"/>
              </w:rPr>
              <w:t>附</w:t>
            </w:r>
            <w:r>
              <w:t xml:space="preserve"> 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504" w:type="dxa"/>
            <w:vAlign w:val="top"/>
          </w:tcPr>
          <w:p>
            <w:pPr>
              <w:spacing w:line="255" w:lineRule="auto"/>
              <w:rPr>
                <w:rFonts w:ascii="Arial"/>
                <w:sz w:val="21"/>
              </w:rPr>
            </w:pPr>
          </w:p>
          <w:p>
            <w:pPr>
              <w:spacing w:line="256" w:lineRule="auto"/>
              <w:rPr>
                <w:rFonts w:ascii="Arial"/>
                <w:sz w:val="21"/>
              </w:rPr>
            </w:pPr>
          </w:p>
          <w:p>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3231" w:type="dxa"/>
            <w:vAlign w:val="top"/>
          </w:tcPr>
          <w:p>
            <w:pPr>
              <w:pStyle w:val="6"/>
              <w:spacing w:before="56" w:line="220" w:lineRule="auto"/>
              <w:ind w:left="988"/>
            </w:pPr>
            <w:r>
              <w:rPr>
                <w:spacing w:val="-2"/>
              </w:rPr>
              <w:t>杉木、柳杉林</w:t>
            </w:r>
          </w:p>
          <w:p>
            <w:pPr>
              <w:pStyle w:val="6"/>
              <w:spacing w:before="69" w:line="213" w:lineRule="auto"/>
              <w:ind w:left="143"/>
              <w:rPr>
                <w:rFonts w:ascii="Times New Roman" w:hAnsi="Times New Roman" w:eastAsia="Times New Roman" w:cs="Times New Roman"/>
              </w:rPr>
            </w:pPr>
            <w:r>
              <w:t>（</w:t>
            </w:r>
            <w:r>
              <w:rPr>
                <w:rFonts w:ascii="Times New Roman" w:hAnsi="Times New Roman" w:eastAsia="Times New Roman" w:cs="Times New Roman"/>
              </w:rPr>
              <w:t xml:space="preserve">From. </w:t>
            </w:r>
            <w:r>
              <w:rPr>
                <w:rFonts w:ascii="Times New Roman" w:hAnsi="Times New Roman" w:eastAsia="Times New Roman" w:cs="Times New Roman"/>
                <w:i/>
                <w:iCs/>
              </w:rPr>
              <w:t xml:space="preserve">Cunninghamia </w:t>
            </w:r>
            <w:r>
              <w:rPr>
                <w:rFonts w:ascii="Times New Roman" w:hAnsi="Times New Roman" w:eastAsia="Times New Roman" w:cs="Times New Roman"/>
                <w:i/>
                <w:iCs/>
                <w:spacing w:val="-1"/>
              </w:rPr>
              <w:t>lanceolata</w:t>
            </w:r>
          </w:p>
          <w:p>
            <w:pPr>
              <w:pStyle w:val="6"/>
              <w:spacing w:before="112" w:line="252" w:lineRule="auto"/>
              <w:ind w:left="1062" w:right="504" w:hanging="552"/>
            </w:pPr>
            <w:r>
              <w:rPr>
                <w:rFonts w:ascii="Times New Roman" w:hAnsi="Times New Roman" w:eastAsia="Times New Roman" w:cs="Times New Roman"/>
                <w:i/>
                <w:iCs/>
              </w:rPr>
              <w:t>Cryptomeria</w:t>
            </w:r>
            <w:r>
              <w:rPr>
                <w:rFonts w:ascii="Times New Roman" w:hAnsi="Times New Roman" w:eastAsia="Times New Roman" w:cs="Times New Roman"/>
                <w:i/>
                <w:iCs/>
                <w:spacing w:val="-36"/>
              </w:rPr>
              <w:t xml:space="preserve"> </w:t>
            </w:r>
            <w:r>
              <w:rPr>
                <w:rFonts w:ascii="Times New Roman" w:hAnsi="Times New Roman" w:eastAsia="Times New Roman" w:cs="Times New Roman"/>
                <w:i/>
                <w:iCs/>
              </w:rPr>
              <w:t>japonica var. sinensis</w:t>
            </w:r>
            <w:r>
              <w:t>））</w:t>
            </w:r>
          </w:p>
        </w:tc>
        <w:tc>
          <w:tcPr>
            <w:tcW w:w="1173" w:type="dxa"/>
            <w:vAlign w:val="top"/>
          </w:tcPr>
          <w:p>
            <w:pPr>
              <w:spacing w:line="253" w:lineRule="auto"/>
              <w:rPr>
                <w:rFonts w:ascii="Arial"/>
                <w:sz w:val="21"/>
              </w:rPr>
            </w:pPr>
          </w:p>
          <w:p>
            <w:pPr>
              <w:spacing w:line="254" w:lineRule="auto"/>
              <w:rPr>
                <w:rFonts w:ascii="Arial"/>
                <w:sz w:val="21"/>
              </w:rPr>
            </w:pPr>
          </w:p>
          <w:p>
            <w:pPr>
              <w:spacing w:before="61" w:line="234"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20m×20m</w:t>
            </w:r>
          </w:p>
        </w:tc>
        <w:tc>
          <w:tcPr>
            <w:tcW w:w="1626" w:type="dxa"/>
            <w:vAlign w:val="top"/>
          </w:tcPr>
          <w:p>
            <w:pPr>
              <w:spacing w:line="352" w:lineRule="auto"/>
              <w:rPr>
                <w:rFonts w:ascii="Arial"/>
                <w:sz w:val="21"/>
              </w:rPr>
            </w:pPr>
          </w:p>
          <w:p>
            <w:pPr>
              <w:spacing w:before="60" w:line="319" w:lineRule="exact"/>
              <w:ind w:left="175"/>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E:119.9775696</w:t>
            </w:r>
          </w:p>
          <w:p>
            <w:pPr>
              <w:spacing w:line="186"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N:27.84180835</w:t>
            </w:r>
          </w:p>
        </w:tc>
        <w:tc>
          <w:tcPr>
            <w:tcW w:w="660" w:type="dxa"/>
            <w:vAlign w:val="top"/>
          </w:tcPr>
          <w:p>
            <w:pPr>
              <w:spacing w:line="306" w:lineRule="auto"/>
              <w:rPr>
                <w:rFonts w:ascii="Arial"/>
                <w:sz w:val="21"/>
              </w:rPr>
            </w:pPr>
          </w:p>
          <w:p>
            <w:pPr>
              <w:pStyle w:val="6"/>
              <w:spacing w:before="68" w:line="250" w:lineRule="auto"/>
              <w:ind w:left="231" w:right="114" w:hanging="105"/>
            </w:pPr>
            <w:r>
              <w:rPr>
                <w:spacing w:val="-4"/>
              </w:rPr>
              <w:t>莲塘</w:t>
            </w:r>
            <w:r>
              <w:t xml:space="preserve"> 村</w:t>
            </w:r>
          </w:p>
        </w:tc>
        <w:tc>
          <w:tcPr>
            <w:tcW w:w="1334" w:type="dxa"/>
            <w:vAlign w:val="top"/>
          </w:tcPr>
          <w:p>
            <w:pPr>
              <w:spacing w:line="305" w:lineRule="auto"/>
              <w:rPr>
                <w:rFonts w:ascii="Arial"/>
                <w:sz w:val="21"/>
              </w:rPr>
            </w:pPr>
          </w:p>
          <w:p>
            <w:pPr>
              <w:pStyle w:val="6"/>
              <w:spacing w:before="68" w:line="255" w:lineRule="auto"/>
              <w:ind w:left="566" w:right="136" w:hanging="414"/>
            </w:pPr>
            <w:r>
              <w:rPr>
                <w:spacing w:val="-2"/>
              </w:rPr>
              <w:t>西坑互通附</w:t>
            </w:r>
            <w:r>
              <w:t xml:space="preserve"> 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04" w:type="dxa"/>
            <w:vAlign w:val="top"/>
          </w:tcPr>
          <w:p>
            <w:pPr>
              <w:spacing w:before="256"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3231" w:type="dxa"/>
            <w:vAlign w:val="top"/>
          </w:tcPr>
          <w:p>
            <w:pPr>
              <w:pStyle w:val="6"/>
              <w:spacing w:before="56" w:line="221" w:lineRule="auto"/>
              <w:ind w:left="990"/>
            </w:pPr>
            <w:r>
              <w:rPr>
                <w:spacing w:val="-2"/>
              </w:rPr>
              <w:t>五节芒灌草丛</w:t>
            </w:r>
          </w:p>
          <w:p>
            <w:pPr>
              <w:pStyle w:val="6"/>
              <w:spacing w:before="68" w:line="213" w:lineRule="auto"/>
              <w:ind w:left="213"/>
            </w:pPr>
            <w:r>
              <w:rPr>
                <w:spacing w:val="5"/>
              </w:rPr>
              <w:t>（</w:t>
            </w:r>
            <w:r>
              <w:rPr>
                <w:rFonts w:ascii="Times New Roman" w:hAnsi="Times New Roman" w:eastAsia="Times New Roman" w:cs="Times New Roman"/>
              </w:rPr>
              <w:t>From</w:t>
            </w:r>
            <w:r>
              <w:rPr>
                <w:rFonts w:ascii="Times New Roman" w:hAnsi="Times New Roman" w:eastAsia="Times New Roman" w:cs="Times New Roman"/>
                <w:spacing w:val="5"/>
              </w:rPr>
              <w:t xml:space="preserve">. </w:t>
            </w:r>
            <w:r>
              <w:rPr>
                <w:rFonts w:ascii="Times New Roman" w:hAnsi="Times New Roman" w:eastAsia="Times New Roman" w:cs="Times New Roman"/>
                <w:i/>
                <w:iCs/>
              </w:rPr>
              <w:t>Miscanthus</w:t>
            </w:r>
            <w:r>
              <w:rPr>
                <w:rFonts w:ascii="Times New Roman" w:hAnsi="Times New Roman" w:eastAsia="Times New Roman" w:cs="Times New Roman"/>
                <w:i/>
                <w:iCs/>
                <w:spacing w:val="-34"/>
              </w:rPr>
              <w:t xml:space="preserve"> </w:t>
            </w:r>
            <w:r>
              <w:rPr>
                <w:rFonts w:ascii="Times New Roman" w:hAnsi="Times New Roman" w:eastAsia="Times New Roman" w:cs="Times New Roman"/>
                <w:i/>
                <w:iCs/>
              </w:rPr>
              <w:t>floridulus</w:t>
            </w:r>
            <w:r>
              <w:rPr>
                <w:spacing w:val="5"/>
              </w:rPr>
              <w:t>）</w:t>
            </w:r>
          </w:p>
        </w:tc>
        <w:tc>
          <w:tcPr>
            <w:tcW w:w="1173" w:type="dxa"/>
            <w:vAlign w:val="top"/>
          </w:tcPr>
          <w:p>
            <w:pPr>
              <w:spacing w:before="256"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2m×2m</w:t>
            </w:r>
          </w:p>
        </w:tc>
        <w:tc>
          <w:tcPr>
            <w:tcW w:w="1626" w:type="dxa"/>
            <w:vAlign w:val="top"/>
          </w:tcPr>
          <w:p>
            <w:pPr>
              <w:spacing w:before="95" w:line="320" w:lineRule="exact"/>
              <w:ind w:left="175"/>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E:119.9625814</w:t>
            </w:r>
          </w:p>
          <w:p>
            <w:pPr>
              <w:spacing w:line="186"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N:27.82883902</w:t>
            </w:r>
          </w:p>
        </w:tc>
        <w:tc>
          <w:tcPr>
            <w:tcW w:w="660" w:type="dxa"/>
            <w:vAlign w:val="top"/>
          </w:tcPr>
          <w:p>
            <w:pPr>
              <w:pStyle w:val="6"/>
              <w:spacing w:before="57" w:line="250" w:lineRule="auto"/>
              <w:ind w:left="126" w:right="114"/>
            </w:pPr>
            <w:r>
              <w:rPr>
                <w:spacing w:val="-4"/>
              </w:rPr>
              <w:t>江山</w:t>
            </w:r>
            <w:r>
              <w:t xml:space="preserve"> </w:t>
            </w:r>
            <w:r>
              <w:rPr>
                <w:spacing w:val="-4"/>
              </w:rPr>
              <w:t>村北</w:t>
            </w:r>
          </w:p>
        </w:tc>
        <w:tc>
          <w:tcPr>
            <w:tcW w:w="1334" w:type="dxa"/>
            <w:vAlign w:val="top"/>
          </w:tcPr>
          <w:p>
            <w:pPr>
              <w:pStyle w:val="6"/>
              <w:spacing w:before="57" w:line="253" w:lineRule="auto"/>
              <w:ind w:left="565" w:right="186" w:hanging="375"/>
            </w:pPr>
            <w:r>
              <w:rPr>
                <w:rFonts w:ascii="Times New Roman" w:hAnsi="Times New Roman" w:eastAsia="Times New Roman" w:cs="Times New Roman"/>
                <w:spacing w:val="-4"/>
              </w:rPr>
              <w:t>K4+450</w:t>
            </w:r>
            <w:r>
              <w:rPr>
                <w:rFonts w:ascii="Times New Roman" w:hAnsi="Times New Roman" w:eastAsia="Times New Roman" w:cs="Times New Roman"/>
                <w:spacing w:val="26"/>
              </w:rPr>
              <w:t xml:space="preserve"> </w:t>
            </w:r>
            <w:r>
              <w:rPr>
                <w:spacing w:val="-4"/>
              </w:rPr>
              <w:t>附</w:t>
            </w:r>
            <w:r>
              <w:t xml:space="preserve"> 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504" w:type="dxa"/>
            <w:vAlign w:val="top"/>
          </w:tcPr>
          <w:p>
            <w:pPr>
              <w:spacing w:line="256" w:lineRule="auto"/>
              <w:rPr>
                <w:rFonts w:ascii="Arial"/>
                <w:sz w:val="21"/>
              </w:rPr>
            </w:pPr>
          </w:p>
          <w:p>
            <w:pPr>
              <w:spacing w:line="256" w:lineRule="auto"/>
              <w:rPr>
                <w:rFonts w:ascii="Arial"/>
                <w:sz w:val="21"/>
              </w:rPr>
            </w:pPr>
          </w:p>
          <w:p>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3231" w:type="dxa"/>
            <w:vAlign w:val="top"/>
          </w:tcPr>
          <w:p>
            <w:pPr>
              <w:pStyle w:val="6"/>
              <w:spacing w:before="57" w:line="220" w:lineRule="auto"/>
              <w:ind w:left="988"/>
            </w:pPr>
            <w:r>
              <w:rPr>
                <w:spacing w:val="-2"/>
              </w:rPr>
              <w:t>杉木、柳杉林</w:t>
            </w:r>
          </w:p>
          <w:p>
            <w:pPr>
              <w:pStyle w:val="6"/>
              <w:spacing w:before="69" w:line="213" w:lineRule="auto"/>
              <w:ind w:left="143"/>
              <w:rPr>
                <w:rFonts w:ascii="Times New Roman" w:hAnsi="Times New Roman" w:eastAsia="Times New Roman" w:cs="Times New Roman"/>
              </w:rPr>
            </w:pPr>
            <w:r>
              <w:t>（</w:t>
            </w:r>
            <w:r>
              <w:rPr>
                <w:rFonts w:ascii="Times New Roman" w:hAnsi="Times New Roman" w:eastAsia="Times New Roman" w:cs="Times New Roman"/>
              </w:rPr>
              <w:t xml:space="preserve">From. </w:t>
            </w:r>
            <w:r>
              <w:rPr>
                <w:rFonts w:ascii="Times New Roman" w:hAnsi="Times New Roman" w:eastAsia="Times New Roman" w:cs="Times New Roman"/>
                <w:i/>
                <w:iCs/>
              </w:rPr>
              <w:t xml:space="preserve">Cunninghamia </w:t>
            </w:r>
            <w:r>
              <w:rPr>
                <w:rFonts w:ascii="Times New Roman" w:hAnsi="Times New Roman" w:eastAsia="Times New Roman" w:cs="Times New Roman"/>
                <w:i/>
                <w:iCs/>
                <w:spacing w:val="-1"/>
              </w:rPr>
              <w:t>lanceolata</w:t>
            </w:r>
          </w:p>
          <w:p>
            <w:pPr>
              <w:pStyle w:val="6"/>
              <w:spacing w:before="111" w:line="252" w:lineRule="auto"/>
              <w:ind w:left="1062" w:right="504" w:hanging="552"/>
            </w:pPr>
            <w:r>
              <w:rPr>
                <w:rFonts w:ascii="Times New Roman" w:hAnsi="Times New Roman" w:eastAsia="Times New Roman" w:cs="Times New Roman"/>
                <w:i/>
                <w:iCs/>
              </w:rPr>
              <w:t>Cryptomeria</w:t>
            </w:r>
            <w:r>
              <w:rPr>
                <w:rFonts w:ascii="Times New Roman" w:hAnsi="Times New Roman" w:eastAsia="Times New Roman" w:cs="Times New Roman"/>
                <w:i/>
                <w:iCs/>
                <w:spacing w:val="-36"/>
              </w:rPr>
              <w:t xml:space="preserve"> </w:t>
            </w:r>
            <w:r>
              <w:rPr>
                <w:rFonts w:ascii="Times New Roman" w:hAnsi="Times New Roman" w:eastAsia="Times New Roman" w:cs="Times New Roman"/>
                <w:i/>
                <w:iCs/>
              </w:rPr>
              <w:t>japonica var. sinensis</w:t>
            </w:r>
            <w:r>
              <w:t>））</w:t>
            </w:r>
          </w:p>
        </w:tc>
        <w:tc>
          <w:tcPr>
            <w:tcW w:w="1173" w:type="dxa"/>
            <w:vAlign w:val="top"/>
          </w:tcPr>
          <w:p>
            <w:pPr>
              <w:spacing w:line="254" w:lineRule="auto"/>
              <w:rPr>
                <w:rFonts w:ascii="Arial"/>
                <w:sz w:val="21"/>
              </w:rPr>
            </w:pPr>
          </w:p>
          <w:p>
            <w:pPr>
              <w:spacing w:line="254" w:lineRule="auto"/>
              <w:rPr>
                <w:rFonts w:ascii="Arial"/>
                <w:sz w:val="21"/>
              </w:rPr>
            </w:pPr>
          </w:p>
          <w:p>
            <w:pPr>
              <w:spacing w:before="60" w:line="234"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20m×20m</w:t>
            </w:r>
          </w:p>
        </w:tc>
        <w:tc>
          <w:tcPr>
            <w:tcW w:w="1626" w:type="dxa"/>
            <w:vAlign w:val="top"/>
          </w:tcPr>
          <w:p>
            <w:pPr>
              <w:spacing w:line="352" w:lineRule="auto"/>
              <w:rPr>
                <w:rFonts w:ascii="Arial"/>
                <w:sz w:val="21"/>
              </w:rPr>
            </w:pPr>
          </w:p>
          <w:p>
            <w:pPr>
              <w:spacing w:before="60" w:line="320" w:lineRule="exact"/>
              <w:ind w:left="175"/>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E:119.9430222</w:t>
            </w:r>
          </w:p>
          <w:p>
            <w:pPr>
              <w:spacing w:line="186"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N:27.82756447</w:t>
            </w:r>
          </w:p>
        </w:tc>
        <w:tc>
          <w:tcPr>
            <w:tcW w:w="660" w:type="dxa"/>
            <w:vAlign w:val="top"/>
          </w:tcPr>
          <w:p>
            <w:pPr>
              <w:spacing w:line="305" w:lineRule="auto"/>
              <w:rPr>
                <w:rFonts w:ascii="Arial"/>
                <w:sz w:val="21"/>
              </w:rPr>
            </w:pPr>
          </w:p>
          <w:p>
            <w:pPr>
              <w:pStyle w:val="6"/>
              <w:spacing w:before="68" w:line="252" w:lineRule="auto"/>
              <w:ind w:left="126" w:right="114" w:hanging="1"/>
            </w:pPr>
            <w:r>
              <w:rPr>
                <w:spacing w:val="-3"/>
              </w:rPr>
              <w:t>庙儿</w:t>
            </w:r>
            <w:r>
              <w:t xml:space="preserve"> </w:t>
            </w:r>
            <w:r>
              <w:rPr>
                <w:spacing w:val="-4"/>
              </w:rPr>
              <w:t>垄南</w:t>
            </w:r>
          </w:p>
        </w:tc>
        <w:tc>
          <w:tcPr>
            <w:tcW w:w="1334" w:type="dxa"/>
            <w:vAlign w:val="top"/>
          </w:tcPr>
          <w:p>
            <w:pPr>
              <w:spacing w:line="306" w:lineRule="auto"/>
              <w:rPr>
                <w:rFonts w:ascii="Arial"/>
                <w:sz w:val="21"/>
              </w:rPr>
            </w:pPr>
          </w:p>
          <w:p>
            <w:pPr>
              <w:pStyle w:val="6"/>
              <w:spacing w:before="69" w:line="250" w:lineRule="auto"/>
              <w:ind w:left="388" w:right="136" w:hanging="240"/>
            </w:pPr>
            <w:r>
              <w:rPr>
                <w:spacing w:val="-2"/>
              </w:rPr>
              <w:t>敖里隧道入</w:t>
            </w:r>
            <w:r>
              <w:rPr>
                <w:spacing w:val="3"/>
              </w:rPr>
              <w:t xml:space="preserve"> </w:t>
            </w:r>
            <w:r>
              <w:rPr>
                <w:spacing w:val="-9"/>
              </w:rPr>
              <w:t>口附近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04" w:type="dxa"/>
            <w:vAlign w:val="top"/>
          </w:tcPr>
          <w:p>
            <w:pPr>
              <w:spacing w:before="257"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3231" w:type="dxa"/>
            <w:vAlign w:val="top"/>
          </w:tcPr>
          <w:p>
            <w:pPr>
              <w:pStyle w:val="6"/>
              <w:spacing w:before="57" w:line="221" w:lineRule="auto"/>
              <w:ind w:left="1302"/>
            </w:pPr>
            <w:r>
              <w:rPr>
                <w:spacing w:val="-2"/>
              </w:rPr>
              <w:t>毛竹林</w:t>
            </w:r>
          </w:p>
          <w:p>
            <w:pPr>
              <w:pStyle w:val="6"/>
              <w:spacing w:before="68" w:line="213" w:lineRule="auto"/>
              <w:ind w:left="271"/>
            </w:pPr>
            <w:r>
              <w:rPr>
                <w:spacing w:val="9"/>
              </w:rPr>
              <w:t>（</w:t>
            </w:r>
            <w:r>
              <w:rPr>
                <w:rFonts w:ascii="Times New Roman" w:hAnsi="Times New Roman" w:eastAsia="Times New Roman" w:cs="Times New Roman"/>
              </w:rPr>
              <w:t>From</w:t>
            </w:r>
            <w:r>
              <w:rPr>
                <w:rFonts w:ascii="Times New Roman" w:hAnsi="Times New Roman" w:eastAsia="Times New Roman" w:cs="Times New Roman"/>
                <w:spacing w:val="9"/>
              </w:rPr>
              <w:t xml:space="preserve">. </w:t>
            </w:r>
            <w:r>
              <w:rPr>
                <w:rFonts w:ascii="Times New Roman" w:hAnsi="Times New Roman" w:eastAsia="Times New Roman" w:cs="Times New Roman"/>
                <w:i/>
                <w:iCs/>
              </w:rPr>
              <w:t>Phyllostachysedulis</w:t>
            </w:r>
            <w:r>
              <w:rPr>
                <w:spacing w:val="9"/>
              </w:rPr>
              <w:t>）</w:t>
            </w:r>
          </w:p>
        </w:tc>
        <w:tc>
          <w:tcPr>
            <w:tcW w:w="1173" w:type="dxa"/>
            <w:vAlign w:val="top"/>
          </w:tcPr>
          <w:p>
            <w:pPr>
              <w:spacing w:before="253" w:line="234"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20m×20m</w:t>
            </w:r>
          </w:p>
        </w:tc>
        <w:tc>
          <w:tcPr>
            <w:tcW w:w="1626" w:type="dxa"/>
            <w:vAlign w:val="top"/>
          </w:tcPr>
          <w:p>
            <w:pPr>
              <w:spacing w:before="96" w:line="319" w:lineRule="exact"/>
              <w:ind w:left="175"/>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E:119.9439064</w:t>
            </w:r>
          </w:p>
          <w:p>
            <w:pPr>
              <w:spacing w:line="186"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N:27.82657354</w:t>
            </w:r>
          </w:p>
        </w:tc>
        <w:tc>
          <w:tcPr>
            <w:tcW w:w="660" w:type="dxa"/>
            <w:vAlign w:val="top"/>
          </w:tcPr>
          <w:p>
            <w:pPr>
              <w:pStyle w:val="6"/>
              <w:spacing w:before="57" w:line="252" w:lineRule="auto"/>
              <w:ind w:left="126" w:right="114" w:hanging="1"/>
            </w:pPr>
            <w:r>
              <w:rPr>
                <w:spacing w:val="-3"/>
              </w:rPr>
              <w:t>庙儿</w:t>
            </w:r>
            <w:r>
              <w:t xml:space="preserve"> </w:t>
            </w:r>
            <w:r>
              <w:rPr>
                <w:spacing w:val="-4"/>
              </w:rPr>
              <w:t>垄南</w:t>
            </w:r>
          </w:p>
        </w:tc>
        <w:tc>
          <w:tcPr>
            <w:tcW w:w="1334" w:type="dxa"/>
            <w:vAlign w:val="top"/>
          </w:tcPr>
          <w:p>
            <w:pPr>
              <w:pStyle w:val="6"/>
              <w:spacing w:before="57" w:line="253" w:lineRule="auto"/>
              <w:ind w:left="566" w:right="136" w:hanging="418"/>
            </w:pPr>
            <w:r>
              <w:rPr>
                <w:spacing w:val="-2"/>
              </w:rPr>
              <w:t>敖里隧道附</w:t>
            </w:r>
            <w:r>
              <w:rPr>
                <w:spacing w:val="3"/>
              </w:rPr>
              <w:t xml:space="preserve"> </w:t>
            </w:r>
            <w:r>
              <w:t>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504" w:type="dxa"/>
            <w:vAlign w:val="top"/>
          </w:tcPr>
          <w:p>
            <w:pPr>
              <w:spacing w:line="256" w:lineRule="auto"/>
              <w:rPr>
                <w:rFonts w:ascii="Arial"/>
                <w:sz w:val="21"/>
              </w:rPr>
            </w:pPr>
          </w:p>
          <w:p>
            <w:pPr>
              <w:spacing w:line="257" w:lineRule="auto"/>
              <w:rPr>
                <w:rFonts w:ascii="Arial"/>
                <w:sz w:val="21"/>
              </w:rPr>
            </w:pPr>
          </w:p>
          <w:p>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3231" w:type="dxa"/>
            <w:vAlign w:val="top"/>
          </w:tcPr>
          <w:p>
            <w:pPr>
              <w:pStyle w:val="6"/>
              <w:spacing w:before="57" w:line="220" w:lineRule="auto"/>
              <w:ind w:left="988"/>
            </w:pPr>
            <w:r>
              <w:rPr>
                <w:spacing w:val="-2"/>
              </w:rPr>
              <w:t>杉木、柳杉林</w:t>
            </w:r>
          </w:p>
          <w:p>
            <w:pPr>
              <w:pStyle w:val="6"/>
              <w:spacing w:before="69" w:line="213" w:lineRule="auto"/>
              <w:ind w:left="143"/>
              <w:rPr>
                <w:rFonts w:ascii="Times New Roman" w:hAnsi="Times New Roman" w:eastAsia="Times New Roman" w:cs="Times New Roman"/>
              </w:rPr>
            </w:pPr>
            <w:r>
              <w:t>（</w:t>
            </w:r>
            <w:r>
              <w:rPr>
                <w:rFonts w:ascii="Times New Roman" w:hAnsi="Times New Roman" w:eastAsia="Times New Roman" w:cs="Times New Roman"/>
              </w:rPr>
              <w:t xml:space="preserve">From. </w:t>
            </w:r>
            <w:r>
              <w:rPr>
                <w:rFonts w:ascii="Times New Roman" w:hAnsi="Times New Roman" w:eastAsia="Times New Roman" w:cs="Times New Roman"/>
                <w:i/>
                <w:iCs/>
              </w:rPr>
              <w:t xml:space="preserve">Cunninghamia </w:t>
            </w:r>
            <w:r>
              <w:rPr>
                <w:rFonts w:ascii="Times New Roman" w:hAnsi="Times New Roman" w:eastAsia="Times New Roman" w:cs="Times New Roman"/>
                <w:i/>
                <w:iCs/>
                <w:spacing w:val="-1"/>
              </w:rPr>
              <w:t>lanceolata</w:t>
            </w:r>
          </w:p>
          <w:p>
            <w:pPr>
              <w:pStyle w:val="6"/>
              <w:spacing w:before="110" w:line="252" w:lineRule="auto"/>
              <w:ind w:left="1062" w:right="504" w:hanging="552"/>
            </w:pPr>
            <w:r>
              <w:rPr>
                <w:rFonts w:ascii="Times New Roman" w:hAnsi="Times New Roman" w:eastAsia="Times New Roman" w:cs="Times New Roman"/>
                <w:i/>
                <w:iCs/>
              </w:rPr>
              <w:t>Cryptomeria</w:t>
            </w:r>
            <w:r>
              <w:rPr>
                <w:rFonts w:ascii="Times New Roman" w:hAnsi="Times New Roman" w:eastAsia="Times New Roman" w:cs="Times New Roman"/>
                <w:i/>
                <w:iCs/>
                <w:spacing w:val="-36"/>
              </w:rPr>
              <w:t xml:space="preserve"> </w:t>
            </w:r>
            <w:r>
              <w:rPr>
                <w:rFonts w:ascii="Times New Roman" w:hAnsi="Times New Roman" w:eastAsia="Times New Roman" w:cs="Times New Roman"/>
                <w:i/>
                <w:iCs/>
              </w:rPr>
              <w:t>japonica var. sinensis</w:t>
            </w:r>
            <w:r>
              <w:t>））</w:t>
            </w:r>
          </w:p>
        </w:tc>
        <w:tc>
          <w:tcPr>
            <w:tcW w:w="1173" w:type="dxa"/>
            <w:vAlign w:val="top"/>
          </w:tcPr>
          <w:p>
            <w:pPr>
              <w:spacing w:line="254" w:lineRule="auto"/>
              <w:rPr>
                <w:rFonts w:ascii="Arial"/>
                <w:sz w:val="21"/>
              </w:rPr>
            </w:pPr>
          </w:p>
          <w:p>
            <w:pPr>
              <w:spacing w:line="255" w:lineRule="auto"/>
              <w:rPr>
                <w:rFonts w:ascii="Arial"/>
                <w:sz w:val="21"/>
              </w:rPr>
            </w:pPr>
          </w:p>
          <w:p>
            <w:pPr>
              <w:spacing w:before="60" w:line="234"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20m×20m</w:t>
            </w:r>
          </w:p>
        </w:tc>
        <w:tc>
          <w:tcPr>
            <w:tcW w:w="1626" w:type="dxa"/>
            <w:vAlign w:val="top"/>
          </w:tcPr>
          <w:p>
            <w:pPr>
              <w:spacing w:line="353" w:lineRule="auto"/>
              <w:rPr>
                <w:rFonts w:ascii="Arial"/>
                <w:sz w:val="21"/>
              </w:rPr>
            </w:pPr>
          </w:p>
          <w:p>
            <w:pPr>
              <w:spacing w:before="60" w:line="319" w:lineRule="exact"/>
              <w:ind w:left="110"/>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E:119.9443163E</w:t>
            </w:r>
          </w:p>
          <w:p>
            <w:pPr>
              <w:spacing w:line="186"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N:27.82654431</w:t>
            </w:r>
          </w:p>
        </w:tc>
        <w:tc>
          <w:tcPr>
            <w:tcW w:w="660" w:type="dxa"/>
            <w:vAlign w:val="top"/>
          </w:tcPr>
          <w:p>
            <w:pPr>
              <w:spacing w:line="306" w:lineRule="auto"/>
              <w:rPr>
                <w:rFonts w:ascii="Arial"/>
                <w:sz w:val="21"/>
              </w:rPr>
            </w:pPr>
          </w:p>
          <w:p>
            <w:pPr>
              <w:pStyle w:val="6"/>
              <w:spacing w:before="68" w:line="252" w:lineRule="auto"/>
              <w:ind w:left="126" w:right="114" w:hanging="1"/>
            </w:pPr>
            <w:r>
              <w:rPr>
                <w:spacing w:val="-3"/>
              </w:rPr>
              <w:t>庙儿</w:t>
            </w:r>
            <w:r>
              <w:t xml:space="preserve"> </w:t>
            </w:r>
            <w:r>
              <w:rPr>
                <w:spacing w:val="-4"/>
              </w:rPr>
              <w:t>垄南</w:t>
            </w:r>
          </w:p>
        </w:tc>
        <w:tc>
          <w:tcPr>
            <w:tcW w:w="1334" w:type="dxa"/>
            <w:vAlign w:val="top"/>
          </w:tcPr>
          <w:p>
            <w:pPr>
              <w:spacing w:line="306" w:lineRule="auto"/>
              <w:rPr>
                <w:rFonts w:ascii="Arial"/>
                <w:sz w:val="21"/>
              </w:rPr>
            </w:pPr>
          </w:p>
          <w:p>
            <w:pPr>
              <w:pStyle w:val="6"/>
              <w:spacing w:before="69" w:line="255" w:lineRule="auto"/>
              <w:ind w:left="566" w:right="136" w:hanging="418"/>
            </w:pPr>
            <w:r>
              <w:rPr>
                <w:spacing w:val="-2"/>
              </w:rPr>
              <w:t>敖里隧道附</w:t>
            </w:r>
            <w:r>
              <w:rPr>
                <w:spacing w:val="3"/>
              </w:rPr>
              <w:t xml:space="preserve"> </w:t>
            </w:r>
            <w:r>
              <w:t>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504" w:type="dxa"/>
            <w:vAlign w:val="top"/>
          </w:tcPr>
          <w:p>
            <w:pPr>
              <w:spacing w:before="255"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3231" w:type="dxa"/>
            <w:vAlign w:val="top"/>
          </w:tcPr>
          <w:p>
            <w:pPr>
              <w:pStyle w:val="6"/>
              <w:spacing w:before="57" w:line="221" w:lineRule="auto"/>
              <w:ind w:left="1198"/>
            </w:pPr>
            <w:r>
              <w:rPr>
                <w:spacing w:val="-2"/>
              </w:rPr>
              <w:t>芒萁草丛</w:t>
            </w:r>
          </w:p>
          <w:p>
            <w:pPr>
              <w:pStyle w:val="6"/>
              <w:spacing w:before="68" w:line="214" w:lineRule="auto"/>
              <w:ind w:left="230"/>
            </w:pPr>
            <w:r>
              <w:rPr>
                <w:spacing w:val="2"/>
              </w:rPr>
              <w:t>（</w:t>
            </w:r>
            <w:r>
              <w:rPr>
                <w:rFonts w:ascii="Times New Roman" w:hAnsi="Times New Roman" w:eastAsia="Times New Roman" w:cs="Times New Roman"/>
              </w:rPr>
              <w:t>Form</w:t>
            </w:r>
            <w:r>
              <w:rPr>
                <w:rFonts w:ascii="Times New Roman" w:hAnsi="Times New Roman" w:eastAsia="Times New Roman" w:cs="Times New Roman"/>
                <w:spacing w:val="2"/>
              </w:rPr>
              <w:t xml:space="preserve">. </w:t>
            </w:r>
            <w:r>
              <w:rPr>
                <w:rFonts w:ascii="Times New Roman" w:hAnsi="Times New Roman" w:eastAsia="Times New Roman" w:cs="Times New Roman"/>
                <w:i/>
                <w:iCs/>
              </w:rPr>
              <w:t>Dicranopteris</w:t>
            </w:r>
            <w:r>
              <w:rPr>
                <w:rFonts w:ascii="Times New Roman" w:hAnsi="Times New Roman" w:eastAsia="Times New Roman" w:cs="Times New Roman"/>
                <w:i/>
                <w:iCs/>
                <w:spacing w:val="-23"/>
              </w:rPr>
              <w:t xml:space="preserve"> </w:t>
            </w:r>
            <w:r>
              <w:rPr>
                <w:rFonts w:ascii="Times New Roman" w:hAnsi="Times New Roman" w:eastAsia="Times New Roman" w:cs="Times New Roman"/>
                <w:i/>
                <w:iCs/>
              </w:rPr>
              <w:t>pedata</w:t>
            </w:r>
            <w:r>
              <w:rPr>
                <w:spacing w:val="2"/>
              </w:rPr>
              <w:t>）</w:t>
            </w:r>
          </w:p>
        </w:tc>
        <w:tc>
          <w:tcPr>
            <w:tcW w:w="1173" w:type="dxa"/>
            <w:vAlign w:val="top"/>
          </w:tcPr>
          <w:p>
            <w:pPr>
              <w:spacing w:before="251" w:line="236" w:lineRule="auto"/>
              <w:ind w:left="28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1m×1m</w:t>
            </w:r>
          </w:p>
        </w:tc>
        <w:tc>
          <w:tcPr>
            <w:tcW w:w="1626" w:type="dxa"/>
            <w:vAlign w:val="top"/>
          </w:tcPr>
          <w:p>
            <w:pPr>
              <w:spacing w:before="97" w:line="319" w:lineRule="exact"/>
              <w:ind w:left="175"/>
              <w:rPr>
                <w:rFonts w:ascii="Times New Roman" w:hAnsi="Times New Roman" w:eastAsia="Times New Roman" w:cs="Times New Roman"/>
                <w:sz w:val="21"/>
                <w:szCs w:val="21"/>
              </w:rPr>
            </w:pPr>
            <w:r>
              <w:rPr>
                <w:rFonts w:ascii="Times New Roman" w:hAnsi="Times New Roman" w:eastAsia="Times New Roman" w:cs="Times New Roman"/>
                <w:spacing w:val="-1"/>
                <w:position w:val="11"/>
                <w:sz w:val="21"/>
                <w:szCs w:val="21"/>
              </w:rPr>
              <w:t>E:119.9356721</w:t>
            </w:r>
          </w:p>
          <w:p>
            <w:pPr>
              <w:spacing w:line="186" w:lineRule="auto"/>
              <w:ind w:left="151"/>
              <w:rPr>
                <w:rFonts w:ascii="Times New Roman" w:hAnsi="Times New Roman" w:eastAsia="Times New Roman" w:cs="Times New Roman"/>
                <w:sz w:val="21"/>
                <w:szCs w:val="21"/>
              </w:rPr>
            </w:pPr>
            <w:r>
              <w:rPr>
                <w:rFonts w:ascii="Times New Roman" w:hAnsi="Times New Roman" w:eastAsia="Times New Roman" w:cs="Times New Roman"/>
                <w:sz w:val="21"/>
                <w:szCs w:val="21"/>
              </w:rPr>
              <w:t>N:27.82906533</w:t>
            </w:r>
          </w:p>
        </w:tc>
        <w:tc>
          <w:tcPr>
            <w:tcW w:w="660" w:type="dxa"/>
            <w:vAlign w:val="top"/>
          </w:tcPr>
          <w:p>
            <w:pPr>
              <w:pStyle w:val="6"/>
              <w:spacing w:before="57" w:line="252" w:lineRule="auto"/>
              <w:ind w:left="126" w:right="114" w:hanging="1"/>
            </w:pPr>
            <w:r>
              <w:rPr>
                <w:spacing w:val="-3"/>
              </w:rPr>
              <w:t>庙儿</w:t>
            </w:r>
            <w:r>
              <w:t xml:space="preserve"> </w:t>
            </w:r>
            <w:r>
              <w:rPr>
                <w:spacing w:val="-4"/>
              </w:rPr>
              <w:t>垄南</w:t>
            </w:r>
          </w:p>
        </w:tc>
        <w:tc>
          <w:tcPr>
            <w:tcW w:w="1334" w:type="dxa"/>
            <w:vAlign w:val="top"/>
          </w:tcPr>
          <w:p>
            <w:pPr>
              <w:pStyle w:val="6"/>
              <w:spacing w:before="57" w:line="253" w:lineRule="auto"/>
              <w:ind w:left="388" w:right="104" w:hanging="276"/>
            </w:pPr>
            <w:r>
              <w:rPr>
                <w:rFonts w:ascii="Times New Roman" w:hAnsi="Times New Roman" w:eastAsia="Times New Roman" w:cs="Times New Roman"/>
                <w:spacing w:val="-5"/>
              </w:rPr>
              <w:t>L1</w:t>
            </w:r>
            <w:r>
              <w:rPr>
                <w:spacing w:val="-5"/>
              </w:rPr>
              <w:t>、</w:t>
            </w:r>
            <w:r>
              <w:rPr>
                <w:rFonts w:ascii="Times New Roman" w:hAnsi="Times New Roman" w:eastAsia="Times New Roman" w:cs="Times New Roman"/>
                <w:spacing w:val="-5"/>
              </w:rPr>
              <w:t xml:space="preserve">L2 </w:t>
            </w:r>
            <w:r>
              <w:rPr>
                <w:spacing w:val="-5"/>
              </w:rPr>
              <w:t>平交</w:t>
            </w:r>
            <w:r>
              <w:rPr>
                <w:spacing w:val="1"/>
              </w:rPr>
              <w:t xml:space="preserve"> </w:t>
            </w:r>
            <w:r>
              <w:rPr>
                <w:spacing w:val="-9"/>
              </w:rPr>
              <w:t>口终点</w:t>
            </w:r>
          </w:p>
        </w:tc>
      </w:tr>
    </w:tbl>
    <w:p>
      <w:pPr>
        <w:spacing w:before="278" w:line="481" w:lineRule="exact"/>
        <w:ind w:left="518"/>
        <w:rPr>
          <w:rFonts w:ascii="宋体" w:hAnsi="宋体" w:eastAsia="宋体" w:cs="宋体"/>
          <w:sz w:val="24"/>
          <w:szCs w:val="24"/>
        </w:rPr>
      </w:pPr>
      <w:r>
        <w:rPr>
          <w:rFonts w:ascii="宋体" w:hAnsi="宋体" w:eastAsia="宋体" w:cs="宋体"/>
          <w:spacing w:val="-3"/>
          <w:position w:val="18"/>
          <w:sz w:val="24"/>
          <w:szCs w:val="24"/>
        </w:rPr>
        <w:t>根据现场样方调查，评价区各主要植被类型的群落特征如下：</w:t>
      </w:r>
    </w:p>
    <w:p>
      <w:pPr>
        <w:spacing w:line="217" w:lineRule="auto"/>
        <w:ind w:left="517"/>
        <w:rPr>
          <w:rFonts w:ascii="宋体" w:hAnsi="宋体" w:eastAsia="宋体" w:cs="宋体"/>
          <w:sz w:val="24"/>
          <w:szCs w:val="24"/>
        </w:rPr>
      </w:pPr>
      <w:r>
        <w:rPr>
          <w:rFonts w:ascii="宋体" w:hAnsi="宋体" w:eastAsia="宋体" w:cs="宋体"/>
          <w:spacing w:val="-2"/>
          <w:sz w:val="24"/>
          <w:szCs w:val="24"/>
        </w:rPr>
        <w:t>①暖性针叶林</w:t>
      </w:r>
    </w:p>
    <w:p>
      <w:pPr>
        <w:spacing w:before="195" w:line="368" w:lineRule="auto"/>
        <w:ind w:left="35" w:firstLine="489"/>
        <w:jc w:val="both"/>
        <w:rPr>
          <w:rFonts w:ascii="Times New Roman" w:hAnsi="Times New Roman" w:eastAsia="Times New Roman" w:cs="Times New Roman"/>
          <w:sz w:val="24"/>
          <w:szCs w:val="24"/>
        </w:rPr>
      </w:pPr>
      <w:r>
        <w:rPr>
          <w:rFonts w:ascii="宋体" w:hAnsi="宋体" w:eastAsia="宋体" w:cs="宋体"/>
          <w:spacing w:val="-16"/>
          <w:sz w:val="24"/>
          <w:szCs w:val="24"/>
        </w:rPr>
        <w:t>马尾松林林相外貌呈翠绿色，</w:t>
      </w:r>
      <w:r>
        <w:rPr>
          <w:rFonts w:ascii="宋体" w:hAnsi="宋体" w:eastAsia="宋体" w:cs="宋体"/>
          <w:spacing w:val="59"/>
          <w:sz w:val="24"/>
          <w:szCs w:val="24"/>
        </w:rPr>
        <w:t xml:space="preserve"> </w:t>
      </w:r>
      <w:r>
        <w:rPr>
          <w:rFonts w:ascii="宋体" w:hAnsi="宋体" w:eastAsia="宋体" w:cs="宋体"/>
          <w:spacing w:val="-16"/>
          <w:sz w:val="24"/>
          <w:szCs w:val="24"/>
        </w:rPr>
        <w:t>林冠疏散，</w:t>
      </w:r>
      <w:r>
        <w:rPr>
          <w:rFonts w:ascii="宋体" w:hAnsi="宋体" w:eastAsia="宋体" w:cs="宋体"/>
          <w:spacing w:val="22"/>
          <w:sz w:val="24"/>
          <w:szCs w:val="24"/>
        </w:rPr>
        <w:t xml:space="preserve"> </w:t>
      </w:r>
      <w:r>
        <w:rPr>
          <w:rFonts w:ascii="宋体" w:hAnsi="宋体" w:eastAsia="宋体" w:cs="宋体"/>
          <w:spacing w:val="-16"/>
          <w:sz w:val="24"/>
          <w:szCs w:val="24"/>
        </w:rPr>
        <w:t>层次分明。</w:t>
      </w:r>
      <w:r>
        <w:rPr>
          <w:rFonts w:ascii="宋体" w:hAnsi="宋体" w:eastAsia="宋体" w:cs="宋体"/>
          <w:spacing w:val="40"/>
          <w:sz w:val="24"/>
          <w:szCs w:val="24"/>
        </w:rPr>
        <w:t xml:space="preserve"> </w:t>
      </w:r>
      <w:r>
        <w:rPr>
          <w:rFonts w:ascii="宋体" w:hAnsi="宋体" w:eastAsia="宋体" w:cs="宋体"/>
          <w:spacing w:val="-16"/>
          <w:sz w:val="24"/>
          <w:szCs w:val="24"/>
        </w:rPr>
        <w:t>层林结构一般为乔</w:t>
      </w:r>
      <w:r>
        <w:rPr>
          <w:rFonts w:ascii="宋体" w:hAnsi="宋体" w:eastAsia="宋体" w:cs="宋体"/>
          <w:spacing w:val="-17"/>
          <w:sz w:val="24"/>
          <w:szCs w:val="24"/>
        </w:rPr>
        <w:t>木层、</w:t>
      </w:r>
      <w:r>
        <w:rPr>
          <w:rFonts w:ascii="宋体" w:hAnsi="宋体" w:eastAsia="宋体" w:cs="宋体"/>
          <w:sz w:val="24"/>
          <w:szCs w:val="24"/>
        </w:rPr>
        <w:t xml:space="preserve"> </w:t>
      </w:r>
      <w:r>
        <w:rPr>
          <w:rFonts w:ascii="宋体" w:hAnsi="宋体" w:eastAsia="宋体" w:cs="宋体"/>
          <w:spacing w:val="-1"/>
          <w:sz w:val="24"/>
          <w:szCs w:val="24"/>
        </w:rPr>
        <w:t>灌木层、草本层三层。乔木层的优势种主要是马尾松、杉木（</w:t>
      </w:r>
      <w:r>
        <w:rPr>
          <w:rFonts w:ascii="Times New Roman" w:hAnsi="Times New Roman" w:eastAsia="Times New Roman" w:cs="Times New Roman"/>
          <w:i/>
          <w:iCs/>
          <w:spacing w:val="-1"/>
          <w:sz w:val="24"/>
          <w:szCs w:val="24"/>
        </w:rPr>
        <w:t>Cunnin</w:t>
      </w:r>
      <w:r>
        <w:rPr>
          <w:rFonts w:ascii="Times New Roman" w:hAnsi="Times New Roman" w:eastAsia="Times New Roman" w:cs="Times New Roman"/>
          <w:i/>
          <w:iCs/>
          <w:spacing w:val="-2"/>
          <w:sz w:val="24"/>
          <w:szCs w:val="24"/>
        </w:rPr>
        <w:t xml:space="preserve">ghamia  lance  </w:t>
      </w:r>
      <w:r>
        <w:rPr>
          <w:rFonts w:ascii="Times New Roman" w:hAnsi="Times New Roman" w:eastAsia="Times New Roman" w:cs="Times New Roman"/>
          <w:i/>
          <w:iCs/>
          <w:sz w:val="24"/>
          <w:szCs w:val="24"/>
        </w:rPr>
        <w:t>olata</w:t>
      </w:r>
      <w:r>
        <w:rPr>
          <w:rFonts w:ascii="宋体" w:hAnsi="宋体" w:eastAsia="宋体" w:cs="宋体"/>
          <w:sz w:val="24"/>
          <w:szCs w:val="24"/>
        </w:rPr>
        <w:t>）、柳杉（</w:t>
      </w:r>
      <w:r>
        <w:rPr>
          <w:rFonts w:ascii="Times New Roman" w:hAnsi="Times New Roman" w:eastAsia="Times New Roman" w:cs="Times New Roman"/>
          <w:i/>
          <w:iCs/>
          <w:sz w:val="24"/>
          <w:szCs w:val="24"/>
        </w:rPr>
        <w:t>Cryptomeria</w:t>
      </w:r>
      <w:r>
        <w:rPr>
          <w:rFonts w:ascii="Times New Roman" w:hAnsi="Times New Roman" w:eastAsia="Times New Roman" w:cs="Times New Roman"/>
          <w:i/>
          <w:iCs/>
          <w:spacing w:val="31"/>
          <w:sz w:val="24"/>
          <w:szCs w:val="24"/>
        </w:rPr>
        <w:t xml:space="preserve"> </w:t>
      </w:r>
      <w:r>
        <w:rPr>
          <w:rFonts w:ascii="Times New Roman" w:hAnsi="Times New Roman" w:eastAsia="Times New Roman" w:cs="Times New Roman"/>
          <w:i/>
          <w:iCs/>
          <w:sz w:val="24"/>
          <w:szCs w:val="24"/>
        </w:rPr>
        <w:t>japonica  var.  Sinensis</w:t>
      </w:r>
      <w:r>
        <w:rPr>
          <w:rFonts w:ascii="宋体" w:hAnsi="宋体" w:eastAsia="宋体" w:cs="宋体"/>
          <w:sz w:val="24"/>
          <w:szCs w:val="24"/>
        </w:rPr>
        <w:t>）。灌木层主要为檵木（</w:t>
      </w:r>
      <w:r>
        <w:rPr>
          <w:rFonts w:ascii="Times New Roman" w:hAnsi="Times New Roman" w:eastAsia="Times New Roman" w:cs="Times New Roman"/>
          <w:i/>
          <w:iCs/>
          <w:sz w:val="24"/>
          <w:szCs w:val="24"/>
        </w:rPr>
        <w:t>Lorop  etalum</w:t>
      </w:r>
      <w:r>
        <w:rPr>
          <w:rFonts w:ascii="宋体" w:hAnsi="宋体" w:eastAsia="宋体" w:cs="宋体"/>
          <w:sz w:val="24"/>
          <w:szCs w:val="24"/>
        </w:rPr>
        <w:t>）、 白栎（</w:t>
      </w:r>
      <w:r>
        <w:rPr>
          <w:rFonts w:ascii="Times New Roman" w:hAnsi="Times New Roman" w:eastAsia="Times New Roman" w:cs="Times New Roman"/>
          <w:i/>
          <w:iCs/>
          <w:sz w:val="24"/>
          <w:szCs w:val="24"/>
        </w:rPr>
        <w:t>Quercus</w:t>
      </w:r>
      <w:r>
        <w:rPr>
          <w:rFonts w:ascii="Times New Roman" w:hAnsi="Times New Roman" w:eastAsia="Times New Roman" w:cs="Times New Roman"/>
          <w:i/>
          <w:iCs/>
          <w:spacing w:val="24"/>
          <w:w w:val="101"/>
          <w:sz w:val="24"/>
          <w:szCs w:val="24"/>
        </w:rPr>
        <w:t xml:space="preserve"> </w:t>
      </w:r>
      <w:r>
        <w:rPr>
          <w:rFonts w:ascii="Times New Roman" w:hAnsi="Times New Roman" w:eastAsia="Times New Roman" w:cs="Times New Roman"/>
          <w:i/>
          <w:iCs/>
          <w:sz w:val="24"/>
          <w:szCs w:val="24"/>
        </w:rPr>
        <w:t>fabri</w:t>
      </w:r>
      <w:r>
        <w:rPr>
          <w:rFonts w:ascii="宋体" w:hAnsi="宋体" w:eastAsia="宋体" w:cs="宋体"/>
          <w:sz w:val="24"/>
          <w:szCs w:val="24"/>
        </w:rPr>
        <w:t>）、寒莓（</w:t>
      </w:r>
      <w:r>
        <w:rPr>
          <w:rFonts w:ascii="Times New Roman" w:hAnsi="Times New Roman" w:eastAsia="Times New Roman" w:cs="Times New Roman"/>
          <w:i/>
          <w:iCs/>
          <w:sz w:val="24"/>
          <w:szCs w:val="24"/>
        </w:rPr>
        <w:t>Rubus  buergeri</w:t>
      </w:r>
      <w:r>
        <w:rPr>
          <w:rFonts w:ascii="宋体" w:hAnsi="宋体" w:eastAsia="宋体" w:cs="宋体"/>
          <w:sz w:val="24"/>
          <w:szCs w:val="24"/>
        </w:rPr>
        <w:t>）。草本层多在林下呈 块状分布，主要种类为芒萁（</w:t>
      </w:r>
      <w:r>
        <w:rPr>
          <w:rFonts w:ascii="Times New Roman" w:hAnsi="Times New Roman" w:eastAsia="Times New Roman" w:cs="Times New Roman"/>
          <w:i/>
          <w:iCs/>
          <w:sz w:val="24"/>
          <w:szCs w:val="24"/>
        </w:rPr>
        <w:t>Dicranopteris</w:t>
      </w:r>
      <w:r>
        <w:rPr>
          <w:rFonts w:ascii="Times New Roman" w:hAnsi="Times New Roman" w:eastAsia="Times New Roman" w:cs="Times New Roman"/>
          <w:i/>
          <w:iCs/>
          <w:spacing w:val="48"/>
          <w:w w:val="101"/>
          <w:sz w:val="24"/>
          <w:szCs w:val="24"/>
        </w:rPr>
        <w:t xml:space="preserve"> </w:t>
      </w:r>
      <w:r>
        <w:rPr>
          <w:rFonts w:ascii="Times New Roman" w:hAnsi="Times New Roman" w:eastAsia="Times New Roman" w:cs="Times New Roman"/>
          <w:i/>
          <w:iCs/>
          <w:sz w:val="24"/>
          <w:szCs w:val="24"/>
        </w:rPr>
        <w:t>pedata</w:t>
      </w:r>
      <w:r>
        <w:rPr>
          <w:rFonts w:ascii="宋体" w:hAnsi="宋体" w:eastAsia="宋体" w:cs="宋体"/>
          <w:sz w:val="24"/>
          <w:szCs w:val="24"/>
        </w:rPr>
        <w:t>）、五节芒（</w:t>
      </w:r>
      <w:r>
        <w:rPr>
          <w:rFonts w:ascii="Times New Roman" w:hAnsi="Times New Roman" w:eastAsia="Times New Roman" w:cs="Times New Roman"/>
          <w:i/>
          <w:iCs/>
          <w:sz w:val="24"/>
          <w:szCs w:val="24"/>
        </w:rPr>
        <w:t>Miscanthus</w:t>
      </w:r>
      <w:r>
        <w:rPr>
          <w:rFonts w:ascii="Times New Roman" w:hAnsi="Times New Roman" w:eastAsia="Times New Roman" w:cs="Times New Roman"/>
          <w:i/>
          <w:iCs/>
          <w:spacing w:val="18"/>
          <w:w w:val="101"/>
          <w:sz w:val="24"/>
          <w:szCs w:val="24"/>
        </w:rPr>
        <w:t xml:space="preserve"> </w:t>
      </w:r>
      <w:r>
        <w:rPr>
          <w:rFonts w:ascii="Times New Roman" w:hAnsi="Times New Roman" w:eastAsia="Times New Roman" w:cs="Times New Roman"/>
          <w:i/>
          <w:iCs/>
          <w:sz w:val="24"/>
          <w:szCs w:val="24"/>
        </w:rPr>
        <w:t>floridu</w:t>
      </w:r>
    </w:p>
    <w:p>
      <w:pPr>
        <w:spacing w:line="212" w:lineRule="auto"/>
        <w:ind w:left="38"/>
        <w:rPr>
          <w:rFonts w:ascii="宋体" w:hAnsi="宋体" w:eastAsia="宋体" w:cs="宋体"/>
          <w:sz w:val="24"/>
          <w:szCs w:val="24"/>
        </w:rPr>
      </w:pPr>
      <w:r>
        <w:rPr>
          <w:rFonts w:ascii="Times New Roman" w:hAnsi="Times New Roman" w:eastAsia="Times New Roman" w:cs="Times New Roman"/>
          <w:i/>
          <w:iCs/>
          <w:sz w:val="24"/>
          <w:szCs w:val="24"/>
        </w:rPr>
        <w:t>lus</w:t>
      </w:r>
      <w:r>
        <w:rPr>
          <w:rFonts w:ascii="宋体" w:hAnsi="宋体" w:eastAsia="宋体" w:cs="宋体"/>
          <w:spacing w:val="2"/>
          <w:sz w:val="24"/>
          <w:szCs w:val="24"/>
        </w:rPr>
        <w:t>）、乌蕨（</w:t>
      </w:r>
      <w:r>
        <w:rPr>
          <w:rFonts w:ascii="Times New Roman" w:hAnsi="Times New Roman" w:eastAsia="Times New Roman" w:cs="Times New Roman"/>
          <w:i/>
          <w:iCs/>
          <w:sz w:val="24"/>
          <w:szCs w:val="24"/>
        </w:rPr>
        <w:t>Odontosoria</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sz w:val="24"/>
          <w:szCs w:val="24"/>
        </w:rPr>
        <w:t>chinensis</w:t>
      </w:r>
      <w:r>
        <w:rPr>
          <w:rFonts w:ascii="宋体" w:hAnsi="宋体" w:eastAsia="宋体" w:cs="宋体"/>
          <w:spacing w:val="2"/>
          <w:sz w:val="24"/>
          <w:szCs w:val="24"/>
        </w:rPr>
        <w:t>）、狗脊（</w:t>
      </w:r>
      <w:r>
        <w:rPr>
          <w:rFonts w:ascii="Times New Roman" w:hAnsi="Times New Roman" w:eastAsia="Times New Roman" w:cs="Times New Roman"/>
          <w:i/>
          <w:iCs/>
          <w:sz w:val="24"/>
          <w:szCs w:val="24"/>
        </w:rPr>
        <w:t>Woodwardia</w:t>
      </w:r>
      <w:r>
        <w:rPr>
          <w:rFonts w:ascii="Times New Roman" w:hAnsi="Times New Roman" w:eastAsia="Times New Roman" w:cs="Times New Roman"/>
          <w:i/>
          <w:iCs/>
          <w:spacing w:val="23"/>
          <w:w w:val="101"/>
          <w:sz w:val="24"/>
          <w:szCs w:val="24"/>
        </w:rPr>
        <w:t xml:space="preserve"> </w:t>
      </w:r>
      <w:r>
        <w:rPr>
          <w:rFonts w:ascii="Times New Roman" w:hAnsi="Times New Roman" w:eastAsia="Times New Roman" w:cs="Times New Roman"/>
          <w:i/>
          <w:iCs/>
          <w:sz w:val="24"/>
          <w:szCs w:val="24"/>
        </w:rPr>
        <w:t>japonica</w:t>
      </w:r>
      <w:r>
        <w:rPr>
          <w:rFonts w:ascii="宋体" w:hAnsi="宋体" w:eastAsia="宋体" w:cs="宋体"/>
          <w:spacing w:val="2"/>
          <w:sz w:val="24"/>
          <w:szCs w:val="24"/>
        </w:rPr>
        <w:t>）。</w:t>
      </w:r>
    </w:p>
    <w:p>
      <w:pPr>
        <w:spacing w:line="212" w:lineRule="auto"/>
        <w:rPr>
          <w:rFonts w:ascii="宋体" w:hAnsi="宋体" w:eastAsia="宋体" w:cs="宋体"/>
          <w:sz w:val="24"/>
          <w:szCs w:val="24"/>
        </w:rPr>
        <w:sectPr>
          <w:headerReference r:id="rId218" w:type="default"/>
          <w:footerReference r:id="rId219" w:type="default"/>
          <w:pgSz w:w="11907" w:h="16839"/>
          <w:pgMar w:top="1288" w:right="1612" w:bottom="1151" w:left="1673" w:header="1047" w:footer="990" w:gutter="0"/>
          <w:cols w:space="720" w:num="1"/>
        </w:sectPr>
      </w:pPr>
    </w:p>
    <w:p>
      <w:pPr>
        <w:pStyle w:val="2"/>
        <w:spacing w:line="338" w:lineRule="auto"/>
      </w:pPr>
    </w:p>
    <w:p>
      <w:pPr>
        <w:spacing w:before="78" w:line="368" w:lineRule="auto"/>
        <w:ind w:left="42" w:right="26" w:firstLine="478"/>
        <w:rPr>
          <w:rFonts w:ascii="宋体" w:hAnsi="宋体" w:eastAsia="宋体" w:cs="宋体"/>
          <w:sz w:val="24"/>
          <w:szCs w:val="24"/>
        </w:rPr>
      </w:pPr>
      <w:r>
        <w:rPr>
          <w:rFonts w:ascii="宋体" w:hAnsi="宋体" w:eastAsia="宋体" w:cs="宋体"/>
          <w:spacing w:val="3"/>
          <w:sz w:val="24"/>
          <w:szCs w:val="24"/>
        </w:rPr>
        <w:t>杉木、柳杉混交林在评价区多数为人工林，少量为天然次生</w:t>
      </w:r>
      <w:r>
        <w:rPr>
          <w:rFonts w:ascii="宋体" w:hAnsi="宋体" w:eastAsia="宋体" w:cs="宋体"/>
          <w:spacing w:val="2"/>
          <w:sz w:val="24"/>
          <w:szCs w:val="24"/>
        </w:rPr>
        <w:t>林。乔木层主要</w:t>
      </w:r>
      <w:r>
        <w:rPr>
          <w:rFonts w:ascii="宋体" w:hAnsi="宋体" w:eastAsia="宋体" w:cs="宋体"/>
          <w:sz w:val="24"/>
          <w:szCs w:val="24"/>
        </w:rPr>
        <w:t xml:space="preserve"> </w:t>
      </w:r>
      <w:r>
        <w:rPr>
          <w:rFonts w:ascii="宋体" w:hAnsi="宋体" w:eastAsia="宋体" w:cs="宋体"/>
          <w:spacing w:val="-2"/>
          <w:sz w:val="24"/>
          <w:szCs w:val="24"/>
        </w:rPr>
        <w:t>是杉木 、柳杉 等。灌木层主要为白栎、寒莓、杜茎山（</w:t>
      </w:r>
      <w:r>
        <w:rPr>
          <w:rFonts w:ascii="Times New Roman" w:hAnsi="Times New Roman" w:eastAsia="Times New Roman" w:cs="Times New Roman"/>
          <w:i/>
          <w:iCs/>
          <w:spacing w:val="-2"/>
          <w:sz w:val="24"/>
          <w:szCs w:val="24"/>
        </w:rPr>
        <w:t>Maesa</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i/>
          <w:iCs/>
          <w:spacing w:val="-2"/>
          <w:sz w:val="24"/>
          <w:szCs w:val="24"/>
        </w:rPr>
        <w:t>japonica</w:t>
      </w:r>
      <w:r>
        <w:rPr>
          <w:rFonts w:ascii="宋体" w:hAnsi="宋体" w:eastAsia="宋体" w:cs="宋体"/>
          <w:spacing w:val="-2"/>
          <w:sz w:val="24"/>
          <w:szCs w:val="24"/>
        </w:rPr>
        <w:t>）等</w:t>
      </w:r>
      <w:r>
        <w:rPr>
          <w:rFonts w:ascii="宋体" w:hAnsi="宋体" w:eastAsia="宋体" w:cs="宋体"/>
          <w:spacing w:val="-3"/>
          <w:sz w:val="24"/>
          <w:szCs w:val="24"/>
        </w:rPr>
        <w:t>。 草</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本层主要种类有芒萁、五节芒、乌蕨等。</w:t>
      </w:r>
    </w:p>
    <w:p>
      <w:pPr>
        <w:spacing w:before="193" w:line="217" w:lineRule="auto"/>
        <w:ind w:left="516"/>
        <w:rPr>
          <w:rFonts w:ascii="宋体" w:hAnsi="宋体" w:eastAsia="宋体" w:cs="宋体"/>
          <w:sz w:val="24"/>
          <w:szCs w:val="24"/>
        </w:rPr>
      </w:pPr>
      <w:r>
        <w:rPr>
          <w:rFonts w:ascii="宋体" w:hAnsi="宋体" w:eastAsia="宋体" w:cs="宋体"/>
          <w:spacing w:val="-3"/>
          <w:sz w:val="24"/>
          <w:szCs w:val="24"/>
        </w:rPr>
        <w:t>②竹林</w:t>
      </w:r>
    </w:p>
    <w:p>
      <w:pPr>
        <w:spacing w:before="198" w:line="368" w:lineRule="auto"/>
        <w:ind w:left="39" w:right="26" w:firstLine="478"/>
        <w:rPr>
          <w:rFonts w:ascii="宋体" w:hAnsi="宋体" w:eastAsia="宋体" w:cs="宋体"/>
          <w:sz w:val="24"/>
          <w:szCs w:val="24"/>
        </w:rPr>
      </w:pPr>
      <w:r>
        <w:rPr>
          <w:rFonts w:ascii="宋体" w:hAnsi="宋体" w:eastAsia="宋体" w:cs="宋体"/>
          <w:spacing w:val="3"/>
          <w:sz w:val="24"/>
          <w:szCs w:val="24"/>
        </w:rPr>
        <w:t>评价区竹林分布广泛，一般见于山脚、河流沟</w:t>
      </w:r>
      <w:r>
        <w:rPr>
          <w:rFonts w:ascii="宋体" w:hAnsi="宋体" w:eastAsia="宋体" w:cs="宋体"/>
          <w:spacing w:val="2"/>
          <w:sz w:val="24"/>
          <w:szCs w:val="24"/>
        </w:rPr>
        <w:t>渠旁以及村落附近，多为栽培</w:t>
      </w:r>
      <w:r>
        <w:rPr>
          <w:rFonts w:ascii="宋体" w:hAnsi="宋体" w:eastAsia="宋体" w:cs="宋体"/>
          <w:sz w:val="24"/>
          <w:szCs w:val="24"/>
        </w:rPr>
        <w:t xml:space="preserve"> </w:t>
      </w:r>
      <w:r>
        <w:rPr>
          <w:rFonts w:ascii="宋体" w:hAnsi="宋体" w:eastAsia="宋体" w:cs="宋体"/>
          <w:spacing w:val="-9"/>
          <w:sz w:val="24"/>
          <w:szCs w:val="24"/>
        </w:rPr>
        <w:t>或半自然化纯林。毛竹林常为纯林，</w:t>
      </w:r>
      <w:r>
        <w:rPr>
          <w:rFonts w:ascii="宋体" w:hAnsi="宋体" w:eastAsia="宋体" w:cs="宋体"/>
          <w:spacing w:val="60"/>
          <w:sz w:val="24"/>
          <w:szCs w:val="24"/>
        </w:rPr>
        <w:t xml:space="preserve"> </w:t>
      </w:r>
      <w:r>
        <w:rPr>
          <w:rFonts w:ascii="宋体" w:hAnsi="宋体" w:eastAsia="宋体" w:cs="宋体"/>
          <w:spacing w:val="-9"/>
          <w:sz w:val="24"/>
          <w:szCs w:val="24"/>
        </w:rPr>
        <w:t>平均胸径</w:t>
      </w:r>
      <w:r>
        <w:rPr>
          <w:rFonts w:ascii="宋体" w:hAnsi="宋体" w:eastAsia="宋体" w:cs="宋体"/>
          <w:spacing w:val="-44"/>
          <w:sz w:val="24"/>
          <w:szCs w:val="24"/>
        </w:rPr>
        <w:t xml:space="preserve"> </w:t>
      </w:r>
      <w:r>
        <w:rPr>
          <w:rFonts w:ascii="Times New Roman" w:hAnsi="Times New Roman" w:eastAsia="Times New Roman" w:cs="Times New Roman"/>
          <w:spacing w:val="-9"/>
          <w:sz w:val="24"/>
          <w:szCs w:val="24"/>
        </w:rPr>
        <w:t>8cm</w:t>
      </w:r>
      <w:r>
        <w:rPr>
          <w:rFonts w:ascii="宋体" w:hAnsi="宋体" w:eastAsia="宋体" w:cs="宋体"/>
          <w:spacing w:val="-9"/>
          <w:sz w:val="24"/>
          <w:szCs w:val="24"/>
        </w:rPr>
        <w:t>，平均高</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13.4m</w:t>
      </w:r>
      <w:r>
        <w:rPr>
          <w:rFonts w:ascii="宋体" w:hAnsi="宋体" w:eastAsia="宋体" w:cs="宋体"/>
          <w:spacing w:val="-9"/>
          <w:sz w:val="24"/>
          <w:szCs w:val="24"/>
        </w:rPr>
        <w:t>，最高</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16m</w:t>
      </w:r>
      <w:r>
        <w:rPr>
          <w:rFonts w:ascii="宋体" w:hAnsi="宋体" w:eastAsia="宋体" w:cs="宋体"/>
          <w:spacing w:val="-9"/>
          <w:sz w:val="24"/>
          <w:szCs w:val="24"/>
        </w:rPr>
        <w:t>。灌</w:t>
      </w:r>
      <w:r>
        <w:rPr>
          <w:rFonts w:ascii="宋体" w:hAnsi="宋体" w:eastAsia="宋体" w:cs="宋体"/>
          <w:sz w:val="24"/>
          <w:szCs w:val="24"/>
        </w:rPr>
        <w:t xml:space="preserve"> </w:t>
      </w:r>
      <w:r>
        <w:rPr>
          <w:rFonts w:ascii="宋体" w:hAnsi="宋体" w:eastAsia="宋体" w:cs="宋体"/>
          <w:spacing w:val="-2"/>
          <w:sz w:val="24"/>
          <w:szCs w:val="24"/>
        </w:rPr>
        <w:t xml:space="preserve">木层平均高 </w:t>
      </w:r>
      <w:r>
        <w:rPr>
          <w:rFonts w:ascii="Times New Roman" w:hAnsi="Times New Roman" w:eastAsia="Times New Roman" w:cs="Times New Roman"/>
          <w:spacing w:val="-2"/>
          <w:sz w:val="24"/>
          <w:szCs w:val="24"/>
        </w:rPr>
        <w:t>1.0m</w:t>
      </w:r>
      <w:r>
        <w:rPr>
          <w:rFonts w:ascii="宋体" w:hAnsi="宋体" w:eastAsia="宋体" w:cs="宋体"/>
          <w:spacing w:val="-2"/>
          <w:sz w:val="24"/>
          <w:szCs w:val="24"/>
        </w:rPr>
        <w:t xml:space="preserve">，主要为寒莓、杜茎山等。草本层平均高 </w:t>
      </w:r>
      <w:r>
        <w:rPr>
          <w:rFonts w:ascii="Times New Roman" w:hAnsi="Times New Roman" w:eastAsia="Times New Roman" w:cs="Times New Roman"/>
          <w:spacing w:val="-2"/>
          <w:sz w:val="24"/>
          <w:szCs w:val="24"/>
        </w:rPr>
        <w:t>0.45m</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，主要种类为狗</w:t>
      </w:r>
    </w:p>
    <w:p>
      <w:pPr>
        <w:spacing w:before="1" w:line="218" w:lineRule="auto"/>
        <w:ind w:left="39"/>
        <w:rPr>
          <w:rFonts w:ascii="宋体" w:hAnsi="宋体" w:eastAsia="宋体" w:cs="宋体"/>
          <w:sz w:val="24"/>
          <w:szCs w:val="24"/>
        </w:rPr>
      </w:pPr>
      <w:r>
        <w:rPr>
          <w:rFonts w:ascii="宋体" w:hAnsi="宋体" w:eastAsia="宋体" w:cs="宋体"/>
          <w:spacing w:val="-4"/>
          <w:sz w:val="24"/>
          <w:szCs w:val="24"/>
        </w:rPr>
        <w:t>脊、翠云草等。</w:t>
      </w:r>
    </w:p>
    <w:p>
      <w:pPr>
        <w:spacing w:before="193" w:line="217" w:lineRule="auto"/>
        <w:ind w:left="516"/>
        <w:rPr>
          <w:rFonts w:ascii="宋体" w:hAnsi="宋体" w:eastAsia="宋体" w:cs="宋体"/>
          <w:sz w:val="24"/>
          <w:szCs w:val="24"/>
        </w:rPr>
      </w:pPr>
      <w:r>
        <w:rPr>
          <w:rFonts w:ascii="宋体" w:hAnsi="宋体" w:eastAsia="宋体" w:cs="宋体"/>
          <w:spacing w:val="-2"/>
          <w:sz w:val="24"/>
          <w:szCs w:val="24"/>
        </w:rPr>
        <w:t>③灌丛和灌草丛</w:t>
      </w:r>
    </w:p>
    <w:p>
      <w:pPr>
        <w:spacing w:before="197" w:line="478" w:lineRule="exact"/>
        <w:jc w:val="right"/>
        <w:rPr>
          <w:rFonts w:ascii="宋体" w:hAnsi="宋体" w:eastAsia="宋体" w:cs="宋体"/>
          <w:sz w:val="24"/>
          <w:szCs w:val="24"/>
        </w:rPr>
      </w:pPr>
      <w:r>
        <w:rPr>
          <w:rFonts w:ascii="宋体" w:hAnsi="宋体" w:eastAsia="宋体" w:cs="宋体"/>
          <w:position w:val="18"/>
          <w:sz w:val="24"/>
          <w:szCs w:val="24"/>
        </w:rPr>
        <w:t>灌丛包括一切以灌木占优势种类所组成的植被类型。群</w:t>
      </w:r>
      <w:r>
        <w:rPr>
          <w:rFonts w:ascii="宋体" w:hAnsi="宋体" w:eastAsia="宋体" w:cs="宋体"/>
          <w:spacing w:val="-1"/>
          <w:position w:val="18"/>
          <w:sz w:val="24"/>
          <w:szCs w:val="24"/>
        </w:rPr>
        <w:t xml:space="preserve">落高度一般在 </w:t>
      </w:r>
      <w:r>
        <w:rPr>
          <w:rFonts w:ascii="Times New Roman" w:hAnsi="Times New Roman" w:eastAsia="Times New Roman" w:cs="Times New Roman"/>
          <w:spacing w:val="-1"/>
          <w:position w:val="18"/>
          <w:sz w:val="24"/>
          <w:szCs w:val="24"/>
        </w:rPr>
        <w:t>2m</w:t>
      </w:r>
      <w:r>
        <w:rPr>
          <w:rFonts w:ascii="Times New Roman" w:hAnsi="Times New Roman" w:eastAsia="Times New Roman" w:cs="Times New Roman"/>
          <w:spacing w:val="19"/>
          <w:w w:val="101"/>
          <w:position w:val="18"/>
          <w:sz w:val="24"/>
          <w:szCs w:val="24"/>
        </w:rPr>
        <w:t xml:space="preserve">  </w:t>
      </w:r>
      <w:r>
        <w:rPr>
          <w:rFonts w:ascii="宋体" w:hAnsi="宋体" w:eastAsia="宋体" w:cs="宋体"/>
          <w:spacing w:val="-1"/>
          <w:position w:val="18"/>
          <w:sz w:val="24"/>
          <w:szCs w:val="24"/>
        </w:rPr>
        <w:t>以</w:t>
      </w:r>
    </w:p>
    <w:p>
      <w:pPr>
        <w:spacing w:line="218" w:lineRule="auto"/>
        <w:ind w:left="45"/>
        <w:rPr>
          <w:rFonts w:ascii="宋体" w:hAnsi="宋体" w:eastAsia="宋体" w:cs="宋体"/>
          <w:sz w:val="24"/>
          <w:szCs w:val="24"/>
        </w:rPr>
      </w:pPr>
      <w:r>
        <w:rPr>
          <w:rFonts w:ascii="宋体" w:hAnsi="宋体" w:eastAsia="宋体" w:cs="宋体"/>
          <w:spacing w:val="-10"/>
          <w:sz w:val="24"/>
          <w:szCs w:val="24"/>
        </w:rPr>
        <w:t>下，评价区灌丛面积较小，</w:t>
      </w:r>
      <w:r>
        <w:rPr>
          <w:rFonts w:ascii="宋体" w:hAnsi="宋体" w:eastAsia="宋体" w:cs="宋体"/>
          <w:spacing w:val="80"/>
          <w:sz w:val="24"/>
          <w:szCs w:val="24"/>
        </w:rPr>
        <w:t xml:space="preserve"> </w:t>
      </w:r>
      <w:r>
        <w:rPr>
          <w:rFonts w:ascii="宋体" w:hAnsi="宋体" w:eastAsia="宋体" w:cs="宋体"/>
          <w:spacing w:val="-10"/>
          <w:sz w:val="24"/>
          <w:szCs w:val="24"/>
        </w:rPr>
        <w:t>一般见于山坡、林缘、路边。</w:t>
      </w:r>
    </w:p>
    <w:p>
      <w:pPr>
        <w:spacing w:before="194" w:line="480" w:lineRule="exact"/>
        <w:ind w:right="37"/>
        <w:jc w:val="right"/>
        <w:rPr>
          <w:rFonts w:ascii="宋体" w:hAnsi="宋体" w:eastAsia="宋体" w:cs="宋体"/>
          <w:sz w:val="24"/>
          <w:szCs w:val="24"/>
        </w:rPr>
      </w:pPr>
      <w:r>
        <w:rPr>
          <w:rFonts w:ascii="宋体" w:hAnsi="宋体" w:eastAsia="宋体" w:cs="宋体"/>
          <w:spacing w:val="2"/>
          <w:position w:val="18"/>
          <w:sz w:val="24"/>
          <w:szCs w:val="24"/>
        </w:rPr>
        <w:t>灌草丛是指以中生或旱中生多年草本植物为主要建群种，但其中散生少数灌</w:t>
      </w:r>
    </w:p>
    <w:p>
      <w:pPr>
        <w:spacing w:line="218" w:lineRule="auto"/>
        <w:ind w:left="39"/>
        <w:rPr>
          <w:rFonts w:ascii="宋体" w:hAnsi="宋体" w:eastAsia="宋体" w:cs="宋体"/>
          <w:sz w:val="24"/>
          <w:szCs w:val="24"/>
        </w:rPr>
      </w:pPr>
      <w:r>
        <w:rPr>
          <w:rFonts w:ascii="宋体" w:hAnsi="宋体" w:eastAsia="宋体" w:cs="宋体"/>
          <w:spacing w:val="-2"/>
          <w:sz w:val="24"/>
          <w:szCs w:val="24"/>
        </w:rPr>
        <w:t>木的植物群落。灌丛和灌草丛在评价区内全线均有分布。</w:t>
      </w:r>
    </w:p>
    <w:p>
      <w:pPr>
        <w:spacing w:before="234" w:line="6012" w:lineRule="exact"/>
        <w:ind w:firstLine="30"/>
      </w:pPr>
      <w:r>
        <w:rPr>
          <w:position w:val="-120"/>
        </w:rPr>
        <w:drawing>
          <wp:inline distT="0" distB="0" distL="0" distR="0">
            <wp:extent cx="5395595" cy="381762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466"/>
                    <a:stretch>
                      <a:fillRect/>
                    </a:stretch>
                  </pic:blipFill>
                  <pic:spPr>
                    <a:xfrm>
                      <a:off x="0" y="0"/>
                      <a:ext cx="5396229" cy="3817620"/>
                    </a:xfrm>
                    <a:prstGeom prst="rect">
                      <a:avLst/>
                    </a:prstGeom>
                  </pic:spPr>
                </pic:pic>
              </a:graphicData>
            </a:graphic>
          </wp:inline>
        </w:drawing>
      </w:r>
    </w:p>
    <w:p>
      <w:pPr>
        <w:spacing w:line="148" w:lineRule="exact"/>
      </w:pPr>
    </w:p>
    <w:p>
      <w:pPr>
        <w:spacing w:line="148" w:lineRule="exact"/>
        <w:sectPr>
          <w:headerReference r:id="rId220" w:type="default"/>
          <w:footerReference r:id="rId221" w:type="default"/>
          <w:pgSz w:w="11907" w:h="16839"/>
          <w:pgMar w:top="1288" w:right="1670" w:bottom="1151" w:left="1673" w:header="1047" w:footer="990" w:gutter="0"/>
          <w:cols w:equalWidth="0" w:num="1">
            <w:col w:w="8563"/>
          </w:cols>
        </w:sectPr>
      </w:pPr>
    </w:p>
    <w:p>
      <w:pPr>
        <w:spacing w:before="48" w:line="221" w:lineRule="auto"/>
        <w:ind w:left="2594"/>
        <w:rPr>
          <w:rFonts w:ascii="Times New Roman" w:hAnsi="Times New Roman" w:eastAsia="Times New Roman" w:cs="Times New Roman"/>
          <w:sz w:val="24"/>
          <w:szCs w:val="24"/>
        </w:rPr>
      </w:pPr>
      <w:r>
        <w:rPr>
          <w:rFonts w:ascii="宋体" w:hAnsi="宋体" w:eastAsia="宋体" w:cs="宋体"/>
          <w:spacing w:val="-7"/>
          <w:sz w:val="24"/>
          <w:szCs w:val="24"/>
        </w:rPr>
        <w:t>图</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4.5-</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7"/>
          <w:sz w:val="24"/>
          <w:szCs w:val="24"/>
        </w:rPr>
        <w:t>1</w:t>
      </w:r>
    </w:p>
    <w:p>
      <w:pPr>
        <w:spacing w:before="267" w:line="185" w:lineRule="auto"/>
        <w:ind w:left="34"/>
        <w:outlineLvl w:val="1"/>
        <w:rPr>
          <w:rFonts w:ascii="宋体" w:hAnsi="宋体" w:eastAsia="宋体" w:cs="宋体"/>
          <w:sz w:val="24"/>
          <w:szCs w:val="24"/>
        </w:rPr>
      </w:pPr>
      <w:r>
        <w:fldChar w:fldCharType="begin"/>
      </w:r>
      <w:r>
        <w:instrText xml:space="preserve"> HYPERLINK "4.5.1.2" </w:instrText>
      </w:r>
      <w:r>
        <w:fldChar w:fldCharType="separate"/>
      </w:r>
      <w:r>
        <w:rPr>
          <w:rFonts w:ascii="Times New Roman" w:hAnsi="Times New Roman" w:eastAsia="Times New Roman" w:cs="Times New Roman"/>
          <w:b/>
          <w:bCs/>
          <w:sz w:val="24"/>
          <w:szCs w:val="24"/>
        </w:rPr>
        <w:t>4.5.1.2</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古树名木及保护植物</w:t>
      </w:r>
    </w:p>
    <w:p>
      <w:pPr>
        <w:pStyle w:val="2"/>
        <w:spacing w:line="14" w:lineRule="auto"/>
        <w:rPr>
          <w:sz w:val="2"/>
        </w:rPr>
      </w:pPr>
      <w:r>
        <w:rPr>
          <w:sz w:val="2"/>
          <w:szCs w:val="2"/>
        </w:rPr>
        <w:br w:type="column"/>
      </w:r>
    </w:p>
    <w:p>
      <w:pPr>
        <w:spacing w:before="47" w:line="218" w:lineRule="auto"/>
        <w:rPr>
          <w:rFonts w:ascii="宋体" w:hAnsi="宋体" w:eastAsia="宋体" w:cs="宋体"/>
          <w:sz w:val="24"/>
          <w:szCs w:val="24"/>
        </w:rPr>
      </w:pPr>
      <w:r>
        <w:rPr>
          <w:rFonts w:ascii="宋体" w:hAnsi="宋体" w:eastAsia="宋体" w:cs="宋体"/>
          <w:spacing w:val="-1"/>
          <w:sz w:val="24"/>
          <w:szCs w:val="24"/>
        </w:rPr>
        <w:t>评价区植被类型分布图</w:t>
      </w:r>
    </w:p>
    <w:p>
      <w:pPr>
        <w:spacing w:line="218" w:lineRule="auto"/>
        <w:rPr>
          <w:rFonts w:ascii="宋体" w:hAnsi="宋体" w:eastAsia="宋体" w:cs="宋体"/>
          <w:sz w:val="24"/>
          <w:szCs w:val="24"/>
        </w:rPr>
        <w:sectPr>
          <w:type w:val="continuous"/>
          <w:pgSz w:w="11907" w:h="16839"/>
          <w:pgMar w:top="1288" w:right="1670" w:bottom="1151" w:left="1673" w:header="1047" w:footer="990" w:gutter="0"/>
          <w:cols w:equalWidth="0" w:num="2">
            <w:col w:w="3509" w:space="100"/>
            <w:col w:w="4954"/>
          </w:cols>
        </w:sectPr>
      </w:pPr>
    </w:p>
    <w:p>
      <w:pPr>
        <w:pStyle w:val="2"/>
        <w:spacing w:line="338" w:lineRule="auto"/>
      </w:pPr>
    </w:p>
    <w:p>
      <w:pPr>
        <w:spacing w:before="78" w:line="368" w:lineRule="auto"/>
        <w:ind w:left="144" w:right="6" w:firstLine="463"/>
        <w:jc w:val="both"/>
        <w:rPr>
          <w:rFonts w:ascii="宋体" w:hAnsi="宋体" w:eastAsia="宋体" w:cs="宋体"/>
          <w:sz w:val="24"/>
          <w:szCs w:val="24"/>
        </w:rPr>
      </w:pPr>
      <w:r>
        <w:rPr>
          <w:rFonts w:ascii="宋体" w:hAnsi="宋体" w:eastAsia="宋体" w:cs="宋体"/>
          <w:spacing w:val="-6"/>
          <w:sz w:val="24"/>
          <w:szCs w:val="24"/>
        </w:rPr>
        <w:t>结合野外调查和相关资料查阅，</w:t>
      </w:r>
      <w:r>
        <w:rPr>
          <w:rFonts w:ascii="宋体" w:hAnsi="宋体" w:eastAsia="宋体" w:cs="宋体"/>
          <w:spacing w:val="59"/>
          <w:sz w:val="24"/>
          <w:szCs w:val="24"/>
        </w:rPr>
        <w:t xml:space="preserve"> </w:t>
      </w:r>
      <w:r>
        <w:rPr>
          <w:rFonts w:ascii="宋体" w:hAnsi="宋体" w:eastAsia="宋体" w:cs="宋体"/>
          <w:spacing w:val="-6"/>
          <w:sz w:val="24"/>
          <w:szCs w:val="24"/>
        </w:rPr>
        <w:t>项目评价范围内发现野大豆（</w:t>
      </w:r>
      <w:r>
        <w:rPr>
          <w:rFonts w:ascii="Times New Roman" w:hAnsi="Times New Roman" w:eastAsia="Times New Roman" w:cs="Times New Roman"/>
          <w:i/>
          <w:iCs/>
          <w:spacing w:val="-6"/>
          <w:sz w:val="24"/>
          <w:szCs w:val="24"/>
        </w:rPr>
        <w:t>Glycine so</w:t>
      </w:r>
      <w:r>
        <w:rPr>
          <w:rFonts w:ascii="Times New Roman" w:hAnsi="Times New Roman" w:eastAsia="Times New Roman" w:cs="Times New Roman"/>
          <w:i/>
          <w:iCs/>
          <w:spacing w:val="-7"/>
          <w:sz w:val="24"/>
          <w:szCs w:val="24"/>
        </w:rPr>
        <w:t>ja</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8"/>
          <w:sz w:val="24"/>
          <w:szCs w:val="24"/>
        </w:rPr>
        <w:t>中华猕猴桃（</w:t>
      </w:r>
      <w:r>
        <w:rPr>
          <w:rFonts w:ascii="Times New Roman" w:hAnsi="Times New Roman" w:eastAsia="Times New Roman" w:cs="Times New Roman"/>
          <w:i/>
          <w:iCs/>
          <w:spacing w:val="-8"/>
          <w:sz w:val="24"/>
          <w:szCs w:val="24"/>
        </w:rPr>
        <w:t>Actinidia chinensis</w:t>
      </w:r>
      <w:r>
        <w:rPr>
          <w:rFonts w:ascii="宋体" w:hAnsi="宋体" w:eastAsia="宋体" w:cs="宋体"/>
          <w:spacing w:val="-8"/>
          <w:sz w:val="24"/>
          <w:szCs w:val="24"/>
        </w:rPr>
        <w:t>）两种国家二级保护植物， 杨桐（</w:t>
      </w:r>
      <w:r>
        <w:rPr>
          <w:rFonts w:ascii="Times New Roman" w:hAnsi="Times New Roman" w:eastAsia="Times New Roman" w:cs="Times New Roman"/>
          <w:i/>
          <w:iCs/>
          <w:spacing w:val="-8"/>
          <w:sz w:val="24"/>
          <w:szCs w:val="24"/>
        </w:rPr>
        <w:t>Adinandra millettii</w:t>
      </w:r>
      <w:r>
        <w:rPr>
          <w:rFonts w:ascii="宋体" w:hAnsi="宋体" w:eastAsia="宋体" w:cs="宋体"/>
          <w:spacing w:val="-8"/>
          <w:sz w:val="24"/>
          <w:szCs w:val="24"/>
        </w:rPr>
        <w:t>）</w:t>
      </w:r>
    </w:p>
    <w:p>
      <w:pPr>
        <w:spacing w:line="219" w:lineRule="auto"/>
        <w:ind w:left="126"/>
        <w:rPr>
          <w:rFonts w:ascii="宋体" w:hAnsi="宋体" w:eastAsia="宋体" w:cs="宋体"/>
          <w:sz w:val="24"/>
          <w:szCs w:val="24"/>
        </w:rPr>
      </w:pPr>
      <w:r>
        <w:rPr>
          <w:rFonts w:ascii="宋体" w:hAnsi="宋体" w:eastAsia="宋体" w:cs="宋体"/>
          <w:spacing w:val="-3"/>
          <w:sz w:val="24"/>
          <w:szCs w:val="24"/>
        </w:rPr>
        <w:t>一种省级保护植物，其中中华猕猴桃为特有种。</w:t>
      </w:r>
    </w:p>
    <w:p>
      <w:pPr>
        <w:pStyle w:val="2"/>
        <w:spacing w:line="273" w:lineRule="auto"/>
      </w:pPr>
    </w:p>
    <w:p>
      <w:pPr>
        <w:spacing w:before="78" w:line="219" w:lineRule="auto"/>
        <w:ind w:left="1813"/>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 xml:space="preserve">4.5-2        </w:t>
      </w:r>
      <w:r>
        <w:rPr>
          <w:rFonts w:ascii="宋体" w:hAnsi="宋体" w:eastAsia="宋体" w:cs="宋体"/>
          <w:spacing w:val="-1"/>
          <w:sz w:val="24"/>
          <w:szCs w:val="24"/>
        </w:rPr>
        <w:t>工程沿线野生重点保护植物分布现状</w:t>
      </w:r>
    </w:p>
    <w:p>
      <w:pPr>
        <w:spacing w:line="231" w:lineRule="exact"/>
      </w:pPr>
    </w:p>
    <w:tbl>
      <w:tblPr>
        <w:tblStyle w:val="5"/>
        <w:tblW w:w="85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3"/>
        <w:gridCol w:w="1277"/>
        <w:gridCol w:w="734"/>
        <w:gridCol w:w="734"/>
        <w:gridCol w:w="645"/>
        <w:gridCol w:w="1097"/>
        <w:gridCol w:w="3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803" w:type="dxa"/>
            <w:vAlign w:val="top"/>
          </w:tcPr>
          <w:p>
            <w:pPr>
              <w:pStyle w:val="6"/>
              <w:spacing w:before="192" w:line="222" w:lineRule="auto"/>
              <w:ind w:left="196"/>
            </w:pPr>
            <w:r>
              <w:rPr>
                <w:spacing w:val="-2"/>
              </w:rPr>
              <w:t>序号</w:t>
            </w:r>
          </w:p>
        </w:tc>
        <w:tc>
          <w:tcPr>
            <w:tcW w:w="1277" w:type="dxa"/>
            <w:vAlign w:val="top"/>
          </w:tcPr>
          <w:p>
            <w:pPr>
              <w:pStyle w:val="6"/>
              <w:spacing w:before="193" w:line="221" w:lineRule="auto"/>
              <w:ind w:left="220"/>
            </w:pPr>
            <w:r>
              <w:rPr>
                <w:spacing w:val="-2"/>
              </w:rPr>
              <w:t>物种名称</w:t>
            </w:r>
          </w:p>
        </w:tc>
        <w:tc>
          <w:tcPr>
            <w:tcW w:w="734" w:type="dxa"/>
            <w:vAlign w:val="top"/>
          </w:tcPr>
          <w:p>
            <w:pPr>
              <w:pStyle w:val="6"/>
              <w:spacing w:before="55" w:line="241" w:lineRule="auto"/>
              <w:ind w:left="159"/>
            </w:pPr>
            <w:r>
              <w:rPr>
                <w:spacing w:val="-2"/>
              </w:rPr>
              <w:t>保护</w:t>
            </w:r>
          </w:p>
          <w:p>
            <w:pPr>
              <w:pStyle w:val="6"/>
              <w:spacing w:line="221" w:lineRule="auto"/>
              <w:ind w:left="161"/>
            </w:pPr>
            <w:r>
              <w:rPr>
                <w:spacing w:val="-3"/>
              </w:rPr>
              <w:t>级别</w:t>
            </w:r>
          </w:p>
        </w:tc>
        <w:tc>
          <w:tcPr>
            <w:tcW w:w="734" w:type="dxa"/>
            <w:vAlign w:val="top"/>
          </w:tcPr>
          <w:p>
            <w:pPr>
              <w:pStyle w:val="6"/>
              <w:spacing w:before="55" w:line="241" w:lineRule="auto"/>
              <w:ind w:left="160"/>
            </w:pPr>
            <w:r>
              <w:rPr>
                <w:spacing w:val="-2"/>
              </w:rPr>
              <w:t>濒危</w:t>
            </w:r>
          </w:p>
          <w:p>
            <w:pPr>
              <w:pStyle w:val="6"/>
              <w:spacing w:line="220" w:lineRule="auto"/>
              <w:ind w:left="162"/>
            </w:pPr>
            <w:r>
              <w:rPr>
                <w:spacing w:val="-2"/>
              </w:rPr>
              <w:t>等级</w:t>
            </w:r>
          </w:p>
        </w:tc>
        <w:tc>
          <w:tcPr>
            <w:tcW w:w="645" w:type="dxa"/>
            <w:vAlign w:val="top"/>
          </w:tcPr>
          <w:p>
            <w:pPr>
              <w:pStyle w:val="6"/>
              <w:spacing w:before="55" w:line="231" w:lineRule="auto"/>
              <w:ind w:left="221" w:right="107" w:hanging="103"/>
            </w:pPr>
            <w:r>
              <w:rPr>
                <w:spacing w:val="-3"/>
              </w:rPr>
              <w:t>特有</w:t>
            </w:r>
            <w:r>
              <w:t xml:space="preserve"> 种</w:t>
            </w:r>
          </w:p>
        </w:tc>
        <w:tc>
          <w:tcPr>
            <w:tcW w:w="1097" w:type="dxa"/>
            <w:vAlign w:val="top"/>
          </w:tcPr>
          <w:p>
            <w:pPr>
              <w:pStyle w:val="6"/>
              <w:spacing w:before="54" w:line="231" w:lineRule="auto"/>
              <w:ind w:left="133" w:right="124" w:firstLine="2"/>
            </w:pPr>
            <w:r>
              <w:rPr>
                <w:spacing w:val="-3"/>
              </w:rPr>
              <w:t>极小种群</w:t>
            </w:r>
            <w:r>
              <w:rPr>
                <w:spacing w:val="2"/>
              </w:rPr>
              <w:t xml:space="preserve"> </w:t>
            </w:r>
            <w:r>
              <w:rPr>
                <w:spacing w:val="-2"/>
              </w:rPr>
              <w:t>野生植物</w:t>
            </w:r>
          </w:p>
        </w:tc>
        <w:tc>
          <w:tcPr>
            <w:tcW w:w="3291" w:type="dxa"/>
            <w:vAlign w:val="top"/>
          </w:tcPr>
          <w:p>
            <w:pPr>
              <w:pStyle w:val="6"/>
              <w:spacing w:before="192" w:line="220" w:lineRule="auto"/>
              <w:ind w:left="1230"/>
            </w:pPr>
            <w:r>
              <w:rPr>
                <w:spacing w:val="-2"/>
              </w:rPr>
              <w:t>分布区域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03" w:type="dxa"/>
            <w:vAlign w:val="top"/>
          </w:tcPr>
          <w:p>
            <w:pPr>
              <w:spacing w:line="281" w:lineRule="auto"/>
              <w:rPr>
                <w:rFonts w:ascii="Arial"/>
                <w:sz w:val="21"/>
              </w:rPr>
            </w:pPr>
          </w:p>
          <w:p>
            <w:pPr>
              <w:spacing w:before="6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p>
        </w:tc>
        <w:tc>
          <w:tcPr>
            <w:tcW w:w="1277" w:type="dxa"/>
            <w:vAlign w:val="top"/>
          </w:tcPr>
          <w:p>
            <w:pPr>
              <w:pStyle w:val="6"/>
              <w:spacing w:before="182" w:line="221" w:lineRule="auto"/>
              <w:ind w:left="323"/>
            </w:pPr>
            <w:r>
              <w:rPr>
                <w:spacing w:val="-2"/>
              </w:rPr>
              <w:t>野大豆</w:t>
            </w:r>
          </w:p>
          <w:p>
            <w:pPr>
              <w:spacing w:before="40" w:line="191" w:lineRule="auto"/>
              <w:ind w:left="118"/>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Glycine soja</w:t>
            </w:r>
          </w:p>
        </w:tc>
        <w:tc>
          <w:tcPr>
            <w:tcW w:w="734" w:type="dxa"/>
            <w:vAlign w:val="top"/>
          </w:tcPr>
          <w:p>
            <w:pPr>
              <w:pStyle w:val="6"/>
              <w:spacing w:before="167" w:line="239" w:lineRule="auto"/>
              <w:ind w:left="178"/>
            </w:pPr>
            <w:r>
              <w:rPr>
                <w:spacing w:val="-7"/>
              </w:rPr>
              <w:t>国家</w:t>
            </w:r>
          </w:p>
          <w:p>
            <w:pPr>
              <w:pStyle w:val="6"/>
              <w:spacing w:line="222" w:lineRule="auto"/>
              <w:ind w:left="161"/>
            </w:pPr>
            <w:r>
              <w:rPr>
                <w:spacing w:val="-3"/>
              </w:rPr>
              <w:t>二级</w:t>
            </w:r>
          </w:p>
        </w:tc>
        <w:tc>
          <w:tcPr>
            <w:tcW w:w="734" w:type="dxa"/>
            <w:vAlign w:val="top"/>
          </w:tcPr>
          <w:p>
            <w:pPr>
              <w:pStyle w:val="6"/>
              <w:spacing w:before="304" w:line="221" w:lineRule="auto"/>
              <w:ind w:left="162"/>
            </w:pPr>
            <w:r>
              <w:rPr>
                <w:spacing w:val="-2"/>
              </w:rPr>
              <w:t>无危</w:t>
            </w:r>
          </w:p>
        </w:tc>
        <w:tc>
          <w:tcPr>
            <w:tcW w:w="645" w:type="dxa"/>
            <w:vAlign w:val="top"/>
          </w:tcPr>
          <w:p>
            <w:pPr>
              <w:pStyle w:val="6"/>
              <w:spacing w:before="304" w:line="221" w:lineRule="auto"/>
              <w:ind w:left="227"/>
            </w:pPr>
            <w:r>
              <w:t>否</w:t>
            </w:r>
          </w:p>
        </w:tc>
        <w:tc>
          <w:tcPr>
            <w:tcW w:w="1097" w:type="dxa"/>
            <w:vAlign w:val="top"/>
          </w:tcPr>
          <w:p>
            <w:pPr>
              <w:pStyle w:val="6"/>
              <w:spacing w:before="304" w:line="221" w:lineRule="auto"/>
              <w:ind w:left="454"/>
            </w:pPr>
            <w:r>
              <w:t>否</w:t>
            </w:r>
          </w:p>
        </w:tc>
        <w:tc>
          <w:tcPr>
            <w:tcW w:w="3291" w:type="dxa"/>
            <w:vAlign w:val="top"/>
          </w:tcPr>
          <w:p>
            <w:pPr>
              <w:pStyle w:val="6"/>
              <w:spacing w:before="65" w:line="210" w:lineRule="auto"/>
              <w:ind w:left="107"/>
            </w:pPr>
            <w:r>
              <w:rPr>
                <w:rFonts w:ascii="Times New Roman" w:hAnsi="Times New Roman" w:eastAsia="Times New Roman" w:cs="Times New Roman"/>
                <w:spacing w:val="-1"/>
              </w:rPr>
              <w:t>E:119°56′50.38″</w:t>
            </w:r>
            <w:r>
              <w:rPr>
                <w:rFonts w:ascii="Times New Roman" w:hAnsi="Times New Roman" w:eastAsia="Times New Roman" w:cs="Times New Roman"/>
                <w:spacing w:val="-28"/>
              </w:rPr>
              <w:t xml:space="preserve"> </w:t>
            </w:r>
            <w:r>
              <w:rPr>
                <w:spacing w:val="-1"/>
              </w:rPr>
              <w:t>，</w:t>
            </w:r>
            <w:r>
              <w:rPr>
                <w:rFonts w:ascii="Times New Roman" w:hAnsi="Times New Roman" w:eastAsia="Times New Roman" w:cs="Times New Roman"/>
                <w:spacing w:val="-1"/>
              </w:rPr>
              <w:t>N:27°49′29</w:t>
            </w:r>
            <w:r>
              <w:rPr>
                <w:rFonts w:ascii="Times New Roman" w:hAnsi="Times New Roman" w:eastAsia="Times New Roman" w:cs="Times New Roman"/>
                <w:spacing w:val="-2"/>
              </w:rPr>
              <w:t>.08″</w:t>
            </w:r>
            <w:r>
              <w:rPr>
                <w:spacing w:val="-2"/>
              </w:rPr>
              <w:t>，</w:t>
            </w:r>
          </w:p>
          <w:p>
            <w:pPr>
              <w:pStyle w:val="6"/>
              <w:spacing w:line="234" w:lineRule="auto"/>
              <w:ind w:left="143"/>
            </w:pPr>
            <w:r>
              <w:rPr>
                <w:rFonts w:ascii="Times New Roman" w:hAnsi="Times New Roman" w:eastAsia="Times New Roman" w:cs="Times New Roman"/>
                <w:spacing w:val="-2"/>
              </w:rPr>
              <w:t>H:515m</w:t>
            </w:r>
            <w:r>
              <w:rPr>
                <w:rFonts w:ascii="Times New Roman" w:hAnsi="Times New Roman" w:eastAsia="Times New Roman" w:cs="Times New Roman"/>
                <w:spacing w:val="-19"/>
              </w:rPr>
              <w:t xml:space="preserve"> </w:t>
            </w:r>
            <w:r>
              <w:rPr>
                <w:spacing w:val="-2"/>
              </w:rPr>
              <w:t>，敖里隧道进口变电所西</w:t>
            </w:r>
          </w:p>
          <w:p>
            <w:pPr>
              <w:pStyle w:val="6"/>
              <w:spacing w:before="5" w:line="207" w:lineRule="auto"/>
              <w:ind w:left="1541"/>
            </w:pPr>
            <w:r>
              <w:t>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803" w:type="dxa"/>
            <w:vAlign w:val="top"/>
          </w:tcPr>
          <w:p>
            <w:pPr>
              <w:spacing w:line="283" w:lineRule="auto"/>
              <w:rPr>
                <w:rFonts w:ascii="Arial"/>
                <w:sz w:val="21"/>
              </w:rPr>
            </w:pPr>
          </w:p>
          <w:p>
            <w:pPr>
              <w:spacing w:before="60" w:line="184"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5.</w:t>
            </w:r>
          </w:p>
        </w:tc>
        <w:tc>
          <w:tcPr>
            <w:tcW w:w="1277" w:type="dxa"/>
            <w:vAlign w:val="top"/>
          </w:tcPr>
          <w:p>
            <w:pPr>
              <w:pStyle w:val="6"/>
              <w:spacing w:before="63" w:line="221" w:lineRule="auto"/>
              <w:ind w:left="134"/>
            </w:pPr>
            <w:r>
              <w:rPr>
                <w:spacing w:val="-5"/>
              </w:rPr>
              <w:t>中华猕猴桃</w:t>
            </w:r>
          </w:p>
          <w:p>
            <w:pPr>
              <w:spacing w:before="41" w:line="225" w:lineRule="auto"/>
              <w:ind w:left="246" w:right="248" w:hanging="11"/>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Actinidia</w:t>
            </w:r>
            <w:r>
              <w:rPr>
                <w:rFonts w:ascii="Times New Roman" w:hAnsi="Times New Roman" w:eastAsia="Times New Roman" w:cs="Times New Roman"/>
                <w:i/>
                <w:iCs/>
                <w:sz w:val="21"/>
                <w:szCs w:val="21"/>
              </w:rPr>
              <w:t xml:space="preserve"> </w:t>
            </w:r>
            <w:r>
              <w:rPr>
                <w:rFonts w:ascii="Times New Roman" w:hAnsi="Times New Roman" w:eastAsia="Times New Roman" w:cs="Times New Roman"/>
                <w:i/>
                <w:iCs/>
                <w:spacing w:val="-1"/>
                <w:sz w:val="21"/>
                <w:szCs w:val="21"/>
              </w:rPr>
              <w:t>chinensis</w:t>
            </w:r>
          </w:p>
        </w:tc>
        <w:tc>
          <w:tcPr>
            <w:tcW w:w="734" w:type="dxa"/>
            <w:vAlign w:val="top"/>
          </w:tcPr>
          <w:p>
            <w:pPr>
              <w:pStyle w:val="6"/>
              <w:spacing w:before="166" w:line="241" w:lineRule="auto"/>
              <w:ind w:left="178"/>
            </w:pPr>
            <w:r>
              <w:rPr>
                <w:spacing w:val="-7"/>
              </w:rPr>
              <w:t>国家</w:t>
            </w:r>
          </w:p>
          <w:p>
            <w:pPr>
              <w:pStyle w:val="6"/>
              <w:spacing w:line="222" w:lineRule="auto"/>
              <w:ind w:left="161"/>
            </w:pPr>
            <w:r>
              <w:rPr>
                <w:spacing w:val="-3"/>
              </w:rPr>
              <w:t>二级</w:t>
            </w:r>
          </w:p>
        </w:tc>
        <w:tc>
          <w:tcPr>
            <w:tcW w:w="734" w:type="dxa"/>
            <w:vAlign w:val="top"/>
          </w:tcPr>
          <w:p>
            <w:pPr>
              <w:pStyle w:val="6"/>
              <w:spacing w:before="304" w:line="221" w:lineRule="auto"/>
              <w:ind w:left="162"/>
            </w:pPr>
            <w:r>
              <w:rPr>
                <w:spacing w:val="-2"/>
              </w:rPr>
              <w:t>无危</w:t>
            </w:r>
          </w:p>
        </w:tc>
        <w:tc>
          <w:tcPr>
            <w:tcW w:w="645" w:type="dxa"/>
            <w:vAlign w:val="top"/>
          </w:tcPr>
          <w:p>
            <w:pPr>
              <w:pStyle w:val="6"/>
              <w:spacing w:before="303" w:line="224" w:lineRule="auto"/>
              <w:ind w:left="224"/>
            </w:pPr>
            <w:r>
              <w:t>是</w:t>
            </w:r>
          </w:p>
        </w:tc>
        <w:tc>
          <w:tcPr>
            <w:tcW w:w="1097" w:type="dxa"/>
            <w:vAlign w:val="top"/>
          </w:tcPr>
          <w:p>
            <w:pPr>
              <w:pStyle w:val="6"/>
              <w:spacing w:before="304" w:line="221" w:lineRule="auto"/>
              <w:ind w:left="454"/>
            </w:pPr>
            <w:r>
              <w:t>否</w:t>
            </w:r>
          </w:p>
        </w:tc>
        <w:tc>
          <w:tcPr>
            <w:tcW w:w="3291" w:type="dxa"/>
            <w:vAlign w:val="top"/>
          </w:tcPr>
          <w:p>
            <w:pPr>
              <w:pStyle w:val="6"/>
              <w:spacing w:before="68" w:line="181" w:lineRule="auto"/>
              <w:ind w:left="129"/>
            </w:pPr>
            <w:r>
              <w:rPr>
                <w:rFonts w:ascii="Times New Roman" w:hAnsi="Times New Roman" w:eastAsia="Times New Roman" w:cs="Times New Roman"/>
                <w:spacing w:val="-1"/>
              </w:rPr>
              <w:t>E:119°55′55.37″</w:t>
            </w:r>
            <w:r>
              <w:rPr>
                <w:rFonts w:ascii="Times New Roman" w:hAnsi="Times New Roman" w:eastAsia="Times New Roman" w:cs="Times New Roman"/>
                <w:spacing w:val="-28"/>
              </w:rPr>
              <w:t xml:space="preserve"> </w:t>
            </w:r>
            <w:r>
              <w:rPr>
                <w:spacing w:val="-1"/>
              </w:rPr>
              <w:t>，</w:t>
            </w:r>
            <w:r>
              <w:rPr>
                <w:rFonts w:ascii="Times New Roman" w:hAnsi="Times New Roman" w:eastAsia="Times New Roman" w:cs="Times New Roman"/>
                <w:spacing w:val="-1"/>
              </w:rPr>
              <w:t>N:27°49′1</w:t>
            </w:r>
            <w:r>
              <w:rPr>
                <w:rFonts w:ascii="Times New Roman" w:hAnsi="Times New Roman" w:eastAsia="Times New Roman" w:cs="Times New Roman"/>
                <w:spacing w:val="-2"/>
              </w:rPr>
              <w:t>.76″</w:t>
            </w:r>
            <w:r>
              <w:rPr>
                <w:spacing w:val="-2"/>
              </w:rPr>
              <w:t>，</w:t>
            </w:r>
          </w:p>
          <w:p>
            <w:pPr>
              <w:pStyle w:val="6"/>
              <w:spacing w:before="29" w:line="234" w:lineRule="auto"/>
              <w:ind w:left="107"/>
            </w:pPr>
            <w:r>
              <w:rPr>
                <w:rFonts w:ascii="Times New Roman" w:hAnsi="Times New Roman" w:eastAsia="Times New Roman" w:cs="Times New Roman"/>
                <w:spacing w:val="-3"/>
              </w:rPr>
              <w:t>H:458m</w:t>
            </w:r>
            <w:r>
              <w:rPr>
                <w:spacing w:val="-3"/>
              </w:rPr>
              <w:t>，</w:t>
            </w:r>
            <w:r>
              <w:rPr>
                <w:rFonts w:ascii="Times New Roman" w:hAnsi="Times New Roman" w:eastAsia="Times New Roman" w:cs="Times New Roman"/>
                <w:spacing w:val="-3"/>
              </w:rPr>
              <w:t>K0+400</w:t>
            </w:r>
            <w:r>
              <w:rPr>
                <w:rFonts w:ascii="Times New Roman" w:hAnsi="Times New Roman" w:eastAsia="Times New Roman" w:cs="Times New Roman"/>
                <w:spacing w:val="22"/>
              </w:rPr>
              <w:t xml:space="preserve"> </w:t>
            </w:r>
            <w:r>
              <w:rPr>
                <w:spacing w:val="-3"/>
              </w:rPr>
              <w:t>到严驮岙道路南</w:t>
            </w:r>
          </w:p>
          <w:p>
            <w:pPr>
              <w:pStyle w:val="6"/>
              <w:spacing w:before="6" w:line="204" w:lineRule="auto"/>
              <w:ind w:left="1541"/>
            </w:pPr>
            <w:r>
              <w:t>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803" w:type="dxa"/>
            <w:vAlign w:val="top"/>
          </w:tcPr>
          <w:p>
            <w:pPr>
              <w:spacing w:line="253" w:lineRule="auto"/>
              <w:rPr>
                <w:rFonts w:ascii="Arial"/>
                <w:sz w:val="21"/>
              </w:rPr>
            </w:pPr>
          </w:p>
          <w:p>
            <w:pPr>
              <w:spacing w:before="60"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p>
        </w:tc>
        <w:tc>
          <w:tcPr>
            <w:tcW w:w="1277" w:type="dxa"/>
            <w:vAlign w:val="top"/>
          </w:tcPr>
          <w:p>
            <w:pPr>
              <w:pStyle w:val="6"/>
              <w:spacing w:before="33" w:line="221" w:lineRule="auto"/>
              <w:ind w:left="430"/>
            </w:pPr>
            <w:r>
              <w:rPr>
                <w:spacing w:val="-2"/>
              </w:rPr>
              <w:t>杨桐</w:t>
            </w:r>
          </w:p>
          <w:p>
            <w:pPr>
              <w:spacing w:before="40" w:line="213" w:lineRule="auto"/>
              <w:ind w:left="308" w:right="191" w:hanging="138"/>
              <w:rPr>
                <w:rFonts w:ascii="Times New Roman" w:hAnsi="Times New Roman" w:eastAsia="Times New Roman" w:cs="Times New Roman"/>
                <w:sz w:val="21"/>
                <w:szCs w:val="21"/>
              </w:rPr>
            </w:pPr>
            <w:r>
              <w:rPr>
                <w:rFonts w:ascii="Times New Roman" w:hAnsi="Times New Roman" w:eastAsia="Times New Roman" w:cs="Times New Roman"/>
                <w:i/>
                <w:iCs/>
                <w:spacing w:val="1"/>
                <w:sz w:val="21"/>
                <w:szCs w:val="21"/>
              </w:rPr>
              <w:t xml:space="preserve">Adinandra </w:t>
            </w:r>
            <w:r>
              <w:rPr>
                <w:rFonts w:ascii="Times New Roman" w:hAnsi="Times New Roman" w:eastAsia="Times New Roman" w:cs="Times New Roman"/>
                <w:i/>
                <w:iCs/>
                <w:spacing w:val="-1"/>
                <w:sz w:val="21"/>
                <w:szCs w:val="21"/>
              </w:rPr>
              <w:t>millettii</w:t>
            </w:r>
          </w:p>
        </w:tc>
        <w:tc>
          <w:tcPr>
            <w:tcW w:w="734" w:type="dxa"/>
            <w:vAlign w:val="top"/>
          </w:tcPr>
          <w:p>
            <w:pPr>
              <w:pStyle w:val="6"/>
              <w:spacing w:before="276" w:line="221" w:lineRule="auto"/>
              <w:ind w:left="161"/>
            </w:pPr>
            <w:r>
              <w:rPr>
                <w:spacing w:val="-3"/>
              </w:rPr>
              <w:t>省级</w:t>
            </w:r>
          </w:p>
        </w:tc>
        <w:tc>
          <w:tcPr>
            <w:tcW w:w="734" w:type="dxa"/>
            <w:vAlign w:val="top"/>
          </w:tcPr>
          <w:p>
            <w:pPr>
              <w:pStyle w:val="6"/>
              <w:spacing w:before="276" w:line="221" w:lineRule="auto"/>
              <w:ind w:left="162"/>
            </w:pPr>
            <w:r>
              <w:rPr>
                <w:spacing w:val="-2"/>
              </w:rPr>
              <w:t>无危</w:t>
            </w:r>
          </w:p>
        </w:tc>
        <w:tc>
          <w:tcPr>
            <w:tcW w:w="645" w:type="dxa"/>
            <w:vAlign w:val="top"/>
          </w:tcPr>
          <w:p>
            <w:pPr>
              <w:pStyle w:val="6"/>
              <w:spacing w:before="276" w:line="221" w:lineRule="auto"/>
              <w:ind w:left="227"/>
            </w:pPr>
            <w:r>
              <w:t>否</w:t>
            </w:r>
          </w:p>
        </w:tc>
        <w:tc>
          <w:tcPr>
            <w:tcW w:w="1097" w:type="dxa"/>
            <w:vAlign w:val="top"/>
          </w:tcPr>
          <w:p>
            <w:pPr>
              <w:pStyle w:val="6"/>
              <w:spacing w:before="276" w:line="221" w:lineRule="auto"/>
              <w:ind w:left="454"/>
            </w:pPr>
            <w:r>
              <w:t>否</w:t>
            </w:r>
          </w:p>
        </w:tc>
        <w:tc>
          <w:tcPr>
            <w:tcW w:w="3291" w:type="dxa"/>
            <w:vAlign w:val="top"/>
          </w:tcPr>
          <w:p>
            <w:pPr>
              <w:pStyle w:val="6"/>
              <w:spacing w:before="175" w:line="222" w:lineRule="auto"/>
              <w:ind w:left="283" w:right="92" w:hanging="176"/>
            </w:pPr>
            <w:r>
              <w:rPr>
                <w:rFonts w:ascii="Times New Roman" w:hAnsi="Times New Roman" w:eastAsia="Times New Roman" w:cs="Times New Roman"/>
                <w:spacing w:val="-3"/>
              </w:rPr>
              <w:t>E:119°56′40.35″</w:t>
            </w:r>
            <w:r>
              <w:rPr>
                <w:rFonts w:ascii="Times New Roman" w:hAnsi="Times New Roman" w:eastAsia="Times New Roman" w:cs="Times New Roman"/>
                <w:spacing w:val="-17"/>
              </w:rPr>
              <w:t xml:space="preserve"> </w:t>
            </w:r>
            <w:r>
              <w:rPr>
                <w:spacing w:val="-3"/>
              </w:rPr>
              <w:t>，</w:t>
            </w:r>
            <w:r>
              <w:rPr>
                <w:rFonts w:ascii="Times New Roman" w:hAnsi="Times New Roman" w:eastAsia="Times New Roman" w:cs="Times New Roman"/>
                <w:spacing w:val="-3"/>
              </w:rPr>
              <w:t>N:27°49′20.35″</w:t>
            </w:r>
            <w:r>
              <w:rPr>
                <w:spacing w:val="-3"/>
              </w:rPr>
              <w:t>，</w:t>
            </w:r>
            <w:r>
              <w:t xml:space="preserve"> </w:t>
            </w:r>
            <w:r>
              <w:rPr>
                <w:rFonts w:ascii="Times New Roman" w:hAnsi="Times New Roman" w:eastAsia="Times New Roman" w:cs="Times New Roman"/>
                <w:spacing w:val="-2"/>
              </w:rPr>
              <w:t>H:462m</w:t>
            </w:r>
            <w:r>
              <w:rPr>
                <w:rFonts w:ascii="Times New Roman" w:hAnsi="Times New Roman" w:eastAsia="Times New Roman" w:cs="Times New Roman"/>
                <w:spacing w:val="-14"/>
              </w:rPr>
              <w:t xml:space="preserve"> </w:t>
            </w:r>
            <w:r>
              <w:rPr>
                <w:spacing w:val="-2"/>
              </w:rPr>
              <w:t>，</w:t>
            </w:r>
            <w:r>
              <w:rPr>
                <w:rFonts w:ascii="Times New Roman" w:hAnsi="Times New Roman" w:eastAsia="Times New Roman" w:cs="Times New Roman"/>
                <w:spacing w:val="-2"/>
              </w:rPr>
              <w:t xml:space="preserve">L2K1+100 </w:t>
            </w:r>
            <w:r>
              <w:rPr>
                <w:spacing w:val="-2"/>
              </w:rPr>
              <w:t>南侧山体</w:t>
            </w:r>
          </w:p>
        </w:tc>
      </w:tr>
    </w:tbl>
    <w:p>
      <w:pPr>
        <w:spacing w:before="194" w:line="218" w:lineRule="auto"/>
        <w:ind w:left="118"/>
        <w:outlineLvl w:val="1"/>
        <w:rPr>
          <w:rFonts w:ascii="宋体" w:hAnsi="宋体" w:eastAsia="宋体" w:cs="宋体"/>
          <w:sz w:val="24"/>
          <w:szCs w:val="24"/>
        </w:rPr>
      </w:pPr>
      <w:r>
        <w:fldChar w:fldCharType="begin"/>
      </w:r>
      <w:r>
        <w:instrText xml:space="preserve"> HYPERLINK "4.5.1.3" </w:instrText>
      </w:r>
      <w:r>
        <w:fldChar w:fldCharType="separate"/>
      </w:r>
      <w:r>
        <w:rPr>
          <w:rFonts w:ascii="Times New Roman" w:hAnsi="Times New Roman" w:eastAsia="Times New Roman" w:cs="Times New Roman"/>
          <w:b/>
          <w:bCs/>
          <w:sz w:val="24"/>
          <w:szCs w:val="24"/>
        </w:rPr>
        <w:t>4.5.1.3</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评价区生态现状综合评价</w:t>
      </w:r>
    </w:p>
    <w:p>
      <w:pPr>
        <w:spacing w:before="185" w:line="221" w:lineRule="auto"/>
        <w:ind w:left="60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）生物量</w:t>
      </w:r>
    </w:p>
    <w:p>
      <w:pPr>
        <w:spacing w:before="181" w:line="359" w:lineRule="auto"/>
        <w:ind w:left="121" w:right="121" w:firstLine="482"/>
        <w:rPr>
          <w:rFonts w:ascii="宋体" w:hAnsi="宋体" w:eastAsia="宋体" w:cs="宋体"/>
          <w:sz w:val="24"/>
          <w:szCs w:val="24"/>
        </w:rPr>
      </w:pPr>
      <w:r>
        <w:rPr>
          <w:rFonts w:ascii="宋体" w:hAnsi="宋体" w:eastAsia="宋体" w:cs="宋体"/>
          <w:spacing w:val="2"/>
          <w:sz w:val="24"/>
          <w:szCs w:val="24"/>
        </w:rPr>
        <w:t>生物量能反映生物的生产能力，群落的总生物量的大小可以反映群落利用自</w:t>
      </w:r>
      <w:r>
        <w:rPr>
          <w:rFonts w:ascii="宋体" w:hAnsi="宋体" w:eastAsia="宋体" w:cs="宋体"/>
          <w:spacing w:val="17"/>
          <w:sz w:val="24"/>
          <w:szCs w:val="24"/>
        </w:rPr>
        <w:t xml:space="preserve"> </w:t>
      </w:r>
      <w:r>
        <w:rPr>
          <w:rFonts w:ascii="宋体" w:hAnsi="宋体" w:eastAsia="宋体" w:cs="宋体"/>
          <w:spacing w:val="2"/>
          <w:sz w:val="24"/>
          <w:szCs w:val="24"/>
        </w:rPr>
        <w:t>然潜力的能力，衡量群落生产力的高低，也是定量表征评价区内各生态系统的生</w:t>
      </w:r>
      <w:r>
        <w:rPr>
          <w:rFonts w:ascii="宋体" w:hAnsi="宋体" w:eastAsia="宋体" w:cs="宋体"/>
          <w:spacing w:val="15"/>
          <w:sz w:val="24"/>
          <w:szCs w:val="24"/>
        </w:rPr>
        <w:t xml:space="preserve"> </w:t>
      </w:r>
      <w:r>
        <w:rPr>
          <w:rFonts w:ascii="宋体" w:hAnsi="宋体" w:eastAsia="宋体" w:cs="宋体"/>
          <w:spacing w:val="2"/>
          <w:sz w:val="24"/>
          <w:szCs w:val="24"/>
        </w:rPr>
        <w:t>产现状，尤其是森林生态系统生产现状以及生态环境质量现状的重要指标之一。</w:t>
      </w:r>
      <w:r>
        <w:rPr>
          <w:rFonts w:ascii="宋体" w:hAnsi="宋体" w:eastAsia="宋体" w:cs="宋体"/>
          <w:spacing w:val="16"/>
          <w:sz w:val="24"/>
          <w:szCs w:val="24"/>
        </w:rPr>
        <w:t xml:space="preserve"> </w:t>
      </w:r>
      <w:r>
        <w:rPr>
          <w:rFonts w:ascii="宋体" w:hAnsi="宋体" w:eastAsia="宋体" w:cs="宋体"/>
          <w:spacing w:val="2"/>
          <w:sz w:val="24"/>
          <w:szCs w:val="24"/>
        </w:rPr>
        <w:t>评价区内生物量的计算采用平均生物量法计算，即利用各地类群落的单位生物量</w:t>
      </w:r>
    </w:p>
    <w:p>
      <w:pPr>
        <w:spacing w:line="218" w:lineRule="auto"/>
        <w:ind w:left="122"/>
        <w:rPr>
          <w:rFonts w:ascii="宋体" w:hAnsi="宋体" w:eastAsia="宋体" w:cs="宋体"/>
          <w:sz w:val="24"/>
          <w:szCs w:val="24"/>
        </w:rPr>
      </w:pPr>
      <w:r>
        <w:rPr>
          <w:rFonts w:ascii="宋体" w:hAnsi="宋体" w:eastAsia="宋体" w:cs="宋体"/>
          <w:spacing w:val="-2"/>
          <w:sz w:val="24"/>
          <w:szCs w:val="24"/>
        </w:rPr>
        <w:t>乘以该地类群落的面积，从而获得评价区的总生物量。</w:t>
      </w:r>
    </w:p>
    <w:p>
      <w:pPr>
        <w:spacing w:before="182" w:line="376" w:lineRule="auto"/>
        <w:ind w:left="123" w:right="110" w:firstLine="481"/>
        <w:rPr>
          <w:rFonts w:ascii="宋体" w:hAnsi="宋体" w:eastAsia="宋体" w:cs="宋体"/>
          <w:sz w:val="24"/>
          <w:szCs w:val="24"/>
        </w:rPr>
      </w:pPr>
      <w:r>
        <w:rPr>
          <w:rFonts w:ascii="宋体" w:hAnsi="宋体" w:eastAsia="宋体" w:cs="宋体"/>
          <w:spacing w:val="-12"/>
          <w:sz w:val="24"/>
          <w:szCs w:val="24"/>
        </w:rPr>
        <w:t>各地类群落的单位生物量由以下方式获得：</w:t>
      </w:r>
      <w:r>
        <w:rPr>
          <w:rFonts w:ascii="宋体" w:hAnsi="宋体" w:eastAsia="宋体" w:cs="宋体"/>
          <w:spacing w:val="84"/>
          <w:sz w:val="24"/>
          <w:szCs w:val="24"/>
        </w:rPr>
        <w:t xml:space="preserve"> </w:t>
      </w:r>
      <w:r>
        <w:rPr>
          <w:rFonts w:ascii="宋体" w:hAnsi="宋体" w:eastAsia="宋体" w:cs="宋体"/>
          <w:spacing w:val="-13"/>
          <w:sz w:val="24"/>
          <w:szCs w:val="24"/>
        </w:rPr>
        <w:t>以</w:t>
      </w:r>
      <w:r>
        <w:rPr>
          <w:rFonts w:ascii="宋体" w:hAnsi="宋体" w:eastAsia="宋体" w:cs="宋体"/>
          <w:spacing w:val="-31"/>
          <w:sz w:val="24"/>
          <w:szCs w:val="24"/>
        </w:rPr>
        <w:t xml:space="preserve"> </w:t>
      </w:r>
      <w:r>
        <w:rPr>
          <w:rFonts w:ascii="Times New Roman" w:hAnsi="Times New Roman" w:eastAsia="Times New Roman" w:cs="Times New Roman"/>
          <w:spacing w:val="-13"/>
          <w:sz w:val="24"/>
          <w:szCs w:val="24"/>
        </w:rPr>
        <w:t xml:space="preserve">15 </w:t>
      </w:r>
      <w:r>
        <w:rPr>
          <w:rFonts w:ascii="宋体" w:hAnsi="宋体" w:eastAsia="宋体" w:cs="宋体"/>
          <w:spacing w:val="-13"/>
          <w:sz w:val="24"/>
          <w:szCs w:val="24"/>
        </w:rPr>
        <w:t>样地为样本进行调查，</w:t>
      </w:r>
      <w:r>
        <w:rPr>
          <w:rFonts w:ascii="宋体" w:hAnsi="宋体" w:eastAsia="宋体" w:cs="宋体"/>
          <w:spacing w:val="56"/>
          <w:sz w:val="24"/>
          <w:szCs w:val="24"/>
        </w:rPr>
        <w:t xml:space="preserve"> </w:t>
      </w:r>
      <w:r>
        <w:rPr>
          <w:rFonts w:ascii="宋体" w:hAnsi="宋体" w:eastAsia="宋体" w:cs="宋体"/>
          <w:spacing w:val="-13"/>
          <w:sz w:val="24"/>
          <w:szCs w:val="24"/>
        </w:rPr>
        <w:t>根据</w:t>
      </w:r>
      <w:r>
        <w:rPr>
          <w:rFonts w:ascii="宋体" w:hAnsi="宋体" w:eastAsia="宋体" w:cs="宋体"/>
          <w:sz w:val="24"/>
          <w:szCs w:val="24"/>
        </w:rPr>
        <w:t xml:space="preserve"> </w:t>
      </w:r>
      <w:r>
        <w:rPr>
          <w:rFonts w:ascii="宋体" w:hAnsi="宋体" w:eastAsia="宋体" w:cs="宋体"/>
          <w:spacing w:val="9"/>
          <w:sz w:val="24"/>
          <w:szCs w:val="24"/>
        </w:rPr>
        <w:t>浙江省重点公益林生物量模型，分层进行群落单位生物量计算，模型概述见表</w:t>
      </w:r>
    </w:p>
    <w:p>
      <w:pPr>
        <w:spacing w:before="1" w:line="178" w:lineRule="auto"/>
        <w:ind w:left="116"/>
        <w:rPr>
          <w:rFonts w:ascii="宋体" w:hAnsi="宋体" w:eastAsia="宋体" w:cs="宋体"/>
          <w:sz w:val="24"/>
          <w:szCs w:val="24"/>
        </w:rPr>
      </w:pPr>
      <w:r>
        <w:rPr>
          <w:rFonts w:ascii="Times New Roman" w:hAnsi="Times New Roman" w:eastAsia="Times New Roman" w:cs="Times New Roman"/>
          <w:spacing w:val="-1"/>
          <w:sz w:val="24"/>
          <w:szCs w:val="24"/>
        </w:rPr>
        <w:t>4.5-3</w:t>
      </w:r>
      <w:r>
        <w:rPr>
          <w:rFonts w:ascii="宋体" w:hAnsi="宋体" w:eastAsia="宋体" w:cs="宋体"/>
          <w:spacing w:val="-1"/>
          <w:sz w:val="24"/>
          <w:szCs w:val="24"/>
        </w:rPr>
        <w:t>。</w:t>
      </w:r>
    </w:p>
    <w:p>
      <w:pPr>
        <w:spacing w:before="192" w:line="219" w:lineRule="auto"/>
        <w:ind w:left="1813"/>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 xml:space="preserve">4.5-3        </w:t>
      </w:r>
      <w:r>
        <w:rPr>
          <w:rFonts w:ascii="宋体" w:hAnsi="宋体" w:eastAsia="宋体" w:cs="宋体"/>
          <w:spacing w:val="-1"/>
          <w:sz w:val="24"/>
          <w:szCs w:val="24"/>
        </w:rPr>
        <w:t>乔木层、灌木层和草本层生物量模型</w:t>
      </w:r>
    </w:p>
    <w:p>
      <w:pPr>
        <w:spacing w:line="145" w:lineRule="exact"/>
      </w:pPr>
    </w:p>
    <w:tbl>
      <w:tblPr>
        <w:tblStyle w:val="5"/>
        <w:tblW w:w="8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10"/>
        <w:gridCol w:w="2905"/>
        <w:gridCol w:w="29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910" w:type="dxa"/>
            <w:vAlign w:val="top"/>
          </w:tcPr>
          <w:p>
            <w:pPr>
              <w:pStyle w:val="6"/>
              <w:spacing w:before="34" w:line="209" w:lineRule="auto"/>
              <w:ind w:left="727"/>
            </w:pPr>
            <w:r>
              <w:rPr>
                <w:spacing w:val="-1"/>
              </w:rPr>
              <w:t>生物量模型名称</w:t>
            </w:r>
          </w:p>
        </w:tc>
        <w:tc>
          <w:tcPr>
            <w:tcW w:w="2905" w:type="dxa"/>
            <w:vAlign w:val="top"/>
          </w:tcPr>
          <w:p>
            <w:pPr>
              <w:pStyle w:val="6"/>
              <w:spacing w:before="34" w:line="209" w:lineRule="auto"/>
              <w:ind w:left="933"/>
            </w:pPr>
            <w:r>
              <w:rPr>
                <w:spacing w:val="-2"/>
              </w:rPr>
              <w:t>生物量模型</w:t>
            </w:r>
          </w:p>
        </w:tc>
        <w:tc>
          <w:tcPr>
            <w:tcW w:w="2910" w:type="dxa"/>
            <w:vAlign w:val="top"/>
          </w:tcPr>
          <w:p>
            <w:pPr>
              <w:pStyle w:val="6"/>
              <w:spacing w:before="34" w:line="209" w:lineRule="auto"/>
              <w:ind w:left="1041"/>
            </w:pPr>
            <w:r>
              <w:rPr>
                <w:spacing w:val="-2"/>
              </w:rPr>
              <w:t>主要树种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910" w:type="dxa"/>
            <w:vMerge w:val="restart"/>
            <w:tcBorders>
              <w:bottom w:val="nil"/>
            </w:tcBorders>
            <w:vAlign w:val="top"/>
          </w:tcPr>
          <w:p>
            <w:pPr>
              <w:spacing w:line="441" w:lineRule="auto"/>
              <w:rPr>
                <w:rFonts w:ascii="Arial"/>
                <w:sz w:val="21"/>
              </w:rPr>
            </w:pPr>
          </w:p>
          <w:p>
            <w:pPr>
              <w:pStyle w:val="6"/>
              <w:spacing w:before="68" w:line="221" w:lineRule="auto"/>
              <w:ind w:left="412"/>
            </w:pPr>
            <w:r>
              <w:rPr>
                <w:spacing w:val="-1"/>
              </w:rPr>
              <w:t>松类相容性生物量模型</w:t>
            </w:r>
          </w:p>
        </w:tc>
        <w:tc>
          <w:tcPr>
            <w:tcW w:w="2905" w:type="dxa"/>
            <w:vAlign w:val="top"/>
          </w:tcPr>
          <w:p>
            <w:pPr>
              <w:spacing w:before="50" w:line="184" w:lineRule="auto"/>
              <w:ind w:left="6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W1 = W2+W3+W4</w:t>
            </w:r>
          </w:p>
        </w:tc>
        <w:tc>
          <w:tcPr>
            <w:tcW w:w="2910" w:type="dxa"/>
            <w:vMerge w:val="restart"/>
            <w:tcBorders>
              <w:bottom w:val="nil"/>
            </w:tcBorders>
            <w:vAlign w:val="top"/>
          </w:tcPr>
          <w:p>
            <w:pPr>
              <w:spacing w:line="441" w:lineRule="auto"/>
              <w:rPr>
                <w:rFonts w:ascii="Arial"/>
                <w:sz w:val="21"/>
              </w:rPr>
            </w:pPr>
          </w:p>
          <w:p>
            <w:pPr>
              <w:pStyle w:val="6"/>
              <w:spacing w:before="68" w:line="221" w:lineRule="auto"/>
              <w:ind w:left="1151"/>
            </w:pPr>
            <w:r>
              <w:rPr>
                <w:spacing w:val="-3"/>
              </w:rPr>
              <w:t>马尾松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continue"/>
            <w:tcBorders>
              <w:top w:val="nil"/>
              <w:bottom w:val="nil"/>
            </w:tcBorders>
            <w:vAlign w:val="top"/>
          </w:tcPr>
          <w:p>
            <w:pPr>
              <w:rPr>
                <w:rFonts w:ascii="Arial"/>
                <w:sz w:val="21"/>
              </w:rPr>
            </w:pPr>
          </w:p>
        </w:tc>
        <w:tc>
          <w:tcPr>
            <w:tcW w:w="2905" w:type="dxa"/>
            <w:vAlign w:val="top"/>
          </w:tcPr>
          <w:p>
            <w:pPr>
              <w:spacing w:before="34" w:line="201" w:lineRule="auto"/>
              <w:ind w:left="275"/>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1"/>
                <w:szCs w:val="21"/>
              </w:rPr>
              <w:t>W2 = 0.0600 H</w:t>
            </w:r>
            <w:r>
              <w:rPr>
                <w:rFonts w:ascii="Times New Roman" w:hAnsi="Times New Roman" w:eastAsia="Times New Roman" w:cs="Times New Roman"/>
                <w:spacing w:val="-11"/>
                <w:position w:val="-2"/>
                <w:sz w:val="21"/>
                <w:szCs w:val="21"/>
              </w:rPr>
              <w:t xml:space="preserve"> </w:t>
            </w:r>
            <w:r>
              <w:rPr>
                <w:rFonts w:ascii="Times New Roman" w:hAnsi="Times New Roman" w:eastAsia="Times New Roman" w:cs="Times New Roman"/>
                <w:spacing w:val="1"/>
                <w:position w:val="4"/>
                <w:sz w:val="13"/>
                <w:szCs w:val="13"/>
              </w:rPr>
              <w:t>0.7934</w:t>
            </w:r>
            <w:r>
              <w:rPr>
                <w:rFonts w:ascii="Times New Roman" w:hAnsi="Times New Roman" w:eastAsia="Times New Roman" w:cs="Times New Roman"/>
                <w:spacing w:val="22"/>
                <w:w w:val="101"/>
                <w:position w:val="4"/>
                <w:sz w:val="13"/>
                <w:szCs w:val="13"/>
              </w:rPr>
              <w:t xml:space="preserve"> </w:t>
            </w:r>
            <w:r>
              <w:rPr>
                <w:rFonts w:ascii="Times New Roman" w:hAnsi="Times New Roman" w:eastAsia="Times New Roman" w:cs="Times New Roman"/>
                <w:spacing w:val="1"/>
                <w:position w:val="-2"/>
                <w:sz w:val="21"/>
                <w:szCs w:val="21"/>
              </w:rPr>
              <w:t xml:space="preserve">D </w:t>
            </w:r>
            <w:r>
              <w:rPr>
                <w:rFonts w:ascii="Times New Roman" w:hAnsi="Times New Roman" w:eastAsia="Times New Roman" w:cs="Times New Roman"/>
                <w:spacing w:val="1"/>
                <w:position w:val="4"/>
                <w:sz w:val="13"/>
                <w:szCs w:val="13"/>
              </w:rPr>
              <w:t>1.8005</w:t>
            </w:r>
          </w:p>
        </w:tc>
        <w:tc>
          <w:tcPr>
            <w:tcW w:w="29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2910" w:type="dxa"/>
            <w:vMerge w:val="continue"/>
            <w:tcBorders>
              <w:top w:val="nil"/>
              <w:bottom w:val="nil"/>
            </w:tcBorders>
            <w:vAlign w:val="top"/>
          </w:tcPr>
          <w:p>
            <w:pPr>
              <w:rPr>
                <w:rFonts w:ascii="Arial"/>
                <w:sz w:val="21"/>
              </w:rPr>
            </w:pPr>
          </w:p>
        </w:tc>
        <w:tc>
          <w:tcPr>
            <w:tcW w:w="2905" w:type="dxa"/>
            <w:vAlign w:val="top"/>
          </w:tcPr>
          <w:p>
            <w:pPr>
              <w:spacing w:before="33" w:line="220" w:lineRule="auto"/>
              <w:ind w:left="1061" w:right="316" w:hanging="736"/>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 xml:space="preserve">W3 = 0.137708 D </w:t>
            </w:r>
            <w:r>
              <w:rPr>
                <w:rFonts w:ascii="Times New Roman" w:hAnsi="Times New Roman" w:eastAsia="Times New Roman" w:cs="Times New Roman"/>
                <w:position w:val="5"/>
                <w:sz w:val="13"/>
                <w:szCs w:val="13"/>
              </w:rPr>
              <w:t xml:space="preserve">1.487266  </w:t>
            </w:r>
            <w:r>
              <w:rPr>
                <w:rFonts w:ascii="Times New Roman" w:hAnsi="Times New Roman" w:eastAsia="Times New Roman" w:cs="Times New Roman"/>
                <w:position w:val="-1"/>
                <w:sz w:val="21"/>
                <w:szCs w:val="21"/>
              </w:rPr>
              <w:t>L</w:t>
            </w:r>
            <w:r>
              <w:rPr>
                <w:rFonts w:ascii="Times New Roman" w:hAnsi="Times New Roman" w:eastAsia="Times New Roman" w:cs="Times New Roman"/>
                <w:spacing w:val="5"/>
                <w:position w:val="-1"/>
                <w:sz w:val="21"/>
                <w:szCs w:val="21"/>
              </w:rPr>
              <w:t xml:space="preserve"> </w:t>
            </w:r>
            <w:r>
              <w:rPr>
                <w:rFonts w:ascii="Times New Roman" w:hAnsi="Times New Roman" w:eastAsia="Times New Roman" w:cs="Times New Roman"/>
                <w:spacing w:val="-1"/>
                <w:sz w:val="21"/>
                <w:szCs w:val="21"/>
              </w:rPr>
              <w:t>0.405207</w:t>
            </w:r>
          </w:p>
        </w:tc>
        <w:tc>
          <w:tcPr>
            <w:tcW w:w="29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continue"/>
            <w:tcBorders>
              <w:top w:val="nil"/>
            </w:tcBorders>
            <w:vAlign w:val="top"/>
          </w:tcPr>
          <w:p>
            <w:pPr>
              <w:rPr>
                <w:rFonts w:ascii="Arial"/>
                <w:sz w:val="21"/>
              </w:rPr>
            </w:pPr>
          </w:p>
        </w:tc>
        <w:tc>
          <w:tcPr>
            <w:tcW w:w="2905" w:type="dxa"/>
            <w:vAlign w:val="top"/>
          </w:tcPr>
          <w:p>
            <w:pPr>
              <w:spacing w:before="35" w:line="200" w:lineRule="auto"/>
              <w:ind w:left="251"/>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1"/>
                <w:szCs w:val="21"/>
              </w:rPr>
              <w:t>W4 = 0.0417 H</w:t>
            </w:r>
            <w:r>
              <w:rPr>
                <w:rFonts w:ascii="Times New Roman" w:hAnsi="Times New Roman" w:eastAsia="Times New Roman" w:cs="Times New Roman"/>
                <w:spacing w:val="-6"/>
                <w:position w:val="-2"/>
                <w:sz w:val="21"/>
                <w:szCs w:val="21"/>
              </w:rPr>
              <w:t xml:space="preserve"> </w:t>
            </w:r>
            <w:r>
              <w:rPr>
                <w:rFonts w:ascii="Times New Roman" w:hAnsi="Times New Roman" w:eastAsia="Times New Roman" w:cs="Times New Roman"/>
                <w:spacing w:val="1"/>
                <w:position w:val="4"/>
                <w:sz w:val="13"/>
                <w:szCs w:val="13"/>
              </w:rPr>
              <w:t xml:space="preserve">-0.0780  </w:t>
            </w:r>
            <w:r>
              <w:rPr>
                <w:rFonts w:ascii="Times New Roman" w:hAnsi="Times New Roman" w:eastAsia="Times New Roman" w:cs="Times New Roman"/>
                <w:spacing w:val="1"/>
                <w:position w:val="-2"/>
                <w:sz w:val="21"/>
                <w:szCs w:val="21"/>
              </w:rPr>
              <w:t>D</w:t>
            </w:r>
            <w:r>
              <w:rPr>
                <w:rFonts w:ascii="Times New Roman" w:hAnsi="Times New Roman" w:eastAsia="Times New Roman" w:cs="Times New Roman"/>
                <w:spacing w:val="-15"/>
                <w:position w:val="-2"/>
                <w:sz w:val="21"/>
                <w:szCs w:val="21"/>
              </w:rPr>
              <w:t xml:space="preserve"> </w:t>
            </w:r>
            <w:r>
              <w:rPr>
                <w:rFonts w:ascii="Times New Roman" w:hAnsi="Times New Roman" w:eastAsia="Times New Roman" w:cs="Times New Roman"/>
                <w:spacing w:val="1"/>
                <w:position w:val="4"/>
                <w:sz w:val="13"/>
                <w:szCs w:val="13"/>
              </w:rPr>
              <w:t>2.2618</w:t>
            </w:r>
          </w:p>
        </w:tc>
        <w:tc>
          <w:tcPr>
            <w:tcW w:w="291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2910" w:type="dxa"/>
            <w:vMerge w:val="restart"/>
            <w:tcBorders>
              <w:bottom w:val="nil"/>
            </w:tcBorders>
            <w:vAlign w:val="top"/>
          </w:tcPr>
          <w:p>
            <w:pPr>
              <w:pStyle w:val="6"/>
              <w:spacing w:before="258" w:line="238" w:lineRule="auto"/>
              <w:ind w:left="936"/>
            </w:pPr>
            <w:r>
              <w:rPr>
                <w:spacing w:val="-2"/>
              </w:rPr>
              <w:t>杉木相容性</w:t>
            </w:r>
          </w:p>
          <w:p>
            <w:pPr>
              <w:pStyle w:val="6"/>
              <w:spacing w:line="220" w:lineRule="auto"/>
              <w:ind w:left="936"/>
            </w:pPr>
            <w:r>
              <w:rPr>
                <w:spacing w:val="-2"/>
              </w:rPr>
              <w:t>生物量模型</w:t>
            </w:r>
          </w:p>
        </w:tc>
        <w:tc>
          <w:tcPr>
            <w:tcW w:w="2905" w:type="dxa"/>
            <w:vAlign w:val="top"/>
          </w:tcPr>
          <w:p>
            <w:pPr>
              <w:spacing w:before="50" w:line="182" w:lineRule="auto"/>
              <w:ind w:left="6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W1 = W2+W3+W4</w:t>
            </w:r>
          </w:p>
        </w:tc>
        <w:tc>
          <w:tcPr>
            <w:tcW w:w="2910" w:type="dxa"/>
            <w:vMerge w:val="restart"/>
            <w:tcBorders>
              <w:bottom w:val="nil"/>
            </w:tcBorders>
            <w:vAlign w:val="top"/>
          </w:tcPr>
          <w:p>
            <w:pPr>
              <w:spacing w:line="324" w:lineRule="auto"/>
              <w:rPr>
                <w:rFonts w:ascii="Arial"/>
                <w:sz w:val="21"/>
              </w:rPr>
            </w:pPr>
          </w:p>
          <w:p>
            <w:pPr>
              <w:pStyle w:val="6"/>
              <w:spacing w:before="68" w:line="221" w:lineRule="auto"/>
              <w:ind w:left="1146"/>
            </w:pPr>
            <w:r>
              <w:rPr>
                <w:spacing w:val="-9"/>
              </w:rPr>
              <w:t>杉木、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910" w:type="dxa"/>
            <w:vMerge w:val="continue"/>
            <w:tcBorders>
              <w:top w:val="nil"/>
              <w:bottom w:val="nil"/>
            </w:tcBorders>
            <w:vAlign w:val="top"/>
          </w:tcPr>
          <w:p>
            <w:pPr>
              <w:rPr>
                <w:rFonts w:ascii="Arial"/>
                <w:sz w:val="21"/>
              </w:rPr>
            </w:pPr>
          </w:p>
        </w:tc>
        <w:tc>
          <w:tcPr>
            <w:tcW w:w="2905" w:type="dxa"/>
            <w:vAlign w:val="top"/>
          </w:tcPr>
          <w:p>
            <w:pPr>
              <w:spacing w:before="36" w:line="198" w:lineRule="auto"/>
              <w:ind w:left="275"/>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1"/>
                <w:szCs w:val="21"/>
              </w:rPr>
              <w:t>W2 = 0.0647 H</w:t>
            </w:r>
            <w:r>
              <w:rPr>
                <w:rFonts w:ascii="Times New Roman" w:hAnsi="Times New Roman" w:eastAsia="Times New Roman" w:cs="Times New Roman"/>
                <w:spacing w:val="-11"/>
                <w:position w:val="-2"/>
                <w:sz w:val="21"/>
                <w:szCs w:val="21"/>
              </w:rPr>
              <w:t xml:space="preserve"> </w:t>
            </w:r>
            <w:r>
              <w:rPr>
                <w:rFonts w:ascii="Times New Roman" w:hAnsi="Times New Roman" w:eastAsia="Times New Roman" w:cs="Times New Roman"/>
                <w:spacing w:val="1"/>
                <w:position w:val="4"/>
                <w:sz w:val="13"/>
                <w:szCs w:val="13"/>
              </w:rPr>
              <w:t>0.8959</w:t>
            </w:r>
            <w:r>
              <w:rPr>
                <w:rFonts w:ascii="Times New Roman" w:hAnsi="Times New Roman" w:eastAsia="Times New Roman" w:cs="Times New Roman"/>
                <w:spacing w:val="22"/>
                <w:w w:val="101"/>
                <w:position w:val="4"/>
                <w:sz w:val="13"/>
                <w:szCs w:val="13"/>
              </w:rPr>
              <w:t xml:space="preserve"> </w:t>
            </w:r>
            <w:r>
              <w:rPr>
                <w:rFonts w:ascii="Times New Roman" w:hAnsi="Times New Roman" w:eastAsia="Times New Roman" w:cs="Times New Roman"/>
                <w:spacing w:val="1"/>
                <w:position w:val="-2"/>
                <w:sz w:val="21"/>
                <w:szCs w:val="21"/>
              </w:rPr>
              <w:t xml:space="preserve">D </w:t>
            </w:r>
            <w:r>
              <w:rPr>
                <w:rFonts w:ascii="Times New Roman" w:hAnsi="Times New Roman" w:eastAsia="Times New Roman" w:cs="Times New Roman"/>
                <w:spacing w:val="1"/>
                <w:position w:val="4"/>
                <w:sz w:val="13"/>
                <w:szCs w:val="13"/>
              </w:rPr>
              <w:t>1.4880</w:t>
            </w:r>
          </w:p>
        </w:tc>
        <w:tc>
          <w:tcPr>
            <w:tcW w:w="29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continue"/>
            <w:tcBorders>
              <w:top w:val="nil"/>
              <w:bottom w:val="nil"/>
            </w:tcBorders>
            <w:vAlign w:val="top"/>
          </w:tcPr>
          <w:p>
            <w:pPr>
              <w:rPr>
                <w:rFonts w:ascii="Arial"/>
                <w:sz w:val="21"/>
              </w:rPr>
            </w:pPr>
          </w:p>
        </w:tc>
        <w:tc>
          <w:tcPr>
            <w:tcW w:w="2905" w:type="dxa"/>
            <w:vAlign w:val="top"/>
          </w:tcPr>
          <w:p>
            <w:pPr>
              <w:spacing w:before="37" w:line="198" w:lineRule="auto"/>
              <w:ind w:left="287"/>
              <w:rPr>
                <w:rFonts w:ascii="Times New Roman" w:hAnsi="Times New Roman" w:eastAsia="Times New Roman" w:cs="Times New Roman"/>
                <w:sz w:val="13"/>
                <w:szCs w:val="13"/>
              </w:rPr>
            </w:pPr>
            <w:r>
              <w:rPr>
                <w:rFonts w:ascii="Times New Roman" w:hAnsi="Times New Roman" w:eastAsia="Times New Roman" w:cs="Times New Roman"/>
                <w:position w:val="-2"/>
                <w:sz w:val="21"/>
                <w:szCs w:val="21"/>
              </w:rPr>
              <w:t xml:space="preserve">W3 = 0.0971 D </w:t>
            </w:r>
            <w:r>
              <w:rPr>
                <w:rFonts w:ascii="Times New Roman" w:hAnsi="Times New Roman" w:eastAsia="Times New Roman" w:cs="Times New Roman"/>
                <w:position w:val="4"/>
                <w:sz w:val="13"/>
                <w:szCs w:val="13"/>
              </w:rPr>
              <w:t xml:space="preserve">1.7814  </w:t>
            </w:r>
            <w:r>
              <w:rPr>
                <w:rFonts w:ascii="Times New Roman" w:hAnsi="Times New Roman" w:eastAsia="Times New Roman" w:cs="Times New Roman"/>
                <w:position w:val="-2"/>
                <w:sz w:val="21"/>
                <w:szCs w:val="21"/>
              </w:rPr>
              <w:t>L</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position w:val="4"/>
                <w:sz w:val="13"/>
                <w:szCs w:val="13"/>
              </w:rPr>
              <w:t>0.0346</w:t>
            </w:r>
          </w:p>
        </w:tc>
        <w:tc>
          <w:tcPr>
            <w:tcW w:w="29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continue"/>
            <w:tcBorders>
              <w:top w:val="nil"/>
            </w:tcBorders>
            <w:vAlign w:val="top"/>
          </w:tcPr>
          <w:p>
            <w:pPr>
              <w:rPr>
                <w:rFonts w:ascii="Arial"/>
                <w:sz w:val="21"/>
              </w:rPr>
            </w:pPr>
          </w:p>
        </w:tc>
        <w:tc>
          <w:tcPr>
            <w:tcW w:w="2905" w:type="dxa"/>
            <w:vAlign w:val="top"/>
          </w:tcPr>
          <w:p>
            <w:pPr>
              <w:spacing w:before="37" w:line="198" w:lineRule="auto"/>
              <w:ind w:left="148"/>
              <w:rPr>
                <w:rFonts w:ascii="Times New Roman" w:hAnsi="Times New Roman" w:eastAsia="Times New Roman" w:cs="Times New Roman"/>
                <w:sz w:val="13"/>
                <w:szCs w:val="13"/>
              </w:rPr>
            </w:pPr>
            <w:r>
              <w:rPr>
                <w:rFonts w:ascii="Times New Roman" w:hAnsi="Times New Roman" w:eastAsia="Times New Roman" w:cs="Times New Roman"/>
                <w:spacing w:val="2"/>
                <w:position w:val="-2"/>
                <w:sz w:val="21"/>
                <w:szCs w:val="21"/>
              </w:rPr>
              <w:t>W4 = 0.0617 H</w:t>
            </w:r>
            <w:r>
              <w:rPr>
                <w:rFonts w:ascii="Times New Roman" w:hAnsi="Times New Roman" w:eastAsia="Times New Roman" w:cs="Times New Roman"/>
                <w:spacing w:val="-10"/>
                <w:position w:val="-2"/>
                <w:sz w:val="21"/>
                <w:szCs w:val="21"/>
              </w:rPr>
              <w:t xml:space="preserve"> </w:t>
            </w:r>
            <w:r>
              <w:rPr>
                <w:rFonts w:ascii="Times New Roman" w:hAnsi="Times New Roman" w:eastAsia="Times New Roman" w:cs="Times New Roman"/>
                <w:spacing w:val="2"/>
                <w:position w:val="4"/>
                <w:sz w:val="13"/>
                <w:szCs w:val="13"/>
              </w:rPr>
              <w:t>-0.1037</w:t>
            </w:r>
            <w:r>
              <w:rPr>
                <w:rFonts w:ascii="Times New Roman" w:hAnsi="Times New Roman" w:eastAsia="Times New Roman" w:cs="Times New Roman"/>
                <w:spacing w:val="1"/>
                <w:position w:val="4"/>
                <w:sz w:val="13"/>
                <w:szCs w:val="13"/>
              </w:rPr>
              <w:t>4</w:t>
            </w:r>
            <w:r>
              <w:rPr>
                <w:rFonts w:ascii="Times New Roman" w:hAnsi="Times New Roman" w:eastAsia="Times New Roman" w:cs="Times New Roman"/>
                <w:spacing w:val="24"/>
                <w:w w:val="102"/>
                <w:position w:val="4"/>
                <w:sz w:val="13"/>
                <w:szCs w:val="13"/>
              </w:rPr>
              <w:t xml:space="preserve"> </w:t>
            </w:r>
            <w:r>
              <w:rPr>
                <w:rFonts w:ascii="Times New Roman" w:hAnsi="Times New Roman" w:eastAsia="Times New Roman" w:cs="Times New Roman"/>
                <w:spacing w:val="1"/>
                <w:position w:val="-2"/>
                <w:sz w:val="21"/>
                <w:szCs w:val="21"/>
              </w:rPr>
              <w:t>D</w:t>
            </w:r>
            <w:r>
              <w:rPr>
                <w:rFonts w:ascii="Times New Roman" w:hAnsi="Times New Roman" w:eastAsia="Times New Roman" w:cs="Times New Roman"/>
                <w:spacing w:val="-15"/>
                <w:position w:val="-2"/>
                <w:sz w:val="21"/>
                <w:szCs w:val="21"/>
              </w:rPr>
              <w:t xml:space="preserve"> </w:t>
            </w:r>
            <w:r>
              <w:rPr>
                <w:rFonts w:ascii="Times New Roman" w:hAnsi="Times New Roman" w:eastAsia="Times New Roman" w:cs="Times New Roman"/>
                <w:spacing w:val="1"/>
                <w:position w:val="4"/>
                <w:sz w:val="13"/>
                <w:szCs w:val="13"/>
              </w:rPr>
              <w:t>2.115252</w:t>
            </w:r>
          </w:p>
        </w:tc>
        <w:tc>
          <w:tcPr>
            <w:tcW w:w="291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910" w:type="dxa"/>
            <w:vMerge w:val="restart"/>
            <w:tcBorders>
              <w:bottom w:val="nil"/>
            </w:tcBorders>
            <w:vAlign w:val="top"/>
          </w:tcPr>
          <w:p>
            <w:pPr>
              <w:pStyle w:val="6"/>
              <w:spacing w:before="144" w:line="221" w:lineRule="auto"/>
              <w:ind w:left="934"/>
            </w:pPr>
            <w:r>
              <w:rPr>
                <w:spacing w:val="-1"/>
              </w:rPr>
              <w:t>硬阔相容性</w:t>
            </w:r>
          </w:p>
        </w:tc>
        <w:tc>
          <w:tcPr>
            <w:tcW w:w="2905" w:type="dxa"/>
            <w:vAlign w:val="top"/>
          </w:tcPr>
          <w:p>
            <w:pPr>
              <w:spacing w:before="54" w:line="180" w:lineRule="auto"/>
              <w:ind w:left="6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W1 = W2+W3+W4</w:t>
            </w:r>
          </w:p>
        </w:tc>
        <w:tc>
          <w:tcPr>
            <w:tcW w:w="291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2910" w:type="dxa"/>
            <w:vMerge w:val="continue"/>
            <w:tcBorders>
              <w:top w:val="nil"/>
            </w:tcBorders>
            <w:vAlign w:val="top"/>
          </w:tcPr>
          <w:p>
            <w:pPr>
              <w:rPr>
                <w:rFonts w:ascii="Arial"/>
                <w:sz w:val="21"/>
              </w:rPr>
            </w:pPr>
          </w:p>
        </w:tc>
        <w:tc>
          <w:tcPr>
            <w:tcW w:w="2905" w:type="dxa"/>
            <w:vAlign w:val="top"/>
          </w:tcPr>
          <w:p>
            <w:pPr>
              <w:spacing w:before="36" w:line="204" w:lineRule="auto"/>
              <w:ind w:left="328"/>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1"/>
                <w:szCs w:val="21"/>
              </w:rPr>
              <w:t>W2 = 0.056 H</w:t>
            </w:r>
            <w:r>
              <w:rPr>
                <w:rFonts w:ascii="Times New Roman" w:hAnsi="Times New Roman" w:eastAsia="Times New Roman" w:cs="Times New Roman"/>
                <w:spacing w:val="-10"/>
                <w:position w:val="-2"/>
                <w:sz w:val="21"/>
                <w:szCs w:val="21"/>
              </w:rPr>
              <w:t xml:space="preserve"> </w:t>
            </w:r>
            <w:r>
              <w:rPr>
                <w:rFonts w:ascii="Times New Roman" w:hAnsi="Times New Roman" w:eastAsia="Times New Roman" w:cs="Times New Roman"/>
                <w:spacing w:val="1"/>
                <w:position w:val="4"/>
                <w:sz w:val="13"/>
                <w:szCs w:val="13"/>
              </w:rPr>
              <w:t>0.8099</w:t>
            </w:r>
            <w:r>
              <w:rPr>
                <w:rFonts w:ascii="Times New Roman" w:hAnsi="Times New Roman" w:eastAsia="Times New Roman" w:cs="Times New Roman"/>
                <w:spacing w:val="21"/>
                <w:w w:val="102"/>
                <w:position w:val="4"/>
                <w:sz w:val="13"/>
                <w:szCs w:val="13"/>
              </w:rPr>
              <w:t xml:space="preserve"> </w:t>
            </w:r>
            <w:r>
              <w:rPr>
                <w:rFonts w:ascii="Times New Roman" w:hAnsi="Times New Roman" w:eastAsia="Times New Roman" w:cs="Times New Roman"/>
                <w:spacing w:val="1"/>
                <w:position w:val="-2"/>
                <w:sz w:val="21"/>
                <w:szCs w:val="21"/>
              </w:rPr>
              <w:t xml:space="preserve">D </w:t>
            </w:r>
            <w:r>
              <w:rPr>
                <w:rFonts w:ascii="Times New Roman" w:hAnsi="Times New Roman" w:eastAsia="Times New Roman" w:cs="Times New Roman"/>
                <w:spacing w:val="1"/>
                <w:position w:val="4"/>
                <w:sz w:val="13"/>
                <w:szCs w:val="13"/>
              </w:rPr>
              <w:t>1.8140</w:t>
            </w:r>
          </w:p>
        </w:tc>
        <w:tc>
          <w:tcPr>
            <w:tcW w:w="2910" w:type="dxa"/>
            <w:vMerge w:val="continue"/>
            <w:tcBorders>
              <w:top w:val="nil"/>
            </w:tcBorders>
            <w:vAlign w:val="top"/>
          </w:tcPr>
          <w:p>
            <w:pPr>
              <w:rPr>
                <w:rFonts w:ascii="Arial"/>
                <w:sz w:val="21"/>
              </w:rPr>
            </w:pPr>
          </w:p>
        </w:tc>
      </w:tr>
    </w:tbl>
    <w:p>
      <w:pPr>
        <w:pStyle w:val="2"/>
      </w:pPr>
    </w:p>
    <w:p>
      <w:pPr>
        <w:sectPr>
          <w:headerReference r:id="rId222" w:type="default"/>
          <w:footerReference r:id="rId223" w:type="default"/>
          <w:pgSz w:w="11907" w:h="16839"/>
          <w:pgMar w:top="1288" w:right="1586" w:bottom="1151" w:left="1589" w:header="1047" w:footer="990" w:gutter="0"/>
          <w:cols w:space="720" w:num="1"/>
        </w:sectPr>
      </w:pPr>
    </w:p>
    <w:p>
      <w:pPr>
        <w:spacing w:before="56"/>
      </w:pPr>
    </w:p>
    <w:tbl>
      <w:tblPr>
        <w:tblStyle w:val="5"/>
        <w:tblW w:w="8725" w:type="dxa"/>
        <w:tblInd w:w="1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10"/>
        <w:gridCol w:w="2905"/>
        <w:gridCol w:w="29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910" w:type="dxa"/>
            <w:vAlign w:val="top"/>
          </w:tcPr>
          <w:p>
            <w:pPr>
              <w:pStyle w:val="6"/>
              <w:spacing w:before="34" w:line="209" w:lineRule="auto"/>
              <w:ind w:left="727"/>
            </w:pPr>
            <w:r>
              <w:rPr>
                <w:spacing w:val="-1"/>
              </w:rPr>
              <w:t>生物量模型名称</w:t>
            </w:r>
          </w:p>
        </w:tc>
        <w:tc>
          <w:tcPr>
            <w:tcW w:w="2905" w:type="dxa"/>
            <w:vAlign w:val="top"/>
          </w:tcPr>
          <w:p>
            <w:pPr>
              <w:pStyle w:val="6"/>
              <w:spacing w:before="34" w:line="209" w:lineRule="auto"/>
              <w:ind w:left="933"/>
            </w:pPr>
            <w:r>
              <w:rPr>
                <w:spacing w:val="-2"/>
              </w:rPr>
              <w:t>生物量模型</w:t>
            </w:r>
          </w:p>
        </w:tc>
        <w:tc>
          <w:tcPr>
            <w:tcW w:w="2910" w:type="dxa"/>
            <w:vAlign w:val="top"/>
          </w:tcPr>
          <w:p>
            <w:pPr>
              <w:pStyle w:val="6"/>
              <w:spacing w:before="34" w:line="209" w:lineRule="auto"/>
              <w:ind w:left="1041"/>
            </w:pPr>
            <w:r>
              <w:rPr>
                <w:spacing w:val="-2"/>
              </w:rPr>
              <w:t>主要树种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restart"/>
            <w:tcBorders>
              <w:bottom w:val="nil"/>
            </w:tcBorders>
            <w:vAlign w:val="top"/>
          </w:tcPr>
          <w:p>
            <w:pPr>
              <w:pStyle w:val="6"/>
              <w:spacing w:before="30" w:line="221" w:lineRule="auto"/>
              <w:ind w:left="691"/>
            </w:pPr>
            <w:r>
              <w:rPr>
                <w:spacing w:val="12"/>
              </w:rPr>
              <w:t>生物量模型(</w:t>
            </w:r>
            <w:r>
              <w:rPr>
                <w:rFonts w:ascii="Times New Roman" w:hAnsi="Times New Roman" w:eastAsia="Times New Roman" w:cs="Times New Roman"/>
                <w:spacing w:val="12"/>
              </w:rPr>
              <w:t>Ⅰ</w:t>
            </w:r>
            <w:r>
              <w:rPr>
                <w:spacing w:val="12"/>
              </w:rPr>
              <w:t>)</w:t>
            </w:r>
          </w:p>
        </w:tc>
        <w:tc>
          <w:tcPr>
            <w:tcW w:w="2905" w:type="dxa"/>
            <w:vAlign w:val="top"/>
          </w:tcPr>
          <w:p>
            <w:pPr>
              <w:spacing w:before="33" w:line="202" w:lineRule="auto"/>
              <w:ind w:left="340"/>
              <w:rPr>
                <w:rFonts w:ascii="Times New Roman" w:hAnsi="Times New Roman" w:eastAsia="Times New Roman" w:cs="Times New Roman"/>
                <w:sz w:val="13"/>
                <w:szCs w:val="13"/>
              </w:rPr>
            </w:pPr>
            <w:r>
              <w:rPr>
                <w:rFonts w:ascii="Times New Roman" w:hAnsi="Times New Roman" w:eastAsia="Times New Roman" w:cs="Times New Roman"/>
                <w:position w:val="-2"/>
                <w:sz w:val="21"/>
                <w:szCs w:val="21"/>
              </w:rPr>
              <w:t xml:space="preserve">W3 = 0.098 D </w:t>
            </w:r>
            <w:r>
              <w:rPr>
                <w:rFonts w:ascii="Times New Roman" w:hAnsi="Times New Roman" w:eastAsia="Times New Roman" w:cs="Times New Roman"/>
                <w:position w:val="4"/>
                <w:sz w:val="13"/>
                <w:szCs w:val="13"/>
              </w:rPr>
              <w:t xml:space="preserve">1.6481  </w:t>
            </w:r>
            <w:r>
              <w:rPr>
                <w:rFonts w:ascii="Times New Roman" w:hAnsi="Times New Roman" w:eastAsia="Times New Roman" w:cs="Times New Roman"/>
                <w:position w:val="-2"/>
                <w:sz w:val="21"/>
                <w:szCs w:val="21"/>
              </w:rPr>
              <w:t>L</w:t>
            </w:r>
            <w:r>
              <w:rPr>
                <w:rFonts w:ascii="Times New Roman" w:hAnsi="Times New Roman" w:eastAsia="Times New Roman" w:cs="Times New Roman"/>
                <w:spacing w:val="4"/>
                <w:position w:val="-2"/>
                <w:sz w:val="21"/>
                <w:szCs w:val="21"/>
              </w:rPr>
              <w:t xml:space="preserve"> </w:t>
            </w:r>
            <w:r>
              <w:rPr>
                <w:rFonts w:ascii="Times New Roman" w:hAnsi="Times New Roman" w:eastAsia="Times New Roman" w:cs="Times New Roman"/>
                <w:position w:val="4"/>
                <w:sz w:val="13"/>
                <w:szCs w:val="13"/>
              </w:rPr>
              <w:t>0.4610</w:t>
            </w:r>
          </w:p>
        </w:tc>
        <w:tc>
          <w:tcPr>
            <w:tcW w:w="291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2910" w:type="dxa"/>
            <w:vMerge w:val="continue"/>
            <w:tcBorders>
              <w:top w:val="nil"/>
            </w:tcBorders>
            <w:vAlign w:val="top"/>
          </w:tcPr>
          <w:p>
            <w:pPr>
              <w:rPr>
                <w:rFonts w:ascii="Arial"/>
                <w:sz w:val="21"/>
              </w:rPr>
            </w:pPr>
          </w:p>
        </w:tc>
        <w:tc>
          <w:tcPr>
            <w:tcW w:w="2905" w:type="dxa"/>
            <w:vAlign w:val="top"/>
          </w:tcPr>
          <w:p>
            <w:pPr>
              <w:spacing w:before="31" w:line="201" w:lineRule="auto"/>
              <w:ind w:left="275"/>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1"/>
                <w:szCs w:val="21"/>
              </w:rPr>
              <w:t>W4 = 0.0549 H</w:t>
            </w:r>
            <w:r>
              <w:rPr>
                <w:rFonts w:ascii="Times New Roman" w:hAnsi="Times New Roman" w:eastAsia="Times New Roman" w:cs="Times New Roman"/>
                <w:spacing w:val="3"/>
                <w:position w:val="-2"/>
                <w:sz w:val="21"/>
                <w:szCs w:val="21"/>
              </w:rPr>
              <w:t xml:space="preserve"> </w:t>
            </w:r>
            <w:r>
              <w:rPr>
                <w:rFonts w:ascii="Times New Roman" w:hAnsi="Times New Roman" w:eastAsia="Times New Roman" w:cs="Times New Roman"/>
                <w:spacing w:val="1"/>
                <w:position w:val="4"/>
                <w:sz w:val="13"/>
                <w:szCs w:val="13"/>
              </w:rPr>
              <w:t>0.1068</w:t>
            </w:r>
            <w:r>
              <w:rPr>
                <w:rFonts w:ascii="Times New Roman" w:hAnsi="Times New Roman" w:eastAsia="Times New Roman" w:cs="Times New Roman"/>
                <w:spacing w:val="21"/>
                <w:w w:val="103"/>
                <w:position w:val="4"/>
                <w:sz w:val="13"/>
                <w:szCs w:val="13"/>
              </w:rPr>
              <w:t xml:space="preserve"> </w:t>
            </w:r>
            <w:r>
              <w:rPr>
                <w:rFonts w:ascii="Times New Roman" w:hAnsi="Times New Roman" w:eastAsia="Times New Roman" w:cs="Times New Roman"/>
                <w:spacing w:val="1"/>
                <w:position w:val="-2"/>
                <w:sz w:val="21"/>
                <w:szCs w:val="21"/>
              </w:rPr>
              <w:t>D</w:t>
            </w:r>
            <w:r>
              <w:rPr>
                <w:rFonts w:ascii="Times New Roman" w:hAnsi="Times New Roman" w:eastAsia="Times New Roman" w:cs="Times New Roman"/>
                <w:spacing w:val="-13"/>
                <w:position w:val="-2"/>
                <w:sz w:val="21"/>
                <w:szCs w:val="21"/>
              </w:rPr>
              <w:t xml:space="preserve"> </w:t>
            </w:r>
            <w:r>
              <w:rPr>
                <w:rFonts w:ascii="Times New Roman" w:hAnsi="Times New Roman" w:eastAsia="Times New Roman" w:cs="Times New Roman"/>
                <w:spacing w:val="1"/>
                <w:position w:val="4"/>
                <w:sz w:val="13"/>
                <w:szCs w:val="13"/>
              </w:rPr>
              <w:t>2.0953</w:t>
            </w:r>
          </w:p>
        </w:tc>
        <w:tc>
          <w:tcPr>
            <w:tcW w:w="291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restart"/>
            <w:tcBorders>
              <w:bottom w:val="nil"/>
            </w:tcBorders>
            <w:vAlign w:val="top"/>
          </w:tcPr>
          <w:p>
            <w:pPr>
              <w:pStyle w:val="6"/>
              <w:spacing w:before="259" w:line="238" w:lineRule="auto"/>
              <w:ind w:left="934"/>
            </w:pPr>
            <w:r>
              <w:rPr>
                <w:spacing w:val="-1"/>
              </w:rPr>
              <w:t>硬阔相容性</w:t>
            </w:r>
          </w:p>
          <w:p>
            <w:pPr>
              <w:pStyle w:val="6"/>
              <w:spacing w:line="220" w:lineRule="auto"/>
              <w:ind w:left="660"/>
            </w:pPr>
            <w:r>
              <w:rPr>
                <w:spacing w:val="12"/>
              </w:rPr>
              <w:t>生物量模型(</w:t>
            </w:r>
            <w:r>
              <w:rPr>
                <w:rFonts w:ascii="Times New Roman" w:hAnsi="Times New Roman" w:eastAsia="Times New Roman" w:cs="Times New Roman"/>
                <w:spacing w:val="12"/>
              </w:rPr>
              <w:t>Ⅱ</w:t>
            </w:r>
            <w:r>
              <w:rPr>
                <w:spacing w:val="12"/>
              </w:rPr>
              <w:t>)</w:t>
            </w:r>
          </w:p>
        </w:tc>
        <w:tc>
          <w:tcPr>
            <w:tcW w:w="2905" w:type="dxa"/>
            <w:vAlign w:val="top"/>
          </w:tcPr>
          <w:p>
            <w:pPr>
              <w:spacing w:before="51" w:line="184" w:lineRule="auto"/>
              <w:ind w:left="6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W1 = W2+W3+W4</w:t>
            </w:r>
          </w:p>
        </w:tc>
        <w:tc>
          <w:tcPr>
            <w:tcW w:w="2910" w:type="dxa"/>
            <w:vMerge w:val="restart"/>
            <w:tcBorders>
              <w:bottom w:val="nil"/>
            </w:tcBorders>
            <w:vAlign w:val="top"/>
          </w:tcPr>
          <w:p>
            <w:pPr>
              <w:spacing w:line="322" w:lineRule="auto"/>
              <w:rPr>
                <w:rFonts w:ascii="Arial"/>
                <w:sz w:val="21"/>
              </w:rPr>
            </w:pPr>
          </w:p>
          <w:p>
            <w:pPr>
              <w:pStyle w:val="6"/>
              <w:spacing w:before="69" w:line="221" w:lineRule="auto"/>
              <w:ind w:left="617"/>
            </w:pPr>
            <w:r>
              <w:rPr>
                <w:spacing w:val="-1"/>
              </w:rPr>
              <w:t>锥、黄檀、枫香、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continue"/>
            <w:tcBorders>
              <w:top w:val="nil"/>
              <w:bottom w:val="nil"/>
            </w:tcBorders>
            <w:vAlign w:val="top"/>
          </w:tcPr>
          <w:p>
            <w:pPr>
              <w:rPr>
                <w:rFonts w:ascii="Arial"/>
                <w:sz w:val="21"/>
              </w:rPr>
            </w:pPr>
          </w:p>
        </w:tc>
        <w:tc>
          <w:tcPr>
            <w:tcW w:w="2905" w:type="dxa"/>
            <w:vAlign w:val="top"/>
          </w:tcPr>
          <w:p>
            <w:pPr>
              <w:spacing w:before="34" w:line="201" w:lineRule="auto"/>
              <w:ind w:left="275"/>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1"/>
                <w:szCs w:val="21"/>
              </w:rPr>
              <w:t>W2 = 0.0803 H</w:t>
            </w:r>
            <w:r>
              <w:rPr>
                <w:rFonts w:ascii="Times New Roman" w:hAnsi="Times New Roman" w:eastAsia="Times New Roman" w:cs="Times New Roman"/>
                <w:spacing w:val="-11"/>
                <w:position w:val="-2"/>
                <w:sz w:val="21"/>
                <w:szCs w:val="21"/>
              </w:rPr>
              <w:t xml:space="preserve"> </w:t>
            </w:r>
            <w:r>
              <w:rPr>
                <w:rFonts w:ascii="Times New Roman" w:hAnsi="Times New Roman" w:eastAsia="Times New Roman" w:cs="Times New Roman"/>
                <w:spacing w:val="1"/>
                <w:position w:val="4"/>
                <w:sz w:val="13"/>
                <w:szCs w:val="13"/>
              </w:rPr>
              <w:t>0.7815</w:t>
            </w:r>
            <w:r>
              <w:rPr>
                <w:rFonts w:ascii="Times New Roman" w:hAnsi="Times New Roman" w:eastAsia="Times New Roman" w:cs="Times New Roman"/>
                <w:spacing w:val="22"/>
                <w:w w:val="101"/>
                <w:position w:val="4"/>
                <w:sz w:val="13"/>
                <w:szCs w:val="13"/>
              </w:rPr>
              <w:t xml:space="preserve"> </w:t>
            </w:r>
            <w:r>
              <w:rPr>
                <w:rFonts w:ascii="Times New Roman" w:hAnsi="Times New Roman" w:eastAsia="Times New Roman" w:cs="Times New Roman"/>
                <w:spacing w:val="1"/>
                <w:position w:val="-2"/>
                <w:sz w:val="21"/>
                <w:szCs w:val="21"/>
              </w:rPr>
              <w:t xml:space="preserve">D </w:t>
            </w:r>
            <w:r>
              <w:rPr>
                <w:rFonts w:ascii="Times New Roman" w:hAnsi="Times New Roman" w:eastAsia="Times New Roman" w:cs="Times New Roman"/>
                <w:spacing w:val="1"/>
                <w:position w:val="4"/>
                <w:sz w:val="13"/>
                <w:szCs w:val="13"/>
              </w:rPr>
              <w:t>1.8056</w:t>
            </w:r>
          </w:p>
        </w:tc>
        <w:tc>
          <w:tcPr>
            <w:tcW w:w="29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continue"/>
            <w:tcBorders>
              <w:top w:val="nil"/>
              <w:bottom w:val="nil"/>
            </w:tcBorders>
            <w:vAlign w:val="top"/>
          </w:tcPr>
          <w:p>
            <w:pPr>
              <w:rPr>
                <w:rFonts w:ascii="Arial"/>
                <w:sz w:val="21"/>
              </w:rPr>
            </w:pPr>
          </w:p>
        </w:tc>
        <w:tc>
          <w:tcPr>
            <w:tcW w:w="2905" w:type="dxa"/>
            <w:vAlign w:val="top"/>
          </w:tcPr>
          <w:p>
            <w:pPr>
              <w:spacing w:before="34" w:line="201" w:lineRule="auto"/>
              <w:ind w:left="330"/>
              <w:rPr>
                <w:rFonts w:ascii="Times New Roman" w:hAnsi="Times New Roman" w:eastAsia="Times New Roman" w:cs="Times New Roman"/>
                <w:sz w:val="13"/>
                <w:szCs w:val="13"/>
              </w:rPr>
            </w:pPr>
            <w:r>
              <w:rPr>
                <w:rFonts w:ascii="Times New Roman" w:hAnsi="Times New Roman" w:eastAsia="Times New Roman" w:cs="Times New Roman"/>
                <w:position w:val="-2"/>
                <w:sz w:val="21"/>
                <w:szCs w:val="21"/>
              </w:rPr>
              <w:t>W3 = 0.286 D</w:t>
            </w:r>
            <w:r>
              <w:rPr>
                <w:rFonts w:ascii="Times New Roman" w:hAnsi="Times New Roman" w:eastAsia="Times New Roman" w:cs="Times New Roman"/>
                <w:spacing w:val="32"/>
                <w:w w:val="101"/>
                <w:position w:val="-2"/>
                <w:sz w:val="21"/>
                <w:szCs w:val="21"/>
              </w:rPr>
              <w:t xml:space="preserve"> </w:t>
            </w:r>
            <w:r>
              <w:rPr>
                <w:rFonts w:ascii="Times New Roman" w:hAnsi="Times New Roman" w:eastAsia="Times New Roman" w:cs="Times New Roman"/>
                <w:position w:val="4"/>
                <w:sz w:val="13"/>
                <w:szCs w:val="13"/>
              </w:rPr>
              <w:t xml:space="preserve">1.0968  </w:t>
            </w:r>
            <w:r>
              <w:rPr>
                <w:rFonts w:ascii="Times New Roman" w:hAnsi="Times New Roman" w:eastAsia="Times New Roman" w:cs="Times New Roman"/>
                <w:position w:val="-2"/>
                <w:sz w:val="21"/>
                <w:szCs w:val="21"/>
              </w:rPr>
              <w:t>L</w:t>
            </w:r>
            <w:r>
              <w:rPr>
                <w:rFonts w:ascii="Times New Roman" w:hAnsi="Times New Roman" w:eastAsia="Times New Roman" w:cs="Times New Roman"/>
                <w:spacing w:val="-11"/>
                <w:position w:val="-2"/>
                <w:sz w:val="21"/>
                <w:szCs w:val="21"/>
              </w:rPr>
              <w:t xml:space="preserve"> </w:t>
            </w:r>
            <w:r>
              <w:rPr>
                <w:rFonts w:ascii="Times New Roman" w:hAnsi="Times New Roman" w:eastAsia="Times New Roman" w:cs="Times New Roman"/>
                <w:position w:val="4"/>
                <w:sz w:val="13"/>
                <w:szCs w:val="13"/>
              </w:rPr>
              <w:t>0.9450</w:t>
            </w:r>
          </w:p>
        </w:tc>
        <w:tc>
          <w:tcPr>
            <w:tcW w:w="29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continue"/>
            <w:tcBorders>
              <w:top w:val="nil"/>
            </w:tcBorders>
            <w:vAlign w:val="top"/>
          </w:tcPr>
          <w:p>
            <w:pPr>
              <w:rPr>
                <w:rFonts w:ascii="Arial"/>
                <w:sz w:val="21"/>
              </w:rPr>
            </w:pPr>
          </w:p>
        </w:tc>
        <w:tc>
          <w:tcPr>
            <w:tcW w:w="2905" w:type="dxa"/>
            <w:vAlign w:val="top"/>
          </w:tcPr>
          <w:p>
            <w:pPr>
              <w:spacing w:before="34" w:line="201" w:lineRule="auto"/>
              <w:ind w:left="328"/>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1"/>
                <w:szCs w:val="21"/>
              </w:rPr>
              <w:t>W4 = 0.247 H</w:t>
            </w:r>
            <w:r>
              <w:rPr>
                <w:rFonts w:ascii="Times New Roman" w:hAnsi="Times New Roman" w:eastAsia="Times New Roman" w:cs="Times New Roman"/>
                <w:spacing w:val="-10"/>
                <w:position w:val="-2"/>
                <w:sz w:val="21"/>
                <w:szCs w:val="21"/>
              </w:rPr>
              <w:t xml:space="preserve"> </w:t>
            </w:r>
            <w:r>
              <w:rPr>
                <w:rFonts w:ascii="Times New Roman" w:hAnsi="Times New Roman" w:eastAsia="Times New Roman" w:cs="Times New Roman"/>
                <w:spacing w:val="1"/>
                <w:position w:val="4"/>
                <w:sz w:val="13"/>
                <w:szCs w:val="13"/>
              </w:rPr>
              <w:t>0.1745</w:t>
            </w:r>
            <w:r>
              <w:rPr>
                <w:rFonts w:ascii="Times New Roman" w:hAnsi="Times New Roman" w:eastAsia="Times New Roman" w:cs="Times New Roman"/>
                <w:spacing w:val="21"/>
                <w:w w:val="102"/>
                <w:position w:val="4"/>
                <w:sz w:val="13"/>
                <w:szCs w:val="13"/>
              </w:rPr>
              <w:t xml:space="preserve"> </w:t>
            </w:r>
            <w:r>
              <w:rPr>
                <w:rFonts w:ascii="Times New Roman" w:hAnsi="Times New Roman" w:eastAsia="Times New Roman" w:cs="Times New Roman"/>
                <w:spacing w:val="1"/>
                <w:position w:val="-2"/>
                <w:sz w:val="21"/>
                <w:szCs w:val="21"/>
              </w:rPr>
              <w:t xml:space="preserve">D </w:t>
            </w:r>
            <w:r>
              <w:rPr>
                <w:rFonts w:ascii="Times New Roman" w:hAnsi="Times New Roman" w:eastAsia="Times New Roman" w:cs="Times New Roman"/>
                <w:spacing w:val="1"/>
                <w:position w:val="4"/>
                <w:sz w:val="13"/>
                <w:szCs w:val="13"/>
              </w:rPr>
              <w:t>1.7954</w:t>
            </w:r>
          </w:p>
        </w:tc>
        <w:tc>
          <w:tcPr>
            <w:tcW w:w="291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2910" w:type="dxa"/>
            <w:vMerge w:val="restart"/>
            <w:tcBorders>
              <w:bottom w:val="nil"/>
            </w:tcBorders>
            <w:vAlign w:val="top"/>
          </w:tcPr>
          <w:p>
            <w:pPr>
              <w:pStyle w:val="6"/>
              <w:spacing w:before="257" w:line="238" w:lineRule="auto"/>
              <w:ind w:left="936"/>
            </w:pPr>
            <w:r>
              <w:rPr>
                <w:spacing w:val="-2"/>
              </w:rPr>
              <w:t>软阔相容性</w:t>
            </w:r>
          </w:p>
          <w:p>
            <w:pPr>
              <w:pStyle w:val="6"/>
              <w:spacing w:line="220" w:lineRule="auto"/>
              <w:ind w:left="936"/>
            </w:pPr>
            <w:r>
              <w:rPr>
                <w:spacing w:val="-2"/>
              </w:rPr>
              <w:t>生物量模型</w:t>
            </w:r>
          </w:p>
        </w:tc>
        <w:tc>
          <w:tcPr>
            <w:tcW w:w="2905" w:type="dxa"/>
            <w:vAlign w:val="top"/>
          </w:tcPr>
          <w:p>
            <w:pPr>
              <w:spacing w:before="49" w:line="183" w:lineRule="auto"/>
              <w:ind w:left="6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W1 = W2+W3+W4</w:t>
            </w:r>
          </w:p>
        </w:tc>
        <w:tc>
          <w:tcPr>
            <w:tcW w:w="2910" w:type="dxa"/>
            <w:vMerge w:val="restart"/>
            <w:tcBorders>
              <w:bottom w:val="nil"/>
            </w:tcBorders>
            <w:vAlign w:val="top"/>
          </w:tcPr>
          <w:p>
            <w:pPr>
              <w:spacing w:line="322" w:lineRule="auto"/>
              <w:rPr>
                <w:rFonts w:ascii="Arial"/>
                <w:sz w:val="21"/>
              </w:rPr>
            </w:pPr>
          </w:p>
          <w:p>
            <w:pPr>
              <w:pStyle w:val="6"/>
              <w:spacing w:before="69" w:line="221" w:lineRule="auto"/>
              <w:ind w:left="934"/>
            </w:pPr>
            <w:r>
              <w:rPr>
                <w:spacing w:val="-2"/>
              </w:rPr>
              <w:t>苦楝、化香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continue"/>
            <w:tcBorders>
              <w:top w:val="nil"/>
              <w:bottom w:val="nil"/>
            </w:tcBorders>
            <w:vAlign w:val="top"/>
          </w:tcPr>
          <w:p>
            <w:pPr>
              <w:rPr>
                <w:rFonts w:ascii="Arial"/>
                <w:sz w:val="21"/>
              </w:rPr>
            </w:pPr>
          </w:p>
        </w:tc>
        <w:tc>
          <w:tcPr>
            <w:tcW w:w="2905" w:type="dxa"/>
            <w:vAlign w:val="top"/>
          </w:tcPr>
          <w:p>
            <w:pPr>
              <w:spacing w:before="34" w:line="201" w:lineRule="auto"/>
              <w:ind w:left="285"/>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1"/>
                <w:szCs w:val="21"/>
              </w:rPr>
              <w:t>W2 = 0.0444 H</w:t>
            </w:r>
            <w:r>
              <w:rPr>
                <w:rFonts w:ascii="Times New Roman" w:hAnsi="Times New Roman" w:eastAsia="Times New Roman" w:cs="Times New Roman"/>
                <w:spacing w:val="-9"/>
                <w:position w:val="-2"/>
                <w:sz w:val="21"/>
                <w:szCs w:val="21"/>
              </w:rPr>
              <w:t xml:space="preserve"> </w:t>
            </w:r>
            <w:r>
              <w:rPr>
                <w:rFonts w:ascii="Times New Roman" w:hAnsi="Times New Roman" w:eastAsia="Times New Roman" w:cs="Times New Roman"/>
                <w:spacing w:val="1"/>
                <w:position w:val="4"/>
                <w:sz w:val="13"/>
                <w:szCs w:val="13"/>
              </w:rPr>
              <w:t xml:space="preserve">0.7197 </w:t>
            </w:r>
            <w:r>
              <w:rPr>
                <w:rFonts w:ascii="Times New Roman" w:hAnsi="Times New Roman" w:eastAsia="Times New Roman" w:cs="Times New Roman"/>
                <w:spacing w:val="1"/>
                <w:position w:val="-2"/>
                <w:sz w:val="21"/>
                <w:szCs w:val="21"/>
              </w:rPr>
              <w:t xml:space="preserve">D </w:t>
            </w:r>
            <w:r>
              <w:rPr>
                <w:rFonts w:ascii="Times New Roman" w:hAnsi="Times New Roman" w:eastAsia="Times New Roman" w:cs="Times New Roman"/>
                <w:spacing w:val="1"/>
                <w:position w:val="4"/>
                <w:sz w:val="13"/>
                <w:szCs w:val="13"/>
              </w:rPr>
              <w:t>1.7095</w:t>
            </w:r>
          </w:p>
        </w:tc>
        <w:tc>
          <w:tcPr>
            <w:tcW w:w="29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continue"/>
            <w:tcBorders>
              <w:top w:val="nil"/>
              <w:bottom w:val="nil"/>
            </w:tcBorders>
            <w:vAlign w:val="top"/>
          </w:tcPr>
          <w:p>
            <w:pPr>
              <w:rPr>
                <w:rFonts w:ascii="Arial"/>
                <w:sz w:val="21"/>
              </w:rPr>
            </w:pPr>
          </w:p>
        </w:tc>
        <w:tc>
          <w:tcPr>
            <w:tcW w:w="2905" w:type="dxa"/>
            <w:vAlign w:val="top"/>
          </w:tcPr>
          <w:p>
            <w:pPr>
              <w:spacing w:before="34" w:line="201" w:lineRule="auto"/>
              <w:ind w:left="251"/>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1"/>
                <w:szCs w:val="21"/>
              </w:rPr>
              <w:t xml:space="preserve">W3 = 0.0856 D </w:t>
            </w:r>
            <w:r>
              <w:rPr>
                <w:rFonts w:ascii="Times New Roman" w:hAnsi="Times New Roman" w:eastAsia="Times New Roman" w:cs="Times New Roman"/>
                <w:spacing w:val="1"/>
                <w:position w:val="4"/>
                <w:sz w:val="13"/>
                <w:szCs w:val="13"/>
              </w:rPr>
              <w:t xml:space="preserve">1.22657  </w:t>
            </w:r>
            <w:r>
              <w:rPr>
                <w:rFonts w:ascii="Times New Roman" w:hAnsi="Times New Roman" w:eastAsia="Times New Roman" w:cs="Times New Roman"/>
                <w:position w:val="-2"/>
                <w:sz w:val="21"/>
                <w:szCs w:val="21"/>
              </w:rPr>
              <w:t>L</w:t>
            </w:r>
            <w:r>
              <w:rPr>
                <w:rFonts w:ascii="Times New Roman" w:hAnsi="Times New Roman" w:eastAsia="Times New Roman" w:cs="Times New Roman"/>
                <w:spacing w:val="-14"/>
                <w:position w:val="-2"/>
                <w:sz w:val="21"/>
                <w:szCs w:val="21"/>
              </w:rPr>
              <w:t xml:space="preserve"> </w:t>
            </w:r>
            <w:r>
              <w:rPr>
                <w:rFonts w:ascii="Times New Roman" w:hAnsi="Times New Roman" w:eastAsia="Times New Roman" w:cs="Times New Roman"/>
                <w:position w:val="4"/>
                <w:sz w:val="13"/>
                <w:szCs w:val="13"/>
              </w:rPr>
              <w:t>0.3970</w:t>
            </w:r>
          </w:p>
        </w:tc>
        <w:tc>
          <w:tcPr>
            <w:tcW w:w="29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continue"/>
            <w:tcBorders>
              <w:top w:val="nil"/>
            </w:tcBorders>
            <w:vAlign w:val="top"/>
          </w:tcPr>
          <w:p>
            <w:pPr>
              <w:rPr>
                <w:rFonts w:ascii="Arial"/>
                <w:sz w:val="21"/>
              </w:rPr>
            </w:pPr>
          </w:p>
        </w:tc>
        <w:tc>
          <w:tcPr>
            <w:tcW w:w="2905" w:type="dxa"/>
            <w:vAlign w:val="top"/>
          </w:tcPr>
          <w:p>
            <w:pPr>
              <w:spacing w:before="34" w:line="201" w:lineRule="auto"/>
              <w:ind w:left="275"/>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1"/>
                <w:szCs w:val="21"/>
              </w:rPr>
              <w:t>W4 = 0.0459 H</w:t>
            </w:r>
            <w:r>
              <w:rPr>
                <w:rFonts w:ascii="Times New Roman" w:hAnsi="Times New Roman" w:eastAsia="Times New Roman" w:cs="Times New Roman"/>
                <w:spacing w:val="3"/>
                <w:position w:val="-2"/>
                <w:sz w:val="21"/>
                <w:szCs w:val="21"/>
              </w:rPr>
              <w:t xml:space="preserve"> </w:t>
            </w:r>
            <w:r>
              <w:rPr>
                <w:rFonts w:ascii="Times New Roman" w:hAnsi="Times New Roman" w:eastAsia="Times New Roman" w:cs="Times New Roman"/>
                <w:spacing w:val="1"/>
                <w:position w:val="4"/>
                <w:sz w:val="13"/>
                <w:szCs w:val="13"/>
              </w:rPr>
              <w:t>0.1067</w:t>
            </w:r>
            <w:r>
              <w:rPr>
                <w:rFonts w:ascii="Times New Roman" w:hAnsi="Times New Roman" w:eastAsia="Times New Roman" w:cs="Times New Roman"/>
                <w:spacing w:val="21"/>
                <w:w w:val="103"/>
                <w:position w:val="4"/>
                <w:sz w:val="13"/>
                <w:szCs w:val="13"/>
              </w:rPr>
              <w:t xml:space="preserve"> </w:t>
            </w:r>
            <w:r>
              <w:rPr>
                <w:rFonts w:ascii="Times New Roman" w:hAnsi="Times New Roman" w:eastAsia="Times New Roman" w:cs="Times New Roman"/>
                <w:spacing w:val="1"/>
                <w:position w:val="-2"/>
                <w:sz w:val="21"/>
                <w:szCs w:val="21"/>
              </w:rPr>
              <w:t>D</w:t>
            </w:r>
            <w:r>
              <w:rPr>
                <w:rFonts w:ascii="Times New Roman" w:hAnsi="Times New Roman" w:eastAsia="Times New Roman" w:cs="Times New Roman"/>
                <w:spacing w:val="-13"/>
                <w:position w:val="-2"/>
                <w:sz w:val="21"/>
                <w:szCs w:val="21"/>
              </w:rPr>
              <w:t xml:space="preserve"> </w:t>
            </w:r>
            <w:r>
              <w:rPr>
                <w:rFonts w:ascii="Times New Roman" w:hAnsi="Times New Roman" w:eastAsia="Times New Roman" w:cs="Times New Roman"/>
                <w:spacing w:val="1"/>
                <w:position w:val="4"/>
                <w:sz w:val="13"/>
                <w:szCs w:val="13"/>
              </w:rPr>
              <w:t>2.0247</w:t>
            </w:r>
          </w:p>
        </w:tc>
        <w:tc>
          <w:tcPr>
            <w:tcW w:w="291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restart"/>
            <w:tcBorders>
              <w:bottom w:val="nil"/>
            </w:tcBorders>
            <w:vAlign w:val="top"/>
          </w:tcPr>
          <w:p>
            <w:pPr>
              <w:pStyle w:val="6"/>
              <w:spacing w:before="257" w:line="239" w:lineRule="auto"/>
              <w:ind w:left="935"/>
            </w:pPr>
            <w:r>
              <w:rPr>
                <w:spacing w:val="-2"/>
              </w:rPr>
              <w:t>毛竹相容性</w:t>
            </w:r>
          </w:p>
          <w:p>
            <w:pPr>
              <w:pStyle w:val="6"/>
              <w:spacing w:line="220" w:lineRule="auto"/>
              <w:ind w:left="936"/>
            </w:pPr>
            <w:r>
              <w:rPr>
                <w:spacing w:val="-2"/>
              </w:rPr>
              <w:t>生物量模型</w:t>
            </w:r>
          </w:p>
        </w:tc>
        <w:tc>
          <w:tcPr>
            <w:tcW w:w="2905" w:type="dxa"/>
            <w:vAlign w:val="top"/>
          </w:tcPr>
          <w:p>
            <w:pPr>
              <w:spacing w:before="52" w:line="183" w:lineRule="auto"/>
              <w:ind w:left="6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W1 = W2+W3+W4</w:t>
            </w:r>
          </w:p>
        </w:tc>
        <w:tc>
          <w:tcPr>
            <w:tcW w:w="2910" w:type="dxa"/>
            <w:vMerge w:val="restart"/>
            <w:tcBorders>
              <w:bottom w:val="nil"/>
            </w:tcBorders>
            <w:vAlign w:val="top"/>
          </w:tcPr>
          <w:p>
            <w:pPr>
              <w:spacing w:line="324" w:lineRule="auto"/>
              <w:rPr>
                <w:rFonts w:ascii="Arial"/>
                <w:sz w:val="21"/>
              </w:rPr>
            </w:pPr>
          </w:p>
          <w:p>
            <w:pPr>
              <w:pStyle w:val="6"/>
              <w:spacing w:before="68" w:line="222" w:lineRule="auto"/>
              <w:ind w:left="1251"/>
            </w:pPr>
            <w:r>
              <w:rPr>
                <w:spacing w:val="-2"/>
              </w:rPr>
              <w:t>毛竹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2910" w:type="dxa"/>
            <w:vMerge w:val="continue"/>
            <w:tcBorders>
              <w:top w:val="nil"/>
              <w:bottom w:val="nil"/>
            </w:tcBorders>
            <w:vAlign w:val="top"/>
          </w:tcPr>
          <w:p>
            <w:pPr>
              <w:rPr>
                <w:rFonts w:ascii="Arial"/>
                <w:sz w:val="21"/>
              </w:rPr>
            </w:pPr>
          </w:p>
        </w:tc>
        <w:tc>
          <w:tcPr>
            <w:tcW w:w="2905" w:type="dxa"/>
            <w:vAlign w:val="top"/>
          </w:tcPr>
          <w:p>
            <w:pPr>
              <w:spacing w:before="32" w:line="200" w:lineRule="auto"/>
              <w:ind w:left="275"/>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1"/>
                <w:szCs w:val="21"/>
              </w:rPr>
              <w:t>W2 = 0.0398 H</w:t>
            </w:r>
            <w:r>
              <w:rPr>
                <w:rFonts w:ascii="Times New Roman" w:hAnsi="Times New Roman" w:eastAsia="Times New Roman" w:cs="Times New Roman"/>
                <w:spacing w:val="-11"/>
                <w:position w:val="-2"/>
                <w:sz w:val="21"/>
                <w:szCs w:val="21"/>
              </w:rPr>
              <w:t xml:space="preserve"> </w:t>
            </w:r>
            <w:r>
              <w:rPr>
                <w:rFonts w:ascii="Times New Roman" w:hAnsi="Times New Roman" w:eastAsia="Times New Roman" w:cs="Times New Roman"/>
                <w:spacing w:val="1"/>
                <w:position w:val="4"/>
                <w:sz w:val="13"/>
                <w:szCs w:val="13"/>
              </w:rPr>
              <w:t>0.5778</w:t>
            </w:r>
            <w:r>
              <w:rPr>
                <w:rFonts w:ascii="Times New Roman" w:hAnsi="Times New Roman" w:eastAsia="Times New Roman" w:cs="Times New Roman"/>
                <w:spacing w:val="22"/>
                <w:w w:val="101"/>
                <w:position w:val="4"/>
                <w:sz w:val="13"/>
                <w:szCs w:val="13"/>
              </w:rPr>
              <w:t xml:space="preserve"> </w:t>
            </w:r>
            <w:r>
              <w:rPr>
                <w:rFonts w:ascii="Times New Roman" w:hAnsi="Times New Roman" w:eastAsia="Times New Roman" w:cs="Times New Roman"/>
                <w:spacing w:val="1"/>
                <w:position w:val="-2"/>
                <w:sz w:val="21"/>
                <w:szCs w:val="21"/>
              </w:rPr>
              <w:t xml:space="preserve">D </w:t>
            </w:r>
            <w:r>
              <w:rPr>
                <w:rFonts w:ascii="Times New Roman" w:hAnsi="Times New Roman" w:eastAsia="Times New Roman" w:cs="Times New Roman"/>
                <w:spacing w:val="1"/>
                <w:position w:val="4"/>
                <w:sz w:val="13"/>
                <w:szCs w:val="13"/>
              </w:rPr>
              <w:t>1.8540</w:t>
            </w:r>
          </w:p>
        </w:tc>
        <w:tc>
          <w:tcPr>
            <w:tcW w:w="29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continue"/>
            <w:tcBorders>
              <w:top w:val="nil"/>
              <w:bottom w:val="nil"/>
            </w:tcBorders>
            <w:vAlign w:val="top"/>
          </w:tcPr>
          <w:p>
            <w:pPr>
              <w:rPr>
                <w:rFonts w:ascii="Arial"/>
                <w:sz w:val="21"/>
              </w:rPr>
            </w:pPr>
          </w:p>
        </w:tc>
        <w:tc>
          <w:tcPr>
            <w:tcW w:w="2905" w:type="dxa"/>
            <w:vAlign w:val="top"/>
          </w:tcPr>
          <w:p>
            <w:pPr>
              <w:spacing w:before="36" w:line="199" w:lineRule="auto"/>
              <w:ind w:left="340"/>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1"/>
                <w:szCs w:val="21"/>
              </w:rPr>
              <w:t>W3 = 0.280 D</w:t>
            </w:r>
            <w:r>
              <w:rPr>
                <w:rFonts w:ascii="Times New Roman" w:hAnsi="Times New Roman" w:eastAsia="Times New Roman" w:cs="Times New Roman"/>
                <w:spacing w:val="-9"/>
                <w:position w:val="-2"/>
                <w:sz w:val="21"/>
                <w:szCs w:val="21"/>
              </w:rPr>
              <w:t xml:space="preserve"> </w:t>
            </w:r>
            <w:r>
              <w:rPr>
                <w:rFonts w:ascii="Times New Roman" w:hAnsi="Times New Roman" w:eastAsia="Times New Roman" w:cs="Times New Roman"/>
                <w:spacing w:val="1"/>
                <w:position w:val="4"/>
                <w:sz w:val="13"/>
                <w:szCs w:val="13"/>
              </w:rPr>
              <w:t xml:space="preserve">0.8357  </w:t>
            </w:r>
            <w:r>
              <w:rPr>
                <w:rFonts w:ascii="Times New Roman" w:hAnsi="Times New Roman" w:eastAsia="Times New Roman" w:cs="Times New Roman"/>
                <w:spacing w:val="1"/>
                <w:position w:val="-2"/>
                <w:sz w:val="21"/>
                <w:szCs w:val="21"/>
              </w:rPr>
              <w:t>L</w:t>
            </w:r>
            <w:r>
              <w:rPr>
                <w:rFonts w:ascii="Times New Roman" w:hAnsi="Times New Roman" w:eastAsia="Times New Roman" w:cs="Times New Roman"/>
                <w:spacing w:val="-14"/>
                <w:position w:val="-2"/>
                <w:sz w:val="21"/>
                <w:szCs w:val="21"/>
              </w:rPr>
              <w:t xml:space="preserve"> </w:t>
            </w:r>
            <w:r>
              <w:rPr>
                <w:rFonts w:ascii="Times New Roman" w:hAnsi="Times New Roman" w:eastAsia="Times New Roman" w:cs="Times New Roman"/>
                <w:spacing w:val="1"/>
                <w:position w:val="4"/>
                <w:sz w:val="13"/>
                <w:szCs w:val="13"/>
              </w:rPr>
              <w:t>0.2740</w:t>
            </w:r>
          </w:p>
        </w:tc>
        <w:tc>
          <w:tcPr>
            <w:tcW w:w="291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910" w:type="dxa"/>
            <w:vMerge w:val="continue"/>
            <w:tcBorders>
              <w:top w:val="nil"/>
            </w:tcBorders>
            <w:vAlign w:val="top"/>
          </w:tcPr>
          <w:p>
            <w:pPr>
              <w:rPr>
                <w:rFonts w:ascii="Arial"/>
                <w:sz w:val="21"/>
              </w:rPr>
            </w:pPr>
          </w:p>
        </w:tc>
        <w:tc>
          <w:tcPr>
            <w:tcW w:w="2905" w:type="dxa"/>
            <w:vAlign w:val="top"/>
          </w:tcPr>
          <w:p>
            <w:pPr>
              <w:spacing w:before="36" w:line="199"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4"/>
                <w:position w:val="-1"/>
                <w:sz w:val="21"/>
                <w:szCs w:val="21"/>
              </w:rPr>
              <w:t>W4 = 0.371 H</w:t>
            </w:r>
            <w:r>
              <w:rPr>
                <w:rFonts w:ascii="Times New Roman" w:hAnsi="Times New Roman" w:eastAsia="Times New Roman" w:cs="Times New Roman"/>
                <w:spacing w:val="-5"/>
                <w:position w:val="-1"/>
                <w:sz w:val="21"/>
                <w:szCs w:val="21"/>
              </w:rPr>
              <w:t xml:space="preserve"> </w:t>
            </w:r>
            <w:r>
              <w:rPr>
                <w:rFonts w:ascii="Times New Roman" w:hAnsi="Times New Roman" w:eastAsia="Times New Roman" w:cs="Times New Roman"/>
                <w:spacing w:val="4"/>
                <w:position w:val="5"/>
                <w:sz w:val="13"/>
                <w:szCs w:val="13"/>
              </w:rPr>
              <w:t>0.1357</w:t>
            </w:r>
            <w:r>
              <w:rPr>
                <w:rFonts w:ascii="Times New Roman" w:hAnsi="Times New Roman" w:eastAsia="Times New Roman" w:cs="Times New Roman"/>
                <w:spacing w:val="21"/>
                <w:w w:val="103"/>
                <w:position w:val="5"/>
                <w:sz w:val="13"/>
                <w:szCs w:val="13"/>
              </w:rPr>
              <w:t xml:space="preserve"> </w:t>
            </w:r>
            <w:r>
              <w:rPr>
                <w:rFonts w:ascii="Times New Roman" w:hAnsi="Times New Roman" w:eastAsia="Times New Roman" w:cs="Times New Roman"/>
                <w:spacing w:val="4"/>
                <w:position w:val="-1"/>
                <w:sz w:val="21"/>
                <w:szCs w:val="21"/>
              </w:rPr>
              <w:t>D</w:t>
            </w:r>
            <w:r>
              <w:rPr>
                <w:rFonts w:ascii="Times New Roman" w:hAnsi="Times New Roman" w:eastAsia="Times New Roman" w:cs="Times New Roman"/>
                <w:spacing w:val="25"/>
                <w:position w:val="-1"/>
                <w:sz w:val="21"/>
                <w:szCs w:val="21"/>
              </w:rPr>
              <w:t xml:space="preserve"> </w:t>
            </w:r>
            <w:r>
              <w:rPr>
                <w:rFonts w:ascii="Times New Roman" w:hAnsi="Times New Roman" w:eastAsia="Times New Roman" w:cs="Times New Roman"/>
                <w:spacing w:val="4"/>
                <w:position w:val="-1"/>
                <w:sz w:val="21"/>
                <w:szCs w:val="21"/>
              </w:rPr>
              <w:t>·</w:t>
            </w:r>
          </w:p>
        </w:tc>
        <w:tc>
          <w:tcPr>
            <w:tcW w:w="291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725" w:type="dxa"/>
            <w:gridSpan w:val="3"/>
            <w:vAlign w:val="top"/>
          </w:tcPr>
          <w:p>
            <w:pPr>
              <w:pStyle w:val="6"/>
              <w:spacing w:before="33" w:line="213" w:lineRule="auto"/>
              <w:ind w:left="140"/>
            </w:pPr>
            <w:r>
              <w:rPr>
                <w:spacing w:val="-4"/>
              </w:rPr>
              <w:t>注：</w:t>
            </w:r>
            <w:r>
              <w:rPr>
                <w:spacing w:val="-26"/>
              </w:rPr>
              <w:t xml:space="preserve"> </w:t>
            </w:r>
            <w:r>
              <w:rPr>
                <w:rFonts w:ascii="Times New Roman" w:hAnsi="Times New Roman" w:eastAsia="Times New Roman" w:cs="Times New Roman"/>
                <w:spacing w:val="-4"/>
              </w:rPr>
              <w:t xml:space="preserve">W1 </w:t>
            </w:r>
            <w:r>
              <w:rPr>
                <w:spacing w:val="-4"/>
              </w:rPr>
              <w:t>为总生物量（</w:t>
            </w:r>
            <w:r>
              <w:rPr>
                <w:rFonts w:ascii="Times New Roman" w:hAnsi="Times New Roman" w:eastAsia="Times New Roman" w:cs="Times New Roman"/>
                <w:spacing w:val="-4"/>
              </w:rPr>
              <w:t>kg/m</w:t>
            </w:r>
            <w:r>
              <w:rPr>
                <w:rFonts w:ascii="Times New Roman" w:hAnsi="Times New Roman" w:eastAsia="Times New Roman" w:cs="Times New Roman"/>
                <w:spacing w:val="-4"/>
                <w:position w:val="6"/>
                <w:sz w:val="13"/>
                <w:szCs w:val="13"/>
              </w:rPr>
              <w:t>2</w:t>
            </w:r>
            <w:r>
              <w:rPr>
                <w:spacing w:val="-4"/>
              </w:rPr>
              <w:t>）、</w:t>
            </w:r>
            <w:r>
              <w:rPr>
                <w:spacing w:val="-48"/>
              </w:rPr>
              <w:t xml:space="preserve"> </w:t>
            </w:r>
            <w:r>
              <w:rPr>
                <w:rFonts w:ascii="Times New Roman" w:hAnsi="Times New Roman" w:eastAsia="Times New Roman" w:cs="Times New Roman"/>
                <w:spacing w:val="-4"/>
              </w:rPr>
              <w:t xml:space="preserve">W2 </w:t>
            </w:r>
            <w:r>
              <w:rPr>
                <w:spacing w:val="-4"/>
              </w:rPr>
              <w:t>为树干生物量（</w:t>
            </w:r>
            <w:r>
              <w:rPr>
                <w:rFonts w:ascii="Times New Roman" w:hAnsi="Times New Roman" w:eastAsia="Times New Roman" w:cs="Times New Roman"/>
                <w:spacing w:val="-4"/>
              </w:rPr>
              <w:t>kg/m</w:t>
            </w:r>
            <w:r>
              <w:rPr>
                <w:rFonts w:ascii="Times New Roman" w:hAnsi="Times New Roman" w:eastAsia="Times New Roman" w:cs="Times New Roman"/>
                <w:spacing w:val="-4"/>
                <w:position w:val="6"/>
                <w:sz w:val="13"/>
                <w:szCs w:val="13"/>
              </w:rPr>
              <w:t>2</w:t>
            </w:r>
            <w:r>
              <w:rPr>
                <w:spacing w:val="-4"/>
              </w:rPr>
              <w:t>）、</w:t>
            </w:r>
            <w:r>
              <w:rPr>
                <w:spacing w:val="-51"/>
              </w:rPr>
              <w:t xml:space="preserve"> </w:t>
            </w:r>
            <w:r>
              <w:rPr>
                <w:rFonts w:ascii="Times New Roman" w:hAnsi="Times New Roman" w:eastAsia="Times New Roman" w:cs="Times New Roman"/>
                <w:spacing w:val="-4"/>
              </w:rPr>
              <w:t xml:space="preserve">W3 </w:t>
            </w:r>
            <w:r>
              <w:rPr>
                <w:spacing w:val="-4"/>
              </w:rPr>
              <w:t>为树冠生物量（</w:t>
            </w:r>
            <w:r>
              <w:rPr>
                <w:rFonts w:ascii="Times New Roman" w:hAnsi="Times New Roman" w:eastAsia="Times New Roman" w:cs="Times New Roman"/>
                <w:spacing w:val="-4"/>
              </w:rPr>
              <w:t>kg/m</w:t>
            </w:r>
            <w:r>
              <w:rPr>
                <w:rFonts w:ascii="Times New Roman" w:hAnsi="Times New Roman" w:eastAsia="Times New Roman" w:cs="Times New Roman"/>
                <w:spacing w:val="-4"/>
                <w:position w:val="6"/>
                <w:sz w:val="13"/>
                <w:szCs w:val="13"/>
              </w:rPr>
              <w:t xml:space="preserve">2 </w:t>
            </w:r>
            <w:r>
              <w:rPr>
                <w:spacing w:val="-4"/>
              </w:rPr>
              <w:t>）、</w:t>
            </w:r>
          </w:p>
          <w:p>
            <w:pPr>
              <w:pStyle w:val="6"/>
              <w:spacing w:before="31" w:line="204" w:lineRule="auto"/>
              <w:ind w:left="616"/>
            </w:pPr>
            <w:r>
              <w:rPr>
                <w:rFonts w:ascii="Times New Roman" w:hAnsi="Times New Roman" w:eastAsia="Times New Roman" w:cs="Times New Roman"/>
                <w:spacing w:val="-5"/>
              </w:rPr>
              <w:t xml:space="preserve">W4 </w:t>
            </w:r>
            <w:r>
              <w:rPr>
                <w:spacing w:val="-5"/>
              </w:rPr>
              <w:t>为树根生物量（</w:t>
            </w:r>
            <w:r>
              <w:rPr>
                <w:rFonts w:ascii="Times New Roman" w:hAnsi="Times New Roman" w:eastAsia="Times New Roman" w:cs="Times New Roman"/>
                <w:spacing w:val="-5"/>
              </w:rPr>
              <w:t>kg/m</w:t>
            </w:r>
            <w:r>
              <w:rPr>
                <w:rFonts w:ascii="Times New Roman" w:hAnsi="Times New Roman" w:eastAsia="Times New Roman" w:cs="Times New Roman"/>
                <w:spacing w:val="-5"/>
                <w:position w:val="6"/>
                <w:sz w:val="13"/>
                <w:szCs w:val="13"/>
              </w:rPr>
              <w:t>2</w:t>
            </w:r>
            <w:r>
              <w:rPr>
                <w:spacing w:val="-5"/>
              </w:rPr>
              <w:t>）、</w:t>
            </w:r>
            <w:r>
              <w:rPr>
                <w:spacing w:val="-50"/>
              </w:rPr>
              <w:t xml:space="preserve"> </w:t>
            </w:r>
            <w:r>
              <w:rPr>
                <w:rFonts w:ascii="Times New Roman" w:hAnsi="Times New Roman" w:eastAsia="Times New Roman" w:cs="Times New Roman"/>
                <w:spacing w:val="-5"/>
              </w:rPr>
              <w:t>H</w:t>
            </w:r>
            <w:r>
              <w:rPr>
                <w:rFonts w:ascii="Times New Roman" w:hAnsi="Times New Roman" w:eastAsia="Times New Roman" w:cs="Times New Roman"/>
                <w:spacing w:val="12"/>
              </w:rPr>
              <w:t xml:space="preserve"> </w:t>
            </w:r>
            <w:r>
              <w:rPr>
                <w:spacing w:val="-5"/>
              </w:rPr>
              <w:t>为树高（</w:t>
            </w:r>
            <w:r>
              <w:rPr>
                <w:rFonts w:ascii="Times New Roman" w:hAnsi="Times New Roman" w:eastAsia="Times New Roman" w:cs="Times New Roman"/>
                <w:spacing w:val="-5"/>
              </w:rPr>
              <w:t>m</w:t>
            </w:r>
            <w:r>
              <w:rPr>
                <w:spacing w:val="-5"/>
              </w:rPr>
              <w:t>）、</w:t>
            </w:r>
            <w:r>
              <w:rPr>
                <w:spacing w:val="-36"/>
              </w:rPr>
              <w:t xml:space="preserve"> </w:t>
            </w:r>
            <w:r>
              <w:rPr>
                <w:rFonts w:ascii="Times New Roman" w:hAnsi="Times New Roman" w:eastAsia="Times New Roman" w:cs="Times New Roman"/>
                <w:spacing w:val="-5"/>
              </w:rPr>
              <w:t xml:space="preserve">D </w:t>
            </w:r>
            <w:r>
              <w:rPr>
                <w:spacing w:val="-5"/>
              </w:rPr>
              <w:t>为胸径（</w:t>
            </w:r>
            <w:r>
              <w:rPr>
                <w:rFonts w:ascii="Times New Roman" w:hAnsi="Times New Roman" w:eastAsia="Times New Roman" w:cs="Times New Roman"/>
                <w:spacing w:val="-5"/>
              </w:rPr>
              <w:t>cm</w:t>
            </w:r>
            <w:r>
              <w:rPr>
                <w:spacing w:val="-5"/>
              </w:rPr>
              <w:t>）、</w:t>
            </w:r>
            <w:r>
              <w:rPr>
                <w:spacing w:val="-35"/>
              </w:rPr>
              <w:t xml:space="preserve"> </w:t>
            </w:r>
            <w:r>
              <w:rPr>
                <w:rFonts w:ascii="Times New Roman" w:hAnsi="Times New Roman" w:eastAsia="Times New Roman" w:cs="Times New Roman"/>
                <w:spacing w:val="-5"/>
              </w:rPr>
              <w:t>L</w:t>
            </w:r>
            <w:r>
              <w:rPr>
                <w:rFonts w:ascii="Times New Roman" w:hAnsi="Times New Roman" w:eastAsia="Times New Roman" w:cs="Times New Roman"/>
                <w:spacing w:val="11"/>
              </w:rPr>
              <w:t xml:space="preserve"> </w:t>
            </w:r>
            <w:r>
              <w:rPr>
                <w:spacing w:val="-5"/>
              </w:rPr>
              <w:t>为冠长（</w:t>
            </w:r>
            <w:r>
              <w:rPr>
                <w:rFonts w:ascii="Times New Roman" w:hAnsi="Times New Roman" w:eastAsia="Times New Roman" w:cs="Times New Roman"/>
                <w:spacing w:val="-6"/>
              </w:rPr>
              <w:t>m</w:t>
            </w:r>
            <w:r>
              <w:rPr>
                <w:spacing w:val="-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910" w:type="dxa"/>
            <w:vAlign w:val="top"/>
          </w:tcPr>
          <w:p>
            <w:pPr>
              <w:pStyle w:val="6"/>
              <w:spacing w:before="32" w:line="241" w:lineRule="auto"/>
              <w:ind w:left="833"/>
            </w:pPr>
            <w:r>
              <w:rPr>
                <w:spacing w:val="-2"/>
              </w:rPr>
              <w:t>灌木层生物量</w:t>
            </w:r>
          </w:p>
          <w:p>
            <w:pPr>
              <w:pStyle w:val="6"/>
              <w:spacing w:before="1" w:line="203" w:lineRule="auto"/>
              <w:ind w:left="1250"/>
            </w:pPr>
            <w:r>
              <w:rPr>
                <w:spacing w:val="-2"/>
              </w:rPr>
              <w:t>模型</w:t>
            </w:r>
          </w:p>
        </w:tc>
        <w:tc>
          <w:tcPr>
            <w:tcW w:w="2905" w:type="dxa"/>
            <w:vAlign w:val="top"/>
          </w:tcPr>
          <w:p>
            <w:pPr>
              <w:spacing w:before="187" w:line="252" w:lineRule="exact"/>
              <w:ind w:left="225"/>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 xml:space="preserve">W = 0.409759 D </w:t>
            </w:r>
            <w:r>
              <w:rPr>
                <w:rFonts w:ascii="Times New Roman" w:hAnsi="Times New Roman" w:eastAsia="Times New Roman" w:cs="Times New Roman"/>
                <w:spacing w:val="1"/>
                <w:position w:val="6"/>
                <w:sz w:val="13"/>
                <w:szCs w:val="13"/>
              </w:rPr>
              <w:t>1.0615</w:t>
            </w:r>
            <w:r>
              <w:rPr>
                <w:rFonts w:ascii="Times New Roman" w:hAnsi="Times New Roman" w:eastAsia="Times New Roman" w:cs="Times New Roman"/>
                <w:spacing w:val="21"/>
                <w:w w:val="102"/>
                <w:position w:val="6"/>
                <w:sz w:val="13"/>
                <w:szCs w:val="13"/>
              </w:rPr>
              <w:t xml:space="preserve"> </w:t>
            </w:r>
            <w:r>
              <w:rPr>
                <w:rFonts w:ascii="Times New Roman" w:hAnsi="Times New Roman" w:eastAsia="Times New Roman" w:cs="Times New Roman"/>
                <w:spacing w:val="1"/>
                <w:sz w:val="21"/>
                <w:szCs w:val="21"/>
              </w:rPr>
              <w:t>H</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1"/>
                <w:position w:val="6"/>
                <w:sz w:val="13"/>
                <w:szCs w:val="13"/>
              </w:rPr>
              <w:t>0</w:t>
            </w:r>
            <w:r>
              <w:rPr>
                <w:rFonts w:ascii="Times New Roman" w:hAnsi="Times New Roman" w:eastAsia="Times New Roman" w:cs="Times New Roman"/>
                <w:position w:val="6"/>
                <w:sz w:val="13"/>
                <w:szCs w:val="13"/>
              </w:rPr>
              <w:t>.5427</w:t>
            </w:r>
          </w:p>
        </w:tc>
        <w:tc>
          <w:tcPr>
            <w:tcW w:w="291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725" w:type="dxa"/>
            <w:gridSpan w:val="3"/>
            <w:vAlign w:val="top"/>
          </w:tcPr>
          <w:p>
            <w:pPr>
              <w:pStyle w:val="6"/>
              <w:spacing w:before="33" w:line="206" w:lineRule="auto"/>
              <w:ind w:left="1354"/>
            </w:pPr>
            <w:r>
              <w:rPr>
                <w:spacing w:val="-8"/>
              </w:rPr>
              <w:t>注：</w:t>
            </w:r>
            <w:r>
              <w:rPr>
                <w:spacing w:val="-23"/>
              </w:rPr>
              <w:t xml:space="preserve"> </w:t>
            </w:r>
            <w:r>
              <w:rPr>
                <w:rFonts w:ascii="Times New Roman" w:hAnsi="Times New Roman" w:eastAsia="Times New Roman" w:cs="Times New Roman"/>
                <w:spacing w:val="-8"/>
              </w:rPr>
              <w:t>W</w:t>
            </w:r>
            <w:r>
              <w:rPr>
                <w:rFonts w:ascii="Times New Roman" w:hAnsi="Times New Roman" w:eastAsia="Times New Roman" w:cs="Times New Roman"/>
                <w:spacing w:val="12"/>
              </w:rPr>
              <w:t xml:space="preserve"> </w:t>
            </w:r>
            <w:r>
              <w:rPr>
                <w:spacing w:val="-8"/>
              </w:rPr>
              <w:t>为生物量（</w:t>
            </w:r>
            <w:r>
              <w:rPr>
                <w:rFonts w:ascii="Times New Roman" w:hAnsi="Times New Roman" w:eastAsia="Times New Roman" w:cs="Times New Roman"/>
                <w:spacing w:val="-8"/>
              </w:rPr>
              <w:t>kg/m2</w:t>
            </w:r>
            <w:r>
              <w:rPr>
                <w:spacing w:val="-8"/>
              </w:rPr>
              <w:t>）、</w:t>
            </w:r>
            <w:r>
              <w:rPr>
                <w:spacing w:val="-36"/>
              </w:rPr>
              <w:t xml:space="preserve"> </w:t>
            </w:r>
            <w:r>
              <w:rPr>
                <w:rFonts w:ascii="Times New Roman" w:hAnsi="Times New Roman" w:eastAsia="Times New Roman" w:cs="Times New Roman"/>
                <w:spacing w:val="-8"/>
              </w:rPr>
              <w:t>D</w:t>
            </w:r>
            <w:r>
              <w:rPr>
                <w:rFonts w:ascii="Times New Roman" w:hAnsi="Times New Roman" w:eastAsia="Times New Roman" w:cs="Times New Roman"/>
                <w:spacing w:val="12"/>
              </w:rPr>
              <w:t xml:space="preserve"> </w:t>
            </w:r>
            <w:r>
              <w:rPr>
                <w:spacing w:val="-8"/>
              </w:rPr>
              <w:t>为地径（</w:t>
            </w:r>
            <w:r>
              <w:rPr>
                <w:rFonts w:ascii="Times New Roman" w:hAnsi="Times New Roman" w:eastAsia="Times New Roman" w:cs="Times New Roman"/>
                <w:spacing w:val="-8"/>
              </w:rPr>
              <w:t>cm</w:t>
            </w:r>
            <w:r>
              <w:rPr>
                <w:spacing w:val="-8"/>
              </w:rPr>
              <w:t>）、</w:t>
            </w:r>
            <w:r>
              <w:rPr>
                <w:spacing w:val="-36"/>
              </w:rPr>
              <w:t xml:space="preserve"> </w:t>
            </w:r>
            <w:r>
              <w:rPr>
                <w:rFonts w:ascii="Times New Roman" w:hAnsi="Times New Roman" w:eastAsia="Times New Roman" w:cs="Times New Roman"/>
                <w:spacing w:val="-8"/>
              </w:rPr>
              <w:t xml:space="preserve">H </w:t>
            </w:r>
            <w:r>
              <w:rPr>
                <w:spacing w:val="-8"/>
              </w:rPr>
              <w:t>为高度（</w:t>
            </w:r>
            <w:r>
              <w:rPr>
                <w:rFonts w:ascii="Times New Roman" w:hAnsi="Times New Roman" w:eastAsia="Times New Roman" w:cs="Times New Roman"/>
                <w:spacing w:val="-8"/>
              </w:rPr>
              <w:t>m</w:t>
            </w:r>
            <w:r>
              <w:rPr>
                <w:spacing w:val="-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910" w:type="dxa"/>
            <w:vAlign w:val="top"/>
          </w:tcPr>
          <w:p>
            <w:pPr>
              <w:pStyle w:val="6"/>
              <w:spacing w:before="34" w:line="238" w:lineRule="auto"/>
              <w:ind w:left="832"/>
            </w:pPr>
            <w:r>
              <w:rPr>
                <w:spacing w:val="-2"/>
              </w:rPr>
              <w:t>草本层生物量</w:t>
            </w:r>
          </w:p>
          <w:p>
            <w:pPr>
              <w:pStyle w:val="6"/>
              <w:spacing w:line="205" w:lineRule="auto"/>
              <w:ind w:left="1250"/>
            </w:pPr>
            <w:r>
              <w:rPr>
                <w:spacing w:val="-2"/>
              </w:rPr>
              <w:t>模型</w:t>
            </w:r>
          </w:p>
        </w:tc>
        <w:tc>
          <w:tcPr>
            <w:tcW w:w="2905" w:type="dxa"/>
            <w:vAlign w:val="top"/>
          </w:tcPr>
          <w:p>
            <w:pPr>
              <w:spacing w:before="188" w:line="252" w:lineRule="exact"/>
              <w:ind w:left="225"/>
              <w:rPr>
                <w:rFonts w:ascii="Times New Roman" w:hAnsi="Times New Roman" w:eastAsia="Times New Roman" w:cs="Times New Roman"/>
                <w:sz w:val="13"/>
                <w:szCs w:val="13"/>
              </w:rPr>
            </w:pPr>
            <w:r>
              <w:rPr>
                <w:rFonts w:ascii="Times New Roman" w:hAnsi="Times New Roman" w:eastAsia="Times New Roman" w:cs="Times New Roman"/>
                <w:sz w:val="21"/>
                <w:szCs w:val="21"/>
              </w:rPr>
              <w:t>W = 0.054920 H</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position w:val="6"/>
                <w:sz w:val="13"/>
                <w:szCs w:val="13"/>
              </w:rPr>
              <w:t xml:space="preserve">0.8030  </w:t>
            </w:r>
            <w:r>
              <w:rPr>
                <w:rFonts w:ascii="Times New Roman" w:hAnsi="Times New Roman" w:eastAsia="Times New Roman" w:cs="Times New Roman"/>
                <w:sz w:val="21"/>
                <w:szCs w:val="21"/>
              </w:rPr>
              <w:t xml:space="preserve">G </w:t>
            </w:r>
            <w:r>
              <w:rPr>
                <w:rFonts w:ascii="Times New Roman" w:hAnsi="Times New Roman" w:eastAsia="Times New Roman" w:cs="Times New Roman"/>
                <w:position w:val="6"/>
                <w:sz w:val="13"/>
                <w:szCs w:val="13"/>
              </w:rPr>
              <w:t>1.0877</w:t>
            </w:r>
          </w:p>
        </w:tc>
        <w:tc>
          <w:tcPr>
            <w:tcW w:w="291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725" w:type="dxa"/>
            <w:gridSpan w:val="3"/>
            <w:vAlign w:val="top"/>
          </w:tcPr>
          <w:p>
            <w:pPr>
              <w:pStyle w:val="6"/>
              <w:spacing w:before="34" w:line="209" w:lineRule="auto"/>
              <w:ind w:left="1339"/>
            </w:pPr>
            <w:r>
              <w:rPr>
                <w:spacing w:val="-7"/>
              </w:rPr>
              <w:t>注：</w:t>
            </w:r>
            <w:r>
              <w:rPr>
                <w:spacing w:val="-21"/>
              </w:rPr>
              <w:t xml:space="preserve"> </w:t>
            </w:r>
            <w:r>
              <w:rPr>
                <w:rFonts w:ascii="Times New Roman" w:hAnsi="Times New Roman" w:eastAsia="Times New Roman" w:cs="Times New Roman"/>
                <w:spacing w:val="-7"/>
              </w:rPr>
              <w:t>W</w:t>
            </w:r>
            <w:r>
              <w:rPr>
                <w:rFonts w:ascii="Times New Roman" w:hAnsi="Times New Roman" w:eastAsia="Times New Roman" w:cs="Times New Roman"/>
                <w:spacing w:val="12"/>
              </w:rPr>
              <w:t xml:space="preserve"> </w:t>
            </w:r>
            <w:r>
              <w:rPr>
                <w:spacing w:val="-7"/>
              </w:rPr>
              <w:t>为生物量（</w:t>
            </w:r>
            <w:r>
              <w:rPr>
                <w:rFonts w:ascii="Times New Roman" w:hAnsi="Times New Roman" w:eastAsia="Times New Roman" w:cs="Times New Roman"/>
                <w:spacing w:val="-7"/>
              </w:rPr>
              <w:t>kg/m</w:t>
            </w:r>
            <w:r>
              <w:rPr>
                <w:rFonts w:ascii="Times New Roman" w:hAnsi="Times New Roman" w:eastAsia="Times New Roman" w:cs="Times New Roman"/>
                <w:spacing w:val="-7"/>
                <w:position w:val="6"/>
                <w:sz w:val="13"/>
                <w:szCs w:val="13"/>
              </w:rPr>
              <w:t>2</w:t>
            </w:r>
            <w:r>
              <w:rPr>
                <w:spacing w:val="-6"/>
              </w:rPr>
              <w:t>）、</w:t>
            </w:r>
            <w:r>
              <w:rPr>
                <w:spacing w:val="-49"/>
              </w:rPr>
              <w:t xml:space="preserve"> </w:t>
            </w:r>
            <w:r>
              <w:rPr>
                <w:rFonts w:ascii="Times New Roman" w:hAnsi="Times New Roman" w:eastAsia="Times New Roman" w:cs="Times New Roman"/>
                <w:spacing w:val="-6"/>
              </w:rPr>
              <w:t xml:space="preserve">H </w:t>
            </w:r>
            <w:r>
              <w:rPr>
                <w:spacing w:val="-6"/>
              </w:rPr>
              <w:t>为平均高（</w:t>
            </w:r>
            <w:r>
              <w:rPr>
                <w:rFonts w:ascii="Times New Roman" w:hAnsi="Times New Roman" w:eastAsia="Times New Roman" w:cs="Times New Roman"/>
                <w:spacing w:val="-6"/>
              </w:rPr>
              <w:t>cm</w:t>
            </w:r>
            <w:r>
              <w:rPr>
                <w:spacing w:val="-6"/>
              </w:rPr>
              <w:t>）、</w:t>
            </w:r>
            <w:r>
              <w:rPr>
                <w:spacing w:val="-32"/>
              </w:rPr>
              <w:t xml:space="preserve"> </w:t>
            </w:r>
            <w:r>
              <w:rPr>
                <w:rFonts w:ascii="Times New Roman" w:hAnsi="Times New Roman" w:eastAsia="Times New Roman" w:cs="Times New Roman"/>
                <w:spacing w:val="-6"/>
              </w:rPr>
              <w:t xml:space="preserve">G  </w:t>
            </w:r>
            <w:r>
              <w:rPr>
                <w:spacing w:val="-6"/>
              </w:rPr>
              <w:t>为盖度（</w:t>
            </w:r>
            <w:r>
              <w:rPr>
                <w:rFonts w:ascii="Times New Roman" w:hAnsi="Times New Roman" w:eastAsia="Times New Roman" w:cs="Times New Roman"/>
                <w:spacing w:val="-6"/>
              </w:rPr>
              <w:t>%</w:t>
            </w:r>
            <w:r>
              <w:rPr>
                <w:spacing w:val="-6"/>
              </w:rPr>
              <w:t>）</w:t>
            </w:r>
          </w:p>
        </w:tc>
      </w:tr>
    </w:tbl>
    <w:p>
      <w:pPr>
        <w:spacing w:before="195" w:line="359" w:lineRule="auto"/>
        <w:ind w:left="294" w:right="292" w:firstLine="477"/>
        <w:jc w:val="both"/>
        <w:rPr>
          <w:rFonts w:ascii="宋体" w:hAnsi="宋体" w:eastAsia="宋体" w:cs="宋体"/>
          <w:sz w:val="24"/>
          <w:szCs w:val="24"/>
        </w:rPr>
      </w:pPr>
      <w:r>
        <w:rPr>
          <w:rFonts w:ascii="宋体" w:hAnsi="宋体" w:eastAsia="宋体" w:cs="宋体"/>
          <w:spacing w:val="3"/>
          <w:sz w:val="24"/>
          <w:szCs w:val="24"/>
        </w:rPr>
        <w:t>样地生物量为乔木生物量、灌木生物量和草本</w:t>
      </w:r>
      <w:r>
        <w:rPr>
          <w:rFonts w:ascii="宋体" w:hAnsi="宋体" w:eastAsia="宋体" w:cs="宋体"/>
          <w:spacing w:val="2"/>
          <w:sz w:val="24"/>
          <w:szCs w:val="24"/>
        </w:rPr>
        <w:t>生物量三者之和，其中乔木层</w:t>
      </w:r>
      <w:r>
        <w:rPr>
          <w:rFonts w:ascii="宋体" w:hAnsi="宋体" w:eastAsia="宋体" w:cs="宋体"/>
          <w:sz w:val="24"/>
          <w:szCs w:val="24"/>
        </w:rPr>
        <w:t xml:space="preserve"> </w:t>
      </w:r>
      <w:r>
        <w:rPr>
          <w:rFonts w:ascii="宋体" w:hAnsi="宋体" w:eastAsia="宋体" w:cs="宋体"/>
          <w:spacing w:val="2"/>
          <w:sz w:val="24"/>
          <w:szCs w:val="24"/>
        </w:rPr>
        <w:t>生物量为样地中所有单木生物量的总和，群落单位生物量为各群落样地生物量除</w:t>
      </w:r>
    </w:p>
    <w:p>
      <w:pPr>
        <w:spacing w:line="219" w:lineRule="auto"/>
        <w:ind w:left="319"/>
        <w:rPr>
          <w:rFonts w:ascii="宋体" w:hAnsi="宋体" w:eastAsia="宋体" w:cs="宋体"/>
          <w:sz w:val="24"/>
          <w:szCs w:val="24"/>
        </w:rPr>
      </w:pPr>
      <w:r>
        <w:rPr>
          <w:rFonts w:ascii="宋体" w:hAnsi="宋体" w:eastAsia="宋体" w:cs="宋体"/>
          <w:spacing w:val="-1"/>
          <w:sz w:val="24"/>
          <w:szCs w:val="24"/>
        </w:rPr>
        <w:t>以取样面积的均值。最终确定各植被类型单位面积生物量，详</w:t>
      </w:r>
      <w:r>
        <w:rPr>
          <w:rFonts w:ascii="宋体" w:hAnsi="宋体" w:eastAsia="宋体" w:cs="宋体"/>
          <w:spacing w:val="-2"/>
          <w:sz w:val="24"/>
          <w:szCs w:val="24"/>
        </w:rPr>
        <w:t>见表</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4.5-4</w:t>
      </w:r>
      <w:r>
        <w:rPr>
          <w:rFonts w:ascii="宋体" w:hAnsi="宋体" w:eastAsia="宋体" w:cs="宋体"/>
          <w:spacing w:val="-2"/>
          <w:sz w:val="24"/>
          <w:szCs w:val="24"/>
        </w:rPr>
        <w:t>。</w:t>
      </w:r>
    </w:p>
    <w:p>
      <w:pPr>
        <w:spacing w:before="182" w:line="218" w:lineRule="auto"/>
        <w:ind w:left="222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4.5-4        </w:t>
      </w:r>
      <w:r>
        <w:rPr>
          <w:rFonts w:ascii="宋体" w:hAnsi="宋体" w:eastAsia="宋体" w:cs="宋体"/>
          <w:spacing w:val="-1"/>
          <w:sz w:val="24"/>
          <w:szCs w:val="24"/>
        </w:rPr>
        <w:t>评价区各植被类型净生物量现状</w:t>
      </w:r>
    </w:p>
    <w:p>
      <w:pPr>
        <w:spacing w:line="146" w:lineRule="exact"/>
      </w:pPr>
    </w:p>
    <w:tbl>
      <w:tblPr>
        <w:tblStyle w:val="5"/>
        <w:tblW w:w="90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0"/>
        <w:gridCol w:w="1591"/>
        <w:gridCol w:w="1154"/>
        <w:gridCol w:w="1533"/>
        <w:gridCol w:w="1290"/>
        <w:gridCol w:w="1317"/>
        <w:gridCol w:w="12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950" w:type="dxa"/>
            <w:vAlign w:val="top"/>
          </w:tcPr>
          <w:p>
            <w:pPr>
              <w:pStyle w:val="6"/>
              <w:spacing w:before="307" w:line="222" w:lineRule="auto"/>
              <w:ind w:left="268"/>
            </w:pPr>
            <w:r>
              <w:rPr>
                <w:spacing w:val="-2"/>
              </w:rPr>
              <w:t>序号</w:t>
            </w:r>
          </w:p>
        </w:tc>
        <w:tc>
          <w:tcPr>
            <w:tcW w:w="1591" w:type="dxa"/>
            <w:vAlign w:val="top"/>
          </w:tcPr>
          <w:p>
            <w:pPr>
              <w:pStyle w:val="6"/>
              <w:spacing w:before="307" w:line="221" w:lineRule="auto"/>
              <w:ind w:left="378"/>
            </w:pPr>
            <w:r>
              <w:rPr>
                <w:spacing w:val="-2"/>
              </w:rPr>
              <w:t>植被类型</w:t>
            </w:r>
          </w:p>
        </w:tc>
        <w:tc>
          <w:tcPr>
            <w:tcW w:w="1154" w:type="dxa"/>
            <w:vAlign w:val="top"/>
          </w:tcPr>
          <w:p>
            <w:pPr>
              <w:pStyle w:val="6"/>
              <w:spacing w:before="308" w:line="235" w:lineRule="auto"/>
              <w:ind w:left="173"/>
              <w:rPr>
                <w:rFonts w:ascii="Times New Roman" w:hAnsi="Times New Roman" w:eastAsia="Times New Roman" w:cs="Times New Roman"/>
                <w:sz w:val="13"/>
                <w:szCs w:val="13"/>
              </w:rPr>
            </w:pPr>
            <w:r>
              <w:rPr>
                <w:spacing w:val="-1"/>
              </w:rPr>
              <w:t>面积</w:t>
            </w:r>
            <w:r>
              <w:rPr>
                <w:rFonts w:ascii="Times New Roman" w:hAnsi="Times New Roman" w:eastAsia="Times New Roman" w:cs="Times New Roman"/>
                <w:spacing w:val="-1"/>
              </w:rPr>
              <w:t>/hm</w:t>
            </w:r>
            <w:r>
              <w:rPr>
                <w:rFonts w:ascii="Times New Roman" w:hAnsi="Times New Roman" w:eastAsia="Times New Roman" w:cs="Times New Roman"/>
                <w:spacing w:val="-1"/>
                <w:position w:val="6"/>
                <w:sz w:val="13"/>
                <w:szCs w:val="13"/>
              </w:rPr>
              <w:t>2</w:t>
            </w:r>
          </w:p>
        </w:tc>
        <w:tc>
          <w:tcPr>
            <w:tcW w:w="1533" w:type="dxa"/>
            <w:vAlign w:val="top"/>
          </w:tcPr>
          <w:p>
            <w:pPr>
              <w:pStyle w:val="6"/>
              <w:spacing w:before="170" w:line="237" w:lineRule="auto"/>
              <w:ind w:left="232" w:right="134" w:hanging="59"/>
              <w:rPr>
                <w:rFonts w:ascii="Times New Roman" w:hAnsi="Times New Roman" w:eastAsia="Times New Roman" w:cs="Times New Roman"/>
              </w:rPr>
            </w:pPr>
            <w:r>
              <w:rPr>
                <w:spacing w:val="-7"/>
              </w:rPr>
              <w:t>占评价区植被</w:t>
            </w:r>
            <w:r>
              <w:t xml:space="preserve"> </w:t>
            </w:r>
            <w:r>
              <w:rPr>
                <w:spacing w:val="-2"/>
              </w:rPr>
              <w:t>覆盖范围</w:t>
            </w:r>
            <w:r>
              <w:rPr>
                <w:rFonts w:ascii="Times New Roman" w:hAnsi="Times New Roman" w:eastAsia="Times New Roman" w:cs="Times New Roman"/>
                <w:spacing w:val="-2"/>
              </w:rPr>
              <w:t>/%</w:t>
            </w:r>
          </w:p>
        </w:tc>
        <w:tc>
          <w:tcPr>
            <w:tcW w:w="1290" w:type="dxa"/>
            <w:vAlign w:val="top"/>
          </w:tcPr>
          <w:p>
            <w:pPr>
              <w:pStyle w:val="6"/>
              <w:spacing w:before="184" w:line="246" w:lineRule="auto"/>
              <w:ind w:left="356" w:right="113" w:hanging="232"/>
              <w:rPr>
                <w:rFonts w:ascii="Times New Roman" w:hAnsi="Times New Roman" w:eastAsia="Times New Roman" w:cs="Times New Roman"/>
                <w:sz w:val="13"/>
                <w:szCs w:val="13"/>
              </w:rPr>
            </w:pPr>
            <w:r>
              <w:rPr>
                <w:spacing w:val="-1"/>
              </w:rPr>
              <w:t>平均生物量</w:t>
            </w:r>
            <w:r>
              <w:t xml:space="preserve"> </w:t>
            </w:r>
            <w:r>
              <w:rPr>
                <w:rFonts w:ascii="Times New Roman" w:hAnsi="Times New Roman" w:eastAsia="Times New Roman" w:cs="Times New Roman"/>
                <w:spacing w:val="1"/>
              </w:rPr>
              <w:t>/t·</w:t>
            </w:r>
            <w:r>
              <w:rPr>
                <w:rFonts w:ascii="Times New Roman" w:hAnsi="Times New Roman" w:eastAsia="Times New Roman" w:cs="Times New Roman"/>
              </w:rPr>
              <w:t>hm</w:t>
            </w:r>
            <w:r>
              <w:rPr>
                <w:rFonts w:ascii="Times New Roman" w:hAnsi="Times New Roman" w:eastAsia="Times New Roman" w:cs="Times New Roman"/>
                <w:spacing w:val="1"/>
                <w:position w:val="6"/>
                <w:sz w:val="13"/>
                <w:szCs w:val="13"/>
              </w:rPr>
              <w:t>-2</w:t>
            </w:r>
          </w:p>
        </w:tc>
        <w:tc>
          <w:tcPr>
            <w:tcW w:w="1317" w:type="dxa"/>
            <w:vAlign w:val="top"/>
          </w:tcPr>
          <w:p>
            <w:pPr>
              <w:pStyle w:val="6"/>
              <w:spacing w:before="307" w:line="236" w:lineRule="auto"/>
              <w:ind w:left="192"/>
              <w:rPr>
                <w:rFonts w:ascii="Times New Roman" w:hAnsi="Times New Roman" w:eastAsia="Times New Roman" w:cs="Times New Roman"/>
              </w:rPr>
            </w:pPr>
            <w:r>
              <w:rPr>
                <w:spacing w:val="-2"/>
              </w:rPr>
              <w:t>总生物量</w:t>
            </w:r>
            <w:r>
              <w:rPr>
                <w:rFonts w:ascii="Times New Roman" w:hAnsi="Times New Roman" w:eastAsia="Times New Roman" w:cs="Times New Roman"/>
                <w:spacing w:val="-2"/>
              </w:rPr>
              <w:t>/t</w:t>
            </w:r>
          </w:p>
        </w:tc>
        <w:tc>
          <w:tcPr>
            <w:tcW w:w="1231" w:type="dxa"/>
            <w:vAlign w:val="top"/>
          </w:tcPr>
          <w:p>
            <w:pPr>
              <w:pStyle w:val="6"/>
              <w:spacing w:before="35" w:line="229" w:lineRule="auto"/>
              <w:ind w:left="205" w:right="191" w:firstLine="28"/>
              <w:jc w:val="both"/>
            </w:pPr>
            <w:r>
              <w:rPr>
                <w:spacing w:val="-11"/>
              </w:rPr>
              <w:t>占评价区</w:t>
            </w:r>
            <w:r>
              <w:rPr>
                <w:spacing w:val="2"/>
              </w:rPr>
              <w:t xml:space="preserve"> </w:t>
            </w:r>
            <w:r>
              <w:rPr>
                <w:spacing w:val="-3"/>
              </w:rPr>
              <w:t>总生物量</w:t>
            </w:r>
            <w:r>
              <w:t xml:space="preserve"> </w:t>
            </w:r>
            <w:r>
              <w:rPr>
                <w:spacing w:val="36"/>
              </w:rPr>
              <w:t>（</w:t>
            </w:r>
            <w:r>
              <w:rPr>
                <w:rFonts w:ascii="Times New Roman" w:hAnsi="Times New Roman" w:eastAsia="Times New Roman" w:cs="Times New Roman"/>
                <w:spacing w:val="36"/>
              </w:rPr>
              <w:t>%</w:t>
            </w:r>
            <w:r>
              <w:rPr>
                <w:spacing w:val="3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50" w:type="dxa"/>
            <w:vAlign w:val="top"/>
          </w:tcPr>
          <w:p>
            <w:pPr>
              <w:spacing w:before="157" w:line="187" w:lineRule="auto"/>
              <w:ind w:left="44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91" w:type="dxa"/>
            <w:vAlign w:val="top"/>
          </w:tcPr>
          <w:p>
            <w:pPr>
              <w:pStyle w:val="6"/>
              <w:spacing w:before="118" w:line="221" w:lineRule="auto"/>
              <w:ind w:left="481"/>
            </w:pPr>
            <w:r>
              <w:rPr>
                <w:spacing w:val="-2"/>
              </w:rPr>
              <w:t>针叶林</w:t>
            </w:r>
          </w:p>
        </w:tc>
        <w:tc>
          <w:tcPr>
            <w:tcW w:w="1154" w:type="dxa"/>
            <w:vAlign w:val="top"/>
          </w:tcPr>
          <w:p>
            <w:pPr>
              <w:spacing w:before="157" w:line="187" w:lineRule="auto"/>
              <w:ind w:left="2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228.778</w:t>
            </w:r>
          </w:p>
        </w:tc>
        <w:tc>
          <w:tcPr>
            <w:tcW w:w="1533" w:type="dxa"/>
            <w:vAlign w:val="top"/>
          </w:tcPr>
          <w:p>
            <w:pPr>
              <w:spacing w:before="157"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79.53</w:t>
            </w:r>
          </w:p>
        </w:tc>
        <w:tc>
          <w:tcPr>
            <w:tcW w:w="1290" w:type="dxa"/>
            <w:vAlign w:val="top"/>
          </w:tcPr>
          <w:p>
            <w:pPr>
              <w:spacing w:before="157" w:line="187" w:lineRule="auto"/>
              <w:ind w:left="37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105.47</w:t>
            </w:r>
          </w:p>
        </w:tc>
        <w:tc>
          <w:tcPr>
            <w:tcW w:w="1317" w:type="dxa"/>
            <w:vAlign w:val="top"/>
          </w:tcPr>
          <w:p>
            <w:pPr>
              <w:spacing w:before="157"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24129.216</w:t>
            </w:r>
          </w:p>
        </w:tc>
        <w:tc>
          <w:tcPr>
            <w:tcW w:w="1231" w:type="dxa"/>
            <w:vAlign w:val="top"/>
          </w:tcPr>
          <w:p>
            <w:pPr>
              <w:spacing w:before="157"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50" w:type="dxa"/>
            <w:vAlign w:val="top"/>
          </w:tcPr>
          <w:p>
            <w:pPr>
              <w:spacing w:before="69" w:line="187" w:lineRule="auto"/>
              <w:ind w:left="42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91" w:type="dxa"/>
            <w:vAlign w:val="top"/>
          </w:tcPr>
          <w:p>
            <w:pPr>
              <w:pStyle w:val="6"/>
              <w:spacing w:before="31" w:line="208" w:lineRule="auto"/>
              <w:ind w:left="483"/>
            </w:pPr>
            <w:r>
              <w:rPr>
                <w:spacing w:val="-2"/>
              </w:rPr>
              <w:t>灌木林</w:t>
            </w:r>
          </w:p>
        </w:tc>
        <w:tc>
          <w:tcPr>
            <w:tcW w:w="1154" w:type="dxa"/>
            <w:vAlign w:val="top"/>
          </w:tcPr>
          <w:p>
            <w:pPr>
              <w:spacing w:before="69"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17.127</w:t>
            </w:r>
          </w:p>
        </w:tc>
        <w:tc>
          <w:tcPr>
            <w:tcW w:w="1533" w:type="dxa"/>
            <w:vAlign w:val="top"/>
          </w:tcPr>
          <w:p>
            <w:pPr>
              <w:spacing w:before="69" w:line="187" w:lineRule="auto"/>
              <w:ind w:left="5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5.95</w:t>
            </w:r>
          </w:p>
        </w:tc>
        <w:tc>
          <w:tcPr>
            <w:tcW w:w="1290" w:type="dxa"/>
            <w:vAlign w:val="top"/>
          </w:tcPr>
          <w:p>
            <w:pPr>
              <w:spacing w:before="69" w:line="187" w:lineRule="auto"/>
              <w:ind w:left="4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26.01</w:t>
            </w:r>
          </w:p>
        </w:tc>
        <w:tc>
          <w:tcPr>
            <w:tcW w:w="1317" w:type="dxa"/>
            <w:vAlign w:val="top"/>
          </w:tcPr>
          <w:p>
            <w:pPr>
              <w:spacing w:before="69"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445.473</w:t>
            </w:r>
          </w:p>
        </w:tc>
        <w:tc>
          <w:tcPr>
            <w:tcW w:w="1231" w:type="dxa"/>
            <w:vAlign w:val="top"/>
          </w:tcPr>
          <w:p>
            <w:pPr>
              <w:spacing w:before="69"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50" w:type="dxa"/>
            <w:vAlign w:val="top"/>
          </w:tcPr>
          <w:p>
            <w:pPr>
              <w:spacing w:before="69" w:line="187" w:lineRule="auto"/>
              <w:ind w:left="42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91" w:type="dxa"/>
            <w:vAlign w:val="top"/>
          </w:tcPr>
          <w:p>
            <w:pPr>
              <w:pStyle w:val="6"/>
              <w:spacing w:before="31" w:line="205" w:lineRule="auto"/>
              <w:ind w:left="482"/>
            </w:pPr>
            <w:r>
              <w:rPr>
                <w:spacing w:val="-2"/>
              </w:rPr>
              <w:t>毛竹林</w:t>
            </w:r>
          </w:p>
        </w:tc>
        <w:tc>
          <w:tcPr>
            <w:tcW w:w="1154" w:type="dxa"/>
            <w:vAlign w:val="top"/>
          </w:tcPr>
          <w:p>
            <w:pPr>
              <w:spacing w:before="69" w:line="187"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15.114</w:t>
            </w:r>
          </w:p>
        </w:tc>
        <w:tc>
          <w:tcPr>
            <w:tcW w:w="1533" w:type="dxa"/>
            <w:vAlign w:val="top"/>
          </w:tcPr>
          <w:p>
            <w:pPr>
              <w:spacing w:before="69" w:line="187" w:lineRule="auto"/>
              <w:ind w:left="5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5.25</w:t>
            </w:r>
          </w:p>
        </w:tc>
        <w:tc>
          <w:tcPr>
            <w:tcW w:w="1290" w:type="dxa"/>
            <w:vAlign w:val="top"/>
          </w:tcPr>
          <w:p>
            <w:pPr>
              <w:spacing w:before="69" w:line="187" w:lineRule="auto"/>
              <w:ind w:left="4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88.7</w:t>
            </w:r>
          </w:p>
        </w:tc>
        <w:tc>
          <w:tcPr>
            <w:tcW w:w="1317" w:type="dxa"/>
            <w:vAlign w:val="top"/>
          </w:tcPr>
          <w:p>
            <w:pPr>
              <w:spacing w:before="69" w:line="187"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1340.612</w:t>
            </w:r>
          </w:p>
        </w:tc>
        <w:tc>
          <w:tcPr>
            <w:tcW w:w="1231" w:type="dxa"/>
            <w:vAlign w:val="top"/>
          </w:tcPr>
          <w:p>
            <w:pPr>
              <w:spacing w:before="69" w:line="187" w:lineRule="auto"/>
              <w:ind w:left="4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50" w:type="dxa"/>
            <w:vAlign w:val="top"/>
          </w:tcPr>
          <w:p>
            <w:pPr>
              <w:spacing w:before="73" w:line="187" w:lineRule="auto"/>
              <w:ind w:left="420"/>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91" w:type="dxa"/>
            <w:vAlign w:val="top"/>
          </w:tcPr>
          <w:p>
            <w:pPr>
              <w:pStyle w:val="6"/>
              <w:spacing w:before="34" w:line="205" w:lineRule="auto"/>
              <w:ind w:left="272"/>
            </w:pPr>
            <w:r>
              <w:rPr>
                <w:spacing w:val="-1"/>
              </w:rPr>
              <w:t>针阔混交林</w:t>
            </w:r>
          </w:p>
        </w:tc>
        <w:tc>
          <w:tcPr>
            <w:tcW w:w="1154" w:type="dxa"/>
            <w:vAlign w:val="top"/>
          </w:tcPr>
          <w:p>
            <w:pPr>
              <w:spacing w:before="73"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7.917</w:t>
            </w:r>
          </w:p>
        </w:tc>
        <w:tc>
          <w:tcPr>
            <w:tcW w:w="1533" w:type="dxa"/>
            <w:vAlign w:val="top"/>
          </w:tcPr>
          <w:p>
            <w:pPr>
              <w:spacing w:before="73" w:line="18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2.75</w:t>
            </w:r>
          </w:p>
        </w:tc>
        <w:tc>
          <w:tcPr>
            <w:tcW w:w="1290" w:type="dxa"/>
            <w:vAlign w:val="top"/>
          </w:tcPr>
          <w:p>
            <w:pPr>
              <w:spacing w:before="73" w:line="187" w:lineRule="auto"/>
              <w:ind w:left="37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129.27</w:t>
            </w:r>
          </w:p>
        </w:tc>
        <w:tc>
          <w:tcPr>
            <w:tcW w:w="1317" w:type="dxa"/>
            <w:vAlign w:val="top"/>
          </w:tcPr>
          <w:p>
            <w:pPr>
              <w:spacing w:before="73" w:line="187"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1023.431</w:t>
            </w:r>
          </w:p>
        </w:tc>
        <w:tc>
          <w:tcPr>
            <w:tcW w:w="1231" w:type="dxa"/>
            <w:vAlign w:val="top"/>
          </w:tcPr>
          <w:p>
            <w:pPr>
              <w:spacing w:before="73" w:line="187"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50" w:type="dxa"/>
            <w:vAlign w:val="top"/>
          </w:tcPr>
          <w:p>
            <w:pPr>
              <w:spacing w:before="74" w:line="184" w:lineRule="auto"/>
              <w:ind w:left="427"/>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91" w:type="dxa"/>
            <w:vAlign w:val="top"/>
          </w:tcPr>
          <w:p>
            <w:pPr>
              <w:pStyle w:val="6"/>
              <w:spacing w:before="32" w:line="207" w:lineRule="auto"/>
              <w:ind w:left="497"/>
            </w:pPr>
            <w:r>
              <w:rPr>
                <w:spacing w:val="-5"/>
              </w:rPr>
              <w:t>阔叶林</w:t>
            </w:r>
          </w:p>
        </w:tc>
        <w:tc>
          <w:tcPr>
            <w:tcW w:w="1154" w:type="dxa"/>
            <w:vAlign w:val="top"/>
          </w:tcPr>
          <w:p>
            <w:pPr>
              <w:spacing w:before="71"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0.734</w:t>
            </w:r>
          </w:p>
        </w:tc>
        <w:tc>
          <w:tcPr>
            <w:tcW w:w="1533" w:type="dxa"/>
            <w:vAlign w:val="top"/>
          </w:tcPr>
          <w:p>
            <w:pPr>
              <w:spacing w:before="71" w:line="187" w:lineRule="auto"/>
              <w:ind w:left="5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0.26</w:t>
            </w:r>
          </w:p>
        </w:tc>
        <w:tc>
          <w:tcPr>
            <w:tcW w:w="1290" w:type="dxa"/>
            <w:vAlign w:val="top"/>
          </w:tcPr>
          <w:p>
            <w:pPr>
              <w:spacing w:before="71" w:line="187" w:lineRule="auto"/>
              <w:ind w:left="37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120.12</w:t>
            </w:r>
          </w:p>
        </w:tc>
        <w:tc>
          <w:tcPr>
            <w:tcW w:w="1317" w:type="dxa"/>
            <w:vAlign w:val="top"/>
          </w:tcPr>
          <w:p>
            <w:pPr>
              <w:spacing w:before="71"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88.168</w:t>
            </w:r>
          </w:p>
        </w:tc>
        <w:tc>
          <w:tcPr>
            <w:tcW w:w="1231" w:type="dxa"/>
            <w:vAlign w:val="top"/>
          </w:tcPr>
          <w:p>
            <w:pPr>
              <w:spacing w:before="71" w:line="187" w:lineRule="auto"/>
              <w:ind w:left="4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50" w:type="dxa"/>
            <w:vAlign w:val="top"/>
          </w:tcPr>
          <w:p>
            <w:pPr>
              <w:spacing w:before="71" w:line="187" w:lineRule="auto"/>
              <w:ind w:left="426"/>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591" w:type="dxa"/>
            <w:vAlign w:val="top"/>
          </w:tcPr>
          <w:p>
            <w:pPr>
              <w:pStyle w:val="6"/>
              <w:spacing w:before="32" w:line="205" w:lineRule="auto"/>
              <w:ind w:left="273"/>
            </w:pPr>
            <w:r>
              <w:rPr>
                <w:spacing w:val="-2"/>
              </w:rPr>
              <w:t>乔木未成林</w:t>
            </w:r>
          </w:p>
        </w:tc>
        <w:tc>
          <w:tcPr>
            <w:tcW w:w="1154" w:type="dxa"/>
            <w:vAlign w:val="top"/>
          </w:tcPr>
          <w:p>
            <w:pPr>
              <w:spacing w:before="71" w:line="187" w:lineRule="auto"/>
              <w:ind w:left="35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1.782</w:t>
            </w:r>
          </w:p>
        </w:tc>
        <w:tc>
          <w:tcPr>
            <w:tcW w:w="1533" w:type="dxa"/>
            <w:vAlign w:val="top"/>
          </w:tcPr>
          <w:p>
            <w:pPr>
              <w:spacing w:before="71" w:line="187" w:lineRule="auto"/>
              <w:ind w:left="5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0.62</w:t>
            </w:r>
          </w:p>
        </w:tc>
        <w:tc>
          <w:tcPr>
            <w:tcW w:w="1290" w:type="dxa"/>
            <w:vAlign w:val="top"/>
          </w:tcPr>
          <w:p>
            <w:pPr>
              <w:spacing w:before="71" w:line="187" w:lineRule="auto"/>
              <w:ind w:left="4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32.53</w:t>
            </w:r>
          </w:p>
        </w:tc>
        <w:tc>
          <w:tcPr>
            <w:tcW w:w="1317" w:type="dxa"/>
            <w:vAlign w:val="top"/>
          </w:tcPr>
          <w:p>
            <w:pPr>
              <w:spacing w:before="71" w:line="187" w:lineRule="auto"/>
              <w:ind w:left="3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57.968</w:t>
            </w:r>
          </w:p>
        </w:tc>
        <w:tc>
          <w:tcPr>
            <w:tcW w:w="1231" w:type="dxa"/>
            <w:vAlign w:val="top"/>
          </w:tcPr>
          <w:p>
            <w:pPr>
              <w:spacing w:before="71" w:line="187" w:lineRule="auto"/>
              <w:ind w:left="4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50" w:type="dxa"/>
            <w:vAlign w:val="top"/>
          </w:tcPr>
          <w:p>
            <w:pPr>
              <w:spacing w:before="76" w:line="184" w:lineRule="auto"/>
              <w:ind w:left="425"/>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91" w:type="dxa"/>
            <w:vAlign w:val="top"/>
          </w:tcPr>
          <w:p>
            <w:pPr>
              <w:pStyle w:val="6"/>
              <w:spacing w:before="34" w:line="205" w:lineRule="auto"/>
              <w:ind w:left="274"/>
            </w:pPr>
            <w:r>
              <w:rPr>
                <w:spacing w:val="-2"/>
              </w:rPr>
              <w:t>灌木未成林</w:t>
            </w:r>
          </w:p>
        </w:tc>
        <w:tc>
          <w:tcPr>
            <w:tcW w:w="1154" w:type="dxa"/>
            <w:vAlign w:val="top"/>
          </w:tcPr>
          <w:p>
            <w:pPr>
              <w:spacing w:before="73"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0.281</w:t>
            </w:r>
          </w:p>
        </w:tc>
        <w:tc>
          <w:tcPr>
            <w:tcW w:w="1533" w:type="dxa"/>
            <w:vAlign w:val="top"/>
          </w:tcPr>
          <w:p>
            <w:pPr>
              <w:spacing w:before="73" w:line="187" w:lineRule="auto"/>
              <w:ind w:left="63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290" w:type="dxa"/>
            <w:vAlign w:val="top"/>
          </w:tcPr>
          <w:p>
            <w:pPr>
              <w:spacing w:before="73" w:line="187" w:lineRule="auto"/>
              <w:ind w:left="48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15.7</w:t>
            </w:r>
          </w:p>
        </w:tc>
        <w:tc>
          <w:tcPr>
            <w:tcW w:w="1317" w:type="dxa"/>
            <w:vAlign w:val="top"/>
          </w:tcPr>
          <w:p>
            <w:pPr>
              <w:spacing w:before="73" w:line="187" w:lineRule="auto"/>
              <w:ind w:left="4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4.412</w:t>
            </w:r>
          </w:p>
        </w:tc>
        <w:tc>
          <w:tcPr>
            <w:tcW w:w="1231" w:type="dxa"/>
            <w:vAlign w:val="top"/>
          </w:tcPr>
          <w:p>
            <w:pPr>
              <w:spacing w:before="73" w:line="187" w:lineRule="auto"/>
              <w:ind w:left="4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50" w:type="dxa"/>
            <w:vAlign w:val="top"/>
          </w:tcPr>
          <w:p>
            <w:pPr>
              <w:spacing w:before="71" w:line="187"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591" w:type="dxa"/>
            <w:vAlign w:val="top"/>
          </w:tcPr>
          <w:p>
            <w:pPr>
              <w:pStyle w:val="6"/>
              <w:spacing w:before="33" w:line="206" w:lineRule="auto"/>
              <w:ind w:left="378"/>
            </w:pPr>
            <w:r>
              <w:rPr>
                <w:spacing w:val="-2"/>
              </w:rPr>
              <w:t>其他林地</w:t>
            </w:r>
          </w:p>
        </w:tc>
        <w:tc>
          <w:tcPr>
            <w:tcW w:w="1154" w:type="dxa"/>
            <w:vAlign w:val="top"/>
          </w:tcPr>
          <w:p>
            <w:pPr>
              <w:spacing w:before="71"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12.546</w:t>
            </w:r>
          </w:p>
        </w:tc>
        <w:tc>
          <w:tcPr>
            <w:tcW w:w="1533" w:type="dxa"/>
            <w:vAlign w:val="top"/>
          </w:tcPr>
          <w:p>
            <w:pPr>
              <w:spacing w:before="71" w:line="187" w:lineRule="auto"/>
              <w:ind w:left="5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4.36</w:t>
            </w:r>
          </w:p>
        </w:tc>
        <w:tc>
          <w:tcPr>
            <w:tcW w:w="1290" w:type="dxa"/>
            <w:vAlign w:val="top"/>
          </w:tcPr>
          <w:p>
            <w:pPr>
              <w:spacing w:before="71" w:line="187" w:lineRule="auto"/>
              <w:ind w:left="4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23.12</w:t>
            </w:r>
          </w:p>
        </w:tc>
        <w:tc>
          <w:tcPr>
            <w:tcW w:w="1317" w:type="dxa"/>
            <w:vAlign w:val="top"/>
          </w:tcPr>
          <w:p>
            <w:pPr>
              <w:spacing w:before="71"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290.064</w:t>
            </w:r>
          </w:p>
        </w:tc>
        <w:tc>
          <w:tcPr>
            <w:tcW w:w="1231" w:type="dxa"/>
            <w:vAlign w:val="top"/>
          </w:tcPr>
          <w:p>
            <w:pPr>
              <w:spacing w:before="71"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50" w:type="dxa"/>
            <w:vAlign w:val="top"/>
          </w:tcPr>
          <w:p>
            <w:pPr>
              <w:spacing w:before="71" w:line="187" w:lineRule="auto"/>
              <w:ind w:left="425"/>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91" w:type="dxa"/>
            <w:vAlign w:val="top"/>
          </w:tcPr>
          <w:p>
            <w:pPr>
              <w:pStyle w:val="6"/>
              <w:spacing w:before="32" w:line="204" w:lineRule="auto"/>
              <w:ind w:left="378"/>
            </w:pPr>
            <w:r>
              <w:rPr>
                <w:spacing w:val="-2"/>
              </w:rPr>
              <w:t>其他草地</w:t>
            </w:r>
          </w:p>
        </w:tc>
        <w:tc>
          <w:tcPr>
            <w:tcW w:w="1154" w:type="dxa"/>
            <w:vAlign w:val="top"/>
          </w:tcPr>
          <w:p>
            <w:pPr>
              <w:spacing w:before="71"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3.398</w:t>
            </w:r>
          </w:p>
        </w:tc>
        <w:tc>
          <w:tcPr>
            <w:tcW w:w="1533" w:type="dxa"/>
            <w:vAlign w:val="top"/>
          </w:tcPr>
          <w:p>
            <w:pPr>
              <w:spacing w:before="71" w:line="187" w:lineRule="auto"/>
              <w:ind w:left="59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1.18</w:t>
            </w:r>
          </w:p>
        </w:tc>
        <w:tc>
          <w:tcPr>
            <w:tcW w:w="1290" w:type="dxa"/>
            <w:vAlign w:val="top"/>
          </w:tcPr>
          <w:p>
            <w:pPr>
              <w:spacing w:before="71" w:line="187" w:lineRule="auto"/>
              <w:ind w:left="4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7.82</w:t>
            </w:r>
          </w:p>
        </w:tc>
        <w:tc>
          <w:tcPr>
            <w:tcW w:w="1317" w:type="dxa"/>
            <w:vAlign w:val="top"/>
          </w:tcPr>
          <w:p>
            <w:pPr>
              <w:spacing w:before="71" w:line="187" w:lineRule="auto"/>
              <w:ind w:left="3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26.572</w:t>
            </w:r>
          </w:p>
        </w:tc>
        <w:tc>
          <w:tcPr>
            <w:tcW w:w="1231" w:type="dxa"/>
            <w:vAlign w:val="top"/>
          </w:tcPr>
          <w:p>
            <w:pPr>
              <w:spacing w:before="71"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0" w:type="dxa"/>
            <w:vAlign w:val="top"/>
          </w:tcPr>
          <w:p>
            <w:pPr>
              <w:rPr>
                <w:rFonts w:ascii="Arial"/>
                <w:sz w:val="21"/>
              </w:rPr>
            </w:pPr>
          </w:p>
        </w:tc>
        <w:tc>
          <w:tcPr>
            <w:tcW w:w="1591" w:type="dxa"/>
            <w:vAlign w:val="top"/>
          </w:tcPr>
          <w:p>
            <w:pPr>
              <w:pStyle w:val="6"/>
              <w:spacing w:before="130" w:line="222" w:lineRule="auto"/>
              <w:ind w:left="592"/>
            </w:pPr>
            <w:r>
              <w:rPr>
                <w:spacing w:val="-3"/>
              </w:rPr>
              <w:t>总计</w:t>
            </w:r>
          </w:p>
        </w:tc>
        <w:tc>
          <w:tcPr>
            <w:tcW w:w="1154" w:type="dxa"/>
            <w:vAlign w:val="top"/>
          </w:tcPr>
          <w:p>
            <w:pPr>
              <w:spacing w:before="168" w:line="187" w:lineRule="auto"/>
              <w:ind w:left="2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287.677</w:t>
            </w:r>
          </w:p>
        </w:tc>
        <w:tc>
          <w:tcPr>
            <w:tcW w:w="1533" w:type="dxa"/>
            <w:vAlign w:val="top"/>
          </w:tcPr>
          <w:p>
            <w:pPr>
              <w:spacing w:before="168" w:line="18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290" w:type="dxa"/>
            <w:vAlign w:val="top"/>
          </w:tcPr>
          <w:p>
            <w:pPr>
              <w:spacing w:before="165" w:line="233"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17" w:type="dxa"/>
            <w:vAlign w:val="top"/>
          </w:tcPr>
          <w:p>
            <w:pPr>
              <w:spacing w:before="168"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27405.915</w:t>
            </w:r>
          </w:p>
        </w:tc>
        <w:tc>
          <w:tcPr>
            <w:tcW w:w="1231" w:type="dxa"/>
            <w:vAlign w:val="top"/>
          </w:tcPr>
          <w:p>
            <w:pPr>
              <w:spacing w:before="168" w:line="18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r>
    </w:tbl>
    <w:p>
      <w:pPr>
        <w:spacing w:before="194" w:line="359" w:lineRule="auto"/>
        <w:ind w:left="288" w:right="283" w:firstLine="483"/>
        <w:jc w:val="both"/>
        <w:rPr>
          <w:rFonts w:ascii="宋体" w:hAnsi="宋体" w:eastAsia="宋体" w:cs="宋体"/>
          <w:sz w:val="24"/>
          <w:szCs w:val="24"/>
        </w:rPr>
      </w:pPr>
      <w:r>
        <w:rPr>
          <w:rFonts w:ascii="宋体" w:hAnsi="宋体" w:eastAsia="宋体" w:cs="宋体"/>
          <w:spacing w:val="19"/>
          <w:sz w:val="24"/>
          <w:szCs w:val="24"/>
        </w:rPr>
        <w:t xml:space="preserve">评价区各植被类型生物量量现状见表 </w:t>
      </w:r>
      <w:r>
        <w:rPr>
          <w:rFonts w:ascii="Times New Roman" w:hAnsi="Times New Roman" w:eastAsia="Times New Roman" w:cs="Times New Roman"/>
          <w:spacing w:val="19"/>
          <w:sz w:val="24"/>
          <w:szCs w:val="24"/>
        </w:rPr>
        <w:t>4.5-4</w:t>
      </w:r>
      <w:r>
        <w:rPr>
          <w:rFonts w:ascii="Times New Roman" w:hAnsi="Times New Roman" w:eastAsia="Times New Roman" w:cs="Times New Roman"/>
          <w:spacing w:val="-34"/>
          <w:sz w:val="24"/>
          <w:szCs w:val="24"/>
        </w:rPr>
        <w:t xml:space="preserve"> </w:t>
      </w:r>
      <w:r>
        <w:rPr>
          <w:rFonts w:ascii="宋体" w:hAnsi="宋体" w:eastAsia="宋体" w:cs="宋体"/>
          <w:spacing w:val="19"/>
          <w:sz w:val="24"/>
          <w:szCs w:val="24"/>
        </w:rPr>
        <w:t>。评价区陆生植被总生物量</w:t>
      </w:r>
      <w:r>
        <w:rPr>
          <w:rFonts w:ascii="宋体" w:hAnsi="宋体" w:eastAsia="宋体" w:cs="宋体"/>
          <w:sz w:val="24"/>
          <w:szCs w:val="24"/>
        </w:rPr>
        <w:t xml:space="preserve"> </w:t>
      </w:r>
      <w:r>
        <w:rPr>
          <w:rFonts w:ascii="Times New Roman" w:hAnsi="Times New Roman" w:eastAsia="Times New Roman" w:cs="Times New Roman"/>
          <w:spacing w:val="-2"/>
          <w:sz w:val="24"/>
          <w:szCs w:val="24"/>
        </w:rPr>
        <w:t>27405.915t</w:t>
      </w:r>
      <w:r>
        <w:rPr>
          <w:rFonts w:ascii="宋体" w:hAnsi="宋体" w:eastAsia="宋体" w:cs="宋体"/>
          <w:spacing w:val="-2"/>
          <w:sz w:val="24"/>
          <w:szCs w:val="24"/>
        </w:rPr>
        <w:t>。评价区陆生植被类型以针叶林为主，其中针叶林面积为</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228.778hm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w:t>
      </w:r>
    </w:p>
    <w:p>
      <w:pPr>
        <w:spacing w:line="218" w:lineRule="auto"/>
        <w:ind w:left="331"/>
        <w:rPr>
          <w:rFonts w:ascii="宋体" w:hAnsi="宋体" w:eastAsia="宋体" w:cs="宋体"/>
          <w:sz w:val="24"/>
          <w:szCs w:val="24"/>
        </w:rPr>
      </w:pPr>
      <w:r>
        <w:rPr>
          <w:rFonts w:ascii="宋体" w:hAnsi="宋体" w:eastAsia="宋体" w:cs="宋体"/>
          <w:spacing w:val="-4"/>
          <w:sz w:val="24"/>
          <w:szCs w:val="24"/>
        </w:rPr>
        <w:t>占评价区植被覆盖面积的</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79.53%</w:t>
      </w:r>
      <w:r>
        <w:rPr>
          <w:rFonts w:ascii="宋体" w:hAnsi="宋体" w:eastAsia="宋体" w:cs="宋体"/>
          <w:spacing w:val="-4"/>
          <w:sz w:val="24"/>
          <w:szCs w:val="24"/>
        </w:rPr>
        <w:t>，生物量为</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24129.216t</w:t>
      </w:r>
      <w:r>
        <w:rPr>
          <w:rFonts w:ascii="宋体" w:hAnsi="宋体" w:eastAsia="宋体" w:cs="宋体"/>
          <w:spacing w:val="-4"/>
          <w:sz w:val="24"/>
          <w:szCs w:val="24"/>
        </w:rPr>
        <w:t>，占</w:t>
      </w:r>
      <w:r>
        <w:rPr>
          <w:rFonts w:ascii="宋体" w:hAnsi="宋体" w:eastAsia="宋体" w:cs="宋体"/>
          <w:spacing w:val="-5"/>
          <w:sz w:val="24"/>
          <w:szCs w:val="24"/>
        </w:rPr>
        <w:t>评价区生物量</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88.04%</w:t>
      </w:r>
      <w:r>
        <w:rPr>
          <w:rFonts w:ascii="宋体" w:hAnsi="宋体" w:eastAsia="宋体" w:cs="宋体"/>
          <w:spacing w:val="-5"/>
          <w:sz w:val="24"/>
          <w:szCs w:val="24"/>
        </w:rPr>
        <w:t>；</w:t>
      </w:r>
    </w:p>
    <w:p>
      <w:pPr>
        <w:spacing w:line="218" w:lineRule="auto"/>
        <w:rPr>
          <w:rFonts w:ascii="宋体" w:hAnsi="宋体" w:eastAsia="宋体" w:cs="宋体"/>
          <w:sz w:val="24"/>
          <w:szCs w:val="24"/>
        </w:rPr>
        <w:sectPr>
          <w:headerReference r:id="rId224" w:type="default"/>
          <w:footerReference r:id="rId225" w:type="default"/>
          <w:pgSz w:w="11907" w:h="16839"/>
          <w:pgMar w:top="1288" w:right="1416" w:bottom="1151" w:left="1418" w:header="1047" w:footer="990" w:gutter="0"/>
          <w:cols w:space="720" w:num="1"/>
        </w:sectPr>
      </w:pPr>
    </w:p>
    <w:p>
      <w:pPr>
        <w:pStyle w:val="2"/>
        <w:spacing w:line="255" w:lineRule="auto"/>
      </w:pPr>
    </w:p>
    <w:p>
      <w:pPr>
        <w:spacing w:before="78" w:line="359" w:lineRule="auto"/>
        <w:ind w:left="38" w:firstLine="2"/>
        <w:rPr>
          <w:rFonts w:ascii="宋体" w:hAnsi="宋体" w:eastAsia="宋体" w:cs="宋体"/>
          <w:sz w:val="24"/>
          <w:szCs w:val="24"/>
        </w:rPr>
      </w:pPr>
      <w:r>
        <w:rPr>
          <w:rFonts w:ascii="宋体" w:hAnsi="宋体" w:eastAsia="宋体" w:cs="宋体"/>
          <w:spacing w:val="-2"/>
          <w:sz w:val="24"/>
          <w:szCs w:val="24"/>
        </w:rPr>
        <w:t xml:space="preserve">灌木林面积为 </w:t>
      </w:r>
      <w:r>
        <w:rPr>
          <w:rFonts w:ascii="Times New Roman" w:hAnsi="Times New Roman" w:eastAsia="Times New Roman" w:cs="Times New Roman"/>
          <w:spacing w:val="-2"/>
          <w:sz w:val="24"/>
          <w:szCs w:val="24"/>
        </w:rPr>
        <w:t>17.127hm</w:t>
      </w:r>
      <w:r>
        <w:rPr>
          <w:rFonts w:ascii="Times New Roman" w:hAnsi="Times New Roman" w:eastAsia="Times New Roman" w:cs="Times New Roman"/>
          <w:spacing w:val="-2"/>
          <w:position w:val="9"/>
          <w:sz w:val="16"/>
          <w:szCs w:val="16"/>
        </w:rPr>
        <w:t>2</w:t>
      </w:r>
      <w:r>
        <w:rPr>
          <w:rFonts w:ascii="Times New Roman" w:hAnsi="Times New Roman" w:eastAsia="Times New Roman" w:cs="Times New Roman"/>
          <w:spacing w:val="-10"/>
          <w:position w:val="9"/>
          <w:sz w:val="16"/>
          <w:szCs w:val="16"/>
        </w:rPr>
        <w:t xml:space="preserve"> </w:t>
      </w:r>
      <w:r>
        <w:rPr>
          <w:rFonts w:ascii="宋体" w:hAnsi="宋体" w:eastAsia="宋体" w:cs="宋体"/>
          <w:spacing w:val="-2"/>
          <w:sz w:val="24"/>
          <w:szCs w:val="24"/>
        </w:rPr>
        <w:t>，占评价区植被覆盖面</w:t>
      </w:r>
      <w:r>
        <w:rPr>
          <w:rFonts w:ascii="宋体" w:hAnsi="宋体" w:eastAsia="宋体" w:cs="宋体"/>
          <w:spacing w:val="-3"/>
          <w:sz w:val="24"/>
          <w:szCs w:val="24"/>
        </w:rPr>
        <w:t>积的</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5.95%</w:t>
      </w:r>
      <w:r>
        <w:rPr>
          <w:rFonts w:ascii="宋体" w:hAnsi="宋体" w:eastAsia="宋体" w:cs="宋体"/>
          <w:spacing w:val="-3"/>
          <w:sz w:val="24"/>
          <w:szCs w:val="24"/>
        </w:rPr>
        <w:t>，生物量为</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445.473t</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8"/>
          <w:sz w:val="24"/>
          <w:szCs w:val="24"/>
        </w:rPr>
        <w:t>占评价区生物量</w:t>
      </w:r>
      <w:r>
        <w:rPr>
          <w:rFonts w:ascii="宋体" w:hAnsi="宋体" w:eastAsia="宋体" w:cs="宋体"/>
          <w:spacing w:val="-56"/>
          <w:sz w:val="24"/>
          <w:szCs w:val="24"/>
        </w:rPr>
        <w:t xml:space="preserve"> </w:t>
      </w:r>
      <w:r>
        <w:rPr>
          <w:rFonts w:ascii="Times New Roman" w:hAnsi="Times New Roman" w:eastAsia="Times New Roman" w:cs="Times New Roman"/>
          <w:spacing w:val="-8"/>
          <w:sz w:val="24"/>
          <w:szCs w:val="24"/>
        </w:rPr>
        <w:t>1.63%</w:t>
      </w:r>
      <w:r>
        <w:rPr>
          <w:rFonts w:ascii="宋体" w:hAnsi="宋体" w:eastAsia="宋体" w:cs="宋体"/>
          <w:spacing w:val="-8"/>
          <w:sz w:val="24"/>
          <w:szCs w:val="24"/>
        </w:rPr>
        <w:t>；毛竹林面积为</w:t>
      </w:r>
      <w:r>
        <w:rPr>
          <w:rFonts w:ascii="宋体" w:hAnsi="宋体" w:eastAsia="宋体" w:cs="宋体"/>
          <w:spacing w:val="-56"/>
          <w:sz w:val="24"/>
          <w:szCs w:val="24"/>
        </w:rPr>
        <w:t xml:space="preserve"> </w:t>
      </w:r>
      <w:r>
        <w:rPr>
          <w:rFonts w:ascii="Times New Roman" w:hAnsi="Times New Roman" w:eastAsia="Times New Roman" w:cs="Times New Roman"/>
          <w:spacing w:val="-8"/>
          <w:sz w:val="24"/>
          <w:szCs w:val="24"/>
        </w:rPr>
        <w:t>15.114hm</w:t>
      </w:r>
      <w:r>
        <w:rPr>
          <w:rFonts w:ascii="Times New Roman" w:hAnsi="Times New Roman" w:eastAsia="Times New Roman" w:cs="Times New Roman"/>
          <w:spacing w:val="-8"/>
          <w:position w:val="9"/>
          <w:sz w:val="16"/>
          <w:szCs w:val="16"/>
        </w:rPr>
        <w:t>2</w:t>
      </w:r>
      <w:r>
        <w:rPr>
          <w:rFonts w:ascii="宋体" w:hAnsi="宋体" w:eastAsia="宋体" w:cs="宋体"/>
          <w:spacing w:val="-8"/>
          <w:sz w:val="24"/>
          <w:szCs w:val="24"/>
        </w:rPr>
        <w:t>，占评价</w:t>
      </w:r>
      <w:r>
        <w:rPr>
          <w:rFonts w:ascii="宋体" w:hAnsi="宋体" w:eastAsia="宋体" w:cs="宋体"/>
          <w:spacing w:val="-9"/>
          <w:sz w:val="24"/>
          <w:szCs w:val="24"/>
        </w:rPr>
        <w:t>区植被覆盖面积的</w:t>
      </w:r>
      <w:r>
        <w:rPr>
          <w:rFonts w:ascii="宋体" w:hAnsi="宋体" w:eastAsia="宋体" w:cs="宋体"/>
          <w:spacing w:val="-72"/>
          <w:sz w:val="24"/>
          <w:szCs w:val="24"/>
        </w:rPr>
        <w:t xml:space="preserve"> </w:t>
      </w:r>
      <w:r>
        <w:rPr>
          <w:rFonts w:ascii="Times New Roman" w:hAnsi="Times New Roman" w:eastAsia="Times New Roman" w:cs="Times New Roman"/>
          <w:spacing w:val="-9"/>
          <w:sz w:val="24"/>
          <w:szCs w:val="24"/>
        </w:rPr>
        <w:t>5.25%</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3"/>
          <w:sz w:val="24"/>
          <w:szCs w:val="24"/>
        </w:rPr>
        <w:t xml:space="preserve">生物量为 </w:t>
      </w:r>
      <w:r>
        <w:rPr>
          <w:rFonts w:ascii="Times New Roman" w:hAnsi="Times New Roman" w:eastAsia="Times New Roman" w:cs="Times New Roman"/>
          <w:spacing w:val="-3"/>
          <w:sz w:val="24"/>
          <w:szCs w:val="24"/>
        </w:rPr>
        <w:t>1340.612t</w:t>
      </w:r>
      <w:r>
        <w:rPr>
          <w:rFonts w:ascii="宋体" w:hAnsi="宋体" w:eastAsia="宋体" w:cs="宋体"/>
          <w:spacing w:val="-3"/>
          <w:sz w:val="24"/>
          <w:szCs w:val="24"/>
        </w:rPr>
        <w:t>，占评价区生物量</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4.89%</w:t>
      </w:r>
      <w:r>
        <w:rPr>
          <w:rFonts w:ascii="宋体" w:hAnsi="宋体" w:eastAsia="宋体" w:cs="宋体"/>
          <w:spacing w:val="-3"/>
          <w:sz w:val="24"/>
          <w:szCs w:val="24"/>
        </w:rPr>
        <w:t xml:space="preserve">；针阔混交林面积为 </w:t>
      </w:r>
      <w:r>
        <w:rPr>
          <w:rFonts w:ascii="Times New Roman" w:hAnsi="Times New Roman" w:eastAsia="Times New Roman" w:cs="Times New Roman"/>
          <w:spacing w:val="-3"/>
          <w:sz w:val="24"/>
          <w:szCs w:val="24"/>
        </w:rPr>
        <w:t>7.917hm</w:t>
      </w:r>
      <w:r>
        <w:rPr>
          <w:rFonts w:ascii="Times New Roman" w:hAnsi="Times New Roman" w:eastAsia="Times New Roman" w:cs="Times New Roman"/>
          <w:spacing w:val="-3"/>
          <w:position w:val="9"/>
          <w:sz w:val="16"/>
          <w:szCs w:val="16"/>
        </w:rPr>
        <w:t>2</w:t>
      </w:r>
      <w:r>
        <w:rPr>
          <w:rFonts w:ascii="Times New Roman" w:hAnsi="Times New Roman" w:eastAsia="Times New Roman" w:cs="Times New Roman"/>
          <w:spacing w:val="-9"/>
          <w:position w:val="9"/>
          <w:sz w:val="16"/>
          <w:szCs w:val="16"/>
        </w:rPr>
        <w:t xml:space="preserve"> </w:t>
      </w:r>
      <w:r>
        <w:rPr>
          <w:rFonts w:ascii="宋体" w:hAnsi="宋体" w:eastAsia="宋体" w:cs="宋体"/>
          <w:spacing w:val="-4"/>
          <w:sz w:val="24"/>
          <w:szCs w:val="24"/>
        </w:rPr>
        <w:t>，占评</w:t>
      </w:r>
      <w:r>
        <w:rPr>
          <w:rFonts w:ascii="宋体" w:hAnsi="宋体" w:eastAsia="宋体" w:cs="宋体"/>
          <w:sz w:val="24"/>
          <w:szCs w:val="24"/>
        </w:rPr>
        <w:t xml:space="preserve"> </w:t>
      </w:r>
      <w:r>
        <w:rPr>
          <w:rFonts w:ascii="宋体" w:hAnsi="宋体" w:eastAsia="宋体" w:cs="宋体"/>
          <w:spacing w:val="-2"/>
          <w:sz w:val="24"/>
          <w:szCs w:val="24"/>
        </w:rPr>
        <w:t xml:space="preserve">价区总面积的 </w:t>
      </w:r>
      <w:r>
        <w:rPr>
          <w:rFonts w:ascii="Times New Roman" w:hAnsi="Times New Roman" w:eastAsia="Times New Roman" w:cs="Times New Roman"/>
          <w:spacing w:val="-2"/>
          <w:sz w:val="24"/>
          <w:szCs w:val="24"/>
        </w:rPr>
        <w:t>2.75%</w:t>
      </w:r>
      <w:r>
        <w:rPr>
          <w:rFonts w:ascii="宋体" w:hAnsi="宋体" w:eastAsia="宋体" w:cs="宋体"/>
          <w:spacing w:val="-2"/>
          <w:sz w:val="24"/>
          <w:szCs w:val="24"/>
        </w:rPr>
        <w:t xml:space="preserve">，生物量为 </w:t>
      </w:r>
      <w:r>
        <w:rPr>
          <w:rFonts w:ascii="Times New Roman" w:hAnsi="Times New Roman" w:eastAsia="Times New Roman" w:cs="Times New Roman"/>
          <w:spacing w:val="-2"/>
          <w:sz w:val="24"/>
          <w:szCs w:val="24"/>
        </w:rPr>
        <w:t>1023.431t</w:t>
      </w:r>
      <w:r>
        <w:rPr>
          <w:rFonts w:ascii="宋体" w:hAnsi="宋体" w:eastAsia="宋体" w:cs="宋体"/>
          <w:spacing w:val="-2"/>
          <w:sz w:val="24"/>
          <w:szCs w:val="24"/>
        </w:rPr>
        <w:t xml:space="preserve">，占评价区总生物量的 </w:t>
      </w:r>
      <w:r>
        <w:rPr>
          <w:rFonts w:ascii="Times New Roman" w:hAnsi="Times New Roman" w:eastAsia="Times New Roman" w:cs="Times New Roman"/>
          <w:spacing w:val="-2"/>
          <w:sz w:val="24"/>
          <w:szCs w:val="24"/>
        </w:rPr>
        <w:t>3.73%</w:t>
      </w:r>
      <w:r>
        <w:rPr>
          <w:rFonts w:ascii="宋体" w:hAnsi="宋体" w:eastAsia="宋体" w:cs="宋体"/>
          <w:spacing w:val="-2"/>
          <w:sz w:val="24"/>
          <w:szCs w:val="24"/>
        </w:rPr>
        <w:t>；阔叶林</w:t>
      </w:r>
      <w:r>
        <w:rPr>
          <w:rFonts w:ascii="宋体" w:hAnsi="宋体" w:eastAsia="宋体" w:cs="宋体"/>
          <w:spacing w:val="12"/>
          <w:sz w:val="24"/>
          <w:szCs w:val="24"/>
        </w:rPr>
        <w:t xml:space="preserve"> </w:t>
      </w:r>
      <w:r>
        <w:rPr>
          <w:rFonts w:ascii="宋体" w:hAnsi="宋体" w:eastAsia="宋体" w:cs="宋体"/>
          <w:spacing w:val="-3"/>
          <w:sz w:val="24"/>
          <w:szCs w:val="24"/>
        </w:rPr>
        <w:t>面积为</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0.734hm</w:t>
      </w:r>
      <w:r>
        <w:rPr>
          <w:rFonts w:ascii="Times New Roman" w:hAnsi="Times New Roman" w:eastAsia="Times New Roman" w:cs="Times New Roman"/>
          <w:spacing w:val="-3"/>
          <w:position w:val="9"/>
          <w:sz w:val="16"/>
          <w:szCs w:val="16"/>
        </w:rPr>
        <w:t>2</w:t>
      </w:r>
      <w:r>
        <w:rPr>
          <w:rFonts w:ascii="Times New Roman" w:hAnsi="Times New Roman" w:eastAsia="Times New Roman" w:cs="Times New Roman"/>
          <w:spacing w:val="-10"/>
          <w:position w:val="9"/>
          <w:sz w:val="16"/>
          <w:szCs w:val="16"/>
        </w:rPr>
        <w:t xml:space="preserve"> </w:t>
      </w:r>
      <w:r>
        <w:rPr>
          <w:rFonts w:ascii="宋体" w:hAnsi="宋体" w:eastAsia="宋体" w:cs="宋体"/>
          <w:spacing w:val="-3"/>
          <w:sz w:val="24"/>
          <w:szCs w:val="24"/>
        </w:rPr>
        <w:t>，占评价区总面积的</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0.26%</w:t>
      </w:r>
      <w:r>
        <w:rPr>
          <w:rFonts w:ascii="宋体" w:hAnsi="宋体" w:eastAsia="宋体" w:cs="宋体"/>
          <w:spacing w:val="-3"/>
          <w:sz w:val="24"/>
          <w:szCs w:val="24"/>
        </w:rPr>
        <w:t xml:space="preserve">，生物量为 </w:t>
      </w:r>
      <w:r>
        <w:rPr>
          <w:rFonts w:ascii="Times New Roman" w:hAnsi="Times New Roman" w:eastAsia="Times New Roman" w:cs="Times New Roman"/>
          <w:spacing w:val="-3"/>
          <w:sz w:val="24"/>
          <w:szCs w:val="24"/>
        </w:rPr>
        <w:t>88.168t</w:t>
      </w:r>
      <w:r>
        <w:rPr>
          <w:rFonts w:ascii="宋体" w:hAnsi="宋体" w:eastAsia="宋体" w:cs="宋体"/>
          <w:spacing w:val="-3"/>
          <w:sz w:val="24"/>
          <w:szCs w:val="24"/>
        </w:rPr>
        <w:t xml:space="preserve">，占评价区总生物 </w:t>
      </w:r>
      <w:r>
        <w:rPr>
          <w:rFonts w:ascii="宋体" w:hAnsi="宋体" w:eastAsia="宋体" w:cs="宋体"/>
          <w:spacing w:val="-6"/>
          <w:sz w:val="24"/>
          <w:szCs w:val="24"/>
        </w:rPr>
        <w:t>量的</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0.32%</w:t>
      </w:r>
      <w:r>
        <w:rPr>
          <w:rFonts w:ascii="宋体" w:hAnsi="宋体" w:eastAsia="宋体" w:cs="宋体"/>
          <w:spacing w:val="-6"/>
          <w:sz w:val="24"/>
          <w:szCs w:val="24"/>
        </w:rPr>
        <w:t>。综上可见， 评价区内针叶林是对评价范围植被生物量的大小起决</w:t>
      </w:r>
      <w:r>
        <w:rPr>
          <w:rFonts w:ascii="宋体" w:hAnsi="宋体" w:eastAsia="宋体" w:cs="宋体"/>
          <w:spacing w:val="-7"/>
          <w:sz w:val="24"/>
          <w:szCs w:val="24"/>
        </w:rPr>
        <w:t>定性</w:t>
      </w:r>
    </w:p>
    <w:p>
      <w:pPr>
        <w:spacing w:line="219" w:lineRule="auto"/>
        <w:ind w:left="57"/>
        <w:rPr>
          <w:rFonts w:ascii="宋体" w:hAnsi="宋体" w:eastAsia="宋体" w:cs="宋体"/>
          <w:sz w:val="24"/>
          <w:szCs w:val="24"/>
        </w:rPr>
      </w:pPr>
      <w:r>
        <w:rPr>
          <w:rFonts w:ascii="宋体" w:hAnsi="宋体" w:eastAsia="宋体" w:cs="宋体"/>
          <w:spacing w:val="-12"/>
          <w:sz w:val="24"/>
          <w:szCs w:val="24"/>
        </w:rPr>
        <w:t>的因素。</w:t>
      </w:r>
    </w:p>
    <w:p>
      <w:pPr>
        <w:spacing w:before="182"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）生物多样性现状</w:t>
      </w:r>
    </w:p>
    <w:p>
      <w:pPr>
        <w:spacing w:before="181" w:line="359" w:lineRule="auto"/>
        <w:ind w:left="38" w:right="1" w:firstLine="478"/>
        <w:rPr>
          <w:rFonts w:ascii="宋体" w:hAnsi="宋体" w:eastAsia="宋体" w:cs="宋体"/>
          <w:sz w:val="24"/>
          <w:szCs w:val="24"/>
        </w:rPr>
      </w:pPr>
      <w:r>
        <w:rPr>
          <w:rFonts w:ascii="宋体" w:hAnsi="宋体" w:eastAsia="宋体" w:cs="宋体"/>
          <w:spacing w:val="3"/>
          <w:sz w:val="24"/>
          <w:szCs w:val="24"/>
        </w:rPr>
        <w:t>样性是反映一个生物群落复杂程度的指标，多</w:t>
      </w:r>
      <w:r>
        <w:rPr>
          <w:rFonts w:ascii="宋体" w:hAnsi="宋体" w:eastAsia="宋体" w:cs="宋体"/>
          <w:spacing w:val="2"/>
          <w:sz w:val="24"/>
          <w:szCs w:val="24"/>
        </w:rPr>
        <w:t>样性一般用生物群落的物种及</w:t>
      </w:r>
      <w:r>
        <w:rPr>
          <w:rFonts w:ascii="宋体" w:hAnsi="宋体" w:eastAsia="宋体" w:cs="宋体"/>
          <w:sz w:val="24"/>
          <w:szCs w:val="24"/>
        </w:rPr>
        <w:t xml:space="preserve"> </w:t>
      </w:r>
      <w:r>
        <w:rPr>
          <w:rFonts w:ascii="宋体" w:hAnsi="宋体" w:eastAsia="宋体" w:cs="宋体"/>
          <w:spacing w:val="-2"/>
          <w:sz w:val="24"/>
          <w:szCs w:val="24"/>
        </w:rPr>
        <w:t>其个体数量的分布状态来描述。具有高多样性的生态系统一般</w:t>
      </w:r>
      <w:r>
        <w:rPr>
          <w:rFonts w:ascii="宋体" w:hAnsi="宋体" w:eastAsia="宋体" w:cs="宋体"/>
          <w:spacing w:val="-3"/>
          <w:sz w:val="24"/>
          <w:szCs w:val="24"/>
        </w:rPr>
        <w:t>具有较高的稳定性，</w:t>
      </w:r>
      <w:r>
        <w:rPr>
          <w:rFonts w:ascii="宋体" w:hAnsi="宋体" w:eastAsia="宋体" w:cs="宋体"/>
          <w:sz w:val="24"/>
          <w:szCs w:val="24"/>
        </w:rPr>
        <w:t xml:space="preserve"> </w:t>
      </w:r>
      <w:r>
        <w:rPr>
          <w:rFonts w:ascii="宋体" w:hAnsi="宋体" w:eastAsia="宋体" w:cs="宋体"/>
          <w:spacing w:val="2"/>
          <w:sz w:val="24"/>
          <w:szCs w:val="24"/>
        </w:rPr>
        <w:t>具有较高稳定性的生态系统在受到外界压力后恢复到平衡的能力亦较强。因此，</w:t>
      </w:r>
      <w:r>
        <w:rPr>
          <w:rFonts w:ascii="宋体" w:hAnsi="宋体" w:eastAsia="宋体" w:cs="宋体"/>
          <w:spacing w:val="12"/>
          <w:sz w:val="24"/>
          <w:szCs w:val="24"/>
        </w:rPr>
        <w:t xml:space="preserve"> </w:t>
      </w:r>
      <w:r>
        <w:rPr>
          <w:rFonts w:ascii="宋体" w:hAnsi="宋体" w:eastAsia="宋体" w:cs="宋体"/>
          <w:spacing w:val="1"/>
          <w:sz w:val="24"/>
          <w:szCs w:val="24"/>
        </w:rPr>
        <w:t>物种多样性是生态评价的重要指标。香农</w:t>
      </w:r>
      <w:r>
        <w:rPr>
          <w:rFonts w:ascii="Times New Roman" w:hAnsi="Times New Roman" w:eastAsia="Times New Roman" w:cs="Times New Roman"/>
          <w:spacing w:val="1"/>
          <w:sz w:val="24"/>
          <w:szCs w:val="24"/>
        </w:rPr>
        <w:t>-</w:t>
      </w:r>
      <w:r>
        <w:rPr>
          <w:rFonts w:ascii="宋体" w:hAnsi="宋体" w:eastAsia="宋体" w:cs="宋体"/>
          <w:spacing w:val="1"/>
          <w:sz w:val="24"/>
          <w:szCs w:val="24"/>
        </w:rPr>
        <w:t>维纳多样性指数（</w:t>
      </w:r>
      <w:r>
        <w:rPr>
          <w:rFonts w:ascii="Times New Roman" w:hAnsi="Times New Roman" w:eastAsia="Times New Roman" w:cs="Times New Roman"/>
          <w:sz w:val="24"/>
          <w:szCs w:val="24"/>
        </w:rPr>
        <w:t>Shannon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Weiner</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3"/>
          <w:sz w:val="24"/>
          <w:szCs w:val="24"/>
        </w:rPr>
        <w:t>辛普森多样性指数（</w:t>
      </w:r>
      <w:r>
        <w:rPr>
          <w:rFonts w:ascii="Times New Roman" w:hAnsi="Times New Roman" w:eastAsia="Times New Roman" w:cs="Times New Roman"/>
          <w:sz w:val="24"/>
          <w:szCs w:val="24"/>
        </w:rPr>
        <w:t>Simpson</w:t>
      </w:r>
      <w:r>
        <w:rPr>
          <w:rFonts w:ascii="宋体" w:hAnsi="宋体" w:eastAsia="宋体" w:cs="宋体"/>
          <w:spacing w:val="3"/>
          <w:sz w:val="24"/>
          <w:szCs w:val="24"/>
        </w:rPr>
        <w:t>）、物种均匀度指数（</w:t>
      </w:r>
      <w:r>
        <w:rPr>
          <w:rFonts w:ascii="Times New Roman" w:hAnsi="Times New Roman" w:eastAsia="Times New Roman" w:cs="Times New Roman"/>
          <w:sz w:val="24"/>
          <w:szCs w:val="24"/>
        </w:rPr>
        <w:t>Pielou</w:t>
      </w:r>
      <w:r>
        <w:rPr>
          <w:rFonts w:ascii="宋体" w:hAnsi="宋体" w:eastAsia="宋体" w:cs="宋体"/>
          <w:spacing w:val="3"/>
          <w:sz w:val="24"/>
          <w:szCs w:val="24"/>
        </w:rPr>
        <w:t>）</w:t>
      </w:r>
      <w:r>
        <w:rPr>
          <w:rFonts w:ascii="宋体" w:hAnsi="宋体" w:eastAsia="宋体" w:cs="宋体"/>
          <w:spacing w:val="2"/>
          <w:sz w:val="24"/>
          <w:szCs w:val="24"/>
        </w:rPr>
        <w:t>是衡量群落物种多样</w:t>
      </w:r>
    </w:p>
    <w:p>
      <w:pPr>
        <w:spacing w:before="1" w:line="219" w:lineRule="auto"/>
        <w:ind w:left="41"/>
        <w:rPr>
          <w:rFonts w:ascii="宋体" w:hAnsi="宋体" w:eastAsia="宋体" w:cs="宋体"/>
          <w:sz w:val="24"/>
          <w:szCs w:val="24"/>
        </w:rPr>
      </w:pPr>
      <w:r>
        <w:rPr>
          <w:rFonts w:ascii="宋体" w:hAnsi="宋体" w:eastAsia="宋体" w:cs="宋体"/>
          <w:spacing w:val="-5"/>
          <w:sz w:val="24"/>
          <w:szCs w:val="24"/>
        </w:rPr>
        <w:t>性的常用指标，其计算公式如下：</w:t>
      </w:r>
    </w:p>
    <w:p>
      <w:pPr>
        <w:spacing w:before="182" w:line="220" w:lineRule="auto"/>
        <w:ind w:left="536"/>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Shannon-Weiner  </w:t>
      </w:r>
      <w:r>
        <w:rPr>
          <w:rFonts w:ascii="宋体" w:hAnsi="宋体" w:eastAsia="宋体" w:cs="宋体"/>
          <w:spacing w:val="-2"/>
          <w:sz w:val="24"/>
          <w:szCs w:val="24"/>
        </w:rPr>
        <w:t>多样性指数</w:t>
      </w:r>
    </w:p>
    <w:p>
      <w:pPr>
        <w:spacing w:before="145" w:line="686" w:lineRule="exact"/>
        <w:ind w:firstLine="508"/>
      </w:pPr>
      <w:r>
        <w:rPr>
          <w:position w:val="-13"/>
        </w:rPr>
        <w:drawing>
          <wp:inline distT="0" distB="0" distL="0" distR="0">
            <wp:extent cx="904875" cy="43497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467"/>
                    <a:stretch>
                      <a:fillRect/>
                    </a:stretch>
                  </pic:blipFill>
                  <pic:spPr>
                    <a:xfrm>
                      <a:off x="0" y="0"/>
                      <a:ext cx="904875" cy="435609"/>
                    </a:xfrm>
                    <a:prstGeom prst="rect">
                      <a:avLst/>
                    </a:prstGeom>
                  </pic:spPr>
                </pic:pic>
              </a:graphicData>
            </a:graphic>
          </wp:inline>
        </w:drawing>
      </w:r>
    </w:p>
    <w:p>
      <w:pPr>
        <w:spacing w:before="175" w:line="220" w:lineRule="auto"/>
        <w:ind w:left="522"/>
        <w:rPr>
          <w:rFonts w:ascii="宋体" w:hAnsi="宋体" w:eastAsia="宋体" w:cs="宋体"/>
          <w:sz w:val="24"/>
          <w:szCs w:val="24"/>
        </w:rPr>
      </w:pPr>
      <w:r>
        <w:rPr>
          <w:rFonts w:ascii="宋体" w:hAnsi="宋体" w:eastAsia="宋体" w:cs="宋体"/>
          <w:spacing w:val="-16"/>
          <w:sz w:val="24"/>
          <w:szCs w:val="24"/>
        </w:rPr>
        <w:t>式中：</w:t>
      </w:r>
    </w:p>
    <w:p>
      <w:pPr>
        <w:spacing w:before="179" w:line="220" w:lineRule="auto"/>
        <w:ind w:left="512"/>
        <w:rPr>
          <w:rFonts w:ascii="宋体" w:hAnsi="宋体" w:eastAsia="宋体" w:cs="宋体"/>
          <w:sz w:val="24"/>
          <w:szCs w:val="24"/>
        </w:rPr>
      </w:pPr>
      <w:r>
        <w:rPr>
          <w:rFonts w:ascii="Times New Roman" w:hAnsi="Times New Roman" w:eastAsia="Times New Roman" w:cs="Times New Roman"/>
          <w:spacing w:val="-3"/>
          <w:sz w:val="24"/>
          <w:szCs w:val="24"/>
        </w:rPr>
        <w:t xml:space="preserve">H’  </w:t>
      </w:r>
      <w:r>
        <w:rPr>
          <w:rFonts w:ascii="宋体" w:hAnsi="宋体" w:eastAsia="宋体" w:cs="宋体"/>
          <w:spacing w:val="-3"/>
          <w:sz w:val="24"/>
          <w:szCs w:val="24"/>
        </w:rPr>
        <w:t>：</w:t>
      </w:r>
      <w:r>
        <w:rPr>
          <w:rFonts w:ascii="宋体" w:hAnsi="宋体" w:eastAsia="宋体" w:cs="宋体"/>
          <w:spacing w:val="17"/>
          <w:sz w:val="24"/>
          <w:szCs w:val="24"/>
        </w:rPr>
        <w:t xml:space="preserve"> </w:t>
      </w:r>
      <w:r>
        <w:rPr>
          <w:rFonts w:ascii="Times New Roman" w:hAnsi="Times New Roman" w:eastAsia="Times New Roman" w:cs="Times New Roman"/>
          <w:spacing w:val="-3"/>
          <w:sz w:val="24"/>
          <w:szCs w:val="24"/>
        </w:rPr>
        <w:t>Shannon-Weiner</w:t>
      </w:r>
      <w:r>
        <w:rPr>
          <w:rFonts w:ascii="Times New Roman" w:hAnsi="Times New Roman" w:eastAsia="Times New Roman" w:cs="Times New Roman"/>
          <w:spacing w:val="9"/>
          <w:sz w:val="24"/>
          <w:szCs w:val="24"/>
        </w:rPr>
        <w:t xml:space="preserve">  </w:t>
      </w:r>
      <w:r>
        <w:rPr>
          <w:rFonts w:ascii="宋体" w:hAnsi="宋体" w:eastAsia="宋体" w:cs="宋体"/>
          <w:spacing w:val="-3"/>
          <w:sz w:val="24"/>
          <w:szCs w:val="24"/>
        </w:rPr>
        <w:t>多样性指数</w:t>
      </w:r>
    </w:p>
    <w:p>
      <w:pPr>
        <w:spacing w:before="182" w:line="235" w:lineRule="auto"/>
        <w:ind w:left="512"/>
        <w:rPr>
          <w:rFonts w:ascii="宋体" w:hAnsi="宋体" w:eastAsia="宋体" w:cs="宋体"/>
          <w:sz w:val="24"/>
          <w:szCs w:val="24"/>
        </w:rPr>
      </w:pPr>
      <w:r>
        <w:rPr>
          <w:rFonts w:ascii="Times New Roman" w:hAnsi="Times New Roman" w:eastAsia="Times New Roman" w:cs="Times New Roman"/>
          <w:spacing w:val="-3"/>
          <w:sz w:val="24"/>
          <w:szCs w:val="24"/>
        </w:rPr>
        <w:t>P</w:t>
      </w:r>
      <w:r>
        <w:rPr>
          <w:rFonts w:ascii="Times New Roman" w:hAnsi="Times New Roman" w:eastAsia="Times New Roman" w:cs="Times New Roman"/>
          <w:spacing w:val="-3"/>
          <w:position w:val="-1"/>
          <w:sz w:val="16"/>
          <w:szCs w:val="16"/>
        </w:rPr>
        <w:t>i</w:t>
      </w:r>
      <w:r>
        <w:rPr>
          <w:rFonts w:ascii="Times New Roman" w:hAnsi="Times New Roman" w:eastAsia="Times New Roman" w:cs="Times New Roman"/>
          <w:spacing w:val="4"/>
          <w:position w:val="-1"/>
          <w:sz w:val="16"/>
          <w:szCs w:val="16"/>
        </w:rPr>
        <w:t xml:space="preserve"> </w:t>
      </w:r>
      <w:r>
        <w:rPr>
          <w:rFonts w:ascii="宋体" w:hAnsi="宋体" w:eastAsia="宋体" w:cs="宋体"/>
          <w:spacing w:val="-3"/>
          <w:sz w:val="24"/>
          <w:szCs w:val="24"/>
        </w:rPr>
        <w:t xml:space="preserve">：第 </w:t>
      </w:r>
      <w:r>
        <w:rPr>
          <w:rFonts w:ascii="Times New Roman" w:hAnsi="Times New Roman" w:eastAsia="Times New Roman" w:cs="Times New Roman"/>
          <w:spacing w:val="-3"/>
          <w:sz w:val="24"/>
          <w:szCs w:val="24"/>
        </w:rPr>
        <w:t xml:space="preserve">i  </w:t>
      </w:r>
      <w:r>
        <w:rPr>
          <w:rFonts w:ascii="宋体" w:hAnsi="宋体" w:eastAsia="宋体" w:cs="宋体"/>
          <w:spacing w:val="-3"/>
          <w:sz w:val="24"/>
          <w:szCs w:val="24"/>
        </w:rPr>
        <w:t>个物种的重要值，为与</w:t>
      </w:r>
      <w:r>
        <w:rPr>
          <w:rFonts w:ascii="宋体" w:hAnsi="宋体" w:eastAsia="宋体" w:cs="宋体"/>
          <w:spacing w:val="-62"/>
          <w:sz w:val="24"/>
          <w:szCs w:val="24"/>
        </w:rPr>
        <w:t xml:space="preserve"> </w:t>
      </w:r>
      <w:r>
        <w:rPr>
          <w:rFonts w:ascii="Times New Roman" w:hAnsi="Times New Roman" w:eastAsia="Times New Roman" w:cs="Times New Roman"/>
          <w:spacing w:val="-3"/>
          <w:sz w:val="24"/>
          <w:szCs w:val="24"/>
        </w:rPr>
        <w:t>N</w:t>
      </w:r>
      <w:r>
        <w:rPr>
          <w:rFonts w:ascii="Times New Roman" w:hAnsi="Times New Roman" w:eastAsia="Times New Roman" w:cs="Times New Roman"/>
          <w:spacing w:val="28"/>
          <w:w w:val="101"/>
          <w:sz w:val="24"/>
          <w:szCs w:val="24"/>
        </w:rPr>
        <w:t xml:space="preserve"> </w:t>
      </w:r>
      <w:r>
        <w:rPr>
          <w:rFonts w:ascii="宋体" w:hAnsi="宋体" w:eastAsia="宋体" w:cs="宋体"/>
          <w:spacing w:val="-3"/>
          <w:sz w:val="24"/>
          <w:szCs w:val="24"/>
        </w:rPr>
        <w:t>的比值</w:t>
      </w:r>
    </w:p>
    <w:p>
      <w:pPr>
        <w:spacing w:before="161" w:line="468" w:lineRule="exact"/>
        <w:ind w:left="505"/>
        <w:rPr>
          <w:rFonts w:ascii="宋体" w:hAnsi="宋体" w:eastAsia="宋体" w:cs="宋体"/>
          <w:sz w:val="24"/>
          <w:szCs w:val="24"/>
        </w:rPr>
      </w:pPr>
      <w:r>
        <w:rPr>
          <w:rFonts w:ascii="Times New Roman" w:hAnsi="Times New Roman" w:eastAsia="Times New Roman" w:cs="Times New Roman"/>
          <w:spacing w:val="-4"/>
          <w:position w:val="17"/>
          <w:sz w:val="24"/>
          <w:szCs w:val="24"/>
        </w:rPr>
        <w:t>N</w:t>
      </w:r>
      <w:r>
        <w:rPr>
          <w:rFonts w:ascii="Times New Roman" w:hAnsi="Times New Roman" w:eastAsia="Times New Roman" w:cs="Times New Roman"/>
          <w:spacing w:val="15"/>
          <w:position w:val="17"/>
          <w:sz w:val="24"/>
          <w:szCs w:val="24"/>
        </w:rPr>
        <w:t xml:space="preserve">   </w:t>
      </w:r>
      <w:r>
        <w:rPr>
          <w:rFonts w:ascii="宋体" w:hAnsi="宋体" w:eastAsia="宋体" w:cs="宋体"/>
          <w:spacing w:val="-4"/>
          <w:position w:val="17"/>
          <w:sz w:val="24"/>
          <w:szCs w:val="24"/>
        </w:rPr>
        <w:t>：为全部种的个体总数</w:t>
      </w:r>
    </w:p>
    <w:p>
      <w:pPr>
        <w:spacing w:before="1" w:line="234" w:lineRule="auto"/>
        <w:ind w:left="510"/>
        <w:rPr>
          <w:rFonts w:ascii="宋体" w:hAnsi="宋体" w:eastAsia="宋体" w:cs="宋体"/>
          <w:sz w:val="24"/>
          <w:szCs w:val="24"/>
        </w:rPr>
      </w:pPr>
      <w:r>
        <w:rPr>
          <w:rFonts w:ascii="Times New Roman" w:hAnsi="Times New Roman" w:eastAsia="Times New Roman" w:cs="Times New Roman"/>
          <w:spacing w:val="-4"/>
          <w:sz w:val="24"/>
          <w:szCs w:val="24"/>
        </w:rPr>
        <w:t>n</w:t>
      </w:r>
      <w:r>
        <w:rPr>
          <w:rFonts w:ascii="Times New Roman" w:hAnsi="Times New Roman" w:eastAsia="Times New Roman" w:cs="Times New Roman"/>
          <w:spacing w:val="-4"/>
          <w:position w:val="-1"/>
          <w:sz w:val="16"/>
          <w:szCs w:val="16"/>
        </w:rPr>
        <w:t>i</w:t>
      </w:r>
      <w:r>
        <w:rPr>
          <w:rFonts w:ascii="Times New Roman" w:hAnsi="Times New Roman" w:eastAsia="Times New Roman" w:cs="Times New Roman"/>
          <w:spacing w:val="-8"/>
          <w:position w:val="-1"/>
          <w:sz w:val="16"/>
          <w:szCs w:val="16"/>
        </w:rPr>
        <w:t xml:space="preserve"> </w:t>
      </w:r>
      <w:r>
        <w:rPr>
          <w:rFonts w:ascii="宋体" w:hAnsi="宋体" w:eastAsia="宋体" w:cs="宋体"/>
          <w:spacing w:val="-4"/>
          <w:sz w:val="24"/>
          <w:szCs w:val="24"/>
        </w:rPr>
        <w:t>：为第</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 xml:space="preserve">i  </w:t>
      </w:r>
      <w:r>
        <w:rPr>
          <w:rFonts w:ascii="宋体" w:hAnsi="宋体" w:eastAsia="宋体" w:cs="宋体"/>
          <w:spacing w:val="-4"/>
          <w:sz w:val="24"/>
          <w:szCs w:val="24"/>
        </w:rPr>
        <w:t>个种的个体数</w:t>
      </w:r>
    </w:p>
    <w:p>
      <w:pPr>
        <w:spacing w:before="162" w:line="220" w:lineRule="auto"/>
        <w:ind w:left="523"/>
        <w:rPr>
          <w:rFonts w:ascii="宋体" w:hAnsi="宋体" w:eastAsia="宋体" w:cs="宋体"/>
          <w:sz w:val="24"/>
          <w:szCs w:val="24"/>
        </w:rPr>
      </w:pPr>
      <w:r>
        <w:rPr>
          <w:rFonts w:ascii="Times New Roman" w:hAnsi="Times New Roman" w:eastAsia="Times New Roman" w:cs="Times New Roman"/>
          <w:spacing w:val="-8"/>
          <w:sz w:val="24"/>
          <w:szCs w:val="24"/>
        </w:rPr>
        <w:t>S</w:t>
      </w:r>
      <w:r>
        <w:rPr>
          <w:rFonts w:ascii="Times New Roman" w:hAnsi="Times New Roman" w:eastAsia="Times New Roman" w:cs="Times New Roman"/>
          <w:spacing w:val="4"/>
          <w:sz w:val="24"/>
          <w:szCs w:val="24"/>
        </w:rPr>
        <w:t xml:space="preserve">    </w:t>
      </w:r>
      <w:r>
        <w:rPr>
          <w:rFonts w:ascii="宋体" w:hAnsi="宋体" w:eastAsia="宋体" w:cs="宋体"/>
          <w:spacing w:val="-8"/>
          <w:sz w:val="24"/>
          <w:szCs w:val="24"/>
        </w:rPr>
        <w:t>：物种数量</w:t>
      </w:r>
    </w:p>
    <w:p>
      <w:pPr>
        <w:spacing w:before="180" w:line="213" w:lineRule="auto"/>
        <w:ind w:left="513"/>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r>
        <w:rPr>
          <w:rFonts w:ascii="Times New Roman" w:hAnsi="Times New Roman" w:eastAsia="Times New Roman" w:cs="Times New Roman"/>
          <w:spacing w:val="-2"/>
          <w:sz w:val="24"/>
          <w:szCs w:val="24"/>
        </w:rPr>
        <w:t>Simpson</w:t>
      </w:r>
      <w:r>
        <w:rPr>
          <w:rFonts w:ascii="Times New Roman" w:hAnsi="Times New Roman" w:eastAsia="Times New Roman" w:cs="Times New Roman"/>
          <w:spacing w:val="12"/>
          <w:sz w:val="24"/>
          <w:szCs w:val="24"/>
        </w:rPr>
        <w:t xml:space="preserve">  </w:t>
      </w:r>
      <w:r>
        <w:rPr>
          <w:rFonts w:ascii="宋体" w:hAnsi="宋体" w:eastAsia="宋体" w:cs="宋体"/>
          <w:spacing w:val="-2"/>
          <w:sz w:val="24"/>
          <w:szCs w:val="24"/>
        </w:rPr>
        <w:t>多样性指数</w:t>
      </w:r>
    </w:p>
    <w:p>
      <w:pPr>
        <w:spacing w:before="155" w:line="687" w:lineRule="exact"/>
        <w:ind w:firstLine="508"/>
      </w:pPr>
      <w:r>
        <w:rPr>
          <w:position w:val="-13"/>
        </w:rPr>
        <w:drawing>
          <wp:inline distT="0" distB="0" distL="0" distR="0">
            <wp:extent cx="666750" cy="43561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468"/>
                    <a:stretch>
                      <a:fillRect/>
                    </a:stretch>
                  </pic:blipFill>
                  <pic:spPr>
                    <a:xfrm>
                      <a:off x="0" y="0"/>
                      <a:ext cx="667384" cy="436244"/>
                    </a:xfrm>
                    <a:prstGeom prst="rect">
                      <a:avLst/>
                    </a:prstGeom>
                  </pic:spPr>
                </pic:pic>
              </a:graphicData>
            </a:graphic>
          </wp:inline>
        </w:drawing>
      </w:r>
    </w:p>
    <w:p>
      <w:pPr>
        <w:spacing w:before="173" w:line="220" w:lineRule="auto"/>
        <w:ind w:left="522"/>
        <w:rPr>
          <w:rFonts w:ascii="宋体" w:hAnsi="宋体" w:eastAsia="宋体" w:cs="宋体"/>
          <w:sz w:val="24"/>
          <w:szCs w:val="24"/>
        </w:rPr>
      </w:pPr>
      <w:r>
        <w:rPr>
          <w:rFonts w:ascii="宋体" w:hAnsi="宋体" w:eastAsia="宋体" w:cs="宋体"/>
          <w:spacing w:val="-16"/>
          <w:sz w:val="24"/>
          <w:szCs w:val="24"/>
        </w:rPr>
        <w:t>式中：</w:t>
      </w:r>
    </w:p>
    <w:p>
      <w:pPr>
        <w:spacing w:before="181" w:line="213" w:lineRule="auto"/>
        <w:ind w:left="452"/>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Simpson  </w:t>
      </w:r>
      <w:r>
        <w:rPr>
          <w:rFonts w:ascii="宋体" w:hAnsi="宋体" w:eastAsia="宋体" w:cs="宋体"/>
          <w:spacing w:val="-1"/>
          <w:sz w:val="24"/>
          <w:szCs w:val="24"/>
        </w:rPr>
        <w:t>多样性指数</w:t>
      </w:r>
    </w:p>
    <w:p>
      <w:pPr>
        <w:spacing w:before="190" w:line="468" w:lineRule="exact"/>
        <w:ind w:left="512"/>
        <w:rPr>
          <w:rFonts w:ascii="宋体" w:hAnsi="宋体" w:eastAsia="宋体" w:cs="宋体"/>
          <w:sz w:val="24"/>
          <w:szCs w:val="24"/>
        </w:rPr>
      </w:pPr>
      <w:r>
        <w:rPr>
          <w:rFonts w:ascii="Times New Roman" w:hAnsi="Times New Roman" w:eastAsia="Times New Roman" w:cs="Times New Roman"/>
          <w:spacing w:val="-3"/>
          <w:position w:val="16"/>
          <w:sz w:val="24"/>
          <w:szCs w:val="24"/>
        </w:rPr>
        <w:t>P</w:t>
      </w:r>
      <w:r>
        <w:rPr>
          <w:rFonts w:ascii="Times New Roman" w:hAnsi="Times New Roman" w:eastAsia="Times New Roman" w:cs="Times New Roman"/>
          <w:spacing w:val="-3"/>
          <w:position w:val="15"/>
          <w:sz w:val="16"/>
          <w:szCs w:val="16"/>
        </w:rPr>
        <w:t>i</w:t>
      </w:r>
      <w:r>
        <w:rPr>
          <w:rFonts w:ascii="Times New Roman" w:hAnsi="Times New Roman" w:eastAsia="Times New Roman" w:cs="Times New Roman"/>
          <w:spacing w:val="-5"/>
          <w:position w:val="15"/>
          <w:sz w:val="16"/>
          <w:szCs w:val="16"/>
        </w:rPr>
        <w:t xml:space="preserve"> </w:t>
      </w:r>
      <w:r>
        <w:rPr>
          <w:rFonts w:ascii="宋体" w:hAnsi="宋体" w:eastAsia="宋体" w:cs="宋体"/>
          <w:spacing w:val="-3"/>
          <w:position w:val="16"/>
          <w:sz w:val="24"/>
          <w:szCs w:val="24"/>
        </w:rPr>
        <w:t xml:space="preserve">：第 </w:t>
      </w:r>
      <w:r>
        <w:rPr>
          <w:rFonts w:ascii="Times New Roman" w:hAnsi="Times New Roman" w:eastAsia="Times New Roman" w:cs="Times New Roman"/>
          <w:spacing w:val="-3"/>
          <w:position w:val="16"/>
          <w:sz w:val="24"/>
          <w:szCs w:val="24"/>
        </w:rPr>
        <w:t xml:space="preserve">i  </w:t>
      </w:r>
      <w:r>
        <w:rPr>
          <w:rFonts w:ascii="宋体" w:hAnsi="宋体" w:eastAsia="宋体" w:cs="宋体"/>
          <w:spacing w:val="-3"/>
          <w:position w:val="16"/>
          <w:sz w:val="24"/>
          <w:szCs w:val="24"/>
        </w:rPr>
        <w:t>个物种的重要值，为</w:t>
      </w:r>
      <w:r>
        <w:rPr>
          <w:rFonts w:ascii="宋体" w:hAnsi="宋体" w:eastAsia="宋体" w:cs="宋体"/>
          <w:spacing w:val="-58"/>
          <w:position w:val="16"/>
          <w:sz w:val="24"/>
          <w:szCs w:val="24"/>
        </w:rPr>
        <w:t xml:space="preserve"> </w:t>
      </w:r>
      <w:r>
        <w:rPr>
          <w:rFonts w:ascii="Times New Roman" w:hAnsi="Times New Roman" w:eastAsia="Times New Roman" w:cs="Times New Roman"/>
          <w:spacing w:val="-3"/>
          <w:position w:val="16"/>
          <w:sz w:val="24"/>
          <w:szCs w:val="24"/>
        </w:rPr>
        <w:t>n</w:t>
      </w:r>
      <w:r>
        <w:rPr>
          <w:rFonts w:ascii="Times New Roman" w:hAnsi="Times New Roman" w:eastAsia="Times New Roman" w:cs="Times New Roman"/>
          <w:spacing w:val="-3"/>
          <w:position w:val="15"/>
          <w:sz w:val="16"/>
          <w:szCs w:val="16"/>
        </w:rPr>
        <w:t>i</w:t>
      </w:r>
      <w:r>
        <w:rPr>
          <w:rFonts w:ascii="Times New Roman" w:hAnsi="Times New Roman" w:eastAsia="Times New Roman" w:cs="Times New Roman"/>
          <w:spacing w:val="16"/>
          <w:position w:val="15"/>
          <w:sz w:val="16"/>
          <w:szCs w:val="16"/>
        </w:rPr>
        <w:t xml:space="preserve"> </w:t>
      </w:r>
      <w:r>
        <w:rPr>
          <w:rFonts w:ascii="宋体" w:hAnsi="宋体" w:eastAsia="宋体" w:cs="宋体"/>
          <w:spacing w:val="-3"/>
          <w:position w:val="16"/>
          <w:sz w:val="24"/>
          <w:szCs w:val="24"/>
        </w:rPr>
        <w:t>与</w:t>
      </w:r>
      <w:r>
        <w:rPr>
          <w:rFonts w:ascii="宋体" w:hAnsi="宋体" w:eastAsia="宋体" w:cs="宋体"/>
          <w:spacing w:val="-63"/>
          <w:position w:val="16"/>
          <w:sz w:val="24"/>
          <w:szCs w:val="24"/>
        </w:rPr>
        <w:t xml:space="preserve"> </w:t>
      </w:r>
      <w:r>
        <w:rPr>
          <w:rFonts w:ascii="Times New Roman" w:hAnsi="Times New Roman" w:eastAsia="Times New Roman" w:cs="Times New Roman"/>
          <w:spacing w:val="-3"/>
          <w:position w:val="16"/>
          <w:sz w:val="24"/>
          <w:szCs w:val="24"/>
        </w:rPr>
        <w:t>N</w:t>
      </w:r>
      <w:r>
        <w:rPr>
          <w:rFonts w:ascii="Times New Roman" w:hAnsi="Times New Roman" w:eastAsia="Times New Roman" w:cs="Times New Roman"/>
          <w:spacing w:val="29"/>
          <w:position w:val="16"/>
          <w:sz w:val="24"/>
          <w:szCs w:val="24"/>
        </w:rPr>
        <w:t xml:space="preserve"> </w:t>
      </w:r>
      <w:r>
        <w:rPr>
          <w:rFonts w:ascii="宋体" w:hAnsi="宋体" w:eastAsia="宋体" w:cs="宋体"/>
          <w:spacing w:val="-3"/>
          <w:position w:val="16"/>
          <w:sz w:val="24"/>
          <w:szCs w:val="24"/>
        </w:rPr>
        <w:t>的比值</w:t>
      </w:r>
    </w:p>
    <w:p>
      <w:pPr>
        <w:spacing w:before="1" w:line="219" w:lineRule="auto"/>
        <w:ind w:left="523"/>
        <w:rPr>
          <w:rFonts w:ascii="宋体" w:hAnsi="宋体" w:eastAsia="宋体" w:cs="宋体"/>
          <w:sz w:val="24"/>
          <w:szCs w:val="24"/>
        </w:rPr>
      </w:pPr>
      <w:r>
        <w:rPr>
          <w:rFonts w:ascii="Times New Roman" w:hAnsi="Times New Roman" w:eastAsia="Times New Roman" w:cs="Times New Roman"/>
          <w:spacing w:val="-4"/>
          <w:sz w:val="24"/>
          <w:szCs w:val="24"/>
        </w:rPr>
        <w:t>S</w:t>
      </w:r>
      <w:r>
        <w:rPr>
          <w:rFonts w:ascii="宋体" w:hAnsi="宋体" w:eastAsia="宋体" w:cs="宋体"/>
          <w:spacing w:val="-4"/>
          <w:sz w:val="24"/>
          <w:szCs w:val="24"/>
        </w:rPr>
        <w:t>：物种数量</w:t>
      </w:r>
    </w:p>
    <w:p>
      <w:pPr>
        <w:spacing w:line="219" w:lineRule="auto"/>
        <w:rPr>
          <w:rFonts w:ascii="宋体" w:hAnsi="宋体" w:eastAsia="宋体" w:cs="宋体"/>
          <w:sz w:val="24"/>
          <w:szCs w:val="24"/>
        </w:rPr>
        <w:sectPr>
          <w:headerReference r:id="rId226" w:type="default"/>
          <w:footerReference r:id="rId227" w:type="default"/>
          <w:pgSz w:w="11907" w:h="16839"/>
          <w:pgMar w:top="1288" w:right="1633" w:bottom="1151" w:left="1673" w:header="1047" w:footer="990" w:gutter="0"/>
          <w:cols w:space="720" w:num="1"/>
        </w:sectPr>
      </w:pPr>
    </w:p>
    <w:p>
      <w:pPr>
        <w:pStyle w:val="2"/>
        <w:spacing w:line="254" w:lineRule="auto"/>
      </w:pPr>
    </w:p>
    <w:p>
      <w:pPr>
        <w:spacing w:before="78" w:line="220" w:lineRule="auto"/>
        <w:ind w:left="518"/>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Pielou  </w:t>
      </w:r>
      <w:r>
        <w:rPr>
          <w:rFonts w:ascii="宋体" w:hAnsi="宋体" w:eastAsia="宋体" w:cs="宋体"/>
          <w:spacing w:val="-1"/>
          <w:sz w:val="24"/>
          <w:szCs w:val="24"/>
        </w:rPr>
        <w:t>均匀度指数</w:t>
      </w:r>
    </w:p>
    <w:p>
      <w:pPr>
        <w:spacing w:before="148" w:line="686" w:lineRule="exact"/>
        <w:ind w:firstLine="508"/>
      </w:pPr>
      <w:r>
        <w:rPr>
          <w:position w:val="-13"/>
        </w:rPr>
        <w:drawing>
          <wp:inline distT="0" distB="0" distL="0" distR="0">
            <wp:extent cx="1133475" cy="43497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469"/>
                    <a:stretch>
                      <a:fillRect/>
                    </a:stretch>
                  </pic:blipFill>
                  <pic:spPr>
                    <a:xfrm>
                      <a:off x="0" y="0"/>
                      <a:ext cx="1133475" cy="435609"/>
                    </a:xfrm>
                    <a:prstGeom prst="rect">
                      <a:avLst/>
                    </a:prstGeom>
                  </pic:spPr>
                </pic:pic>
              </a:graphicData>
            </a:graphic>
          </wp:inline>
        </w:drawing>
      </w:r>
    </w:p>
    <w:p>
      <w:pPr>
        <w:spacing w:before="171" w:line="220" w:lineRule="auto"/>
        <w:ind w:left="522"/>
        <w:rPr>
          <w:rFonts w:ascii="宋体" w:hAnsi="宋体" w:eastAsia="宋体" w:cs="宋体"/>
          <w:sz w:val="24"/>
          <w:szCs w:val="24"/>
        </w:rPr>
      </w:pPr>
      <w:r>
        <w:rPr>
          <w:rFonts w:ascii="宋体" w:hAnsi="宋体" w:eastAsia="宋体" w:cs="宋体"/>
          <w:spacing w:val="-16"/>
          <w:sz w:val="24"/>
          <w:szCs w:val="24"/>
        </w:rPr>
        <w:t>式中：</w:t>
      </w:r>
    </w:p>
    <w:p>
      <w:pPr>
        <w:spacing w:before="181" w:line="220" w:lineRule="auto"/>
        <w:ind w:left="513"/>
        <w:rPr>
          <w:rFonts w:ascii="宋体" w:hAnsi="宋体" w:eastAsia="宋体" w:cs="宋体"/>
          <w:sz w:val="24"/>
          <w:szCs w:val="24"/>
        </w:rPr>
      </w:pPr>
      <w:r>
        <w:rPr>
          <w:rFonts w:ascii="Times New Roman" w:hAnsi="Times New Roman" w:eastAsia="Times New Roman" w:cs="Times New Roman"/>
          <w:spacing w:val="-1"/>
          <w:sz w:val="24"/>
          <w:szCs w:val="24"/>
        </w:rPr>
        <w:t>J</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Pielou  </w:t>
      </w:r>
      <w:r>
        <w:rPr>
          <w:rFonts w:ascii="宋体" w:hAnsi="宋体" w:eastAsia="宋体" w:cs="宋体"/>
          <w:spacing w:val="-1"/>
          <w:sz w:val="24"/>
          <w:szCs w:val="24"/>
        </w:rPr>
        <w:t>均匀度指数</w:t>
      </w:r>
    </w:p>
    <w:p>
      <w:pPr>
        <w:spacing w:before="182" w:line="466" w:lineRule="exact"/>
        <w:ind w:left="512"/>
        <w:rPr>
          <w:rFonts w:ascii="宋体" w:hAnsi="宋体" w:eastAsia="宋体" w:cs="宋体"/>
          <w:sz w:val="24"/>
          <w:szCs w:val="24"/>
        </w:rPr>
      </w:pPr>
      <w:r>
        <w:rPr>
          <w:rFonts w:ascii="Times New Roman" w:hAnsi="Times New Roman" w:eastAsia="Times New Roman" w:cs="Times New Roman"/>
          <w:spacing w:val="-3"/>
          <w:position w:val="16"/>
          <w:sz w:val="24"/>
          <w:szCs w:val="24"/>
        </w:rPr>
        <w:t>P</w:t>
      </w:r>
      <w:r>
        <w:rPr>
          <w:rFonts w:ascii="Times New Roman" w:hAnsi="Times New Roman" w:eastAsia="Times New Roman" w:cs="Times New Roman"/>
          <w:spacing w:val="-3"/>
          <w:position w:val="15"/>
          <w:sz w:val="16"/>
          <w:szCs w:val="16"/>
        </w:rPr>
        <w:t>i</w:t>
      </w:r>
      <w:r>
        <w:rPr>
          <w:rFonts w:ascii="Times New Roman" w:hAnsi="Times New Roman" w:eastAsia="Times New Roman" w:cs="Times New Roman"/>
          <w:spacing w:val="-5"/>
          <w:position w:val="15"/>
          <w:sz w:val="16"/>
          <w:szCs w:val="16"/>
        </w:rPr>
        <w:t xml:space="preserve"> </w:t>
      </w:r>
      <w:r>
        <w:rPr>
          <w:rFonts w:ascii="宋体" w:hAnsi="宋体" w:eastAsia="宋体" w:cs="宋体"/>
          <w:spacing w:val="-3"/>
          <w:position w:val="16"/>
          <w:sz w:val="24"/>
          <w:szCs w:val="24"/>
        </w:rPr>
        <w:t xml:space="preserve">：第 </w:t>
      </w:r>
      <w:r>
        <w:rPr>
          <w:rFonts w:ascii="Times New Roman" w:hAnsi="Times New Roman" w:eastAsia="Times New Roman" w:cs="Times New Roman"/>
          <w:spacing w:val="-3"/>
          <w:position w:val="16"/>
          <w:sz w:val="24"/>
          <w:szCs w:val="24"/>
        </w:rPr>
        <w:t xml:space="preserve">i  </w:t>
      </w:r>
      <w:r>
        <w:rPr>
          <w:rFonts w:ascii="宋体" w:hAnsi="宋体" w:eastAsia="宋体" w:cs="宋体"/>
          <w:spacing w:val="-3"/>
          <w:position w:val="16"/>
          <w:sz w:val="24"/>
          <w:szCs w:val="24"/>
        </w:rPr>
        <w:t>个物种的重要值，为</w:t>
      </w:r>
      <w:r>
        <w:rPr>
          <w:rFonts w:ascii="宋体" w:hAnsi="宋体" w:eastAsia="宋体" w:cs="宋体"/>
          <w:spacing w:val="-58"/>
          <w:position w:val="16"/>
          <w:sz w:val="24"/>
          <w:szCs w:val="24"/>
        </w:rPr>
        <w:t xml:space="preserve"> </w:t>
      </w:r>
      <w:r>
        <w:rPr>
          <w:rFonts w:ascii="Times New Roman" w:hAnsi="Times New Roman" w:eastAsia="Times New Roman" w:cs="Times New Roman"/>
          <w:spacing w:val="-3"/>
          <w:position w:val="16"/>
          <w:sz w:val="24"/>
          <w:szCs w:val="24"/>
        </w:rPr>
        <w:t>n</w:t>
      </w:r>
      <w:r>
        <w:rPr>
          <w:rFonts w:ascii="Times New Roman" w:hAnsi="Times New Roman" w:eastAsia="Times New Roman" w:cs="Times New Roman"/>
          <w:spacing w:val="-3"/>
          <w:position w:val="15"/>
          <w:sz w:val="16"/>
          <w:szCs w:val="16"/>
        </w:rPr>
        <w:t>i</w:t>
      </w:r>
      <w:r>
        <w:rPr>
          <w:rFonts w:ascii="Times New Roman" w:hAnsi="Times New Roman" w:eastAsia="Times New Roman" w:cs="Times New Roman"/>
          <w:spacing w:val="16"/>
          <w:position w:val="15"/>
          <w:sz w:val="16"/>
          <w:szCs w:val="16"/>
        </w:rPr>
        <w:t xml:space="preserve"> </w:t>
      </w:r>
      <w:r>
        <w:rPr>
          <w:rFonts w:ascii="宋体" w:hAnsi="宋体" w:eastAsia="宋体" w:cs="宋体"/>
          <w:spacing w:val="-3"/>
          <w:position w:val="16"/>
          <w:sz w:val="24"/>
          <w:szCs w:val="24"/>
        </w:rPr>
        <w:t>与</w:t>
      </w:r>
      <w:r>
        <w:rPr>
          <w:rFonts w:ascii="宋体" w:hAnsi="宋体" w:eastAsia="宋体" w:cs="宋体"/>
          <w:spacing w:val="-63"/>
          <w:position w:val="16"/>
          <w:sz w:val="24"/>
          <w:szCs w:val="24"/>
        </w:rPr>
        <w:t xml:space="preserve"> </w:t>
      </w:r>
      <w:r>
        <w:rPr>
          <w:rFonts w:ascii="Times New Roman" w:hAnsi="Times New Roman" w:eastAsia="Times New Roman" w:cs="Times New Roman"/>
          <w:spacing w:val="-3"/>
          <w:position w:val="16"/>
          <w:sz w:val="24"/>
          <w:szCs w:val="24"/>
        </w:rPr>
        <w:t>N</w:t>
      </w:r>
      <w:r>
        <w:rPr>
          <w:rFonts w:ascii="Times New Roman" w:hAnsi="Times New Roman" w:eastAsia="Times New Roman" w:cs="Times New Roman"/>
          <w:spacing w:val="29"/>
          <w:position w:val="16"/>
          <w:sz w:val="24"/>
          <w:szCs w:val="24"/>
        </w:rPr>
        <w:t xml:space="preserve"> </w:t>
      </w:r>
      <w:r>
        <w:rPr>
          <w:rFonts w:ascii="宋体" w:hAnsi="宋体" w:eastAsia="宋体" w:cs="宋体"/>
          <w:spacing w:val="-3"/>
          <w:position w:val="16"/>
          <w:sz w:val="24"/>
          <w:szCs w:val="24"/>
        </w:rPr>
        <w:t>的比值</w:t>
      </w:r>
    </w:p>
    <w:p>
      <w:pPr>
        <w:spacing w:line="219" w:lineRule="auto"/>
        <w:ind w:left="523"/>
        <w:rPr>
          <w:rFonts w:ascii="宋体" w:hAnsi="宋体" w:eastAsia="宋体" w:cs="宋体"/>
          <w:sz w:val="24"/>
          <w:szCs w:val="24"/>
        </w:rPr>
      </w:pPr>
      <w:r>
        <w:rPr>
          <w:rFonts w:ascii="Times New Roman" w:hAnsi="Times New Roman" w:eastAsia="Times New Roman" w:cs="Times New Roman"/>
          <w:spacing w:val="-4"/>
          <w:sz w:val="24"/>
          <w:szCs w:val="24"/>
        </w:rPr>
        <w:t>S</w:t>
      </w:r>
      <w:r>
        <w:rPr>
          <w:rFonts w:ascii="宋体" w:hAnsi="宋体" w:eastAsia="宋体" w:cs="宋体"/>
          <w:spacing w:val="-4"/>
          <w:sz w:val="24"/>
          <w:szCs w:val="24"/>
        </w:rPr>
        <w:t>：物种数量</w:t>
      </w:r>
    </w:p>
    <w:p>
      <w:pPr>
        <w:spacing w:before="182" w:line="359" w:lineRule="auto"/>
        <w:ind w:left="37" w:right="83" w:firstLine="493"/>
        <w:rPr>
          <w:rFonts w:ascii="宋体" w:hAnsi="宋体" w:eastAsia="宋体" w:cs="宋体"/>
          <w:sz w:val="24"/>
          <w:szCs w:val="24"/>
        </w:rPr>
      </w:pPr>
      <w:r>
        <w:rPr>
          <w:rFonts w:ascii="宋体" w:hAnsi="宋体" w:eastAsia="宋体" w:cs="宋体"/>
          <w:spacing w:val="2"/>
          <w:sz w:val="24"/>
          <w:szCs w:val="24"/>
        </w:rPr>
        <w:t>陆生生态系统调查主要采用前三个生物多样性指标。其中，草本层物种多样</w:t>
      </w:r>
      <w:r>
        <w:rPr>
          <w:rFonts w:ascii="宋体" w:hAnsi="宋体" w:eastAsia="宋体" w:cs="宋体"/>
          <w:spacing w:val="7"/>
          <w:sz w:val="24"/>
          <w:szCs w:val="24"/>
        </w:rPr>
        <w:t xml:space="preserve"> </w:t>
      </w:r>
      <w:r>
        <w:rPr>
          <w:rFonts w:ascii="宋体" w:hAnsi="宋体" w:eastAsia="宋体" w:cs="宋体"/>
          <w:spacing w:val="1"/>
          <w:sz w:val="24"/>
          <w:szCs w:val="24"/>
        </w:rPr>
        <w:t>性指数计算以盖度作为数量指标，从而克服无性系个体和丛生个体计数的困难。</w:t>
      </w:r>
      <w:r>
        <w:rPr>
          <w:rFonts w:ascii="宋体" w:hAnsi="宋体" w:eastAsia="宋体" w:cs="宋体"/>
          <w:spacing w:val="15"/>
          <w:sz w:val="24"/>
          <w:szCs w:val="24"/>
        </w:rPr>
        <w:t xml:space="preserve"> </w:t>
      </w:r>
      <w:r>
        <w:rPr>
          <w:rFonts w:ascii="Times New Roman" w:hAnsi="Times New Roman" w:eastAsia="Times New Roman" w:cs="Times New Roman"/>
          <w:spacing w:val="-10"/>
          <w:sz w:val="24"/>
          <w:szCs w:val="24"/>
        </w:rPr>
        <w:t>Simpson</w:t>
      </w:r>
      <w:r>
        <w:rPr>
          <w:rFonts w:ascii="Times New Roman" w:hAnsi="Times New Roman" w:eastAsia="Times New Roman" w:cs="Times New Roman"/>
          <w:spacing w:val="13"/>
          <w:sz w:val="24"/>
          <w:szCs w:val="24"/>
        </w:rPr>
        <w:t xml:space="preserve"> </w:t>
      </w:r>
      <w:r>
        <w:rPr>
          <w:rFonts w:ascii="宋体" w:hAnsi="宋体" w:eastAsia="宋体" w:cs="宋体"/>
          <w:spacing w:val="-10"/>
          <w:sz w:val="24"/>
          <w:szCs w:val="24"/>
        </w:rPr>
        <w:t>指数主要反映群落优势种情况，</w:t>
      </w:r>
      <w:r>
        <w:rPr>
          <w:rFonts w:ascii="宋体" w:hAnsi="宋体" w:eastAsia="宋体" w:cs="宋体"/>
          <w:spacing w:val="26"/>
          <w:sz w:val="24"/>
          <w:szCs w:val="24"/>
        </w:rPr>
        <w:t xml:space="preserve"> </w:t>
      </w:r>
      <w:r>
        <w:rPr>
          <w:rFonts w:ascii="宋体" w:hAnsi="宋体" w:eastAsia="宋体" w:cs="宋体"/>
          <w:spacing w:val="-10"/>
          <w:sz w:val="24"/>
          <w:szCs w:val="24"/>
        </w:rPr>
        <w:t>其数值越小表明群落优势种越明</w:t>
      </w:r>
      <w:r>
        <w:rPr>
          <w:rFonts w:ascii="宋体" w:hAnsi="宋体" w:eastAsia="宋体" w:cs="宋体"/>
          <w:spacing w:val="-11"/>
          <w:sz w:val="24"/>
          <w:szCs w:val="24"/>
        </w:rPr>
        <w:t>显，</w:t>
      </w:r>
      <w:r>
        <w:rPr>
          <w:rFonts w:ascii="宋体" w:hAnsi="宋体" w:eastAsia="宋体" w:cs="宋体"/>
          <w:spacing w:val="28"/>
          <w:sz w:val="24"/>
          <w:szCs w:val="24"/>
        </w:rPr>
        <w:t xml:space="preserve"> </w:t>
      </w:r>
      <w:r>
        <w:rPr>
          <w:rFonts w:ascii="宋体" w:hAnsi="宋体" w:eastAsia="宋体" w:cs="宋体"/>
          <w:spacing w:val="-11"/>
          <w:sz w:val="24"/>
          <w:szCs w:val="24"/>
        </w:rPr>
        <w:t>如果</w:t>
      </w:r>
      <w:r>
        <w:rPr>
          <w:rFonts w:ascii="宋体" w:hAnsi="宋体" w:eastAsia="宋体" w:cs="宋体"/>
          <w:sz w:val="24"/>
          <w:szCs w:val="24"/>
        </w:rPr>
        <w:t xml:space="preserve"> </w:t>
      </w:r>
      <w:r>
        <w:rPr>
          <w:rFonts w:ascii="宋体" w:hAnsi="宋体" w:eastAsia="宋体" w:cs="宋体"/>
          <w:spacing w:val="-4"/>
          <w:sz w:val="24"/>
          <w:szCs w:val="24"/>
        </w:rPr>
        <w:t>优势种品种数增加会使该数值降低，群落越均衡数值越高；</w:t>
      </w:r>
      <w:r>
        <w:rPr>
          <w:rFonts w:ascii="宋体" w:hAnsi="宋体" w:eastAsia="宋体" w:cs="宋体"/>
          <w:spacing w:val="85"/>
          <w:sz w:val="24"/>
          <w:szCs w:val="24"/>
        </w:rPr>
        <w:t xml:space="preserve"> </w:t>
      </w:r>
      <w:r>
        <w:rPr>
          <w:rFonts w:ascii="Times New Roman" w:hAnsi="Times New Roman" w:eastAsia="Times New Roman" w:cs="Times New Roman"/>
          <w:spacing w:val="-4"/>
          <w:sz w:val="24"/>
          <w:szCs w:val="24"/>
        </w:rPr>
        <w:t xml:space="preserve">Shannon-Weiner  </w:t>
      </w:r>
      <w:r>
        <w:rPr>
          <w:rFonts w:ascii="宋体" w:hAnsi="宋体" w:eastAsia="宋体" w:cs="宋体"/>
          <w:spacing w:val="-4"/>
          <w:sz w:val="24"/>
          <w:szCs w:val="24"/>
        </w:rPr>
        <w:t>指数</w:t>
      </w:r>
      <w:r>
        <w:rPr>
          <w:rFonts w:ascii="宋体" w:hAnsi="宋体" w:eastAsia="宋体" w:cs="宋体"/>
          <w:sz w:val="24"/>
          <w:szCs w:val="24"/>
        </w:rPr>
        <w:t xml:space="preserve"> </w:t>
      </w:r>
      <w:r>
        <w:rPr>
          <w:rFonts w:ascii="宋体" w:hAnsi="宋体" w:eastAsia="宋体" w:cs="宋体"/>
          <w:spacing w:val="-16"/>
          <w:sz w:val="24"/>
          <w:szCs w:val="24"/>
        </w:rPr>
        <w:t>可以同时反映物种丰富度和物种均匀度， 数量越多，</w:t>
      </w:r>
      <w:r>
        <w:rPr>
          <w:rFonts w:ascii="宋体" w:hAnsi="宋体" w:eastAsia="宋体" w:cs="宋体"/>
          <w:spacing w:val="-38"/>
          <w:sz w:val="24"/>
          <w:szCs w:val="24"/>
        </w:rPr>
        <w:t xml:space="preserve"> </w:t>
      </w:r>
      <w:r>
        <w:rPr>
          <w:rFonts w:ascii="宋体" w:hAnsi="宋体" w:eastAsia="宋体" w:cs="宋体"/>
          <w:spacing w:val="-16"/>
          <w:sz w:val="24"/>
          <w:szCs w:val="24"/>
        </w:rPr>
        <w:t>分布越均匀， 数值越大；</w:t>
      </w:r>
      <w:r>
        <w:rPr>
          <w:rFonts w:ascii="宋体" w:hAnsi="宋体" w:eastAsia="宋体" w:cs="宋体"/>
          <w:spacing w:val="-43"/>
          <w:sz w:val="24"/>
          <w:szCs w:val="24"/>
        </w:rPr>
        <w:t xml:space="preserve"> </w:t>
      </w:r>
      <w:r>
        <w:rPr>
          <w:rFonts w:ascii="Times New Roman" w:hAnsi="Times New Roman" w:eastAsia="Times New Roman" w:cs="Times New Roman"/>
          <w:spacing w:val="-16"/>
          <w:sz w:val="24"/>
          <w:szCs w:val="24"/>
        </w:rPr>
        <w:t>Pie</w:t>
      </w:r>
      <w:r>
        <w:rPr>
          <w:rFonts w:ascii="Times New Roman" w:hAnsi="Times New Roman" w:eastAsia="Times New Roman" w:cs="Times New Roman"/>
          <w:spacing w:val="-17"/>
          <w:sz w:val="24"/>
          <w:szCs w:val="24"/>
        </w:rPr>
        <w:t>lou</w:t>
      </w:r>
      <w:r>
        <w:rPr>
          <w:rFonts w:ascii="Times New Roman" w:hAnsi="Times New Roman" w:eastAsia="Times New Roman" w:cs="Times New Roman"/>
          <w:sz w:val="24"/>
          <w:szCs w:val="24"/>
        </w:rPr>
        <w:t xml:space="preserve"> </w:t>
      </w:r>
      <w:r>
        <w:rPr>
          <w:rFonts w:ascii="宋体" w:hAnsi="宋体" w:eastAsia="宋体" w:cs="宋体"/>
          <w:spacing w:val="9"/>
          <w:sz w:val="24"/>
          <w:szCs w:val="24"/>
        </w:rPr>
        <w:t>指数反映植物空间分布均匀程度，其数值越大表示植物空间分布越均匀，可与</w:t>
      </w:r>
      <w:r>
        <w:rPr>
          <w:rFonts w:ascii="宋体" w:hAnsi="宋体" w:eastAsia="宋体" w:cs="宋体"/>
          <w:spacing w:val="17"/>
          <w:sz w:val="24"/>
          <w:szCs w:val="24"/>
        </w:rPr>
        <w:t xml:space="preserve"> </w:t>
      </w:r>
      <w:r>
        <w:rPr>
          <w:rFonts w:ascii="Times New Roman" w:hAnsi="Times New Roman" w:eastAsia="Times New Roman" w:cs="Times New Roman"/>
          <w:spacing w:val="-4"/>
          <w:sz w:val="24"/>
          <w:szCs w:val="24"/>
        </w:rPr>
        <w:t>Shannon-Weiner</w:t>
      </w:r>
      <w:r>
        <w:rPr>
          <w:rFonts w:ascii="Times New Roman" w:hAnsi="Times New Roman" w:eastAsia="Times New Roman" w:cs="Times New Roman"/>
          <w:spacing w:val="39"/>
          <w:sz w:val="24"/>
          <w:szCs w:val="24"/>
        </w:rPr>
        <w:t xml:space="preserve"> </w:t>
      </w:r>
      <w:r>
        <w:rPr>
          <w:rFonts w:ascii="宋体" w:hAnsi="宋体" w:eastAsia="宋体" w:cs="宋体"/>
          <w:spacing w:val="-4"/>
          <w:sz w:val="24"/>
          <w:szCs w:val="24"/>
        </w:rPr>
        <w:t>指数结合看，如果</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Pi</w:t>
      </w:r>
      <w:r>
        <w:rPr>
          <w:rFonts w:ascii="Times New Roman" w:hAnsi="Times New Roman" w:eastAsia="Times New Roman" w:cs="Times New Roman"/>
          <w:spacing w:val="-5"/>
          <w:sz w:val="24"/>
          <w:szCs w:val="24"/>
        </w:rPr>
        <w:t>elou</w:t>
      </w:r>
      <w:r>
        <w:rPr>
          <w:rFonts w:ascii="Times New Roman" w:hAnsi="Times New Roman" w:eastAsia="Times New Roman" w:cs="Times New Roman"/>
          <w:spacing w:val="42"/>
          <w:sz w:val="24"/>
          <w:szCs w:val="24"/>
        </w:rPr>
        <w:t xml:space="preserve"> </w:t>
      </w:r>
      <w:r>
        <w:rPr>
          <w:rFonts w:ascii="宋体" w:hAnsi="宋体" w:eastAsia="宋体" w:cs="宋体"/>
          <w:spacing w:val="-5"/>
          <w:sz w:val="24"/>
          <w:szCs w:val="24"/>
        </w:rPr>
        <w:t>指数接近，</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Shannon-Weiner</w:t>
      </w:r>
      <w:r>
        <w:rPr>
          <w:rFonts w:ascii="Times New Roman" w:hAnsi="Times New Roman" w:eastAsia="Times New Roman" w:cs="Times New Roman"/>
          <w:spacing w:val="39"/>
          <w:w w:val="101"/>
          <w:sz w:val="24"/>
          <w:szCs w:val="24"/>
        </w:rPr>
        <w:t xml:space="preserve"> </w:t>
      </w:r>
      <w:r>
        <w:rPr>
          <w:rFonts w:ascii="宋体" w:hAnsi="宋体" w:eastAsia="宋体" w:cs="宋体"/>
          <w:spacing w:val="-5"/>
          <w:sz w:val="24"/>
          <w:szCs w:val="24"/>
        </w:rPr>
        <w:t>指数差距较</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大就证明均匀度接近但是丰富度较好。</w:t>
      </w:r>
    </w:p>
    <w:p>
      <w:pPr>
        <w:spacing w:before="183" w:line="359" w:lineRule="auto"/>
        <w:ind w:left="49" w:right="61" w:firstLine="468"/>
        <w:rPr>
          <w:rFonts w:ascii="Times New Roman" w:hAnsi="Times New Roman" w:eastAsia="Times New Roman" w:cs="Times New Roman"/>
          <w:sz w:val="24"/>
          <w:szCs w:val="24"/>
        </w:rPr>
      </w:pPr>
      <w:r>
        <w:rPr>
          <w:rFonts w:ascii="宋体" w:hAnsi="宋体" w:eastAsia="宋体" w:cs="宋体"/>
          <w:spacing w:val="1"/>
          <w:sz w:val="24"/>
          <w:szCs w:val="24"/>
        </w:rPr>
        <w:t>根据调查样方情况统计，评价范围内植物生物多样性数据：</w:t>
      </w:r>
      <w:r>
        <w:rPr>
          <w:rFonts w:ascii="Times New Roman" w:hAnsi="Times New Roman" w:eastAsia="Times New Roman" w:cs="Times New Roman"/>
          <w:sz w:val="24"/>
          <w:szCs w:val="24"/>
        </w:rPr>
        <w:t>Shannon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Winener</w:t>
      </w:r>
      <w:r>
        <w:rPr>
          <w:rFonts w:ascii="Times New Roman" w:hAnsi="Times New Roman" w:eastAsia="Times New Roman" w:cs="Times New Roman"/>
          <w:spacing w:val="1"/>
          <w:sz w:val="24"/>
          <w:szCs w:val="24"/>
        </w:rPr>
        <w:t xml:space="preserve"> </w:t>
      </w:r>
      <w:r>
        <w:rPr>
          <w:rFonts w:ascii="宋体" w:hAnsi="宋体" w:eastAsia="宋体" w:cs="宋体"/>
          <w:spacing w:val="-12"/>
          <w:sz w:val="24"/>
          <w:szCs w:val="24"/>
        </w:rPr>
        <w:t xml:space="preserve">多样性指数： </w:t>
      </w:r>
      <w:r>
        <w:rPr>
          <w:rFonts w:ascii="Times New Roman" w:hAnsi="Times New Roman" w:eastAsia="Times New Roman" w:cs="Times New Roman"/>
          <w:spacing w:val="-12"/>
          <w:sz w:val="24"/>
          <w:szCs w:val="24"/>
        </w:rPr>
        <w:t>4.62</w:t>
      </w:r>
      <w:r>
        <w:rPr>
          <w:rFonts w:ascii="宋体" w:hAnsi="宋体" w:eastAsia="宋体" w:cs="宋体"/>
          <w:spacing w:val="-12"/>
          <w:sz w:val="24"/>
          <w:szCs w:val="24"/>
        </w:rPr>
        <w:t>；</w:t>
      </w:r>
      <w:r>
        <w:rPr>
          <w:rFonts w:ascii="Times New Roman" w:hAnsi="Times New Roman" w:eastAsia="Times New Roman" w:cs="Times New Roman"/>
          <w:spacing w:val="-12"/>
          <w:sz w:val="24"/>
          <w:szCs w:val="24"/>
        </w:rPr>
        <w:t>Pielou</w:t>
      </w:r>
      <w:r>
        <w:rPr>
          <w:rFonts w:ascii="Times New Roman" w:hAnsi="Times New Roman" w:eastAsia="Times New Roman" w:cs="Times New Roman"/>
          <w:spacing w:val="11"/>
          <w:sz w:val="24"/>
          <w:szCs w:val="24"/>
        </w:rPr>
        <w:t xml:space="preserve"> </w:t>
      </w:r>
      <w:r>
        <w:rPr>
          <w:rFonts w:ascii="宋体" w:hAnsi="宋体" w:eastAsia="宋体" w:cs="宋体"/>
          <w:spacing w:val="-12"/>
          <w:sz w:val="24"/>
          <w:szCs w:val="24"/>
        </w:rPr>
        <w:t>均匀度指数：</w:t>
      </w:r>
      <w:r>
        <w:rPr>
          <w:rFonts w:ascii="宋体" w:hAnsi="宋体" w:eastAsia="宋体" w:cs="宋体"/>
          <w:spacing w:val="23"/>
          <w:sz w:val="24"/>
          <w:szCs w:val="24"/>
        </w:rPr>
        <w:t xml:space="preserve"> </w:t>
      </w:r>
      <w:r>
        <w:rPr>
          <w:rFonts w:ascii="Times New Roman" w:hAnsi="Times New Roman" w:eastAsia="Times New Roman" w:cs="Times New Roman"/>
          <w:spacing w:val="-12"/>
          <w:sz w:val="24"/>
          <w:szCs w:val="24"/>
        </w:rPr>
        <w:t>0.85</w:t>
      </w:r>
      <w:r>
        <w:rPr>
          <w:rFonts w:ascii="宋体" w:hAnsi="宋体" w:eastAsia="宋体" w:cs="宋体"/>
          <w:spacing w:val="-12"/>
          <w:sz w:val="24"/>
          <w:szCs w:val="24"/>
        </w:rPr>
        <w:t>；</w:t>
      </w:r>
      <w:r>
        <w:rPr>
          <w:rFonts w:ascii="Times New Roman" w:hAnsi="Times New Roman" w:eastAsia="Times New Roman" w:cs="Times New Roman"/>
          <w:spacing w:val="-13"/>
          <w:sz w:val="24"/>
          <w:szCs w:val="24"/>
        </w:rPr>
        <w:t>Simpson</w:t>
      </w:r>
      <w:r>
        <w:rPr>
          <w:rFonts w:ascii="Times New Roman" w:hAnsi="Times New Roman" w:eastAsia="Times New Roman" w:cs="Times New Roman"/>
          <w:spacing w:val="21"/>
          <w:w w:val="101"/>
          <w:sz w:val="24"/>
          <w:szCs w:val="24"/>
        </w:rPr>
        <w:t xml:space="preserve"> </w:t>
      </w:r>
      <w:r>
        <w:rPr>
          <w:rFonts w:ascii="宋体" w:hAnsi="宋体" w:eastAsia="宋体" w:cs="宋体"/>
          <w:spacing w:val="-13"/>
          <w:sz w:val="24"/>
          <w:szCs w:val="24"/>
        </w:rPr>
        <w:t>多样性指数：</w:t>
      </w:r>
      <w:r>
        <w:rPr>
          <w:rFonts w:ascii="宋体" w:hAnsi="宋体" w:eastAsia="宋体" w:cs="宋体"/>
          <w:spacing w:val="23"/>
          <w:sz w:val="24"/>
          <w:szCs w:val="24"/>
        </w:rPr>
        <w:t xml:space="preserve"> </w:t>
      </w:r>
      <w:r>
        <w:rPr>
          <w:rFonts w:ascii="Times New Roman" w:hAnsi="Times New Roman" w:eastAsia="Times New Roman" w:cs="Times New Roman"/>
          <w:spacing w:val="-13"/>
          <w:sz w:val="24"/>
          <w:szCs w:val="24"/>
        </w:rPr>
        <w:t>0.02</w:t>
      </w:r>
      <w:r>
        <w:rPr>
          <w:rFonts w:ascii="宋体" w:hAnsi="宋体" w:eastAsia="宋体" w:cs="宋体"/>
          <w:spacing w:val="-13"/>
          <w:sz w:val="24"/>
          <w:szCs w:val="24"/>
        </w:rPr>
        <w:t>；</w:t>
      </w:r>
      <w:r>
        <w:rPr>
          <w:rFonts w:ascii="Times New Roman" w:hAnsi="Times New Roman" w:eastAsia="Times New Roman" w:cs="Times New Roman"/>
          <w:spacing w:val="-13"/>
          <w:sz w:val="24"/>
          <w:szCs w:val="24"/>
        </w:rPr>
        <w:t>Margalef</w:t>
      </w:r>
    </w:p>
    <w:p>
      <w:pPr>
        <w:spacing w:before="1" w:line="219" w:lineRule="auto"/>
        <w:ind w:left="39"/>
        <w:rPr>
          <w:rFonts w:ascii="宋体" w:hAnsi="宋体" w:eastAsia="宋体" w:cs="宋体"/>
          <w:sz w:val="24"/>
          <w:szCs w:val="24"/>
        </w:rPr>
      </w:pPr>
      <w:r>
        <w:rPr>
          <w:rFonts w:ascii="宋体" w:hAnsi="宋体" w:eastAsia="宋体" w:cs="宋体"/>
          <w:spacing w:val="-16"/>
          <w:sz w:val="24"/>
          <w:szCs w:val="24"/>
        </w:rPr>
        <w:t>丰富度指数：</w:t>
      </w:r>
      <w:r>
        <w:rPr>
          <w:rFonts w:ascii="宋体" w:hAnsi="宋体" w:eastAsia="宋体" w:cs="宋体"/>
          <w:spacing w:val="60"/>
          <w:sz w:val="24"/>
          <w:szCs w:val="24"/>
        </w:rPr>
        <w:t xml:space="preserve"> </w:t>
      </w:r>
      <w:r>
        <w:rPr>
          <w:rFonts w:ascii="Times New Roman" w:hAnsi="Times New Roman" w:eastAsia="Times New Roman" w:cs="Times New Roman"/>
          <w:spacing w:val="-16"/>
          <w:sz w:val="24"/>
          <w:szCs w:val="24"/>
        </w:rPr>
        <w:t>25.66</w:t>
      </w:r>
      <w:r>
        <w:rPr>
          <w:rFonts w:ascii="宋体" w:hAnsi="宋体" w:eastAsia="宋体" w:cs="宋体"/>
          <w:spacing w:val="-16"/>
          <w:sz w:val="24"/>
          <w:szCs w:val="24"/>
        </w:rPr>
        <w:t>。</w:t>
      </w:r>
    </w:p>
    <w:p>
      <w:pPr>
        <w:pStyle w:val="2"/>
        <w:spacing w:line="259" w:lineRule="auto"/>
      </w:pPr>
    </w:p>
    <w:p>
      <w:pPr>
        <w:spacing w:before="78" w:line="220" w:lineRule="auto"/>
        <w:ind w:left="34"/>
        <w:outlineLvl w:val="1"/>
        <w:rPr>
          <w:rFonts w:ascii="宋体" w:hAnsi="宋体" w:eastAsia="宋体" w:cs="宋体"/>
          <w:sz w:val="24"/>
          <w:szCs w:val="24"/>
        </w:rPr>
      </w:pPr>
      <w:r>
        <w:rPr>
          <w:rFonts w:ascii="Times New Roman" w:hAnsi="Times New Roman" w:eastAsia="Times New Roman" w:cs="Times New Roman"/>
          <w:b/>
          <w:bCs/>
          <w:spacing w:val="-3"/>
          <w:sz w:val="24"/>
          <w:szCs w:val="24"/>
        </w:rPr>
        <w:t>4.5.2</w:t>
      </w:r>
      <w:r>
        <w:rPr>
          <w:rFonts w:ascii="Times New Roman" w:hAnsi="Times New Roman" w:eastAsia="Times New Roman" w:cs="Times New Roman"/>
          <w:b/>
          <w:bCs/>
          <w:spacing w:val="24"/>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陆生动物</w:t>
      </w:r>
    </w:p>
    <w:p>
      <w:pPr>
        <w:spacing w:before="182" w:line="468" w:lineRule="exact"/>
        <w:ind w:left="536"/>
        <w:rPr>
          <w:rFonts w:ascii="宋体" w:hAnsi="宋体" w:eastAsia="宋体" w:cs="宋体"/>
          <w:sz w:val="24"/>
          <w:szCs w:val="24"/>
        </w:rPr>
      </w:pPr>
      <w:r>
        <w:rPr>
          <w:rFonts w:ascii="Times New Roman" w:hAnsi="Times New Roman" w:eastAsia="Times New Roman" w:cs="Times New Roman"/>
          <w:spacing w:val="-3"/>
          <w:position w:val="17"/>
          <w:sz w:val="24"/>
          <w:szCs w:val="24"/>
        </w:rPr>
        <w:t>1</w:t>
      </w:r>
      <w:r>
        <w:rPr>
          <w:rFonts w:ascii="Times New Roman" w:hAnsi="Times New Roman" w:eastAsia="Times New Roman" w:cs="Times New Roman"/>
          <w:spacing w:val="-34"/>
          <w:position w:val="17"/>
          <w:sz w:val="24"/>
          <w:szCs w:val="24"/>
        </w:rPr>
        <w:t xml:space="preserve"> </w:t>
      </w:r>
      <w:r>
        <w:rPr>
          <w:rFonts w:ascii="宋体" w:hAnsi="宋体" w:eastAsia="宋体" w:cs="宋体"/>
          <w:spacing w:val="-3"/>
          <w:position w:val="17"/>
          <w:sz w:val="24"/>
          <w:szCs w:val="24"/>
        </w:rPr>
        <w:t>、陆生动物地理区划及评价区动物资源</w:t>
      </w:r>
    </w:p>
    <w:p>
      <w:pPr>
        <w:spacing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）动物地理区划</w:t>
      </w:r>
    </w:p>
    <w:p>
      <w:pPr>
        <w:spacing w:before="182" w:line="359" w:lineRule="auto"/>
        <w:ind w:left="38" w:firstLine="479"/>
        <w:jc w:val="both"/>
        <w:rPr>
          <w:rFonts w:ascii="宋体" w:hAnsi="宋体" w:eastAsia="宋体" w:cs="宋体"/>
          <w:sz w:val="24"/>
          <w:szCs w:val="24"/>
        </w:rPr>
      </w:pPr>
      <w:r>
        <w:rPr>
          <w:rFonts w:ascii="宋体" w:hAnsi="宋体" w:eastAsia="宋体" w:cs="宋体"/>
          <w:spacing w:val="-3"/>
          <w:sz w:val="24"/>
          <w:szCs w:val="24"/>
        </w:rPr>
        <w:t>根据《中国动物地理》（张荣祖</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2011 </w:t>
      </w:r>
      <w:r>
        <w:rPr>
          <w:rFonts w:ascii="宋体" w:hAnsi="宋体" w:eastAsia="宋体" w:cs="宋体"/>
          <w:spacing w:val="-3"/>
          <w:sz w:val="24"/>
          <w:szCs w:val="24"/>
        </w:rPr>
        <w:t>年）</w:t>
      </w:r>
      <w:r>
        <w:rPr>
          <w:rFonts w:ascii="宋体" w:hAnsi="宋体" w:eastAsia="宋体" w:cs="宋体"/>
          <w:spacing w:val="-54"/>
          <w:sz w:val="24"/>
          <w:szCs w:val="24"/>
        </w:rPr>
        <w:t xml:space="preserve"> </w:t>
      </w:r>
      <w:r>
        <w:rPr>
          <w:rFonts w:ascii="宋体" w:hAnsi="宋体" w:eastAsia="宋体" w:cs="宋体"/>
          <w:spacing w:val="-3"/>
          <w:sz w:val="24"/>
          <w:szCs w:val="24"/>
        </w:rPr>
        <w:t>评价区的动物</w:t>
      </w:r>
      <w:r>
        <w:rPr>
          <w:rFonts w:ascii="宋体" w:hAnsi="宋体" w:eastAsia="宋体" w:cs="宋体"/>
          <w:spacing w:val="-4"/>
          <w:sz w:val="24"/>
          <w:szCs w:val="24"/>
        </w:rPr>
        <w:t xml:space="preserve">区系属于东洋界中印 </w:t>
      </w:r>
      <w:r>
        <w:rPr>
          <w:rFonts w:ascii="宋体" w:hAnsi="宋体" w:eastAsia="宋体" w:cs="宋体"/>
          <w:sz w:val="24"/>
          <w:szCs w:val="24"/>
        </w:rPr>
        <w:t>亚界</w:t>
      </w:r>
      <w:r>
        <w:rPr>
          <w:rFonts w:ascii="Times New Roman" w:hAnsi="Times New Roman" w:eastAsia="Times New Roman" w:cs="Times New Roman"/>
          <w:sz w:val="24"/>
          <w:szCs w:val="24"/>
        </w:rPr>
        <w:t>Ⅵ</w:t>
      </w:r>
      <w:r>
        <w:rPr>
          <w:rFonts w:ascii="宋体" w:hAnsi="宋体" w:eastAsia="宋体" w:cs="宋体"/>
          <w:sz w:val="24"/>
          <w:szCs w:val="24"/>
        </w:rPr>
        <w:t>华中区</w:t>
      </w:r>
      <w:r>
        <w:rPr>
          <w:rFonts w:ascii="Times New Roman" w:hAnsi="Times New Roman" w:eastAsia="Times New Roman" w:cs="Times New Roman"/>
          <w:sz w:val="24"/>
          <w:szCs w:val="24"/>
        </w:rPr>
        <w:t xml:space="preserve">—ⅥA  </w:t>
      </w:r>
      <w:r>
        <w:rPr>
          <w:rFonts w:ascii="宋体" w:hAnsi="宋体" w:eastAsia="宋体" w:cs="宋体"/>
          <w:sz w:val="24"/>
          <w:szCs w:val="24"/>
        </w:rPr>
        <w:t>东部丘陵平原亚区</w:t>
      </w:r>
      <w:r>
        <w:rPr>
          <w:rFonts w:ascii="Times New Roman" w:hAnsi="Times New Roman" w:eastAsia="Times New Roman" w:cs="Times New Roman"/>
          <w:sz w:val="24"/>
          <w:szCs w:val="24"/>
        </w:rPr>
        <w:t>——</w:t>
      </w:r>
      <w:r>
        <w:rPr>
          <w:rFonts w:ascii="宋体" w:hAnsi="宋体" w:eastAsia="宋体" w:cs="宋体"/>
          <w:sz w:val="24"/>
          <w:szCs w:val="24"/>
        </w:rPr>
        <w:t xml:space="preserve">亚热带常绿阔叶林和常绿落叶阔叶混 </w:t>
      </w:r>
      <w:r>
        <w:rPr>
          <w:rFonts w:ascii="宋体" w:hAnsi="宋体" w:eastAsia="宋体" w:cs="宋体"/>
          <w:spacing w:val="-12"/>
          <w:sz w:val="24"/>
          <w:szCs w:val="24"/>
        </w:rPr>
        <w:t>交林、农田动物群。评价区处于东洋界边缘，</w:t>
      </w:r>
      <w:r>
        <w:rPr>
          <w:rFonts w:ascii="宋体" w:hAnsi="宋体" w:eastAsia="宋体" w:cs="宋体"/>
          <w:spacing w:val="62"/>
          <w:sz w:val="24"/>
          <w:szCs w:val="24"/>
        </w:rPr>
        <w:t xml:space="preserve"> </w:t>
      </w:r>
      <w:r>
        <w:rPr>
          <w:rFonts w:ascii="宋体" w:hAnsi="宋体" w:eastAsia="宋体" w:cs="宋体"/>
          <w:spacing w:val="-12"/>
          <w:sz w:val="24"/>
          <w:szCs w:val="24"/>
        </w:rPr>
        <w:t>与古北界相毗邻，</w:t>
      </w:r>
      <w:r>
        <w:rPr>
          <w:rFonts w:ascii="宋体" w:hAnsi="宋体" w:eastAsia="宋体" w:cs="宋体"/>
          <w:spacing w:val="57"/>
          <w:sz w:val="24"/>
          <w:szCs w:val="24"/>
        </w:rPr>
        <w:t xml:space="preserve"> </w:t>
      </w:r>
      <w:r>
        <w:rPr>
          <w:rFonts w:ascii="宋体" w:hAnsi="宋体" w:eastAsia="宋体" w:cs="宋体"/>
          <w:spacing w:val="-13"/>
          <w:sz w:val="24"/>
          <w:szCs w:val="24"/>
        </w:rPr>
        <w:t>但是分界不明显，</w:t>
      </w:r>
      <w:r>
        <w:rPr>
          <w:rFonts w:ascii="宋体" w:hAnsi="宋体" w:eastAsia="宋体" w:cs="宋体"/>
          <w:sz w:val="24"/>
          <w:szCs w:val="24"/>
        </w:rPr>
        <w:t xml:space="preserve"> </w:t>
      </w:r>
      <w:r>
        <w:rPr>
          <w:rFonts w:ascii="宋体" w:hAnsi="宋体" w:eastAsia="宋体" w:cs="宋体"/>
          <w:spacing w:val="2"/>
          <w:sz w:val="24"/>
          <w:szCs w:val="24"/>
        </w:rPr>
        <w:t xml:space="preserve">形成广泛的逐渐过渡趋势，古北界动物想东洋界的渗透现象甚为明显。评价区及 </w:t>
      </w:r>
      <w:r>
        <w:rPr>
          <w:rFonts w:ascii="宋体" w:hAnsi="宋体" w:eastAsia="宋体" w:cs="宋体"/>
          <w:spacing w:val="-8"/>
          <w:sz w:val="24"/>
          <w:szCs w:val="24"/>
        </w:rPr>
        <w:t xml:space="preserve">周边区域动物资源丰富，两栖动物有 </w:t>
      </w:r>
      <w:r>
        <w:rPr>
          <w:rFonts w:ascii="Times New Roman" w:hAnsi="Times New Roman" w:eastAsia="Times New Roman" w:cs="Times New Roman"/>
          <w:spacing w:val="-8"/>
          <w:sz w:val="24"/>
          <w:szCs w:val="24"/>
        </w:rPr>
        <w:t>15</w:t>
      </w:r>
      <w:r>
        <w:rPr>
          <w:rFonts w:ascii="Times New Roman" w:hAnsi="Times New Roman" w:eastAsia="Times New Roman" w:cs="Times New Roman"/>
          <w:spacing w:val="35"/>
          <w:sz w:val="24"/>
          <w:szCs w:val="24"/>
        </w:rPr>
        <w:t xml:space="preserve"> </w:t>
      </w:r>
      <w:r>
        <w:rPr>
          <w:rFonts w:ascii="宋体" w:hAnsi="宋体" w:eastAsia="宋体" w:cs="宋体"/>
          <w:spacing w:val="-8"/>
          <w:sz w:val="24"/>
          <w:szCs w:val="24"/>
        </w:rPr>
        <w:t>种，</w:t>
      </w:r>
      <w:r>
        <w:rPr>
          <w:rFonts w:ascii="宋体" w:hAnsi="宋体" w:eastAsia="宋体" w:cs="宋体"/>
          <w:spacing w:val="-28"/>
          <w:sz w:val="24"/>
          <w:szCs w:val="24"/>
        </w:rPr>
        <w:t xml:space="preserve"> </w:t>
      </w:r>
      <w:r>
        <w:rPr>
          <w:rFonts w:ascii="宋体" w:hAnsi="宋体" w:eastAsia="宋体" w:cs="宋体"/>
          <w:spacing w:val="-8"/>
          <w:sz w:val="24"/>
          <w:szCs w:val="24"/>
        </w:rPr>
        <w:t>分</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 xml:space="preserve">2  </w:t>
      </w:r>
      <w:r>
        <w:rPr>
          <w:rFonts w:ascii="宋体" w:hAnsi="宋体" w:eastAsia="宋体" w:cs="宋体"/>
          <w:spacing w:val="-8"/>
          <w:sz w:val="24"/>
          <w:szCs w:val="24"/>
        </w:rPr>
        <w:t>目、</w:t>
      </w:r>
      <w:r>
        <w:rPr>
          <w:rFonts w:ascii="宋体" w:hAnsi="宋体" w:eastAsia="宋体" w:cs="宋体"/>
          <w:spacing w:val="-61"/>
          <w:sz w:val="24"/>
          <w:szCs w:val="24"/>
        </w:rPr>
        <w:t xml:space="preserve"> </w:t>
      </w:r>
      <w:r>
        <w:rPr>
          <w:rFonts w:ascii="Times New Roman" w:hAnsi="Times New Roman" w:eastAsia="Times New Roman" w:cs="Times New Roman"/>
          <w:spacing w:val="-8"/>
          <w:sz w:val="24"/>
          <w:szCs w:val="24"/>
        </w:rPr>
        <w:t>7</w:t>
      </w:r>
      <w:r>
        <w:rPr>
          <w:rFonts w:ascii="Times New Roman" w:hAnsi="Times New Roman" w:eastAsia="Times New Roman" w:cs="Times New Roman"/>
          <w:spacing w:val="19"/>
          <w:sz w:val="24"/>
          <w:szCs w:val="24"/>
        </w:rPr>
        <w:t xml:space="preserve"> </w:t>
      </w:r>
      <w:r>
        <w:rPr>
          <w:rFonts w:ascii="宋体" w:hAnsi="宋体" w:eastAsia="宋体" w:cs="宋体"/>
          <w:spacing w:val="-8"/>
          <w:sz w:val="24"/>
          <w:szCs w:val="24"/>
        </w:rPr>
        <w:t xml:space="preserve">科，主要为东洋界种，其 </w:t>
      </w:r>
      <w:r>
        <w:rPr>
          <w:rFonts w:ascii="宋体" w:hAnsi="宋体" w:eastAsia="宋体" w:cs="宋体"/>
          <w:spacing w:val="-7"/>
          <w:sz w:val="24"/>
          <w:szCs w:val="24"/>
        </w:rPr>
        <w:t xml:space="preserve">次为广布种；爬行类有 </w:t>
      </w:r>
      <w:r>
        <w:rPr>
          <w:rFonts w:ascii="Times New Roman" w:hAnsi="Times New Roman" w:eastAsia="Times New Roman" w:cs="Times New Roman"/>
          <w:spacing w:val="-7"/>
          <w:sz w:val="24"/>
          <w:szCs w:val="24"/>
        </w:rPr>
        <w:t>16</w:t>
      </w:r>
      <w:r>
        <w:rPr>
          <w:rFonts w:ascii="Times New Roman" w:hAnsi="Times New Roman" w:eastAsia="Times New Roman" w:cs="Times New Roman"/>
          <w:spacing w:val="35"/>
          <w:w w:val="101"/>
          <w:sz w:val="24"/>
          <w:szCs w:val="24"/>
        </w:rPr>
        <w:t xml:space="preserve"> </w:t>
      </w:r>
      <w:r>
        <w:rPr>
          <w:rFonts w:ascii="宋体" w:hAnsi="宋体" w:eastAsia="宋体" w:cs="宋体"/>
          <w:spacing w:val="-7"/>
          <w:sz w:val="24"/>
          <w:szCs w:val="24"/>
        </w:rPr>
        <w:t xml:space="preserve">种，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目、</w:t>
      </w:r>
      <w:r>
        <w:rPr>
          <w:rFonts w:ascii="宋体" w:hAnsi="宋体" w:eastAsia="宋体" w:cs="宋体"/>
          <w:spacing w:val="-62"/>
          <w:sz w:val="24"/>
          <w:szCs w:val="24"/>
        </w:rPr>
        <w:t xml:space="preserve"> </w:t>
      </w:r>
      <w:r>
        <w:rPr>
          <w:rFonts w:ascii="Times New Roman" w:hAnsi="Times New Roman" w:eastAsia="Times New Roman" w:cs="Times New Roman"/>
          <w:spacing w:val="-7"/>
          <w:sz w:val="24"/>
          <w:szCs w:val="24"/>
        </w:rPr>
        <w:t>7</w:t>
      </w:r>
      <w:r>
        <w:rPr>
          <w:rFonts w:ascii="Times New Roman" w:hAnsi="Times New Roman" w:eastAsia="Times New Roman" w:cs="Times New Roman"/>
          <w:spacing w:val="37"/>
          <w:sz w:val="24"/>
          <w:szCs w:val="24"/>
        </w:rPr>
        <w:t xml:space="preserve"> </w:t>
      </w:r>
      <w:r>
        <w:rPr>
          <w:rFonts w:ascii="宋体" w:hAnsi="宋体" w:eastAsia="宋体" w:cs="宋体"/>
          <w:spacing w:val="-7"/>
          <w:sz w:val="24"/>
          <w:szCs w:val="24"/>
        </w:rPr>
        <w:t>科</w:t>
      </w:r>
      <w:r>
        <w:rPr>
          <w:rFonts w:ascii="宋体" w:hAnsi="宋体" w:eastAsia="宋体" w:cs="宋体"/>
          <w:spacing w:val="-8"/>
          <w:sz w:val="24"/>
          <w:szCs w:val="24"/>
        </w:rPr>
        <w:t>，主要为东洋界种，其次为古北种。鸟</w:t>
      </w:r>
      <w:r>
        <w:rPr>
          <w:rFonts w:ascii="宋体" w:hAnsi="宋体" w:eastAsia="宋体" w:cs="宋体"/>
          <w:sz w:val="24"/>
          <w:szCs w:val="24"/>
        </w:rPr>
        <w:t xml:space="preserve">  </w:t>
      </w:r>
      <w:r>
        <w:rPr>
          <w:rFonts w:ascii="宋体" w:hAnsi="宋体" w:eastAsia="宋体" w:cs="宋体"/>
          <w:spacing w:val="-11"/>
          <w:sz w:val="24"/>
          <w:szCs w:val="24"/>
        </w:rPr>
        <w:t>类中种类有</w:t>
      </w:r>
      <w:r>
        <w:rPr>
          <w:rFonts w:ascii="宋体" w:hAnsi="宋体" w:eastAsia="宋体" w:cs="宋体"/>
          <w:spacing w:val="-46"/>
          <w:sz w:val="24"/>
          <w:szCs w:val="24"/>
        </w:rPr>
        <w:t xml:space="preserve"> </w:t>
      </w:r>
      <w:r>
        <w:rPr>
          <w:rFonts w:ascii="Times New Roman" w:hAnsi="Times New Roman" w:eastAsia="Times New Roman" w:cs="Times New Roman"/>
          <w:spacing w:val="-11"/>
          <w:sz w:val="24"/>
          <w:szCs w:val="24"/>
        </w:rPr>
        <w:t xml:space="preserve">72 </w:t>
      </w:r>
      <w:r>
        <w:rPr>
          <w:rFonts w:ascii="宋体" w:hAnsi="宋体" w:eastAsia="宋体" w:cs="宋体"/>
          <w:spacing w:val="-11"/>
          <w:sz w:val="24"/>
          <w:szCs w:val="24"/>
        </w:rPr>
        <w:t>种，分为</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 xml:space="preserve">12  </w:t>
      </w:r>
      <w:r>
        <w:rPr>
          <w:rFonts w:ascii="宋体" w:hAnsi="宋体" w:eastAsia="宋体" w:cs="宋体"/>
          <w:spacing w:val="-11"/>
          <w:sz w:val="24"/>
          <w:szCs w:val="24"/>
        </w:rPr>
        <w:t>目、</w:t>
      </w:r>
      <w:r>
        <w:rPr>
          <w:rFonts w:ascii="Times New Roman" w:hAnsi="Times New Roman" w:eastAsia="Times New Roman" w:cs="Times New Roman"/>
          <w:spacing w:val="-11"/>
          <w:sz w:val="24"/>
          <w:szCs w:val="24"/>
        </w:rPr>
        <w:t xml:space="preserve">34 </w:t>
      </w:r>
      <w:r>
        <w:rPr>
          <w:rFonts w:ascii="宋体" w:hAnsi="宋体" w:eastAsia="宋体" w:cs="宋体"/>
          <w:spacing w:val="-11"/>
          <w:sz w:val="24"/>
          <w:szCs w:val="24"/>
        </w:rPr>
        <w:t>科，</w:t>
      </w:r>
      <w:r>
        <w:rPr>
          <w:rFonts w:ascii="宋体" w:hAnsi="宋体" w:eastAsia="宋体" w:cs="宋体"/>
          <w:spacing w:val="-46"/>
          <w:sz w:val="24"/>
          <w:szCs w:val="24"/>
        </w:rPr>
        <w:t xml:space="preserve"> </w:t>
      </w:r>
      <w:r>
        <w:rPr>
          <w:rFonts w:ascii="宋体" w:hAnsi="宋体" w:eastAsia="宋体" w:cs="宋体"/>
          <w:spacing w:val="-11"/>
          <w:sz w:val="24"/>
          <w:szCs w:val="24"/>
        </w:rPr>
        <w:t>主要为东洋界种，</w:t>
      </w:r>
      <w:r>
        <w:rPr>
          <w:rFonts w:ascii="宋体" w:hAnsi="宋体" w:eastAsia="宋体" w:cs="宋体"/>
          <w:spacing w:val="45"/>
          <w:sz w:val="24"/>
          <w:szCs w:val="24"/>
        </w:rPr>
        <w:t xml:space="preserve"> </w:t>
      </w:r>
      <w:r>
        <w:rPr>
          <w:rFonts w:ascii="宋体" w:hAnsi="宋体" w:eastAsia="宋体" w:cs="宋体"/>
          <w:spacing w:val="-11"/>
          <w:sz w:val="24"/>
          <w:szCs w:val="24"/>
        </w:rPr>
        <w:t>其次为古北种和广布种。</w:t>
      </w:r>
    </w:p>
    <w:p>
      <w:pPr>
        <w:spacing w:before="1" w:line="218" w:lineRule="auto"/>
        <w:ind w:left="39"/>
        <w:rPr>
          <w:rFonts w:ascii="宋体" w:hAnsi="宋体" w:eastAsia="宋体" w:cs="宋体"/>
          <w:sz w:val="24"/>
          <w:szCs w:val="24"/>
        </w:rPr>
      </w:pPr>
      <w:r>
        <w:rPr>
          <w:rFonts w:ascii="宋体" w:hAnsi="宋体" w:eastAsia="宋体" w:cs="宋体"/>
          <w:spacing w:val="-9"/>
          <w:sz w:val="24"/>
          <w:szCs w:val="24"/>
        </w:rPr>
        <w:t>兽类共有</w:t>
      </w:r>
      <w:r>
        <w:rPr>
          <w:rFonts w:ascii="宋体" w:hAnsi="宋体" w:eastAsia="宋体" w:cs="宋体"/>
          <w:spacing w:val="-54"/>
          <w:sz w:val="24"/>
          <w:szCs w:val="24"/>
        </w:rPr>
        <w:t xml:space="preserve"> </w:t>
      </w:r>
      <w:r>
        <w:rPr>
          <w:rFonts w:ascii="Times New Roman" w:hAnsi="Times New Roman" w:eastAsia="Times New Roman" w:cs="Times New Roman"/>
          <w:spacing w:val="-9"/>
          <w:sz w:val="24"/>
          <w:szCs w:val="24"/>
        </w:rPr>
        <w:t xml:space="preserve">25 </w:t>
      </w:r>
      <w:r>
        <w:rPr>
          <w:rFonts w:ascii="宋体" w:hAnsi="宋体" w:eastAsia="宋体" w:cs="宋体"/>
          <w:spacing w:val="-9"/>
          <w:sz w:val="24"/>
          <w:szCs w:val="24"/>
        </w:rPr>
        <w:t>种，</w:t>
      </w:r>
      <w:r>
        <w:rPr>
          <w:rFonts w:ascii="宋体" w:hAnsi="宋体" w:eastAsia="宋体" w:cs="宋体"/>
          <w:spacing w:val="-45"/>
          <w:sz w:val="24"/>
          <w:szCs w:val="24"/>
        </w:rPr>
        <w:t xml:space="preserve"> </w:t>
      </w:r>
      <w:r>
        <w:rPr>
          <w:rFonts w:ascii="宋体" w:hAnsi="宋体" w:eastAsia="宋体" w:cs="宋体"/>
          <w:spacing w:val="-9"/>
          <w:sz w:val="24"/>
          <w:szCs w:val="24"/>
        </w:rPr>
        <w:t>分</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 xml:space="preserve">7  </w:t>
      </w:r>
      <w:r>
        <w:rPr>
          <w:rFonts w:ascii="宋体" w:hAnsi="宋体" w:eastAsia="宋体" w:cs="宋体"/>
          <w:spacing w:val="-9"/>
          <w:sz w:val="24"/>
          <w:szCs w:val="24"/>
        </w:rPr>
        <w:t>目、</w:t>
      </w:r>
      <w:r>
        <w:rPr>
          <w:rFonts w:ascii="宋体" w:hAnsi="宋体" w:eastAsia="宋体" w:cs="宋体"/>
          <w:spacing w:val="-62"/>
          <w:sz w:val="24"/>
          <w:szCs w:val="24"/>
        </w:rPr>
        <w:t xml:space="preserve"> </w:t>
      </w:r>
      <w:r>
        <w:rPr>
          <w:rFonts w:ascii="Times New Roman" w:hAnsi="Times New Roman" w:eastAsia="Times New Roman" w:cs="Times New Roman"/>
          <w:spacing w:val="-9"/>
          <w:sz w:val="24"/>
          <w:szCs w:val="24"/>
        </w:rPr>
        <w:t xml:space="preserve">12 </w:t>
      </w:r>
      <w:r>
        <w:rPr>
          <w:rFonts w:ascii="宋体" w:hAnsi="宋体" w:eastAsia="宋体" w:cs="宋体"/>
          <w:spacing w:val="-9"/>
          <w:sz w:val="24"/>
          <w:szCs w:val="24"/>
        </w:rPr>
        <w:t>科，</w:t>
      </w:r>
      <w:r>
        <w:rPr>
          <w:rFonts w:ascii="宋体" w:hAnsi="宋体" w:eastAsia="宋体" w:cs="宋体"/>
          <w:spacing w:val="-47"/>
          <w:sz w:val="24"/>
          <w:szCs w:val="24"/>
        </w:rPr>
        <w:t xml:space="preserve"> </w:t>
      </w:r>
      <w:r>
        <w:rPr>
          <w:rFonts w:ascii="宋体" w:hAnsi="宋体" w:eastAsia="宋体" w:cs="宋体"/>
          <w:spacing w:val="-9"/>
          <w:sz w:val="24"/>
          <w:szCs w:val="24"/>
        </w:rPr>
        <w:t>其中东洋界种占主要地位，其次为广布种和古北</w:t>
      </w:r>
    </w:p>
    <w:p>
      <w:pPr>
        <w:spacing w:line="218" w:lineRule="auto"/>
        <w:rPr>
          <w:rFonts w:ascii="宋体" w:hAnsi="宋体" w:eastAsia="宋体" w:cs="宋体"/>
          <w:sz w:val="24"/>
          <w:szCs w:val="24"/>
        </w:rPr>
        <w:sectPr>
          <w:headerReference r:id="rId228" w:type="default"/>
          <w:footerReference r:id="rId229" w:type="default"/>
          <w:pgSz w:w="11907" w:h="16839"/>
          <w:pgMar w:top="1288" w:right="1614" w:bottom="1151" w:left="1673" w:header="1047" w:footer="990" w:gutter="0"/>
          <w:cols w:space="720" w:num="1"/>
        </w:sectPr>
      </w:pPr>
    </w:p>
    <w:p>
      <w:pPr>
        <w:pStyle w:val="2"/>
        <w:spacing w:line="254" w:lineRule="auto"/>
      </w:pPr>
    </w:p>
    <w:p>
      <w:pPr>
        <w:spacing w:before="78" w:line="220" w:lineRule="auto"/>
        <w:ind w:left="122"/>
        <w:rPr>
          <w:rFonts w:ascii="宋体" w:hAnsi="宋体" w:eastAsia="宋体" w:cs="宋体"/>
          <w:sz w:val="24"/>
          <w:szCs w:val="24"/>
        </w:rPr>
      </w:pPr>
      <w:r>
        <w:rPr>
          <w:rFonts w:ascii="宋体" w:hAnsi="宋体" w:eastAsia="宋体" w:cs="宋体"/>
          <w:spacing w:val="-5"/>
          <w:sz w:val="24"/>
          <w:szCs w:val="24"/>
        </w:rPr>
        <w:t>种。</w:t>
      </w:r>
    </w:p>
    <w:p>
      <w:pPr>
        <w:spacing w:before="181" w:line="218" w:lineRule="auto"/>
        <w:ind w:left="60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）动物资源</w:t>
      </w:r>
    </w:p>
    <w:p>
      <w:pPr>
        <w:spacing w:before="182" w:line="468" w:lineRule="exact"/>
        <w:ind w:left="603"/>
        <w:rPr>
          <w:rFonts w:ascii="宋体" w:hAnsi="宋体" w:eastAsia="宋体" w:cs="宋体"/>
          <w:sz w:val="24"/>
          <w:szCs w:val="24"/>
        </w:rPr>
      </w:pPr>
      <w:r>
        <w:rPr>
          <w:rFonts w:ascii="宋体" w:hAnsi="宋体" w:eastAsia="宋体" w:cs="宋体"/>
          <w:spacing w:val="-1"/>
          <w:position w:val="17"/>
          <w:sz w:val="24"/>
          <w:szCs w:val="24"/>
        </w:rPr>
        <w:t>本次现场调查设置了</w:t>
      </w:r>
      <w:r>
        <w:rPr>
          <w:rFonts w:ascii="宋体" w:hAnsi="宋体" w:eastAsia="宋体" w:cs="宋体"/>
          <w:spacing w:val="-49"/>
          <w:position w:val="17"/>
          <w:sz w:val="24"/>
          <w:szCs w:val="24"/>
        </w:rPr>
        <w:t xml:space="preserve"> </w:t>
      </w:r>
      <w:r>
        <w:rPr>
          <w:rFonts w:ascii="Times New Roman" w:hAnsi="Times New Roman" w:eastAsia="Times New Roman" w:cs="Times New Roman"/>
          <w:spacing w:val="-1"/>
          <w:position w:val="17"/>
          <w:sz w:val="24"/>
          <w:szCs w:val="24"/>
        </w:rPr>
        <w:t xml:space="preserve">3 </w:t>
      </w:r>
      <w:r>
        <w:rPr>
          <w:rFonts w:ascii="宋体" w:hAnsi="宋体" w:eastAsia="宋体" w:cs="宋体"/>
          <w:spacing w:val="-1"/>
          <w:position w:val="17"/>
          <w:sz w:val="24"/>
          <w:szCs w:val="24"/>
        </w:rPr>
        <w:t>条动物样线，具体设置情况见表</w:t>
      </w:r>
      <w:r>
        <w:rPr>
          <w:rFonts w:ascii="宋体" w:hAnsi="宋体" w:eastAsia="宋体" w:cs="宋体"/>
          <w:spacing w:val="-45"/>
          <w:position w:val="17"/>
          <w:sz w:val="24"/>
          <w:szCs w:val="24"/>
        </w:rPr>
        <w:t xml:space="preserve"> </w:t>
      </w:r>
      <w:r>
        <w:rPr>
          <w:rFonts w:ascii="Times New Roman" w:hAnsi="Times New Roman" w:eastAsia="Times New Roman" w:cs="Times New Roman"/>
          <w:spacing w:val="-2"/>
          <w:position w:val="17"/>
          <w:sz w:val="24"/>
          <w:szCs w:val="24"/>
        </w:rPr>
        <w:t>4.5-5</w:t>
      </w:r>
      <w:r>
        <w:rPr>
          <w:rFonts w:ascii="宋体" w:hAnsi="宋体" w:eastAsia="宋体" w:cs="宋体"/>
          <w:spacing w:val="-2"/>
          <w:position w:val="17"/>
          <w:sz w:val="24"/>
          <w:szCs w:val="24"/>
        </w:rPr>
        <w:t>。</w:t>
      </w:r>
    </w:p>
    <w:p>
      <w:pPr>
        <w:spacing w:line="219" w:lineRule="auto"/>
        <w:ind w:left="2593"/>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4.5-5      </w:t>
      </w:r>
      <w:r>
        <w:rPr>
          <w:rFonts w:ascii="宋体" w:hAnsi="宋体" w:eastAsia="宋体" w:cs="宋体"/>
          <w:spacing w:val="-1"/>
          <w:sz w:val="24"/>
          <w:szCs w:val="24"/>
        </w:rPr>
        <w:t>各样线与工程位置关系</w:t>
      </w:r>
    </w:p>
    <w:p>
      <w:pPr>
        <w:spacing w:line="144" w:lineRule="exact"/>
      </w:pPr>
    </w:p>
    <w:tbl>
      <w:tblPr>
        <w:tblStyle w:val="5"/>
        <w:tblW w:w="8682"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5"/>
        <w:gridCol w:w="1264"/>
        <w:gridCol w:w="471"/>
        <w:gridCol w:w="1756"/>
        <w:gridCol w:w="1638"/>
        <w:gridCol w:w="695"/>
        <w:gridCol w:w="598"/>
        <w:gridCol w:w="938"/>
        <w:gridCol w:w="8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475" w:type="dxa"/>
            <w:textDirection w:val="tbRlV"/>
            <w:vAlign w:val="top"/>
          </w:tcPr>
          <w:p>
            <w:pPr>
              <w:pStyle w:val="6"/>
              <w:spacing w:before="131" w:line="211" w:lineRule="auto"/>
              <w:ind w:left="307"/>
            </w:pPr>
            <w:r>
              <w:rPr>
                <w:spacing w:val="31"/>
              </w:rPr>
              <w:t>序号</w:t>
            </w:r>
          </w:p>
        </w:tc>
        <w:tc>
          <w:tcPr>
            <w:tcW w:w="1264" w:type="dxa"/>
            <w:vAlign w:val="top"/>
          </w:tcPr>
          <w:p>
            <w:pPr>
              <w:spacing w:line="374" w:lineRule="auto"/>
              <w:rPr>
                <w:rFonts w:ascii="Arial"/>
                <w:sz w:val="21"/>
              </w:rPr>
            </w:pPr>
          </w:p>
          <w:p>
            <w:pPr>
              <w:pStyle w:val="6"/>
              <w:spacing w:before="68" w:line="221" w:lineRule="auto"/>
              <w:ind w:left="459"/>
            </w:pPr>
            <w:r>
              <w:rPr>
                <w:spacing w:val="-11"/>
              </w:rPr>
              <w:t>日期</w:t>
            </w:r>
          </w:p>
        </w:tc>
        <w:tc>
          <w:tcPr>
            <w:tcW w:w="2227" w:type="dxa"/>
            <w:gridSpan w:val="2"/>
            <w:vAlign w:val="top"/>
          </w:tcPr>
          <w:p>
            <w:pPr>
              <w:spacing w:line="374" w:lineRule="auto"/>
              <w:rPr>
                <w:rFonts w:ascii="Arial"/>
                <w:sz w:val="21"/>
              </w:rPr>
            </w:pPr>
          </w:p>
          <w:p>
            <w:pPr>
              <w:pStyle w:val="6"/>
              <w:spacing w:before="68" w:line="222" w:lineRule="auto"/>
              <w:ind w:left="907"/>
            </w:pPr>
            <w:r>
              <w:rPr>
                <w:spacing w:val="-2"/>
              </w:rPr>
              <w:t>位置</w:t>
            </w:r>
          </w:p>
        </w:tc>
        <w:tc>
          <w:tcPr>
            <w:tcW w:w="1638" w:type="dxa"/>
            <w:vAlign w:val="top"/>
          </w:tcPr>
          <w:p>
            <w:pPr>
              <w:spacing w:line="374" w:lineRule="auto"/>
              <w:rPr>
                <w:rFonts w:ascii="Arial"/>
                <w:sz w:val="21"/>
              </w:rPr>
            </w:pPr>
          </w:p>
          <w:p>
            <w:pPr>
              <w:pStyle w:val="6"/>
              <w:spacing w:before="68" w:line="221" w:lineRule="auto"/>
              <w:ind w:left="508"/>
            </w:pPr>
            <w:r>
              <w:rPr>
                <w:spacing w:val="-2"/>
              </w:rPr>
              <w:t>经纬度</w:t>
            </w:r>
          </w:p>
        </w:tc>
        <w:tc>
          <w:tcPr>
            <w:tcW w:w="695" w:type="dxa"/>
            <w:vAlign w:val="top"/>
          </w:tcPr>
          <w:p>
            <w:pPr>
              <w:pStyle w:val="6"/>
              <w:spacing w:before="188" w:line="243" w:lineRule="auto"/>
              <w:ind w:left="143" w:right="132" w:hanging="1"/>
              <w:jc w:val="both"/>
              <w:rPr>
                <w:rFonts w:ascii="Times New Roman" w:hAnsi="Times New Roman" w:eastAsia="Times New Roman" w:cs="Times New Roman"/>
              </w:rPr>
            </w:pPr>
            <w:r>
              <w:rPr>
                <w:spacing w:val="-3"/>
              </w:rPr>
              <w:t>样线</w:t>
            </w:r>
            <w:r>
              <w:t xml:space="preserve"> </w:t>
            </w:r>
            <w:r>
              <w:rPr>
                <w:spacing w:val="-4"/>
              </w:rPr>
              <w:t>长度</w:t>
            </w:r>
            <w:r>
              <w:t xml:space="preserve"> </w:t>
            </w:r>
            <w:r>
              <w:rPr>
                <w:rFonts w:ascii="Times New Roman" w:hAnsi="Times New Roman" w:eastAsia="Times New Roman" w:cs="Times New Roman"/>
                <w:spacing w:val="12"/>
              </w:rPr>
              <w:t>/km</w:t>
            </w:r>
          </w:p>
        </w:tc>
        <w:tc>
          <w:tcPr>
            <w:tcW w:w="598" w:type="dxa"/>
            <w:vAlign w:val="top"/>
          </w:tcPr>
          <w:p>
            <w:pPr>
              <w:pStyle w:val="6"/>
              <w:spacing w:before="188" w:line="238" w:lineRule="auto"/>
              <w:ind w:left="198"/>
            </w:pPr>
            <w:r>
              <w:t>海</w:t>
            </w:r>
          </w:p>
          <w:p>
            <w:pPr>
              <w:pStyle w:val="6"/>
              <w:spacing w:line="221" w:lineRule="auto"/>
              <w:ind w:left="199"/>
            </w:pPr>
            <w:r>
              <w:t>拔</w:t>
            </w:r>
          </w:p>
          <w:p>
            <w:pPr>
              <w:spacing w:before="40" w:line="233" w:lineRule="auto"/>
              <w:ind w:left="186"/>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938" w:type="dxa"/>
            <w:vAlign w:val="top"/>
          </w:tcPr>
          <w:p>
            <w:pPr>
              <w:pStyle w:val="6"/>
              <w:spacing w:before="309" w:line="233" w:lineRule="auto"/>
              <w:ind w:left="376" w:right="148" w:hanging="216"/>
            </w:pPr>
            <w:r>
              <w:rPr>
                <w:spacing w:val="-3"/>
              </w:rPr>
              <w:t>生境类</w:t>
            </w:r>
            <w:r>
              <w:rPr>
                <w:spacing w:val="1"/>
              </w:rPr>
              <w:t xml:space="preserve"> </w:t>
            </w:r>
            <w:r>
              <w:t>型</w:t>
            </w:r>
          </w:p>
        </w:tc>
        <w:tc>
          <w:tcPr>
            <w:tcW w:w="847" w:type="dxa"/>
            <w:vAlign w:val="top"/>
          </w:tcPr>
          <w:p>
            <w:pPr>
              <w:pStyle w:val="6"/>
              <w:spacing w:before="37" w:line="238" w:lineRule="auto"/>
              <w:ind w:left="218"/>
            </w:pPr>
            <w:r>
              <w:rPr>
                <w:spacing w:val="-2"/>
              </w:rPr>
              <w:t>人为</w:t>
            </w:r>
          </w:p>
          <w:p>
            <w:pPr>
              <w:pStyle w:val="6"/>
              <w:spacing w:line="219" w:lineRule="auto"/>
              <w:ind w:left="216"/>
            </w:pPr>
            <w:r>
              <w:rPr>
                <w:spacing w:val="-2"/>
              </w:rPr>
              <w:t>干扰</w:t>
            </w:r>
          </w:p>
          <w:p>
            <w:pPr>
              <w:pStyle w:val="6"/>
              <w:spacing w:before="21" w:line="234" w:lineRule="auto"/>
              <w:ind w:left="188"/>
              <w:rPr>
                <w:rFonts w:ascii="Times New Roman" w:hAnsi="Times New Roman" w:eastAsia="Times New Roman" w:cs="Times New Roman"/>
              </w:rPr>
            </w:pPr>
            <w:r>
              <w:rPr>
                <w:spacing w:val="-2"/>
              </w:rPr>
              <w:t>类型</w:t>
            </w:r>
            <w:r>
              <w:rPr>
                <w:rFonts w:ascii="Times New Roman" w:hAnsi="Times New Roman" w:eastAsia="Times New Roman" w:cs="Times New Roman"/>
                <w:spacing w:val="-2"/>
              </w:rPr>
              <w:t>/</w:t>
            </w:r>
          </w:p>
          <w:p>
            <w:pPr>
              <w:pStyle w:val="6"/>
              <w:spacing w:before="6" w:line="207" w:lineRule="auto"/>
              <w:ind w:left="222"/>
            </w:pPr>
            <w:r>
              <w:rPr>
                <w:spacing w:val="-3"/>
              </w:rPr>
              <w:t>强度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75" w:type="dxa"/>
            <w:vMerge w:val="restart"/>
            <w:tcBorders>
              <w:bottom w:val="nil"/>
            </w:tcBorders>
            <w:vAlign w:val="top"/>
          </w:tcPr>
          <w:p>
            <w:pPr>
              <w:spacing w:line="422" w:lineRule="auto"/>
              <w:rPr>
                <w:rFonts w:ascii="Arial"/>
                <w:sz w:val="21"/>
              </w:rPr>
            </w:pPr>
          </w:p>
          <w:p>
            <w:pPr>
              <w:spacing w:before="60" w:line="187"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64" w:type="dxa"/>
            <w:vMerge w:val="restart"/>
            <w:tcBorders>
              <w:bottom w:val="nil"/>
            </w:tcBorders>
            <w:vAlign w:val="top"/>
          </w:tcPr>
          <w:p>
            <w:pPr>
              <w:spacing w:line="302" w:lineRule="auto"/>
              <w:rPr>
                <w:rFonts w:ascii="Arial"/>
                <w:sz w:val="21"/>
              </w:rPr>
            </w:pPr>
          </w:p>
          <w:p>
            <w:pPr>
              <w:spacing w:before="60" w:line="213" w:lineRule="auto"/>
              <w:ind w:left="173" w:right="169" w:firstLine="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2023.7.16</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3"/>
                <w:sz w:val="21"/>
                <w:szCs w:val="21"/>
              </w:rPr>
              <w:t>7:30-</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3"/>
                <w:sz w:val="21"/>
                <w:szCs w:val="21"/>
              </w:rPr>
              <w:t>10:00</w:t>
            </w:r>
          </w:p>
        </w:tc>
        <w:tc>
          <w:tcPr>
            <w:tcW w:w="471" w:type="dxa"/>
            <w:textDirection w:val="tbRlV"/>
            <w:vAlign w:val="top"/>
          </w:tcPr>
          <w:p>
            <w:pPr>
              <w:pStyle w:val="6"/>
              <w:spacing w:before="129" w:line="209" w:lineRule="auto"/>
              <w:ind w:left="32"/>
            </w:pPr>
            <w:r>
              <w:rPr>
                <w:spacing w:val="31"/>
              </w:rPr>
              <w:t>起点</w:t>
            </w:r>
          </w:p>
        </w:tc>
        <w:tc>
          <w:tcPr>
            <w:tcW w:w="1756" w:type="dxa"/>
            <w:vAlign w:val="top"/>
          </w:tcPr>
          <w:p>
            <w:pPr>
              <w:pStyle w:val="6"/>
              <w:spacing w:before="32" w:line="220" w:lineRule="auto"/>
              <w:ind w:left="572"/>
            </w:pPr>
            <w:r>
              <w:rPr>
                <w:spacing w:val="-3"/>
              </w:rPr>
              <w:t>蔡处村</w:t>
            </w:r>
          </w:p>
          <w:p>
            <w:pPr>
              <w:pStyle w:val="6"/>
              <w:spacing w:before="21" w:line="208" w:lineRule="auto"/>
              <w:ind w:left="216"/>
            </w:pPr>
            <w:r>
              <w:rPr>
                <w:spacing w:val="-2"/>
              </w:rPr>
              <w:t>（</w:t>
            </w:r>
            <w:r>
              <w:rPr>
                <w:rFonts w:ascii="Times New Roman" w:hAnsi="Times New Roman" w:eastAsia="Times New Roman" w:cs="Times New Roman"/>
                <w:spacing w:val="-2"/>
              </w:rPr>
              <w:t>L1K6+380</w:t>
            </w:r>
            <w:r>
              <w:rPr>
                <w:spacing w:val="-2"/>
              </w:rPr>
              <w:t>）</w:t>
            </w:r>
          </w:p>
        </w:tc>
        <w:tc>
          <w:tcPr>
            <w:tcW w:w="1638" w:type="dxa"/>
            <w:vAlign w:val="top"/>
          </w:tcPr>
          <w:p>
            <w:pPr>
              <w:spacing w:before="84" w:line="215" w:lineRule="auto"/>
              <w:ind w:left="150" w:right="158" w:firstLine="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E:119°58′47.18</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N:27°50′15.28″</w:t>
            </w:r>
          </w:p>
        </w:tc>
        <w:tc>
          <w:tcPr>
            <w:tcW w:w="695" w:type="dxa"/>
            <w:vMerge w:val="restart"/>
            <w:tcBorders>
              <w:bottom w:val="nil"/>
            </w:tcBorders>
            <w:vAlign w:val="top"/>
          </w:tcPr>
          <w:p>
            <w:pPr>
              <w:spacing w:line="421" w:lineRule="auto"/>
              <w:rPr>
                <w:rFonts w:ascii="Arial"/>
                <w:sz w:val="21"/>
              </w:rPr>
            </w:pPr>
          </w:p>
          <w:p>
            <w:pPr>
              <w:spacing w:before="61" w:line="187" w:lineRule="auto"/>
              <w:ind w:left="23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w:t>
            </w:r>
          </w:p>
        </w:tc>
        <w:tc>
          <w:tcPr>
            <w:tcW w:w="598" w:type="dxa"/>
            <w:vMerge w:val="restart"/>
            <w:tcBorders>
              <w:bottom w:val="nil"/>
            </w:tcBorders>
            <w:vAlign w:val="top"/>
          </w:tcPr>
          <w:p>
            <w:pPr>
              <w:spacing w:line="421" w:lineRule="auto"/>
              <w:rPr>
                <w:rFonts w:ascii="Arial"/>
                <w:sz w:val="21"/>
              </w:rPr>
            </w:pPr>
          </w:p>
          <w:p>
            <w:pPr>
              <w:spacing w:before="61"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678</w:t>
            </w:r>
          </w:p>
        </w:tc>
        <w:tc>
          <w:tcPr>
            <w:tcW w:w="938" w:type="dxa"/>
            <w:vMerge w:val="restart"/>
            <w:tcBorders>
              <w:bottom w:val="nil"/>
            </w:tcBorders>
            <w:vAlign w:val="top"/>
          </w:tcPr>
          <w:p>
            <w:pPr>
              <w:pStyle w:val="6"/>
              <w:spacing w:before="37" w:line="234" w:lineRule="auto"/>
              <w:ind w:left="159" w:right="148" w:firstLine="1"/>
            </w:pPr>
            <w:r>
              <w:rPr>
                <w:spacing w:val="-13"/>
              </w:rPr>
              <w:t>水库、</w:t>
            </w:r>
            <w:r>
              <w:t xml:space="preserve"> </w:t>
            </w:r>
            <w:r>
              <w:rPr>
                <w:spacing w:val="-13"/>
              </w:rPr>
              <w:t>林地、</w:t>
            </w:r>
            <w:r>
              <w:rPr>
                <w:spacing w:val="1"/>
              </w:rPr>
              <w:t xml:space="preserve"> </w:t>
            </w:r>
            <w:r>
              <w:rPr>
                <w:spacing w:val="-2"/>
              </w:rPr>
              <w:t>工业园</w:t>
            </w:r>
          </w:p>
          <w:p>
            <w:pPr>
              <w:pStyle w:val="6"/>
              <w:spacing w:before="18" w:line="212" w:lineRule="auto"/>
              <w:ind w:left="385"/>
            </w:pPr>
            <w:r>
              <w:t>区</w:t>
            </w:r>
          </w:p>
        </w:tc>
        <w:tc>
          <w:tcPr>
            <w:tcW w:w="847" w:type="dxa"/>
            <w:vMerge w:val="restart"/>
            <w:tcBorders>
              <w:bottom w:val="nil"/>
            </w:tcBorders>
            <w:vAlign w:val="top"/>
          </w:tcPr>
          <w:p>
            <w:pPr>
              <w:pStyle w:val="6"/>
              <w:spacing w:before="37" w:line="221" w:lineRule="auto"/>
              <w:ind w:left="115"/>
            </w:pPr>
            <w:r>
              <w:rPr>
                <w:spacing w:val="-9"/>
              </w:rPr>
              <w:t>车辆、</w:t>
            </w:r>
          </w:p>
          <w:p>
            <w:pPr>
              <w:pStyle w:val="6"/>
              <w:spacing w:before="20" w:line="222" w:lineRule="auto"/>
              <w:ind w:left="218"/>
            </w:pPr>
            <w:r>
              <w:rPr>
                <w:spacing w:val="-2"/>
              </w:rPr>
              <w:t>人为</w:t>
            </w:r>
          </w:p>
          <w:p>
            <w:pPr>
              <w:pStyle w:val="6"/>
              <w:spacing w:before="21" w:line="238" w:lineRule="auto"/>
              <w:ind w:left="191"/>
              <w:rPr>
                <w:rFonts w:ascii="Times New Roman" w:hAnsi="Times New Roman" w:eastAsia="Times New Roman" w:cs="Times New Roman"/>
              </w:rPr>
            </w:pPr>
            <w:r>
              <w:rPr>
                <w:spacing w:val="-3"/>
              </w:rPr>
              <w:t>活动</w:t>
            </w:r>
            <w:r>
              <w:rPr>
                <w:rFonts w:ascii="Times New Roman" w:hAnsi="Times New Roman" w:eastAsia="Times New Roman" w:cs="Times New Roman"/>
                <w:spacing w:val="-3"/>
              </w:rPr>
              <w:t>/</w:t>
            </w:r>
          </w:p>
          <w:p>
            <w:pPr>
              <w:pStyle w:val="6"/>
              <w:spacing w:line="211" w:lineRule="auto"/>
              <w:ind w:left="342"/>
            </w:pPr>
            <w: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5" w:type="dxa"/>
            <w:vMerge w:val="continue"/>
            <w:tcBorders>
              <w:top w:val="nil"/>
            </w:tcBorders>
            <w:vAlign w:val="top"/>
          </w:tcPr>
          <w:p>
            <w:pPr>
              <w:rPr>
                <w:rFonts w:ascii="Arial"/>
                <w:sz w:val="21"/>
              </w:rPr>
            </w:pPr>
          </w:p>
        </w:tc>
        <w:tc>
          <w:tcPr>
            <w:tcW w:w="1264" w:type="dxa"/>
            <w:vMerge w:val="continue"/>
            <w:tcBorders>
              <w:top w:val="nil"/>
            </w:tcBorders>
            <w:vAlign w:val="top"/>
          </w:tcPr>
          <w:p>
            <w:pPr>
              <w:rPr>
                <w:rFonts w:ascii="Arial"/>
                <w:sz w:val="21"/>
              </w:rPr>
            </w:pPr>
          </w:p>
        </w:tc>
        <w:tc>
          <w:tcPr>
            <w:tcW w:w="471" w:type="dxa"/>
            <w:textDirection w:val="tbRlV"/>
            <w:vAlign w:val="top"/>
          </w:tcPr>
          <w:p>
            <w:pPr>
              <w:pStyle w:val="6"/>
              <w:spacing w:before="128" w:line="207" w:lineRule="auto"/>
              <w:ind w:left="31"/>
            </w:pPr>
            <w:r>
              <w:rPr>
                <w:spacing w:val="31"/>
              </w:rPr>
              <w:t>终点</w:t>
            </w:r>
          </w:p>
        </w:tc>
        <w:tc>
          <w:tcPr>
            <w:tcW w:w="1756" w:type="dxa"/>
            <w:vAlign w:val="top"/>
          </w:tcPr>
          <w:p>
            <w:pPr>
              <w:pStyle w:val="6"/>
              <w:spacing w:before="31" w:line="220" w:lineRule="auto"/>
              <w:ind w:left="565"/>
            </w:pPr>
            <w:r>
              <w:rPr>
                <w:spacing w:val="-2"/>
              </w:rPr>
              <w:t>包垟村</w:t>
            </w:r>
          </w:p>
          <w:p>
            <w:pPr>
              <w:pStyle w:val="6"/>
              <w:spacing w:before="21" w:line="207" w:lineRule="auto"/>
              <w:ind w:left="152"/>
            </w:pPr>
            <w:r>
              <w:rPr>
                <w:spacing w:val="-3"/>
              </w:rPr>
              <w:t>（新建水库尾）</w:t>
            </w:r>
          </w:p>
        </w:tc>
        <w:tc>
          <w:tcPr>
            <w:tcW w:w="1638" w:type="dxa"/>
            <w:vAlign w:val="top"/>
          </w:tcPr>
          <w:p>
            <w:pPr>
              <w:spacing w:before="82" w:line="215" w:lineRule="auto"/>
              <w:ind w:left="150" w:right="158" w:firstLine="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E:119°58′9.21″</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z w:val="21"/>
                <w:szCs w:val="21"/>
              </w:rPr>
              <w:t>N:27°50′14.90″</w:t>
            </w:r>
          </w:p>
        </w:tc>
        <w:tc>
          <w:tcPr>
            <w:tcW w:w="695" w:type="dxa"/>
            <w:vMerge w:val="continue"/>
            <w:tcBorders>
              <w:top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938" w:type="dxa"/>
            <w:vMerge w:val="continue"/>
            <w:tcBorders>
              <w:top w:val="nil"/>
            </w:tcBorders>
            <w:vAlign w:val="top"/>
          </w:tcPr>
          <w:p>
            <w:pPr>
              <w:rPr>
                <w:rFonts w:ascii="Arial"/>
                <w:sz w:val="21"/>
              </w:rPr>
            </w:pPr>
          </w:p>
        </w:tc>
        <w:tc>
          <w:tcPr>
            <w:tcW w:w="84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5"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before="60" w:line="187" w:lineRule="auto"/>
              <w:ind w:left="18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64" w:type="dxa"/>
            <w:vMerge w:val="restart"/>
            <w:tcBorders>
              <w:bottom w:val="nil"/>
            </w:tcBorders>
            <w:vAlign w:val="top"/>
          </w:tcPr>
          <w:p>
            <w:pPr>
              <w:spacing w:line="432" w:lineRule="auto"/>
              <w:rPr>
                <w:rFonts w:ascii="Arial"/>
                <w:sz w:val="21"/>
              </w:rPr>
            </w:pPr>
          </w:p>
          <w:p>
            <w:pPr>
              <w:spacing w:before="60" w:line="213" w:lineRule="auto"/>
              <w:ind w:left="137" w:right="116" w:firstLine="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2023.7.16</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5"/>
                <w:sz w:val="21"/>
                <w:szCs w:val="21"/>
              </w:rPr>
              <w:t>10:30-</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pacing w:val="-5"/>
                <w:sz w:val="21"/>
                <w:szCs w:val="21"/>
              </w:rPr>
              <w:t>12:20</w:t>
            </w:r>
          </w:p>
        </w:tc>
        <w:tc>
          <w:tcPr>
            <w:tcW w:w="471" w:type="dxa"/>
            <w:textDirection w:val="tbRlV"/>
            <w:vAlign w:val="top"/>
          </w:tcPr>
          <w:p>
            <w:pPr>
              <w:pStyle w:val="6"/>
              <w:spacing w:before="129" w:line="209" w:lineRule="auto"/>
              <w:ind w:left="32"/>
            </w:pPr>
            <w:r>
              <w:rPr>
                <w:spacing w:val="31"/>
              </w:rPr>
              <w:t>起点</w:t>
            </w:r>
          </w:p>
        </w:tc>
        <w:tc>
          <w:tcPr>
            <w:tcW w:w="1756" w:type="dxa"/>
            <w:vAlign w:val="top"/>
          </w:tcPr>
          <w:p>
            <w:pPr>
              <w:pStyle w:val="6"/>
              <w:spacing w:before="32" w:line="220" w:lineRule="auto"/>
              <w:ind w:left="565"/>
            </w:pPr>
            <w:r>
              <w:rPr>
                <w:spacing w:val="-2"/>
              </w:rPr>
              <w:t>双田村</w:t>
            </w:r>
          </w:p>
          <w:p>
            <w:pPr>
              <w:pStyle w:val="6"/>
              <w:spacing w:before="21" w:line="207" w:lineRule="auto"/>
              <w:ind w:left="216"/>
            </w:pPr>
            <w:r>
              <w:rPr>
                <w:spacing w:val="-2"/>
              </w:rPr>
              <w:t>（</w:t>
            </w:r>
            <w:r>
              <w:rPr>
                <w:rFonts w:ascii="Times New Roman" w:hAnsi="Times New Roman" w:eastAsia="Times New Roman" w:cs="Times New Roman"/>
                <w:spacing w:val="-2"/>
              </w:rPr>
              <w:t>L1K6+700</w:t>
            </w:r>
            <w:r>
              <w:rPr>
                <w:spacing w:val="-2"/>
              </w:rPr>
              <w:t>）</w:t>
            </w:r>
          </w:p>
        </w:tc>
        <w:tc>
          <w:tcPr>
            <w:tcW w:w="1638" w:type="dxa"/>
            <w:vAlign w:val="top"/>
          </w:tcPr>
          <w:p>
            <w:pPr>
              <w:spacing w:before="83" w:line="215" w:lineRule="auto"/>
              <w:ind w:left="154" w:right="120" w:hanging="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E:119°56′29.64″</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N:27°49′32.11″</w:t>
            </w:r>
          </w:p>
        </w:tc>
        <w:tc>
          <w:tcPr>
            <w:tcW w:w="695" w:type="dxa"/>
            <w:vMerge w:val="restart"/>
            <w:tcBorders>
              <w:bottom w:val="nil"/>
            </w:tcBorders>
            <w:vAlign w:val="top"/>
          </w:tcPr>
          <w:p>
            <w:pPr>
              <w:spacing w:line="275" w:lineRule="auto"/>
              <w:rPr>
                <w:rFonts w:ascii="Arial"/>
                <w:sz w:val="21"/>
              </w:rPr>
            </w:pPr>
          </w:p>
          <w:p>
            <w:pPr>
              <w:spacing w:line="276" w:lineRule="auto"/>
              <w:rPr>
                <w:rFonts w:ascii="Arial"/>
                <w:sz w:val="21"/>
              </w:rPr>
            </w:pPr>
          </w:p>
          <w:p>
            <w:pPr>
              <w:spacing w:before="61" w:line="187" w:lineRule="auto"/>
              <w:ind w:left="23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w:t>
            </w:r>
          </w:p>
        </w:tc>
        <w:tc>
          <w:tcPr>
            <w:tcW w:w="598" w:type="dxa"/>
            <w:vMerge w:val="restart"/>
            <w:tcBorders>
              <w:bottom w:val="nil"/>
            </w:tcBorders>
            <w:vAlign w:val="top"/>
          </w:tcPr>
          <w:p>
            <w:pPr>
              <w:spacing w:line="275" w:lineRule="auto"/>
              <w:rPr>
                <w:rFonts w:ascii="Arial"/>
                <w:sz w:val="21"/>
              </w:rPr>
            </w:pPr>
          </w:p>
          <w:p>
            <w:pPr>
              <w:spacing w:line="276" w:lineRule="auto"/>
              <w:rPr>
                <w:rFonts w:ascii="Arial"/>
                <w:sz w:val="21"/>
              </w:rPr>
            </w:pPr>
          </w:p>
          <w:p>
            <w:pPr>
              <w:spacing w:before="6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440</w:t>
            </w:r>
          </w:p>
        </w:tc>
        <w:tc>
          <w:tcPr>
            <w:tcW w:w="938" w:type="dxa"/>
            <w:vMerge w:val="restart"/>
            <w:tcBorders>
              <w:bottom w:val="nil"/>
            </w:tcBorders>
            <w:vAlign w:val="top"/>
          </w:tcPr>
          <w:p>
            <w:pPr>
              <w:pStyle w:val="6"/>
              <w:spacing w:before="303" w:line="234" w:lineRule="auto"/>
              <w:ind w:left="159" w:right="179"/>
              <w:jc w:val="both"/>
            </w:pPr>
            <w:r>
              <w:rPr>
                <w:spacing w:val="-13"/>
              </w:rPr>
              <w:t>林地、</w:t>
            </w:r>
            <w:r>
              <w:rPr>
                <w:spacing w:val="1"/>
              </w:rPr>
              <w:t xml:space="preserve"> </w:t>
            </w:r>
            <w:r>
              <w:rPr>
                <w:spacing w:val="-13"/>
              </w:rPr>
              <w:t>村庄、</w:t>
            </w:r>
            <w:r>
              <w:rPr>
                <w:spacing w:val="1"/>
              </w:rPr>
              <w:t xml:space="preserve"> </w:t>
            </w:r>
            <w:r>
              <w:rPr>
                <w:spacing w:val="49"/>
              </w:rPr>
              <w:t>农田</w:t>
            </w:r>
          </w:p>
        </w:tc>
        <w:tc>
          <w:tcPr>
            <w:tcW w:w="847" w:type="dxa"/>
            <w:vMerge w:val="restart"/>
            <w:tcBorders>
              <w:bottom w:val="nil"/>
            </w:tcBorders>
            <w:vAlign w:val="top"/>
          </w:tcPr>
          <w:p>
            <w:pPr>
              <w:pStyle w:val="6"/>
              <w:spacing w:before="33" w:line="238" w:lineRule="auto"/>
              <w:ind w:left="191" w:right="134" w:hanging="76"/>
              <w:jc w:val="both"/>
              <w:rPr>
                <w:rFonts w:ascii="Times New Roman" w:hAnsi="Times New Roman" w:eastAsia="Times New Roman" w:cs="Times New Roman"/>
              </w:rPr>
            </w:pPr>
            <w:r>
              <w:rPr>
                <w:spacing w:val="-13"/>
              </w:rPr>
              <w:t>车辆、</w:t>
            </w:r>
            <w:r>
              <w:t xml:space="preserve"> </w:t>
            </w:r>
            <w:r>
              <w:rPr>
                <w:spacing w:val="9"/>
              </w:rPr>
              <w:t>人为</w:t>
            </w:r>
            <w:r>
              <w:t xml:space="preserve"> </w:t>
            </w:r>
            <w:r>
              <w:rPr>
                <w:spacing w:val="9"/>
              </w:rPr>
              <w:t>施工</w:t>
            </w:r>
            <w:r>
              <w:t xml:space="preserve"> </w:t>
            </w:r>
            <w:r>
              <w:rPr>
                <w:spacing w:val="-3"/>
              </w:rPr>
              <w:t>活动</w:t>
            </w:r>
            <w:r>
              <w:rPr>
                <w:rFonts w:ascii="Times New Roman" w:hAnsi="Times New Roman" w:eastAsia="Times New Roman" w:cs="Times New Roman"/>
                <w:spacing w:val="-3"/>
              </w:rPr>
              <w:t>/</w:t>
            </w:r>
          </w:p>
          <w:p>
            <w:pPr>
              <w:pStyle w:val="6"/>
              <w:spacing w:before="6" w:line="204" w:lineRule="auto"/>
              <w:ind w:left="342"/>
            </w:pPr>
            <w: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475" w:type="dxa"/>
            <w:vMerge w:val="continue"/>
            <w:tcBorders>
              <w:top w:val="nil"/>
            </w:tcBorders>
            <w:vAlign w:val="top"/>
          </w:tcPr>
          <w:p>
            <w:pPr>
              <w:rPr>
                <w:rFonts w:ascii="Arial"/>
                <w:sz w:val="21"/>
              </w:rPr>
            </w:pPr>
          </w:p>
        </w:tc>
        <w:tc>
          <w:tcPr>
            <w:tcW w:w="1264" w:type="dxa"/>
            <w:vMerge w:val="continue"/>
            <w:tcBorders>
              <w:top w:val="nil"/>
            </w:tcBorders>
            <w:vAlign w:val="top"/>
          </w:tcPr>
          <w:p>
            <w:pPr>
              <w:rPr>
                <w:rFonts w:ascii="Arial"/>
                <w:sz w:val="21"/>
              </w:rPr>
            </w:pPr>
          </w:p>
        </w:tc>
        <w:tc>
          <w:tcPr>
            <w:tcW w:w="471" w:type="dxa"/>
            <w:textDirection w:val="tbRlV"/>
            <w:vAlign w:val="top"/>
          </w:tcPr>
          <w:p>
            <w:pPr>
              <w:pStyle w:val="6"/>
              <w:spacing w:before="128" w:line="207" w:lineRule="auto"/>
              <w:ind w:left="164"/>
            </w:pPr>
            <w:r>
              <w:rPr>
                <w:spacing w:val="31"/>
              </w:rPr>
              <w:t>终点</w:t>
            </w:r>
          </w:p>
        </w:tc>
        <w:tc>
          <w:tcPr>
            <w:tcW w:w="1756" w:type="dxa"/>
            <w:vAlign w:val="top"/>
          </w:tcPr>
          <w:p>
            <w:pPr>
              <w:pStyle w:val="6"/>
              <w:spacing w:before="163" w:line="236" w:lineRule="auto"/>
              <w:ind w:left="216" w:right="216" w:firstLine="245"/>
            </w:pPr>
            <w:r>
              <w:rPr>
                <w:spacing w:val="-2"/>
              </w:rPr>
              <w:t>竹园竂村</w:t>
            </w:r>
            <w:r>
              <w:t xml:space="preserve">   </w:t>
            </w:r>
            <w:r>
              <w:rPr>
                <w:spacing w:val="-3"/>
              </w:rPr>
              <w:t>（</w:t>
            </w:r>
            <w:r>
              <w:rPr>
                <w:rFonts w:ascii="Times New Roman" w:hAnsi="Times New Roman" w:eastAsia="Times New Roman" w:cs="Times New Roman"/>
                <w:spacing w:val="-3"/>
              </w:rPr>
              <w:t>L2K0+000</w:t>
            </w:r>
            <w:r>
              <w:rPr>
                <w:spacing w:val="-3"/>
              </w:rPr>
              <w:t>）</w:t>
            </w:r>
          </w:p>
        </w:tc>
        <w:tc>
          <w:tcPr>
            <w:tcW w:w="1638" w:type="dxa"/>
            <w:vAlign w:val="top"/>
          </w:tcPr>
          <w:p>
            <w:pPr>
              <w:spacing w:before="215" w:line="215" w:lineRule="auto"/>
              <w:ind w:left="150" w:right="120" w:hanging="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E:119°56′18.53″</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N:27°49′43.67″</w:t>
            </w:r>
          </w:p>
        </w:tc>
        <w:tc>
          <w:tcPr>
            <w:tcW w:w="695" w:type="dxa"/>
            <w:vMerge w:val="continue"/>
            <w:tcBorders>
              <w:top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938" w:type="dxa"/>
            <w:vMerge w:val="continue"/>
            <w:tcBorders>
              <w:top w:val="nil"/>
            </w:tcBorders>
            <w:vAlign w:val="top"/>
          </w:tcPr>
          <w:p>
            <w:pPr>
              <w:rPr>
                <w:rFonts w:ascii="Arial"/>
                <w:sz w:val="21"/>
              </w:rPr>
            </w:pPr>
          </w:p>
        </w:tc>
        <w:tc>
          <w:tcPr>
            <w:tcW w:w="84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5"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before="60" w:line="187" w:lineRule="auto"/>
              <w:ind w:left="18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264" w:type="dxa"/>
            <w:vMerge w:val="restart"/>
            <w:tcBorders>
              <w:bottom w:val="nil"/>
            </w:tcBorders>
            <w:vAlign w:val="top"/>
          </w:tcPr>
          <w:p>
            <w:pPr>
              <w:spacing w:line="438" w:lineRule="auto"/>
              <w:rPr>
                <w:rFonts w:ascii="Arial"/>
                <w:sz w:val="21"/>
              </w:rPr>
            </w:pPr>
          </w:p>
          <w:p>
            <w:pPr>
              <w:spacing w:before="61" w:line="214" w:lineRule="auto"/>
              <w:ind w:left="137" w:right="116" w:firstLine="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2023.7.16</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5"/>
                <w:sz w:val="21"/>
                <w:szCs w:val="21"/>
              </w:rPr>
              <w:t>15:30-</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pacing w:val="-5"/>
                <w:sz w:val="21"/>
                <w:szCs w:val="21"/>
              </w:rPr>
              <w:t>17:50</w:t>
            </w:r>
          </w:p>
        </w:tc>
        <w:tc>
          <w:tcPr>
            <w:tcW w:w="471" w:type="dxa"/>
            <w:textDirection w:val="tbRlV"/>
            <w:vAlign w:val="top"/>
          </w:tcPr>
          <w:p>
            <w:pPr>
              <w:pStyle w:val="6"/>
              <w:spacing w:before="129" w:line="209" w:lineRule="auto"/>
              <w:ind w:left="33"/>
            </w:pPr>
            <w:r>
              <w:rPr>
                <w:spacing w:val="1"/>
              </w:rPr>
              <w:t>起</w:t>
            </w:r>
            <w:r>
              <w:rPr>
                <w:spacing w:val="-43"/>
              </w:rPr>
              <w:t xml:space="preserve"> </w:t>
            </w:r>
            <w:r>
              <w:rPr>
                <w:spacing w:val="1"/>
              </w:rPr>
              <w:t>点</w:t>
            </w:r>
          </w:p>
        </w:tc>
        <w:tc>
          <w:tcPr>
            <w:tcW w:w="1756" w:type="dxa"/>
            <w:vAlign w:val="top"/>
          </w:tcPr>
          <w:p>
            <w:pPr>
              <w:pStyle w:val="6"/>
              <w:spacing w:before="33" w:line="222" w:lineRule="auto"/>
              <w:ind w:left="216" w:right="216" w:firstLine="248"/>
            </w:pPr>
            <w:r>
              <w:rPr>
                <w:spacing w:val="-3"/>
              </w:rPr>
              <w:t>南坑垟村</w:t>
            </w:r>
            <w:r>
              <w:t xml:space="preserve">   </w:t>
            </w:r>
            <w:r>
              <w:rPr>
                <w:spacing w:val="-3"/>
              </w:rPr>
              <w:t>（</w:t>
            </w:r>
            <w:r>
              <w:rPr>
                <w:rFonts w:ascii="Times New Roman" w:hAnsi="Times New Roman" w:eastAsia="Times New Roman" w:cs="Times New Roman"/>
                <w:spacing w:val="-3"/>
              </w:rPr>
              <w:t>L1K0+000</w:t>
            </w:r>
            <w:r>
              <w:rPr>
                <w:spacing w:val="-3"/>
              </w:rPr>
              <w:t>）</w:t>
            </w:r>
          </w:p>
        </w:tc>
        <w:tc>
          <w:tcPr>
            <w:tcW w:w="1638" w:type="dxa"/>
            <w:vAlign w:val="top"/>
          </w:tcPr>
          <w:p>
            <w:pPr>
              <w:spacing w:before="86" w:line="214" w:lineRule="auto"/>
              <w:ind w:left="150" w:right="120" w:hanging="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E:119°56′13.63″</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N:27°48′50.66″</w:t>
            </w:r>
          </w:p>
        </w:tc>
        <w:tc>
          <w:tcPr>
            <w:tcW w:w="695"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before="60" w:line="187" w:lineRule="auto"/>
              <w:ind w:left="23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1.6</w:t>
            </w:r>
          </w:p>
        </w:tc>
        <w:tc>
          <w:tcPr>
            <w:tcW w:w="598"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before="6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938" w:type="dxa"/>
            <w:vMerge w:val="restart"/>
            <w:tcBorders>
              <w:bottom w:val="nil"/>
            </w:tcBorders>
            <w:vAlign w:val="top"/>
          </w:tcPr>
          <w:p>
            <w:pPr>
              <w:spacing w:line="243" w:lineRule="auto"/>
              <w:rPr>
                <w:rFonts w:ascii="Arial"/>
                <w:sz w:val="21"/>
              </w:rPr>
            </w:pPr>
          </w:p>
          <w:p>
            <w:pPr>
              <w:pStyle w:val="6"/>
              <w:spacing w:before="68" w:line="233" w:lineRule="auto"/>
              <w:ind w:left="158" w:right="179"/>
              <w:jc w:val="right"/>
            </w:pPr>
            <w:r>
              <w:rPr>
                <w:spacing w:val="-13"/>
              </w:rPr>
              <w:t>村庄、</w:t>
            </w:r>
            <w:r>
              <w:rPr>
                <w:spacing w:val="1"/>
              </w:rPr>
              <w:t xml:space="preserve"> </w:t>
            </w:r>
            <w:r>
              <w:rPr>
                <w:spacing w:val="-12"/>
              </w:rPr>
              <w:t>农田、</w:t>
            </w:r>
            <w:r>
              <w:t xml:space="preserve"> </w:t>
            </w:r>
            <w:r>
              <w:rPr>
                <w:spacing w:val="-2"/>
              </w:rPr>
              <w:t>林地</w:t>
            </w:r>
          </w:p>
        </w:tc>
        <w:tc>
          <w:tcPr>
            <w:tcW w:w="847" w:type="dxa"/>
            <w:vMerge w:val="restart"/>
            <w:tcBorders>
              <w:bottom w:val="nil"/>
            </w:tcBorders>
            <w:vAlign w:val="top"/>
          </w:tcPr>
          <w:p>
            <w:pPr>
              <w:pStyle w:val="6"/>
              <w:spacing w:before="37" w:line="239" w:lineRule="auto"/>
              <w:ind w:left="191" w:right="134" w:hanging="76"/>
              <w:jc w:val="both"/>
              <w:rPr>
                <w:rFonts w:ascii="Times New Roman" w:hAnsi="Times New Roman" w:eastAsia="Times New Roman" w:cs="Times New Roman"/>
              </w:rPr>
            </w:pPr>
            <w:r>
              <w:rPr>
                <w:spacing w:val="-13"/>
              </w:rPr>
              <w:t>车辆、</w:t>
            </w:r>
            <w:r>
              <w:t xml:space="preserve"> </w:t>
            </w:r>
            <w:r>
              <w:rPr>
                <w:spacing w:val="9"/>
              </w:rPr>
              <w:t>人为</w:t>
            </w:r>
            <w:r>
              <w:t xml:space="preserve"> </w:t>
            </w:r>
            <w:r>
              <w:rPr>
                <w:spacing w:val="9"/>
              </w:rPr>
              <w:t>施工</w:t>
            </w:r>
            <w:r>
              <w:t xml:space="preserve"> </w:t>
            </w:r>
            <w:r>
              <w:rPr>
                <w:spacing w:val="-3"/>
              </w:rPr>
              <w:t>活动</w:t>
            </w:r>
            <w:r>
              <w:rPr>
                <w:rFonts w:ascii="Times New Roman" w:hAnsi="Times New Roman" w:eastAsia="Times New Roman" w:cs="Times New Roman"/>
                <w:spacing w:val="-3"/>
              </w:rPr>
              <w:t>/</w:t>
            </w:r>
          </w:p>
          <w:p>
            <w:pPr>
              <w:pStyle w:val="6"/>
              <w:spacing w:before="4" w:line="213" w:lineRule="auto"/>
              <w:ind w:left="342"/>
            </w:pPr>
            <w: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475" w:type="dxa"/>
            <w:vMerge w:val="continue"/>
            <w:tcBorders>
              <w:top w:val="nil"/>
            </w:tcBorders>
            <w:vAlign w:val="top"/>
          </w:tcPr>
          <w:p>
            <w:pPr>
              <w:rPr>
                <w:rFonts w:ascii="Arial"/>
                <w:sz w:val="21"/>
              </w:rPr>
            </w:pPr>
          </w:p>
        </w:tc>
        <w:tc>
          <w:tcPr>
            <w:tcW w:w="1264" w:type="dxa"/>
            <w:vMerge w:val="continue"/>
            <w:tcBorders>
              <w:top w:val="nil"/>
            </w:tcBorders>
            <w:vAlign w:val="top"/>
          </w:tcPr>
          <w:p>
            <w:pPr>
              <w:rPr>
                <w:rFonts w:ascii="Arial"/>
                <w:sz w:val="21"/>
              </w:rPr>
            </w:pPr>
          </w:p>
        </w:tc>
        <w:tc>
          <w:tcPr>
            <w:tcW w:w="471" w:type="dxa"/>
            <w:textDirection w:val="tbRlV"/>
            <w:vAlign w:val="top"/>
          </w:tcPr>
          <w:p>
            <w:pPr>
              <w:pStyle w:val="6"/>
              <w:spacing w:before="128" w:line="207" w:lineRule="auto"/>
              <w:ind w:left="170"/>
            </w:pPr>
            <w:r>
              <w:rPr>
                <w:spacing w:val="1"/>
              </w:rPr>
              <w:t>终</w:t>
            </w:r>
            <w:r>
              <w:rPr>
                <w:spacing w:val="-43"/>
              </w:rPr>
              <w:t xml:space="preserve"> </w:t>
            </w:r>
            <w:r>
              <w:rPr>
                <w:spacing w:val="1"/>
              </w:rPr>
              <w:t>点</w:t>
            </w:r>
          </w:p>
        </w:tc>
        <w:tc>
          <w:tcPr>
            <w:tcW w:w="1756" w:type="dxa"/>
            <w:vAlign w:val="top"/>
          </w:tcPr>
          <w:p>
            <w:pPr>
              <w:pStyle w:val="6"/>
              <w:spacing w:before="36" w:line="220" w:lineRule="auto"/>
              <w:ind w:left="569"/>
            </w:pPr>
            <w:r>
              <w:rPr>
                <w:spacing w:val="-2"/>
              </w:rPr>
              <w:t>前垟村</w:t>
            </w:r>
          </w:p>
          <w:p>
            <w:pPr>
              <w:pStyle w:val="6"/>
              <w:spacing w:before="21" w:line="221" w:lineRule="auto"/>
              <w:ind w:left="257"/>
            </w:pPr>
            <w:r>
              <w:rPr>
                <w:spacing w:val="-2"/>
              </w:rPr>
              <w:t>（双坑隧道南</w:t>
            </w:r>
          </w:p>
          <w:p>
            <w:pPr>
              <w:pStyle w:val="6"/>
              <w:spacing w:before="19" w:line="209" w:lineRule="auto"/>
              <w:ind w:left="669"/>
            </w:pPr>
            <w:r>
              <w:rPr>
                <w:spacing w:val="-5"/>
              </w:rPr>
              <w:t>侧）</w:t>
            </w:r>
          </w:p>
        </w:tc>
        <w:tc>
          <w:tcPr>
            <w:tcW w:w="1638" w:type="dxa"/>
            <w:vAlign w:val="top"/>
          </w:tcPr>
          <w:p>
            <w:pPr>
              <w:spacing w:before="223" w:line="214" w:lineRule="auto"/>
              <w:ind w:left="150" w:right="120" w:hanging="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E:119°56′25.48″</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z w:val="21"/>
                <w:szCs w:val="21"/>
              </w:rPr>
              <w:t>N:27°48′19.83″</w:t>
            </w:r>
          </w:p>
        </w:tc>
        <w:tc>
          <w:tcPr>
            <w:tcW w:w="695" w:type="dxa"/>
            <w:vMerge w:val="continue"/>
            <w:tcBorders>
              <w:top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938" w:type="dxa"/>
            <w:vMerge w:val="continue"/>
            <w:tcBorders>
              <w:top w:val="nil"/>
            </w:tcBorders>
            <w:vAlign w:val="top"/>
          </w:tcPr>
          <w:p>
            <w:pPr>
              <w:rPr>
                <w:rFonts w:ascii="Arial"/>
                <w:sz w:val="21"/>
              </w:rPr>
            </w:pPr>
          </w:p>
        </w:tc>
        <w:tc>
          <w:tcPr>
            <w:tcW w:w="847" w:type="dxa"/>
            <w:vMerge w:val="continue"/>
            <w:tcBorders>
              <w:top w:val="nil"/>
            </w:tcBorders>
            <w:vAlign w:val="top"/>
          </w:tcPr>
          <w:p>
            <w:pPr>
              <w:rPr>
                <w:rFonts w:ascii="Arial"/>
                <w:sz w:val="21"/>
              </w:rPr>
            </w:pPr>
          </w:p>
        </w:tc>
      </w:tr>
    </w:tbl>
    <w:p>
      <w:pPr>
        <w:pStyle w:val="2"/>
        <w:spacing w:line="370" w:lineRule="auto"/>
      </w:pPr>
    </w:p>
    <w:p>
      <w:pPr>
        <w:spacing w:before="78" w:line="359" w:lineRule="auto"/>
        <w:ind w:left="126" w:right="3" w:firstLine="476"/>
        <w:jc w:val="both"/>
        <w:rPr>
          <w:rFonts w:ascii="Times New Roman" w:hAnsi="Times New Roman" w:eastAsia="Times New Roman" w:cs="Times New Roman"/>
          <w:sz w:val="24"/>
          <w:szCs w:val="24"/>
        </w:rPr>
      </w:pPr>
      <w:r>
        <w:rPr>
          <w:rFonts w:hint="eastAsia" w:ascii="宋体" w:hAnsi="宋体" w:eastAsia="宋体" w:cs="宋体"/>
          <w:spacing w:val="-6"/>
          <w:sz w:val="24"/>
          <w:szCs w:val="24"/>
          <w:lang w:eastAsia="zh-CN"/>
        </w:rPr>
        <w:t>根据</w:t>
      </w:r>
      <w:r>
        <w:rPr>
          <w:rFonts w:ascii="宋体" w:hAnsi="宋体" w:eastAsia="宋体" w:cs="宋体"/>
          <w:spacing w:val="-6"/>
          <w:sz w:val="24"/>
          <w:szCs w:val="24"/>
        </w:rPr>
        <w:t>实地考察及对相关资料进行综合分析， 评价区内共有陆生脊椎动物</w:t>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7"/>
          <w:sz w:val="24"/>
          <w:szCs w:val="24"/>
        </w:rPr>
        <w:t xml:space="preserve">  </w:t>
      </w:r>
      <w:r>
        <w:rPr>
          <w:rFonts w:ascii="宋体" w:hAnsi="宋体" w:eastAsia="宋体" w:cs="宋体"/>
          <w:spacing w:val="-9"/>
          <w:sz w:val="24"/>
          <w:szCs w:val="24"/>
        </w:rPr>
        <w:t>纲</w:t>
      </w:r>
      <w:r>
        <w:rPr>
          <w:rFonts w:ascii="宋体" w:hAnsi="宋体" w:eastAsia="宋体" w:cs="宋体"/>
          <w:spacing w:val="-53"/>
          <w:sz w:val="24"/>
          <w:szCs w:val="24"/>
        </w:rPr>
        <w:t xml:space="preserve"> </w:t>
      </w:r>
      <w:r>
        <w:rPr>
          <w:rFonts w:ascii="Times New Roman" w:hAnsi="Times New Roman" w:eastAsia="Times New Roman" w:cs="Times New Roman"/>
          <w:spacing w:val="-9"/>
          <w:sz w:val="24"/>
          <w:szCs w:val="24"/>
        </w:rPr>
        <w:t xml:space="preserve">22  </w:t>
      </w:r>
      <w:r>
        <w:rPr>
          <w:rFonts w:ascii="宋体" w:hAnsi="宋体" w:eastAsia="宋体" w:cs="宋体"/>
          <w:spacing w:val="-9"/>
          <w:sz w:val="24"/>
          <w:szCs w:val="24"/>
        </w:rPr>
        <w:t>目</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 xml:space="preserve">60 </w:t>
      </w:r>
      <w:r>
        <w:rPr>
          <w:rFonts w:ascii="宋体" w:hAnsi="宋体" w:eastAsia="宋体" w:cs="宋体"/>
          <w:spacing w:val="-9"/>
          <w:sz w:val="24"/>
          <w:szCs w:val="24"/>
        </w:rPr>
        <w:t>科</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 xml:space="preserve">128 </w:t>
      </w:r>
      <w:r>
        <w:rPr>
          <w:rFonts w:ascii="宋体" w:hAnsi="宋体" w:eastAsia="宋体" w:cs="宋体"/>
          <w:spacing w:val="-9"/>
          <w:sz w:val="24"/>
          <w:szCs w:val="24"/>
        </w:rPr>
        <w:t>种；国家</w:t>
      </w:r>
      <w:r>
        <w:rPr>
          <w:rFonts w:ascii="Times New Roman" w:hAnsi="Times New Roman" w:eastAsia="Times New Roman" w:cs="Times New Roman"/>
          <w:spacing w:val="-9"/>
          <w:sz w:val="24"/>
          <w:szCs w:val="24"/>
        </w:rPr>
        <w:t>Ⅱ</w:t>
      </w:r>
      <w:r>
        <w:rPr>
          <w:rFonts w:ascii="宋体" w:hAnsi="宋体" w:eastAsia="宋体" w:cs="宋体"/>
          <w:spacing w:val="-9"/>
          <w:sz w:val="24"/>
          <w:szCs w:val="24"/>
        </w:rPr>
        <w:t>级重点保护野生动物</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 xml:space="preserve">9 </w:t>
      </w:r>
      <w:r>
        <w:rPr>
          <w:rFonts w:ascii="宋体" w:hAnsi="宋体" w:eastAsia="宋体" w:cs="宋体"/>
          <w:spacing w:val="-9"/>
          <w:sz w:val="24"/>
          <w:szCs w:val="24"/>
        </w:rPr>
        <w:t>种（白鹇</w:t>
      </w:r>
      <w:r>
        <w:rPr>
          <w:rFonts w:ascii="宋体" w:hAnsi="宋体" w:eastAsia="宋体" w:cs="宋体"/>
          <w:spacing w:val="-53"/>
          <w:sz w:val="24"/>
          <w:szCs w:val="24"/>
        </w:rPr>
        <w:t xml:space="preserve"> </w:t>
      </w:r>
      <w:r>
        <w:rPr>
          <w:rFonts w:ascii="Times New Roman" w:hAnsi="Times New Roman" w:eastAsia="Times New Roman" w:cs="Times New Roman"/>
          <w:i/>
          <w:iCs/>
          <w:spacing w:val="-9"/>
          <w:sz w:val="24"/>
          <w:szCs w:val="24"/>
        </w:rPr>
        <w:t>Lophura nycthemera</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2"/>
          <w:sz w:val="24"/>
          <w:szCs w:val="24"/>
        </w:rPr>
        <w:t>赤腹鹰（</w:t>
      </w:r>
      <w:r>
        <w:rPr>
          <w:rFonts w:ascii="Times New Roman" w:hAnsi="Times New Roman" w:eastAsia="Times New Roman" w:cs="Times New Roman"/>
          <w:i/>
          <w:iCs/>
          <w:spacing w:val="-2"/>
          <w:sz w:val="24"/>
          <w:szCs w:val="24"/>
        </w:rPr>
        <w:t>Accipiter soloensis</w:t>
      </w:r>
      <w:r>
        <w:rPr>
          <w:rFonts w:ascii="宋体" w:hAnsi="宋体" w:eastAsia="宋体" w:cs="宋体"/>
          <w:spacing w:val="-2"/>
          <w:sz w:val="24"/>
          <w:szCs w:val="24"/>
        </w:rPr>
        <w:t>）、凤头鹰（</w:t>
      </w:r>
      <w:r>
        <w:rPr>
          <w:rFonts w:ascii="Times New Roman" w:hAnsi="Times New Roman" w:eastAsia="Times New Roman" w:cs="Times New Roman"/>
          <w:i/>
          <w:iCs/>
          <w:spacing w:val="-2"/>
          <w:sz w:val="24"/>
          <w:szCs w:val="24"/>
        </w:rPr>
        <w:t>Accipiter trivirgatus</w:t>
      </w:r>
      <w:r>
        <w:rPr>
          <w:rFonts w:ascii="宋体" w:hAnsi="宋体" w:eastAsia="宋体" w:cs="宋体"/>
          <w:spacing w:val="-2"/>
          <w:sz w:val="24"/>
          <w:szCs w:val="24"/>
        </w:rPr>
        <w:t>）、黑冠鹃隼（</w:t>
      </w:r>
      <w:r>
        <w:rPr>
          <w:rFonts w:ascii="Times New Roman" w:hAnsi="Times New Roman" w:eastAsia="Times New Roman" w:cs="Times New Roman"/>
          <w:i/>
          <w:iCs/>
          <w:spacing w:val="-2"/>
          <w:sz w:val="24"/>
          <w:szCs w:val="24"/>
        </w:rPr>
        <w:t>Aviceda</w:t>
      </w:r>
    </w:p>
    <w:p>
      <w:pPr>
        <w:spacing w:before="1" w:line="212" w:lineRule="auto"/>
        <w:ind w:left="122"/>
        <w:rPr>
          <w:rFonts w:ascii="宋体" w:hAnsi="宋体" w:eastAsia="宋体" w:cs="宋体"/>
          <w:sz w:val="24"/>
          <w:szCs w:val="24"/>
        </w:rPr>
      </w:pPr>
      <w:r>
        <w:rPr>
          <w:rFonts w:ascii="Times New Roman" w:hAnsi="Times New Roman" w:eastAsia="Times New Roman" w:cs="Times New Roman"/>
          <w:i/>
          <w:iCs/>
          <w:sz w:val="24"/>
          <w:szCs w:val="24"/>
        </w:rPr>
        <w:t>leuphotes</w:t>
      </w:r>
      <w:r>
        <w:rPr>
          <w:rFonts w:ascii="宋体" w:hAnsi="宋体" w:eastAsia="宋体" w:cs="宋体"/>
          <w:sz w:val="24"/>
          <w:szCs w:val="24"/>
        </w:rPr>
        <w:t>）、林雕（</w:t>
      </w:r>
      <w:r>
        <w:rPr>
          <w:rFonts w:ascii="Times New Roman" w:hAnsi="Times New Roman" w:eastAsia="Times New Roman" w:cs="Times New Roman"/>
          <w:i/>
          <w:iCs/>
          <w:sz w:val="24"/>
          <w:szCs w:val="24"/>
        </w:rPr>
        <w:t>Ictinaetus</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i/>
          <w:iCs/>
          <w:sz w:val="24"/>
          <w:szCs w:val="24"/>
        </w:rPr>
        <w:t>malaiensis</w:t>
      </w:r>
      <w:r>
        <w:rPr>
          <w:rFonts w:ascii="宋体" w:hAnsi="宋体" w:eastAsia="宋体" w:cs="宋体"/>
          <w:sz w:val="24"/>
          <w:szCs w:val="24"/>
        </w:rPr>
        <w:t>）、领鸺鹠（</w:t>
      </w:r>
      <w:r>
        <w:rPr>
          <w:rFonts w:ascii="Times New Roman" w:hAnsi="Times New Roman" w:eastAsia="Times New Roman" w:cs="Times New Roman"/>
          <w:i/>
          <w:iCs/>
          <w:sz w:val="24"/>
          <w:szCs w:val="24"/>
        </w:rPr>
        <w:t>Glauci</w:t>
      </w:r>
      <w:r>
        <w:rPr>
          <w:rFonts w:ascii="Times New Roman" w:hAnsi="Times New Roman" w:eastAsia="Times New Roman" w:cs="Times New Roman"/>
          <w:i/>
          <w:iCs/>
          <w:spacing w:val="-1"/>
          <w:sz w:val="24"/>
          <w:szCs w:val="24"/>
        </w:rPr>
        <w:t>dium</w:t>
      </w:r>
      <w:r>
        <w:rPr>
          <w:rFonts w:ascii="Times New Roman" w:hAnsi="Times New Roman" w:eastAsia="Times New Roman" w:cs="Times New Roman"/>
          <w:i/>
          <w:iCs/>
          <w:spacing w:val="36"/>
          <w:w w:val="101"/>
          <w:sz w:val="24"/>
          <w:szCs w:val="24"/>
        </w:rPr>
        <w:t xml:space="preserve"> </w:t>
      </w:r>
      <w:r>
        <w:rPr>
          <w:rFonts w:ascii="Times New Roman" w:hAnsi="Times New Roman" w:eastAsia="Times New Roman" w:cs="Times New Roman"/>
          <w:i/>
          <w:iCs/>
          <w:spacing w:val="-1"/>
          <w:sz w:val="24"/>
          <w:szCs w:val="24"/>
        </w:rPr>
        <w:t>brodiei</w:t>
      </w:r>
      <w:r>
        <w:rPr>
          <w:rFonts w:ascii="宋体" w:hAnsi="宋体" w:eastAsia="宋体" w:cs="宋体"/>
          <w:spacing w:val="-1"/>
          <w:sz w:val="24"/>
          <w:szCs w:val="24"/>
        </w:rPr>
        <w:t>）、红隼</w:t>
      </w:r>
    </w:p>
    <w:p>
      <w:pPr>
        <w:spacing w:before="192" w:line="376" w:lineRule="auto"/>
        <w:ind w:left="123" w:right="89" w:firstLine="5"/>
        <w:jc w:val="both"/>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i/>
          <w:iCs/>
          <w:sz w:val="24"/>
          <w:szCs w:val="24"/>
        </w:rPr>
        <w:t>Falco tinnunculus</w:t>
      </w:r>
      <w:r>
        <w:rPr>
          <w:rFonts w:ascii="宋体" w:hAnsi="宋体" w:eastAsia="宋体" w:cs="宋体"/>
          <w:sz w:val="24"/>
          <w:szCs w:val="24"/>
        </w:rPr>
        <w:t>）、画眉（</w:t>
      </w:r>
      <w:r>
        <w:rPr>
          <w:rFonts w:ascii="Times New Roman" w:hAnsi="Times New Roman" w:eastAsia="Times New Roman" w:cs="Times New Roman"/>
          <w:i/>
          <w:iCs/>
          <w:sz w:val="24"/>
          <w:szCs w:val="24"/>
        </w:rPr>
        <w:t>Garrulax canorus</w:t>
      </w:r>
      <w:r>
        <w:rPr>
          <w:rFonts w:ascii="宋体" w:hAnsi="宋体" w:eastAsia="宋体" w:cs="宋体"/>
          <w:sz w:val="24"/>
          <w:szCs w:val="24"/>
        </w:rPr>
        <w:t>）、短尾猴（</w:t>
      </w:r>
      <w:r>
        <w:rPr>
          <w:rFonts w:ascii="Times New Roman" w:hAnsi="Times New Roman" w:eastAsia="Times New Roman" w:cs="Times New Roman"/>
          <w:i/>
          <w:iCs/>
          <w:spacing w:val="-1"/>
          <w:sz w:val="24"/>
          <w:szCs w:val="24"/>
        </w:rPr>
        <w:t>Macaca arctoides</w:t>
      </w:r>
      <w:r>
        <w:rPr>
          <w:rFonts w:ascii="宋体" w:hAnsi="宋体" w:eastAsia="宋体" w:cs="宋体"/>
          <w:spacing w:val="-24"/>
          <w:sz w:val="24"/>
          <w:szCs w:val="24"/>
        </w:rPr>
        <w:t>），</w:t>
      </w:r>
      <w:r>
        <w:rPr>
          <w:rFonts w:ascii="宋体" w:hAnsi="宋体" w:eastAsia="宋体" w:cs="宋体"/>
          <w:sz w:val="24"/>
          <w:szCs w:val="24"/>
        </w:rPr>
        <w:t xml:space="preserve"> </w:t>
      </w:r>
      <w:r>
        <w:rPr>
          <w:rFonts w:ascii="宋体" w:hAnsi="宋体" w:eastAsia="宋体" w:cs="宋体"/>
          <w:spacing w:val="-3"/>
          <w:sz w:val="24"/>
          <w:szCs w:val="24"/>
        </w:rPr>
        <w:t xml:space="preserve">浙江省级重点保护野生动物 </w:t>
      </w:r>
      <w:r>
        <w:rPr>
          <w:rFonts w:ascii="Times New Roman" w:hAnsi="Times New Roman" w:eastAsia="Times New Roman" w:cs="Times New Roman"/>
          <w:spacing w:val="-3"/>
          <w:sz w:val="24"/>
          <w:szCs w:val="24"/>
        </w:rPr>
        <w:t xml:space="preserve">15  </w:t>
      </w:r>
      <w:r>
        <w:rPr>
          <w:rFonts w:ascii="宋体" w:hAnsi="宋体" w:eastAsia="宋体" w:cs="宋体"/>
          <w:spacing w:val="-3"/>
          <w:sz w:val="24"/>
          <w:szCs w:val="24"/>
        </w:rPr>
        <w:t xml:space="preserve">种，中国特有种 </w:t>
      </w:r>
      <w:r>
        <w:rPr>
          <w:rFonts w:ascii="Times New Roman" w:hAnsi="Times New Roman" w:eastAsia="Times New Roman" w:cs="Times New Roman"/>
          <w:spacing w:val="-3"/>
          <w:sz w:val="24"/>
          <w:szCs w:val="24"/>
        </w:rPr>
        <w:t xml:space="preserve">6  </w:t>
      </w:r>
      <w:r>
        <w:rPr>
          <w:rFonts w:ascii="宋体" w:hAnsi="宋体" w:eastAsia="宋体" w:cs="宋体"/>
          <w:spacing w:val="-3"/>
          <w:sz w:val="24"/>
          <w:szCs w:val="24"/>
        </w:rPr>
        <w:t>种。</w:t>
      </w:r>
      <w:r>
        <w:rPr>
          <w:rFonts w:ascii="宋体" w:hAnsi="宋体" w:eastAsia="宋体" w:cs="宋体"/>
          <w:spacing w:val="-23"/>
          <w:sz w:val="24"/>
          <w:szCs w:val="24"/>
        </w:rPr>
        <w:t xml:space="preserve"> </w:t>
      </w:r>
      <w:r>
        <w:rPr>
          <w:rFonts w:ascii="宋体" w:hAnsi="宋体" w:eastAsia="宋体" w:cs="宋体"/>
          <w:spacing w:val="-3"/>
          <w:sz w:val="24"/>
          <w:szCs w:val="24"/>
        </w:rPr>
        <w:t>评价区陆生动物组成见表</w:t>
      </w:r>
    </w:p>
    <w:p>
      <w:pPr>
        <w:spacing w:before="1" w:line="178" w:lineRule="auto"/>
        <w:ind w:left="116"/>
        <w:rPr>
          <w:rFonts w:ascii="宋体" w:hAnsi="宋体" w:eastAsia="宋体" w:cs="宋体"/>
          <w:sz w:val="24"/>
          <w:szCs w:val="24"/>
        </w:rPr>
      </w:pPr>
      <w:r>
        <w:rPr>
          <w:rFonts w:ascii="Times New Roman" w:hAnsi="Times New Roman" w:eastAsia="Times New Roman" w:cs="Times New Roman"/>
          <w:spacing w:val="-1"/>
          <w:sz w:val="24"/>
          <w:szCs w:val="24"/>
        </w:rPr>
        <w:t>4.5-6</w:t>
      </w:r>
      <w:r>
        <w:rPr>
          <w:rFonts w:ascii="宋体" w:hAnsi="宋体" w:eastAsia="宋体" w:cs="宋体"/>
          <w:spacing w:val="-1"/>
          <w:sz w:val="24"/>
          <w:szCs w:val="24"/>
        </w:rPr>
        <w:t>。</w:t>
      </w:r>
    </w:p>
    <w:p>
      <w:pPr>
        <w:spacing w:before="189" w:line="219" w:lineRule="auto"/>
        <w:ind w:left="1753"/>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4.5-6          </w:t>
      </w:r>
      <w:r>
        <w:rPr>
          <w:rFonts w:ascii="宋体" w:hAnsi="宋体" w:eastAsia="宋体" w:cs="宋体"/>
          <w:spacing w:val="-1"/>
          <w:sz w:val="24"/>
          <w:szCs w:val="24"/>
        </w:rPr>
        <w:t>工程沿线野生重点保护植物分布现状</w:t>
      </w:r>
    </w:p>
    <w:p>
      <w:pPr>
        <w:spacing w:line="148"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2"/>
        <w:gridCol w:w="1555"/>
        <w:gridCol w:w="1554"/>
        <w:gridCol w:w="23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3092" w:type="dxa"/>
            <w:vAlign w:val="top"/>
          </w:tcPr>
          <w:p>
            <w:pPr>
              <w:pStyle w:val="6"/>
              <w:spacing w:before="57" w:line="221" w:lineRule="auto"/>
              <w:ind w:left="1445"/>
            </w:pPr>
            <w:r>
              <w:t>类</w:t>
            </w:r>
          </w:p>
        </w:tc>
        <w:tc>
          <w:tcPr>
            <w:tcW w:w="1555" w:type="dxa"/>
            <w:vAlign w:val="top"/>
          </w:tcPr>
          <w:p>
            <w:pPr>
              <w:pStyle w:val="6"/>
              <w:spacing w:before="58" w:line="223" w:lineRule="auto"/>
              <w:ind w:left="717"/>
            </w:pPr>
            <w:r>
              <w:t>目</w:t>
            </w:r>
          </w:p>
        </w:tc>
        <w:tc>
          <w:tcPr>
            <w:tcW w:w="1554" w:type="dxa"/>
            <w:vAlign w:val="top"/>
          </w:tcPr>
          <w:p>
            <w:pPr>
              <w:pStyle w:val="6"/>
              <w:spacing w:before="58" w:line="220" w:lineRule="auto"/>
              <w:ind w:left="677"/>
            </w:pPr>
            <w:r>
              <w:t>科</w:t>
            </w:r>
          </w:p>
        </w:tc>
        <w:tc>
          <w:tcPr>
            <w:tcW w:w="2327" w:type="dxa"/>
            <w:vAlign w:val="top"/>
          </w:tcPr>
          <w:p>
            <w:pPr>
              <w:pStyle w:val="6"/>
              <w:spacing w:before="58" w:line="221" w:lineRule="auto"/>
              <w:ind w:left="1063"/>
            </w:pPr>
            <w:r>
              <w:t>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3092" w:type="dxa"/>
            <w:vAlign w:val="top"/>
          </w:tcPr>
          <w:p>
            <w:pPr>
              <w:pStyle w:val="6"/>
              <w:spacing w:before="54" w:line="221" w:lineRule="auto"/>
              <w:ind w:left="1237"/>
            </w:pPr>
            <w:r>
              <w:rPr>
                <w:spacing w:val="-2"/>
              </w:rPr>
              <w:t>两栖类</w:t>
            </w:r>
          </w:p>
        </w:tc>
        <w:tc>
          <w:tcPr>
            <w:tcW w:w="1555" w:type="dxa"/>
            <w:vAlign w:val="top"/>
          </w:tcPr>
          <w:p>
            <w:pPr>
              <w:spacing w:before="93" w:line="187" w:lineRule="auto"/>
              <w:ind w:left="72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54" w:type="dxa"/>
            <w:vAlign w:val="top"/>
          </w:tcPr>
          <w:p>
            <w:pPr>
              <w:spacing w:before="96" w:line="184" w:lineRule="auto"/>
              <w:ind w:left="730"/>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327" w:type="dxa"/>
            <w:vAlign w:val="top"/>
          </w:tcPr>
          <w:p>
            <w:pPr>
              <w:spacing w:before="93" w:line="187" w:lineRule="auto"/>
              <w:ind w:left="10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3092" w:type="dxa"/>
            <w:vAlign w:val="top"/>
          </w:tcPr>
          <w:p>
            <w:pPr>
              <w:pStyle w:val="6"/>
              <w:spacing w:before="55" w:line="221" w:lineRule="auto"/>
              <w:ind w:left="1235"/>
            </w:pPr>
            <w:r>
              <w:rPr>
                <w:spacing w:val="-1"/>
              </w:rPr>
              <w:t>爬行类</w:t>
            </w:r>
          </w:p>
        </w:tc>
        <w:tc>
          <w:tcPr>
            <w:tcW w:w="1555" w:type="dxa"/>
            <w:vAlign w:val="top"/>
          </w:tcPr>
          <w:p>
            <w:pPr>
              <w:spacing w:before="94" w:line="187" w:lineRule="auto"/>
              <w:ind w:left="74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4" w:type="dxa"/>
            <w:vAlign w:val="top"/>
          </w:tcPr>
          <w:p>
            <w:pPr>
              <w:spacing w:before="97" w:line="184" w:lineRule="auto"/>
              <w:ind w:left="730"/>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327" w:type="dxa"/>
            <w:vAlign w:val="top"/>
          </w:tcPr>
          <w:p>
            <w:pPr>
              <w:spacing w:before="94" w:line="187" w:lineRule="auto"/>
              <w:ind w:left="108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3092" w:type="dxa"/>
            <w:vAlign w:val="top"/>
          </w:tcPr>
          <w:p>
            <w:pPr>
              <w:pStyle w:val="6"/>
              <w:spacing w:before="56" w:line="221" w:lineRule="auto"/>
              <w:ind w:left="1346"/>
            </w:pPr>
            <w:r>
              <w:rPr>
                <w:spacing w:val="-3"/>
              </w:rPr>
              <w:t>鸟类</w:t>
            </w:r>
          </w:p>
        </w:tc>
        <w:tc>
          <w:tcPr>
            <w:tcW w:w="1555" w:type="dxa"/>
            <w:vAlign w:val="top"/>
          </w:tcPr>
          <w:p>
            <w:pPr>
              <w:spacing w:before="95" w:line="187" w:lineRule="auto"/>
              <w:ind w:left="6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554" w:type="dxa"/>
            <w:vAlign w:val="top"/>
          </w:tcPr>
          <w:p>
            <w:pPr>
              <w:spacing w:before="95" w:line="187" w:lineRule="auto"/>
              <w:ind w:left="6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2327" w:type="dxa"/>
            <w:vAlign w:val="top"/>
          </w:tcPr>
          <w:p>
            <w:pPr>
              <w:spacing w:before="95" w:line="187" w:lineRule="auto"/>
              <w:ind w:left="10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3092" w:type="dxa"/>
            <w:vAlign w:val="top"/>
          </w:tcPr>
          <w:p>
            <w:pPr>
              <w:pStyle w:val="6"/>
              <w:spacing w:before="57" w:line="221" w:lineRule="auto"/>
              <w:ind w:left="1343"/>
            </w:pPr>
            <w:r>
              <w:rPr>
                <w:spacing w:val="-2"/>
              </w:rPr>
              <w:t>兽类</w:t>
            </w:r>
          </w:p>
        </w:tc>
        <w:tc>
          <w:tcPr>
            <w:tcW w:w="1555" w:type="dxa"/>
            <w:vAlign w:val="top"/>
          </w:tcPr>
          <w:p>
            <w:pPr>
              <w:spacing w:before="99" w:line="184" w:lineRule="auto"/>
              <w:ind w:left="729"/>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54" w:type="dxa"/>
            <w:vAlign w:val="top"/>
          </w:tcPr>
          <w:p>
            <w:pPr>
              <w:spacing w:before="96" w:line="187" w:lineRule="auto"/>
              <w:ind w:left="69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2327" w:type="dxa"/>
            <w:vAlign w:val="top"/>
          </w:tcPr>
          <w:p>
            <w:pPr>
              <w:spacing w:before="96" w:line="187" w:lineRule="auto"/>
              <w:ind w:left="10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092" w:type="dxa"/>
            <w:vAlign w:val="top"/>
          </w:tcPr>
          <w:p>
            <w:pPr>
              <w:pStyle w:val="6"/>
              <w:spacing w:before="58" w:line="222" w:lineRule="auto"/>
              <w:ind w:left="1348"/>
            </w:pPr>
            <w:r>
              <w:rPr>
                <w:spacing w:val="-3"/>
              </w:rPr>
              <w:t>总计</w:t>
            </w:r>
          </w:p>
        </w:tc>
        <w:tc>
          <w:tcPr>
            <w:tcW w:w="1555" w:type="dxa"/>
            <w:vAlign w:val="top"/>
          </w:tcPr>
          <w:p>
            <w:pPr>
              <w:spacing w:before="97" w:line="187" w:lineRule="auto"/>
              <w:ind w:left="6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1554" w:type="dxa"/>
            <w:vAlign w:val="top"/>
          </w:tcPr>
          <w:p>
            <w:pPr>
              <w:spacing w:before="96" w:line="187" w:lineRule="auto"/>
              <w:ind w:left="6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2327" w:type="dxa"/>
            <w:vAlign w:val="top"/>
          </w:tcPr>
          <w:p>
            <w:pPr>
              <w:spacing w:before="96" w:line="187" w:lineRule="auto"/>
              <w:ind w:left="97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1228</w:t>
            </w:r>
          </w:p>
        </w:tc>
      </w:tr>
    </w:tbl>
    <w:p>
      <w:pPr>
        <w:spacing w:before="279" w:line="217" w:lineRule="auto"/>
        <w:ind w:left="601"/>
        <w:rPr>
          <w:rFonts w:ascii="宋体" w:hAnsi="宋体" w:eastAsia="宋体" w:cs="宋体"/>
          <w:sz w:val="24"/>
          <w:szCs w:val="24"/>
        </w:rPr>
      </w:pPr>
      <w:r>
        <w:rPr>
          <w:rFonts w:ascii="宋体" w:hAnsi="宋体" w:eastAsia="宋体" w:cs="宋体"/>
          <w:spacing w:val="-3"/>
          <w:sz w:val="24"/>
          <w:szCs w:val="24"/>
        </w:rPr>
        <w:t>①两栖类</w:t>
      </w:r>
    </w:p>
    <w:p>
      <w:pPr>
        <w:spacing w:line="217" w:lineRule="auto"/>
        <w:rPr>
          <w:rFonts w:ascii="宋体" w:hAnsi="宋体" w:eastAsia="宋体" w:cs="宋体"/>
          <w:sz w:val="24"/>
          <w:szCs w:val="24"/>
        </w:rPr>
        <w:sectPr>
          <w:headerReference r:id="rId230" w:type="default"/>
          <w:footerReference r:id="rId231" w:type="default"/>
          <w:pgSz w:w="11907" w:h="16839"/>
          <w:pgMar w:top="1288" w:right="1608" w:bottom="1151" w:left="1589" w:header="1047" w:footer="990" w:gutter="0"/>
          <w:cols w:space="720" w:num="1"/>
        </w:sectPr>
      </w:pPr>
    </w:p>
    <w:p>
      <w:pPr>
        <w:pStyle w:val="2"/>
        <w:spacing w:line="339" w:lineRule="auto"/>
      </w:pPr>
    </w:p>
    <w:p>
      <w:pPr>
        <w:spacing w:before="78" w:line="368" w:lineRule="auto"/>
        <w:ind w:left="35" w:right="85" w:firstLine="482"/>
        <w:rPr>
          <w:rFonts w:ascii="宋体" w:hAnsi="宋体" w:eastAsia="宋体" w:cs="宋体"/>
          <w:sz w:val="24"/>
          <w:szCs w:val="24"/>
        </w:rPr>
      </w:pPr>
      <w:r>
        <w:rPr>
          <w:rFonts w:ascii="宋体" w:hAnsi="宋体" w:eastAsia="宋体" w:cs="宋体"/>
          <w:spacing w:val="-8"/>
          <w:sz w:val="24"/>
          <w:szCs w:val="24"/>
        </w:rPr>
        <w:t>根据资料整理及现场调查，</w:t>
      </w:r>
      <w:r>
        <w:rPr>
          <w:rFonts w:ascii="宋体" w:hAnsi="宋体" w:eastAsia="宋体" w:cs="宋体"/>
          <w:spacing w:val="57"/>
          <w:sz w:val="24"/>
          <w:szCs w:val="24"/>
        </w:rPr>
        <w:t xml:space="preserve"> </w:t>
      </w:r>
      <w:r>
        <w:rPr>
          <w:rFonts w:ascii="宋体" w:hAnsi="宋体" w:eastAsia="宋体" w:cs="宋体"/>
          <w:spacing w:val="-8"/>
          <w:sz w:val="24"/>
          <w:szCs w:val="24"/>
        </w:rPr>
        <w:t>评价区及周边区域两栖类有</w:t>
      </w:r>
      <w:r>
        <w:rPr>
          <w:rFonts w:ascii="宋体" w:hAnsi="宋体" w:eastAsia="宋体" w:cs="宋体"/>
          <w:spacing w:val="-54"/>
          <w:sz w:val="24"/>
          <w:szCs w:val="24"/>
        </w:rPr>
        <w:t xml:space="preserve"> </w:t>
      </w:r>
      <w:r>
        <w:rPr>
          <w:rFonts w:ascii="Times New Roman" w:hAnsi="Times New Roman" w:eastAsia="Times New Roman" w:cs="Times New Roman"/>
          <w:spacing w:val="-8"/>
          <w:sz w:val="24"/>
          <w:szCs w:val="24"/>
        </w:rPr>
        <w:t xml:space="preserve">2  </w:t>
      </w:r>
      <w:r>
        <w:rPr>
          <w:rFonts w:ascii="宋体" w:hAnsi="宋体" w:eastAsia="宋体" w:cs="宋体"/>
          <w:spacing w:val="-8"/>
          <w:sz w:val="24"/>
          <w:szCs w:val="24"/>
        </w:rPr>
        <w:t>目</w:t>
      </w:r>
      <w:r>
        <w:rPr>
          <w:rFonts w:ascii="宋体" w:hAnsi="宋体" w:eastAsia="宋体" w:cs="宋体"/>
          <w:spacing w:val="-51"/>
          <w:sz w:val="24"/>
          <w:szCs w:val="24"/>
        </w:rPr>
        <w:t xml:space="preserve"> </w:t>
      </w:r>
      <w:r>
        <w:rPr>
          <w:rFonts w:ascii="Times New Roman" w:hAnsi="Times New Roman" w:eastAsia="Times New Roman" w:cs="Times New Roman"/>
          <w:spacing w:val="-8"/>
          <w:sz w:val="24"/>
          <w:szCs w:val="24"/>
        </w:rPr>
        <w:t xml:space="preserve">7 </w:t>
      </w:r>
      <w:r>
        <w:rPr>
          <w:rFonts w:ascii="宋体" w:hAnsi="宋体" w:eastAsia="宋体" w:cs="宋体"/>
          <w:spacing w:val="-8"/>
          <w:sz w:val="24"/>
          <w:szCs w:val="24"/>
        </w:rPr>
        <w:t>科</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15 </w:t>
      </w:r>
      <w:r>
        <w:rPr>
          <w:rFonts w:ascii="宋体" w:hAnsi="宋体" w:eastAsia="宋体" w:cs="宋体"/>
          <w:spacing w:val="-8"/>
          <w:sz w:val="24"/>
          <w:szCs w:val="24"/>
        </w:rPr>
        <w:t>种。其中</w:t>
      </w:r>
      <w:r>
        <w:rPr>
          <w:rFonts w:ascii="宋体" w:hAnsi="宋体" w:eastAsia="宋体" w:cs="宋体"/>
          <w:sz w:val="24"/>
          <w:szCs w:val="24"/>
        </w:rPr>
        <w:t xml:space="preserve"> </w:t>
      </w:r>
      <w:r>
        <w:rPr>
          <w:rFonts w:ascii="宋体" w:hAnsi="宋体" w:eastAsia="宋体" w:cs="宋体"/>
          <w:spacing w:val="-10"/>
          <w:sz w:val="24"/>
          <w:szCs w:val="24"/>
        </w:rPr>
        <w:t xml:space="preserve">有尾目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5"/>
          <w:sz w:val="24"/>
          <w:szCs w:val="24"/>
        </w:rPr>
        <w:t xml:space="preserve"> </w:t>
      </w:r>
      <w:r>
        <w:rPr>
          <w:rFonts w:ascii="宋体" w:hAnsi="宋体" w:eastAsia="宋体" w:cs="宋体"/>
          <w:spacing w:val="-10"/>
          <w:sz w:val="24"/>
          <w:szCs w:val="24"/>
        </w:rPr>
        <w:t>种：蝾螈科，</w:t>
      </w:r>
      <w:r>
        <w:rPr>
          <w:rFonts w:ascii="宋体" w:hAnsi="宋体" w:eastAsia="宋体" w:cs="宋体"/>
          <w:spacing w:val="66"/>
          <w:sz w:val="24"/>
          <w:szCs w:val="24"/>
        </w:rPr>
        <w:t xml:space="preserve"> </w:t>
      </w:r>
      <w:r>
        <w:rPr>
          <w:rFonts w:ascii="宋体" w:hAnsi="宋体" w:eastAsia="宋体" w:cs="宋体"/>
          <w:spacing w:val="-10"/>
          <w:sz w:val="24"/>
          <w:szCs w:val="24"/>
        </w:rPr>
        <w:t>无尾目</w:t>
      </w:r>
      <w:r>
        <w:rPr>
          <w:rFonts w:ascii="宋体" w:hAnsi="宋体" w:eastAsia="宋体" w:cs="宋体"/>
          <w:spacing w:val="-39"/>
          <w:sz w:val="24"/>
          <w:szCs w:val="24"/>
        </w:rPr>
        <w:t xml:space="preserve"> </w:t>
      </w:r>
      <w:r>
        <w:rPr>
          <w:rFonts w:ascii="Times New Roman" w:hAnsi="Times New Roman" w:eastAsia="Times New Roman" w:cs="Times New Roman"/>
          <w:spacing w:val="-10"/>
          <w:sz w:val="24"/>
          <w:szCs w:val="24"/>
        </w:rPr>
        <w:t>6</w:t>
      </w:r>
      <w:r>
        <w:rPr>
          <w:rFonts w:ascii="Times New Roman" w:hAnsi="Times New Roman" w:eastAsia="Times New Roman" w:cs="Times New Roman"/>
          <w:spacing w:val="19"/>
          <w:w w:val="101"/>
          <w:sz w:val="24"/>
          <w:szCs w:val="24"/>
        </w:rPr>
        <w:t xml:space="preserve"> </w:t>
      </w:r>
      <w:r>
        <w:rPr>
          <w:rFonts w:ascii="宋体" w:hAnsi="宋体" w:eastAsia="宋体" w:cs="宋体"/>
          <w:spacing w:val="-10"/>
          <w:sz w:val="24"/>
          <w:szCs w:val="24"/>
        </w:rPr>
        <w:t>种：蟾蜍科</w:t>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2</w:t>
      </w:r>
      <w:r>
        <w:rPr>
          <w:rFonts w:ascii="Times New Roman" w:hAnsi="Times New Roman" w:eastAsia="Times New Roman" w:cs="Times New Roman"/>
          <w:spacing w:val="21"/>
          <w:sz w:val="24"/>
          <w:szCs w:val="24"/>
        </w:rPr>
        <w:t xml:space="preserve"> </w:t>
      </w:r>
      <w:r>
        <w:rPr>
          <w:rFonts w:ascii="宋体" w:hAnsi="宋体" w:eastAsia="宋体" w:cs="宋体"/>
          <w:spacing w:val="-10"/>
          <w:sz w:val="24"/>
          <w:szCs w:val="24"/>
        </w:rPr>
        <w:t xml:space="preserve">种、雨蛙科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19"/>
          <w:sz w:val="24"/>
          <w:szCs w:val="24"/>
        </w:rPr>
        <w:t xml:space="preserve"> </w:t>
      </w:r>
      <w:r>
        <w:rPr>
          <w:rFonts w:ascii="宋体" w:hAnsi="宋体" w:eastAsia="宋体" w:cs="宋体"/>
          <w:spacing w:val="-10"/>
          <w:sz w:val="24"/>
          <w:szCs w:val="24"/>
        </w:rPr>
        <w:t>种、蛙科</w:t>
      </w:r>
      <w:r>
        <w:rPr>
          <w:rFonts w:ascii="宋体" w:hAnsi="宋体" w:eastAsia="宋体" w:cs="宋体"/>
          <w:spacing w:val="-39"/>
          <w:sz w:val="24"/>
          <w:szCs w:val="24"/>
        </w:rPr>
        <w:t xml:space="preserve"> </w:t>
      </w:r>
      <w:r>
        <w:rPr>
          <w:rFonts w:ascii="Times New Roman" w:hAnsi="Times New Roman" w:eastAsia="Times New Roman" w:cs="Times New Roman"/>
          <w:spacing w:val="-10"/>
          <w:sz w:val="24"/>
          <w:szCs w:val="24"/>
        </w:rPr>
        <w:t>6</w:t>
      </w:r>
      <w:r>
        <w:rPr>
          <w:rFonts w:ascii="Times New Roman" w:hAnsi="Times New Roman" w:eastAsia="Times New Roman" w:cs="Times New Roman"/>
          <w:spacing w:val="19"/>
          <w:sz w:val="24"/>
          <w:szCs w:val="24"/>
        </w:rPr>
        <w:t xml:space="preserve"> </w:t>
      </w:r>
      <w:r>
        <w:rPr>
          <w:rFonts w:ascii="宋体" w:hAnsi="宋体" w:eastAsia="宋体" w:cs="宋体"/>
          <w:spacing w:val="-10"/>
          <w:sz w:val="24"/>
          <w:szCs w:val="24"/>
        </w:rPr>
        <w:t>种、叉舌</w:t>
      </w:r>
      <w:r>
        <w:rPr>
          <w:rFonts w:ascii="宋体" w:hAnsi="宋体" w:eastAsia="宋体" w:cs="宋体"/>
          <w:sz w:val="24"/>
          <w:szCs w:val="24"/>
        </w:rPr>
        <w:t xml:space="preserve"> </w:t>
      </w:r>
      <w:r>
        <w:rPr>
          <w:rFonts w:ascii="宋体" w:hAnsi="宋体" w:eastAsia="宋体" w:cs="宋体"/>
          <w:spacing w:val="-8"/>
          <w:sz w:val="24"/>
          <w:szCs w:val="24"/>
        </w:rPr>
        <w:t>蛙科</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 </w:t>
      </w:r>
      <w:r>
        <w:rPr>
          <w:rFonts w:ascii="宋体" w:hAnsi="宋体" w:eastAsia="宋体" w:cs="宋体"/>
          <w:spacing w:val="-8"/>
          <w:sz w:val="24"/>
          <w:szCs w:val="24"/>
        </w:rPr>
        <w:t>种、树蛙科</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种、姬蛙科</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 </w:t>
      </w:r>
      <w:r>
        <w:rPr>
          <w:rFonts w:ascii="宋体" w:hAnsi="宋体" w:eastAsia="宋体" w:cs="宋体"/>
          <w:spacing w:val="-8"/>
          <w:sz w:val="24"/>
          <w:szCs w:val="24"/>
        </w:rPr>
        <w:t>种。评价区有省级保护动物</w:t>
      </w:r>
      <w:r>
        <w:rPr>
          <w:rFonts w:ascii="宋体" w:hAnsi="宋体" w:eastAsia="宋体" w:cs="宋体"/>
          <w:spacing w:val="-9"/>
          <w:sz w:val="24"/>
          <w:szCs w:val="24"/>
        </w:rPr>
        <w:t>：</w:t>
      </w:r>
      <w:r>
        <w:rPr>
          <w:rFonts w:ascii="宋体" w:hAnsi="宋体" w:eastAsia="宋体" w:cs="宋体"/>
          <w:spacing w:val="47"/>
          <w:sz w:val="24"/>
          <w:szCs w:val="24"/>
        </w:rPr>
        <w:t xml:space="preserve"> </w:t>
      </w:r>
      <w:r>
        <w:rPr>
          <w:rFonts w:ascii="宋体" w:hAnsi="宋体" w:eastAsia="宋体" w:cs="宋体"/>
          <w:spacing w:val="-9"/>
          <w:sz w:val="24"/>
          <w:szCs w:val="24"/>
        </w:rPr>
        <w:t>东方蝾螈（</w:t>
      </w:r>
      <w:r>
        <w:rPr>
          <w:rFonts w:ascii="Times New Roman" w:hAnsi="Times New Roman" w:eastAsia="Times New Roman" w:cs="Times New Roman"/>
          <w:i/>
          <w:iCs/>
          <w:spacing w:val="-9"/>
          <w:sz w:val="24"/>
          <w:szCs w:val="24"/>
        </w:rPr>
        <w:t>Cynops</w:t>
      </w:r>
      <w:r>
        <w:rPr>
          <w:rFonts w:ascii="Times New Roman" w:hAnsi="Times New Roman" w:eastAsia="Times New Roman" w:cs="Times New Roman"/>
          <w:i/>
          <w:iCs/>
          <w:sz w:val="24"/>
          <w:szCs w:val="24"/>
        </w:rPr>
        <w:t xml:space="preserve"> orientalis</w:t>
      </w:r>
      <w:r>
        <w:rPr>
          <w:rFonts w:ascii="宋体" w:hAnsi="宋体" w:eastAsia="宋体" w:cs="宋体"/>
          <w:sz w:val="24"/>
          <w:szCs w:val="24"/>
        </w:rPr>
        <w:t>）、中国雨蛙（</w:t>
      </w:r>
      <w:r>
        <w:rPr>
          <w:rFonts w:ascii="Times New Roman" w:hAnsi="Times New Roman" w:eastAsia="Times New Roman" w:cs="Times New Roman"/>
          <w:i/>
          <w:iCs/>
          <w:sz w:val="24"/>
          <w:szCs w:val="24"/>
        </w:rPr>
        <w:t>Hyla  chinensis</w:t>
      </w:r>
      <w:r>
        <w:rPr>
          <w:rFonts w:ascii="宋体" w:hAnsi="宋体" w:eastAsia="宋体" w:cs="宋体"/>
          <w:sz w:val="24"/>
          <w:szCs w:val="24"/>
        </w:rPr>
        <w:t>）、棘胸蛙（</w:t>
      </w:r>
      <w:r>
        <w:rPr>
          <w:rFonts w:ascii="Times New Roman" w:hAnsi="Times New Roman" w:eastAsia="Times New Roman" w:cs="Times New Roman"/>
          <w:i/>
          <w:iCs/>
          <w:sz w:val="24"/>
          <w:szCs w:val="24"/>
        </w:rPr>
        <w:t xml:space="preserve">Quasipaa  </w:t>
      </w:r>
      <w:r>
        <w:rPr>
          <w:rFonts w:ascii="Times New Roman" w:hAnsi="Times New Roman" w:eastAsia="Times New Roman" w:cs="Times New Roman"/>
          <w:i/>
          <w:iCs/>
          <w:spacing w:val="-1"/>
          <w:sz w:val="24"/>
          <w:szCs w:val="24"/>
        </w:rPr>
        <w:t>spinosa</w:t>
      </w:r>
      <w:r>
        <w:rPr>
          <w:rFonts w:ascii="宋体" w:hAnsi="宋体" w:eastAsia="宋体" w:cs="宋体"/>
          <w:spacing w:val="-1"/>
          <w:sz w:val="24"/>
          <w:szCs w:val="24"/>
        </w:rPr>
        <w:t>）、斑腿泛</w:t>
      </w:r>
    </w:p>
    <w:p>
      <w:pPr>
        <w:spacing w:line="212" w:lineRule="auto"/>
        <w:ind w:left="38"/>
        <w:rPr>
          <w:rFonts w:ascii="宋体" w:hAnsi="宋体" w:eastAsia="宋体" w:cs="宋体"/>
          <w:sz w:val="24"/>
          <w:szCs w:val="24"/>
        </w:rPr>
      </w:pPr>
      <w:r>
        <w:rPr>
          <w:rFonts w:ascii="宋体" w:hAnsi="宋体" w:eastAsia="宋体" w:cs="宋体"/>
          <w:spacing w:val="-1"/>
          <w:sz w:val="24"/>
          <w:szCs w:val="24"/>
        </w:rPr>
        <w:t>树蛙（</w:t>
      </w:r>
      <w:r>
        <w:rPr>
          <w:rFonts w:ascii="Times New Roman" w:hAnsi="Times New Roman" w:eastAsia="Times New Roman" w:cs="Times New Roman"/>
          <w:i/>
          <w:iCs/>
          <w:spacing w:val="-1"/>
          <w:sz w:val="24"/>
          <w:szCs w:val="24"/>
        </w:rPr>
        <w:t>Polypedates megacephalus</w:t>
      </w:r>
      <w:r>
        <w:rPr>
          <w:rFonts w:ascii="宋体" w:hAnsi="宋体" w:eastAsia="宋体" w:cs="宋体"/>
          <w:spacing w:val="-1"/>
          <w:sz w:val="24"/>
          <w:szCs w:val="24"/>
        </w:rPr>
        <w:t>）。</w:t>
      </w:r>
    </w:p>
    <w:p>
      <w:pPr>
        <w:spacing w:before="202" w:line="217" w:lineRule="auto"/>
        <w:ind w:left="516"/>
        <w:rPr>
          <w:rFonts w:ascii="宋体" w:hAnsi="宋体" w:eastAsia="宋体" w:cs="宋体"/>
          <w:sz w:val="24"/>
          <w:szCs w:val="24"/>
        </w:rPr>
      </w:pPr>
      <w:r>
        <w:rPr>
          <w:rFonts w:ascii="宋体" w:hAnsi="宋体" w:eastAsia="宋体" w:cs="宋体"/>
          <w:spacing w:val="-2"/>
          <w:sz w:val="24"/>
          <w:szCs w:val="24"/>
        </w:rPr>
        <w:t>②爬行类</w:t>
      </w:r>
    </w:p>
    <w:p>
      <w:pPr>
        <w:spacing w:before="194" w:line="369" w:lineRule="auto"/>
        <w:ind w:left="38" w:firstLine="479"/>
        <w:rPr>
          <w:rFonts w:ascii="宋体" w:hAnsi="宋体" w:eastAsia="宋体" w:cs="宋体"/>
          <w:sz w:val="24"/>
          <w:szCs w:val="24"/>
        </w:rPr>
      </w:pPr>
      <w:r>
        <w:rPr>
          <w:rFonts w:ascii="宋体" w:hAnsi="宋体" w:eastAsia="宋体" w:cs="宋体"/>
          <w:spacing w:val="-4"/>
          <w:sz w:val="24"/>
          <w:szCs w:val="24"/>
        </w:rPr>
        <w:t>根据资料整理及现场调查，评价区及周边区域内</w:t>
      </w:r>
      <w:r>
        <w:rPr>
          <w:rFonts w:ascii="宋体" w:hAnsi="宋体" w:eastAsia="宋体" w:cs="宋体"/>
          <w:spacing w:val="-5"/>
          <w:sz w:val="24"/>
          <w:szCs w:val="24"/>
        </w:rPr>
        <w:t xml:space="preserve">的爬行动物共有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目</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19"/>
          <w:sz w:val="24"/>
          <w:szCs w:val="24"/>
        </w:rPr>
        <w:t xml:space="preserve"> </w:t>
      </w:r>
      <w:r>
        <w:rPr>
          <w:rFonts w:ascii="宋体" w:hAnsi="宋体" w:eastAsia="宋体" w:cs="宋体"/>
          <w:spacing w:val="-5"/>
          <w:sz w:val="24"/>
          <w:szCs w:val="24"/>
        </w:rPr>
        <w:t>科</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 xml:space="preserve">16  </w:t>
      </w:r>
      <w:r>
        <w:rPr>
          <w:rFonts w:ascii="宋体" w:hAnsi="宋体" w:eastAsia="宋体" w:cs="宋体"/>
          <w:spacing w:val="-4"/>
          <w:sz w:val="24"/>
          <w:szCs w:val="24"/>
        </w:rPr>
        <w:t>种。有壁虎科</w:t>
      </w:r>
      <w:r>
        <w:rPr>
          <w:rFonts w:ascii="宋体" w:hAnsi="宋体" w:eastAsia="宋体" w:cs="宋体"/>
          <w:spacing w:val="-20"/>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种、石龙子科</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种、蜥蜴科</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1"/>
          <w:w w:val="101"/>
          <w:sz w:val="24"/>
          <w:szCs w:val="24"/>
        </w:rPr>
        <w:t xml:space="preserve"> </w:t>
      </w:r>
      <w:r>
        <w:rPr>
          <w:rFonts w:ascii="宋体" w:hAnsi="宋体" w:eastAsia="宋体" w:cs="宋体"/>
          <w:spacing w:val="-4"/>
          <w:sz w:val="24"/>
          <w:szCs w:val="24"/>
        </w:rPr>
        <w:t>种、蝰科</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9"/>
          <w:w w:val="101"/>
          <w:sz w:val="24"/>
          <w:szCs w:val="24"/>
        </w:rPr>
        <w:t xml:space="preserve"> </w:t>
      </w:r>
      <w:r>
        <w:rPr>
          <w:rFonts w:ascii="宋体" w:hAnsi="宋体" w:eastAsia="宋体" w:cs="宋体"/>
          <w:spacing w:val="-4"/>
          <w:sz w:val="24"/>
          <w:szCs w:val="24"/>
        </w:rPr>
        <w:t>种、眼镜蛇科</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9"/>
          <w:w w:val="101"/>
          <w:sz w:val="24"/>
          <w:szCs w:val="24"/>
        </w:rPr>
        <w:t xml:space="preserve"> </w:t>
      </w:r>
      <w:r>
        <w:rPr>
          <w:rFonts w:ascii="宋体" w:hAnsi="宋体" w:eastAsia="宋体" w:cs="宋体"/>
          <w:spacing w:val="-4"/>
          <w:sz w:val="24"/>
          <w:szCs w:val="24"/>
        </w:rPr>
        <w:t xml:space="preserve">种、游 </w:t>
      </w:r>
      <w:r>
        <w:rPr>
          <w:rFonts w:ascii="宋体" w:hAnsi="宋体" w:eastAsia="宋体" w:cs="宋体"/>
          <w:spacing w:val="-13"/>
          <w:sz w:val="24"/>
          <w:szCs w:val="24"/>
        </w:rPr>
        <w:t>蛇科</w:t>
      </w:r>
      <w:r>
        <w:rPr>
          <w:rFonts w:ascii="宋体" w:hAnsi="宋体" w:eastAsia="宋体" w:cs="宋体"/>
          <w:spacing w:val="-50"/>
          <w:sz w:val="24"/>
          <w:szCs w:val="24"/>
        </w:rPr>
        <w:t xml:space="preserve"> </w:t>
      </w:r>
      <w:r>
        <w:rPr>
          <w:rFonts w:ascii="Times New Roman" w:hAnsi="Times New Roman" w:eastAsia="Times New Roman" w:cs="Times New Roman"/>
          <w:spacing w:val="-13"/>
          <w:sz w:val="24"/>
          <w:szCs w:val="24"/>
        </w:rPr>
        <w:t xml:space="preserve">4 </w:t>
      </w:r>
      <w:r>
        <w:rPr>
          <w:rFonts w:ascii="宋体" w:hAnsi="宋体" w:eastAsia="宋体" w:cs="宋体"/>
          <w:spacing w:val="-13"/>
          <w:sz w:val="24"/>
          <w:szCs w:val="24"/>
        </w:rPr>
        <w:t>种、水游蛇科</w:t>
      </w:r>
      <w:r>
        <w:rPr>
          <w:rFonts w:ascii="宋体" w:hAnsi="宋体" w:eastAsia="宋体" w:cs="宋体"/>
          <w:spacing w:val="-59"/>
          <w:sz w:val="24"/>
          <w:szCs w:val="24"/>
        </w:rPr>
        <w:t xml:space="preserve"> </w:t>
      </w:r>
      <w:r>
        <w:rPr>
          <w:rFonts w:ascii="Times New Roman" w:hAnsi="Times New Roman" w:eastAsia="Times New Roman" w:cs="Times New Roman"/>
          <w:spacing w:val="-13"/>
          <w:sz w:val="24"/>
          <w:szCs w:val="24"/>
        </w:rPr>
        <w:t xml:space="preserve">3 </w:t>
      </w:r>
      <w:r>
        <w:rPr>
          <w:rFonts w:ascii="宋体" w:hAnsi="宋体" w:eastAsia="宋体" w:cs="宋体"/>
          <w:spacing w:val="-13"/>
          <w:sz w:val="24"/>
          <w:szCs w:val="24"/>
        </w:rPr>
        <w:t>种。评价区有省级保护动物：尖吻蝮（</w:t>
      </w:r>
      <w:r>
        <w:rPr>
          <w:rFonts w:ascii="Times New Roman" w:hAnsi="Times New Roman" w:eastAsia="Times New Roman" w:cs="Times New Roman"/>
          <w:i/>
          <w:iCs/>
          <w:spacing w:val="-13"/>
          <w:sz w:val="24"/>
          <w:szCs w:val="24"/>
        </w:rPr>
        <w:t>Deinagkistrodon acutus</w:t>
      </w:r>
      <w:r>
        <w:rPr>
          <w:rFonts w:ascii="宋体" w:hAnsi="宋体" w:eastAsia="宋体" w:cs="宋体"/>
          <w:spacing w:val="-13"/>
          <w:sz w:val="24"/>
          <w:szCs w:val="24"/>
        </w:rPr>
        <w:t>）、</w:t>
      </w:r>
    </w:p>
    <w:p>
      <w:pPr>
        <w:spacing w:line="212" w:lineRule="auto"/>
        <w:ind w:left="40"/>
        <w:rPr>
          <w:rFonts w:ascii="宋体" w:hAnsi="宋体" w:eastAsia="宋体" w:cs="宋体"/>
          <w:sz w:val="24"/>
          <w:szCs w:val="24"/>
        </w:rPr>
      </w:pPr>
      <w:r>
        <w:rPr>
          <w:rFonts w:ascii="宋体" w:hAnsi="宋体" w:eastAsia="宋体" w:cs="宋体"/>
          <w:sz w:val="24"/>
          <w:szCs w:val="24"/>
        </w:rPr>
        <w:t>舟山眼镜蛇（</w:t>
      </w:r>
      <w:r>
        <w:rPr>
          <w:rFonts w:ascii="Times New Roman" w:hAnsi="Times New Roman" w:eastAsia="Times New Roman" w:cs="Times New Roman"/>
          <w:i/>
          <w:iCs/>
          <w:sz w:val="24"/>
          <w:szCs w:val="24"/>
        </w:rPr>
        <w:t>Naja atra</w:t>
      </w:r>
      <w:r>
        <w:rPr>
          <w:rFonts w:ascii="宋体" w:hAnsi="宋体" w:eastAsia="宋体" w:cs="宋体"/>
          <w:sz w:val="24"/>
          <w:szCs w:val="24"/>
        </w:rPr>
        <w:t>）、王锦蛇（</w:t>
      </w:r>
      <w:r>
        <w:rPr>
          <w:rFonts w:ascii="Times New Roman" w:hAnsi="Times New Roman" w:eastAsia="Times New Roman" w:cs="Times New Roman"/>
          <w:i/>
          <w:iCs/>
          <w:sz w:val="24"/>
          <w:szCs w:val="24"/>
        </w:rPr>
        <w:t>Elaphe</w:t>
      </w:r>
      <w:r>
        <w:rPr>
          <w:rFonts w:ascii="Times New Roman" w:hAnsi="Times New Roman" w:eastAsia="Times New Roman" w:cs="Times New Roman"/>
          <w:i/>
          <w:iCs/>
          <w:spacing w:val="-1"/>
          <w:sz w:val="24"/>
          <w:szCs w:val="24"/>
        </w:rPr>
        <w:t xml:space="preserve"> carinata</w:t>
      </w:r>
      <w:r>
        <w:rPr>
          <w:rFonts w:ascii="宋体" w:hAnsi="宋体" w:eastAsia="宋体" w:cs="宋体"/>
          <w:spacing w:val="-1"/>
          <w:sz w:val="24"/>
          <w:szCs w:val="24"/>
        </w:rPr>
        <w:t>）。</w:t>
      </w:r>
    </w:p>
    <w:p>
      <w:pPr>
        <w:spacing w:before="202" w:line="217" w:lineRule="auto"/>
        <w:ind w:left="516"/>
        <w:rPr>
          <w:rFonts w:ascii="宋体" w:hAnsi="宋体" w:eastAsia="宋体" w:cs="宋体"/>
          <w:sz w:val="24"/>
          <w:szCs w:val="24"/>
        </w:rPr>
      </w:pPr>
      <w:r>
        <w:rPr>
          <w:rFonts w:ascii="宋体" w:hAnsi="宋体" w:eastAsia="宋体" w:cs="宋体"/>
          <w:spacing w:val="-3"/>
          <w:sz w:val="24"/>
          <w:szCs w:val="24"/>
        </w:rPr>
        <w:t>③鸟类</w:t>
      </w:r>
    </w:p>
    <w:p>
      <w:pPr>
        <w:spacing w:before="197" w:line="368" w:lineRule="auto"/>
        <w:ind w:left="35" w:firstLine="482"/>
        <w:rPr>
          <w:rFonts w:ascii="宋体" w:hAnsi="宋体" w:eastAsia="宋体" w:cs="宋体"/>
          <w:sz w:val="24"/>
          <w:szCs w:val="24"/>
        </w:rPr>
      </w:pPr>
      <w:r>
        <w:rPr>
          <w:rFonts w:ascii="宋体" w:hAnsi="宋体" w:eastAsia="宋体" w:cs="宋体"/>
          <w:spacing w:val="2"/>
          <w:sz w:val="24"/>
          <w:szCs w:val="24"/>
        </w:rPr>
        <w:t xml:space="preserve">评价区及周边区域内的鸟类资源丰富，这跟评价区所在的地理位置、气候类 </w:t>
      </w:r>
      <w:r>
        <w:rPr>
          <w:rFonts w:ascii="宋体" w:hAnsi="宋体" w:eastAsia="宋体" w:cs="宋体"/>
          <w:spacing w:val="-10"/>
          <w:sz w:val="24"/>
          <w:szCs w:val="24"/>
        </w:rPr>
        <w:t>型有关。根据资料整理及现场调查，</w:t>
      </w:r>
      <w:r>
        <w:rPr>
          <w:rFonts w:ascii="宋体" w:hAnsi="宋体" w:eastAsia="宋体" w:cs="宋体"/>
          <w:spacing w:val="58"/>
          <w:sz w:val="24"/>
          <w:szCs w:val="24"/>
        </w:rPr>
        <w:t xml:space="preserve"> </w:t>
      </w:r>
      <w:r>
        <w:rPr>
          <w:rFonts w:ascii="宋体" w:hAnsi="宋体" w:eastAsia="宋体" w:cs="宋体"/>
          <w:spacing w:val="-10"/>
          <w:sz w:val="24"/>
          <w:szCs w:val="24"/>
        </w:rPr>
        <w:t>评价区内有</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 xml:space="preserve">12  </w:t>
      </w:r>
      <w:r>
        <w:rPr>
          <w:rFonts w:ascii="宋体" w:hAnsi="宋体" w:eastAsia="宋体" w:cs="宋体"/>
          <w:spacing w:val="-10"/>
          <w:sz w:val="24"/>
          <w:szCs w:val="24"/>
        </w:rPr>
        <w:t>目</w:t>
      </w:r>
      <w:r>
        <w:rPr>
          <w:rFonts w:ascii="宋体" w:hAnsi="宋体" w:eastAsia="宋体" w:cs="宋体"/>
          <w:spacing w:val="-50"/>
          <w:sz w:val="24"/>
          <w:szCs w:val="24"/>
        </w:rPr>
        <w:t xml:space="preserve"> </w:t>
      </w:r>
      <w:r>
        <w:rPr>
          <w:rFonts w:ascii="Times New Roman" w:hAnsi="Times New Roman" w:eastAsia="Times New Roman" w:cs="Times New Roman"/>
          <w:spacing w:val="-10"/>
          <w:sz w:val="24"/>
          <w:szCs w:val="24"/>
        </w:rPr>
        <w:t xml:space="preserve">34 </w:t>
      </w:r>
      <w:r>
        <w:rPr>
          <w:rFonts w:ascii="宋体" w:hAnsi="宋体" w:eastAsia="宋体" w:cs="宋体"/>
          <w:spacing w:val="-10"/>
          <w:sz w:val="24"/>
          <w:szCs w:val="24"/>
        </w:rPr>
        <w:t>科</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 xml:space="preserve">72 </w:t>
      </w:r>
      <w:r>
        <w:rPr>
          <w:rFonts w:ascii="宋体" w:hAnsi="宋体" w:eastAsia="宋体" w:cs="宋体"/>
          <w:spacing w:val="-11"/>
          <w:sz w:val="24"/>
          <w:szCs w:val="24"/>
        </w:rPr>
        <w:t xml:space="preserve">种， 以雀形目的种 </w:t>
      </w:r>
      <w:r>
        <w:rPr>
          <w:rFonts w:ascii="宋体" w:hAnsi="宋体" w:eastAsia="宋体" w:cs="宋体"/>
          <w:spacing w:val="-1"/>
          <w:sz w:val="24"/>
          <w:szCs w:val="24"/>
        </w:rPr>
        <w:t xml:space="preserve">类最多，有 </w:t>
      </w:r>
      <w:r>
        <w:rPr>
          <w:rFonts w:ascii="Times New Roman" w:hAnsi="Times New Roman" w:eastAsia="Times New Roman" w:cs="Times New Roman"/>
          <w:spacing w:val="-1"/>
          <w:sz w:val="24"/>
          <w:szCs w:val="24"/>
        </w:rPr>
        <w:t xml:space="preserve">52  </w:t>
      </w:r>
      <w:r>
        <w:rPr>
          <w:rFonts w:ascii="宋体" w:hAnsi="宋体" w:eastAsia="宋体" w:cs="宋体"/>
          <w:spacing w:val="-1"/>
          <w:sz w:val="24"/>
          <w:szCs w:val="24"/>
        </w:rPr>
        <w:t>种，</w:t>
      </w:r>
      <w:r>
        <w:rPr>
          <w:rFonts w:ascii="宋体" w:hAnsi="宋体" w:eastAsia="宋体" w:cs="宋体"/>
          <w:spacing w:val="-62"/>
          <w:sz w:val="24"/>
          <w:szCs w:val="24"/>
        </w:rPr>
        <w:t xml:space="preserve"> </w:t>
      </w:r>
      <w:r>
        <w:rPr>
          <w:rFonts w:ascii="宋体" w:hAnsi="宋体" w:eastAsia="宋体" w:cs="宋体"/>
          <w:spacing w:val="-1"/>
          <w:sz w:val="24"/>
          <w:szCs w:val="24"/>
        </w:rPr>
        <w:t xml:space="preserve">占总种类数目的 </w:t>
      </w:r>
      <w:r>
        <w:rPr>
          <w:rFonts w:ascii="Times New Roman" w:hAnsi="Times New Roman" w:eastAsia="Times New Roman" w:cs="Times New Roman"/>
          <w:spacing w:val="-1"/>
          <w:sz w:val="24"/>
          <w:szCs w:val="24"/>
        </w:rPr>
        <w:t>72.2%</w:t>
      </w:r>
      <w:r>
        <w:rPr>
          <w:rFonts w:ascii="宋体" w:hAnsi="宋体" w:eastAsia="宋体" w:cs="宋体"/>
          <w:spacing w:val="-1"/>
          <w:sz w:val="24"/>
          <w:szCs w:val="24"/>
        </w:rPr>
        <w:t>。其中国家二级保护野生鸟类：</w:t>
      </w:r>
      <w:r>
        <w:rPr>
          <w:rFonts w:ascii="宋体" w:hAnsi="宋体" w:eastAsia="宋体" w:cs="宋体"/>
          <w:spacing w:val="-71"/>
          <w:sz w:val="24"/>
          <w:szCs w:val="24"/>
        </w:rPr>
        <w:t xml:space="preserve"> </w:t>
      </w:r>
      <w:r>
        <w:rPr>
          <w:rFonts w:ascii="宋体" w:hAnsi="宋体" w:eastAsia="宋体" w:cs="宋体"/>
          <w:spacing w:val="-1"/>
          <w:sz w:val="24"/>
          <w:szCs w:val="24"/>
        </w:rPr>
        <w:t xml:space="preserve">白鹇 </w:t>
      </w:r>
      <w:r>
        <w:rPr>
          <w:rFonts w:ascii="宋体" w:hAnsi="宋体" w:eastAsia="宋体" w:cs="宋体"/>
          <w:spacing w:val="-8"/>
          <w:sz w:val="24"/>
          <w:szCs w:val="24"/>
        </w:rPr>
        <w:t>（</w:t>
      </w:r>
      <w:r>
        <w:rPr>
          <w:rFonts w:ascii="Times New Roman" w:hAnsi="Times New Roman" w:eastAsia="Times New Roman" w:cs="Times New Roman"/>
          <w:i/>
          <w:iCs/>
          <w:spacing w:val="-8"/>
          <w:sz w:val="24"/>
          <w:szCs w:val="24"/>
        </w:rPr>
        <w:t>Lophura nycthemera</w:t>
      </w:r>
      <w:r>
        <w:rPr>
          <w:rFonts w:ascii="Times New Roman" w:hAnsi="Times New Roman" w:eastAsia="Times New Roman" w:cs="Times New Roman"/>
          <w:spacing w:val="-8"/>
          <w:sz w:val="24"/>
          <w:szCs w:val="24"/>
        </w:rPr>
        <w:t>)</w:t>
      </w:r>
      <w:r>
        <w:rPr>
          <w:rFonts w:ascii="宋体" w:hAnsi="宋体" w:eastAsia="宋体" w:cs="宋体"/>
          <w:spacing w:val="-8"/>
          <w:sz w:val="24"/>
          <w:szCs w:val="24"/>
        </w:rPr>
        <w:t>、赤腹</w:t>
      </w:r>
      <w:r>
        <w:rPr>
          <w:rFonts w:ascii="宋体" w:hAnsi="宋体" w:eastAsia="宋体" w:cs="宋体"/>
          <w:spacing w:val="-9"/>
          <w:sz w:val="24"/>
          <w:szCs w:val="24"/>
        </w:rPr>
        <w:t>鹰（</w:t>
      </w:r>
      <w:r>
        <w:rPr>
          <w:rFonts w:ascii="Times New Roman" w:hAnsi="Times New Roman" w:eastAsia="Times New Roman" w:cs="Times New Roman"/>
          <w:i/>
          <w:iCs/>
          <w:spacing w:val="-9"/>
          <w:sz w:val="24"/>
          <w:szCs w:val="24"/>
        </w:rPr>
        <w:t>Accipiter soloensis</w:t>
      </w:r>
      <w:r>
        <w:rPr>
          <w:rFonts w:ascii="宋体" w:hAnsi="宋体" w:eastAsia="宋体" w:cs="宋体"/>
          <w:spacing w:val="-9"/>
          <w:sz w:val="24"/>
          <w:szCs w:val="24"/>
        </w:rPr>
        <w:t>）、凤头鹰（</w:t>
      </w:r>
      <w:r>
        <w:rPr>
          <w:rFonts w:ascii="Times New Roman" w:hAnsi="Times New Roman" w:eastAsia="Times New Roman" w:cs="Times New Roman"/>
          <w:i/>
          <w:iCs/>
          <w:spacing w:val="-9"/>
          <w:sz w:val="24"/>
          <w:szCs w:val="24"/>
        </w:rPr>
        <w:t>Accipiter trivirgatus</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3"/>
          <w:sz w:val="24"/>
          <w:szCs w:val="24"/>
        </w:rPr>
        <w:t>黑冠鹃隼（</w:t>
      </w:r>
      <w:r>
        <w:rPr>
          <w:rFonts w:ascii="Times New Roman" w:hAnsi="Times New Roman" w:eastAsia="Times New Roman" w:cs="Times New Roman"/>
          <w:i/>
          <w:iCs/>
          <w:spacing w:val="-3"/>
          <w:sz w:val="24"/>
          <w:szCs w:val="24"/>
        </w:rPr>
        <w:t>Avicedaleuphotes</w:t>
      </w:r>
      <w:r>
        <w:rPr>
          <w:rFonts w:ascii="宋体" w:hAnsi="宋体" w:eastAsia="宋体" w:cs="宋体"/>
          <w:spacing w:val="-3"/>
          <w:sz w:val="24"/>
          <w:szCs w:val="24"/>
        </w:rPr>
        <w:t>）、林雕（</w:t>
      </w:r>
      <w:r>
        <w:rPr>
          <w:rFonts w:ascii="Times New Roman" w:hAnsi="Times New Roman" w:eastAsia="Times New Roman" w:cs="Times New Roman"/>
          <w:i/>
          <w:iCs/>
          <w:spacing w:val="-3"/>
          <w:sz w:val="24"/>
          <w:szCs w:val="24"/>
        </w:rPr>
        <w:t>Ictinaetus malaiensi</w:t>
      </w:r>
      <w:r>
        <w:rPr>
          <w:rFonts w:ascii="Times New Roman" w:hAnsi="Times New Roman" w:eastAsia="Times New Roman" w:cs="Times New Roman"/>
          <w:i/>
          <w:iCs/>
          <w:spacing w:val="-4"/>
          <w:sz w:val="24"/>
          <w:szCs w:val="24"/>
        </w:rPr>
        <w:t>s</w:t>
      </w:r>
      <w:r>
        <w:rPr>
          <w:rFonts w:ascii="宋体" w:hAnsi="宋体" w:eastAsia="宋体" w:cs="宋体"/>
          <w:spacing w:val="-4"/>
          <w:sz w:val="24"/>
          <w:szCs w:val="24"/>
        </w:rPr>
        <w:t>）、领鸺鹠（</w:t>
      </w:r>
      <w:r>
        <w:rPr>
          <w:rFonts w:ascii="Times New Roman" w:hAnsi="Times New Roman" w:eastAsia="Times New Roman" w:cs="Times New Roman"/>
          <w:i/>
          <w:iCs/>
          <w:spacing w:val="-4"/>
          <w:sz w:val="24"/>
          <w:szCs w:val="24"/>
        </w:rPr>
        <w:t xml:space="preserve">Glaucidium  </w:t>
      </w:r>
      <w:r>
        <w:rPr>
          <w:rFonts w:ascii="Times New Roman" w:hAnsi="Times New Roman" w:eastAsia="Times New Roman" w:cs="Times New Roman"/>
          <w:i/>
          <w:iCs/>
          <w:spacing w:val="-3"/>
          <w:sz w:val="24"/>
          <w:szCs w:val="24"/>
        </w:rPr>
        <w:t>brodiei</w:t>
      </w:r>
      <w:r>
        <w:rPr>
          <w:rFonts w:ascii="宋体" w:hAnsi="宋体" w:eastAsia="宋体" w:cs="宋体"/>
          <w:spacing w:val="-3"/>
          <w:sz w:val="24"/>
          <w:szCs w:val="24"/>
        </w:rPr>
        <w:t>）、灰喉山椒鸟（</w:t>
      </w:r>
      <w:r>
        <w:rPr>
          <w:rFonts w:ascii="Times New Roman" w:hAnsi="Times New Roman" w:eastAsia="Times New Roman" w:cs="Times New Roman"/>
          <w:i/>
          <w:iCs/>
          <w:spacing w:val="-3"/>
          <w:sz w:val="24"/>
          <w:szCs w:val="24"/>
        </w:rPr>
        <w:t>Pericroco</w:t>
      </w:r>
      <w:r>
        <w:rPr>
          <w:rFonts w:ascii="Times New Roman" w:hAnsi="Times New Roman" w:eastAsia="Times New Roman" w:cs="Times New Roman"/>
          <w:i/>
          <w:iCs/>
          <w:spacing w:val="-4"/>
          <w:sz w:val="24"/>
          <w:szCs w:val="24"/>
        </w:rPr>
        <w:t>tus</w:t>
      </w:r>
      <w:r>
        <w:rPr>
          <w:rFonts w:ascii="Times New Roman" w:hAnsi="Times New Roman" w:eastAsia="Times New Roman" w:cs="Times New Roman"/>
          <w:i/>
          <w:iCs/>
          <w:spacing w:val="25"/>
          <w:sz w:val="24"/>
          <w:szCs w:val="24"/>
        </w:rPr>
        <w:t xml:space="preserve"> </w:t>
      </w:r>
      <w:r>
        <w:rPr>
          <w:rFonts w:ascii="Times New Roman" w:hAnsi="Times New Roman" w:eastAsia="Times New Roman" w:cs="Times New Roman"/>
          <w:i/>
          <w:iCs/>
          <w:spacing w:val="-4"/>
          <w:sz w:val="24"/>
          <w:szCs w:val="24"/>
        </w:rPr>
        <w:t>solaris</w:t>
      </w:r>
      <w:r>
        <w:rPr>
          <w:rFonts w:ascii="宋体" w:hAnsi="宋体" w:eastAsia="宋体" w:cs="宋体"/>
          <w:spacing w:val="-4"/>
          <w:sz w:val="24"/>
          <w:szCs w:val="24"/>
        </w:rPr>
        <w:t>）、</w:t>
      </w:r>
      <w:r>
        <w:rPr>
          <w:rFonts w:ascii="宋体" w:hAnsi="宋体" w:eastAsia="宋体" w:cs="宋体"/>
          <w:spacing w:val="-25"/>
          <w:sz w:val="24"/>
          <w:szCs w:val="24"/>
        </w:rPr>
        <w:t xml:space="preserve"> </w:t>
      </w:r>
      <w:r>
        <w:rPr>
          <w:rFonts w:ascii="宋体" w:hAnsi="宋体" w:eastAsia="宋体" w:cs="宋体"/>
          <w:spacing w:val="-4"/>
          <w:sz w:val="24"/>
          <w:szCs w:val="24"/>
        </w:rPr>
        <w:t>画眉（</w:t>
      </w:r>
      <w:r>
        <w:rPr>
          <w:rFonts w:ascii="Times New Roman" w:hAnsi="Times New Roman" w:eastAsia="Times New Roman" w:cs="Times New Roman"/>
          <w:i/>
          <w:iCs/>
          <w:spacing w:val="-4"/>
          <w:sz w:val="24"/>
          <w:szCs w:val="24"/>
        </w:rPr>
        <w:t>Garrulax</w:t>
      </w:r>
      <w:r>
        <w:rPr>
          <w:rFonts w:ascii="Times New Roman" w:hAnsi="Times New Roman" w:eastAsia="Times New Roman" w:cs="Times New Roman"/>
          <w:i/>
          <w:iCs/>
          <w:spacing w:val="32"/>
          <w:w w:val="101"/>
          <w:sz w:val="24"/>
          <w:szCs w:val="24"/>
        </w:rPr>
        <w:t xml:space="preserve"> </w:t>
      </w:r>
      <w:r>
        <w:rPr>
          <w:rFonts w:ascii="Times New Roman" w:hAnsi="Times New Roman" w:eastAsia="Times New Roman" w:cs="Times New Roman"/>
          <w:i/>
          <w:iCs/>
          <w:spacing w:val="-4"/>
          <w:sz w:val="24"/>
          <w:szCs w:val="24"/>
        </w:rPr>
        <w:t>canorus</w:t>
      </w:r>
      <w:r>
        <w:rPr>
          <w:rFonts w:ascii="宋体" w:hAnsi="宋体" w:eastAsia="宋体" w:cs="宋体"/>
          <w:spacing w:val="-4"/>
          <w:sz w:val="24"/>
          <w:szCs w:val="24"/>
        </w:rPr>
        <w:t>）。</w:t>
      </w:r>
      <w:r>
        <w:rPr>
          <w:rFonts w:ascii="宋体" w:hAnsi="宋体" w:eastAsia="宋体" w:cs="宋体"/>
          <w:spacing w:val="-29"/>
          <w:sz w:val="24"/>
          <w:szCs w:val="24"/>
        </w:rPr>
        <w:t xml:space="preserve"> </w:t>
      </w:r>
      <w:r>
        <w:rPr>
          <w:rFonts w:ascii="宋体" w:hAnsi="宋体" w:eastAsia="宋体" w:cs="宋体"/>
          <w:spacing w:val="-4"/>
          <w:sz w:val="24"/>
          <w:szCs w:val="24"/>
        </w:rPr>
        <w:t xml:space="preserve">省重 </w:t>
      </w:r>
      <w:r>
        <w:rPr>
          <w:rFonts w:ascii="宋体" w:hAnsi="宋体" w:eastAsia="宋体" w:cs="宋体"/>
          <w:spacing w:val="-9"/>
          <w:sz w:val="24"/>
          <w:szCs w:val="24"/>
        </w:rPr>
        <w:t>点保护野生鸟类：</w:t>
      </w:r>
      <w:r>
        <w:rPr>
          <w:rFonts w:ascii="宋体" w:hAnsi="宋体" w:eastAsia="宋体" w:cs="宋体"/>
          <w:spacing w:val="36"/>
          <w:sz w:val="24"/>
          <w:szCs w:val="24"/>
        </w:rPr>
        <w:t xml:space="preserve"> </w:t>
      </w:r>
      <w:r>
        <w:rPr>
          <w:rFonts w:ascii="宋体" w:hAnsi="宋体" w:eastAsia="宋体" w:cs="宋体"/>
          <w:spacing w:val="-9"/>
          <w:sz w:val="24"/>
          <w:szCs w:val="24"/>
        </w:rPr>
        <w:t>四声杜鹃（</w:t>
      </w:r>
      <w:r>
        <w:rPr>
          <w:rFonts w:ascii="Times New Roman" w:hAnsi="Times New Roman" w:eastAsia="Times New Roman" w:cs="Times New Roman"/>
          <w:i/>
          <w:iCs/>
          <w:spacing w:val="-9"/>
          <w:sz w:val="24"/>
          <w:szCs w:val="24"/>
        </w:rPr>
        <w:t>Cuculus micropterus</w:t>
      </w:r>
      <w:r>
        <w:rPr>
          <w:rFonts w:ascii="宋体" w:hAnsi="宋体" w:eastAsia="宋体" w:cs="宋体"/>
          <w:spacing w:val="-9"/>
          <w:sz w:val="24"/>
          <w:szCs w:val="24"/>
        </w:rPr>
        <w:t>）、灰头绿啄木鸟（</w:t>
      </w:r>
      <w:r>
        <w:rPr>
          <w:rFonts w:ascii="Times New Roman" w:hAnsi="Times New Roman" w:eastAsia="Times New Roman" w:cs="Times New Roman"/>
          <w:i/>
          <w:iCs/>
          <w:spacing w:val="-9"/>
          <w:sz w:val="24"/>
          <w:szCs w:val="24"/>
        </w:rPr>
        <w:t>Picus</w:t>
      </w:r>
      <w:r>
        <w:rPr>
          <w:rFonts w:ascii="Times New Roman" w:hAnsi="Times New Roman" w:eastAsia="Times New Roman" w:cs="Times New Roman"/>
          <w:i/>
          <w:iCs/>
          <w:spacing w:val="-10"/>
          <w:sz w:val="24"/>
          <w:szCs w:val="24"/>
        </w:rPr>
        <w:t xml:space="preserve"> canus</w:t>
      </w:r>
      <w:r>
        <w:rPr>
          <w:rFonts w:ascii="宋体" w:hAnsi="宋体" w:eastAsia="宋体" w:cs="宋体"/>
          <w:spacing w:val="-10"/>
          <w:sz w:val="24"/>
          <w:szCs w:val="24"/>
        </w:rPr>
        <w:t>）、</w:t>
      </w:r>
    </w:p>
    <w:p>
      <w:pPr>
        <w:spacing w:line="212" w:lineRule="auto"/>
        <w:ind w:left="37"/>
        <w:rPr>
          <w:rFonts w:ascii="宋体" w:hAnsi="宋体" w:eastAsia="宋体" w:cs="宋体"/>
          <w:sz w:val="24"/>
          <w:szCs w:val="24"/>
        </w:rPr>
      </w:pPr>
      <w:r>
        <w:rPr>
          <w:rFonts w:ascii="宋体" w:hAnsi="宋体" w:eastAsia="宋体" w:cs="宋体"/>
          <w:spacing w:val="4"/>
          <w:sz w:val="24"/>
          <w:szCs w:val="24"/>
        </w:rPr>
        <w:t>黄嘴栗啄木鸟（</w:t>
      </w:r>
      <w:r>
        <w:rPr>
          <w:rFonts w:ascii="Times New Roman" w:hAnsi="Times New Roman" w:eastAsia="Times New Roman" w:cs="Times New Roman"/>
          <w:i/>
          <w:iCs/>
          <w:sz w:val="24"/>
          <w:szCs w:val="24"/>
        </w:rPr>
        <w:t>Blythipicus</w:t>
      </w:r>
      <w:r>
        <w:rPr>
          <w:rFonts w:ascii="Times New Roman" w:hAnsi="Times New Roman" w:eastAsia="Times New Roman" w:cs="Times New Roman"/>
          <w:i/>
          <w:iCs/>
          <w:spacing w:val="-13"/>
          <w:sz w:val="24"/>
          <w:szCs w:val="24"/>
        </w:rPr>
        <w:t xml:space="preserve"> </w:t>
      </w:r>
      <w:r>
        <w:rPr>
          <w:rFonts w:ascii="Times New Roman" w:hAnsi="Times New Roman" w:eastAsia="Times New Roman" w:cs="Times New Roman"/>
          <w:i/>
          <w:iCs/>
          <w:sz w:val="24"/>
          <w:szCs w:val="24"/>
        </w:rPr>
        <w:t>pyrrhotis</w:t>
      </w:r>
      <w:r>
        <w:rPr>
          <w:rFonts w:ascii="宋体" w:hAnsi="宋体" w:eastAsia="宋体" w:cs="宋体"/>
          <w:spacing w:val="4"/>
          <w:sz w:val="24"/>
          <w:szCs w:val="24"/>
        </w:rPr>
        <w:t>）、棕背伯劳（</w:t>
      </w:r>
      <w:r>
        <w:rPr>
          <w:rFonts w:ascii="Times New Roman" w:hAnsi="Times New Roman" w:eastAsia="Times New Roman" w:cs="Times New Roman"/>
          <w:i/>
          <w:iCs/>
          <w:sz w:val="24"/>
          <w:szCs w:val="24"/>
        </w:rPr>
        <w:t>Laniusschach</w:t>
      </w:r>
      <w:r>
        <w:rPr>
          <w:rFonts w:ascii="宋体" w:hAnsi="宋体" w:eastAsia="宋体" w:cs="宋体"/>
          <w:spacing w:val="4"/>
          <w:sz w:val="24"/>
          <w:szCs w:val="24"/>
        </w:rPr>
        <w:t>）。</w:t>
      </w:r>
    </w:p>
    <w:p>
      <w:pPr>
        <w:spacing w:before="202" w:line="217" w:lineRule="auto"/>
        <w:ind w:left="516"/>
        <w:rPr>
          <w:rFonts w:ascii="宋体" w:hAnsi="宋体" w:eastAsia="宋体" w:cs="宋体"/>
          <w:sz w:val="24"/>
          <w:szCs w:val="24"/>
        </w:rPr>
      </w:pPr>
      <w:r>
        <w:rPr>
          <w:rFonts w:ascii="宋体" w:hAnsi="宋体" w:eastAsia="宋体" w:cs="宋体"/>
          <w:spacing w:val="-3"/>
          <w:sz w:val="24"/>
          <w:szCs w:val="24"/>
        </w:rPr>
        <w:t>④兽类</w:t>
      </w:r>
    </w:p>
    <w:p>
      <w:pPr>
        <w:spacing w:before="113" w:line="359" w:lineRule="auto"/>
        <w:ind w:left="38" w:firstLine="479"/>
        <w:rPr>
          <w:rFonts w:ascii="宋体" w:hAnsi="宋体" w:eastAsia="宋体" w:cs="宋体"/>
          <w:sz w:val="24"/>
          <w:szCs w:val="24"/>
        </w:rPr>
      </w:pPr>
      <w:r>
        <w:rPr>
          <w:rFonts w:ascii="宋体" w:hAnsi="宋体" w:eastAsia="宋体" w:cs="宋体"/>
          <w:spacing w:val="-4"/>
          <w:sz w:val="24"/>
          <w:szCs w:val="24"/>
        </w:rPr>
        <w:t>根据资料整理及现场调查，评价区及周边区域内兽类有</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 xml:space="preserve">7  </w:t>
      </w:r>
      <w:r>
        <w:rPr>
          <w:rFonts w:ascii="宋体" w:hAnsi="宋体" w:eastAsia="宋体" w:cs="宋体"/>
          <w:spacing w:val="-4"/>
          <w:sz w:val="24"/>
          <w:szCs w:val="24"/>
        </w:rPr>
        <w:t xml:space="preserve">目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科</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25</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 xml:space="preserve">种，以 </w:t>
      </w:r>
      <w:r>
        <w:rPr>
          <w:rFonts w:ascii="宋体" w:hAnsi="宋体" w:eastAsia="宋体" w:cs="宋体"/>
          <w:spacing w:val="-10"/>
          <w:sz w:val="24"/>
          <w:szCs w:val="24"/>
        </w:rPr>
        <w:t>啮齿目最多，</w:t>
      </w:r>
      <w:r>
        <w:rPr>
          <w:rFonts w:ascii="宋体" w:hAnsi="宋体" w:eastAsia="宋体" w:cs="宋体"/>
          <w:spacing w:val="69"/>
          <w:sz w:val="24"/>
          <w:szCs w:val="24"/>
        </w:rPr>
        <w:t xml:space="preserve"> </w:t>
      </w:r>
      <w:r>
        <w:rPr>
          <w:rFonts w:ascii="宋体" w:hAnsi="宋体" w:eastAsia="宋体" w:cs="宋体"/>
          <w:spacing w:val="-10"/>
          <w:sz w:val="24"/>
          <w:szCs w:val="24"/>
        </w:rPr>
        <w:t>有</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 xml:space="preserve">10 </w:t>
      </w:r>
      <w:r>
        <w:rPr>
          <w:rFonts w:ascii="宋体" w:hAnsi="宋体" w:eastAsia="宋体" w:cs="宋体"/>
          <w:spacing w:val="-10"/>
          <w:sz w:val="24"/>
          <w:szCs w:val="24"/>
        </w:rPr>
        <w:t>种，占总种类数目的</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40%</w:t>
      </w:r>
      <w:r>
        <w:rPr>
          <w:rFonts w:ascii="宋体" w:hAnsi="宋体" w:eastAsia="宋体" w:cs="宋体"/>
          <w:spacing w:val="-10"/>
          <w:sz w:val="24"/>
          <w:szCs w:val="24"/>
        </w:rPr>
        <w:t xml:space="preserve">。本区内国家二级保护野生动物： 短 </w:t>
      </w:r>
      <w:r>
        <w:rPr>
          <w:rFonts w:ascii="宋体" w:hAnsi="宋体" w:eastAsia="宋体" w:cs="宋体"/>
          <w:spacing w:val="-7"/>
          <w:sz w:val="24"/>
          <w:szCs w:val="24"/>
        </w:rPr>
        <w:t>尾猴（</w:t>
      </w:r>
      <w:r>
        <w:rPr>
          <w:rFonts w:ascii="Times New Roman" w:hAnsi="Times New Roman" w:eastAsia="Times New Roman" w:cs="Times New Roman"/>
          <w:i/>
          <w:iCs/>
          <w:spacing w:val="-7"/>
          <w:sz w:val="24"/>
          <w:szCs w:val="24"/>
        </w:rPr>
        <w:t>Macaca arctoides</w:t>
      </w:r>
      <w:r>
        <w:rPr>
          <w:rFonts w:ascii="宋体" w:hAnsi="宋体" w:eastAsia="宋体" w:cs="宋体"/>
          <w:spacing w:val="-7"/>
          <w:sz w:val="24"/>
          <w:szCs w:val="24"/>
        </w:rPr>
        <w:t>）。浙江省重点保护野生动物：</w:t>
      </w:r>
      <w:r>
        <w:rPr>
          <w:rFonts w:ascii="宋体" w:hAnsi="宋体" w:eastAsia="宋体" w:cs="宋体"/>
          <w:spacing w:val="40"/>
          <w:sz w:val="24"/>
          <w:szCs w:val="24"/>
        </w:rPr>
        <w:t xml:space="preserve"> </w:t>
      </w:r>
      <w:r>
        <w:rPr>
          <w:rFonts w:ascii="宋体" w:hAnsi="宋体" w:eastAsia="宋体" w:cs="宋体"/>
          <w:spacing w:val="-7"/>
          <w:sz w:val="24"/>
          <w:szCs w:val="24"/>
        </w:rPr>
        <w:t>黄腹鼬（</w:t>
      </w:r>
      <w:r>
        <w:rPr>
          <w:rFonts w:ascii="Times New Roman" w:hAnsi="Times New Roman" w:eastAsia="Times New Roman" w:cs="Times New Roman"/>
          <w:i/>
          <w:iCs/>
          <w:spacing w:val="-7"/>
          <w:sz w:val="24"/>
          <w:szCs w:val="24"/>
        </w:rPr>
        <w:t>Mustela kathiah</w:t>
      </w:r>
      <w:r>
        <w:rPr>
          <w:rFonts w:ascii="宋体" w:hAnsi="宋体" w:eastAsia="宋体" w:cs="宋体"/>
          <w:spacing w:val="-7"/>
          <w:sz w:val="24"/>
          <w:szCs w:val="24"/>
        </w:rPr>
        <w:t>）、</w:t>
      </w:r>
    </w:p>
    <w:p>
      <w:pPr>
        <w:spacing w:line="212" w:lineRule="auto"/>
        <w:ind w:left="37"/>
        <w:rPr>
          <w:rFonts w:ascii="宋体" w:hAnsi="宋体" w:eastAsia="宋体" w:cs="宋体"/>
          <w:sz w:val="24"/>
          <w:szCs w:val="24"/>
        </w:rPr>
      </w:pPr>
      <w:r>
        <w:rPr>
          <w:rFonts w:ascii="宋体" w:hAnsi="宋体" w:eastAsia="宋体" w:cs="宋体"/>
          <w:sz w:val="24"/>
          <w:szCs w:val="24"/>
        </w:rPr>
        <w:t>黄鼬（</w:t>
      </w:r>
      <w:r>
        <w:rPr>
          <w:rFonts w:ascii="Times New Roman" w:hAnsi="Times New Roman" w:eastAsia="Times New Roman" w:cs="Times New Roman"/>
          <w:i/>
          <w:iCs/>
          <w:sz w:val="24"/>
          <w:szCs w:val="24"/>
        </w:rPr>
        <w:t>Mustela sibirica</w:t>
      </w:r>
      <w:r>
        <w:rPr>
          <w:rFonts w:ascii="宋体" w:hAnsi="宋体" w:eastAsia="宋体" w:cs="宋体"/>
          <w:sz w:val="24"/>
          <w:szCs w:val="24"/>
        </w:rPr>
        <w:t>）、中国豪猪（</w:t>
      </w:r>
      <w:r>
        <w:rPr>
          <w:rFonts w:ascii="Times New Roman" w:hAnsi="Times New Roman" w:eastAsia="Times New Roman" w:cs="Times New Roman"/>
          <w:i/>
          <w:iCs/>
          <w:sz w:val="24"/>
          <w:szCs w:val="24"/>
        </w:rPr>
        <w:t>Hystrix h</w:t>
      </w:r>
      <w:r>
        <w:rPr>
          <w:rFonts w:ascii="Times New Roman" w:hAnsi="Times New Roman" w:eastAsia="Times New Roman" w:cs="Times New Roman"/>
          <w:i/>
          <w:iCs/>
          <w:spacing w:val="-1"/>
          <w:sz w:val="24"/>
          <w:szCs w:val="24"/>
        </w:rPr>
        <w:t>odgsoni</w:t>
      </w:r>
      <w:r>
        <w:rPr>
          <w:rFonts w:ascii="宋体" w:hAnsi="宋体" w:eastAsia="宋体" w:cs="宋体"/>
          <w:spacing w:val="-1"/>
          <w:sz w:val="24"/>
          <w:szCs w:val="24"/>
        </w:rPr>
        <w:t>）。</w:t>
      </w:r>
    </w:p>
    <w:p>
      <w:pPr>
        <w:spacing w:before="193" w:line="359" w:lineRule="auto"/>
        <w:ind w:left="41" w:right="83" w:firstLine="478"/>
        <w:rPr>
          <w:rFonts w:ascii="Times New Roman" w:hAnsi="Times New Roman" w:eastAsia="Times New Roman" w:cs="Times New Roman"/>
          <w:sz w:val="24"/>
          <w:szCs w:val="24"/>
        </w:rPr>
      </w:pPr>
      <w:r>
        <w:rPr>
          <w:rFonts w:ascii="宋体" w:hAnsi="宋体" w:eastAsia="宋体" w:cs="宋体"/>
          <w:spacing w:val="-1"/>
          <w:sz w:val="24"/>
          <w:szCs w:val="24"/>
        </w:rPr>
        <w:t xml:space="preserve">依据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条动物调查样线，结合评价范围相关动物资料，评价区动物生物多样</w:t>
      </w:r>
      <w:r>
        <w:rPr>
          <w:rFonts w:ascii="宋体" w:hAnsi="宋体" w:eastAsia="宋体" w:cs="宋体"/>
          <w:spacing w:val="6"/>
          <w:sz w:val="24"/>
          <w:szCs w:val="24"/>
        </w:rPr>
        <w:t xml:space="preserve"> </w:t>
      </w:r>
      <w:r>
        <w:rPr>
          <w:rFonts w:ascii="宋体" w:hAnsi="宋体" w:eastAsia="宋体" w:cs="宋体"/>
          <w:spacing w:val="-11"/>
          <w:sz w:val="24"/>
          <w:szCs w:val="24"/>
        </w:rPr>
        <w:t xml:space="preserve">性数据为： </w:t>
      </w:r>
      <w:r>
        <w:rPr>
          <w:rFonts w:ascii="Times New Roman" w:hAnsi="Times New Roman" w:eastAsia="Times New Roman" w:cs="Times New Roman"/>
          <w:spacing w:val="-11"/>
          <w:sz w:val="24"/>
          <w:szCs w:val="24"/>
        </w:rPr>
        <w:t>Shannon-Winener</w:t>
      </w:r>
      <w:r>
        <w:rPr>
          <w:rFonts w:ascii="Times New Roman" w:hAnsi="Times New Roman" w:eastAsia="Times New Roman" w:cs="Times New Roman"/>
          <w:spacing w:val="19"/>
          <w:sz w:val="24"/>
          <w:szCs w:val="24"/>
        </w:rPr>
        <w:t xml:space="preserve"> </w:t>
      </w:r>
      <w:r>
        <w:rPr>
          <w:rFonts w:ascii="宋体" w:hAnsi="宋体" w:eastAsia="宋体" w:cs="宋体"/>
          <w:spacing w:val="-11"/>
          <w:sz w:val="24"/>
          <w:szCs w:val="24"/>
        </w:rPr>
        <w:t xml:space="preserve">多样性指数： </w:t>
      </w:r>
      <w:r>
        <w:rPr>
          <w:rFonts w:ascii="Times New Roman" w:hAnsi="Times New Roman" w:eastAsia="Times New Roman" w:cs="Times New Roman"/>
          <w:spacing w:val="-11"/>
          <w:sz w:val="24"/>
          <w:szCs w:val="24"/>
        </w:rPr>
        <w:t>2.97</w:t>
      </w:r>
      <w:r>
        <w:rPr>
          <w:rFonts w:ascii="宋体" w:hAnsi="宋体" w:eastAsia="宋体" w:cs="宋体"/>
          <w:spacing w:val="-11"/>
          <w:sz w:val="24"/>
          <w:szCs w:val="24"/>
        </w:rPr>
        <w:t>；</w:t>
      </w:r>
      <w:r>
        <w:rPr>
          <w:rFonts w:ascii="Times New Roman" w:hAnsi="Times New Roman" w:eastAsia="Times New Roman" w:cs="Times New Roman"/>
          <w:spacing w:val="-11"/>
          <w:sz w:val="24"/>
          <w:szCs w:val="24"/>
        </w:rPr>
        <w:t>Pielou</w:t>
      </w:r>
      <w:r>
        <w:rPr>
          <w:rFonts w:ascii="Times New Roman" w:hAnsi="Times New Roman" w:eastAsia="Times New Roman" w:cs="Times New Roman"/>
          <w:spacing w:val="10"/>
          <w:sz w:val="24"/>
          <w:szCs w:val="24"/>
        </w:rPr>
        <w:t xml:space="preserve"> </w:t>
      </w:r>
      <w:r>
        <w:rPr>
          <w:rFonts w:ascii="宋体" w:hAnsi="宋体" w:eastAsia="宋体" w:cs="宋体"/>
          <w:spacing w:val="-11"/>
          <w:sz w:val="24"/>
          <w:szCs w:val="24"/>
        </w:rPr>
        <w:t>均匀度指数：</w:t>
      </w:r>
      <w:r>
        <w:rPr>
          <w:rFonts w:ascii="宋体" w:hAnsi="宋体" w:eastAsia="宋体" w:cs="宋体"/>
          <w:spacing w:val="21"/>
          <w:sz w:val="24"/>
          <w:szCs w:val="24"/>
        </w:rPr>
        <w:t xml:space="preserve"> </w:t>
      </w:r>
      <w:r>
        <w:rPr>
          <w:rFonts w:ascii="Times New Roman" w:hAnsi="Times New Roman" w:eastAsia="Times New Roman" w:cs="Times New Roman"/>
          <w:spacing w:val="-11"/>
          <w:sz w:val="24"/>
          <w:szCs w:val="24"/>
        </w:rPr>
        <w:t>0.85</w:t>
      </w:r>
      <w:r>
        <w:rPr>
          <w:rFonts w:ascii="宋体" w:hAnsi="宋体" w:eastAsia="宋体" w:cs="宋体"/>
          <w:spacing w:val="-12"/>
          <w:sz w:val="24"/>
          <w:szCs w:val="24"/>
        </w:rPr>
        <w:t>；</w:t>
      </w:r>
      <w:r>
        <w:rPr>
          <w:rFonts w:ascii="Times New Roman" w:hAnsi="Times New Roman" w:eastAsia="Times New Roman" w:cs="Times New Roman"/>
          <w:spacing w:val="-12"/>
          <w:sz w:val="24"/>
          <w:szCs w:val="24"/>
        </w:rPr>
        <w:t>Simpson</w:t>
      </w:r>
    </w:p>
    <w:p>
      <w:pPr>
        <w:spacing w:line="219" w:lineRule="auto"/>
        <w:ind w:left="37"/>
        <w:rPr>
          <w:rFonts w:ascii="宋体" w:hAnsi="宋体" w:eastAsia="宋体" w:cs="宋体"/>
          <w:sz w:val="24"/>
          <w:szCs w:val="24"/>
        </w:rPr>
      </w:pPr>
      <w:r>
        <w:rPr>
          <w:rFonts w:ascii="宋体" w:hAnsi="宋体" w:eastAsia="宋体" w:cs="宋体"/>
          <w:spacing w:val="-18"/>
          <w:sz w:val="24"/>
          <w:szCs w:val="24"/>
        </w:rPr>
        <w:t>优势度指数：</w:t>
      </w:r>
      <w:r>
        <w:rPr>
          <w:rFonts w:ascii="宋体" w:hAnsi="宋体" w:eastAsia="宋体" w:cs="宋体"/>
          <w:spacing w:val="68"/>
          <w:sz w:val="24"/>
          <w:szCs w:val="24"/>
        </w:rPr>
        <w:t xml:space="preserve"> </w:t>
      </w:r>
      <w:r>
        <w:rPr>
          <w:rFonts w:ascii="Times New Roman" w:hAnsi="Times New Roman" w:eastAsia="Times New Roman" w:cs="Times New Roman"/>
          <w:spacing w:val="-18"/>
          <w:sz w:val="24"/>
          <w:szCs w:val="24"/>
        </w:rPr>
        <w:t>0.93</w:t>
      </w:r>
      <w:r>
        <w:rPr>
          <w:rFonts w:ascii="宋体" w:hAnsi="宋体" w:eastAsia="宋体" w:cs="宋体"/>
          <w:spacing w:val="-18"/>
          <w:sz w:val="24"/>
          <w:szCs w:val="24"/>
        </w:rPr>
        <w:t>。</w:t>
      </w:r>
    </w:p>
    <w:p>
      <w:pPr>
        <w:spacing w:before="264" w:line="220" w:lineRule="auto"/>
        <w:ind w:left="513"/>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、野生重点保护动物调查的准确性和规范性的说明</w:t>
      </w:r>
    </w:p>
    <w:p>
      <w:pPr>
        <w:spacing w:line="220" w:lineRule="auto"/>
        <w:rPr>
          <w:rFonts w:ascii="宋体" w:hAnsi="宋体" w:eastAsia="宋体" w:cs="宋体"/>
          <w:sz w:val="24"/>
          <w:szCs w:val="24"/>
        </w:rPr>
        <w:sectPr>
          <w:headerReference r:id="rId232" w:type="default"/>
          <w:footerReference r:id="rId233" w:type="default"/>
          <w:pgSz w:w="11907" w:h="16839"/>
          <w:pgMar w:top="1288" w:right="1612" w:bottom="1151" w:left="1673" w:header="1047" w:footer="990" w:gutter="0"/>
          <w:cols w:space="720" w:num="1"/>
        </w:sectPr>
      </w:pPr>
    </w:p>
    <w:p>
      <w:pPr>
        <w:pStyle w:val="2"/>
        <w:spacing w:line="338" w:lineRule="auto"/>
      </w:pPr>
    </w:p>
    <w:p>
      <w:pPr>
        <w:spacing w:before="78"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）野生重点保护动物调查的规范性</w:t>
      </w:r>
    </w:p>
    <w:p>
      <w:pPr>
        <w:spacing w:before="193" w:line="219" w:lineRule="auto"/>
        <w:ind w:left="530"/>
        <w:rPr>
          <w:rFonts w:ascii="宋体" w:hAnsi="宋体" w:eastAsia="宋体" w:cs="宋体"/>
          <w:sz w:val="24"/>
          <w:szCs w:val="24"/>
        </w:rPr>
      </w:pPr>
      <w:r>
        <w:rPr>
          <w:rFonts w:ascii="宋体" w:hAnsi="宋体" w:eastAsia="宋体" w:cs="宋体"/>
          <w:spacing w:val="-2"/>
          <w:sz w:val="24"/>
          <w:szCs w:val="24"/>
        </w:rPr>
        <w:t>陆生动物的调查主要采用目击、访问和资料收集方法。</w:t>
      </w:r>
    </w:p>
    <w:p>
      <w:pPr>
        <w:spacing w:before="193" w:line="368" w:lineRule="auto"/>
        <w:ind w:left="38" w:right="106" w:firstLine="478"/>
        <w:rPr>
          <w:rFonts w:ascii="宋体" w:hAnsi="宋体" w:eastAsia="宋体" w:cs="宋体"/>
          <w:sz w:val="24"/>
          <w:szCs w:val="24"/>
        </w:rPr>
      </w:pPr>
      <w:r>
        <w:rPr>
          <w:rFonts w:ascii="宋体" w:hAnsi="宋体" w:eastAsia="宋体" w:cs="宋体"/>
          <w:spacing w:val="1"/>
          <w:sz w:val="24"/>
          <w:szCs w:val="24"/>
        </w:rPr>
        <w:t>①检索相关地区</w:t>
      </w:r>
      <w:r>
        <w:rPr>
          <w:rFonts w:ascii="Times New Roman" w:hAnsi="Times New Roman" w:eastAsia="Times New Roman" w:cs="Times New Roman"/>
          <w:spacing w:val="1"/>
          <w:sz w:val="24"/>
          <w:szCs w:val="24"/>
        </w:rPr>
        <w:t>/</w:t>
      </w:r>
      <w:r>
        <w:rPr>
          <w:rFonts w:ascii="宋体" w:hAnsi="宋体" w:eastAsia="宋体" w:cs="宋体"/>
          <w:spacing w:val="1"/>
          <w:sz w:val="24"/>
          <w:szCs w:val="24"/>
        </w:rPr>
        <w:t>区域的文献报道、新闻报道，依据《</w:t>
      </w:r>
      <w:r>
        <w:rPr>
          <w:rFonts w:ascii="宋体" w:hAnsi="宋体" w:eastAsia="宋体" w:cs="宋体"/>
          <w:sz w:val="24"/>
          <w:szCs w:val="24"/>
        </w:rPr>
        <w:t xml:space="preserve">浙江动物志》对陆生动 </w:t>
      </w:r>
      <w:r>
        <w:rPr>
          <w:rFonts w:ascii="宋体" w:hAnsi="宋体" w:eastAsia="宋体" w:cs="宋体"/>
          <w:spacing w:val="3"/>
          <w:sz w:val="24"/>
          <w:szCs w:val="24"/>
        </w:rPr>
        <w:t>物的习性、分布、生境等描述，整理本地区可能存在</w:t>
      </w:r>
      <w:r>
        <w:rPr>
          <w:rFonts w:ascii="宋体" w:hAnsi="宋体" w:eastAsia="宋体" w:cs="宋体"/>
          <w:spacing w:val="2"/>
          <w:sz w:val="24"/>
          <w:szCs w:val="24"/>
        </w:rPr>
        <w:t>的动物种群，调查时对相关</w:t>
      </w:r>
    </w:p>
    <w:p>
      <w:pPr>
        <w:spacing w:line="218" w:lineRule="auto"/>
        <w:ind w:left="40"/>
        <w:rPr>
          <w:rFonts w:ascii="宋体" w:hAnsi="宋体" w:eastAsia="宋体" w:cs="宋体"/>
          <w:sz w:val="24"/>
          <w:szCs w:val="24"/>
        </w:rPr>
      </w:pPr>
      <w:r>
        <w:rPr>
          <w:rFonts w:ascii="宋体" w:hAnsi="宋体" w:eastAsia="宋体" w:cs="宋体"/>
          <w:spacing w:val="-1"/>
          <w:sz w:val="24"/>
          <w:szCs w:val="24"/>
        </w:rPr>
        <w:t>生境核对校实，参考当地或邻近地区已有的动物资源清查报告等。</w:t>
      </w:r>
    </w:p>
    <w:p>
      <w:pPr>
        <w:spacing w:before="195" w:line="368" w:lineRule="auto"/>
        <w:ind w:left="40" w:right="40" w:firstLine="476"/>
        <w:rPr>
          <w:rFonts w:ascii="宋体" w:hAnsi="宋体" w:eastAsia="宋体" w:cs="宋体"/>
          <w:sz w:val="24"/>
          <w:szCs w:val="24"/>
        </w:rPr>
      </w:pPr>
      <w:r>
        <w:rPr>
          <w:rFonts w:ascii="宋体" w:hAnsi="宋体" w:eastAsia="宋体" w:cs="宋体"/>
          <w:spacing w:val="3"/>
          <w:sz w:val="24"/>
          <w:szCs w:val="24"/>
        </w:rPr>
        <w:t>②于现场进行样线调查。对评价区内陆生动物的种类、</w:t>
      </w:r>
      <w:r>
        <w:rPr>
          <w:rFonts w:ascii="宋体" w:hAnsi="宋体" w:eastAsia="宋体" w:cs="宋体"/>
          <w:spacing w:val="2"/>
          <w:sz w:val="24"/>
          <w:szCs w:val="24"/>
        </w:rPr>
        <w:t>资源状况及生存状况</w:t>
      </w:r>
      <w:r>
        <w:rPr>
          <w:rFonts w:ascii="宋体" w:hAnsi="宋体" w:eastAsia="宋体" w:cs="宋体"/>
          <w:sz w:val="24"/>
          <w:szCs w:val="24"/>
        </w:rPr>
        <w:t xml:space="preserve"> </w:t>
      </w:r>
      <w:r>
        <w:rPr>
          <w:rFonts w:ascii="宋体" w:hAnsi="宋体" w:eastAsia="宋体" w:cs="宋体"/>
          <w:spacing w:val="2"/>
          <w:sz w:val="24"/>
          <w:szCs w:val="24"/>
        </w:rPr>
        <w:t>等进行调查。其中，兽类调查以资料查询法为主，野外踪迹调查为辅，再结合访</w:t>
      </w:r>
      <w:r>
        <w:rPr>
          <w:rFonts w:ascii="宋体" w:hAnsi="宋体" w:eastAsia="宋体" w:cs="宋体"/>
          <w:spacing w:val="12"/>
          <w:sz w:val="24"/>
          <w:szCs w:val="24"/>
        </w:rPr>
        <w:t xml:space="preserve"> </w:t>
      </w:r>
      <w:r>
        <w:rPr>
          <w:rFonts w:ascii="宋体" w:hAnsi="宋体" w:eastAsia="宋体" w:cs="宋体"/>
          <w:spacing w:val="2"/>
          <w:sz w:val="24"/>
          <w:szCs w:val="24"/>
        </w:rPr>
        <w:t>问调查及市场调查确定种类及数量等。鸟类调查以资料查询法和现场环境调查法</w:t>
      </w:r>
      <w:r>
        <w:rPr>
          <w:rFonts w:ascii="宋体" w:hAnsi="宋体" w:eastAsia="宋体" w:cs="宋体"/>
          <w:spacing w:val="12"/>
          <w:sz w:val="24"/>
          <w:szCs w:val="24"/>
        </w:rPr>
        <w:t xml:space="preserve"> </w:t>
      </w:r>
      <w:r>
        <w:rPr>
          <w:rFonts w:ascii="宋体" w:hAnsi="宋体" w:eastAsia="宋体" w:cs="宋体"/>
          <w:spacing w:val="2"/>
          <w:sz w:val="24"/>
          <w:szCs w:val="24"/>
        </w:rPr>
        <w:t>为主，观察鸟类残体、痕迹（足迹、采食残迹）、食物来源，同时访问当地群众</w:t>
      </w:r>
      <w:r>
        <w:rPr>
          <w:rFonts w:ascii="宋体" w:hAnsi="宋体" w:eastAsia="宋体" w:cs="宋体"/>
          <w:spacing w:val="12"/>
          <w:sz w:val="24"/>
          <w:szCs w:val="24"/>
        </w:rPr>
        <w:t xml:space="preserve"> </w:t>
      </w:r>
      <w:r>
        <w:rPr>
          <w:rFonts w:ascii="宋体" w:hAnsi="宋体" w:eastAsia="宋体" w:cs="宋体"/>
          <w:spacing w:val="-2"/>
          <w:sz w:val="24"/>
          <w:szCs w:val="24"/>
        </w:rPr>
        <w:t>等。两栖类与爬行类主要在大面积水域处及其它适合其生</w:t>
      </w:r>
      <w:r>
        <w:rPr>
          <w:rFonts w:ascii="宋体" w:hAnsi="宋体" w:eastAsia="宋体" w:cs="宋体"/>
          <w:spacing w:val="-3"/>
          <w:sz w:val="24"/>
          <w:szCs w:val="24"/>
        </w:rPr>
        <w:t>存的生境中采用样点法，</w:t>
      </w:r>
    </w:p>
    <w:p>
      <w:pPr>
        <w:spacing w:before="1" w:line="219" w:lineRule="auto"/>
        <w:ind w:left="38"/>
        <w:rPr>
          <w:rFonts w:ascii="宋体" w:hAnsi="宋体" w:eastAsia="宋体" w:cs="宋体"/>
          <w:sz w:val="24"/>
          <w:szCs w:val="24"/>
        </w:rPr>
      </w:pPr>
      <w:r>
        <w:rPr>
          <w:rFonts w:ascii="宋体" w:hAnsi="宋体" w:eastAsia="宋体" w:cs="宋体"/>
          <w:spacing w:val="-1"/>
          <w:sz w:val="24"/>
          <w:szCs w:val="24"/>
        </w:rPr>
        <w:t>观察其种类与数量。除此外，蛇类调查可利用彩色</w:t>
      </w:r>
      <w:r>
        <w:rPr>
          <w:rFonts w:ascii="宋体" w:hAnsi="宋体" w:eastAsia="宋体" w:cs="宋体"/>
          <w:spacing w:val="-2"/>
          <w:sz w:val="24"/>
          <w:szCs w:val="24"/>
        </w:rPr>
        <w:t>蛇类图谱访问当地群众。</w:t>
      </w:r>
    </w:p>
    <w:p>
      <w:pPr>
        <w:spacing w:before="192" w:line="368" w:lineRule="auto"/>
        <w:ind w:left="37" w:firstLine="482"/>
        <w:rPr>
          <w:rFonts w:ascii="宋体" w:hAnsi="宋体" w:eastAsia="宋体" w:cs="宋体"/>
          <w:sz w:val="24"/>
          <w:szCs w:val="24"/>
        </w:rPr>
      </w:pPr>
      <w:r>
        <w:rPr>
          <w:rFonts w:ascii="宋体" w:hAnsi="宋体" w:eastAsia="宋体" w:cs="宋体"/>
          <w:spacing w:val="2"/>
          <w:sz w:val="24"/>
          <w:szCs w:val="24"/>
        </w:rPr>
        <w:t>上述调查得到的种类中，若存在相关重点保护物种则需进行进一步调查与核</w:t>
      </w:r>
      <w:r>
        <w:rPr>
          <w:rFonts w:ascii="宋体" w:hAnsi="宋体" w:eastAsia="宋体" w:cs="宋体"/>
          <w:spacing w:val="8"/>
          <w:sz w:val="24"/>
          <w:szCs w:val="24"/>
        </w:rPr>
        <w:t xml:space="preserve">  </w:t>
      </w:r>
      <w:r>
        <w:rPr>
          <w:rFonts w:ascii="宋体" w:hAnsi="宋体" w:eastAsia="宋体" w:cs="宋体"/>
          <w:spacing w:val="2"/>
          <w:sz w:val="24"/>
          <w:szCs w:val="24"/>
        </w:rPr>
        <w:t>实。对有疑问动物、重点保护动物尽量采集凭证标本并拍摄照片。此外，在重点</w:t>
      </w:r>
      <w:r>
        <w:rPr>
          <w:rFonts w:ascii="宋体" w:hAnsi="宋体" w:eastAsia="宋体" w:cs="宋体"/>
          <w:spacing w:val="7"/>
          <w:sz w:val="24"/>
          <w:szCs w:val="24"/>
        </w:rPr>
        <w:t xml:space="preserve">  </w:t>
      </w:r>
      <w:r>
        <w:rPr>
          <w:rFonts w:ascii="宋体" w:hAnsi="宋体" w:eastAsia="宋体" w:cs="宋体"/>
          <w:spacing w:val="-1"/>
          <w:sz w:val="24"/>
          <w:szCs w:val="24"/>
        </w:rPr>
        <w:t>施工区域（如隧道施工区、互通施工区、弃渣场及植被好的路段、公园、</w:t>
      </w:r>
      <w:r>
        <w:rPr>
          <w:rFonts w:ascii="宋体" w:hAnsi="宋体" w:eastAsia="宋体" w:cs="宋体"/>
          <w:spacing w:val="-2"/>
          <w:sz w:val="24"/>
          <w:szCs w:val="24"/>
        </w:rPr>
        <w:t>景区等）</w:t>
      </w:r>
    </w:p>
    <w:p>
      <w:pPr>
        <w:spacing w:before="1" w:line="220" w:lineRule="auto"/>
        <w:ind w:left="43"/>
        <w:rPr>
          <w:rFonts w:ascii="宋体" w:hAnsi="宋体" w:eastAsia="宋体" w:cs="宋体"/>
          <w:sz w:val="24"/>
          <w:szCs w:val="24"/>
        </w:rPr>
      </w:pPr>
      <w:r>
        <w:rPr>
          <w:rFonts w:ascii="宋体" w:hAnsi="宋体" w:eastAsia="宋体" w:cs="宋体"/>
          <w:spacing w:val="-7"/>
          <w:sz w:val="24"/>
          <w:szCs w:val="24"/>
        </w:rPr>
        <w:t>实行重点调查。</w:t>
      </w:r>
    </w:p>
    <w:p>
      <w:pPr>
        <w:spacing w:before="193" w:line="219" w:lineRule="auto"/>
        <w:ind w:left="519"/>
        <w:rPr>
          <w:rFonts w:ascii="宋体" w:hAnsi="宋体" w:eastAsia="宋体" w:cs="宋体"/>
          <w:sz w:val="24"/>
          <w:szCs w:val="24"/>
        </w:rPr>
      </w:pPr>
      <w:r>
        <w:rPr>
          <w:rFonts w:ascii="宋体" w:hAnsi="宋体" w:eastAsia="宋体" w:cs="宋体"/>
          <w:spacing w:val="-2"/>
          <w:sz w:val="24"/>
          <w:szCs w:val="24"/>
        </w:rPr>
        <w:t>本次陆生动物和野生重点保护动物调查调查方法符合相关规范要求。</w:t>
      </w:r>
    </w:p>
    <w:p>
      <w:pPr>
        <w:spacing w:before="193"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）野生重点保护动物调查的准确性</w:t>
      </w:r>
    </w:p>
    <w:p>
      <w:pPr>
        <w:spacing w:before="194" w:line="478" w:lineRule="exact"/>
        <w:ind w:left="545"/>
        <w:rPr>
          <w:rFonts w:ascii="宋体" w:hAnsi="宋体" w:eastAsia="宋体" w:cs="宋体"/>
          <w:sz w:val="24"/>
          <w:szCs w:val="24"/>
        </w:rPr>
      </w:pPr>
      <w:r>
        <w:rPr>
          <w:rFonts w:ascii="宋体" w:hAnsi="宋体" w:eastAsia="宋体" w:cs="宋体"/>
          <w:spacing w:val="2"/>
          <w:position w:val="18"/>
          <w:sz w:val="24"/>
          <w:szCs w:val="24"/>
        </w:rPr>
        <w:t>以下几个因素可能会影响野生重点保护动物调查的准确性</w:t>
      </w:r>
      <w:r>
        <w:rPr>
          <w:rFonts w:ascii="宋体" w:hAnsi="宋体" w:eastAsia="宋体" w:cs="宋体"/>
          <w:spacing w:val="1"/>
          <w:position w:val="18"/>
          <w:sz w:val="24"/>
          <w:szCs w:val="24"/>
        </w:rPr>
        <w:t>，造成调查结果与</w:t>
      </w:r>
    </w:p>
    <w:p>
      <w:pPr>
        <w:spacing w:line="220" w:lineRule="auto"/>
        <w:ind w:left="55"/>
        <w:rPr>
          <w:rFonts w:ascii="宋体" w:hAnsi="宋体" w:eastAsia="宋体" w:cs="宋体"/>
          <w:sz w:val="24"/>
          <w:szCs w:val="24"/>
        </w:rPr>
      </w:pPr>
      <w:r>
        <w:rPr>
          <w:rFonts w:ascii="宋体" w:hAnsi="宋体" w:eastAsia="宋体" w:cs="宋体"/>
          <w:spacing w:val="-7"/>
          <w:sz w:val="24"/>
          <w:szCs w:val="24"/>
        </w:rPr>
        <w:t>区域实际有一定出入：</w:t>
      </w:r>
    </w:p>
    <w:p>
      <w:pPr>
        <w:spacing w:before="191" w:line="480" w:lineRule="exact"/>
        <w:ind w:left="517"/>
        <w:rPr>
          <w:rFonts w:ascii="宋体" w:hAnsi="宋体" w:eastAsia="宋体" w:cs="宋体"/>
          <w:sz w:val="24"/>
          <w:szCs w:val="24"/>
        </w:rPr>
      </w:pPr>
      <w:r>
        <w:rPr>
          <w:rFonts w:ascii="宋体" w:hAnsi="宋体" w:eastAsia="宋体" w:cs="宋体"/>
          <w:spacing w:val="3"/>
          <w:position w:val="18"/>
          <w:sz w:val="24"/>
          <w:szCs w:val="24"/>
        </w:rPr>
        <w:t>①调查方法的局限性，如资料记载的时限性、调查访问的局限性</w:t>
      </w:r>
      <w:r>
        <w:rPr>
          <w:rFonts w:ascii="宋体" w:hAnsi="宋体" w:eastAsia="宋体" w:cs="宋体"/>
          <w:spacing w:val="2"/>
          <w:position w:val="18"/>
          <w:sz w:val="24"/>
          <w:szCs w:val="24"/>
        </w:rPr>
        <w:t>、调查样线</w:t>
      </w:r>
    </w:p>
    <w:p>
      <w:pPr>
        <w:spacing w:before="1" w:line="219" w:lineRule="auto"/>
        <w:ind w:left="41"/>
        <w:rPr>
          <w:rFonts w:ascii="宋体" w:hAnsi="宋体" w:eastAsia="宋体" w:cs="宋体"/>
          <w:sz w:val="24"/>
          <w:szCs w:val="24"/>
        </w:rPr>
      </w:pPr>
      <w:r>
        <w:rPr>
          <w:rFonts w:ascii="宋体" w:hAnsi="宋体" w:eastAsia="宋体" w:cs="宋体"/>
          <w:spacing w:val="-6"/>
          <w:sz w:val="24"/>
          <w:szCs w:val="24"/>
        </w:rPr>
        <w:t>线路的有限性等；</w:t>
      </w:r>
    </w:p>
    <w:p>
      <w:pPr>
        <w:spacing w:before="193" w:line="477" w:lineRule="exact"/>
        <w:ind w:left="516"/>
        <w:rPr>
          <w:rFonts w:ascii="宋体" w:hAnsi="宋体" w:eastAsia="宋体" w:cs="宋体"/>
          <w:sz w:val="24"/>
          <w:szCs w:val="24"/>
        </w:rPr>
      </w:pPr>
      <w:r>
        <w:rPr>
          <w:rFonts w:ascii="宋体" w:hAnsi="宋体" w:eastAsia="宋体" w:cs="宋体"/>
          <w:spacing w:val="3"/>
          <w:position w:val="18"/>
          <w:sz w:val="24"/>
          <w:szCs w:val="24"/>
        </w:rPr>
        <w:t>②动物自身的生物特性，如活动时间、活动区域</w:t>
      </w:r>
      <w:r>
        <w:rPr>
          <w:rFonts w:ascii="宋体" w:hAnsi="宋体" w:eastAsia="宋体" w:cs="宋体"/>
          <w:spacing w:val="2"/>
          <w:position w:val="18"/>
          <w:sz w:val="24"/>
          <w:szCs w:val="24"/>
        </w:rPr>
        <w:t>与实地考察的时间、线路等</w:t>
      </w:r>
    </w:p>
    <w:p>
      <w:pPr>
        <w:spacing w:before="1" w:line="221" w:lineRule="auto"/>
        <w:ind w:left="42"/>
        <w:rPr>
          <w:rFonts w:ascii="宋体" w:hAnsi="宋体" w:eastAsia="宋体" w:cs="宋体"/>
          <w:sz w:val="24"/>
          <w:szCs w:val="24"/>
        </w:rPr>
      </w:pPr>
      <w:r>
        <w:rPr>
          <w:rFonts w:ascii="宋体" w:hAnsi="宋体" w:eastAsia="宋体" w:cs="宋体"/>
          <w:spacing w:val="-14"/>
          <w:sz w:val="24"/>
          <w:szCs w:val="24"/>
        </w:rPr>
        <w:t>不重叠；</w:t>
      </w:r>
    </w:p>
    <w:p>
      <w:pPr>
        <w:spacing w:before="193" w:line="217" w:lineRule="auto"/>
        <w:ind w:right="15"/>
        <w:jc w:val="right"/>
        <w:rPr>
          <w:rFonts w:ascii="宋体" w:hAnsi="宋体" w:eastAsia="宋体" w:cs="宋体"/>
          <w:sz w:val="24"/>
          <w:szCs w:val="24"/>
        </w:rPr>
      </w:pPr>
      <w:r>
        <w:rPr>
          <w:rFonts w:ascii="宋体" w:hAnsi="宋体" w:eastAsia="宋体" w:cs="宋体"/>
          <w:spacing w:val="-7"/>
          <w:sz w:val="24"/>
          <w:szCs w:val="24"/>
        </w:rPr>
        <w:t>③动物自身的生物特性，</w:t>
      </w:r>
      <w:r>
        <w:rPr>
          <w:rFonts w:ascii="宋体" w:hAnsi="宋体" w:eastAsia="宋体" w:cs="宋体"/>
          <w:spacing w:val="63"/>
          <w:sz w:val="24"/>
          <w:szCs w:val="24"/>
        </w:rPr>
        <w:t xml:space="preserve"> </w:t>
      </w:r>
      <w:r>
        <w:rPr>
          <w:rFonts w:ascii="宋体" w:hAnsi="宋体" w:eastAsia="宋体" w:cs="宋体"/>
          <w:spacing w:val="-7"/>
          <w:sz w:val="24"/>
          <w:szCs w:val="24"/>
        </w:rPr>
        <w:t>如迁徙等迁徙至远离调查区域的另外一个区域环境。</w:t>
      </w:r>
    </w:p>
    <w:p>
      <w:pPr>
        <w:spacing w:before="268" w:line="220" w:lineRule="auto"/>
        <w:ind w:left="34"/>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4.5.3 </w:t>
      </w:r>
      <w:r>
        <w:rPr>
          <w:rFonts w:ascii="宋体" w:hAnsi="宋体" w:eastAsia="宋体" w:cs="宋体"/>
          <w:spacing w:val="-1"/>
          <w:sz w:val="24"/>
          <w:szCs w:val="24"/>
          <w14:textOutline w14:w="4354" w14:cap="flat" w14:cmpd="sng">
            <w14:solidFill>
              <w14:srgbClr w14:val="000000"/>
            </w14:solidFill>
            <w14:prstDash w14:val="solid"/>
            <w14:miter w14:val="0"/>
          </w14:textOutline>
        </w:rPr>
        <w:t>水生生物</w:t>
      </w:r>
    </w:p>
    <w:p>
      <w:pPr>
        <w:spacing w:before="183" w:line="468" w:lineRule="exact"/>
        <w:ind w:left="519"/>
        <w:rPr>
          <w:rFonts w:ascii="宋体" w:hAnsi="宋体" w:eastAsia="宋体" w:cs="宋体"/>
          <w:sz w:val="24"/>
          <w:szCs w:val="24"/>
        </w:rPr>
      </w:pPr>
      <w:r>
        <w:rPr>
          <w:rFonts w:ascii="宋体" w:hAnsi="宋体" w:eastAsia="宋体" w:cs="宋体"/>
          <w:spacing w:val="2"/>
          <w:position w:val="17"/>
          <w:sz w:val="24"/>
          <w:szCs w:val="24"/>
        </w:rPr>
        <w:t>本节引用温州市渔业学会编制的《文成县渔业资源现状及渔业生态发展规划</w:t>
      </w:r>
    </w:p>
    <w:p>
      <w:pPr>
        <w:spacing w:before="1" w:line="219" w:lineRule="auto"/>
        <w:ind w:left="4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2020-2025 </w:t>
      </w:r>
      <w:r>
        <w:rPr>
          <w:rFonts w:ascii="宋体" w:hAnsi="宋体" w:eastAsia="宋体" w:cs="宋体"/>
          <w:spacing w:val="-3"/>
          <w:sz w:val="24"/>
          <w:szCs w:val="24"/>
        </w:rPr>
        <w:t>年）》成果。</w:t>
      </w:r>
    </w:p>
    <w:p>
      <w:pPr>
        <w:spacing w:before="179"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）浮游植物</w:t>
      </w:r>
    </w:p>
    <w:p>
      <w:pPr>
        <w:spacing w:line="220" w:lineRule="auto"/>
        <w:rPr>
          <w:rFonts w:ascii="宋体" w:hAnsi="宋体" w:eastAsia="宋体" w:cs="宋体"/>
          <w:sz w:val="24"/>
          <w:szCs w:val="24"/>
        </w:rPr>
        <w:sectPr>
          <w:headerReference r:id="rId234" w:type="default"/>
          <w:footerReference r:id="rId235" w:type="default"/>
          <w:pgSz w:w="11907" w:h="16839"/>
          <w:pgMar w:top="1288" w:right="1594" w:bottom="1151" w:left="1673" w:header="1047" w:footer="990" w:gutter="0"/>
          <w:cols w:space="720" w:num="1"/>
        </w:sectPr>
      </w:pPr>
    </w:p>
    <w:p>
      <w:pPr>
        <w:pStyle w:val="2"/>
        <w:spacing w:line="255" w:lineRule="auto"/>
      </w:pPr>
    </w:p>
    <w:p>
      <w:pPr>
        <w:spacing w:before="78" w:line="359" w:lineRule="auto"/>
        <w:ind w:left="38" w:right="9" w:firstLine="481"/>
        <w:rPr>
          <w:rFonts w:ascii="宋体" w:hAnsi="宋体" w:eastAsia="宋体" w:cs="宋体"/>
          <w:sz w:val="24"/>
          <w:szCs w:val="24"/>
        </w:rPr>
      </w:pPr>
      <w:r>
        <w:rPr>
          <w:rFonts w:ascii="宋体" w:hAnsi="宋体" w:eastAsia="宋体" w:cs="宋体"/>
          <w:spacing w:val="-2"/>
          <w:sz w:val="24"/>
          <w:szCs w:val="24"/>
        </w:rPr>
        <w:t>文成县浮游植物生物量平均为</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0.546 mg/L</w:t>
      </w:r>
      <w:r>
        <w:rPr>
          <w:rFonts w:ascii="宋体" w:hAnsi="宋体" w:eastAsia="宋体" w:cs="宋体"/>
          <w:spacing w:val="-2"/>
          <w:sz w:val="24"/>
          <w:szCs w:val="24"/>
        </w:rPr>
        <w:t>，经鉴定共检出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37"/>
          <w:w w:val="101"/>
          <w:sz w:val="24"/>
          <w:szCs w:val="24"/>
        </w:rPr>
        <w:t xml:space="preserve"> </w:t>
      </w:r>
      <w:r>
        <w:rPr>
          <w:rFonts w:ascii="宋体" w:hAnsi="宋体" w:eastAsia="宋体" w:cs="宋体"/>
          <w:spacing w:val="-2"/>
          <w:sz w:val="24"/>
          <w:szCs w:val="24"/>
        </w:rPr>
        <w:t>门</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32 </w:t>
      </w:r>
      <w:r>
        <w:rPr>
          <w:rFonts w:ascii="宋体" w:hAnsi="宋体" w:eastAsia="宋体" w:cs="宋体"/>
          <w:spacing w:val="-2"/>
          <w:sz w:val="24"/>
          <w:szCs w:val="24"/>
        </w:rPr>
        <w:t>种（属）藻</w:t>
      </w:r>
      <w:r>
        <w:rPr>
          <w:rFonts w:ascii="宋体" w:hAnsi="宋体" w:eastAsia="宋体" w:cs="宋体"/>
          <w:sz w:val="24"/>
          <w:szCs w:val="24"/>
        </w:rPr>
        <w:t xml:space="preserve"> </w:t>
      </w:r>
      <w:r>
        <w:rPr>
          <w:rFonts w:ascii="宋体" w:hAnsi="宋体" w:eastAsia="宋体" w:cs="宋体"/>
          <w:spacing w:val="-3"/>
          <w:sz w:val="24"/>
          <w:szCs w:val="24"/>
        </w:rPr>
        <w:t>类，其中蓝藻门</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种（属</w:t>
      </w:r>
      <w:r>
        <w:rPr>
          <w:rFonts w:ascii="宋体" w:hAnsi="宋体" w:eastAsia="宋体" w:cs="宋体"/>
          <w:spacing w:val="3"/>
          <w:sz w:val="24"/>
          <w:szCs w:val="24"/>
        </w:rPr>
        <w:t>），</w:t>
      </w:r>
      <w:r>
        <w:rPr>
          <w:rFonts w:ascii="宋体" w:hAnsi="宋体" w:eastAsia="宋体" w:cs="宋体"/>
          <w:spacing w:val="-3"/>
          <w:sz w:val="24"/>
          <w:szCs w:val="24"/>
        </w:rPr>
        <w:t>占</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9.4%</w:t>
      </w:r>
      <w:r>
        <w:rPr>
          <w:rFonts w:ascii="宋体" w:hAnsi="宋体" w:eastAsia="宋体" w:cs="宋体"/>
          <w:spacing w:val="-3"/>
          <w:sz w:val="24"/>
          <w:szCs w:val="24"/>
        </w:rPr>
        <w:t>；绿藻门</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种（属</w:t>
      </w:r>
      <w:r>
        <w:rPr>
          <w:rFonts w:ascii="宋体" w:hAnsi="宋体" w:eastAsia="宋体" w:cs="宋体"/>
          <w:spacing w:val="3"/>
          <w:sz w:val="24"/>
          <w:szCs w:val="24"/>
        </w:rPr>
        <w:t>），</w:t>
      </w:r>
      <w:r>
        <w:rPr>
          <w:rFonts w:ascii="宋体" w:hAnsi="宋体" w:eastAsia="宋体" w:cs="宋体"/>
          <w:spacing w:val="-4"/>
          <w:sz w:val="24"/>
          <w:szCs w:val="24"/>
        </w:rPr>
        <w:t>占</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46.9%</w:t>
      </w:r>
      <w:r>
        <w:rPr>
          <w:rFonts w:ascii="宋体" w:hAnsi="宋体" w:eastAsia="宋体" w:cs="宋体"/>
          <w:spacing w:val="-4"/>
          <w:sz w:val="24"/>
          <w:szCs w:val="24"/>
        </w:rPr>
        <w:t xml:space="preserve">；硅藻门 </w:t>
      </w:r>
      <w:r>
        <w:rPr>
          <w:rFonts w:ascii="Times New Roman" w:hAnsi="Times New Roman" w:eastAsia="Times New Roman" w:cs="Times New Roman"/>
          <w:spacing w:val="-4"/>
          <w:sz w:val="24"/>
          <w:szCs w:val="24"/>
        </w:rPr>
        <w:t>8</w:t>
      </w:r>
      <w:r>
        <w:rPr>
          <w:rFonts w:ascii="Times New Roman" w:hAnsi="Times New Roman" w:eastAsia="Times New Roman" w:cs="Times New Roman"/>
          <w:sz w:val="24"/>
          <w:szCs w:val="24"/>
        </w:rPr>
        <w:t xml:space="preserve">  </w:t>
      </w:r>
      <w:r>
        <w:rPr>
          <w:rFonts w:ascii="宋体" w:hAnsi="宋体" w:eastAsia="宋体" w:cs="宋体"/>
          <w:spacing w:val="-4"/>
          <w:sz w:val="24"/>
          <w:szCs w:val="24"/>
        </w:rPr>
        <w:t>种（属</w:t>
      </w:r>
      <w:r>
        <w:rPr>
          <w:rFonts w:ascii="宋体" w:hAnsi="宋体" w:eastAsia="宋体" w:cs="宋体"/>
          <w:spacing w:val="-3"/>
          <w:sz w:val="24"/>
          <w:szCs w:val="24"/>
        </w:rPr>
        <w:t>），</w:t>
      </w:r>
      <w:r>
        <w:rPr>
          <w:rFonts w:ascii="宋体" w:hAnsi="宋体" w:eastAsia="宋体" w:cs="宋体"/>
          <w:spacing w:val="-4"/>
          <w:sz w:val="24"/>
          <w:szCs w:val="24"/>
        </w:rPr>
        <w:t>占</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25%</w:t>
      </w:r>
      <w:r>
        <w:rPr>
          <w:rFonts w:ascii="宋体" w:hAnsi="宋体" w:eastAsia="宋体" w:cs="宋体"/>
          <w:spacing w:val="-4"/>
          <w:sz w:val="24"/>
          <w:szCs w:val="24"/>
        </w:rPr>
        <w:t>；隐藻门</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种（属</w:t>
      </w:r>
      <w:r>
        <w:rPr>
          <w:rFonts w:ascii="宋体" w:hAnsi="宋体" w:eastAsia="宋体" w:cs="宋体"/>
          <w:spacing w:val="-3"/>
          <w:sz w:val="24"/>
          <w:szCs w:val="24"/>
        </w:rPr>
        <w:t>），</w:t>
      </w:r>
      <w:r>
        <w:rPr>
          <w:rFonts w:ascii="宋体" w:hAnsi="宋体" w:eastAsia="宋体" w:cs="宋体"/>
          <w:spacing w:val="-4"/>
          <w:sz w:val="24"/>
          <w:szCs w:val="24"/>
        </w:rPr>
        <w:t>占</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6.3</w:t>
      </w:r>
      <w:r>
        <w:rPr>
          <w:rFonts w:ascii="宋体" w:hAnsi="宋体" w:eastAsia="宋体" w:cs="宋体"/>
          <w:spacing w:val="-3"/>
          <w:sz w:val="24"/>
          <w:szCs w:val="24"/>
        </w:rPr>
        <w:t>％；</w:t>
      </w:r>
      <w:r>
        <w:rPr>
          <w:rFonts w:ascii="宋体" w:hAnsi="宋体" w:eastAsia="宋体" w:cs="宋体"/>
          <w:spacing w:val="-4"/>
          <w:sz w:val="24"/>
          <w:szCs w:val="24"/>
        </w:rPr>
        <w:t>裸藻门</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种（属</w:t>
      </w:r>
      <w:r>
        <w:rPr>
          <w:rFonts w:ascii="宋体" w:hAnsi="宋体" w:eastAsia="宋体" w:cs="宋体"/>
          <w:spacing w:val="-3"/>
          <w:sz w:val="24"/>
          <w:szCs w:val="24"/>
        </w:rPr>
        <w:t>），</w:t>
      </w:r>
      <w:r>
        <w:rPr>
          <w:rFonts w:ascii="宋体" w:hAnsi="宋体" w:eastAsia="宋体" w:cs="宋体"/>
          <w:spacing w:val="-4"/>
          <w:sz w:val="24"/>
          <w:szCs w:val="24"/>
        </w:rPr>
        <w:t>占</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6.3</w:t>
      </w:r>
      <w:r>
        <w:rPr>
          <w:rFonts w:ascii="Times New Roman" w:hAnsi="Times New Roman" w:eastAsia="Times New Roman" w:cs="Times New Roman"/>
          <w:spacing w:val="-5"/>
          <w:sz w:val="24"/>
          <w:szCs w:val="24"/>
        </w:rPr>
        <w:t>%</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10"/>
          <w:sz w:val="24"/>
          <w:szCs w:val="24"/>
        </w:rPr>
        <w:t>金藻门</w:t>
      </w:r>
      <w:r>
        <w:rPr>
          <w:rFonts w:ascii="宋体" w:hAnsi="宋体" w:eastAsia="宋体" w:cs="宋体"/>
          <w:spacing w:val="-31"/>
          <w:sz w:val="24"/>
          <w:szCs w:val="24"/>
        </w:rPr>
        <w:t xml:space="preserve">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种（属</w:t>
      </w:r>
      <w:r>
        <w:rPr>
          <w:rFonts w:ascii="宋体" w:hAnsi="宋体" w:eastAsia="宋体" w:cs="宋体"/>
          <w:spacing w:val="6"/>
          <w:sz w:val="24"/>
          <w:szCs w:val="24"/>
        </w:rPr>
        <w:t>）</w:t>
      </w:r>
      <w:r>
        <w:rPr>
          <w:rFonts w:ascii="宋体" w:hAnsi="宋体" w:eastAsia="宋体" w:cs="宋体"/>
          <w:spacing w:val="-10"/>
          <w:sz w:val="24"/>
          <w:szCs w:val="24"/>
        </w:rPr>
        <w:t xml:space="preserve"> </w:t>
      </w:r>
      <w:r>
        <w:rPr>
          <w:rFonts w:ascii="宋体" w:hAnsi="宋体" w:eastAsia="宋体" w:cs="宋体"/>
          <w:spacing w:val="6"/>
          <w:sz w:val="24"/>
          <w:szCs w:val="24"/>
        </w:rPr>
        <w:t>，</w:t>
      </w:r>
      <w:r>
        <w:rPr>
          <w:rFonts w:ascii="宋体" w:hAnsi="宋体" w:eastAsia="宋体" w:cs="宋体"/>
          <w:spacing w:val="-10"/>
          <w:sz w:val="24"/>
          <w:szCs w:val="24"/>
        </w:rPr>
        <w:t>占</w:t>
      </w:r>
      <w:r>
        <w:rPr>
          <w:rFonts w:ascii="宋体" w:hAnsi="宋体" w:eastAsia="宋体" w:cs="宋体"/>
          <w:spacing w:val="-50"/>
          <w:sz w:val="24"/>
          <w:szCs w:val="24"/>
        </w:rPr>
        <w:t xml:space="preserve"> </w:t>
      </w:r>
      <w:r>
        <w:rPr>
          <w:rFonts w:ascii="Times New Roman" w:hAnsi="Times New Roman" w:eastAsia="Times New Roman" w:cs="Times New Roman"/>
          <w:spacing w:val="-10"/>
          <w:sz w:val="24"/>
          <w:szCs w:val="24"/>
        </w:rPr>
        <w:t>3.05%</w:t>
      </w:r>
      <w:r>
        <w:rPr>
          <w:rFonts w:ascii="宋体" w:hAnsi="宋体" w:eastAsia="宋体" w:cs="宋体"/>
          <w:spacing w:val="-10"/>
          <w:sz w:val="24"/>
          <w:szCs w:val="24"/>
        </w:rPr>
        <w:t>；甲藻门</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种（属</w:t>
      </w:r>
      <w:r>
        <w:rPr>
          <w:rFonts w:ascii="宋体" w:hAnsi="宋体" w:eastAsia="宋体" w:cs="宋体"/>
          <w:spacing w:val="6"/>
          <w:sz w:val="24"/>
          <w:szCs w:val="24"/>
        </w:rPr>
        <w:t>）</w:t>
      </w:r>
      <w:r>
        <w:rPr>
          <w:rFonts w:ascii="宋体" w:hAnsi="宋体" w:eastAsia="宋体" w:cs="宋体"/>
          <w:spacing w:val="-12"/>
          <w:sz w:val="24"/>
          <w:szCs w:val="24"/>
        </w:rPr>
        <w:t xml:space="preserve"> </w:t>
      </w:r>
      <w:r>
        <w:rPr>
          <w:rFonts w:ascii="宋体" w:hAnsi="宋体" w:eastAsia="宋体" w:cs="宋体"/>
          <w:spacing w:val="6"/>
          <w:sz w:val="24"/>
          <w:szCs w:val="24"/>
        </w:rPr>
        <w:t>，</w:t>
      </w:r>
      <w:r>
        <w:rPr>
          <w:rFonts w:ascii="宋体" w:hAnsi="宋体" w:eastAsia="宋体" w:cs="宋体"/>
          <w:spacing w:val="-10"/>
          <w:sz w:val="24"/>
          <w:szCs w:val="24"/>
        </w:rPr>
        <w:t>占</w:t>
      </w:r>
      <w:r>
        <w:rPr>
          <w:rFonts w:ascii="宋体" w:hAnsi="宋体" w:eastAsia="宋体" w:cs="宋体"/>
          <w:spacing w:val="-49"/>
          <w:sz w:val="24"/>
          <w:szCs w:val="24"/>
        </w:rPr>
        <w:t xml:space="preserve"> </w:t>
      </w:r>
      <w:r>
        <w:rPr>
          <w:rFonts w:ascii="Times New Roman" w:hAnsi="Times New Roman" w:eastAsia="Times New Roman" w:cs="Times New Roman"/>
          <w:spacing w:val="-10"/>
          <w:sz w:val="24"/>
          <w:szCs w:val="24"/>
        </w:rPr>
        <w:t>3.05%</w:t>
      </w:r>
      <w:r>
        <w:rPr>
          <w:rFonts w:ascii="宋体" w:hAnsi="宋体" w:eastAsia="宋体" w:cs="宋体"/>
          <w:spacing w:val="-10"/>
          <w:sz w:val="24"/>
          <w:szCs w:val="24"/>
        </w:rPr>
        <w:t>。优势种为</w:t>
      </w:r>
      <w:r>
        <w:rPr>
          <w:rFonts w:ascii="宋体" w:hAnsi="宋体" w:eastAsia="宋体" w:cs="宋体"/>
          <w:spacing w:val="-11"/>
          <w:sz w:val="24"/>
          <w:szCs w:val="24"/>
        </w:rPr>
        <w:t>栅藻和针</w:t>
      </w:r>
    </w:p>
    <w:p>
      <w:pPr>
        <w:spacing w:line="219" w:lineRule="auto"/>
        <w:ind w:left="39"/>
        <w:rPr>
          <w:rFonts w:ascii="宋体" w:hAnsi="宋体" w:eastAsia="宋体" w:cs="宋体"/>
          <w:sz w:val="24"/>
          <w:szCs w:val="24"/>
        </w:rPr>
      </w:pPr>
      <w:r>
        <w:rPr>
          <w:rFonts w:ascii="宋体" w:hAnsi="宋体" w:eastAsia="宋体" w:cs="宋体"/>
          <w:spacing w:val="-11"/>
          <w:sz w:val="24"/>
          <w:szCs w:val="24"/>
        </w:rPr>
        <w:t>杆藻。</w:t>
      </w:r>
    </w:p>
    <w:p>
      <w:pPr>
        <w:spacing w:before="182"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）浮游动物</w:t>
      </w:r>
    </w:p>
    <w:p>
      <w:pPr>
        <w:spacing w:before="179" w:line="360" w:lineRule="auto"/>
        <w:ind w:left="39" w:firstLine="480"/>
        <w:rPr>
          <w:rFonts w:ascii="宋体" w:hAnsi="宋体" w:eastAsia="宋体" w:cs="宋体"/>
          <w:sz w:val="24"/>
          <w:szCs w:val="24"/>
        </w:rPr>
      </w:pPr>
      <w:r>
        <w:rPr>
          <w:rFonts w:ascii="宋体" w:hAnsi="宋体" w:eastAsia="宋体" w:cs="宋体"/>
          <w:spacing w:val="-6"/>
          <w:sz w:val="24"/>
          <w:szCs w:val="24"/>
        </w:rPr>
        <w:t>文成县浮游动物生物量平均为</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3.076 mg/L</w:t>
      </w:r>
      <w:r>
        <w:rPr>
          <w:rFonts w:ascii="宋体" w:hAnsi="宋体" w:eastAsia="宋体" w:cs="宋体"/>
          <w:spacing w:val="-6"/>
          <w:sz w:val="24"/>
          <w:szCs w:val="24"/>
        </w:rPr>
        <w:t>，经鉴定共检出</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3"/>
          <w:sz w:val="24"/>
          <w:szCs w:val="24"/>
        </w:rPr>
        <w:t xml:space="preserve"> </w:t>
      </w:r>
      <w:r>
        <w:rPr>
          <w:rFonts w:ascii="宋体" w:hAnsi="宋体" w:eastAsia="宋体" w:cs="宋体"/>
          <w:spacing w:val="-6"/>
          <w:sz w:val="24"/>
          <w:szCs w:val="24"/>
        </w:rPr>
        <w:t>大类</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 xml:space="preserve">10 </w:t>
      </w:r>
      <w:r>
        <w:rPr>
          <w:rFonts w:ascii="宋体" w:hAnsi="宋体" w:eastAsia="宋体" w:cs="宋体"/>
          <w:spacing w:val="-6"/>
          <w:sz w:val="24"/>
          <w:szCs w:val="24"/>
        </w:rPr>
        <w:t>种（属</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4"/>
          <w:sz w:val="24"/>
          <w:szCs w:val="24"/>
        </w:rPr>
        <w:t>其中原生动物</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 xml:space="preserve">6 </w:t>
      </w:r>
      <w:r>
        <w:rPr>
          <w:rFonts w:ascii="宋体" w:hAnsi="宋体" w:eastAsia="宋体" w:cs="宋体"/>
          <w:spacing w:val="-4"/>
          <w:sz w:val="24"/>
          <w:szCs w:val="24"/>
        </w:rPr>
        <w:t>种，占</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60%</w:t>
      </w:r>
      <w:r>
        <w:rPr>
          <w:rFonts w:ascii="宋体" w:hAnsi="宋体" w:eastAsia="宋体" w:cs="宋体"/>
          <w:spacing w:val="-4"/>
          <w:sz w:val="24"/>
          <w:szCs w:val="24"/>
        </w:rPr>
        <w:t>；轮虫</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种（属</w:t>
      </w:r>
      <w:r>
        <w:rPr>
          <w:rFonts w:ascii="宋体" w:hAnsi="宋体" w:eastAsia="宋体" w:cs="宋体"/>
          <w:spacing w:val="-2"/>
          <w:sz w:val="24"/>
          <w:szCs w:val="24"/>
        </w:rPr>
        <w:t>），</w:t>
      </w:r>
      <w:r>
        <w:rPr>
          <w:rFonts w:ascii="宋体" w:hAnsi="宋体" w:eastAsia="宋体" w:cs="宋体"/>
          <w:spacing w:val="-4"/>
          <w:sz w:val="24"/>
          <w:szCs w:val="24"/>
        </w:rPr>
        <w:t>占</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30</w:t>
      </w:r>
      <w:r>
        <w:rPr>
          <w:rFonts w:ascii="宋体" w:hAnsi="宋体" w:eastAsia="宋体" w:cs="宋体"/>
          <w:spacing w:val="-2"/>
          <w:sz w:val="24"/>
          <w:szCs w:val="24"/>
        </w:rPr>
        <w:t>％；</w:t>
      </w:r>
      <w:r>
        <w:rPr>
          <w:rFonts w:ascii="宋体" w:hAnsi="宋体" w:eastAsia="宋体" w:cs="宋体"/>
          <w:spacing w:val="-5"/>
          <w:sz w:val="24"/>
          <w:szCs w:val="24"/>
        </w:rPr>
        <w:t xml:space="preserve">枝角类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种，占</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10</w:t>
      </w:r>
      <w:r>
        <w:rPr>
          <w:rFonts w:ascii="宋体" w:hAnsi="宋体" w:eastAsia="宋体" w:cs="宋体"/>
          <w:spacing w:val="-5"/>
          <w:sz w:val="24"/>
          <w:szCs w:val="24"/>
        </w:rPr>
        <w:t>％。</w:t>
      </w:r>
    </w:p>
    <w:p>
      <w:pPr>
        <w:spacing w:before="1" w:line="218" w:lineRule="auto"/>
        <w:ind w:left="37"/>
        <w:rPr>
          <w:rFonts w:ascii="宋体" w:hAnsi="宋体" w:eastAsia="宋体" w:cs="宋体"/>
          <w:sz w:val="24"/>
          <w:szCs w:val="24"/>
        </w:rPr>
      </w:pPr>
      <w:r>
        <w:rPr>
          <w:rFonts w:ascii="宋体" w:hAnsi="宋体" w:eastAsia="宋体" w:cs="宋体"/>
          <w:spacing w:val="-3"/>
          <w:sz w:val="24"/>
          <w:szCs w:val="24"/>
        </w:rPr>
        <w:t>优势种为轮虫类、枝角类、桡足类等。</w:t>
      </w:r>
    </w:p>
    <w:p>
      <w:pPr>
        <w:spacing w:before="181" w:line="221"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）渔业资源</w:t>
      </w:r>
    </w:p>
    <w:p>
      <w:pPr>
        <w:spacing w:before="180" w:line="220" w:lineRule="auto"/>
        <w:ind w:left="536"/>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）渔业资源现状</w:t>
      </w:r>
    </w:p>
    <w:p>
      <w:pPr>
        <w:spacing w:before="182" w:line="359" w:lineRule="auto"/>
        <w:ind w:left="38" w:right="77" w:firstLine="479"/>
        <w:rPr>
          <w:rFonts w:ascii="宋体" w:hAnsi="宋体" w:eastAsia="宋体" w:cs="宋体"/>
          <w:sz w:val="24"/>
          <w:szCs w:val="24"/>
        </w:rPr>
      </w:pPr>
      <w:r>
        <w:rPr>
          <w:rFonts w:ascii="宋体" w:hAnsi="宋体" w:eastAsia="宋体" w:cs="宋体"/>
          <w:spacing w:val="-1"/>
          <w:sz w:val="24"/>
          <w:szCs w:val="24"/>
        </w:rPr>
        <w:t xml:space="preserve">根据文成县淡水渔业资源专项调查、《浙江动物志 </w:t>
      </w:r>
      <w:r>
        <w:rPr>
          <w:rFonts w:ascii="宋体" w:hAnsi="宋体" w:eastAsia="宋体" w:cs="宋体"/>
          <w:spacing w:val="-2"/>
          <w:sz w:val="24"/>
          <w:szCs w:val="24"/>
        </w:rPr>
        <w:t>淡水鱼类》等文献资料、</w:t>
      </w:r>
      <w:r>
        <w:rPr>
          <w:rFonts w:ascii="宋体" w:hAnsi="宋体" w:eastAsia="宋体" w:cs="宋体"/>
          <w:sz w:val="24"/>
          <w:szCs w:val="24"/>
        </w:rPr>
        <w:t xml:space="preserve"> </w:t>
      </w:r>
      <w:r>
        <w:rPr>
          <w:rFonts w:ascii="宋体" w:hAnsi="宋体" w:eastAsia="宋体" w:cs="宋体"/>
          <w:spacing w:val="1"/>
          <w:sz w:val="24"/>
          <w:szCs w:val="24"/>
        </w:rPr>
        <w:t>渔业专家调查等不完全统计和报道结果，</w:t>
      </w:r>
      <w:r>
        <w:rPr>
          <w:rFonts w:ascii="宋体" w:hAnsi="宋体" w:eastAsia="宋体" w:cs="宋体"/>
          <w:spacing w:val="-58"/>
          <w:sz w:val="24"/>
          <w:szCs w:val="24"/>
        </w:rPr>
        <w:t xml:space="preserve"> </w:t>
      </w:r>
      <w:r>
        <w:rPr>
          <w:rFonts w:ascii="宋体" w:hAnsi="宋体" w:eastAsia="宋体" w:cs="宋体"/>
          <w:spacing w:val="1"/>
          <w:sz w:val="24"/>
          <w:szCs w:val="24"/>
        </w:rPr>
        <w:t>目前文成</w:t>
      </w:r>
      <w:r>
        <w:rPr>
          <w:rFonts w:ascii="宋体" w:hAnsi="宋体" w:eastAsia="宋体" w:cs="宋体"/>
          <w:sz w:val="24"/>
          <w:szCs w:val="24"/>
        </w:rPr>
        <w:t xml:space="preserve">县拥有水生动物（不含浮游动 </w:t>
      </w:r>
      <w:r>
        <w:rPr>
          <w:rFonts w:ascii="宋体" w:hAnsi="宋体" w:eastAsia="宋体" w:cs="宋体"/>
          <w:spacing w:val="-8"/>
          <w:sz w:val="24"/>
          <w:szCs w:val="24"/>
        </w:rPr>
        <w:t>物）</w:t>
      </w:r>
      <w:r>
        <w:rPr>
          <w:rFonts w:ascii="宋体" w:hAnsi="宋体" w:eastAsia="宋体" w:cs="宋体"/>
          <w:spacing w:val="-38"/>
          <w:sz w:val="24"/>
          <w:szCs w:val="24"/>
        </w:rPr>
        <w:t xml:space="preserve"> </w:t>
      </w:r>
      <w:r>
        <w:rPr>
          <w:rFonts w:ascii="Times New Roman" w:hAnsi="Times New Roman" w:eastAsia="Times New Roman" w:cs="Times New Roman"/>
          <w:spacing w:val="-8"/>
          <w:sz w:val="24"/>
          <w:szCs w:val="24"/>
        </w:rPr>
        <w:t xml:space="preserve">110 </w:t>
      </w:r>
      <w:r>
        <w:rPr>
          <w:rFonts w:ascii="宋体" w:hAnsi="宋体" w:eastAsia="宋体" w:cs="宋体"/>
          <w:spacing w:val="-8"/>
          <w:sz w:val="24"/>
          <w:szCs w:val="24"/>
        </w:rPr>
        <w:t>种，</w:t>
      </w:r>
      <w:r>
        <w:rPr>
          <w:rFonts w:ascii="宋体" w:hAnsi="宋体" w:eastAsia="宋体" w:cs="宋体"/>
          <w:spacing w:val="-37"/>
          <w:sz w:val="24"/>
          <w:szCs w:val="24"/>
        </w:rPr>
        <w:t xml:space="preserve"> </w:t>
      </w:r>
      <w:r>
        <w:rPr>
          <w:rFonts w:ascii="宋体" w:hAnsi="宋体" w:eastAsia="宋体" w:cs="宋体"/>
          <w:spacing w:val="-8"/>
          <w:sz w:val="24"/>
          <w:szCs w:val="24"/>
        </w:rPr>
        <w:t>其中鱼类</w:t>
      </w:r>
      <w:r>
        <w:rPr>
          <w:rFonts w:ascii="宋体" w:hAnsi="宋体" w:eastAsia="宋体" w:cs="宋体"/>
          <w:spacing w:val="-47"/>
          <w:sz w:val="24"/>
          <w:szCs w:val="24"/>
        </w:rPr>
        <w:t xml:space="preserve"> </w:t>
      </w:r>
      <w:r>
        <w:rPr>
          <w:rFonts w:ascii="Times New Roman" w:hAnsi="Times New Roman" w:eastAsia="Times New Roman" w:cs="Times New Roman"/>
          <w:spacing w:val="-8"/>
          <w:sz w:val="24"/>
          <w:szCs w:val="24"/>
        </w:rPr>
        <w:t xml:space="preserve">63 </w:t>
      </w:r>
      <w:r>
        <w:rPr>
          <w:rFonts w:ascii="宋体" w:hAnsi="宋体" w:eastAsia="宋体" w:cs="宋体"/>
          <w:spacing w:val="-8"/>
          <w:sz w:val="24"/>
          <w:szCs w:val="24"/>
        </w:rPr>
        <w:t>种， 占种类总</w:t>
      </w:r>
      <w:r>
        <w:rPr>
          <w:rFonts w:ascii="宋体" w:hAnsi="宋体" w:eastAsia="宋体" w:cs="宋体"/>
          <w:spacing w:val="-9"/>
          <w:sz w:val="24"/>
          <w:szCs w:val="24"/>
        </w:rPr>
        <w:t>数的</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57.27%</w:t>
      </w:r>
      <w:r>
        <w:rPr>
          <w:rFonts w:ascii="宋体" w:hAnsi="宋体" w:eastAsia="宋体" w:cs="宋体"/>
          <w:spacing w:val="-9"/>
          <w:sz w:val="24"/>
          <w:szCs w:val="24"/>
        </w:rPr>
        <w:t>，是文成县渔业资源的主要类</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群，其他还有贝类</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29 </w:t>
      </w:r>
      <w:r>
        <w:rPr>
          <w:rFonts w:ascii="宋体" w:hAnsi="宋体" w:eastAsia="宋体" w:cs="宋体"/>
          <w:spacing w:val="-2"/>
          <w:sz w:val="24"/>
          <w:szCs w:val="24"/>
        </w:rPr>
        <w:t>种、两栖类</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8 </w:t>
      </w:r>
      <w:r>
        <w:rPr>
          <w:rFonts w:ascii="宋体" w:hAnsi="宋体" w:eastAsia="宋体" w:cs="宋体"/>
          <w:spacing w:val="-2"/>
          <w:sz w:val="24"/>
          <w:szCs w:val="24"/>
        </w:rPr>
        <w:t>种、甲壳类</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7 </w:t>
      </w:r>
      <w:r>
        <w:rPr>
          <w:rFonts w:ascii="宋体" w:hAnsi="宋体" w:eastAsia="宋体" w:cs="宋体"/>
          <w:spacing w:val="-2"/>
          <w:sz w:val="24"/>
          <w:szCs w:val="24"/>
        </w:rPr>
        <w:t>种、爬行类</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种。</w:t>
      </w:r>
    </w:p>
    <w:p>
      <w:pPr>
        <w:spacing w:before="182" w:line="359" w:lineRule="auto"/>
        <w:ind w:left="38" w:firstLine="480"/>
        <w:rPr>
          <w:rFonts w:ascii="宋体" w:hAnsi="宋体" w:eastAsia="宋体" w:cs="宋体"/>
          <w:sz w:val="24"/>
          <w:szCs w:val="24"/>
        </w:rPr>
      </w:pPr>
      <w:r>
        <w:rPr>
          <w:rFonts w:ascii="宋体" w:hAnsi="宋体" w:eastAsia="宋体" w:cs="宋体"/>
          <w:spacing w:val="-16"/>
          <w:sz w:val="24"/>
          <w:szCs w:val="24"/>
        </w:rPr>
        <w:t>其中鱼类隶属</w:t>
      </w:r>
      <w:r>
        <w:rPr>
          <w:rFonts w:ascii="宋体" w:hAnsi="宋体" w:eastAsia="宋体" w:cs="宋体"/>
          <w:spacing w:val="-43"/>
          <w:sz w:val="24"/>
          <w:szCs w:val="24"/>
        </w:rPr>
        <w:t xml:space="preserve"> </w:t>
      </w:r>
      <w:r>
        <w:rPr>
          <w:rFonts w:ascii="Times New Roman" w:hAnsi="Times New Roman" w:eastAsia="Times New Roman" w:cs="Times New Roman"/>
          <w:spacing w:val="-16"/>
          <w:sz w:val="24"/>
          <w:szCs w:val="24"/>
        </w:rPr>
        <w:t xml:space="preserve">8  </w:t>
      </w:r>
      <w:r>
        <w:rPr>
          <w:rFonts w:ascii="宋体" w:hAnsi="宋体" w:eastAsia="宋体" w:cs="宋体"/>
          <w:spacing w:val="-16"/>
          <w:sz w:val="24"/>
          <w:szCs w:val="24"/>
        </w:rPr>
        <w:t>目、</w:t>
      </w:r>
      <w:r>
        <w:rPr>
          <w:rFonts w:ascii="宋体" w:hAnsi="宋体" w:eastAsia="宋体" w:cs="宋体"/>
          <w:spacing w:val="-57"/>
          <w:sz w:val="24"/>
          <w:szCs w:val="24"/>
        </w:rPr>
        <w:t xml:space="preserve"> </w:t>
      </w:r>
      <w:r>
        <w:rPr>
          <w:rFonts w:ascii="Times New Roman" w:hAnsi="Times New Roman" w:eastAsia="Times New Roman" w:cs="Times New Roman"/>
          <w:spacing w:val="-16"/>
          <w:sz w:val="24"/>
          <w:szCs w:val="24"/>
        </w:rPr>
        <w:t>14</w:t>
      </w:r>
      <w:r>
        <w:rPr>
          <w:rFonts w:ascii="Times New Roman" w:hAnsi="Times New Roman" w:eastAsia="Times New Roman" w:cs="Times New Roman"/>
          <w:spacing w:val="10"/>
          <w:sz w:val="24"/>
          <w:szCs w:val="24"/>
        </w:rPr>
        <w:t xml:space="preserve"> </w:t>
      </w:r>
      <w:r>
        <w:rPr>
          <w:rFonts w:ascii="宋体" w:hAnsi="宋体" w:eastAsia="宋体" w:cs="宋体"/>
          <w:spacing w:val="-16"/>
          <w:sz w:val="24"/>
          <w:szCs w:val="24"/>
        </w:rPr>
        <w:t>科、</w:t>
      </w:r>
      <w:r>
        <w:rPr>
          <w:rFonts w:ascii="宋体" w:hAnsi="宋体" w:eastAsia="宋体" w:cs="宋体"/>
          <w:spacing w:val="-58"/>
          <w:sz w:val="24"/>
          <w:szCs w:val="24"/>
        </w:rPr>
        <w:t xml:space="preserve"> </w:t>
      </w:r>
      <w:r>
        <w:rPr>
          <w:rFonts w:ascii="Times New Roman" w:hAnsi="Times New Roman" w:eastAsia="Times New Roman" w:cs="Times New Roman"/>
          <w:spacing w:val="-16"/>
          <w:sz w:val="24"/>
          <w:szCs w:val="24"/>
        </w:rPr>
        <w:t>47</w:t>
      </w:r>
      <w:r>
        <w:rPr>
          <w:rFonts w:ascii="Times New Roman" w:hAnsi="Times New Roman" w:eastAsia="Times New Roman" w:cs="Times New Roman"/>
          <w:spacing w:val="11"/>
          <w:sz w:val="24"/>
          <w:szCs w:val="24"/>
        </w:rPr>
        <w:t xml:space="preserve"> </w:t>
      </w:r>
      <w:r>
        <w:rPr>
          <w:rFonts w:ascii="宋体" w:hAnsi="宋体" w:eastAsia="宋体" w:cs="宋体"/>
          <w:spacing w:val="-16"/>
          <w:sz w:val="24"/>
          <w:szCs w:val="24"/>
        </w:rPr>
        <w:t>属、</w:t>
      </w:r>
      <w:r>
        <w:rPr>
          <w:rFonts w:ascii="宋体" w:hAnsi="宋体" w:eastAsia="宋体" w:cs="宋体"/>
          <w:spacing w:val="-52"/>
          <w:sz w:val="24"/>
          <w:szCs w:val="24"/>
        </w:rPr>
        <w:t xml:space="preserve"> </w:t>
      </w:r>
      <w:r>
        <w:rPr>
          <w:rFonts w:ascii="Times New Roman" w:hAnsi="Times New Roman" w:eastAsia="Times New Roman" w:cs="Times New Roman"/>
          <w:spacing w:val="-16"/>
          <w:sz w:val="24"/>
          <w:szCs w:val="24"/>
        </w:rPr>
        <w:t>63</w:t>
      </w:r>
      <w:r>
        <w:rPr>
          <w:rFonts w:ascii="Times New Roman" w:hAnsi="Times New Roman" w:eastAsia="Times New Roman" w:cs="Times New Roman"/>
          <w:spacing w:val="10"/>
          <w:sz w:val="24"/>
          <w:szCs w:val="24"/>
        </w:rPr>
        <w:t xml:space="preserve"> </w:t>
      </w:r>
      <w:r>
        <w:rPr>
          <w:rFonts w:ascii="宋体" w:hAnsi="宋体" w:eastAsia="宋体" w:cs="宋体"/>
          <w:spacing w:val="-16"/>
          <w:sz w:val="24"/>
          <w:szCs w:val="24"/>
        </w:rPr>
        <w:t>种。鲤形目鱼类种类数最多，</w:t>
      </w:r>
      <w:r>
        <w:rPr>
          <w:rFonts w:ascii="宋体" w:hAnsi="宋体" w:eastAsia="宋体" w:cs="宋体"/>
          <w:spacing w:val="51"/>
          <w:sz w:val="24"/>
          <w:szCs w:val="24"/>
        </w:rPr>
        <w:t xml:space="preserve"> </w:t>
      </w:r>
      <w:r>
        <w:rPr>
          <w:rFonts w:ascii="宋体" w:hAnsi="宋体" w:eastAsia="宋体" w:cs="宋体"/>
          <w:spacing w:val="-16"/>
          <w:sz w:val="24"/>
          <w:szCs w:val="24"/>
        </w:rPr>
        <w:t>为</w:t>
      </w:r>
      <w:r>
        <w:rPr>
          <w:rFonts w:ascii="宋体" w:hAnsi="宋体" w:eastAsia="宋体" w:cs="宋体"/>
          <w:spacing w:val="-56"/>
          <w:sz w:val="24"/>
          <w:szCs w:val="24"/>
        </w:rPr>
        <w:t xml:space="preserve"> </w:t>
      </w:r>
      <w:r>
        <w:rPr>
          <w:rFonts w:ascii="Times New Roman" w:hAnsi="Times New Roman" w:eastAsia="Times New Roman" w:cs="Times New Roman"/>
          <w:spacing w:val="-16"/>
          <w:sz w:val="24"/>
          <w:szCs w:val="24"/>
        </w:rPr>
        <w:t>41</w:t>
      </w:r>
      <w:r>
        <w:rPr>
          <w:rFonts w:ascii="Times New Roman" w:hAnsi="Times New Roman" w:eastAsia="Times New Roman" w:cs="Times New Roman"/>
          <w:spacing w:val="10"/>
          <w:sz w:val="24"/>
          <w:szCs w:val="24"/>
        </w:rPr>
        <w:t xml:space="preserve"> </w:t>
      </w:r>
      <w:r>
        <w:rPr>
          <w:rFonts w:ascii="宋体" w:hAnsi="宋体" w:eastAsia="宋体" w:cs="宋体"/>
          <w:spacing w:val="-16"/>
          <w:sz w:val="24"/>
          <w:szCs w:val="24"/>
        </w:rPr>
        <w:t>种，</w:t>
      </w:r>
      <w:r>
        <w:rPr>
          <w:rFonts w:ascii="宋体" w:hAnsi="宋体" w:eastAsia="宋体" w:cs="宋体"/>
          <w:sz w:val="24"/>
          <w:szCs w:val="24"/>
        </w:rPr>
        <w:t xml:space="preserve"> </w:t>
      </w:r>
      <w:r>
        <w:rPr>
          <w:rFonts w:ascii="宋体" w:hAnsi="宋体" w:eastAsia="宋体" w:cs="宋体"/>
          <w:spacing w:val="-2"/>
          <w:sz w:val="24"/>
          <w:szCs w:val="24"/>
        </w:rPr>
        <w:t>占鱼类种数的</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65.08%</w:t>
      </w:r>
      <w:r>
        <w:rPr>
          <w:rFonts w:ascii="宋体" w:hAnsi="宋体" w:eastAsia="宋体" w:cs="宋体"/>
          <w:spacing w:val="-2"/>
          <w:sz w:val="24"/>
          <w:szCs w:val="24"/>
        </w:rPr>
        <w:t xml:space="preserve">，是文成县水域鱼类的主要类群。其次为鲈形目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种，</w:t>
      </w:r>
      <w:r>
        <w:rPr>
          <w:rFonts w:ascii="宋体" w:hAnsi="宋体" w:eastAsia="宋体" w:cs="宋体"/>
          <w:spacing w:val="-3"/>
          <w:sz w:val="24"/>
          <w:szCs w:val="24"/>
        </w:rPr>
        <w:t>占鱼</w:t>
      </w:r>
      <w:r>
        <w:rPr>
          <w:rFonts w:ascii="宋体" w:hAnsi="宋体" w:eastAsia="宋体" w:cs="宋体"/>
          <w:sz w:val="24"/>
          <w:szCs w:val="24"/>
        </w:rPr>
        <w:t xml:space="preserve"> </w:t>
      </w:r>
      <w:r>
        <w:rPr>
          <w:rFonts w:ascii="宋体" w:hAnsi="宋体" w:eastAsia="宋体" w:cs="宋体"/>
          <w:spacing w:val="-9"/>
          <w:sz w:val="24"/>
          <w:szCs w:val="24"/>
        </w:rPr>
        <w:t>类种数的</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12.70%</w:t>
      </w:r>
      <w:r>
        <w:rPr>
          <w:rFonts w:ascii="宋体" w:hAnsi="宋体" w:eastAsia="宋体" w:cs="宋体"/>
          <w:spacing w:val="-9"/>
          <w:sz w:val="24"/>
          <w:szCs w:val="24"/>
        </w:rPr>
        <w:t>；鲇形目</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 xml:space="preserve">7 </w:t>
      </w:r>
      <w:r>
        <w:rPr>
          <w:rFonts w:ascii="宋体" w:hAnsi="宋体" w:eastAsia="宋体" w:cs="宋体"/>
          <w:spacing w:val="-9"/>
          <w:sz w:val="24"/>
          <w:szCs w:val="24"/>
        </w:rPr>
        <w:t>种，</w:t>
      </w:r>
      <w:r>
        <w:rPr>
          <w:rFonts w:ascii="宋体" w:hAnsi="宋体" w:eastAsia="宋体" w:cs="宋体"/>
          <w:spacing w:val="-32"/>
          <w:sz w:val="24"/>
          <w:szCs w:val="24"/>
        </w:rPr>
        <w:t xml:space="preserve"> </w:t>
      </w:r>
      <w:r>
        <w:rPr>
          <w:rFonts w:ascii="宋体" w:hAnsi="宋体" w:eastAsia="宋体" w:cs="宋体"/>
          <w:spacing w:val="-9"/>
          <w:sz w:val="24"/>
          <w:szCs w:val="24"/>
        </w:rPr>
        <w:t>占鱼类种数的</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11.11%</w:t>
      </w:r>
      <w:r>
        <w:rPr>
          <w:rFonts w:ascii="宋体" w:hAnsi="宋体" w:eastAsia="宋体" w:cs="宋体"/>
          <w:spacing w:val="-9"/>
          <w:sz w:val="24"/>
          <w:szCs w:val="24"/>
        </w:rPr>
        <w:t>；胡瓜鱼目、鳗鲡目各</w:t>
      </w:r>
      <w:r>
        <w:rPr>
          <w:rFonts w:ascii="宋体" w:hAnsi="宋体" w:eastAsia="宋体" w:cs="宋体"/>
          <w:spacing w:val="-54"/>
          <w:sz w:val="24"/>
          <w:szCs w:val="24"/>
        </w:rPr>
        <w:t xml:space="preserve"> </w:t>
      </w:r>
      <w:r>
        <w:rPr>
          <w:rFonts w:ascii="Times New Roman" w:hAnsi="Times New Roman" w:eastAsia="Times New Roman" w:cs="Times New Roman"/>
          <w:spacing w:val="-9"/>
          <w:sz w:val="24"/>
          <w:szCs w:val="24"/>
        </w:rPr>
        <w:t xml:space="preserve">2 </w:t>
      </w:r>
      <w:r>
        <w:rPr>
          <w:rFonts w:ascii="宋体" w:hAnsi="宋体" w:eastAsia="宋体" w:cs="宋体"/>
          <w:spacing w:val="-9"/>
          <w:sz w:val="24"/>
          <w:szCs w:val="24"/>
        </w:rPr>
        <w:t>种，</w:t>
      </w:r>
    </w:p>
    <w:p>
      <w:pPr>
        <w:spacing w:line="220" w:lineRule="auto"/>
        <w:ind w:left="39"/>
        <w:rPr>
          <w:rFonts w:ascii="宋体" w:hAnsi="宋体" w:eastAsia="宋体" w:cs="宋体"/>
          <w:sz w:val="24"/>
          <w:szCs w:val="24"/>
        </w:rPr>
      </w:pPr>
      <w:r>
        <w:rPr>
          <w:rFonts w:ascii="宋体" w:hAnsi="宋体" w:eastAsia="宋体" w:cs="宋体"/>
          <w:spacing w:val="-3"/>
          <w:sz w:val="24"/>
          <w:szCs w:val="24"/>
        </w:rPr>
        <w:t>均占</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3.17%</w:t>
      </w:r>
      <w:r>
        <w:rPr>
          <w:rFonts w:ascii="宋体" w:hAnsi="宋体" w:eastAsia="宋体" w:cs="宋体"/>
          <w:spacing w:val="-3"/>
          <w:sz w:val="24"/>
          <w:szCs w:val="24"/>
        </w:rPr>
        <w:t xml:space="preserve">；合鳃目、鲑形目、鳉形目各 </w:t>
      </w:r>
      <w:r>
        <w:rPr>
          <w:rFonts w:ascii="Times New Roman" w:hAnsi="Times New Roman" w:eastAsia="Times New Roman" w:cs="Times New Roman"/>
          <w:spacing w:val="-3"/>
          <w:sz w:val="24"/>
          <w:szCs w:val="24"/>
        </w:rPr>
        <w:t xml:space="preserve">1 </w:t>
      </w:r>
      <w:r>
        <w:rPr>
          <w:rFonts w:ascii="宋体" w:hAnsi="宋体" w:eastAsia="宋体" w:cs="宋体"/>
          <w:spacing w:val="-4"/>
          <w:sz w:val="24"/>
          <w:szCs w:val="24"/>
        </w:rPr>
        <w:t>种，均占</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1.59%</w:t>
      </w:r>
      <w:r>
        <w:rPr>
          <w:rFonts w:ascii="宋体" w:hAnsi="宋体" w:eastAsia="宋体" w:cs="宋体"/>
          <w:spacing w:val="-4"/>
          <w:sz w:val="24"/>
          <w:szCs w:val="24"/>
        </w:rPr>
        <w:t>。</w:t>
      </w:r>
    </w:p>
    <w:p>
      <w:pPr>
        <w:spacing w:before="178" w:line="360" w:lineRule="auto"/>
        <w:ind w:left="37" w:right="3" w:firstLine="481"/>
        <w:rPr>
          <w:rFonts w:ascii="宋体" w:hAnsi="宋体" w:eastAsia="宋体" w:cs="宋体"/>
          <w:sz w:val="24"/>
          <w:szCs w:val="24"/>
        </w:rPr>
      </w:pPr>
      <w:r>
        <w:rPr>
          <w:rFonts w:ascii="宋体" w:hAnsi="宋体" w:eastAsia="宋体" w:cs="宋体"/>
          <w:spacing w:val="-1"/>
          <w:sz w:val="24"/>
          <w:szCs w:val="24"/>
        </w:rPr>
        <w:t>渔获物春季共捕获</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29</w:t>
      </w:r>
      <w:r>
        <w:rPr>
          <w:rFonts w:ascii="Times New Roman" w:hAnsi="Times New Roman" w:eastAsia="Times New Roman" w:cs="Times New Roman"/>
          <w:spacing w:val="36"/>
          <w:w w:val="101"/>
          <w:sz w:val="24"/>
          <w:szCs w:val="24"/>
        </w:rPr>
        <w:t xml:space="preserve"> </w:t>
      </w:r>
      <w:r>
        <w:rPr>
          <w:rFonts w:ascii="宋体" w:hAnsi="宋体" w:eastAsia="宋体" w:cs="宋体"/>
          <w:spacing w:val="-1"/>
          <w:sz w:val="24"/>
          <w:szCs w:val="24"/>
        </w:rPr>
        <w:t>种，其中鱼类</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25</w:t>
      </w:r>
      <w:r>
        <w:rPr>
          <w:rFonts w:ascii="Times New Roman" w:hAnsi="Times New Roman" w:eastAsia="Times New Roman" w:cs="Times New Roman"/>
          <w:spacing w:val="36"/>
          <w:w w:val="101"/>
          <w:sz w:val="24"/>
          <w:szCs w:val="24"/>
        </w:rPr>
        <w:t xml:space="preserve"> </w:t>
      </w:r>
      <w:r>
        <w:rPr>
          <w:rFonts w:ascii="宋体" w:hAnsi="宋体" w:eastAsia="宋体" w:cs="宋体"/>
          <w:spacing w:val="-1"/>
          <w:sz w:val="24"/>
          <w:szCs w:val="24"/>
        </w:rPr>
        <w:t>种，优势种为翘嘴鲌</w:t>
      </w:r>
      <w:r>
        <w:rPr>
          <w:rFonts w:ascii="宋体" w:hAnsi="宋体" w:eastAsia="宋体" w:cs="宋体"/>
          <w:spacing w:val="-2"/>
          <w:sz w:val="24"/>
          <w:szCs w:val="24"/>
        </w:rPr>
        <w:t>、鲫、子陵吻虾</w:t>
      </w:r>
      <w:r>
        <w:rPr>
          <w:rFonts w:ascii="宋体" w:hAnsi="宋体" w:eastAsia="宋体" w:cs="宋体"/>
          <w:sz w:val="24"/>
          <w:szCs w:val="24"/>
        </w:rPr>
        <w:t xml:space="preserve"> </w:t>
      </w:r>
      <w:r>
        <w:rPr>
          <w:rFonts w:ascii="宋体" w:hAnsi="宋体" w:eastAsia="宋体" w:cs="宋体"/>
          <w:spacing w:val="-1"/>
          <w:sz w:val="24"/>
          <w:szCs w:val="24"/>
        </w:rPr>
        <w:t>虎鱼；夏季</w:t>
      </w:r>
      <w:r>
        <w:rPr>
          <w:rFonts w:ascii="宋体" w:hAnsi="宋体" w:eastAsia="宋体" w:cs="宋体"/>
          <w:spacing w:val="-24"/>
          <w:sz w:val="24"/>
          <w:szCs w:val="24"/>
        </w:rPr>
        <w:t xml:space="preserve"> </w:t>
      </w:r>
      <w:r>
        <w:rPr>
          <w:rFonts w:ascii="Times New Roman" w:hAnsi="Times New Roman" w:eastAsia="Times New Roman" w:cs="Times New Roman"/>
          <w:spacing w:val="-1"/>
          <w:sz w:val="24"/>
          <w:szCs w:val="24"/>
        </w:rPr>
        <w:t>31</w:t>
      </w:r>
      <w:r>
        <w:rPr>
          <w:rFonts w:ascii="Times New Roman" w:hAnsi="Times New Roman" w:eastAsia="Times New Roman" w:cs="Times New Roman"/>
          <w:spacing w:val="35"/>
          <w:w w:val="101"/>
          <w:sz w:val="24"/>
          <w:szCs w:val="24"/>
        </w:rPr>
        <w:t xml:space="preserve"> </w:t>
      </w:r>
      <w:r>
        <w:rPr>
          <w:rFonts w:ascii="宋体" w:hAnsi="宋体" w:eastAsia="宋体" w:cs="宋体"/>
          <w:spacing w:val="-1"/>
          <w:sz w:val="24"/>
          <w:szCs w:val="24"/>
        </w:rPr>
        <w:t>种，其中鱼类</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28</w:t>
      </w:r>
      <w:r>
        <w:rPr>
          <w:rFonts w:ascii="Times New Roman" w:hAnsi="Times New Roman" w:eastAsia="Times New Roman" w:cs="Times New Roman"/>
          <w:spacing w:val="36"/>
          <w:sz w:val="24"/>
          <w:szCs w:val="24"/>
        </w:rPr>
        <w:t xml:space="preserve"> </w:t>
      </w:r>
      <w:r>
        <w:rPr>
          <w:rFonts w:ascii="宋体" w:hAnsi="宋体" w:eastAsia="宋体" w:cs="宋体"/>
          <w:spacing w:val="-1"/>
          <w:sz w:val="24"/>
          <w:szCs w:val="24"/>
        </w:rPr>
        <w:t>种，优势种为翘嘴鲌、子陵吻虾</w:t>
      </w:r>
      <w:r>
        <w:rPr>
          <w:rFonts w:ascii="宋体" w:hAnsi="宋体" w:eastAsia="宋体" w:cs="宋体"/>
          <w:spacing w:val="-2"/>
          <w:sz w:val="24"/>
          <w:szCs w:val="24"/>
        </w:rPr>
        <w:t>虎鱼、鲤；秋季</w:t>
      </w:r>
      <w:r>
        <w:rPr>
          <w:rFonts w:ascii="宋体" w:hAnsi="宋体" w:eastAsia="宋体" w:cs="宋体"/>
          <w:sz w:val="24"/>
          <w:szCs w:val="24"/>
        </w:rPr>
        <w:t xml:space="preserve"> </w:t>
      </w:r>
      <w:r>
        <w:rPr>
          <w:rFonts w:ascii="宋体" w:hAnsi="宋体" w:eastAsia="宋体" w:cs="宋体"/>
          <w:spacing w:val="-18"/>
          <w:sz w:val="24"/>
          <w:szCs w:val="24"/>
        </w:rPr>
        <w:t>捕获种类最多，</w:t>
      </w:r>
      <w:r>
        <w:rPr>
          <w:rFonts w:ascii="宋体" w:hAnsi="宋体" w:eastAsia="宋体" w:cs="宋体"/>
          <w:spacing w:val="65"/>
          <w:sz w:val="24"/>
          <w:szCs w:val="24"/>
        </w:rPr>
        <w:t xml:space="preserve"> </w:t>
      </w:r>
      <w:r>
        <w:rPr>
          <w:rFonts w:ascii="宋体" w:hAnsi="宋体" w:eastAsia="宋体" w:cs="宋体"/>
          <w:spacing w:val="-18"/>
          <w:sz w:val="24"/>
          <w:szCs w:val="24"/>
        </w:rPr>
        <w:t>共</w:t>
      </w:r>
      <w:r>
        <w:rPr>
          <w:rFonts w:ascii="宋体" w:hAnsi="宋体" w:eastAsia="宋体" w:cs="宋体"/>
          <w:spacing w:val="-49"/>
          <w:sz w:val="24"/>
          <w:szCs w:val="24"/>
        </w:rPr>
        <w:t xml:space="preserve"> </w:t>
      </w:r>
      <w:r>
        <w:rPr>
          <w:rFonts w:ascii="Times New Roman" w:hAnsi="Times New Roman" w:eastAsia="Times New Roman" w:cs="Times New Roman"/>
          <w:spacing w:val="-18"/>
          <w:sz w:val="24"/>
          <w:szCs w:val="24"/>
        </w:rPr>
        <w:t>34</w:t>
      </w:r>
      <w:r>
        <w:rPr>
          <w:rFonts w:ascii="Times New Roman" w:hAnsi="Times New Roman" w:eastAsia="Times New Roman" w:cs="Times New Roman"/>
          <w:spacing w:val="9"/>
          <w:sz w:val="24"/>
          <w:szCs w:val="24"/>
        </w:rPr>
        <w:t xml:space="preserve"> </w:t>
      </w:r>
      <w:r>
        <w:rPr>
          <w:rFonts w:ascii="宋体" w:hAnsi="宋体" w:eastAsia="宋体" w:cs="宋体"/>
          <w:spacing w:val="-18"/>
          <w:sz w:val="24"/>
          <w:szCs w:val="24"/>
        </w:rPr>
        <w:t>种，</w:t>
      </w:r>
      <w:r>
        <w:rPr>
          <w:rFonts w:ascii="宋体" w:hAnsi="宋体" w:eastAsia="宋体" w:cs="宋体"/>
          <w:spacing w:val="-32"/>
          <w:sz w:val="24"/>
          <w:szCs w:val="24"/>
        </w:rPr>
        <w:t xml:space="preserve"> </w:t>
      </w:r>
      <w:r>
        <w:rPr>
          <w:rFonts w:ascii="宋体" w:hAnsi="宋体" w:eastAsia="宋体" w:cs="宋体"/>
          <w:spacing w:val="-18"/>
          <w:sz w:val="24"/>
          <w:szCs w:val="24"/>
        </w:rPr>
        <w:t>其中鱼类</w:t>
      </w:r>
      <w:r>
        <w:rPr>
          <w:rFonts w:ascii="宋体" w:hAnsi="宋体" w:eastAsia="宋体" w:cs="宋体"/>
          <w:spacing w:val="-51"/>
          <w:sz w:val="24"/>
          <w:szCs w:val="24"/>
        </w:rPr>
        <w:t xml:space="preserve"> </w:t>
      </w:r>
      <w:r>
        <w:rPr>
          <w:rFonts w:ascii="Times New Roman" w:hAnsi="Times New Roman" w:eastAsia="Times New Roman" w:cs="Times New Roman"/>
          <w:spacing w:val="-18"/>
          <w:sz w:val="24"/>
          <w:szCs w:val="24"/>
        </w:rPr>
        <w:t>33</w:t>
      </w:r>
      <w:r>
        <w:rPr>
          <w:rFonts w:ascii="Times New Roman" w:hAnsi="Times New Roman" w:eastAsia="Times New Roman" w:cs="Times New Roman"/>
          <w:spacing w:val="10"/>
          <w:sz w:val="24"/>
          <w:szCs w:val="24"/>
        </w:rPr>
        <w:t xml:space="preserve"> </w:t>
      </w:r>
      <w:r>
        <w:rPr>
          <w:rFonts w:ascii="宋体" w:hAnsi="宋体" w:eastAsia="宋体" w:cs="宋体"/>
          <w:spacing w:val="-18"/>
          <w:sz w:val="24"/>
          <w:szCs w:val="24"/>
        </w:rPr>
        <w:t>种，</w:t>
      </w:r>
      <w:r>
        <w:rPr>
          <w:rFonts w:ascii="宋体" w:hAnsi="宋体" w:eastAsia="宋体" w:cs="宋体"/>
          <w:spacing w:val="-32"/>
          <w:sz w:val="24"/>
          <w:szCs w:val="24"/>
        </w:rPr>
        <w:t xml:space="preserve"> </w:t>
      </w:r>
      <w:r>
        <w:rPr>
          <w:rFonts w:ascii="宋体" w:hAnsi="宋体" w:eastAsia="宋体" w:cs="宋体"/>
          <w:spacing w:val="-18"/>
          <w:sz w:val="24"/>
          <w:szCs w:val="24"/>
        </w:rPr>
        <w:t>优势种为翘嘴鲌；</w:t>
      </w:r>
      <w:r>
        <w:rPr>
          <w:rFonts w:ascii="宋体" w:hAnsi="宋体" w:eastAsia="宋体" w:cs="宋体"/>
          <w:spacing w:val="66"/>
          <w:sz w:val="24"/>
          <w:szCs w:val="24"/>
        </w:rPr>
        <w:t xml:space="preserve"> </w:t>
      </w:r>
      <w:r>
        <w:rPr>
          <w:rFonts w:ascii="宋体" w:hAnsi="宋体" w:eastAsia="宋体" w:cs="宋体"/>
          <w:spacing w:val="-18"/>
          <w:sz w:val="24"/>
          <w:szCs w:val="24"/>
        </w:rPr>
        <w:t>冬季捕获种类最少，</w:t>
      </w:r>
    </w:p>
    <w:p>
      <w:pPr>
        <w:spacing w:line="219" w:lineRule="auto"/>
        <w:ind w:left="37"/>
        <w:rPr>
          <w:rFonts w:ascii="宋体" w:hAnsi="宋体" w:eastAsia="宋体" w:cs="宋体"/>
          <w:sz w:val="24"/>
          <w:szCs w:val="24"/>
        </w:rPr>
      </w:pPr>
      <w:r>
        <w:rPr>
          <w:rFonts w:ascii="宋体" w:hAnsi="宋体" w:eastAsia="宋体" w:cs="宋体"/>
          <w:spacing w:val="-1"/>
          <w:sz w:val="24"/>
          <w:szCs w:val="24"/>
        </w:rPr>
        <w:t>共</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27 </w:t>
      </w:r>
      <w:r>
        <w:rPr>
          <w:rFonts w:ascii="宋体" w:hAnsi="宋体" w:eastAsia="宋体" w:cs="宋体"/>
          <w:spacing w:val="-1"/>
          <w:sz w:val="24"/>
          <w:szCs w:val="24"/>
        </w:rPr>
        <w:t>种，其中鱼类</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24 </w:t>
      </w:r>
      <w:r>
        <w:rPr>
          <w:rFonts w:ascii="宋体" w:hAnsi="宋体" w:eastAsia="宋体" w:cs="宋体"/>
          <w:spacing w:val="-1"/>
          <w:sz w:val="24"/>
          <w:szCs w:val="24"/>
        </w:rPr>
        <w:t>种，优势种为翘嘴</w:t>
      </w:r>
      <w:r>
        <w:rPr>
          <w:rFonts w:ascii="宋体" w:hAnsi="宋体" w:eastAsia="宋体" w:cs="宋体"/>
          <w:spacing w:val="-2"/>
          <w:sz w:val="24"/>
          <w:szCs w:val="24"/>
        </w:rPr>
        <w:t>鲌。各季节均以鱼类的种类数最多。</w:t>
      </w:r>
    </w:p>
    <w:p>
      <w:pPr>
        <w:spacing w:before="181" w:line="360" w:lineRule="auto"/>
        <w:ind w:left="38" w:right="66" w:firstLine="483"/>
        <w:rPr>
          <w:rFonts w:ascii="宋体" w:hAnsi="宋体" w:eastAsia="宋体" w:cs="宋体"/>
          <w:sz w:val="24"/>
          <w:szCs w:val="24"/>
        </w:rPr>
      </w:pPr>
      <w:r>
        <w:rPr>
          <w:rFonts w:ascii="宋体" w:hAnsi="宋体" w:eastAsia="宋体" w:cs="宋体"/>
          <w:spacing w:val="-1"/>
          <w:sz w:val="24"/>
          <w:szCs w:val="24"/>
        </w:rPr>
        <w:t xml:space="preserve">不同水系的渔获物种类数，珊溪水库共捕获 </w:t>
      </w:r>
      <w:r>
        <w:rPr>
          <w:rFonts w:ascii="Times New Roman" w:hAnsi="Times New Roman" w:eastAsia="Times New Roman" w:cs="Times New Roman"/>
          <w:spacing w:val="-1"/>
          <w:sz w:val="24"/>
          <w:szCs w:val="24"/>
        </w:rPr>
        <w:t xml:space="preserve">34  </w:t>
      </w:r>
      <w:r>
        <w:rPr>
          <w:rFonts w:ascii="宋体" w:hAnsi="宋体" w:eastAsia="宋体" w:cs="宋体"/>
          <w:spacing w:val="-1"/>
          <w:sz w:val="24"/>
          <w:szCs w:val="24"/>
        </w:rPr>
        <w:t xml:space="preserve">种，种类最多的站位捕到 </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11"/>
          <w:sz w:val="24"/>
          <w:szCs w:val="24"/>
        </w:rPr>
        <w:t xml:space="preserve"> </w:t>
      </w:r>
      <w:r>
        <w:rPr>
          <w:rFonts w:ascii="宋体" w:hAnsi="宋体" w:eastAsia="宋体" w:cs="宋体"/>
          <w:spacing w:val="-1"/>
          <w:sz w:val="24"/>
          <w:szCs w:val="24"/>
        </w:rPr>
        <w:t>种；泗溪共捕获</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36 </w:t>
      </w:r>
      <w:r>
        <w:rPr>
          <w:rFonts w:ascii="宋体" w:hAnsi="宋体" w:eastAsia="宋体" w:cs="宋体"/>
          <w:spacing w:val="-1"/>
          <w:sz w:val="24"/>
          <w:szCs w:val="24"/>
        </w:rPr>
        <w:t>种，以百丈漈水库种类最多，</w:t>
      </w:r>
      <w:r>
        <w:rPr>
          <w:rFonts w:ascii="宋体" w:hAnsi="宋体" w:eastAsia="宋体" w:cs="宋体"/>
          <w:spacing w:val="-2"/>
          <w:sz w:val="24"/>
          <w:szCs w:val="24"/>
        </w:rPr>
        <w:t>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25 </w:t>
      </w:r>
      <w:r>
        <w:rPr>
          <w:rFonts w:ascii="宋体" w:hAnsi="宋体" w:eastAsia="宋体" w:cs="宋体"/>
          <w:spacing w:val="-2"/>
          <w:sz w:val="24"/>
          <w:szCs w:val="24"/>
        </w:rPr>
        <w:t>种；玉泉溪共捕获</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30 </w:t>
      </w:r>
      <w:r>
        <w:rPr>
          <w:rFonts w:ascii="宋体" w:hAnsi="宋体" w:eastAsia="宋体" w:cs="宋体"/>
          <w:spacing w:val="-2"/>
          <w:sz w:val="24"/>
          <w:szCs w:val="24"/>
        </w:rPr>
        <w:t>种，</w:t>
      </w:r>
    </w:p>
    <w:p>
      <w:pPr>
        <w:spacing w:line="219" w:lineRule="auto"/>
        <w:ind w:left="38"/>
        <w:rPr>
          <w:rFonts w:ascii="宋体" w:hAnsi="宋体" w:eastAsia="宋体" w:cs="宋体"/>
          <w:sz w:val="24"/>
          <w:szCs w:val="24"/>
        </w:rPr>
      </w:pPr>
      <w:r>
        <w:rPr>
          <w:rFonts w:ascii="宋体" w:hAnsi="宋体" w:eastAsia="宋体" w:cs="宋体"/>
          <w:spacing w:val="-2"/>
          <w:sz w:val="24"/>
          <w:szCs w:val="24"/>
        </w:rPr>
        <w:t>种类最多的站位捕到</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24 </w:t>
      </w:r>
      <w:r>
        <w:rPr>
          <w:rFonts w:ascii="宋体" w:hAnsi="宋体" w:eastAsia="宋体" w:cs="宋体"/>
          <w:spacing w:val="-2"/>
          <w:sz w:val="24"/>
          <w:szCs w:val="24"/>
        </w:rPr>
        <w:t>种。</w:t>
      </w:r>
    </w:p>
    <w:p>
      <w:pPr>
        <w:spacing w:before="180" w:line="220" w:lineRule="auto"/>
        <w:ind w:left="513"/>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）渔业生产现状</w:t>
      </w:r>
    </w:p>
    <w:p>
      <w:pPr>
        <w:spacing w:before="182" w:line="466" w:lineRule="exact"/>
        <w:ind w:left="513"/>
        <w:rPr>
          <w:rFonts w:ascii="宋体" w:hAnsi="宋体" w:eastAsia="宋体" w:cs="宋体"/>
          <w:sz w:val="24"/>
          <w:szCs w:val="24"/>
        </w:rPr>
      </w:pPr>
      <w:r>
        <w:rPr>
          <w:rFonts w:ascii="Times New Roman" w:hAnsi="Times New Roman" w:eastAsia="Times New Roman" w:cs="Times New Roman"/>
          <w:spacing w:val="-3"/>
          <w:position w:val="16"/>
          <w:sz w:val="24"/>
          <w:szCs w:val="24"/>
        </w:rPr>
        <w:t>2019</w:t>
      </w:r>
      <w:r>
        <w:rPr>
          <w:rFonts w:ascii="Times New Roman" w:hAnsi="Times New Roman" w:eastAsia="Times New Roman" w:cs="Times New Roman"/>
          <w:spacing w:val="15"/>
          <w:w w:val="101"/>
          <w:position w:val="16"/>
          <w:sz w:val="24"/>
          <w:szCs w:val="24"/>
        </w:rPr>
        <w:t xml:space="preserve"> </w:t>
      </w:r>
      <w:r>
        <w:rPr>
          <w:rFonts w:ascii="宋体" w:hAnsi="宋体" w:eastAsia="宋体" w:cs="宋体"/>
          <w:spacing w:val="-3"/>
          <w:position w:val="16"/>
          <w:sz w:val="24"/>
          <w:szCs w:val="24"/>
        </w:rPr>
        <w:t>年全县水产品总产量达</w:t>
      </w:r>
      <w:r>
        <w:rPr>
          <w:rFonts w:ascii="宋体" w:hAnsi="宋体" w:eastAsia="宋体" w:cs="宋体"/>
          <w:spacing w:val="-27"/>
          <w:position w:val="16"/>
          <w:sz w:val="24"/>
          <w:szCs w:val="24"/>
        </w:rPr>
        <w:t xml:space="preserve"> </w:t>
      </w:r>
      <w:r>
        <w:rPr>
          <w:rFonts w:ascii="Times New Roman" w:hAnsi="Times New Roman" w:eastAsia="Times New Roman" w:cs="Times New Roman"/>
          <w:spacing w:val="-3"/>
          <w:position w:val="16"/>
          <w:sz w:val="24"/>
          <w:szCs w:val="24"/>
        </w:rPr>
        <w:t>1176.1</w:t>
      </w:r>
      <w:r>
        <w:rPr>
          <w:rFonts w:ascii="Times New Roman" w:hAnsi="Times New Roman" w:eastAsia="Times New Roman" w:cs="Times New Roman"/>
          <w:spacing w:val="26"/>
          <w:w w:val="101"/>
          <w:position w:val="16"/>
          <w:sz w:val="24"/>
          <w:szCs w:val="24"/>
        </w:rPr>
        <w:t xml:space="preserve"> </w:t>
      </w:r>
      <w:r>
        <w:rPr>
          <w:rFonts w:ascii="宋体" w:hAnsi="宋体" w:eastAsia="宋体" w:cs="宋体"/>
          <w:spacing w:val="-3"/>
          <w:position w:val="16"/>
          <w:sz w:val="24"/>
          <w:szCs w:val="24"/>
        </w:rPr>
        <w:t>吨，同比增产</w:t>
      </w:r>
      <w:r>
        <w:rPr>
          <w:rFonts w:ascii="宋体" w:hAnsi="宋体" w:eastAsia="宋体" w:cs="宋体"/>
          <w:spacing w:val="-46"/>
          <w:position w:val="16"/>
          <w:sz w:val="24"/>
          <w:szCs w:val="24"/>
        </w:rPr>
        <w:t xml:space="preserve"> </w:t>
      </w:r>
      <w:r>
        <w:rPr>
          <w:rFonts w:ascii="Times New Roman" w:hAnsi="Times New Roman" w:eastAsia="Times New Roman" w:cs="Times New Roman"/>
          <w:spacing w:val="-3"/>
          <w:position w:val="16"/>
          <w:sz w:val="24"/>
          <w:szCs w:val="24"/>
        </w:rPr>
        <w:t>3.07  %</w:t>
      </w:r>
      <w:r>
        <w:rPr>
          <w:rFonts w:ascii="宋体" w:hAnsi="宋体" w:eastAsia="宋体" w:cs="宋体"/>
          <w:spacing w:val="-4"/>
          <w:position w:val="16"/>
          <w:sz w:val="24"/>
          <w:szCs w:val="24"/>
        </w:rPr>
        <w:t>，产值</w:t>
      </w:r>
      <w:r>
        <w:rPr>
          <w:rFonts w:ascii="宋体" w:hAnsi="宋体" w:eastAsia="宋体" w:cs="宋体"/>
          <w:spacing w:val="-40"/>
          <w:position w:val="16"/>
          <w:sz w:val="24"/>
          <w:szCs w:val="24"/>
        </w:rPr>
        <w:t xml:space="preserve"> </w:t>
      </w:r>
      <w:r>
        <w:rPr>
          <w:rFonts w:ascii="Times New Roman" w:hAnsi="Times New Roman" w:eastAsia="Times New Roman" w:cs="Times New Roman"/>
          <w:spacing w:val="-4"/>
          <w:position w:val="16"/>
          <w:sz w:val="24"/>
          <w:szCs w:val="24"/>
        </w:rPr>
        <w:t>2715</w:t>
      </w:r>
      <w:r>
        <w:rPr>
          <w:rFonts w:ascii="Times New Roman" w:hAnsi="Times New Roman" w:eastAsia="Times New Roman" w:cs="Times New Roman"/>
          <w:spacing w:val="20"/>
          <w:position w:val="16"/>
          <w:sz w:val="24"/>
          <w:szCs w:val="24"/>
        </w:rPr>
        <w:t xml:space="preserve"> </w:t>
      </w:r>
      <w:r>
        <w:rPr>
          <w:rFonts w:ascii="宋体" w:hAnsi="宋体" w:eastAsia="宋体" w:cs="宋体"/>
          <w:spacing w:val="-4"/>
          <w:position w:val="16"/>
          <w:sz w:val="24"/>
          <w:szCs w:val="24"/>
        </w:rPr>
        <w:t>万元，</w:t>
      </w:r>
    </w:p>
    <w:p>
      <w:pPr>
        <w:spacing w:before="1" w:line="219" w:lineRule="auto"/>
        <w:ind w:left="39"/>
        <w:rPr>
          <w:rFonts w:ascii="Times New Roman" w:hAnsi="Times New Roman" w:eastAsia="Times New Roman" w:cs="Times New Roman"/>
          <w:sz w:val="24"/>
          <w:szCs w:val="24"/>
        </w:rPr>
      </w:pPr>
      <w:r>
        <w:rPr>
          <w:rFonts w:ascii="宋体" w:hAnsi="宋体" w:eastAsia="宋体" w:cs="宋体"/>
          <w:spacing w:val="-8"/>
          <w:sz w:val="24"/>
          <w:szCs w:val="24"/>
        </w:rPr>
        <w:t>养殖产量达</w:t>
      </w:r>
      <w:r>
        <w:rPr>
          <w:rFonts w:ascii="宋体" w:hAnsi="宋体" w:eastAsia="宋体" w:cs="宋体"/>
          <w:spacing w:val="-38"/>
          <w:sz w:val="24"/>
          <w:szCs w:val="24"/>
        </w:rPr>
        <w:t xml:space="preserve"> </w:t>
      </w:r>
      <w:r>
        <w:rPr>
          <w:rFonts w:ascii="Times New Roman" w:hAnsi="Times New Roman" w:eastAsia="Times New Roman" w:cs="Times New Roman"/>
          <w:spacing w:val="-8"/>
          <w:sz w:val="24"/>
          <w:szCs w:val="24"/>
        </w:rPr>
        <w:t>692.1</w:t>
      </w:r>
      <w:r>
        <w:rPr>
          <w:rFonts w:ascii="Times New Roman" w:hAnsi="Times New Roman" w:eastAsia="Times New Roman" w:cs="Times New Roman"/>
          <w:spacing w:val="22"/>
          <w:sz w:val="24"/>
          <w:szCs w:val="24"/>
        </w:rPr>
        <w:t xml:space="preserve"> </w:t>
      </w:r>
      <w:r>
        <w:rPr>
          <w:rFonts w:ascii="宋体" w:hAnsi="宋体" w:eastAsia="宋体" w:cs="宋体"/>
          <w:spacing w:val="-8"/>
          <w:sz w:val="24"/>
          <w:szCs w:val="24"/>
        </w:rPr>
        <w:t>吨，其中池塘</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159</w:t>
      </w:r>
      <w:r>
        <w:rPr>
          <w:rFonts w:ascii="Times New Roman" w:hAnsi="Times New Roman" w:eastAsia="Times New Roman" w:cs="Times New Roman"/>
          <w:spacing w:val="20"/>
          <w:w w:val="101"/>
          <w:sz w:val="24"/>
          <w:szCs w:val="24"/>
        </w:rPr>
        <w:t xml:space="preserve"> </w:t>
      </w:r>
      <w:r>
        <w:rPr>
          <w:rFonts w:ascii="宋体" w:hAnsi="宋体" w:eastAsia="宋体" w:cs="宋体"/>
          <w:spacing w:val="-8"/>
          <w:sz w:val="24"/>
          <w:szCs w:val="24"/>
        </w:rPr>
        <w:t>吨、水库</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260.1</w:t>
      </w:r>
      <w:r>
        <w:rPr>
          <w:rFonts w:ascii="Times New Roman" w:hAnsi="Times New Roman" w:eastAsia="Times New Roman" w:cs="Times New Roman"/>
          <w:spacing w:val="21"/>
          <w:sz w:val="24"/>
          <w:szCs w:val="24"/>
        </w:rPr>
        <w:t xml:space="preserve"> </w:t>
      </w:r>
      <w:r>
        <w:rPr>
          <w:rFonts w:ascii="宋体" w:hAnsi="宋体" w:eastAsia="宋体" w:cs="宋体"/>
          <w:spacing w:val="-8"/>
          <w:sz w:val="24"/>
          <w:szCs w:val="24"/>
        </w:rPr>
        <w:t>吨、稻田</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273</w:t>
      </w:r>
      <w:r>
        <w:rPr>
          <w:rFonts w:ascii="Times New Roman" w:hAnsi="Times New Roman" w:eastAsia="Times New Roman" w:cs="Times New Roman"/>
          <w:spacing w:val="21"/>
          <w:w w:val="101"/>
          <w:sz w:val="24"/>
          <w:szCs w:val="24"/>
        </w:rPr>
        <w:t xml:space="preserve"> </w:t>
      </w:r>
      <w:r>
        <w:rPr>
          <w:rFonts w:ascii="宋体" w:hAnsi="宋体" w:eastAsia="宋体" w:cs="宋体"/>
          <w:spacing w:val="-8"/>
          <w:sz w:val="24"/>
          <w:szCs w:val="24"/>
        </w:rPr>
        <w:t>吨；捕捞产量</w:t>
      </w:r>
      <w:r>
        <w:rPr>
          <w:rFonts w:ascii="宋体" w:hAnsi="宋体" w:eastAsia="宋体" w:cs="宋体"/>
          <w:spacing w:val="-57"/>
          <w:sz w:val="24"/>
          <w:szCs w:val="24"/>
        </w:rPr>
        <w:t xml:space="preserve"> </w:t>
      </w:r>
      <w:r>
        <w:rPr>
          <w:rFonts w:ascii="Times New Roman" w:hAnsi="Times New Roman" w:eastAsia="Times New Roman" w:cs="Times New Roman"/>
          <w:spacing w:val="-8"/>
          <w:sz w:val="24"/>
          <w:szCs w:val="24"/>
        </w:rPr>
        <w:t>484</w:t>
      </w:r>
    </w:p>
    <w:p>
      <w:pPr>
        <w:spacing w:line="219" w:lineRule="auto"/>
        <w:rPr>
          <w:rFonts w:ascii="Times New Roman" w:hAnsi="Times New Roman" w:eastAsia="Times New Roman" w:cs="Times New Roman"/>
          <w:sz w:val="24"/>
          <w:szCs w:val="24"/>
        </w:rPr>
        <w:sectPr>
          <w:headerReference r:id="rId236" w:type="default"/>
          <w:footerReference r:id="rId237" w:type="default"/>
          <w:pgSz w:w="11907" w:h="16839"/>
          <w:pgMar w:top="1288" w:right="1630" w:bottom="1151" w:left="1673" w:header="1047" w:footer="990" w:gutter="0"/>
          <w:cols w:space="720" w:num="1"/>
        </w:sectPr>
      </w:pPr>
    </w:p>
    <w:p>
      <w:pPr>
        <w:pStyle w:val="2"/>
        <w:spacing w:line="257" w:lineRule="auto"/>
      </w:pPr>
    </w:p>
    <w:p>
      <w:pPr>
        <w:spacing w:before="78" w:line="359" w:lineRule="auto"/>
        <w:ind w:left="38" w:right="26" w:firstLine="11"/>
        <w:jc w:val="both"/>
        <w:rPr>
          <w:rFonts w:ascii="宋体" w:hAnsi="宋体" w:eastAsia="宋体" w:cs="宋体"/>
          <w:sz w:val="24"/>
          <w:szCs w:val="24"/>
        </w:rPr>
      </w:pPr>
      <w:r>
        <w:rPr>
          <w:rFonts w:ascii="宋体" w:hAnsi="宋体" w:eastAsia="宋体" w:cs="宋体"/>
          <w:spacing w:val="-8"/>
          <w:sz w:val="24"/>
          <w:szCs w:val="24"/>
        </w:rPr>
        <w:t>吨。截至</w:t>
      </w:r>
      <w:r>
        <w:rPr>
          <w:rFonts w:ascii="宋体" w:hAnsi="宋体" w:eastAsia="宋体" w:cs="宋体"/>
          <w:spacing w:val="-38"/>
          <w:sz w:val="24"/>
          <w:szCs w:val="24"/>
        </w:rPr>
        <w:t xml:space="preserve"> </w:t>
      </w:r>
      <w:r>
        <w:rPr>
          <w:rFonts w:ascii="Times New Roman" w:hAnsi="Times New Roman" w:eastAsia="Times New Roman" w:cs="Times New Roman"/>
          <w:spacing w:val="-8"/>
          <w:sz w:val="24"/>
          <w:szCs w:val="24"/>
        </w:rPr>
        <w:t xml:space="preserve">2019 </w:t>
      </w:r>
      <w:r>
        <w:rPr>
          <w:rFonts w:ascii="宋体" w:hAnsi="宋体" w:eastAsia="宋体" w:cs="宋体"/>
          <w:spacing w:val="-8"/>
          <w:sz w:val="24"/>
          <w:szCs w:val="24"/>
        </w:rPr>
        <w:t>年底， 全县共有大规模水产养殖户</w:t>
      </w:r>
      <w:r>
        <w:rPr>
          <w:rFonts w:ascii="宋体" w:hAnsi="宋体" w:eastAsia="宋体" w:cs="宋体"/>
          <w:spacing w:val="-47"/>
          <w:sz w:val="24"/>
          <w:szCs w:val="24"/>
        </w:rPr>
        <w:t xml:space="preserve"> </w:t>
      </w:r>
      <w:r>
        <w:rPr>
          <w:rFonts w:ascii="Times New Roman" w:hAnsi="Times New Roman" w:eastAsia="Times New Roman" w:cs="Times New Roman"/>
          <w:spacing w:val="-8"/>
          <w:sz w:val="24"/>
          <w:szCs w:val="24"/>
        </w:rPr>
        <w:t xml:space="preserve">51 </w:t>
      </w:r>
      <w:r>
        <w:rPr>
          <w:rFonts w:ascii="宋体" w:hAnsi="宋体" w:eastAsia="宋体" w:cs="宋体"/>
          <w:spacing w:val="-8"/>
          <w:sz w:val="24"/>
          <w:szCs w:val="24"/>
        </w:rPr>
        <w:t>家，</w:t>
      </w:r>
      <w:r>
        <w:rPr>
          <w:rFonts w:ascii="宋体" w:hAnsi="宋体" w:eastAsia="宋体" w:cs="宋体"/>
          <w:spacing w:val="-54"/>
          <w:sz w:val="24"/>
          <w:szCs w:val="24"/>
        </w:rPr>
        <w:t xml:space="preserve"> </w:t>
      </w:r>
      <w:r>
        <w:rPr>
          <w:rFonts w:ascii="宋体" w:hAnsi="宋体" w:eastAsia="宋体" w:cs="宋体"/>
          <w:spacing w:val="-8"/>
          <w:sz w:val="24"/>
          <w:szCs w:val="24"/>
        </w:rPr>
        <w:t>无公害水产品养殖产地</w:t>
      </w:r>
      <w:r>
        <w:rPr>
          <w:rFonts w:ascii="宋体" w:hAnsi="宋体" w:eastAsia="宋体" w:cs="宋体"/>
          <w:spacing w:val="-48"/>
          <w:sz w:val="24"/>
          <w:szCs w:val="24"/>
        </w:rPr>
        <w:t xml:space="preserve"> </w:t>
      </w:r>
      <w:r>
        <w:rPr>
          <w:rFonts w:ascii="Times New Roman" w:hAnsi="Times New Roman" w:eastAsia="Times New Roman" w:cs="Times New Roman"/>
          <w:spacing w:val="-8"/>
          <w:sz w:val="24"/>
          <w:szCs w:val="24"/>
        </w:rPr>
        <w:t>5</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家</w:t>
      </w:r>
      <w:r>
        <w:rPr>
          <w:rFonts w:ascii="宋体" w:hAnsi="宋体" w:eastAsia="宋体" w:cs="宋体"/>
          <w:spacing w:val="-17"/>
          <w:sz w:val="24"/>
          <w:szCs w:val="24"/>
        </w:rPr>
        <w:t xml:space="preserve"> </w:t>
      </w:r>
      <w:r>
        <w:rPr>
          <w:rFonts w:ascii="Times New Roman" w:hAnsi="Times New Roman" w:eastAsia="Times New Roman" w:cs="Times New Roman"/>
          <w:spacing w:val="-3"/>
          <w:sz w:val="24"/>
          <w:szCs w:val="24"/>
        </w:rPr>
        <w:t>812</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亩；稻田养鱼精品园</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28"/>
          <w:w w:val="101"/>
          <w:sz w:val="24"/>
          <w:szCs w:val="24"/>
        </w:rPr>
        <w:t xml:space="preserve"> </w:t>
      </w:r>
      <w:r>
        <w:rPr>
          <w:rFonts w:ascii="宋体" w:hAnsi="宋体" w:eastAsia="宋体" w:cs="宋体"/>
          <w:spacing w:val="-3"/>
          <w:sz w:val="24"/>
          <w:szCs w:val="24"/>
        </w:rPr>
        <w:t xml:space="preserve">家，其中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家为省级稻田养鱼精品园；种养殖精品</w:t>
      </w:r>
      <w:r>
        <w:rPr>
          <w:rFonts w:ascii="宋体" w:hAnsi="宋体" w:eastAsia="宋体" w:cs="宋体"/>
          <w:sz w:val="24"/>
          <w:szCs w:val="24"/>
        </w:rPr>
        <w:t xml:space="preserve"> </w:t>
      </w:r>
      <w:r>
        <w:rPr>
          <w:rFonts w:ascii="宋体" w:hAnsi="宋体" w:eastAsia="宋体" w:cs="宋体"/>
          <w:spacing w:val="-2"/>
          <w:sz w:val="24"/>
          <w:szCs w:val="24"/>
        </w:rPr>
        <w:t xml:space="preserve">园基地 </w:t>
      </w:r>
      <w:r>
        <w:rPr>
          <w:rFonts w:ascii="Times New Roman" w:hAnsi="Times New Roman" w:eastAsia="Times New Roman" w:cs="Times New Roman"/>
          <w:spacing w:val="-2"/>
          <w:sz w:val="24"/>
          <w:szCs w:val="24"/>
        </w:rPr>
        <w:t>1900</w:t>
      </w:r>
      <w:r>
        <w:rPr>
          <w:rFonts w:ascii="Times New Roman" w:hAnsi="Times New Roman" w:eastAsia="Times New Roman" w:cs="Times New Roman"/>
          <w:spacing w:val="39"/>
          <w:w w:val="101"/>
          <w:sz w:val="24"/>
          <w:szCs w:val="24"/>
        </w:rPr>
        <w:t xml:space="preserve"> </w:t>
      </w:r>
      <w:r>
        <w:rPr>
          <w:rFonts w:ascii="宋体" w:hAnsi="宋体" w:eastAsia="宋体" w:cs="宋体"/>
          <w:spacing w:val="-2"/>
          <w:sz w:val="24"/>
          <w:szCs w:val="24"/>
        </w:rPr>
        <w:t>亩，产业辐射面积</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6800</w:t>
      </w:r>
      <w:r>
        <w:rPr>
          <w:rFonts w:ascii="Times New Roman" w:hAnsi="Times New Roman" w:eastAsia="Times New Roman" w:cs="Times New Roman"/>
          <w:spacing w:val="37"/>
          <w:sz w:val="24"/>
          <w:szCs w:val="24"/>
        </w:rPr>
        <w:t xml:space="preserve"> </w:t>
      </w:r>
      <w:r>
        <w:rPr>
          <w:rFonts w:ascii="宋体" w:hAnsi="宋体" w:eastAsia="宋体" w:cs="宋体"/>
          <w:spacing w:val="-2"/>
          <w:sz w:val="24"/>
          <w:szCs w:val="24"/>
        </w:rPr>
        <w:t>余亩。水产养殖病害检验检疫与防治体系初</w:t>
      </w:r>
      <w:r>
        <w:rPr>
          <w:rFonts w:ascii="宋体" w:hAnsi="宋体" w:eastAsia="宋体" w:cs="宋体"/>
          <w:sz w:val="24"/>
          <w:szCs w:val="24"/>
        </w:rPr>
        <w:t xml:space="preserve"> </w:t>
      </w:r>
      <w:r>
        <w:rPr>
          <w:rFonts w:ascii="宋体" w:hAnsi="宋体" w:eastAsia="宋体" w:cs="宋体"/>
          <w:spacing w:val="-8"/>
          <w:sz w:val="24"/>
          <w:szCs w:val="24"/>
        </w:rPr>
        <w:t xml:space="preserve">具规模， </w:t>
      </w:r>
      <w:r>
        <w:rPr>
          <w:rFonts w:ascii="Times New Roman" w:hAnsi="Times New Roman" w:eastAsia="Times New Roman" w:cs="Times New Roman"/>
          <w:spacing w:val="-8"/>
          <w:sz w:val="24"/>
          <w:szCs w:val="24"/>
        </w:rPr>
        <w:t xml:space="preserve">2019 </w:t>
      </w:r>
      <w:r>
        <w:rPr>
          <w:rFonts w:ascii="宋体" w:hAnsi="宋体" w:eastAsia="宋体" w:cs="宋体"/>
          <w:spacing w:val="-8"/>
          <w:sz w:val="24"/>
          <w:szCs w:val="24"/>
        </w:rPr>
        <w:t>年全县设立病害测报点</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 </w:t>
      </w:r>
      <w:r>
        <w:rPr>
          <w:rFonts w:ascii="宋体" w:hAnsi="宋体" w:eastAsia="宋体" w:cs="宋体"/>
          <w:spacing w:val="-8"/>
          <w:sz w:val="24"/>
          <w:szCs w:val="24"/>
        </w:rPr>
        <w:t>个，</w:t>
      </w:r>
      <w:r>
        <w:rPr>
          <w:rFonts w:ascii="宋体" w:hAnsi="宋体" w:eastAsia="宋体" w:cs="宋体"/>
          <w:spacing w:val="-54"/>
          <w:sz w:val="24"/>
          <w:szCs w:val="24"/>
        </w:rPr>
        <w:t xml:space="preserve"> </w:t>
      </w:r>
      <w:r>
        <w:rPr>
          <w:rFonts w:ascii="宋体" w:hAnsi="宋体" w:eastAsia="宋体" w:cs="宋体"/>
          <w:spacing w:val="-9"/>
          <w:sz w:val="24"/>
          <w:szCs w:val="24"/>
        </w:rPr>
        <w:t>测报面积</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 xml:space="preserve">65 </w:t>
      </w:r>
      <w:r>
        <w:rPr>
          <w:rFonts w:ascii="宋体" w:hAnsi="宋体" w:eastAsia="宋体" w:cs="宋体"/>
          <w:spacing w:val="-9"/>
          <w:sz w:val="24"/>
          <w:szCs w:val="24"/>
        </w:rPr>
        <w:t>亩，</w:t>
      </w:r>
      <w:r>
        <w:rPr>
          <w:rFonts w:ascii="宋体" w:hAnsi="宋体" w:eastAsia="宋体" w:cs="宋体"/>
          <w:spacing w:val="-53"/>
          <w:sz w:val="24"/>
          <w:szCs w:val="24"/>
        </w:rPr>
        <w:t xml:space="preserve"> </w:t>
      </w:r>
      <w:r>
        <w:rPr>
          <w:rFonts w:ascii="宋体" w:hAnsi="宋体" w:eastAsia="宋体" w:cs="宋体"/>
          <w:spacing w:val="-9"/>
          <w:sz w:val="24"/>
          <w:szCs w:val="24"/>
        </w:rPr>
        <w:t>至今未发现大面积水</w:t>
      </w:r>
      <w:r>
        <w:rPr>
          <w:rFonts w:ascii="宋体" w:hAnsi="宋体" w:eastAsia="宋体" w:cs="宋体"/>
          <w:sz w:val="24"/>
          <w:szCs w:val="24"/>
        </w:rPr>
        <w:t xml:space="preserve"> </w:t>
      </w:r>
      <w:r>
        <w:rPr>
          <w:rFonts w:ascii="宋体" w:hAnsi="宋体" w:eastAsia="宋体" w:cs="宋体"/>
          <w:spacing w:val="2"/>
          <w:sz w:val="24"/>
          <w:szCs w:val="24"/>
        </w:rPr>
        <w:t>产养殖病害。大水面生态渔业、水库保水洁水渔业发展良好，地方名特优产品品</w:t>
      </w:r>
      <w:r>
        <w:rPr>
          <w:rFonts w:ascii="宋体" w:hAnsi="宋体" w:eastAsia="宋体" w:cs="宋体"/>
          <w:spacing w:val="14"/>
          <w:sz w:val="24"/>
          <w:szCs w:val="24"/>
        </w:rPr>
        <w:t xml:space="preserve"> </w:t>
      </w:r>
      <w:r>
        <w:rPr>
          <w:rFonts w:ascii="宋体" w:hAnsi="宋体" w:eastAsia="宋体" w:cs="宋体"/>
          <w:spacing w:val="-1"/>
          <w:sz w:val="24"/>
          <w:szCs w:val="24"/>
        </w:rPr>
        <w:t xml:space="preserve">牌效益开始溢出，温州市公用事业投资集团有限公司珊溪水源保护分公司在 </w:t>
      </w:r>
      <w:r>
        <w:rPr>
          <w:rFonts w:ascii="Times New Roman" w:hAnsi="Times New Roman" w:eastAsia="Times New Roman" w:cs="Times New Roman"/>
          <w:spacing w:val="-1"/>
          <w:sz w:val="24"/>
          <w:szCs w:val="24"/>
        </w:rPr>
        <w:t>2019</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 xml:space="preserve">年完成鲢、鳙鱼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个水产品的有机产品认证。生态健康的现代渔业模式逐步推广</w:t>
      </w:r>
    </w:p>
    <w:p>
      <w:pPr>
        <w:spacing w:line="219" w:lineRule="auto"/>
        <w:ind w:left="40"/>
        <w:rPr>
          <w:rFonts w:ascii="宋体" w:hAnsi="宋体" w:eastAsia="宋体" w:cs="宋体"/>
          <w:sz w:val="24"/>
          <w:szCs w:val="24"/>
        </w:rPr>
      </w:pPr>
      <w:r>
        <w:rPr>
          <w:rFonts w:ascii="宋体" w:hAnsi="宋体" w:eastAsia="宋体" w:cs="宋体"/>
          <w:spacing w:val="-8"/>
          <w:sz w:val="24"/>
          <w:szCs w:val="24"/>
        </w:rPr>
        <w:t xml:space="preserve">落地， </w:t>
      </w:r>
      <w:r>
        <w:rPr>
          <w:rFonts w:ascii="Times New Roman" w:hAnsi="Times New Roman" w:eastAsia="Times New Roman" w:cs="Times New Roman"/>
          <w:spacing w:val="-8"/>
          <w:sz w:val="24"/>
          <w:szCs w:val="24"/>
        </w:rPr>
        <w:t xml:space="preserve">2020 </w:t>
      </w:r>
      <w:r>
        <w:rPr>
          <w:rFonts w:ascii="宋体" w:hAnsi="宋体" w:eastAsia="宋体" w:cs="宋体"/>
          <w:spacing w:val="-8"/>
          <w:sz w:val="24"/>
          <w:szCs w:val="24"/>
        </w:rPr>
        <w:t>年全县新增创建</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家</w:t>
      </w:r>
      <w:r>
        <w:rPr>
          <w:rFonts w:ascii="宋体" w:hAnsi="宋体" w:eastAsia="宋体" w:cs="宋体"/>
          <w:spacing w:val="-9"/>
          <w:sz w:val="24"/>
          <w:szCs w:val="24"/>
        </w:rPr>
        <w:t>省级水产健康养殖示范场、</w:t>
      </w:r>
      <w:r>
        <w:rPr>
          <w:rFonts w:ascii="宋体" w:hAnsi="宋体" w:eastAsia="宋体" w:cs="宋体"/>
          <w:spacing w:val="40"/>
          <w:sz w:val="24"/>
          <w:szCs w:val="24"/>
        </w:rPr>
        <w:t xml:space="preserve"> </w:t>
      </w:r>
      <w:r>
        <w:rPr>
          <w:rFonts w:ascii="Times New Roman" w:hAnsi="Times New Roman" w:eastAsia="Times New Roman" w:cs="Times New Roman"/>
          <w:spacing w:val="-9"/>
          <w:sz w:val="24"/>
          <w:szCs w:val="24"/>
        </w:rPr>
        <w:t xml:space="preserve">2 </w:t>
      </w:r>
      <w:r>
        <w:rPr>
          <w:rFonts w:ascii="宋体" w:hAnsi="宋体" w:eastAsia="宋体" w:cs="宋体"/>
          <w:spacing w:val="-9"/>
          <w:sz w:val="24"/>
          <w:szCs w:val="24"/>
        </w:rPr>
        <w:t>家市级生态渔场。</w:t>
      </w:r>
    </w:p>
    <w:p>
      <w:pPr>
        <w:spacing w:before="266" w:line="220" w:lineRule="auto"/>
        <w:ind w:left="1249"/>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4.5-7        </w:t>
      </w:r>
      <w:r>
        <w:rPr>
          <w:rFonts w:ascii="宋体" w:hAnsi="宋体" w:eastAsia="宋体" w:cs="宋体"/>
          <w:sz w:val="24"/>
          <w:szCs w:val="24"/>
        </w:rPr>
        <w:t>文成县（含珊溪</w:t>
      </w:r>
      <w:r>
        <w:rPr>
          <w:rFonts w:ascii="宋体" w:hAnsi="宋体" w:eastAsia="宋体" w:cs="宋体"/>
          <w:spacing w:val="-1"/>
          <w:sz w:val="24"/>
          <w:szCs w:val="24"/>
        </w:rPr>
        <w:t>水库）主要水生动物种类名录</w:t>
      </w:r>
    </w:p>
    <w:p>
      <w:pPr>
        <w:spacing w:line="71" w:lineRule="exact"/>
      </w:pPr>
    </w:p>
    <w:tbl>
      <w:tblPr>
        <w:tblStyle w:val="5"/>
        <w:tblW w:w="8437" w:type="dxa"/>
        <w:tblInd w:w="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1080"/>
        <w:gridCol w:w="1302"/>
        <w:gridCol w:w="49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113" w:type="dxa"/>
            <w:vAlign w:val="top"/>
          </w:tcPr>
          <w:p>
            <w:pPr>
              <w:pStyle w:val="6"/>
              <w:spacing w:before="75" w:line="223" w:lineRule="auto"/>
              <w:ind w:left="497"/>
            </w:pPr>
            <w:r>
              <w:t>目</w:t>
            </w:r>
          </w:p>
        </w:tc>
        <w:tc>
          <w:tcPr>
            <w:tcW w:w="1080" w:type="dxa"/>
            <w:vAlign w:val="top"/>
          </w:tcPr>
          <w:p>
            <w:pPr>
              <w:pStyle w:val="6"/>
              <w:spacing w:before="75" w:line="220" w:lineRule="auto"/>
              <w:ind w:left="438"/>
            </w:pPr>
            <w:r>
              <w:t>科</w:t>
            </w:r>
          </w:p>
        </w:tc>
        <w:tc>
          <w:tcPr>
            <w:tcW w:w="1302" w:type="dxa"/>
            <w:vAlign w:val="top"/>
          </w:tcPr>
          <w:p>
            <w:pPr>
              <w:pStyle w:val="6"/>
              <w:spacing w:before="75" w:line="222" w:lineRule="auto"/>
              <w:ind w:left="550"/>
            </w:pPr>
            <w:r>
              <w:t>属</w:t>
            </w:r>
          </w:p>
        </w:tc>
        <w:tc>
          <w:tcPr>
            <w:tcW w:w="4942" w:type="dxa"/>
            <w:vAlign w:val="top"/>
          </w:tcPr>
          <w:p>
            <w:pPr>
              <w:pStyle w:val="6"/>
              <w:spacing w:before="75" w:line="221" w:lineRule="auto"/>
              <w:ind w:left="2367"/>
            </w:pPr>
            <w:r>
              <w:t>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437" w:type="dxa"/>
            <w:gridSpan w:val="4"/>
            <w:vAlign w:val="top"/>
          </w:tcPr>
          <w:p>
            <w:pPr>
              <w:pStyle w:val="6"/>
              <w:spacing w:before="73" w:line="221" w:lineRule="auto"/>
              <w:ind w:left="25"/>
              <w:rPr>
                <w:rFonts w:ascii="Times New Roman" w:hAnsi="Times New Roman" w:eastAsia="Times New Roman" w:cs="Times New Roman"/>
              </w:rPr>
            </w:pPr>
            <w:r>
              <w:rPr>
                <w:spacing w:val="-1"/>
              </w:rPr>
              <w:t>一、软体动物</w:t>
            </w:r>
            <w:r>
              <w:rPr>
                <w:spacing w:val="-49"/>
              </w:rPr>
              <w:t xml:space="preserve"> </w:t>
            </w:r>
            <w:r>
              <w:rPr>
                <w:rFonts w:ascii="Times New Roman" w:hAnsi="Times New Roman" w:eastAsia="Times New Roman" w:cs="Times New Roman"/>
                <w:spacing w:val="-1"/>
              </w:rPr>
              <w:t>Molluscs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8" w:line="221" w:lineRule="auto"/>
              <w:ind w:left="42"/>
            </w:pPr>
            <w:r>
              <w:rPr>
                <w:spacing w:val="-7"/>
              </w:rPr>
              <w:t>中腹足目</w:t>
            </w:r>
          </w:p>
        </w:tc>
        <w:tc>
          <w:tcPr>
            <w:tcW w:w="1080"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8" w:line="220" w:lineRule="auto"/>
              <w:ind w:left="43"/>
            </w:pPr>
            <w:r>
              <w:rPr>
                <w:spacing w:val="-7"/>
              </w:rPr>
              <w:t>田螺科</w:t>
            </w:r>
          </w:p>
        </w:tc>
        <w:tc>
          <w:tcPr>
            <w:tcW w:w="1302" w:type="dxa"/>
            <w:vMerge w:val="restart"/>
            <w:tcBorders>
              <w:bottom w:val="nil"/>
            </w:tcBorders>
            <w:vAlign w:val="top"/>
          </w:tcPr>
          <w:p>
            <w:pPr>
              <w:spacing w:line="358" w:lineRule="auto"/>
              <w:rPr>
                <w:rFonts w:ascii="Arial"/>
                <w:sz w:val="21"/>
              </w:rPr>
            </w:pPr>
          </w:p>
          <w:p>
            <w:pPr>
              <w:spacing w:line="359" w:lineRule="auto"/>
              <w:rPr>
                <w:rFonts w:ascii="Arial"/>
                <w:sz w:val="21"/>
              </w:rPr>
            </w:pPr>
          </w:p>
          <w:p>
            <w:pPr>
              <w:pStyle w:val="6"/>
              <w:spacing w:before="68" w:line="221" w:lineRule="auto"/>
              <w:ind w:left="18"/>
            </w:pPr>
            <w:r>
              <w:rPr>
                <w:spacing w:val="-2"/>
              </w:rPr>
              <w:t>环棱螺属</w:t>
            </w:r>
          </w:p>
        </w:tc>
        <w:tc>
          <w:tcPr>
            <w:tcW w:w="4942" w:type="dxa"/>
            <w:vAlign w:val="top"/>
          </w:tcPr>
          <w:p>
            <w:pPr>
              <w:pStyle w:val="6"/>
              <w:spacing w:before="70" w:line="207" w:lineRule="auto"/>
              <w:ind w:left="19"/>
              <w:rPr>
                <w:rFonts w:ascii="Times New Roman" w:hAnsi="Times New Roman" w:eastAsia="Times New Roman" w:cs="Times New Roman"/>
              </w:rPr>
            </w:pPr>
            <w:r>
              <w:rPr>
                <w:spacing w:val="9"/>
              </w:rPr>
              <w:t>双旋环棱螺</w:t>
            </w:r>
            <w:r>
              <w:rPr>
                <w:spacing w:val="-54"/>
              </w:rPr>
              <w:t xml:space="preserve"> </w:t>
            </w:r>
            <w:r>
              <w:rPr>
                <w:rFonts w:ascii="Times New Roman" w:hAnsi="Times New Roman" w:eastAsia="Times New Roman" w:cs="Times New Roman"/>
                <w:i/>
                <w:iCs/>
              </w:rPr>
              <w:t>Bellamyadispiralis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4942" w:type="dxa"/>
            <w:vAlign w:val="top"/>
          </w:tcPr>
          <w:p>
            <w:pPr>
              <w:pStyle w:val="6"/>
              <w:spacing w:before="70" w:line="207" w:lineRule="auto"/>
              <w:ind w:left="19"/>
              <w:rPr>
                <w:rFonts w:ascii="Times New Roman" w:hAnsi="Times New Roman" w:eastAsia="Times New Roman" w:cs="Times New Roman"/>
              </w:rPr>
            </w:pPr>
            <w:r>
              <w:t>铜锈环棱螺</w:t>
            </w:r>
            <w:r>
              <w:rPr>
                <w:spacing w:val="-57"/>
              </w:rPr>
              <w:t xml:space="preserve"> </w:t>
            </w:r>
            <w:r>
              <w:rPr>
                <w:rFonts w:ascii="Times New Roman" w:hAnsi="Times New Roman" w:eastAsia="Times New Roman" w:cs="Times New Roman"/>
                <w:i/>
                <w:iCs/>
              </w:rPr>
              <w:t>Bellamya aerugin</w:t>
            </w:r>
            <w:r>
              <w:rPr>
                <w:rFonts w:ascii="Times New Roman" w:hAnsi="Times New Roman" w:eastAsia="Times New Roman" w:cs="Times New Roman"/>
                <w:i/>
                <w:iCs/>
                <w:spacing w:val="-1"/>
              </w:rPr>
              <w:t>osa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4942" w:type="dxa"/>
            <w:vAlign w:val="top"/>
          </w:tcPr>
          <w:p>
            <w:pPr>
              <w:pStyle w:val="6"/>
              <w:spacing w:before="72" w:line="207" w:lineRule="auto"/>
              <w:ind w:left="20"/>
              <w:rPr>
                <w:rFonts w:ascii="Times New Roman" w:hAnsi="Times New Roman" w:eastAsia="Times New Roman" w:cs="Times New Roman"/>
              </w:rPr>
            </w:pPr>
            <w:r>
              <w:t>方形环棱螺</w:t>
            </w:r>
            <w:r>
              <w:rPr>
                <w:spacing w:val="-57"/>
              </w:rPr>
              <w:t xml:space="preserve"> </w:t>
            </w:r>
            <w:r>
              <w:rPr>
                <w:rFonts w:ascii="Times New Roman" w:hAnsi="Times New Roman" w:eastAsia="Times New Roman" w:cs="Times New Roman"/>
                <w:i/>
                <w:iCs/>
              </w:rPr>
              <w:t>Bellamya quadrata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4942" w:type="dxa"/>
            <w:vAlign w:val="top"/>
          </w:tcPr>
          <w:p>
            <w:pPr>
              <w:pStyle w:val="6"/>
              <w:spacing w:before="70" w:line="207" w:lineRule="auto"/>
              <w:ind w:left="23"/>
              <w:rPr>
                <w:rFonts w:ascii="Times New Roman" w:hAnsi="Times New Roman" w:eastAsia="Times New Roman" w:cs="Times New Roman"/>
              </w:rPr>
            </w:pPr>
            <w:r>
              <w:rPr>
                <w:spacing w:val="-1"/>
              </w:rPr>
              <w:t>角形环棱螺</w:t>
            </w:r>
            <w:r>
              <w:rPr>
                <w:spacing w:val="-41"/>
              </w:rPr>
              <w:t xml:space="preserve"> </w:t>
            </w:r>
            <w:r>
              <w:rPr>
                <w:rFonts w:ascii="Times New Roman" w:hAnsi="Times New Roman" w:eastAsia="Times New Roman" w:cs="Times New Roman"/>
                <w:i/>
                <w:iCs/>
                <w:spacing w:val="-1"/>
              </w:rPr>
              <w:t>Bellamya angularia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2" w:line="207" w:lineRule="auto"/>
              <w:ind w:left="19"/>
              <w:rPr>
                <w:rFonts w:ascii="Times New Roman" w:hAnsi="Times New Roman" w:eastAsia="Times New Roman" w:cs="Times New Roman"/>
              </w:rPr>
            </w:pPr>
            <w:r>
              <w:rPr>
                <w:spacing w:val="5"/>
              </w:rPr>
              <w:t>梨形环棱螺</w:t>
            </w:r>
            <w:r>
              <w:rPr>
                <w:spacing w:val="-56"/>
              </w:rPr>
              <w:t xml:space="preserve"> </w:t>
            </w:r>
            <w:r>
              <w:rPr>
                <w:rFonts w:ascii="Times New Roman" w:hAnsi="Times New Roman" w:eastAsia="Times New Roman" w:cs="Times New Roman"/>
                <w:i/>
                <w:iCs/>
              </w:rPr>
              <w:t>Bellamya</w:t>
            </w:r>
            <w:r>
              <w:rPr>
                <w:rFonts w:ascii="Times New Roman" w:hAnsi="Times New Roman" w:eastAsia="Times New Roman" w:cs="Times New Roman"/>
                <w:i/>
                <w:iCs/>
                <w:spacing w:val="-25"/>
              </w:rPr>
              <w:t xml:space="preserve"> </w:t>
            </w:r>
            <w:r>
              <w:rPr>
                <w:rFonts w:ascii="Times New Roman" w:hAnsi="Times New Roman" w:eastAsia="Times New Roman" w:cs="Times New Roman"/>
                <w:i/>
                <w:iCs/>
              </w:rPr>
              <w:t>purificata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76" w:line="221" w:lineRule="auto"/>
              <w:ind w:left="36"/>
            </w:pPr>
            <w:r>
              <w:rPr>
                <w:spacing w:val="-6"/>
              </w:rPr>
              <w:t>圆田螺属</w:t>
            </w:r>
          </w:p>
        </w:tc>
        <w:tc>
          <w:tcPr>
            <w:tcW w:w="4942" w:type="dxa"/>
            <w:vAlign w:val="top"/>
          </w:tcPr>
          <w:p>
            <w:pPr>
              <w:pStyle w:val="6"/>
              <w:spacing w:before="76" w:line="207" w:lineRule="auto"/>
              <w:ind w:left="39"/>
              <w:rPr>
                <w:rFonts w:ascii="Times New Roman" w:hAnsi="Times New Roman" w:eastAsia="Times New Roman" w:cs="Times New Roman"/>
              </w:rPr>
            </w:pPr>
            <w:r>
              <w:rPr>
                <w:spacing w:val="-1"/>
              </w:rPr>
              <w:t>中华圆田螺</w:t>
            </w:r>
            <w:r>
              <w:rPr>
                <w:spacing w:val="-37"/>
              </w:rPr>
              <w:t xml:space="preserve"> </w:t>
            </w:r>
            <w:r>
              <w:rPr>
                <w:rFonts w:ascii="Times New Roman" w:hAnsi="Times New Roman" w:eastAsia="Times New Roman" w:cs="Times New Roman"/>
                <w:i/>
                <w:iCs/>
                <w:spacing w:val="-1"/>
              </w:rPr>
              <w:t xml:space="preserve">Cipangopaludina </w:t>
            </w:r>
            <w:r>
              <w:rPr>
                <w:rFonts w:ascii="Times New Roman" w:hAnsi="Times New Roman" w:eastAsia="Times New Roman" w:cs="Times New Roman"/>
                <w:i/>
                <w:iCs/>
                <w:spacing w:val="-2"/>
              </w:rPr>
              <w:t>cathayensis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Align w:val="top"/>
          </w:tcPr>
          <w:p>
            <w:pPr>
              <w:pStyle w:val="6"/>
              <w:spacing w:before="76" w:line="221" w:lineRule="auto"/>
              <w:ind w:left="21"/>
            </w:pPr>
            <w:r>
              <w:rPr>
                <w:spacing w:val="-2"/>
              </w:rPr>
              <w:t>湄公螺属</w:t>
            </w:r>
          </w:p>
        </w:tc>
        <w:tc>
          <w:tcPr>
            <w:tcW w:w="4942" w:type="dxa"/>
            <w:vAlign w:val="top"/>
          </w:tcPr>
          <w:p>
            <w:pPr>
              <w:pStyle w:val="6"/>
              <w:spacing w:before="76" w:line="207" w:lineRule="auto"/>
              <w:ind w:left="19"/>
              <w:rPr>
                <w:rFonts w:ascii="Times New Roman" w:hAnsi="Times New Roman" w:eastAsia="Times New Roman" w:cs="Times New Roman"/>
              </w:rPr>
            </w:pPr>
            <w:r>
              <w:rPr>
                <w:spacing w:val="13"/>
              </w:rPr>
              <w:t>河湄公螺</w:t>
            </w:r>
            <w:r>
              <w:rPr>
                <w:spacing w:val="-56"/>
              </w:rPr>
              <w:t xml:space="preserve"> </w:t>
            </w:r>
            <w:r>
              <w:rPr>
                <w:rFonts w:ascii="Times New Roman" w:hAnsi="Times New Roman" w:eastAsia="Times New Roman" w:cs="Times New Roman"/>
                <w:i/>
                <w:iCs/>
              </w:rPr>
              <w:t>Mekangiarivularia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restart"/>
            <w:tcBorders>
              <w:bottom w:val="nil"/>
            </w:tcBorders>
            <w:vAlign w:val="top"/>
          </w:tcPr>
          <w:p>
            <w:pPr>
              <w:pStyle w:val="6"/>
              <w:spacing w:before="257" w:line="220" w:lineRule="auto"/>
              <w:ind w:left="19"/>
            </w:pPr>
            <w:r>
              <w:rPr>
                <w:spacing w:val="-2"/>
              </w:rPr>
              <w:t>豆螺科</w:t>
            </w:r>
          </w:p>
        </w:tc>
        <w:tc>
          <w:tcPr>
            <w:tcW w:w="1302" w:type="dxa"/>
            <w:vAlign w:val="top"/>
          </w:tcPr>
          <w:p>
            <w:pPr>
              <w:pStyle w:val="6"/>
              <w:spacing w:before="80" w:line="221" w:lineRule="auto"/>
              <w:ind w:left="19"/>
            </w:pPr>
            <w:r>
              <w:rPr>
                <w:spacing w:val="-2"/>
              </w:rPr>
              <w:t>豆螺属</w:t>
            </w:r>
          </w:p>
        </w:tc>
        <w:tc>
          <w:tcPr>
            <w:tcW w:w="4942" w:type="dxa"/>
            <w:vAlign w:val="top"/>
          </w:tcPr>
          <w:p>
            <w:pPr>
              <w:pStyle w:val="6"/>
              <w:spacing w:before="80" w:line="207" w:lineRule="auto"/>
              <w:ind w:left="26"/>
              <w:rPr>
                <w:rFonts w:ascii="Times New Roman" w:hAnsi="Times New Roman" w:eastAsia="Times New Roman" w:cs="Times New Roman"/>
              </w:rPr>
            </w:pPr>
            <w:r>
              <w:rPr>
                <w:spacing w:val="9"/>
              </w:rPr>
              <w:t>赤豆螺</w:t>
            </w:r>
            <w:r>
              <w:rPr>
                <w:spacing w:val="-56"/>
              </w:rPr>
              <w:t xml:space="preserve"> </w:t>
            </w:r>
            <w:r>
              <w:rPr>
                <w:rFonts w:ascii="Times New Roman" w:hAnsi="Times New Roman" w:eastAsia="Times New Roman" w:cs="Times New Roman"/>
                <w:i/>
                <w:iCs/>
              </w:rPr>
              <w:t>Bithynia</w:t>
            </w:r>
            <w:r>
              <w:rPr>
                <w:rFonts w:ascii="Times New Roman" w:hAnsi="Times New Roman" w:eastAsia="Times New Roman" w:cs="Times New Roman"/>
                <w:i/>
                <w:iCs/>
                <w:spacing w:val="-36"/>
              </w:rPr>
              <w:t xml:space="preserve"> </w:t>
            </w:r>
            <w:r>
              <w:rPr>
                <w:rFonts w:ascii="Times New Roman" w:hAnsi="Times New Roman" w:eastAsia="Times New Roman" w:cs="Times New Roman"/>
                <w:i/>
                <w:iCs/>
              </w:rPr>
              <w:t>fuchsianus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Align w:val="top"/>
          </w:tcPr>
          <w:p>
            <w:pPr>
              <w:pStyle w:val="6"/>
              <w:spacing w:before="78" w:line="221" w:lineRule="auto"/>
              <w:ind w:left="22"/>
            </w:pPr>
            <w:r>
              <w:rPr>
                <w:spacing w:val="-2"/>
              </w:rPr>
              <w:t>沼螺属</w:t>
            </w:r>
          </w:p>
        </w:tc>
        <w:tc>
          <w:tcPr>
            <w:tcW w:w="4942" w:type="dxa"/>
            <w:vAlign w:val="top"/>
          </w:tcPr>
          <w:p>
            <w:pPr>
              <w:pStyle w:val="6"/>
              <w:spacing w:before="78" w:line="207" w:lineRule="auto"/>
              <w:ind w:left="23"/>
              <w:rPr>
                <w:rFonts w:ascii="Times New Roman" w:hAnsi="Times New Roman" w:eastAsia="Times New Roman" w:cs="Times New Roman"/>
              </w:rPr>
            </w:pPr>
            <w:r>
              <w:rPr>
                <w:spacing w:val="15"/>
              </w:rPr>
              <w:t>纹沼螺</w:t>
            </w:r>
            <w:r>
              <w:rPr>
                <w:spacing w:val="-56"/>
              </w:rPr>
              <w:t xml:space="preserve"> </w:t>
            </w:r>
            <w:r>
              <w:rPr>
                <w:rFonts w:ascii="Times New Roman" w:hAnsi="Times New Roman" w:eastAsia="Times New Roman" w:cs="Times New Roman"/>
                <w:i/>
                <w:iCs/>
              </w:rPr>
              <w:t>Parafossarulusstriatulus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Align w:val="top"/>
          </w:tcPr>
          <w:p>
            <w:pPr>
              <w:pStyle w:val="6"/>
              <w:spacing w:before="79" w:line="220" w:lineRule="auto"/>
              <w:ind w:left="18"/>
            </w:pPr>
            <w:r>
              <w:rPr>
                <w:spacing w:val="-2"/>
              </w:rPr>
              <w:t>拟沼螺科</w:t>
            </w:r>
          </w:p>
        </w:tc>
        <w:tc>
          <w:tcPr>
            <w:tcW w:w="1302" w:type="dxa"/>
            <w:vAlign w:val="top"/>
          </w:tcPr>
          <w:p>
            <w:pPr>
              <w:pStyle w:val="6"/>
              <w:spacing w:before="80" w:line="221" w:lineRule="auto"/>
              <w:ind w:left="24"/>
            </w:pPr>
            <w:r>
              <w:rPr>
                <w:spacing w:val="-3"/>
              </w:rPr>
              <w:t>小田螺属</w:t>
            </w:r>
          </w:p>
        </w:tc>
        <w:tc>
          <w:tcPr>
            <w:tcW w:w="4942" w:type="dxa"/>
            <w:vAlign w:val="top"/>
          </w:tcPr>
          <w:p>
            <w:pPr>
              <w:pStyle w:val="6"/>
              <w:spacing w:before="80" w:line="228" w:lineRule="auto"/>
              <w:ind w:left="25"/>
              <w:rPr>
                <w:rFonts w:ascii="Times New Roman" w:hAnsi="Times New Roman" w:eastAsia="Times New Roman" w:cs="Times New Roman"/>
              </w:rPr>
            </w:pPr>
            <w:r>
              <w:rPr>
                <w:spacing w:val="-1"/>
              </w:rPr>
              <w:t>紧缢小田螺</w:t>
            </w:r>
            <w:r>
              <w:rPr>
                <w:spacing w:val="-39"/>
              </w:rPr>
              <w:t xml:space="preserve"> </w:t>
            </w:r>
            <w:r>
              <w:rPr>
                <w:rFonts w:ascii="Times New Roman" w:hAnsi="Times New Roman" w:eastAsia="Times New Roman" w:cs="Times New Roman"/>
                <w:i/>
                <w:iCs/>
                <w:spacing w:val="-1"/>
              </w:rPr>
              <w:t>Paludinella stricta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Align w:val="top"/>
          </w:tcPr>
          <w:p>
            <w:pPr>
              <w:pStyle w:val="6"/>
              <w:spacing w:before="77" w:line="220" w:lineRule="auto"/>
              <w:ind w:left="17"/>
            </w:pPr>
            <w:r>
              <w:rPr>
                <w:spacing w:val="-1"/>
              </w:rPr>
              <w:t>锥蜷科</w:t>
            </w:r>
          </w:p>
        </w:tc>
        <w:tc>
          <w:tcPr>
            <w:tcW w:w="1302" w:type="dxa"/>
            <w:vAlign w:val="top"/>
          </w:tcPr>
          <w:p>
            <w:pPr>
              <w:pStyle w:val="6"/>
              <w:spacing w:before="77" w:line="221" w:lineRule="auto"/>
              <w:ind w:left="21"/>
            </w:pPr>
            <w:r>
              <w:rPr>
                <w:spacing w:val="-2"/>
              </w:rPr>
              <w:t>短沟蜷属</w:t>
            </w:r>
          </w:p>
        </w:tc>
        <w:tc>
          <w:tcPr>
            <w:tcW w:w="4942" w:type="dxa"/>
            <w:vAlign w:val="top"/>
          </w:tcPr>
          <w:p>
            <w:pPr>
              <w:pStyle w:val="6"/>
              <w:spacing w:before="78" w:line="207" w:lineRule="auto"/>
              <w:ind w:left="19"/>
              <w:rPr>
                <w:rFonts w:ascii="Times New Roman" w:hAnsi="Times New Roman" w:eastAsia="Times New Roman" w:cs="Times New Roman"/>
              </w:rPr>
            </w:pPr>
            <w:r>
              <w:rPr>
                <w:spacing w:val="-1"/>
              </w:rPr>
              <w:t>放逸短沟蜷</w:t>
            </w:r>
            <w:r>
              <w:rPr>
                <w:spacing w:val="-33"/>
              </w:rPr>
              <w:t xml:space="preserve"> </w:t>
            </w:r>
            <w:r>
              <w:rPr>
                <w:rFonts w:ascii="Times New Roman" w:hAnsi="Times New Roman" w:eastAsia="Times New Roman" w:cs="Times New Roman"/>
                <w:spacing w:val="-1"/>
              </w:rPr>
              <w:t>Semisulcospira libertina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13" w:type="dxa"/>
            <w:vMerge w:val="continue"/>
            <w:tcBorders>
              <w:top w:val="nil"/>
            </w:tcBorders>
            <w:vAlign w:val="top"/>
          </w:tcPr>
          <w:p>
            <w:pPr>
              <w:rPr>
                <w:rFonts w:ascii="Arial"/>
                <w:sz w:val="21"/>
              </w:rPr>
            </w:pPr>
          </w:p>
        </w:tc>
        <w:tc>
          <w:tcPr>
            <w:tcW w:w="1080" w:type="dxa"/>
            <w:vAlign w:val="top"/>
          </w:tcPr>
          <w:p>
            <w:pPr>
              <w:pStyle w:val="6"/>
              <w:spacing w:before="79" w:line="220" w:lineRule="auto"/>
              <w:ind w:left="17"/>
            </w:pPr>
            <w:r>
              <w:rPr>
                <w:spacing w:val="-1"/>
              </w:rPr>
              <w:t>狭口螺科</w:t>
            </w:r>
          </w:p>
        </w:tc>
        <w:tc>
          <w:tcPr>
            <w:tcW w:w="1302" w:type="dxa"/>
            <w:vAlign w:val="top"/>
          </w:tcPr>
          <w:p>
            <w:pPr>
              <w:pStyle w:val="6"/>
              <w:spacing w:before="79" w:line="221" w:lineRule="auto"/>
              <w:ind w:left="17"/>
            </w:pPr>
            <w:r>
              <w:rPr>
                <w:spacing w:val="-1"/>
              </w:rPr>
              <w:t>狭口螺属</w:t>
            </w:r>
          </w:p>
        </w:tc>
        <w:tc>
          <w:tcPr>
            <w:tcW w:w="4942" w:type="dxa"/>
            <w:vAlign w:val="top"/>
          </w:tcPr>
          <w:p>
            <w:pPr>
              <w:pStyle w:val="6"/>
              <w:spacing w:before="79" w:line="207" w:lineRule="auto"/>
              <w:ind w:left="21"/>
              <w:rPr>
                <w:rFonts w:ascii="Times New Roman" w:hAnsi="Times New Roman" w:eastAsia="Times New Roman" w:cs="Times New Roman"/>
              </w:rPr>
            </w:pPr>
            <w:r>
              <w:rPr>
                <w:spacing w:val="-1"/>
              </w:rPr>
              <w:t>光滑狭口螺</w:t>
            </w:r>
            <w:r>
              <w:rPr>
                <w:spacing w:val="-39"/>
              </w:rPr>
              <w:t xml:space="preserve"> </w:t>
            </w:r>
            <w:r>
              <w:rPr>
                <w:rFonts w:ascii="Times New Roman" w:hAnsi="Times New Roman" w:eastAsia="Times New Roman" w:cs="Times New Roman"/>
                <w:i/>
                <w:iCs/>
                <w:spacing w:val="-1"/>
              </w:rPr>
              <w:t>Stenothyra glabra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23" w:lineRule="auto"/>
              <w:ind w:left="22"/>
            </w:pPr>
            <w:r>
              <w:rPr>
                <w:spacing w:val="-2"/>
              </w:rPr>
              <w:t>基眼目</w:t>
            </w:r>
          </w:p>
        </w:tc>
        <w:tc>
          <w:tcPr>
            <w:tcW w:w="1080"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68" w:line="220" w:lineRule="auto"/>
              <w:ind w:left="17"/>
            </w:pPr>
            <w:r>
              <w:rPr>
                <w:spacing w:val="-1"/>
              </w:rPr>
              <w:t>锥实螺科</w:t>
            </w:r>
          </w:p>
        </w:tc>
        <w:tc>
          <w:tcPr>
            <w:tcW w:w="1302" w:type="dxa"/>
            <w:vMerge w:val="restart"/>
            <w:tcBorders>
              <w:bottom w:val="nil"/>
            </w:tcBorders>
            <w:vAlign w:val="top"/>
          </w:tcPr>
          <w:p>
            <w:pPr>
              <w:spacing w:line="300"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68" w:line="220" w:lineRule="auto"/>
              <w:ind w:left="22"/>
            </w:pPr>
            <w:r>
              <w:rPr>
                <w:spacing w:val="-3"/>
              </w:rPr>
              <w:t>萝卜螺属</w:t>
            </w:r>
          </w:p>
        </w:tc>
        <w:tc>
          <w:tcPr>
            <w:tcW w:w="4942" w:type="dxa"/>
            <w:vAlign w:val="top"/>
          </w:tcPr>
          <w:p>
            <w:pPr>
              <w:pStyle w:val="6"/>
              <w:spacing w:before="78" w:line="227" w:lineRule="auto"/>
              <w:ind w:left="21"/>
              <w:rPr>
                <w:rFonts w:ascii="Times New Roman" w:hAnsi="Times New Roman" w:eastAsia="Times New Roman" w:cs="Times New Roman"/>
              </w:rPr>
            </w:pPr>
            <w:r>
              <w:rPr>
                <w:spacing w:val="-1"/>
              </w:rPr>
              <w:t>耳萝卜螺</w:t>
            </w:r>
            <w:r>
              <w:rPr>
                <w:spacing w:val="-41"/>
              </w:rPr>
              <w:t xml:space="preserve"> </w:t>
            </w:r>
            <w:r>
              <w:rPr>
                <w:rFonts w:ascii="Times New Roman" w:hAnsi="Times New Roman" w:eastAsia="Times New Roman" w:cs="Times New Roman"/>
                <w:spacing w:val="-1"/>
              </w:rPr>
              <w:t>Radix auricularia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4942" w:type="dxa"/>
            <w:vAlign w:val="top"/>
          </w:tcPr>
          <w:p>
            <w:pPr>
              <w:pStyle w:val="6"/>
              <w:spacing w:before="78" w:line="227" w:lineRule="auto"/>
              <w:ind w:left="18"/>
              <w:rPr>
                <w:rFonts w:ascii="Times New Roman" w:hAnsi="Times New Roman" w:eastAsia="Times New Roman" w:cs="Times New Roman"/>
              </w:rPr>
            </w:pPr>
            <w:r>
              <w:t>椭圆萝卜螺</w:t>
            </w:r>
            <w:r>
              <w:rPr>
                <w:spacing w:val="-57"/>
              </w:rPr>
              <w:t xml:space="preserve"> </w:t>
            </w:r>
            <w:r>
              <w:rPr>
                <w:rFonts w:ascii="Times New Roman" w:hAnsi="Times New Roman" w:eastAsia="Times New Roman" w:cs="Times New Roman"/>
                <w:i/>
                <w:iCs/>
              </w:rPr>
              <w:t>Radix swinhoei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4942" w:type="dxa"/>
            <w:vAlign w:val="top"/>
          </w:tcPr>
          <w:p>
            <w:pPr>
              <w:pStyle w:val="6"/>
              <w:spacing w:before="81" w:line="207" w:lineRule="auto"/>
              <w:ind w:left="21"/>
              <w:rPr>
                <w:rFonts w:ascii="Times New Roman" w:hAnsi="Times New Roman" w:eastAsia="Times New Roman" w:cs="Times New Roman"/>
              </w:rPr>
            </w:pPr>
            <w:r>
              <w:rPr>
                <w:spacing w:val="4"/>
              </w:rPr>
              <w:t>折叠萝卜螺</w:t>
            </w:r>
            <w:r>
              <w:rPr>
                <w:spacing w:val="-54"/>
              </w:rPr>
              <w:t xml:space="preserve"> </w:t>
            </w:r>
            <w:r>
              <w:rPr>
                <w:rFonts w:ascii="Times New Roman" w:hAnsi="Times New Roman" w:eastAsia="Times New Roman" w:cs="Times New Roman"/>
                <w:i/>
                <w:iCs/>
              </w:rPr>
              <w:t>Radi</w:t>
            </w:r>
            <w:r>
              <w:rPr>
                <w:rFonts w:ascii="Times New Roman" w:hAnsi="Times New Roman" w:eastAsia="Times New Roman" w:cs="Times New Roman"/>
                <w:i/>
                <w:iCs/>
                <w:spacing w:val="-24"/>
              </w:rPr>
              <w:t xml:space="preserve"> </w:t>
            </w:r>
            <w:r>
              <w:rPr>
                <w:rFonts w:ascii="Times New Roman" w:hAnsi="Times New Roman" w:eastAsia="Times New Roman" w:cs="Times New Roman"/>
                <w:i/>
                <w:iCs/>
              </w:rPr>
              <w:t>plicatula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4942" w:type="dxa"/>
            <w:vAlign w:val="top"/>
          </w:tcPr>
          <w:p>
            <w:pPr>
              <w:pStyle w:val="6"/>
              <w:spacing w:before="77" w:line="227" w:lineRule="auto"/>
              <w:ind w:left="19"/>
              <w:rPr>
                <w:rFonts w:ascii="Times New Roman" w:hAnsi="Times New Roman" w:eastAsia="Times New Roman" w:cs="Times New Roman"/>
              </w:rPr>
            </w:pPr>
            <w:r>
              <w:rPr>
                <w:spacing w:val="1"/>
              </w:rPr>
              <w:t>尖萝卜螺</w:t>
            </w:r>
            <w:r>
              <w:rPr>
                <w:spacing w:val="-59"/>
              </w:rPr>
              <w:t xml:space="preserve"> </w:t>
            </w:r>
            <w:r>
              <w:rPr>
                <w:rFonts w:ascii="Times New Roman" w:hAnsi="Times New Roman" w:eastAsia="Times New Roman" w:cs="Times New Roman"/>
                <w:i/>
                <w:iCs/>
              </w:rPr>
              <w:t>Radix</w:t>
            </w:r>
            <w:r>
              <w:rPr>
                <w:rFonts w:ascii="Times New Roman" w:hAnsi="Times New Roman" w:eastAsia="Times New Roman" w:cs="Times New Roman"/>
                <w:i/>
                <w:iCs/>
                <w:spacing w:val="1"/>
              </w:rPr>
              <w:t xml:space="preserve"> </w:t>
            </w:r>
            <w:r>
              <w:rPr>
                <w:rFonts w:ascii="Times New Roman" w:hAnsi="Times New Roman" w:eastAsia="Times New Roman" w:cs="Times New Roman"/>
                <w:i/>
                <w:iCs/>
              </w:rPr>
              <w:t>acuminata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4942" w:type="dxa"/>
            <w:vAlign w:val="top"/>
          </w:tcPr>
          <w:p>
            <w:pPr>
              <w:pStyle w:val="6"/>
              <w:spacing w:before="79" w:line="227" w:lineRule="auto"/>
              <w:ind w:left="25"/>
              <w:rPr>
                <w:rFonts w:ascii="Times New Roman" w:hAnsi="Times New Roman" w:eastAsia="Times New Roman" w:cs="Times New Roman"/>
              </w:rPr>
            </w:pPr>
            <w:r>
              <w:rPr>
                <w:spacing w:val="-1"/>
              </w:rPr>
              <w:t>卵萝卜螺</w:t>
            </w:r>
            <w:r>
              <w:rPr>
                <w:spacing w:val="-50"/>
              </w:rPr>
              <w:t xml:space="preserve"> </w:t>
            </w:r>
            <w:r>
              <w:rPr>
                <w:rFonts w:ascii="Times New Roman" w:hAnsi="Times New Roman" w:eastAsia="Times New Roman" w:cs="Times New Roman"/>
                <w:spacing w:val="-1"/>
              </w:rPr>
              <w:t>Radix ovata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7" w:line="207" w:lineRule="auto"/>
              <w:ind w:left="19"/>
              <w:rPr>
                <w:rFonts w:ascii="Times New Roman" w:hAnsi="Times New Roman" w:eastAsia="Times New Roman" w:cs="Times New Roman"/>
              </w:rPr>
            </w:pPr>
            <w:r>
              <w:rPr>
                <w:spacing w:val="-1"/>
              </w:rPr>
              <w:t>狭萝卜螺</w:t>
            </w:r>
            <w:r>
              <w:rPr>
                <w:spacing w:val="-43"/>
              </w:rPr>
              <w:t xml:space="preserve"> </w:t>
            </w:r>
            <w:r>
              <w:rPr>
                <w:rFonts w:ascii="Times New Roman" w:hAnsi="Times New Roman" w:eastAsia="Times New Roman" w:cs="Times New Roman"/>
                <w:spacing w:val="-1"/>
              </w:rPr>
              <w:t>Radix lagotis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Align w:val="top"/>
          </w:tcPr>
          <w:p>
            <w:pPr>
              <w:pStyle w:val="6"/>
              <w:spacing w:before="76" w:line="222" w:lineRule="auto"/>
              <w:ind w:left="19"/>
            </w:pPr>
            <w:r>
              <w:rPr>
                <w:spacing w:val="-2"/>
              </w:rPr>
              <w:t>土埚属</w:t>
            </w:r>
          </w:p>
        </w:tc>
        <w:tc>
          <w:tcPr>
            <w:tcW w:w="4942" w:type="dxa"/>
            <w:vAlign w:val="top"/>
          </w:tcPr>
          <w:p>
            <w:pPr>
              <w:pStyle w:val="6"/>
              <w:spacing w:before="77" w:line="207" w:lineRule="auto"/>
              <w:ind w:left="25"/>
              <w:rPr>
                <w:rFonts w:ascii="Times New Roman" w:hAnsi="Times New Roman" w:eastAsia="Times New Roman" w:cs="Times New Roman"/>
              </w:rPr>
            </w:pPr>
            <w:r>
              <w:rPr>
                <w:spacing w:val="-2"/>
              </w:rPr>
              <w:t>小土埚</w:t>
            </w:r>
            <w:r>
              <w:rPr>
                <w:spacing w:val="-34"/>
              </w:rPr>
              <w:t xml:space="preserve"> </w:t>
            </w:r>
            <w:r>
              <w:rPr>
                <w:rFonts w:ascii="Times New Roman" w:hAnsi="Times New Roman" w:eastAsia="Times New Roman" w:cs="Times New Roman"/>
                <w:spacing w:val="-2"/>
              </w:rPr>
              <w:t>Galba pervia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8" w:line="220" w:lineRule="auto"/>
              <w:ind w:left="19"/>
            </w:pPr>
            <w:r>
              <w:rPr>
                <w:spacing w:val="-2"/>
              </w:rPr>
              <w:t>扁蜷螺科</w:t>
            </w:r>
          </w:p>
        </w:tc>
        <w:tc>
          <w:tcPr>
            <w:tcW w:w="1302" w:type="dxa"/>
            <w:vMerge w:val="restart"/>
            <w:tcBorders>
              <w:bottom w:val="nil"/>
            </w:tcBorders>
            <w:vAlign w:val="top"/>
          </w:tcPr>
          <w:p>
            <w:pPr>
              <w:spacing w:line="366" w:lineRule="auto"/>
              <w:rPr>
                <w:rFonts w:ascii="Arial"/>
                <w:sz w:val="21"/>
              </w:rPr>
            </w:pPr>
          </w:p>
          <w:p>
            <w:pPr>
              <w:pStyle w:val="6"/>
              <w:spacing w:before="68" w:line="221" w:lineRule="auto"/>
              <w:ind w:left="20"/>
            </w:pPr>
            <w:r>
              <w:rPr>
                <w:spacing w:val="-2"/>
              </w:rPr>
              <w:t>旋螺属</w:t>
            </w:r>
          </w:p>
        </w:tc>
        <w:tc>
          <w:tcPr>
            <w:tcW w:w="4942" w:type="dxa"/>
            <w:vAlign w:val="top"/>
          </w:tcPr>
          <w:p>
            <w:pPr>
              <w:pStyle w:val="6"/>
              <w:spacing w:before="79" w:line="207" w:lineRule="auto"/>
              <w:ind w:left="50"/>
              <w:rPr>
                <w:rFonts w:ascii="Times New Roman" w:hAnsi="Times New Roman" w:eastAsia="Times New Roman" w:cs="Times New Roman"/>
              </w:rPr>
            </w:pPr>
            <w:r>
              <w:rPr>
                <w:spacing w:val="-3"/>
              </w:rPr>
              <w:t>白旋螺</w:t>
            </w:r>
            <w:r>
              <w:rPr>
                <w:spacing w:val="-38"/>
              </w:rPr>
              <w:t xml:space="preserve"> </w:t>
            </w:r>
            <w:r>
              <w:rPr>
                <w:rFonts w:ascii="Times New Roman" w:hAnsi="Times New Roman" w:eastAsia="Times New Roman" w:cs="Times New Roman"/>
                <w:spacing w:val="-3"/>
              </w:rPr>
              <w:t>Cyraulus albus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4942" w:type="dxa"/>
            <w:vAlign w:val="top"/>
          </w:tcPr>
          <w:p>
            <w:pPr>
              <w:pStyle w:val="6"/>
              <w:spacing w:before="76" w:line="207" w:lineRule="auto"/>
              <w:ind w:left="21"/>
              <w:rPr>
                <w:rFonts w:ascii="Times New Roman" w:hAnsi="Times New Roman" w:eastAsia="Times New Roman" w:cs="Times New Roman"/>
              </w:rPr>
            </w:pPr>
            <w:r>
              <w:rPr>
                <w:spacing w:val="-1"/>
              </w:rPr>
              <w:t>扁旋螺</w:t>
            </w:r>
            <w:r>
              <w:rPr>
                <w:spacing w:val="-37"/>
              </w:rPr>
              <w:t xml:space="preserve"> </w:t>
            </w:r>
            <w:r>
              <w:rPr>
                <w:rFonts w:ascii="Times New Roman" w:hAnsi="Times New Roman" w:eastAsia="Times New Roman" w:cs="Times New Roman"/>
                <w:i/>
                <w:iCs/>
                <w:spacing w:val="-1"/>
              </w:rPr>
              <w:t>Gyraulus compress</w:t>
            </w:r>
            <w:r>
              <w:rPr>
                <w:rFonts w:ascii="Times New Roman" w:hAnsi="Times New Roman" w:eastAsia="Times New Roman" w:cs="Times New Roman"/>
                <w:i/>
                <w:iCs/>
                <w:spacing w:val="-2"/>
              </w:rPr>
              <w: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8" w:line="207" w:lineRule="auto"/>
              <w:ind w:left="38"/>
              <w:rPr>
                <w:rFonts w:ascii="Times New Roman" w:hAnsi="Times New Roman" w:eastAsia="Times New Roman" w:cs="Times New Roman"/>
              </w:rPr>
            </w:pPr>
            <w:r>
              <w:rPr>
                <w:spacing w:val="-2"/>
              </w:rPr>
              <w:t>凸旋螺</w:t>
            </w:r>
            <w:r>
              <w:rPr>
                <w:spacing w:val="-25"/>
              </w:rPr>
              <w:t xml:space="preserve"> </w:t>
            </w:r>
            <w:r>
              <w:rPr>
                <w:rFonts w:ascii="Times New Roman" w:hAnsi="Times New Roman" w:eastAsia="Times New Roman" w:cs="Times New Roman"/>
                <w:i/>
                <w:iCs/>
                <w:spacing w:val="-2"/>
              </w:rPr>
              <w:t>Gyraulus convexiusculus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76" w:line="221" w:lineRule="auto"/>
              <w:ind w:left="36"/>
            </w:pPr>
            <w:r>
              <w:rPr>
                <w:spacing w:val="-6"/>
              </w:rPr>
              <w:t>圆扁螺属</w:t>
            </w:r>
          </w:p>
        </w:tc>
        <w:tc>
          <w:tcPr>
            <w:tcW w:w="4942" w:type="dxa"/>
            <w:vAlign w:val="top"/>
          </w:tcPr>
          <w:p>
            <w:pPr>
              <w:pStyle w:val="6"/>
              <w:spacing w:before="76" w:line="207" w:lineRule="auto"/>
              <w:ind w:left="19"/>
              <w:rPr>
                <w:rFonts w:ascii="Times New Roman" w:hAnsi="Times New Roman" w:eastAsia="Times New Roman" w:cs="Times New Roman"/>
              </w:rPr>
            </w:pPr>
            <w:r>
              <w:t>尖口圆扁螺</w:t>
            </w:r>
            <w:r>
              <w:rPr>
                <w:spacing w:val="-57"/>
              </w:rPr>
              <w:t xml:space="preserve"> </w:t>
            </w:r>
            <w:r>
              <w:rPr>
                <w:rFonts w:ascii="Times New Roman" w:hAnsi="Times New Roman" w:eastAsia="Times New Roman" w:cs="Times New Roman"/>
                <w:i/>
                <w:iCs/>
              </w:rPr>
              <w:t>Hippeutis canto</w:t>
            </w:r>
            <w:r>
              <w:rPr>
                <w:rFonts w:ascii="Times New Roman" w:hAnsi="Times New Roman" w:eastAsia="Times New Roman" w:cs="Times New Roman"/>
                <w:i/>
                <w:iCs/>
                <w:spacing w:val="-1"/>
              </w:rPr>
              <w:t>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113" w:type="dxa"/>
            <w:vMerge w:val="continue"/>
            <w:tcBorders>
              <w:top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Align w:val="top"/>
          </w:tcPr>
          <w:p>
            <w:pPr>
              <w:pStyle w:val="6"/>
              <w:spacing w:before="78" w:line="221" w:lineRule="auto"/>
              <w:ind w:left="28"/>
            </w:pPr>
            <w:r>
              <w:rPr>
                <w:spacing w:val="-3"/>
              </w:rPr>
              <w:t>多脉扁螺属</w:t>
            </w:r>
          </w:p>
        </w:tc>
        <w:tc>
          <w:tcPr>
            <w:tcW w:w="4942" w:type="dxa"/>
            <w:vAlign w:val="top"/>
          </w:tcPr>
          <w:p>
            <w:pPr>
              <w:pStyle w:val="6"/>
              <w:spacing w:before="78" w:line="207" w:lineRule="auto"/>
              <w:ind w:left="23"/>
              <w:rPr>
                <w:rFonts w:ascii="Times New Roman" w:hAnsi="Times New Roman" w:eastAsia="Times New Roman" w:cs="Times New Roman"/>
              </w:rPr>
            </w:pPr>
            <w:r>
              <w:t>半球多脉扁螺</w:t>
            </w:r>
            <w:r>
              <w:rPr>
                <w:spacing w:val="-59"/>
              </w:rPr>
              <w:t xml:space="preserve"> </w:t>
            </w:r>
            <w:r>
              <w:rPr>
                <w:rFonts w:ascii="Times New Roman" w:hAnsi="Times New Roman" w:eastAsia="Times New Roman" w:cs="Times New Roman"/>
                <w:i/>
                <w:iCs/>
              </w:rPr>
              <w:t>Polypylis hemisphaerula</w:t>
            </w:r>
          </w:p>
        </w:tc>
      </w:tr>
    </w:tbl>
    <w:p>
      <w:pPr>
        <w:pStyle w:val="2"/>
      </w:pPr>
    </w:p>
    <w:p>
      <w:pPr>
        <w:sectPr>
          <w:headerReference r:id="rId238" w:type="default"/>
          <w:footerReference r:id="rId239" w:type="default"/>
          <w:pgSz w:w="11907" w:h="16839"/>
          <w:pgMar w:top="1288" w:right="1670" w:bottom="1151" w:left="1673" w:header="1047" w:footer="990" w:gutter="0"/>
          <w:cols w:space="720" w:num="1"/>
        </w:sectPr>
      </w:pPr>
    </w:p>
    <w:p>
      <w:pPr>
        <w:spacing w:before="56"/>
      </w:pPr>
    </w:p>
    <w:tbl>
      <w:tblPr>
        <w:tblStyle w:val="5"/>
        <w:tblW w:w="8437" w:type="dxa"/>
        <w:tblInd w:w="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1080"/>
        <w:gridCol w:w="1302"/>
        <w:gridCol w:w="49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113"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pStyle w:val="6"/>
              <w:spacing w:before="69" w:line="221" w:lineRule="auto"/>
              <w:ind w:left="24"/>
            </w:pPr>
            <w:r>
              <w:rPr>
                <w:spacing w:val="-2"/>
              </w:rPr>
              <w:t>真瓣鳃目</w:t>
            </w:r>
          </w:p>
        </w:tc>
        <w:tc>
          <w:tcPr>
            <w:tcW w:w="1080" w:type="dxa"/>
            <w:vAlign w:val="top"/>
          </w:tcPr>
          <w:p>
            <w:pPr>
              <w:pStyle w:val="6"/>
              <w:spacing w:before="77" w:line="220" w:lineRule="auto"/>
              <w:ind w:left="19"/>
            </w:pPr>
            <w:r>
              <w:rPr>
                <w:spacing w:val="-2"/>
              </w:rPr>
              <w:t>蚌科</w:t>
            </w:r>
          </w:p>
        </w:tc>
        <w:tc>
          <w:tcPr>
            <w:tcW w:w="1302" w:type="dxa"/>
            <w:vAlign w:val="top"/>
          </w:tcPr>
          <w:p>
            <w:pPr>
              <w:pStyle w:val="6"/>
              <w:spacing w:before="77" w:line="221" w:lineRule="auto"/>
              <w:ind w:left="20"/>
            </w:pPr>
            <w:r>
              <w:rPr>
                <w:spacing w:val="-2"/>
              </w:rPr>
              <w:t>无齿蚌属</w:t>
            </w:r>
          </w:p>
        </w:tc>
        <w:tc>
          <w:tcPr>
            <w:tcW w:w="4942" w:type="dxa"/>
            <w:vAlign w:val="top"/>
          </w:tcPr>
          <w:p>
            <w:pPr>
              <w:pStyle w:val="6"/>
              <w:spacing w:before="78" w:line="227" w:lineRule="auto"/>
              <w:ind w:left="23"/>
              <w:rPr>
                <w:rFonts w:ascii="Times New Roman" w:hAnsi="Times New Roman" w:eastAsia="Times New Roman" w:cs="Times New Roman"/>
              </w:rPr>
            </w:pPr>
            <w:r>
              <w:rPr>
                <w:spacing w:val="-1"/>
              </w:rPr>
              <w:t>背角无齿蚌</w:t>
            </w:r>
            <w:r>
              <w:rPr>
                <w:spacing w:val="-41"/>
              </w:rPr>
              <w:t xml:space="preserve"> </w:t>
            </w:r>
            <w:r>
              <w:rPr>
                <w:rFonts w:ascii="Times New Roman" w:hAnsi="Times New Roman" w:eastAsia="Times New Roman" w:cs="Times New Roman"/>
                <w:spacing w:val="-1"/>
              </w:rPr>
              <w:t>Anodonta woodiana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restart"/>
            <w:tcBorders>
              <w:bottom w:val="nil"/>
            </w:tcBorders>
            <w:vAlign w:val="top"/>
          </w:tcPr>
          <w:p>
            <w:pPr>
              <w:pStyle w:val="6"/>
              <w:spacing w:before="250" w:line="220" w:lineRule="auto"/>
              <w:ind w:left="19"/>
            </w:pPr>
            <w:r>
              <w:rPr>
                <w:spacing w:val="-2"/>
              </w:rPr>
              <w:t>蚬科</w:t>
            </w:r>
          </w:p>
        </w:tc>
        <w:tc>
          <w:tcPr>
            <w:tcW w:w="1302" w:type="dxa"/>
            <w:vMerge w:val="restart"/>
            <w:tcBorders>
              <w:bottom w:val="nil"/>
            </w:tcBorders>
            <w:vAlign w:val="top"/>
          </w:tcPr>
          <w:p>
            <w:pPr>
              <w:pStyle w:val="6"/>
              <w:spacing w:before="250" w:line="222" w:lineRule="auto"/>
              <w:ind w:left="19"/>
            </w:pPr>
            <w:r>
              <w:rPr>
                <w:spacing w:val="-2"/>
              </w:rPr>
              <w:t>蚬属</w:t>
            </w:r>
          </w:p>
        </w:tc>
        <w:tc>
          <w:tcPr>
            <w:tcW w:w="4942" w:type="dxa"/>
            <w:vAlign w:val="top"/>
          </w:tcPr>
          <w:p>
            <w:pPr>
              <w:pStyle w:val="6"/>
              <w:spacing w:before="69" w:line="230" w:lineRule="auto"/>
              <w:ind w:left="19"/>
              <w:rPr>
                <w:rFonts w:ascii="Times New Roman" w:hAnsi="Times New Roman" w:eastAsia="Times New Roman" w:cs="Times New Roman"/>
              </w:rPr>
            </w:pPr>
            <w:r>
              <w:rPr>
                <w:spacing w:val="-1"/>
              </w:rPr>
              <w:t>河蚬</w:t>
            </w:r>
            <w:r>
              <w:rPr>
                <w:spacing w:val="-33"/>
              </w:rPr>
              <w:t xml:space="preserve"> </w:t>
            </w:r>
            <w:r>
              <w:rPr>
                <w:rFonts w:ascii="Times New Roman" w:hAnsi="Times New Roman" w:eastAsia="Times New Roman" w:cs="Times New Roman"/>
                <w:spacing w:val="-1"/>
                <w:position w:val="7"/>
                <w:sz w:val="13"/>
                <w:szCs w:val="13"/>
              </w:rPr>
              <w:t>C</w:t>
            </w:r>
            <w:r>
              <w:rPr>
                <w:rFonts w:ascii="Times New Roman" w:hAnsi="Times New Roman" w:eastAsia="Times New Roman" w:cs="Times New Roman"/>
                <w:spacing w:val="-1"/>
              </w:rPr>
              <w:t>orbicula fluminea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2" w:line="229" w:lineRule="auto"/>
              <w:ind w:left="38"/>
              <w:rPr>
                <w:rFonts w:ascii="Times New Roman" w:hAnsi="Times New Roman" w:eastAsia="Times New Roman" w:cs="Times New Roman"/>
              </w:rPr>
            </w:pPr>
            <w:r>
              <w:rPr>
                <w:spacing w:val="7"/>
              </w:rPr>
              <w:t>闪蚬</w:t>
            </w:r>
            <w:r>
              <w:rPr>
                <w:spacing w:val="-40"/>
              </w:rPr>
              <w:t xml:space="preserve"> </w:t>
            </w:r>
            <w:r>
              <w:rPr>
                <w:rFonts w:ascii="Times New Roman" w:hAnsi="Times New Roman" w:eastAsia="Times New Roman" w:cs="Times New Roman"/>
                <w:i/>
                <w:iCs/>
              </w:rPr>
              <w:t>Corbiculanitens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restart"/>
            <w:tcBorders>
              <w:bottom w:val="nil"/>
            </w:tcBorders>
            <w:vAlign w:val="top"/>
          </w:tcPr>
          <w:p>
            <w:pPr>
              <w:pStyle w:val="6"/>
              <w:spacing w:before="249" w:line="220" w:lineRule="auto"/>
              <w:ind w:left="18"/>
            </w:pPr>
            <w:r>
              <w:rPr>
                <w:spacing w:val="-2"/>
              </w:rPr>
              <w:t>球蚬科</w:t>
            </w:r>
          </w:p>
        </w:tc>
        <w:tc>
          <w:tcPr>
            <w:tcW w:w="1302" w:type="dxa"/>
            <w:vMerge w:val="restart"/>
            <w:tcBorders>
              <w:bottom w:val="nil"/>
            </w:tcBorders>
            <w:vAlign w:val="top"/>
          </w:tcPr>
          <w:p>
            <w:pPr>
              <w:pStyle w:val="6"/>
              <w:spacing w:before="249" w:line="222" w:lineRule="auto"/>
              <w:ind w:left="18"/>
            </w:pPr>
            <w:r>
              <w:rPr>
                <w:spacing w:val="-2"/>
              </w:rPr>
              <w:t>球蚬属</w:t>
            </w:r>
          </w:p>
        </w:tc>
        <w:tc>
          <w:tcPr>
            <w:tcW w:w="4942" w:type="dxa"/>
            <w:vAlign w:val="top"/>
          </w:tcPr>
          <w:p>
            <w:pPr>
              <w:pStyle w:val="6"/>
              <w:spacing w:before="70" w:line="207" w:lineRule="auto"/>
              <w:ind w:left="19"/>
              <w:rPr>
                <w:rFonts w:ascii="Times New Roman" w:hAnsi="Times New Roman" w:eastAsia="Times New Roman" w:cs="Times New Roman"/>
              </w:rPr>
            </w:pPr>
            <w:r>
              <w:rPr>
                <w:spacing w:val="-1"/>
              </w:rPr>
              <w:t>湖球蚬</w:t>
            </w:r>
            <w:r>
              <w:rPr>
                <w:spacing w:val="-37"/>
              </w:rPr>
              <w:t xml:space="preserve"> </w:t>
            </w:r>
            <w:r>
              <w:rPr>
                <w:rFonts w:ascii="Times New Roman" w:hAnsi="Times New Roman" w:eastAsia="Times New Roman" w:cs="Times New Roman"/>
                <w:spacing w:val="-1"/>
              </w:rPr>
              <w:t>Sphaerium lacustre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69" w:line="207" w:lineRule="auto"/>
              <w:ind w:left="56"/>
              <w:rPr>
                <w:rFonts w:ascii="Times New Roman" w:hAnsi="Times New Roman" w:eastAsia="Times New Roman" w:cs="Times New Roman"/>
              </w:rPr>
            </w:pPr>
            <w:r>
              <w:rPr>
                <w:spacing w:val="-1"/>
              </w:rPr>
              <w:t>日本球蚬</w:t>
            </w:r>
            <w:r>
              <w:rPr>
                <w:spacing w:val="-38"/>
              </w:rPr>
              <w:t xml:space="preserve"> </w:t>
            </w:r>
            <w:r>
              <w:rPr>
                <w:rFonts w:ascii="Times New Roman" w:hAnsi="Times New Roman" w:eastAsia="Times New Roman" w:cs="Times New Roman"/>
                <w:i/>
                <w:iCs/>
                <w:spacing w:val="-1"/>
              </w:rPr>
              <w:t>Sphaerium</w:t>
            </w:r>
            <w:r>
              <w:rPr>
                <w:rFonts w:ascii="Times New Roman" w:hAnsi="Times New Roman" w:eastAsia="Times New Roman" w:cs="Times New Roman"/>
                <w:i/>
                <w:iCs/>
                <w:spacing w:val="-35"/>
              </w:rPr>
              <w:t xml:space="preserve"> </w:t>
            </w:r>
            <w:r>
              <w:rPr>
                <w:rFonts w:ascii="Times New Roman" w:hAnsi="Times New Roman" w:eastAsia="Times New Roman" w:cs="Times New Roman"/>
                <w:i/>
                <w:iCs/>
                <w:spacing w:val="-1"/>
              </w:rPr>
              <w:t>japonicum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437" w:type="dxa"/>
            <w:gridSpan w:val="4"/>
            <w:vAlign w:val="top"/>
          </w:tcPr>
          <w:p>
            <w:pPr>
              <w:pStyle w:val="6"/>
              <w:spacing w:before="68" w:line="221" w:lineRule="auto"/>
              <w:ind w:left="25"/>
              <w:rPr>
                <w:rFonts w:ascii="Times New Roman" w:hAnsi="Times New Roman" w:eastAsia="Times New Roman" w:cs="Times New Roman"/>
              </w:rPr>
            </w:pPr>
            <w:r>
              <w:rPr>
                <w:spacing w:val="-1"/>
              </w:rPr>
              <w:t>二、甲壳动物</w:t>
            </w:r>
            <w:r>
              <w:rPr>
                <w:spacing w:val="-47"/>
              </w:rPr>
              <w:t xml:space="preserve"> </w:t>
            </w:r>
            <w:r>
              <w:rPr>
                <w:rFonts w:ascii="Times New Roman" w:hAnsi="Times New Roman" w:eastAsia="Times New Roman" w:cs="Times New Roman"/>
                <w:spacing w:val="-1"/>
              </w:rPr>
              <w:t>Crustacea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8" w:line="222" w:lineRule="auto"/>
              <w:ind w:left="23"/>
            </w:pPr>
            <w:r>
              <w:rPr>
                <w:spacing w:val="-2"/>
              </w:rPr>
              <w:t>十足目</w:t>
            </w:r>
          </w:p>
        </w:tc>
        <w:tc>
          <w:tcPr>
            <w:tcW w:w="1080" w:type="dxa"/>
            <w:vMerge w:val="restart"/>
            <w:tcBorders>
              <w:bottom w:val="nil"/>
            </w:tcBorders>
            <w:vAlign w:val="top"/>
          </w:tcPr>
          <w:p>
            <w:pPr>
              <w:spacing w:line="358" w:lineRule="auto"/>
              <w:rPr>
                <w:rFonts w:ascii="Arial"/>
                <w:sz w:val="21"/>
              </w:rPr>
            </w:pPr>
          </w:p>
          <w:p>
            <w:pPr>
              <w:pStyle w:val="6"/>
              <w:spacing w:before="69" w:line="220" w:lineRule="auto"/>
              <w:ind w:left="19"/>
            </w:pPr>
            <w:r>
              <w:rPr>
                <w:spacing w:val="-2"/>
              </w:rPr>
              <w:t>长臂虾科</w:t>
            </w:r>
          </w:p>
        </w:tc>
        <w:tc>
          <w:tcPr>
            <w:tcW w:w="1302" w:type="dxa"/>
            <w:vMerge w:val="restart"/>
            <w:tcBorders>
              <w:bottom w:val="nil"/>
            </w:tcBorders>
            <w:vAlign w:val="top"/>
          </w:tcPr>
          <w:p>
            <w:pPr>
              <w:spacing w:line="359" w:lineRule="auto"/>
              <w:rPr>
                <w:rFonts w:ascii="Arial"/>
                <w:sz w:val="21"/>
              </w:rPr>
            </w:pPr>
          </w:p>
          <w:p>
            <w:pPr>
              <w:pStyle w:val="6"/>
              <w:spacing w:before="68" w:line="221" w:lineRule="auto"/>
              <w:ind w:left="22"/>
            </w:pPr>
            <w:r>
              <w:rPr>
                <w:spacing w:val="-2"/>
              </w:rPr>
              <w:t>沼虾属</w:t>
            </w:r>
          </w:p>
        </w:tc>
        <w:tc>
          <w:tcPr>
            <w:tcW w:w="4942" w:type="dxa"/>
            <w:vAlign w:val="top"/>
          </w:tcPr>
          <w:p>
            <w:pPr>
              <w:pStyle w:val="6"/>
              <w:spacing w:before="69" w:line="207" w:lineRule="auto"/>
              <w:ind w:left="56"/>
              <w:rPr>
                <w:rFonts w:ascii="Times New Roman" w:hAnsi="Times New Roman" w:eastAsia="Times New Roman" w:cs="Times New Roman"/>
              </w:rPr>
            </w:pPr>
            <w:r>
              <w:rPr>
                <w:spacing w:val="-1"/>
              </w:rPr>
              <w:t>日本沼虾</w:t>
            </w:r>
            <w:r>
              <w:rPr>
                <w:spacing w:val="-58"/>
              </w:rPr>
              <w:t xml:space="preserve"> </w:t>
            </w:r>
            <w:r>
              <w:rPr>
                <w:rFonts w:ascii="Times New Roman" w:hAnsi="Times New Roman" w:eastAsia="Times New Roman" w:cs="Times New Roman"/>
                <w:i/>
                <w:iCs/>
                <w:spacing w:val="-1"/>
              </w:rPr>
              <w:t>Macrobrachium n</w:t>
            </w:r>
            <w:r>
              <w:rPr>
                <w:rFonts w:ascii="Times New Roman" w:hAnsi="Times New Roman" w:eastAsia="Times New Roman" w:cs="Times New Roman"/>
                <w:i/>
                <w:iCs/>
                <w:spacing w:val="-2"/>
              </w:rPr>
              <w:t>ipponense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4942" w:type="dxa"/>
            <w:vAlign w:val="top"/>
          </w:tcPr>
          <w:p>
            <w:pPr>
              <w:pStyle w:val="6"/>
              <w:spacing w:before="71" w:line="207" w:lineRule="auto"/>
              <w:ind w:left="19"/>
              <w:rPr>
                <w:rFonts w:ascii="Times New Roman" w:hAnsi="Times New Roman" w:eastAsia="Times New Roman" w:cs="Times New Roman"/>
              </w:rPr>
            </w:pPr>
            <w:r>
              <w:t>粗糙沼虾</w:t>
            </w:r>
            <w:r>
              <w:rPr>
                <w:spacing w:val="-59"/>
              </w:rPr>
              <w:t xml:space="preserve"> </w:t>
            </w:r>
            <w:r>
              <w:rPr>
                <w:rFonts w:ascii="Times New Roman" w:hAnsi="Times New Roman" w:eastAsia="Times New Roman" w:cs="Times New Roman"/>
                <w:i/>
                <w:iCs/>
              </w:rPr>
              <w:t>Macrobrachium asperulum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69" w:line="207" w:lineRule="auto"/>
              <w:ind w:left="19"/>
              <w:rPr>
                <w:rFonts w:ascii="Times New Roman" w:hAnsi="Times New Roman" w:eastAsia="Times New Roman" w:cs="Times New Roman"/>
              </w:rPr>
            </w:pPr>
            <w:r>
              <w:rPr>
                <w:spacing w:val="10"/>
              </w:rPr>
              <w:t>福建沼虾</w:t>
            </w:r>
            <w:r>
              <w:rPr>
                <w:spacing w:val="-59"/>
              </w:rPr>
              <w:t xml:space="preserve"> </w:t>
            </w:r>
            <w:r>
              <w:rPr>
                <w:rFonts w:ascii="Times New Roman" w:hAnsi="Times New Roman" w:eastAsia="Times New Roman" w:cs="Times New Roman"/>
                <w:i/>
                <w:iCs/>
              </w:rPr>
              <w:t>Macrobrachium</w:t>
            </w:r>
            <w:r>
              <w:rPr>
                <w:rFonts w:ascii="Times New Roman" w:hAnsi="Times New Roman" w:eastAsia="Times New Roman" w:cs="Times New Roman"/>
                <w:i/>
                <w:iCs/>
                <w:spacing w:val="-38"/>
              </w:rPr>
              <w:t xml:space="preserve"> </w:t>
            </w:r>
            <w:r>
              <w:rPr>
                <w:rFonts w:ascii="Times New Roman" w:hAnsi="Times New Roman" w:eastAsia="Times New Roman" w:cs="Times New Roman"/>
                <w:i/>
                <w:iCs/>
              </w:rPr>
              <w:t>fukienense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113" w:type="dxa"/>
            <w:vMerge w:val="continue"/>
            <w:tcBorders>
              <w:top w:val="nil"/>
              <w:bottom w:val="nil"/>
            </w:tcBorders>
            <w:vAlign w:val="top"/>
          </w:tcPr>
          <w:p>
            <w:pPr>
              <w:rPr>
                <w:rFonts w:ascii="Arial"/>
                <w:sz w:val="21"/>
              </w:rPr>
            </w:pPr>
          </w:p>
        </w:tc>
        <w:tc>
          <w:tcPr>
            <w:tcW w:w="1080" w:type="dxa"/>
            <w:vAlign w:val="top"/>
          </w:tcPr>
          <w:p>
            <w:pPr>
              <w:pStyle w:val="6"/>
              <w:spacing w:before="79" w:line="220" w:lineRule="auto"/>
              <w:ind w:left="22"/>
            </w:pPr>
            <w:r>
              <w:rPr>
                <w:spacing w:val="-2"/>
              </w:rPr>
              <w:t>螯虾科</w:t>
            </w:r>
          </w:p>
        </w:tc>
        <w:tc>
          <w:tcPr>
            <w:tcW w:w="1302" w:type="dxa"/>
            <w:vAlign w:val="top"/>
          </w:tcPr>
          <w:p>
            <w:pPr>
              <w:pStyle w:val="6"/>
              <w:spacing w:before="79" w:line="221" w:lineRule="auto"/>
              <w:ind w:left="23"/>
            </w:pPr>
            <w:r>
              <w:rPr>
                <w:spacing w:val="-3"/>
              </w:rPr>
              <w:t>原螯虾属</w:t>
            </w:r>
          </w:p>
        </w:tc>
        <w:tc>
          <w:tcPr>
            <w:tcW w:w="4942" w:type="dxa"/>
            <w:vAlign w:val="top"/>
          </w:tcPr>
          <w:p>
            <w:pPr>
              <w:pStyle w:val="6"/>
              <w:spacing w:before="79" w:line="228" w:lineRule="auto"/>
              <w:ind w:left="25"/>
              <w:rPr>
                <w:rFonts w:ascii="Times New Roman" w:hAnsi="Times New Roman" w:eastAsia="Times New Roman" w:cs="Times New Roman"/>
              </w:rPr>
            </w:pPr>
            <w:r>
              <w:rPr>
                <w:spacing w:val="-1"/>
              </w:rPr>
              <w:t>克氏原螯虾</w:t>
            </w:r>
            <w:r>
              <w:rPr>
                <w:spacing w:val="-41"/>
              </w:rPr>
              <w:t xml:space="preserve"> </w:t>
            </w:r>
            <w:r>
              <w:rPr>
                <w:rFonts w:ascii="Times New Roman" w:hAnsi="Times New Roman" w:eastAsia="Times New Roman" w:cs="Times New Roman"/>
                <w:i/>
                <w:iCs/>
                <w:spacing w:val="-1"/>
              </w:rPr>
              <w:t>Procambarus clarkii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Align w:val="top"/>
          </w:tcPr>
          <w:p>
            <w:pPr>
              <w:pStyle w:val="6"/>
              <w:spacing w:before="76" w:line="220" w:lineRule="auto"/>
              <w:ind w:left="18"/>
            </w:pPr>
            <w:r>
              <w:rPr>
                <w:spacing w:val="-2"/>
              </w:rPr>
              <w:t>拟螯虾科</w:t>
            </w:r>
          </w:p>
        </w:tc>
        <w:tc>
          <w:tcPr>
            <w:tcW w:w="1302" w:type="dxa"/>
            <w:vAlign w:val="top"/>
          </w:tcPr>
          <w:p>
            <w:pPr>
              <w:pStyle w:val="6"/>
              <w:spacing w:before="76" w:line="221" w:lineRule="auto"/>
              <w:ind w:left="18"/>
            </w:pPr>
            <w:r>
              <w:rPr>
                <w:spacing w:val="-2"/>
              </w:rPr>
              <w:t>滑螯虾属</w:t>
            </w:r>
          </w:p>
        </w:tc>
        <w:tc>
          <w:tcPr>
            <w:tcW w:w="4942" w:type="dxa"/>
            <w:vAlign w:val="top"/>
          </w:tcPr>
          <w:p>
            <w:pPr>
              <w:pStyle w:val="6"/>
              <w:spacing w:before="76" w:line="207" w:lineRule="auto"/>
              <w:ind w:left="39"/>
              <w:rPr>
                <w:rFonts w:ascii="Times New Roman" w:hAnsi="Times New Roman" w:eastAsia="Times New Roman" w:cs="Times New Roman"/>
              </w:rPr>
            </w:pPr>
            <w:r>
              <w:rPr>
                <w:spacing w:val="-2"/>
              </w:rPr>
              <w:t>四脊滑螯虾</w:t>
            </w:r>
            <w:r>
              <w:rPr>
                <w:spacing w:val="-25"/>
              </w:rPr>
              <w:t xml:space="preserve"> </w:t>
            </w:r>
            <w:r>
              <w:rPr>
                <w:rFonts w:ascii="Times New Roman" w:hAnsi="Times New Roman" w:eastAsia="Times New Roman" w:cs="Times New Roman"/>
                <w:i/>
                <w:iCs/>
                <w:spacing w:val="-2"/>
              </w:rPr>
              <w:t>Cherax quadricarinatus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Align w:val="top"/>
          </w:tcPr>
          <w:p>
            <w:pPr>
              <w:pStyle w:val="6"/>
              <w:spacing w:before="76" w:line="220" w:lineRule="auto"/>
              <w:ind w:left="19"/>
            </w:pPr>
            <w:r>
              <w:rPr>
                <w:spacing w:val="-2"/>
              </w:rPr>
              <w:t>方蟹科</w:t>
            </w:r>
          </w:p>
        </w:tc>
        <w:tc>
          <w:tcPr>
            <w:tcW w:w="1302" w:type="dxa"/>
            <w:vAlign w:val="top"/>
          </w:tcPr>
          <w:p>
            <w:pPr>
              <w:pStyle w:val="6"/>
              <w:spacing w:before="75" w:line="221" w:lineRule="auto"/>
              <w:ind w:left="20"/>
            </w:pPr>
            <w:r>
              <w:rPr>
                <w:spacing w:val="-2"/>
              </w:rPr>
              <w:t>绒螯蟹属</w:t>
            </w:r>
          </w:p>
        </w:tc>
        <w:tc>
          <w:tcPr>
            <w:tcW w:w="4942" w:type="dxa"/>
            <w:vAlign w:val="top"/>
          </w:tcPr>
          <w:p>
            <w:pPr>
              <w:pStyle w:val="6"/>
              <w:spacing w:before="76" w:line="228" w:lineRule="auto"/>
              <w:ind w:left="39"/>
              <w:rPr>
                <w:rFonts w:ascii="Times New Roman" w:hAnsi="Times New Roman" w:eastAsia="Times New Roman" w:cs="Times New Roman"/>
              </w:rPr>
            </w:pPr>
            <w:r>
              <w:rPr>
                <w:spacing w:val="-1"/>
              </w:rPr>
              <w:t>中华绒螯蟹</w:t>
            </w:r>
            <w:r>
              <w:rPr>
                <w:spacing w:val="-56"/>
              </w:rPr>
              <w:t xml:space="preserve"> </w:t>
            </w:r>
            <w:r>
              <w:rPr>
                <w:rFonts w:ascii="Times New Roman" w:hAnsi="Times New Roman" w:eastAsia="Times New Roman" w:cs="Times New Roman"/>
                <w:i/>
                <w:iCs/>
                <w:spacing w:val="-1"/>
              </w:rPr>
              <w:t>Eriocheir sinens</w:t>
            </w:r>
            <w:r>
              <w:rPr>
                <w:rFonts w:ascii="Times New Roman" w:hAnsi="Times New Roman" w:eastAsia="Times New Roman" w:cs="Times New Roman"/>
                <w:i/>
                <w:iCs/>
                <w:spacing w:val="-2"/>
              </w:rPr>
              <w:t>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13" w:type="dxa"/>
            <w:vMerge w:val="continue"/>
            <w:tcBorders>
              <w:top w:val="nil"/>
            </w:tcBorders>
            <w:vAlign w:val="top"/>
          </w:tcPr>
          <w:p>
            <w:pPr>
              <w:rPr>
                <w:rFonts w:ascii="Arial"/>
                <w:sz w:val="21"/>
              </w:rPr>
            </w:pPr>
          </w:p>
        </w:tc>
        <w:tc>
          <w:tcPr>
            <w:tcW w:w="1080" w:type="dxa"/>
            <w:vAlign w:val="top"/>
          </w:tcPr>
          <w:p>
            <w:pPr>
              <w:pStyle w:val="6"/>
              <w:spacing w:before="78" w:line="220" w:lineRule="auto"/>
              <w:ind w:left="18"/>
            </w:pPr>
            <w:r>
              <w:rPr>
                <w:spacing w:val="-2"/>
              </w:rPr>
              <w:t>溪蟹科</w:t>
            </w:r>
          </w:p>
        </w:tc>
        <w:tc>
          <w:tcPr>
            <w:tcW w:w="1302" w:type="dxa"/>
            <w:vAlign w:val="top"/>
          </w:tcPr>
          <w:p>
            <w:pPr>
              <w:pStyle w:val="6"/>
              <w:spacing w:before="77" w:line="221" w:lineRule="auto"/>
              <w:ind w:left="19"/>
            </w:pPr>
            <w:r>
              <w:rPr>
                <w:spacing w:val="-2"/>
              </w:rPr>
              <w:t>华溪蟹属</w:t>
            </w:r>
          </w:p>
        </w:tc>
        <w:tc>
          <w:tcPr>
            <w:tcW w:w="4942" w:type="dxa"/>
            <w:vAlign w:val="top"/>
          </w:tcPr>
          <w:p>
            <w:pPr>
              <w:pStyle w:val="6"/>
              <w:spacing w:before="78" w:line="207" w:lineRule="auto"/>
              <w:ind w:left="20"/>
              <w:rPr>
                <w:rFonts w:ascii="Times New Roman" w:hAnsi="Times New Roman" w:eastAsia="Times New Roman" w:cs="Times New Roman"/>
              </w:rPr>
            </w:pPr>
            <w:r>
              <w:t>浙江华溪蟹</w:t>
            </w:r>
            <w:r>
              <w:rPr>
                <w:spacing w:val="-50"/>
              </w:rPr>
              <w:t xml:space="preserve"> </w:t>
            </w:r>
            <w:r>
              <w:rPr>
                <w:rFonts w:ascii="Times New Roman" w:hAnsi="Times New Roman" w:eastAsia="Times New Roman" w:cs="Times New Roman"/>
                <w:i/>
                <w:iCs/>
              </w:rPr>
              <w:t>Sinopotamon chek</w:t>
            </w:r>
            <w:r>
              <w:rPr>
                <w:rFonts w:ascii="Times New Roman" w:hAnsi="Times New Roman" w:eastAsia="Times New Roman" w:cs="Times New Roman"/>
                <w:i/>
                <w:iCs/>
                <w:spacing w:val="-1"/>
              </w:rPr>
              <w:t>iangense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8437" w:type="dxa"/>
            <w:gridSpan w:val="4"/>
            <w:vAlign w:val="top"/>
          </w:tcPr>
          <w:p>
            <w:pPr>
              <w:pStyle w:val="6"/>
              <w:spacing w:before="73" w:line="221" w:lineRule="auto"/>
              <w:ind w:left="22"/>
              <w:rPr>
                <w:rFonts w:ascii="Times New Roman" w:hAnsi="Times New Roman" w:eastAsia="Times New Roman" w:cs="Times New Roman"/>
              </w:rPr>
            </w:pPr>
            <w:r>
              <w:rPr>
                <w:spacing w:val="-1"/>
              </w:rPr>
              <w:t>三、鱼类</w:t>
            </w:r>
            <w:r>
              <w:rPr>
                <w:spacing w:val="-48"/>
              </w:rPr>
              <w:t xml:space="preserve"> </w:t>
            </w:r>
            <w:r>
              <w:rPr>
                <w:rFonts w:ascii="Times New Roman" w:hAnsi="Times New Roman" w:eastAsia="Times New Roman" w:cs="Times New Roman"/>
                <w:spacing w:val="-1"/>
              </w:rPr>
              <w:t>Pisces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13"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23" w:lineRule="auto"/>
              <w:ind w:left="23"/>
            </w:pPr>
            <w:r>
              <w:rPr>
                <w:spacing w:val="-2"/>
              </w:rPr>
              <w:t>鲤形目</w:t>
            </w:r>
          </w:p>
        </w:tc>
        <w:tc>
          <w:tcPr>
            <w:tcW w:w="1080"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20" w:lineRule="auto"/>
              <w:ind w:left="19"/>
            </w:pPr>
            <w:r>
              <w:rPr>
                <w:spacing w:val="-2"/>
              </w:rPr>
              <w:t>鲤科</w:t>
            </w:r>
          </w:p>
        </w:tc>
        <w:tc>
          <w:tcPr>
            <w:tcW w:w="1302" w:type="dxa"/>
            <w:vAlign w:val="top"/>
          </w:tcPr>
          <w:p>
            <w:pPr>
              <w:pStyle w:val="6"/>
              <w:spacing w:before="78" w:line="221" w:lineRule="auto"/>
              <w:ind w:left="18"/>
            </w:pPr>
            <w:r>
              <w:rPr>
                <w:spacing w:val="-2"/>
              </w:rPr>
              <w:t>鱲属</w:t>
            </w:r>
          </w:p>
        </w:tc>
        <w:tc>
          <w:tcPr>
            <w:tcW w:w="4942" w:type="dxa"/>
            <w:vAlign w:val="top"/>
          </w:tcPr>
          <w:p>
            <w:pPr>
              <w:pStyle w:val="6"/>
              <w:spacing w:before="78" w:line="207" w:lineRule="auto"/>
              <w:ind w:left="30"/>
              <w:rPr>
                <w:rFonts w:ascii="Times New Roman" w:hAnsi="Times New Roman" w:eastAsia="Times New Roman" w:cs="Times New Roman"/>
              </w:rPr>
            </w:pPr>
            <w:r>
              <w:rPr>
                <w:spacing w:val="2"/>
              </w:rPr>
              <w:t>宽鳍鱲</w:t>
            </w:r>
            <w:r>
              <w:rPr>
                <w:spacing w:val="-51"/>
              </w:rPr>
              <w:t xml:space="preserve"> </w:t>
            </w:r>
            <w:r>
              <w:rPr>
                <w:rFonts w:ascii="Times New Roman" w:hAnsi="Times New Roman" w:eastAsia="Times New Roman" w:cs="Times New Roman"/>
                <w:i/>
                <w:iCs/>
              </w:rPr>
              <w:t>Zacco</w:t>
            </w:r>
            <w:r>
              <w:rPr>
                <w:rFonts w:ascii="Times New Roman" w:hAnsi="Times New Roman" w:eastAsia="Times New Roman" w:cs="Times New Roman"/>
                <w:i/>
                <w:iCs/>
                <w:spacing w:val="-23"/>
              </w:rPr>
              <w:t xml:space="preserve"> </w:t>
            </w:r>
            <w:r>
              <w:rPr>
                <w:rFonts w:ascii="Times New Roman" w:hAnsi="Times New Roman" w:eastAsia="Times New Roman" w:cs="Times New Roman"/>
                <w:i/>
                <w:iCs/>
              </w:rPr>
              <w:t>platypus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82" w:line="221" w:lineRule="auto"/>
              <w:ind w:left="25"/>
            </w:pPr>
            <w:r>
              <w:rPr>
                <w:spacing w:val="-3"/>
              </w:rPr>
              <w:t>马口鱼属</w:t>
            </w:r>
          </w:p>
        </w:tc>
        <w:tc>
          <w:tcPr>
            <w:tcW w:w="4942" w:type="dxa"/>
            <w:vAlign w:val="top"/>
          </w:tcPr>
          <w:p>
            <w:pPr>
              <w:pStyle w:val="6"/>
              <w:spacing w:before="82" w:line="207" w:lineRule="auto"/>
              <w:ind w:left="26"/>
              <w:rPr>
                <w:rFonts w:ascii="Times New Roman" w:hAnsi="Times New Roman" w:eastAsia="Times New Roman" w:cs="Times New Roman"/>
              </w:rPr>
            </w:pPr>
            <w:r>
              <w:rPr>
                <w:spacing w:val="-1"/>
              </w:rPr>
              <w:t>马口鱼</w:t>
            </w:r>
            <w:r>
              <w:rPr>
                <w:spacing w:val="-39"/>
              </w:rPr>
              <w:t xml:space="preserve"> </w:t>
            </w:r>
            <w:r>
              <w:rPr>
                <w:rFonts w:ascii="Times New Roman" w:hAnsi="Times New Roman" w:eastAsia="Times New Roman" w:cs="Times New Roman"/>
                <w:i/>
                <w:iCs/>
                <w:spacing w:val="-1"/>
              </w:rPr>
              <w:t>Opsariichthys bid</w:t>
            </w:r>
            <w:r>
              <w:rPr>
                <w:rFonts w:ascii="Times New Roman" w:hAnsi="Times New Roman" w:eastAsia="Times New Roman" w:cs="Times New Roman"/>
                <w:i/>
                <w:iCs/>
                <w:spacing w:val="-2"/>
              </w:rPr>
              <w:t>ens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82" w:line="220" w:lineRule="auto"/>
              <w:ind w:left="18"/>
            </w:pPr>
            <w:r>
              <w:rPr>
                <w:spacing w:val="-2"/>
              </w:rPr>
              <w:t>青鱼属</w:t>
            </w:r>
          </w:p>
        </w:tc>
        <w:tc>
          <w:tcPr>
            <w:tcW w:w="4942" w:type="dxa"/>
            <w:vAlign w:val="top"/>
          </w:tcPr>
          <w:p>
            <w:pPr>
              <w:pStyle w:val="6"/>
              <w:spacing w:before="82" w:line="207" w:lineRule="auto"/>
              <w:ind w:left="19"/>
              <w:rPr>
                <w:rFonts w:ascii="Times New Roman" w:hAnsi="Times New Roman" w:eastAsia="Times New Roman" w:cs="Times New Roman"/>
              </w:rPr>
            </w:pPr>
            <w:r>
              <w:rPr>
                <w:spacing w:val="11"/>
              </w:rPr>
              <w:t>青鱼</w:t>
            </w:r>
            <w:r>
              <w:rPr>
                <w:spacing w:val="-59"/>
              </w:rPr>
              <w:t xml:space="preserve"> </w:t>
            </w:r>
            <w:r>
              <w:rPr>
                <w:rFonts w:ascii="Times New Roman" w:hAnsi="Times New Roman" w:eastAsia="Times New Roman" w:cs="Times New Roman"/>
                <w:i/>
                <w:iCs/>
              </w:rPr>
              <w:t>Mylopharyngodon</w:t>
            </w:r>
            <w:r>
              <w:rPr>
                <w:rFonts w:ascii="Times New Roman" w:hAnsi="Times New Roman" w:eastAsia="Times New Roman" w:cs="Times New Roman"/>
                <w:i/>
                <w:iCs/>
                <w:spacing w:val="-23"/>
              </w:rPr>
              <w:t xml:space="preserve"> </w:t>
            </w:r>
            <w:r>
              <w:rPr>
                <w:rFonts w:ascii="Times New Roman" w:hAnsi="Times New Roman" w:eastAsia="Times New Roman" w:cs="Times New Roman"/>
                <w:i/>
                <w:iCs/>
              </w:rPr>
              <w:t>piceus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83" w:line="221" w:lineRule="auto"/>
              <w:ind w:left="20"/>
            </w:pPr>
            <w:r>
              <w:rPr>
                <w:spacing w:val="-2"/>
              </w:rPr>
              <w:t>草鱼属</w:t>
            </w:r>
          </w:p>
        </w:tc>
        <w:tc>
          <w:tcPr>
            <w:tcW w:w="4942" w:type="dxa"/>
            <w:vAlign w:val="top"/>
          </w:tcPr>
          <w:p>
            <w:pPr>
              <w:pStyle w:val="6"/>
              <w:spacing w:before="84" w:line="207" w:lineRule="auto"/>
              <w:ind w:left="21"/>
              <w:rPr>
                <w:rFonts w:ascii="Times New Roman" w:hAnsi="Times New Roman" w:eastAsia="Times New Roman" w:cs="Times New Roman"/>
              </w:rPr>
            </w:pPr>
            <w:r>
              <w:rPr>
                <w:spacing w:val="17"/>
              </w:rPr>
              <w:t>草鱼</w:t>
            </w:r>
            <w:r>
              <w:rPr>
                <w:spacing w:val="-41"/>
              </w:rPr>
              <w:t xml:space="preserve"> </w:t>
            </w:r>
            <w:r>
              <w:rPr>
                <w:rFonts w:ascii="Times New Roman" w:hAnsi="Times New Roman" w:eastAsia="Times New Roman" w:cs="Times New Roman"/>
                <w:i/>
                <w:iCs/>
              </w:rPr>
              <w:t>Ctenopharyngodonidella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81" w:line="221" w:lineRule="auto"/>
              <w:ind w:left="25"/>
            </w:pPr>
            <w:r>
              <w:rPr>
                <w:spacing w:val="-3"/>
              </w:rPr>
              <w:t>赤眼鳟属</w:t>
            </w:r>
          </w:p>
        </w:tc>
        <w:tc>
          <w:tcPr>
            <w:tcW w:w="4942" w:type="dxa"/>
            <w:vAlign w:val="top"/>
          </w:tcPr>
          <w:p>
            <w:pPr>
              <w:pStyle w:val="6"/>
              <w:spacing w:before="82" w:line="207" w:lineRule="auto"/>
              <w:ind w:left="26"/>
              <w:rPr>
                <w:rFonts w:ascii="Times New Roman" w:hAnsi="Times New Roman" w:eastAsia="Times New Roman" w:cs="Times New Roman"/>
              </w:rPr>
            </w:pPr>
            <w:r>
              <w:rPr>
                <w:spacing w:val="13"/>
              </w:rPr>
              <w:t>赤眼鳟</w:t>
            </w:r>
            <w:r>
              <w:rPr>
                <w:spacing w:val="-51"/>
              </w:rPr>
              <w:t xml:space="preserve"> </w:t>
            </w:r>
            <w:r>
              <w:rPr>
                <w:rFonts w:ascii="Times New Roman" w:hAnsi="Times New Roman" w:eastAsia="Times New Roman" w:cs="Times New Roman"/>
                <w:i/>
                <w:iCs/>
              </w:rPr>
              <w:t>Squaliobarbuscurriculus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84" w:line="221" w:lineRule="auto"/>
              <w:ind w:left="19"/>
            </w:pPr>
            <w:r>
              <w:rPr>
                <w:spacing w:val="-2"/>
              </w:rPr>
              <w:t>华鳊属</w:t>
            </w:r>
          </w:p>
        </w:tc>
        <w:tc>
          <w:tcPr>
            <w:tcW w:w="4942" w:type="dxa"/>
            <w:vAlign w:val="top"/>
          </w:tcPr>
          <w:p>
            <w:pPr>
              <w:pStyle w:val="6"/>
              <w:spacing w:before="84" w:line="207" w:lineRule="auto"/>
              <w:ind w:left="22"/>
              <w:rPr>
                <w:rFonts w:ascii="Times New Roman" w:hAnsi="Times New Roman" w:eastAsia="Times New Roman" w:cs="Times New Roman"/>
              </w:rPr>
            </w:pPr>
            <w:r>
              <w:rPr>
                <w:spacing w:val="-1"/>
              </w:rPr>
              <w:t>大眼华鳊</w:t>
            </w:r>
            <w:r>
              <w:rPr>
                <w:spacing w:val="-42"/>
              </w:rPr>
              <w:t xml:space="preserve"> </w:t>
            </w:r>
            <w:r>
              <w:rPr>
                <w:rFonts w:ascii="Times New Roman" w:hAnsi="Times New Roman" w:eastAsia="Times New Roman" w:cs="Times New Roman"/>
                <w:i/>
                <w:iCs/>
                <w:spacing w:val="-1"/>
              </w:rPr>
              <w:t>Sinibrama macrops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81" w:line="222" w:lineRule="auto"/>
              <w:ind w:left="19"/>
            </w:pPr>
            <w:r>
              <w:rPr>
                <w:spacing w:val="-2"/>
              </w:rPr>
              <w:t>飘鱼属</w:t>
            </w:r>
          </w:p>
        </w:tc>
        <w:tc>
          <w:tcPr>
            <w:tcW w:w="4942" w:type="dxa"/>
            <w:vAlign w:val="top"/>
          </w:tcPr>
          <w:p>
            <w:pPr>
              <w:pStyle w:val="6"/>
              <w:spacing w:before="82" w:line="207" w:lineRule="auto"/>
              <w:ind w:left="21"/>
              <w:rPr>
                <w:rFonts w:ascii="Times New Roman" w:hAnsi="Times New Roman" w:eastAsia="Times New Roman" w:cs="Times New Roman"/>
              </w:rPr>
            </w:pPr>
            <w:r>
              <w:rPr>
                <w:spacing w:val="12"/>
              </w:rPr>
              <w:t>寡鳞飘鱼</w:t>
            </w:r>
            <w:r>
              <w:rPr>
                <w:spacing w:val="-57"/>
              </w:rPr>
              <w:t xml:space="preserve"> </w:t>
            </w:r>
            <w:r>
              <w:rPr>
                <w:rFonts w:ascii="Times New Roman" w:hAnsi="Times New Roman" w:eastAsia="Times New Roman" w:cs="Times New Roman"/>
                <w:i/>
                <w:iCs/>
              </w:rPr>
              <w:t>Pseudolaubucaengraulis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restart"/>
            <w:tcBorders>
              <w:bottom w:val="nil"/>
            </w:tcBorders>
            <w:vAlign w:val="top"/>
          </w:tcPr>
          <w:p>
            <w:pPr>
              <w:pStyle w:val="6"/>
              <w:spacing w:before="263" w:line="220" w:lineRule="auto"/>
              <w:ind w:left="18"/>
            </w:pPr>
            <w:r>
              <w:rPr>
                <w:spacing w:val="-2"/>
              </w:rPr>
              <w:t>䱗属</w:t>
            </w:r>
          </w:p>
        </w:tc>
        <w:tc>
          <w:tcPr>
            <w:tcW w:w="4942" w:type="dxa"/>
            <w:vAlign w:val="top"/>
          </w:tcPr>
          <w:p>
            <w:pPr>
              <w:pStyle w:val="6"/>
              <w:spacing w:before="84" w:line="227" w:lineRule="auto"/>
              <w:ind w:left="19"/>
              <w:rPr>
                <w:rFonts w:ascii="Times New Roman" w:hAnsi="Times New Roman" w:eastAsia="Times New Roman" w:cs="Times New Roman"/>
              </w:rPr>
            </w:pPr>
            <w:r>
              <w:t>䱗</w:t>
            </w:r>
            <w:r>
              <w:rPr>
                <w:rFonts w:ascii="Times New Roman" w:hAnsi="Times New Roman" w:eastAsia="Times New Roman" w:cs="Times New Roman"/>
                <w:i/>
                <w:iCs/>
              </w:rPr>
              <w:t>Hemiculter leucisc</w:t>
            </w:r>
            <w:r>
              <w:rPr>
                <w:rFonts w:ascii="Times New Roman" w:hAnsi="Times New Roman" w:eastAsia="Times New Roman" w:cs="Times New Roman"/>
                <w:i/>
                <w:iCs/>
                <w:spacing w:val="-1"/>
              </w:rPr>
              <w:t>ulus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82" w:line="227" w:lineRule="auto"/>
              <w:ind w:left="34"/>
              <w:rPr>
                <w:rFonts w:ascii="Times New Roman" w:hAnsi="Times New Roman" w:eastAsia="Times New Roman" w:cs="Times New Roman"/>
              </w:rPr>
            </w:pPr>
            <w:r>
              <w:rPr>
                <w:spacing w:val="-1"/>
              </w:rPr>
              <w:t>贝氏䱗</w:t>
            </w:r>
            <w:r>
              <w:rPr>
                <w:rFonts w:ascii="Times New Roman" w:hAnsi="Times New Roman" w:eastAsia="Times New Roman" w:cs="Times New Roman"/>
                <w:i/>
                <w:iCs/>
                <w:spacing w:val="-1"/>
              </w:rPr>
              <w:t>Hemiculter bleekeri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81" w:line="222" w:lineRule="auto"/>
              <w:ind w:left="17"/>
            </w:pPr>
            <w:r>
              <w:rPr>
                <w:spacing w:val="-2"/>
              </w:rPr>
              <w:t>鲂属</w:t>
            </w:r>
          </w:p>
        </w:tc>
        <w:tc>
          <w:tcPr>
            <w:tcW w:w="4942" w:type="dxa"/>
            <w:vAlign w:val="top"/>
          </w:tcPr>
          <w:p>
            <w:pPr>
              <w:pStyle w:val="6"/>
              <w:spacing w:before="81" w:line="207" w:lineRule="auto"/>
              <w:ind w:left="19"/>
              <w:rPr>
                <w:rFonts w:ascii="Times New Roman" w:hAnsi="Times New Roman" w:eastAsia="Times New Roman" w:cs="Times New Roman"/>
              </w:rPr>
            </w:pPr>
            <w:r>
              <w:t>鲂</w:t>
            </w:r>
            <w:r>
              <w:rPr>
                <w:spacing w:val="-59"/>
              </w:rPr>
              <w:t xml:space="preserve"> </w:t>
            </w:r>
            <w:r>
              <w:rPr>
                <w:rFonts w:ascii="Times New Roman" w:hAnsi="Times New Roman" w:eastAsia="Times New Roman" w:cs="Times New Roman"/>
                <w:i/>
                <w:iCs/>
              </w:rPr>
              <w:t>Megalobrama skolkovii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restart"/>
            <w:tcBorders>
              <w:bottom w:val="nil"/>
            </w:tcBorders>
            <w:vAlign w:val="top"/>
          </w:tcPr>
          <w:p>
            <w:pPr>
              <w:pStyle w:val="6"/>
              <w:spacing w:before="261" w:line="222" w:lineRule="auto"/>
              <w:ind w:left="17"/>
            </w:pPr>
            <w:r>
              <w:rPr>
                <w:spacing w:val="-2"/>
              </w:rPr>
              <w:t>鲴属</w:t>
            </w:r>
          </w:p>
        </w:tc>
        <w:tc>
          <w:tcPr>
            <w:tcW w:w="4942" w:type="dxa"/>
            <w:vAlign w:val="top"/>
          </w:tcPr>
          <w:p>
            <w:pPr>
              <w:pStyle w:val="6"/>
              <w:spacing w:before="83" w:line="207" w:lineRule="auto"/>
              <w:ind w:left="20"/>
              <w:rPr>
                <w:rFonts w:ascii="Times New Roman" w:hAnsi="Times New Roman" w:eastAsia="Times New Roman" w:cs="Times New Roman"/>
              </w:rPr>
            </w:pPr>
            <w:r>
              <w:rPr>
                <w:spacing w:val="49"/>
              </w:rPr>
              <w:t>银鲴</w:t>
            </w:r>
            <w:r>
              <w:rPr>
                <w:rFonts w:ascii="Times New Roman" w:hAnsi="Times New Roman" w:eastAsia="Times New Roman" w:cs="Times New Roman"/>
                <w:i/>
                <w:iCs/>
              </w:rPr>
              <w:t>Xenocyprisargentea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81" w:line="207" w:lineRule="auto"/>
              <w:ind w:left="19"/>
              <w:rPr>
                <w:rFonts w:ascii="Times New Roman" w:hAnsi="Times New Roman" w:eastAsia="Times New Roman" w:cs="Times New Roman"/>
              </w:rPr>
            </w:pPr>
            <w:r>
              <w:rPr>
                <w:spacing w:val="14"/>
              </w:rPr>
              <w:t>黄尾鲴</w:t>
            </w:r>
            <w:r>
              <w:rPr>
                <w:rFonts w:ascii="Times New Roman" w:hAnsi="Times New Roman" w:eastAsia="Times New Roman" w:cs="Times New Roman"/>
                <w:i/>
                <w:iCs/>
              </w:rPr>
              <w:t>Xenocypris</w:t>
            </w:r>
            <w:r>
              <w:rPr>
                <w:rFonts w:ascii="Times New Roman" w:hAnsi="Times New Roman" w:eastAsia="Times New Roman" w:cs="Times New Roman"/>
                <w:i/>
                <w:iCs/>
                <w:spacing w:val="14"/>
              </w:rPr>
              <w:t xml:space="preserve"> </w:t>
            </w:r>
            <w:r>
              <w:rPr>
                <w:rFonts w:ascii="Times New Roman" w:hAnsi="Times New Roman" w:eastAsia="Times New Roman" w:cs="Times New Roman"/>
                <w:i/>
                <w:iCs/>
              </w:rPr>
              <w:t>davidi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83" w:line="222" w:lineRule="auto"/>
              <w:ind w:left="36"/>
            </w:pPr>
            <w:r>
              <w:rPr>
                <w:spacing w:val="-6"/>
              </w:rPr>
              <w:t>圆吻鲴属</w:t>
            </w:r>
          </w:p>
        </w:tc>
        <w:tc>
          <w:tcPr>
            <w:tcW w:w="4942" w:type="dxa"/>
            <w:vAlign w:val="top"/>
          </w:tcPr>
          <w:p>
            <w:pPr>
              <w:pStyle w:val="6"/>
              <w:spacing w:before="82" w:line="230" w:lineRule="auto"/>
              <w:ind w:left="37"/>
              <w:rPr>
                <w:rFonts w:ascii="Times New Roman" w:hAnsi="Times New Roman" w:eastAsia="Times New Roman" w:cs="Times New Roman"/>
              </w:rPr>
            </w:pPr>
            <w:r>
              <w:rPr>
                <w:spacing w:val="11"/>
              </w:rPr>
              <w:t>圆吻鲴</w:t>
            </w:r>
            <w:r>
              <w:rPr>
                <w:spacing w:val="-59"/>
              </w:rPr>
              <w:t xml:space="preserve"> </w:t>
            </w:r>
            <w:r>
              <w:rPr>
                <w:rFonts w:ascii="Times New Roman" w:hAnsi="Times New Roman" w:eastAsia="Times New Roman" w:cs="Times New Roman"/>
                <w:i/>
                <w:iCs/>
              </w:rPr>
              <w:t>Distoechodontumirostris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restart"/>
            <w:tcBorders>
              <w:bottom w:val="nil"/>
            </w:tcBorders>
            <w:vAlign w:val="top"/>
          </w:tcPr>
          <w:p>
            <w:pPr>
              <w:pStyle w:val="6"/>
              <w:spacing w:before="261" w:line="222" w:lineRule="auto"/>
              <w:ind w:left="18"/>
            </w:pPr>
            <w:r>
              <w:rPr>
                <w:spacing w:val="-2"/>
              </w:rPr>
              <w:t>鲢属</w:t>
            </w:r>
          </w:p>
        </w:tc>
        <w:tc>
          <w:tcPr>
            <w:tcW w:w="4942" w:type="dxa"/>
            <w:vAlign w:val="top"/>
          </w:tcPr>
          <w:p>
            <w:pPr>
              <w:pStyle w:val="6"/>
              <w:spacing w:before="80" w:line="207" w:lineRule="auto"/>
              <w:ind w:left="19"/>
              <w:rPr>
                <w:rFonts w:ascii="Times New Roman" w:hAnsi="Times New Roman" w:eastAsia="Times New Roman" w:cs="Times New Roman"/>
              </w:rPr>
            </w:pPr>
            <w:r>
              <w:t>鳙</w:t>
            </w:r>
            <w:r>
              <w:rPr>
                <w:spacing w:val="-57"/>
              </w:rPr>
              <w:t xml:space="preserve"> </w:t>
            </w:r>
            <w:r>
              <w:rPr>
                <w:rFonts w:ascii="Times New Roman" w:hAnsi="Times New Roman" w:eastAsia="Times New Roman" w:cs="Times New Roman"/>
                <w:i/>
                <w:iCs/>
              </w:rPr>
              <w:t>Hypophthalmichthys no</w:t>
            </w:r>
            <w:r>
              <w:rPr>
                <w:rFonts w:ascii="Times New Roman" w:hAnsi="Times New Roman" w:eastAsia="Times New Roman" w:cs="Times New Roman"/>
                <w:i/>
                <w:iCs/>
                <w:spacing w:val="-1"/>
              </w:rPr>
              <w:t>bilis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80" w:line="207" w:lineRule="auto"/>
              <w:ind w:left="19"/>
              <w:rPr>
                <w:rFonts w:ascii="Times New Roman" w:hAnsi="Times New Roman" w:eastAsia="Times New Roman" w:cs="Times New Roman"/>
              </w:rPr>
            </w:pPr>
            <w:r>
              <w:t>鲢</w:t>
            </w:r>
            <w:r>
              <w:rPr>
                <w:spacing w:val="-58"/>
              </w:rPr>
              <w:t xml:space="preserve"> </w:t>
            </w:r>
            <w:r>
              <w:rPr>
                <w:rFonts w:ascii="Times New Roman" w:hAnsi="Times New Roman" w:eastAsia="Times New Roman" w:cs="Times New Roman"/>
                <w:i/>
                <w:iCs/>
              </w:rPr>
              <w:t>Hypophthalmichthys moli</w:t>
            </w:r>
            <w:r>
              <w:rPr>
                <w:rFonts w:ascii="Times New Roman" w:hAnsi="Times New Roman" w:eastAsia="Times New Roman" w:cs="Times New Roman"/>
                <w:i/>
                <w:iCs/>
                <w:spacing w:val="-1"/>
              </w:rPr>
              <w:t>trix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restart"/>
            <w:tcBorders>
              <w:bottom w:val="nil"/>
            </w:tcBorders>
            <w:vAlign w:val="top"/>
          </w:tcPr>
          <w:p>
            <w:pPr>
              <w:pStyle w:val="6"/>
              <w:spacing w:before="259" w:line="219" w:lineRule="auto"/>
              <w:ind w:left="15"/>
            </w:pPr>
            <w:r>
              <w:rPr>
                <w:spacing w:val="-1"/>
              </w:rPr>
              <w:t>䱻属</w:t>
            </w:r>
          </w:p>
        </w:tc>
        <w:tc>
          <w:tcPr>
            <w:tcW w:w="4942" w:type="dxa"/>
            <w:vAlign w:val="top"/>
          </w:tcPr>
          <w:p>
            <w:pPr>
              <w:pStyle w:val="6"/>
              <w:spacing w:before="81" w:line="227" w:lineRule="auto"/>
              <w:ind w:left="21"/>
              <w:rPr>
                <w:rFonts w:ascii="Times New Roman" w:hAnsi="Times New Roman" w:eastAsia="Times New Roman" w:cs="Times New Roman"/>
              </w:rPr>
            </w:pPr>
            <w:r>
              <w:rPr>
                <w:spacing w:val="-1"/>
              </w:rPr>
              <w:t>唇䱻</w:t>
            </w:r>
            <w:r>
              <w:rPr>
                <w:rFonts w:ascii="Times New Roman" w:hAnsi="Times New Roman" w:eastAsia="Times New Roman" w:cs="Times New Roman"/>
                <w:i/>
                <w:iCs/>
                <w:spacing w:val="-1"/>
              </w:rPr>
              <w:t>Hemibarbus labeo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7" w:line="227" w:lineRule="auto"/>
              <w:ind w:left="20"/>
              <w:rPr>
                <w:rFonts w:ascii="Times New Roman" w:hAnsi="Times New Roman" w:eastAsia="Times New Roman" w:cs="Times New Roman"/>
              </w:rPr>
            </w:pPr>
            <w:r>
              <w:rPr>
                <w:spacing w:val="24"/>
              </w:rPr>
              <w:t>花䱻</w:t>
            </w:r>
            <w:r>
              <w:rPr>
                <w:rFonts w:ascii="Times New Roman" w:hAnsi="Times New Roman" w:eastAsia="Times New Roman" w:cs="Times New Roman"/>
                <w:i/>
                <w:iCs/>
              </w:rPr>
              <w:t>Hemibarbusmaculatus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79" w:line="220" w:lineRule="auto"/>
              <w:ind w:left="19"/>
            </w:pPr>
            <w:r>
              <w:rPr>
                <w:spacing w:val="-2"/>
              </w:rPr>
              <w:t>麦穗鱼属</w:t>
            </w:r>
          </w:p>
        </w:tc>
        <w:tc>
          <w:tcPr>
            <w:tcW w:w="4942" w:type="dxa"/>
            <w:vAlign w:val="top"/>
          </w:tcPr>
          <w:p>
            <w:pPr>
              <w:pStyle w:val="6"/>
              <w:spacing w:before="80" w:line="207" w:lineRule="auto"/>
              <w:ind w:left="20"/>
              <w:rPr>
                <w:rFonts w:ascii="Times New Roman" w:hAnsi="Times New Roman" w:eastAsia="Times New Roman" w:cs="Times New Roman"/>
              </w:rPr>
            </w:pPr>
            <w:r>
              <w:rPr>
                <w:spacing w:val="6"/>
              </w:rPr>
              <w:t>麦穗鱼</w:t>
            </w:r>
            <w:r>
              <w:rPr>
                <w:spacing w:val="-56"/>
              </w:rPr>
              <w:t xml:space="preserve"> </w:t>
            </w:r>
            <w:r>
              <w:rPr>
                <w:rFonts w:ascii="Times New Roman" w:hAnsi="Times New Roman" w:eastAsia="Times New Roman" w:cs="Times New Roman"/>
                <w:i/>
                <w:iCs/>
              </w:rPr>
              <w:t>Pseudorasbora</w:t>
            </w:r>
            <w:r>
              <w:rPr>
                <w:rFonts w:ascii="Times New Roman" w:hAnsi="Times New Roman" w:eastAsia="Times New Roman" w:cs="Times New Roman"/>
                <w:i/>
                <w:iCs/>
                <w:spacing w:val="-23"/>
              </w:rPr>
              <w:t xml:space="preserve"> </w:t>
            </w:r>
            <w:r>
              <w:rPr>
                <w:rFonts w:ascii="Times New Roman" w:hAnsi="Times New Roman" w:eastAsia="Times New Roman" w:cs="Times New Roman"/>
                <w:i/>
                <w:iCs/>
              </w:rPr>
              <w:t>parva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76" w:line="221" w:lineRule="auto"/>
              <w:ind w:left="17"/>
            </w:pPr>
            <w:r>
              <w:rPr>
                <w:spacing w:val="-1"/>
              </w:rPr>
              <w:t>颌须鮈属</w:t>
            </w:r>
          </w:p>
        </w:tc>
        <w:tc>
          <w:tcPr>
            <w:tcW w:w="4942" w:type="dxa"/>
            <w:vAlign w:val="top"/>
          </w:tcPr>
          <w:p>
            <w:pPr>
              <w:pStyle w:val="6"/>
              <w:spacing w:before="76" w:line="207" w:lineRule="auto"/>
              <w:ind w:left="20"/>
              <w:rPr>
                <w:rFonts w:ascii="Times New Roman" w:hAnsi="Times New Roman" w:eastAsia="Times New Roman" w:cs="Times New Roman"/>
              </w:rPr>
            </w:pPr>
            <w:r>
              <w:rPr>
                <w:spacing w:val="-1"/>
              </w:rPr>
              <w:t>细纹颌须鮈</w:t>
            </w:r>
            <w:r>
              <w:rPr>
                <w:spacing w:val="-33"/>
              </w:rPr>
              <w:t xml:space="preserve"> </w:t>
            </w:r>
            <w:r>
              <w:rPr>
                <w:rFonts w:ascii="Times New Roman" w:hAnsi="Times New Roman" w:eastAsia="Times New Roman" w:cs="Times New Roman"/>
                <w:i/>
                <w:iCs/>
                <w:spacing w:val="-1"/>
              </w:rPr>
              <w:t>Gnathopogon taeniellus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78" w:line="222" w:lineRule="auto"/>
              <w:ind w:left="19"/>
            </w:pPr>
            <w:r>
              <w:rPr>
                <w:spacing w:val="-2"/>
              </w:rPr>
              <w:t>银鮈属</w:t>
            </w:r>
          </w:p>
        </w:tc>
        <w:tc>
          <w:tcPr>
            <w:tcW w:w="4942" w:type="dxa"/>
            <w:vAlign w:val="top"/>
          </w:tcPr>
          <w:p>
            <w:pPr>
              <w:pStyle w:val="6"/>
              <w:spacing w:before="78" w:line="207" w:lineRule="auto"/>
              <w:ind w:left="20"/>
              <w:rPr>
                <w:rFonts w:ascii="Times New Roman" w:hAnsi="Times New Roman" w:eastAsia="Times New Roman" w:cs="Times New Roman"/>
              </w:rPr>
            </w:pPr>
            <w:r>
              <w:rPr>
                <w:spacing w:val="23"/>
              </w:rPr>
              <w:t>银鮈</w:t>
            </w:r>
            <w:r>
              <w:rPr>
                <w:spacing w:val="-51"/>
              </w:rPr>
              <w:t xml:space="preserve"> </w:t>
            </w:r>
            <w:r>
              <w:rPr>
                <w:rFonts w:ascii="Times New Roman" w:hAnsi="Times New Roman" w:eastAsia="Times New Roman" w:cs="Times New Roman"/>
                <w:i/>
                <w:iCs/>
              </w:rPr>
              <w:t>Squalidusargentatus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74" w:line="221" w:lineRule="auto"/>
              <w:ind w:left="18"/>
            </w:pPr>
            <w:r>
              <w:rPr>
                <w:spacing w:val="-2"/>
              </w:rPr>
              <w:t>棒花鱼属</w:t>
            </w:r>
          </w:p>
        </w:tc>
        <w:tc>
          <w:tcPr>
            <w:tcW w:w="4942" w:type="dxa"/>
            <w:vAlign w:val="top"/>
          </w:tcPr>
          <w:p>
            <w:pPr>
              <w:pStyle w:val="6"/>
              <w:spacing w:before="75" w:line="228" w:lineRule="auto"/>
              <w:ind w:left="19"/>
              <w:rPr>
                <w:rFonts w:ascii="Times New Roman" w:hAnsi="Times New Roman" w:eastAsia="Times New Roman" w:cs="Times New Roman"/>
              </w:rPr>
            </w:pPr>
            <w:r>
              <w:rPr>
                <w:spacing w:val="18"/>
              </w:rPr>
              <w:t>棒花鱼</w:t>
            </w:r>
            <w:r>
              <w:rPr>
                <w:spacing w:val="-61"/>
              </w:rPr>
              <w:t xml:space="preserve"> </w:t>
            </w:r>
            <w:r>
              <w:rPr>
                <w:rFonts w:ascii="Times New Roman" w:hAnsi="Times New Roman" w:eastAsia="Times New Roman" w:cs="Times New Roman"/>
                <w:i/>
                <w:iCs/>
              </w:rPr>
              <w:t>Abbottinarivularis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73" w:line="221" w:lineRule="auto"/>
              <w:ind w:left="17"/>
            </w:pPr>
            <w:r>
              <w:rPr>
                <w:spacing w:val="-1"/>
              </w:rPr>
              <w:t>鳑鲏属</w:t>
            </w:r>
          </w:p>
        </w:tc>
        <w:tc>
          <w:tcPr>
            <w:tcW w:w="4942" w:type="dxa"/>
            <w:vAlign w:val="top"/>
          </w:tcPr>
          <w:p>
            <w:pPr>
              <w:pStyle w:val="6"/>
              <w:spacing w:before="74" w:line="228" w:lineRule="auto"/>
              <w:ind w:left="25"/>
              <w:rPr>
                <w:rFonts w:ascii="Times New Roman" w:hAnsi="Times New Roman" w:eastAsia="Times New Roman" w:cs="Times New Roman"/>
              </w:rPr>
            </w:pPr>
            <w:r>
              <w:rPr>
                <w:spacing w:val="-1"/>
              </w:rPr>
              <w:t>高体鳑鲏</w:t>
            </w:r>
            <w:r>
              <w:rPr>
                <w:spacing w:val="-42"/>
              </w:rPr>
              <w:t xml:space="preserve"> </w:t>
            </w:r>
            <w:r>
              <w:rPr>
                <w:rFonts w:ascii="Times New Roman" w:hAnsi="Times New Roman" w:eastAsia="Times New Roman" w:cs="Times New Roman"/>
                <w:i/>
                <w:iCs/>
                <w:spacing w:val="-1"/>
              </w:rPr>
              <w:t>Rhodeus ocellatus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restart"/>
            <w:tcBorders>
              <w:bottom w:val="nil"/>
            </w:tcBorders>
            <w:vAlign w:val="top"/>
          </w:tcPr>
          <w:p>
            <w:pPr>
              <w:pStyle w:val="6"/>
              <w:spacing w:before="253" w:line="221" w:lineRule="auto"/>
              <w:ind w:left="19"/>
            </w:pPr>
            <w:r>
              <w:rPr>
                <w:spacing w:val="-2"/>
              </w:rPr>
              <w:t>倒刺鲃属</w:t>
            </w:r>
          </w:p>
        </w:tc>
        <w:tc>
          <w:tcPr>
            <w:tcW w:w="4942" w:type="dxa"/>
            <w:vAlign w:val="top"/>
          </w:tcPr>
          <w:p>
            <w:pPr>
              <w:pStyle w:val="6"/>
              <w:spacing w:before="76" w:line="207" w:lineRule="auto"/>
              <w:ind w:left="20"/>
              <w:rPr>
                <w:rFonts w:ascii="Times New Roman" w:hAnsi="Times New Roman" w:eastAsia="Times New Roman" w:cs="Times New Roman"/>
              </w:rPr>
            </w:pPr>
            <w:r>
              <w:rPr>
                <w:spacing w:val="-1"/>
              </w:rPr>
              <w:t>倒刺鲃</w:t>
            </w:r>
            <w:r>
              <w:rPr>
                <w:spacing w:val="-33"/>
              </w:rPr>
              <w:t xml:space="preserve"> </w:t>
            </w:r>
            <w:r>
              <w:rPr>
                <w:rFonts w:ascii="Times New Roman" w:hAnsi="Times New Roman" w:eastAsia="Times New Roman" w:cs="Times New Roman"/>
                <w:i/>
                <w:iCs/>
                <w:spacing w:val="-1"/>
              </w:rPr>
              <w:t>Spinibarbus denticulatus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113" w:type="dxa"/>
            <w:vMerge w:val="continue"/>
            <w:tcBorders>
              <w:top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4" w:line="207" w:lineRule="auto"/>
              <w:ind w:left="21"/>
              <w:rPr>
                <w:rFonts w:ascii="Times New Roman" w:hAnsi="Times New Roman" w:eastAsia="Times New Roman" w:cs="Times New Roman"/>
              </w:rPr>
            </w:pPr>
            <w:r>
              <w:t>光倒刺鲃</w:t>
            </w:r>
            <w:r>
              <w:rPr>
                <w:spacing w:val="-51"/>
              </w:rPr>
              <w:t xml:space="preserve"> </w:t>
            </w:r>
            <w:r>
              <w:rPr>
                <w:rFonts w:ascii="Times New Roman" w:hAnsi="Times New Roman" w:eastAsia="Times New Roman" w:cs="Times New Roman"/>
                <w:i/>
                <w:iCs/>
              </w:rPr>
              <w:t>Spinibarbus hollan</w:t>
            </w:r>
            <w:r>
              <w:rPr>
                <w:rFonts w:ascii="Times New Roman" w:hAnsi="Times New Roman" w:eastAsia="Times New Roman" w:cs="Times New Roman"/>
                <w:i/>
                <w:iCs/>
                <w:spacing w:val="-1"/>
              </w:rPr>
              <w:t>di</w:t>
            </w:r>
          </w:p>
        </w:tc>
      </w:tr>
    </w:tbl>
    <w:p>
      <w:pPr>
        <w:pStyle w:val="2"/>
      </w:pPr>
    </w:p>
    <w:p>
      <w:pPr>
        <w:sectPr>
          <w:footerReference r:id="rId240" w:type="default"/>
          <w:pgSz w:w="11907" w:h="16839"/>
          <w:pgMar w:top="1288" w:right="1670" w:bottom="1151" w:left="1673" w:header="1047" w:footer="990" w:gutter="0"/>
          <w:cols w:space="720" w:num="1"/>
        </w:sectPr>
      </w:pPr>
    </w:p>
    <w:p>
      <w:pPr>
        <w:spacing w:before="56"/>
      </w:pPr>
    </w:p>
    <w:tbl>
      <w:tblPr>
        <w:tblStyle w:val="5"/>
        <w:tblW w:w="8437" w:type="dxa"/>
        <w:tblInd w:w="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1080"/>
        <w:gridCol w:w="1302"/>
        <w:gridCol w:w="49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113" w:type="dxa"/>
            <w:vMerge w:val="restart"/>
            <w:tcBorders>
              <w:bottom w:val="nil"/>
            </w:tcBorders>
            <w:vAlign w:val="top"/>
          </w:tcPr>
          <w:p>
            <w:pPr>
              <w:rPr>
                <w:rFonts w:ascii="Arial"/>
                <w:sz w:val="21"/>
              </w:rPr>
            </w:pPr>
          </w:p>
        </w:tc>
        <w:tc>
          <w:tcPr>
            <w:tcW w:w="1080" w:type="dxa"/>
            <w:vMerge w:val="restart"/>
            <w:tcBorders>
              <w:bottom w:val="nil"/>
            </w:tcBorders>
            <w:vAlign w:val="top"/>
          </w:tcPr>
          <w:p>
            <w:pPr>
              <w:rPr>
                <w:rFonts w:ascii="Arial"/>
                <w:sz w:val="21"/>
              </w:rPr>
            </w:pPr>
          </w:p>
        </w:tc>
        <w:tc>
          <w:tcPr>
            <w:tcW w:w="1302" w:type="dxa"/>
            <w:vMerge w:val="restart"/>
            <w:tcBorders>
              <w:bottom w:val="nil"/>
            </w:tcBorders>
            <w:vAlign w:val="top"/>
          </w:tcPr>
          <w:p>
            <w:pPr>
              <w:pStyle w:val="6"/>
              <w:spacing w:before="254" w:line="221" w:lineRule="auto"/>
              <w:ind w:left="20"/>
            </w:pPr>
            <w:r>
              <w:rPr>
                <w:spacing w:val="-2"/>
              </w:rPr>
              <w:t>光唇鱼属</w:t>
            </w:r>
          </w:p>
        </w:tc>
        <w:tc>
          <w:tcPr>
            <w:tcW w:w="4942" w:type="dxa"/>
            <w:vAlign w:val="top"/>
          </w:tcPr>
          <w:p>
            <w:pPr>
              <w:pStyle w:val="6"/>
              <w:spacing w:before="78" w:line="227" w:lineRule="auto"/>
              <w:ind w:left="21"/>
              <w:rPr>
                <w:rFonts w:ascii="Times New Roman" w:hAnsi="Times New Roman" w:eastAsia="Times New Roman" w:cs="Times New Roman"/>
              </w:rPr>
            </w:pPr>
            <w:r>
              <w:t>温州光唇鱼</w:t>
            </w:r>
            <w:r>
              <w:rPr>
                <w:spacing w:val="-62"/>
              </w:rPr>
              <w:t xml:space="preserve"> </w:t>
            </w:r>
            <w:r>
              <w:rPr>
                <w:rFonts w:ascii="Times New Roman" w:hAnsi="Times New Roman" w:eastAsia="Times New Roman" w:cs="Times New Roman"/>
                <w:i/>
                <w:iCs/>
              </w:rPr>
              <w:t>Acrossocheilus wenchowensis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0" w:line="207" w:lineRule="auto"/>
              <w:ind w:left="21"/>
              <w:rPr>
                <w:rFonts w:ascii="Times New Roman" w:hAnsi="Times New Roman" w:eastAsia="Times New Roman" w:cs="Times New Roman"/>
              </w:rPr>
            </w:pPr>
            <w:r>
              <w:rPr>
                <w:spacing w:val="18"/>
              </w:rPr>
              <w:t>光唇鱼</w:t>
            </w:r>
            <w:r>
              <w:rPr>
                <w:spacing w:val="-63"/>
              </w:rPr>
              <w:t xml:space="preserve"> </w:t>
            </w:r>
            <w:r>
              <w:rPr>
                <w:rFonts w:ascii="Times New Roman" w:hAnsi="Times New Roman" w:eastAsia="Times New Roman" w:cs="Times New Roman"/>
                <w:i/>
                <w:iCs/>
              </w:rPr>
              <w:t>Acrossocheilusfasciatus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73" w:line="222" w:lineRule="auto"/>
              <w:ind w:left="19"/>
            </w:pPr>
            <w:r>
              <w:rPr>
                <w:spacing w:val="-2"/>
              </w:rPr>
              <w:t>鲤属</w:t>
            </w:r>
          </w:p>
        </w:tc>
        <w:tc>
          <w:tcPr>
            <w:tcW w:w="4942" w:type="dxa"/>
            <w:vAlign w:val="top"/>
          </w:tcPr>
          <w:p>
            <w:pPr>
              <w:pStyle w:val="6"/>
              <w:spacing w:before="73" w:line="207" w:lineRule="auto"/>
              <w:ind w:left="20"/>
              <w:rPr>
                <w:rFonts w:ascii="Times New Roman" w:hAnsi="Times New Roman" w:eastAsia="Times New Roman" w:cs="Times New Roman"/>
              </w:rPr>
            </w:pPr>
            <w:r>
              <w:rPr>
                <w:spacing w:val="-2"/>
              </w:rPr>
              <w:t>鲤</w:t>
            </w:r>
            <w:r>
              <w:rPr>
                <w:spacing w:val="-27"/>
              </w:rPr>
              <w:t xml:space="preserve"> </w:t>
            </w:r>
            <w:r>
              <w:rPr>
                <w:rFonts w:ascii="Times New Roman" w:hAnsi="Times New Roman" w:eastAsia="Times New Roman" w:cs="Times New Roman"/>
                <w:i/>
                <w:iCs/>
                <w:spacing w:val="-2"/>
              </w:rPr>
              <w:t>Cyprinus carpio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71" w:line="221" w:lineRule="auto"/>
              <w:ind w:left="18"/>
            </w:pPr>
            <w:r>
              <w:rPr>
                <w:spacing w:val="-2"/>
              </w:rPr>
              <w:t>鲫属</w:t>
            </w:r>
          </w:p>
        </w:tc>
        <w:tc>
          <w:tcPr>
            <w:tcW w:w="4942" w:type="dxa"/>
            <w:vAlign w:val="top"/>
          </w:tcPr>
          <w:p>
            <w:pPr>
              <w:pStyle w:val="6"/>
              <w:spacing w:before="70" w:line="229" w:lineRule="auto"/>
              <w:ind w:left="19"/>
              <w:rPr>
                <w:rFonts w:ascii="Times New Roman" w:hAnsi="Times New Roman" w:eastAsia="Times New Roman" w:cs="Times New Roman"/>
              </w:rPr>
            </w:pPr>
            <w:r>
              <w:rPr>
                <w:spacing w:val="35"/>
              </w:rPr>
              <w:t>鲫</w:t>
            </w:r>
            <w:r>
              <w:rPr>
                <w:spacing w:val="-39"/>
              </w:rPr>
              <w:t xml:space="preserve"> </w:t>
            </w:r>
            <w:r>
              <w:rPr>
                <w:rFonts w:ascii="Times New Roman" w:hAnsi="Times New Roman" w:eastAsia="Times New Roman" w:cs="Times New Roman"/>
                <w:i/>
                <w:iCs/>
              </w:rPr>
              <w:t>Carassiusauratus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restart"/>
            <w:tcBorders>
              <w:bottom w:val="nil"/>
            </w:tcBorders>
            <w:vAlign w:val="top"/>
          </w:tcPr>
          <w:p>
            <w:pPr>
              <w:spacing w:line="268" w:lineRule="auto"/>
              <w:rPr>
                <w:rFonts w:ascii="Arial"/>
                <w:sz w:val="21"/>
              </w:rPr>
            </w:pPr>
          </w:p>
          <w:p>
            <w:pPr>
              <w:spacing w:line="268" w:lineRule="auto"/>
              <w:rPr>
                <w:rFonts w:ascii="Arial"/>
                <w:sz w:val="21"/>
              </w:rPr>
            </w:pPr>
          </w:p>
          <w:p>
            <w:pPr>
              <w:pStyle w:val="6"/>
              <w:spacing w:before="69" w:line="222" w:lineRule="auto"/>
              <w:ind w:left="19"/>
            </w:pPr>
            <w:r>
              <w:rPr>
                <w:spacing w:val="-2"/>
              </w:rPr>
              <w:t>鲌属</w:t>
            </w:r>
          </w:p>
        </w:tc>
        <w:tc>
          <w:tcPr>
            <w:tcW w:w="4942" w:type="dxa"/>
            <w:vAlign w:val="top"/>
          </w:tcPr>
          <w:p>
            <w:pPr>
              <w:pStyle w:val="6"/>
              <w:spacing w:before="70" w:line="228" w:lineRule="auto"/>
              <w:ind w:left="19"/>
              <w:rPr>
                <w:rFonts w:ascii="Times New Roman" w:hAnsi="Times New Roman" w:eastAsia="Times New Roman" w:cs="Times New Roman"/>
              </w:rPr>
            </w:pPr>
            <w:r>
              <w:rPr>
                <w:spacing w:val="7"/>
              </w:rPr>
              <w:t>翘嘴鲌</w:t>
            </w:r>
            <w:r>
              <w:rPr>
                <w:spacing w:val="-44"/>
              </w:rPr>
              <w:t xml:space="preserve"> </w:t>
            </w:r>
            <w:r>
              <w:rPr>
                <w:rFonts w:ascii="Times New Roman" w:hAnsi="Times New Roman" w:eastAsia="Times New Roman" w:cs="Times New Roman"/>
              </w:rPr>
              <w:t>Culteralburnus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4942" w:type="dxa"/>
            <w:vAlign w:val="top"/>
          </w:tcPr>
          <w:p>
            <w:pPr>
              <w:pStyle w:val="6"/>
              <w:spacing w:before="72" w:line="207" w:lineRule="auto"/>
              <w:ind w:left="25"/>
              <w:rPr>
                <w:rFonts w:ascii="Times New Roman" w:hAnsi="Times New Roman" w:eastAsia="Times New Roman" w:cs="Times New Roman"/>
              </w:rPr>
            </w:pPr>
            <w:r>
              <w:rPr>
                <w:spacing w:val="-2"/>
              </w:rPr>
              <w:t>蒙古鲌</w:t>
            </w:r>
            <w:r>
              <w:rPr>
                <w:spacing w:val="-25"/>
              </w:rPr>
              <w:t xml:space="preserve"> </w:t>
            </w:r>
            <w:r>
              <w:rPr>
                <w:rFonts w:ascii="Times New Roman" w:hAnsi="Times New Roman" w:eastAsia="Times New Roman" w:cs="Times New Roman"/>
                <w:i/>
                <w:iCs/>
                <w:spacing w:val="-2"/>
              </w:rPr>
              <w:t>Culter mongolicus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4942" w:type="dxa"/>
            <w:vAlign w:val="top"/>
          </w:tcPr>
          <w:p>
            <w:pPr>
              <w:pStyle w:val="6"/>
              <w:spacing w:before="70" w:line="207" w:lineRule="auto"/>
              <w:ind w:left="19"/>
              <w:rPr>
                <w:rFonts w:ascii="Times New Roman" w:hAnsi="Times New Roman" w:eastAsia="Times New Roman" w:cs="Times New Roman"/>
              </w:rPr>
            </w:pPr>
            <w:r>
              <w:rPr>
                <w:spacing w:val="11"/>
              </w:rPr>
              <w:t>达氏鲌</w:t>
            </w:r>
            <w:r>
              <w:rPr>
                <w:spacing w:val="-38"/>
              </w:rPr>
              <w:t xml:space="preserve"> </w:t>
            </w:r>
            <w:r>
              <w:rPr>
                <w:rFonts w:ascii="Times New Roman" w:hAnsi="Times New Roman" w:eastAsia="Times New Roman" w:cs="Times New Roman"/>
                <w:i/>
                <w:iCs/>
              </w:rPr>
              <w:t>Culterdabryi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3" w:line="207" w:lineRule="auto"/>
              <w:ind w:left="25"/>
              <w:rPr>
                <w:rFonts w:ascii="Times New Roman" w:hAnsi="Times New Roman" w:eastAsia="Times New Roman" w:cs="Times New Roman"/>
              </w:rPr>
            </w:pPr>
            <w:r>
              <w:rPr>
                <w:spacing w:val="7"/>
              </w:rPr>
              <w:t>红鳍原鲌</w:t>
            </w:r>
            <w:r>
              <w:rPr>
                <w:spacing w:val="-39"/>
              </w:rPr>
              <w:t xml:space="preserve"> </w:t>
            </w:r>
            <w:r>
              <w:rPr>
                <w:rFonts w:ascii="Times New Roman" w:hAnsi="Times New Roman" w:eastAsia="Times New Roman" w:cs="Times New Roman"/>
                <w:i/>
                <w:iCs/>
              </w:rPr>
              <w:t>Cultererythropterus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70" w:line="222" w:lineRule="auto"/>
              <w:ind w:left="23"/>
            </w:pPr>
            <w:r>
              <w:rPr>
                <w:spacing w:val="-3"/>
              </w:rPr>
              <w:t>红鲌属</w:t>
            </w:r>
          </w:p>
        </w:tc>
        <w:tc>
          <w:tcPr>
            <w:tcW w:w="4942" w:type="dxa"/>
            <w:vAlign w:val="top"/>
          </w:tcPr>
          <w:p>
            <w:pPr>
              <w:pStyle w:val="6"/>
              <w:spacing w:before="71" w:line="207" w:lineRule="auto"/>
              <w:ind w:left="19"/>
              <w:rPr>
                <w:rFonts w:ascii="Times New Roman" w:hAnsi="Times New Roman" w:eastAsia="Times New Roman" w:cs="Times New Roman"/>
              </w:rPr>
            </w:pPr>
            <w:r>
              <w:rPr>
                <w:spacing w:val="12"/>
              </w:rPr>
              <w:t>青梢红鲌</w:t>
            </w:r>
            <w:r>
              <w:rPr>
                <w:spacing w:val="-57"/>
              </w:rPr>
              <w:t xml:space="preserve"> </w:t>
            </w:r>
            <w:r>
              <w:rPr>
                <w:rFonts w:ascii="Times New Roman" w:hAnsi="Times New Roman" w:eastAsia="Times New Roman" w:cs="Times New Roman"/>
                <w:i/>
                <w:iCs/>
              </w:rPr>
              <w:t>Erythroculterdabryi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74" w:line="221" w:lineRule="auto"/>
              <w:ind w:left="17"/>
            </w:pPr>
            <w:r>
              <w:rPr>
                <w:spacing w:val="-1"/>
              </w:rPr>
              <w:t>似鮈属</w:t>
            </w:r>
          </w:p>
        </w:tc>
        <w:tc>
          <w:tcPr>
            <w:tcW w:w="4942" w:type="dxa"/>
            <w:vAlign w:val="top"/>
          </w:tcPr>
          <w:p>
            <w:pPr>
              <w:pStyle w:val="6"/>
              <w:spacing w:before="74" w:line="207" w:lineRule="auto"/>
              <w:ind w:left="19"/>
              <w:rPr>
                <w:rFonts w:ascii="Times New Roman" w:hAnsi="Times New Roman" w:eastAsia="Times New Roman" w:cs="Times New Roman"/>
              </w:rPr>
            </w:pPr>
            <w:r>
              <w:rPr>
                <w:spacing w:val="28"/>
              </w:rPr>
              <w:t>似鮈</w:t>
            </w:r>
            <w:r>
              <w:rPr>
                <w:spacing w:val="-59"/>
              </w:rPr>
              <w:t xml:space="preserve"> </w:t>
            </w:r>
            <w:r>
              <w:rPr>
                <w:rFonts w:ascii="Times New Roman" w:hAnsi="Times New Roman" w:eastAsia="Times New Roman" w:cs="Times New Roman"/>
                <w:i/>
                <w:iCs/>
              </w:rPr>
              <w:t>Pseudogobiovaillanti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restart"/>
            <w:tcBorders>
              <w:bottom w:val="nil"/>
            </w:tcBorders>
            <w:vAlign w:val="top"/>
          </w:tcPr>
          <w:p>
            <w:pPr>
              <w:pStyle w:val="6"/>
              <w:spacing w:before="252" w:line="221" w:lineRule="auto"/>
              <w:ind w:left="17"/>
            </w:pPr>
            <w:r>
              <w:rPr>
                <w:spacing w:val="-2"/>
              </w:rPr>
              <w:t>鳈属</w:t>
            </w:r>
          </w:p>
        </w:tc>
        <w:tc>
          <w:tcPr>
            <w:tcW w:w="4942" w:type="dxa"/>
            <w:vAlign w:val="top"/>
          </w:tcPr>
          <w:p>
            <w:pPr>
              <w:pStyle w:val="6"/>
              <w:spacing w:before="72" w:line="207" w:lineRule="auto"/>
              <w:ind w:left="20"/>
              <w:rPr>
                <w:rFonts w:ascii="Times New Roman" w:hAnsi="Times New Roman" w:eastAsia="Times New Roman" w:cs="Times New Roman"/>
              </w:rPr>
            </w:pPr>
            <w:r>
              <w:rPr>
                <w:spacing w:val="-1"/>
              </w:rPr>
              <w:t>华鳈</w:t>
            </w:r>
            <w:r>
              <w:rPr>
                <w:spacing w:val="-33"/>
              </w:rPr>
              <w:t xml:space="preserve"> </w:t>
            </w:r>
            <w:r>
              <w:rPr>
                <w:rFonts w:ascii="Times New Roman" w:hAnsi="Times New Roman" w:eastAsia="Times New Roman" w:cs="Times New Roman"/>
                <w:i/>
                <w:iCs/>
                <w:spacing w:val="-1"/>
              </w:rPr>
              <w:t>Sarcocheilichthys sinensis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2" w:line="207" w:lineRule="auto"/>
              <w:ind w:left="25"/>
              <w:rPr>
                <w:rFonts w:ascii="Times New Roman" w:hAnsi="Times New Roman" w:eastAsia="Times New Roman" w:cs="Times New Roman"/>
              </w:rPr>
            </w:pPr>
            <w:r>
              <w:rPr>
                <w:spacing w:val="19"/>
              </w:rPr>
              <w:t>小鳈</w:t>
            </w:r>
            <w:r>
              <w:rPr>
                <w:spacing w:val="-51"/>
              </w:rPr>
              <w:t xml:space="preserve"> </w:t>
            </w:r>
            <w:r>
              <w:rPr>
                <w:rFonts w:ascii="Times New Roman" w:hAnsi="Times New Roman" w:eastAsia="Times New Roman" w:cs="Times New Roman"/>
                <w:i/>
                <w:iCs/>
              </w:rPr>
              <w:t>Sarcocheilichthysparvus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restart"/>
            <w:tcBorders>
              <w:bottom w:val="nil"/>
            </w:tcBorders>
            <w:vAlign w:val="top"/>
          </w:tcPr>
          <w:p>
            <w:pPr>
              <w:spacing w:line="362" w:lineRule="auto"/>
              <w:rPr>
                <w:rFonts w:ascii="Arial"/>
                <w:sz w:val="21"/>
              </w:rPr>
            </w:pPr>
          </w:p>
          <w:p>
            <w:pPr>
              <w:pStyle w:val="6"/>
              <w:spacing w:before="68" w:line="220" w:lineRule="auto"/>
              <w:ind w:left="17"/>
            </w:pPr>
            <w:r>
              <w:rPr>
                <w:spacing w:val="-2"/>
              </w:rPr>
              <w:t>鳅科</w:t>
            </w:r>
          </w:p>
        </w:tc>
        <w:tc>
          <w:tcPr>
            <w:tcW w:w="1302" w:type="dxa"/>
            <w:vAlign w:val="top"/>
          </w:tcPr>
          <w:p>
            <w:pPr>
              <w:pStyle w:val="6"/>
              <w:spacing w:before="74" w:line="221" w:lineRule="auto"/>
              <w:ind w:left="19"/>
            </w:pPr>
            <w:r>
              <w:rPr>
                <w:spacing w:val="-2"/>
              </w:rPr>
              <w:t>花鳅属</w:t>
            </w:r>
          </w:p>
        </w:tc>
        <w:tc>
          <w:tcPr>
            <w:tcW w:w="4942" w:type="dxa"/>
            <w:vAlign w:val="top"/>
          </w:tcPr>
          <w:p>
            <w:pPr>
              <w:pStyle w:val="6"/>
              <w:spacing w:before="75" w:line="228" w:lineRule="auto"/>
              <w:ind w:left="39"/>
              <w:rPr>
                <w:rFonts w:ascii="Times New Roman" w:hAnsi="Times New Roman" w:eastAsia="Times New Roman" w:cs="Times New Roman"/>
              </w:rPr>
            </w:pPr>
            <w:r>
              <w:rPr>
                <w:spacing w:val="-2"/>
              </w:rPr>
              <w:t>中华花鳅</w:t>
            </w:r>
            <w:r>
              <w:rPr>
                <w:spacing w:val="-40"/>
              </w:rPr>
              <w:t xml:space="preserve"> </w:t>
            </w:r>
            <w:r>
              <w:rPr>
                <w:rFonts w:ascii="Times New Roman" w:hAnsi="Times New Roman" w:eastAsia="Times New Roman" w:cs="Times New Roman"/>
                <w:i/>
                <w:iCs/>
                <w:spacing w:val="-2"/>
              </w:rPr>
              <w:t>Cobitis sinensis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Align w:val="top"/>
          </w:tcPr>
          <w:p>
            <w:pPr>
              <w:pStyle w:val="6"/>
              <w:spacing w:before="72" w:line="221" w:lineRule="auto"/>
              <w:ind w:left="20"/>
            </w:pPr>
            <w:r>
              <w:rPr>
                <w:spacing w:val="-2"/>
              </w:rPr>
              <w:t>泥鳅属</w:t>
            </w:r>
          </w:p>
        </w:tc>
        <w:tc>
          <w:tcPr>
            <w:tcW w:w="4942" w:type="dxa"/>
            <w:vAlign w:val="top"/>
          </w:tcPr>
          <w:p>
            <w:pPr>
              <w:pStyle w:val="6"/>
              <w:spacing w:before="72" w:line="207" w:lineRule="auto"/>
              <w:ind w:left="21"/>
              <w:rPr>
                <w:rFonts w:ascii="Times New Roman" w:hAnsi="Times New Roman" w:eastAsia="Times New Roman" w:cs="Times New Roman"/>
              </w:rPr>
            </w:pPr>
            <w:r>
              <w:rPr>
                <w:spacing w:val="26"/>
              </w:rPr>
              <w:t>泥鳅</w:t>
            </w:r>
            <w:r>
              <w:rPr>
                <w:spacing w:val="-58"/>
              </w:rPr>
              <w:t xml:space="preserve"> </w:t>
            </w:r>
            <w:r>
              <w:rPr>
                <w:rFonts w:ascii="Times New Roman" w:hAnsi="Times New Roman" w:eastAsia="Times New Roman" w:cs="Times New Roman"/>
                <w:i/>
                <w:iCs/>
              </w:rPr>
              <w:t>Misgurnusanguillicaudatus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Align w:val="top"/>
          </w:tcPr>
          <w:p>
            <w:pPr>
              <w:pStyle w:val="6"/>
              <w:spacing w:before="75" w:line="221" w:lineRule="auto"/>
              <w:ind w:left="22"/>
            </w:pPr>
            <w:r>
              <w:rPr>
                <w:spacing w:val="-3"/>
              </w:rPr>
              <w:t>副泥鳅属</w:t>
            </w:r>
          </w:p>
        </w:tc>
        <w:tc>
          <w:tcPr>
            <w:tcW w:w="4942" w:type="dxa"/>
            <w:vAlign w:val="top"/>
          </w:tcPr>
          <w:p>
            <w:pPr>
              <w:pStyle w:val="6"/>
              <w:spacing w:before="75" w:line="207" w:lineRule="auto"/>
              <w:ind w:left="22"/>
              <w:rPr>
                <w:rFonts w:ascii="Times New Roman" w:hAnsi="Times New Roman" w:eastAsia="Times New Roman" w:cs="Times New Roman"/>
              </w:rPr>
            </w:pPr>
            <w:r>
              <w:rPr>
                <w:spacing w:val="9"/>
              </w:rPr>
              <w:t>大鳞副泥鳅</w:t>
            </w:r>
            <w:r>
              <w:rPr>
                <w:spacing w:val="-54"/>
              </w:rPr>
              <w:t xml:space="preserve"> </w:t>
            </w:r>
            <w:r>
              <w:rPr>
                <w:rFonts w:ascii="Times New Roman" w:hAnsi="Times New Roman" w:eastAsia="Times New Roman" w:cs="Times New Roman"/>
                <w:i/>
                <w:iCs/>
              </w:rPr>
              <w:t>Paramisgurnusdabryanus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tcBorders>
            <w:vAlign w:val="top"/>
          </w:tcPr>
          <w:p>
            <w:pPr>
              <w:rPr>
                <w:rFonts w:ascii="Arial"/>
                <w:sz w:val="21"/>
              </w:rPr>
            </w:pPr>
          </w:p>
        </w:tc>
        <w:tc>
          <w:tcPr>
            <w:tcW w:w="1080" w:type="dxa"/>
            <w:vAlign w:val="top"/>
          </w:tcPr>
          <w:p>
            <w:pPr>
              <w:pStyle w:val="6"/>
              <w:spacing w:before="73" w:line="220" w:lineRule="auto"/>
              <w:ind w:left="17"/>
            </w:pPr>
            <w:r>
              <w:rPr>
                <w:spacing w:val="-1"/>
              </w:rPr>
              <w:t>平鳍鳅科</w:t>
            </w:r>
          </w:p>
        </w:tc>
        <w:tc>
          <w:tcPr>
            <w:tcW w:w="1302" w:type="dxa"/>
            <w:vAlign w:val="top"/>
          </w:tcPr>
          <w:p>
            <w:pPr>
              <w:pStyle w:val="6"/>
              <w:spacing w:before="72" w:line="221" w:lineRule="auto"/>
              <w:ind w:left="23"/>
            </w:pPr>
            <w:r>
              <w:rPr>
                <w:spacing w:val="-2"/>
              </w:rPr>
              <w:t>原缨口鳅属</w:t>
            </w:r>
          </w:p>
        </w:tc>
        <w:tc>
          <w:tcPr>
            <w:tcW w:w="4942" w:type="dxa"/>
            <w:vAlign w:val="top"/>
          </w:tcPr>
          <w:p>
            <w:pPr>
              <w:pStyle w:val="6"/>
              <w:spacing w:before="73" w:line="228" w:lineRule="auto"/>
              <w:ind w:left="25"/>
              <w:rPr>
                <w:rFonts w:ascii="Times New Roman" w:hAnsi="Times New Roman" w:eastAsia="Times New Roman" w:cs="Times New Roman"/>
              </w:rPr>
            </w:pPr>
            <w:r>
              <w:rPr>
                <w:spacing w:val="-2"/>
              </w:rPr>
              <w:t>原缨口鳅</w:t>
            </w:r>
            <w:r>
              <w:rPr>
                <w:spacing w:val="-53"/>
              </w:rPr>
              <w:t xml:space="preserve"> </w:t>
            </w:r>
            <w:r>
              <w:rPr>
                <w:rFonts w:ascii="Times New Roman" w:hAnsi="Times New Roman" w:eastAsia="Times New Roman" w:cs="Times New Roman"/>
                <w:spacing w:val="-2"/>
              </w:rPr>
              <w:t>Vanmanenia steno</w:t>
            </w:r>
            <w:r>
              <w:rPr>
                <w:rFonts w:ascii="Times New Roman" w:hAnsi="Times New Roman" w:eastAsia="Times New Roman" w:cs="Times New Roman"/>
                <w:spacing w:val="-3"/>
              </w:rPr>
              <w:t>soma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113"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8" w:line="223" w:lineRule="auto"/>
              <w:ind w:left="23"/>
            </w:pPr>
            <w:r>
              <w:rPr>
                <w:spacing w:val="-2"/>
              </w:rPr>
              <w:t>鲇形目</w:t>
            </w:r>
          </w:p>
        </w:tc>
        <w:tc>
          <w:tcPr>
            <w:tcW w:w="1080" w:type="dxa"/>
            <w:vAlign w:val="top"/>
          </w:tcPr>
          <w:p>
            <w:pPr>
              <w:pStyle w:val="6"/>
              <w:spacing w:before="73" w:line="220" w:lineRule="auto"/>
              <w:ind w:left="19"/>
            </w:pPr>
            <w:r>
              <w:rPr>
                <w:spacing w:val="-2"/>
              </w:rPr>
              <w:t>鲇科</w:t>
            </w:r>
          </w:p>
        </w:tc>
        <w:tc>
          <w:tcPr>
            <w:tcW w:w="1302" w:type="dxa"/>
            <w:vAlign w:val="top"/>
          </w:tcPr>
          <w:p>
            <w:pPr>
              <w:pStyle w:val="6"/>
              <w:spacing w:before="73" w:line="222" w:lineRule="auto"/>
              <w:ind w:left="19"/>
            </w:pPr>
            <w:r>
              <w:rPr>
                <w:spacing w:val="-2"/>
              </w:rPr>
              <w:t>鲇属</w:t>
            </w:r>
          </w:p>
        </w:tc>
        <w:tc>
          <w:tcPr>
            <w:tcW w:w="4942" w:type="dxa"/>
            <w:vAlign w:val="top"/>
          </w:tcPr>
          <w:p>
            <w:pPr>
              <w:pStyle w:val="6"/>
              <w:spacing w:before="73" w:line="230" w:lineRule="auto"/>
              <w:ind w:left="20"/>
              <w:rPr>
                <w:rFonts w:ascii="Times New Roman" w:hAnsi="Times New Roman" w:eastAsia="Times New Roman" w:cs="Times New Roman"/>
              </w:rPr>
            </w:pPr>
            <w:r>
              <w:rPr>
                <w:spacing w:val="-1"/>
              </w:rPr>
              <w:t>鲇</w:t>
            </w:r>
            <w:r>
              <w:rPr>
                <w:spacing w:val="-42"/>
              </w:rPr>
              <w:t xml:space="preserve"> </w:t>
            </w:r>
            <w:r>
              <w:rPr>
                <w:rFonts w:ascii="Times New Roman" w:hAnsi="Times New Roman" w:eastAsia="Times New Roman" w:cs="Times New Roman"/>
                <w:i/>
                <w:iCs/>
                <w:spacing w:val="-1"/>
              </w:rPr>
              <w:t>Silurus asotus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restart"/>
            <w:tcBorders>
              <w:bottom w:val="nil"/>
            </w:tcBorders>
            <w:vAlign w:val="top"/>
          </w:tcPr>
          <w:p>
            <w:pPr>
              <w:spacing w:line="300"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8" w:line="220" w:lineRule="auto"/>
              <w:ind w:left="17"/>
            </w:pPr>
            <w:r>
              <w:rPr>
                <w:spacing w:val="-2"/>
              </w:rPr>
              <w:t>鲿科</w:t>
            </w:r>
          </w:p>
        </w:tc>
        <w:tc>
          <w:tcPr>
            <w:tcW w:w="1302" w:type="dxa"/>
            <w:vMerge w:val="restart"/>
            <w:tcBorders>
              <w:bottom w:val="nil"/>
            </w:tcBorders>
            <w:vAlign w:val="top"/>
          </w:tcPr>
          <w:p>
            <w:pPr>
              <w:pStyle w:val="6"/>
              <w:spacing w:before="253" w:line="220" w:lineRule="auto"/>
              <w:ind w:left="18"/>
            </w:pPr>
            <w:r>
              <w:rPr>
                <w:spacing w:val="-2"/>
              </w:rPr>
              <w:t>拟鲿属</w:t>
            </w:r>
          </w:p>
        </w:tc>
        <w:tc>
          <w:tcPr>
            <w:tcW w:w="4942" w:type="dxa"/>
            <w:vAlign w:val="top"/>
          </w:tcPr>
          <w:p>
            <w:pPr>
              <w:pStyle w:val="6"/>
              <w:spacing w:before="76" w:line="207" w:lineRule="auto"/>
              <w:ind w:left="22"/>
              <w:rPr>
                <w:rFonts w:ascii="Times New Roman" w:hAnsi="Times New Roman" w:eastAsia="Times New Roman" w:cs="Times New Roman"/>
              </w:rPr>
            </w:pPr>
            <w:r>
              <w:rPr>
                <w:spacing w:val="8"/>
              </w:rPr>
              <w:t>盎堂拟鲿</w:t>
            </w:r>
            <w:r>
              <w:rPr>
                <w:spacing w:val="-36"/>
              </w:rPr>
              <w:t xml:space="preserve"> </w:t>
            </w:r>
            <w:r>
              <w:rPr>
                <w:rFonts w:ascii="Times New Roman" w:hAnsi="Times New Roman" w:eastAsia="Times New Roman" w:cs="Times New Roman"/>
                <w:i/>
                <w:iCs/>
              </w:rPr>
              <w:t>Tachysurusondon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4" w:line="207" w:lineRule="auto"/>
              <w:ind w:left="50"/>
              <w:rPr>
                <w:rFonts w:ascii="Times New Roman" w:hAnsi="Times New Roman" w:eastAsia="Times New Roman" w:cs="Times New Roman"/>
              </w:rPr>
            </w:pPr>
            <w:r>
              <w:t>白边拟鲿</w:t>
            </w:r>
            <w:r>
              <w:rPr>
                <w:spacing w:val="-36"/>
              </w:rPr>
              <w:t xml:space="preserve"> </w:t>
            </w:r>
            <w:r>
              <w:rPr>
                <w:rFonts w:ascii="Times New Roman" w:hAnsi="Times New Roman" w:eastAsia="Times New Roman" w:cs="Times New Roman"/>
                <w:i/>
                <w:iCs/>
              </w:rPr>
              <w:t>Tachysurusalbomarginatus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restart"/>
            <w:tcBorders>
              <w:bottom w:val="nil"/>
            </w:tcBorders>
            <w:vAlign w:val="top"/>
          </w:tcPr>
          <w:p>
            <w:pPr>
              <w:pStyle w:val="6"/>
              <w:spacing w:before="255" w:line="221" w:lineRule="auto"/>
              <w:ind w:left="17"/>
            </w:pPr>
            <w:r>
              <w:rPr>
                <w:spacing w:val="-1"/>
              </w:rPr>
              <w:t>黄颡鱼属</w:t>
            </w:r>
          </w:p>
        </w:tc>
        <w:tc>
          <w:tcPr>
            <w:tcW w:w="4942" w:type="dxa"/>
            <w:vAlign w:val="top"/>
          </w:tcPr>
          <w:p>
            <w:pPr>
              <w:pStyle w:val="6"/>
              <w:spacing w:before="76" w:line="207" w:lineRule="auto"/>
              <w:ind w:left="19"/>
              <w:rPr>
                <w:rFonts w:ascii="Times New Roman" w:hAnsi="Times New Roman" w:eastAsia="Times New Roman" w:cs="Times New Roman"/>
              </w:rPr>
            </w:pPr>
            <w:r>
              <w:rPr>
                <w:spacing w:val="12"/>
              </w:rPr>
              <w:t>黄颡鱼</w:t>
            </w:r>
            <w:r>
              <w:rPr>
                <w:spacing w:val="-56"/>
              </w:rPr>
              <w:t xml:space="preserve"> </w:t>
            </w:r>
            <w:r>
              <w:rPr>
                <w:rFonts w:ascii="Times New Roman" w:hAnsi="Times New Roman" w:eastAsia="Times New Roman" w:cs="Times New Roman"/>
                <w:i/>
                <w:iCs/>
              </w:rPr>
              <w:t>Pelteobagrus</w:t>
            </w:r>
            <w:r>
              <w:rPr>
                <w:rFonts w:ascii="Times New Roman" w:hAnsi="Times New Roman" w:eastAsia="Times New Roman" w:cs="Times New Roman"/>
                <w:i/>
                <w:iCs/>
                <w:spacing w:val="-38"/>
              </w:rPr>
              <w:t xml:space="preserve"> </w:t>
            </w:r>
            <w:r>
              <w:rPr>
                <w:rFonts w:ascii="Times New Roman" w:hAnsi="Times New Roman" w:eastAsia="Times New Roman" w:cs="Times New Roman"/>
                <w:i/>
                <w:iCs/>
              </w:rPr>
              <w:t>fulvidraco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4" w:line="207" w:lineRule="auto"/>
              <w:ind w:left="20"/>
              <w:rPr>
                <w:rFonts w:ascii="Times New Roman" w:hAnsi="Times New Roman" w:eastAsia="Times New Roman" w:cs="Times New Roman"/>
              </w:rPr>
            </w:pPr>
            <w:r>
              <w:rPr>
                <w:spacing w:val="10"/>
              </w:rPr>
              <w:t>长须黄颡鱼</w:t>
            </w:r>
            <w:r>
              <w:rPr>
                <w:spacing w:val="-54"/>
              </w:rPr>
              <w:t xml:space="preserve"> </w:t>
            </w:r>
            <w:r>
              <w:rPr>
                <w:rFonts w:ascii="Times New Roman" w:hAnsi="Times New Roman" w:eastAsia="Times New Roman" w:cs="Times New Roman"/>
                <w:i/>
                <w:iCs/>
              </w:rPr>
              <w:t>Pelteobagruseupogon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restart"/>
            <w:tcBorders>
              <w:bottom w:val="nil"/>
            </w:tcBorders>
            <w:vAlign w:val="top"/>
          </w:tcPr>
          <w:p>
            <w:pPr>
              <w:pStyle w:val="6"/>
              <w:spacing w:before="257" w:line="221" w:lineRule="auto"/>
              <w:ind w:left="17"/>
            </w:pPr>
            <w:r>
              <w:rPr>
                <w:spacing w:val="-2"/>
              </w:rPr>
              <w:t>鮠属</w:t>
            </w:r>
          </w:p>
        </w:tc>
        <w:tc>
          <w:tcPr>
            <w:tcW w:w="4942" w:type="dxa"/>
            <w:vAlign w:val="top"/>
          </w:tcPr>
          <w:p>
            <w:pPr>
              <w:pStyle w:val="6"/>
              <w:spacing w:before="77" w:line="207" w:lineRule="auto"/>
              <w:ind w:left="20"/>
              <w:rPr>
                <w:rFonts w:ascii="Times New Roman" w:hAnsi="Times New Roman" w:eastAsia="Times New Roman" w:cs="Times New Roman"/>
              </w:rPr>
            </w:pPr>
            <w:r>
              <w:t>长吻鮠</w:t>
            </w:r>
            <w:r>
              <w:rPr>
                <w:spacing w:val="-58"/>
              </w:rPr>
              <w:t xml:space="preserve"> </w:t>
            </w:r>
            <w:r>
              <w:rPr>
                <w:rFonts w:ascii="Times New Roman" w:hAnsi="Times New Roman" w:eastAsia="Times New Roman" w:cs="Times New Roman"/>
                <w:i/>
                <w:iCs/>
              </w:rPr>
              <w:t>Leiocassis longirost</w:t>
            </w:r>
            <w:r>
              <w:rPr>
                <w:rFonts w:ascii="Times New Roman" w:hAnsi="Times New Roman" w:eastAsia="Times New Roman" w:cs="Times New Roman"/>
                <w:i/>
                <w:iCs/>
                <w:spacing w:val="-1"/>
              </w:rPr>
              <w:t>ris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4" w:line="229" w:lineRule="auto"/>
              <w:ind w:left="19"/>
              <w:rPr>
                <w:rFonts w:ascii="Times New Roman" w:hAnsi="Times New Roman" w:eastAsia="Times New Roman" w:cs="Times New Roman"/>
              </w:rPr>
            </w:pPr>
            <w:r>
              <w:rPr>
                <w:spacing w:val="18"/>
              </w:rPr>
              <w:t>切尾鮠</w:t>
            </w:r>
            <w:r>
              <w:rPr>
                <w:spacing w:val="-59"/>
              </w:rPr>
              <w:t xml:space="preserve"> </w:t>
            </w:r>
            <w:r>
              <w:rPr>
                <w:rFonts w:ascii="Times New Roman" w:hAnsi="Times New Roman" w:eastAsia="Times New Roman" w:cs="Times New Roman"/>
                <w:i/>
                <w:iCs/>
              </w:rPr>
              <w:t>Leiocassistruncatus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113"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8" w:line="221" w:lineRule="auto"/>
              <w:ind w:left="22"/>
            </w:pPr>
            <w:r>
              <w:rPr>
                <w:spacing w:val="-2"/>
              </w:rPr>
              <w:t>鲈形目</w:t>
            </w:r>
          </w:p>
        </w:tc>
        <w:tc>
          <w:tcPr>
            <w:tcW w:w="1080" w:type="dxa"/>
            <w:vAlign w:val="top"/>
          </w:tcPr>
          <w:p>
            <w:pPr>
              <w:pStyle w:val="6"/>
              <w:spacing w:before="74" w:line="220" w:lineRule="auto"/>
              <w:ind w:left="16"/>
            </w:pPr>
            <w:r>
              <w:rPr>
                <w:spacing w:val="-2"/>
              </w:rPr>
              <w:t>鮨科</w:t>
            </w:r>
          </w:p>
        </w:tc>
        <w:tc>
          <w:tcPr>
            <w:tcW w:w="1302" w:type="dxa"/>
            <w:vAlign w:val="top"/>
          </w:tcPr>
          <w:p>
            <w:pPr>
              <w:pStyle w:val="6"/>
              <w:spacing w:before="74" w:line="221" w:lineRule="auto"/>
              <w:ind w:left="19"/>
            </w:pPr>
            <w:r>
              <w:rPr>
                <w:spacing w:val="-2"/>
              </w:rPr>
              <w:t>鳜属</w:t>
            </w:r>
          </w:p>
        </w:tc>
        <w:tc>
          <w:tcPr>
            <w:tcW w:w="4942" w:type="dxa"/>
            <w:vAlign w:val="top"/>
          </w:tcPr>
          <w:p>
            <w:pPr>
              <w:pStyle w:val="6"/>
              <w:spacing w:before="75" w:line="207" w:lineRule="auto"/>
              <w:ind w:left="19"/>
              <w:rPr>
                <w:rFonts w:ascii="Times New Roman" w:hAnsi="Times New Roman" w:eastAsia="Times New Roman" w:cs="Times New Roman"/>
              </w:rPr>
            </w:pPr>
            <w:r>
              <w:rPr>
                <w:spacing w:val="-1"/>
              </w:rPr>
              <w:t>斑鳜</w:t>
            </w:r>
            <w:r>
              <w:rPr>
                <w:spacing w:val="-33"/>
              </w:rPr>
              <w:t xml:space="preserve"> </w:t>
            </w:r>
            <w:r>
              <w:rPr>
                <w:rFonts w:ascii="Times New Roman" w:hAnsi="Times New Roman" w:eastAsia="Times New Roman" w:cs="Times New Roman"/>
                <w:i/>
                <w:iCs/>
                <w:spacing w:val="-1"/>
              </w:rPr>
              <w:t>Siniperca scherzeri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Align w:val="top"/>
          </w:tcPr>
          <w:p>
            <w:pPr>
              <w:pStyle w:val="6"/>
              <w:spacing w:before="77" w:line="220" w:lineRule="auto"/>
              <w:ind w:left="20"/>
            </w:pPr>
            <w:r>
              <w:rPr>
                <w:spacing w:val="-2"/>
              </w:rPr>
              <w:t>真鲈科</w:t>
            </w:r>
          </w:p>
        </w:tc>
        <w:tc>
          <w:tcPr>
            <w:tcW w:w="1302" w:type="dxa"/>
            <w:vAlign w:val="top"/>
          </w:tcPr>
          <w:p>
            <w:pPr>
              <w:pStyle w:val="6"/>
              <w:spacing w:before="77" w:line="221" w:lineRule="auto"/>
              <w:ind w:left="19"/>
            </w:pPr>
            <w:r>
              <w:rPr>
                <w:spacing w:val="-2"/>
              </w:rPr>
              <w:t>花鲈属</w:t>
            </w:r>
          </w:p>
        </w:tc>
        <w:tc>
          <w:tcPr>
            <w:tcW w:w="4942" w:type="dxa"/>
            <w:vAlign w:val="top"/>
          </w:tcPr>
          <w:p>
            <w:pPr>
              <w:pStyle w:val="6"/>
              <w:spacing w:before="77" w:line="207" w:lineRule="auto"/>
              <w:ind w:left="20"/>
              <w:rPr>
                <w:rFonts w:ascii="Times New Roman" w:hAnsi="Times New Roman" w:eastAsia="Times New Roman" w:cs="Times New Roman"/>
              </w:rPr>
            </w:pPr>
            <w:r>
              <w:rPr>
                <w:spacing w:val="18"/>
              </w:rPr>
              <w:t>花鲈</w:t>
            </w:r>
            <w:r>
              <w:rPr>
                <w:spacing w:val="-59"/>
              </w:rPr>
              <w:t xml:space="preserve"> </w:t>
            </w:r>
            <w:r>
              <w:rPr>
                <w:rFonts w:ascii="Times New Roman" w:hAnsi="Times New Roman" w:eastAsia="Times New Roman" w:cs="Times New Roman"/>
                <w:i/>
                <w:iCs/>
              </w:rPr>
              <w:t>Lateolabrax</w:t>
            </w:r>
            <w:r>
              <w:rPr>
                <w:rFonts w:ascii="Times New Roman" w:hAnsi="Times New Roman" w:eastAsia="Times New Roman" w:cs="Times New Roman"/>
                <w:i/>
                <w:iCs/>
                <w:spacing w:val="-36"/>
              </w:rPr>
              <w:t xml:space="preserve"> </w:t>
            </w:r>
            <w:r>
              <w:rPr>
                <w:rFonts w:ascii="Times New Roman" w:hAnsi="Times New Roman" w:eastAsia="Times New Roman" w:cs="Times New Roman"/>
                <w:i/>
                <w:iCs/>
              </w:rPr>
              <w:t>japonicus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Align w:val="top"/>
          </w:tcPr>
          <w:p>
            <w:pPr>
              <w:pStyle w:val="6"/>
              <w:spacing w:before="75" w:line="220" w:lineRule="auto"/>
              <w:ind w:left="17"/>
            </w:pPr>
            <w:r>
              <w:rPr>
                <w:spacing w:val="-2"/>
              </w:rPr>
              <w:t>鳢科</w:t>
            </w:r>
          </w:p>
        </w:tc>
        <w:tc>
          <w:tcPr>
            <w:tcW w:w="1302" w:type="dxa"/>
            <w:vAlign w:val="top"/>
          </w:tcPr>
          <w:p>
            <w:pPr>
              <w:pStyle w:val="6"/>
              <w:spacing w:before="75" w:line="222" w:lineRule="auto"/>
              <w:ind w:left="17"/>
            </w:pPr>
            <w:r>
              <w:rPr>
                <w:spacing w:val="-2"/>
              </w:rPr>
              <w:t>鳢属</w:t>
            </w:r>
          </w:p>
        </w:tc>
        <w:tc>
          <w:tcPr>
            <w:tcW w:w="4942" w:type="dxa"/>
            <w:vAlign w:val="top"/>
          </w:tcPr>
          <w:p>
            <w:pPr>
              <w:pStyle w:val="6"/>
              <w:spacing w:before="75" w:line="207" w:lineRule="auto"/>
              <w:ind w:left="21"/>
              <w:rPr>
                <w:rFonts w:ascii="Times New Roman" w:hAnsi="Times New Roman" w:eastAsia="Times New Roman" w:cs="Times New Roman"/>
              </w:rPr>
            </w:pPr>
            <w:r>
              <w:rPr>
                <w:spacing w:val="-2"/>
              </w:rPr>
              <w:t>乌鳢</w:t>
            </w:r>
            <w:r>
              <w:rPr>
                <w:spacing w:val="-32"/>
              </w:rPr>
              <w:t xml:space="preserve"> </w:t>
            </w:r>
            <w:r>
              <w:rPr>
                <w:rFonts w:ascii="Times New Roman" w:hAnsi="Times New Roman" w:eastAsia="Times New Roman" w:cs="Times New Roman"/>
                <w:i/>
                <w:iCs/>
                <w:spacing w:val="-2"/>
              </w:rPr>
              <w:t>Channa argus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restart"/>
            <w:tcBorders>
              <w:bottom w:val="nil"/>
            </w:tcBorders>
            <w:vAlign w:val="top"/>
          </w:tcPr>
          <w:p>
            <w:pPr>
              <w:spacing w:line="271" w:lineRule="auto"/>
              <w:rPr>
                <w:rFonts w:ascii="Arial"/>
                <w:sz w:val="21"/>
              </w:rPr>
            </w:pPr>
          </w:p>
          <w:p>
            <w:pPr>
              <w:spacing w:line="272" w:lineRule="auto"/>
              <w:rPr>
                <w:rFonts w:ascii="Arial"/>
                <w:sz w:val="21"/>
              </w:rPr>
            </w:pPr>
          </w:p>
          <w:p>
            <w:pPr>
              <w:pStyle w:val="6"/>
              <w:spacing w:before="68" w:line="220" w:lineRule="auto"/>
              <w:ind w:left="16"/>
            </w:pPr>
            <w:r>
              <w:rPr>
                <w:spacing w:val="-1"/>
              </w:rPr>
              <w:t>鰕虎鱼科</w:t>
            </w:r>
          </w:p>
        </w:tc>
        <w:tc>
          <w:tcPr>
            <w:tcW w:w="1302" w:type="dxa"/>
            <w:vAlign w:val="top"/>
          </w:tcPr>
          <w:p>
            <w:pPr>
              <w:pStyle w:val="6"/>
              <w:spacing w:before="77" w:line="220" w:lineRule="auto"/>
              <w:ind w:left="18"/>
            </w:pPr>
            <w:r>
              <w:rPr>
                <w:spacing w:val="-1"/>
              </w:rPr>
              <w:t>栉鰕虎鱼属</w:t>
            </w:r>
          </w:p>
        </w:tc>
        <w:tc>
          <w:tcPr>
            <w:tcW w:w="4942" w:type="dxa"/>
            <w:vAlign w:val="top"/>
          </w:tcPr>
          <w:p>
            <w:pPr>
              <w:pStyle w:val="6"/>
              <w:spacing w:before="77" w:line="207" w:lineRule="auto"/>
              <w:ind w:left="20"/>
              <w:rPr>
                <w:rFonts w:ascii="Times New Roman" w:hAnsi="Times New Roman" w:eastAsia="Times New Roman" w:cs="Times New Roman"/>
              </w:rPr>
            </w:pPr>
            <w:r>
              <w:rPr>
                <w:spacing w:val="5"/>
              </w:rPr>
              <w:t>子陵栉鰕虎鱼</w:t>
            </w:r>
            <w:r>
              <w:rPr>
                <w:spacing w:val="-39"/>
              </w:rPr>
              <w:t xml:space="preserve"> </w:t>
            </w:r>
            <w:r>
              <w:rPr>
                <w:rFonts w:ascii="Times New Roman" w:hAnsi="Times New Roman" w:eastAsia="Times New Roman" w:cs="Times New Roman"/>
                <w:i/>
                <w:iCs/>
              </w:rPr>
              <w:t>Ctenogobiusgiurinus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restart"/>
            <w:tcBorders>
              <w:bottom w:val="nil"/>
            </w:tcBorders>
            <w:vAlign w:val="top"/>
          </w:tcPr>
          <w:p>
            <w:pPr>
              <w:pStyle w:val="6"/>
              <w:spacing w:before="255" w:line="220" w:lineRule="auto"/>
              <w:ind w:left="26"/>
            </w:pPr>
            <w:r>
              <w:rPr>
                <w:spacing w:val="-3"/>
              </w:rPr>
              <w:t>吻鰕虎鱼属</w:t>
            </w:r>
          </w:p>
        </w:tc>
        <w:tc>
          <w:tcPr>
            <w:tcW w:w="4942" w:type="dxa"/>
            <w:vAlign w:val="top"/>
          </w:tcPr>
          <w:p>
            <w:pPr>
              <w:pStyle w:val="6"/>
              <w:spacing w:before="74" w:line="207" w:lineRule="auto"/>
              <w:ind w:left="20"/>
              <w:rPr>
                <w:rFonts w:ascii="Times New Roman" w:hAnsi="Times New Roman" w:eastAsia="Times New Roman" w:cs="Times New Roman"/>
              </w:rPr>
            </w:pPr>
            <w:r>
              <w:rPr>
                <w:spacing w:val="8"/>
              </w:rPr>
              <w:t>子陵吻鰕虎鱼</w:t>
            </w:r>
            <w:r>
              <w:rPr>
                <w:spacing w:val="-57"/>
              </w:rPr>
              <w:t xml:space="preserve"> </w:t>
            </w:r>
            <w:r>
              <w:rPr>
                <w:rFonts w:ascii="Times New Roman" w:hAnsi="Times New Roman" w:eastAsia="Times New Roman" w:cs="Times New Roman"/>
                <w:i/>
                <w:iCs/>
              </w:rPr>
              <w:t>Rhinogobiusgiurinus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5" w:line="207" w:lineRule="auto"/>
              <w:ind w:left="20"/>
              <w:rPr>
                <w:rFonts w:ascii="Times New Roman" w:hAnsi="Times New Roman" w:eastAsia="Times New Roman" w:cs="Times New Roman"/>
              </w:rPr>
            </w:pPr>
            <w:r>
              <w:t>波氏吻鰕虎鱼</w:t>
            </w:r>
            <w:r>
              <w:rPr>
                <w:spacing w:val="-59"/>
              </w:rPr>
              <w:t xml:space="preserve"> </w:t>
            </w:r>
            <w:r>
              <w:rPr>
                <w:rFonts w:ascii="Times New Roman" w:hAnsi="Times New Roman" w:eastAsia="Times New Roman" w:cs="Times New Roman"/>
                <w:i/>
                <w:iCs/>
              </w:rPr>
              <w:t>Rhinogobius cliffordpop</w:t>
            </w:r>
            <w:r>
              <w:rPr>
                <w:rFonts w:ascii="Times New Roman" w:hAnsi="Times New Roman" w:eastAsia="Times New Roman" w:cs="Times New Roman"/>
                <w:i/>
                <w:iCs/>
                <w:spacing w:val="-1"/>
              </w:rPr>
              <w:t>ei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Align w:val="top"/>
          </w:tcPr>
          <w:p>
            <w:pPr>
              <w:pStyle w:val="6"/>
              <w:spacing w:before="77" w:line="220" w:lineRule="auto"/>
              <w:ind w:left="17"/>
            </w:pPr>
            <w:r>
              <w:rPr>
                <w:spacing w:val="-1"/>
              </w:rPr>
              <w:t>狼鰕虎鱼属</w:t>
            </w:r>
          </w:p>
        </w:tc>
        <w:tc>
          <w:tcPr>
            <w:tcW w:w="4942" w:type="dxa"/>
            <w:vAlign w:val="top"/>
          </w:tcPr>
          <w:p>
            <w:pPr>
              <w:pStyle w:val="6"/>
              <w:spacing w:before="77" w:line="207" w:lineRule="auto"/>
              <w:ind w:left="25"/>
              <w:rPr>
                <w:rFonts w:ascii="Times New Roman" w:hAnsi="Times New Roman" w:eastAsia="Times New Roman" w:cs="Times New Roman"/>
              </w:rPr>
            </w:pPr>
            <w:r>
              <w:rPr>
                <w:spacing w:val="-1"/>
              </w:rPr>
              <w:t>红狼牙鰕虎鱼</w:t>
            </w:r>
            <w:r>
              <w:rPr>
                <w:spacing w:val="-30"/>
              </w:rPr>
              <w:t xml:space="preserve"> </w:t>
            </w:r>
            <w:r>
              <w:rPr>
                <w:rFonts w:ascii="Times New Roman" w:hAnsi="Times New Roman" w:eastAsia="Times New Roman" w:cs="Times New Roman"/>
                <w:i/>
                <w:iCs/>
                <w:spacing w:val="-1"/>
              </w:rPr>
              <w:t>Odontamblyopus rubicundus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113" w:type="dxa"/>
            <w:vMerge w:val="continue"/>
            <w:tcBorders>
              <w:top w:val="nil"/>
              <w:bottom w:val="nil"/>
            </w:tcBorders>
            <w:vAlign w:val="top"/>
          </w:tcPr>
          <w:p>
            <w:pPr>
              <w:rPr>
                <w:rFonts w:ascii="Arial"/>
                <w:sz w:val="21"/>
              </w:rPr>
            </w:pPr>
          </w:p>
        </w:tc>
        <w:tc>
          <w:tcPr>
            <w:tcW w:w="1080" w:type="dxa"/>
            <w:vMerge w:val="restart"/>
            <w:tcBorders>
              <w:bottom w:val="nil"/>
            </w:tcBorders>
            <w:vAlign w:val="top"/>
          </w:tcPr>
          <w:p>
            <w:pPr>
              <w:pStyle w:val="6"/>
              <w:spacing w:before="254" w:line="220" w:lineRule="auto"/>
              <w:ind w:left="18"/>
            </w:pPr>
            <w:r>
              <w:rPr>
                <w:spacing w:val="-2"/>
              </w:rPr>
              <w:t>太阳鱼科</w:t>
            </w:r>
          </w:p>
        </w:tc>
        <w:tc>
          <w:tcPr>
            <w:tcW w:w="1302" w:type="dxa"/>
            <w:vAlign w:val="top"/>
          </w:tcPr>
          <w:p>
            <w:pPr>
              <w:pStyle w:val="6"/>
              <w:spacing w:before="75" w:line="221" w:lineRule="auto"/>
              <w:ind w:left="18"/>
            </w:pPr>
            <w:r>
              <w:rPr>
                <w:spacing w:val="-2"/>
              </w:rPr>
              <w:t>太阳鱼属</w:t>
            </w:r>
          </w:p>
        </w:tc>
        <w:tc>
          <w:tcPr>
            <w:tcW w:w="4942" w:type="dxa"/>
            <w:vAlign w:val="top"/>
          </w:tcPr>
          <w:p>
            <w:pPr>
              <w:pStyle w:val="6"/>
              <w:spacing w:before="75" w:line="207" w:lineRule="auto"/>
              <w:ind w:left="19"/>
              <w:rPr>
                <w:rFonts w:ascii="Times New Roman" w:hAnsi="Times New Roman" w:eastAsia="Times New Roman" w:cs="Times New Roman"/>
              </w:rPr>
            </w:pPr>
            <w:r>
              <w:t>太阳鱼</w:t>
            </w:r>
            <w:r>
              <w:rPr>
                <w:spacing w:val="-59"/>
              </w:rPr>
              <w:t xml:space="preserve"> </w:t>
            </w:r>
            <w:r>
              <w:rPr>
                <w:rFonts w:ascii="Times New Roman" w:hAnsi="Times New Roman" w:eastAsia="Times New Roman" w:cs="Times New Roman"/>
                <w:i/>
                <w:iCs/>
              </w:rPr>
              <w:t>Lepomis gulosus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Align w:val="top"/>
          </w:tcPr>
          <w:p>
            <w:pPr>
              <w:pStyle w:val="6"/>
              <w:spacing w:before="77" w:line="221" w:lineRule="auto"/>
              <w:ind w:left="24"/>
            </w:pPr>
            <w:r>
              <w:rPr>
                <w:spacing w:val="-3"/>
              </w:rPr>
              <w:t>黑鲈属</w:t>
            </w:r>
          </w:p>
        </w:tc>
        <w:tc>
          <w:tcPr>
            <w:tcW w:w="4942" w:type="dxa"/>
            <w:vAlign w:val="top"/>
          </w:tcPr>
          <w:p>
            <w:pPr>
              <w:pStyle w:val="6"/>
              <w:spacing w:before="78" w:line="207" w:lineRule="auto"/>
              <w:ind w:left="22"/>
              <w:rPr>
                <w:rFonts w:ascii="Times New Roman" w:hAnsi="Times New Roman" w:eastAsia="Times New Roman" w:cs="Times New Roman"/>
              </w:rPr>
            </w:pPr>
            <w:r>
              <w:t>大口黑鲈</w:t>
            </w:r>
            <w:r>
              <w:rPr>
                <w:spacing w:val="-59"/>
              </w:rPr>
              <w:t xml:space="preserve"> </w:t>
            </w:r>
            <w:r>
              <w:rPr>
                <w:rFonts w:ascii="Times New Roman" w:hAnsi="Times New Roman" w:eastAsia="Times New Roman" w:cs="Times New Roman"/>
                <w:i/>
                <w:iCs/>
              </w:rPr>
              <w:t>Micropterus salmoi</w:t>
            </w:r>
            <w:r>
              <w:rPr>
                <w:rFonts w:ascii="Times New Roman" w:hAnsi="Times New Roman" w:eastAsia="Times New Roman" w:cs="Times New Roman"/>
                <w:i/>
                <w:iCs/>
                <w:spacing w:val="-1"/>
              </w:rPr>
              <w:t>des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restart"/>
            <w:tcBorders>
              <w:bottom w:val="nil"/>
            </w:tcBorders>
            <w:vAlign w:val="top"/>
          </w:tcPr>
          <w:p>
            <w:pPr>
              <w:pStyle w:val="6"/>
              <w:spacing w:before="255" w:line="221" w:lineRule="auto"/>
              <w:ind w:left="28"/>
            </w:pPr>
            <w:r>
              <w:rPr>
                <w:spacing w:val="-3"/>
              </w:rPr>
              <w:t>胡瓜鱼目</w:t>
            </w:r>
          </w:p>
        </w:tc>
        <w:tc>
          <w:tcPr>
            <w:tcW w:w="1080" w:type="dxa"/>
            <w:vAlign w:val="top"/>
          </w:tcPr>
          <w:p>
            <w:pPr>
              <w:pStyle w:val="6"/>
              <w:spacing w:before="75" w:line="220" w:lineRule="auto"/>
              <w:ind w:left="19"/>
            </w:pPr>
            <w:r>
              <w:rPr>
                <w:spacing w:val="-2"/>
              </w:rPr>
              <w:t>香鱼科</w:t>
            </w:r>
          </w:p>
        </w:tc>
        <w:tc>
          <w:tcPr>
            <w:tcW w:w="1302" w:type="dxa"/>
            <w:vAlign w:val="top"/>
          </w:tcPr>
          <w:p>
            <w:pPr>
              <w:pStyle w:val="6"/>
              <w:spacing w:before="75" w:line="222" w:lineRule="auto"/>
              <w:ind w:left="20"/>
            </w:pPr>
            <w:r>
              <w:rPr>
                <w:spacing w:val="-2"/>
              </w:rPr>
              <w:t>香鱼属</w:t>
            </w:r>
          </w:p>
        </w:tc>
        <w:tc>
          <w:tcPr>
            <w:tcW w:w="4942" w:type="dxa"/>
            <w:vAlign w:val="top"/>
          </w:tcPr>
          <w:p>
            <w:pPr>
              <w:pStyle w:val="6"/>
              <w:spacing w:before="75" w:line="207" w:lineRule="auto"/>
              <w:ind w:left="21"/>
              <w:rPr>
                <w:rFonts w:ascii="Times New Roman" w:hAnsi="Times New Roman" w:eastAsia="Times New Roman" w:cs="Times New Roman"/>
              </w:rPr>
            </w:pPr>
            <w:r>
              <w:rPr>
                <w:spacing w:val="24"/>
              </w:rPr>
              <w:t>香鱼</w:t>
            </w:r>
            <w:r>
              <w:rPr>
                <w:spacing w:val="-59"/>
              </w:rPr>
              <w:t xml:space="preserve"> </w:t>
            </w:r>
            <w:r>
              <w:rPr>
                <w:rFonts w:ascii="Times New Roman" w:hAnsi="Times New Roman" w:eastAsia="Times New Roman" w:cs="Times New Roman"/>
                <w:i/>
                <w:iCs/>
              </w:rPr>
              <w:t>Plecoglossusaltivelis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tcBorders>
            <w:vAlign w:val="top"/>
          </w:tcPr>
          <w:p>
            <w:pPr>
              <w:rPr>
                <w:rFonts w:ascii="Arial"/>
                <w:sz w:val="21"/>
              </w:rPr>
            </w:pPr>
          </w:p>
        </w:tc>
        <w:tc>
          <w:tcPr>
            <w:tcW w:w="1080" w:type="dxa"/>
            <w:vAlign w:val="top"/>
          </w:tcPr>
          <w:p>
            <w:pPr>
              <w:pStyle w:val="6"/>
              <w:spacing w:before="77" w:line="220" w:lineRule="auto"/>
              <w:ind w:left="19"/>
            </w:pPr>
            <w:r>
              <w:rPr>
                <w:spacing w:val="-2"/>
              </w:rPr>
              <w:t>银鱼科</w:t>
            </w:r>
          </w:p>
        </w:tc>
        <w:tc>
          <w:tcPr>
            <w:tcW w:w="1302" w:type="dxa"/>
            <w:vAlign w:val="top"/>
          </w:tcPr>
          <w:p>
            <w:pPr>
              <w:pStyle w:val="6"/>
              <w:spacing w:before="77" w:line="221" w:lineRule="auto"/>
              <w:ind w:left="21"/>
            </w:pPr>
            <w:r>
              <w:rPr>
                <w:spacing w:val="-2"/>
              </w:rPr>
              <w:t>大银鱼属</w:t>
            </w:r>
          </w:p>
        </w:tc>
        <w:tc>
          <w:tcPr>
            <w:tcW w:w="4942" w:type="dxa"/>
            <w:vAlign w:val="top"/>
          </w:tcPr>
          <w:p>
            <w:pPr>
              <w:pStyle w:val="6"/>
              <w:spacing w:before="77" w:line="229" w:lineRule="auto"/>
              <w:ind w:left="39"/>
              <w:rPr>
                <w:rFonts w:ascii="Times New Roman" w:hAnsi="Times New Roman" w:eastAsia="Times New Roman" w:cs="Times New Roman"/>
              </w:rPr>
            </w:pPr>
            <w:r>
              <w:rPr>
                <w:spacing w:val="-2"/>
              </w:rPr>
              <w:t>中国大银鱼</w:t>
            </w:r>
            <w:r>
              <w:rPr>
                <w:spacing w:val="-36"/>
              </w:rPr>
              <w:t xml:space="preserve"> </w:t>
            </w:r>
            <w:r>
              <w:rPr>
                <w:rFonts w:ascii="Times New Roman" w:hAnsi="Times New Roman" w:eastAsia="Times New Roman" w:cs="Times New Roman"/>
                <w:i/>
                <w:iCs/>
                <w:spacing w:val="-2"/>
              </w:rPr>
              <w:t>Salanx 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restart"/>
            <w:tcBorders>
              <w:bottom w:val="nil"/>
            </w:tcBorders>
            <w:vAlign w:val="top"/>
          </w:tcPr>
          <w:p>
            <w:pPr>
              <w:pStyle w:val="6"/>
              <w:spacing w:before="255" w:line="221" w:lineRule="auto"/>
              <w:ind w:left="22"/>
            </w:pPr>
            <w:r>
              <w:rPr>
                <w:spacing w:val="-2"/>
              </w:rPr>
              <w:t>鳗鲡目</w:t>
            </w:r>
          </w:p>
        </w:tc>
        <w:tc>
          <w:tcPr>
            <w:tcW w:w="1080" w:type="dxa"/>
            <w:vMerge w:val="restart"/>
            <w:tcBorders>
              <w:bottom w:val="nil"/>
            </w:tcBorders>
            <w:vAlign w:val="top"/>
          </w:tcPr>
          <w:p>
            <w:pPr>
              <w:pStyle w:val="6"/>
              <w:spacing w:before="255" w:line="220" w:lineRule="auto"/>
              <w:ind w:left="18"/>
            </w:pPr>
            <w:r>
              <w:rPr>
                <w:spacing w:val="-2"/>
              </w:rPr>
              <w:t>鳗鲡科</w:t>
            </w:r>
          </w:p>
        </w:tc>
        <w:tc>
          <w:tcPr>
            <w:tcW w:w="1302" w:type="dxa"/>
            <w:vMerge w:val="restart"/>
            <w:tcBorders>
              <w:bottom w:val="nil"/>
            </w:tcBorders>
            <w:vAlign w:val="top"/>
          </w:tcPr>
          <w:p>
            <w:pPr>
              <w:pStyle w:val="6"/>
              <w:spacing w:before="255" w:line="221" w:lineRule="auto"/>
              <w:ind w:left="18"/>
            </w:pPr>
            <w:r>
              <w:rPr>
                <w:spacing w:val="-2"/>
              </w:rPr>
              <w:t>鳗鲡属</w:t>
            </w:r>
          </w:p>
        </w:tc>
        <w:tc>
          <w:tcPr>
            <w:tcW w:w="4942" w:type="dxa"/>
            <w:vAlign w:val="top"/>
          </w:tcPr>
          <w:p>
            <w:pPr>
              <w:pStyle w:val="6"/>
              <w:spacing w:before="75" w:line="207" w:lineRule="auto"/>
              <w:ind w:left="56"/>
              <w:rPr>
                <w:rFonts w:ascii="Times New Roman" w:hAnsi="Times New Roman" w:eastAsia="Times New Roman" w:cs="Times New Roman"/>
              </w:rPr>
            </w:pPr>
            <w:r>
              <w:rPr>
                <w:spacing w:val="11"/>
              </w:rPr>
              <w:t>日本鳗鲡</w:t>
            </w:r>
            <w:r>
              <w:rPr>
                <w:rFonts w:ascii="Times New Roman" w:hAnsi="Times New Roman" w:eastAsia="Times New Roman" w:cs="Times New Roman"/>
                <w:i/>
                <w:iCs/>
              </w:rPr>
              <w:t>Anguilla</w:t>
            </w:r>
            <w:r>
              <w:rPr>
                <w:rFonts w:ascii="Times New Roman" w:hAnsi="Times New Roman" w:eastAsia="Times New Roman" w:cs="Times New Roman"/>
                <w:i/>
                <w:iCs/>
                <w:spacing w:val="-33"/>
              </w:rPr>
              <w:t xml:space="preserve"> </w:t>
            </w:r>
            <w:r>
              <w:rPr>
                <w:rFonts w:ascii="Times New Roman" w:hAnsi="Times New Roman" w:eastAsia="Times New Roman" w:cs="Times New Roman"/>
                <w:i/>
                <w:iCs/>
              </w:rPr>
              <w:t>japonica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113" w:type="dxa"/>
            <w:vMerge w:val="continue"/>
            <w:tcBorders>
              <w:top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5" w:line="207" w:lineRule="auto"/>
              <w:ind w:left="20"/>
              <w:rPr>
                <w:rFonts w:ascii="Times New Roman" w:hAnsi="Times New Roman" w:eastAsia="Times New Roman" w:cs="Times New Roman"/>
              </w:rPr>
            </w:pPr>
            <w:r>
              <w:rPr>
                <w:spacing w:val="1"/>
              </w:rPr>
              <w:t>花鳗鲡</w:t>
            </w:r>
            <w:r>
              <w:rPr>
                <w:spacing w:val="-61"/>
              </w:rPr>
              <w:t xml:space="preserve"> </w:t>
            </w:r>
            <w:r>
              <w:rPr>
                <w:rFonts w:ascii="Times New Roman" w:hAnsi="Times New Roman" w:eastAsia="Times New Roman" w:cs="Times New Roman"/>
                <w:i/>
                <w:iCs/>
              </w:rPr>
              <w:t>Anguilla</w:t>
            </w:r>
            <w:r>
              <w:rPr>
                <w:rFonts w:ascii="Times New Roman" w:hAnsi="Times New Roman" w:eastAsia="Times New Roman" w:cs="Times New Roman"/>
                <w:i/>
                <w:iCs/>
                <w:spacing w:val="1"/>
              </w:rPr>
              <w:t xml:space="preserve"> </w:t>
            </w:r>
            <w:r>
              <w:rPr>
                <w:rFonts w:ascii="Times New Roman" w:hAnsi="Times New Roman" w:eastAsia="Times New Roman" w:cs="Times New Roman"/>
                <w:i/>
                <w:iCs/>
              </w:rPr>
              <w:t>marmorata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Align w:val="top"/>
          </w:tcPr>
          <w:p>
            <w:pPr>
              <w:pStyle w:val="6"/>
              <w:spacing w:before="77" w:line="223" w:lineRule="auto"/>
              <w:ind w:left="21"/>
            </w:pPr>
            <w:r>
              <w:rPr>
                <w:spacing w:val="-1"/>
              </w:rPr>
              <w:t>鲑形目</w:t>
            </w:r>
          </w:p>
        </w:tc>
        <w:tc>
          <w:tcPr>
            <w:tcW w:w="1080" w:type="dxa"/>
            <w:vAlign w:val="top"/>
          </w:tcPr>
          <w:p>
            <w:pPr>
              <w:pStyle w:val="6"/>
              <w:spacing w:before="78" w:line="220" w:lineRule="auto"/>
              <w:ind w:left="24"/>
            </w:pPr>
            <w:r>
              <w:rPr>
                <w:spacing w:val="-3"/>
              </w:rPr>
              <w:t>胡瓜鱼科</w:t>
            </w:r>
          </w:p>
        </w:tc>
        <w:tc>
          <w:tcPr>
            <w:tcW w:w="1302" w:type="dxa"/>
            <w:vAlign w:val="top"/>
          </w:tcPr>
          <w:p>
            <w:pPr>
              <w:pStyle w:val="6"/>
              <w:spacing w:before="78" w:line="222" w:lineRule="auto"/>
              <w:ind w:left="25"/>
            </w:pPr>
            <w:r>
              <w:rPr>
                <w:spacing w:val="-3"/>
              </w:rPr>
              <w:t>公鱼属</w:t>
            </w:r>
          </w:p>
        </w:tc>
        <w:tc>
          <w:tcPr>
            <w:tcW w:w="4942" w:type="dxa"/>
            <w:vAlign w:val="top"/>
          </w:tcPr>
          <w:p>
            <w:pPr>
              <w:pStyle w:val="6"/>
              <w:spacing w:before="78" w:line="207" w:lineRule="auto"/>
              <w:ind w:left="19"/>
              <w:rPr>
                <w:rFonts w:ascii="Times New Roman" w:hAnsi="Times New Roman" w:eastAsia="Times New Roman" w:cs="Times New Roman"/>
              </w:rPr>
            </w:pPr>
            <w:r>
              <w:rPr>
                <w:spacing w:val="13"/>
              </w:rPr>
              <w:t>池沼公鱼</w:t>
            </w:r>
            <w:r>
              <w:rPr>
                <w:spacing w:val="-59"/>
              </w:rPr>
              <w:t xml:space="preserve"> </w:t>
            </w:r>
            <w:r>
              <w:rPr>
                <w:rFonts w:ascii="Times New Roman" w:hAnsi="Times New Roman" w:eastAsia="Times New Roman" w:cs="Times New Roman"/>
                <w:i/>
                <w:iCs/>
              </w:rPr>
              <w:t>Hypomesusolidus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113" w:type="dxa"/>
            <w:vAlign w:val="top"/>
          </w:tcPr>
          <w:p>
            <w:pPr>
              <w:pStyle w:val="6"/>
              <w:spacing w:before="76" w:line="223" w:lineRule="auto"/>
              <w:ind w:left="23"/>
            </w:pPr>
            <w:r>
              <w:rPr>
                <w:spacing w:val="-2"/>
              </w:rPr>
              <w:t>合鳃鱼目</w:t>
            </w:r>
          </w:p>
        </w:tc>
        <w:tc>
          <w:tcPr>
            <w:tcW w:w="1080" w:type="dxa"/>
            <w:vAlign w:val="top"/>
          </w:tcPr>
          <w:p>
            <w:pPr>
              <w:pStyle w:val="6"/>
              <w:spacing w:before="76" w:line="220" w:lineRule="auto"/>
              <w:ind w:left="19"/>
            </w:pPr>
            <w:r>
              <w:rPr>
                <w:spacing w:val="-2"/>
              </w:rPr>
              <w:t>合鳃鱼科</w:t>
            </w:r>
          </w:p>
        </w:tc>
        <w:tc>
          <w:tcPr>
            <w:tcW w:w="1302" w:type="dxa"/>
            <w:vAlign w:val="top"/>
          </w:tcPr>
          <w:p>
            <w:pPr>
              <w:pStyle w:val="6"/>
              <w:spacing w:before="75" w:line="221" w:lineRule="auto"/>
              <w:ind w:left="17"/>
            </w:pPr>
            <w:r>
              <w:rPr>
                <w:spacing w:val="-1"/>
              </w:rPr>
              <w:t>黄鳝属</w:t>
            </w:r>
          </w:p>
        </w:tc>
        <w:tc>
          <w:tcPr>
            <w:tcW w:w="4942" w:type="dxa"/>
            <w:vAlign w:val="top"/>
          </w:tcPr>
          <w:p>
            <w:pPr>
              <w:pStyle w:val="6"/>
              <w:spacing w:before="76" w:line="207" w:lineRule="auto"/>
              <w:ind w:left="19"/>
              <w:rPr>
                <w:rFonts w:ascii="Times New Roman" w:hAnsi="Times New Roman" w:eastAsia="Times New Roman" w:cs="Times New Roman"/>
              </w:rPr>
            </w:pPr>
            <w:r>
              <w:t>黄鳝</w:t>
            </w:r>
            <w:r>
              <w:rPr>
                <w:spacing w:val="-58"/>
              </w:rPr>
              <w:t xml:space="preserve"> </w:t>
            </w:r>
            <w:r>
              <w:rPr>
                <w:rFonts w:ascii="Times New Roman" w:hAnsi="Times New Roman" w:eastAsia="Times New Roman" w:cs="Times New Roman"/>
                <w:i/>
                <w:iCs/>
              </w:rPr>
              <w:t>Monopterus albus</w:t>
            </w:r>
          </w:p>
        </w:tc>
      </w:tr>
    </w:tbl>
    <w:p>
      <w:pPr>
        <w:pStyle w:val="2"/>
      </w:pPr>
    </w:p>
    <w:p>
      <w:pPr>
        <w:sectPr>
          <w:footerReference r:id="rId241" w:type="default"/>
          <w:pgSz w:w="11907" w:h="16839"/>
          <w:pgMar w:top="1288" w:right="1670" w:bottom="1151" w:left="1673" w:header="1047" w:footer="990" w:gutter="0"/>
          <w:cols w:space="720" w:num="1"/>
        </w:sectPr>
      </w:pPr>
    </w:p>
    <w:p>
      <w:pPr>
        <w:spacing w:before="56"/>
      </w:pPr>
    </w:p>
    <w:tbl>
      <w:tblPr>
        <w:tblStyle w:val="5"/>
        <w:tblW w:w="8437" w:type="dxa"/>
        <w:tblInd w:w="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1080"/>
        <w:gridCol w:w="1302"/>
        <w:gridCol w:w="49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113" w:type="dxa"/>
            <w:vAlign w:val="top"/>
          </w:tcPr>
          <w:p>
            <w:pPr>
              <w:pStyle w:val="6"/>
              <w:spacing w:before="77" w:line="222" w:lineRule="auto"/>
              <w:ind w:left="22"/>
            </w:pPr>
            <w:r>
              <w:rPr>
                <w:spacing w:val="-2"/>
              </w:rPr>
              <w:t>鳉形目</w:t>
            </w:r>
          </w:p>
        </w:tc>
        <w:tc>
          <w:tcPr>
            <w:tcW w:w="1080" w:type="dxa"/>
            <w:vAlign w:val="top"/>
          </w:tcPr>
          <w:p>
            <w:pPr>
              <w:pStyle w:val="6"/>
              <w:spacing w:before="77" w:line="220" w:lineRule="auto"/>
              <w:ind w:left="18"/>
            </w:pPr>
            <w:r>
              <w:rPr>
                <w:spacing w:val="-2"/>
              </w:rPr>
              <w:t>胎鳉科</w:t>
            </w:r>
          </w:p>
        </w:tc>
        <w:tc>
          <w:tcPr>
            <w:tcW w:w="1302" w:type="dxa"/>
            <w:vAlign w:val="top"/>
          </w:tcPr>
          <w:p>
            <w:pPr>
              <w:pStyle w:val="6"/>
              <w:spacing w:before="77" w:line="221" w:lineRule="auto"/>
              <w:ind w:left="18"/>
            </w:pPr>
            <w:r>
              <w:rPr>
                <w:spacing w:val="-2"/>
              </w:rPr>
              <w:t>食蚊鱼属</w:t>
            </w:r>
          </w:p>
        </w:tc>
        <w:tc>
          <w:tcPr>
            <w:tcW w:w="4942" w:type="dxa"/>
            <w:vAlign w:val="top"/>
          </w:tcPr>
          <w:p>
            <w:pPr>
              <w:pStyle w:val="6"/>
              <w:spacing w:before="77" w:line="207" w:lineRule="auto"/>
              <w:ind w:left="19"/>
              <w:rPr>
                <w:rFonts w:ascii="Times New Roman" w:hAnsi="Times New Roman" w:eastAsia="Times New Roman" w:cs="Times New Roman"/>
              </w:rPr>
            </w:pPr>
            <w:r>
              <w:rPr>
                <w:spacing w:val="-2"/>
              </w:rPr>
              <w:t>食蚊鱼</w:t>
            </w:r>
            <w:r>
              <w:rPr>
                <w:spacing w:val="-22"/>
              </w:rPr>
              <w:t xml:space="preserve"> </w:t>
            </w:r>
            <w:r>
              <w:rPr>
                <w:rFonts w:ascii="Times New Roman" w:hAnsi="Times New Roman" w:eastAsia="Times New Roman" w:cs="Times New Roman"/>
                <w:i/>
                <w:iCs/>
                <w:spacing w:val="-2"/>
              </w:rPr>
              <w:t>Gambusia affinis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8437" w:type="dxa"/>
            <w:gridSpan w:val="4"/>
            <w:vAlign w:val="top"/>
          </w:tcPr>
          <w:p>
            <w:pPr>
              <w:pStyle w:val="6"/>
              <w:spacing w:before="66" w:line="214" w:lineRule="auto"/>
              <w:ind w:left="42"/>
              <w:rPr>
                <w:rFonts w:ascii="Times New Roman" w:hAnsi="Times New Roman" w:eastAsia="Times New Roman" w:cs="Times New Roman"/>
              </w:rPr>
            </w:pPr>
            <w:r>
              <w:rPr>
                <w:spacing w:val="-3"/>
              </w:rPr>
              <w:t>四、两栖类</w:t>
            </w:r>
            <w:r>
              <w:rPr>
                <w:spacing w:val="-41"/>
              </w:rPr>
              <w:t xml:space="preserve"> </w:t>
            </w:r>
            <w:r>
              <w:rPr>
                <w:rFonts w:ascii="Times New Roman" w:hAnsi="Times New Roman" w:eastAsia="Times New Roman" w:cs="Times New Roman"/>
                <w:spacing w:val="-3"/>
              </w:rPr>
              <w:t>Amphibia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113" w:type="dxa"/>
            <w:vMerge w:val="restart"/>
            <w:tcBorders>
              <w:bottom w:val="nil"/>
            </w:tcBorders>
            <w:vAlign w:val="top"/>
          </w:tcPr>
          <w:p>
            <w:pPr>
              <w:pStyle w:val="6"/>
              <w:spacing w:before="251" w:line="221" w:lineRule="auto"/>
              <w:ind w:left="23"/>
            </w:pPr>
            <w:r>
              <w:rPr>
                <w:spacing w:val="-2"/>
              </w:rPr>
              <w:t>有尾目</w:t>
            </w:r>
          </w:p>
        </w:tc>
        <w:tc>
          <w:tcPr>
            <w:tcW w:w="1080" w:type="dxa"/>
            <w:vAlign w:val="top"/>
          </w:tcPr>
          <w:p>
            <w:pPr>
              <w:pStyle w:val="6"/>
              <w:spacing w:before="71" w:line="220" w:lineRule="auto"/>
              <w:ind w:left="18"/>
            </w:pPr>
            <w:r>
              <w:rPr>
                <w:spacing w:val="-2"/>
              </w:rPr>
              <w:t>蝾螈科</w:t>
            </w:r>
          </w:p>
        </w:tc>
        <w:tc>
          <w:tcPr>
            <w:tcW w:w="1302" w:type="dxa"/>
            <w:vAlign w:val="top"/>
          </w:tcPr>
          <w:p>
            <w:pPr>
              <w:pStyle w:val="6"/>
              <w:spacing w:before="71" w:line="221" w:lineRule="auto"/>
              <w:ind w:left="18"/>
            </w:pPr>
            <w:r>
              <w:rPr>
                <w:spacing w:val="-2"/>
              </w:rPr>
              <w:t>瘰螈属</w:t>
            </w:r>
          </w:p>
        </w:tc>
        <w:tc>
          <w:tcPr>
            <w:tcW w:w="4942" w:type="dxa"/>
            <w:vAlign w:val="top"/>
          </w:tcPr>
          <w:p>
            <w:pPr>
              <w:pStyle w:val="6"/>
              <w:spacing w:before="71" w:line="229" w:lineRule="auto"/>
              <w:ind w:left="39"/>
              <w:rPr>
                <w:rFonts w:ascii="Times New Roman" w:hAnsi="Times New Roman" w:eastAsia="Times New Roman" w:cs="Times New Roman"/>
              </w:rPr>
            </w:pPr>
            <w:r>
              <w:rPr>
                <w:spacing w:val="-2"/>
              </w:rPr>
              <w:t>中国瘰螈</w:t>
            </w:r>
            <w:r>
              <w:rPr>
                <w:spacing w:val="-34"/>
              </w:rPr>
              <w:t xml:space="preserve"> </w:t>
            </w:r>
            <w:r>
              <w:rPr>
                <w:rFonts w:ascii="Times New Roman" w:hAnsi="Times New Roman" w:eastAsia="Times New Roman" w:cs="Times New Roman"/>
                <w:spacing w:val="-2"/>
              </w:rPr>
              <w:t>Paramesotriton</w:t>
            </w:r>
            <w:r>
              <w:rPr>
                <w:rFonts w:ascii="Times New Roman" w:hAnsi="Times New Roman" w:eastAsia="Times New Roman" w:cs="Times New Roman"/>
                <w:spacing w:val="-9"/>
              </w:rPr>
              <w:t xml:space="preserve"> </w:t>
            </w:r>
            <w:r>
              <w:rPr>
                <w:rFonts w:ascii="Times New Roman" w:hAnsi="Times New Roman" w:eastAsia="Times New Roman" w:cs="Times New Roman"/>
                <w:spacing w:val="-2"/>
              </w:rPr>
              <w:t>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113" w:type="dxa"/>
            <w:vMerge w:val="continue"/>
            <w:tcBorders>
              <w:top w:val="nil"/>
            </w:tcBorders>
            <w:vAlign w:val="top"/>
          </w:tcPr>
          <w:p>
            <w:pPr>
              <w:rPr>
                <w:rFonts w:ascii="Arial"/>
                <w:sz w:val="21"/>
              </w:rPr>
            </w:pPr>
          </w:p>
        </w:tc>
        <w:tc>
          <w:tcPr>
            <w:tcW w:w="1080" w:type="dxa"/>
            <w:vAlign w:val="top"/>
          </w:tcPr>
          <w:p>
            <w:pPr>
              <w:pStyle w:val="6"/>
              <w:spacing w:before="75" w:line="220" w:lineRule="auto"/>
              <w:ind w:left="31"/>
            </w:pPr>
            <w:r>
              <w:rPr>
                <w:spacing w:val="-5"/>
              </w:rPr>
              <w:t>隐鳃鲵科</w:t>
            </w:r>
          </w:p>
        </w:tc>
        <w:tc>
          <w:tcPr>
            <w:tcW w:w="1302" w:type="dxa"/>
            <w:vAlign w:val="top"/>
          </w:tcPr>
          <w:p>
            <w:pPr>
              <w:pStyle w:val="6"/>
              <w:spacing w:before="76" w:line="221" w:lineRule="auto"/>
              <w:ind w:left="21"/>
            </w:pPr>
            <w:r>
              <w:rPr>
                <w:spacing w:val="-2"/>
              </w:rPr>
              <w:t>大鲵属</w:t>
            </w:r>
          </w:p>
        </w:tc>
        <w:tc>
          <w:tcPr>
            <w:tcW w:w="4942" w:type="dxa"/>
            <w:vAlign w:val="top"/>
          </w:tcPr>
          <w:p>
            <w:pPr>
              <w:pStyle w:val="6"/>
              <w:spacing w:before="75" w:line="229" w:lineRule="auto"/>
              <w:ind w:left="22"/>
              <w:rPr>
                <w:rFonts w:ascii="Times New Roman" w:hAnsi="Times New Roman" w:eastAsia="Times New Roman" w:cs="Times New Roman"/>
              </w:rPr>
            </w:pPr>
            <w:r>
              <w:rPr>
                <w:spacing w:val="-1"/>
              </w:rPr>
              <w:t>大鲵</w:t>
            </w:r>
            <w:r>
              <w:rPr>
                <w:spacing w:val="-41"/>
              </w:rPr>
              <w:t xml:space="preserve"> </w:t>
            </w:r>
            <w:r>
              <w:rPr>
                <w:rFonts w:ascii="Times New Roman" w:hAnsi="Times New Roman" w:eastAsia="Times New Roman" w:cs="Times New Roman"/>
                <w:spacing w:val="-1"/>
              </w:rPr>
              <w:t>Andrias davidianus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13"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pStyle w:val="6"/>
              <w:spacing w:before="68" w:line="221" w:lineRule="auto"/>
              <w:ind w:left="24"/>
            </w:pPr>
            <w:r>
              <w:rPr>
                <w:spacing w:val="-2"/>
              </w:rPr>
              <w:t>无尾目</w:t>
            </w:r>
          </w:p>
        </w:tc>
        <w:tc>
          <w:tcPr>
            <w:tcW w:w="1080" w:type="dxa"/>
            <w:vAlign w:val="top"/>
          </w:tcPr>
          <w:p>
            <w:pPr>
              <w:pStyle w:val="6"/>
              <w:spacing w:before="75" w:line="220" w:lineRule="auto"/>
              <w:ind w:left="19"/>
            </w:pPr>
            <w:r>
              <w:rPr>
                <w:spacing w:val="-2"/>
              </w:rPr>
              <w:t>蟾蜍科</w:t>
            </w:r>
          </w:p>
        </w:tc>
        <w:tc>
          <w:tcPr>
            <w:tcW w:w="1302" w:type="dxa"/>
            <w:vAlign w:val="top"/>
          </w:tcPr>
          <w:p>
            <w:pPr>
              <w:pStyle w:val="6"/>
              <w:spacing w:before="75" w:line="221" w:lineRule="auto"/>
              <w:ind w:left="19"/>
            </w:pPr>
            <w:r>
              <w:rPr>
                <w:spacing w:val="-2"/>
              </w:rPr>
              <w:t>蟾蜍属</w:t>
            </w:r>
          </w:p>
        </w:tc>
        <w:tc>
          <w:tcPr>
            <w:tcW w:w="4942" w:type="dxa"/>
            <w:vAlign w:val="top"/>
          </w:tcPr>
          <w:p>
            <w:pPr>
              <w:pStyle w:val="6"/>
              <w:spacing w:before="75" w:line="207" w:lineRule="auto"/>
              <w:ind w:left="39"/>
              <w:rPr>
                <w:rFonts w:ascii="Times New Roman" w:hAnsi="Times New Roman" w:eastAsia="Times New Roman" w:cs="Times New Roman"/>
              </w:rPr>
            </w:pPr>
            <w:r>
              <w:rPr>
                <w:spacing w:val="-2"/>
              </w:rPr>
              <w:t>中华蟾蜍</w:t>
            </w:r>
            <w:r>
              <w:rPr>
                <w:spacing w:val="-49"/>
              </w:rPr>
              <w:t xml:space="preserve"> </w:t>
            </w:r>
            <w:r>
              <w:rPr>
                <w:rFonts w:ascii="Times New Roman" w:hAnsi="Times New Roman" w:eastAsia="Times New Roman" w:cs="Times New Roman"/>
                <w:spacing w:val="-2"/>
              </w:rPr>
              <w:t>Bufo</w:t>
            </w:r>
            <w:r>
              <w:rPr>
                <w:rFonts w:ascii="Times New Roman" w:hAnsi="Times New Roman" w:eastAsia="Times New Roman" w:cs="Times New Roman"/>
                <w:spacing w:val="-13"/>
              </w:rPr>
              <w:t xml:space="preserve"> </w:t>
            </w:r>
            <w:r>
              <w:rPr>
                <w:rFonts w:ascii="Times New Roman" w:hAnsi="Times New Roman" w:eastAsia="Times New Roman" w:cs="Times New Roman"/>
                <w:spacing w:val="-2"/>
              </w:rPr>
              <w:t>gargarizans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113" w:type="dxa"/>
            <w:vMerge w:val="continue"/>
            <w:tcBorders>
              <w:top w:val="nil"/>
              <w:bottom w:val="nil"/>
            </w:tcBorders>
            <w:vAlign w:val="top"/>
          </w:tcPr>
          <w:p>
            <w:pPr>
              <w:rPr>
                <w:rFonts w:ascii="Arial"/>
                <w:sz w:val="21"/>
              </w:rPr>
            </w:pPr>
          </w:p>
        </w:tc>
        <w:tc>
          <w:tcPr>
            <w:tcW w:w="1080" w:type="dxa"/>
            <w:vMerge w:val="restart"/>
            <w:tcBorders>
              <w:bottom w:val="nil"/>
            </w:tcBorders>
            <w:vAlign w:val="top"/>
          </w:tcPr>
          <w:p>
            <w:pPr>
              <w:spacing w:line="271" w:lineRule="auto"/>
              <w:rPr>
                <w:rFonts w:ascii="Arial"/>
                <w:sz w:val="21"/>
              </w:rPr>
            </w:pPr>
          </w:p>
          <w:p>
            <w:pPr>
              <w:spacing w:line="271" w:lineRule="auto"/>
              <w:rPr>
                <w:rFonts w:ascii="Arial"/>
                <w:sz w:val="21"/>
              </w:rPr>
            </w:pPr>
          </w:p>
          <w:p>
            <w:pPr>
              <w:pStyle w:val="6"/>
              <w:spacing w:before="68" w:line="220" w:lineRule="auto"/>
              <w:ind w:left="19"/>
            </w:pPr>
            <w:r>
              <w:rPr>
                <w:spacing w:val="-2"/>
              </w:rPr>
              <w:t>蛙科</w:t>
            </w:r>
          </w:p>
        </w:tc>
        <w:tc>
          <w:tcPr>
            <w:tcW w:w="1302" w:type="dxa"/>
            <w:vAlign w:val="top"/>
          </w:tcPr>
          <w:p>
            <w:pPr>
              <w:pStyle w:val="6"/>
              <w:spacing w:before="76" w:line="221" w:lineRule="auto"/>
              <w:ind w:left="17"/>
            </w:pPr>
            <w:r>
              <w:rPr>
                <w:spacing w:val="-1"/>
              </w:rPr>
              <w:t>侧褶蛙属</w:t>
            </w:r>
          </w:p>
        </w:tc>
        <w:tc>
          <w:tcPr>
            <w:tcW w:w="4942" w:type="dxa"/>
            <w:vAlign w:val="top"/>
          </w:tcPr>
          <w:p>
            <w:pPr>
              <w:pStyle w:val="6"/>
              <w:spacing w:before="76" w:line="207" w:lineRule="auto"/>
              <w:ind w:left="25"/>
              <w:rPr>
                <w:rFonts w:ascii="Times New Roman" w:hAnsi="Times New Roman" w:eastAsia="Times New Roman" w:cs="Times New Roman"/>
              </w:rPr>
            </w:pPr>
            <w:r>
              <w:rPr>
                <w:spacing w:val="-1"/>
              </w:rPr>
              <w:t>黑斑侧褶蛙</w:t>
            </w:r>
            <w:r>
              <w:rPr>
                <w:spacing w:val="-35"/>
              </w:rPr>
              <w:t xml:space="preserve"> </w:t>
            </w:r>
            <w:r>
              <w:rPr>
                <w:rFonts w:ascii="Times New Roman" w:hAnsi="Times New Roman" w:eastAsia="Times New Roman" w:cs="Times New Roman"/>
                <w:spacing w:val="-1"/>
              </w:rPr>
              <w:t>Pelophylax nigromaculatus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restart"/>
            <w:tcBorders>
              <w:bottom w:val="nil"/>
            </w:tcBorders>
            <w:vAlign w:val="top"/>
          </w:tcPr>
          <w:p>
            <w:pPr>
              <w:spacing w:line="362" w:lineRule="auto"/>
              <w:rPr>
                <w:rFonts w:ascii="Arial"/>
                <w:sz w:val="21"/>
              </w:rPr>
            </w:pPr>
          </w:p>
          <w:p>
            <w:pPr>
              <w:pStyle w:val="6"/>
              <w:spacing w:before="69" w:line="222" w:lineRule="auto"/>
              <w:ind w:left="19"/>
            </w:pPr>
            <w:r>
              <w:rPr>
                <w:spacing w:val="-2"/>
              </w:rPr>
              <w:t>蛙属</w:t>
            </w:r>
          </w:p>
        </w:tc>
        <w:tc>
          <w:tcPr>
            <w:tcW w:w="4942" w:type="dxa"/>
            <w:vAlign w:val="top"/>
          </w:tcPr>
          <w:p>
            <w:pPr>
              <w:pStyle w:val="6"/>
              <w:spacing w:before="73" w:line="207" w:lineRule="auto"/>
              <w:ind w:left="19"/>
              <w:rPr>
                <w:rFonts w:ascii="Times New Roman" w:hAnsi="Times New Roman" w:eastAsia="Times New Roman" w:cs="Times New Roman"/>
              </w:rPr>
            </w:pPr>
            <w:r>
              <w:rPr>
                <w:spacing w:val="14"/>
              </w:rPr>
              <w:t>棘胸蛙</w:t>
            </w:r>
            <w:r>
              <w:rPr>
                <w:spacing w:val="-47"/>
              </w:rPr>
              <w:t xml:space="preserve"> </w:t>
            </w:r>
            <w:r>
              <w:rPr>
                <w:rFonts w:ascii="Times New Roman" w:hAnsi="Times New Roman" w:eastAsia="Times New Roman" w:cs="Times New Roman"/>
              </w:rPr>
              <w:t>Ranaspinosa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113" w:type="dxa"/>
            <w:vMerge w:val="continue"/>
            <w:tcBorders>
              <w:top w:val="nil"/>
              <w:bottom w:val="nil"/>
            </w:tcBorders>
            <w:vAlign w:val="top"/>
          </w:tcPr>
          <w:p>
            <w:pPr>
              <w:rPr>
                <w:rFonts w:ascii="Arial"/>
                <w:sz w:val="21"/>
              </w:rPr>
            </w:pPr>
          </w:p>
        </w:tc>
        <w:tc>
          <w:tcPr>
            <w:tcW w:w="1080" w:type="dxa"/>
            <w:vMerge w:val="continue"/>
            <w:tcBorders>
              <w:top w:val="nil"/>
              <w:bottom w:val="nil"/>
            </w:tcBorders>
            <w:vAlign w:val="top"/>
          </w:tcPr>
          <w:p>
            <w:pPr>
              <w:rPr>
                <w:rFonts w:ascii="Arial"/>
                <w:sz w:val="21"/>
              </w:rPr>
            </w:pPr>
          </w:p>
        </w:tc>
        <w:tc>
          <w:tcPr>
            <w:tcW w:w="1302" w:type="dxa"/>
            <w:vMerge w:val="continue"/>
            <w:tcBorders>
              <w:top w:val="nil"/>
              <w:bottom w:val="nil"/>
            </w:tcBorders>
            <w:vAlign w:val="top"/>
          </w:tcPr>
          <w:p>
            <w:pPr>
              <w:rPr>
                <w:rFonts w:ascii="Arial"/>
                <w:sz w:val="21"/>
              </w:rPr>
            </w:pPr>
          </w:p>
        </w:tc>
        <w:tc>
          <w:tcPr>
            <w:tcW w:w="4942" w:type="dxa"/>
            <w:vAlign w:val="top"/>
          </w:tcPr>
          <w:p>
            <w:pPr>
              <w:pStyle w:val="6"/>
              <w:spacing w:before="75" w:line="228" w:lineRule="auto"/>
              <w:ind w:left="39"/>
              <w:rPr>
                <w:rFonts w:ascii="Times New Roman" w:hAnsi="Times New Roman" w:eastAsia="Times New Roman" w:cs="Times New Roman"/>
              </w:rPr>
            </w:pPr>
            <w:r>
              <w:rPr>
                <w:spacing w:val="-2"/>
              </w:rPr>
              <w:t>中国林蛙</w:t>
            </w:r>
            <w:r>
              <w:rPr>
                <w:spacing w:val="-38"/>
              </w:rPr>
              <w:t xml:space="preserve"> </w:t>
            </w:r>
            <w:r>
              <w:rPr>
                <w:rFonts w:ascii="Times New Roman" w:hAnsi="Times New Roman" w:eastAsia="Times New Roman" w:cs="Times New Roman"/>
                <w:spacing w:val="-2"/>
              </w:rPr>
              <w:t>Rana chensinensis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113" w:type="dxa"/>
            <w:vMerge w:val="continue"/>
            <w:tcBorders>
              <w:top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302" w:type="dxa"/>
            <w:vMerge w:val="continue"/>
            <w:tcBorders>
              <w:top w:val="nil"/>
            </w:tcBorders>
            <w:vAlign w:val="top"/>
          </w:tcPr>
          <w:p>
            <w:pPr>
              <w:rPr>
                <w:rFonts w:ascii="Arial"/>
                <w:sz w:val="21"/>
              </w:rPr>
            </w:pPr>
          </w:p>
        </w:tc>
        <w:tc>
          <w:tcPr>
            <w:tcW w:w="4942" w:type="dxa"/>
            <w:vAlign w:val="top"/>
          </w:tcPr>
          <w:p>
            <w:pPr>
              <w:pStyle w:val="6"/>
              <w:spacing w:before="71" w:line="207" w:lineRule="auto"/>
              <w:ind w:left="25"/>
              <w:rPr>
                <w:rFonts w:ascii="Times New Roman" w:hAnsi="Times New Roman" w:eastAsia="Times New Roman" w:cs="Times New Roman"/>
              </w:rPr>
            </w:pPr>
            <w:r>
              <w:t>九龙棘蛙</w:t>
            </w:r>
            <w:r>
              <w:rPr>
                <w:spacing w:val="-49"/>
              </w:rPr>
              <w:t xml:space="preserve"> </w:t>
            </w:r>
            <w:r>
              <w:rPr>
                <w:rFonts w:ascii="Times New Roman" w:hAnsi="Times New Roman" w:eastAsia="Times New Roman" w:cs="Times New Roman"/>
              </w:rPr>
              <w:t>Rana</w:t>
            </w:r>
            <w:r>
              <w:rPr>
                <w:rFonts w:ascii="Times New Roman" w:hAnsi="Times New Roman" w:eastAsia="Times New Roman" w:cs="Times New Roman"/>
                <w:spacing w:val="-15"/>
              </w:rPr>
              <w:t xml:space="preserve"> </w:t>
            </w:r>
            <w:r>
              <w:rPr>
                <w:rFonts w:ascii="Times New Roman" w:hAnsi="Times New Roman" w:eastAsia="Times New Roman" w:cs="Times New Roman"/>
              </w:rPr>
              <w:t>jiulongensis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437" w:type="dxa"/>
            <w:gridSpan w:val="4"/>
            <w:vAlign w:val="top"/>
          </w:tcPr>
          <w:p>
            <w:pPr>
              <w:pStyle w:val="6"/>
              <w:spacing w:before="71" w:line="214" w:lineRule="auto"/>
              <w:ind w:left="25"/>
              <w:rPr>
                <w:rFonts w:ascii="Times New Roman" w:hAnsi="Times New Roman" w:eastAsia="Times New Roman" w:cs="Times New Roman"/>
              </w:rPr>
            </w:pPr>
            <w:r>
              <w:rPr>
                <w:spacing w:val="-2"/>
              </w:rPr>
              <w:t>五、爬行类</w:t>
            </w:r>
            <w:r>
              <w:rPr>
                <w:spacing w:val="-40"/>
              </w:rPr>
              <w:t xml:space="preserve"> </w:t>
            </w:r>
            <w:r>
              <w:rPr>
                <w:rFonts w:ascii="Times New Roman" w:hAnsi="Times New Roman" w:eastAsia="Times New Roman" w:cs="Times New Roman"/>
                <w:spacing w:val="-2"/>
              </w:rPr>
              <w:t>Reptilia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113" w:type="dxa"/>
            <w:vMerge w:val="restart"/>
            <w:tcBorders>
              <w:bottom w:val="nil"/>
            </w:tcBorders>
            <w:vAlign w:val="top"/>
          </w:tcPr>
          <w:p>
            <w:pPr>
              <w:spacing w:line="360" w:lineRule="auto"/>
              <w:rPr>
                <w:rFonts w:ascii="Arial"/>
                <w:sz w:val="21"/>
              </w:rPr>
            </w:pPr>
          </w:p>
          <w:p>
            <w:pPr>
              <w:pStyle w:val="6"/>
              <w:spacing w:before="68" w:line="223" w:lineRule="auto"/>
              <w:ind w:left="24"/>
            </w:pPr>
            <w:r>
              <w:rPr>
                <w:spacing w:val="-2"/>
              </w:rPr>
              <w:t>龟鳖目</w:t>
            </w:r>
          </w:p>
        </w:tc>
        <w:tc>
          <w:tcPr>
            <w:tcW w:w="1080" w:type="dxa"/>
            <w:vAlign w:val="top"/>
          </w:tcPr>
          <w:p>
            <w:pPr>
              <w:pStyle w:val="6"/>
              <w:spacing w:before="70" w:line="220" w:lineRule="auto"/>
              <w:ind w:left="20"/>
            </w:pPr>
            <w:r>
              <w:rPr>
                <w:spacing w:val="-3"/>
              </w:rPr>
              <w:t>龟科</w:t>
            </w:r>
          </w:p>
        </w:tc>
        <w:tc>
          <w:tcPr>
            <w:tcW w:w="1302" w:type="dxa"/>
            <w:vAlign w:val="top"/>
          </w:tcPr>
          <w:p>
            <w:pPr>
              <w:pStyle w:val="6"/>
              <w:spacing w:before="70" w:line="222" w:lineRule="auto"/>
              <w:ind w:left="19"/>
            </w:pPr>
            <w:r>
              <w:rPr>
                <w:spacing w:val="-2"/>
              </w:rPr>
              <w:t>彩龟属</w:t>
            </w:r>
          </w:p>
        </w:tc>
        <w:tc>
          <w:tcPr>
            <w:tcW w:w="4942" w:type="dxa"/>
            <w:vAlign w:val="top"/>
          </w:tcPr>
          <w:p>
            <w:pPr>
              <w:pStyle w:val="6"/>
              <w:spacing w:before="70" w:line="207" w:lineRule="auto"/>
              <w:ind w:left="42"/>
              <w:rPr>
                <w:rFonts w:ascii="Times New Roman" w:hAnsi="Times New Roman" w:eastAsia="Times New Roman" w:cs="Times New Roman"/>
              </w:rPr>
            </w:pPr>
            <w:r>
              <w:rPr>
                <w:spacing w:val="-3"/>
              </w:rPr>
              <w:t>巴西红耳龟</w:t>
            </w:r>
            <w:r>
              <w:rPr>
                <w:spacing w:val="-42"/>
              </w:rPr>
              <w:t xml:space="preserve"> </w:t>
            </w:r>
            <w:r>
              <w:rPr>
                <w:rFonts w:ascii="Times New Roman" w:hAnsi="Times New Roman" w:eastAsia="Times New Roman" w:cs="Times New Roman"/>
                <w:spacing w:val="-3"/>
              </w:rPr>
              <w:t>Trachemys scripta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13" w:type="dxa"/>
            <w:vMerge w:val="continue"/>
            <w:tcBorders>
              <w:top w:val="nil"/>
              <w:bottom w:val="nil"/>
            </w:tcBorders>
            <w:vAlign w:val="top"/>
          </w:tcPr>
          <w:p>
            <w:pPr>
              <w:rPr>
                <w:rFonts w:ascii="Arial"/>
                <w:sz w:val="21"/>
              </w:rPr>
            </w:pPr>
          </w:p>
        </w:tc>
        <w:tc>
          <w:tcPr>
            <w:tcW w:w="1080" w:type="dxa"/>
            <w:vAlign w:val="top"/>
          </w:tcPr>
          <w:p>
            <w:pPr>
              <w:pStyle w:val="6"/>
              <w:spacing w:before="77" w:line="220" w:lineRule="auto"/>
              <w:ind w:left="18"/>
            </w:pPr>
            <w:r>
              <w:rPr>
                <w:spacing w:val="-2"/>
              </w:rPr>
              <w:t>鳄龟科</w:t>
            </w:r>
          </w:p>
        </w:tc>
        <w:tc>
          <w:tcPr>
            <w:tcW w:w="1302" w:type="dxa"/>
            <w:vAlign w:val="top"/>
          </w:tcPr>
          <w:p>
            <w:pPr>
              <w:pStyle w:val="6"/>
              <w:spacing w:before="76" w:line="221" w:lineRule="auto"/>
              <w:ind w:left="21"/>
            </w:pPr>
            <w:r>
              <w:rPr>
                <w:spacing w:val="-2"/>
              </w:rPr>
              <w:t>真鳄龟属</w:t>
            </w:r>
          </w:p>
        </w:tc>
        <w:tc>
          <w:tcPr>
            <w:tcW w:w="4942" w:type="dxa"/>
            <w:vAlign w:val="top"/>
          </w:tcPr>
          <w:p>
            <w:pPr>
              <w:pStyle w:val="6"/>
              <w:spacing w:before="77" w:line="207" w:lineRule="auto"/>
              <w:ind w:left="22"/>
              <w:rPr>
                <w:rFonts w:ascii="Times New Roman" w:hAnsi="Times New Roman" w:eastAsia="Times New Roman" w:cs="Times New Roman"/>
              </w:rPr>
            </w:pPr>
            <w:r>
              <w:rPr>
                <w:spacing w:val="13"/>
              </w:rPr>
              <w:t>真鳄龟</w:t>
            </w:r>
            <w:r>
              <w:rPr>
                <w:spacing w:val="-49"/>
              </w:rPr>
              <w:t xml:space="preserve"> </w:t>
            </w:r>
            <w:r>
              <w:rPr>
                <w:rFonts w:ascii="Times New Roman" w:hAnsi="Times New Roman" w:eastAsia="Times New Roman" w:cs="Times New Roman"/>
              </w:rPr>
              <w:t>Macroclemystemminckii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113" w:type="dxa"/>
            <w:vMerge w:val="continue"/>
            <w:tcBorders>
              <w:top w:val="nil"/>
            </w:tcBorders>
            <w:vAlign w:val="top"/>
          </w:tcPr>
          <w:p>
            <w:pPr>
              <w:rPr>
                <w:rFonts w:ascii="Arial"/>
                <w:sz w:val="21"/>
              </w:rPr>
            </w:pPr>
          </w:p>
        </w:tc>
        <w:tc>
          <w:tcPr>
            <w:tcW w:w="1080" w:type="dxa"/>
            <w:vAlign w:val="top"/>
          </w:tcPr>
          <w:p>
            <w:pPr>
              <w:pStyle w:val="6"/>
              <w:spacing w:before="78" w:line="220" w:lineRule="auto"/>
              <w:ind w:left="19"/>
            </w:pPr>
            <w:r>
              <w:rPr>
                <w:spacing w:val="-2"/>
              </w:rPr>
              <w:t>鳖科</w:t>
            </w:r>
          </w:p>
        </w:tc>
        <w:tc>
          <w:tcPr>
            <w:tcW w:w="1302" w:type="dxa"/>
            <w:vAlign w:val="top"/>
          </w:tcPr>
          <w:p>
            <w:pPr>
              <w:pStyle w:val="6"/>
              <w:spacing w:before="78" w:line="221" w:lineRule="auto"/>
              <w:ind w:left="38"/>
            </w:pPr>
            <w:r>
              <w:rPr>
                <w:spacing w:val="-6"/>
              </w:rPr>
              <w:t>中华鳖</w:t>
            </w:r>
          </w:p>
        </w:tc>
        <w:tc>
          <w:tcPr>
            <w:tcW w:w="4942" w:type="dxa"/>
            <w:vAlign w:val="top"/>
          </w:tcPr>
          <w:p>
            <w:pPr>
              <w:pStyle w:val="6"/>
              <w:spacing w:before="78" w:line="229" w:lineRule="auto"/>
              <w:ind w:left="39"/>
              <w:rPr>
                <w:rFonts w:ascii="Times New Roman" w:hAnsi="Times New Roman" w:eastAsia="Times New Roman" w:cs="Times New Roman"/>
              </w:rPr>
            </w:pPr>
            <w:r>
              <w:rPr>
                <w:spacing w:val="2"/>
              </w:rPr>
              <w:t>中华鳖</w:t>
            </w:r>
            <w:r>
              <w:rPr>
                <w:spacing w:val="-49"/>
              </w:rPr>
              <w:t xml:space="preserve"> </w:t>
            </w:r>
            <w:r>
              <w:rPr>
                <w:rFonts w:ascii="Times New Roman" w:hAnsi="Times New Roman" w:eastAsia="Times New Roman" w:cs="Times New Roman"/>
              </w:rPr>
              <w:t>Pelodiscussinensi</w:t>
            </w:r>
          </w:p>
        </w:tc>
      </w:tr>
    </w:tbl>
    <w:p>
      <w:pPr>
        <w:pStyle w:val="2"/>
      </w:pPr>
    </w:p>
    <w:p>
      <w:pPr>
        <w:sectPr>
          <w:footerReference r:id="rId242" w:type="default"/>
          <w:pgSz w:w="11907" w:h="16839"/>
          <w:pgMar w:top="1288" w:right="1670" w:bottom="1151" w:left="1673" w:header="1047" w:footer="990" w:gutter="0"/>
          <w:cols w:space="720" w:num="1"/>
        </w:sectPr>
      </w:pPr>
    </w:p>
    <w:p>
      <w:pPr>
        <w:pStyle w:val="2"/>
        <w:spacing w:line="304" w:lineRule="auto"/>
      </w:pPr>
    </w:p>
    <w:p>
      <w:pPr>
        <w:spacing w:before="91" w:line="539" w:lineRule="exact"/>
        <w:ind w:left="38"/>
        <w:rPr>
          <w:rFonts w:ascii="宋体" w:hAnsi="宋体" w:eastAsia="宋体" w:cs="宋体"/>
          <w:sz w:val="28"/>
          <w:szCs w:val="28"/>
        </w:rPr>
      </w:pPr>
      <w:bookmarkStart w:id="29" w:name="bookmark30"/>
      <w:bookmarkEnd w:id="29"/>
      <w:bookmarkStart w:id="30" w:name="bookmark31"/>
      <w:bookmarkEnd w:id="30"/>
      <w:r>
        <w:rPr>
          <w:rFonts w:ascii="Times New Roman" w:hAnsi="Times New Roman" w:eastAsia="Times New Roman" w:cs="Times New Roman"/>
          <w:b/>
          <w:bCs/>
          <w:position w:val="19"/>
          <w:sz w:val="28"/>
          <w:szCs w:val="28"/>
        </w:rPr>
        <w:t xml:space="preserve">5 </w:t>
      </w:r>
      <w:r>
        <w:rPr>
          <w:rFonts w:ascii="宋体" w:hAnsi="宋体" w:eastAsia="宋体" w:cs="宋体"/>
          <w:position w:val="19"/>
          <w:sz w:val="28"/>
          <w:szCs w:val="28"/>
          <w14:textOutline w14:w="5094" w14:cap="flat" w14:cmpd="sng">
            <w14:solidFill>
              <w14:srgbClr w14:val="000000"/>
            </w14:solidFill>
            <w14:prstDash w14:val="solid"/>
            <w14:miter w14:val="0"/>
          </w14:textOutline>
        </w:rPr>
        <w:t>环境影响预测评价分析</w:t>
      </w:r>
    </w:p>
    <w:p>
      <w:pPr>
        <w:spacing w:line="219" w:lineRule="auto"/>
        <w:ind w:left="36"/>
        <w:rPr>
          <w:rFonts w:ascii="宋体" w:hAnsi="宋体" w:eastAsia="宋体" w:cs="宋体"/>
          <w:sz w:val="24"/>
          <w:szCs w:val="24"/>
        </w:rPr>
      </w:pPr>
      <w:r>
        <w:rPr>
          <w:rFonts w:ascii="Times New Roman" w:hAnsi="Times New Roman" w:eastAsia="Times New Roman" w:cs="Times New Roman"/>
          <w:b/>
          <w:bCs/>
          <w:spacing w:val="-1"/>
          <w:sz w:val="24"/>
          <w:szCs w:val="24"/>
        </w:rPr>
        <w:t xml:space="preserve">5.1 </w:t>
      </w:r>
      <w:r>
        <w:rPr>
          <w:rFonts w:ascii="宋体" w:hAnsi="宋体" w:eastAsia="宋体" w:cs="宋体"/>
          <w:spacing w:val="-1"/>
          <w:sz w:val="24"/>
          <w:szCs w:val="24"/>
          <w14:textOutline w14:w="4354" w14:cap="flat" w14:cmpd="sng">
            <w14:solidFill>
              <w14:srgbClr w14:val="000000"/>
            </w14:solidFill>
            <w14:prstDash w14:val="solid"/>
            <w14:miter w14:val="0"/>
          </w14:textOutline>
        </w:rPr>
        <w:t>地表水环境影响分析</w:t>
      </w:r>
    </w:p>
    <w:p>
      <w:pPr>
        <w:spacing w:before="182" w:line="218" w:lineRule="auto"/>
        <w:ind w:left="36"/>
        <w:outlineLvl w:val="1"/>
        <w:rPr>
          <w:rFonts w:ascii="宋体" w:hAnsi="宋体" w:eastAsia="宋体" w:cs="宋体"/>
          <w:sz w:val="24"/>
          <w:szCs w:val="24"/>
        </w:rPr>
      </w:pPr>
      <w:r>
        <w:rPr>
          <w:rFonts w:ascii="Times New Roman" w:hAnsi="Times New Roman" w:eastAsia="Times New Roman" w:cs="Times New Roman"/>
          <w:b/>
          <w:bCs/>
          <w:sz w:val="24"/>
          <w:szCs w:val="24"/>
        </w:rPr>
        <w:t xml:space="preserve">5.1.1 </w:t>
      </w:r>
      <w:r>
        <w:rPr>
          <w:rFonts w:ascii="宋体" w:hAnsi="宋体" w:eastAsia="宋体" w:cs="宋体"/>
          <w:sz w:val="24"/>
          <w:szCs w:val="24"/>
          <w14:textOutline w14:w="4354" w14:cap="flat" w14:cmpd="sng">
            <w14:solidFill>
              <w14:srgbClr w14:val="000000"/>
            </w14:solidFill>
            <w14:prstDash w14:val="solid"/>
            <w14:miter w14:val="0"/>
          </w14:textOutline>
        </w:rPr>
        <w:t>施工期地表水环境影响回顾性评价</w:t>
      </w:r>
    </w:p>
    <w:p>
      <w:pPr>
        <w:spacing w:before="182" w:line="468" w:lineRule="exact"/>
        <w:ind w:right="30"/>
        <w:jc w:val="right"/>
        <w:rPr>
          <w:rFonts w:ascii="宋体" w:hAnsi="宋体" w:eastAsia="宋体" w:cs="宋体"/>
          <w:sz w:val="24"/>
          <w:szCs w:val="24"/>
        </w:rPr>
      </w:pPr>
      <w:r>
        <w:rPr>
          <w:rFonts w:ascii="宋体" w:hAnsi="宋体" w:eastAsia="宋体" w:cs="宋体"/>
          <w:spacing w:val="-2"/>
          <w:position w:val="17"/>
          <w:sz w:val="24"/>
          <w:szCs w:val="24"/>
        </w:rPr>
        <w:t>工程施工过程中对水环境的影响主要来自各桥梁基础开挖、钻桩、混凝土浇注等建</w:t>
      </w:r>
    </w:p>
    <w:p>
      <w:pPr>
        <w:spacing w:before="1" w:line="218" w:lineRule="auto"/>
        <w:ind w:left="41"/>
        <w:rPr>
          <w:rFonts w:ascii="宋体" w:hAnsi="宋体" w:eastAsia="宋体" w:cs="宋体"/>
          <w:sz w:val="24"/>
          <w:szCs w:val="24"/>
        </w:rPr>
      </w:pPr>
      <w:r>
        <w:rPr>
          <w:rFonts w:ascii="宋体" w:hAnsi="宋体" w:eastAsia="宋体" w:cs="宋体"/>
          <w:spacing w:val="-1"/>
          <w:sz w:val="24"/>
          <w:szCs w:val="24"/>
        </w:rPr>
        <w:t>设过程中产生的污废水、隧道废水、施工机械产生的含油废水和</w:t>
      </w:r>
      <w:r>
        <w:rPr>
          <w:rFonts w:ascii="宋体" w:hAnsi="宋体" w:eastAsia="宋体" w:cs="宋体"/>
          <w:spacing w:val="-2"/>
          <w:sz w:val="24"/>
          <w:szCs w:val="24"/>
        </w:rPr>
        <w:t>施工人员的生活污水。</w:t>
      </w:r>
    </w:p>
    <w:p>
      <w:pPr>
        <w:spacing w:before="240" w:line="220" w:lineRule="auto"/>
        <w:ind w:left="52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）临时施工场地施工废水对水环境的影响</w:t>
      </w:r>
    </w:p>
    <w:p>
      <w:pPr>
        <w:spacing w:before="244" w:line="359" w:lineRule="auto"/>
        <w:ind w:left="37" w:right="16" w:firstLine="481"/>
        <w:rPr>
          <w:rFonts w:ascii="宋体" w:hAnsi="宋体" w:eastAsia="宋体" w:cs="宋体"/>
          <w:sz w:val="24"/>
          <w:szCs w:val="24"/>
        </w:rPr>
      </w:pPr>
      <w:r>
        <w:rPr>
          <w:rFonts w:ascii="宋体" w:hAnsi="宋体" w:eastAsia="宋体" w:cs="宋体"/>
          <w:spacing w:val="-2"/>
          <w:sz w:val="24"/>
          <w:szCs w:val="24"/>
        </w:rPr>
        <w:t>本工程施工场地产生的废水主要是施工机械、车辆冲洗，混凝土转筒和料罐冲洗，</w:t>
      </w:r>
      <w:r>
        <w:rPr>
          <w:rFonts w:ascii="宋体" w:hAnsi="宋体" w:eastAsia="宋体" w:cs="宋体"/>
          <w:spacing w:val="8"/>
          <w:sz w:val="24"/>
          <w:szCs w:val="24"/>
        </w:rPr>
        <w:t xml:space="preserve"> </w:t>
      </w:r>
      <w:r>
        <w:rPr>
          <w:rFonts w:ascii="宋体" w:hAnsi="宋体" w:eastAsia="宋体" w:cs="宋体"/>
          <w:spacing w:val="-6"/>
          <w:sz w:val="24"/>
          <w:szCs w:val="24"/>
        </w:rPr>
        <w:t>场地冲洗等产生的废水，</w:t>
      </w:r>
      <w:r>
        <w:rPr>
          <w:rFonts w:ascii="宋体" w:hAnsi="宋体" w:eastAsia="宋体" w:cs="宋体"/>
          <w:spacing w:val="53"/>
          <w:sz w:val="24"/>
          <w:szCs w:val="24"/>
        </w:rPr>
        <w:t xml:space="preserve"> </w:t>
      </w:r>
      <w:r>
        <w:rPr>
          <w:rFonts w:ascii="宋体" w:hAnsi="宋体" w:eastAsia="宋体" w:cs="宋体"/>
          <w:spacing w:val="-6"/>
          <w:sz w:val="24"/>
          <w:szCs w:val="24"/>
        </w:rPr>
        <w:t>主要是设置拌和站的施工场地（含水泥拌和场、预制场、</w:t>
      </w:r>
      <w:r>
        <w:rPr>
          <w:rFonts w:ascii="宋体" w:hAnsi="宋体" w:eastAsia="宋体" w:cs="宋体"/>
          <w:spacing w:val="-7"/>
          <w:sz w:val="24"/>
          <w:szCs w:val="24"/>
        </w:rPr>
        <w:t>碎石</w:t>
      </w:r>
      <w:r>
        <w:rPr>
          <w:rFonts w:ascii="宋体" w:hAnsi="宋体" w:eastAsia="宋体" w:cs="宋体"/>
          <w:sz w:val="24"/>
          <w:szCs w:val="24"/>
        </w:rPr>
        <w:t xml:space="preserve"> </w:t>
      </w:r>
      <w:r>
        <w:rPr>
          <w:rFonts w:ascii="宋体" w:hAnsi="宋体" w:eastAsia="宋体" w:cs="宋体"/>
          <w:spacing w:val="-1"/>
          <w:sz w:val="24"/>
          <w:szCs w:val="24"/>
        </w:rPr>
        <w:t>和机制砂加工场等）等施工生产设施。这类冲洗废水产生量不大、呈间</w:t>
      </w:r>
      <w:r>
        <w:rPr>
          <w:rFonts w:ascii="宋体" w:hAnsi="宋体" w:eastAsia="宋体" w:cs="宋体"/>
          <w:spacing w:val="-2"/>
          <w:sz w:val="24"/>
          <w:szCs w:val="24"/>
        </w:rPr>
        <w:t>歇式排放特点。</w:t>
      </w:r>
      <w:r>
        <w:rPr>
          <w:rFonts w:ascii="宋体" w:hAnsi="宋体" w:eastAsia="宋体" w:cs="宋体"/>
          <w:sz w:val="24"/>
          <w:szCs w:val="24"/>
        </w:rPr>
        <w:t xml:space="preserve"> </w:t>
      </w:r>
      <w:r>
        <w:rPr>
          <w:rFonts w:ascii="宋体" w:hAnsi="宋体" w:eastAsia="宋体" w:cs="宋体"/>
          <w:spacing w:val="-10"/>
          <w:sz w:val="24"/>
          <w:szCs w:val="24"/>
        </w:rPr>
        <w:t>该施工场地设置沉淀池，</w:t>
      </w:r>
      <w:r>
        <w:rPr>
          <w:rFonts w:ascii="宋体" w:hAnsi="宋体" w:eastAsia="宋体" w:cs="宋体"/>
          <w:spacing w:val="45"/>
          <w:sz w:val="24"/>
          <w:szCs w:val="24"/>
        </w:rPr>
        <w:t xml:space="preserve"> </w:t>
      </w:r>
      <w:r>
        <w:rPr>
          <w:rFonts w:ascii="宋体" w:hAnsi="宋体" w:eastAsia="宋体" w:cs="宋体"/>
          <w:spacing w:val="-10"/>
          <w:sz w:val="24"/>
          <w:szCs w:val="24"/>
        </w:rPr>
        <w:t>对该废水进行沉淀处理后回用于施工生产和洒水降尘，</w:t>
      </w:r>
      <w:r>
        <w:rPr>
          <w:rFonts w:ascii="宋体" w:hAnsi="宋体" w:eastAsia="宋体" w:cs="宋体"/>
          <w:spacing w:val="43"/>
          <w:sz w:val="24"/>
          <w:szCs w:val="24"/>
        </w:rPr>
        <w:t xml:space="preserve"> </w:t>
      </w:r>
      <w:r>
        <w:rPr>
          <w:rFonts w:ascii="宋体" w:hAnsi="宋体" w:eastAsia="宋体" w:cs="宋体"/>
          <w:spacing w:val="-10"/>
          <w:sz w:val="24"/>
          <w:szCs w:val="24"/>
        </w:rPr>
        <w:t>不排放</w:t>
      </w:r>
    </w:p>
    <w:p>
      <w:pPr>
        <w:spacing w:before="1" w:line="219" w:lineRule="auto"/>
        <w:ind w:left="37"/>
        <w:rPr>
          <w:rFonts w:ascii="宋体" w:hAnsi="宋体" w:eastAsia="宋体" w:cs="宋体"/>
          <w:sz w:val="24"/>
          <w:szCs w:val="24"/>
        </w:rPr>
      </w:pPr>
      <w:r>
        <w:rPr>
          <w:rFonts w:ascii="宋体" w:hAnsi="宋体" w:eastAsia="宋体" w:cs="宋体"/>
          <w:spacing w:val="-6"/>
          <w:sz w:val="24"/>
          <w:szCs w:val="24"/>
        </w:rPr>
        <w:t>入周边水体。</w:t>
      </w:r>
    </w:p>
    <w:p>
      <w:pPr>
        <w:spacing w:before="179"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）施工生活污水对水环境的影响</w:t>
      </w:r>
    </w:p>
    <w:p>
      <w:pPr>
        <w:spacing w:before="183" w:line="359" w:lineRule="auto"/>
        <w:ind w:left="41" w:right="29" w:firstLine="478"/>
        <w:rPr>
          <w:rFonts w:ascii="宋体" w:hAnsi="宋体" w:eastAsia="宋体" w:cs="宋体"/>
          <w:sz w:val="24"/>
          <w:szCs w:val="24"/>
        </w:rPr>
      </w:pPr>
      <w:r>
        <w:rPr>
          <w:rFonts w:ascii="宋体" w:hAnsi="宋体" w:eastAsia="宋体" w:cs="宋体"/>
          <w:spacing w:val="-5"/>
          <w:sz w:val="24"/>
          <w:szCs w:val="24"/>
        </w:rPr>
        <w:t>本项目施工期部分施工人员在场地内采用旱厕或化粪池对生活污水进行处理， 并定</w:t>
      </w:r>
      <w:r>
        <w:rPr>
          <w:rFonts w:ascii="宋体" w:hAnsi="宋体" w:eastAsia="宋体" w:cs="宋体"/>
          <w:spacing w:val="6"/>
          <w:sz w:val="24"/>
          <w:szCs w:val="24"/>
        </w:rPr>
        <w:t xml:space="preserve"> </w:t>
      </w:r>
      <w:r>
        <w:rPr>
          <w:rFonts w:ascii="宋体" w:hAnsi="宋体" w:eastAsia="宋体" w:cs="宋体"/>
          <w:spacing w:val="-6"/>
          <w:sz w:val="24"/>
          <w:szCs w:val="24"/>
        </w:rPr>
        <w:t>期清运用于灌溉山林等；部分施工人员依托附近的村庄民房，</w:t>
      </w:r>
      <w:r>
        <w:rPr>
          <w:rFonts w:ascii="宋体" w:hAnsi="宋体" w:eastAsia="宋体" w:cs="宋体"/>
          <w:spacing w:val="47"/>
          <w:sz w:val="24"/>
          <w:szCs w:val="24"/>
        </w:rPr>
        <w:t xml:space="preserve"> </w:t>
      </w:r>
      <w:r>
        <w:rPr>
          <w:rFonts w:ascii="宋体" w:hAnsi="宋体" w:eastAsia="宋体" w:cs="宋体"/>
          <w:spacing w:val="-6"/>
          <w:sz w:val="24"/>
          <w:szCs w:val="24"/>
        </w:rPr>
        <w:t>充分利用现有污水处理设</w:t>
      </w:r>
    </w:p>
    <w:p>
      <w:pPr>
        <w:spacing w:before="2" w:line="218" w:lineRule="auto"/>
        <w:ind w:left="37"/>
        <w:rPr>
          <w:rFonts w:ascii="宋体" w:hAnsi="宋体" w:eastAsia="宋体" w:cs="宋体"/>
          <w:sz w:val="24"/>
          <w:szCs w:val="24"/>
        </w:rPr>
      </w:pPr>
      <w:r>
        <w:rPr>
          <w:rFonts w:ascii="宋体" w:hAnsi="宋体" w:eastAsia="宋体" w:cs="宋体"/>
          <w:spacing w:val="-3"/>
          <w:sz w:val="24"/>
          <w:szCs w:val="24"/>
        </w:rPr>
        <w:t>施，对周围水环境基本无影响。</w:t>
      </w:r>
    </w:p>
    <w:p>
      <w:pPr>
        <w:spacing w:before="183" w:line="219" w:lineRule="auto"/>
        <w:ind w:left="52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）本项目沿线施工废水影响回顾</w:t>
      </w:r>
    </w:p>
    <w:p>
      <w:pPr>
        <w:spacing w:before="181" w:line="468" w:lineRule="exact"/>
        <w:ind w:right="28"/>
        <w:jc w:val="right"/>
        <w:rPr>
          <w:rFonts w:ascii="宋体" w:hAnsi="宋体" w:eastAsia="宋体" w:cs="宋体"/>
          <w:sz w:val="24"/>
          <w:szCs w:val="24"/>
        </w:rPr>
      </w:pPr>
      <w:r>
        <w:rPr>
          <w:rFonts w:ascii="宋体" w:hAnsi="宋体" w:eastAsia="宋体" w:cs="宋体"/>
          <w:spacing w:val="-2"/>
          <w:position w:val="17"/>
          <w:sz w:val="24"/>
          <w:szCs w:val="24"/>
        </w:rPr>
        <w:t>本项目施工废水主要来自公路沿线表土、物料临时堆场的物料流失及隧道开挖产生</w:t>
      </w:r>
    </w:p>
    <w:p>
      <w:pPr>
        <w:spacing w:before="1" w:line="219" w:lineRule="auto"/>
        <w:ind w:left="57"/>
        <w:rPr>
          <w:rFonts w:ascii="宋体" w:hAnsi="宋体" w:eastAsia="宋体" w:cs="宋体"/>
          <w:sz w:val="24"/>
          <w:szCs w:val="24"/>
        </w:rPr>
      </w:pPr>
      <w:r>
        <w:rPr>
          <w:rFonts w:ascii="宋体" w:hAnsi="宋体" w:eastAsia="宋体" w:cs="宋体"/>
          <w:spacing w:val="-14"/>
          <w:sz w:val="24"/>
          <w:szCs w:val="24"/>
        </w:rPr>
        <w:t>的废水。</w:t>
      </w:r>
    </w:p>
    <w:p>
      <w:pPr>
        <w:spacing w:before="180" w:line="468" w:lineRule="exact"/>
        <w:ind w:right="35"/>
        <w:jc w:val="right"/>
        <w:rPr>
          <w:rFonts w:ascii="宋体" w:hAnsi="宋体" w:eastAsia="宋体" w:cs="宋体"/>
          <w:sz w:val="24"/>
          <w:szCs w:val="24"/>
        </w:rPr>
      </w:pPr>
      <w:r>
        <w:rPr>
          <w:rFonts w:ascii="宋体" w:hAnsi="宋体" w:eastAsia="宋体" w:cs="宋体"/>
          <w:spacing w:val="-7"/>
          <w:position w:val="17"/>
          <w:sz w:val="24"/>
          <w:szCs w:val="24"/>
        </w:rPr>
        <w:t>本项目未跨越大型水体，</w:t>
      </w:r>
      <w:r>
        <w:rPr>
          <w:rFonts w:ascii="宋体" w:hAnsi="宋体" w:eastAsia="宋体" w:cs="宋体"/>
          <w:spacing w:val="67"/>
          <w:position w:val="17"/>
          <w:sz w:val="24"/>
          <w:szCs w:val="24"/>
        </w:rPr>
        <w:t xml:space="preserve"> </w:t>
      </w:r>
      <w:r>
        <w:rPr>
          <w:rFonts w:ascii="宋体" w:hAnsi="宋体" w:eastAsia="宋体" w:cs="宋体"/>
          <w:spacing w:val="-7"/>
          <w:position w:val="17"/>
          <w:sz w:val="24"/>
          <w:szCs w:val="24"/>
        </w:rPr>
        <w:t>只跨越小溪沟，地表水水质参照执行《地表水环境质量标</w:t>
      </w:r>
    </w:p>
    <w:p>
      <w:pPr>
        <w:spacing w:before="1" w:line="212" w:lineRule="auto"/>
        <w:ind w:left="40"/>
        <w:rPr>
          <w:rFonts w:ascii="宋体" w:hAnsi="宋体" w:eastAsia="宋体" w:cs="宋体"/>
          <w:sz w:val="24"/>
          <w:szCs w:val="24"/>
        </w:rPr>
      </w:pPr>
      <w:r>
        <w:rPr>
          <w:rFonts w:ascii="宋体" w:hAnsi="宋体" w:eastAsia="宋体" w:cs="宋体"/>
          <w:spacing w:val="-2"/>
          <w:sz w:val="24"/>
          <w:szCs w:val="24"/>
        </w:rPr>
        <w:t>准》</w:t>
      </w:r>
      <w:r>
        <w:rPr>
          <w:rFonts w:ascii="Times New Roman" w:hAnsi="Times New Roman" w:eastAsia="Times New Roman" w:cs="Times New Roman"/>
          <w:spacing w:val="-2"/>
          <w:sz w:val="24"/>
          <w:szCs w:val="24"/>
        </w:rPr>
        <w:t>(GB3838-2002)</w:t>
      </w:r>
      <w:r>
        <w:rPr>
          <w:rFonts w:ascii="宋体" w:hAnsi="宋体" w:eastAsia="宋体" w:cs="宋体"/>
          <w:spacing w:val="-2"/>
          <w:sz w:val="24"/>
          <w:szCs w:val="24"/>
        </w:rPr>
        <w:t>中的</w:t>
      </w:r>
      <w:r>
        <w:rPr>
          <w:rFonts w:ascii="Times New Roman" w:hAnsi="Times New Roman" w:eastAsia="Times New Roman" w:cs="Times New Roman"/>
          <w:spacing w:val="-2"/>
          <w:sz w:val="24"/>
          <w:szCs w:val="24"/>
        </w:rPr>
        <w:t>Ⅱ</w:t>
      </w:r>
      <w:r>
        <w:rPr>
          <w:rFonts w:ascii="宋体" w:hAnsi="宋体" w:eastAsia="宋体" w:cs="宋体"/>
          <w:spacing w:val="-2"/>
          <w:sz w:val="24"/>
          <w:szCs w:val="24"/>
        </w:rPr>
        <w:t>和</w:t>
      </w:r>
      <w:r>
        <w:rPr>
          <w:rFonts w:ascii="Times New Roman" w:hAnsi="Times New Roman" w:eastAsia="Times New Roman" w:cs="Times New Roman"/>
          <w:spacing w:val="-2"/>
          <w:sz w:val="24"/>
          <w:szCs w:val="24"/>
        </w:rPr>
        <w:t>Ⅲ</w:t>
      </w:r>
      <w:r>
        <w:rPr>
          <w:rFonts w:ascii="宋体" w:hAnsi="宋体" w:eastAsia="宋体" w:cs="宋体"/>
          <w:spacing w:val="-2"/>
          <w:sz w:val="24"/>
          <w:szCs w:val="24"/>
        </w:rPr>
        <w:t>类水质标准。</w:t>
      </w:r>
    </w:p>
    <w:p>
      <w:pPr>
        <w:spacing w:before="189" w:line="468" w:lineRule="exact"/>
        <w:ind w:right="26"/>
        <w:jc w:val="right"/>
        <w:rPr>
          <w:rFonts w:ascii="宋体" w:hAnsi="宋体" w:eastAsia="宋体" w:cs="宋体"/>
          <w:sz w:val="24"/>
          <w:szCs w:val="24"/>
        </w:rPr>
      </w:pPr>
      <w:r>
        <w:rPr>
          <w:rFonts w:ascii="宋体" w:hAnsi="宋体" w:eastAsia="宋体" w:cs="宋体"/>
          <w:spacing w:val="-11"/>
          <w:position w:val="17"/>
          <w:sz w:val="24"/>
          <w:szCs w:val="24"/>
        </w:rPr>
        <w:t>根据现场调查，</w:t>
      </w:r>
      <w:r>
        <w:rPr>
          <w:rFonts w:ascii="宋体" w:hAnsi="宋体" w:eastAsia="宋体" w:cs="宋体"/>
          <w:spacing w:val="45"/>
          <w:position w:val="17"/>
          <w:sz w:val="24"/>
          <w:szCs w:val="24"/>
        </w:rPr>
        <w:t xml:space="preserve"> </w:t>
      </w:r>
      <w:r>
        <w:rPr>
          <w:rFonts w:ascii="宋体" w:hAnsi="宋体" w:eastAsia="宋体" w:cs="宋体"/>
          <w:spacing w:val="-11"/>
          <w:position w:val="17"/>
          <w:sz w:val="24"/>
          <w:szCs w:val="24"/>
        </w:rPr>
        <w:t>施工期间施工人员没有在水体边随意堆放表土、物料等，</w:t>
      </w:r>
      <w:r>
        <w:rPr>
          <w:rFonts w:ascii="宋体" w:hAnsi="宋体" w:eastAsia="宋体" w:cs="宋体"/>
          <w:spacing w:val="58"/>
          <w:position w:val="17"/>
          <w:sz w:val="24"/>
          <w:szCs w:val="24"/>
        </w:rPr>
        <w:t xml:space="preserve"> </w:t>
      </w:r>
      <w:r>
        <w:rPr>
          <w:rFonts w:ascii="宋体" w:hAnsi="宋体" w:eastAsia="宋体" w:cs="宋体"/>
          <w:spacing w:val="-11"/>
          <w:position w:val="17"/>
          <w:sz w:val="24"/>
          <w:szCs w:val="24"/>
        </w:rPr>
        <w:t>隧道</w:t>
      </w:r>
      <w:r>
        <w:rPr>
          <w:rFonts w:ascii="宋体" w:hAnsi="宋体" w:eastAsia="宋体" w:cs="宋体"/>
          <w:spacing w:val="-12"/>
          <w:position w:val="17"/>
          <w:sz w:val="24"/>
          <w:szCs w:val="24"/>
        </w:rPr>
        <w:t>施工</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产生的施工废水没有乱排乱放，未产生污染水体的事件发生。</w:t>
      </w:r>
    </w:p>
    <w:p>
      <w:pPr>
        <w:spacing w:before="180" w:line="220" w:lineRule="auto"/>
        <w:ind w:left="52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）桥梁施工、涉水活动施工对水环境的影响</w:t>
      </w:r>
    </w:p>
    <w:p>
      <w:pPr>
        <w:spacing w:before="182" w:line="466" w:lineRule="exact"/>
        <w:ind w:right="28"/>
        <w:jc w:val="right"/>
        <w:rPr>
          <w:rFonts w:ascii="宋体" w:hAnsi="宋体" w:eastAsia="宋体" w:cs="宋体"/>
          <w:sz w:val="24"/>
          <w:szCs w:val="24"/>
        </w:rPr>
      </w:pPr>
      <w:r>
        <w:rPr>
          <w:rFonts w:ascii="宋体" w:hAnsi="宋体" w:eastAsia="宋体" w:cs="宋体"/>
          <w:spacing w:val="-6"/>
          <w:position w:val="17"/>
          <w:sz w:val="24"/>
          <w:szCs w:val="24"/>
        </w:rPr>
        <w:t>工程拟建桥梁未跨越地表水体，</w:t>
      </w:r>
      <w:r>
        <w:rPr>
          <w:rFonts w:ascii="宋体" w:hAnsi="宋体" w:eastAsia="宋体" w:cs="宋体"/>
          <w:spacing w:val="40"/>
          <w:position w:val="17"/>
          <w:sz w:val="24"/>
          <w:szCs w:val="24"/>
        </w:rPr>
        <w:t xml:space="preserve"> </w:t>
      </w:r>
      <w:r>
        <w:rPr>
          <w:rFonts w:ascii="宋体" w:hAnsi="宋体" w:eastAsia="宋体" w:cs="宋体"/>
          <w:spacing w:val="-6"/>
          <w:position w:val="17"/>
          <w:sz w:val="24"/>
          <w:szCs w:val="24"/>
        </w:rPr>
        <w:t>桥墩均采用钻孔灌注桩基础。本项目跨越</w:t>
      </w:r>
      <w:r>
        <w:rPr>
          <w:rFonts w:ascii="宋体" w:hAnsi="宋体" w:eastAsia="宋体" w:cs="宋体"/>
          <w:spacing w:val="-7"/>
          <w:position w:val="17"/>
          <w:sz w:val="24"/>
          <w:szCs w:val="24"/>
        </w:rPr>
        <w:t>溪沟排水</w:t>
      </w:r>
    </w:p>
    <w:p>
      <w:pPr>
        <w:spacing w:before="1" w:line="218" w:lineRule="auto"/>
        <w:ind w:left="39"/>
        <w:rPr>
          <w:rFonts w:ascii="宋体" w:hAnsi="宋体" w:eastAsia="宋体" w:cs="宋体"/>
          <w:sz w:val="24"/>
          <w:szCs w:val="24"/>
        </w:rPr>
      </w:pPr>
      <w:r>
        <w:rPr>
          <w:rFonts w:ascii="宋体" w:hAnsi="宋体" w:eastAsia="宋体" w:cs="宋体"/>
          <w:spacing w:val="-1"/>
          <w:sz w:val="24"/>
          <w:szCs w:val="24"/>
        </w:rPr>
        <w:t>均采用盖板涵、管涵、箱涵等。</w:t>
      </w:r>
    </w:p>
    <w:p>
      <w:pPr>
        <w:spacing w:before="184" w:line="359" w:lineRule="auto"/>
        <w:ind w:left="49" w:right="28" w:firstLine="467"/>
        <w:rPr>
          <w:rFonts w:ascii="宋体" w:hAnsi="宋体" w:eastAsia="宋体" w:cs="宋体"/>
          <w:sz w:val="24"/>
          <w:szCs w:val="24"/>
        </w:rPr>
      </w:pPr>
      <w:r>
        <w:rPr>
          <w:rFonts w:ascii="宋体" w:hAnsi="宋体" w:eastAsia="宋体" w:cs="宋体"/>
          <w:spacing w:val="-15"/>
          <w:sz w:val="24"/>
          <w:szCs w:val="24"/>
        </w:rPr>
        <w:t>在盖板涵等的施工过程中，</w:t>
      </w:r>
      <w:r>
        <w:rPr>
          <w:rFonts w:ascii="宋体" w:hAnsi="宋体" w:eastAsia="宋体" w:cs="宋体"/>
          <w:spacing w:val="93"/>
          <w:sz w:val="24"/>
          <w:szCs w:val="24"/>
        </w:rPr>
        <w:t xml:space="preserve"> </w:t>
      </w:r>
      <w:r>
        <w:rPr>
          <w:rFonts w:ascii="宋体" w:hAnsi="宋体" w:eastAsia="宋体" w:cs="宋体"/>
          <w:spacing w:val="-15"/>
          <w:sz w:val="24"/>
          <w:szCs w:val="24"/>
        </w:rPr>
        <w:t>由于施工搅动溪沟底质， 产生悬浮物，</w:t>
      </w:r>
      <w:r>
        <w:rPr>
          <w:rFonts w:ascii="宋体" w:hAnsi="宋体" w:eastAsia="宋体" w:cs="宋体"/>
          <w:spacing w:val="45"/>
          <w:sz w:val="24"/>
          <w:szCs w:val="24"/>
        </w:rPr>
        <w:t xml:space="preserve"> </w:t>
      </w:r>
      <w:r>
        <w:rPr>
          <w:rFonts w:ascii="宋体" w:hAnsi="宋体" w:eastAsia="宋体" w:cs="宋体"/>
          <w:spacing w:val="-15"/>
          <w:sz w:val="24"/>
          <w:szCs w:val="24"/>
        </w:rPr>
        <w:t>施工时设置了临</w:t>
      </w:r>
      <w:r>
        <w:rPr>
          <w:rFonts w:ascii="宋体" w:hAnsi="宋体" w:eastAsia="宋体" w:cs="宋体"/>
          <w:sz w:val="24"/>
          <w:szCs w:val="24"/>
        </w:rPr>
        <w:t xml:space="preserve"> </w:t>
      </w:r>
      <w:r>
        <w:rPr>
          <w:rFonts w:ascii="宋体" w:hAnsi="宋体" w:eastAsia="宋体" w:cs="宋体"/>
          <w:spacing w:val="-14"/>
          <w:sz w:val="24"/>
          <w:szCs w:val="24"/>
        </w:rPr>
        <w:t>时围堰， 悬浮物集中在围堰内，</w:t>
      </w:r>
      <w:r>
        <w:rPr>
          <w:rFonts w:ascii="宋体" w:hAnsi="宋体" w:eastAsia="宋体" w:cs="宋体"/>
          <w:spacing w:val="65"/>
          <w:sz w:val="24"/>
          <w:szCs w:val="24"/>
        </w:rPr>
        <w:t xml:space="preserve"> </w:t>
      </w:r>
      <w:r>
        <w:rPr>
          <w:rFonts w:ascii="宋体" w:hAnsi="宋体" w:eastAsia="宋体" w:cs="宋体"/>
          <w:spacing w:val="-14"/>
          <w:sz w:val="24"/>
          <w:szCs w:val="24"/>
        </w:rPr>
        <w:t>对堰外水体影响小，</w:t>
      </w:r>
      <w:r>
        <w:rPr>
          <w:rFonts w:ascii="宋体" w:hAnsi="宋体" w:eastAsia="宋体" w:cs="宋体"/>
          <w:spacing w:val="51"/>
          <w:sz w:val="24"/>
          <w:szCs w:val="24"/>
        </w:rPr>
        <w:t xml:space="preserve"> </w:t>
      </w:r>
      <w:r>
        <w:rPr>
          <w:rFonts w:ascii="宋体" w:hAnsi="宋体" w:eastAsia="宋体" w:cs="宋体"/>
          <w:spacing w:val="-14"/>
          <w:sz w:val="24"/>
          <w:szCs w:val="24"/>
        </w:rPr>
        <w:t>影响时间短暂。围堰内水体抽出经</w:t>
      </w:r>
    </w:p>
    <w:p>
      <w:pPr>
        <w:spacing w:line="219" w:lineRule="auto"/>
        <w:ind w:left="38"/>
        <w:rPr>
          <w:rFonts w:ascii="宋体" w:hAnsi="宋体" w:eastAsia="宋体" w:cs="宋体"/>
          <w:sz w:val="24"/>
          <w:szCs w:val="24"/>
        </w:rPr>
      </w:pPr>
      <w:r>
        <w:rPr>
          <w:rFonts w:ascii="宋体" w:hAnsi="宋体" w:eastAsia="宋体" w:cs="宋体"/>
          <w:spacing w:val="-2"/>
          <w:sz w:val="24"/>
          <w:szCs w:val="24"/>
        </w:rPr>
        <w:t>沉淀池沉淀处理，有效防止施工引起的水质污染。</w:t>
      </w:r>
    </w:p>
    <w:p>
      <w:pPr>
        <w:spacing w:before="180"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）隧道施工对地表水环境的影响分析</w:t>
      </w:r>
    </w:p>
    <w:p>
      <w:pPr>
        <w:spacing w:line="220" w:lineRule="auto"/>
        <w:rPr>
          <w:rFonts w:ascii="宋体" w:hAnsi="宋体" w:eastAsia="宋体" w:cs="宋体"/>
          <w:sz w:val="24"/>
          <w:szCs w:val="24"/>
        </w:rPr>
        <w:sectPr>
          <w:headerReference r:id="rId243" w:type="default"/>
          <w:footerReference r:id="rId244" w:type="default"/>
          <w:pgSz w:w="11907" w:h="16839"/>
          <w:pgMar w:top="1118" w:right="1387" w:bottom="1072" w:left="1387" w:header="877" w:footer="911" w:gutter="0"/>
          <w:cols w:space="720" w:num="1"/>
        </w:sectPr>
      </w:pPr>
    </w:p>
    <w:p>
      <w:pPr>
        <w:pStyle w:val="2"/>
        <w:spacing w:line="312" w:lineRule="auto"/>
      </w:pPr>
    </w:p>
    <w:p>
      <w:pPr>
        <w:spacing w:before="78" w:line="359" w:lineRule="auto"/>
        <w:ind w:left="41" w:right="17" w:firstLine="478"/>
        <w:rPr>
          <w:rFonts w:ascii="宋体" w:hAnsi="宋体" w:eastAsia="宋体" w:cs="宋体"/>
          <w:sz w:val="24"/>
          <w:szCs w:val="24"/>
        </w:rPr>
      </w:pPr>
      <w:r>
        <w:rPr>
          <w:rFonts w:ascii="宋体" w:hAnsi="宋体" w:eastAsia="宋体" w:cs="宋体"/>
          <w:spacing w:val="-10"/>
          <w:sz w:val="24"/>
          <w:szCs w:val="24"/>
        </w:rPr>
        <w:t>本项目隧道施工产生的涌水较少，</w:t>
      </w:r>
      <w:r>
        <w:rPr>
          <w:rFonts w:ascii="宋体" w:hAnsi="宋体" w:eastAsia="宋体" w:cs="宋体"/>
          <w:spacing w:val="39"/>
          <w:sz w:val="24"/>
          <w:szCs w:val="24"/>
        </w:rPr>
        <w:t xml:space="preserve"> </w:t>
      </w:r>
      <w:r>
        <w:rPr>
          <w:rFonts w:ascii="宋体" w:hAnsi="宋体" w:eastAsia="宋体" w:cs="宋体"/>
          <w:spacing w:val="-10"/>
          <w:sz w:val="24"/>
          <w:szCs w:val="24"/>
        </w:rPr>
        <w:t>产生的涌水</w:t>
      </w:r>
      <w:r>
        <w:rPr>
          <w:rFonts w:ascii="宋体" w:hAnsi="宋体" w:eastAsia="宋体" w:cs="宋体"/>
          <w:spacing w:val="-11"/>
          <w:sz w:val="24"/>
          <w:szCs w:val="24"/>
        </w:rPr>
        <w:t>用于施工生产，</w:t>
      </w:r>
      <w:r>
        <w:rPr>
          <w:rFonts w:ascii="宋体" w:hAnsi="宋体" w:eastAsia="宋体" w:cs="宋体"/>
          <w:spacing w:val="39"/>
          <w:sz w:val="24"/>
          <w:szCs w:val="24"/>
        </w:rPr>
        <w:t xml:space="preserve"> </w:t>
      </w:r>
      <w:r>
        <w:rPr>
          <w:rFonts w:ascii="宋体" w:hAnsi="宋体" w:eastAsia="宋体" w:cs="宋体"/>
          <w:spacing w:val="-11"/>
          <w:sz w:val="24"/>
          <w:szCs w:val="24"/>
        </w:rPr>
        <w:t>施工废水主要包括施</w:t>
      </w:r>
      <w:r>
        <w:rPr>
          <w:rFonts w:ascii="宋体" w:hAnsi="宋体" w:eastAsia="宋体" w:cs="宋体"/>
          <w:sz w:val="24"/>
          <w:szCs w:val="24"/>
        </w:rPr>
        <w:t xml:space="preserve"> </w:t>
      </w:r>
      <w:r>
        <w:rPr>
          <w:rFonts w:ascii="宋体" w:hAnsi="宋体" w:eastAsia="宋体" w:cs="宋体"/>
          <w:spacing w:val="-15"/>
          <w:sz w:val="24"/>
          <w:szCs w:val="24"/>
        </w:rPr>
        <w:t>工设备如钻机等产生的废水，</w:t>
      </w:r>
      <w:r>
        <w:rPr>
          <w:rFonts w:ascii="宋体" w:hAnsi="宋体" w:eastAsia="宋体" w:cs="宋体"/>
          <w:spacing w:val="58"/>
          <w:sz w:val="24"/>
          <w:szCs w:val="24"/>
        </w:rPr>
        <w:t xml:space="preserve"> </w:t>
      </w:r>
      <w:r>
        <w:rPr>
          <w:rFonts w:ascii="宋体" w:hAnsi="宋体" w:eastAsia="宋体" w:cs="宋体"/>
          <w:spacing w:val="-15"/>
          <w:sz w:val="24"/>
          <w:szCs w:val="24"/>
        </w:rPr>
        <w:t>隧道爆破后用于降尘的</w:t>
      </w:r>
      <w:r>
        <w:rPr>
          <w:rFonts w:ascii="宋体" w:hAnsi="宋体" w:eastAsia="宋体" w:cs="宋体"/>
          <w:spacing w:val="-16"/>
          <w:sz w:val="24"/>
          <w:szCs w:val="24"/>
        </w:rPr>
        <w:t>水，</w:t>
      </w:r>
      <w:r>
        <w:rPr>
          <w:rFonts w:ascii="宋体" w:hAnsi="宋体" w:eastAsia="宋体" w:cs="宋体"/>
          <w:spacing w:val="56"/>
          <w:sz w:val="24"/>
          <w:szCs w:val="24"/>
        </w:rPr>
        <w:t xml:space="preserve"> </w:t>
      </w:r>
      <w:r>
        <w:rPr>
          <w:rFonts w:ascii="宋体" w:hAnsi="宋体" w:eastAsia="宋体" w:cs="宋体"/>
          <w:spacing w:val="-16"/>
          <w:sz w:val="24"/>
          <w:szCs w:val="24"/>
        </w:rPr>
        <w:t>喷射水泥泥砂浆渗出的水，</w:t>
      </w:r>
      <w:r>
        <w:rPr>
          <w:rFonts w:ascii="宋体" w:hAnsi="宋体" w:eastAsia="宋体" w:cs="宋体"/>
          <w:spacing w:val="47"/>
          <w:sz w:val="24"/>
          <w:szCs w:val="24"/>
        </w:rPr>
        <w:t xml:space="preserve"> </w:t>
      </w:r>
      <w:r>
        <w:rPr>
          <w:rFonts w:ascii="宋体" w:hAnsi="宋体" w:eastAsia="宋体" w:cs="宋体"/>
          <w:spacing w:val="-16"/>
          <w:sz w:val="24"/>
          <w:szCs w:val="24"/>
        </w:rPr>
        <w:t>这</w:t>
      </w:r>
      <w:r>
        <w:rPr>
          <w:rFonts w:ascii="宋体" w:hAnsi="宋体" w:eastAsia="宋体" w:cs="宋体"/>
          <w:sz w:val="24"/>
          <w:szCs w:val="24"/>
        </w:rPr>
        <w:t xml:space="preserve"> </w:t>
      </w:r>
      <w:r>
        <w:rPr>
          <w:rFonts w:ascii="宋体" w:hAnsi="宋体" w:eastAsia="宋体" w:cs="宋体"/>
          <w:spacing w:val="-7"/>
          <w:sz w:val="24"/>
          <w:szCs w:val="24"/>
        </w:rPr>
        <w:t>些废水中主要污染物是</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SS</w:t>
      </w:r>
      <w:r>
        <w:rPr>
          <w:rFonts w:ascii="宋体" w:hAnsi="宋体" w:eastAsia="宋体" w:cs="宋体"/>
          <w:spacing w:val="-7"/>
          <w:sz w:val="24"/>
          <w:szCs w:val="24"/>
        </w:rPr>
        <w:t>、石油类，</w:t>
      </w:r>
      <w:r>
        <w:rPr>
          <w:rFonts w:ascii="宋体" w:hAnsi="宋体" w:eastAsia="宋体" w:cs="宋体"/>
          <w:spacing w:val="57"/>
          <w:sz w:val="24"/>
          <w:szCs w:val="24"/>
        </w:rPr>
        <w:t xml:space="preserve"> </w:t>
      </w:r>
      <w:r>
        <w:rPr>
          <w:rFonts w:ascii="宋体" w:hAnsi="宋体" w:eastAsia="宋体" w:cs="宋体"/>
          <w:spacing w:val="-7"/>
          <w:sz w:val="24"/>
          <w:szCs w:val="24"/>
        </w:rPr>
        <w:t>废水整体呈碱性。这些废水采用沉淀池进行处理，</w:t>
      </w:r>
      <w:r>
        <w:rPr>
          <w:rFonts w:ascii="宋体" w:hAnsi="宋体" w:eastAsia="宋体" w:cs="宋体"/>
          <w:sz w:val="24"/>
          <w:szCs w:val="24"/>
        </w:rPr>
        <w:t xml:space="preserve"> 先进行</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 xml:space="preserve">pH </w:t>
      </w:r>
      <w:r>
        <w:rPr>
          <w:rFonts w:ascii="宋体" w:hAnsi="宋体" w:eastAsia="宋体" w:cs="宋体"/>
          <w:sz w:val="24"/>
          <w:szCs w:val="24"/>
        </w:rPr>
        <w:t>值调节，并经隔油沉淀后继续</w:t>
      </w:r>
      <w:r>
        <w:rPr>
          <w:rFonts w:ascii="宋体" w:hAnsi="宋体" w:eastAsia="宋体" w:cs="宋体"/>
          <w:spacing w:val="-1"/>
          <w:sz w:val="24"/>
          <w:szCs w:val="24"/>
        </w:rPr>
        <w:t>回用于隧道施工过程中的降尘和冲洗等，对沿</w:t>
      </w:r>
    </w:p>
    <w:p>
      <w:pPr>
        <w:spacing w:before="1" w:line="218" w:lineRule="auto"/>
        <w:ind w:left="41"/>
        <w:rPr>
          <w:rFonts w:ascii="宋体" w:hAnsi="宋体" w:eastAsia="宋体" w:cs="宋体"/>
          <w:sz w:val="24"/>
          <w:szCs w:val="24"/>
        </w:rPr>
      </w:pPr>
      <w:r>
        <w:rPr>
          <w:rFonts w:ascii="宋体" w:hAnsi="宋体" w:eastAsia="宋体" w:cs="宋体"/>
          <w:spacing w:val="-5"/>
          <w:sz w:val="24"/>
          <w:szCs w:val="24"/>
        </w:rPr>
        <w:t>线水体基本无影响。</w:t>
      </w:r>
    </w:p>
    <w:p>
      <w:pPr>
        <w:spacing w:before="182" w:line="220" w:lineRule="auto"/>
        <w:ind w:left="52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）对珊溪</w:t>
      </w:r>
      <w:r>
        <w:rPr>
          <w:rFonts w:ascii="Times New Roman" w:hAnsi="Times New Roman" w:eastAsia="Times New Roman" w:cs="Times New Roman"/>
          <w:spacing w:val="-1"/>
          <w:sz w:val="24"/>
          <w:szCs w:val="24"/>
        </w:rPr>
        <w:t>-</w:t>
      </w:r>
      <w:r>
        <w:rPr>
          <w:rFonts w:ascii="宋体" w:hAnsi="宋体" w:eastAsia="宋体" w:cs="宋体"/>
          <w:spacing w:val="-1"/>
          <w:sz w:val="24"/>
          <w:szCs w:val="24"/>
        </w:rPr>
        <w:t>赵山渡饮用水源保护区准保护区及包垟水库的影响</w:t>
      </w:r>
    </w:p>
    <w:p>
      <w:pPr>
        <w:spacing w:before="179" w:line="219" w:lineRule="auto"/>
        <w:ind w:left="519"/>
        <w:rPr>
          <w:rFonts w:ascii="宋体" w:hAnsi="宋体" w:eastAsia="宋体" w:cs="宋体"/>
          <w:sz w:val="24"/>
          <w:szCs w:val="24"/>
        </w:rPr>
      </w:pPr>
      <w:r>
        <w:rPr>
          <w:rFonts w:ascii="宋体" w:hAnsi="宋体" w:eastAsia="宋体" w:cs="宋体"/>
          <w:spacing w:val="-1"/>
          <w:sz w:val="24"/>
          <w:szCs w:val="24"/>
        </w:rPr>
        <w:t>本项目线路位于饮用水水源准保护区范围内，不涉及饮用一</w:t>
      </w:r>
      <w:r>
        <w:rPr>
          <w:rFonts w:ascii="宋体" w:hAnsi="宋体" w:eastAsia="宋体" w:cs="宋体"/>
          <w:spacing w:val="-2"/>
          <w:sz w:val="24"/>
          <w:szCs w:val="24"/>
        </w:rPr>
        <w:t>级、二级保护区。</w:t>
      </w:r>
    </w:p>
    <w:p>
      <w:pPr>
        <w:spacing w:before="183" w:line="359" w:lineRule="auto"/>
        <w:ind w:left="39" w:right="84" w:firstLine="479"/>
        <w:rPr>
          <w:rFonts w:ascii="宋体" w:hAnsi="宋体" w:eastAsia="宋体" w:cs="宋体"/>
          <w:sz w:val="24"/>
          <w:szCs w:val="24"/>
        </w:rPr>
      </w:pPr>
      <w:r>
        <w:rPr>
          <w:rFonts w:ascii="宋体" w:hAnsi="宋体" w:eastAsia="宋体" w:cs="宋体"/>
          <w:spacing w:val="-2"/>
          <w:sz w:val="24"/>
          <w:szCs w:val="24"/>
        </w:rPr>
        <w:t>根据施工过程中施工作业情况，工程施工过程中各类生产废水能进行处理后回用，</w:t>
      </w:r>
      <w:r>
        <w:rPr>
          <w:rFonts w:ascii="宋体" w:hAnsi="宋体" w:eastAsia="宋体" w:cs="宋体"/>
          <w:spacing w:val="8"/>
          <w:sz w:val="24"/>
          <w:szCs w:val="24"/>
        </w:rPr>
        <w:t xml:space="preserve"> </w:t>
      </w:r>
      <w:r>
        <w:rPr>
          <w:rFonts w:ascii="宋体" w:hAnsi="宋体" w:eastAsia="宋体" w:cs="宋体"/>
          <w:spacing w:val="-2"/>
          <w:sz w:val="24"/>
          <w:szCs w:val="24"/>
        </w:rPr>
        <w:t>生活污水处理后委托清运灌溉山林。部分能施工形成的裸露面及时喷洒草籽或用篷布覆</w:t>
      </w:r>
      <w:r>
        <w:rPr>
          <w:rFonts w:ascii="宋体" w:hAnsi="宋体" w:eastAsia="宋体" w:cs="宋体"/>
          <w:spacing w:val="16"/>
          <w:sz w:val="24"/>
          <w:szCs w:val="24"/>
        </w:rPr>
        <w:t xml:space="preserve"> </w:t>
      </w:r>
      <w:r>
        <w:rPr>
          <w:rFonts w:ascii="宋体" w:hAnsi="宋体" w:eastAsia="宋体" w:cs="宋体"/>
          <w:spacing w:val="-8"/>
          <w:sz w:val="24"/>
          <w:szCs w:val="24"/>
        </w:rPr>
        <w:t>盖，</w:t>
      </w:r>
      <w:r>
        <w:rPr>
          <w:rFonts w:ascii="宋体" w:hAnsi="宋体" w:eastAsia="宋体" w:cs="宋体"/>
          <w:spacing w:val="-43"/>
          <w:sz w:val="24"/>
          <w:szCs w:val="24"/>
        </w:rPr>
        <w:t xml:space="preserve"> </w:t>
      </w:r>
      <w:r>
        <w:rPr>
          <w:rFonts w:ascii="宋体" w:hAnsi="宋体" w:eastAsia="宋体" w:cs="宋体"/>
          <w:spacing w:val="-8"/>
          <w:sz w:val="24"/>
          <w:szCs w:val="24"/>
        </w:rPr>
        <w:t>各类施工材料基本堆置在料仓或者仓库中，</w:t>
      </w:r>
      <w:r>
        <w:rPr>
          <w:rFonts w:ascii="宋体" w:hAnsi="宋体" w:eastAsia="宋体" w:cs="宋体"/>
          <w:spacing w:val="46"/>
          <w:sz w:val="24"/>
          <w:szCs w:val="24"/>
        </w:rPr>
        <w:t xml:space="preserve"> </w:t>
      </w:r>
      <w:r>
        <w:rPr>
          <w:rFonts w:ascii="宋体" w:hAnsi="宋体" w:eastAsia="宋体" w:cs="宋体"/>
          <w:spacing w:val="-8"/>
          <w:sz w:val="24"/>
          <w:szCs w:val="24"/>
        </w:rPr>
        <w:t>基本不会对周边地表水体产生影响。因</w:t>
      </w:r>
    </w:p>
    <w:p>
      <w:pPr>
        <w:spacing w:before="1" w:line="218" w:lineRule="auto"/>
        <w:ind w:left="39"/>
        <w:rPr>
          <w:rFonts w:ascii="宋体" w:hAnsi="宋体" w:eastAsia="宋体" w:cs="宋体"/>
          <w:sz w:val="24"/>
          <w:szCs w:val="24"/>
        </w:rPr>
      </w:pPr>
      <w:r>
        <w:rPr>
          <w:rFonts w:ascii="宋体" w:hAnsi="宋体" w:eastAsia="宋体" w:cs="宋体"/>
          <w:spacing w:val="-1"/>
          <w:sz w:val="24"/>
          <w:szCs w:val="24"/>
        </w:rPr>
        <w:t>此，工程施工建设对准保护区基本无影响，也不会对水源地的</w:t>
      </w:r>
      <w:r>
        <w:rPr>
          <w:rFonts w:ascii="宋体" w:hAnsi="宋体" w:eastAsia="宋体" w:cs="宋体"/>
          <w:spacing w:val="-2"/>
          <w:sz w:val="24"/>
          <w:szCs w:val="24"/>
        </w:rPr>
        <w:t>保护造成不利影响。</w:t>
      </w:r>
    </w:p>
    <w:p>
      <w:pPr>
        <w:spacing w:before="184" w:line="359" w:lineRule="auto"/>
        <w:ind w:left="60" w:right="82" w:firstLine="457"/>
        <w:rPr>
          <w:rFonts w:ascii="宋体" w:hAnsi="宋体" w:eastAsia="宋体" w:cs="宋体"/>
          <w:sz w:val="24"/>
          <w:szCs w:val="24"/>
        </w:rPr>
      </w:pPr>
      <w:r>
        <w:rPr>
          <w:rFonts w:ascii="宋体" w:hAnsi="宋体" w:eastAsia="宋体" w:cs="宋体"/>
          <w:spacing w:val="-10"/>
          <w:sz w:val="24"/>
          <w:szCs w:val="24"/>
        </w:rPr>
        <w:t>拟划定为</w:t>
      </w:r>
      <w:r>
        <w:rPr>
          <w:rFonts w:ascii="Times New Roman" w:hAnsi="Times New Roman" w:eastAsia="Times New Roman" w:cs="Times New Roman"/>
          <w:spacing w:val="-10"/>
          <w:sz w:val="24"/>
          <w:szCs w:val="24"/>
        </w:rPr>
        <w:t>“</w:t>
      </w:r>
      <w:r>
        <w:rPr>
          <w:rFonts w:ascii="宋体" w:hAnsi="宋体" w:eastAsia="宋体" w:cs="宋体"/>
          <w:spacing w:val="-10"/>
          <w:sz w:val="24"/>
          <w:szCs w:val="24"/>
        </w:rPr>
        <w:t>千吨万人</w:t>
      </w:r>
      <w:r>
        <w:rPr>
          <w:rFonts w:ascii="Times New Roman" w:hAnsi="Times New Roman" w:eastAsia="Times New Roman" w:cs="Times New Roman"/>
          <w:spacing w:val="-10"/>
          <w:sz w:val="24"/>
          <w:szCs w:val="24"/>
        </w:rPr>
        <w:t>”</w:t>
      </w:r>
      <w:r>
        <w:rPr>
          <w:rFonts w:ascii="宋体" w:hAnsi="宋体" w:eastAsia="宋体" w:cs="宋体"/>
          <w:spacing w:val="-10"/>
          <w:sz w:val="24"/>
          <w:szCs w:val="24"/>
        </w:rPr>
        <w:t>水源地的包垟水库，</w:t>
      </w:r>
      <w:r>
        <w:rPr>
          <w:rFonts w:ascii="宋体" w:hAnsi="宋体" w:eastAsia="宋体" w:cs="宋体"/>
          <w:spacing w:val="56"/>
          <w:sz w:val="24"/>
          <w:szCs w:val="24"/>
        </w:rPr>
        <w:t xml:space="preserve"> </w:t>
      </w:r>
      <w:r>
        <w:rPr>
          <w:rFonts w:ascii="宋体" w:hAnsi="宋体" w:eastAsia="宋体" w:cs="宋体"/>
          <w:spacing w:val="-10"/>
          <w:sz w:val="24"/>
          <w:szCs w:val="24"/>
        </w:rPr>
        <w:t>水库高程在工程之上</w:t>
      </w:r>
      <w:r>
        <w:rPr>
          <w:rFonts w:ascii="宋体" w:hAnsi="宋体" w:eastAsia="宋体" w:cs="宋体"/>
          <w:spacing w:val="-11"/>
          <w:sz w:val="24"/>
          <w:szCs w:val="24"/>
        </w:rPr>
        <w:t>，</w:t>
      </w:r>
      <w:r>
        <w:rPr>
          <w:rFonts w:ascii="宋体" w:hAnsi="宋体" w:eastAsia="宋体" w:cs="宋体"/>
          <w:spacing w:val="54"/>
          <w:sz w:val="24"/>
          <w:szCs w:val="24"/>
        </w:rPr>
        <w:t xml:space="preserve"> </w:t>
      </w:r>
      <w:r>
        <w:rPr>
          <w:rFonts w:ascii="宋体" w:hAnsi="宋体" w:eastAsia="宋体" w:cs="宋体"/>
          <w:spacing w:val="-11"/>
          <w:sz w:val="24"/>
          <w:szCs w:val="24"/>
        </w:rPr>
        <w:t>且工程和建设过程</w:t>
      </w:r>
      <w:r>
        <w:rPr>
          <w:rFonts w:ascii="宋体" w:hAnsi="宋体" w:eastAsia="宋体" w:cs="宋体"/>
          <w:sz w:val="24"/>
          <w:szCs w:val="24"/>
        </w:rPr>
        <w:t xml:space="preserve"> </w:t>
      </w:r>
      <w:r>
        <w:rPr>
          <w:rFonts w:ascii="宋体" w:hAnsi="宋体" w:eastAsia="宋体" w:cs="宋体"/>
          <w:spacing w:val="-15"/>
          <w:sz w:val="24"/>
          <w:szCs w:val="24"/>
        </w:rPr>
        <w:t>中的临时场地，</w:t>
      </w:r>
      <w:r>
        <w:rPr>
          <w:rFonts w:ascii="宋体" w:hAnsi="宋体" w:eastAsia="宋体" w:cs="宋体"/>
          <w:spacing w:val="47"/>
          <w:sz w:val="24"/>
          <w:szCs w:val="24"/>
        </w:rPr>
        <w:t xml:space="preserve"> </w:t>
      </w:r>
      <w:r>
        <w:rPr>
          <w:rFonts w:ascii="宋体" w:hAnsi="宋体" w:eastAsia="宋体" w:cs="宋体"/>
          <w:spacing w:val="-15"/>
          <w:sz w:val="24"/>
          <w:szCs w:val="24"/>
        </w:rPr>
        <w:t>均与包垟水库有一定的距离，</w:t>
      </w:r>
      <w:r>
        <w:rPr>
          <w:rFonts w:ascii="宋体" w:hAnsi="宋体" w:eastAsia="宋体" w:cs="宋体"/>
          <w:spacing w:val="46"/>
          <w:sz w:val="24"/>
          <w:szCs w:val="24"/>
        </w:rPr>
        <w:t xml:space="preserve"> </w:t>
      </w:r>
      <w:r>
        <w:rPr>
          <w:rFonts w:ascii="宋体" w:hAnsi="宋体" w:eastAsia="宋体" w:cs="宋体"/>
          <w:spacing w:val="-15"/>
          <w:sz w:val="24"/>
          <w:szCs w:val="24"/>
        </w:rPr>
        <w:t>且本项目</w:t>
      </w:r>
      <w:r>
        <w:rPr>
          <w:rFonts w:ascii="宋体" w:hAnsi="宋体" w:eastAsia="宋体" w:cs="宋体"/>
          <w:spacing w:val="-16"/>
          <w:sz w:val="24"/>
          <w:szCs w:val="24"/>
        </w:rPr>
        <w:t>施工过程中，</w:t>
      </w:r>
      <w:r>
        <w:rPr>
          <w:rFonts w:ascii="宋体" w:hAnsi="宋体" w:eastAsia="宋体" w:cs="宋体"/>
          <w:spacing w:val="49"/>
          <w:sz w:val="24"/>
          <w:szCs w:val="24"/>
        </w:rPr>
        <w:t xml:space="preserve"> </w:t>
      </w:r>
      <w:r>
        <w:rPr>
          <w:rFonts w:ascii="宋体" w:hAnsi="宋体" w:eastAsia="宋体" w:cs="宋体"/>
          <w:spacing w:val="-16"/>
          <w:sz w:val="24"/>
          <w:szCs w:val="24"/>
        </w:rPr>
        <w:t>各类生产废水均能</w:t>
      </w:r>
    </w:p>
    <w:p>
      <w:pPr>
        <w:spacing w:before="1" w:line="218" w:lineRule="auto"/>
        <w:ind w:left="36"/>
        <w:rPr>
          <w:rFonts w:ascii="宋体" w:hAnsi="宋体" w:eastAsia="宋体" w:cs="宋体"/>
          <w:sz w:val="24"/>
          <w:szCs w:val="24"/>
        </w:rPr>
      </w:pPr>
      <w:r>
        <w:rPr>
          <w:rFonts w:ascii="宋体" w:hAnsi="宋体" w:eastAsia="宋体" w:cs="宋体"/>
          <w:spacing w:val="-1"/>
          <w:sz w:val="24"/>
          <w:szCs w:val="24"/>
        </w:rPr>
        <w:t>进行处理后回用，生活污水处理后委托清运灌溉山林，不会对包垟</w:t>
      </w:r>
      <w:r>
        <w:rPr>
          <w:rFonts w:ascii="宋体" w:hAnsi="宋体" w:eastAsia="宋体" w:cs="宋体"/>
          <w:spacing w:val="-2"/>
          <w:sz w:val="24"/>
          <w:szCs w:val="24"/>
        </w:rPr>
        <w:t>水库产生影响。</w:t>
      </w:r>
    </w:p>
    <w:p>
      <w:pPr>
        <w:spacing w:before="184" w:line="218" w:lineRule="auto"/>
        <w:ind w:left="36"/>
        <w:outlineLvl w:val="1"/>
        <w:rPr>
          <w:rFonts w:ascii="宋体" w:hAnsi="宋体" w:eastAsia="宋体" w:cs="宋体"/>
          <w:sz w:val="24"/>
          <w:szCs w:val="24"/>
        </w:rPr>
      </w:pPr>
      <w:r>
        <w:rPr>
          <w:rFonts w:ascii="Times New Roman" w:hAnsi="Times New Roman" w:eastAsia="Times New Roman" w:cs="Times New Roman"/>
          <w:b/>
          <w:bCs/>
          <w:spacing w:val="-1"/>
          <w:sz w:val="24"/>
          <w:szCs w:val="24"/>
        </w:rPr>
        <w:t>5.1.2</w:t>
      </w:r>
      <w:r>
        <w:rPr>
          <w:rFonts w:ascii="Times New Roman" w:hAnsi="Times New Roman" w:eastAsia="Times New Roman" w:cs="Times New Roman"/>
          <w:b/>
          <w:bCs/>
          <w:spacing w:val="18"/>
          <w:w w:val="10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营运期地表水环境影响评价</w:t>
      </w:r>
    </w:p>
    <w:p>
      <w:pPr>
        <w:spacing w:before="205" w:line="220" w:lineRule="auto"/>
        <w:ind w:left="40"/>
        <w:rPr>
          <w:rFonts w:ascii="宋体" w:hAnsi="宋体" w:eastAsia="宋体" w:cs="宋体"/>
          <w:sz w:val="24"/>
          <w:szCs w:val="24"/>
        </w:rPr>
      </w:pPr>
      <w:r>
        <w:fldChar w:fldCharType="begin"/>
      </w:r>
      <w:r>
        <w:instrText xml:space="preserve"> HYPERLINK "5.1.2.1" </w:instrText>
      </w:r>
      <w:r>
        <w:fldChar w:fldCharType="separate"/>
      </w:r>
      <w:r>
        <w:rPr>
          <w:rFonts w:ascii="Times New Roman" w:hAnsi="Times New Roman" w:eastAsia="Times New Roman" w:cs="Times New Roman"/>
          <w:spacing w:val="-2"/>
          <w:sz w:val="24"/>
          <w:szCs w:val="24"/>
        </w:rPr>
        <w:t>5.1.2.1</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4"/>
          <w:w w:val="101"/>
          <w:sz w:val="24"/>
          <w:szCs w:val="24"/>
        </w:rPr>
        <w:t xml:space="preserve"> </w:t>
      </w:r>
      <w:r>
        <w:rPr>
          <w:rFonts w:ascii="宋体" w:hAnsi="宋体" w:eastAsia="宋体" w:cs="宋体"/>
          <w:spacing w:val="-2"/>
          <w:sz w:val="24"/>
          <w:szCs w:val="24"/>
        </w:rPr>
        <w:t>营运期水体水质影响分析</w:t>
      </w:r>
    </w:p>
    <w:p>
      <w:pPr>
        <w:spacing w:before="207" w:line="359" w:lineRule="auto"/>
        <w:ind w:left="40" w:firstLine="485"/>
        <w:rPr>
          <w:rFonts w:ascii="宋体" w:hAnsi="宋体" w:eastAsia="宋体" w:cs="宋体"/>
          <w:sz w:val="24"/>
          <w:szCs w:val="24"/>
        </w:rPr>
      </w:pPr>
      <w:r>
        <w:rPr>
          <w:rFonts w:ascii="宋体" w:hAnsi="宋体" w:eastAsia="宋体" w:cs="宋体"/>
          <w:spacing w:val="-2"/>
          <w:sz w:val="24"/>
          <w:szCs w:val="24"/>
        </w:rPr>
        <w:t>公路营运期对周围水环境质量的影响主要为路、桥面雨水径流对水质</w:t>
      </w:r>
      <w:r>
        <w:rPr>
          <w:rFonts w:ascii="宋体" w:hAnsi="宋体" w:eastAsia="宋体" w:cs="宋体"/>
          <w:spacing w:val="-3"/>
          <w:sz w:val="24"/>
          <w:szCs w:val="24"/>
        </w:rPr>
        <w:t xml:space="preserve">的影响。径流 </w:t>
      </w:r>
      <w:r>
        <w:rPr>
          <w:rFonts w:ascii="宋体" w:hAnsi="宋体" w:eastAsia="宋体" w:cs="宋体"/>
          <w:spacing w:val="-8"/>
          <w:sz w:val="24"/>
          <w:szCs w:val="24"/>
        </w:rPr>
        <w:t>污染物主要是悬浮物、石油类和有机物， 其污染物浓</w:t>
      </w:r>
      <w:r>
        <w:rPr>
          <w:rFonts w:ascii="宋体" w:hAnsi="宋体" w:eastAsia="宋体" w:cs="宋体"/>
          <w:spacing w:val="-9"/>
          <w:sz w:val="24"/>
          <w:szCs w:val="24"/>
        </w:rPr>
        <w:t>度受降雨强度、车流量、车辆类型、</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灰尘沉降量和前期干旱时间等因素影响。</w:t>
      </w:r>
    </w:p>
    <w:p>
      <w:pPr>
        <w:spacing w:before="181" w:line="468" w:lineRule="exact"/>
        <w:ind w:right="11"/>
        <w:jc w:val="right"/>
        <w:rPr>
          <w:rFonts w:ascii="宋体" w:hAnsi="宋体" w:eastAsia="宋体" w:cs="宋体"/>
          <w:sz w:val="24"/>
          <w:szCs w:val="24"/>
        </w:rPr>
      </w:pPr>
      <w:r>
        <w:rPr>
          <w:rFonts w:ascii="宋体" w:hAnsi="宋体" w:eastAsia="宋体" w:cs="宋体"/>
          <w:spacing w:val="-6"/>
          <w:position w:val="17"/>
          <w:sz w:val="24"/>
          <w:szCs w:val="24"/>
        </w:rPr>
        <w:t>根据工程分析，路面径流污水在降雨初期前</w:t>
      </w:r>
      <w:r>
        <w:rPr>
          <w:rFonts w:ascii="宋体" w:hAnsi="宋体" w:eastAsia="宋体" w:cs="宋体"/>
          <w:spacing w:val="-44"/>
          <w:position w:val="17"/>
          <w:sz w:val="24"/>
          <w:szCs w:val="24"/>
        </w:rPr>
        <w:t xml:space="preserve"> </w:t>
      </w:r>
      <w:r>
        <w:rPr>
          <w:rFonts w:ascii="Times New Roman" w:hAnsi="Times New Roman" w:eastAsia="Times New Roman" w:cs="Times New Roman"/>
          <w:spacing w:val="-6"/>
          <w:position w:val="17"/>
          <w:sz w:val="24"/>
          <w:szCs w:val="24"/>
        </w:rPr>
        <w:t xml:space="preserve">15min </w:t>
      </w:r>
      <w:r>
        <w:rPr>
          <w:rFonts w:ascii="宋体" w:hAnsi="宋体" w:eastAsia="宋体" w:cs="宋体"/>
          <w:spacing w:val="-6"/>
          <w:position w:val="17"/>
          <w:sz w:val="24"/>
          <w:szCs w:val="24"/>
        </w:rPr>
        <w:t>至前</w:t>
      </w:r>
      <w:r>
        <w:rPr>
          <w:rFonts w:ascii="宋体" w:hAnsi="宋体" w:eastAsia="宋体" w:cs="宋体"/>
          <w:spacing w:val="-70"/>
          <w:position w:val="17"/>
          <w:sz w:val="24"/>
          <w:szCs w:val="24"/>
        </w:rPr>
        <w:t xml:space="preserve"> </w:t>
      </w:r>
      <w:r>
        <w:rPr>
          <w:rFonts w:ascii="Times New Roman" w:hAnsi="Times New Roman" w:eastAsia="Times New Roman" w:cs="Times New Roman"/>
          <w:spacing w:val="-6"/>
          <w:position w:val="17"/>
          <w:sz w:val="24"/>
          <w:szCs w:val="24"/>
        </w:rPr>
        <w:t xml:space="preserve">30min </w:t>
      </w:r>
      <w:r>
        <w:rPr>
          <w:rFonts w:ascii="宋体" w:hAnsi="宋体" w:eastAsia="宋体" w:cs="宋体"/>
          <w:spacing w:val="-6"/>
          <w:position w:val="17"/>
          <w:sz w:val="24"/>
          <w:szCs w:val="24"/>
        </w:rPr>
        <w:t>污染物浓度逐步增大，</w:t>
      </w:r>
    </w:p>
    <w:p>
      <w:pPr>
        <w:spacing w:before="1" w:line="219" w:lineRule="auto"/>
        <w:ind w:left="51"/>
        <w:rPr>
          <w:rFonts w:ascii="宋体" w:hAnsi="宋体" w:eastAsia="宋体" w:cs="宋体"/>
          <w:sz w:val="24"/>
          <w:szCs w:val="24"/>
        </w:rPr>
      </w:pPr>
      <w:r>
        <w:rPr>
          <w:rFonts w:ascii="宋体" w:hAnsi="宋体" w:eastAsia="宋体" w:cs="宋体"/>
          <w:spacing w:val="-2"/>
          <w:sz w:val="24"/>
          <w:szCs w:val="24"/>
        </w:rPr>
        <w:t xml:space="preserve">随后污染物逐渐降低，可见路面径流的主要污染集中在降雨初期的前 </w:t>
      </w:r>
      <w:r>
        <w:rPr>
          <w:rFonts w:ascii="Times New Roman" w:hAnsi="Times New Roman" w:eastAsia="Times New Roman" w:cs="Times New Roman"/>
          <w:spacing w:val="-2"/>
          <w:sz w:val="24"/>
          <w:szCs w:val="24"/>
        </w:rPr>
        <w:t>30min</w:t>
      </w:r>
      <w:r>
        <w:rPr>
          <w:rFonts w:ascii="Times New Roman" w:hAnsi="Times New Roman" w:eastAsia="Times New Roman" w:cs="Times New Roman"/>
          <w:spacing w:val="56"/>
          <w:w w:val="101"/>
          <w:sz w:val="24"/>
          <w:szCs w:val="24"/>
        </w:rPr>
        <w:t xml:space="preserve"> </w:t>
      </w:r>
      <w:r>
        <w:rPr>
          <w:rFonts w:ascii="宋体" w:hAnsi="宋体" w:eastAsia="宋体" w:cs="宋体"/>
          <w:spacing w:val="-2"/>
          <w:sz w:val="24"/>
          <w:szCs w:val="24"/>
        </w:rPr>
        <w:t>内。</w:t>
      </w:r>
    </w:p>
    <w:p>
      <w:pPr>
        <w:spacing w:before="183" w:line="359" w:lineRule="auto"/>
        <w:ind w:left="37" w:right="70" w:firstLine="484"/>
        <w:rPr>
          <w:rFonts w:ascii="宋体" w:hAnsi="宋体" w:eastAsia="宋体" w:cs="宋体"/>
          <w:sz w:val="24"/>
          <w:szCs w:val="24"/>
        </w:rPr>
      </w:pPr>
      <w:r>
        <w:rPr>
          <w:rFonts w:ascii="宋体" w:hAnsi="宋体" w:eastAsia="宋体" w:cs="宋体"/>
          <w:spacing w:val="-5"/>
          <w:sz w:val="24"/>
          <w:szCs w:val="24"/>
        </w:rPr>
        <w:t>一方面由于工程线路在设计时已经考虑了边沟、排水沟、截水沟等排水设施， 将路</w:t>
      </w:r>
      <w:r>
        <w:rPr>
          <w:rFonts w:ascii="宋体" w:hAnsi="宋体" w:eastAsia="宋体" w:cs="宋体"/>
          <w:spacing w:val="2"/>
          <w:sz w:val="24"/>
          <w:szCs w:val="24"/>
        </w:rPr>
        <w:t xml:space="preserve"> </w:t>
      </w:r>
      <w:r>
        <w:rPr>
          <w:rFonts w:ascii="宋体" w:hAnsi="宋体" w:eastAsia="宋体" w:cs="宋体"/>
          <w:spacing w:val="-10"/>
          <w:sz w:val="24"/>
          <w:szCs w:val="24"/>
        </w:rPr>
        <w:t>基范围内的降水引至周边边沟等，</w:t>
      </w:r>
      <w:r>
        <w:rPr>
          <w:rFonts w:ascii="宋体" w:hAnsi="宋体" w:eastAsia="宋体" w:cs="宋体"/>
          <w:spacing w:val="49"/>
          <w:sz w:val="24"/>
          <w:szCs w:val="24"/>
        </w:rPr>
        <w:t xml:space="preserve"> </w:t>
      </w:r>
      <w:r>
        <w:rPr>
          <w:rFonts w:ascii="宋体" w:hAnsi="宋体" w:eastAsia="宋体" w:cs="宋体"/>
          <w:spacing w:val="-10"/>
          <w:sz w:val="24"/>
          <w:szCs w:val="24"/>
        </w:rPr>
        <w:t>工程运营后，</w:t>
      </w:r>
      <w:r>
        <w:rPr>
          <w:rFonts w:ascii="宋体" w:hAnsi="宋体" w:eastAsia="宋体" w:cs="宋体"/>
          <w:spacing w:val="48"/>
          <w:sz w:val="24"/>
          <w:szCs w:val="24"/>
        </w:rPr>
        <w:t xml:space="preserve"> </w:t>
      </w:r>
      <w:r>
        <w:rPr>
          <w:rFonts w:ascii="宋体" w:hAnsi="宋体" w:eastAsia="宋体" w:cs="宋体"/>
          <w:spacing w:val="-10"/>
          <w:sz w:val="24"/>
          <w:szCs w:val="24"/>
        </w:rPr>
        <w:t>路面</w:t>
      </w:r>
      <w:r>
        <w:rPr>
          <w:rFonts w:ascii="宋体" w:hAnsi="宋体" w:eastAsia="宋体" w:cs="宋体"/>
          <w:spacing w:val="-11"/>
          <w:sz w:val="24"/>
          <w:szCs w:val="24"/>
        </w:rPr>
        <w:t>、桥面径流一般经边坡绿化带以及</w:t>
      </w:r>
      <w:r>
        <w:rPr>
          <w:rFonts w:ascii="宋体" w:hAnsi="宋体" w:eastAsia="宋体" w:cs="宋体"/>
          <w:sz w:val="24"/>
          <w:szCs w:val="24"/>
        </w:rPr>
        <w:t xml:space="preserve"> </w:t>
      </w:r>
      <w:r>
        <w:rPr>
          <w:rFonts w:ascii="宋体" w:hAnsi="宋体" w:eastAsia="宋体" w:cs="宋体"/>
          <w:spacing w:val="-6"/>
          <w:sz w:val="24"/>
          <w:szCs w:val="24"/>
        </w:rPr>
        <w:t>边沟、排水沟、截水沟等排水设施后排放。因此，</w:t>
      </w:r>
      <w:r>
        <w:rPr>
          <w:rFonts w:ascii="宋体" w:hAnsi="宋体" w:eastAsia="宋体" w:cs="宋体"/>
          <w:spacing w:val="53"/>
          <w:sz w:val="24"/>
          <w:szCs w:val="24"/>
        </w:rPr>
        <w:t xml:space="preserve"> </w:t>
      </w:r>
      <w:r>
        <w:rPr>
          <w:rFonts w:ascii="宋体" w:hAnsi="宋体" w:eastAsia="宋体" w:cs="宋体"/>
          <w:spacing w:val="-6"/>
          <w:sz w:val="24"/>
          <w:szCs w:val="24"/>
        </w:rPr>
        <w:t>路面径流对沿线河流水体不会产</w:t>
      </w:r>
      <w:r>
        <w:rPr>
          <w:rFonts w:ascii="宋体" w:hAnsi="宋体" w:eastAsia="宋体" w:cs="宋体"/>
          <w:spacing w:val="-7"/>
          <w:sz w:val="24"/>
          <w:szCs w:val="24"/>
        </w:rPr>
        <w:t>生较</w:t>
      </w:r>
      <w:r>
        <w:rPr>
          <w:rFonts w:ascii="宋体" w:hAnsi="宋体" w:eastAsia="宋体" w:cs="宋体"/>
          <w:sz w:val="24"/>
          <w:szCs w:val="24"/>
        </w:rPr>
        <w:t xml:space="preserve"> </w:t>
      </w:r>
      <w:r>
        <w:rPr>
          <w:rFonts w:ascii="宋体" w:hAnsi="宋体" w:eastAsia="宋体" w:cs="宋体"/>
          <w:spacing w:val="-6"/>
          <w:sz w:val="24"/>
          <w:szCs w:val="24"/>
        </w:rPr>
        <w:t>大的影响。另一方面由于公路路面宽度有限，</w:t>
      </w:r>
      <w:r>
        <w:rPr>
          <w:rFonts w:ascii="宋体" w:hAnsi="宋体" w:eastAsia="宋体" w:cs="宋体"/>
          <w:spacing w:val="58"/>
          <w:sz w:val="24"/>
          <w:szCs w:val="24"/>
        </w:rPr>
        <w:t xml:space="preserve"> </w:t>
      </w:r>
      <w:r>
        <w:rPr>
          <w:rFonts w:ascii="宋体" w:hAnsi="宋体" w:eastAsia="宋体" w:cs="宋体"/>
          <w:spacing w:val="-6"/>
          <w:sz w:val="24"/>
          <w:szCs w:val="24"/>
        </w:rPr>
        <w:t>因此公路径流占整个区</w:t>
      </w:r>
      <w:r>
        <w:rPr>
          <w:rFonts w:ascii="宋体" w:hAnsi="宋体" w:eastAsia="宋体" w:cs="宋体"/>
          <w:spacing w:val="-7"/>
          <w:sz w:val="24"/>
          <w:szCs w:val="24"/>
        </w:rPr>
        <w:t>域地面径流量的比</w:t>
      </w:r>
      <w:r>
        <w:rPr>
          <w:rFonts w:ascii="宋体" w:hAnsi="宋体" w:eastAsia="宋体" w:cs="宋体"/>
          <w:sz w:val="24"/>
          <w:szCs w:val="24"/>
        </w:rPr>
        <w:t xml:space="preserve"> </w:t>
      </w:r>
      <w:r>
        <w:rPr>
          <w:rFonts w:ascii="宋体" w:hAnsi="宋体" w:eastAsia="宋体" w:cs="宋体"/>
          <w:spacing w:val="-15"/>
          <w:sz w:val="24"/>
          <w:szCs w:val="24"/>
        </w:rPr>
        <w:t>例是很小的，</w:t>
      </w:r>
      <w:r>
        <w:rPr>
          <w:rFonts w:ascii="宋体" w:hAnsi="宋体" w:eastAsia="宋体" w:cs="宋体"/>
          <w:spacing w:val="47"/>
          <w:sz w:val="24"/>
          <w:szCs w:val="24"/>
        </w:rPr>
        <w:t xml:space="preserve"> </w:t>
      </w:r>
      <w:r>
        <w:rPr>
          <w:rFonts w:ascii="宋体" w:hAnsi="宋体" w:eastAsia="宋体" w:cs="宋体"/>
          <w:spacing w:val="-15"/>
          <w:sz w:val="24"/>
          <w:szCs w:val="24"/>
        </w:rPr>
        <w:t>而且被分散在整个沿线，</w:t>
      </w:r>
      <w:r>
        <w:rPr>
          <w:rFonts w:ascii="宋体" w:hAnsi="宋体" w:eastAsia="宋体" w:cs="宋体"/>
          <w:spacing w:val="65"/>
          <w:sz w:val="24"/>
          <w:szCs w:val="24"/>
        </w:rPr>
        <w:t xml:space="preserve"> </w:t>
      </w:r>
      <w:r>
        <w:rPr>
          <w:rFonts w:ascii="宋体" w:hAnsi="宋体" w:eastAsia="宋体" w:cs="宋体"/>
          <w:spacing w:val="-15"/>
          <w:sz w:val="24"/>
          <w:szCs w:val="24"/>
        </w:rPr>
        <w:t>因此公路距离水体远近不同</w:t>
      </w:r>
      <w:r>
        <w:rPr>
          <w:rFonts w:ascii="宋体" w:hAnsi="宋体" w:eastAsia="宋体" w:cs="宋体"/>
          <w:spacing w:val="-16"/>
          <w:sz w:val="24"/>
          <w:szCs w:val="24"/>
        </w:rPr>
        <w:t>，</w:t>
      </w:r>
      <w:r>
        <w:rPr>
          <w:rFonts w:ascii="宋体" w:hAnsi="宋体" w:eastAsia="宋体" w:cs="宋体"/>
          <w:spacing w:val="47"/>
          <w:sz w:val="24"/>
          <w:szCs w:val="24"/>
        </w:rPr>
        <w:t xml:space="preserve"> </w:t>
      </w:r>
      <w:r>
        <w:rPr>
          <w:rFonts w:ascii="宋体" w:hAnsi="宋体" w:eastAsia="宋体" w:cs="宋体"/>
          <w:spacing w:val="-16"/>
          <w:sz w:val="24"/>
          <w:szCs w:val="24"/>
        </w:rPr>
        <w:t>流失污染物浓度不</w:t>
      </w:r>
      <w:r>
        <w:rPr>
          <w:rFonts w:ascii="宋体" w:hAnsi="宋体" w:eastAsia="宋体" w:cs="宋体"/>
          <w:sz w:val="24"/>
          <w:szCs w:val="24"/>
        </w:rPr>
        <w:t xml:space="preserve"> </w:t>
      </w:r>
      <w:r>
        <w:rPr>
          <w:rFonts w:ascii="宋体" w:hAnsi="宋体" w:eastAsia="宋体" w:cs="宋体"/>
          <w:spacing w:val="-1"/>
          <w:sz w:val="24"/>
          <w:szCs w:val="24"/>
        </w:rPr>
        <w:t>一，路面径流随各路段而流入沿途不同小溪沟，也就不能形成较为集中的</w:t>
      </w:r>
      <w:r>
        <w:rPr>
          <w:rFonts w:ascii="宋体" w:hAnsi="宋体" w:eastAsia="宋体" w:cs="宋体"/>
          <w:spacing w:val="-2"/>
          <w:sz w:val="24"/>
          <w:szCs w:val="24"/>
        </w:rPr>
        <w:t>径流污染源。</w:t>
      </w:r>
      <w:r>
        <w:rPr>
          <w:rFonts w:ascii="宋体" w:hAnsi="宋体" w:eastAsia="宋体" w:cs="宋体"/>
          <w:sz w:val="24"/>
          <w:szCs w:val="24"/>
        </w:rPr>
        <w:t xml:space="preserve"> </w:t>
      </w:r>
      <w:r>
        <w:rPr>
          <w:rFonts w:ascii="宋体" w:hAnsi="宋体" w:eastAsia="宋体" w:cs="宋体"/>
          <w:spacing w:val="-9"/>
          <w:sz w:val="24"/>
          <w:szCs w:val="24"/>
        </w:rPr>
        <w:t>因此， 公路路面径流基本不会对沿途经过的水体造成明显的影响，</w:t>
      </w:r>
      <w:r>
        <w:rPr>
          <w:rFonts w:ascii="宋体" w:hAnsi="宋体" w:eastAsia="宋体" w:cs="宋体"/>
          <w:spacing w:val="54"/>
          <w:sz w:val="24"/>
          <w:szCs w:val="24"/>
        </w:rPr>
        <w:t xml:space="preserve"> </w:t>
      </w:r>
      <w:r>
        <w:rPr>
          <w:rFonts w:ascii="宋体" w:hAnsi="宋体" w:eastAsia="宋体" w:cs="宋体"/>
          <w:spacing w:val="-9"/>
          <w:sz w:val="24"/>
          <w:szCs w:val="24"/>
        </w:rPr>
        <w:t>短时间影响随着降雨</w:t>
      </w:r>
    </w:p>
    <w:p>
      <w:pPr>
        <w:spacing w:before="1" w:line="220" w:lineRule="auto"/>
        <w:ind w:left="49"/>
        <w:rPr>
          <w:rFonts w:ascii="宋体" w:hAnsi="宋体" w:eastAsia="宋体" w:cs="宋体"/>
          <w:sz w:val="24"/>
          <w:szCs w:val="24"/>
        </w:rPr>
      </w:pPr>
      <w:r>
        <w:rPr>
          <w:rFonts w:ascii="宋体" w:hAnsi="宋体" w:eastAsia="宋体" w:cs="宋体"/>
          <w:spacing w:val="-6"/>
          <w:sz w:val="24"/>
          <w:szCs w:val="24"/>
        </w:rPr>
        <w:t>时段增加逐渐减弱。</w:t>
      </w:r>
    </w:p>
    <w:p>
      <w:pPr>
        <w:spacing w:line="220" w:lineRule="auto"/>
        <w:rPr>
          <w:rFonts w:ascii="宋体" w:hAnsi="宋体" w:eastAsia="宋体" w:cs="宋体"/>
          <w:sz w:val="24"/>
          <w:szCs w:val="24"/>
        </w:rPr>
        <w:sectPr>
          <w:headerReference r:id="rId245" w:type="default"/>
          <w:footerReference r:id="rId246" w:type="default"/>
          <w:pgSz w:w="11907" w:h="16839"/>
          <w:pgMar w:top="1118" w:right="1332" w:bottom="1072" w:left="1387" w:header="877" w:footer="911" w:gutter="0"/>
          <w:cols w:space="720" w:num="1"/>
        </w:sectPr>
      </w:pPr>
    </w:p>
    <w:p>
      <w:pPr>
        <w:pStyle w:val="2"/>
        <w:spacing w:line="311" w:lineRule="auto"/>
      </w:pPr>
    </w:p>
    <w:p>
      <w:pPr>
        <w:spacing w:before="78" w:line="220" w:lineRule="auto"/>
        <w:ind w:left="40"/>
        <w:rPr>
          <w:rFonts w:ascii="宋体" w:hAnsi="宋体" w:eastAsia="宋体" w:cs="宋体"/>
          <w:sz w:val="24"/>
          <w:szCs w:val="24"/>
        </w:rPr>
      </w:pPr>
      <w:r>
        <w:fldChar w:fldCharType="begin"/>
      </w:r>
      <w:r>
        <w:instrText xml:space="preserve"> HYPERLINK "5.1.2.2" </w:instrText>
      </w:r>
      <w:r>
        <w:fldChar w:fldCharType="separate"/>
      </w:r>
      <w:r>
        <w:rPr>
          <w:rFonts w:ascii="Times New Roman" w:hAnsi="Times New Roman" w:eastAsia="Times New Roman" w:cs="Times New Roman"/>
          <w:spacing w:val="-1"/>
          <w:sz w:val="24"/>
          <w:szCs w:val="24"/>
        </w:rPr>
        <w:t>5.1.2.2</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对珊溪</w:t>
      </w:r>
      <w:r>
        <w:rPr>
          <w:rFonts w:ascii="Times New Roman" w:hAnsi="Times New Roman" w:eastAsia="Times New Roman" w:cs="Times New Roman"/>
          <w:spacing w:val="-1"/>
          <w:sz w:val="24"/>
          <w:szCs w:val="24"/>
        </w:rPr>
        <w:t>-</w:t>
      </w:r>
      <w:r>
        <w:rPr>
          <w:rFonts w:ascii="宋体" w:hAnsi="宋体" w:eastAsia="宋体" w:cs="宋体"/>
          <w:spacing w:val="-1"/>
          <w:sz w:val="24"/>
          <w:szCs w:val="24"/>
        </w:rPr>
        <w:t>赵山渡饮用水源保护区准保护区的影响</w:t>
      </w:r>
    </w:p>
    <w:p>
      <w:pPr>
        <w:spacing w:before="206" w:line="219" w:lineRule="auto"/>
        <w:ind w:left="519"/>
        <w:rPr>
          <w:rFonts w:ascii="宋体" w:hAnsi="宋体" w:eastAsia="宋体" w:cs="宋体"/>
          <w:sz w:val="24"/>
          <w:szCs w:val="24"/>
        </w:rPr>
      </w:pPr>
      <w:r>
        <w:rPr>
          <w:rFonts w:ascii="宋体" w:hAnsi="宋体" w:eastAsia="宋体" w:cs="宋体"/>
          <w:spacing w:val="-1"/>
          <w:sz w:val="24"/>
          <w:szCs w:val="24"/>
        </w:rPr>
        <w:t>本项目线路位于饮用水水源准保护区范围内，不涉及饮用一</w:t>
      </w:r>
      <w:r>
        <w:rPr>
          <w:rFonts w:ascii="宋体" w:hAnsi="宋体" w:eastAsia="宋体" w:cs="宋体"/>
          <w:spacing w:val="-2"/>
          <w:sz w:val="24"/>
          <w:szCs w:val="24"/>
        </w:rPr>
        <w:t>级、二级保护区。</w:t>
      </w:r>
    </w:p>
    <w:p>
      <w:pPr>
        <w:spacing w:before="181" w:line="359" w:lineRule="auto"/>
        <w:ind w:left="39" w:right="68" w:firstLine="478"/>
        <w:rPr>
          <w:rFonts w:ascii="宋体" w:hAnsi="宋体" w:eastAsia="宋体" w:cs="宋体"/>
          <w:sz w:val="24"/>
          <w:szCs w:val="24"/>
        </w:rPr>
      </w:pPr>
      <w:r>
        <w:rPr>
          <w:rFonts w:ascii="宋体" w:hAnsi="宋体" w:eastAsia="宋体" w:cs="宋体"/>
          <w:spacing w:val="-16"/>
          <w:sz w:val="24"/>
          <w:szCs w:val="24"/>
        </w:rPr>
        <w:t>在非事故状态下，</w:t>
      </w:r>
      <w:r>
        <w:rPr>
          <w:rFonts w:ascii="宋体" w:hAnsi="宋体" w:eastAsia="宋体" w:cs="宋体"/>
          <w:spacing w:val="48"/>
          <w:sz w:val="24"/>
          <w:szCs w:val="24"/>
        </w:rPr>
        <w:t xml:space="preserve"> </w:t>
      </w:r>
      <w:r>
        <w:rPr>
          <w:rFonts w:ascii="宋体" w:hAnsi="宋体" w:eastAsia="宋体" w:cs="宋体"/>
          <w:spacing w:val="-16"/>
          <w:sz w:val="24"/>
          <w:szCs w:val="24"/>
        </w:rPr>
        <w:t>路面径流水污染物浓度较低，</w:t>
      </w:r>
      <w:r>
        <w:rPr>
          <w:rFonts w:ascii="宋体" w:hAnsi="宋体" w:eastAsia="宋体" w:cs="宋体"/>
          <w:spacing w:val="60"/>
          <w:sz w:val="24"/>
          <w:szCs w:val="24"/>
        </w:rPr>
        <w:t xml:space="preserve"> </w:t>
      </w:r>
      <w:r>
        <w:rPr>
          <w:rFonts w:ascii="宋体" w:hAnsi="宋体" w:eastAsia="宋体" w:cs="宋体"/>
          <w:spacing w:val="-16"/>
          <w:sz w:val="24"/>
          <w:szCs w:val="24"/>
        </w:rPr>
        <w:t>随着降雨时间的持续，</w:t>
      </w:r>
      <w:r>
        <w:rPr>
          <w:rFonts w:ascii="宋体" w:hAnsi="宋体" w:eastAsia="宋体" w:cs="宋体"/>
          <w:spacing w:val="48"/>
          <w:sz w:val="24"/>
          <w:szCs w:val="24"/>
        </w:rPr>
        <w:t xml:space="preserve"> </w:t>
      </w:r>
      <w:r>
        <w:rPr>
          <w:rFonts w:ascii="宋体" w:hAnsi="宋体" w:eastAsia="宋体" w:cs="宋体"/>
          <w:spacing w:val="-16"/>
          <w:sz w:val="24"/>
          <w:szCs w:val="24"/>
        </w:rPr>
        <w:t>路面雨水径</w:t>
      </w:r>
      <w:r>
        <w:rPr>
          <w:rFonts w:ascii="宋体" w:hAnsi="宋体" w:eastAsia="宋体" w:cs="宋体"/>
          <w:sz w:val="24"/>
          <w:szCs w:val="24"/>
        </w:rPr>
        <w:t xml:space="preserve"> </w:t>
      </w:r>
      <w:r>
        <w:rPr>
          <w:rFonts w:ascii="宋体" w:hAnsi="宋体" w:eastAsia="宋体" w:cs="宋体"/>
          <w:spacing w:val="-4"/>
          <w:sz w:val="24"/>
          <w:szCs w:val="24"/>
        </w:rPr>
        <w:t>流中污染物浓度进一步降低，</w:t>
      </w:r>
      <w:r>
        <w:rPr>
          <w:rFonts w:ascii="宋体" w:hAnsi="宋体" w:eastAsia="宋体" w:cs="宋体"/>
          <w:spacing w:val="-25"/>
          <w:sz w:val="24"/>
          <w:szCs w:val="24"/>
        </w:rPr>
        <w:t xml:space="preserve"> </w:t>
      </w:r>
      <w:r>
        <w:rPr>
          <w:rFonts w:ascii="宋体" w:hAnsi="宋体" w:eastAsia="宋体" w:cs="宋体"/>
          <w:spacing w:val="-4"/>
          <w:sz w:val="24"/>
          <w:szCs w:val="24"/>
        </w:rPr>
        <w:t>不会对准保护区以及下游水源保护区水环境产生大</w:t>
      </w:r>
      <w:r>
        <w:rPr>
          <w:rFonts w:ascii="宋体" w:hAnsi="宋体" w:eastAsia="宋体" w:cs="宋体"/>
          <w:spacing w:val="-5"/>
          <w:sz w:val="24"/>
          <w:szCs w:val="24"/>
        </w:rPr>
        <w:t>的不利</w:t>
      </w:r>
    </w:p>
    <w:p>
      <w:pPr>
        <w:spacing w:line="221" w:lineRule="auto"/>
        <w:ind w:left="38"/>
        <w:rPr>
          <w:rFonts w:ascii="宋体" w:hAnsi="宋体" w:eastAsia="宋体" w:cs="宋体"/>
          <w:sz w:val="24"/>
          <w:szCs w:val="24"/>
        </w:rPr>
      </w:pPr>
      <w:r>
        <w:rPr>
          <w:rFonts w:ascii="宋体" w:hAnsi="宋体" w:eastAsia="宋体" w:cs="宋体"/>
          <w:spacing w:val="-10"/>
          <w:sz w:val="24"/>
          <w:szCs w:val="24"/>
        </w:rPr>
        <w:t>影响。</w:t>
      </w:r>
    </w:p>
    <w:p>
      <w:pPr>
        <w:spacing w:before="179" w:line="359" w:lineRule="auto"/>
        <w:ind w:left="40" w:firstLine="481"/>
        <w:rPr>
          <w:rFonts w:ascii="宋体" w:hAnsi="宋体" w:eastAsia="宋体" w:cs="宋体"/>
          <w:sz w:val="24"/>
          <w:szCs w:val="24"/>
        </w:rPr>
      </w:pPr>
      <w:r>
        <w:rPr>
          <w:rFonts w:ascii="宋体" w:hAnsi="宋体" w:eastAsia="宋体" w:cs="宋体"/>
          <w:spacing w:val="-5"/>
          <w:sz w:val="24"/>
          <w:szCs w:val="24"/>
        </w:rPr>
        <w:t>项目运营后， 对道路附近水环境的不利影响主要为穿越或邻近河流地路段在发生危</w:t>
      </w:r>
      <w:r>
        <w:rPr>
          <w:rFonts w:ascii="宋体" w:hAnsi="宋体" w:eastAsia="宋体" w:cs="宋体"/>
          <w:spacing w:val="2"/>
          <w:sz w:val="24"/>
          <w:szCs w:val="24"/>
        </w:rPr>
        <w:t xml:space="preserve"> </w:t>
      </w:r>
      <w:r>
        <w:rPr>
          <w:rFonts w:ascii="宋体" w:hAnsi="宋体" w:eastAsia="宋体" w:cs="宋体"/>
          <w:spacing w:val="-11"/>
          <w:sz w:val="24"/>
          <w:szCs w:val="24"/>
        </w:rPr>
        <w:t xml:space="preserve">险品运输事故情况下， 污染物进入水体， </w:t>
      </w:r>
      <w:r>
        <w:rPr>
          <w:rFonts w:ascii="宋体" w:hAnsi="宋体" w:eastAsia="宋体" w:cs="宋体"/>
          <w:spacing w:val="-12"/>
          <w:sz w:val="24"/>
          <w:szCs w:val="24"/>
        </w:rPr>
        <w:t>对下游水环境的不利影响。根据后续章节分析，</w:t>
      </w:r>
      <w:r>
        <w:rPr>
          <w:rFonts w:ascii="宋体" w:hAnsi="宋体" w:eastAsia="宋体" w:cs="宋体"/>
          <w:sz w:val="24"/>
          <w:szCs w:val="24"/>
        </w:rPr>
        <w:t xml:space="preserve"> </w:t>
      </w:r>
      <w:r>
        <w:rPr>
          <w:rFonts w:ascii="宋体" w:hAnsi="宋体" w:eastAsia="宋体" w:cs="宋体"/>
          <w:spacing w:val="-10"/>
          <w:sz w:val="24"/>
          <w:szCs w:val="24"/>
        </w:rPr>
        <w:t>景文高速公路禁止危化品车辆通行，</w:t>
      </w:r>
      <w:r>
        <w:rPr>
          <w:rFonts w:ascii="宋体" w:hAnsi="宋体" w:eastAsia="宋体" w:cs="宋体"/>
          <w:spacing w:val="41"/>
          <w:sz w:val="24"/>
          <w:szCs w:val="24"/>
        </w:rPr>
        <w:t xml:space="preserve"> </w:t>
      </w:r>
      <w:r>
        <w:rPr>
          <w:rFonts w:ascii="宋体" w:hAnsi="宋体" w:eastAsia="宋体" w:cs="宋体"/>
          <w:spacing w:val="-10"/>
          <w:sz w:val="24"/>
          <w:szCs w:val="24"/>
        </w:rPr>
        <w:t>本项目危化品车辆通行较少，</w:t>
      </w:r>
      <w:r>
        <w:rPr>
          <w:rFonts w:ascii="宋体" w:hAnsi="宋体" w:eastAsia="宋体" w:cs="宋体"/>
          <w:spacing w:val="38"/>
          <w:sz w:val="24"/>
          <w:szCs w:val="24"/>
        </w:rPr>
        <w:t xml:space="preserve"> </w:t>
      </w:r>
      <w:r>
        <w:rPr>
          <w:rFonts w:ascii="宋体" w:hAnsi="宋体" w:eastAsia="宋体" w:cs="宋体"/>
          <w:spacing w:val="-10"/>
          <w:sz w:val="24"/>
          <w:szCs w:val="24"/>
        </w:rPr>
        <w:t>在上述路段发生危险</w:t>
      </w:r>
      <w:r>
        <w:rPr>
          <w:rFonts w:ascii="宋体" w:hAnsi="宋体" w:eastAsia="宋体" w:cs="宋体"/>
          <w:sz w:val="24"/>
          <w:szCs w:val="24"/>
        </w:rPr>
        <w:t xml:space="preserve"> </w:t>
      </w:r>
      <w:r>
        <w:rPr>
          <w:rFonts w:ascii="宋体" w:hAnsi="宋体" w:eastAsia="宋体" w:cs="宋体"/>
          <w:spacing w:val="-10"/>
          <w:sz w:val="24"/>
          <w:szCs w:val="24"/>
        </w:rPr>
        <w:t>品事故的概率很低，</w:t>
      </w:r>
      <w:r>
        <w:rPr>
          <w:rFonts w:ascii="宋体" w:hAnsi="宋体" w:eastAsia="宋体" w:cs="宋体"/>
          <w:spacing w:val="42"/>
          <w:sz w:val="24"/>
          <w:szCs w:val="24"/>
        </w:rPr>
        <w:t xml:space="preserve"> </w:t>
      </w:r>
      <w:r>
        <w:rPr>
          <w:rFonts w:ascii="宋体" w:hAnsi="宋体" w:eastAsia="宋体" w:cs="宋体"/>
          <w:spacing w:val="-10"/>
          <w:sz w:val="24"/>
          <w:szCs w:val="24"/>
        </w:rPr>
        <w:t>基本不会对水环境产生影响，</w:t>
      </w:r>
      <w:r>
        <w:rPr>
          <w:rFonts w:ascii="宋体" w:hAnsi="宋体" w:eastAsia="宋体" w:cs="宋体"/>
          <w:spacing w:val="37"/>
          <w:sz w:val="24"/>
          <w:szCs w:val="24"/>
        </w:rPr>
        <w:t xml:space="preserve"> </w:t>
      </w:r>
      <w:r>
        <w:rPr>
          <w:rFonts w:ascii="宋体" w:hAnsi="宋体" w:eastAsia="宋体" w:cs="宋体"/>
          <w:spacing w:val="-10"/>
          <w:sz w:val="24"/>
          <w:szCs w:val="24"/>
        </w:rPr>
        <w:t>但事故一旦发生可能会对水环境将造</w:t>
      </w:r>
      <w:r>
        <w:rPr>
          <w:rFonts w:ascii="宋体" w:hAnsi="宋体" w:eastAsia="宋体" w:cs="宋体"/>
          <w:sz w:val="24"/>
          <w:szCs w:val="24"/>
        </w:rPr>
        <w:t xml:space="preserve"> </w:t>
      </w:r>
      <w:r>
        <w:rPr>
          <w:rFonts w:ascii="宋体" w:hAnsi="宋体" w:eastAsia="宋体" w:cs="宋体"/>
          <w:spacing w:val="-10"/>
          <w:sz w:val="24"/>
          <w:szCs w:val="24"/>
        </w:rPr>
        <w:t>成一定的不利影响。项目应尽快制定相应的应急预案，</w:t>
      </w:r>
      <w:r>
        <w:rPr>
          <w:rFonts w:ascii="宋体" w:hAnsi="宋体" w:eastAsia="宋体" w:cs="宋体"/>
          <w:spacing w:val="48"/>
          <w:sz w:val="24"/>
          <w:szCs w:val="24"/>
        </w:rPr>
        <w:t xml:space="preserve"> </w:t>
      </w:r>
      <w:r>
        <w:rPr>
          <w:rFonts w:ascii="宋体" w:hAnsi="宋体" w:eastAsia="宋体" w:cs="宋体"/>
          <w:spacing w:val="-10"/>
          <w:sz w:val="24"/>
          <w:szCs w:val="24"/>
        </w:rPr>
        <w:t>成立项目环境</w:t>
      </w:r>
      <w:r>
        <w:rPr>
          <w:rFonts w:ascii="宋体" w:hAnsi="宋体" w:eastAsia="宋体" w:cs="宋体"/>
          <w:spacing w:val="-11"/>
          <w:sz w:val="24"/>
          <w:szCs w:val="24"/>
        </w:rPr>
        <w:t>风险应急机构，</w:t>
      </w:r>
      <w:r>
        <w:rPr>
          <w:rFonts w:ascii="宋体" w:hAnsi="宋体" w:eastAsia="宋体" w:cs="宋体"/>
          <w:spacing w:val="45"/>
          <w:sz w:val="24"/>
          <w:szCs w:val="24"/>
        </w:rPr>
        <w:t xml:space="preserve"> </w:t>
      </w:r>
      <w:r>
        <w:rPr>
          <w:rFonts w:ascii="宋体" w:hAnsi="宋体" w:eastAsia="宋体" w:cs="宋体"/>
          <w:spacing w:val="-11"/>
          <w:sz w:val="24"/>
          <w:szCs w:val="24"/>
        </w:rPr>
        <w:t>及</w:t>
      </w:r>
    </w:p>
    <w:p>
      <w:pPr>
        <w:spacing w:before="1" w:line="218" w:lineRule="auto"/>
        <w:ind w:left="49"/>
        <w:rPr>
          <w:rFonts w:ascii="宋体" w:hAnsi="宋体" w:eastAsia="宋体" w:cs="宋体"/>
          <w:sz w:val="24"/>
          <w:szCs w:val="24"/>
        </w:rPr>
      </w:pPr>
      <w:r>
        <w:rPr>
          <w:rFonts w:ascii="宋体" w:hAnsi="宋体" w:eastAsia="宋体" w:cs="宋体"/>
          <w:spacing w:val="-3"/>
          <w:sz w:val="24"/>
          <w:szCs w:val="24"/>
        </w:rPr>
        <w:t>时采取适当的应急措施，环境风险是可防控的。</w:t>
      </w:r>
    </w:p>
    <w:p>
      <w:pPr>
        <w:spacing w:before="207" w:line="220" w:lineRule="auto"/>
        <w:ind w:left="40"/>
        <w:rPr>
          <w:rFonts w:ascii="宋体" w:hAnsi="宋体" w:eastAsia="宋体" w:cs="宋体"/>
          <w:sz w:val="24"/>
          <w:szCs w:val="24"/>
        </w:rPr>
      </w:pPr>
      <w:r>
        <w:fldChar w:fldCharType="begin"/>
      </w:r>
      <w:r>
        <w:instrText xml:space="preserve"> HYPERLINK "5.1.2.3" </w:instrText>
      </w:r>
      <w:r>
        <w:fldChar w:fldCharType="separate"/>
      </w:r>
      <w:r>
        <w:rPr>
          <w:rFonts w:ascii="Times New Roman" w:hAnsi="Times New Roman" w:eastAsia="Times New Roman" w:cs="Times New Roman"/>
          <w:spacing w:val="-1"/>
          <w:sz w:val="24"/>
          <w:szCs w:val="24"/>
        </w:rPr>
        <w:t>5.1.2.3</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运营期水文情势影响分析</w:t>
      </w:r>
    </w:p>
    <w:p>
      <w:pPr>
        <w:spacing w:before="214" w:line="466" w:lineRule="exact"/>
        <w:ind w:right="62"/>
        <w:jc w:val="right"/>
        <w:rPr>
          <w:rFonts w:ascii="宋体" w:hAnsi="宋体" w:eastAsia="宋体" w:cs="宋体"/>
          <w:sz w:val="24"/>
          <w:szCs w:val="24"/>
        </w:rPr>
      </w:pPr>
      <w:r>
        <w:rPr>
          <w:rFonts w:ascii="宋体" w:hAnsi="宋体" w:eastAsia="宋体" w:cs="宋体"/>
          <w:spacing w:val="-6"/>
          <w:position w:val="17"/>
          <w:sz w:val="24"/>
          <w:szCs w:val="24"/>
        </w:rPr>
        <w:t>本工程运营期对地表水水文情势影响主要是盖板涵等占用地表水水域，</w:t>
      </w:r>
      <w:r>
        <w:rPr>
          <w:rFonts w:ascii="宋体" w:hAnsi="宋体" w:eastAsia="宋体" w:cs="宋体"/>
          <w:spacing w:val="43"/>
          <w:position w:val="17"/>
          <w:sz w:val="24"/>
          <w:szCs w:val="24"/>
        </w:rPr>
        <w:t xml:space="preserve"> </w:t>
      </w:r>
      <w:r>
        <w:rPr>
          <w:rFonts w:ascii="宋体" w:hAnsi="宋体" w:eastAsia="宋体" w:cs="宋体"/>
          <w:spacing w:val="-6"/>
          <w:position w:val="17"/>
          <w:sz w:val="24"/>
          <w:szCs w:val="24"/>
        </w:rPr>
        <w:t>降低过水断</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面，可能对附近局部水域形态、冲淤变化等产生影响。</w:t>
      </w:r>
    </w:p>
    <w:p>
      <w:pPr>
        <w:spacing w:before="213" w:line="359" w:lineRule="auto"/>
        <w:ind w:left="39" w:right="68" w:firstLine="480"/>
        <w:rPr>
          <w:rFonts w:ascii="宋体" w:hAnsi="宋体" w:eastAsia="宋体" w:cs="宋体"/>
          <w:sz w:val="24"/>
          <w:szCs w:val="24"/>
        </w:rPr>
      </w:pPr>
      <w:r>
        <w:rPr>
          <w:rFonts w:ascii="宋体" w:hAnsi="宋体" w:eastAsia="宋体" w:cs="宋体"/>
          <w:spacing w:val="-16"/>
          <w:sz w:val="24"/>
          <w:szCs w:val="24"/>
        </w:rPr>
        <w:t>本项目沿线基本以实体路基为主，</w:t>
      </w:r>
      <w:r>
        <w:rPr>
          <w:rFonts w:ascii="宋体" w:hAnsi="宋体" w:eastAsia="宋体" w:cs="宋体"/>
          <w:spacing w:val="52"/>
          <w:sz w:val="24"/>
          <w:szCs w:val="24"/>
        </w:rPr>
        <w:t xml:space="preserve"> </w:t>
      </w:r>
      <w:r>
        <w:rPr>
          <w:rFonts w:ascii="宋体" w:hAnsi="宋体" w:eastAsia="宋体" w:cs="宋体"/>
          <w:spacing w:val="-16"/>
          <w:sz w:val="24"/>
          <w:szCs w:val="24"/>
        </w:rPr>
        <w:t>结合桥梁结构物布置</w:t>
      </w:r>
      <w:r>
        <w:rPr>
          <w:rFonts w:ascii="宋体" w:hAnsi="宋体" w:eastAsia="宋体" w:cs="宋体"/>
          <w:spacing w:val="-17"/>
          <w:sz w:val="24"/>
          <w:szCs w:val="24"/>
        </w:rPr>
        <w:t>，</w:t>
      </w:r>
      <w:r>
        <w:rPr>
          <w:rFonts w:ascii="宋体" w:hAnsi="宋体" w:eastAsia="宋体" w:cs="宋体"/>
          <w:spacing w:val="68"/>
          <w:sz w:val="24"/>
          <w:szCs w:val="24"/>
        </w:rPr>
        <w:t xml:space="preserve"> </w:t>
      </w:r>
      <w:r>
        <w:rPr>
          <w:rFonts w:ascii="宋体" w:hAnsi="宋体" w:eastAsia="宋体" w:cs="宋体"/>
          <w:spacing w:val="-17"/>
          <w:sz w:val="24"/>
          <w:szCs w:val="24"/>
        </w:rPr>
        <w:t>山区采用高架桥布置，</w:t>
      </w:r>
      <w:r>
        <w:rPr>
          <w:rFonts w:ascii="宋体" w:hAnsi="宋体" w:eastAsia="宋体" w:cs="宋体"/>
          <w:spacing w:val="46"/>
          <w:sz w:val="24"/>
          <w:szCs w:val="24"/>
        </w:rPr>
        <w:t xml:space="preserve"> </w:t>
      </w:r>
      <w:r>
        <w:rPr>
          <w:rFonts w:ascii="宋体" w:hAnsi="宋体" w:eastAsia="宋体" w:cs="宋体"/>
          <w:spacing w:val="-17"/>
          <w:sz w:val="24"/>
          <w:szCs w:val="24"/>
        </w:rPr>
        <w:t>基</w:t>
      </w:r>
      <w:r>
        <w:rPr>
          <w:rFonts w:ascii="宋体" w:hAnsi="宋体" w:eastAsia="宋体" w:cs="宋体"/>
          <w:sz w:val="24"/>
          <w:szCs w:val="24"/>
        </w:rPr>
        <w:t xml:space="preserve"> </w:t>
      </w:r>
      <w:r>
        <w:rPr>
          <w:rFonts w:ascii="宋体" w:hAnsi="宋体" w:eastAsia="宋体" w:cs="宋体"/>
          <w:spacing w:val="-6"/>
          <w:sz w:val="24"/>
          <w:szCs w:val="24"/>
        </w:rPr>
        <w:t>本不会影响区域的防洪能力。从工程布局看，</w:t>
      </w:r>
      <w:r>
        <w:rPr>
          <w:rFonts w:ascii="宋体" w:hAnsi="宋体" w:eastAsia="宋体" w:cs="宋体"/>
          <w:spacing w:val="48"/>
          <w:sz w:val="24"/>
          <w:szCs w:val="24"/>
        </w:rPr>
        <w:t xml:space="preserve"> </w:t>
      </w:r>
      <w:r>
        <w:rPr>
          <w:rFonts w:ascii="宋体" w:hAnsi="宋体" w:eastAsia="宋体" w:cs="宋体"/>
          <w:spacing w:val="-6"/>
          <w:sz w:val="24"/>
          <w:szCs w:val="24"/>
        </w:rPr>
        <w:t>道路实填段的管涵主要是连接道路两侧灌</w:t>
      </w:r>
    </w:p>
    <w:p>
      <w:pPr>
        <w:spacing w:line="219" w:lineRule="auto"/>
        <w:ind w:left="37"/>
        <w:rPr>
          <w:rFonts w:ascii="宋体" w:hAnsi="宋体" w:eastAsia="宋体" w:cs="宋体"/>
          <w:sz w:val="24"/>
          <w:szCs w:val="24"/>
        </w:rPr>
      </w:pPr>
      <w:r>
        <w:rPr>
          <w:rFonts w:ascii="宋体" w:hAnsi="宋体" w:eastAsia="宋体" w:cs="宋体"/>
          <w:spacing w:val="-3"/>
          <w:sz w:val="24"/>
          <w:szCs w:val="24"/>
        </w:rPr>
        <w:t>溉、排水渠系，沟通道路上下游排水。</w:t>
      </w:r>
    </w:p>
    <w:p>
      <w:pPr>
        <w:spacing w:before="214" w:line="359" w:lineRule="auto"/>
        <w:ind w:left="39" w:right="68" w:firstLine="481"/>
        <w:rPr>
          <w:rFonts w:ascii="宋体" w:hAnsi="宋体" w:eastAsia="宋体" w:cs="宋体"/>
          <w:sz w:val="24"/>
          <w:szCs w:val="24"/>
        </w:rPr>
      </w:pPr>
      <w:r>
        <w:rPr>
          <w:rFonts w:ascii="宋体" w:hAnsi="宋体" w:eastAsia="宋体" w:cs="宋体"/>
          <w:spacing w:val="-6"/>
          <w:sz w:val="24"/>
          <w:szCs w:val="24"/>
        </w:rPr>
        <w:t>工程沿线在涉河处均布置涉河桥梁或箱涵，</w:t>
      </w:r>
      <w:r>
        <w:rPr>
          <w:rFonts w:ascii="宋体" w:hAnsi="宋体" w:eastAsia="宋体" w:cs="宋体"/>
          <w:spacing w:val="38"/>
          <w:sz w:val="24"/>
          <w:szCs w:val="24"/>
        </w:rPr>
        <w:t xml:space="preserve"> </w:t>
      </w:r>
      <w:r>
        <w:rPr>
          <w:rFonts w:ascii="宋体" w:hAnsi="宋体" w:eastAsia="宋体" w:cs="宋体"/>
          <w:spacing w:val="-6"/>
          <w:sz w:val="24"/>
          <w:szCs w:val="24"/>
        </w:rPr>
        <w:t>同时实填段沿线也布置了圆管</w:t>
      </w:r>
      <w:r>
        <w:rPr>
          <w:rFonts w:ascii="宋体" w:hAnsi="宋体" w:eastAsia="宋体" w:cs="宋体"/>
          <w:spacing w:val="-7"/>
          <w:sz w:val="24"/>
          <w:szCs w:val="24"/>
        </w:rPr>
        <w:t>涵及盖板</w:t>
      </w:r>
      <w:r>
        <w:rPr>
          <w:rFonts w:ascii="宋体" w:hAnsi="宋体" w:eastAsia="宋体" w:cs="宋体"/>
          <w:sz w:val="24"/>
          <w:szCs w:val="24"/>
        </w:rPr>
        <w:t xml:space="preserve"> </w:t>
      </w:r>
      <w:r>
        <w:rPr>
          <w:rFonts w:ascii="宋体" w:hAnsi="宋体" w:eastAsia="宋体" w:cs="宋体"/>
          <w:spacing w:val="-2"/>
          <w:sz w:val="24"/>
          <w:szCs w:val="24"/>
        </w:rPr>
        <w:t>涵，用于加强小片区的排水，完善和加强了原灌溉、排水渠系，沟通道路上下游排水，</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对沿线因工程建设产生的影响较小，线路布置基本合理。</w:t>
      </w:r>
    </w:p>
    <w:p>
      <w:pPr>
        <w:spacing w:before="213" w:line="360" w:lineRule="auto"/>
        <w:ind w:left="39" w:right="68" w:firstLine="481"/>
        <w:rPr>
          <w:rFonts w:ascii="宋体" w:hAnsi="宋体" w:eastAsia="宋体" w:cs="宋体"/>
          <w:sz w:val="24"/>
          <w:szCs w:val="24"/>
        </w:rPr>
      </w:pPr>
      <w:r>
        <w:rPr>
          <w:rFonts w:ascii="宋体" w:hAnsi="宋体" w:eastAsia="宋体" w:cs="宋体"/>
          <w:spacing w:val="-11"/>
          <w:sz w:val="24"/>
          <w:szCs w:val="24"/>
        </w:rPr>
        <w:t>从水利角度来看，</w:t>
      </w:r>
      <w:r>
        <w:rPr>
          <w:rFonts w:ascii="宋体" w:hAnsi="宋体" w:eastAsia="宋体" w:cs="宋体"/>
          <w:spacing w:val="38"/>
          <w:sz w:val="24"/>
          <w:szCs w:val="24"/>
        </w:rPr>
        <w:t xml:space="preserve"> </w:t>
      </w:r>
      <w:r>
        <w:rPr>
          <w:rFonts w:ascii="宋体" w:hAnsi="宋体" w:eastAsia="宋体" w:cs="宋体"/>
          <w:spacing w:val="-11"/>
          <w:sz w:val="24"/>
          <w:szCs w:val="24"/>
        </w:rPr>
        <w:t>在涉河建筑物的规模均满足相关水利要求的前提下</w:t>
      </w:r>
      <w:r>
        <w:rPr>
          <w:rFonts w:ascii="宋体" w:hAnsi="宋体" w:eastAsia="宋体" w:cs="宋体"/>
          <w:spacing w:val="-12"/>
          <w:sz w:val="24"/>
          <w:szCs w:val="24"/>
        </w:rPr>
        <w:t>，</w:t>
      </w:r>
      <w:r>
        <w:rPr>
          <w:rFonts w:ascii="宋体" w:hAnsi="宋体" w:eastAsia="宋体" w:cs="宋体"/>
          <w:spacing w:val="62"/>
          <w:sz w:val="24"/>
          <w:szCs w:val="24"/>
        </w:rPr>
        <w:t xml:space="preserve"> </w:t>
      </w:r>
      <w:r>
        <w:rPr>
          <w:rFonts w:ascii="宋体" w:hAnsi="宋体" w:eastAsia="宋体" w:cs="宋体"/>
          <w:spacing w:val="-12"/>
          <w:sz w:val="24"/>
          <w:szCs w:val="24"/>
        </w:rPr>
        <w:t>同时实填段</w:t>
      </w:r>
      <w:r>
        <w:rPr>
          <w:rFonts w:ascii="宋体" w:hAnsi="宋体" w:eastAsia="宋体" w:cs="宋体"/>
          <w:sz w:val="24"/>
          <w:szCs w:val="24"/>
        </w:rPr>
        <w:t xml:space="preserve"> </w:t>
      </w:r>
      <w:r>
        <w:rPr>
          <w:rFonts w:ascii="宋体" w:hAnsi="宋体" w:eastAsia="宋体" w:cs="宋体"/>
          <w:spacing w:val="-15"/>
          <w:sz w:val="24"/>
          <w:szCs w:val="24"/>
        </w:rPr>
        <w:t>沿线做好集水措施，</w:t>
      </w:r>
      <w:r>
        <w:rPr>
          <w:rFonts w:ascii="宋体" w:hAnsi="宋体" w:eastAsia="宋体" w:cs="宋体"/>
          <w:spacing w:val="48"/>
          <w:sz w:val="24"/>
          <w:szCs w:val="24"/>
        </w:rPr>
        <w:t xml:space="preserve"> </w:t>
      </w:r>
      <w:r>
        <w:rPr>
          <w:rFonts w:ascii="宋体" w:hAnsi="宋体" w:eastAsia="宋体" w:cs="宋体"/>
          <w:spacing w:val="-15"/>
          <w:sz w:val="24"/>
          <w:szCs w:val="24"/>
        </w:rPr>
        <w:t>上游雨水可以全部归槽汇入周边河道</w:t>
      </w:r>
      <w:r>
        <w:rPr>
          <w:rFonts w:ascii="宋体" w:hAnsi="宋体" w:eastAsia="宋体" w:cs="宋体"/>
          <w:spacing w:val="-16"/>
          <w:sz w:val="24"/>
          <w:szCs w:val="24"/>
        </w:rPr>
        <w:t>，</w:t>
      </w:r>
      <w:r>
        <w:rPr>
          <w:rFonts w:ascii="宋体" w:hAnsi="宋体" w:eastAsia="宋体" w:cs="宋体"/>
          <w:spacing w:val="49"/>
          <w:sz w:val="24"/>
          <w:szCs w:val="24"/>
        </w:rPr>
        <w:t xml:space="preserve"> </w:t>
      </w:r>
      <w:r>
        <w:rPr>
          <w:rFonts w:ascii="宋体" w:hAnsi="宋体" w:eastAsia="宋体" w:cs="宋体"/>
          <w:spacing w:val="-16"/>
          <w:sz w:val="24"/>
          <w:szCs w:val="24"/>
        </w:rPr>
        <w:t>工程建设道路填高前后，</w:t>
      </w:r>
      <w:r>
        <w:rPr>
          <w:rFonts w:ascii="宋体" w:hAnsi="宋体" w:eastAsia="宋体" w:cs="宋体"/>
          <w:spacing w:val="64"/>
          <w:sz w:val="24"/>
          <w:szCs w:val="24"/>
        </w:rPr>
        <w:t xml:space="preserve"> </w:t>
      </w:r>
      <w:r>
        <w:rPr>
          <w:rFonts w:ascii="宋体" w:hAnsi="宋体" w:eastAsia="宋体" w:cs="宋体"/>
          <w:spacing w:val="-16"/>
          <w:sz w:val="24"/>
          <w:szCs w:val="24"/>
        </w:rPr>
        <w:t>区</w:t>
      </w:r>
    </w:p>
    <w:p>
      <w:pPr>
        <w:spacing w:before="1" w:line="218" w:lineRule="auto"/>
        <w:ind w:left="39"/>
        <w:rPr>
          <w:rFonts w:ascii="宋体" w:hAnsi="宋体" w:eastAsia="宋体" w:cs="宋体"/>
          <w:sz w:val="24"/>
          <w:szCs w:val="24"/>
        </w:rPr>
      </w:pPr>
      <w:r>
        <w:rPr>
          <w:rFonts w:ascii="宋体" w:hAnsi="宋体" w:eastAsia="宋体" w:cs="宋体"/>
          <w:spacing w:val="-5"/>
          <w:sz w:val="24"/>
          <w:szCs w:val="24"/>
        </w:rPr>
        <w:t>域防洪能力基本不变。</w:t>
      </w:r>
    </w:p>
    <w:p>
      <w:pPr>
        <w:spacing w:before="212"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）阻水分析</w:t>
      </w:r>
    </w:p>
    <w:p>
      <w:pPr>
        <w:spacing w:before="183" w:line="465" w:lineRule="exact"/>
        <w:ind w:left="519"/>
        <w:rPr>
          <w:rFonts w:ascii="宋体" w:hAnsi="宋体" w:eastAsia="宋体" w:cs="宋体"/>
          <w:sz w:val="24"/>
          <w:szCs w:val="24"/>
        </w:rPr>
      </w:pPr>
      <w:r>
        <w:rPr>
          <w:rFonts w:ascii="宋体" w:hAnsi="宋体" w:eastAsia="宋体" w:cs="宋体"/>
          <w:spacing w:val="-7"/>
          <w:position w:val="17"/>
          <w:sz w:val="24"/>
          <w:szCs w:val="24"/>
        </w:rPr>
        <w:t>本项目沿线新建过水箱涵或盖板涵，</w:t>
      </w:r>
      <w:r>
        <w:rPr>
          <w:rFonts w:ascii="宋体" w:hAnsi="宋体" w:eastAsia="宋体" w:cs="宋体"/>
          <w:spacing w:val="81"/>
          <w:position w:val="17"/>
          <w:sz w:val="24"/>
          <w:szCs w:val="24"/>
        </w:rPr>
        <w:t xml:space="preserve"> </w:t>
      </w:r>
      <w:r>
        <w:rPr>
          <w:rFonts w:ascii="宋体" w:hAnsi="宋体" w:eastAsia="宋体" w:cs="宋体"/>
          <w:spacing w:val="-7"/>
          <w:position w:val="17"/>
          <w:sz w:val="24"/>
          <w:szCs w:val="24"/>
        </w:rPr>
        <w:t>工程实施后，过水断面增大，减少了阻水。</w:t>
      </w:r>
    </w:p>
    <w:p>
      <w:pPr>
        <w:spacing w:before="1" w:line="219"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）雍水分析</w:t>
      </w:r>
    </w:p>
    <w:p>
      <w:pPr>
        <w:spacing w:before="183" w:line="465" w:lineRule="exact"/>
        <w:ind w:right="64"/>
        <w:jc w:val="right"/>
        <w:rPr>
          <w:rFonts w:ascii="宋体" w:hAnsi="宋体" w:eastAsia="宋体" w:cs="宋体"/>
          <w:sz w:val="24"/>
          <w:szCs w:val="24"/>
        </w:rPr>
      </w:pPr>
      <w:r>
        <w:rPr>
          <w:rFonts w:ascii="宋体" w:hAnsi="宋体" w:eastAsia="宋体" w:cs="宋体"/>
          <w:spacing w:val="-9"/>
          <w:position w:val="17"/>
          <w:sz w:val="24"/>
          <w:szCs w:val="24"/>
        </w:rPr>
        <w:t>新建箱涵由于箱涵顶高程高于现状溪流水位， 且过水断面面积有所增大</w:t>
      </w:r>
      <w:r>
        <w:rPr>
          <w:rFonts w:ascii="宋体" w:hAnsi="宋体" w:eastAsia="宋体" w:cs="宋体"/>
          <w:spacing w:val="-10"/>
          <w:position w:val="17"/>
          <w:sz w:val="24"/>
          <w:szCs w:val="24"/>
        </w:rPr>
        <w:t>，</w:t>
      </w:r>
      <w:r>
        <w:rPr>
          <w:rFonts w:ascii="宋体" w:hAnsi="宋体" w:eastAsia="宋体" w:cs="宋体"/>
          <w:spacing w:val="42"/>
          <w:position w:val="17"/>
          <w:sz w:val="24"/>
          <w:szCs w:val="24"/>
        </w:rPr>
        <w:t xml:space="preserve"> </w:t>
      </w:r>
      <w:r>
        <w:rPr>
          <w:rFonts w:ascii="宋体" w:hAnsi="宋体" w:eastAsia="宋体" w:cs="宋体"/>
          <w:spacing w:val="-10"/>
          <w:position w:val="17"/>
          <w:sz w:val="24"/>
          <w:szCs w:val="24"/>
        </w:rPr>
        <w:t>不影响涝</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水外排，产生的雍水可忽略不计，故本次不进行雍水分析。</w:t>
      </w:r>
    </w:p>
    <w:p>
      <w:pPr>
        <w:spacing w:before="183"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）冲刷与淤积分析计算</w:t>
      </w:r>
    </w:p>
    <w:p>
      <w:pPr>
        <w:spacing w:line="220" w:lineRule="auto"/>
        <w:rPr>
          <w:rFonts w:ascii="宋体" w:hAnsi="宋体" w:eastAsia="宋体" w:cs="宋体"/>
          <w:sz w:val="24"/>
          <w:szCs w:val="24"/>
        </w:rPr>
        <w:sectPr>
          <w:headerReference r:id="rId247" w:type="default"/>
          <w:footerReference r:id="rId248" w:type="default"/>
          <w:pgSz w:w="11907" w:h="16839"/>
          <w:pgMar w:top="1118" w:right="1349" w:bottom="1072" w:left="1387" w:header="877" w:footer="911" w:gutter="0"/>
          <w:cols w:space="720" w:num="1"/>
        </w:sectPr>
      </w:pPr>
    </w:p>
    <w:p>
      <w:pPr>
        <w:pStyle w:val="2"/>
        <w:spacing w:line="312" w:lineRule="auto"/>
      </w:pPr>
    </w:p>
    <w:p>
      <w:pPr>
        <w:spacing w:before="78" w:line="359" w:lineRule="auto"/>
        <w:ind w:left="39" w:right="67" w:firstLine="508"/>
        <w:rPr>
          <w:rFonts w:ascii="宋体" w:hAnsi="宋体" w:eastAsia="宋体" w:cs="宋体"/>
          <w:sz w:val="24"/>
          <w:szCs w:val="24"/>
        </w:rPr>
      </w:pPr>
      <w:r>
        <w:rPr>
          <w:rFonts w:ascii="宋体" w:hAnsi="宋体" w:eastAsia="宋体" w:cs="宋体"/>
          <w:spacing w:val="-12"/>
          <w:sz w:val="24"/>
          <w:szCs w:val="24"/>
        </w:rPr>
        <w:t>由于工程建设，</w:t>
      </w:r>
      <w:r>
        <w:rPr>
          <w:rFonts w:ascii="宋体" w:hAnsi="宋体" w:eastAsia="宋体" w:cs="宋体"/>
          <w:spacing w:val="55"/>
          <w:sz w:val="24"/>
          <w:szCs w:val="24"/>
        </w:rPr>
        <w:t xml:space="preserve"> </w:t>
      </w:r>
      <w:r>
        <w:rPr>
          <w:rFonts w:ascii="宋体" w:hAnsi="宋体" w:eastAsia="宋体" w:cs="宋体"/>
          <w:spacing w:val="-12"/>
          <w:sz w:val="24"/>
          <w:szCs w:val="24"/>
        </w:rPr>
        <w:t>导致溪沟流态发生变化，</w:t>
      </w:r>
      <w:r>
        <w:rPr>
          <w:rFonts w:ascii="宋体" w:hAnsi="宋体" w:eastAsia="宋体" w:cs="宋体"/>
          <w:spacing w:val="48"/>
          <w:sz w:val="24"/>
          <w:szCs w:val="24"/>
        </w:rPr>
        <w:t xml:space="preserve"> </w:t>
      </w:r>
      <w:r>
        <w:rPr>
          <w:rFonts w:ascii="宋体" w:hAnsi="宋体" w:eastAsia="宋体" w:cs="宋体"/>
          <w:spacing w:val="-12"/>
          <w:sz w:val="24"/>
          <w:szCs w:val="24"/>
        </w:rPr>
        <w:t>可能会影响坡岸的稳定性。但工程经过区</w:t>
      </w:r>
      <w:r>
        <w:rPr>
          <w:rFonts w:ascii="宋体" w:hAnsi="宋体" w:eastAsia="宋体" w:cs="宋体"/>
          <w:sz w:val="24"/>
          <w:szCs w:val="24"/>
        </w:rPr>
        <w:t xml:space="preserve"> </w:t>
      </w:r>
      <w:r>
        <w:rPr>
          <w:rFonts w:ascii="宋体" w:hAnsi="宋体" w:eastAsia="宋体" w:cs="宋体"/>
          <w:spacing w:val="-22"/>
          <w:sz w:val="24"/>
          <w:szCs w:val="24"/>
        </w:rPr>
        <w:t>域的溪沟规模小，</w:t>
      </w:r>
      <w:r>
        <w:rPr>
          <w:rFonts w:ascii="宋体" w:hAnsi="宋体" w:eastAsia="宋体" w:cs="宋体"/>
          <w:spacing w:val="53"/>
          <w:sz w:val="24"/>
          <w:szCs w:val="24"/>
        </w:rPr>
        <w:t xml:space="preserve"> </w:t>
      </w:r>
      <w:r>
        <w:rPr>
          <w:rFonts w:ascii="宋体" w:hAnsi="宋体" w:eastAsia="宋体" w:cs="宋体"/>
          <w:spacing w:val="-22"/>
          <w:sz w:val="24"/>
          <w:szCs w:val="24"/>
        </w:rPr>
        <w:t>且多为山上来水，</w:t>
      </w:r>
      <w:r>
        <w:rPr>
          <w:rFonts w:ascii="宋体" w:hAnsi="宋体" w:eastAsia="宋体" w:cs="宋体"/>
          <w:spacing w:val="57"/>
          <w:sz w:val="24"/>
          <w:szCs w:val="24"/>
        </w:rPr>
        <w:t xml:space="preserve"> </w:t>
      </w:r>
      <w:r>
        <w:rPr>
          <w:rFonts w:ascii="宋体" w:hAnsi="宋体" w:eastAsia="宋体" w:cs="宋体"/>
          <w:spacing w:val="-22"/>
          <w:sz w:val="24"/>
          <w:szCs w:val="24"/>
        </w:rPr>
        <w:t>水流不大，</w:t>
      </w:r>
      <w:r>
        <w:rPr>
          <w:rFonts w:ascii="宋体" w:hAnsi="宋体" w:eastAsia="宋体" w:cs="宋体"/>
          <w:spacing w:val="18"/>
          <w:sz w:val="24"/>
          <w:szCs w:val="24"/>
        </w:rPr>
        <w:t xml:space="preserve"> </w:t>
      </w:r>
      <w:r>
        <w:rPr>
          <w:rFonts w:ascii="宋体" w:hAnsi="宋体" w:eastAsia="宋体" w:cs="宋体"/>
          <w:spacing w:val="-22"/>
          <w:sz w:val="24"/>
          <w:szCs w:val="24"/>
        </w:rPr>
        <w:t>呈季节性断流，</w:t>
      </w:r>
      <w:r>
        <w:rPr>
          <w:rFonts w:ascii="宋体" w:hAnsi="宋体" w:eastAsia="宋体" w:cs="宋体"/>
          <w:spacing w:val="72"/>
          <w:sz w:val="24"/>
          <w:szCs w:val="24"/>
        </w:rPr>
        <w:t xml:space="preserve"> </w:t>
      </w:r>
      <w:r>
        <w:rPr>
          <w:rFonts w:ascii="宋体" w:hAnsi="宋体" w:eastAsia="宋体" w:cs="宋体"/>
          <w:spacing w:val="-22"/>
          <w:sz w:val="24"/>
          <w:szCs w:val="24"/>
        </w:rPr>
        <w:t>因此， 工程建设基本不</w:t>
      </w:r>
    </w:p>
    <w:p>
      <w:pPr>
        <w:spacing w:before="1" w:line="218" w:lineRule="auto"/>
        <w:ind w:left="37"/>
        <w:rPr>
          <w:rFonts w:ascii="宋体" w:hAnsi="宋体" w:eastAsia="宋体" w:cs="宋体"/>
          <w:sz w:val="24"/>
          <w:szCs w:val="24"/>
        </w:rPr>
      </w:pPr>
      <w:r>
        <w:rPr>
          <w:rFonts w:ascii="宋体" w:hAnsi="宋体" w:eastAsia="宋体" w:cs="宋体"/>
          <w:spacing w:val="-3"/>
          <w:sz w:val="24"/>
          <w:szCs w:val="24"/>
        </w:rPr>
        <w:t>会对河床及坡岸造成不利影响。</w:t>
      </w:r>
    </w:p>
    <w:p>
      <w:pPr>
        <w:spacing w:before="182"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）行洪能力分析计算</w:t>
      </w:r>
    </w:p>
    <w:p>
      <w:pPr>
        <w:spacing w:before="180" w:line="468" w:lineRule="exact"/>
        <w:ind w:right="68"/>
        <w:jc w:val="right"/>
        <w:rPr>
          <w:rFonts w:ascii="宋体" w:hAnsi="宋体" w:eastAsia="宋体" w:cs="宋体"/>
          <w:sz w:val="24"/>
          <w:szCs w:val="24"/>
        </w:rPr>
      </w:pPr>
      <w:r>
        <w:rPr>
          <w:rFonts w:ascii="宋体" w:hAnsi="宋体" w:eastAsia="宋体" w:cs="宋体"/>
          <w:spacing w:val="-7"/>
          <w:position w:val="17"/>
          <w:sz w:val="24"/>
          <w:szCs w:val="24"/>
        </w:rPr>
        <w:t>现状工况下，项目区内新建盖板涵后，过水断面加大，</w:t>
      </w:r>
      <w:r>
        <w:rPr>
          <w:rFonts w:ascii="宋体" w:hAnsi="宋体" w:eastAsia="宋体" w:cs="宋体"/>
          <w:spacing w:val="72"/>
          <w:position w:val="17"/>
          <w:sz w:val="24"/>
          <w:szCs w:val="24"/>
        </w:rPr>
        <w:t xml:space="preserve"> </w:t>
      </w:r>
      <w:r>
        <w:rPr>
          <w:rFonts w:ascii="宋体" w:hAnsi="宋体" w:eastAsia="宋体" w:cs="宋体"/>
          <w:spacing w:val="-7"/>
          <w:position w:val="17"/>
          <w:sz w:val="24"/>
          <w:szCs w:val="24"/>
        </w:rPr>
        <w:t>溪沟过流能力均有所增加，</w:t>
      </w:r>
    </w:p>
    <w:p>
      <w:pPr>
        <w:spacing w:line="219" w:lineRule="auto"/>
        <w:ind w:left="41"/>
        <w:rPr>
          <w:rFonts w:ascii="宋体" w:hAnsi="宋体" w:eastAsia="宋体" w:cs="宋体"/>
          <w:sz w:val="24"/>
          <w:szCs w:val="24"/>
        </w:rPr>
      </w:pPr>
      <w:r>
        <w:rPr>
          <w:rFonts w:ascii="宋体" w:hAnsi="宋体" w:eastAsia="宋体" w:cs="宋体"/>
          <w:spacing w:val="-4"/>
          <w:sz w:val="24"/>
          <w:szCs w:val="24"/>
        </w:rPr>
        <w:t>行洪排涝能力有所改善。</w:t>
      </w:r>
    </w:p>
    <w:p>
      <w:pPr>
        <w:spacing w:before="179"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）河势稳定分析</w:t>
      </w:r>
    </w:p>
    <w:p>
      <w:pPr>
        <w:spacing w:before="183" w:line="466" w:lineRule="exact"/>
        <w:jc w:val="right"/>
        <w:rPr>
          <w:rFonts w:ascii="宋体" w:hAnsi="宋体" w:eastAsia="宋体" w:cs="宋体"/>
          <w:sz w:val="24"/>
          <w:szCs w:val="24"/>
        </w:rPr>
      </w:pPr>
      <w:r>
        <w:rPr>
          <w:rFonts w:ascii="宋体" w:hAnsi="宋体" w:eastAsia="宋体" w:cs="宋体"/>
          <w:spacing w:val="-9"/>
          <w:position w:val="17"/>
          <w:sz w:val="24"/>
          <w:szCs w:val="24"/>
        </w:rPr>
        <w:t>本项目新建盖板涵，减少了溪沟内阻水，</w:t>
      </w:r>
      <w:r>
        <w:rPr>
          <w:rFonts w:ascii="宋体" w:hAnsi="宋体" w:eastAsia="宋体" w:cs="宋体"/>
          <w:spacing w:val="-17"/>
          <w:position w:val="17"/>
          <w:sz w:val="24"/>
          <w:szCs w:val="24"/>
        </w:rPr>
        <w:t xml:space="preserve"> </w:t>
      </w:r>
      <w:r>
        <w:rPr>
          <w:rFonts w:ascii="宋体" w:hAnsi="宋体" w:eastAsia="宋体" w:cs="宋体"/>
          <w:spacing w:val="-9"/>
          <w:position w:val="17"/>
          <w:sz w:val="24"/>
          <w:szCs w:val="24"/>
        </w:rPr>
        <w:t>使得项目建成后无明显雍水。项目建成后，</w:t>
      </w:r>
    </w:p>
    <w:p>
      <w:pPr>
        <w:spacing w:before="1" w:line="218" w:lineRule="auto"/>
        <w:ind w:left="47"/>
        <w:rPr>
          <w:rFonts w:ascii="宋体" w:hAnsi="宋体" w:eastAsia="宋体" w:cs="宋体"/>
          <w:sz w:val="24"/>
          <w:szCs w:val="24"/>
        </w:rPr>
      </w:pPr>
      <w:r>
        <w:rPr>
          <w:rFonts w:ascii="宋体" w:hAnsi="宋体" w:eastAsia="宋体" w:cs="宋体"/>
          <w:spacing w:val="-3"/>
          <w:sz w:val="24"/>
          <w:szCs w:val="24"/>
        </w:rPr>
        <w:t>断面平均流速基本无变化，对河势改变影响较小。</w:t>
      </w:r>
    </w:p>
    <w:p>
      <w:pPr>
        <w:spacing w:before="215" w:line="359" w:lineRule="auto"/>
        <w:ind w:left="41" w:right="55" w:firstLine="478"/>
        <w:rPr>
          <w:rFonts w:ascii="宋体" w:hAnsi="宋体" w:eastAsia="宋体" w:cs="宋体"/>
          <w:sz w:val="24"/>
          <w:szCs w:val="24"/>
        </w:rPr>
      </w:pPr>
      <w:r>
        <w:rPr>
          <w:rFonts w:ascii="宋体" w:hAnsi="宋体" w:eastAsia="宋体" w:cs="宋体"/>
          <w:spacing w:val="-6"/>
          <w:sz w:val="24"/>
          <w:szCs w:val="24"/>
        </w:rPr>
        <w:t>本工程实施范围内满足水域占补平衡，</w:t>
      </w:r>
      <w:r>
        <w:rPr>
          <w:rFonts w:ascii="宋体" w:hAnsi="宋体" w:eastAsia="宋体" w:cs="宋体"/>
          <w:spacing w:val="51"/>
          <w:sz w:val="24"/>
          <w:szCs w:val="24"/>
        </w:rPr>
        <w:t xml:space="preserve"> </w:t>
      </w:r>
      <w:r>
        <w:rPr>
          <w:rFonts w:ascii="宋体" w:hAnsi="宋体" w:eastAsia="宋体" w:cs="宋体"/>
          <w:spacing w:val="-6"/>
          <w:sz w:val="24"/>
          <w:szCs w:val="24"/>
        </w:rPr>
        <w:t>满足《浙</w:t>
      </w:r>
      <w:r>
        <w:rPr>
          <w:rFonts w:ascii="宋体" w:hAnsi="宋体" w:eastAsia="宋体" w:cs="宋体"/>
          <w:spacing w:val="-7"/>
          <w:sz w:val="24"/>
          <w:szCs w:val="24"/>
        </w:rPr>
        <w:t>江省水域保护办法》的要求。工程</w:t>
      </w:r>
      <w:r>
        <w:rPr>
          <w:rFonts w:ascii="宋体" w:hAnsi="宋体" w:eastAsia="宋体" w:cs="宋体"/>
          <w:sz w:val="24"/>
          <w:szCs w:val="24"/>
        </w:rPr>
        <w:t xml:space="preserve"> </w:t>
      </w:r>
      <w:r>
        <w:rPr>
          <w:rFonts w:ascii="宋体" w:hAnsi="宋体" w:eastAsia="宋体" w:cs="宋体"/>
          <w:spacing w:val="-1"/>
          <w:sz w:val="24"/>
          <w:szCs w:val="24"/>
        </w:rPr>
        <w:t>建设对河势稳定等影响较小，工程的实施使得溪沟过水断面面积</w:t>
      </w:r>
      <w:r>
        <w:rPr>
          <w:rFonts w:ascii="宋体" w:hAnsi="宋体" w:eastAsia="宋体" w:cs="宋体"/>
          <w:spacing w:val="-2"/>
          <w:sz w:val="24"/>
          <w:szCs w:val="24"/>
        </w:rPr>
        <w:t>增加，对水量、水深、</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水面宽、冲淤变化等水文要素影响较小。</w:t>
      </w:r>
    </w:p>
    <w:p>
      <w:pPr>
        <w:spacing w:before="211" w:line="220" w:lineRule="auto"/>
        <w:ind w:left="36"/>
        <w:outlineLvl w:val="1"/>
        <w:rPr>
          <w:rFonts w:ascii="宋体" w:hAnsi="宋体" w:eastAsia="宋体" w:cs="宋体"/>
          <w:sz w:val="24"/>
          <w:szCs w:val="24"/>
        </w:rPr>
      </w:pPr>
      <w:bookmarkStart w:id="31" w:name="bookmark32"/>
      <w:bookmarkEnd w:id="31"/>
      <w:r>
        <w:rPr>
          <w:rFonts w:ascii="Times New Roman" w:hAnsi="Times New Roman" w:eastAsia="Times New Roman" w:cs="Times New Roman"/>
          <w:b/>
          <w:bCs/>
          <w:spacing w:val="-1"/>
          <w:sz w:val="24"/>
          <w:szCs w:val="24"/>
        </w:rPr>
        <w:t xml:space="preserve">5.2 </w:t>
      </w:r>
      <w:r>
        <w:rPr>
          <w:rFonts w:ascii="宋体" w:hAnsi="宋体" w:eastAsia="宋体" w:cs="宋体"/>
          <w:spacing w:val="-1"/>
          <w:sz w:val="24"/>
          <w:szCs w:val="24"/>
          <w14:textOutline w14:w="4354" w14:cap="flat" w14:cmpd="sng">
            <w14:solidFill>
              <w14:srgbClr w14:val="000000"/>
            </w14:solidFill>
            <w14:prstDash w14:val="solid"/>
            <w14:miter w14:val="0"/>
          </w14:textOutline>
        </w:rPr>
        <w:t>环境空气影响分析</w:t>
      </w:r>
    </w:p>
    <w:p>
      <w:pPr>
        <w:spacing w:before="182" w:line="220" w:lineRule="auto"/>
        <w:ind w:left="36"/>
        <w:outlineLvl w:val="1"/>
        <w:rPr>
          <w:rFonts w:ascii="宋体" w:hAnsi="宋体" w:eastAsia="宋体" w:cs="宋体"/>
          <w:sz w:val="24"/>
          <w:szCs w:val="24"/>
        </w:rPr>
      </w:pPr>
      <w:r>
        <w:rPr>
          <w:rFonts w:ascii="Times New Roman" w:hAnsi="Times New Roman" w:eastAsia="Times New Roman" w:cs="Times New Roman"/>
          <w:b/>
          <w:bCs/>
          <w:sz w:val="24"/>
          <w:szCs w:val="24"/>
        </w:rPr>
        <w:t xml:space="preserve">5.2.1 </w:t>
      </w:r>
      <w:r>
        <w:rPr>
          <w:rFonts w:ascii="宋体" w:hAnsi="宋体" w:eastAsia="宋体" w:cs="宋体"/>
          <w:sz w:val="24"/>
          <w:szCs w:val="24"/>
          <w14:textOutline w14:w="4354" w14:cap="flat" w14:cmpd="sng">
            <w14:solidFill>
              <w14:srgbClr w14:val="000000"/>
            </w14:solidFill>
            <w14:prstDash w14:val="solid"/>
            <w14:miter w14:val="0"/>
          </w14:textOutline>
        </w:rPr>
        <w:t>施工期环境空气影响回顾性分析</w:t>
      </w:r>
    </w:p>
    <w:p>
      <w:pPr>
        <w:spacing w:before="180" w:line="360" w:lineRule="auto"/>
        <w:ind w:left="39" w:right="2" w:firstLine="478"/>
        <w:rPr>
          <w:rFonts w:ascii="宋体" w:hAnsi="宋体" w:eastAsia="宋体" w:cs="宋体"/>
          <w:sz w:val="24"/>
          <w:szCs w:val="24"/>
        </w:rPr>
      </w:pPr>
      <w:r>
        <w:rPr>
          <w:rFonts w:ascii="宋体" w:hAnsi="宋体" w:eastAsia="宋体" w:cs="宋体"/>
          <w:spacing w:val="-2"/>
          <w:sz w:val="24"/>
          <w:szCs w:val="24"/>
        </w:rPr>
        <w:t>施工期的环境空气污染主要来自施工现场中未完工路面、堆场和进出工地道路、拌</w:t>
      </w:r>
      <w:r>
        <w:rPr>
          <w:rFonts w:ascii="宋体" w:hAnsi="宋体" w:eastAsia="宋体" w:cs="宋体"/>
          <w:spacing w:val="14"/>
          <w:sz w:val="24"/>
          <w:szCs w:val="24"/>
        </w:rPr>
        <w:t xml:space="preserve"> </w:t>
      </w:r>
      <w:r>
        <w:rPr>
          <w:rFonts w:ascii="宋体" w:hAnsi="宋体" w:eastAsia="宋体" w:cs="宋体"/>
          <w:spacing w:val="-9"/>
          <w:sz w:val="24"/>
          <w:szCs w:val="24"/>
        </w:rPr>
        <w:t>合站、加工生产等扬尘污染， 以及沥青搅拌和摊铺时的烟气和动力机械排出的尾气污染，</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其中以扬尘污染和沥青烟气对周围环境的影响较突出。</w:t>
      </w:r>
    </w:p>
    <w:p>
      <w:pPr>
        <w:spacing w:before="181" w:line="468" w:lineRule="exact"/>
        <w:ind w:right="69"/>
        <w:jc w:val="right"/>
        <w:rPr>
          <w:rFonts w:ascii="宋体" w:hAnsi="宋体" w:eastAsia="宋体" w:cs="宋体"/>
          <w:sz w:val="24"/>
          <w:szCs w:val="24"/>
        </w:rPr>
      </w:pPr>
      <w:r>
        <w:rPr>
          <w:rFonts w:ascii="宋体" w:hAnsi="宋体" w:eastAsia="宋体" w:cs="宋体"/>
          <w:spacing w:val="-6"/>
          <w:position w:val="17"/>
          <w:sz w:val="24"/>
          <w:szCs w:val="24"/>
        </w:rPr>
        <w:t>本项目在施工作业时，</w:t>
      </w:r>
      <w:r>
        <w:rPr>
          <w:rFonts w:ascii="宋体" w:hAnsi="宋体" w:eastAsia="宋体" w:cs="宋体"/>
          <w:spacing w:val="41"/>
          <w:position w:val="17"/>
          <w:sz w:val="24"/>
          <w:szCs w:val="24"/>
        </w:rPr>
        <w:t xml:space="preserve"> </w:t>
      </w:r>
      <w:r>
        <w:rPr>
          <w:rFonts w:ascii="宋体" w:hAnsi="宋体" w:eastAsia="宋体" w:cs="宋体"/>
          <w:spacing w:val="-6"/>
          <w:position w:val="17"/>
          <w:sz w:val="24"/>
          <w:szCs w:val="24"/>
        </w:rPr>
        <w:t>主要采用洒水或者雾炮机喷水雾降尘。对于部分</w:t>
      </w:r>
      <w:r>
        <w:rPr>
          <w:rFonts w:ascii="宋体" w:hAnsi="宋体" w:eastAsia="宋体" w:cs="宋体"/>
          <w:spacing w:val="-7"/>
          <w:position w:val="17"/>
          <w:sz w:val="24"/>
          <w:szCs w:val="24"/>
        </w:rPr>
        <w:t>过长时间裸</w:t>
      </w:r>
    </w:p>
    <w:p>
      <w:pPr>
        <w:spacing w:before="1" w:line="218" w:lineRule="auto"/>
        <w:ind w:left="43"/>
        <w:rPr>
          <w:rFonts w:ascii="宋体" w:hAnsi="宋体" w:eastAsia="宋体" w:cs="宋体"/>
          <w:sz w:val="24"/>
          <w:szCs w:val="24"/>
        </w:rPr>
      </w:pPr>
      <w:r>
        <w:rPr>
          <w:rFonts w:ascii="宋体" w:hAnsi="宋体" w:eastAsia="宋体" w:cs="宋体"/>
          <w:spacing w:val="-4"/>
          <w:sz w:val="24"/>
          <w:szCs w:val="24"/>
        </w:rPr>
        <w:t>露的地块，采用篷布遮盖。</w:t>
      </w:r>
    </w:p>
    <w:p>
      <w:pPr>
        <w:spacing w:before="182" w:line="359" w:lineRule="auto"/>
        <w:ind w:left="37" w:right="67" w:firstLine="480"/>
        <w:rPr>
          <w:rFonts w:ascii="宋体" w:hAnsi="宋体" w:eastAsia="宋体" w:cs="宋体"/>
          <w:sz w:val="24"/>
          <w:szCs w:val="24"/>
        </w:rPr>
      </w:pPr>
      <w:r>
        <w:rPr>
          <w:rFonts w:ascii="宋体" w:hAnsi="宋体" w:eastAsia="宋体" w:cs="宋体"/>
          <w:spacing w:val="-2"/>
          <w:sz w:val="24"/>
          <w:szCs w:val="24"/>
        </w:rPr>
        <w:t>根据调查，本项目施工期独立设置的施工场地主要为百丈隧道终点北侧施工场地，</w:t>
      </w:r>
      <w:r>
        <w:rPr>
          <w:rFonts w:ascii="宋体" w:hAnsi="宋体" w:eastAsia="宋体" w:cs="宋体"/>
          <w:spacing w:val="8"/>
          <w:sz w:val="24"/>
          <w:szCs w:val="24"/>
        </w:rPr>
        <w:t xml:space="preserve"> </w:t>
      </w:r>
      <w:r>
        <w:rPr>
          <w:rFonts w:ascii="宋体" w:hAnsi="宋体" w:eastAsia="宋体" w:cs="宋体"/>
          <w:spacing w:val="-6"/>
          <w:sz w:val="24"/>
          <w:szCs w:val="24"/>
        </w:rPr>
        <w:t>主要为混凝土拌合站和钢筋加工场；</w:t>
      </w:r>
      <w:r>
        <w:rPr>
          <w:rFonts w:ascii="宋体" w:hAnsi="宋体" w:eastAsia="宋体" w:cs="宋体"/>
          <w:spacing w:val="52"/>
          <w:sz w:val="24"/>
          <w:szCs w:val="24"/>
        </w:rPr>
        <w:t xml:space="preserve"> </w:t>
      </w:r>
      <w:r>
        <w:rPr>
          <w:rFonts w:ascii="宋体" w:hAnsi="宋体" w:eastAsia="宋体" w:cs="宋体"/>
          <w:spacing w:val="-6"/>
          <w:sz w:val="24"/>
          <w:szCs w:val="24"/>
        </w:rPr>
        <w:t>其它临时场站均由景文高速公路同时设置使用。根</w:t>
      </w:r>
      <w:r>
        <w:rPr>
          <w:rFonts w:ascii="宋体" w:hAnsi="宋体" w:eastAsia="宋体" w:cs="宋体"/>
          <w:sz w:val="24"/>
          <w:szCs w:val="24"/>
        </w:rPr>
        <w:t xml:space="preserve"> </w:t>
      </w:r>
      <w:r>
        <w:rPr>
          <w:rFonts w:ascii="宋体" w:hAnsi="宋体" w:eastAsia="宋体" w:cs="宋体"/>
          <w:spacing w:val="-1"/>
          <w:sz w:val="24"/>
          <w:szCs w:val="24"/>
        </w:rPr>
        <w:t>据临时场地所在位置，周边</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200m</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范围内无环境保护目标，选址基本合理。混凝土拌和</w:t>
      </w:r>
      <w:r>
        <w:rPr>
          <w:rFonts w:ascii="宋体" w:hAnsi="宋体" w:eastAsia="宋体" w:cs="宋体"/>
          <w:sz w:val="24"/>
          <w:szCs w:val="24"/>
        </w:rPr>
        <w:t xml:space="preserve"> </w:t>
      </w:r>
      <w:r>
        <w:rPr>
          <w:rFonts w:ascii="宋体" w:hAnsi="宋体" w:eastAsia="宋体" w:cs="宋体"/>
          <w:spacing w:val="-15"/>
          <w:sz w:val="24"/>
          <w:szCs w:val="24"/>
        </w:rPr>
        <w:t>站采用除尘器降尘，</w:t>
      </w:r>
      <w:r>
        <w:rPr>
          <w:rFonts w:ascii="宋体" w:hAnsi="宋体" w:eastAsia="宋体" w:cs="宋体"/>
          <w:spacing w:val="60"/>
          <w:sz w:val="24"/>
          <w:szCs w:val="24"/>
        </w:rPr>
        <w:t xml:space="preserve"> </w:t>
      </w:r>
      <w:r>
        <w:rPr>
          <w:rFonts w:ascii="宋体" w:hAnsi="宋体" w:eastAsia="宋体" w:cs="宋体"/>
          <w:spacing w:val="-15"/>
          <w:sz w:val="24"/>
          <w:szCs w:val="24"/>
        </w:rPr>
        <w:t>粉性材料采用封闭的筒仓，</w:t>
      </w:r>
      <w:r>
        <w:rPr>
          <w:rFonts w:ascii="宋体" w:hAnsi="宋体" w:eastAsia="宋体" w:cs="宋体"/>
          <w:spacing w:val="47"/>
          <w:sz w:val="24"/>
          <w:szCs w:val="24"/>
        </w:rPr>
        <w:t xml:space="preserve"> </w:t>
      </w:r>
      <w:r>
        <w:rPr>
          <w:rFonts w:ascii="宋体" w:hAnsi="宋体" w:eastAsia="宋体" w:cs="宋体"/>
          <w:spacing w:val="-15"/>
          <w:sz w:val="24"/>
          <w:szCs w:val="24"/>
        </w:rPr>
        <w:t>其他石料等采用半围护的料仓，</w:t>
      </w:r>
      <w:r>
        <w:rPr>
          <w:rFonts w:ascii="宋体" w:hAnsi="宋体" w:eastAsia="宋体" w:cs="宋体"/>
          <w:spacing w:val="46"/>
          <w:sz w:val="24"/>
          <w:szCs w:val="24"/>
        </w:rPr>
        <w:t xml:space="preserve"> </w:t>
      </w:r>
      <w:r>
        <w:rPr>
          <w:rFonts w:ascii="宋体" w:hAnsi="宋体" w:eastAsia="宋体" w:cs="宋体"/>
          <w:spacing w:val="-15"/>
          <w:sz w:val="24"/>
          <w:szCs w:val="24"/>
        </w:rPr>
        <w:t>施工场</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地作业时采取洒水降尘、雾炮机降尘后，对周边环境影响不大。</w:t>
      </w:r>
    </w:p>
    <w:p>
      <w:pPr>
        <w:spacing w:before="184" w:line="219" w:lineRule="auto"/>
        <w:ind w:left="517"/>
        <w:rPr>
          <w:rFonts w:ascii="宋体" w:hAnsi="宋体" w:eastAsia="宋体" w:cs="宋体"/>
          <w:sz w:val="24"/>
          <w:szCs w:val="24"/>
        </w:rPr>
      </w:pPr>
      <w:r>
        <w:rPr>
          <w:rFonts w:ascii="宋体" w:hAnsi="宋体" w:eastAsia="宋体" w:cs="宋体"/>
          <w:spacing w:val="-2"/>
          <w:sz w:val="24"/>
          <w:szCs w:val="24"/>
        </w:rPr>
        <w:t>施工车辆运输时盖篷布，路面进行洒水或清扫。</w:t>
      </w:r>
    </w:p>
    <w:p>
      <w:pPr>
        <w:spacing w:before="181" w:line="468" w:lineRule="exact"/>
        <w:ind w:right="67"/>
        <w:jc w:val="right"/>
        <w:rPr>
          <w:rFonts w:ascii="宋体" w:hAnsi="宋体" w:eastAsia="宋体" w:cs="宋体"/>
          <w:sz w:val="24"/>
          <w:szCs w:val="24"/>
        </w:rPr>
      </w:pPr>
      <w:r>
        <w:rPr>
          <w:rFonts w:ascii="宋体" w:hAnsi="宋体" w:eastAsia="宋体" w:cs="宋体"/>
          <w:spacing w:val="-10"/>
          <w:position w:val="17"/>
          <w:sz w:val="24"/>
          <w:szCs w:val="24"/>
        </w:rPr>
        <w:t>施工时车辆和机械的燃油废气主要为短时排放，</w:t>
      </w:r>
      <w:r>
        <w:rPr>
          <w:rFonts w:ascii="宋体" w:hAnsi="宋体" w:eastAsia="宋体" w:cs="宋体"/>
          <w:spacing w:val="39"/>
          <w:position w:val="17"/>
          <w:sz w:val="24"/>
          <w:szCs w:val="24"/>
        </w:rPr>
        <w:t xml:space="preserve"> </w:t>
      </w:r>
      <w:r>
        <w:rPr>
          <w:rFonts w:ascii="宋体" w:hAnsi="宋体" w:eastAsia="宋体" w:cs="宋体"/>
          <w:spacing w:val="-10"/>
          <w:position w:val="17"/>
          <w:sz w:val="24"/>
          <w:szCs w:val="24"/>
        </w:rPr>
        <w:t>通过</w:t>
      </w:r>
      <w:r>
        <w:rPr>
          <w:rFonts w:ascii="宋体" w:hAnsi="宋体" w:eastAsia="宋体" w:cs="宋体"/>
          <w:spacing w:val="-11"/>
          <w:position w:val="17"/>
          <w:sz w:val="24"/>
          <w:szCs w:val="24"/>
        </w:rPr>
        <w:t>空气的扩散稀释后，</w:t>
      </w:r>
      <w:r>
        <w:rPr>
          <w:rFonts w:ascii="宋体" w:hAnsi="宋体" w:eastAsia="宋体" w:cs="宋体"/>
          <w:spacing w:val="38"/>
          <w:position w:val="17"/>
          <w:sz w:val="24"/>
          <w:szCs w:val="24"/>
        </w:rPr>
        <w:t xml:space="preserve"> </w:t>
      </w:r>
      <w:r>
        <w:rPr>
          <w:rFonts w:ascii="宋体" w:hAnsi="宋体" w:eastAsia="宋体" w:cs="宋体"/>
          <w:spacing w:val="-11"/>
          <w:position w:val="17"/>
          <w:sz w:val="24"/>
          <w:szCs w:val="24"/>
        </w:rPr>
        <w:t>对周边环</w:t>
      </w:r>
    </w:p>
    <w:p>
      <w:pPr>
        <w:spacing w:line="220" w:lineRule="auto"/>
        <w:ind w:left="39"/>
        <w:rPr>
          <w:rFonts w:ascii="宋体" w:hAnsi="宋体" w:eastAsia="宋体" w:cs="宋体"/>
          <w:sz w:val="24"/>
          <w:szCs w:val="24"/>
        </w:rPr>
      </w:pPr>
      <w:r>
        <w:rPr>
          <w:rFonts w:ascii="宋体" w:hAnsi="宋体" w:eastAsia="宋体" w:cs="宋体"/>
          <w:spacing w:val="-7"/>
          <w:sz w:val="24"/>
          <w:szCs w:val="24"/>
        </w:rPr>
        <w:t>境影响不大。</w:t>
      </w:r>
    </w:p>
    <w:p>
      <w:pPr>
        <w:spacing w:before="180" w:line="467" w:lineRule="exact"/>
        <w:ind w:right="68"/>
        <w:jc w:val="right"/>
        <w:rPr>
          <w:rFonts w:ascii="宋体" w:hAnsi="宋体" w:eastAsia="宋体" w:cs="宋体"/>
          <w:sz w:val="24"/>
          <w:szCs w:val="24"/>
        </w:rPr>
      </w:pPr>
      <w:r>
        <w:rPr>
          <w:rFonts w:ascii="宋体" w:hAnsi="宋体" w:eastAsia="宋体" w:cs="宋体"/>
          <w:spacing w:val="-5"/>
          <w:position w:val="17"/>
          <w:sz w:val="24"/>
          <w:szCs w:val="24"/>
        </w:rPr>
        <w:t>本工程不设沥青拌合站， 摊铺的沥青主要来自于景文高速主线工程施工时设置的沥</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青拌合站。工程桥、路面铺设过程中会有少量的</w:t>
      </w:r>
      <w:r>
        <w:rPr>
          <w:rFonts w:ascii="宋体" w:hAnsi="宋体" w:eastAsia="宋体" w:cs="宋体"/>
          <w:spacing w:val="-2"/>
          <w:sz w:val="24"/>
          <w:szCs w:val="24"/>
        </w:rPr>
        <w:t>沥青烟。由于本项目铺路沥青在出厂前</w:t>
      </w:r>
    </w:p>
    <w:p>
      <w:pPr>
        <w:spacing w:line="218" w:lineRule="auto"/>
        <w:rPr>
          <w:rFonts w:ascii="宋体" w:hAnsi="宋体" w:eastAsia="宋体" w:cs="宋体"/>
          <w:sz w:val="24"/>
          <w:szCs w:val="24"/>
        </w:rPr>
        <w:sectPr>
          <w:headerReference r:id="rId249" w:type="default"/>
          <w:footerReference r:id="rId250" w:type="default"/>
          <w:pgSz w:w="11907" w:h="16839"/>
          <w:pgMar w:top="1118" w:right="1348" w:bottom="1072" w:left="1387" w:header="877" w:footer="911" w:gutter="0"/>
          <w:cols w:space="720" w:num="1"/>
        </w:sectPr>
      </w:pPr>
    </w:p>
    <w:p>
      <w:pPr>
        <w:pStyle w:val="2"/>
        <w:spacing w:line="311" w:lineRule="auto"/>
      </w:pPr>
    </w:p>
    <w:p>
      <w:pPr>
        <w:spacing w:before="78" w:line="468" w:lineRule="exact"/>
        <w:ind w:left="141"/>
        <w:rPr>
          <w:rFonts w:ascii="宋体" w:hAnsi="宋体" w:eastAsia="宋体" w:cs="宋体"/>
          <w:sz w:val="24"/>
          <w:szCs w:val="24"/>
        </w:rPr>
      </w:pPr>
      <w:r>
        <w:rPr>
          <w:rFonts w:ascii="宋体" w:hAnsi="宋体" w:eastAsia="宋体" w:cs="宋体"/>
          <w:spacing w:val="2"/>
          <w:position w:val="17"/>
          <w:sz w:val="24"/>
          <w:szCs w:val="24"/>
        </w:rPr>
        <w:t xml:space="preserve">的高温加工过程中废气的挥发已达 </w:t>
      </w:r>
      <w:r>
        <w:rPr>
          <w:rFonts w:ascii="Times New Roman" w:hAnsi="Times New Roman" w:eastAsia="Times New Roman" w:cs="Times New Roman"/>
          <w:spacing w:val="2"/>
          <w:position w:val="17"/>
          <w:sz w:val="24"/>
          <w:szCs w:val="24"/>
        </w:rPr>
        <w:t>90%</w:t>
      </w:r>
      <w:r>
        <w:rPr>
          <w:rFonts w:ascii="宋体" w:hAnsi="宋体" w:eastAsia="宋体" w:cs="宋体"/>
          <w:spacing w:val="2"/>
          <w:position w:val="17"/>
          <w:sz w:val="24"/>
          <w:szCs w:val="24"/>
        </w:rPr>
        <w:t>以上，在铺路时的加热过程中挥发</w:t>
      </w:r>
      <w:r>
        <w:rPr>
          <w:rFonts w:ascii="宋体" w:hAnsi="宋体" w:eastAsia="宋体" w:cs="宋体"/>
          <w:spacing w:val="1"/>
          <w:position w:val="17"/>
          <w:sz w:val="24"/>
          <w:szCs w:val="24"/>
        </w:rPr>
        <w:t>量已较少，</w:t>
      </w:r>
    </w:p>
    <w:p>
      <w:pPr>
        <w:spacing w:before="1" w:line="218" w:lineRule="auto"/>
        <w:ind w:left="122"/>
        <w:rPr>
          <w:rFonts w:ascii="宋体" w:hAnsi="宋体" w:eastAsia="宋体" w:cs="宋体"/>
          <w:sz w:val="24"/>
          <w:szCs w:val="24"/>
        </w:rPr>
      </w:pPr>
      <w:r>
        <w:rPr>
          <w:rFonts w:ascii="宋体" w:hAnsi="宋体" w:eastAsia="宋体" w:cs="宋体"/>
          <w:sz w:val="24"/>
          <w:szCs w:val="24"/>
        </w:rPr>
        <w:t>且铺设区域为开阔区域，沥青烟气经扩散稀释，对周围</w:t>
      </w:r>
      <w:r>
        <w:rPr>
          <w:rFonts w:ascii="宋体" w:hAnsi="宋体" w:eastAsia="宋体" w:cs="宋体"/>
          <w:spacing w:val="-1"/>
          <w:sz w:val="24"/>
          <w:szCs w:val="24"/>
        </w:rPr>
        <w:t>环境产生影响较小。</w:t>
      </w:r>
    </w:p>
    <w:p>
      <w:pPr>
        <w:spacing w:before="183" w:line="359" w:lineRule="auto"/>
        <w:ind w:left="122" w:right="64" w:firstLine="492"/>
        <w:jc w:val="both"/>
        <w:rPr>
          <w:rFonts w:ascii="宋体" w:hAnsi="宋体" w:eastAsia="宋体" w:cs="宋体"/>
          <w:sz w:val="24"/>
          <w:szCs w:val="24"/>
        </w:rPr>
      </w:pPr>
      <w:r>
        <w:rPr>
          <w:rFonts w:ascii="宋体" w:hAnsi="宋体" w:eastAsia="宋体" w:cs="宋体"/>
          <w:spacing w:val="-7"/>
          <w:sz w:val="24"/>
          <w:szCs w:val="24"/>
        </w:rPr>
        <w:t>隧道施工中打眼、放炮、装卸渣土、车辆运输等作业均产生大量粉尘，</w:t>
      </w:r>
      <w:r>
        <w:rPr>
          <w:rFonts w:ascii="宋体" w:hAnsi="宋体" w:eastAsia="宋体" w:cs="宋体"/>
          <w:spacing w:val="62"/>
          <w:sz w:val="24"/>
          <w:szCs w:val="24"/>
        </w:rPr>
        <w:t xml:space="preserve"> </w:t>
      </w:r>
      <w:r>
        <w:rPr>
          <w:rFonts w:ascii="宋体" w:hAnsi="宋体" w:eastAsia="宋体" w:cs="宋体"/>
          <w:spacing w:val="-7"/>
          <w:sz w:val="24"/>
          <w:szCs w:val="24"/>
        </w:rPr>
        <w:t>且爆破过程</w:t>
      </w:r>
      <w:r>
        <w:rPr>
          <w:rFonts w:ascii="宋体" w:hAnsi="宋体" w:eastAsia="宋体" w:cs="宋体"/>
          <w:sz w:val="24"/>
          <w:szCs w:val="24"/>
        </w:rPr>
        <w:t xml:space="preserve"> </w:t>
      </w:r>
      <w:r>
        <w:rPr>
          <w:rFonts w:ascii="宋体" w:hAnsi="宋体" w:eastAsia="宋体" w:cs="宋体"/>
          <w:spacing w:val="-7"/>
          <w:sz w:val="24"/>
          <w:szCs w:val="24"/>
        </w:rPr>
        <w:t>中也会产生一些例如</w:t>
      </w:r>
      <w:r>
        <w:rPr>
          <w:rFonts w:ascii="宋体" w:hAnsi="宋体" w:eastAsia="宋体" w:cs="宋体"/>
          <w:spacing w:val="-61"/>
          <w:sz w:val="24"/>
          <w:szCs w:val="24"/>
        </w:rPr>
        <w:t xml:space="preserve"> </w:t>
      </w:r>
      <w:r>
        <w:rPr>
          <w:rFonts w:ascii="Times New Roman" w:hAnsi="Times New Roman" w:eastAsia="Times New Roman" w:cs="Times New Roman"/>
          <w:spacing w:val="-7"/>
          <w:sz w:val="24"/>
          <w:szCs w:val="24"/>
        </w:rPr>
        <w:t>NO</w:t>
      </w:r>
      <w:r>
        <w:rPr>
          <w:rFonts w:ascii="宋体" w:hAnsi="宋体" w:eastAsia="宋体" w:cs="宋体"/>
          <w:spacing w:val="-7"/>
          <w:sz w:val="24"/>
          <w:szCs w:val="24"/>
        </w:rPr>
        <w:t>、</w:t>
      </w:r>
      <w:r>
        <w:rPr>
          <w:rFonts w:ascii="Times New Roman" w:hAnsi="Times New Roman" w:eastAsia="Times New Roman" w:cs="Times New Roman"/>
          <w:spacing w:val="-7"/>
          <w:sz w:val="24"/>
          <w:szCs w:val="24"/>
        </w:rPr>
        <w:t>NO</w:t>
      </w:r>
      <w:r>
        <w:rPr>
          <w:rFonts w:ascii="Times New Roman" w:hAnsi="Times New Roman" w:eastAsia="Times New Roman" w:cs="Times New Roman"/>
          <w:spacing w:val="-7"/>
          <w:position w:val="-1"/>
          <w:sz w:val="16"/>
          <w:szCs w:val="16"/>
        </w:rPr>
        <w:t>2</w:t>
      </w:r>
      <w:r>
        <w:rPr>
          <w:rFonts w:ascii="宋体" w:hAnsi="宋体" w:eastAsia="宋体" w:cs="宋体"/>
          <w:spacing w:val="-7"/>
          <w:sz w:val="24"/>
          <w:szCs w:val="24"/>
        </w:rPr>
        <w:t>、</w:t>
      </w:r>
      <w:r>
        <w:rPr>
          <w:rFonts w:ascii="Times New Roman" w:hAnsi="Times New Roman" w:eastAsia="Times New Roman" w:cs="Times New Roman"/>
          <w:spacing w:val="-7"/>
          <w:sz w:val="24"/>
          <w:szCs w:val="24"/>
        </w:rPr>
        <w:t>NH</w:t>
      </w:r>
      <w:r>
        <w:rPr>
          <w:rFonts w:ascii="Times New Roman" w:hAnsi="Times New Roman" w:eastAsia="Times New Roman" w:cs="Times New Roman"/>
          <w:spacing w:val="-7"/>
          <w:position w:val="-1"/>
          <w:sz w:val="16"/>
          <w:szCs w:val="16"/>
        </w:rPr>
        <w:t>3</w:t>
      </w:r>
      <w:r>
        <w:rPr>
          <w:rFonts w:ascii="宋体" w:hAnsi="宋体" w:eastAsia="宋体" w:cs="宋体"/>
          <w:spacing w:val="-7"/>
          <w:sz w:val="24"/>
          <w:szCs w:val="24"/>
        </w:rPr>
        <w:t>、</w:t>
      </w:r>
      <w:r>
        <w:rPr>
          <w:rFonts w:ascii="Times New Roman" w:hAnsi="Times New Roman" w:eastAsia="Times New Roman" w:cs="Times New Roman"/>
          <w:spacing w:val="-7"/>
          <w:sz w:val="24"/>
          <w:szCs w:val="24"/>
        </w:rPr>
        <w:t>H</w:t>
      </w:r>
      <w:r>
        <w:rPr>
          <w:rFonts w:ascii="Times New Roman" w:hAnsi="Times New Roman" w:eastAsia="Times New Roman" w:cs="Times New Roman"/>
          <w:spacing w:val="-7"/>
          <w:position w:val="-1"/>
          <w:sz w:val="16"/>
          <w:szCs w:val="16"/>
        </w:rPr>
        <w:t>2</w:t>
      </w:r>
      <w:r>
        <w:rPr>
          <w:rFonts w:ascii="Times New Roman" w:hAnsi="Times New Roman" w:eastAsia="Times New Roman" w:cs="Times New Roman"/>
          <w:spacing w:val="-23"/>
          <w:position w:val="-1"/>
          <w:sz w:val="16"/>
          <w:szCs w:val="16"/>
        </w:rPr>
        <w:t xml:space="preserve"> </w:t>
      </w:r>
      <w:r>
        <w:rPr>
          <w:rFonts w:ascii="Times New Roman" w:hAnsi="Times New Roman" w:eastAsia="Times New Roman" w:cs="Times New Roman"/>
          <w:spacing w:val="-7"/>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SO</w:t>
      </w:r>
      <w:r>
        <w:rPr>
          <w:rFonts w:ascii="Times New Roman" w:hAnsi="Times New Roman" w:eastAsia="Times New Roman" w:cs="Times New Roman"/>
          <w:spacing w:val="-7"/>
          <w:position w:val="-1"/>
          <w:sz w:val="16"/>
          <w:szCs w:val="16"/>
        </w:rPr>
        <w:t>2</w:t>
      </w:r>
      <w:r>
        <w:rPr>
          <w:rFonts w:ascii="Times New Roman" w:hAnsi="Times New Roman" w:eastAsia="Times New Roman" w:cs="Times New Roman"/>
          <w:spacing w:val="-13"/>
          <w:position w:val="-1"/>
          <w:sz w:val="16"/>
          <w:szCs w:val="16"/>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SO</w:t>
      </w:r>
      <w:r>
        <w:rPr>
          <w:rFonts w:ascii="Times New Roman" w:hAnsi="Times New Roman" w:eastAsia="Times New Roman" w:cs="Times New Roman"/>
          <w:spacing w:val="-7"/>
          <w:position w:val="-1"/>
          <w:sz w:val="16"/>
          <w:szCs w:val="16"/>
        </w:rPr>
        <w:t>3</w:t>
      </w:r>
      <w:r>
        <w:rPr>
          <w:rFonts w:ascii="Times New Roman" w:hAnsi="Times New Roman" w:eastAsia="Times New Roman" w:cs="Times New Roman"/>
          <w:spacing w:val="14"/>
          <w:position w:val="-1"/>
          <w:sz w:val="16"/>
          <w:szCs w:val="16"/>
        </w:rPr>
        <w:t xml:space="preserve"> </w:t>
      </w:r>
      <w:r>
        <w:rPr>
          <w:rFonts w:ascii="宋体" w:hAnsi="宋体" w:eastAsia="宋体" w:cs="宋体"/>
          <w:spacing w:val="-7"/>
          <w:sz w:val="24"/>
          <w:szCs w:val="24"/>
        </w:rPr>
        <w:t>等气体， 另外各种施工设备也会</w:t>
      </w:r>
      <w:r>
        <w:rPr>
          <w:rFonts w:ascii="宋体" w:hAnsi="宋体" w:eastAsia="宋体" w:cs="宋体"/>
          <w:sz w:val="24"/>
          <w:szCs w:val="24"/>
        </w:rPr>
        <w:t xml:space="preserve"> </w:t>
      </w:r>
      <w:r>
        <w:rPr>
          <w:rFonts w:ascii="宋体" w:hAnsi="宋体" w:eastAsia="宋体" w:cs="宋体"/>
          <w:spacing w:val="-6"/>
          <w:sz w:val="24"/>
          <w:szCs w:val="24"/>
        </w:rPr>
        <w:t>产生燃油废气，</w:t>
      </w:r>
      <w:r>
        <w:rPr>
          <w:rFonts w:ascii="宋体" w:hAnsi="宋体" w:eastAsia="宋体" w:cs="宋体"/>
          <w:spacing w:val="50"/>
          <w:sz w:val="24"/>
          <w:szCs w:val="24"/>
        </w:rPr>
        <w:t xml:space="preserve"> </w:t>
      </w:r>
      <w:r>
        <w:rPr>
          <w:rFonts w:ascii="宋体" w:hAnsi="宋体" w:eastAsia="宋体" w:cs="宋体"/>
          <w:spacing w:val="-6"/>
          <w:sz w:val="24"/>
          <w:szCs w:val="24"/>
        </w:rPr>
        <w:t>在短时间内使空气中废气浓度维持较高水平。在施工过程中采用洒水降</w:t>
      </w:r>
      <w:r>
        <w:rPr>
          <w:rFonts w:ascii="宋体" w:hAnsi="宋体" w:eastAsia="宋体" w:cs="宋体"/>
          <w:sz w:val="24"/>
          <w:szCs w:val="24"/>
        </w:rPr>
        <w:t xml:space="preserve"> </w:t>
      </w:r>
      <w:r>
        <w:rPr>
          <w:rFonts w:ascii="宋体" w:hAnsi="宋体" w:eastAsia="宋体" w:cs="宋体"/>
          <w:spacing w:val="-13"/>
          <w:sz w:val="24"/>
          <w:szCs w:val="24"/>
        </w:rPr>
        <w:t>尘，</w:t>
      </w:r>
      <w:r>
        <w:rPr>
          <w:rFonts w:ascii="宋体" w:hAnsi="宋体" w:eastAsia="宋体" w:cs="宋体"/>
          <w:spacing w:val="-39"/>
          <w:sz w:val="24"/>
          <w:szCs w:val="24"/>
        </w:rPr>
        <w:t xml:space="preserve"> </w:t>
      </w:r>
      <w:r>
        <w:rPr>
          <w:rFonts w:ascii="宋体" w:hAnsi="宋体" w:eastAsia="宋体" w:cs="宋体"/>
          <w:spacing w:val="-13"/>
          <w:sz w:val="24"/>
          <w:szCs w:val="24"/>
        </w:rPr>
        <w:t>并采用排风机对隧道进行通风，</w:t>
      </w:r>
      <w:r>
        <w:rPr>
          <w:rFonts w:ascii="宋体" w:hAnsi="宋体" w:eastAsia="宋体" w:cs="宋体"/>
          <w:spacing w:val="47"/>
          <w:sz w:val="24"/>
          <w:szCs w:val="24"/>
        </w:rPr>
        <w:t xml:space="preserve"> </w:t>
      </w:r>
      <w:r>
        <w:rPr>
          <w:rFonts w:ascii="宋体" w:hAnsi="宋体" w:eastAsia="宋体" w:cs="宋体"/>
          <w:spacing w:val="-13"/>
          <w:sz w:val="24"/>
          <w:szCs w:val="24"/>
        </w:rPr>
        <w:t>有效降低隧道内废气的浓度，</w:t>
      </w:r>
      <w:r>
        <w:rPr>
          <w:rFonts w:ascii="宋体" w:hAnsi="宋体" w:eastAsia="宋体" w:cs="宋体"/>
          <w:spacing w:val="65"/>
          <w:sz w:val="24"/>
          <w:szCs w:val="24"/>
        </w:rPr>
        <w:t xml:space="preserve"> </w:t>
      </w:r>
      <w:r>
        <w:rPr>
          <w:rFonts w:ascii="宋体" w:hAnsi="宋体" w:eastAsia="宋体" w:cs="宋体"/>
          <w:spacing w:val="-13"/>
          <w:sz w:val="24"/>
          <w:szCs w:val="24"/>
        </w:rPr>
        <w:t>降低对周边环境的影</w:t>
      </w:r>
      <w:r>
        <w:rPr>
          <w:rFonts w:ascii="宋体" w:hAnsi="宋体" w:eastAsia="宋体" w:cs="宋体"/>
          <w:sz w:val="24"/>
          <w:szCs w:val="24"/>
        </w:rPr>
        <w:t xml:space="preserve"> </w:t>
      </w:r>
      <w:r>
        <w:rPr>
          <w:rFonts w:ascii="宋体" w:hAnsi="宋体" w:eastAsia="宋体" w:cs="宋体"/>
          <w:spacing w:val="-12"/>
          <w:sz w:val="24"/>
          <w:szCs w:val="24"/>
        </w:rPr>
        <w:t>响。隧道口附近有</w:t>
      </w:r>
      <w:r>
        <w:rPr>
          <w:rFonts w:ascii="宋体" w:hAnsi="宋体" w:eastAsia="宋体" w:cs="宋体"/>
          <w:spacing w:val="-37"/>
          <w:sz w:val="24"/>
          <w:szCs w:val="24"/>
        </w:rPr>
        <w:t xml:space="preserve"> </w:t>
      </w:r>
      <w:r>
        <w:rPr>
          <w:rFonts w:ascii="Times New Roman" w:hAnsi="Times New Roman" w:eastAsia="Times New Roman" w:cs="Times New Roman"/>
          <w:spacing w:val="-12"/>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12"/>
          <w:sz w:val="24"/>
          <w:szCs w:val="24"/>
        </w:rPr>
        <w:t>处环境保护目标，</w:t>
      </w:r>
      <w:r>
        <w:rPr>
          <w:rFonts w:ascii="宋体" w:hAnsi="宋体" w:eastAsia="宋体" w:cs="宋体"/>
          <w:spacing w:val="58"/>
          <w:sz w:val="24"/>
          <w:szCs w:val="24"/>
        </w:rPr>
        <w:t xml:space="preserve"> </w:t>
      </w:r>
      <w:r>
        <w:rPr>
          <w:rFonts w:ascii="宋体" w:hAnsi="宋体" w:eastAsia="宋体" w:cs="宋体"/>
          <w:spacing w:val="-12"/>
          <w:sz w:val="24"/>
          <w:szCs w:val="24"/>
        </w:rPr>
        <w:t>隧道口施工时粉尘等对其造成了一定的影响，</w:t>
      </w:r>
      <w:r>
        <w:rPr>
          <w:rFonts w:ascii="宋体" w:hAnsi="宋体" w:eastAsia="宋体" w:cs="宋体"/>
          <w:spacing w:val="59"/>
          <w:sz w:val="24"/>
          <w:szCs w:val="24"/>
        </w:rPr>
        <w:t xml:space="preserve"> </w:t>
      </w:r>
      <w:r>
        <w:rPr>
          <w:rFonts w:ascii="宋体" w:hAnsi="宋体" w:eastAsia="宋体" w:cs="宋体"/>
          <w:spacing w:val="-12"/>
          <w:sz w:val="24"/>
          <w:szCs w:val="24"/>
        </w:rPr>
        <w:t>随</w:t>
      </w:r>
    </w:p>
    <w:p>
      <w:pPr>
        <w:spacing w:line="219" w:lineRule="auto"/>
        <w:ind w:left="122"/>
        <w:rPr>
          <w:rFonts w:ascii="宋体" w:hAnsi="宋体" w:eastAsia="宋体" w:cs="宋体"/>
          <w:sz w:val="24"/>
          <w:szCs w:val="24"/>
        </w:rPr>
      </w:pPr>
      <w:r>
        <w:rPr>
          <w:rFonts w:ascii="宋体" w:hAnsi="宋体" w:eastAsia="宋体" w:cs="宋体"/>
          <w:spacing w:val="-2"/>
          <w:sz w:val="24"/>
          <w:szCs w:val="24"/>
        </w:rPr>
        <w:t>着隧道的掘进、洒水降尘等措施的实施，对其造成的影响逐渐减弱。</w:t>
      </w:r>
    </w:p>
    <w:p>
      <w:pPr>
        <w:spacing w:before="177" w:line="360" w:lineRule="auto"/>
        <w:ind w:left="121" w:firstLine="480"/>
        <w:jc w:val="both"/>
        <w:rPr>
          <w:rFonts w:ascii="宋体" w:hAnsi="宋体" w:eastAsia="宋体" w:cs="宋体"/>
          <w:sz w:val="24"/>
          <w:szCs w:val="24"/>
        </w:rPr>
      </w:pPr>
      <w:r>
        <w:rPr>
          <w:rFonts w:ascii="宋体" w:hAnsi="宋体" w:eastAsia="宋体" w:cs="宋体"/>
          <w:spacing w:val="-10"/>
          <w:sz w:val="24"/>
          <w:szCs w:val="24"/>
        </w:rPr>
        <w:t>根据施工期的现状监测（具体见下表</w:t>
      </w:r>
      <w:r>
        <w:rPr>
          <w:rFonts w:ascii="宋体" w:hAnsi="宋体" w:eastAsia="宋体" w:cs="宋体"/>
          <w:spacing w:val="-24"/>
          <w:sz w:val="24"/>
          <w:szCs w:val="24"/>
        </w:rPr>
        <w:t>）</w:t>
      </w:r>
      <w:r>
        <w:rPr>
          <w:rFonts w:ascii="宋体" w:hAnsi="宋体" w:eastAsia="宋体" w:cs="宋体"/>
          <w:spacing w:val="33"/>
          <w:sz w:val="24"/>
          <w:szCs w:val="24"/>
        </w:rPr>
        <w:t xml:space="preserve"> </w:t>
      </w:r>
      <w:r>
        <w:rPr>
          <w:rFonts w:ascii="宋体" w:hAnsi="宋体" w:eastAsia="宋体" w:cs="宋体"/>
          <w:spacing w:val="-24"/>
          <w:sz w:val="24"/>
          <w:szCs w:val="24"/>
        </w:rPr>
        <w:t>，</w:t>
      </w:r>
      <w:r>
        <w:rPr>
          <w:rFonts w:ascii="宋体" w:hAnsi="宋体" w:eastAsia="宋体" w:cs="宋体"/>
          <w:spacing w:val="-10"/>
          <w:sz w:val="24"/>
          <w:szCs w:val="24"/>
        </w:rPr>
        <w:t>施工过程中，</w:t>
      </w:r>
      <w:r>
        <w:rPr>
          <w:rFonts w:ascii="宋体" w:hAnsi="宋体" w:eastAsia="宋体" w:cs="宋体"/>
          <w:spacing w:val="56"/>
          <w:sz w:val="24"/>
          <w:szCs w:val="24"/>
        </w:rPr>
        <w:t xml:space="preserve"> </w:t>
      </w:r>
      <w:r>
        <w:rPr>
          <w:rFonts w:ascii="宋体" w:hAnsi="宋体" w:eastAsia="宋体" w:cs="宋体"/>
          <w:spacing w:val="-10"/>
          <w:sz w:val="24"/>
          <w:szCs w:val="24"/>
        </w:rPr>
        <w:t>受景文高速公路设置的施工</w:t>
      </w:r>
      <w:r>
        <w:rPr>
          <w:rFonts w:ascii="宋体" w:hAnsi="宋体" w:eastAsia="宋体" w:cs="宋体"/>
          <w:sz w:val="24"/>
          <w:szCs w:val="24"/>
        </w:rPr>
        <w:t xml:space="preserve"> </w:t>
      </w:r>
      <w:r>
        <w:rPr>
          <w:rFonts w:ascii="宋体" w:hAnsi="宋体" w:eastAsia="宋体" w:cs="宋体"/>
          <w:spacing w:val="-6"/>
          <w:sz w:val="24"/>
          <w:szCs w:val="24"/>
        </w:rPr>
        <w:t>场地及连接线施工的影响， 部分区域施工前期</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 xml:space="preserve">TSP </w:t>
      </w:r>
      <w:r>
        <w:rPr>
          <w:rFonts w:ascii="宋体" w:hAnsi="宋体" w:eastAsia="宋体" w:cs="宋体"/>
          <w:spacing w:val="-6"/>
          <w:sz w:val="24"/>
          <w:szCs w:val="24"/>
        </w:rPr>
        <w:t>存在着超标的现象，粉尘对施工区域</w:t>
      </w:r>
      <w:r>
        <w:rPr>
          <w:rFonts w:ascii="宋体" w:hAnsi="宋体" w:eastAsia="宋体" w:cs="宋体"/>
          <w:sz w:val="24"/>
          <w:szCs w:val="24"/>
        </w:rPr>
        <w:t xml:space="preserve"> </w:t>
      </w:r>
      <w:r>
        <w:rPr>
          <w:rFonts w:ascii="宋体" w:hAnsi="宋体" w:eastAsia="宋体" w:cs="宋体"/>
          <w:spacing w:val="-9"/>
          <w:sz w:val="24"/>
          <w:szCs w:val="24"/>
        </w:rPr>
        <w:t>周边造成了一定的影响。在发现超标问题后， 监理监测单位督促施工单位进行问题整改，</w:t>
      </w:r>
      <w:r>
        <w:rPr>
          <w:rFonts w:ascii="宋体" w:hAnsi="宋体" w:eastAsia="宋体" w:cs="宋体"/>
          <w:spacing w:val="9"/>
          <w:sz w:val="24"/>
          <w:szCs w:val="24"/>
        </w:rPr>
        <w:t xml:space="preserve"> </w:t>
      </w:r>
      <w:r>
        <w:rPr>
          <w:rFonts w:ascii="宋体" w:hAnsi="宋体" w:eastAsia="宋体" w:cs="宋体"/>
          <w:spacing w:val="-10"/>
          <w:sz w:val="24"/>
          <w:szCs w:val="24"/>
        </w:rPr>
        <w:t>加强洒水喷雾降尘、清扫路面、冲洗车辆、篷布遮</w:t>
      </w:r>
      <w:r>
        <w:rPr>
          <w:rFonts w:ascii="宋体" w:hAnsi="宋体" w:eastAsia="宋体" w:cs="宋体"/>
          <w:spacing w:val="-11"/>
          <w:sz w:val="24"/>
          <w:szCs w:val="24"/>
        </w:rPr>
        <w:t>盖等措施，</w:t>
      </w:r>
      <w:r>
        <w:rPr>
          <w:rFonts w:ascii="宋体" w:hAnsi="宋体" w:eastAsia="宋体" w:cs="宋体"/>
          <w:spacing w:val="54"/>
          <w:sz w:val="24"/>
          <w:szCs w:val="24"/>
        </w:rPr>
        <w:t xml:space="preserve"> </w:t>
      </w:r>
      <w:r>
        <w:rPr>
          <w:rFonts w:ascii="宋体" w:hAnsi="宋体" w:eastAsia="宋体" w:cs="宋体"/>
          <w:spacing w:val="-11"/>
          <w:sz w:val="24"/>
          <w:szCs w:val="24"/>
        </w:rPr>
        <w:t>有效降低粉尘的排放，</w:t>
      </w:r>
      <w:r>
        <w:rPr>
          <w:rFonts w:ascii="宋体" w:hAnsi="宋体" w:eastAsia="宋体" w:cs="宋体"/>
          <w:spacing w:val="55"/>
          <w:sz w:val="24"/>
          <w:szCs w:val="24"/>
        </w:rPr>
        <w:t xml:space="preserve"> </w:t>
      </w:r>
      <w:r>
        <w:rPr>
          <w:rFonts w:ascii="宋体" w:hAnsi="宋体" w:eastAsia="宋体" w:cs="宋体"/>
          <w:spacing w:val="-11"/>
          <w:sz w:val="24"/>
          <w:szCs w:val="24"/>
        </w:rPr>
        <w:t>后</w:t>
      </w:r>
    </w:p>
    <w:p>
      <w:pPr>
        <w:spacing w:before="1" w:line="219" w:lineRule="auto"/>
        <w:ind w:left="125"/>
        <w:rPr>
          <w:rFonts w:ascii="宋体" w:hAnsi="宋体" w:eastAsia="宋体" w:cs="宋体"/>
          <w:sz w:val="24"/>
          <w:szCs w:val="24"/>
        </w:rPr>
      </w:pPr>
      <w:r>
        <w:rPr>
          <w:rFonts w:ascii="宋体" w:hAnsi="宋体" w:eastAsia="宋体" w:cs="宋体"/>
          <w:spacing w:val="-3"/>
          <w:sz w:val="24"/>
          <w:szCs w:val="24"/>
        </w:rPr>
        <w:t>期施工过程中敏感点处的</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TSP</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能够满足标准要求。</w:t>
      </w:r>
    </w:p>
    <w:p>
      <w:pPr>
        <w:spacing w:before="180" w:line="220" w:lineRule="auto"/>
        <w:ind w:left="3356"/>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5.2.1-</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施工期现状监测</w:t>
      </w:r>
    </w:p>
    <w:p>
      <w:pPr>
        <w:spacing w:line="110" w:lineRule="exact"/>
      </w:pPr>
    </w:p>
    <w:tbl>
      <w:tblPr>
        <w:tblStyle w:val="5"/>
        <w:tblW w:w="92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8"/>
        <w:gridCol w:w="2051"/>
        <w:gridCol w:w="1847"/>
        <w:gridCol w:w="1848"/>
        <w:gridCol w:w="18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648" w:type="dxa"/>
            <w:vAlign w:val="top"/>
          </w:tcPr>
          <w:p>
            <w:pPr>
              <w:pStyle w:val="6"/>
              <w:spacing w:before="171" w:line="222" w:lineRule="auto"/>
              <w:ind w:left="630"/>
            </w:pPr>
            <w:r>
              <w:rPr>
                <w:spacing w:val="-5"/>
              </w:rPr>
              <w:t>点位</w:t>
            </w:r>
          </w:p>
        </w:tc>
        <w:tc>
          <w:tcPr>
            <w:tcW w:w="2051" w:type="dxa"/>
            <w:vAlign w:val="top"/>
          </w:tcPr>
          <w:p>
            <w:pPr>
              <w:pStyle w:val="6"/>
              <w:spacing w:before="171" w:line="222" w:lineRule="auto"/>
              <w:ind w:left="610"/>
            </w:pPr>
            <w:r>
              <w:rPr>
                <w:spacing w:val="-2"/>
              </w:rPr>
              <w:t>监测时间</w:t>
            </w:r>
          </w:p>
        </w:tc>
        <w:tc>
          <w:tcPr>
            <w:tcW w:w="1847" w:type="dxa"/>
            <w:vAlign w:val="top"/>
          </w:tcPr>
          <w:p>
            <w:pPr>
              <w:pStyle w:val="6"/>
              <w:spacing w:before="34" w:line="241" w:lineRule="auto"/>
              <w:ind w:left="407"/>
            </w:pPr>
            <w:r>
              <w:rPr>
                <w:spacing w:val="-2"/>
              </w:rPr>
              <w:t>非甲烷总烃</w:t>
            </w:r>
          </w:p>
          <w:p>
            <w:pPr>
              <w:pStyle w:val="6"/>
              <w:spacing w:line="205" w:lineRule="auto"/>
              <w:ind w:left="446"/>
            </w:pPr>
            <w:r>
              <w:rPr>
                <w:spacing w:val="-2"/>
              </w:rPr>
              <w:t>（</w:t>
            </w:r>
            <w:r>
              <w:rPr>
                <w:rFonts w:ascii="Times New Roman" w:hAnsi="Times New Roman" w:eastAsia="Times New Roman" w:cs="Times New Roman"/>
                <w:spacing w:val="-2"/>
              </w:rPr>
              <w:t>mg/m</w:t>
            </w:r>
            <w:r>
              <w:rPr>
                <w:rFonts w:ascii="Times New Roman" w:hAnsi="Times New Roman" w:eastAsia="Times New Roman" w:cs="Times New Roman"/>
                <w:spacing w:val="-2"/>
                <w:position w:val="6"/>
                <w:sz w:val="13"/>
                <w:szCs w:val="13"/>
              </w:rPr>
              <w:t>3</w:t>
            </w:r>
            <w:r>
              <w:rPr>
                <w:spacing w:val="-2"/>
              </w:rPr>
              <w:t>）</w:t>
            </w:r>
          </w:p>
        </w:tc>
        <w:tc>
          <w:tcPr>
            <w:tcW w:w="1848" w:type="dxa"/>
            <w:vAlign w:val="top"/>
          </w:tcPr>
          <w:p>
            <w:pPr>
              <w:spacing w:before="72" w:line="187" w:lineRule="auto"/>
              <w:ind w:left="7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TSP</w:t>
            </w:r>
          </w:p>
          <w:p>
            <w:pPr>
              <w:pStyle w:val="6"/>
              <w:spacing w:before="31" w:line="213" w:lineRule="auto"/>
              <w:ind w:left="447"/>
            </w:pPr>
            <w:r>
              <w:rPr>
                <w:spacing w:val="-2"/>
              </w:rPr>
              <w:t>（</w:t>
            </w:r>
            <w:r>
              <w:rPr>
                <w:rFonts w:ascii="Times New Roman" w:hAnsi="Times New Roman" w:eastAsia="Times New Roman" w:cs="Times New Roman"/>
                <w:spacing w:val="-2"/>
              </w:rPr>
              <w:t>mg/m</w:t>
            </w:r>
            <w:r>
              <w:rPr>
                <w:rFonts w:ascii="Times New Roman" w:hAnsi="Times New Roman" w:eastAsia="Times New Roman" w:cs="Times New Roman"/>
                <w:spacing w:val="-2"/>
                <w:position w:val="6"/>
                <w:sz w:val="13"/>
                <w:szCs w:val="13"/>
              </w:rPr>
              <w:t>3</w:t>
            </w:r>
            <w:r>
              <w:rPr>
                <w:spacing w:val="-2"/>
              </w:rPr>
              <w:t>）</w:t>
            </w:r>
          </w:p>
        </w:tc>
        <w:tc>
          <w:tcPr>
            <w:tcW w:w="1852" w:type="dxa"/>
            <w:vAlign w:val="top"/>
          </w:tcPr>
          <w:p>
            <w:pPr>
              <w:pStyle w:val="6"/>
              <w:spacing w:before="34" w:line="241" w:lineRule="auto"/>
              <w:ind w:left="617"/>
            </w:pPr>
            <w:r>
              <w:rPr>
                <w:spacing w:val="-2"/>
              </w:rPr>
              <w:t>苯并芘</w:t>
            </w:r>
          </w:p>
          <w:p>
            <w:pPr>
              <w:pStyle w:val="6"/>
              <w:spacing w:line="205" w:lineRule="auto"/>
              <w:ind w:left="572"/>
            </w:pPr>
            <w:r>
              <w:rPr>
                <w:spacing w:val="-2"/>
              </w:rPr>
              <w:t>(</w:t>
            </w:r>
            <w:r>
              <w:rPr>
                <w:rFonts w:ascii="Times New Roman" w:hAnsi="Times New Roman" w:eastAsia="Times New Roman" w:cs="Times New Roman"/>
                <w:spacing w:val="-2"/>
              </w:rPr>
              <w:t>µg/m</w:t>
            </w:r>
            <w:r>
              <w:rPr>
                <w:rFonts w:ascii="Times New Roman" w:hAnsi="Times New Roman" w:eastAsia="Times New Roman" w:cs="Times New Roman"/>
                <w:spacing w:val="-2"/>
                <w:position w:val="6"/>
                <w:sz w:val="13"/>
                <w:szCs w:val="13"/>
              </w:rPr>
              <w:t>3</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648" w:type="dxa"/>
            <w:vMerge w:val="restart"/>
            <w:tcBorders>
              <w:bottom w:val="nil"/>
            </w:tcBorders>
            <w:vAlign w:val="top"/>
          </w:tcPr>
          <w:p>
            <w:pPr>
              <w:spacing w:line="245" w:lineRule="auto"/>
              <w:rPr>
                <w:rFonts w:ascii="Arial"/>
                <w:sz w:val="21"/>
              </w:rPr>
            </w:pPr>
          </w:p>
          <w:p>
            <w:pPr>
              <w:pStyle w:val="6"/>
              <w:spacing w:before="68" w:line="220" w:lineRule="auto"/>
              <w:ind w:left="514"/>
            </w:pPr>
            <w:r>
              <w:rPr>
                <w:spacing w:val="-2"/>
              </w:rPr>
              <w:t>双田村</w:t>
            </w:r>
          </w:p>
        </w:tc>
        <w:tc>
          <w:tcPr>
            <w:tcW w:w="2051" w:type="dxa"/>
            <w:vAlign w:val="top"/>
          </w:tcPr>
          <w:p>
            <w:pPr>
              <w:pStyle w:val="6"/>
              <w:spacing w:before="32" w:line="206" w:lineRule="auto"/>
              <w:ind w:left="211"/>
            </w:pPr>
            <w:r>
              <w:rPr>
                <w:rFonts w:ascii="Times New Roman" w:hAnsi="Times New Roman" w:eastAsia="Times New Roman" w:cs="Times New Roman"/>
                <w:spacing w:val="-5"/>
              </w:rPr>
              <w:t xml:space="preserve">2021 </w:t>
            </w:r>
            <w:r>
              <w:rPr>
                <w:spacing w:val="-5"/>
              </w:rPr>
              <w:t>年</w:t>
            </w:r>
            <w:r>
              <w:rPr>
                <w:spacing w:val="-36"/>
              </w:rPr>
              <w:t xml:space="preserve"> </w:t>
            </w:r>
            <w:r>
              <w:rPr>
                <w:rFonts w:ascii="Times New Roman" w:hAnsi="Times New Roman" w:eastAsia="Times New Roman" w:cs="Times New Roman"/>
                <w:spacing w:val="-5"/>
              </w:rPr>
              <w:t>6</w:t>
            </w:r>
            <w:r>
              <w:rPr>
                <w:rFonts w:ascii="Times New Roman" w:hAnsi="Times New Roman" w:eastAsia="Times New Roman" w:cs="Times New Roman"/>
                <w:spacing w:val="11"/>
              </w:rPr>
              <w:t xml:space="preserve"> </w:t>
            </w:r>
            <w:r>
              <w:rPr>
                <w:spacing w:val="-5"/>
              </w:rPr>
              <w:t>月</w:t>
            </w:r>
            <w:r>
              <w:rPr>
                <w:spacing w:val="-27"/>
              </w:rPr>
              <w:t xml:space="preserve"> </w:t>
            </w:r>
            <w:r>
              <w:rPr>
                <w:rFonts w:ascii="Times New Roman" w:hAnsi="Times New Roman" w:eastAsia="Times New Roman" w:cs="Times New Roman"/>
                <w:spacing w:val="-5"/>
              </w:rPr>
              <w:t xml:space="preserve">16  </w:t>
            </w:r>
            <w:r>
              <w:rPr>
                <w:spacing w:val="-5"/>
              </w:rPr>
              <w:t>日</w:t>
            </w:r>
          </w:p>
        </w:tc>
        <w:tc>
          <w:tcPr>
            <w:tcW w:w="1847" w:type="dxa"/>
            <w:vAlign w:val="top"/>
          </w:tcPr>
          <w:p>
            <w:pPr>
              <w:spacing w:before="66" w:line="199" w:lineRule="auto"/>
              <w:ind w:left="89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8" w:type="dxa"/>
            <w:vAlign w:val="top"/>
          </w:tcPr>
          <w:p>
            <w:pPr>
              <w:spacing w:before="70" w:line="187" w:lineRule="auto"/>
              <w:ind w:left="70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1.158</w:t>
            </w:r>
          </w:p>
        </w:tc>
        <w:tc>
          <w:tcPr>
            <w:tcW w:w="1852" w:type="dxa"/>
            <w:vAlign w:val="top"/>
          </w:tcPr>
          <w:p>
            <w:pPr>
              <w:spacing w:before="66" w:line="199" w:lineRule="auto"/>
              <w:ind w:left="89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648" w:type="dxa"/>
            <w:vMerge w:val="continue"/>
            <w:tcBorders>
              <w:top w:val="nil"/>
              <w:bottom w:val="nil"/>
            </w:tcBorders>
            <w:vAlign w:val="top"/>
          </w:tcPr>
          <w:p>
            <w:pPr>
              <w:rPr>
                <w:rFonts w:ascii="Arial"/>
                <w:sz w:val="21"/>
              </w:rPr>
            </w:pPr>
          </w:p>
        </w:tc>
        <w:tc>
          <w:tcPr>
            <w:tcW w:w="2051" w:type="dxa"/>
            <w:vAlign w:val="top"/>
          </w:tcPr>
          <w:p>
            <w:pPr>
              <w:pStyle w:val="6"/>
              <w:spacing w:before="32" w:line="204" w:lineRule="auto"/>
              <w:ind w:left="211"/>
            </w:pPr>
            <w:r>
              <w:rPr>
                <w:rFonts w:ascii="Times New Roman" w:hAnsi="Times New Roman" w:eastAsia="Times New Roman" w:cs="Times New Roman"/>
                <w:spacing w:val="-3"/>
              </w:rPr>
              <w:t xml:space="preserve">2022 </w:t>
            </w:r>
            <w:r>
              <w:rPr>
                <w:spacing w:val="-3"/>
              </w:rPr>
              <w:t>年</w:t>
            </w:r>
            <w:r>
              <w:rPr>
                <w:spacing w:val="-42"/>
              </w:rPr>
              <w:t xml:space="preserve"> </w:t>
            </w:r>
            <w:r>
              <w:rPr>
                <w:rFonts w:ascii="Times New Roman" w:hAnsi="Times New Roman" w:eastAsia="Times New Roman" w:cs="Times New Roman"/>
                <w:spacing w:val="-3"/>
              </w:rPr>
              <w:t>5</w:t>
            </w:r>
            <w:r>
              <w:rPr>
                <w:rFonts w:ascii="Times New Roman" w:hAnsi="Times New Roman" w:eastAsia="Times New Roman" w:cs="Times New Roman"/>
                <w:spacing w:val="11"/>
              </w:rPr>
              <w:t xml:space="preserve"> </w:t>
            </w:r>
            <w:r>
              <w:rPr>
                <w:spacing w:val="-3"/>
              </w:rPr>
              <w:t>月</w:t>
            </w:r>
            <w:r>
              <w:rPr>
                <w:spacing w:val="-47"/>
              </w:rPr>
              <w:t xml:space="preserve"> </w:t>
            </w:r>
            <w:r>
              <w:rPr>
                <w:rFonts w:ascii="Times New Roman" w:hAnsi="Times New Roman" w:eastAsia="Times New Roman" w:cs="Times New Roman"/>
                <w:spacing w:val="-3"/>
              </w:rPr>
              <w:t xml:space="preserve">25  </w:t>
            </w:r>
            <w:r>
              <w:rPr>
                <w:spacing w:val="-3"/>
              </w:rPr>
              <w:t>日</w:t>
            </w:r>
          </w:p>
        </w:tc>
        <w:tc>
          <w:tcPr>
            <w:tcW w:w="1847" w:type="dxa"/>
            <w:vAlign w:val="top"/>
          </w:tcPr>
          <w:p>
            <w:pPr>
              <w:spacing w:before="68" w:line="195" w:lineRule="auto"/>
              <w:ind w:left="89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48" w:type="dxa"/>
            <w:vAlign w:val="top"/>
          </w:tcPr>
          <w:p>
            <w:pPr>
              <w:spacing w:before="71" w:line="187" w:lineRule="auto"/>
              <w:ind w:left="6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0.099</w:t>
            </w:r>
          </w:p>
        </w:tc>
        <w:tc>
          <w:tcPr>
            <w:tcW w:w="1852" w:type="dxa"/>
            <w:vAlign w:val="top"/>
          </w:tcPr>
          <w:p>
            <w:pPr>
              <w:spacing w:before="68" w:line="195" w:lineRule="auto"/>
              <w:ind w:left="89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648" w:type="dxa"/>
            <w:vMerge w:val="continue"/>
            <w:tcBorders>
              <w:top w:val="nil"/>
            </w:tcBorders>
            <w:vAlign w:val="top"/>
          </w:tcPr>
          <w:p>
            <w:pPr>
              <w:rPr>
                <w:rFonts w:ascii="Arial"/>
                <w:sz w:val="21"/>
              </w:rPr>
            </w:pPr>
          </w:p>
        </w:tc>
        <w:tc>
          <w:tcPr>
            <w:tcW w:w="2051" w:type="dxa"/>
            <w:vAlign w:val="top"/>
          </w:tcPr>
          <w:p>
            <w:pPr>
              <w:pStyle w:val="6"/>
              <w:spacing w:before="36" w:line="207" w:lineRule="auto"/>
              <w:ind w:left="211"/>
            </w:pPr>
            <w:r>
              <w:rPr>
                <w:rFonts w:ascii="Times New Roman" w:hAnsi="Times New Roman" w:eastAsia="Times New Roman" w:cs="Times New Roman"/>
                <w:spacing w:val="-5"/>
              </w:rPr>
              <w:t xml:space="preserve">2022 </w:t>
            </w:r>
            <w:r>
              <w:rPr>
                <w:spacing w:val="-5"/>
              </w:rPr>
              <w:t>年</w:t>
            </w:r>
            <w:r>
              <w:rPr>
                <w:spacing w:val="-20"/>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11"/>
              </w:rPr>
              <w:t xml:space="preserve"> </w:t>
            </w:r>
            <w:r>
              <w:rPr>
                <w:spacing w:val="-5"/>
              </w:rPr>
              <w:t>月</w:t>
            </w:r>
            <w:r>
              <w:rPr>
                <w:spacing w:val="-43"/>
              </w:rPr>
              <w:t xml:space="preserve"> </w:t>
            </w:r>
            <w:r>
              <w:rPr>
                <w:rFonts w:ascii="Times New Roman" w:hAnsi="Times New Roman" w:eastAsia="Times New Roman" w:cs="Times New Roman"/>
                <w:spacing w:val="-5"/>
              </w:rPr>
              <w:t xml:space="preserve">9  </w:t>
            </w:r>
            <w:r>
              <w:rPr>
                <w:spacing w:val="-5"/>
              </w:rPr>
              <w:t>日</w:t>
            </w:r>
          </w:p>
        </w:tc>
        <w:tc>
          <w:tcPr>
            <w:tcW w:w="1847" w:type="dxa"/>
            <w:vAlign w:val="top"/>
          </w:tcPr>
          <w:p>
            <w:pPr>
              <w:spacing w:before="75" w:line="187" w:lineRule="auto"/>
              <w:ind w:left="7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0.96</w:t>
            </w:r>
          </w:p>
        </w:tc>
        <w:tc>
          <w:tcPr>
            <w:tcW w:w="1848" w:type="dxa"/>
            <w:vAlign w:val="top"/>
          </w:tcPr>
          <w:p>
            <w:pPr>
              <w:spacing w:before="75" w:line="187" w:lineRule="auto"/>
              <w:ind w:left="6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0.169</w:t>
            </w:r>
          </w:p>
        </w:tc>
        <w:tc>
          <w:tcPr>
            <w:tcW w:w="1852" w:type="dxa"/>
            <w:vAlign w:val="top"/>
          </w:tcPr>
          <w:p>
            <w:pPr>
              <w:spacing w:before="75" w:line="18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&lt;0.0010</w:t>
            </w:r>
          </w:p>
        </w:tc>
      </w:tr>
    </w:tbl>
    <w:p>
      <w:pPr>
        <w:spacing w:before="192" w:line="468" w:lineRule="exact"/>
        <w:ind w:right="60"/>
        <w:jc w:val="right"/>
        <w:rPr>
          <w:rFonts w:ascii="宋体" w:hAnsi="宋体" w:eastAsia="宋体" w:cs="宋体"/>
          <w:sz w:val="24"/>
          <w:szCs w:val="24"/>
        </w:rPr>
      </w:pPr>
      <w:r>
        <w:rPr>
          <w:rFonts w:ascii="宋体" w:hAnsi="宋体" w:eastAsia="宋体" w:cs="宋体"/>
          <w:spacing w:val="-14"/>
          <w:position w:val="17"/>
          <w:sz w:val="24"/>
          <w:szCs w:val="24"/>
        </w:rPr>
        <w:t>综上所述， 项目施工过程对大气环境造成了一定的影响，</w:t>
      </w:r>
      <w:r>
        <w:rPr>
          <w:rFonts w:ascii="宋体" w:hAnsi="宋体" w:eastAsia="宋体" w:cs="宋体"/>
          <w:spacing w:val="45"/>
          <w:position w:val="17"/>
          <w:sz w:val="24"/>
          <w:szCs w:val="24"/>
        </w:rPr>
        <w:t xml:space="preserve"> </w:t>
      </w:r>
      <w:r>
        <w:rPr>
          <w:rFonts w:ascii="宋体" w:hAnsi="宋体" w:eastAsia="宋体" w:cs="宋体"/>
          <w:spacing w:val="-14"/>
          <w:position w:val="17"/>
          <w:sz w:val="24"/>
          <w:szCs w:val="24"/>
        </w:rPr>
        <w:t>但总体影响可控，</w:t>
      </w:r>
      <w:r>
        <w:rPr>
          <w:rFonts w:ascii="宋体" w:hAnsi="宋体" w:eastAsia="宋体" w:cs="宋体"/>
          <w:spacing w:val="59"/>
          <w:position w:val="17"/>
          <w:sz w:val="24"/>
          <w:szCs w:val="24"/>
        </w:rPr>
        <w:t xml:space="preserve"> </w:t>
      </w:r>
      <w:r>
        <w:rPr>
          <w:rFonts w:ascii="宋体" w:hAnsi="宋体" w:eastAsia="宋体" w:cs="宋体"/>
          <w:spacing w:val="-14"/>
          <w:position w:val="17"/>
          <w:sz w:val="24"/>
          <w:szCs w:val="24"/>
        </w:rPr>
        <w:t>随</w:t>
      </w:r>
      <w:r>
        <w:rPr>
          <w:rFonts w:ascii="宋体" w:hAnsi="宋体" w:eastAsia="宋体" w:cs="宋体"/>
          <w:spacing w:val="-15"/>
          <w:position w:val="17"/>
          <w:sz w:val="24"/>
          <w:szCs w:val="24"/>
        </w:rPr>
        <w:t>着施</w:t>
      </w:r>
    </w:p>
    <w:p>
      <w:pPr>
        <w:spacing w:before="1" w:line="218" w:lineRule="auto"/>
        <w:ind w:left="125"/>
        <w:rPr>
          <w:rFonts w:ascii="宋体" w:hAnsi="宋体" w:eastAsia="宋体" w:cs="宋体"/>
          <w:sz w:val="24"/>
          <w:szCs w:val="24"/>
        </w:rPr>
      </w:pPr>
      <w:r>
        <w:rPr>
          <w:rFonts w:ascii="宋体" w:hAnsi="宋体" w:eastAsia="宋体" w:cs="宋体"/>
          <w:spacing w:val="-1"/>
          <w:sz w:val="24"/>
          <w:szCs w:val="24"/>
        </w:rPr>
        <w:t>工的结束，影响也基本消失。</w:t>
      </w:r>
    </w:p>
    <w:p>
      <w:pPr>
        <w:spacing w:before="182" w:line="220" w:lineRule="auto"/>
        <w:ind w:left="120"/>
        <w:outlineLvl w:val="1"/>
        <w:rPr>
          <w:rFonts w:ascii="宋体" w:hAnsi="宋体" w:eastAsia="宋体" w:cs="宋体"/>
          <w:sz w:val="24"/>
          <w:szCs w:val="24"/>
        </w:rPr>
      </w:pPr>
      <w:r>
        <w:rPr>
          <w:rFonts w:ascii="Times New Roman" w:hAnsi="Times New Roman" w:eastAsia="Times New Roman" w:cs="Times New Roman"/>
          <w:b/>
          <w:bCs/>
          <w:spacing w:val="-1"/>
          <w:sz w:val="24"/>
          <w:szCs w:val="24"/>
        </w:rPr>
        <w:t>5.2.2</w:t>
      </w:r>
      <w:r>
        <w:rPr>
          <w:rFonts w:ascii="Times New Roman" w:hAnsi="Times New Roman" w:eastAsia="Times New Roman" w:cs="Times New Roman"/>
          <w:b/>
          <w:bCs/>
          <w:spacing w:val="17"/>
          <w:w w:val="10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营运期环境空气影响分析</w:t>
      </w:r>
    </w:p>
    <w:p>
      <w:pPr>
        <w:spacing w:before="182" w:line="465" w:lineRule="exact"/>
        <w:ind w:left="609"/>
        <w:rPr>
          <w:rFonts w:ascii="宋体" w:hAnsi="宋体" w:eastAsia="宋体" w:cs="宋体"/>
          <w:sz w:val="24"/>
          <w:szCs w:val="24"/>
        </w:rPr>
      </w:pPr>
      <w:r>
        <w:rPr>
          <w:rFonts w:ascii="宋体" w:hAnsi="宋体" w:eastAsia="宋体" w:cs="宋体"/>
          <w:spacing w:val="5"/>
          <w:position w:val="17"/>
          <w:sz w:val="24"/>
          <w:szCs w:val="24"/>
        </w:rPr>
        <w:t>营运期环境空气影响主要来自上路机动车排放的汽车</w:t>
      </w:r>
      <w:r>
        <w:rPr>
          <w:rFonts w:ascii="宋体" w:hAnsi="宋体" w:eastAsia="宋体" w:cs="宋体"/>
          <w:spacing w:val="4"/>
          <w:position w:val="17"/>
          <w:sz w:val="24"/>
          <w:szCs w:val="24"/>
        </w:rPr>
        <w:t>尾气对公路两侧敏感点的影</w:t>
      </w:r>
    </w:p>
    <w:p>
      <w:pPr>
        <w:spacing w:line="223" w:lineRule="auto"/>
        <w:ind w:left="134"/>
        <w:rPr>
          <w:rFonts w:ascii="宋体" w:hAnsi="宋体" w:eastAsia="宋体" w:cs="宋体"/>
          <w:sz w:val="24"/>
          <w:szCs w:val="24"/>
        </w:rPr>
      </w:pPr>
      <w:r>
        <w:rPr>
          <w:rFonts w:ascii="宋体" w:hAnsi="宋体" w:eastAsia="宋体" w:cs="宋体"/>
          <w:spacing w:val="-15"/>
          <w:sz w:val="24"/>
          <w:szCs w:val="24"/>
        </w:rPr>
        <w:t>响。</w:t>
      </w:r>
    </w:p>
    <w:p>
      <w:pPr>
        <w:spacing w:before="179" w:line="359" w:lineRule="auto"/>
        <w:ind w:left="121" w:right="6" w:firstLine="481"/>
        <w:rPr>
          <w:rFonts w:ascii="宋体" w:hAnsi="宋体" w:eastAsia="宋体" w:cs="宋体"/>
          <w:sz w:val="24"/>
          <w:szCs w:val="24"/>
        </w:rPr>
      </w:pPr>
      <w:r>
        <w:rPr>
          <w:rFonts w:ascii="宋体" w:hAnsi="宋体" w:eastAsia="宋体" w:cs="宋体"/>
          <w:spacing w:val="-1"/>
          <w:sz w:val="24"/>
          <w:szCs w:val="24"/>
        </w:rPr>
        <w:t>本项目为公路建设项目，公路营运期的废气主要为过往车辆排放的</w:t>
      </w:r>
      <w:r>
        <w:rPr>
          <w:rFonts w:ascii="宋体" w:hAnsi="宋体" w:eastAsia="宋体" w:cs="宋体"/>
          <w:spacing w:val="-2"/>
          <w:sz w:val="24"/>
          <w:szCs w:val="24"/>
        </w:rPr>
        <w:t>汽车尾气</w:t>
      </w:r>
      <w:r>
        <w:rPr>
          <w:rFonts w:ascii="宋体" w:hAnsi="宋体" w:eastAsia="宋体" w:cs="宋体"/>
          <w:spacing w:val="-61"/>
          <w:sz w:val="24"/>
          <w:szCs w:val="24"/>
        </w:rPr>
        <w:t xml:space="preserve"> </w:t>
      </w:r>
      <w:r>
        <w:rPr>
          <w:rFonts w:ascii="Times New Roman" w:hAnsi="Times New Roman" w:eastAsia="Times New Roman" w:cs="Times New Roman"/>
          <w:spacing w:val="-2"/>
          <w:sz w:val="24"/>
          <w:szCs w:val="24"/>
        </w:rPr>
        <w:t>NOx</w:t>
      </w:r>
      <w:r>
        <w:rPr>
          <w:rFonts w:ascii="宋体" w:hAnsi="宋体" w:eastAsia="宋体" w:cs="宋体"/>
          <w:spacing w:val="-2"/>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CO</w:t>
      </w:r>
      <w:r>
        <w:rPr>
          <w:rFonts w:ascii="Times New Roman" w:hAnsi="Times New Roman" w:eastAsia="Times New Roman" w:cs="Times New Roman"/>
          <w:spacing w:val="67"/>
          <w:sz w:val="24"/>
          <w:szCs w:val="24"/>
        </w:rPr>
        <w:t xml:space="preserve"> </w:t>
      </w:r>
      <w:r>
        <w:rPr>
          <w:rFonts w:ascii="宋体" w:hAnsi="宋体" w:eastAsia="宋体" w:cs="宋体"/>
          <w:spacing w:val="-1"/>
          <w:sz w:val="24"/>
          <w:szCs w:val="24"/>
        </w:rPr>
        <w:t>等，影响区域局限在道路两侧。随着我国执行单车排放标准的不断提高，新能源车</w:t>
      </w:r>
      <w:r>
        <w:rPr>
          <w:rFonts w:ascii="宋体" w:hAnsi="宋体" w:eastAsia="宋体" w:cs="宋体"/>
          <w:sz w:val="24"/>
          <w:szCs w:val="24"/>
        </w:rPr>
        <w:t xml:space="preserve"> </w:t>
      </w:r>
      <w:r>
        <w:rPr>
          <w:rFonts w:ascii="宋体" w:hAnsi="宋体" w:eastAsia="宋体" w:cs="宋体"/>
          <w:spacing w:val="-15"/>
          <w:sz w:val="24"/>
          <w:szCs w:val="24"/>
        </w:rPr>
        <w:t>辆的不断推广，</w:t>
      </w:r>
      <w:r>
        <w:rPr>
          <w:rFonts w:ascii="宋体" w:hAnsi="宋体" w:eastAsia="宋体" w:cs="宋体"/>
          <w:spacing w:val="51"/>
          <w:sz w:val="24"/>
          <w:szCs w:val="24"/>
        </w:rPr>
        <w:t xml:space="preserve"> </w:t>
      </w:r>
      <w:r>
        <w:rPr>
          <w:rFonts w:ascii="宋体" w:hAnsi="宋体" w:eastAsia="宋体" w:cs="宋体"/>
          <w:spacing w:val="-15"/>
          <w:sz w:val="24"/>
          <w:szCs w:val="24"/>
        </w:rPr>
        <w:t>单车尾气的排放量将会不断降低，</w:t>
      </w:r>
      <w:r>
        <w:rPr>
          <w:rFonts w:ascii="宋体" w:hAnsi="宋体" w:eastAsia="宋体" w:cs="宋体"/>
          <w:spacing w:val="46"/>
          <w:sz w:val="24"/>
          <w:szCs w:val="24"/>
        </w:rPr>
        <w:t xml:space="preserve"> </w:t>
      </w:r>
      <w:r>
        <w:rPr>
          <w:rFonts w:ascii="宋体" w:hAnsi="宋体" w:eastAsia="宋体" w:cs="宋体"/>
          <w:spacing w:val="-15"/>
          <w:sz w:val="24"/>
          <w:szCs w:val="24"/>
        </w:rPr>
        <w:t>运输车种构成比例将更为优化，</w:t>
      </w:r>
      <w:r>
        <w:rPr>
          <w:rFonts w:ascii="宋体" w:hAnsi="宋体" w:eastAsia="宋体" w:cs="宋体"/>
          <w:spacing w:val="53"/>
          <w:sz w:val="24"/>
          <w:szCs w:val="24"/>
        </w:rPr>
        <w:t xml:space="preserve"> </w:t>
      </w:r>
      <w:r>
        <w:rPr>
          <w:rFonts w:ascii="宋体" w:hAnsi="宋体" w:eastAsia="宋体" w:cs="宋体"/>
          <w:spacing w:val="-15"/>
          <w:sz w:val="24"/>
          <w:szCs w:val="24"/>
        </w:rPr>
        <w:t>高能</w:t>
      </w:r>
      <w:r>
        <w:rPr>
          <w:rFonts w:ascii="宋体" w:hAnsi="宋体" w:eastAsia="宋体" w:cs="宋体"/>
          <w:sz w:val="24"/>
          <w:szCs w:val="24"/>
        </w:rPr>
        <w:t xml:space="preserve"> </w:t>
      </w:r>
      <w:r>
        <w:rPr>
          <w:rFonts w:ascii="宋体" w:hAnsi="宋体" w:eastAsia="宋体" w:cs="宋体"/>
          <w:spacing w:val="-10"/>
          <w:sz w:val="24"/>
          <w:szCs w:val="24"/>
        </w:rPr>
        <w:t>耗、高排污的车种比例逐步减少，</w:t>
      </w:r>
      <w:r>
        <w:rPr>
          <w:rFonts w:ascii="宋体" w:hAnsi="宋体" w:eastAsia="宋体" w:cs="宋体"/>
          <w:spacing w:val="46"/>
          <w:sz w:val="24"/>
          <w:szCs w:val="24"/>
        </w:rPr>
        <w:t xml:space="preserve"> </w:t>
      </w:r>
      <w:r>
        <w:rPr>
          <w:rFonts w:ascii="宋体" w:hAnsi="宋体" w:eastAsia="宋体" w:cs="宋体"/>
          <w:spacing w:val="-10"/>
          <w:sz w:val="24"/>
          <w:szCs w:val="24"/>
        </w:rPr>
        <w:t>汽车尾气排</w:t>
      </w:r>
      <w:r>
        <w:rPr>
          <w:rFonts w:ascii="宋体" w:hAnsi="宋体" w:eastAsia="宋体" w:cs="宋体"/>
          <w:spacing w:val="-11"/>
          <w:sz w:val="24"/>
          <w:szCs w:val="24"/>
        </w:rPr>
        <w:t>放将大大降低，</w:t>
      </w:r>
      <w:r>
        <w:rPr>
          <w:rFonts w:ascii="宋体" w:hAnsi="宋体" w:eastAsia="宋体" w:cs="宋体"/>
          <w:spacing w:val="53"/>
          <w:sz w:val="24"/>
          <w:szCs w:val="24"/>
        </w:rPr>
        <w:t xml:space="preserve"> </w:t>
      </w:r>
      <w:r>
        <w:rPr>
          <w:rFonts w:ascii="宋体" w:hAnsi="宋体" w:eastAsia="宋体" w:cs="宋体"/>
          <w:spacing w:val="-11"/>
          <w:sz w:val="24"/>
          <w:szCs w:val="24"/>
        </w:rPr>
        <w:t>公路对沿线空气质量带来</w:t>
      </w:r>
    </w:p>
    <w:p>
      <w:pPr>
        <w:spacing w:before="1" w:line="220" w:lineRule="auto"/>
        <w:ind w:left="141"/>
        <w:rPr>
          <w:rFonts w:ascii="宋体" w:hAnsi="宋体" w:eastAsia="宋体" w:cs="宋体"/>
          <w:sz w:val="24"/>
          <w:szCs w:val="24"/>
        </w:rPr>
      </w:pPr>
      <w:r>
        <w:rPr>
          <w:rFonts w:ascii="宋体" w:hAnsi="宋体" w:eastAsia="宋体" w:cs="宋体"/>
          <w:spacing w:val="-9"/>
          <w:sz w:val="24"/>
          <w:szCs w:val="24"/>
        </w:rPr>
        <w:t>的影响减小。</w:t>
      </w:r>
    </w:p>
    <w:p>
      <w:pPr>
        <w:spacing w:before="181" w:line="466" w:lineRule="exact"/>
        <w:ind w:right="68"/>
        <w:jc w:val="right"/>
        <w:rPr>
          <w:rFonts w:ascii="宋体" w:hAnsi="宋体" w:eastAsia="宋体" w:cs="宋体"/>
          <w:sz w:val="24"/>
          <w:szCs w:val="24"/>
        </w:rPr>
      </w:pPr>
      <w:r>
        <w:rPr>
          <w:rFonts w:ascii="宋体" w:hAnsi="宋体" w:eastAsia="宋体" w:cs="宋体"/>
          <w:spacing w:val="-2"/>
          <w:position w:val="17"/>
          <w:sz w:val="24"/>
          <w:szCs w:val="24"/>
        </w:rPr>
        <w:t>本项目隧道口污染物经扩散、稀释，并在一定程度上被周边生长良好的植被吸收，</w:t>
      </w:r>
    </w:p>
    <w:p>
      <w:pPr>
        <w:spacing w:before="1" w:line="218" w:lineRule="auto"/>
        <w:ind w:left="126"/>
        <w:rPr>
          <w:rFonts w:ascii="宋体" w:hAnsi="宋体" w:eastAsia="宋体" w:cs="宋体"/>
          <w:sz w:val="24"/>
          <w:szCs w:val="24"/>
        </w:rPr>
      </w:pPr>
      <w:r>
        <w:rPr>
          <w:rFonts w:ascii="宋体" w:hAnsi="宋体" w:eastAsia="宋体" w:cs="宋体"/>
          <w:spacing w:val="-3"/>
          <w:sz w:val="24"/>
          <w:szCs w:val="24"/>
        </w:rPr>
        <w:t>不会对周边环境造成显著的影响。</w:t>
      </w:r>
    </w:p>
    <w:p>
      <w:pPr>
        <w:spacing w:line="218" w:lineRule="auto"/>
        <w:rPr>
          <w:rFonts w:ascii="宋体" w:hAnsi="宋体" w:eastAsia="宋体" w:cs="宋体"/>
          <w:sz w:val="24"/>
          <w:szCs w:val="24"/>
        </w:rPr>
        <w:sectPr>
          <w:headerReference r:id="rId251" w:type="default"/>
          <w:footerReference r:id="rId252" w:type="default"/>
          <w:pgSz w:w="11907" w:h="16839"/>
          <w:pgMar w:top="1118" w:right="1351" w:bottom="1072" w:left="1303" w:header="877" w:footer="911" w:gutter="0"/>
          <w:cols w:space="720" w:num="1"/>
        </w:sectPr>
      </w:pPr>
    </w:p>
    <w:p>
      <w:pPr>
        <w:pStyle w:val="2"/>
        <w:spacing w:line="312" w:lineRule="auto"/>
      </w:pPr>
    </w:p>
    <w:p>
      <w:pPr>
        <w:spacing w:before="78" w:line="218" w:lineRule="auto"/>
        <w:ind w:left="36"/>
        <w:outlineLvl w:val="1"/>
        <w:rPr>
          <w:rFonts w:ascii="宋体" w:hAnsi="宋体" w:eastAsia="宋体" w:cs="宋体"/>
          <w:sz w:val="24"/>
          <w:szCs w:val="24"/>
        </w:rPr>
      </w:pPr>
      <w:bookmarkStart w:id="32" w:name="bookmark33"/>
      <w:bookmarkEnd w:id="32"/>
      <w:r>
        <w:rPr>
          <w:rFonts w:ascii="Times New Roman" w:hAnsi="Times New Roman" w:eastAsia="Times New Roman" w:cs="Times New Roman"/>
          <w:b/>
          <w:bCs/>
          <w:sz w:val="24"/>
          <w:szCs w:val="24"/>
        </w:rPr>
        <w:t xml:space="preserve">5.3 </w:t>
      </w:r>
      <w:r>
        <w:rPr>
          <w:rFonts w:ascii="宋体" w:hAnsi="宋体" w:eastAsia="宋体" w:cs="宋体"/>
          <w:sz w:val="24"/>
          <w:szCs w:val="24"/>
          <w14:textOutline w14:w="4354" w14:cap="flat" w14:cmpd="sng">
            <w14:solidFill>
              <w14:srgbClr w14:val="000000"/>
            </w14:solidFill>
            <w14:prstDash w14:val="solid"/>
            <w14:miter w14:val="0"/>
          </w14:textOutline>
        </w:rPr>
        <w:t>声环境影响预测与评价</w:t>
      </w:r>
    </w:p>
    <w:p>
      <w:pPr>
        <w:spacing w:before="184" w:line="218" w:lineRule="auto"/>
        <w:ind w:left="36"/>
        <w:outlineLvl w:val="1"/>
        <w:rPr>
          <w:rFonts w:ascii="宋体" w:hAnsi="宋体" w:eastAsia="宋体" w:cs="宋体"/>
          <w:sz w:val="24"/>
          <w:szCs w:val="24"/>
        </w:rPr>
      </w:pPr>
      <w:r>
        <w:rPr>
          <w:rFonts w:ascii="Times New Roman" w:hAnsi="Times New Roman" w:eastAsia="Times New Roman" w:cs="Times New Roman"/>
          <w:b/>
          <w:bCs/>
          <w:sz w:val="24"/>
          <w:szCs w:val="24"/>
        </w:rPr>
        <w:t xml:space="preserve">5.3.1 </w:t>
      </w:r>
      <w:r>
        <w:rPr>
          <w:rFonts w:ascii="宋体" w:hAnsi="宋体" w:eastAsia="宋体" w:cs="宋体"/>
          <w:sz w:val="24"/>
          <w:szCs w:val="24"/>
          <w14:textOutline w14:w="4354" w14:cap="flat" w14:cmpd="sng">
            <w14:solidFill>
              <w14:srgbClr w14:val="000000"/>
            </w14:solidFill>
            <w14:prstDash w14:val="solid"/>
            <w14:miter w14:val="0"/>
          </w14:textOutline>
        </w:rPr>
        <w:t>施工期噪声影响评价</w:t>
      </w:r>
    </w:p>
    <w:p>
      <w:pPr>
        <w:spacing w:before="181" w:line="220" w:lineRule="auto"/>
        <w:ind w:left="40"/>
        <w:rPr>
          <w:rFonts w:ascii="宋体" w:hAnsi="宋体" w:eastAsia="宋体" w:cs="宋体"/>
          <w:sz w:val="24"/>
          <w:szCs w:val="24"/>
        </w:rPr>
      </w:pPr>
      <w:r>
        <w:fldChar w:fldCharType="begin"/>
      </w:r>
      <w:r>
        <w:instrText xml:space="preserve"> HYPERLINK "5.3.1.1" </w:instrText>
      </w:r>
      <w:r>
        <w:fldChar w:fldCharType="separate"/>
      </w:r>
      <w:r>
        <w:rPr>
          <w:rFonts w:ascii="Times New Roman" w:hAnsi="Times New Roman" w:eastAsia="Times New Roman" w:cs="Times New Roman"/>
          <w:spacing w:val="-1"/>
          <w:sz w:val="24"/>
          <w:szCs w:val="24"/>
        </w:rPr>
        <w:t>5.3.1.1</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施工期噪声污染源及其特点</w:t>
      </w:r>
    </w:p>
    <w:p>
      <w:pPr>
        <w:spacing w:before="182" w:line="359" w:lineRule="auto"/>
        <w:ind w:left="49" w:right="68" w:firstLine="468"/>
        <w:rPr>
          <w:rFonts w:ascii="宋体" w:hAnsi="宋体" w:eastAsia="宋体" w:cs="宋体"/>
          <w:sz w:val="24"/>
          <w:szCs w:val="24"/>
        </w:rPr>
      </w:pPr>
      <w:r>
        <w:rPr>
          <w:rFonts w:ascii="宋体" w:hAnsi="宋体" w:eastAsia="宋体" w:cs="宋体"/>
          <w:spacing w:val="-16"/>
          <w:sz w:val="24"/>
          <w:szCs w:val="24"/>
        </w:rPr>
        <w:t>拟建项目工程建设规模大，</w:t>
      </w:r>
      <w:r>
        <w:rPr>
          <w:rFonts w:ascii="宋体" w:hAnsi="宋体" w:eastAsia="宋体" w:cs="宋体"/>
          <w:spacing w:val="62"/>
          <w:sz w:val="24"/>
          <w:szCs w:val="24"/>
        </w:rPr>
        <w:t xml:space="preserve"> </w:t>
      </w:r>
      <w:r>
        <w:rPr>
          <w:rFonts w:ascii="宋体" w:hAnsi="宋体" w:eastAsia="宋体" w:cs="宋体"/>
          <w:spacing w:val="-16"/>
          <w:sz w:val="24"/>
          <w:szCs w:val="24"/>
        </w:rPr>
        <w:t>投入的施工机械繁杂，</w:t>
      </w:r>
      <w:r>
        <w:rPr>
          <w:rFonts w:ascii="宋体" w:hAnsi="宋体" w:eastAsia="宋体" w:cs="宋体"/>
          <w:spacing w:val="46"/>
          <w:sz w:val="24"/>
          <w:szCs w:val="24"/>
        </w:rPr>
        <w:t xml:space="preserve"> </w:t>
      </w:r>
      <w:r>
        <w:rPr>
          <w:rFonts w:ascii="宋体" w:hAnsi="宋体" w:eastAsia="宋体" w:cs="宋体"/>
          <w:spacing w:val="-16"/>
          <w:sz w:val="24"/>
          <w:szCs w:val="24"/>
        </w:rPr>
        <w:t>运输车辆众多，</w:t>
      </w:r>
      <w:r>
        <w:rPr>
          <w:rFonts w:ascii="宋体" w:hAnsi="宋体" w:eastAsia="宋体" w:cs="宋体"/>
          <w:spacing w:val="49"/>
          <w:sz w:val="24"/>
          <w:szCs w:val="24"/>
        </w:rPr>
        <w:t xml:space="preserve"> </w:t>
      </w:r>
      <w:r>
        <w:rPr>
          <w:rFonts w:ascii="宋体" w:hAnsi="宋体" w:eastAsia="宋体" w:cs="宋体"/>
          <w:spacing w:val="-16"/>
          <w:sz w:val="24"/>
          <w:szCs w:val="24"/>
        </w:rPr>
        <w:t>工程建设工期历</w:t>
      </w:r>
      <w:r>
        <w:rPr>
          <w:rFonts w:ascii="宋体" w:hAnsi="宋体" w:eastAsia="宋体" w:cs="宋体"/>
          <w:sz w:val="24"/>
          <w:szCs w:val="24"/>
        </w:rPr>
        <w:t xml:space="preserve"> </w:t>
      </w:r>
      <w:r>
        <w:rPr>
          <w:rFonts w:ascii="宋体" w:hAnsi="宋体" w:eastAsia="宋体" w:cs="宋体"/>
          <w:spacing w:val="-9"/>
          <w:sz w:val="24"/>
          <w:szCs w:val="24"/>
        </w:rPr>
        <w:t>时较长， 施工中将使用多种大中型设备进行机械化施工作业，</w:t>
      </w:r>
      <w:r>
        <w:rPr>
          <w:rFonts w:ascii="宋体" w:hAnsi="宋体" w:eastAsia="宋体" w:cs="宋体"/>
          <w:spacing w:val="41"/>
          <w:sz w:val="24"/>
          <w:szCs w:val="24"/>
        </w:rPr>
        <w:t xml:space="preserve"> </w:t>
      </w:r>
      <w:r>
        <w:rPr>
          <w:rFonts w:ascii="宋体" w:hAnsi="宋体" w:eastAsia="宋体" w:cs="宋体"/>
          <w:spacing w:val="-9"/>
          <w:sz w:val="24"/>
          <w:szCs w:val="24"/>
        </w:rPr>
        <w:t>施工活动对项目沿线地区</w:t>
      </w:r>
    </w:p>
    <w:p>
      <w:pPr>
        <w:spacing w:before="1" w:line="218" w:lineRule="auto"/>
        <w:ind w:left="57"/>
        <w:rPr>
          <w:rFonts w:ascii="宋体" w:hAnsi="宋体" w:eastAsia="宋体" w:cs="宋体"/>
          <w:sz w:val="24"/>
          <w:szCs w:val="24"/>
        </w:rPr>
      </w:pPr>
      <w:r>
        <w:rPr>
          <w:rFonts w:ascii="宋体" w:hAnsi="宋体" w:eastAsia="宋体" w:cs="宋体"/>
          <w:spacing w:val="-3"/>
          <w:sz w:val="24"/>
          <w:szCs w:val="24"/>
        </w:rPr>
        <w:t>的声环境有较大的干扰，施工噪声需加以重视。</w:t>
      </w:r>
    </w:p>
    <w:p>
      <w:pPr>
        <w:spacing w:before="181" w:line="359" w:lineRule="auto"/>
        <w:ind w:left="39" w:firstLine="486"/>
        <w:rPr>
          <w:rFonts w:ascii="宋体" w:hAnsi="宋体" w:eastAsia="宋体" w:cs="宋体"/>
          <w:sz w:val="24"/>
          <w:szCs w:val="24"/>
        </w:rPr>
      </w:pPr>
      <w:r>
        <w:rPr>
          <w:rFonts w:ascii="宋体" w:hAnsi="宋体" w:eastAsia="宋体" w:cs="宋体"/>
          <w:spacing w:val="-7"/>
          <w:sz w:val="24"/>
          <w:szCs w:val="24"/>
        </w:rPr>
        <w:t>公路施工经常使用的机械有运输车辆、筑路机、大型搅拌机、钻孔打桩机等，</w:t>
      </w:r>
      <w:r>
        <w:rPr>
          <w:rFonts w:ascii="宋体" w:hAnsi="宋体" w:eastAsia="宋体" w:cs="宋体"/>
          <w:spacing w:val="66"/>
          <w:sz w:val="24"/>
          <w:szCs w:val="24"/>
        </w:rPr>
        <w:t xml:space="preserve"> </w:t>
      </w:r>
      <w:r>
        <w:rPr>
          <w:rFonts w:ascii="宋体" w:hAnsi="宋体" w:eastAsia="宋体" w:cs="宋体"/>
          <w:spacing w:val="-7"/>
          <w:sz w:val="24"/>
          <w:szCs w:val="24"/>
        </w:rPr>
        <w:t>还有</w:t>
      </w:r>
      <w:r>
        <w:rPr>
          <w:rFonts w:ascii="宋体" w:hAnsi="宋体" w:eastAsia="宋体" w:cs="宋体"/>
          <w:sz w:val="24"/>
          <w:szCs w:val="24"/>
        </w:rPr>
        <w:t xml:space="preserve"> </w:t>
      </w:r>
      <w:r>
        <w:rPr>
          <w:rFonts w:ascii="宋体" w:hAnsi="宋体" w:eastAsia="宋体" w:cs="宋体"/>
          <w:spacing w:val="-12"/>
          <w:sz w:val="24"/>
          <w:szCs w:val="24"/>
        </w:rPr>
        <w:t>其它施工机械，</w:t>
      </w:r>
      <w:r>
        <w:rPr>
          <w:rFonts w:ascii="宋体" w:hAnsi="宋体" w:eastAsia="宋体" w:cs="宋体"/>
          <w:spacing w:val="23"/>
          <w:sz w:val="24"/>
          <w:szCs w:val="24"/>
        </w:rPr>
        <w:t xml:space="preserve"> </w:t>
      </w:r>
      <w:r>
        <w:rPr>
          <w:rFonts w:ascii="宋体" w:hAnsi="宋体" w:eastAsia="宋体" w:cs="宋体"/>
          <w:spacing w:val="-12"/>
          <w:sz w:val="24"/>
          <w:szCs w:val="24"/>
        </w:rPr>
        <w:t>如空压机、汽锤等， 有些设备属于短期</w:t>
      </w:r>
      <w:r>
        <w:rPr>
          <w:rFonts w:ascii="宋体" w:hAnsi="宋体" w:eastAsia="宋体" w:cs="宋体"/>
          <w:spacing w:val="-13"/>
          <w:sz w:val="24"/>
          <w:szCs w:val="24"/>
        </w:rPr>
        <w:t>使用。施工噪声有其自身的特点，</w:t>
      </w:r>
    </w:p>
    <w:p>
      <w:pPr>
        <w:spacing w:before="1" w:line="220" w:lineRule="auto"/>
        <w:ind w:left="37"/>
        <w:rPr>
          <w:rFonts w:ascii="宋体" w:hAnsi="宋体" w:eastAsia="宋体" w:cs="宋体"/>
          <w:sz w:val="24"/>
          <w:szCs w:val="24"/>
        </w:rPr>
      </w:pPr>
      <w:r>
        <w:rPr>
          <w:rFonts w:ascii="宋体" w:hAnsi="宋体" w:eastAsia="宋体" w:cs="宋体"/>
          <w:spacing w:val="-12"/>
          <w:sz w:val="24"/>
          <w:szCs w:val="24"/>
        </w:rPr>
        <w:t>表现为：</w:t>
      </w:r>
    </w:p>
    <w:p>
      <w:pPr>
        <w:spacing w:before="181" w:line="466" w:lineRule="exact"/>
        <w:ind w:right="68"/>
        <w:jc w:val="right"/>
        <w:rPr>
          <w:rFonts w:ascii="宋体" w:hAnsi="宋体" w:eastAsia="宋体" w:cs="宋体"/>
          <w:sz w:val="24"/>
          <w:szCs w:val="24"/>
        </w:rPr>
      </w:pPr>
      <w:r>
        <w:rPr>
          <w:rFonts w:ascii="宋体" w:hAnsi="宋体" w:eastAsia="宋体" w:cs="宋体"/>
          <w:spacing w:val="-11"/>
          <w:position w:val="17"/>
          <w:sz w:val="24"/>
          <w:szCs w:val="24"/>
        </w:rPr>
        <w:t>①施工机械种类繁多，</w:t>
      </w:r>
      <w:r>
        <w:rPr>
          <w:rFonts w:ascii="宋体" w:hAnsi="宋体" w:eastAsia="宋体" w:cs="宋体"/>
          <w:spacing w:val="43"/>
          <w:position w:val="17"/>
          <w:sz w:val="24"/>
          <w:szCs w:val="24"/>
        </w:rPr>
        <w:t xml:space="preserve"> </w:t>
      </w:r>
      <w:r>
        <w:rPr>
          <w:rFonts w:ascii="宋体" w:hAnsi="宋体" w:eastAsia="宋体" w:cs="宋体"/>
          <w:spacing w:val="-11"/>
          <w:position w:val="17"/>
          <w:sz w:val="24"/>
          <w:szCs w:val="24"/>
        </w:rPr>
        <w:t>不同的施工阶段有不同的施工机械，</w:t>
      </w:r>
      <w:r>
        <w:rPr>
          <w:rFonts w:ascii="宋体" w:hAnsi="宋体" w:eastAsia="宋体" w:cs="宋体"/>
          <w:spacing w:val="62"/>
          <w:position w:val="17"/>
          <w:sz w:val="24"/>
          <w:szCs w:val="24"/>
        </w:rPr>
        <w:t xml:space="preserve"> </w:t>
      </w:r>
      <w:r>
        <w:rPr>
          <w:rFonts w:ascii="宋体" w:hAnsi="宋体" w:eastAsia="宋体" w:cs="宋体"/>
          <w:spacing w:val="-11"/>
          <w:position w:val="17"/>
          <w:sz w:val="24"/>
          <w:szCs w:val="24"/>
        </w:rPr>
        <w:t>同一施</w:t>
      </w:r>
      <w:r>
        <w:rPr>
          <w:rFonts w:ascii="宋体" w:hAnsi="宋体" w:eastAsia="宋体" w:cs="宋体"/>
          <w:spacing w:val="-12"/>
          <w:position w:val="17"/>
          <w:sz w:val="24"/>
          <w:szCs w:val="24"/>
        </w:rPr>
        <w:t>工阶段投入的施</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工机械也有多有少，这就决定了施工噪声的随意性和没有规律性。</w:t>
      </w:r>
    </w:p>
    <w:p>
      <w:pPr>
        <w:spacing w:before="184" w:line="359" w:lineRule="auto"/>
        <w:ind w:left="57" w:right="68" w:firstLine="458"/>
        <w:rPr>
          <w:rFonts w:ascii="宋体" w:hAnsi="宋体" w:eastAsia="宋体" w:cs="宋体"/>
          <w:sz w:val="24"/>
          <w:szCs w:val="24"/>
        </w:rPr>
      </w:pPr>
      <w:r>
        <w:rPr>
          <w:rFonts w:ascii="宋体" w:hAnsi="宋体" w:eastAsia="宋体" w:cs="宋体"/>
          <w:spacing w:val="-6"/>
          <w:sz w:val="24"/>
          <w:szCs w:val="24"/>
        </w:rPr>
        <w:t>②不同设备的噪声源特性不同，</w:t>
      </w:r>
      <w:r>
        <w:rPr>
          <w:rFonts w:ascii="宋体" w:hAnsi="宋体" w:eastAsia="宋体" w:cs="宋体"/>
          <w:spacing w:val="39"/>
          <w:sz w:val="24"/>
          <w:szCs w:val="24"/>
        </w:rPr>
        <w:t xml:space="preserve"> </w:t>
      </w:r>
      <w:r>
        <w:rPr>
          <w:rFonts w:ascii="宋体" w:hAnsi="宋体" w:eastAsia="宋体" w:cs="宋体"/>
          <w:spacing w:val="-6"/>
          <w:sz w:val="24"/>
          <w:szCs w:val="24"/>
        </w:rPr>
        <w:t>其中有些设备噪声呈振动式的、突发的及脉冲特性</w:t>
      </w:r>
      <w:r>
        <w:rPr>
          <w:rFonts w:ascii="宋体" w:hAnsi="宋体" w:eastAsia="宋体" w:cs="宋体"/>
          <w:sz w:val="24"/>
          <w:szCs w:val="24"/>
        </w:rPr>
        <w:t xml:space="preserve"> </w:t>
      </w:r>
      <w:r>
        <w:rPr>
          <w:rFonts w:ascii="宋体" w:hAnsi="宋体" w:eastAsia="宋体" w:cs="宋体"/>
          <w:spacing w:val="-13"/>
          <w:sz w:val="24"/>
          <w:szCs w:val="24"/>
        </w:rPr>
        <w:t>的，</w:t>
      </w:r>
      <w:r>
        <w:rPr>
          <w:rFonts w:ascii="宋体" w:hAnsi="宋体" w:eastAsia="宋体" w:cs="宋体"/>
          <w:spacing w:val="-43"/>
          <w:sz w:val="24"/>
          <w:szCs w:val="24"/>
        </w:rPr>
        <w:t xml:space="preserve"> </w:t>
      </w:r>
      <w:r>
        <w:rPr>
          <w:rFonts w:ascii="宋体" w:hAnsi="宋体" w:eastAsia="宋体" w:cs="宋体"/>
          <w:spacing w:val="-13"/>
          <w:sz w:val="24"/>
          <w:szCs w:val="24"/>
        </w:rPr>
        <w:t>对人的影响较大；</w:t>
      </w:r>
      <w:r>
        <w:rPr>
          <w:rFonts w:ascii="宋体" w:hAnsi="宋体" w:eastAsia="宋体" w:cs="宋体"/>
          <w:spacing w:val="51"/>
          <w:sz w:val="24"/>
          <w:szCs w:val="24"/>
        </w:rPr>
        <w:t xml:space="preserve"> </w:t>
      </w:r>
      <w:r>
        <w:rPr>
          <w:rFonts w:ascii="宋体" w:hAnsi="宋体" w:eastAsia="宋体" w:cs="宋体"/>
          <w:spacing w:val="-13"/>
          <w:sz w:val="24"/>
          <w:szCs w:val="24"/>
        </w:rPr>
        <w:t>拟建工程施工所用机械的噪声均较大，</w:t>
      </w:r>
      <w:r>
        <w:rPr>
          <w:rFonts w:ascii="宋体" w:hAnsi="宋体" w:eastAsia="宋体" w:cs="宋体"/>
          <w:spacing w:val="47"/>
          <w:sz w:val="24"/>
          <w:szCs w:val="24"/>
        </w:rPr>
        <w:t xml:space="preserve"> </w:t>
      </w:r>
      <w:r>
        <w:rPr>
          <w:rFonts w:ascii="宋体" w:hAnsi="宋体" w:eastAsia="宋体" w:cs="宋体"/>
          <w:spacing w:val="-13"/>
          <w:sz w:val="24"/>
          <w:szCs w:val="24"/>
        </w:rPr>
        <w:t>有些设备的运行噪声可高</w:t>
      </w:r>
    </w:p>
    <w:p>
      <w:pPr>
        <w:spacing w:before="1" w:line="212" w:lineRule="auto"/>
        <w:ind w:left="37"/>
        <w:rPr>
          <w:rFonts w:ascii="宋体" w:hAnsi="宋体" w:eastAsia="宋体" w:cs="宋体"/>
          <w:sz w:val="24"/>
          <w:szCs w:val="24"/>
        </w:rPr>
      </w:pPr>
      <w:r>
        <w:rPr>
          <w:rFonts w:ascii="宋体" w:hAnsi="宋体" w:eastAsia="宋体" w:cs="宋体"/>
          <w:spacing w:val="-6"/>
          <w:sz w:val="24"/>
          <w:szCs w:val="24"/>
        </w:rPr>
        <w:t>达</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110dB(A)</w:t>
      </w:r>
      <w:r>
        <w:rPr>
          <w:rFonts w:ascii="宋体" w:hAnsi="宋体" w:eastAsia="宋体" w:cs="宋体"/>
          <w:spacing w:val="-6"/>
          <w:sz w:val="24"/>
          <w:szCs w:val="24"/>
        </w:rPr>
        <w:t>左右。</w:t>
      </w:r>
    </w:p>
    <w:p>
      <w:pPr>
        <w:spacing w:before="192" w:line="359" w:lineRule="auto"/>
        <w:ind w:left="59" w:right="68" w:firstLine="456"/>
        <w:rPr>
          <w:rFonts w:ascii="宋体" w:hAnsi="宋体" w:eastAsia="宋体" w:cs="宋体"/>
          <w:sz w:val="24"/>
          <w:szCs w:val="24"/>
        </w:rPr>
      </w:pPr>
      <w:r>
        <w:rPr>
          <w:rFonts w:ascii="宋体" w:hAnsi="宋体" w:eastAsia="宋体" w:cs="宋体"/>
          <w:spacing w:val="-5"/>
          <w:sz w:val="24"/>
          <w:szCs w:val="24"/>
        </w:rPr>
        <w:t>③公路施工机械一般都是暴露在室外的， 而且它们还会在某段时间内在一定的小范</w:t>
      </w:r>
      <w:r>
        <w:rPr>
          <w:rFonts w:ascii="宋体" w:hAnsi="宋体" w:eastAsia="宋体" w:cs="宋体"/>
          <w:spacing w:val="8"/>
          <w:sz w:val="24"/>
          <w:szCs w:val="24"/>
        </w:rPr>
        <w:t xml:space="preserve"> </w:t>
      </w:r>
      <w:r>
        <w:rPr>
          <w:rFonts w:ascii="宋体" w:hAnsi="宋体" w:eastAsia="宋体" w:cs="宋体"/>
          <w:spacing w:val="-9"/>
          <w:sz w:val="24"/>
          <w:szCs w:val="24"/>
        </w:rPr>
        <w:t>围内移动， 这与固定噪声源相比增加了这段时间内的噪声污染范围，</w:t>
      </w:r>
      <w:r>
        <w:rPr>
          <w:rFonts w:ascii="宋体" w:hAnsi="宋体" w:eastAsia="宋体" w:cs="宋体"/>
          <w:spacing w:val="37"/>
          <w:sz w:val="24"/>
          <w:szCs w:val="24"/>
        </w:rPr>
        <w:t xml:space="preserve"> </w:t>
      </w:r>
      <w:r>
        <w:rPr>
          <w:rFonts w:ascii="宋体" w:hAnsi="宋体" w:eastAsia="宋体" w:cs="宋体"/>
          <w:spacing w:val="-9"/>
          <w:sz w:val="24"/>
          <w:szCs w:val="24"/>
        </w:rPr>
        <w:t>但与</w:t>
      </w:r>
      <w:r>
        <w:rPr>
          <w:rFonts w:ascii="宋体" w:hAnsi="宋体" w:eastAsia="宋体" w:cs="宋体"/>
          <w:spacing w:val="-10"/>
          <w:sz w:val="24"/>
          <w:szCs w:val="24"/>
        </w:rPr>
        <w:t>流动噪声源相</w:t>
      </w:r>
    </w:p>
    <w:p>
      <w:pPr>
        <w:spacing w:before="1" w:line="218" w:lineRule="auto"/>
        <w:ind w:left="64"/>
        <w:rPr>
          <w:rFonts w:ascii="宋体" w:hAnsi="宋体" w:eastAsia="宋体" w:cs="宋体"/>
          <w:sz w:val="24"/>
          <w:szCs w:val="24"/>
        </w:rPr>
      </w:pPr>
      <w:r>
        <w:rPr>
          <w:rFonts w:ascii="宋体" w:hAnsi="宋体" w:eastAsia="宋体" w:cs="宋体"/>
          <w:spacing w:val="-2"/>
          <w:sz w:val="24"/>
          <w:szCs w:val="24"/>
        </w:rPr>
        <w:t>比施工噪声污染还是在局部范围内的。施工机械</w:t>
      </w:r>
      <w:r>
        <w:rPr>
          <w:rFonts w:ascii="宋体" w:hAnsi="宋体" w:eastAsia="宋体" w:cs="宋体"/>
          <w:spacing w:val="-3"/>
          <w:sz w:val="24"/>
          <w:szCs w:val="24"/>
        </w:rPr>
        <w:t>噪声可视为点声源。</w:t>
      </w:r>
    </w:p>
    <w:p>
      <w:pPr>
        <w:spacing w:before="181" w:line="219" w:lineRule="auto"/>
        <w:ind w:left="40"/>
        <w:rPr>
          <w:rFonts w:ascii="宋体" w:hAnsi="宋体" w:eastAsia="宋体" w:cs="宋体"/>
          <w:sz w:val="24"/>
          <w:szCs w:val="24"/>
        </w:rPr>
      </w:pPr>
      <w:r>
        <w:fldChar w:fldCharType="begin"/>
      </w:r>
      <w:r>
        <w:instrText xml:space="preserve"> HYPERLINK "5.3.1.2" </w:instrText>
      </w:r>
      <w:r>
        <w:fldChar w:fldCharType="separate"/>
      </w:r>
      <w:r>
        <w:rPr>
          <w:rFonts w:ascii="Times New Roman" w:hAnsi="Times New Roman" w:eastAsia="Times New Roman" w:cs="Times New Roman"/>
          <w:spacing w:val="-1"/>
          <w:sz w:val="24"/>
          <w:szCs w:val="24"/>
        </w:rPr>
        <w:t>5.3.1.2</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公路不同施工阶段施工工艺</w:t>
      </w:r>
      <w:r>
        <w:rPr>
          <w:rFonts w:ascii="宋体" w:hAnsi="宋体" w:eastAsia="宋体" w:cs="宋体"/>
          <w:spacing w:val="-2"/>
          <w:sz w:val="24"/>
          <w:szCs w:val="24"/>
        </w:rPr>
        <w:t>和施工机械</w:t>
      </w:r>
    </w:p>
    <w:p>
      <w:pPr>
        <w:spacing w:before="184" w:line="359" w:lineRule="auto"/>
        <w:ind w:left="37" w:right="69" w:firstLine="480"/>
        <w:jc w:val="both"/>
        <w:rPr>
          <w:rFonts w:ascii="宋体" w:hAnsi="宋体" w:eastAsia="宋体" w:cs="宋体"/>
          <w:sz w:val="24"/>
          <w:szCs w:val="24"/>
        </w:rPr>
      </w:pPr>
      <w:r>
        <w:rPr>
          <w:rFonts w:ascii="宋体" w:hAnsi="宋体" w:eastAsia="宋体" w:cs="宋体"/>
          <w:spacing w:val="-11"/>
          <w:sz w:val="24"/>
          <w:szCs w:val="24"/>
        </w:rPr>
        <w:t>根据公路施工特点，</w:t>
      </w:r>
      <w:r>
        <w:rPr>
          <w:rFonts w:ascii="宋体" w:hAnsi="宋体" w:eastAsia="宋体" w:cs="宋体"/>
          <w:spacing w:val="48"/>
          <w:sz w:val="24"/>
          <w:szCs w:val="24"/>
        </w:rPr>
        <w:t xml:space="preserve"> </w:t>
      </w:r>
      <w:r>
        <w:rPr>
          <w:rFonts w:ascii="宋体" w:hAnsi="宋体" w:eastAsia="宋体" w:cs="宋体"/>
          <w:spacing w:val="-11"/>
          <w:sz w:val="24"/>
          <w:szCs w:val="24"/>
        </w:rPr>
        <w:t>可以把施工过程主要可</w:t>
      </w:r>
      <w:r>
        <w:rPr>
          <w:rFonts w:ascii="宋体" w:hAnsi="宋体" w:eastAsia="宋体" w:cs="宋体"/>
          <w:spacing w:val="-12"/>
          <w:sz w:val="24"/>
          <w:szCs w:val="24"/>
        </w:rPr>
        <w:t>以分为四个阶段，</w:t>
      </w:r>
      <w:r>
        <w:rPr>
          <w:rFonts w:ascii="宋体" w:hAnsi="宋体" w:eastAsia="宋体" w:cs="宋体"/>
          <w:spacing w:val="64"/>
          <w:sz w:val="24"/>
          <w:szCs w:val="24"/>
        </w:rPr>
        <w:t xml:space="preserve"> </w:t>
      </w:r>
      <w:r>
        <w:rPr>
          <w:rFonts w:ascii="宋体" w:hAnsi="宋体" w:eastAsia="宋体" w:cs="宋体"/>
          <w:spacing w:val="-12"/>
          <w:sz w:val="24"/>
          <w:szCs w:val="24"/>
        </w:rPr>
        <w:t>即基础桥梁施工、隧</w:t>
      </w:r>
      <w:r>
        <w:rPr>
          <w:rFonts w:ascii="宋体" w:hAnsi="宋体" w:eastAsia="宋体" w:cs="宋体"/>
          <w:sz w:val="24"/>
          <w:szCs w:val="24"/>
        </w:rPr>
        <w:t xml:space="preserve"> </w:t>
      </w:r>
      <w:r>
        <w:rPr>
          <w:rFonts w:ascii="宋体" w:hAnsi="宋体" w:eastAsia="宋体" w:cs="宋体"/>
          <w:spacing w:val="-2"/>
          <w:sz w:val="24"/>
          <w:szCs w:val="24"/>
        </w:rPr>
        <w:t>道施工、路面施工、交通工程施工。以下分别介绍这四个阶段主要用的施工工艺和施工</w:t>
      </w:r>
    </w:p>
    <w:p>
      <w:pPr>
        <w:spacing w:before="1" w:line="218" w:lineRule="auto"/>
        <w:ind w:left="37"/>
        <w:rPr>
          <w:rFonts w:ascii="宋体" w:hAnsi="宋体" w:eastAsia="宋体" w:cs="宋体"/>
          <w:sz w:val="24"/>
          <w:szCs w:val="24"/>
        </w:rPr>
      </w:pPr>
      <w:r>
        <w:rPr>
          <w:rFonts w:ascii="宋体" w:hAnsi="宋体" w:eastAsia="宋体" w:cs="宋体"/>
          <w:spacing w:val="-10"/>
          <w:sz w:val="24"/>
          <w:szCs w:val="24"/>
        </w:rPr>
        <w:t>机械。</w:t>
      </w:r>
    </w:p>
    <w:p>
      <w:pPr>
        <w:spacing w:before="179" w:line="360" w:lineRule="auto"/>
        <w:ind w:left="37" w:firstLine="480"/>
        <w:jc w:val="both"/>
        <w:rPr>
          <w:rFonts w:ascii="宋体" w:hAnsi="宋体" w:eastAsia="宋体" w:cs="宋体"/>
          <w:sz w:val="24"/>
          <w:szCs w:val="24"/>
        </w:rPr>
      </w:pPr>
      <w:r>
        <w:rPr>
          <w:rFonts w:ascii="宋体" w:hAnsi="宋体" w:eastAsia="宋体" w:cs="宋体"/>
          <w:spacing w:val="-9"/>
          <w:sz w:val="24"/>
          <w:szCs w:val="24"/>
        </w:rPr>
        <w:t>①基础桥梁施工： 这一工序是公路耗时最长、所用施工机械最多、噪</w:t>
      </w:r>
      <w:r>
        <w:rPr>
          <w:rFonts w:ascii="宋体" w:hAnsi="宋体" w:eastAsia="宋体" w:cs="宋体"/>
          <w:spacing w:val="-10"/>
          <w:sz w:val="24"/>
          <w:szCs w:val="24"/>
        </w:rPr>
        <w:t>声最强的阶段，</w:t>
      </w:r>
      <w:r>
        <w:rPr>
          <w:rFonts w:ascii="宋体" w:hAnsi="宋体" w:eastAsia="宋体" w:cs="宋体"/>
          <w:sz w:val="24"/>
          <w:szCs w:val="24"/>
        </w:rPr>
        <w:t xml:space="preserve"> </w:t>
      </w:r>
      <w:r>
        <w:rPr>
          <w:rFonts w:ascii="宋体" w:hAnsi="宋体" w:eastAsia="宋体" w:cs="宋体"/>
          <w:spacing w:val="-6"/>
          <w:sz w:val="24"/>
          <w:szCs w:val="24"/>
        </w:rPr>
        <w:t>该阶段主要包括处理地基、路基平整、挖填土方、逐层压实路面等施工工艺，</w:t>
      </w:r>
      <w:r>
        <w:rPr>
          <w:rFonts w:ascii="宋体" w:hAnsi="宋体" w:eastAsia="宋体" w:cs="宋体"/>
          <w:spacing w:val="52"/>
          <w:sz w:val="24"/>
          <w:szCs w:val="24"/>
        </w:rPr>
        <w:t xml:space="preserve"> </w:t>
      </w:r>
      <w:r>
        <w:rPr>
          <w:rFonts w:ascii="宋体" w:hAnsi="宋体" w:eastAsia="宋体" w:cs="宋体"/>
          <w:spacing w:val="-6"/>
          <w:sz w:val="24"/>
          <w:szCs w:val="24"/>
        </w:rPr>
        <w:t>这一</w:t>
      </w:r>
      <w:r>
        <w:rPr>
          <w:rFonts w:ascii="宋体" w:hAnsi="宋体" w:eastAsia="宋体" w:cs="宋体"/>
          <w:spacing w:val="-7"/>
          <w:sz w:val="24"/>
          <w:szCs w:val="24"/>
        </w:rPr>
        <w:t>过程</w:t>
      </w:r>
      <w:r>
        <w:rPr>
          <w:rFonts w:ascii="宋体" w:hAnsi="宋体" w:eastAsia="宋体" w:cs="宋体"/>
          <w:sz w:val="24"/>
          <w:szCs w:val="24"/>
        </w:rPr>
        <w:t xml:space="preserve"> </w:t>
      </w:r>
      <w:r>
        <w:rPr>
          <w:rFonts w:ascii="宋体" w:hAnsi="宋体" w:eastAsia="宋体" w:cs="宋体"/>
          <w:spacing w:val="-2"/>
          <w:sz w:val="24"/>
          <w:szCs w:val="24"/>
        </w:rPr>
        <w:t>还伴随着大量运输物料车辆进出施工现场。该阶段需用的施工机械包括装载机、振动式</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压路机、推土机、平地机、挖掘机等，对声环境造成影响。</w:t>
      </w:r>
    </w:p>
    <w:p>
      <w:pPr>
        <w:spacing w:before="179" w:line="360" w:lineRule="auto"/>
        <w:ind w:left="38" w:right="68" w:firstLine="478"/>
        <w:jc w:val="both"/>
        <w:rPr>
          <w:rFonts w:ascii="宋体" w:hAnsi="宋体" w:eastAsia="宋体" w:cs="宋体"/>
          <w:sz w:val="24"/>
          <w:szCs w:val="24"/>
        </w:rPr>
      </w:pPr>
      <w:r>
        <w:rPr>
          <w:rFonts w:ascii="宋体" w:hAnsi="宋体" w:eastAsia="宋体" w:cs="宋体"/>
          <w:spacing w:val="-16"/>
          <w:sz w:val="24"/>
          <w:szCs w:val="24"/>
        </w:rPr>
        <w:t>②隧道施工：</w:t>
      </w:r>
      <w:r>
        <w:rPr>
          <w:rFonts w:ascii="宋体" w:hAnsi="宋体" w:eastAsia="宋体" w:cs="宋体"/>
          <w:spacing w:val="65"/>
          <w:sz w:val="24"/>
          <w:szCs w:val="24"/>
        </w:rPr>
        <w:t xml:space="preserve"> </w:t>
      </w:r>
      <w:r>
        <w:rPr>
          <w:rFonts w:ascii="宋体" w:hAnsi="宋体" w:eastAsia="宋体" w:cs="宋体"/>
          <w:spacing w:val="-16"/>
          <w:sz w:val="24"/>
          <w:szCs w:val="24"/>
        </w:rPr>
        <w:t>隧道及部分路段施工中，</w:t>
      </w:r>
      <w:r>
        <w:rPr>
          <w:rFonts w:ascii="宋体" w:hAnsi="宋体" w:eastAsia="宋体" w:cs="宋体"/>
          <w:spacing w:val="52"/>
          <w:sz w:val="24"/>
          <w:szCs w:val="24"/>
        </w:rPr>
        <w:t xml:space="preserve"> </w:t>
      </w:r>
      <w:r>
        <w:rPr>
          <w:rFonts w:ascii="宋体" w:hAnsi="宋体" w:eastAsia="宋体" w:cs="宋体"/>
          <w:spacing w:val="-16"/>
          <w:sz w:val="24"/>
          <w:szCs w:val="24"/>
        </w:rPr>
        <w:t>开山炮的作业噪声较强</w:t>
      </w:r>
      <w:r>
        <w:rPr>
          <w:rFonts w:ascii="宋体" w:hAnsi="宋体" w:eastAsia="宋体" w:cs="宋体"/>
          <w:spacing w:val="-17"/>
          <w:sz w:val="24"/>
          <w:szCs w:val="24"/>
        </w:rPr>
        <w:t>，</w:t>
      </w:r>
      <w:r>
        <w:rPr>
          <w:rFonts w:ascii="宋体" w:hAnsi="宋体" w:eastAsia="宋体" w:cs="宋体"/>
          <w:spacing w:val="51"/>
          <w:sz w:val="24"/>
          <w:szCs w:val="24"/>
        </w:rPr>
        <w:t xml:space="preserve"> </w:t>
      </w:r>
      <w:r>
        <w:rPr>
          <w:rFonts w:ascii="宋体" w:hAnsi="宋体" w:eastAsia="宋体" w:cs="宋体"/>
          <w:spacing w:val="-17"/>
          <w:sz w:val="24"/>
          <w:szCs w:val="24"/>
        </w:rPr>
        <w:t>影响面大。据资料</w:t>
      </w:r>
      <w:r>
        <w:rPr>
          <w:rFonts w:ascii="宋体" w:hAnsi="宋体" w:eastAsia="宋体" w:cs="宋体"/>
          <w:sz w:val="24"/>
          <w:szCs w:val="24"/>
        </w:rPr>
        <w:t xml:space="preserve"> </w:t>
      </w:r>
      <w:r>
        <w:rPr>
          <w:rFonts w:ascii="宋体" w:hAnsi="宋体" w:eastAsia="宋体" w:cs="宋体"/>
          <w:spacing w:val="-5"/>
          <w:sz w:val="24"/>
          <w:szCs w:val="24"/>
        </w:rPr>
        <w:t>显示，</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 xml:space="preserve">0.5kg </w:t>
      </w:r>
      <w:r>
        <w:rPr>
          <w:rFonts w:ascii="宋体" w:hAnsi="宋体" w:eastAsia="宋体" w:cs="宋体"/>
          <w:spacing w:val="-5"/>
          <w:sz w:val="24"/>
          <w:szCs w:val="24"/>
        </w:rPr>
        <w:t>炸药在距离爆破点</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40m</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处的最大噪声级约</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84dB</w:t>
      </w:r>
      <w:r>
        <w:rPr>
          <w:rFonts w:ascii="宋体" w:hAnsi="宋体" w:eastAsia="宋体" w:cs="宋体"/>
          <w:spacing w:val="-5"/>
          <w:sz w:val="24"/>
          <w:szCs w:val="24"/>
        </w:rPr>
        <w:t>。公路建设中的开山面因为</w:t>
      </w:r>
      <w:r>
        <w:rPr>
          <w:rFonts w:ascii="宋体" w:hAnsi="宋体" w:eastAsia="宋体" w:cs="宋体"/>
          <w:sz w:val="24"/>
          <w:szCs w:val="24"/>
        </w:rPr>
        <w:t xml:space="preserve"> </w:t>
      </w:r>
      <w:r>
        <w:rPr>
          <w:rFonts w:ascii="宋体" w:hAnsi="宋体" w:eastAsia="宋体" w:cs="宋体"/>
          <w:spacing w:val="-13"/>
          <w:sz w:val="24"/>
          <w:szCs w:val="24"/>
        </w:rPr>
        <w:t>有作业面的要求，</w:t>
      </w:r>
      <w:r>
        <w:rPr>
          <w:rFonts w:ascii="宋体" w:hAnsi="宋体" w:eastAsia="宋体" w:cs="宋体"/>
          <w:spacing w:val="72"/>
          <w:sz w:val="24"/>
          <w:szCs w:val="24"/>
        </w:rPr>
        <w:t xml:space="preserve"> </w:t>
      </w:r>
      <w:r>
        <w:rPr>
          <w:rFonts w:ascii="宋体" w:hAnsi="宋体" w:eastAsia="宋体" w:cs="宋体"/>
          <w:spacing w:val="-13"/>
          <w:sz w:val="24"/>
          <w:szCs w:val="24"/>
        </w:rPr>
        <w:t>因此往往采用多点、少量（</w:t>
      </w:r>
      <w:r>
        <w:rPr>
          <w:rFonts w:ascii="宋体" w:hAnsi="宋体" w:eastAsia="宋体" w:cs="宋体"/>
          <w:spacing w:val="-14"/>
          <w:sz w:val="24"/>
          <w:szCs w:val="24"/>
        </w:rPr>
        <w:t>炸药量）</w:t>
      </w:r>
      <w:r>
        <w:rPr>
          <w:rFonts w:ascii="宋体" w:hAnsi="宋体" w:eastAsia="宋体" w:cs="宋体"/>
          <w:spacing w:val="35"/>
          <w:sz w:val="24"/>
          <w:szCs w:val="24"/>
        </w:rPr>
        <w:t xml:space="preserve"> </w:t>
      </w:r>
      <w:r>
        <w:rPr>
          <w:rFonts w:ascii="宋体" w:hAnsi="宋体" w:eastAsia="宋体" w:cs="宋体"/>
          <w:spacing w:val="-14"/>
          <w:sz w:val="24"/>
          <w:szCs w:val="24"/>
        </w:rPr>
        <w:t>的办法， 这样作业噪声相对而言</w:t>
      </w:r>
      <w:r>
        <w:rPr>
          <w:rFonts w:ascii="宋体" w:hAnsi="宋体" w:eastAsia="宋体" w:cs="宋体"/>
          <w:sz w:val="24"/>
          <w:szCs w:val="24"/>
        </w:rPr>
        <w:t xml:space="preserve"> </w:t>
      </w:r>
      <w:r>
        <w:rPr>
          <w:rFonts w:ascii="宋体" w:hAnsi="宋体" w:eastAsia="宋体" w:cs="宋体"/>
          <w:spacing w:val="-9"/>
          <w:sz w:val="24"/>
          <w:szCs w:val="24"/>
        </w:rPr>
        <w:t>较低， 对周围敏感点产生的振动影响也相对较</w:t>
      </w:r>
      <w:r>
        <w:rPr>
          <w:rFonts w:ascii="宋体" w:hAnsi="宋体" w:eastAsia="宋体" w:cs="宋体"/>
          <w:spacing w:val="-10"/>
          <w:sz w:val="24"/>
          <w:szCs w:val="24"/>
        </w:rPr>
        <w:t>小。如果开挖深度较小，</w:t>
      </w:r>
      <w:r>
        <w:rPr>
          <w:rFonts w:ascii="宋体" w:hAnsi="宋体" w:eastAsia="宋体" w:cs="宋体"/>
          <w:spacing w:val="68"/>
          <w:sz w:val="24"/>
          <w:szCs w:val="24"/>
        </w:rPr>
        <w:t xml:space="preserve"> </w:t>
      </w:r>
      <w:r>
        <w:rPr>
          <w:rFonts w:ascii="宋体" w:hAnsi="宋体" w:eastAsia="宋体" w:cs="宋体"/>
          <w:spacing w:val="-10"/>
          <w:sz w:val="24"/>
          <w:szCs w:val="24"/>
        </w:rPr>
        <w:t>山体石质不十分</w:t>
      </w:r>
    </w:p>
    <w:p>
      <w:pPr>
        <w:spacing w:line="218" w:lineRule="auto"/>
        <w:ind w:left="41"/>
        <w:rPr>
          <w:rFonts w:ascii="宋体" w:hAnsi="宋体" w:eastAsia="宋体" w:cs="宋体"/>
          <w:sz w:val="24"/>
          <w:szCs w:val="24"/>
        </w:rPr>
      </w:pPr>
      <w:r>
        <w:rPr>
          <w:rFonts w:ascii="宋体" w:hAnsi="宋体" w:eastAsia="宋体" w:cs="宋体"/>
          <w:spacing w:val="-1"/>
          <w:sz w:val="24"/>
          <w:szCs w:val="24"/>
        </w:rPr>
        <w:t>坚硬或有土、石夹杂的山坡，则开山时往往采用挖掘机、凿岩机</w:t>
      </w:r>
      <w:r>
        <w:rPr>
          <w:rFonts w:ascii="宋体" w:hAnsi="宋体" w:eastAsia="宋体" w:cs="宋体"/>
          <w:spacing w:val="-2"/>
          <w:sz w:val="24"/>
          <w:szCs w:val="24"/>
        </w:rPr>
        <w:t>，而不采用炸药爆破。</w:t>
      </w:r>
    </w:p>
    <w:p>
      <w:pPr>
        <w:spacing w:line="218" w:lineRule="auto"/>
        <w:rPr>
          <w:rFonts w:ascii="宋体" w:hAnsi="宋体" w:eastAsia="宋体" w:cs="宋体"/>
          <w:sz w:val="24"/>
          <w:szCs w:val="24"/>
        </w:rPr>
        <w:sectPr>
          <w:headerReference r:id="rId253" w:type="default"/>
          <w:footerReference r:id="rId254" w:type="default"/>
          <w:pgSz w:w="11907" w:h="16839"/>
          <w:pgMar w:top="1118" w:right="1349" w:bottom="1072" w:left="1387" w:header="877" w:footer="911" w:gutter="0"/>
          <w:cols w:space="720" w:num="1"/>
        </w:sectPr>
      </w:pPr>
    </w:p>
    <w:p>
      <w:pPr>
        <w:pStyle w:val="2"/>
        <w:spacing w:line="311" w:lineRule="auto"/>
      </w:pPr>
    </w:p>
    <w:p>
      <w:pPr>
        <w:spacing w:before="78" w:line="468" w:lineRule="exact"/>
        <w:ind w:left="37"/>
        <w:rPr>
          <w:rFonts w:ascii="宋体" w:hAnsi="宋体" w:eastAsia="宋体" w:cs="宋体"/>
          <w:sz w:val="24"/>
          <w:szCs w:val="24"/>
        </w:rPr>
      </w:pPr>
      <w:r>
        <w:rPr>
          <w:rFonts w:ascii="宋体" w:hAnsi="宋体" w:eastAsia="宋体" w:cs="宋体"/>
          <w:spacing w:val="-6"/>
          <w:position w:val="17"/>
          <w:sz w:val="24"/>
          <w:szCs w:val="24"/>
        </w:rPr>
        <w:t>施工期毕竟是一个短期行为，</w:t>
      </w:r>
      <w:r>
        <w:rPr>
          <w:rFonts w:ascii="宋体" w:hAnsi="宋体" w:eastAsia="宋体" w:cs="宋体"/>
          <w:spacing w:val="57"/>
          <w:position w:val="17"/>
          <w:sz w:val="24"/>
          <w:szCs w:val="24"/>
        </w:rPr>
        <w:t xml:space="preserve"> </w:t>
      </w:r>
      <w:r>
        <w:rPr>
          <w:rFonts w:ascii="宋体" w:hAnsi="宋体" w:eastAsia="宋体" w:cs="宋体"/>
          <w:spacing w:val="-6"/>
          <w:position w:val="17"/>
          <w:sz w:val="24"/>
          <w:szCs w:val="24"/>
        </w:rPr>
        <w:t>因此隧道开挖所产生的噪声以及振动影响</w:t>
      </w:r>
      <w:r>
        <w:rPr>
          <w:rFonts w:ascii="宋体" w:hAnsi="宋体" w:eastAsia="宋体" w:cs="宋体"/>
          <w:spacing w:val="-7"/>
          <w:position w:val="17"/>
          <w:sz w:val="24"/>
          <w:szCs w:val="24"/>
        </w:rPr>
        <w:t>也是有限的、短</w:t>
      </w:r>
    </w:p>
    <w:p>
      <w:pPr>
        <w:spacing w:line="220" w:lineRule="auto"/>
        <w:ind w:left="41"/>
        <w:rPr>
          <w:rFonts w:ascii="宋体" w:hAnsi="宋体" w:eastAsia="宋体" w:cs="宋体"/>
          <w:sz w:val="24"/>
          <w:szCs w:val="24"/>
        </w:rPr>
      </w:pPr>
      <w:r>
        <w:rPr>
          <w:rFonts w:ascii="宋体" w:hAnsi="宋体" w:eastAsia="宋体" w:cs="宋体"/>
          <w:spacing w:val="-11"/>
          <w:sz w:val="24"/>
          <w:szCs w:val="24"/>
        </w:rPr>
        <w:t>期的。</w:t>
      </w:r>
    </w:p>
    <w:p>
      <w:pPr>
        <w:spacing w:before="179" w:line="359" w:lineRule="auto"/>
        <w:ind w:left="41" w:right="30" w:firstLine="475"/>
        <w:rPr>
          <w:rFonts w:ascii="宋体" w:hAnsi="宋体" w:eastAsia="宋体" w:cs="宋体"/>
          <w:sz w:val="24"/>
          <w:szCs w:val="24"/>
        </w:rPr>
      </w:pPr>
      <w:r>
        <w:rPr>
          <w:rFonts w:ascii="宋体" w:hAnsi="宋体" w:eastAsia="宋体" w:cs="宋体"/>
          <w:spacing w:val="-16"/>
          <w:sz w:val="24"/>
          <w:szCs w:val="24"/>
        </w:rPr>
        <w:t>③路面施工：</w:t>
      </w:r>
      <w:r>
        <w:rPr>
          <w:rFonts w:ascii="宋体" w:hAnsi="宋体" w:eastAsia="宋体" w:cs="宋体"/>
          <w:spacing w:val="61"/>
          <w:sz w:val="24"/>
          <w:szCs w:val="24"/>
        </w:rPr>
        <w:t xml:space="preserve"> </w:t>
      </w:r>
      <w:r>
        <w:rPr>
          <w:rFonts w:ascii="宋体" w:hAnsi="宋体" w:eastAsia="宋体" w:cs="宋体"/>
          <w:spacing w:val="-16"/>
          <w:sz w:val="24"/>
          <w:szCs w:val="24"/>
        </w:rPr>
        <w:t>这一工序继路基施工结束后开展，</w:t>
      </w:r>
      <w:r>
        <w:rPr>
          <w:rFonts w:ascii="宋体" w:hAnsi="宋体" w:eastAsia="宋体" w:cs="宋体"/>
          <w:spacing w:val="48"/>
          <w:sz w:val="24"/>
          <w:szCs w:val="24"/>
        </w:rPr>
        <w:t xml:space="preserve"> </w:t>
      </w:r>
      <w:r>
        <w:rPr>
          <w:rFonts w:ascii="宋体" w:hAnsi="宋体" w:eastAsia="宋体" w:cs="宋体"/>
          <w:spacing w:val="-16"/>
          <w:sz w:val="24"/>
          <w:szCs w:val="24"/>
        </w:rPr>
        <w:t>主要是对全线摊铺沥青，</w:t>
      </w:r>
      <w:r>
        <w:rPr>
          <w:rFonts w:ascii="宋体" w:hAnsi="宋体" w:eastAsia="宋体" w:cs="宋体"/>
          <w:spacing w:val="48"/>
          <w:sz w:val="24"/>
          <w:szCs w:val="24"/>
        </w:rPr>
        <w:t xml:space="preserve"> </w:t>
      </w:r>
      <w:r>
        <w:rPr>
          <w:rFonts w:ascii="宋体" w:hAnsi="宋体" w:eastAsia="宋体" w:cs="宋体"/>
          <w:spacing w:val="-16"/>
          <w:sz w:val="24"/>
          <w:szCs w:val="24"/>
        </w:rPr>
        <w:t>用到的施</w:t>
      </w:r>
      <w:r>
        <w:rPr>
          <w:rFonts w:ascii="宋体" w:hAnsi="宋体" w:eastAsia="宋体" w:cs="宋体"/>
          <w:sz w:val="24"/>
          <w:szCs w:val="24"/>
        </w:rPr>
        <w:t xml:space="preserve"> </w:t>
      </w:r>
      <w:r>
        <w:rPr>
          <w:rFonts w:ascii="宋体" w:hAnsi="宋体" w:eastAsia="宋体" w:cs="宋体"/>
          <w:spacing w:val="-6"/>
          <w:sz w:val="24"/>
          <w:szCs w:val="24"/>
        </w:rPr>
        <w:t>工机械主要是大型沥青摊铺机。根据国内对高速公路施工期进行的一些噪声监测，</w:t>
      </w:r>
      <w:r>
        <w:rPr>
          <w:rFonts w:ascii="宋体" w:hAnsi="宋体" w:eastAsia="宋体" w:cs="宋体"/>
          <w:spacing w:val="46"/>
          <w:sz w:val="24"/>
          <w:szCs w:val="24"/>
        </w:rPr>
        <w:t xml:space="preserve"> </w:t>
      </w:r>
      <w:r>
        <w:rPr>
          <w:rFonts w:ascii="宋体" w:hAnsi="宋体" w:eastAsia="宋体" w:cs="宋体"/>
          <w:spacing w:val="-6"/>
          <w:sz w:val="24"/>
          <w:szCs w:val="24"/>
        </w:rPr>
        <w:t>该阶</w:t>
      </w:r>
    </w:p>
    <w:p>
      <w:pPr>
        <w:spacing w:line="219" w:lineRule="auto"/>
        <w:ind w:left="39"/>
        <w:rPr>
          <w:rFonts w:ascii="宋体" w:hAnsi="宋体" w:eastAsia="宋体" w:cs="宋体"/>
          <w:sz w:val="24"/>
          <w:szCs w:val="24"/>
        </w:rPr>
      </w:pPr>
      <w:r>
        <w:rPr>
          <w:rFonts w:ascii="宋体" w:hAnsi="宋体" w:eastAsia="宋体" w:cs="宋体"/>
          <w:spacing w:val="-2"/>
          <w:sz w:val="24"/>
          <w:szCs w:val="24"/>
        </w:rPr>
        <w:t>段公路施工噪声相对路基施工段甚小，距路边</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50m</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外的敏感点受到的影响甚小。</w:t>
      </w:r>
    </w:p>
    <w:p>
      <w:pPr>
        <w:spacing w:before="183" w:line="465" w:lineRule="exact"/>
        <w:ind w:right="30"/>
        <w:jc w:val="right"/>
        <w:rPr>
          <w:rFonts w:ascii="宋体" w:hAnsi="宋体" w:eastAsia="宋体" w:cs="宋体"/>
          <w:sz w:val="24"/>
          <w:szCs w:val="24"/>
        </w:rPr>
      </w:pPr>
      <w:r>
        <w:rPr>
          <w:rFonts w:ascii="宋体" w:hAnsi="宋体" w:eastAsia="宋体" w:cs="宋体"/>
          <w:spacing w:val="-6"/>
          <w:position w:val="17"/>
          <w:sz w:val="24"/>
          <w:szCs w:val="24"/>
        </w:rPr>
        <w:t>④交通通讯工程施工：</w:t>
      </w:r>
      <w:r>
        <w:rPr>
          <w:rFonts w:ascii="宋体" w:hAnsi="宋体" w:eastAsia="宋体" w:cs="宋体"/>
          <w:spacing w:val="42"/>
          <w:position w:val="17"/>
          <w:sz w:val="24"/>
          <w:szCs w:val="24"/>
        </w:rPr>
        <w:t xml:space="preserve"> </w:t>
      </w:r>
      <w:r>
        <w:rPr>
          <w:rFonts w:ascii="宋体" w:hAnsi="宋体" w:eastAsia="宋体" w:cs="宋体"/>
          <w:spacing w:val="-6"/>
          <w:position w:val="17"/>
          <w:sz w:val="24"/>
          <w:szCs w:val="24"/>
        </w:rPr>
        <w:t>这一工序主要是对公路的交通通讯设施进行安装、标</w:t>
      </w:r>
      <w:r>
        <w:rPr>
          <w:rFonts w:ascii="宋体" w:hAnsi="宋体" w:eastAsia="宋体" w:cs="宋体"/>
          <w:spacing w:val="-7"/>
          <w:position w:val="17"/>
          <w:sz w:val="24"/>
          <w:szCs w:val="24"/>
        </w:rPr>
        <w:t>志标线</w:t>
      </w:r>
    </w:p>
    <w:p>
      <w:pPr>
        <w:spacing w:before="1" w:line="218" w:lineRule="auto"/>
        <w:ind w:left="36"/>
        <w:rPr>
          <w:rFonts w:ascii="宋体" w:hAnsi="宋体" w:eastAsia="宋体" w:cs="宋体"/>
          <w:sz w:val="24"/>
          <w:szCs w:val="24"/>
        </w:rPr>
      </w:pPr>
      <w:r>
        <w:rPr>
          <w:rFonts w:ascii="宋体" w:hAnsi="宋体" w:eastAsia="宋体" w:cs="宋体"/>
          <w:spacing w:val="-2"/>
          <w:sz w:val="24"/>
          <w:szCs w:val="24"/>
        </w:rPr>
        <w:t>进行完善，该工序不用大型施工机械，因此噪声的影响更小。</w:t>
      </w:r>
    </w:p>
    <w:p>
      <w:pPr>
        <w:spacing w:before="185" w:line="359" w:lineRule="auto"/>
        <w:ind w:left="59" w:right="30" w:firstLine="460"/>
        <w:rPr>
          <w:rFonts w:ascii="宋体" w:hAnsi="宋体" w:eastAsia="宋体" w:cs="宋体"/>
          <w:sz w:val="24"/>
          <w:szCs w:val="24"/>
        </w:rPr>
      </w:pPr>
      <w:r>
        <w:rPr>
          <w:rFonts w:ascii="宋体" w:hAnsi="宋体" w:eastAsia="宋体" w:cs="宋体"/>
          <w:spacing w:val="-11"/>
          <w:sz w:val="24"/>
          <w:szCs w:val="24"/>
        </w:rPr>
        <w:t>上述施工过程中，</w:t>
      </w:r>
      <w:r>
        <w:rPr>
          <w:rFonts w:ascii="宋体" w:hAnsi="宋体" w:eastAsia="宋体" w:cs="宋体"/>
          <w:spacing w:val="50"/>
          <w:sz w:val="24"/>
          <w:szCs w:val="24"/>
        </w:rPr>
        <w:t xml:space="preserve"> </w:t>
      </w:r>
      <w:r>
        <w:rPr>
          <w:rFonts w:ascii="宋体" w:hAnsi="宋体" w:eastAsia="宋体" w:cs="宋体"/>
          <w:spacing w:val="-11"/>
          <w:sz w:val="24"/>
          <w:szCs w:val="24"/>
        </w:rPr>
        <w:t>都伴有建筑材料的运输车辆</w:t>
      </w:r>
      <w:r>
        <w:rPr>
          <w:rFonts w:ascii="宋体" w:hAnsi="宋体" w:eastAsia="宋体" w:cs="宋体"/>
          <w:spacing w:val="-12"/>
          <w:sz w:val="24"/>
          <w:szCs w:val="24"/>
        </w:rPr>
        <w:t>所带来的运输噪声。建材运输时，</w:t>
      </w:r>
      <w:r>
        <w:rPr>
          <w:rFonts w:ascii="宋体" w:hAnsi="宋体" w:eastAsia="宋体" w:cs="宋体"/>
          <w:spacing w:val="60"/>
          <w:sz w:val="24"/>
          <w:szCs w:val="24"/>
        </w:rPr>
        <w:t xml:space="preserve"> </w:t>
      </w:r>
      <w:r>
        <w:rPr>
          <w:rFonts w:ascii="宋体" w:hAnsi="宋体" w:eastAsia="宋体" w:cs="宋体"/>
          <w:spacing w:val="-12"/>
          <w:sz w:val="24"/>
          <w:szCs w:val="24"/>
        </w:rPr>
        <w:t>除</w:t>
      </w:r>
      <w:r>
        <w:rPr>
          <w:rFonts w:ascii="宋体" w:hAnsi="宋体" w:eastAsia="宋体" w:cs="宋体"/>
          <w:sz w:val="24"/>
          <w:szCs w:val="24"/>
        </w:rPr>
        <w:t xml:space="preserve"> </w:t>
      </w:r>
      <w:r>
        <w:rPr>
          <w:rFonts w:ascii="宋体" w:hAnsi="宋体" w:eastAsia="宋体" w:cs="宋体"/>
          <w:spacing w:val="-10"/>
          <w:sz w:val="24"/>
          <w:szCs w:val="24"/>
        </w:rPr>
        <w:t>了修建临时的施工道路外，</w:t>
      </w:r>
      <w:r>
        <w:rPr>
          <w:rFonts w:ascii="宋体" w:hAnsi="宋体" w:eastAsia="宋体" w:cs="宋体"/>
          <w:spacing w:val="38"/>
          <w:sz w:val="24"/>
          <w:szCs w:val="24"/>
        </w:rPr>
        <w:t xml:space="preserve"> </w:t>
      </w:r>
      <w:r>
        <w:rPr>
          <w:rFonts w:ascii="宋体" w:hAnsi="宋体" w:eastAsia="宋体" w:cs="宋体"/>
          <w:spacing w:val="-10"/>
          <w:sz w:val="24"/>
          <w:szCs w:val="24"/>
        </w:rPr>
        <w:t>往往借用已有的道</w:t>
      </w:r>
      <w:r>
        <w:rPr>
          <w:rFonts w:ascii="宋体" w:hAnsi="宋体" w:eastAsia="宋体" w:cs="宋体"/>
          <w:spacing w:val="-11"/>
          <w:sz w:val="24"/>
          <w:szCs w:val="24"/>
        </w:rPr>
        <w:t>路，</w:t>
      </w:r>
      <w:r>
        <w:rPr>
          <w:rFonts w:ascii="宋体" w:hAnsi="宋体" w:eastAsia="宋体" w:cs="宋体"/>
          <w:spacing w:val="40"/>
          <w:sz w:val="24"/>
          <w:szCs w:val="24"/>
        </w:rPr>
        <w:t xml:space="preserve"> </w:t>
      </w:r>
      <w:r>
        <w:rPr>
          <w:rFonts w:ascii="宋体" w:hAnsi="宋体" w:eastAsia="宋体" w:cs="宋体"/>
          <w:spacing w:val="-11"/>
          <w:sz w:val="24"/>
          <w:szCs w:val="24"/>
        </w:rPr>
        <w:t>这些道路的两侧往往有一些环境保护</w:t>
      </w:r>
    </w:p>
    <w:p>
      <w:pPr>
        <w:spacing w:before="1" w:line="218" w:lineRule="auto"/>
        <w:ind w:left="83"/>
        <w:rPr>
          <w:rFonts w:ascii="宋体" w:hAnsi="宋体" w:eastAsia="宋体" w:cs="宋体"/>
          <w:sz w:val="24"/>
          <w:szCs w:val="24"/>
        </w:rPr>
      </w:pPr>
      <w:r>
        <w:rPr>
          <w:rFonts w:ascii="宋体" w:hAnsi="宋体" w:eastAsia="宋体" w:cs="宋体"/>
          <w:spacing w:val="-3"/>
          <w:sz w:val="24"/>
          <w:szCs w:val="24"/>
        </w:rPr>
        <w:t>目标。这些运输车辆发出的噪声会对沿线的声环境保护目标产生一定影响。</w:t>
      </w:r>
    </w:p>
    <w:p>
      <w:pPr>
        <w:spacing w:before="181" w:line="220" w:lineRule="auto"/>
        <w:ind w:left="40"/>
        <w:rPr>
          <w:rFonts w:ascii="宋体" w:hAnsi="宋体" w:eastAsia="宋体" w:cs="宋体"/>
          <w:sz w:val="24"/>
          <w:szCs w:val="24"/>
        </w:rPr>
      </w:pPr>
      <w:r>
        <w:fldChar w:fldCharType="begin"/>
      </w:r>
      <w:r>
        <w:instrText xml:space="preserve"> HYPERLINK "5.3.1.3" </w:instrText>
      </w:r>
      <w:r>
        <w:fldChar w:fldCharType="separate"/>
      </w:r>
      <w:r>
        <w:rPr>
          <w:rFonts w:ascii="Times New Roman" w:hAnsi="Times New Roman" w:eastAsia="Times New Roman" w:cs="Times New Roman"/>
          <w:spacing w:val="-1"/>
          <w:sz w:val="24"/>
          <w:szCs w:val="24"/>
        </w:rPr>
        <w:t>5.3.1.3</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一般施工作业振动影响分析</w:t>
      </w:r>
    </w:p>
    <w:p>
      <w:pPr>
        <w:spacing w:before="242" w:line="359" w:lineRule="auto"/>
        <w:ind w:left="40" w:right="28" w:firstLine="479"/>
        <w:jc w:val="both"/>
        <w:rPr>
          <w:rFonts w:ascii="宋体" w:hAnsi="宋体" w:eastAsia="宋体" w:cs="宋体"/>
          <w:sz w:val="24"/>
          <w:szCs w:val="24"/>
        </w:rPr>
      </w:pPr>
      <w:r>
        <w:rPr>
          <w:rFonts w:ascii="宋体" w:hAnsi="宋体" w:eastAsia="宋体" w:cs="宋体"/>
          <w:spacing w:val="-10"/>
          <w:sz w:val="24"/>
          <w:szCs w:val="24"/>
        </w:rPr>
        <w:t>本工程的施工机械以振动型作业为主，</w:t>
      </w:r>
      <w:r>
        <w:rPr>
          <w:rFonts w:ascii="宋体" w:hAnsi="宋体" w:eastAsia="宋体" w:cs="宋体"/>
          <w:spacing w:val="46"/>
          <w:sz w:val="24"/>
          <w:szCs w:val="24"/>
        </w:rPr>
        <w:t xml:space="preserve"> </w:t>
      </w:r>
      <w:r>
        <w:rPr>
          <w:rFonts w:ascii="宋体" w:hAnsi="宋体" w:eastAsia="宋体" w:cs="宋体"/>
          <w:spacing w:val="-10"/>
          <w:sz w:val="24"/>
          <w:szCs w:val="24"/>
        </w:rPr>
        <w:t>包括挖掘、钻</w:t>
      </w:r>
      <w:r>
        <w:rPr>
          <w:rFonts w:ascii="宋体" w:hAnsi="宋体" w:eastAsia="宋体" w:cs="宋体"/>
          <w:spacing w:val="-11"/>
          <w:sz w:val="24"/>
          <w:szCs w:val="24"/>
        </w:rPr>
        <w:t>孔、</w:t>
      </w:r>
      <w:r>
        <w:rPr>
          <w:rFonts w:ascii="宋体" w:hAnsi="宋体" w:eastAsia="宋体" w:cs="宋体"/>
          <w:spacing w:val="28"/>
          <w:sz w:val="24"/>
          <w:szCs w:val="24"/>
        </w:rPr>
        <w:t xml:space="preserve"> </w:t>
      </w:r>
      <w:r>
        <w:rPr>
          <w:rFonts w:ascii="宋体" w:hAnsi="宋体" w:eastAsia="宋体" w:cs="宋体"/>
          <w:spacing w:val="-11"/>
          <w:sz w:val="24"/>
          <w:szCs w:val="24"/>
        </w:rPr>
        <w:t>桩基等施工作业以及运输</w:t>
      </w:r>
      <w:r>
        <w:rPr>
          <w:rFonts w:ascii="宋体" w:hAnsi="宋体" w:eastAsia="宋体" w:cs="宋体"/>
          <w:sz w:val="24"/>
          <w:szCs w:val="24"/>
        </w:rPr>
        <w:t xml:space="preserve"> </w:t>
      </w:r>
      <w:r>
        <w:rPr>
          <w:rFonts w:ascii="宋体" w:hAnsi="宋体" w:eastAsia="宋体" w:cs="宋体"/>
          <w:spacing w:val="-7"/>
          <w:sz w:val="24"/>
          <w:szCs w:val="24"/>
        </w:rPr>
        <w:t>车辆在运输、装卸过程中所产生的振动，</w:t>
      </w:r>
      <w:r>
        <w:rPr>
          <w:rFonts w:ascii="宋体" w:hAnsi="宋体" w:eastAsia="宋体" w:cs="宋体"/>
          <w:spacing w:val="83"/>
          <w:sz w:val="24"/>
          <w:szCs w:val="24"/>
        </w:rPr>
        <w:t xml:space="preserve"> </w:t>
      </w:r>
      <w:r>
        <w:rPr>
          <w:rFonts w:ascii="宋体" w:hAnsi="宋体" w:eastAsia="宋体" w:cs="宋体"/>
          <w:spacing w:val="-7"/>
          <w:sz w:val="24"/>
          <w:szCs w:val="24"/>
        </w:rPr>
        <w:t>因此施工作业过程不可避免地给沿线交通、建</w:t>
      </w:r>
    </w:p>
    <w:p>
      <w:pPr>
        <w:spacing w:before="1" w:line="218" w:lineRule="auto"/>
        <w:ind w:left="40"/>
        <w:rPr>
          <w:rFonts w:ascii="宋体" w:hAnsi="宋体" w:eastAsia="宋体" w:cs="宋体"/>
          <w:sz w:val="24"/>
          <w:szCs w:val="24"/>
        </w:rPr>
      </w:pPr>
      <w:r>
        <w:rPr>
          <w:rFonts w:ascii="宋体" w:hAnsi="宋体" w:eastAsia="宋体" w:cs="宋体"/>
          <w:spacing w:val="-1"/>
          <w:sz w:val="24"/>
          <w:szCs w:val="24"/>
        </w:rPr>
        <w:t>筑物及居民的生活带来影响。工程施工时采用的机械设备和振动源强参</w:t>
      </w:r>
      <w:r>
        <w:rPr>
          <w:rFonts w:ascii="宋体" w:hAnsi="宋体" w:eastAsia="宋体" w:cs="宋体"/>
          <w:spacing w:val="-2"/>
          <w:sz w:val="24"/>
          <w:szCs w:val="24"/>
        </w:rPr>
        <w:t>考表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5.3.1-</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p>
      <w:pPr>
        <w:spacing w:before="184" w:line="219" w:lineRule="auto"/>
        <w:ind w:left="148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5.3.1-</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施工机械振动源强参考振级</w:t>
      </w:r>
      <w:r>
        <w:rPr>
          <w:rFonts w:ascii="宋体" w:hAnsi="宋体" w:eastAsia="宋体" w:cs="宋体"/>
          <w:spacing w:val="-2"/>
          <w:sz w:val="24"/>
          <w:szCs w:val="24"/>
        </w:rPr>
        <w:t>（</w:t>
      </w:r>
      <w:r>
        <w:rPr>
          <w:rFonts w:ascii="Times New Roman" w:hAnsi="Times New Roman" w:eastAsia="Times New Roman" w:cs="Times New Roman"/>
          <w:spacing w:val="-2"/>
          <w:sz w:val="24"/>
          <w:szCs w:val="24"/>
        </w:rPr>
        <w:t>VLzmax</w:t>
      </w:r>
      <w:r>
        <w:rPr>
          <w:rFonts w:ascii="宋体" w:hAnsi="宋体" w:eastAsia="宋体" w:cs="宋体"/>
          <w:spacing w:val="-2"/>
          <w:sz w:val="24"/>
          <w:szCs w:val="24"/>
        </w:rPr>
        <w:t>：</w:t>
      </w:r>
      <w:r>
        <w:rPr>
          <w:rFonts w:ascii="Times New Roman" w:hAnsi="Times New Roman" w:eastAsia="Times New Roman" w:cs="Times New Roman"/>
          <w:spacing w:val="-2"/>
          <w:sz w:val="24"/>
          <w:szCs w:val="24"/>
        </w:rPr>
        <w:t>dB</w:t>
      </w:r>
      <w:r>
        <w:rPr>
          <w:rFonts w:ascii="宋体" w:hAnsi="宋体" w:eastAsia="宋体" w:cs="宋体"/>
          <w:spacing w:val="-2"/>
          <w:sz w:val="24"/>
          <w:szCs w:val="24"/>
        </w:rPr>
        <w:t>）</w:t>
      </w:r>
    </w:p>
    <w:p>
      <w:pPr>
        <w:spacing w:line="145" w:lineRule="exact"/>
      </w:pPr>
    </w:p>
    <w:tbl>
      <w:tblPr>
        <w:tblStyle w:val="5"/>
        <w:tblW w:w="8521" w:type="dxa"/>
        <w:tblInd w:w="3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1"/>
        <w:gridCol w:w="2025"/>
        <w:gridCol w:w="969"/>
        <w:gridCol w:w="1158"/>
        <w:gridCol w:w="970"/>
        <w:gridCol w:w="969"/>
        <w:gridCol w:w="9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451" w:type="dxa"/>
            <w:vMerge w:val="restart"/>
            <w:tcBorders>
              <w:bottom w:val="nil"/>
            </w:tcBorders>
            <w:vAlign w:val="top"/>
          </w:tcPr>
          <w:p>
            <w:pPr>
              <w:pStyle w:val="6"/>
              <w:spacing w:before="156" w:line="222" w:lineRule="auto"/>
              <w:ind w:left="309"/>
            </w:pPr>
            <w:r>
              <w:rPr>
                <w:spacing w:val="-1"/>
              </w:rPr>
              <w:t>施工阶段</w:t>
            </w:r>
          </w:p>
        </w:tc>
        <w:tc>
          <w:tcPr>
            <w:tcW w:w="2025" w:type="dxa"/>
            <w:vMerge w:val="restart"/>
            <w:tcBorders>
              <w:bottom w:val="nil"/>
            </w:tcBorders>
            <w:vAlign w:val="top"/>
          </w:tcPr>
          <w:p>
            <w:pPr>
              <w:pStyle w:val="6"/>
              <w:spacing w:before="156" w:line="222" w:lineRule="auto"/>
              <w:ind w:left="596"/>
            </w:pPr>
            <w:r>
              <w:rPr>
                <w:spacing w:val="-1"/>
              </w:rPr>
              <w:t>施工设备</w:t>
            </w:r>
          </w:p>
        </w:tc>
        <w:tc>
          <w:tcPr>
            <w:tcW w:w="5045" w:type="dxa"/>
            <w:gridSpan w:val="5"/>
            <w:vAlign w:val="top"/>
          </w:tcPr>
          <w:p>
            <w:pPr>
              <w:pStyle w:val="6"/>
              <w:spacing w:before="29" w:line="207" w:lineRule="auto"/>
              <w:ind w:left="1293"/>
            </w:pPr>
            <w:r>
              <w:rPr>
                <w:spacing w:val="-1"/>
              </w:rPr>
              <w:t>测点距施工设备距离（</w:t>
            </w:r>
            <w:r>
              <w:rPr>
                <w:rFonts w:ascii="Times New Roman" w:hAnsi="Times New Roman" w:eastAsia="Times New Roman" w:cs="Times New Roman"/>
                <w:spacing w:val="-1"/>
              </w:rPr>
              <w:t>m</w:t>
            </w:r>
            <w:r>
              <w:rPr>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1451" w:type="dxa"/>
            <w:vMerge w:val="continue"/>
            <w:tcBorders>
              <w:top w:val="nil"/>
            </w:tcBorders>
            <w:vAlign w:val="top"/>
          </w:tcPr>
          <w:p>
            <w:pPr>
              <w:rPr>
                <w:rFonts w:ascii="Arial"/>
                <w:sz w:val="21"/>
              </w:rPr>
            </w:pPr>
          </w:p>
        </w:tc>
        <w:tc>
          <w:tcPr>
            <w:tcW w:w="2025" w:type="dxa"/>
            <w:vMerge w:val="continue"/>
            <w:tcBorders>
              <w:top w:val="nil"/>
            </w:tcBorders>
            <w:vAlign w:val="top"/>
          </w:tcPr>
          <w:p>
            <w:pPr>
              <w:rPr>
                <w:rFonts w:ascii="Arial"/>
                <w:sz w:val="21"/>
              </w:rPr>
            </w:pPr>
          </w:p>
        </w:tc>
        <w:tc>
          <w:tcPr>
            <w:tcW w:w="969" w:type="dxa"/>
            <w:vAlign w:val="top"/>
          </w:tcPr>
          <w:p>
            <w:pPr>
              <w:spacing w:before="54" w:line="178" w:lineRule="auto"/>
              <w:ind w:left="43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158" w:type="dxa"/>
            <w:vAlign w:val="top"/>
          </w:tcPr>
          <w:p>
            <w:pPr>
              <w:spacing w:before="51" w:line="181" w:lineRule="auto"/>
              <w:ind w:left="49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970" w:type="dxa"/>
            <w:vAlign w:val="top"/>
          </w:tcPr>
          <w:p>
            <w:pPr>
              <w:spacing w:before="51" w:line="181"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969" w:type="dxa"/>
            <w:vAlign w:val="top"/>
          </w:tcPr>
          <w:p>
            <w:pPr>
              <w:spacing w:before="51" w:line="181"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979" w:type="dxa"/>
            <w:vAlign w:val="top"/>
          </w:tcPr>
          <w:p>
            <w:pPr>
              <w:spacing w:before="51" w:line="181"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451" w:type="dxa"/>
            <w:vMerge w:val="restart"/>
            <w:tcBorders>
              <w:bottom w:val="nil"/>
            </w:tcBorders>
            <w:vAlign w:val="top"/>
          </w:tcPr>
          <w:p>
            <w:pPr>
              <w:spacing w:line="399" w:lineRule="auto"/>
              <w:rPr>
                <w:rFonts w:ascii="Arial"/>
                <w:sz w:val="21"/>
              </w:rPr>
            </w:pPr>
          </w:p>
          <w:p>
            <w:pPr>
              <w:pStyle w:val="6"/>
              <w:spacing w:before="68" w:line="222" w:lineRule="auto"/>
              <w:ind w:left="311"/>
            </w:pPr>
            <w:r>
              <w:rPr>
                <w:spacing w:val="-2"/>
              </w:rPr>
              <w:t>土方阶段</w:t>
            </w:r>
          </w:p>
        </w:tc>
        <w:tc>
          <w:tcPr>
            <w:tcW w:w="2025" w:type="dxa"/>
            <w:vAlign w:val="top"/>
          </w:tcPr>
          <w:p>
            <w:pPr>
              <w:pStyle w:val="6"/>
              <w:spacing w:before="38" w:line="210" w:lineRule="auto"/>
              <w:ind w:left="699"/>
            </w:pPr>
            <w:r>
              <w:rPr>
                <w:spacing w:val="-1"/>
              </w:rPr>
              <w:t>挖掘机</w:t>
            </w:r>
          </w:p>
        </w:tc>
        <w:tc>
          <w:tcPr>
            <w:tcW w:w="969" w:type="dxa"/>
            <w:vAlign w:val="top"/>
          </w:tcPr>
          <w:p>
            <w:pPr>
              <w:spacing w:before="76"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82-84</w:t>
            </w:r>
          </w:p>
        </w:tc>
        <w:tc>
          <w:tcPr>
            <w:tcW w:w="1158" w:type="dxa"/>
            <w:vAlign w:val="top"/>
          </w:tcPr>
          <w:p>
            <w:pPr>
              <w:spacing w:before="76" w:line="187"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78-80</w:t>
            </w:r>
          </w:p>
        </w:tc>
        <w:tc>
          <w:tcPr>
            <w:tcW w:w="970" w:type="dxa"/>
            <w:vAlign w:val="top"/>
          </w:tcPr>
          <w:p>
            <w:pPr>
              <w:spacing w:before="76" w:line="187" w:lineRule="auto"/>
              <w:ind w:left="2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74-76</w:t>
            </w:r>
          </w:p>
        </w:tc>
        <w:tc>
          <w:tcPr>
            <w:tcW w:w="969" w:type="dxa"/>
            <w:vAlign w:val="top"/>
          </w:tcPr>
          <w:p>
            <w:pPr>
              <w:spacing w:before="76"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69-71</w:t>
            </w:r>
          </w:p>
        </w:tc>
        <w:tc>
          <w:tcPr>
            <w:tcW w:w="979" w:type="dxa"/>
            <w:vAlign w:val="top"/>
          </w:tcPr>
          <w:p>
            <w:pPr>
              <w:spacing w:before="76"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451" w:type="dxa"/>
            <w:vMerge w:val="continue"/>
            <w:tcBorders>
              <w:top w:val="nil"/>
              <w:bottom w:val="nil"/>
            </w:tcBorders>
            <w:vAlign w:val="top"/>
          </w:tcPr>
          <w:p>
            <w:pPr>
              <w:rPr>
                <w:rFonts w:ascii="Arial"/>
                <w:sz w:val="21"/>
              </w:rPr>
            </w:pPr>
          </w:p>
        </w:tc>
        <w:tc>
          <w:tcPr>
            <w:tcW w:w="2025" w:type="dxa"/>
            <w:vAlign w:val="top"/>
          </w:tcPr>
          <w:p>
            <w:pPr>
              <w:pStyle w:val="6"/>
              <w:spacing w:before="46" w:line="220" w:lineRule="auto"/>
              <w:ind w:left="700"/>
            </w:pPr>
            <w:r>
              <w:rPr>
                <w:spacing w:val="-2"/>
              </w:rPr>
              <w:t>推土机</w:t>
            </w:r>
          </w:p>
        </w:tc>
        <w:tc>
          <w:tcPr>
            <w:tcW w:w="969" w:type="dxa"/>
            <w:vAlign w:val="top"/>
          </w:tcPr>
          <w:p>
            <w:pPr>
              <w:spacing w:before="87"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83</w:t>
            </w:r>
          </w:p>
        </w:tc>
        <w:tc>
          <w:tcPr>
            <w:tcW w:w="1158" w:type="dxa"/>
            <w:vAlign w:val="top"/>
          </w:tcPr>
          <w:p>
            <w:pPr>
              <w:spacing w:before="87"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w:t>
            </w:r>
          </w:p>
        </w:tc>
        <w:tc>
          <w:tcPr>
            <w:tcW w:w="970" w:type="dxa"/>
            <w:vAlign w:val="top"/>
          </w:tcPr>
          <w:p>
            <w:pPr>
              <w:spacing w:before="87"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w:t>
            </w:r>
          </w:p>
        </w:tc>
        <w:tc>
          <w:tcPr>
            <w:tcW w:w="969" w:type="dxa"/>
            <w:vAlign w:val="top"/>
          </w:tcPr>
          <w:p>
            <w:pPr>
              <w:spacing w:before="87"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w:t>
            </w:r>
          </w:p>
        </w:tc>
        <w:tc>
          <w:tcPr>
            <w:tcW w:w="979" w:type="dxa"/>
            <w:vAlign w:val="top"/>
          </w:tcPr>
          <w:p>
            <w:pPr>
              <w:spacing w:before="87"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51" w:type="dxa"/>
            <w:vMerge w:val="continue"/>
            <w:tcBorders>
              <w:top w:val="nil"/>
              <w:bottom w:val="nil"/>
            </w:tcBorders>
            <w:vAlign w:val="top"/>
          </w:tcPr>
          <w:p>
            <w:pPr>
              <w:rPr>
                <w:rFonts w:ascii="Arial"/>
                <w:sz w:val="21"/>
              </w:rPr>
            </w:pPr>
          </w:p>
        </w:tc>
        <w:tc>
          <w:tcPr>
            <w:tcW w:w="2025" w:type="dxa"/>
            <w:vAlign w:val="top"/>
          </w:tcPr>
          <w:p>
            <w:pPr>
              <w:pStyle w:val="6"/>
              <w:spacing w:before="29" w:line="205" w:lineRule="auto"/>
              <w:ind w:left="701"/>
            </w:pPr>
            <w:r>
              <w:rPr>
                <w:spacing w:val="-2"/>
              </w:rPr>
              <w:t>压路机</w:t>
            </w:r>
          </w:p>
        </w:tc>
        <w:tc>
          <w:tcPr>
            <w:tcW w:w="969" w:type="dxa"/>
            <w:vAlign w:val="top"/>
          </w:tcPr>
          <w:p>
            <w:pPr>
              <w:spacing w:before="67"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86</w:t>
            </w:r>
          </w:p>
        </w:tc>
        <w:tc>
          <w:tcPr>
            <w:tcW w:w="1158" w:type="dxa"/>
            <w:vAlign w:val="top"/>
          </w:tcPr>
          <w:p>
            <w:pPr>
              <w:spacing w:before="67"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82</w:t>
            </w:r>
          </w:p>
        </w:tc>
        <w:tc>
          <w:tcPr>
            <w:tcW w:w="970" w:type="dxa"/>
            <w:vAlign w:val="top"/>
          </w:tcPr>
          <w:p>
            <w:pPr>
              <w:spacing w:before="70"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w:t>
            </w:r>
          </w:p>
        </w:tc>
        <w:tc>
          <w:tcPr>
            <w:tcW w:w="969" w:type="dxa"/>
            <w:vAlign w:val="top"/>
          </w:tcPr>
          <w:p>
            <w:pPr>
              <w:spacing w:before="67"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w:t>
            </w:r>
          </w:p>
        </w:tc>
        <w:tc>
          <w:tcPr>
            <w:tcW w:w="979" w:type="dxa"/>
            <w:vAlign w:val="top"/>
          </w:tcPr>
          <w:p>
            <w:pPr>
              <w:spacing w:before="67"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451" w:type="dxa"/>
            <w:vMerge w:val="continue"/>
            <w:tcBorders>
              <w:top w:val="nil"/>
            </w:tcBorders>
            <w:vAlign w:val="top"/>
          </w:tcPr>
          <w:p>
            <w:pPr>
              <w:rPr>
                <w:rFonts w:ascii="Arial"/>
                <w:sz w:val="21"/>
              </w:rPr>
            </w:pPr>
          </w:p>
        </w:tc>
        <w:tc>
          <w:tcPr>
            <w:tcW w:w="2025" w:type="dxa"/>
            <w:vAlign w:val="top"/>
          </w:tcPr>
          <w:p>
            <w:pPr>
              <w:pStyle w:val="6"/>
              <w:spacing w:before="30" w:line="203" w:lineRule="auto"/>
              <w:ind w:left="492"/>
            </w:pPr>
            <w:r>
              <w:rPr>
                <w:spacing w:val="-2"/>
              </w:rPr>
              <w:t>重型运输车</w:t>
            </w:r>
          </w:p>
        </w:tc>
        <w:tc>
          <w:tcPr>
            <w:tcW w:w="969" w:type="dxa"/>
            <w:vAlign w:val="top"/>
          </w:tcPr>
          <w:p>
            <w:pPr>
              <w:spacing w:before="68"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80-82</w:t>
            </w:r>
          </w:p>
        </w:tc>
        <w:tc>
          <w:tcPr>
            <w:tcW w:w="1158" w:type="dxa"/>
            <w:vAlign w:val="top"/>
          </w:tcPr>
          <w:p>
            <w:pPr>
              <w:spacing w:before="68" w:line="187"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74-76</w:t>
            </w:r>
          </w:p>
        </w:tc>
        <w:tc>
          <w:tcPr>
            <w:tcW w:w="970" w:type="dxa"/>
            <w:vAlign w:val="top"/>
          </w:tcPr>
          <w:p>
            <w:pPr>
              <w:spacing w:before="68"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69-71</w:t>
            </w:r>
          </w:p>
        </w:tc>
        <w:tc>
          <w:tcPr>
            <w:tcW w:w="969" w:type="dxa"/>
            <w:vAlign w:val="top"/>
          </w:tcPr>
          <w:p>
            <w:pPr>
              <w:spacing w:before="68"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64-66</w:t>
            </w:r>
          </w:p>
        </w:tc>
        <w:tc>
          <w:tcPr>
            <w:tcW w:w="979" w:type="dxa"/>
            <w:vAlign w:val="top"/>
          </w:tcPr>
          <w:p>
            <w:pPr>
              <w:spacing w:before="68"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451" w:type="dxa"/>
            <w:vMerge w:val="restart"/>
            <w:tcBorders>
              <w:bottom w:val="nil"/>
            </w:tcBorders>
            <w:vAlign w:val="top"/>
          </w:tcPr>
          <w:p>
            <w:pPr>
              <w:spacing w:line="283" w:lineRule="auto"/>
              <w:rPr>
                <w:rFonts w:ascii="Arial"/>
                <w:sz w:val="21"/>
              </w:rPr>
            </w:pPr>
          </w:p>
          <w:p>
            <w:pPr>
              <w:pStyle w:val="6"/>
              <w:spacing w:before="69" w:line="222" w:lineRule="auto"/>
              <w:ind w:left="310"/>
            </w:pPr>
            <w:r>
              <w:rPr>
                <w:spacing w:val="-2"/>
              </w:rPr>
              <w:t>基础阶段</w:t>
            </w:r>
          </w:p>
        </w:tc>
        <w:tc>
          <w:tcPr>
            <w:tcW w:w="2025" w:type="dxa"/>
            <w:vAlign w:val="top"/>
          </w:tcPr>
          <w:p>
            <w:pPr>
              <w:pStyle w:val="6"/>
              <w:spacing w:before="51" w:line="221" w:lineRule="auto"/>
              <w:ind w:left="596"/>
            </w:pPr>
            <w:r>
              <w:rPr>
                <w:spacing w:val="-1"/>
              </w:rPr>
              <w:t>振动夯锤</w:t>
            </w:r>
          </w:p>
        </w:tc>
        <w:tc>
          <w:tcPr>
            <w:tcW w:w="969" w:type="dxa"/>
            <w:vAlign w:val="top"/>
          </w:tcPr>
          <w:p>
            <w:pPr>
              <w:spacing w:before="89"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158" w:type="dxa"/>
            <w:vAlign w:val="top"/>
          </w:tcPr>
          <w:p>
            <w:pPr>
              <w:spacing w:before="89"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93</w:t>
            </w:r>
          </w:p>
        </w:tc>
        <w:tc>
          <w:tcPr>
            <w:tcW w:w="970" w:type="dxa"/>
            <w:vAlign w:val="top"/>
          </w:tcPr>
          <w:p>
            <w:pPr>
              <w:spacing w:before="89" w:line="187" w:lineRule="auto"/>
              <w:ind w:left="39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86</w:t>
            </w:r>
          </w:p>
        </w:tc>
        <w:tc>
          <w:tcPr>
            <w:tcW w:w="969" w:type="dxa"/>
            <w:vAlign w:val="top"/>
          </w:tcPr>
          <w:p>
            <w:pPr>
              <w:spacing w:before="89" w:line="187" w:lineRule="auto"/>
              <w:ind w:left="39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83</w:t>
            </w:r>
          </w:p>
        </w:tc>
        <w:tc>
          <w:tcPr>
            <w:tcW w:w="979" w:type="dxa"/>
            <w:vAlign w:val="top"/>
          </w:tcPr>
          <w:p>
            <w:pPr>
              <w:spacing w:before="89"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451" w:type="dxa"/>
            <w:vMerge w:val="continue"/>
            <w:tcBorders>
              <w:top w:val="nil"/>
              <w:bottom w:val="nil"/>
            </w:tcBorders>
            <w:vAlign w:val="top"/>
          </w:tcPr>
          <w:p>
            <w:pPr>
              <w:rPr>
                <w:rFonts w:ascii="Arial"/>
                <w:sz w:val="21"/>
              </w:rPr>
            </w:pPr>
          </w:p>
        </w:tc>
        <w:tc>
          <w:tcPr>
            <w:tcW w:w="2025" w:type="dxa"/>
            <w:vAlign w:val="top"/>
          </w:tcPr>
          <w:p>
            <w:pPr>
              <w:pStyle w:val="6"/>
              <w:spacing w:before="36" w:line="211" w:lineRule="auto"/>
              <w:ind w:left="807"/>
            </w:pPr>
            <w:r>
              <w:rPr>
                <w:spacing w:val="-2"/>
              </w:rPr>
              <w:t>风锤</w:t>
            </w:r>
          </w:p>
        </w:tc>
        <w:tc>
          <w:tcPr>
            <w:tcW w:w="969" w:type="dxa"/>
            <w:vAlign w:val="top"/>
          </w:tcPr>
          <w:p>
            <w:pPr>
              <w:spacing w:before="75"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88-92</w:t>
            </w:r>
          </w:p>
        </w:tc>
        <w:tc>
          <w:tcPr>
            <w:tcW w:w="1158" w:type="dxa"/>
            <w:vAlign w:val="top"/>
          </w:tcPr>
          <w:p>
            <w:pPr>
              <w:spacing w:before="75"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83-85</w:t>
            </w:r>
          </w:p>
        </w:tc>
        <w:tc>
          <w:tcPr>
            <w:tcW w:w="970" w:type="dxa"/>
            <w:vAlign w:val="top"/>
          </w:tcPr>
          <w:p>
            <w:pPr>
              <w:spacing w:before="75"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w:t>
            </w:r>
          </w:p>
        </w:tc>
        <w:tc>
          <w:tcPr>
            <w:tcW w:w="969" w:type="dxa"/>
            <w:vAlign w:val="top"/>
          </w:tcPr>
          <w:p>
            <w:pPr>
              <w:spacing w:before="75" w:line="187" w:lineRule="auto"/>
              <w:ind w:left="2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73-75</w:t>
            </w:r>
          </w:p>
        </w:tc>
        <w:tc>
          <w:tcPr>
            <w:tcW w:w="979" w:type="dxa"/>
            <w:vAlign w:val="top"/>
          </w:tcPr>
          <w:p>
            <w:pPr>
              <w:spacing w:before="75"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451" w:type="dxa"/>
            <w:vMerge w:val="continue"/>
            <w:tcBorders>
              <w:top w:val="nil"/>
            </w:tcBorders>
            <w:vAlign w:val="top"/>
          </w:tcPr>
          <w:p>
            <w:pPr>
              <w:rPr>
                <w:rFonts w:ascii="Arial"/>
                <w:sz w:val="21"/>
              </w:rPr>
            </w:pPr>
          </w:p>
        </w:tc>
        <w:tc>
          <w:tcPr>
            <w:tcW w:w="2025" w:type="dxa"/>
            <w:vAlign w:val="top"/>
          </w:tcPr>
          <w:p>
            <w:pPr>
              <w:pStyle w:val="6"/>
              <w:spacing w:before="47" w:line="219" w:lineRule="auto"/>
              <w:ind w:left="707"/>
            </w:pPr>
            <w:r>
              <w:rPr>
                <w:spacing w:val="-3"/>
              </w:rPr>
              <w:t>空压机</w:t>
            </w:r>
          </w:p>
        </w:tc>
        <w:tc>
          <w:tcPr>
            <w:tcW w:w="969" w:type="dxa"/>
            <w:vAlign w:val="top"/>
          </w:tcPr>
          <w:p>
            <w:pPr>
              <w:spacing w:before="86"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84-85</w:t>
            </w:r>
          </w:p>
        </w:tc>
        <w:tc>
          <w:tcPr>
            <w:tcW w:w="1158" w:type="dxa"/>
            <w:vAlign w:val="top"/>
          </w:tcPr>
          <w:p>
            <w:pPr>
              <w:spacing w:before="86"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81</w:t>
            </w:r>
          </w:p>
        </w:tc>
        <w:tc>
          <w:tcPr>
            <w:tcW w:w="970" w:type="dxa"/>
            <w:vAlign w:val="top"/>
          </w:tcPr>
          <w:p>
            <w:pPr>
              <w:spacing w:before="86" w:line="187" w:lineRule="auto"/>
              <w:ind w:left="2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74-78</w:t>
            </w:r>
          </w:p>
        </w:tc>
        <w:tc>
          <w:tcPr>
            <w:tcW w:w="969" w:type="dxa"/>
            <w:vAlign w:val="top"/>
          </w:tcPr>
          <w:p>
            <w:pPr>
              <w:spacing w:before="86" w:line="187" w:lineRule="auto"/>
              <w:ind w:left="2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70-76</w:t>
            </w:r>
          </w:p>
        </w:tc>
        <w:tc>
          <w:tcPr>
            <w:tcW w:w="979" w:type="dxa"/>
            <w:vAlign w:val="top"/>
          </w:tcPr>
          <w:p>
            <w:pPr>
              <w:spacing w:before="86"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51" w:type="dxa"/>
            <w:vMerge w:val="restart"/>
            <w:tcBorders>
              <w:bottom w:val="nil"/>
            </w:tcBorders>
            <w:vAlign w:val="top"/>
          </w:tcPr>
          <w:p>
            <w:pPr>
              <w:pStyle w:val="6"/>
              <w:spacing w:before="211" w:line="221" w:lineRule="auto"/>
              <w:ind w:left="315"/>
            </w:pPr>
            <w:r>
              <w:rPr>
                <w:spacing w:val="-3"/>
              </w:rPr>
              <w:t>结构阶段</w:t>
            </w:r>
          </w:p>
        </w:tc>
        <w:tc>
          <w:tcPr>
            <w:tcW w:w="2025" w:type="dxa"/>
            <w:vAlign w:val="top"/>
          </w:tcPr>
          <w:p>
            <w:pPr>
              <w:pStyle w:val="6"/>
              <w:spacing w:before="30" w:line="204" w:lineRule="auto"/>
              <w:ind w:left="700"/>
            </w:pPr>
            <w:r>
              <w:rPr>
                <w:spacing w:val="-2"/>
              </w:rPr>
              <w:t>钻孔机</w:t>
            </w:r>
          </w:p>
        </w:tc>
        <w:tc>
          <w:tcPr>
            <w:tcW w:w="969" w:type="dxa"/>
            <w:vAlign w:val="top"/>
          </w:tcPr>
          <w:p>
            <w:pPr>
              <w:spacing w:before="69"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w:t>
            </w:r>
          </w:p>
        </w:tc>
        <w:tc>
          <w:tcPr>
            <w:tcW w:w="1158" w:type="dxa"/>
            <w:vAlign w:val="top"/>
          </w:tcPr>
          <w:p>
            <w:pPr>
              <w:spacing w:before="65" w:line="196" w:lineRule="auto"/>
              <w:ind w:left="5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70" w:type="dxa"/>
            <w:vAlign w:val="top"/>
          </w:tcPr>
          <w:p>
            <w:pPr>
              <w:spacing w:before="65" w:line="196" w:lineRule="auto"/>
              <w:ind w:left="45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9" w:type="dxa"/>
            <w:vAlign w:val="top"/>
          </w:tcPr>
          <w:p>
            <w:pPr>
              <w:spacing w:before="65" w:line="196" w:lineRule="auto"/>
              <w:ind w:left="45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79" w:type="dxa"/>
            <w:vAlign w:val="top"/>
          </w:tcPr>
          <w:p>
            <w:pPr>
              <w:spacing w:before="65" w:line="196"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451" w:type="dxa"/>
            <w:vMerge w:val="continue"/>
            <w:tcBorders>
              <w:top w:val="nil"/>
            </w:tcBorders>
            <w:vAlign w:val="top"/>
          </w:tcPr>
          <w:p>
            <w:pPr>
              <w:rPr>
                <w:rFonts w:ascii="Arial"/>
                <w:sz w:val="21"/>
              </w:rPr>
            </w:pPr>
          </w:p>
        </w:tc>
        <w:tc>
          <w:tcPr>
            <w:tcW w:w="2025" w:type="dxa"/>
            <w:vAlign w:val="top"/>
          </w:tcPr>
          <w:p>
            <w:pPr>
              <w:pStyle w:val="6"/>
              <w:spacing w:before="72" w:line="220" w:lineRule="auto"/>
              <w:ind w:left="388"/>
            </w:pPr>
            <w:r>
              <w:rPr>
                <w:spacing w:val="-2"/>
              </w:rPr>
              <w:t>混凝土搅拌机</w:t>
            </w:r>
          </w:p>
        </w:tc>
        <w:tc>
          <w:tcPr>
            <w:tcW w:w="969" w:type="dxa"/>
            <w:vAlign w:val="top"/>
          </w:tcPr>
          <w:p>
            <w:pPr>
              <w:spacing w:before="111"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80-82</w:t>
            </w:r>
          </w:p>
        </w:tc>
        <w:tc>
          <w:tcPr>
            <w:tcW w:w="1158" w:type="dxa"/>
            <w:vAlign w:val="top"/>
          </w:tcPr>
          <w:p>
            <w:pPr>
              <w:spacing w:before="111" w:line="187"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74-76</w:t>
            </w:r>
          </w:p>
        </w:tc>
        <w:tc>
          <w:tcPr>
            <w:tcW w:w="970" w:type="dxa"/>
            <w:vAlign w:val="top"/>
          </w:tcPr>
          <w:p>
            <w:pPr>
              <w:spacing w:before="111"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69-71</w:t>
            </w:r>
          </w:p>
        </w:tc>
        <w:tc>
          <w:tcPr>
            <w:tcW w:w="969" w:type="dxa"/>
            <w:vAlign w:val="top"/>
          </w:tcPr>
          <w:p>
            <w:pPr>
              <w:spacing w:before="111"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64-66</w:t>
            </w:r>
          </w:p>
        </w:tc>
        <w:tc>
          <w:tcPr>
            <w:tcW w:w="979" w:type="dxa"/>
            <w:vAlign w:val="top"/>
          </w:tcPr>
          <w:p>
            <w:pPr>
              <w:spacing w:before="111"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62-64</w:t>
            </w:r>
          </w:p>
        </w:tc>
      </w:tr>
    </w:tbl>
    <w:p>
      <w:pPr>
        <w:spacing w:before="216" w:line="359" w:lineRule="auto"/>
        <w:ind w:left="42" w:right="26" w:firstLine="474"/>
        <w:rPr>
          <w:rFonts w:ascii="宋体" w:hAnsi="宋体" w:eastAsia="宋体" w:cs="宋体"/>
          <w:sz w:val="24"/>
          <w:szCs w:val="24"/>
        </w:rPr>
      </w:pPr>
      <w:r>
        <w:rPr>
          <w:rFonts w:ascii="宋体" w:hAnsi="宋体" w:eastAsia="宋体" w:cs="宋体"/>
          <w:spacing w:val="-3"/>
          <w:sz w:val="24"/>
          <w:szCs w:val="24"/>
        </w:rPr>
        <w:t>距一般施工机械</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10m</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处的振动水平为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74~85dB</w:t>
      </w:r>
      <w:r>
        <w:rPr>
          <w:rFonts w:ascii="宋体" w:hAnsi="宋体" w:eastAsia="宋体" w:cs="宋体"/>
          <w:spacing w:val="-3"/>
          <w:sz w:val="24"/>
          <w:szCs w:val="24"/>
        </w:rPr>
        <w:t>，</w:t>
      </w:r>
      <w:r>
        <w:rPr>
          <w:rFonts w:ascii="Times New Roman" w:hAnsi="Times New Roman" w:eastAsia="Times New Roman" w:cs="Times New Roman"/>
          <w:spacing w:val="-3"/>
          <w:sz w:val="24"/>
          <w:szCs w:val="24"/>
        </w:rPr>
        <w:t>30m</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处振动水平为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64~76dB</w:t>
      </w:r>
      <w:r>
        <w:rPr>
          <w:rFonts w:ascii="宋体" w:hAnsi="宋体" w:eastAsia="宋体" w:cs="宋体"/>
          <w:spacing w:val="-3"/>
          <w:sz w:val="24"/>
          <w:szCs w:val="24"/>
        </w:rPr>
        <w:t>，</w:t>
      </w:r>
      <w:r>
        <w:rPr>
          <w:rFonts w:ascii="Times New Roman" w:hAnsi="Times New Roman" w:eastAsia="Times New Roman" w:cs="Times New Roman"/>
          <w:spacing w:val="-3"/>
          <w:sz w:val="24"/>
          <w:szCs w:val="24"/>
        </w:rPr>
        <w:t>40m</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处振动水平为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62~74dB</w:t>
      </w:r>
      <w:r>
        <w:rPr>
          <w:rFonts w:ascii="宋体" w:hAnsi="宋体" w:eastAsia="宋体" w:cs="宋体"/>
          <w:spacing w:val="-3"/>
          <w:sz w:val="24"/>
          <w:szCs w:val="24"/>
        </w:rPr>
        <w:t>，所以</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30m</w:t>
      </w:r>
      <w:r>
        <w:rPr>
          <w:rFonts w:ascii="Times New Roman" w:hAnsi="Times New Roman" w:eastAsia="Times New Roman" w:cs="Times New Roman"/>
          <w:spacing w:val="37"/>
          <w:sz w:val="24"/>
          <w:szCs w:val="24"/>
        </w:rPr>
        <w:t xml:space="preserve"> </w:t>
      </w:r>
      <w:r>
        <w:rPr>
          <w:rFonts w:ascii="宋体" w:hAnsi="宋体" w:eastAsia="宋体" w:cs="宋体"/>
          <w:spacing w:val="-3"/>
          <w:sz w:val="24"/>
          <w:szCs w:val="24"/>
        </w:rPr>
        <w:t>以外方可达到“交通干线道路两侧”昼间</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75</w:t>
      </w:r>
      <w:r>
        <w:rPr>
          <w:rFonts w:ascii="Times New Roman" w:hAnsi="Times New Roman" w:eastAsia="Times New Roman" w:cs="Times New Roman"/>
          <w:spacing w:val="-4"/>
          <w:sz w:val="24"/>
          <w:szCs w:val="24"/>
        </w:rPr>
        <w:t>dB</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的要</w:t>
      </w:r>
    </w:p>
    <w:p>
      <w:pPr>
        <w:spacing w:before="1" w:line="219" w:lineRule="auto"/>
        <w:ind w:left="40"/>
        <w:rPr>
          <w:rFonts w:ascii="宋体" w:hAnsi="宋体" w:eastAsia="宋体" w:cs="宋体"/>
          <w:sz w:val="24"/>
          <w:szCs w:val="24"/>
        </w:rPr>
      </w:pPr>
      <w:r>
        <w:rPr>
          <w:rFonts w:ascii="宋体" w:hAnsi="宋体" w:eastAsia="宋体" w:cs="宋体"/>
          <w:spacing w:val="-7"/>
          <w:sz w:val="24"/>
          <w:szCs w:val="24"/>
        </w:rPr>
        <w:t>求，</w:t>
      </w:r>
      <w:r>
        <w:rPr>
          <w:rFonts w:ascii="宋体" w:hAnsi="宋体" w:eastAsia="宋体" w:cs="宋体"/>
          <w:spacing w:val="-23"/>
          <w:sz w:val="24"/>
          <w:szCs w:val="24"/>
        </w:rPr>
        <w:t xml:space="preserve"> </w:t>
      </w:r>
      <w:r>
        <w:rPr>
          <w:rFonts w:ascii="Times New Roman" w:hAnsi="Times New Roman" w:eastAsia="Times New Roman" w:cs="Times New Roman"/>
          <w:spacing w:val="-7"/>
          <w:sz w:val="24"/>
          <w:szCs w:val="24"/>
        </w:rPr>
        <w:t>40m</w:t>
      </w:r>
      <w:r>
        <w:rPr>
          <w:rFonts w:ascii="Times New Roman" w:hAnsi="Times New Roman" w:eastAsia="Times New Roman" w:cs="Times New Roman"/>
          <w:spacing w:val="37"/>
          <w:sz w:val="24"/>
          <w:szCs w:val="24"/>
        </w:rPr>
        <w:t xml:space="preserve"> </w:t>
      </w:r>
      <w:r>
        <w:rPr>
          <w:rFonts w:ascii="宋体" w:hAnsi="宋体" w:eastAsia="宋体" w:cs="宋体"/>
          <w:spacing w:val="-7"/>
          <w:sz w:val="24"/>
          <w:szCs w:val="24"/>
        </w:rPr>
        <w:t>以外方可达到“居住、文教区”昼间</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70dB</w:t>
      </w:r>
      <w:r>
        <w:rPr>
          <w:rFonts w:ascii="Times New Roman" w:hAnsi="Times New Roman" w:eastAsia="Times New Roman" w:cs="Times New Roman"/>
          <w:spacing w:val="30"/>
          <w:sz w:val="24"/>
          <w:szCs w:val="24"/>
        </w:rPr>
        <w:t xml:space="preserve"> </w:t>
      </w:r>
      <w:r>
        <w:rPr>
          <w:rFonts w:ascii="宋体" w:hAnsi="宋体" w:eastAsia="宋体" w:cs="宋体"/>
          <w:spacing w:val="-7"/>
          <w:sz w:val="24"/>
          <w:szCs w:val="24"/>
        </w:rPr>
        <w:t>的要求。</w:t>
      </w:r>
    </w:p>
    <w:p>
      <w:pPr>
        <w:spacing w:before="181" w:line="359" w:lineRule="auto"/>
        <w:ind w:left="38" w:right="28" w:firstLine="480"/>
        <w:rPr>
          <w:rFonts w:ascii="宋体" w:hAnsi="宋体" w:eastAsia="宋体" w:cs="宋体"/>
          <w:sz w:val="24"/>
          <w:szCs w:val="24"/>
        </w:rPr>
      </w:pPr>
      <w:r>
        <w:rPr>
          <w:rFonts w:ascii="宋体" w:hAnsi="宋体" w:eastAsia="宋体" w:cs="宋体"/>
          <w:spacing w:val="-3"/>
          <w:sz w:val="24"/>
          <w:szCs w:val="24"/>
        </w:rPr>
        <w:t>通过施工现场的调查，除部分区域外施工机械一般距</w:t>
      </w:r>
      <w:r>
        <w:rPr>
          <w:rFonts w:ascii="宋体" w:hAnsi="宋体" w:eastAsia="宋体" w:cs="宋体"/>
          <w:spacing w:val="-4"/>
          <w:sz w:val="24"/>
          <w:szCs w:val="24"/>
        </w:rPr>
        <w:t>施工场地围护结构有</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20m </w:t>
      </w:r>
      <w:r>
        <w:rPr>
          <w:rFonts w:ascii="宋体" w:hAnsi="宋体" w:eastAsia="宋体" w:cs="宋体"/>
          <w:spacing w:val="-4"/>
          <w:sz w:val="24"/>
          <w:szCs w:val="24"/>
        </w:rPr>
        <w:t>左右</w:t>
      </w:r>
      <w:r>
        <w:rPr>
          <w:rFonts w:ascii="宋体" w:hAnsi="宋体" w:eastAsia="宋体" w:cs="宋体"/>
          <w:sz w:val="24"/>
          <w:szCs w:val="24"/>
        </w:rPr>
        <w:t xml:space="preserve"> </w:t>
      </w:r>
      <w:r>
        <w:rPr>
          <w:rFonts w:ascii="宋体" w:hAnsi="宋体" w:eastAsia="宋体" w:cs="宋体"/>
          <w:spacing w:val="-15"/>
          <w:sz w:val="24"/>
          <w:szCs w:val="24"/>
        </w:rPr>
        <w:t>的衰减距离，</w:t>
      </w:r>
      <w:r>
        <w:rPr>
          <w:rFonts w:ascii="宋体" w:hAnsi="宋体" w:eastAsia="宋体" w:cs="宋体"/>
          <w:spacing w:val="45"/>
          <w:sz w:val="24"/>
          <w:szCs w:val="24"/>
        </w:rPr>
        <w:t xml:space="preserve"> </w:t>
      </w:r>
      <w:r>
        <w:rPr>
          <w:rFonts w:ascii="宋体" w:hAnsi="宋体" w:eastAsia="宋体" w:cs="宋体"/>
          <w:spacing w:val="-15"/>
          <w:sz w:val="24"/>
          <w:szCs w:val="24"/>
        </w:rPr>
        <w:t>振动传播又具有传播衰减较快的特点，</w:t>
      </w:r>
      <w:r>
        <w:rPr>
          <w:rFonts w:ascii="宋体" w:hAnsi="宋体" w:eastAsia="宋体" w:cs="宋体"/>
          <w:spacing w:val="65"/>
          <w:sz w:val="24"/>
          <w:szCs w:val="24"/>
        </w:rPr>
        <w:t xml:space="preserve"> </w:t>
      </w:r>
      <w:r>
        <w:rPr>
          <w:rFonts w:ascii="宋体" w:hAnsi="宋体" w:eastAsia="宋体" w:cs="宋体"/>
          <w:spacing w:val="-15"/>
          <w:sz w:val="24"/>
          <w:szCs w:val="24"/>
        </w:rPr>
        <w:t>因此只要合理布</w:t>
      </w:r>
      <w:r>
        <w:rPr>
          <w:rFonts w:ascii="宋体" w:hAnsi="宋体" w:eastAsia="宋体" w:cs="宋体"/>
          <w:spacing w:val="-16"/>
          <w:sz w:val="24"/>
          <w:szCs w:val="24"/>
        </w:rPr>
        <w:t>局施工场地，</w:t>
      </w:r>
      <w:r>
        <w:rPr>
          <w:rFonts w:ascii="宋体" w:hAnsi="宋体" w:eastAsia="宋体" w:cs="宋体"/>
          <w:spacing w:val="47"/>
          <w:sz w:val="24"/>
          <w:szCs w:val="24"/>
        </w:rPr>
        <w:t xml:space="preserve"> </w:t>
      </w:r>
      <w:r>
        <w:rPr>
          <w:rFonts w:ascii="宋体" w:hAnsi="宋体" w:eastAsia="宋体" w:cs="宋体"/>
          <w:spacing w:val="-16"/>
          <w:sz w:val="24"/>
          <w:szCs w:val="24"/>
        </w:rPr>
        <w:t>使得</w:t>
      </w:r>
      <w:r>
        <w:rPr>
          <w:rFonts w:ascii="宋体" w:hAnsi="宋体" w:eastAsia="宋体" w:cs="宋体"/>
          <w:sz w:val="24"/>
          <w:szCs w:val="24"/>
        </w:rPr>
        <w:t xml:space="preserve"> </w:t>
      </w:r>
      <w:r>
        <w:rPr>
          <w:rFonts w:ascii="宋体" w:hAnsi="宋体" w:eastAsia="宋体" w:cs="宋体"/>
          <w:spacing w:val="-1"/>
          <w:sz w:val="24"/>
          <w:szCs w:val="24"/>
        </w:rPr>
        <w:t>产生振动较大的施工机械远离居民区等敏感目标，并避免在夜间</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22:00 </w:t>
      </w:r>
      <w:r>
        <w:rPr>
          <w:rFonts w:ascii="宋体" w:hAnsi="宋体" w:eastAsia="宋体" w:cs="宋体"/>
          <w:spacing w:val="-1"/>
          <w:sz w:val="24"/>
          <w:szCs w:val="24"/>
        </w:rPr>
        <w:t>之后使用噪</w:t>
      </w:r>
      <w:r>
        <w:rPr>
          <w:rFonts w:ascii="宋体" w:hAnsi="宋体" w:eastAsia="宋体" w:cs="宋体"/>
          <w:spacing w:val="-2"/>
          <w:sz w:val="24"/>
          <w:szCs w:val="24"/>
        </w:rPr>
        <w:t>声、</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振动值较大的机械设备，则施工期的振动影响是可控的。</w:t>
      </w:r>
    </w:p>
    <w:p>
      <w:pPr>
        <w:spacing w:line="218" w:lineRule="auto"/>
        <w:rPr>
          <w:rFonts w:ascii="宋体" w:hAnsi="宋体" w:eastAsia="宋体" w:cs="宋体"/>
          <w:sz w:val="24"/>
          <w:szCs w:val="24"/>
        </w:rPr>
        <w:sectPr>
          <w:headerReference r:id="rId255" w:type="default"/>
          <w:footerReference r:id="rId256" w:type="default"/>
          <w:pgSz w:w="11907" w:h="16839"/>
          <w:pgMar w:top="1118" w:right="1387" w:bottom="1072" w:left="1387" w:header="877" w:footer="911" w:gutter="0"/>
          <w:cols w:space="720" w:num="1"/>
        </w:sectPr>
      </w:pPr>
    </w:p>
    <w:p>
      <w:pPr>
        <w:pStyle w:val="2"/>
        <w:spacing w:line="312" w:lineRule="auto"/>
      </w:pPr>
    </w:p>
    <w:p>
      <w:pPr>
        <w:spacing w:before="78" w:line="359" w:lineRule="auto"/>
        <w:ind w:left="37" w:right="87" w:firstLine="480"/>
        <w:rPr>
          <w:rFonts w:ascii="宋体" w:hAnsi="宋体" w:eastAsia="宋体" w:cs="宋体"/>
          <w:sz w:val="24"/>
          <w:szCs w:val="24"/>
        </w:rPr>
      </w:pPr>
      <w:r>
        <w:rPr>
          <w:rFonts w:ascii="宋体" w:hAnsi="宋体" w:eastAsia="宋体" w:cs="宋体"/>
          <w:spacing w:val="-1"/>
          <w:sz w:val="24"/>
          <w:szCs w:val="24"/>
        </w:rPr>
        <w:t>施工机械振动不可避免的对施工场地距离较近的建筑造成影响。施工期应加强</w:t>
      </w:r>
      <w:r>
        <w:rPr>
          <w:rFonts w:ascii="宋体" w:hAnsi="宋体" w:eastAsia="宋体" w:cs="宋体"/>
          <w:spacing w:val="-2"/>
          <w:sz w:val="24"/>
          <w:szCs w:val="24"/>
        </w:rPr>
        <w:t xml:space="preserve">监  </w:t>
      </w:r>
      <w:r>
        <w:rPr>
          <w:rFonts w:ascii="宋体" w:hAnsi="宋体" w:eastAsia="宋体" w:cs="宋体"/>
          <w:spacing w:val="-12"/>
          <w:sz w:val="24"/>
          <w:szCs w:val="24"/>
        </w:rPr>
        <w:t>控，</w:t>
      </w:r>
      <w:r>
        <w:rPr>
          <w:rFonts w:ascii="宋体" w:hAnsi="宋体" w:eastAsia="宋体" w:cs="宋体"/>
          <w:spacing w:val="-45"/>
          <w:sz w:val="24"/>
          <w:szCs w:val="24"/>
        </w:rPr>
        <w:t xml:space="preserve"> </w:t>
      </w:r>
      <w:r>
        <w:rPr>
          <w:rFonts w:ascii="宋体" w:hAnsi="宋体" w:eastAsia="宋体" w:cs="宋体"/>
          <w:spacing w:val="-12"/>
          <w:sz w:val="24"/>
          <w:szCs w:val="24"/>
        </w:rPr>
        <w:t>采取开挖隔振沟等临时性防护措施，</w:t>
      </w:r>
      <w:r>
        <w:rPr>
          <w:rFonts w:ascii="宋体" w:hAnsi="宋体" w:eastAsia="宋体" w:cs="宋体"/>
          <w:spacing w:val="46"/>
          <w:sz w:val="24"/>
          <w:szCs w:val="24"/>
        </w:rPr>
        <w:t xml:space="preserve"> </w:t>
      </w:r>
      <w:r>
        <w:rPr>
          <w:rFonts w:ascii="宋体" w:hAnsi="宋体" w:eastAsia="宋体" w:cs="宋体"/>
          <w:spacing w:val="-12"/>
          <w:sz w:val="24"/>
          <w:szCs w:val="24"/>
        </w:rPr>
        <w:t>减少因施工振动引</w:t>
      </w:r>
      <w:r>
        <w:rPr>
          <w:rFonts w:ascii="宋体" w:hAnsi="宋体" w:eastAsia="宋体" w:cs="宋体"/>
          <w:spacing w:val="-13"/>
          <w:sz w:val="24"/>
          <w:szCs w:val="24"/>
        </w:rPr>
        <w:t>起的路面沉降，</w:t>
      </w:r>
      <w:r>
        <w:rPr>
          <w:rFonts w:ascii="宋体" w:hAnsi="宋体" w:eastAsia="宋体" w:cs="宋体"/>
          <w:spacing w:val="47"/>
          <w:sz w:val="24"/>
          <w:szCs w:val="24"/>
        </w:rPr>
        <w:t xml:space="preserve"> </w:t>
      </w:r>
      <w:r>
        <w:rPr>
          <w:rFonts w:ascii="宋体" w:hAnsi="宋体" w:eastAsia="宋体" w:cs="宋体"/>
          <w:spacing w:val="-13"/>
          <w:sz w:val="24"/>
          <w:szCs w:val="24"/>
        </w:rPr>
        <w:t>而引发房屋</w:t>
      </w:r>
    </w:p>
    <w:p>
      <w:pPr>
        <w:spacing w:line="219" w:lineRule="auto"/>
        <w:ind w:left="39"/>
        <w:rPr>
          <w:rFonts w:ascii="宋体" w:hAnsi="宋体" w:eastAsia="宋体" w:cs="宋体"/>
          <w:sz w:val="24"/>
          <w:szCs w:val="24"/>
        </w:rPr>
      </w:pPr>
      <w:r>
        <w:rPr>
          <w:rFonts w:ascii="宋体" w:hAnsi="宋体" w:eastAsia="宋体" w:cs="宋体"/>
          <w:spacing w:val="-7"/>
          <w:sz w:val="24"/>
          <w:szCs w:val="24"/>
        </w:rPr>
        <w:t>开裂等情况。</w:t>
      </w:r>
    </w:p>
    <w:p>
      <w:pPr>
        <w:spacing w:before="182" w:line="466" w:lineRule="exact"/>
        <w:ind w:left="519"/>
        <w:rPr>
          <w:rFonts w:ascii="宋体" w:hAnsi="宋体" w:eastAsia="宋体" w:cs="宋体"/>
          <w:sz w:val="24"/>
          <w:szCs w:val="24"/>
        </w:rPr>
      </w:pPr>
      <w:r>
        <w:rPr>
          <w:rFonts w:ascii="宋体" w:hAnsi="宋体" w:eastAsia="宋体" w:cs="宋体"/>
          <w:spacing w:val="-17"/>
          <w:position w:val="17"/>
          <w:sz w:val="24"/>
          <w:szCs w:val="24"/>
        </w:rPr>
        <w:t>本项目桥梁施工过程中，</w:t>
      </w:r>
      <w:r>
        <w:rPr>
          <w:rFonts w:ascii="宋体" w:hAnsi="宋体" w:eastAsia="宋体" w:cs="宋体"/>
          <w:spacing w:val="59"/>
          <w:position w:val="17"/>
          <w:sz w:val="24"/>
          <w:szCs w:val="24"/>
        </w:rPr>
        <w:t xml:space="preserve"> </w:t>
      </w:r>
      <w:r>
        <w:rPr>
          <w:rFonts w:ascii="宋体" w:hAnsi="宋体" w:eastAsia="宋体" w:cs="宋体"/>
          <w:spacing w:val="-17"/>
          <w:position w:val="17"/>
          <w:sz w:val="24"/>
          <w:szCs w:val="24"/>
        </w:rPr>
        <w:t>桥梁基础一般采用钻孔灌注桩，</w:t>
      </w:r>
      <w:r>
        <w:rPr>
          <w:rFonts w:ascii="宋体" w:hAnsi="宋体" w:eastAsia="宋体" w:cs="宋体"/>
          <w:spacing w:val="51"/>
          <w:position w:val="17"/>
          <w:sz w:val="24"/>
          <w:szCs w:val="24"/>
        </w:rPr>
        <w:t xml:space="preserve"> </w:t>
      </w:r>
      <w:r>
        <w:rPr>
          <w:rFonts w:ascii="宋体" w:hAnsi="宋体" w:eastAsia="宋体" w:cs="宋体"/>
          <w:spacing w:val="-17"/>
          <w:position w:val="17"/>
          <w:sz w:val="24"/>
          <w:szCs w:val="24"/>
        </w:rPr>
        <w:t>技术成熟， 振动小， 施工</w:t>
      </w:r>
    </w:p>
    <w:p>
      <w:pPr>
        <w:spacing w:before="1" w:line="218" w:lineRule="auto"/>
        <w:ind w:left="39"/>
        <w:rPr>
          <w:rFonts w:ascii="宋体" w:hAnsi="宋体" w:eastAsia="宋体" w:cs="宋体"/>
          <w:sz w:val="24"/>
          <w:szCs w:val="24"/>
        </w:rPr>
      </w:pPr>
      <w:r>
        <w:rPr>
          <w:rFonts w:ascii="宋体" w:hAnsi="宋体" w:eastAsia="宋体" w:cs="宋体"/>
          <w:spacing w:val="-3"/>
          <w:sz w:val="24"/>
          <w:szCs w:val="24"/>
        </w:rPr>
        <w:t>过程中产生的振动对附近敏感点影响较小。</w:t>
      </w:r>
    </w:p>
    <w:p>
      <w:pPr>
        <w:spacing w:before="183" w:line="466" w:lineRule="exact"/>
        <w:jc w:val="right"/>
        <w:rPr>
          <w:rFonts w:ascii="宋体" w:hAnsi="宋体" w:eastAsia="宋体" w:cs="宋体"/>
          <w:sz w:val="24"/>
          <w:szCs w:val="24"/>
        </w:rPr>
      </w:pPr>
      <w:r>
        <w:rPr>
          <w:rFonts w:ascii="宋体" w:hAnsi="宋体" w:eastAsia="宋体" w:cs="宋体"/>
          <w:spacing w:val="-12"/>
          <w:position w:val="17"/>
          <w:sz w:val="24"/>
          <w:szCs w:val="24"/>
        </w:rPr>
        <w:t>上述施工机械的振动影响具有短暂性的特点， 随着施工结束， 这类影响也随之消失。</w:t>
      </w:r>
    </w:p>
    <w:p>
      <w:pPr>
        <w:spacing w:line="219" w:lineRule="auto"/>
        <w:ind w:left="56"/>
        <w:rPr>
          <w:rFonts w:ascii="宋体" w:hAnsi="宋体" w:eastAsia="宋体" w:cs="宋体"/>
          <w:sz w:val="24"/>
          <w:szCs w:val="24"/>
        </w:rPr>
      </w:pPr>
      <w:r>
        <w:rPr>
          <w:rFonts w:ascii="宋体" w:hAnsi="宋体" w:eastAsia="宋体" w:cs="宋体"/>
          <w:spacing w:val="-2"/>
          <w:sz w:val="24"/>
          <w:szCs w:val="24"/>
        </w:rPr>
        <w:t>因此施工期振动影响将十分轻微，并且随着施工结束，这类影响也随之消失。</w:t>
      </w:r>
    </w:p>
    <w:p>
      <w:pPr>
        <w:spacing w:before="183" w:line="218" w:lineRule="auto"/>
        <w:ind w:left="40"/>
        <w:rPr>
          <w:rFonts w:ascii="宋体" w:hAnsi="宋体" w:eastAsia="宋体" w:cs="宋体"/>
          <w:sz w:val="24"/>
          <w:szCs w:val="24"/>
        </w:rPr>
      </w:pPr>
      <w:r>
        <w:fldChar w:fldCharType="begin"/>
      </w:r>
      <w:r>
        <w:instrText xml:space="preserve"> HYPERLINK "5.3.1.4" </w:instrText>
      </w:r>
      <w:r>
        <w:fldChar w:fldCharType="separate"/>
      </w:r>
      <w:r>
        <w:rPr>
          <w:rFonts w:ascii="Times New Roman" w:hAnsi="Times New Roman" w:eastAsia="Times New Roman" w:cs="Times New Roman"/>
          <w:spacing w:val="-1"/>
          <w:sz w:val="24"/>
          <w:szCs w:val="24"/>
        </w:rPr>
        <w:t>5.3.1.4</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爆破振动影响分析</w:t>
      </w:r>
    </w:p>
    <w:p>
      <w:pPr>
        <w:spacing w:before="182" w:line="359" w:lineRule="auto"/>
        <w:ind w:left="37" w:right="85" w:firstLine="480"/>
        <w:rPr>
          <w:rFonts w:ascii="宋体" w:hAnsi="宋体" w:eastAsia="宋体" w:cs="宋体"/>
          <w:sz w:val="24"/>
          <w:szCs w:val="24"/>
        </w:rPr>
      </w:pPr>
      <w:r>
        <w:rPr>
          <w:rFonts w:ascii="宋体" w:hAnsi="宋体" w:eastAsia="宋体" w:cs="宋体"/>
          <w:spacing w:val="-9"/>
          <w:sz w:val="24"/>
          <w:szCs w:val="24"/>
        </w:rPr>
        <w:t>根据《爆破安全规程》， 对于钢筋混凝土</w:t>
      </w:r>
      <w:r>
        <w:rPr>
          <w:rFonts w:ascii="宋体" w:hAnsi="宋体" w:eastAsia="宋体" w:cs="宋体"/>
          <w:spacing w:val="-10"/>
          <w:sz w:val="24"/>
          <w:szCs w:val="24"/>
        </w:rPr>
        <w:t>框架结构房屋，</w:t>
      </w:r>
      <w:r>
        <w:rPr>
          <w:rFonts w:ascii="宋体" w:hAnsi="宋体" w:eastAsia="宋体" w:cs="宋体"/>
          <w:spacing w:val="52"/>
          <w:sz w:val="24"/>
          <w:szCs w:val="24"/>
        </w:rPr>
        <w:t xml:space="preserve"> </w:t>
      </w:r>
      <w:r>
        <w:rPr>
          <w:rFonts w:ascii="宋体" w:hAnsi="宋体" w:eastAsia="宋体" w:cs="宋体"/>
          <w:spacing w:val="-10"/>
          <w:sz w:val="24"/>
          <w:szCs w:val="24"/>
        </w:rPr>
        <w:t>其安全振动速度允许值不</w:t>
      </w:r>
      <w:r>
        <w:rPr>
          <w:rFonts w:ascii="宋体" w:hAnsi="宋体" w:eastAsia="宋体" w:cs="宋体"/>
          <w:sz w:val="24"/>
          <w:szCs w:val="24"/>
        </w:rPr>
        <w:t xml:space="preserve"> </w:t>
      </w:r>
      <w:r>
        <w:rPr>
          <w:rFonts w:ascii="宋体" w:hAnsi="宋体" w:eastAsia="宋体" w:cs="宋体"/>
          <w:spacing w:val="-1"/>
          <w:sz w:val="24"/>
          <w:szCs w:val="24"/>
        </w:rPr>
        <w:t xml:space="preserve">超过 </w:t>
      </w:r>
      <w:r>
        <w:rPr>
          <w:rFonts w:ascii="Times New Roman" w:hAnsi="Times New Roman" w:eastAsia="Times New Roman" w:cs="Times New Roman"/>
          <w:spacing w:val="-1"/>
          <w:sz w:val="24"/>
          <w:szCs w:val="24"/>
        </w:rPr>
        <w:t>5cm/s</w:t>
      </w:r>
      <w:r>
        <w:rPr>
          <w:rFonts w:ascii="宋体" w:hAnsi="宋体" w:eastAsia="宋体" w:cs="宋体"/>
          <w:spacing w:val="-1"/>
          <w:sz w:val="24"/>
          <w:szCs w:val="24"/>
        </w:rPr>
        <w:t>；对于一般砖房、非抗震的大型砖块建筑物，其安全振动速度允许值不超过</w:t>
      </w:r>
    </w:p>
    <w:p>
      <w:pPr>
        <w:spacing w:line="218" w:lineRule="auto"/>
        <w:ind w:left="38"/>
        <w:rPr>
          <w:rFonts w:ascii="宋体" w:hAnsi="宋体" w:eastAsia="宋体" w:cs="宋体"/>
          <w:sz w:val="24"/>
          <w:szCs w:val="24"/>
        </w:rPr>
      </w:pPr>
      <w:r>
        <w:rPr>
          <w:rFonts w:ascii="Times New Roman" w:hAnsi="Times New Roman" w:eastAsia="Times New Roman" w:cs="Times New Roman"/>
          <w:spacing w:val="-3"/>
          <w:sz w:val="24"/>
          <w:szCs w:val="24"/>
        </w:rPr>
        <w:t>3cm/s</w:t>
      </w:r>
      <w:r>
        <w:rPr>
          <w:rFonts w:ascii="宋体" w:hAnsi="宋体" w:eastAsia="宋体" w:cs="宋体"/>
          <w:spacing w:val="-3"/>
          <w:sz w:val="24"/>
          <w:szCs w:val="24"/>
        </w:rPr>
        <w:t>。爆破振动对建筑物的影响程度按下式计算：</w:t>
      </w:r>
    </w:p>
    <w:p>
      <w:pPr>
        <w:spacing w:before="222" w:line="183" w:lineRule="auto"/>
        <w:ind w:left="51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R</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(K/V)/αQ1/3</w:t>
      </w:r>
    </w:p>
    <w:p>
      <w:pPr>
        <w:spacing w:before="193" w:line="234" w:lineRule="auto"/>
        <w:ind w:left="522"/>
        <w:rPr>
          <w:rFonts w:ascii="宋体" w:hAnsi="宋体" w:eastAsia="宋体" w:cs="宋体"/>
          <w:sz w:val="24"/>
          <w:szCs w:val="24"/>
        </w:rPr>
      </w:pPr>
      <w:r>
        <w:rPr>
          <w:rFonts w:ascii="宋体" w:hAnsi="宋体" w:eastAsia="宋体" w:cs="宋体"/>
          <w:spacing w:val="-19"/>
          <w:sz w:val="24"/>
          <w:szCs w:val="24"/>
        </w:rPr>
        <w:t xml:space="preserve">式中： </w:t>
      </w:r>
      <w:r>
        <w:rPr>
          <w:rFonts w:ascii="Times New Roman" w:hAnsi="Times New Roman" w:eastAsia="Times New Roman" w:cs="Times New Roman"/>
          <w:spacing w:val="-19"/>
          <w:sz w:val="24"/>
          <w:szCs w:val="24"/>
        </w:rPr>
        <w:t>R—</w:t>
      </w:r>
      <w:r>
        <w:rPr>
          <w:rFonts w:ascii="宋体" w:hAnsi="宋体" w:eastAsia="宋体" w:cs="宋体"/>
          <w:spacing w:val="-19"/>
          <w:sz w:val="24"/>
          <w:szCs w:val="24"/>
        </w:rPr>
        <w:t>保证振动安全距离，</w:t>
      </w:r>
      <w:r>
        <w:rPr>
          <w:rFonts w:ascii="宋体" w:hAnsi="宋体" w:eastAsia="宋体" w:cs="宋体"/>
          <w:spacing w:val="69"/>
          <w:sz w:val="24"/>
          <w:szCs w:val="24"/>
        </w:rPr>
        <w:t xml:space="preserve"> </w:t>
      </w:r>
      <w:r>
        <w:rPr>
          <w:rFonts w:ascii="Times New Roman" w:hAnsi="Times New Roman" w:eastAsia="Times New Roman" w:cs="Times New Roman"/>
          <w:spacing w:val="-19"/>
          <w:sz w:val="24"/>
          <w:szCs w:val="24"/>
        </w:rPr>
        <w:t>m</w:t>
      </w:r>
      <w:r>
        <w:rPr>
          <w:rFonts w:ascii="宋体" w:hAnsi="宋体" w:eastAsia="宋体" w:cs="宋体"/>
          <w:spacing w:val="-19"/>
          <w:sz w:val="24"/>
          <w:szCs w:val="24"/>
        </w:rPr>
        <w:t>；</w:t>
      </w:r>
    </w:p>
    <w:p>
      <w:pPr>
        <w:spacing w:before="161" w:line="212" w:lineRule="auto"/>
        <w:ind w:left="517"/>
        <w:rPr>
          <w:rFonts w:ascii="宋体" w:hAnsi="宋体" w:eastAsia="宋体" w:cs="宋体"/>
          <w:sz w:val="24"/>
          <w:szCs w:val="24"/>
        </w:rPr>
      </w:pPr>
      <w:r>
        <w:rPr>
          <w:rFonts w:ascii="Times New Roman" w:hAnsi="Times New Roman" w:eastAsia="Times New Roman" w:cs="Times New Roman"/>
          <w:spacing w:val="-16"/>
          <w:sz w:val="24"/>
          <w:szCs w:val="24"/>
        </w:rPr>
        <w:t>Q—</w:t>
      </w:r>
      <w:r>
        <w:rPr>
          <w:rFonts w:ascii="宋体" w:hAnsi="宋体" w:eastAsia="宋体" w:cs="宋体"/>
          <w:spacing w:val="-16"/>
          <w:sz w:val="24"/>
          <w:szCs w:val="24"/>
        </w:rPr>
        <w:t>炸药量，</w:t>
      </w:r>
      <w:r>
        <w:rPr>
          <w:rFonts w:ascii="宋体" w:hAnsi="宋体" w:eastAsia="宋体" w:cs="宋体"/>
          <w:spacing w:val="13"/>
          <w:sz w:val="24"/>
          <w:szCs w:val="24"/>
        </w:rPr>
        <w:t xml:space="preserve"> </w:t>
      </w:r>
      <w:r>
        <w:rPr>
          <w:rFonts w:ascii="Times New Roman" w:hAnsi="Times New Roman" w:eastAsia="Times New Roman" w:cs="Times New Roman"/>
          <w:spacing w:val="-16"/>
          <w:sz w:val="24"/>
          <w:szCs w:val="24"/>
        </w:rPr>
        <w:t>kg</w:t>
      </w:r>
      <w:r>
        <w:rPr>
          <w:rFonts w:ascii="宋体" w:hAnsi="宋体" w:eastAsia="宋体" w:cs="宋体"/>
          <w:spacing w:val="-16"/>
          <w:sz w:val="24"/>
          <w:szCs w:val="24"/>
        </w:rPr>
        <w:t>；</w:t>
      </w:r>
    </w:p>
    <w:p>
      <w:pPr>
        <w:spacing w:before="193" w:line="233" w:lineRule="auto"/>
        <w:ind w:left="510"/>
        <w:rPr>
          <w:rFonts w:ascii="宋体" w:hAnsi="宋体" w:eastAsia="宋体" w:cs="宋体"/>
          <w:sz w:val="24"/>
          <w:szCs w:val="24"/>
        </w:rPr>
      </w:pPr>
      <w:r>
        <w:rPr>
          <w:rFonts w:ascii="Times New Roman" w:hAnsi="Times New Roman" w:eastAsia="Times New Roman" w:cs="Times New Roman"/>
          <w:spacing w:val="-8"/>
          <w:sz w:val="24"/>
          <w:szCs w:val="24"/>
        </w:rPr>
        <w:t>V—</w:t>
      </w:r>
      <w:r>
        <w:rPr>
          <w:rFonts w:ascii="宋体" w:hAnsi="宋体" w:eastAsia="宋体" w:cs="宋体"/>
          <w:spacing w:val="-8"/>
          <w:sz w:val="24"/>
          <w:szCs w:val="24"/>
        </w:rPr>
        <w:t>保护对象所在地质点振动安全允许速度，</w:t>
      </w:r>
      <w:r>
        <w:rPr>
          <w:rFonts w:ascii="宋体" w:hAnsi="宋体" w:eastAsia="宋体" w:cs="宋体"/>
          <w:spacing w:val="77"/>
          <w:sz w:val="24"/>
          <w:szCs w:val="24"/>
        </w:rPr>
        <w:t xml:space="preserve"> </w:t>
      </w:r>
      <w:r>
        <w:rPr>
          <w:rFonts w:ascii="Times New Roman" w:hAnsi="Times New Roman" w:eastAsia="Times New Roman" w:cs="Times New Roman"/>
          <w:spacing w:val="-8"/>
          <w:sz w:val="24"/>
          <w:szCs w:val="24"/>
        </w:rPr>
        <w:t>cm/s</w:t>
      </w:r>
      <w:r>
        <w:rPr>
          <w:rFonts w:ascii="宋体" w:hAnsi="宋体" w:eastAsia="宋体" w:cs="宋体"/>
          <w:spacing w:val="-8"/>
          <w:sz w:val="24"/>
          <w:szCs w:val="24"/>
        </w:rPr>
        <w:t>；</w:t>
      </w:r>
    </w:p>
    <w:p>
      <w:pPr>
        <w:spacing w:before="163" w:line="468" w:lineRule="exact"/>
        <w:ind w:left="512"/>
        <w:rPr>
          <w:rFonts w:ascii="宋体" w:hAnsi="宋体" w:eastAsia="宋体" w:cs="宋体"/>
          <w:sz w:val="24"/>
          <w:szCs w:val="24"/>
        </w:rPr>
      </w:pPr>
      <w:r>
        <w:rPr>
          <w:rFonts w:ascii="Times New Roman" w:hAnsi="Times New Roman" w:eastAsia="Times New Roman" w:cs="Times New Roman"/>
          <w:spacing w:val="-7"/>
          <w:position w:val="16"/>
          <w:sz w:val="24"/>
          <w:szCs w:val="24"/>
        </w:rPr>
        <w:t>K</w:t>
      </w:r>
      <w:r>
        <w:rPr>
          <w:rFonts w:ascii="宋体" w:hAnsi="宋体" w:eastAsia="宋体" w:cs="宋体"/>
          <w:spacing w:val="-7"/>
          <w:position w:val="16"/>
          <w:sz w:val="24"/>
          <w:szCs w:val="24"/>
        </w:rPr>
        <w:t>、</w:t>
      </w:r>
      <w:r>
        <w:rPr>
          <w:rFonts w:ascii="Times New Roman" w:hAnsi="Times New Roman" w:eastAsia="Times New Roman" w:cs="Times New Roman"/>
          <w:spacing w:val="-7"/>
          <w:position w:val="16"/>
          <w:sz w:val="24"/>
          <w:szCs w:val="24"/>
        </w:rPr>
        <w:t>α—</w:t>
      </w:r>
      <w:r>
        <w:rPr>
          <w:rFonts w:ascii="宋体" w:hAnsi="宋体" w:eastAsia="宋体" w:cs="宋体"/>
          <w:spacing w:val="-7"/>
          <w:position w:val="16"/>
          <w:sz w:val="24"/>
          <w:szCs w:val="24"/>
        </w:rPr>
        <w:t>与爆破点至计算保护对象间的地形、地质条件有关的系数和衰减指数，</w:t>
      </w:r>
      <w:r>
        <w:rPr>
          <w:rFonts w:ascii="宋体" w:hAnsi="宋体" w:eastAsia="宋体" w:cs="宋体"/>
          <w:spacing w:val="32"/>
          <w:position w:val="16"/>
          <w:sz w:val="24"/>
          <w:szCs w:val="24"/>
        </w:rPr>
        <w:t xml:space="preserve"> </w:t>
      </w:r>
      <w:r>
        <w:rPr>
          <w:rFonts w:ascii="宋体" w:hAnsi="宋体" w:eastAsia="宋体" w:cs="宋体"/>
          <w:spacing w:val="-7"/>
          <w:position w:val="16"/>
          <w:sz w:val="24"/>
          <w:szCs w:val="24"/>
        </w:rPr>
        <w:t>可从</w:t>
      </w:r>
    </w:p>
    <w:p>
      <w:pPr>
        <w:spacing w:line="218" w:lineRule="auto"/>
        <w:ind w:left="39"/>
        <w:rPr>
          <w:rFonts w:ascii="宋体" w:hAnsi="宋体" w:eastAsia="宋体" w:cs="宋体"/>
          <w:sz w:val="24"/>
          <w:szCs w:val="24"/>
        </w:rPr>
      </w:pPr>
      <w:r>
        <w:rPr>
          <w:rFonts w:ascii="宋体" w:hAnsi="宋体" w:eastAsia="宋体" w:cs="宋体"/>
          <w:spacing w:val="-2"/>
          <w:sz w:val="24"/>
          <w:szCs w:val="24"/>
        </w:rPr>
        <w:t>《爆破安全规程》中查阅或通过现场试验确</w:t>
      </w:r>
      <w:r>
        <w:rPr>
          <w:rFonts w:ascii="宋体" w:hAnsi="宋体" w:eastAsia="宋体" w:cs="宋体"/>
          <w:spacing w:val="-3"/>
          <w:sz w:val="24"/>
          <w:szCs w:val="24"/>
        </w:rPr>
        <w:t>定。</w:t>
      </w:r>
    </w:p>
    <w:p>
      <w:pPr>
        <w:spacing w:before="185" w:line="359" w:lineRule="auto"/>
        <w:ind w:left="37" w:right="71" w:firstLine="480"/>
        <w:rPr>
          <w:rFonts w:ascii="宋体" w:hAnsi="宋体" w:eastAsia="宋体" w:cs="宋体"/>
          <w:sz w:val="24"/>
          <w:szCs w:val="24"/>
        </w:rPr>
      </w:pPr>
      <w:r>
        <w:rPr>
          <w:rFonts w:ascii="宋体" w:hAnsi="宋体" w:eastAsia="宋体" w:cs="宋体"/>
          <w:spacing w:val="-6"/>
          <w:sz w:val="24"/>
          <w:szCs w:val="24"/>
        </w:rPr>
        <w:t>爆破振动安全距离与爆破点的地形、地质条件和炸药用量有</w:t>
      </w:r>
      <w:r>
        <w:rPr>
          <w:rFonts w:ascii="宋体" w:hAnsi="宋体" w:eastAsia="宋体" w:cs="宋体"/>
          <w:spacing w:val="-7"/>
          <w:sz w:val="24"/>
          <w:szCs w:val="24"/>
        </w:rPr>
        <w:t>关。经初步估算，</w:t>
      </w:r>
      <w:r>
        <w:rPr>
          <w:rFonts w:ascii="宋体" w:hAnsi="宋体" w:eastAsia="宋体" w:cs="宋体"/>
          <w:spacing w:val="45"/>
          <w:sz w:val="24"/>
          <w:szCs w:val="24"/>
        </w:rPr>
        <w:t xml:space="preserve"> </w:t>
      </w:r>
      <w:r>
        <w:rPr>
          <w:rFonts w:ascii="宋体" w:hAnsi="宋体" w:eastAsia="宋体" w:cs="宋体"/>
          <w:spacing w:val="-7"/>
          <w:sz w:val="24"/>
          <w:szCs w:val="24"/>
        </w:rPr>
        <w:t>对于</w:t>
      </w:r>
      <w:r>
        <w:rPr>
          <w:rFonts w:ascii="宋体" w:hAnsi="宋体" w:eastAsia="宋体" w:cs="宋体"/>
          <w:sz w:val="24"/>
          <w:szCs w:val="24"/>
        </w:rPr>
        <w:t xml:space="preserve"> </w:t>
      </w:r>
      <w:r>
        <w:rPr>
          <w:rFonts w:ascii="宋体" w:hAnsi="宋体" w:eastAsia="宋体" w:cs="宋体"/>
          <w:spacing w:val="-9"/>
          <w:sz w:val="24"/>
          <w:szCs w:val="24"/>
        </w:rPr>
        <w:t>中硬岩石， 只要采用重量小于</w:t>
      </w:r>
      <w:r>
        <w:rPr>
          <w:rFonts w:ascii="宋体" w:hAnsi="宋体" w:eastAsia="宋体" w:cs="宋体"/>
          <w:spacing w:val="-18"/>
          <w:sz w:val="24"/>
          <w:szCs w:val="24"/>
        </w:rPr>
        <w:t xml:space="preserve"> </w:t>
      </w:r>
      <w:r>
        <w:rPr>
          <w:rFonts w:ascii="Times New Roman" w:hAnsi="Times New Roman" w:eastAsia="Times New Roman" w:cs="Times New Roman"/>
          <w:spacing w:val="-9"/>
          <w:sz w:val="24"/>
          <w:szCs w:val="24"/>
        </w:rPr>
        <w:t>100kg</w:t>
      </w:r>
      <w:r>
        <w:rPr>
          <w:rFonts w:ascii="Times New Roman" w:hAnsi="Times New Roman" w:eastAsia="Times New Roman" w:cs="Times New Roman"/>
          <w:spacing w:val="29"/>
          <w:sz w:val="24"/>
          <w:szCs w:val="24"/>
        </w:rPr>
        <w:t xml:space="preserve"> </w:t>
      </w:r>
      <w:r>
        <w:rPr>
          <w:rFonts w:ascii="宋体" w:hAnsi="宋体" w:eastAsia="宋体" w:cs="宋体"/>
          <w:spacing w:val="-9"/>
          <w:sz w:val="24"/>
          <w:szCs w:val="24"/>
        </w:rPr>
        <w:t>的炸药包， 其振动影响范围即可小于</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90m</w:t>
      </w:r>
      <w:r>
        <w:rPr>
          <w:rFonts w:ascii="宋体" w:hAnsi="宋体" w:eastAsia="宋体" w:cs="宋体"/>
          <w:spacing w:val="-9"/>
          <w:sz w:val="24"/>
          <w:szCs w:val="24"/>
        </w:rPr>
        <w:t>。根据现</w:t>
      </w:r>
      <w:r>
        <w:rPr>
          <w:rFonts w:ascii="宋体" w:hAnsi="宋体" w:eastAsia="宋体" w:cs="宋体"/>
          <w:sz w:val="24"/>
          <w:szCs w:val="24"/>
        </w:rPr>
        <w:t xml:space="preserve"> </w:t>
      </w:r>
      <w:r>
        <w:rPr>
          <w:rFonts w:ascii="宋体" w:hAnsi="宋体" w:eastAsia="宋体" w:cs="宋体"/>
          <w:spacing w:val="-11"/>
          <w:sz w:val="24"/>
          <w:szCs w:val="24"/>
        </w:rPr>
        <w:t>场踏勘， 隧道口的居民房屋为一般的砖房，</w:t>
      </w:r>
      <w:r>
        <w:rPr>
          <w:rFonts w:ascii="宋体" w:hAnsi="宋体" w:eastAsia="宋体" w:cs="宋体"/>
          <w:spacing w:val="50"/>
          <w:sz w:val="24"/>
          <w:szCs w:val="24"/>
        </w:rPr>
        <w:t xml:space="preserve"> </w:t>
      </w:r>
      <w:r>
        <w:rPr>
          <w:rFonts w:ascii="宋体" w:hAnsi="宋体" w:eastAsia="宋体" w:cs="宋体"/>
          <w:spacing w:val="-11"/>
          <w:sz w:val="24"/>
          <w:szCs w:val="24"/>
        </w:rPr>
        <w:t>抗震性能一般，</w:t>
      </w:r>
      <w:r>
        <w:rPr>
          <w:rFonts w:ascii="宋体" w:hAnsi="宋体" w:eastAsia="宋体" w:cs="宋体"/>
          <w:spacing w:val="-41"/>
          <w:sz w:val="24"/>
          <w:szCs w:val="24"/>
        </w:rPr>
        <w:t xml:space="preserve"> </w:t>
      </w:r>
      <w:r>
        <w:rPr>
          <w:rFonts w:ascii="宋体" w:hAnsi="宋体" w:eastAsia="宋体" w:cs="宋体"/>
          <w:spacing w:val="-11"/>
          <w:sz w:val="24"/>
          <w:szCs w:val="24"/>
        </w:rPr>
        <w:t>在工程隧道爆破施工中一定</w:t>
      </w:r>
      <w:r>
        <w:rPr>
          <w:rFonts w:ascii="宋体" w:hAnsi="宋体" w:eastAsia="宋体" w:cs="宋体"/>
          <w:sz w:val="24"/>
          <w:szCs w:val="24"/>
        </w:rPr>
        <w:t xml:space="preserve"> </w:t>
      </w:r>
      <w:r>
        <w:rPr>
          <w:rFonts w:ascii="宋体" w:hAnsi="宋体" w:eastAsia="宋体" w:cs="宋体"/>
          <w:spacing w:val="-1"/>
          <w:sz w:val="24"/>
          <w:szCs w:val="24"/>
        </w:rPr>
        <w:t>要控制好炸药的用量，尽量减少爆破振动的影响，并注意爆破施工期间</w:t>
      </w:r>
      <w:r>
        <w:rPr>
          <w:rFonts w:ascii="宋体" w:hAnsi="宋体" w:eastAsia="宋体" w:cs="宋体"/>
          <w:spacing w:val="-2"/>
          <w:sz w:val="24"/>
          <w:szCs w:val="24"/>
        </w:rPr>
        <w:t>对村庄的保护。</w:t>
      </w:r>
      <w:r>
        <w:rPr>
          <w:rFonts w:ascii="宋体" w:hAnsi="宋体" w:eastAsia="宋体" w:cs="宋体"/>
          <w:sz w:val="24"/>
          <w:szCs w:val="24"/>
        </w:rPr>
        <w:t xml:space="preserve"> </w:t>
      </w:r>
      <w:r>
        <w:rPr>
          <w:rFonts w:ascii="宋体" w:hAnsi="宋体" w:eastAsia="宋体" w:cs="宋体"/>
          <w:spacing w:val="-6"/>
          <w:sz w:val="24"/>
          <w:szCs w:val="24"/>
        </w:rPr>
        <w:t>由于本工程隧道口有敏感点，故在隧道口施工中，</w:t>
      </w:r>
      <w:r>
        <w:rPr>
          <w:rFonts w:ascii="宋体" w:hAnsi="宋体" w:eastAsia="宋体" w:cs="宋体"/>
          <w:spacing w:val="51"/>
          <w:sz w:val="24"/>
          <w:szCs w:val="24"/>
        </w:rPr>
        <w:t xml:space="preserve"> </w:t>
      </w:r>
      <w:r>
        <w:rPr>
          <w:rFonts w:ascii="宋体" w:hAnsi="宋体" w:eastAsia="宋体" w:cs="宋体"/>
          <w:spacing w:val="-6"/>
          <w:sz w:val="24"/>
          <w:szCs w:val="24"/>
        </w:rPr>
        <w:t>为了避免因爆破引起居民的过度惊恐</w:t>
      </w:r>
      <w:r>
        <w:rPr>
          <w:rFonts w:ascii="宋体" w:hAnsi="宋体" w:eastAsia="宋体" w:cs="宋体"/>
          <w:sz w:val="24"/>
          <w:szCs w:val="24"/>
        </w:rPr>
        <w:t xml:space="preserve"> </w:t>
      </w:r>
      <w:r>
        <w:rPr>
          <w:rFonts w:ascii="宋体" w:hAnsi="宋体" w:eastAsia="宋体" w:cs="宋体"/>
          <w:spacing w:val="-1"/>
          <w:sz w:val="24"/>
          <w:szCs w:val="24"/>
        </w:rPr>
        <w:t>和对居民睡眠、学习、工作产生较大的干扰，爆破宜在白天进行，避免</w:t>
      </w:r>
      <w:r>
        <w:rPr>
          <w:rFonts w:ascii="宋体" w:hAnsi="宋体" w:eastAsia="宋体" w:cs="宋体"/>
          <w:spacing w:val="-2"/>
          <w:sz w:val="24"/>
          <w:szCs w:val="24"/>
        </w:rPr>
        <w:t>晚上爆破作业。</w:t>
      </w:r>
      <w:r>
        <w:rPr>
          <w:rFonts w:ascii="宋体" w:hAnsi="宋体" w:eastAsia="宋体" w:cs="宋体"/>
          <w:sz w:val="24"/>
          <w:szCs w:val="24"/>
        </w:rPr>
        <w:t xml:space="preserve"> </w:t>
      </w:r>
      <w:r>
        <w:rPr>
          <w:rFonts w:ascii="宋体" w:hAnsi="宋体" w:eastAsia="宋体" w:cs="宋体"/>
          <w:spacing w:val="-20"/>
          <w:sz w:val="24"/>
          <w:szCs w:val="24"/>
        </w:rPr>
        <w:t>此外， 在装药控制上，</w:t>
      </w:r>
      <w:r>
        <w:rPr>
          <w:rFonts w:ascii="宋体" w:hAnsi="宋体" w:eastAsia="宋体" w:cs="宋体"/>
          <w:spacing w:val="53"/>
          <w:sz w:val="24"/>
          <w:szCs w:val="24"/>
        </w:rPr>
        <w:t xml:space="preserve"> </w:t>
      </w:r>
      <w:r>
        <w:rPr>
          <w:rFonts w:ascii="宋体" w:hAnsi="宋体" w:eastAsia="宋体" w:cs="宋体"/>
          <w:spacing w:val="-20"/>
          <w:sz w:val="24"/>
          <w:szCs w:val="24"/>
        </w:rPr>
        <w:t>采用少装药，</w:t>
      </w:r>
      <w:r>
        <w:rPr>
          <w:rFonts w:ascii="宋体" w:hAnsi="宋体" w:eastAsia="宋体" w:cs="宋体"/>
          <w:spacing w:val="58"/>
          <w:sz w:val="24"/>
          <w:szCs w:val="24"/>
        </w:rPr>
        <w:t xml:space="preserve"> </w:t>
      </w:r>
      <w:r>
        <w:rPr>
          <w:rFonts w:ascii="宋体" w:hAnsi="宋体" w:eastAsia="宋体" w:cs="宋体"/>
          <w:spacing w:val="-20"/>
          <w:sz w:val="24"/>
          <w:szCs w:val="24"/>
        </w:rPr>
        <w:t>大延时， 松动为</w:t>
      </w:r>
      <w:r>
        <w:rPr>
          <w:rFonts w:ascii="宋体" w:hAnsi="宋体" w:eastAsia="宋体" w:cs="宋体"/>
          <w:spacing w:val="-21"/>
          <w:sz w:val="24"/>
          <w:szCs w:val="24"/>
        </w:rPr>
        <w:t>主，</w:t>
      </w:r>
      <w:r>
        <w:rPr>
          <w:rFonts w:ascii="宋体" w:hAnsi="宋体" w:eastAsia="宋体" w:cs="宋体"/>
          <w:spacing w:val="46"/>
          <w:sz w:val="24"/>
          <w:szCs w:val="24"/>
        </w:rPr>
        <w:t xml:space="preserve"> </w:t>
      </w:r>
      <w:r>
        <w:rPr>
          <w:rFonts w:ascii="宋体" w:hAnsi="宋体" w:eastAsia="宋体" w:cs="宋体"/>
          <w:spacing w:val="-21"/>
          <w:sz w:val="24"/>
          <w:szCs w:val="24"/>
        </w:rPr>
        <w:t>以预防爆破飞石、过大的震动</w:t>
      </w:r>
      <w:r>
        <w:rPr>
          <w:rFonts w:ascii="宋体" w:hAnsi="宋体" w:eastAsia="宋体" w:cs="宋体"/>
          <w:sz w:val="24"/>
          <w:szCs w:val="24"/>
        </w:rPr>
        <w:t xml:space="preserve"> </w:t>
      </w:r>
      <w:r>
        <w:rPr>
          <w:rFonts w:ascii="宋体" w:hAnsi="宋体" w:eastAsia="宋体" w:cs="宋体"/>
          <w:spacing w:val="-16"/>
          <w:sz w:val="24"/>
          <w:szCs w:val="24"/>
        </w:rPr>
        <w:t>等有害现象的出现，</w:t>
      </w:r>
      <w:r>
        <w:rPr>
          <w:rFonts w:ascii="宋体" w:hAnsi="宋体" w:eastAsia="宋体" w:cs="宋体"/>
          <w:spacing w:val="77"/>
          <w:sz w:val="24"/>
          <w:szCs w:val="24"/>
        </w:rPr>
        <w:t xml:space="preserve"> </w:t>
      </w:r>
      <w:r>
        <w:rPr>
          <w:rFonts w:ascii="宋体" w:hAnsi="宋体" w:eastAsia="宋体" w:cs="宋体"/>
          <w:spacing w:val="-16"/>
          <w:sz w:val="24"/>
          <w:szCs w:val="24"/>
        </w:rPr>
        <w:t>同时在每次放炮之前，</w:t>
      </w:r>
      <w:r>
        <w:rPr>
          <w:rFonts w:ascii="宋体" w:hAnsi="宋体" w:eastAsia="宋体" w:cs="宋体"/>
          <w:spacing w:val="64"/>
          <w:sz w:val="24"/>
          <w:szCs w:val="24"/>
        </w:rPr>
        <w:t xml:space="preserve"> </w:t>
      </w:r>
      <w:r>
        <w:rPr>
          <w:rFonts w:ascii="宋体" w:hAnsi="宋体" w:eastAsia="宋体" w:cs="宋体"/>
          <w:spacing w:val="-16"/>
          <w:sz w:val="24"/>
          <w:szCs w:val="24"/>
        </w:rPr>
        <w:t>留下充分的时间通知居民，</w:t>
      </w:r>
      <w:r>
        <w:rPr>
          <w:rFonts w:ascii="宋体" w:hAnsi="宋体" w:eastAsia="宋体" w:cs="宋体"/>
          <w:spacing w:val="47"/>
          <w:sz w:val="24"/>
          <w:szCs w:val="24"/>
        </w:rPr>
        <w:t xml:space="preserve"> </w:t>
      </w:r>
      <w:r>
        <w:rPr>
          <w:rFonts w:ascii="宋体" w:hAnsi="宋体" w:eastAsia="宋体" w:cs="宋体"/>
          <w:spacing w:val="-16"/>
          <w:sz w:val="24"/>
          <w:szCs w:val="24"/>
        </w:rPr>
        <w:t>使他们有充分的</w:t>
      </w:r>
      <w:r>
        <w:rPr>
          <w:rFonts w:ascii="宋体" w:hAnsi="宋体" w:eastAsia="宋体" w:cs="宋体"/>
          <w:sz w:val="24"/>
          <w:szCs w:val="24"/>
        </w:rPr>
        <w:t xml:space="preserve"> </w:t>
      </w:r>
      <w:r>
        <w:rPr>
          <w:rFonts w:ascii="宋体" w:hAnsi="宋体" w:eastAsia="宋体" w:cs="宋体"/>
          <w:spacing w:val="-14"/>
          <w:sz w:val="24"/>
          <w:szCs w:val="24"/>
        </w:rPr>
        <w:t>心理准备， 并采取他们认为比较安全的措施，  以减少</w:t>
      </w:r>
      <w:r>
        <w:rPr>
          <w:rFonts w:ascii="宋体" w:hAnsi="宋体" w:eastAsia="宋体" w:cs="宋体"/>
          <w:spacing w:val="-15"/>
          <w:sz w:val="24"/>
          <w:szCs w:val="24"/>
        </w:rPr>
        <w:t>爆破对村庄的影响。另外，</w:t>
      </w:r>
      <w:r>
        <w:rPr>
          <w:rFonts w:ascii="宋体" w:hAnsi="宋体" w:eastAsia="宋体" w:cs="宋体"/>
          <w:spacing w:val="51"/>
          <w:sz w:val="24"/>
          <w:szCs w:val="24"/>
        </w:rPr>
        <w:t xml:space="preserve"> </w:t>
      </w:r>
      <w:r>
        <w:rPr>
          <w:rFonts w:ascii="宋体" w:hAnsi="宋体" w:eastAsia="宋体" w:cs="宋体"/>
          <w:spacing w:val="-15"/>
          <w:sz w:val="24"/>
          <w:szCs w:val="24"/>
        </w:rPr>
        <w:t>爆破振</w:t>
      </w:r>
      <w:r>
        <w:rPr>
          <w:rFonts w:ascii="宋体" w:hAnsi="宋体" w:eastAsia="宋体" w:cs="宋体"/>
          <w:sz w:val="24"/>
          <w:szCs w:val="24"/>
        </w:rPr>
        <w:t xml:space="preserve"> </w:t>
      </w:r>
      <w:r>
        <w:rPr>
          <w:rFonts w:ascii="宋体" w:hAnsi="宋体" w:eastAsia="宋体" w:cs="宋体"/>
          <w:spacing w:val="-2"/>
          <w:sz w:val="24"/>
          <w:szCs w:val="24"/>
        </w:rPr>
        <w:t>动可能会导致部分质量较差的房子产生开裂等影响，因此，在隧道口爆破施工过程中，</w:t>
      </w:r>
      <w:r>
        <w:rPr>
          <w:rFonts w:ascii="宋体" w:hAnsi="宋体" w:eastAsia="宋体" w:cs="宋体"/>
          <w:spacing w:val="13"/>
          <w:sz w:val="24"/>
          <w:szCs w:val="24"/>
        </w:rPr>
        <w:t xml:space="preserve"> </w:t>
      </w:r>
      <w:r>
        <w:rPr>
          <w:rFonts w:ascii="宋体" w:hAnsi="宋体" w:eastAsia="宋体" w:cs="宋体"/>
          <w:spacing w:val="-1"/>
          <w:sz w:val="24"/>
          <w:szCs w:val="24"/>
        </w:rPr>
        <w:t>应对距离隧道口</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100m</w:t>
      </w:r>
      <w:r>
        <w:rPr>
          <w:rFonts w:ascii="Times New Roman" w:hAnsi="Times New Roman" w:eastAsia="Times New Roman" w:cs="Times New Roman"/>
          <w:spacing w:val="18"/>
          <w:w w:val="101"/>
          <w:sz w:val="24"/>
          <w:szCs w:val="24"/>
        </w:rPr>
        <w:t xml:space="preserve"> </w:t>
      </w:r>
      <w:r>
        <w:rPr>
          <w:rFonts w:ascii="宋体" w:hAnsi="宋体" w:eastAsia="宋体" w:cs="宋体"/>
          <w:spacing w:val="-1"/>
          <w:sz w:val="24"/>
          <w:szCs w:val="24"/>
        </w:rPr>
        <w:t>范围的房屋加强监控，应及时采</w:t>
      </w:r>
      <w:r>
        <w:rPr>
          <w:rFonts w:ascii="宋体" w:hAnsi="宋体" w:eastAsia="宋体" w:cs="宋体"/>
          <w:spacing w:val="-2"/>
          <w:sz w:val="24"/>
          <w:szCs w:val="24"/>
        </w:rPr>
        <w:t>取必要的减振措施，如减少爆破</w:t>
      </w:r>
    </w:p>
    <w:p>
      <w:pPr>
        <w:spacing w:line="218" w:lineRule="auto"/>
        <w:ind w:left="57"/>
        <w:rPr>
          <w:rFonts w:ascii="宋体" w:hAnsi="宋体" w:eastAsia="宋体" w:cs="宋体"/>
          <w:sz w:val="24"/>
          <w:szCs w:val="24"/>
        </w:rPr>
      </w:pPr>
      <w:r>
        <w:rPr>
          <w:rFonts w:ascii="宋体" w:hAnsi="宋体" w:eastAsia="宋体" w:cs="宋体"/>
          <w:spacing w:val="-4"/>
          <w:sz w:val="24"/>
          <w:szCs w:val="24"/>
        </w:rPr>
        <w:t>的炸药用量、采用微差爆破技术等。</w:t>
      </w:r>
    </w:p>
    <w:p>
      <w:pPr>
        <w:spacing w:before="185" w:line="220" w:lineRule="auto"/>
        <w:ind w:left="40"/>
        <w:rPr>
          <w:rFonts w:ascii="宋体" w:hAnsi="宋体" w:eastAsia="宋体" w:cs="宋体"/>
          <w:sz w:val="24"/>
          <w:szCs w:val="24"/>
        </w:rPr>
      </w:pPr>
      <w:r>
        <w:fldChar w:fldCharType="begin"/>
      </w:r>
      <w:r>
        <w:instrText xml:space="preserve"> HYPERLINK "5.3.1.5" </w:instrText>
      </w:r>
      <w:r>
        <w:fldChar w:fldCharType="separate"/>
      </w:r>
      <w:r>
        <w:rPr>
          <w:rFonts w:ascii="Times New Roman" w:hAnsi="Times New Roman" w:eastAsia="Times New Roman" w:cs="Times New Roman"/>
          <w:spacing w:val="-1"/>
          <w:sz w:val="24"/>
          <w:szCs w:val="24"/>
        </w:rPr>
        <w:t>5.3.1.5</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施工噪声回顾性影响分析</w:t>
      </w:r>
    </w:p>
    <w:p>
      <w:pPr>
        <w:spacing w:line="220" w:lineRule="auto"/>
        <w:rPr>
          <w:rFonts w:ascii="宋体" w:hAnsi="宋体" w:eastAsia="宋体" w:cs="宋体"/>
          <w:sz w:val="24"/>
          <w:szCs w:val="24"/>
        </w:rPr>
        <w:sectPr>
          <w:headerReference r:id="rId257" w:type="default"/>
          <w:footerReference r:id="rId258" w:type="default"/>
          <w:pgSz w:w="11907" w:h="16839"/>
          <w:pgMar w:top="1118" w:right="1332" w:bottom="1072" w:left="1387" w:header="877" w:footer="911" w:gutter="0"/>
          <w:cols w:space="720" w:num="1"/>
        </w:sectPr>
      </w:pPr>
    </w:p>
    <w:p>
      <w:pPr>
        <w:pStyle w:val="2"/>
        <w:spacing w:line="312" w:lineRule="auto"/>
      </w:pPr>
      <w:r>
        <w:drawing>
          <wp:anchor distT="0" distB="0" distL="0" distR="0" simplePos="0" relativeHeight="251728896" behindDoc="1" locked="0" layoutInCell="0" allowOverlap="1">
            <wp:simplePos x="0" y="0"/>
            <wp:positionH relativeFrom="page">
              <wp:posOffset>1560830</wp:posOffset>
            </wp:positionH>
            <wp:positionV relativeFrom="page">
              <wp:posOffset>8796655</wp:posOffset>
            </wp:positionV>
            <wp:extent cx="4436110" cy="545465"/>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470"/>
                    <a:stretch>
                      <a:fillRect/>
                    </a:stretch>
                  </pic:blipFill>
                  <pic:spPr>
                    <a:xfrm>
                      <a:off x="0" y="0"/>
                      <a:ext cx="4436109" cy="545465"/>
                    </a:xfrm>
                    <a:prstGeom prst="rect">
                      <a:avLst/>
                    </a:prstGeom>
                  </pic:spPr>
                </pic:pic>
              </a:graphicData>
            </a:graphic>
          </wp:anchor>
        </w:drawing>
      </w:r>
    </w:p>
    <w:p>
      <w:pPr>
        <w:spacing w:before="78" w:line="359" w:lineRule="auto"/>
        <w:ind w:left="122" w:right="62" w:firstLine="480"/>
        <w:rPr>
          <w:rFonts w:ascii="宋体" w:hAnsi="宋体" w:eastAsia="宋体" w:cs="宋体"/>
          <w:sz w:val="24"/>
          <w:szCs w:val="24"/>
        </w:rPr>
      </w:pPr>
      <w:r>
        <w:rPr>
          <w:rFonts w:ascii="宋体" w:hAnsi="宋体" w:eastAsia="宋体" w:cs="宋体"/>
          <w:spacing w:val="-1"/>
          <w:sz w:val="24"/>
          <w:szCs w:val="24"/>
        </w:rPr>
        <w:t>本项目在西坑互通连接线百丈隧道终点</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L1K6+140 </w:t>
      </w:r>
      <w:r>
        <w:rPr>
          <w:rFonts w:ascii="宋体" w:hAnsi="宋体" w:eastAsia="宋体" w:cs="宋体"/>
          <w:spacing w:val="-1"/>
          <w:sz w:val="24"/>
          <w:szCs w:val="24"/>
        </w:rPr>
        <w:t>北侧设置的施工场地，主要功能</w:t>
      </w:r>
      <w:r>
        <w:rPr>
          <w:rFonts w:ascii="宋体" w:hAnsi="宋体" w:eastAsia="宋体" w:cs="宋体"/>
          <w:sz w:val="24"/>
          <w:szCs w:val="24"/>
        </w:rPr>
        <w:t xml:space="preserve"> </w:t>
      </w:r>
      <w:r>
        <w:rPr>
          <w:rFonts w:ascii="宋体" w:hAnsi="宋体" w:eastAsia="宋体" w:cs="宋体"/>
          <w:spacing w:val="-10"/>
          <w:sz w:val="24"/>
          <w:szCs w:val="24"/>
        </w:rPr>
        <w:t>为钢筋加工场及拌合站，</w:t>
      </w:r>
      <w:r>
        <w:rPr>
          <w:rFonts w:ascii="宋体" w:hAnsi="宋体" w:eastAsia="宋体" w:cs="宋体"/>
          <w:spacing w:val="40"/>
          <w:sz w:val="24"/>
          <w:szCs w:val="24"/>
        </w:rPr>
        <w:t xml:space="preserve"> </w:t>
      </w:r>
      <w:r>
        <w:rPr>
          <w:rFonts w:ascii="宋体" w:hAnsi="宋体" w:eastAsia="宋体" w:cs="宋体"/>
          <w:spacing w:val="-10"/>
          <w:sz w:val="24"/>
          <w:szCs w:val="24"/>
        </w:rPr>
        <w:t>其它的集中场地主</w:t>
      </w:r>
      <w:r>
        <w:rPr>
          <w:rFonts w:ascii="宋体" w:hAnsi="宋体" w:eastAsia="宋体" w:cs="宋体"/>
          <w:spacing w:val="-11"/>
          <w:sz w:val="24"/>
          <w:szCs w:val="24"/>
        </w:rPr>
        <w:t>要利用景文高速公路</w:t>
      </w:r>
      <w:r>
        <w:rPr>
          <w:rFonts w:ascii="宋体" w:hAnsi="宋体" w:eastAsia="宋体" w:cs="宋体"/>
          <w:spacing w:val="-55"/>
          <w:sz w:val="24"/>
          <w:szCs w:val="24"/>
        </w:rPr>
        <w:t xml:space="preserve"> </w:t>
      </w:r>
      <w:r>
        <w:rPr>
          <w:rFonts w:ascii="Times New Roman" w:hAnsi="Times New Roman" w:eastAsia="Times New Roman" w:cs="Times New Roman"/>
          <w:spacing w:val="-11"/>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处施工场地，</w:t>
      </w:r>
      <w:r>
        <w:rPr>
          <w:rFonts w:ascii="宋体" w:hAnsi="宋体" w:eastAsia="宋体" w:cs="宋体"/>
          <w:spacing w:val="42"/>
          <w:sz w:val="24"/>
          <w:szCs w:val="24"/>
        </w:rPr>
        <w:t xml:space="preserve"> </w:t>
      </w:r>
      <w:r>
        <w:rPr>
          <w:rFonts w:ascii="宋体" w:hAnsi="宋体" w:eastAsia="宋体" w:cs="宋体"/>
          <w:spacing w:val="-11"/>
          <w:sz w:val="24"/>
          <w:szCs w:val="24"/>
        </w:rPr>
        <w:t>部分材</w:t>
      </w:r>
      <w:r>
        <w:rPr>
          <w:rFonts w:ascii="宋体" w:hAnsi="宋体" w:eastAsia="宋体" w:cs="宋体"/>
          <w:sz w:val="24"/>
          <w:szCs w:val="24"/>
        </w:rPr>
        <w:t xml:space="preserve"> </w:t>
      </w:r>
      <w:r>
        <w:rPr>
          <w:rFonts w:ascii="宋体" w:hAnsi="宋体" w:eastAsia="宋体" w:cs="宋体"/>
          <w:spacing w:val="-9"/>
          <w:sz w:val="24"/>
          <w:szCs w:val="24"/>
        </w:rPr>
        <w:t>料和混凝土由景文高速公路提供，</w:t>
      </w:r>
      <w:r>
        <w:rPr>
          <w:rFonts w:ascii="宋体" w:hAnsi="宋体" w:eastAsia="宋体" w:cs="宋体"/>
          <w:spacing w:val="54"/>
          <w:sz w:val="24"/>
          <w:szCs w:val="24"/>
        </w:rPr>
        <w:t xml:space="preserve"> </w:t>
      </w:r>
      <w:r>
        <w:rPr>
          <w:rFonts w:ascii="宋体" w:hAnsi="宋体" w:eastAsia="宋体" w:cs="宋体"/>
          <w:spacing w:val="-9"/>
          <w:sz w:val="24"/>
          <w:szCs w:val="24"/>
        </w:rPr>
        <w:t>沿线无其他集中的高噪声机械设备场地噪声， 且设置</w:t>
      </w:r>
      <w:r>
        <w:rPr>
          <w:rFonts w:ascii="宋体" w:hAnsi="宋体" w:eastAsia="宋体" w:cs="宋体"/>
          <w:sz w:val="24"/>
          <w:szCs w:val="24"/>
        </w:rPr>
        <w:t xml:space="preserve"> </w:t>
      </w:r>
      <w:r>
        <w:rPr>
          <w:rFonts w:ascii="宋体" w:hAnsi="宋体" w:eastAsia="宋体" w:cs="宋体"/>
          <w:spacing w:val="-5"/>
          <w:sz w:val="24"/>
          <w:szCs w:val="24"/>
        </w:rPr>
        <w:t>的施工场地沿线</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200 </w:t>
      </w:r>
      <w:r>
        <w:rPr>
          <w:rFonts w:ascii="宋体" w:hAnsi="宋体" w:eastAsia="宋体" w:cs="宋体"/>
          <w:spacing w:val="-5"/>
          <w:sz w:val="24"/>
          <w:szCs w:val="24"/>
        </w:rPr>
        <w:t>米范围内无村庄等敏感点，</w:t>
      </w:r>
      <w:r>
        <w:rPr>
          <w:rFonts w:ascii="宋体" w:hAnsi="宋体" w:eastAsia="宋体" w:cs="宋体"/>
          <w:spacing w:val="34"/>
          <w:sz w:val="24"/>
          <w:szCs w:val="24"/>
        </w:rPr>
        <w:t xml:space="preserve"> </w:t>
      </w:r>
      <w:r>
        <w:rPr>
          <w:rFonts w:ascii="宋体" w:hAnsi="宋体" w:eastAsia="宋体" w:cs="宋体"/>
          <w:spacing w:val="-5"/>
          <w:sz w:val="24"/>
          <w:szCs w:val="24"/>
        </w:rPr>
        <w:t>因</w:t>
      </w:r>
      <w:r>
        <w:rPr>
          <w:rFonts w:ascii="宋体" w:hAnsi="宋体" w:eastAsia="宋体" w:cs="宋体"/>
          <w:spacing w:val="-6"/>
          <w:sz w:val="24"/>
          <w:szCs w:val="24"/>
        </w:rPr>
        <w:t>此施工场地内作业对区域内的村庄影</w:t>
      </w:r>
      <w:r>
        <w:rPr>
          <w:rFonts w:ascii="宋体" w:hAnsi="宋体" w:eastAsia="宋体" w:cs="宋体"/>
          <w:sz w:val="24"/>
          <w:szCs w:val="24"/>
        </w:rPr>
        <w:t xml:space="preserve"> </w:t>
      </w:r>
      <w:r>
        <w:rPr>
          <w:rFonts w:ascii="宋体" w:hAnsi="宋体" w:eastAsia="宋体" w:cs="宋体"/>
          <w:spacing w:val="4"/>
          <w:sz w:val="24"/>
          <w:szCs w:val="24"/>
        </w:rPr>
        <w:t>响较小。施工临时场地周边昼间噪声基本能满足《建筑施工场界环境噪声排放标准》</w:t>
      </w:r>
      <w:r>
        <w:rPr>
          <w:rFonts w:ascii="宋体" w:hAnsi="宋体" w:eastAsia="宋体" w:cs="宋体"/>
          <w:spacing w:val="16"/>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GB12523-2011</w:t>
      </w:r>
      <w:r>
        <w:rPr>
          <w:rFonts w:ascii="宋体" w:hAnsi="宋体" w:eastAsia="宋体" w:cs="宋体"/>
          <w:spacing w:val="-2"/>
          <w:sz w:val="24"/>
          <w:szCs w:val="24"/>
        </w:rPr>
        <w:t xml:space="preserve">）中的噪声限值，非工艺需要夜间不进行施工。项目沿线分布有 </w:t>
      </w:r>
      <w:r>
        <w:rPr>
          <w:rFonts w:ascii="Times New Roman" w:hAnsi="Times New Roman" w:eastAsia="Times New Roman" w:cs="Times New Roman"/>
          <w:spacing w:val="-2"/>
          <w:sz w:val="24"/>
          <w:szCs w:val="24"/>
        </w:rPr>
        <w:t>17</w:t>
      </w:r>
      <w:r>
        <w:rPr>
          <w:rFonts w:ascii="Times New Roman" w:hAnsi="Times New Roman" w:eastAsia="Times New Roman" w:cs="Times New Roman"/>
          <w:spacing w:val="42"/>
          <w:sz w:val="24"/>
          <w:szCs w:val="24"/>
        </w:rPr>
        <w:t xml:space="preserve"> </w:t>
      </w:r>
      <w:r>
        <w:rPr>
          <w:rFonts w:ascii="宋体" w:hAnsi="宋体" w:eastAsia="宋体" w:cs="宋体"/>
          <w:spacing w:val="-2"/>
          <w:sz w:val="24"/>
          <w:szCs w:val="24"/>
        </w:rPr>
        <w:t>个</w:t>
      </w:r>
    </w:p>
    <w:p>
      <w:pPr>
        <w:spacing w:before="1" w:line="218" w:lineRule="auto"/>
        <w:ind w:left="126"/>
        <w:rPr>
          <w:rFonts w:ascii="宋体" w:hAnsi="宋体" w:eastAsia="宋体" w:cs="宋体"/>
          <w:sz w:val="24"/>
          <w:szCs w:val="24"/>
        </w:rPr>
      </w:pPr>
      <w:r>
        <w:rPr>
          <w:rFonts w:ascii="宋体" w:hAnsi="宋体" w:eastAsia="宋体" w:cs="宋体"/>
          <w:spacing w:val="-2"/>
          <w:sz w:val="24"/>
          <w:szCs w:val="24"/>
        </w:rPr>
        <w:t>声环境保护目标，公路路基等施工过程中会对周边保护目标产生影响。</w:t>
      </w:r>
    </w:p>
    <w:p>
      <w:pPr>
        <w:spacing w:before="183" w:line="359" w:lineRule="auto"/>
        <w:ind w:left="126" w:right="62" w:firstLine="479"/>
        <w:rPr>
          <w:rFonts w:ascii="宋体" w:hAnsi="宋体" w:eastAsia="宋体" w:cs="宋体"/>
          <w:sz w:val="24"/>
          <w:szCs w:val="24"/>
        </w:rPr>
      </w:pPr>
      <w:r>
        <w:rPr>
          <w:rFonts w:ascii="宋体" w:hAnsi="宋体" w:eastAsia="宋体" w:cs="宋体"/>
          <w:spacing w:val="-14"/>
          <w:sz w:val="24"/>
          <w:szCs w:val="24"/>
        </w:rPr>
        <w:t>工程设置</w:t>
      </w:r>
      <w:r>
        <w:rPr>
          <w:rFonts w:ascii="宋体" w:hAnsi="宋体" w:eastAsia="宋体" w:cs="宋体"/>
          <w:spacing w:val="-55"/>
          <w:sz w:val="24"/>
          <w:szCs w:val="24"/>
        </w:rPr>
        <w:t xml:space="preserve"> </w:t>
      </w:r>
      <w:r>
        <w:rPr>
          <w:rFonts w:ascii="Times New Roman" w:hAnsi="Times New Roman" w:eastAsia="Times New Roman" w:cs="Times New Roman"/>
          <w:spacing w:val="-14"/>
          <w:sz w:val="24"/>
          <w:szCs w:val="24"/>
        </w:rPr>
        <w:t>2</w:t>
      </w:r>
      <w:r>
        <w:rPr>
          <w:rFonts w:ascii="Times New Roman" w:hAnsi="Times New Roman" w:eastAsia="Times New Roman" w:cs="Times New Roman"/>
          <w:spacing w:val="11"/>
          <w:sz w:val="24"/>
          <w:szCs w:val="24"/>
        </w:rPr>
        <w:t xml:space="preserve"> </w:t>
      </w:r>
      <w:r>
        <w:rPr>
          <w:rFonts w:ascii="宋体" w:hAnsi="宋体" w:eastAsia="宋体" w:cs="宋体"/>
          <w:spacing w:val="-14"/>
          <w:sz w:val="24"/>
          <w:szCs w:val="24"/>
        </w:rPr>
        <w:t>座隧道， 隧道爆破的作业噪声较强，</w:t>
      </w:r>
      <w:r>
        <w:rPr>
          <w:rFonts w:ascii="宋体" w:hAnsi="宋体" w:eastAsia="宋体" w:cs="宋体"/>
          <w:spacing w:val="46"/>
          <w:sz w:val="24"/>
          <w:szCs w:val="24"/>
        </w:rPr>
        <w:t xml:space="preserve"> </w:t>
      </w:r>
      <w:r>
        <w:rPr>
          <w:rFonts w:ascii="宋体" w:hAnsi="宋体" w:eastAsia="宋体" w:cs="宋体"/>
          <w:spacing w:val="-14"/>
          <w:sz w:val="24"/>
          <w:szCs w:val="24"/>
        </w:rPr>
        <w:t>根据</w:t>
      </w:r>
      <w:r>
        <w:rPr>
          <w:rFonts w:ascii="宋体" w:hAnsi="宋体" w:eastAsia="宋体" w:cs="宋体"/>
          <w:spacing w:val="-15"/>
          <w:sz w:val="24"/>
          <w:szCs w:val="24"/>
        </w:rPr>
        <w:t>敏感点调查，</w:t>
      </w:r>
      <w:r>
        <w:rPr>
          <w:rFonts w:ascii="宋体" w:hAnsi="宋体" w:eastAsia="宋体" w:cs="宋体"/>
          <w:spacing w:val="47"/>
          <w:sz w:val="24"/>
          <w:szCs w:val="24"/>
        </w:rPr>
        <w:t xml:space="preserve"> </w:t>
      </w:r>
      <w:r>
        <w:rPr>
          <w:rFonts w:ascii="宋体" w:hAnsi="宋体" w:eastAsia="宋体" w:cs="宋体"/>
          <w:spacing w:val="-15"/>
          <w:sz w:val="24"/>
          <w:szCs w:val="24"/>
        </w:rPr>
        <w:t>敖里隧道东口南</w:t>
      </w:r>
      <w:r>
        <w:rPr>
          <w:rFonts w:ascii="宋体" w:hAnsi="宋体" w:eastAsia="宋体" w:cs="宋体"/>
          <w:sz w:val="24"/>
          <w:szCs w:val="24"/>
        </w:rPr>
        <w:t xml:space="preserve"> </w:t>
      </w:r>
      <w:r>
        <w:rPr>
          <w:rFonts w:ascii="宋体" w:hAnsi="宋体" w:eastAsia="宋体" w:cs="宋体"/>
          <w:spacing w:val="-3"/>
          <w:sz w:val="24"/>
          <w:szCs w:val="24"/>
        </w:rPr>
        <w:t>北两侧</w:t>
      </w:r>
      <w:r>
        <w:rPr>
          <w:rFonts w:ascii="宋体" w:hAnsi="宋体" w:eastAsia="宋体" w:cs="宋体"/>
          <w:spacing w:val="-7"/>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为双田村，敏感目标与路面有</w:t>
      </w:r>
      <w:r>
        <w:rPr>
          <w:rFonts w:ascii="Times New Roman" w:hAnsi="Times New Roman" w:eastAsia="Times New Roman" w:cs="Times New Roman"/>
          <w:spacing w:val="-3"/>
          <w:sz w:val="24"/>
          <w:szCs w:val="24"/>
        </w:rPr>
        <w:t>-25.7m</w:t>
      </w:r>
      <w:r>
        <w:rPr>
          <w:rFonts w:ascii="Times New Roman" w:hAnsi="Times New Roman" w:eastAsia="Times New Roman" w:cs="Times New Roman"/>
          <w:spacing w:val="37"/>
          <w:sz w:val="24"/>
          <w:szCs w:val="24"/>
        </w:rPr>
        <w:t xml:space="preserve"> </w:t>
      </w:r>
      <w:r>
        <w:rPr>
          <w:rFonts w:ascii="宋体" w:hAnsi="宋体" w:eastAsia="宋体" w:cs="宋体"/>
          <w:spacing w:val="-3"/>
          <w:sz w:val="24"/>
          <w:szCs w:val="24"/>
        </w:rPr>
        <w:t>的高差；百丈隧道东口西侧</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65m</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为凤</w:t>
      </w:r>
      <w:r>
        <w:rPr>
          <w:rFonts w:ascii="宋体" w:hAnsi="宋体" w:eastAsia="宋体" w:cs="宋体"/>
          <w:sz w:val="24"/>
          <w:szCs w:val="24"/>
        </w:rPr>
        <w:t xml:space="preserve"> </w:t>
      </w:r>
      <w:r>
        <w:rPr>
          <w:rFonts w:ascii="宋体" w:hAnsi="宋体" w:eastAsia="宋体" w:cs="宋体"/>
          <w:spacing w:val="-1"/>
          <w:sz w:val="24"/>
          <w:szCs w:val="24"/>
        </w:rPr>
        <w:t>鸣（江下寮），敏感目标与路面高差为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27.6m</w:t>
      </w:r>
      <w:r>
        <w:rPr>
          <w:rFonts w:ascii="宋体" w:hAnsi="宋体" w:eastAsia="宋体" w:cs="宋体"/>
          <w:spacing w:val="-1"/>
          <w:sz w:val="24"/>
          <w:szCs w:val="24"/>
        </w:rPr>
        <w:t>。隧道爆破噪声为瞬时噪声，工</w:t>
      </w:r>
      <w:r>
        <w:rPr>
          <w:rFonts w:ascii="宋体" w:hAnsi="宋体" w:eastAsia="宋体" w:cs="宋体"/>
          <w:spacing w:val="-2"/>
          <w:sz w:val="24"/>
          <w:szCs w:val="24"/>
        </w:rPr>
        <w:t>程实施中</w:t>
      </w:r>
    </w:p>
    <w:p>
      <w:pPr>
        <w:spacing w:line="218" w:lineRule="auto"/>
        <w:ind w:left="126"/>
        <w:rPr>
          <w:rFonts w:ascii="宋体" w:hAnsi="宋体" w:eastAsia="宋体" w:cs="宋体"/>
          <w:sz w:val="24"/>
          <w:szCs w:val="24"/>
        </w:rPr>
      </w:pPr>
      <w:r>
        <w:rPr>
          <w:rFonts w:ascii="宋体" w:hAnsi="宋体" w:eastAsia="宋体" w:cs="宋体"/>
          <w:spacing w:val="-9"/>
          <w:sz w:val="24"/>
          <w:szCs w:val="24"/>
        </w:rPr>
        <w:t>也并未在夜间实施爆破，</w:t>
      </w:r>
      <w:r>
        <w:rPr>
          <w:rFonts w:ascii="宋体" w:hAnsi="宋体" w:eastAsia="宋体" w:cs="宋体"/>
          <w:spacing w:val="63"/>
          <w:sz w:val="24"/>
          <w:szCs w:val="24"/>
        </w:rPr>
        <w:t xml:space="preserve"> </w:t>
      </w:r>
      <w:r>
        <w:rPr>
          <w:rFonts w:ascii="宋体" w:hAnsi="宋体" w:eastAsia="宋体" w:cs="宋体"/>
          <w:spacing w:val="-9"/>
          <w:sz w:val="24"/>
          <w:szCs w:val="24"/>
        </w:rPr>
        <w:t>爆破施工结束，影响</w:t>
      </w:r>
      <w:r>
        <w:rPr>
          <w:rFonts w:ascii="宋体" w:hAnsi="宋体" w:eastAsia="宋体" w:cs="宋体"/>
          <w:spacing w:val="-10"/>
          <w:sz w:val="24"/>
          <w:szCs w:val="24"/>
        </w:rPr>
        <w:t>随之终止。</w:t>
      </w:r>
    </w:p>
    <w:p>
      <w:pPr>
        <w:spacing w:before="184" w:line="468" w:lineRule="exact"/>
        <w:ind w:right="55"/>
        <w:jc w:val="right"/>
        <w:rPr>
          <w:rFonts w:ascii="宋体" w:hAnsi="宋体" w:eastAsia="宋体" w:cs="宋体"/>
          <w:sz w:val="24"/>
          <w:szCs w:val="24"/>
        </w:rPr>
      </w:pPr>
      <w:r>
        <w:rPr>
          <w:rFonts w:ascii="宋体" w:hAnsi="宋体" w:eastAsia="宋体" w:cs="宋体"/>
          <w:spacing w:val="-5"/>
          <w:position w:val="17"/>
          <w:sz w:val="24"/>
          <w:szCs w:val="24"/>
        </w:rPr>
        <w:t>根据施工期的噪声监测， 施工过程中噪声造成声环境保护目标部分时段超过了</w:t>
      </w:r>
      <w:r>
        <w:rPr>
          <w:rFonts w:ascii="宋体" w:hAnsi="宋体" w:eastAsia="宋体" w:cs="宋体"/>
          <w:spacing w:val="-38"/>
          <w:position w:val="17"/>
          <w:sz w:val="24"/>
          <w:szCs w:val="24"/>
        </w:rPr>
        <w:t xml:space="preserve"> </w:t>
      </w:r>
      <w:r>
        <w:rPr>
          <w:rFonts w:ascii="Times New Roman" w:hAnsi="Times New Roman" w:eastAsia="Times New Roman" w:cs="Times New Roman"/>
          <w:spacing w:val="-5"/>
          <w:position w:val="17"/>
          <w:sz w:val="24"/>
          <w:szCs w:val="24"/>
        </w:rPr>
        <w:t xml:space="preserve">2 </w:t>
      </w:r>
      <w:r>
        <w:rPr>
          <w:rFonts w:ascii="宋体" w:hAnsi="宋体" w:eastAsia="宋体" w:cs="宋体"/>
          <w:spacing w:val="-5"/>
          <w:position w:val="17"/>
          <w:sz w:val="24"/>
          <w:szCs w:val="24"/>
        </w:rPr>
        <w:t>类</w:t>
      </w:r>
    </w:p>
    <w:p>
      <w:pPr>
        <w:spacing w:line="220" w:lineRule="auto"/>
        <w:ind w:left="123"/>
        <w:rPr>
          <w:rFonts w:ascii="宋体" w:hAnsi="宋体" w:eastAsia="宋体" w:cs="宋体"/>
          <w:sz w:val="24"/>
          <w:szCs w:val="24"/>
        </w:rPr>
      </w:pPr>
      <w:r>
        <w:rPr>
          <w:rFonts w:ascii="宋体" w:hAnsi="宋体" w:eastAsia="宋体" w:cs="宋体"/>
          <w:spacing w:val="-4"/>
          <w:sz w:val="24"/>
          <w:szCs w:val="24"/>
        </w:rPr>
        <w:t>标准要求，但超标量不大。</w:t>
      </w:r>
    </w:p>
    <w:p>
      <w:pPr>
        <w:spacing w:before="179" w:line="220" w:lineRule="auto"/>
        <w:ind w:left="3236"/>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5.3.1-2          </w:t>
      </w:r>
      <w:r>
        <w:rPr>
          <w:rFonts w:ascii="宋体" w:hAnsi="宋体" w:eastAsia="宋体" w:cs="宋体"/>
          <w:spacing w:val="-1"/>
          <w:sz w:val="24"/>
          <w:szCs w:val="24"/>
        </w:rPr>
        <w:t>施工期噪声监测</w:t>
      </w:r>
    </w:p>
    <w:p>
      <w:pPr>
        <w:spacing w:line="109" w:lineRule="exact"/>
      </w:pPr>
    </w:p>
    <w:tbl>
      <w:tblPr>
        <w:tblStyle w:val="5"/>
        <w:tblW w:w="92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2"/>
        <w:gridCol w:w="1847"/>
        <w:gridCol w:w="1847"/>
        <w:gridCol w:w="1848"/>
        <w:gridCol w:w="18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852" w:type="dxa"/>
            <w:vMerge w:val="restart"/>
            <w:tcBorders>
              <w:bottom w:val="nil"/>
            </w:tcBorders>
            <w:vAlign w:val="top"/>
          </w:tcPr>
          <w:p>
            <w:pPr>
              <w:pStyle w:val="6"/>
              <w:spacing w:before="176" w:line="222" w:lineRule="auto"/>
              <w:ind w:left="720"/>
            </w:pPr>
            <w:r>
              <w:rPr>
                <w:spacing w:val="-2"/>
              </w:rPr>
              <w:t>位置</w:t>
            </w:r>
          </w:p>
        </w:tc>
        <w:tc>
          <w:tcPr>
            <w:tcW w:w="1847" w:type="dxa"/>
            <w:vMerge w:val="restart"/>
            <w:tcBorders>
              <w:bottom w:val="nil"/>
            </w:tcBorders>
            <w:vAlign w:val="top"/>
          </w:tcPr>
          <w:p>
            <w:pPr>
              <w:pStyle w:val="6"/>
              <w:spacing w:before="176" w:line="223" w:lineRule="auto"/>
              <w:ind w:left="727"/>
            </w:pPr>
            <w:r>
              <w:rPr>
                <w:spacing w:val="-4"/>
              </w:rPr>
              <w:t>时间</w:t>
            </w:r>
          </w:p>
        </w:tc>
        <w:tc>
          <w:tcPr>
            <w:tcW w:w="1847" w:type="dxa"/>
            <w:vAlign w:val="top"/>
          </w:tcPr>
          <w:p>
            <w:pPr>
              <w:pStyle w:val="6"/>
              <w:spacing w:before="34" w:line="209" w:lineRule="auto"/>
              <w:jc w:val="right"/>
            </w:pPr>
            <w:r>
              <w:rPr>
                <w:spacing w:val="-12"/>
              </w:rPr>
              <w:t>噪声值</w:t>
            </w:r>
            <w:r>
              <w:rPr>
                <w:spacing w:val="-40"/>
              </w:rPr>
              <w:t xml:space="preserve"> </w:t>
            </w:r>
            <w:r>
              <w:rPr>
                <w:rFonts w:ascii="Times New Roman" w:hAnsi="Times New Roman" w:eastAsia="Times New Roman" w:cs="Times New Roman"/>
                <w:spacing w:val="-12"/>
              </w:rPr>
              <w:t>LAeq</w:t>
            </w:r>
            <w:r>
              <w:rPr>
                <w:spacing w:val="-12"/>
              </w:rPr>
              <w:t>（</w:t>
            </w:r>
            <w:r>
              <w:rPr>
                <w:rFonts w:ascii="Times New Roman" w:hAnsi="Times New Roman" w:eastAsia="Times New Roman" w:cs="Times New Roman"/>
                <w:spacing w:val="-12"/>
              </w:rPr>
              <w:t>dB</w:t>
            </w:r>
            <w:r>
              <w:rPr>
                <w:spacing w:val="-12"/>
              </w:rPr>
              <w:t>）</w:t>
            </w:r>
          </w:p>
        </w:tc>
        <w:tc>
          <w:tcPr>
            <w:tcW w:w="1848" w:type="dxa"/>
            <w:vAlign w:val="top"/>
          </w:tcPr>
          <w:p>
            <w:pPr>
              <w:pStyle w:val="6"/>
              <w:spacing w:before="34" w:line="209" w:lineRule="auto"/>
              <w:ind w:left="283"/>
            </w:pPr>
            <w:r>
              <w:rPr>
                <w:spacing w:val="-2"/>
              </w:rPr>
              <w:t>标准值（</w:t>
            </w:r>
            <w:r>
              <w:rPr>
                <w:rFonts w:ascii="Times New Roman" w:hAnsi="Times New Roman" w:eastAsia="Times New Roman" w:cs="Times New Roman"/>
                <w:spacing w:val="-2"/>
              </w:rPr>
              <w:t>dB</w:t>
            </w:r>
            <w:r>
              <w:rPr>
                <w:spacing w:val="-2"/>
              </w:rPr>
              <w:t>）</w:t>
            </w:r>
          </w:p>
        </w:tc>
        <w:tc>
          <w:tcPr>
            <w:tcW w:w="1852" w:type="dxa"/>
            <w:vMerge w:val="restart"/>
            <w:tcBorders>
              <w:bottom w:val="nil"/>
            </w:tcBorders>
            <w:vAlign w:val="top"/>
          </w:tcPr>
          <w:p>
            <w:pPr>
              <w:pStyle w:val="6"/>
              <w:spacing w:before="176" w:line="221" w:lineRule="auto"/>
              <w:ind w:left="515"/>
            </w:pPr>
            <w:r>
              <w:rPr>
                <w:spacing w:val="-3"/>
              </w:rPr>
              <w:t>声源情况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852" w:type="dxa"/>
            <w:vMerge w:val="continue"/>
            <w:tcBorders>
              <w:top w:val="nil"/>
            </w:tcBorders>
            <w:vAlign w:val="top"/>
          </w:tcPr>
          <w:p>
            <w:pPr>
              <w:rPr>
                <w:rFonts w:ascii="Arial"/>
                <w:sz w:val="21"/>
              </w:rPr>
            </w:pPr>
          </w:p>
        </w:tc>
        <w:tc>
          <w:tcPr>
            <w:tcW w:w="1847" w:type="dxa"/>
            <w:vMerge w:val="continue"/>
            <w:tcBorders>
              <w:top w:val="nil"/>
            </w:tcBorders>
            <w:vAlign w:val="top"/>
          </w:tcPr>
          <w:p>
            <w:pPr>
              <w:rPr>
                <w:rFonts w:ascii="Arial"/>
                <w:sz w:val="21"/>
              </w:rPr>
            </w:pPr>
          </w:p>
        </w:tc>
        <w:tc>
          <w:tcPr>
            <w:tcW w:w="1847" w:type="dxa"/>
            <w:vAlign w:val="top"/>
          </w:tcPr>
          <w:p>
            <w:pPr>
              <w:pStyle w:val="6"/>
              <w:spacing w:before="30" w:line="206" w:lineRule="auto"/>
              <w:ind w:left="717"/>
            </w:pPr>
            <w:r>
              <w:rPr>
                <w:spacing w:val="-2"/>
              </w:rPr>
              <w:t>昼间</w:t>
            </w:r>
          </w:p>
        </w:tc>
        <w:tc>
          <w:tcPr>
            <w:tcW w:w="1848" w:type="dxa"/>
            <w:vAlign w:val="top"/>
          </w:tcPr>
          <w:p>
            <w:pPr>
              <w:pStyle w:val="6"/>
              <w:spacing w:before="30" w:line="206" w:lineRule="auto"/>
              <w:ind w:left="718"/>
            </w:pPr>
            <w:r>
              <w:rPr>
                <w:spacing w:val="-2"/>
              </w:rPr>
              <w:t>昼间</w:t>
            </w:r>
          </w:p>
        </w:tc>
        <w:tc>
          <w:tcPr>
            <w:tcW w:w="185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852" w:type="dxa"/>
            <w:vMerge w:val="restart"/>
            <w:tcBorders>
              <w:bottom w:val="nil"/>
            </w:tcBorders>
            <w:vAlign w:val="top"/>
          </w:tcPr>
          <w:p>
            <w:pPr>
              <w:pStyle w:val="6"/>
              <w:spacing w:before="177" w:line="232" w:lineRule="auto"/>
              <w:ind w:left="826" w:right="186" w:hanging="631"/>
            </w:pPr>
            <w:r>
              <w:rPr>
                <w:spacing w:val="-1"/>
              </w:rPr>
              <w:t>双田村临路第一</w:t>
            </w:r>
            <w:r>
              <w:rPr>
                <w:spacing w:val="1"/>
              </w:rPr>
              <w:t xml:space="preserve"> </w:t>
            </w:r>
            <w:r>
              <w:t>排</w:t>
            </w:r>
          </w:p>
        </w:tc>
        <w:tc>
          <w:tcPr>
            <w:tcW w:w="1847" w:type="dxa"/>
            <w:vAlign w:val="top"/>
          </w:tcPr>
          <w:p>
            <w:pPr>
              <w:pStyle w:val="6"/>
              <w:spacing w:before="33" w:line="205" w:lineRule="auto"/>
              <w:ind w:left="110"/>
            </w:pPr>
            <w:r>
              <w:rPr>
                <w:rFonts w:ascii="Times New Roman" w:hAnsi="Times New Roman" w:eastAsia="Times New Roman" w:cs="Times New Roman"/>
                <w:spacing w:val="-5"/>
              </w:rPr>
              <w:t xml:space="preserve">2021 </w:t>
            </w:r>
            <w:r>
              <w:rPr>
                <w:spacing w:val="-5"/>
              </w:rPr>
              <w:t>年</w:t>
            </w:r>
            <w:r>
              <w:rPr>
                <w:spacing w:val="-36"/>
              </w:rPr>
              <w:t xml:space="preserve"> </w:t>
            </w:r>
            <w:r>
              <w:rPr>
                <w:rFonts w:ascii="Times New Roman" w:hAnsi="Times New Roman" w:eastAsia="Times New Roman" w:cs="Times New Roman"/>
                <w:spacing w:val="-5"/>
              </w:rPr>
              <w:t>6</w:t>
            </w:r>
            <w:r>
              <w:rPr>
                <w:rFonts w:ascii="Times New Roman" w:hAnsi="Times New Roman" w:eastAsia="Times New Roman" w:cs="Times New Roman"/>
                <w:spacing w:val="11"/>
              </w:rPr>
              <w:t xml:space="preserve"> </w:t>
            </w:r>
            <w:r>
              <w:rPr>
                <w:spacing w:val="-5"/>
              </w:rPr>
              <w:t>月</w:t>
            </w:r>
            <w:r>
              <w:rPr>
                <w:spacing w:val="-27"/>
              </w:rPr>
              <w:t xml:space="preserve"> </w:t>
            </w:r>
            <w:r>
              <w:rPr>
                <w:rFonts w:ascii="Times New Roman" w:hAnsi="Times New Roman" w:eastAsia="Times New Roman" w:cs="Times New Roman"/>
                <w:spacing w:val="-5"/>
              </w:rPr>
              <w:t xml:space="preserve">16  </w:t>
            </w:r>
            <w:r>
              <w:rPr>
                <w:spacing w:val="-5"/>
              </w:rPr>
              <w:t>日</w:t>
            </w:r>
          </w:p>
        </w:tc>
        <w:tc>
          <w:tcPr>
            <w:tcW w:w="1847" w:type="dxa"/>
            <w:vAlign w:val="top"/>
          </w:tcPr>
          <w:p>
            <w:pPr>
              <w:spacing w:before="72" w:line="187" w:lineRule="auto"/>
              <w:ind w:left="7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61.0</w:t>
            </w:r>
          </w:p>
        </w:tc>
        <w:tc>
          <w:tcPr>
            <w:tcW w:w="1848" w:type="dxa"/>
            <w:vAlign w:val="top"/>
          </w:tcPr>
          <w:p>
            <w:pPr>
              <w:spacing w:before="72" w:line="187" w:lineRule="auto"/>
              <w:ind w:left="8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852" w:type="dxa"/>
            <w:vMerge w:val="restart"/>
            <w:tcBorders>
              <w:bottom w:val="nil"/>
            </w:tcBorders>
            <w:vAlign w:val="top"/>
          </w:tcPr>
          <w:p>
            <w:pPr>
              <w:spacing w:line="245" w:lineRule="auto"/>
              <w:rPr>
                <w:rFonts w:ascii="Arial"/>
                <w:sz w:val="21"/>
              </w:rPr>
            </w:pPr>
          </w:p>
          <w:p>
            <w:pPr>
              <w:pStyle w:val="6"/>
              <w:spacing w:before="68" w:line="221" w:lineRule="auto"/>
              <w:ind w:left="510"/>
            </w:pPr>
            <w:r>
              <w:rPr>
                <w:spacing w:val="-1"/>
              </w:rPr>
              <w:t>施工噪声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852" w:type="dxa"/>
            <w:vMerge w:val="continue"/>
            <w:tcBorders>
              <w:top w:val="nil"/>
              <w:bottom w:val="nil"/>
            </w:tcBorders>
            <w:vAlign w:val="top"/>
          </w:tcPr>
          <w:p>
            <w:pPr>
              <w:rPr>
                <w:rFonts w:ascii="Arial"/>
                <w:sz w:val="21"/>
              </w:rPr>
            </w:pPr>
          </w:p>
        </w:tc>
        <w:tc>
          <w:tcPr>
            <w:tcW w:w="1847" w:type="dxa"/>
            <w:vAlign w:val="top"/>
          </w:tcPr>
          <w:p>
            <w:pPr>
              <w:pStyle w:val="6"/>
              <w:spacing w:before="32" w:line="206" w:lineRule="auto"/>
              <w:ind w:left="110"/>
            </w:pPr>
            <w:r>
              <w:rPr>
                <w:rFonts w:ascii="Times New Roman" w:hAnsi="Times New Roman" w:eastAsia="Times New Roman" w:cs="Times New Roman"/>
                <w:spacing w:val="-5"/>
              </w:rPr>
              <w:t xml:space="preserve">2021 </w:t>
            </w:r>
            <w:r>
              <w:rPr>
                <w:spacing w:val="-5"/>
              </w:rPr>
              <w:t>年</w:t>
            </w:r>
            <w:r>
              <w:rPr>
                <w:spacing w:val="-36"/>
              </w:rPr>
              <w:t xml:space="preserve"> </w:t>
            </w:r>
            <w:r>
              <w:rPr>
                <w:rFonts w:ascii="Times New Roman" w:hAnsi="Times New Roman" w:eastAsia="Times New Roman" w:cs="Times New Roman"/>
                <w:spacing w:val="-5"/>
              </w:rPr>
              <w:t>8</w:t>
            </w:r>
            <w:r>
              <w:rPr>
                <w:rFonts w:ascii="Times New Roman" w:hAnsi="Times New Roman" w:eastAsia="Times New Roman" w:cs="Times New Roman"/>
                <w:spacing w:val="11"/>
              </w:rPr>
              <w:t xml:space="preserve"> </w:t>
            </w:r>
            <w:r>
              <w:rPr>
                <w:spacing w:val="-5"/>
              </w:rPr>
              <w:t>月</w:t>
            </w:r>
            <w:r>
              <w:rPr>
                <w:spacing w:val="-27"/>
              </w:rPr>
              <w:t xml:space="preserve"> </w:t>
            </w:r>
            <w:r>
              <w:rPr>
                <w:rFonts w:ascii="Times New Roman" w:hAnsi="Times New Roman" w:eastAsia="Times New Roman" w:cs="Times New Roman"/>
                <w:spacing w:val="-5"/>
              </w:rPr>
              <w:t xml:space="preserve">18  </w:t>
            </w:r>
            <w:r>
              <w:rPr>
                <w:spacing w:val="-5"/>
              </w:rPr>
              <w:t>日</w:t>
            </w:r>
          </w:p>
        </w:tc>
        <w:tc>
          <w:tcPr>
            <w:tcW w:w="1847" w:type="dxa"/>
            <w:vAlign w:val="top"/>
          </w:tcPr>
          <w:p>
            <w:pPr>
              <w:spacing w:before="71" w:line="187" w:lineRule="auto"/>
              <w:ind w:left="7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62.0</w:t>
            </w:r>
          </w:p>
        </w:tc>
        <w:tc>
          <w:tcPr>
            <w:tcW w:w="1848" w:type="dxa"/>
            <w:vAlign w:val="top"/>
          </w:tcPr>
          <w:p>
            <w:pPr>
              <w:spacing w:before="71" w:line="187" w:lineRule="auto"/>
              <w:ind w:left="8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85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852" w:type="dxa"/>
            <w:vMerge w:val="continue"/>
            <w:tcBorders>
              <w:top w:val="nil"/>
            </w:tcBorders>
            <w:vAlign w:val="top"/>
          </w:tcPr>
          <w:p>
            <w:pPr>
              <w:rPr>
                <w:rFonts w:ascii="Arial"/>
                <w:sz w:val="21"/>
              </w:rPr>
            </w:pPr>
          </w:p>
        </w:tc>
        <w:tc>
          <w:tcPr>
            <w:tcW w:w="1847" w:type="dxa"/>
            <w:vAlign w:val="top"/>
          </w:tcPr>
          <w:p>
            <w:pPr>
              <w:pStyle w:val="6"/>
              <w:spacing w:before="34" w:line="207" w:lineRule="auto"/>
              <w:ind w:left="112"/>
            </w:pPr>
            <w:r>
              <w:rPr>
                <w:rFonts w:ascii="Times New Roman" w:hAnsi="Times New Roman" w:eastAsia="Times New Roman" w:cs="Times New Roman"/>
                <w:spacing w:val="-7"/>
              </w:rPr>
              <w:t xml:space="preserve">2022 </w:t>
            </w:r>
            <w:r>
              <w:rPr>
                <w:spacing w:val="-7"/>
              </w:rPr>
              <w:t>年</w:t>
            </w:r>
            <w:r>
              <w:rPr>
                <w:spacing w:val="-17"/>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1"/>
              </w:rPr>
              <w:t xml:space="preserve"> </w:t>
            </w:r>
            <w:r>
              <w:rPr>
                <w:spacing w:val="-7"/>
              </w:rPr>
              <w:t>月</w:t>
            </w:r>
            <w:r>
              <w:rPr>
                <w:spacing w:val="-28"/>
              </w:rPr>
              <w:t xml:space="preserve"> </w:t>
            </w:r>
            <w:r>
              <w:rPr>
                <w:rFonts w:ascii="Times New Roman" w:hAnsi="Times New Roman" w:eastAsia="Times New Roman" w:cs="Times New Roman"/>
                <w:spacing w:val="-7"/>
              </w:rPr>
              <w:t xml:space="preserve">11  </w:t>
            </w:r>
            <w:r>
              <w:rPr>
                <w:spacing w:val="-7"/>
              </w:rPr>
              <w:t>日</w:t>
            </w:r>
          </w:p>
        </w:tc>
        <w:tc>
          <w:tcPr>
            <w:tcW w:w="1847" w:type="dxa"/>
            <w:vAlign w:val="top"/>
          </w:tcPr>
          <w:p>
            <w:pPr>
              <w:spacing w:before="72" w:line="187" w:lineRule="auto"/>
              <w:ind w:left="7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56.1</w:t>
            </w:r>
          </w:p>
        </w:tc>
        <w:tc>
          <w:tcPr>
            <w:tcW w:w="1848" w:type="dxa"/>
            <w:vAlign w:val="top"/>
          </w:tcPr>
          <w:p>
            <w:pPr>
              <w:spacing w:before="72" w:line="187" w:lineRule="auto"/>
              <w:ind w:left="8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852" w:type="dxa"/>
            <w:vMerge w:val="continue"/>
            <w:tcBorders>
              <w:top w:val="nil"/>
            </w:tcBorders>
            <w:vAlign w:val="top"/>
          </w:tcPr>
          <w:p>
            <w:pPr>
              <w:rPr>
                <w:rFonts w:ascii="Arial"/>
                <w:sz w:val="21"/>
              </w:rPr>
            </w:pPr>
          </w:p>
        </w:tc>
      </w:tr>
    </w:tbl>
    <w:p>
      <w:pPr>
        <w:spacing w:before="193" w:line="468" w:lineRule="exact"/>
        <w:ind w:right="65"/>
        <w:jc w:val="right"/>
        <w:rPr>
          <w:rFonts w:ascii="宋体" w:hAnsi="宋体" w:eastAsia="宋体" w:cs="宋体"/>
          <w:sz w:val="24"/>
          <w:szCs w:val="24"/>
        </w:rPr>
      </w:pPr>
      <w:r>
        <w:rPr>
          <w:rFonts w:ascii="宋体" w:hAnsi="宋体" w:eastAsia="宋体" w:cs="宋体"/>
          <w:spacing w:val="-9"/>
          <w:position w:val="17"/>
          <w:sz w:val="24"/>
          <w:szCs w:val="24"/>
        </w:rPr>
        <w:t>总体而言， 施工期对当地的声环境造成了一</w:t>
      </w:r>
      <w:r>
        <w:rPr>
          <w:rFonts w:ascii="宋体" w:hAnsi="宋体" w:eastAsia="宋体" w:cs="宋体"/>
          <w:spacing w:val="-10"/>
          <w:position w:val="17"/>
          <w:sz w:val="24"/>
          <w:szCs w:val="24"/>
        </w:rPr>
        <w:t>定的影响，但总体影响可控，</w:t>
      </w:r>
      <w:r>
        <w:rPr>
          <w:rFonts w:ascii="宋体" w:hAnsi="宋体" w:eastAsia="宋体" w:cs="宋体"/>
          <w:spacing w:val="45"/>
          <w:position w:val="17"/>
          <w:sz w:val="24"/>
          <w:szCs w:val="24"/>
        </w:rPr>
        <w:t xml:space="preserve"> </w:t>
      </w:r>
      <w:r>
        <w:rPr>
          <w:rFonts w:ascii="宋体" w:hAnsi="宋体" w:eastAsia="宋体" w:cs="宋体"/>
          <w:spacing w:val="-10"/>
          <w:position w:val="17"/>
          <w:sz w:val="24"/>
          <w:szCs w:val="24"/>
        </w:rPr>
        <w:t>在采取措</w:t>
      </w:r>
    </w:p>
    <w:p>
      <w:pPr>
        <w:spacing w:before="1" w:line="218" w:lineRule="auto"/>
        <w:ind w:left="121"/>
        <w:rPr>
          <w:rFonts w:ascii="宋体" w:hAnsi="宋体" w:eastAsia="宋体" w:cs="宋体"/>
          <w:sz w:val="24"/>
          <w:szCs w:val="24"/>
        </w:rPr>
      </w:pPr>
      <w:r>
        <w:rPr>
          <w:rFonts w:ascii="宋体" w:hAnsi="宋体" w:eastAsia="宋体" w:cs="宋体"/>
          <w:spacing w:val="-1"/>
          <w:sz w:val="24"/>
          <w:szCs w:val="24"/>
        </w:rPr>
        <w:t>施后，随着施工过程的结束，施工期的影响也基本消失。</w:t>
      </w:r>
    </w:p>
    <w:p>
      <w:pPr>
        <w:spacing w:before="183" w:line="218" w:lineRule="auto"/>
        <w:ind w:left="120"/>
        <w:outlineLvl w:val="1"/>
        <w:rPr>
          <w:rFonts w:ascii="宋体" w:hAnsi="宋体" w:eastAsia="宋体" w:cs="宋体"/>
          <w:sz w:val="24"/>
          <w:szCs w:val="24"/>
        </w:rPr>
      </w:pPr>
      <w:r>
        <w:rPr>
          <w:rFonts w:ascii="Times New Roman" w:hAnsi="Times New Roman" w:eastAsia="Times New Roman" w:cs="Times New Roman"/>
          <w:b/>
          <w:bCs/>
          <w:spacing w:val="-1"/>
          <w:sz w:val="24"/>
          <w:szCs w:val="24"/>
        </w:rPr>
        <w:t>5.3.2</w:t>
      </w:r>
      <w:r>
        <w:rPr>
          <w:rFonts w:ascii="Times New Roman" w:hAnsi="Times New Roman" w:eastAsia="Times New Roman" w:cs="Times New Roman"/>
          <w:b/>
          <w:bCs/>
          <w:spacing w:val="18"/>
          <w:w w:val="10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营运期声环境影响预测评价</w:t>
      </w:r>
    </w:p>
    <w:p>
      <w:pPr>
        <w:spacing w:before="182" w:line="220" w:lineRule="auto"/>
        <w:ind w:left="124"/>
        <w:rPr>
          <w:rFonts w:ascii="宋体" w:hAnsi="宋体" w:eastAsia="宋体" w:cs="宋体"/>
          <w:sz w:val="24"/>
          <w:szCs w:val="24"/>
        </w:rPr>
      </w:pPr>
      <w:r>
        <w:fldChar w:fldCharType="begin"/>
      </w:r>
      <w:r>
        <w:instrText xml:space="preserve"> HYPERLINK "5.3.2.1" </w:instrText>
      </w:r>
      <w:r>
        <w:fldChar w:fldCharType="separate"/>
      </w:r>
      <w:r>
        <w:rPr>
          <w:rFonts w:ascii="Times New Roman" w:hAnsi="Times New Roman" w:eastAsia="Times New Roman" w:cs="Times New Roman"/>
          <w:spacing w:val="-2"/>
          <w:sz w:val="24"/>
          <w:szCs w:val="24"/>
        </w:rPr>
        <w:t>5.3.2.1</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公路交通噪声预测模式</w:t>
      </w:r>
    </w:p>
    <w:p>
      <w:pPr>
        <w:spacing w:before="183" w:line="359" w:lineRule="auto"/>
        <w:ind w:left="134" w:right="58" w:firstLine="479"/>
        <w:rPr>
          <w:rFonts w:ascii="宋体" w:hAnsi="宋体" w:eastAsia="宋体" w:cs="宋体"/>
          <w:sz w:val="24"/>
          <w:szCs w:val="24"/>
        </w:rPr>
      </w:pPr>
      <w:r>
        <w:rPr>
          <w:rFonts w:ascii="宋体" w:hAnsi="宋体" w:eastAsia="宋体" w:cs="宋体"/>
          <w:spacing w:val="-3"/>
          <w:sz w:val="24"/>
          <w:szCs w:val="24"/>
        </w:rPr>
        <w:t>噪声预测采用</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DataKustik  </w:t>
      </w:r>
      <w:r>
        <w:rPr>
          <w:rFonts w:ascii="宋体" w:hAnsi="宋体" w:eastAsia="宋体" w:cs="宋体"/>
          <w:spacing w:val="-3"/>
          <w:sz w:val="24"/>
          <w:szCs w:val="24"/>
        </w:rPr>
        <w:t>公司编制的</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Cadn</w:t>
      </w:r>
      <w:r>
        <w:rPr>
          <w:rFonts w:ascii="Times New Roman" w:hAnsi="Times New Roman" w:eastAsia="Times New Roman" w:cs="Times New Roman"/>
          <w:spacing w:val="-4"/>
          <w:sz w:val="24"/>
          <w:szCs w:val="24"/>
        </w:rPr>
        <w:t xml:space="preserve">a/A </w:t>
      </w:r>
      <w:r>
        <w:rPr>
          <w:rFonts w:ascii="宋体" w:hAnsi="宋体" w:eastAsia="宋体" w:cs="宋体"/>
          <w:spacing w:val="-4"/>
          <w:sz w:val="24"/>
          <w:szCs w:val="24"/>
        </w:rPr>
        <w:t>计算软件。该软件主要依据《环境影</w:t>
      </w:r>
      <w:r>
        <w:rPr>
          <w:rFonts w:ascii="宋体" w:hAnsi="宋体" w:eastAsia="宋体" w:cs="宋体"/>
          <w:sz w:val="24"/>
          <w:szCs w:val="24"/>
        </w:rPr>
        <w:t xml:space="preserve"> </w:t>
      </w:r>
      <w:r>
        <w:rPr>
          <w:rFonts w:ascii="宋体" w:hAnsi="宋体" w:eastAsia="宋体" w:cs="宋体"/>
          <w:spacing w:val="-9"/>
          <w:sz w:val="24"/>
          <w:szCs w:val="24"/>
        </w:rPr>
        <w:t>响评价技术导则 声环境》（</w:t>
      </w:r>
      <w:r>
        <w:rPr>
          <w:rFonts w:ascii="Times New Roman" w:hAnsi="Times New Roman" w:eastAsia="Times New Roman" w:cs="Times New Roman"/>
          <w:spacing w:val="-9"/>
          <w:sz w:val="24"/>
          <w:szCs w:val="24"/>
        </w:rPr>
        <w:t>HJ2.4-2021</w:t>
      </w:r>
      <w:r>
        <w:rPr>
          <w:rFonts w:ascii="宋体" w:hAnsi="宋体" w:eastAsia="宋体" w:cs="宋体"/>
          <w:spacing w:val="-9"/>
          <w:sz w:val="24"/>
          <w:szCs w:val="24"/>
        </w:rPr>
        <w:t>）推荐模式。软件可以模拟三维区域的声级分布，</w:t>
      </w:r>
    </w:p>
    <w:p>
      <w:pPr>
        <w:spacing w:before="1" w:line="218" w:lineRule="auto"/>
        <w:ind w:left="125"/>
        <w:rPr>
          <w:rFonts w:ascii="宋体" w:hAnsi="宋体" w:eastAsia="宋体" w:cs="宋体"/>
          <w:sz w:val="24"/>
          <w:szCs w:val="24"/>
        </w:rPr>
      </w:pPr>
      <w:r>
        <w:rPr>
          <w:rFonts w:ascii="宋体" w:hAnsi="宋体" w:eastAsia="宋体" w:cs="宋体"/>
          <w:spacing w:val="-3"/>
          <w:sz w:val="24"/>
          <w:szCs w:val="24"/>
        </w:rPr>
        <w:t>软件可以三维模拟区域声级分布。</w:t>
      </w:r>
    </w:p>
    <w:p>
      <w:pPr>
        <w:spacing w:before="181" w:line="219" w:lineRule="auto"/>
        <w:ind w:left="620"/>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、基本预测模式</w:t>
      </w:r>
    </w:p>
    <w:p>
      <w:pPr>
        <w:spacing w:before="184" w:line="233" w:lineRule="auto"/>
        <w:ind w:left="608"/>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）第</w:t>
      </w:r>
      <w:r>
        <w:rPr>
          <w:rFonts w:ascii="宋体" w:hAnsi="宋体" w:eastAsia="宋体" w:cs="宋体"/>
          <w:spacing w:val="-19"/>
          <w:sz w:val="24"/>
          <w:szCs w:val="24"/>
        </w:rPr>
        <w:t xml:space="preserve"> </w:t>
      </w:r>
      <w:r>
        <w:rPr>
          <w:rFonts w:ascii="Times New Roman" w:hAnsi="Times New Roman" w:eastAsia="Times New Roman" w:cs="Times New Roman"/>
          <w:i/>
          <w:iCs/>
          <w:spacing w:val="-6"/>
          <w:sz w:val="24"/>
          <w:szCs w:val="24"/>
        </w:rPr>
        <w:t xml:space="preserve">i </w:t>
      </w:r>
      <w:r>
        <w:rPr>
          <w:rFonts w:ascii="宋体" w:hAnsi="宋体" w:eastAsia="宋体" w:cs="宋体"/>
          <w:spacing w:val="-6"/>
          <w:sz w:val="24"/>
          <w:szCs w:val="24"/>
        </w:rPr>
        <w:t>类车等效声级的预测模式：</w:t>
      </w:r>
    </w:p>
    <w:p>
      <w:pPr>
        <w:pStyle w:val="2"/>
        <w:spacing w:before="199" w:line="923" w:lineRule="exact"/>
        <w:ind w:firstLine="4480"/>
      </w:pPr>
      <w:r>
        <w:rPr>
          <w:position w:val="-18"/>
        </w:rPr>
        <w:pict>
          <v:shape id="_x0000_s1037" o:spid="_x0000_s1037" o:spt="202" type="#_x0000_t202" style="height:46.2pt;width:49.4pt;" fillcolor="#FFFFFF" filled="t" stroked="f" coordsize="21600,21600">
            <v:path/>
            <v:fill on="t" focussize="0,0"/>
            <v:stroke on="f"/>
            <v:imagedata o:title=""/>
            <o:lock v:ext="edit" aspectratio="f"/>
            <v:textbox inset="0mm,0mm,0mm,0mm">
              <w:txbxContent>
                <w:p>
                  <w:pPr>
                    <w:spacing w:before="161" w:line="223" w:lineRule="auto"/>
                    <w:ind w:left="129"/>
                    <w:rPr>
                      <w:rFonts w:ascii="宋体" w:hAnsi="宋体" w:eastAsia="宋体" w:cs="宋体"/>
                      <w:sz w:val="14"/>
                      <w:szCs w:val="14"/>
                    </w:rPr>
                  </w:pPr>
                  <w:r>
                    <w:rPr>
                      <w:rFonts w:ascii="宋体" w:hAnsi="宋体" w:eastAsia="宋体" w:cs="宋体"/>
                      <w:spacing w:val="12"/>
                      <w:sz w:val="28"/>
                      <w:szCs w:val="28"/>
                      <w14:textOutline w14:w="5094" w14:cap="flat" w14:cmpd="sng">
                        <w14:solidFill>
                          <w14:srgbClr w14:val="000000"/>
                        </w14:solidFill>
                        <w14:prstDash w14:val="solid"/>
                        <w14:miter w14:val="0"/>
                      </w14:textOutline>
                    </w:rPr>
                    <w:t>△</w:t>
                  </w:r>
                  <w:r>
                    <w:rPr>
                      <w:rFonts w:ascii="Arial" w:hAnsi="Arial" w:eastAsia="Arial" w:cs="Arial"/>
                      <w:b/>
                      <w:bCs/>
                      <w:i/>
                      <w:iCs/>
                      <w:spacing w:val="12"/>
                      <w:sz w:val="29"/>
                      <w:szCs w:val="29"/>
                    </w:rPr>
                    <w:t>L</w:t>
                  </w:r>
                  <w:r>
                    <w:rPr>
                      <w:rFonts w:ascii="宋体" w:hAnsi="宋体" w:eastAsia="宋体" w:cs="宋体"/>
                      <w:i/>
                      <w:iCs/>
                      <w:spacing w:val="12"/>
                      <w:position w:val="-1"/>
                      <w:sz w:val="14"/>
                      <w:szCs w:val="14"/>
                      <w14:textOutline w14:w="2525" w14:cap="flat" w14:cmpd="sng">
                        <w14:solidFill>
                          <w14:srgbClr w14:val="000000"/>
                        </w14:solidFill>
                        <w14:prstDash w14:val="solid"/>
                        <w14:miter w14:val="0"/>
                      </w14:textOutline>
                    </w:rPr>
                    <w:t>距离</w:t>
                  </w:r>
                </w:p>
              </w:txbxContent>
            </v:textbox>
            <w10:wrap type="none"/>
            <w10:anchorlock/>
          </v:shape>
        </w:pict>
      </w:r>
    </w:p>
    <w:p>
      <w:pPr>
        <w:spacing w:before="116" w:line="220" w:lineRule="auto"/>
        <w:ind w:left="606"/>
        <w:rPr>
          <w:rFonts w:ascii="宋体" w:hAnsi="宋体" w:eastAsia="宋体" w:cs="宋体"/>
          <w:sz w:val="24"/>
          <w:szCs w:val="24"/>
        </w:rPr>
      </w:pPr>
      <w:r>
        <w:rPr>
          <w:rFonts w:ascii="宋体" w:hAnsi="宋体" w:eastAsia="宋体" w:cs="宋体"/>
          <w:spacing w:val="-16"/>
          <w:sz w:val="24"/>
          <w:szCs w:val="24"/>
        </w:rPr>
        <w:t>式中：</w:t>
      </w:r>
    </w:p>
    <w:p>
      <w:pPr>
        <w:spacing w:line="220" w:lineRule="auto"/>
        <w:rPr>
          <w:rFonts w:ascii="宋体" w:hAnsi="宋体" w:eastAsia="宋体" w:cs="宋体"/>
          <w:sz w:val="24"/>
          <w:szCs w:val="24"/>
        </w:rPr>
        <w:sectPr>
          <w:headerReference r:id="rId259" w:type="default"/>
          <w:footerReference r:id="rId260" w:type="default"/>
          <w:pgSz w:w="11907" w:h="16839"/>
          <w:pgMar w:top="1118" w:right="1351" w:bottom="1072" w:left="1303" w:header="877" w:footer="911" w:gutter="0"/>
          <w:cols w:space="720" w:num="1"/>
        </w:sectPr>
      </w:pPr>
    </w:p>
    <w:p>
      <w:pPr>
        <w:spacing w:before="375" w:line="169" w:lineRule="auto"/>
        <w:ind w:left="546"/>
        <w:rPr>
          <w:rFonts w:ascii="宋体" w:hAnsi="宋体" w:eastAsia="宋体" w:cs="宋体"/>
          <w:sz w:val="24"/>
          <w:szCs w:val="24"/>
        </w:rPr>
      </w:pPr>
      <w:r>
        <w:rPr>
          <w:rFonts w:ascii="Times New Roman" w:hAnsi="Times New Roman" w:eastAsia="Times New Roman" w:cs="Times New Roman"/>
          <w:i/>
          <w:iCs/>
          <w:spacing w:val="-4"/>
          <w:w w:val="97"/>
          <w:position w:val="1"/>
          <w:sz w:val="26"/>
          <w:szCs w:val="26"/>
        </w:rPr>
        <w:t>L</w:t>
      </w:r>
      <w:r>
        <w:rPr>
          <w:rFonts w:ascii="Times New Roman" w:hAnsi="Times New Roman" w:eastAsia="Times New Roman" w:cs="Times New Roman"/>
          <w:spacing w:val="-4"/>
          <w:w w:val="97"/>
          <w:position w:val="-5"/>
          <w:sz w:val="15"/>
          <w:szCs w:val="15"/>
        </w:rPr>
        <w:t>eq</w:t>
      </w:r>
      <w:r>
        <w:rPr>
          <w:rFonts w:ascii="Times New Roman" w:hAnsi="Times New Roman" w:eastAsia="Times New Roman" w:cs="Times New Roman"/>
          <w:spacing w:val="9"/>
          <w:position w:val="-5"/>
          <w:sz w:val="15"/>
          <w:szCs w:val="15"/>
        </w:rPr>
        <w:t xml:space="preserve"> </w:t>
      </w:r>
      <w:r>
        <w:rPr>
          <w:rFonts w:ascii="微软雅黑" w:hAnsi="微软雅黑" w:eastAsia="微软雅黑" w:cs="微软雅黑"/>
          <w:spacing w:val="-5"/>
          <w:w w:val="83"/>
          <w:position w:val="1"/>
          <w:sz w:val="34"/>
          <w:szCs w:val="34"/>
        </w:rPr>
        <w:t>(</w:t>
      </w:r>
      <w:r>
        <w:rPr>
          <w:rFonts w:ascii="Times New Roman" w:hAnsi="Times New Roman" w:eastAsia="Times New Roman" w:cs="Times New Roman"/>
          <w:spacing w:val="-5"/>
          <w:w w:val="83"/>
          <w:position w:val="1"/>
          <w:sz w:val="26"/>
          <w:szCs w:val="26"/>
        </w:rPr>
        <w:t>h</w:t>
      </w:r>
      <w:r>
        <w:rPr>
          <w:rFonts w:ascii="微软雅黑" w:hAnsi="微软雅黑" w:eastAsia="微软雅黑" w:cs="微软雅黑"/>
          <w:spacing w:val="-5"/>
          <w:w w:val="83"/>
          <w:position w:val="1"/>
          <w:sz w:val="34"/>
          <w:szCs w:val="34"/>
        </w:rPr>
        <w:t>)</w:t>
      </w:r>
      <w:r>
        <w:rPr>
          <w:rFonts w:ascii="Times New Roman" w:hAnsi="Times New Roman" w:eastAsia="Times New Roman" w:cs="Times New Roman"/>
          <w:spacing w:val="-5"/>
          <w:w w:val="83"/>
          <w:position w:val="-5"/>
          <w:sz w:val="15"/>
          <w:szCs w:val="15"/>
        </w:rPr>
        <w:t>i</w:t>
      </w:r>
      <w:r>
        <w:rPr>
          <w:rFonts w:ascii="Times New Roman" w:hAnsi="Times New Roman" w:eastAsia="Times New Roman" w:cs="Times New Roman"/>
          <w:spacing w:val="7"/>
          <w:position w:val="-5"/>
          <w:sz w:val="15"/>
          <w:szCs w:val="15"/>
        </w:rPr>
        <w:t xml:space="preserve"> </w:t>
      </w:r>
      <w:r>
        <w:rPr>
          <w:rFonts w:ascii="Times New Roman" w:hAnsi="Times New Roman" w:eastAsia="Times New Roman" w:cs="Times New Roman"/>
          <w:spacing w:val="-9"/>
          <w:sz w:val="24"/>
          <w:szCs w:val="24"/>
        </w:rPr>
        <w:t>——</w:t>
      </w:r>
      <w:r>
        <w:rPr>
          <w:rFonts w:ascii="宋体" w:hAnsi="宋体" w:eastAsia="宋体" w:cs="宋体"/>
          <w:spacing w:val="-9"/>
          <w:sz w:val="24"/>
          <w:szCs w:val="24"/>
        </w:rPr>
        <w:t>第</w:t>
      </w:r>
      <w:r>
        <w:rPr>
          <w:rFonts w:ascii="宋体" w:hAnsi="宋体" w:eastAsia="宋体" w:cs="宋体"/>
          <w:spacing w:val="-53"/>
          <w:sz w:val="24"/>
          <w:szCs w:val="24"/>
        </w:rPr>
        <w:t xml:space="preserve"> </w:t>
      </w:r>
      <w:r>
        <w:rPr>
          <w:rFonts w:ascii="Times New Roman" w:hAnsi="Times New Roman" w:eastAsia="Times New Roman" w:cs="Times New Roman"/>
          <w:spacing w:val="-9"/>
          <w:sz w:val="24"/>
          <w:szCs w:val="24"/>
        </w:rPr>
        <w:t xml:space="preserve">i </w:t>
      </w:r>
      <w:r>
        <w:rPr>
          <w:rFonts w:ascii="宋体" w:hAnsi="宋体" w:eastAsia="宋体" w:cs="宋体"/>
          <w:spacing w:val="-9"/>
          <w:sz w:val="24"/>
          <w:szCs w:val="24"/>
        </w:rPr>
        <w:t>类车的小时等效声级，</w:t>
      </w:r>
      <w:r>
        <w:rPr>
          <w:rFonts w:ascii="宋体" w:hAnsi="宋体" w:eastAsia="宋体" w:cs="宋体"/>
          <w:spacing w:val="62"/>
          <w:sz w:val="24"/>
          <w:szCs w:val="24"/>
        </w:rPr>
        <w:t xml:space="preserve"> </w:t>
      </w:r>
      <w:r>
        <w:rPr>
          <w:rFonts w:ascii="Times New Roman" w:hAnsi="Times New Roman" w:eastAsia="Times New Roman" w:cs="Times New Roman"/>
          <w:spacing w:val="-9"/>
          <w:sz w:val="24"/>
          <w:szCs w:val="24"/>
        </w:rPr>
        <w:t>dB(A)</w:t>
      </w:r>
      <w:r>
        <w:rPr>
          <w:rFonts w:ascii="宋体" w:hAnsi="宋体" w:eastAsia="宋体" w:cs="宋体"/>
          <w:spacing w:val="-9"/>
          <w:sz w:val="24"/>
          <w:szCs w:val="24"/>
        </w:rPr>
        <w:t>；</w:t>
      </w:r>
    </w:p>
    <w:p>
      <w:pPr>
        <w:spacing w:before="99" w:line="175" w:lineRule="auto"/>
        <w:jc w:val="right"/>
        <w:rPr>
          <w:rFonts w:ascii="宋体" w:hAnsi="宋体" w:eastAsia="宋体" w:cs="宋体"/>
          <w:sz w:val="24"/>
          <w:szCs w:val="24"/>
        </w:rPr>
      </w:pPr>
      <w:r>
        <w:pict>
          <v:shape id="_x0000_s1038" o:spid="_x0000_s1038" style="position:absolute;left:0pt;margin-left:30.05pt;margin-top:9.25pt;height:0.55pt;width:16.05pt;z-index:-251586560;mso-width-relative:page;mso-height-relative:page;" filled="f" stroked="t" coordsize="320,11" path="m0,5l320,5e">
            <v:fill on="f" focussize="0,0"/>
            <v:stroke weight="0.5pt" color="#000000" miterlimit="10"/>
            <v:imagedata o:title=""/>
            <o:lock v:ext="edit"/>
          </v:shape>
        </w:pict>
      </w:r>
      <w:r>
        <w:rPr>
          <w:rFonts w:ascii="微软雅黑" w:hAnsi="微软雅黑" w:eastAsia="微软雅黑" w:cs="微软雅黑"/>
          <w:spacing w:val="-4"/>
          <w:w w:val="44"/>
          <w:position w:val="9"/>
          <w:sz w:val="50"/>
          <w:szCs w:val="50"/>
        </w:rPr>
        <w:t>(</w:t>
      </w:r>
      <w:r>
        <w:rPr>
          <w:rFonts w:ascii="Times New Roman" w:hAnsi="Times New Roman" w:eastAsia="Times New Roman" w:cs="Times New Roman"/>
          <w:i/>
          <w:iCs/>
          <w:spacing w:val="-4"/>
          <w:position w:val="9"/>
          <w:sz w:val="24"/>
          <w:szCs w:val="24"/>
        </w:rPr>
        <w:t>L</w:t>
      </w:r>
      <w:r>
        <w:rPr>
          <w:rFonts w:ascii="Times New Roman" w:hAnsi="Times New Roman" w:eastAsia="Times New Roman" w:cs="Times New Roman"/>
          <w:spacing w:val="-4"/>
          <w:position w:val="3"/>
          <w:sz w:val="14"/>
          <w:szCs w:val="14"/>
        </w:rPr>
        <w:t>0</w:t>
      </w:r>
      <w:r>
        <w:rPr>
          <w:rFonts w:ascii="Times New Roman" w:hAnsi="Times New Roman" w:eastAsia="Times New Roman" w:cs="Times New Roman"/>
          <w:i/>
          <w:iCs/>
          <w:spacing w:val="-4"/>
          <w:position w:val="3"/>
          <w:sz w:val="14"/>
          <w:szCs w:val="14"/>
        </w:rPr>
        <w:t>E</w:t>
      </w:r>
      <w:r>
        <w:rPr>
          <w:rFonts w:ascii="Times New Roman" w:hAnsi="Times New Roman" w:eastAsia="Times New Roman" w:cs="Times New Roman"/>
          <w:i/>
          <w:iCs/>
          <w:spacing w:val="19"/>
          <w:w w:val="102"/>
          <w:position w:val="3"/>
          <w:sz w:val="14"/>
          <w:szCs w:val="14"/>
        </w:rPr>
        <w:t xml:space="preserve"> </w:t>
      </w:r>
      <w:r>
        <w:rPr>
          <w:rFonts w:ascii="微软雅黑" w:hAnsi="微软雅黑" w:eastAsia="微软雅黑" w:cs="微软雅黑"/>
          <w:spacing w:val="-2"/>
          <w:w w:val="42"/>
          <w:position w:val="9"/>
          <w:sz w:val="50"/>
          <w:szCs w:val="50"/>
        </w:rPr>
        <w:t>)</w:t>
      </w:r>
      <w:r>
        <w:rPr>
          <w:rFonts w:ascii="Times New Roman" w:hAnsi="Times New Roman" w:eastAsia="Times New Roman" w:cs="Times New Roman"/>
          <w:i/>
          <w:iCs/>
          <w:spacing w:val="-2"/>
          <w:w w:val="42"/>
          <w:position w:val="2"/>
          <w:sz w:val="14"/>
          <w:szCs w:val="14"/>
        </w:rPr>
        <w:t>i</w:t>
      </w:r>
      <w:r>
        <w:rPr>
          <w:rFonts w:ascii="Times New Roman" w:hAnsi="Times New Roman" w:eastAsia="Times New Roman" w:cs="Times New Roman"/>
          <w:i/>
          <w:iCs/>
          <w:spacing w:val="3"/>
          <w:position w:val="2"/>
          <w:sz w:val="14"/>
          <w:szCs w:val="14"/>
        </w:rPr>
        <w:t xml:space="preserve"> </w:t>
      </w:r>
      <w:r>
        <w:rPr>
          <w:rFonts w:ascii="Times New Roman" w:hAnsi="Times New Roman" w:eastAsia="Times New Roman" w:cs="Times New Roman"/>
          <w:i/>
          <w:iCs/>
          <w:spacing w:val="2"/>
          <w:position w:val="2"/>
          <w:sz w:val="14"/>
          <w:szCs w:val="14"/>
          <w:u w:val="single" w:color="auto"/>
        </w:rPr>
        <w:t xml:space="preserve">             </w:t>
      </w:r>
      <w:r>
        <w:rPr>
          <w:rFonts w:ascii="Times New Roman" w:hAnsi="Times New Roman" w:eastAsia="Times New Roman" w:cs="Times New Roman"/>
          <w:i/>
          <w:iCs/>
          <w:spacing w:val="-25"/>
          <w:position w:val="2"/>
          <w:sz w:val="14"/>
          <w:szCs w:val="14"/>
        </w:rPr>
        <w:t xml:space="preserve"> </w:t>
      </w:r>
      <w:r>
        <w:rPr>
          <w:rFonts w:ascii="宋体" w:hAnsi="宋体" w:eastAsia="宋体" w:cs="宋体"/>
          <w:spacing w:val="-8"/>
          <w:position w:val="-2"/>
          <w:sz w:val="24"/>
          <w:szCs w:val="24"/>
        </w:rPr>
        <w:t>第</w:t>
      </w:r>
      <w:r>
        <w:rPr>
          <w:rFonts w:ascii="宋体" w:hAnsi="宋体" w:eastAsia="宋体" w:cs="宋体"/>
          <w:spacing w:val="-53"/>
          <w:position w:val="-2"/>
          <w:sz w:val="24"/>
          <w:szCs w:val="24"/>
        </w:rPr>
        <w:t xml:space="preserve"> </w:t>
      </w:r>
      <w:r>
        <w:rPr>
          <w:rFonts w:ascii="Times New Roman" w:hAnsi="Times New Roman" w:eastAsia="Times New Roman" w:cs="Times New Roman"/>
          <w:spacing w:val="-8"/>
          <w:position w:val="-2"/>
          <w:sz w:val="24"/>
          <w:szCs w:val="24"/>
        </w:rPr>
        <w:t xml:space="preserve">i </w:t>
      </w:r>
      <w:r>
        <w:rPr>
          <w:rFonts w:ascii="宋体" w:hAnsi="宋体" w:eastAsia="宋体" w:cs="宋体"/>
          <w:spacing w:val="-8"/>
          <w:position w:val="-2"/>
          <w:sz w:val="24"/>
          <w:szCs w:val="24"/>
        </w:rPr>
        <w:t>类车速度为</w:t>
      </w:r>
      <w:r>
        <w:rPr>
          <w:rFonts w:ascii="宋体" w:hAnsi="宋体" w:eastAsia="宋体" w:cs="宋体"/>
          <w:spacing w:val="-29"/>
          <w:position w:val="-2"/>
          <w:sz w:val="24"/>
          <w:szCs w:val="24"/>
        </w:rPr>
        <w:t xml:space="preserve"> </w:t>
      </w:r>
      <w:r>
        <w:rPr>
          <w:rFonts w:ascii="Times New Roman" w:hAnsi="Times New Roman" w:eastAsia="Times New Roman" w:cs="Times New Roman"/>
          <w:i/>
          <w:iCs/>
          <w:spacing w:val="-8"/>
          <w:position w:val="-2"/>
          <w:sz w:val="24"/>
          <w:szCs w:val="24"/>
        </w:rPr>
        <w:t>Vi</w:t>
      </w:r>
      <w:r>
        <w:rPr>
          <w:rFonts w:ascii="Times New Roman" w:hAnsi="Times New Roman" w:eastAsia="Times New Roman" w:cs="Times New Roman"/>
          <w:i/>
          <w:iCs/>
          <w:spacing w:val="-31"/>
          <w:position w:val="-2"/>
          <w:sz w:val="24"/>
          <w:szCs w:val="24"/>
        </w:rPr>
        <w:t xml:space="preserve"> </w:t>
      </w:r>
      <w:r>
        <w:rPr>
          <w:rFonts w:ascii="宋体" w:hAnsi="宋体" w:eastAsia="宋体" w:cs="宋体"/>
          <w:spacing w:val="-8"/>
          <w:position w:val="-2"/>
          <w:sz w:val="24"/>
          <w:szCs w:val="24"/>
        </w:rPr>
        <w:t>，</w:t>
      </w:r>
      <w:r>
        <w:rPr>
          <w:rFonts w:ascii="Times New Roman" w:hAnsi="Times New Roman" w:eastAsia="Times New Roman" w:cs="Times New Roman"/>
          <w:spacing w:val="-8"/>
          <w:position w:val="-2"/>
          <w:sz w:val="24"/>
          <w:szCs w:val="24"/>
        </w:rPr>
        <w:t>km/h</w:t>
      </w:r>
      <w:r>
        <w:rPr>
          <w:rFonts w:ascii="宋体" w:hAnsi="宋体" w:eastAsia="宋体" w:cs="宋体"/>
          <w:spacing w:val="-8"/>
          <w:position w:val="-2"/>
          <w:sz w:val="24"/>
          <w:szCs w:val="24"/>
        </w:rPr>
        <w:t>，水平距离为</w:t>
      </w:r>
      <w:r>
        <w:rPr>
          <w:rFonts w:ascii="宋体" w:hAnsi="宋体" w:eastAsia="宋体" w:cs="宋体"/>
          <w:spacing w:val="-38"/>
          <w:position w:val="-2"/>
          <w:sz w:val="24"/>
          <w:szCs w:val="24"/>
        </w:rPr>
        <w:t xml:space="preserve"> </w:t>
      </w:r>
      <w:r>
        <w:rPr>
          <w:rFonts w:ascii="Times New Roman" w:hAnsi="Times New Roman" w:eastAsia="Times New Roman" w:cs="Times New Roman"/>
          <w:spacing w:val="-8"/>
          <w:position w:val="-2"/>
          <w:sz w:val="24"/>
          <w:szCs w:val="24"/>
        </w:rPr>
        <w:t>7.5m</w:t>
      </w:r>
      <w:r>
        <w:rPr>
          <w:rFonts w:ascii="Times New Roman" w:hAnsi="Times New Roman" w:eastAsia="Times New Roman" w:cs="Times New Roman"/>
          <w:spacing w:val="14"/>
          <w:position w:val="-2"/>
          <w:sz w:val="24"/>
          <w:szCs w:val="24"/>
        </w:rPr>
        <w:t xml:space="preserve"> </w:t>
      </w:r>
      <w:r>
        <w:rPr>
          <w:rFonts w:ascii="宋体" w:hAnsi="宋体" w:eastAsia="宋体" w:cs="宋体"/>
          <w:spacing w:val="-8"/>
          <w:position w:val="-2"/>
          <w:sz w:val="24"/>
          <w:szCs w:val="24"/>
        </w:rPr>
        <w:t>处的能量平均</w:t>
      </w:r>
      <w:r>
        <w:rPr>
          <w:rFonts w:ascii="宋体" w:hAnsi="宋体" w:eastAsia="宋体" w:cs="宋体"/>
          <w:spacing w:val="-57"/>
          <w:position w:val="-2"/>
          <w:sz w:val="24"/>
          <w:szCs w:val="24"/>
        </w:rPr>
        <w:t xml:space="preserve"> </w:t>
      </w:r>
      <w:r>
        <w:rPr>
          <w:rFonts w:ascii="Times New Roman" w:hAnsi="Times New Roman" w:eastAsia="Times New Roman" w:cs="Times New Roman"/>
          <w:spacing w:val="-8"/>
          <w:position w:val="-2"/>
          <w:sz w:val="24"/>
          <w:szCs w:val="24"/>
        </w:rPr>
        <w:t>A</w:t>
      </w:r>
      <w:r>
        <w:rPr>
          <w:rFonts w:ascii="Times New Roman" w:hAnsi="Times New Roman" w:eastAsia="Times New Roman" w:cs="Times New Roman"/>
          <w:spacing w:val="14"/>
          <w:position w:val="-2"/>
          <w:sz w:val="24"/>
          <w:szCs w:val="24"/>
        </w:rPr>
        <w:t xml:space="preserve"> </w:t>
      </w:r>
      <w:r>
        <w:rPr>
          <w:rFonts w:ascii="宋体" w:hAnsi="宋体" w:eastAsia="宋体" w:cs="宋体"/>
          <w:spacing w:val="-8"/>
          <w:position w:val="-2"/>
          <w:sz w:val="24"/>
          <w:szCs w:val="24"/>
        </w:rPr>
        <w:t xml:space="preserve">声级， </w:t>
      </w:r>
      <w:r>
        <w:rPr>
          <w:rFonts w:ascii="Times New Roman" w:hAnsi="Times New Roman" w:eastAsia="Times New Roman" w:cs="Times New Roman"/>
          <w:spacing w:val="-8"/>
          <w:position w:val="-2"/>
          <w:sz w:val="24"/>
          <w:szCs w:val="24"/>
        </w:rPr>
        <w:t>dB</w:t>
      </w:r>
      <w:r>
        <w:rPr>
          <w:rFonts w:ascii="宋体" w:hAnsi="宋体" w:eastAsia="宋体" w:cs="宋体"/>
          <w:spacing w:val="-8"/>
          <w:position w:val="-2"/>
          <w:sz w:val="24"/>
          <w:szCs w:val="24"/>
        </w:rPr>
        <w:t>；</w:t>
      </w:r>
    </w:p>
    <w:p>
      <w:pPr>
        <w:spacing w:before="114" w:line="466" w:lineRule="exact"/>
        <w:ind w:left="502"/>
        <w:rPr>
          <w:rFonts w:ascii="宋体" w:hAnsi="宋体" w:eastAsia="宋体" w:cs="宋体"/>
          <w:sz w:val="24"/>
          <w:szCs w:val="24"/>
        </w:rPr>
      </w:pPr>
      <w:r>
        <w:rPr>
          <w:rFonts w:ascii="Times New Roman" w:hAnsi="Times New Roman" w:eastAsia="Times New Roman" w:cs="Times New Roman"/>
          <w:i/>
          <w:iCs/>
          <w:position w:val="16"/>
          <w:sz w:val="24"/>
          <w:szCs w:val="24"/>
        </w:rPr>
        <w:t>N</w:t>
      </w:r>
      <w:r>
        <w:rPr>
          <w:rFonts w:ascii="Times New Roman" w:hAnsi="Times New Roman" w:eastAsia="Times New Roman" w:cs="Times New Roman"/>
          <w:i/>
          <w:iCs/>
          <w:position w:val="15"/>
          <w:sz w:val="16"/>
          <w:szCs w:val="16"/>
        </w:rPr>
        <w:t>i</w:t>
      </w:r>
      <w:r>
        <w:rPr>
          <w:rFonts w:ascii="Times New Roman" w:hAnsi="Times New Roman" w:eastAsia="Times New Roman" w:cs="Times New Roman"/>
          <w:position w:val="16"/>
          <w:sz w:val="24"/>
          <w:szCs w:val="24"/>
        </w:rPr>
        <w:t>——</w:t>
      </w:r>
      <w:r>
        <w:rPr>
          <w:rFonts w:ascii="宋体" w:hAnsi="宋体" w:eastAsia="宋体" w:cs="宋体"/>
          <w:position w:val="16"/>
          <w:sz w:val="24"/>
          <w:szCs w:val="24"/>
        </w:rPr>
        <w:t>昼间，夜间通过某个预测点的第</w:t>
      </w:r>
      <w:r>
        <w:rPr>
          <w:rFonts w:ascii="宋体" w:hAnsi="宋体" w:eastAsia="宋体" w:cs="宋体"/>
          <w:spacing w:val="-53"/>
          <w:position w:val="16"/>
          <w:sz w:val="24"/>
          <w:szCs w:val="24"/>
        </w:rPr>
        <w:t xml:space="preserve"> </w:t>
      </w:r>
      <w:r>
        <w:rPr>
          <w:rFonts w:ascii="Times New Roman" w:hAnsi="Times New Roman" w:eastAsia="Times New Roman" w:cs="Times New Roman"/>
          <w:position w:val="16"/>
          <w:sz w:val="24"/>
          <w:szCs w:val="24"/>
        </w:rPr>
        <w:t xml:space="preserve">i </w:t>
      </w:r>
      <w:r>
        <w:rPr>
          <w:rFonts w:ascii="宋体" w:hAnsi="宋体" w:eastAsia="宋体" w:cs="宋体"/>
          <w:position w:val="16"/>
          <w:sz w:val="24"/>
          <w:szCs w:val="24"/>
        </w:rPr>
        <w:t>类车平均小时车流量，辆</w:t>
      </w:r>
      <w:r>
        <w:rPr>
          <w:rFonts w:ascii="Times New Roman" w:hAnsi="Times New Roman" w:eastAsia="Times New Roman" w:cs="Times New Roman"/>
          <w:position w:val="16"/>
          <w:sz w:val="24"/>
          <w:szCs w:val="24"/>
        </w:rPr>
        <w:t>/h</w:t>
      </w:r>
      <w:r>
        <w:rPr>
          <w:rFonts w:ascii="宋体" w:hAnsi="宋体" w:eastAsia="宋体" w:cs="宋体"/>
          <w:position w:val="16"/>
          <w:sz w:val="24"/>
          <w:szCs w:val="24"/>
        </w:rPr>
        <w:t>；</w:t>
      </w:r>
    </w:p>
    <w:p>
      <w:pPr>
        <w:spacing w:before="1" w:line="234" w:lineRule="auto"/>
        <w:ind w:left="510"/>
        <w:rPr>
          <w:rFonts w:ascii="宋体" w:hAnsi="宋体" w:eastAsia="宋体" w:cs="宋体"/>
          <w:sz w:val="24"/>
          <w:szCs w:val="24"/>
        </w:rPr>
      </w:pPr>
      <w:r>
        <w:rPr>
          <w:rFonts w:ascii="Times New Roman" w:hAnsi="Times New Roman" w:eastAsia="Times New Roman" w:cs="Times New Roman"/>
          <w:spacing w:val="-6"/>
          <w:sz w:val="24"/>
          <w:szCs w:val="24"/>
        </w:rPr>
        <w:t>V</w:t>
      </w:r>
      <w:r>
        <w:rPr>
          <w:rFonts w:ascii="Times New Roman" w:hAnsi="Times New Roman" w:eastAsia="Times New Roman" w:cs="Times New Roman"/>
          <w:spacing w:val="-6"/>
          <w:position w:val="-1"/>
          <w:sz w:val="16"/>
          <w:szCs w:val="16"/>
        </w:rPr>
        <w:t xml:space="preserve">i </w:t>
      </w:r>
      <w:r>
        <w:rPr>
          <w:rFonts w:ascii="Times New Roman" w:hAnsi="Times New Roman" w:eastAsia="Times New Roman" w:cs="Times New Roman"/>
          <w:spacing w:val="-6"/>
          <w:sz w:val="24"/>
          <w:szCs w:val="24"/>
        </w:rPr>
        <w:t>——</w:t>
      </w:r>
      <w:r>
        <w:rPr>
          <w:rFonts w:ascii="宋体" w:hAnsi="宋体" w:eastAsia="宋体" w:cs="宋体"/>
          <w:spacing w:val="-6"/>
          <w:sz w:val="24"/>
          <w:szCs w:val="24"/>
        </w:rPr>
        <w:t>第</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 xml:space="preserve">i </w:t>
      </w:r>
      <w:r>
        <w:rPr>
          <w:rFonts w:ascii="宋体" w:hAnsi="宋体" w:eastAsia="宋体" w:cs="宋体"/>
          <w:spacing w:val="-6"/>
          <w:sz w:val="24"/>
          <w:szCs w:val="24"/>
        </w:rPr>
        <w:t xml:space="preserve">类车的平均车速， </w:t>
      </w:r>
      <w:r>
        <w:rPr>
          <w:rFonts w:ascii="Times New Roman" w:hAnsi="Times New Roman" w:eastAsia="Times New Roman" w:cs="Times New Roman"/>
          <w:spacing w:val="-6"/>
          <w:sz w:val="24"/>
          <w:szCs w:val="24"/>
        </w:rPr>
        <w:t>km/h</w:t>
      </w:r>
      <w:r>
        <w:rPr>
          <w:rFonts w:ascii="宋体" w:hAnsi="宋体" w:eastAsia="宋体" w:cs="宋体"/>
          <w:spacing w:val="-6"/>
          <w:sz w:val="24"/>
          <w:szCs w:val="24"/>
        </w:rPr>
        <w:t>；</w:t>
      </w:r>
    </w:p>
    <w:p>
      <w:pPr>
        <w:spacing w:before="161" w:line="220" w:lineRule="auto"/>
        <w:ind w:left="515"/>
        <w:rPr>
          <w:rFonts w:ascii="宋体" w:hAnsi="宋体" w:eastAsia="宋体" w:cs="宋体"/>
          <w:sz w:val="24"/>
          <w:szCs w:val="24"/>
        </w:rPr>
      </w:pPr>
      <w:r>
        <w:rPr>
          <w:rFonts w:ascii="Times New Roman" w:hAnsi="Times New Roman" w:eastAsia="Times New Roman" w:cs="Times New Roman"/>
          <w:spacing w:val="-14"/>
          <w:sz w:val="24"/>
          <w:szCs w:val="24"/>
        </w:rPr>
        <w:t>T——</w:t>
      </w:r>
      <w:r>
        <w:rPr>
          <w:rFonts w:ascii="宋体" w:hAnsi="宋体" w:eastAsia="宋体" w:cs="宋体"/>
          <w:spacing w:val="-14"/>
          <w:sz w:val="24"/>
          <w:szCs w:val="24"/>
        </w:rPr>
        <w:t>计算等效声级的时间，</w:t>
      </w:r>
      <w:r>
        <w:rPr>
          <w:rFonts w:ascii="宋体" w:hAnsi="宋体" w:eastAsia="宋体" w:cs="宋体"/>
          <w:spacing w:val="96"/>
          <w:sz w:val="24"/>
          <w:szCs w:val="24"/>
        </w:rPr>
        <w:t xml:space="preserve"> </w:t>
      </w:r>
      <w:r>
        <w:rPr>
          <w:rFonts w:ascii="Times New Roman" w:hAnsi="Times New Roman" w:eastAsia="Times New Roman" w:cs="Times New Roman"/>
          <w:spacing w:val="-14"/>
          <w:sz w:val="24"/>
          <w:szCs w:val="24"/>
        </w:rPr>
        <w:t>1h</w:t>
      </w:r>
      <w:r>
        <w:rPr>
          <w:rFonts w:ascii="宋体" w:hAnsi="宋体" w:eastAsia="宋体" w:cs="宋体"/>
          <w:spacing w:val="-14"/>
          <w:sz w:val="24"/>
          <w:szCs w:val="24"/>
        </w:rPr>
        <w:t>；</w:t>
      </w:r>
    </w:p>
    <w:p>
      <w:pPr>
        <w:spacing w:before="180" w:line="468" w:lineRule="exact"/>
        <w:ind w:right="47"/>
        <w:jc w:val="right"/>
        <w:rPr>
          <w:rFonts w:ascii="宋体" w:hAnsi="宋体" w:eastAsia="宋体" w:cs="宋体"/>
          <w:sz w:val="12"/>
          <w:szCs w:val="12"/>
        </w:rPr>
      </w:pPr>
      <w:r>
        <w:rPr>
          <w:rFonts w:ascii="宋体" w:hAnsi="宋体" w:eastAsia="宋体" w:cs="宋体"/>
          <w:spacing w:val="5"/>
          <w:position w:val="17"/>
          <w:sz w:val="24"/>
          <w:szCs w:val="24"/>
        </w:rPr>
        <w:t>△</w:t>
      </w:r>
      <w:r>
        <w:rPr>
          <w:rFonts w:ascii="Times New Roman" w:hAnsi="Times New Roman" w:eastAsia="Times New Roman" w:cs="Times New Roman"/>
          <w:spacing w:val="5"/>
          <w:position w:val="17"/>
          <w:sz w:val="24"/>
          <w:szCs w:val="24"/>
        </w:rPr>
        <w:t>L</w:t>
      </w:r>
      <w:r>
        <w:rPr>
          <w:rFonts w:ascii="Times New Roman" w:hAnsi="Times New Roman" w:eastAsia="Times New Roman" w:cs="Times New Roman"/>
          <w:spacing w:val="57"/>
          <w:position w:val="17"/>
          <w:sz w:val="24"/>
          <w:szCs w:val="24"/>
        </w:rPr>
        <w:t xml:space="preserve"> </w:t>
      </w:r>
      <w:r>
        <w:rPr>
          <w:rFonts w:ascii="宋体" w:hAnsi="宋体" w:eastAsia="宋体" w:cs="宋体"/>
          <w:spacing w:val="5"/>
          <w:position w:val="16"/>
          <w:sz w:val="12"/>
          <w:szCs w:val="12"/>
        </w:rPr>
        <w:t xml:space="preserve">距离  </w:t>
      </w:r>
      <w:r>
        <w:rPr>
          <w:rFonts w:ascii="Times New Roman" w:hAnsi="Times New Roman" w:eastAsia="Times New Roman" w:cs="Times New Roman"/>
          <w:spacing w:val="5"/>
          <w:position w:val="17"/>
          <w:sz w:val="24"/>
          <w:szCs w:val="24"/>
        </w:rPr>
        <w:t>——</w:t>
      </w:r>
      <w:r>
        <w:rPr>
          <w:rFonts w:ascii="Times New Roman" w:hAnsi="Times New Roman" w:eastAsia="Times New Roman" w:cs="Times New Roman"/>
          <w:spacing w:val="-40"/>
          <w:position w:val="17"/>
          <w:sz w:val="24"/>
          <w:szCs w:val="24"/>
        </w:rPr>
        <w:t xml:space="preserve"> </w:t>
      </w:r>
      <w:r>
        <w:rPr>
          <w:rFonts w:ascii="宋体" w:hAnsi="宋体" w:eastAsia="宋体" w:cs="宋体"/>
          <w:spacing w:val="5"/>
          <w:position w:val="17"/>
          <w:sz w:val="24"/>
          <w:szCs w:val="24"/>
        </w:rPr>
        <w:t>距离衰减量，</w:t>
      </w:r>
      <w:r>
        <w:rPr>
          <w:rFonts w:ascii="Times New Roman" w:hAnsi="Times New Roman" w:eastAsia="Times New Roman" w:cs="Times New Roman"/>
          <w:position w:val="17"/>
          <w:sz w:val="24"/>
          <w:szCs w:val="24"/>
        </w:rPr>
        <w:t>dB</w:t>
      </w:r>
      <w:r>
        <w:rPr>
          <w:rFonts w:ascii="Times New Roman" w:hAnsi="Times New Roman" w:eastAsia="Times New Roman" w:cs="Times New Roman"/>
          <w:spacing w:val="5"/>
          <w:position w:val="17"/>
          <w:sz w:val="24"/>
          <w:szCs w:val="24"/>
        </w:rPr>
        <w:t>(A)</w:t>
      </w:r>
      <w:r>
        <w:rPr>
          <w:rFonts w:ascii="宋体" w:hAnsi="宋体" w:eastAsia="宋体" w:cs="宋体"/>
          <w:spacing w:val="5"/>
          <w:position w:val="17"/>
          <w:sz w:val="24"/>
          <w:szCs w:val="24"/>
        </w:rPr>
        <w:t xml:space="preserve">，小时车流量大于等于 </w:t>
      </w:r>
      <w:r>
        <w:rPr>
          <w:rFonts w:ascii="Times New Roman" w:hAnsi="Times New Roman" w:eastAsia="Times New Roman" w:cs="Times New Roman"/>
          <w:spacing w:val="5"/>
          <w:position w:val="17"/>
          <w:sz w:val="24"/>
          <w:szCs w:val="24"/>
        </w:rPr>
        <w:t>30</w:t>
      </w:r>
      <w:r>
        <w:rPr>
          <w:rFonts w:ascii="Times New Roman" w:hAnsi="Times New Roman" w:eastAsia="Times New Roman" w:cs="Times New Roman"/>
          <w:spacing w:val="4"/>
          <w:position w:val="17"/>
          <w:sz w:val="24"/>
          <w:szCs w:val="24"/>
        </w:rPr>
        <w:t>0</w:t>
      </w:r>
      <w:r>
        <w:rPr>
          <w:rFonts w:ascii="Times New Roman" w:hAnsi="Times New Roman" w:eastAsia="Times New Roman" w:cs="Times New Roman"/>
          <w:spacing w:val="12"/>
          <w:position w:val="17"/>
          <w:sz w:val="24"/>
          <w:szCs w:val="24"/>
        </w:rPr>
        <w:t xml:space="preserve">  </w:t>
      </w:r>
      <w:r>
        <w:rPr>
          <w:rFonts w:ascii="宋体" w:hAnsi="宋体" w:eastAsia="宋体" w:cs="宋体"/>
          <w:spacing w:val="4"/>
          <w:position w:val="17"/>
          <w:sz w:val="24"/>
          <w:szCs w:val="24"/>
        </w:rPr>
        <w:t>辆</w:t>
      </w:r>
      <w:r>
        <w:rPr>
          <w:rFonts w:ascii="Times New Roman" w:hAnsi="Times New Roman" w:eastAsia="Times New Roman" w:cs="Times New Roman"/>
          <w:spacing w:val="4"/>
          <w:position w:val="17"/>
          <w:sz w:val="24"/>
          <w:szCs w:val="24"/>
        </w:rPr>
        <w:t>/</w:t>
      </w:r>
      <w:r>
        <w:rPr>
          <w:rFonts w:ascii="宋体" w:hAnsi="宋体" w:eastAsia="宋体" w:cs="宋体"/>
          <w:spacing w:val="4"/>
          <w:position w:val="17"/>
          <w:sz w:val="24"/>
          <w:szCs w:val="24"/>
        </w:rPr>
        <w:t>小时：</w:t>
      </w:r>
      <w:r>
        <w:rPr>
          <w:rFonts w:ascii="宋体" w:hAnsi="宋体" w:eastAsia="宋体" w:cs="宋体"/>
          <w:spacing w:val="43"/>
          <w:position w:val="17"/>
          <w:sz w:val="24"/>
          <w:szCs w:val="24"/>
        </w:rPr>
        <w:t xml:space="preserve"> </w:t>
      </w: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 xml:space="preserve">L  </w:t>
      </w:r>
      <w:r>
        <w:rPr>
          <w:rFonts w:ascii="宋体" w:hAnsi="宋体" w:eastAsia="宋体" w:cs="宋体"/>
          <w:spacing w:val="4"/>
          <w:position w:val="16"/>
          <w:sz w:val="12"/>
          <w:szCs w:val="12"/>
        </w:rPr>
        <w:t>距离</w:t>
      </w:r>
    </w:p>
    <w:p>
      <w:pPr>
        <w:spacing w:line="212" w:lineRule="auto"/>
        <w:ind w:left="33"/>
        <w:rPr>
          <w:rFonts w:ascii="宋体" w:hAnsi="宋体" w:eastAsia="宋体" w:cs="宋体"/>
          <w:sz w:val="24"/>
          <w:szCs w:val="24"/>
        </w:rPr>
      </w:pPr>
      <w:r>
        <w:rPr>
          <w:rFonts w:ascii="Times New Roman" w:hAnsi="Times New Roman" w:eastAsia="Times New Roman" w:cs="Times New Roman"/>
          <w:spacing w:val="-3"/>
          <w:sz w:val="24"/>
          <w:szCs w:val="24"/>
        </w:rPr>
        <w:t>=10lg(7.5/r</w:t>
      </w:r>
      <w:r>
        <w:rPr>
          <w:rFonts w:ascii="宋体" w:hAnsi="宋体" w:eastAsia="宋体" w:cs="宋体"/>
          <w:spacing w:val="-9"/>
          <w:sz w:val="24"/>
          <w:szCs w:val="24"/>
        </w:rPr>
        <w:t>），</w:t>
      </w:r>
      <w:r>
        <w:rPr>
          <w:rFonts w:ascii="宋体" w:hAnsi="宋体" w:eastAsia="宋体" w:cs="宋体"/>
          <w:spacing w:val="-3"/>
          <w:sz w:val="24"/>
          <w:szCs w:val="24"/>
        </w:rPr>
        <w:t>小时车流量小于</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300 </w:t>
      </w:r>
      <w:r>
        <w:rPr>
          <w:rFonts w:ascii="宋体" w:hAnsi="宋体" w:eastAsia="宋体" w:cs="宋体"/>
          <w:spacing w:val="-3"/>
          <w:sz w:val="24"/>
          <w:szCs w:val="24"/>
        </w:rPr>
        <w:t>辆</w:t>
      </w:r>
      <w:r>
        <w:rPr>
          <w:rFonts w:ascii="Times New Roman" w:hAnsi="Times New Roman" w:eastAsia="Times New Roman" w:cs="Times New Roman"/>
          <w:spacing w:val="-3"/>
          <w:sz w:val="24"/>
          <w:szCs w:val="24"/>
        </w:rPr>
        <w:t>/</w:t>
      </w:r>
      <w:r>
        <w:rPr>
          <w:rFonts w:ascii="宋体" w:hAnsi="宋体" w:eastAsia="宋体" w:cs="宋体"/>
          <w:spacing w:val="-3"/>
          <w:sz w:val="24"/>
          <w:szCs w:val="24"/>
        </w:rPr>
        <w:t>小时： △</w:t>
      </w:r>
      <w:r>
        <w:rPr>
          <w:rFonts w:ascii="Times New Roman" w:hAnsi="Times New Roman" w:eastAsia="Times New Roman" w:cs="Times New Roman"/>
          <w:spacing w:val="-3"/>
          <w:sz w:val="24"/>
          <w:szCs w:val="24"/>
        </w:rPr>
        <w:t xml:space="preserve">L </w:t>
      </w:r>
      <w:r>
        <w:rPr>
          <w:rFonts w:ascii="宋体" w:hAnsi="宋体" w:eastAsia="宋体" w:cs="宋体"/>
          <w:spacing w:val="-3"/>
          <w:position w:val="-1"/>
          <w:sz w:val="12"/>
          <w:szCs w:val="12"/>
        </w:rPr>
        <w:t xml:space="preserve">距离  </w:t>
      </w:r>
      <w:r>
        <w:rPr>
          <w:rFonts w:ascii="Times New Roman" w:hAnsi="Times New Roman" w:eastAsia="Times New Roman" w:cs="Times New Roman"/>
          <w:spacing w:val="-3"/>
          <w:sz w:val="24"/>
          <w:szCs w:val="24"/>
        </w:rPr>
        <w:t>=15lg</w:t>
      </w:r>
      <w:r>
        <w:rPr>
          <w:rFonts w:ascii="宋体" w:hAnsi="宋体" w:eastAsia="宋体" w:cs="宋体"/>
          <w:spacing w:val="-3"/>
          <w:sz w:val="24"/>
          <w:szCs w:val="24"/>
        </w:rPr>
        <w:t>（</w:t>
      </w:r>
      <w:r>
        <w:rPr>
          <w:rFonts w:ascii="Times New Roman" w:hAnsi="Times New Roman" w:eastAsia="Times New Roman" w:cs="Times New Roman"/>
          <w:spacing w:val="-3"/>
          <w:sz w:val="24"/>
          <w:szCs w:val="24"/>
        </w:rPr>
        <w:t>7.5</w:t>
      </w:r>
      <w:r>
        <w:rPr>
          <w:rFonts w:ascii="Times New Roman" w:hAnsi="Times New Roman" w:eastAsia="Times New Roman" w:cs="Times New Roman"/>
          <w:spacing w:val="-4"/>
          <w:sz w:val="24"/>
          <w:szCs w:val="24"/>
        </w:rPr>
        <w:t>/r</w:t>
      </w:r>
      <w:r>
        <w:rPr>
          <w:rFonts w:ascii="宋体" w:hAnsi="宋体" w:eastAsia="宋体" w:cs="宋体"/>
          <w:spacing w:val="-9"/>
          <w:sz w:val="24"/>
          <w:szCs w:val="24"/>
        </w:rPr>
        <w:t>）；</w:t>
      </w:r>
    </w:p>
    <w:p>
      <w:pPr>
        <w:spacing w:before="193" w:line="221" w:lineRule="auto"/>
        <w:ind w:left="633"/>
        <w:rPr>
          <w:rFonts w:ascii="宋体" w:hAnsi="宋体" w:eastAsia="宋体" w:cs="宋体"/>
          <w:sz w:val="24"/>
          <w:szCs w:val="24"/>
        </w:rPr>
      </w:pPr>
      <w:r>
        <w:rPr>
          <w:rFonts w:ascii="Times New Roman" w:hAnsi="Times New Roman" w:eastAsia="Times New Roman" w:cs="Times New Roman"/>
          <w:i/>
          <w:iCs/>
          <w:spacing w:val="-1"/>
          <w:sz w:val="24"/>
          <w:szCs w:val="24"/>
        </w:rPr>
        <w:t>r</w:t>
      </w:r>
      <w:r>
        <w:rPr>
          <w:rFonts w:ascii="Times New Roman" w:hAnsi="Times New Roman" w:eastAsia="Times New Roman" w:cs="Times New Roman"/>
          <w:spacing w:val="-1"/>
          <w:sz w:val="24"/>
          <w:szCs w:val="24"/>
        </w:rPr>
        <w:t>——</w:t>
      </w:r>
      <w:r>
        <w:rPr>
          <w:rFonts w:ascii="宋体" w:hAnsi="宋体" w:eastAsia="宋体" w:cs="宋体"/>
          <w:spacing w:val="-1"/>
          <w:sz w:val="24"/>
          <w:szCs w:val="24"/>
        </w:rPr>
        <w:t>从车道中心线到预测点的距离</w:t>
      </w:r>
      <w:r>
        <w:rPr>
          <w:rFonts w:ascii="Times New Roman" w:hAnsi="Times New Roman" w:eastAsia="Times New Roman" w:cs="Times New Roman"/>
          <w:spacing w:val="-1"/>
          <w:sz w:val="24"/>
          <w:szCs w:val="24"/>
        </w:rPr>
        <w:t>,m,</w:t>
      </w:r>
      <w:r>
        <w:rPr>
          <w:rFonts w:ascii="宋体" w:hAnsi="宋体" w:eastAsia="宋体" w:cs="宋体"/>
          <w:spacing w:val="-1"/>
          <w:sz w:val="24"/>
          <w:szCs w:val="24"/>
        </w:rPr>
        <w:t>适用</w:t>
      </w:r>
      <w:r>
        <w:rPr>
          <w:rFonts w:ascii="宋体" w:hAnsi="宋体" w:eastAsia="宋体" w:cs="宋体"/>
          <w:spacing w:val="-2"/>
          <w:sz w:val="24"/>
          <w:szCs w:val="24"/>
        </w:rPr>
        <w:t>于</w:t>
      </w:r>
      <w:r>
        <w:rPr>
          <w:rFonts w:ascii="宋体" w:hAnsi="宋体" w:eastAsia="宋体" w:cs="宋体"/>
          <w:spacing w:val="-59"/>
          <w:sz w:val="24"/>
          <w:szCs w:val="24"/>
        </w:rPr>
        <w:t xml:space="preserve"> </w:t>
      </w:r>
      <w:r>
        <w:rPr>
          <w:rFonts w:ascii="Times New Roman" w:hAnsi="Times New Roman" w:eastAsia="Times New Roman" w:cs="Times New Roman"/>
          <w:spacing w:val="-2"/>
          <w:sz w:val="24"/>
          <w:szCs w:val="24"/>
        </w:rPr>
        <w:t>r</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7.5m </w:t>
      </w:r>
      <w:r>
        <w:rPr>
          <w:rFonts w:ascii="宋体" w:hAnsi="宋体" w:eastAsia="宋体" w:cs="宋体"/>
          <w:spacing w:val="-2"/>
          <w:sz w:val="24"/>
          <w:szCs w:val="24"/>
        </w:rPr>
        <w:t>预测点的噪声预测；</w:t>
      </w:r>
    </w:p>
    <w:p>
      <w:pPr>
        <w:spacing w:before="178" w:line="468" w:lineRule="exact"/>
        <w:ind w:left="540"/>
        <w:rPr>
          <w:rFonts w:ascii="宋体" w:hAnsi="宋体" w:eastAsia="宋体" w:cs="宋体"/>
          <w:sz w:val="24"/>
          <w:szCs w:val="24"/>
        </w:rPr>
      </w:pPr>
      <w:r>
        <w:rPr>
          <w:rFonts w:ascii="Times New Roman" w:hAnsi="Times New Roman" w:eastAsia="Times New Roman" w:cs="Times New Roman"/>
          <w:i/>
          <w:iCs/>
          <w:spacing w:val="-3"/>
          <w:position w:val="17"/>
          <w:sz w:val="24"/>
          <w:szCs w:val="24"/>
        </w:rPr>
        <w:t>Ψ</w:t>
      </w:r>
      <w:r>
        <w:rPr>
          <w:rFonts w:ascii="Times New Roman" w:hAnsi="Times New Roman" w:eastAsia="Times New Roman" w:cs="Times New Roman"/>
          <w:i/>
          <w:iCs/>
          <w:spacing w:val="-3"/>
          <w:position w:val="16"/>
          <w:sz w:val="16"/>
          <w:szCs w:val="16"/>
        </w:rPr>
        <w:t>1</w:t>
      </w:r>
      <w:r>
        <w:rPr>
          <w:rFonts w:ascii="Times New Roman" w:hAnsi="Times New Roman" w:eastAsia="Times New Roman" w:cs="Times New Roman"/>
          <w:i/>
          <w:iCs/>
          <w:spacing w:val="-14"/>
          <w:position w:val="16"/>
          <w:sz w:val="16"/>
          <w:szCs w:val="16"/>
        </w:rPr>
        <w:t xml:space="preserve"> </w:t>
      </w:r>
      <w:r>
        <w:rPr>
          <w:rFonts w:ascii="宋体" w:hAnsi="宋体" w:eastAsia="宋体" w:cs="宋体"/>
          <w:i/>
          <w:iCs/>
          <w:spacing w:val="-3"/>
          <w:position w:val="17"/>
          <w:sz w:val="25"/>
          <w:szCs w:val="25"/>
        </w:rPr>
        <w:t>、</w:t>
      </w:r>
      <w:r>
        <w:rPr>
          <w:rFonts w:ascii="Times New Roman" w:hAnsi="Times New Roman" w:eastAsia="Times New Roman" w:cs="Times New Roman"/>
          <w:i/>
          <w:iCs/>
          <w:spacing w:val="-3"/>
          <w:position w:val="17"/>
          <w:sz w:val="24"/>
          <w:szCs w:val="24"/>
        </w:rPr>
        <w:t>Ψ</w:t>
      </w:r>
      <w:r>
        <w:rPr>
          <w:rFonts w:ascii="Times New Roman" w:hAnsi="Times New Roman" w:eastAsia="Times New Roman" w:cs="Times New Roman"/>
          <w:i/>
          <w:iCs/>
          <w:spacing w:val="-24"/>
          <w:position w:val="17"/>
          <w:sz w:val="24"/>
          <w:szCs w:val="24"/>
        </w:rPr>
        <w:t xml:space="preserve"> </w:t>
      </w:r>
      <w:r>
        <w:rPr>
          <w:rFonts w:ascii="Times New Roman" w:hAnsi="Times New Roman" w:eastAsia="Times New Roman" w:cs="Times New Roman"/>
          <w:i/>
          <w:iCs/>
          <w:spacing w:val="-3"/>
          <w:position w:val="16"/>
          <w:sz w:val="16"/>
          <w:szCs w:val="16"/>
        </w:rPr>
        <w:t xml:space="preserve">2 </w:t>
      </w:r>
      <w:r>
        <w:rPr>
          <w:rFonts w:ascii="Times New Roman" w:hAnsi="Times New Roman" w:eastAsia="Times New Roman" w:cs="Times New Roman"/>
          <w:spacing w:val="-3"/>
          <w:position w:val="17"/>
          <w:sz w:val="24"/>
          <w:szCs w:val="24"/>
        </w:rPr>
        <w:t>——</w:t>
      </w:r>
      <w:r>
        <w:rPr>
          <w:rFonts w:ascii="宋体" w:hAnsi="宋体" w:eastAsia="宋体" w:cs="宋体"/>
          <w:spacing w:val="-3"/>
          <w:position w:val="17"/>
          <w:sz w:val="24"/>
          <w:szCs w:val="24"/>
        </w:rPr>
        <w:t>预测点到有限长路段两端的张角，弧度。</w:t>
      </w:r>
    </w:p>
    <w:p>
      <w:pPr>
        <w:spacing w:before="1" w:line="219" w:lineRule="auto"/>
        <w:ind w:left="52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）总车流等效声级为：</w:t>
      </w:r>
    </w:p>
    <w:p>
      <w:pPr>
        <w:spacing w:before="143" w:line="676" w:lineRule="exact"/>
        <w:ind w:firstLine="2207"/>
      </w:pPr>
      <w:r>
        <w:rPr>
          <w:position w:val="-13"/>
        </w:rPr>
        <w:drawing>
          <wp:inline distT="0" distB="0" distL="0" distR="0">
            <wp:extent cx="3295650" cy="42926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471"/>
                    <a:stretch>
                      <a:fillRect/>
                    </a:stretch>
                  </pic:blipFill>
                  <pic:spPr>
                    <a:xfrm>
                      <a:off x="0" y="0"/>
                      <a:ext cx="3296284" cy="429260"/>
                    </a:xfrm>
                    <a:prstGeom prst="rect">
                      <a:avLst/>
                    </a:prstGeom>
                  </pic:spPr>
                </pic:pic>
              </a:graphicData>
            </a:graphic>
          </wp:inline>
        </w:drawing>
      </w:r>
    </w:p>
    <w:p>
      <w:pPr>
        <w:spacing w:before="177" w:line="465" w:lineRule="exact"/>
        <w:ind w:right="59"/>
        <w:jc w:val="right"/>
        <w:rPr>
          <w:rFonts w:ascii="宋体" w:hAnsi="宋体" w:eastAsia="宋体" w:cs="宋体"/>
          <w:sz w:val="24"/>
          <w:szCs w:val="24"/>
        </w:rPr>
      </w:pPr>
      <w:r>
        <w:rPr>
          <w:rFonts w:ascii="宋体" w:hAnsi="宋体" w:eastAsia="宋体" w:cs="宋体"/>
          <w:spacing w:val="5"/>
          <w:position w:val="17"/>
          <w:sz w:val="24"/>
          <w:szCs w:val="24"/>
        </w:rPr>
        <w:t>如某个预测点受多条线路交通噪声影响，应分别计算每条车道</w:t>
      </w:r>
      <w:r>
        <w:rPr>
          <w:rFonts w:ascii="宋体" w:hAnsi="宋体" w:eastAsia="宋体" w:cs="宋体"/>
          <w:spacing w:val="4"/>
          <w:position w:val="17"/>
          <w:sz w:val="24"/>
          <w:szCs w:val="24"/>
        </w:rPr>
        <w:t>对该预测点的声级</w:t>
      </w:r>
    </w:p>
    <w:p>
      <w:pPr>
        <w:spacing w:before="1" w:line="219" w:lineRule="auto"/>
        <w:ind w:left="40"/>
        <w:rPr>
          <w:rFonts w:ascii="宋体" w:hAnsi="宋体" w:eastAsia="宋体" w:cs="宋体"/>
          <w:sz w:val="24"/>
          <w:szCs w:val="24"/>
        </w:rPr>
      </w:pPr>
      <w:r>
        <w:rPr>
          <w:rFonts w:ascii="宋体" w:hAnsi="宋体" w:eastAsia="宋体" w:cs="宋体"/>
          <w:spacing w:val="-4"/>
          <w:sz w:val="24"/>
          <w:szCs w:val="24"/>
        </w:rPr>
        <w:t>后，经叠加后得到贡献值。</w:t>
      </w:r>
    </w:p>
    <w:p>
      <w:pPr>
        <w:spacing w:before="182" w:line="220" w:lineRule="auto"/>
        <w:ind w:left="513"/>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、预测点昼间或夜间的环境噪声预测值计算公式</w:t>
      </w:r>
    </w:p>
    <w:p>
      <w:pPr>
        <w:spacing w:before="173" w:line="167" w:lineRule="auto"/>
        <w:ind w:left="2935"/>
        <w:rPr>
          <w:sz w:val="9"/>
          <w:szCs w:val="9"/>
        </w:rPr>
      </w:pPr>
      <w:r>
        <w:rPr>
          <w:rFonts w:ascii="Times New Roman" w:hAnsi="Times New Roman" w:eastAsia="Times New Roman" w:cs="Times New Roman"/>
          <w:spacing w:val="-5"/>
          <w:position w:val="-1"/>
          <w:sz w:val="23"/>
          <w:szCs w:val="23"/>
        </w:rPr>
        <w:t>(</w:t>
      </w:r>
      <w:r>
        <w:rPr>
          <w:rFonts w:ascii="Times New Roman" w:hAnsi="Times New Roman" w:eastAsia="Times New Roman" w:cs="Times New Roman"/>
          <w:i/>
          <w:iCs/>
          <w:spacing w:val="-5"/>
          <w:position w:val="-1"/>
          <w:sz w:val="23"/>
          <w:szCs w:val="23"/>
        </w:rPr>
        <w:t>L</w:t>
      </w:r>
      <w:r>
        <w:rPr>
          <w:rFonts w:ascii="Times New Roman" w:hAnsi="Times New Roman" w:eastAsia="Times New Roman" w:cs="Times New Roman"/>
          <w:i/>
          <w:iCs/>
          <w:spacing w:val="-5"/>
          <w:position w:val="-7"/>
          <w:sz w:val="13"/>
          <w:szCs w:val="13"/>
        </w:rPr>
        <w:t>eq</w:t>
      </w:r>
      <w:r>
        <w:rPr>
          <w:rFonts w:ascii="Times New Roman" w:hAnsi="Times New Roman" w:eastAsia="Times New Roman" w:cs="Times New Roman"/>
          <w:i/>
          <w:iCs/>
          <w:spacing w:val="11"/>
          <w:w w:val="101"/>
          <w:position w:val="-7"/>
          <w:sz w:val="13"/>
          <w:szCs w:val="13"/>
        </w:rPr>
        <w:t xml:space="preserve"> </w:t>
      </w:r>
      <w:r>
        <w:rPr>
          <w:rFonts w:ascii="Times New Roman" w:hAnsi="Times New Roman" w:eastAsia="Times New Roman" w:cs="Times New Roman"/>
          <w:spacing w:val="-5"/>
          <w:position w:val="-1"/>
          <w:sz w:val="23"/>
          <w:szCs w:val="23"/>
        </w:rPr>
        <w:t>)</w:t>
      </w:r>
      <w:r>
        <w:rPr>
          <w:rFonts w:ascii="宋体" w:hAnsi="宋体" w:eastAsia="宋体" w:cs="宋体"/>
          <w:spacing w:val="-5"/>
          <w:position w:val="-7"/>
          <w:sz w:val="13"/>
          <w:szCs w:val="13"/>
        </w:rPr>
        <w:t>预</w:t>
      </w:r>
      <w:r>
        <w:rPr>
          <w:rFonts w:ascii="宋体" w:hAnsi="宋体" w:eastAsia="宋体" w:cs="宋体"/>
          <w:spacing w:val="21"/>
          <w:position w:val="-7"/>
          <w:sz w:val="13"/>
          <w:szCs w:val="13"/>
        </w:rPr>
        <w:t xml:space="preserve"> </w:t>
      </w:r>
      <w:r>
        <w:rPr>
          <w:rFonts w:ascii="微软雅黑" w:hAnsi="微软雅黑" w:eastAsia="微软雅黑" w:cs="微软雅黑"/>
          <w:spacing w:val="-5"/>
          <w:position w:val="-1"/>
          <w:sz w:val="23"/>
          <w:szCs w:val="23"/>
        </w:rPr>
        <w:t>=</w:t>
      </w:r>
      <w:r>
        <w:rPr>
          <w:rFonts w:ascii="微软雅黑" w:hAnsi="微软雅黑" w:eastAsia="微软雅黑" w:cs="微软雅黑"/>
          <w:spacing w:val="-17"/>
          <w:position w:val="-1"/>
          <w:sz w:val="23"/>
          <w:szCs w:val="23"/>
        </w:rPr>
        <w:t xml:space="preserve"> </w:t>
      </w:r>
      <w:r>
        <w:rPr>
          <w:rFonts w:ascii="Times New Roman" w:hAnsi="Times New Roman" w:eastAsia="Times New Roman" w:cs="Times New Roman"/>
          <w:spacing w:val="-9"/>
          <w:position w:val="-1"/>
          <w:sz w:val="23"/>
          <w:szCs w:val="23"/>
        </w:rPr>
        <w:t>10</w:t>
      </w:r>
      <w:r>
        <w:rPr>
          <w:rFonts w:ascii="Times New Roman" w:hAnsi="Times New Roman" w:eastAsia="Times New Roman" w:cs="Times New Roman"/>
          <w:spacing w:val="-24"/>
          <w:position w:val="-1"/>
          <w:sz w:val="23"/>
          <w:szCs w:val="23"/>
        </w:rPr>
        <w:t xml:space="preserve"> </w:t>
      </w:r>
      <w:r>
        <w:rPr>
          <w:rFonts w:ascii="Times New Roman" w:hAnsi="Times New Roman" w:eastAsia="Times New Roman" w:cs="Times New Roman"/>
          <w:spacing w:val="-9"/>
          <w:position w:val="-1"/>
          <w:sz w:val="23"/>
          <w:szCs w:val="23"/>
        </w:rPr>
        <w:t>lg</w:t>
      </w:r>
      <w:r>
        <w:rPr>
          <w:position w:val="-20"/>
          <w:sz w:val="23"/>
          <w:szCs w:val="23"/>
        </w:rPr>
        <w:drawing>
          <wp:inline distT="0" distB="0" distL="0" distR="0">
            <wp:extent cx="57785" cy="32194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472"/>
                    <a:stretch>
                      <a:fillRect/>
                    </a:stretch>
                  </pic:blipFill>
                  <pic:spPr>
                    <a:xfrm>
                      <a:off x="0" y="0"/>
                      <a:ext cx="58074" cy="322421"/>
                    </a:xfrm>
                    <a:prstGeom prst="rect">
                      <a:avLst/>
                    </a:prstGeom>
                  </pic:spPr>
                </pic:pic>
              </a:graphicData>
            </a:graphic>
          </wp:inline>
        </w:drawing>
      </w:r>
      <w:r>
        <w:rPr>
          <w:rFonts w:ascii="Times New Roman" w:hAnsi="Times New Roman" w:eastAsia="Times New Roman" w:cs="Times New Roman"/>
          <w:spacing w:val="-9"/>
          <w:position w:val="-1"/>
          <w:sz w:val="23"/>
          <w:szCs w:val="23"/>
        </w:rPr>
        <w:t>10</w:t>
      </w:r>
      <w:r>
        <w:rPr>
          <w:rFonts w:ascii="Times New Roman" w:hAnsi="Times New Roman" w:eastAsia="Times New Roman" w:cs="Times New Roman"/>
          <w:spacing w:val="5"/>
          <w:position w:val="13"/>
          <w:sz w:val="13"/>
          <w:szCs w:val="13"/>
        </w:rPr>
        <w:t>0.1</w:t>
      </w:r>
      <w:r>
        <w:rPr>
          <w:rFonts w:ascii="微软雅黑" w:hAnsi="微软雅黑" w:eastAsia="微软雅黑" w:cs="微软雅黑"/>
          <w:spacing w:val="-2"/>
          <w:w w:val="52"/>
          <w:position w:val="14"/>
          <w:sz w:val="25"/>
          <w:szCs w:val="25"/>
        </w:rPr>
        <w:t>(</w:t>
      </w:r>
      <w:r>
        <w:rPr>
          <w:rFonts w:ascii="Times New Roman" w:hAnsi="Times New Roman" w:eastAsia="Times New Roman" w:cs="Times New Roman"/>
          <w:i/>
          <w:iCs/>
          <w:spacing w:val="1"/>
          <w:position w:val="13"/>
          <w:sz w:val="13"/>
          <w:szCs w:val="13"/>
        </w:rPr>
        <w:t>L</w:t>
      </w:r>
      <w:r>
        <w:rPr>
          <w:rFonts w:ascii="Times New Roman" w:hAnsi="Times New Roman" w:eastAsia="Times New Roman" w:cs="Times New Roman"/>
          <w:i/>
          <w:iCs/>
          <w:spacing w:val="1"/>
          <w:position w:val="10"/>
          <w:sz w:val="9"/>
          <w:szCs w:val="9"/>
        </w:rPr>
        <w:t>eq</w:t>
      </w:r>
      <w:r>
        <w:rPr>
          <w:rFonts w:ascii="Times New Roman" w:hAnsi="Times New Roman" w:eastAsia="Times New Roman" w:cs="Times New Roman"/>
          <w:i/>
          <w:iCs/>
          <w:spacing w:val="9"/>
          <w:w w:val="104"/>
          <w:position w:val="10"/>
          <w:sz w:val="9"/>
          <w:szCs w:val="9"/>
        </w:rPr>
        <w:t xml:space="preserve"> </w:t>
      </w:r>
      <w:r>
        <w:rPr>
          <w:rFonts w:ascii="微软雅黑" w:hAnsi="微软雅黑" w:eastAsia="微软雅黑" w:cs="微软雅黑"/>
          <w:spacing w:val="-2"/>
          <w:w w:val="53"/>
          <w:position w:val="14"/>
          <w:sz w:val="25"/>
          <w:szCs w:val="25"/>
        </w:rPr>
        <w:t>)</w:t>
      </w:r>
      <w:r>
        <w:rPr>
          <w:rFonts w:ascii="宋体" w:hAnsi="宋体" w:eastAsia="宋体" w:cs="宋体"/>
          <w:spacing w:val="-7"/>
          <w:w w:val="99"/>
          <w:position w:val="7"/>
          <w:sz w:val="9"/>
          <w:szCs w:val="9"/>
        </w:rPr>
        <w:t>交</w:t>
      </w:r>
      <w:r>
        <w:rPr>
          <w:rFonts w:ascii="宋体" w:hAnsi="宋体" w:eastAsia="宋体" w:cs="宋体"/>
          <w:spacing w:val="7"/>
          <w:position w:val="7"/>
          <w:sz w:val="9"/>
          <w:szCs w:val="9"/>
        </w:rPr>
        <w:t xml:space="preserve">  </w:t>
      </w:r>
      <w:r>
        <w:rPr>
          <w:rFonts w:ascii="微软雅黑" w:hAnsi="微软雅黑" w:eastAsia="微软雅黑" w:cs="微软雅黑"/>
          <w:spacing w:val="-23"/>
          <w:position w:val="-1"/>
          <w:sz w:val="23"/>
          <w:szCs w:val="23"/>
        </w:rPr>
        <w:t xml:space="preserve">+ </w:t>
      </w:r>
      <w:r>
        <w:rPr>
          <w:rFonts w:ascii="Times New Roman" w:hAnsi="Times New Roman" w:eastAsia="Times New Roman" w:cs="Times New Roman"/>
          <w:spacing w:val="-23"/>
          <w:position w:val="-1"/>
          <w:sz w:val="23"/>
          <w:szCs w:val="23"/>
        </w:rPr>
        <w:t>10</w:t>
      </w:r>
      <w:r>
        <w:rPr>
          <w:rFonts w:ascii="Times New Roman" w:hAnsi="Times New Roman" w:eastAsia="Times New Roman" w:cs="Times New Roman"/>
          <w:spacing w:val="6"/>
          <w:position w:val="13"/>
          <w:sz w:val="13"/>
          <w:szCs w:val="13"/>
        </w:rPr>
        <w:t>0.1</w:t>
      </w:r>
      <w:r>
        <w:rPr>
          <w:rFonts w:ascii="微软雅黑" w:hAnsi="微软雅黑" w:eastAsia="微软雅黑" w:cs="微软雅黑"/>
          <w:spacing w:val="-2"/>
          <w:w w:val="57"/>
          <w:position w:val="13"/>
          <w:sz w:val="22"/>
          <w:szCs w:val="22"/>
        </w:rPr>
        <w:t>(</w:t>
      </w:r>
      <w:r>
        <w:rPr>
          <w:rFonts w:ascii="Times New Roman" w:hAnsi="Times New Roman" w:eastAsia="Times New Roman" w:cs="Times New Roman"/>
          <w:i/>
          <w:iCs/>
          <w:spacing w:val="2"/>
          <w:position w:val="13"/>
          <w:sz w:val="13"/>
          <w:szCs w:val="13"/>
        </w:rPr>
        <w:t>L</w:t>
      </w:r>
      <w:r>
        <w:rPr>
          <w:rFonts w:ascii="Times New Roman" w:hAnsi="Times New Roman" w:eastAsia="Times New Roman" w:cs="Times New Roman"/>
          <w:i/>
          <w:iCs/>
          <w:spacing w:val="2"/>
          <w:position w:val="10"/>
          <w:sz w:val="9"/>
          <w:szCs w:val="9"/>
        </w:rPr>
        <w:t>eq</w:t>
      </w:r>
      <w:r>
        <w:rPr>
          <w:rFonts w:ascii="Times New Roman" w:hAnsi="Times New Roman" w:eastAsia="Times New Roman" w:cs="Times New Roman"/>
          <w:i/>
          <w:iCs/>
          <w:spacing w:val="10"/>
          <w:w w:val="101"/>
          <w:position w:val="10"/>
          <w:sz w:val="9"/>
          <w:szCs w:val="9"/>
        </w:rPr>
        <w:t xml:space="preserve"> </w:t>
      </w:r>
      <w:r>
        <w:rPr>
          <w:rFonts w:ascii="微软雅黑" w:hAnsi="微软雅黑" w:eastAsia="微软雅黑" w:cs="微软雅黑"/>
          <w:spacing w:val="-3"/>
          <w:w w:val="61"/>
          <w:position w:val="13"/>
          <w:sz w:val="22"/>
          <w:szCs w:val="22"/>
        </w:rPr>
        <w:t>)</w:t>
      </w:r>
      <w:r>
        <w:rPr>
          <w:rFonts w:ascii="宋体" w:hAnsi="宋体" w:eastAsia="宋体" w:cs="宋体"/>
          <w:spacing w:val="-6"/>
          <w:position w:val="7"/>
          <w:sz w:val="9"/>
          <w:szCs w:val="9"/>
        </w:rPr>
        <w:t>背</w:t>
      </w:r>
      <w:r>
        <w:rPr>
          <w:rFonts w:ascii="宋体" w:hAnsi="宋体" w:eastAsia="宋体" w:cs="宋体"/>
          <w:spacing w:val="12"/>
          <w:position w:val="7"/>
          <w:sz w:val="9"/>
          <w:szCs w:val="9"/>
        </w:rPr>
        <w:t xml:space="preserve"> </w:t>
      </w:r>
      <w:r>
        <w:rPr>
          <w:position w:val="-20"/>
          <w:sz w:val="9"/>
          <w:szCs w:val="9"/>
        </w:rPr>
        <w:drawing>
          <wp:inline distT="0" distB="0" distL="0" distR="0">
            <wp:extent cx="55245" cy="32194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473"/>
                    <a:stretch>
                      <a:fillRect/>
                    </a:stretch>
                  </pic:blipFill>
                  <pic:spPr>
                    <a:xfrm>
                      <a:off x="0" y="0"/>
                      <a:ext cx="55503" cy="322421"/>
                    </a:xfrm>
                    <a:prstGeom prst="rect">
                      <a:avLst/>
                    </a:prstGeom>
                  </pic:spPr>
                </pic:pic>
              </a:graphicData>
            </a:graphic>
          </wp:inline>
        </w:drawing>
      </w:r>
    </w:p>
    <w:p>
      <w:pPr>
        <w:spacing w:before="219" w:line="468" w:lineRule="exact"/>
        <w:ind w:left="522"/>
        <w:rPr>
          <w:rFonts w:ascii="宋体" w:hAnsi="宋体" w:eastAsia="宋体" w:cs="宋体"/>
          <w:sz w:val="24"/>
          <w:szCs w:val="24"/>
        </w:rPr>
      </w:pPr>
      <w:r>
        <w:rPr>
          <w:rFonts w:ascii="宋体" w:hAnsi="宋体" w:eastAsia="宋体" w:cs="宋体"/>
          <w:spacing w:val="-6"/>
          <w:position w:val="17"/>
          <w:sz w:val="24"/>
          <w:szCs w:val="24"/>
        </w:rPr>
        <w:t>式中</w:t>
      </w:r>
      <w:r>
        <w:rPr>
          <w:rFonts w:ascii="宋体" w:hAnsi="宋体" w:eastAsia="宋体" w:cs="宋体"/>
          <w:spacing w:val="-12"/>
          <w:position w:val="17"/>
          <w:sz w:val="24"/>
          <w:szCs w:val="24"/>
        </w:rPr>
        <w:t>：（</w:t>
      </w:r>
      <w:r>
        <w:rPr>
          <w:rFonts w:ascii="Times New Roman" w:hAnsi="Times New Roman" w:eastAsia="Times New Roman" w:cs="Times New Roman"/>
          <w:spacing w:val="-6"/>
          <w:position w:val="17"/>
          <w:sz w:val="24"/>
          <w:szCs w:val="24"/>
        </w:rPr>
        <w:t>L</w:t>
      </w:r>
      <w:r>
        <w:rPr>
          <w:rFonts w:ascii="Times New Roman" w:hAnsi="Times New Roman" w:eastAsia="Times New Roman" w:cs="Times New Roman"/>
          <w:spacing w:val="-6"/>
          <w:position w:val="16"/>
          <w:sz w:val="16"/>
          <w:szCs w:val="16"/>
        </w:rPr>
        <w:t xml:space="preserve">eq </w:t>
      </w:r>
      <w:r>
        <w:rPr>
          <w:rFonts w:ascii="宋体" w:hAnsi="宋体" w:eastAsia="宋体" w:cs="宋体"/>
          <w:spacing w:val="-6"/>
          <w:position w:val="17"/>
          <w:sz w:val="24"/>
          <w:szCs w:val="24"/>
        </w:rPr>
        <w:t>）</w:t>
      </w:r>
      <w:r>
        <w:rPr>
          <w:rFonts w:ascii="宋体" w:hAnsi="宋体" w:eastAsia="宋体" w:cs="宋体"/>
          <w:spacing w:val="-6"/>
          <w:position w:val="16"/>
          <w:sz w:val="12"/>
          <w:szCs w:val="12"/>
        </w:rPr>
        <w:t>预</w:t>
      </w:r>
      <w:r>
        <w:rPr>
          <w:rFonts w:ascii="宋体" w:hAnsi="宋体" w:eastAsia="宋体" w:cs="宋体"/>
          <w:spacing w:val="19"/>
          <w:w w:val="101"/>
          <w:position w:val="16"/>
          <w:sz w:val="12"/>
          <w:szCs w:val="12"/>
        </w:rPr>
        <w:t xml:space="preserve">  </w:t>
      </w:r>
      <w:r>
        <w:rPr>
          <w:rFonts w:ascii="Times New Roman" w:hAnsi="Times New Roman" w:eastAsia="Times New Roman" w:cs="Times New Roman"/>
          <w:spacing w:val="-6"/>
          <w:position w:val="17"/>
          <w:sz w:val="24"/>
          <w:szCs w:val="24"/>
        </w:rPr>
        <w:t xml:space="preserve">——  </w:t>
      </w:r>
      <w:r>
        <w:rPr>
          <w:rFonts w:ascii="宋体" w:hAnsi="宋体" w:eastAsia="宋体" w:cs="宋体"/>
          <w:spacing w:val="-6"/>
          <w:position w:val="17"/>
          <w:sz w:val="24"/>
          <w:szCs w:val="24"/>
        </w:rPr>
        <w:t>预测点昼间或夜间的环境噪声预测值，</w:t>
      </w:r>
      <w:r>
        <w:rPr>
          <w:rFonts w:ascii="宋体" w:hAnsi="宋体" w:eastAsia="宋体" w:cs="宋体"/>
          <w:spacing w:val="63"/>
          <w:position w:val="17"/>
          <w:sz w:val="24"/>
          <w:szCs w:val="24"/>
        </w:rPr>
        <w:t xml:space="preserve"> </w:t>
      </w:r>
      <w:r>
        <w:rPr>
          <w:rFonts w:ascii="Times New Roman" w:hAnsi="Times New Roman" w:eastAsia="Times New Roman" w:cs="Times New Roman"/>
          <w:spacing w:val="-6"/>
          <w:position w:val="17"/>
          <w:sz w:val="24"/>
          <w:szCs w:val="24"/>
        </w:rPr>
        <w:t>dB(A</w:t>
      </w:r>
      <w:r>
        <w:rPr>
          <w:rFonts w:ascii="Times New Roman" w:hAnsi="Times New Roman" w:eastAsia="Times New Roman" w:cs="Times New Roman"/>
          <w:spacing w:val="-7"/>
          <w:position w:val="17"/>
          <w:sz w:val="24"/>
          <w:szCs w:val="24"/>
        </w:rPr>
        <w:t>)</w:t>
      </w:r>
      <w:r>
        <w:rPr>
          <w:rFonts w:ascii="宋体" w:hAnsi="宋体" w:eastAsia="宋体" w:cs="宋体"/>
          <w:spacing w:val="-7"/>
          <w:position w:val="17"/>
          <w:sz w:val="24"/>
          <w:szCs w:val="24"/>
        </w:rPr>
        <w:t>；</w:t>
      </w:r>
    </w:p>
    <w:p>
      <w:pPr>
        <w:spacing w:line="214" w:lineRule="auto"/>
        <w:ind w:left="1244"/>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L</w:t>
      </w:r>
      <w:r>
        <w:rPr>
          <w:rFonts w:ascii="Times New Roman" w:hAnsi="Times New Roman" w:eastAsia="Times New Roman" w:cs="Times New Roman"/>
          <w:spacing w:val="-8"/>
          <w:position w:val="-1"/>
          <w:sz w:val="16"/>
          <w:szCs w:val="16"/>
        </w:rPr>
        <w:t xml:space="preserve">eq </w:t>
      </w:r>
      <w:r>
        <w:rPr>
          <w:rFonts w:ascii="宋体" w:hAnsi="宋体" w:eastAsia="宋体" w:cs="宋体"/>
          <w:spacing w:val="-8"/>
          <w:sz w:val="24"/>
          <w:szCs w:val="24"/>
        </w:rPr>
        <w:t>）</w:t>
      </w:r>
      <w:r>
        <w:rPr>
          <w:rFonts w:ascii="宋体" w:hAnsi="宋体" w:eastAsia="宋体" w:cs="宋体"/>
          <w:spacing w:val="-1"/>
          <w:position w:val="-1"/>
          <w:sz w:val="12"/>
          <w:szCs w:val="12"/>
        </w:rPr>
        <w:t>背</w:t>
      </w:r>
      <w:r>
        <w:rPr>
          <w:rFonts w:ascii="宋体" w:hAnsi="宋体" w:eastAsia="宋体" w:cs="宋体"/>
          <w:spacing w:val="22"/>
          <w:position w:val="-1"/>
          <w:sz w:val="12"/>
          <w:szCs w:val="12"/>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
          <w:sz w:val="24"/>
          <w:szCs w:val="24"/>
        </w:rPr>
        <w:t xml:space="preserve">  </w:t>
      </w:r>
      <w:r>
        <w:rPr>
          <w:rFonts w:ascii="宋体" w:hAnsi="宋体" w:eastAsia="宋体" w:cs="宋体"/>
          <w:spacing w:val="-11"/>
          <w:sz w:val="24"/>
          <w:szCs w:val="24"/>
        </w:rPr>
        <w:t>预测点的环境噪声背景值，</w:t>
      </w:r>
      <w:r>
        <w:rPr>
          <w:rFonts w:ascii="宋体" w:hAnsi="宋体" w:eastAsia="宋体" w:cs="宋体"/>
          <w:spacing w:val="63"/>
          <w:sz w:val="24"/>
          <w:szCs w:val="24"/>
        </w:rPr>
        <w:t xml:space="preserve"> </w:t>
      </w:r>
      <w:r>
        <w:rPr>
          <w:rFonts w:ascii="Times New Roman" w:hAnsi="Times New Roman" w:eastAsia="Times New Roman" w:cs="Times New Roman"/>
          <w:spacing w:val="-11"/>
          <w:sz w:val="24"/>
          <w:szCs w:val="24"/>
        </w:rPr>
        <w:t>dB(A)</w:t>
      </w:r>
      <w:r>
        <w:rPr>
          <w:rFonts w:ascii="宋体" w:hAnsi="宋体" w:eastAsia="宋体" w:cs="宋体"/>
          <w:spacing w:val="-11"/>
          <w:sz w:val="24"/>
          <w:szCs w:val="24"/>
        </w:rPr>
        <w:t>。</w:t>
      </w:r>
    </w:p>
    <w:p>
      <w:pPr>
        <w:spacing w:before="187" w:line="468" w:lineRule="exact"/>
        <w:ind w:left="40"/>
        <w:rPr>
          <w:rFonts w:ascii="宋体" w:hAnsi="宋体" w:eastAsia="宋体" w:cs="宋体"/>
          <w:sz w:val="24"/>
          <w:szCs w:val="24"/>
        </w:rPr>
      </w:pPr>
      <w:r>
        <w:fldChar w:fldCharType="begin"/>
      </w:r>
      <w:r>
        <w:instrText xml:space="preserve"> HYPERLINK "5.3.2.2" </w:instrText>
      </w:r>
      <w:r>
        <w:fldChar w:fldCharType="separate"/>
      </w:r>
      <w:r>
        <w:rPr>
          <w:rFonts w:ascii="Times New Roman" w:hAnsi="Times New Roman" w:eastAsia="Times New Roman" w:cs="Times New Roman"/>
          <w:spacing w:val="-1"/>
          <w:position w:val="17"/>
          <w:sz w:val="24"/>
          <w:szCs w:val="24"/>
        </w:rPr>
        <w:t>5.3.2.2</w:t>
      </w:r>
      <w:r>
        <w:rPr>
          <w:rFonts w:ascii="Times New Roman" w:hAnsi="Times New Roman" w:eastAsia="Times New Roman" w:cs="Times New Roman"/>
          <w:spacing w:val="-1"/>
          <w:position w:val="17"/>
          <w:sz w:val="24"/>
          <w:szCs w:val="24"/>
        </w:rPr>
        <w:fldChar w:fldCharType="end"/>
      </w:r>
      <w:r>
        <w:rPr>
          <w:rFonts w:ascii="Times New Roman" w:hAnsi="Times New Roman" w:eastAsia="Times New Roman" w:cs="Times New Roman"/>
          <w:spacing w:val="-1"/>
          <w:position w:val="17"/>
          <w:sz w:val="24"/>
          <w:szCs w:val="24"/>
        </w:rPr>
        <w:t xml:space="preserve"> </w:t>
      </w:r>
      <w:r>
        <w:rPr>
          <w:rFonts w:ascii="宋体" w:hAnsi="宋体" w:eastAsia="宋体" w:cs="宋体"/>
          <w:spacing w:val="-1"/>
          <w:position w:val="17"/>
          <w:sz w:val="24"/>
          <w:szCs w:val="24"/>
        </w:rPr>
        <w:t>模式参数的确定</w:t>
      </w:r>
    </w:p>
    <w:p>
      <w:pPr>
        <w:spacing w:before="1" w:line="219"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）预测年限</w:t>
      </w:r>
    </w:p>
    <w:p>
      <w:pPr>
        <w:spacing w:before="180" w:line="468" w:lineRule="exact"/>
        <w:ind w:left="517"/>
        <w:rPr>
          <w:rFonts w:ascii="宋体" w:hAnsi="宋体" w:eastAsia="宋体" w:cs="宋体"/>
          <w:sz w:val="24"/>
          <w:szCs w:val="24"/>
        </w:rPr>
      </w:pPr>
      <w:r>
        <w:rPr>
          <w:rFonts w:ascii="宋体" w:hAnsi="宋体" w:eastAsia="宋体" w:cs="宋体"/>
          <w:spacing w:val="-17"/>
          <w:position w:val="17"/>
          <w:sz w:val="24"/>
          <w:szCs w:val="24"/>
        </w:rPr>
        <w:t xml:space="preserve">近期： </w:t>
      </w:r>
      <w:r>
        <w:rPr>
          <w:rFonts w:ascii="Times New Roman" w:hAnsi="Times New Roman" w:eastAsia="Times New Roman" w:cs="Times New Roman"/>
          <w:spacing w:val="-17"/>
          <w:position w:val="17"/>
          <w:sz w:val="24"/>
          <w:szCs w:val="24"/>
        </w:rPr>
        <w:t>2023</w:t>
      </w:r>
      <w:r>
        <w:rPr>
          <w:rFonts w:ascii="Times New Roman" w:hAnsi="Times New Roman" w:eastAsia="Times New Roman" w:cs="Times New Roman"/>
          <w:spacing w:val="27"/>
          <w:position w:val="17"/>
          <w:sz w:val="24"/>
          <w:szCs w:val="24"/>
        </w:rPr>
        <w:t xml:space="preserve"> </w:t>
      </w:r>
      <w:r>
        <w:rPr>
          <w:rFonts w:ascii="宋体" w:hAnsi="宋体" w:eastAsia="宋体" w:cs="宋体"/>
          <w:spacing w:val="-17"/>
          <w:position w:val="17"/>
          <w:sz w:val="24"/>
          <w:szCs w:val="24"/>
        </w:rPr>
        <w:t>年；中期：</w:t>
      </w:r>
      <w:r>
        <w:rPr>
          <w:rFonts w:ascii="宋体" w:hAnsi="宋体" w:eastAsia="宋体" w:cs="宋体"/>
          <w:spacing w:val="24"/>
          <w:position w:val="17"/>
          <w:sz w:val="24"/>
          <w:szCs w:val="24"/>
        </w:rPr>
        <w:t xml:space="preserve"> </w:t>
      </w:r>
      <w:r>
        <w:rPr>
          <w:rFonts w:ascii="Times New Roman" w:hAnsi="Times New Roman" w:eastAsia="Times New Roman" w:cs="Times New Roman"/>
          <w:spacing w:val="-17"/>
          <w:position w:val="17"/>
          <w:sz w:val="24"/>
          <w:szCs w:val="24"/>
        </w:rPr>
        <w:t>2029</w:t>
      </w:r>
      <w:r>
        <w:rPr>
          <w:rFonts w:ascii="Times New Roman" w:hAnsi="Times New Roman" w:eastAsia="Times New Roman" w:cs="Times New Roman"/>
          <w:spacing w:val="10"/>
          <w:position w:val="17"/>
          <w:sz w:val="24"/>
          <w:szCs w:val="24"/>
        </w:rPr>
        <w:t xml:space="preserve"> </w:t>
      </w:r>
      <w:r>
        <w:rPr>
          <w:rFonts w:ascii="宋体" w:hAnsi="宋体" w:eastAsia="宋体" w:cs="宋体"/>
          <w:spacing w:val="-17"/>
          <w:position w:val="17"/>
          <w:sz w:val="24"/>
          <w:szCs w:val="24"/>
        </w:rPr>
        <w:t>年；远期：</w:t>
      </w:r>
      <w:r>
        <w:rPr>
          <w:rFonts w:ascii="宋体" w:hAnsi="宋体" w:eastAsia="宋体" w:cs="宋体"/>
          <w:spacing w:val="23"/>
          <w:position w:val="17"/>
          <w:sz w:val="24"/>
          <w:szCs w:val="24"/>
        </w:rPr>
        <w:t xml:space="preserve"> </w:t>
      </w:r>
      <w:r>
        <w:rPr>
          <w:rFonts w:ascii="Times New Roman" w:hAnsi="Times New Roman" w:eastAsia="Times New Roman" w:cs="Times New Roman"/>
          <w:spacing w:val="-17"/>
          <w:position w:val="17"/>
          <w:sz w:val="24"/>
          <w:szCs w:val="24"/>
        </w:rPr>
        <w:t>2037</w:t>
      </w:r>
      <w:r>
        <w:rPr>
          <w:rFonts w:ascii="Times New Roman" w:hAnsi="Times New Roman" w:eastAsia="Times New Roman" w:cs="Times New Roman"/>
          <w:spacing w:val="11"/>
          <w:position w:val="17"/>
          <w:sz w:val="24"/>
          <w:szCs w:val="24"/>
        </w:rPr>
        <w:t xml:space="preserve"> </w:t>
      </w:r>
      <w:r>
        <w:rPr>
          <w:rFonts w:ascii="宋体" w:hAnsi="宋体" w:eastAsia="宋体" w:cs="宋体"/>
          <w:spacing w:val="-17"/>
          <w:position w:val="17"/>
          <w:sz w:val="24"/>
          <w:szCs w:val="24"/>
        </w:rPr>
        <w:t>年。</w:t>
      </w:r>
    </w:p>
    <w:p>
      <w:pPr>
        <w:spacing w:before="2"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）交通量</w:t>
      </w:r>
    </w:p>
    <w:p>
      <w:pPr>
        <w:spacing w:before="139" w:line="374" w:lineRule="auto"/>
        <w:ind w:left="37" w:right="49" w:firstLine="482"/>
        <w:rPr>
          <w:rFonts w:ascii="宋体" w:hAnsi="宋体" w:eastAsia="宋体" w:cs="宋体"/>
          <w:sz w:val="24"/>
          <w:szCs w:val="24"/>
        </w:rPr>
      </w:pPr>
      <w:r>
        <w:rPr>
          <w:rFonts w:ascii="宋体" w:hAnsi="宋体" w:eastAsia="宋体" w:cs="宋体"/>
          <w:spacing w:val="1"/>
          <w:sz w:val="24"/>
          <w:szCs w:val="24"/>
        </w:rPr>
        <w:t>经计算，本工程及相关道路</w:t>
      </w:r>
      <w:r>
        <w:fldChar w:fldCharType="begin"/>
      </w:r>
      <w:r>
        <w:instrText xml:space="preserve"> HYPERLINK \l "bookmark62" </w:instrText>
      </w:r>
      <w:r>
        <w:fldChar w:fldCharType="separate"/>
      </w:r>
      <w:r>
        <w:rPr>
          <w:rFonts w:ascii="宋体" w:hAnsi="宋体" w:eastAsia="宋体" w:cs="宋体"/>
          <w:spacing w:val="1"/>
          <w:sz w:val="24"/>
          <w:szCs w:val="24"/>
        </w:rPr>
        <w:t xml:space="preserve">环评预测年车型比见表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3.2-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9"/>
          <w:sz w:val="24"/>
          <w:szCs w:val="24"/>
        </w:rPr>
        <w:t xml:space="preserve"> </w:t>
      </w:r>
      <w:r>
        <w:fldChar w:fldCharType="begin"/>
      </w:r>
      <w:r>
        <w:instrText xml:space="preserve"> HYPERLINK \l "bookmark63" </w:instrText>
      </w:r>
      <w:r>
        <w:fldChar w:fldCharType="separate"/>
      </w:r>
      <w:r>
        <w:rPr>
          <w:rFonts w:ascii="宋体" w:hAnsi="宋体" w:eastAsia="宋体" w:cs="宋体"/>
          <w:spacing w:val="1"/>
          <w:sz w:val="24"/>
          <w:szCs w:val="24"/>
        </w:rPr>
        <w:t>，昼夜小时车流量见表</w:t>
      </w:r>
      <w:r>
        <w:rPr>
          <w:rFonts w:ascii="宋体" w:hAnsi="宋体" w:eastAsia="宋体" w:cs="宋体"/>
          <w:spacing w:val="1"/>
          <w:sz w:val="24"/>
          <w:szCs w:val="24"/>
        </w:rPr>
        <w:fldChar w:fldCharType="end"/>
      </w:r>
      <w:r>
        <w:rPr>
          <w:rFonts w:ascii="宋体" w:hAnsi="宋体" w:eastAsia="宋体" w:cs="宋体"/>
          <w:sz w:val="24"/>
          <w:szCs w:val="24"/>
        </w:rPr>
        <w:t xml:space="preserve"> </w:t>
      </w:r>
      <w:bookmarkStart w:id="33" w:name="bookmark62"/>
      <w:bookmarkEnd w:id="33"/>
      <w:r>
        <w:fldChar w:fldCharType="begin"/>
      </w:r>
      <w:r>
        <w:instrText xml:space="preserve"> HYPERLINK \l "bookmark64" </w:instrText>
      </w:r>
      <w:r>
        <w:fldChar w:fldCharType="separate"/>
      </w:r>
      <w:r>
        <w:rPr>
          <w:rFonts w:ascii="Times New Roman" w:hAnsi="Times New Roman" w:eastAsia="Times New Roman" w:cs="Times New Roman"/>
          <w:spacing w:val="-2"/>
          <w:sz w:val="24"/>
          <w:szCs w:val="24"/>
        </w:rPr>
        <w:t>02</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p>
    <w:p>
      <w:pPr>
        <w:spacing w:before="1" w:line="219" w:lineRule="auto"/>
        <w:ind w:left="2944"/>
        <w:rPr>
          <w:rFonts w:ascii="宋体" w:hAnsi="宋体" w:eastAsia="宋体" w:cs="宋体"/>
          <w:sz w:val="24"/>
          <w:szCs w:val="24"/>
        </w:rPr>
      </w:pPr>
      <w:r>
        <w:rPr>
          <w:rFonts w:ascii="宋体" w:hAnsi="宋体" w:eastAsia="宋体" w:cs="宋体"/>
          <w:spacing w:val="-3"/>
          <w:sz w:val="24"/>
          <w:szCs w:val="24"/>
        </w:rPr>
        <w:t xml:space="preserve">表 </w:t>
      </w:r>
      <w:r>
        <w:rPr>
          <w:rFonts w:ascii="Times New Roman" w:hAnsi="Times New Roman" w:eastAsia="Times New Roman" w:cs="Times New Roman"/>
          <w:spacing w:val="-3"/>
          <w:sz w:val="24"/>
          <w:szCs w:val="24"/>
        </w:rPr>
        <w:t>0.2-</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预测年车型比（自然数）</w:t>
      </w:r>
    </w:p>
    <w:p>
      <w:pPr>
        <w:spacing w:line="146" w:lineRule="exact"/>
      </w:pPr>
    </w:p>
    <w:tbl>
      <w:tblPr>
        <w:tblStyle w:val="5"/>
        <w:tblW w:w="7206" w:type="dxa"/>
        <w:tblInd w:w="9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4"/>
        <w:gridCol w:w="1799"/>
        <w:gridCol w:w="1799"/>
        <w:gridCol w:w="1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04" w:type="dxa"/>
            <w:vAlign w:val="top"/>
          </w:tcPr>
          <w:p>
            <w:pPr>
              <w:pStyle w:val="6"/>
              <w:spacing w:before="103" w:line="221" w:lineRule="auto"/>
              <w:ind w:left="700"/>
            </w:pPr>
            <w:r>
              <w:rPr>
                <w:spacing w:val="-2"/>
              </w:rPr>
              <w:t>年份</w:t>
            </w:r>
          </w:p>
        </w:tc>
        <w:tc>
          <w:tcPr>
            <w:tcW w:w="1799" w:type="dxa"/>
            <w:vAlign w:val="top"/>
          </w:tcPr>
          <w:p>
            <w:pPr>
              <w:pStyle w:val="6"/>
              <w:spacing w:before="103" w:line="221" w:lineRule="auto"/>
              <w:ind w:left="595"/>
            </w:pPr>
            <w:r>
              <w:rPr>
                <w:spacing w:val="-3"/>
              </w:rPr>
              <w:t>小型车</w:t>
            </w:r>
          </w:p>
        </w:tc>
        <w:tc>
          <w:tcPr>
            <w:tcW w:w="1799" w:type="dxa"/>
            <w:vAlign w:val="top"/>
          </w:tcPr>
          <w:p>
            <w:pPr>
              <w:pStyle w:val="6"/>
              <w:spacing w:before="103" w:line="221" w:lineRule="auto"/>
              <w:ind w:left="611"/>
            </w:pPr>
            <w:r>
              <w:rPr>
                <w:spacing w:val="-6"/>
              </w:rPr>
              <w:t>中型车</w:t>
            </w:r>
          </w:p>
        </w:tc>
        <w:tc>
          <w:tcPr>
            <w:tcW w:w="1804" w:type="dxa"/>
            <w:vAlign w:val="top"/>
          </w:tcPr>
          <w:p>
            <w:pPr>
              <w:pStyle w:val="6"/>
              <w:spacing w:before="103" w:line="221" w:lineRule="auto"/>
              <w:ind w:left="595"/>
            </w:pPr>
            <w:r>
              <w:rPr>
                <w:spacing w:val="-2"/>
              </w:rPr>
              <w:t>大型车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804" w:type="dxa"/>
            <w:vAlign w:val="top"/>
          </w:tcPr>
          <w:p>
            <w:pPr>
              <w:pStyle w:val="6"/>
              <w:spacing w:before="99" w:line="221" w:lineRule="auto"/>
              <w:ind w:left="565"/>
            </w:pPr>
            <w:r>
              <w:rPr>
                <w:rFonts w:ascii="Times New Roman" w:hAnsi="Times New Roman" w:eastAsia="Times New Roman" w:cs="Times New Roman"/>
                <w:spacing w:val="-1"/>
              </w:rPr>
              <w:t>2023</w:t>
            </w:r>
            <w:r>
              <w:rPr>
                <w:rFonts w:ascii="Times New Roman" w:hAnsi="Times New Roman" w:eastAsia="Times New Roman" w:cs="Times New Roman"/>
                <w:spacing w:val="8"/>
              </w:rPr>
              <w:t xml:space="preserve"> </w:t>
            </w:r>
            <w:r>
              <w:rPr>
                <w:spacing w:val="-1"/>
              </w:rPr>
              <w:t>年</w:t>
            </w:r>
          </w:p>
        </w:tc>
        <w:tc>
          <w:tcPr>
            <w:tcW w:w="1799" w:type="dxa"/>
            <w:vAlign w:val="top"/>
          </w:tcPr>
          <w:p>
            <w:pPr>
              <w:spacing w:before="136" w:line="187" w:lineRule="auto"/>
              <w:ind w:left="5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67.00%</w:t>
            </w:r>
          </w:p>
        </w:tc>
        <w:tc>
          <w:tcPr>
            <w:tcW w:w="1799" w:type="dxa"/>
            <w:vAlign w:val="top"/>
          </w:tcPr>
          <w:p>
            <w:pPr>
              <w:spacing w:before="136"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13.00%</w:t>
            </w:r>
          </w:p>
        </w:tc>
        <w:tc>
          <w:tcPr>
            <w:tcW w:w="1804" w:type="dxa"/>
            <w:vAlign w:val="top"/>
          </w:tcPr>
          <w:p>
            <w:pPr>
              <w:spacing w:before="136" w:line="187" w:lineRule="auto"/>
              <w:ind w:left="5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804" w:type="dxa"/>
            <w:vAlign w:val="top"/>
          </w:tcPr>
          <w:p>
            <w:pPr>
              <w:pStyle w:val="6"/>
              <w:spacing w:before="103" w:line="221" w:lineRule="auto"/>
              <w:ind w:left="565"/>
            </w:pPr>
            <w:r>
              <w:rPr>
                <w:rFonts w:ascii="Times New Roman" w:hAnsi="Times New Roman" w:eastAsia="Times New Roman" w:cs="Times New Roman"/>
                <w:spacing w:val="-1"/>
              </w:rPr>
              <w:t>2029</w:t>
            </w:r>
            <w:r>
              <w:rPr>
                <w:rFonts w:ascii="Times New Roman" w:hAnsi="Times New Roman" w:eastAsia="Times New Roman" w:cs="Times New Roman"/>
                <w:spacing w:val="8"/>
              </w:rPr>
              <w:t xml:space="preserve"> </w:t>
            </w:r>
            <w:r>
              <w:rPr>
                <w:spacing w:val="-1"/>
              </w:rPr>
              <w:t>年</w:t>
            </w:r>
          </w:p>
        </w:tc>
        <w:tc>
          <w:tcPr>
            <w:tcW w:w="1799" w:type="dxa"/>
            <w:vAlign w:val="top"/>
          </w:tcPr>
          <w:p>
            <w:pPr>
              <w:spacing w:before="139" w:line="187" w:lineRule="auto"/>
              <w:ind w:left="5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67.70%</w:t>
            </w:r>
          </w:p>
        </w:tc>
        <w:tc>
          <w:tcPr>
            <w:tcW w:w="1799" w:type="dxa"/>
            <w:vAlign w:val="top"/>
          </w:tcPr>
          <w:p>
            <w:pPr>
              <w:spacing w:before="139"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12.00%</w:t>
            </w:r>
          </w:p>
        </w:tc>
        <w:tc>
          <w:tcPr>
            <w:tcW w:w="1804" w:type="dxa"/>
            <w:vAlign w:val="top"/>
          </w:tcPr>
          <w:p>
            <w:pPr>
              <w:spacing w:before="139" w:line="187" w:lineRule="auto"/>
              <w:ind w:left="5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804" w:type="dxa"/>
            <w:vAlign w:val="top"/>
          </w:tcPr>
          <w:p>
            <w:pPr>
              <w:pStyle w:val="6"/>
              <w:spacing w:before="107" w:line="221" w:lineRule="auto"/>
              <w:ind w:left="565"/>
            </w:pPr>
            <w:r>
              <w:rPr>
                <w:rFonts w:ascii="Times New Roman" w:hAnsi="Times New Roman" w:eastAsia="Times New Roman" w:cs="Times New Roman"/>
                <w:spacing w:val="-1"/>
              </w:rPr>
              <w:t>2037</w:t>
            </w:r>
            <w:r>
              <w:rPr>
                <w:rFonts w:ascii="Times New Roman" w:hAnsi="Times New Roman" w:eastAsia="Times New Roman" w:cs="Times New Roman"/>
                <w:spacing w:val="8"/>
              </w:rPr>
              <w:t xml:space="preserve"> </w:t>
            </w:r>
            <w:r>
              <w:rPr>
                <w:spacing w:val="-1"/>
              </w:rPr>
              <w:t>年</w:t>
            </w:r>
          </w:p>
        </w:tc>
        <w:tc>
          <w:tcPr>
            <w:tcW w:w="1799" w:type="dxa"/>
            <w:vAlign w:val="top"/>
          </w:tcPr>
          <w:p>
            <w:pPr>
              <w:spacing w:before="144" w:line="187" w:lineRule="auto"/>
              <w:ind w:left="5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68.00%</w:t>
            </w:r>
          </w:p>
        </w:tc>
        <w:tc>
          <w:tcPr>
            <w:tcW w:w="1799" w:type="dxa"/>
            <w:vAlign w:val="top"/>
          </w:tcPr>
          <w:p>
            <w:pPr>
              <w:spacing w:before="144"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14.30%</w:t>
            </w:r>
          </w:p>
        </w:tc>
        <w:tc>
          <w:tcPr>
            <w:tcW w:w="1804" w:type="dxa"/>
            <w:vAlign w:val="top"/>
          </w:tcPr>
          <w:p>
            <w:pPr>
              <w:spacing w:before="144" w:line="187" w:lineRule="auto"/>
              <w:ind w:left="5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r>
    </w:tbl>
    <w:p>
      <w:pPr>
        <w:pStyle w:val="2"/>
      </w:pPr>
    </w:p>
    <w:p>
      <w:pPr>
        <w:sectPr>
          <w:headerReference r:id="rId261" w:type="default"/>
          <w:footerReference r:id="rId262" w:type="default"/>
          <w:pgSz w:w="11907" w:h="16839"/>
          <w:pgMar w:top="1118" w:right="1369" w:bottom="1072" w:left="1387" w:header="877" w:footer="911" w:gutter="0"/>
          <w:cols w:space="720" w:num="1"/>
        </w:sectPr>
      </w:pPr>
    </w:p>
    <w:p>
      <w:pPr>
        <w:pStyle w:val="2"/>
        <w:spacing w:line="312" w:lineRule="auto"/>
      </w:pPr>
    </w:p>
    <w:p>
      <w:pPr>
        <w:spacing w:before="78" w:line="233" w:lineRule="auto"/>
        <w:ind w:left="1793"/>
        <w:rPr>
          <w:rFonts w:ascii="Times New Roman" w:hAnsi="Times New Roman" w:eastAsia="Times New Roman" w:cs="Times New Roman"/>
          <w:sz w:val="24"/>
          <w:szCs w:val="24"/>
        </w:rPr>
      </w:pPr>
      <w:bookmarkStart w:id="34" w:name="bookmark63"/>
      <w:bookmarkEnd w:id="34"/>
      <w:bookmarkStart w:id="35" w:name="bookmark64"/>
      <w:bookmarkEnd w:id="35"/>
      <w:r>
        <w:rPr>
          <w:rFonts w:ascii="宋体" w:hAnsi="宋体" w:eastAsia="宋体" w:cs="宋体"/>
          <w:sz w:val="24"/>
          <w:szCs w:val="24"/>
        </w:rPr>
        <w:t xml:space="preserve">表 </w:t>
      </w:r>
      <w:r>
        <w:rPr>
          <w:rFonts w:ascii="Times New Roman" w:hAnsi="Times New Roman" w:eastAsia="Times New Roman" w:cs="Times New Roman"/>
          <w:sz w:val="24"/>
          <w:szCs w:val="24"/>
        </w:rPr>
        <w:t xml:space="preserve">0.2-2    </w:t>
      </w:r>
      <w:r>
        <w:rPr>
          <w:rFonts w:ascii="宋体" w:hAnsi="宋体" w:eastAsia="宋体" w:cs="宋体"/>
          <w:sz w:val="24"/>
          <w:szCs w:val="24"/>
        </w:rPr>
        <w:t>营运期各预测年份昼夜小时车流量</w:t>
      </w:r>
      <w:r>
        <w:rPr>
          <w:rFonts w:ascii="宋体" w:hAnsi="宋体" w:eastAsia="宋体" w:cs="宋体"/>
          <w:spacing w:val="-1"/>
          <w:sz w:val="24"/>
          <w:szCs w:val="24"/>
        </w:rPr>
        <w:t xml:space="preserve">   单位：辆</w:t>
      </w:r>
      <w:r>
        <w:rPr>
          <w:rFonts w:ascii="Times New Roman" w:hAnsi="Times New Roman" w:eastAsia="Times New Roman" w:cs="Times New Roman"/>
          <w:spacing w:val="-1"/>
          <w:sz w:val="24"/>
          <w:szCs w:val="24"/>
        </w:rPr>
        <w:t>/h</w:t>
      </w:r>
    </w:p>
    <w:p>
      <w:pPr>
        <w:spacing w:line="128" w:lineRule="exact"/>
      </w:pPr>
    </w:p>
    <w:tbl>
      <w:tblPr>
        <w:tblStyle w:val="5"/>
        <w:tblW w:w="9188"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3"/>
        <w:gridCol w:w="1048"/>
        <w:gridCol w:w="1279"/>
        <w:gridCol w:w="1164"/>
        <w:gridCol w:w="1163"/>
        <w:gridCol w:w="1161"/>
        <w:gridCol w:w="1161"/>
        <w:gridCol w:w="11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101" w:type="dxa"/>
            <w:gridSpan w:val="2"/>
            <w:vMerge w:val="restart"/>
            <w:tcBorders>
              <w:bottom w:val="nil"/>
            </w:tcBorders>
            <w:vAlign w:val="top"/>
          </w:tcPr>
          <w:p>
            <w:pPr>
              <w:pStyle w:val="6"/>
              <w:spacing w:before="175" w:line="221" w:lineRule="auto"/>
              <w:ind w:left="849"/>
            </w:pPr>
            <w:r>
              <w:rPr>
                <w:spacing w:val="-2"/>
              </w:rPr>
              <w:t>路段</w:t>
            </w:r>
          </w:p>
        </w:tc>
        <w:tc>
          <w:tcPr>
            <w:tcW w:w="2443" w:type="dxa"/>
            <w:gridSpan w:val="2"/>
            <w:vAlign w:val="top"/>
          </w:tcPr>
          <w:p>
            <w:pPr>
              <w:pStyle w:val="6"/>
              <w:spacing w:before="34" w:line="207" w:lineRule="auto"/>
              <w:ind w:left="882"/>
            </w:pPr>
            <w:r>
              <w:rPr>
                <w:rFonts w:ascii="Times New Roman" w:hAnsi="Times New Roman" w:eastAsia="Times New Roman" w:cs="Times New Roman"/>
                <w:spacing w:val="-1"/>
              </w:rPr>
              <w:t>2023</w:t>
            </w:r>
            <w:r>
              <w:rPr>
                <w:rFonts w:ascii="Times New Roman" w:hAnsi="Times New Roman" w:eastAsia="Times New Roman" w:cs="Times New Roman"/>
                <w:spacing w:val="8"/>
              </w:rPr>
              <w:t xml:space="preserve"> </w:t>
            </w:r>
            <w:r>
              <w:rPr>
                <w:spacing w:val="-1"/>
              </w:rPr>
              <w:t>年</w:t>
            </w:r>
          </w:p>
        </w:tc>
        <w:tc>
          <w:tcPr>
            <w:tcW w:w="2324" w:type="dxa"/>
            <w:gridSpan w:val="2"/>
            <w:vAlign w:val="top"/>
          </w:tcPr>
          <w:p>
            <w:pPr>
              <w:pStyle w:val="6"/>
              <w:spacing w:before="34" w:line="207" w:lineRule="auto"/>
              <w:ind w:left="822"/>
            </w:pPr>
            <w:r>
              <w:rPr>
                <w:rFonts w:ascii="Times New Roman" w:hAnsi="Times New Roman" w:eastAsia="Times New Roman" w:cs="Times New Roman"/>
                <w:spacing w:val="-1"/>
              </w:rPr>
              <w:t>2029</w:t>
            </w:r>
            <w:r>
              <w:rPr>
                <w:rFonts w:ascii="Times New Roman" w:hAnsi="Times New Roman" w:eastAsia="Times New Roman" w:cs="Times New Roman"/>
                <w:spacing w:val="8"/>
              </w:rPr>
              <w:t xml:space="preserve"> </w:t>
            </w:r>
            <w:r>
              <w:rPr>
                <w:spacing w:val="-1"/>
              </w:rPr>
              <w:t>年</w:t>
            </w:r>
          </w:p>
        </w:tc>
        <w:tc>
          <w:tcPr>
            <w:tcW w:w="2320" w:type="dxa"/>
            <w:gridSpan w:val="2"/>
            <w:vAlign w:val="top"/>
          </w:tcPr>
          <w:p>
            <w:pPr>
              <w:pStyle w:val="6"/>
              <w:spacing w:before="34" w:line="207" w:lineRule="auto"/>
              <w:ind w:left="820"/>
            </w:pPr>
            <w:r>
              <w:rPr>
                <w:rFonts w:ascii="Times New Roman" w:hAnsi="Times New Roman" w:eastAsia="Times New Roman" w:cs="Times New Roman"/>
                <w:spacing w:val="-1"/>
              </w:rPr>
              <w:t>2037</w:t>
            </w:r>
            <w:r>
              <w:rPr>
                <w:rFonts w:ascii="Times New Roman" w:hAnsi="Times New Roman" w:eastAsia="Times New Roman" w:cs="Times New Roman"/>
                <w:spacing w:val="8"/>
              </w:rPr>
              <w:t xml:space="preserve"> </w:t>
            </w:r>
            <w:r>
              <w:rPr>
                <w:spacing w:val="-1"/>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101" w:type="dxa"/>
            <w:gridSpan w:val="2"/>
            <w:vMerge w:val="continue"/>
            <w:tcBorders>
              <w:top w:val="nil"/>
            </w:tcBorders>
            <w:vAlign w:val="top"/>
          </w:tcPr>
          <w:p>
            <w:pPr>
              <w:rPr>
                <w:rFonts w:ascii="Arial"/>
                <w:sz w:val="21"/>
              </w:rPr>
            </w:pPr>
          </w:p>
        </w:tc>
        <w:tc>
          <w:tcPr>
            <w:tcW w:w="1279" w:type="dxa"/>
            <w:vAlign w:val="top"/>
          </w:tcPr>
          <w:p>
            <w:pPr>
              <w:pStyle w:val="6"/>
              <w:spacing w:before="32" w:line="207" w:lineRule="auto"/>
              <w:ind w:left="433"/>
            </w:pPr>
            <w:r>
              <w:rPr>
                <w:spacing w:val="-2"/>
              </w:rPr>
              <w:t>昼间</w:t>
            </w:r>
          </w:p>
        </w:tc>
        <w:tc>
          <w:tcPr>
            <w:tcW w:w="1164" w:type="dxa"/>
            <w:vAlign w:val="top"/>
          </w:tcPr>
          <w:p>
            <w:pPr>
              <w:pStyle w:val="6"/>
              <w:spacing w:before="32" w:line="207" w:lineRule="auto"/>
              <w:ind w:left="380"/>
            </w:pPr>
            <w:r>
              <w:rPr>
                <w:spacing w:val="-3"/>
              </w:rPr>
              <w:t>夜间</w:t>
            </w:r>
          </w:p>
        </w:tc>
        <w:tc>
          <w:tcPr>
            <w:tcW w:w="1163" w:type="dxa"/>
            <w:vAlign w:val="top"/>
          </w:tcPr>
          <w:p>
            <w:pPr>
              <w:pStyle w:val="6"/>
              <w:spacing w:before="32" w:line="207" w:lineRule="auto"/>
              <w:ind w:left="376"/>
            </w:pPr>
            <w:r>
              <w:rPr>
                <w:spacing w:val="-2"/>
              </w:rPr>
              <w:t>昼间</w:t>
            </w:r>
          </w:p>
        </w:tc>
        <w:tc>
          <w:tcPr>
            <w:tcW w:w="1161" w:type="dxa"/>
            <w:vAlign w:val="top"/>
          </w:tcPr>
          <w:p>
            <w:pPr>
              <w:pStyle w:val="6"/>
              <w:spacing w:before="32" w:line="207" w:lineRule="auto"/>
              <w:ind w:left="379"/>
            </w:pPr>
            <w:r>
              <w:rPr>
                <w:spacing w:val="-3"/>
              </w:rPr>
              <w:t>夜间</w:t>
            </w:r>
          </w:p>
        </w:tc>
        <w:tc>
          <w:tcPr>
            <w:tcW w:w="1161" w:type="dxa"/>
            <w:vAlign w:val="top"/>
          </w:tcPr>
          <w:p>
            <w:pPr>
              <w:pStyle w:val="6"/>
              <w:spacing w:before="32" w:line="207" w:lineRule="auto"/>
              <w:ind w:left="376"/>
            </w:pPr>
            <w:r>
              <w:rPr>
                <w:spacing w:val="-2"/>
              </w:rPr>
              <w:t>昼间</w:t>
            </w:r>
          </w:p>
        </w:tc>
        <w:tc>
          <w:tcPr>
            <w:tcW w:w="1159" w:type="dxa"/>
            <w:vAlign w:val="top"/>
          </w:tcPr>
          <w:p>
            <w:pPr>
              <w:pStyle w:val="6"/>
              <w:spacing w:before="32" w:line="207" w:lineRule="auto"/>
              <w:ind w:left="376"/>
            </w:pPr>
            <w:r>
              <w:rPr>
                <w:spacing w:val="-3"/>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101" w:type="dxa"/>
            <w:gridSpan w:val="2"/>
            <w:vAlign w:val="top"/>
          </w:tcPr>
          <w:p>
            <w:pPr>
              <w:pStyle w:val="6"/>
              <w:spacing w:before="29" w:line="224" w:lineRule="auto"/>
              <w:ind w:left="483" w:right="204" w:hanging="262"/>
              <w:rPr>
                <w:rFonts w:ascii="Times New Roman" w:hAnsi="Times New Roman" w:eastAsia="Times New Roman" w:cs="Times New Roman"/>
              </w:rPr>
            </w:pPr>
            <w:r>
              <w:rPr>
                <w:spacing w:val="-2"/>
              </w:rPr>
              <w:t>西坑互通连接线车</w:t>
            </w:r>
            <w:r>
              <w:rPr>
                <w:spacing w:val="4"/>
              </w:rPr>
              <w:t xml:space="preserve"> </w:t>
            </w:r>
            <w:r>
              <w:rPr>
                <w:spacing w:val="-5"/>
              </w:rPr>
              <w:t>流量</w:t>
            </w:r>
            <w:r>
              <w:rPr>
                <w:spacing w:val="-47"/>
              </w:rPr>
              <w:t xml:space="preserve"> </w:t>
            </w:r>
            <w:r>
              <w:rPr>
                <w:rFonts w:ascii="Times New Roman" w:hAnsi="Times New Roman" w:eastAsia="Times New Roman" w:cs="Times New Roman"/>
                <w:spacing w:val="-5"/>
              </w:rPr>
              <w:t>L1</w:t>
            </w:r>
            <w:r>
              <w:rPr>
                <w:rFonts w:ascii="Times New Roman" w:hAnsi="Times New Roman" w:eastAsia="Times New Roman" w:cs="Times New Roman"/>
                <w:spacing w:val="-30"/>
              </w:rPr>
              <w:t xml:space="preserve"> </w:t>
            </w:r>
            <w:r>
              <w:rPr>
                <w:spacing w:val="-5"/>
              </w:rPr>
              <w:t>、</w:t>
            </w:r>
            <w:r>
              <w:rPr>
                <w:rFonts w:ascii="Times New Roman" w:hAnsi="Times New Roman" w:eastAsia="Times New Roman" w:cs="Times New Roman"/>
                <w:spacing w:val="-5"/>
              </w:rPr>
              <w:t>L2</w:t>
            </w:r>
          </w:p>
        </w:tc>
        <w:tc>
          <w:tcPr>
            <w:tcW w:w="1279" w:type="dxa"/>
            <w:vAlign w:val="top"/>
          </w:tcPr>
          <w:p>
            <w:pPr>
              <w:spacing w:before="205" w:line="187" w:lineRule="auto"/>
              <w:ind w:left="50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135</w:t>
            </w:r>
          </w:p>
        </w:tc>
        <w:tc>
          <w:tcPr>
            <w:tcW w:w="1164" w:type="dxa"/>
            <w:vAlign w:val="top"/>
          </w:tcPr>
          <w:p>
            <w:pPr>
              <w:spacing w:before="205" w:line="18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163" w:type="dxa"/>
            <w:vAlign w:val="top"/>
          </w:tcPr>
          <w:p>
            <w:pPr>
              <w:spacing w:before="205" w:line="187" w:lineRule="auto"/>
              <w:ind w:left="4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264</w:t>
            </w:r>
          </w:p>
        </w:tc>
        <w:tc>
          <w:tcPr>
            <w:tcW w:w="1161" w:type="dxa"/>
            <w:vAlign w:val="top"/>
          </w:tcPr>
          <w:p>
            <w:pPr>
              <w:spacing w:before="208" w:line="184"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161" w:type="dxa"/>
            <w:vAlign w:val="top"/>
          </w:tcPr>
          <w:p>
            <w:pPr>
              <w:spacing w:before="205" w:line="187" w:lineRule="auto"/>
              <w:ind w:left="4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351</w:t>
            </w:r>
          </w:p>
        </w:tc>
        <w:tc>
          <w:tcPr>
            <w:tcW w:w="1159" w:type="dxa"/>
            <w:vAlign w:val="top"/>
          </w:tcPr>
          <w:p>
            <w:pPr>
              <w:spacing w:before="205" w:line="187" w:lineRule="auto"/>
              <w:ind w:left="4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53" w:type="dxa"/>
            <w:vMerge w:val="restart"/>
            <w:tcBorders>
              <w:bottom w:val="nil"/>
            </w:tcBorders>
            <w:vAlign w:val="top"/>
          </w:tcPr>
          <w:p>
            <w:pPr>
              <w:spacing w:line="243" w:lineRule="auto"/>
              <w:rPr>
                <w:rFonts w:ascii="Arial"/>
                <w:sz w:val="21"/>
              </w:rPr>
            </w:pPr>
          </w:p>
          <w:p>
            <w:pPr>
              <w:spacing w:line="244" w:lineRule="auto"/>
              <w:rPr>
                <w:rFonts w:ascii="Arial"/>
                <w:sz w:val="21"/>
              </w:rPr>
            </w:pPr>
          </w:p>
          <w:p>
            <w:pPr>
              <w:pStyle w:val="6"/>
              <w:spacing w:before="69" w:line="234" w:lineRule="auto"/>
              <w:ind w:left="427" w:right="203" w:hanging="203"/>
            </w:pPr>
            <w:r>
              <w:rPr>
                <w:spacing w:val="-4"/>
              </w:rPr>
              <w:t>西坑互</w:t>
            </w:r>
            <w:r>
              <w:rPr>
                <w:spacing w:val="1"/>
              </w:rPr>
              <w:t xml:space="preserve"> </w:t>
            </w:r>
            <w:r>
              <w:t>通</w:t>
            </w:r>
          </w:p>
        </w:tc>
        <w:tc>
          <w:tcPr>
            <w:tcW w:w="1048" w:type="dxa"/>
            <w:vAlign w:val="top"/>
          </w:tcPr>
          <w:p>
            <w:pPr>
              <w:pStyle w:val="6"/>
              <w:spacing w:before="30" w:line="227" w:lineRule="auto"/>
              <w:ind w:left="219"/>
            </w:pPr>
            <w:r>
              <w:rPr>
                <w:rFonts w:ascii="Times New Roman" w:hAnsi="Times New Roman" w:eastAsia="Times New Roman" w:cs="Times New Roman"/>
                <w:spacing w:val="-5"/>
              </w:rPr>
              <w:t>B</w:t>
            </w:r>
            <w:r>
              <w:rPr>
                <w:rFonts w:ascii="Times New Roman" w:hAnsi="Times New Roman" w:eastAsia="Times New Roman" w:cs="Times New Roman"/>
                <w:spacing w:val="22"/>
              </w:rPr>
              <w:t xml:space="preserve"> </w:t>
            </w:r>
            <w:r>
              <w:rPr>
                <w:spacing w:val="-5"/>
              </w:rPr>
              <w:t>匝道</w:t>
            </w:r>
          </w:p>
        </w:tc>
        <w:tc>
          <w:tcPr>
            <w:tcW w:w="1279" w:type="dxa"/>
            <w:vAlign w:val="top"/>
          </w:tcPr>
          <w:p>
            <w:pPr>
              <w:spacing w:before="88" w:line="187"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64" w:type="dxa"/>
            <w:vAlign w:val="top"/>
          </w:tcPr>
          <w:p>
            <w:pPr>
              <w:spacing w:before="88" w:line="187" w:lineRule="auto"/>
              <w:ind w:left="534"/>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63" w:type="dxa"/>
            <w:vAlign w:val="top"/>
          </w:tcPr>
          <w:p>
            <w:pPr>
              <w:spacing w:before="88"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c>
          <w:tcPr>
            <w:tcW w:w="1161" w:type="dxa"/>
            <w:vAlign w:val="top"/>
          </w:tcPr>
          <w:p>
            <w:pPr>
              <w:spacing w:before="88" w:line="187" w:lineRule="auto"/>
              <w:ind w:left="49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161" w:type="dxa"/>
            <w:vAlign w:val="top"/>
          </w:tcPr>
          <w:p>
            <w:pPr>
              <w:spacing w:before="88"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88</w:t>
            </w:r>
          </w:p>
        </w:tc>
        <w:tc>
          <w:tcPr>
            <w:tcW w:w="1159" w:type="dxa"/>
            <w:vAlign w:val="top"/>
          </w:tcPr>
          <w:p>
            <w:pPr>
              <w:spacing w:before="88" w:line="187" w:lineRule="auto"/>
              <w:ind w:left="4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53" w:type="dxa"/>
            <w:vMerge w:val="continue"/>
            <w:tcBorders>
              <w:top w:val="nil"/>
              <w:bottom w:val="nil"/>
            </w:tcBorders>
            <w:vAlign w:val="top"/>
          </w:tcPr>
          <w:p>
            <w:pPr>
              <w:rPr>
                <w:rFonts w:ascii="Arial"/>
                <w:sz w:val="21"/>
              </w:rPr>
            </w:pPr>
          </w:p>
        </w:tc>
        <w:tc>
          <w:tcPr>
            <w:tcW w:w="1048" w:type="dxa"/>
            <w:vAlign w:val="top"/>
          </w:tcPr>
          <w:p>
            <w:pPr>
              <w:pStyle w:val="6"/>
              <w:spacing w:before="31" w:line="227" w:lineRule="auto"/>
              <w:ind w:left="223"/>
            </w:pPr>
            <w:r>
              <w:rPr>
                <w:rFonts w:ascii="Times New Roman" w:hAnsi="Times New Roman" w:eastAsia="Times New Roman" w:cs="Times New Roman"/>
                <w:spacing w:val="-6"/>
              </w:rPr>
              <w:t>C</w:t>
            </w:r>
            <w:r>
              <w:rPr>
                <w:rFonts w:ascii="Times New Roman" w:hAnsi="Times New Roman" w:eastAsia="Times New Roman" w:cs="Times New Roman"/>
                <w:spacing w:val="21"/>
              </w:rPr>
              <w:t xml:space="preserve"> </w:t>
            </w:r>
            <w:r>
              <w:rPr>
                <w:spacing w:val="-6"/>
              </w:rPr>
              <w:t>匝道</w:t>
            </w:r>
          </w:p>
        </w:tc>
        <w:tc>
          <w:tcPr>
            <w:tcW w:w="1279" w:type="dxa"/>
            <w:vAlign w:val="top"/>
          </w:tcPr>
          <w:p>
            <w:pPr>
              <w:spacing w:before="89"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164" w:type="dxa"/>
            <w:vAlign w:val="top"/>
          </w:tcPr>
          <w:p>
            <w:pPr>
              <w:spacing w:before="89" w:line="187"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163" w:type="dxa"/>
            <w:vAlign w:val="top"/>
          </w:tcPr>
          <w:p>
            <w:pPr>
              <w:spacing w:before="89"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1161" w:type="dxa"/>
            <w:vAlign w:val="top"/>
          </w:tcPr>
          <w:p>
            <w:pPr>
              <w:spacing w:before="89" w:line="187" w:lineRule="auto"/>
              <w:ind w:left="49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161" w:type="dxa"/>
            <w:vAlign w:val="top"/>
          </w:tcPr>
          <w:p>
            <w:pPr>
              <w:spacing w:before="89"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84</w:t>
            </w:r>
          </w:p>
        </w:tc>
        <w:tc>
          <w:tcPr>
            <w:tcW w:w="1159" w:type="dxa"/>
            <w:vAlign w:val="top"/>
          </w:tcPr>
          <w:p>
            <w:pPr>
              <w:spacing w:before="89" w:line="187" w:lineRule="auto"/>
              <w:ind w:left="4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053" w:type="dxa"/>
            <w:vMerge w:val="continue"/>
            <w:tcBorders>
              <w:top w:val="nil"/>
              <w:bottom w:val="nil"/>
            </w:tcBorders>
            <w:vAlign w:val="top"/>
          </w:tcPr>
          <w:p>
            <w:pPr>
              <w:rPr>
                <w:rFonts w:ascii="Arial"/>
                <w:sz w:val="21"/>
              </w:rPr>
            </w:pPr>
          </w:p>
        </w:tc>
        <w:tc>
          <w:tcPr>
            <w:tcW w:w="1048" w:type="dxa"/>
            <w:vAlign w:val="top"/>
          </w:tcPr>
          <w:p>
            <w:pPr>
              <w:pStyle w:val="6"/>
              <w:spacing w:before="34" w:line="227" w:lineRule="auto"/>
              <w:ind w:left="212"/>
            </w:pPr>
            <w:r>
              <w:rPr>
                <w:rFonts w:ascii="Times New Roman" w:hAnsi="Times New Roman" w:eastAsia="Times New Roman" w:cs="Times New Roman"/>
                <w:spacing w:val="-5"/>
              </w:rPr>
              <w:t>D</w:t>
            </w:r>
            <w:r>
              <w:rPr>
                <w:rFonts w:ascii="Times New Roman" w:hAnsi="Times New Roman" w:eastAsia="Times New Roman" w:cs="Times New Roman"/>
                <w:spacing w:val="22"/>
                <w:w w:val="101"/>
              </w:rPr>
              <w:t xml:space="preserve"> </w:t>
            </w:r>
            <w:r>
              <w:rPr>
                <w:spacing w:val="-5"/>
              </w:rPr>
              <w:t>匝道</w:t>
            </w:r>
          </w:p>
        </w:tc>
        <w:tc>
          <w:tcPr>
            <w:tcW w:w="1279" w:type="dxa"/>
            <w:vAlign w:val="top"/>
          </w:tcPr>
          <w:p>
            <w:pPr>
              <w:spacing w:before="92" w:line="187" w:lineRule="auto"/>
              <w:ind w:left="5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1164" w:type="dxa"/>
            <w:vAlign w:val="top"/>
          </w:tcPr>
          <w:p>
            <w:pPr>
              <w:spacing w:before="92" w:line="187"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163" w:type="dxa"/>
            <w:vAlign w:val="top"/>
          </w:tcPr>
          <w:p>
            <w:pPr>
              <w:spacing w:before="92"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1161" w:type="dxa"/>
            <w:vAlign w:val="top"/>
          </w:tcPr>
          <w:p>
            <w:pPr>
              <w:spacing w:before="92" w:line="187" w:lineRule="auto"/>
              <w:ind w:left="49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161" w:type="dxa"/>
            <w:vAlign w:val="top"/>
          </w:tcPr>
          <w:p>
            <w:pPr>
              <w:spacing w:before="92"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1159" w:type="dxa"/>
            <w:vAlign w:val="top"/>
          </w:tcPr>
          <w:p>
            <w:pPr>
              <w:spacing w:before="92" w:line="187" w:lineRule="auto"/>
              <w:ind w:left="4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53" w:type="dxa"/>
            <w:vMerge w:val="continue"/>
            <w:tcBorders>
              <w:top w:val="nil"/>
              <w:bottom w:val="nil"/>
            </w:tcBorders>
            <w:vAlign w:val="top"/>
          </w:tcPr>
          <w:p>
            <w:pPr>
              <w:rPr>
                <w:rFonts w:ascii="Arial"/>
                <w:sz w:val="21"/>
              </w:rPr>
            </w:pPr>
          </w:p>
        </w:tc>
        <w:tc>
          <w:tcPr>
            <w:tcW w:w="1048" w:type="dxa"/>
            <w:vAlign w:val="top"/>
          </w:tcPr>
          <w:p>
            <w:pPr>
              <w:pStyle w:val="6"/>
              <w:spacing w:before="32" w:line="227" w:lineRule="auto"/>
              <w:ind w:left="225"/>
            </w:pPr>
            <w:r>
              <w:rPr>
                <w:rFonts w:ascii="Times New Roman" w:hAnsi="Times New Roman" w:eastAsia="Times New Roman" w:cs="Times New Roman"/>
                <w:spacing w:val="-5"/>
              </w:rPr>
              <w:t>E</w:t>
            </w:r>
            <w:r>
              <w:rPr>
                <w:rFonts w:ascii="Times New Roman" w:hAnsi="Times New Roman" w:eastAsia="Times New Roman" w:cs="Times New Roman"/>
                <w:spacing w:val="21"/>
              </w:rPr>
              <w:t xml:space="preserve"> </w:t>
            </w:r>
            <w:r>
              <w:rPr>
                <w:spacing w:val="-5"/>
              </w:rPr>
              <w:t>匝道</w:t>
            </w:r>
          </w:p>
        </w:tc>
        <w:tc>
          <w:tcPr>
            <w:tcW w:w="1279" w:type="dxa"/>
            <w:vAlign w:val="top"/>
          </w:tcPr>
          <w:p>
            <w:pPr>
              <w:spacing w:before="89" w:line="187" w:lineRule="auto"/>
              <w:ind w:left="5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164" w:type="dxa"/>
            <w:vAlign w:val="top"/>
          </w:tcPr>
          <w:p>
            <w:pPr>
              <w:spacing w:before="89" w:line="187"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163" w:type="dxa"/>
            <w:vAlign w:val="top"/>
          </w:tcPr>
          <w:p>
            <w:pPr>
              <w:spacing w:before="89" w:line="18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c>
          <w:tcPr>
            <w:tcW w:w="1161" w:type="dxa"/>
            <w:vAlign w:val="top"/>
          </w:tcPr>
          <w:p>
            <w:pPr>
              <w:spacing w:before="89" w:line="187" w:lineRule="auto"/>
              <w:ind w:left="4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161" w:type="dxa"/>
            <w:vAlign w:val="top"/>
          </w:tcPr>
          <w:p>
            <w:pPr>
              <w:spacing w:before="89" w:line="187" w:lineRule="auto"/>
              <w:ind w:left="4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95</w:t>
            </w:r>
          </w:p>
        </w:tc>
        <w:tc>
          <w:tcPr>
            <w:tcW w:w="1159" w:type="dxa"/>
            <w:vAlign w:val="top"/>
          </w:tcPr>
          <w:p>
            <w:pPr>
              <w:spacing w:before="89" w:line="187" w:lineRule="auto"/>
              <w:ind w:left="4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53" w:type="dxa"/>
            <w:vMerge w:val="continue"/>
            <w:tcBorders>
              <w:top w:val="nil"/>
            </w:tcBorders>
            <w:vAlign w:val="top"/>
          </w:tcPr>
          <w:p>
            <w:pPr>
              <w:rPr>
                <w:rFonts w:ascii="Arial"/>
                <w:sz w:val="21"/>
              </w:rPr>
            </w:pPr>
          </w:p>
        </w:tc>
        <w:tc>
          <w:tcPr>
            <w:tcW w:w="1048" w:type="dxa"/>
            <w:vAlign w:val="top"/>
          </w:tcPr>
          <w:p>
            <w:pPr>
              <w:pStyle w:val="6"/>
              <w:spacing w:before="32" w:line="227" w:lineRule="auto"/>
              <w:ind w:left="210"/>
            </w:pPr>
            <w:r>
              <w:rPr>
                <w:rFonts w:ascii="Times New Roman" w:hAnsi="Times New Roman" w:eastAsia="Times New Roman" w:cs="Times New Roman"/>
                <w:spacing w:val="-4"/>
              </w:rPr>
              <w:t>A</w:t>
            </w:r>
            <w:r>
              <w:rPr>
                <w:rFonts w:ascii="Times New Roman" w:hAnsi="Times New Roman" w:eastAsia="Times New Roman" w:cs="Times New Roman"/>
                <w:spacing w:val="21"/>
              </w:rPr>
              <w:t xml:space="preserve"> </w:t>
            </w:r>
            <w:r>
              <w:rPr>
                <w:spacing w:val="-4"/>
              </w:rPr>
              <w:t>匝道</w:t>
            </w:r>
          </w:p>
        </w:tc>
        <w:tc>
          <w:tcPr>
            <w:tcW w:w="1279" w:type="dxa"/>
            <w:vAlign w:val="top"/>
          </w:tcPr>
          <w:p>
            <w:pPr>
              <w:spacing w:before="90" w:line="187" w:lineRule="auto"/>
              <w:ind w:left="50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135</w:t>
            </w:r>
          </w:p>
        </w:tc>
        <w:tc>
          <w:tcPr>
            <w:tcW w:w="1164" w:type="dxa"/>
            <w:vAlign w:val="top"/>
          </w:tcPr>
          <w:p>
            <w:pPr>
              <w:spacing w:before="90" w:line="18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163" w:type="dxa"/>
            <w:vAlign w:val="top"/>
          </w:tcPr>
          <w:p>
            <w:pPr>
              <w:spacing w:before="90" w:line="187" w:lineRule="auto"/>
              <w:ind w:left="4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264</w:t>
            </w:r>
          </w:p>
        </w:tc>
        <w:tc>
          <w:tcPr>
            <w:tcW w:w="1161" w:type="dxa"/>
            <w:vAlign w:val="top"/>
          </w:tcPr>
          <w:p>
            <w:pPr>
              <w:spacing w:before="93" w:line="184"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161" w:type="dxa"/>
            <w:vAlign w:val="top"/>
          </w:tcPr>
          <w:p>
            <w:pPr>
              <w:spacing w:before="90" w:line="187" w:lineRule="auto"/>
              <w:ind w:left="4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351</w:t>
            </w:r>
          </w:p>
        </w:tc>
        <w:tc>
          <w:tcPr>
            <w:tcW w:w="1159" w:type="dxa"/>
            <w:vAlign w:val="top"/>
          </w:tcPr>
          <w:p>
            <w:pPr>
              <w:spacing w:before="90" w:line="187" w:lineRule="auto"/>
              <w:ind w:left="4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53" w:type="dxa"/>
            <w:vMerge w:val="restart"/>
            <w:tcBorders>
              <w:bottom w:val="nil"/>
            </w:tcBorders>
            <w:vAlign w:val="top"/>
          </w:tcPr>
          <w:p>
            <w:pPr>
              <w:pStyle w:val="6"/>
              <w:spacing w:before="214" w:line="257" w:lineRule="auto"/>
              <w:ind w:left="117" w:right="102" w:firstLine="105"/>
              <w:jc w:val="both"/>
            </w:pPr>
            <w:r>
              <w:rPr>
                <w:spacing w:val="-3"/>
              </w:rPr>
              <w:t>景文高</w:t>
            </w:r>
            <w:r>
              <w:t xml:space="preserve">  </w:t>
            </w:r>
            <w:r>
              <w:rPr>
                <w:spacing w:val="-4"/>
              </w:rPr>
              <w:t>速（工可</w:t>
            </w:r>
            <w:r>
              <w:rPr>
                <w:spacing w:val="2"/>
              </w:rPr>
              <w:t xml:space="preserve"> </w:t>
            </w:r>
            <w:r>
              <w:rPr>
                <w:spacing w:val="27"/>
              </w:rPr>
              <w:t>补充）</w:t>
            </w:r>
          </w:p>
        </w:tc>
        <w:tc>
          <w:tcPr>
            <w:tcW w:w="1048" w:type="dxa"/>
            <w:vAlign w:val="top"/>
          </w:tcPr>
          <w:p>
            <w:pPr>
              <w:pStyle w:val="6"/>
              <w:spacing w:before="53" w:line="248" w:lineRule="auto"/>
              <w:ind w:left="423" w:right="147" w:hanging="259"/>
            </w:pPr>
            <w:r>
              <w:rPr>
                <w:spacing w:val="-4"/>
              </w:rPr>
              <w:t>东坑</w:t>
            </w:r>
            <w:r>
              <w:rPr>
                <w:rFonts w:ascii="Times New Roman" w:hAnsi="Times New Roman" w:eastAsia="Times New Roman" w:cs="Times New Roman"/>
                <w:spacing w:val="-4"/>
              </w:rPr>
              <w:t>~</w:t>
            </w:r>
            <w:r>
              <w:rPr>
                <w:spacing w:val="-4"/>
              </w:rPr>
              <w:t>西</w:t>
            </w:r>
            <w:r>
              <w:rPr>
                <w:spacing w:val="2"/>
              </w:rPr>
              <w:t xml:space="preserve"> </w:t>
            </w:r>
            <w:r>
              <w:t>坑</w:t>
            </w:r>
          </w:p>
        </w:tc>
        <w:tc>
          <w:tcPr>
            <w:tcW w:w="1279" w:type="dxa"/>
            <w:vAlign w:val="top"/>
          </w:tcPr>
          <w:p>
            <w:pPr>
              <w:spacing w:before="247"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565</w:t>
            </w:r>
          </w:p>
        </w:tc>
        <w:tc>
          <w:tcPr>
            <w:tcW w:w="1164" w:type="dxa"/>
            <w:vAlign w:val="top"/>
          </w:tcPr>
          <w:p>
            <w:pPr>
              <w:spacing w:before="247" w:line="187" w:lineRule="auto"/>
              <w:ind w:left="4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161</w:t>
            </w:r>
          </w:p>
        </w:tc>
        <w:tc>
          <w:tcPr>
            <w:tcW w:w="1163" w:type="dxa"/>
            <w:vAlign w:val="top"/>
          </w:tcPr>
          <w:p>
            <w:pPr>
              <w:spacing w:before="247" w:line="187" w:lineRule="auto"/>
              <w:ind w:left="4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855</w:t>
            </w:r>
          </w:p>
        </w:tc>
        <w:tc>
          <w:tcPr>
            <w:tcW w:w="1161" w:type="dxa"/>
            <w:vAlign w:val="top"/>
          </w:tcPr>
          <w:p>
            <w:pPr>
              <w:spacing w:before="247" w:line="187"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244</w:t>
            </w:r>
          </w:p>
        </w:tc>
        <w:tc>
          <w:tcPr>
            <w:tcW w:w="1161" w:type="dxa"/>
            <w:vAlign w:val="top"/>
          </w:tcPr>
          <w:p>
            <w:pPr>
              <w:spacing w:before="247"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1157</w:t>
            </w:r>
          </w:p>
        </w:tc>
        <w:tc>
          <w:tcPr>
            <w:tcW w:w="1159" w:type="dxa"/>
            <w:vAlign w:val="top"/>
          </w:tcPr>
          <w:p>
            <w:pPr>
              <w:spacing w:before="247" w:line="187"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53" w:type="dxa"/>
            <w:vMerge w:val="continue"/>
            <w:tcBorders>
              <w:top w:val="nil"/>
            </w:tcBorders>
            <w:vAlign w:val="top"/>
          </w:tcPr>
          <w:p>
            <w:pPr>
              <w:rPr>
                <w:rFonts w:ascii="Arial"/>
                <w:sz w:val="21"/>
              </w:rPr>
            </w:pPr>
          </w:p>
        </w:tc>
        <w:tc>
          <w:tcPr>
            <w:tcW w:w="1048" w:type="dxa"/>
            <w:vAlign w:val="top"/>
          </w:tcPr>
          <w:p>
            <w:pPr>
              <w:pStyle w:val="6"/>
              <w:spacing w:before="56" w:line="247" w:lineRule="auto"/>
              <w:ind w:left="216" w:right="147" w:hanging="54"/>
            </w:pPr>
            <w:r>
              <w:rPr>
                <w:spacing w:val="-3"/>
              </w:rPr>
              <w:t>西坑</w:t>
            </w:r>
            <w:r>
              <w:rPr>
                <w:rFonts w:ascii="Times New Roman" w:hAnsi="Times New Roman" w:eastAsia="Times New Roman" w:cs="Times New Roman"/>
                <w:spacing w:val="-3"/>
              </w:rPr>
              <w:t>~</w:t>
            </w:r>
            <w:r>
              <w:rPr>
                <w:spacing w:val="-3"/>
              </w:rPr>
              <w:t>文</w:t>
            </w:r>
            <w:r>
              <w:t xml:space="preserve"> </w:t>
            </w:r>
            <w:r>
              <w:rPr>
                <w:spacing w:val="-2"/>
              </w:rPr>
              <w:t>成枢纽</w:t>
            </w:r>
          </w:p>
        </w:tc>
        <w:tc>
          <w:tcPr>
            <w:tcW w:w="1279" w:type="dxa"/>
            <w:vAlign w:val="top"/>
          </w:tcPr>
          <w:p>
            <w:pPr>
              <w:spacing w:before="248"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571</w:t>
            </w:r>
          </w:p>
        </w:tc>
        <w:tc>
          <w:tcPr>
            <w:tcW w:w="1164" w:type="dxa"/>
            <w:vAlign w:val="top"/>
          </w:tcPr>
          <w:p>
            <w:pPr>
              <w:spacing w:before="248" w:line="187" w:lineRule="auto"/>
              <w:ind w:left="44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163</w:t>
            </w:r>
          </w:p>
        </w:tc>
        <w:tc>
          <w:tcPr>
            <w:tcW w:w="1163" w:type="dxa"/>
            <w:vAlign w:val="top"/>
          </w:tcPr>
          <w:p>
            <w:pPr>
              <w:spacing w:before="248" w:line="187" w:lineRule="auto"/>
              <w:ind w:left="4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874</w:t>
            </w:r>
          </w:p>
        </w:tc>
        <w:tc>
          <w:tcPr>
            <w:tcW w:w="1161" w:type="dxa"/>
            <w:vAlign w:val="top"/>
          </w:tcPr>
          <w:p>
            <w:pPr>
              <w:spacing w:before="248" w:line="187"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1161" w:type="dxa"/>
            <w:vAlign w:val="top"/>
          </w:tcPr>
          <w:p>
            <w:pPr>
              <w:spacing w:before="248"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1168</w:t>
            </w:r>
          </w:p>
        </w:tc>
        <w:tc>
          <w:tcPr>
            <w:tcW w:w="1159" w:type="dxa"/>
            <w:vAlign w:val="top"/>
          </w:tcPr>
          <w:p>
            <w:pPr>
              <w:spacing w:before="248" w:line="187"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334</w:t>
            </w:r>
          </w:p>
        </w:tc>
      </w:tr>
    </w:tbl>
    <w:p>
      <w:pPr>
        <w:pStyle w:val="2"/>
        <w:spacing w:line="270" w:lineRule="auto"/>
      </w:pPr>
    </w:p>
    <w:p>
      <w:pPr>
        <w:spacing w:before="78" w:line="359" w:lineRule="auto"/>
        <w:ind w:left="122" w:right="110" w:firstLine="480"/>
        <w:jc w:val="both"/>
        <w:rPr>
          <w:rFonts w:ascii="宋体" w:hAnsi="宋体" w:eastAsia="宋体" w:cs="宋体"/>
          <w:sz w:val="24"/>
          <w:szCs w:val="24"/>
        </w:rPr>
      </w:pPr>
      <w:r>
        <w:rPr>
          <w:rFonts w:ascii="宋体" w:hAnsi="宋体" w:eastAsia="宋体" w:cs="宋体"/>
          <w:spacing w:val="-11"/>
          <w:sz w:val="24"/>
          <w:szCs w:val="24"/>
        </w:rPr>
        <w:t>根据环评报告、验收报告和现状监测，</w:t>
      </w:r>
      <w:r>
        <w:rPr>
          <w:rFonts w:ascii="宋体" w:hAnsi="宋体" w:eastAsia="宋体" w:cs="宋体"/>
          <w:spacing w:val="38"/>
          <w:sz w:val="24"/>
          <w:szCs w:val="24"/>
        </w:rPr>
        <w:t xml:space="preserve"> </w:t>
      </w:r>
      <w:r>
        <w:rPr>
          <w:rFonts w:ascii="Times New Roman" w:hAnsi="Times New Roman" w:eastAsia="Times New Roman" w:cs="Times New Roman"/>
          <w:spacing w:val="-11"/>
          <w:sz w:val="24"/>
          <w:szCs w:val="24"/>
        </w:rPr>
        <w:t>322</w:t>
      </w:r>
      <w:r>
        <w:rPr>
          <w:rFonts w:ascii="Times New Roman" w:hAnsi="Times New Roman" w:eastAsia="Times New Roman" w:cs="Times New Roman"/>
          <w:spacing w:val="33"/>
          <w:sz w:val="24"/>
          <w:szCs w:val="24"/>
        </w:rPr>
        <w:t xml:space="preserve"> </w:t>
      </w:r>
      <w:r>
        <w:rPr>
          <w:rFonts w:ascii="宋体" w:hAnsi="宋体" w:eastAsia="宋体" w:cs="宋体"/>
          <w:spacing w:val="-11"/>
          <w:sz w:val="24"/>
          <w:szCs w:val="24"/>
        </w:rPr>
        <w:t>国道（原</w:t>
      </w:r>
      <w:r>
        <w:rPr>
          <w:rFonts w:ascii="宋体" w:hAnsi="宋体" w:eastAsia="宋体" w:cs="宋体"/>
          <w:spacing w:val="-29"/>
          <w:sz w:val="24"/>
          <w:szCs w:val="24"/>
        </w:rPr>
        <w:t xml:space="preserve"> </w:t>
      </w:r>
      <w:r>
        <w:rPr>
          <w:rFonts w:ascii="Times New Roman" w:hAnsi="Times New Roman" w:eastAsia="Times New Roman" w:cs="Times New Roman"/>
          <w:spacing w:val="-11"/>
          <w:sz w:val="24"/>
          <w:szCs w:val="24"/>
        </w:rPr>
        <w:t>56</w:t>
      </w:r>
      <w:r>
        <w:rPr>
          <w:rFonts w:ascii="Times New Roman" w:hAnsi="Times New Roman" w:eastAsia="Times New Roman" w:cs="Times New Roman"/>
          <w:spacing w:val="13"/>
          <w:sz w:val="24"/>
          <w:szCs w:val="24"/>
        </w:rPr>
        <w:t xml:space="preserve"> </w:t>
      </w:r>
      <w:r>
        <w:rPr>
          <w:rFonts w:ascii="宋体" w:hAnsi="宋体" w:eastAsia="宋体" w:cs="宋体"/>
          <w:spacing w:val="-11"/>
          <w:sz w:val="24"/>
          <w:szCs w:val="24"/>
        </w:rPr>
        <w:t>省道）</w:t>
      </w:r>
      <w:r>
        <w:rPr>
          <w:rFonts w:ascii="宋体" w:hAnsi="宋体" w:eastAsia="宋体" w:cs="宋体"/>
          <w:spacing w:val="-49"/>
          <w:sz w:val="24"/>
          <w:szCs w:val="24"/>
        </w:rPr>
        <w:t xml:space="preserve"> </w:t>
      </w:r>
      <w:r>
        <w:rPr>
          <w:rFonts w:ascii="宋体" w:hAnsi="宋体" w:eastAsia="宋体" w:cs="宋体"/>
          <w:spacing w:val="-11"/>
          <w:sz w:val="24"/>
          <w:szCs w:val="24"/>
        </w:rPr>
        <w:t>现阶段车流</w:t>
      </w:r>
      <w:r>
        <w:rPr>
          <w:rFonts w:ascii="宋体" w:hAnsi="宋体" w:eastAsia="宋体" w:cs="宋体"/>
          <w:spacing w:val="-12"/>
          <w:sz w:val="24"/>
          <w:szCs w:val="24"/>
        </w:rPr>
        <w:t>量未超过</w:t>
      </w:r>
      <w:r>
        <w:rPr>
          <w:rFonts w:ascii="宋体" w:hAnsi="宋体" w:eastAsia="宋体" w:cs="宋体"/>
          <w:sz w:val="24"/>
          <w:szCs w:val="24"/>
        </w:rPr>
        <w:t xml:space="preserve"> </w:t>
      </w:r>
      <w:r>
        <w:rPr>
          <w:rFonts w:ascii="宋体" w:hAnsi="宋体" w:eastAsia="宋体" w:cs="宋体"/>
          <w:spacing w:val="-8"/>
          <w:sz w:val="24"/>
          <w:szCs w:val="24"/>
        </w:rPr>
        <w:t>环评远期车流量（</w:t>
      </w:r>
      <w:r>
        <w:rPr>
          <w:rFonts w:ascii="Times New Roman" w:hAnsi="Times New Roman" w:eastAsia="Times New Roman" w:cs="Times New Roman"/>
          <w:spacing w:val="-8"/>
          <w:sz w:val="24"/>
          <w:szCs w:val="24"/>
        </w:rPr>
        <w:t xml:space="preserve">2026 </w:t>
      </w:r>
      <w:r>
        <w:rPr>
          <w:rFonts w:ascii="宋体" w:hAnsi="宋体" w:eastAsia="宋体" w:cs="宋体"/>
          <w:spacing w:val="-8"/>
          <w:sz w:val="24"/>
          <w:szCs w:val="24"/>
        </w:rPr>
        <w:t>年</w:t>
      </w:r>
      <w:r>
        <w:rPr>
          <w:rFonts w:ascii="宋体" w:hAnsi="宋体" w:eastAsia="宋体" w:cs="宋体"/>
          <w:spacing w:val="17"/>
          <w:sz w:val="24"/>
          <w:szCs w:val="24"/>
        </w:rPr>
        <w:t>），</w:t>
      </w:r>
      <w:r>
        <w:rPr>
          <w:rFonts w:ascii="宋体" w:hAnsi="宋体" w:eastAsia="宋体" w:cs="宋体"/>
          <w:spacing w:val="-8"/>
          <w:sz w:val="24"/>
          <w:szCs w:val="24"/>
        </w:rPr>
        <w:t>本次采用内插法计算车流量；</w:t>
      </w:r>
      <w:r>
        <w:rPr>
          <w:rFonts w:ascii="宋体" w:hAnsi="宋体" w:eastAsia="宋体" w:cs="宋体"/>
          <w:spacing w:val="42"/>
          <w:sz w:val="24"/>
          <w:szCs w:val="24"/>
        </w:rPr>
        <w:t xml:space="preserve"> </w:t>
      </w:r>
      <w:r>
        <w:rPr>
          <w:rFonts w:ascii="宋体" w:hAnsi="宋体" w:eastAsia="宋体" w:cs="宋体"/>
          <w:spacing w:val="-8"/>
          <w:sz w:val="24"/>
          <w:szCs w:val="24"/>
        </w:rPr>
        <w:t>大南公路现阶段运行车流量</w:t>
      </w:r>
      <w:r>
        <w:rPr>
          <w:rFonts w:ascii="宋体" w:hAnsi="宋体" w:eastAsia="宋体" w:cs="宋体"/>
          <w:sz w:val="24"/>
          <w:szCs w:val="24"/>
        </w:rPr>
        <w:t xml:space="preserve"> </w:t>
      </w:r>
      <w:r>
        <w:rPr>
          <w:rFonts w:ascii="宋体" w:hAnsi="宋体" w:eastAsia="宋体" w:cs="宋体"/>
          <w:spacing w:val="-9"/>
          <w:sz w:val="24"/>
          <w:szCs w:val="24"/>
        </w:rPr>
        <w:t>已超过环评远期车流量（</w:t>
      </w:r>
      <w:r>
        <w:rPr>
          <w:rFonts w:ascii="Times New Roman" w:hAnsi="Times New Roman" w:eastAsia="Times New Roman" w:cs="Times New Roman"/>
          <w:spacing w:val="-9"/>
          <w:sz w:val="24"/>
          <w:szCs w:val="24"/>
        </w:rPr>
        <w:t xml:space="preserve">2027 </w:t>
      </w:r>
      <w:r>
        <w:rPr>
          <w:rFonts w:ascii="宋体" w:hAnsi="宋体" w:eastAsia="宋体" w:cs="宋体"/>
          <w:spacing w:val="-9"/>
          <w:sz w:val="24"/>
          <w:szCs w:val="24"/>
        </w:rPr>
        <w:t>年）和验收时的车流量，</w:t>
      </w:r>
      <w:r>
        <w:rPr>
          <w:rFonts w:ascii="宋体" w:hAnsi="宋体" w:eastAsia="宋体" w:cs="宋体"/>
          <w:spacing w:val="55"/>
          <w:sz w:val="24"/>
          <w:szCs w:val="24"/>
        </w:rPr>
        <w:t xml:space="preserve"> </w:t>
      </w:r>
      <w:r>
        <w:rPr>
          <w:rFonts w:ascii="宋体" w:hAnsi="宋体" w:eastAsia="宋体" w:cs="宋体"/>
          <w:spacing w:val="-9"/>
          <w:sz w:val="24"/>
          <w:szCs w:val="24"/>
        </w:rPr>
        <w:t>因此</w:t>
      </w:r>
      <w:r>
        <w:rPr>
          <w:rFonts w:ascii="宋体" w:hAnsi="宋体" w:eastAsia="宋体" w:cs="宋体"/>
          <w:spacing w:val="-10"/>
          <w:sz w:val="24"/>
          <w:szCs w:val="24"/>
        </w:rPr>
        <w:t>，</w:t>
      </w:r>
      <w:r>
        <w:rPr>
          <w:rFonts w:ascii="宋体" w:hAnsi="宋体" w:eastAsia="宋体" w:cs="宋体"/>
          <w:spacing w:val="-30"/>
          <w:sz w:val="24"/>
          <w:szCs w:val="24"/>
        </w:rPr>
        <w:t xml:space="preserve"> </w:t>
      </w:r>
      <w:r>
        <w:rPr>
          <w:rFonts w:ascii="宋体" w:hAnsi="宋体" w:eastAsia="宋体" w:cs="宋体"/>
          <w:spacing w:val="-10"/>
          <w:sz w:val="24"/>
          <w:szCs w:val="24"/>
        </w:rPr>
        <w:t>本次车流量取现状监测车</w:t>
      </w:r>
    </w:p>
    <w:p>
      <w:pPr>
        <w:spacing w:line="220" w:lineRule="auto"/>
        <w:ind w:left="123"/>
        <w:rPr>
          <w:rFonts w:ascii="宋体" w:hAnsi="宋体" w:eastAsia="宋体" w:cs="宋体"/>
          <w:sz w:val="24"/>
          <w:szCs w:val="24"/>
        </w:rPr>
      </w:pPr>
      <w:r>
        <w:rPr>
          <w:rFonts w:ascii="宋体" w:hAnsi="宋体" w:eastAsia="宋体" w:cs="宋体"/>
          <w:spacing w:val="-5"/>
          <w:sz w:val="24"/>
          <w:szCs w:val="24"/>
        </w:rPr>
        <w:t>流量进行预测分析。</w:t>
      </w:r>
    </w:p>
    <w:p>
      <w:pPr>
        <w:spacing w:before="182" w:line="233" w:lineRule="auto"/>
        <w:ind w:left="1253"/>
        <w:rPr>
          <w:rFonts w:ascii="Times New Roman" w:hAnsi="Times New Roman" w:eastAsia="Times New Roman" w:cs="Times New Roman"/>
          <w:sz w:val="24"/>
          <w:szCs w:val="24"/>
        </w:rPr>
      </w:pPr>
      <w:r>
        <w:rPr>
          <w:rFonts w:ascii="宋体" w:hAnsi="宋体" w:eastAsia="宋体" w:cs="宋体"/>
          <w:sz w:val="24"/>
          <w:szCs w:val="24"/>
        </w:rPr>
        <w:t xml:space="preserve">表 </w:t>
      </w:r>
      <w:r>
        <w:rPr>
          <w:rFonts w:ascii="Times New Roman" w:hAnsi="Times New Roman" w:eastAsia="Times New Roman" w:cs="Times New Roman"/>
          <w:sz w:val="24"/>
          <w:szCs w:val="24"/>
        </w:rPr>
        <w:t xml:space="preserve">0.2-3      </w:t>
      </w:r>
      <w:r>
        <w:rPr>
          <w:rFonts w:ascii="宋体" w:hAnsi="宋体" w:eastAsia="宋体" w:cs="宋体"/>
          <w:sz w:val="24"/>
          <w:szCs w:val="24"/>
        </w:rPr>
        <w:t>营运期相交道路各预测年份昼夜小时车流量</w:t>
      </w:r>
      <w:r>
        <w:rPr>
          <w:rFonts w:ascii="宋体" w:hAnsi="宋体" w:eastAsia="宋体" w:cs="宋体"/>
          <w:spacing w:val="-1"/>
          <w:sz w:val="24"/>
          <w:szCs w:val="24"/>
        </w:rPr>
        <w:t xml:space="preserve">   单位：辆</w:t>
      </w:r>
      <w:r>
        <w:rPr>
          <w:rFonts w:ascii="Times New Roman" w:hAnsi="Times New Roman" w:eastAsia="Times New Roman" w:cs="Times New Roman"/>
          <w:spacing w:val="-1"/>
          <w:sz w:val="24"/>
          <w:szCs w:val="24"/>
        </w:rPr>
        <w:t>/h</w:t>
      </w:r>
    </w:p>
    <w:p>
      <w:pPr>
        <w:spacing w:line="125" w:lineRule="exact"/>
      </w:pPr>
    </w:p>
    <w:tbl>
      <w:tblPr>
        <w:tblStyle w:val="5"/>
        <w:tblW w:w="9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9"/>
        <w:gridCol w:w="1289"/>
        <w:gridCol w:w="1171"/>
        <w:gridCol w:w="1173"/>
        <w:gridCol w:w="1169"/>
        <w:gridCol w:w="1170"/>
        <w:gridCol w:w="11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159" w:type="dxa"/>
            <w:vMerge w:val="restart"/>
            <w:tcBorders>
              <w:bottom w:val="nil"/>
            </w:tcBorders>
            <w:vAlign w:val="top"/>
          </w:tcPr>
          <w:p>
            <w:pPr>
              <w:pStyle w:val="6"/>
              <w:spacing w:before="175" w:line="221" w:lineRule="auto"/>
              <w:ind w:left="876"/>
            </w:pPr>
            <w:r>
              <w:rPr>
                <w:spacing w:val="-2"/>
              </w:rPr>
              <w:t>路段</w:t>
            </w:r>
          </w:p>
        </w:tc>
        <w:tc>
          <w:tcPr>
            <w:tcW w:w="2460" w:type="dxa"/>
            <w:gridSpan w:val="2"/>
            <w:vAlign w:val="top"/>
          </w:tcPr>
          <w:p>
            <w:pPr>
              <w:pStyle w:val="6"/>
              <w:spacing w:before="34" w:line="209" w:lineRule="auto"/>
              <w:ind w:left="888"/>
            </w:pPr>
            <w:r>
              <w:rPr>
                <w:rFonts w:ascii="Times New Roman" w:hAnsi="Times New Roman" w:eastAsia="Times New Roman" w:cs="Times New Roman"/>
                <w:spacing w:val="-1"/>
              </w:rPr>
              <w:t>2023</w:t>
            </w:r>
            <w:r>
              <w:rPr>
                <w:rFonts w:ascii="Times New Roman" w:hAnsi="Times New Roman" w:eastAsia="Times New Roman" w:cs="Times New Roman"/>
                <w:spacing w:val="8"/>
              </w:rPr>
              <w:t xml:space="preserve"> </w:t>
            </w:r>
            <w:r>
              <w:rPr>
                <w:spacing w:val="-1"/>
              </w:rPr>
              <w:t>年</w:t>
            </w:r>
          </w:p>
        </w:tc>
        <w:tc>
          <w:tcPr>
            <w:tcW w:w="2342" w:type="dxa"/>
            <w:gridSpan w:val="2"/>
            <w:vAlign w:val="top"/>
          </w:tcPr>
          <w:p>
            <w:pPr>
              <w:pStyle w:val="6"/>
              <w:spacing w:before="34" w:line="209" w:lineRule="auto"/>
              <w:ind w:left="834"/>
            </w:pPr>
            <w:r>
              <w:rPr>
                <w:rFonts w:ascii="Times New Roman" w:hAnsi="Times New Roman" w:eastAsia="Times New Roman" w:cs="Times New Roman"/>
                <w:spacing w:val="-1"/>
              </w:rPr>
              <w:t>2029</w:t>
            </w:r>
            <w:r>
              <w:rPr>
                <w:rFonts w:ascii="Times New Roman" w:hAnsi="Times New Roman" w:eastAsia="Times New Roman" w:cs="Times New Roman"/>
                <w:spacing w:val="8"/>
              </w:rPr>
              <w:t xml:space="preserve"> </w:t>
            </w:r>
            <w:r>
              <w:rPr>
                <w:spacing w:val="-1"/>
              </w:rPr>
              <w:t>年</w:t>
            </w:r>
          </w:p>
        </w:tc>
        <w:tc>
          <w:tcPr>
            <w:tcW w:w="2333" w:type="dxa"/>
            <w:gridSpan w:val="2"/>
            <w:vAlign w:val="top"/>
          </w:tcPr>
          <w:p>
            <w:pPr>
              <w:pStyle w:val="6"/>
              <w:spacing w:before="34" w:line="209" w:lineRule="auto"/>
              <w:ind w:left="827"/>
            </w:pPr>
            <w:r>
              <w:rPr>
                <w:rFonts w:ascii="Times New Roman" w:hAnsi="Times New Roman" w:eastAsia="Times New Roman" w:cs="Times New Roman"/>
                <w:spacing w:val="-1"/>
              </w:rPr>
              <w:t>2037</w:t>
            </w:r>
            <w:r>
              <w:rPr>
                <w:rFonts w:ascii="Times New Roman" w:hAnsi="Times New Roman" w:eastAsia="Times New Roman" w:cs="Times New Roman"/>
                <w:spacing w:val="8"/>
              </w:rPr>
              <w:t xml:space="preserve"> </w:t>
            </w:r>
            <w:r>
              <w:rPr>
                <w:spacing w:val="-1"/>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159" w:type="dxa"/>
            <w:vMerge w:val="continue"/>
            <w:tcBorders>
              <w:top w:val="nil"/>
            </w:tcBorders>
            <w:vAlign w:val="top"/>
          </w:tcPr>
          <w:p>
            <w:pPr>
              <w:rPr>
                <w:rFonts w:ascii="Arial"/>
                <w:sz w:val="21"/>
              </w:rPr>
            </w:pPr>
          </w:p>
        </w:tc>
        <w:tc>
          <w:tcPr>
            <w:tcW w:w="1289" w:type="dxa"/>
            <w:vAlign w:val="top"/>
          </w:tcPr>
          <w:p>
            <w:pPr>
              <w:pStyle w:val="6"/>
              <w:spacing w:before="30" w:line="206" w:lineRule="auto"/>
              <w:ind w:left="438"/>
            </w:pPr>
            <w:r>
              <w:rPr>
                <w:spacing w:val="-2"/>
              </w:rPr>
              <w:t>昼间</w:t>
            </w:r>
          </w:p>
        </w:tc>
        <w:tc>
          <w:tcPr>
            <w:tcW w:w="1171" w:type="dxa"/>
            <w:vAlign w:val="top"/>
          </w:tcPr>
          <w:p>
            <w:pPr>
              <w:pStyle w:val="6"/>
              <w:spacing w:before="30" w:line="206" w:lineRule="auto"/>
              <w:ind w:left="382"/>
            </w:pPr>
            <w:r>
              <w:rPr>
                <w:spacing w:val="-3"/>
              </w:rPr>
              <w:t>夜间</w:t>
            </w:r>
          </w:p>
        </w:tc>
        <w:tc>
          <w:tcPr>
            <w:tcW w:w="1173" w:type="dxa"/>
            <w:vAlign w:val="top"/>
          </w:tcPr>
          <w:p>
            <w:pPr>
              <w:pStyle w:val="6"/>
              <w:spacing w:before="30" w:line="206" w:lineRule="auto"/>
              <w:ind w:left="381"/>
            </w:pPr>
            <w:r>
              <w:rPr>
                <w:spacing w:val="-2"/>
              </w:rPr>
              <w:t>昼间</w:t>
            </w:r>
          </w:p>
        </w:tc>
        <w:tc>
          <w:tcPr>
            <w:tcW w:w="1169" w:type="dxa"/>
            <w:vAlign w:val="top"/>
          </w:tcPr>
          <w:p>
            <w:pPr>
              <w:pStyle w:val="6"/>
              <w:spacing w:before="30" w:line="206" w:lineRule="auto"/>
              <w:ind w:left="383"/>
            </w:pPr>
            <w:r>
              <w:rPr>
                <w:spacing w:val="-3"/>
              </w:rPr>
              <w:t>夜间</w:t>
            </w:r>
          </w:p>
        </w:tc>
        <w:tc>
          <w:tcPr>
            <w:tcW w:w="1170" w:type="dxa"/>
            <w:vAlign w:val="top"/>
          </w:tcPr>
          <w:p>
            <w:pPr>
              <w:pStyle w:val="6"/>
              <w:spacing w:before="30" w:line="206" w:lineRule="auto"/>
              <w:ind w:left="382"/>
            </w:pPr>
            <w:r>
              <w:rPr>
                <w:spacing w:val="-2"/>
              </w:rPr>
              <w:t>昼间</w:t>
            </w:r>
          </w:p>
        </w:tc>
        <w:tc>
          <w:tcPr>
            <w:tcW w:w="1163" w:type="dxa"/>
            <w:vAlign w:val="top"/>
          </w:tcPr>
          <w:p>
            <w:pPr>
              <w:pStyle w:val="6"/>
              <w:spacing w:before="30" w:line="206" w:lineRule="auto"/>
              <w:ind w:left="380"/>
            </w:pPr>
            <w:r>
              <w:rPr>
                <w:spacing w:val="-3"/>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2159" w:type="dxa"/>
            <w:vAlign w:val="top"/>
          </w:tcPr>
          <w:p>
            <w:pPr>
              <w:pStyle w:val="6"/>
              <w:spacing w:before="155" w:line="221" w:lineRule="auto"/>
              <w:ind w:right="6"/>
              <w:jc w:val="right"/>
            </w:pPr>
            <w:r>
              <w:rPr>
                <w:rFonts w:ascii="Times New Roman" w:hAnsi="Times New Roman" w:eastAsia="Times New Roman" w:cs="Times New Roman"/>
                <w:spacing w:val="-16"/>
              </w:rPr>
              <w:t>322</w:t>
            </w:r>
            <w:r>
              <w:rPr>
                <w:rFonts w:ascii="Times New Roman" w:hAnsi="Times New Roman" w:eastAsia="Times New Roman" w:cs="Times New Roman"/>
                <w:spacing w:val="35"/>
              </w:rPr>
              <w:t xml:space="preserve"> </w:t>
            </w:r>
            <w:r>
              <w:rPr>
                <w:spacing w:val="-16"/>
              </w:rPr>
              <w:t>国道（原</w:t>
            </w:r>
            <w:r>
              <w:rPr>
                <w:spacing w:val="-28"/>
              </w:rPr>
              <w:t xml:space="preserve"> </w:t>
            </w:r>
            <w:r>
              <w:rPr>
                <w:rFonts w:ascii="Times New Roman" w:hAnsi="Times New Roman" w:eastAsia="Times New Roman" w:cs="Times New Roman"/>
                <w:spacing w:val="-16"/>
              </w:rPr>
              <w:t>56</w:t>
            </w:r>
            <w:r>
              <w:rPr>
                <w:rFonts w:ascii="Times New Roman" w:hAnsi="Times New Roman" w:eastAsia="Times New Roman" w:cs="Times New Roman"/>
                <w:spacing w:val="10"/>
              </w:rPr>
              <w:t xml:space="preserve"> </w:t>
            </w:r>
            <w:r>
              <w:rPr>
                <w:spacing w:val="-16"/>
              </w:rPr>
              <w:t>省道）</w:t>
            </w:r>
          </w:p>
        </w:tc>
        <w:tc>
          <w:tcPr>
            <w:tcW w:w="1289" w:type="dxa"/>
            <w:vAlign w:val="top"/>
          </w:tcPr>
          <w:p>
            <w:pPr>
              <w:spacing w:before="190" w:line="187" w:lineRule="auto"/>
              <w:ind w:left="47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214</w:t>
            </w:r>
          </w:p>
        </w:tc>
        <w:tc>
          <w:tcPr>
            <w:tcW w:w="1171" w:type="dxa"/>
            <w:vAlign w:val="top"/>
          </w:tcPr>
          <w:p>
            <w:pPr>
              <w:spacing w:before="190" w:line="187" w:lineRule="auto"/>
              <w:ind w:left="48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61</w:t>
            </w:r>
          </w:p>
        </w:tc>
        <w:tc>
          <w:tcPr>
            <w:tcW w:w="1173" w:type="dxa"/>
            <w:vAlign w:val="top"/>
          </w:tcPr>
          <w:p>
            <w:pPr>
              <w:spacing w:before="190" w:line="187" w:lineRule="auto"/>
              <w:ind w:left="42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302</w:t>
            </w:r>
          </w:p>
        </w:tc>
        <w:tc>
          <w:tcPr>
            <w:tcW w:w="1169" w:type="dxa"/>
            <w:vAlign w:val="top"/>
          </w:tcPr>
          <w:p>
            <w:pPr>
              <w:spacing w:before="190" w:line="187" w:lineRule="auto"/>
              <w:ind w:left="48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86</w:t>
            </w:r>
          </w:p>
        </w:tc>
        <w:tc>
          <w:tcPr>
            <w:tcW w:w="1170" w:type="dxa"/>
            <w:vAlign w:val="top"/>
          </w:tcPr>
          <w:p>
            <w:pPr>
              <w:spacing w:before="190" w:line="187" w:lineRule="auto"/>
              <w:ind w:left="4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422</w:t>
            </w:r>
          </w:p>
        </w:tc>
        <w:tc>
          <w:tcPr>
            <w:tcW w:w="1163" w:type="dxa"/>
            <w:vAlign w:val="top"/>
          </w:tcPr>
          <w:p>
            <w:pPr>
              <w:spacing w:before="190" w:line="187" w:lineRule="auto"/>
              <w:ind w:left="437"/>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159" w:type="dxa"/>
            <w:vAlign w:val="top"/>
          </w:tcPr>
          <w:p>
            <w:pPr>
              <w:pStyle w:val="6"/>
              <w:spacing w:before="150" w:line="221" w:lineRule="auto"/>
              <w:ind w:left="668"/>
            </w:pPr>
            <w:r>
              <w:rPr>
                <w:spacing w:val="-2"/>
              </w:rPr>
              <w:t>大南公路</w:t>
            </w:r>
          </w:p>
        </w:tc>
        <w:tc>
          <w:tcPr>
            <w:tcW w:w="1289" w:type="dxa"/>
            <w:vAlign w:val="top"/>
          </w:tcPr>
          <w:p>
            <w:pPr>
              <w:spacing w:before="184" w:line="187" w:lineRule="auto"/>
              <w:ind w:left="48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594</w:t>
            </w:r>
          </w:p>
        </w:tc>
        <w:tc>
          <w:tcPr>
            <w:tcW w:w="1171" w:type="dxa"/>
            <w:vAlign w:val="top"/>
          </w:tcPr>
          <w:p>
            <w:pPr>
              <w:spacing w:before="184" w:line="187" w:lineRule="auto"/>
              <w:ind w:left="442"/>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165</w:t>
            </w:r>
          </w:p>
        </w:tc>
        <w:tc>
          <w:tcPr>
            <w:tcW w:w="1173" w:type="dxa"/>
            <w:vAlign w:val="top"/>
          </w:tcPr>
          <w:p>
            <w:pPr>
              <w:spacing w:before="184" w:line="187" w:lineRule="auto"/>
              <w:ind w:left="42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594</w:t>
            </w:r>
          </w:p>
        </w:tc>
        <w:tc>
          <w:tcPr>
            <w:tcW w:w="1169" w:type="dxa"/>
            <w:vAlign w:val="top"/>
          </w:tcPr>
          <w:p>
            <w:pPr>
              <w:spacing w:before="184" w:line="187" w:lineRule="auto"/>
              <w:ind w:left="440"/>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165</w:t>
            </w:r>
          </w:p>
        </w:tc>
        <w:tc>
          <w:tcPr>
            <w:tcW w:w="1170" w:type="dxa"/>
            <w:vAlign w:val="top"/>
          </w:tcPr>
          <w:p>
            <w:pPr>
              <w:spacing w:before="184" w:line="187" w:lineRule="auto"/>
              <w:ind w:left="42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594</w:t>
            </w:r>
          </w:p>
        </w:tc>
        <w:tc>
          <w:tcPr>
            <w:tcW w:w="1163" w:type="dxa"/>
            <w:vAlign w:val="top"/>
          </w:tcPr>
          <w:p>
            <w:pPr>
              <w:spacing w:before="184" w:line="187" w:lineRule="auto"/>
              <w:ind w:left="437"/>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165</w:t>
            </w:r>
          </w:p>
        </w:tc>
      </w:tr>
    </w:tbl>
    <w:p>
      <w:pPr>
        <w:pStyle w:val="2"/>
        <w:spacing w:line="267" w:lineRule="auto"/>
      </w:pPr>
    </w:p>
    <w:p>
      <w:pPr>
        <w:spacing w:before="79" w:line="220" w:lineRule="auto"/>
        <w:ind w:left="2336"/>
        <w:rPr>
          <w:rFonts w:ascii="宋体" w:hAnsi="宋体" w:eastAsia="宋体" w:cs="宋体"/>
          <w:sz w:val="24"/>
          <w:szCs w:val="24"/>
        </w:rPr>
      </w:pPr>
      <w:r>
        <w:rPr>
          <w:rFonts w:ascii="宋体" w:hAnsi="宋体" w:eastAsia="宋体" w:cs="宋体"/>
          <w:spacing w:val="-2"/>
          <w:sz w:val="24"/>
          <w:szCs w:val="24"/>
        </w:rPr>
        <w:t xml:space="preserve">表 </w:t>
      </w:r>
      <w:r>
        <w:rPr>
          <w:rFonts w:ascii="Times New Roman" w:hAnsi="Times New Roman" w:eastAsia="Times New Roman" w:cs="Times New Roman"/>
          <w:spacing w:val="-2"/>
          <w:sz w:val="24"/>
          <w:szCs w:val="24"/>
        </w:rPr>
        <w:t>0.2-4    322</w:t>
      </w:r>
      <w:r>
        <w:rPr>
          <w:rFonts w:ascii="Times New Roman" w:hAnsi="Times New Roman" w:eastAsia="Times New Roman" w:cs="Times New Roman"/>
          <w:spacing w:val="33"/>
          <w:w w:val="101"/>
          <w:sz w:val="24"/>
          <w:szCs w:val="24"/>
        </w:rPr>
        <w:t xml:space="preserve"> </w:t>
      </w:r>
      <w:r>
        <w:rPr>
          <w:rFonts w:ascii="宋体" w:hAnsi="宋体" w:eastAsia="宋体" w:cs="宋体"/>
          <w:spacing w:val="-2"/>
          <w:sz w:val="24"/>
          <w:szCs w:val="24"/>
        </w:rPr>
        <w:t>国道公路预测年车型比（自然数）</w:t>
      </w:r>
    </w:p>
    <w:p>
      <w:pPr>
        <w:spacing w:line="144" w:lineRule="exact"/>
      </w:pPr>
    </w:p>
    <w:tbl>
      <w:tblPr>
        <w:tblStyle w:val="5"/>
        <w:tblW w:w="7986" w:type="dxa"/>
        <w:tblInd w:w="6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8"/>
        <w:gridCol w:w="1994"/>
        <w:gridCol w:w="1993"/>
        <w:gridCol w:w="20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98" w:type="dxa"/>
            <w:vAlign w:val="top"/>
          </w:tcPr>
          <w:p>
            <w:pPr>
              <w:pStyle w:val="6"/>
              <w:spacing w:before="105" w:line="221" w:lineRule="auto"/>
              <w:ind w:left="796"/>
            </w:pPr>
            <w:r>
              <w:rPr>
                <w:spacing w:val="-2"/>
              </w:rPr>
              <w:t>年份</w:t>
            </w:r>
          </w:p>
        </w:tc>
        <w:tc>
          <w:tcPr>
            <w:tcW w:w="1994" w:type="dxa"/>
            <w:vAlign w:val="top"/>
          </w:tcPr>
          <w:p>
            <w:pPr>
              <w:pStyle w:val="6"/>
              <w:spacing w:before="105" w:line="221" w:lineRule="auto"/>
              <w:ind w:left="692"/>
            </w:pPr>
            <w:r>
              <w:rPr>
                <w:spacing w:val="-3"/>
              </w:rPr>
              <w:t>小型车</w:t>
            </w:r>
          </w:p>
        </w:tc>
        <w:tc>
          <w:tcPr>
            <w:tcW w:w="1993" w:type="dxa"/>
            <w:vAlign w:val="top"/>
          </w:tcPr>
          <w:p>
            <w:pPr>
              <w:pStyle w:val="6"/>
              <w:spacing w:before="105" w:line="221" w:lineRule="auto"/>
              <w:ind w:left="709"/>
            </w:pPr>
            <w:r>
              <w:rPr>
                <w:spacing w:val="-6"/>
              </w:rPr>
              <w:t>中型车</w:t>
            </w:r>
          </w:p>
        </w:tc>
        <w:tc>
          <w:tcPr>
            <w:tcW w:w="2001" w:type="dxa"/>
            <w:vAlign w:val="top"/>
          </w:tcPr>
          <w:p>
            <w:pPr>
              <w:pStyle w:val="6"/>
              <w:spacing w:before="105" w:line="221" w:lineRule="auto"/>
              <w:ind w:left="694"/>
            </w:pPr>
            <w:r>
              <w:rPr>
                <w:spacing w:val="-2"/>
              </w:rPr>
              <w:t>大型车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998" w:type="dxa"/>
            <w:vAlign w:val="top"/>
          </w:tcPr>
          <w:p>
            <w:pPr>
              <w:pStyle w:val="6"/>
              <w:spacing w:before="102" w:line="221" w:lineRule="auto"/>
              <w:ind w:left="659"/>
            </w:pPr>
            <w:r>
              <w:rPr>
                <w:rFonts w:ascii="Times New Roman" w:hAnsi="Times New Roman" w:eastAsia="Times New Roman" w:cs="Times New Roman"/>
                <w:spacing w:val="-1"/>
              </w:rPr>
              <w:t>2023</w:t>
            </w:r>
            <w:r>
              <w:rPr>
                <w:rFonts w:ascii="Times New Roman" w:hAnsi="Times New Roman" w:eastAsia="Times New Roman" w:cs="Times New Roman"/>
                <w:spacing w:val="8"/>
              </w:rPr>
              <w:t xml:space="preserve"> </w:t>
            </w:r>
            <w:r>
              <w:rPr>
                <w:spacing w:val="-1"/>
              </w:rPr>
              <w:t>年</w:t>
            </w:r>
          </w:p>
        </w:tc>
        <w:tc>
          <w:tcPr>
            <w:tcW w:w="1994" w:type="dxa"/>
            <w:vAlign w:val="top"/>
          </w:tcPr>
          <w:p>
            <w:pPr>
              <w:spacing w:before="139" w:line="187" w:lineRule="auto"/>
              <w:ind w:left="6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80.33%</w:t>
            </w:r>
          </w:p>
        </w:tc>
        <w:tc>
          <w:tcPr>
            <w:tcW w:w="1993" w:type="dxa"/>
            <w:vAlign w:val="top"/>
          </w:tcPr>
          <w:p>
            <w:pPr>
              <w:spacing w:before="139" w:line="187" w:lineRule="auto"/>
              <w:ind w:left="69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18.35%</w:t>
            </w:r>
          </w:p>
        </w:tc>
        <w:tc>
          <w:tcPr>
            <w:tcW w:w="2001" w:type="dxa"/>
            <w:vAlign w:val="top"/>
          </w:tcPr>
          <w:p>
            <w:pPr>
              <w:spacing w:before="139" w:line="187" w:lineRule="auto"/>
              <w:ind w:left="75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98" w:type="dxa"/>
            <w:vAlign w:val="top"/>
          </w:tcPr>
          <w:p>
            <w:pPr>
              <w:pStyle w:val="6"/>
              <w:spacing w:before="100" w:line="221" w:lineRule="auto"/>
              <w:ind w:left="659"/>
            </w:pPr>
            <w:r>
              <w:rPr>
                <w:rFonts w:ascii="Times New Roman" w:hAnsi="Times New Roman" w:eastAsia="Times New Roman" w:cs="Times New Roman"/>
                <w:spacing w:val="-1"/>
              </w:rPr>
              <w:t>2029</w:t>
            </w:r>
            <w:r>
              <w:rPr>
                <w:rFonts w:ascii="Times New Roman" w:hAnsi="Times New Roman" w:eastAsia="Times New Roman" w:cs="Times New Roman"/>
                <w:spacing w:val="8"/>
              </w:rPr>
              <w:t xml:space="preserve"> </w:t>
            </w:r>
            <w:r>
              <w:rPr>
                <w:spacing w:val="-1"/>
              </w:rPr>
              <w:t>年</w:t>
            </w:r>
          </w:p>
        </w:tc>
        <w:tc>
          <w:tcPr>
            <w:tcW w:w="1994" w:type="dxa"/>
            <w:vAlign w:val="top"/>
          </w:tcPr>
          <w:p>
            <w:pPr>
              <w:spacing w:before="137" w:line="187" w:lineRule="auto"/>
              <w:ind w:left="6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79.19%</w:t>
            </w:r>
          </w:p>
        </w:tc>
        <w:tc>
          <w:tcPr>
            <w:tcW w:w="1993" w:type="dxa"/>
            <w:vAlign w:val="top"/>
          </w:tcPr>
          <w:p>
            <w:pPr>
              <w:spacing w:before="137" w:line="187" w:lineRule="auto"/>
              <w:ind w:left="69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18.57%</w:t>
            </w:r>
          </w:p>
        </w:tc>
        <w:tc>
          <w:tcPr>
            <w:tcW w:w="2001" w:type="dxa"/>
            <w:vAlign w:val="top"/>
          </w:tcPr>
          <w:p>
            <w:pPr>
              <w:spacing w:before="137" w:line="187" w:lineRule="auto"/>
              <w:ind w:left="7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998" w:type="dxa"/>
            <w:vAlign w:val="top"/>
          </w:tcPr>
          <w:p>
            <w:pPr>
              <w:pStyle w:val="6"/>
              <w:spacing w:before="109" w:line="221" w:lineRule="auto"/>
              <w:ind w:left="659"/>
            </w:pPr>
            <w:r>
              <w:rPr>
                <w:rFonts w:ascii="Times New Roman" w:hAnsi="Times New Roman" w:eastAsia="Times New Roman" w:cs="Times New Roman"/>
                <w:spacing w:val="-1"/>
              </w:rPr>
              <w:t>2037</w:t>
            </w:r>
            <w:r>
              <w:rPr>
                <w:rFonts w:ascii="Times New Roman" w:hAnsi="Times New Roman" w:eastAsia="Times New Roman" w:cs="Times New Roman"/>
                <w:spacing w:val="8"/>
              </w:rPr>
              <w:t xml:space="preserve"> </w:t>
            </w:r>
            <w:r>
              <w:rPr>
                <w:spacing w:val="-1"/>
              </w:rPr>
              <w:t>年</w:t>
            </w:r>
          </w:p>
        </w:tc>
        <w:tc>
          <w:tcPr>
            <w:tcW w:w="1994" w:type="dxa"/>
            <w:vAlign w:val="top"/>
          </w:tcPr>
          <w:p>
            <w:pPr>
              <w:spacing w:before="145" w:line="187" w:lineRule="auto"/>
              <w:ind w:left="6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78.75%</w:t>
            </w:r>
          </w:p>
        </w:tc>
        <w:tc>
          <w:tcPr>
            <w:tcW w:w="1993" w:type="dxa"/>
            <w:vAlign w:val="top"/>
          </w:tcPr>
          <w:p>
            <w:pPr>
              <w:spacing w:before="145" w:line="187" w:lineRule="auto"/>
              <w:ind w:left="69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19.06%</w:t>
            </w:r>
          </w:p>
        </w:tc>
        <w:tc>
          <w:tcPr>
            <w:tcW w:w="2001" w:type="dxa"/>
            <w:vAlign w:val="top"/>
          </w:tcPr>
          <w:p>
            <w:pPr>
              <w:spacing w:before="145" w:line="187" w:lineRule="auto"/>
              <w:ind w:left="7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2.19%</w:t>
            </w:r>
          </w:p>
        </w:tc>
      </w:tr>
    </w:tbl>
    <w:p>
      <w:pPr>
        <w:pStyle w:val="2"/>
        <w:spacing w:line="267" w:lineRule="auto"/>
      </w:pPr>
    </w:p>
    <w:p>
      <w:pPr>
        <w:spacing w:before="79" w:line="220" w:lineRule="auto"/>
        <w:ind w:left="2548"/>
        <w:rPr>
          <w:rFonts w:ascii="宋体" w:hAnsi="宋体" w:eastAsia="宋体" w:cs="宋体"/>
          <w:sz w:val="24"/>
          <w:szCs w:val="24"/>
        </w:rPr>
      </w:pPr>
      <w:r>
        <w:rPr>
          <w:rFonts w:ascii="宋体" w:hAnsi="宋体" w:eastAsia="宋体" w:cs="宋体"/>
          <w:spacing w:val="-1"/>
          <w:sz w:val="24"/>
          <w:szCs w:val="24"/>
        </w:rPr>
        <w:t xml:space="preserve">表 </w:t>
      </w:r>
      <w:r>
        <w:rPr>
          <w:rFonts w:ascii="Times New Roman" w:hAnsi="Times New Roman" w:eastAsia="Times New Roman" w:cs="Times New Roman"/>
          <w:spacing w:val="-1"/>
          <w:sz w:val="24"/>
          <w:szCs w:val="24"/>
        </w:rPr>
        <w:t xml:space="preserve">0.2-5    </w:t>
      </w:r>
      <w:r>
        <w:rPr>
          <w:rFonts w:ascii="宋体" w:hAnsi="宋体" w:eastAsia="宋体" w:cs="宋体"/>
          <w:spacing w:val="-1"/>
          <w:sz w:val="24"/>
          <w:szCs w:val="24"/>
        </w:rPr>
        <w:t>大南公路预测年车型比（自然数）</w:t>
      </w:r>
    </w:p>
    <w:p>
      <w:pPr>
        <w:spacing w:line="147" w:lineRule="exact"/>
      </w:pPr>
    </w:p>
    <w:tbl>
      <w:tblPr>
        <w:tblStyle w:val="5"/>
        <w:tblW w:w="7986" w:type="dxa"/>
        <w:tblInd w:w="6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8"/>
        <w:gridCol w:w="1994"/>
        <w:gridCol w:w="1993"/>
        <w:gridCol w:w="20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8" w:type="dxa"/>
            <w:vAlign w:val="top"/>
          </w:tcPr>
          <w:p>
            <w:pPr>
              <w:pStyle w:val="6"/>
              <w:spacing w:before="125" w:line="222" w:lineRule="auto"/>
              <w:ind w:left="805"/>
            </w:pPr>
            <w:r>
              <w:rPr>
                <w:spacing w:val="-4"/>
              </w:rPr>
              <w:t>时段</w:t>
            </w:r>
          </w:p>
        </w:tc>
        <w:tc>
          <w:tcPr>
            <w:tcW w:w="1994" w:type="dxa"/>
            <w:vAlign w:val="top"/>
          </w:tcPr>
          <w:p>
            <w:pPr>
              <w:pStyle w:val="6"/>
              <w:spacing w:before="125" w:line="221" w:lineRule="auto"/>
              <w:ind w:left="692"/>
            </w:pPr>
            <w:r>
              <w:rPr>
                <w:spacing w:val="-3"/>
              </w:rPr>
              <w:t>小型车</w:t>
            </w:r>
          </w:p>
        </w:tc>
        <w:tc>
          <w:tcPr>
            <w:tcW w:w="1993" w:type="dxa"/>
            <w:vAlign w:val="top"/>
          </w:tcPr>
          <w:p>
            <w:pPr>
              <w:pStyle w:val="6"/>
              <w:spacing w:before="125" w:line="221" w:lineRule="auto"/>
              <w:ind w:left="707"/>
            </w:pPr>
            <w:r>
              <w:rPr>
                <w:spacing w:val="-6"/>
              </w:rPr>
              <w:t>中型车</w:t>
            </w:r>
          </w:p>
        </w:tc>
        <w:tc>
          <w:tcPr>
            <w:tcW w:w="2001" w:type="dxa"/>
            <w:vAlign w:val="top"/>
          </w:tcPr>
          <w:p>
            <w:pPr>
              <w:pStyle w:val="6"/>
              <w:spacing w:before="125" w:line="221" w:lineRule="auto"/>
              <w:ind w:left="691"/>
            </w:pPr>
            <w:r>
              <w:rPr>
                <w:spacing w:val="-2"/>
              </w:rPr>
              <w:t>大型车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998" w:type="dxa"/>
            <w:vAlign w:val="top"/>
          </w:tcPr>
          <w:p>
            <w:pPr>
              <w:pStyle w:val="6"/>
              <w:spacing w:before="108" w:line="222" w:lineRule="auto"/>
              <w:ind w:left="764"/>
              <w:rPr>
                <w:sz w:val="24"/>
                <w:szCs w:val="24"/>
              </w:rPr>
            </w:pPr>
            <w:r>
              <w:rPr>
                <w:spacing w:val="-3"/>
                <w:sz w:val="24"/>
                <w:szCs w:val="24"/>
              </w:rPr>
              <w:t>昼间</w:t>
            </w:r>
          </w:p>
        </w:tc>
        <w:tc>
          <w:tcPr>
            <w:tcW w:w="1994" w:type="dxa"/>
            <w:vAlign w:val="top"/>
          </w:tcPr>
          <w:p>
            <w:pPr>
              <w:spacing w:before="151" w:line="186" w:lineRule="auto"/>
              <w:ind w:left="69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94.4%</w:t>
            </w:r>
          </w:p>
        </w:tc>
        <w:tc>
          <w:tcPr>
            <w:tcW w:w="1993" w:type="dxa"/>
            <w:vAlign w:val="top"/>
          </w:tcPr>
          <w:p>
            <w:pPr>
              <w:spacing w:before="151" w:line="186" w:lineRule="auto"/>
              <w:ind w:left="75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w:t>
            </w:r>
          </w:p>
        </w:tc>
        <w:tc>
          <w:tcPr>
            <w:tcW w:w="2001" w:type="dxa"/>
            <w:vAlign w:val="top"/>
          </w:tcPr>
          <w:p>
            <w:pPr>
              <w:spacing w:before="151" w:line="186" w:lineRule="auto"/>
              <w:ind w:left="75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998" w:type="dxa"/>
            <w:vAlign w:val="top"/>
          </w:tcPr>
          <w:p>
            <w:pPr>
              <w:pStyle w:val="6"/>
              <w:spacing w:before="121" w:line="220" w:lineRule="auto"/>
              <w:ind w:left="768"/>
              <w:rPr>
                <w:sz w:val="24"/>
                <w:szCs w:val="24"/>
              </w:rPr>
            </w:pPr>
            <w:r>
              <w:rPr>
                <w:spacing w:val="-4"/>
                <w:sz w:val="24"/>
                <w:szCs w:val="24"/>
              </w:rPr>
              <w:t>夜间</w:t>
            </w:r>
          </w:p>
        </w:tc>
        <w:tc>
          <w:tcPr>
            <w:tcW w:w="1994" w:type="dxa"/>
            <w:vAlign w:val="top"/>
          </w:tcPr>
          <w:p>
            <w:pPr>
              <w:spacing w:before="165" w:line="186" w:lineRule="auto"/>
              <w:ind w:left="69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94.5%</w:t>
            </w:r>
          </w:p>
        </w:tc>
        <w:tc>
          <w:tcPr>
            <w:tcW w:w="1993" w:type="dxa"/>
            <w:vAlign w:val="top"/>
          </w:tcPr>
          <w:p>
            <w:pPr>
              <w:spacing w:before="165" w:line="186" w:lineRule="auto"/>
              <w:ind w:left="77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1.8%</w:t>
            </w:r>
          </w:p>
        </w:tc>
        <w:tc>
          <w:tcPr>
            <w:tcW w:w="2001" w:type="dxa"/>
            <w:vAlign w:val="top"/>
          </w:tcPr>
          <w:p>
            <w:pPr>
              <w:spacing w:before="165" w:line="186" w:lineRule="auto"/>
              <w:ind w:left="75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3.6%</w:t>
            </w:r>
          </w:p>
        </w:tc>
      </w:tr>
    </w:tbl>
    <w:p>
      <w:pPr>
        <w:pStyle w:val="2"/>
      </w:pPr>
    </w:p>
    <w:p>
      <w:pPr>
        <w:sectPr>
          <w:headerReference r:id="rId263" w:type="default"/>
          <w:footerReference r:id="rId264" w:type="default"/>
          <w:pgSz w:w="11907" w:h="16839"/>
          <w:pgMar w:top="1118" w:right="1303" w:bottom="1072" w:left="1303" w:header="877" w:footer="911" w:gutter="0"/>
          <w:cols w:space="720" w:num="1"/>
        </w:sectPr>
      </w:pPr>
    </w:p>
    <w:p>
      <w:pPr>
        <w:pStyle w:val="2"/>
        <w:spacing w:line="311" w:lineRule="auto"/>
      </w:pPr>
    </w:p>
    <w:p>
      <w:pPr>
        <w:spacing w:before="78" w:line="220" w:lineRule="auto"/>
        <w:ind w:left="54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）预测车速</w:t>
      </w:r>
    </w:p>
    <w:p>
      <w:pPr>
        <w:spacing w:before="182" w:line="359" w:lineRule="auto"/>
        <w:ind w:left="58" w:firstLine="479"/>
        <w:rPr>
          <w:rFonts w:ascii="Times New Roman" w:hAnsi="Times New Roman" w:eastAsia="Times New Roman" w:cs="Times New Roman"/>
          <w:sz w:val="24"/>
          <w:szCs w:val="24"/>
        </w:rPr>
      </w:pPr>
      <w:r>
        <w:rPr>
          <w:rFonts w:ascii="宋体" w:hAnsi="宋体" w:eastAsia="宋体" w:cs="宋体"/>
          <w:spacing w:val="-8"/>
          <w:sz w:val="24"/>
          <w:szCs w:val="24"/>
        </w:rPr>
        <w:t>根据可研文件， 景文高速设计速度为</w:t>
      </w:r>
      <w:r>
        <w:rPr>
          <w:rFonts w:ascii="宋体" w:hAnsi="宋体" w:eastAsia="宋体" w:cs="宋体"/>
          <w:spacing w:val="-27"/>
          <w:sz w:val="24"/>
          <w:szCs w:val="24"/>
        </w:rPr>
        <w:t xml:space="preserve"> </w:t>
      </w:r>
      <w:r>
        <w:rPr>
          <w:rFonts w:ascii="Times New Roman" w:hAnsi="Times New Roman" w:eastAsia="Times New Roman" w:cs="Times New Roman"/>
          <w:spacing w:val="-8"/>
          <w:sz w:val="24"/>
          <w:szCs w:val="24"/>
        </w:rPr>
        <w:t>80 km/h</w:t>
      </w:r>
      <w:r>
        <w:rPr>
          <w:rFonts w:ascii="宋体" w:hAnsi="宋体" w:eastAsia="宋体" w:cs="宋体"/>
          <w:spacing w:val="-8"/>
          <w:sz w:val="24"/>
          <w:szCs w:val="24"/>
        </w:rPr>
        <w:t>，西坑互通各匝道设计速度为</w:t>
      </w:r>
      <w:r>
        <w:rPr>
          <w:rFonts w:ascii="宋体" w:hAnsi="宋体" w:eastAsia="宋体" w:cs="宋体"/>
          <w:spacing w:val="-56"/>
          <w:sz w:val="24"/>
          <w:szCs w:val="24"/>
        </w:rPr>
        <w:t xml:space="preserve"> </w:t>
      </w:r>
      <w:r>
        <w:rPr>
          <w:rFonts w:ascii="Times New Roman" w:hAnsi="Times New Roman" w:eastAsia="Times New Roman" w:cs="Times New Roman"/>
          <w:spacing w:val="-8"/>
          <w:sz w:val="24"/>
          <w:szCs w:val="24"/>
        </w:rPr>
        <w:t>40km/h</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1"/>
          <w:sz w:val="24"/>
          <w:szCs w:val="24"/>
        </w:rPr>
        <w:t>连接线设计速度为</w:t>
      </w:r>
      <w:r>
        <w:rPr>
          <w:rFonts w:ascii="Times New Roman" w:hAnsi="Times New Roman" w:eastAsia="Times New Roman" w:cs="Times New Roman"/>
          <w:spacing w:val="-1"/>
          <w:sz w:val="24"/>
          <w:szCs w:val="24"/>
        </w:rPr>
        <w:t>60km/h</w:t>
      </w:r>
      <w:r>
        <w:rPr>
          <w:rFonts w:ascii="宋体" w:hAnsi="宋体" w:eastAsia="宋体" w:cs="宋体"/>
          <w:spacing w:val="-1"/>
          <w:sz w:val="24"/>
          <w:szCs w:val="24"/>
        </w:rPr>
        <w:t>（局部困难路段</w:t>
      </w:r>
      <w:r>
        <w:rPr>
          <w:rFonts w:ascii="Times New Roman" w:hAnsi="Times New Roman" w:eastAsia="Times New Roman" w:cs="Times New Roman"/>
          <w:spacing w:val="-1"/>
          <w:sz w:val="24"/>
          <w:szCs w:val="24"/>
        </w:rPr>
        <w:t>L1K3+360~L1K3+960</w:t>
      </w:r>
      <w:r>
        <w:rPr>
          <w:rFonts w:ascii="Times New Roman" w:hAnsi="Times New Roman" w:eastAsia="Times New Roman" w:cs="Times New Roman"/>
          <w:spacing w:val="-2"/>
          <w:sz w:val="24"/>
          <w:szCs w:val="24"/>
        </w:rPr>
        <w:t xml:space="preserve"> </w:t>
      </w:r>
      <w:r>
        <w:rPr>
          <w:rFonts w:ascii="宋体" w:hAnsi="宋体" w:eastAsia="宋体" w:cs="宋体"/>
          <w:spacing w:val="-1"/>
          <w:sz w:val="24"/>
          <w:szCs w:val="24"/>
        </w:rPr>
        <w:t>和</w:t>
      </w:r>
      <w:r>
        <w:rPr>
          <w:rFonts w:ascii="Times New Roman" w:hAnsi="Times New Roman" w:eastAsia="Times New Roman" w:cs="Times New Roman"/>
          <w:spacing w:val="-1"/>
          <w:sz w:val="24"/>
          <w:szCs w:val="24"/>
        </w:rPr>
        <w:t>L1K4+200~L1K4+770</w:t>
      </w:r>
    </w:p>
    <w:p>
      <w:pPr>
        <w:spacing w:line="219" w:lineRule="auto"/>
        <w:ind w:left="61"/>
        <w:rPr>
          <w:rFonts w:ascii="宋体" w:hAnsi="宋体" w:eastAsia="宋体" w:cs="宋体"/>
          <w:sz w:val="24"/>
          <w:szCs w:val="24"/>
        </w:rPr>
      </w:pPr>
      <w:r>
        <w:rPr>
          <w:rFonts w:ascii="宋体" w:hAnsi="宋体" w:eastAsia="宋体" w:cs="宋体"/>
          <w:spacing w:val="-2"/>
          <w:sz w:val="24"/>
          <w:szCs w:val="24"/>
        </w:rPr>
        <w:t>设计车速按照</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40km/h</w:t>
      </w:r>
      <w:r>
        <w:rPr>
          <w:rFonts w:ascii="宋体" w:hAnsi="宋体" w:eastAsia="宋体" w:cs="宋体"/>
          <w:spacing w:val="-2"/>
          <w:sz w:val="24"/>
          <w:szCs w:val="24"/>
        </w:rPr>
        <w:t>）。</w:t>
      </w:r>
      <w:r>
        <w:rPr>
          <w:rFonts w:ascii="Times New Roman" w:hAnsi="Times New Roman" w:eastAsia="Times New Roman" w:cs="Times New Roman"/>
          <w:spacing w:val="-2"/>
          <w:sz w:val="24"/>
          <w:szCs w:val="24"/>
        </w:rPr>
        <w:t>322</w:t>
      </w:r>
      <w:r>
        <w:rPr>
          <w:rFonts w:ascii="Times New Roman" w:hAnsi="Times New Roman" w:eastAsia="Times New Roman" w:cs="Times New Roman"/>
          <w:spacing w:val="33"/>
          <w:w w:val="101"/>
          <w:sz w:val="24"/>
          <w:szCs w:val="24"/>
        </w:rPr>
        <w:t xml:space="preserve"> </w:t>
      </w:r>
      <w:r>
        <w:rPr>
          <w:rFonts w:ascii="宋体" w:hAnsi="宋体" w:eastAsia="宋体" w:cs="宋体"/>
          <w:spacing w:val="-2"/>
          <w:sz w:val="24"/>
          <w:szCs w:val="24"/>
        </w:rPr>
        <w:t>国道和大南公路设计车速为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60km/h</w:t>
      </w:r>
      <w:r>
        <w:rPr>
          <w:rFonts w:ascii="宋体" w:hAnsi="宋体" w:eastAsia="宋体" w:cs="宋体"/>
          <w:spacing w:val="-2"/>
          <w:sz w:val="24"/>
          <w:szCs w:val="24"/>
        </w:rPr>
        <w:t>。</w:t>
      </w:r>
    </w:p>
    <w:p>
      <w:pPr>
        <w:spacing w:before="179" w:line="220" w:lineRule="auto"/>
        <w:ind w:left="54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）道路参数</w:t>
      </w:r>
    </w:p>
    <w:p>
      <w:pPr>
        <w:spacing w:before="183" w:line="465" w:lineRule="exact"/>
        <w:ind w:left="536"/>
        <w:rPr>
          <w:rFonts w:ascii="宋体" w:hAnsi="宋体" w:eastAsia="宋体" w:cs="宋体"/>
          <w:sz w:val="24"/>
          <w:szCs w:val="24"/>
        </w:rPr>
      </w:pPr>
      <w:r>
        <w:rPr>
          <w:rFonts w:ascii="宋体" w:hAnsi="宋体" w:eastAsia="宋体" w:cs="宋体"/>
          <w:spacing w:val="-2"/>
          <w:position w:val="17"/>
          <w:sz w:val="24"/>
          <w:szCs w:val="24"/>
        </w:rPr>
        <w:t>道路典型路幅布置主要内容详见工程概况。计算所需的线位、周边地形根据工可提</w:t>
      </w:r>
    </w:p>
    <w:p>
      <w:pPr>
        <w:spacing w:before="1" w:line="218" w:lineRule="auto"/>
        <w:ind w:left="57"/>
        <w:rPr>
          <w:rFonts w:ascii="宋体" w:hAnsi="宋体" w:eastAsia="宋体" w:cs="宋体"/>
          <w:sz w:val="24"/>
          <w:szCs w:val="24"/>
        </w:rPr>
      </w:pPr>
      <w:r>
        <w:rPr>
          <w:rFonts w:ascii="宋体" w:hAnsi="宋体" w:eastAsia="宋体" w:cs="宋体"/>
          <w:spacing w:val="-1"/>
          <w:sz w:val="24"/>
          <w:szCs w:val="24"/>
        </w:rPr>
        <w:t>供的地形图和线位图导入软件。路面高度根据工可</w:t>
      </w:r>
      <w:r>
        <w:rPr>
          <w:rFonts w:ascii="宋体" w:hAnsi="宋体" w:eastAsia="宋体" w:cs="宋体"/>
          <w:spacing w:val="-2"/>
          <w:sz w:val="24"/>
          <w:szCs w:val="24"/>
        </w:rPr>
        <w:t>设计纵断面按输入高程。</w:t>
      </w:r>
    </w:p>
    <w:p>
      <w:pPr>
        <w:spacing w:before="184" w:line="219" w:lineRule="auto"/>
        <w:ind w:left="54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）环境噪声本底参数</w:t>
      </w:r>
    </w:p>
    <w:p>
      <w:pPr>
        <w:spacing w:before="181" w:line="359" w:lineRule="auto"/>
        <w:ind w:left="58" w:right="68" w:firstLine="478"/>
        <w:rPr>
          <w:rFonts w:ascii="宋体" w:hAnsi="宋体" w:eastAsia="宋体" w:cs="宋体"/>
          <w:sz w:val="24"/>
          <w:szCs w:val="24"/>
        </w:rPr>
      </w:pPr>
      <w:r>
        <w:rPr>
          <w:rFonts w:ascii="宋体" w:hAnsi="宋体" w:eastAsia="宋体" w:cs="宋体"/>
          <w:spacing w:val="-11"/>
          <w:sz w:val="24"/>
          <w:szCs w:val="24"/>
        </w:rPr>
        <w:t>对已经受本工程道路交通影响的敏感点，</w:t>
      </w:r>
      <w:r>
        <w:rPr>
          <w:rFonts w:ascii="宋体" w:hAnsi="宋体" w:eastAsia="宋体" w:cs="宋体"/>
          <w:spacing w:val="60"/>
          <w:sz w:val="24"/>
          <w:szCs w:val="24"/>
        </w:rPr>
        <w:t xml:space="preserve"> </w:t>
      </w:r>
      <w:r>
        <w:rPr>
          <w:rFonts w:ascii="宋体" w:hAnsi="宋体" w:eastAsia="宋体" w:cs="宋体"/>
          <w:spacing w:val="-11"/>
          <w:sz w:val="24"/>
          <w:szCs w:val="24"/>
        </w:rPr>
        <w:t>叠加不受交通影响的区域背景值，</w:t>
      </w:r>
      <w:r>
        <w:rPr>
          <w:rFonts w:ascii="宋体" w:hAnsi="宋体" w:eastAsia="宋体" w:cs="宋体"/>
          <w:spacing w:val="40"/>
          <w:sz w:val="24"/>
          <w:szCs w:val="24"/>
        </w:rPr>
        <w:t xml:space="preserve"> </w:t>
      </w:r>
      <w:r>
        <w:rPr>
          <w:rFonts w:ascii="宋体" w:hAnsi="宋体" w:eastAsia="宋体" w:cs="宋体"/>
          <w:spacing w:val="-11"/>
          <w:sz w:val="24"/>
          <w:szCs w:val="24"/>
        </w:rPr>
        <w:t>对于与</w:t>
      </w:r>
      <w:r>
        <w:rPr>
          <w:rFonts w:ascii="宋体" w:hAnsi="宋体" w:eastAsia="宋体" w:cs="宋体"/>
          <w:sz w:val="24"/>
          <w:szCs w:val="24"/>
        </w:rPr>
        <w:t xml:space="preserve"> </w:t>
      </w:r>
      <w:r>
        <w:rPr>
          <w:rFonts w:ascii="宋体" w:hAnsi="宋体" w:eastAsia="宋体" w:cs="宋体"/>
          <w:spacing w:val="-1"/>
          <w:sz w:val="24"/>
          <w:szCs w:val="24"/>
        </w:rPr>
        <w:t>其他道路相交的声环境保护目标本次环评取现状监测值的</w:t>
      </w:r>
      <w:r>
        <w:rPr>
          <w:rFonts w:ascii="宋体" w:hAnsi="宋体" w:eastAsia="宋体" w:cs="宋体"/>
          <w:spacing w:val="-20"/>
          <w:sz w:val="24"/>
          <w:szCs w:val="24"/>
        </w:rPr>
        <w:t xml:space="preserve"> </w:t>
      </w:r>
      <w:r>
        <w:rPr>
          <w:rFonts w:ascii="Times New Roman" w:hAnsi="Times New Roman" w:eastAsia="Times New Roman" w:cs="Times New Roman"/>
          <w:spacing w:val="-1"/>
          <w:sz w:val="24"/>
          <w:szCs w:val="24"/>
        </w:rPr>
        <w:t>L</w:t>
      </w:r>
      <w:r>
        <w:rPr>
          <w:rFonts w:ascii="Times New Roman" w:hAnsi="Times New Roman" w:eastAsia="Times New Roman" w:cs="Times New Roman"/>
          <w:spacing w:val="-1"/>
          <w:position w:val="-1"/>
          <w:sz w:val="16"/>
          <w:szCs w:val="16"/>
        </w:rPr>
        <w:t>90</w:t>
      </w:r>
      <w:r>
        <w:rPr>
          <w:rFonts w:ascii="Times New Roman" w:hAnsi="Times New Roman" w:eastAsia="Times New Roman" w:cs="Times New Roman"/>
          <w:spacing w:val="14"/>
          <w:position w:val="-1"/>
          <w:sz w:val="16"/>
          <w:szCs w:val="16"/>
        </w:rPr>
        <w:t xml:space="preserve"> </w:t>
      </w:r>
      <w:r>
        <w:rPr>
          <w:rFonts w:ascii="宋体" w:hAnsi="宋体" w:eastAsia="宋体" w:cs="宋体"/>
          <w:spacing w:val="-1"/>
          <w:sz w:val="24"/>
          <w:szCs w:val="24"/>
        </w:rPr>
        <w:t>值作为背景值；其他敏感</w:t>
      </w:r>
    </w:p>
    <w:p>
      <w:pPr>
        <w:spacing w:before="1" w:line="219" w:lineRule="auto"/>
        <w:ind w:left="69"/>
        <w:rPr>
          <w:rFonts w:ascii="宋体" w:hAnsi="宋体" w:eastAsia="宋体" w:cs="宋体"/>
          <w:sz w:val="24"/>
          <w:szCs w:val="24"/>
        </w:rPr>
      </w:pPr>
      <w:r>
        <w:rPr>
          <w:rFonts w:ascii="宋体" w:hAnsi="宋体" w:eastAsia="宋体" w:cs="宋体"/>
          <w:spacing w:val="-1"/>
          <w:sz w:val="24"/>
          <w:szCs w:val="24"/>
        </w:rPr>
        <w:t>点直接取噪声现状监测值作为背景值，具体情况说明如下。</w:t>
      </w:r>
    </w:p>
    <w:p>
      <w:pPr>
        <w:spacing w:before="182" w:line="220" w:lineRule="auto"/>
        <w:ind w:left="245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0.2-6      </w:t>
      </w:r>
      <w:r>
        <w:rPr>
          <w:rFonts w:ascii="宋体" w:hAnsi="宋体" w:eastAsia="宋体" w:cs="宋体"/>
          <w:spacing w:val="-1"/>
          <w:sz w:val="24"/>
          <w:szCs w:val="24"/>
        </w:rPr>
        <w:t>各声环境声环境保护目标噪声取值</w:t>
      </w:r>
    </w:p>
    <w:p>
      <w:pPr>
        <w:spacing w:line="146" w:lineRule="exact"/>
      </w:pPr>
    </w:p>
    <w:tbl>
      <w:tblPr>
        <w:tblStyle w:val="5"/>
        <w:tblW w:w="91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1334"/>
        <w:gridCol w:w="1113"/>
        <w:gridCol w:w="3438"/>
        <w:gridCol w:w="25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70" w:type="dxa"/>
            <w:vAlign w:val="top"/>
          </w:tcPr>
          <w:p>
            <w:pPr>
              <w:pStyle w:val="6"/>
              <w:spacing w:before="175" w:line="222" w:lineRule="auto"/>
              <w:ind w:left="115"/>
            </w:pPr>
            <w:r>
              <w:rPr>
                <w:spacing w:val="-2"/>
              </w:rPr>
              <w:t>序号</w:t>
            </w:r>
          </w:p>
        </w:tc>
        <w:tc>
          <w:tcPr>
            <w:tcW w:w="1334" w:type="dxa"/>
            <w:vAlign w:val="top"/>
          </w:tcPr>
          <w:p>
            <w:pPr>
              <w:pStyle w:val="6"/>
              <w:spacing w:before="39" w:line="227" w:lineRule="auto"/>
              <w:ind w:left="290" w:right="138" w:hanging="141"/>
            </w:pPr>
            <w:r>
              <w:rPr>
                <w:spacing w:val="-2"/>
              </w:rPr>
              <w:t>声环境保护</w:t>
            </w:r>
            <w:r>
              <w:t xml:space="preserve"> </w:t>
            </w:r>
            <w:r>
              <w:rPr>
                <w:spacing w:val="-12"/>
              </w:rPr>
              <w:t>目标名称</w:t>
            </w:r>
          </w:p>
        </w:tc>
        <w:tc>
          <w:tcPr>
            <w:tcW w:w="1113" w:type="dxa"/>
            <w:vAlign w:val="top"/>
          </w:tcPr>
          <w:p>
            <w:pPr>
              <w:pStyle w:val="6"/>
              <w:spacing w:before="39" w:line="221" w:lineRule="auto"/>
              <w:ind w:left="145"/>
            </w:pPr>
            <w:r>
              <w:rPr>
                <w:spacing w:val="-3"/>
              </w:rPr>
              <w:t>声环境功</w:t>
            </w:r>
          </w:p>
          <w:p>
            <w:pPr>
              <w:pStyle w:val="6"/>
              <w:spacing w:before="21" w:line="214" w:lineRule="auto"/>
              <w:ind w:left="252"/>
            </w:pPr>
            <w:r>
              <w:rPr>
                <w:spacing w:val="-3"/>
              </w:rPr>
              <w:t>能区划</w:t>
            </w:r>
          </w:p>
        </w:tc>
        <w:tc>
          <w:tcPr>
            <w:tcW w:w="3438" w:type="dxa"/>
            <w:vAlign w:val="top"/>
          </w:tcPr>
          <w:p>
            <w:pPr>
              <w:pStyle w:val="6"/>
              <w:spacing w:before="175" w:line="221" w:lineRule="auto"/>
              <w:ind w:left="1412"/>
            </w:pPr>
            <w:r>
              <w:rPr>
                <w:spacing w:val="-2"/>
              </w:rPr>
              <w:t>背景值</w:t>
            </w:r>
          </w:p>
        </w:tc>
        <w:tc>
          <w:tcPr>
            <w:tcW w:w="2509" w:type="dxa"/>
            <w:vAlign w:val="top"/>
          </w:tcPr>
          <w:p>
            <w:pPr>
              <w:pStyle w:val="6"/>
              <w:spacing w:before="175" w:line="221" w:lineRule="auto"/>
              <w:ind w:left="947"/>
            </w:pPr>
            <w:r>
              <w:rPr>
                <w:spacing w:val="-2"/>
              </w:rPr>
              <w:t>现状值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70" w:type="dxa"/>
            <w:vMerge w:val="restart"/>
            <w:tcBorders>
              <w:bottom w:val="nil"/>
            </w:tcBorders>
            <w:vAlign w:val="top"/>
          </w:tcPr>
          <w:p>
            <w:pPr>
              <w:spacing w:line="425" w:lineRule="auto"/>
              <w:rPr>
                <w:rFonts w:ascii="Arial"/>
                <w:sz w:val="21"/>
              </w:rPr>
            </w:pPr>
          </w:p>
          <w:p>
            <w:pPr>
              <w:spacing w:before="60" w:line="187" w:lineRule="auto"/>
              <w:ind w:left="35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34" w:type="dxa"/>
            <w:vMerge w:val="restart"/>
            <w:tcBorders>
              <w:bottom w:val="nil"/>
            </w:tcBorders>
            <w:vAlign w:val="top"/>
          </w:tcPr>
          <w:p>
            <w:pPr>
              <w:spacing w:line="372" w:lineRule="auto"/>
              <w:rPr>
                <w:rFonts w:ascii="Arial"/>
                <w:sz w:val="21"/>
              </w:rPr>
            </w:pPr>
          </w:p>
          <w:p>
            <w:pPr>
              <w:pStyle w:val="6"/>
              <w:spacing w:before="68" w:line="221" w:lineRule="auto"/>
              <w:ind w:left="358"/>
            </w:pPr>
            <w:r>
              <w:rPr>
                <w:spacing w:val="-2"/>
              </w:rPr>
              <w:t>南坑下</w:t>
            </w:r>
          </w:p>
        </w:tc>
        <w:tc>
          <w:tcPr>
            <w:tcW w:w="1113" w:type="dxa"/>
            <w:vAlign w:val="top"/>
          </w:tcPr>
          <w:p>
            <w:pPr>
              <w:pStyle w:val="6"/>
              <w:spacing w:before="166" w:line="221" w:lineRule="auto"/>
              <w:ind w:left="326"/>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3438" w:type="dxa"/>
            <w:vAlign w:val="top"/>
          </w:tcPr>
          <w:p>
            <w:pPr>
              <w:pStyle w:val="6"/>
              <w:spacing w:before="30" w:line="224" w:lineRule="auto"/>
              <w:ind w:left="257" w:right="138" w:hanging="104"/>
            </w:pPr>
            <w:r>
              <w:rPr>
                <w:spacing w:val="-1"/>
              </w:rPr>
              <w:t>受景文高速公路及连接线的影响较</w:t>
            </w:r>
            <w:r>
              <w:rPr>
                <w:spacing w:val="5"/>
              </w:rPr>
              <w:t xml:space="preserve"> </w:t>
            </w:r>
            <w:r>
              <w:rPr>
                <w:spacing w:val="-1"/>
              </w:rPr>
              <w:t>小，取噪声现状监测值进行叠加</w:t>
            </w:r>
          </w:p>
        </w:tc>
        <w:tc>
          <w:tcPr>
            <w:tcW w:w="2509" w:type="dxa"/>
            <w:vAlign w:val="top"/>
          </w:tcPr>
          <w:p>
            <w:pPr>
              <w:pStyle w:val="6"/>
              <w:spacing w:before="30" w:line="224" w:lineRule="auto"/>
              <w:ind w:left="945" w:right="150" w:hanging="778"/>
            </w:pPr>
            <w:r>
              <w:rPr>
                <w:spacing w:val="-1"/>
              </w:rPr>
              <w:t>南坑下</w:t>
            </w:r>
            <w:r>
              <w:rPr>
                <w:spacing w:val="-49"/>
              </w:rPr>
              <w:t xml:space="preserve"> </w:t>
            </w:r>
            <w:r>
              <w:rPr>
                <w:rFonts w:ascii="Times New Roman" w:hAnsi="Times New Roman" w:eastAsia="Times New Roman" w:cs="Times New Roman"/>
                <w:spacing w:val="-1"/>
              </w:rPr>
              <w:t xml:space="preserve">4a </w:t>
            </w:r>
            <w:r>
              <w:rPr>
                <w:spacing w:val="-1"/>
              </w:rPr>
              <w:t>类第一排现状</w:t>
            </w:r>
            <w:r>
              <w:t xml:space="preserve"> </w:t>
            </w:r>
            <w:r>
              <w:rPr>
                <w:spacing w:val="-2"/>
              </w:rPr>
              <w:t>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70" w:type="dxa"/>
            <w:vMerge w:val="continue"/>
            <w:tcBorders>
              <w:top w:val="nil"/>
            </w:tcBorders>
            <w:vAlign w:val="top"/>
          </w:tcPr>
          <w:p>
            <w:pPr>
              <w:rPr>
                <w:rFonts w:ascii="Arial"/>
                <w:sz w:val="21"/>
              </w:rPr>
            </w:pPr>
          </w:p>
        </w:tc>
        <w:tc>
          <w:tcPr>
            <w:tcW w:w="1334" w:type="dxa"/>
            <w:vMerge w:val="continue"/>
            <w:tcBorders>
              <w:top w:val="nil"/>
            </w:tcBorders>
            <w:vAlign w:val="top"/>
          </w:tcPr>
          <w:p>
            <w:pPr>
              <w:rPr>
                <w:rFonts w:ascii="Arial"/>
                <w:sz w:val="21"/>
              </w:rPr>
            </w:pPr>
          </w:p>
        </w:tc>
        <w:tc>
          <w:tcPr>
            <w:tcW w:w="1113" w:type="dxa"/>
            <w:vAlign w:val="top"/>
          </w:tcPr>
          <w:p>
            <w:pPr>
              <w:pStyle w:val="6"/>
              <w:spacing w:before="165"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0" w:line="223" w:lineRule="auto"/>
              <w:ind w:left="257" w:right="138" w:hanging="104"/>
            </w:pPr>
            <w:r>
              <w:rPr>
                <w:spacing w:val="-1"/>
              </w:rPr>
              <w:t>受景文高速公路及连接线的影响较</w:t>
            </w:r>
            <w:r>
              <w:rPr>
                <w:spacing w:val="5"/>
              </w:rPr>
              <w:t xml:space="preserve"> </w:t>
            </w:r>
            <w:r>
              <w:rPr>
                <w:spacing w:val="-1"/>
              </w:rPr>
              <w:t>小，取噪声现状监测值进行叠加</w:t>
            </w:r>
          </w:p>
        </w:tc>
        <w:tc>
          <w:tcPr>
            <w:tcW w:w="2509" w:type="dxa"/>
            <w:vAlign w:val="top"/>
          </w:tcPr>
          <w:p>
            <w:pPr>
              <w:pStyle w:val="6"/>
              <w:spacing w:before="30" w:line="223" w:lineRule="auto"/>
              <w:ind w:left="1051" w:right="102" w:hanging="932"/>
            </w:pPr>
            <w:r>
              <w:rPr>
                <w:spacing w:val="-2"/>
              </w:rPr>
              <w:t>南坑下</w:t>
            </w:r>
            <w:r>
              <w:rPr>
                <w:spacing w:val="-57"/>
              </w:rPr>
              <w:t xml:space="preserve"> </w:t>
            </w:r>
            <w:r>
              <w:rPr>
                <w:rFonts w:ascii="Times New Roman" w:hAnsi="Times New Roman" w:eastAsia="Times New Roman" w:cs="Times New Roman"/>
                <w:spacing w:val="-2"/>
              </w:rPr>
              <w:t xml:space="preserve">2 </w:t>
            </w:r>
            <w:r>
              <w:rPr>
                <w:spacing w:val="-2"/>
              </w:rPr>
              <w:t>类第一排现状监</w:t>
            </w:r>
            <w:r>
              <w:t xml:space="preserve"> </w:t>
            </w:r>
            <w:r>
              <w:rPr>
                <w:spacing w:val="-2"/>
              </w:rPr>
              <w:t>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70" w:type="dxa"/>
            <w:vAlign w:val="top"/>
          </w:tcPr>
          <w:p>
            <w:pPr>
              <w:spacing w:before="213" w:line="187" w:lineRule="auto"/>
              <w:ind w:left="33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334" w:type="dxa"/>
            <w:vAlign w:val="top"/>
          </w:tcPr>
          <w:p>
            <w:pPr>
              <w:pStyle w:val="6"/>
              <w:spacing w:before="167" w:line="221" w:lineRule="auto"/>
              <w:ind w:left="358"/>
            </w:pPr>
            <w:r>
              <w:rPr>
                <w:spacing w:val="-2"/>
              </w:rPr>
              <w:t>南坑垟</w:t>
            </w:r>
          </w:p>
        </w:tc>
        <w:tc>
          <w:tcPr>
            <w:tcW w:w="1113" w:type="dxa"/>
            <w:vAlign w:val="top"/>
          </w:tcPr>
          <w:p>
            <w:pPr>
              <w:pStyle w:val="6"/>
              <w:spacing w:before="167"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0" w:line="223" w:lineRule="auto"/>
              <w:ind w:left="578" w:right="138" w:hanging="429"/>
            </w:pPr>
            <w:r>
              <w:rPr>
                <w:spacing w:val="-7"/>
              </w:rPr>
              <w:t>基本不受高速及连接线的影响， 取</w:t>
            </w:r>
            <w:r>
              <w:rPr>
                <w:spacing w:val="1"/>
              </w:rPr>
              <w:t xml:space="preserve"> </w:t>
            </w:r>
            <w:r>
              <w:rPr>
                <w:spacing w:val="-2"/>
              </w:rPr>
              <w:t>噪声现状监测值进行叠加</w:t>
            </w:r>
          </w:p>
        </w:tc>
        <w:tc>
          <w:tcPr>
            <w:tcW w:w="2509" w:type="dxa"/>
            <w:vAlign w:val="top"/>
          </w:tcPr>
          <w:p>
            <w:pPr>
              <w:pStyle w:val="6"/>
              <w:spacing w:before="167" w:line="221" w:lineRule="auto"/>
              <w:ind w:left="119"/>
            </w:pPr>
            <w:r>
              <w:rPr>
                <w:spacing w:val="-2"/>
              </w:rPr>
              <w:t>南坑垟</w:t>
            </w:r>
            <w:r>
              <w:rPr>
                <w:spacing w:val="-57"/>
              </w:rPr>
              <w:t xml:space="preserve"> </w:t>
            </w:r>
            <w:r>
              <w:rPr>
                <w:rFonts w:ascii="Times New Roman" w:hAnsi="Times New Roman" w:eastAsia="Times New Roman" w:cs="Times New Roman"/>
                <w:spacing w:val="-2"/>
              </w:rPr>
              <w:t xml:space="preserve">2 </w:t>
            </w:r>
            <w:r>
              <w:rPr>
                <w:spacing w:val="-2"/>
              </w:rPr>
              <w:t>类区现状监测值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70"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1" w:line="187" w:lineRule="auto"/>
              <w:ind w:left="33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334" w:type="dxa"/>
            <w:vMerge w:val="restart"/>
            <w:tcBorders>
              <w:bottom w:val="nil"/>
            </w:tcBorders>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8" w:line="220" w:lineRule="auto"/>
              <w:ind w:left="355"/>
            </w:pPr>
            <w:r>
              <w:rPr>
                <w:spacing w:val="-1"/>
              </w:rPr>
              <w:t>漈头面</w:t>
            </w:r>
          </w:p>
        </w:tc>
        <w:tc>
          <w:tcPr>
            <w:tcW w:w="1113" w:type="dxa"/>
            <w:vAlign w:val="top"/>
          </w:tcPr>
          <w:p>
            <w:pPr>
              <w:spacing w:line="252" w:lineRule="auto"/>
              <w:rPr>
                <w:rFonts w:ascii="Arial"/>
                <w:sz w:val="21"/>
              </w:rPr>
            </w:pPr>
          </w:p>
          <w:p>
            <w:pPr>
              <w:spacing w:line="253" w:lineRule="auto"/>
              <w:rPr>
                <w:rFonts w:ascii="Arial"/>
                <w:sz w:val="21"/>
              </w:rPr>
            </w:pPr>
          </w:p>
          <w:p>
            <w:pPr>
              <w:pStyle w:val="6"/>
              <w:spacing w:before="68" w:line="221" w:lineRule="auto"/>
              <w:ind w:left="326"/>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3438" w:type="dxa"/>
            <w:vAlign w:val="top"/>
          </w:tcPr>
          <w:p>
            <w:pPr>
              <w:spacing w:line="373" w:lineRule="auto"/>
              <w:rPr>
                <w:rFonts w:ascii="Arial"/>
                <w:sz w:val="21"/>
              </w:rPr>
            </w:pPr>
          </w:p>
          <w:p>
            <w:pPr>
              <w:pStyle w:val="6"/>
              <w:spacing w:before="68" w:line="229" w:lineRule="auto"/>
              <w:ind w:left="1306" w:right="137" w:hanging="1158"/>
            </w:pPr>
            <w:r>
              <w:rPr>
                <w:spacing w:val="-1"/>
              </w:rPr>
              <w:t>采用漈头面</w:t>
            </w:r>
            <w:r>
              <w:rPr>
                <w:spacing w:val="-41"/>
              </w:rPr>
              <w:t xml:space="preserve"> </w:t>
            </w:r>
            <w:r>
              <w:rPr>
                <w:rFonts w:ascii="Times New Roman" w:hAnsi="Times New Roman" w:eastAsia="Times New Roman" w:cs="Times New Roman"/>
                <w:spacing w:val="-1"/>
              </w:rPr>
              <w:t xml:space="preserve">2 </w:t>
            </w:r>
            <w:r>
              <w:rPr>
                <w:spacing w:val="-1"/>
              </w:rPr>
              <w:t>类区的现状监测值作</w:t>
            </w:r>
            <w:r>
              <w:t xml:space="preserve"> </w:t>
            </w:r>
            <w:r>
              <w:rPr>
                <w:spacing w:val="-2"/>
              </w:rPr>
              <w:t>为背景值</w:t>
            </w:r>
          </w:p>
        </w:tc>
        <w:tc>
          <w:tcPr>
            <w:tcW w:w="2509" w:type="dxa"/>
            <w:vAlign w:val="top"/>
          </w:tcPr>
          <w:p>
            <w:pPr>
              <w:pStyle w:val="6"/>
              <w:spacing w:before="32" w:line="235" w:lineRule="auto"/>
              <w:ind w:left="169" w:right="150" w:hanging="5"/>
            </w:pPr>
            <w:r>
              <w:rPr>
                <w:spacing w:val="-1"/>
              </w:rPr>
              <w:t>漈头面</w:t>
            </w:r>
            <w:r>
              <w:rPr>
                <w:spacing w:val="-46"/>
              </w:rPr>
              <w:t xml:space="preserve"> </w:t>
            </w:r>
            <w:r>
              <w:rPr>
                <w:rFonts w:ascii="Times New Roman" w:hAnsi="Times New Roman" w:eastAsia="Times New Roman" w:cs="Times New Roman"/>
                <w:spacing w:val="-1"/>
              </w:rPr>
              <w:t xml:space="preserve">4a </w:t>
            </w:r>
            <w:r>
              <w:rPr>
                <w:spacing w:val="-1"/>
              </w:rPr>
              <w:t>类区所处环境</w:t>
            </w:r>
            <w:r>
              <w:t xml:space="preserve"> </w:t>
            </w:r>
            <w:r>
              <w:rPr>
                <w:spacing w:val="-6"/>
              </w:rPr>
              <w:t>与双田村</w:t>
            </w:r>
            <w:r>
              <w:rPr>
                <w:spacing w:val="-39"/>
              </w:rPr>
              <w:t xml:space="preserve"> </w:t>
            </w:r>
            <w:r>
              <w:rPr>
                <w:rFonts w:ascii="Times New Roman" w:hAnsi="Times New Roman" w:eastAsia="Times New Roman" w:cs="Times New Roman"/>
                <w:spacing w:val="-6"/>
              </w:rPr>
              <w:t xml:space="preserve">4a </w:t>
            </w:r>
            <w:r>
              <w:rPr>
                <w:spacing w:val="-6"/>
              </w:rPr>
              <w:t>类区类似，</w:t>
            </w:r>
            <w:r>
              <w:t xml:space="preserve"> </w:t>
            </w:r>
            <w:r>
              <w:rPr>
                <w:spacing w:val="3"/>
              </w:rPr>
              <w:t>现状监测值采用双田村</w:t>
            </w:r>
            <w:r>
              <w:rPr>
                <w:spacing w:val="4"/>
              </w:rPr>
              <w:t xml:space="preserve"> </w:t>
            </w:r>
            <w:r>
              <w:rPr>
                <w:rFonts w:ascii="Times New Roman" w:hAnsi="Times New Roman" w:eastAsia="Times New Roman" w:cs="Times New Roman"/>
                <w:spacing w:val="1"/>
              </w:rPr>
              <w:t xml:space="preserve">4a </w:t>
            </w:r>
            <w:r>
              <w:rPr>
                <w:spacing w:val="1"/>
              </w:rPr>
              <w:t>类受道路影响的现状</w:t>
            </w:r>
          </w:p>
          <w:p>
            <w:pPr>
              <w:pStyle w:val="6"/>
              <w:spacing w:before="20" w:line="207" w:lineRule="auto"/>
              <w:ind w:left="946"/>
            </w:pPr>
            <w:r>
              <w:rPr>
                <w:spacing w:val="-2"/>
              </w:rPr>
              <w:t>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770" w:type="dxa"/>
            <w:vMerge w:val="continue"/>
            <w:tcBorders>
              <w:top w:val="nil"/>
            </w:tcBorders>
            <w:vAlign w:val="top"/>
          </w:tcPr>
          <w:p>
            <w:pPr>
              <w:rPr>
                <w:rFonts w:ascii="Arial"/>
                <w:sz w:val="21"/>
              </w:rPr>
            </w:pPr>
          </w:p>
        </w:tc>
        <w:tc>
          <w:tcPr>
            <w:tcW w:w="1334" w:type="dxa"/>
            <w:vMerge w:val="continue"/>
            <w:tcBorders>
              <w:top w:val="nil"/>
            </w:tcBorders>
            <w:vAlign w:val="top"/>
          </w:tcPr>
          <w:p>
            <w:pPr>
              <w:rPr>
                <w:rFonts w:ascii="Arial"/>
                <w:sz w:val="21"/>
              </w:rPr>
            </w:pPr>
          </w:p>
        </w:tc>
        <w:tc>
          <w:tcPr>
            <w:tcW w:w="1113" w:type="dxa"/>
            <w:vAlign w:val="top"/>
          </w:tcPr>
          <w:p>
            <w:pPr>
              <w:pStyle w:val="6"/>
              <w:spacing w:before="302"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2" w:line="220" w:lineRule="auto"/>
              <w:ind w:left="153"/>
            </w:pPr>
            <w:r>
              <w:rPr>
                <w:spacing w:val="-1"/>
              </w:rPr>
              <w:t>受道路影响较小，现状监测值基本</w:t>
            </w:r>
          </w:p>
          <w:p>
            <w:pPr>
              <w:pStyle w:val="6"/>
              <w:spacing w:before="20" w:line="220" w:lineRule="auto"/>
              <w:ind w:left="177"/>
              <w:rPr>
                <w:rFonts w:ascii="Times New Roman" w:hAnsi="Times New Roman" w:eastAsia="Times New Roman" w:cs="Times New Roman"/>
              </w:rPr>
            </w:pPr>
            <w:r>
              <w:rPr>
                <w:spacing w:val="-6"/>
              </w:rPr>
              <w:t>可以代表本底水平，</w:t>
            </w:r>
            <w:r>
              <w:rPr>
                <w:spacing w:val="-24"/>
              </w:rPr>
              <w:t xml:space="preserve"> </w:t>
            </w:r>
            <w:r>
              <w:rPr>
                <w:spacing w:val="-6"/>
              </w:rPr>
              <w:t>采取漈头面</w:t>
            </w:r>
            <w:r>
              <w:rPr>
                <w:spacing w:val="-47"/>
              </w:rPr>
              <w:t xml:space="preserve"> </w:t>
            </w:r>
            <w:r>
              <w:rPr>
                <w:rFonts w:ascii="Times New Roman" w:hAnsi="Times New Roman" w:eastAsia="Times New Roman" w:cs="Times New Roman"/>
                <w:spacing w:val="-6"/>
              </w:rPr>
              <w:t>2</w:t>
            </w:r>
          </w:p>
          <w:p>
            <w:pPr>
              <w:pStyle w:val="6"/>
              <w:spacing w:before="23" w:line="204" w:lineRule="auto"/>
              <w:ind w:left="463"/>
            </w:pPr>
            <w:r>
              <w:rPr>
                <w:spacing w:val="-1"/>
              </w:rPr>
              <w:t>类区现状监测值作为背景值</w:t>
            </w:r>
          </w:p>
        </w:tc>
        <w:tc>
          <w:tcPr>
            <w:tcW w:w="2509" w:type="dxa"/>
            <w:vAlign w:val="top"/>
          </w:tcPr>
          <w:p>
            <w:pPr>
              <w:pStyle w:val="6"/>
              <w:spacing w:before="303" w:line="220" w:lineRule="auto"/>
              <w:ind w:left="116"/>
            </w:pPr>
            <w:r>
              <w:rPr>
                <w:spacing w:val="-2"/>
              </w:rPr>
              <w:t>漈头面</w:t>
            </w:r>
            <w:r>
              <w:rPr>
                <w:spacing w:val="-53"/>
              </w:rPr>
              <w:t xml:space="preserve"> </w:t>
            </w:r>
            <w:r>
              <w:rPr>
                <w:rFonts w:ascii="Times New Roman" w:hAnsi="Times New Roman" w:eastAsia="Times New Roman" w:cs="Times New Roman"/>
                <w:spacing w:val="-2"/>
              </w:rPr>
              <w:t xml:space="preserve">2 </w:t>
            </w:r>
            <w:r>
              <w:rPr>
                <w:spacing w:val="-2"/>
              </w:rPr>
              <w:t>类区现状监测值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77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61" w:line="187" w:lineRule="auto"/>
              <w:ind w:left="33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334" w:type="dxa"/>
            <w:vMerge w:val="restart"/>
            <w:tcBorders>
              <w:bottom w:val="nil"/>
            </w:tcBorders>
            <w:vAlign w:val="top"/>
          </w:tcPr>
          <w:p>
            <w:pPr>
              <w:spacing w:line="306" w:lineRule="auto"/>
              <w:rPr>
                <w:rFonts w:ascii="Arial"/>
                <w:sz w:val="21"/>
              </w:rPr>
            </w:pPr>
          </w:p>
          <w:p>
            <w:pPr>
              <w:spacing w:line="306" w:lineRule="auto"/>
              <w:rPr>
                <w:rFonts w:ascii="Arial"/>
                <w:sz w:val="21"/>
              </w:rPr>
            </w:pPr>
          </w:p>
          <w:p>
            <w:pPr>
              <w:spacing w:line="307" w:lineRule="auto"/>
              <w:rPr>
                <w:rFonts w:ascii="Arial"/>
                <w:sz w:val="21"/>
              </w:rPr>
            </w:pPr>
          </w:p>
          <w:p>
            <w:pPr>
              <w:pStyle w:val="6"/>
              <w:spacing w:before="69" w:line="221" w:lineRule="auto"/>
              <w:ind w:left="358"/>
            </w:pPr>
            <w:r>
              <w:rPr>
                <w:spacing w:val="-2"/>
              </w:rPr>
              <w:t>墩头垟</w:t>
            </w:r>
          </w:p>
        </w:tc>
        <w:tc>
          <w:tcPr>
            <w:tcW w:w="1113" w:type="dxa"/>
            <w:vAlign w:val="top"/>
          </w:tcPr>
          <w:p>
            <w:pPr>
              <w:spacing w:line="253" w:lineRule="auto"/>
              <w:rPr>
                <w:rFonts w:ascii="Arial"/>
                <w:sz w:val="21"/>
              </w:rPr>
            </w:pPr>
          </w:p>
          <w:p>
            <w:pPr>
              <w:spacing w:line="254" w:lineRule="auto"/>
              <w:rPr>
                <w:rFonts w:ascii="Arial"/>
                <w:sz w:val="21"/>
              </w:rPr>
            </w:pPr>
          </w:p>
          <w:p>
            <w:pPr>
              <w:pStyle w:val="6"/>
              <w:spacing w:before="68" w:line="221" w:lineRule="auto"/>
              <w:ind w:left="326"/>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3438" w:type="dxa"/>
            <w:vAlign w:val="top"/>
          </w:tcPr>
          <w:p>
            <w:pPr>
              <w:spacing w:line="375" w:lineRule="auto"/>
              <w:rPr>
                <w:rFonts w:ascii="Arial"/>
                <w:sz w:val="21"/>
              </w:rPr>
            </w:pPr>
          </w:p>
          <w:p>
            <w:pPr>
              <w:pStyle w:val="6"/>
              <w:spacing w:before="68" w:line="229" w:lineRule="auto"/>
              <w:ind w:left="1306" w:right="137" w:hanging="1158"/>
            </w:pPr>
            <w:r>
              <w:rPr>
                <w:spacing w:val="-1"/>
              </w:rPr>
              <w:t>采用墩头垟</w:t>
            </w:r>
            <w:r>
              <w:rPr>
                <w:spacing w:val="-41"/>
              </w:rPr>
              <w:t xml:space="preserve"> </w:t>
            </w:r>
            <w:r>
              <w:rPr>
                <w:rFonts w:ascii="Times New Roman" w:hAnsi="Times New Roman" w:eastAsia="Times New Roman" w:cs="Times New Roman"/>
                <w:spacing w:val="-1"/>
              </w:rPr>
              <w:t xml:space="preserve">2 </w:t>
            </w:r>
            <w:r>
              <w:rPr>
                <w:spacing w:val="-1"/>
              </w:rPr>
              <w:t>类区的现状监测值作</w:t>
            </w:r>
            <w:r>
              <w:t xml:space="preserve"> </w:t>
            </w:r>
            <w:r>
              <w:rPr>
                <w:spacing w:val="-2"/>
              </w:rPr>
              <w:t>为背景值</w:t>
            </w:r>
          </w:p>
        </w:tc>
        <w:tc>
          <w:tcPr>
            <w:tcW w:w="2509" w:type="dxa"/>
            <w:vAlign w:val="top"/>
          </w:tcPr>
          <w:p>
            <w:pPr>
              <w:pStyle w:val="6"/>
              <w:spacing w:before="34" w:line="235" w:lineRule="auto"/>
              <w:ind w:left="168" w:right="150" w:hanging="2"/>
            </w:pPr>
            <w:r>
              <w:rPr>
                <w:spacing w:val="-1"/>
              </w:rPr>
              <w:t>墩头垟</w:t>
            </w:r>
            <w:r>
              <w:rPr>
                <w:spacing w:val="-48"/>
              </w:rPr>
              <w:t xml:space="preserve"> </w:t>
            </w:r>
            <w:r>
              <w:rPr>
                <w:rFonts w:ascii="Times New Roman" w:hAnsi="Times New Roman" w:eastAsia="Times New Roman" w:cs="Times New Roman"/>
                <w:spacing w:val="-1"/>
              </w:rPr>
              <w:t xml:space="preserve">4a </w:t>
            </w:r>
            <w:r>
              <w:rPr>
                <w:spacing w:val="-1"/>
              </w:rPr>
              <w:t>类区所处环境</w:t>
            </w:r>
            <w:r>
              <w:t xml:space="preserve"> </w:t>
            </w:r>
            <w:r>
              <w:rPr>
                <w:spacing w:val="-6"/>
              </w:rPr>
              <w:t>与双田村</w:t>
            </w:r>
            <w:r>
              <w:rPr>
                <w:spacing w:val="-39"/>
              </w:rPr>
              <w:t xml:space="preserve"> </w:t>
            </w:r>
            <w:r>
              <w:rPr>
                <w:rFonts w:ascii="Times New Roman" w:hAnsi="Times New Roman" w:eastAsia="Times New Roman" w:cs="Times New Roman"/>
                <w:spacing w:val="-6"/>
              </w:rPr>
              <w:t xml:space="preserve">4a </w:t>
            </w:r>
            <w:r>
              <w:rPr>
                <w:spacing w:val="-6"/>
              </w:rPr>
              <w:t>类区类似，</w:t>
            </w:r>
            <w:r>
              <w:t xml:space="preserve"> </w:t>
            </w:r>
            <w:r>
              <w:rPr>
                <w:spacing w:val="3"/>
              </w:rPr>
              <w:t>现状监测值采用双田村</w:t>
            </w:r>
            <w:r>
              <w:rPr>
                <w:spacing w:val="4"/>
              </w:rPr>
              <w:t xml:space="preserve"> </w:t>
            </w:r>
            <w:r>
              <w:rPr>
                <w:rFonts w:ascii="Times New Roman" w:hAnsi="Times New Roman" w:eastAsia="Times New Roman" w:cs="Times New Roman"/>
                <w:spacing w:val="1"/>
              </w:rPr>
              <w:t xml:space="preserve">4a </w:t>
            </w:r>
            <w:r>
              <w:rPr>
                <w:spacing w:val="1"/>
              </w:rPr>
              <w:t>类受道路影响的现状</w:t>
            </w:r>
          </w:p>
          <w:p>
            <w:pPr>
              <w:pStyle w:val="6"/>
              <w:spacing w:before="19" w:line="207" w:lineRule="auto"/>
              <w:ind w:left="946"/>
            </w:pPr>
            <w:r>
              <w:rPr>
                <w:spacing w:val="-2"/>
              </w:rPr>
              <w:t>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770" w:type="dxa"/>
            <w:vMerge w:val="continue"/>
            <w:tcBorders>
              <w:top w:val="nil"/>
            </w:tcBorders>
            <w:vAlign w:val="top"/>
          </w:tcPr>
          <w:p>
            <w:pPr>
              <w:rPr>
                <w:rFonts w:ascii="Arial"/>
                <w:sz w:val="21"/>
              </w:rPr>
            </w:pPr>
          </w:p>
        </w:tc>
        <w:tc>
          <w:tcPr>
            <w:tcW w:w="1334" w:type="dxa"/>
            <w:vMerge w:val="continue"/>
            <w:tcBorders>
              <w:top w:val="nil"/>
            </w:tcBorders>
            <w:vAlign w:val="top"/>
          </w:tcPr>
          <w:p>
            <w:pPr>
              <w:rPr>
                <w:rFonts w:ascii="Arial"/>
                <w:sz w:val="21"/>
              </w:rPr>
            </w:pPr>
          </w:p>
        </w:tc>
        <w:tc>
          <w:tcPr>
            <w:tcW w:w="1113" w:type="dxa"/>
            <w:vAlign w:val="top"/>
          </w:tcPr>
          <w:p>
            <w:pPr>
              <w:pStyle w:val="6"/>
              <w:spacing w:before="303"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3" w:line="220" w:lineRule="auto"/>
              <w:ind w:left="153"/>
            </w:pPr>
            <w:r>
              <w:rPr>
                <w:spacing w:val="-1"/>
              </w:rPr>
              <w:t>受道路影响较小，现状监测值基本</w:t>
            </w:r>
          </w:p>
          <w:p>
            <w:pPr>
              <w:pStyle w:val="6"/>
              <w:spacing w:before="20" w:line="220" w:lineRule="auto"/>
              <w:ind w:left="177"/>
              <w:rPr>
                <w:rFonts w:ascii="Times New Roman" w:hAnsi="Times New Roman" w:eastAsia="Times New Roman" w:cs="Times New Roman"/>
              </w:rPr>
            </w:pPr>
            <w:r>
              <w:rPr>
                <w:spacing w:val="-6"/>
              </w:rPr>
              <w:t>可以代表本底水平，</w:t>
            </w:r>
            <w:r>
              <w:rPr>
                <w:spacing w:val="-24"/>
              </w:rPr>
              <w:t xml:space="preserve"> </w:t>
            </w:r>
            <w:r>
              <w:rPr>
                <w:spacing w:val="-6"/>
              </w:rPr>
              <w:t>采取墩头垟</w:t>
            </w:r>
            <w:r>
              <w:rPr>
                <w:spacing w:val="-47"/>
              </w:rPr>
              <w:t xml:space="preserve"> </w:t>
            </w:r>
            <w:r>
              <w:rPr>
                <w:rFonts w:ascii="Times New Roman" w:hAnsi="Times New Roman" w:eastAsia="Times New Roman" w:cs="Times New Roman"/>
                <w:spacing w:val="-6"/>
              </w:rPr>
              <w:t>2</w:t>
            </w:r>
          </w:p>
          <w:p>
            <w:pPr>
              <w:pStyle w:val="6"/>
              <w:spacing w:before="23" w:line="203" w:lineRule="auto"/>
              <w:ind w:left="463"/>
            </w:pPr>
            <w:r>
              <w:rPr>
                <w:spacing w:val="-1"/>
              </w:rPr>
              <w:t>类区现状监测值作为背景值</w:t>
            </w:r>
          </w:p>
        </w:tc>
        <w:tc>
          <w:tcPr>
            <w:tcW w:w="2509" w:type="dxa"/>
            <w:vAlign w:val="top"/>
          </w:tcPr>
          <w:p>
            <w:pPr>
              <w:pStyle w:val="6"/>
              <w:spacing w:before="303" w:line="221" w:lineRule="auto"/>
              <w:ind w:left="118"/>
            </w:pPr>
            <w:r>
              <w:rPr>
                <w:spacing w:val="-2"/>
              </w:rPr>
              <w:t>墩头垟</w:t>
            </w:r>
            <w:r>
              <w:rPr>
                <w:spacing w:val="-56"/>
              </w:rPr>
              <w:t xml:space="preserve"> </w:t>
            </w:r>
            <w:r>
              <w:rPr>
                <w:rFonts w:ascii="Times New Roman" w:hAnsi="Times New Roman" w:eastAsia="Times New Roman" w:cs="Times New Roman"/>
                <w:spacing w:val="-2"/>
              </w:rPr>
              <w:t xml:space="preserve">2 </w:t>
            </w:r>
            <w:r>
              <w:rPr>
                <w:spacing w:val="-2"/>
              </w:rPr>
              <w:t>类区现状监测值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770" w:type="dxa"/>
            <w:vAlign w:val="top"/>
          </w:tcPr>
          <w:p>
            <w:pPr>
              <w:spacing w:line="283" w:lineRule="auto"/>
              <w:rPr>
                <w:rFonts w:ascii="Arial"/>
                <w:sz w:val="21"/>
              </w:rPr>
            </w:pPr>
          </w:p>
          <w:p>
            <w:pPr>
              <w:spacing w:line="283" w:lineRule="auto"/>
              <w:rPr>
                <w:rFonts w:ascii="Arial"/>
                <w:sz w:val="21"/>
              </w:rPr>
            </w:pPr>
          </w:p>
          <w:p>
            <w:pPr>
              <w:spacing w:before="61" w:line="184" w:lineRule="auto"/>
              <w:ind w:left="34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34" w:type="dxa"/>
            <w:vAlign w:val="top"/>
          </w:tcPr>
          <w:p>
            <w:pPr>
              <w:spacing w:line="255" w:lineRule="auto"/>
              <w:rPr>
                <w:rFonts w:ascii="Arial"/>
                <w:sz w:val="21"/>
              </w:rPr>
            </w:pPr>
          </w:p>
          <w:p>
            <w:pPr>
              <w:spacing w:line="255" w:lineRule="auto"/>
              <w:rPr>
                <w:rFonts w:ascii="Arial"/>
                <w:sz w:val="21"/>
              </w:rPr>
            </w:pPr>
          </w:p>
          <w:p>
            <w:pPr>
              <w:pStyle w:val="6"/>
              <w:spacing w:before="68" w:line="221" w:lineRule="auto"/>
              <w:ind w:left="355"/>
            </w:pPr>
            <w:r>
              <w:rPr>
                <w:spacing w:val="-1"/>
              </w:rPr>
              <w:t>庙儿垄</w:t>
            </w:r>
          </w:p>
        </w:tc>
        <w:tc>
          <w:tcPr>
            <w:tcW w:w="1113" w:type="dxa"/>
            <w:vAlign w:val="top"/>
          </w:tcPr>
          <w:p>
            <w:pPr>
              <w:spacing w:line="255" w:lineRule="auto"/>
              <w:rPr>
                <w:rFonts w:ascii="Arial"/>
                <w:sz w:val="21"/>
              </w:rPr>
            </w:pPr>
          </w:p>
          <w:p>
            <w:pPr>
              <w:spacing w:line="255" w:lineRule="auto"/>
              <w:rPr>
                <w:rFonts w:ascii="Arial"/>
                <w:sz w:val="21"/>
              </w:rPr>
            </w:pPr>
          </w:p>
          <w:p>
            <w:pPr>
              <w:pStyle w:val="6"/>
              <w:spacing w:before="68" w:line="221" w:lineRule="auto"/>
              <w:ind w:left="326"/>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3438" w:type="dxa"/>
            <w:vAlign w:val="top"/>
          </w:tcPr>
          <w:p>
            <w:pPr>
              <w:spacing w:line="375" w:lineRule="auto"/>
              <w:rPr>
                <w:rFonts w:ascii="Arial"/>
                <w:sz w:val="21"/>
              </w:rPr>
            </w:pPr>
          </w:p>
          <w:p>
            <w:pPr>
              <w:pStyle w:val="6"/>
              <w:spacing w:before="68" w:line="229" w:lineRule="auto"/>
              <w:ind w:left="1306" w:right="137" w:hanging="1158"/>
            </w:pPr>
            <w:r>
              <w:rPr>
                <w:spacing w:val="-1"/>
              </w:rPr>
              <w:t>采用庙儿垄</w:t>
            </w:r>
            <w:r>
              <w:rPr>
                <w:spacing w:val="-41"/>
              </w:rPr>
              <w:t xml:space="preserve"> </w:t>
            </w:r>
            <w:r>
              <w:rPr>
                <w:rFonts w:ascii="Times New Roman" w:hAnsi="Times New Roman" w:eastAsia="Times New Roman" w:cs="Times New Roman"/>
                <w:spacing w:val="-1"/>
              </w:rPr>
              <w:t xml:space="preserve">2 </w:t>
            </w:r>
            <w:r>
              <w:rPr>
                <w:spacing w:val="-1"/>
              </w:rPr>
              <w:t>类区的现状监测值作</w:t>
            </w:r>
            <w:r>
              <w:t xml:space="preserve"> </w:t>
            </w:r>
            <w:r>
              <w:rPr>
                <w:spacing w:val="-2"/>
              </w:rPr>
              <w:t>为背景值</w:t>
            </w:r>
          </w:p>
        </w:tc>
        <w:tc>
          <w:tcPr>
            <w:tcW w:w="2509" w:type="dxa"/>
            <w:vAlign w:val="top"/>
          </w:tcPr>
          <w:p>
            <w:pPr>
              <w:pStyle w:val="6"/>
              <w:spacing w:before="39" w:line="234" w:lineRule="auto"/>
              <w:ind w:left="169" w:right="150" w:hanging="5"/>
            </w:pPr>
            <w:r>
              <w:rPr>
                <w:spacing w:val="-1"/>
              </w:rPr>
              <w:t>庙儿垄</w:t>
            </w:r>
            <w:r>
              <w:rPr>
                <w:spacing w:val="-46"/>
              </w:rPr>
              <w:t xml:space="preserve"> </w:t>
            </w:r>
            <w:r>
              <w:rPr>
                <w:rFonts w:ascii="Times New Roman" w:hAnsi="Times New Roman" w:eastAsia="Times New Roman" w:cs="Times New Roman"/>
                <w:spacing w:val="-1"/>
              </w:rPr>
              <w:t xml:space="preserve">4a </w:t>
            </w:r>
            <w:r>
              <w:rPr>
                <w:spacing w:val="-1"/>
              </w:rPr>
              <w:t>类区所处环境</w:t>
            </w:r>
            <w:r>
              <w:t xml:space="preserve"> </w:t>
            </w:r>
            <w:r>
              <w:rPr>
                <w:spacing w:val="-6"/>
              </w:rPr>
              <w:t>与双田村</w:t>
            </w:r>
            <w:r>
              <w:rPr>
                <w:spacing w:val="-39"/>
              </w:rPr>
              <w:t xml:space="preserve"> </w:t>
            </w:r>
            <w:r>
              <w:rPr>
                <w:rFonts w:ascii="Times New Roman" w:hAnsi="Times New Roman" w:eastAsia="Times New Roman" w:cs="Times New Roman"/>
                <w:spacing w:val="-6"/>
              </w:rPr>
              <w:t xml:space="preserve">4a </w:t>
            </w:r>
            <w:r>
              <w:rPr>
                <w:spacing w:val="-6"/>
              </w:rPr>
              <w:t>类区类似，</w:t>
            </w:r>
            <w:r>
              <w:t xml:space="preserve"> </w:t>
            </w:r>
            <w:r>
              <w:rPr>
                <w:spacing w:val="3"/>
              </w:rPr>
              <w:t>现状监测值采用双田村</w:t>
            </w:r>
            <w:r>
              <w:rPr>
                <w:spacing w:val="4"/>
              </w:rPr>
              <w:t xml:space="preserve"> </w:t>
            </w:r>
            <w:r>
              <w:rPr>
                <w:rFonts w:ascii="Times New Roman" w:hAnsi="Times New Roman" w:eastAsia="Times New Roman" w:cs="Times New Roman"/>
                <w:spacing w:val="1"/>
              </w:rPr>
              <w:t xml:space="preserve">4a </w:t>
            </w:r>
            <w:r>
              <w:rPr>
                <w:spacing w:val="1"/>
              </w:rPr>
              <w:t>类受道路影响的现状</w:t>
            </w:r>
          </w:p>
          <w:p>
            <w:pPr>
              <w:pStyle w:val="6"/>
              <w:spacing w:before="22" w:line="208" w:lineRule="auto"/>
              <w:ind w:left="946"/>
            </w:pPr>
            <w:r>
              <w:rPr>
                <w:spacing w:val="-2"/>
              </w:rPr>
              <w:t>监测值</w:t>
            </w:r>
          </w:p>
        </w:tc>
      </w:tr>
    </w:tbl>
    <w:p>
      <w:pPr>
        <w:pStyle w:val="2"/>
      </w:pPr>
    </w:p>
    <w:p>
      <w:pPr>
        <w:sectPr>
          <w:headerReference r:id="rId265" w:type="default"/>
          <w:footerReference r:id="rId266" w:type="default"/>
          <w:pgSz w:w="11907" w:h="16839"/>
          <w:pgMar w:top="1118" w:right="1347" w:bottom="1072" w:left="1368" w:header="877" w:footer="911" w:gutter="0"/>
          <w:cols w:space="720" w:num="1"/>
        </w:sectPr>
      </w:pPr>
    </w:p>
    <w:p>
      <w:pPr>
        <w:spacing w:before="113"/>
      </w:pPr>
    </w:p>
    <w:tbl>
      <w:tblPr>
        <w:tblStyle w:val="5"/>
        <w:tblW w:w="91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1334"/>
        <w:gridCol w:w="1113"/>
        <w:gridCol w:w="3438"/>
        <w:gridCol w:w="25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770" w:type="dxa"/>
            <w:vAlign w:val="top"/>
          </w:tcPr>
          <w:p>
            <w:pPr>
              <w:rPr>
                <w:rFonts w:ascii="Arial"/>
                <w:sz w:val="21"/>
              </w:rPr>
            </w:pPr>
          </w:p>
        </w:tc>
        <w:tc>
          <w:tcPr>
            <w:tcW w:w="1334" w:type="dxa"/>
            <w:vAlign w:val="top"/>
          </w:tcPr>
          <w:p>
            <w:pPr>
              <w:rPr>
                <w:rFonts w:ascii="Arial"/>
                <w:sz w:val="21"/>
              </w:rPr>
            </w:pPr>
          </w:p>
        </w:tc>
        <w:tc>
          <w:tcPr>
            <w:tcW w:w="1113" w:type="dxa"/>
            <w:vAlign w:val="top"/>
          </w:tcPr>
          <w:p>
            <w:pPr>
              <w:pStyle w:val="6"/>
              <w:spacing w:before="307"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4" w:line="220" w:lineRule="auto"/>
              <w:ind w:left="153"/>
            </w:pPr>
            <w:r>
              <w:rPr>
                <w:spacing w:val="-1"/>
              </w:rPr>
              <w:t>受道路影响较小，现状监测值基本</w:t>
            </w:r>
          </w:p>
          <w:p>
            <w:pPr>
              <w:pStyle w:val="6"/>
              <w:spacing w:before="23" w:line="220" w:lineRule="auto"/>
              <w:ind w:left="177"/>
              <w:rPr>
                <w:rFonts w:ascii="Times New Roman" w:hAnsi="Times New Roman" w:eastAsia="Times New Roman" w:cs="Times New Roman"/>
              </w:rPr>
            </w:pPr>
            <w:r>
              <w:rPr>
                <w:spacing w:val="-6"/>
              </w:rPr>
              <w:t>可以代表本底水平，</w:t>
            </w:r>
            <w:r>
              <w:rPr>
                <w:spacing w:val="-24"/>
              </w:rPr>
              <w:t xml:space="preserve"> </w:t>
            </w:r>
            <w:r>
              <w:rPr>
                <w:spacing w:val="-6"/>
              </w:rPr>
              <w:t>采取庙儿垄</w:t>
            </w:r>
            <w:r>
              <w:rPr>
                <w:spacing w:val="-47"/>
              </w:rPr>
              <w:t xml:space="preserve"> </w:t>
            </w:r>
            <w:r>
              <w:rPr>
                <w:rFonts w:ascii="Times New Roman" w:hAnsi="Times New Roman" w:eastAsia="Times New Roman" w:cs="Times New Roman"/>
                <w:spacing w:val="-6"/>
              </w:rPr>
              <w:t>2</w:t>
            </w:r>
          </w:p>
          <w:p>
            <w:pPr>
              <w:pStyle w:val="6"/>
              <w:spacing w:before="20" w:line="209" w:lineRule="auto"/>
              <w:ind w:left="463"/>
            </w:pPr>
            <w:r>
              <w:rPr>
                <w:spacing w:val="-1"/>
              </w:rPr>
              <w:t>类区现状监测值作为背景值</w:t>
            </w:r>
          </w:p>
        </w:tc>
        <w:tc>
          <w:tcPr>
            <w:tcW w:w="2509" w:type="dxa"/>
            <w:vAlign w:val="top"/>
          </w:tcPr>
          <w:p>
            <w:pPr>
              <w:pStyle w:val="6"/>
              <w:spacing w:before="307" w:line="221" w:lineRule="auto"/>
              <w:ind w:left="116"/>
            </w:pPr>
            <w:r>
              <w:rPr>
                <w:spacing w:val="-2"/>
              </w:rPr>
              <w:t>庙儿垄</w:t>
            </w:r>
            <w:r>
              <w:rPr>
                <w:spacing w:val="-53"/>
              </w:rPr>
              <w:t xml:space="preserve"> </w:t>
            </w:r>
            <w:r>
              <w:rPr>
                <w:rFonts w:ascii="Times New Roman" w:hAnsi="Times New Roman" w:eastAsia="Times New Roman" w:cs="Times New Roman"/>
                <w:spacing w:val="-2"/>
              </w:rPr>
              <w:t xml:space="preserve">2 </w:t>
            </w:r>
            <w:r>
              <w:rPr>
                <w:spacing w:val="-2"/>
              </w:rPr>
              <w:t>类区现状监测值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770"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1" w:line="187" w:lineRule="auto"/>
              <w:ind w:left="340"/>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334" w:type="dxa"/>
            <w:vMerge w:val="restart"/>
            <w:tcBorders>
              <w:bottom w:val="nil"/>
            </w:tcBorders>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8" w:line="223" w:lineRule="auto"/>
              <w:ind w:left="465"/>
            </w:pPr>
            <w:r>
              <w:rPr>
                <w:spacing w:val="-3"/>
              </w:rPr>
              <w:t>前垄</w:t>
            </w:r>
          </w:p>
        </w:tc>
        <w:tc>
          <w:tcPr>
            <w:tcW w:w="1113" w:type="dxa"/>
            <w:vAlign w:val="top"/>
          </w:tcPr>
          <w:p>
            <w:pPr>
              <w:spacing w:line="251" w:lineRule="auto"/>
              <w:rPr>
                <w:rFonts w:ascii="Arial"/>
                <w:sz w:val="21"/>
              </w:rPr>
            </w:pPr>
          </w:p>
          <w:p>
            <w:pPr>
              <w:spacing w:line="252" w:lineRule="auto"/>
              <w:rPr>
                <w:rFonts w:ascii="Arial"/>
                <w:sz w:val="21"/>
              </w:rPr>
            </w:pPr>
          </w:p>
          <w:p>
            <w:pPr>
              <w:pStyle w:val="6"/>
              <w:spacing w:before="68" w:line="221" w:lineRule="auto"/>
              <w:ind w:left="326"/>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3438" w:type="dxa"/>
            <w:vAlign w:val="top"/>
          </w:tcPr>
          <w:p>
            <w:pPr>
              <w:spacing w:line="367" w:lineRule="auto"/>
              <w:rPr>
                <w:rFonts w:ascii="Arial"/>
                <w:sz w:val="21"/>
              </w:rPr>
            </w:pPr>
          </w:p>
          <w:p>
            <w:pPr>
              <w:pStyle w:val="6"/>
              <w:spacing w:before="68" w:line="231" w:lineRule="auto"/>
              <w:ind w:left="1412" w:right="138" w:hanging="1264"/>
            </w:pPr>
            <w:r>
              <w:rPr>
                <w:spacing w:val="-1"/>
              </w:rPr>
              <w:t>采用前垄</w:t>
            </w:r>
            <w:r>
              <w:rPr>
                <w:spacing w:val="-41"/>
              </w:rPr>
              <w:t xml:space="preserve"> </w:t>
            </w:r>
            <w:r>
              <w:rPr>
                <w:rFonts w:ascii="Times New Roman" w:hAnsi="Times New Roman" w:eastAsia="Times New Roman" w:cs="Times New Roman"/>
                <w:spacing w:val="-1"/>
              </w:rPr>
              <w:t xml:space="preserve">2 </w:t>
            </w:r>
            <w:r>
              <w:rPr>
                <w:spacing w:val="-1"/>
              </w:rPr>
              <w:t>类区的现状监测值作为</w:t>
            </w:r>
            <w:r>
              <w:t xml:space="preserve"> </w:t>
            </w:r>
            <w:r>
              <w:rPr>
                <w:spacing w:val="-2"/>
              </w:rPr>
              <w:t>背景值</w:t>
            </w:r>
          </w:p>
        </w:tc>
        <w:tc>
          <w:tcPr>
            <w:tcW w:w="2509" w:type="dxa"/>
            <w:vAlign w:val="top"/>
          </w:tcPr>
          <w:p>
            <w:pPr>
              <w:pStyle w:val="6"/>
              <w:spacing w:before="30" w:line="221" w:lineRule="auto"/>
              <w:ind w:left="168"/>
            </w:pPr>
            <w:r>
              <w:rPr>
                <w:spacing w:val="-2"/>
              </w:rPr>
              <w:t>前垄</w:t>
            </w:r>
            <w:r>
              <w:rPr>
                <w:spacing w:val="-38"/>
              </w:rPr>
              <w:t xml:space="preserve"> </w:t>
            </w:r>
            <w:r>
              <w:rPr>
                <w:rFonts w:ascii="Times New Roman" w:hAnsi="Times New Roman" w:eastAsia="Times New Roman" w:cs="Times New Roman"/>
                <w:spacing w:val="-2"/>
              </w:rPr>
              <w:t xml:space="preserve">4a </w:t>
            </w:r>
            <w:r>
              <w:rPr>
                <w:spacing w:val="-2"/>
              </w:rPr>
              <w:t>类区所处环境与</w:t>
            </w:r>
          </w:p>
          <w:p>
            <w:pPr>
              <w:pStyle w:val="6"/>
              <w:spacing w:before="20" w:line="220" w:lineRule="auto"/>
              <w:ind w:left="166"/>
            </w:pPr>
            <w:r>
              <w:rPr>
                <w:spacing w:val="-1"/>
              </w:rPr>
              <w:t>让川村安置小区</w:t>
            </w:r>
            <w:r>
              <w:rPr>
                <w:spacing w:val="-46"/>
              </w:rPr>
              <w:t xml:space="preserve"> </w:t>
            </w:r>
            <w:r>
              <w:rPr>
                <w:rFonts w:ascii="Times New Roman" w:hAnsi="Times New Roman" w:eastAsia="Times New Roman" w:cs="Times New Roman"/>
                <w:spacing w:val="-1"/>
              </w:rPr>
              <w:t xml:space="preserve">4a </w:t>
            </w:r>
            <w:r>
              <w:rPr>
                <w:spacing w:val="-1"/>
              </w:rPr>
              <w:t>类区</w:t>
            </w:r>
          </w:p>
          <w:p>
            <w:pPr>
              <w:pStyle w:val="6"/>
              <w:spacing w:before="23" w:line="220" w:lineRule="auto"/>
              <w:ind w:left="117"/>
            </w:pPr>
            <w:r>
              <w:rPr>
                <w:spacing w:val="-3"/>
              </w:rPr>
              <w:t>类似，现状监测值采用让</w:t>
            </w:r>
          </w:p>
          <w:p>
            <w:pPr>
              <w:pStyle w:val="6"/>
              <w:spacing w:before="20" w:line="220" w:lineRule="auto"/>
              <w:ind w:left="170"/>
            </w:pPr>
            <w:r>
              <w:rPr>
                <w:spacing w:val="-2"/>
              </w:rPr>
              <w:t>川村安置小区</w:t>
            </w:r>
            <w:r>
              <w:rPr>
                <w:spacing w:val="-40"/>
              </w:rPr>
              <w:t xml:space="preserve"> </w:t>
            </w:r>
            <w:r>
              <w:rPr>
                <w:rFonts w:ascii="Times New Roman" w:hAnsi="Times New Roman" w:eastAsia="Times New Roman" w:cs="Times New Roman"/>
                <w:spacing w:val="-2"/>
              </w:rPr>
              <w:t xml:space="preserve">4a </w:t>
            </w:r>
            <w:r>
              <w:rPr>
                <w:spacing w:val="-2"/>
              </w:rPr>
              <w:t>类受道</w:t>
            </w:r>
          </w:p>
          <w:p>
            <w:pPr>
              <w:pStyle w:val="6"/>
              <w:spacing w:before="23" w:line="207" w:lineRule="auto"/>
              <w:ind w:left="318"/>
            </w:pPr>
            <w:r>
              <w:rPr>
                <w:spacing w:val="-1"/>
              </w:rPr>
              <w:t>路影响的现状监测值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70" w:type="dxa"/>
            <w:vMerge w:val="continue"/>
            <w:tcBorders>
              <w:top w:val="nil"/>
            </w:tcBorders>
            <w:vAlign w:val="top"/>
          </w:tcPr>
          <w:p>
            <w:pPr>
              <w:rPr>
                <w:rFonts w:ascii="Arial"/>
                <w:sz w:val="21"/>
              </w:rPr>
            </w:pPr>
          </w:p>
        </w:tc>
        <w:tc>
          <w:tcPr>
            <w:tcW w:w="1334" w:type="dxa"/>
            <w:vMerge w:val="continue"/>
            <w:tcBorders>
              <w:top w:val="nil"/>
            </w:tcBorders>
            <w:vAlign w:val="top"/>
          </w:tcPr>
          <w:p>
            <w:pPr>
              <w:rPr>
                <w:rFonts w:ascii="Arial"/>
                <w:sz w:val="21"/>
              </w:rPr>
            </w:pPr>
          </w:p>
        </w:tc>
        <w:tc>
          <w:tcPr>
            <w:tcW w:w="1113" w:type="dxa"/>
            <w:vAlign w:val="top"/>
          </w:tcPr>
          <w:p>
            <w:pPr>
              <w:pStyle w:val="6"/>
              <w:spacing w:before="303"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0" w:line="220" w:lineRule="auto"/>
              <w:ind w:left="153"/>
            </w:pPr>
            <w:r>
              <w:rPr>
                <w:spacing w:val="-1"/>
              </w:rPr>
              <w:t>受道路影响较小，现状监测值基本</w:t>
            </w:r>
          </w:p>
          <w:p>
            <w:pPr>
              <w:pStyle w:val="6"/>
              <w:spacing w:before="23" w:line="220" w:lineRule="auto"/>
              <w:ind w:left="150"/>
            </w:pPr>
            <w:r>
              <w:rPr>
                <w:spacing w:val="-6"/>
              </w:rPr>
              <w:t>可以代表本底水平，</w:t>
            </w:r>
            <w:r>
              <w:rPr>
                <w:spacing w:val="-14"/>
              </w:rPr>
              <w:t xml:space="preserve"> </w:t>
            </w:r>
            <w:r>
              <w:rPr>
                <w:spacing w:val="-6"/>
              </w:rPr>
              <w:t>采取前垄</w:t>
            </w:r>
            <w:r>
              <w:rPr>
                <w:spacing w:val="-48"/>
              </w:rPr>
              <w:t xml:space="preserve"> </w:t>
            </w:r>
            <w:r>
              <w:rPr>
                <w:rFonts w:ascii="Times New Roman" w:hAnsi="Times New Roman" w:eastAsia="Times New Roman" w:cs="Times New Roman"/>
                <w:spacing w:val="-6"/>
              </w:rPr>
              <w:t xml:space="preserve">2 </w:t>
            </w:r>
            <w:r>
              <w:rPr>
                <w:spacing w:val="-6"/>
              </w:rPr>
              <w:t>类</w:t>
            </w:r>
          </w:p>
          <w:p>
            <w:pPr>
              <w:pStyle w:val="6"/>
              <w:spacing w:before="21" w:line="208" w:lineRule="auto"/>
              <w:ind w:left="584"/>
            </w:pPr>
            <w:r>
              <w:rPr>
                <w:spacing w:val="-2"/>
              </w:rPr>
              <w:t>区现状监测值作为背景值</w:t>
            </w:r>
          </w:p>
        </w:tc>
        <w:tc>
          <w:tcPr>
            <w:tcW w:w="2509" w:type="dxa"/>
            <w:vAlign w:val="top"/>
          </w:tcPr>
          <w:p>
            <w:pPr>
              <w:pStyle w:val="6"/>
              <w:spacing w:before="303" w:line="221" w:lineRule="auto"/>
              <w:ind w:left="214"/>
            </w:pPr>
            <w:r>
              <w:rPr>
                <w:spacing w:val="-2"/>
              </w:rPr>
              <w:t>前垄</w:t>
            </w:r>
            <w:r>
              <w:rPr>
                <w:spacing w:val="-39"/>
              </w:rPr>
              <w:t xml:space="preserve"> </w:t>
            </w:r>
            <w:r>
              <w:rPr>
                <w:rFonts w:ascii="Times New Roman" w:hAnsi="Times New Roman" w:eastAsia="Times New Roman" w:cs="Times New Roman"/>
                <w:spacing w:val="-2"/>
              </w:rPr>
              <w:t xml:space="preserve">2 </w:t>
            </w:r>
            <w:r>
              <w:rPr>
                <w:spacing w:val="-2"/>
              </w:rPr>
              <w:t>类区现状监测值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70" w:type="dxa"/>
            <w:vMerge w:val="restart"/>
            <w:tcBorders>
              <w:bottom w:val="nil"/>
            </w:tcBorders>
            <w:vAlign w:val="top"/>
          </w:tcPr>
          <w:p>
            <w:pPr>
              <w:spacing w:line="432" w:lineRule="auto"/>
              <w:rPr>
                <w:rFonts w:ascii="Arial"/>
                <w:sz w:val="21"/>
              </w:rPr>
            </w:pPr>
          </w:p>
          <w:p>
            <w:pPr>
              <w:spacing w:before="61" w:line="184" w:lineRule="auto"/>
              <w:ind w:left="33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334" w:type="dxa"/>
            <w:vMerge w:val="restart"/>
            <w:tcBorders>
              <w:bottom w:val="nil"/>
            </w:tcBorders>
            <w:vAlign w:val="top"/>
          </w:tcPr>
          <w:p>
            <w:pPr>
              <w:pStyle w:val="6"/>
              <w:spacing w:before="309" w:line="231" w:lineRule="auto"/>
              <w:ind w:left="466" w:right="138" w:hanging="320"/>
            </w:pPr>
            <w:r>
              <w:rPr>
                <w:spacing w:val="-2"/>
              </w:rPr>
              <w:t>让川村安置</w:t>
            </w:r>
            <w:r>
              <w:rPr>
                <w:spacing w:val="2"/>
              </w:rPr>
              <w:t xml:space="preserve"> </w:t>
            </w:r>
            <w:r>
              <w:rPr>
                <w:spacing w:val="-3"/>
              </w:rPr>
              <w:t>小区</w:t>
            </w:r>
          </w:p>
        </w:tc>
        <w:tc>
          <w:tcPr>
            <w:tcW w:w="1113" w:type="dxa"/>
            <w:vAlign w:val="top"/>
          </w:tcPr>
          <w:p>
            <w:pPr>
              <w:pStyle w:val="6"/>
              <w:spacing w:before="167" w:line="221" w:lineRule="auto"/>
              <w:ind w:left="326"/>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3438" w:type="dxa"/>
            <w:vAlign w:val="top"/>
          </w:tcPr>
          <w:p>
            <w:pPr>
              <w:pStyle w:val="6"/>
              <w:spacing w:before="168" w:line="221" w:lineRule="auto"/>
              <w:ind w:left="117"/>
              <w:rPr>
                <w:rFonts w:ascii="Times New Roman" w:hAnsi="Times New Roman" w:eastAsia="Times New Roman" w:cs="Times New Roman"/>
                <w:sz w:val="13"/>
                <w:szCs w:val="13"/>
              </w:rPr>
            </w:pPr>
            <w:r>
              <w:rPr>
                <w:spacing w:val="-7"/>
              </w:rPr>
              <w:t>受</w:t>
            </w:r>
            <w:r>
              <w:rPr>
                <w:spacing w:val="-43"/>
              </w:rPr>
              <w:t xml:space="preserve"> </w:t>
            </w:r>
            <w:r>
              <w:rPr>
                <w:rFonts w:ascii="Times New Roman" w:hAnsi="Times New Roman" w:eastAsia="Times New Roman" w:cs="Times New Roman"/>
                <w:spacing w:val="-7"/>
              </w:rPr>
              <w:t>322</w:t>
            </w:r>
            <w:r>
              <w:rPr>
                <w:rFonts w:ascii="Times New Roman" w:hAnsi="Times New Roman" w:eastAsia="Times New Roman" w:cs="Times New Roman"/>
                <w:spacing w:val="27"/>
              </w:rPr>
              <w:t xml:space="preserve"> </w:t>
            </w:r>
            <w:r>
              <w:rPr>
                <w:spacing w:val="-7"/>
              </w:rPr>
              <w:t>国道及连接线的影响，</w:t>
            </w:r>
            <w:r>
              <w:rPr>
                <w:spacing w:val="-56"/>
              </w:rPr>
              <w:t xml:space="preserve"> </w:t>
            </w:r>
            <w:r>
              <w:rPr>
                <w:spacing w:val="-7"/>
              </w:rPr>
              <w:t>取</w:t>
            </w:r>
            <w:r>
              <w:rPr>
                <w:spacing w:val="-48"/>
              </w:rPr>
              <w:t xml:space="preserve"> </w:t>
            </w:r>
            <w:r>
              <w:rPr>
                <w:rFonts w:ascii="Times New Roman" w:hAnsi="Times New Roman" w:eastAsia="Times New Roman" w:cs="Times New Roman"/>
                <w:spacing w:val="-7"/>
              </w:rPr>
              <w:t>L</w:t>
            </w:r>
            <w:r>
              <w:rPr>
                <w:rFonts w:ascii="Times New Roman" w:hAnsi="Times New Roman" w:eastAsia="Times New Roman" w:cs="Times New Roman"/>
                <w:spacing w:val="-7"/>
                <w:position w:val="-1"/>
                <w:sz w:val="13"/>
                <w:szCs w:val="13"/>
              </w:rPr>
              <w:t>90</w:t>
            </w:r>
          </w:p>
        </w:tc>
        <w:tc>
          <w:tcPr>
            <w:tcW w:w="2509" w:type="dxa"/>
            <w:vAlign w:val="top"/>
          </w:tcPr>
          <w:p>
            <w:pPr>
              <w:pStyle w:val="6"/>
              <w:spacing w:before="30" w:line="224" w:lineRule="auto"/>
              <w:ind w:left="528" w:right="150" w:hanging="362"/>
            </w:pPr>
            <w:r>
              <w:rPr>
                <w:spacing w:val="-1"/>
              </w:rPr>
              <w:t>让川村安置小区</w:t>
            </w:r>
            <w:r>
              <w:rPr>
                <w:spacing w:val="-49"/>
              </w:rPr>
              <w:t xml:space="preserve"> </w:t>
            </w:r>
            <w:r>
              <w:rPr>
                <w:rFonts w:ascii="Times New Roman" w:hAnsi="Times New Roman" w:eastAsia="Times New Roman" w:cs="Times New Roman"/>
                <w:spacing w:val="-1"/>
              </w:rPr>
              <w:t xml:space="preserve">4a </w:t>
            </w:r>
            <w:r>
              <w:rPr>
                <w:spacing w:val="-1"/>
              </w:rPr>
              <w:t>类第</w:t>
            </w:r>
            <w:r>
              <w:t xml:space="preserve"> </w:t>
            </w:r>
            <w:r>
              <w:rPr>
                <w:spacing w:val="-2"/>
              </w:rPr>
              <w:t>一排现状监测值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70" w:type="dxa"/>
            <w:vMerge w:val="continue"/>
            <w:tcBorders>
              <w:top w:val="nil"/>
            </w:tcBorders>
            <w:vAlign w:val="top"/>
          </w:tcPr>
          <w:p>
            <w:pPr>
              <w:rPr>
                <w:rFonts w:ascii="Arial"/>
                <w:sz w:val="21"/>
              </w:rPr>
            </w:pPr>
          </w:p>
        </w:tc>
        <w:tc>
          <w:tcPr>
            <w:tcW w:w="1334" w:type="dxa"/>
            <w:vMerge w:val="continue"/>
            <w:tcBorders>
              <w:top w:val="nil"/>
            </w:tcBorders>
            <w:vAlign w:val="top"/>
          </w:tcPr>
          <w:p>
            <w:pPr>
              <w:rPr>
                <w:rFonts w:ascii="Arial"/>
                <w:sz w:val="21"/>
              </w:rPr>
            </w:pPr>
          </w:p>
        </w:tc>
        <w:tc>
          <w:tcPr>
            <w:tcW w:w="1113" w:type="dxa"/>
            <w:vAlign w:val="top"/>
          </w:tcPr>
          <w:p>
            <w:pPr>
              <w:pStyle w:val="6"/>
              <w:spacing w:before="167"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168" w:line="221" w:lineRule="auto"/>
              <w:ind w:left="117"/>
              <w:rPr>
                <w:rFonts w:ascii="Times New Roman" w:hAnsi="Times New Roman" w:eastAsia="Times New Roman" w:cs="Times New Roman"/>
                <w:sz w:val="13"/>
                <w:szCs w:val="13"/>
              </w:rPr>
            </w:pPr>
            <w:r>
              <w:rPr>
                <w:spacing w:val="-7"/>
              </w:rPr>
              <w:t>受</w:t>
            </w:r>
            <w:r>
              <w:rPr>
                <w:spacing w:val="-43"/>
              </w:rPr>
              <w:t xml:space="preserve"> </w:t>
            </w:r>
            <w:r>
              <w:rPr>
                <w:rFonts w:ascii="Times New Roman" w:hAnsi="Times New Roman" w:eastAsia="Times New Roman" w:cs="Times New Roman"/>
                <w:spacing w:val="-7"/>
              </w:rPr>
              <w:t>322</w:t>
            </w:r>
            <w:r>
              <w:rPr>
                <w:rFonts w:ascii="Times New Roman" w:hAnsi="Times New Roman" w:eastAsia="Times New Roman" w:cs="Times New Roman"/>
                <w:spacing w:val="27"/>
              </w:rPr>
              <w:t xml:space="preserve"> </w:t>
            </w:r>
            <w:r>
              <w:rPr>
                <w:spacing w:val="-7"/>
              </w:rPr>
              <w:t>国道及连接线的影响，</w:t>
            </w:r>
            <w:r>
              <w:rPr>
                <w:spacing w:val="-56"/>
              </w:rPr>
              <w:t xml:space="preserve"> </w:t>
            </w:r>
            <w:r>
              <w:rPr>
                <w:spacing w:val="-7"/>
              </w:rPr>
              <w:t>取</w:t>
            </w:r>
            <w:r>
              <w:rPr>
                <w:spacing w:val="-48"/>
              </w:rPr>
              <w:t xml:space="preserve"> </w:t>
            </w:r>
            <w:r>
              <w:rPr>
                <w:rFonts w:ascii="Times New Roman" w:hAnsi="Times New Roman" w:eastAsia="Times New Roman" w:cs="Times New Roman"/>
                <w:spacing w:val="-7"/>
              </w:rPr>
              <w:t>L</w:t>
            </w:r>
            <w:r>
              <w:rPr>
                <w:rFonts w:ascii="Times New Roman" w:hAnsi="Times New Roman" w:eastAsia="Times New Roman" w:cs="Times New Roman"/>
                <w:spacing w:val="-7"/>
                <w:position w:val="-1"/>
                <w:sz w:val="13"/>
                <w:szCs w:val="13"/>
              </w:rPr>
              <w:t>90</w:t>
            </w:r>
          </w:p>
        </w:tc>
        <w:tc>
          <w:tcPr>
            <w:tcW w:w="2509" w:type="dxa"/>
            <w:vAlign w:val="top"/>
          </w:tcPr>
          <w:p>
            <w:pPr>
              <w:pStyle w:val="6"/>
              <w:spacing w:before="30" w:line="223" w:lineRule="auto"/>
              <w:ind w:left="630" w:right="102" w:hanging="512"/>
            </w:pPr>
            <w:r>
              <w:rPr>
                <w:spacing w:val="-2"/>
              </w:rPr>
              <w:t>让川村安置小区</w:t>
            </w:r>
            <w:r>
              <w:rPr>
                <w:spacing w:val="-57"/>
              </w:rPr>
              <w:t xml:space="preserve"> </w:t>
            </w:r>
            <w:r>
              <w:rPr>
                <w:rFonts w:ascii="Times New Roman" w:hAnsi="Times New Roman" w:eastAsia="Times New Roman" w:cs="Times New Roman"/>
                <w:spacing w:val="-2"/>
              </w:rPr>
              <w:t xml:space="preserve">2 </w:t>
            </w:r>
            <w:r>
              <w:rPr>
                <w:spacing w:val="-2"/>
              </w:rPr>
              <w:t>类第一</w:t>
            </w:r>
            <w:r>
              <w:t xml:space="preserve"> </w:t>
            </w:r>
            <w:r>
              <w:rPr>
                <w:spacing w:val="-1"/>
              </w:rPr>
              <w:t>排现状监测值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70" w:type="dxa"/>
            <w:vAlign w:val="top"/>
          </w:tcPr>
          <w:p>
            <w:pPr>
              <w:spacing w:line="425" w:lineRule="auto"/>
              <w:rPr>
                <w:rFonts w:ascii="Arial"/>
                <w:sz w:val="21"/>
              </w:rPr>
            </w:pPr>
          </w:p>
          <w:p>
            <w:pPr>
              <w:spacing w:before="61" w:line="187" w:lineRule="auto"/>
              <w:ind w:left="343"/>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334" w:type="dxa"/>
            <w:vAlign w:val="top"/>
          </w:tcPr>
          <w:p>
            <w:pPr>
              <w:spacing w:line="372" w:lineRule="auto"/>
              <w:rPr>
                <w:rFonts w:ascii="Arial"/>
                <w:sz w:val="21"/>
              </w:rPr>
            </w:pPr>
          </w:p>
          <w:p>
            <w:pPr>
              <w:pStyle w:val="6"/>
              <w:spacing w:before="68" w:line="222" w:lineRule="auto"/>
              <w:ind w:left="470"/>
            </w:pPr>
            <w:r>
              <w:rPr>
                <w:spacing w:val="-4"/>
              </w:rPr>
              <w:t>官田</w:t>
            </w:r>
          </w:p>
        </w:tc>
        <w:tc>
          <w:tcPr>
            <w:tcW w:w="1113" w:type="dxa"/>
            <w:vAlign w:val="top"/>
          </w:tcPr>
          <w:p>
            <w:pPr>
              <w:spacing w:line="371" w:lineRule="auto"/>
              <w:rPr>
                <w:rFonts w:ascii="Arial"/>
                <w:sz w:val="21"/>
              </w:rPr>
            </w:pPr>
          </w:p>
          <w:p>
            <w:pPr>
              <w:pStyle w:val="6"/>
              <w:spacing w:before="69"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06" w:line="229" w:lineRule="auto"/>
              <w:ind w:left="413" w:right="138" w:hanging="260"/>
              <w:rPr>
                <w:rFonts w:ascii="Times New Roman" w:hAnsi="Times New Roman" w:eastAsia="Times New Roman" w:cs="Times New Roman"/>
                <w:sz w:val="13"/>
                <w:szCs w:val="13"/>
              </w:rPr>
            </w:pPr>
            <w:r>
              <w:rPr>
                <w:spacing w:val="-3"/>
              </w:rPr>
              <w:t>受</w:t>
            </w:r>
            <w:r>
              <w:rPr>
                <w:spacing w:val="-41"/>
              </w:rPr>
              <w:t xml:space="preserve"> </w:t>
            </w:r>
            <w:r>
              <w:rPr>
                <w:rFonts w:ascii="Times New Roman" w:hAnsi="Times New Roman" w:eastAsia="Times New Roman" w:cs="Times New Roman"/>
                <w:spacing w:val="-3"/>
              </w:rPr>
              <w:t>322</w:t>
            </w:r>
            <w:r>
              <w:rPr>
                <w:rFonts w:ascii="Times New Roman" w:hAnsi="Times New Roman" w:eastAsia="Times New Roman" w:cs="Times New Roman"/>
                <w:spacing w:val="27"/>
              </w:rPr>
              <w:t xml:space="preserve"> </w:t>
            </w:r>
            <w:r>
              <w:rPr>
                <w:spacing w:val="-3"/>
              </w:rPr>
              <w:t>国道及连接线的影响，取让</w:t>
            </w:r>
            <w:r>
              <w:t xml:space="preserve"> </w:t>
            </w:r>
            <w:r>
              <w:rPr>
                <w:spacing w:val="-1"/>
              </w:rPr>
              <w:t>川村安置小区</w:t>
            </w:r>
            <w:r>
              <w:rPr>
                <w:spacing w:val="-45"/>
              </w:rPr>
              <w:t xml:space="preserve"> </w:t>
            </w:r>
            <w:r>
              <w:rPr>
                <w:rFonts w:ascii="Times New Roman" w:hAnsi="Times New Roman" w:eastAsia="Times New Roman" w:cs="Times New Roman"/>
                <w:spacing w:val="-1"/>
              </w:rPr>
              <w:t xml:space="preserve">2 </w:t>
            </w:r>
            <w:r>
              <w:rPr>
                <w:spacing w:val="-1"/>
              </w:rPr>
              <w:t>类第一排</w:t>
            </w:r>
            <w:r>
              <w:rPr>
                <w:spacing w:val="-50"/>
              </w:rPr>
              <w:t xml:space="preserve"> </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3"/>
                <w:szCs w:val="13"/>
              </w:rPr>
              <w:t>90</w:t>
            </w:r>
          </w:p>
        </w:tc>
        <w:tc>
          <w:tcPr>
            <w:tcW w:w="2509" w:type="dxa"/>
            <w:vAlign w:val="top"/>
          </w:tcPr>
          <w:p>
            <w:pPr>
              <w:pStyle w:val="6"/>
              <w:spacing w:before="32" w:line="220" w:lineRule="auto"/>
              <w:ind w:left="218"/>
            </w:pPr>
            <w:r>
              <w:rPr>
                <w:spacing w:val="-2"/>
              </w:rPr>
              <w:t>官田所处环境与让川村</w:t>
            </w:r>
          </w:p>
          <w:p>
            <w:pPr>
              <w:pStyle w:val="6"/>
              <w:spacing w:before="23" w:line="220" w:lineRule="auto"/>
              <w:ind w:left="121"/>
            </w:pPr>
            <w:r>
              <w:rPr>
                <w:spacing w:val="-3"/>
              </w:rPr>
              <w:t>安置小区类似，采用让川</w:t>
            </w:r>
          </w:p>
          <w:p>
            <w:pPr>
              <w:pStyle w:val="6"/>
              <w:spacing w:before="20" w:line="220" w:lineRule="auto"/>
              <w:ind w:left="118"/>
            </w:pPr>
            <w:r>
              <w:rPr>
                <w:spacing w:val="-2"/>
              </w:rPr>
              <w:t>村安置小区</w:t>
            </w:r>
            <w:r>
              <w:rPr>
                <w:spacing w:val="-55"/>
              </w:rPr>
              <w:t xml:space="preserve"> </w:t>
            </w:r>
            <w:r>
              <w:rPr>
                <w:rFonts w:ascii="Times New Roman" w:hAnsi="Times New Roman" w:eastAsia="Times New Roman" w:cs="Times New Roman"/>
                <w:spacing w:val="-2"/>
              </w:rPr>
              <w:t xml:space="preserve">2 </w:t>
            </w:r>
            <w:r>
              <w:rPr>
                <w:spacing w:val="-2"/>
              </w:rPr>
              <w:t>类第一排现</w:t>
            </w:r>
          </w:p>
          <w:p>
            <w:pPr>
              <w:pStyle w:val="6"/>
              <w:spacing w:before="23" w:line="204" w:lineRule="auto"/>
              <w:ind w:left="842"/>
            </w:pPr>
            <w:r>
              <w:rPr>
                <w:spacing w:val="-2"/>
              </w:rPr>
              <w:t>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70"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before="61" w:line="187" w:lineRule="auto"/>
              <w:ind w:left="339"/>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334" w:type="dxa"/>
            <w:vMerge w:val="restart"/>
            <w:tcBorders>
              <w:bottom w:val="nil"/>
            </w:tcBorders>
            <w:vAlign w:val="top"/>
          </w:tcPr>
          <w:p>
            <w:pPr>
              <w:spacing w:line="255" w:lineRule="auto"/>
              <w:rPr>
                <w:rFonts w:ascii="Arial"/>
                <w:sz w:val="21"/>
              </w:rPr>
            </w:pPr>
          </w:p>
          <w:p>
            <w:pPr>
              <w:spacing w:line="256" w:lineRule="auto"/>
              <w:rPr>
                <w:rFonts w:ascii="Arial"/>
                <w:sz w:val="21"/>
              </w:rPr>
            </w:pPr>
          </w:p>
          <w:p>
            <w:pPr>
              <w:pStyle w:val="6"/>
              <w:spacing w:before="69" w:line="220" w:lineRule="auto"/>
              <w:ind w:left="356"/>
            </w:pPr>
            <w:r>
              <w:rPr>
                <w:spacing w:val="-2"/>
              </w:rPr>
              <w:t>双田村</w:t>
            </w:r>
          </w:p>
        </w:tc>
        <w:tc>
          <w:tcPr>
            <w:tcW w:w="1113" w:type="dxa"/>
            <w:vAlign w:val="top"/>
          </w:tcPr>
          <w:p>
            <w:pPr>
              <w:pStyle w:val="6"/>
              <w:spacing w:before="170" w:line="221" w:lineRule="auto"/>
              <w:ind w:left="326"/>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3438" w:type="dxa"/>
            <w:vAlign w:val="top"/>
          </w:tcPr>
          <w:p>
            <w:pPr>
              <w:pStyle w:val="6"/>
              <w:spacing w:before="170" w:line="221" w:lineRule="auto"/>
              <w:ind w:left="623"/>
              <w:rPr>
                <w:rFonts w:ascii="Times New Roman" w:hAnsi="Times New Roman" w:eastAsia="Times New Roman" w:cs="Times New Roman"/>
                <w:sz w:val="13"/>
                <w:szCs w:val="13"/>
              </w:rPr>
            </w:pPr>
            <w:r>
              <w:rPr>
                <w:spacing w:val="-1"/>
              </w:rPr>
              <w:t>受连接线的影响，取</w:t>
            </w:r>
            <w:r>
              <w:rPr>
                <w:spacing w:val="-42"/>
              </w:rPr>
              <w:t xml:space="preserve"> </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3"/>
                <w:szCs w:val="13"/>
              </w:rPr>
              <w:t>90</w:t>
            </w:r>
          </w:p>
        </w:tc>
        <w:tc>
          <w:tcPr>
            <w:tcW w:w="2509" w:type="dxa"/>
            <w:vAlign w:val="top"/>
          </w:tcPr>
          <w:p>
            <w:pPr>
              <w:pStyle w:val="6"/>
              <w:spacing w:before="32" w:line="223" w:lineRule="auto"/>
              <w:ind w:left="946" w:right="150" w:hanging="781"/>
            </w:pPr>
            <w:r>
              <w:rPr>
                <w:spacing w:val="-1"/>
              </w:rPr>
              <w:t>双田村</w:t>
            </w:r>
            <w:r>
              <w:rPr>
                <w:spacing w:val="-47"/>
              </w:rPr>
              <w:t xml:space="preserve"> </w:t>
            </w:r>
            <w:r>
              <w:rPr>
                <w:rFonts w:ascii="Times New Roman" w:hAnsi="Times New Roman" w:eastAsia="Times New Roman" w:cs="Times New Roman"/>
                <w:spacing w:val="-1"/>
              </w:rPr>
              <w:t xml:space="preserve">4a </w:t>
            </w:r>
            <w:r>
              <w:rPr>
                <w:spacing w:val="-1"/>
              </w:rPr>
              <w:t>类第一排现状</w:t>
            </w:r>
            <w:r>
              <w:t xml:space="preserve"> </w:t>
            </w:r>
            <w:r>
              <w:rPr>
                <w:spacing w:val="-2"/>
              </w:rPr>
              <w:t>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70" w:type="dxa"/>
            <w:vMerge w:val="continue"/>
            <w:tcBorders>
              <w:top w:val="nil"/>
            </w:tcBorders>
            <w:vAlign w:val="top"/>
          </w:tcPr>
          <w:p>
            <w:pPr>
              <w:rPr>
                <w:rFonts w:ascii="Arial"/>
                <w:sz w:val="21"/>
              </w:rPr>
            </w:pPr>
          </w:p>
        </w:tc>
        <w:tc>
          <w:tcPr>
            <w:tcW w:w="1334" w:type="dxa"/>
            <w:vMerge w:val="continue"/>
            <w:tcBorders>
              <w:top w:val="nil"/>
            </w:tcBorders>
            <w:vAlign w:val="top"/>
          </w:tcPr>
          <w:p>
            <w:pPr>
              <w:rPr>
                <w:rFonts w:ascii="Arial"/>
                <w:sz w:val="21"/>
              </w:rPr>
            </w:pPr>
          </w:p>
        </w:tc>
        <w:tc>
          <w:tcPr>
            <w:tcW w:w="1113" w:type="dxa"/>
            <w:vAlign w:val="top"/>
          </w:tcPr>
          <w:p>
            <w:pPr>
              <w:pStyle w:val="6"/>
              <w:spacing w:before="306"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5" w:line="220" w:lineRule="auto"/>
              <w:ind w:left="153"/>
            </w:pPr>
            <w:r>
              <w:rPr>
                <w:spacing w:val="-1"/>
              </w:rPr>
              <w:t>受道路影响较小，现状监测值基本</w:t>
            </w:r>
          </w:p>
          <w:p>
            <w:pPr>
              <w:pStyle w:val="6"/>
              <w:spacing w:before="20" w:line="220" w:lineRule="auto"/>
              <w:ind w:left="177"/>
              <w:rPr>
                <w:rFonts w:ascii="Times New Roman" w:hAnsi="Times New Roman" w:eastAsia="Times New Roman" w:cs="Times New Roman"/>
              </w:rPr>
            </w:pPr>
            <w:r>
              <w:rPr>
                <w:spacing w:val="-6"/>
              </w:rPr>
              <w:t>可以代表本底水平，</w:t>
            </w:r>
            <w:r>
              <w:rPr>
                <w:spacing w:val="-24"/>
              </w:rPr>
              <w:t xml:space="preserve"> </w:t>
            </w:r>
            <w:r>
              <w:rPr>
                <w:spacing w:val="-6"/>
              </w:rPr>
              <w:t>采取墩头垟</w:t>
            </w:r>
            <w:r>
              <w:rPr>
                <w:spacing w:val="-47"/>
              </w:rPr>
              <w:t xml:space="preserve"> </w:t>
            </w:r>
            <w:r>
              <w:rPr>
                <w:rFonts w:ascii="Times New Roman" w:hAnsi="Times New Roman" w:eastAsia="Times New Roman" w:cs="Times New Roman"/>
                <w:spacing w:val="-6"/>
              </w:rPr>
              <w:t>2</w:t>
            </w:r>
          </w:p>
          <w:p>
            <w:pPr>
              <w:pStyle w:val="6"/>
              <w:spacing w:before="20" w:line="206" w:lineRule="auto"/>
              <w:ind w:left="463"/>
            </w:pPr>
            <w:r>
              <w:rPr>
                <w:spacing w:val="-1"/>
              </w:rPr>
              <w:t>类区现状监测值作为背景值</w:t>
            </w:r>
          </w:p>
        </w:tc>
        <w:tc>
          <w:tcPr>
            <w:tcW w:w="2509" w:type="dxa"/>
            <w:vAlign w:val="top"/>
          </w:tcPr>
          <w:p>
            <w:pPr>
              <w:pStyle w:val="6"/>
              <w:spacing w:before="35" w:line="220" w:lineRule="auto"/>
              <w:ind w:left="117"/>
            </w:pPr>
            <w:r>
              <w:rPr>
                <w:spacing w:val="-2"/>
              </w:rPr>
              <w:t>双田村</w:t>
            </w:r>
            <w:r>
              <w:rPr>
                <w:spacing w:val="-54"/>
              </w:rPr>
              <w:t xml:space="preserve"> </w:t>
            </w:r>
            <w:r>
              <w:rPr>
                <w:rFonts w:ascii="Times New Roman" w:hAnsi="Times New Roman" w:eastAsia="Times New Roman" w:cs="Times New Roman"/>
                <w:spacing w:val="-2"/>
              </w:rPr>
              <w:t xml:space="preserve">2 </w:t>
            </w:r>
            <w:r>
              <w:rPr>
                <w:spacing w:val="-2"/>
              </w:rPr>
              <w:t>类区域所处环境</w:t>
            </w:r>
          </w:p>
          <w:p>
            <w:pPr>
              <w:pStyle w:val="6"/>
              <w:spacing w:before="20" w:line="220" w:lineRule="auto"/>
              <w:ind w:left="121"/>
            </w:pPr>
            <w:r>
              <w:rPr>
                <w:spacing w:val="-3"/>
              </w:rPr>
              <w:t>与墩头垟类似，采用墩头</w:t>
            </w:r>
          </w:p>
          <w:p>
            <w:pPr>
              <w:pStyle w:val="6"/>
              <w:spacing w:before="20" w:line="206" w:lineRule="auto"/>
              <w:ind w:left="318"/>
            </w:pPr>
            <w:r>
              <w:rPr>
                <w:spacing w:val="-2"/>
              </w:rPr>
              <w:t>垟</w:t>
            </w:r>
            <w:r>
              <w:rPr>
                <w:spacing w:val="-40"/>
              </w:rPr>
              <w:t xml:space="preserve"> </w:t>
            </w:r>
            <w:r>
              <w:rPr>
                <w:rFonts w:ascii="Times New Roman" w:hAnsi="Times New Roman" w:eastAsia="Times New Roman" w:cs="Times New Roman"/>
                <w:spacing w:val="-2"/>
              </w:rPr>
              <w:t xml:space="preserve">2 </w:t>
            </w:r>
            <w:r>
              <w:rPr>
                <w:spacing w:val="-2"/>
              </w:rPr>
              <w:t>类区现状监测值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70" w:type="dxa"/>
            <w:vAlign w:val="top"/>
          </w:tcPr>
          <w:p>
            <w:pPr>
              <w:spacing w:before="80" w:line="185"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334" w:type="dxa"/>
            <w:vAlign w:val="top"/>
          </w:tcPr>
          <w:p>
            <w:pPr>
              <w:pStyle w:val="6"/>
              <w:spacing w:before="34" w:line="204" w:lineRule="auto"/>
              <w:ind w:left="359"/>
            </w:pPr>
            <w:r>
              <w:rPr>
                <w:spacing w:val="-2"/>
              </w:rPr>
              <w:t>丁坑岭</w:t>
            </w:r>
          </w:p>
        </w:tc>
        <w:tc>
          <w:tcPr>
            <w:tcW w:w="1113" w:type="dxa"/>
            <w:vAlign w:val="top"/>
          </w:tcPr>
          <w:p>
            <w:pPr>
              <w:pStyle w:val="6"/>
              <w:spacing w:before="34" w:line="204"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4" w:line="204" w:lineRule="auto"/>
              <w:ind w:left="518"/>
              <w:rPr>
                <w:rFonts w:ascii="Times New Roman" w:hAnsi="Times New Roman" w:eastAsia="Times New Roman" w:cs="Times New Roman"/>
                <w:sz w:val="13"/>
                <w:szCs w:val="13"/>
              </w:rPr>
            </w:pPr>
            <w:r>
              <w:rPr>
                <w:spacing w:val="-12"/>
              </w:rPr>
              <w:t>受</w:t>
            </w:r>
            <w:r>
              <w:rPr>
                <w:spacing w:val="-43"/>
              </w:rPr>
              <w:t xml:space="preserve"> </w:t>
            </w:r>
            <w:r>
              <w:rPr>
                <w:rFonts w:ascii="Times New Roman" w:hAnsi="Times New Roman" w:eastAsia="Times New Roman" w:cs="Times New Roman"/>
                <w:spacing w:val="-12"/>
              </w:rPr>
              <w:t>322</w:t>
            </w:r>
            <w:r>
              <w:rPr>
                <w:rFonts w:ascii="Times New Roman" w:hAnsi="Times New Roman" w:eastAsia="Times New Roman" w:cs="Times New Roman"/>
                <w:spacing w:val="27"/>
              </w:rPr>
              <w:t xml:space="preserve"> </w:t>
            </w:r>
            <w:r>
              <w:rPr>
                <w:spacing w:val="-12"/>
              </w:rPr>
              <w:t>国道的影响，</w:t>
            </w:r>
            <w:r>
              <w:rPr>
                <w:spacing w:val="-21"/>
              </w:rPr>
              <w:t xml:space="preserve"> </w:t>
            </w:r>
            <w:r>
              <w:rPr>
                <w:spacing w:val="-12"/>
              </w:rPr>
              <w:t>取</w:t>
            </w:r>
            <w:r>
              <w:rPr>
                <w:spacing w:val="-50"/>
              </w:rPr>
              <w:t xml:space="preserve"> </w:t>
            </w:r>
            <w:r>
              <w:rPr>
                <w:rFonts w:ascii="Times New Roman" w:hAnsi="Times New Roman" w:eastAsia="Times New Roman" w:cs="Times New Roman"/>
                <w:spacing w:val="-12"/>
              </w:rPr>
              <w:t>L</w:t>
            </w:r>
            <w:r>
              <w:rPr>
                <w:rFonts w:ascii="Times New Roman" w:hAnsi="Times New Roman" w:eastAsia="Times New Roman" w:cs="Times New Roman"/>
                <w:spacing w:val="9"/>
                <w:position w:val="-1"/>
                <w:sz w:val="13"/>
                <w:szCs w:val="13"/>
              </w:rPr>
              <w:t>90</w:t>
            </w:r>
          </w:p>
        </w:tc>
        <w:tc>
          <w:tcPr>
            <w:tcW w:w="2509" w:type="dxa"/>
            <w:vAlign w:val="top"/>
          </w:tcPr>
          <w:p>
            <w:pPr>
              <w:pStyle w:val="6"/>
              <w:spacing w:before="34" w:line="204" w:lineRule="auto"/>
              <w:ind w:left="425"/>
            </w:pPr>
            <w:r>
              <w:rPr>
                <w:spacing w:val="-1"/>
              </w:rPr>
              <w:t>丁坑岭现状监测值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77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1"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334" w:type="dxa"/>
            <w:vMerge w:val="restart"/>
            <w:tcBorders>
              <w:bottom w:val="nil"/>
            </w:tcBorders>
            <w:vAlign w:val="top"/>
          </w:tcPr>
          <w:p>
            <w:pPr>
              <w:spacing w:line="306" w:lineRule="auto"/>
              <w:rPr>
                <w:rFonts w:ascii="Arial"/>
                <w:sz w:val="21"/>
              </w:rPr>
            </w:pPr>
          </w:p>
          <w:p>
            <w:pPr>
              <w:spacing w:line="306" w:lineRule="auto"/>
              <w:rPr>
                <w:rFonts w:ascii="Arial"/>
                <w:sz w:val="21"/>
              </w:rPr>
            </w:pPr>
          </w:p>
          <w:p>
            <w:pPr>
              <w:spacing w:line="307" w:lineRule="auto"/>
              <w:rPr>
                <w:rFonts w:ascii="Arial"/>
                <w:sz w:val="21"/>
              </w:rPr>
            </w:pPr>
          </w:p>
          <w:p>
            <w:pPr>
              <w:pStyle w:val="6"/>
              <w:spacing w:before="68" w:line="220" w:lineRule="auto"/>
              <w:ind w:left="357"/>
            </w:pPr>
            <w:r>
              <w:rPr>
                <w:spacing w:val="-2"/>
              </w:rPr>
              <w:t>江山村</w:t>
            </w:r>
          </w:p>
        </w:tc>
        <w:tc>
          <w:tcPr>
            <w:tcW w:w="1113" w:type="dxa"/>
            <w:vAlign w:val="top"/>
          </w:tcPr>
          <w:p>
            <w:pPr>
              <w:spacing w:line="372" w:lineRule="auto"/>
              <w:rPr>
                <w:rFonts w:ascii="Arial"/>
                <w:sz w:val="21"/>
              </w:rPr>
            </w:pPr>
          </w:p>
          <w:p>
            <w:pPr>
              <w:pStyle w:val="6"/>
              <w:spacing w:before="69" w:line="221" w:lineRule="auto"/>
              <w:ind w:left="326"/>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3438" w:type="dxa"/>
            <w:vAlign w:val="top"/>
          </w:tcPr>
          <w:p>
            <w:pPr>
              <w:pStyle w:val="6"/>
              <w:spacing w:before="35" w:line="220" w:lineRule="auto"/>
              <w:ind w:left="153"/>
            </w:pPr>
            <w:r>
              <w:rPr>
                <w:spacing w:val="-1"/>
              </w:rPr>
              <w:t>受道路影响较小，现状监测值基本</w:t>
            </w:r>
          </w:p>
          <w:p>
            <w:pPr>
              <w:pStyle w:val="6"/>
              <w:spacing w:before="20" w:line="220" w:lineRule="auto"/>
              <w:ind w:left="150"/>
            </w:pPr>
            <w:r>
              <w:rPr>
                <w:spacing w:val="-6"/>
              </w:rPr>
              <w:t>可以代表本底水平，</w:t>
            </w:r>
            <w:r>
              <w:rPr>
                <w:spacing w:val="-17"/>
              </w:rPr>
              <w:t xml:space="preserve"> </w:t>
            </w:r>
            <w:r>
              <w:rPr>
                <w:spacing w:val="-6"/>
              </w:rPr>
              <w:t>江山村</w:t>
            </w:r>
            <w:r>
              <w:rPr>
                <w:spacing w:val="-48"/>
              </w:rPr>
              <w:t xml:space="preserve"> </w:t>
            </w:r>
            <w:r>
              <w:rPr>
                <w:rFonts w:ascii="Times New Roman" w:hAnsi="Times New Roman" w:eastAsia="Times New Roman" w:cs="Times New Roman"/>
                <w:spacing w:val="-6"/>
              </w:rPr>
              <w:t xml:space="preserve">2 </w:t>
            </w:r>
            <w:r>
              <w:rPr>
                <w:spacing w:val="-6"/>
              </w:rPr>
              <w:t>类区</w:t>
            </w:r>
          </w:p>
          <w:p>
            <w:pPr>
              <w:pStyle w:val="6"/>
              <w:spacing w:before="23" w:line="220" w:lineRule="auto"/>
              <w:ind w:left="175"/>
              <w:rPr>
                <w:rFonts w:ascii="Times New Roman" w:hAnsi="Times New Roman" w:eastAsia="Times New Roman" w:cs="Times New Roman"/>
              </w:rPr>
            </w:pPr>
            <w:r>
              <w:rPr>
                <w:spacing w:val="-1"/>
              </w:rPr>
              <w:t>所处环境与包山类似，采取包山</w:t>
            </w:r>
            <w:r>
              <w:rPr>
                <w:spacing w:val="-40"/>
              </w:rPr>
              <w:t xml:space="preserve"> </w:t>
            </w:r>
            <w:r>
              <w:rPr>
                <w:rFonts w:ascii="Times New Roman" w:hAnsi="Times New Roman" w:eastAsia="Times New Roman" w:cs="Times New Roman"/>
                <w:spacing w:val="-1"/>
              </w:rPr>
              <w:t>2</w:t>
            </w:r>
          </w:p>
          <w:p>
            <w:pPr>
              <w:pStyle w:val="6"/>
              <w:spacing w:before="21" w:line="205" w:lineRule="auto"/>
              <w:ind w:left="463"/>
            </w:pPr>
            <w:r>
              <w:rPr>
                <w:spacing w:val="-1"/>
              </w:rPr>
              <w:t>类区现状监测值作为背景值</w:t>
            </w:r>
          </w:p>
        </w:tc>
        <w:tc>
          <w:tcPr>
            <w:tcW w:w="2509" w:type="dxa"/>
            <w:vAlign w:val="top"/>
          </w:tcPr>
          <w:p>
            <w:pPr>
              <w:pStyle w:val="6"/>
              <w:spacing w:before="35" w:line="233" w:lineRule="auto"/>
              <w:ind w:left="164" w:right="150" w:firstLine="1"/>
            </w:pPr>
            <w:r>
              <w:rPr>
                <w:spacing w:val="-1"/>
              </w:rPr>
              <w:t>江山村</w:t>
            </w:r>
            <w:r>
              <w:rPr>
                <w:spacing w:val="-48"/>
              </w:rPr>
              <w:t xml:space="preserve"> </w:t>
            </w:r>
            <w:r>
              <w:rPr>
                <w:rFonts w:ascii="Times New Roman" w:hAnsi="Times New Roman" w:eastAsia="Times New Roman" w:cs="Times New Roman"/>
                <w:spacing w:val="-1"/>
              </w:rPr>
              <w:t xml:space="preserve">4a </w:t>
            </w:r>
            <w:r>
              <w:rPr>
                <w:spacing w:val="-1"/>
              </w:rPr>
              <w:t>类区所处环境</w:t>
            </w:r>
            <w:r>
              <w:t xml:space="preserve"> </w:t>
            </w:r>
            <w:r>
              <w:rPr>
                <w:spacing w:val="-5"/>
              </w:rPr>
              <w:t>与双田村</w:t>
            </w:r>
            <w:r>
              <w:rPr>
                <w:spacing w:val="-46"/>
              </w:rPr>
              <w:t xml:space="preserve"> </w:t>
            </w:r>
            <w:r>
              <w:rPr>
                <w:rFonts w:ascii="Times New Roman" w:hAnsi="Times New Roman" w:eastAsia="Times New Roman" w:cs="Times New Roman"/>
                <w:spacing w:val="-5"/>
              </w:rPr>
              <w:t xml:space="preserve">4a </w:t>
            </w:r>
            <w:r>
              <w:rPr>
                <w:spacing w:val="-5"/>
              </w:rPr>
              <w:t>类区类似，</w:t>
            </w:r>
            <w:r>
              <w:t xml:space="preserve"> </w:t>
            </w:r>
            <w:r>
              <w:rPr>
                <w:spacing w:val="-1"/>
              </w:rPr>
              <w:t>采用双田村</w:t>
            </w:r>
            <w:r>
              <w:rPr>
                <w:spacing w:val="-46"/>
              </w:rPr>
              <w:t xml:space="preserve"> </w:t>
            </w:r>
            <w:r>
              <w:rPr>
                <w:rFonts w:ascii="Times New Roman" w:hAnsi="Times New Roman" w:eastAsia="Times New Roman" w:cs="Times New Roman"/>
                <w:spacing w:val="-1"/>
              </w:rPr>
              <w:t xml:space="preserve">4a </w:t>
            </w:r>
            <w:r>
              <w:rPr>
                <w:spacing w:val="-1"/>
              </w:rPr>
              <w:t>类区现状</w:t>
            </w:r>
          </w:p>
          <w:p>
            <w:pPr>
              <w:pStyle w:val="6"/>
              <w:spacing w:before="21" w:line="205" w:lineRule="auto"/>
              <w:ind w:left="946"/>
            </w:pPr>
            <w:r>
              <w:rPr>
                <w:spacing w:val="-2"/>
              </w:rPr>
              <w:t>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70" w:type="dxa"/>
            <w:vMerge w:val="continue"/>
            <w:tcBorders>
              <w:top w:val="nil"/>
            </w:tcBorders>
            <w:vAlign w:val="top"/>
          </w:tcPr>
          <w:p>
            <w:pPr>
              <w:rPr>
                <w:rFonts w:ascii="Arial"/>
                <w:sz w:val="21"/>
              </w:rPr>
            </w:pPr>
          </w:p>
        </w:tc>
        <w:tc>
          <w:tcPr>
            <w:tcW w:w="1334" w:type="dxa"/>
            <w:vMerge w:val="continue"/>
            <w:tcBorders>
              <w:top w:val="nil"/>
            </w:tcBorders>
            <w:vAlign w:val="top"/>
          </w:tcPr>
          <w:p>
            <w:pPr>
              <w:rPr>
                <w:rFonts w:ascii="Arial"/>
                <w:sz w:val="21"/>
              </w:rPr>
            </w:pPr>
          </w:p>
        </w:tc>
        <w:tc>
          <w:tcPr>
            <w:tcW w:w="1113" w:type="dxa"/>
            <w:vAlign w:val="top"/>
          </w:tcPr>
          <w:p>
            <w:pPr>
              <w:spacing w:line="371" w:lineRule="auto"/>
              <w:rPr>
                <w:rFonts w:ascii="Arial"/>
                <w:sz w:val="21"/>
              </w:rPr>
            </w:pPr>
          </w:p>
          <w:p>
            <w:pPr>
              <w:pStyle w:val="6"/>
              <w:spacing w:before="69"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4" w:line="220" w:lineRule="auto"/>
              <w:ind w:left="153"/>
            </w:pPr>
            <w:r>
              <w:rPr>
                <w:spacing w:val="-1"/>
              </w:rPr>
              <w:t>受道路影响较小，现状监测值基本</w:t>
            </w:r>
          </w:p>
          <w:p>
            <w:pPr>
              <w:pStyle w:val="6"/>
              <w:spacing w:before="20" w:line="220" w:lineRule="auto"/>
              <w:ind w:left="150"/>
            </w:pPr>
            <w:r>
              <w:rPr>
                <w:spacing w:val="-6"/>
              </w:rPr>
              <w:t>可以代表本底水平，</w:t>
            </w:r>
            <w:r>
              <w:rPr>
                <w:spacing w:val="-17"/>
              </w:rPr>
              <w:t xml:space="preserve"> </w:t>
            </w:r>
            <w:r>
              <w:rPr>
                <w:spacing w:val="-6"/>
              </w:rPr>
              <w:t>江山村</w:t>
            </w:r>
            <w:r>
              <w:rPr>
                <w:spacing w:val="-48"/>
              </w:rPr>
              <w:t xml:space="preserve"> </w:t>
            </w:r>
            <w:r>
              <w:rPr>
                <w:rFonts w:ascii="Times New Roman" w:hAnsi="Times New Roman" w:eastAsia="Times New Roman" w:cs="Times New Roman"/>
                <w:spacing w:val="-6"/>
              </w:rPr>
              <w:t xml:space="preserve">2 </w:t>
            </w:r>
            <w:r>
              <w:rPr>
                <w:spacing w:val="-6"/>
              </w:rPr>
              <w:t>类区</w:t>
            </w:r>
          </w:p>
          <w:p>
            <w:pPr>
              <w:pStyle w:val="6"/>
              <w:spacing w:before="23" w:line="220" w:lineRule="auto"/>
              <w:ind w:left="175"/>
              <w:rPr>
                <w:rFonts w:ascii="Times New Roman" w:hAnsi="Times New Roman" w:eastAsia="Times New Roman" w:cs="Times New Roman"/>
              </w:rPr>
            </w:pPr>
            <w:r>
              <w:rPr>
                <w:spacing w:val="-1"/>
              </w:rPr>
              <w:t>所处环境与包山类似，采取包山</w:t>
            </w:r>
            <w:r>
              <w:rPr>
                <w:spacing w:val="-40"/>
              </w:rPr>
              <w:t xml:space="preserve"> </w:t>
            </w:r>
            <w:r>
              <w:rPr>
                <w:rFonts w:ascii="Times New Roman" w:hAnsi="Times New Roman" w:eastAsia="Times New Roman" w:cs="Times New Roman"/>
                <w:spacing w:val="-1"/>
              </w:rPr>
              <w:t>2</w:t>
            </w:r>
          </w:p>
          <w:p>
            <w:pPr>
              <w:pStyle w:val="6"/>
              <w:spacing w:before="21" w:line="204" w:lineRule="auto"/>
              <w:ind w:left="463"/>
            </w:pPr>
            <w:r>
              <w:rPr>
                <w:spacing w:val="-1"/>
              </w:rPr>
              <w:t>类区现状监测值作为背景值</w:t>
            </w:r>
          </w:p>
        </w:tc>
        <w:tc>
          <w:tcPr>
            <w:tcW w:w="2509" w:type="dxa"/>
            <w:vAlign w:val="top"/>
          </w:tcPr>
          <w:p>
            <w:pPr>
              <w:pStyle w:val="6"/>
              <w:spacing w:before="171" w:line="220" w:lineRule="auto"/>
              <w:ind w:left="118"/>
            </w:pPr>
            <w:r>
              <w:rPr>
                <w:spacing w:val="-2"/>
              </w:rPr>
              <w:t>江山村</w:t>
            </w:r>
            <w:r>
              <w:rPr>
                <w:spacing w:val="-55"/>
              </w:rPr>
              <w:t xml:space="preserve"> </w:t>
            </w:r>
            <w:r>
              <w:rPr>
                <w:rFonts w:ascii="Times New Roman" w:hAnsi="Times New Roman" w:eastAsia="Times New Roman" w:cs="Times New Roman"/>
                <w:spacing w:val="-2"/>
              </w:rPr>
              <w:t xml:space="preserve">2 </w:t>
            </w:r>
            <w:r>
              <w:rPr>
                <w:spacing w:val="-2"/>
              </w:rPr>
              <w:t>类区所处环境与</w:t>
            </w:r>
          </w:p>
          <w:p>
            <w:pPr>
              <w:pStyle w:val="6"/>
              <w:spacing w:before="20" w:line="220" w:lineRule="auto"/>
              <w:ind w:left="117"/>
            </w:pPr>
            <w:r>
              <w:rPr>
                <w:spacing w:val="-3"/>
              </w:rPr>
              <w:t>包山</w:t>
            </w:r>
            <w:r>
              <w:rPr>
                <w:spacing w:val="-42"/>
              </w:rPr>
              <w:t xml:space="preserve"> </w:t>
            </w:r>
            <w:r>
              <w:rPr>
                <w:rFonts w:ascii="Times New Roman" w:hAnsi="Times New Roman" w:eastAsia="Times New Roman" w:cs="Times New Roman"/>
                <w:spacing w:val="-3"/>
              </w:rPr>
              <w:t xml:space="preserve">2 </w:t>
            </w:r>
            <w:r>
              <w:rPr>
                <w:spacing w:val="-3"/>
              </w:rPr>
              <w:t>类区类似，采取包</w:t>
            </w:r>
          </w:p>
          <w:p>
            <w:pPr>
              <w:pStyle w:val="6"/>
              <w:spacing w:before="23" w:line="221" w:lineRule="auto"/>
              <w:ind w:left="335"/>
            </w:pPr>
            <w:r>
              <w:rPr>
                <w:spacing w:val="-3"/>
              </w:rPr>
              <w:t>山</w:t>
            </w:r>
            <w:r>
              <w:rPr>
                <w:spacing w:val="-47"/>
              </w:rPr>
              <w:t xml:space="preserve"> </w:t>
            </w:r>
            <w:r>
              <w:rPr>
                <w:rFonts w:ascii="Times New Roman" w:hAnsi="Times New Roman" w:eastAsia="Times New Roman" w:cs="Times New Roman"/>
                <w:spacing w:val="-3"/>
              </w:rPr>
              <w:t xml:space="preserve">2 </w:t>
            </w:r>
            <w:r>
              <w:rPr>
                <w:spacing w:val="-3"/>
              </w:rPr>
              <w:t>类区现状监测值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77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61"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334" w:type="dxa"/>
            <w:vMerge w:val="restart"/>
            <w:tcBorders>
              <w:bottom w:val="nil"/>
            </w:tcBorders>
            <w:vAlign w:val="top"/>
          </w:tcPr>
          <w:p>
            <w:pPr>
              <w:spacing w:line="306"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8" w:line="228" w:lineRule="auto"/>
              <w:ind w:left="461"/>
            </w:pPr>
            <w:r>
              <w:rPr>
                <w:spacing w:val="-2"/>
              </w:rPr>
              <w:t>包山</w:t>
            </w:r>
          </w:p>
        </w:tc>
        <w:tc>
          <w:tcPr>
            <w:tcW w:w="1113" w:type="dxa"/>
            <w:tcBorders>
              <w:bottom w:val="single" w:color="000000" w:sz="4" w:space="0"/>
            </w:tcBorders>
            <w:vAlign w:val="top"/>
          </w:tcPr>
          <w:p>
            <w:pPr>
              <w:spacing w:line="373" w:lineRule="auto"/>
              <w:rPr>
                <w:rFonts w:ascii="Arial"/>
                <w:sz w:val="21"/>
              </w:rPr>
            </w:pPr>
          </w:p>
          <w:p>
            <w:pPr>
              <w:pStyle w:val="6"/>
              <w:spacing w:before="68" w:line="221" w:lineRule="auto"/>
              <w:ind w:left="326"/>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3438" w:type="dxa"/>
            <w:tcBorders>
              <w:bottom w:val="single" w:color="000000" w:sz="4" w:space="0"/>
            </w:tcBorders>
            <w:vAlign w:val="top"/>
          </w:tcPr>
          <w:p>
            <w:pPr>
              <w:pStyle w:val="6"/>
              <w:spacing w:before="172" w:line="220" w:lineRule="auto"/>
              <w:ind w:left="153"/>
            </w:pPr>
            <w:r>
              <w:rPr>
                <w:spacing w:val="-1"/>
              </w:rPr>
              <w:t>受道路影响较小，现状监测值基本</w:t>
            </w:r>
          </w:p>
          <w:p>
            <w:pPr>
              <w:pStyle w:val="6"/>
              <w:spacing w:before="20" w:line="220" w:lineRule="auto"/>
              <w:ind w:left="150"/>
            </w:pPr>
            <w:r>
              <w:rPr>
                <w:spacing w:val="-6"/>
              </w:rPr>
              <w:t>可以代表本底水平，</w:t>
            </w:r>
            <w:r>
              <w:rPr>
                <w:spacing w:val="-14"/>
              </w:rPr>
              <w:t xml:space="preserve"> </w:t>
            </w:r>
            <w:r>
              <w:rPr>
                <w:spacing w:val="-6"/>
              </w:rPr>
              <w:t>采取包山</w:t>
            </w:r>
            <w:r>
              <w:rPr>
                <w:spacing w:val="-48"/>
              </w:rPr>
              <w:t xml:space="preserve"> </w:t>
            </w:r>
            <w:r>
              <w:rPr>
                <w:rFonts w:ascii="Times New Roman" w:hAnsi="Times New Roman" w:eastAsia="Times New Roman" w:cs="Times New Roman"/>
                <w:spacing w:val="-6"/>
              </w:rPr>
              <w:t xml:space="preserve">2 </w:t>
            </w:r>
            <w:r>
              <w:rPr>
                <w:spacing w:val="-6"/>
              </w:rPr>
              <w:t>类</w:t>
            </w:r>
          </w:p>
          <w:p>
            <w:pPr>
              <w:pStyle w:val="6"/>
              <w:spacing w:before="23" w:line="221" w:lineRule="auto"/>
              <w:ind w:left="584"/>
            </w:pPr>
            <w:r>
              <w:rPr>
                <w:spacing w:val="-2"/>
              </w:rPr>
              <w:t>区现状监测值作为背景值</w:t>
            </w:r>
          </w:p>
        </w:tc>
        <w:tc>
          <w:tcPr>
            <w:tcW w:w="2509" w:type="dxa"/>
            <w:tcBorders>
              <w:bottom w:val="single" w:color="000000" w:sz="4" w:space="0"/>
            </w:tcBorders>
            <w:vAlign w:val="top"/>
          </w:tcPr>
          <w:p>
            <w:pPr>
              <w:pStyle w:val="6"/>
              <w:spacing w:before="35" w:line="221" w:lineRule="auto"/>
              <w:ind w:left="165"/>
            </w:pPr>
            <w:r>
              <w:rPr>
                <w:spacing w:val="-1"/>
              </w:rPr>
              <w:t>包山</w:t>
            </w:r>
            <w:r>
              <w:rPr>
                <w:spacing w:val="-47"/>
              </w:rPr>
              <w:t xml:space="preserve"> </w:t>
            </w:r>
            <w:r>
              <w:rPr>
                <w:rFonts w:ascii="Times New Roman" w:hAnsi="Times New Roman" w:eastAsia="Times New Roman" w:cs="Times New Roman"/>
                <w:spacing w:val="-1"/>
              </w:rPr>
              <w:t xml:space="preserve">4a </w:t>
            </w:r>
            <w:r>
              <w:rPr>
                <w:spacing w:val="-1"/>
              </w:rPr>
              <w:t>类区所处环境与</w:t>
            </w:r>
          </w:p>
          <w:p>
            <w:pPr>
              <w:pStyle w:val="6"/>
              <w:spacing w:before="20" w:line="220" w:lineRule="auto"/>
              <w:ind w:left="165"/>
            </w:pPr>
            <w:r>
              <w:rPr>
                <w:spacing w:val="-2"/>
              </w:rPr>
              <w:t>双田村</w:t>
            </w:r>
            <w:r>
              <w:rPr>
                <w:spacing w:val="-39"/>
              </w:rPr>
              <w:t xml:space="preserve"> </w:t>
            </w:r>
            <w:r>
              <w:rPr>
                <w:rFonts w:ascii="Times New Roman" w:hAnsi="Times New Roman" w:eastAsia="Times New Roman" w:cs="Times New Roman"/>
                <w:spacing w:val="-2"/>
              </w:rPr>
              <w:t xml:space="preserve">4a </w:t>
            </w:r>
            <w:r>
              <w:rPr>
                <w:spacing w:val="-2"/>
              </w:rPr>
              <w:t>类区类似，采</w:t>
            </w:r>
          </w:p>
          <w:p>
            <w:pPr>
              <w:pStyle w:val="6"/>
              <w:spacing w:before="23" w:line="220" w:lineRule="auto"/>
              <w:ind w:left="166"/>
            </w:pPr>
            <w:r>
              <w:rPr>
                <w:spacing w:val="-1"/>
              </w:rPr>
              <w:t>用双田村</w:t>
            </w:r>
            <w:r>
              <w:rPr>
                <w:spacing w:val="-48"/>
              </w:rPr>
              <w:t xml:space="preserve"> </w:t>
            </w:r>
            <w:r>
              <w:rPr>
                <w:rFonts w:ascii="Times New Roman" w:hAnsi="Times New Roman" w:eastAsia="Times New Roman" w:cs="Times New Roman"/>
                <w:spacing w:val="-1"/>
              </w:rPr>
              <w:t xml:space="preserve">4a </w:t>
            </w:r>
            <w:r>
              <w:rPr>
                <w:spacing w:val="-1"/>
              </w:rPr>
              <w:t>类区现状监</w:t>
            </w:r>
          </w:p>
          <w:p>
            <w:pPr>
              <w:pStyle w:val="6"/>
              <w:spacing w:before="20" w:line="205" w:lineRule="auto"/>
              <w:ind w:left="1052"/>
            </w:pPr>
            <w:r>
              <w:rPr>
                <w:spacing w:val="-2"/>
              </w:rPr>
              <w:t>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770" w:type="dxa"/>
            <w:vMerge w:val="continue"/>
            <w:tcBorders>
              <w:top w:val="nil"/>
            </w:tcBorders>
            <w:vAlign w:val="top"/>
          </w:tcPr>
          <w:p>
            <w:pPr>
              <w:rPr>
                <w:rFonts w:ascii="Arial"/>
                <w:sz w:val="21"/>
              </w:rPr>
            </w:pPr>
          </w:p>
        </w:tc>
        <w:tc>
          <w:tcPr>
            <w:tcW w:w="1334" w:type="dxa"/>
            <w:vMerge w:val="continue"/>
            <w:tcBorders>
              <w:top w:val="nil"/>
            </w:tcBorders>
            <w:vAlign w:val="top"/>
          </w:tcPr>
          <w:p>
            <w:pPr>
              <w:rPr>
                <w:rFonts w:ascii="Arial"/>
                <w:sz w:val="21"/>
              </w:rPr>
            </w:pPr>
          </w:p>
        </w:tc>
        <w:tc>
          <w:tcPr>
            <w:tcW w:w="1113" w:type="dxa"/>
            <w:tcBorders>
              <w:top w:val="single" w:color="000000" w:sz="4" w:space="0"/>
            </w:tcBorders>
            <w:vAlign w:val="top"/>
          </w:tcPr>
          <w:p>
            <w:pPr>
              <w:spacing w:line="367" w:lineRule="auto"/>
              <w:rPr>
                <w:rFonts w:ascii="Arial"/>
                <w:sz w:val="21"/>
              </w:rPr>
            </w:pPr>
          </w:p>
          <w:p>
            <w:pPr>
              <w:pStyle w:val="6"/>
              <w:spacing w:before="69"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tcBorders>
              <w:top w:val="single" w:color="000000" w:sz="4" w:space="0"/>
            </w:tcBorders>
            <w:vAlign w:val="top"/>
          </w:tcPr>
          <w:p>
            <w:pPr>
              <w:pStyle w:val="6"/>
              <w:spacing w:before="30" w:line="221" w:lineRule="auto"/>
              <w:ind w:right="17"/>
              <w:jc w:val="right"/>
            </w:pPr>
            <w:r>
              <w:rPr>
                <w:spacing w:val="-4"/>
              </w:rPr>
              <w:t>距离连接线较远，受道路影响较小，</w:t>
            </w:r>
          </w:p>
          <w:p>
            <w:pPr>
              <w:pStyle w:val="6"/>
              <w:spacing w:before="20" w:line="220" w:lineRule="auto"/>
              <w:ind w:left="254"/>
            </w:pPr>
            <w:r>
              <w:rPr>
                <w:spacing w:val="-1"/>
              </w:rPr>
              <w:t>现状监测值基本可以代表本底水</w:t>
            </w:r>
          </w:p>
          <w:p>
            <w:pPr>
              <w:pStyle w:val="6"/>
              <w:spacing w:before="23" w:line="220" w:lineRule="auto"/>
              <w:ind w:left="148"/>
            </w:pPr>
            <w:r>
              <w:rPr>
                <w:spacing w:val="-1"/>
              </w:rPr>
              <w:t>平，采取包山</w:t>
            </w:r>
            <w:r>
              <w:rPr>
                <w:spacing w:val="-40"/>
              </w:rPr>
              <w:t xml:space="preserve"> </w:t>
            </w:r>
            <w:r>
              <w:rPr>
                <w:rFonts w:ascii="Times New Roman" w:hAnsi="Times New Roman" w:eastAsia="Times New Roman" w:cs="Times New Roman"/>
                <w:spacing w:val="-1"/>
              </w:rPr>
              <w:t xml:space="preserve">2 </w:t>
            </w:r>
            <w:r>
              <w:rPr>
                <w:spacing w:val="-1"/>
              </w:rPr>
              <w:t>类区现状监测值作</w:t>
            </w:r>
          </w:p>
          <w:p>
            <w:pPr>
              <w:pStyle w:val="6"/>
              <w:spacing w:before="21" w:line="204" w:lineRule="auto"/>
              <w:ind w:left="1306"/>
            </w:pPr>
            <w:r>
              <w:rPr>
                <w:spacing w:val="-2"/>
              </w:rPr>
              <w:t>为背景值</w:t>
            </w:r>
          </w:p>
        </w:tc>
        <w:tc>
          <w:tcPr>
            <w:tcW w:w="2509" w:type="dxa"/>
            <w:tcBorders>
              <w:top w:val="single" w:color="000000" w:sz="4" w:space="0"/>
            </w:tcBorders>
            <w:vAlign w:val="top"/>
          </w:tcPr>
          <w:p>
            <w:pPr>
              <w:spacing w:line="367" w:lineRule="auto"/>
              <w:rPr>
                <w:rFonts w:ascii="Arial"/>
                <w:sz w:val="21"/>
              </w:rPr>
            </w:pPr>
          </w:p>
          <w:p>
            <w:pPr>
              <w:pStyle w:val="6"/>
              <w:spacing w:before="69" w:line="221" w:lineRule="auto"/>
              <w:ind w:left="210"/>
            </w:pPr>
            <w:r>
              <w:rPr>
                <w:spacing w:val="-1"/>
              </w:rPr>
              <w:t>包山</w:t>
            </w:r>
            <w:r>
              <w:rPr>
                <w:spacing w:val="-47"/>
              </w:rPr>
              <w:t xml:space="preserve"> </w:t>
            </w:r>
            <w:r>
              <w:rPr>
                <w:rFonts w:ascii="Times New Roman" w:hAnsi="Times New Roman" w:eastAsia="Times New Roman" w:cs="Times New Roman"/>
                <w:spacing w:val="-1"/>
              </w:rPr>
              <w:t xml:space="preserve">2 </w:t>
            </w:r>
            <w:r>
              <w:rPr>
                <w:spacing w:val="-1"/>
              </w:rPr>
              <w:t>类区现状监测值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77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60"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334" w:type="dxa"/>
            <w:vMerge w:val="restart"/>
            <w:tcBorders>
              <w:bottom w:val="nil"/>
            </w:tcBorders>
            <w:vAlign w:val="top"/>
          </w:tcPr>
          <w:p>
            <w:pPr>
              <w:spacing w:line="306"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8" w:line="221" w:lineRule="auto"/>
              <w:ind w:left="462"/>
            </w:pPr>
            <w:r>
              <w:rPr>
                <w:spacing w:val="-2"/>
              </w:rPr>
              <w:t>凤鸣</w:t>
            </w:r>
          </w:p>
        </w:tc>
        <w:tc>
          <w:tcPr>
            <w:tcW w:w="1113" w:type="dxa"/>
            <w:vAlign w:val="top"/>
          </w:tcPr>
          <w:p>
            <w:pPr>
              <w:spacing w:line="373" w:lineRule="auto"/>
              <w:rPr>
                <w:rFonts w:ascii="Arial"/>
                <w:sz w:val="21"/>
              </w:rPr>
            </w:pPr>
          </w:p>
          <w:p>
            <w:pPr>
              <w:pStyle w:val="6"/>
              <w:spacing w:before="68" w:line="221" w:lineRule="auto"/>
              <w:ind w:left="326"/>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3438" w:type="dxa"/>
            <w:vAlign w:val="top"/>
          </w:tcPr>
          <w:p>
            <w:pPr>
              <w:pStyle w:val="6"/>
              <w:spacing w:before="36" w:line="220" w:lineRule="auto"/>
              <w:ind w:left="153"/>
            </w:pPr>
            <w:r>
              <w:rPr>
                <w:spacing w:val="-1"/>
              </w:rPr>
              <w:t>受道路影响较小，现状监测值基本</w:t>
            </w:r>
          </w:p>
          <w:p>
            <w:pPr>
              <w:pStyle w:val="6"/>
              <w:spacing w:before="23" w:line="220" w:lineRule="auto"/>
              <w:ind w:left="150"/>
            </w:pPr>
            <w:r>
              <w:rPr>
                <w:spacing w:val="-6"/>
              </w:rPr>
              <w:t>可以代表本底水平，</w:t>
            </w:r>
            <w:r>
              <w:rPr>
                <w:spacing w:val="-20"/>
              </w:rPr>
              <w:t xml:space="preserve"> </w:t>
            </w:r>
            <w:r>
              <w:rPr>
                <w:spacing w:val="-6"/>
              </w:rPr>
              <w:t>凤鸣</w:t>
            </w:r>
            <w:r>
              <w:rPr>
                <w:spacing w:val="-50"/>
              </w:rPr>
              <w:t xml:space="preserve"> </w:t>
            </w:r>
            <w:r>
              <w:rPr>
                <w:rFonts w:ascii="Times New Roman" w:hAnsi="Times New Roman" w:eastAsia="Times New Roman" w:cs="Times New Roman"/>
                <w:spacing w:val="-6"/>
              </w:rPr>
              <w:t xml:space="preserve">2 </w:t>
            </w:r>
            <w:r>
              <w:rPr>
                <w:spacing w:val="-6"/>
              </w:rPr>
              <w:t>类区所</w:t>
            </w:r>
          </w:p>
          <w:p>
            <w:pPr>
              <w:pStyle w:val="6"/>
              <w:spacing w:before="20" w:line="220" w:lineRule="auto"/>
              <w:ind w:left="153"/>
            </w:pPr>
            <w:r>
              <w:rPr>
                <w:spacing w:val="-6"/>
              </w:rPr>
              <w:t>处环境与包山类似，</w:t>
            </w:r>
            <w:r>
              <w:rPr>
                <w:spacing w:val="-17"/>
              </w:rPr>
              <w:t xml:space="preserve"> </w:t>
            </w:r>
            <w:r>
              <w:rPr>
                <w:spacing w:val="-6"/>
              </w:rPr>
              <w:t>采取包山</w:t>
            </w:r>
            <w:r>
              <w:rPr>
                <w:spacing w:val="-47"/>
              </w:rPr>
              <w:t xml:space="preserve"> </w:t>
            </w:r>
            <w:r>
              <w:rPr>
                <w:rFonts w:ascii="Times New Roman" w:hAnsi="Times New Roman" w:eastAsia="Times New Roman" w:cs="Times New Roman"/>
                <w:spacing w:val="-6"/>
              </w:rPr>
              <w:t xml:space="preserve">2 </w:t>
            </w:r>
            <w:r>
              <w:rPr>
                <w:spacing w:val="-6"/>
              </w:rPr>
              <w:t>类</w:t>
            </w:r>
          </w:p>
          <w:p>
            <w:pPr>
              <w:pStyle w:val="6"/>
              <w:spacing w:before="20" w:line="205" w:lineRule="auto"/>
              <w:ind w:left="584"/>
            </w:pPr>
            <w:r>
              <w:rPr>
                <w:spacing w:val="-2"/>
              </w:rPr>
              <w:t>区现状监测值作为背景值</w:t>
            </w:r>
          </w:p>
        </w:tc>
        <w:tc>
          <w:tcPr>
            <w:tcW w:w="2509" w:type="dxa"/>
            <w:vAlign w:val="top"/>
          </w:tcPr>
          <w:p>
            <w:pPr>
              <w:pStyle w:val="6"/>
              <w:spacing w:before="35" w:line="221" w:lineRule="auto"/>
              <w:ind w:left="166"/>
            </w:pPr>
            <w:r>
              <w:rPr>
                <w:spacing w:val="-1"/>
              </w:rPr>
              <w:t>凤鸣</w:t>
            </w:r>
            <w:r>
              <w:rPr>
                <w:spacing w:val="-47"/>
              </w:rPr>
              <w:t xml:space="preserve"> </w:t>
            </w:r>
            <w:r>
              <w:rPr>
                <w:rFonts w:ascii="Times New Roman" w:hAnsi="Times New Roman" w:eastAsia="Times New Roman" w:cs="Times New Roman"/>
                <w:spacing w:val="-1"/>
              </w:rPr>
              <w:t xml:space="preserve">4a </w:t>
            </w:r>
            <w:r>
              <w:rPr>
                <w:spacing w:val="-1"/>
              </w:rPr>
              <w:t>类区所处环境与</w:t>
            </w:r>
          </w:p>
          <w:p>
            <w:pPr>
              <w:pStyle w:val="6"/>
              <w:spacing w:before="22" w:line="220" w:lineRule="auto"/>
              <w:ind w:left="165"/>
            </w:pPr>
            <w:r>
              <w:rPr>
                <w:spacing w:val="-2"/>
              </w:rPr>
              <w:t>双田村</w:t>
            </w:r>
            <w:r>
              <w:rPr>
                <w:spacing w:val="-39"/>
              </w:rPr>
              <w:t xml:space="preserve"> </w:t>
            </w:r>
            <w:r>
              <w:rPr>
                <w:rFonts w:ascii="Times New Roman" w:hAnsi="Times New Roman" w:eastAsia="Times New Roman" w:cs="Times New Roman"/>
                <w:spacing w:val="-2"/>
              </w:rPr>
              <w:t xml:space="preserve">4a </w:t>
            </w:r>
            <w:r>
              <w:rPr>
                <w:spacing w:val="-2"/>
              </w:rPr>
              <w:t>类区类似，采</w:t>
            </w:r>
          </w:p>
          <w:p>
            <w:pPr>
              <w:pStyle w:val="6"/>
              <w:spacing w:before="20" w:line="220" w:lineRule="auto"/>
              <w:ind w:left="166"/>
            </w:pPr>
            <w:r>
              <w:rPr>
                <w:spacing w:val="-1"/>
              </w:rPr>
              <w:t>用双田村</w:t>
            </w:r>
            <w:r>
              <w:rPr>
                <w:spacing w:val="-48"/>
              </w:rPr>
              <w:t xml:space="preserve"> </w:t>
            </w:r>
            <w:r>
              <w:rPr>
                <w:rFonts w:ascii="Times New Roman" w:hAnsi="Times New Roman" w:eastAsia="Times New Roman" w:cs="Times New Roman"/>
                <w:spacing w:val="-1"/>
              </w:rPr>
              <w:t xml:space="preserve">4a </w:t>
            </w:r>
            <w:r>
              <w:rPr>
                <w:spacing w:val="-1"/>
              </w:rPr>
              <w:t>类区现状监</w:t>
            </w:r>
          </w:p>
          <w:p>
            <w:pPr>
              <w:pStyle w:val="6"/>
              <w:spacing w:before="20" w:line="205" w:lineRule="auto"/>
              <w:ind w:left="1052"/>
            </w:pPr>
            <w:r>
              <w:rPr>
                <w:spacing w:val="-2"/>
              </w:rPr>
              <w:t>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770" w:type="dxa"/>
            <w:vMerge w:val="continue"/>
            <w:tcBorders>
              <w:top w:val="nil"/>
            </w:tcBorders>
            <w:vAlign w:val="top"/>
          </w:tcPr>
          <w:p>
            <w:pPr>
              <w:rPr>
                <w:rFonts w:ascii="Arial"/>
                <w:sz w:val="21"/>
              </w:rPr>
            </w:pPr>
          </w:p>
        </w:tc>
        <w:tc>
          <w:tcPr>
            <w:tcW w:w="1334" w:type="dxa"/>
            <w:vMerge w:val="continue"/>
            <w:tcBorders>
              <w:top w:val="nil"/>
            </w:tcBorders>
            <w:vAlign w:val="top"/>
          </w:tcPr>
          <w:p>
            <w:pPr>
              <w:rPr>
                <w:rFonts w:ascii="Arial"/>
                <w:sz w:val="21"/>
              </w:rPr>
            </w:pPr>
          </w:p>
        </w:tc>
        <w:tc>
          <w:tcPr>
            <w:tcW w:w="1113" w:type="dxa"/>
            <w:vAlign w:val="top"/>
          </w:tcPr>
          <w:p>
            <w:pPr>
              <w:spacing w:line="372" w:lineRule="auto"/>
              <w:rPr>
                <w:rFonts w:ascii="Arial"/>
                <w:sz w:val="21"/>
              </w:rPr>
            </w:pPr>
          </w:p>
          <w:p>
            <w:pPr>
              <w:pStyle w:val="6"/>
              <w:spacing w:before="68"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5" w:line="220" w:lineRule="auto"/>
              <w:ind w:left="153"/>
            </w:pPr>
            <w:r>
              <w:rPr>
                <w:spacing w:val="-1"/>
              </w:rPr>
              <w:t>受道路影响较小，现状监测值基本</w:t>
            </w:r>
          </w:p>
          <w:p>
            <w:pPr>
              <w:pStyle w:val="6"/>
              <w:spacing w:before="23" w:line="220" w:lineRule="auto"/>
              <w:ind w:left="150"/>
            </w:pPr>
            <w:r>
              <w:rPr>
                <w:spacing w:val="-6"/>
              </w:rPr>
              <w:t>可以代表本底水平，</w:t>
            </w:r>
            <w:r>
              <w:rPr>
                <w:spacing w:val="-20"/>
              </w:rPr>
              <w:t xml:space="preserve"> </w:t>
            </w:r>
            <w:r>
              <w:rPr>
                <w:spacing w:val="-6"/>
              </w:rPr>
              <w:t>凤鸣</w:t>
            </w:r>
            <w:r>
              <w:rPr>
                <w:spacing w:val="-50"/>
              </w:rPr>
              <w:t xml:space="preserve"> </w:t>
            </w:r>
            <w:r>
              <w:rPr>
                <w:rFonts w:ascii="Times New Roman" w:hAnsi="Times New Roman" w:eastAsia="Times New Roman" w:cs="Times New Roman"/>
                <w:spacing w:val="-6"/>
              </w:rPr>
              <w:t xml:space="preserve">2 </w:t>
            </w:r>
            <w:r>
              <w:rPr>
                <w:spacing w:val="-6"/>
              </w:rPr>
              <w:t>类区所</w:t>
            </w:r>
          </w:p>
          <w:p>
            <w:pPr>
              <w:pStyle w:val="6"/>
              <w:spacing w:before="20" w:line="220" w:lineRule="auto"/>
              <w:ind w:left="153"/>
            </w:pPr>
            <w:r>
              <w:rPr>
                <w:spacing w:val="-6"/>
              </w:rPr>
              <w:t>处环境与包山类似，</w:t>
            </w:r>
            <w:r>
              <w:rPr>
                <w:spacing w:val="-17"/>
              </w:rPr>
              <w:t xml:space="preserve"> </w:t>
            </w:r>
            <w:r>
              <w:rPr>
                <w:spacing w:val="-6"/>
              </w:rPr>
              <w:t>采取包山</w:t>
            </w:r>
            <w:r>
              <w:rPr>
                <w:spacing w:val="-47"/>
              </w:rPr>
              <w:t xml:space="preserve"> </w:t>
            </w:r>
            <w:r>
              <w:rPr>
                <w:rFonts w:ascii="Times New Roman" w:hAnsi="Times New Roman" w:eastAsia="Times New Roman" w:cs="Times New Roman"/>
                <w:spacing w:val="-6"/>
              </w:rPr>
              <w:t xml:space="preserve">2 </w:t>
            </w:r>
            <w:r>
              <w:rPr>
                <w:spacing w:val="-6"/>
              </w:rPr>
              <w:t>类</w:t>
            </w:r>
          </w:p>
          <w:p>
            <w:pPr>
              <w:pStyle w:val="6"/>
              <w:spacing w:before="23" w:line="207" w:lineRule="auto"/>
              <w:ind w:left="584"/>
            </w:pPr>
            <w:r>
              <w:rPr>
                <w:spacing w:val="-2"/>
              </w:rPr>
              <w:t>区现状监测值作为背景值</w:t>
            </w:r>
          </w:p>
        </w:tc>
        <w:tc>
          <w:tcPr>
            <w:tcW w:w="2509" w:type="dxa"/>
            <w:vAlign w:val="top"/>
          </w:tcPr>
          <w:p>
            <w:pPr>
              <w:pStyle w:val="6"/>
              <w:spacing w:before="171" w:line="221" w:lineRule="auto"/>
              <w:ind w:left="118"/>
            </w:pPr>
            <w:r>
              <w:rPr>
                <w:spacing w:val="-2"/>
              </w:rPr>
              <w:t>凤鸣</w:t>
            </w:r>
            <w:r>
              <w:rPr>
                <w:spacing w:val="-55"/>
              </w:rPr>
              <w:t xml:space="preserve"> </w:t>
            </w:r>
            <w:r>
              <w:rPr>
                <w:rFonts w:ascii="Times New Roman" w:hAnsi="Times New Roman" w:eastAsia="Times New Roman" w:cs="Times New Roman"/>
                <w:spacing w:val="-2"/>
              </w:rPr>
              <w:t xml:space="preserve">2 </w:t>
            </w:r>
            <w:r>
              <w:rPr>
                <w:spacing w:val="-2"/>
              </w:rPr>
              <w:t>类区所处环境与包</w:t>
            </w:r>
          </w:p>
          <w:p>
            <w:pPr>
              <w:pStyle w:val="6"/>
              <w:spacing w:before="20" w:line="220" w:lineRule="auto"/>
              <w:ind w:left="136"/>
            </w:pPr>
            <w:r>
              <w:rPr>
                <w:spacing w:val="-4"/>
              </w:rPr>
              <w:t>山类似，采取包山</w:t>
            </w:r>
            <w:r>
              <w:rPr>
                <w:spacing w:val="-47"/>
              </w:rPr>
              <w:t xml:space="preserve"> </w:t>
            </w:r>
            <w:r>
              <w:rPr>
                <w:rFonts w:ascii="Times New Roman" w:hAnsi="Times New Roman" w:eastAsia="Times New Roman" w:cs="Times New Roman"/>
                <w:spacing w:val="-4"/>
              </w:rPr>
              <w:t xml:space="preserve">2 </w:t>
            </w:r>
            <w:r>
              <w:rPr>
                <w:spacing w:val="-4"/>
              </w:rPr>
              <w:t>类区</w:t>
            </w:r>
          </w:p>
          <w:p>
            <w:pPr>
              <w:pStyle w:val="6"/>
              <w:spacing w:before="23" w:line="221" w:lineRule="auto"/>
              <w:ind w:left="738"/>
            </w:pPr>
            <w:r>
              <w:rPr>
                <w:spacing w:val="-2"/>
              </w:rPr>
              <w:t>现状监测值</w:t>
            </w:r>
          </w:p>
        </w:tc>
      </w:tr>
    </w:tbl>
    <w:p>
      <w:pPr>
        <w:pStyle w:val="2"/>
      </w:pPr>
    </w:p>
    <w:p>
      <w:pPr>
        <w:sectPr>
          <w:headerReference r:id="rId267" w:type="default"/>
          <w:footerReference r:id="rId268" w:type="default"/>
          <w:pgSz w:w="11907" w:h="16839"/>
          <w:pgMar w:top="1118" w:right="1368" w:bottom="1072" w:left="1368" w:header="877" w:footer="911" w:gutter="0"/>
          <w:cols w:space="720" w:num="1"/>
        </w:sectPr>
      </w:pPr>
    </w:p>
    <w:p>
      <w:pPr>
        <w:spacing w:before="113"/>
      </w:pPr>
    </w:p>
    <w:tbl>
      <w:tblPr>
        <w:tblStyle w:val="5"/>
        <w:tblW w:w="9164"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1334"/>
        <w:gridCol w:w="1113"/>
        <w:gridCol w:w="3438"/>
        <w:gridCol w:w="25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770" w:type="dxa"/>
            <w:vAlign w:val="top"/>
          </w:tcPr>
          <w:p>
            <w:pPr>
              <w:spacing w:line="428" w:lineRule="auto"/>
              <w:rPr>
                <w:rFonts w:ascii="Arial"/>
                <w:sz w:val="21"/>
              </w:rPr>
            </w:pPr>
          </w:p>
          <w:p>
            <w:pPr>
              <w:spacing w:before="60"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334" w:type="dxa"/>
            <w:vAlign w:val="top"/>
          </w:tcPr>
          <w:p>
            <w:pPr>
              <w:pStyle w:val="6"/>
              <w:spacing w:before="308" w:line="230" w:lineRule="auto"/>
              <w:ind w:left="362" w:right="146" w:hanging="218"/>
            </w:pPr>
            <w:r>
              <w:rPr>
                <w:spacing w:val="-3"/>
              </w:rPr>
              <w:t>横路垟（江</w:t>
            </w:r>
            <w:r>
              <w:rPr>
                <w:spacing w:val="2"/>
              </w:rPr>
              <w:t xml:space="preserve"> </w:t>
            </w:r>
            <w:r>
              <w:rPr>
                <w:spacing w:val="-6"/>
              </w:rPr>
              <w:t>下寮）</w:t>
            </w:r>
          </w:p>
        </w:tc>
        <w:tc>
          <w:tcPr>
            <w:tcW w:w="1113" w:type="dxa"/>
            <w:vAlign w:val="top"/>
          </w:tcPr>
          <w:p>
            <w:pPr>
              <w:spacing w:line="374" w:lineRule="auto"/>
              <w:rPr>
                <w:rFonts w:ascii="Arial"/>
                <w:sz w:val="21"/>
              </w:rPr>
            </w:pPr>
          </w:p>
          <w:p>
            <w:pPr>
              <w:pStyle w:val="6"/>
              <w:spacing w:before="68"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4" w:line="221" w:lineRule="auto"/>
              <w:ind w:right="17"/>
              <w:jc w:val="right"/>
            </w:pPr>
            <w:r>
              <w:rPr>
                <w:spacing w:val="-4"/>
              </w:rPr>
              <w:t>距离连接线较远，受道路影响较小，</w:t>
            </w:r>
          </w:p>
          <w:p>
            <w:pPr>
              <w:pStyle w:val="6"/>
              <w:spacing w:before="22" w:line="220" w:lineRule="auto"/>
              <w:ind w:left="254"/>
            </w:pPr>
            <w:r>
              <w:rPr>
                <w:spacing w:val="-1"/>
              </w:rPr>
              <w:t>现状监测值基本可以代表本底水</w:t>
            </w:r>
          </w:p>
          <w:p>
            <w:pPr>
              <w:pStyle w:val="6"/>
              <w:spacing w:before="20" w:line="220" w:lineRule="auto"/>
              <w:ind w:left="148"/>
            </w:pPr>
            <w:r>
              <w:rPr>
                <w:spacing w:val="-1"/>
              </w:rPr>
              <w:t>平，采取横路垟</w:t>
            </w:r>
            <w:r>
              <w:rPr>
                <w:spacing w:val="-40"/>
              </w:rPr>
              <w:t xml:space="preserve"> </w:t>
            </w:r>
            <w:r>
              <w:rPr>
                <w:rFonts w:ascii="Times New Roman" w:hAnsi="Times New Roman" w:eastAsia="Times New Roman" w:cs="Times New Roman"/>
                <w:spacing w:val="-1"/>
              </w:rPr>
              <w:t xml:space="preserve">2 </w:t>
            </w:r>
            <w:r>
              <w:rPr>
                <w:spacing w:val="-1"/>
              </w:rPr>
              <w:t>类区现状监测值</w:t>
            </w:r>
          </w:p>
          <w:p>
            <w:pPr>
              <w:pStyle w:val="6"/>
              <w:spacing w:before="24" w:line="206" w:lineRule="auto"/>
              <w:ind w:left="1198"/>
            </w:pPr>
            <w:r>
              <w:rPr>
                <w:spacing w:val="-2"/>
              </w:rPr>
              <w:t>作为背景值</w:t>
            </w:r>
          </w:p>
        </w:tc>
        <w:tc>
          <w:tcPr>
            <w:tcW w:w="2509" w:type="dxa"/>
            <w:vAlign w:val="top"/>
          </w:tcPr>
          <w:p>
            <w:pPr>
              <w:spacing w:line="374" w:lineRule="auto"/>
              <w:rPr>
                <w:rFonts w:ascii="Arial"/>
                <w:sz w:val="21"/>
              </w:rPr>
            </w:pPr>
          </w:p>
          <w:p>
            <w:pPr>
              <w:pStyle w:val="6"/>
              <w:spacing w:before="68" w:line="221" w:lineRule="auto"/>
              <w:ind w:left="116"/>
            </w:pPr>
            <w:r>
              <w:rPr>
                <w:spacing w:val="-2"/>
              </w:rPr>
              <w:t>横路垟</w:t>
            </w:r>
            <w:r>
              <w:rPr>
                <w:spacing w:val="-53"/>
              </w:rPr>
              <w:t xml:space="preserve"> </w:t>
            </w:r>
            <w:r>
              <w:rPr>
                <w:rFonts w:ascii="Times New Roman" w:hAnsi="Times New Roman" w:eastAsia="Times New Roman" w:cs="Times New Roman"/>
                <w:spacing w:val="-2"/>
              </w:rPr>
              <w:t xml:space="preserve">2 </w:t>
            </w:r>
            <w:r>
              <w:rPr>
                <w:spacing w:val="-2"/>
              </w:rPr>
              <w:t>类区现状监测值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70" w:type="dxa"/>
            <w:vMerge w:val="restart"/>
            <w:tcBorders>
              <w:bottom w:val="nil"/>
            </w:tcBorders>
            <w:vAlign w:val="top"/>
          </w:tcPr>
          <w:p>
            <w:pPr>
              <w:spacing w:line="428" w:lineRule="auto"/>
              <w:rPr>
                <w:rFonts w:ascii="Arial"/>
                <w:sz w:val="21"/>
              </w:rPr>
            </w:pPr>
          </w:p>
          <w:p>
            <w:pPr>
              <w:spacing w:before="61"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334" w:type="dxa"/>
            <w:vMerge w:val="restart"/>
            <w:tcBorders>
              <w:bottom w:val="nil"/>
            </w:tcBorders>
            <w:vAlign w:val="top"/>
          </w:tcPr>
          <w:p>
            <w:pPr>
              <w:spacing w:line="375" w:lineRule="auto"/>
              <w:rPr>
                <w:rFonts w:ascii="Arial"/>
                <w:sz w:val="21"/>
              </w:rPr>
            </w:pPr>
          </w:p>
          <w:p>
            <w:pPr>
              <w:pStyle w:val="6"/>
              <w:spacing w:before="68" w:line="221" w:lineRule="auto"/>
              <w:ind w:left="468"/>
            </w:pPr>
            <w:r>
              <w:rPr>
                <w:spacing w:val="-4"/>
              </w:rPr>
              <w:t>蔡处</w:t>
            </w:r>
          </w:p>
        </w:tc>
        <w:tc>
          <w:tcPr>
            <w:tcW w:w="1113" w:type="dxa"/>
            <w:vAlign w:val="top"/>
          </w:tcPr>
          <w:p>
            <w:pPr>
              <w:pStyle w:val="6"/>
              <w:spacing w:before="167" w:line="221" w:lineRule="auto"/>
              <w:ind w:left="326"/>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3438" w:type="dxa"/>
            <w:vAlign w:val="top"/>
          </w:tcPr>
          <w:p>
            <w:pPr>
              <w:pStyle w:val="6"/>
              <w:spacing w:before="31" w:line="223" w:lineRule="auto"/>
              <w:ind w:left="1353" w:right="138" w:hanging="1200"/>
              <w:rPr>
                <w:rFonts w:ascii="Times New Roman" w:hAnsi="Times New Roman" w:eastAsia="Times New Roman" w:cs="Times New Roman"/>
                <w:sz w:val="13"/>
                <w:szCs w:val="13"/>
              </w:rPr>
            </w:pPr>
            <w:r>
              <w:rPr>
                <w:spacing w:val="-1"/>
              </w:rPr>
              <w:t>受大南公路和连接线的影响，背景</w:t>
            </w:r>
            <w:r>
              <w:rPr>
                <w:spacing w:val="5"/>
              </w:rPr>
              <w:t xml:space="preserve"> </w:t>
            </w:r>
            <w:r>
              <w:t>值取</w:t>
            </w:r>
            <w:r>
              <w:rPr>
                <w:spacing w:val="-51"/>
              </w:rPr>
              <w:t xml:space="preserve"> </w:t>
            </w:r>
            <w:r>
              <w:rPr>
                <w:rFonts w:ascii="Times New Roman" w:hAnsi="Times New Roman" w:eastAsia="Times New Roman" w:cs="Times New Roman"/>
              </w:rPr>
              <w:t>L</w:t>
            </w:r>
            <w:r>
              <w:rPr>
                <w:rFonts w:ascii="Times New Roman" w:hAnsi="Times New Roman" w:eastAsia="Times New Roman" w:cs="Times New Roman"/>
                <w:position w:val="-1"/>
                <w:sz w:val="13"/>
                <w:szCs w:val="13"/>
              </w:rPr>
              <w:t>90</w:t>
            </w:r>
          </w:p>
        </w:tc>
        <w:tc>
          <w:tcPr>
            <w:tcW w:w="2509" w:type="dxa"/>
            <w:vAlign w:val="top"/>
          </w:tcPr>
          <w:p>
            <w:pPr>
              <w:pStyle w:val="6"/>
              <w:spacing w:before="31" w:line="223" w:lineRule="auto"/>
              <w:ind w:left="1051" w:right="150" w:hanging="880"/>
            </w:pPr>
            <w:r>
              <w:rPr>
                <w:spacing w:val="-2"/>
              </w:rPr>
              <w:t>蔡处</w:t>
            </w:r>
            <w:r>
              <w:rPr>
                <w:spacing w:val="-41"/>
              </w:rPr>
              <w:t xml:space="preserve"> </w:t>
            </w:r>
            <w:r>
              <w:rPr>
                <w:rFonts w:ascii="Times New Roman" w:hAnsi="Times New Roman" w:eastAsia="Times New Roman" w:cs="Times New Roman"/>
                <w:spacing w:val="-2"/>
              </w:rPr>
              <w:t xml:space="preserve">4a </w:t>
            </w:r>
            <w:r>
              <w:rPr>
                <w:spacing w:val="-2"/>
              </w:rPr>
              <w:t>类第一排现状监</w:t>
            </w:r>
            <w:r>
              <w:t xml:space="preserve"> </w:t>
            </w:r>
            <w:r>
              <w:rPr>
                <w:spacing w:val="-2"/>
              </w:rPr>
              <w:t>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70" w:type="dxa"/>
            <w:vMerge w:val="continue"/>
            <w:tcBorders>
              <w:top w:val="nil"/>
            </w:tcBorders>
            <w:vAlign w:val="top"/>
          </w:tcPr>
          <w:p>
            <w:pPr>
              <w:rPr>
                <w:rFonts w:ascii="Arial"/>
                <w:sz w:val="21"/>
              </w:rPr>
            </w:pPr>
          </w:p>
        </w:tc>
        <w:tc>
          <w:tcPr>
            <w:tcW w:w="1334" w:type="dxa"/>
            <w:vMerge w:val="continue"/>
            <w:tcBorders>
              <w:top w:val="nil"/>
            </w:tcBorders>
            <w:vAlign w:val="top"/>
          </w:tcPr>
          <w:p>
            <w:pPr>
              <w:rPr>
                <w:rFonts w:ascii="Arial"/>
                <w:sz w:val="21"/>
              </w:rPr>
            </w:pPr>
          </w:p>
        </w:tc>
        <w:tc>
          <w:tcPr>
            <w:tcW w:w="1113" w:type="dxa"/>
            <w:vAlign w:val="top"/>
          </w:tcPr>
          <w:p>
            <w:pPr>
              <w:pStyle w:val="6"/>
              <w:spacing w:before="167"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2" w:line="222" w:lineRule="auto"/>
              <w:ind w:left="1353" w:right="138" w:hanging="1200"/>
              <w:rPr>
                <w:rFonts w:ascii="Times New Roman" w:hAnsi="Times New Roman" w:eastAsia="Times New Roman" w:cs="Times New Roman"/>
                <w:sz w:val="13"/>
                <w:szCs w:val="13"/>
              </w:rPr>
            </w:pPr>
            <w:r>
              <w:rPr>
                <w:spacing w:val="-1"/>
              </w:rPr>
              <w:t>受大南公路和连接线的影响，背景</w:t>
            </w:r>
            <w:r>
              <w:rPr>
                <w:spacing w:val="5"/>
              </w:rPr>
              <w:t xml:space="preserve"> </w:t>
            </w:r>
            <w:r>
              <w:t>值取</w:t>
            </w:r>
            <w:r>
              <w:rPr>
                <w:spacing w:val="-51"/>
              </w:rPr>
              <w:t xml:space="preserve"> </w:t>
            </w:r>
            <w:r>
              <w:rPr>
                <w:rFonts w:ascii="Times New Roman" w:hAnsi="Times New Roman" w:eastAsia="Times New Roman" w:cs="Times New Roman"/>
              </w:rPr>
              <w:t>L</w:t>
            </w:r>
            <w:r>
              <w:rPr>
                <w:rFonts w:ascii="Times New Roman" w:hAnsi="Times New Roman" w:eastAsia="Times New Roman" w:cs="Times New Roman"/>
                <w:position w:val="-1"/>
                <w:sz w:val="13"/>
                <w:szCs w:val="13"/>
              </w:rPr>
              <w:t>90</w:t>
            </w:r>
          </w:p>
        </w:tc>
        <w:tc>
          <w:tcPr>
            <w:tcW w:w="2509" w:type="dxa"/>
            <w:vAlign w:val="top"/>
          </w:tcPr>
          <w:p>
            <w:pPr>
              <w:pStyle w:val="6"/>
              <w:spacing w:before="32" w:line="222" w:lineRule="auto"/>
              <w:ind w:left="1156" w:right="102" w:hanging="1033"/>
            </w:pPr>
            <w:r>
              <w:rPr>
                <w:spacing w:val="-3"/>
              </w:rPr>
              <w:t>蔡处</w:t>
            </w:r>
            <w:r>
              <w:rPr>
                <w:spacing w:val="-50"/>
              </w:rPr>
              <w:t xml:space="preserve"> </w:t>
            </w:r>
            <w:r>
              <w:rPr>
                <w:rFonts w:ascii="Times New Roman" w:hAnsi="Times New Roman" w:eastAsia="Times New Roman" w:cs="Times New Roman"/>
                <w:spacing w:val="-3"/>
              </w:rPr>
              <w:t xml:space="preserve">2 </w:t>
            </w:r>
            <w:r>
              <w:rPr>
                <w:spacing w:val="-3"/>
              </w:rPr>
              <w:t>类第一排现状监测</w:t>
            </w:r>
            <w:r>
              <w:t xml:space="preserve"> 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770" w:type="dxa"/>
            <w:vMerge w:val="restart"/>
            <w:tcBorders>
              <w:bottom w:val="nil"/>
            </w:tcBorders>
            <w:vAlign w:val="top"/>
          </w:tcPr>
          <w:p>
            <w:pPr>
              <w:spacing w:line="351" w:lineRule="auto"/>
              <w:rPr>
                <w:rFonts w:ascii="Arial"/>
                <w:sz w:val="21"/>
              </w:rPr>
            </w:pPr>
          </w:p>
          <w:p>
            <w:pPr>
              <w:spacing w:line="351" w:lineRule="auto"/>
              <w:rPr>
                <w:rFonts w:ascii="Arial"/>
                <w:sz w:val="21"/>
              </w:rPr>
            </w:pPr>
          </w:p>
          <w:p>
            <w:pPr>
              <w:spacing w:before="61"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334" w:type="dxa"/>
            <w:vMerge w:val="restart"/>
            <w:tcBorders>
              <w:bottom w:val="nil"/>
            </w:tcBorders>
            <w:vAlign w:val="top"/>
          </w:tcPr>
          <w:p>
            <w:pPr>
              <w:spacing w:line="323" w:lineRule="auto"/>
              <w:rPr>
                <w:rFonts w:ascii="Arial"/>
                <w:sz w:val="21"/>
              </w:rPr>
            </w:pPr>
          </w:p>
          <w:p>
            <w:pPr>
              <w:spacing w:line="323" w:lineRule="auto"/>
              <w:rPr>
                <w:rFonts w:ascii="Arial"/>
                <w:sz w:val="21"/>
              </w:rPr>
            </w:pPr>
          </w:p>
          <w:p>
            <w:pPr>
              <w:pStyle w:val="6"/>
              <w:spacing w:before="68" w:line="221" w:lineRule="auto"/>
              <w:ind w:left="358"/>
            </w:pPr>
            <w:r>
              <w:rPr>
                <w:spacing w:val="-2"/>
              </w:rPr>
              <w:t>金路桥</w:t>
            </w:r>
          </w:p>
        </w:tc>
        <w:tc>
          <w:tcPr>
            <w:tcW w:w="1113" w:type="dxa"/>
            <w:vAlign w:val="top"/>
          </w:tcPr>
          <w:p>
            <w:pPr>
              <w:spacing w:line="372" w:lineRule="auto"/>
              <w:rPr>
                <w:rFonts w:ascii="Arial"/>
                <w:sz w:val="21"/>
              </w:rPr>
            </w:pPr>
          </w:p>
          <w:p>
            <w:pPr>
              <w:pStyle w:val="6"/>
              <w:spacing w:before="68" w:line="221" w:lineRule="auto"/>
              <w:ind w:left="326"/>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3438" w:type="dxa"/>
            <w:vAlign w:val="top"/>
          </w:tcPr>
          <w:p>
            <w:pPr>
              <w:pStyle w:val="6"/>
              <w:spacing w:before="305" w:line="231" w:lineRule="auto"/>
              <w:ind w:left="889" w:right="138" w:hanging="736"/>
              <w:rPr>
                <w:rFonts w:ascii="Times New Roman" w:hAnsi="Times New Roman" w:eastAsia="Times New Roman" w:cs="Times New Roman"/>
                <w:sz w:val="13"/>
                <w:szCs w:val="13"/>
              </w:rPr>
            </w:pPr>
            <w:r>
              <w:rPr>
                <w:spacing w:val="-1"/>
              </w:rPr>
              <w:t>受大南公路和连接线的影响，取蔡</w:t>
            </w:r>
            <w:r>
              <w:rPr>
                <w:spacing w:val="5"/>
              </w:rPr>
              <w:t xml:space="preserve"> </w:t>
            </w:r>
            <w:r>
              <w:rPr>
                <w:spacing w:val="-1"/>
              </w:rPr>
              <w:t>处</w:t>
            </w:r>
            <w:r>
              <w:rPr>
                <w:spacing w:val="-46"/>
              </w:rPr>
              <w:t xml:space="preserve"> </w:t>
            </w:r>
            <w:r>
              <w:rPr>
                <w:rFonts w:ascii="Times New Roman" w:hAnsi="Times New Roman" w:eastAsia="Times New Roman" w:cs="Times New Roman"/>
                <w:spacing w:val="-1"/>
              </w:rPr>
              <w:t xml:space="preserve">4a </w:t>
            </w:r>
            <w:r>
              <w:rPr>
                <w:spacing w:val="-1"/>
              </w:rPr>
              <w:t>类第一排</w:t>
            </w:r>
            <w:r>
              <w:rPr>
                <w:spacing w:val="-50"/>
              </w:rPr>
              <w:t xml:space="preserve"> </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3"/>
                <w:szCs w:val="13"/>
              </w:rPr>
              <w:t>90</w:t>
            </w:r>
          </w:p>
        </w:tc>
        <w:tc>
          <w:tcPr>
            <w:tcW w:w="2509" w:type="dxa"/>
            <w:vAlign w:val="top"/>
          </w:tcPr>
          <w:p>
            <w:pPr>
              <w:pStyle w:val="6"/>
              <w:spacing w:before="34" w:line="221" w:lineRule="auto"/>
              <w:ind w:left="166"/>
            </w:pPr>
            <w:r>
              <w:rPr>
                <w:spacing w:val="-1"/>
              </w:rPr>
              <w:t>金路桥</w:t>
            </w:r>
            <w:r>
              <w:rPr>
                <w:spacing w:val="-48"/>
              </w:rPr>
              <w:t xml:space="preserve"> </w:t>
            </w:r>
            <w:r>
              <w:rPr>
                <w:rFonts w:ascii="Times New Roman" w:hAnsi="Times New Roman" w:eastAsia="Times New Roman" w:cs="Times New Roman"/>
                <w:spacing w:val="-1"/>
              </w:rPr>
              <w:t xml:space="preserve">4a </w:t>
            </w:r>
            <w:r>
              <w:rPr>
                <w:spacing w:val="-1"/>
              </w:rPr>
              <w:t>类区所处环境</w:t>
            </w:r>
          </w:p>
          <w:p>
            <w:pPr>
              <w:pStyle w:val="6"/>
              <w:spacing w:before="20" w:line="220" w:lineRule="auto"/>
              <w:ind w:left="169"/>
            </w:pPr>
            <w:r>
              <w:rPr>
                <w:spacing w:val="-2"/>
              </w:rPr>
              <w:t>与蔡处</w:t>
            </w:r>
            <w:r>
              <w:rPr>
                <w:spacing w:val="-43"/>
              </w:rPr>
              <w:t xml:space="preserve"> </w:t>
            </w:r>
            <w:r>
              <w:rPr>
                <w:rFonts w:ascii="Times New Roman" w:hAnsi="Times New Roman" w:eastAsia="Times New Roman" w:cs="Times New Roman"/>
                <w:spacing w:val="-2"/>
              </w:rPr>
              <w:t xml:space="preserve">4a </w:t>
            </w:r>
            <w:r>
              <w:rPr>
                <w:spacing w:val="-2"/>
              </w:rPr>
              <w:t>类区类似，采</w:t>
            </w:r>
          </w:p>
          <w:p>
            <w:pPr>
              <w:pStyle w:val="6"/>
              <w:spacing w:before="23" w:line="221" w:lineRule="auto"/>
              <w:ind w:left="166"/>
            </w:pPr>
            <w:r>
              <w:rPr>
                <w:spacing w:val="-1"/>
              </w:rPr>
              <w:t>用蔡处</w:t>
            </w:r>
            <w:r>
              <w:rPr>
                <w:spacing w:val="-48"/>
              </w:rPr>
              <w:t xml:space="preserve"> </w:t>
            </w:r>
            <w:r>
              <w:rPr>
                <w:rFonts w:ascii="Times New Roman" w:hAnsi="Times New Roman" w:eastAsia="Times New Roman" w:cs="Times New Roman"/>
                <w:spacing w:val="-1"/>
              </w:rPr>
              <w:t xml:space="preserve">4a </w:t>
            </w:r>
            <w:r>
              <w:rPr>
                <w:spacing w:val="-1"/>
              </w:rPr>
              <w:t>类第一排现状</w:t>
            </w:r>
          </w:p>
          <w:p>
            <w:pPr>
              <w:pStyle w:val="6"/>
              <w:spacing w:before="20" w:line="206" w:lineRule="auto"/>
              <w:ind w:left="946"/>
            </w:pPr>
            <w:r>
              <w:rPr>
                <w:spacing w:val="-2"/>
              </w:rPr>
              <w:t>监测值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70" w:type="dxa"/>
            <w:vMerge w:val="continue"/>
            <w:tcBorders>
              <w:top w:val="nil"/>
            </w:tcBorders>
            <w:vAlign w:val="top"/>
          </w:tcPr>
          <w:p>
            <w:pPr>
              <w:rPr>
                <w:rFonts w:ascii="Arial"/>
                <w:sz w:val="21"/>
              </w:rPr>
            </w:pPr>
          </w:p>
        </w:tc>
        <w:tc>
          <w:tcPr>
            <w:tcW w:w="1334" w:type="dxa"/>
            <w:vMerge w:val="continue"/>
            <w:tcBorders>
              <w:top w:val="nil"/>
            </w:tcBorders>
            <w:vAlign w:val="top"/>
          </w:tcPr>
          <w:p>
            <w:pPr>
              <w:rPr>
                <w:rFonts w:ascii="Arial"/>
                <w:sz w:val="21"/>
              </w:rPr>
            </w:pPr>
          </w:p>
        </w:tc>
        <w:tc>
          <w:tcPr>
            <w:tcW w:w="1113" w:type="dxa"/>
            <w:vAlign w:val="top"/>
          </w:tcPr>
          <w:p>
            <w:pPr>
              <w:pStyle w:val="6"/>
              <w:spacing w:before="167"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3" w:line="222" w:lineRule="auto"/>
              <w:ind w:left="1353" w:right="138" w:hanging="1200"/>
              <w:rPr>
                <w:rFonts w:ascii="Times New Roman" w:hAnsi="Times New Roman" w:eastAsia="Times New Roman" w:cs="Times New Roman"/>
                <w:sz w:val="13"/>
                <w:szCs w:val="13"/>
              </w:rPr>
            </w:pPr>
            <w:r>
              <w:rPr>
                <w:spacing w:val="-1"/>
              </w:rPr>
              <w:t>受大南公路和连接线的影响，背景</w:t>
            </w:r>
            <w:r>
              <w:rPr>
                <w:spacing w:val="5"/>
              </w:rPr>
              <w:t xml:space="preserve"> </w:t>
            </w:r>
            <w:r>
              <w:t>值取</w:t>
            </w:r>
            <w:r>
              <w:rPr>
                <w:spacing w:val="-51"/>
              </w:rPr>
              <w:t xml:space="preserve"> </w:t>
            </w:r>
            <w:r>
              <w:rPr>
                <w:rFonts w:ascii="Times New Roman" w:hAnsi="Times New Roman" w:eastAsia="Times New Roman" w:cs="Times New Roman"/>
              </w:rPr>
              <w:t>L</w:t>
            </w:r>
            <w:r>
              <w:rPr>
                <w:rFonts w:ascii="Times New Roman" w:hAnsi="Times New Roman" w:eastAsia="Times New Roman" w:cs="Times New Roman"/>
                <w:position w:val="-1"/>
                <w:sz w:val="13"/>
                <w:szCs w:val="13"/>
              </w:rPr>
              <w:t>90</w:t>
            </w:r>
          </w:p>
        </w:tc>
        <w:tc>
          <w:tcPr>
            <w:tcW w:w="2509" w:type="dxa"/>
            <w:vAlign w:val="top"/>
          </w:tcPr>
          <w:p>
            <w:pPr>
              <w:pStyle w:val="6"/>
              <w:spacing w:before="33" w:line="222" w:lineRule="auto"/>
              <w:ind w:left="1051" w:right="102" w:hanging="933"/>
            </w:pPr>
            <w:r>
              <w:rPr>
                <w:spacing w:val="-2"/>
              </w:rPr>
              <w:t>金路桥</w:t>
            </w:r>
            <w:r>
              <w:rPr>
                <w:spacing w:val="-57"/>
              </w:rPr>
              <w:t xml:space="preserve"> </w:t>
            </w:r>
            <w:r>
              <w:rPr>
                <w:rFonts w:ascii="Times New Roman" w:hAnsi="Times New Roman" w:eastAsia="Times New Roman" w:cs="Times New Roman"/>
                <w:spacing w:val="-2"/>
              </w:rPr>
              <w:t xml:space="preserve">2 </w:t>
            </w:r>
            <w:r>
              <w:rPr>
                <w:spacing w:val="-2"/>
              </w:rPr>
              <w:t>类第一排现状监</w:t>
            </w:r>
            <w:r>
              <w:t xml:space="preserve"> </w:t>
            </w:r>
            <w:r>
              <w:rPr>
                <w:spacing w:val="-2"/>
              </w:rPr>
              <w:t>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770" w:type="dxa"/>
            <w:vAlign w:val="top"/>
          </w:tcPr>
          <w:p>
            <w:pPr>
              <w:spacing w:line="289" w:lineRule="auto"/>
              <w:rPr>
                <w:rFonts w:ascii="Arial"/>
                <w:sz w:val="21"/>
              </w:rPr>
            </w:pPr>
          </w:p>
          <w:p>
            <w:pPr>
              <w:spacing w:before="60"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334" w:type="dxa"/>
            <w:vAlign w:val="top"/>
          </w:tcPr>
          <w:p>
            <w:pPr>
              <w:pStyle w:val="6"/>
              <w:spacing w:before="305" w:line="222" w:lineRule="auto"/>
              <w:ind w:left="462"/>
            </w:pPr>
            <w:r>
              <w:rPr>
                <w:spacing w:val="-2"/>
              </w:rPr>
              <w:t>莲塘</w:t>
            </w:r>
          </w:p>
        </w:tc>
        <w:tc>
          <w:tcPr>
            <w:tcW w:w="1113" w:type="dxa"/>
            <w:vAlign w:val="top"/>
          </w:tcPr>
          <w:p>
            <w:pPr>
              <w:pStyle w:val="6"/>
              <w:spacing w:before="305" w:line="221" w:lineRule="auto"/>
              <w:ind w:left="372"/>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3438" w:type="dxa"/>
            <w:vAlign w:val="top"/>
          </w:tcPr>
          <w:p>
            <w:pPr>
              <w:pStyle w:val="6"/>
              <w:spacing w:before="34" w:line="220" w:lineRule="auto"/>
              <w:ind w:left="153"/>
            </w:pPr>
            <w:r>
              <w:rPr>
                <w:spacing w:val="-1"/>
              </w:rPr>
              <w:t>受道路影响较小，现状监测值基本</w:t>
            </w:r>
          </w:p>
          <w:p>
            <w:pPr>
              <w:pStyle w:val="6"/>
              <w:spacing w:before="20" w:line="220" w:lineRule="auto"/>
              <w:ind w:left="150"/>
            </w:pPr>
            <w:r>
              <w:rPr>
                <w:spacing w:val="-6"/>
              </w:rPr>
              <w:t>可以代表本底水平，</w:t>
            </w:r>
            <w:r>
              <w:rPr>
                <w:spacing w:val="-14"/>
              </w:rPr>
              <w:t xml:space="preserve"> </w:t>
            </w:r>
            <w:r>
              <w:rPr>
                <w:spacing w:val="-6"/>
              </w:rPr>
              <w:t>采取莲塘</w:t>
            </w:r>
            <w:r>
              <w:rPr>
                <w:spacing w:val="-48"/>
              </w:rPr>
              <w:t xml:space="preserve"> </w:t>
            </w:r>
            <w:r>
              <w:rPr>
                <w:rFonts w:ascii="Times New Roman" w:hAnsi="Times New Roman" w:eastAsia="Times New Roman" w:cs="Times New Roman"/>
                <w:spacing w:val="-6"/>
              </w:rPr>
              <w:t xml:space="preserve">2 </w:t>
            </w:r>
            <w:r>
              <w:rPr>
                <w:spacing w:val="-6"/>
              </w:rPr>
              <w:t>类</w:t>
            </w:r>
          </w:p>
          <w:p>
            <w:pPr>
              <w:pStyle w:val="6"/>
              <w:spacing w:before="23" w:line="207" w:lineRule="auto"/>
              <w:ind w:left="584"/>
            </w:pPr>
            <w:r>
              <w:rPr>
                <w:spacing w:val="-2"/>
              </w:rPr>
              <w:t>区现状监测值作为背景值</w:t>
            </w:r>
          </w:p>
        </w:tc>
        <w:tc>
          <w:tcPr>
            <w:tcW w:w="2509" w:type="dxa"/>
            <w:vAlign w:val="top"/>
          </w:tcPr>
          <w:p>
            <w:pPr>
              <w:pStyle w:val="6"/>
              <w:spacing w:before="305" w:line="221" w:lineRule="auto"/>
              <w:ind w:left="211"/>
            </w:pPr>
            <w:r>
              <w:rPr>
                <w:spacing w:val="-1"/>
              </w:rPr>
              <w:t>莲塘</w:t>
            </w:r>
            <w:r>
              <w:rPr>
                <w:spacing w:val="-48"/>
              </w:rPr>
              <w:t xml:space="preserve"> </w:t>
            </w:r>
            <w:r>
              <w:rPr>
                <w:rFonts w:ascii="Times New Roman" w:hAnsi="Times New Roman" w:eastAsia="Times New Roman" w:cs="Times New Roman"/>
                <w:spacing w:val="-1"/>
              </w:rPr>
              <w:t xml:space="preserve">2 </w:t>
            </w:r>
            <w:r>
              <w:rPr>
                <w:spacing w:val="-1"/>
              </w:rPr>
              <w:t>类区现状监测值</w:t>
            </w:r>
          </w:p>
        </w:tc>
      </w:tr>
    </w:tbl>
    <w:p>
      <w:pPr>
        <w:pStyle w:val="2"/>
        <w:spacing w:line="371" w:lineRule="auto"/>
      </w:pPr>
    </w:p>
    <w:p>
      <w:pPr>
        <w:spacing w:before="78" w:line="218" w:lineRule="auto"/>
        <w:ind w:left="120"/>
        <w:outlineLvl w:val="1"/>
        <w:rPr>
          <w:rFonts w:ascii="宋体" w:hAnsi="宋体" w:eastAsia="宋体" w:cs="宋体"/>
          <w:sz w:val="24"/>
          <w:szCs w:val="24"/>
        </w:rPr>
      </w:pPr>
      <w:r>
        <w:fldChar w:fldCharType="begin"/>
      </w:r>
      <w:r>
        <w:instrText xml:space="preserve"> HYPERLINK "5.3.2.3" </w:instrText>
      </w:r>
      <w:r>
        <w:fldChar w:fldCharType="separate"/>
      </w:r>
      <w:r>
        <w:rPr>
          <w:rFonts w:ascii="Times New Roman" w:hAnsi="Times New Roman" w:eastAsia="Times New Roman" w:cs="Times New Roman"/>
          <w:b/>
          <w:bCs/>
          <w:spacing w:val="-1"/>
          <w:sz w:val="24"/>
          <w:szCs w:val="24"/>
        </w:rPr>
        <w:t>5.3.2.3</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预测结果评价</w:t>
      </w:r>
    </w:p>
    <w:p>
      <w:pPr>
        <w:spacing w:before="183" w:line="359" w:lineRule="auto"/>
        <w:ind w:left="120" w:right="101" w:firstLine="481"/>
        <w:rPr>
          <w:rFonts w:ascii="宋体" w:hAnsi="宋体" w:eastAsia="宋体" w:cs="宋体"/>
          <w:sz w:val="24"/>
          <w:szCs w:val="24"/>
        </w:rPr>
      </w:pPr>
      <w:r>
        <w:rPr>
          <w:rFonts w:ascii="宋体" w:hAnsi="宋体" w:eastAsia="宋体" w:cs="宋体"/>
          <w:spacing w:val="-1"/>
          <w:sz w:val="24"/>
          <w:szCs w:val="24"/>
        </w:rPr>
        <w:t>根据前面的预测方法、预测模式和设定参数，对本工程的交</w:t>
      </w:r>
      <w:r>
        <w:rPr>
          <w:rFonts w:ascii="宋体" w:hAnsi="宋体" w:eastAsia="宋体" w:cs="宋体"/>
          <w:spacing w:val="-2"/>
          <w:sz w:val="24"/>
          <w:szCs w:val="24"/>
        </w:rPr>
        <w:t>通噪声进行预测计算。</w:t>
      </w:r>
      <w:r>
        <w:rPr>
          <w:rFonts w:ascii="宋体" w:hAnsi="宋体" w:eastAsia="宋体" w:cs="宋体"/>
          <w:sz w:val="24"/>
          <w:szCs w:val="24"/>
        </w:rPr>
        <w:t xml:space="preserve"> </w:t>
      </w:r>
      <w:r>
        <w:rPr>
          <w:rFonts w:ascii="宋体" w:hAnsi="宋体" w:eastAsia="宋体" w:cs="宋体"/>
          <w:spacing w:val="-7"/>
          <w:sz w:val="24"/>
          <w:szCs w:val="24"/>
        </w:rPr>
        <w:t>预测内容包括：</w:t>
      </w:r>
      <w:r>
        <w:rPr>
          <w:rFonts w:ascii="宋体" w:hAnsi="宋体" w:eastAsia="宋体" w:cs="宋体"/>
          <w:spacing w:val="81"/>
          <w:sz w:val="24"/>
          <w:szCs w:val="24"/>
        </w:rPr>
        <w:t xml:space="preserve"> </w:t>
      </w:r>
      <w:r>
        <w:rPr>
          <w:rFonts w:ascii="宋体" w:hAnsi="宋体" w:eastAsia="宋体" w:cs="宋体"/>
          <w:spacing w:val="-7"/>
          <w:sz w:val="24"/>
          <w:szCs w:val="24"/>
        </w:rPr>
        <w:t>①空旷地段距公路中心线不同距离处的交通噪声预测及达标距离预测；</w:t>
      </w:r>
      <w:r>
        <w:rPr>
          <w:rFonts w:ascii="宋体" w:hAnsi="宋体" w:eastAsia="宋体" w:cs="宋体"/>
          <w:sz w:val="24"/>
          <w:szCs w:val="24"/>
        </w:rPr>
        <w:t xml:space="preserve"> </w:t>
      </w:r>
      <w:r>
        <w:rPr>
          <w:rFonts w:ascii="宋体" w:hAnsi="宋体" w:eastAsia="宋体" w:cs="宋体"/>
          <w:spacing w:val="-6"/>
          <w:sz w:val="24"/>
          <w:szCs w:val="24"/>
        </w:rPr>
        <w:t>②不同营运时段、昼间和夜间交通噪声对沿线现状敏感点的预测；</w:t>
      </w:r>
      <w:r>
        <w:rPr>
          <w:rFonts w:ascii="宋体" w:hAnsi="宋体" w:eastAsia="宋体" w:cs="宋体"/>
          <w:spacing w:val="50"/>
          <w:sz w:val="24"/>
          <w:szCs w:val="24"/>
        </w:rPr>
        <w:t xml:space="preserve"> </w:t>
      </w:r>
      <w:r>
        <w:rPr>
          <w:rFonts w:ascii="宋体" w:hAnsi="宋体" w:eastAsia="宋体" w:cs="宋体"/>
          <w:spacing w:val="-6"/>
          <w:sz w:val="24"/>
          <w:szCs w:val="24"/>
        </w:rPr>
        <w:t>③不同营运时段、昼</w:t>
      </w:r>
    </w:p>
    <w:p>
      <w:pPr>
        <w:spacing w:line="219" w:lineRule="auto"/>
        <w:ind w:left="140"/>
        <w:rPr>
          <w:rFonts w:ascii="宋体" w:hAnsi="宋体" w:eastAsia="宋体" w:cs="宋体"/>
          <w:sz w:val="24"/>
          <w:szCs w:val="24"/>
        </w:rPr>
      </w:pPr>
      <w:r>
        <w:rPr>
          <w:rFonts w:ascii="宋体" w:hAnsi="宋体" w:eastAsia="宋体" w:cs="宋体"/>
          <w:spacing w:val="-3"/>
          <w:sz w:val="24"/>
          <w:szCs w:val="24"/>
        </w:rPr>
        <w:t>间和夜间交通噪声对沿线规划敏感点的预测。</w:t>
      </w:r>
    </w:p>
    <w:p>
      <w:pPr>
        <w:spacing w:before="182" w:line="220" w:lineRule="auto"/>
        <w:ind w:left="620"/>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、空旷地段距公路中心线不同距离处的交通噪声预测结果及达标距离预测</w:t>
      </w:r>
    </w:p>
    <w:p>
      <w:pPr>
        <w:spacing w:before="181" w:line="359" w:lineRule="auto"/>
        <w:ind w:left="121" w:right="114" w:firstLine="510"/>
        <w:rPr>
          <w:rFonts w:ascii="宋体" w:hAnsi="宋体" w:eastAsia="宋体" w:cs="宋体"/>
          <w:sz w:val="24"/>
          <w:szCs w:val="24"/>
        </w:rPr>
      </w:pPr>
      <w:r>
        <w:rPr>
          <w:rFonts w:ascii="宋体" w:hAnsi="宋体" w:eastAsia="宋体" w:cs="宋体"/>
          <w:spacing w:val="-7"/>
          <w:sz w:val="24"/>
          <w:szCs w:val="24"/>
        </w:rPr>
        <w:t>由于拟建公路两侧地面高程和形式不断变化，</w:t>
      </w:r>
      <w:r>
        <w:rPr>
          <w:rFonts w:ascii="宋体" w:hAnsi="宋体" w:eastAsia="宋体" w:cs="宋体"/>
          <w:spacing w:val="44"/>
          <w:sz w:val="24"/>
          <w:szCs w:val="24"/>
        </w:rPr>
        <w:t xml:space="preserve"> </w:t>
      </w:r>
      <w:r>
        <w:rPr>
          <w:rFonts w:ascii="宋体" w:hAnsi="宋体" w:eastAsia="宋体" w:cs="宋体"/>
          <w:spacing w:val="-7"/>
          <w:sz w:val="24"/>
          <w:szCs w:val="24"/>
        </w:rPr>
        <w:t>因此先预测连接线各特征年在空旷条</w:t>
      </w:r>
      <w:r>
        <w:rPr>
          <w:rFonts w:ascii="宋体" w:hAnsi="宋体" w:eastAsia="宋体" w:cs="宋体"/>
          <w:sz w:val="24"/>
          <w:szCs w:val="24"/>
        </w:rPr>
        <w:t xml:space="preserve"> </w:t>
      </w:r>
      <w:r>
        <w:rPr>
          <w:rFonts w:ascii="宋体" w:hAnsi="宋体" w:eastAsia="宋体" w:cs="宋体"/>
          <w:spacing w:val="-2"/>
          <w:sz w:val="24"/>
          <w:szCs w:val="24"/>
        </w:rPr>
        <w:t>件下不考虑路基形式、路基高度、遮挡情况和声环境保护目标情况下的交通噪声。在具</w:t>
      </w:r>
    </w:p>
    <w:p>
      <w:pPr>
        <w:spacing w:before="1" w:line="218" w:lineRule="auto"/>
        <w:ind w:left="122"/>
        <w:rPr>
          <w:rFonts w:ascii="宋体" w:hAnsi="宋体" w:eastAsia="宋体" w:cs="宋体"/>
          <w:sz w:val="24"/>
          <w:szCs w:val="24"/>
        </w:rPr>
      </w:pPr>
      <w:r>
        <w:rPr>
          <w:rFonts w:ascii="宋体" w:hAnsi="宋体" w:eastAsia="宋体" w:cs="宋体"/>
          <w:spacing w:val="-6"/>
          <w:sz w:val="24"/>
          <w:szCs w:val="24"/>
        </w:rPr>
        <w:t>体到声环境保护目标噪声预测时，</w:t>
      </w:r>
      <w:r>
        <w:rPr>
          <w:rFonts w:ascii="宋体" w:hAnsi="宋体" w:eastAsia="宋体" w:cs="宋体"/>
          <w:spacing w:val="47"/>
          <w:sz w:val="24"/>
          <w:szCs w:val="24"/>
        </w:rPr>
        <w:t xml:space="preserve"> </w:t>
      </w:r>
      <w:r>
        <w:rPr>
          <w:rFonts w:ascii="宋体" w:hAnsi="宋体" w:eastAsia="宋体" w:cs="宋体"/>
          <w:spacing w:val="-6"/>
          <w:sz w:val="24"/>
          <w:szCs w:val="24"/>
        </w:rPr>
        <w:t>再考虑不同的路基形式、路基高度、遮挡情况和声环</w:t>
      </w:r>
    </w:p>
    <w:p>
      <w:pPr>
        <w:spacing w:before="145" w:line="467" w:lineRule="exact"/>
        <w:ind w:left="123"/>
        <w:rPr>
          <w:rFonts w:ascii="宋体" w:hAnsi="宋体" w:eastAsia="宋体" w:cs="宋体"/>
          <w:sz w:val="24"/>
          <w:szCs w:val="24"/>
        </w:rPr>
      </w:pPr>
      <w:bookmarkStart w:id="36" w:name="bookmark65"/>
      <w:bookmarkEnd w:id="36"/>
      <w:r>
        <w:fldChar w:fldCharType="begin"/>
      </w:r>
      <w:r>
        <w:instrText xml:space="preserve"> HYPERLINK \l "bookmark65" </w:instrText>
      </w:r>
      <w:r>
        <w:fldChar w:fldCharType="separate"/>
      </w:r>
      <w:r>
        <w:rPr>
          <w:rFonts w:ascii="宋体" w:hAnsi="宋体" w:eastAsia="宋体" w:cs="宋体"/>
          <w:position w:val="5"/>
          <w:sz w:val="24"/>
          <w:szCs w:val="24"/>
        </w:rPr>
        <w:t>境保护目标特征。拟建公路平路基情况下交通噪声预</w:t>
      </w:r>
      <w:r>
        <w:rPr>
          <w:rFonts w:ascii="宋体" w:hAnsi="宋体" w:eastAsia="宋体" w:cs="宋体"/>
          <w:spacing w:val="-1"/>
          <w:position w:val="5"/>
          <w:sz w:val="24"/>
          <w:szCs w:val="24"/>
        </w:rPr>
        <w:t xml:space="preserve">测结果见表 </w:t>
      </w:r>
      <w:r>
        <w:rPr>
          <w:rFonts w:ascii="Times New Roman" w:hAnsi="Times New Roman" w:eastAsia="Times New Roman" w:cs="Times New Roman"/>
          <w:spacing w:val="-1"/>
          <w:position w:val="5"/>
          <w:sz w:val="24"/>
          <w:szCs w:val="24"/>
        </w:rPr>
        <w:t>02</w:t>
      </w:r>
      <w:r>
        <w:rPr>
          <w:rFonts w:ascii="Times New Roman" w:hAnsi="Times New Roman" w:eastAsia="Times New Roman" w:cs="Times New Roman"/>
          <w:spacing w:val="-1"/>
          <w:position w:val="5"/>
          <w:sz w:val="24"/>
          <w:szCs w:val="24"/>
        </w:rPr>
        <w:fldChar w:fldCharType="end"/>
      </w:r>
      <w:r>
        <w:rPr>
          <w:rFonts w:ascii="Times New Roman" w:hAnsi="Times New Roman" w:eastAsia="Times New Roman" w:cs="Times New Roman"/>
          <w:spacing w:val="-1"/>
          <w:position w:val="5"/>
          <w:sz w:val="24"/>
          <w:szCs w:val="24"/>
        </w:rPr>
        <w:t>-7</w:t>
      </w:r>
      <w:r>
        <w:rPr>
          <w:rFonts w:ascii="宋体" w:hAnsi="宋体" w:eastAsia="宋体" w:cs="宋体"/>
          <w:spacing w:val="-1"/>
          <w:position w:val="5"/>
          <w:sz w:val="24"/>
          <w:szCs w:val="24"/>
        </w:rPr>
        <w:t>。</w:t>
      </w:r>
    </w:p>
    <w:p>
      <w:pPr>
        <w:spacing w:before="36" w:line="213" w:lineRule="auto"/>
        <w:ind w:left="1817"/>
        <w:rPr>
          <w:rFonts w:ascii="Times New Roman" w:hAnsi="Times New Roman" w:eastAsia="Times New Roman" w:cs="Times New Roman"/>
          <w:sz w:val="24"/>
          <w:szCs w:val="24"/>
        </w:rPr>
      </w:pPr>
      <w:r>
        <w:rPr>
          <w:rFonts w:ascii="宋体" w:hAnsi="宋体" w:eastAsia="宋体" w:cs="宋体"/>
          <w:sz w:val="24"/>
          <w:szCs w:val="24"/>
        </w:rPr>
        <w:t xml:space="preserve">表 </w:t>
      </w:r>
      <w:r>
        <w:rPr>
          <w:rFonts w:ascii="Times New Roman" w:hAnsi="Times New Roman" w:eastAsia="Times New Roman" w:cs="Times New Roman"/>
          <w:sz w:val="24"/>
          <w:szCs w:val="24"/>
        </w:rPr>
        <w:t xml:space="preserve">0.2-7    </w:t>
      </w:r>
      <w:r>
        <w:rPr>
          <w:rFonts w:ascii="宋体" w:hAnsi="宋体" w:eastAsia="宋体" w:cs="宋体"/>
          <w:sz w:val="24"/>
          <w:szCs w:val="24"/>
        </w:rPr>
        <w:t>典型路段空旷条件下水平衰减情况  单</w:t>
      </w:r>
      <w:r>
        <w:rPr>
          <w:rFonts w:ascii="宋体" w:hAnsi="宋体" w:eastAsia="宋体" w:cs="宋体"/>
          <w:spacing w:val="-1"/>
          <w:sz w:val="24"/>
          <w:szCs w:val="24"/>
        </w:rPr>
        <w:t>位</w:t>
      </w:r>
      <w:r>
        <w:rPr>
          <w:rFonts w:ascii="Times New Roman" w:hAnsi="Times New Roman" w:eastAsia="Times New Roman" w:cs="Times New Roman"/>
          <w:spacing w:val="-1"/>
          <w:sz w:val="24"/>
          <w:szCs w:val="24"/>
        </w:rPr>
        <w:t>: dB(A)</w:t>
      </w:r>
    </w:p>
    <w:p>
      <w:pPr>
        <w:spacing w:line="156" w:lineRule="exact"/>
      </w:pPr>
    </w:p>
    <w:tbl>
      <w:tblPr>
        <w:tblStyle w:val="5"/>
        <w:tblW w:w="9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3"/>
        <w:gridCol w:w="1509"/>
        <w:gridCol w:w="1269"/>
        <w:gridCol w:w="1125"/>
        <w:gridCol w:w="1128"/>
        <w:gridCol w:w="1125"/>
        <w:gridCol w:w="11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003" w:type="dxa"/>
            <w:vMerge w:val="restart"/>
            <w:tcBorders>
              <w:bottom w:val="nil"/>
            </w:tcBorders>
            <w:vAlign w:val="top"/>
          </w:tcPr>
          <w:p>
            <w:pPr>
              <w:spacing w:line="338" w:lineRule="auto"/>
              <w:rPr>
                <w:rFonts w:ascii="Arial"/>
                <w:sz w:val="21"/>
              </w:rPr>
            </w:pPr>
          </w:p>
          <w:p>
            <w:pPr>
              <w:pStyle w:val="6"/>
              <w:spacing w:before="68" w:line="214" w:lineRule="auto"/>
              <w:ind w:left="328"/>
              <w:rPr>
                <w:rFonts w:ascii="Times New Roman" w:hAnsi="Times New Roman" w:eastAsia="Times New Roman" w:cs="Times New Roman"/>
              </w:rPr>
            </w:pPr>
            <w:r>
              <w:rPr>
                <w:spacing w:val="-1"/>
              </w:rPr>
              <w:t>距离中心线</w:t>
            </w:r>
            <w:r>
              <w:rPr>
                <w:rFonts w:ascii="Times New Roman" w:hAnsi="Times New Roman" w:eastAsia="Times New Roman" w:cs="Times New Roman"/>
                <w:spacing w:val="-1"/>
              </w:rPr>
              <w:t>(m)</w:t>
            </w:r>
          </w:p>
        </w:tc>
        <w:tc>
          <w:tcPr>
            <w:tcW w:w="7291" w:type="dxa"/>
            <w:gridSpan w:val="6"/>
            <w:vAlign w:val="top"/>
          </w:tcPr>
          <w:p>
            <w:pPr>
              <w:pStyle w:val="6"/>
              <w:spacing w:before="80" w:line="209" w:lineRule="auto"/>
              <w:ind w:left="1944"/>
            </w:pPr>
            <w:r>
              <w:rPr>
                <w:spacing w:val="-2"/>
              </w:rPr>
              <w:t>西坑互通连接线（</w:t>
            </w:r>
            <w:r>
              <w:rPr>
                <w:rFonts w:ascii="Times New Roman" w:hAnsi="Times New Roman" w:eastAsia="Times New Roman" w:cs="Times New Roman"/>
                <w:spacing w:val="-2"/>
              </w:rPr>
              <w:t>L1</w:t>
            </w:r>
            <w:r>
              <w:rPr>
                <w:rFonts w:ascii="Times New Roman" w:hAnsi="Times New Roman" w:eastAsia="Times New Roman" w:cs="Times New Roman"/>
                <w:spacing w:val="-22"/>
              </w:rPr>
              <w:t xml:space="preserve"> </w:t>
            </w:r>
            <w:r>
              <w:rPr>
                <w:spacing w:val="-2"/>
              </w:rPr>
              <w:t>、</w:t>
            </w:r>
            <w:r>
              <w:rPr>
                <w:rFonts w:ascii="Times New Roman" w:hAnsi="Times New Roman" w:eastAsia="Times New Roman" w:cs="Times New Roman"/>
                <w:spacing w:val="-2"/>
              </w:rPr>
              <w:t>L2</w:t>
            </w:r>
            <w:r>
              <w:rPr>
                <w:spacing w:val="-2"/>
              </w:rPr>
              <w:t>、</w:t>
            </w:r>
            <w:r>
              <w:rPr>
                <w:rFonts w:ascii="Times New Roman" w:hAnsi="Times New Roman" w:eastAsia="Times New Roman" w:cs="Times New Roman"/>
                <w:spacing w:val="-2"/>
              </w:rPr>
              <w:t>60km/h</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003" w:type="dxa"/>
            <w:vMerge w:val="continue"/>
            <w:tcBorders>
              <w:top w:val="nil"/>
              <w:bottom w:val="nil"/>
            </w:tcBorders>
            <w:vAlign w:val="top"/>
          </w:tcPr>
          <w:p>
            <w:pPr>
              <w:rPr>
                <w:rFonts w:ascii="Arial"/>
                <w:sz w:val="21"/>
              </w:rPr>
            </w:pPr>
          </w:p>
        </w:tc>
        <w:tc>
          <w:tcPr>
            <w:tcW w:w="2778" w:type="dxa"/>
            <w:gridSpan w:val="2"/>
            <w:vAlign w:val="top"/>
          </w:tcPr>
          <w:p>
            <w:pPr>
              <w:pStyle w:val="6"/>
              <w:spacing w:before="75" w:line="211" w:lineRule="auto"/>
              <w:ind w:left="1184"/>
            </w:pPr>
            <w:r>
              <w:rPr>
                <w:spacing w:val="-2"/>
              </w:rPr>
              <w:t>近期</w:t>
            </w:r>
          </w:p>
        </w:tc>
        <w:tc>
          <w:tcPr>
            <w:tcW w:w="2253" w:type="dxa"/>
            <w:gridSpan w:val="2"/>
            <w:vAlign w:val="top"/>
          </w:tcPr>
          <w:p>
            <w:pPr>
              <w:pStyle w:val="6"/>
              <w:spacing w:before="75" w:line="211" w:lineRule="auto"/>
              <w:ind w:left="945"/>
            </w:pPr>
            <w:r>
              <w:rPr>
                <w:spacing w:val="-7"/>
              </w:rPr>
              <w:t>中期</w:t>
            </w:r>
          </w:p>
        </w:tc>
        <w:tc>
          <w:tcPr>
            <w:tcW w:w="2260" w:type="dxa"/>
            <w:gridSpan w:val="2"/>
            <w:vAlign w:val="top"/>
          </w:tcPr>
          <w:p>
            <w:pPr>
              <w:pStyle w:val="6"/>
              <w:spacing w:before="75" w:line="211" w:lineRule="auto"/>
              <w:ind w:left="926"/>
            </w:pPr>
            <w:r>
              <w:rPr>
                <w:spacing w:val="-2"/>
              </w:rPr>
              <w:t>远期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03" w:type="dxa"/>
            <w:vMerge w:val="continue"/>
            <w:tcBorders>
              <w:top w:val="nil"/>
            </w:tcBorders>
            <w:vAlign w:val="top"/>
          </w:tcPr>
          <w:p>
            <w:pPr>
              <w:rPr>
                <w:rFonts w:ascii="Arial"/>
                <w:sz w:val="21"/>
              </w:rPr>
            </w:pPr>
          </w:p>
        </w:tc>
        <w:tc>
          <w:tcPr>
            <w:tcW w:w="1509" w:type="dxa"/>
            <w:vAlign w:val="top"/>
          </w:tcPr>
          <w:p>
            <w:pPr>
              <w:pStyle w:val="6"/>
              <w:spacing w:before="76" w:line="208" w:lineRule="auto"/>
              <w:ind w:left="548"/>
            </w:pPr>
            <w:r>
              <w:rPr>
                <w:spacing w:val="-2"/>
              </w:rPr>
              <w:t>昼间</w:t>
            </w:r>
          </w:p>
        </w:tc>
        <w:tc>
          <w:tcPr>
            <w:tcW w:w="1269" w:type="dxa"/>
            <w:vAlign w:val="top"/>
          </w:tcPr>
          <w:p>
            <w:pPr>
              <w:pStyle w:val="6"/>
              <w:spacing w:before="76" w:line="208" w:lineRule="auto"/>
              <w:ind w:left="433"/>
            </w:pPr>
            <w:r>
              <w:rPr>
                <w:spacing w:val="-3"/>
              </w:rPr>
              <w:t>夜间</w:t>
            </w:r>
          </w:p>
        </w:tc>
        <w:tc>
          <w:tcPr>
            <w:tcW w:w="1125" w:type="dxa"/>
            <w:vAlign w:val="top"/>
          </w:tcPr>
          <w:p>
            <w:pPr>
              <w:pStyle w:val="6"/>
              <w:spacing w:before="76" w:line="208" w:lineRule="auto"/>
              <w:ind w:left="360"/>
            </w:pPr>
            <w:r>
              <w:rPr>
                <w:spacing w:val="-2"/>
              </w:rPr>
              <w:t>昼间</w:t>
            </w:r>
          </w:p>
        </w:tc>
        <w:tc>
          <w:tcPr>
            <w:tcW w:w="1128" w:type="dxa"/>
            <w:vAlign w:val="top"/>
          </w:tcPr>
          <w:p>
            <w:pPr>
              <w:pStyle w:val="6"/>
              <w:spacing w:before="76" w:line="208" w:lineRule="auto"/>
              <w:ind w:left="365"/>
            </w:pPr>
            <w:r>
              <w:rPr>
                <w:spacing w:val="-3"/>
              </w:rPr>
              <w:t>夜间</w:t>
            </w:r>
          </w:p>
        </w:tc>
        <w:tc>
          <w:tcPr>
            <w:tcW w:w="1125" w:type="dxa"/>
            <w:vAlign w:val="top"/>
          </w:tcPr>
          <w:p>
            <w:pPr>
              <w:pStyle w:val="6"/>
              <w:spacing w:before="76" w:line="208" w:lineRule="auto"/>
              <w:ind w:left="359"/>
            </w:pPr>
            <w:r>
              <w:rPr>
                <w:spacing w:val="-2"/>
              </w:rPr>
              <w:t>昼间</w:t>
            </w:r>
          </w:p>
        </w:tc>
        <w:tc>
          <w:tcPr>
            <w:tcW w:w="1135" w:type="dxa"/>
            <w:vAlign w:val="top"/>
          </w:tcPr>
          <w:p>
            <w:pPr>
              <w:pStyle w:val="6"/>
              <w:spacing w:before="76" w:line="208" w:lineRule="auto"/>
              <w:ind w:left="366"/>
            </w:pPr>
            <w:r>
              <w:rPr>
                <w:spacing w:val="-3"/>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003" w:type="dxa"/>
            <w:vAlign w:val="top"/>
          </w:tcPr>
          <w:p>
            <w:pPr>
              <w:spacing w:before="115" w:line="187" w:lineRule="auto"/>
              <w:ind w:left="91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509" w:type="dxa"/>
            <w:vAlign w:val="top"/>
          </w:tcPr>
          <w:p>
            <w:pPr>
              <w:spacing w:before="115" w:line="18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67.0</w:t>
            </w:r>
          </w:p>
        </w:tc>
        <w:tc>
          <w:tcPr>
            <w:tcW w:w="1269" w:type="dxa"/>
            <w:vAlign w:val="top"/>
          </w:tcPr>
          <w:p>
            <w:pPr>
              <w:spacing w:before="115" w:line="18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1125" w:type="dxa"/>
            <w:vAlign w:val="top"/>
          </w:tcPr>
          <w:p>
            <w:pPr>
              <w:spacing w:before="115"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70.1</w:t>
            </w:r>
          </w:p>
        </w:tc>
        <w:tc>
          <w:tcPr>
            <w:tcW w:w="1128" w:type="dxa"/>
            <w:vAlign w:val="top"/>
          </w:tcPr>
          <w:p>
            <w:pPr>
              <w:spacing w:before="115"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64.6</w:t>
            </w:r>
          </w:p>
        </w:tc>
        <w:tc>
          <w:tcPr>
            <w:tcW w:w="1125" w:type="dxa"/>
            <w:vAlign w:val="top"/>
          </w:tcPr>
          <w:p>
            <w:pPr>
              <w:spacing w:before="115"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71.6</w:t>
            </w:r>
          </w:p>
        </w:tc>
        <w:tc>
          <w:tcPr>
            <w:tcW w:w="1135" w:type="dxa"/>
            <w:vAlign w:val="top"/>
          </w:tcPr>
          <w:p>
            <w:pPr>
              <w:spacing w:before="115"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03" w:type="dxa"/>
            <w:vAlign w:val="top"/>
          </w:tcPr>
          <w:p>
            <w:pPr>
              <w:spacing w:before="115" w:line="187" w:lineRule="auto"/>
              <w:ind w:left="8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509" w:type="dxa"/>
            <w:vAlign w:val="top"/>
          </w:tcPr>
          <w:p>
            <w:pPr>
              <w:spacing w:before="89" w:line="187" w:lineRule="auto"/>
              <w:ind w:left="5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60.0</w:t>
            </w:r>
          </w:p>
        </w:tc>
        <w:tc>
          <w:tcPr>
            <w:tcW w:w="1269" w:type="dxa"/>
            <w:vAlign w:val="top"/>
          </w:tcPr>
          <w:p>
            <w:pPr>
              <w:spacing w:before="89" w:line="187" w:lineRule="auto"/>
              <w:ind w:left="4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54.6</w:t>
            </w:r>
          </w:p>
        </w:tc>
        <w:tc>
          <w:tcPr>
            <w:tcW w:w="1125" w:type="dxa"/>
            <w:vAlign w:val="top"/>
          </w:tcPr>
          <w:p>
            <w:pPr>
              <w:spacing w:before="89" w:line="187" w:lineRule="auto"/>
              <w:ind w:left="3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63.0</w:t>
            </w:r>
          </w:p>
        </w:tc>
        <w:tc>
          <w:tcPr>
            <w:tcW w:w="1128" w:type="dxa"/>
            <w:vAlign w:val="top"/>
          </w:tcPr>
          <w:p>
            <w:pPr>
              <w:spacing w:before="92" w:line="184" w:lineRule="auto"/>
              <w:ind w:left="38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57.5</w:t>
            </w:r>
          </w:p>
        </w:tc>
        <w:tc>
          <w:tcPr>
            <w:tcW w:w="1125" w:type="dxa"/>
            <w:vAlign w:val="top"/>
          </w:tcPr>
          <w:p>
            <w:pPr>
              <w:spacing w:before="89" w:line="187"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66.1</w:t>
            </w:r>
          </w:p>
        </w:tc>
        <w:tc>
          <w:tcPr>
            <w:tcW w:w="1135" w:type="dxa"/>
            <w:vAlign w:val="top"/>
          </w:tcPr>
          <w:p>
            <w:pPr>
              <w:spacing w:before="89" w:line="187" w:lineRule="auto"/>
              <w:ind w:left="3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003" w:type="dxa"/>
            <w:vAlign w:val="top"/>
          </w:tcPr>
          <w:p>
            <w:pPr>
              <w:spacing w:before="116" w:line="187" w:lineRule="auto"/>
              <w:ind w:left="9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509" w:type="dxa"/>
            <w:vAlign w:val="top"/>
          </w:tcPr>
          <w:p>
            <w:pPr>
              <w:spacing w:before="90" w:line="187" w:lineRule="auto"/>
              <w:ind w:left="5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56.2</w:t>
            </w:r>
          </w:p>
        </w:tc>
        <w:tc>
          <w:tcPr>
            <w:tcW w:w="1269" w:type="dxa"/>
            <w:vAlign w:val="top"/>
          </w:tcPr>
          <w:p>
            <w:pPr>
              <w:spacing w:before="90" w:line="187" w:lineRule="auto"/>
              <w:ind w:left="4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50.8</w:t>
            </w:r>
          </w:p>
        </w:tc>
        <w:tc>
          <w:tcPr>
            <w:tcW w:w="1125" w:type="dxa"/>
            <w:vAlign w:val="top"/>
          </w:tcPr>
          <w:p>
            <w:pPr>
              <w:spacing w:before="90" w:line="187"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59.2</w:t>
            </w:r>
          </w:p>
        </w:tc>
        <w:tc>
          <w:tcPr>
            <w:tcW w:w="1128" w:type="dxa"/>
            <w:vAlign w:val="top"/>
          </w:tcPr>
          <w:p>
            <w:pPr>
              <w:spacing w:before="90" w:line="187" w:lineRule="auto"/>
              <w:ind w:left="38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53.8</w:t>
            </w:r>
          </w:p>
        </w:tc>
        <w:tc>
          <w:tcPr>
            <w:tcW w:w="1125" w:type="dxa"/>
            <w:vAlign w:val="top"/>
          </w:tcPr>
          <w:p>
            <w:pPr>
              <w:spacing w:before="90" w:line="187"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63.2</w:t>
            </w:r>
          </w:p>
        </w:tc>
        <w:tc>
          <w:tcPr>
            <w:tcW w:w="1135" w:type="dxa"/>
            <w:vAlign w:val="top"/>
          </w:tcPr>
          <w:p>
            <w:pPr>
              <w:spacing w:before="90" w:line="187" w:lineRule="auto"/>
              <w:ind w:left="3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03" w:type="dxa"/>
            <w:vAlign w:val="top"/>
          </w:tcPr>
          <w:p>
            <w:pPr>
              <w:spacing w:before="116" w:line="187" w:lineRule="auto"/>
              <w:ind w:left="8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509" w:type="dxa"/>
            <w:vAlign w:val="top"/>
          </w:tcPr>
          <w:p>
            <w:pPr>
              <w:spacing w:before="90" w:line="187" w:lineRule="auto"/>
              <w:ind w:left="5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53.9</w:t>
            </w:r>
          </w:p>
        </w:tc>
        <w:tc>
          <w:tcPr>
            <w:tcW w:w="1269" w:type="dxa"/>
            <w:vAlign w:val="top"/>
          </w:tcPr>
          <w:p>
            <w:pPr>
              <w:spacing w:before="90" w:line="187"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48.5</w:t>
            </w:r>
          </w:p>
        </w:tc>
        <w:tc>
          <w:tcPr>
            <w:tcW w:w="1125" w:type="dxa"/>
            <w:vAlign w:val="top"/>
          </w:tcPr>
          <w:p>
            <w:pPr>
              <w:spacing w:before="90" w:line="187"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56.9</w:t>
            </w:r>
          </w:p>
        </w:tc>
        <w:tc>
          <w:tcPr>
            <w:tcW w:w="1128" w:type="dxa"/>
            <w:vAlign w:val="top"/>
          </w:tcPr>
          <w:p>
            <w:pPr>
              <w:spacing w:before="90" w:line="187" w:lineRule="auto"/>
              <w:ind w:left="38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51.4</w:t>
            </w:r>
          </w:p>
        </w:tc>
        <w:tc>
          <w:tcPr>
            <w:tcW w:w="1125" w:type="dxa"/>
            <w:vAlign w:val="top"/>
          </w:tcPr>
          <w:p>
            <w:pPr>
              <w:spacing w:before="90" w:line="187"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61.5</w:t>
            </w:r>
          </w:p>
        </w:tc>
        <w:tc>
          <w:tcPr>
            <w:tcW w:w="1135" w:type="dxa"/>
            <w:vAlign w:val="top"/>
          </w:tcPr>
          <w:p>
            <w:pPr>
              <w:spacing w:before="90" w:line="187" w:lineRule="auto"/>
              <w:ind w:left="3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003" w:type="dxa"/>
            <w:vAlign w:val="top"/>
          </w:tcPr>
          <w:p>
            <w:pPr>
              <w:spacing w:before="117" w:line="187" w:lineRule="auto"/>
              <w:ind w:left="90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509" w:type="dxa"/>
            <w:vAlign w:val="top"/>
          </w:tcPr>
          <w:p>
            <w:pPr>
              <w:spacing w:before="91" w:line="187" w:lineRule="auto"/>
              <w:ind w:left="5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52.1</w:t>
            </w:r>
          </w:p>
        </w:tc>
        <w:tc>
          <w:tcPr>
            <w:tcW w:w="1269" w:type="dxa"/>
            <w:vAlign w:val="top"/>
          </w:tcPr>
          <w:p>
            <w:pPr>
              <w:spacing w:before="91" w:line="187"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46.8</w:t>
            </w:r>
          </w:p>
        </w:tc>
        <w:tc>
          <w:tcPr>
            <w:tcW w:w="1125" w:type="dxa"/>
            <w:vAlign w:val="top"/>
          </w:tcPr>
          <w:p>
            <w:pPr>
              <w:spacing w:before="91" w:line="187"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55.2</w:t>
            </w:r>
          </w:p>
        </w:tc>
        <w:tc>
          <w:tcPr>
            <w:tcW w:w="1128" w:type="dxa"/>
            <w:vAlign w:val="top"/>
          </w:tcPr>
          <w:p>
            <w:pPr>
              <w:spacing w:before="91" w:line="187"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49.7</w:t>
            </w:r>
          </w:p>
        </w:tc>
        <w:tc>
          <w:tcPr>
            <w:tcW w:w="1125" w:type="dxa"/>
            <w:vAlign w:val="top"/>
          </w:tcPr>
          <w:p>
            <w:pPr>
              <w:spacing w:before="91" w:line="187"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60.3</w:t>
            </w:r>
          </w:p>
        </w:tc>
        <w:tc>
          <w:tcPr>
            <w:tcW w:w="1135" w:type="dxa"/>
            <w:vAlign w:val="top"/>
          </w:tcPr>
          <w:p>
            <w:pPr>
              <w:spacing w:before="91" w:line="187" w:lineRule="auto"/>
              <w:ind w:left="3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03" w:type="dxa"/>
            <w:vAlign w:val="top"/>
          </w:tcPr>
          <w:p>
            <w:pPr>
              <w:spacing w:before="117" w:line="187" w:lineRule="auto"/>
              <w:ind w:left="9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509" w:type="dxa"/>
            <w:vAlign w:val="top"/>
          </w:tcPr>
          <w:p>
            <w:pPr>
              <w:spacing w:before="91" w:line="187" w:lineRule="auto"/>
              <w:ind w:left="5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50.8</w:t>
            </w:r>
          </w:p>
        </w:tc>
        <w:tc>
          <w:tcPr>
            <w:tcW w:w="1269" w:type="dxa"/>
            <w:vAlign w:val="top"/>
          </w:tcPr>
          <w:p>
            <w:pPr>
              <w:spacing w:before="91" w:line="187"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45.4</w:t>
            </w:r>
          </w:p>
        </w:tc>
        <w:tc>
          <w:tcPr>
            <w:tcW w:w="1125" w:type="dxa"/>
            <w:vAlign w:val="top"/>
          </w:tcPr>
          <w:p>
            <w:pPr>
              <w:spacing w:before="91" w:line="187"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53.8</w:t>
            </w:r>
          </w:p>
        </w:tc>
        <w:tc>
          <w:tcPr>
            <w:tcW w:w="1128" w:type="dxa"/>
            <w:vAlign w:val="top"/>
          </w:tcPr>
          <w:p>
            <w:pPr>
              <w:spacing w:before="91" w:line="187"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48.4</w:t>
            </w:r>
          </w:p>
        </w:tc>
        <w:tc>
          <w:tcPr>
            <w:tcW w:w="1125" w:type="dxa"/>
            <w:vAlign w:val="top"/>
          </w:tcPr>
          <w:p>
            <w:pPr>
              <w:spacing w:before="91" w:line="187"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59.4</w:t>
            </w:r>
          </w:p>
        </w:tc>
        <w:tc>
          <w:tcPr>
            <w:tcW w:w="1135" w:type="dxa"/>
            <w:vAlign w:val="top"/>
          </w:tcPr>
          <w:p>
            <w:pPr>
              <w:spacing w:before="91" w:line="187"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003" w:type="dxa"/>
            <w:vAlign w:val="top"/>
          </w:tcPr>
          <w:p>
            <w:pPr>
              <w:spacing w:before="118" w:line="187" w:lineRule="auto"/>
              <w:ind w:left="9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509" w:type="dxa"/>
            <w:vAlign w:val="top"/>
          </w:tcPr>
          <w:p>
            <w:pPr>
              <w:spacing w:before="92" w:line="187" w:lineRule="auto"/>
              <w:ind w:left="56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49.7</w:t>
            </w:r>
          </w:p>
        </w:tc>
        <w:tc>
          <w:tcPr>
            <w:tcW w:w="1269" w:type="dxa"/>
            <w:vAlign w:val="top"/>
          </w:tcPr>
          <w:p>
            <w:pPr>
              <w:spacing w:before="92" w:line="187"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44.3</w:t>
            </w:r>
          </w:p>
        </w:tc>
        <w:tc>
          <w:tcPr>
            <w:tcW w:w="1125" w:type="dxa"/>
            <w:vAlign w:val="top"/>
          </w:tcPr>
          <w:p>
            <w:pPr>
              <w:spacing w:before="92" w:line="187"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52.7</w:t>
            </w:r>
          </w:p>
        </w:tc>
        <w:tc>
          <w:tcPr>
            <w:tcW w:w="1128" w:type="dxa"/>
            <w:vAlign w:val="top"/>
          </w:tcPr>
          <w:p>
            <w:pPr>
              <w:spacing w:before="92" w:line="187"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47.2</w:t>
            </w:r>
          </w:p>
        </w:tc>
        <w:tc>
          <w:tcPr>
            <w:tcW w:w="1125" w:type="dxa"/>
            <w:vAlign w:val="top"/>
          </w:tcPr>
          <w:p>
            <w:pPr>
              <w:spacing w:before="92" w:line="187"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58.6</w:t>
            </w:r>
          </w:p>
        </w:tc>
        <w:tc>
          <w:tcPr>
            <w:tcW w:w="1135" w:type="dxa"/>
            <w:vAlign w:val="top"/>
          </w:tcPr>
          <w:p>
            <w:pPr>
              <w:spacing w:before="92" w:line="187"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003" w:type="dxa"/>
            <w:vAlign w:val="top"/>
          </w:tcPr>
          <w:p>
            <w:pPr>
              <w:spacing w:before="118" w:line="187" w:lineRule="auto"/>
              <w:ind w:left="90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509" w:type="dxa"/>
            <w:vAlign w:val="top"/>
          </w:tcPr>
          <w:p>
            <w:pPr>
              <w:spacing w:before="92" w:line="187" w:lineRule="auto"/>
              <w:ind w:left="56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48.7</w:t>
            </w:r>
          </w:p>
        </w:tc>
        <w:tc>
          <w:tcPr>
            <w:tcW w:w="1269" w:type="dxa"/>
            <w:vAlign w:val="top"/>
          </w:tcPr>
          <w:p>
            <w:pPr>
              <w:spacing w:before="92" w:line="187"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43.3</w:t>
            </w:r>
          </w:p>
        </w:tc>
        <w:tc>
          <w:tcPr>
            <w:tcW w:w="1125" w:type="dxa"/>
            <w:vAlign w:val="top"/>
          </w:tcPr>
          <w:p>
            <w:pPr>
              <w:spacing w:before="92" w:line="187"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51.7</w:t>
            </w:r>
          </w:p>
        </w:tc>
        <w:tc>
          <w:tcPr>
            <w:tcW w:w="1128" w:type="dxa"/>
            <w:vAlign w:val="top"/>
          </w:tcPr>
          <w:p>
            <w:pPr>
              <w:spacing w:before="92" w:line="187"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46.3</w:t>
            </w:r>
          </w:p>
        </w:tc>
        <w:tc>
          <w:tcPr>
            <w:tcW w:w="1125" w:type="dxa"/>
            <w:vAlign w:val="top"/>
          </w:tcPr>
          <w:p>
            <w:pPr>
              <w:spacing w:before="92" w:line="187"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57.9</w:t>
            </w:r>
          </w:p>
        </w:tc>
        <w:tc>
          <w:tcPr>
            <w:tcW w:w="1135" w:type="dxa"/>
            <w:vAlign w:val="top"/>
          </w:tcPr>
          <w:p>
            <w:pPr>
              <w:spacing w:before="92" w:line="187"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47.3</w:t>
            </w:r>
          </w:p>
        </w:tc>
      </w:tr>
    </w:tbl>
    <w:p>
      <w:pPr>
        <w:pStyle w:val="2"/>
      </w:pPr>
    </w:p>
    <w:p>
      <w:pPr>
        <w:sectPr>
          <w:headerReference r:id="rId269" w:type="default"/>
          <w:footerReference r:id="rId270" w:type="default"/>
          <w:pgSz w:w="11907" w:h="16839"/>
          <w:pgMar w:top="1118" w:right="1303" w:bottom="1072" w:left="1303" w:header="877" w:footer="911" w:gutter="0"/>
          <w:cols w:space="720" w:num="1"/>
        </w:sectPr>
      </w:pPr>
    </w:p>
    <w:p>
      <w:pPr>
        <w:spacing w:before="113"/>
      </w:pPr>
    </w:p>
    <w:tbl>
      <w:tblPr>
        <w:tblStyle w:val="5"/>
        <w:tblW w:w="9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3"/>
        <w:gridCol w:w="1509"/>
        <w:gridCol w:w="1269"/>
        <w:gridCol w:w="1125"/>
        <w:gridCol w:w="1128"/>
        <w:gridCol w:w="1125"/>
        <w:gridCol w:w="11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003" w:type="dxa"/>
            <w:vAlign w:val="top"/>
          </w:tcPr>
          <w:p>
            <w:pPr>
              <w:spacing w:before="118" w:line="187" w:lineRule="auto"/>
              <w:ind w:left="9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509" w:type="dxa"/>
            <w:vAlign w:val="top"/>
          </w:tcPr>
          <w:p>
            <w:pPr>
              <w:spacing w:before="92" w:line="187" w:lineRule="auto"/>
              <w:ind w:left="56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47.9</w:t>
            </w:r>
          </w:p>
        </w:tc>
        <w:tc>
          <w:tcPr>
            <w:tcW w:w="1269" w:type="dxa"/>
            <w:vAlign w:val="top"/>
          </w:tcPr>
          <w:p>
            <w:pPr>
              <w:spacing w:before="92" w:line="187"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42.5</w:t>
            </w:r>
          </w:p>
        </w:tc>
        <w:tc>
          <w:tcPr>
            <w:tcW w:w="1125" w:type="dxa"/>
            <w:vAlign w:val="top"/>
          </w:tcPr>
          <w:p>
            <w:pPr>
              <w:spacing w:before="92" w:line="187"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50.9</w:t>
            </w:r>
          </w:p>
        </w:tc>
        <w:tc>
          <w:tcPr>
            <w:tcW w:w="1128" w:type="dxa"/>
            <w:vAlign w:val="top"/>
          </w:tcPr>
          <w:p>
            <w:pPr>
              <w:spacing w:before="92" w:line="187"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45.4</w:t>
            </w:r>
          </w:p>
        </w:tc>
        <w:tc>
          <w:tcPr>
            <w:tcW w:w="1125" w:type="dxa"/>
            <w:vAlign w:val="top"/>
          </w:tcPr>
          <w:p>
            <w:pPr>
              <w:spacing w:before="92" w:line="187"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57.3</w:t>
            </w:r>
          </w:p>
        </w:tc>
        <w:tc>
          <w:tcPr>
            <w:tcW w:w="1135" w:type="dxa"/>
            <w:vAlign w:val="top"/>
          </w:tcPr>
          <w:p>
            <w:pPr>
              <w:spacing w:before="92" w:line="187"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03" w:type="dxa"/>
            <w:vAlign w:val="top"/>
          </w:tcPr>
          <w:p>
            <w:pPr>
              <w:spacing w:before="114" w:line="187" w:lineRule="auto"/>
              <w:ind w:left="86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509" w:type="dxa"/>
            <w:vAlign w:val="top"/>
          </w:tcPr>
          <w:p>
            <w:pPr>
              <w:spacing w:before="85" w:line="187" w:lineRule="auto"/>
              <w:ind w:left="56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47.1</w:t>
            </w:r>
          </w:p>
        </w:tc>
        <w:tc>
          <w:tcPr>
            <w:tcW w:w="1269" w:type="dxa"/>
            <w:vAlign w:val="top"/>
          </w:tcPr>
          <w:p>
            <w:pPr>
              <w:spacing w:before="85" w:line="187"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41.7</w:t>
            </w:r>
          </w:p>
        </w:tc>
        <w:tc>
          <w:tcPr>
            <w:tcW w:w="1125" w:type="dxa"/>
            <w:vAlign w:val="top"/>
          </w:tcPr>
          <w:p>
            <w:pPr>
              <w:spacing w:before="85" w:line="187"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50.2</w:t>
            </w:r>
          </w:p>
        </w:tc>
        <w:tc>
          <w:tcPr>
            <w:tcW w:w="1128" w:type="dxa"/>
            <w:vAlign w:val="top"/>
          </w:tcPr>
          <w:p>
            <w:pPr>
              <w:spacing w:before="85" w:line="187"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44.7</w:t>
            </w:r>
          </w:p>
        </w:tc>
        <w:tc>
          <w:tcPr>
            <w:tcW w:w="1125" w:type="dxa"/>
            <w:vAlign w:val="top"/>
          </w:tcPr>
          <w:p>
            <w:pPr>
              <w:spacing w:before="85" w:line="187"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56.8</w:t>
            </w:r>
          </w:p>
        </w:tc>
        <w:tc>
          <w:tcPr>
            <w:tcW w:w="1135" w:type="dxa"/>
            <w:vAlign w:val="top"/>
          </w:tcPr>
          <w:p>
            <w:pPr>
              <w:spacing w:before="85" w:line="187"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003" w:type="dxa"/>
            <w:vAlign w:val="top"/>
          </w:tcPr>
          <w:p>
            <w:pPr>
              <w:spacing w:before="114" w:line="187" w:lineRule="auto"/>
              <w:ind w:left="86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110</w:t>
            </w:r>
          </w:p>
        </w:tc>
        <w:tc>
          <w:tcPr>
            <w:tcW w:w="1509" w:type="dxa"/>
            <w:vAlign w:val="top"/>
          </w:tcPr>
          <w:p>
            <w:pPr>
              <w:spacing w:before="88" w:line="187" w:lineRule="auto"/>
              <w:ind w:left="56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46.5</w:t>
            </w:r>
          </w:p>
        </w:tc>
        <w:tc>
          <w:tcPr>
            <w:tcW w:w="1269" w:type="dxa"/>
            <w:vAlign w:val="top"/>
          </w:tcPr>
          <w:p>
            <w:pPr>
              <w:spacing w:before="88" w:line="187"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41.1</w:t>
            </w:r>
          </w:p>
        </w:tc>
        <w:tc>
          <w:tcPr>
            <w:tcW w:w="1125" w:type="dxa"/>
            <w:vAlign w:val="top"/>
          </w:tcPr>
          <w:p>
            <w:pPr>
              <w:spacing w:before="88" w:line="187"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49.5</w:t>
            </w:r>
          </w:p>
        </w:tc>
        <w:tc>
          <w:tcPr>
            <w:tcW w:w="1128" w:type="dxa"/>
            <w:vAlign w:val="top"/>
          </w:tcPr>
          <w:p>
            <w:pPr>
              <w:spacing w:before="88" w:line="187"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44.0</w:t>
            </w:r>
          </w:p>
        </w:tc>
        <w:tc>
          <w:tcPr>
            <w:tcW w:w="1125" w:type="dxa"/>
            <w:vAlign w:val="top"/>
          </w:tcPr>
          <w:p>
            <w:pPr>
              <w:spacing w:before="88" w:line="187"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56.3</w:t>
            </w:r>
          </w:p>
        </w:tc>
        <w:tc>
          <w:tcPr>
            <w:tcW w:w="1135" w:type="dxa"/>
            <w:vAlign w:val="top"/>
          </w:tcPr>
          <w:p>
            <w:pPr>
              <w:spacing w:before="88" w:line="187"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03" w:type="dxa"/>
            <w:vAlign w:val="top"/>
          </w:tcPr>
          <w:p>
            <w:pPr>
              <w:spacing w:before="116" w:line="187" w:lineRule="auto"/>
              <w:ind w:left="86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1509" w:type="dxa"/>
            <w:vAlign w:val="top"/>
          </w:tcPr>
          <w:p>
            <w:pPr>
              <w:spacing w:before="87" w:line="187" w:lineRule="auto"/>
              <w:ind w:left="56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45.9</w:t>
            </w:r>
          </w:p>
        </w:tc>
        <w:tc>
          <w:tcPr>
            <w:tcW w:w="1269" w:type="dxa"/>
            <w:vAlign w:val="top"/>
          </w:tcPr>
          <w:p>
            <w:pPr>
              <w:spacing w:before="87" w:line="187"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40.5</w:t>
            </w:r>
          </w:p>
        </w:tc>
        <w:tc>
          <w:tcPr>
            <w:tcW w:w="1125" w:type="dxa"/>
            <w:vAlign w:val="top"/>
          </w:tcPr>
          <w:p>
            <w:pPr>
              <w:spacing w:before="87" w:line="187"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48.9</w:t>
            </w:r>
          </w:p>
        </w:tc>
        <w:tc>
          <w:tcPr>
            <w:tcW w:w="1128" w:type="dxa"/>
            <w:vAlign w:val="top"/>
          </w:tcPr>
          <w:p>
            <w:pPr>
              <w:spacing w:before="87" w:line="187"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43.4</w:t>
            </w:r>
          </w:p>
        </w:tc>
        <w:tc>
          <w:tcPr>
            <w:tcW w:w="1125" w:type="dxa"/>
            <w:vAlign w:val="top"/>
          </w:tcPr>
          <w:p>
            <w:pPr>
              <w:spacing w:before="87" w:line="187"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55.9</w:t>
            </w:r>
          </w:p>
        </w:tc>
        <w:tc>
          <w:tcPr>
            <w:tcW w:w="1135" w:type="dxa"/>
            <w:vAlign w:val="top"/>
          </w:tcPr>
          <w:p>
            <w:pPr>
              <w:spacing w:before="87" w:line="187"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003" w:type="dxa"/>
            <w:vAlign w:val="top"/>
          </w:tcPr>
          <w:p>
            <w:pPr>
              <w:spacing w:before="116" w:line="187" w:lineRule="auto"/>
              <w:ind w:left="86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140</w:t>
            </w:r>
          </w:p>
        </w:tc>
        <w:tc>
          <w:tcPr>
            <w:tcW w:w="1509" w:type="dxa"/>
            <w:vAlign w:val="top"/>
          </w:tcPr>
          <w:p>
            <w:pPr>
              <w:spacing w:before="90" w:line="187" w:lineRule="auto"/>
              <w:ind w:left="56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44.8</w:t>
            </w:r>
          </w:p>
        </w:tc>
        <w:tc>
          <w:tcPr>
            <w:tcW w:w="1269" w:type="dxa"/>
            <w:vAlign w:val="top"/>
          </w:tcPr>
          <w:p>
            <w:pPr>
              <w:spacing w:before="90" w:line="187" w:lineRule="auto"/>
              <w:ind w:left="4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39.4</w:t>
            </w:r>
          </w:p>
        </w:tc>
        <w:tc>
          <w:tcPr>
            <w:tcW w:w="1125" w:type="dxa"/>
            <w:vAlign w:val="top"/>
          </w:tcPr>
          <w:p>
            <w:pPr>
              <w:spacing w:before="90" w:line="187"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47.8</w:t>
            </w:r>
          </w:p>
        </w:tc>
        <w:tc>
          <w:tcPr>
            <w:tcW w:w="1128" w:type="dxa"/>
            <w:vAlign w:val="top"/>
          </w:tcPr>
          <w:p>
            <w:pPr>
              <w:spacing w:before="90" w:line="187"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42.3</w:t>
            </w:r>
          </w:p>
        </w:tc>
        <w:tc>
          <w:tcPr>
            <w:tcW w:w="1125" w:type="dxa"/>
            <w:vAlign w:val="top"/>
          </w:tcPr>
          <w:p>
            <w:pPr>
              <w:spacing w:before="90" w:line="187"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55.2</w:t>
            </w:r>
          </w:p>
        </w:tc>
        <w:tc>
          <w:tcPr>
            <w:tcW w:w="1135" w:type="dxa"/>
            <w:vAlign w:val="top"/>
          </w:tcPr>
          <w:p>
            <w:pPr>
              <w:spacing w:before="90" w:line="187"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03" w:type="dxa"/>
            <w:vAlign w:val="top"/>
          </w:tcPr>
          <w:p>
            <w:pPr>
              <w:spacing w:before="118" w:line="187" w:lineRule="auto"/>
              <w:ind w:left="86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160</w:t>
            </w:r>
          </w:p>
        </w:tc>
        <w:tc>
          <w:tcPr>
            <w:tcW w:w="1509" w:type="dxa"/>
            <w:vAlign w:val="top"/>
          </w:tcPr>
          <w:p>
            <w:pPr>
              <w:spacing w:before="89" w:line="187" w:lineRule="auto"/>
              <w:ind w:left="56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43.8</w:t>
            </w:r>
          </w:p>
        </w:tc>
        <w:tc>
          <w:tcPr>
            <w:tcW w:w="1269" w:type="dxa"/>
            <w:vAlign w:val="top"/>
          </w:tcPr>
          <w:p>
            <w:pPr>
              <w:spacing w:before="89" w:line="187" w:lineRule="auto"/>
              <w:ind w:left="4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38.4</w:t>
            </w:r>
          </w:p>
        </w:tc>
        <w:tc>
          <w:tcPr>
            <w:tcW w:w="1125" w:type="dxa"/>
            <w:vAlign w:val="top"/>
          </w:tcPr>
          <w:p>
            <w:pPr>
              <w:spacing w:before="89" w:line="187"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46.9</w:t>
            </w:r>
          </w:p>
        </w:tc>
        <w:tc>
          <w:tcPr>
            <w:tcW w:w="1128" w:type="dxa"/>
            <w:vAlign w:val="top"/>
          </w:tcPr>
          <w:p>
            <w:pPr>
              <w:spacing w:before="89" w:line="187"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41.4</w:t>
            </w:r>
          </w:p>
        </w:tc>
        <w:tc>
          <w:tcPr>
            <w:tcW w:w="1125" w:type="dxa"/>
            <w:vAlign w:val="top"/>
          </w:tcPr>
          <w:p>
            <w:pPr>
              <w:spacing w:before="89" w:line="187"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54.5</w:t>
            </w:r>
          </w:p>
        </w:tc>
        <w:tc>
          <w:tcPr>
            <w:tcW w:w="1135" w:type="dxa"/>
            <w:vAlign w:val="top"/>
          </w:tcPr>
          <w:p>
            <w:pPr>
              <w:spacing w:before="89" w:line="187"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003" w:type="dxa"/>
            <w:vAlign w:val="top"/>
          </w:tcPr>
          <w:p>
            <w:pPr>
              <w:spacing w:before="118" w:line="187" w:lineRule="auto"/>
              <w:ind w:left="86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180</w:t>
            </w:r>
          </w:p>
        </w:tc>
        <w:tc>
          <w:tcPr>
            <w:tcW w:w="1509" w:type="dxa"/>
            <w:vAlign w:val="top"/>
          </w:tcPr>
          <w:p>
            <w:pPr>
              <w:spacing w:before="92" w:line="187" w:lineRule="auto"/>
              <w:ind w:left="56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43.0</w:t>
            </w:r>
          </w:p>
        </w:tc>
        <w:tc>
          <w:tcPr>
            <w:tcW w:w="1269" w:type="dxa"/>
            <w:vAlign w:val="top"/>
          </w:tcPr>
          <w:p>
            <w:pPr>
              <w:spacing w:before="92" w:line="187" w:lineRule="auto"/>
              <w:ind w:left="4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37.6</w:t>
            </w:r>
          </w:p>
        </w:tc>
        <w:tc>
          <w:tcPr>
            <w:tcW w:w="1125" w:type="dxa"/>
            <w:vAlign w:val="top"/>
          </w:tcPr>
          <w:p>
            <w:pPr>
              <w:spacing w:before="92" w:line="187"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46.0</w:t>
            </w:r>
          </w:p>
        </w:tc>
        <w:tc>
          <w:tcPr>
            <w:tcW w:w="1128" w:type="dxa"/>
            <w:vAlign w:val="top"/>
          </w:tcPr>
          <w:p>
            <w:pPr>
              <w:spacing w:before="92" w:line="187"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40.6</w:t>
            </w:r>
          </w:p>
        </w:tc>
        <w:tc>
          <w:tcPr>
            <w:tcW w:w="1125" w:type="dxa"/>
            <w:vAlign w:val="top"/>
          </w:tcPr>
          <w:p>
            <w:pPr>
              <w:spacing w:before="92" w:line="187"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53.9</w:t>
            </w:r>
          </w:p>
        </w:tc>
        <w:tc>
          <w:tcPr>
            <w:tcW w:w="1135" w:type="dxa"/>
            <w:vAlign w:val="top"/>
          </w:tcPr>
          <w:p>
            <w:pPr>
              <w:spacing w:before="92" w:line="187"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003" w:type="dxa"/>
            <w:vAlign w:val="top"/>
          </w:tcPr>
          <w:p>
            <w:pPr>
              <w:spacing w:before="119" w:line="187" w:lineRule="auto"/>
              <w:ind w:left="8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509" w:type="dxa"/>
            <w:vAlign w:val="top"/>
          </w:tcPr>
          <w:p>
            <w:pPr>
              <w:spacing w:before="90" w:line="187" w:lineRule="auto"/>
              <w:ind w:left="56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42.3</w:t>
            </w:r>
          </w:p>
        </w:tc>
        <w:tc>
          <w:tcPr>
            <w:tcW w:w="1269" w:type="dxa"/>
            <w:vAlign w:val="top"/>
          </w:tcPr>
          <w:p>
            <w:pPr>
              <w:spacing w:before="90" w:line="187" w:lineRule="auto"/>
              <w:ind w:left="4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36.9</w:t>
            </w:r>
          </w:p>
        </w:tc>
        <w:tc>
          <w:tcPr>
            <w:tcW w:w="1125" w:type="dxa"/>
            <w:vAlign w:val="top"/>
          </w:tcPr>
          <w:p>
            <w:pPr>
              <w:spacing w:before="90" w:line="187"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45.3</w:t>
            </w:r>
          </w:p>
        </w:tc>
        <w:tc>
          <w:tcPr>
            <w:tcW w:w="1128" w:type="dxa"/>
            <w:vAlign w:val="top"/>
          </w:tcPr>
          <w:p>
            <w:pPr>
              <w:spacing w:before="90" w:line="187" w:lineRule="auto"/>
              <w:ind w:left="3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39.8</w:t>
            </w:r>
          </w:p>
        </w:tc>
        <w:tc>
          <w:tcPr>
            <w:tcW w:w="1125" w:type="dxa"/>
            <w:vAlign w:val="top"/>
          </w:tcPr>
          <w:p>
            <w:pPr>
              <w:spacing w:before="90" w:line="187"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53.4</w:t>
            </w:r>
          </w:p>
        </w:tc>
        <w:tc>
          <w:tcPr>
            <w:tcW w:w="1135" w:type="dxa"/>
            <w:vAlign w:val="top"/>
          </w:tcPr>
          <w:p>
            <w:pPr>
              <w:spacing w:before="90" w:line="187"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40.9</w:t>
            </w:r>
          </w:p>
        </w:tc>
      </w:tr>
    </w:tbl>
    <w:p>
      <w:pPr>
        <w:pStyle w:val="2"/>
        <w:spacing w:line="269" w:lineRule="auto"/>
      </w:pPr>
    </w:p>
    <w:p>
      <w:pPr>
        <w:spacing w:before="78" w:line="359" w:lineRule="auto"/>
        <w:ind w:left="123" w:right="113" w:firstLine="508"/>
        <w:jc w:val="both"/>
        <w:rPr>
          <w:rFonts w:ascii="宋体" w:hAnsi="宋体" w:eastAsia="宋体" w:cs="宋体"/>
          <w:sz w:val="24"/>
          <w:szCs w:val="24"/>
        </w:rPr>
      </w:pPr>
      <w:r>
        <w:rPr>
          <w:rFonts w:ascii="宋体" w:hAnsi="宋体" w:eastAsia="宋体" w:cs="宋体"/>
          <w:spacing w:val="-6"/>
          <w:sz w:val="24"/>
          <w:szCs w:val="24"/>
        </w:rPr>
        <w:t>由上表可知， 在不考虑建筑物遮挡等因素， 交通噪声</w:t>
      </w:r>
      <w:r>
        <w:rPr>
          <w:rFonts w:ascii="Times New Roman" w:hAnsi="Times New Roman" w:eastAsia="Times New Roman" w:cs="Times New Roman"/>
          <w:spacing w:val="-6"/>
          <w:sz w:val="24"/>
          <w:szCs w:val="24"/>
        </w:rPr>
        <w:t>(</w:t>
      </w:r>
      <w:r>
        <w:rPr>
          <w:rFonts w:ascii="宋体" w:hAnsi="宋体" w:eastAsia="宋体" w:cs="宋体"/>
          <w:spacing w:val="-7"/>
          <w:sz w:val="24"/>
          <w:szCs w:val="24"/>
        </w:rPr>
        <w:t>直达声</w:t>
      </w:r>
      <w:r>
        <w:rPr>
          <w:rFonts w:ascii="Times New Roman" w:hAnsi="Times New Roman" w:eastAsia="Times New Roman" w:cs="Times New Roman"/>
          <w:spacing w:val="-7"/>
          <w:sz w:val="24"/>
          <w:szCs w:val="24"/>
        </w:rPr>
        <w:t>)</w:t>
      </w:r>
      <w:r>
        <w:rPr>
          <w:rFonts w:ascii="宋体" w:hAnsi="宋体" w:eastAsia="宋体" w:cs="宋体"/>
          <w:spacing w:val="-7"/>
          <w:sz w:val="24"/>
          <w:szCs w:val="24"/>
        </w:rPr>
        <w:t>分布在不同功能区达</w:t>
      </w:r>
      <w:r>
        <w:rPr>
          <w:rFonts w:ascii="宋体" w:hAnsi="宋体" w:eastAsia="宋体" w:cs="宋体"/>
          <w:sz w:val="24"/>
          <w:szCs w:val="24"/>
        </w:rPr>
        <w:t xml:space="preserve"> </w:t>
      </w:r>
      <w:r>
        <w:rPr>
          <w:rFonts w:ascii="宋体" w:hAnsi="宋体" w:eastAsia="宋体" w:cs="宋体"/>
          <w:spacing w:val="-11"/>
          <w:sz w:val="24"/>
          <w:szCs w:val="24"/>
        </w:rPr>
        <w:t>标情况如下表。但一般情况下，</w:t>
      </w:r>
      <w:r>
        <w:rPr>
          <w:rFonts w:ascii="宋体" w:hAnsi="宋体" w:eastAsia="宋体" w:cs="宋体"/>
          <w:spacing w:val="63"/>
          <w:sz w:val="24"/>
          <w:szCs w:val="24"/>
        </w:rPr>
        <w:t xml:space="preserve"> </w:t>
      </w:r>
      <w:r>
        <w:rPr>
          <w:rFonts w:ascii="宋体" w:hAnsi="宋体" w:eastAsia="宋体" w:cs="宋体"/>
          <w:spacing w:val="-11"/>
          <w:sz w:val="24"/>
          <w:szCs w:val="24"/>
        </w:rPr>
        <w:t>在考虑建筑物、山体及其他遮挡等的情况下，</w:t>
      </w:r>
      <w:r>
        <w:rPr>
          <w:rFonts w:ascii="宋体" w:hAnsi="宋体" w:eastAsia="宋体" w:cs="宋体"/>
          <w:spacing w:val="55"/>
          <w:sz w:val="24"/>
          <w:szCs w:val="24"/>
        </w:rPr>
        <w:t xml:space="preserve"> </w:t>
      </w:r>
      <w:r>
        <w:rPr>
          <w:rFonts w:ascii="宋体" w:hAnsi="宋体" w:eastAsia="宋体" w:cs="宋体"/>
          <w:spacing w:val="-11"/>
          <w:sz w:val="24"/>
          <w:szCs w:val="24"/>
        </w:rPr>
        <w:t>不同功能</w:t>
      </w:r>
    </w:p>
    <w:p>
      <w:pPr>
        <w:spacing w:before="1" w:line="218" w:lineRule="auto"/>
        <w:ind w:left="139"/>
        <w:rPr>
          <w:rFonts w:ascii="宋体" w:hAnsi="宋体" w:eastAsia="宋体" w:cs="宋体"/>
          <w:sz w:val="24"/>
          <w:szCs w:val="24"/>
        </w:rPr>
      </w:pPr>
      <w:r>
        <w:rPr>
          <w:rFonts w:ascii="宋体" w:hAnsi="宋体" w:eastAsia="宋体" w:cs="宋体"/>
          <w:spacing w:val="-5"/>
          <w:sz w:val="24"/>
          <w:szCs w:val="24"/>
        </w:rPr>
        <w:t>区的达标距离将大大缩短。</w:t>
      </w:r>
    </w:p>
    <w:p>
      <w:pPr>
        <w:spacing w:before="183" w:line="213" w:lineRule="auto"/>
        <w:ind w:left="1083"/>
        <w:rPr>
          <w:rFonts w:ascii="Times New Roman" w:hAnsi="Times New Roman" w:eastAsia="Times New Roman" w:cs="Times New Roman"/>
          <w:sz w:val="24"/>
          <w:szCs w:val="24"/>
        </w:rPr>
      </w:pPr>
      <w:r>
        <w:rPr>
          <w:rFonts w:ascii="宋体" w:hAnsi="宋体" w:eastAsia="宋体" w:cs="宋体"/>
          <w:spacing w:val="-2"/>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0.2-8        </w:t>
      </w:r>
      <w:r>
        <w:rPr>
          <w:rFonts w:ascii="宋体" w:hAnsi="宋体" w:eastAsia="宋体" w:cs="宋体"/>
          <w:spacing w:val="-2"/>
          <w:sz w:val="24"/>
          <w:szCs w:val="24"/>
        </w:rPr>
        <w:t>本工程交通噪声空旷情况下达标距</w:t>
      </w:r>
      <w:r>
        <w:rPr>
          <w:rFonts w:ascii="宋体" w:hAnsi="宋体" w:eastAsia="宋体" w:cs="宋体"/>
          <w:spacing w:val="-3"/>
          <w:sz w:val="24"/>
          <w:szCs w:val="24"/>
        </w:rPr>
        <w:t>离</w:t>
      </w:r>
      <w:r>
        <w:rPr>
          <w:rFonts w:ascii="Times New Roman" w:hAnsi="Times New Roman" w:eastAsia="Times New Roman" w:cs="Times New Roman"/>
          <w:spacing w:val="-3"/>
          <w:sz w:val="24"/>
          <w:szCs w:val="24"/>
        </w:rPr>
        <w:t>(</w:t>
      </w:r>
      <w:r>
        <w:rPr>
          <w:rFonts w:ascii="宋体" w:hAnsi="宋体" w:eastAsia="宋体" w:cs="宋体"/>
          <w:spacing w:val="-3"/>
          <w:sz w:val="24"/>
          <w:szCs w:val="24"/>
        </w:rPr>
        <w:t>距离中心线</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单位：</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m</w:t>
      </w:r>
    </w:p>
    <w:p>
      <w:pPr>
        <w:spacing w:line="152" w:lineRule="exact"/>
      </w:pPr>
    </w:p>
    <w:tbl>
      <w:tblPr>
        <w:tblStyle w:val="5"/>
        <w:tblW w:w="9231"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5"/>
        <w:gridCol w:w="984"/>
        <w:gridCol w:w="801"/>
        <w:gridCol w:w="808"/>
        <w:gridCol w:w="778"/>
        <w:gridCol w:w="775"/>
        <w:gridCol w:w="746"/>
        <w:gridCol w:w="962"/>
        <w:gridCol w:w="779"/>
        <w:gridCol w:w="9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665" w:type="dxa"/>
            <w:vMerge w:val="restart"/>
            <w:tcBorders>
              <w:bottom w:val="nil"/>
            </w:tcBorders>
            <w:vAlign w:val="top"/>
          </w:tcPr>
          <w:p>
            <w:pPr>
              <w:pStyle w:val="6"/>
              <w:spacing w:before="245" w:line="221" w:lineRule="auto"/>
              <w:ind w:left="626"/>
            </w:pPr>
            <w:r>
              <w:rPr>
                <w:spacing w:val="-2"/>
              </w:rPr>
              <w:t>道路</w:t>
            </w:r>
          </w:p>
        </w:tc>
        <w:tc>
          <w:tcPr>
            <w:tcW w:w="984" w:type="dxa"/>
            <w:vMerge w:val="restart"/>
            <w:tcBorders>
              <w:bottom w:val="nil"/>
            </w:tcBorders>
            <w:vAlign w:val="top"/>
          </w:tcPr>
          <w:p>
            <w:pPr>
              <w:pStyle w:val="6"/>
              <w:spacing w:before="87" w:line="319" w:lineRule="exact"/>
              <w:ind w:left="284"/>
            </w:pPr>
            <w:r>
              <w:rPr>
                <w:spacing w:val="-2"/>
                <w:position w:val="7"/>
              </w:rPr>
              <w:t>执行</w:t>
            </w:r>
          </w:p>
          <w:p>
            <w:pPr>
              <w:pStyle w:val="6"/>
              <w:spacing w:line="211" w:lineRule="auto"/>
              <w:ind w:left="285"/>
            </w:pPr>
            <w:r>
              <w:rPr>
                <w:spacing w:val="-2"/>
              </w:rPr>
              <w:t>标准</w:t>
            </w:r>
          </w:p>
        </w:tc>
        <w:tc>
          <w:tcPr>
            <w:tcW w:w="1609" w:type="dxa"/>
            <w:gridSpan w:val="2"/>
            <w:vAlign w:val="top"/>
          </w:tcPr>
          <w:p>
            <w:pPr>
              <w:pStyle w:val="6"/>
              <w:spacing w:before="82" w:line="209" w:lineRule="auto"/>
              <w:ind w:left="199"/>
              <w:rPr>
                <w:rFonts w:ascii="Times New Roman" w:hAnsi="Times New Roman" w:eastAsia="Times New Roman" w:cs="Times New Roman"/>
              </w:rPr>
            </w:pPr>
            <w:r>
              <w:rPr>
                <w:spacing w:val="-2"/>
              </w:rPr>
              <w:t>标准值</w:t>
            </w:r>
            <w:r>
              <w:rPr>
                <w:spacing w:val="-44"/>
              </w:rPr>
              <w:t xml:space="preserve"> </w:t>
            </w:r>
            <w:r>
              <w:rPr>
                <w:rFonts w:ascii="Times New Roman" w:hAnsi="Times New Roman" w:eastAsia="Times New Roman" w:cs="Times New Roman"/>
                <w:spacing w:val="-2"/>
              </w:rPr>
              <w:t>dB(A)</w:t>
            </w:r>
          </w:p>
        </w:tc>
        <w:tc>
          <w:tcPr>
            <w:tcW w:w="1553" w:type="dxa"/>
            <w:gridSpan w:val="2"/>
            <w:vAlign w:val="top"/>
          </w:tcPr>
          <w:p>
            <w:pPr>
              <w:pStyle w:val="6"/>
              <w:spacing w:before="82" w:line="209" w:lineRule="auto"/>
              <w:ind w:left="574"/>
            </w:pPr>
            <w:r>
              <w:rPr>
                <w:spacing w:val="-2"/>
              </w:rPr>
              <w:t>近期</w:t>
            </w:r>
          </w:p>
        </w:tc>
        <w:tc>
          <w:tcPr>
            <w:tcW w:w="1708" w:type="dxa"/>
            <w:gridSpan w:val="2"/>
            <w:vAlign w:val="top"/>
          </w:tcPr>
          <w:p>
            <w:pPr>
              <w:pStyle w:val="6"/>
              <w:spacing w:before="82" w:line="209" w:lineRule="auto"/>
              <w:ind w:left="671"/>
            </w:pPr>
            <w:r>
              <w:rPr>
                <w:spacing w:val="-7"/>
              </w:rPr>
              <w:t>中期</w:t>
            </w:r>
          </w:p>
        </w:tc>
        <w:tc>
          <w:tcPr>
            <w:tcW w:w="1712" w:type="dxa"/>
            <w:gridSpan w:val="2"/>
            <w:vAlign w:val="top"/>
          </w:tcPr>
          <w:p>
            <w:pPr>
              <w:pStyle w:val="6"/>
              <w:spacing w:before="82" w:line="209" w:lineRule="auto"/>
              <w:ind w:left="650"/>
            </w:pPr>
            <w:r>
              <w:rPr>
                <w:spacing w:val="-2"/>
              </w:rPr>
              <w:t>远期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665" w:type="dxa"/>
            <w:vMerge w:val="continue"/>
            <w:tcBorders>
              <w:top w:val="nil"/>
            </w:tcBorders>
            <w:vAlign w:val="top"/>
          </w:tcPr>
          <w:p>
            <w:pPr>
              <w:rPr>
                <w:rFonts w:ascii="Arial"/>
                <w:sz w:val="21"/>
              </w:rPr>
            </w:pPr>
          </w:p>
        </w:tc>
        <w:tc>
          <w:tcPr>
            <w:tcW w:w="984" w:type="dxa"/>
            <w:vMerge w:val="continue"/>
            <w:tcBorders>
              <w:top w:val="nil"/>
            </w:tcBorders>
            <w:vAlign w:val="top"/>
          </w:tcPr>
          <w:p>
            <w:pPr>
              <w:rPr>
                <w:rFonts w:ascii="Arial"/>
                <w:sz w:val="21"/>
              </w:rPr>
            </w:pPr>
          </w:p>
        </w:tc>
        <w:tc>
          <w:tcPr>
            <w:tcW w:w="801" w:type="dxa"/>
            <w:vAlign w:val="top"/>
          </w:tcPr>
          <w:p>
            <w:pPr>
              <w:pStyle w:val="6"/>
              <w:spacing w:before="76" w:line="207" w:lineRule="auto"/>
              <w:ind w:left="298"/>
            </w:pPr>
            <w:r>
              <w:t>昼</w:t>
            </w:r>
          </w:p>
        </w:tc>
        <w:tc>
          <w:tcPr>
            <w:tcW w:w="808" w:type="dxa"/>
            <w:vAlign w:val="top"/>
          </w:tcPr>
          <w:p>
            <w:pPr>
              <w:pStyle w:val="6"/>
              <w:spacing w:before="76" w:line="207" w:lineRule="auto"/>
              <w:ind w:left="308"/>
            </w:pPr>
            <w:r>
              <w:t>夜</w:t>
            </w:r>
          </w:p>
        </w:tc>
        <w:tc>
          <w:tcPr>
            <w:tcW w:w="778" w:type="dxa"/>
            <w:vAlign w:val="top"/>
          </w:tcPr>
          <w:p>
            <w:pPr>
              <w:pStyle w:val="6"/>
              <w:spacing w:before="76" w:line="207" w:lineRule="auto"/>
              <w:ind w:left="288"/>
            </w:pPr>
            <w:r>
              <w:t>昼</w:t>
            </w:r>
          </w:p>
        </w:tc>
        <w:tc>
          <w:tcPr>
            <w:tcW w:w="775" w:type="dxa"/>
            <w:vAlign w:val="top"/>
          </w:tcPr>
          <w:p>
            <w:pPr>
              <w:pStyle w:val="6"/>
              <w:spacing w:before="76" w:line="207" w:lineRule="auto"/>
              <w:ind w:left="292"/>
            </w:pPr>
            <w:r>
              <w:t>夜</w:t>
            </w:r>
          </w:p>
        </w:tc>
        <w:tc>
          <w:tcPr>
            <w:tcW w:w="746" w:type="dxa"/>
            <w:vAlign w:val="top"/>
          </w:tcPr>
          <w:p>
            <w:pPr>
              <w:pStyle w:val="6"/>
              <w:spacing w:before="76" w:line="207" w:lineRule="auto"/>
              <w:ind w:left="273"/>
            </w:pPr>
            <w:r>
              <w:t>昼</w:t>
            </w:r>
          </w:p>
        </w:tc>
        <w:tc>
          <w:tcPr>
            <w:tcW w:w="962" w:type="dxa"/>
            <w:vAlign w:val="top"/>
          </w:tcPr>
          <w:p>
            <w:pPr>
              <w:pStyle w:val="6"/>
              <w:spacing w:before="76" w:line="207" w:lineRule="auto"/>
              <w:ind w:left="384"/>
            </w:pPr>
            <w:r>
              <w:t>夜</w:t>
            </w:r>
          </w:p>
        </w:tc>
        <w:tc>
          <w:tcPr>
            <w:tcW w:w="779" w:type="dxa"/>
            <w:vAlign w:val="top"/>
          </w:tcPr>
          <w:p>
            <w:pPr>
              <w:pStyle w:val="6"/>
              <w:spacing w:before="76" w:line="207" w:lineRule="auto"/>
              <w:ind w:left="289"/>
            </w:pPr>
            <w:r>
              <w:t>昼</w:t>
            </w:r>
          </w:p>
        </w:tc>
        <w:tc>
          <w:tcPr>
            <w:tcW w:w="933" w:type="dxa"/>
            <w:vAlign w:val="top"/>
          </w:tcPr>
          <w:p>
            <w:pPr>
              <w:pStyle w:val="6"/>
              <w:spacing w:before="76" w:line="207" w:lineRule="auto"/>
              <w:ind w:left="369"/>
            </w:pPr>
            <w: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665" w:type="dxa"/>
            <w:vMerge w:val="restart"/>
            <w:tcBorders>
              <w:bottom w:val="nil"/>
            </w:tcBorders>
            <w:vAlign w:val="top"/>
          </w:tcPr>
          <w:p>
            <w:pPr>
              <w:pStyle w:val="6"/>
              <w:spacing w:before="85" w:line="248" w:lineRule="auto"/>
              <w:ind w:left="734" w:right="198" w:hanging="522"/>
            </w:pPr>
            <w:r>
              <w:rPr>
                <w:spacing w:val="-2"/>
              </w:rPr>
              <w:t>西坑互通连接</w:t>
            </w:r>
            <w:r>
              <w:t xml:space="preserve"> 线</w:t>
            </w:r>
          </w:p>
        </w:tc>
        <w:tc>
          <w:tcPr>
            <w:tcW w:w="984" w:type="dxa"/>
            <w:vAlign w:val="top"/>
          </w:tcPr>
          <w:p>
            <w:pPr>
              <w:pStyle w:val="6"/>
              <w:spacing w:before="80" w:line="206" w:lineRule="auto"/>
              <w:ind w:left="260"/>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801" w:type="dxa"/>
            <w:vAlign w:val="top"/>
          </w:tcPr>
          <w:p>
            <w:pPr>
              <w:spacing w:before="118"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08" w:type="dxa"/>
            <w:vAlign w:val="top"/>
          </w:tcPr>
          <w:p>
            <w:pPr>
              <w:spacing w:before="121" w:line="184"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778" w:type="dxa"/>
            <w:vAlign w:val="top"/>
          </w:tcPr>
          <w:p>
            <w:pPr>
              <w:spacing w:before="118"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&lt;20</w:t>
            </w:r>
          </w:p>
        </w:tc>
        <w:tc>
          <w:tcPr>
            <w:tcW w:w="775" w:type="dxa"/>
            <w:vAlign w:val="top"/>
          </w:tcPr>
          <w:p>
            <w:pPr>
              <w:spacing w:before="118" w:line="187" w:lineRule="auto"/>
              <w:ind w:left="2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&lt;20</w:t>
            </w:r>
          </w:p>
        </w:tc>
        <w:tc>
          <w:tcPr>
            <w:tcW w:w="746" w:type="dxa"/>
            <w:vAlign w:val="top"/>
          </w:tcPr>
          <w:p>
            <w:pPr>
              <w:spacing w:before="118" w:line="187"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&lt;20</w:t>
            </w:r>
          </w:p>
        </w:tc>
        <w:tc>
          <w:tcPr>
            <w:tcW w:w="962" w:type="dxa"/>
            <w:vAlign w:val="top"/>
          </w:tcPr>
          <w:p>
            <w:pPr>
              <w:spacing w:before="118" w:line="187" w:lineRule="auto"/>
              <w:ind w:left="3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779" w:type="dxa"/>
            <w:vAlign w:val="top"/>
          </w:tcPr>
          <w:p>
            <w:pPr>
              <w:spacing w:before="118"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&lt;20</w:t>
            </w:r>
          </w:p>
        </w:tc>
        <w:tc>
          <w:tcPr>
            <w:tcW w:w="933" w:type="dxa"/>
            <w:vAlign w:val="top"/>
          </w:tcPr>
          <w:p>
            <w:pPr>
              <w:spacing w:before="118" w:line="187"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665" w:type="dxa"/>
            <w:vMerge w:val="continue"/>
            <w:tcBorders>
              <w:top w:val="nil"/>
            </w:tcBorders>
            <w:vAlign w:val="top"/>
          </w:tcPr>
          <w:p>
            <w:pPr>
              <w:rPr>
                <w:rFonts w:ascii="Arial"/>
                <w:sz w:val="21"/>
              </w:rPr>
            </w:pPr>
          </w:p>
        </w:tc>
        <w:tc>
          <w:tcPr>
            <w:tcW w:w="984" w:type="dxa"/>
            <w:vAlign w:val="top"/>
          </w:tcPr>
          <w:p>
            <w:pPr>
              <w:pStyle w:val="6"/>
              <w:spacing w:before="78" w:line="212" w:lineRule="auto"/>
              <w:ind w:left="307"/>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801" w:type="dxa"/>
            <w:vAlign w:val="top"/>
          </w:tcPr>
          <w:p>
            <w:pPr>
              <w:spacing w:before="117" w:line="187" w:lineRule="auto"/>
              <w:ind w:left="3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08" w:type="dxa"/>
            <w:vAlign w:val="top"/>
          </w:tcPr>
          <w:p>
            <w:pPr>
              <w:spacing w:before="117"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78" w:type="dxa"/>
            <w:vAlign w:val="top"/>
          </w:tcPr>
          <w:p>
            <w:pPr>
              <w:spacing w:before="117"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775" w:type="dxa"/>
            <w:vAlign w:val="top"/>
          </w:tcPr>
          <w:p>
            <w:pPr>
              <w:pStyle w:val="6"/>
              <w:spacing w:before="78" w:line="212" w:lineRule="auto"/>
              <w:ind w:left="162"/>
              <w:rPr>
                <w:rFonts w:ascii="Times New Roman" w:hAnsi="Times New Roman" w:eastAsia="Times New Roman" w:cs="Times New Roman"/>
              </w:rPr>
            </w:pPr>
            <w:r>
              <w:rPr>
                <w:spacing w:val="-6"/>
              </w:rPr>
              <w:t>约</w:t>
            </w:r>
            <w:r>
              <w:rPr>
                <w:spacing w:val="-43"/>
              </w:rPr>
              <w:t xml:space="preserve"> </w:t>
            </w:r>
            <w:r>
              <w:rPr>
                <w:rFonts w:ascii="Times New Roman" w:hAnsi="Times New Roman" w:eastAsia="Times New Roman" w:cs="Times New Roman"/>
                <w:spacing w:val="-6"/>
              </w:rPr>
              <w:t>35</w:t>
            </w:r>
          </w:p>
        </w:tc>
        <w:tc>
          <w:tcPr>
            <w:tcW w:w="746" w:type="dxa"/>
            <w:vAlign w:val="top"/>
          </w:tcPr>
          <w:p>
            <w:pPr>
              <w:spacing w:before="117"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962" w:type="dxa"/>
            <w:vAlign w:val="top"/>
          </w:tcPr>
          <w:p>
            <w:pPr>
              <w:spacing w:before="117" w:line="187" w:lineRule="auto"/>
              <w:ind w:left="3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79" w:type="dxa"/>
            <w:vAlign w:val="top"/>
          </w:tcPr>
          <w:p>
            <w:pPr>
              <w:pStyle w:val="6"/>
              <w:spacing w:before="78" w:line="212" w:lineRule="auto"/>
              <w:ind w:left="166"/>
              <w:rPr>
                <w:rFonts w:ascii="Times New Roman" w:hAnsi="Times New Roman" w:eastAsia="Times New Roman" w:cs="Times New Roman"/>
              </w:rPr>
            </w:pPr>
            <w:r>
              <w:rPr>
                <w:spacing w:val="-6"/>
              </w:rPr>
              <w:t>约</w:t>
            </w:r>
            <w:r>
              <w:rPr>
                <w:spacing w:val="-42"/>
              </w:rPr>
              <w:t xml:space="preserve"> </w:t>
            </w:r>
            <w:r>
              <w:rPr>
                <w:rFonts w:ascii="Times New Roman" w:hAnsi="Times New Roman" w:eastAsia="Times New Roman" w:cs="Times New Roman"/>
                <w:spacing w:val="-6"/>
              </w:rPr>
              <w:t>55</w:t>
            </w:r>
          </w:p>
        </w:tc>
        <w:tc>
          <w:tcPr>
            <w:tcW w:w="933" w:type="dxa"/>
            <w:vAlign w:val="top"/>
          </w:tcPr>
          <w:p>
            <w:pPr>
              <w:pStyle w:val="6"/>
              <w:spacing w:before="78" w:line="212" w:lineRule="auto"/>
              <w:ind w:left="241"/>
              <w:rPr>
                <w:rFonts w:ascii="Times New Roman" w:hAnsi="Times New Roman" w:eastAsia="Times New Roman" w:cs="Times New Roman"/>
              </w:rPr>
            </w:pPr>
            <w:r>
              <w:rPr>
                <w:spacing w:val="-8"/>
              </w:rPr>
              <w:t>约</w:t>
            </w:r>
            <w:r>
              <w:rPr>
                <w:spacing w:val="-41"/>
              </w:rPr>
              <w:t xml:space="preserve"> </w:t>
            </w:r>
            <w:r>
              <w:rPr>
                <w:rFonts w:ascii="Times New Roman" w:hAnsi="Times New Roman" w:eastAsia="Times New Roman" w:cs="Times New Roman"/>
                <w:spacing w:val="-8"/>
              </w:rPr>
              <w:t>55</w:t>
            </w:r>
          </w:p>
        </w:tc>
      </w:tr>
    </w:tbl>
    <w:p>
      <w:pPr>
        <w:pStyle w:val="2"/>
        <w:spacing w:line="267" w:lineRule="auto"/>
      </w:pPr>
    </w:p>
    <w:p>
      <w:pPr>
        <w:spacing w:before="79" w:line="220" w:lineRule="auto"/>
        <w:ind w:left="597"/>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、沿线现状声环境保护目标受交通噪声影响预测结果</w:t>
      </w:r>
    </w:p>
    <w:p>
      <w:pPr>
        <w:spacing w:before="180" w:line="468" w:lineRule="exact"/>
        <w:ind w:left="602"/>
        <w:rPr>
          <w:rFonts w:ascii="宋体" w:hAnsi="宋体" w:eastAsia="宋体" w:cs="宋体"/>
          <w:sz w:val="24"/>
          <w:szCs w:val="24"/>
        </w:rPr>
      </w:pPr>
      <w:r>
        <w:rPr>
          <w:rFonts w:ascii="宋体" w:hAnsi="宋体" w:eastAsia="宋体" w:cs="宋体"/>
          <w:spacing w:val="3"/>
          <w:position w:val="16"/>
          <w:sz w:val="24"/>
          <w:szCs w:val="24"/>
        </w:rPr>
        <w:t>根据车流量进行预测，项目沿线声环境保护目标的噪声预测结果见</w:t>
      </w:r>
      <w:r>
        <w:rPr>
          <w:rFonts w:ascii="宋体" w:hAnsi="宋体" w:eastAsia="宋体" w:cs="宋体"/>
          <w:spacing w:val="3"/>
          <w:position w:val="16"/>
          <w:sz w:val="24"/>
          <w:szCs w:val="24"/>
          <w14:textOutline w14:w="4354" w14:cap="flat" w14:cmpd="sng">
            <w14:solidFill>
              <w14:srgbClr w14:val="000000"/>
            </w14:solidFill>
            <w14:prstDash w14:val="solid"/>
            <w14:miter w14:val="0"/>
          </w14:textOutline>
        </w:rPr>
        <w:t>错误</w:t>
      </w:r>
      <w:r>
        <w:rPr>
          <w:rFonts w:ascii="Times New Roman" w:hAnsi="Times New Roman" w:eastAsia="Times New Roman" w:cs="Times New Roman"/>
          <w:b/>
          <w:bCs/>
          <w:spacing w:val="3"/>
          <w:position w:val="16"/>
          <w:sz w:val="24"/>
          <w:szCs w:val="24"/>
        </w:rPr>
        <w:t>!</w:t>
      </w:r>
      <w:r>
        <w:rPr>
          <w:rFonts w:ascii="宋体" w:hAnsi="宋体" w:eastAsia="宋体" w:cs="宋体"/>
          <w:spacing w:val="3"/>
          <w:position w:val="16"/>
          <w:sz w:val="24"/>
          <w:szCs w:val="24"/>
          <w14:textOutline w14:w="4354" w14:cap="flat" w14:cmpd="sng">
            <w14:solidFill>
              <w14:srgbClr w14:val="000000"/>
            </w14:solidFill>
            <w14:prstDash w14:val="solid"/>
            <w14:miter w14:val="0"/>
          </w14:textOutline>
        </w:rPr>
        <w:t>未</w:t>
      </w:r>
      <w:r>
        <w:rPr>
          <w:rFonts w:ascii="宋体" w:hAnsi="宋体" w:eastAsia="宋体" w:cs="宋体"/>
          <w:spacing w:val="2"/>
          <w:position w:val="16"/>
          <w:sz w:val="24"/>
          <w:szCs w:val="24"/>
          <w14:textOutline w14:w="4354" w14:cap="flat" w14:cmpd="sng">
            <w14:solidFill>
              <w14:srgbClr w14:val="000000"/>
            </w14:solidFill>
            <w14:prstDash w14:val="solid"/>
            <w14:miter w14:val="0"/>
          </w14:textOutline>
        </w:rPr>
        <w:t>找到引</w:t>
      </w:r>
    </w:p>
    <w:p>
      <w:pPr>
        <w:spacing w:before="2" w:line="220" w:lineRule="auto"/>
        <w:ind w:left="124"/>
        <w:rPr>
          <w:rFonts w:ascii="宋体" w:hAnsi="宋体" w:eastAsia="宋体" w:cs="宋体"/>
          <w:sz w:val="24"/>
          <w:szCs w:val="24"/>
        </w:rPr>
      </w:pPr>
      <w:r>
        <w:rPr>
          <w:rFonts w:ascii="宋体" w:hAnsi="宋体" w:eastAsia="宋体" w:cs="宋体"/>
          <w:spacing w:val="-14"/>
          <w:sz w:val="24"/>
          <w:szCs w:val="24"/>
          <w14:textOutline w14:w="4354" w14:cap="flat" w14:cmpd="sng">
            <w14:solidFill>
              <w14:srgbClr w14:val="000000"/>
            </w14:solidFill>
            <w14:prstDash w14:val="solid"/>
            <w14:miter w14:val="0"/>
          </w14:textOutline>
        </w:rPr>
        <w:t>用源。</w:t>
      </w:r>
      <w:r>
        <w:rPr>
          <w:rFonts w:ascii="宋体" w:hAnsi="宋体" w:eastAsia="宋体" w:cs="宋体"/>
          <w:spacing w:val="-31"/>
          <w:sz w:val="24"/>
          <w:szCs w:val="24"/>
        </w:rPr>
        <w:t xml:space="preserve"> </w:t>
      </w:r>
      <w:r>
        <w:rPr>
          <w:rFonts w:ascii="Times New Roman" w:hAnsi="Times New Roman" w:eastAsia="Times New Roman" w:cs="Times New Roman"/>
          <w:spacing w:val="-14"/>
          <w:sz w:val="24"/>
          <w:szCs w:val="24"/>
        </w:rPr>
        <w:t>2-9</w:t>
      </w:r>
      <w:r>
        <w:rPr>
          <w:rFonts w:ascii="宋体" w:hAnsi="宋体" w:eastAsia="宋体" w:cs="宋体"/>
          <w:spacing w:val="-14"/>
          <w:sz w:val="24"/>
          <w:szCs w:val="24"/>
        </w:rPr>
        <w:t>。</w:t>
      </w:r>
    </w:p>
    <w:p>
      <w:pPr>
        <w:spacing w:before="179" w:line="359" w:lineRule="auto"/>
        <w:ind w:left="122" w:right="48" w:firstLine="474"/>
        <w:rPr>
          <w:rFonts w:ascii="宋体" w:hAnsi="宋体" w:eastAsia="宋体" w:cs="宋体"/>
          <w:sz w:val="24"/>
          <w:szCs w:val="24"/>
        </w:rPr>
      </w:pPr>
      <w:r>
        <w:rPr>
          <w:rFonts w:ascii="Times New Roman" w:hAnsi="Times New Roman" w:eastAsia="Times New Roman" w:cs="Times New Roman"/>
          <w:spacing w:val="-10"/>
          <w:sz w:val="24"/>
          <w:szCs w:val="24"/>
        </w:rPr>
        <w:t xml:space="preserve">4a </w:t>
      </w:r>
      <w:r>
        <w:rPr>
          <w:rFonts w:ascii="宋体" w:hAnsi="宋体" w:eastAsia="宋体" w:cs="宋体"/>
          <w:spacing w:val="-10"/>
          <w:sz w:val="24"/>
          <w:szCs w:val="24"/>
        </w:rPr>
        <w:t>类区中，项目营运近期，</w:t>
      </w:r>
      <w:r>
        <w:rPr>
          <w:rFonts w:ascii="宋体" w:hAnsi="宋体" w:eastAsia="宋体" w:cs="宋体"/>
          <w:spacing w:val="63"/>
          <w:sz w:val="24"/>
          <w:szCs w:val="24"/>
        </w:rPr>
        <w:t xml:space="preserve"> </w:t>
      </w:r>
      <w:r>
        <w:rPr>
          <w:rFonts w:ascii="宋体" w:hAnsi="宋体" w:eastAsia="宋体" w:cs="宋体"/>
          <w:spacing w:val="-10"/>
          <w:sz w:val="24"/>
          <w:szCs w:val="24"/>
        </w:rPr>
        <w:t>所有的保护目标昼间均达标，庙儿垄</w:t>
      </w:r>
      <w:r>
        <w:rPr>
          <w:rFonts w:ascii="宋体" w:hAnsi="宋体" w:eastAsia="宋体" w:cs="宋体"/>
          <w:spacing w:val="-11"/>
          <w:sz w:val="24"/>
          <w:szCs w:val="24"/>
        </w:rPr>
        <w:t>、前垄、</w:t>
      </w:r>
      <w:r>
        <w:rPr>
          <w:rFonts w:ascii="宋体" w:hAnsi="宋体" w:eastAsia="宋体" w:cs="宋体"/>
          <w:spacing w:val="45"/>
          <w:sz w:val="24"/>
          <w:szCs w:val="24"/>
        </w:rPr>
        <w:t xml:space="preserve"> </w:t>
      </w:r>
      <w:r>
        <w:rPr>
          <w:rFonts w:ascii="宋体" w:hAnsi="宋体" w:eastAsia="宋体" w:cs="宋体"/>
          <w:spacing w:val="-11"/>
          <w:sz w:val="24"/>
          <w:szCs w:val="24"/>
        </w:rPr>
        <w:t>双田村、</w:t>
      </w:r>
      <w:r>
        <w:rPr>
          <w:rFonts w:ascii="宋体" w:hAnsi="宋体" w:eastAsia="宋体" w:cs="宋体"/>
          <w:sz w:val="24"/>
          <w:szCs w:val="24"/>
        </w:rPr>
        <w:t xml:space="preserve"> </w:t>
      </w:r>
      <w:r>
        <w:rPr>
          <w:rFonts w:ascii="宋体" w:hAnsi="宋体" w:eastAsia="宋体" w:cs="宋体"/>
          <w:spacing w:val="-11"/>
          <w:sz w:val="24"/>
          <w:szCs w:val="24"/>
        </w:rPr>
        <w:t>包山、凤鸣、</w:t>
      </w:r>
      <w:r>
        <w:rPr>
          <w:rFonts w:ascii="宋体" w:hAnsi="宋体" w:eastAsia="宋体" w:cs="宋体"/>
          <w:spacing w:val="45"/>
          <w:sz w:val="24"/>
          <w:szCs w:val="24"/>
        </w:rPr>
        <w:t xml:space="preserve"> </w:t>
      </w:r>
      <w:r>
        <w:rPr>
          <w:rFonts w:ascii="宋体" w:hAnsi="宋体" w:eastAsia="宋体" w:cs="宋体"/>
          <w:spacing w:val="-11"/>
          <w:sz w:val="24"/>
          <w:szCs w:val="24"/>
        </w:rPr>
        <w:t>蔡处、金路桥等</w:t>
      </w:r>
      <w:r>
        <w:rPr>
          <w:rFonts w:ascii="宋体" w:hAnsi="宋体" w:eastAsia="宋体" w:cs="宋体"/>
          <w:spacing w:val="-51"/>
          <w:sz w:val="24"/>
          <w:szCs w:val="24"/>
        </w:rPr>
        <w:t xml:space="preserve"> </w:t>
      </w:r>
      <w:r>
        <w:rPr>
          <w:rFonts w:ascii="Times New Roman" w:hAnsi="Times New Roman" w:eastAsia="Times New Roman" w:cs="Times New Roman"/>
          <w:spacing w:val="-11"/>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处声环境保护目标夜间存在超标，</w:t>
      </w:r>
      <w:r>
        <w:rPr>
          <w:rFonts w:ascii="宋体" w:hAnsi="宋体" w:eastAsia="宋体" w:cs="宋体"/>
          <w:spacing w:val="52"/>
          <w:sz w:val="24"/>
          <w:szCs w:val="24"/>
        </w:rPr>
        <w:t xml:space="preserve"> </w:t>
      </w:r>
      <w:r>
        <w:rPr>
          <w:rFonts w:ascii="宋体" w:hAnsi="宋体" w:eastAsia="宋体" w:cs="宋体"/>
          <w:spacing w:val="-11"/>
          <w:sz w:val="24"/>
          <w:szCs w:val="24"/>
        </w:rPr>
        <w:t>超标量为</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0.4~6.9dB</w:t>
      </w:r>
      <w:r>
        <w:rPr>
          <w:rFonts w:ascii="宋体" w:hAnsi="宋体" w:eastAsia="宋体" w:cs="宋体"/>
          <w:spacing w:val="-11"/>
          <w:sz w:val="24"/>
          <w:szCs w:val="24"/>
        </w:rPr>
        <w:t>；</w:t>
      </w:r>
      <w:r>
        <w:rPr>
          <w:rFonts w:ascii="宋体" w:hAnsi="宋体" w:eastAsia="宋体" w:cs="宋体"/>
          <w:sz w:val="24"/>
          <w:szCs w:val="24"/>
        </w:rPr>
        <w:t xml:space="preserve"> </w:t>
      </w:r>
      <w:r>
        <w:rPr>
          <w:rFonts w:ascii="宋体" w:hAnsi="宋体" w:eastAsia="宋体" w:cs="宋体"/>
          <w:spacing w:val="-18"/>
          <w:sz w:val="24"/>
          <w:szCs w:val="24"/>
        </w:rPr>
        <w:t>项目营运中期，</w:t>
      </w:r>
      <w:r>
        <w:rPr>
          <w:rFonts w:ascii="宋体" w:hAnsi="宋体" w:eastAsia="宋体" w:cs="宋体"/>
          <w:spacing w:val="63"/>
          <w:sz w:val="24"/>
          <w:szCs w:val="24"/>
        </w:rPr>
        <w:t xml:space="preserve"> </w:t>
      </w:r>
      <w:r>
        <w:rPr>
          <w:rFonts w:ascii="宋体" w:hAnsi="宋体" w:eastAsia="宋体" w:cs="宋体"/>
          <w:spacing w:val="-18"/>
          <w:sz w:val="24"/>
          <w:szCs w:val="24"/>
        </w:rPr>
        <w:t>所有的保护目标昼间均达标，墩头垟、</w:t>
      </w:r>
      <w:r>
        <w:rPr>
          <w:rFonts w:ascii="宋体" w:hAnsi="宋体" w:eastAsia="宋体" w:cs="宋体"/>
          <w:spacing w:val="44"/>
          <w:sz w:val="24"/>
          <w:szCs w:val="24"/>
        </w:rPr>
        <w:t xml:space="preserve"> </w:t>
      </w:r>
      <w:r>
        <w:rPr>
          <w:rFonts w:ascii="宋体" w:hAnsi="宋体" w:eastAsia="宋体" w:cs="宋体"/>
          <w:spacing w:val="-18"/>
          <w:sz w:val="24"/>
          <w:szCs w:val="24"/>
        </w:rPr>
        <w:t>庙儿垄、</w:t>
      </w:r>
      <w:r>
        <w:rPr>
          <w:rFonts w:ascii="宋体" w:hAnsi="宋体" w:eastAsia="宋体" w:cs="宋体"/>
          <w:spacing w:val="-19"/>
          <w:sz w:val="24"/>
          <w:szCs w:val="24"/>
        </w:rPr>
        <w:t xml:space="preserve"> 前垄、 双田村、 包山、</w:t>
      </w:r>
      <w:r>
        <w:rPr>
          <w:rFonts w:ascii="宋体" w:hAnsi="宋体" w:eastAsia="宋体" w:cs="宋体"/>
          <w:sz w:val="24"/>
          <w:szCs w:val="24"/>
        </w:rPr>
        <w:t xml:space="preserve"> </w:t>
      </w:r>
      <w:r>
        <w:rPr>
          <w:rFonts w:ascii="宋体" w:hAnsi="宋体" w:eastAsia="宋体" w:cs="宋体"/>
          <w:spacing w:val="-5"/>
          <w:sz w:val="24"/>
          <w:szCs w:val="24"/>
        </w:rPr>
        <w:t xml:space="preserve">凤鸣、 蔡处、金路桥等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40"/>
          <w:w w:val="101"/>
          <w:sz w:val="24"/>
          <w:szCs w:val="24"/>
        </w:rPr>
        <w:t xml:space="preserve"> </w:t>
      </w:r>
      <w:r>
        <w:rPr>
          <w:rFonts w:ascii="宋体" w:hAnsi="宋体" w:eastAsia="宋体" w:cs="宋体"/>
          <w:spacing w:val="-5"/>
          <w:sz w:val="24"/>
          <w:szCs w:val="24"/>
        </w:rPr>
        <w:t>处声环境保护目标夜间存在超标，超标量在</w:t>
      </w:r>
      <w:r>
        <w:rPr>
          <w:rFonts w:ascii="宋体" w:hAnsi="宋体" w:eastAsia="宋体" w:cs="宋体"/>
          <w:spacing w:val="-25"/>
          <w:sz w:val="24"/>
          <w:szCs w:val="24"/>
        </w:rPr>
        <w:t xml:space="preserve"> </w:t>
      </w:r>
      <w:r>
        <w:rPr>
          <w:rFonts w:ascii="Times New Roman" w:hAnsi="Times New Roman" w:eastAsia="Times New Roman" w:cs="Times New Roman"/>
          <w:spacing w:val="-5"/>
          <w:sz w:val="24"/>
          <w:szCs w:val="24"/>
        </w:rPr>
        <w:t>0.6</w:t>
      </w:r>
      <w:r>
        <w:rPr>
          <w:rFonts w:ascii="Times New Roman" w:hAnsi="Times New Roman" w:eastAsia="Times New Roman" w:cs="Times New Roman"/>
          <w:spacing w:val="-6"/>
          <w:sz w:val="24"/>
          <w:szCs w:val="24"/>
        </w:rPr>
        <w:t>~9.3dB</w:t>
      </w:r>
      <w:r>
        <w:rPr>
          <w:rFonts w:ascii="宋体" w:hAnsi="宋体" w:eastAsia="宋体" w:cs="宋体"/>
          <w:spacing w:val="-6"/>
          <w:sz w:val="24"/>
          <w:szCs w:val="24"/>
        </w:rPr>
        <w:t>；项目</w:t>
      </w:r>
      <w:r>
        <w:rPr>
          <w:rFonts w:ascii="宋体" w:hAnsi="宋体" w:eastAsia="宋体" w:cs="宋体"/>
          <w:sz w:val="24"/>
          <w:szCs w:val="24"/>
        </w:rPr>
        <w:t xml:space="preserve">  </w:t>
      </w:r>
      <w:r>
        <w:rPr>
          <w:rFonts w:ascii="宋体" w:hAnsi="宋体" w:eastAsia="宋体" w:cs="宋体"/>
          <w:spacing w:val="-14"/>
          <w:sz w:val="24"/>
          <w:szCs w:val="24"/>
        </w:rPr>
        <w:t>营运远期， 前垄、双田村、包山、</w:t>
      </w:r>
      <w:r>
        <w:rPr>
          <w:rFonts w:ascii="宋体" w:hAnsi="宋体" w:eastAsia="宋体" w:cs="宋体"/>
          <w:spacing w:val="58"/>
          <w:sz w:val="24"/>
          <w:szCs w:val="24"/>
        </w:rPr>
        <w:t xml:space="preserve"> </w:t>
      </w:r>
      <w:r>
        <w:rPr>
          <w:rFonts w:ascii="宋体" w:hAnsi="宋体" w:eastAsia="宋体" w:cs="宋体"/>
          <w:spacing w:val="-14"/>
          <w:sz w:val="24"/>
          <w:szCs w:val="24"/>
        </w:rPr>
        <w:t>蔡处等</w:t>
      </w:r>
      <w:r>
        <w:rPr>
          <w:rFonts w:ascii="宋体" w:hAnsi="宋体" w:eastAsia="宋体" w:cs="宋体"/>
          <w:spacing w:val="-56"/>
          <w:sz w:val="24"/>
          <w:szCs w:val="24"/>
        </w:rPr>
        <w:t xml:space="preserve"> </w:t>
      </w:r>
      <w:r>
        <w:rPr>
          <w:rFonts w:ascii="Times New Roman" w:hAnsi="Times New Roman" w:eastAsia="Times New Roman" w:cs="Times New Roman"/>
          <w:spacing w:val="-14"/>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14"/>
          <w:sz w:val="24"/>
          <w:szCs w:val="24"/>
        </w:rPr>
        <w:t>处声环境保护目标昼间存在超标，</w:t>
      </w:r>
      <w:r>
        <w:rPr>
          <w:rFonts w:ascii="宋体" w:hAnsi="宋体" w:eastAsia="宋体" w:cs="宋体"/>
          <w:spacing w:val="53"/>
          <w:sz w:val="24"/>
          <w:szCs w:val="24"/>
        </w:rPr>
        <w:t xml:space="preserve"> </w:t>
      </w:r>
      <w:r>
        <w:rPr>
          <w:rFonts w:ascii="宋体" w:hAnsi="宋体" w:eastAsia="宋体" w:cs="宋体"/>
          <w:spacing w:val="-14"/>
          <w:sz w:val="24"/>
          <w:szCs w:val="24"/>
        </w:rPr>
        <w:t>超标量为</w:t>
      </w:r>
      <w:r>
        <w:rPr>
          <w:rFonts w:ascii="宋体" w:hAnsi="宋体" w:eastAsia="宋体" w:cs="宋体"/>
          <w:sz w:val="24"/>
          <w:szCs w:val="24"/>
        </w:rPr>
        <w:t xml:space="preserve"> </w:t>
      </w:r>
      <w:r>
        <w:rPr>
          <w:rFonts w:ascii="Times New Roman" w:hAnsi="Times New Roman" w:eastAsia="Times New Roman" w:cs="Times New Roman"/>
          <w:spacing w:val="-15"/>
          <w:sz w:val="24"/>
          <w:szCs w:val="24"/>
        </w:rPr>
        <w:t>1.0~2.4dB</w:t>
      </w:r>
      <w:r>
        <w:rPr>
          <w:rFonts w:ascii="Times New Roman" w:hAnsi="Times New Roman" w:eastAsia="Times New Roman" w:cs="Times New Roman"/>
          <w:spacing w:val="-30"/>
          <w:sz w:val="24"/>
          <w:szCs w:val="24"/>
        </w:rPr>
        <w:t xml:space="preserve"> </w:t>
      </w:r>
      <w:r>
        <w:rPr>
          <w:rFonts w:ascii="宋体" w:hAnsi="宋体" w:eastAsia="宋体" w:cs="宋体"/>
          <w:spacing w:val="-15"/>
          <w:sz w:val="24"/>
          <w:szCs w:val="24"/>
        </w:rPr>
        <w:t>，墩头垟、庙儿垄、 前垄、 让川村安</w:t>
      </w:r>
      <w:r>
        <w:rPr>
          <w:rFonts w:ascii="宋体" w:hAnsi="宋体" w:eastAsia="宋体" w:cs="宋体"/>
          <w:spacing w:val="-16"/>
          <w:sz w:val="24"/>
          <w:szCs w:val="24"/>
        </w:rPr>
        <w:t>置小区、双田村、</w:t>
      </w:r>
      <w:r>
        <w:rPr>
          <w:rFonts w:ascii="宋体" w:hAnsi="宋体" w:eastAsia="宋体" w:cs="宋体"/>
          <w:spacing w:val="33"/>
          <w:sz w:val="24"/>
          <w:szCs w:val="24"/>
        </w:rPr>
        <w:t xml:space="preserve"> </w:t>
      </w:r>
      <w:r>
        <w:rPr>
          <w:rFonts w:ascii="宋体" w:hAnsi="宋体" w:eastAsia="宋体" w:cs="宋体"/>
          <w:spacing w:val="-16"/>
          <w:sz w:val="24"/>
          <w:szCs w:val="24"/>
        </w:rPr>
        <w:t>包山、凤鸣、</w:t>
      </w:r>
      <w:r>
        <w:rPr>
          <w:rFonts w:ascii="宋体" w:hAnsi="宋体" w:eastAsia="宋体" w:cs="宋体"/>
          <w:spacing w:val="40"/>
          <w:sz w:val="24"/>
          <w:szCs w:val="24"/>
        </w:rPr>
        <w:t xml:space="preserve"> </w:t>
      </w:r>
      <w:r>
        <w:rPr>
          <w:rFonts w:ascii="宋体" w:hAnsi="宋体" w:eastAsia="宋体" w:cs="宋体"/>
          <w:spacing w:val="-16"/>
          <w:sz w:val="24"/>
          <w:szCs w:val="24"/>
        </w:rPr>
        <w:t>蔡处、金</w:t>
      </w:r>
    </w:p>
    <w:p>
      <w:pPr>
        <w:spacing w:before="1" w:line="219" w:lineRule="auto"/>
        <w:ind w:left="124"/>
        <w:rPr>
          <w:rFonts w:ascii="宋体" w:hAnsi="宋体" w:eastAsia="宋体" w:cs="宋体"/>
          <w:sz w:val="24"/>
          <w:szCs w:val="24"/>
        </w:rPr>
      </w:pPr>
      <w:r>
        <w:rPr>
          <w:rFonts w:ascii="宋体" w:hAnsi="宋体" w:eastAsia="宋体" w:cs="宋体"/>
          <w:spacing w:val="-2"/>
          <w:sz w:val="24"/>
          <w:szCs w:val="24"/>
        </w:rPr>
        <w:t>路桥等</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9 </w:t>
      </w:r>
      <w:r>
        <w:rPr>
          <w:rFonts w:ascii="宋体" w:hAnsi="宋体" w:eastAsia="宋体" w:cs="宋体"/>
          <w:spacing w:val="-2"/>
          <w:sz w:val="24"/>
          <w:szCs w:val="24"/>
        </w:rPr>
        <w:t>处声环境保护目标夜间存在超标，超标量为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10.3dB</w:t>
      </w:r>
      <w:r>
        <w:rPr>
          <w:rFonts w:ascii="宋体" w:hAnsi="宋体" w:eastAsia="宋体" w:cs="宋体"/>
          <w:spacing w:val="-2"/>
          <w:sz w:val="24"/>
          <w:szCs w:val="24"/>
        </w:rPr>
        <w:t>。</w:t>
      </w:r>
    </w:p>
    <w:p>
      <w:pPr>
        <w:spacing w:before="184" w:line="359" w:lineRule="auto"/>
        <w:ind w:left="116" w:right="29" w:firstLine="481"/>
        <w:rPr>
          <w:rFonts w:ascii="宋体" w:hAnsi="宋体" w:eastAsia="宋体" w:cs="宋体"/>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28"/>
          <w:w w:val="101"/>
          <w:sz w:val="24"/>
          <w:szCs w:val="24"/>
        </w:rPr>
        <w:t xml:space="preserve"> </w:t>
      </w:r>
      <w:r>
        <w:rPr>
          <w:rFonts w:ascii="宋体" w:hAnsi="宋体" w:eastAsia="宋体" w:cs="宋体"/>
          <w:spacing w:val="-6"/>
          <w:sz w:val="24"/>
          <w:szCs w:val="24"/>
        </w:rPr>
        <w:t>类区中，项目营运近期，</w:t>
      </w:r>
      <w:r>
        <w:rPr>
          <w:rFonts w:ascii="宋体" w:hAnsi="宋体" w:eastAsia="宋体" w:cs="宋体"/>
          <w:spacing w:val="63"/>
          <w:sz w:val="24"/>
          <w:szCs w:val="24"/>
        </w:rPr>
        <w:t xml:space="preserve"> </w:t>
      </w:r>
      <w:r>
        <w:rPr>
          <w:rFonts w:ascii="宋体" w:hAnsi="宋体" w:eastAsia="宋体" w:cs="宋体"/>
          <w:spacing w:val="-6"/>
          <w:sz w:val="24"/>
          <w:szCs w:val="24"/>
        </w:rPr>
        <w:t xml:space="preserve">所有保护目标昼间均达标，除凤鸣村外其他声环境保护 </w:t>
      </w:r>
      <w:r>
        <w:rPr>
          <w:rFonts w:ascii="宋体" w:hAnsi="宋体" w:eastAsia="宋体" w:cs="宋体"/>
          <w:spacing w:val="-3"/>
          <w:sz w:val="24"/>
          <w:szCs w:val="24"/>
        </w:rPr>
        <w:t xml:space="preserve">目标夜间均达标，凤鸣村超标量为 </w:t>
      </w:r>
      <w:r>
        <w:rPr>
          <w:rFonts w:ascii="Times New Roman" w:hAnsi="Times New Roman" w:eastAsia="Times New Roman" w:cs="Times New Roman"/>
          <w:spacing w:val="-3"/>
          <w:sz w:val="24"/>
          <w:szCs w:val="24"/>
        </w:rPr>
        <w:t>0.3~2.4dB</w:t>
      </w:r>
      <w:r>
        <w:rPr>
          <w:rFonts w:ascii="宋体" w:hAnsi="宋体" w:eastAsia="宋体" w:cs="宋体"/>
          <w:spacing w:val="-3"/>
          <w:sz w:val="24"/>
          <w:szCs w:val="24"/>
        </w:rPr>
        <w:t xml:space="preserve">；项目营运中期， 除凤鸣村外其他声环境 </w:t>
      </w:r>
      <w:r>
        <w:rPr>
          <w:rFonts w:ascii="宋体" w:hAnsi="宋体" w:eastAsia="宋体" w:cs="宋体"/>
          <w:spacing w:val="-1"/>
          <w:sz w:val="24"/>
          <w:szCs w:val="24"/>
        </w:rPr>
        <w:t xml:space="preserve">保护目标昼间均达标，凤鸣村超标量为 </w:t>
      </w:r>
      <w:r>
        <w:rPr>
          <w:rFonts w:ascii="Times New Roman" w:hAnsi="Times New Roman" w:eastAsia="Times New Roman" w:cs="Times New Roman"/>
          <w:spacing w:val="-1"/>
          <w:sz w:val="24"/>
          <w:szCs w:val="24"/>
        </w:rPr>
        <w:t>1.2dB</w:t>
      </w:r>
      <w:r>
        <w:rPr>
          <w:rFonts w:ascii="宋体" w:hAnsi="宋体" w:eastAsia="宋体" w:cs="宋体"/>
          <w:spacing w:val="-1"/>
          <w:sz w:val="24"/>
          <w:szCs w:val="24"/>
        </w:rPr>
        <w:t>，前垄、让川村安置小区、</w:t>
      </w:r>
      <w:r>
        <w:rPr>
          <w:rFonts w:ascii="宋体" w:hAnsi="宋体" w:eastAsia="宋体" w:cs="宋体"/>
          <w:spacing w:val="-2"/>
          <w:sz w:val="24"/>
          <w:szCs w:val="24"/>
        </w:rPr>
        <w:t xml:space="preserve">包山、凤鸣等 </w:t>
      </w:r>
      <w:r>
        <w:rPr>
          <w:rFonts w:ascii="Times New Roman" w:hAnsi="Times New Roman" w:eastAsia="Times New Roman" w:cs="Times New Roman"/>
          <w:spacing w:val="-11"/>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处声环境保护目标夜间存在超标， 超标量在</w:t>
      </w:r>
      <w:r>
        <w:rPr>
          <w:rFonts w:ascii="宋体" w:hAnsi="宋体" w:eastAsia="宋体" w:cs="宋体"/>
          <w:spacing w:val="-51"/>
          <w:sz w:val="24"/>
          <w:szCs w:val="24"/>
        </w:rPr>
        <w:t xml:space="preserve"> </w:t>
      </w:r>
      <w:r>
        <w:rPr>
          <w:rFonts w:ascii="Times New Roman" w:hAnsi="Times New Roman" w:eastAsia="Times New Roman" w:cs="Times New Roman"/>
          <w:spacing w:val="-11"/>
          <w:sz w:val="24"/>
          <w:szCs w:val="24"/>
        </w:rPr>
        <w:t>0.1~5.4dB</w:t>
      </w:r>
      <w:r>
        <w:rPr>
          <w:rFonts w:ascii="宋体" w:hAnsi="宋体" w:eastAsia="宋体" w:cs="宋体"/>
          <w:spacing w:val="-12"/>
          <w:sz w:val="24"/>
          <w:szCs w:val="24"/>
        </w:rPr>
        <w:t>；项目营运远期， 南坑下、前垄、</w:t>
      </w:r>
      <w:r>
        <w:rPr>
          <w:rFonts w:ascii="宋体" w:hAnsi="宋体" w:eastAsia="宋体" w:cs="宋体"/>
          <w:sz w:val="24"/>
          <w:szCs w:val="24"/>
        </w:rPr>
        <w:t xml:space="preserve"> </w:t>
      </w:r>
      <w:r>
        <w:rPr>
          <w:rFonts w:ascii="宋体" w:hAnsi="宋体" w:eastAsia="宋体" w:cs="宋体"/>
          <w:spacing w:val="-1"/>
          <w:sz w:val="24"/>
          <w:szCs w:val="24"/>
        </w:rPr>
        <w:t>让川村安置小区、官田、凤鸣等</w:t>
      </w:r>
      <w:r>
        <w:rPr>
          <w:rFonts w:ascii="宋体" w:hAnsi="宋体" w:eastAsia="宋体" w:cs="宋体"/>
          <w:spacing w:val="-17"/>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40"/>
          <w:w w:val="101"/>
          <w:sz w:val="24"/>
          <w:szCs w:val="24"/>
        </w:rPr>
        <w:t xml:space="preserve"> </w:t>
      </w:r>
      <w:r>
        <w:rPr>
          <w:rFonts w:ascii="宋体" w:hAnsi="宋体" w:eastAsia="宋体" w:cs="宋体"/>
          <w:spacing w:val="-1"/>
          <w:sz w:val="24"/>
          <w:szCs w:val="24"/>
        </w:rPr>
        <w:t>处声环境保护目标昼间超标，超标量为</w:t>
      </w:r>
      <w:r>
        <w:rPr>
          <w:rFonts w:ascii="宋体" w:hAnsi="宋体" w:eastAsia="宋体" w:cs="宋体"/>
          <w:spacing w:val="-24"/>
          <w:sz w:val="24"/>
          <w:szCs w:val="24"/>
        </w:rPr>
        <w:t xml:space="preserve"> </w:t>
      </w:r>
      <w:r>
        <w:rPr>
          <w:rFonts w:ascii="Times New Roman" w:hAnsi="Times New Roman" w:eastAsia="Times New Roman" w:cs="Times New Roman"/>
          <w:spacing w:val="-1"/>
          <w:sz w:val="24"/>
          <w:szCs w:val="24"/>
        </w:rPr>
        <w:t>0.5~5.8dB</w:t>
      </w:r>
      <w:r>
        <w:rPr>
          <w:rFonts w:ascii="宋体" w:hAnsi="宋体" w:eastAsia="宋体" w:cs="宋体"/>
          <w:spacing w:val="-1"/>
          <w:sz w:val="24"/>
          <w:szCs w:val="24"/>
        </w:rPr>
        <w:t>，</w:t>
      </w:r>
    </w:p>
    <w:p>
      <w:pPr>
        <w:spacing w:before="1" w:line="218" w:lineRule="auto"/>
        <w:ind w:left="126"/>
        <w:rPr>
          <w:rFonts w:ascii="宋体" w:hAnsi="宋体" w:eastAsia="宋体" w:cs="宋体"/>
          <w:sz w:val="24"/>
          <w:szCs w:val="24"/>
        </w:rPr>
      </w:pPr>
      <w:r>
        <w:rPr>
          <w:rFonts w:ascii="宋体" w:hAnsi="宋体" w:eastAsia="宋体" w:cs="宋体"/>
          <w:spacing w:val="-7"/>
          <w:sz w:val="24"/>
          <w:szCs w:val="24"/>
        </w:rPr>
        <w:t>前垄、让川村安置小区、官田、包山、凤鸣等</w:t>
      </w:r>
      <w:r>
        <w:rPr>
          <w:rFonts w:ascii="宋体" w:hAnsi="宋体" w:eastAsia="宋体" w:cs="宋体"/>
          <w:spacing w:val="-37"/>
          <w:sz w:val="24"/>
          <w:szCs w:val="24"/>
        </w:rPr>
        <w:t xml:space="preserve"> </w:t>
      </w:r>
      <w:r>
        <w:rPr>
          <w:rFonts w:ascii="Times New Roman" w:hAnsi="Times New Roman" w:eastAsia="Times New Roman" w:cs="Times New Roman"/>
          <w:spacing w:val="-7"/>
          <w:sz w:val="24"/>
          <w:szCs w:val="24"/>
        </w:rPr>
        <w:t>5</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处声环境保护目标夜间存在超标，</w:t>
      </w:r>
      <w:r>
        <w:rPr>
          <w:rFonts w:ascii="宋体" w:hAnsi="宋体" w:eastAsia="宋体" w:cs="宋体"/>
          <w:spacing w:val="52"/>
          <w:sz w:val="24"/>
          <w:szCs w:val="24"/>
        </w:rPr>
        <w:t xml:space="preserve"> </w:t>
      </w:r>
      <w:r>
        <w:rPr>
          <w:rFonts w:ascii="宋体" w:hAnsi="宋体" w:eastAsia="宋体" w:cs="宋体"/>
          <w:spacing w:val="-7"/>
          <w:sz w:val="24"/>
          <w:szCs w:val="24"/>
        </w:rPr>
        <w:t>超标</w:t>
      </w:r>
    </w:p>
    <w:p>
      <w:pPr>
        <w:spacing w:line="218" w:lineRule="auto"/>
        <w:rPr>
          <w:rFonts w:ascii="宋体" w:hAnsi="宋体" w:eastAsia="宋体" w:cs="宋体"/>
          <w:sz w:val="24"/>
          <w:szCs w:val="24"/>
        </w:rPr>
        <w:sectPr>
          <w:footerReference r:id="rId271" w:type="default"/>
          <w:pgSz w:w="11907" w:h="16839"/>
          <w:pgMar w:top="1118" w:right="1303" w:bottom="1072" w:left="1303" w:header="877" w:footer="911" w:gutter="0"/>
          <w:cols w:space="720" w:num="1"/>
        </w:sectPr>
      </w:pPr>
    </w:p>
    <w:p>
      <w:pPr>
        <w:pStyle w:val="2"/>
        <w:spacing w:line="311" w:lineRule="auto"/>
      </w:pPr>
    </w:p>
    <w:p>
      <w:pPr>
        <w:spacing w:before="78" w:line="222" w:lineRule="auto"/>
        <w:ind w:left="38"/>
        <w:rPr>
          <w:rFonts w:ascii="宋体" w:hAnsi="宋体" w:eastAsia="宋体" w:cs="宋体"/>
          <w:sz w:val="24"/>
          <w:szCs w:val="24"/>
        </w:rPr>
      </w:pPr>
      <w:r>
        <w:rPr>
          <w:rFonts w:ascii="宋体" w:hAnsi="宋体" w:eastAsia="宋体" w:cs="宋体"/>
          <w:spacing w:val="-2"/>
          <w:sz w:val="24"/>
          <w:szCs w:val="24"/>
        </w:rPr>
        <w:t>量在</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0.4~6.4dB</w:t>
      </w:r>
      <w:r>
        <w:rPr>
          <w:rFonts w:ascii="宋体" w:hAnsi="宋体" w:eastAsia="宋体" w:cs="宋体"/>
          <w:spacing w:val="-2"/>
          <w:sz w:val="24"/>
          <w:szCs w:val="24"/>
        </w:rPr>
        <w:t>。</w:t>
      </w:r>
    </w:p>
    <w:p>
      <w:pPr>
        <w:spacing w:before="180" w:line="220" w:lineRule="auto"/>
        <w:ind w:left="51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、规划保护目标噪声影响分析</w:t>
      </w:r>
    </w:p>
    <w:p>
      <w:pPr>
        <w:spacing w:before="179" w:line="468" w:lineRule="exact"/>
        <w:ind w:right="29"/>
        <w:jc w:val="right"/>
        <w:rPr>
          <w:rFonts w:ascii="宋体" w:hAnsi="宋体" w:eastAsia="宋体" w:cs="宋体"/>
          <w:sz w:val="24"/>
          <w:szCs w:val="24"/>
        </w:rPr>
      </w:pPr>
      <w:r>
        <w:rPr>
          <w:rFonts w:ascii="宋体" w:hAnsi="宋体" w:eastAsia="宋体" w:cs="宋体"/>
          <w:spacing w:val="-7"/>
          <w:position w:val="17"/>
          <w:sz w:val="24"/>
          <w:szCs w:val="24"/>
        </w:rPr>
        <w:t>据沿线规划，</w:t>
      </w:r>
      <w:r>
        <w:rPr>
          <w:rFonts w:ascii="宋体" w:hAnsi="宋体" w:eastAsia="宋体" w:cs="宋体"/>
          <w:spacing w:val="50"/>
          <w:position w:val="17"/>
          <w:sz w:val="24"/>
          <w:szCs w:val="24"/>
        </w:rPr>
        <w:t xml:space="preserve"> </w:t>
      </w:r>
      <w:r>
        <w:rPr>
          <w:rFonts w:ascii="宋体" w:hAnsi="宋体" w:eastAsia="宋体" w:cs="宋体"/>
          <w:spacing w:val="-7"/>
          <w:position w:val="17"/>
          <w:sz w:val="24"/>
          <w:szCs w:val="24"/>
        </w:rPr>
        <w:t>本项目沿线共有</w:t>
      </w:r>
      <w:r>
        <w:rPr>
          <w:rFonts w:ascii="宋体" w:hAnsi="宋体" w:eastAsia="宋体" w:cs="宋体"/>
          <w:spacing w:val="-50"/>
          <w:position w:val="17"/>
          <w:sz w:val="24"/>
          <w:szCs w:val="24"/>
        </w:rPr>
        <w:t xml:space="preserve"> </w:t>
      </w:r>
      <w:r>
        <w:rPr>
          <w:rFonts w:ascii="Times New Roman" w:hAnsi="Times New Roman" w:eastAsia="Times New Roman" w:cs="Times New Roman"/>
          <w:spacing w:val="-7"/>
          <w:position w:val="17"/>
          <w:sz w:val="24"/>
          <w:szCs w:val="24"/>
        </w:rPr>
        <w:t>6</w:t>
      </w:r>
      <w:r>
        <w:rPr>
          <w:rFonts w:ascii="Times New Roman" w:hAnsi="Times New Roman" w:eastAsia="Times New Roman" w:cs="Times New Roman"/>
          <w:spacing w:val="15"/>
          <w:position w:val="17"/>
          <w:sz w:val="24"/>
          <w:szCs w:val="24"/>
        </w:rPr>
        <w:t xml:space="preserve"> </w:t>
      </w:r>
      <w:r>
        <w:rPr>
          <w:rFonts w:ascii="宋体" w:hAnsi="宋体" w:eastAsia="宋体" w:cs="宋体"/>
          <w:spacing w:val="-7"/>
          <w:position w:val="17"/>
          <w:sz w:val="24"/>
          <w:szCs w:val="24"/>
        </w:rPr>
        <w:t>处规划敏感点。工程涉及规划保护目标预测结果见</w:t>
      </w:r>
    </w:p>
    <w:p>
      <w:pPr>
        <w:spacing w:line="234" w:lineRule="auto"/>
        <w:ind w:left="3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错误</w:t>
      </w:r>
      <w:r>
        <w:rPr>
          <w:rFonts w:ascii="Times New Roman" w:hAnsi="Times New Roman" w:eastAsia="Times New Roman" w:cs="Times New Roman"/>
          <w:b/>
          <w:bCs/>
          <w:spacing w:val="-2"/>
          <w:sz w:val="24"/>
          <w:szCs w:val="24"/>
        </w:rPr>
        <w:t>!</w:t>
      </w:r>
      <w:r>
        <w:rPr>
          <w:rFonts w:ascii="宋体" w:hAnsi="宋体" w:eastAsia="宋体" w:cs="宋体"/>
          <w:spacing w:val="-2"/>
          <w:sz w:val="24"/>
          <w:szCs w:val="24"/>
          <w14:textOutline w14:w="4354" w14:cap="flat" w14:cmpd="sng">
            <w14:solidFill>
              <w14:srgbClr w14:val="000000"/>
            </w14:solidFill>
            <w14:prstDash w14:val="solid"/>
            <w14:miter w14:val="0"/>
          </w14:textOutline>
        </w:rPr>
        <w:t>未找到引用源。</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10</w:t>
      </w:r>
      <w:r>
        <w:rPr>
          <w:rFonts w:ascii="宋体" w:hAnsi="宋体" w:eastAsia="宋体" w:cs="宋体"/>
          <w:spacing w:val="-2"/>
          <w:sz w:val="24"/>
          <w:szCs w:val="24"/>
        </w:rPr>
        <w:t>。</w:t>
      </w:r>
    </w:p>
    <w:p>
      <w:pPr>
        <w:spacing w:before="161" w:line="468" w:lineRule="exact"/>
        <w:ind w:right="30"/>
        <w:jc w:val="right"/>
        <w:rPr>
          <w:rFonts w:ascii="宋体" w:hAnsi="宋体" w:eastAsia="宋体" w:cs="宋体"/>
          <w:sz w:val="24"/>
          <w:szCs w:val="24"/>
        </w:rPr>
      </w:pPr>
      <w:r>
        <w:rPr>
          <w:rFonts w:ascii="宋体" w:hAnsi="宋体" w:eastAsia="宋体" w:cs="宋体"/>
          <w:spacing w:val="-2"/>
          <w:position w:val="17"/>
          <w:sz w:val="24"/>
          <w:szCs w:val="24"/>
        </w:rPr>
        <w:t>本工程规划声环境保护目标部分地块紧邻连接线、现阶段地块高程较高、与连接线</w:t>
      </w:r>
    </w:p>
    <w:p>
      <w:pPr>
        <w:spacing w:line="219" w:lineRule="auto"/>
        <w:ind w:left="37"/>
        <w:rPr>
          <w:rFonts w:ascii="宋体" w:hAnsi="宋体" w:eastAsia="宋体" w:cs="宋体"/>
          <w:sz w:val="24"/>
          <w:szCs w:val="24"/>
        </w:rPr>
      </w:pPr>
      <w:r>
        <w:rPr>
          <w:rFonts w:ascii="宋体" w:hAnsi="宋体" w:eastAsia="宋体" w:cs="宋体"/>
          <w:spacing w:val="-1"/>
          <w:sz w:val="24"/>
          <w:szCs w:val="24"/>
        </w:rPr>
        <w:t>存在着较大的高差，使得规划声环境保护目标的超标量较大。</w:t>
      </w:r>
    </w:p>
    <w:p>
      <w:pPr>
        <w:spacing w:before="181" w:line="359" w:lineRule="auto"/>
        <w:ind w:left="40" w:right="35" w:firstLine="484"/>
        <w:rPr>
          <w:rFonts w:ascii="宋体" w:hAnsi="宋体" w:eastAsia="宋体" w:cs="宋体"/>
          <w:sz w:val="24"/>
          <w:szCs w:val="24"/>
        </w:rPr>
      </w:pPr>
      <w:r>
        <w:rPr>
          <w:rFonts w:ascii="宋体" w:hAnsi="宋体" w:eastAsia="宋体" w:cs="宋体"/>
          <w:spacing w:val="-2"/>
          <w:sz w:val="24"/>
          <w:szCs w:val="24"/>
        </w:rPr>
        <w:t>总之，无论是从本公路标准定位，还是根据现阶段资料进行预测的交通噪声结果，</w:t>
      </w:r>
      <w:r>
        <w:rPr>
          <w:rFonts w:ascii="宋体" w:hAnsi="宋体" w:eastAsia="宋体" w:cs="宋体"/>
          <w:spacing w:val="1"/>
          <w:sz w:val="24"/>
          <w:szCs w:val="24"/>
        </w:rPr>
        <w:t xml:space="preserve"> </w:t>
      </w:r>
      <w:r>
        <w:rPr>
          <w:rFonts w:ascii="宋体" w:hAnsi="宋体" w:eastAsia="宋体" w:cs="宋体"/>
          <w:spacing w:val="-6"/>
          <w:sz w:val="24"/>
          <w:szCs w:val="24"/>
        </w:rPr>
        <w:t>可见采取必要的噪声防治措施后，</w:t>
      </w:r>
      <w:r>
        <w:rPr>
          <w:rFonts w:ascii="宋体" w:hAnsi="宋体" w:eastAsia="宋体" w:cs="宋体"/>
          <w:spacing w:val="40"/>
          <w:sz w:val="24"/>
          <w:szCs w:val="24"/>
        </w:rPr>
        <w:t xml:space="preserve"> </w:t>
      </w:r>
      <w:r>
        <w:rPr>
          <w:rFonts w:ascii="宋体" w:hAnsi="宋体" w:eastAsia="宋体" w:cs="宋体"/>
          <w:spacing w:val="-6"/>
          <w:sz w:val="24"/>
          <w:szCs w:val="24"/>
        </w:rPr>
        <w:t>本公路交通噪声对沿线声环境会产生一定的</w:t>
      </w:r>
      <w:r>
        <w:rPr>
          <w:rFonts w:ascii="宋体" w:hAnsi="宋体" w:eastAsia="宋体" w:cs="宋体"/>
          <w:spacing w:val="-7"/>
          <w:sz w:val="24"/>
          <w:szCs w:val="24"/>
        </w:rPr>
        <w:t>影响，具</w:t>
      </w:r>
    </w:p>
    <w:p>
      <w:pPr>
        <w:spacing w:before="1" w:line="218" w:lineRule="auto"/>
        <w:ind w:left="38"/>
        <w:rPr>
          <w:rFonts w:ascii="宋体" w:hAnsi="宋体" w:eastAsia="宋体" w:cs="宋体"/>
          <w:sz w:val="24"/>
          <w:szCs w:val="24"/>
        </w:rPr>
      </w:pPr>
      <w:r>
        <w:rPr>
          <w:rFonts w:ascii="宋体" w:hAnsi="宋体" w:eastAsia="宋体" w:cs="宋体"/>
          <w:spacing w:val="-4"/>
          <w:sz w:val="24"/>
          <w:szCs w:val="24"/>
        </w:rPr>
        <w:t>体见噪声污染防治措施章节。</w:t>
      </w:r>
    </w:p>
    <w:p>
      <w:pPr>
        <w:spacing w:line="218" w:lineRule="auto"/>
        <w:rPr>
          <w:rFonts w:ascii="宋体" w:hAnsi="宋体" w:eastAsia="宋体" w:cs="宋体"/>
          <w:sz w:val="24"/>
          <w:szCs w:val="24"/>
        </w:rPr>
        <w:sectPr>
          <w:headerReference r:id="rId272" w:type="default"/>
          <w:footerReference r:id="rId273" w:type="default"/>
          <w:pgSz w:w="11907" w:h="16839"/>
          <w:pgMar w:top="1118" w:right="1387" w:bottom="1072" w:left="1387" w:header="877" w:footer="911" w:gutter="0"/>
          <w:cols w:space="720" w:num="1"/>
        </w:sectPr>
      </w:pPr>
    </w:p>
    <w:p>
      <w:pPr>
        <w:spacing w:before="261" w:line="213" w:lineRule="auto"/>
        <w:ind w:left="6688"/>
        <w:rPr>
          <w:rFonts w:ascii="Times New Roman" w:hAnsi="Times New Roman" w:eastAsia="Times New Roman" w:cs="Times New Roman"/>
          <w:sz w:val="24"/>
          <w:szCs w:val="24"/>
        </w:rPr>
      </w:pPr>
      <w:r>
        <w:rPr>
          <w:rFonts w:ascii="宋体" w:hAnsi="宋体" w:eastAsia="宋体" w:cs="宋体"/>
          <w:spacing w:val="-3"/>
          <w:sz w:val="24"/>
          <w:szCs w:val="24"/>
        </w:rPr>
        <w:t>表</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 xml:space="preserve">5.3.2-9      </w:t>
      </w:r>
      <w:r>
        <w:rPr>
          <w:rFonts w:ascii="宋体" w:hAnsi="宋体" w:eastAsia="宋体" w:cs="宋体"/>
          <w:spacing w:val="-3"/>
          <w:sz w:val="24"/>
          <w:szCs w:val="24"/>
        </w:rPr>
        <w:t xml:space="preserve">本工程营运期各声环境保护目标噪声预测结果         单位： </w:t>
      </w:r>
      <w:r>
        <w:rPr>
          <w:rFonts w:ascii="Times New Roman" w:hAnsi="Times New Roman" w:eastAsia="Times New Roman" w:cs="Times New Roman"/>
          <w:spacing w:val="-3"/>
          <w:sz w:val="24"/>
          <w:szCs w:val="24"/>
        </w:rPr>
        <w:t>dB(A)</w:t>
      </w:r>
    </w:p>
    <w:p>
      <w:pPr>
        <w:spacing w:line="155" w:lineRule="exact"/>
      </w:pPr>
    </w:p>
    <w:tbl>
      <w:tblPr>
        <w:tblStyle w:val="5"/>
        <w:tblW w:w="21400"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4"/>
        <w:gridCol w:w="1111"/>
        <w:gridCol w:w="1060"/>
        <w:gridCol w:w="1013"/>
        <w:gridCol w:w="1094"/>
        <w:gridCol w:w="1104"/>
        <w:gridCol w:w="970"/>
        <w:gridCol w:w="811"/>
        <w:gridCol w:w="936"/>
        <w:gridCol w:w="799"/>
        <w:gridCol w:w="974"/>
        <w:gridCol w:w="1003"/>
        <w:gridCol w:w="1281"/>
        <w:gridCol w:w="893"/>
        <w:gridCol w:w="902"/>
        <w:gridCol w:w="888"/>
        <w:gridCol w:w="1109"/>
        <w:gridCol w:w="977"/>
        <w:gridCol w:w="871"/>
        <w:gridCol w:w="890"/>
        <w:gridCol w:w="1116"/>
        <w:gridCol w:w="9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14" w:type="dxa"/>
            <w:vMerge w:val="restart"/>
            <w:tcBorders>
              <w:bottom w:val="nil"/>
            </w:tcBorders>
            <w:textDirection w:val="tbRlV"/>
            <w:vAlign w:val="top"/>
          </w:tcPr>
          <w:p>
            <w:pPr>
              <w:pStyle w:val="6"/>
              <w:spacing w:before="198" w:line="211" w:lineRule="auto"/>
              <w:ind w:left="331"/>
            </w:pPr>
            <w:r>
              <w:rPr>
                <w:spacing w:val="1"/>
              </w:rPr>
              <w:t>序</w:t>
            </w:r>
            <w:r>
              <w:rPr>
                <w:spacing w:val="-5"/>
              </w:rPr>
              <w:t xml:space="preserve"> </w:t>
            </w:r>
            <w:r>
              <w:rPr>
                <w:spacing w:val="1"/>
              </w:rPr>
              <w:t>号</w:t>
            </w:r>
          </w:p>
        </w:tc>
        <w:tc>
          <w:tcPr>
            <w:tcW w:w="1111" w:type="dxa"/>
            <w:vMerge w:val="restart"/>
            <w:tcBorders>
              <w:bottom w:val="nil"/>
            </w:tcBorders>
            <w:vAlign w:val="top"/>
          </w:tcPr>
          <w:p>
            <w:pPr>
              <w:pStyle w:val="6"/>
              <w:spacing w:before="176" w:line="221" w:lineRule="auto"/>
              <w:ind w:left="142"/>
            </w:pPr>
            <w:r>
              <w:rPr>
                <w:spacing w:val="-3"/>
              </w:rPr>
              <w:t>声环境保</w:t>
            </w:r>
          </w:p>
          <w:p>
            <w:pPr>
              <w:pStyle w:val="6"/>
              <w:spacing w:before="60" w:line="221" w:lineRule="auto"/>
              <w:ind w:left="138"/>
            </w:pPr>
            <w:r>
              <w:rPr>
                <w:spacing w:val="-2"/>
              </w:rPr>
              <w:t>护目标名</w:t>
            </w:r>
          </w:p>
          <w:p>
            <w:pPr>
              <w:pStyle w:val="6"/>
              <w:spacing w:before="59" w:line="223" w:lineRule="auto"/>
              <w:ind w:left="451"/>
            </w:pPr>
            <w:r>
              <w:t>称</w:t>
            </w:r>
          </w:p>
        </w:tc>
        <w:tc>
          <w:tcPr>
            <w:tcW w:w="1060" w:type="dxa"/>
            <w:vMerge w:val="restart"/>
            <w:tcBorders>
              <w:bottom w:val="nil"/>
            </w:tcBorders>
            <w:vAlign w:val="top"/>
          </w:tcPr>
          <w:p>
            <w:pPr>
              <w:spacing w:line="263" w:lineRule="auto"/>
              <w:rPr>
                <w:rFonts w:ascii="Arial"/>
                <w:sz w:val="21"/>
              </w:rPr>
            </w:pPr>
          </w:p>
          <w:p>
            <w:pPr>
              <w:pStyle w:val="6"/>
              <w:spacing w:before="68" w:line="247" w:lineRule="auto"/>
              <w:ind w:left="121" w:right="106" w:hanging="3"/>
            </w:pPr>
            <w:r>
              <w:rPr>
                <w:spacing w:val="-3"/>
              </w:rPr>
              <w:t>与道路中</w:t>
            </w:r>
            <w:r>
              <w:rPr>
                <w:spacing w:val="1"/>
              </w:rPr>
              <w:t xml:space="preserve"> </w:t>
            </w:r>
            <w:r>
              <w:rPr>
                <w:spacing w:val="-4"/>
              </w:rPr>
              <w:t>心线距离</w:t>
            </w:r>
          </w:p>
        </w:tc>
        <w:tc>
          <w:tcPr>
            <w:tcW w:w="1013" w:type="dxa"/>
            <w:vMerge w:val="restart"/>
            <w:tcBorders>
              <w:bottom w:val="nil"/>
            </w:tcBorders>
            <w:vAlign w:val="top"/>
          </w:tcPr>
          <w:p>
            <w:pPr>
              <w:pStyle w:val="6"/>
              <w:spacing w:before="176" w:line="261" w:lineRule="auto"/>
              <w:ind w:left="195" w:right="182"/>
              <w:jc w:val="both"/>
              <w:rPr>
                <w:rFonts w:ascii="Times New Roman" w:hAnsi="Times New Roman" w:eastAsia="Times New Roman" w:cs="Times New Roman"/>
              </w:rPr>
            </w:pPr>
            <w:r>
              <w:rPr>
                <w:spacing w:val="-3"/>
              </w:rPr>
              <w:t>预测点</w:t>
            </w:r>
            <w:r>
              <w:rPr>
                <w:spacing w:val="1"/>
              </w:rPr>
              <w:t xml:space="preserve"> </w:t>
            </w:r>
            <w:r>
              <w:rPr>
                <w:spacing w:val="-2"/>
              </w:rPr>
              <w:t>与声源</w:t>
            </w:r>
            <w:r>
              <w:t xml:space="preserve"> </w:t>
            </w:r>
            <w:r>
              <w:rPr>
                <w:spacing w:val="-3"/>
              </w:rPr>
              <w:t>高差</w:t>
            </w:r>
            <w:r>
              <w:rPr>
                <w:rFonts w:ascii="Times New Roman" w:hAnsi="Times New Roman" w:eastAsia="Times New Roman" w:cs="Times New Roman"/>
                <w:spacing w:val="-3"/>
              </w:rPr>
              <w:t>/m</w:t>
            </w:r>
          </w:p>
        </w:tc>
        <w:tc>
          <w:tcPr>
            <w:tcW w:w="1094" w:type="dxa"/>
            <w:vMerge w:val="restart"/>
            <w:tcBorders>
              <w:bottom w:val="nil"/>
            </w:tcBorders>
            <w:vAlign w:val="top"/>
          </w:tcPr>
          <w:p>
            <w:pPr>
              <w:spacing w:line="263" w:lineRule="auto"/>
              <w:rPr>
                <w:rFonts w:ascii="Arial"/>
                <w:sz w:val="21"/>
              </w:rPr>
            </w:pPr>
          </w:p>
          <w:p>
            <w:pPr>
              <w:pStyle w:val="6"/>
              <w:spacing w:before="68" w:line="247" w:lineRule="auto"/>
              <w:ind w:left="137" w:right="125" w:hanging="4"/>
            </w:pPr>
            <w:r>
              <w:rPr>
                <w:spacing w:val="-3"/>
              </w:rPr>
              <w:t>声环境功</w:t>
            </w:r>
            <w:r>
              <w:rPr>
                <w:spacing w:val="1"/>
              </w:rPr>
              <w:t xml:space="preserve"> </w:t>
            </w:r>
            <w:r>
              <w:rPr>
                <w:spacing w:val="-4"/>
              </w:rPr>
              <w:t>能区类别</w:t>
            </w:r>
          </w:p>
        </w:tc>
        <w:tc>
          <w:tcPr>
            <w:tcW w:w="1104" w:type="dxa"/>
            <w:vMerge w:val="restart"/>
            <w:tcBorders>
              <w:bottom w:val="nil"/>
            </w:tcBorders>
            <w:vAlign w:val="top"/>
          </w:tcPr>
          <w:p>
            <w:pPr>
              <w:spacing w:line="417" w:lineRule="auto"/>
              <w:rPr>
                <w:rFonts w:ascii="Arial"/>
                <w:sz w:val="21"/>
              </w:rPr>
            </w:pPr>
          </w:p>
          <w:p>
            <w:pPr>
              <w:pStyle w:val="6"/>
              <w:spacing w:before="68" w:line="222" w:lineRule="auto"/>
              <w:ind w:left="355"/>
            </w:pPr>
            <w:r>
              <w:rPr>
                <w:spacing w:val="-4"/>
              </w:rPr>
              <w:t>时段</w:t>
            </w:r>
          </w:p>
        </w:tc>
        <w:tc>
          <w:tcPr>
            <w:tcW w:w="970" w:type="dxa"/>
            <w:vMerge w:val="restart"/>
            <w:tcBorders>
              <w:bottom w:val="nil"/>
            </w:tcBorders>
            <w:vAlign w:val="top"/>
          </w:tcPr>
          <w:p>
            <w:pPr>
              <w:spacing w:line="416" w:lineRule="auto"/>
              <w:rPr>
                <w:rFonts w:ascii="Arial"/>
                <w:sz w:val="21"/>
              </w:rPr>
            </w:pPr>
          </w:p>
          <w:p>
            <w:pPr>
              <w:pStyle w:val="6"/>
              <w:spacing w:before="68" w:line="221" w:lineRule="auto"/>
              <w:ind w:left="174"/>
            </w:pPr>
            <w:r>
              <w:rPr>
                <w:spacing w:val="-2"/>
              </w:rPr>
              <w:t>标准值</w:t>
            </w:r>
          </w:p>
        </w:tc>
        <w:tc>
          <w:tcPr>
            <w:tcW w:w="811" w:type="dxa"/>
            <w:vMerge w:val="restart"/>
            <w:tcBorders>
              <w:bottom w:val="nil"/>
            </w:tcBorders>
            <w:vAlign w:val="top"/>
          </w:tcPr>
          <w:p>
            <w:pPr>
              <w:spacing w:line="416" w:lineRule="auto"/>
              <w:rPr>
                <w:rFonts w:ascii="Arial"/>
                <w:sz w:val="21"/>
              </w:rPr>
            </w:pPr>
          </w:p>
          <w:p>
            <w:pPr>
              <w:pStyle w:val="6"/>
              <w:spacing w:before="69" w:line="218" w:lineRule="auto"/>
              <w:ind w:left="198"/>
            </w:pPr>
            <w:r>
              <w:rPr>
                <w:spacing w:val="-2"/>
              </w:rPr>
              <w:t>楼层</w:t>
            </w:r>
          </w:p>
        </w:tc>
        <w:tc>
          <w:tcPr>
            <w:tcW w:w="936" w:type="dxa"/>
            <w:vMerge w:val="restart"/>
            <w:tcBorders>
              <w:bottom w:val="nil"/>
            </w:tcBorders>
            <w:vAlign w:val="top"/>
          </w:tcPr>
          <w:p>
            <w:pPr>
              <w:spacing w:line="416" w:lineRule="auto"/>
              <w:rPr>
                <w:rFonts w:ascii="Arial"/>
                <w:sz w:val="21"/>
              </w:rPr>
            </w:pPr>
          </w:p>
          <w:p>
            <w:pPr>
              <w:pStyle w:val="6"/>
              <w:spacing w:before="68" w:line="221" w:lineRule="auto"/>
              <w:ind w:left="160"/>
            </w:pPr>
            <w:r>
              <w:rPr>
                <w:spacing w:val="-2"/>
              </w:rPr>
              <w:t>背景值</w:t>
            </w:r>
          </w:p>
        </w:tc>
        <w:tc>
          <w:tcPr>
            <w:tcW w:w="799" w:type="dxa"/>
            <w:vMerge w:val="restart"/>
            <w:tcBorders>
              <w:bottom w:val="nil"/>
            </w:tcBorders>
            <w:vAlign w:val="top"/>
          </w:tcPr>
          <w:p>
            <w:pPr>
              <w:spacing w:line="262" w:lineRule="auto"/>
              <w:rPr>
                <w:rFonts w:ascii="Arial"/>
                <w:sz w:val="21"/>
              </w:rPr>
            </w:pPr>
          </w:p>
          <w:p>
            <w:pPr>
              <w:pStyle w:val="6"/>
              <w:spacing w:before="68" w:line="312" w:lineRule="exact"/>
              <w:ind w:left="196"/>
            </w:pPr>
            <w:r>
              <w:rPr>
                <w:spacing w:val="-2"/>
                <w:position w:val="7"/>
              </w:rPr>
              <w:t>现状</w:t>
            </w:r>
          </w:p>
          <w:p>
            <w:pPr>
              <w:pStyle w:val="6"/>
              <w:spacing w:line="220" w:lineRule="auto"/>
              <w:ind w:left="300"/>
            </w:pPr>
            <w:r>
              <w:t>值</w:t>
            </w:r>
          </w:p>
        </w:tc>
        <w:tc>
          <w:tcPr>
            <w:tcW w:w="4151" w:type="dxa"/>
            <w:gridSpan w:val="4"/>
            <w:vAlign w:val="top"/>
          </w:tcPr>
          <w:p>
            <w:pPr>
              <w:pStyle w:val="6"/>
              <w:spacing w:before="154" w:line="221" w:lineRule="auto"/>
              <w:ind w:left="1870"/>
            </w:pPr>
            <w:r>
              <w:rPr>
                <w:spacing w:val="-2"/>
              </w:rPr>
              <w:t>近期</w:t>
            </w:r>
          </w:p>
        </w:tc>
        <w:tc>
          <w:tcPr>
            <w:tcW w:w="3876" w:type="dxa"/>
            <w:gridSpan w:val="4"/>
            <w:vAlign w:val="top"/>
          </w:tcPr>
          <w:p>
            <w:pPr>
              <w:pStyle w:val="6"/>
              <w:spacing w:before="154" w:line="221" w:lineRule="auto"/>
              <w:ind w:left="1752"/>
            </w:pPr>
            <w:r>
              <w:rPr>
                <w:spacing w:val="-7"/>
              </w:rPr>
              <w:t>中期</w:t>
            </w:r>
          </w:p>
        </w:tc>
        <w:tc>
          <w:tcPr>
            <w:tcW w:w="3861" w:type="dxa"/>
            <w:gridSpan w:val="4"/>
            <w:vAlign w:val="top"/>
          </w:tcPr>
          <w:p>
            <w:pPr>
              <w:pStyle w:val="6"/>
              <w:spacing w:before="154" w:line="221" w:lineRule="auto"/>
              <w:ind w:left="1726"/>
            </w:pPr>
            <w:r>
              <w:rPr>
                <w:spacing w:val="-2"/>
              </w:rPr>
              <w:t>远期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614" w:type="dxa"/>
            <w:vMerge w:val="continue"/>
            <w:tcBorders>
              <w:top w:val="nil"/>
            </w:tcBorders>
            <w:textDirection w:val="tbRlV"/>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Merge w:val="continue"/>
            <w:tcBorders>
              <w:top w:val="nil"/>
            </w:tcBorders>
            <w:vAlign w:val="top"/>
          </w:tcPr>
          <w:p>
            <w:pPr>
              <w:rPr>
                <w:rFonts w:ascii="Arial"/>
                <w:sz w:val="21"/>
              </w:rPr>
            </w:pPr>
          </w:p>
        </w:tc>
        <w:tc>
          <w:tcPr>
            <w:tcW w:w="970" w:type="dxa"/>
            <w:vMerge w:val="continue"/>
            <w:tcBorders>
              <w:top w:val="nil"/>
            </w:tcBorders>
            <w:vAlign w:val="top"/>
          </w:tcPr>
          <w:p>
            <w:pPr>
              <w:rPr>
                <w:rFonts w:ascii="Arial"/>
                <w:sz w:val="21"/>
              </w:rPr>
            </w:pPr>
          </w:p>
        </w:tc>
        <w:tc>
          <w:tcPr>
            <w:tcW w:w="811" w:type="dxa"/>
            <w:vMerge w:val="continue"/>
            <w:tcBorders>
              <w:top w:val="nil"/>
            </w:tcBorders>
            <w:vAlign w:val="top"/>
          </w:tcPr>
          <w:p>
            <w:pPr>
              <w:rPr>
                <w:rFonts w:ascii="Arial"/>
                <w:sz w:val="21"/>
              </w:rPr>
            </w:pPr>
          </w:p>
        </w:tc>
        <w:tc>
          <w:tcPr>
            <w:tcW w:w="936" w:type="dxa"/>
            <w:vMerge w:val="continue"/>
            <w:tcBorders>
              <w:top w:val="nil"/>
            </w:tcBorders>
            <w:vAlign w:val="top"/>
          </w:tcPr>
          <w:p>
            <w:pPr>
              <w:rPr>
                <w:rFonts w:ascii="Arial"/>
                <w:sz w:val="21"/>
              </w:rPr>
            </w:pPr>
          </w:p>
        </w:tc>
        <w:tc>
          <w:tcPr>
            <w:tcW w:w="799" w:type="dxa"/>
            <w:vMerge w:val="continue"/>
            <w:tcBorders>
              <w:top w:val="nil"/>
            </w:tcBorders>
            <w:vAlign w:val="top"/>
          </w:tcPr>
          <w:p>
            <w:pPr>
              <w:rPr>
                <w:rFonts w:ascii="Arial"/>
                <w:sz w:val="21"/>
              </w:rPr>
            </w:pPr>
          </w:p>
        </w:tc>
        <w:tc>
          <w:tcPr>
            <w:tcW w:w="974" w:type="dxa"/>
            <w:vAlign w:val="top"/>
          </w:tcPr>
          <w:p>
            <w:pPr>
              <w:pStyle w:val="6"/>
              <w:spacing w:before="224" w:line="220" w:lineRule="auto"/>
              <w:ind w:left="178"/>
            </w:pPr>
            <w:r>
              <w:rPr>
                <w:spacing w:val="-2"/>
              </w:rPr>
              <w:t>贡献值</w:t>
            </w:r>
          </w:p>
        </w:tc>
        <w:tc>
          <w:tcPr>
            <w:tcW w:w="1003" w:type="dxa"/>
            <w:vAlign w:val="top"/>
          </w:tcPr>
          <w:p>
            <w:pPr>
              <w:pStyle w:val="6"/>
              <w:spacing w:before="223" w:line="221" w:lineRule="auto"/>
              <w:ind w:left="192"/>
            </w:pPr>
            <w:r>
              <w:rPr>
                <w:spacing w:val="-2"/>
              </w:rPr>
              <w:t>预测值</w:t>
            </w:r>
          </w:p>
        </w:tc>
        <w:tc>
          <w:tcPr>
            <w:tcW w:w="1281" w:type="dxa"/>
            <w:vAlign w:val="top"/>
          </w:tcPr>
          <w:p>
            <w:pPr>
              <w:pStyle w:val="6"/>
              <w:spacing w:before="68" w:line="312" w:lineRule="exact"/>
              <w:ind w:left="333"/>
            </w:pPr>
            <w:r>
              <w:rPr>
                <w:spacing w:val="-2"/>
                <w:position w:val="7"/>
              </w:rPr>
              <w:t>较现状</w:t>
            </w:r>
          </w:p>
          <w:p>
            <w:pPr>
              <w:pStyle w:val="6"/>
              <w:spacing w:line="222" w:lineRule="auto"/>
              <w:ind w:left="334"/>
            </w:pPr>
            <w:r>
              <w:rPr>
                <w:spacing w:val="-2"/>
              </w:rPr>
              <w:t>增加量</w:t>
            </w:r>
          </w:p>
        </w:tc>
        <w:tc>
          <w:tcPr>
            <w:tcW w:w="893" w:type="dxa"/>
            <w:vAlign w:val="top"/>
          </w:tcPr>
          <w:p>
            <w:pPr>
              <w:pStyle w:val="6"/>
              <w:spacing w:before="224" w:line="221" w:lineRule="auto"/>
              <w:ind w:left="136"/>
            </w:pPr>
            <w:r>
              <w:rPr>
                <w:spacing w:val="-1"/>
              </w:rPr>
              <w:t>超标量</w:t>
            </w:r>
          </w:p>
        </w:tc>
        <w:tc>
          <w:tcPr>
            <w:tcW w:w="902" w:type="dxa"/>
            <w:vAlign w:val="top"/>
          </w:tcPr>
          <w:p>
            <w:pPr>
              <w:pStyle w:val="6"/>
              <w:spacing w:before="224" w:line="220" w:lineRule="auto"/>
              <w:ind w:left="144"/>
            </w:pPr>
            <w:r>
              <w:rPr>
                <w:spacing w:val="-2"/>
              </w:rPr>
              <w:t>贡献值</w:t>
            </w:r>
          </w:p>
        </w:tc>
        <w:tc>
          <w:tcPr>
            <w:tcW w:w="888" w:type="dxa"/>
            <w:vAlign w:val="top"/>
          </w:tcPr>
          <w:p>
            <w:pPr>
              <w:pStyle w:val="6"/>
              <w:spacing w:before="223" w:line="221" w:lineRule="auto"/>
              <w:ind w:left="136"/>
            </w:pPr>
            <w:r>
              <w:rPr>
                <w:spacing w:val="-2"/>
              </w:rPr>
              <w:t>预测值</w:t>
            </w:r>
          </w:p>
        </w:tc>
        <w:tc>
          <w:tcPr>
            <w:tcW w:w="1109" w:type="dxa"/>
            <w:vAlign w:val="top"/>
          </w:tcPr>
          <w:p>
            <w:pPr>
              <w:pStyle w:val="6"/>
              <w:spacing w:before="68" w:line="312" w:lineRule="exact"/>
              <w:ind w:left="245"/>
            </w:pPr>
            <w:r>
              <w:rPr>
                <w:spacing w:val="-2"/>
                <w:position w:val="7"/>
              </w:rPr>
              <w:t>较现状</w:t>
            </w:r>
          </w:p>
          <w:p>
            <w:pPr>
              <w:pStyle w:val="6"/>
              <w:spacing w:line="222" w:lineRule="auto"/>
              <w:ind w:left="246"/>
            </w:pPr>
            <w:r>
              <w:rPr>
                <w:spacing w:val="-2"/>
              </w:rPr>
              <w:t>增加量</w:t>
            </w:r>
          </w:p>
        </w:tc>
        <w:tc>
          <w:tcPr>
            <w:tcW w:w="977" w:type="dxa"/>
            <w:vAlign w:val="top"/>
          </w:tcPr>
          <w:p>
            <w:pPr>
              <w:pStyle w:val="6"/>
              <w:spacing w:before="224" w:line="221" w:lineRule="auto"/>
              <w:ind w:left="177"/>
            </w:pPr>
            <w:r>
              <w:rPr>
                <w:spacing w:val="-1"/>
              </w:rPr>
              <w:t>超标量</w:t>
            </w:r>
          </w:p>
        </w:tc>
        <w:tc>
          <w:tcPr>
            <w:tcW w:w="871" w:type="dxa"/>
            <w:vAlign w:val="top"/>
          </w:tcPr>
          <w:p>
            <w:pPr>
              <w:pStyle w:val="6"/>
              <w:spacing w:before="224" w:line="220" w:lineRule="auto"/>
              <w:ind w:left="130"/>
            </w:pPr>
            <w:r>
              <w:rPr>
                <w:spacing w:val="-2"/>
              </w:rPr>
              <w:t>贡献值</w:t>
            </w:r>
          </w:p>
        </w:tc>
        <w:tc>
          <w:tcPr>
            <w:tcW w:w="890" w:type="dxa"/>
            <w:vAlign w:val="top"/>
          </w:tcPr>
          <w:p>
            <w:pPr>
              <w:pStyle w:val="6"/>
              <w:spacing w:before="223" w:line="221" w:lineRule="auto"/>
              <w:ind w:left="139"/>
            </w:pPr>
            <w:r>
              <w:rPr>
                <w:spacing w:val="-2"/>
              </w:rPr>
              <w:t>预测值</w:t>
            </w:r>
          </w:p>
        </w:tc>
        <w:tc>
          <w:tcPr>
            <w:tcW w:w="1116" w:type="dxa"/>
            <w:vAlign w:val="top"/>
          </w:tcPr>
          <w:p>
            <w:pPr>
              <w:pStyle w:val="6"/>
              <w:spacing w:before="68" w:line="312" w:lineRule="exact"/>
              <w:ind w:left="250"/>
            </w:pPr>
            <w:r>
              <w:rPr>
                <w:spacing w:val="-2"/>
                <w:position w:val="7"/>
              </w:rPr>
              <w:t>较现状</w:t>
            </w:r>
          </w:p>
          <w:p>
            <w:pPr>
              <w:pStyle w:val="6"/>
              <w:spacing w:line="222" w:lineRule="auto"/>
              <w:ind w:left="251"/>
            </w:pPr>
            <w:r>
              <w:rPr>
                <w:spacing w:val="-2"/>
              </w:rPr>
              <w:t>增加量</w:t>
            </w:r>
          </w:p>
        </w:tc>
        <w:tc>
          <w:tcPr>
            <w:tcW w:w="984" w:type="dxa"/>
            <w:vAlign w:val="top"/>
          </w:tcPr>
          <w:p>
            <w:pPr>
              <w:pStyle w:val="6"/>
              <w:spacing w:before="224" w:line="221" w:lineRule="auto"/>
              <w:ind w:left="180"/>
            </w:pPr>
            <w:r>
              <w:rPr>
                <w:spacing w:val="-1"/>
              </w:rPr>
              <w:t>超标量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14"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0" w:line="187"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1" w:type="dxa"/>
            <w:vMerge w:val="restart"/>
            <w:tcBorders>
              <w:bottom w:val="nil"/>
            </w:tcBorders>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8" w:line="221" w:lineRule="auto"/>
              <w:ind w:left="243"/>
            </w:pPr>
            <w:r>
              <w:rPr>
                <w:spacing w:val="-2"/>
              </w:rPr>
              <w:t>南坑下</w:t>
            </w:r>
          </w:p>
        </w:tc>
        <w:tc>
          <w:tcPr>
            <w:tcW w:w="1060" w:type="dxa"/>
            <w:vMerge w:val="restart"/>
            <w:tcBorders>
              <w:bottom w:val="nil"/>
            </w:tcBorders>
            <w:vAlign w:val="top"/>
          </w:tcPr>
          <w:p>
            <w:pPr>
              <w:pStyle w:val="6"/>
              <w:spacing w:before="31" w:line="235" w:lineRule="auto"/>
              <w:ind w:left="117" w:right="101"/>
              <w:jc w:val="both"/>
              <w:rPr>
                <w:rFonts w:ascii="Times New Roman" w:hAnsi="Times New Roman" w:eastAsia="Times New Roman" w:cs="Times New Roman"/>
              </w:rPr>
            </w:pPr>
            <w:r>
              <w:rPr>
                <w:rFonts w:ascii="Times New Roman" w:hAnsi="Times New Roman" w:eastAsia="Times New Roman" w:cs="Times New Roman"/>
                <w:spacing w:val="-2"/>
              </w:rPr>
              <w:t>32</w:t>
            </w:r>
            <w:r>
              <w:rPr>
                <w:spacing w:val="-2"/>
              </w:rPr>
              <w:t>（西坑</w:t>
            </w:r>
            <w:r>
              <w:rPr>
                <w:spacing w:val="2"/>
              </w:rPr>
              <w:t xml:space="preserve"> </w:t>
            </w:r>
            <w:r>
              <w:t>互通</w:t>
            </w:r>
            <w:r>
              <w:rPr>
                <w:rFonts w:ascii="Times New Roman" w:hAnsi="Times New Roman" w:eastAsia="Times New Roman" w:cs="Times New Roman"/>
              </w:rPr>
              <w:t xml:space="preserve">A </w:t>
            </w:r>
            <w:r>
              <w:t xml:space="preserve">匝 </w:t>
            </w:r>
            <w:r>
              <w:rPr>
                <w:spacing w:val="3"/>
              </w:rPr>
              <w:t>道）</w:t>
            </w:r>
            <w:r>
              <w:rPr>
                <w:rFonts w:ascii="Times New Roman" w:hAnsi="Times New Roman" w:eastAsia="Times New Roman" w:cs="Times New Roman"/>
                <w:spacing w:val="3"/>
              </w:rPr>
              <w:t>/138</w:t>
            </w:r>
          </w:p>
          <w:p>
            <w:pPr>
              <w:pStyle w:val="6"/>
              <w:spacing w:before="16" w:line="223" w:lineRule="auto"/>
              <w:ind w:left="311" w:right="118" w:hanging="188"/>
            </w:pPr>
            <w:r>
              <w:rPr>
                <w:spacing w:val="-7"/>
              </w:rPr>
              <w:t>（连接线</w:t>
            </w:r>
            <w:r>
              <w:t xml:space="preserve"> </w:t>
            </w:r>
            <w:r>
              <w:rPr>
                <w:rFonts w:ascii="Times New Roman" w:hAnsi="Times New Roman" w:eastAsia="Times New Roman" w:cs="Times New Roman"/>
                <w:spacing w:val="-1"/>
              </w:rPr>
              <w:t>L1</w:t>
            </w:r>
            <w:r>
              <w:rPr>
                <w:spacing w:val="-1"/>
              </w:rPr>
              <w:t>）</w:t>
            </w:r>
          </w:p>
        </w:tc>
        <w:tc>
          <w:tcPr>
            <w:tcW w:w="1013"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before="60" w:line="187"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-24.0</w:t>
            </w:r>
          </w:p>
        </w:tc>
        <w:tc>
          <w:tcPr>
            <w:tcW w:w="1094" w:type="dxa"/>
            <w:vMerge w:val="restart"/>
            <w:tcBorders>
              <w:bottom w:val="nil"/>
            </w:tcBorders>
            <w:vAlign w:val="top"/>
          </w:tcPr>
          <w:p>
            <w:pPr>
              <w:spacing w:line="252" w:lineRule="auto"/>
              <w:rPr>
                <w:rFonts w:ascii="Arial"/>
                <w:sz w:val="21"/>
              </w:rPr>
            </w:pPr>
          </w:p>
          <w:p>
            <w:pPr>
              <w:spacing w:line="253" w:lineRule="auto"/>
              <w:rPr>
                <w:rFonts w:ascii="Arial"/>
                <w:sz w:val="21"/>
              </w:rPr>
            </w:pPr>
          </w:p>
          <w:p>
            <w:pPr>
              <w:pStyle w:val="6"/>
              <w:spacing w:before="69" w:line="221" w:lineRule="auto"/>
              <w:ind w:left="287"/>
            </w:pPr>
            <w:r>
              <w:rPr>
                <w:rFonts w:ascii="Times New Roman" w:hAnsi="Times New Roman" w:eastAsia="Times New Roman" w:cs="Times New Roman"/>
                <w:spacing w:val="-1"/>
              </w:rPr>
              <w:t>4a</w:t>
            </w:r>
            <w:r>
              <w:rPr>
                <w:rFonts w:ascii="Times New Roman" w:hAnsi="Times New Roman" w:eastAsia="Times New Roman" w:cs="Times New Roman"/>
                <w:spacing w:val="4"/>
              </w:rPr>
              <w:t xml:space="preserve">  </w:t>
            </w:r>
            <w:r>
              <w:rPr>
                <w:spacing w:val="-1"/>
              </w:rPr>
              <w:t>类</w:t>
            </w:r>
          </w:p>
        </w:tc>
        <w:tc>
          <w:tcPr>
            <w:tcW w:w="1104" w:type="dxa"/>
            <w:vAlign w:val="top"/>
          </w:tcPr>
          <w:p>
            <w:pPr>
              <w:pStyle w:val="6"/>
              <w:spacing w:before="55" w:line="223" w:lineRule="auto"/>
              <w:ind w:left="345"/>
            </w:pPr>
            <w:r>
              <w:rPr>
                <w:spacing w:val="-2"/>
              </w:rPr>
              <w:t>昼间</w:t>
            </w:r>
          </w:p>
        </w:tc>
        <w:tc>
          <w:tcPr>
            <w:tcW w:w="970" w:type="dxa"/>
            <w:vAlign w:val="top"/>
          </w:tcPr>
          <w:p>
            <w:pPr>
              <w:spacing w:before="93"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before="61"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93"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w:t>
            </w:r>
          </w:p>
        </w:tc>
        <w:tc>
          <w:tcPr>
            <w:tcW w:w="799" w:type="dxa"/>
            <w:vAlign w:val="top"/>
          </w:tcPr>
          <w:p>
            <w:pPr>
              <w:spacing w:before="93"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w:t>
            </w:r>
          </w:p>
        </w:tc>
        <w:tc>
          <w:tcPr>
            <w:tcW w:w="974" w:type="dxa"/>
            <w:vAlign w:val="top"/>
          </w:tcPr>
          <w:p>
            <w:pPr>
              <w:spacing w:before="93"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1003" w:type="dxa"/>
            <w:vAlign w:val="top"/>
          </w:tcPr>
          <w:p>
            <w:pPr>
              <w:spacing w:before="90"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1281" w:type="dxa"/>
            <w:vAlign w:val="top"/>
          </w:tcPr>
          <w:p>
            <w:pPr>
              <w:spacing w:before="90"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+8.6</w:t>
            </w:r>
          </w:p>
        </w:tc>
        <w:tc>
          <w:tcPr>
            <w:tcW w:w="893" w:type="dxa"/>
            <w:vAlign w:val="top"/>
          </w:tcPr>
          <w:p>
            <w:pPr>
              <w:spacing w:before="87" w:line="22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90"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56.6</w:t>
            </w:r>
          </w:p>
        </w:tc>
        <w:tc>
          <w:tcPr>
            <w:tcW w:w="888" w:type="dxa"/>
            <w:vAlign w:val="top"/>
          </w:tcPr>
          <w:p>
            <w:pPr>
              <w:spacing w:before="90"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56.6</w:t>
            </w:r>
          </w:p>
        </w:tc>
        <w:tc>
          <w:tcPr>
            <w:tcW w:w="1109" w:type="dxa"/>
            <w:vAlign w:val="top"/>
          </w:tcPr>
          <w:p>
            <w:pPr>
              <w:spacing w:before="9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+16.5</w:t>
            </w:r>
          </w:p>
        </w:tc>
        <w:tc>
          <w:tcPr>
            <w:tcW w:w="977" w:type="dxa"/>
            <w:vAlign w:val="top"/>
          </w:tcPr>
          <w:p>
            <w:pPr>
              <w:spacing w:before="87" w:line="22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86" w:line="187" w:lineRule="auto"/>
              <w:ind w:left="2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57.9</w:t>
            </w:r>
          </w:p>
        </w:tc>
        <w:tc>
          <w:tcPr>
            <w:tcW w:w="890" w:type="dxa"/>
            <w:vAlign w:val="top"/>
          </w:tcPr>
          <w:p>
            <w:pPr>
              <w:spacing w:before="90"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57.9</w:t>
            </w:r>
          </w:p>
        </w:tc>
        <w:tc>
          <w:tcPr>
            <w:tcW w:w="1116" w:type="dxa"/>
            <w:vAlign w:val="top"/>
          </w:tcPr>
          <w:p>
            <w:pPr>
              <w:spacing w:before="90"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+17.8</w:t>
            </w:r>
          </w:p>
        </w:tc>
        <w:tc>
          <w:tcPr>
            <w:tcW w:w="984" w:type="dxa"/>
            <w:vAlign w:val="top"/>
          </w:tcPr>
          <w:p>
            <w:pPr>
              <w:spacing w:before="87" w:line="22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spacing w:line="343" w:lineRule="auto"/>
              <w:rPr>
                <w:rFonts w:ascii="Arial"/>
                <w:sz w:val="21"/>
              </w:rPr>
            </w:pPr>
          </w:p>
          <w:p>
            <w:pPr>
              <w:pStyle w:val="6"/>
              <w:spacing w:before="68" w:line="221" w:lineRule="auto"/>
              <w:ind w:left="349"/>
            </w:pPr>
            <w:r>
              <w:rPr>
                <w:spacing w:val="-3"/>
              </w:rPr>
              <w:t>夜间</w:t>
            </w:r>
          </w:p>
        </w:tc>
        <w:tc>
          <w:tcPr>
            <w:tcW w:w="970" w:type="dxa"/>
            <w:vAlign w:val="top"/>
          </w:tcPr>
          <w:p>
            <w:pPr>
              <w:spacing w:line="393" w:lineRule="auto"/>
              <w:rPr>
                <w:rFonts w:ascii="Arial"/>
                <w:sz w:val="21"/>
              </w:rPr>
            </w:pPr>
          </w:p>
          <w:p>
            <w:pPr>
              <w:spacing w:before="60"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line="390" w:lineRule="auto"/>
              <w:rPr>
                <w:rFonts w:ascii="Arial"/>
                <w:sz w:val="21"/>
              </w:rPr>
            </w:pPr>
          </w:p>
          <w:p>
            <w:pPr>
              <w:spacing w:before="60"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39.3</w:t>
            </w:r>
          </w:p>
        </w:tc>
        <w:tc>
          <w:tcPr>
            <w:tcW w:w="799" w:type="dxa"/>
            <w:vAlign w:val="top"/>
          </w:tcPr>
          <w:p>
            <w:pPr>
              <w:spacing w:line="390" w:lineRule="auto"/>
              <w:rPr>
                <w:rFonts w:ascii="Arial"/>
                <w:sz w:val="21"/>
              </w:rPr>
            </w:pPr>
          </w:p>
          <w:p>
            <w:pPr>
              <w:spacing w:before="60"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39.3</w:t>
            </w:r>
          </w:p>
        </w:tc>
        <w:tc>
          <w:tcPr>
            <w:tcW w:w="974" w:type="dxa"/>
            <w:vAlign w:val="top"/>
          </w:tcPr>
          <w:p>
            <w:pPr>
              <w:spacing w:line="390" w:lineRule="auto"/>
              <w:rPr>
                <w:rFonts w:ascii="Arial"/>
                <w:sz w:val="21"/>
              </w:rPr>
            </w:pPr>
          </w:p>
          <w:p>
            <w:pPr>
              <w:spacing w:before="60"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42.7</w:t>
            </w:r>
          </w:p>
        </w:tc>
        <w:tc>
          <w:tcPr>
            <w:tcW w:w="1003" w:type="dxa"/>
            <w:vAlign w:val="top"/>
          </w:tcPr>
          <w:p>
            <w:pPr>
              <w:spacing w:line="387" w:lineRule="auto"/>
              <w:rPr>
                <w:rFonts w:ascii="Arial"/>
                <w:sz w:val="21"/>
              </w:rPr>
            </w:pPr>
          </w:p>
          <w:p>
            <w:pPr>
              <w:spacing w:before="6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43.7</w:t>
            </w:r>
          </w:p>
        </w:tc>
        <w:tc>
          <w:tcPr>
            <w:tcW w:w="1281" w:type="dxa"/>
            <w:vAlign w:val="top"/>
          </w:tcPr>
          <w:p>
            <w:pPr>
              <w:spacing w:line="387" w:lineRule="auto"/>
              <w:rPr>
                <w:rFonts w:ascii="Arial"/>
                <w:sz w:val="21"/>
              </w:rPr>
            </w:pPr>
          </w:p>
          <w:p>
            <w:pPr>
              <w:spacing w:before="6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+5.0</w:t>
            </w:r>
          </w:p>
        </w:tc>
        <w:tc>
          <w:tcPr>
            <w:tcW w:w="893" w:type="dxa"/>
            <w:vAlign w:val="top"/>
          </w:tcPr>
          <w:p>
            <w:pPr>
              <w:spacing w:line="384" w:lineRule="auto"/>
              <w:rPr>
                <w:rFonts w:ascii="Arial"/>
                <w:sz w:val="21"/>
              </w:rPr>
            </w:pPr>
          </w:p>
          <w:p>
            <w:pPr>
              <w:spacing w:before="60"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line="387" w:lineRule="auto"/>
              <w:rPr>
                <w:rFonts w:ascii="Arial"/>
                <w:sz w:val="21"/>
              </w:rPr>
            </w:pPr>
          </w:p>
          <w:p>
            <w:pPr>
              <w:spacing w:before="6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44.9</w:t>
            </w:r>
          </w:p>
        </w:tc>
        <w:tc>
          <w:tcPr>
            <w:tcW w:w="888" w:type="dxa"/>
            <w:vAlign w:val="top"/>
          </w:tcPr>
          <w:p>
            <w:pPr>
              <w:spacing w:line="387" w:lineRule="auto"/>
              <w:rPr>
                <w:rFonts w:ascii="Arial"/>
                <w:sz w:val="21"/>
              </w:rPr>
            </w:pPr>
          </w:p>
          <w:p>
            <w:pPr>
              <w:spacing w:before="61"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45.6</w:t>
            </w:r>
          </w:p>
        </w:tc>
        <w:tc>
          <w:tcPr>
            <w:tcW w:w="1109" w:type="dxa"/>
            <w:vAlign w:val="top"/>
          </w:tcPr>
          <w:p>
            <w:pPr>
              <w:spacing w:line="387" w:lineRule="auto"/>
              <w:rPr>
                <w:rFonts w:ascii="Arial"/>
                <w:sz w:val="21"/>
              </w:rPr>
            </w:pPr>
          </w:p>
          <w:p>
            <w:pPr>
              <w:spacing w:before="61"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w:t>
            </w:r>
          </w:p>
        </w:tc>
        <w:tc>
          <w:tcPr>
            <w:tcW w:w="977" w:type="dxa"/>
            <w:vAlign w:val="top"/>
          </w:tcPr>
          <w:p>
            <w:pPr>
              <w:spacing w:line="384" w:lineRule="auto"/>
              <w:rPr>
                <w:rFonts w:ascii="Arial"/>
                <w:sz w:val="21"/>
              </w:rPr>
            </w:pPr>
          </w:p>
          <w:p>
            <w:pPr>
              <w:spacing w:before="60"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line="380" w:lineRule="auto"/>
              <w:rPr>
                <w:rFonts w:ascii="Arial"/>
                <w:sz w:val="21"/>
              </w:rPr>
            </w:pPr>
          </w:p>
          <w:p>
            <w:pPr>
              <w:spacing w:before="63" w:line="187" w:lineRule="auto"/>
              <w:ind w:left="32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w:t>
            </w:r>
          </w:p>
        </w:tc>
        <w:tc>
          <w:tcPr>
            <w:tcW w:w="890" w:type="dxa"/>
            <w:vAlign w:val="top"/>
          </w:tcPr>
          <w:p>
            <w:pPr>
              <w:spacing w:line="387" w:lineRule="auto"/>
              <w:rPr>
                <w:rFonts w:ascii="Arial"/>
                <w:sz w:val="21"/>
              </w:rPr>
            </w:pPr>
          </w:p>
          <w:p>
            <w:pPr>
              <w:spacing w:before="61"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46.5</w:t>
            </w:r>
          </w:p>
        </w:tc>
        <w:tc>
          <w:tcPr>
            <w:tcW w:w="1116" w:type="dxa"/>
            <w:vAlign w:val="top"/>
          </w:tcPr>
          <w:p>
            <w:pPr>
              <w:spacing w:line="390" w:lineRule="auto"/>
              <w:rPr>
                <w:rFonts w:ascii="Arial"/>
                <w:sz w:val="21"/>
              </w:rPr>
            </w:pPr>
          </w:p>
          <w:p>
            <w:pPr>
              <w:spacing w:before="61" w:line="184"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w:t>
            </w:r>
          </w:p>
        </w:tc>
        <w:tc>
          <w:tcPr>
            <w:tcW w:w="984" w:type="dxa"/>
            <w:vAlign w:val="top"/>
          </w:tcPr>
          <w:p>
            <w:pPr>
              <w:spacing w:line="384" w:lineRule="auto"/>
              <w:rPr>
                <w:rFonts w:ascii="Arial"/>
                <w:sz w:val="21"/>
              </w:rPr>
            </w:pPr>
          </w:p>
          <w:p>
            <w:pPr>
              <w:spacing w:before="60"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restart"/>
            <w:tcBorders>
              <w:bottom w:val="nil"/>
            </w:tcBorders>
            <w:vAlign w:val="top"/>
          </w:tcPr>
          <w:p>
            <w:pPr>
              <w:pStyle w:val="6"/>
              <w:spacing w:before="40"/>
              <w:ind w:left="118" w:right="101"/>
              <w:jc w:val="both"/>
              <w:rPr>
                <w:rFonts w:ascii="Times New Roman" w:hAnsi="Times New Roman" w:eastAsia="Times New Roman" w:cs="Times New Roman"/>
              </w:rPr>
            </w:pPr>
            <w:r>
              <w:rPr>
                <w:rFonts w:ascii="Times New Roman" w:hAnsi="Times New Roman" w:eastAsia="Times New Roman" w:cs="Times New Roman"/>
                <w:spacing w:val="-2"/>
              </w:rPr>
              <w:t>58</w:t>
            </w:r>
            <w:r>
              <w:rPr>
                <w:spacing w:val="-2"/>
              </w:rPr>
              <w:t>（西坑</w:t>
            </w:r>
            <w:r>
              <w:rPr>
                <w:spacing w:val="1"/>
              </w:rPr>
              <w:t xml:space="preserve"> </w:t>
            </w:r>
            <w:r>
              <w:t>互通</w:t>
            </w:r>
            <w:r>
              <w:rPr>
                <w:rFonts w:ascii="Times New Roman" w:hAnsi="Times New Roman" w:eastAsia="Times New Roman" w:cs="Times New Roman"/>
              </w:rPr>
              <w:t xml:space="preserve">A </w:t>
            </w:r>
            <w:r>
              <w:t xml:space="preserve">匝 </w:t>
            </w:r>
            <w:r>
              <w:rPr>
                <w:spacing w:val="3"/>
              </w:rPr>
              <w:t>道）</w:t>
            </w:r>
            <w:r>
              <w:rPr>
                <w:rFonts w:ascii="Times New Roman" w:hAnsi="Times New Roman" w:eastAsia="Times New Roman" w:cs="Times New Roman"/>
                <w:spacing w:val="3"/>
              </w:rPr>
              <w:t>/200</w:t>
            </w:r>
          </w:p>
          <w:p>
            <w:pPr>
              <w:pStyle w:val="6"/>
              <w:spacing w:line="227" w:lineRule="auto"/>
              <w:ind w:left="311" w:right="118" w:hanging="188"/>
            </w:pPr>
            <w:r>
              <w:rPr>
                <w:spacing w:val="-7"/>
              </w:rPr>
              <w:t>（连接线</w:t>
            </w:r>
            <w:r>
              <w:t xml:space="preserve"> </w:t>
            </w:r>
            <w:r>
              <w:rPr>
                <w:rFonts w:ascii="Times New Roman" w:hAnsi="Times New Roman" w:eastAsia="Times New Roman" w:cs="Times New Roman"/>
                <w:spacing w:val="-1"/>
              </w:rPr>
              <w:t>L1</w:t>
            </w:r>
            <w:r>
              <w:rPr>
                <w:spacing w:val="-1"/>
              </w:rPr>
              <w:t>）</w:t>
            </w:r>
          </w:p>
        </w:tc>
        <w:tc>
          <w:tcPr>
            <w:tcW w:w="1013"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0" w:line="187"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-25.8</w:t>
            </w:r>
          </w:p>
        </w:tc>
        <w:tc>
          <w:tcPr>
            <w:tcW w:w="1094" w:type="dxa"/>
            <w:vMerge w:val="restart"/>
            <w:tcBorders>
              <w:bottom w:val="nil"/>
            </w:tcBorders>
            <w:vAlign w:val="top"/>
          </w:tcPr>
          <w:p>
            <w:pPr>
              <w:spacing w:line="258" w:lineRule="auto"/>
              <w:rPr>
                <w:rFonts w:ascii="Arial"/>
                <w:sz w:val="21"/>
              </w:rPr>
            </w:pPr>
          </w:p>
          <w:p>
            <w:pPr>
              <w:spacing w:line="258" w:lineRule="auto"/>
              <w:rPr>
                <w:rFonts w:ascii="Arial"/>
                <w:sz w:val="21"/>
              </w:rPr>
            </w:pPr>
          </w:p>
          <w:p>
            <w:pPr>
              <w:pStyle w:val="6"/>
              <w:spacing w:before="69" w:line="221" w:lineRule="auto"/>
              <w:ind w:left="337"/>
            </w:pPr>
            <w:r>
              <w:rPr>
                <w:rFonts w:ascii="Times New Roman" w:hAnsi="Times New Roman" w:eastAsia="Times New Roman" w:cs="Times New Roman"/>
                <w:spacing w:val="-2"/>
              </w:rPr>
              <w:t>2</w:t>
            </w:r>
            <w:r>
              <w:rPr>
                <w:rFonts w:ascii="Times New Roman" w:hAnsi="Times New Roman" w:eastAsia="Times New Roman" w:cs="Times New Roman"/>
                <w:spacing w:val="4"/>
              </w:rPr>
              <w:t xml:space="preserve">  </w:t>
            </w:r>
            <w:r>
              <w:rPr>
                <w:spacing w:val="-2"/>
              </w:rPr>
              <w:t>类</w:t>
            </w:r>
          </w:p>
        </w:tc>
        <w:tc>
          <w:tcPr>
            <w:tcW w:w="1104" w:type="dxa"/>
            <w:vAlign w:val="top"/>
          </w:tcPr>
          <w:p>
            <w:pPr>
              <w:pStyle w:val="6"/>
              <w:spacing w:before="65" w:line="223" w:lineRule="auto"/>
              <w:ind w:left="345"/>
            </w:pPr>
            <w:r>
              <w:rPr>
                <w:spacing w:val="-2"/>
              </w:rPr>
              <w:t>昼间</w:t>
            </w:r>
          </w:p>
        </w:tc>
        <w:tc>
          <w:tcPr>
            <w:tcW w:w="970" w:type="dxa"/>
            <w:vAlign w:val="top"/>
          </w:tcPr>
          <w:p>
            <w:pPr>
              <w:spacing w:before="103"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78"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3"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41.9</w:t>
            </w:r>
          </w:p>
        </w:tc>
        <w:tc>
          <w:tcPr>
            <w:tcW w:w="799" w:type="dxa"/>
            <w:vAlign w:val="top"/>
          </w:tcPr>
          <w:p>
            <w:pPr>
              <w:spacing w:before="103"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41.9</w:t>
            </w:r>
          </w:p>
        </w:tc>
        <w:tc>
          <w:tcPr>
            <w:tcW w:w="974" w:type="dxa"/>
            <w:vAlign w:val="top"/>
          </w:tcPr>
          <w:p>
            <w:pPr>
              <w:spacing w:before="103"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47.3</w:t>
            </w:r>
          </w:p>
        </w:tc>
        <w:tc>
          <w:tcPr>
            <w:tcW w:w="1003"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47.5</w:t>
            </w:r>
          </w:p>
        </w:tc>
        <w:tc>
          <w:tcPr>
            <w:tcW w:w="1281" w:type="dxa"/>
            <w:vAlign w:val="top"/>
          </w:tcPr>
          <w:p>
            <w:pPr>
              <w:spacing w:before="10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w:t>
            </w:r>
          </w:p>
        </w:tc>
        <w:tc>
          <w:tcPr>
            <w:tcW w:w="893" w:type="dxa"/>
            <w:vAlign w:val="top"/>
          </w:tcPr>
          <w:p>
            <w:pPr>
              <w:spacing w:before="97"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1"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888" w:type="dxa"/>
            <w:vAlign w:val="top"/>
          </w:tcPr>
          <w:p>
            <w:pPr>
              <w:spacing w:before="10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1109" w:type="dxa"/>
            <w:vAlign w:val="top"/>
          </w:tcPr>
          <w:p>
            <w:pPr>
              <w:spacing w:before="101"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+13.6</w:t>
            </w:r>
          </w:p>
        </w:tc>
        <w:tc>
          <w:tcPr>
            <w:tcW w:w="977" w:type="dxa"/>
            <w:vAlign w:val="top"/>
          </w:tcPr>
          <w:p>
            <w:pPr>
              <w:spacing w:before="97"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96" w:line="187" w:lineRule="auto"/>
              <w:ind w:left="2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56.7</w:t>
            </w:r>
          </w:p>
        </w:tc>
        <w:tc>
          <w:tcPr>
            <w:tcW w:w="890" w:type="dxa"/>
            <w:vAlign w:val="top"/>
          </w:tcPr>
          <w:p>
            <w:pPr>
              <w:spacing w:before="101"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56.7</w:t>
            </w:r>
          </w:p>
        </w:tc>
        <w:tc>
          <w:tcPr>
            <w:tcW w:w="1116"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+14.9</w:t>
            </w:r>
          </w:p>
        </w:tc>
        <w:tc>
          <w:tcPr>
            <w:tcW w:w="984" w:type="dxa"/>
            <w:vAlign w:val="top"/>
          </w:tcPr>
          <w:p>
            <w:pPr>
              <w:spacing w:before="97"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bottom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4" w:line="221" w:lineRule="auto"/>
              <w:ind w:left="349"/>
            </w:pPr>
            <w:r>
              <w:rPr>
                <w:spacing w:val="-3"/>
              </w:rPr>
              <w:t>夜间</w:t>
            </w:r>
          </w:p>
        </w:tc>
        <w:tc>
          <w:tcPr>
            <w:tcW w:w="970" w:type="dxa"/>
            <w:vAlign w:val="top"/>
          </w:tcPr>
          <w:p>
            <w:pPr>
              <w:spacing w:before="103"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3"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37.1</w:t>
            </w:r>
          </w:p>
        </w:tc>
        <w:tc>
          <w:tcPr>
            <w:tcW w:w="799" w:type="dxa"/>
            <w:vAlign w:val="top"/>
          </w:tcPr>
          <w:p>
            <w:pPr>
              <w:spacing w:before="103"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37.1</w:t>
            </w:r>
          </w:p>
        </w:tc>
        <w:tc>
          <w:tcPr>
            <w:tcW w:w="974" w:type="dxa"/>
            <w:vAlign w:val="top"/>
          </w:tcPr>
          <w:p>
            <w:pPr>
              <w:spacing w:before="103"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41.9</w:t>
            </w:r>
          </w:p>
        </w:tc>
        <w:tc>
          <w:tcPr>
            <w:tcW w:w="1003"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w:t>
            </w:r>
          </w:p>
        </w:tc>
        <w:tc>
          <w:tcPr>
            <w:tcW w:w="1281" w:type="dxa"/>
            <w:vAlign w:val="top"/>
          </w:tcPr>
          <w:p>
            <w:pPr>
              <w:spacing w:before="10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w:t>
            </w:r>
          </w:p>
        </w:tc>
        <w:tc>
          <w:tcPr>
            <w:tcW w:w="893" w:type="dxa"/>
            <w:vAlign w:val="top"/>
          </w:tcPr>
          <w:p>
            <w:pPr>
              <w:spacing w:before="97"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1"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888" w:type="dxa"/>
            <w:vAlign w:val="top"/>
          </w:tcPr>
          <w:p>
            <w:pPr>
              <w:spacing w:before="101"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1109" w:type="dxa"/>
            <w:vAlign w:val="top"/>
          </w:tcPr>
          <w:p>
            <w:pPr>
              <w:spacing w:before="104" w:line="184"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+7.7</w:t>
            </w:r>
          </w:p>
        </w:tc>
        <w:tc>
          <w:tcPr>
            <w:tcW w:w="977" w:type="dxa"/>
            <w:vAlign w:val="top"/>
          </w:tcPr>
          <w:p>
            <w:pPr>
              <w:spacing w:before="97"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96" w:line="187"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45.1</w:t>
            </w:r>
          </w:p>
        </w:tc>
        <w:tc>
          <w:tcPr>
            <w:tcW w:w="890" w:type="dxa"/>
            <w:vAlign w:val="top"/>
          </w:tcPr>
          <w:p>
            <w:pPr>
              <w:spacing w:before="101"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45.4</w:t>
            </w:r>
          </w:p>
        </w:tc>
        <w:tc>
          <w:tcPr>
            <w:tcW w:w="1116" w:type="dxa"/>
            <w:vAlign w:val="top"/>
          </w:tcPr>
          <w:p>
            <w:pPr>
              <w:spacing w:before="101"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+8.6</w:t>
            </w:r>
          </w:p>
        </w:tc>
        <w:tc>
          <w:tcPr>
            <w:tcW w:w="984" w:type="dxa"/>
            <w:vAlign w:val="top"/>
          </w:tcPr>
          <w:p>
            <w:pPr>
              <w:spacing w:before="97"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bottom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6" w:line="223" w:lineRule="auto"/>
              <w:ind w:left="345"/>
            </w:pPr>
            <w:r>
              <w:rPr>
                <w:spacing w:val="-2"/>
              </w:rPr>
              <w:t>昼间</w:t>
            </w:r>
          </w:p>
        </w:tc>
        <w:tc>
          <w:tcPr>
            <w:tcW w:w="970" w:type="dxa"/>
            <w:vAlign w:val="top"/>
          </w:tcPr>
          <w:p>
            <w:pPr>
              <w:spacing w:before="104"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79"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4"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799" w:type="dxa"/>
            <w:vAlign w:val="top"/>
          </w:tcPr>
          <w:p>
            <w:pPr>
              <w:spacing w:before="104"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50.9</w:t>
            </w:r>
          </w:p>
        </w:tc>
        <w:tc>
          <w:tcPr>
            <w:tcW w:w="1003" w:type="dxa"/>
            <w:vAlign w:val="top"/>
          </w:tcPr>
          <w:p>
            <w:pPr>
              <w:spacing w:before="101"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1281" w:type="dxa"/>
            <w:vAlign w:val="top"/>
          </w:tcPr>
          <w:p>
            <w:pPr>
              <w:spacing w:before="101"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+12.2</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1"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59.2</w:t>
            </w:r>
          </w:p>
        </w:tc>
        <w:tc>
          <w:tcPr>
            <w:tcW w:w="888" w:type="dxa"/>
            <w:vAlign w:val="top"/>
          </w:tcPr>
          <w:p>
            <w:pPr>
              <w:spacing w:before="10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59.2</w:t>
            </w:r>
          </w:p>
        </w:tc>
        <w:tc>
          <w:tcPr>
            <w:tcW w:w="1109" w:type="dxa"/>
            <w:vAlign w:val="top"/>
          </w:tcPr>
          <w:p>
            <w:pPr>
              <w:spacing w:before="101"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w:t>
            </w:r>
          </w:p>
        </w:tc>
        <w:tc>
          <w:tcPr>
            <w:tcW w:w="977" w:type="dxa"/>
            <w:vAlign w:val="top"/>
          </w:tcPr>
          <w:p>
            <w:pPr>
              <w:spacing w:before="98"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97" w:line="187" w:lineRule="auto"/>
              <w:ind w:left="2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60.5</w:t>
            </w:r>
          </w:p>
        </w:tc>
        <w:tc>
          <w:tcPr>
            <w:tcW w:w="890" w:type="dxa"/>
            <w:vAlign w:val="top"/>
          </w:tcPr>
          <w:p>
            <w:pPr>
              <w:spacing w:before="10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60.5</w:t>
            </w:r>
          </w:p>
        </w:tc>
        <w:tc>
          <w:tcPr>
            <w:tcW w:w="1116"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+21.5</w:t>
            </w:r>
          </w:p>
        </w:tc>
        <w:tc>
          <w:tcPr>
            <w:tcW w:w="984" w:type="dxa"/>
            <w:vAlign w:val="top"/>
          </w:tcPr>
          <w:p>
            <w:pPr>
              <w:spacing w:before="101"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5" w:line="221" w:lineRule="auto"/>
              <w:ind w:left="349"/>
            </w:pPr>
            <w:r>
              <w:rPr>
                <w:spacing w:val="-3"/>
              </w:rPr>
              <w:t>夜间</w:t>
            </w:r>
          </w:p>
        </w:tc>
        <w:tc>
          <w:tcPr>
            <w:tcW w:w="970" w:type="dxa"/>
            <w:vAlign w:val="top"/>
          </w:tcPr>
          <w:p>
            <w:pPr>
              <w:spacing w:before="104"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4"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39.2</w:t>
            </w:r>
          </w:p>
        </w:tc>
        <w:tc>
          <w:tcPr>
            <w:tcW w:w="799" w:type="dxa"/>
            <w:vAlign w:val="top"/>
          </w:tcPr>
          <w:p>
            <w:pPr>
              <w:spacing w:before="104"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39.2</w:t>
            </w:r>
          </w:p>
        </w:tc>
        <w:tc>
          <w:tcPr>
            <w:tcW w:w="974" w:type="dxa"/>
            <w:vAlign w:val="top"/>
          </w:tcPr>
          <w:p>
            <w:pPr>
              <w:spacing w:before="104"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1003"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46.0</w:t>
            </w:r>
          </w:p>
        </w:tc>
        <w:tc>
          <w:tcPr>
            <w:tcW w:w="1281" w:type="dxa"/>
            <w:vAlign w:val="top"/>
          </w:tcPr>
          <w:p>
            <w:pPr>
              <w:spacing w:before="10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47.5</w:t>
            </w:r>
          </w:p>
        </w:tc>
        <w:tc>
          <w:tcPr>
            <w:tcW w:w="888" w:type="dxa"/>
            <w:vAlign w:val="top"/>
          </w:tcPr>
          <w:p>
            <w:pPr>
              <w:spacing w:before="101"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1109" w:type="dxa"/>
            <w:vAlign w:val="top"/>
          </w:tcPr>
          <w:p>
            <w:pPr>
              <w:spacing w:before="101"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+8.9</w:t>
            </w:r>
          </w:p>
        </w:tc>
        <w:tc>
          <w:tcPr>
            <w:tcW w:w="977" w:type="dxa"/>
            <w:vAlign w:val="top"/>
          </w:tcPr>
          <w:p>
            <w:pPr>
              <w:spacing w:before="98"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97" w:line="187"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48.6</w:t>
            </w:r>
          </w:p>
        </w:tc>
        <w:tc>
          <w:tcPr>
            <w:tcW w:w="890" w:type="dxa"/>
            <w:vAlign w:val="top"/>
          </w:tcPr>
          <w:p>
            <w:pPr>
              <w:spacing w:before="101"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48.9</w:t>
            </w:r>
          </w:p>
        </w:tc>
        <w:tc>
          <w:tcPr>
            <w:tcW w:w="1116" w:type="dxa"/>
            <w:vAlign w:val="top"/>
          </w:tcPr>
          <w:p>
            <w:pPr>
              <w:spacing w:before="101"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+9.9</w:t>
            </w:r>
          </w:p>
        </w:tc>
        <w:tc>
          <w:tcPr>
            <w:tcW w:w="984" w:type="dxa"/>
            <w:vAlign w:val="top"/>
          </w:tcPr>
          <w:p>
            <w:pPr>
              <w:spacing w:before="98"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14" w:type="dxa"/>
            <w:vMerge w:val="restart"/>
            <w:tcBorders>
              <w:bottom w:val="nil"/>
            </w:tcBorders>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60" w:line="187" w:lineRule="auto"/>
              <w:ind w:left="25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11" w:type="dxa"/>
            <w:vMerge w:val="restart"/>
            <w:tcBorders>
              <w:bottom w:val="nil"/>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8" w:line="221" w:lineRule="auto"/>
              <w:ind w:left="243"/>
            </w:pPr>
            <w:r>
              <w:rPr>
                <w:spacing w:val="-2"/>
              </w:rPr>
              <w:t>南坑垟</w:t>
            </w:r>
          </w:p>
        </w:tc>
        <w:tc>
          <w:tcPr>
            <w:tcW w:w="1060" w:type="dxa"/>
            <w:vMerge w:val="restart"/>
            <w:tcBorders>
              <w:bottom w:val="nil"/>
            </w:tcBorders>
            <w:vAlign w:val="top"/>
          </w:tcPr>
          <w:p>
            <w:pPr>
              <w:spacing w:before="250" w:line="187" w:lineRule="auto"/>
              <w:ind w:left="3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013" w:type="dxa"/>
            <w:vMerge w:val="restart"/>
            <w:tcBorders>
              <w:bottom w:val="nil"/>
            </w:tcBorders>
            <w:vAlign w:val="top"/>
          </w:tcPr>
          <w:p>
            <w:pPr>
              <w:spacing w:before="250" w:line="187"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1094" w:type="dxa"/>
            <w:vMerge w:val="restart"/>
            <w:tcBorders>
              <w:bottom w:val="nil"/>
            </w:tcBorders>
            <w:vAlign w:val="top"/>
          </w:tcPr>
          <w:p>
            <w:pPr>
              <w:pStyle w:val="6"/>
              <w:spacing w:before="213"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53" w:line="222" w:lineRule="auto"/>
              <w:ind w:left="345"/>
            </w:pPr>
            <w:r>
              <w:rPr>
                <w:spacing w:val="-2"/>
              </w:rPr>
              <w:t>昼间</w:t>
            </w:r>
          </w:p>
        </w:tc>
        <w:tc>
          <w:tcPr>
            <w:tcW w:w="970" w:type="dxa"/>
            <w:vAlign w:val="top"/>
          </w:tcPr>
          <w:p>
            <w:pPr>
              <w:spacing w:before="92"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53"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92"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799" w:type="dxa"/>
            <w:vAlign w:val="top"/>
          </w:tcPr>
          <w:p>
            <w:pPr>
              <w:spacing w:before="92"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974" w:type="dxa"/>
            <w:vAlign w:val="top"/>
          </w:tcPr>
          <w:p>
            <w:pPr>
              <w:spacing w:before="92"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38.0</w:t>
            </w:r>
          </w:p>
        </w:tc>
        <w:tc>
          <w:tcPr>
            <w:tcW w:w="1003" w:type="dxa"/>
            <w:vAlign w:val="top"/>
          </w:tcPr>
          <w:p>
            <w:pPr>
              <w:spacing w:before="89"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52.6</w:t>
            </w:r>
          </w:p>
        </w:tc>
        <w:tc>
          <w:tcPr>
            <w:tcW w:w="1281" w:type="dxa"/>
            <w:vAlign w:val="top"/>
          </w:tcPr>
          <w:p>
            <w:pPr>
              <w:spacing w:before="89"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w:t>
            </w:r>
          </w:p>
        </w:tc>
        <w:tc>
          <w:tcPr>
            <w:tcW w:w="893" w:type="dxa"/>
            <w:vAlign w:val="top"/>
          </w:tcPr>
          <w:p>
            <w:pPr>
              <w:spacing w:before="86" w:line="218"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89"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888" w:type="dxa"/>
            <w:vAlign w:val="top"/>
          </w:tcPr>
          <w:p>
            <w:pPr>
              <w:spacing w:before="89"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53.3</w:t>
            </w:r>
          </w:p>
        </w:tc>
        <w:tc>
          <w:tcPr>
            <w:tcW w:w="1109" w:type="dxa"/>
            <w:vAlign w:val="top"/>
          </w:tcPr>
          <w:p>
            <w:pPr>
              <w:spacing w:before="89"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w:t>
            </w:r>
          </w:p>
        </w:tc>
        <w:tc>
          <w:tcPr>
            <w:tcW w:w="977" w:type="dxa"/>
            <w:vAlign w:val="top"/>
          </w:tcPr>
          <w:p>
            <w:pPr>
              <w:spacing w:before="86" w:line="218"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85" w:line="187"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49.5</w:t>
            </w:r>
          </w:p>
        </w:tc>
        <w:tc>
          <w:tcPr>
            <w:tcW w:w="890" w:type="dxa"/>
            <w:vAlign w:val="top"/>
          </w:tcPr>
          <w:p>
            <w:pPr>
              <w:spacing w:before="89"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c>
          <w:tcPr>
            <w:tcW w:w="1116" w:type="dxa"/>
            <w:vAlign w:val="top"/>
          </w:tcPr>
          <w:p>
            <w:pPr>
              <w:spacing w:before="89"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w:t>
            </w:r>
          </w:p>
        </w:tc>
        <w:tc>
          <w:tcPr>
            <w:tcW w:w="984" w:type="dxa"/>
            <w:vAlign w:val="top"/>
          </w:tcPr>
          <w:p>
            <w:pPr>
              <w:spacing w:before="86" w:line="218"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53" w:line="221" w:lineRule="auto"/>
              <w:ind w:left="349"/>
            </w:pPr>
            <w:r>
              <w:rPr>
                <w:spacing w:val="-3"/>
              </w:rPr>
              <w:t>夜间</w:t>
            </w:r>
          </w:p>
        </w:tc>
        <w:tc>
          <w:tcPr>
            <w:tcW w:w="970" w:type="dxa"/>
            <w:vAlign w:val="top"/>
          </w:tcPr>
          <w:p>
            <w:pPr>
              <w:spacing w:before="92"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92"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w:t>
            </w:r>
          </w:p>
        </w:tc>
        <w:tc>
          <w:tcPr>
            <w:tcW w:w="799" w:type="dxa"/>
            <w:vAlign w:val="top"/>
          </w:tcPr>
          <w:p>
            <w:pPr>
              <w:spacing w:before="92"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w:t>
            </w:r>
          </w:p>
        </w:tc>
        <w:tc>
          <w:tcPr>
            <w:tcW w:w="974" w:type="dxa"/>
            <w:vAlign w:val="top"/>
          </w:tcPr>
          <w:p>
            <w:pPr>
              <w:spacing w:before="92"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32.5</w:t>
            </w:r>
          </w:p>
        </w:tc>
        <w:tc>
          <w:tcPr>
            <w:tcW w:w="1003" w:type="dxa"/>
            <w:vAlign w:val="top"/>
          </w:tcPr>
          <w:p>
            <w:pPr>
              <w:spacing w:before="90"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w:t>
            </w:r>
          </w:p>
        </w:tc>
        <w:tc>
          <w:tcPr>
            <w:tcW w:w="1281" w:type="dxa"/>
            <w:vAlign w:val="top"/>
          </w:tcPr>
          <w:p>
            <w:pPr>
              <w:spacing w:before="90"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w:t>
            </w:r>
          </w:p>
        </w:tc>
        <w:tc>
          <w:tcPr>
            <w:tcW w:w="893" w:type="dxa"/>
            <w:vAlign w:val="top"/>
          </w:tcPr>
          <w:p>
            <w:pPr>
              <w:spacing w:before="86" w:line="218"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90"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888" w:type="dxa"/>
            <w:vAlign w:val="top"/>
          </w:tcPr>
          <w:p>
            <w:pPr>
              <w:spacing w:before="90"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c>
          <w:tcPr>
            <w:tcW w:w="1109" w:type="dxa"/>
            <w:vAlign w:val="top"/>
          </w:tcPr>
          <w:p>
            <w:pPr>
              <w:spacing w:before="90"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w:t>
            </w:r>
          </w:p>
        </w:tc>
        <w:tc>
          <w:tcPr>
            <w:tcW w:w="977" w:type="dxa"/>
            <w:vAlign w:val="top"/>
          </w:tcPr>
          <w:p>
            <w:pPr>
              <w:spacing w:before="86" w:line="218"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85" w:line="187" w:lineRule="auto"/>
              <w:ind w:left="2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36.1</w:t>
            </w:r>
          </w:p>
        </w:tc>
        <w:tc>
          <w:tcPr>
            <w:tcW w:w="890" w:type="dxa"/>
            <w:vAlign w:val="top"/>
          </w:tcPr>
          <w:p>
            <w:pPr>
              <w:spacing w:before="90"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41.8</w:t>
            </w:r>
          </w:p>
        </w:tc>
        <w:tc>
          <w:tcPr>
            <w:tcW w:w="1116" w:type="dxa"/>
            <w:vAlign w:val="top"/>
          </w:tcPr>
          <w:p>
            <w:pPr>
              <w:spacing w:before="90"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w:t>
            </w:r>
          </w:p>
        </w:tc>
        <w:tc>
          <w:tcPr>
            <w:tcW w:w="984" w:type="dxa"/>
            <w:vAlign w:val="top"/>
          </w:tcPr>
          <w:p>
            <w:pPr>
              <w:spacing w:before="86" w:line="218"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3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216</w:t>
            </w:r>
          </w:p>
        </w:tc>
        <w:tc>
          <w:tcPr>
            <w:tcW w:w="1013" w:type="dxa"/>
            <w:vMerge w:val="restart"/>
            <w:tcBorders>
              <w:bottom w:val="nil"/>
            </w:tcBorders>
            <w:vAlign w:val="top"/>
          </w:tcPr>
          <w:p>
            <w:pPr>
              <w:spacing w:before="280" w:line="187"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-36.5</w:t>
            </w:r>
          </w:p>
        </w:tc>
        <w:tc>
          <w:tcPr>
            <w:tcW w:w="1094" w:type="dxa"/>
            <w:vMerge w:val="restart"/>
            <w:tcBorders>
              <w:bottom w:val="nil"/>
            </w:tcBorders>
            <w:vAlign w:val="top"/>
          </w:tcPr>
          <w:p>
            <w:pPr>
              <w:spacing w:line="259" w:lineRule="auto"/>
              <w:rPr>
                <w:rFonts w:ascii="Arial"/>
                <w:sz w:val="21"/>
              </w:rPr>
            </w:pPr>
          </w:p>
          <w:p>
            <w:pPr>
              <w:spacing w:line="259" w:lineRule="auto"/>
              <w:rPr>
                <w:rFonts w:ascii="Arial"/>
                <w:sz w:val="21"/>
              </w:rPr>
            </w:pPr>
          </w:p>
          <w:p>
            <w:pPr>
              <w:pStyle w:val="6"/>
              <w:spacing w:before="68"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69" w:line="223" w:lineRule="auto"/>
              <w:ind w:left="345"/>
            </w:pPr>
            <w:r>
              <w:rPr>
                <w:spacing w:val="-2"/>
              </w:rPr>
              <w:t>昼间</w:t>
            </w:r>
          </w:p>
        </w:tc>
        <w:tc>
          <w:tcPr>
            <w:tcW w:w="970" w:type="dxa"/>
            <w:vAlign w:val="top"/>
          </w:tcPr>
          <w:p>
            <w:pPr>
              <w:spacing w:before="107"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7"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799" w:type="dxa"/>
            <w:vAlign w:val="top"/>
          </w:tcPr>
          <w:p>
            <w:pPr>
              <w:spacing w:before="10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974" w:type="dxa"/>
            <w:vAlign w:val="top"/>
          </w:tcPr>
          <w:p>
            <w:pPr>
              <w:spacing w:before="107"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1003"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52.5</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45.4</w:t>
            </w:r>
          </w:p>
        </w:tc>
        <w:tc>
          <w:tcPr>
            <w:tcW w:w="888"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0" w:line="187"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48.9</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8" w:line="221" w:lineRule="auto"/>
              <w:ind w:left="349"/>
            </w:pPr>
            <w:r>
              <w:rPr>
                <w:spacing w:val="-3"/>
              </w:rPr>
              <w:t>夜间</w:t>
            </w:r>
          </w:p>
        </w:tc>
        <w:tc>
          <w:tcPr>
            <w:tcW w:w="970" w:type="dxa"/>
            <w:vAlign w:val="top"/>
          </w:tcPr>
          <w:p>
            <w:pPr>
              <w:spacing w:before="107"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7"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w:t>
            </w:r>
          </w:p>
        </w:tc>
        <w:tc>
          <w:tcPr>
            <w:tcW w:w="799" w:type="dxa"/>
            <w:vAlign w:val="top"/>
          </w:tcPr>
          <w:p>
            <w:pPr>
              <w:spacing w:before="107"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w:t>
            </w:r>
          </w:p>
        </w:tc>
        <w:tc>
          <w:tcPr>
            <w:tcW w:w="974" w:type="dxa"/>
            <w:vAlign w:val="top"/>
          </w:tcPr>
          <w:p>
            <w:pPr>
              <w:spacing w:before="107"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31.9</w:t>
            </w:r>
          </w:p>
        </w:tc>
        <w:tc>
          <w:tcPr>
            <w:tcW w:w="1003" w:type="dxa"/>
            <w:vAlign w:val="top"/>
          </w:tcPr>
          <w:p>
            <w:pPr>
              <w:spacing w:before="105"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34.4</w:t>
            </w:r>
          </w:p>
        </w:tc>
        <w:tc>
          <w:tcPr>
            <w:tcW w:w="888"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41.5</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0" w:line="187" w:lineRule="auto"/>
              <w:ind w:left="2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35.5</w:t>
            </w:r>
          </w:p>
        </w:tc>
        <w:tc>
          <w:tcPr>
            <w:tcW w:w="890" w:type="dxa"/>
            <w:vAlign w:val="top"/>
          </w:tcPr>
          <w:p>
            <w:pPr>
              <w:spacing w:before="105"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41.7</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80" w:line="187" w:lineRule="auto"/>
              <w:ind w:left="37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-33</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9" w:line="223" w:lineRule="auto"/>
              <w:ind w:left="345"/>
            </w:pPr>
            <w:r>
              <w:rPr>
                <w:spacing w:val="-2"/>
              </w:rPr>
              <w:t>昼间</w:t>
            </w:r>
          </w:p>
        </w:tc>
        <w:tc>
          <w:tcPr>
            <w:tcW w:w="970" w:type="dxa"/>
            <w:vAlign w:val="top"/>
          </w:tcPr>
          <w:p>
            <w:pPr>
              <w:spacing w:before="107"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0"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7"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54.9</w:t>
            </w:r>
          </w:p>
        </w:tc>
        <w:tc>
          <w:tcPr>
            <w:tcW w:w="799" w:type="dxa"/>
            <w:vAlign w:val="top"/>
          </w:tcPr>
          <w:p>
            <w:pPr>
              <w:spacing w:before="10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54.9</w:t>
            </w:r>
          </w:p>
        </w:tc>
        <w:tc>
          <w:tcPr>
            <w:tcW w:w="974" w:type="dxa"/>
            <w:vAlign w:val="top"/>
          </w:tcPr>
          <w:p>
            <w:pPr>
              <w:spacing w:before="107"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39.4</w:t>
            </w:r>
          </w:p>
        </w:tc>
        <w:tc>
          <w:tcPr>
            <w:tcW w:w="1003"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55.0</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888" w:type="dxa"/>
            <w:vAlign w:val="top"/>
          </w:tcPr>
          <w:p>
            <w:pPr>
              <w:spacing w:before="108" w:line="184"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55.7</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51.1</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8" w:line="221" w:lineRule="auto"/>
              <w:ind w:left="349"/>
            </w:pPr>
            <w:r>
              <w:rPr>
                <w:spacing w:val="-3"/>
              </w:rPr>
              <w:t>夜间</w:t>
            </w:r>
          </w:p>
        </w:tc>
        <w:tc>
          <w:tcPr>
            <w:tcW w:w="970" w:type="dxa"/>
            <w:vAlign w:val="top"/>
          </w:tcPr>
          <w:p>
            <w:pPr>
              <w:spacing w:before="107"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7"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w:t>
            </w:r>
          </w:p>
        </w:tc>
        <w:tc>
          <w:tcPr>
            <w:tcW w:w="799" w:type="dxa"/>
            <w:vAlign w:val="top"/>
          </w:tcPr>
          <w:p>
            <w:pPr>
              <w:spacing w:before="107"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w:t>
            </w:r>
          </w:p>
        </w:tc>
        <w:tc>
          <w:tcPr>
            <w:tcW w:w="974" w:type="dxa"/>
            <w:vAlign w:val="top"/>
          </w:tcPr>
          <w:p>
            <w:pPr>
              <w:spacing w:before="107"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34.0</w:t>
            </w:r>
          </w:p>
        </w:tc>
        <w:tc>
          <w:tcPr>
            <w:tcW w:w="1003" w:type="dxa"/>
            <w:vAlign w:val="top"/>
          </w:tcPr>
          <w:p>
            <w:pPr>
              <w:spacing w:before="105"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42.7</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36.4</w:t>
            </w:r>
          </w:p>
        </w:tc>
        <w:tc>
          <w:tcPr>
            <w:tcW w:w="888"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43.1</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890" w:type="dxa"/>
            <w:vAlign w:val="top"/>
          </w:tcPr>
          <w:p>
            <w:pPr>
              <w:spacing w:before="105"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43.4</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spacing w:before="61"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11" w:type="dxa"/>
            <w:vMerge w:val="restart"/>
            <w:tcBorders>
              <w:bottom w:val="nil"/>
            </w:tcBorders>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8" w:line="218" w:lineRule="auto"/>
              <w:ind w:left="240"/>
            </w:pPr>
            <w:r>
              <w:rPr>
                <w:spacing w:val="-1"/>
              </w:rPr>
              <w:t>漈头面</w:t>
            </w:r>
          </w:p>
        </w:tc>
        <w:tc>
          <w:tcPr>
            <w:tcW w:w="1060" w:type="dxa"/>
            <w:vMerge w:val="restart"/>
            <w:tcBorders>
              <w:bottom w:val="nil"/>
            </w:tcBorders>
            <w:vAlign w:val="top"/>
          </w:tcPr>
          <w:p>
            <w:pPr>
              <w:spacing w:before="283" w:line="184"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013" w:type="dxa"/>
            <w:vMerge w:val="restart"/>
            <w:tcBorders>
              <w:bottom w:val="nil"/>
            </w:tcBorders>
            <w:vAlign w:val="top"/>
          </w:tcPr>
          <w:p>
            <w:pPr>
              <w:spacing w:before="280" w:line="187" w:lineRule="auto"/>
              <w:ind w:left="45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094" w:type="dxa"/>
            <w:vMerge w:val="restart"/>
            <w:tcBorders>
              <w:bottom w:val="nil"/>
            </w:tcBorders>
            <w:vAlign w:val="top"/>
          </w:tcPr>
          <w:p>
            <w:pPr>
              <w:pStyle w:val="6"/>
              <w:spacing w:before="241" w:line="221" w:lineRule="auto"/>
              <w:ind w:left="31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1104" w:type="dxa"/>
            <w:vAlign w:val="top"/>
          </w:tcPr>
          <w:p>
            <w:pPr>
              <w:pStyle w:val="6"/>
              <w:spacing w:before="69" w:line="223" w:lineRule="auto"/>
              <w:ind w:left="345"/>
            </w:pPr>
            <w:r>
              <w:rPr>
                <w:spacing w:val="-2"/>
              </w:rPr>
              <w:t>昼间</w:t>
            </w:r>
          </w:p>
        </w:tc>
        <w:tc>
          <w:tcPr>
            <w:tcW w:w="970" w:type="dxa"/>
            <w:vAlign w:val="top"/>
          </w:tcPr>
          <w:p>
            <w:pPr>
              <w:spacing w:before="107"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8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7"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799" w:type="dxa"/>
            <w:vAlign w:val="top"/>
          </w:tcPr>
          <w:p>
            <w:pPr>
              <w:spacing w:before="107"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974" w:type="dxa"/>
            <w:vAlign w:val="top"/>
          </w:tcPr>
          <w:p>
            <w:pPr>
              <w:spacing w:before="107"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47.2</w:t>
            </w:r>
          </w:p>
        </w:tc>
        <w:tc>
          <w:tcPr>
            <w:tcW w:w="1003" w:type="dxa"/>
            <w:vAlign w:val="top"/>
          </w:tcPr>
          <w:p>
            <w:pPr>
              <w:spacing w:before="105"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49.2</w:t>
            </w:r>
          </w:p>
        </w:tc>
        <w:tc>
          <w:tcPr>
            <w:tcW w:w="1281" w:type="dxa"/>
            <w:vAlign w:val="top"/>
          </w:tcPr>
          <w:p>
            <w:pPr>
              <w:spacing w:before="105" w:line="187" w:lineRule="auto"/>
              <w:ind w:left="42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5"/>
                <w:sz w:val="21"/>
                <w:szCs w:val="21"/>
              </w:rPr>
              <w:t>11.4</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49.1</w:t>
            </w:r>
          </w:p>
        </w:tc>
        <w:tc>
          <w:tcPr>
            <w:tcW w:w="888"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50.5</w:t>
            </w:r>
          </w:p>
        </w:tc>
        <w:tc>
          <w:tcPr>
            <w:tcW w:w="1109" w:type="dxa"/>
            <w:vAlign w:val="top"/>
          </w:tcPr>
          <w:p>
            <w:pPr>
              <w:spacing w:before="105"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5"/>
                <w:sz w:val="21"/>
                <w:szCs w:val="21"/>
              </w:rPr>
              <w:t>10.1</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8" w:line="184"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55.5</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55.9</w:t>
            </w:r>
          </w:p>
        </w:tc>
        <w:tc>
          <w:tcPr>
            <w:tcW w:w="1116" w:type="dxa"/>
            <w:vAlign w:val="top"/>
          </w:tcPr>
          <w:p>
            <w:pPr>
              <w:spacing w:before="105"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-4.7</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11"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31.6</w:t>
            </w:r>
          </w:p>
        </w:tc>
        <w:tc>
          <w:tcPr>
            <w:tcW w:w="799" w:type="dxa"/>
            <w:vAlign w:val="top"/>
          </w:tcPr>
          <w:p>
            <w:pPr>
              <w:spacing w:before="108"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974" w:type="dxa"/>
            <w:vAlign w:val="top"/>
          </w:tcPr>
          <w:p>
            <w:pPr>
              <w:spacing w:before="108"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41.8</w:t>
            </w:r>
          </w:p>
        </w:tc>
        <w:tc>
          <w:tcPr>
            <w:tcW w:w="1003" w:type="dxa"/>
            <w:vAlign w:val="top"/>
          </w:tcPr>
          <w:p>
            <w:pPr>
              <w:spacing w:before="105"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42.2</w:t>
            </w:r>
          </w:p>
        </w:tc>
        <w:tc>
          <w:tcPr>
            <w:tcW w:w="1281" w:type="dxa"/>
            <w:vAlign w:val="top"/>
          </w:tcPr>
          <w:p>
            <w:pPr>
              <w:spacing w:before="105" w:line="187" w:lineRule="auto"/>
              <w:ind w:left="42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5"/>
                <w:sz w:val="21"/>
                <w:szCs w:val="21"/>
              </w:rPr>
              <w:t>10.7</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43.6</w:t>
            </w:r>
          </w:p>
        </w:tc>
        <w:tc>
          <w:tcPr>
            <w:tcW w:w="888"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43.9</w:t>
            </w:r>
          </w:p>
        </w:tc>
        <w:tc>
          <w:tcPr>
            <w:tcW w:w="1109" w:type="dxa"/>
            <w:vAlign w:val="top"/>
          </w:tcPr>
          <w:p>
            <w:pPr>
              <w:spacing w:before="105"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45.7</w:t>
            </w:r>
          </w:p>
        </w:tc>
        <w:tc>
          <w:tcPr>
            <w:tcW w:w="890" w:type="dxa"/>
            <w:vAlign w:val="top"/>
          </w:tcPr>
          <w:p>
            <w:pPr>
              <w:spacing w:before="105"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45.9</w:t>
            </w:r>
          </w:p>
        </w:tc>
        <w:tc>
          <w:tcPr>
            <w:tcW w:w="1116" w:type="dxa"/>
            <w:vAlign w:val="top"/>
          </w:tcPr>
          <w:p>
            <w:pPr>
              <w:spacing w:before="105"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0"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126</w:t>
            </w:r>
          </w:p>
        </w:tc>
        <w:tc>
          <w:tcPr>
            <w:tcW w:w="1013" w:type="dxa"/>
            <w:vMerge w:val="restart"/>
            <w:tcBorders>
              <w:bottom w:val="nil"/>
            </w:tcBorders>
            <w:vAlign w:val="top"/>
          </w:tcPr>
          <w:p>
            <w:pPr>
              <w:spacing w:before="283" w:line="184"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094" w:type="dxa"/>
            <w:vMerge w:val="restart"/>
            <w:tcBorders>
              <w:bottom w:val="nil"/>
            </w:tcBorders>
            <w:vAlign w:val="top"/>
          </w:tcPr>
          <w:p>
            <w:pPr>
              <w:spacing w:line="259" w:lineRule="auto"/>
              <w:rPr>
                <w:rFonts w:ascii="Arial"/>
                <w:sz w:val="21"/>
              </w:rPr>
            </w:pPr>
          </w:p>
          <w:p>
            <w:pPr>
              <w:spacing w:line="259" w:lineRule="auto"/>
              <w:rPr>
                <w:rFonts w:ascii="Arial"/>
                <w:sz w:val="21"/>
              </w:rPr>
            </w:pPr>
          </w:p>
          <w:p>
            <w:pPr>
              <w:pStyle w:val="6"/>
              <w:spacing w:before="68"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1"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799" w:type="dxa"/>
            <w:vAlign w:val="top"/>
          </w:tcPr>
          <w:p>
            <w:pPr>
              <w:spacing w:before="108"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974" w:type="dxa"/>
            <w:vAlign w:val="top"/>
          </w:tcPr>
          <w:p>
            <w:pPr>
              <w:spacing w:before="108"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39.3</w:t>
            </w:r>
          </w:p>
        </w:tc>
        <w:tc>
          <w:tcPr>
            <w:tcW w:w="1003" w:type="dxa"/>
            <w:vAlign w:val="top"/>
          </w:tcPr>
          <w:p>
            <w:pPr>
              <w:spacing w:before="105"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46.0</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888"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46.8</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08"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31.6</w:t>
            </w:r>
          </w:p>
        </w:tc>
        <w:tc>
          <w:tcPr>
            <w:tcW w:w="799" w:type="dxa"/>
            <w:vAlign w:val="top"/>
          </w:tcPr>
          <w:p>
            <w:pPr>
              <w:spacing w:before="10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31.6</w:t>
            </w:r>
          </w:p>
        </w:tc>
        <w:tc>
          <w:tcPr>
            <w:tcW w:w="974" w:type="dxa"/>
            <w:vAlign w:val="top"/>
          </w:tcPr>
          <w:p>
            <w:pPr>
              <w:spacing w:before="108"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33.9</w:t>
            </w:r>
          </w:p>
        </w:tc>
        <w:tc>
          <w:tcPr>
            <w:tcW w:w="1003" w:type="dxa"/>
            <w:vAlign w:val="top"/>
          </w:tcPr>
          <w:p>
            <w:pPr>
              <w:spacing w:before="10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36.3</w:t>
            </w:r>
          </w:p>
        </w:tc>
        <w:tc>
          <w:tcPr>
            <w:tcW w:w="888" w:type="dxa"/>
            <w:vAlign w:val="top"/>
          </w:tcPr>
          <w:p>
            <w:pPr>
              <w:spacing w:before="105"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37.6</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37.9</w:t>
            </w:r>
          </w:p>
        </w:tc>
        <w:tc>
          <w:tcPr>
            <w:tcW w:w="890" w:type="dxa"/>
            <w:vAlign w:val="top"/>
          </w:tcPr>
          <w:p>
            <w:pPr>
              <w:spacing w:before="105"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38.8</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81" w:line="187" w:lineRule="auto"/>
              <w:ind w:left="42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-4</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0"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799" w:type="dxa"/>
            <w:vAlign w:val="top"/>
          </w:tcPr>
          <w:p>
            <w:pPr>
              <w:spacing w:before="108"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974" w:type="dxa"/>
            <w:vAlign w:val="top"/>
          </w:tcPr>
          <w:p>
            <w:pPr>
              <w:spacing w:before="108"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41.5</w:t>
            </w:r>
          </w:p>
        </w:tc>
        <w:tc>
          <w:tcPr>
            <w:tcW w:w="1003" w:type="dxa"/>
            <w:vAlign w:val="top"/>
          </w:tcPr>
          <w:p>
            <w:pPr>
              <w:spacing w:before="105"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44.2</w:t>
            </w:r>
          </w:p>
        </w:tc>
        <w:tc>
          <w:tcPr>
            <w:tcW w:w="888"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49.3</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51.9</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53.3</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+5.6</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08"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34.1</w:t>
            </w:r>
          </w:p>
        </w:tc>
        <w:tc>
          <w:tcPr>
            <w:tcW w:w="799" w:type="dxa"/>
            <w:vAlign w:val="top"/>
          </w:tcPr>
          <w:p>
            <w:pPr>
              <w:spacing w:before="10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34.1</w:t>
            </w:r>
          </w:p>
        </w:tc>
        <w:tc>
          <w:tcPr>
            <w:tcW w:w="974" w:type="dxa"/>
            <w:vAlign w:val="top"/>
          </w:tcPr>
          <w:p>
            <w:pPr>
              <w:spacing w:before="108"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36.1</w:t>
            </w:r>
          </w:p>
        </w:tc>
        <w:tc>
          <w:tcPr>
            <w:tcW w:w="1003" w:type="dxa"/>
            <w:vAlign w:val="top"/>
          </w:tcPr>
          <w:p>
            <w:pPr>
              <w:spacing w:before="10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38.2</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38.6</w:t>
            </w:r>
          </w:p>
        </w:tc>
        <w:tc>
          <w:tcPr>
            <w:tcW w:w="888" w:type="dxa"/>
            <w:vAlign w:val="top"/>
          </w:tcPr>
          <w:p>
            <w:pPr>
              <w:spacing w:before="105"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39.9</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+5.8</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40.1</w:t>
            </w:r>
          </w:p>
        </w:tc>
        <w:tc>
          <w:tcPr>
            <w:tcW w:w="890" w:type="dxa"/>
            <w:vAlign w:val="top"/>
          </w:tcPr>
          <w:p>
            <w:pPr>
              <w:spacing w:before="105"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61" w:line="187" w:lineRule="auto"/>
              <w:ind w:left="25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11"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18" w:lineRule="auto"/>
              <w:ind w:left="242"/>
            </w:pPr>
            <w:r>
              <w:rPr>
                <w:spacing w:val="-2"/>
              </w:rPr>
              <w:t>墩头垟</w:t>
            </w:r>
          </w:p>
        </w:tc>
        <w:tc>
          <w:tcPr>
            <w:tcW w:w="1060" w:type="dxa"/>
            <w:vMerge w:val="restart"/>
            <w:tcBorders>
              <w:bottom w:val="nil"/>
            </w:tcBorders>
            <w:vAlign w:val="top"/>
          </w:tcPr>
          <w:p>
            <w:pPr>
              <w:spacing w:line="382" w:lineRule="auto"/>
              <w:rPr>
                <w:rFonts w:ascii="Arial"/>
                <w:sz w:val="21"/>
              </w:rPr>
            </w:pPr>
          </w:p>
          <w:p>
            <w:pPr>
              <w:pStyle w:val="6"/>
              <w:spacing w:before="68" w:line="236" w:lineRule="auto"/>
              <w:ind w:left="106" w:right="10" w:firstLine="24"/>
            </w:pPr>
            <w:r>
              <w:rPr>
                <w:rFonts w:ascii="Times New Roman" w:hAnsi="Times New Roman" w:eastAsia="Times New Roman" w:cs="Times New Roman"/>
                <w:spacing w:val="-8"/>
              </w:rPr>
              <w:t>109</w:t>
            </w:r>
            <w:r>
              <w:rPr>
                <w:spacing w:val="-8"/>
              </w:rPr>
              <w:t>（</w:t>
            </w:r>
            <w:r>
              <w:rPr>
                <w:rFonts w:ascii="Times New Roman" w:hAnsi="Times New Roman" w:eastAsia="Times New Roman" w:cs="Times New Roman"/>
                <w:spacing w:val="-8"/>
              </w:rPr>
              <w:t>L1</w:t>
            </w:r>
            <w:r>
              <w:rPr>
                <w:spacing w:val="-8"/>
              </w:rPr>
              <w:t>）</w:t>
            </w:r>
            <w:r>
              <w:t xml:space="preserve"> </w:t>
            </w:r>
            <w:r>
              <w:rPr>
                <w:rFonts w:ascii="Times New Roman" w:hAnsi="Times New Roman" w:eastAsia="Times New Roman" w:cs="Times New Roman"/>
              </w:rPr>
              <w:t>/40</w:t>
            </w:r>
            <w:r>
              <w:t>（</w:t>
            </w:r>
            <w:r>
              <w:rPr>
                <w:rFonts w:ascii="Times New Roman" w:hAnsi="Times New Roman" w:eastAsia="Times New Roman" w:cs="Times New Roman"/>
              </w:rPr>
              <w:t>L2</w:t>
            </w:r>
            <w:r>
              <w:t>）</w:t>
            </w:r>
          </w:p>
        </w:tc>
        <w:tc>
          <w:tcPr>
            <w:tcW w:w="1013" w:type="dxa"/>
            <w:vMerge w:val="restart"/>
            <w:tcBorders>
              <w:bottom w:val="nil"/>
            </w:tcBorders>
            <w:vAlign w:val="top"/>
          </w:tcPr>
          <w:p>
            <w:pPr>
              <w:pStyle w:val="6"/>
              <w:spacing w:before="242" w:line="233" w:lineRule="auto"/>
              <w:jc w:val="right"/>
            </w:pPr>
            <w:r>
              <w:rPr>
                <w:rFonts w:ascii="Times New Roman" w:hAnsi="Times New Roman" w:eastAsia="Times New Roman" w:cs="Times New Roman"/>
                <w:spacing w:val="-4"/>
              </w:rPr>
              <w:t>4.2</w:t>
            </w:r>
            <w:r>
              <w:rPr>
                <w:spacing w:val="-4"/>
              </w:rPr>
              <w:t>（</w:t>
            </w:r>
            <w:r>
              <w:rPr>
                <w:rFonts w:ascii="Times New Roman" w:hAnsi="Times New Roman" w:eastAsia="Times New Roman" w:cs="Times New Roman"/>
                <w:spacing w:val="-4"/>
              </w:rPr>
              <w:t>L2</w:t>
            </w:r>
            <w:r>
              <w:rPr>
                <w:spacing w:val="-4"/>
              </w:rPr>
              <w:t>）</w:t>
            </w:r>
          </w:p>
        </w:tc>
        <w:tc>
          <w:tcPr>
            <w:tcW w:w="1094" w:type="dxa"/>
            <w:vMerge w:val="restart"/>
            <w:tcBorders>
              <w:bottom w:val="nil"/>
            </w:tcBorders>
            <w:vAlign w:val="top"/>
          </w:tcPr>
          <w:p>
            <w:pPr>
              <w:spacing w:line="259" w:lineRule="auto"/>
              <w:rPr>
                <w:rFonts w:ascii="Arial"/>
                <w:sz w:val="21"/>
              </w:rPr>
            </w:pPr>
          </w:p>
          <w:p>
            <w:pPr>
              <w:spacing w:line="259" w:lineRule="auto"/>
              <w:rPr>
                <w:rFonts w:ascii="Arial"/>
                <w:sz w:val="21"/>
              </w:rPr>
            </w:pPr>
          </w:p>
          <w:p>
            <w:pPr>
              <w:pStyle w:val="6"/>
              <w:spacing w:before="68" w:line="221" w:lineRule="auto"/>
              <w:ind w:left="31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81"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799" w:type="dxa"/>
            <w:vAlign w:val="top"/>
          </w:tcPr>
          <w:p>
            <w:pPr>
              <w:spacing w:before="10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974" w:type="dxa"/>
            <w:vAlign w:val="top"/>
          </w:tcPr>
          <w:p>
            <w:pPr>
              <w:spacing w:before="108"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c>
          <w:tcPr>
            <w:tcW w:w="1003"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1281" w:type="dxa"/>
            <w:vAlign w:val="top"/>
          </w:tcPr>
          <w:p>
            <w:pPr>
              <w:spacing w:before="105"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-4.6</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58.2</w:t>
            </w:r>
          </w:p>
        </w:tc>
        <w:tc>
          <w:tcPr>
            <w:tcW w:w="888"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58.6</w:t>
            </w:r>
          </w:p>
        </w:tc>
        <w:tc>
          <w:tcPr>
            <w:tcW w:w="1109" w:type="dxa"/>
            <w:vAlign w:val="top"/>
          </w:tcPr>
          <w:p>
            <w:pPr>
              <w:spacing w:before="105"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-2.0</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62.2</w:t>
            </w:r>
          </w:p>
        </w:tc>
        <w:tc>
          <w:tcPr>
            <w:tcW w:w="890"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62.4</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11"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799" w:type="dxa"/>
            <w:vAlign w:val="top"/>
          </w:tcPr>
          <w:p>
            <w:pPr>
              <w:spacing w:before="108"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974" w:type="dxa"/>
            <w:vAlign w:val="top"/>
          </w:tcPr>
          <w:p>
            <w:pPr>
              <w:spacing w:before="108"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49.8</w:t>
            </w:r>
          </w:p>
        </w:tc>
        <w:tc>
          <w:tcPr>
            <w:tcW w:w="1003"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50.2</w:t>
            </w:r>
          </w:p>
        </w:tc>
        <w:tc>
          <w:tcPr>
            <w:tcW w:w="1281" w:type="dxa"/>
            <w:vAlign w:val="top"/>
          </w:tcPr>
          <w:p>
            <w:pPr>
              <w:spacing w:before="105"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-2.7</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52.8</w:t>
            </w:r>
          </w:p>
        </w:tc>
        <w:tc>
          <w:tcPr>
            <w:tcW w:w="888"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53.0</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53.8</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pStyle w:val="6"/>
              <w:spacing w:before="242" w:line="233" w:lineRule="auto"/>
              <w:jc w:val="right"/>
            </w:pPr>
            <w:r>
              <w:rPr>
                <w:rFonts w:ascii="Times New Roman" w:hAnsi="Times New Roman" w:eastAsia="Times New Roman" w:cs="Times New Roman"/>
                <w:spacing w:val="-5"/>
              </w:rPr>
              <w:t>7.7</w:t>
            </w:r>
            <w:r>
              <w:rPr>
                <w:spacing w:val="-5"/>
              </w:rPr>
              <w:t>（</w:t>
            </w:r>
            <w:r>
              <w:rPr>
                <w:rFonts w:ascii="Times New Roman" w:hAnsi="Times New Roman" w:eastAsia="Times New Roman" w:cs="Times New Roman"/>
                <w:spacing w:val="-5"/>
              </w:rPr>
              <w:t>L2</w:t>
            </w:r>
            <w:r>
              <w:rPr>
                <w:spacing w:val="-5"/>
              </w:rPr>
              <w:t>）</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80"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799" w:type="dxa"/>
            <w:vAlign w:val="top"/>
          </w:tcPr>
          <w:p>
            <w:pPr>
              <w:spacing w:before="10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974" w:type="dxa"/>
            <w:vAlign w:val="top"/>
          </w:tcPr>
          <w:p>
            <w:pPr>
              <w:spacing w:before="108"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58.1</w:t>
            </w:r>
          </w:p>
        </w:tc>
        <w:tc>
          <w:tcPr>
            <w:tcW w:w="1003"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58.3</w:t>
            </w:r>
          </w:p>
        </w:tc>
        <w:tc>
          <w:tcPr>
            <w:tcW w:w="1281" w:type="dxa"/>
            <w:vAlign w:val="top"/>
          </w:tcPr>
          <w:p>
            <w:pPr>
              <w:spacing w:before="105"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60.8</w:t>
            </w:r>
          </w:p>
        </w:tc>
        <w:tc>
          <w:tcPr>
            <w:tcW w:w="888" w:type="dxa"/>
            <w:vAlign w:val="top"/>
          </w:tcPr>
          <w:p>
            <w:pPr>
              <w:spacing w:before="105"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60.9</w:t>
            </w:r>
          </w:p>
        </w:tc>
        <w:tc>
          <w:tcPr>
            <w:tcW w:w="1109" w:type="dxa"/>
            <w:vAlign w:val="top"/>
          </w:tcPr>
          <w:p>
            <w:pPr>
              <w:spacing w:before="105"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-0.7</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65.6</w:t>
            </w:r>
          </w:p>
        </w:tc>
        <w:tc>
          <w:tcPr>
            <w:tcW w:w="890"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65.6</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11"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w:t>
            </w:r>
          </w:p>
        </w:tc>
        <w:tc>
          <w:tcPr>
            <w:tcW w:w="799" w:type="dxa"/>
            <w:vAlign w:val="top"/>
          </w:tcPr>
          <w:p>
            <w:pPr>
              <w:spacing w:before="108"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974" w:type="dxa"/>
            <w:vAlign w:val="top"/>
          </w:tcPr>
          <w:p>
            <w:pPr>
              <w:spacing w:before="108"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52.7</w:t>
            </w:r>
          </w:p>
        </w:tc>
        <w:tc>
          <w:tcPr>
            <w:tcW w:w="1003"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53.0</w:t>
            </w:r>
          </w:p>
        </w:tc>
        <w:tc>
          <w:tcPr>
            <w:tcW w:w="1281" w:type="dxa"/>
            <w:vAlign w:val="top"/>
          </w:tcPr>
          <w:p>
            <w:pPr>
              <w:spacing w:before="105"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55.4</w:t>
            </w:r>
          </w:p>
        </w:tc>
        <w:tc>
          <w:tcPr>
            <w:tcW w:w="888"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55.6</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977" w:type="dxa"/>
            <w:vAlign w:val="top"/>
          </w:tcPr>
          <w:p>
            <w:pPr>
              <w:spacing w:before="105"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w:t>
            </w:r>
          </w:p>
        </w:tc>
        <w:tc>
          <w:tcPr>
            <w:tcW w:w="871"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56.6</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56.7</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984" w:type="dxa"/>
            <w:vAlign w:val="top"/>
          </w:tcPr>
          <w:p>
            <w:pPr>
              <w:spacing w:before="105"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restart"/>
            <w:tcBorders>
              <w:bottom w:val="nil"/>
            </w:tcBorders>
            <w:vAlign w:val="top"/>
          </w:tcPr>
          <w:p>
            <w:pPr>
              <w:spacing w:line="382" w:lineRule="auto"/>
              <w:rPr>
                <w:rFonts w:ascii="Arial"/>
                <w:sz w:val="21"/>
              </w:rPr>
            </w:pPr>
          </w:p>
          <w:p>
            <w:pPr>
              <w:pStyle w:val="6"/>
              <w:spacing w:before="68" w:line="236" w:lineRule="auto"/>
              <w:ind w:left="106" w:right="10" w:firstLine="24"/>
            </w:pPr>
            <w:r>
              <w:rPr>
                <w:rFonts w:ascii="Times New Roman" w:hAnsi="Times New Roman" w:eastAsia="Times New Roman" w:cs="Times New Roman"/>
                <w:spacing w:val="-8"/>
              </w:rPr>
              <w:t>145</w:t>
            </w:r>
            <w:r>
              <w:rPr>
                <w:spacing w:val="-8"/>
              </w:rPr>
              <w:t>（</w:t>
            </w:r>
            <w:r>
              <w:rPr>
                <w:rFonts w:ascii="Times New Roman" w:hAnsi="Times New Roman" w:eastAsia="Times New Roman" w:cs="Times New Roman"/>
                <w:spacing w:val="-8"/>
              </w:rPr>
              <w:t>L1</w:t>
            </w:r>
            <w:r>
              <w:rPr>
                <w:spacing w:val="-8"/>
              </w:rPr>
              <w:t>）</w:t>
            </w:r>
            <w:r>
              <w:t xml:space="preserve"> </w:t>
            </w:r>
            <w:r>
              <w:rPr>
                <w:rFonts w:ascii="Times New Roman" w:hAnsi="Times New Roman" w:eastAsia="Times New Roman" w:cs="Times New Roman"/>
                <w:spacing w:val="-12"/>
              </w:rPr>
              <w:t>/124</w:t>
            </w:r>
            <w:r>
              <w:rPr>
                <w:spacing w:val="-12"/>
              </w:rPr>
              <w:t>（</w:t>
            </w:r>
            <w:r>
              <w:rPr>
                <w:rFonts w:ascii="Times New Roman" w:hAnsi="Times New Roman" w:eastAsia="Times New Roman" w:cs="Times New Roman"/>
                <w:spacing w:val="-12"/>
              </w:rPr>
              <w:t>L2</w:t>
            </w:r>
            <w:r>
              <w:rPr>
                <w:spacing w:val="-12"/>
              </w:rPr>
              <w:t>）</w:t>
            </w:r>
          </w:p>
        </w:tc>
        <w:tc>
          <w:tcPr>
            <w:tcW w:w="1013" w:type="dxa"/>
            <w:vMerge w:val="restart"/>
            <w:tcBorders>
              <w:bottom w:val="nil"/>
            </w:tcBorders>
            <w:vAlign w:val="top"/>
          </w:tcPr>
          <w:p>
            <w:pPr>
              <w:pStyle w:val="6"/>
              <w:spacing w:before="143" w:line="226" w:lineRule="auto"/>
              <w:ind w:left="193" w:right="188" w:firstLine="154"/>
            </w:pPr>
            <w:r>
              <w:rPr>
                <w:rFonts w:ascii="Times New Roman" w:hAnsi="Times New Roman" w:eastAsia="Times New Roman" w:cs="Times New Roman"/>
                <w:spacing w:val="-5"/>
              </w:rPr>
              <w:t xml:space="preserve">18.5   </w:t>
            </w:r>
            <w:r>
              <w:rPr>
                <w:spacing w:val="-7"/>
              </w:rPr>
              <w:t>（</w:t>
            </w:r>
            <w:r>
              <w:rPr>
                <w:rFonts w:ascii="Times New Roman" w:hAnsi="Times New Roman" w:eastAsia="Times New Roman" w:cs="Times New Roman"/>
                <w:spacing w:val="-7"/>
              </w:rPr>
              <w:t>L2</w:t>
            </w:r>
            <w:r>
              <w:rPr>
                <w:spacing w:val="-7"/>
              </w:rPr>
              <w:t>）</w:t>
            </w:r>
          </w:p>
        </w:tc>
        <w:tc>
          <w:tcPr>
            <w:tcW w:w="1094" w:type="dxa"/>
            <w:vMerge w:val="restart"/>
            <w:tcBorders>
              <w:bottom w:val="nil"/>
            </w:tcBorders>
            <w:vAlign w:val="top"/>
          </w:tcPr>
          <w:p>
            <w:pPr>
              <w:spacing w:line="259" w:lineRule="auto"/>
              <w:rPr>
                <w:rFonts w:ascii="Arial"/>
                <w:sz w:val="21"/>
              </w:rPr>
            </w:pPr>
          </w:p>
          <w:p>
            <w:pPr>
              <w:spacing w:line="260" w:lineRule="auto"/>
              <w:rPr>
                <w:rFonts w:ascii="Arial"/>
                <w:sz w:val="21"/>
              </w:rPr>
            </w:pPr>
          </w:p>
          <w:p>
            <w:pPr>
              <w:pStyle w:val="6"/>
              <w:spacing w:before="68"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1"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799" w:type="dxa"/>
            <w:vAlign w:val="top"/>
          </w:tcPr>
          <w:p>
            <w:pPr>
              <w:spacing w:before="108"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974" w:type="dxa"/>
            <w:vAlign w:val="top"/>
          </w:tcPr>
          <w:p>
            <w:pPr>
              <w:spacing w:before="108"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46.6</w:t>
            </w:r>
          </w:p>
        </w:tc>
        <w:tc>
          <w:tcPr>
            <w:tcW w:w="1003"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50.5</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888"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52.1</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56.3</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56.9</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+8.6</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08"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799" w:type="dxa"/>
            <w:vAlign w:val="top"/>
          </w:tcPr>
          <w:p>
            <w:pPr>
              <w:spacing w:before="10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974" w:type="dxa"/>
            <w:vAlign w:val="top"/>
          </w:tcPr>
          <w:p>
            <w:pPr>
              <w:spacing w:before="108"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41.3</w:t>
            </w:r>
          </w:p>
        </w:tc>
        <w:tc>
          <w:tcPr>
            <w:tcW w:w="1003" w:type="dxa"/>
            <w:vAlign w:val="top"/>
          </w:tcPr>
          <w:p>
            <w:pPr>
              <w:spacing w:before="106"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43.6</w:t>
            </w:r>
          </w:p>
        </w:tc>
        <w:tc>
          <w:tcPr>
            <w:tcW w:w="1281" w:type="dxa"/>
            <w:vAlign w:val="top"/>
          </w:tcPr>
          <w:p>
            <w:pPr>
              <w:spacing w:before="106"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44.2</w:t>
            </w:r>
          </w:p>
        </w:tc>
        <w:tc>
          <w:tcPr>
            <w:tcW w:w="888"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1109" w:type="dxa"/>
            <w:vAlign w:val="top"/>
          </w:tcPr>
          <w:p>
            <w:pPr>
              <w:spacing w:before="109" w:line="184"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+5.7</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45.2</w:t>
            </w:r>
          </w:p>
        </w:tc>
        <w:tc>
          <w:tcPr>
            <w:tcW w:w="890" w:type="dxa"/>
            <w:vAlign w:val="top"/>
          </w:tcPr>
          <w:p>
            <w:pPr>
              <w:spacing w:before="106"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46.3</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pStyle w:val="6"/>
              <w:spacing w:before="145" w:line="225" w:lineRule="auto"/>
              <w:ind w:left="193" w:right="188" w:firstLine="133"/>
            </w:pPr>
            <w:r>
              <w:rPr>
                <w:rFonts w:ascii="Times New Roman" w:hAnsi="Times New Roman" w:eastAsia="Times New Roman" w:cs="Times New Roman"/>
                <w:spacing w:val="-1"/>
              </w:rPr>
              <w:t>22.0</w:t>
            </w:r>
            <w:r>
              <w:rPr>
                <w:rFonts w:ascii="Times New Roman" w:hAnsi="Times New Roman" w:eastAsia="Times New Roman" w:cs="Times New Roman"/>
              </w:rPr>
              <w:t xml:space="preserve">   </w:t>
            </w:r>
            <w:r>
              <w:rPr>
                <w:spacing w:val="-7"/>
              </w:rPr>
              <w:t>（</w:t>
            </w:r>
            <w:r>
              <w:rPr>
                <w:rFonts w:ascii="Times New Roman" w:hAnsi="Times New Roman" w:eastAsia="Times New Roman" w:cs="Times New Roman"/>
                <w:spacing w:val="-7"/>
              </w:rPr>
              <w:t>L2</w:t>
            </w:r>
            <w:r>
              <w:rPr>
                <w:spacing w:val="-7"/>
              </w:rPr>
              <w:t>）</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1"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799" w:type="dxa"/>
            <w:vAlign w:val="top"/>
          </w:tcPr>
          <w:p>
            <w:pPr>
              <w:spacing w:before="108"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974" w:type="dxa"/>
            <w:vAlign w:val="top"/>
          </w:tcPr>
          <w:p>
            <w:pPr>
              <w:spacing w:before="108"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48.9</w:t>
            </w:r>
          </w:p>
        </w:tc>
        <w:tc>
          <w:tcPr>
            <w:tcW w:w="1003" w:type="dxa"/>
            <w:vAlign w:val="top"/>
          </w:tcPr>
          <w:p>
            <w:pPr>
              <w:spacing w:before="106"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50.5</w:t>
            </w:r>
          </w:p>
        </w:tc>
        <w:tc>
          <w:tcPr>
            <w:tcW w:w="1281" w:type="dxa"/>
            <w:vAlign w:val="top"/>
          </w:tcPr>
          <w:p>
            <w:pPr>
              <w:spacing w:before="106"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+5.0</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35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888"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1109" w:type="dxa"/>
            <w:vAlign w:val="top"/>
          </w:tcPr>
          <w:p>
            <w:pPr>
              <w:spacing w:before="10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+7.4</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58.5</w:t>
            </w:r>
          </w:p>
        </w:tc>
        <w:tc>
          <w:tcPr>
            <w:tcW w:w="890" w:type="dxa"/>
            <w:vAlign w:val="top"/>
          </w:tcPr>
          <w:p>
            <w:pPr>
              <w:spacing w:before="106"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58.7</w:t>
            </w:r>
          </w:p>
        </w:tc>
        <w:tc>
          <w:tcPr>
            <w:tcW w:w="1116" w:type="dxa"/>
            <w:vAlign w:val="top"/>
          </w:tcPr>
          <w:p>
            <w:pPr>
              <w:spacing w:before="106"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+13.2</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08"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w:t>
            </w:r>
          </w:p>
        </w:tc>
        <w:tc>
          <w:tcPr>
            <w:tcW w:w="799" w:type="dxa"/>
            <w:vAlign w:val="top"/>
          </w:tcPr>
          <w:p>
            <w:pPr>
              <w:spacing w:before="108"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w:t>
            </w:r>
          </w:p>
        </w:tc>
        <w:tc>
          <w:tcPr>
            <w:tcW w:w="974" w:type="dxa"/>
            <w:vAlign w:val="top"/>
          </w:tcPr>
          <w:p>
            <w:pPr>
              <w:spacing w:before="108"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43.6</w:t>
            </w:r>
          </w:p>
        </w:tc>
        <w:tc>
          <w:tcPr>
            <w:tcW w:w="1003" w:type="dxa"/>
            <w:vAlign w:val="top"/>
          </w:tcPr>
          <w:p>
            <w:pPr>
              <w:spacing w:before="106"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1281" w:type="dxa"/>
            <w:vAlign w:val="top"/>
          </w:tcPr>
          <w:p>
            <w:pPr>
              <w:spacing w:before="106"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46.5</w:t>
            </w:r>
          </w:p>
        </w:tc>
        <w:tc>
          <w:tcPr>
            <w:tcW w:w="888"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47.6</w:t>
            </w:r>
          </w:p>
        </w:tc>
        <w:tc>
          <w:tcPr>
            <w:tcW w:w="1109" w:type="dxa"/>
            <w:vAlign w:val="top"/>
          </w:tcPr>
          <w:p>
            <w:pPr>
              <w:spacing w:before="10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47.5</w:t>
            </w:r>
          </w:p>
        </w:tc>
        <w:tc>
          <w:tcPr>
            <w:tcW w:w="890" w:type="dxa"/>
            <w:vAlign w:val="top"/>
          </w:tcPr>
          <w:p>
            <w:pPr>
              <w:spacing w:before="106"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1116" w:type="dxa"/>
            <w:vAlign w:val="top"/>
          </w:tcPr>
          <w:p>
            <w:pPr>
              <w:spacing w:before="109" w:line="184"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0" w:line="184" w:lineRule="auto"/>
              <w:ind w:left="26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111" w:type="dxa"/>
            <w:vMerge w:val="restart"/>
            <w:tcBorders>
              <w:bottom w:val="nil"/>
            </w:tcBorders>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8" w:line="221" w:lineRule="auto"/>
              <w:ind w:left="240"/>
            </w:pPr>
            <w:r>
              <w:rPr>
                <w:spacing w:val="-1"/>
              </w:rPr>
              <w:t>庙儿垄</w:t>
            </w:r>
          </w:p>
        </w:tc>
        <w:tc>
          <w:tcPr>
            <w:tcW w:w="1060" w:type="dxa"/>
            <w:vMerge w:val="restart"/>
            <w:tcBorders>
              <w:bottom w:val="nil"/>
            </w:tcBorders>
            <w:vAlign w:val="top"/>
          </w:tcPr>
          <w:p>
            <w:pPr>
              <w:spacing w:line="368" w:lineRule="auto"/>
              <w:rPr>
                <w:rFonts w:ascii="Arial"/>
                <w:sz w:val="21"/>
              </w:rPr>
            </w:pPr>
          </w:p>
          <w:p>
            <w:pPr>
              <w:pStyle w:val="6"/>
              <w:spacing w:before="68" w:line="237" w:lineRule="auto"/>
              <w:ind w:left="106" w:right="39" w:firstLine="4"/>
            </w:pPr>
            <w:r>
              <w:rPr>
                <w:rFonts w:ascii="Times New Roman" w:hAnsi="Times New Roman" w:eastAsia="Times New Roman" w:cs="Times New Roman"/>
                <w:spacing w:val="-1"/>
              </w:rPr>
              <w:t>20</w:t>
            </w:r>
            <w:r>
              <w:rPr>
                <w:spacing w:val="-1"/>
              </w:rPr>
              <w:t>（</w:t>
            </w:r>
            <w:r>
              <w:rPr>
                <w:rFonts w:ascii="Times New Roman" w:hAnsi="Times New Roman" w:eastAsia="Times New Roman" w:cs="Times New Roman"/>
                <w:spacing w:val="-1"/>
              </w:rPr>
              <w:t>L2</w:t>
            </w:r>
            <w:r>
              <w:rPr>
                <w:spacing w:val="-1"/>
              </w:rPr>
              <w:t>）</w:t>
            </w:r>
            <w:r>
              <w:rPr>
                <w:spacing w:val="2"/>
              </w:rPr>
              <w:t xml:space="preserve"> </w:t>
            </w:r>
            <w:r>
              <w:rPr>
                <w:rFonts w:ascii="Times New Roman" w:hAnsi="Times New Roman" w:eastAsia="Times New Roman" w:cs="Times New Roman"/>
                <w:spacing w:val="-2"/>
              </w:rPr>
              <w:t>/23</w:t>
            </w:r>
            <w:r>
              <w:rPr>
                <w:spacing w:val="-2"/>
              </w:rPr>
              <w:t>（</w:t>
            </w:r>
            <w:r>
              <w:rPr>
                <w:rFonts w:ascii="Times New Roman" w:hAnsi="Times New Roman" w:eastAsia="Times New Roman" w:cs="Times New Roman"/>
                <w:spacing w:val="-2"/>
              </w:rPr>
              <w:t>L1</w:t>
            </w:r>
            <w:r>
              <w:rPr>
                <w:spacing w:val="-2"/>
              </w:rPr>
              <w:t>）</w:t>
            </w:r>
          </w:p>
        </w:tc>
        <w:tc>
          <w:tcPr>
            <w:tcW w:w="1013" w:type="dxa"/>
            <w:vMerge w:val="restart"/>
            <w:tcBorders>
              <w:bottom w:val="nil"/>
            </w:tcBorders>
            <w:vAlign w:val="top"/>
          </w:tcPr>
          <w:p>
            <w:pPr>
              <w:pStyle w:val="6"/>
              <w:spacing w:before="242" w:line="233" w:lineRule="auto"/>
              <w:jc w:val="right"/>
            </w:pPr>
            <w:r>
              <w:rPr>
                <w:rFonts w:ascii="Times New Roman" w:hAnsi="Times New Roman" w:eastAsia="Times New Roman" w:cs="Times New Roman"/>
                <w:spacing w:val="-5"/>
              </w:rPr>
              <w:t>3.5</w:t>
            </w:r>
            <w:r>
              <w:rPr>
                <w:spacing w:val="-5"/>
              </w:rPr>
              <w:t>（</w:t>
            </w:r>
            <w:r>
              <w:rPr>
                <w:rFonts w:ascii="Times New Roman" w:hAnsi="Times New Roman" w:eastAsia="Times New Roman" w:cs="Times New Roman"/>
                <w:spacing w:val="-5"/>
              </w:rPr>
              <w:t>L2</w:t>
            </w:r>
            <w:r>
              <w:rPr>
                <w:spacing w:val="-5"/>
              </w:rPr>
              <w:t>）</w:t>
            </w:r>
          </w:p>
        </w:tc>
        <w:tc>
          <w:tcPr>
            <w:tcW w:w="1094" w:type="dxa"/>
            <w:vMerge w:val="restart"/>
            <w:tcBorders>
              <w:bottom w:val="nil"/>
            </w:tcBorders>
            <w:vAlign w:val="top"/>
          </w:tcPr>
          <w:p>
            <w:pPr>
              <w:spacing w:line="253" w:lineRule="auto"/>
              <w:rPr>
                <w:rFonts w:ascii="Arial"/>
                <w:sz w:val="21"/>
              </w:rPr>
            </w:pPr>
          </w:p>
          <w:p>
            <w:pPr>
              <w:spacing w:line="254" w:lineRule="auto"/>
              <w:rPr>
                <w:rFonts w:ascii="Arial"/>
                <w:sz w:val="21"/>
              </w:rPr>
            </w:pPr>
          </w:p>
          <w:p>
            <w:pPr>
              <w:pStyle w:val="6"/>
              <w:spacing w:before="68" w:line="221" w:lineRule="auto"/>
              <w:ind w:left="31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81"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799" w:type="dxa"/>
            <w:vAlign w:val="top"/>
          </w:tcPr>
          <w:p>
            <w:pPr>
              <w:spacing w:before="10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974" w:type="dxa"/>
            <w:vAlign w:val="top"/>
          </w:tcPr>
          <w:p>
            <w:pPr>
              <w:spacing w:before="108"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56.7</w:t>
            </w:r>
          </w:p>
        </w:tc>
        <w:tc>
          <w:tcPr>
            <w:tcW w:w="1003" w:type="dxa"/>
            <w:vAlign w:val="top"/>
          </w:tcPr>
          <w:p>
            <w:pPr>
              <w:spacing w:before="106"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57.1</w:t>
            </w:r>
          </w:p>
        </w:tc>
        <w:tc>
          <w:tcPr>
            <w:tcW w:w="1281" w:type="dxa"/>
            <w:vAlign w:val="top"/>
          </w:tcPr>
          <w:p>
            <w:pPr>
              <w:spacing w:before="106"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59.8</w:t>
            </w:r>
          </w:p>
        </w:tc>
        <w:tc>
          <w:tcPr>
            <w:tcW w:w="888" w:type="dxa"/>
            <w:vAlign w:val="top"/>
          </w:tcPr>
          <w:p>
            <w:pPr>
              <w:spacing w:before="106"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1109" w:type="dxa"/>
            <w:vAlign w:val="top"/>
          </w:tcPr>
          <w:p>
            <w:pPr>
              <w:spacing w:before="106"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62.5</w:t>
            </w:r>
          </w:p>
        </w:tc>
        <w:tc>
          <w:tcPr>
            <w:tcW w:w="890"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62.6</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11"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799" w:type="dxa"/>
            <w:vAlign w:val="top"/>
          </w:tcPr>
          <w:p>
            <w:pPr>
              <w:spacing w:before="108"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974" w:type="dxa"/>
            <w:vAlign w:val="top"/>
          </w:tcPr>
          <w:p>
            <w:pPr>
              <w:spacing w:before="108"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51.3</w:t>
            </w:r>
          </w:p>
        </w:tc>
        <w:tc>
          <w:tcPr>
            <w:tcW w:w="1003" w:type="dxa"/>
            <w:vAlign w:val="top"/>
          </w:tcPr>
          <w:p>
            <w:pPr>
              <w:spacing w:before="106"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51.4</w:t>
            </w:r>
          </w:p>
        </w:tc>
        <w:tc>
          <w:tcPr>
            <w:tcW w:w="1281" w:type="dxa"/>
            <w:vAlign w:val="top"/>
          </w:tcPr>
          <w:p>
            <w:pPr>
              <w:spacing w:before="106"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6"/>
                <w:sz w:val="21"/>
                <w:szCs w:val="21"/>
              </w:rPr>
              <w:t>1.5</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54.3</w:t>
            </w:r>
          </w:p>
        </w:tc>
        <w:tc>
          <w:tcPr>
            <w:tcW w:w="888"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1109" w:type="dxa"/>
            <w:vAlign w:val="top"/>
          </w:tcPr>
          <w:p>
            <w:pPr>
              <w:spacing w:before="10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c>
          <w:tcPr>
            <w:tcW w:w="890" w:type="dxa"/>
            <w:vAlign w:val="top"/>
          </w:tcPr>
          <w:p>
            <w:pPr>
              <w:spacing w:before="106"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984" w:type="dxa"/>
            <w:vAlign w:val="top"/>
          </w:tcPr>
          <w:p>
            <w:pPr>
              <w:spacing w:before="106"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133" w:line="184"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p>
            <w:pPr>
              <w:pStyle w:val="6"/>
              <w:spacing w:before="29" w:line="233" w:lineRule="auto"/>
              <w:ind w:left="193"/>
            </w:pPr>
            <w:r>
              <w:rPr>
                <w:spacing w:val="-3"/>
              </w:rPr>
              <w:t>（</w:t>
            </w:r>
            <w:r>
              <w:rPr>
                <w:rFonts w:ascii="Times New Roman" w:hAnsi="Times New Roman" w:eastAsia="Times New Roman" w:cs="Times New Roman"/>
                <w:spacing w:val="-3"/>
              </w:rPr>
              <w:t>L2</w:t>
            </w:r>
            <w:r>
              <w:rPr>
                <w:spacing w:val="-3"/>
              </w:rPr>
              <w:t>）</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55" w:line="220" w:lineRule="auto"/>
              <w:ind w:left="345"/>
            </w:pPr>
            <w:r>
              <w:rPr>
                <w:spacing w:val="-2"/>
              </w:rPr>
              <w:t>昼间</w:t>
            </w:r>
          </w:p>
        </w:tc>
        <w:tc>
          <w:tcPr>
            <w:tcW w:w="970" w:type="dxa"/>
            <w:vAlign w:val="top"/>
          </w:tcPr>
          <w:p>
            <w:pPr>
              <w:spacing w:before="94"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69"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94"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799" w:type="dxa"/>
            <w:vAlign w:val="top"/>
          </w:tcPr>
          <w:p>
            <w:pPr>
              <w:spacing w:before="94"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974" w:type="dxa"/>
            <w:vAlign w:val="top"/>
          </w:tcPr>
          <w:p>
            <w:pPr>
              <w:spacing w:before="94"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62.4</w:t>
            </w:r>
          </w:p>
        </w:tc>
        <w:tc>
          <w:tcPr>
            <w:tcW w:w="1003" w:type="dxa"/>
            <w:vAlign w:val="top"/>
          </w:tcPr>
          <w:p>
            <w:pPr>
              <w:spacing w:before="91"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62.5</w:t>
            </w:r>
          </w:p>
        </w:tc>
        <w:tc>
          <w:tcPr>
            <w:tcW w:w="1281" w:type="dxa"/>
            <w:vAlign w:val="top"/>
          </w:tcPr>
          <w:p>
            <w:pPr>
              <w:spacing w:before="9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w:t>
            </w:r>
          </w:p>
        </w:tc>
        <w:tc>
          <w:tcPr>
            <w:tcW w:w="893" w:type="dxa"/>
            <w:vAlign w:val="top"/>
          </w:tcPr>
          <w:p>
            <w:pPr>
              <w:spacing w:before="88" w:line="216"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91"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65.5</w:t>
            </w:r>
          </w:p>
        </w:tc>
        <w:tc>
          <w:tcPr>
            <w:tcW w:w="888" w:type="dxa"/>
            <w:vAlign w:val="top"/>
          </w:tcPr>
          <w:p>
            <w:pPr>
              <w:spacing w:before="91"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65.6</w:t>
            </w:r>
          </w:p>
        </w:tc>
        <w:tc>
          <w:tcPr>
            <w:tcW w:w="1109" w:type="dxa"/>
            <w:vAlign w:val="top"/>
          </w:tcPr>
          <w:p>
            <w:pPr>
              <w:spacing w:before="91"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977" w:type="dxa"/>
            <w:vAlign w:val="top"/>
          </w:tcPr>
          <w:p>
            <w:pPr>
              <w:spacing w:before="88" w:line="216"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91"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68.6</w:t>
            </w:r>
          </w:p>
        </w:tc>
        <w:tc>
          <w:tcPr>
            <w:tcW w:w="890" w:type="dxa"/>
            <w:vAlign w:val="top"/>
          </w:tcPr>
          <w:p>
            <w:pPr>
              <w:spacing w:before="9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68.6</w:t>
            </w:r>
          </w:p>
        </w:tc>
        <w:tc>
          <w:tcPr>
            <w:tcW w:w="1116" w:type="dxa"/>
            <w:vAlign w:val="top"/>
          </w:tcPr>
          <w:p>
            <w:pPr>
              <w:spacing w:before="91"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w:t>
            </w:r>
          </w:p>
        </w:tc>
        <w:tc>
          <w:tcPr>
            <w:tcW w:w="984" w:type="dxa"/>
            <w:vAlign w:val="top"/>
          </w:tcPr>
          <w:p>
            <w:pPr>
              <w:spacing w:before="88" w:line="216"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70" w:line="221" w:lineRule="auto"/>
              <w:ind w:left="349"/>
            </w:pPr>
            <w:r>
              <w:rPr>
                <w:spacing w:val="-3"/>
              </w:rPr>
              <w:t>夜间</w:t>
            </w:r>
          </w:p>
        </w:tc>
        <w:tc>
          <w:tcPr>
            <w:tcW w:w="970" w:type="dxa"/>
            <w:vAlign w:val="top"/>
          </w:tcPr>
          <w:p>
            <w:pPr>
              <w:spacing w:before="112"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9"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39.1</w:t>
            </w:r>
          </w:p>
        </w:tc>
        <w:tc>
          <w:tcPr>
            <w:tcW w:w="799" w:type="dxa"/>
            <w:vAlign w:val="top"/>
          </w:tcPr>
          <w:p>
            <w:pPr>
              <w:spacing w:before="109"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974" w:type="dxa"/>
            <w:vAlign w:val="top"/>
          </w:tcPr>
          <w:p>
            <w:pPr>
              <w:spacing w:before="109"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57.0</w:t>
            </w:r>
          </w:p>
        </w:tc>
        <w:tc>
          <w:tcPr>
            <w:tcW w:w="1003" w:type="dxa"/>
            <w:vAlign w:val="top"/>
          </w:tcPr>
          <w:p>
            <w:pPr>
              <w:spacing w:before="106"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57.1</w:t>
            </w:r>
          </w:p>
        </w:tc>
        <w:tc>
          <w:tcPr>
            <w:tcW w:w="1281" w:type="dxa"/>
            <w:vAlign w:val="top"/>
          </w:tcPr>
          <w:p>
            <w:pPr>
              <w:spacing w:before="106"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w:t>
            </w:r>
          </w:p>
        </w:tc>
        <w:tc>
          <w:tcPr>
            <w:tcW w:w="893" w:type="dxa"/>
            <w:vAlign w:val="top"/>
          </w:tcPr>
          <w:p>
            <w:pPr>
              <w:spacing w:before="106"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902" w:type="dxa"/>
            <w:vAlign w:val="top"/>
          </w:tcPr>
          <w:p>
            <w:pPr>
              <w:spacing w:before="106"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60.1</w:t>
            </w:r>
          </w:p>
        </w:tc>
        <w:tc>
          <w:tcPr>
            <w:tcW w:w="888" w:type="dxa"/>
            <w:vAlign w:val="top"/>
          </w:tcPr>
          <w:p>
            <w:pPr>
              <w:spacing w:before="106"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60.1</w:t>
            </w:r>
          </w:p>
        </w:tc>
        <w:tc>
          <w:tcPr>
            <w:tcW w:w="1109" w:type="dxa"/>
            <w:vAlign w:val="top"/>
          </w:tcPr>
          <w:p>
            <w:pPr>
              <w:spacing w:before="10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+6.9</w:t>
            </w:r>
          </w:p>
        </w:tc>
        <w:tc>
          <w:tcPr>
            <w:tcW w:w="977" w:type="dxa"/>
            <w:vAlign w:val="top"/>
          </w:tcPr>
          <w:p>
            <w:pPr>
              <w:spacing w:before="106"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+5.1</w:t>
            </w:r>
          </w:p>
        </w:tc>
        <w:tc>
          <w:tcPr>
            <w:tcW w:w="871" w:type="dxa"/>
            <w:vAlign w:val="top"/>
          </w:tcPr>
          <w:p>
            <w:pPr>
              <w:spacing w:before="106"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60.9</w:t>
            </w:r>
          </w:p>
        </w:tc>
        <w:tc>
          <w:tcPr>
            <w:tcW w:w="890"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60.9</w:t>
            </w:r>
          </w:p>
        </w:tc>
        <w:tc>
          <w:tcPr>
            <w:tcW w:w="1116" w:type="dxa"/>
            <w:vAlign w:val="top"/>
          </w:tcPr>
          <w:p>
            <w:pPr>
              <w:spacing w:before="109" w:line="184"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+7.7</w:t>
            </w:r>
          </w:p>
        </w:tc>
        <w:tc>
          <w:tcPr>
            <w:tcW w:w="984" w:type="dxa"/>
            <w:vAlign w:val="top"/>
          </w:tcPr>
          <w:p>
            <w:pPr>
              <w:spacing w:before="106"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restart"/>
            <w:tcBorders>
              <w:bottom w:val="nil"/>
            </w:tcBorders>
            <w:vAlign w:val="top"/>
          </w:tcPr>
          <w:p>
            <w:pPr>
              <w:spacing w:line="252" w:lineRule="auto"/>
              <w:rPr>
                <w:rFonts w:ascii="Arial"/>
                <w:sz w:val="21"/>
              </w:rPr>
            </w:pPr>
          </w:p>
          <w:p>
            <w:pPr>
              <w:spacing w:line="253" w:lineRule="auto"/>
              <w:rPr>
                <w:rFonts w:ascii="Arial"/>
                <w:sz w:val="21"/>
              </w:rPr>
            </w:pPr>
          </w:p>
          <w:p>
            <w:pPr>
              <w:pStyle w:val="6"/>
              <w:spacing w:before="68" w:line="233" w:lineRule="auto"/>
              <w:ind w:left="115"/>
            </w:pPr>
            <w:r>
              <w:rPr>
                <w:rFonts w:ascii="Times New Roman" w:hAnsi="Times New Roman" w:eastAsia="Times New Roman" w:cs="Times New Roman"/>
                <w:spacing w:val="-2"/>
              </w:rPr>
              <w:t>64</w:t>
            </w:r>
            <w:r>
              <w:rPr>
                <w:spacing w:val="-2"/>
              </w:rPr>
              <w:t>（</w:t>
            </w:r>
            <w:r>
              <w:rPr>
                <w:rFonts w:ascii="Times New Roman" w:hAnsi="Times New Roman" w:eastAsia="Times New Roman" w:cs="Times New Roman"/>
                <w:spacing w:val="-2"/>
              </w:rPr>
              <w:t>L2</w:t>
            </w:r>
            <w:r>
              <w:rPr>
                <w:spacing w:val="-2"/>
              </w:rPr>
              <w:t>）</w:t>
            </w:r>
          </w:p>
        </w:tc>
        <w:tc>
          <w:tcPr>
            <w:tcW w:w="1013" w:type="dxa"/>
            <w:vMerge w:val="restart"/>
            <w:tcBorders>
              <w:bottom w:val="nil"/>
            </w:tcBorders>
            <w:vAlign w:val="top"/>
          </w:tcPr>
          <w:p>
            <w:pPr>
              <w:pStyle w:val="6"/>
              <w:spacing w:before="146" w:line="225" w:lineRule="auto"/>
              <w:ind w:left="193" w:right="188" w:firstLine="154"/>
            </w:pPr>
            <w:r>
              <w:rPr>
                <w:rFonts w:ascii="Times New Roman" w:hAnsi="Times New Roman" w:eastAsia="Times New Roman" w:cs="Times New Roman"/>
                <w:spacing w:val="-5"/>
              </w:rPr>
              <w:t xml:space="preserve">10.5   </w:t>
            </w:r>
            <w:r>
              <w:rPr>
                <w:spacing w:val="-7"/>
              </w:rPr>
              <w:t>（</w:t>
            </w:r>
            <w:r>
              <w:rPr>
                <w:rFonts w:ascii="Times New Roman" w:hAnsi="Times New Roman" w:eastAsia="Times New Roman" w:cs="Times New Roman"/>
                <w:spacing w:val="-7"/>
              </w:rPr>
              <w:t>L2</w:t>
            </w:r>
            <w:r>
              <w:rPr>
                <w:spacing w:val="-7"/>
              </w:rPr>
              <w:t>）</w:t>
            </w:r>
          </w:p>
        </w:tc>
        <w:tc>
          <w:tcPr>
            <w:tcW w:w="1094" w:type="dxa"/>
            <w:vMerge w:val="restart"/>
            <w:tcBorders>
              <w:bottom w:val="nil"/>
            </w:tcBorders>
            <w:vAlign w:val="top"/>
          </w:tcPr>
          <w:p>
            <w:pPr>
              <w:spacing w:line="253" w:lineRule="auto"/>
              <w:rPr>
                <w:rFonts w:ascii="Arial"/>
                <w:sz w:val="21"/>
              </w:rPr>
            </w:pPr>
          </w:p>
          <w:p>
            <w:pPr>
              <w:spacing w:line="254" w:lineRule="auto"/>
              <w:rPr>
                <w:rFonts w:ascii="Arial"/>
                <w:sz w:val="21"/>
              </w:rPr>
            </w:pPr>
          </w:p>
          <w:p>
            <w:pPr>
              <w:pStyle w:val="6"/>
              <w:spacing w:before="68"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71" w:line="223" w:lineRule="auto"/>
              <w:ind w:left="345"/>
            </w:pPr>
            <w:r>
              <w:rPr>
                <w:spacing w:val="-2"/>
              </w:rPr>
              <w:t>昼间</w:t>
            </w:r>
          </w:p>
        </w:tc>
        <w:tc>
          <w:tcPr>
            <w:tcW w:w="970" w:type="dxa"/>
            <w:vAlign w:val="top"/>
          </w:tcPr>
          <w:p>
            <w:pPr>
              <w:spacing w:before="109"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2"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9"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799" w:type="dxa"/>
            <w:vAlign w:val="top"/>
          </w:tcPr>
          <w:p>
            <w:pPr>
              <w:spacing w:before="109"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974" w:type="dxa"/>
            <w:vAlign w:val="top"/>
          </w:tcPr>
          <w:p>
            <w:pPr>
              <w:spacing w:before="109"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45.4</w:t>
            </w:r>
          </w:p>
        </w:tc>
        <w:tc>
          <w:tcPr>
            <w:tcW w:w="1003" w:type="dxa"/>
            <w:vAlign w:val="top"/>
          </w:tcPr>
          <w:p>
            <w:pPr>
              <w:spacing w:before="106"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48.8</w:t>
            </w:r>
          </w:p>
        </w:tc>
        <w:tc>
          <w:tcPr>
            <w:tcW w:w="1281" w:type="dxa"/>
            <w:vAlign w:val="top"/>
          </w:tcPr>
          <w:p>
            <w:pPr>
              <w:spacing w:before="106"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893" w:type="dxa"/>
            <w:vAlign w:val="top"/>
          </w:tcPr>
          <w:p>
            <w:pPr>
              <w:spacing w:before="103" w:line="228"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888"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50.5</w:t>
            </w:r>
          </w:p>
        </w:tc>
        <w:tc>
          <w:tcPr>
            <w:tcW w:w="1109" w:type="dxa"/>
            <w:vAlign w:val="top"/>
          </w:tcPr>
          <w:p>
            <w:pPr>
              <w:spacing w:before="10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977" w:type="dxa"/>
            <w:vAlign w:val="top"/>
          </w:tcPr>
          <w:p>
            <w:pPr>
              <w:spacing w:before="103" w:line="228"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54.9</w:t>
            </w:r>
          </w:p>
        </w:tc>
        <w:tc>
          <w:tcPr>
            <w:tcW w:w="890" w:type="dxa"/>
            <w:vAlign w:val="top"/>
          </w:tcPr>
          <w:p>
            <w:pPr>
              <w:spacing w:before="106"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55.4</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+9.3</w:t>
            </w:r>
          </w:p>
        </w:tc>
        <w:tc>
          <w:tcPr>
            <w:tcW w:w="984" w:type="dxa"/>
            <w:vAlign w:val="top"/>
          </w:tcPr>
          <w:p>
            <w:pPr>
              <w:spacing w:before="103" w:line="228"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70" w:line="221" w:lineRule="auto"/>
              <w:ind w:left="349"/>
            </w:pPr>
            <w:r>
              <w:rPr>
                <w:spacing w:val="-3"/>
              </w:rPr>
              <w:t>夜间</w:t>
            </w:r>
          </w:p>
        </w:tc>
        <w:tc>
          <w:tcPr>
            <w:tcW w:w="970" w:type="dxa"/>
            <w:vAlign w:val="top"/>
          </w:tcPr>
          <w:p>
            <w:pPr>
              <w:spacing w:before="109"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9"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799" w:type="dxa"/>
            <w:vAlign w:val="top"/>
          </w:tcPr>
          <w:p>
            <w:pPr>
              <w:spacing w:before="109"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974" w:type="dxa"/>
            <w:vAlign w:val="top"/>
          </w:tcPr>
          <w:p>
            <w:pPr>
              <w:spacing w:before="109"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1003" w:type="dxa"/>
            <w:vAlign w:val="top"/>
          </w:tcPr>
          <w:p>
            <w:pPr>
              <w:spacing w:before="106"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41.4</w:t>
            </w:r>
          </w:p>
        </w:tc>
        <w:tc>
          <w:tcPr>
            <w:tcW w:w="1281" w:type="dxa"/>
            <w:vAlign w:val="top"/>
          </w:tcPr>
          <w:p>
            <w:pPr>
              <w:spacing w:before="109" w:line="184"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+5.5</w:t>
            </w:r>
          </w:p>
        </w:tc>
        <w:tc>
          <w:tcPr>
            <w:tcW w:w="893" w:type="dxa"/>
            <w:vAlign w:val="top"/>
          </w:tcPr>
          <w:p>
            <w:pPr>
              <w:spacing w:before="103" w:line="228"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43.1</w:t>
            </w:r>
          </w:p>
        </w:tc>
        <w:tc>
          <w:tcPr>
            <w:tcW w:w="888"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43.9</w:t>
            </w:r>
          </w:p>
        </w:tc>
        <w:tc>
          <w:tcPr>
            <w:tcW w:w="1109" w:type="dxa"/>
            <w:vAlign w:val="top"/>
          </w:tcPr>
          <w:p>
            <w:pPr>
              <w:spacing w:before="10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+8.0</w:t>
            </w:r>
          </w:p>
        </w:tc>
        <w:tc>
          <w:tcPr>
            <w:tcW w:w="977" w:type="dxa"/>
            <w:vAlign w:val="top"/>
          </w:tcPr>
          <w:p>
            <w:pPr>
              <w:spacing w:before="103" w:line="228"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43.9</w:t>
            </w:r>
          </w:p>
        </w:tc>
        <w:tc>
          <w:tcPr>
            <w:tcW w:w="890" w:type="dxa"/>
            <w:vAlign w:val="top"/>
          </w:tcPr>
          <w:p>
            <w:pPr>
              <w:spacing w:before="106"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44.5</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+8.6</w:t>
            </w:r>
          </w:p>
        </w:tc>
        <w:tc>
          <w:tcPr>
            <w:tcW w:w="984" w:type="dxa"/>
            <w:vAlign w:val="top"/>
          </w:tcPr>
          <w:p>
            <w:pPr>
              <w:spacing w:before="103" w:line="228"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pStyle w:val="6"/>
              <w:spacing w:before="132" w:line="226" w:lineRule="auto"/>
              <w:ind w:left="193" w:right="188" w:firstLine="154"/>
            </w:pPr>
            <w:r>
              <w:rPr>
                <w:rFonts w:ascii="Times New Roman" w:hAnsi="Times New Roman" w:eastAsia="Times New Roman" w:cs="Times New Roman"/>
                <w:spacing w:val="-5"/>
              </w:rPr>
              <w:t xml:space="preserve">14.0   </w:t>
            </w:r>
            <w:r>
              <w:rPr>
                <w:spacing w:val="-7"/>
              </w:rPr>
              <w:t>（</w:t>
            </w:r>
            <w:r>
              <w:rPr>
                <w:rFonts w:ascii="Times New Roman" w:hAnsi="Times New Roman" w:eastAsia="Times New Roman" w:cs="Times New Roman"/>
                <w:spacing w:val="-7"/>
              </w:rPr>
              <w:t>L2</w:t>
            </w:r>
            <w:r>
              <w:rPr>
                <w:spacing w:val="-7"/>
              </w:rPr>
              <w:t>）</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58" w:line="220" w:lineRule="auto"/>
              <w:ind w:left="345"/>
            </w:pPr>
            <w:r>
              <w:rPr>
                <w:spacing w:val="-2"/>
              </w:rPr>
              <w:t>昼间</w:t>
            </w:r>
          </w:p>
        </w:tc>
        <w:tc>
          <w:tcPr>
            <w:tcW w:w="970" w:type="dxa"/>
            <w:vAlign w:val="top"/>
          </w:tcPr>
          <w:p>
            <w:pPr>
              <w:spacing w:before="97"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70"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97"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799" w:type="dxa"/>
            <w:vAlign w:val="top"/>
          </w:tcPr>
          <w:p>
            <w:pPr>
              <w:spacing w:before="97"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974" w:type="dxa"/>
            <w:vAlign w:val="top"/>
          </w:tcPr>
          <w:p>
            <w:pPr>
              <w:spacing w:before="97"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49.6</w:t>
            </w:r>
          </w:p>
        </w:tc>
        <w:tc>
          <w:tcPr>
            <w:tcW w:w="1003" w:type="dxa"/>
            <w:vAlign w:val="top"/>
          </w:tcPr>
          <w:p>
            <w:pPr>
              <w:spacing w:before="9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51.8</w:t>
            </w:r>
          </w:p>
        </w:tc>
        <w:tc>
          <w:tcPr>
            <w:tcW w:w="1281" w:type="dxa"/>
            <w:vAlign w:val="top"/>
          </w:tcPr>
          <w:p>
            <w:pPr>
              <w:spacing w:before="9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893" w:type="dxa"/>
            <w:vAlign w:val="top"/>
          </w:tcPr>
          <w:p>
            <w:pPr>
              <w:spacing w:before="91" w:line="216"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94"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888" w:type="dxa"/>
            <w:vAlign w:val="top"/>
          </w:tcPr>
          <w:p>
            <w:pPr>
              <w:spacing w:before="9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54.1</w:t>
            </w:r>
          </w:p>
        </w:tc>
        <w:tc>
          <w:tcPr>
            <w:tcW w:w="1109" w:type="dxa"/>
            <w:vAlign w:val="top"/>
          </w:tcPr>
          <w:p>
            <w:pPr>
              <w:spacing w:before="9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w:t>
            </w:r>
          </w:p>
        </w:tc>
        <w:tc>
          <w:tcPr>
            <w:tcW w:w="977" w:type="dxa"/>
            <w:vAlign w:val="top"/>
          </w:tcPr>
          <w:p>
            <w:pPr>
              <w:spacing w:before="91" w:line="216"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9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58.7</w:t>
            </w:r>
          </w:p>
        </w:tc>
        <w:tc>
          <w:tcPr>
            <w:tcW w:w="890" w:type="dxa"/>
            <w:vAlign w:val="top"/>
          </w:tcPr>
          <w:p>
            <w:pPr>
              <w:spacing w:before="9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1116" w:type="dxa"/>
            <w:vAlign w:val="top"/>
          </w:tcPr>
          <w:p>
            <w:pPr>
              <w:spacing w:before="9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+11.2</w:t>
            </w:r>
          </w:p>
        </w:tc>
        <w:tc>
          <w:tcPr>
            <w:tcW w:w="984" w:type="dxa"/>
            <w:vAlign w:val="top"/>
          </w:tcPr>
          <w:p>
            <w:pPr>
              <w:spacing w:before="91" w:line="216"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8" w:line="221" w:lineRule="auto"/>
              <w:ind w:left="349"/>
            </w:pPr>
            <w:r>
              <w:rPr>
                <w:spacing w:val="-3"/>
              </w:rPr>
              <w:t>夜间</w:t>
            </w:r>
          </w:p>
        </w:tc>
        <w:tc>
          <w:tcPr>
            <w:tcW w:w="970" w:type="dxa"/>
            <w:vAlign w:val="top"/>
          </w:tcPr>
          <w:p>
            <w:pPr>
              <w:spacing w:before="107"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7"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39.1</w:t>
            </w:r>
          </w:p>
        </w:tc>
        <w:tc>
          <w:tcPr>
            <w:tcW w:w="799" w:type="dxa"/>
            <w:vAlign w:val="top"/>
          </w:tcPr>
          <w:p>
            <w:pPr>
              <w:spacing w:before="107"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39.1</w:t>
            </w:r>
          </w:p>
        </w:tc>
        <w:tc>
          <w:tcPr>
            <w:tcW w:w="974" w:type="dxa"/>
            <w:vAlign w:val="top"/>
          </w:tcPr>
          <w:p>
            <w:pPr>
              <w:spacing w:before="107"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44.2</w:t>
            </w:r>
          </w:p>
        </w:tc>
        <w:tc>
          <w:tcPr>
            <w:tcW w:w="1003"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45.4</w:t>
            </w:r>
          </w:p>
        </w:tc>
        <w:tc>
          <w:tcPr>
            <w:tcW w:w="1281" w:type="dxa"/>
            <w:vAlign w:val="top"/>
          </w:tcPr>
          <w:p>
            <w:pPr>
              <w:spacing w:before="10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47.4</w:t>
            </w:r>
          </w:p>
        </w:tc>
        <w:tc>
          <w:tcPr>
            <w:tcW w:w="888"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48.0</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+8.9</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48.2</w:t>
            </w:r>
          </w:p>
        </w:tc>
        <w:tc>
          <w:tcPr>
            <w:tcW w:w="890" w:type="dxa"/>
            <w:vAlign w:val="top"/>
          </w:tcPr>
          <w:p>
            <w:pPr>
              <w:spacing w:before="104"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48.7</w:t>
            </w:r>
          </w:p>
        </w:tc>
        <w:tc>
          <w:tcPr>
            <w:tcW w:w="1116" w:type="dxa"/>
            <w:vAlign w:val="top"/>
          </w:tcPr>
          <w:p>
            <w:pPr>
              <w:spacing w:before="104"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+9.6</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14" w:type="dxa"/>
            <w:vAlign w:val="top"/>
          </w:tcPr>
          <w:p>
            <w:pPr>
              <w:spacing w:before="107"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11" w:type="dxa"/>
            <w:vAlign w:val="top"/>
          </w:tcPr>
          <w:p>
            <w:pPr>
              <w:pStyle w:val="6"/>
              <w:spacing w:before="68" w:line="223" w:lineRule="auto"/>
              <w:ind w:left="350"/>
            </w:pPr>
            <w:r>
              <w:rPr>
                <w:spacing w:val="-3"/>
              </w:rPr>
              <w:t>前垄</w:t>
            </w:r>
          </w:p>
        </w:tc>
        <w:tc>
          <w:tcPr>
            <w:tcW w:w="1060" w:type="dxa"/>
            <w:vAlign w:val="top"/>
          </w:tcPr>
          <w:p>
            <w:pPr>
              <w:pStyle w:val="6"/>
              <w:spacing w:before="66" w:line="233" w:lineRule="auto"/>
              <w:ind w:left="115"/>
            </w:pPr>
            <w:r>
              <w:rPr>
                <w:rFonts w:ascii="Times New Roman" w:hAnsi="Times New Roman" w:eastAsia="Times New Roman" w:cs="Times New Roman"/>
                <w:spacing w:val="-2"/>
              </w:rPr>
              <w:t>32</w:t>
            </w:r>
            <w:r>
              <w:rPr>
                <w:spacing w:val="-2"/>
              </w:rPr>
              <w:t>（</w:t>
            </w:r>
            <w:r>
              <w:rPr>
                <w:rFonts w:ascii="Times New Roman" w:hAnsi="Times New Roman" w:eastAsia="Times New Roman" w:cs="Times New Roman"/>
                <w:spacing w:val="-2"/>
              </w:rPr>
              <w:t>L2</w:t>
            </w:r>
            <w:r>
              <w:rPr>
                <w:spacing w:val="-2"/>
              </w:rPr>
              <w:t>）</w:t>
            </w:r>
          </w:p>
        </w:tc>
        <w:tc>
          <w:tcPr>
            <w:tcW w:w="1013" w:type="dxa"/>
            <w:vAlign w:val="top"/>
          </w:tcPr>
          <w:p>
            <w:pPr>
              <w:spacing w:before="104" w:line="187" w:lineRule="auto"/>
              <w:ind w:left="38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1094" w:type="dxa"/>
            <w:vAlign w:val="top"/>
          </w:tcPr>
          <w:p>
            <w:pPr>
              <w:pStyle w:val="6"/>
              <w:spacing w:before="68" w:line="221" w:lineRule="auto"/>
              <w:ind w:left="31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1104" w:type="dxa"/>
            <w:vAlign w:val="top"/>
          </w:tcPr>
          <w:p>
            <w:pPr>
              <w:pStyle w:val="6"/>
              <w:spacing w:before="69" w:line="223" w:lineRule="auto"/>
              <w:ind w:left="345"/>
            </w:pPr>
            <w:r>
              <w:rPr>
                <w:spacing w:val="-2"/>
              </w:rPr>
              <w:t>昼间</w:t>
            </w:r>
          </w:p>
        </w:tc>
        <w:tc>
          <w:tcPr>
            <w:tcW w:w="970" w:type="dxa"/>
            <w:vAlign w:val="top"/>
          </w:tcPr>
          <w:p>
            <w:pPr>
              <w:spacing w:before="107"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Align w:val="top"/>
          </w:tcPr>
          <w:p>
            <w:pPr>
              <w:spacing w:before="107"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7"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799" w:type="dxa"/>
            <w:vAlign w:val="top"/>
          </w:tcPr>
          <w:p>
            <w:pPr>
              <w:spacing w:before="10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974" w:type="dxa"/>
            <w:vAlign w:val="top"/>
          </w:tcPr>
          <w:p>
            <w:pPr>
              <w:spacing w:before="107"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64.3</w:t>
            </w:r>
          </w:p>
        </w:tc>
        <w:tc>
          <w:tcPr>
            <w:tcW w:w="1003" w:type="dxa"/>
            <w:vAlign w:val="top"/>
          </w:tcPr>
          <w:p>
            <w:pPr>
              <w:spacing w:before="104"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64.5</w:t>
            </w:r>
          </w:p>
        </w:tc>
        <w:tc>
          <w:tcPr>
            <w:tcW w:w="1281" w:type="dxa"/>
            <w:vAlign w:val="top"/>
          </w:tcPr>
          <w:p>
            <w:pPr>
              <w:spacing w:before="10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+8.1</w:t>
            </w:r>
          </w:p>
        </w:tc>
        <w:tc>
          <w:tcPr>
            <w:tcW w:w="893" w:type="dxa"/>
            <w:vAlign w:val="top"/>
          </w:tcPr>
          <w:p>
            <w:pPr>
              <w:spacing w:before="101"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67.4</w:t>
            </w:r>
          </w:p>
        </w:tc>
        <w:tc>
          <w:tcPr>
            <w:tcW w:w="888" w:type="dxa"/>
            <w:vAlign w:val="top"/>
          </w:tcPr>
          <w:p>
            <w:pPr>
              <w:spacing w:before="104"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67.5</w:t>
            </w:r>
          </w:p>
        </w:tc>
        <w:tc>
          <w:tcPr>
            <w:tcW w:w="1109" w:type="dxa"/>
            <w:vAlign w:val="top"/>
          </w:tcPr>
          <w:p>
            <w:pPr>
              <w:spacing w:before="104"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+11.1</w:t>
            </w:r>
          </w:p>
        </w:tc>
        <w:tc>
          <w:tcPr>
            <w:tcW w:w="977" w:type="dxa"/>
            <w:vAlign w:val="top"/>
          </w:tcPr>
          <w:p>
            <w:pPr>
              <w:spacing w:before="101"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71.4</w:t>
            </w:r>
          </w:p>
        </w:tc>
        <w:tc>
          <w:tcPr>
            <w:tcW w:w="890" w:type="dxa"/>
            <w:vAlign w:val="top"/>
          </w:tcPr>
          <w:p>
            <w:pPr>
              <w:spacing w:before="104" w:line="187" w:lineRule="auto"/>
              <w:ind w:left="2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71.4</w:t>
            </w:r>
          </w:p>
        </w:tc>
        <w:tc>
          <w:tcPr>
            <w:tcW w:w="1116"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+15.0</w:t>
            </w:r>
          </w:p>
        </w:tc>
        <w:tc>
          <w:tcPr>
            <w:tcW w:w="984" w:type="dxa"/>
            <w:vAlign w:val="top"/>
          </w:tcPr>
          <w:p>
            <w:pPr>
              <w:spacing w:before="104"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r>
    </w:tbl>
    <w:p>
      <w:pPr>
        <w:pStyle w:val="2"/>
        <w:spacing w:line="108" w:lineRule="exact"/>
        <w:rPr>
          <w:sz w:val="9"/>
        </w:rPr>
      </w:pPr>
    </w:p>
    <w:p>
      <w:pPr>
        <w:spacing w:line="108" w:lineRule="exact"/>
        <w:rPr>
          <w:sz w:val="9"/>
          <w:szCs w:val="9"/>
        </w:rPr>
        <w:sectPr>
          <w:headerReference r:id="rId274" w:type="default"/>
          <w:footerReference r:id="rId275" w:type="default"/>
          <w:pgSz w:w="23811" w:h="16839"/>
          <w:pgMar w:top="1063" w:right="1125" w:bottom="1014" w:left="1128" w:header="822" w:footer="853" w:gutter="0"/>
          <w:cols w:space="720" w:num="1"/>
        </w:sectPr>
      </w:pPr>
    </w:p>
    <w:p>
      <w:pPr>
        <w:spacing w:line="69" w:lineRule="exact"/>
      </w:pPr>
    </w:p>
    <w:tbl>
      <w:tblPr>
        <w:tblStyle w:val="5"/>
        <w:tblW w:w="21400"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4"/>
        <w:gridCol w:w="1111"/>
        <w:gridCol w:w="1060"/>
        <w:gridCol w:w="1013"/>
        <w:gridCol w:w="1094"/>
        <w:gridCol w:w="1104"/>
        <w:gridCol w:w="970"/>
        <w:gridCol w:w="811"/>
        <w:gridCol w:w="936"/>
        <w:gridCol w:w="799"/>
        <w:gridCol w:w="974"/>
        <w:gridCol w:w="1003"/>
        <w:gridCol w:w="1281"/>
        <w:gridCol w:w="893"/>
        <w:gridCol w:w="902"/>
        <w:gridCol w:w="888"/>
        <w:gridCol w:w="1109"/>
        <w:gridCol w:w="977"/>
        <w:gridCol w:w="871"/>
        <w:gridCol w:w="890"/>
        <w:gridCol w:w="1116"/>
        <w:gridCol w:w="9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14" w:type="dxa"/>
            <w:vMerge w:val="restart"/>
            <w:tcBorders>
              <w:bottom w:val="nil"/>
            </w:tcBorders>
            <w:textDirection w:val="tbRlV"/>
            <w:vAlign w:val="top"/>
          </w:tcPr>
          <w:p>
            <w:pPr>
              <w:pStyle w:val="6"/>
              <w:spacing w:before="198" w:line="211" w:lineRule="auto"/>
              <w:ind w:left="332"/>
            </w:pPr>
            <w:r>
              <w:rPr>
                <w:spacing w:val="1"/>
              </w:rPr>
              <w:t>序</w:t>
            </w:r>
            <w:r>
              <w:rPr>
                <w:spacing w:val="-5"/>
              </w:rPr>
              <w:t xml:space="preserve"> </w:t>
            </w:r>
            <w:r>
              <w:rPr>
                <w:spacing w:val="1"/>
              </w:rPr>
              <w:t>号</w:t>
            </w:r>
          </w:p>
        </w:tc>
        <w:tc>
          <w:tcPr>
            <w:tcW w:w="1111" w:type="dxa"/>
            <w:vMerge w:val="restart"/>
            <w:tcBorders>
              <w:bottom w:val="nil"/>
            </w:tcBorders>
            <w:vAlign w:val="top"/>
          </w:tcPr>
          <w:p>
            <w:pPr>
              <w:pStyle w:val="6"/>
              <w:spacing w:before="176" w:line="221" w:lineRule="auto"/>
              <w:ind w:left="142"/>
            </w:pPr>
            <w:r>
              <w:rPr>
                <w:spacing w:val="-3"/>
              </w:rPr>
              <w:t>声环境保</w:t>
            </w:r>
          </w:p>
          <w:p>
            <w:pPr>
              <w:pStyle w:val="6"/>
              <w:spacing w:before="61" w:line="221" w:lineRule="auto"/>
              <w:ind w:left="138"/>
            </w:pPr>
            <w:r>
              <w:rPr>
                <w:spacing w:val="-2"/>
              </w:rPr>
              <w:t>护目标名</w:t>
            </w:r>
          </w:p>
          <w:p>
            <w:pPr>
              <w:pStyle w:val="6"/>
              <w:spacing w:before="59" w:line="223" w:lineRule="auto"/>
              <w:ind w:left="451"/>
            </w:pPr>
            <w:r>
              <w:t>称</w:t>
            </w:r>
          </w:p>
        </w:tc>
        <w:tc>
          <w:tcPr>
            <w:tcW w:w="1060" w:type="dxa"/>
            <w:vMerge w:val="restart"/>
            <w:tcBorders>
              <w:bottom w:val="nil"/>
            </w:tcBorders>
            <w:vAlign w:val="top"/>
          </w:tcPr>
          <w:p>
            <w:pPr>
              <w:spacing w:line="263" w:lineRule="auto"/>
              <w:rPr>
                <w:rFonts w:ascii="Arial"/>
                <w:sz w:val="21"/>
              </w:rPr>
            </w:pPr>
          </w:p>
          <w:p>
            <w:pPr>
              <w:pStyle w:val="6"/>
              <w:spacing w:before="68" w:line="247" w:lineRule="auto"/>
              <w:ind w:left="121" w:right="106" w:hanging="3"/>
            </w:pPr>
            <w:r>
              <w:rPr>
                <w:spacing w:val="-3"/>
              </w:rPr>
              <w:t>与道路中</w:t>
            </w:r>
            <w:r>
              <w:rPr>
                <w:spacing w:val="1"/>
              </w:rPr>
              <w:t xml:space="preserve"> </w:t>
            </w:r>
            <w:r>
              <w:rPr>
                <w:spacing w:val="-4"/>
              </w:rPr>
              <w:t>心线距离</w:t>
            </w:r>
          </w:p>
        </w:tc>
        <w:tc>
          <w:tcPr>
            <w:tcW w:w="1013" w:type="dxa"/>
            <w:vMerge w:val="restart"/>
            <w:tcBorders>
              <w:bottom w:val="nil"/>
            </w:tcBorders>
            <w:vAlign w:val="top"/>
          </w:tcPr>
          <w:p>
            <w:pPr>
              <w:pStyle w:val="6"/>
              <w:spacing w:before="176" w:line="261" w:lineRule="auto"/>
              <w:ind w:left="195" w:right="182"/>
              <w:jc w:val="both"/>
              <w:rPr>
                <w:rFonts w:ascii="Times New Roman" w:hAnsi="Times New Roman" w:eastAsia="Times New Roman" w:cs="Times New Roman"/>
              </w:rPr>
            </w:pPr>
            <w:r>
              <w:rPr>
                <w:spacing w:val="-3"/>
              </w:rPr>
              <w:t>预测点</w:t>
            </w:r>
            <w:r>
              <w:rPr>
                <w:spacing w:val="1"/>
              </w:rPr>
              <w:t xml:space="preserve"> </w:t>
            </w:r>
            <w:r>
              <w:rPr>
                <w:spacing w:val="-2"/>
              </w:rPr>
              <w:t>与声源</w:t>
            </w:r>
            <w:r>
              <w:t xml:space="preserve"> </w:t>
            </w:r>
            <w:r>
              <w:rPr>
                <w:spacing w:val="-3"/>
              </w:rPr>
              <w:t>高差</w:t>
            </w:r>
            <w:r>
              <w:rPr>
                <w:rFonts w:ascii="Times New Roman" w:hAnsi="Times New Roman" w:eastAsia="Times New Roman" w:cs="Times New Roman"/>
                <w:spacing w:val="-3"/>
              </w:rPr>
              <w:t>/m</w:t>
            </w:r>
          </w:p>
        </w:tc>
        <w:tc>
          <w:tcPr>
            <w:tcW w:w="1094" w:type="dxa"/>
            <w:vMerge w:val="restart"/>
            <w:tcBorders>
              <w:bottom w:val="nil"/>
            </w:tcBorders>
            <w:vAlign w:val="top"/>
          </w:tcPr>
          <w:p>
            <w:pPr>
              <w:spacing w:line="263" w:lineRule="auto"/>
              <w:rPr>
                <w:rFonts w:ascii="Arial"/>
                <w:sz w:val="21"/>
              </w:rPr>
            </w:pPr>
          </w:p>
          <w:p>
            <w:pPr>
              <w:pStyle w:val="6"/>
              <w:spacing w:before="68" w:line="247" w:lineRule="auto"/>
              <w:ind w:left="137" w:right="125" w:hanging="4"/>
            </w:pPr>
            <w:r>
              <w:rPr>
                <w:spacing w:val="-3"/>
              </w:rPr>
              <w:t>声环境功</w:t>
            </w:r>
            <w:r>
              <w:rPr>
                <w:spacing w:val="1"/>
              </w:rPr>
              <w:t xml:space="preserve"> </w:t>
            </w:r>
            <w:r>
              <w:rPr>
                <w:spacing w:val="-4"/>
              </w:rPr>
              <w:t>能区类别</w:t>
            </w:r>
          </w:p>
        </w:tc>
        <w:tc>
          <w:tcPr>
            <w:tcW w:w="1104" w:type="dxa"/>
            <w:vMerge w:val="restart"/>
            <w:tcBorders>
              <w:bottom w:val="nil"/>
            </w:tcBorders>
            <w:vAlign w:val="top"/>
          </w:tcPr>
          <w:p>
            <w:pPr>
              <w:spacing w:line="417" w:lineRule="auto"/>
              <w:rPr>
                <w:rFonts w:ascii="Arial"/>
                <w:sz w:val="21"/>
              </w:rPr>
            </w:pPr>
          </w:p>
          <w:p>
            <w:pPr>
              <w:pStyle w:val="6"/>
              <w:spacing w:before="68" w:line="222" w:lineRule="auto"/>
              <w:ind w:left="355"/>
            </w:pPr>
            <w:r>
              <w:rPr>
                <w:spacing w:val="-4"/>
              </w:rPr>
              <w:t>时段</w:t>
            </w:r>
          </w:p>
        </w:tc>
        <w:tc>
          <w:tcPr>
            <w:tcW w:w="970" w:type="dxa"/>
            <w:vMerge w:val="restart"/>
            <w:tcBorders>
              <w:bottom w:val="nil"/>
            </w:tcBorders>
            <w:vAlign w:val="top"/>
          </w:tcPr>
          <w:p>
            <w:pPr>
              <w:spacing w:line="417" w:lineRule="auto"/>
              <w:rPr>
                <w:rFonts w:ascii="Arial"/>
                <w:sz w:val="21"/>
              </w:rPr>
            </w:pPr>
          </w:p>
          <w:p>
            <w:pPr>
              <w:pStyle w:val="6"/>
              <w:spacing w:before="68" w:line="221" w:lineRule="auto"/>
              <w:ind w:left="174"/>
            </w:pPr>
            <w:r>
              <w:rPr>
                <w:spacing w:val="-2"/>
              </w:rPr>
              <w:t>标准值</w:t>
            </w:r>
          </w:p>
        </w:tc>
        <w:tc>
          <w:tcPr>
            <w:tcW w:w="811" w:type="dxa"/>
            <w:vMerge w:val="restart"/>
            <w:tcBorders>
              <w:bottom w:val="nil"/>
            </w:tcBorders>
            <w:vAlign w:val="top"/>
          </w:tcPr>
          <w:p>
            <w:pPr>
              <w:spacing w:line="417" w:lineRule="auto"/>
              <w:rPr>
                <w:rFonts w:ascii="Arial"/>
                <w:sz w:val="21"/>
              </w:rPr>
            </w:pPr>
          </w:p>
          <w:p>
            <w:pPr>
              <w:pStyle w:val="6"/>
              <w:spacing w:before="68" w:line="218" w:lineRule="auto"/>
              <w:ind w:left="198"/>
            </w:pPr>
            <w:r>
              <w:rPr>
                <w:spacing w:val="-2"/>
              </w:rPr>
              <w:t>楼层</w:t>
            </w:r>
          </w:p>
        </w:tc>
        <w:tc>
          <w:tcPr>
            <w:tcW w:w="936" w:type="dxa"/>
            <w:vMerge w:val="restart"/>
            <w:tcBorders>
              <w:bottom w:val="nil"/>
            </w:tcBorders>
            <w:vAlign w:val="top"/>
          </w:tcPr>
          <w:p>
            <w:pPr>
              <w:spacing w:line="417" w:lineRule="auto"/>
              <w:rPr>
                <w:rFonts w:ascii="Arial"/>
                <w:sz w:val="21"/>
              </w:rPr>
            </w:pPr>
          </w:p>
          <w:p>
            <w:pPr>
              <w:pStyle w:val="6"/>
              <w:spacing w:before="68" w:line="221" w:lineRule="auto"/>
              <w:ind w:left="160"/>
            </w:pPr>
            <w:r>
              <w:rPr>
                <w:spacing w:val="-2"/>
              </w:rPr>
              <w:t>背景值</w:t>
            </w:r>
          </w:p>
        </w:tc>
        <w:tc>
          <w:tcPr>
            <w:tcW w:w="799" w:type="dxa"/>
            <w:vMerge w:val="restart"/>
            <w:tcBorders>
              <w:bottom w:val="nil"/>
            </w:tcBorders>
            <w:vAlign w:val="top"/>
          </w:tcPr>
          <w:p>
            <w:pPr>
              <w:spacing w:line="262" w:lineRule="auto"/>
              <w:rPr>
                <w:rFonts w:ascii="Arial"/>
                <w:sz w:val="21"/>
              </w:rPr>
            </w:pPr>
          </w:p>
          <w:p>
            <w:pPr>
              <w:pStyle w:val="6"/>
              <w:spacing w:before="68" w:line="312" w:lineRule="exact"/>
              <w:ind w:left="196"/>
            </w:pPr>
            <w:r>
              <w:rPr>
                <w:spacing w:val="-2"/>
                <w:position w:val="7"/>
              </w:rPr>
              <w:t>现状</w:t>
            </w:r>
          </w:p>
          <w:p>
            <w:pPr>
              <w:pStyle w:val="6"/>
              <w:spacing w:line="220" w:lineRule="auto"/>
              <w:ind w:left="300"/>
            </w:pPr>
            <w:r>
              <w:t>值</w:t>
            </w:r>
          </w:p>
        </w:tc>
        <w:tc>
          <w:tcPr>
            <w:tcW w:w="4151" w:type="dxa"/>
            <w:gridSpan w:val="4"/>
            <w:vAlign w:val="top"/>
          </w:tcPr>
          <w:p>
            <w:pPr>
              <w:pStyle w:val="6"/>
              <w:spacing w:before="157" w:line="221" w:lineRule="auto"/>
              <w:ind w:left="1870"/>
            </w:pPr>
            <w:r>
              <w:rPr>
                <w:spacing w:val="-2"/>
              </w:rPr>
              <w:t>近期</w:t>
            </w:r>
          </w:p>
        </w:tc>
        <w:tc>
          <w:tcPr>
            <w:tcW w:w="3876" w:type="dxa"/>
            <w:gridSpan w:val="4"/>
            <w:vAlign w:val="top"/>
          </w:tcPr>
          <w:p>
            <w:pPr>
              <w:pStyle w:val="6"/>
              <w:spacing w:before="157" w:line="221" w:lineRule="auto"/>
              <w:ind w:left="1752"/>
            </w:pPr>
            <w:r>
              <w:rPr>
                <w:spacing w:val="-7"/>
              </w:rPr>
              <w:t>中期</w:t>
            </w:r>
          </w:p>
        </w:tc>
        <w:tc>
          <w:tcPr>
            <w:tcW w:w="3861" w:type="dxa"/>
            <w:gridSpan w:val="4"/>
            <w:vAlign w:val="top"/>
          </w:tcPr>
          <w:p>
            <w:pPr>
              <w:pStyle w:val="6"/>
              <w:spacing w:before="157" w:line="221" w:lineRule="auto"/>
              <w:ind w:left="1726"/>
            </w:pPr>
            <w:r>
              <w:rPr>
                <w:spacing w:val="-2"/>
              </w:rPr>
              <w:t>远期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614" w:type="dxa"/>
            <w:vMerge w:val="continue"/>
            <w:tcBorders>
              <w:top w:val="nil"/>
              <w:bottom w:val="nil"/>
            </w:tcBorders>
            <w:textDirection w:val="tbRlV"/>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bottom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Merge w:val="continue"/>
            <w:tcBorders>
              <w:top w:val="nil"/>
            </w:tcBorders>
            <w:vAlign w:val="top"/>
          </w:tcPr>
          <w:p>
            <w:pPr>
              <w:rPr>
                <w:rFonts w:ascii="Arial"/>
                <w:sz w:val="21"/>
              </w:rPr>
            </w:pPr>
          </w:p>
        </w:tc>
        <w:tc>
          <w:tcPr>
            <w:tcW w:w="970" w:type="dxa"/>
            <w:vMerge w:val="continue"/>
            <w:tcBorders>
              <w:top w:val="nil"/>
            </w:tcBorders>
            <w:vAlign w:val="top"/>
          </w:tcPr>
          <w:p>
            <w:pPr>
              <w:rPr>
                <w:rFonts w:ascii="Arial"/>
                <w:sz w:val="21"/>
              </w:rPr>
            </w:pPr>
          </w:p>
        </w:tc>
        <w:tc>
          <w:tcPr>
            <w:tcW w:w="811" w:type="dxa"/>
            <w:vMerge w:val="continue"/>
            <w:tcBorders>
              <w:top w:val="nil"/>
              <w:bottom w:val="nil"/>
            </w:tcBorders>
            <w:vAlign w:val="top"/>
          </w:tcPr>
          <w:p>
            <w:pPr>
              <w:rPr>
                <w:rFonts w:ascii="Arial"/>
                <w:sz w:val="21"/>
              </w:rPr>
            </w:pPr>
          </w:p>
        </w:tc>
        <w:tc>
          <w:tcPr>
            <w:tcW w:w="936" w:type="dxa"/>
            <w:vMerge w:val="continue"/>
            <w:tcBorders>
              <w:top w:val="nil"/>
            </w:tcBorders>
            <w:vAlign w:val="top"/>
          </w:tcPr>
          <w:p>
            <w:pPr>
              <w:rPr>
                <w:rFonts w:ascii="Arial"/>
                <w:sz w:val="21"/>
              </w:rPr>
            </w:pPr>
          </w:p>
        </w:tc>
        <w:tc>
          <w:tcPr>
            <w:tcW w:w="799" w:type="dxa"/>
            <w:vMerge w:val="continue"/>
            <w:tcBorders>
              <w:top w:val="nil"/>
            </w:tcBorders>
            <w:vAlign w:val="top"/>
          </w:tcPr>
          <w:p>
            <w:pPr>
              <w:rPr>
                <w:rFonts w:ascii="Arial"/>
                <w:sz w:val="21"/>
              </w:rPr>
            </w:pPr>
          </w:p>
        </w:tc>
        <w:tc>
          <w:tcPr>
            <w:tcW w:w="974" w:type="dxa"/>
            <w:vAlign w:val="top"/>
          </w:tcPr>
          <w:p>
            <w:pPr>
              <w:pStyle w:val="6"/>
              <w:spacing w:before="222" w:line="220" w:lineRule="auto"/>
              <w:ind w:left="178"/>
            </w:pPr>
            <w:r>
              <w:rPr>
                <w:spacing w:val="-2"/>
              </w:rPr>
              <w:t>贡献值</w:t>
            </w:r>
          </w:p>
        </w:tc>
        <w:tc>
          <w:tcPr>
            <w:tcW w:w="1003" w:type="dxa"/>
            <w:vAlign w:val="top"/>
          </w:tcPr>
          <w:p>
            <w:pPr>
              <w:pStyle w:val="6"/>
              <w:spacing w:before="222" w:line="221" w:lineRule="auto"/>
              <w:ind w:left="192"/>
            </w:pPr>
            <w:r>
              <w:rPr>
                <w:spacing w:val="-2"/>
              </w:rPr>
              <w:t>预测值</w:t>
            </w:r>
          </w:p>
        </w:tc>
        <w:tc>
          <w:tcPr>
            <w:tcW w:w="1281" w:type="dxa"/>
            <w:vAlign w:val="top"/>
          </w:tcPr>
          <w:p>
            <w:pPr>
              <w:pStyle w:val="6"/>
              <w:spacing w:before="66" w:line="312" w:lineRule="exact"/>
              <w:ind w:left="333"/>
            </w:pPr>
            <w:r>
              <w:rPr>
                <w:spacing w:val="-2"/>
                <w:position w:val="7"/>
              </w:rPr>
              <w:t>较现状</w:t>
            </w:r>
          </w:p>
          <w:p>
            <w:pPr>
              <w:pStyle w:val="6"/>
              <w:spacing w:line="222" w:lineRule="auto"/>
              <w:ind w:left="334"/>
            </w:pPr>
            <w:r>
              <w:rPr>
                <w:spacing w:val="-2"/>
              </w:rPr>
              <w:t>增加量</w:t>
            </w:r>
          </w:p>
        </w:tc>
        <w:tc>
          <w:tcPr>
            <w:tcW w:w="893" w:type="dxa"/>
            <w:vAlign w:val="top"/>
          </w:tcPr>
          <w:p>
            <w:pPr>
              <w:pStyle w:val="6"/>
              <w:spacing w:before="222" w:line="221" w:lineRule="auto"/>
              <w:ind w:left="136"/>
            </w:pPr>
            <w:r>
              <w:rPr>
                <w:spacing w:val="-1"/>
              </w:rPr>
              <w:t>超标量</w:t>
            </w:r>
          </w:p>
        </w:tc>
        <w:tc>
          <w:tcPr>
            <w:tcW w:w="902" w:type="dxa"/>
            <w:vAlign w:val="top"/>
          </w:tcPr>
          <w:p>
            <w:pPr>
              <w:pStyle w:val="6"/>
              <w:spacing w:before="222" w:line="220" w:lineRule="auto"/>
              <w:ind w:left="144"/>
            </w:pPr>
            <w:r>
              <w:rPr>
                <w:spacing w:val="-2"/>
              </w:rPr>
              <w:t>贡献值</w:t>
            </w:r>
          </w:p>
        </w:tc>
        <w:tc>
          <w:tcPr>
            <w:tcW w:w="888" w:type="dxa"/>
            <w:vAlign w:val="top"/>
          </w:tcPr>
          <w:p>
            <w:pPr>
              <w:pStyle w:val="6"/>
              <w:spacing w:before="222" w:line="221" w:lineRule="auto"/>
              <w:ind w:left="136"/>
            </w:pPr>
            <w:r>
              <w:rPr>
                <w:spacing w:val="-2"/>
              </w:rPr>
              <w:t>预测值</w:t>
            </w:r>
          </w:p>
        </w:tc>
        <w:tc>
          <w:tcPr>
            <w:tcW w:w="1109" w:type="dxa"/>
            <w:vAlign w:val="top"/>
          </w:tcPr>
          <w:p>
            <w:pPr>
              <w:pStyle w:val="6"/>
              <w:spacing w:before="66" w:line="312" w:lineRule="exact"/>
              <w:ind w:left="245"/>
            </w:pPr>
            <w:r>
              <w:rPr>
                <w:spacing w:val="-2"/>
                <w:position w:val="7"/>
              </w:rPr>
              <w:t>较现状</w:t>
            </w:r>
          </w:p>
          <w:p>
            <w:pPr>
              <w:pStyle w:val="6"/>
              <w:spacing w:line="222" w:lineRule="auto"/>
              <w:ind w:left="246"/>
            </w:pPr>
            <w:r>
              <w:rPr>
                <w:spacing w:val="-2"/>
              </w:rPr>
              <w:t>增加量</w:t>
            </w:r>
          </w:p>
        </w:tc>
        <w:tc>
          <w:tcPr>
            <w:tcW w:w="977" w:type="dxa"/>
            <w:vAlign w:val="top"/>
          </w:tcPr>
          <w:p>
            <w:pPr>
              <w:pStyle w:val="6"/>
              <w:spacing w:before="222" w:line="221" w:lineRule="auto"/>
              <w:ind w:left="177"/>
            </w:pPr>
            <w:r>
              <w:rPr>
                <w:spacing w:val="-1"/>
              </w:rPr>
              <w:t>超标量</w:t>
            </w:r>
          </w:p>
        </w:tc>
        <w:tc>
          <w:tcPr>
            <w:tcW w:w="871" w:type="dxa"/>
            <w:vAlign w:val="top"/>
          </w:tcPr>
          <w:p>
            <w:pPr>
              <w:pStyle w:val="6"/>
              <w:spacing w:before="222" w:line="220" w:lineRule="auto"/>
              <w:ind w:left="130"/>
            </w:pPr>
            <w:r>
              <w:rPr>
                <w:spacing w:val="-2"/>
              </w:rPr>
              <w:t>贡献值</w:t>
            </w:r>
          </w:p>
        </w:tc>
        <w:tc>
          <w:tcPr>
            <w:tcW w:w="890" w:type="dxa"/>
            <w:vAlign w:val="top"/>
          </w:tcPr>
          <w:p>
            <w:pPr>
              <w:pStyle w:val="6"/>
              <w:spacing w:before="222" w:line="221" w:lineRule="auto"/>
              <w:ind w:left="139"/>
            </w:pPr>
            <w:r>
              <w:rPr>
                <w:spacing w:val="-2"/>
              </w:rPr>
              <w:t>预测值</w:t>
            </w:r>
          </w:p>
        </w:tc>
        <w:tc>
          <w:tcPr>
            <w:tcW w:w="1116" w:type="dxa"/>
            <w:vAlign w:val="top"/>
          </w:tcPr>
          <w:p>
            <w:pPr>
              <w:pStyle w:val="6"/>
              <w:spacing w:before="66" w:line="312" w:lineRule="exact"/>
              <w:ind w:left="250"/>
            </w:pPr>
            <w:r>
              <w:rPr>
                <w:spacing w:val="-2"/>
                <w:position w:val="7"/>
              </w:rPr>
              <w:t>较现状</w:t>
            </w:r>
          </w:p>
          <w:p>
            <w:pPr>
              <w:pStyle w:val="6"/>
              <w:spacing w:line="222" w:lineRule="auto"/>
              <w:ind w:left="251"/>
            </w:pPr>
            <w:r>
              <w:rPr>
                <w:spacing w:val="-2"/>
              </w:rPr>
              <w:t>增加量</w:t>
            </w:r>
          </w:p>
        </w:tc>
        <w:tc>
          <w:tcPr>
            <w:tcW w:w="984" w:type="dxa"/>
            <w:vAlign w:val="top"/>
          </w:tcPr>
          <w:p>
            <w:pPr>
              <w:pStyle w:val="6"/>
              <w:spacing w:before="222" w:line="221" w:lineRule="auto"/>
              <w:ind w:left="180"/>
            </w:pPr>
            <w:r>
              <w:rPr>
                <w:spacing w:val="-1"/>
              </w:rPr>
              <w:t>超标量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textDirection w:val="tbRlV"/>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4" w:line="221" w:lineRule="auto"/>
              <w:ind w:left="349"/>
            </w:pPr>
            <w:r>
              <w:rPr>
                <w:spacing w:val="-3"/>
              </w:rPr>
              <w:t>夜间</w:t>
            </w:r>
          </w:p>
        </w:tc>
        <w:tc>
          <w:tcPr>
            <w:tcW w:w="970" w:type="dxa"/>
            <w:vAlign w:val="top"/>
          </w:tcPr>
          <w:p>
            <w:pPr>
              <w:spacing w:before="106"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3"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36.9</w:t>
            </w:r>
          </w:p>
        </w:tc>
        <w:tc>
          <w:tcPr>
            <w:tcW w:w="799" w:type="dxa"/>
            <w:vAlign w:val="top"/>
          </w:tcPr>
          <w:p>
            <w:pPr>
              <w:spacing w:before="103"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974" w:type="dxa"/>
            <w:vAlign w:val="top"/>
          </w:tcPr>
          <w:p>
            <w:pPr>
              <w:spacing w:before="103"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1003" w:type="dxa"/>
            <w:vAlign w:val="top"/>
          </w:tcPr>
          <w:p>
            <w:pPr>
              <w:spacing w:before="101"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1281" w:type="dxa"/>
            <w:vAlign w:val="top"/>
          </w:tcPr>
          <w:p>
            <w:pPr>
              <w:spacing w:before="101"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+10.4</w:t>
            </w:r>
          </w:p>
        </w:tc>
        <w:tc>
          <w:tcPr>
            <w:tcW w:w="893" w:type="dxa"/>
            <w:vAlign w:val="top"/>
          </w:tcPr>
          <w:p>
            <w:pPr>
              <w:spacing w:before="101"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902" w:type="dxa"/>
            <w:vAlign w:val="top"/>
          </w:tcPr>
          <w:p>
            <w:pPr>
              <w:spacing w:before="101"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888" w:type="dxa"/>
            <w:vAlign w:val="top"/>
          </w:tcPr>
          <w:p>
            <w:pPr>
              <w:spacing w:before="101"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62.0</w:t>
            </w:r>
          </w:p>
        </w:tc>
        <w:tc>
          <w:tcPr>
            <w:tcW w:w="1109" w:type="dxa"/>
            <w:vAlign w:val="top"/>
          </w:tcPr>
          <w:p>
            <w:pPr>
              <w:spacing w:before="101"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+13.4</w:t>
            </w:r>
          </w:p>
        </w:tc>
        <w:tc>
          <w:tcPr>
            <w:tcW w:w="977" w:type="dxa"/>
            <w:vAlign w:val="top"/>
          </w:tcPr>
          <w:p>
            <w:pPr>
              <w:spacing w:before="101"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w:t>
            </w:r>
          </w:p>
        </w:tc>
        <w:tc>
          <w:tcPr>
            <w:tcW w:w="871" w:type="dxa"/>
            <w:vAlign w:val="top"/>
          </w:tcPr>
          <w:p>
            <w:pPr>
              <w:spacing w:before="101"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62.9</w:t>
            </w:r>
          </w:p>
        </w:tc>
        <w:tc>
          <w:tcPr>
            <w:tcW w:w="890" w:type="dxa"/>
            <w:vAlign w:val="top"/>
          </w:tcPr>
          <w:p>
            <w:pPr>
              <w:spacing w:before="10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62.9</w:t>
            </w:r>
          </w:p>
        </w:tc>
        <w:tc>
          <w:tcPr>
            <w:tcW w:w="1116"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+14.3</w:t>
            </w:r>
          </w:p>
        </w:tc>
        <w:tc>
          <w:tcPr>
            <w:tcW w:w="984" w:type="dxa"/>
            <w:vAlign w:val="top"/>
          </w:tcPr>
          <w:p>
            <w:pPr>
              <w:spacing w:before="101"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textDirection w:val="tbRlV"/>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76" w:line="187" w:lineRule="auto"/>
              <w:ind w:left="42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5" w:line="223" w:lineRule="auto"/>
              <w:ind w:left="345"/>
            </w:pPr>
            <w:r>
              <w:rPr>
                <w:spacing w:val="-2"/>
              </w:rPr>
              <w:t>昼间</w:t>
            </w:r>
          </w:p>
        </w:tc>
        <w:tc>
          <w:tcPr>
            <w:tcW w:w="970" w:type="dxa"/>
            <w:vAlign w:val="top"/>
          </w:tcPr>
          <w:p>
            <w:pPr>
              <w:spacing w:before="103"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78"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3"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799" w:type="dxa"/>
            <w:vAlign w:val="top"/>
          </w:tcPr>
          <w:p>
            <w:pPr>
              <w:spacing w:before="103"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58.6</w:t>
            </w:r>
          </w:p>
        </w:tc>
        <w:tc>
          <w:tcPr>
            <w:tcW w:w="974" w:type="dxa"/>
            <w:vAlign w:val="top"/>
          </w:tcPr>
          <w:p>
            <w:pPr>
              <w:spacing w:before="103"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64.9</w:t>
            </w:r>
          </w:p>
        </w:tc>
        <w:tc>
          <w:tcPr>
            <w:tcW w:w="1003" w:type="dxa"/>
            <w:vAlign w:val="top"/>
          </w:tcPr>
          <w:p>
            <w:pPr>
              <w:spacing w:before="101"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65.0</w:t>
            </w:r>
          </w:p>
        </w:tc>
        <w:tc>
          <w:tcPr>
            <w:tcW w:w="1281" w:type="dxa"/>
            <w:vAlign w:val="top"/>
          </w:tcPr>
          <w:p>
            <w:pPr>
              <w:spacing w:before="10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w:t>
            </w:r>
          </w:p>
        </w:tc>
        <w:tc>
          <w:tcPr>
            <w:tcW w:w="893" w:type="dxa"/>
            <w:vAlign w:val="top"/>
          </w:tcPr>
          <w:p>
            <w:pPr>
              <w:spacing w:before="97"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1"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w:t>
            </w:r>
          </w:p>
        </w:tc>
        <w:tc>
          <w:tcPr>
            <w:tcW w:w="888" w:type="dxa"/>
            <w:vAlign w:val="top"/>
          </w:tcPr>
          <w:p>
            <w:pPr>
              <w:spacing w:before="101"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68.1</w:t>
            </w:r>
          </w:p>
        </w:tc>
        <w:tc>
          <w:tcPr>
            <w:tcW w:w="1109" w:type="dxa"/>
            <w:vAlign w:val="top"/>
          </w:tcPr>
          <w:p>
            <w:pPr>
              <w:spacing w:before="101"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+9.5</w:t>
            </w:r>
          </w:p>
        </w:tc>
        <w:tc>
          <w:tcPr>
            <w:tcW w:w="977" w:type="dxa"/>
            <w:vAlign w:val="top"/>
          </w:tcPr>
          <w:p>
            <w:pPr>
              <w:spacing w:before="97"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1"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72.4</w:t>
            </w:r>
          </w:p>
        </w:tc>
        <w:tc>
          <w:tcPr>
            <w:tcW w:w="890" w:type="dxa"/>
            <w:vAlign w:val="top"/>
          </w:tcPr>
          <w:p>
            <w:pPr>
              <w:spacing w:before="101" w:line="187" w:lineRule="auto"/>
              <w:ind w:left="2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72.4</w:t>
            </w:r>
          </w:p>
        </w:tc>
        <w:tc>
          <w:tcPr>
            <w:tcW w:w="1116"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+13.8</w:t>
            </w:r>
          </w:p>
        </w:tc>
        <w:tc>
          <w:tcPr>
            <w:tcW w:w="984" w:type="dxa"/>
            <w:vAlign w:val="top"/>
          </w:tcPr>
          <w:p>
            <w:pPr>
              <w:spacing w:before="101"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textDirection w:val="tbRlV"/>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4" w:line="221" w:lineRule="auto"/>
              <w:ind w:left="349"/>
            </w:pPr>
            <w:r>
              <w:rPr>
                <w:spacing w:val="-3"/>
              </w:rPr>
              <w:t>夜间</w:t>
            </w:r>
          </w:p>
        </w:tc>
        <w:tc>
          <w:tcPr>
            <w:tcW w:w="970" w:type="dxa"/>
            <w:vAlign w:val="top"/>
          </w:tcPr>
          <w:p>
            <w:pPr>
              <w:spacing w:before="106"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3"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799" w:type="dxa"/>
            <w:vAlign w:val="top"/>
          </w:tcPr>
          <w:p>
            <w:pPr>
              <w:spacing w:before="103"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51.8</w:t>
            </w:r>
          </w:p>
        </w:tc>
        <w:tc>
          <w:tcPr>
            <w:tcW w:w="974" w:type="dxa"/>
            <w:vAlign w:val="top"/>
          </w:tcPr>
          <w:p>
            <w:pPr>
              <w:spacing w:before="103"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59.5</w:t>
            </w:r>
          </w:p>
        </w:tc>
        <w:tc>
          <w:tcPr>
            <w:tcW w:w="1003" w:type="dxa"/>
            <w:vAlign w:val="top"/>
          </w:tcPr>
          <w:p>
            <w:pPr>
              <w:spacing w:before="101"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59.5</w:t>
            </w:r>
          </w:p>
        </w:tc>
        <w:tc>
          <w:tcPr>
            <w:tcW w:w="1281" w:type="dxa"/>
            <w:vAlign w:val="top"/>
          </w:tcPr>
          <w:p>
            <w:pPr>
              <w:spacing w:before="104" w:line="184"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+7.7</w:t>
            </w:r>
          </w:p>
        </w:tc>
        <w:tc>
          <w:tcPr>
            <w:tcW w:w="893" w:type="dxa"/>
            <w:vAlign w:val="top"/>
          </w:tcPr>
          <w:p>
            <w:pPr>
              <w:spacing w:before="101"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902" w:type="dxa"/>
            <w:vAlign w:val="top"/>
          </w:tcPr>
          <w:p>
            <w:pPr>
              <w:spacing w:before="101"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62.5</w:t>
            </w:r>
          </w:p>
        </w:tc>
        <w:tc>
          <w:tcPr>
            <w:tcW w:w="888" w:type="dxa"/>
            <w:vAlign w:val="top"/>
          </w:tcPr>
          <w:p>
            <w:pPr>
              <w:spacing w:before="101"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62.5</w:t>
            </w:r>
          </w:p>
        </w:tc>
        <w:tc>
          <w:tcPr>
            <w:tcW w:w="1109" w:type="dxa"/>
            <w:vAlign w:val="top"/>
          </w:tcPr>
          <w:p>
            <w:pPr>
              <w:spacing w:before="101"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+10.7</w:t>
            </w:r>
          </w:p>
        </w:tc>
        <w:tc>
          <w:tcPr>
            <w:tcW w:w="977" w:type="dxa"/>
            <w:vAlign w:val="top"/>
          </w:tcPr>
          <w:p>
            <w:pPr>
              <w:spacing w:before="104" w:line="184"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w:t>
            </w:r>
          </w:p>
        </w:tc>
        <w:tc>
          <w:tcPr>
            <w:tcW w:w="871" w:type="dxa"/>
            <w:vAlign w:val="top"/>
          </w:tcPr>
          <w:p>
            <w:pPr>
              <w:spacing w:before="101"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63.5</w:t>
            </w:r>
          </w:p>
        </w:tc>
        <w:tc>
          <w:tcPr>
            <w:tcW w:w="890" w:type="dxa"/>
            <w:vAlign w:val="top"/>
          </w:tcPr>
          <w:p>
            <w:pPr>
              <w:spacing w:before="10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63.5</w:t>
            </w:r>
          </w:p>
        </w:tc>
        <w:tc>
          <w:tcPr>
            <w:tcW w:w="1116"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+11.7</w:t>
            </w:r>
          </w:p>
        </w:tc>
        <w:tc>
          <w:tcPr>
            <w:tcW w:w="984" w:type="dxa"/>
            <w:vAlign w:val="top"/>
          </w:tcPr>
          <w:p>
            <w:pPr>
              <w:spacing w:before="101"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textDirection w:val="tbRlV"/>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restart"/>
            <w:tcBorders>
              <w:bottom w:val="nil"/>
            </w:tcBorders>
            <w:vAlign w:val="top"/>
          </w:tcPr>
          <w:p>
            <w:pPr>
              <w:spacing w:line="258" w:lineRule="auto"/>
              <w:rPr>
                <w:rFonts w:ascii="Arial"/>
                <w:sz w:val="21"/>
              </w:rPr>
            </w:pPr>
          </w:p>
          <w:p>
            <w:pPr>
              <w:spacing w:line="258" w:lineRule="auto"/>
              <w:rPr>
                <w:rFonts w:ascii="Arial"/>
                <w:sz w:val="21"/>
              </w:rPr>
            </w:pPr>
          </w:p>
          <w:p>
            <w:pPr>
              <w:pStyle w:val="6"/>
              <w:spacing w:before="68" w:line="233" w:lineRule="auto"/>
              <w:ind w:left="115"/>
            </w:pPr>
            <w:r>
              <w:rPr>
                <w:rFonts w:ascii="Times New Roman" w:hAnsi="Times New Roman" w:eastAsia="Times New Roman" w:cs="Times New Roman"/>
                <w:spacing w:val="-2"/>
              </w:rPr>
              <w:t>60</w:t>
            </w:r>
            <w:r>
              <w:rPr>
                <w:spacing w:val="-2"/>
              </w:rPr>
              <w:t>（</w:t>
            </w:r>
            <w:r>
              <w:rPr>
                <w:rFonts w:ascii="Times New Roman" w:hAnsi="Times New Roman" w:eastAsia="Times New Roman" w:cs="Times New Roman"/>
                <w:spacing w:val="-2"/>
              </w:rPr>
              <w:t>L2</w:t>
            </w:r>
            <w:r>
              <w:rPr>
                <w:spacing w:val="-2"/>
              </w:rPr>
              <w:t>）</w:t>
            </w:r>
          </w:p>
        </w:tc>
        <w:tc>
          <w:tcPr>
            <w:tcW w:w="1013" w:type="dxa"/>
            <w:vMerge w:val="restart"/>
            <w:tcBorders>
              <w:bottom w:val="nil"/>
            </w:tcBorders>
            <w:vAlign w:val="top"/>
          </w:tcPr>
          <w:p>
            <w:pPr>
              <w:spacing w:before="278" w:line="187" w:lineRule="auto"/>
              <w:ind w:left="38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1094" w:type="dxa"/>
            <w:vMerge w:val="restart"/>
            <w:tcBorders>
              <w:bottom w:val="nil"/>
            </w:tcBorders>
            <w:vAlign w:val="top"/>
          </w:tcPr>
          <w:p>
            <w:pPr>
              <w:spacing w:line="259" w:lineRule="auto"/>
              <w:rPr>
                <w:rFonts w:ascii="Arial"/>
                <w:sz w:val="21"/>
              </w:rPr>
            </w:pPr>
          </w:p>
          <w:p>
            <w:pPr>
              <w:spacing w:line="259" w:lineRule="auto"/>
              <w:rPr>
                <w:rFonts w:ascii="Arial"/>
                <w:sz w:val="21"/>
              </w:rPr>
            </w:pPr>
          </w:p>
          <w:p>
            <w:pPr>
              <w:pStyle w:val="6"/>
              <w:spacing w:before="68"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65" w:line="223" w:lineRule="auto"/>
              <w:ind w:left="345"/>
            </w:pPr>
            <w:r>
              <w:rPr>
                <w:spacing w:val="-2"/>
              </w:rPr>
              <w:t>昼间</w:t>
            </w:r>
          </w:p>
        </w:tc>
        <w:tc>
          <w:tcPr>
            <w:tcW w:w="970" w:type="dxa"/>
            <w:vAlign w:val="top"/>
          </w:tcPr>
          <w:p>
            <w:pPr>
              <w:spacing w:before="103"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1"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3"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799" w:type="dxa"/>
            <w:vAlign w:val="top"/>
          </w:tcPr>
          <w:p>
            <w:pPr>
              <w:spacing w:before="103"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974" w:type="dxa"/>
            <w:vAlign w:val="top"/>
          </w:tcPr>
          <w:p>
            <w:pPr>
              <w:spacing w:before="103"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47.2</w:t>
            </w:r>
          </w:p>
        </w:tc>
        <w:tc>
          <w:tcPr>
            <w:tcW w:w="1003" w:type="dxa"/>
            <w:vAlign w:val="top"/>
          </w:tcPr>
          <w:p>
            <w:pPr>
              <w:spacing w:before="101"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52.5</w:t>
            </w:r>
          </w:p>
        </w:tc>
        <w:tc>
          <w:tcPr>
            <w:tcW w:w="1281" w:type="dxa"/>
            <w:vAlign w:val="top"/>
          </w:tcPr>
          <w:p>
            <w:pPr>
              <w:spacing w:before="10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w:t>
            </w:r>
          </w:p>
        </w:tc>
        <w:tc>
          <w:tcPr>
            <w:tcW w:w="893" w:type="dxa"/>
            <w:vAlign w:val="top"/>
          </w:tcPr>
          <w:p>
            <w:pPr>
              <w:spacing w:before="97"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1"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51.1</w:t>
            </w:r>
          </w:p>
        </w:tc>
        <w:tc>
          <w:tcPr>
            <w:tcW w:w="888" w:type="dxa"/>
            <w:vAlign w:val="top"/>
          </w:tcPr>
          <w:p>
            <w:pPr>
              <w:spacing w:before="10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54.1</w:t>
            </w:r>
          </w:p>
        </w:tc>
        <w:tc>
          <w:tcPr>
            <w:tcW w:w="1109" w:type="dxa"/>
            <w:vAlign w:val="top"/>
          </w:tcPr>
          <w:p>
            <w:pPr>
              <w:spacing w:before="101"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w:t>
            </w:r>
          </w:p>
        </w:tc>
        <w:tc>
          <w:tcPr>
            <w:tcW w:w="977" w:type="dxa"/>
            <w:vAlign w:val="top"/>
          </w:tcPr>
          <w:p>
            <w:pPr>
              <w:spacing w:before="97"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1"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890" w:type="dxa"/>
            <w:vAlign w:val="top"/>
          </w:tcPr>
          <w:p>
            <w:pPr>
              <w:spacing w:before="101"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57.2</w:t>
            </w:r>
          </w:p>
        </w:tc>
        <w:tc>
          <w:tcPr>
            <w:tcW w:w="1116" w:type="dxa"/>
            <w:vAlign w:val="top"/>
          </w:tcPr>
          <w:p>
            <w:pPr>
              <w:spacing w:before="101"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+6.2</w:t>
            </w:r>
          </w:p>
        </w:tc>
        <w:tc>
          <w:tcPr>
            <w:tcW w:w="984" w:type="dxa"/>
            <w:vAlign w:val="top"/>
          </w:tcPr>
          <w:p>
            <w:pPr>
              <w:spacing w:before="97"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14" w:type="dxa"/>
            <w:vMerge w:val="continue"/>
            <w:tcBorders>
              <w:top w:val="nil"/>
              <w:bottom w:val="nil"/>
            </w:tcBorders>
            <w:textDirection w:val="tbRlV"/>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6" w:line="221" w:lineRule="auto"/>
              <w:ind w:left="349"/>
            </w:pPr>
            <w:r>
              <w:rPr>
                <w:spacing w:val="-3"/>
              </w:rPr>
              <w:t>夜间</w:t>
            </w:r>
          </w:p>
        </w:tc>
        <w:tc>
          <w:tcPr>
            <w:tcW w:w="970" w:type="dxa"/>
            <w:vAlign w:val="top"/>
          </w:tcPr>
          <w:p>
            <w:pPr>
              <w:spacing w:before="105"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5"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36.9</w:t>
            </w:r>
          </w:p>
        </w:tc>
        <w:tc>
          <w:tcPr>
            <w:tcW w:w="799" w:type="dxa"/>
            <w:vAlign w:val="top"/>
          </w:tcPr>
          <w:p>
            <w:pPr>
              <w:spacing w:before="105"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36.9</w:t>
            </w:r>
          </w:p>
        </w:tc>
        <w:tc>
          <w:tcPr>
            <w:tcW w:w="974" w:type="dxa"/>
            <w:vAlign w:val="top"/>
          </w:tcPr>
          <w:p>
            <w:pPr>
              <w:spacing w:before="105"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41.8</w:t>
            </w:r>
          </w:p>
        </w:tc>
        <w:tc>
          <w:tcPr>
            <w:tcW w:w="1003" w:type="dxa"/>
            <w:vAlign w:val="top"/>
          </w:tcPr>
          <w:p>
            <w:pPr>
              <w:spacing w:before="103"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43.0</w:t>
            </w:r>
          </w:p>
        </w:tc>
        <w:tc>
          <w:tcPr>
            <w:tcW w:w="1281" w:type="dxa"/>
            <w:vAlign w:val="top"/>
          </w:tcPr>
          <w:p>
            <w:pPr>
              <w:spacing w:before="103"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+6.1</w:t>
            </w:r>
          </w:p>
        </w:tc>
        <w:tc>
          <w:tcPr>
            <w:tcW w:w="893" w:type="dxa"/>
            <w:vAlign w:val="top"/>
          </w:tcPr>
          <w:p>
            <w:pPr>
              <w:spacing w:before="100"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3"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w:t>
            </w:r>
          </w:p>
        </w:tc>
        <w:tc>
          <w:tcPr>
            <w:tcW w:w="888" w:type="dxa"/>
            <w:vAlign w:val="top"/>
          </w:tcPr>
          <w:p>
            <w:pPr>
              <w:spacing w:before="103"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45.3</w:t>
            </w:r>
          </w:p>
        </w:tc>
        <w:tc>
          <w:tcPr>
            <w:tcW w:w="1109" w:type="dxa"/>
            <w:vAlign w:val="top"/>
          </w:tcPr>
          <w:p>
            <w:pPr>
              <w:spacing w:before="103"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+8.4</w:t>
            </w:r>
          </w:p>
        </w:tc>
        <w:tc>
          <w:tcPr>
            <w:tcW w:w="977" w:type="dxa"/>
            <w:vAlign w:val="top"/>
          </w:tcPr>
          <w:p>
            <w:pPr>
              <w:spacing w:before="100"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3"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45.6</w:t>
            </w:r>
          </w:p>
        </w:tc>
        <w:tc>
          <w:tcPr>
            <w:tcW w:w="890" w:type="dxa"/>
            <w:vAlign w:val="top"/>
          </w:tcPr>
          <w:p>
            <w:pPr>
              <w:spacing w:before="103"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1116" w:type="dxa"/>
            <w:vAlign w:val="top"/>
          </w:tcPr>
          <w:p>
            <w:pPr>
              <w:spacing w:before="103"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w:t>
            </w:r>
          </w:p>
        </w:tc>
        <w:tc>
          <w:tcPr>
            <w:tcW w:w="984" w:type="dxa"/>
            <w:vAlign w:val="top"/>
          </w:tcPr>
          <w:p>
            <w:pPr>
              <w:spacing w:before="100"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textDirection w:val="tbRlV"/>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77" w:line="187" w:lineRule="auto"/>
              <w:ind w:left="42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6" w:line="223" w:lineRule="auto"/>
              <w:ind w:left="345"/>
            </w:pPr>
            <w:r>
              <w:rPr>
                <w:spacing w:val="-2"/>
              </w:rPr>
              <w:t>昼间</w:t>
            </w:r>
          </w:p>
        </w:tc>
        <w:tc>
          <w:tcPr>
            <w:tcW w:w="970" w:type="dxa"/>
            <w:vAlign w:val="top"/>
          </w:tcPr>
          <w:p>
            <w:pPr>
              <w:spacing w:before="104"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79"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4"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799" w:type="dxa"/>
            <w:vAlign w:val="top"/>
          </w:tcPr>
          <w:p>
            <w:pPr>
              <w:spacing w:before="104"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1003" w:type="dxa"/>
            <w:vAlign w:val="top"/>
          </w:tcPr>
          <w:p>
            <w:pPr>
              <w:spacing w:before="101"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54.3</w:t>
            </w:r>
          </w:p>
        </w:tc>
        <w:tc>
          <w:tcPr>
            <w:tcW w:w="1281" w:type="dxa"/>
            <w:vAlign w:val="top"/>
          </w:tcPr>
          <w:p>
            <w:pPr>
              <w:spacing w:before="10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1"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56.2</w:t>
            </w:r>
          </w:p>
        </w:tc>
        <w:tc>
          <w:tcPr>
            <w:tcW w:w="888" w:type="dxa"/>
            <w:vAlign w:val="top"/>
          </w:tcPr>
          <w:p>
            <w:pPr>
              <w:spacing w:before="10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57.1</w:t>
            </w:r>
          </w:p>
        </w:tc>
        <w:tc>
          <w:tcPr>
            <w:tcW w:w="1109" w:type="dxa"/>
            <w:vAlign w:val="top"/>
          </w:tcPr>
          <w:p>
            <w:pPr>
              <w:spacing w:before="101"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+7.4</w:t>
            </w:r>
          </w:p>
        </w:tc>
        <w:tc>
          <w:tcPr>
            <w:tcW w:w="977" w:type="dxa"/>
            <w:vAlign w:val="top"/>
          </w:tcPr>
          <w:p>
            <w:pPr>
              <w:spacing w:before="98"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1"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61.2</w:t>
            </w:r>
          </w:p>
        </w:tc>
        <w:tc>
          <w:tcPr>
            <w:tcW w:w="890" w:type="dxa"/>
            <w:vAlign w:val="top"/>
          </w:tcPr>
          <w:p>
            <w:pPr>
              <w:spacing w:before="10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61.5</w:t>
            </w:r>
          </w:p>
        </w:tc>
        <w:tc>
          <w:tcPr>
            <w:tcW w:w="1116"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+11.8</w:t>
            </w:r>
          </w:p>
        </w:tc>
        <w:tc>
          <w:tcPr>
            <w:tcW w:w="984" w:type="dxa"/>
            <w:vAlign w:val="top"/>
          </w:tcPr>
          <w:p>
            <w:pPr>
              <w:spacing w:before="101"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textDirection w:val="tbRlV"/>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5" w:line="221" w:lineRule="auto"/>
              <w:ind w:left="349"/>
            </w:pPr>
            <w:r>
              <w:rPr>
                <w:spacing w:val="-3"/>
              </w:rPr>
              <w:t>夜间</w:t>
            </w:r>
          </w:p>
        </w:tc>
        <w:tc>
          <w:tcPr>
            <w:tcW w:w="970" w:type="dxa"/>
            <w:vAlign w:val="top"/>
          </w:tcPr>
          <w:p>
            <w:pPr>
              <w:spacing w:before="104"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4"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799" w:type="dxa"/>
            <w:vAlign w:val="top"/>
          </w:tcPr>
          <w:p>
            <w:pPr>
              <w:spacing w:before="104"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74" w:type="dxa"/>
            <w:vAlign w:val="top"/>
          </w:tcPr>
          <w:p>
            <w:pPr>
              <w:spacing w:before="104"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47.0</w:t>
            </w:r>
          </w:p>
        </w:tc>
        <w:tc>
          <w:tcPr>
            <w:tcW w:w="1003"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47.5</w:t>
            </w:r>
          </w:p>
        </w:tc>
        <w:tc>
          <w:tcPr>
            <w:tcW w:w="1281" w:type="dxa"/>
            <w:vAlign w:val="top"/>
          </w:tcPr>
          <w:p>
            <w:pPr>
              <w:spacing w:before="101"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+10.0</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1" w:line="187" w:lineRule="auto"/>
              <w:ind w:left="35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88" w:type="dxa"/>
            <w:vAlign w:val="top"/>
          </w:tcPr>
          <w:p>
            <w:pPr>
              <w:spacing w:before="10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50.2</w:t>
            </w:r>
          </w:p>
        </w:tc>
        <w:tc>
          <w:tcPr>
            <w:tcW w:w="1109" w:type="dxa"/>
            <w:vAlign w:val="top"/>
          </w:tcPr>
          <w:p>
            <w:pPr>
              <w:spacing w:before="101"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+12.7</w:t>
            </w:r>
          </w:p>
        </w:tc>
        <w:tc>
          <w:tcPr>
            <w:tcW w:w="977" w:type="dxa"/>
            <w:vAlign w:val="top"/>
          </w:tcPr>
          <w:p>
            <w:pPr>
              <w:spacing w:before="101"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w:t>
            </w:r>
          </w:p>
        </w:tc>
        <w:tc>
          <w:tcPr>
            <w:tcW w:w="871" w:type="dxa"/>
            <w:vAlign w:val="top"/>
          </w:tcPr>
          <w:p>
            <w:pPr>
              <w:spacing w:before="101"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50.9</w:t>
            </w:r>
          </w:p>
        </w:tc>
        <w:tc>
          <w:tcPr>
            <w:tcW w:w="890" w:type="dxa"/>
            <w:vAlign w:val="top"/>
          </w:tcPr>
          <w:p>
            <w:pPr>
              <w:spacing w:before="101"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51.1</w:t>
            </w:r>
          </w:p>
        </w:tc>
        <w:tc>
          <w:tcPr>
            <w:tcW w:w="1116"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+13.6</w:t>
            </w:r>
          </w:p>
        </w:tc>
        <w:tc>
          <w:tcPr>
            <w:tcW w:w="984" w:type="dxa"/>
            <w:vAlign w:val="top"/>
          </w:tcPr>
          <w:p>
            <w:pPr>
              <w:spacing w:before="101"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0" w:line="184" w:lineRule="auto"/>
              <w:ind w:left="259"/>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11"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8" w:line="249" w:lineRule="auto"/>
              <w:ind w:left="238" w:right="133" w:hanging="99"/>
            </w:pPr>
            <w:r>
              <w:rPr>
                <w:spacing w:val="-2"/>
              </w:rPr>
              <w:t>让川村安</w:t>
            </w:r>
            <w:r>
              <w:t xml:space="preserve"> </w:t>
            </w:r>
            <w:r>
              <w:rPr>
                <w:spacing w:val="-1"/>
              </w:rPr>
              <w:t>置小区</w:t>
            </w:r>
          </w:p>
        </w:tc>
        <w:tc>
          <w:tcPr>
            <w:tcW w:w="1060"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1" w:line="187"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96</w:t>
            </w:r>
          </w:p>
        </w:tc>
        <w:tc>
          <w:tcPr>
            <w:tcW w:w="1013" w:type="dxa"/>
            <w:vMerge w:val="restart"/>
            <w:tcBorders>
              <w:bottom w:val="nil"/>
            </w:tcBorders>
            <w:vAlign w:val="top"/>
          </w:tcPr>
          <w:p>
            <w:pPr>
              <w:spacing w:before="277"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094"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21" w:lineRule="auto"/>
              <w:ind w:left="287"/>
            </w:pPr>
            <w:r>
              <w:rPr>
                <w:rFonts w:ascii="Times New Roman" w:hAnsi="Times New Roman" w:eastAsia="Times New Roman" w:cs="Times New Roman"/>
                <w:spacing w:val="-1"/>
              </w:rPr>
              <w:t>4a</w:t>
            </w:r>
            <w:r>
              <w:rPr>
                <w:rFonts w:ascii="Times New Roman" w:hAnsi="Times New Roman" w:eastAsia="Times New Roman" w:cs="Times New Roman"/>
                <w:spacing w:val="4"/>
              </w:rPr>
              <w:t xml:space="preserve">  </w:t>
            </w:r>
            <w:r>
              <w:rPr>
                <w:spacing w:val="-1"/>
              </w:rPr>
              <w:t>类</w:t>
            </w:r>
          </w:p>
        </w:tc>
        <w:tc>
          <w:tcPr>
            <w:tcW w:w="1104" w:type="dxa"/>
            <w:vAlign w:val="top"/>
          </w:tcPr>
          <w:p>
            <w:pPr>
              <w:pStyle w:val="6"/>
              <w:spacing w:before="66" w:line="223" w:lineRule="auto"/>
              <w:ind w:left="345"/>
            </w:pPr>
            <w:r>
              <w:rPr>
                <w:spacing w:val="-2"/>
              </w:rPr>
              <w:t>昼间</w:t>
            </w:r>
          </w:p>
        </w:tc>
        <w:tc>
          <w:tcPr>
            <w:tcW w:w="970" w:type="dxa"/>
            <w:vAlign w:val="top"/>
          </w:tcPr>
          <w:p>
            <w:pPr>
              <w:spacing w:before="104"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8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4"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c>
          <w:tcPr>
            <w:tcW w:w="799" w:type="dxa"/>
            <w:vAlign w:val="top"/>
          </w:tcPr>
          <w:p>
            <w:pPr>
              <w:spacing w:before="10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1003" w:type="dxa"/>
            <w:vAlign w:val="top"/>
          </w:tcPr>
          <w:p>
            <w:pPr>
              <w:spacing w:before="105" w:line="184"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55.5</w:t>
            </w:r>
          </w:p>
        </w:tc>
        <w:tc>
          <w:tcPr>
            <w:tcW w:w="1281" w:type="dxa"/>
            <w:vAlign w:val="top"/>
          </w:tcPr>
          <w:p>
            <w:pPr>
              <w:spacing w:before="102"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2"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59.8</w:t>
            </w:r>
          </w:p>
        </w:tc>
        <w:tc>
          <w:tcPr>
            <w:tcW w:w="888"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59.9</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977" w:type="dxa"/>
            <w:vAlign w:val="top"/>
          </w:tcPr>
          <w:p>
            <w:pPr>
              <w:spacing w:before="98"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62.3</w:t>
            </w:r>
          </w:p>
        </w:tc>
        <w:tc>
          <w:tcPr>
            <w:tcW w:w="890"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62.3</w:t>
            </w:r>
          </w:p>
        </w:tc>
        <w:tc>
          <w:tcPr>
            <w:tcW w:w="1116" w:type="dxa"/>
            <w:vAlign w:val="top"/>
          </w:tcPr>
          <w:p>
            <w:pPr>
              <w:spacing w:before="10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+5.9</w:t>
            </w:r>
          </w:p>
        </w:tc>
        <w:tc>
          <w:tcPr>
            <w:tcW w:w="984" w:type="dxa"/>
            <w:vAlign w:val="top"/>
          </w:tcPr>
          <w:p>
            <w:pPr>
              <w:spacing w:before="98"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5" w:line="221" w:lineRule="auto"/>
              <w:ind w:left="349"/>
            </w:pPr>
            <w:r>
              <w:rPr>
                <w:spacing w:val="-3"/>
              </w:rPr>
              <w:t>夜间</w:t>
            </w:r>
          </w:p>
        </w:tc>
        <w:tc>
          <w:tcPr>
            <w:tcW w:w="970" w:type="dxa"/>
            <w:vAlign w:val="top"/>
          </w:tcPr>
          <w:p>
            <w:pPr>
              <w:spacing w:before="107"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4"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33.6</w:t>
            </w:r>
          </w:p>
        </w:tc>
        <w:tc>
          <w:tcPr>
            <w:tcW w:w="799" w:type="dxa"/>
            <w:vAlign w:val="top"/>
          </w:tcPr>
          <w:p>
            <w:pPr>
              <w:spacing w:before="104"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974" w:type="dxa"/>
            <w:vAlign w:val="top"/>
          </w:tcPr>
          <w:p>
            <w:pPr>
              <w:spacing w:before="104"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49.8</w:t>
            </w:r>
          </w:p>
        </w:tc>
        <w:tc>
          <w:tcPr>
            <w:tcW w:w="1003" w:type="dxa"/>
            <w:vAlign w:val="top"/>
          </w:tcPr>
          <w:p>
            <w:pPr>
              <w:spacing w:before="102"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49.9</w:t>
            </w:r>
          </w:p>
        </w:tc>
        <w:tc>
          <w:tcPr>
            <w:tcW w:w="1281" w:type="dxa"/>
            <w:vAlign w:val="top"/>
          </w:tcPr>
          <w:p>
            <w:pPr>
              <w:spacing w:before="10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2" w:line="187" w:lineRule="auto"/>
              <w:ind w:left="35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888"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52.1</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977" w:type="dxa"/>
            <w:vAlign w:val="top"/>
          </w:tcPr>
          <w:p>
            <w:pPr>
              <w:spacing w:before="98"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53.3</w:t>
            </w:r>
          </w:p>
        </w:tc>
        <w:tc>
          <w:tcPr>
            <w:tcW w:w="890" w:type="dxa"/>
            <w:vAlign w:val="top"/>
          </w:tcPr>
          <w:p>
            <w:pPr>
              <w:spacing w:before="102"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53.3</w:t>
            </w:r>
          </w:p>
        </w:tc>
        <w:tc>
          <w:tcPr>
            <w:tcW w:w="1116" w:type="dxa"/>
            <w:vAlign w:val="top"/>
          </w:tcPr>
          <w:p>
            <w:pPr>
              <w:spacing w:before="10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984" w:type="dxa"/>
            <w:vAlign w:val="top"/>
          </w:tcPr>
          <w:p>
            <w:pPr>
              <w:spacing w:before="98"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80" w:line="184"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6" w:line="223" w:lineRule="auto"/>
              <w:ind w:left="345"/>
            </w:pPr>
            <w:r>
              <w:rPr>
                <w:spacing w:val="-2"/>
              </w:rPr>
              <w:t>昼间</w:t>
            </w:r>
          </w:p>
        </w:tc>
        <w:tc>
          <w:tcPr>
            <w:tcW w:w="970" w:type="dxa"/>
            <w:vAlign w:val="top"/>
          </w:tcPr>
          <w:p>
            <w:pPr>
              <w:spacing w:before="104"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80"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4"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46.8</w:t>
            </w:r>
          </w:p>
        </w:tc>
        <w:tc>
          <w:tcPr>
            <w:tcW w:w="799" w:type="dxa"/>
            <w:vAlign w:val="top"/>
          </w:tcPr>
          <w:p>
            <w:pPr>
              <w:spacing w:before="10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58.6</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57.3</w:t>
            </w:r>
          </w:p>
        </w:tc>
        <w:tc>
          <w:tcPr>
            <w:tcW w:w="1003" w:type="dxa"/>
            <w:vAlign w:val="top"/>
          </w:tcPr>
          <w:p>
            <w:pPr>
              <w:spacing w:before="105" w:line="184"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57.7</w:t>
            </w:r>
          </w:p>
        </w:tc>
        <w:tc>
          <w:tcPr>
            <w:tcW w:w="1281" w:type="dxa"/>
            <w:vAlign w:val="top"/>
          </w:tcPr>
          <w:p>
            <w:pPr>
              <w:spacing w:before="102"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2"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62.1</w:t>
            </w:r>
          </w:p>
        </w:tc>
        <w:tc>
          <w:tcPr>
            <w:tcW w:w="888" w:type="dxa"/>
            <w:vAlign w:val="top"/>
          </w:tcPr>
          <w:p>
            <w:pPr>
              <w:spacing w:before="102"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62.2</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w:t>
            </w:r>
          </w:p>
        </w:tc>
        <w:tc>
          <w:tcPr>
            <w:tcW w:w="977" w:type="dxa"/>
            <w:vAlign w:val="top"/>
          </w:tcPr>
          <w:p>
            <w:pPr>
              <w:spacing w:before="98"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64.3</w:t>
            </w:r>
          </w:p>
        </w:tc>
        <w:tc>
          <w:tcPr>
            <w:tcW w:w="890"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64.4</w:t>
            </w:r>
          </w:p>
        </w:tc>
        <w:tc>
          <w:tcPr>
            <w:tcW w:w="1116" w:type="dxa"/>
            <w:vAlign w:val="top"/>
          </w:tcPr>
          <w:p>
            <w:pPr>
              <w:spacing w:before="10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+5.8</w:t>
            </w:r>
          </w:p>
        </w:tc>
        <w:tc>
          <w:tcPr>
            <w:tcW w:w="984" w:type="dxa"/>
            <w:vAlign w:val="top"/>
          </w:tcPr>
          <w:p>
            <w:pPr>
              <w:spacing w:before="98"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5" w:line="221" w:lineRule="auto"/>
              <w:ind w:left="349"/>
            </w:pPr>
            <w:r>
              <w:rPr>
                <w:spacing w:val="-3"/>
              </w:rPr>
              <w:t>夜间</w:t>
            </w:r>
          </w:p>
        </w:tc>
        <w:tc>
          <w:tcPr>
            <w:tcW w:w="970" w:type="dxa"/>
            <w:vAlign w:val="top"/>
          </w:tcPr>
          <w:p>
            <w:pPr>
              <w:spacing w:before="107"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4"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35.6</w:t>
            </w:r>
          </w:p>
        </w:tc>
        <w:tc>
          <w:tcPr>
            <w:tcW w:w="799" w:type="dxa"/>
            <w:vAlign w:val="top"/>
          </w:tcPr>
          <w:p>
            <w:pPr>
              <w:spacing w:before="10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51.8</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51.9</w:t>
            </w:r>
          </w:p>
        </w:tc>
        <w:tc>
          <w:tcPr>
            <w:tcW w:w="1003" w:type="dxa"/>
            <w:vAlign w:val="top"/>
          </w:tcPr>
          <w:p>
            <w:pPr>
              <w:spacing w:before="102"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52.0</w:t>
            </w:r>
          </w:p>
        </w:tc>
        <w:tc>
          <w:tcPr>
            <w:tcW w:w="1281" w:type="dxa"/>
            <w:vAlign w:val="top"/>
          </w:tcPr>
          <w:p>
            <w:pPr>
              <w:spacing w:before="10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2" w:line="187" w:lineRule="auto"/>
              <w:ind w:left="35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888"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54.1</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977" w:type="dxa"/>
            <w:vAlign w:val="top"/>
          </w:tcPr>
          <w:p>
            <w:pPr>
              <w:spacing w:before="98"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890" w:type="dxa"/>
            <w:vAlign w:val="top"/>
          </w:tcPr>
          <w:p>
            <w:pPr>
              <w:spacing w:before="102"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1116" w:type="dxa"/>
            <w:vAlign w:val="top"/>
          </w:tcPr>
          <w:p>
            <w:pPr>
              <w:spacing w:before="10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984" w:type="dxa"/>
            <w:vAlign w:val="top"/>
          </w:tcPr>
          <w:p>
            <w:pPr>
              <w:spacing w:before="102"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1" w:line="187"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w:t>
            </w:r>
          </w:p>
        </w:tc>
        <w:tc>
          <w:tcPr>
            <w:tcW w:w="1013" w:type="dxa"/>
            <w:vMerge w:val="restart"/>
            <w:tcBorders>
              <w:bottom w:val="nil"/>
            </w:tcBorders>
            <w:vAlign w:val="top"/>
          </w:tcPr>
          <w:p>
            <w:pPr>
              <w:spacing w:before="277"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094"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21" w:lineRule="auto"/>
              <w:ind w:left="337"/>
            </w:pPr>
            <w:r>
              <w:rPr>
                <w:rFonts w:ascii="Times New Roman" w:hAnsi="Times New Roman" w:eastAsia="Times New Roman" w:cs="Times New Roman"/>
                <w:spacing w:val="-2"/>
              </w:rPr>
              <w:t>2</w:t>
            </w:r>
            <w:r>
              <w:rPr>
                <w:rFonts w:ascii="Times New Roman" w:hAnsi="Times New Roman" w:eastAsia="Times New Roman" w:cs="Times New Roman"/>
                <w:spacing w:val="4"/>
              </w:rPr>
              <w:t xml:space="preserve">  </w:t>
            </w:r>
            <w:r>
              <w:rPr>
                <w:spacing w:val="-2"/>
              </w:rPr>
              <w:t>类</w:t>
            </w:r>
          </w:p>
        </w:tc>
        <w:tc>
          <w:tcPr>
            <w:tcW w:w="1104" w:type="dxa"/>
            <w:vAlign w:val="top"/>
          </w:tcPr>
          <w:p>
            <w:pPr>
              <w:pStyle w:val="6"/>
              <w:spacing w:before="66" w:line="223" w:lineRule="auto"/>
              <w:ind w:left="345"/>
            </w:pPr>
            <w:r>
              <w:rPr>
                <w:spacing w:val="-2"/>
              </w:rPr>
              <w:t>昼间</w:t>
            </w:r>
          </w:p>
        </w:tc>
        <w:tc>
          <w:tcPr>
            <w:tcW w:w="970" w:type="dxa"/>
            <w:vAlign w:val="top"/>
          </w:tcPr>
          <w:p>
            <w:pPr>
              <w:spacing w:before="104"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4"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799" w:type="dxa"/>
            <w:vAlign w:val="top"/>
          </w:tcPr>
          <w:p>
            <w:pPr>
              <w:spacing w:before="104"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50.8</w:t>
            </w:r>
          </w:p>
        </w:tc>
        <w:tc>
          <w:tcPr>
            <w:tcW w:w="1003" w:type="dxa"/>
            <w:vAlign w:val="top"/>
          </w:tcPr>
          <w:p>
            <w:pPr>
              <w:spacing w:before="102"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1281" w:type="dxa"/>
            <w:vAlign w:val="top"/>
          </w:tcPr>
          <w:p>
            <w:pPr>
              <w:spacing w:before="10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2"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c>
          <w:tcPr>
            <w:tcW w:w="888"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+6.9</w:t>
            </w:r>
          </w:p>
        </w:tc>
        <w:tc>
          <w:tcPr>
            <w:tcW w:w="977" w:type="dxa"/>
            <w:vAlign w:val="top"/>
          </w:tcPr>
          <w:p>
            <w:pPr>
              <w:spacing w:before="98"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59.1</w:t>
            </w:r>
          </w:p>
        </w:tc>
        <w:tc>
          <w:tcPr>
            <w:tcW w:w="890" w:type="dxa"/>
            <w:vAlign w:val="top"/>
          </w:tcPr>
          <w:p>
            <w:pPr>
              <w:spacing w:before="102"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59.1</w:t>
            </w:r>
          </w:p>
        </w:tc>
        <w:tc>
          <w:tcPr>
            <w:tcW w:w="1116" w:type="dxa"/>
            <w:vAlign w:val="top"/>
          </w:tcPr>
          <w:p>
            <w:pPr>
              <w:spacing w:before="102"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+10.7</w:t>
            </w:r>
          </w:p>
        </w:tc>
        <w:tc>
          <w:tcPr>
            <w:tcW w:w="984" w:type="dxa"/>
            <w:vAlign w:val="top"/>
          </w:tcPr>
          <w:p>
            <w:pPr>
              <w:spacing w:before="98"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5" w:line="221" w:lineRule="auto"/>
              <w:ind w:left="349"/>
            </w:pPr>
            <w:r>
              <w:rPr>
                <w:spacing w:val="-3"/>
              </w:rPr>
              <w:t>夜间</w:t>
            </w:r>
          </w:p>
        </w:tc>
        <w:tc>
          <w:tcPr>
            <w:tcW w:w="970" w:type="dxa"/>
            <w:vAlign w:val="top"/>
          </w:tcPr>
          <w:p>
            <w:pPr>
              <w:spacing w:before="104"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4"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37.8</w:t>
            </w:r>
          </w:p>
        </w:tc>
        <w:tc>
          <w:tcPr>
            <w:tcW w:w="799" w:type="dxa"/>
            <w:vAlign w:val="top"/>
          </w:tcPr>
          <w:p>
            <w:pPr>
              <w:spacing w:before="104"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974" w:type="dxa"/>
            <w:vAlign w:val="top"/>
          </w:tcPr>
          <w:p>
            <w:pPr>
              <w:spacing w:before="104"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45.4</w:t>
            </w:r>
          </w:p>
        </w:tc>
        <w:tc>
          <w:tcPr>
            <w:tcW w:w="1003" w:type="dxa"/>
            <w:vAlign w:val="top"/>
          </w:tcPr>
          <w:p>
            <w:pPr>
              <w:spacing w:before="102"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1281" w:type="dxa"/>
            <w:vAlign w:val="top"/>
          </w:tcPr>
          <w:p>
            <w:pPr>
              <w:spacing w:before="10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2"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888" w:type="dxa"/>
            <w:vAlign w:val="top"/>
          </w:tcPr>
          <w:p>
            <w:pPr>
              <w:spacing w:before="102"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w:t>
            </w:r>
          </w:p>
        </w:tc>
        <w:tc>
          <w:tcPr>
            <w:tcW w:w="977" w:type="dxa"/>
            <w:vAlign w:val="top"/>
          </w:tcPr>
          <w:p>
            <w:pPr>
              <w:spacing w:before="98"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49.1</w:t>
            </w:r>
          </w:p>
        </w:tc>
        <w:tc>
          <w:tcPr>
            <w:tcW w:w="890" w:type="dxa"/>
            <w:vAlign w:val="top"/>
          </w:tcPr>
          <w:p>
            <w:pPr>
              <w:spacing w:before="102"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49.4</w:t>
            </w:r>
          </w:p>
        </w:tc>
        <w:tc>
          <w:tcPr>
            <w:tcW w:w="1116" w:type="dxa"/>
            <w:vAlign w:val="top"/>
          </w:tcPr>
          <w:p>
            <w:pPr>
              <w:spacing w:before="10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w:t>
            </w:r>
          </w:p>
        </w:tc>
        <w:tc>
          <w:tcPr>
            <w:tcW w:w="984" w:type="dxa"/>
            <w:vAlign w:val="top"/>
          </w:tcPr>
          <w:p>
            <w:pPr>
              <w:spacing w:before="98"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80" w:line="184"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6" w:line="223" w:lineRule="auto"/>
              <w:ind w:left="345"/>
            </w:pPr>
            <w:r>
              <w:rPr>
                <w:spacing w:val="-2"/>
              </w:rPr>
              <w:t>昼间</w:t>
            </w:r>
          </w:p>
        </w:tc>
        <w:tc>
          <w:tcPr>
            <w:tcW w:w="970" w:type="dxa"/>
            <w:vAlign w:val="top"/>
          </w:tcPr>
          <w:p>
            <w:pPr>
              <w:spacing w:before="104"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0"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4"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799" w:type="dxa"/>
            <w:vAlign w:val="top"/>
          </w:tcPr>
          <w:p>
            <w:pPr>
              <w:spacing w:before="10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1003" w:type="dxa"/>
            <w:vAlign w:val="top"/>
          </w:tcPr>
          <w:p>
            <w:pPr>
              <w:spacing w:before="102"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53.3</w:t>
            </w:r>
          </w:p>
        </w:tc>
        <w:tc>
          <w:tcPr>
            <w:tcW w:w="1281" w:type="dxa"/>
            <w:vAlign w:val="top"/>
          </w:tcPr>
          <w:p>
            <w:pPr>
              <w:spacing w:before="102"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6"/>
                <w:sz w:val="21"/>
                <w:szCs w:val="21"/>
              </w:rPr>
              <w:t>1.3</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4"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57.7</w:t>
            </w:r>
          </w:p>
        </w:tc>
        <w:tc>
          <w:tcPr>
            <w:tcW w:w="888"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57.8</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w:t>
            </w:r>
          </w:p>
        </w:tc>
        <w:tc>
          <w:tcPr>
            <w:tcW w:w="977" w:type="dxa"/>
            <w:vAlign w:val="top"/>
          </w:tcPr>
          <w:p>
            <w:pPr>
              <w:spacing w:before="98"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60.9</w:t>
            </w:r>
          </w:p>
        </w:tc>
        <w:tc>
          <w:tcPr>
            <w:tcW w:w="890"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61.0</w:t>
            </w:r>
          </w:p>
        </w:tc>
        <w:tc>
          <w:tcPr>
            <w:tcW w:w="1116" w:type="dxa"/>
            <w:vAlign w:val="top"/>
          </w:tcPr>
          <w:p>
            <w:pPr>
              <w:spacing w:before="10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w:t>
            </w:r>
          </w:p>
        </w:tc>
        <w:tc>
          <w:tcPr>
            <w:tcW w:w="984" w:type="dxa"/>
            <w:vAlign w:val="top"/>
          </w:tcPr>
          <w:p>
            <w:pPr>
              <w:spacing w:before="102"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5" w:line="221" w:lineRule="auto"/>
              <w:ind w:left="349"/>
            </w:pPr>
            <w:r>
              <w:rPr>
                <w:spacing w:val="-3"/>
              </w:rPr>
              <w:t>夜间</w:t>
            </w:r>
          </w:p>
        </w:tc>
        <w:tc>
          <w:tcPr>
            <w:tcW w:w="970" w:type="dxa"/>
            <w:vAlign w:val="top"/>
          </w:tcPr>
          <w:p>
            <w:pPr>
              <w:spacing w:before="104"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4"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37.2</w:t>
            </w:r>
          </w:p>
        </w:tc>
        <w:tc>
          <w:tcPr>
            <w:tcW w:w="799" w:type="dxa"/>
            <w:vAlign w:val="top"/>
          </w:tcPr>
          <w:p>
            <w:pPr>
              <w:spacing w:before="104"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45.1</w:t>
            </w:r>
          </w:p>
        </w:tc>
        <w:tc>
          <w:tcPr>
            <w:tcW w:w="974" w:type="dxa"/>
            <w:vAlign w:val="top"/>
          </w:tcPr>
          <w:p>
            <w:pPr>
              <w:spacing w:before="104"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47.4</w:t>
            </w:r>
          </w:p>
        </w:tc>
        <w:tc>
          <w:tcPr>
            <w:tcW w:w="1003" w:type="dxa"/>
            <w:vAlign w:val="top"/>
          </w:tcPr>
          <w:p>
            <w:pPr>
              <w:spacing w:before="102"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1281" w:type="dxa"/>
            <w:vAlign w:val="top"/>
          </w:tcPr>
          <w:p>
            <w:pPr>
              <w:spacing w:before="10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49.9</w:t>
            </w:r>
          </w:p>
        </w:tc>
        <w:tc>
          <w:tcPr>
            <w:tcW w:w="888"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50.1</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+5.0</w:t>
            </w:r>
          </w:p>
        </w:tc>
        <w:tc>
          <w:tcPr>
            <w:tcW w:w="977" w:type="dxa"/>
            <w:vAlign w:val="top"/>
          </w:tcPr>
          <w:p>
            <w:pPr>
              <w:spacing w:before="102"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w:t>
            </w:r>
          </w:p>
        </w:tc>
        <w:tc>
          <w:tcPr>
            <w:tcW w:w="871" w:type="dxa"/>
            <w:vAlign w:val="top"/>
          </w:tcPr>
          <w:p>
            <w:pPr>
              <w:spacing w:before="102"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890" w:type="dxa"/>
            <w:vAlign w:val="top"/>
          </w:tcPr>
          <w:p>
            <w:pPr>
              <w:spacing w:before="102"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51.2</w:t>
            </w:r>
          </w:p>
        </w:tc>
        <w:tc>
          <w:tcPr>
            <w:tcW w:w="1116" w:type="dxa"/>
            <w:vAlign w:val="top"/>
          </w:tcPr>
          <w:p>
            <w:pPr>
              <w:spacing w:before="10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+6.1</w:t>
            </w:r>
          </w:p>
        </w:tc>
        <w:tc>
          <w:tcPr>
            <w:tcW w:w="984" w:type="dxa"/>
            <w:vAlign w:val="top"/>
          </w:tcPr>
          <w:p>
            <w:pPr>
              <w:spacing w:before="102"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264"/>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11" w:type="dxa"/>
            <w:vMerge w:val="restart"/>
            <w:tcBorders>
              <w:bottom w:val="nil"/>
            </w:tcBorders>
            <w:vAlign w:val="top"/>
          </w:tcPr>
          <w:p>
            <w:pPr>
              <w:spacing w:line="259" w:lineRule="auto"/>
              <w:rPr>
                <w:rFonts w:ascii="Arial"/>
                <w:sz w:val="21"/>
              </w:rPr>
            </w:pPr>
          </w:p>
          <w:p>
            <w:pPr>
              <w:spacing w:line="259" w:lineRule="auto"/>
              <w:rPr>
                <w:rFonts w:ascii="Arial"/>
                <w:sz w:val="21"/>
              </w:rPr>
            </w:pPr>
          </w:p>
          <w:p>
            <w:pPr>
              <w:pStyle w:val="6"/>
              <w:spacing w:before="68" w:line="222" w:lineRule="auto"/>
              <w:ind w:left="355"/>
            </w:pPr>
            <w:r>
              <w:rPr>
                <w:spacing w:val="-4"/>
              </w:rPr>
              <w:t>官田</w:t>
            </w:r>
          </w:p>
        </w:tc>
        <w:tc>
          <w:tcPr>
            <w:tcW w:w="1060"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013" w:type="dxa"/>
            <w:vMerge w:val="restart"/>
            <w:tcBorders>
              <w:bottom w:val="nil"/>
            </w:tcBorders>
            <w:vAlign w:val="top"/>
          </w:tcPr>
          <w:p>
            <w:pPr>
              <w:spacing w:before="277"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094" w:type="dxa"/>
            <w:vMerge w:val="restart"/>
            <w:tcBorders>
              <w:bottom w:val="nil"/>
            </w:tcBorders>
            <w:vAlign w:val="top"/>
          </w:tcPr>
          <w:p>
            <w:pPr>
              <w:spacing w:line="259" w:lineRule="auto"/>
              <w:rPr>
                <w:rFonts w:ascii="Arial"/>
                <w:sz w:val="21"/>
              </w:rPr>
            </w:pPr>
          </w:p>
          <w:p>
            <w:pPr>
              <w:spacing w:line="259" w:lineRule="auto"/>
              <w:rPr>
                <w:rFonts w:ascii="Arial"/>
                <w:sz w:val="21"/>
              </w:rPr>
            </w:pPr>
          </w:p>
          <w:p>
            <w:pPr>
              <w:pStyle w:val="6"/>
              <w:spacing w:before="68" w:line="221" w:lineRule="auto"/>
              <w:ind w:left="337"/>
            </w:pPr>
            <w:r>
              <w:rPr>
                <w:rFonts w:ascii="Times New Roman" w:hAnsi="Times New Roman" w:eastAsia="Times New Roman" w:cs="Times New Roman"/>
                <w:spacing w:val="-2"/>
              </w:rPr>
              <w:t>2</w:t>
            </w:r>
            <w:r>
              <w:rPr>
                <w:rFonts w:ascii="Times New Roman" w:hAnsi="Times New Roman" w:eastAsia="Times New Roman" w:cs="Times New Roman"/>
                <w:spacing w:val="4"/>
              </w:rPr>
              <w:t xml:space="preserve">  </w:t>
            </w:r>
            <w:r>
              <w:rPr>
                <w:spacing w:val="-2"/>
              </w:rPr>
              <w:t>类</w:t>
            </w:r>
          </w:p>
        </w:tc>
        <w:tc>
          <w:tcPr>
            <w:tcW w:w="1104" w:type="dxa"/>
            <w:vAlign w:val="top"/>
          </w:tcPr>
          <w:p>
            <w:pPr>
              <w:pStyle w:val="6"/>
              <w:spacing w:before="66" w:line="223" w:lineRule="auto"/>
              <w:ind w:left="345"/>
            </w:pPr>
            <w:r>
              <w:rPr>
                <w:spacing w:val="-2"/>
              </w:rPr>
              <w:t>昼间</w:t>
            </w:r>
          </w:p>
        </w:tc>
        <w:tc>
          <w:tcPr>
            <w:tcW w:w="970" w:type="dxa"/>
            <w:vAlign w:val="top"/>
          </w:tcPr>
          <w:p>
            <w:pPr>
              <w:spacing w:before="104"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4"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799" w:type="dxa"/>
            <w:vAlign w:val="top"/>
          </w:tcPr>
          <w:p>
            <w:pPr>
              <w:spacing w:before="104"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974" w:type="dxa"/>
            <w:vAlign w:val="top"/>
          </w:tcPr>
          <w:p>
            <w:pPr>
              <w:spacing w:before="104"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1003" w:type="dxa"/>
            <w:vAlign w:val="top"/>
          </w:tcPr>
          <w:p>
            <w:pPr>
              <w:spacing w:before="102"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281" w:type="dxa"/>
            <w:vAlign w:val="top"/>
          </w:tcPr>
          <w:p>
            <w:pPr>
              <w:spacing w:before="10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2"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54.7</w:t>
            </w:r>
          </w:p>
        </w:tc>
        <w:tc>
          <w:tcPr>
            <w:tcW w:w="888"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54.8</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w:t>
            </w:r>
          </w:p>
        </w:tc>
        <w:tc>
          <w:tcPr>
            <w:tcW w:w="977" w:type="dxa"/>
            <w:vAlign w:val="top"/>
          </w:tcPr>
          <w:p>
            <w:pPr>
              <w:spacing w:before="98"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58.4</w:t>
            </w:r>
          </w:p>
        </w:tc>
        <w:tc>
          <w:tcPr>
            <w:tcW w:w="890" w:type="dxa"/>
            <w:vAlign w:val="top"/>
          </w:tcPr>
          <w:p>
            <w:pPr>
              <w:spacing w:before="102"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58.4</w:t>
            </w:r>
          </w:p>
        </w:tc>
        <w:tc>
          <w:tcPr>
            <w:tcW w:w="1116" w:type="dxa"/>
            <w:vAlign w:val="top"/>
          </w:tcPr>
          <w:p>
            <w:pPr>
              <w:spacing w:before="102"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+10.0</w:t>
            </w:r>
          </w:p>
        </w:tc>
        <w:tc>
          <w:tcPr>
            <w:tcW w:w="984" w:type="dxa"/>
            <w:vAlign w:val="top"/>
          </w:tcPr>
          <w:p>
            <w:pPr>
              <w:spacing w:before="98"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5" w:line="221" w:lineRule="auto"/>
              <w:ind w:left="349"/>
            </w:pPr>
            <w:r>
              <w:rPr>
                <w:spacing w:val="-3"/>
              </w:rPr>
              <w:t>夜间</w:t>
            </w:r>
          </w:p>
        </w:tc>
        <w:tc>
          <w:tcPr>
            <w:tcW w:w="970" w:type="dxa"/>
            <w:vAlign w:val="top"/>
          </w:tcPr>
          <w:p>
            <w:pPr>
              <w:spacing w:before="104"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4"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37.8</w:t>
            </w:r>
          </w:p>
        </w:tc>
        <w:tc>
          <w:tcPr>
            <w:tcW w:w="799" w:type="dxa"/>
            <w:vAlign w:val="top"/>
          </w:tcPr>
          <w:p>
            <w:pPr>
              <w:spacing w:before="104"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974" w:type="dxa"/>
            <w:vAlign w:val="top"/>
          </w:tcPr>
          <w:p>
            <w:pPr>
              <w:spacing w:before="104"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44.3</w:t>
            </w:r>
          </w:p>
        </w:tc>
        <w:tc>
          <w:tcPr>
            <w:tcW w:w="1003" w:type="dxa"/>
            <w:vAlign w:val="top"/>
          </w:tcPr>
          <w:p>
            <w:pPr>
              <w:spacing w:before="102"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45.2</w:t>
            </w:r>
          </w:p>
        </w:tc>
        <w:tc>
          <w:tcPr>
            <w:tcW w:w="1281" w:type="dxa"/>
            <w:vAlign w:val="top"/>
          </w:tcPr>
          <w:p>
            <w:pPr>
              <w:spacing w:before="10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893" w:type="dxa"/>
            <w:vAlign w:val="top"/>
          </w:tcPr>
          <w:p>
            <w:pPr>
              <w:spacing w:before="9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46.6</w:t>
            </w:r>
          </w:p>
        </w:tc>
        <w:tc>
          <w:tcPr>
            <w:tcW w:w="888" w:type="dxa"/>
            <w:vAlign w:val="top"/>
          </w:tcPr>
          <w:p>
            <w:pPr>
              <w:spacing w:before="102"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47.1</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977" w:type="dxa"/>
            <w:vAlign w:val="top"/>
          </w:tcPr>
          <w:p>
            <w:pPr>
              <w:spacing w:before="98"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890" w:type="dxa"/>
            <w:vAlign w:val="top"/>
          </w:tcPr>
          <w:p>
            <w:pPr>
              <w:spacing w:before="102"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48.2</w:t>
            </w:r>
          </w:p>
        </w:tc>
        <w:tc>
          <w:tcPr>
            <w:tcW w:w="1116" w:type="dxa"/>
            <w:vAlign w:val="top"/>
          </w:tcPr>
          <w:p>
            <w:pPr>
              <w:spacing w:before="10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+5.8</w:t>
            </w:r>
          </w:p>
        </w:tc>
        <w:tc>
          <w:tcPr>
            <w:tcW w:w="984" w:type="dxa"/>
            <w:vAlign w:val="top"/>
          </w:tcPr>
          <w:p>
            <w:pPr>
              <w:spacing w:before="98"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81" w:line="184" w:lineRule="auto"/>
              <w:ind w:left="460"/>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7" w:line="223" w:lineRule="auto"/>
              <w:ind w:left="345"/>
            </w:pPr>
            <w:r>
              <w:rPr>
                <w:spacing w:val="-2"/>
              </w:rPr>
              <w:t>昼间</w:t>
            </w:r>
          </w:p>
        </w:tc>
        <w:tc>
          <w:tcPr>
            <w:tcW w:w="970" w:type="dxa"/>
            <w:vAlign w:val="top"/>
          </w:tcPr>
          <w:p>
            <w:pPr>
              <w:spacing w:before="105"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0"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5"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799" w:type="dxa"/>
            <w:vAlign w:val="top"/>
          </w:tcPr>
          <w:p>
            <w:pPr>
              <w:spacing w:before="105"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974" w:type="dxa"/>
            <w:vAlign w:val="top"/>
          </w:tcPr>
          <w:p>
            <w:pPr>
              <w:spacing w:before="105"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52.2</w:t>
            </w:r>
          </w:p>
        </w:tc>
        <w:tc>
          <w:tcPr>
            <w:tcW w:w="1003" w:type="dxa"/>
            <w:vAlign w:val="top"/>
          </w:tcPr>
          <w:p>
            <w:pPr>
              <w:spacing w:before="102"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52.6</w:t>
            </w:r>
          </w:p>
        </w:tc>
        <w:tc>
          <w:tcPr>
            <w:tcW w:w="1281" w:type="dxa"/>
            <w:vAlign w:val="top"/>
          </w:tcPr>
          <w:p>
            <w:pPr>
              <w:spacing w:before="102"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-2.0</w:t>
            </w:r>
          </w:p>
        </w:tc>
        <w:tc>
          <w:tcPr>
            <w:tcW w:w="893" w:type="dxa"/>
            <w:vAlign w:val="top"/>
          </w:tcPr>
          <w:p>
            <w:pPr>
              <w:spacing w:before="99" w:line="232"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2"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57.3</w:t>
            </w:r>
          </w:p>
        </w:tc>
        <w:tc>
          <w:tcPr>
            <w:tcW w:w="888"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57.4</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977" w:type="dxa"/>
            <w:vAlign w:val="top"/>
          </w:tcPr>
          <w:p>
            <w:pPr>
              <w:spacing w:before="99" w:line="232"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60.4</w:t>
            </w:r>
          </w:p>
        </w:tc>
        <w:tc>
          <w:tcPr>
            <w:tcW w:w="890"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60.5</w:t>
            </w:r>
          </w:p>
        </w:tc>
        <w:tc>
          <w:tcPr>
            <w:tcW w:w="1116" w:type="dxa"/>
            <w:vAlign w:val="top"/>
          </w:tcPr>
          <w:p>
            <w:pPr>
              <w:spacing w:before="10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+5.9</w:t>
            </w:r>
          </w:p>
        </w:tc>
        <w:tc>
          <w:tcPr>
            <w:tcW w:w="984" w:type="dxa"/>
            <w:vAlign w:val="top"/>
          </w:tcPr>
          <w:p>
            <w:pPr>
              <w:spacing w:before="102"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6" w:line="221" w:lineRule="auto"/>
              <w:ind w:left="349"/>
            </w:pPr>
            <w:r>
              <w:rPr>
                <w:spacing w:val="-3"/>
              </w:rPr>
              <w:t>夜间</w:t>
            </w:r>
          </w:p>
        </w:tc>
        <w:tc>
          <w:tcPr>
            <w:tcW w:w="970" w:type="dxa"/>
            <w:vAlign w:val="top"/>
          </w:tcPr>
          <w:p>
            <w:pPr>
              <w:spacing w:before="105"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5"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37.2</w:t>
            </w:r>
          </w:p>
        </w:tc>
        <w:tc>
          <w:tcPr>
            <w:tcW w:w="799" w:type="dxa"/>
            <w:vAlign w:val="top"/>
          </w:tcPr>
          <w:p>
            <w:pPr>
              <w:spacing w:before="105"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45.1</w:t>
            </w:r>
          </w:p>
        </w:tc>
        <w:tc>
          <w:tcPr>
            <w:tcW w:w="974" w:type="dxa"/>
            <w:vAlign w:val="top"/>
          </w:tcPr>
          <w:p>
            <w:pPr>
              <w:spacing w:before="105"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46.8</w:t>
            </w:r>
          </w:p>
        </w:tc>
        <w:tc>
          <w:tcPr>
            <w:tcW w:w="1003" w:type="dxa"/>
            <w:vAlign w:val="top"/>
          </w:tcPr>
          <w:p>
            <w:pPr>
              <w:spacing w:before="102"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47.3</w:t>
            </w:r>
          </w:p>
        </w:tc>
        <w:tc>
          <w:tcPr>
            <w:tcW w:w="1281" w:type="dxa"/>
            <w:vAlign w:val="top"/>
          </w:tcPr>
          <w:p>
            <w:pPr>
              <w:spacing w:before="10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893" w:type="dxa"/>
            <w:vAlign w:val="top"/>
          </w:tcPr>
          <w:p>
            <w:pPr>
              <w:spacing w:before="99" w:line="232"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2"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c>
          <w:tcPr>
            <w:tcW w:w="888" w:type="dxa"/>
            <w:vAlign w:val="top"/>
          </w:tcPr>
          <w:p>
            <w:pPr>
              <w:spacing w:before="102"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49.3</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977" w:type="dxa"/>
            <w:vAlign w:val="top"/>
          </w:tcPr>
          <w:p>
            <w:pPr>
              <w:spacing w:before="99" w:line="232"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50.2</w:t>
            </w:r>
          </w:p>
        </w:tc>
        <w:tc>
          <w:tcPr>
            <w:tcW w:w="890" w:type="dxa"/>
            <w:vAlign w:val="top"/>
          </w:tcPr>
          <w:p>
            <w:pPr>
              <w:spacing w:before="102"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50.4</w:t>
            </w:r>
          </w:p>
        </w:tc>
        <w:tc>
          <w:tcPr>
            <w:tcW w:w="1116" w:type="dxa"/>
            <w:vAlign w:val="top"/>
          </w:tcPr>
          <w:p>
            <w:pPr>
              <w:spacing w:before="10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w:t>
            </w:r>
          </w:p>
        </w:tc>
        <w:tc>
          <w:tcPr>
            <w:tcW w:w="984" w:type="dxa"/>
            <w:vAlign w:val="top"/>
          </w:tcPr>
          <w:p>
            <w:pPr>
              <w:spacing w:before="102"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0"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11" w:type="dxa"/>
            <w:vMerge w:val="restart"/>
            <w:tcBorders>
              <w:bottom w:val="nil"/>
            </w:tcBorders>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8" w:line="220" w:lineRule="auto"/>
              <w:ind w:left="241"/>
            </w:pPr>
            <w:r>
              <w:rPr>
                <w:spacing w:val="-2"/>
              </w:rPr>
              <w:t>双田村</w:t>
            </w:r>
          </w:p>
        </w:tc>
        <w:tc>
          <w:tcPr>
            <w:tcW w:w="1060"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before="60" w:line="187" w:lineRule="auto"/>
              <w:ind w:left="44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013" w:type="dxa"/>
            <w:vMerge w:val="restart"/>
            <w:tcBorders>
              <w:bottom w:val="nil"/>
            </w:tcBorders>
            <w:vAlign w:val="top"/>
          </w:tcPr>
          <w:p>
            <w:pPr>
              <w:spacing w:before="278" w:line="187" w:lineRule="auto"/>
              <w:ind w:left="3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094" w:type="dxa"/>
            <w:vMerge w:val="restart"/>
            <w:tcBorders>
              <w:bottom w:val="nil"/>
            </w:tcBorders>
            <w:vAlign w:val="top"/>
          </w:tcPr>
          <w:p>
            <w:pPr>
              <w:spacing w:line="259" w:lineRule="auto"/>
              <w:rPr>
                <w:rFonts w:ascii="Arial"/>
                <w:sz w:val="21"/>
              </w:rPr>
            </w:pPr>
          </w:p>
          <w:p>
            <w:pPr>
              <w:spacing w:line="259" w:lineRule="auto"/>
              <w:rPr>
                <w:rFonts w:ascii="Arial"/>
                <w:sz w:val="21"/>
              </w:rPr>
            </w:pPr>
          </w:p>
          <w:p>
            <w:pPr>
              <w:pStyle w:val="6"/>
              <w:spacing w:before="68" w:line="221" w:lineRule="auto"/>
              <w:ind w:left="31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1104" w:type="dxa"/>
            <w:vAlign w:val="top"/>
          </w:tcPr>
          <w:p>
            <w:pPr>
              <w:pStyle w:val="6"/>
              <w:spacing w:before="67" w:line="223" w:lineRule="auto"/>
              <w:ind w:left="345"/>
            </w:pPr>
            <w:r>
              <w:rPr>
                <w:spacing w:val="-2"/>
              </w:rPr>
              <w:t>昼间</w:t>
            </w:r>
          </w:p>
        </w:tc>
        <w:tc>
          <w:tcPr>
            <w:tcW w:w="970" w:type="dxa"/>
            <w:vAlign w:val="top"/>
          </w:tcPr>
          <w:p>
            <w:pPr>
              <w:spacing w:before="105"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8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2"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38.4</w:t>
            </w:r>
          </w:p>
        </w:tc>
        <w:tc>
          <w:tcPr>
            <w:tcW w:w="799" w:type="dxa"/>
            <w:vAlign w:val="top"/>
          </w:tcPr>
          <w:p>
            <w:pPr>
              <w:spacing w:before="102"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974" w:type="dxa"/>
            <w:vAlign w:val="top"/>
          </w:tcPr>
          <w:p>
            <w:pPr>
              <w:spacing w:before="117"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62.8</w:t>
            </w:r>
          </w:p>
        </w:tc>
        <w:tc>
          <w:tcPr>
            <w:tcW w:w="1003" w:type="dxa"/>
            <w:vAlign w:val="top"/>
          </w:tcPr>
          <w:p>
            <w:pPr>
              <w:spacing w:before="10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62.8</w:t>
            </w:r>
          </w:p>
        </w:tc>
        <w:tc>
          <w:tcPr>
            <w:tcW w:w="1281" w:type="dxa"/>
            <w:vAlign w:val="top"/>
          </w:tcPr>
          <w:p>
            <w:pPr>
              <w:spacing w:before="10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893" w:type="dxa"/>
            <w:vAlign w:val="top"/>
          </w:tcPr>
          <w:p>
            <w:pPr>
              <w:spacing w:before="99" w:line="232"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17"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888" w:type="dxa"/>
            <w:vAlign w:val="top"/>
          </w:tcPr>
          <w:p>
            <w:pPr>
              <w:spacing w:before="102"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w:t>
            </w:r>
          </w:p>
        </w:tc>
        <w:tc>
          <w:tcPr>
            <w:tcW w:w="977" w:type="dxa"/>
            <w:vAlign w:val="top"/>
          </w:tcPr>
          <w:p>
            <w:pPr>
              <w:spacing w:before="99" w:line="232"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67.4</w:t>
            </w:r>
          </w:p>
        </w:tc>
        <w:tc>
          <w:tcPr>
            <w:tcW w:w="890"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67.4</w:t>
            </w:r>
          </w:p>
        </w:tc>
        <w:tc>
          <w:tcPr>
            <w:tcW w:w="1116" w:type="dxa"/>
            <w:vAlign w:val="top"/>
          </w:tcPr>
          <w:p>
            <w:pPr>
              <w:spacing w:before="10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w:t>
            </w:r>
          </w:p>
        </w:tc>
        <w:tc>
          <w:tcPr>
            <w:tcW w:w="984" w:type="dxa"/>
            <w:vAlign w:val="top"/>
          </w:tcPr>
          <w:p>
            <w:pPr>
              <w:spacing w:before="99" w:line="232"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6" w:line="221" w:lineRule="auto"/>
              <w:ind w:left="349"/>
            </w:pPr>
            <w:r>
              <w:rPr>
                <w:spacing w:val="-3"/>
              </w:rPr>
              <w:t>夜间</w:t>
            </w:r>
          </w:p>
        </w:tc>
        <w:tc>
          <w:tcPr>
            <w:tcW w:w="970" w:type="dxa"/>
            <w:vAlign w:val="top"/>
          </w:tcPr>
          <w:p>
            <w:pPr>
              <w:spacing w:before="108"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2"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w:t>
            </w:r>
          </w:p>
        </w:tc>
        <w:tc>
          <w:tcPr>
            <w:tcW w:w="799" w:type="dxa"/>
            <w:vAlign w:val="top"/>
          </w:tcPr>
          <w:p>
            <w:pPr>
              <w:spacing w:before="102"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974" w:type="dxa"/>
            <w:vAlign w:val="top"/>
          </w:tcPr>
          <w:p>
            <w:pPr>
              <w:spacing w:before="117"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57.4</w:t>
            </w:r>
          </w:p>
        </w:tc>
        <w:tc>
          <w:tcPr>
            <w:tcW w:w="1003" w:type="dxa"/>
            <w:vAlign w:val="top"/>
          </w:tcPr>
          <w:p>
            <w:pPr>
              <w:spacing w:before="102"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57.4</w:t>
            </w:r>
          </w:p>
        </w:tc>
        <w:tc>
          <w:tcPr>
            <w:tcW w:w="1281" w:type="dxa"/>
            <w:vAlign w:val="top"/>
          </w:tcPr>
          <w:p>
            <w:pPr>
              <w:spacing w:before="10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93" w:type="dxa"/>
            <w:vAlign w:val="top"/>
          </w:tcPr>
          <w:p>
            <w:pPr>
              <w:spacing w:before="102"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902" w:type="dxa"/>
            <w:vAlign w:val="top"/>
          </w:tcPr>
          <w:p>
            <w:pPr>
              <w:spacing w:before="117"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60.4</w:t>
            </w:r>
          </w:p>
        </w:tc>
        <w:tc>
          <w:tcPr>
            <w:tcW w:w="888" w:type="dxa"/>
            <w:vAlign w:val="top"/>
          </w:tcPr>
          <w:p>
            <w:pPr>
              <w:spacing w:before="102"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60.4</w:t>
            </w:r>
          </w:p>
        </w:tc>
        <w:tc>
          <w:tcPr>
            <w:tcW w:w="1109" w:type="dxa"/>
            <w:vAlign w:val="top"/>
          </w:tcPr>
          <w:p>
            <w:pPr>
              <w:spacing w:before="105" w:line="184"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w:t>
            </w:r>
          </w:p>
        </w:tc>
        <w:tc>
          <w:tcPr>
            <w:tcW w:w="977" w:type="dxa"/>
            <w:vAlign w:val="top"/>
          </w:tcPr>
          <w:p>
            <w:pPr>
              <w:spacing w:before="102"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+5.4</w:t>
            </w:r>
          </w:p>
        </w:tc>
        <w:tc>
          <w:tcPr>
            <w:tcW w:w="871" w:type="dxa"/>
            <w:vAlign w:val="top"/>
          </w:tcPr>
          <w:p>
            <w:pPr>
              <w:spacing w:before="102"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61.4</w:t>
            </w:r>
          </w:p>
        </w:tc>
        <w:tc>
          <w:tcPr>
            <w:tcW w:w="890"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61.4</w:t>
            </w:r>
          </w:p>
        </w:tc>
        <w:tc>
          <w:tcPr>
            <w:tcW w:w="1116" w:type="dxa"/>
            <w:vAlign w:val="top"/>
          </w:tcPr>
          <w:p>
            <w:pPr>
              <w:spacing w:before="10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+8.5</w:t>
            </w:r>
          </w:p>
        </w:tc>
        <w:tc>
          <w:tcPr>
            <w:tcW w:w="984" w:type="dxa"/>
            <w:vAlign w:val="top"/>
          </w:tcPr>
          <w:p>
            <w:pPr>
              <w:spacing w:before="102"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78"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7" w:line="223" w:lineRule="auto"/>
              <w:ind w:left="345"/>
            </w:pPr>
            <w:r>
              <w:rPr>
                <w:spacing w:val="-2"/>
              </w:rPr>
              <w:t>昼间</w:t>
            </w:r>
          </w:p>
        </w:tc>
        <w:tc>
          <w:tcPr>
            <w:tcW w:w="970" w:type="dxa"/>
            <w:vAlign w:val="top"/>
          </w:tcPr>
          <w:p>
            <w:pPr>
              <w:spacing w:before="105"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80"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2"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38.2</w:t>
            </w:r>
          </w:p>
        </w:tc>
        <w:tc>
          <w:tcPr>
            <w:tcW w:w="799" w:type="dxa"/>
            <w:vAlign w:val="top"/>
          </w:tcPr>
          <w:p>
            <w:pPr>
              <w:spacing w:before="102"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974" w:type="dxa"/>
            <w:vAlign w:val="top"/>
          </w:tcPr>
          <w:p>
            <w:pPr>
              <w:spacing w:before="117"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66.3</w:t>
            </w:r>
          </w:p>
        </w:tc>
        <w:tc>
          <w:tcPr>
            <w:tcW w:w="1003" w:type="dxa"/>
            <w:vAlign w:val="top"/>
          </w:tcPr>
          <w:p>
            <w:pPr>
              <w:spacing w:before="10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66.3</w:t>
            </w:r>
          </w:p>
        </w:tc>
        <w:tc>
          <w:tcPr>
            <w:tcW w:w="1281" w:type="dxa"/>
            <w:vAlign w:val="top"/>
          </w:tcPr>
          <w:p>
            <w:pPr>
              <w:spacing w:before="10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893" w:type="dxa"/>
            <w:vAlign w:val="top"/>
          </w:tcPr>
          <w:p>
            <w:pPr>
              <w:spacing w:before="99" w:line="232"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17"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69.4</w:t>
            </w:r>
          </w:p>
        </w:tc>
        <w:tc>
          <w:tcPr>
            <w:tcW w:w="888" w:type="dxa"/>
            <w:vAlign w:val="top"/>
          </w:tcPr>
          <w:p>
            <w:pPr>
              <w:spacing w:before="102"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69.4</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w:t>
            </w:r>
          </w:p>
        </w:tc>
        <w:tc>
          <w:tcPr>
            <w:tcW w:w="977" w:type="dxa"/>
            <w:vAlign w:val="top"/>
          </w:tcPr>
          <w:p>
            <w:pPr>
              <w:spacing w:before="99" w:line="232"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71.4</w:t>
            </w:r>
          </w:p>
        </w:tc>
        <w:tc>
          <w:tcPr>
            <w:tcW w:w="890" w:type="dxa"/>
            <w:vAlign w:val="top"/>
          </w:tcPr>
          <w:p>
            <w:pPr>
              <w:spacing w:before="102" w:line="187" w:lineRule="auto"/>
              <w:ind w:left="2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71.4</w:t>
            </w:r>
          </w:p>
        </w:tc>
        <w:tc>
          <w:tcPr>
            <w:tcW w:w="1116" w:type="dxa"/>
            <w:vAlign w:val="top"/>
          </w:tcPr>
          <w:p>
            <w:pPr>
              <w:spacing w:before="102"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+9.8</w:t>
            </w:r>
          </w:p>
        </w:tc>
        <w:tc>
          <w:tcPr>
            <w:tcW w:w="984" w:type="dxa"/>
            <w:vAlign w:val="top"/>
          </w:tcPr>
          <w:p>
            <w:pPr>
              <w:spacing w:before="102"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6" w:line="221" w:lineRule="auto"/>
              <w:ind w:left="349"/>
            </w:pPr>
            <w:r>
              <w:rPr>
                <w:spacing w:val="-3"/>
              </w:rPr>
              <w:t>夜间</w:t>
            </w:r>
          </w:p>
        </w:tc>
        <w:tc>
          <w:tcPr>
            <w:tcW w:w="970" w:type="dxa"/>
            <w:vAlign w:val="top"/>
          </w:tcPr>
          <w:p>
            <w:pPr>
              <w:spacing w:before="108"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2"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36.6</w:t>
            </w:r>
          </w:p>
        </w:tc>
        <w:tc>
          <w:tcPr>
            <w:tcW w:w="799" w:type="dxa"/>
            <w:vAlign w:val="top"/>
          </w:tcPr>
          <w:p>
            <w:pPr>
              <w:spacing w:before="102"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974" w:type="dxa"/>
            <w:vAlign w:val="top"/>
          </w:tcPr>
          <w:p>
            <w:pPr>
              <w:spacing w:before="117"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61.0</w:t>
            </w:r>
          </w:p>
        </w:tc>
        <w:tc>
          <w:tcPr>
            <w:tcW w:w="1003" w:type="dxa"/>
            <w:vAlign w:val="top"/>
          </w:tcPr>
          <w:p>
            <w:pPr>
              <w:spacing w:before="102"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61.0</w:t>
            </w:r>
          </w:p>
        </w:tc>
        <w:tc>
          <w:tcPr>
            <w:tcW w:w="1281" w:type="dxa"/>
            <w:vAlign w:val="top"/>
          </w:tcPr>
          <w:p>
            <w:pPr>
              <w:spacing w:before="10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w:t>
            </w:r>
          </w:p>
        </w:tc>
        <w:tc>
          <w:tcPr>
            <w:tcW w:w="893" w:type="dxa"/>
            <w:vAlign w:val="top"/>
          </w:tcPr>
          <w:p>
            <w:pPr>
              <w:spacing w:before="102"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w:t>
            </w:r>
          </w:p>
        </w:tc>
        <w:tc>
          <w:tcPr>
            <w:tcW w:w="902" w:type="dxa"/>
            <w:vAlign w:val="top"/>
          </w:tcPr>
          <w:p>
            <w:pPr>
              <w:spacing w:before="117"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63.8</w:t>
            </w:r>
          </w:p>
        </w:tc>
        <w:tc>
          <w:tcPr>
            <w:tcW w:w="888" w:type="dxa"/>
            <w:vAlign w:val="top"/>
          </w:tcPr>
          <w:p>
            <w:pPr>
              <w:spacing w:before="102"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63.8</w:t>
            </w:r>
          </w:p>
        </w:tc>
        <w:tc>
          <w:tcPr>
            <w:tcW w:w="1109" w:type="dxa"/>
            <w:vAlign w:val="top"/>
          </w:tcPr>
          <w:p>
            <w:pPr>
              <w:spacing w:before="102"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+10.6</w:t>
            </w:r>
          </w:p>
        </w:tc>
        <w:tc>
          <w:tcPr>
            <w:tcW w:w="977" w:type="dxa"/>
            <w:vAlign w:val="top"/>
          </w:tcPr>
          <w:p>
            <w:pPr>
              <w:spacing w:before="102"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+8.8</w:t>
            </w:r>
          </w:p>
        </w:tc>
        <w:tc>
          <w:tcPr>
            <w:tcW w:w="871" w:type="dxa"/>
            <w:vAlign w:val="top"/>
          </w:tcPr>
          <w:p>
            <w:pPr>
              <w:spacing w:before="102"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64.9</w:t>
            </w:r>
          </w:p>
        </w:tc>
        <w:tc>
          <w:tcPr>
            <w:tcW w:w="890"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64.9</w:t>
            </w:r>
          </w:p>
        </w:tc>
        <w:tc>
          <w:tcPr>
            <w:tcW w:w="1116" w:type="dxa"/>
            <w:vAlign w:val="top"/>
          </w:tcPr>
          <w:p>
            <w:pPr>
              <w:spacing w:before="102"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+11.7</w:t>
            </w:r>
          </w:p>
        </w:tc>
        <w:tc>
          <w:tcPr>
            <w:tcW w:w="984" w:type="dxa"/>
            <w:vAlign w:val="top"/>
          </w:tcPr>
          <w:p>
            <w:pPr>
              <w:spacing w:before="102"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before="60" w:line="187" w:lineRule="auto"/>
              <w:ind w:left="43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81</w:t>
            </w:r>
          </w:p>
        </w:tc>
        <w:tc>
          <w:tcPr>
            <w:tcW w:w="1013" w:type="dxa"/>
            <w:vMerge w:val="restart"/>
            <w:tcBorders>
              <w:bottom w:val="nil"/>
            </w:tcBorders>
            <w:vAlign w:val="top"/>
          </w:tcPr>
          <w:p>
            <w:pPr>
              <w:spacing w:before="266" w:line="187"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-24.2</w:t>
            </w:r>
          </w:p>
        </w:tc>
        <w:tc>
          <w:tcPr>
            <w:tcW w:w="1094" w:type="dxa"/>
            <w:vMerge w:val="restart"/>
            <w:tcBorders>
              <w:bottom w:val="nil"/>
            </w:tcBorders>
            <w:vAlign w:val="top"/>
          </w:tcPr>
          <w:p>
            <w:pPr>
              <w:spacing w:line="253" w:lineRule="auto"/>
              <w:rPr>
                <w:rFonts w:ascii="Arial"/>
                <w:sz w:val="21"/>
              </w:rPr>
            </w:pPr>
          </w:p>
          <w:p>
            <w:pPr>
              <w:spacing w:line="253" w:lineRule="auto"/>
              <w:rPr>
                <w:rFonts w:ascii="Arial"/>
                <w:sz w:val="21"/>
              </w:rPr>
            </w:pPr>
          </w:p>
          <w:p>
            <w:pPr>
              <w:pStyle w:val="6"/>
              <w:spacing w:before="68"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67" w:line="223" w:lineRule="auto"/>
              <w:ind w:left="345"/>
            </w:pPr>
            <w:r>
              <w:rPr>
                <w:spacing w:val="-2"/>
              </w:rPr>
              <w:t>昼间</w:t>
            </w:r>
          </w:p>
        </w:tc>
        <w:tc>
          <w:tcPr>
            <w:tcW w:w="970" w:type="dxa"/>
            <w:vAlign w:val="top"/>
          </w:tcPr>
          <w:p>
            <w:pPr>
              <w:spacing w:before="105"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68"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5"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799" w:type="dxa"/>
            <w:vAlign w:val="top"/>
          </w:tcPr>
          <w:p>
            <w:pPr>
              <w:spacing w:before="105"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974" w:type="dxa"/>
            <w:vAlign w:val="top"/>
          </w:tcPr>
          <w:p>
            <w:pPr>
              <w:spacing w:before="119"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48.8</w:t>
            </w:r>
          </w:p>
        </w:tc>
        <w:tc>
          <w:tcPr>
            <w:tcW w:w="1003" w:type="dxa"/>
            <w:vAlign w:val="top"/>
          </w:tcPr>
          <w:p>
            <w:pPr>
              <w:spacing w:before="102"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1281" w:type="dxa"/>
            <w:vAlign w:val="top"/>
          </w:tcPr>
          <w:p>
            <w:pPr>
              <w:spacing w:before="10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w:t>
            </w:r>
          </w:p>
        </w:tc>
        <w:tc>
          <w:tcPr>
            <w:tcW w:w="893" w:type="dxa"/>
            <w:vAlign w:val="top"/>
          </w:tcPr>
          <w:p>
            <w:pPr>
              <w:spacing w:before="99" w:line="232"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17"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51.8</w:t>
            </w:r>
          </w:p>
        </w:tc>
        <w:tc>
          <w:tcPr>
            <w:tcW w:w="888" w:type="dxa"/>
            <w:vAlign w:val="top"/>
          </w:tcPr>
          <w:p>
            <w:pPr>
              <w:spacing w:before="102"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53.4</w:t>
            </w:r>
          </w:p>
        </w:tc>
        <w:tc>
          <w:tcPr>
            <w:tcW w:w="1109" w:type="dxa"/>
            <w:vAlign w:val="top"/>
          </w:tcPr>
          <w:p>
            <w:pPr>
              <w:spacing w:before="10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+5.1</w:t>
            </w:r>
          </w:p>
        </w:tc>
        <w:tc>
          <w:tcPr>
            <w:tcW w:w="977" w:type="dxa"/>
            <w:vAlign w:val="top"/>
          </w:tcPr>
          <w:p>
            <w:pPr>
              <w:spacing w:before="99" w:line="232"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2"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58.6</w:t>
            </w:r>
          </w:p>
        </w:tc>
        <w:tc>
          <w:tcPr>
            <w:tcW w:w="890" w:type="dxa"/>
            <w:vAlign w:val="top"/>
          </w:tcPr>
          <w:p>
            <w:pPr>
              <w:spacing w:before="102"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1116" w:type="dxa"/>
            <w:vAlign w:val="top"/>
          </w:tcPr>
          <w:p>
            <w:pPr>
              <w:spacing w:before="102"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+10.7</w:t>
            </w:r>
          </w:p>
        </w:tc>
        <w:tc>
          <w:tcPr>
            <w:tcW w:w="984" w:type="dxa"/>
            <w:vAlign w:val="top"/>
          </w:tcPr>
          <w:p>
            <w:pPr>
              <w:spacing w:before="99" w:line="232"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54" w:line="221" w:lineRule="auto"/>
              <w:ind w:left="349"/>
            </w:pPr>
            <w:r>
              <w:rPr>
                <w:spacing w:val="-3"/>
              </w:rPr>
              <w:t>夜间</w:t>
            </w:r>
          </w:p>
        </w:tc>
        <w:tc>
          <w:tcPr>
            <w:tcW w:w="970" w:type="dxa"/>
            <w:vAlign w:val="top"/>
          </w:tcPr>
          <w:p>
            <w:pPr>
              <w:spacing w:before="93"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93"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799" w:type="dxa"/>
            <w:vAlign w:val="top"/>
          </w:tcPr>
          <w:p>
            <w:pPr>
              <w:spacing w:before="93"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974" w:type="dxa"/>
            <w:vAlign w:val="top"/>
          </w:tcPr>
          <w:p>
            <w:pPr>
              <w:spacing w:before="93"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43.4</w:t>
            </w:r>
          </w:p>
        </w:tc>
        <w:tc>
          <w:tcPr>
            <w:tcW w:w="1003" w:type="dxa"/>
            <w:vAlign w:val="top"/>
          </w:tcPr>
          <w:p>
            <w:pPr>
              <w:spacing w:before="90"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1281" w:type="dxa"/>
            <w:vAlign w:val="top"/>
          </w:tcPr>
          <w:p>
            <w:pPr>
              <w:spacing w:before="90"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+5.2</w:t>
            </w:r>
          </w:p>
        </w:tc>
        <w:tc>
          <w:tcPr>
            <w:tcW w:w="893" w:type="dxa"/>
            <w:vAlign w:val="top"/>
          </w:tcPr>
          <w:p>
            <w:pPr>
              <w:spacing w:before="87" w:line="217"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90"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46.3</w:t>
            </w:r>
          </w:p>
        </w:tc>
        <w:tc>
          <w:tcPr>
            <w:tcW w:w="888" w:type="dxa"/>
            <w:vAlign w:val="top"/>
          </w:tcPr>
          <w:p>
            <w:pPr>
              <w:spacing w:before="90"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47.2</w:t>
            </w:r>
          </w:p>
        </w:tc>
        <w:tc>
          <w:tcPr>
            <w:tcW w:w="1109" w:type="dxa"/>
            <w:vAlign w:val="top"/>
          </w:tcPr>
          <w:p>
            <w:pPr>
              <w:spacing w:before="90"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+7.4</w:t>
            </w:r>
          </w:p>
        </w:tc>
        <w:tc>
          <w:tcPr>
            <w:tcW w:w="977" w:type="dxa"/>
            <w:vAlign w:val="top"/>
          </w:tcPr>
          <w:p>
            <w:pPr>
              <w:spacing w:before="87" w:line="217"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90"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47.3</w:t>
            </w:r>
          </w:p>
        </w:tc>
        <w:tc>
          <w:tcPr>
            <w:tcW w:w="890" w:type="dxa"/>
            <w:vAlign w:val="top"/>
          </w:tcPr>
          <w:p>
            <w:pPr>
              <w:spacing w:before="90"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48.0</w:t>
            </w:r>
          </w:p>
        </w:tc>
        <w:tc>
          <w:tcPr>
            <w:tcW w:w="1116" w:type="dxa"/>
            <w:vAlign w:val="top"/>
          </w:tcPr>
          <w:p>
            <w:pPr>
              <w:spacing w:before="90"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+8.2</w:t>
            </w:r>
          </w:p>
        </w:tc>
        <w:tc>
          <w:tcPr>
            <w:tcW w:w="984" w:type="dxa"/>
            <w:vAlign w:val="top"/>
          </w:tcPr>
          <w:p>
            <w:pPr>
              <w:spacing w:before="87" w:line="217"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81" w:line="187"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-20.7</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3"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799" w:type="dxa"/>
            <w:vAlign w:val="top"/>
          </w:tcPr>
          <w:p>
            <w:pPr>
              <w:spacing w:before="108"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974" w:type="dxa"/>
            <w:vAlign w:val="top"/>
          </w:tcPr>
          <w:p>
            <w:pPr>
              <w:spacing w:before="120"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49.3</w:t>
            </w:r>
          </w:p>
        </w:tc>
        <w:tc>
          <w:tcPr>
            <w:tcW w:w="1003"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50.8</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17"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888"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1109" w:type="dxa"/>
            <w:vAlign w:val="top"/>
          </w:tcPr>
          <w:p>
            <w:pPr>
              <w:spacing w:before="108" w:line="184"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+7.7</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59.2</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59.4</w:t>
            </w:r>
          </w:p>
        </w:tc>
        <w:tc>
          <w:tcPr>
            <w:tcW w:w="1116" w:type="dxa"/>
            <w:vAlign w:val="top"/>
          </w:tcPr>
          <w:p>
            <w:pPr>
              <w:spacing w:before="105"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+13.9</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08"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w:t>
            </w:r>
          </w:p>
        </w:tc>
        <w:tc>
          <w:tcPr>
            <w:tcW w:w="799" w:type="dxa"/>
            <w:vAlign w:val="top"/>
          </w:tcPr>
          <w:p>
            <w:pPr>
              <w:spacing w:before="108"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w:t>
            </w:r>
          </w:p>
        </w:tc>
        <w:tc>
          <w:tcPr>
            <w:tcW w:w="974" w:type="dxa"/>
            <w:vAlign w:val="top"/>
          </w:tcPr>
          <w:p>
            <w:pPr>
              <w:spacing w:before="120"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43.9</w:t>
            </w:r>
          </w:p>
        </w:tc>
        <w:tc>
          <w:tcPr>
            <w:tcW w:w="1003" w:type="dxa"/>
            <w:vAlign w:val="top"/>
          </w:tcPr>
          <w:p>
            <w:pPr>
              <w:spacing w:before="105"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45.7</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17"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46.9</w:t>
            </w:r>
          </w:p>
        </w:tc>
        <w:tc>
          <w:tcPr>
            <w:tcW w:w="888"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47.9</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47.9</w:t>
            </w:r>
          </w:p>
        </w:tc>
        <w:tc>
          <w:tcPr>
            <w:tcW w:w="890" w:type="dxa"/>
            <w:vAlign w:val="top"/>
          </w:tcPr>
          <w:p>
            <w:pPr>
              <w:spacing w:before="105"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48.7</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before="60"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111" w:type="dxa"/>
            <w:vMerge w:val="restart"/>
            <w:tcBorders>
              <w:bottom w:val="nil"/>
            </w:tcBorders>
            <w:vAlign w:val="top"/>
          </w:tcPr>
          <w:p>
            <w:pPr>
              <w:spacing w:line="261" w:lineRule="auto"/>
              <w:rPr>
                <w:rFonts w:ascii="Arial"/>
                <w:sz w:val="21"/>
              </w:rPr>
            </w:pPr>
          </w:p>
          <w:p>
            <w:pPr>
              <w:spacing w:line="261" w:lineRule="auto"/>
              <w:rPr>
                <w:rFonts w:ascii="Arial"/>
                <w:sz w:val="21"/>
              </w:rPr>
            </w:pPr>
          </w:p>
          <w:p>
            <w:pPr>
              <w:pStyle w:val="6"/>
              <w:spacing w:before="68" w:line="221" w:lineRule="auto"/>
              <w:ind w:left="244"/>
            </w:pPr>
            <w:r>
              <w:rPr>
                <w:spacing w:val="-2"/>
              </w:rPr>
              <w:t>丁坑岭</w:t>
            </w:r>
          </w:p>
        </w:tc>
        <w:tc>
          <w:tcPr>
            <w:tcW w:w="1060"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before="60" w:line="187" w:lineRule="auto"/>
              <w:ind w:left="3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w:t>
            </w:r>
          </w:p>
        </w:tc>
        <w:tc>
          <w:tcPr>
            <w:tcW w:w="1013" w:type="dxa"/>
            <w:vMerge w:val="restart"/>
            <w:tcBorders>
              <w:bottom w:val="nil"/>
            </w:tcBorders>
            <w:vAlign w:val="top"/>
          </w:tcPr>
          <w:p>
            <w:pPr>
              <w:spacing w:before="281" w:line="187"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-70.5</w:t>
            </w:r>
          </w:p>
        </w:tc>
        <w:tc>
          <w:tcPr>
            <w:tcW w:w="1094" w:type="dxa"/>
            <w:vMerge w:val="restart"/>
            <w:tcBorders>
              <w:bottom w:val="nil"/>
            </w:tcBorders>
            <w:vAlign w:val="top"/>
          </w:tcPr>
          <w:p>
            <w:pPr>
              <w:spacing w:line="260" w:lineRule="auto"/>
              <w:rPr>
                <w:rFonts w:ascii="Arial"/>
                <w:sz w:val="21"/>
              </w:rPr>
            </w:pPr>
          </w:p>
          <w:p>
            <w:pPr>
              <w:spacing w:line="261" w:lineRule="auto"/>
              <w:rPr>
                <w:rFonts w:ascii="Arial"/>
                <w:sz w:val="21"/>
              </w:rPr>
            </w:pPr>
          </w:p>
          <w:p>
            <w:pPr>
              <w:pStyle w:val="6"/>
              <w:spacing w:before="68"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4"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8"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799" w:type="dxa"/>
            <w:vAlign w:val="top"/>
          </w:tcPr>
          <w:p>
            <w:pPr>
              <w:spacing w:before="108"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49.6</w:t>
            </w:r>
          </w:p>
        </w:tc>
        <w:tc>
          <w:tcPr>
            <w:tcW w:w="974" w:type="dxa"/>
            <w:vAlign w:val="top"/>
          </w:tcPr>
          <w:p>
            <w:pPr>
              <w:spacing w:before="106"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52.5</w:t>
            </w:r>
          </w:p>
        </w:tc>
        <w:tc>
          <w:tcPr>
            <w:tcW w:w="1003" w:type="dxa"/>
            <w:vAlign w:val="top"/>
          </w:tcPr>
          <w:p>
            <w:pPr>
              <w:spacing w:before="106"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1281" w:type="dxa"/>
            <w:vAlign w:val="top"/>
          </w:tcPr>
          <w:p>
            <w:pPr>
              <w:spacing w:before="106"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35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888"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56.3</w:t>
            </w:r>
          </w:p>
        </w:tc>
        <w:tc>
          <w:tcPr>
            <w:tcW w:w="1109" w:type="dxa"/>
            <w:vAlign w:val="top"/>
          </w:tcPr>
          <w:p>
            <w:pPr>
              <w:spacing w:before="10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56.1</w:t>
            </w:r>
          </w:p>
        </w:tc>
        <w:tc>
          <w:tcPr>
            <w:tcW w:w="890" w:type="dxa"/>
            <w:vAlign w:val="top"/>
          </w:tcPr>
          <w:p>
            <w:pPr>
              <w:spacing w:before="106"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08"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39.2</w:t>
            </w:r>
          </w:p>
        </w:tc>
        <w:tc>
          <w:tcPr>
            <w:tcW w:w="799" w:type="dxa"/>
            <w:vAlign w:val="top"/>
          </w:tcPr>
          <w:p>
            <w:pPr>
              <w:spacing w:before="108"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55.8</w:t>
            </w:r>
          </w:p>
        </w:tc>
        <w:tc>
          <w:tcPr>
            <w:tcW w:w="974" w:type="dxa"/>
            <w:vAlign w:val="top"/>
          </w:tcPr>
          <w:p>
            <w:pPr>
              <w:spacing w:before="106"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47.1</w:t>
            </w:r>
          </w:p>
        </w:tc>
        <w:tc>
          <w:tcPr>
            <w:tcW w:w="1003" w:type="dxa"/>
            <w:vAlign w:val="top"/>
          </w:tcPr>
          <w:p>
            <w:pPr>
              <w:spacing w:before="106"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1281" w:type="dxa"/>
            <w:vAlign w:val="top"/>
          </w:tcPr>
          <w:p>
            <w:pPr>
              <w:spacing w:before="106"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48.8</w:t>
            </w:r>
          </w:p>
        </w:tc>
        <w:tc>
          <w:tcPr>
            <w:tcW w:w="888"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49.3</w:t>
            </w:r>
          </w:p>
        </w:tc>
        <w:tc>
          <w:tcPr>
            <w:tcW w:w="1109" w:type="dxa"/>
            <w:vAlign w:val="top"/>
          </w:tcPr>
          <w:p>
            <w:pPr>
              <w:spacing w:before="106"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48.9</w:t>
            </w:r>
          </w:p>
        </w:tc>
        <w:tc>
          <w:tcPr>
            <w:tcW w:w="890" w:type="dxa"/>
            <w:vAlign w:val="top"/>
          </w:tcPr>
          <w:p>
            <w:pPr>
              <w:spacing w:before="106"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49.3</w:t>
            </w:r>
          </w:p>
        </w:tc>
        <w:tc>
          <w:tcPr>
            <w:tcW w:w="1116" w:type="dxa"/>
            <w:vAlign w:val="top"/>
          </w:tcPr>
          <w:p>
            <w:pPr>
              <w:spacing w:before="106"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81" w:line="187" w:lineRule="auto"/>
              <w:ind w:left="37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-67</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4"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44.8</w:t>
            </w:r>
          </w:p>
        </w:tc>
        <w:tc>
          <w:tcPr>
            <w:tcW w:w="799" w:type="dxa"/>
            <w:vAlign w:val="top"/>
          </w:tcPr>
          <w:p>
            <w:pPr>
              <w:spacing w:before="108"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c>
          <w:tcPr>
            <w:tcW w:w="974" w:type="dxa"/>
            <w:vAlign w:val="top"/>
          </w:tcPr>
          <w:p>
            <w:pPr>
              <w:spacing w:before="106"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1003" w:type="dxa"/>
            <w:vAlign w:val="top"/>
          </w:tcPr>
          <w:p>
            <w:pPr>
              <w:spacing w:before="106"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1281" w:type="dxa"/>
            <w:vAlign w:val="top"/>
          </w:tcPr>
          <w:p>
            <w:pPr>
              <w:spacing w:before="106"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-2.1</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56.6</w:t>
            </w:r>
          </w:p>
        </w:tc>
        <w:tc>
          <w:tcPr>
            <w:tcW w:w="888"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56.9</w:t>
            </w:r>
          </w:p>
        </w:tc>
        <w:tc>
          <w:tcPr>
            <w:tcW w:w="1109" w:type="dxa"/>
            <w:vAlign w:val="top"/>
          </w:tcPr>
          <w:p>
            <w:pPr>
              <w:spacing w:before="10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56.7</w:t>
            </w:r>
          </w:p>
        </w:tc>
        <w:tc>
          <w:tcPr>
            <w:tcW w:w="890" w:type="dxa"/>
            <w:vAlign w:val="top"/>
          </w:tcPr>
          <w:p>
            <w:pPr>
              <w:spacing w:before="106"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57.0</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08"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41.8</w:t>
            </w:r>
          </w:p>
        </w:tc>
        <w:tc>
          <w:tcPr>
            <w:tcW w:w="799" w:type="dxa"/>
            <w:vAlign w:val="top"/>
          </w:tcPr>
          <w:p>
            <w:pPr>
              <w:spacing w:before="108"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43.5</w:t>
            </w:r>
          </w:p>
        </w:tc>
        <w:tc>
          <w:tcPr>
            <w:tcW w:w="974" w:type="dxa"/>
            <w:vAlign w:val="top"/>
          </w:tcPr>
          <w:p>
            <w:pPr>
              <w:spacing w:before="106" w:line="187" w:lineRule="auto"/>
              <w:ind w:left="3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1003" w:type="dxa"/>
            <w:vAlign w:val="top"/>
          </w:tcPr>
          <w:p>
            <w:pPr>
              <w:spacing w:before="106"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1281" w:type="dxa"/>
            <w:vAlign w:val="top"/>
          </w:tcPr>
          <w:p>
            <w:pPr>
              <w:spacing w:before="106"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48.9</w:t>
            </w:r>
          </w:p>
        </w:tc>
        <w:tc>
          <w:tcPr>
            <w:tcW w:w="888"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1109" w:type="dxa"/>
            <w:vAlign w:val="top"/>
          </w:tcPr>
          <w:p>
            <w:pPr>
              <w:spacing w:before="10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+6.2</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48.8</w:t>
            </w:r>
          </w:p>
        </w:tc>
        <w:tc>
          <w:tcPr>
            <w:tcW w:w="890" w:type="dxa"/>
            <w:vAlign w:val="top"/>
          </w:tcPr>
          <w:p>
            <w:pPr>
              <w:spacing w:before="106"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49.6</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+6.1</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60"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111"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8" w:line="220" w:lineRule="auto"/>
              <w:ind w:left="242"/>
            </w:pPr>
            <w:r>
              <w:rPr>
                <w:spacing w:val="-2"/>
              </w:rPr>
              <w:t>江山村</w:t>
            </w:r>
          </w:p>
        </w:tc>
        <w:tc>
          <w:tcPr>
            <w:tcW w:w="1060"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1" w:line="187" w:lineRule="auto"/>
              <w:ind w:left="4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1013" w:type="dxa"/>
            <w:vMerge w:val="restart"/>
            <w:tcBorders>
              <w:bottom w:val="nil"/>
            </w:tcBorders>
            <w:vAlign w:val="top"/>
          </w:tcPr>
          <w:p>
            <w:pPr>
              <w:spacing w:before="281" w:line="187"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31.5</w:t>
            </w:r>
          </w:p>
        </w:tc>
        <w:tc>
          <w:tcPr>
            <w:tcW w:w="1094" w:type="dxa"/>
            <w:vMerge w:val="restart"/>
            <w:tcBorders>
              <w:bottom w:val="nil"/>
            </w:tcBorders>
            <w:vAlign w:val="top"/>
          </w:tcPr>
          <w:p>
            <w:pPr>
              <w:spacing w:line="260" w:lineRule="auto"/>
              <w:rPr>
                <w:rFonts w:ascii="Arial"/>
                <w:sz w:val="21"/>
              </w:rPr>
            </w:pPr>
          </w:p>
          <w:p>
            <w:pPr>
              <w:spacing w:line="261" w:lineRule="auto"/>
              <w:rPr>
                <w:rFonts w:ascii="Arial"/>
                <w:sz w:val="21"/>
              </w:rPr>
            </w:pPr>
          </w:p>
          <w:p>
            <w:pPr>
              <w:pStyle w:val="6"/>
              <w:spacing w:before="68" w:line="221" w:lineRule="auto"/>
              <w:ind w:left="31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84"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799" w:type="dxa"/>
            <w:vAlign w:val="top"/>
          </w:tcPr>
          <w:p>
            <w:pPr>
              <w:spacing w:before="106"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974" w:type="dxa"/>
            <w:vAlign w:val="top"/>
          </w:tcPr>
          <w:p>
            <w:pPr>
              <w:spacing w:before="106"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54.8</w:t>
            </w:r>
          </w:p>
        </w:tc>
        <w:tc>
          <w:tcPr>
            <w:tcW w:w="1003" w:type="dxa"/>
            <w:vAlign w:val="top"/>
          </w:tcPr>
          <w:p>
            <w:pPr>
              <w:spacing w:before="106"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55.6</w:t>
            </w:r>
          </w:p>
        </w:tc>
        <w:tc>
          <w:tcPr>
            <w:tcW w:w="1281" w:type="dxa"/>
            <w:vAlign w:val="top"/>
          </w:tcPr>
          <w:p>
            <w:pPr>
              <w:spacing w:before="106"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57.8</w:t>
            </w:r>
          </w:p>
        </w:tc>
        <w:tc>
          <w:tcPr>
            <w:tcW w:w="888"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58.2</w:t>
            </w:r>
          </w:p>
        </w:tc>
        <w:tc>
          <w:tcPr>
            <w:tcW w:w="1109" w:type="dxa"/>
            <w:vAlign w:val="top"/>
          </w:tcPr>
          <w:p>
            <w:pPr>
              <w:spacing w:before="106"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-2.4</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62.8</w:t>
            </w:r>
          </w:p>
        </w:tc>
        <w:tc>
          <w:tcPr>
            <w:tcW w:w="890"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62.9</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11"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799" w:type="dxa"/>
            <w:vAlign w:val="top"/>
          </w:tcPr>
          <w:p>
            <w:pPr>
              <w:spacing w:before="106"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974" w:type="dxa"/>
            <w:vAlign w:val="top"/>
          </w:tcPr>
          <w:p>
            <w:pPr>
              <w:spacing w:before="106"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49.4</w:t>
            </w:r>
          </w:p>
        </w:tc>
        <w:tc>
          <w:tcPr>
            <w:tcW w:w="1003" w:type="dxa"/>
            <w:vAlign w:val="top"/>
          </w:tcPr>
          <w:p>
            <w:pPr>
              <w:spacing w:before="106"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49.6</w:t>
            </w:r>
          </w:p>
        </w:tc>
        <w:tc>
          <w:tcPr>
            <w:tcW w:w="1281" w:type="dxa"/>
            <w:vAlign w:val="top"/>
          </w:tcPr>
          <w:p>
            <w:pPr>
              <w:spacing w:before="106"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888"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52.5</w:t>
            </w:r>
          </w:p>
        </w:tc>
        <w:tc>
          <w:tcPr>
            <w:tcW w:w="1109" w:type="dxa"/>
            <w:vAlign w:val="top"/>
          </w:tcPr>
          <w:p>
            <w:pPr>
              <w:spacing w:before="106"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53.4</w:t>
            </w:r>
          </w:p>
        </w:tc>
        <w:tc>
          <w:tcPr>
            <w:tcW w:w="890" w:type="dxa"/>
            <w:vAlign w:val="top"/>
          </w:tcPr>
          <w:p>
            <w:pPr>
              <w:spacing w:before="106"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53.5</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81" w:line="187" w:lineRule="auto"/>
              <w:ind w:left="4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84"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8"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799" w:type="dxa"/>
            <w:vAlign w:val="top"/>
          </w:tcPr>
          <w:p>
            <w:pPr>
              <w:spacing w:before="106"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974" w:type="dxa"/>
            <w:vAlign w:val="top"/>
          </w:tcPr>
          <w:p>
            <w:pPr>
              <w:spacing w:before="106"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55.9</w:t>
            </w:r>
          </w:p>
        </w:tc>
        <w:tc>
          <w:tcPr>
            <w:tcW w:w="1003" w:type="dxa"/>
            <w:vAlign w:val="top"/>
          </w:tcPr>
          <w:p>
            <w:pPr>
              <w:spacing w:before="106"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57.3</w:t>
            </w:r>
          </w:p>
        </w:tc>
        <w:tc>
          <w:tcPr>
            <w:tcW w:w="1281" w:type="dxa"/>
            <w:vAlign w:val="top"/>
          </w:tcPr>
          <w:p>
            <w:pPr>
              <w:spacing w:before="106"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-4.3</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58.9</w:t>
            </w:r>
          </w:p>
        </w:tc>
        <w:tc>
          <w:tcPr>
            <w:tcW w:w="888"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59.6</w:t>
            </w:r>
          </w:p>
        </w:tc>
        <w:tc>
          <w:tcPr>
            <w:tcW w:w="1109" w:type="dxa"/>
            <w:vAlign w:val="top"/>
          </w:tcPr>
          <w:p>
            <w:pPr>
              <w:spacing w:before="106"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-2.0</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64.1</w:t>
            </w:r>
          </w:p>
        </w:tc>
        <w:tc>
          <w:tcPr>
            <w:tcW w:w="890"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64.3</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11"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799" w:type="dxa"/>
            <w:vAlign w:val="top"/>
          </w:tcPr>
          <w:p>
            <w:pPr>
              <w:spacing w:before="106"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974" w:type="dxa"/>
            <w:vAlign w:val="top"/>
          </w:tcPr>
          <w:p>
            <w:pPr>
              <w:spacing w:before="106"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50.5</w:t>
            </w:r>
          </w:p>
        </w:tc>
        <w:tc>
          <w:tcPr>
            <w:tcW w:w="1003" w:type="dxa"/>
            <w:vAlign w:val="top"/>
          </w:tcPr>
          <w:p>
            <w:pPr>
              <w:spacing w:before="106"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50.7</w:t>
            </w:r>
          </w:p>
        </w:tc>
        <w:tc>
          <w:tcPr>
            <w:tcW w:w="1281" w:type="dxa"/>
            <w:vAlign w:val="top"/>
          </w:tcPr>
          <w:p>
            <w:pPr>
              <w:spacing w:before="106"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-2.5</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53.4</w:t>
            </w:r>
          </w:p>
        </w:tc>
        <w:tc>
          <w:tcPr>
            <w:tcW w:w="888"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53.5</w:t>
            </w:r>
          </w:p>
        </w:tc>
        <w:tc>
          <w:tcPr>
            <w:tcW w:w="1109" w:type="dxa"/>
            <w:vAlign w:val="top"/>
          </w:tcPr>
          <w:p>
            <w:pPr>
              <w:spacing w:before="10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54.5</w:t>
            </w:r>
          </w:p>
        </w:tc>
        <w:tc>
          <w:tcPr>
            <w:tcW w:w="890" w:type="dxa"/>
            <w:vAlign w:val="top"/>
          </w:tcPr>
          <w:p>
            <w:pPr>
              <w:spacing w:before="106"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restart"/>
            <w:tcBorders>
              <w:bottom w:val="nil"/>
            </w:tcBorders>
            <w:vAlign w:val="top"/>
          </w:tcPr>
          <w:p>
            <w:pPr>
              <w:spacing w:line="392" w:lineRule="auto"/>
              <w:rPr>
                <w:rFonts w:ascii="Arial"/>
                <w:sz w:val="21"/>
              </w:rPr>
            </w:pPr>
          </w:p>
          <w:p>
            <w:pPr>
              <w:spacing w:before="60" w:line="187"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1013" w:type="dxa"/>
            <w:vMerge w:val="restart"/>
            <w:tcBorders>
              <w:bottom w:val="nil"/>
            </w:tcBorders>
            <w:vAlign w:val="top"/>
          </w:tcPr>
          <w:p>
            <w:pPr>
              <w:spacing w:before="281"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48.5</w:t>
            </w:r>
          </w:p>
        </w:tc>
        <w:tc>
          <w:tcPr>
            <w:tcW w:w="1094" w:type="dxa"/>
            <w:vMerge w:val="restart"/>
            <w:tcBorders>
              <w:bottom w:val="nil"/>
            </w:tcBorders>
            <w:vAlign w:val="top"/>
          </w:tcPr>
          <w:p>
            <w:pPr>
              <w:spacing w:line="347" w:lineRule="auto"/>
              <w:rPr>
                <w:rFonts w:ascii="Arial"/>
                <w:sz w:val="21"/>
              </w:rPr>
            </w:pPr>
          </w:p>
          <w:p>
            <w:pPr>
              <w:pStyle w:val="6"/>
              <w:spacing w:before="69"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4"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799" w:type="dxa"/>
            <w:vAlign w:val="top"/>
          </w:tcPr>
          <w:p>
            <w:pPr>
              <w:spacing w:before="108"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974" w:type="dxa"/>
            <w:vAlign w:val="top"/>
          </w:tcPr>
          <w:p>
            <w:pPr>
              <w:spacing w:before="106"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c>
          <w:tcPr>
            <w:tcW w:w="1003" w:type="dxa"/>
            <w:vAlign w:val="top"/>
          </w:tcPr>
          <w:p>
            <w:pPr>
              <w:spacing w:before="106"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49.0</w:t>
            </w:r>
          </w:p>
        </w:tc>
        <w:tc>
          <w:tcPr>
            <w:tcW w:w="1281" w:type="dxa"/>
            <w:vAlign w:val="top"/>
          </w:tcPr>
          <w:p>
            <w:pPr>
              <w:spacing w:before="106"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w:t>
            </w:r>
          </w:p>
        </w:tc>
        <w:tc>
          <w:tcPr>
            <w:tcW w:w="888"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1109" w:type="dxa"/>
            <w:vAlign w:val="top"/>
          </w:tcPr>
          <w:p>
            <w:pPr>
              <w:spacing w:before="10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50.4</w:t>
            </w:r>
          </w:p>
        </w:tc>
        <w:tc>
          <w:tcPr>
            <w:tcW w:w="890" w:type="dxa"/>
            <w:vAlign w:val="top"/>
          </w:tcPr>
          <w:p>
            <w:pPr>
              <w:spacing w:before="106"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70" w:line="221" w:lineRule="auto"/>
              <w:ind w:left="349"/>
            </w:pPr>
            <w:r>
              <w:rPr>
                <w:spacing w:val="-3"/>
              </w:rPr>
              <w:t>夜间</w:t>
            </w:r>
          </w:p>
        </w:tc>
        <w:tc>
          <w:tcPr>
            <w:tcW w:w="970" w:type="dxa"/>
            <w:vAlign w:val="top"/>
          </w:tcPr>
          <w:p>
            <w:pPr>
              <w:spacing w:before="109"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9"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799" w:type="dxa"/>
            <w:vAlign w:val="top"/>
          </w:tcPr>
          <w:p>
            <w:pPr>
              <w:spacing w:before="109"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974" w:type="dxa"/>
            <w:vAlign w:val="top"/>
          </w:tcPr>
          <w:p>
            <w:pPr>
              <w:spacing w:before="106"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36.2</w:t>
            </w:r>
          </w:p>
        </w:tc>
        <w:tc>
          <w:tcPr>
            <w:tcW w:w="1003" w:type="dxa"/>
            <w:vAlign w:val="top"/>
          </w:tcPr>
          <w:p>
            <w:pPr>
              <w:spacing w:before="106"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38.7</w:t>
            </w:r>
          </w:p>
        </w:tc>
        <w:tc>
          <w:tcPr>
            <w:tcW w:w="1281" w:type="dxa"/>
            <w:vAlign w:val="top"/>
          </w:tcPr>
          <w:p>
            <w:pPr>
              <w:spacing w:before="106"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93" w:type="dxa"/>
            <w:vAlign w:val="top"/>
          </w:tcPr>
          <w:p>
            <w:pPr>
              <w:spacing w:before="103" w:line="228"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39.1</w:t>
            </w:r>
          </w:p>
        </w:tc>
        <w:tc>
          <w:tcPr>
            <w:tcW w:w="888" w:type="dxa"/>
            <w:vAlign w:val="top"/>
          </w:tcPr>
          <w:p>
            <w:pPr>
              <w:spacing w:before="106"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40.6</w:t>
            </w:r>
          </w:p>
        </w:tc>
        <w:tc>
          <w:tcPr>
            <w:tcW w:w="1109" w:type="dxa"/>
            <w:vAlign w:val="top"/>
          </w:tcPr>
          <w:p>
            <w:pPr>
              <w:spacing w:before="10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+5.4</w:t>
            </w:r>
          </w:p>
        </w:tc>
        <w:tc>
          <w:tcPr>
            <w:tcW w:w="977" w:type="dxa"/>
            <w:vAlign w:val="top"/>
          </w:tcPr>
          <w:p>
            <w:pPr>
              <w:spacing w:before="103" w:line="228"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6"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w:t>
            </w:r>
          </w:p>
        </w:tc>
        <w:tc>
          <w:tcPr>
            <w:tcW w:w="890" w:type="dxa"/>
            <w:vAlign w:val="top"/>
          </w:tcPr>
          <w:p>
            <w:pPr>
              <w:spacing w:before="106"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41.4</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+6.2</w:t>
            </w:r>
          </w:p>
        </w:tc>
        <w:tc>
          <w:tcPr>
            <w:tcW w:w="984" w:type="dxa"/>
            <w:vAlign w:val="top"/>
          </w:tcPr>
          <w:p>
            <w:pPr>
              <w:spacing w:before="103" w:line="228"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Align w:val="top"/>
          </w:tcPr>
          <w:p>
            <w:pPr>
              <w:spacing w:before="106" w:line="187"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1094" w:type="dxa"/>
            <w:vMerge w:val="continue"/>
            <w:tcBorders>
              <w:top w:val="nil"/>
            </w:tcBorders>
            <w:vAlign w:val="top"/>
          </w:tcPr>
          <w:p>
            <w:pPr>
              <w:rPr>
                <w:rFonts w:ascii="Arial"/>
                <w:sz w:val="21"/>
              </w:rPr>
            </w:pPr>
          </w:p>
        </w:tc>
        <w:tc>
          <w:tcPr>
            <w:tcW w:w="1104" w:type="dxa"/>
            <w:vAlign w:val="top"/>
          </w:tcPr>
          <w:p>
            <w:pPr>
              <w:pStyle w:val="6"/>
              <w:spacing w:before="71" w:line="223" w:lineRule="auto"/>
              <w:ind w:left="345"/>
            </w:pPr>
            <w:r>
              <w:rPr>
                <w:spacing w:val="-2"/>
              </w:rPr>
              <w:t>昼间</w:t>
            </w:r>
          </w:p>
        </w:tc>
        <w:tc>
          <w:tcPr>
            <w:tcW w:w="970" w:type="dxa"/>
            <w:vAlign w:val="top"/>
          </w:tcPr>
          <w:p>
            <w:pPr>
              <w:spacing w:before="109"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Align w:val="top"/>
          </w:tcPr>
          <w:p>
            <w:pPr>
              <w:spacing w:before="109"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9"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799" w:type="dxa"/>
            <w:vAlign w:val="top"/>
          </w:tcPr>
          <w:p>
            <w:pPr>
              <w:spacing w:before="109"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974" w:type="dxa"/>
            <w:vAlign w:val="top"/>
          </w:tcPr>
          <w:p>
            <w:pPr>
              <w:spacing w:before="106"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46.6</w:t>
            </w:r>
          </w:p>
        </w:tc>
        <w:tc>
          <w:tcPr>
            <w:tcW w:w="1003" w:type="dxa"/>
            <w:vAlign w:val="top"/>
          </w:tcPr>
          <w:p>
            <w:pPr>
              <w:spacing w:before="106"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52.8</w:t>
            </w:r>
          </w:p>
        </w:tc>
        <w:tc>
          <w:tcPr>
            <w:tcW w:w="1281" w:type="dxa"/>
            <w:vAlign w:val="top"/>
          </w:tcPr>
          <w:p>
            <w:pPr>
              <w:spacing w:before="106"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w:t>
            </w:r>
          </w:p>
        </w:tc>
        <w:tc>
          <w:tcPr>
            <w:tcW w:w="893" w:type="dxa"/>
            <w:vAlign w:val="top"/>
          </w:tcPr>
          <w:p>
            <w:pPr>
              <w:spacing w:before="103"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888" w:type="dxa"/>
            <w:vAlign w:val="top"/>
          </w:tcPr>
          <w:p>
            <w:pPr>
              <w:spacing w:before="106"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53.8</w:t>
            </w:r>
          </w:p>
        </w:tc>
        <w:tc>
          <w:tcPr>
            <w:tcW w:w="1109" w:type="dxa"/>
            <w:vAlign w:val="top"/>
          </w:tcPr>
          <w:p>
            <w:pPr>
              <w:spacing w:before="106"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977" w:type="dxa"/>
            <w:vAlign w:val="top"/>
          </w:tcPr>
          <w:p>
            <w:pPr>
              <w:spacing w:before="103"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9" w:line="184"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55.5</w:t>
            </w:r>
          </w:p>
        </w:tc>
        <w:tc>
          <w:tcPr>
            <w:tcW w:w="890" w:type="dxa"/>
            <w:vAlign w:val="top"/>
          </w:tcPr>
          <w:p>
            <w:pPr>
              <w:spacing w:before="106"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57.0</w:t>
            </w:r>
          </w:p>
        </w:tc>
        <w:tc>
          <w:tcPr>
            <w:tcW w:w="1116" w:type="dxa"/>
            <w:vAlign w:val="top"/>
          </w:tcPr>
          <w:p>
            <w:pPr>
              <w:spacing w:before="106"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+5.4</w:t>
            </w:r>
          </w:p>
        </w:tc>
        <w:tc>
          <w:tcPr>
            <w:tcW w:w="984" w:type="dxa"/>
            <w:vAlign w:val="top"/>
          </w:tcPr>
          <w:p>
            <w:pPr>
              <w:spacing w:before="103"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2"/>
      </w:pPr>
    </w:p>
    <w:p>
      <w:pPr>
        <w:sectPr>
          <w:footerReference r:id="rId276" w:type="default"/>
          <w:pgSz w:w="23811" w:h="16839"/>
          <w:pgMar w:top="1063" w:right="1125" w:bottom="1014" w:left="1128" w:header="822" w:footer="853" w:gutter="0"/>
          <w:cols w:space="720" w:num="1"/>
        </w:sectPr>
      </w:pPr>
    </w:p>
    <w:p>
      <w:pPr>
        <w:spacing w:line="69" w:lineRule="exact"/>
      </w:pPr>
    </w:p>
    <w:tbl>
      <w:tblPr>
        <w:tblStyle w:val="5"/>
        <w:tblW w:w="21400"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4"/>
        <w:gridCol w:w="1111"/>
        <w:gridCol w:w="1060"/>
        <w:gridCol w:w="1013"/>
        <w:gridCol w:w="1094"/>
        <w:gridCol w:w="1104"/>
        <w:gridCol w:w="970"/>
        <w:gridCol w:w="811"/>
        <w:gridCol w:w="936"/>
        <w:gridCol w:w="799"/>
        <w:gridCol w:w="974"/>
        <w:gridCol w:w="1003"/>
        <w:gridCol w:w="1281"/>
        <w:gridCol w:w="893"/>
        <w:gridCol w:w="902"/>
        <w:gridCol w:w="888"/>
        <w:gridCol w:w="1109"/>
        <w:gridCol w:w="977"/>
        <w:gridCol w:w="871"/>
        <w:gridCol w:w="890"/>
        <w:gridCol w:w="1116"/>
        <w:gridCol w:w="9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14" w:type="dxa"/>
            <w:vMerge w:val="restart"/>
            <w:tcBorders>
              <w:bottom w:val="nil"/>
            </w:tcBorders>
            <w:textDirection w:val="tbRlV"/>
            <w:vAlign w:val="top"/>
          </w:tcPr>
          <w:p>
            <w:pPr>
              <w:pStyle w:val="6"/>
              <w:spacing w:before="198" w:line="211" w:lineRule="auto"/>
              <w:ind w:left="332"/>
            </w:pPr>
            <w:r>
              <w:rPr>
                <w:spacing w:val="1"/>
              </w:rPr>
              <w:t>序</w:t>
            </w:r>
            <w:r>
              <w:rPr>
                <w:spacing w:val="-5"/>
              </w:rPr>
              <w:t xml:space="preserve"> </w:t>
            </w:r>
            <w:r>
              <w:rPr>
                <w:spacing w:val="1"/>
              </w:rPr>
              <w:t>号</w:t>
            </w:r>
          </w:p>
        </w:tc>
        <w:tc>
          <w:tcPr>
            <w:tcW w:w="1111" w:type="dxa"/>
            <w:vMerge w:val="restart"/>
            <w:tcBorders>
              <w:bottom w:val="nil"/>
            </w:tcBorders>
            <w:vAlign w:val="top"/>
          </w:tcPr>
          <w:p>
            <w:pPr>
              <w:pStyle w:val="6"/>
              <w:spacing w:before="176" w:line="221" w:lineRule="auto"/>
              <w:ind w:left="142"/>
            </w:pPr>
            <w:r>
              <w:rPr>
                <w:spacing w:val="-3"/>
              </w:rPr>
              <w:t>声环境保</w:t>
            </w:r>
          </w:p>
          <w:p>
            <w:pPr>
              <w:pStyle w:val="6"/>
              <w:spacing w:before="61" w:line="221" w:lineRule="auto"/>
              <w:ind w:left="138"/>
            </w:pPr>
            <w:r>
              <w:rPr>
                <w:spacing w:val="-2"/>
              </w:rPr>
              <w:t>护目标名</w:t>
            </w:r>
          </w:p>
          <w:p>
            <w:pPr>
              <w:pStyle w:val="6"/>
              <w:spacing w:before="59" w:line="223" w:lineRule="auto"/>
              <w:ind w:left="451"/>
            </w:pPr>
            <w:r>
              <w:t>称</w:t>
            </w:r>
          </w:p>
        </w:tc>
        <w:tc>
          <w:tcPr>
            <w:tcW w:w="1060" w:type="dxa"/>
            <w:vMerge w:val="restart"/>
            <w:tcBorders>
              <w:bottom w:val="nil"/>
            </w:tcBorders>
            <w:vAlign w:val="top"/>
          </w:tcPr>
          <w:p>
            <w:pPr>
              <w:spacing w:line="263" w:lineRule="auto"/>
              <w:rPr>
                <w:rFonts w:ascii="Arial"/>
                <w:sz w:val="21"/>
              </w:rPr>
            </w:pPr>
          </w:p>
          <w:p>
            <w:pPr>
              <w:pStyle w:val="6"/>
              <w:spacing w:before="68" w:line="247" w:lineRule="auto"/>
              <w:ind w:left="121" w:right="106" w:hanging="3"/>
            </w:pPr>
            <w:r>
              <w:rPr>
                <w:spacing w:val="-3"/>
              </w:rPr>
              <w:t>与道路中</w:t>
            </w:r>
            <w:r>
              <w:rPr>
                <w:spacing w:val="1"/>
              </w:rPr>
              <w:t xml:space="preserve"> </w:t>
            </w:r>
            <w:r>
              <w:rPr>
                <w:spacing w:val="-4"/>
              </w:rPr>
              <w:t>心线距离</w:t>
            </w:r>
          </w:p>
        </w:tc>
        <w:tc>
          <w:tcPr>
            <w:tcW w:w="1013" w:type="dxa"/>
            <w:vMerge w:val="restart"/>
            <w:tcBorders>
              <w:bottom w:val="nil"/>
            </w:tcBorders>
            <w:vAlign w:val="top"/>
          </w:tcPr>
          <w:p>
            <w:pPr>
              <w:pStyle w:val="6"/>
              <w:spacing w:before="176" w:line="261" w:lineRule="auto"/>
              <w:ind w:left="195" w:right="182"/>
              <w:jc w:val="both"/>
              <w:rPr>
                <w:rFonts w:ascii="Times New Roman" w:hAnsi="Times New Roman" w:eastAsia="Times New Roman" w:cs="Times New Roman"/>
              </w:rPr>
            </w:pPr>
            <w:r>
              <w:rPr>
                <w:spacing w:val="-3"/>
              </w:rPr>
              <w:t>预测点</w:t>
            </w:r>
            <w:r>
              <w:rPr>
                <w:spacing w:val="1"/>
              </w:rPr>
              <w:t xml:space="preserve"> </w:t>
            </w:r>
            <w:r>
              <w:rPr>
                <w:spacing w:val="-2"/>
              </w:rPr>
              <w:t>与声源</w:t>
            </w:r>
            <w:r>
              <w:t xml:space="preserve"> </w:t>
            </w:r>
            <w:r>
              <w:rPr>
                <w:spacing w:val="-3"/>
              </w:rPr>
              <w:t>高差</w:t>
            </w:r>
            <w:r>
              <w:rPr>
                <w:rFonts w:ascii="Times New Roman" w:hAnsi="Times New Roman" w:eastAsia="Times New Roman" w:cs="Times New Roman"/>
                <w:spacing w:val="-3"/>
              </w:rPr>
              <w:t>/m</w:t>
            </w:r>
          </w:p>
        </w:tc>
        <w:tc>
          <w:tcPr>
            <w:tcW w:w="1094" w:type="dxa"/>
            <w:vMerge w:val="restart"/>
            <w:tcBorders>
              <w:bottom w:val="nil"/>
            </w:tcBorders>
            <w:vAlign w:val="top"/>
          </w:tcPr>
          <w:p>
            <w:pPr>
              <w:spacing w:line="263" w:lineRule="auto"/>
              <w:rPr>
                <w:rFonts w:ascii="Arial"/>
                <w:sz w:val="21"/>
              </w:rPr>
            </w:pPr>
          </w:p>
          <w:p>
            <w:pPr>
              <w:pStyle w:val="6"/>
              <w:spacing w:before="68" w:line="247" w:lineRule="auto"/>
              <w:ind w:left="137" w:right="125" w:hanging="4"/>
            </w:pPr>
            <w:r>
              <w:rPr>
                <w:spacing w:val="-3"/>
              </w:rPr>
              <w:t>声环境功</w:t>
            </w:r>
            <w:r>
              <w:rPr>
                <w:spacing w:val="1"/>
              </w:rPr>
              <w:t xml:space="preserve"> </w:t>
            </w:r>
            <w:r>
              <w:rPr>
                <w:spacing w:val="-4"/>
              </w:rPr>
              <w:t>能区类别</w:t>
            </w:r>
          </w:p>
        </w:tc>
        <w:tc>
          <w:tcPr>
            <w:tcW w:w="1104" w:type="dxa"/>
            <w:vMerge w:val="restart"/>
            <w:tcBorders>
              <w:bottom w:val="nil"/>
            </w:tcBorders>
            <w:vAlign w:val="top"/>
          </w:tcPr>
          <w:p>
            <w:pPr>
              <w:spacing w:line="417" w:lineRule="auto"/>
              <w:rPr>
                <w:rFonts w:ascii="Arial"/>
                <w:sz w:val="21"/>
              </w:rPr>
            </w:pPr>
          </w:p>
          <w:p>
            <w:pPr>
              <w:pStyle w:val="6"/>
              <w:spacing w:before="68" w:line="222" w:lineRule="auto"/>
              <w:ind w:left="355"/>
            </w:pPr>
            <w:r>
              <w:rPr>
                <w:spacing w:val="-4"/>
              </w:rPr>
              <w:t>时段</w:t>
            </w:r>
          </w:p>
        </w:tc>
        <w:tc>
          <w:tcPr>
            <w:tcW w:w="970" w:type="dxa"/>
            <w:vMerge w:val="restart"/>
            <w:tcBorders>
              <w:bottom w:val="nil"/>
            </w:tcBorders>
            <w:vAlign w:val="top"/>
          </w:tcPr>
          <w:p>
            <w:pPr>
              <w:spacing w:line="417" w:lineRule="auto"/>
              <w:rPr>
                <w:rFonts w:ascii="Arial"/>
                <w:sz w:val="21"/>
              </w:rPr>
            </w:pPr>
          </w:p>
          <w:p>
            <w:pPr>
              <w:pStyle w:val="6"/>
              <w:spacing w:before="68" w:line="221" w:lineRule="auto"/>
              <w:ind w:left="174"/>
            </w:pPr>
            <w:r>
              <w:rPr>
                <w:spacing w:val="-2"/>
              </w:rPr>
              <w:t>标准值</w:t>
            </w:r>
          </w:p>
        </w:tc>
        <w:tc>
          <w:tcPr>
            <w:tcW w:w="811" w:type="dxa"/>
            <w:vMerge w:val="restart"/>
            <w:tcBorders>
              <w:bottom w:val="nil"/>
            </w:tcBorders>
            <w:vAlign w:val="top"/>
          </w:tcPr>
          <w:p>
            <w:pPr>
              <w:spacing w:line="417" w:lineRule="auto"/>
              <w:rPr>
                <w:rFonts w:ascii="Arial"/>
                <w:sz w:val="21"/>
              </w:rPr>
            </w:pPr>
          </w:p>
          <w:p>
            <w:pPr>
              <w:pStyle w:val="6"/>
              <w:spacing w:before="68" w:line="218" w:lineRule="auto"/>
              <w:ind w:left="198"/>
            </w:pPr>
            <w:r>
              <w:rPr>
                <w:spacing w:val="-2"/>
              </w:rPr>
              <w:t>楼层</w:t>
            </w:r>
          </w:p>
        </w:tc>
        <w:tc>
          <w:tcPr>
            <w:tcW w:w="936" w:type="dxa"/>
            <w:vMerge w:val="restart"/>
            <w:tcBorders>
              <w:bottom w:val="nil"/>
            </w:tcBorders>
            <w:vAlign w:val="top"/>
          </w:tcPr>
          <w:p>
            <w:pPr>
              <w:spacing w:line="417" w:lineRule="auto"/>
              <w:rPr>
                <w:rFonts w:ascii="Arial"/>
                <w:sz w:val="21"/>
              </w:rPr>
            </w:pPr>
          </w:p>
          <w:p>
            <w:pPr>
              <w:pStyle w:val="6"/>
              <w:spacing w:before="68" w:line="221" w:lineRule="auto"/>
              <w:ind w:left="160"/>
            </w:pPr>
            <w:r>
              <w:rPr>
                <w:spacing w:val="-2"/>
              </w:rPr>
              <w:t>背景值</w:t>
            </w:r>
          </w:p>
        </w:tc>
        <w:tc>
          <w:tcPr>
            <w:tcW w:w="799" w:type="dxa"/>
            <w:vMerge w:val="restart"/>
            <w:tcBorders>
              <w:bottom w:val="nil"/>
            </w:tcBorders>
            <w:vAlign w:val="top"/>
          </w:tcPr>
          <w:p>
            <w:pPr>
              <w:spacing w:line="262" w:lineRule="auto"/>
              <w:rPr>
                <w:rFonts w:ascii="Arial"/>
                <w:sz w:val="21"/>
              </w:rPr>
            </w:pPr>
          </w:p>
          <w:p>
            <w:pPr>
              <w:pStyle w:val="6"/>
              <w:spacing w:before="68" w:line="312" w:lineRule="exact"/>
              <w:ind w:left="196"/>
            </w:pPr>
            <w:r>
              <w:rPr>
                <w:spacing w:val="-2"/>
                <w:position w:val="7"/>
              </w:rPr>
              <w:t>现状</w:t>
            </w:r>
          </w:p>
          <w:p>
            <w:pPr>
              <w:pStyle w:val="6"/>
              <w:spacing w:line="220" w:lineRule="auto"/>
              <w:ind w:left="300"/>
            </w:pPr>
            <w:r>
              <w:t>值</w:t>
            </w:r>
          </w:p>
        </w:tc>
        <w:tc>
          <w:tcPr>
            <w:tcW w:w="4151" w:type="dxa"/>
            <w:gridSpan w:val="4"/>
            <w:vAlign w:val="top"/>
          </w:tcPr>
          <w:p>
            <w:pPr>
              <w:pStyle w:val="6"/>
              <w:spacing w:before="157" w:line="221" w:lineRule="auto"/>
              <w:ind w:left="1870"/>
            </w:pPr>
            <w:r>
              <w:rPr>
                <w:spacing w:val="-2"/>
              </w:rPr>
              <w:t>近期</w:t>
            </w:r>
          </w:p>
        </w:tc>
        <w:tc>
          <w:tcPr>
            <w:tcW w:w="3876" w:type="dxa"/>
            <w:gridSpan w:val="4"/>
            <w:vAlign w:val="top"/>
          </w:tcPr>
          <w:p>
            <w:pPr>
              <w:pStyle w:val="6"/>
              <w:spacing w:before="157" w:line="221" w:lineRule="auto"/>
              <w:ind w:left="1752"/>
            </w:pPr>
            <w:r>
              <w:rPr>
                <w:spacing w:val="-7"/>
              </w:rPr>
              <w:t>中期</w:t>
            </w:r>
          </w:p>
        </w:tc>
        <w:tc>
          <w:tcPr>
            <w:tcW w:w="3861" w:type="dxa"/>
            <w:gridSpan w:val="4"/>
            <w:vAlign w:val="top"/>
          </w:tcPr>
          <w:p>
            <w:pPr>
              <w:pStyle w:val="6"/>
              <w:spacing w:before="157" w:line="221" w:lineRule="auto"/>
              <w:ind w:left="1726"/>
            </w:pPr>
            <w:r>
              <w:rPr>
                <w:spacing w:val="-2"/>
              </w:rPr>
              <w:t>远期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614" w:type="dxa"/>
            <w:vMerge w:val="continue"/>
            <w:tcBorders>
              <w:top w:val="nil"/>
              <w:bottom w:val="nil"/>
            </w:tcBorders>
            <w:textDirection w:val="tbRlV"/>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bottom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Merge w:val="continue"/>
            <w:tcBorders>
              <w:top w:val="nil"/>
            </w:tcBorders>
            <w:vAlign w:val="top"/>
          </w:tcPr>
          <w:p>
            <w:pPr>
              <w:rPr>
                <w:rFonts w:ascii="Arial"/>
                <w:sz w:val="21"/>
              </w:rPr>
            </w:pPr>
          </w:p>
        </w:tc>
        <w:tc>
          <w:tcPr>
            <w:tcW w:w="970" w:type="dxa"/>
            <w:vMerge w:val="continue"/>
            <w:tcBorders>
              <w:top w:val="nil"/>
            </w:tcBorders>
            <w:vAlign w:val="top"/>
          </w:tcPr>
          <w:p>
            <w:pPr>
              <w:rPr>
                <w:rFonts w:ascii="Arial"/>
                <w:sz w:val="21"/>
              </w:rPr>
            </w:pPr>
          </w:p>
        </w:tc>
        <w:tc>
          <w:tcPr>
            <w:tcW w:w="811" w:type="dxa"/>
            <w:vMerge w:val="continue"/>
            <w:tcBorders>
              <w:top w:val="nil"/>
              <w:bottom w:val="nil"/>
            </w:tcBorders>
            <w:vAlign w:val="top"/>
          </w:tcPr>
          <w:p>
            <w:pPr>
              <w:rPr>
                <w:rFonts w:ascii="Arial"/>
                <w:sz w:val="21"/>
              </w:rPr>
            </w:pPr>
          </w:p>
        </w:tc>
        <w:tc>
          <w:tcPr>
            <w:tcW w:w="936" w:type="dxa"/>
            <w:vMerge w:val="continue"/>
            <w:tcBorders>
              <w:top w:val="nil"/>
            </w:tcBorders>
            <w:vAlign w:val="top"/>
          </w:tcPr>
          <w:p>
            <w:pPr>
              <w:rPr>
                <w:rFonts w:ascii="Arial"/>
                <w:sz w:val="21"/>
              </w:rPr>
            </w:pPr>
          </w:p>
        </w:tc>
        <w:tc>
          <w:tcPr>
            <w:tcW w:w="799" w:type="dxa"/>
            <w:vMerge w:val="continue"/>
            <w:tcBorders>
              <w:top w:val="nil"/>
            </w:tcBorders>
            <w:vAlign w:val="top"/>
          </w:tcPr>
          <w:p>
            <w:pPr>
              <w:rPr>
                <w:rFonts w:ascii="Arial"/>
                <w:sz w:val="21"/>
              </w:rPr>
            </w:pPr>
          </w:p>
        </w:tc>
        <w:tc>
          <w:tcPr>
            <w:tcW w:w="974" w:type="dxa"/>
            <w:vAlign w:val="top"/>
          </w:tcPr>
          <w:p>
            <w:pPr>
              <w:pStyle w:val="6"/>
              <w:spacing w:before="222" w:line="220" w:lineRule="auto"/>
              <w:ind w:left="178"/>
            </w:pPr>
            <w:r>
              <w:rPr>
                <w:spacing w:val="-2"/>
              </w:rPr>
              <w:t>贡献值</w:t>
            </w:r>
          </w:p>
        </w:tc>
        <w:tc>
          <w:tcPr>
            <w:tcW w:w="1003" w:type="dxa"/>
            <w:vAlign w:val="top"/>
          </w:tcPr>
          <w:p>
            <w:pPr>
              <w:pStyle w:val="6"/>
              <w:spacing w:before="222" w:line="221" w:lineRule="auto"/>
              <w:ind w:left="192"/>
            </w:pPr>
            <w:r>
              <w:rPr>
                <w:spacing w:val="-2"/>
              </w:rPr>
              <w:t>预测值</w:t>
            </w:r>
          </w:p>
        </w:tc>
        <w:tc>
          <w:tcPr>
            <w:tcW w:w="1281" w:type="dxa"/>
            <w:vAlign w:val="top"/>
          </w:tcPr>
          <w:p>
            <w:pPr>
              <w:pStyle w:val="6"/>
              <w:spacing w:before="66" w:line="312" w:lineRule="exact"/>
              <w:ind w:left="333"/>
            </w:pPr>
            <w:r>
              <w:rPr>
                <w:spacing w:val="-2"/>
                <w:position w:val="7"/>
              </w:rPr>
              <w:t>较现状</w:t>
            </w:r>
          </w:p>
          <w:p>
            <w:pPr>
              <w:pStyle w:val="6"/>
              <w:spacing w:line="222" w:lineRule="auto"/>
              <w:ind w:left="334"/>
            </w:pPr>
            <w:r>
              <w:rPr>
                <w:spacing w:val="-2"/>
              </w:rPr>
              <w:t>增加量</w:t>
            </w:r>
          </w:p>
        </w:tc>
        <w:tc>
          <w:tcPr>
            <w:tcW w:w="893" w:type="dxa"/>
            <w:vAlign w:val="top"/>
          </w:tcPr>
          <w:p>
            <w:pPr>
              <w:pStyle w:val="6"/>
              <w:spacing w:before="222" w:line="221" w:lineRule="auto"/>
              <w:ind w:left="136"/>
            </w:pPr>
            <w:r>
              <w:rPr>
                <w:spacing w:val="-1"/>
              </w:rPr>
              <w:t>超标量</w:t>
            </w:r>
          </w:p>
        </w:tc>
        <w:tc>
          <w:tcPr>
            <w:tcW w:w="902" w:type="dxa"/>
            <w:vAlign w:val="top"/>
          </w:tcPr>
          <w:p>
            <w:pPr>
              <w:pStyle w:val="6"/>
              <w:spacing w:before="222" w:line="220" w:lineRule="auto"/>
              <w:ind w:left="144"/>
            </w:pPr>
            <w:r>
              <w:rPr>
                <w:spacing w:val="-2"/>
              </w:rPr>
              <w:t>贡献值</w:t>
            </w:r>
          </w:p>
        </w:tc>
        <w:tc>
          <w:tcPr>
            <w:tcW w:w="888" w:type="dxa"/>
            <w:vAlign w:val="top"/>
          </w:tcPr>
          <w:p>
            <w:pPr>
              <w:pStyle w:val="6"/>
              <w:spacing w:before="222" w:line="221" w:lineRule="auto"/>
              <w:ind w:left="136"/>
            </w:pPr>
            <w:r>
              <w:rPr>
                <w:spacing w:val="-2"/>
              </w:rPr>
              <w:t>预测值</w:t>
            </w:r>
          </w:p>
        </w:tc>
        <w:tc>
          <w:tcPr>
            <w:tcW w:w="1109" w:type="dxa"/>
            <w:vAlign w:val="top"/>
          </w:tcPr>
          <w:p>
            <w:pPr>
              <w:pStyle w:val="6"/>
              <w:spacing w:before="66" w:line="312" w:lineRule="exact"/>
              <w:ind w:left="245"/>
            </w:pPr>
            <w:r>
              <w:rPr>
                <w:spacing w:val="-2"/>
                <w:position w:val="7"/>
              </w:rPr>
              <w:t>较现状</w:t>
            </w:r>
          </w:p>
          <w:p>
            <w:pPr>
              <w:pStyle w:val="6"/>
              <w:spacing w:line="222" w:lineRule="auto"/>
              <w:ind w:left="246"/>
            </w:pPr>
            <w:r>
              <w:rPr>
                <w:spacing w:val="-2"/>
              </w:rPr>
              <w:t>增加量</w:t>
            </w:r>
          </w:p>
        </w:tc>
        <w:tc>
          <w:tcPr>
            <w:tcW w:w="977" w:type="dxa"/>
            <w:vAlign w:val="top"/>
          </w:tcPr>
          <w:p>
            <w:pPr>
              <w:pStyle w:val="6"/>
              <w:spacing w:before="222" w:line="221" w:lineRule="auto"/>
              <w:ind w:left="177"/>
            </w:pPr>
            <w:r>
              <w:rPr>
                <w:spacing w:val="-1"/>
              </w:rPr>
              <w:t>超标量</w:t>
            </w:r>
          </w:p>
        </w:tc>
        <w:tc>
          <w:tcPr>
            <w:tcW w:w="871" w:type="dxa"/>
            <w:vAlign w:val="top"/>
          </w:tcPr>
          <w:p>
            <w:pPr>
              <w:pStyle w:val="6"/>
              <w:spacing w:before="222" w:line="220" w:lineRule="auto"/>
              <w:ind w:left="130"/>
            </w:pPr>
            <w:r>
              <w:rPr>
                <w:spacing w:val="-2"/>
              </w:rPr>
              <w:t>贡献值</w:t>
            </w:r>
          </w:p>
        </w:tc>
        <w:tc>
          <w:tcPr>
            <w:tcW w:w="890" w:type="dxa"/>
            <w:vAlign w:val="top"/>
          </w:tcPr>
          <w:p>
            <w:pPr>
              <w:pStyle w:val="6"/>
              <w:spacing w:before="222" w:line="221" w:lineRule="auto"/>
              <w:ind w:left="139"/>
            </w:pPr>
            <w:r>
              <w:rPr>
                <w:spacing w:val="-2"/>
              </w:rPr>
              <w:t>预测值</w:t>
            </w:r>
          </w:p>
        </w:tc>
        <w:tc>
          <w:tcPr>
            <w:tcW w:w="1116" w:type="dxa"/>
            <w:vAlign w:val="top"/>
          </w:tcPr>
          <w:p>
            <w:pPr>
              <w:pStyle w:val="6"/>
              <w:spacing w:before="66" w:line="312" w:lineRule="exact"/>
              <w:ind w:left="250"/>
            </w:pPr>
            <w:r>
              <w:rPr>
                <w:spacing w:val="-2"/>
                <w:position w:val="7"/>
              </w:rPr>
              <w:t>较现状</w:t>
            </w:r>
          </w:p>
          <w:p>
            <w:pPr>
              <w:pStyle w:val="6"/>
              <w:spacing w:line="222" w:lineRule="auto"/>
              <w:ind w:left="251"/>
            </w:pPr>
            <w:r>
              <w:rPr>
                <w:spacing w:val="-2"/>
              </w:rPr>
              <w:t>增加量</w:t>
            </w:r>
          </w:p>
        </w:tc>
        <w:tc>
          <w:tcPr>
            <w:tcW w:w="984" w:type="dxa"/>
            <w:vAlign w:val="top"/>
          </w:tcPr>
          <w:p>
            <w:pPr>
              <w:pStyle w:val="6"/>
              <w:spacing w:before="222" w:line="221" w:lineRule="auto"/>
              <w:ind w:left="180"/>
            </w:pPr>
            <w:r>
              <w:rPr>
                <w:spacing w:val="-1"/>
              </w:rPr>
              <w:t>超标量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textDirection w:val="tbRlV"/>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4" w:line="221" w:lineRule="auto"/>
              <w:ind w:left="349"/>
            </w:pPr>
            <w:r>
              <w:rPr>
                <w:spacing w:val="-3"/>
              </w:rPr>
              <w:t>夜间</w:t>
            </w:r>
          </w:p>
        </w:tc>
        <w:tc>
          <w:tcPr>
            <w:tcW w:w="970" w:type="dxa"/>
            <w:vAlign w:val="top"/>
          </w:tcPr>
          <w:p>
            <w:pPr>
              <w:spacing w:before="103"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3"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799" w:type="dxa"/>
            <w:vAlign w:val="top"/>
          </w:tcPr>
          <w:p>
            <w:pPr>
              <w:spacing w:before="103"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974" w:type="dxa"/>
            <w:vAlign w:val="top"/>
          </w:tcPr>
          <w:p>
            <w:pPr>
              <w:spacing w:before="101"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41.2</w:t>
            </w:r>
          </w:p>
        </w:tc>
        <w:tc>
          <w:tcPr>
            <w:tcW w:w="1003"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42.7</w:t>
            </w:r>
          </w:p>
        </w:tc>
        <w:tc>
          <w:tcPr>
            <w:tcW w:w="1281" w:type="dxa"/>
            <w:vAlign w:val="top"/>
          </w:tcPr>
          <w:p>
            <w:pPr>
              <w:spacing w:before="10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w:t>
            </w:r>
          </w:p>
        </w:tc>
        <w:tc>
          <w:tcPr>
            <w:tcW w:w="893" w:type="dxa"/>
            <w:vAlign w:val="top"/>
          </w:tcPr>
          <w:p>
            <w:pPr>
              <w:spacing w:before="97"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44.2</w:t>
            </w:r>
          </w:p>
        </w:tc>
        <w:tc>
          <w:tcPr>
            <w:tcW w:w="888" w:type="dxa"/>
            <w:vAlign w:val="top"/>
          </w:tcPr>
          <w:p>
            <w:pPr>
              <w:spacing w:before="101"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1109" w:type="dxa"/>
            <w:vAlign w:val="top"/>
          </w:tcPr>
          <w:p>
            <w:pPr>
              <w:spacing w:before="101"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+7.6</w:t>
            </w:r>
          </w:p>
        </w:tc>
        <w:tc>
          <w:tcPr>
            <w:tcW w:w="977" w:type="dxa"/>
            <w:vAlign w:val="top"/>
          </w:tcPr>
          <w:p>
            <w:pPr>
              <w:spacing w:before="97"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1"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45.2</w:t>
            </w:r>
          </w:p>
        </w:tc>
        <w:tc>
          <w:tcPr>
            <w:tcW w:w="890" w:type="dxa"/>
            <w:vAlign w:val="top"/>
          </w:tcPr>
          <w:p>
            <w:pPr>
              <w:spacing w:before="101"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45.9</w:t>
            </w:r>
          </w:p>
        </w:tc>
        <w:tc>
          <w:tcPr>
            <w:tcW w:w="1116" w:type="dxa"/>
            <w:vAlign w:val="top"/>
          </w:tcPr>
          <w:p>
            <w:pPr>
              <w:spacing w:before="101"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+8.5</w:t>
            </w:r>
          </w:p>
        </w:tc>
        <w:tc>
          <w:tcPr>
            <w:tcW w:w="984" w:type="dxa"/>
            <w:vAlign w:val="top"/>
          </w:tcPr>
          <w:p>
            <w:pPr>
              <w:spacing w:before="97"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0"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111"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9" w:line="228" w:lineRule="auto"/>
              <w:ind w:left="346"/>
            </w:pPr>
            <w:r>
              <w:rPr>
                <w:spacing w:val="-2"/>
              </w:rPr>
              <w:t>包山</w:t>
            </w:r>
          </w:p>
        </w:tc>
        <w:tc>
          <w:tcPr>
            <w:tcW w:w="1060"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before="61" w:line="187" w:lineRule="auto"/>
              <w:ind w:left="44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013" w:type="dxa"/>
            <w:vMerge w:val="restart"/>
            <w:tcBorders>
              <w:bottom w:val="nil"/>
            </w:tcBorders>
            <w:vAlign w:val="top"/>
          </w:tcPr>
          <w:p>
            <w:pPr>
              <w:spacing w:before="276"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1094" w:type="dxa"/>
            <w:vMerge w:val="restart"/>
            <w:tcBorders>
              <w:bottom w:val="nil"/>
            </w:tcBorders>
            <w:vAlign w:val="top"/>
          </w:tcPr>
          <w:p>
            <w:pPr>
              <w:spacing w:line="258" w:lineRule="auto"/>
              <w:rPr>
                <w:rFonts w:ascii="Arial"/>
                <w:sz w:val="21"/>
              </w:rPr>
            </w:pPr>
          </w:p>
          <w:p>
            <w:pPr>
              <w:spacing w:line="258" w:lineRule="auto"/>
              <w:rPr>
                <w:rFonts w:ascii="Arial"/>
                <w:sz w:val="21"/>
              </w:rPr>
            </w:pPr>
          </w:p>
          <w:p>
            <w:pPr>
              <w:pStyle w:val="6"/>
              <w:spacing w:before="68" w:line="221" w:lineRule="auto"/>
              <w:ind w:left="31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1104" w:type="dxa"/>
            <w:vAlign w:val="top"/>
          </w:tcPr>
          <w:p>
            <w:pPr>
              <w:pStyle w:val="6"/>
              <w:spacing w:before="65" w:line="223" w:lineRule="auto"/>
              <w:ind w:left="345"/>
            </w:pPr>
            <w:r>
              <w:rPr>
                <w:spacing w:val="-2"/>
              </w:rPr>
              <w:t>昼间</w:t>
            </w:r>
          </w:p>
        </w:tc>
        <w:tc>
          <w:tcPr>
            <w:tcW w:w="970" w:type="dxa"/>
            <w:vAlign w:val="top"/>
          </w:tcPr>
          <w:p>
            <w:pPr>
              <w:spacing w:before="103"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78"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3"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799" w:type="dxa"/>
            <w:vAlign w:val="top"/>
          </w:tcPr>
          <w:p>
            <w:pPr>
              <w:spacing w:before="101"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974" w:type="dxa"/>
            <w:vAlign w:val="top"/>
          </w:tcPr>
          <w:p>
            <w:pPr>
              <w:spacing w:before="103"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66.7</w:t>
            </w:r>
          </w:p>
        </w:tc>
        <w:tc>
          <w:tcPr>
            <w:tcW w:w="1003" w:type="dxa"/>
            <w:vAlign w:val="top"/>
          </w:tcPr>
          <w:p>
            <w:pPr>
              <w:spacing w:before="101"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66.8</w:t>
            </w:r>
          </w:p>
        </w:tc>
        <w:tc>
          <w:tcPr>
            <w:tcW w:w="1281" w:type="dxa"/>
            <w:vAlign w:val="top"/>
          </w:tcPr>
          <w:p>
            <w:pPr>
              <w:spacing w:before="10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+6.2</w:t>
            </w:r>
          </w:p>
        </w:tc>
        <w:tc>
          <w:tcPr>
            <w:tcW w:w="893" w:type="dxa"/>
            <w:vAlign w:val="top"/>
          </w:tcPr>
          <w:p>
            <w:pPr>
              <w:spacing w:before="97"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1"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69.8</w:t>
            </w:r>
          </w:p>
        </w:tc>
        <w:tc>
          <w:tcPr>
            <w:tcW w:w="888" w:type="dxa"/>
            <w:vAlign w:val="top"/>
          </w:tcPr>
          <w:p>
            <w:pPr>
              <w:spacing w:before="101"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69.8</w:t>
            </w:r>
          </w:p>
        </w:tc>
        <w:tc>
          <w:tcPr>
            <w:tcW w:w="1109" w:type="dxa"/>
            <w:vAlign w:val="top"/>
          </w:tcPr>
          <w:p>
            <w:pPr>
              <w:spacing w:before="101"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w:t>
            </w:r>
          </w:p>
        </w:tc>
        <w:tc>
          <w:tcPr>
            <w:tcW w:w="977" w:type="dxa"/>
            <w:vAlign w:val="top"/>
          </w:tcPr>
          <w:p>
            <w:pPr>
              <w:spacing w:before="97"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1"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71.9</w:t>
            </w:r>
          </w:p>
        </w:tc>
        <w:tc>
          <w:tcPr>
            <w:tcW w:w="890" w:type="dxa"/>
            <w:vAlign w:val="top"/>
          </w:tcPr>
          <w:p>
            <w:pPr>
              <w:spacing w:before="101" w:line="187" w:lineRule="auto"/>
              <w:ind w:left="2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71.9</w:t>
            </w:r>
          </w:p>
        </w:tc>
        <w:tc>
          <w:tcPr>
            <w:tcW w:w="1116"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+11.3</w:t>
            </w:r>
          </w:p>
        </w:tc>
        <w:tc>
          <w:tcPr>
            <w:tcW w:w="984" w:type="dxa"/>
            <w:vAlign w:val="top"/>
          </w:tcPr>
          <w:p>
            <w:pPr>
              <w:spacing w:before="101"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4" w:line="221" w:lineRule="auto"/>
              <w:ind w:left="349"/>
            </w:pPr>
            <w:r>
              <w:rPr>
                <w:spacing w:val="-3"/>
              </w:rPr>
              <w:t>夜间</w:t>
            </w:r>
          </w:p>
        </w:tc>
        <w:tc>
          <w:tcPr>
            <w:tcW w:w="970" w:type="dxa"/>
            <w:vAlign w:val="top"/>
          </w:tcPr>
          <w:p>
            <w:pPr>
              <w:spacing w:before="106"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3"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799" w:type="dxa"/>
            <w:vAlign w:val="top"/>
          </w:tcPr>
          <w:p>
            <w:pPr>
              <w:spacing w:before="101"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974" w:type="dxa"/>
            <w:vAlign w:val="top"/>
          </w:tcPr>
          <w:p>
            <w:pPr>
              <w:spacing w:before="103"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61.3</w:t>
            </w:r>
          </w:p>
        </w:tc>
        <w:tc>
          <w:tcPr>
            <w:tcW w:w="1003" w:type="dxa"/>
            <w:vAlign w:val="top"/>
          </w:tcPr>
          <w:p>
            <w:pPr>
              <w:spacing w:before="101"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61.3</w:t>
            </w:r>
          </w:p>
        </w:tc>
        <w:tc>
          <w:tcPr>
            <w:tcW w:w="1281" w:type="dxa"/>
            <w:vAlign w:val="top"/>
          </w:tcPr>
          <w:p>
            <w:pPr>
              <w:spacing w:before="10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+8.4</w:t>
            </w:r>
          </w:p>
        </w:tc>
        <w:tc>
          <w:tcPr>
            <w:tcW w:w="893" w:type="dxa"/>
            <w:vAlign w:val="top"/>
          </w:tcPr>
          <w:p>
            <w:pPr>
              <w:spacing w:before="101"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w:t>
            </w:r>
          </w:p>
        </w:tc>
        <w:tc>
          <w:tcPr>
            <w:tcW w:w="902" w:type="dxa"/>
            <w:vAlign w:val="top"/>
          </w:tcPr>
          <w:p>
            <w:pPr>
              <w:spacing w:before="101"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64.3</w:t>
            </w:r>
          </w:p>
        </w:tc>
        <w:tc>
          <w:tcPr>
            <w:tcW w:w="888" w:type="dxa"/>
            <w:vAlign w:val="top"/>
          </w:tcPr>
          <w:p>
            <w:pPr>
              <w:spacing w:before="101"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64.3</w:t>
            </w:r>
          </w:p>
        </w:tc>
        <w:tc>
          <w:tcPr>
            <w:tcW w:w="1109" w:type="dxa"/>
            <w:vAlign w:val="top"/>
          </w:tcPr>
          <w:p>
            <w:pPr>
              <w:spacing w:before="101"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+11.4</w:t>
            </w:r>
          </w:p>
        </w:tc>
        <w:tc>
          <w:tcPr>
            <w:tcW w:w="977" w:type="dxa"/>
            <w:vAlign w:val="top"/>
          </w:tcPr>
          <w:p>
            <w:pPr>
              <w:spacing w:before="101"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+9.3</w:t>
            </w:r>
          </w:p>
        </w:tc>
        <w:tc>
          <w:tcPr>
            <w:tcW w:w="871" w:type="dxa"/>
            <w:vAlign w:val="top"/>
          </w:tcPr>
          <w:p>
            <w:pPr>
              <w:spacing w:before="101"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65.3</w:t>
            </w:r>
          </w:p>
        </w:tc>
        <w:tc>
          <w:tcPr>
            <w:tcW w:w="890" w:type="dxa"/>
            <w:vAlign w:val="top"/>
          </w:tcPr>
          <w:p>
            <w:pPr>
              <w:spacing w:before="10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65.3</w:t>
            </w:r>
          </w:p>
        </w:tc>
        <w:tc>
          <w:tcPr>
            <w:tcW w:w="1116"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+12.4</w:t>
            </w:r>
          </w:p>
        </w:tc>
        <w:tc>
          <w:tcPr>
            <w:tcW w:w="984" w:type="dxa"/>
            <w:vAlign w:val="top"/>
          </w:tcPr>
          <w:p>
            <w:pPr>
              <w:spacing w:before="101"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79" w:line="184" w:lineRule="auto"/>
              <w:ind w:left="462"/>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5" w:line="223" w:lineRule="auto"/>
              <w:ind w:left="345"/>
            </w:pPr>
            <w:r>
              <w:rPr>
                <w:spacing w:val="-2"/>
              </w:rPr>
              <w:t>昼间</w:t>
            </w:r>
          </w:p>
        </w:tc>
        <w:tc>
          <w:tcPr>
            <w:tcW w:w="970" w:type="dxa"/>
            <w:vAlign w:val="top"/>
          </w:tcPr>
          <w:p>
            <w:pPr>
              <w:spacing w:before="103"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78"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3"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799" w:type="dxa"/>
            <w:vAlign w:val="top"/>
          </w:tcPr>
          <w:p>
            <w:pPr>
              <w:spacing w:before="101"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974" w:type="dxa"/>
            <w:vAlign w:val="top"/>
          </w:tcPr>
          <w:p>
            <w:pPr>
              <w:spacing w:before="103"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66.2</w:t>
            </w:r>
          </w:p>
        </w:tc>
        <w:tc>
          <w:tcPr>
            <w:tcW w:w="1003" w:type="dxa"/>
            <w:vAlign w:val="top"/>
          </w:tcPr>
          <w:p>
            <w:pPr>
              <w:spacing w:before="101"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66.3</w:t>
            </w:r>
          </w:p>
        </w:tc>
        <w:tc>
          <w:tcPr>
            <w:tcW w:w="1281" w:type="dxa"/>
            <w:vAlign w:val="top"/>
          </w:tcPr>
          <w:p>
            <w:pPr>
              <w:spacing w:before="10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893" w:type="dxa"/>
            <w:vAlign w:val="top"/>
          </w:tcPr>
          <w:p>
            <w:pPr>
              <w:spacing w:before="97"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1"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69.2</w:t>
            </w:r>
          </w:p>
        </w:tc>
        <w:tc>
          <w:tcPr>
            <w:tcW w:w="888" w:type="dxa"/>
            <w:vAlign w:val="top"/>
          </w:tcPr>
          <w:p>
            <w:pPr>
              <w:spacing w:before="101"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69.3</w:t>
            </w:r>
          </w:p>
        </w:tc>
        <w:tc>
          <w:tcPr>
            <w:tcW w:w="1109" w:type="dxa"/>
            <w:vAlign w:val="top"/>
          </w:tcPr>
          <w:p>
            <w:pPr>
              <w:spacing w:before="104" w:line="184"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+7.7</w:t>
            </w:r>
          </w:p>
        </w:tc>
        <w:tc>
          <w:tcPr>
            <w:tcW w:w="977" w:type="dxa"/>
            <w:vAlign w:val="top"/>
          </w:tcPr>
          <w:p>
            <w:pPr>
              <w:spacing w:before="97"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1"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71.7</w:t>
            </w:r>
          </w:p>
        </w:tc>
        <w:tc>
          <w:tcPr>
            <w:tcW w:w="890" w:type="dxa"/>
            <w:vAlign w:val="top"/>
          </w:tcPr>
          <w:p>
            <w:pPr>
              <w:spacing w:before="101" w:line="187" w:lineRule="auto"/>
              <w:ind w:left="2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71.7</w:t>
            </w:r>
          </w:p>
        </w:tc>
        <w:tc>
          <w:tcPr>
            <w:tcW w:w="1116"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+10.1</w:t>
            </w:r>
          </w:p>
        </w:tc>
        <w:tc>
          <w:tcPr>
            <w:tcW w:w="984" w:type="dxa"/>
            <w:vAlign w:val="top"/>
          </w:tcPr>
          <w:p>
            <w:pPr>
              <w:spacing w:before="101"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4" w:line="221" w:lineRule="auto"/>
              <w:ind w:left="349"/>
            </w:pPr>
            <w:r>
              <w:rPr>
                <w:spacing w:val="-3"/>
              </w:rPr>
              <w:t>夜间</w:t>
            </w:r>
          </w:p>
        </w:tc>
        <w:tc>
          <w:tcPr>
            <w:tcW w:w="970" w:type="dxa"/>
            <w:vAlign w:val="top"/>
          </w:tcPr>
          <w:p>
            <w:pPr>
              <w:spacing w:before="106"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3"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799" w:type="dxa"/>
            <w:vAlign w:val="top"/>
          </w:tcPr>
          <w:p>
            <w:pPr>
              <w:spacing w:before="101"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974" w:type="dxa"/>
            <w:vAlign w:val="top"/>
          </w:tcPr>
          <w:p>
            <w:pPr>
              <w:spacing w:before="103"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60.8</w:t>
            </w:r>
          </w:p>
        </w:tc>
        <w:tc>
          <w:tcPr>
            <w:tcW w:w="1003" w:type="dxa"/>
            <w:vAlign w:val="top"/>
          </w:tcPr>
          <w:p>
            <w:pPr>
              <w:spacing w:before="101"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60.8</w:t>
            </w:r>
          </w:p>
        </w:tc>
        <w:tc>
          <w:tcPr>
            <w:tcW w:w="1281" w:type="dxa"/>
            <w:vAlign w:val="top"/>
          </w:tcPr>
          <w:p>
            <w:pPr>
              <w:spacing w:before="10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+7.6</w:t>
            </w:r>
          </w:p>
        </w:tc>
        <w:tc>
          <w:tcPr>
            <w:tcW w:w="893" w:type="dxa"/>
            <w:vAlign w:val="top"/>
          </w:tcPr>
          <w:p>
            <w:pPr>
              <w:spacing w:before="101"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+5.8</w:t>
            </w:r>
          </w:p>
        </w:tc>
        <w:tc>
          <w:tcPr>
            <w:tcW w:w="902" w:type="dxa"/>
            <w:vAlign w:val="top"/>
          </w:tcPr>
          <w:p>
            <w:pPr>
              <w:spacing w:before="101"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63.7</w:t>
            </w:r>
          </w:p>
        </w:tc>
        <w:tc>
          <w:tcPr>
            <w:tcW w:w="888" w:type="dxa"/>
            <w:vAlign w:val="top"/>
          </w:tcPr>
          <w:p>
            <w:pPr>
              <w:spacing w:before="101"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63.7</w:t>
            </w:r>
          </w:p>
        </w:tc>
        <w:tc>
          <w:tcPr>
            <w:tcW w:w="1109" w:type="dxa"/>
            <w:vAlign w:val="top"/>
          </w:tcPr>
          <w:p>
            <w:pPr>
              <w:spacing w:before="101"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+10.5</w:t>
            </w:r>
          </w:p>
        </w:tc>
        <w:tc>
          <w:tcPr>
            <w:tcW w:w="977" w:type="dxa"/>
            <w:vAlign w:val="top"/>
          </w:tcPr>
          <w:p>
            <w:pPr>
              <w:spacing w:before="101"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+8.7</w:t>
            </w:r>
          </w:p>
        </w:tc>
        <w:tc>
          <w:tcPr>
            <w:tcW w:w="871" w:type="dxa"/>
            <w:vAlign w:val="top"/>
          </w:tcPr>
          <w:p>
            <w:pPr>
              <w:spacing w:before="101"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64.7</w:t>
            </w:r>
          </w:p>
        </w:tc>
        <w:tc>
          <w:tcPr>
            <w:tcW w:w="890" w:type="dxa"/>
            <w:vAlign w:val="top"/>
          </w:tcPr>
          <w:p>
            <w:pPr>
              <w:spacing w:before="10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64.7</w:t>
            </w:r>
          </w:p>
        </w:tc>
        <w:tc>
          <w:tcPr>
            <w:tcW w:w="1116" w:type="dxa"/>
            <w:vAlign w:val="top"/>
          </w:tcPr>
          <w:p>
            <w:pPr>
              <w:spacing w:before="101"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+11.5</w:t>
            </w:r>
          </w:p>
        </w:tc>
        <w:tc>
          <w:tcPr>
            <w:tcW w:w="984" w:type="dxa"/>
            <w:vAlign w:val="top"/>
          </w:tcPr>
          <w:p>
            <w:pPr>
              <w:spacing w:before="101"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restart"/>
            <w:tcBorders>
              <w:bottom w:val="nil"/>
            </w:tcBorders>
            <w:vAlign w:val="top"/>
          </w:tcPr>
          <w:p>
            <w:pPr>
              <w:spacing w:line="300" w:lineRule="auto"/>
              <w:rPr>
                <w:rFonts w:ascii="Arial"/>
                <w:sz w:val="21"/>
              </w:rPr>
            </w:pPr>
          </w:p>
          <w:p>
            <w:pPr>
              <w:spacing w:line="301" w:lineRule="auto"/>
              <w:rPr>
                <w:rFonts w:ascii="Arial"/>
                <w:sz w:val="21"/>
              </w:rPr>
            </w:pPr>
          </w:p>
          <w:p>
            <w:pPr>
              <w:spacing w:before="60" w:line="187"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013" w:type="dxa"/>
            <w:vMerge w:val="restart"/>
            <w:tcBorders>
              <w:bottom w:val="nil"/>
            </w:tcBorders>
            <w:vAlign w:val="top"/>
          </w:tcPr>
          <w:p>
            <w:pPr>
              <w:spacing w:line="255" w:lineRule="auto"/>
              <w:rPr>
                <w:rFonts w:ascii="Arial"/>
                <w:sz w:val="21"/>
              </w:rPr>
            </w:pPr>
          </w:p>
          <w:p>
            <w:pPr>
              <w:spacing w:before="60"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19.5</w:t>
            </w:r>
          </w:p>
        </w:tc>
        <w:tc>
          <w:tcPr>
            <w:tcW w:w="1094" w:type="dxa"/>
            <w:vMerge w:val="restart"/>
            <w:tcBorders>
              <w:bottom w:val="nil"/>
            </w:tcBorders>
            <w:vAlign w:val="top"/>
          </w:tcPr>
          <w:p>
            <w:pPr>
              <w:spacing w:line="278" w:lineRule="auto"/>
              <w:rPr>
                <w:rFonts w:ascii="Arial"/>
                <w:sz w:val="21"/>
              </w:rPr>
            </w:pPr>
          </w:p>
          <w:p>
            <w:pPr>
              <w:spacing w:line="278" w:lineRule="auto"/>
              <w:rPr>
                <w:rFonts w:ascii="Arial"/>
                <w:sz w:val="21"/>
              </w:rPr>
            </w:pPr>
          </w:p>
          <w:p>
            <w:pPr>
              <w:pStyle w:val="6"/>
              <w:spacing w:before="69"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106" w:line="223" w:lineRule="auto"/>
              <w:ind w:left="345"/>
            </w:pPr>
            <w:r>
              <w:rPr>
                <w:spacing w:val="-2"/>
              </w:rPr>
              <w:t>昼间</w:t>
            </w:r>
          </w:p>
        </w:tc>
        <w:tc>
          <w:tcPr>
            <w:tcW w:w="970" w:type="dxa"/>
            <w:vAlign w:val="top"/>
          </w:tcPr>
          <w:p>
            <w:pPr>
              <w:spacing w:before="144"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line="257" w:lineRule="auto"/>
              <w:rPr>
                <w:rFonts w:ascii="Arial"/>
                <w:sz w:val="21"/>
              </w:rPr>
            </w:pPr>
          </w:p>
          <w:p>
            <w:pPr>
              <w:spacing w:before="61"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44"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799" w:type="dxa"/>
            <w:vAlign w:val="top"/>
          </w:tcPr>
          <w:p>
            <w:pPr>
              <w:spacing w:before="144"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974" w:type="dxa"/>
            <w:vAlign w:val="top"/>
          </w:tcPr>
          <w:p>
            <w:pPr>
              <w:spacing w:before="144"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1003" w:type="dxa"/>
            <w:vAlign w:val="top"/>
          </w:tcPr>
          <w:p>
            <w:pPr>
              <w:spacing w:before="141"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1281" w:type="dxa"/>
            <w:vAlign w:val="top"/>
          </w:tcPr>
          <w:p>
            <w:pPr>
              <w:spacing w:before="14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893" w:type="dxa"/>
            <w:vAlign w:val="top"/>
          </w:tcPr>
          <w:p>
            <w:pPr>
              <w:spacing w:before="138"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41"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50.9</w:t>
            </w:r>
          </w:p>
        </w:tc>
        <w:tc>
          <w:tcPr>
            <w:tcW w:w="888" w:type="dxa"/>
            <w:vAlign w:val="top"/>
          </w:tcPr>
          <w:p>
            <w:pPr>
              <w:spacing w:before="14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52.7</w:t>
            </w:r>
          </w:p>
        </w:tc>
        <w:tc>
          <w:tcPr>
            <w:tcW w:w="1109" w:type="dxa"/>
            <w:vAlign w:val="top"/>
          </w:tcPr>
          <w:p>
            <w:pPr>
              <w:spacing w:before="141"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977" w:type="dxa"/>
            <w:vAlign w:val="top"/>
          </w:tcPr>
          <w:p>
            <w:pPr>
              <w:spacing w:before="138"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41"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55.1</w:t>
            </w:r>
          </w:p>
        </w:tc>
        <w:tc>
          <w:tcPr>
            <w:tcW w:w="890" w:type="dxa"/>
            <w:vAlign w:val="top"/>
          </w:tcPr>
          <w:p>
            <w:pPr>
              <w:spacing w:before="141"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55.9</w:t>
            </w:r>
          </w:p>
        </w:tc>
        <w:tc>
          <w:tcPr>
            <w:tcW w:w="1116" w:type="dxa"/>
            <w:vAlign w:val="top"/>
          </w:tcPr>
          <w:p>
            <w:pPr>
              <w:spacing w:before="141"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w:t>
            </w:r>
          </w:p>
        </w:tc>
        <w:tc>
          <w:tcPr>
            <w:tcW w:w="984" w:type="dxa"/>
            <w:vAlign w:val="top"/>
          </w:tcPr>
          <w:p>
            <w:pPr>
              <w:spacing w:before="138"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7" w:line="221" w:lineRule="auto"/>
              <w:ind w:left="349"/>
            </w:pPr>
            <w:r>
              <w:rPr>
                <w:spacing w:val="-3"/>
              </w:rPr>
              <w:t>夜间</w:t>
            </w:r>
          </w:p>
        </w:tc>
        <w:tc>
          <w:tcPr>
            <w:tcW w:w="970" w:type="dxa"/>
            <w:vAlign w:val="top"/>
          </w:tcPr>
          <w:p>
            <w:pPr>
              <w:spacing w:before="106"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6"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799" w:type="dxa"/>
            <w:vAlign w:val="top"/>
          </w:tcPr>
          <w:p>
            <w:pPr>
              <w:spacing w:before="106"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974" w:type="dxa"/>
            <w:vAlign w:val="top"/>
          </w:tcPr>
          <w:p>
            <w:pPr>
              <w:spacing w:before="106"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w:t>
            </w:r>
          </w:p>
        </w:tc>
        <w:tc>
          <w:tcPr>
            <w:tcW w:w="1003" w:type="dxa"/>
            <w:vAlign w:val="top"/>
          </w:tcPr>
          <w:p>
            <w:pPr>
              <w:spacing w:before="103"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43.2</w:t>
            </w:r>
          </w:p>
        </w:tc>
        <w:tc>
          <w:tcPr>
            <w:tcW w:w="1281" w:type="dxa"/>
            <w:vAlign w:val="top"/>
          </w:tcPr>
          <w:p>
            <w:pPr>
              <w:spacing w:before="103"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+8.0</w:t>
            </w:r>
          </w:p>
        </w:tc>
        <w:tc>
          <w:tcPr>
            <w:tcW w:w="893" w:type="dxa"/>
            <w:vAlign w:val="top"/>
          </w:tcPr>
          <w:p>
            <w:pPr>
              <w:spacing w:before="100" w:line="231"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3"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45.4</w:t>
            </w:r>
          </w:p>
        </w:tc>
        <w:tc>
          <w:tcPr>
            <w:tcW w:w="888" w:type="dxa"/>
            <w:vAlign w:val="top"/>
          </w:tcPr>
          <w:p>
            <w:pPr>
              <w:spacing w:before="103"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45.8</w:t>
            </w:r>
          </w:p>
        </w:tc>
        <w:tc>
          <w:tcPr>
            <w:tcW w:w="1109" w:type="dxa"/>
            <w:vAlign w:val="top"/>
          </w:tcPr>
          <w:p>
            <w:pPr>
              <w:spacing w:before="103"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+10.6</w:t>
            </w:r>
          </w:p>
        </w:tc>
        <w:tc>
          <w:tcPr>
            <w:tcW w:w="977" w:type="dxa"/>
            <w:vAlign w:val="top"/>
          </w:tcPr>
          <w:p>
            <w:pPr>
              <w:spacing w:before="100" w:line="231"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3"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46.4</w:t>
            </w:r>
          </w:p>
        </w:tc>
        <w:tc>
          <w:tcPr>
            <w:tcW w:w="890" w:type="dxa"/>
            <w:vAlign w:val="top"/>
          </w:tcPr>
          <w:p>
            <w:pPr>
              <w:spacing w:before="103"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46.7</w:t>
            </w:r>
          </w:p>
        </w:tc>
        <w:tc>
          <w:tcPr>
            <w:tcW w:w="1116" w:type="dxa"/>
            <w:vAlign w:val="top"/>
          </w:tcPr>
          <w:p>
            <w:pPr>
              <w:spacing w:before="103"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+11.5</w:t>
            </w:r>
          </w:p>
        </w:tc>
        <w:tc>
          <w:tcPr>
            <w:tcW w:w="984" w:type="dxa"/>
            <w:vAlign w:val="top"/>
          </w:tcPr>
          <w:p>
            <w:pPr>
              <w:spacing w:before="100" w:line="231"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79" w:line="187" w:lineRule="auto"/>
              <w:ind w:left="4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8" w:line="223" w:lineRule="auto"/>
              <w:ind w:left="345"/>
            </w:pPr>
            <w:r>
              <w:rPr>
                <w:spacing w:val="-2"/>
              </w:rPr>
              <w:t>昼间</w:t>
            </w:r>
          </w:p>
        </w:tc>
        <w:tc>
          <w:tcPr>
            <w:tcW w:w="970" w:type="dxa"/>
            <w:vAlign w:val="top"/>
          </w:tcPr>
          <w:p>
            <w:pPr>
              <w:spacing w:before="106"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79"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6"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799" w:type="dxa"/>
            <w:vAlign w:val="top"/>
          </w:tcPr>
          <w:p>
            <w:pPr>
              <w:spacing w:before="106"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974" w:type="dxa"/>
            <w:vAlign w:val="top"/>
          </w:tcPr>
          <w:p>
            <w:pPr>
              <w:spacing w:before="106"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52.8</w:t>
            </w:r>
          </w:p>
        </w:tc>
        <w:tc>
          <w:tcPr>
            <w:tcW w:w="1003" w:type="dxa"/>
            <w:vAlign w:val="top"/>
          </w:tcPr>
          <w:p>
            <w:pPr>
              <w:spacing w:before="10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1281" w:type="dxa"/>
            <w:vAlign w:val="top"/>
          </w:tcPr>
          <w:p>
            <w:pPr>
              <w:spacing w:before="10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w:t>
            </w:r>
          </w:p>
        </w:tc>
        <w:tc>
          <w:tcPr>
            <w:tcW w:w="893" w:type="dxa"/>
            <w:vAlign w:val="top"/>
          </w:tcPr>
          <w:p>
            <w:pPr>
              <w:spacing w:before="100" w:line="231"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55.8</w:t>
            </w:r>
          </w:p>
        </w:tc>
        <w:tc>
          <w:tcPr>
            <w:tcW w:w="888"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57.2</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+5.6</w:t>
            </w:r>
          </w:p>
        </w:tc>
        <w:tc>
          <w:tcPr>
            <w:tcW w:w="977" w:type="dxa"/>
            <w:vAlign w:val="top"/>
          </w:tcPr>
          <w:p>
            <w:pPr>
              <w:spacing w:before="100" w:line="231"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57.3</w:t>
            </w:r>
          </w:p>
        </w:tc>
        <w:tc>
          <w:tcPr>
            <w:tcW w:w="890" w:type="dxa"/>
            <w:vAlign w:val="top"/>
          </w:tcPr>
          <w:p>
            <w:pPr>
              <w:spacing w:before="10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58.3</w:t>
            </w:r>
          </w:p>
        </w:tc>
        <w:tc>
          <w:tcPr>
            <w:tcW w:w="1116" w:type="dxa"/>
            <w:vAlign w:val="top"/>
          </w:tcPr>
          <w:p>
            <w:pPr>
              <w:spacing w:before="104"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w:t>
            </w:r>
          </w:p>
        </w:tc>
        <w:tc>
          <w:tcPr>
            <w:tcW w:w="984" w:type="dxa"/>
            <w:vAlign w:val="top"/>
          </w:tcPr>
          <w:p>
            <w:pPr>
              <w:spacing w:before="100" w:line="231"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7" w:line="221" w:lineRule="auto"/>
              <w:ind w:left="349"/>
            </w:pPr>
            <w:r>
              <w:rPr>
                <w:spacing w:val="-3"/>
              </w:rPr>
              <w:t>夜间</w:t>
            </w:r>
          </w:p>
        </w:tc>
        <w:tc>
          <w:tcPr>
            <w:tcW w:w="970" w:type="dxa"/>
            <w:vAlign w:val="top"/>
          </w:tcPr>
          <w:p>
            <w:pPr>
              <w:spacing w:before="106"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6"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799" w:type="dxa"/>
            <w:vAlign w:val="top"/>
          </w:tcPr>
          <w:p>
            <w:pPr>
              <w:spacing w:before="106"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974" w:type="dxa"/>
            <w:vAlign w:val="top"/>
          </w:tcPr>
          <w:p>
            <w:pPr>
              <w:spacing w:before="106"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47.4</w:t>
            </w:r>
          </w:p>
        </w:tc>
        <w:tc>
          <w:tcPr>
            <w:tcW w:w="1003"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1281" w:type="dxa"/>
            <w:vAlign w:val="top"/>
          </w:tcPr>
          <w:p>
            <w:pPr>
              <w:spacing w:before="104"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+10.4</w:t>
            </w:r>
          </w:p>
        </w:tc>
        <w:tc>
          <w:tcPr>
            <w:tcW w:w="893" w:type="dxa"/>
            <w:vAlign w:val="top"/>
          </w:tcPr>
          <w:p>
            <w:pPr>
              <w:spacing w:before="100" w:line="231"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50.3</w:t>
            </w:r>
          </w:p>
        </w:tc>
        <w:tc>
          <w:tcPr>
            <w:tcW w:w="888"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50.5</w:t>
            </w:r>
          </w:p>
        </w:tc>
        <w:tc>
          <w:tcPr>
            <w:tcW w:w="1109" w:type="dxa"/>
            <w:vAlign w:val="top"/>
          </w:tcPr>
          <w:p>
            <w:pPr>
              <w:spacing w:before="104"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+13.1</w:t>
            </w:r>
          </w:p>
        </w:tc>
        <w:tc>
          <w:tcPr>
            <w:tcW w:w="977" w:type="dxa"/>
            <w:vAlign w:val="top"/>
          </w:tcPr>
          <w:p>
            <w:pPr>
              <w:spacing w:before="104"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c>
          <w:tcPr>
            <w:tcW w:w="871"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51.3</w:t>
            </w:r>
          </w:p>
        </w:tc>
        <w:tc>
          <w:tcPr>
            <w:tcW w:w="890" w:type="dxa"/>
            <w:vAlign w:val="top"/>
          </w:tcPr>
          <w:p>
            <w:pPr>
              <w:spacing w:before="10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51.5</w:t>
            </w:r>
          </w:p>
        </w:tc>
        <w:tc>
          <w:tcPr>
            <w:tcW w:w="1116"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+14.1</w:t>
            </w:r>
          </w:p>
        </w:tc>
        <w:tc>
          <w:tcPr>
            <w:tcW w:w="984" w:type="dxa"/>
            <w:vAlign w:val="top"/>
          </w:tcPr>
          <w:p>
            <w:pPr>
              <w:spacing w:before="104"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0"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111"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21" w:lineRule="auto"/>
              <w:ind w:left="347"/>
            </w:pPr>
            <w:r>
              <w:rPr>
                <w:spacing w:val="-2"/>
              </w:rPr>
              <w:t>凤鸣</w:t>
            </w:r>
          </w:p>
        </w:tc>
        <w:tc>
          <w:tcPr>
            <w:tcW w:w="1060"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1" w:line="187"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013" w:type="dxa"/>
            <w:vMerge w:val="restart"/>
            <w:tcBorders>
              <w:bottom w:val="nil"/>
            </w:tcBorders>
            <w:vAlign w:val="top"/>
          </w:tcPr>
          <w:p>
            <w:pPr>
              <w:spacing w:before="279"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11.5</w:t>
            </w:r>
          </w:p>
        </w:tc>
        <w:tc>
          <w:tcPr>
            <w:tcW w:w="1094"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21" w:lineRule="auto"/>
              <w:ind w:left="31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1104" w:type="dxa"/>
            <w:vAlign w:val="top"/>
          </w:tcPr>
          <w:p>
            <w:pPr>
              <w:pStyle w:val="6"/>
              <w:spacing w:before="68" w:line="223" w:lineRule="auto"/>
              <w:ind w:left="345"/>
            </w:pPr>
            <w:r>
              <w:rPr>
                <w:spacing w:val="-2"/>
              </w:rPr>
              <w:t>昼间</w:t>
            </w:r>
          </w:p>
        </w:tc>
        <w:tc>
          <w:tcPr>
            <w:tcW w:w="970" w:type="dxa"/>
            <w:vAlign w:val="top"/>
          </w:tcPr>
          <w:p>
            <w:pPr>
              <w:spacing w:before="106"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79"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6"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799" w:type="dxa"/>
            <w:vAlign w:val="top"/>
          </w:tcPr>
          <w:p>
            <w:pPr>
              <w:spacing w:before="104"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57.8</w:t>
            </w:r>
          </w:p>
        </w:tc>
        <w:tc>
          <w:tcPr>
            <w:tcW w:w="1003" w:type="dxa"/>
            <w:vAlign w:val="top"/>
          </w:tcPr>
          <w:p>
            <w:pPr>
              <w:spacing w:before="10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58.2</w:t>
            </w:r>
          </w:p>
        </w:tc>
        <w:tc>
          <w:tcPr>
            <w:tcW w:w="1281" w:type="dxa"/>
            <w:vAlign w:val="top"/>
          </w:tcPr>
          <w:p>
            <w:pPr>
              <w:spacing w:before="104"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-2.4</w:t>
            </w:r>
          </w:p>
        </w:tc>
        <w:tc>
          <w:tcPr>
            <w:tcW w:w="893" w:type="dxa"/>
            <w:vAlign w:val="top"/>
          </w:tcPr>
          <w:p>
            <w:pPr>
              <w:spacing w:before="100" w:line="231"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60.8</w:t>
            </w:r>
          </w:p>
        </w:tc>
        <w:tc>
          <w:tcPr>
            <w:tcW w:w="888" w:type="dxa"/>
            <w:vAlign w:val="top"/>
          </w:tcPr>
          <w:p>
            <w:pPr>
              <w:spacing w:before="104"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61.0</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w:t>
            </w:r>
          </w:p>
        </w:tc>
        <w:tc>
          <w:tcPr>
            <w:tcW w:w="977" w:type="dxa"/>
            <w:vAlign w:val="top"/>
          </w:tcPr>
          <w:p>
            <w:pPr>
              <w:spacing w:before="100" w:line="231"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64.8</w:t>
            </w:r>
          </w:p>
        </w:tc>
        <w:tc>
          <w:tcPr>
            <w:tcW w:w="890"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64.9</w:t>
            </w:r>
          </w:p>
        </w:tc>
        <w:tc>
          <w:tcPr>
            <w:tcW w:w="1116" w:type="dxa"/>
            <w:vAlign w:val="top"/>
          </w:tcPr>
          <w:p>
            <w:pPr>
              <w:spacing w:before="104"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984" w:type="dxa"/>
            <w:vAlign w:val="top"/>
          </w:tcPr>
          <w:p>
            <w:pPr>
              <w:spacing w:before="100" w:line="231"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7" w:line="221" w:lineRule="auto"/>
              <w:ind w:left="349"/>
            </w:pPr>
            <w:r>
              <w:rPr>
                <w:spacing w:val="-3"/>
              </w:rPr>
              <w:t>夜间</w:t>
            </w:r>
          </w:p>
        </w:tc>
        <w:tc>
          <w:tcPr>
            <w:tcW w:w="970" w:type="dxa"/>
            <w:vAlign w:val="top"/>
          </w:tcPr>
          <w:p>
            <w:pPr>
              <w:spacing w:before="109"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6"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799" w:type="dxa"/>
            <w:vAlign w:val="top"/>
          </w:tcPr>
          <w:p>
            <w:pPr>
              <w:spacing w:before="10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1003" w:type="dxa"/>
            <w:vAlign w:val="top"/>
          </w:tcPr>
          <w:p>
            <w:pPr>
              <w:spacing w:before="10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52.5</w:t>
            </w:r>
          </w:p>
        </w:tc>
        <w:tc>
          <w:tcPr>
            <w:tcW w:w="1281" w:type="dxa"/>
            <w:vAlign w:val="top"/>
          </w:tcPr>
          <w:p>
            <w:pPr>
              <w:spacing w:before="104"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w:t>
            </w:r>
          </w:p>
        </w:tc>
        <w:tc>
          <w:tcPr>
            <w:tcW w:w="893" w:type="dxa"/>
            <w:vAlign w:val="top"/>
          </w:tcPr>
          <w:p>
            <w:pPr>
              <w:spacing w:before="100" w:line="231"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55.4</w:t>
            </w:r>
          </w:p>
        </w:tc>
        <w:tc>
          <w:tcPr>
            <w:tcW w:w="888"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55.4</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977" w:type="dxa"/>
            <w:vAlign w:val="top"/>
          </w:tcPr>
          <w:p>
            <w:pPr>
              <w:spacing w:before="104"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w:t>
            </w:r>
          </w:p>
        </w:tc>
        <w:tc>
          <w:tcPr>
            <w:tcW w:w="871"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890" w:type="dxa"/>
            <w:vAlign w:val="top"/>
          </w:tcPr>
          <w:p>
            <w:pPr>
              <w:spacing w:before="10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1116" w:type="dxa"/>
            <w:vAlign w:val="top"/>
          </w:tcPr>
          <w:p>
            <w:pPr>
              <w:spacing w:before="104"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984" w:type="dxa"/>
            <w:vAlign w:val="top"/>
          </w:tcPr>
          <w:p>
            <w:pPr>
              <w:spacing w:before="104"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79" w:line="187" w:lineRule="auto"/>
              <w:ind w:left="42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8" w:line="223" w:lineRule="auto"/>
              <w:ind w:left="345"/>
            </w:pPr>
            <w:r>
              <w:rPr>
                <w:spacing w:val="-2"/>
              </w:rPr>
              <w:t>昼间</w:t>
            </w:r>
          </w:p>
        </w:tc>
        <w:tc>
          <w:tcPr>
            <w:tcW w:w="970" w:type="dxa"/>
            <w:vAlign w:val="top"/>
          </w:tcPr>
          <w:p>
            <w:pPr>
              <w:spacing w:before="106"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79"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6"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799" w:type="dxa"/>
            <w:vAlign w:val="top"/>
          </w:tcPr>
          <w:p>
            <w:pPr>
              <w:spacing w:before="104"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974" w:type="dxa"/>
            <w:vAlign w:val="top"/>
          </w:tcPr>
          <w:p>
            <w:pPr>
              <w:spacing w:before="104"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60.7</w:t>
            </w:r>
          </w:p>
        </w:tc>
        <w:tc>
          <w:tcPr>
            <w:tcW w:w="1003" w:type="dxa"/>
            <w:vAlign w:val="top"/>
          </w:tcPr>
          <w:p>
            <w:pPr>
              <w:spacing w:before="104"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61.2</w:t>
            </w:r>
          </w:p>
        </w:tc>
        <w:tc>
          <w:tcPr>
            <w:tcW w:w="1281" w:type="dxa"/>
            <w:vAlign w:val="top"/>
          </w:tcPr>
          <w:p>
            <w:pPr>
              <w:spacing w:before="104"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w:t>
            </w:r>
          </w:p>
        </w:tc>
        <w:tc>
          <w:tcPr>
            <w:tcW w:w="893" w:type="dxa"/>
            <w:vAlign w:val="top"/>
          </w:tcPr>
          <w:p>
            <w:pPr>
              <w:spacing w:before="100" w:line="231"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63.7</w:t>
            </w:r>
          </w:p>
        </w:tc>
        <w:tc>
          <w:tcPr>
            <w:tcW w:w="888" w:type="dxa"/>
            <w:vAlign w:val="top"/>
          </w:tcPr>
          <w:p>
            <w:pPr>
              <w:spacing w:before="104"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64.0</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977" w:type="dxa"/>
            <w:vAlign w:val="top"/>
          </w:tcPr>
          <w:p>
            <w:pPr>
              <w:spacing w:before="100" w:line="231"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67.8</w:t>
            </w:r>
          </w:p>
        </w:tc>
        <w:tc>
          <w:tcPr>
            <w:tcW w:w="890"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67.9</w:t>
            </w:r>
          </w:p>
        </w:tc>
        <w:tc>
          <w:tcPr>
            <w:tcW w:w="1116" w:type="dxa"/>
            <w:vAlign w:val="top"/>
          </w:tcPr>
          <w:p>
            <w:pPr>
              <w:spacing w:before="104"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w:t>
            </w:r>
          </w:p>
        </w:tc>
        <w:tc>
          <w:tcPr>
            <w:tcW w:w="984" w:type="dxa"/>
            <w:vAlign w:val="top"/>
          </w:tcPr>
          <w:p>
            <w:pPr>
              <w:spacing w:before="100" w:line="231"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7" w:line="221" w:lineRule="auto"/>
              <w:ind w:left="349"/>
            </w:pPr>
            <w:r>
              <w:rPr>
                <w:spacing w:val="-3"/>
              </w:rPr>
              <w:t>夜间</w:t>
            </w:r>
          </w:p>
        </w:tc>
        <w:tc>
          <w:tcPr>
            <w:tcW w:w="970" w:type="dxa"/>
            <w:vAlign w:val="top"/>
          </w:tcPr>
          <w:p>
            <w:pPr>
              <w:spacing w:before="109"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6"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799" w:type="dxa"/>
            <w:vAlign w:val="top"/>
          </w:tcPr>
          <w:p>
            <w:pPr>
              <w:spacing w:before="10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1003" w:type="dxa"/>
            <w:vAlign w:val="top"/>
          </w:tcPr>
          <w:p>
            <w:pPr>
              <w:spacing w:before="10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55.4</w:t>
            </w:r>
          </w:p>
        </w:tc>
        <w:tc>
          <w:tcPr>
            <w:tcW w:w="1281" w:type="dxa"/>
            <w:vAlign w:val="top"/>
          </w:tcPr>
          <w:p>
            <w:pPr>
              <w:spacing w:before="10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893" w:type="dxa"/>
            <w:vAlign w:val="top"/>
          </w:tcPr>
          <w:p>
            <w:pPr>
              <w:spacing w:before="104"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w:t>
            </w:r>
          </w:p>
        </w:tc>
        <w:tc>
          <w:tcPr>
            <w:tcW w:w="902" w:type="dxa"/>
            <w:vAlign w:val="top"/>
          </w:tcPr>
          <w:p>
            <w:pPr>
              <w:spacing w:before="104"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58.3</w:t>
            </w:r>
          </w:p>
        </w:tc>
        <w:tc>
          <w:tcPr>
            <w:tcW w:w="888"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58.3</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+5.1</w:t>
            </w:r>
          </w:p>
        </w:tc>
        <w:tc>
          <w:tcPr>
            <w:tcW w:w="977" w:type="dxa"/>
            <w:vAlign w:val="top"/>
          </w:tcPr>
          <w:p>
            <w:pPr>
              <w:spacing w:before="104"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w:t>
            </w:r>
          </w:p>
        </w:tc>
        <w:tc>
          <w:tcPr>
            <w:tcW w:w="871"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59.3</w:t>
            </w:r>
          </w:p>
        </w:tc>
        <w:tc>
          <w:tcPr>
            <w:tcW w:w="890" w:type="dxa"/>
            <w:vAlign w:val="top"/>
          </w:tcPr>
          <w:p>
            <w:pPr>
              <w:spacing w:before="10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59.3</w:t>
            </w:r>
          </w:p>
        </w:tc>
        <w:tc>
          <w:tcPr>
            <w:tcW w:w="1116" w:type="dxa"/>
            <w:vAlign w:val="top"/>
          </w:tcPr>
          <w:p>
            <w:pPr>
              <w:spacing w:before="104"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+6.1</w:t>
            </w:r>
          </w:p>
        </w:tc>
        <w:tc>
          <w:tcPr>
            <w:tcW w:w="984" w:type="dxa"/>
            <w:vAlign w:val="top"/>
          </w:tcPr>
          <w:p>
            <w:pPr>
              <w:spacing w:before="104"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1" w:line="187"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1013" w:type="dxa"/>
            <w:vMerge w:val="restart"/>
            <w:tcBorders>
              <w:bottom w:val="nil"/>
            </w:tcBorders>
            <w:vAlign w:val="top"/>
          </w:tcPr>
          <w:p>
            <w:pPr>
              <w:spacing w:before="279"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1094"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68" w:line="223" w:lineRule="auto"/>
              <w:ind w:left="345"/>
            </w:pPr>
            <w:r>
              <w:rPr>
                <w:spacing w:val="-2"/>
              </w:rPr>
              <w:t>昼间</w:t>
            </w:r>
          </w:p>
        </w:tc>
        <w:tc>
          <w:tcPr>
            <w:tcW w:w="970" w:type="dxa"/>
            <w:vAlign w:val="top"/>
          </w:tcPr>
          <w:p>
            <w:pPr>
              <w:spacing w:before="106"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79"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6"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799" w:type="dxa"/>
            <w:vAlign w:val="top"/>
          </w:tcPr>
          <w:p>
            <w:pPr>
              <w:spacing w:before="106"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55.6</w:t>
            </w:r>
          </w:p>
        </w:tc>
        <w:tc>
          <w:tcPr>
            <w:tcW w:w="1003" w:type="dxa"/>
            <w:vAlign w:val="top"/>
          </w:tcPr>
          <w:p>
            <w:pPr>
              <w:spacing w:before="10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56.3</w:t>
            </w:r>
          </w:p>
        </w:tc>
        <w:tc>
          <w:tcPr>
            <w:tcW w:w="1281" w:type="dxa"/>
            <w:vAlign w:val="top"/>
          </w:tcPr>
          <w:p>
            <w:pPr>
              <w:spacing w:before="10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+8.2</w:t>
            </w:r>
          </w:p>
        </w:tc>
        <w:tc>
          <w:tcPr>
            <w:tcW w:w="893" w:type="dxa"/>
            <w:vAlign w:val="top"/>
          </w:tcPr>
          <w:p>
            <w:pPr>
              <w:spacing w:before="100" w:line="231"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58.7</w:t>
            </w:r>
          </w:p>
        </w:tc>
        <w:tc>
          <w:tcPr>
            <w:tcW w:w="888"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59.1</w:t>
            </w:r>
          </w:p>
        </w:tc>
        <w:tc>
          <w:tcPr>
            <w:tcW w:w="1109" w:type="dxa"/>
            <w:vAlign w:val="top"/>
          </w:tcPr>
          <w:p>
            <w:pPr>
              <w:spacing w:before="104"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+11.0</w:t>
            </w:r>
          </w:p>
        </w:tc>
        <w:tc>
          <w:tcPr>
            <w:tcW w:w="977" w:type="dxa"/>
            <w:vAlign w:val="top"/>
          </w:tcPr>
          <w:p>
            <w:pPr>
              <w:spacing w:before="100" w:line="231"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63.4</w:t>
            </w:r>
          </w:p>
        </w:tc>
        <w:tc>
          <w:tcPr>
            <w:tcW w:w="890"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63.5</w:t>
            </w:r>
          </w:p>
        </w:tc>
        <w:tc>
          <w:tcPr>
            <w:tcW w:w="1116"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+15.4</w:t>
            </w:r>
          </w:p>
        </w:tc>
        <w:tc>
          <w:tcPr>
            <w:tcW w:w="984" w:type="dxa"/>
            <w:vAlign w:val="top"/>
          </w:tcPr>
          <w:p>
            <w:pPr>
              <w:spacing w:before="104"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7" w:line="221" w:lineRule="auto"/>
              <w:ind w:left="349"/>
            </w:pPr>
            <w:r>
              <w:rPr>
                <w:spacing w:val="-3"/>
              </w:rPr>
              <w:t>夜间</w:t>
            </w:r>
          </w:p>
        </w:tc>
        <w:tc>
          <w:tcPr>
            <w:tcW w:w="970" w:type="dxa"/>
            <w:vAlign w:val="top"/>
          </w:tcPr>
          <w:p>
            <w:pPr>
              <w:spacing w:before="106"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6"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799" w:type="dxa"/>
            <w:vAlign w:val="top"/>
          </w:tcPr>
          <w:p>
            <w:pPr>
              <w:spacing w:before="106"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50.2</w:t>
            </w:r>
          </w:p>
        </w:tc>
        <w:tc>
          <w:tcPr>
            <w:tcW w:w="1003" w:type="dxa"/>
            <w:vAlign w:val="top"/>
          </w:tcPr>
          <w:p>
            <w:pPr>
              <w:spacing w:before="10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50.3</w:t>
            </w:r>
          </w:p>
        </w:tc>
        <w:tc>
          <w:tcPr>
            <w:tcW w:w="1281" w:type="dxa"/>
            <w:vAlign w:val="top"/>
          </w:tcPr>
          <w:p>
            <w:pPr>
              <w:spacing w:before="104"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+15.1</w:t>
            </w:r>
          </w:p>
        </w:tc>
        <w:tc>
          <w:tcPr>
            <w:tcW w:w="893" w:type="dxa"/>
            <w:vAlign w:val="top"/>
          </w:tcPr>
          <w:p>
            <w:pPr>
              <w:spacing w:before="104"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w:t>
            </w:r>
          </w:p>
        </w:tc>
        <w:tc>
          <w:tcPr>
            <w:tcW w:w="902" w:type="dxa"/>
            <w:vAlign w:val="top"/>
          </w:tcPr>
          <w:p>
            <w:pPr>
              <w:spacing w:before="104"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888"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53.3</w:t>
            </w:r>
          </w:p>
        </w:tc>
        <w:tc>
          <w:tcPr>
            <w:tcW w:w="1109" w:type="dxa"/>
            <w:vAlign w:val="top"/>
          </w:tcPr>
          <w:p>
            <w:pPr>
              <w:spacing w:before="104"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+18.1</w:t>
            </w:r>
          </w:p>
        </w:tc>
        <w:tc>
          <w:tcPr>
            <w:tcW w:w="977" w:type="dxa"/>
            <w:vAlign w:val="top"/>
          </w:tcPr>
          <w:p>
            <w:pPr>
              <w:spacing w:before="104"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w:t>
            </w:r>
          </w:p>
        </w:tc>
        <w:tc>
          <w:tcPr>
            <w:tcW w:w="871"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c>
          <w:tcPr>
            <w:tcW w:w="890" w:type="dxa"/>
            <w:vAlign w:val="top"/>
          </w:tcPr>
          <w:p>
            <w:pPr>
              <w:spacing w:before="10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54.3</w:t>
            </w:r>
          </w:p>
        </w:tc>
        <w:tc>
          <w:tcPr>
            <w:tcW w:w="1116"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+19.1</w:t>
            </w:r>
          </w:p>
        </w:tc>
        <w:tc>
          <w:tcPr>
            <w:tcW w:w="984" w:type="dxa"/>
            <w:vAlign w:val="top"/>
          </w:tcPr>
          <w:p>
            <w:pPr>
              <w:spacing w:before="104"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79" w:line="187" w:lineRule="auto"/>
              <w:ind w:left="42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8" w:line="223" w:lineRule="auto"/>
              <w:ind w:left="345"/>
            </w:pPr>
            <w:r>
              <w:rPr>
                <w:spacing w:val="-2"/>
              </w:rPr>
              <w:t>昼间</w:t>
            </w:r>
          </w:p>
        </w:tc>
        <w:tc>
          <w:tcPr>
            <w:tcW w:w="970" w:type="dxa"/>
            <w:vAlign w:val="top"/>
          </w:tcPr>
          <w:p>
            <w:pPr>
              <w:spacing w:before="106"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79"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6"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799" w:type="dxa"/>
            <w:vAlign w:val="top"/>
          </w:tcPr>
          <w:p>
            <w:pPr>
              <w:spacing w:before="106"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974" w:type="dxa"/>
            <w:vAlign w:val="top"/>
          </w:tcPr>
          <w:p>
            <w:pPr>
              <w:spacing w:before="107" w:line="184"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57.7</w:t>
            </w:r>
          </w:p>
        </w:tc>
        <w:tc>
          <w:tcPr>
            <w:tcW w:w="1003" w:type="dxa"/>
            <w:vAlign w:val="top"/>
          </w:tcPr>
          <w:p>
            <w:pPr>
              <w:spacing w:before="10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58.7</w:t>
            </w:r>
          </w:p>
        </w:tc>
        <w:tc>
          <w:tcPr>
            <w:tcW w:w="1281" w:type="dxa"/>
            <w:vAlign w:val="top"/>
          </w:tcPr>
          <w:p>
            <w:pPr>
              <w:spacing w:before="10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+7.1</w:t>
            </w:r>
          </w:p>
        </w:tc>
        <w:tc>
          <w:tcPr>
            <w:tcW w:w="893" w:type="dxa"/>
            <w:vAlign w:val="top"/>
          </w:tcPr>
          <w:p>
            <w:pPr>
              <w:spacing w:before="100" w:line="231"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60.7</w:t>
            </w:r>
          </w:p>
        </w:tc>
        <w:tc>
          <w:tcPr>
            <w:tcW w:w="888" w:type="dxa"/>
            <w:vAlign w:val="top"/>
          </w:tcPr>
          <w:p>
            <w:pPr>
              <w:spacing w:before="104"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61.2</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+9.6</w:t>
            </w:r>
          </w:p>
        </w:tc>
        <w:tc>
          <w:tcPr>
            <w:tcW w:w="977" w:type="dxa"/>
            <w:vAlign w:val="top"/>
          </w:tcPr>
          <w:p>
            <w:pPr>
              <w:spacing w:before="104"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w:t>
            </w:r>
          </w:p>
        </w:tc>
        <w:tc>
          <w:tcPr>
            <w:tcW w:w="871" w:type="dxa"/>
            <w:vAlign w:val="top"/>
          </w:tcPr>
          <w:p>
            <w:pPr>
              <w:spacing w:before="104"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65.6</w:t>
            </w:r>
          </w:p>
        </w:tc>
        <w:tc>
          <w:tcPr>
            <w:tcW w:w="890"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65.8</w:t>
            </w:r>
          </w:p>
        </w:tc>
        <w:tc>
          <w:tcPr>
            <w:tcW w:w="1116"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+14.2</w:t>
            </w:r>
          </w:p>
        </w:tc>
        <w:tc>
          <w:tcPr>
            <w:tcW w:w="984" w:type="dxa"/>
            <w:vAlign w:val="top"/>
          </w:tcPr>
          <w:p>
            <w:pPr>
              <w:spacing w:before="104"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7" w:line="221" w:lineRule="auto"/>
              <w:ind w:left="349"/>
            </w:pPr>
            <w:r>
              <w:rPr>
                <w:spacing w:val="-3"/>
              </w:rPr>
              <w:t>夜间</w:t>
            </w:r>
          </w:p>
        </w:tc>
        <w:tc>
          <w:tcPr>
            <w:tcW w:w="970" w:type="dxa"/>
            <w:vAlign w:val="top"/>
          </w:tcPr>
          <w:p>
            <w:pPr>
              <w:spacing w:before="106"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6"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799" w:type="dxa"/>
            <w:vAlign w:val="top"/>
          </w:tcPr>
          <w:p>
            <w:pPr>
              <w:spacing w:before="106"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52.3</w:t>
            </w:r>
          </w:p>
        </w:tc>
        <w:tc>
          <w:tcPr>
            <w:tcW w:w="1003" w:type="dxa"/>
            <w:vAlign w:val="top"/>
          </w:tcPr>
          <w:p>
            <w:pPr>
              <w:spacing w:before="10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1281" w:type="dxa"/>
            <w:vAlign w:val="top"/>
          </w:tcPr>
          <w:p>
            <w:pPr>
              <w:spacing w:before="104"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+15.0</w:t>
            </w:r>
          </w:p>
        </w:tc>
        <w:tc>
          <w:tcPr>
            <w:tcW w:w="893" w:type="dxa"/>
            <w:vAlign w:val="top"/>
          </w:tcPr>
          <w:p>
            <w:pPr>
              <w:spacing w:before="104"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902" w:type="dxa"/>
            <w:vAlign w:val="top"/>
          </w:tcPr>
          <w:p>
            <w:pPr>
              <w:spacing w:before="104"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888"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55.4</w:t>
            </w:r>
          </w:p>
        </w:tc>
        <w:tc>
          <w:tcPr>
            <w:tcW w:w="1109" w:type="dxa"/>
            <w:vAlign w:val="top"/>
          </w:tcPr>
          <w:p>
            <w:pPr>
              <w:spacing w:before="104"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+18.0</w:t>
            </w:r>
          </w:p>
        </w:tc>
        <w:tc>
          <w:tcPr>
            <w:tcW w:w="977" w:type="dxa"/>
            <w:vAlign w:val="top"/>
          </w:tcPr>
          <w:p>
            <w:pPr>
              <w:spacing w:before="104"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+5.4</w:t>
            </w:r>
          </w:p>
        </w:tc>
        <w:tc>
          <w:tcPr>
            <w:tcW w:w="871"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56.3</w:t>
            </w:r>
          </w:p>
        </w:tc>
        <w:tc>
          <w:tcPr>
            <w:tcW w:w="890" w:type="dxa"/>
            <w:vAlign w:val="top"/>
          </w:tcPr>
          <w:p>
            <w:pPr>
              <w:spacing w:before="10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1116"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+19.0</w:t>
            </w:r>
          </w:p>
        </w:tc>
        <w:tc>
          <w:tcPr>
            <w:tcW w:w="984" w:type="dxa"/>
            <w:vAlign w:val="top"/>
          </w:tcPr>
          <w:p>
            <w:pPr>
              <w:spacing w:before="104"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0"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111" w:type="dxa"/>
            <w:vMerge w:val="restart"/>
            <w:tcBorders>
              <w:bottom w:val="nil"/>
            </w:tcBorders>
            <w:vAlign w:val="top"/>
          </w:tcPr>
          <w:p>
            <w:pPr>
              <w:pStyle w:val="6"/>
              <w:spacing w:before="277" w:line="217" w:lineRule="auto"/>
              <w:ind w:left="240"/>
            </w:pPr>
            <w:r>
              <w:rPr>
                <w:spacing w:val="-1"/>
              </w:rPr>
              <w:t>横路垟</w:t>
            </w:r>
          </w:p>
          <w:p>
            <w:pPr>
              <w:pStyle w:val="6"/>
              <w:spacing w:before="65" w:line="312" w:lineRule="exact"/>
              <w:ind w:left="247"/>
            </w:pPr>
            <w:r>
              <w:rPr>
                <w:spacing w:val="-4"/>
                <w:position w:val="7"/>
              </w:rPr>
              <w:t>（江下</w:t>
            </w:r>
          </w:p>
          <w:p>
            <w:pPr>
              <w:pStyle w:val="6"/>
              <w:spacing w:line="221" w:lineRule="auto"/>
              <w:ind w:left="348"/>
            </w:pPr>
            <w:r>
              <w:rPr>
                <w:spacing w:val="-6"/>
              </w:rPr>
              <w:t>寮）</w:t>
            </w:r>
          </w:p>
        </w:tc>
        <w:tc>
          <w:tcPr>
            <w:tcW w:w="1060"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0" w:line="187"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1013" w:type="dxa"/>
            <w:vMerge w:val="restart"/>
            <w:tcBorders>
              <w:bottom w:val="nil"/>
            </w:tcBorders>
            <w:vAlign w:val="top"/>
          </w:tcPr>
          <w:p>
            <w:pPr>
              <w:spacing w:before="279"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29.1</w:t>
            </w:r>
          </w:p>
        </w:tc>
        <w:tc>
          <w:tcPr>
            <w:tcW w:w="1094"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69" w:line="223" w:lineRule="auto"/>
              <w:ind w:left="345"/>
            </w:pPr>
            <w:r>
              <w:rPr>
                <w:spacing w:val="-2"/>
              </w:rPr>
              <w:t>昼间</w:t>
            </w:r>
          </w:p>
        </w:tc>
        <w:tc>
          <w:tcPr>
            <w:tcW w:w="970" w:type="dxa"/>
            <w:vAlign w:val="top"/>
          </w:tcPr>
          <w:p>
            <w:pPr>
              <w:spacing w:before="107"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7"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w:t>
            </w:r>
          </w:p>
        </w:tc>
        <w:tc>
          <w:tcPr>
            <w:tcW w:w="799" w:type="dxa"/>
            <w:vAlign w:val="top"/>
          </w:tcPr>
          <w:p>
            <w:pPr>
              <w:spacing w:before="107"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w:t>
            </w:r>
          </w:p>
        </w:tc>
        <w:tc>
          <w:tcPr>
            <w:tcW w:w="974" w:type="dxa"/>
            <w:vAlign w:val="top"/>
          </w:tcPr>
          <w:p>
            <w:pPr>
              <w:spacing w:before="104"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40.6</w:t>
            </w:r>
          </w:p>
        </w:tc>
        <w:tc>
          <w:tcPr>
            <w:tcW w:w="1003"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43.9</w:t>
            </w:r>
          </w:p>
        </w:tc>
        <w:tc>
          <w:tcPr>
            <w:tcW w:w="1281" w:type="dxa"/>
            <w:vAlign w:val="top"/>
          </w:tcPr>
          <w:p>
            <w:pPr>
              <w:spacing w:before="10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43.6</w:t>
            </w:r>
          </w:p>
        </w:tc>
        <w:tc>
          <w:tcPr>
            <w:tcW w:w="888"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49.1</w:t>
            </w:r>
          </w:p>
        </w:tc>
        <w:tc>
          <w:tcPr>
            <w:tcW w:w="890" w:type="dxa"/>
            <w:vAlign w:val="top"/>
          </w:tcPr>
          <w:p>
            <w:pPr>
              <w:spacing w:before="104"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1116" w:type="dxa"/>
            <w:vAlign w:val="top"/>
          </w:tcPr>
          <w:p>
            <w:pPr>
              <w:spacing w:before="104"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+8.6</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8" w:line="221" w:lineRule="auto"/>
              <w:ind w:left="349"/>
            </w:pPr>
            <w:r>
              <w:rPr>
                <w:spacing w:val="-3"/>
              </w:rPr>
              <w:t>夜间</w:t>
            </w:r>
          </w:p>
        </w:tc>
        <w:tc>
          <w:tcPr>
            <w:tcW w:w="970" w:type="dxa"/>
            <w:vAlign w:val="top"/>
          </w:tcPr>
          <w:p>
            <w:pPr>
              <w:spacing w:before="107"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7"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37.1</w:t>
            </w:r>
          </w:p>
        </w:tc>
        <w:tc>
          <w:tcPr>
            <w:tcW w:w="799" w:type="dxa"/>
            <w:vAlign w:val="top"/>
          </w:tcPr>
          <w:p>
            <w:pPr>
              <w:spacing w:before="107"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37.1</w:t>
            </w:r>
          </w:p>
        </w:tc>
        <w:tc>
          <w:tcPr>
            <w:tcW w:w="974" w:type="dxa"/>
            <w:vAlign w:val="top"/>
          </w:tcPr>
          <w:p>
            <w:pPr>
              <w:spacing w:before="104"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1003" w:type="dxa"/>
            <w:vAlign w:val="top"/>
          </w:tcPr>
          <w:p>
            <w:pPr>
              <w:spacing w:before="104"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39.3</w:t>
            </w:r>
          </w:p>
        </w:tc>
        <w:tc>
          <w:tcPr>
            <w:tcW w:w="1281" w:type="dxa"/>
            <w:vAlign w:val="top"/>
          </w:tcPr>
          <w:p>
            <w:pPr>
              <w:spacing w:before="10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38.1</w:t>
            </w:r>
          </w:p>
        </w:tc>
        <w:tc>
          <w:tcPr>
            <w:tcW w:w="888"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40.6</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39.2</w:t>
            </w:r>
          </w:p>
        </w:tc>
        <w:tc>
          <w:tcPr>
            <w:tcW w:w="890" w:type="dxa"/>
            <w:vAlign w:val="top"/>
          </w:tcPr>
          <w:p>
            <w:pPr>
              <w:spacing w:before="104"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41.3</w:t>
            </w:r>
          </w:p>
        </w:tc>
        <w:tc>
          <w:tcPr>
            <w:tcW w:w="1116" w:type="dxa"/>
            <w:vAlign w:val="top"/>
          </w:tcPr>
          <w:p>
            <w:pPr>
              <w:spacing w:before="104"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79" w:line="187"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32.6</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9" w:line="223" w:lineRule="auto"/>
              <w:ind w:left="345"/>
            </w:pPr>
            <w:r>
              <w:rPr>
                <w:spacing w:val="-2"/>
              </w:rPr>
              <w:t>昼间</w:t>
            </w:r>
          </w:p>
        </w:tc>
        <w:tc>
          <w:tcPr>
            <w:tcW w:w="970" w:type="dxa"/>
            <w:vAlign w:val="top"/>
          </w:tcPr>
          <w:p>
            <w:pPr>
              <w:spacing w:before="107"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79"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7"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w:t>
            </w:r>
          </w:p>
        </w:tc>
        <w:tc>
          <w:tcPr>
            <w:tcW w:w="799" w:type="dxa"/>
            <w:vAlign w:val="top"/>
          </w:tcPr>
          <w:p>
            <w:pPr>
              <w:spacing w:before="107"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w:t>
            </w:r>
          </w:p>
        </w:tc>
        <w:tc>
          <w:tcPr>
            <w:tcW w:w="974" w:type="dxa"/>
            <w:vAlign w:val="top"/>
          </w:tcPr>
          <w:p>
            <w:pPr>
              <w:spacing w:before="104"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44.9</w:t>
            </w:r>
          </w:p>
        </w:tc>
        <w:tc>
          <w:tcPr>
            <w:tcW w:w="1003"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46.9</w:t>
            </w:r>
          </w:p>
        </w:tc>
        <w:tc>
          <w:tcPr>
            <w:tcW w:w="1281" w:type="dxa"/>
            <w:vAlign w:val="top"/>
          </w:tcPr>
          <w:p>
            <w:pPr>
              <w:spacing w:before="10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47.9</w:t>
            </w:r>
          </w:p>
        </w:tc>
        <w:tc>
          <w:tcPr>
            <w:tcW w:w="888"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49.0</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53.5</w:t>
            </w:r>
          </w:p>
        </w:tc>
        <w:tc>
          <w:tcPr>
            <w:tcW w:w="890" w:type="dxa"/>
            <w:vAlign w:val="top"/>
          </w:tcPr>
          <w:p>
            <w:pPr>
              <w:spacing w:before="10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53.8</w:t>
            </w:r>
          </w:p>
        </w:tc>
        <w:tc>
          <w:tcPr>
            <w:tcW w:w="1116"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+11.3</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8" w:line="221" w:lineRule="auto"/>
              <w:ind w:left="349"/>
            </w:pPr>
            <w:r>
              <w:rPr>
                <w:spacing w:val="-3"/>
              </w:rPr>
              <w:t>夜间</w:t>
            </w:r>
          </w:p>
        </w:tc>
        <w:tc>
          <w:tcPr>
            <w:tcW w:w="970" w:type="dxa"/>
            <w:vAlign w:val="top"/>
          </w:tcPr>
          <w:p>
            <w:pPr>
              <w:spacing w:before="107"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7"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39.3</w:t>
            </w:r>
          </w:p>
        </w:tc>
        <w:tc>
          <w:tcPr>
            <w:tcW w:w="799" w:type="dxa"/>
            <w:vAlign w:val="top"/>
          </w:tcPr>
          <w:p>
            <w:pPr>
              <w:spacing w:before="107"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39.3</w:t>
            </w:r>
          </w:p>
        </w:tc>
        <w:tc>
          <w:tcPr>
            <w:tcW w:w="974" w:type="dxa"/>
            <w:vAlign w:val="top"/>
          </w:tcPr>
          <w:p>
            <w:pPr>
              <w:spacing w:before="104"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39.5</w:t>
            </w:r>
          </w:p>
        </w:tc>
        <w:tc>
          <w:tcPr>
            <w:tcW w:w="1003"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1281" w:type="dxa"/>
            <w:vAlign w:val="top"/>
          </w:tcPr>
          <w:p>
            <w:pPr>
              <w:spacing w:before="10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888"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44.1</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43.5</w:t>
            </w:r>
          </w:p>
        </w:tc>
        <w:tc>
          <w:tcPr>
            <w:tcW w:w="890" w:type="dxa"/>
            <w:vAlign w:val="top"/>
          </w:tcPr>
          <w:p>
            <w:pPr>
              <w:spacing w:before="104"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44.9</w:t>
            </w:r>
          </w:p>
        </w:tc>
        <w:tc>
          <w:tcPr>
            <w:tcW w:w="1116" w:type="dxa"/>
            <w:vAlign w:val="top"/>
          </w:tcPr>
          <w:p>
            <w:pPr>
              <w:spacing w:before="104"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+5.6</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1"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111"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21" w:lineRule="auto"/>
              <w:ind w:left="353"/>
            </w:pPr>
            <w:r>
              <w:rPr>
                <w:spacing w:val="-4"/>
              </w:rPr>
              <w:t>蔡处</w:t>
            </w:r>
          </w:p>
        </w:tc>
        <w:tc>
          <w:tcPr>
            <w:tcW w:w="1060"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0" w:line="187" w:lineRule="auto"/>
              <w:ind w:left="44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013" w:type="dxa"/>
            <w:vMerge w:val="restart"/>
            <w:tcBorders>
              <w:bottom w:val="nil"/>
            </w:tcBorders>
            <w:vAlign w:val="top"/>
          </w:tcPr>
          <w:p>
            <w:pPr>
              <w:spacing w:before="279" w:line="187" w:lineRule="auto"/>
              <w:ind w:left="3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094"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8" w:line="221" w:lineRule="auto"/>
              <w:ind w:left="31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1104" w:type="dxa"/>
            <w:vAlign w:val="top"/>
          </w:tcPr>
          <w:p>
            <w:pPr>
              <w:pStyle w:val="6"/>
              <w:spacing w:before="69" w:line="223" w:lineRule="auto"/>
              <w:ind w:left="345"/>
            </w:pPr>
            <w:r>
              <w:rPr>
                <w:spacing w:val="-2"/>
              </w:rPr>
              <w:t>昼间</w:t>
            </w:r>
          </w:p>
        </w:tc>
        <w:tc>
          <w:tcPr>
            <w:tcW w:w="970" w:type="dxa"/>
            <w:vAlign w:val="top"/>
          </w:tcPr>
          <w:p>
            <w:pPr>
              <w:spacing w:before="107"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8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4"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799" w:type="dxa"/>
            <w:vAlign w:val="top"/>
          </w:tcPr>
          <w:p>
            <w:pPr>
              <w:spacing w:before="104"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974" w:type="dxa"/>
            <w:vAlign w:val="top"/>
          </w:tcPr>
          <w:p>
            <w:pPr>
              <w:spacing w:before="104"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65.7</w:t>
            </w:r>
          </w:p>
        </w:tc>
        <w:tc>
          <w:tcPr>
            <w:tcW w:w="1003" w:type="dxa"/>
            <w:vAlign w:val="top"/>
          </w:tcPr>
          <w:p>
            <w:pPr>
              <w:spacing w:before="104"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1281" w:type="dxa"/>
            <w:vAlign w:val="top"/>
          </w:tcPr>
          <w:p>
            <w:pPr>
              <w:spacing w:before="10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67.8</w:t>
            </w:r>
          </w:p>
        </w:tc>
        <w:tc>
          <w:tcPr>
            <w:tcW w:w="888" w:type="dxa"/>
            <w:vAlign w:val="top"/>
          </w:tcPr>
          <w:p>
            <w:pPr>
              <w:spacing w:before="104"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67.9</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69.2</w:t>
            </w:r>
          </w:p>
        </w:tc>
        <w:tc>
          <w:tcPr>
            <w:tcW w:w="890"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69.3</w:t>
            </w:r>
          </w:p>
        </w:tc>
        <w:tc>
          <w:tcPr>
            <w:tcW w:w="1116" w:type="dxa"/>
            <w:vAlign w:val="top"/>
          </w:tcPr>
          <w:p>
            <w:pPr>
              <w:spacing w:before="104"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8" w:line="221" w:lineRule="auto"/>
              <w:ind w:left="349"/>
            </w:pPr>
            <w:r>
              <w:rPr>
                <w:spacing w:val="-3"/>
              </w:rPr>
              <w:t>夜间</w:t>
            </w:r>
          </w:p>
        </w:tc>
        <w:tc>
          <w:tcPr>
            <w:tcW w:w="970" w:type="dxa"/>
            <w:vAlign w:val="top"/>
          </w:tcPr>
          <w:p>
            <w:pPr>
              <w:spacing w:before="110"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4"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799" w:type="dxa"/>
            <w:vAlign w:val="top"/>
          </w:tcPr>
          <w:p>
            <w:pPr>
              <w:spacing w:before="10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974"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59.8</w:t>
            </w:r>
          </w:p>
        </w:tc>
        <w:tc>
          <w:tcPr>
            <w:tcW w:w="1003" w:type="dxa"/>
            <w:vAlign w:val="top"/>
          </w:tcPr>
          <w:p>
            <w:pPr>
              <w:spacing w:before="10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59.8</w:t>
            </w:r>
          </w:p>
        </w:tc>
        <w:tc>
          <w:tcPr>
            <w:tcW w:w="1281" w:type="dxa"/>
            <w:vAlign w:val="top"/>
          </w:tcPr>
          <w:p>
            <w:pPr>
              <w:spacing w:before="10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+7.4</w:t>
            </w:r>
          </w:p>
        </w:tc>
        <w:tc>
          <w:tcPr>
            <w:tcW w:w="893" w:type="dxa"/>
            <w:vAlign w:val="top"/>
          </w:tcPr>
          <w:p>
            <w:pPr>
              <w:spacing w:before="104"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902" w:type="dxa"/>
            <w:vAlign w:val="top"/>
          </w:tcPr>
          <w:p>
            <w:pPr>
              <w:spacing w:before="104"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62.1</w:t>
            </w:r>
          </w:p>
        </w:tc>
        <w:tc>
          <w:tcPr>
            <w:tcW w:w="888" w:type="dxa"/>
            <w:vAlign w:val="top"/>
          </w:tcPr>
          <w:p>
            <w:pPr>
              <w:spacing w:before="104"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62.1</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+9.7</w:t>
            </w:r>
          </w:p>
        </w:tc>
        <w:tc>
          <w:tcPr>
            <w:tcW w:w="977" w:type="dxa"/>
            <w:vAlign w:val="top"/>
          </w:tcPr>
          <w:p>
            <w:pPr>
              <w:spacing w:before="104"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+7.1</w:t>
            </w:r>
          </w:p>
        </w:tc>
        <w:tc>
          <w:tcPr>
            <w:tcW w:w="871" w:type="dxa"/>
            <w:vAlign w:val="top"/>
          </w:tcPr>
          <w:p>
            <w:pPr>
              <w:spacing w:before="104"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62.9</w:t>
            </w:r>
          </w:p>
        </w:tc>
        <w:tc>
          <w:tcPr>
            <w:tcW w:w="890"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62.9</w:t>
            </w:r>
          </w:p>
        </w:tc>
        <w:tc>
          <w:tcPr>
            <w:tcW w:w="1116"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+10.5</w:t>
            </w:r>
          </w:p>
        </w:tc>
        <w:tc>
          <w:tcPr>
            <w:tcW w:w="984" w:type="dxa"/>
            <w:vAlign w:val="top"/>
          </w:tcPr>
          <w:p>
            <w:pPr>
              <w:spacing w:before="104"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82"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9" w:line="223" w:lineRule="auto"/>
              <w:ind w:left="345"/>
            </w:pPr>
            <w:r>
              <w:rPr>
                <w:spacing w:val="-2"/>
              </w:rPr>
              <w:t>昼间</w:t>
            </w:r>
          </w:p>
        </w:tc>
        <w:tc>
          <w:tcPr>
            <w:tcW w:w="970" w:type="dxa"/>
            <w:vAlign w:val="top"/>
          </w:tcPr>
          <w:p>
            <w:pPr>
              <w:spacing w:before="107"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79"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4"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53.6</w:t>
            </w:r>
          </w:p>
        </w:tc>
        <w:tc>
          <w:tcPr>
            <w:tcW w:w="799" w:type="dxa"/>
            <w:vAlign w:val="top"/>
          </w:tcPr>
          <w:p>
            <w:pPr>
              <w:spacing w:before="104"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67.4</w:t>
            </w:r>
          </w:p>
        </w:tc>
        <w:tc>
          <w:tcPr>
            <w:tcW w:w="974" w:type="dxa"/>
            <w:vAlign w:val="top"/>
          </w:tcPr>
          <w:p>
            <w:pPr>
              <w:spacing w:before="104"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68.1</w:t>
            </w:r>
          </w:p>
        </w:tc>
        <w:tc>
          <w:tcPr>
            <w:tcW w:w="1003" w:type="dxa"/>
            <w:vAlign w:val="top"/>
          </w:tcPr>
          <w:p>
            <w:pPr>
              <w:spacing w:before="104"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68.3</w:t>
            </w:r>
          </w:p>
        </w:tc>
        <w:tc>
          <w:tcPr>
            <w:tcW w:w="1281" w:type="dxa"/>
            <w:vAlign w:val="top"/>
          </w:tcPr>
          <w:p>
            <w:pPr>
              <w:spacing w:before="10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69.5</w:t>
            </w:r>
          </w:p>
        </w:tc>
        <w:tc>
          <w:tcPr>
            <w:tcW w:w="888" w:type="dxa"/>
            <w:vAlign w:val="top"/>
          </w:tcPr>
          <w:p>
            <w:pPr>
              <w:spacing w:before="104"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69.6</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70.9</w:t>
            </w:r>
          </w:p>
        </w:tc>
        <w:tc>
          <w:tcPr>
            <w:tcW w:w="890" w:type="dxa"/>
            <w:vAlign w:val="top"/>
          </w:tcPr>
          <w:p>
            <w:pPr>
              <w:spacing w:before="104" w:line="187" w:lineRule="auto"/>
              <w:ind w:left="2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71.0</w:t>
            </w:r>
          </w:p>
        </w:tc>
        <w:tc>
          <w:tcPr>
            <w:tcW w:w="1116" w:type="dxa"/>
            <w:vAlign w:val="top"/>
          </w:tcPr>
          <w:p>
            <w:pPr>
              <w:spacing w:before="104"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w:t>
            </w:r>
          </w:p>
        </w:tc>
        <w:tc>
          <w:tcPr>
            <w:tcW w:w="984" w:type="dxa"/>
            <w:vAlign w:val="top"/>
          </w:tcPr>
          <w:p>
            <w:pPr>
              <w:spacing w:before="104"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8" w:line="221" w:lineRule="auto"/>
              <w:ind w:left="349"/>
            </w:pPr>
            <w:r>
              <w:rPr>
                <w:spacing w:val="-3"/>
              </w:rPr>
              <w:t>夜间</w:t>
            </w:r>
          </w:p>
        </w:tc>
        <w:tc>
          <w:tcPr>
            <w:tcW w:w="970" w:type="dxa"/>
            <w:vAlign w:val="top"/>
          </w:tcPr>
          <w:p>
            <w:pPr>
              <w:spacing w:before="110"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4"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799" w:type="dxa"/>
            <w:vAlign w:val="top"/>
          </w:tcPr>
          <w:p>
            <w:pPr>
              <w:spacing w:before="10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c>
          <w:tcPr>
            <w:tcW w:w="974" w:type="dxa"/>
            <w:vAlign w:val="top"/>
          </w:tcPr>
          <w:p>
            <w:pPr>
              <w:spacing w:before="104"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61.9</w:t>
            </w:r>
          </w:p>
        </w:tc>
        <w:tc>
          <w:tcPr>
            <w:tcW w:w="1003" w:type="dxa"/>
            <w:vAlign w:val="top"/>
          </w:tcPr>
          <w:p>
            <w:pPr>
              <w:spacing w:before="104"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61.9</w:t>
            </w:r>
          </w:p>
        </w:tc>
        <w:tc>
          <w:tcPr>
            <w:tcW w:w="1281" w:type="dxa"/>
            <w:vAlign w:val="top"/>
          </w:tcPr>
          <w:p>
            <w:pPr>
              <w:spacing w:before="107" w:line="184"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+7.7</w:t>
            </w:r>
          </w:p>
        </w:tc>
        <w:tc>
          <w:tcPr>
            <w:tcW w:w="893" w:type="dxa"/>
            <w:vAlign w:val="top"/>
          </w:tcPr>
          <w:p>
            <w:pPr>
              <w:spacing w:before="104"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+6.9</w:t>
            </w:r>
          </w:p>
        </w:tc>
        <w:tc>
          <w:tcPr>
            <w:tcW w:w="902" w:type="dxa"/>
            <w:vAlign w:val="top"/>
          </w:tcPr>
          <w:p>
            <w:pPr>
              <w:spacing w:before="104"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63.5</w:t>
            </w:r>
          </w:p>
        </w:tc>
        <w:tc>
          <w:tcPr>
            <w:tcW w:w="888" w:type="dxa"/>
            <w:vAlign w:val="top"/>
          </w:tcPr>
          <w:p>
            <w:pPr>
              <w:spacing w:before="104"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63.5</w:t>
            </w:r>
          </w:p>
        </w:tc>
        <w:tc>
          <w:tcPr>
            <w:tcW w:w="1109" w:type="dxa"/>
            <w:vAlign w:val="top"/>
          </w:tcPr>
          <w:p>
            <w:pPr>
              <w:spacing w:before="104"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+9.3</w:t>
            </w:r>
          </w:p>
        </w:tc>
        <w:tc>
          <w:tcPr>
            <w:tcW w:w="977" w:type="dxa"/>
            <w:vAlign w:val="top"/>
          </w:tcPr>
          <w:p>
            <w:pPr>
              <w:spacing w:before="104"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+8.5</w:t>
            </w:r>
          </w:p>
        </w:tc>
        <w:tc>
          <w:tcPr>
            <w:tcW w:w="871" w:type="dxa"/>
            <w:vAlign w:val="top"/>
          </w:tcPr>
          <w:p>
            <w:pPr>
              <w:spacing w:before="104"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64.1</w:t>
            </w:r>
          </w:p>
        </w:tc>
        <w:tc>
          <w:tcPr>
            <w:tcW w:w="890"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64.1</w:t>
            </w:r>
          </w:p>
        </w:tc>
        <w:tc>
          <w:tcPr>
            <w:tcW w:w="1116" w:type="dxa"/>
            <w:vAlign w:val="top"/>
          </w:tcPr>
          <w:p>
            <w:pPr>
              <w:spacing w:before="104"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+9.9</w:t>
            </w:r>
          </w:p>
        </w:tc>
        <w:tc>
          <w:tcPr>
            <w:tcW w:w="984" w:type="dxa"/>
            <w:vAlign w:val="top"/>
          </w:tcPr>
          <w:p>
            <w:pPr>
              <w:spacing w:before="104"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013" w:type="dxa"/>
            <w:vMerge w:val="restart"/>
            <w:tcBorders>
              <w:bottom w:val="nil"/>
            </w:tcBorders>
            <w:vAlign w:val="top"/>
          </w:tcPr>
          <w:p>
            <w:pPr>
              <w:spacing w:before="279" w:line="187" w:lineRule="auto"/>
              <w:ind w:left="3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094" w:type="dxa"/>
            <w:vMerge w:val="restart"/>
            <w:tcBorders>
              <w:bottom w:val="nil"/>
            </w:tcBorders>
            <w:vAlign w:val="top"/>
          </w:tcPr>
          <w:p>
            <w:pPr>
              <w:spacing w:line="259" w:lineRule="auto"/>
              <w:rPr>
                <w:rFonts w:ascii="Arial"/>
                <w:sz w:val="21"/>
              </w:rPr>
            </w:pPr>
          </w:p>
          <w:p>
            <w:pPr>
              <w:spacing w:line="259" w:lineRule="auto"/>
              <w:rPr>
                <w:rFonts w:ascii="Arial"/>
                <w:sz w:val="21"/>
              </w:rPr>
            </w:pPr>
          </w:p>
          <w:p>
            <w:pPr>
              <w:pStyle w:val="6"/>
              <w:spacing w:before="68"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69" w:line="223" w:lineRule="auto"/>
              <w:ind w:left="345"/>
            </w:pPr>
            <w:r>
              <w:rPr>
                <w:spacing w:val="-2"/>
              </w:rPr>
              <w:t>昼间</w:t>
            </w:r>
          </w:p>
        </w:tc>
        <w:tc>
          <w:tcPr>
            <w:tcW w:w="970" w:type="dxa"/>
            <w:vAlign w:val="top"/>
          </w:tcPr>
          <w:p>
            <w:pPr>
              <w:spacing w:before="107"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7"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42.2</w:t>
            </w:r>
          </w:p>
        </w:tc>
        <w:tc>
          <w:tcPr>
            <w:tcW w:w="799" w:type="dxa"/>
            <w:vAlign w:val="top"/>
          </w:tcPr>
          <w:p>
            <w:pPr>
              <w:spacing w:before="10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52.3</w:t>
            </w:r>
          </w:p>
        </w:tc>
        <w:tc>
          <w:tcPr>
            <w:tcW w:w="974" w:type="dxa"/>
            <w:vAlign w:val="top"/>
          </w:tcPr>
          <w:p>
            <w:pPr>
              <w:spacing w:before="107"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w:t>
            </w:r>
          </w:p>
        </w:tc>
        <w:tc>
          <w:tcPr>
            <w:tcW w:w="1003"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46.6</w:t>
            </w:r>
          </w:p>
        </w:tc>
        <w:tc>
          <w:tcPr>
            <w:tcW w:w="1281" w:type="dxa"/>
            <w:vAlign w:val="top"/>
          </w:tcPr>
          <w:p>
            <w:pPr>
              <w:spacing w:before="107" w:line="184"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46.9</w:t>
            </w:r>
          </w:p>
        </w:tc>
        <w:tc>
          <w:tcPr>
            <w:tcW w:w="888"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48.2</w:t>
            </w:r>
          </w:p>
        </w:tc>
        <w:tc>
          <w:tcPr>
            <w:tcW w:w="1109" w:type="dxa"/>
            <w:vAlign w:val="top"/>
          </w:tcPr>
          <w:p>
            <w:pPr>
              <w:spacing w:before="104"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-4.1</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51.2</w:t>
            </w:r>
          </w:p>
        </w:tc>
        <w:tc>
          <w:tcPr>
            <w:tcW w:w="890" w:type="dxa"/>
            <w:vAlign w:val="top"/>
          </w:tcPr>
          <w:p>
            <w:pPr>
              <w:spacing w:before="10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51.7</w:t>
            </w:r>
          </w:p>
        </w:tc>
        <w:tc>
          <w:tcPr>
            <w:tcW w:w="1116" w:type="dxa"/>
            <w:vAlign w:val="top"/>
          </w:tcPr>
          <w:p>
            <w:pPr>
              <w:spacing w:before="104"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8" w:line="221" w:lineRule="auto"/>
              <w:ind w:left="349"/>
            </w:pPr>
            <w:r>
              <w:rPr>
                <w:spacing w:val="-3"/>
              </w:rPr>
              <w:t>夜间</w:t>
            </w:r>
          </w:p>
        </w:tc>
        <w:tc>
          <w:tcPr>
            <w:tcW w:w="970" w:type="dxa"/>
            <w:vAlign w:val="top"/>
          </w:tcPr>
          <w:p>
            <w:pPr>
              <w:spacing w:before="107"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7"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31.4</w:t>
            </w:r>
          </w:p>
        </w:tc>
        <w:tc>
          <w:tcPr>
            <w:tcW w:w="799" w:type="dxa"/>
            <w:vAlign w:val="top"/>
          </w:tcPr>
          <w:p>
            <w:pPr>
              <w:spacing w:before="107"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42.7</w:t>
            </w:r>
          </w:p>
        </w:tc>
        <w:tc>
          <w:tcPr>
            <w:tcW w:w="974" w:type="dxa"/>
            <w:vAlign w:val="top"/>
          </w:tcPr>
          <w:p>
            <w:pPr>
              <w:spacing w:before="107"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38.3</w:t>
            </w:r>
          </w:p>
        </w:tc>
        <w:tc>
          <w:tcPr>
            <w:tcW w:w="1003" w:type="dxa"/>
            <w:vAlign w:val="top"/>
          </w:tcPr>
          <w:p>
            <w:pPr>
              <w:spacing w:before="10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39.1</w:t>
            </w:r>
          </w:p>
        </w:tc>
        <w:tc>
          <w:tcPr>
            <w:tcW w:w="1281" w:type="dxa"/>
            <w:vAlign w:val="top"/>
          </w:tcPr>
          <w:p>
            <w:pPr>
              <w:spacing w:before="105"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888"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41.5</w:t>
            </w:r>
          </w:p>
        </w:tc>
        <w:tc>
          <w:tcPr>
            <w:tcW w:w="1109" w:type="dxa"/>
            <w:vAlign w:val="top"/>
          </w:tcPr>
          <w:p>
            <w:pPr>
              <w:spacing w:before="105"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6"/>
                <w:sz w:val="21"/>
                <w:szCs w:val="21"/>
              </w:rPr>
              <w:t>1.2</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890" w:type="dxa"/>
            <w:vAlign w:val="top"/>
          </w:tcPr>
          <w:p>
            <w:pPr>
              <w:spacing w:before="105"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1116" w:type="dxa"/>
            <w:vAlign w:val="top"/>
          </w:tcPr>
          <w:p>
            <w:pPr>
              <w:spacing w:before="105"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83"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9" w:line="223" w:lineRule="auto"/>
              <w:ind w:left="345"/>
            </w:pPr>
            <w:r>
              <w:rPr>
                <w:spacing w:val="-2"/>
              </w:rPr>
              <w:t>昼间</w:t>
            </w:r>
          </w:p>
        </w:tc>
        <w:tc>
          <w:tcPr>
            <w:tcW w:w="970" w:type="dxa"/>
            <w:vAlign w:val="top"/>
          </w:tcPr>
          <w:p>
            <w:pPr>
              <w:spacing w:before="107"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0"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7"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42.2</w:t>
            </w:r>
          </w:p>
        </w:tc>
        <w:tc>
          <w:tcPr>
            <w:tcW w:w="799" w:type="dxa"/>
            <w:vAlign w:val="top"/>
          </w:tcPr>
          <w:p>
            <w:pPr>
              <w:spacing w:before="10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52.3</w:t>
            </w:r>
          </w:p>
        </w:tc>
        <w:tc>
          <w:tcPr>
            <w:tcW w:w="974" w:type="dxa"/>
            <w:vAlign w:val="top"/>
          </w:tcPr>
          <w:p>
            <w:pPr>
              <w:spacing w:before="105"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52.7</w:t>
            </w:r>
          </w:p>
        </w:tc>
        <w:tc>
          <w:tcPr>
            <w:tcW w:w="1003"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8" w:line="184" w:lineRule="auto"/>
              <w:ind w:left="35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88"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59.2</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59.3</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8" w:line="221" w:lineRule="auto"/>
              <w:ind w:left="349"/>
            </w:pPr>
            <w:r>
              <w:rPr>
                <w:spacing w:val="-3"/>
              </w:rPr>
              <w:t>夜间</w:t>
            </w:r>
          </w:p>
        </w:tc>
        <w:tc>
          <w:tcPr>
            <w:tcW w:w="970" w:type="dxa"/>
            <w:vAlign w:val="top"/>
          </w:tcPr>
          <w:p>
            <w:pPr>
              <w:spacing w:before="107"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7"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31.4</w:t>
            </w:r>
          </w:p>
        </w:tc>
        <w:tc>
          <w:tcPr>
            <w:tcW w:w="799" w:type="dxa"/>
            <w:vAlign w:val="top"/>
          </w:tcPr>
          <w:p>
            <w:pPr>
              <w:spacing w:before="107"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42.7</w:t>
            </w:r>
          </w:p>
        </w:tc>
        <w:tc>
          <w:tcPr>
            <w:tcW w:w="974" w:type="dxa"/>
            <w:vAlign w:val="top"/>
          </w:tcPr>
          <w:p>
            <w:pPr>
              <w:spacing w:before="105"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46.3</w:t>
            </w:r>
          </w:p>
        </w:tc>
        <w:tc>
          <w:tcPr>
            <w:tcW w:w="1003" w:type="dxa"/>
            <w:vAlign w:val="top"/>
          </w:tcPr>
          <w:p>
            <w:pPr>
              <w:spacing w:before="105"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46.4</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c>
          <w:tcPr>
            <w:tcW w:w="888"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49.1</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49.9</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+7.3</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1"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111"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8" w:line="221" w:lineRule="auto"/>
              <w:ind w:left="242"/>
            </w:pPr>
            <w:r>
              <w:rPr>
                <w:spacing w:val="-2"/>
              </w:rPr>
              <w:t>金路桥</w:t>
            </w:r>
          </w:p>
        </w:tc>
        <w:tc>
          <w:tcPr>
            <w:tcW w:w="1060"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013" w:type="dxa"/>
            <w:vMerge w:val="restart"/>
            <w:tcBorders>
              <w:bottom w:val="nil"/>
            </w:tcBorders>
            <w:vAlign w:val="top"/>
          </w:tcPr>
          <w:p>
            <w:pPr>
              <w:spacing w:before="280" w:line="187" w:lineRule="auto"/>
              <w:ind w:left="3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094" w:type="dxa"/>
            <w:vMerge w:val="restart"/>
            <w:tcBorders>
              <w:bottom w:val="nil"/>
            </w:tcBorders>
            <w:vAlign w:val="top"/>
          </w:tcPr>
          <w:p>
            <w:pPr>
              <w:spacing w:line="259" w:lineRule="auto"/>
              <w:rPr>
                <w:rFonts w:ascii="Arial"/>
                <w:sz w:val="21"/>
              </w:rPr>
            </w:pPr>
          </w:p>
          <w:p>
            <w:pPr>
              <w:spacing w:line="259" w:lineRule="auto"/>
              <w:rPr>
                <w:rFonts w:ascii="Arial"/>
                <w:sz w:val="21"/>
              </w:rPr>
            </w:pPr>
          </w:p>
          <w:p>
            <w:pPr>
              <w:pStyle w:val="6"/>
              <w:spacing w:before="68" w:line="221" w:lineRule="auto"/>
              <w:ind w:left="31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1104" w:type="dxa"/>
            <w:vAlign w:val="top"/>
          </w:tcPr>
          <w:p>
            <w:pPr>
              <w:pStyle w:val="6"/>
              <w:spacing w:before="69" w:line="223" w:lineRule="auto"/>
              <w:ind w:left="345"/>
            </w:pPr>
            <w:r>
              <w:rPr>
                <w:spacing w:val="-2"/>
              </w:rPr>
              <w:t>昼间</w:t>
            </w:r>
          </w:p>
        </w:tc>
        <w:tc>
          <w:tcPr>
            <w:tcW w:w="970" w:type="dxa"/>
            <w:vAlign w:val="top"/>
          </w:tcPr>
          <w:p>
            <w:pPr>
              <w:spacing w:before="107"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8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7"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799" w:type="dxa"/>
            <w:vAlign w:val="top"/>
          </w:tcPr>
          <w:p>
            <w:pPr>
              <w:spacing w:before="107"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974" w:type="dxa"/>
            <w:vAlign w:val="top"/>
          </w:tcPr>
          <w:p>
            <w:pPr>
              <w:spacing w:before="105"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60.5</w:t>
            </w:r>
          </w:p>
        </w:tc>
        <w:tc>
          <w:tcPr>
            <w:tcW w:w="1003" w:type="dxa"/>
            <w:vAlign w:val="top"/>
          </w:tcPr>
          <w:p>
            <w:pPr>
              <w:spacing w:before="10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61.2</w:t>
            </w:r>
          </w:p>
        </w:tc>
        <w:tc>
          <w:tcPr>
            <w:tcW w:w="1281" w:type="dxa"/>
            <w:vAlign w:val="top"/>
          </w:tcPr>
          <w:p>
            <w:pPr>
              <w:spacing w:before="105"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-4.7</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888" w:type="dxa"/>
            <w:vAlign w:val="top"/>
          </w:tcPr>
          <w:p>
            <w:pPr>
              <w:spacing w:before="105"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61.3</w:t>
            </w:r>
          </w:p>
        </w:tc>
        <w:tc>
          <w:tcPr>
            <w:tcW w:w="1109" w:type="dxa"/>
            <w:vAlign w:val="top"/>
          </w:tcPr>
          <w:p>
            <w:pPr>
              <w:spacing w:before="105"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-4.6</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60.7</w:t>
            </w:r>
          </w:p>
        </w:tc>
        <w:tc>
          <w:tcPr>
            <w:tcW w:w="890"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61.4</w:t>
            </w:r>
          </w:p>
        </w:tc>
        <w:tc>
          <w:tcPr>
            <w:tcW w:w="1116" w:type="dxa"/>
            <w:vAlign w:val="top"/>
          </w:tcPr>
          <w:p>
            <w:pPr>
              <w:spacing w:before="105"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-4.5</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8" w:line="221" w:lineRule="auto"/>
              <w:ind w:left="349"/>
            </w:pPr>
            <w:r>
              <w:rPr>
                <w:spacing w:val="-3"/>
              </w:rPr>
              <w:t>夜间</w:t>
            </w:r>
          </w:p>
        </w:tc>
        <w:tc>
          <w:tcPr>
            <w:tcW w:w="970" w:type="dxa"/>
            <w:vAlign w:val="top"/>
          </w:tcPr>
          <w:p>
            <w:pPr>
              <w:spacing w:before="110"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7"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799" w:type="dxa"/>
            <w:vAlign w:val="top"/>
          </w:tcPr>
          <w:p>
            <w:pPr>
              <w:spacing w:before="10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974" w:type="dxa"/>
            <w:vAlign w:val="top"/>
          </w:tcPr>
          <w:p>
            <w:pPr>
              <w:spacing w:before="105"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52.7</w:t>
            </w:r>
          </w:p>
        </w:tc>
        <w:tc>
          <w:tcPr>
            <w:tcW w:w="1003"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888"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restart"/>
            <w:tcBorders>
              <w:bottom w:val="nil"/>
            </w:tcBorders>
            <w:vAlign w:val="top"/>
          </w:tcPr>
          <w:p>
            <w:pPr>
              <w:spacing w:before="283"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9" w:line="223" w:lineRule="auto"/>
              <w:ind w:left="345"/>
            </w:pPr>
            <w:r>
              <w:rPr>
                <w:spacing w:val="-2"/>
              </w:rPr>
              <w:t>昼间</w:t>
            </w:r>
          </w:p>
        </w:tc>
        <w:tc>
          <w:tcPr>
            <w:tcW w:w="970" w:type="dxa"/>
            <w:vAlign w:val="top"/>
          </w:tcPr>
          <w:p>
            <w:pPr>
              <w:spacing w:before="107"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11" w:type="dxa"/>
            <w:vMerge w:val="restart"/>
            <w:tcBorders>
              <w:bottom w:val="nil"/>
            </w:tcBorders>
            <w:vAlign w:val="top"/>
          </w:tcPr>
          <w:p>
            <w:pPr>
              <w:spacing w:before="280"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936" w:type="dxa"/>
            <w:vAlign w:val="top"/>
          </w:tcPr>
          <w:p>
            <w:pPr>
              <w:spacing w:before="107"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53.6</w:t>
            </w:r>
          </w:p>
        </w:tc>
        <w:tc>
          <w:tcPr>
            <w:tcW w:w="799" w:type="dxa"/>
            <w:vAlign w:val="top"/>
          </w:tcPr>
          <w:p>
            <w:pPr>
              <w:spacing w:before="107"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67.4</w:t>
            </w:r>
          </w:p>
        </w:tc>
        <w:tc>
          <w:tcPr>
            <w:tcW w:w="974" w:type="dxa"/>
            <w:vAlign w:val="top"/>
          </w:tcPr>
          <w:p>
            <w:pPr>
              <w:spacing w:before="105"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65.1</w:t>
            </w:r>
          </w:p>
        </w:tc>
        <w:tc>
          <w:tcPr>
            <w:tcW w:w="1003" w:type="dxa"/>
            <w:vAlign w:val="top"/>
          </w:tcPr>
          <w:p>
            <w:pPr>
              <w:spacing w:before="10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65.4</w:t>
            </w:r>
          </w:p>
        </w:tc>
        <w:tc>
          <w:tcPr>
            <w:tcW w:w="1281" w:type="dxa"/>
            <w:vAlign w:val="top"/>
          </w:tcPr>
          <w:p>
            <w:pPr>
              <w:spacing w:before="105"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-2.0</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65.5</w:t>
            </w:r>
          </w:p>
        </w:tc>
        <w:tc>
          <w:tcPr>
            <w:tcW w:w="888" w:type="dxa"/>
            <w:vAlign w:val="top"/>
          </w:tcPr>
          <w:p>
            <w:pPr>
              <w:spacing w:before="105"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65.8</w:t>
            </w:r>
          </w:p>
        </w:tc>
        <w:tc>
          <w:tcPr>
            <w:tcW w:w="1109" w:type="dxa"/>
            <w:vAlign w:val="top"/>
          </w:tcPr>
          <w:p>
            <w:pPr>
              <w:spacing w:before="105"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6"/>
                <w:sz w:val="21"/>
                <w:szCs w:val="21"/>
              </w:rPr>
              <w:t>1.6</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890"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66.1</w:t>
            </w:r>
          </w:p>
        </w:tc>
        <w:tc>
          <w:tcPr>
            <w:tcW w:w="1116" w:type="dxa"/>
            <w:vAlign w:val="top"/>
          </w:tcPr>
          <w:p>
            <w:pPr>
              <w:spacing w:before="105"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6"/>
                <w:sz w:val="21"/>
                <w:szCs w:val="21"/>
              </w:rPr>
              <w:t>1.3</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8" w:line="221" w:lineRule="auto"/>
              <w:ind w:left="349"/>
            </w:pPr>
            <w:r>
              <w:rPr>
                <w:spacing w:val="-3"/>
              </w:rPr>
              <w:t>夜间</w:t>
            </w:r>
          </w:p>
        </w:tc>
        <w:tc>
          <w:tcPr>
            <w:tcW w:w="970" w:type="dxa"/>
            <w:vAlign w:val="top"/>
          </w:tcPr>
          <w:p>
            <w:pPr>
              <w:spacing w:before="110"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11" w:type="dxa"/>
            <w:vMerge w:val="continue"/>
            <w:tcBorders>
              <w:top w:val="nil"/>
            </w:tcBorders>
            <w:vAlign w:val="top"/>
          </w:tcPr>
          <w:p>
            <w:pPr>
              <w:rPr>
                <w:rFonts w:ascii="Arial"/>
                <w:sz w:val="21"/>
              </w:rPr>
            </w:pPr>
          </w:p>
        </w:tc>
        <w:tc>
          <w:tcPr>
            <w:tcW w:w="936" w:type="dxa"/>
            <w:vAlign w:val="top"/>
          </w:tcPr>
          <w:p>
            <w:pPr>
              <w:spacing w:before="107"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799" w:type="dxa"/>
            <w:vAlign w:val="top"/>
          </w:tcPr>
          <w:p>
            <w:pPr>
              <w:spacing w:before="10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c>
          <w:tcPr>
            <w:tcW w:w="974" w:type="dxa"/>
            <w:vAlign w:val="top"/>
          </w:tcPr>
          <w:p>
            <w:pPr>
              <w:spacing w:before="105"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57.4</w:t>
            </w:r>
          </w:p>
        </w:tc>
        <w:tc>
          <w:tcPr>
            <w:tcW w:w="1003" w:type="dxa"/>
            <w:vAlign w:val="top"/>
          </w:tcPr>
          <w:p>
            <w:pPr>
              <w:spacing w:before="108" w:line="184"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57.5</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w:t>
            </w:r>
          </w:p>
        </w:tc>
        <w:tc>
          <w:tcPr>
            <w:tcW w:w="893" w:type="dxa"/>
            <w:vAlign w:val="top"/>
          </w:tcPr>
          <w:p>
            <w:pPr>
              <w:spacing w:before="105"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902" w:type="dxa"/>
            <w:vAlign w:val="top"/>
          </w:tcPr>
          <w:p>
            <w:pPr>
              <w:spacing w:before="105"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58.1</w:t>
            </w:r>
          </w:p>
        </w:tc>
        <w:tc>
          <w:tcPr>
            <w:tcW w:w="888"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58.2</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977" w:type="dxa"/>
            <w:vAlign w:val="top"/>
          </w:tcPr>
          <w:p>
            <w:pPr>
              <w:spacing w:before="105"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w:t>
            </w:r>
          </w:p>
        </w:tc>
        <w:tc>
          <w:tcPr>
            <w:tcW w:w="871"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58.5</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58.6</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984" w:type="dxa"/>
            <w:vAlign w:val="top"/>
          </w:tcPr>
          <w:p>
            <w:pPr>
              <w:spacing w:before="105"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continue"/>
            <w:tcBorders>
              <w:top w:val="nil"/>
              <w:bottom w:val="nil"/>
            </w:tcBorders>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restart"/>
            <w:tcBorders>
              <w:bottom w:val="nil"/>
            </w:tcBorders>
            <w:vAlign w:val="top"/>
          </w:tcPr>
          <w:p>
            <w:pPr>
              <w:pStyle w:val="6"/>
              <w:spacing w:before="32" w:line="221" w:lineRule="auto"/>
              <w:ind w:left="131"/>
            </w:pPr>
            <w:r>
              <w:rPr>
                <w:rFonts w:ascii="Times New Roman" w:hAnsi="Times New Roman" w:eastAsia="Times New Roman" w:cs="Times New Roman"/>
                <w:spacing w:val="-22"/>
              </w:rPr>
              <w:t>125</w:t>
            </w:r>
            <w:r>
              <w:rPr>
                <w:spacing w:val="-22"/>
              </w:rPr>
              <w:t>（连接</w:t>
            </w:r>
          </w:p>
          <w:p>
            <w:pPr>
              <w:pStyle w:val="6"/>
              <w:spacing w:before="22" w:line="221" w:lineRule="auto"/>
              <w:ind w:left="196"/>
              <w:rPr>
                <w:rFonts w:ascii="Times New Roman" w:hAnsi="Times New Roman" w:eastAsia="Times New Roman" w:cs="Times New Roman"/>
              </w:rPr>
            </w:pPr>
            <w:r>
              <w:rPr>
                <w:spacing w:val="-13"/>
              </w:rPr>
              <w:t>线）</w:t>
            </w:r>
            <w:r>
              <w:rPr>
                <w:spacing w:val="-49"/>
              </w:rPr>
              <w:t xml:space="preserve"> </w:t>
            </w:r>
            <w:r>
              <w:rPr>
                <w:rFonts w:ascii="Times New Roman" w:hAnsi="Times New Roman" w:eastAsia="Times New Roman" w:cs="Times New Roman"/>
                <w:spacing w:val="-13"/>
              </w:rPr>
              <w:t>/40</w:t>
            </w:r>
          </w:p>
          <w:p>
            <w:pPr>
              <w:pStyle w:val="6"/>
              <w:spacing w:before="21" w:line="222" w:lineRule="auto"/>
              <w:ind w:left="329" w:right="116" w:hanging="206"/>
            </w:pPr>
            <w:r>
              <w:rPr>
                <w:spacing w:val="-7"/>
              </w:rPr>
              <w:t>（大南公</w:t>
            </w:r>
            <w:r>
              <w:rPr>
                <w:spacing w:val="2"/>
              </w:rPr>
              <w:t xml:space="preserve"> </w:t>
            </w:r>
            <w:r>
              <w:rPr>
                <w:spacing w:val="-6"/>
              </w:rPr>
              <w:t>路）</w:t>
            </w:r>
          </w:p>
        </w:tc>
        <w:tc>
          <w:tcPr>
            <w:tcW w:w="1013" w:type="dxa"/>
            <w:vMerge w:val="restart"/>
            <w:tcBorders>
              <w:bottom w:val="nil"/>
            </w:tcBorders>
            <w:vAlign w:val="top"/>
          </w:tcPr>
          <w:p>
            <w:pPr>
              <w:spacing w:line="419" w:lineRule="auto"/>
              <w:rPr>
                <w:rFonts w:ascii="Arial"/>
                <w:sz w:val="21"/>
              </w:rPr>
            </w:pPr>
          </w:p>
          <w:p>
            <w:pPr>
              <w:spacing w:before="60" w:line="187" w:lineRule="auto"/>
              <w:ind w:left="3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tc>
        <w:tc>
          <w:tcPr>
            <w:tcW w:w="1094" w:type="dxa"/>
            <w:vMerge w:val="restart"/>
            <w:tcBorders>
              <w:bottom w:val="nil"/>
            </w:tcBorders>
            <w:vAlign w:val="top"/>
          </w:tcPr>
          <w:p>
            <w:pPr>
              <w:spacing w:line="372" w:lineRule="auto"/>
              <w:rPr>
                <w:rFonts w:ascii="Arial"/>
                <w:sz w:val="21"/>
              </w:rPr>
            </w:pPr>
          </w:p>
          <w:p>
            <w:pPr>
              <w:pStyle w:val="6"/>
              <w:spacing w:before="68"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69" w:line="223" w:lineRule="auto"/>
              <w:ind w:left="345"/>
            </w:pPr>
            <w:r>
              <w:rPr>
                <w:spacing w:val="-2"/>
              </w:rPr>
              <w:t>昼间</w:t>
            </w:r>
          </w:p>
        </w:tc>
        <w:tc>
          <w:tcPr>
            <w:tcW w:w="970" w:type="dxa"/>
            <w:vAlign w:val="top"/>
          </w:tcPr>
          <w:p>
            <w:pPr>
              <w:spacing w:before="107"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line="419" w:lineRule="auto"/>
              <w:rPr>
                <w:rFonts w:ascii="Arial"/>
                <w:sz w:val="21"/>
              </w:rPr>
            </w:pPr>
          </w:p>
          <w:p>
            <w:pPr>
              <w:spacing w:before="6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7"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46.8</w:t>
            </w:r>
          </w:p>
        </w:tc>
        <w:tc>
          <w:tcPr>
            <w:tcW w:w="799" w:type="dxa"/>
            <w:vAlign w:val="top"/>
          </w:tcPr>
          <w:p>
            <w:pPr>
              <w:spacing w:before="107"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974" w:type="dxa"/>
            <w:vAlign w:val="top"/>
          </w:tcPr>
          <w:p>
            <w:pPr>
              <w:spacing w:before="107"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w:t>
            </w:r>
          </w:p>
        </w:tc>
        <w:tc>
          <w:tcPr>
            <w:tcW w:w="1003"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54.8</w:t>
            </w:r>
          </w:p>
        </w:tc>
        <w:tc>
          <w:tcPr>
            <w:tcW w:w="1281" w:type="dxa"/>
            <w:vAlign w:val="top"/>
          </w:tcPr>
          <w:p>
            <w:pPr>
              <w:spacing w:before="105"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w:t>
            </w:r>
          </w:p>
        </w:tc>
        <w:tc>
          <w:tcPr>
            <w:tcW w:w="893" w:type="dxa"/>
            <w:vAlign w:val="top"/>
          </w:tcPr>
          <w:p>
            <w:pPr>
              <w:spacing w:before="101" w:line="230"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54.1</w:t>
            </w:r>
          </w:p>
        </w:tc>
        <w:tc>
          <w:tcPr>
            <w:tcW w:w="888"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54.8</w:t>
            </w:r>
          </w:p>
        </w:tc>
        <w:tc>
          <w:tcPr>
            <w:tcW w:w="1109" w:type="dxa"/>
            <w:vAlign w:val="top"/>
          </w:tcPr>
          <w:p>
            <w:pPr>
              <w:spacing w:before="105"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w:t>
            </w:r>
          </w:p>
        </w:tc>
        <w:tc>
          <w:tcPr>
            <w:tcW w:w="977" w:type="dxa"/>
            <w:vAlign w:val="top"/>
          </w:tcPr>
          <w:p>
            <w:pPr>
              <w:spacing w:before="101" w:line="230"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54.1</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54.8</w:t>
            </w:r>
          </w:p>
        </w:tc>
        <w:tc>
          <w:tcPr>
            <w:tcW w:w="1116" w:type="dxa"/>
            <w:vAlign w:val="top"/>
          </w:tcPr>
          <w:p>
            <w:pPr>
              <w:spacing w:before="105"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w:t>
            </w:r>
          </w:p>
        </w:tc>
        <w:tc>
          <w:tcPr>
            <w:tcW w:w="984" w:type="dxa"/>
            <w:vAlign w:val="top"/>
          </w:tcPr>
          <w:p>
            <w:pPr>
              <w:spacing w:before="101" w:line="230"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270" w:line="221" w:lineRule="auto"/>
              <w:ind w:left="349"/>
            </w:pPr>
            <w:r>
              <w:rPr>
                <w:spacing w:val="-3"/>
              </w:rPr>
              <w:t>夜间</w:t>
            </w:r>
          </w:p>
        </w:tc>
        <w:tc>
          <w:tcPr>
            <w:tcW w:w="970" w:type="dxa"/>
            <w:vAlign w:val="top"/>
          </w:tcPr>
          <w:p>
            <w:pPr>
              <w:spacing w:line="247" w:lineRule="auto"/>
              <w:rPr>
                <w:rFonts w:ascii="Arial"/>
                <w:sz w:val="21"/>
              </w:rPr>
            </w:pPr>
          </w:p>
          <w:p>
            <w:pPr>
              <w:spacing w:before="60"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line="247" w:lineRule="auto"/>
              <w:rPr>
                <w:rFonts w:ascii="Arial"/>
                <w:sz w:val="21"/>
              </w:rPr>
            </w:pPr>
          </w:p>
          <w:p>
            <w:pPr>
              <w:spacing w:before="60"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799" w:type="dxa"/>
            <w:vAlign w:val="top"/>
          </w:tcPr>
          <w:p>
            <w:pPr>
              <w:spacing w:line="247" w:lineRule="auto"/>
              <w:rPr>
                <w:rFonts w:ascii="Arial"/>
                <w:sz w:val="21"/>
              </w:rPr>
            </w:pPr>
          </w:p>
          <w:p>
            <w:pPr>
              <w:spacing w:before="60"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974" w:type="dxa"/>
            <w:vAlign w:val="top"/>
          </w:tcPr>
          <w:p>
            <w:pPr>
              <w:spacing w:line="247" w:lineRule="auto"/>
              <w:rPr>
                <w:rFonts w:ascii="Arial"/>
                <w:sz w:val="21"/>
              </w:rPr>
            </w:pPr>
          </w:p>
          <w:p>
            <w:pPr>
              <w:spacing w:before="60"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44.7</w:t>
            </w:r>
          </w:p>
        </w:tc>
        <w:tc>
          <w:tcPr>
            <w:tcW w:w="1003" w:type="dxa"/>
            <w:vAlign w:val="top"/>
          </w:tcPr>
          <w:p>
            <w:pPr>
              <w:spacing w:line="245" w:lineRule="auto"/>
              <w:rPr>
                <w:rFonts w:ascii="Arial"/>
                <w:sz w:val="21"/>
              </w:rPr>
            </w:pPr>
          </w:p>
          <w:p>
            <w:pPr>
              <w:spacing w:before="60"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45.1</w:t>
            </w:r>
          </w:p>
        </w:tc>
        <w:tc>
          <w:tcPr>
            <w:tcW w:w="1281" w:type="dxa"/>
            <w:vAlign w:val="top"/>
          </w:tcPr>
          <w:p>
            <w:pPr>
              <w:spacing w:line="245" w:lineRule="auto"/>
              <w:rPr>
                <w:rFonts w:ascii="Arial"/>
                <w:sz w:val="21"/>
              </w:rPr>
            </w:pPr>
          </w:p>
          <w:p>
            <w:pPr>
              <w:spacing w:before="60"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-2.7</w:t>
            </w:r>
          </w:p>
        </w:tc>
        <w:tc>
          <w:tcPr>
            <w:tcW w:w="893" w:type="dxa"/>
            <w:vAlign w:val="top"/>
          </w:tcPr>
          <w:p>
            <w:pPr>
              <w:spacing w:line="241" w:lineRule="auto"/>
              <w:rPr>
                <w:rFonts w:ascii="Arial"/>
                <w:sz w:val="21"/>
              </w:rPr>
            </w:pPr>
          </w:p>
          <w:p>
            <w:pPr>
              <w:spacing w:before="61"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line="245" w:lineRule="auto"/>
              <w:rPr>
                <w:rFonts w:ascii="Arial"/>
                <w:sz w:val="21"/>
              </w:rPr>
            </w:pPr>
          </w:p>
          <w:p>
            <w:pPr>
              <w:spacing w:before="60"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44.8</w:t>
            </w:r>
          </w:p>
        </w:tc>
        <w:tc>
          <w:tcPr>
            <w:tcW w:w="888" w:type="dxa"/>
            <w:vAlign w:val="top"/>
          </w:tcPr>
          <w:p>
            <w:pPr>
              <w:spacing w:line="245" w:lineRule="auto"/>
              <w:rPr>
                <w:rFonts w:ascii="Arial"/>
                <w:sz w:val="21"/>
              </w:rPr>
            </w:pPr>
          </w:p>
          <w:p>
            <w:pPr>
              <w:spacing w:before="60"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45.1</w:t>
            </w:r>
          </w:p>
        </w:tc>
        <w:tc>
          <w:tcPr>
            <w:tcW w:w="1109" w:type="dxa"/>
            <w:vAlign w:val="top"/>
          </w:tcPr>
          <w:p>
            <w:pPr>
              <w:spacing w:line="245" w:lineRule="auto"/>
              <w:rPr>
                <w:rFonts w:ascii="Arial"/>
                <w:sz w:val="21"/>
              </w:rPr>
            </w:pPr>
          </w:p>
          <w:p>
            <w:pPr>
              <w:spacing w:before="60"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-2.7</w:t>
            </w:r>
          </w:p>
        </w:tc>
        <w:tc>
          <w:tcPr>
            <w:tcW w:w="977" w:type="dxa"/>
            <w:vAlign w:val="top"/>
          </w:tcPr>
          <w:p>
            <w:pPr>
              <w:spacing w:line="241" w:lineRule="auto"/>
              <w:rPr>
                <w:rFonts w:ascii="Arial"/>
                <w:sz w:val="21"/>
              </w:rPr>
            </w:pPr>
          </w:p>
          <w:p>
            <w:pPr>
              <w:spacing w:before="61"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line="245" w:lineRule="auto"/>
              <w:rPr>
                <w:rFonts w:ascii="Arial"/>
                <w:sz w:val="21"/>
              </w:rPr>
            </w:pPr>
          </w:p>
          <w:p>
            <w:pPr>
              <w:spacing w:before="60"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44.8</w:t>
            </w:r>
          </w:p>
        </w:tc>
        <w:tc>
          <w:tcPr>
            <w:tcW w:w="890" w:type="dxa"/>
            <w:vAlign w:val="top"/>
          </w:tcPr>
          <w:p>
            <w:pPr>
              <w:spacing w:line="245" w:lineRule="auto"/>
              <w:rPr>
                <w:rFonts w:ascii="Arial"/>
                <w:sz w:val="21"/>
              </w:rPr>
            </w:pPr>
          </w:p>
          <w:p>
            <w:pPr>
              <w:spacing w:before="60"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45.1</w:t>
            </w:r>
          </w:p>
        </w:tc>
        <w:tc>
          <w:tcPr>
            <w:tcW w:w="1116" w:type="dxa"/>
            <w:vAlign w:val="top"/>
          </w:tcPr>
          <w:p>
            <w:pPr>
              <w:spacing w:line="245" w:lineRule="auto"/>
              <w:rPr>
                <w:rFonts w:ascii="Arial"/>
                <w:sz w:val="21"/>
              </w:rPr>
            </w:pPr>
          </w:p>
          <w:p>
            <w:pPr>
              <w:spacing w:before="60"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-2.7</w:t>
            </w:r>
          </w:p>
        </w:tc>
        <w:tc>
          <w:tcPr>
            <w:tcW w:w="984" w:type="dxa"/>
            <w:vAlign w:val="top"/>
          </w:tcPr>
          <w:p>
            <w:pPr>
              <w:spacing w:line="241" w:lineRule="auto"/>
              <w:rPr>
                <w:rFonts w:ascii="Arial"/>
                <w:sz w:val="21"/>
              </w:rPr>
            </w:pPr>
          </w:p>
          <w:p>
            <w:pPr>
              <w:spacing w:before="61"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14" w:type="dxa"/>
            <w:vMerge w:val="restart"/>
            <w:tcBorders>
              <w:bottom w:val="nil"/>
            </w:tcBorders>
            <w:vAlign w:val="top"/>
          </w:tcPr>
          <w:p>
            <w:pPr>
              <w:spacing w:before="281"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111" w:type="dxa"/>
            <w:vMerge w:val="restart"/>
            <w:tcBorders>
              <w:bottom w:val="nil"/>
            </w:tcBorders>
            <w:vAlign w:val="top"/>
          </w:tcPr>
          <w:p>
            <w:pPr>
              <w:pStyle w:val="6"/>
              <w:spacing w:before="242" w:line="222" w:lineRule="auto"/>
              <w:ind w:left="347"/>
            </w:pPr>
            <w:r>
              <w:rPr>
                <w:spacing w:val="-2"/>
              </w:rPr>
              <w:t>莲塘</w:t>
            </w:r>
          </w:p>
        </w:tc>
        <w:tc>
          <w:tcPr>
            <w:tcW w:w="1060" w:type="dxa"/>
            <w:vMerge w:val="restart"/>
            <w:tcBorders>
              <w:bottom w:val="nil"/>
            </w:tcBorders>
            <w:vAlign w:val="top"/>
          </w:tcPr>
          <w:p>
            <w:pPr>
              <w:pStyle w:val="6"/>
              <w:spacing w:before="87" w:line="247" w:lineRule="auto"/>
              <w:ind w:left="325" w:right="103" w:hanging="217"/>
            </w:pPr>
            <w:r>
              <w:rPr>
                <w:rFonts w:ascii="Times New Roman" w:hAnsi="Times New Roman" w:eastAsia="Times New Roman" w:cs="Times New Roman"/>
                <w:spacing w:val="-18"/>
              </w:rPr>
              <w:t>203</w:t>
            </w:r>
            <w:r>
              <w:rPr>
                <w:spacing w:val="-18"/>
              </w:rPr>
              <w:t>（连接</w:t>
            </w:r>
            <w:r>
              <w:rPr>
                <w:spacing w:val="4"/>
              </w:rPr>
              <w:t xml:space="preserve"> </w:t>
            </w:r>
            <w:r>
              <w:rPr>
                <w:spacing w:val="-6"/>
              </w:rPr>
              <w:t>线）</w:t>
            </w:r>
          </w:p>
        </w:tc>
        <w:tc>
          <w:tcPr>
            <w:tcW w:w="1013" w:type="dxa"/>
            <w:vMerge w:val="restart"/>
            <w:tcBorders>
              <w:bottom w:val="nil"/>
            </w:tcBorders>
            <w:vAlign w:val="top"/>
          </w:tcPr>
          <w:p>
            <w:pPr>
              <w:spacing w:before="284" w:line="184"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1094" w:type="dxa"/>
            <w:vMerge w:val="restart"/>
            <w:tcBorders>
              <w:bottom w:val="nil"/>
            </w:tcBorders>
            <w:vAlign w:val="top"/>
          </w:tcPr>
          <w:p>
            <w:pPr>
              <w:pStyle w:val="6"/>
              <w:spacing w:before="242" w:line="221" w:lineRule="auto"/>
              <w:ind w:left="363"/>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1104" w:type="dxa"/>
            <w:vAlign w:val="top"/>
          </w:tcPr>
          <w:p>
            <w:pPr>
              <w:pStyle w:val="6"/>
              <w:spacing w:before="70" w:line="223" w:lineRule="auto"/>
              <w:ind w:left="345"/>
            </w:pPr>
            <w:r>
              <w:rPr>
                <w:spacing w:val="-2"/>
              </w:rPr>
              <w:t>昼间</w:t>
            </w:r>
          </w:p>
        </w:tc>
        <w:tc>
          <w:tcPr>
            <w:tcW w:w="970" w:type="dxa"/>
            <w:vAlign w:val="top"/>
          </w:tcPr>
          <w:p>
            <w:pPr>
              <w:spacing w:before="108"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81"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49.2</w:t>
            </w:r>
          </w:p>
        </w:tc>
        <w:tc>
          <w:tcPr>
            <w:tcW w:w="799" w:type="dxa"/>
            <w:vAlign w:val="top"/>
          </w:tcPr>
          <w:p>
            <w:pPr>
              <w:spacing w:before="108"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49.2</w:t>
            </w:r>
          </w:p>
        </w:tc>
        <w:tc>
          <w:tcPr>
            <w:tcW w:w="974" w:type="dxa"/>
            <w:vAlign w:val="top"/>
          </w:tcPr>
          <w:p>
            <w:pPr>
              <w:spacing w:before="108"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50.8</w:t>
            </w:r>
          </w:p>
        </w:tc>
        <w:tc>
          <w:tcPr>
            <w:tcW w:w="1003" w:type="dxa"/>
            <w:vAlign w:val="top"/>
          </w:tcPr>
          <w:p>
            <w:pPr>
              <w:spacing w:before="10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w:t>
            </w:r>
          </w:p>
        </w:tc>
        <w:tc>
          <w:tcPr>
            <w:tcW w:w="893" w:type="dxa"/>
            <w:vAlign w:val="top"/>
          </w:tcPr>
          <w:p>
            <w:pPr>
              <w:spacing w:before="102" w:line="229"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50.8</w:t>
            </w:r>
          </w:p>
        </w:tc>
        <w:tc>
          <w:tcPr>
            <w:tcW w:w="888"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w:t>
            </w:r>
          </w:p>
        </w:tc>
        <w:tc>
          <w:tcPr>
            <w:tcW w:w="977" w:type="dxa"/>
            <w:vAlign w:val="top"/>
          </w:tcPr>
          <w:p>
            <w:pPr>
              <w:spacing w:before="102" w:line="229"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33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890" w:type="dxa"/>
            <w:vAlign w:val="top"/>
          </w:tcPr>
          <w:p>
            <w:pPr>
              <w:spacing w:before="10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984" w:type="dxa"/>
            <w:vAlign w:val="top"/>
          </w:tcPr>
          <w:p>
            <w:pPr>
              <w:spacing w:before="102" w:line="229"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14" w:type="dxa"/>
            <w:vMerge w:val="continue"/>
            <w:tcBorders>
              <w:top w:val="nil"/>
            </w:tcBorders>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9" w:line="221" w:lineRule="auto"/>
              <w:ind w:left="349"/>
            </w:pPr>
            <w:r>
              <w:rPr>
                <w:spacing w:val="-3"/>
              </w:rPr>
              <w:t>夜间</w:t>
            </w:r>
          </w:p>
        </w:tc>
        <w:tc>
          <w:tcPr>
            <w:tcW w:w="970" w:type="dxa"/>
            <w:vAlign w:val="top"/>
          </w:tcPr>
          <w:p>
            <w:pPr>
              <w:spacing w:before="108"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8"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44.9</w:t>
            </w:r>
          </w:p>
        </w:tc>
        <w:tc>
          <w:tcPr>
            <w:tcW w:w="799" w:type="dxa"/>
            <w:vAlign w:val="top"/>
          </w:tcPr>
          <w:p>
            <w:pPr>
              <w:spacing w:before="108"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44.9</w:t>
            </w:r>
          </w:p>
        </w:tc>
        <w:tc>
          <w:tcPr>
            <w:tcW w:w="974" w:type="dxa"/>
            <w:vAlign w:val="top"/>
          </w:tcPr>
          <w:p>
            <w:pPr>
              <w:spacing w:before="108"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40.7</w:t>
            </w:r>
          </w:p>
        </w:tc>
        <w:tc>
          <w:tcPr>
            <w:tcW w:w="1003" w:type="dxa"/>
            <w:vAlign w:val="top"/>
          </w:tcPr>
          <w:p>
            <w:pPr>
              <w:spacing w:before="105"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46.3</w:t>
            </w:r>
          </w:p>
        </w:tc>
        <w:tc>
          <w:tcPr>
            <w:tcW w:w="1281" w:type="dxa"/>
            <w:vAlign w:val="top"/>
          </w:tcPr>
          <w:p>
            <w:pPr>
              <w:spacing w:before="10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c>
          <w:tcPr>
            <w:tcW w:w="893" w:type="dxa"/>
            <w:vAlign w:val="top"/>
          </w:tcPr>
          <w:p>
            <w:pPr>
              <w:spacing w:before="102"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40.8</w:t>
            </w:r>
          </w:p>
        </w:tc>
        <w:tc>
          <w:tcPr>
            <w:tcW w:w="888" w:type="dxa"/>
            <w:vAlign w:val="top"/>
          </w:tcPr>
          <w:p>
            <w:pPr>
              <w:spacing w:before="10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46.3</w:t>
            </w:r>
          </w:p>
        </w:tc>
        <w:tc>
          <w:tcPr>
            <w:tcW w:w="1109" w:type="dxa"/>
            <w:vAlign w:val="top"/>
          </w:tcPr>
          <w:p>
            <w:pPr>
              <w:spacing w:before="105"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c>
          <w:tcPr>
            <w:tcW w:w="977" w:type="dxa"/>
            <w:vAlign w:val="top"/>
          </w:tcPr>
          <w:p>
            <w:pPr>
              <w:spacing w:before="102"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5"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40.8</w:t>
            </w:r>
          </w:p>
        </w:tc>
        <w:tc>
          <w:tcPr>
            <w:tcW w:w="890" w:type="dxa"/>
            <w:vAlign w:val="top"/>
          </w:tcPr>
          <w:p>
            <w:pPr>
              <w:spacing w:before="105"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46.3</w:t>
            </w:r>
          </w:p>
        </w:tc>
        <w:tc>
          <w:tcPr>
            <w:tcW w:w="1116" w:type="dxa"/>
            <w:vAlign w:val="top"/>
          </w:tcPr>
          <w:p>
            <w:pPr>
              <w:spacing w:before="105"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c>
          <w:tcPr>
            <w:tcW w:w="984" w:type="dxa"/>
            <w:vAlign w:val="top"/>
          </w:tcPr>
          <w:p>
            <w:pPr>
              <w:spacing w:before="102"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2"/>
        <w:spacing w:line="125" w:lineRule="exact"/>
        <w:rPr>
          <w:sz w:val="10"/>
        </w:rPr>
      </w:pPr>
    </w:p>
    <w:p>
      <w:pPr>
        <w:spacing w:line="125" w:lineRule="exact"/>
        <w:rPr>
          <w:sz w:val="10"/>
          <w:szCs w:val="10"/>
        </w:rPr>
        <w:sectPr>
          <w:footerReference r:id="rId277" w:type="default"/>
          <w:pgSz w:w="23811" w:h="16839"/>
          <w:pgMar w:top="1063" w:right="1125" w:bottom="1014" w:left="1128" w:header="822" w:footer="853" w:gutter="0"/>
          <w:cols w:space="720" w:num="1"/>
        </w:sectPr>
      </w:pPr>
    </w:p>
    <w:p>
      <w:pPr>
        <w:spacing w:line="69" w:lineRule="exact"/>
      </w:pPr>
    </w:p>
    <w:tbl>
      <w:tblPr>
        <w:tblStyle w:val="5"/>
        <w:tblW w:w="21400"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4"/>
        <w:gridCol w:w="1111"/>
        <w:gridCol w:w="1060"/>
        <w:gridCol w:w="1013"/>
        <w:gridCol w:w="1094"/>
        <w:gridCol w:w="1104"/>
        <w:gridCol w:w="970"/>
        <w:gridCol w:w="811"/>
        <w:gridCol w:w="936"/>
        <w:gridCol w:w="799"/>
        <w:gridCol w:w="974"/>
        <w:gridCol w:w="1003"/>
        <w:gridCol w:w="1281"/>
        <w:gridCol w:w="893"/>
        <w:gridCol w:w="902"/>
        <w:gridCol w:w="888"/>
        <w:gridCol w:w="1109"/>
        <w:gridCol w:w="977"/>
        <w:gridCol w:w="871"/>
        <w:gridCol w:w="890"/>
        <w:gridCol w:w="1116"/>
        <w:gridCol w:w="9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9" w:hRule="atLeast"/>
        </w:trPr>
        <w:tc>
          <w:tcPr>
            <w:tcW w:w="614" w:type="dxa"/>
            <w:vMerge w:val="restart"/>
            <w:tcBorders>
              <w:bottom w:val="nil"/>
            </w:tcBorders>
            <w:textDirection w:val="tbRlV"/>
            <w:vAlign w:val="top"/>
          </w:tcPr>
          <w:p>
            <w:pPr>
              <w:pStyle w:val="6"/>
              <w:spacing w:before="198" w:line="211" w:lineRule="auto"/>
              <w:ind w:left="332"/>
            </w:pPr>
            <w:r>
              <w:rPr>
                <w:spacing w:val="1"/>
              </w:rPr>
              <w:t>序</w:t>
            </w:r>
            <w:r>
              <w:rPr>
                <w:spacing w:val="-5"/>
              </w:rPr>
              <w:t xml:space="preserve"> </w:t>
            </w:r>
            <w:r>
              <w:rPr>
                <w:spacing w:val="1"/>
              </w:rPr>
              <w:t>号</w:t>
            </w:r>
          </w:p>
        </w:tc>
        <w:tc>
          <w:tcPr>
            <w:tcW w:w="1111" w:type="dxa"/>
            <w:vMerge w:val="restart"/>
            <w:tcBorders>
              <w:bottom w:val="nil"/>
            </w:tcBorders>
            <w:vAlign w:val="top"/>
          </w:tcPr>
          <w:p>
            <w:pPr>
              <w:pStyle w:val="6"/>
              <w:spacing w:before="176" w:line="221" w:lineRule="auto"/>
              <w:ind w:left="142"/>
            </w:pPr>
            <w:r>
              <w:rPr>
                <w:spacing w:val="-3"/>
              </w:rPr>
              <w:t>声环境保</w:t>
            </w:r>
          </w:p>
          <w:p>
            <w:pPr>
              <w:pStyle w:val="6"/>
              <w:spacing w:before="61" w:line="221" w:lineRule="auto"/>
              <w:ind w:left="138"/>
            </w:pPr>
            <w:r>
              <w:rPr>
                <w:spacing w:val="-2"/>
              </w:rPr>
              <w:t>护目标名</w:t>
            </w:r>
          </w:p>
          <w:p>
            <w:pPr>
              <w:pStyle w:val="6"/>
              <w:spacing w:before="59" w:line="223" w:lineRule="auto"/>
              <w:ind w:left="451"/>
            </w:pPr>
            <w:r>
              <w:t>称</w:t>
            </w:r>
          </w:p>
        </w:tc>
        <w:tc>
          <w:tcPr>
            <w:tcW w:w="1060" w:type="dxa"/>
            <w:vMerge w:val="restart"/>
            <w:tcBorders>
              <w:bottom w:val="nil"/>
            </w:tcBorders>
            <w:vAlign w:val="top"/>
          </w:tcPr>
          <w:p>
            <w:pPr>
              <w:spacing w:line="263" w:lineRule="auto"/>
              <w:rPr>
                <w:rFonts w:ascii="Arial"/>
                <w:sz w:val="21"/>
              </w:rPr>
            </w:pPr>
          </w:p>
          <w:p>
            <w:pPr>
              <w:pStyle w:val="6"/>
              <w:spacing w:before="68" w:line="247" w:lineRule="auto"/>
              <w:ind w:left="121" w:right="106" w:hanging="3"/>
            </w:pPr>
            <w:r>
              <w:rPr>
                <w:spacing w:val="-3"/>
              </w:rPr>
              <w:t>与道路中</w:t>
            </w:r>
            <w:r>
              <w:rPr>
                <w:spacing w:val="1"/>
              </w:rPr>
              <w:t xml:space="preserve"> </w:t>
            </w:r>
            <w:r>
              <w:rPr>
                <w:spacing w:val="-4"/>
              </w:rPr>
              <w:t>心线距离</w:t>
            </w:r>
          </w:p>
        </w:tc>
        <w:tc>
          <w:tcPr>
            <w:tcW w:w="1013" w:type="dxa"/>
            <w:vMerge w:val="restart"/>
            <w:tcBorders>
              <w:bottom w:val="nil"/>
            </w:tcBorders>
            <w:vAlign w:val="top"/>
          </w:tcPr>
          <w:p>
            <w:pPr>
              <w:pStyle w:val="6"/>
              <w:spacing w:before="176" w:line="261" w:lineRule="auto"/>
              <w:ind w:left="195" w:right="182"/>
              <w:jc w:val="both"/>
              <w:rPr>
                <w:rFonts w:ascii="Times New Roman" w:hAnsi="Times New Roman" w:eastAsia="Times New Roman" w:cs="Times New Roman"/>
              </w:rPr>
            </w:pPr>
            <w:r>
              <w:rPr>
                <w:spacing w:val="-3"/>
              </w:rPr>
              <w:t>预测点</w:t>
            </w:r>
            <w:r>
              <w:rPr>
                <w:spacing w:val="1"/>
              </w:rPr>
              <w:t xml:space="preserve"> </w:t>
            </w:r>
            <w:r>
              <w:rPr>
                <w:spacing w:val="-2"/>
              </w:rPr>
              <w:t>与声源</w:t>
            </w:r>
            <w:r>
              <w:t xml:space="preserve"> </w:t>
            </w:r>
            <w:r>
              <w:rPr>
                <w:spacing w:val="-3"/>
              </w:rPr>
              <w:t>高差</w:t>
            </w:r>
            <w:r>
              <w:rPr>
                <w:rFonts w:ascii="Times New Roman" w:hAnsi="Times New Roman" w:eastAsia="Times New Roman" w:cs="Times New Roman"/>
                <w:spacing w:val="-3"/>
              </w:rPr>
              <w:t>/m</w:t>
            </w:r>
          </w:p>
        </w:tc>
        <w:tc>
          <w:tcPr>
            <w:tcW w:w="1094" w:type="dxa"/>
            <w:vMerge w:val="restart"/>
            <w:tcBorders>
              <w:bottom w:val="nil"/>
            </w:tcBorders>
            <w:vAlign w:val="top"/>
          </w:tcPr>
          <w:p>
            <w:pPr>
              <w:spacing w:line="263" w:lineRule="auto"/>
              <w:rPr>
                <w:rFonts w:ascii="Arial"/>
                <w:sz w:val="21"/>
              </w:rPr>
            </w:pPr>
          </w:p>
          <w:p>
            <w:pPr>
              <w:pStyle w:val="6"/>
              <w:spacing w:before="68" w:line="247" w:lineRule="auto"/>
              <w:ind w:left="137" w:right="125" w:hanging="4"/>
            </w:pPr>
            <w:r>
              <w:rPr>
                <w:spacing w:val="-3"/>
              </w:rPr>
              <w:t>声环境功</w:t>
            </w:r>
            <w:r>
              <w:rPr>
                <w:spacing w:val="1"/>
              </w:rPr>
              <w:t xml:space="preserve"> </w:t>
            </w:r>
            <w:r>
              <w:rPr>
                <w:spacing w:val="-4"/>
              </w:rPr>
              <w:t>能区类别</w:t>
            </w:r>
          </w:p>
        </w:tc>
        <w:tc>
          <w:tcPr>
            <w:tcW w:w="1104" w:type="dxa"/>
            <w:vMerge w:val="restart"/>
            <w:tcBorders>
              <w:bottom w:val="nil"/>
            </w:tcBorders>
            <w:vAlign w:val="top"/>
          </w:tcPr>
          <w:p>
            <w:pPr>
              <w:spacing w:line="417" w:lineRule="auto"/>
              <w:rPr>
                <w:rFonts w:ascii="Arial"/>
                <w:sz w:val="21"/>
              </w:rPr>
            </w:pPr>
          </w:p>
          <w:p>
            <w:pPr>
              <w:pStyle w:val="6"/>
              <w:spacing w:before="68" w:line="222" w:lineRule="auto"/>
              <w:ind w:left="355"/>
            </w:pPr>
            <w:r>
              <w:rPr>
                <w:spacing w:val="-4"/>
              </w:rPr>
              <w:t>时段</w:t>
            </w:r>
          </w:p>
        </w:tc>
        <w:tc>
          <w:tcPr>
            <w:tcW w:w="970" w:type="dxa"/>
            <w:vMerge w:val="restart"/>
            <w:tcBorders>
              <w:bottom w:val="nil"/>
            </w:tcBorders>
            <w:vAlign w:val="top"/>
          </w:tcPr>
          <w:p>
            <w:pPr>
              <w:spacing w:line="417" w:lineRule="auto"/>
              <w:rPr>
                <w:rFonts w:ascii="Arial"/>
                <w:sz w:val="21"/>
              </w:rPr>
            </w:pPr>
          </w:p>
          <w:p>
            <w:pPr>
              <w:pStyle w:val="6"/>
              <w:spacing w:before="68" w:line="221" w:lineRule="auto"/>
              <w:ind w:left="174"/>
            </w:pPr>
            <w:r>
              <w:rPr>
                <w:spacing w:val="-2"/>
              </w:rPr>
              <w:t>标准值</w:t>
            </w:r>
          </w:p>
        </w:tc>
        <w:tc>
          <w:tcPr>
            <w:tcW w:w="811" w:type="dxa"/>
            <w:vMerge w:val="restart"/>
            <w:tcBorders>
              <w:bottom w:val="nil"/>
            </w:tcBorders>
            <w:vAlign w:val="top"/>
          </w:tcPr>
          <w:p>
            <w:pPr>
              <w:spacing w:line="417" w:lineRule="auto"/>
              <w:rPr>
                <w:rFonts w:ascii="Arial"/>
                <w:sz w:val="21"/>
              </w:rPr>
            </w:pPr>
          </w:p>
          <w:p>
            <w:pPr>
              <w:pStyle w:val="6"/>
              <w:spacing w:before="68" w:line="218" w:lineRule="auto"/>
              <w:ind w:left="198"/>
            </w:pPr>
            <w:r>
              <w:rPr>
                <w:spacing w:val="-2"/>
              </w:rPr>
              <w:t>楼层</w:t>
            </w:r>
          </w:p>
        </w:tc>
        <w:tc>
          <w:tcPr>
            <w:tcW w:w="936" w:type="dxa"/>
            <w:vMerge w:val="restart"/>
            <w:tcBorders>
              <w:bottom w:val="nil"/>
            </w:tcBorders>
            <w:vAlign w:val="top"/>
          </w:tcPr>
          <w:p>
            <w:pPr>
              <w:spacing w:line="417" w:lineRule="auto"/>
              <w:rPr>
                <w:rFonts w:ascii="Arial"/>
                <w:sz w:val="21"/>
              </w:rPr>
            </w:pPr>
          </w:p>
          <w:p>
            <w:pPr>
              <w:pStyle w:val="6"/>
              <w:spacing w:before="68" w:line="221" w:lineRule="auto"/>
              <w:ind w:left="160"/>
            </w:pPr>
            <w:r>
              <w:rPr>
                <w:spacing w:val="-2"/>
              </w:rPr>
              <w:t>背景值</w:t>
            </w:r>
          </w:p>
        </w:tc>
        <w:tc>
          <w:tcPr>
            <w:tcW w:w="799" w:type="dxa"/>
            <w:vMerge w:val="restart"/>
            <w:tcBorders>
              <w:bottom w:val="nil"/>
            </w:tcBorders>
            <w:vAlign w:val="top"/>
          </w:tcPr>
          <w:p>
            <w:pPr>
              <w:spacing w:line="262" w:lineRule="auto"/>
              <w:rPr>
                <w:rFonts w:ascii="Arial"/>
                <w:sz w:val="21"/>
              </w:rPr>
            </w:pPr>
          </w:p>
          <w:p>
            <w:pPr>
              <w:pStyle w:val="6"/>
              <w:spacing w:before="68" w:line="312" w:lineRule="exact"/>
              <w:ind w:left="196"/>
            </w:pPr>
            <w:r>
              <w:rPr>
                <w:spacing w:val="-2"/>
                <w:position w:val="7"/>
              </w:rPr>
              <w:t>现状</w:t>
            </w:r>
          </w:p>
          <w:p>
            <w:pPr>
              <w:pStyle w:val="6"/>
              <w:spacing w:line="220" w:lineRule="auto"/>
              <w:ind w:left="300"/>
            </w:pPr>
            <w:r>
              <w:t>值</w:t>
            </w:r>
          </w:p>
        </w:tc>
        <w:tc>
          <w:tcPr>
            <w:tcW w:w="4151" w:type="dxa"/>
            <w:gridSpan w:val="4"/>
            <w:vAlign w:val="top"/>
          </w:tcPr>
          <w:p>
            <w:pPr>
              <w:pStyle w:val="6"/>
              <w:spacing w:before="157" w:line="221" w:lineRule="auto"/>
              <w:ind w:left="1870"/>
            </w:pPr>
            <w:r>
              <w:rPr>
                <w:spacing w:val="-2"/>
              </w:rPr>
              <w:t>近期</w:t>
            </w:r>
          </w:p>
        </w:tc>
        <w:tc>
          <w:tcPr>
            <w:tcW w:w="3876" w:type="dxa"/>
            <w:gridSpan w:val="4"/>
            <w:vAlign w:val="top"/>
          </w:tcPr>
          <w:p>
            <w:pPr>
              <w:pStyle w:val="6"/>
              <w:spacing w:before="157" w:line="221" w:lineRule="auto"/>
              <w:ind w:left="1752"/>
            </w:pPr>
            <w:r>
              <w:rPr>
                <w:spacing w:val="-7"/>
              </w:rPr>
              <w:t>中期</w:t>
            </w:r>
          </w:p>
        </w:tc>
        <w:tc>
          <w:tcPr>
            <w:tcW w:w="3861" w:type="dxa"/>
            <w:gridSpan w:val="4"/>
            <w:vAlign w:val="top"/>
          </w:tcPr>
          <w:p>
            <w:pPr>
              <w:pStyle w:val="6"/>
              <w:spacing w:before="157" w:line="221" w:lineRule="auto"/>
              <w:ind w:left="1726"/>
            </w:pPr>
            <w:r>
              <w:rPr>
                <w:spacing w:val="-2"/>
              </w:rPr>
              <w:t>远期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614" w:type="dxa"/>
            <w:vMerge w:val="continue"/>
            <w:tcBorders>
              <w:top w:val="nil"/>
              <w:bottom w:val="nil"/>
            </w:tcBorders>
            <w:textDirection w:val="tbRlV"/>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bottom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Merge w:val="continue"/>
            <w:tcBorders>
              <w:top w:val="nil"/>
            </w:tcBorders>
            <w:vAlign w:val="top"/>
          </w:tcPr>
          <w:p>
            <w:pPr>
              <w:rPr>
                <w:rFonts w:ascii="Arial"/>
                <w:sz w:val="21"/>
              </w:rPr>
            </w:pPr>
          </w:p>
        </w:tc>
        <w:tc>
          <w:tcPr>
            <w:tcW w:w="970" w:type="dxa"/>
            <w:vMerge w:val="continue"/>
            <w:tcBorders>
              <w:top w:val="nil"/>
            </w:tcBorders>
            <w:vAlign w:val="top"/>
          </w:tcPr>
          <w:p>
            <w:pPr>
              <w:rPr>
                <w:rFonts w:ascii="Arial"/>
                <w:sz w:val="21"/>
              </w:rPr>
            </w:pPr>
          </w:p>
        </w:tc>
        <w:tc>
          <w:tcPr>
            <w:tcW w:w="811" w:type="dxa"/>
            <w:vMerge w:val="continue"/>
            <w:tcBorders>
              <w:top w:val="nil"/>
            </w:tcBorders>
            <w:vAlign w:val="top"/>
          </w:tcPr>
          <w:p>
            <w:pPr>
              <w:rPr>
                <w:rFonts w:ascii="Arial"/>
                <w:sz w:val="21"/>
              </w:rPr>
            </w:pPr>
          </w:p>
        </w:tc>
        <w:tc>
          <w:tcPr>
            <w:tcW w:w="936" w:type="dxa"/>
            <w:vMerge w:val="continue"/>
            <w:tcBorders>
              <w:top w:val="nil"/>
            </w:tcBorders>
            <w:vAlign w:val="top"/>
          </w:tcPr>
          <w:p>
            <w:pPr>
              <w:rPr>
                <w:rFonts w:ascii="Arial"/>
                <w:sz w:val="21"/>
              </w:rPr>
            </w:pPr>
          </w:p>
        </w:tc>
        <w:tc>
          <w:tcPr>
            <w:tcW w:w="799" w:type="dxa"/>
            <w:vMerge w:val="continue"/>
            <w:tcBorders>
              <w:top w:val="nil"/>
            </w:tcBorders>
            <w:vAlign w:val="top"/>
          </w:tcPr>
          <w:p>
            <w:pPr>
              <w:rPr>
                <w:rFonts w:ascii="Arial"/>
                <w:sz w:val="21"/>
              </w:rPr>
            </w:pPr>
          </w:p>
        </w:tc>
        <w:tc>
          <w:tcPr>
            <w:tcW w:w="974" w:type="dxa"/>
            <w:vAlign w:val="top"/>
          </w:tcPr>
          <w:p>
            <w:pPr>
              <w:pStyle w:val="6"/>
              <w:spacing w:before="223" w:line="220" w:lineRule="auto"/>
              <w:ind w:left="178"/>
            </w:pPr>
            <w:r>
              <w:rPr>
                <w:spacing w:val="-2"/>
              </w:rPr>
              <w:t>贡献值</w:t>
            </w:r>
          </w:p>
        </w:tc>
        <w:tc>
          <w:tcPr>
            <w:tcW w:w="1003" w:type="dxa"/>
            <w:vAlign w:val="top"/>
          </w:tcPr>
          <w:p>
            <w:pPr>
              <w:pStyle w:val="6"/>
              <w:spacing w:before="223" w:line="221" w:lineRule="auto"/>
              <w:ind w:left="192"/>
            </w:pPr>
            <w:r>
              <w:rPr>
                <w:spacing w:val="-2"/>
              </w:rPr>
              <w:t>预测值</w:t>
            </w:r>
          </w:p>
        </w:tc>
        <w:tc>
          <w:tcPr>
            <w:tcW w:w="1281" w:type="dxa"/>
            <w:vAlign w:val="top"/>
          </w:tcPr>
          <w:p>
            <w:pPr>
              <w:pStyle w:val="6"/>
              <w:spacing w:before="67" w:line="312" w:lineRule="exact"/>
              <w:ind w:left="333"/>
            </w:pPr>
            <w:r>
              <w:rPr>
                <w:spacing w:val="-2"/>
                <w:position w:val="7"/>
              </w:rPr>
              <w:t>较现状</w:t>
            </w:r>
          </w:p>
          <w:p>
            <w:pPr>
              <w:pStyle w:val="6"/>
              <w:spacing w:line="222" w:lineRule="auto"/>
              <w:ind w:left="334"/>
            </w:pPr>
            <w:r>
              <w:rPr>
                <w:spacing w:val="-2"/>
              </w:rPr>
              <w:t>增加量</w:t>
            </w:r>
          </w:p>
        </w:tc>
        <w:tc>
          <w:tcPr>
            <w:tcW w:w="893" w:type="dxa"/>
            <w:vAlign w:val="top"/>
          </w:tcPr>
          <w:p>
            <w:pPr>
              <w:pStyle w:val="6"/>
              <w:spacing w:before="223" w:line="221" w:lineRule="auto"/>
              <w:ind w:left="136"/>
            </w:pPr>
            <w:r>
              <w:rPr>
                <w:spacing w:val="-1"/>
              </w:rPr>
              <w:t>超标量</w:t>
            </w:r>
          </w:p>
        </w:tc>
        <w:tc>
          <w:tcPr>
            <w:tcW w:w="902" w:type="dxa"/>
            <w:vAlign w:val="top"/>
          </w:tcPr>
          <w:p>
            <w:pPr>
              <w:pStyle w:val="6"/>
              <w:spacing w:before="223" w:line="220" w:lineRule="auto"/>
              <w:ind w:left="144"/>
            </w:pPr>
            <w:r>
              <w:rPr>
                <w:spacing w:val="-2"/>
              </w:rPr>
              <w:t>贡献值</w:t>
            </w:r>
          </w:p>
        </w:tc>
        <w:tc>
          <w:tcPr>
            <w:tcW w:w="888" w:type="dxa"/>
            <w:vAlign w:val="top"/>
          </w:tcPr>
          <w:p>
            <w:pPr>
              <w:pStyle w:val="6"/>
              <w:spacing w:before="223" w:line="221" w:lineRule="auto"/>
              <w:ind w:left="136"/>
            </w:pPr>
            <w:r>
              <w:rPr>
                <w:spacing w:val="-2"/>
              </w:rPr>
              <w:t>预测值</w:t>
            </w:r>
          </w:p>
        </w:tc>
        <w:tc>
          <w:tcPr>
            <w:tcW w:w="1109" w:type="dxa"/>
            <w:vAlign w:val="top"/>
          </w:tcPr>
          <w:p>
            <w:pPr>
              <w:pStyle w:val="6"/>
              <w:spacing w:before="67" w:line="312" w:lineRule="exact"/>
              <w:ind w:left="245"/>
            </w:pPr>
            <w:r>
              <w:rPr>
                <w:spacing w:val="-2"/>
                <w:position w:val="7"/>
              </w:rPr>
              <w:t>较现状</w:t>
            </w:r>
          </w:p>
          <w:p>
            <w:pPr>
              <w:pStyle w:val="6"/>
              <w:spacing w:line="222" w:lineRule="auto"/>
              <w:ind w:left="246"/>
            </w:pPr>
            <w:r>
              <w:rPr>
                <w:spacing w:val="-2"/>
              </w:rPr>
              <w:t>增加量</w:t>
            </w:r>
          </w:p>
        </w:tc>
        <w:tc>
          <w:tcPr>
            <w:tcW w:w="977" w:type="dxa"/>
            <w:vAlign w:val="top"/>
          </w:tcPr>
          <w:p>
            <w:pPr>
              <w:pStyle w:val="6"/>
              <w:spacing w:before="223" w:line="221" w:lineRule="auto"/>
              <w:ind w:left="177"/>
            </w:pPr>
            <w:r>
              <w:rPr>
                <w:spacing w:val="-1"/>
              </w:rPr>
              <w:t>超标量</w:t>
            </w:r>
          </w:p>
        </w:tc>
        <w:tc>
          <w:tcPr>
            <w:tcW w:w="871" w:type="dxa"/>
            <w:vAlign w:val="top"/>
          </w:tcPr>
          <w:p>
            <w:pPr>
              <w:pStyle w:val="6"/>
              <w:spacing w:before="223" w:line="220" w:lineRule="auto"/>
              <w:ind w:left="130"/>
            </w:pPr>
            <w:r>
              <w:rPr>
                <w:spacing w:val="-2"/>
              </w:rPr>
              <w:t>贡献值</w:t>
            </w:r>
          </w:p>
        </w:tc>
        <w:tc>
          <w:tcPr>
            <w:tcW w:w="890" w:type="dxa"/>
            <w:vAlign w:val="top"/>
          </w:tcPr>
          <w:p>
            <w:pPr>
              <w:pStyle w:val="6"/>
              <w:spacing w:before="223" w:line="221" w:lineRule="auto"/>
              <w:ind w:left="139"/>
            </w:pPr>
            <w:r>
              <w:rPr>
                <w:spacing w:val="-2"/>
              </w:rPr>
              <w:t>预测值</w:t>
            </w:r>
          </w:p>
        </w:tc>
        <w:tc>
          <w:tcPr>
            <w:tcW w:w="1116" w:type="dxa"/>
            <w:vAlign w:val="top"/>
          </w:tcPr>
          <w:p>
            <w:pPr>
              <w:pStyle w:val="6"/>
              <w:spacing w:before="67" w:line="312" w:lineRule="exact"/>
              <w:ind w:left="250"/>
            </w:pPr>
            <w:r>
              <w:rPr>
                <w:spacing w:val="-2"/>
                <w:position w:val="7"/>
              </w:rPr>
              <w:t>较现状</w:t>
            </w:r>
          </w:p>
          <w:p>
            <w:pPr>
              <w:pStyle w:val="6"/>
              <w:spacing w:line="222" w:lineRule="auto"/>
              <w:ind w:left="251"/>
            </w:pPr>
            <w:r>
              <w:rPr>
                <w:spacing w:val="-2"/>
              </w:rPr>
              <w:t>增加量</w:t>
            </w:r>
          </w:p>
        </w:tc>
        <w:tc>
          <w:tcPr>
            <w:tcW w:w="984" w:type="dxa"/>
            <w:vAlign w:val="top"/>
          </w:tcPr>
          <w:p>
            <w:pPr>
              <w:pStyle w:val="6"/>
              <w:spacing w:before="223" w:line="221" w:lineRule="auto"/>
              <w:ind w:left="180"/>
            </w:pPr>
            <w:r>
              <w:rPr>
                <w:spacing w:val="-1"/>
              </w:rPr>
              <w:t>超标量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614" w:type="dxa"/>
            <w:vMerge w:val="continue"/>
            <w:tcBorders>
              <w:top w:val="nil"/>
              <w:bottom w:val="nil"/>
            </w:tcBorders>
            <w:textDirection w:val="tbRlV"/>
            <w:vAlign w:val="top"/>
          </w:tcPr>
          <w:p>
            <w:pPr>
              <w:rPr>
                <w:rFonts w:ascii="Arial"/>
                <w:sz w:val="21"/>
              </w:rPr>
            </w:pPr>
          </w:p>
        </w:tc>
        <w:tc>
          <w:tcPr>
            <w:tcW w:w="1111" w:type="dxa"/>
            <w:vMerge w:val="continue"/>
            <w:tcBorders>
              <w:top w:val="nil"/>
              <w:bottom w:val="nil"/>
            </w:tcBorders>
            <w:vAlign w:val="top"/>
          </w:tcPr>
          <w:p>
            <w:pPr>
              <w:rPr>
                <w:rFonts w:ascii="Arial"/>
                <w:sz w:val="21"/>
              </w:rPr>
            </w:pPr>
          </w:p>
        </w:tc>
        <w:tc>
          <w:tcPr>
            <w:tcW w:w="1060" w:type="dxa"/>
            <w:vMerge w:val="continue"/>
            <w:tcBorders>
              <w:top w:val="nil"/>
              <w:bottom w:val="nil"/>
            </w:tcBorders>
            <w:vAlign w:val="top"/>
          </w:tcPr>
          <w:p>
            <w:pPr>
              <w:rPr>
                <w:rFonts w:ascii="Arial"/>
                <w:sz w:val="21"/>
              </w:rPr>
            </w:pPr>
          </w:p>
        </w:tc>
        <w:tc>
          <w:tcPr>
            <w:tcW w:w="1013" w:type="dxa"/>
            <w:vMerge w:val="continue"/>
            <w:tcBorders>
              <w:top w:val="nil"/>
              <w:bottom w:val="nil"/>
            </w:tcBorders>
            <w:vAlign w:val="top"/>
          </w:tcPr>
          <w:p>
            <w:pPr>
              <w:rPr>
                <w:rFonts w:ascii="Arial"/>
                <w:sz w:val="21"/>
              </w:rPr>
            </w:pPr>
          </w:p>
        </w:tc>
        <w:tc>
          <w:tcPr>
            <w:tcW w:w="1094" w:type="dxa"/>
            <w:vMerge w:val="continue"/>
            <w:tcBorders>
              <w:top w:val="nil"/>
              <w:bottom w:val="nil"/>
            </w:tcBorders>
            <w:vAlign w:val="top"/>
          </w:tcPr>
          <w:p>
            <w:pPr>
              <w:rPr>
                <w:rFonts w:ascii="Arial"/>
                <w:sz w:val="21"/>
              </w:rPr>
            </w:pPr>
          </w:p>
        </w:tc>
        <w:tc>
          <w:tcPr>
            <w:tcW w:w="1104" w:type="dxa"/>
            <w:vAlign w:val="top"/>
          </w:tcPr>
          <w:p>
            <w:pPr>
              <w:pStyle w:val="6"/>
              <w:spacing w:before="67" w:line="223" w:lineRule="auto"/>
              <w:ind w:left="345"/>
            </w:pPr>
            <w:r>
              <w:rPr>
                <w:spacing w:val="-2"/>
              </w:rPr>
              <w:t>昼间</w:t>
            </w:r>
          </w:p>
        </w:tc>
        <w:tc>
          <w:tcPr>
            <w:tcW w:w="970" w:type="dxa"/>
            <w:vAlign w:val="top"/>
          </w:tcPr>
          <w:p>
            <w:pPr>
              <w:spacing w:before="103"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11" w:type="dxa"/>
            <w:vMerge w:val="restart"/>
            <w:tcBorders>
              <w:bottom w:val="nil"/>
            </w:tcBorders>
            <w:vAlign w:val="top"/>
          </w:tcPr>
          <w:p>
            <w:pPr>
              <w:spacing w:before="278" w:line="187" w:lineRule="auto"/>
              <w:ind w:left="3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36" w:type="dxa"/>
            <w:vAlign w:val="top"/>
          </w:tcPr>
          <w:p>
            <w:pPr>
              <w:spacing w:before="105"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799" w:type="dxa"/>
            <w:vAlign w:val="top"/>
          </w:tcPr>
          <w:p>
            <w:pPr>
              <w:spacing w:before="105"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50.3</w:t>
            </w:r>
          </w:p>
        </w:tc>
        <w:tc>
          <w:tcPr>
            <w:tcW w:w="974" w:type="dxa"/>
            <w:vAlign w:val="top"/>
          </w:tcPr>
          <w:p>
            <w:pPr>
              <w:spacing w:before="105"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54.1</w:t>
            </w:r>
          </w:p>
        </w:tc>
        <w:tc>
          <w:tcPr>
            <w:tcW w:w="1003" w:type="dxa"/>
            <w:vAlign w:val="top"/>
          </w:tcPr>
          <w:p>
            <w:pPr>
              <w:spacing w:before="103"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1281" w:type="dxa"/>
            <w:vAlign w:val="top"/>
          </w:tcPr>
          <w:p>
            <w:pPr>
              <w:spacing w:before="103"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893" w:type="dxa"/>
            <w:vAlign w:val="top"/>
          </w:tcPr>
          <w:p>
            <w:pPr>
              <w:spacing w:before="99" w:line="231"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3"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54.1</w:t>
            </w:r>
          </w:p>
        </w:tc>
        <w:tc>
          <w:tcPr>
            <w:tcW w:w="888" w:type="dxa"/>
            <w:vAlign w:val="top"/>
          </w:tcPr>
          <w:p>
            <w:pPr>
              <w:spacing w:before="103"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1109" w:type="dxa"/>
            <w:vAlign w:val="top"/>
          </w:tcPr>
          <w:p>
            <w:pPr>
              <w:spacing w:before="103"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977" w:type="dxa"/>
            <w:vAlign w:val="top"/>
          </w:tcPr>
          <w:p>
            <w:pPr>
              <w:spacing w:before="99" w:line="231"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3"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54.3</w:t>
            </w:r>
          </w:p>
        </w:tc>
        <w:tc>
          <w:tcPr>
            <w:tcW w:w="890" w:type="dxa"/>
            <w:vAlign w:val="top"/>
          </w:tcPr>
          <w:p>
            <w:pPr>
              <w:spacing w:before="103"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1116" w:type="dxa"/>
            <w:vAlign w:val="top"/>
          </w:tcPr>
          <w:p>
            <w:pPr>
              <w:spacing w:before="103" w:line="187"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984" w:type="dxa"/>
            <w:vAlign w:val="top"/>
          </w:tcPr>
          <w:p>
            <w:pPr>
              <w:spacing w:before="99" w:line="231"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14" w:type="dxa"/>
            <w:vMerge w:val="continue"/>
            <w:tcBorders>
              <w:top w:val="nil"/>
            </w:tcBorders>
            <w:textDirection w:val="tbRlV"/>
            <w:vAlign w:val="top"/>
          </w:tcPr>
          <w:p>
            <w:pPr>
              <w:rPr>
                <w:rFonts w:ascii="Arial"/>
                <w:sz w:val="21"/>
              </w:rPr>
            </w:pPr>
          </w:p>
        </w:tc>
        <w:tc>
          <w:tcPr>
            <w:tcW w:w="1111" w:type="dxa"/>
            <w:vMerge w:val="continue"/>
            <w:tcBorders>
              <w:top w:val="nil"/>
            </w:tcBorders>
            <w:vAlign w:val="top"/>
          </w:tcPr>
          <w:p>
            <w:pPr>
              <w:rPr>
                <w:rFonts w:ascii="Arial"/>
                <w:sz w:val="21"/>
              </w:rPr>
            </w:pPr>
          </w:p>
        </w:tc>
        <w:tc>
          <w:tcPr>
            <w:tcW w:w="1060" w:type="dxa"/>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1094" w:type="dxa"/>
            <w:vMerge w:val="continue"/>
            <w:tcBorders>
              <w:top w:val="nil"/>
            </w:tcBorders>
            <w:vAlign w:val="top"/>
          </w:tcPr>
          <w:p>
            <w:pPr>
              <w:rPr>
                <w:rFonts w:ascii="Arial"/>
                <w:sz w:val="21"/>
              </w:rPr>
            </w:pPr>
          </w:p>
        </w:tc>
        <w:tc>
          <w:tcPr>
            <w:tcW w:w="1104" w:type="dxa"/>
            <w:vAlign w:val="top"/>
          </w:tcPr>
          <w:p>
            <w:pPr>
              <w:pStyle w:val="6"/>
              <w:spacing w:before="67" w:line="221" w:lineRule="auto"/>
              <w:ind w:left="349"/>
            </w:pPr>
            <w:r>
              <w:rPr>
                <w:spacing w:val="-3"/>
              </w:rPr>
              <w:t>夜间</w:t>
            </w:r>
          </w:p>
        </w:tc>
        <w:tc>
          <w:tcPr>
            <w:tcW w:w="970" w:type="dxa"/>
            <w:vAlign w:val="top"/>
          </w:tcPr>
          <w:p>
            <w:pPr>
              <w:spacing w:before="104" w:line="187" w:lineRule="auto"/>
              <w:ind w:left="3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11" w:type="dxa"/>
            <w:vMerge w:val="continue"/>
            <w:tcBorders>
              <w:top w:val="nil"/>
            </w:tcBorders>
            <w:vAlign w:val="top"/>
          </w:tcPr>
          <w:p>
            <w:pPr>
              <w:rPr>
                <w:rFonts w:ascii="Arial"/>
                <w:sz w:val="21"/>
              </w:rPr>
            </w:pPr>
          </w:p>
        </w:tc>
        <w:tc>
          <w:tcPr>
            <w:tcW w:w="936" w:type="dxa"/>
            <w:vAlign w:val="top"/>
          </w:tcPr>
          <w:p>
            <w:pPr>
              <w:spacing w:before="106"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43.8</w:t>
            </w:r>
          </w:p>
        </w:tc>
        <w:tc>
          <w:tcPr>
            <w:tcW w:w="799" w:type="dxa"/>
            <w:vAlign w:val="top"/>
          </w:tcPr>
          <w:p>
            <w:pPr>
              <w:spacing w:before="106"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974" w:type="dxa"/>
            <w:vAlign w:val="top"/>
          </w:tcPr>
          <w:p>
            <w:pPr>
              <w:spacing w:before="106"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1003" w:type="dxa"/>
            <w:vAlign w:val="top"/>
          </w:tcPr>
          <w:p>
            <w:pPr>
              <w:spacing w:before="104"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47.1</w:t>
            </w:r>
          </w:p>
        </w:tc>
        <w:tc>
          <w:tcPr>
            <w:tcW w:w="1281" w:type="dxa"/>
            <w:vAlign w:val="top"/>
          </w:tcPr>
          <w:p>
            <w:pPr>
              <w:spacing w:before="104"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6"/>
                <w:sz w:val="21"/>
                <w:szCs w:val="21"/>
              </w:rPr>
              <w:t>1.5</w:t>
            </w:r>
          </w:p>
        </w:tc>
        <w:tc>
          <w:tcPr>
            <w:tcW w:w="893" w:type="dxa"/>
            <w:vAlign w:val="top"/>
          </w:tcPr>
          <w:p>
            <w:pPr>
              <w:spacing w:before="100" w:line="233" w:lineRule="auto"/>
              <w:ind w:left="41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2" w:type="dxa"/>
            <w:vAlign w:val="top"/>
          </w:tcPr>
          <w:p>
            <w:pPr>
              <w:spacing w:before="10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888" w:type="dxa"/>
            <w:vAlign w:val="top"/>
          </w:tcPr>
          <w:p>
            <w:pPr>
              <w:spacing w:before="104"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47.1</w:t>
            </w:r>
          </w:p>
        </w:tc>
        <w:tc>
          <w:tcPr>
            <w:tcW w:w="1109" w:type="dxa"/>
            <w:vAlign w:val="top"/>
          </w:tcPr>
          <w:p>
            <w:pPr>
              <w:spacing w:before="104"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6"/>
                <w:sz w:val="21"/>
                <w:szCs w:val="21"/>
              </w:rPr>
              <w:t>1.5</w:t>
            </w:r>
          </w:p>
        </w:tc>
        <w:tc>
          <w:tcPr>
            <w:tcW w:w="977" w:type="dxa"/>
            <w:vAlign w:val="top"/>
          </w:tcPr>
          <w:p>
            <w:pPr>
              <w:spacing w:before="100" w:line="233" w:lineRule="auto"/>
              <w:ind w:left="45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71" w:type="dxa"/>
            <w:vAlign w:val="top"/>
          </w:tcPr>
          <w:p>
            <w:pPr>
              <w:spacing w:before="104" w:line="187" w:lineRule="auto"/>
              <w:ind w:left="2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44.5</w:t>
            </w:r>
          </w:p>
        </w:tc>
        <w:tc>
          <w:tcPr>
            <w:tcW w:w="890" w:type="dxa"/>
            <w:vAlign w:val="top"/>
          </w:tcPr>
          <w:p>
            <w:pPr>
              <w:spacing w:before="104"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47.2</w:t>
            </w:r>
          </w:p>
        </w:tc>
        <w:tc>
          <w:tcPr>
            <w:tcW w:w="1116" w:type="dxa"/>
            <w:vAlign w:val="top"/>
          </w:tcPr>
          <w:p>
            <w:pPr>
              <w:spacing w:before="104"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6"/>
                <w:sz w:val="21"/>
                <w:szCs w:val="21"/>
              </w:rPr>
              <w:t>1.4</w:t>
            </w:r>
          </w:p>
        </w:tc>
        <w:tc>
          <w:tcPr>
            <w:tcW w:w="984" w:type="dxa"/>
            <w:vAlign w:val="top"/>
          </w:tcPr>
          <w:p>
            <w:pPr>
              <w:spacing w:before="100" w:line="233" w:lineRule="auto"/>
              <w:ind w:left="4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2"/>
      </w:pPr>
    </w:p>
    <w:p>
      <w:pPr>
        <w:sectPr>
          <w:footerReference r:id="rId278" w:type="default"/>
          <w:pgSz w:w="23811" w:h="16839"/>
          <w:pgMar w:top="1063" w:right="1125" w:bottom="1014" w:left="1128" w:header="822" w:footer="853" w:gutter="0"/>
          <w:cols w:space="720" w:num="1"/>
        </w:sectPr>
      </w:pPr>
    </w:p>
    <w:p>
      <w:pPr>
        <w:pStyle w:val="2"/>
        <w:spacing w:line="299" w:lineRule="auto"/>
      </w:pPr>
    </w:p>
    <w:p>
      <w:pPr>
        <w:spacing w:before="78" w:line="213" w:lineRule="auto"/>
        <w:ind w:left="3640"/>
        <w:rPr>
          <w:rFonts w:ascii="Times New Roman" w:hAnsi="Times New Roman" w:eastAsia="Times New Roman" w:cs="Times New Roman"/>
          <w:sz w:val="24"/>
          <w:szCs w:val="24"/>
        </w:rPr>
      </w:pPr>
      <w:r>
        <w:rPr>
          <w:rFonts w:ascii="宋体" w:hAnsi="宋体" w:eastAsia="宋体" w:cs="宋体"/>
          <w:spacing w:val="-4"/>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5.3.2-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 xml:space="preserve">10        </w:t>
      </w:r>
      <w:r>
        <w:rPr>
          <w:rFonts w:ascii="宋体" w:hAnsi="宋体" w:eastAsia="宋体" w:cs="宋体"/>
          <w:spacing w:val="-4"/>
          <w:sz w:val="24"/>
          <w:szCs w:val="24"/>
        </w:rPr>
        <w:t>规划敏感点营运期噪声预测结果     单位：</w:t>
      </w:r>
      <w:r>
        <w:rPr>
          <w:rFonts w:ascii="宋体" w:hAnsi="宋体" w:eastAsia="宋体" w:cs="宋体"/>
          <w:spacing w:val="1"/>
          <w:sz w:val="24"/>
          <w:szCs w:val="24"/>
        </w:rPr>
        <w:t xml:space="preserve"> </w:t>
      </w:r>
      <w:r>
        <w:rPr>
          <w:rFonts w:ascii="Times New Roman" w:hAnsi="Times New Roman" w:eastAsia="Times New Roman" w:cs="Times New Roman"/>
          <w:spacing w:val="-4"/>
          <w:sz w:val="24"/>
          <w:szCs w:val="24"/>
        </w:rPr>
        <w:t>dB(A)</w:t>
      </w:r>
    </w:p>
    <w:p>
      <w:pPr>
        <w:spacing w:line="152" w:lineRule="exact"/>
      </w:pPr>
    </w:p>
    <w:tbl>
      <w:tblPr>
        <w:tblStyle w:val="5"/>
        <w:tblW w:w="141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1310"/>
        <w:gridCol w:w="1730"/>
        <w:gridCol w:w="1188"/>
        <w:gridCol w:w="933"/>
        <w:gridCol w:w="1248"/>
        <w:gridCol w:w="895"/>
        <w:gridCol w:w="892"/>
        <w:gridCol w:w="926"/>
        <w:gridCol w:w="771"/>
        <w:gridCol w:w="751"/>
        <w:gridCol w:w="768"/>
        <w:gridCol w:w="753"/>
        <w:gridCol w:w="708"/>
        <w:gridCol w:w="7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55" w:type="dxa"/>
            <w:vMerge w:val="restart"/>
            <w:tcBorders>
              <w:bottom w:val="nil"/>
            </w:tcBorders>
            <w:textDirection w:val="tbRlV"/>
            <w:vAlign w:val="top"/>
          </w:tcPr>
          <w:p>
            <w:pPr>
              <w:pStyle w:val="6"/>
              <w:spacing w:before="170" w:line="211" w:lineRule="auto"/>
              <w:ind w:left="175"/>
            </w:pPr>
            <w:r>
              <w:rPr>
                <w:spacing w:val="31"/>
              </w:rPr>
              <w:t>序号</w:t>
            </w:r>
          </w:p>
        </w:tc>
        <w:tc>
          <w:tcPr>
            <w:tcW w:w="1310" w:type="dxa"/>
            <w:vMerge w:val="restart"/>
            <w:tcBorders>
              <w:bottom w:val="nil"/>
            </w:tcBorders>
            <w:vAlign w:val="top"/>
          </w:tcPr>
          <w:p>
            <w:pPr>
              <w:pStyle w:val="6"/>
              <w:spacing w:before="175" w:line="230" w:lineRule="auto"/>
              <w:ind w:left="275" w:right="129" w:hanging="141"/>
            </w:pPr>
            <w:r>
              <w:rPr>
                <w:spacing w:val="-2"/>
              </w:rPr>
              <w:t>声环境保护</w:t>
            </w:r>
            <w:r>
              <w:t xml:space="preserve"> </w:t>
            </w:r>
            <w:r>
              <w:rPr>
                <w:spacing w:val="-12"/>
              </w:rPr>
              <w:t>目标名称</w:t>
            </w:r>
          </w:p>
        </w:tc>
        <w:tc>
          <w:tcPr>
            <w:tcW w:w="1730" w:type="dxa"/>
            <w:vMerge w:val="restart"/>
            <w:tcBorders>
              <w:bottom w:val="nil"/>
              <w:right w:val="single" w:color="000000" w:sz="4" w:space="0"/>
            </w:tcBorders>
            <w:vAlign w:val="top"/>
          </w:tcPr>
          <w:p>
            <w:pPr>
              <w:spacing w:line="242" w:lineRule="auto"/>
              <w:rPr>
                <w:rFonts w:ascii="Arial"/>
                <w:sz w:val="21"/>
              </w:rPr>
            </w:pPr>
          </w:p>
          <w:p>
            <w:pPr>
              <w:pStyle w:val="6"/>
              <w:spacing w:before="68" w:line="221" w:lineRule="auto"/>
              <w:ind w:left="241"/>
            </w:pPr>
            <w:r>
              <w:rPr>
                <w:spacing w:val="-2"/>
              </w:rPr>
              <w:t>里程桩号范围</w:t>
            </w:r>
          </w:p>
        </w:tc>
        <w:tc>
          <w:tcPr>
            <w:tcW w:w="1188" w:type="dxa"/>
            <w:vMerge w:val="restart"/>
            <w:tcBorders>
              <w:left w:val="single" w:color="000000" w:sz="4" w:space="0"/>
              <w:bottom w:val="nil"/>
            </w:tcBorders>
            <w:vAlign w:val="top"/>
          </w:tcPr>
          <w:p>
            <w:pPr>
              <w:pStyle w:val="6"/>
              <w:spacing w:before="55" w:line="221" w:lineRule="auto"/>
              <w:ind w:left="173"/>
            </w:pPr>
            <w:r>
              <w:rPr>
                <w:spacing w:val="-1"/>
              </w:rPr>
              <w:t>距项目边</w:t>
            </w:r>
          </w:p>
          <w:p>
            <w:pPr>
              <w:pStyle w:val="6"/>
              <w:spacing w:before="19" w:line="221" w:lineRule="auto"/>
              <w:ind w:left="179"/>
            </w:pPr>
            <w:r>
              <w:rPr>
                <w:spacing w:val="-3"/>
              </w:rPr>
              <w:t>界线距离</w:t>
            </w:r>
          </w:p>
          <w:p>
            <w:pPr>
              <w:spacing w:before="41" w:line="191" w:lineRule="auto"/>
              <w:ind w:left="44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(m)</w:t>
            </w:r>
          </w:p>
        </w:tc>
        <w:tc>
          <w:tcPr>
            <w:tcW w:w="933" w:type="dxa"/>
            <w:vMerge w:val="restart"/>
            <w:tcBorders>
              <w:bottom w:val="nil"/>
            </w:tcBorders>
            <w:vAlign w:val="top"/>
          </w:tcPr>
          <w:p>
            <w:pPr>
              <w:pStyle w:val="6"/>
              <w:spacing w:before="38" w:line="231" w:lineRule="auto"/>
              <w:ind w:left="159" w:right="147"/>
              <w:jc w:val="both"/>
            </w:pPr>
            <w:r>
              <w:rPr>
                <w:spacing w:val="-3"/>
              </w:rPr>
              <w:t>声环境</w:t>
            </w:r>
            <w:r>
              <w:t xml:space="preserve"> </w:t>
            </w:r>
            <w:r>
              <w:rPr>
                <w:spacing w:val="-3"/>
              </w:rPr>
              <w:t>功能区</w:t>
            </w:r>
            <w:r>
              <w:t xml:space="preserve"> </w:t>
            </w:r>
            <w:r>
              <w:rPr>
                <w:spacing w:val="48"/>
              </w:rPr>
              <w:t>类别</w:t>
            </w:r>
          </w:p>
        </w:tc>
        <w:tc>
          <w:tcPr>
            <w:tcW w:w="1248" w:type="dxa"/>
            <w:vMerge w:val="restart"/>
            <w:tcBorders>
              <w:bottom w:val="nil"/>
            </w:tcBorders>
            <w:vAlign w:val="top"/>
          </w:tcPr>
          <w:p>
            <w:pPr>
              <w:spacing w:line="243" w:lineRule="auto"/>
              <w:rPr>
                <w:rFonts w:ascii="Arial"/>
                <w:sz w:val="21"/>
              </w:rPr>
            </w:pPr>
          </w:p>
          <w:p>
            <w:pPr>
              <w:pStyle w:val="6"/>
              <w:spacing w:before="68" w:line="222" w:lineRule="auto"/>
              <w:ind w:left="427"/>
            </w:pPr>
            <w:r>
              <w:rPr>
                <w:spacing w:val="-4"/>
              </w:rPr>
              <w:t>时段</w:t>
            </w:r>
          </w:p>
        </w:tc>
        <w:tc>
          <w:tcPr>
            <w:tcW w:w="895" w:type="dxa"/>
            <w:vMerge w:val="restart"/>
            <w:tcBorders>
              <w:bottom w:val="nil"/>
            </w:tcBorders>
            <w:vAlign w:val="top"/>
          </w:tcPr>
          <w:p>
            <w:pPr>
              <w:spacing w:line="242" w:lineRule="auto"/>
              <w:rPr>
                <w:rFonts w:ascii="Arial"/>
                <w:sz w:val="21"/>
              </w:rPr>
            </w:pPr>
          </w:p>
          <w:p>
            <w:pPr>
              <w:pStyle w:val="6"/>
              <w:spacing w:before="68" w:line="221" w:lineRule="auto"/>
              <w:ind w:left="138"/>
            </w:pPr>
            <w:r>
              <w:rPr>
                <w:spacing w:val="-2"/>
              </w:rPr>
              <w:t>标准值</w:t>
            </w:r>
          </w:p>
        </w:tc>
        <w:tc>
          <w:tcPr>
            <w:tcW w:w="892" w:type="dxa"/>
            <w:vMerge w:val="restart"/>
            <w:tcBorders>
              <w:bottom w:val="nil"/>
            </w:tcBorders>
            <w:vAlign w:val="top"/>
          </w:tcPr>
          <w:p>
            <w:pPr>
              <w:spacing w:line="242" w:lineRule="auto"/>
              <w:rPr>
                <w:rFonts w:ascii="Arial"/>
                <w:sz w:val="21"/>
              </w:rPr>
            </w:pPr>
          </w:p>
          <w:p>
            <w:pPr>
              <w:pStyle w:val="6"/>
              <w:spacing w:before="68" w:line="218" w:lineRule="auto"/>
              <w:ind w:left="239"/>
            </w:pPr>
            <w:r>
              <w:rPr>
                <w:spacing w:val="-2"/>
              </w:rPr>
              <w:t>楼层</w:t>
            </w:r>
          </w:p>
        </w:tc>
        <w:tc>
          <w:tcPr>
            <w:tcW w:w="1697" w:type="dxa"/>
            <w:gridSpan w:val="2"/>
            <w:vAlign w:val="top"/>
          </w:tcPr>
          <w:p>
            <w:pPr>
              <w:pStyle w:val="6"/>
              <w:spacing w:before="34" w:line="210" w:lineRule="auto"/>
              <w:ind w:left="440"/>
            </w:pPr>
            <w:r>
              <w:rPr>
                <w:spacing w:val="-3"/>
              </w:rPr>
              <w:t>营运近期</w:t>
            </w:r>
          </w:p>
        </w:tc>
        <w:tc>
          <w:tcPr>
            <w:tcW w:w="1519" w:type="dxa"/>
            <w:gridSpan w:val="2"/>
            <w:vAlign w:val="top"/>
          </w:tcPr>
          <w:p>
            <w:pPr>
              <w:pStyle w:val="6"/>
              <w:spacing w:before="34" w:line="210" w:lineRule="auto"/>
              <w:ind w:left="351"/>
            </w:pPr>
            <w:r>
              <w:rPr>
                <w:spacing w:val="-3"/>
              </w:rPr>
              <w:t>营运中期</w:t>
            </w:r>
          </w:p>
        </w:tc>
        <w:tc>
          <w:tcPr>
            <w:tcW w:w="1461" w:type="dxa"/>
            <w:gridSpan w:val="2"/>
            <w:vAlign w:val="top"/>
          </w:tcPr>
          <w:p>
            <w:pPr>
              <w:pStyle w:val="6"/>
              <w:spacing w:before="34" w:line="210" w:lineRule="auto"/>
              <w:ind w:left="323"/>
            </w:pPr>
            <w:r>
              <w:rPr>
                <w:spacing w:val="-3"/>
              </w:rPr>
              <w:t>营运远期</w:t>
            </w:r>
          </w:p>
        </w:tc>
        <w:tc>
          <w:tcPr>
            <w:tcW w:w="703" w:type="dxa"/>
            <w:vMerge w:val="restart"/>
            <w:tcBorders>
              <w:bottom w:val="nil"/>
            </w:tcBorders>
            <w:vAlign w:val="top"/>
          </w:tcPr>
          <w:p>
            <w:pPr>
              <w:spacing w:line="243" w:lineRule="auto"/>
              <w:rPr>
                <w:rFonts w:ascii="Arial"/>
                <w:sz w:val="21"/>
              </w:rPr>
            </w:pPr>
          </w:p>
          <w:p>
            <w:pPr>
              <w:pStyle w:val="6"/>
              <w:spacing w:before="68" w:line="222" w:lineRule="auto"/>
              <w:ind w:left="149"/>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55" w:type="dxa"/>
            <w:vMerge w:val="continue"/>
            <w:tcBorders>
              <w:top w:val="nil"/>
            </w:tcBorders>
            <w:textDirection w:val="tbRlV"/>
            <w:vAlign w:val="top"/>
          </w:tcPr>
          <w:p>
            <w:pPr>
              <w:rPr>
                <w:rFonts w:ascii="Arial"/>
                <w:sz w:val="21"/>
              </w:rPr>
            </w:pPr>
          </w:p>
        </w:tc>
        <w:tc>
          <w:tcPr>
            <w:tcW w:w="1310" w:type="dxa"/>
            <w:vMerge w:val="continue"/>
            <w:tcBorders>
              <w:top w:val="nil"/>
            </w:tcBorders>
            <w:vAlign w:val="top"/>
          </w:tcPr>
          <w:p>
            <w:pPr>
              <w:rPr>
                <w:rFonts w:ascii="Arial"/>
                <w:sz w:val="21"/>
              </w:rPr>
            </w:pPr>
          </w:p>
        </w:tc>
        <w:tc>
          <w:tcPr>
            <w:tcW w:w="1730" w:type="dxa"/>
            <w:vMerge w:val="continue"/>
            <w:tcBorders>
              <w:top w:val="nil"/>
              <w:right w:val="single" w:color="000000" w:sz="4" w:space="0"/>
            </w:tcBorders>
            <w:vAlign w:val="top"/>
          </w:tcPr>
          <w:p>
            <w:pPr>
              <w:rPr>
                <w:rFonts w:ascii="Arial"/>
                <w:sz w:val="21"/>
              </w:rPr>
            </w:pPr>
          </w:p>
        </w:tc>
        <w:tc>
          <w:tcPr>
            <w:tcW w:w="1188" w:type="dxa"/>
            <w:vMerge w:val="continue"/>
            <w:tcBorders>
              <w:top w:val="nil"/>
              <w:left w:val="single" w:color="000000" w:sz="4" w:space="0"/>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248" w:type="dxa"/>
            <w:vMerge w:val="continue"/>
            <w:tcBorders>
              <w:top w:val="nil"/>
            </w:tcBorders>
            <w:vAlign w:val="top"/>
          </w:tcPr>
          <w:p>
            <w:pPr>
              <w:rPr>
                <w:rFonts w:ascii="Arial"/>
                <w:sz w:val="21"/>
              </w:rPr>
            </w:pPr>
          </w:p>
        </w:tc>
        <w:tc>
          <w:tcPr>
            <w:tcW w:w="895" w:type="dxa"/>
            <w:vMerge w:val="continue"/>
            <w:tcBorders>
              <w:top w:val="nil"/>
            </w:tcBorders>
            <w:vAlign w:val="top"/>
          </w:tcPr>
          <w:p>
            <w:pPr>
              <w:rPr>
                <w:rFonts w:ascii="Arial"/>
                <w:sz w:val="21"/>
              </w:rPr>
            </w:pPr>
          </w:p>
        </w:tc>
        <w:tc>
          <w:tcPr>
            <w:tcW w:w="892" w:type="dxa"/>
            <w:vMerge w:val="continue"/>
            <w:tcBorders>
              <w:top w:val="nil"/>
            </w:tcBorders>
            <w:vAlign w:val="top"/>
          </w:tcPr>
          <w:p>
            <w:pPr>
              <w:rPr>
                <w:rFonts w:ascii="Arial"/>
                <w:sz w:val="21"/>
              </w:rPr>
            </w:pPr>
          </w:p>
        </w:tc>
        <w:tc>
          <w:tcPr>
            <w:tcW w:w="926" w:type="dxa"/>
            <w:vAlign w:val="top"/>
          </w:tcPr>
          <w:p>
            <w:pPr>
              <w:pStyle w:val="6"/>
              <w:spacing w:before="163" w:line="220" w:lineRule="auto"/>
              <w:ind w:left="155"/>
            </w:pPr>
            <w:r>
              <w:rPr>
                <w:spacing w:val="-2"/>
              </w:rPr>
              <w:t>贡献值</w:t>
            </w:r>
          </w:p>
        </w:tc>
        <w:tc>
          <w:tcPr>
            <w:tcW w:w="771" w:type="dxa"/>
            <w:vAlign w:val="top"/>
          </w:tcPr>
          <w:p>
            <w:pPr>
              <w:pStyle w:val="6"/>
              <w:spacing w:before="30" w:line="238" w:lineRule="auto"/>
              <w:ind w:left="181"/>
            </w:pPr>
            <w:r>
              <w:rPr>
                <w:spacing w:val="-2"/>
              </w:rPr>
              <w:t>超标</w:t>
            </w:r>
          </w:p>
          <w:p>
            <w:pPr>
              <w:pStyle w:val="6"/>
              <w:spacing w:line="209" w:lineRule="auto"/>
              <w:ind w:left="285"/>
            </w:pPr>
            <w:r>
              <w:t>量</w:t>
            </w:r>
          </w:p>
        </w:tc>
        <w:tc>
          <w:tcPr>
            <w:tcW w:w="751" w:type="dxa"/>
            <w:vAlign w:val="top"/>
          </w:tcPr>
          <w:p>
            <w:pPr>
              <w:pStyle w:val="6"/>
              <w:spacing w:before="30" w:line="238" w:lineRule="auto"/>
              <w:ind w:left="174"/>
            </w:pPr>
            <w:r>
              <w:rPr>
                <w:spacing w:val="-3"/>
              </w:rPr>
              <w:t>贡献</w:t>
            </w:r>
          </w:p>
          <w:p>
            <w:pPr>
              <w:pStyle w:val="6"/>
              <w:spacing w:line="209" w:lineRule="auto"/>
              <w:ind w:left="275"/>
            </w:pPr>
            <w:r>
              <w:t>值</w:t>
            </w:r>
          </w:p>
        </w:tc>
        <w:tc>
          <w:tcPr>
            <w:tcW w:w="768" w:type="dxa"/>
            <w:vAlign w:val="top"/>
          </w:tcPr>
          <w:p>
            <w:pPr>
              <w:pStyle w:val="6"/>
              <w:spacing w:before="29" w:line="221" w:lineRule="auto"/>
              <w:ind w:left="178"/>
            </w:pPr>
            <w:r>
              <w:rPr>
                <w:spacing w:val="-2"/>
              </w:rPr>
              <w:t>超标</w:t>
            </w:r>
          </w:p>
          <w:p>
            <w:pPr>
              <w:pStyle w:val="6"/>
              <w:spacing w:before="19" w:line="209" w:lineRule="auto"/>
              <w:ind w:left="285"/>
            </w:pPr>
            <w:r>
              <w:t>量</w:t>
            </w:r>
          </w:p>
        </w:tc>
        <w:tc>
          <w:tcPr>
            <w:tcW w:w="753" w:type="dxa"/>
            <w:vAlign w:val="top"/>
          </w:tcPr>
          <w:p>
            <w:pPr>
              <w:pStyle w:val="6"/>
              <w:spacing w:before="30" w:line="238" w:lineRule="auto"/>
              <w:ind w:left="175"/>
            </w:pPr>
            <w:r>
              <w:rPr>
                <w:spacing w:val="-3"/>
              </w:rPr>
              <w:t>贡献</w:t>
            </w:r>
          </w:p>
          <w:p>
            <w:pPr>
              <w:pStyle w:val="6"/>
              <w:spacing w:line="209" w:lineRule="auto"/>
              <w:ind w:left="275"/>
            </w:pPr>
            <w:r>
              <w:t>值</w:t>
            </w:r>
          </w:p>
        </w:tc>
        <w:tc>
          <w:tcPr>
            <w:tcW w:w="708" w:type="dxa"/>
            <w:vAlign w:val="top"/>
          </w:tcPr>
          <w:p>
            <w:pPr>
              <w:pStyle w:val="6"/>
              <w:spacing w:before="29" w:line="224" w:lineRule="auto"/>
              <w:ind w:left="254" w:right="137" w:hanging="104"/>
            </w:pPr>
            <w:r>
              <w:rPr>
                <w:spacing w:val="-3"/>
              </w:rPr>
              <w:t>超标</w:t>
            </w:r>
            <w:r>
              <w:t xml:space="preserve"> 量</w:t>
            </w:r>
          </w:p>
        </w:tc>
        <w:tc>
          <w:tcPr>
            <w:tcW w:w="70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55" w:type="dxa"/>
            <w:vMerge w:val="restart"/>
            <w:tcBorders>
              <w:bottom w:val="nil"/>
            </w:tcBorders>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before="60" w:line="187" w:lineRule="auto"/>
              <w:ind w:left="2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1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34" w:lineRule="auto"/>
              <w:ind w:left="473" w:right="129" w:hanging="342"/>
              <w:rPr>
                <w:rFonts w:ascii="Times New Roman" w:hAnsi="Times New Roman" w:eastAsia="Times New Roman" w:cs="Times New Roman"/>
              </w:rPr>
            </w:pPr>
            <w:r>
              <w:rPr>
                <w:spacing w:val="-2"/>
              </w:rPr>
              <w:t>规划居住用</w:t>
            </w:r>
            <w:r>
              <w:rPr>
                <w:spacing w:val="3"/>
              </w:rPr>
              <w:t xml:space="preserve"> </w:t>
            </w:r>
            <w:r>
              <w:rPr>
                <w:spacing w:val="-4"/>
              </w:rPr>
              <w:t>地</w:t>
            </w:r>
            <w:r>
              <w:rPr>
                <w:spacing w:val="-28"/>
              </w:rPr>
              <w:t xml:space="preserve"> </w:t>
            </w:r>
            <w:r>
              <w:rPr>
                <w:rFonts w:ascii="Times New Roman" w:hAnsi="Times New Roman" w:eastAsia="Times New Roman" w:cs="Times New Roman"/>
                <w:spacing w:val="-4"/>
              </w:rPr>
              <w:t>1</w:t>
            </w:r>
          </w:p>
        </w:tc>
        <w:tc>
          <w:tcPr>
            <w:tcW w:w="1730" w:type="dxa"/>
            <w:vMerge w:val="restart"/>
            <w:tcBorders>
              <w:bottom w:val="nil"/>
              <w:right w:val="single" w:color="000000" w:sz="4"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0" w:line="214" w:lineRule="auto"/>
              <w:ind w:left="600" w:right="148" w:hanging="4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L1K0+450~L1K</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0+550</w:t>
            </w:r>
          </w:p>
        </w:tc>
        <w:tc>
          <w:tcPr>
            <w:tcW w:w="1188" w:type="dxa"/>
            <w:vMerge w:val="restart"/>
            <w:tcBorders>
              <w:left w:val="single" w:color="000000" w:sz="4" w:space="0"/>
              <w:bottom w:val="nil"/>
            </w:tcBorders>
            <w:vAlign w:val="top"/>
          </w:tcPr>
          <w:p>
            <w:pPr>
              <w:spacing w:line="471" w:lineRule="auto"/>
              <w:rPr>
                <w:rFonts w:ascii="Arial"/>
                <w:sz w:val="21"/>
              </w:rPr>
            </w:pPr>
          </w:p>
          <w:p>
            <w:pPr>
              <w:pStyle w:val="6"/>
              <w:spacing w:before="69" w:line="226" w:lineRule="auto"/>
              <w:ind w:left="364"/>
              <w:rPr>
                <w:rFonts w:ascii="Times New Roman" w:hAnsi="Times New Roman" w:eastAsia="Times New Roman" w:cs="Times New Roman"/>
              </w:rPr>
            </w:pPr>
            <w:r>
              <w:rPr>
                <w:spacing w:val="-8"/>
              </w:rPr>
              <w:t>约</w:t>
            </w:r>
            <w:r>
              <w:rPr>
                <w:spacing w:val="-28"/>
              </w:rPr>
              <w:t xml:space="preserve"> </w:t>
            </w:r>
            <w:r>
              <w:rPr>
                <w:rFonts w:ascii="Times New Roman" w:hAnsi="Times New Roman" w:eastAsia="Times New Roman" w:cs="Times New Roman"/>
                <w:spacing w:val="-8"/>
              </w:rPr>
              <w:t>10</w:t>
            </w:r>
          </w:p>
        </w:tc>
        <w:tc>
          <w:tcPr>
            <w:tcW w:w="933"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before="60" w:line="187"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tc>
        <w:tc>
          <w:tcPr>
            <w:tcW w:w="1248" w:type="dxa"/>
            <w:vAlign w:val="top"/>
          </w:tcPr>
          <w:p>
            <w:pPr>
              <w:pStyle w:val="6"/>
              <w:spacing w:before="54" w:line="223" w:lineRule="auto"/>
              <w:ind w:left="416"/>
            </w:pPr>
            <w:r>
              <w:rPr>
                <w:spacing w:val="-2"/>
              </w:rPr>
              <w:t>昼间</w:t>
            </w:r>
          </w:p>
        </w:tc>
        <w:tc>
          <w:tcPr>
            <w:tcW w:w="895" w:type="dxa"/>
            <w:vAlign w:val="top"/>
          </w:tcPr>
          <w:p>
            <w:pPr>
              <w:spacing w:before="92"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92" w:type="dxa"/>
            <w:vAlign w:val="top"/>
          </w:tcPr>
          <w:p>
            <w:pPr>
              <w:spacing w:before="92"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2"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52.6</w:t>
            </w:r>
          </w:p>
        </w:tc>
        <w:tc>
          <w:tcPr>
            <w:tcW w:w="771" w:type="dxa"/>
            <w:vAlign w:val="top"/>
          </w:tcPr>
          <w:p>
            <w:pPr>
              <w:spacing w:before="88" w:line="224"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5" w:line="184"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55.7</w:t>
            </w:r>
          </w:p>
        </w:tc>
        <w:tc>
          <w:tcPr>
            <w:tcW w:w="768" w:type="dxa"/>
            <w:vAlign w:val="top"/>
          </w:tcPr>
          <w:p>
            <w:pPr>
              <w:spacing w:before="88" w:line="224"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3" w:type="dxa"/>
            <w:vAlign w:val="top"/>
          </w:tcPr>
          <w:p>
            <w:pPr>
              <w:spacing w:before="88" w:line="187"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59.5</w:t>
            </w:r>
          </w:p>
        </w:tc>
        <w:tc>
          <w:tcPr>
            <w:tcW w:w="708" w:type="dxa"/>
            <w:vAlign w:val="top"/>
          </w:tcPr>
          <w:p>
            <w:pPr>
              <w:spacing w:before="88" w:line="224"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8" w:line="238" w:lineRule="auto"/>
              <w:ind w:left="145" w:right="137" w:firstLine="2"/>
            </w:pPr>
            <w:r>
              <w:rPr>
                <w:spacing w:val="-4"/>
              </w:rPr>
              <w:t>预测</w:t>
            </w:r>
            <w:r>
              <w:t xml:space="preserve"> </w:t>
            </w:r>
            <w:r>
              <w:rPr>
                <w:spacing w:val="-3"/>
              </w:rPr>
              <w:t>采用</w:t>
            </w:r>
            <w:r>
              <w:t xml:space="preserve"> </w:t>
            </w:r>
            <w:r>
              <w:rPr>
                <w:spacing w:val="-3"/>
              </w:rPr>
              <w:t>现阶</w:t>
            </w:r>
            <w:r>
              <w:t xml:space="preserve"> </w:t>
            </w:r>
            <w:r>
              <w:rPr>
                <w:spacing w:val="-3"/>
              </w:rPr>
              <w:t>段地</w:t>
            </w:r>
            <w:r>
              <w:t xml:space="preserve"> </w:t>
            </w:r>
            <w:r>
              <w:rPr>
                <w:spacing w:val="-3"/>
              </w:rPr>
              <w:t>形高</w:t>
            </w:r>
            <w:r>
              <w:t xml:space="preserve"> </w:t>
            </w:r>
            <w:r>
              <w:rPr>
                <w:spacing w:val="-27"/>
              </w:rPr>
              <w:t>程，</w:t>
            </w:r>
            <w:r>
              <w:t xml:space="preserve"> </w:t>
            </w:r>
            <w:r>
              <w:rPr>
                <w:spacing w:val="-3"/>
              </w:rPr>
              <w:t>预测</w:t>
            </w:r>
            <w:r>
              <w:t xml:space="preserve"> </w:t>
            </w:r>
            <w:r>
              <w:rPr>
                <w:spacing w:val="-3"/>
              </w:rPr>
              <w:t>点与</w:t>
            </w:r>
            <w:r>
              <w:t xml:space="preserve"> </w:t>
            </w:r>
            <w:r>
              <w:rPr>
                <w:spacing w:val="-3"/>
              </w:rPr>
              <w:t>道路</w:t>
            </w:r>
            <w:r>
              <w:t xml:space="preserve"> </w:t>
            </w:r>
            <w:r>
              <w:rPr>
                <w:spacing w:val="-3"/>
              </w:rPr>
              <w:t>存在</w:t>
            </w:r>
            <w:r>
              <w:t xml:space="preserve"> </w:t>
            </w:r>
            <w:r>
              <w:rPr>
                <w:spacing w:val="-3"/>
              </w:rPr>
              <w:t>着较</w:t>
            </w:r>
            <w:r>
              <w:t xml:space="preserve"> </w:t>
            </w:r>
            <w:r>
              <w:rPr>
                <w:spacing w:val="-3"/>
              </w:rPr>
              <w:t>大的</w:t>
            </w:r>
          </w:p>
          <w:p>
            <w:pPr>
              <w:pStyle w:val="6"/>
              <w:spacing w:before="14" w:line="238" w:lineRule="auto"/>
              <w:ind w:left="145" w:right="137" w:firstLine="112"/>
            </w:pPr>
            <w:r>
              <w:rPr>
                <w:spacing w:val="-13"/>
              </w:rPr>
              <w:t>高</w:t>
            </w:r>
            <w:r>
              <w:t xml:space="preserve">  </w:t>
            </w:r>
            <w:r>
              <w:rPr>
                <w:spacing w:val="-27"/>
              </w:rPr>
              <w:t>差，</w:t>
            </w:r>
            <w:r>
              <w:t xml:space="preserve"> </w:t>
            </w:r>
            <w:r>
              <w:rPr>
                <w:spacing w:val="-3"/>
              </w:rPr>
              <w:t>实际</w:t>
            </w:r>
            <w:r>
              <w:t xml:space="preserve"> </w:t>
            </w:r>
            <w:r>
              <w:rPr>
                <w:spacing w:val="-3"/>
              </w:rPr>
              <w:t>以最</w:t>
            </w:r>
            <w:r>
              <w:t xml:space="preserve"> </w:t>
            </w:r>
            <w:r>
              <w:rPr>
                <w:spacing w:val="-3"/>
              </w:rPr>
              <w:t>终建</w:t>
            </w:r>
            <w:r>
              <w:t xml:space="preserve"> </w:t>
            </w:r>
            <w:r>
              <w:rPr>
                <w:spacing w:val="-3"/>
              </w:rPr>
              <w:t>设时</w:t>
            </w:r>
            <w:r>
              <w:t xml:space="preserve"> </w:t>
            </w:r>
            <w:r>
              <w:rPr>
                <w:spacing w:val="-3"/>
              </w:rPr>
              <w:t>用地</w:t>
            </w:r>
            <w:r>
              <w:t xml:space="preserve"> </w:t>
            </w:r>
            <w:r>
              <w:rPr>
                <w:spacing w:val="-3"/>
              </w:rPr>
              <w:t>的高</w:t>
            </w:r>
            <w:r>
              <w:t xml:space="preserve"> </w:t>
            </w:r>
            <w:r>
              <w:rPr>
                <w:spacing w:val="-3"/>
              </w:rPr>
              <w:t>程为</w:t>
            </w:r>
          </w:p>
          <w:p>
            <w:pPr>
              <w:pStyle w:val="6"/>
              <w:spacing w:before="20" w:line="209" w:lineRule="auto"/>
              <w:ind w:left="254"/>
            </w:pPr>
            <w: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3" w:line="221" w:lineRule="auto"/>
              <w:ind w:left="421"/>
            </w:pPr>
            <w:r>
              <w:rPr>
                <w:spacing w:val="-3"/>
              </w:rPr>
              <w:t>夜间</w:t>
            </w:r>
          </w:p>
        </w:tc>
        <w:tc>
          <w:tcPr>
            <w:tcW w:w="895" w:type="dxa"/>
            <w:vAlign w:val="top"/>
          </w:tcPr>
          <w:p>
            <w:pPr>
              <w:spacing w:before="95" w:line="184"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92" w:type="dxa"/>
            <w:vAlign w:val="top"/>
          </w:tcPr>
          <w:p>
            <w:pPr>
              <w:spacing w:before="92"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89" w:line="187" w:lineRule="auto"/>
              <w:ind w:left="2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47.2</w:t>
            </w:r>
          </w:p>
        </w:tc>
        <w:tc>
          <w:tcPr>
            <w:tcW w:w="771" w:type="dxa"/>
            <w:vAlign w:val="top"/>
          </w:tcPr>
          <w:p>
            <w:pPr>
              <w:spacing w:before="86" w:line="223"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89"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50.1</w:t>
            </w:r>
          </w:p>
        </w:tc>
        <w:tc>
          <w:tcPr>
            <w:tcW w:w="768" w:type="dxa"/>
            <w:vAlign w:val="top"/>
          </w:tcPr>
          <w:p>
            <w:pPr>
              <w:spacing w:before="86" w:line="223"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3" w:type="dxa"/>
            <w:vAlign w:val="top"/>
          </w:tcPr>
          <w:p>
            <w:pPr>
              <w:spacing w:before="85" w:line="187"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51.1</w:t>
            </w:r>
          </w:p>
        </w:tc>
        <w:tc>
          <w:tcPr>
            <w:tcW w:w="708" w:type="dxa"/>
            <w:vAlign w:val="top"/>
          </w:tcPr>
          <w:p>
            <w:pPr>
              <w:spacing w:before="86" w:line="22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tcBorders>
              <w:bottom w:val="single" w:color="000000" w:sz="4" w:space="0"/>
            </w:tcBorders>
            <w:vAlign w:val="top"/>
          </w:tcPr>
          <w:p>
            <w:pPr>
              <w:pStyle w:val="6"/>
              <w:spacing w:before="54" w:line="223" w:lineRule="auto"/>
              <w:ind w:left="416"/>
            </w:pPr>
            <w:r>
              <w:rPr>
                <w:spacing w:val="-2"/>
              </w:rPr>
              <w:t>昼间</w:t>
            </w:r>
          </w:p>
        </w:tc>
        <w:tc>
          <w:tcPr>
            <w:tcW w:w="895" w:type="dxa"/>
            <w:tcBorders>
              <w:bottom w:val="single" w:color="000000" w:sz="4" w:space="0"/>
            </w:tcBorders>
            <w:vAlign w:val="top"/>
          </w:tcPr>
          <w:p>
            <w:pPr>
              <w:spacing w:before="92"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92" w:type="dxa"/>
            <w:tcBorders>
              <w:bottom w:val="single" w:color="000000" w:sz="4" w:space="0"/>
            </w:tcBorders>
            <w:vAlign w:val="top"/>
          </w:tcPr>
          <w:p>
            <w:pPr>
              <w:spacing w:before="92"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tcBorders>
              <w:bottom w:val="single" w:color="000000" w:sz="4" w:space="0"/>
            </w:tcBorders>
            <w:vAlign w:val="top"/>
          </w:tcPr>
          <w:p>
            <w:pPr>
              <w:spacing w:before="92"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58.7</w:t>
            </w:r>
          </w:p>
        </w:tc>
        <w:tc>
          <w:tcPr>
            <w:tcW w:w="771" w:type="dxa"/>
            <w:tcBorders>
              <w:bottom w:val="single" w:color="000000" w:sz="4" w:space="0"/>
            </w:tcBorders>
            <w:vAlign w:val="top"/>
          </w:tcPr>
          <w:p>
            <w:pPr>
              <w:spacing w:before="89" w:line="223"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tcBorders>
              <w:bottom w:val="single" w:color="000000" w:sz="4" w:space="0"/>
            </w:tcBorders>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61.8</w:t>
            </w:r>
          </w:p>
        </w:tc>
        <w:tc>
          <w:tcPr>
            <w:tcW w:w="768" w:type="dxa"/>
            <w:tcBorders>
              <w:bottom w:val="single" w:color="000000" w:sz="4" w:space="0"/>
            </w:tcBorders>
            <w:vAlign w:val="top"/>
          </w:tcPr>
          <w:p>
            <w:pPr>
              <w:spacing w:before="89" w:line="223"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3" w:type="dxa"/>
            <w:tcBorders>
              <w:bottom w:val="single" w:color="000000" w:sz="4" w:space="0"/>
            </w:tcBorders>
            <w:vAlign w:val="top"/>
          </w:tcPr>
          <w:p>
            <w:pPr>
              <w:spacing w:before="88"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65.6</w:t>
            </w:r>
          </w:p>
        </w:tc>
        <w:tc>
          <w:tcPr>
            <w:tcW w:w="708" w:type="dxa"/>
            <w:tcBorders>
              <w:bottom w:val="single" w:color="000000" w:sz="4" w:space="0"/>
            </w:tcBorders>
            <w:vAlign w:val="top"/>
          </w:tcPr>
          <w:p>
            <w:pPr>
              <w:spacing w:before="89" w:line="22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248" w:type="dxa"/>
            <w:tcBorders>
              <w:top w:val="single" w:color="000000" w:sz="4" w:space="0"/>
            </w:tcBorders>
            <w:vAlign w:val="top"/>
          </w:tcPr>
          <w:p>
            <w:pPr>
              <w:pStyle w:val="6"/>
              <w:spacing w:before="46" w:line="221" w:lineRule="auto"/>
              <w:ind w:left="421"/>
            </w:pPr>
            <w:r>
              <w:rPr>
                <w:spacing w:val="-3"/>
              </w:rPr>
              <w:t>夜间</w:t>
            </w:r>
          </w:p>
        </w:tc>
        <w:tc>
          <w:tcPr>
            <w:tcW w:w="895" w:type="dxa"/>
            <w:tcBorders>
              <w:top w:val="single" w:color="000000" w:sz="4" w:space="0"/>
            </w:tcBorders>
            <w:vAlign w:val="top"/>
          </w:tcPr>
          <w:p>
            <w:pPr>
              <w:spacing w:before="88" w:line="184"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92" w:type="dxa"/>
            <w:tcBorders>
              <w:top w:val="single" w:color="000000" w:sz="4" w:space="0"/>
            </w:tcBorders>
            <w:vAlign w:val="top"/>
          </w:tcPr>
          <w:p>
            <w:pPr>
              <w:spacing w:before="85"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tcBorders>
              <w:top w:val="single" w:color="000000" w:sz="4" w:space="0"/>
            </w:tcBorders>
            <w:vAlign w:val="top"/>
          </w:tcPr>
          <w:p>
            <w:pPr>
              <w:spacing w:before="85"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53.3</w:t>
            </w:r>
          </w:p>
        </w:tc>
        <w:tc>
          <w:tcPr>
            <w:tcW w:w="771" w:type="dxa"/>
            <w:tcBorders>
              <w:top w:val="single" w:color="000000" w:sz="4" w:space="0"/>
            </w:tcBorders>
            <w:vAlign w:val="top"/>
          </w:tcPr>
          <w:p>
            <w:pPr>
              <w:spacing w:before="82" w:line="223"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tcBorders>
              <w:top w:val="single" w:color="000000" w:sz="4" w:space="0"/>
            </w:tcBorders>
            <w:vAlign w:val="top"/>
          </w:tcPr>
          <w:p>
            <w:pPr>
              <w:spacing w:before="85"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56.3</w:t>
            </w:r>
          </w:p>
        </w:tc>
        <w:tc>
          <w:tcPr>
            <w:tcW w:w="768" w:type="dxa"/>
            <w:tcBorders>
              <w:top w:val="single" w:color="000000" w:sz="4" w:space="0"/>
            </w:tcBorders>
            <w:vAlign w:val="top"/>
          </w:tcPr>
          <w:p>
            <w:pPr>
              <w:spacing w:before="85"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w:t>
            </w:r>
          </w:p>
        </w:tc>
        <w:tc>
          <w:tcPr>
            <w:tcW w:w="753" w:type="dxa"/>
            <w:tcBorders>
              <w:top w:val="single" w:color="000000" w:sz="4" w:space="0"/>
            </w:tcBorders>
            <w:vAlign w:val="top"/>
          </w:tcPr>
          <w:p>
            <w:pPr>
              <w:spacing w:before="81" w:line="187"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57.3</w:t>
            </w:r>
          </w:p>
        </w:tc>
        <w:tc>
          <w:tcPr>
            <w:tcW w:w="708" w:type="dxa"/>
            <w:tcBorders>
              <w:top w:val="single" w:color="000000" w:sz="4" w:space="0"/>
            </w:tcBorders>
            <w:vAlign w:val="top"/>
          </w:tcPr>
          <w:p>
            <w:pPr>
              <w:spacing w:before="85"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restart"/>
            <w:tcBorders>
              <w:left w:val="single" w:color="000000" w:sz="4" w:space="0"/>
              <w:bottom w:val="nil"/>
            </w:tcBorders>
            <w:vAlign w:val="top"/>
          </w:tcPr>
          <w:p>
            <w:pPr>
              <w:spacing w:line="259" w:lineRule="auto"/>
              <w:rPr>
                <w:rFonts w:ascii="Arial"/>
                <w:sz w:val="21"/>
              </w:rPr>
            </w:pPr>
          </w:p>
          <w:p>
            <w:pPr>
              <w:spacing w:line="259" w:lineRule="auto"/>
              <w:rPr>
                <w:rFonts w:ascii="Arial"/>
                <w:sz w:val="21"/>
              </w:rPr>
            </w:pPr>
          </w:p>
          <w:p>
            <w:pPr>
              <w:spacing w:before="60" w:line="187"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933"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before="61" w:line="187" w:lineRule="auto"/>
              <w:ind w:left="41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48" w:type="dxa"/>
            <w:vAlign w:val="top"/>
          </w:tcPr>
          <w:p>
            <w:pPr>
              <w:pStyle w:val="6"/>
              <w:spacing w:before="52" w:line="223" w:lineRule="auto"/>
              <w:ind w:left="416"/>
            </w:pPr>
            <w:r>
              <w:rPr>
                <w:spacing w:val="-2"/>
              </w:rPr>
              <w:t>昼间</w:t>
            </w:r>
          </w:p>
        </w:tc>
        <w:tc>
          <w:tcPr>
            <w:tcW w:w="895" w:type="dxa"/>
            <w:vAlign w:val="top"/>
          </w:tcPr>
          <w:p>
            <w:pPr>
              <w:spacing w:before="90"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92" w:type="dxa"/>
            <w:vAlign w:val="top"/>
          </w:tcPr>
          <w:p>
            <w:pPr>
              <w:spacing w:before="90"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0" w:line="187" w:lineRule="auto"/>
              <w:ind w:left="2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45.2</w:t>
            </w:r>
          </w:p>
        </w:tc>
        <w:tc>
          <w:tcPr>
            <w:tcW w:w="771" w:type="dxa"/>
            <w:vAlign w:val="top"/>
          </w:tcPr>
          <w:p>
            <w:pPr>
              <w:spacing w:before="86" w:line="223"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0"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768" w:type="dxa"/>
            <w:vAlign w:val="top"/>
          </w:tcPr>
          <w:p>
            <w:pPr>
              <w:spacing w:before="86" w:line="223"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3" w:type="dxa"/>
            <w:vAlign w:val="top"/>
          </w:tcPr>
          <w:p>
            <w:pPr>
              <w:spacing w:before="85" w:line="187"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53.5</w:t>
            </w:r>
          </w:p>
        </w:tc>
        <w:tc>
          <w:tcPr>
            <w:tcW w:w="708" w:type="dxa"/>
            <w:vAlign w:val="top"/>
          </w:tcPr>
          <w:p>
            <w:pPr>
              <w:spacing w:before="86" w:line="22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3" w:line="221" w:lineRule="auto"/>
              <w:ind w:left="421"/>
            </w:pPr>
            <w:r>
              <w:rPr>
                <w:spacing w:val="-3"/>
              </w:rPr>
              <w:t>夜间</w:t>
            </w:r>
          </w:p>
        </w:tc>
        <w:tc>
          <w:tcPr>
            <w:tcW w:w="895" w:type="dxa"/>
            <w:vAlign w:val="top"/>
          </w:tcPr>
          <w:p>
            <w:pPr>
              <w:spacing w:before="92"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92" w:type="dxa"/>
            <w:vAlign w:val="top"/>
          </w:tcPr>
          <w:p>
            <w:pPr>
              <w:spacing w:before="93"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0"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771" w:type="dxa"/>
            <w:vAlign w:val="top"/>
          </w:tcPr>
          <w:p>
            <w:pPr>
              <w:spacing w:before="86" w:line="223"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0"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42.7</w:t>
            </w:r>
          </w:p>
        </w:tc>
        <w:tc>
          <w:tcPr>
            <w:tcW w:w="768" w:type="dxa"/>
            <w:vAlign w:val="top"/>
          </w:tcPr>
          <w:p>
            <w:pPr>
              <w:spacing w:before="86" w:line="223"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3" w:type="dxa"/>
            <w:vAlign w:val="top"/>
          </w:tcPr>
          <w:p>
            <w:pPr>
              <w:spacing w:before="86" w:line="187" w:lineRule="auto"/>
              <w:ind w:left="18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43.8</w:t>
            </w:r>
          </w:p>
        </w:tc>
        <w:tc>
          <w:tcPr>
            <w:tcW w:w="708" w:type="dxa"/>
            <w:vAlign w:val="top"/>
          </w:tcPr>
          <w:p>
            <w:pPr>
              <w:spacing w:before="86" w:line="22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5" w:line="223" w:lineRule="auto"/>
              <w:ind w:left="416"/>
            </w:pPr>
            <w:r>
              <w:rPr>
                <w:spacing w:val="-2"/>
              </w:rPr>
              <w:t>昼间</w:t>
            </w:r>
          </w:p>
        </w:tc>
        <w:tc>
          <w:tcPr>
            <w:tcW w:w="895" w:type="dxa"/>
            <w:vAlign w:val="top"/>
          </w:tcPr>
          <w:p>
            <w:pPr>
              <w:spacing w:before="93"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92" w:type="dxa"/>
            <w:vAlign w:val="top"/>
          </w:tcPr>
          <w:p>
            <w:pPr>
              <w:spacing w:before="93"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3"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771" w:type="dxa"/>
            <w:vAlign w:val="top"/>
          </w:tcPr>
          <w:p>
            <w:pPr>
              <w:spacing w:before="89" w:line="223"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3"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768" w:type="dxa"/>
            <w:vAlign w:val="top"/>
          </w:tcPr>
          <w:p>
            <w:pPr>
              <w:spacing w:before="89" w:line="223"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3" w:type="dxa"/>
            <w:vAlign w:val="top"/>
          </w:tcPr>
          <w:p>
            <w:pPr>
              <w:spacing w:before="88" w:line="187"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58.3</w:t>
            </w:r>
          </w:p>
        </w:tc>
        <w:tc>
          <w:tcPr>
            <w:tcW w:w="708" w:type="dxa"/>
            <w:vAlign w:val="top"/>
          </w:tcPr>
          <w:p>
            <w:pPr>
              <w:spacing w:before="89" w:line="22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tcBorders>
            <w:vAlign w:val="top"/>
          </w:tcPr>
          <w:p>
            <w:pPr>
              <w:rPr>
                <w:rFonts w:ascii="Arial"/>
                <w:sz w:val="21"/>
              </w:rPr>
            </w:pPr>
          </w:p>
        </w:tc>
        <w:tc>
          <w:tcPr>
            <w:tcW w:w="1310" w:type="dxa"/>
            <w:vMerge w:val="continue"/>
            <w:tcBorders>
              <w:top w:val="nil"/>
            </w:tcBorders>
            <w:vAlign w:val="top"/>
          </w:tcPr>
          <w:p>
            <w:pPr>
              <w:rPr>
                <w:rFonts w:ascii="Arial"/>
                <w:sz w:val="21"/>
              </w:rPr>
            </w:pPr>
          </w:p>
        </w:tc>
        <w:tc>
          <w:tcPr>
            <w:tcW w:w="1730" w:type="dxa"/>
            <w:vMerge w:val="continue"/>
            <w:tcBorders>
              <w:top w:val="nil"/>
              <w:right w:val="single" w:color="000000" w:sz="4" w:space="0"/>
            </w:tcBorders>
            <w:vAlign w:val="top"/>
          </w:tcPr>
          <w:p>
            <w:pPr>
              <w:rPr>
                <w:rFonts w:ascii="Arial"/>
                <w:sz w:val="21"/>
              </w:rPr>
            </w:pPr>
          </w:p>
        </w:tc>
        <w:tc>
          <w:tcPr>
            <w:tcW w:w="1188" w:type="dxa"/>
            <w:vMerge w:val="continue"/>
            <w:tcBorders>
              <w:top w:val="nil"/>
              <w:left w:val="single" w:color="000000" w:sz="4" w:space="0"/>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248" w:type="dxa"/>
            <w:vAlign w:val="top"/>
          </w:tcPr>
          <w:p>
            <w:pPr>
              <w:pStyle w:val="6"/>
              <w:spacing w:before="51" w:line="221" w:lineRule="auto"/>
              <w:ind w:left="421"/>
            </w:pPr>
            <w:r>
              <w:rPr>
                <w:spacing w:val="-3"/>
              </w:rPr>
              <w:t>夜间</w:t>
            </w:r>
          </w:p>
        </w:tc>
        <w:tc>
          <w:tcPr>
            <w:tcW w:w="895" w:type="dxa"/>
            <w:vAlign w:val="top"/>
          </w:tcPr>
          <w:p>
            <w:pPr>
              <w:spacing w:before="90"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92" w:type="dxa"/>
            <w:vAlign w:val="top"/>
          </w:tcPr>
          <w:p>
            <w:pPr>
              <w:spacing w:before="90"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0" w:line="187" w:lineRule="auto"/>
              <w:ind w:left="2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w:t>
            </w:r>
          </w:p>
        </w:tc>
        <w:tc>
          <w:tcPr>
            <w:tcW w:w="771" w:type="dxa"/>
            <w:vAlign w:val="top"/>
          </w:tcPr>
          <w:p>
            <w:pPr>
              <w:spacing w:before="87" w:line="222"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0"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47.6</w:t>
            </w:r>
          </w:p>
        </w:tc>
        <w:tc>
          <w:tcPr>
            <w:tcW w:w="768" w:type="dxa"/>
            <w:vAlign w:val="top"/>
          </w:tcPr>
          <w:p>
            <w:pPr>
              <w:spacing w:before="87" w:line="222"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3" w:type="dxa"/>
            <w:vAlign w:val="top"/>
          </w:tcPr>
          <w:p>
            <w:pPr>
              <w:spacing w:before="86" w:line="187" w:lineRule="auto"/>
              <w:ind w:left="18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48.6</w:t>
            </w:r>
          </w:p>
        </w:tc>
        <w:tc>
          <w:tcPr>
            <w:tcW w:w="708" w:type="dxa"/>
            <w:vAlign w:val="top"/>
          </w:tcPr>
          <w:p>
            <w:pPr>
              <w:spacing w:before="87" w:line="222"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restart"/>
            <w:tcBorders>
              <w:bottom w:val="nil"/>
            </w:tcBorders>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before="61" w:line="187" w:lineRule="auto"/>
              <w:ind w:left="2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31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8" w:line="234" w:lineRule="auto"/>
              <w:ind w:left="473" w:right="129" w:hanging="342"/>
              <w:rPr>
                <w:rFonts w:ascii="Times New Roman" w:hAnsi="Times New Roman" w:eastAsia="Times New Roman" w:cs="Times New Roman"/>
              </w:rPr>
            </w:pPr>
            <w:r>
              <w:rPr>
                <w:spacing w:val="-2"/>
              </w:rPr>
              <w:t>规划居住用</w:t>
            </w:r>
            <w:r>
              <w:rPr>
                <w:spacing w:val="3"/>
              </w:rPr>
              <w:t xml:space="preserve"> </w:t>
            </w:r>
            <w:r>
              <w:rPr>
                <w:spacing w:val="-4"/>
              </w:rPr>
              <w:t>地</w:t>
            </w:r>
            <w:r>
              <w:rPr>
                <w:spacing w:val="-48"/>
              </w:rPr>
              <w:t xml:space="preserve"> </w:t>
            </w:r>
            <w:r>
              <w:rPr>
                <w:rFonts w:ascii="Times New Roman" w:hAnsi="Times New Roman" w:eastAsia="Times New Roman" w:cs="Times New Roman"/>
                <w:spacing w:val="-4"/>
              </w:rPr>
              <w:t>2</w:t>
            </w:r>
          </w:p>
        </w:tc>
        <w:tc>
          <w:tcPr>
            <w:tcW w:w="1730" w:type="dxa"/>
            <w:vMerge w:val="restart"/>
            <w:tcBorders>
              <w:bottom w:val="nil"/>
              <w:right w:val="single" w:color="000000" w:sz="4"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60" w:line="214" w:lineRule="auto"/>
              <w:ind w:left="617" w:right="148" w:hanging="4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L1K1+580~L1K</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5"/>
                <w:sz w:val="21"/>
                <w:szCs w:val="21"/>
              </w:rPr>
              <w:t>1+750</w:t>
            </w:r>
          </w:p>
        </w:tc>
        <w:tc>
          <w:tcPr>
            <w:tcW w:w="1188" w:type="dxa"/>
            <w:vMerge w:val="restart"/>
            <w:tcBorders>
              <w:left w:val="single" w:color="000000" w:sz="4" w:space="0"/>
              <w:bottom w:val="nil"/>
            </w:tcBorders>
            <w:vAlign w:val="top"/>
          </w:tcPr>
          <w:p>
            <w:pPr>
              <w:spacing w:line="472" w:lineRule="auto"/>
              <w:rPr>
                <w:rFonts w:ascii="Arial"/>
                <w:sz w:val="21"/>
              </w:rPr>
            </w:pPr>
          </w:p>
          <w:p>
            <w:pPr>
              <w:pStyle w:val="6"/>
              <w:spacing w:before="69" w:line="226" w:lineRule="auto"/>
              <w:ind w:left="364"/>
              <w:rPr>
                <w:rFonts w:ascii="Times New Roman" w:hAnsi="Times New Roman" w:eastAsia="Times New Roman" w:cs="Times New Roman"/>
              </w:rPr>
            </w:pPr>
            <w:r>
              <w:rPr>
                <w:spacing w:val="-5"/>
              </w:rPr>
              <w:t>约</w:t>
            </w:r>
            <w:r>
              <w:rPr>
                <w:spacing w:val="-48"/>
              </w:rPr>
              <w:t xml:space="preserve"> </w:t>
            </w:r>
            <w:r>
              <w:rPr>
                <w:rFonts w:ascii="Times New Roman" w:hAnsi="Times New Roman" w:eastAsia="Times New Roman" w:cs="Times New Roman"/>
                <w:spacing w:val="-5"/>
              </w:rPr>
              <w:t>20</w:t>
            </w:r>
          </w:p>
        </w:tc>
        <w:tc>
          <w:tcPr>
            <w:tcW w:w="933"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before="60" w:line="187"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tc>
        <w:tc>
          <w:tcPr>
            <w:tcW w:w="1248" w:type="dxa"/>
            <w:vAlign w:val="top"/>
          </w:tcPr>
          <w:p>
            <w:pPr>
              <w:pStyle w:val="6"/>
              <w:spacing w:before="53" w:line="223" w:lineRule="auto"/>
              <w:ind w:left="416"/>
            </w:pPr>
            <w:r>
              <w:rPr>
                <w:spacing w:val="-2"/>
              </w:rPr>
              <w:t>昼间</w:t>
            </w:r>
          </w:p>
        </w:tc>
        <w:tc>
          <w:tcPr>
            <w:tcW w:w="895" w:type="dxa"/>
            <w:vAlign w:val="top"/>
          </w:tcPr>
          <w:p>
            <w:pPr>
              <w:spacing w:before="91"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92" w:type="dxa"/>
            <w:vAlign w:val="top"/>
          </w:tcPr>
          <w:p>
            <w:pPr>
              <w:spacing w:before="91"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1"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59.4</w:t>
            </w:r>
          </w:p>
        </w:tc>
        <w:tc>
          <w:tcPr>
            <w:tcW w:w="771" w:type="dxa"/>
            <w:vAlign w:val="top"/>
          </w:tcPr>
          <w:p>
            <w:pPr>
              <w:spacing w:before="87" w:line="222"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1"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62.4</w:t>
            </w:r>
          </w:p>
        </w:tc>
        <w:tc>
          <w:tcPr>
            <w:tcW w:w="768" w:type="dxa"/>
            <w:vAlign w:val="top"/>
          </w:tcPr>
          <w:p>
            <w:pPr>
              <w:spacing w:before="87" w:line="222"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3" w:type="dxa"/>
            <w:vAlign w:val="top"/>
          </w:tcPr>
          <w:p>
            <w:pPr>
              <w:spacing w:before="86"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64.4</w:t>
            </w:r>
          </w:p>
        </w:tc>
        <w:tc>
          <w:tcPr>
            <w:tcW w:w="708" w:type="dxa"/>
            <w:vAlign w:val="top"/>
          </w:tcPr>
          <w:p>
            <w:pPr>
              <w:spacing w:before="87" w:line="222"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4" w:line="221" w:lineRule="auto"/>
              <w:ind w:left="421"/>
            </w:pPr>
            <w:r>
              <w:rPr>
                <w:spacing w:val="-3"/>
              </w:rPr>
              <w:t>夜间</w:t>
            </w:r>
          </w:p>
        </w:tc>
        <w:tc>
          <w:tcPr>
            <w:tcW w:w="895" w:type="dxa"/>
            <w:vAlign w:val="top"/>
          </w:tcPr>
          <w:p>
            <w:pPr>
              <w:spacing w:before="96" w:line="184"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92" w:type="dxa"/>
            <w:vAlign w:val="top"/>
          </w:tcPr>
          <w:p>
            <w:pPr>
              <w:spacing w:before="94"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1"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771" w:type="dxa"/>
            <w:vAlign w:val="top"/>
          </w:tcPr>
          <w:p>
            <w:pPr>
              <w:spacing w:before="87" w:line="222"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4" w:line="184" w:lineRule="auto"/>
              <w:ind w:left="27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w:t>
            </w:r>
          </w:p>
        </w:tc>
        <w:tc>
          <w:tcPr>
            <w:tcW w:w="768" w:type="dxa"/>
            <w:vAlign w:val="top"/>
          </w:tcPr>
          <w:p>
            <w:pPr>
              <w:spacing w:before="91"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753" w:type="dxa"/>
            <w:vAlign w:val="top"/>
          </w:tcPr>
          <w:p>
            <w:pPr>
              <w:spacing w:before="87" w:line="187" w:lineRule="auto"/>
              <w:ind w:left="27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58</w:t>
            </w:r>
          </w:p>
        </w:tc>
        <w:tc>
          <w:tcPr>
            <w:tcW w:w="708" w:type="dxa"/>
            <w:vAlign w:val="top"/>
          </w:tcPr>
          <w:p>
            <w:pPr>
              <w:spacing w:before="9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6" w:line="223" w:lineRule="auto"/>
              <w:ind w:left="416"/>
            </w:pPr>
            <w:r>
              <w:rPr>
                <w:spacing w:val="-2"/>
              </w:rPr>
              <w:t>昼间</w:t>
            </w:r>
          </w:p>
        </w:tc>
        <w:tc>
          <w:tcPr>
            <w:tcW w:w="895" w:type="dxa"/>
            <w:vAlign w:val="top"/>
          </w:tcPr>
          <w:p>
            <w:pPr>
              <w:spacing w:before="94"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92" w:type="dxa"/>
            <w:vAlign w:val="top"/>
          </w:tcPr>
          <w:p>
            <w:pPr>
              <w:spacing w:before="94"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4"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c>
          <w:tcPr>
            <w:tcW w:w="771" w:type="dxa"/>
            <w:vAlign w:val="top"/>
          </w:tcPr>
          <w:p>
            <w:pPr>
              <w:spacing w:before="91" w:line="221"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4"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768" w:type="dxa"/>
            <w:vAlign w:val="top"/>
          </w:tcPr>
          <w:p>
            <w:pPr>
              <w:spacing w:before="91" w:line="221"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3" w:type="dxa"/>
            <w:vAlign w:val="top"/>
          </w:tcPr>
          <w:p>
            <w:pPr>
              <w:spacing w:before="90" w:line="187" w:lineRule="auto"/>
              <w:ind w:left="2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72</w:t>
            </w:r>
          </w:p>
        </w:tc>
        <w:tc>
          <w:tcPr>
            <w:tcW w:w="708" w:type="dxa"/>
            <w:vAlign w:val="top"/>
          </w:tcPr>
          <w:p>
            <w:pPr>
              <w:spacing w:before="94"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248" w:type="dxa"/>
            <w:vAlign w:val="top"/>
          </w:tcPr>
          <w:p>
            <w:pPr>
              <w:pStyle w:val="6"/>
              <w:spacing w:before="53" w:line="221" w:lineRule="auto"/>
              <w:ind w:left="421"/>
            </w:pPr>
            <w:r>
              <w:rPr>
                <w:spacing w:val="-3"/>
              </w:rPr>
              <w:t>夜间</w:t>
            </w:r>
          </w:p>
        </w:tc>
        <w:tc>
          <w:tcPr>
            <w:tcW w:w="895" w:type="dxa"/>
            <w:vAlign w:val="top"/>
          </w:tcPr>
          <w:p>
            <w:pPr>
              <w:spacing w:before="95" w:line="184"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92" w:type="dxa"/>
            <w:vAlign w:val="top"/>
          </w:tcPr>
          <w:p>
            <w:pPr>
              <w:spacing w:before="92"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2"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771" w:type="dxa"/>
            <w:vAlign w:val="top"/>
          </w:tcPr>
          <w:p>
            <w:pPr>
              <w:spacing w:before="92"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w:t>
            </w:r>
          </w:p>
        </w:tc>
        <w:tc>
          <w:tcPr>
            <w:tcW w:w="751"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64.6</w:t>
            </w:r>
          </w:p>
        </w:tc>
        <w:tc>
          <w:tcPr>
            <w:tcW w:w="768" w:type="dxa"/>
            <w:vAlign w:val="top"/>
          </w:tcPr>
          <w:p>
            <w:pPr>
              <w:spacing w:before="92"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+9.6</w:t>
            </w:r>
          </w:p>
        </w:tc>
        <w:tc>
          <w:tcPr>
            <w:tcW w:w="753" w:type="dxa"/>
            <w:vAlign w:val="top"/>
          </w:tcPr>
          <w:p>
            <w:pPr>
              <w:spacing w:before="87"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65.6</w:t>
            </w:r>
          </w:p>
        </w:tc>
        <w:tc>
          <w:tcPr>
            <w:tcW w:w="708" w:type="dxa"/>
            <w:vAlign w:val="top"/>
          </w:tcPr>
          <w:p>
            <w:pPr>
              <w:spacing w:before="92"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+10.6</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restart"/>
            <w:tcBorders>
              <w:left w:val="single" w:color="000000" w:sz="4" w:space="0"/>
              <w:bottom w:val="nil"/>
            </w:tcBorders>
            <w:vAlign w:val="top"/>
          </w:tcPr>
          <w:p>
            <w:pPr>
              <w:spacing w:line="259" w:lineRule="auto"/>
              <w:rPr>
                <w:rFonts w:ascii="Arial"/>
                <w:sz w:val="21"/>
              </w:rPr>
            </w:pPr>
          </w:p>
          <w:p>
            <w:pPr>
              <w:spacing w:line="260" w:lineRule="auto"/>
              <w:rPr>
                <w:rFonts w:ascii="Arial"/>
                <w:sz w:val="21"/>
              </w:rPr>
            </w:pPr>
          </w:p>
          <w:p>
            <w:pPr>
              <w:spacing w:before="61" w:line="187"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933"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before="60" w:line="187" w:lineRule="auto"/>
              <w:ind w:left="41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48" w:type="dxa"/>
            <w:vAlign w:val="top"/>
          </w:tcPr>
          <w:p>
            <w:pPr>
              <w:pStyle w:val="6"/>
              <w:spacing w:before="53" w:line="223" w:lineRule="auto"/>
              <w:ind w:left="416"/>
            </w:pPr>
            <w:r>
              <w:rPr>
                <w:spacing w:val="-2"/>
              </w:rPr>
              <w:t>昼间</w:t>
            </w:r>
          </w:p>
        </w:tc>
        <w:tc>
          <w:tcPr>
            <w:tcW w:w="895" w:type="dxa"/>
            <w:vAlign w:val="top"/>
          </w:tcPr>
          <w:p>
            <w:pPr>
              <w:spacing w:before="91"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92" w:type="dxa"/>
            <w:vAlign w:val="top"/>
          </w:tcPr>
          <w:p>
            <w:pPr>
              <w:spacing w:before="91"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1"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58.4</w:t>
            </w:r>
          </w:p>
        </w:tc>
        <w:tc>
          <w:tcPr>
            <w:tcW w:w="771" w:type="dxa"/>
            <w:vAlign w:val="top"/>
          </w:tcPr>
          <w:p>
            <w:pPr>
              <w:spacing w:before="87" w:line="222"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1"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61.5</w:t>
            </w:r>
          </w:p>
        </w:tc>
        <w:tc>
          <w:tcPr>
            <w:tcW w:w="768" w:type="dxa"/>
            <w:vAlign w:val="top"/>
          </w:tcPr>
          <w:p>
            <w:pPr>
              <w:spacing w:before="91"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w:t>
            </w:r>
          </w:p>
        </w:tc>
        <w:tc>
          <w:tcPr>
            <w:tcW w:w="753" w:type="dxa"/>
            <w:vAlign w:val="top"/>
          </w:tcPr>
          <w:p>
            <w:pPr>
              <w:spacing w:before="87" w:line="187" w:lineRule="auto"/>
              <w:ind w:left="27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66</w:t>
            </w:r>
          </w:p>
        </w:tc>
        <w:tc>
          <w:tcPr>
            <w:tcW w:w="708" w:type="dxa"/>
            <w:vAlign w:val="top"/>
          </w:tcPr>
          <w:p>
            <w:pPr>
              <w:spacing w:before="9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5" w:line="221" w:lineRule="auto"/>
              <w:ind w:left="421"/>
            </w:pPr>
            <w:r>
              <w:rPr>
                <w:spacing w:val="-3"/>
              </w:rPr>
              <w:t>夜间</w:t>
            </w:r>
          </w:p>
        </w:tc>
        <w:tc>
          <w:tcPr>
            <w:tcW w:w="895" w:type="dxa"/>
            <w:vAlign w:val="top"/>
          </w:tcPr>
          <w:p>
            <w:pPr>
              <w:spacing w:before="94"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92" w:type="dxa"/>
            <w:vAlign w:val="top"/>
          </w:tcPr>
          <w:p>
            <w:pPr>
              <w:spacing w:before="94"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1"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771" w:type="dxa"/>
            <w:vAlign w:val="top"/>
          </w:tcPr>
          <w:p>
            <w:pPr>
              <w:spacing w:before="91"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w:t>
            </w:r>
          </w:p>
        </w:tc>
        <w:tc>
          <w:tcPr>
            <w:tcW w:w="751" w:type="dxa"/>
            <w:vAlign w:val="top"/>
          </w:tcPr>
          <w:p>
            <w:pPr>
              <w:spacing w:before="91" w:line="187" w:lineRule="auto"/>
              <w:ind w:left="27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768" w:type="dxa"/>
            <w:vAlign w:val="top"/>
          </w:tcPr>
          <w:p>
            <w:pPr>
              <w:spacing w:before="91"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w:t>
            </w:r>
          </w:p>
        </w:tc>
        <w:tc>
          <w:tcPr>
            <w:tcW w:w="753" w:type="dxa"/>
            <w:vAlign w:val="top"/>
          </w:tcPr>
          <w:p>
            <w:pPr>
              <w:spacing w:before="90" w:line="184" w:lineRule="auto"/>
              <w:ind w:left="27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57</w:t>
            </w:r>
          </w:p>
        </w:tc>
        <w:tc>
          <w:tcPr>
            <w:tcW w:w="708" w:type="dxa"/>
            <w:vAlign w:val="top"/>
          </w:tcPr>
          <w:p>
            <w:pPr>
              <w:spacing w:before="91"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6" w:line="223" w:lineRule="auto"/>
              <w:ind w:left="416"/>
            </w:pPr>
            <w:r>
              <w:rPr>
                <w:spacing w:val="-2"/>
              </w:rPr>
              <w:t>昼间</w:t>
            </w:r>
          </w:p>
        </w:tc>
        <w:tc>
          <w:tcPr>
            <w:tcW w:w="895" w:type="dxa"/>
            <w:vAlign w:val="top"/>
          </w:tcPr>
          <w:p>
            <w:pPr>
              <w:spacing w:before="94"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92" w:type="dxa"/>
            <w:vAlign w:val="top"/>
          </w:tcPr>
          <w:p>
            <w:pPr>
              <w:spacing w:before="94"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4"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58.9</w:t>
            </w:r>
          </w:p>
        </w:tc>
        <w:tc>
          <w:tcPr>
            <w:tcW w:w="771" w:type="dxa"/>
            <w:vAlign w:val="top"/>
          </w:tcPr>
          <w:p>
            <w:pPr>
              <w:spacing w:before="91" w:line="221"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4"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768" w:type="dxa"/>
            <w:vAlign w:val="top"/>
          </w:tcPr>
          <w:p>
            <w:pPr>
              <w:spacing w:before="94"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753" w:type="dxa"/>
            <w:vAlign w:val="top"/>
          </w:tcPr>
          <w:p>
            <w:pPr>
              <w:spacing w:before="90"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66.6</w:t>
            </w:r>
          </w:p>
        </w:tc>
        <w:tc>
          <w:tcPr>
            <w:tcW w:w="708" w:type="dxa"/>
            <w:vAlign w:val="top"/>
          </w:tcPr>
          <w:p>
            <w:pPr>
              <w:spacing w:before="94"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tcBorders>
            <w:vAlign w:val="top"/>
          </w:tcPr>
          <w:p>
            <w:pPr>
              <w:rPr>
                <w:rFonts w:ascii="Arial"/>
                <w:sz w:val="21"/>
              </w:rPr>
            </w:pPr>
          </w:p>
        </w:tc>
        <w:tc>
          <w:tcPr>
            <w:tcW w:w="1310" w:type="dxa"/>
            <w:vMerge w:val="continue"/>
            <w:tcBorders>
              <w:top w:val="nil"/>
            </w:tcBorders>
            <w:vAlign w:val="top"/>
          </w:tcPr>
          <w:p>
            <w:pPr>
              <w:rPr>
                <w:rFonts w:ascii="Arial"/>
                <w:sz w:val="21"/>
              </w:rPr>
            </w:pPr>
          </w:p>
        </w:tc>
        <w:tc>
          <w:tcPr>
            <w:tcW w:w="1730" w:type="dxa"/>
            <w:vMerge w:val="continue"/>
            <w:tcBorders>
              <w:top w:val="nil"/>
              <w:right w:val="single" w:color="000000" w:sz="4" w:space="0"/>
            </w:tcBorders>
            <w:vAlign w:val="top"/>
          </w:tcPr>
          <w:p>
            <w:pPr>
              <w:rPr>
                <w:rFonts w:ascii="Arial"/>
                <w:sz w:val="21"/>
              </w:rPr>
            </w:pPr>
          </w:p>
        </w:tc>
        <w:tc>
          <w:tcPr>
            <w:tcW w:w="1188" w:type="dxa"/>
            <w:vMerge w:val="continue"/>
            <w:tcBorders>
              <w:top w:val="nil"/>
              <w:left w:val="single" w:color="000000" w:sz="4" w:space="0"/>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248" w:type="dxa"/>
            <w:vAlign w:val="top"/>
          </w:tcPr>
          <w:p>
            <w:pPr>
              <w:pStyle w:val="6"/>
              <w:spacing w:before="53" w:line="221" w:lineRule="auto"/>
              <w:ind w:left="421"/>
            </w:pPr>
            <w:r>
              <w:rPr>
                <w:spacing w:val="-3"/>
              </w:rPr>
              <w:t>夜间</w:t>
            </w:r>
          </w:p>
        </w:tc>
        <w:tc>
          <w:tcPr>
            <w:tcW w:w="895" w:type="dxa"/>
            <w:vAlign w:val="top"/>
          </w:tcPr>
          <w:p>
            <w:pPr>
              <w:spacing w:before="92"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92" w:type="dxa"/>
            <w:vAlign w:val="top"/>
          </w:tcPr>
          <w:p>
            <w:pPr>
              <w:spacing w:before="92"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2"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53.5</w:t>
            </w:r>
          </w:p>
        </w:tc>
        <w:tc>
          <w:tcPr>
            <w:tcW w:w="771" w:type="dxa"/>
            <w:vAlign w:val="top"/>
          </w:tcPr>
          <w:p>
            <w:pPr>
              <w:spacing w:before="92"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751" w:type="dxa"/>
            <w:vAlign w:val="top"/>
          </w:tcPr>
          <w:p>
            <w:pPr>
              <w:spacing w:before="92"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56.5</w:t>
            </w:r>
          </w:p>
        </w:tc>
        <w:tc>
          <w:tcPr>
            <w:tcW w:w="768" w:type="dxa"/>
            <w:vAlign w:val="top"/>
          </w:tcPr>
          <w:p>
            <w:pPr>
              <w:spacing w:before="92"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w:t>
            </w:r>
          </w:p>
        </w:tc>
        <w:tc>
          <w:tcPr>
            <w:tcW w:w="753" w:type="dxa"/>
            <w:vAlign w:val="top"/>
          </w:tcPr>
          <w:p>
            <w:pPr>
              <w:spacing w:before="90" w:line="184"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57.5</w:t>
            </w:r>
          </w:p>
        </w:tc>
        <w:tc>
          <w:tcPr>
            <w:tcW w:w="708" w:type="dxa"/>
            <w:vAlign w:val="top"/>
          </w:tcPr>
          <w:p>
            <w:pPr>
              <w:spacing w:before="95" w:line="184"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restart"/>
            <w:tcBorders>
              <w:bottom w:val="nil"/>
            </w:tcBorders>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before="60" w:line="187" w:lineRule="auto"/>
              <w:ind w:left="22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31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8" w:line="230" w:lineRule="auto"/>
              <w:ind w:left="474" w:right="129" w:hanging="343"/>
              <w:rPr>
                <w:rFonts w:ascii="Times New Roman" w:hAnsi="Times New Roman" w:eastAsia="Times New Roman" w:cs="Times New Roman"/>
              </w:rPr>
            </w:pPr>
            <w:r>
              <w:rPr>
                <w:spacing w:val="-2"/>
              </w:rPr>
              <w:t>规划保护目</w:t>
            </w:r>
            <w:r>
              <w:rPr>
                <w:spacing w:val="3"/>
              </w:rPr>
              <w:t xml:space="preserve"> </w:t>
            </w:r>
            <w:r>
              <w:rPr>
                <w:spacing w:val="-4"/>
              </w:rPr>
              <w:t>标</w:t>
            </w:r>
            <w:r>
              <w:rPr>
                <w:spacing w:val="-44"/>
              </w:rPr>
              <w:t xml:space="preserve"> </w:t>
            </w:r>
            <w:r>
              <w:rPr>
                <w:rFonts w:ascii="Times New Roman" w:hAnsi="Times New Roman" w:eastAsia="Times New Roman" w:cs="Times New Roman"/>
                <w:spacing w:val="-4"/>
              </w:rPr>
              <w:t>3</w:t>
            </w:r>
          </w:p>
        </w:tc>
        <w:tc>
          <w:tcPr>
            <w:tcW w:w="1730" w:type="dxa"/>
            <w:vMerge w:val="restart"/>
            <w:tcBorders>
              <w:bottom w:val="nil"/>
              <w:right w:val="single" w:color="000000" w:sz="4"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0" w:line="214" w:lineRule="auto"/>
              <w:ind w:left="597" w:right="148" w:hanging="4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L1K2+200~L1K</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2+410</w:t>
            </w:r>
          </w:p>
        </w:tc>
        <w:tc>
          <w:tcPr>
            <w:tcW w:w="1188" w:type="dxa"/>
            <w:vMerge w:val="restart"/>
            <w:tcBorders>
              <w:left w:val="single" w:color="000000" w:sz="4" w:space="0"/>
              <w:bottom w:val="nil"/>
            </w:tcBorders>
            <w:vAlign w:val="top"/>
          </w:tcPr>
          <w:p>
            <w:pPr>
              <w:spacing w:line="474" w:lineRule="auto"/>
              <w:rPr>
                <w:rFonts w:ascii="Arial"/>
                <w:sz w:val="21"/>
              </w:rPr>
            </w:pPr>
          </w:p>
          <w:p>
            <w:pPr>
              <w:pStyle w:val="6"/>
              <w:spacing w:before="68" w:line="221" w:lineRule="auto"/>
              <w:ind w:left="391"/>
            </w:pPr>
            <w:r>
              <w:rPr>
                <w:spacing w:val="-3"/>
              </w:rPr>
              <w:t>紧邻</w:t>
            </w:r>
          </w:p>
        </w:tc>
        <w:tc>
          <w:tcPr>
            <w:tcW w:w="933"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before="61" w:line="187"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tc>
        <w:tc>
          <w:tcPr>
            <w:tcW w:w="1248" w:type="dxa"/>
            <w:vAlign w:val="top"/>
          </w:tcPr>
          <w:p>
            <w:pPr>
              <w:pStyle w:val="6"/>
              <w:spacing w:before="54" w:line="223" w:lineRule="auto"/>
              <w:ind w:left="416"/>
            </w:pPr>
            <w:r>
              <w:rPr>
                <w:spacing w:val="-2"/>
              </w:rPr>
              <w:t>昼间</w:t>
            </w:r>
          </w:p>
        </w:tc>
        <w:tc>
          <w:tcPr>
            <w:tcW w:w="895" w:type="dxa"/>
            <w:vAlign w:val="top"/>
          </w:tcPr>
          <w:p>
            <w:pPr>
              <w:spacing w:before="92"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92" w:type="dxa"/>
            <w:vAlign w:val="top"/>
          </w:tcPr>
          <w:p>
            <w:pPr>
              <w:spacing w:before="92"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2"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67.3</w:t>
            </w:r>
          </w:p>
        </w:tc>
        <w:tc>
          <w:tcPr>
            <w:tcW w:w="771" w:type="dxa"/>
            <w:vAlign w:val="top"/>
          </w:tcPr>
          <w:p>
            <w:pPr>
              <w:spacing w:before="88" w:line="221"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2"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70.2</w:t>
            </w:r>
          </w:p>
        </w:tc>
        <w:tc>
          <w:tcPr>
            <w:tcW w:w="768" w:type="dxa"/>
            <w:vAlign w:val="top"/>
          </w:tcPr>
          <w:p>
            <w:pPr>
              <w:spacing w:before="92"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w:t>
            </w:r>
          </w:p>
        </w:tc>
        <w:tc>
          <w:tcPr>
            <w:tcW w:w="753" w:type="dxa"/>
            <w:vAlign w:val="top"/>
          </w:tcPr>
          <w:p>
            <w:pPr>
              <w:spacing w:before="88" w:line="187"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70.3</w:t>
            </w:r>
          </w:p>
        </w:tc>
        <w:tc>
          <w:tcPr>
            <w:tcW w:w="708" w:type="dxa"/>
            <w:vAlign w:val="top"/>
          </w:tcPr>
          <w:p>
            <w:pPr>
              <w:spacing w:before="92"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6" w:line="221" w:lineRule="auto"/>
              <w:ind w:left="421"/>
            </w:pPr>
            <w:r>
              <w:rPr>
                <w:spacing w:val="-3"/>
              </w:rPr>
              <w:t>夜间</w:t>
            </w:r>
          </w:p>
        </w:tc>
        <w:tc>
          <w:tcPr>
            <w:tcW w:w="895" w:type="dxa"/>
            <w:vAlign w:val="top"/>
          </w:tcPr>
          <w:p>
            <w:pPr>
              <w:spacing w:before="98" w:line="184"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92" w:type="dxa"/>
            <w:vAlign w:val="top"/>
          </w:tcPr>
          <w:p>
            <w:pPr>
              <w:spacing w:before="95"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2"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61.9</w:t>
            </w:r>
          </w:p>
        </w:tc>
        <w:tc>
          <w:tcPr>
            <w:tcW w:w="771" w:type="dxa"/>
            <w:vAlign w:val="top"/>
          </w:tcPr>
          <w:p>
            <w:pPr>
              <w:spacing w:before="92"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+6.9</w:t>
            </w:r>
          </w:p>
        </w:tc>
        <w:tc>
          <w:tcPr>
            <w:tcW w:w="751"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64.8</w:t>
            </w:r>
          </w:p>
        </w:tc>
        <w:tc>
          <w:tcPr>
            <w:tcW w:w="768" w:type="dxa"/>
            <w:vAlign w:val="top"/>
          </w:tcPr>
          <w:p>
            <w:pPr>
              <w:spacing w:before="92"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+9.8</w:t>
            </w:r>
          </w:p>
        </w:tc>
        <w:tc>
          <w:tcPr>
            <w:tcW w:w="753" w:type="dxa"/>
            <w:vAlign w:val="top"/>
          </w:tcPr>
          <w:p>
            <w:pPr>
              <w:spacing w:before="88"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65.9</w:t>
            </w:r>
          </w:p>
        </w:tc>
        <w:tc>
          <w:tcPr>
            <w:tcW w:w="708" w:type="dxa"/>
            <w:vAlign w:val="top"/>
          </w:tcPr>
          <w:p>
            <w:pPr>
              <w:spacing w:before="92"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+10.9</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8" w:line="223" w:lineRule="auto"/>
              <w:ind w:left="416"/>
            </w:pPr>
            <w:r>
              <w:rPr>
                <w:spacing w:val="-2"/>
              </w:rPr>
              <w:t>昼间</w:t>
            </w:r>
          </w:p>
        </w:tc>
        <w:tc>
          <w:tcPr>
            <w:tcW w:w="895" w:type="dxa"/>
            <w:vAlign w:val="top"/>
          </w:tcPr>
          <w:p>
            <w:pPr>
              <w:spacing w:before="96"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92" w:type="dxa"/>
            <w:vAlign w:val="top"/>
          </w:tcPr>
          <w:p>
            <w:pPr>
              <w:spacing w:before="96"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6"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68.5</w:t>
            </w:r>
          </w:p>
        </w:tc>
        <w:tc>
          <w:tcPr>
            <w:tcW w:w="771" w:type="dxa"/>
            <w:vAlign w:val="top"/>
          </w:tcPr>
          <w:p>
            <w:pPr>
              <w:spacing w:before="92" w:line="220"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6"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71.6</w:t>
            </w:r>
          </w:p>
        </w:tc>
        <w:tc>
          <w:tcPr>
            <w:tcW w:w="768" w:type="dxa"/>
            <w:vAlign w:val="top"/>
          </w:tcPr>
          <w:p>
            <w:pPr>
              <w:spacing w:before="96"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w:t>
            </w:r>
          </w:p>
        </w:tc>
        <w:tc>
          <w:tcPr>
            <w:tcW w:w="753" w:type="dxa"/>
            <w:vAlign w:val="top"/>
          </w:tcPr>
          <w:p>
            <w:pPr>
              <w:spacing w:before="91" w:line="187"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72.9</w:t>
            </w:r>
          </w:p>
        </w:tc>
        <w:tc>
          <w:tcPr>
            <w:tcW w:w="708" w:type="dxa"/>
            <w:vAlign w:val="top"/>
          </w:tcPr>
          <w:p>
            <w:pPr>
              <w:spacing w:before="96"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248" w:type="dxa"/>
            <w:vAlign w:val="top"/>
          </w:tcPr>
          <w:p>
            <w:pPr>
              <w:pStyle w:val="6"/>
              <w:spacing w:before="54" w:line="221" w:lineRule="auto"/>
              <w:ind w:left="421"/>
            </w:pPr>
            <w:r>
              <w:rPr>
                <w:spacing w:val="-3"/>
              </w:rPr>
              <w:t>夜间</w:t>
            </w:r>
          </w:p>
        </w:tc>
        <w:tc>
          <w:tcPr>
            <w:tcW w:w="895" w:type="dxa"/>
            <w:vAlign w:val="top"/>
          </w:tcPr>
          <w:p>
            <w:pPr>
              <w:spacing w:before="96" w:line="184"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92" w:type="dxa"/>
            <w:vAlign w:val="top"/>
          </w:tcPr>
          <w:p>
            <w:pPr>
              <w:spacing w:before="93"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3"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63.1</w:t>
            </w:r>
          </w:p>
        </w:tc>
        <w:tc>
          <w:tcPr>
            <w:tcW w:w="771" w:type="dxa"/>
            <w:vAlign w:val="top"/>
          </w:tcPr>
          <w:p>
            <w:pPr>
              <w:spacing w:before="93"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+8.1</w:t>
            </w:r>
          </w:p>
        </w:tc>
        <w:tc>
          <w:tcPr>
            <w:tcW w:w="751" w:type="dxa"/>
            <w:vAlign w:val="top"/>
          </w:tcPr>
          <w:p>
            <w:pPr>
              <w:spacing w:before="9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66.1</w:t>
            </w:r>
          </w:p>
        </w:tc>
        <w:tc>
          <w:tcPr>
            <w:tcW w:w="768" w:type="dxa"/>
            <w:vAlign w:val="top"/>
          </w:tcPr>
          <w:p>
            <w:pPr>
              <w:spacing w:before="93"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+11.1</w:t>
            </w:r>
          </w:p>
        </w:tc>
        <w:tc>
          <w:tcPr>
            <w:tcW w:w="753" w:type="dxa"/>
            <w:vAlign w:val="top"/>
          </w:tcPr>
          <w:p>
            <w:pPr>
              <w:spacing w:before="89"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67.1</w:t>
            </w:r>
          </w:p>
        </w:tc>
        <w:tc>
          <w:tcPr>
            <w:tcW w:w="708" w:type="dxa"/>
            <w:vAlign w:val="top"/>
          </w:tcPr>
          <w:p>
            <w:pPr>
              <w:spacing w:before="93"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+12.1</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restart"/>
            <w:tcBorders>
              <w:left w:val="single" w:color="000000" w:sz="4" w:space="0"/>
              <w:bottom w:val="nil"/>
            </w:tcBorders>
            <w:vAlign w:val="top"/>
          </w:tcPr>
          <w:p>
            <w:pPr>
              <w:spacing w:line="261" w:lineRule="auto"/>
              <w:rPr>
                <w:rFonts w:ascii="Arial"/>
                <w:sz w:val="21"/>
              </w:rPr>
            </w:pPr>
          </w:p>
          <w:p>
            <w:pPr>
              <w:spacing w:line="261" w:lineRule="auto"/>
              <w:rPr>
                <w:rFonts w:ascii="Arial"/>
                <w:sz w:val="21"/>
              </w:rPr>
            </w:pPr>
          </w:p>
          <w:p>
            <w:pPr>
              <w:spacing w:before="60" w:line="187"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933"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before="60" w:line="187" w:lineRule="auto"/>
              <w:ind w:left="41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48" w:type="dxa"/>
            <w:vAlign w:val="top"/>
          </w:tcPr>
          <w:p>
            <w:pPr>
              <w:pStyle w:val="6"/>
              <w:spacing w:before="56" w:line="223" w:lineRule="auto"/>
              <w:ind w:left="416"/>
            </w:pPr>
            <w:r>
              <w:rPr>
                <w:spacing w:val="-2"/>
              </w:rPr>
              <w:t>昼间</w:t>
            </w:r>
          </w:p>
        </w:tc>
        <w:tc>
          <w:tcPr>
            <w:tcW w:w="895" w:type="dxa"/>
            <w:vAlign w:val="top"/>
          </w:tcPr>
          <w:p>
            <w:pPr>
              <w:spacing w:before="94"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92" w:type="dxa"/>
            <w:vAlign w:val="top"/>
          </w:tcPr>
          <w:p>
            <w:pPr>
              <w:spacing w:before="94"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4"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771" w:type="dxa"/>
            <w:vAlign w:val="top"/>
          </w:tcPr>
          <w:p>
            <w:pPr>
              <w:spacing w:before="90" w:line="219"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4"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56.3</w:t>
            </w:r>
          </w:p>
        </w:tc>
        <w:tc>
          <w:tcPr>
            <w:tcW w:w="768" w:type="dxa"/>
            <w:vAlign w:val="top"/>
          </w:tcPr>
          <w:p>
            <w:pPr>
              <w:spacing w:before="90" w:line="219"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3" w:type="dxa"/>
            <w:vAlign w:val="top"/>
          </w:tcPr>
          <w:p>
            <w:pPr>
              <w:spacing w:before="89"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61.1</w:t>
            </w:r>
          </w:p>
        </w:tc>
        <w:tc>
          <w:tcPr>
            <w:tcW w:w="708" w:type="dxa"/>
            <w:vAlign w:val="top"/>
          </w:tcPr>
          <w:p>
            <w:pPr>
              <w:spacing w:before="94"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7" w:line="221" w:lineRule="auto"/>
              <w:ind w:left="421"/>
            </w:pPr>
            <w:r>
              <w:rPr>
                <w:spacing w:val="-3"/>
              </w:rPr>
              <w:t>夜间</w:t>
            </w:r>
          </w:p>
        </w:tc>
        <w:tc>
          <w:tcPr>
            <w:tcW w:w="895" w:type="dxa"/>
            <w:vAlign w:val="top"/>
          </w:tcPr>
          <w:p>
            <w:pPr>
              <w:spacing w:before="96"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92" w:type="dxa"/>
            <w:vAlign w:val="top"/>
          </w:tcPr>
          <w:p>
            <w:pPr>
              <w:spacing w:before="97"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4" w:line="187" w:lineRule="auto"/>
              <w:ind w:left="2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771" w:type="dxa"/>
            <w:vAlign w:val="top"/>
          </w:tcPr>
          <w:p>
            <w:pPr>
              <w:spacing w:before="90" w:line="219"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4"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50.8</w:t>
            </w:r>
          </w:p>
        </w:tc>
        <w:tc>
          <w:tcPr>
            <w:tcW w:w="768" w:type="dxa"/>
            <w:vAlign w:val="top"/>
          </w:tcPr>
          <w:p>
            <w:pPr>
              <w:spacing w:before="94"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w:t>
            </w:r>
          </w:p>
        </w:tc>
        <w:tc>
          <w:tcPr>
            <w:tcW w:w="753" w:type="dxa"/>
            <w:vAlign w:val="top"/>
          </w:tcPr>
          <w:p>
            <w:pPr>
              <w:spacing w:before="90" w:line="187"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51.8</w:t>
            </w:r>
          </w:p>
        </w:tc>
        <w:tc>
          <w:tcPr>
            <w:tcW w:w="708" w:type="dxa"/>
            <w:vAlign w:val="top"/>
          </w:tcPr>
          <w:p>
            <w:pPr>
              <w:spacing w:before="94"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9" w:line="223" w:lineRule="auto"/>
              <w:ind w:left="416"/>
            </w:pPr>
            <w:r>
              <w:rPr>
                <w:spacing w:val="-2"/>
              </w:rPr>
              <w:t>昼间</w:t>
            </w:r>
          </w:p>
        </w:tc>
        <w:tc>
          <w:tcPr>
            <w:tcW w:w="895" w:type="dxa"/>
            <w:vAlign w:val="top"/>
          </w:tcPr>
          <w:p>
            <w:pPr>
              <w:spacing w:before="97"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92" w:type="dxa"/>
            <w:vAlign w:val="top"/>
          </w:tcPr>
          <w:p>
            <w:pPr>
              <w:spacing w:before="97"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7"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58.3</w:t>
            </w:r>
          </w:p>
        </w:tc>
        <w:tc>
          <w:tcPr>
            <w:tcW w:w="771" w:type="dxa"/>
            <w:vAlign w:val="top"/>
          </w:tcPr>
          <w:p>
            <w:pPr>
              <w:spacing w:before="93" w:line="219"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7"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61.4</w:t>
            </w:r>
          </w:p>
        </w:tc>
        <w:tc>
          <w:tcPr>
            <w:tcW w:w="768" w:type="dxa"/>
            <w:vAlign w:val="top"/>
          </w:tcPr>
          <w:p>
            <w:pPr>
              <w:spacing w:before="97"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c>
          <w:tcPr>
            <w:tcW w:w="753" w:type="dxa"/>
            <w:vAlign w:val="top"/>
          </w:tcPr>
          <w:p>
            <w:pPr>
              <w:spacing w:before="92"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66.2</w:t>
            </w:r>
          </w:p>
        </w:tc>
        <w:tc>
          <w:tcPr>
            <w:tcW w:w="708" w:type="dxa"/>
            <w:vAlign w:val="top"/>
          </w:tcPr>
          <w:p>
            <w:pPr>
              <w:spacing w:before="97"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+6.2</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555" w:type="dxa"/>
            <w:vMerge w:val="continue"/>
            <w:tcBorders>
              <w:top w:val="nil"/>
            </w:tcBorders>
            <w:vAlign w:val="top"/>
          </w:tcPr>
          <w:p>
            <w:pPr>
              <w:rPr>
                <w:rFonts w:ascii="Arial"/>
                <w:sz w:val="21"/>
              </w:rPr>
            </w:pPr>
          </w:p>
        </w:tc>
        <w:tc>
          <w:tcPr>
            <w:tcW w:w="1310" w:type="dxa"/>
            <w:vMerge w:val="continue"/>
            <w:tcBorders>
              <w:top w:val="nil"/>
            </w:tcBorders>
            <w:vAlign w:val="top"/>
          </w:tcPr>
          <w:p>
            <w:pPr>
              <w:rPr>
                <w:rFonts w:ascii="Arial"/>
                <w:sz w:val="21"/>
              </w:rPr>
            </w:pPr>
          </w:p>
        </w:tc>
        <w:tc>
          <w:tcPr>
            <w:tcW w:w="1730" w:type="dxa"/>
            <w:vMerge w:val="continue"/>
            <w:tcBorders>
              <w:top w:val="nil"/>
              <w:right w:val="single" w:color="000000" w:sz="4" w:space="0"/>
            </w:tcBorders>
            <w:vAlign w:val="top"/>
          </w:tcPr>
          <w:p>
            <w:pPr>
              <w:rPr>
                <w:rFonts w:ascii="Arial"/>
                <w:sz w:val="21"/>
              </w:rPr>
            </w:pPr>
          </w:p>
        </w:tc>
        <w:tc>
          <w:tcPr>
            <w:tcW w:w="1188" w:type="dxa"/>
            <w:vMerge w:val="continue"/>
            <w:tcBorders>
              <w:top w:val="nil"/>
              <w:left w:val="single" w:color="000000" w:sz="4" w:space="0"/>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248" w:type="dxa"/>
            <w:vAlign w:val="top"/>
          </w:tcPr>
          <w:p>
            <w:pPr>
              <w:pStyle w:val="6"/>
              <w:spacing w:before="55" w:line="221" w:lineRule="auto"/>
              <w:ind w:left="421"/>
            </w:pPr>
            <w:r>
              <w:rPr>
                <w:spacing w:val="-3"/>
              </w:rPr>
              <w:t>夜间</w:t>
            </w:r>
          </w:p>
        </w:tc>
        <w:tc>
          <w:tcPr>
            <w:tcW w:w="895" w:type="dxa"/>
            <w:vAlign w:val="top"/>
          </w:tcPr>
          <w:p>
            <w:pPr>
              <w:spacing w:before="94"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92" w:type="dxa"/>
            <w:vAlign w:val="top"/>
          </w:tcPr>
          <w:p>
            <w:pPr>
              <w:spacing w:before="94"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4"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771" w:type="dxa"/>
            <w:vAlign w:val="top"/>
          </w:tcPr>
          <w:p>
            <w:pPr>
              <w:spacing w:before="94"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751" w:type="dxa"/>
            <w:vAlign w:val="top"/>
          </w:tcPr>
          <w:p>
            <w:pPr>
              <w:spacing w:before="94"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55.9</w:t>
            </w:r>
          </w:p>
        </w:tc>
        <w:tc>
          <w:tcPr>
            <w:tcW w:w="768" w:type="dxa"/>
            <w:vAlign w:val="top"/>
          </w:tcPr>
          <w:p>
            <w:pPr>
              <w:spacing w:before="94"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+5.9</w:t>
            </w:r>
          </w:p>
        </w:tc>
        <w:tc>
          <w:tcPr>
            <w:tcW w:w="753" w:type="dxa"/>
            <w:vAlign w:val="top"/>
          </w:tcPr>
          <w:p>
            <w:pPr>
              <w:spacing w:before="90" w:line="187"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56.9</w:t>
            </w:r>
          </w:p>
        </w:tc>
        <w:tc>
          <w:tcPr>
            <w:tcW w:w="708" w:type="dxa"/>
            <w:vAlign w:val="top"/>
          </w:tcPr>
          <w:p>
            <w:pPr>
              <w:spacing w:before="94"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+6.9</w:t>
            </w:r>
          </w:p>
        </w:tc>
        <w:tc>
          <w:tcPr>
            <w:tcW w:w="703" w:type="dxa"/>
            <w:vMerge w:val="continue"/>
            <w:tcBorders>
              <w:top w:val="nil"/>
            </w:tcBorders>
            <w:vAlign w:val="top"/>
          </w:tcPr>
          <w:p>
            <w:pPr>
              <w:rPr>
                <w:rFonts w:ascii="Arial"/>
                <w:sz w:val="21"/>
              </w:rPr>
            </w:pPr>
          </w:p>
        </w:tc>
      </w:tr>
    </w:tbl>
    <w:p>
      <w:pPr>
        <w:pStyle w:val="2"/>
      </w:pPr>
    </w:p>
    <w:p>
      <w:pPr>
        <w:sectPr>
          <w:headerReference r:id="rId279" w:type="default"/>
          <w:footerReference r:id="rId280" w:type="default"/>
          <w:pgSz w:w="16839" w:h="11905"/>
          <w:pgMar w:top="1063" w:right="1351" w:bottom="1012" w:left="1351" w:header="822" w:footer="852" w:gutter="0"/>
          <w:cols w:space="720" w:num="1"/>
        </w:sectPr>
      </w:pPr>
    </w:p>
    <w:p>
      <w:pPr>
        <w:spacing w:line="185" w:lineRule="exact"/>
      </w:pPr>
    </w:p>
    <w:tbl>
      <w:tblPr>
        <w:tblStyle w:val="5"/>
        <w:tblW w:w="141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1310"/>
        <w:gridCol w:w="1730"/>
        <w:gridCol w:w="1188"/>
        <w:gridCol w:w="933"/>
        <w:gridCol w:w="1248"/>
        <w:gridCol w:w="895"/>
        <w:gridCol w:w="892"/>
        <w:gridCol w:w="926"/>
        <w:gridCol w:w="771"/>
        <w:gridCol w:w="751"/>
        <w:gridCol w:w="768"/>
        <w:gridCol w:w="753"/>
        <w:gridCol w:w="708"/>
        <w:gridCol w:w="7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555" w:type="dxa"/>
            <w:vMerge w:val="restart"/>
            <w:tcBorders>
              <w:bottom w:val="nil"/>
            </w:tcBorders>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61" w:line="187" w:lineRule="auto"/>
              <w:ind w:left="22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31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8" w:line="231" w:lineRule="auto"/>
              <w:ind w:left="474" w:right="129" w:hanging="343"/>
              <w:rPr>
                <w:rFonts w:ascii="Times New Roman" w:hAnsi="Times New Roman" w:eastAsia="Times New Roman" w:cs="Times New Roman"/>
              </w:rPr>
            </w:pPr>
            <w:r>
              <w:rPr>
                <w:spacing w:val="-2"/>
              </w:rPr>
              <w:t>规划保护目</w:t>
            </w:r>
            <w:r>
              <w:rPr>
                <w:spacing w:val="3"/>
              </w:rPr>
              <w:t xml:space="preserve"> </w:t>
            </w:r>
            <w:r>
              <w:rPr>
                <w:spacing w:val="-4"/>
              </w:rPr>
              <w:t>标</w:t>
            </w:r>
            <w:r>
              <w:rPr>
                <w:spacing w:val="-49"/>
              </w:rPr>
              <w:t xml:space="preserve"> </w:t>
            </w:r>
            <w:r>
              <w:rPr>
                <w:rFonts w:ascii="Times New Roman" w:hAnsi="Times New Roman" w:eastAsia="Times New Roman" w:cs="Times New Roman"/>
                <w:spacing w:val="-4"/>
              </w:rPr>
              <w:t>4</w:t>
            </w:r>
          </w:p>
        </w:tc>
        <w:tc>
          <w:tcPr>
            <w:tcW w:w="1730" w:type="dxa"/>
            <w:vMerge w:val="restart"/>
            <w:tcBorders>
              <w:bottom w:val="nil"/>
              <w:right w:val="single" w:color="000000" w:sz="4"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0" w:line="213" w:lineRule="auto"/>
              <w:ind w:left="600" w:right="148" w:hanging="4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L2K0+000~L2K</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0+190</w:t>
            </w:r>
          </w:p>
        </w:tc>
        <w:tc>
          <w:tcPr>
            <w:tcW w:w="1188" w:type="dxa"/>
            <w:vMerge w:val="restart"/>
            <w:tcBorders>
              <w:left w:val="single" w:color="000000" w:sz="4" w:space="0"/>
              <w:bottom w:val="nil"/>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6"/>
              <w:spacing w:before="68" w:line="221" w:lineRule="auto"/>
              <w:ind w:left="391"/>
            </w:pPr>
            <w:r>
              <w:rPr>
                <w:spacing w:val="-3"/>
              </w:rPr>
              <w:t>紧邻</w:t>
            </w:r>
          </w:p>
        </w:tc>
        <w:tc>
          <w:tcPr>
            <w:tcW w:w="933"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before="60" w:line="187"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tc>
        <w:tc>
          <w:tcPr>
            <w:tcW w:w="1248" w:type="dxa"/>
            <w:vAlign w:val="top"/>
          </w:tcPr>
          <w:p>
            <w:pPr>
              <w:pStyle w:val="6"/>
              <w:spacing w:before="56" w:line="223" w:lineRule="auto"/>
              <w:ind w:left="416"/>
            </w:pPr>
            <w:r>
              <w:rPr>
                <w:spacing w:val="-2"/>
              </w:rPr>
              <w:t>昼间</w:t>
            </w:r>
          </w:p>
        </w:tc>
        <w:tc>
          <w:tcPr>
            <w:tcW w:w="895" w:type="dxa"/>
            <w:vAlign w:val="top"/>
          </w:tcPr>
          <w:p>
            <w:pPr>
              <w:spacing w:before="94"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92" w:type="dxa"/>
            <w:vAlign w:val="top"/>
          </w:tcPr>
          <w:p>
            <w:pPr>
              <w:spacing w:before="94"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4"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74.5</w:t>
            </w:r>
          </w:p>
        </w:tc>
        <w:tc>
          <w:tcPr>
            <w:tcW w:w="771" w:type="dxa"/>
            <w:vAlign w:val="top"/>
          </w:tcPr>
          <w:p>
            <w:pPr>
              <w:spacing w:before="94"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751" w:type="dxa"/>
            <w:vAlign w:val="top"/>
          </w:tcPr>
          <w:p>
            <w:pPr>
              <w:spacing w:before="94"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77.6</w:t>
            </w:r>
          </w:p>
        </w:tc>
        <w:tc>
          <w:tcPr>
            <w:tcW w:w="768" w:type="dxa"/>
            <w:vAlign w:val="top"/>
          </w:tcPr>
          <w:p>
            <w:pPr>
              <w:spacing w:before="94"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+7.6</w:t>
            </w:r>
          </w:p>
        </w:tc>
        <w:tc>
          <w:tcPr>
            <w:tcW w:w="753" w:type="dxa"/>
            <w:vAlign w:val="top"/>
          </w:tcPr>
          <w:p>
            <w:pPr>
              <w:spacing w:before="90" w:line="187"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77.6</w:t>
            </w:r>
          </w:p>
        </w:tc>
        <w:tc>
          <w:tcPr>
            <w:tcW w:w="708" w:type="dxa"/>
            <w:vAlign w:val="top"/>
          </w:tcPr>
          <w:p>
            <w:pPr>
              <w:spacing w:before="94"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+7.6</w:t>
            </w:r>
          </w:p>
        </w:tc>
        <w:tc>
          <w:tcPr>
            <w:tcW w:w="703"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0" w:line="221" w:lineRule="auto"/>
              <w:ind w:left="421"/>
            </w:pPr>
            <w:r>
              <w:rPr>
                <w:spacing w:val="-3"/>
              </w:rPr>
              <w:t>夜间</w:t>
            </w:r>
          </w:p>
        </w:tc>
        <w:tc>
          <w:tcPr>
            <w:tcW w:w="895" w:type="dxa"/>
            <w:vAlign w:val="top"/>
          </w:tcPr>
          <w:p>
            <w:pPr>
              <w:spacing w:before="92" w:line="184"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92" w:type="dxa"/>
            <w:vAlign w:val="top"/>
          </w:tcPr>
          <w:p>
            <w:pPr>
              <w:spacing w:before="90"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89"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69.1</w:t>
            </w:r>
          </w:p>
        </w:tc>
        <w:tc>
          <w:tcPr>
            <w:tcW w:w="771" w:type="dxa"/>
            <w:vAlign w:val="top"/>
          </w:tcPr>
          <w:p>
            <w:pPr>
              <w:spacing w:before="89"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+14.1</w:t>
            </w:r>
          </w:p>
        </w:tc>
        <w:tc>
          <w:tcPr>
            <w:tcW w:w="751" w:type="dxa"/>
            <w:vAlign w:val="top"/>
          </w:tcPr>
          <w:p>
            <w:pPr>
              <w:spacing w:before="89"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72.1</w:t>
            </w:r>
          </w:p>
        </w:tc>
        <w:tc>
          <w:tcPr>
            <w:tcW w:w="768" w:type="dxa"/>
            <w:vAlign w:val="top"/>
          </w:tcPr>
          <w:p>
            <w:pPr>
              <w:spacing w:before="89"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+17.1</w:t>
            </w:r>
          </w:p>
        </w:tc>
        <w:tc>
          <w:tcPr>
            <w:tcW w:w="753" w:type="dxa"/>
            <w:vAlign w:val="top"/>
          </w:tcPr>
          <w:p>
            <w:pPr>
              <w:spacing w:before="85" w:line="187"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73.0</w:t>
            </w:r>
          </w:p>
        </w:tc>
        <w:tc>
          <w:tcPr>
            <w:tcW w:w="708" w:type="dxa"/>
            <w:vAlign w:val="top"/>
          </w:tcPr>
          <w:p>
            <w:pPr>
              <w:spacing w:before="89"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+18.0</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4" w:line="223" w:lineRule="auto"/>
              <w:ind w:left="416"/>
            </w:pPr>
            <w:r>
              <w:rPr>
                <w:spacing w:val="-2"/>
              </w:rPr>
              <w:t>昼间</w:t>
            </w:r>
          </w:p>
        </w:tc>
        <w:tc>
          <w:tcPr>
            <w:tcW w:w="895" w:type="dxa"/>
            <w:vAlign w:val="top"/>
          </w:tcPr>
          <w:p>
            <w:pPr>
              <w:spacing w:before="92"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92" w:type="dxa"/>
            <w:vAlign w:val="top"/>
          </w:tcPr>
          <w:p>
            <w:pPr>
              <w:spacing w:before="92"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0"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74.7</w:t>
            </w:r>
          </w:p>
        </w:tc>
        <w:tc>
          <w:tcPr>
            <w:tcW w:w="771" w:type="dxa"/>
            <w:vAlign w:val="top"/>
          </w:tcPr>
          <w:p>
            <w:pPr>
              <w:spacing w:before="90"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751" w:type="dxa"/>
            <w:vAlign w:val="top"/>
          </w:tcPr>
          <w:p>
            <w:pPr>
              <w:spacing w:before="90"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77.8</w:t>
            </w:r>
          </w:p>
        </w:tc>
        <w:tc>
          <w:tcPr>
            <w:tcW w:w="768" w:type="dxa"/>
            <w:vAlign w:val="top"/>
          </w:tcPr>
          <w:p>
            <w:pPr>
              <w:spacing w:before="90"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w:t>
            </w:r>
          </w:p>
        </w:tc>
        <w:tc>
          <w:tcPr>
            <w:tcW w:w="753" w:type="dxa"/>
            <w:vAlign w:val="top"/>
          </w:tcPr>
          <w:p>
            <w:pPr>
              <w:spacing w:before="85" w:line="187"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79.3</w:t>
            </w:r>
          </w:p>
        </w:tc>
        <w:tc>
          <w:tcPr>
            <w:tcW w:w="708" w:type="dxa"/>
            <w:vAlign w:val="top"/>
          </w:tcPr>
          <w:p>
            <w:pPr>
              <w:spacing w:before="9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+9.3</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248" w:type="dxa"/>
            <w:vAlign w:val="top"/>
          </w:tcPr>
          <w:p>
            <w:pPr>
              <w:pStyle w:val="6"/>
              <w:spacing w:before="54" w:line="221" w:lineRule="auto"/>
              <w:ind w:left="421"/>
            </w:pPr>
            <w:r>
              <w:rPr>
                <w:spacing w:val="-3"/>
              </w:rPr>
              <w:t>夜间</w:t>
            </w:r>
          </w:p>
        </w:tc>
        <w:tc>
          <w:tcPr>
            <w:tcW w:w="895" w:type="dxa"/>
            <w:vAlign w:val="top"/>
          </w:tcPr>
          <w:p>
            <w:pPr>
              <w:spacing w:before="96" w:line="184"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92" w:type="dxa"/>
            <w:vAlign w:val="top"/>
          </w:tcPr>
          <w:p>
            <w:pPr>
              <w:spacing w:before="93"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0"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69.3</w:t>
            </w:r>
          </w:p>
        </w:tc>
        <w:tc>
          <w:tcPr>
            <w:tcW w:w="771" w:type="dxa"/>
            <w:vAlign w:val="top"/>
          </w:tcPr>
          <w:p>
            <w:pPr>
              <w:spacing w:before="9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+14.3</w:t>
            </w:r>
          </w:p>
        </w:tc>
        <w:tc>
          <w:tcPr>
            <w:tcW w:w="751" w:type="dxa"/>
            <w:vAlign w:val="top"/>
          </w:tcPr>
          <w:p>
            <w:pPr>
              <w:spacing w:before="90"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72.4</w:t>
            </w:r>
          </w:p>
        </w:tc>
        <w:tc>
          <w:tcPr>
            <w:tcW w:w="768" w:type="dxa"/>
            <w:vAlign w:val="top"/>
          </w:tcPr>
          <w:p>
            <w:pPr>
              <w:spacing w:before="9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+17.4</w:t>
            </w:r>
          </w:p>
        </w:tc>
        <w:tc>
          <w:tcPr>
            <w:tcW w:w="753" w:type="dxa"/>
            <w:vAlign w:val="top"/>
          </w:tcPr>
          <w:p>
            <w:pPr>
              <w:spacing w:before="86" w:line="187"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73.3</w:t>
            </w:r>
          </w:p>
        </w:tc>
        <w:tc>
          <w:tcPr>
            <w:tcW w:w="708" w:type="dxa"/>
            <w:vAlign w:val="top"/>
          </w:tcPr>
          <w:p>
            <w:pPr>
              <w:spacing w:before="90"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+18.3</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1" w:line="187" w:lineRule="auto"/>
              <w:ind w:left="41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48" w:type="dxa"/>
            <w:vAlign w:val="top"/>
          </w:tcPr>
          <w:p>
            <w:pPr>
              <w:pStyle w:val="6"/>
              <w:spacing w:before="52" w:line="223" w:lineRule="auto"/>
              <w:ind w:left="416"/>
            </w:pPr>
            <w:r>
              <w:rPr>
                <w:spacing w:val="-2"/>
              </w:rPr>
              <w:t>昼间</w:t>
            </w:r>
          </w:p>
        </w:tc>
        <w:tc>
          <w:tcPr>
            <w:tcW w:w="895" w:type="dxa"/>
            <w:vAlign w:val="top"/>
          </w:tcPr>
          <w:p>
            <w:pPr>
              <w:spacing w:before="90"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92" w:type="dxa"/>
            <w:vAlign w:val="top"/>
          </w:tcPr>
          <w:p>
            <w:pPr>
              <w:spacing w:before="90"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0"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64.2</w:t>
            </w:r>
          </w:p>
        </w:tc>
        <w:tc>
          <w:tcPr>
            <w:tcW w:w="771" w:type="dxa"/>
            <w:vAlign w:val="top"/>
          </w:tcPr>
          <w:p>
            <w:pPr>
              <w:spacing w:before="90"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751" w:type="dxa"/>
            <w:vAlign w:val="top"/>
          </w:tcPr>
          <w:p>
            <w:pPr>
              <w:spacing w:before="90"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67.5</w:t>
            </w:r>
          </w:p>
        </w:tc>
        <w:tc>
          <w:tcPr>
            <w:tcW w:w="768" w:type="dxa"/>
            <w:vAlign w:val="top"/>
          </w:tcPr>
          <w:p>
            <w:pPr>
              <w:spacing w:before="93" w:line="184"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w:t>
            </w:r>
          </w:p>
        </w:tc>
        <w:tc>
          <w:tcPr>
            <w:tcW w:w="753" w:type="dxa"/>
            <w:vAlign w:val="top"/>
          </w:tcPr>
          <w:p>
            <w:pPr>
              <w:spacing w:before="86" w:line="187"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71.7</w:t>
            </w:r>
          </w:p>
        </w:tc>
        <w:tc>
          <w:tcPr>
            <w:tcW w:w="708" w:type="dxa"/>
            <w:vAlign w:val="top"/>
          </w:tcPr>
          <w:p>
            <w:pPr>
              <w:spacing w:before="90"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+11.7</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1" w:line="221" w:lineRule="auto"/>
              <w:ind w:left="421"/>
            </w:pPr>
            <w:r>
              <w:rPr>
                <w:spacing w:val="-3"/>
              </w:rPr>
              <w:t>夜间</w:t>
            </w:r>
          </w:p>
        </w:tc>
        <w:tc>
          <w:tcPr>
            <w:tcW w:w="895" w:type="dxa"/>
            <w:vAlign w:val="top"/>
          </w:tcPr>
          <w:p>
            <w:pPr>
              <w:spacing w:before="90"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92" w:type="dxa"/>
            <w:vAlign w:val="top"/>
          </w:tcPr>
          <w:p>
            <w:pPr>
              <w:spacing w:before="91"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0"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58.8</w:t>
            </w:r>
          </w:p>
        </w:tc>
        <w:tc>
          <w:tcPr>
            <w:tcW w:w="771" w:type="dxa"/>
            <w:vAlign w:val="top"/>
          </w:tcPr>
          <w:p>
            <w:pPr>
              <w:spacing w:before="90"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+8.8</w:t>
            </w:r>
          </w:p>
        </w:tc>
        <w:tc>
          <w:tcPr>
            <w:tcW w:w="751" w:type="dxa"/>
            <w:vAlign w:val="top"/>
          </w:tcPr>
          <w:p>
            <w:pPr>
              <w:spacing w:before="90"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61.7</w:t>
            </w:r>
          </w:p>
        </w:tc>
        <w:tc>
          <w:tcPr>
            <w:tcW w:w="768" w:type="dxa"/>
            <w:vAlign w:val="top"/>
          </w:tcPr>
          <w:p>
            <w:pPr>
              <w:spacing w:before="90"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+11.7</w:t>
            </w:r>
          </w:p>
        </w:tc>
        <w:tc>
          <w:tcPr>
            <w:tcW w:w="753" w:type="dxa"/>
            <w:vAlign w:val="top"/>
          </w:tcPr>
          <w:p>
            <w:pPr>
              <w:spacing w:before="86"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62.6</w:t>
            </w:r>
          </w:p>
        </w:tc>
        <w:tc>
          <w:tcPr>
            <w:tcW w:w="708" w:type="dxa"/>
            <w:vAlign w:val="top"/>
          </w:tcPr>
          <w:p>
            <w:pPr>
              <w:spacing w:before="90"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+12.6</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5" w:line="223" w:lineRule="auto"/>
              <w:ind w:left="416"/>
            </w:pPr>
            <w:r>
              <w:rPr>
                <w:spacing w:val="-2"/>
              </w:rPr>
              <w:t>昼间</w:t>
            </w:r>
          </w:p>
        </w:tc>
        <w:tc>
          <w:tcPr>
            <w:tcW w:w="895" w:type="dxa"/>
            <w:vAlign w:val="top"/>
          </w:tcPr>
          <w:p>
            <w:pPr>
              <w:spacing w:before="93"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92" w:type="dxa"/>
            <w:vAlign w:val="top"/>
          </w:tcPr>
          <w:p>
            <w:pPr>
              <w:spacing w:before="93"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1"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68.0</w:t>
            </w:r>
          </w:p>
        </w:tc>
        <w:tc>
          <w:tcPr>
            <w:tcW w:w="771" w:type="dxa"/>
            <w:vAlign w:val="top"/>
          </w:tcPr>
          <w:p>
            <w:pPr>
              <w:spacing w:before="9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w:t>
            </w:r>
          </w:p>
        </w:tc>
        <w:tc>
          <w:tcPr>
            <w:tcW w:w="751" w:type="dxa"/>
            <w:vAlign w:val="top"/>
          </w:tcPr>
          <w:p>
            <w:pPr>
              <w:spacing w:before="91"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71.2</w:t>
            </w:r>
          </w:p>
        </w:tc>
        <w:tc>
          <w:tcPr>
            <w:tcW w:w="768" w:type="dxa"/>
            <w:vAlign w:val="top"/>
          </w:tcPr>
          <w:p>
            <w:pPr>
              <w:spacing w:before="91"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+11.2</w:t>
            </w:r>
          </w:p>
        </w:tc>
        <w:tc>
          <w:tcPr>
            <w:tcW w:w="753" w:type="dxa"/>
            <w:vAlign w:val="top"/>
          </w:tcPr>
          <w:p>
            <w:pPr>
              <w:spacing w:before="86" w:line="187"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75.6</w:t>
            </w:r>
          </w:p>
        </w:tc>
        <w:tc>
          <w:tcPr>
            <w:tcW w:w="708" w:type="dxa"/>
            <w:vAlign w:val="top"/>
          </w:tcPr>
          <w:p>
            <w:pPr>
              <w:spacing w:before="91"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+15.6</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55" w:type="dxa"/>
            <w:vMerge w:val="continue"/>
            <w:tcBorders>
              <w:top w:val="nil"/>
            </w:tcBorders>
            <w:vAlign w:val="top"/>
          </w:tcPr>
          <w:p>
            <w:pPr>
              <w:rPr>
                <w:rFonts w:ascii="Arial"/>
                <w:sz w:val="21"/>
              </w:rPr>
            </w:pPr>
          </w:p>
        </w:tc>
        <w:tc>
          <w:tcPr>
            <w:tcW w:w="1310" w:type="dxa"/>
            <w:vMerge w:val="continue"/>
            <w:tcBorders>
              <w:top w:val="nil"/>
            </w:tcBorders>
            <w:vAlign w:val="top"/>
          </w:tcPr>
          <w:p>
            <w:pPr>
              <w:rPr>
                <w:rFonts w:ascii="Arial"/>
                <w:sz w:val="21"/>
              </w:rPr>
            </w:pPr>
          </w:p>
        </w:tc>
        <w:tc>
          <w:tcPr>
            <w:tcW w:w="1730" w:type="dxa"/>
            <w:vMerge w:val="continue"/>
            <w:tcBorders>
              <w:top w:val="nil"/>
              <w:right w:val="single" w:color="000000" w:sz="4" w:space="0"/>
            </w:tcBorders>
            <w:vAlign w:val="top"/>
          </w:tcPr>
          <w:p>
            <w:pPr>
              <w:rPr>
                <w:rFonts w:ascii="Arial"/>
                <w:sz w:val="21"/>
              </w:rPr>
            </w:pPr>
          </w:p>
        </w:tc>
        <w:tc>
          <w:tcPr>
            <w:tcW w:w="1188" w:type="dxa"/>
            <w:vMerge w:val="continue"/>
            <w:tcBorders>
              <w:top w:val="nil"/>
              <w:left w:val="single" w:color="000000" w:sz="4" w:space="0"/>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248" w:type="dxa"/>
            <w:vAlign w:val="top"/>
          </w:tcPr>
          <w:p>
            <w:pPr>
              <w:pStyle w:val="6"/>
              <w:spacing w:before="55" w:line="221" w:lineRule="auto"/>
              <w:ind w:left="421"/>
            </w:pPr>
            <w:r>
              <w:rPr>
                <w:spacing w:val="-3"/>
              </w:rPr>
              <w:t>夜间</w:t>
            </w:r>
          </w:p>
        </w:tc>
        <w:tc>
          <w:tcPr>
            <w:tcW w:w="895" w:type="dxa"/>
            <w:vAlign w:val="top"/>
          </w:tcPr>
          <w:p>
            <w:pPr>
              <w:spacing w:before="94"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92" w:type="dxa"/>
            <w:vAlign w:val="top"/>
          </w:tcPr>
          <w:p>
            <w:pPr>
              <w:spacing w:before="94"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2"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62.6</w:t>
            </w:r>
          </w:p>
        </w:tc>
        <w:tc>
          <w:tcPr>
            <w:tcW w:w="771" w:type="dxa"/>
            <w:vAlign w:val="top"/>
          </w:tcPr>
          <w:p>
            <w:pPr>
              <w:spacing w:before="92"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+12.6</w:t>
            </w:r>
          </w:p>
        </w:tc>
        <w:tc>
          <w:tcPr>
            <w:tcW w:w="751"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65.5</w:t>
            </w:r>
          </w:p>
        </w:tc>
        <w:tc>
          <w:tcPr>
            <w:tcW w:w="768" w:type="dxa"/>
            <w:vAlign w:val="top"/>
          </w:tcPr>
          <w:p>
            <w:pPr>
              <w:spacing w:before="92"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+15.5</w:t>
            </w:r>
          </w:p>
        </w:tc>
        <w:tc>
          <w:tcPr>
            <w:tcW w:w="753" w:type="dxa"/>
            <w:vAlign w:val="top"/>
          </w:tcPr>
          <w:p>
            <w:pPr>
              <w:spacing w:before="87"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66.4</w:t>
            </w:r>
          </w:p>
        </w:tc>
        <w:tc>
          <w:tcPr>
            <w:tcW w:w="708" w:type="dxa"/>
            <w:vAlign w:val="top"/>
          </w:tcPr>
          <w:p>
            <w:pPr>
              <w:spacing w:before="92"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+16.4</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restart"/>
            <w:tcBorders>
              <w:bottom w:val="nil"/>
            </w:tcBorders>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60" w:line="184" w:lineRule="auto"/>
              <w:ind w:left="23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10"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31" w:lineRule="auto"/>
              <w:ind w:left="474" w:right="129" w:hanging="343"/>
              <w:rPr>
                <w:rFonts w:ascii="Times New Roman" w:hAnsi="Times New Roman" w:eastAsia="Times New Roman" w:cs="Times New Roman"/>
              </w:rPr>
            </w:pPr>
            <w:r>
              <w:rPr>
                <w:spacing w:val="-2"/>
              </w:rPr>
              <w:t>规划保护目</w:t>
            </w:r>
            <w:r>
              <w:rPr>
                <w:spacing w:val="3"/>
              </w:rPr>
              <w:t xml:space="preserve"> </w:t>
            </w:r>
            <w:r>
              <w:rPr>
                <w:spacing w:val="-4"/>
              </w:rPr>
              <w:t>标</w:t>
            </w:r>
            <w:r>
              <w:rPr>
                <w:spacing w:val="-43"/>
              </w:rPr>
              <w:t xml:space="preserve"> </w:t>
            </w:r>
            <w:r>
              <w:rPr>
                <w:rFonts w:ascii="Times New Roman" w:hAnsi="Times New Roman" w:eastAsia="Times New Roman" w:cs="Times New Roman"/>
                <w:spacing w:val="-4"/>
              </w:rPr>
              <w:t>5</w:t>
            </w:r>
          </w:p>
        </w:tc>
        <w:tc>
          <w:tcPr>
            <w:tcW w:w="1730" w:type="dxa"/>
            <w:vMerge w:val="restart"/>
            <w:tcBorders>
              <w:bottom w:val="nil"/>
              <w:right w:val="single" w:color="000000" w:sz="4"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61" w:line="213" w:lineRule="auto"/>
              <w:ind w:left="600" w:right="148" w:hanging="4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L2K0+000~L2K</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
                <w:sz w:val="21"/>
                <w:szCs w:val="21"/>
              </w:rPr>
              <w:t>0+070</w:t>
            </w:r>
          </w:p>
        </w:tc>
        <w:tc>
          <w:tcPr>
            <w:tcW w:w="1188" w:type="dxa"/>
            <w:vMerge w:val="restart"/>
            <w:tcBorders>
              <w:left w:val="single" w:color="000000" w:sz="4" w:space="0"/>
              <w:bottom w:val="nil"/>
            </w:tcBorders>
            <w:vAlign w:val="top"/>
          </w:tcPr>
          <w:p>
            <w:pPr>
              <w:spacing w:line="471" w:lineRule="auto"/>
              <w:rPr>
                <w:rFonts w:ascii="Arial"/>
                <w:sz w:val="21"/>
              </w:rPr>
            </w:pPr>
          </w:p>
          <w:p>
            <w:pPr>
              <w:pStyle w:val="6"/>
              <w:spacing w:before="68" w:line="221" w:lineRule="auto"/>
              <w:ind w:left="391"/>
            </w:pPr>
            <w:r>
              <w:rPr>
                <w:spacing w:val="-3"/>
              </w:rPr>
              <w:t>紧邻</w:t>
            </w:r>
          </w:p>
        </w:tc>
        <w:tc>
          <w:tcPr>
            <w:tcW w:w="933"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before="60" w:line="187"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4a</w:t>
            </w:r>
          </w:p>
        </w:tc>
        <w:tc>
          <w:tcPr>
            <w:tcW w:w="1248" w:type="dxa"/>
            <w:vAlign w:val="top"/>
          </w:tcPr>
          <w:p>
            <w:pPr>
              <w:pStyle w:val="6"/>
              <w:spacing w:before="54" w:line="223" w:lineRule="auto"/>
              <w:ind w:left="416"/>
            </w:pPr>
            <w:r>
              <w:rPr>
                <w:spacing w:val="-2"/>
              </w:rPr>
              <w:t>昼间</w:t>
            </w:r>
          </w:p>
        </w:tc>
        <w:tc>
          <w:tcPr>
            <w:tcW w:w="895" w:type="dxa"/>
            <w:vAlign w:val="top"/>
          </w:tcPr>
          <w:p>
            <w:pPr>
              <w:spacing w:before="92"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92" w:type="dxa"/>
            <w:vAlign w:val="top"/>
          </w:tcPr>
          <w:p>
            <w:pPr>
              <w:spacing w:before="92"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2"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78.4</w:t>
            </w:r>
          </w:p>
        </w:tc>
        <w:tc>
          <w:tcPr>
            <w:tcW w:w="771" w:type="dxa"/>
            <w:vAlign w:val="top"/>
          </w:tcPr>
          <w:p>
            <w:pPr>
              <w:spacing w:before="92"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+8.4</w:t>
            </w:r>
          </w:p>
        </w:tc>
        <w:tc>
          <w:tcPr>
            <w:tcW w:w="751" w:type="dxa"/>
            <w:vAlign w:val="top"/>
          </w:tcPr>
          <w:p>
            <w:pPr>
              <w:spacing w:before="92"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81.5</w:t>
            </w:r>
          </w:p>
        </w:tc>
        <w:tc>
          <w:tcPr>
            <w:tcW w:w="768" w:type="dxa"/>
            <w:vAlign w:val="top"/>
          </w:tcPr>
          <w:p>
            <w:pPr>
              <w:spacing w:before="92"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+11.5</w:t>
            </w:r>
          </w:p>
        </w:tc>
        <w:tc>
          <w:tcPr>
            <w:tcW w:w="753" w:type="dxa"/>
            <w:vAlign w:val="top"/>
          </w:tcPr>
          <w:p>
            <w:pPr>
              <w:spacing w:before="87" w:line="187" w:lineRule="auto"/>
              <w:ind w:left="19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84.1</w:t>
            </w:r>
          </w:p>
        </w:tc>
        <w:tc>
          <w:tcPr>
            <w:tcW w:w="708" w:type="dxa"/>
            <w:vAlign w:val="top"/>
          </w:tcPr>
          <w:p>
            <w:pPr>
              <w:spacing w:before="92"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+14.1</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3" w:line="221" w:lineRule="auto"/>
              <w:ind w:left="421"/>
            </w:pPr>
            <w:r>
              <w:rPr>
                <w:spacing w:val="-3"/>
              </w:rPr>
              <w:t>夜间</w:t>
            </w:r>
          </w:p>
        </w:tc>
        <w:tc>
          <w:tcPr>
            <w:tcW w:w="895" w:type="dxa"/>
            <w:vAlign w:val="top"/>
          </w:tcPr>
          <w:p>
            <w:pPr>
              <w:spacing w:before="95" w:line="184"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92" w:type="dxa"/>
            <w:vAlign w:val="top"/>
          </w:tcPr>
          <w:p>
            <w:pPr>
              <w:spacing w:before="92"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2"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73.0</w:t>
            </w:r>
          </w:p>
        </w:tc>
        <w:tc>
          <w:tcPr>
            <w:tcW w:w="771" w:type="dxa"/>
            <w:vAlign w:val="top"/>
          </w:tcPr>
          <w:p>
            <w:pPr>
              <w:spacing w:before="92"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w:t>
            </w:r>
          </w:p>
        </w:tc>
        <w:tc>
          <w:tcPr>
            <w:tcW w:w="751" w:type="dxa"/>
            <w:vAlign w:val="top"/>
          </w:tcPr>
          <w:p>
            <w:pPr>
              <w:spacing w:before="92"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76.0</w:t>
            </w:r>
          </w:p>
        </w:tc>
        <w:tc>
          <w:tcPr>
            <w:tcW w:w="768" w:type="dxa"/>
            <w:vAlign w:val="top"/>
          </w:tcPr>
          <w:p>
            <w:pPr>
              <w:spacing w:before="92"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753" w:type="dxa"/>
            <w:vAlign w:val="top"/>
          </w:tcPr>
          <w:p>
            <w:pPr>
              <w:spacing w:before="88" w:line="187"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76.9</w:t>
            </w:r>
          </w:p>
        </w:tc>
        <w:tc>
          <w:tcPr>
            <w:tcW w:w="708" w:type="dxa"/>
            <w:vAlign w:val="top"/>
          </w:tcPr>
          <w:p>
            <w:pPr>
              <w:spacing w:before="92"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+21.9</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7" w:line="223" w:lineRule="auto"/>
              <w:ind w:left="416"/>
            </w:pPr>
            <w:r>
              <w:rPr>
                <w:spacing w:val="-2"/>
              </w:rPr>
              <w:t>昼间</w:t>
            </w:r>
          </w:p>
        </w:tc>
        <w:tc>
          <w:tcPr>
            <w:tcW w:w="895" w:type="dxa"/>
            <w:vAlign w:val="top"/>
          </w:tcPr>
          <w:p>
            <w:pPr>
              <w:spacing w:before="95"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92" w:type="dxa"/>
            <w:vAlign w:val="top"/>
          </w:tcPr>
          <w:p>
            <w:pPr>
              <w:spacing w:before="95"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5" w:line="184"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77.5</w:t>
            </w:r>
          </w:p>
        </w:tc>
        <w:tc>
          <w:tcPr>
            <w:tcW w:w="771" w:type="dxa"/>
            <w:vAlign w:val="top"/>
          </w:tcPr>
          <w:p>
            <w:pPr>
              <w:spacing w:before="95" w:line="184"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w:t>
            </w:r>
          </w:p>
        </w:tc>
        <w:tc>
          <w:tcPr>
            <w:tcW w:w="751" w:type="dxa"/>
            <w:vAlign w:val="top"/>
          </w:tcPr>
          <w:p>
            <w:pPr>
              <w:spacing w:before="92" w:line="187" w:lineRule="auto"/>
              <w:ind w:left="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80.6</w:t>
            </w:r>
          </w:p>
        </w:tc>
        <w:tc>
          <w:tcPr>
            <w:tcW w:w="768" w:type="dxa"/>
            <w:vAlign w:val="top"/>
          </w:tcPr>
          <w:p>
            <w:pPr>
              <w:spacing w:before="92"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+10.6</w:t>
            </w:r>
          </w:p>
        </w:tc>
        <w:tc>
          <w:tcPr>
            <w:tcW w:w="753" w:type="dxa"/>
            <w:vAlign w:val="top"/>
          </w:tcPr>
          <w:p>
            <w:pPr>
              <w:spacing w:before="88" w:line="187" w:lineRule="auto"/>
              <w:ind w:left="19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83.6</w:t>
            </w:r>
          </w:p>
        </w:tc>
        <w:tc>
          <w:tcPr>
            <w:tcW w:w="708" w:type="dxa"/>
            <w:vAlign w:val="top"/>
          </w:tcPr>
          <w:p>
            <w:pPr>
              <w:spacing w:before="92"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+13.6</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248" w:type="dxa"/>
            <w:vAlign w:val="top"/>
          </w:tcPr>
          <w:p>
            <w:pPr>
              <w:pStyle w:val="6"/>
              <w:spacing w:before="56" w:line="221" w:lineRule="auto"/>
              <w:ind w:left="421"/>
            </w:pPr>
            <w:r>
              <w:rPr>
                <w:spacing w:val="-3"/>
              </w:rPr>
              <w:t>夜间</w:t>
            </w:r>
          </w:p>
        </w:tc>
        <w:tc>
          <w:tcPr>
            <w:tcW w:w="895" w:type="dxa"/>
            <w:vAlign w:val="top"/>
          </w:tcPr>
          <w:p>
            <w:pPr>
              <w:spacing w:before="98" w:line="184"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92" w:type="dxa"/>
            <w:vAlign w:val="top"/>
          </w:tcPr>
          <w:p>
            <w:pPr>
              <w:spacing w:before="95"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3"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72.1</w:t>
            </w:r>
          </w:p>
        </w:tc>
        <w:tc>
          <w:tcPr>
            <w:tcW w:w="771" w:type="dxa"/>
            <w:vAlign w:val="top"/>
          </w:tcPr>
          <w:p>
            <w:pPr>
              <w:spacing w:before="93"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+17.1</w:t>
            </w:r>
          </w:p>
        </w:tc>
        <w:tc>
          <w:tcPr>
            <w:tcW w:w="751" w:type="dxa"/>
            <w:vAlign w:val="top"/>
          </w:tcPr>
          <w:p>
            <w:pPr>
              <w:spacing w:before="93"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75.1</w:t>
            </w:r>
          </w:p>
        </w:tc>
        <w:tc>
          <w:tcPr>
            <w:tcW w:w="768" w:type="dxa"/>
            <w:vAlign w:val="top"/>
          </w:tcPr>
          <w:p>
            <w:pPr>
              <w:spacing w:before="93"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+20.1</w:t>
            </w:r>
          </w:p>
        </w:tc>
        <w:tc>
          <w:tcPr>
            <w:tcW w:w="753" w:type="dxa"/>
            <w:vAlign w:val="top"/>
          </w:tcPr>
          <w:p>
            <w:pPr>
              <w:spacing w:before="88" w:line="187"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76.0</w:t>
            </w:r>
          </w:p>
        </w:tc>
        <w:tc>
          <w:tcPr>
            <w:tcW w:w="708" w:type="dxa"/>
            <w:vAlign w:val="top"/>
          </w:tcPr>
          <w:p>
            <w:pPr>
              <w:spacing w:before="93"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restart"/>
            <w:tcBorders>
              <w:left w:val="single" w:color="000000" w:sz="4" w:space="0"/>
              <w:bottom w:val="nil"/>
            </w:tcBorders>
            <w:vAlign w:val="top"/>
          </w:tcPr>
          <w:p>
            <w:pPr>
              <w:spacing w:line="259" w:lineRule="auto"/>
              <w:rPr>
                <w:rFonts w:ascii="Arial"/>
                <w:sz w:val="21"/>
              </w:rPr>
            </w:pPr>
          </w:p>
          <w:p>
            <w:pPr>
              <w:spacing w:line="260" w:lineRule="auto"/>
              <w:rPr>
                <w:rFonts w:ascii="Arial"/>
                <w:sz w:val="21"/>
              </w:rPr>
            </w:pPr>
          </w:p>
          <w:p>
            <w:pPr>
              <w:spacing w:before="60" w:line="187"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933"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before="60" w:line="187" w:lineRule="auto"/>
              <w:ind w:left="41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48" w:type="dxa"/>
            <w:vAlign w:val="top"/>
          </w:tcPr>
          <w:p>
            <w:pPr>
              <w:pStyle w:val="6"/>
              <w:spacing w:before="55" w:line="223" w:lineRule="auto"/>
              <w:ind w:left="416"/>
            </w:pPr>
            <w:r>
              <w:rPr>
                <w:spacing w:val="-2"/>
              </w:rPr>
              <w:t>昼间</w:t>
            </w:r>
          </w:p>
        </w:tc>
        <w:tc>
          <w:tcPr>
            <w:tcW w:w="895" w:type="dxa"/>
            <w:vAlign w:val="top"/>
          </w:tcPr>
          <w:p>
            <w:pPr>
              <w:spacing w:before="93"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92" w:type="dxa"/>
            <w:vAlign w:val="top"/>
          </w:tcPr>
          <w:p>
            <w:pPr>
              <w:spacing w:before="93"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3"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68.4</w:t>
            </w:r>
          </w:p>
        </w:tc>
        <w:tc>
          <w:tcPr>
            <w:tcW w:w="771" w:type="dxa"/>
            <w:vAlign w:val="top"/>
          </w:tcPr>
          <w:p>
            <w:pPr>
              <w:spacing w:before="93"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+8.4</w:t>
            </w:r>
          </w:p>
        </w:tc>
        <w:tc>
          <w:tcPr>
            <w:tcW w:w="751" w:type="dxa"/>
            <w:vAlign w:val="top"/>
          </w:tcPr>
          <w:p>
            <w:pPr>
              <w:spacing w:before="93"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71.5</w:t>
            </w:r>
          </w:p>
        </w:tc>
        <w:tc>
          <w:tcPr>
            <w:tcW w:w="768" w:type="dxa"/>
            <w:vAlign w:val="top"/>
          </w:tcPr>
          <w:p>
            <w:pPr>
              <w:spacing w:before="93"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+11.5</w:t>
            </w:r>
          </w:p>
        </w:tc>
        <w:tc>
          <w:tcPr>
            <w:tcW w:w="753" w:type="dxa"/>
            <w:vAlign w:val="top"/>
          </w:tcPr>
          <w:p>
            <w:pPr>
              <w:spacing w:before="88" w:line="187"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76.5</w:t>
            </w:r>
          </w:p>
        </w:tc>
        <w:tc>
          <w:tcPr>
            <w:tcW w:w="708" w:type="dxa"/>
            <w:vAlign w:val="top"/>
          </w:tcPr>
          <w:p>
            <w:pPr>
              <w:spacing w:before="93"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+16.5</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4" w:line="221" w:lineRule="auto"/>
              <w:ind w:left="421"/>
            </w:pPr>
            <w:r>
              <w:rPr>
                <w:spacing w:val="-3"/>
              </w:rPr>
              <w:t>夜间</w:t>
            </w:r>
          </w:p>
        </w:tc>
        <w:tc>
          <w:tcPr>
            <w:tcW w:w="895" w:type="dxa"/>
            <w:vAlign w:val="top"/>
          </w:tcPr>
          <w:p>
            <w:pPr>
              <w:spacing w:before="93"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92" w:type="dxa"/>
            <w:vAlign w:val="top"/>
          </w:tcPr>
          <w:p>
            <w:pPr>
              <w:spacing w:before="93"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3"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63.0</w:t>
            </w:r>
          </w:p>
        </w:tc>
        <w:tc>
          <w:tcPr>
            <w:tcW w:w="771" w:type="dxa"/>
            <w:vAlign w:val="top"/>
          </w:tcPr>
          <w:p>
            <w:pPr>
              <w:spacing w:before="93"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w:t>
            </w:r>
          </w:p>
        </w:tc>
        <w:tc>
          <w:tcPr>
            <w:tcW w:w="751" w:type="dxa"/>
            <w:vAlign w:val="top"/>
          </w:tcPr>
          <w:p>
            <w:pPr>
              <w:spacing w:before="9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66.0</w:t>
            </w:r>
          </w:p>
        </w:tc>
        <w:tc>
          <w:tcPr>
            <w:tcW w:w="768" w:type="dxa"/>
            <w:vAlign w:val="top"/>
          </w:tcPr>
          <w:p>
            <w:pPr>
              <w:spacing w:before="93"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w:t>
            </w:r>
          </w:p>
        </w:tc>
        <w:tc>
          <w:tcPr>
            <w:tcW w:w="753" w:type="dxa"/>
            <w:vAlign w:val="top"/>
          </w:tcPr>
          <w:p>
            <w:pPr>
              <w:spacing w:before="89"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66.9</w:t>
            </w:r>
          </w:p>
        </w:tc>
        <w:tc>
          <w:tcPr>
            <w:tcW w:w="708" w:type="dxa"/>
            <w:vAlign w:val="top"/>
          </w:tcPr>
          <w:p>
            <w:pPr>
              <w:spacing w:before="93"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+16.9</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7" w:line="223" w:lineRule="auto"/>
              <w:ind w:left="416"/>
            </w:pPr>
            <w:r>
              <w:rPr>
                <w:spacing w:val="-2"/>
              </w:rPr>
              <w:t>昼间</w:t>
            </w:r>
          </w:p>
        </w:tc>
        <w:tc>
          <w:tcPr>
            <w:tcW w:w="895" w:type="dxa"/>
            <w:vAlign w:val="top"/>
          </w:tcPr>
          <w:p>
            <w:pPr>
              <w:spacing w:before="96"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92" w:type="dxa"/>
            <w:vAlign w:val="top"/>
          </w:tcPr>
          <w:p>
            <w:pPr>
              <w:spacing w:before="96"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3"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70.7</w:t>
            </w:r>
          </w:p>
        </w:tc>
        <w:tc>
          <w:tcPr>
            <w:tcW w:w="771" w:type="dxa"/>
            <w:vAlign w:val="top"/>
          </w:tcPr>
          <w:p>
            <w:pPr>
              <w:spacing w:before="93"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+10.7</w:t>
            </w:r>
          </w:p>
        </w:tc>
        <w:tc>
          <w:tcPr>
            <w:tcW w:w="751" w:type="dxa"/>
            <w:vAlign w:val="top"/>
          </w:tcPr>
          <w:p>
            <w:pPr>
              <w:spacing w:before="93"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73.9</w:t>
            </w:r>
          </w:p>
        </w:tc>
        <w:tc>
          <w:tcPr>
            <w:tcW w:w="768" w:type="dxa"/>
            <w:vAlign w:val="top"/>
          </w:tcPr>
          <w:p>
            <w:pPr>
              <w:spacing w:before="93"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+13.9</w:t>
            </w:r>
          </w:p>
        </w:tc>
        <w:tc>
          <w:tcPr>
            <w:tcW w:w="753" w:type="dxa"/>
            <w:vAlign w:val="top"/>
          </w:tcPr>
          <w:p>
            <w:pPr>
              <w:spacing w:before="89" w:line="187"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78.9</w:t>
            </w:r>
          </w:p>
        </w:tc>
        <w:tc>
          <w:tcPr>
            <w:tcW w:w="708" w:type="dxa"/>
            <w:vAlign w:val="top"/>
          </w:tcPr>
          <w:p>
            <w:pPr>
              <w:spacing w:before="93"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+18.9</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55" w:type="dxa"/>
            <w:vMerge w:val="continue"/>
            <w:tcBorders>
              <w:top w:val="nil"/>
            </w:tcBorders>
            <w:vAlign w:val="top"/>
          </w:tcPr>
          <w:p>
            <w:pPr>
              <w:rPr>
                <w:rFonts w:ascii="Arial"/>
                <w:sz w:val="21"/>
              </w:rPr>
            </w:pPr>
          </w:p>
        </w:tc>
        <w:tc>
          <w:tcPr>
            <w:tcW w:w="1310" w:type="dxa"/>
            <w:vMerge w:val="continue"/>
            <w:tcBorders>
              <w:top w:val="nil"/>
            </w:tcBorders>
            <w:vAlign w:val="top"/>
          </w:tcPr>
          <w:p>
            <w:pPr>
              <w:rPr>
                <w:rFonts w:ascii="Arial"/>
                <w:sz w:val="21"/>
              </w:rPr>
            </w:pPr>
          </w:p>
        </w:tc>
        <w:tc>
          <w:tcPr>
            <w:tcW w:w="1730" w:type="dxa"/>
            <w:vMerge w:val="continue"/>
            <w:tcBorders>
              <w:top w:val="nil"/>
              <w:right w:val="single" w:color="000000" w:sz="4" w:space="0"/>
            </w:tcBorders>
            <w:vAlign w:val="top"/>
          </w:tcPr>
          <w:p>
            <w:pPr>
              <w:rPr>
                <w:rFonts w:ascii="Arial"/>
                <w:sz w:val="21"/>
              </w:rPr>
            </w:pPr>
          </w:p>
        </w:tc>
        <w:tc>
          <w:tcPr>
            <w:tcW w:w="1188" w:type="dxa"/>
            <w:vMerge w:val="continue"/>
            <w:tcBorders>
              <w:top w:val="nil"/>
              <w:left w:val="single" w:color="000000" w:sz="4" w:space="0"/>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248" w:type="dxa"/>
            <w:vAlign w:val="top"/>
          </w:tcPr>
          <w:p>
            <w:pPr>
              <w:pStyle w:val="6"/>
              <w:spacing w:before="58" w:line="221" w:lineRule="auto"/>
              <w:ind w:left="421"/>
            </w:pPr>
            <w:r>
              <w:rPr>
                <w:spacing w:val="-3"/>
              </w:rPr>
              <w:t>夜间</w:t>
            </w:r>
          </w:p>
        </w:tc>
        <w:tc>
          <w:tcPr>
            <w:tcW w:w="895" w:type="dxa"/>
            <w:vAlign w:val="top"/>
          </w:tcPr>
          <w:p>
            <w:pPr>
              <w:spacing w:before="97"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92" w:type="dxa"/>
            <w:vAlign w:val="top"/>
          </w:tcPr>
          <w:p>
            <w:pPr>
              <w:spacing w:before="97"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4"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65.3</w:t>
            </w:r>
          </w:p>
        </w:tc>
        <w:tc>
          <w:tcPr>
            <w:tcW w:w="771" w:type="dxa"/>
            <w:vAlign w:val="top"/>
          </w:tcPr>
          <w:p>
            <w:pPr>
              <w:spacing w:before="94"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+15.3</w:t>
            </w:r>
          </w:p>
        </w:tc>
        <w:tc>
          <w:tcPr>
            <w:tcW w:w="751" w:type="dxa"/>
            <w:vAlign w:val="top"/>
          </w:tcPr>
          <w:p>
            <w:pPr>
              <w:spacing w:before="94"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68.4</w:t>
            </w:r>
          </w:p>
        </w:tc>
        <w:tc>
          <w:tcPr>
            <w:tcW w:w="768" w:type="dxa"/>
            <w:vAlign w:val="top"/>
          </w:tcPr>
          <w:p>
            <w:pPr>
              <w:spacing w:before="94" w:line="187" w:lineRule="auto"/>
              <w:ind w:left="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+18.4</w:t>
            </w:r>
          </w:p>
        </w:tc>
        <w:tc>
          <w:tcPr>
            <w:tcW w:w="753" w:type="dxa"/>
            <w:vAlign w:val="top"/>
          </w:tcPr>
          <w:p>
            <w:pPr>
              <w:spacing w:before="90"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69.2</w:t>
            </w:r>
          </w:p>
        </w:tc>
        <w:tc>
          <w:tcPr>
            <w:tcW w:w="708" w:type="dxa"/>
            <w:vAlign w:val="top"/>
          </w:tcPr>
          <w:p>
            <w:pPr>
              <w:spacing w:before="94"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+19.2</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restart"/>
            <w:tcBorders>
              <w:bottom w:val="nil"/>
            </w:tcBorders>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61" w:line="187" w:lineRule="auto"/>
              <w:ind w:left="229"/>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31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2" w:line="230" w:lineRule="auto"/>
              <w:ind w:left="395" w:right="213" w:hanging="178"/>
              <w:rPr>
                <w:rFonts w:ascii="Times New Roman" w:hAnsi="Times New Roman" w:eastAsia="Times New Roman" w:cs="Times New Roman"/>
                <w:sz w:val="22"/>
                <w:szCs w:val="22"/>
              </w:rPr>
            </w:pPr>
            <w:r>
              <w:rPr>
                <w:spacing w:val="-2"/>
                <w:sz w:val="22"/>
                <w:szCs w:val="22"/>
              </w:rPr>
              <w:t>规划保护</w:t>
            </w:r>
            <w:r>
              <w:rPr>
                <w:sz w:val="22"/>
                <w:szCs w:val="22"/>
              </w:rPr>
              <w:t xml:space="preserve"> </w:t>
            </w:r>
            <w:r>
              <w:rPr>
                <w:spacing w:val="-17"/>
                <w:sz w:val="22"/>
                <w:szCs w:val="22"/>
              </w:rPr>
              <w:t>目标</w:t>
            </w:r>
            <w:r>
              <w:rPr>
                <w:spacing w:val="-45"/>
                <w:sz w:val="22"/>
                <w:szCs w:val="22"/>
              </w:rPr>
              <w:t xml:space="preserve"> </w:t>
            </w:r>
            <w:r>
              <w:rPr>
                <w:rFonts w:ascii="Times New Roman" w:hAnsi="Times New Roman" w:eastAsia="Times New Roman" w:cs="Times New Roman"/>
                <w:spacing w:val="-17"/>
                <w:sz w:val="22"/>
                <w:szCs w:val="22"/>
              </w:rPr>
              <w:t>6</w:t>
            </w:r>
          </w:p>
        </w:tc>
        <w:tc>
          <w:tcPr>
            <w:tcW w:w="1730" w:type="dxa"/>
            <w:vMerge w:val="restart"/>
            <w:tcBorders>
              <w:bottom w:val="nil"/>
              <w:right w:val="single" w:color="000000" w:sz="4" w:space="0"/>
            </w:tcBorders>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63" w:line="187"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L2K0+000</w:t>
            </w:r>
          </w:p>
        </w:tc>
        <w:tc>
          <w:tcPr>
            <w:tcW w:w="1188" w:type="dxa"/>
            <w:vMerge w:val="restart"/>
            <w:tcBorders>
              <w:left w:val="single" w:color="000000" w:sz="4" w:space="0"/>
              <w:bottom w:val="nil"/>
            </w:tcBorders>
            <w:vAlign w:val="top"/>
          </w:tcPr>
          <w:p>
            <w:pPr>
              <w:spacing w:line="327" w:lineRule="auto"/>
              <w:rPr>
                <w:rFonts w:ascii="Arial"/>
                <w:sz w:val="21"/>
              </w:rPr>
            </w:pPr>
          </w:p>
          <w:p>
            <w:pPr>
              <w:pStyle w:val="6"/>
              <w:spacing w:before="72" w:line="230" w:lineRule="auto"/>
              <w:ind w:left="265" w:right="132" w:hanging="133"/>
              <w:rPr>
                <w:sz w:val="22"/>
                <w:szCs w:val="22"/>
              </w:rPr>
            </w:pPr>
            <w:r>
              <w:rPr>
                <w:spacing w:val="-6"/>
                <w:sz w:val="22"/>
                <w:szCs w:val="22"/>
              </w:rPr>
              <w:t>约</w:t>
            </w:r>
            <w:r>
              <w:rPr>
                <w:spacing w:val="-46"/>
                <w:sz w:val="22"/>
                <w:szCs w:val="22"/>
              </w:rPr>
              <w:t xml:space="preserve"> </w:t>
            </w:r>
            <w:r>
              <w:rPr>
                <w:rFonts w:ascii="Times New Roman" w:hAnsi="Times New Roman" w:eastAsia="Times New Roman" w:cs="Times New Roman"/>
                <w:spacing w:val="-6"/>
                <w:sz w:val="22"/>
                <w:szCs w:val="22"/>
              </w:rPr>
              <w:t>70</w:t>
            </w:r>
            <w:r>
              <w:rPr>
                <w:spacing w:val="-6"/>
                <w:sz w:val="22"/>
                <w:szCs w:val="22"/>
              </w:rPr>
              <w:t>（连</w:t>
            </w:r>
            <w:r>
              <w:rPr>
                <w:sz w:val="22"/>
                <w:szCs w:val="22"/>
              </w:rPr>
              <w:t xml:space="preserve"> </w:t>
            </w:r>
            <w:r>
              <w:rPr>
                <w:spacing w:val="-5"/>
                <w:sz w:val="22"/>
                <w:szCs w:val="22"/>
              </w:rPr>
              <w:t>接线）</w:t>
            </w:r>
          </w:p>
        </w:tc>
        <w:tc>
          <w:tcPr>
            <w:tcW w:w="933" w:type="dxa"/>
            <w:vMerge w:val="restart"/>
            <w:tcBorders>
              <w:bottom w:val="nil"/>
            </w:tcBorders>
            <w:vAlign w:val="top"/>
          </w:tcPr>
          <w:p>
            <w:pPr>
              <w:spacing w:line="340" w:lineRule="auto"/>
              <w:rPr>
                <w:rFonts w:ascii="Arial"/>
                <w:sz w:val="21"/>
              </w:rPr>
            </w:pPr>
          </w:p>
          <w:p>
            <w:pPr>
              <w:pStyle w:val="6"/>
              <w:spacing w:before="68" w:line="233" w:lineRule="auto"/>
              <w:ind w:left="259" w:right="151" w:hanging="102"/>
            </w:pPr>
            <w:r>
              <w:rPr>
                <w:rFonts w:ascii="Times New Roman" w:hAnsi="Times New Roman" w:eastAsia="Times New Roman" w:cs="Times New Roman"/>
              </w:rPr>
              <w:t>4a</w:t>
            </w:r>
            <w:r>
              <w:t xml:space="preserve">（国 </w:t>
            </w:r>
            <w:r>
              <w:rPr>
                <w:spacing w:val="-5"/>
              </w:rPr>
              <w:t>道）</w:t>
            </w:r>
          </w:p>
        </w:tc>
        <w:tc>
          <w:tcPr>
            <w:tcW w:w="1248" w:type="dxa"/>
            <w:vAlign w:val="top"/>
          </w:tcPr>
          <w:p>
            <w:pPr>
              <w:pStyle w:val="6"/>
              <w:spacing w:before="56" w:line="223" w:lineRule="auto"/>
              <w:ind w:left="416"/>
            </w:pPr>
            <w:r>
              <w:rPr>
                <w:spacing w:val="-2"/>
              </w:rPr>
              <w:t>昼间</w:t>
            </w:r>
          </w:p>
        </w:tc>
        <w:tc>
          <w:tcPr>
            <w:tcW w:w="895" w:type="dxa"/>
            <w:vAlign w:val="top"/>
          </w:tcPr>
          <w:p>
            <w:pPr>
              <w:spacing w:before="94"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92" w:type="dxa"/>
            <w:vAlign w:val="top"/>
          </w:tcPr>
          <w:p>
            <w:pPr>
              <w:spacing w:before="94"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4"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771" w:type="dxa"/>
            <w:vAlign w:val="top"/>
          </w:tcPr>
          <w:p>
            <w:pPr>
              <w:spacing w:before="90" w:line="219"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4"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62.0</w:t>
            </w:r>
          </w:p>
        </w:tc>
        <w:tc>
          <w:tcPr>
            <w:tcW w:w="768" w:type="dxa"/>
            <w:vAlign w:val="top"/>
          </w:tcPr>
          <w:p>
            <w:pPr>
              <w:spacing w:before="90" w:line="219"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3" w:type="dxa"/>
            <w:vAlign w:val="top"/>
          </w:tcPr>
          <w:p>
            <w:pPr>
              <w:spacing w:before="90"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64.7</w:t>
            </w:r>
          </w:p>
        </w:tc>
        <w:tc>
          <w:tcPr>
            <w:tcW w:w="708" w:type="dxa"/>
            <w:vAlign w:val="top"/>
          </w:tcPr>
          <w:p>
            <w:pPr>
              <w:spacing w:before="90"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5" w:line="221" w:lineRule="auto"/>
              <w:ind w:left="421"/>
            </w:pPr>
            <w:r>
              <w:rPr>
                <w:spacing w:val="-3"/>
              </w:rPr>
              <w:t>夜间</w:t>
            </w:r>
          </w:p>
        </w:tc>
        <w:tc>
          <w:tcPr>
            <w:tcW w:w="895" w:type="dxa"/>
            <w:vAlign w:val="top"/>
          </w:tcPr>
          <w:p>
            <w:pPr>
              <w:spacing w:before="97" w:line="184"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92" w:type="dxa"/>
            <w:vAlign w:val="top"/>
          </w:tcPr>
          <w:p>
            <w:pPr>
              <w:spacing w:before="95"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4"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53.6</w:t>
            </w:r>
          </w:p>
        </w:tc>
        <w:tc>
          <w:tcPr>
            <w:tcW w:w="771" w:type="dxa"/>
            <w:vAlign w:val="top"/>
          </w:tcPr>
          <w:p>
            <w:pPr>
              <w:spacing w:before="91" w:line="218"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4"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55.6</w:t>
            </w:r>
          </w:p>
        </w:tc>
        <w:tc>
          <w:tcPr>
            <w:tcW w:w="768" w:type="dxa"/>
            <w:vAlign w:val="top"/>
          </w:tcPr>
          <w:p>
            <w:pPr>
              <w:spacing w:before="94"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w:t>
            </w:r>
          </w:p>
        </w:tc>
        <w:tc>
          <w:tcPr>
            <w:tcW w:w="753" w:type="dxa"/>
            <w:vAlign w:val="top"/>
          </w:tcPr>
          <w:p>
            <w:pPr>
              <w:spacing w:before="90" w:line="187"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57.0</w:t>
            </w:r>
          </w:p>
        </w:tc>
        <w:tc>
          <w:tcPr>
            <w:tcW w:w="708" w:type="dxa"/>
            <w:vAlign w:val="top"/>
          </w:tcPr>
          <w:p>
            <w:pPr>
              <w:spacing w:before="94"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9" w:line="222" w:lineRule="auto"/>
              <w:ind w:left="416"/>
            </w:pPr>
            <w:r>
              <w:rPr>
                <w:spacing w:val="-2"/>
              </w:rPr>
              <w:t>昼间</w:t>
            </w:r>
          </w:p>
        </w:tc>
        <w:tc>
          <w:tcPr>
            <w:tcW w:w="895" w:type="dxa"/>
            <w:vAlign w:val="top"/>
          </w:tcPr>
          <w:p>
            <w:pPr>
              <w:spacing w:before="97"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92" w:type="dxa"/>
            <w:vAlign w:val="top"/>
          </w:tcPr>
          <w:p>
            <w:pPr>
              <w:spacing w:before="97"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5"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62.4</w:t>
            </w:r>
          </w:p>
        </w:tc>
        <w:tc>
          <w:tcPr>
            <w:tcW w:w="771" w:type="dxa"/>
            <w:vAlign w:val="top"/>
          </w:tcPr>
          <w:p>
            <w:pPr>
              <w:spacing w:before="91" w:line="219"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65.5</w:t>
            </w:r>
          </w:p>
        </w:tc>
        <w:tc>
          <w:tcPr>
            <w:tcW w:w="768" w:type="dxa"/>
            <w:vAlign w:val="top"/>
          </w:tcPr>
          <w:p>
            <w:pPr>
              <w:spacing w:before="91" w:line="219"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3" w:type="dxa"/>
            <w:vAlign w:val="top"/>
          </w:tcPr>
          <w:p>
            <w:pPr>
              <w:spacing w:before="90"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67.6</w:t>
            </w:r>
          </w:p>
        </w:tc>
        <w:tc>
          <w:tcPr>
            <w:tcW w:w="708" w:type="dxa"/>
            <w:vAlign w:val="top"/>
          </w:tcPr>
          <w:p>
            <w:pPr>
              <w:spacing w:before="91"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248" w:type="dxa"/>
            <w:vAlign w:val="top"/>
          </w:tcPr>
          <w:p>
            <w:pPr>
              <w:pStyle w:val="6"/>
              <w:spacing w:before="58" w:line="221" w:lineRule="auto"/>
              <w:ind w:left="421"/>
            </w:pPr>
            <w:r>
              <w:rPr>
                <w:spacing w:val="-3"/>
              </w:rPr>
              <w:t>夜间</w:t>
            </w:r>
          </w:p>
        </w:tc>
        <w:tc>
          <w:tcPr>
            <w:tcW w:w="895" w:type="dxa"/>
            <w:vAlign w:val="top"/>
          </w:tcPr>
          <w:p>
            <w:pPr>
              <w:spacing w:before="100" w:line="184"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892" w:type="dxa"/>
            <w:vAlign w:val="top"/>
          </w:tcPr>
          <w:p>
            <w:pPr>
              <w:spacing w:before="97"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4"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56.9</w:t>
            </w:r>
          </w:p>
        </w:tc>
        <w:tc>
          <w:tcPr>
            <w:tcW w:w="771" w:type="dxa"/>
            <w:vAlign w:val="top"/>
          </w:tcPr>
          <w:p>
            <w:pPr>
              <w:spacing w:before="94"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w:t>
            </w:r>
          </w:p>
        </w:tc>
        <w:tc>
          <w:tcPr>
            <w:tcW w:w="751" w:type="dxa"/>
            <w:vAlign w:val="top"/>
          </w:tcPr>
          <w:p>
            <w:pPr>
              <w:spacing w:before="94"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58.9</w:t>
            </w:r>
          </w:p>
        </w:tc>
        <w:tc>
          <w:tcPr>
            <w:tcW w:w="768" w:type="dxa"/>
            <w:vAlign w:val="top"/>
          </w:tcPr>
          <w:p>
            <w:pPr>
              <w:spacing w:before="94"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w:t>
            </w:r>
          </w:p>
        </w:tc>
        <w:tc>
          <w:tcPr>
            <w:tcW w:w="753" w:type="dxa"/>
            <w:vAlign w:val="top"/>
          </w:tcPr>
          <w:p>
            <w:pPr>
              <w:spacing w:before="90"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60.3</w:t>
            </w:r>
          </w:p>
        </w:tc>
        <w:tc>
          <w:tcPr>
            <w:tcW w:w="708" w:type="dxa"/>
            <w:vAlign w:val="top"/>
          </w:tcPr>
          <w:p>
            <w:pPr>
              <w:spacing w:before="94"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restart"/>
            <w:tcBorders>
              <w:left w:val="single" w:color="000000" w:sz="4" w:space="0"/>
              <w:bottom w:val="nil"/>
            </w:tcBorders>
            <w:vAlign w:val="top"/>
          </w:tcPr>
          <w:p>
            <w:pPr>
              <w:spacing w:line="327" w:lineRule="auto"/>
              <w:rPr>
                <w:rFonts w:ascii="Arial"/>
                <w:sz w:val="21"/>
              </w:rPr>
            </w:pPr>
          </w:p>
          <w:p>
            <w:pPr>
              <w:pStyle w:val="6"/>
              <w:spacing w:before="72" w:line="230" w:lineRule="auto"/>
              <w:ind w:left="265" w:right="132" w:hanging="133"/>
              <w:rPr>
                <w:sz w:val="22"/>
                <w:szCs w:val="22"/>
              </w:rPr>
            </w:pPr>
            <w:r>
              <w:rPr>
                <w:spacing w:val="-6"/>
                <w:sz w:val="22"/>
                <w:szCs w:val="22"/>
              </w:rPr>
              <w:t>约</w:t>
            </w:r>
            <w:r>
              <w:rPr>
                <w:spacing w:val="-46"/>
                <w:sz w:val="22"/>
                <w:szCs w:val="22"/>
              </w:rPr>
              <w:t xml:space="preserve"> </w:t>
            </w:r>
            <w:r>
              <w:rPr>
                <w:rFonts w:ascii="Times New Roman" w:hAnsi="Times New Roman" w:eastAsia="Times New Roman" w:cs="Times New Roman"/>
                <w:spacing w:val="-6"/>
                <w:sz w:val="22"/>
                <w:szCs w:val="22"/>
              </w:rPr>
              <w:t>90</w:t>
            </w:r>
            <w:r>
              <w:rPr>
                <w:spacing w:val="-6"/>
                <w:sz w:val="22"/>
                <w:szCs w:val="22"/>
              </w:rPr>
              <w:t>（连</w:t>
            </w:r>
            <w:r>
              <w:rPr>
                <w:sz w:val="22"/>
                <w:szCs w:val="22"/>
              </w:rPr>
              <w:t xml:space="preserve"> </w:t>
            </w:r>
            <w:r>
              <w:rPr>
                <w:spacing w:val="-5"/>
                <w:sz w:val="22"/>
                <w:szCs w:val="22"/>
              </w:rPr>
              <w:t>接线）</w:t>
            </w:r>
          </w:p>
        </w:tc>
        <w:tc>
          <w:tcPr>
            <w:tcW w:w="933"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before="61" w:line="187" w:lineRule="auto"/>
              <w:ind w:left="41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48" w:type="dxa"/>
            <w:vAlign w:val="top"/>
          </w:tcPr>
          <w:p>
            <w:pPr>
              <w:pStyle w:val="6"/>
              <w:spacing w:before="56" w:line="223" w:lineRule="auto"/>
              <w:ind w:left="416"/>
            </w:pPr>
            <w:r>
              <w:rPr>
                <w:spacing w:val="-2"/>
              </w:rPr>
              <w:t>昼间</w:t>
            </w:r>
          </w:p>
        </w:tc>
        <w:tc>
          <w:tcPr>
            <w:tcW w:w="895" w:type="dxa"/>
            <w:vAlign w:val="top"/>
          </w:tcPr>
          <w:p>
            <w:pPr>
              <w:spacing w:before="94"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92" w:type="dxa"/>
            <w:vAlign w:val="top"/>
          </w:tcPr>
          <w:p>
            <w:pPr>
              <w:spacing w:before="94"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4"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55.6</w:t>
            </w:r>
          </w:p>
        </w:tc>
        <w:tc>
          <w:tcPr>
            <w:tcW w:w="771" w:type="dxa"/>
            <w:vAlign w:val="top"/>
          </w:tcPr>
          <w:p>
            <w:pPr>
              <w:spacing w:before="90" w:line="219"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4"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59.4</w:t>
            </w:r>
          </w:p>
        </w:tc>
        <w:tc>
          <w:tcPr>
            <w:tcW w:w="768" w:type="dxa"/>
            <w:vAlign w:val="top"/>
          </w:tcPr>
          <w:p>
            <w:pPr>
              <w:spacing w:before="90" w:line="219"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3" w:type="dxa"/>
            <w:vAlign w:val="top"/>
          </w:tcPr>
          <w:p>
            <w:pPr>
              <w:spacing w:before="90"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61.4</w:t>
            </w:r>
          </w:p>
        </w:tc>
        <w:tc>
          <w:tcPr>
            <w:tcW w:w="708" w:type="dxa"/>
            <w:vAlign w:val="top"/>
          </w:tcPr>
          <w:p>
            <w:pPr>
              <w:spacing w:before="94"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5" w:line="221" w:lineRule="auto"/>
              <w:ind w:left="421"/>
            </w:pPr>
            <w:r>
              <w:rPr>
                <w:spacing w:val="-3"/>
              </w:rPr>
              <w:t>夜间</w:t>
            </w:r>
          </w:p>
        </w:tc>
        <w:tc>
          <w:tcPr>
            <w:tcW w:w="895" w:type="dxa"/>
            <w:vAlign w:val="top"/>
          </w:tcPr>
          <w:p>
            <w:pPr>
              <w:spacing w:before="94"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92" w:type="dxa"/>
            <w:vAlign w:val="top"/>
          </w:tcPr>
          <w:p>
            <w:pPr>
              <w:spacing w:before="95"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926" w:type="dxa"/>
            <w:vAlign w:val="top"/>
          </w:tcPr>
          <w:p>
            <w:pPr>
              <w:spacing w:before="94"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50.2</w:t>
            </w:r>
          </w:p>
        </w:tc>
        <w:tc>
          <w:tcPr>
            <w:tcW w:w="771" w:type="dxa"/>
            <w:vAlign w:val="top"/>
          </w:tcPr>
          <w:p>
            <w:pPr>
              <w:spacing w:before="94"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w:t>
            </w:r>
          </w:p>
        </w:tc>
        <w:tc>
          <w:tcPr>
            <w:tcW w:w="751" w:type="dxa"/>
            <w:vAlign w:val="top"/>
          </w:tcPr>
          <w:p>
            <w:pPr>
              <w:spacing w:before="94"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53.0</w:t>
            </w:r>
          </w:p>
        </w:tc>
        <w:tc>
          <w:tcPr>
            <w:tcW w:w="768" w:type="dxa"/>
            <w:vAlign w:val="top"/>
          </w:tcPr>
          <w:p>
            <w:pPr>
              <w:spacing w:before="94"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w:t>
            </w:r>
          </w:p>
        </w:tc>
        <w:tc>
          <w:tcPr>
            <w:tcW w:w="753" w:type="dxa"/>
            <w:vAlign w:val="top"/>
          </w:tcPr>
          <w:p>
            <w:pPr>
              <w:spacing w:before="90" w:line="187"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54.0</w:t>
            </w:r>
          </w:p>
        </w:tc>
        <w:tc>
          <w:tcPr>
            <w:tcW w:w="708" w:type="dxa"/>
            <w:vAlign w:val="top"/>
          </w:tcPr>
          <w:p>
            <w:pPr>
              <w:spacing w:before="94"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555" w:type="dxa"/>
            <w:vMerge w:val="continue"/>
            <w:tcBorders>
              <w:top w:val="nil"/>
              <w:bottom w:val="nil"/>
            </w:tcBorders>
            <w:vAlign w:val="top"/>
          </w:tcPr>
          <w:p>
            <w:pPr>
              <w:rPr>
                <w:rFonts w:ascii="Arial"/>
                <w:sz w:val="21"/>
              </w:rPr>
            </w:pPr>
          </w:p>
        </w:tc>
        <w:tc>
          <w:tcPr>
            <w:tcW w:w="1310" w:type="dxa"/>
            <w:vMerge w:val="continue"/>
            <w:tcBorders>
              <w:top w:val="nil"/>
              <w:bottom w:val="nil"/>
            </w:tcBorders>
            <w:vAlign w:val="top"/>
          </w:tcPr>
          <w:p>
            <w:pPr>
              <w:rPr>
                <w:rFonts w:ascii="Arial"/>
                <w:sz w:val="21"/>
              </w:rPr>
            </w:pPr>
          </w:p>
        </w:tc>
        <w:tc>
          <w:tcPr>
            <w:tcW w:w="1730" w:type="dxa"/>
            <w:vMerge w:val="continue"/>
            <w:tcBorders>
              <w:top w:val="nil"/>
              <w:bottom w:val="nil"/>
              <w:right w:val="single" w:color="000000" w:sz="4" w:space="0"/>
            </w:tcBorders>
            <w:vAlign w:val="top"/>
          </w:tcPr>
          <w:p>
            <w:pPr>
              <w:rPr>
                <w:rFonts w:ascii="Arial"/>
                <w:sz w:val="21"/>
              </w:rPr>
            </w:pPr>
          </w:p>
        </w:tc>
        <w:tc>
          <w:tcPr>
            <w:tcW w:w="1188" w:type="dxa"/>
            <w:vMerge w:val="continue"/>
            <w:tcBorders>
              <w:top w:val="nil"/>
              <w:left w:val="single" w:color="000000" w:sz="4" w:space="0"/>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1248" w:type="dxa"/>
            <w:vAlign w:val="top"/>
          </w:tcPr>
          <w:p>
            <w:pPr>
              <w:pStyle w:val="6"/>
              <w:spacing w:before="59" w:line="222" w:lineRule="auto"/>
              <w:ind w:left="416"/>
            </w:pPr>
            <w:r>
              <w:rPr>
                <w:spacing w:val="-2"/>
              </w:rPr>
              <w:t>昼间</w:t>
            </w:r>
          </w:p>
        </w:tc>
        <w:tc>
          <w:tcPr>
            <w:tcW w:w="895" w:type="dxa"/>
            <w:vAlign w:val="top"/>
          </w:tcPr>
          <w:p>
            <w:pPr>
              <w:spacing w:before="97"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92" w:type="dxa"/>
            <w:vAlign w:val="top"/>
          </w:tcPr>
          <w:p>
            <w:pPr>
              <w:spacing w:before="97"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5"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57.9</w:t>
            </w:r>
          </w:p>
        </w:tc>
        <w:tc>
          <w:tcPr>
            <w:tcW w:w="771" w:type="dxa"/>
            <w:vAlign w:val="top"/>
          </w:tcPr>
          <w:p>
            <w:pPr>
              <w:spacing w:before="91" w:line="219"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51" w:type="dxa"/>
            <w:vAlign w:val="top"/>
          </w:tcPr>
          <w:p>
            <w:pPr>
              <w:spacing w:before="9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62.0</w:t>
            </w:r>
          </w:p>
        </w:tc>
        <w:tc>
          <w:tcPr>
            <w:tcW w:w="768" w:type="dxa"/>
            <w:vAlign w:val="top"/>
          </w:tcPr>
          <w:p>
            <w:pPr>
              <w:spacing w:before="95"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753" w:type="dxa"/>
            <w:vAlign w:val="top"/>
          </w:tcPr>
          <w:p>
            <w:pPr>
              <w:spacing w:before="90" w:line="187"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63.7</w:t>
            </w:r>
          </w:p>
        </w:tc>
        <w:tc>
          <w:tcPr>
            <w:tcW w:w="708" w:type="dxa"/>
            <w:vAlign w:val="top"/>
          </w:tcPr>
          <w:p>
            <w:pPr>
              <w:spacing w:before="95"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w:t>
            </w:r>
          </w:p>
        </w:tc>
        <w:tc>
          <w:tcPr>
            <w:tcW w:w="70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555" w:type="dxa"/>
            <w:vMerge w:val="continue"/>
            <w:tcBorders>
              <w:top w:val="nil"/>
            </w:tcBorders>
            <w:vAlign w:val="top"/>
          </w:tcPr>
          <w:p>
            <w:pPr>
              <w:rPr>
                <w:rFonts w:ascii="Arial"/>
                <w:sz w:val="21"/>
              </w:rPr>
            </w:pPr>
          </w:p>
        </w:tc>
        <w:tc>
          <w:tcPr>
            <w:tcW w:w="1310" w:type="dxa"/>
            <w:vMerge w:val="continue"/>
            <w:tcBorders>
              <w:top w:val="nil"/>
            </w:tcBorders>
            <w:vAlign w:val="top"/>
          </w:tcPr>
          <w:p>
            <w:pPr>
              <w:rPr>
                <w:rFonts w:ascii="Arial"/>
                <w:sz w:val="21"/>
              </w:rPr>
            </w:pPr>
          </w:p>
        </w:tc>
        <w:tc>
          <w:tcPr>
            <w:tcW w:w="1730" w:type="dxa"/>
            <w:vMerge w:val="continue"/>
            <w:tcBorders>
              <w:top w:val="nil"/>
              <w:right w:val="single" w:color="000000" w:sz="4" w:space="0"/>
            </w:tcBorders>
            <w:vAlign w:val="top"/>
          </w:tcPr>
          <w:p>
            <w:pPr>
              <w:rPr>
                <w:rFonts w:ascii="Arial"/>
                <w:sz w:val="21"/>
              </w:rPr>
            </w:pPr>
          </w:p>
        </w:tc>
        <w:tc>
          <w:tcPr>
            <w:tcW w:w="1188" w:type="dxa"/>
            <w:vMerge w:val="continue"/>
            <w:tcBorders>
              <w:top w:val="nil"/>
              <w:left w:val="single" w:color="000000" w:sz="4" w:space="0"/>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1248" w:type="dxa"/>
            <w:vAlign w:val="top"/>
          </w:tcPr>
          <w:p>
            <w:pPr>
              <w:pStyle w:val="6"/>
              <w:spacing w:before="58" w:line="221" w:lineRule="auto"/>
              <w:ind w:left="421"/>
            </w:pPr>
            <w:r>
              <w:rPr>
                <w:spacing w:val="-3"/>
              </w:rPr>
              <w:t>夜间</w:t>
            </w:r>
          </w:p>
        </w:tc>
        <w:tc>
          <w:tcPr>
            <w:tcW w:w="895" w:type="dxa"/>
            <w:vAlign w:val="top"/>
          </w:tcPr>
          <w:p>
            <w:pPr>
              <w:spacing w:before="97"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892" w:type="dxa"/>
            <w:vAlign w:val="top"/>
          </w:tcPr>
          <w:p>
            <w:pPr>
              <w:spacing w:before="97"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926" w:type="dxa"/>
            <w:vAlign w:val="top"/>
          </w:tcPr>
          <w:p>
            <w:pPr>
              <w:spacing w:before="95" w:line="187"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52.5</w:t>
            </w:r>
          </w:p>
        </w:tc>
        <w:tc>
          <w:tcPr>
            <w:tcW w:w="771" w:type="dxa"/>
            <w:vAlign w:val="top"/>
          </w:tcPr>
          <w:p>
            <w:pPr>
              <w:spacing w:before="95"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751" w:type="dxa"/>
            <w:vAlign w:val="top"/>
          </w:tcPr>
          <w:p>
            <w:pPr>
              <w:spacing w:before="95"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55.1</w:t>
            </w:r>
          </w:p>
        </w:tc>
        <w:tc>
          <w:tcPr>
            <w:tcW w:w="768" w:type="dxa"/>
            <w:vAlign w:val="top"/>
          </w:tcPr>
          <w:p>
            <w:pPr>
              <w:spacing w:before="95"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+5.1</w:t>
            </w:r>
          </w:p>
        </w:tc>
        <w:tc>
          <w:tcPr>
            <w:tcW w:w="753" w:type="dxa"/>
            <w:vAlign w:val="top"/>
          </w:tcPr>
          <w:p>
            <w:pPr>
              <w:spacing w:before="90" w:line="187"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56.2</w:t>
            </w:r>
          </w:p>
        </w:tc>
        <w:tc>
          <w:tcPr>
            <w:tcW w:w="708" w:type="dxa"/>
            <w:vAlign w:val="top"/>
          </w:tcPr>
          <w:p>
            <w:pPr>
              <w:spacing w:before="95"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+6.2</w:t>
            </w:r>
          </w:p>
        </w:tc>
        <w:tc>
          <w:tcPr>
            <w:tcW w:w="703" w:type="dxa"/>
            <w:vMerge w:val="continue"/>
            <w:tcBorders>
              <w:top w:val="nil"/>
            </w:tcBorders>
            <w:vAlign w:val="top"/>
          </w:tcPr>
          <w:p>
            <w:pPr>
              <w:rPr>
                <w:rFonts w:ascii="Arial"/>
                <w:sz w:val="21"/>
              </w:rPr>
            </w:pPr>
          </w:p>
        </w:tc>
      </w:tr>
    </w:tbl>
    <w:p>
      <w:pPr>
        <w:pStyle w:val="2"/>
      </w:pPr>
    </w:p>
    <w:p>
      <w:pPr>
        <w:sectPr>
          <w:footerReference r:id="rId281" w:type="default"/>
          <w:pgSz w:w="16839" w:h="11905"/>
          <w:pgMar w:top="1063" w:right="1351" w:bottom="1012" w:left="1351" w:header="822" w:footer="852" w:gutter="0"/>
          <w:cols w:space="720" w:num="1"/>
        </w:sectPr>
      </w:pPr>
    </w:p>
    <w:p>
      <w:pPr>
        <w:pStyle w:val="2"/>
        <w:spacing w:line="457" w:lineRule="auto"/>
      </w:pPr>
    </w:p>
    <w:p>
      <w:pPr>
        <w:spacing w:before="78" w:line="220" w:lineRule="auto"/>
        <w:ind w:left="36"/>
        <w:outlineLvl w:val="1"/>
        <w:rPr>
          <w:rFonts w:ascii="宋体" w:hAnsi="宋体" w:eastAsia="宋体" w:cs="宋体"/>
          <w:sz w:val="24"/>
          <w:szCs w:val="24"/>
        </w:rPr>
      </w:pPr>
      <w:bookmarkStart w:id="37" w:name="bookmark34"/>
      <w:bookmarkEnd w:id="37"/>
      <w:r>
        <w:rPr>
          <w:rFonts w:ascii="Times New Roman" w:hAnsi="Times New Roman" w:eastAsia="Times New Roman" w:cs="Times New Roman"/>
          <w:b/>
          <w:bCs/>
          <w:spacing w:val="-3"/>
          <w:sz w:val="24"/>
          <w:szCs w:val="24"/>
        </w:rPr>
        <w:t>5.4</w:t>
      </w:r>
      <w:r>
        <w:rPr>
          <w:rFonts w:ascii="Times New Roman" w:hAnsi="Times New Roman" w:eastAsia="Times New Roman" w:cs="Times New Roman"/>
          <w:b/>
          <w:bCs/>
          <w:spacing w:val="38"/>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固体废物处置影响分析</w:t>
      </w:r>
    </w:p>
    <w:p>
      <w:pPr>
        <w:spacing w:before="182" w:line="220" w:lineRule="auto"/>
        <w:ind w:left="36"/>
        <w:outlineLvl w:val="1"/>
        <w:rPr>
          <w:rFonts w:ascii="宋体" w:hAnsi="宋体" w:eastAsia="宋体" w:cs="宋体"/>
          <w:sz w:val="24"/>
          <w:szCs w:val="24"/>
        </w:rPr>
      </w:pPr>
      <w:r>
        <w:rPr>
          <w:rFonts w:ascii="Times New Roman" w:hAnsi="Times New Roman" w:eastAsia="Times New Roman" w:cs="Times New Roman"/>
          <w:b/>
          <w:bCs/>
          <w:sz w:val="24"/>
          <w:szCs w:val="24"/>
        </w:rPr>
        <w:t xml:space="preserve">5.4.1 </w:t>
      </w:r>
      <w:r>
        <w:rPr>
          <w:rFonts w:ascii="宋体" w:hAnsi="宋体" w:eastAsia="宋体" w:cs="宋体"/>
          <w:sz w:val="24"/>
          <w:szCs w:val="24"/>
          <w14:textOutline w14:w="4354" w14:cap="flat" w14:cmpd="sng">
            <w14:solidFill>
              <w14:srgbClr w14:val="000000"/>
            </w14:solidFill>
            <w14:prstDash w14:val="solid"/>
            <w14:miter w14:val="0"/>
          </w14:textOutline>
        </w:rPr>
        <w:t>施工期固体废物处置环境影响回顾性分析</w:t>
      </w:r>
    </w:p>
    <w:p>
      <w:pPr>
        <w:spacing w:before="179" w:line="220" w:lineRule="auto"/>
        <w:ind w:left="536"/>
        <w:rPr>
          <w:rFonts w:ascii="宋体" w:hAnsi="宋体" w:eastAsia="宋体" w:cs="宋体"/>
          <w:sz w:val="24"/>
          <w:szCs w:val="24"/>
        </w:rPr>
      </w:pPr>
      <w:r>
        <w:rPr>
          <w:rFonts w:ascii="Times New Roman" w:hAnsi="Times New Roman" w:eastAsia="Times New Roman" w:cs="Times New Roman"/>
          <w:spacing w:val="-9"/>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9"/>
          <w:sz w:val="24"/>
          <w:szCs w:val="24"/>
        </w:rPr>
        <w:t>、生活垃圾</w:t>
      </w:r>
    </w:p>
    <w:p>
      <w:pPr>
        <w:spacing w:before="181" w:line="359" w:lineRule="auto"/>
        <w:ind w:left="38" w:right="28" w:firstLine="482"/>
        <w:rPr>
          <w:rFonts w:ascii="宋体" w:hAnsi="宋体" w:eastAsia="宋体" w:cs="宋体"/>
          <w:sz w:val="24"/>
          <w:szCs w:val="24"/>
        </w:rPr>
      </w:pPr>
      <w:r>
        <w:rPr>
          <w:rFonts w:ascii="宋体" w:hAnsi="宋体" w:eastAsia="宋体" w:cs="宋体"/>
          <w:spacing w:val="-10"/>
          <w:sz w:val="24"/>
          <w:szCs w:val="24"/>
        </w:rPr>
        <w:t>工程沿线设置施工场地， 施工场地内施工人员产生一定量的生活垃圾， 主要</w:t>
      </w:r>
      <w:r>
        <w:rPr>
          <w:rFonts w:ascii="宋体" w:hAnsi="宋体" w:eastAsia="宋体" w:cs="宋体"/>
          <w:sz w:val="24"/>
          <w:szCs w:val="24"/>
        </w:rPr>
        <w:t xml:space="preserve"> </w:t>
      </w:r>
      <w:r>
        <w:rPr>
          <w:rFonts w:ascii="宋体" w:hAnsi="宋体" w:eastAsia="宋体" w:cs="宋体"/>
          <w:spacing w:val="-3"/>
          <w:sz w:val="24"/>
          <w:szCs w:val="24"/>
        </w:rPr>
        <w:t>包括塑料、废纸、果皮等，日平均垃圾产生量约</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50kg/d</w:t>
      </w:r>
      <w:r>
        <w:rPr>
          <w:rFonts w:ascii="宋体" w:hAnsi="宋体" w:eastAsia="宋体" w:cs="宋体"/>
          <w:spacing w:val="-3"/>
          <w:sz w:val="24"/>
          <w:szCs w:val="24"/>
        </w:rPr>
        <w:t>，采取分</w:t>
      </w:r>
      <w:r>
        <w:rPr>
          <w:rFonts w:ascii="宋体" w:hAnsi="宋体" w:eastAsia="宋体" w:cs="宋体"/>
          <w:spacing w:val="-4"/>
          <w:sz w:val="24"/>
          <w:szCs w:val="24"/>
        </w:rPr>
        <w:t>类收集集中清运</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至垃圾中转站，不会对周边环境造成影响。</w:t>
      </w:r>
    </w:p>
    <w:p>
      <w:pPr>
        <w:spacing w:before="180" w:line="220" w:lineRule="auto"/>
        <w:ind w:left="513"/>
        <w:rPr>
          <w:rFonts w:ascii="宋体" w:hAnsi="宋体" w:eastAsia="宋体" w:cs="宋体"/>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、工程弃渣</w:t>
      </w:r>
    </w:p>
    <w:p>
      <w:pPr>
        <w:spacing w:before="184" w:line="359" w:lineRule="auto"/>
        <w:ind w:left="39" w:right="28" w:firstLine="478"/>
        <w:rPr>
          <w:rFonts w:ascii="Times New Roman" w:hAnsi="Times New Roman" w:eastAsia="Times New Roman" w:cs="Times New Roman"/>
          <w:sz w:val="24"/>
          <w:szCs w:val="24"/>
        </w:rPr>
      </w:pPr>
      <w:r>
        <w:rPr>
          <w:rFonts w:ascii="宋体" w:hAnsi="宋体" w:eastAsia="宋体" w:cs="宋体"/>
          <w:spacing w:val="-2"/>
          <w:sz w:val="24"/>
          <w:szCs w:val="24"/>
        </w:rPr>
        <w:t xml:space="preserve">根据现阶段施工单位统计，工程施工期土石方开挖总量 </w:t>
      </w:r>
      <w:r>
        <w:rPr>
          <w:rFonts w:ascii="Times New Roman" w:hAnsi="Times New Roman" w:eastAsia="Times New Roman" w:cs="Times New Roman"/>
          <w:spacing w:val="-2"/>
          <w:sz w:val="24"/>
          <w:szCs w:val="24"/>
        </w:rPr>
        <w:t>185</w:t>
      </w:r>
      <w:r>
        <w:rPr>
          <w:rFonts w:ascii="Times New Roman" w:hAnsi="Times New Roman" w:eastAsia="Times New Roman" w:cs="Times New Roman"/>
          <w:spacing w:val="47"/>
          <w:sz w:val="24"/>
          <w:szCs w:val="24"/>
        </w:rPr>
        <w:t xml:space="preserve"> </w:t>
      </w:r>
      <w:r>
        <w:rPr>
          <w:rFonts w:ascii="宋体" w:hAnsi="宋体" w:eastAsia="宋体" w:cs="宋体"/>
          <w:spacing w:val="-2"/>
          <w:sz w:val="24"/>
          <w:szCs w:val="24"/>
        </w:rPr>
        <w:t>万</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m³</w:t>
      </w:r>
      <w:r>
        <w:rPr>
          <w:rFonts w:ascii="宋体" w:hAnsi="宋体" w:eastAsia="宋体" w:cs="宋体"/>
          <w:spacing w:val="-2"/>
          <w:sz w:val="24"/>
          <w:szCs w:val="24"/>
        </w:rPr>
        <w:t>, 其中土</w:t>
      </w:r>
      <w:r>
        <w:rPr>
          <w:rFonts w:ascii="宋体" w:hAnsi="宋体" w:eastAsia="宋体" w:cs="宋体"/>
          <w:sz w:val="24"/>
          <w:szCs w:val="24"/>
        </w:rPr>
        <w:t xml:space="preserve"> </w:t>
      </w:r>
      <w:r>
        <w:rPr>
          <w:rFonts w:ascii="宋体" w:hAnsi="宋体" w:eastAsia="宋体" w:cs="宋体"/>
          <w:spacing w:val="-4"/>
          <w:sz w:val="24"/>
          <w:szCs w:val="24"/>
        </w:rPr>
        <w:t>方</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53</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m³</w:t>
      </w:r>
      <w:r>
        <w:rPr>
          <w:rFonts w:ascii="宋体" w:hAnsi="宋体" w:eastAsia="宋体" w:cs="宋体"/>
          <w:spacing w:val="-4"/>
          <w:sz w:val="24"/>
          <w:szCs w:val="24"/>
        </w:rPr>
        <w:t>, 石方</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124</w:t>
      </w:r>
      <w:r>
        <w:rPr>
          <w:rFonts w:ascii="Times New Roman" w:hAnsi="Times New Roman" w:eastAsia="Times New Roman" w:cs="Times New Roman"/>
          <w:spacing w:val="17"/>
          <w:w w:val="101"/>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m³</w:t>
      </w:r>
      <w:r>
        <w:rPr>
          <w:rFonts w:ascii="宋体" w:hAnsi="宋体" w:eastAsia="宋体" w:cs="宋体"/>
          <w:spacing w:val="-4"/>
          <w:sz w:val="24"/>
          <w:szCs w:val="24"/>
        </w:rPr>
        <w:t>, 淤泥</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m³</w:t>
      </w:r>
      <w:r>
        <w:rPr>
          <w:rFonts w:ascii="宋体" w:hAnsi="宋体" w:eastAsia="宋体" w:cs="宋体"/>
          <w:spacing w:val="-4"/>
          <w:sz w:val="24"/>
          <w:szCs w:val="24"/>
        </w:rPr>
        <w:t>; 总填方</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98</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m³</w:t>
      </w:r>
      <w:r>
        <w:rPr>
          <w:rFonts w:ascii="宋体" w:hAnsi="宋体" w:eastAsia="宋体" w:cs="宋体"/>
          <w:spacing w:val="-4"/>
          <w:sz w:val="24"/>
          <w:szCs w:val="24"/>
        </w:rPr>
        <w:t>,</w:t>
      </w:r>
      <w:r>
        <w:rPr>
          <w:rFonts w:ascii="宋体" w:hAnsi="宋体" w:eastAsia="宋体" w:cs="宋体"/>
          <w:spacing w:val="17"/>
          <w:sz w:val="24"/>
          <w:szCs w:val="24"/>
        </w:rPr>
        <w:t xml:space="preserve"> </w:t>
      </w:r>
      <w:r>
        <w:rPr>
          <w:rFonts w:ascii="宋体" w:hAnsi="宋体" w:eastAsia="宋体" w:cs="宋体"/>
          <w:spacing w:val="-4"/>
          <w:sz w:val="24"/>
          <w:szCs w:val="24"/>
        </w:rPr>
        <w:t>工程余方共计</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79</w:t>
      </w:r>
    </w:p>
    <w:p>
      <w:pPr>
        <w:spacing w:line="234" w:lineRule="auto"/>
        <w:ind w:left="43"/>
        <w:rPr>
          <w:rFonts w:ascii="宋体" w:hAnsi="宋体" w:eastAsia="宋体" w:cs="宋体"/>
          <w:sz w:val="24"/>
          <w:szCs w:val="24"/>
        </w:rPr>
      </w:pPr>
      <w:r>
        <w:rPr>
          <w:rFonts w:ascii="宋体" w:hAnsi="宋体" w:eastAsia="宋体" w:cs="宋体"/>
          <w:spacing w:val="24"/>
          <w:sz w:val="24"/>
          <w:szCs w:val="24"/>
        </w:rPr>
        <w:t>万</w:t>
      </w:r>
      <w:r>
        <w:rPr>
          <w:rFonts w:ascii="宋体" w:hAnsi="宋体" w:eastAsia="宋体" w:cs="宋体"/>
          <w:spacing w:val="-57"/>
          <w:sz w:val="24"/>
          <w:szCs w:val="24"/>
        </w:rPr>
        <w:t xml:space="preserve"> </w:t>
      </w:r>
      <w:r>
        <w:rPr>
          <w:rFonts w:ascii="Times New Roman" w:hAnsi="Times New Roman" w:eastAsia="Times New Roman" w:cs="Times New Roman"/>
          <w:spacing w:val="24"/>
          <w:sz w:val="24"/>
          <w:szCs w:val="24"/>
        </w:rPr>
        <w:t>m³</w:t>
      </w:r>
      <w:r>
        <w:rPr>
          <w:rFonts w:ascii="宋体" w:hAnsi="宋体" w:eastAsia="宋体" w:cs="宋体"/>
          <w:spacing w:val="24"/>
          <w:sz w:val="24"/>
          <w:szCs w:val="24"/>
        </w:rPr>
        <w:t>。</w:t>
      </w:r>
    </w:p>
    <w:p>
      <w:pPr>
        <w:spacing w:before="163" w:line="359" w:lineRule="auto"/>
        <w:ind w:left="41" w:right="29" w:firstLine="480"/>
        <w:rPr>
          <w:rFonts w:ascii="宋体" w:hAnsi="宋体" w:eastAsia="宋体" w:cs="宋体"/>
          <w:sz w:val="24"/>
          <w:szCs w:val="24"/>
        </w:rPr>
      </w:pPr>
      <w:r>
        <w:rPr>
          <w:rFonts w:ascii="宋体" w:hAnsi="宋体" w:eastAsia="宋体" w:cs="宋体"/>
          <w:spacing w:val="-9"/>
          <w:sz w:val="24"/>
          <w:szCs w:val="24"/>
        </w:rPr>
        <w:t>弃方中，</w:t>
      </w:r>
      <w:r>
        <w:rPr>
          <w:rFonts w:ascii="宋体" w:hAnsi="宋体" w:eastAsia="宋体" w:cs="宋体"/>
          <w:spacing w:val="-31"/>
          <w:sz w:val="24"/>
          <w:szCs w:val="24"/>
        </w:rPr>
        <w:t xml:space="preserve"> </w:t>
      </w:r>
      <w:r>
        <w:rPr>
          <w:rFonts w:ascii="宋体" w:hAnsi="宋体" w:eastAsia="宋体" w:cs="宋体"/>
          <w:spacing w:val="-9"/>
          <w:sz w:val="24"/>
          <w:szCs w:val="24"/>
        </w:rPr>
        <w:t>土石方弃渣主要为路基及隧道工程弃方和</w:t>
      </w:r>
      <w:r>
        <w:rPr>
          <w:rFonts w:ascii="宋体" w:hAnsi="宋体" w:eastAsia="宋体" w:cs="宋体"/>
          <w:spacing w:val="-10"/>
          <w:sz w:val="24"/>
          <w:szCs w:val="24"/>
        </w:rPr>
        <w:t>软基处理弃渣， 工程利用</w:t>
      </w:r>
      <w:r>
        <w:rPr>
          <w:rFonts w:ascii="宋体" w:hAnsi="宋体" w:eastAsia="宋体" w:cs="宋体"/>
          <w:sz w:val="24"/>
          <w:szCs w:val="24"/>
        </w:rPr>
        <w:t xml:space="preserve"> </w:t>
      </w:r>
      <w:r>
        <w:rPr>
          <w:rFonts w:ascii="宋体" w:hAnsi="宋体" w:eastAsia="宋体" w:cs="宋体"/>
          <w:spacing w:val="-3"/>
          <w:sz w:val="24"/>
          <w:szCs w:val="24"/>
        </w:rPr>
        <w:t>景文高速公路施工期弃渣场进行弃渣。双田弃渣场（景文高速公路</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JW</w:t>
      </w:r>
      <w:r>
        <w:rPr>
          <w:rFonts w:ascii="Times New Roman" w:hAnsi="Times New Roman" w:eastAsia="Times New Roman" w:cs="Times New Roman"/>
          <w:spacing w:val="-4"/>
          <w:sz w:val="24"/>
          <w:szCs w:val="24"/>
        </w:rPr>
        <w:t xml:space="preserve">YJ-4 </w:t>
      </w:r>
      <w:r>
        <w:rPr>
          <w:rFonts w:ascii="宋体" w:hAnsi="宋体" w:eastAsia="宋体" w:cs="宋体"/>
          <w:spacing w:val="-4"/>
          <w:sz w:val="24"/>
          <w:szCs w:val="24"/>
        </w:rPr>
        <w:t>标</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弃渣场）消纳</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35.5</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m³</w:t>
      </w:r>
      <w:r>
        <w:rPr>
          <w:rFonts w:ascii="宋体" w:hAnsi="宋体" w:eastAsia="宋体" w:cs="宋体"/>
          <w:spacing w:val="-2"/>
          <w:sz w:val="24"/>
          <w:szCs w:val="24"/>
        </w:rPr>
        <w:t>、南坑垟弃土场（景文高速公路</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JWYJ-4</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标</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弃渣场）</w:t>
      </w:r>
      <w:r>
        <w:rPr>
          <w:rFonts w:ascii="宋体" w:hAnsi="宋体" w:eastAsia="宋体" w:cs="宋体"/>
          <w:sz w:val="24"/>
          <w:szCs w:val="24"/>
        </w:rPr>
        <w:t xml:space="preserve"> </w:t>
      </w:r>
      <w:r>
        <w:rPr>
          <w:rFonts w:ascii="宋体" w:hAnsi="宋体" w:eastAsia="宋体" w:cs="宋体"/>
          <w:spacing w:val="-3"/>
          <w:sz w:val="24"/>
          <w:szCs w:val="24"/>
        </w:rPr>
        <w:t>消纳</w:t>
      </w:r>
      <w:r>
        <w:rPr>
          <w:rFonts w:ascii="宋体" w:hAnsi="宋体" w:eastAsia="宋体" w:cs="宋体"/>
          <w:spacing w:val="-9"/>
          <w:sz w:val="24"/>
          <w:szCs w:val="24"/>
        </w:rPr>
        <w:t xml:space="preserve"> </w:t>
      </w:r>
      <w:r>
        <w:rPr>
          <w:rFonts w:ascii="Times New Roman" w:hAnsi="Times New Roman" w:eastAsia="Times New Roman" w:cs="Times New Roman"/>
          <w:spacing w:val="-3"/>
          <w:sz w:val="24"/>
          <w:szCs w:val="24"/>
        </w:rPr>
        <w:t>15.5</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万</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m³</w:t>
      </w:r>
      <w:r>
        <w:rPr>
          <w:rFonts w:ascii="宋体" w:hAnsi="宋体" w:eastAsia="宋体" w:cs="宋体"/>
          <w:spacing w:val="-3"/>
          <w:sz w:val="24"/>
          <w:szCs w:val="24"/>
        </w:rPr>
        <w:t>。连接线约</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17</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万</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m³</w:t>
      </w:r>
      <w:r>
        <w:rPr>
          <w:rFonts w:ascii="宋体" w:hAnsi="宋体" w:eastAsia="宋体" w:cs="宋体"/>
          <w:spacing w:val="-3"/>
          <w:sz w:val="24"/>
          <w:szCs w:val="24"/>
        </w:rPr>
        <w:t>土石方提供给景文高速公路在施工期进行加</w:t>
      </w:r>
      <w:r>
        <w:rPr>
          <w:rFonts w:ascii="宋体" w:hAnsi="宋体" w:eastAsia="宋体" w:cs="宋体"/>
          <w:sz w:val="24"/>
          <w:szCs w:val="24"/>
        </w:rPr>
        <w:t xml:space="preserve"> </w:t>
      </w:r>
      <w:r>
        <w:rPr>
          <w:rFonts w:ascii="宋体" w:hAnsi="宋体" w:eastAsia="宋体" w:cs="宋体"/>
          <w:spacing w:val="-14"/>
          <w:sz w:val="24"/>
          <w:szCs w:val="24"/>
        </w:rPr>
        <w:t>工利用， 另外， 约</w:t>
      </w:r>
      <w:r>
        <w:rPr>
          <w:rFonts w:ascii="宋体" w:hAnsi="宋体" w:eastAsia="宋体" w:cs="宋体"/>
          <w:spacing w:val="-31"/>
          <w:sz w:val="24"/>
          <w:szCs w:val="24"/>
        </w:rPr>
        <w:t xml:space="preserve"> </w:t>
      </w:r>
      <w:r>
        <w:rPr>
          <w:rFonts w:ascii="Times New Roman" w:hAnsi="Times New Roman" w:eastAsia="Times New Roman" w:cs="Times New Roman"/>
          <w:spacing w:val="-14"/>
          <w:sz w:val="24"/>
          <w:szCs w:val="24"/>
        </w:rPr>
        <w:t>11</w:t>
      </w:r>
      <w:r>
        <w:rPr>
          <w:rFonts w:ascii="Times New Roman" w:hAnsi="Times New Roman" w:eastAsia="Times New Roman" w:cs="Times New Roman"/>
          <w:spacing w:val="15"/>
          <w:w w:val="101"/>
          <w:sz w:val="24"/>
          <w:szCs w:val="24"/>
        </w:rPr>
        <w:t xml:space="preserve"> </w:t>
      </w:r>
      <w:r>
        <w:rPr>
          <w:rFonts w:ascii="宋体" w:hAnsi="宋体" w:eastAsia="宋体" w:cs="宋体"/>
          <w:spacing w:val="-14"/>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14"/>
          <w:sz w:val="24"/>
          <w:szCs w:val="24"/>
        </w:rPr>
        <w:t>m³</w:t>
      </w:r>
      <w:r>
        <w:rPr>
          <w:rFonts w:ascii="宋体" w:hAnsi="宋体" w:eastAsia="宋体" w:cs="宋体"/>
          <w:spacing w:val="-14"/>
          <w:sz w:val="24"/>
          <w:szCs w:val="24"/>
        </w:rPr>
        <w:t>渣土经文成县</w:t>
      </w:r>
      <w:r>
        <w:rPr>
          <w:rFonts w:ascii="宋体" w:hAnsi="宋体" w:eastAsia="宋体" w:cs="宋体"/>
          <w:spacing w:val="-15"/>
          <w:sz w:val="24"/>
          <w:szCs w:val="24"/>
        </w:rPr>
        <w:t>财政局进行渣土拍卖，</w:t>
      </w:r>
      <w:r>
        <w:rPr>
          <w:rFonts w:ascii="宋体" w:hAnsi="宋体" w:eastAsia="宋体" w:cs="宋体"/>
          <w:spacing w:val="78"/>
          <w:sz w:val="24"/>
          <w:szCs w:val="24"/>
        </w:rPr>
        <w:t xml:space="preserve"> </w:t>
      </w:r>
      <w:r>
        <w:rPr>
          <w:rFonts w:ascii="宋体" w:hAnsi="宋体" w:eastAsia="宋体" w:cs="宋体"/>
          <w:spacing w:val="-15"/>
          <w:sz w:val="24"/>
          <w:szCs w:val="24"/>
        </w:rPr>
        <w:t>由第三方拍卖中</w:t>
      </w:r>
    </w:p>
    <w:p>
      <w:pPr>
        <w:spacing w:before="1" w:line="219" w:lineRule="auto"/>
        <w:ind w:left="39"/>
        <w:rPr>
          <w:rFonts w:ascii="宋体" w:hAnsi="宋体" w:eastAsia="宋体" w:cs="宋体"/>
          <w:sz w:val="24"/>
          <w:szCs w:val="24"/>
        </w:rPr>
      </w:pPr>
      <w:r>
        <w:rPr>
          <w:rFonts w:ascii="宋体" w:hAnsi="宋体" w:eastAsia="宋体" w:cs="宋体"/>
          <w:spacing w:val="-3"/>
          <w:sz w:val="24"/>
          <w:szCs w:val="24"/>
        </w:rPr>
        <w:t>标单位文成县龙翔混凝土有限公司进行处置。</w:t>
      </w:r>
    </w:p>
    <w:p>
      <w:pPr>
        <w:spacing w:before="182" w:line="219" w:lineRule="auto"/>
        <w:ind w:left="536"/>
        <w:rPr>
          <w:rFonts w:ascii="宋体" w:hAnsi="宋体" w:eastAsia="宋体" w:cs="宋体"/>
          <w:sz w:val="24"/>
          <w:szCs w:val="24"/>
        </w:rPr>
      </w:pPr>
      <w:r>
        <w:rPr>
          <w:rFonts w:ascii="宋体" w:hAnsi="宋体" w:eastAsia="宋体" w:cs="宋体"/>
          <w:spacing w:val="-2"/>
          <w:sz w:val="24"/>
          <w:szCs w:val="24"/>
        </w:rPr>
        <w:t>因此，本项目弃渣在进行合理利用处理处置后，对周边环境影响较小。</w:t>
      </w:r>
    </w:p>
    <w:p>
      <w:pPr>
        <w:spacing w:before="182" w:line="220" w:lineRule="auto"/>
        <w:ind w:left="36"/>
        <w:outlineLvl w:val="1"/>
        <w:rPr>
          <w:rFonts w:ascii="宋体" w:hAnsi="宋体" w:eastAsia="宋体" w:cs="宋体"/>
          <w:sz w:val="24"/>
          <w:szCs w:val="24"/>
        </w:rPr>
      </w:pPr>
      <w:r>
        <w:rPr>
          <w:rFonts w:ascii="Times New Roman" w:hAnsi="Times New Roman" w:eastAsia="Times New Roman" w:cs="Times New Roman"/>
          <w:b/>
          <w:bCs/>
          <w:spacing w:val="-1"/>
          <w:sz w:val="24"/>
          <w:szCs w:val="24"/>
        </w:rPr>
        <w:t>5.4.2</w:t>
      </w:r>
      <w:r>
        <w:rPr>
          <w:rFonts w:ascii="Times New Roman" w:hAnsi="Times New Roman" w:eastAsia="Times New Roman" w:cs="Times New Roman"/>
          <w:b/>
          <w:bCs/>
          <w:spacing w:val="19"/>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营运期固体废物处置影响分析</w:t>
      </w:r>
    </w:p>
    <w:p>
      <w:pPr>
        <w:spacing w:before="181" w:line="466" w:lineRule="exact"/>
        <w:ind w:left="525"/>
        <w:rPr>
          <w:rFonts w:ascii="宋体" w:hAnsi="宋体" w:eastAsia="宋体" w:cs="宋体"/>
          <w:sz w:val="24"/>
          <w:szCs w:val="24"/>
        </w:rPr>
      </w:pPr>
      <w:r>
        <w:rPr>
          <w:rFonts w:ascii="宋体" w:hAnsi="宋体" w:eastAsia="宋体" w:cs="宋体"/>
          <w:spacing w:val="-1"/>
          <w:position w:val="17"/>
          <w:sz w:val="24"/>
          <w:szCs w:val="24"/>
        </w:rPr>
        <w:t>营运期生活垃圾将及时收集，并纳入地方环卫系统进行无害化处理</w:t>
      </w:r>
    </w:p>
    <w:p>
      <w:pPr>
        <w:spacing w:before="1" w:line="219" w:lineRule="auto"/>
        <w:ind w:left="519"/>
        <w:rPr>
          <w:rFonts w:ascii="宋体" w:hAnsi="宋体" w:eastAsia="宋体" w:cs="宋体"/>
          <w:sz w:val="24"/>
          <w:szCs w:val="24"/>
        </w:rPr>
      </w:pPr>
      <w:r>
        <w:rPr>
          <w:rFonts w:ascii="宋体" w:hAnsi="宋体" w:eastAsia="宋体" w:cs="宋体"/>
          <w:spacing w:val="-2"/>
          <w:sz w:val="24"/>
          <w:szCs w:val="24"/>
        </w:rPr>
        <w:t>养护过程产生的固废进行合理处理处置，或综合回收再生利用。</w:t>
      </w:r>
    </w:p>
    <w:p>
      <w:pPr>
        <w:spacing w:before="182" w:line="466" w:lineRule="exact"/>
        <w:ind w:right="27"/>
        <w:jc w:val="right"/>
        <w:rPr>
          <w:rFonts w:ascii="宋体" w:hAnsi="宋体" w:eastAsia="宋体" w:cs="宋体"/>
          <w:sz w:val="24"/>
          <w:szCs w:val="24"/>
        </w:rPr>
      </w:pPr>
      <w:r>
        <w:rPr>
          <w:rFonts w:ascii="宋体" w:hAnsi="宋体" w:eastAsia="宋体" w:cs="宋体"/>
          <w:spacing w:val="4"/>
          <w:position w:val="17"/>
          <w:sz w:val="24"/>
          <w:szCs w:val="24"/>
        </w:rPr>
        <w:t>在落实以上环保措施的基础上，工程固体废物处理处置对周边环境影响较</w:t>
      </w:r>
    </w:p>
    <w:p>
      <w:pPr>
        <w:spacing w:before="1" w:line="221" w:lineRule="auto"/>
        <w:ind w:left="44"/>
        <w:rPr>
          <w:rFonts w:ascii="宋体" w:hAnsi="宋体" w:eastAsia="宋体" w:cs="宋体"/>
          <w:sz w:val="24"/>
          <w:szCs w:val="24"/>
        </w:rPr>
      </w:pPr>
      <w:r>
        <w:rPr>
          <w:rFonts w:ascii="宋体" w:hAnsi="宋体" w:eastAsia="宋体" w:cs="宋体"/>
          <w:spacing w:val="-13"/>
          <w:sz w:val="24"/>
          <w:szCs w:val="24"/>
        </w:rPr>
        <w:t>小。</w:t>
      </w:r>
    </w:p>
    <w:p>
      <w:pPr>
        <w:spacing w:before="181" w:line="220" w:lineRule="auto"/>
        <w:ind w:left="36"/>
        <w:outlineLvl w:val="1"/>
        <w:rPr>
          <w:rFonts w:ascii="宋体" w:hAnsi="宋体" w:eastAsia="宋体" w:cs="宋体"/>
          <w:sz w:val="24"/>
          <w:szCs w:val="24"/>
        </w:rPr>
      </w:pPr>
      <w:bookmarkStart w:id="38" w:name="bookmark35"/>
      <w:bookmarkEnd w:id="38"/>
      <w:r>
        <w:rPr>
          <w:rFonts w:ascii="Times New Roman" w:hAnsi="Times New Roman" w:eastAsia="Times New Roman" w:cs="Times New Roman"/>
          <w:b/>
          <w:bCs/>
          <w:spacing w:val="-1"/>
          <w:sz w:val="24"/>
          <w:szCs w:val="24"/>
        </w:rPr>
        <w:t xml:space="preserve">5.5 </w:t>
      </w:r>
      <w:r>
        <w:rPr>
          <w:rFonts w:ascii="宋体" w:hAnsi="宋体" w:eastAsia="宋体" w:cs="宋体"/>
          <w:spacing w:val="-1"/>
          <w:sz w:val="24"/>
          <w:szCs w:val="24"/>
          <w14:textOutline w14:w="4354" w14:cap="flat" w14:cmpd="sng">
            <w14:solidFill>
              <w14:srgbClr w14:val="000000"/>
            </w14:solidFill>
            <w14:prstDash w14:val="solid"/>
            <w14:miter w14:val="0"/>
          </w14:textOutline>
        </w:rPr>
        <w:t>生态环境影响分析</w:t>
      </w:r>
    </w:p>
    <w:p>
      <w:pPr>
        <w:spacing w:before="179" w:line="218" w:lineRule="auto"/>
        <w:ind w:left="36"/>
        <w:outlineLvl w:val="1"/>
        <w:rPr>
          <w:rFonts w:ascii="宋体" w:hAnsi="宋体" w:eastAsia="宋体" w:cs="宋体"/>
          <w:sz w:val="24"/>
          <w:szCs w:val="24"/>
        </w:rPr>
      </w:pPr>
      <w:r>
        <w:rPr>
          <w:rFonts w:ascii="Times New Roman" w:hAnsi="Times New Roman" w:eastAsia="Times New Roman" w:cs="Times New Roman"/>
          <w:b/>
          <w:bCs/>
          <w:sz w:val="24"/>
          <w:szCs w:val="24"/>
        </w:rPr>
        <w:t xml:space="preserve">5.5.1 </w:t>
      </w:r>
      <w:r>
        <w:rPr>
          <w:rFonts w:ascii="宋体" w:hAnsi="宋体" w:eastAsia="宋体" w:cs="宋体"/>
          <w:sz w:val="24"/>
          <w:szCs w:val="24"/>
          <w14:textOutline w14:w="4354" w14:cap="flat" w14:cmpd="sng">
            <w14:solidFill>
              <w14:srgbClr w14:val="000000"/>
            </w14:solidFill>
            <w14:prstDash w14:val="solid"/>
            <w14:miter w14:val="0"/>
          </w14:textOutline>
        </w:rPr>
        <w:t>施工期生态环境影响评价</w:t>
      </w:r>
    </w:p>
    <w:p>
      <w:pPr>
        <w:spacing w:before="184" w:line="220" w:lineRule="auto"/>
        <w:ind w:left="36"/>
        <w:outlineLvl w:val="1"/>
        <w:rPr>
          <w:rFonts w:ascii="宋体" w:hAnsi="宋体" w:eastAsia="宋体" w:cs="宋体"/>
          <w:sz w:val="24"/>
          <w:szCs w:val="24"/>
        </w:rPr>
      </w:pPr>
      <w:r>
        <w:fldChar w:fldCharType="begin"/>
      </w:r>
      <w:r>
        <w:instrText xml:space="preserve"> HYPERLINK "5.5.1.1" </w:instrText>
      </w:r>
      <w:r>
        <w:fldChar w:fldCharType="separate"/>
      </w:r>
      <w:r>
        <w:rPr>
          <w:rFonts w:ascii="Times New Roman" w:hAnsi="Times New Roman" w:eastAsia="Times New Roman" w:cs="Times New Roman"/>
          <w:b/>
          <w:bCs/>
          <w:sz w:val="24"/>
          <w:szCs w:val="24"/>
        </w:rPr>
        <w:t>5.5.1.1</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生态系统完整性影响分析</w:t>
      </w:r>
    </w:p>
    <w:p>
      <w:pPr>
        <w:spacing w:before="180" w:line="474" w:lineRule="exact"/>
        <w:ind w:right="42"/>
        <w:jc w:val="right"/>
        <w:rPr>
          <w:rFonts w:ascii="宋体" w:hAnsi="宋体" w:eastAsia="宋体" w:cs="宋体"/>
          <w:sz w:val="24"/>
          <w:szCs w:val="24"/>
        </w:rPr>
      </w:pPr>
      <w:r>
        <w:rPr>
          <w:rFonts w:ascii="宋体" w:hAnsi="宋体" w:eastAsia="宋体" w:cs="宋体"/>
          <w:spacing w:val="12"/>
          <w:position w:val="17"/>
          <w:sz w:val="24"/>
          <w:szCs w:val="24"/>
        </w:rPr>
        <w:t>本工程永久占用土地包括农用地、林地、建设用地</w:t>
      </w:r>
      <w:r>
        <w:rPr>
          <w:rFonts w:ascii="宋体" w:hAnsi="宋体" w:eastAsia="宋体" w:cs="宋体"/>
          <w:spacing w:val="11"/>
          <w:position w:val="17"/>
          <w:sz w:val="24"/>
          <w:szCs w:val="24"/>
        </w:rPr>
        <w:t>、未利用地等，共计</w:t>
      </w:r>
    </w:p>
    <w:p>
      <w:pPr>
        <w:spacing w:line="318" w:lineRule="exact"/>
        <w:ind w:left="38"/>
        <w:rPr>
          <w:rFonts w:ascii="宋体" w:hAnsi="宋体" w:eastAsia="宋体" w:cs="宋体"/>
          <w:sz w:val="24"/>
          <w:szCs w:val="24"/>
        </w:rPr>
      </w:pPr>
      <w:r>
        <w:rPr>
          <w:rFonts w:ascii="Times New Roman" w:hAnsi="Times New Roman" w:eastAsia="Times New Roman" w:cs="Times New Roman"/>
          <w:spacing w:val="-1"/>
          <w:sz w:val="24"/>
          <w:szCs w:val="24"/>
        </w:rPr>
        <w:t>31.0501hm</w:t>
      </w:r>
      <w:r>
        <w:rPr>
          <w:rFonts w:ascii="Times New Roman" w:hAnsi="Times New Roman" w:eastAsia="Times New Roman" w:cs="Times New Roman"/>
          <w:spacing w:val="-1"/>
          <w:position w:val="8"/>
          <w:sz w:val="16"/>
          <w:szCs w:val="16"/>
        </w:rPr>
        <w:t>2</w:t>
      </w:r>
      <w:r>
        <w:rPr>
          <w:rFonts w:ascii="宋体" w:hAnsi="宋体" w:eastAsia="宋体" w:cs="宋体"/>
          <w:spacing w:val="-1"/>
          <w:sz w:val="24"/>
          <w:szCs w:val="24"/>
        </w:rPr>
        <w:t>。</w:t>
      </w:r>
    </w:p>
    <w:p>
      <w:pPr>
        <w:spacing w:before="142" w:line="468" w:lineRule="exact"/>
        <w:ind w:right="30"/>
        <w:jc w:val="right"/>
        <w:rPr>
          <w:rFonts w:ascii="宋体" w:hAnsi="宋体" w:eastAsia="宋体" w:cs="宋体"/>
          <w:sz w:val="24"/>
          <w:szCs w:val="24"/>
        </w:rPr>
      </w:pPr>
      <w:r>
        <w:rPr>
          <w:rFonts w:ascii="宋体" w:hAnsi="宋体" w:eastAsia="宋体" w:cs="宋体"/>
          <w:spacing w:val="-7"/>
          <w:position w:val="17"/>
          <w:sz w:val="24"/>
          <w:szCs w:val="24"/>
        </w:rPr>
        <w:t>项目工程线路及临时施工场地涉及到林地、耕地以及村庄等， 工程施工临时</w:t>
      </w:r>
    </w:p>
    <w:p>
      <w:pPr>
        <w:spacing w:line="219" w:lineRule="auto"/>
        <w:ind w:left="77"/>
        <w:rPr>
          <w:rFonts w:ascii="宋体" w:hAnsi="宋体" w:eastAsia="宋体" w:cs="宋体"/>
          <w:sz w:val="24"/>
          <w:szCs w:val="24"/>
        </w:rPr>
      </w:pPr>
      <w:r>
        <w:rPr>
          <w:rFonts w:ascii="宋体" w:hAnsi="宋体" w:eastAsia="宋体" w:cs="宋体"/>
          <w:spacing w:val="-8"/>
          <w:sz w:val="24"/>
          <w:szCs w:val="24"/>
        </w:rPr>
        <w:t>占地主要包括施工便道、施工场地等，</w:t>
      </w:r>
      <w:r>
        <w:rPr>
          <w:rFonts w:ascii="宋体" w:hAnsi="宋体" w:eastAsia="宋体" w:cs="宋体"/>
          <w:spacing w:val="28"/>
          <w:sz w:val="24"/>
          <w:szCs w:val="24"/>
        </w:rPr>
        <w:t xml:space="preserve"> </w:t>
      </w:r>
      <w:r>
        <w:rPr>
          <w:rFonts w:ascii="宋体" w:hAnsi="宋体" w:eastAsia="宋体" w:cs="宋体"/>
          <w:spacing w:val="-8"/>
          <w:sz w:val="24"/>
          <w:szCs w:val="24"/>
        </w:rPr>
        <w:t>临时占地在施</w:t>
      </w:r>
      <w:r>
        <w:rPr>
          <w:rFonts w:ascii="宋体" w:hAnsi="宋体" w:eastAsia="宋体" w:cs="宋体"/>
          <w:spacing w:val="-9"/>
          <w:sz w:val="24"/>
          <w:szCs w:val="24"/>
        </w:rPr>
        <w:t>工结束后按原有用途进行恢</w:t>
      </w:r>
    </w:p>
    <w:p>
      <w:pPr>
        <w:spacing w:line="219" w:lineRule="auto"/>
        <w:rPr>
          <w:rFonts w:ascii="宋体" w:hAnsi="宋体" w:eastAsia="宋体" w:cs="宋体"/>
          <w:sz w:val="24"/>
          <w:szCs w:val="24"/>
        </w:rPr>
        <w:sectPr>
          <w:headerReference r:id="rId282" w:type="default"/>
          <w:footerReference r:id="rId283" w:type="default"/>
          <w:pgSz w:w="11907" w:h="16839"/>
          <w:pgMar w:top="1118" w:right="1769" w:bottom="1184" w:left="1771" w:header="879" w:footer="1024" w:gutter="0"/>
          <w:cols w:space="720" w:num="1"/>
        </w:sectPr>
      </w:pPr>
    </w:p>
    <w:p>
      <w:pPr>
        <w:pStyle w:val="2"/>
        <w:spacing w:line="277" w:lineRule="auto"/>
      </w:pPr>
    </w:p>
    <w:p>
      <w:pPr>
        <w:spacing w:before="78" w:line="220" w:lineRule="auto"/>
        <w:ind w:left="44"/>
        <w:rPr>
          <w:rFonts w:ascii="宋体" w:hAnsi="宋体" w:eastAsia="宋体" w:cs="宋体"/>
          <w:sz w:val="24"/>
          <w:szCs w:val="24"/>
        </w:rPr>
      </w:pPr>
      <w:r>
        <w:rPr>
          <w:rFonts w:ascii="宋体" w:hAnsi="宋体" w:eastAsia="宋体" w:cs="宋体"/>
          <w:spacing w:val="-5"/>
          <w:sz w:val="24"/>
          <w:szCs w:val="24"/>
        </w:rPr>
        <w:t>复，逐步恢复生态功能。</w:t>
      </w:r>
    </w:p>
    <w:p>
      <w:pPr>
        <w:spacing w:before="182" w:line="359" w:lineRule="auto"/>
        <w:ind w:left="37" w:firstLine="483"/>
        <w:jc w:val="both"/>
        <w:rPr>
          <w:rFonts w:ascii="宋体" w:hAnsi="宋体" w:eastAsia="宋体" w:cs="宋体"/>
          <w:sz w:val="24"/>
          <w:szCs w:val="24"/>
        </w:rPr>
      </w:pPr>
      <w:r>
        <w:rPr>
          <w:rFonts w:ascii="宋体" w:hAnsi="宋体" w:eastAsia="宋体" w:cs="宋体"/>
          <w:spacing w:val="-2"/>
          <w:sz w:val="24"/>
          <w:szCs w:val="24"/>
        </w:rPr>
        <w:t>工程施工过程中对项目占地范围内及施工临时占地范围内的植被进行清理。</w:t>
      </w:r>
      <w:r>
        <w:rPr>
          <w:rFonts w:ascii="宋体" w:hAnsi="宋体" w:eastAsia="宋体" w:cs="宋体"/>
          <w:spacing w:val="17"/>
          <w:sz w:val="24"/>
          <w:szCs w:val="24"/>
        </w:rPr>
        <w:t xml:space="preserve"> </w:t>
      </w:r>
      <w:r>
        <w:rPr>
          <w:rFonts w:ascii="宋体" w:hAnsi="宋体" w:eastAsia="宋体" w:cs="宋体"/>
          <w:spacing w:val="-16"/>
          <w:sz w:val="24"/>
          <w:szCs w:val="24"/>
        </w:rPr>
        <w:t>项目施工中，</w:t>
      </w:r>
      <w:r>
        <w:rPr>
          <w:rFonts w:ascii="宋体" w:hAnsi="宋体" w:eastAsia="宋体" w:cs="宋体"/>
          <w:spacing w:val="35"/>
          <w:sz w:val="24"/>
          <w:szCs w:val="24"/>
        </w:rPr>
        <w:t xml:space="preserve"> </w:t>
      </w:r>
      <w:r>
        <w:rPr>
          <w:rFonts w:ascii="宋体" w:hAnsi="宋体" w:eastAsia="宋体" w:cs="宋体"/>
          <w:spacing w:val="-16"/>
          <w:sz w:val="24"/>
          <w:szCs w:val="24"/>
        </w:rPr>
        <w:t>运输车辆产生的扬尘，</w:t>
      </w:r>
      <w:r>
        <w:rPr>
          <w:rFonts w:ascii="宋体" w:hAnsi="宋体" w:eastAsia="宋体" w:cs="宋体"/>
          <w:spacing w:val="31"/>
          <w:sz w:val="24"/>
          <w:szCs w:val="24"/>
        </w:rPr>
        <w:t xml:space="preserve"> </w:t>
      </w:r>
      <w:r>
        <w:rPr>
          <w:rFonts w:ascii="宋体" w:hAnsi="宋体" w:eastAsia="宋体" w:cs="宋体"/>
          <w:spacing w:val="-16"/>
          <w:sz w:val="24"/>
          <w:szCs w:val="24"/>
        </w:rPr>
        <w:t>施工过程挥洒的各类物料，</w:t>
      </w:r>
      <w:r>
        <w:rPr>
          <w:rFonts w:ascii="宋体" w:hAnsi="宋体" w:eastAsia="宋体" w:cs="宋体"/>
          <w:spacing w:val="31"/>
          <w:sz w:val="24"/>
          <w:szCs w:val="24"/>
        </w:rPr>
        <w:t xml:space="preserve"> </w:t>
      </w:r>
      <w:r>
        <w:rPr>
          <w:rFonts w:ascii="宋体" w:hAnsi="宋体" w:eastAsia="宋体" w:cs="宋体"/>
          <w:spacing w:val="-16"/>
          <w:sz w:val="24"/>
          <w:szCs w:val="24"/>
        </w:rPr>
        <w:t>会对周围植物的</w:t>
      </w:r>
      <w:r>
        <w:rPr>
          <w:rFonts w:ascii="宋体" w:hAnsi="宋体" w:eastAsia="宋体" w:cs="宋体"/>
          <w:sz w:val="24"/>
          <w:szCs w:val="24"/>
        </w:rPr>
        <w:t xml:space="preserve"> </w:t>
      </w:r>
      <w:r>
        <w:rPr>
          <w:rFonts w:ascii="宋体" w:hAnsi="宋体" w:eastAsia="宋体" w:cs="宋体"/>
          <w:spacing w:val="-6"/>
          <w:sz w:val="24"/>
          <w:szCs w:val="24"/>
        </w:rPr>
        <w:t>生长带来一定的影响。但由于损失的面积相对于整个区域来说是</w:t>
      </w:r>
      <w:r>
        <w:rPr>
          <w:rFonts w:ascii="宋体" w:hAnsi="宋体" w:eastAsia="宋体" w:cs="宋体"/>
          <w:spacing w:val="-7"/>
          <w:sz w:val="24"/>
          <w:szCs w:val="24"/>
        </w:rPr>
        <w:t>极少量的， 且工</w:t>
      </w:r>
      <w:r>
        <w:rPr>
          <w:rFonts w:ascii="宋体" w:hAnsi="宋体" w:eastAsia="宋体" w:cs="宋体"/>
          <w:sz w:val="24"/>
          <w:szCs w:val="24"/>
        </w:rPr>
        <w:t xml:space="preserve"> </w:t>
      </w:r>
      <w:r>
        <w:rPr>
          <w:rFonts w:ascii="宋体" w:hAnsi="宋体" w:eastAsia="宋体" w:cs="宋体"/>
          <w:spacing w:val="-8"/>
          <w:sz w:val="24"/>
          <w:szCs w:val="24"/>
        </w:rPr>
        <w:t>程建成后为稳定路基、保持水土、美化路容、诱导行车、保护环境，</w:t>
      </w:r>
      <w:r>
        <w:rPr>
          <w:rFonts w:ascii="宋体" w:hAnsi="宋体" w:eastAsia="宋体" w:cs="宋体"/>
          <w:spacing w:val="54"/>
          <w:sz w:val="24"/>
          <w:szCs w:val="24"/>
        </w:rPr>
        <w:t xml:space="preserve"> </w:t>
      </w:r>
      <w:r>
        <w:rPr>
          <w:rFonts w:ascii="宋体" w:hAnsi="宋体" w:eastAsia="宋体" w:cs="宋体"/>
          <w:spacing w:val="-8"/>
          <w:sz w:val="24"/>
          <w:szCs w:val="24"/>
        </w:rPr>
        <w:t>在路旁已采</w:t>
      </w:r>
      <w:r>
        <w:rPr>
          <w:rFonts w:ascii="宋体" w:hAnsi="宋体" w:eastAsia="宋体" w:cs="宋体"/>
          <w:sz w:val="24"/>
          <w:szCs w:val="24"/>
        </w:rPr>
        <w:t xml:space="preserve"> </w:t>
      </w:r>
      <w:r>
        <w:rPr>
          <w:rFonts w:ascii="宋体" w:hAnsi="宋体" w:eastAsia="宋体" w:cs="宋体"/>
          <w:spacing w:val="-8"/>
          <w:sz w:val="24"/>
          <w:szCs w:val="24"/>
        </w:rPr>
        <w:t>取了栽种乔木等绿化措施，</w:t>
      </w:r>
      <w:r>
        <w:rPr>
          <w:rFonts w:ascii="宋体" w:hAnsi="宋体" w:eastAsia="宋体" w:cs="宋体"/>
          <w:spacing w:val="56"/>
          <w:sz w:val="24"/>
          <w:szCs w:val="24"/>
        </w:rPr>
        <w:t xml:space="preserve"> </w:t>
      </w:r>
      <w:r>
        <w:rPr>
          <w:rFonts w:ascii="宋体" w:hAnsi="宋体" w:eastAsia="宋体" w:cs="宋体"/>
          <w:spacing w:val="-8"/>
          <w:sz w:val="24"/>
          <w:szCs w:val="24"/>
        </w:rPr>
        <w:t>由此可以弥补工程永久占地损失的部分生物量。总体</w:t>
      </w:r>
      <w:r>
        <w:rPr>
          <w:rFonts w:ascii="宋体" w:hAnsi="宋体" w:eastAsia="宋体" w:cs="宋体"/>
          <w:sz w:val="24"/>
          <w:szCs w:val="24"/>
        </w:rPr>
        <w:t xml:space="preserve"> </w:t>
      </w:r>
      <w:r>
        <w:rPr>
          <w:rFonts w:ascii="宋体" w:hAnsi="宋体" w:eastAsia="宋体" w:cs="宋体"/>
          <w:spacing w:val="-1"/>
          <w:sz w:val="24"/>
          <w:szCs w:val="24"/>
        </w:rPr>
        <w:t>而言，工程占地造成的带状地表植被的损失将对现有生态系统</w:t>
      </w:r>
      <w:r>
        <w:rPr>
          <w:rFonts w:ascii="宋体" w:hAnsi="宋体" w:eastAsia="宋体" w:cs="宋体"/>
          <w:spacing w:val="-2"/>
          <w:sz w:val="24"/>
          <w:szCs w:val="24"/>
        </w:rPr>
        <w:t>产生一定的影响。</w:t>
      </w:r>
      <w:r>
        <w:rPr>
          <w:rFonts w:ascii="宋体" w:hAnsi="宋体" w:eastAsia="宋体" w:cs="宋体"/>
          <w:sz w:val="24"/>
          <w:szCs w:val="24"/>
        </w:rPr>
        <w:t xml:space="preserve"> </w:t>
      </w:r>
      <w:r>
        <w:rPr>
          <w:rFonts w:ascii="宋体" w:hAnsi="宋体" w:eastAsia="宋体" w:cs="宋体"/>
          <w:spacing w:val="-11"/>
          <w:sz w:val="24"/>
          <w:szCs w:val="24"/>
        </w:rPr>
        <w:t>本项目是线性项目，</w:t>
      </w:r>
      <w:r>
        <w:rPr>
          <w:rFonts w:ascii="宋体" w:hAnsi="宋体" w:eastAsia="宋体" w:cs="宋体"/>
          <w:spacing w:val="52"/>
          <w:sz w:val="24"/>
          <w:szCs w:val="24"/>
        </w:rPr>
        <w:t xml:space="preserve"> </w:t>
      </w:r>
      <w:r>
        <w:rPr>
          <w:rFonts w:ascii="宋体" w:hAnsi="宋体" w:eastAsia="宋体" w:cs="宋体"/>
          <w:spacing w:val="-11"/>
          <w:sz w:val="24"/>
          <w:szCs w:val="24"/>
        </w:rPr>
        <w:t>因此整体占地对生态环境的影响较小， 不会对当地生态系统</w:t>
      </w:r>
    </w:p>
    <w:p>
      <w:pPr>
        <w:spacing w:line="219" w:lineRule="auto"/>
        <w:ind w:left="57"/>
        <w:rPr>
          <w:rFonts w:ascii="宋体" w:hAnsi="宋体" w:eastAsia="宋体" w:cs="宋体"/>
          <w:sz w:val="24"/>
          <w:szCs w:val="24"/>
        </w:rPr>
      </w:pPr>
      <w:r>
        <w:rPr>
          <w:rFonts w:ascii="宋体" w:hAnsi="宋体" w:eastAsia="宋体" w:cs="宋体"/>
          <w:spacing w:val="-3"/>
          <w:sz w:val="24"/>
          <w:szCs w:val="24"/>
        </w:rPr>
        <w:t>的完整性造成明显影响。</w:t>
      </w:r>
    </w:p>
    <w:p>
      <w:pPr>
        <w:spacing w:before="182" w:line="220" w:lineRule="auto"/>
        <w:ind w:left="36"/>
        <w:outlineLvl w:val="1"/>
        <w:rPr>
          <w:rFonts w:ascii="宋体" w:hAnsi="宋体" w:eastAsia="宋体" w:cs="宋体"/>
          <w:sz w:val="24"/>
          <w:szCs w:val="24"/>
        </w:rPr>
      </w:pPr>
      <w:r>
        <w:fldChar w:fldCharType="begin"/>
      </w:r>
      <w:r>
        <w:instrText xml:space="preserve"> HYPERLINK "5.5.1.2" </w:instrText>
      </w:r>
      <w:r>
        <w:fldChar w:fldCharType="separate"/>
      </w:r>
      <w:r>
        <w:rPr>
          <w:rFonts w:ascii="Times New Roman" w:hAnsi="Times New Roman" w:eastAsia="Times New Roman" w:cs="Times New Roman"/>
          <w:b/>
          <w:bCs/>
          <w:sz w:val="24"/>
          <w:szCs w:val="24"/>
        </w:rPr>
        <w:t>5.5.1.2</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施工期对植物影响分析</w:t>
      </w:r>
    </w:p>
    <w:p>
      <w:pPr>
        <w:spacing w:before="179" w:line="220" w:lineRule="auto"/>
        <w:ind w:left="536"/>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、道路施工对植被及珍稀保护植物的影响</w:t>
      </w:r>
    </w:p>
    <w:p>
      <w:pPr>
        <w:spacing w:before="182" w:line="359" w:lineRule="auto"/>
        <w:ind w:left="41" w:right="1" w:firstLine="478"/>
        <w:rPr>
          <w:rFonts w:ascii="宋体" w:hAnsi="宋体" w:eastAsia="宋体" w:cs="宋体"/>
          <w:sz w:val="24"/>
          <w:szCs w:val="24"/>
        </w:rPr>
      </w:pPr>
      <w:r>
        <w:rPr>
          <w:rFonts w:ascii="宋体" w:hAnsi="宋体" w:eastAsia="宋体" w:cs="宋体"/>
          <w:spacing w:val="-1"/>
          <w:sz w:val="24"/>
          <w:szCs w:val="24"/>
        </w:rPr>
        <w:t>本工程影响区域主要是丘陵和平原区，工程</w:t>
      </w:r>
      <w:r>
        <w:rPr>
          <w:rFonts w:ascii="宋体" w:hAnsi="宋体" w:eastAsia="宋体" w:cs="宋体"/>
          <w:spacing w:val="-2"/>
          <w:sz w:val="24"/>
          <w:szCs w:val="24"/>
        </w:rPr>
        <w:t>永久占地为耕地、林地等为主。</w:t>
      </w:r>
      <w:r>
        <w:rPr>
          <w:rFonts w:ascii="宋体" w:hAnsi="宋体" w:eastAsia="宋体" w:cs="宋体"/>
          <w:sz w:val="24"/>
          <w:szCs w:val="24"/>
        </w:rPr>
        <w:t xml:space="preserve"> </w:t>
      </w:r>
      <w:r>
        <w:rPr>
          <w:rFonts w:ascii="宋体" w:hAnsi="宋体" w:eastAsia="宋体" w:cs="宋体"/>
          <w:spacing w:val="-8"/>
          <w:sz w:val="24"/>
          <w:szCs w:val="24"/>
        </w:rPr>
        <w:t>工程影响区域内植被主要为针叶林、阔叶林、针阔混交林和人工经济林等，</w:t>
      </w:r>
      <w:r>
        <w:rPr>
          <w:rFonts w:ascii="宋体" w:hAnsi="宋体" w:eastAsia="宋体" w:cs="宋体"/>
          <w:spacing w:val="54"/>
          <w:sz w:val="24"/>
          <w:szCs w:val="24"/>
        </w:rPr>
        <w:t xml:space="preserve"> </w:t>
      </w:r>
      <w:r>
        <w:rPr>
          <w:rFonts w:ascii="宋体" w:hAnsi="宋体" w:eastAsia="宋体" w:cs="宋体"/>
          <w:spacing w:val="-8"/>
          <w:sz w:val="24"/>
          <w:szCs w:val="24"/>
        </w:rPr>
        <w:t>公路</w:t>
      </w:r>
      <w:r>
        <w:rPr>
          <w:rFonts w:ascii="宋体" w:hAnsi="宋体" w:eastAsia="宋体" w:cs="宋体"/>
          <w:sz w:val="24"/>
          <w:szCs w:val="24"/>
        </w:rPr>
        <w:t xml:space="preserve"> </w:t>
      </w:r>
      <w:r>
        <w:rPr>
          <w:rFonts w:ascii="宋体" w:hAnsi="宋体" w:eastAsia="宋体" w:cs="宋体"/>
          <w:spacing w:val="-7"/>
          <w:sz w:val="24"/>
          <w:szCs w:val="24"/>
        </w:rPr>
        <w:t>建设影响的植被种类均为本区域的广布种、</w:t>
      </w:r>
      <w:r>
        <w:rPr>
          <w:rFonts w:ascii="宋体" w:hAnsi="宋体" w:eastAsia="宋体" w:cs="宋体"/>
          <w:spacing w:val="-8"/>
          <w:sz w:val="24"/>
          <w:szCs w:val="24"/>
        </w:rPr>
        <w:t>常见种，</w:t>
      </w:r>
      <w:r>
        <w:rPr>
          <w:rFonts w:ascii="宋体" w:hAnsi="宋体" w:eastAsia="宋体" w:cs="宋体"/>
          <w:spacing w:val="34"/>
          <w:sz w:val="24"/>
          <w:szCs w:val="24"/>
        </w:rPr>
        <w:t xml:space="preserve"> </w:t>
      </w:r>
      <w:r>
        <w:rPr>
          <w:rFonts w:ascii="宋体" w:hAnsi="宋体" w:eastAsia="宋体" w:cs="宋体"/>
          <w:spacing w:val="-8"/>
          <w:sz w:val="24"/>
          <w:szCs w:val="24"/>
        </w:rPr>
        <w:t>因此工程建设对沿线区域的</w:t>
      </w:r>
    </w:p>
    <w:p>
      <w:pPr>
        <w:spacing w:before="1" w:line="219" w:lineRule="auto"/>
        <w:ind w:left="39"/>
        <w:rPr>
          <w:rFonts w:ascii="宋体" w:hAnsi="宋体" w:eastAsia="宋体" w:cs="宋体"/>
          <w:sz w:val="24"/>
          <w:szCs w:val="24"/>
        </w:rPr>
      </w:pPr>
      <w:r>
        <w:rPr>
          <w:rFonts w:ascii="宋体" w:hAnsi="宋体" w:eastAsia="宋体" w:cs="宋体"/>
          <w:spacing w:val="-4"/>
          <w:sz w:val="24"/>
          <w:szCs w:val="24"/>
        </w:rPr>
        <w:t>植物物种多样性影响不大。</w:t>
      </w:r>
    </w:p>
    <w:p>
      <w:pPr>
        <w:spacing w:before="184" w:line="359" w:lineRule="auto"/>
        <w:ind w:left="38" w:right="60" w:firstLine="482"/>
        <w:rPr>
          <w:rFonts w:ascii="宋体" w:hAnsi="宋体" w:eastAsia="宋体" w:cs="宋体"/>
          <w:sz w:val="24"/>
          <w:szCs w:val="24"/>
        </w:rPr>
      </w:pPr>
      <w:r>
        <w:rPr>
          <w:rFonts w:ascii="宋体" w:hAnsi="宋体" w:eastAsia="宋体" w:cs="宋体"/>
          <w:spacing w:val="-18"/>
          <w:sz w:val="24"/>
          <w:szCs w:val="24"/>
        </w:rPr>
        <w:t>工程所在区域自然条件较好，</w:t>
      </w:r>
      <w:r>
        <w:rPr>
          <w:rFonts w:ascii="宋体" w:hAnsi="宋体" w:eastAsia="宋体" w:cs="宋体"/>
          <w:spacing w:val="45"/>
          <w:sz w:val="24"/>
          <w:szCs w:val="24"/>
        </w:rPr>
        <w:t xml:space="preserve"> </w:t>
      </w:r>
      <w:r>
        <w:rPr>
          <w:rFonts w:ascii="宋体" w:hAnsi="宋体" w:eastAsia="宋体" w:cs="宋体"/>
          <w:spacing w:val="-18"/>
          <w:sz w:val="24"/>
          <w:szCs w:val="24"/>
        </w:rPr>
        <w:t>光照较多、雨水丰富，</w:t>
      </w:r>
      <w:r>
        <w:rPr>
          <w:rFonts w:ascii="宋体" w:hAnsi="宋体" w:eastAsia="宋体" w:cs="宋体"/>
          <w:spacing w:val="39"/>
          <w:sz w:val="24"/>
          <w:szCs w:val="24"/>
        </w:rPr>
        <w:t xml:space="preserve"> </w:t>
      </w:r>
      <w:r>
        <w:rPr>
          <w:rFonts w:ascii="宋体" w:hAnsi="宋体" w:eastAsia="宋体" w:cs="宋体"/>
          <w:spacing w:val="-18"/>
          <w:sz w:val="24"/>
          <w:szCs w:val="24"/>
        </w:rPr>
        <w:t>植物生长速度较快，</w:t>
      </w:r>
      <w:r>
        <w:rPr>
          <w:rFonts w:ascii="宋体" w:hAnsi="宋体" w:eastAsia="宋体" w:cs="宋体"/>
          <w:spacing w:val="40"/>
          <w:sz w:val="24"/>
          <w:szCs w:val="24"/>
        </w:rPr>
        <w:t xml:space="preserve"> </w:t>
      </w:r>
      <w:r>
        <w:rPr>
          <w:rFonts w:ascii="宋体" w:hAnsi="宋体" w:eastAsia="宋体" w:cs="宋体"/>
          <w:spacing w:val="-18"/>
          <w:sz w:val="24"/>
          <w:szCs w:val="24"/>
        </w:rPr>
        <w:t>植</w:t>
      </w:r>
      <w:r>
        <w:rPr>
          <w:rFonts w:ascii="宋体" w:hAnsi="宋体" w:eastAsia="宋体" w:cs="宋体"/>
          <w:sz w:val="24"/>
          <w:szCs w:val="24"/>
        </w:rPr>
        <w:t xml:space="preserve"> </w:t>
      </w:r>
      <w:r>
        <w:rPr>
          <w:rFonts w:ascii="宋体" w:hAnsi="宋体" w:eastAsia="宋体" w:cs="宋体"/>
          <w:spacing w:val="-12"/>
          <w:sz w:val="24"/>
          <w:szCs w:val="24"/>
        </w:rPr>
        <w:t>被的自然恢复能力较强，</w:t>
      </w:r>
      <w:r>
        <w:rPr>
          <w:rFonts w:ascii="宋体" w:hAnsi="宋体" w:eastAsia="宋体" w:cs="宋体"/>
          <w:spacing w:val="43"/>
          <w:sz w:val="24"/>
          <w:szCs w:val="24"/>
        </w:rPr>
        <w:t xml:space="preserve"> </w:t>
      </w:r>
      <w:r>
        <w:rPr>
          <w:rFonts w:ascii="宋体" w:hAnsi="宋体" w:eastAsia="宋体" w:cs="宋体"/>
          <w:spacing w:val="-12"/>
          <w:sz w:val="24"/>
          <w:szCs w:val="24"/>
        </w:rPr>
        <w:t>被破坏地段的植物和植被能较快恢复。此外，</w:t>
      </w:r>
      <w:r>
        <w:rPr>
          <w:rFonts w:ascii="宋体" w:hAnsi="宋体" w:eastAsia="宋体" w:cs="宋体"/>
          <w:spacing w:val="33"/>
          <w:sz w:val="24"/>
          <w:szCs w:val="24"/>
        </w:rPr>
        <w:t xml:space="preserve"> </w:t>
      </w:r>
      <w:r>
        <w:rPr>
          <w:rFonts w:ascii="宋体" w:hAnsi="宋体" w:eastAsia="宋体" w:cs="宋体"/>
          <w:spacing w:val="-12"/>
          <w:sz w:val="24"/>
          <w:szCs w:val="24"/>
        </w:rPr>
        <w:t>本工程对</w:t>
      </w:r>
      <w:r>
        <w:rPr>
          <w:rFonts w:ascii="宋体" w:hAnsi="宋体" w:eastAsia="宋体" w:cs="宋体"/>
          <w:sz w:val="24"/>
          <w:szCs w:val="24"/>
        </w:rPr>
        <w:t xml:space="preserve"> </w:t>
      </w:r>
      <w:r>
        <w:rPr>
          <w:rFonts w:ascii="宋体" w:hAnsi="宋体" w:eastAsia="宋体" w:cs="宋体"/>
          <w:spacing w:val="-6"/>
          <w:sz w:val="24"/>
          <w:szCs w:val="24"/>
        </w:rPr>
        <w:t>永久占地范围内可绿化地段实施植被恢复工程，</w:t>
      </w:r>
      <w:r>
        <w:rPr>
          <w:rFonts w:ascii="宋体" w:hAnsi="宋体" w:eastAsia="宋体" w:cs="宋体"/>
          <w:spacing w:val="-14"/>
          <w:sz w:val="24"/>
          <w:szCs w:val="24"/>
        </w:rPr>
        <w:t xml:space="preserve"> </w:t>
      </w:r>
      <w:r>
        <w:rPr>
          <w:rFonts w:ascii="宋体" w:hAnsi="宋体" w:eastAsia="宋体" w:cs="宋体"/>
          <w:spacing w:val="-6"/>
          <w:sz w:val="24"/>
          <w:szCs w:val="24"/>
        </w:rPr>
        <w:t>大大减轻公路建设对植物种群的</w:t>
      </w:r>
    </w:p>
    <w:p>
      <w:pPr>
        <w:spacing w:before="1" w:line="221" w:lineRule="auto"/>
        <w:ind w:left="38"/>
        <w:rPr>
          <w:rFonts w:ascii="宋体" w:hAnsi="宋体" w:eastAsia="宋体" w:cs="宋体"/>
          <w:sz w:val="24"/>
          <w:szCs w:val="24"/>
        </w:rPr>
      </w:pPr>
      <w:r>
        <w:rPr>
          <w:rFonts w:ascii="宋体" w:hAnsi="宋体" w:eastAsia="宋体" w:cs="宋体"/>
          <w:spacing w:val="-4"/>
          <w:sz w:val="24"/>
          <w:szCs w:val="24"/>
        </w:rPr>
        <w:t>影响。</w:t>
      </w:r>
    </w:p>
    <w:p>
      <w:pPr>
        <w:spacing w:before="179" w:line="359" w:lineRule="auto"/>
        <w:ind w:left="38" w:right="58" w:firstLine="485"/>
        <w:rPr>
          <w:rFonts w:ascii="宋体" w:hAnsi="宋体" w:eastAsia="宋体" w:cs="宋体"/>
          <w:sz w:val="24"/>
          <w:szCs w:val="24"/>
        </w:rPr>
      </w:pPr>
      <w:r>
        <w:rPr>
          <w:rFonts w:ascii="宋体" w:hAnsi="宋体" w:eastAsia="宋体" w:cs="宋体"/>
          <w:spacing w:val="-7"/>
          <w:sz w:val="24"/>
          <w:szCs w:val="24"/>
        </w:rPr>
        <w:t>结合野外调查及相关资料查阅， 项目评价范围内发现野大豆、中华猕猴桃两</w:t>
      </w:r>
      <w:r>
        <w:rPr>
          <w:rFonts w:ascii="宋体" w:hAnsi="宋体" w:eastAsia="宋体" w:cs="宋体"/>
          <w:spacing w:val="5"/>
          <w:sz w:val="24"/>
          <w:szCs w:val="24"/>
        </w:rPr>
        <w:t xml:space="preserve"> </w:t>
      </w:r>
      <w:r>
        <w:rPr>
          <w:rFonts w:ascii="宋体" w:hAnsi="宋体" w:eastAsia="宋体" w:cs="宋体"/>
          <w:spacing w:val="-9"/>
          <w:sz w:val="24"/>
          <w:szCs w:val="24"/>
        </w:rPr>
        <w:t>种国家二级保护植物和杨桐省级保护植物， 保护等</w:t>
      </w:r>
      <w:r>
        <w:rPr>
          <w:rFonts w:ascii="宋体" w:hAnsi="宋体" w:eastAsia="宋体" w:cs="宋体"/>
          <w:spacing w:val="-10"/>
          <w:sz w:val="24"/>
          <w:szCs w:val="24"/>
        </w:rPr>
        <w:t>级为无危， 分布区域为评价范</w:t>
      </w:r>
      <w:r>
        <w:rPr>
          <w:rFonts w:ascii="宋体" w:hAnsi="宋体" w:eastAsia="宋体" w:cs="宋体"/>
          <w:sz w:val="24"/>
          <w:szCs w:val="24"/>
        </w:rPr>
        <w:t xml:space="preserve"> </w:t>
      </w:r>
      <w:r>
        <w:rPr>
          <w:rFonts w:ascii="宋体" w:hAnsi="宋体" w:eastAsia="宋体" w:cs="宋体"/>
          <w:spacing w:val="-10"/>
          <w:sz w:val="24"/>
          <w:szCs w:val="24"/>
        </w:rPr>
        <w:t>围边界， 距离施工沿线相对较远，</w:t>
      </w:r>
      <w:r>
        <w:rPr>
          <w:rFonts w:ascii="宋体" w:hAnsi="宋体" w:eastAsia="宋体" w:cs="宋体"/>
          <w:spacing w:val="34"/>
          <w:sz w:val="24"/>
          <w:szCs w:val="24"/>
        </w:rPr>
        <w:t xml:space="preserve"> </w:t>
      </w:r>
      <w:r>
        <w:rPr>
          <w:rFonts w:ascii="宋体" w:hAnsi="宋体" w:eastAsia="宋体" w:cs="宋体"/>
          <w:spacing w:val="-10"/>
          <w:sz w:val="24"/>
          <w:szCs w:val="24"/>
        </w:rPr>
        <w:t>无古树</w:t>
      </w:r>
      <w:r>
        <w:rPr>
          <w:rFonts w:ascii="宋体" w:hAnsi="宋体" w:eastAsia="宋体" w:cs="宋体"/>
          <w:spacing w:val="-11"/>
          <w:sz w:val="24"/>
          <w:szCs w:val="24"/>
        </w:rPr>
        <w:t>名木位于项目红线范围内，评价范围内</w:t>
      </w:r>
      <w:r>
        <w:rPr>
          <w:rFonts w:ascii="宋体" w:hAnsi="宋体" w:eastAsia="宋体" w:cs="宋体"/>
          <w:sz w:val="24"/>
          <w:szCs w:val="24"/>
        </w:rPr>
        <w:t xml:space="preserve"> </w:t>
      </w:r>
      <w:r>
        <w:rPr>
          <w:rFonts w:ascii="宋体" w:hAnsi="宋体" w:eastAsia="宋体" w:cs="宋体"/>
          <w:spacing w:val="-8"/>
          <w:sz w:val="24"/>
          <w:szCs w:val="24"/>
        </w:rPr>
        <w:t>古树名木距离相对较远。因此，</w:t>
      </w:r>
      <w:r>
        <w:rPr>
          <w:rFonts w:ascii="宋体" w:hAnsi="宋体" w:eastAsia="宋体" w:cs="宋体"/>
          <w:spacing w:val="42"/>
          <w:sz w:val="24"/>
          <w:szCs w:val="24"/>
        </w:rPr>
        <w:t xml:space="preserve"> </w:t>
      </w:r>
      <w:r>
        <w:rPr>
          <w:rFonts w:ascii="宋体" w:hAnsi="宋体" w:eastAsia="宋体" w:cs="宋体"/>
          <w:spacing w:val="-8"/>
          <w:sz w:val="24"/>
          <w:szCs w:val="24"/>
        </w:rPr>
        <w:t>本项目施工过程中基本不会影响到保护植物。项</w:t>
      </w:r>
    </w:p>
    <w:p>
      <w:pPr>
        <w:spacing w:before="1" w:line="218" w:lineRule="auto"/>
        <w:ind w:left="83"/>
        <w:rPr>
          <w:rFonts w:ascii="宋体" w:hAnsi="宋体" w:eastAsia="宋体" w:cs="宋体"/>
          <w:sz w:val="24"/>
          <w:szCs w:val="24"/>
        </w:rPr>
      </w:pPr>
      <w:r>
        <w:rPr>
          <w:rFonts w:ascii="宋体" w:hAnsi="宋体" w:eastAsia="宋体" w:cs="宋体"/>
          <w:spacing w:val="-4"/>
          <w:sz w:val="24"/>
          <w:szCs w:val="24"/>
        </w:rPr>
        <w:t>目沿线未见其他野生保护植物，不会对其产生影响。</w:t>
      </w:r>
    </w:p>
    <w:p>
      <w:pPr>
        <w:spacing w:before="262" w:line="468" w:lineRule="exact"/>
        <w:ind w:right="60"/>
        <w:jc w:val="right"/>
        <w:rPr>
          <w:rFonts w:ascii="宋体" w:hAnsi="宋体" w:eastAsia="宋体" w:cs="宋体"/>
          <w:sz w:val="24"/>
          <w:szCs w:val="24"/>
        </w:rPr>
      </w:pPr>
      <w:r>
        <w:rPr>
          <w:rFonts w:ascii="宋体" w:hAnsi="宋体" w:eastAsia="宋体" w:cs="宋体"/>
          <w:spacing w:val="-21"/>
          <w:position w:val="17"/>
          <w:sz w:val="24"/>
          <w:szCs w:val="24"/>
        </w:rPr>
        <w:t>根据现场调查，</w:t>
      </w:r>
      <w:r>
        <w:rPr>
          <w:rFonts w:ascii="宋体" w:hAnsi="宋体" w:eastAsia="宋体" w:cs="宋体"/>
          <w:spacing w:val="47"/>
          <w:position w:val="17"/>
          <w:sz w:val="24"/>
          <w:szCs w:val="24"/>
        </w:rPr>
        <w:t xml:space="preserve"> </w:t>
      </w:r>
      <w:r>
        <w:rPr>
          <w:rFonts w:ascii="宋体" w:hAnsi="宋体" w:eastAsia="宋体" w:cs="宋体"/>
          <w:spacing w:val="-21"/>
          <w:position w:val="17"/>
          <w:sz w:val="24"/>
          <w:szCs w:val="24"/>
        </w:rPr>
        <w:t>施工期已经结束，</w:t>
      </w:r>
      <w:r>
        <w:rPr>
          <w:rFonts w:ascii="宋体" w:hAnsi="宋体" w:eastAsia="宋体" w:cs="宋体"/>
          <w:spacing w:val="42"/>
          <w:position w:val="17"/>
          <w:sz w:val="24"/>
          <w:szCs w:val="24"/>
        </w:rPr>
        <w:t xml:space="preserve"> </w:t>
      </w:r>
      <w:r>
        <w:rPr>
          <w:rFonts w:ascii="宋体" w:hAnsi="宋体" w:eastAsia="宋体" w:cs="宋体"/>
          <w:spacing w:val="-21"/>
          <w:position w:val="17"/>
          <w:sz w:val="24"/>
          <w:szCs w:val="24"/>
        </w:rPr>
        <w:t>项目沿线植被茂盛，</w:t>
      </w:r>
      <w:r>
        <w:rPr>
          <w:rFonts w:ascii="宋体" w:hAnsi="宋体" w:eastAsia="宋体" w:cs="宋体"/>
          <w:spacing w:val="40"/>
          <w:position w:val="17"/>
          <w:sz w:val="24"/>
          <w:szCs w:val="24"/>
        </w:rPr>
        <w:t xml:space="preserve"> </w:t>
      </w:r>
      <w:r>
        <w:rPr>
          <w:rFonts w:ascii="宋体" w:hAnsi="宋体" w:eastAsia="宋体" w:cs="宋体"/>
          <w:spacing w:val="-21"/>
          <w:position w:val="17"/>
          <w:sz w:val="24"/>
          <w:szCs w:val="24"/>
        </w:rPr>
        <w:t>长势良好， 施工期无</w:t>
      </w:r>
    </w:p>
    <w:p>
      <w:pPr>
        <w:spacing w:before="1" w:line="219" w:lineRule="auto"/>
        <w:ind w:left="39"/>
        <w:rPr>
          <w:rFonts w:ascii="宋体" w:hAnsi="宋体" w:eastAsia="宋体" w:cs="宋体"/>
          <w:sz w:val="24"/>
          <w:szCs w:val="24"/>
        </w:rPr>
      </w:pPr>
      <w:r>
        <w:rPr>
          <w:rFonts w:hint="eastAsia" w:ascii="宋体" w:hAnsi="宋体" w:eastAsia="宋体" w:cs="宋体"/>
          <w:spacing w:val="-5"/>
          <w:sz w:val="24"/>
          <w:szCs w:val="24"/>
          <w:lang w:eastAsia="zh-CN"/>
        </w:rPr>
        <w:t>乱砍滥伐</w:t>
      </w:r>
      <w:r>
        <w:rPr>
          <w:rFonts w:ascii="宋体" w:hAnsi="宋体" w:eastAsia="宋体" w:cs="宋体"/>
          <w:spacing w:val="-5"/>
          <w:sz w:val="24"/>
          <w:szCs w:val="24"/>
        </w:rPr>
        <w:t>的现象。</w:t>
      </w:r>
    </w:p>
    <w:p>
      <w:pPr>
        <w:spacing w:before="103" w:line="220" w:lineRule="auto"/>
        <w:ind w:left="513"/>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、高填深挖段对植被的影响分析</w:t>
      </w:r>
    </w:p>
    <w:p>
      <w:pPr>
        <w:spacing w:before="181" w:line="359" w:lineRule="auto"/>
        <w:ind w:left="40" w:right="56" w:firstLine="496"/>
        <w:rPr>
          <w:rFonts w:ascii="宋体" w:hAnsi="宋体" w:eastAsia="宋体" w:cs="宋体"/>
          <w:sz w:val="24"/>
          <w:szCs w:val="24"/>
        </w:rPr>
      </w:pPr>
      <w:r>
        <w:rPr>
          <w:rFonts w:ascii="宋体" w:hAnsi="宋体" w:eastAsia="宋体" w:cs="宋体"/>
          <w:spacing w:val="-2"/>
          <w:sz w:val="24"/>
          <w:szCs w:val="24"/>
        </w:rPr>
        <w:t xml:space="preserve">因工程地质原因，为保证工程的安全，本项目挖深大于 </w:t>
      </w:r>
      <w:r>
        <w:rPr>
          <w:rFonts w:ascii="Times New Roman" w:hAnsi="Times New Roman" w:eastAsia="Times New Roman" w:cs="Times New Roman"/>
          <w:spacing w:val="-2"/>
          <w:sz w:val="24"/>
          <w:szCs w:val="24"/>
        </w:rPr>
        <w:t xml:space="preserve">30m  </w:t>
      </w:r>
      <w:r>
        <w:rPr>
          <w:rFonts w:ascii="宋体" w:hAnsi="宋体" w:eastAsia="宋体" w:cs="宋体"/>
          <w:spacing w:val="-2"/>
          <w:sz w:val="24"/>
          <w:szCs w:val="24"/>
        </w:rPr>
        <w:t>的高路堑边坡</w:t>
      </w:r>
      <w:r>
        <w:rPr>
          <w:rFonts w:ascii="宋体" w:hAnsi="宋体" w:eastAsia="宋体" w:cs="宋体"/>
          <w:spacing w:val="4"/>
          <w:sz w:val="24"/>
          <w:szCs w:val="24"/>
        </w:rPr>
        <w:t xml:space="preserve"> </w:t>
      </w:r>
      <w:r>
        <w:rPr>
          <w:rFonts w:ascii="宋体" w:hAnsi="宋体" w:eastAsia="宋体" w:cs="宋体"/>
          <w:spacing w:val="-3"/>
          <w:sz w:val="24"/>
          <w:szCs w:val="24"/>
        </w:rPr>
        <w:t>路段共有</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处，最大边坡高度</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46.1m</w:t>
      </w:r>
      <w:r>
        <w:rPr>
          <w:rFonts w:ascii="宋体" w:hAnsi="宋体" w:eastAsia="宋体" w:cs="宋体"/>
          <w:spacing w:val="-3"/>
          <w:sz w:val="24"/>
          <w:szCs w:val="24"/>
        </w:rPr>
        <w:t>；填</w:t>
      </w:r>
      <w:r>
        <w:rPr>
          <w:rFonts w:ascii="宋体" w:hAnsi="宋体" w:eastAsia="宋体" w:cs="宋体"/>
          <w:spacing w:val="-4"/>
          <w:sz w:val="24"/>
          <w:szCs w:val="24"/>
        </w:rPr>
        <w:t>高大于</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20m</w:t>
      </w:r>
      <w:r>
        <w:rPr>
          <w:rFonts w:ascii="Times New Roman" w:hAnsi="Times New Roman" w:eastAsia="Times New Roman" w:cs="Times New Roman"/>
          <w:spacing w:val="32"/>
          <w:w w:val="101"/>
          <w:sz w:val="24"/>
          <w:szCs w:val="24"/>
        </w:rPr>
        <w:t xml:space="preserve"> </w:t>
      </w:r>
      <w:r>
        <w:rPr>
          <w:rFonts w:ascii="宋体" w:hAnsi="宋体" w:eastAsia="宋体" w:cs="宋体"/>
          <w:spacing w:val="-4"/>
          <w:sz w:val="24"/>
          <w:szCs w:val="24"/>
        </w:rPr>
        <w:t>的路段共有</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处，最大填</w:t>
      </w:r>
    </w:p>
    <w:p>
      <w:pPr>
        <w:spacing w:line="219" w:lineRule="auto"/>
        <w:ind w:left="44"/>
        <w:rPr>
          <w:rFonts w:ascii="宋体" w:hAnsi="宋体" w:eastAsia="宋体" w:cs="宋体"/>
          <w:sz w:val="24"/>
          <w:szCs w:val="24"/>
        </w:rPr>
      </w:pPr>
      <w:r>
        <w:rPr>
          <w:rFonts w:ascii="宋体" w:hAnsi="宋体" w:eastAsia="宋体" w:cs="宋体"/>
          <w:spacing w:val="-4"/>
          <w:sz w:val="24"/>
          <w:szCs w:val="24"/>
        </w:rPr>
        <w:t>高</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38.0m</w:t>
      </w:r>
      <w:r>
        <w:rPr>
          <w:rFonts w:ascii="宋体" w:hAnsi="宋体" w:eastAsia="宋体" w:cs="宋体"/>
          <w:spacing w:val="-4"/>
          <w:sz w:val="24"/>
          <w:szCs w:val="24"/>
        </w:rPr>
        <w:t>。</w:t>
      </w:r>
    </w:p>
    <w:p>
      <w:pPr>
        <w:spacing w:line="219" w:lineRule="auto"/>
        <w:rPr>
          <w:rFonts w:ascii="宋体" w:hAnsi="宋体" w:eastAsia="宋体" w:cs="宋体"/>
          <w:sz w:val="24"/>
          <w:szCs w:val="24"/>
        </w:rPr>
        <w:sectPr>
          <w:headerReference r:id="rId284" w:type="default"/>
          <w:footerReference r:id="rId285" w:type="default"/>
          <w:pgSz w:w="11907" w:h="16839"/>
          <w:pgMar w:top="1118" w:right="1739" w:bottom="1184" w:left="1771" w:header="879" w:footer="1024" w:gutter="0"/>
          <w:cols w:space="720" w:num="1"/>
        </w:sectPr>
      </w:pPr>
    </w:p>
    <w:p>
      <w:pPr>
        <w:pStyle w:val="2"/>
        <w:spacing w:line="277" w:lineRule="auto"/>
      </w:pPr>
    </w:p>
    <w:p>
      <w:pPr>
        <w:spacing w:before="78" w:line="220" w:lineRule="auto"/>
        <w:ind w:left="517"/>
        <w:rPr>
          <w:rFonts w:ascii="宋体" w:hAnsi="宋体" w:eastAsia="宋体" w:cs="宋体"/>
          <w:sz w:val="24"/>
          <w:szCs w:val="24"/>
        </w:rPr>
      </w:pPr>
      <w:r>
        <w:rPr>
          <w:rFonts w:ascii="宋体" w:hAnsi="宋体" w:eastAsia="宋体" w:cs="宋体"/>
          <w:spacing w:val="-4"/>
          <w:sz w:val="24"/>
          <w:szCs w:val="24"/>
        </w:rPr>
        <w:t>施工期高填深挖段对生态的影响：</w:t>
      </w:r>
    </w:p>
    <w:p>
      <w:pPr>
        <w:spacing w:before="183" w:line="359" w:lineRule="auto"/>
        <w:ind w:left="38" w:firstLine="483"/>
        <w:rPr>
          <w:rFonts w:ascii="宋体" w:hAnsi="宋体" w:eastAsia="宋体" w:cs="宋体"/>
          <w:sz w:val="24"/>
          <w:szCs w:val="24"/>
        </w:rPr>
      </w:pPr>
      <w:r>
        <w:rPr>
          <w:rFonts w:ascii="宋体" w:hAnsi="宋体" w:eastAsia="宋体" w:cs="宋体"/>
          <w:spacing w:val="-5"/>
          <w:sz w:val="24"/>
          <w:szCs w:val="24"/>
        </w:rPr>
        <w:t xml:space="preserve">项目高填段共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处，</w:t>
      </w:r>
      <w:r>
        <w:rPr>
          <w:rFonts w:ascii="宋体" w:hAnsi="宋体" w:eastAsia="宋体" w:cs="宋体"/>
          <w:spacing w:val="-27"/>
          <w:sz w:val="24"/>
          <w:szCs w:val="24"/>
        </w:rPr>
        <w:t xml:space="preserve"> </w:t>
      </w:r>
      <w:r>
        <w:rPr>
          <w:rFonts w:ascii="宋体" w:hAnsi="宋体" w:eastAsia="宋体" w:cs="宋体"/>
          <w:spacing w:val="-5"/>
          <w:sz w:val="24"/>
          <w:szCs w:val="24"/>
        </w:rPr>
        <w:t>路线位于低山丘陵洪积区，地形变化较大，沟谷中分</w:t>
      </w:r>
      <w:r>
        <w:rPr>
          <w:rFonts w:ascii="宋体" w:hAnsi="宋体" w:eastAsia="宋体" w:cs="宋体"/>
          <w:sz w:val="24"/>
          <w:szCs w:val="24"/>
        </w:rPr>
        <w:t xml:space="preserve"> </w:t>
      </w:r>
      <w:r>
        <w:rPr>
          <w:rFonts w:ascii="宋体" w:hAnsi="宋体" w:eastAsia="宋体" w:cs="宋体"/>
          <w:spacing w:val="-6"/>
          <w:sz w:val="24"/>
          <w:szCs w:val="24"/>
        </w:rPr>
        <w:t>布有洪坡积物，</w:t>
      </w:r>
      <w:r>
        <w:rPr>
          <w:rFonts w:ascii="宋体" w:hAnsi="宋体" w:eastAsia="宋体" w:cs="宋体"/>
          <w:spacing w:val="64"/>
          <w:sz w:val="24"/>
          <w:szCs w:val="24"/>
        </w:rPr>
        <w:t xml:space="preserve"> </w:t>
      </w:r>
      <w:r>
        <w:rPr>
          <w:rFonts w:ascii="宋体" w:hAnsi="宋体" w:eastAsia="宋体" w:cs="宋体"/>
          <w:spacing w:val="-6"/>
          <w:sz w:val="24"/>
          <w:szCs w:val="24"/>
        </w:rPr>
        <w:t>斜坡处上部分布残坡积层，下伏基岩为全</w:t>
      </w:r>
      <w:r>
        <w:rPr>
          <w:rFonts w:ascii="Times New Roman" w:hAnsi="Times New Roman" w:eastAsia="Times New Roman" w:cs="Times New Roman"/>
          <w:spacing w:val="-6"/>
          <w:sz w:val="24"/>
          <w:szCs w:val="24"/>
        </w:rPr>
        <w:t>~</w:t>
      </w:r>
      <w:r>
        <w:rPr>
          <w:rFonts w:ascii="Times New Roman" w:hAnsi="Times New Roman" w:eastAsia="Times New Roman" w:cs="Times New Roman"/>
          <w:spacing w:val="-26"/>
          <w:sz w:val="24"/>
          <w:szCs w:val="24"/>
        </w:rPr>
        <w:t xml:space="preserve"> </w:t>
      </w:r>
      <w:r>
        <w:rPr>
          <w:rFonts w:ascii="宋体" w:hAnsi="宋体" w:eastAsia="宋体" w:cs="宋体"/>
          <w:spacing w:val="-6"/>
          <w:sz w:val="24"/>
          <w:szCs w:val="24"/>
        </w:rPr>
        <w:t>中风化安山</w:t>
      </w:r>
      <w:r>
        <w:rPr>
          <w:rFonts w:ascii="宋体" w:hAnsi="宋体" w:eastAsia="宋体" w:cs="宋体"/>
          <w:spacing w:val="-7"/>
          <w:sz w:val="24"/>
          <w:szCs w:val="24"/>
        </w:rPr>
        <w:t>岩，厚度</w:t>
      </w:r>
      <w:r>
        <w:rPr>
          <w:rFonts w:ascii="宋体" w:hAnsi="宋体" w:eastAsia="宋体" w:cs="宋体"/>
          <w:sz w:val="24"/>
          <w:szCs w:val="24"/>
        </w:rPr>
        <w:t xml:space="preserve"> </w:t>
      </w:r>
      <w:r>
        <w:rPr>
          <w:rFonts w:ascii="宋体" w:hAnsi="宋体" w:eastAsia="宋体" w:cs="宋体"/>
          <w:spacing w:val="-18"/>
          <w:sz w:val="24"/>
          <w:szCs w:val="24"/>
        </w:rPr>
        <w:t>不均， 差异风化程度严重；</w:t>
      </w:r>
      <w:r>
        <w:rPr>
          <w:rFonts w:ascii="宋体" w:hAnsi="宋体" w:eastAsia="宋体" w:cs="宋体"/>
          <w:spacing w:val="52"/>
          <w:sz w:val="24"/>
          <w:szCs w:val="24"/>
        </w:rPr>
        <w:t xml:space="preserve"> </w:t>
      </w:r>
      <w:r>
        <w:rPr>
          <w:rFonts w:ascii="宋体" w:hAnsi="宋体" w:eastAsia="宋体" w:cs="宋体"/>
          <w:spacing w:val="-18"/>
          <w:sz w:val="24"/>
          <w:szCs w:val="24"/>
        </w:rPr>
        <w:t>深挖段共</w:t>
      </w:r>
      <w:r>
        <w:rPr>
          <w:rFonts w:ascii="宋体" w:hAnsi="宋体" w:eastAsia="宋体" w:cs="宋体"/>
          <w:spacing w:val="-50"/>
          <w:sz w:val="24"/>
          <w:szCs w:val="24"/>
        </w:rPr>
        <w:t xml:space="preserve"> </w:t>
      </w:r>
      <w:r>
        <w:rPr>
          <w:rFonts w:ascii="Times New Roman" w:hAnsi="Times New Roman" w:eastAsia="Times New Roman" w:cs="Times New Roman"/>
          <w:spacing w:val="-18"/>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18"/>
          <w:sz w:val="24"/>
          <w:szCs w:val="24"/>
        </w:rPr>
        <w:t>处，</w:t>
      </w:r>
      <w:r>
        <w:rPr>
          <w:rFonts w:ascii="宋体" w:hAnsi="宋体" w:eastAsia="宋体" w:cs="宋体"/>
          <w:spacing w:val="-53"/>
          <w:sz w:val="24"/>
          <w:szCs w:val="24"/>
        </w:rPr>
        <w:t xml:space="preserve"> </w:t>
      </w:r>
      <w:r>
        <w:rPr>
          <w:rFonts w:ascii="宋体" w:hAnsi="宋体" w:eastAsia="宋体" w:cs="宋体"/>
          <w:spacing w:val="-18"/>
          <w:sz w:val="24"/>
          <w:szCs w:val="24"/>
        </w:rPr>
        <w:t>主要位于剥蚀丘陵垄岗地貌，</w:t>
      </w:r>
      <w:r>
        <w:rPr>
          <w:rFonts w:ascii="宋体" w:hAnsi="宋体" w:eastAsia="宋体" w:cs="宋体"/>
          <w:spacing w:val="39"/>
          <w:sz w:val="24"/>
          <w:szCs w:val="24"/>
        </w:rPr>
        <w:t xml:space="preserve"> </w:t>
      </w:r>
      <w:r>
        <w:rPr>
          <w:rFonts w:ascii="宋体" w:hAnsi="宋体" w:eastAsia="宋体" w:cs="宋体"/>
          <w:spacing w:val="-18"/>
          <w:sz w:val="24"/>
          <w:szCs w:val="24"/>
        </w:rPr>
        <w:t>地表植</w:t>
      </w:r>
      <w:r>
        <w:rPr>
          <w:rFonts w:ascii="宋体" w:hAnsi="宋体" w:eastAsia="宋体" w:cs="宋体"/>
          <w:sz w:val="24"/>
          <w:szCs w:val="24"/>
        </w:rPr>
        <w:t xml:space="preserve"> </w:t>
      </w:r>
      <w:r>
        <w:rPr>
          <w:rFonts w:ascii="宋体" w:hAnsi="宋体" w:eastAsia="宋体" w:cs="宋体"/>
          <w:spacing w:val="-16"/>
          <w:sz w:val="24"/>
          <w:szCs w:val="24"/>
        </w:rPr>
        <w:t>被发育以林地、松树为主，</w:t>
      </w:r>
      <w:r>
        <w:rPr>
          <w:rFonts w:ascii="宋体" w:hAnsi="宋体" w:eastAsia="宋体" w:cs="宋体"/>
          <w:spacing w:val="68"/>
          <w:sz w:val="24"/>
          <w:szCs w:val="24"/>
        </w:rPr>
        <w:t xml:space="preserve"> </w:t>
      </w:r>
      <w:r>
        <w:rPr>
          <w:rFonts w:ascii="宋体" w:hAnsi="宋体" w:eastAsia="宋体" w:cs="宋体"/>
          <w:spacing w:val="-16"/>
          <w:sz w:val="24"/>
          <w:szCs w:val="24"/>
        </w:rPr>
        <w:t>山坡较陡， 坡地冲沟内滚石较多，</w:t>
      </w:r>
      <w:r>
        <w:rPr>
          <w:rFonts w:ascii="宋体" w:hAnsi="宋体" w:eastAsia="宋体" w:cs="宋体"/>
          <w:spacing w:val="41"/>
          <w:sz w:val="24"/>
          <w:szCs w:val="24"/>
        </w:rPr>
        <w:t xml:space="preserve"> </w:t>
      </w:r>
      <w:r>
        <w:rPr>
          <w:rFonts w:ascii="宋体" w:hAnsi="宋体" w:eastAsia="宋体" w:cs="宋体"/>
          <w:spacing w:val="-16"/>
          <w:sz w:val="24"/>
          <w:szCs w:val="24"/>
        </w:rPr>
        <w:t>可见强中风化基岩</w:t>
      </w:r>
      <w:r>
        <w:rPr>
          <w:rFonts w:ascii="宋体" w:hAnsi="宋体" w:eastAsia="宋体" w:cs="宋体"/>
          <w:sz w:val="24"/>
          <w:szCs w:val="24"/>
        </w:rPr>
        <w:t xml:space="preserve"> </w:t>
      </w:r>
      <w:r>
        <w:rPr>
          <w:rFonts w:ascii="宋体" w:hAnsi="宋体" w:eastAsia="宋体" w:cs="宋体"/>
          <w:spacing w:val="-17"/>
          <w:sz w:val="24"/>
          <w:szCs w:val="24"/>
        </w:rPr>
        <w:t>出露。地表植被清理后，</w:t>
      </w:r>
      <w:r>
        <w:rPr>
          <w:rFonts w:ascii="宋体" w:hAnsi="宋体" w:eastAsia="宋体" w:cs="宋体"/>
          <w:spacing w:val="50"/>
          <w:sz w:val="24"/>
          <w:szCs w:val="24"/>
        </w:rPr>
        <w:t xml:space="preserve"> </w:t>
      </w:r>
      <w:r>
        <w:rPr>
          <w:rFonts w:ascii="宋体" w:hAnsi="宋体" w:eastAsia="宋体" w:cs="宋体"/>
          <w:spacing w:val="-17"/>
          <w:sz w:val="24"/>
          <w:szCs w:val="24"/>
        </w:rPr>
        <w:t>施工将造成大的开挖面，</w:t>
      </w:r>
      <w:r>
        <w:rPr>
          <w:rFonts w:ascii="宋体" w:hAnsi="宋体" w:eastAsia="宋体" w:cs="宋体"/>
          <w:spacing w:val="40"/>
          <w:sz w:val="24"/>
          <w:szCs w:val="24"/>
        </w:rPr>
        <w:t xml:space="preserve"> </w:t>
      </w:r>
      <w:r>
        <w:rPr>
          <w:rFonts w:ascii="宋体" w:hAnsi="宋体" w:eastAsia="宋体" w:cs="宋体"/>
          <w:spacing w:val="-17"/>
          <w:sz w:val="24"/>
          <w:szCs w:val="24"/>
        </w:rPr>
        <w:t>土壤侵蚀模数相应增大，</w:t>
      </w:r>
      <w:r>
        <w:rPr>
          <w:rFonts w:ascii="宋体" w:hAnsi="宋体" w:eastAsia="宋体" w:cs="宋体"/>
          <w:spacing w:val="38"/>
          <w:sz w:val="24"/>
          <w:szCs w:val="24"/>
        </w:rPr>
        <w:t xml:space="preserve"> </w:t>
      </w:r>
      <w:r>
        <w:rPr>
          <w:rFonts w:ascii="宋体" w:hAnsi="宋体" w:eastAsia="宋体" w:cs="宋体"/>
          <w:spacing w:val="-17"/>
          <w:sz w:val="24"/>
          <w:szCs w:val="24"/>
        </w:rPr>
        <w:t>遇到</w:t>
      </w:r>
      <w:r>
        <w:rPr>
          <w:rFonts w:ascii="宋体" w:hAnsi="宋体" w:eastAsia="宋体" w:cs="宋体"/>
          <w:sz w:val="24"/>
          <w:szCs w:val="24"/>
        </w:rPr>
        <w:t xml:space="preserve"> </w:t>
      </w:r>
      <w:r>
        <w:rPr>
          <w:rFonts w:ascii="宋体" w:hAnsi="宋体" w:eastAsia="宋体" w:cs="宋体"/>
          <w:spacing w:val="-16"/>
          <w:sz w:val="24"/>
          <w:szCs w:val="24"/>
        </w:rPr>
        <w:t>雨季会引起较大规模的水土流失； 山体开挖过程中</w:t>
      </w:r>
      <w:r>
        <w:rPr>
          <w:rFonts w:ascii="宋体" w:hAnsi="宋体" w:eastAsia="宋体" w:cs="宋体"/>
          <w:spacing w:val="-17"/>
          <w:sz w:val="24"/>
          <w:szCs w:val="24"/>
        </w:rPr>
        <w:t>， 地表土壤被撬松， 树木砍伐，</w:t>
      </w:r>
    </w:p>
    <w:p>
      <w:pPr>
        <w:spacing w:line="219" w:lineRule="auto"/>
        <w:ind w:left="38"/>
        <w:rPr>
          <w:rFonts w:ascii="宋体" w:hAnsi="宋体" w:eastAsia="宋体" w:cs="宋体"/>
          <w:sz w:val="24"/>
          <w:szCs w:val="24"/>
        </w:rPr>
      </w:pPr>
      <w:r>
        <w:rPr>
          <w:rFonts w:ascii="宋体" w:hAnsi="宋体" w:eastAsia="宋体" w:cs="宋体"/>
          <w:spacing w:val="-1"/>
          <w:sz w:val="24"/>
          <w:szCs w:val="24"/>
        </w:rPr>
        <w:t>加上坡度作用，较大的土壤团块和砾石甚至向低地</w:t>
      </w:r>
      <w:r>
        <w:rPr>
          <w:rFonts w:ascii="宋体" w:hAnsi="宋体" w:eastAsia="宋体" w:cs="宋体"/>
          <w:spacing w:val="-2"/>
          <w:sz w:val="24"/>
          <w:szCs w:val="24"/>
        </w:rPr>
        <w:t>滚落，埋压周围的植被。</w:t>
      </w:r>
    </w:p>
    <w:p>
      <w:pPr>
        <w:spacing w:before="180" w:line="468" w:lineRule="exact"/>
        <w:ind w:right="61"/>
        <w:jc w:val="right"/>
        <w:rPr>
          <w:rFonts w:ascii="宋体" w:hAnsi="宋体" w:eastAsia="宋体" w:cs="宋体"/>
          <w:sz w:val="24"/>
          <w:szCs w:val="24"/>
        </w:rPr>
      </w:pPr>
      <w:r>
        <w:rPr>
          <w:rFonts w:ascii="宋体" w:hAnsi="宋体" w:eastAsia="宋体" w:cs="宋体"/>
          <w:spacing w:val="-7"/>
          <w:position w:val="17"/>
          <w:sz w:val="24"/>
          <w:szCs w:val="24"/>
        </w:rPr>
        <w:t>在高填路段的施工过程和建设完成后的初期， 由于护坡上种植的草皮尚未完</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全扎根，填方的土壤侵蚀模数很大，遇到雨季则会引起</w:t>
      </w:r>
      <w:r>
        <w:rPr>
          <w:rFonts w:ascii="宋体" w:hAnsi="宋体" w:eastAsia="宋体" w:cs="宋体"/>
          <w:spacing w:val="-2"/>
          <w:sz w:val="24"/>
          <w:szCs w:val="24"/>
        </w:rPr>
        <w:t>较大规模的水土流失。</w:t>
      </w:r>
    </w:p>
    <w:p>
      <w:pPr>
        <w:spacing w:before="182" w:line="359" w:lineRule="auto"/>
        <w:ind w:left="39" w:right="64" w:firstLine="480"/>
        <w:rPr>
          <w:rFonts w:ascii="宋体" w:hAnsi="宋体" w:eastAsia="宋体" w:cs="宋体"/>
          <w:sz w:val="24"/>
          <w:szCs w:val="24"/>
        </w:rPr>
      </w:pPr>
      <w:r>
        <w:rPr>
          <w:rFonts w:ascii="宋体" w:hAnsi="宋体" w:eastAsia="宋体" w:cs="宋体"/>
          <w:spacing w:val="-7"/>
          <w:sz w:val="24"/>
          <w:szCs w:val="24"/>
        </w:rPr>
        <w:t>经用地红线范围周边实地调查， 项目用地区域主要植被类型为针叶林、阔叶</w:t>
      </w:r>
      <w:r>
        <w:rPr>
          <w:rFonts w:ascii="宋体" w:hAnsi="宋体" w:eastAsia="宋体" w:cs="宋体"/>
          <w:spacing w:val="9"/>
          <w:sz w:val="24"/>
          <w:szCs w:val="24"/>
        </w:rPr>
        <w:t xml:space="preserve"> </w:t>
      </w:r>
      <w:r>
        <w:rPr>
          <w:rFonts w:ascii="宋体" w:hAnsi="宋体" w:eastAsia="宋体" w:cs="宋体"/>
          <w:spacing w:val="-10"/>
          <w:sz w:val="24"/>
          <w:szCs w:val="24"/>
        </w:rPr>
        <w:t>林以及针阔混交林。施工期在高填深挖段应</w:t>
      </w:r>
      <w:r>
        <w:rPr>
          <w:rFonts w:ascii="宋体" w:hAnsi="宋体" w:eastAsia="宋体" w:cs="宋体"/>
          <w:spacing w:val="-11"/>
          <w:sz w:val="24"/>
          <w:szCs w:val="24"/>
        </w:rPr>
        <w:t>及时进行植被恢复，</w:t>
      </w:r>
      <w:r>
        <w:rPr>
          <w:rFonts w:ascii="宋体" w:hAnsi="宋体" w:eastAsia="宋体" w:cs="宋体"/>
          <w:spacing w:val="32"/>
          <w:sz w:val="24"/>
          <w:szCs w:val="24"/>
        </w:rPr>
        <w:t xml:space="preserve"> </w:t>
      </w:r>
      <w:r>
        <w:rPr>
          <w:rFonts w:ascii="宋体" w:hAnsi="宋体" w:eastAsia="宋体" w:cs="宋体"/>
          <w:spacing w:val="-11"/>
          <w:sz w:val="24"/>
          <w:szCs w:val="24"/>
        </w:rPr>
        <w:t>做好护坡， 做好</w:t>
      </w:r>
    </w:p>
    <w:p>
      <w:pPr>
        <w:spacing w:line="219" w:lineRule="auto"/>
        <w:ind w:left="41"/>
        <w:rPr>
          <w:rFonts w:ascii="宋体" w:hAnsi="宋体" w:eastAsia="宋体" w:cs="宋体"/>
          <w:sz w:val="24"/>
          <w:szCs w:val="24"/>
        </w:rPr>
      </w:pPr>
      <w:r>
        <w:rPr>
          <w:rFonts w:ascii="宋体" w:hAnsi="宋体" w:eastAsia="宋体" w:cs="宋体"/>
          <w:spacing w:val="-2"/>
          <w:sz w:val="24"/>
          <w:szCs w:val="24"/>
        </w:rPr>
        <w:t>水体保持工作，降低高填深挖施工对植被及环境的影响。</w:t>
      </w:r>
    </w:p>
    <w:p>
      <w:pPr>
        <w:spacing w:before="184" w:line="359" w:lineRule="auto"/>
        <w:ind w:left="36" w:right="63" w:firstLine="484"/>
        <w:rPr>
          <w:rFonts w:ascii="宋体" w:hAnsi="宋体" w:eastAsia="宋体" w:cs="宋体"/>
          <w:sz w:val="24"/>
          <w:szCs w:val="24"/>
        </w:rPr>
      </w:pPr>
      <w:r>
        <w:rPr>
          <w:rFonts w:ascii="宋体" w:hAnsi="宋体" w:eastAsia="宋体" w:cs="宋体"/>
          <w:spacing w:val="-10"/>
          <w:sz w:val="24"/>
          <w:szCs w:val="24"/>
        </w:rPr>
        <w:t>为减轻路线深挖对生态环境的影响， 深挖路段施工中首先测量定线， 挖掘机</w:t>
      </w:r>
      <w:r>
        <w:rPr>
          <w:rFonts w:ascii="宋体" w:hAnsi="宋体" w:eastAsia="宋体" w:cs="宋体"/>
          <w:sz w:val="24"/>
          <w:szCs w:val="24"/>
        </w:rPr>
        <w:t xml:space="preserve"> </w:t>
      </w:r>
      <w:r>
        <w:rPr>
          <w:rFonts w:ascii="宋体" w:hAnsi="宋体" w:eastAsia="宋体" w:cs="宋体"/>
          <w:spacing w:val="-1"/>
          <w:sz w:val="24"/>
          <w:szCs w:val="24"/>
        </w:rPr>
        <w:t xml:space="preserve">进程从坡顶向路基标高开挖，同时在顺坡面外侧 </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r>
        <w:rPr>
          <w:rFonts w:ascii="Times New Roman" w:hAnsi="Times New Roman" w:eastAsia="Times New Roman" w:cs="Times New Roman"/>
          <w:spacing w:val="-1"/>
          <w:sz w:val="24"/>
          <w:szCs w:val="24"/>
        </w:rPr>
        <w:t>5m</w:t>
      </w:r>
      <w:r>
        <w:rPr>
          <w:rFonts w:ascii="Times New Roman" w:hAnsi="Times New Roman" w:eastAsia="Times New Roman" w:cs="Times New Roman"/>
          <w:spacing w:val="56"/>
          <w:sz w:val="24"/>
          <w:szCs w:val="24"/>
        </w:rPr>
        <w:t xml:space="preserve"> </w:t>
      </w:r>
      <w:r>
        <w:rPr>
          <w:rFonts w:ascii="宋体" w:hAnsi="宋体" w:eastAsia="宋体" w:cs="宋体"/>
          <w:spacing w:val="-1"/>
          <w:sz w:val="24"/>
          <w:szCs w:val="24"/>
        </w:rPr>
        <w:t>外开</w:t>
      </w:r>
      <w:r>
        <w:rPr>
          <w:rFonts w:ascii="宋体" w:hAnsi="宋体" w:eastAsia="宋体" w:cs="宋体"/>
          <w:spacing w:val="-2"/>
          <w:sz w:val="24"/>
          <w:szCs w:val="24"/>
        </w:rPr>
        <w:t>挖截水沟，边开挖</w:t>
      </w:r>
      <w:r>
        <w:rPr>
          <w:rFonts w:ascii="宋体" w:hAnsi="宋体" w:eastAsia="宋体" w:cs="宋体"/>
          <w:sz w:val="24"/>
          <w:szCs w:val="24"/>
        </w:rPr>
        <w:t xml:space="preserve"> </w:t>
      </w:r>
      <w:r>
        <w:rPr>
          <w:rFonts w:ascii="宋体" w:hAnsi="宋体" w:eastAsia="宋体" w:cs="宋体"/>
          <w:spacing w:val="-10"/>
          <w:sz w:val="24"/>
          <w:szCs w:val="24"/>
        </w:rPr>
        <w:t>边修坡， 开挖至路堑路基标高。路基形成后立即</w:t>
      </w:r>
      <w:r>
        <w:rPr>
          <w:rFonts w:ascii="宋体" w:hAnsi="宋体" w:eastAsia="宋体" w:cs="宋体"/>
          <w:spacing w:val="-11"/>
          <w:sz w:val="24"/>
          <w:szCs w:val="24"/>
        </w:rPr>
        <w:t>修筑边坡，</w:t>
      </w:r>
      <w:r>
        <w:rPr>
          <w:rFonts w:ascii="宋体" w:hAnsi="宋体" w:eastAsia="宋体" w:cs="宋体"/>
          <w:spacing w:val="31"/>
          <w:sz w:val="24"/>
          <w:szCs w:val="24"/>
        </w:rPr>
        <w:t xml:space="preserve"> </w:t>
      </w:r>
      <w:r>
        <w:rPr>
          <w:rFonts w:ascii="宋体" w:hAnsi="宋体" w:eastAsia="宋体" w:cs="宋体"/>
          <w:spacing w:val="-11"/>
          <w:sz w:val="24"/>
          <w:szCs w:val="24"/>
        </w:rPr>
        <w:t>针对不同岩土质地的</w:t>
      </w:r>
      <w:r>
        <w:rPr>
          <w:rFonts w:ascii="宋体" w:hAnsi="宋体" w:eastAsia="宋体" w:cs="宋体"/>
          <w:sz w:val="24"/>
          <w:szCs w:val="24"/>
        </w:rPr>
        <w:t xml:space="preserve"> </w:t>
      </w:r>
      <w:r>
        <w:rPr>
          <w:rFonts w:ascii="宋体" w:hAnsi="宋体" w:eastAsia="宋体" w:cs="宋体"/>
          <w:spacing w:val="-8"/>
          <w:sz w:val="24"/>
          <w:szCs w:val="24"/>
        </w:rPr>
        <w:t>边坡采取护面墙、抗滑桩、防滑挡土墙，</w:t>
      </w:r>
      <w:r>
        <w:rPr>
          <w:rFonts w:ascii="宋体" w:hAnsi="宋体" w:eastAsia="宋体" w:cs="宋体"/>
          <w:spacing w:val="55"/>
          <w:sz w:val="24"/>
          <w:szCs w:val="24"/>
        </w:rPr>
        <w:t xml:space="preserve"> </w:t>
      </w:r>
      <w:r>
        <w:rPr>
          <w:rFonts w:ascii="宋体" w:hAnsi="宋体" w:eastAsia="宋体" w:cs="宋体"/>
          <w:spacing w:val="-8"/>
          <w:sz w:val="24"/>
          <w:szCs w:val="24"/>
        </w:rPr>
        <w:t>浆砌片石骨架内种草、机械液压喷播或</w:t>
      </w:r>
    </w:p>
    <w:p>
      <w:pPr>
        <w:spacing w:line="219" w:lineRule="auto"/>
        <w:ind w:left="38"/>
        <w:rPr>
          <w:rFonts w:ascii="宋体" w:hAnsi="宋体" w:eastAsia="宋体" w:cs="宋体"/>
          <w:sz w:val="24"/>
          <w:szCs w:val="24"/>
        </w:rPr>
      </w:pPr>
      <w:r>
        <w:rPr>
          <w:rFonts w:ascii="宋体" w:hAnsi="宋体" w:eastAsia="宋体" w:cs="宋体"/>
          <w:spacing w:val="-3"/>
          <w:sz w:val="24"/>
          <w:szCs w:val="24"/>
        </w:rPr>
        <w:t>满铺草皮等措施进行坡面防护。</w:t>
      </w:r>
    </w:p>
    <w:p>
      <w:pPr>
        <w:spacing w:before="182" w:line="220" w:lineRule="auto"/>
        <w:ind w:left="51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、施工期对隧道上方的植被的影响</w:t>
      </w:r>
    </w:p>
    <w:p>
      <w:pPr>
        <w:spacing w:before="183" w:line="359" w:lineRule="auto"/>
        <w:ind w:left="39" w:right="60" w:firstLine="491"/>
        <w:rPr>
          <w:rFonts w:ascii="宋体" w:hAnsi="宋体" w:eastAsia="宋体" w:cs="宋体"/>
          <w:sz w:val="24"/>
          <w:szCs w:val="24"/>
        </w:rPr>
      </w:pPr>
      <w:r>
        <w:rPr>
          <w:rFonts w:ascii="宋体" w:hAnsi="宋体" w:eastAsia="宋体" w:cs="宋体"/>
          <w:spacing w:val="-8"/>
          <w:sz w:val="24"/>
          <w:szCs w:val="24"/>
        </w:rPr>
        <w:t>隧址区地处丘陵区， 敖里隧道地形较平缓， 百丈隧道坡度</w:t>
      </w:r>
      <w:r>
        <w:rPr>
          <w:rFonts w:ascii="宋体" w:hAnsi="宋体" w:eastAsia="宋体" w:cs="宋体"/>
          <w:spacing w:val="38"/>
          <w:sz w:val="24"/>
          <w:szCs w:val="24"/>
        </w:rPr>
        <w:t xml:space="preserve"> </w:t>
      </w:r>
      <w:r>
        <w:rPr>
          <w:rFonts w:ascii="Times New Roman" w:hAnsi="Times New Roman" w:eastAsia="Times New Roman" w:cs="Times New Roman"/>
          <w:spacing w:val="-8"/>
          <w:sz w:val="24"/>
          <w:szCs w:val="24"/>
        </w:rPr>
        <w:t>10~25°</w:t>
      </w:r>
      <w:r>
        <w:rPr>
          <w:rFonts w:ascii="宋体" w:hAnsi="宋体" w:eastAsia="宋体" w:cs="宋体"/>
          <w:spacing w:val="-8"/>
          <w:sz w:val="24"/>
          <w:szCs w:val="24"/>
        </w:rPr>
        <w:t>,</w:t>
      </w:r>
      <w:r>
        <w:rPr>
          <w:rFonts w:ascii="宋体" w:hAnsi="宋体" w:eastAsia="宋体" w:cs="宋体"/>
          <w:spacing w:val="39"/>
          <w:sz w:val="24"/>
          <w:szCs w:val="24"/>
        </w:rPr>
        <w:t xml:space="preserve"> </w:t>
      </w:r>
      <w:r>
        <w:rPr>
          <w:rFonts w:ascii="宋体" w:hAnsi="宋体" w:eastAsia="宋体" w:cs="宋体"/>
          <w:spacing w:val="-8"/>
          <w:sz w:val="24"/>
          <w:szCs w:val="24"/>
        </w:rPr>
        <w:t>植被以</w:t>
      </w:r>
      <w:r>
        <w:rPr>
          <w:rFonts w:ascii="宋体" w:hAnsi="宋体" w:eastAsia="宋体" w:cs="宋体"/>
          <w:sz w:val="24"/>
          <w:szCs w:val="24"/>
        </w:rPr>
        <w:t xml:space="preserve"> </w:t>
      </w:r>
      <w:r>
        <w:rPr>
          <w:rFonts w:ascii="宋体" w:hAnsi="宋体" w:eastAsia="宋体" w:cs="宋体"/>
          <w:spacing w:val="-6"/>
          <w:sz w:val="24"/>
          <w:szCs w:val="24"/>
        </w:rPr>
        <w:t>乔木为主， 主要植被类型为杉木林、马尾松林和毛竹林。这</w:t>
      </w:r>
      <w:r>
        <w:rPr>
          <w:rFonts w:ascii="宋体" w:hAnsi="宋体" w:eastAsia="宋体" w:cs="宋体"/>
          <w:spacing w:val="-7"/>
          <w:sz w:val="24"/>
          <w:szCs w:val="24"/>
        </w:rPr>
        <w:t>些植被类型在公路沿</w:t>
      </w:r>
      <w:r>
        <w:rPr>
          <w:rFonts w:ascii="宋体" w:hAnsi="宋体" w:eastAsia="宋体" w:cs="宋体"/>
          <w:sz w:val="24"/>
          <w:szCs w:val="24"/>
        </w:rPr>
        <w:t xml:space="preserve"> </w:t>
      </w:r>
      <w:r>
        <w:rPr>
          <w:rFonts w:ascii="宋体" w:hAnsi="宋体" w:eastAsia="宋体" w:cs="宋体"/>
          <w:spacing w:val="-6"/>
          <w:sz w:val="24"/>
          <w:szCs w:val="24"/>
        </w:rPr>
        <w:t>线区域分布的范围均较广， 其群落植物种类均为区域</w:t>
      </w:r>
      <w:r>
        <w:rPr>
          <w:rFonts w:ascii="宋体" w:hAnsi="宋体" w:eastAsia="宋体" w:cs="宋体"/>
          <w:spacing w:val="-7"/>
          <w:sz w:val="24"/>
          <w:szCs w:val="24"/>
        </w:rPr>
        <w:t>常见和广布种。根据现状调</w:t>
      </w:r>
      <w:r>
        <w:rPr>
          <w:rFonts w:ascii="宋体" w:hAnsi="宋体" w:eastAsia="宋体" w:cs="宋体"/>
          <w:sz w:val="24"/>
          <w:szCs w:val="24"/>
        </w:rPr>
        <w:t xml:space="preserve"> </w:t>
      </w:r>
      <w:r>
        <w:rPr>
          <w:rFonts w:ascii="宋体" w:hAnsi="宋体" w:eastAsia="宋体" w:cs="宋体"/>
          <w:spacing w:val="-8"/>
          <w:sz w:val="24"/>
          <w:szCs w:val="24"/>
        </w:rPr>
        <w:t>查，</w:t>
      </w:r>
      <w:r>
        <w:rPr>
          <w:rFonts w:ascii="宋体" w:hAnsi="宋体" w:eastAsia="宋体" w:cs="宋体"/>
          <w:spacing w:val="-27"/>
          <w:sz w:val="24"/>
          <w:szCs w:val="24"/>
        </w:rPr>
        <w:t xml:space="preserve"> </w:t>
      </w:r>
      <w:r>
        <w:rPr>
          <w:rFonts w:ascii="宋体" w:hAnsi="宋体" w:eastAsia="宋体" w:cs="宋体"/>
          <w:spacing w:val="-8"/>
          <w:sz w:val="24"/>
          <w:szCs w:val="24"/>
        </w:rPr>
        <w:t>隧道穿越区域无珍稀濒危植物种分布。隧道主要穿越</w:t>
      </w:r>
      <w:r>
        <w:rPr>
          <w:rFonts w:ascii="Times New Roman" w:hAnsi="Times New Roman" w:eastAsia="Times New Roman" w:cs="Times New Roman"/>
          <w:spacing w:val="-8"/>
          <w:sz w:val="24"/>
          <w:szCs w:val="24"/>
        </w:rPr>
        <w:t>Ⅳ</w:t>
      </w:r>
      <w:r>
        <w:rPr>
          <w:rFonts w:ascii="Times New Roman" w:hAnsi="Times New Roman" w:eastAsia="Times New Roman" w:cs="Times New Roman"/>
          <w:spacing w:val="-35"/>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Ⅴ</w:t>
      </w:r>
      <w:r>
        <w:rPr>
          <w:rFonts w:ascii="宋体" w:hAnsi="宋体" w:eastAsia="宋体" w:cs="宋体"/>
          <w:spacing w:val="-8"/>
          <w:sz w:val="24"/>
          <w:szCs w:val="24"/>
        </w:rPr>
        <w:t>类围岩， 穿越朝</w:t>
      </w:r>
      <w:r>
        <w:rPr>
          <w:rFonts w:ascii="宋体" w:hAnsi="宋体" w:eastAsia="宋体" w:cs="宋体"/>
          <w:sz w:val="24"/>
          <w:szCs w:val="24"/>
        </w:rPr>
        <w:t xml:space="preserve"> </w:t>
      </w:r>
      <w:r>
        <w:rPr>
          <w:rFonts w:ascii="宋体" w:hAnsi="宋体" w:eastAsia="宋体" w:cs="宋体"/>
          <w:spacing w:val="-12"/>
          <w:sz w:val="24"/>
          <w:szCs w:val="24"/>
        </w:rPr>
        <w:t>川组含角砾凝灰岩，</w:t>
      </w:r>
      <w:r>
        <w:rPr>
          <w:rFonts w:ascii="宋体" w:hAnsi="宋体" w:eastAsia="宋体" w:cs="宋体"/>
          <w:spacing w:val="40"/>
          <w:sz w:val="24"/>
          <w:szCs w:val="24"/>
        </w:rPr>
        <w:t xml:space="preserve"> </w:t>
      </w:r>
      <w:r>
        <w:rPr>
          <w:rFonts w:ascii="宋体" w:hAnsi="宋体" w:eastAsia="宋体" w:cs="宋体"/>
          <w:spacing w:val="-12"/>
          <w:sz w:val="24"/>
          <w:szCs w:val="24"/>
        </w:rPr>
        <w:t>地下水主要为基岩裂隙水，</w:t>
      </w:r>
      <w:r>
        <w:rPr>
          <w:rFonts w:ascii="宋体" w:hAnsi="宋体" w:eastAsia="宋体" w:cs="宋体"/>
          <w:spacing w:val="35"/>
          <w:sz w:val="24"/>
          <w:szCs w:val="24"/>
        </w:rPr>
        <w:t xml:space="preserve"> </w:t>
      </w:r>
      <w:r>
        <w:rPr>
          <w:rFonts w:ascii="宋体" w:hAnsi="宋体" w:eastAsia="宋体" w:cs="宋体"/>
          <w:spacing w:val="-12"/>
          <w:sz w:val="24"/>
          <w:szCs w:val="24"/>
        </w:rPr>
        <w:t>水量较贫乏。隧道施工产生涌水</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较少，对隧道上方区域植被生长影响是不大。</w:t>
      </w:r>
    </w:p>
    <w:p>
      <w:pPr>
        <w:spacing w:before="179" w:line="220" w:lineRule="auto"/>
        <w:ind w:left="512"/>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、植物生物量损失</w:t>
      </w:r>
    </w:p>
    <w:p>
      <w:pPr>
        <w:spacing w:before="182" w:line="359" w:lineRule="auto"/>
        <w:ind w:left="38" w:right="64" w:firstLine="480"/>
        <w:rPr>
          <w:rFonts w:ascii="宋体" w:hAnsi="宋体" w:eastAsia="宋体" w:cs="宋体"/>
          <w:sz w:val="24"/>
          <w:szCs w:val="24"/>
        </w:rPr>
      </w:pPr>
      <w:r>
        <w:rPr>
          <w:rFonts w:ascii="宋体" w:hAnsi="宋体" w:eastAsia="宋体" w:cs="宋体"/>
          <w:spacing w:val="-3"/>
          <w:sz w:val="24"/>
          <w:szCs w:val="24"/>
        </w:rPr>
        <w:t>本工程对区域自然体系生产力及植被生物量的影响主要是由工</w:t>
      </w:r>
      <w:r>
        <w:rPr>
          <w:rFonts w:ascii="宋体" w:hAnsi="宋体" w:eastAsia="宋体" w:cs="宋体"/>
          <w:spacing w:val="-4"/>
          <w:sz w:val="24"/>
          <w:szCs w:val="24"/>
        </w:rPr>
        <w:t>程占地、特别</w:t>
      </w:r>
      <w:r>
        <w:rPr>
          <w:rFonts w:ascii="宋体" w:hAnsi="宋体" w:eastAsia="宋体" w:cs="宋体"/>
          <w:sz w:val="24"/>
          <w:szCs w:val="24"/>
        </w:rPr>
        <w:t xml:space="preserve"> </w:t>
      </w:r>
      <w:r>
        <w:rPr>
          <w:rFonts w:ascii="宋体" w:hAnsi="宋体" w:eastAsia="宋体" w:cs="宋体"/>
          <w:spacing w:val="-6"/>
          <w:sz w:val="24"/>
          <w:szCs w:val="24"/>
        </w:rPr>
        <w:t>是永久性占地引起的。工程建成后造成各种地块类型面积发生一定变化，</w:t>
      </w:r>
      <w:r>
        <w:rPr>
          <w:rFonts w:ascii="宋体" w:hAnsi="宋体" w:eastAsia="宋体" w:cs="宋体"/>
          <w:spacing w:val="-17"/>
          <w:sz w:val="24"/>
          <w:szCs w:val="24"/>
        </w:rPr>
        <w:t xml:space="preserve"> </w:t>
      </w:r>
      <w:r>
        <w:rPr>
          <w:rFonts w:ascii="宋体" w:hAnsi="宋体" w:eastAsia="宋体" w:cs="宋体"/>
          <w:spacing w:val="-6"/>
          <w:sz w:val="24"/>
          <w:szCs w:val="24"/>
        </w:rPr>
        <w:t>从而导</w:t>
      </w:r>
      <w:r>
        <w:rPr>
          <w:rFonts w:ascii="宋体" w:hAnsi="宋体" w:eastAsia="宋体" w:cs="宋体"/>
          <w:sz w:val="24"/>
          <w:szCs w:val="24"/>
        </w:rPr>
        <w:t xml:space="preserve"> </w:t>
      </w:r>
      <w:r>
        <w:rPr>
          <w:rFonts w:ascii="宋体" w:hAnsi="宋体" w:eastAsia="宋体" w:cs="宋体"/>
          <w:spacing w:val="-6"/>
          <w:sz w:val="24"/>
          <w:szCs w:val="24"/>
        </w:rPr>
        <w:t>致区域自然体系生产力及植被生物量发生相应改变，</w:t>
      </w:r>
      <w:r>
        <w:rPr>
          <w:rFonts w:ascii="宋体" w:hAnsi="宋体" w:eastAsia="宋体" w:cs="宋体"/>
          <w:spacing w:val="-14"/>
          <w:sz w:val="24"/>
          <w:szCs w:val="24"/>
        </w:rPr>
        <w:t xml:space="preserve"> </w:t>
      </w:r>
      <w:r>
        <w:rPr>
          <w:rFonts w:ascii="宋体" w:hAnsi="宋体" w:eastAsia="宋体" w:cs="宋体"/>
          <w:spacing w:val="-6"/>
          <w:sz w:val="24"/>
          <w:szCs w:val="24"/>
        </w:rPr>
        <w:t>对生态系统完整性产生轻微</w:t>
      </w:r>
    </w:p>
    <w:p>
      <w:pPr>
        <w:spacing w:before="1" w:line="221" w:lineRule="auto"/>
        <w:ind w:left="38"/>
        <w:rPr>
          <w:rFonts w:ascii="宋体" w:hAnsi="宋体" w:eastAsia="宋体" w:cs="宋体"/>
          <w:sz w:val="24"/>
          <w:szCs w:val="24"/>
        </w:rPr>
      </w:pPr>
      <w:r>
        <w:rPr>
          <w:rFonts w:ascii="宋体" w:hAnsi="宋体" w:eastAsia="宋体" w:cs="宋体"/>
          <w:spacing w:val="-10"/>
          <w:sz w:val="24"/>
          <w:szCs w:val="24"/>
        </w:rPr>
        <w:t>影响。</w:t>
      </w:r>
    </w:p>
    <w:p>
      <w:pPr>
        <w:spacing w:line="221" w:lineRule="auto"/>
        <w:rPr>
          <w:rFonts w:ascii="宋体" w:hAnsi="宋体" w:eastAsia="宋体" w:cs="宋体"/>
          <w:sz w:val="24"/>
          <w:szCs w:val="24"/>
        </w:rPr>
        <w:sectPr>
          <w:headerReference r:id="rId286" w:type="default"/>
          <w:footerReference r:id="rId287" w:type="default"/>
          <w:pgSz w:w="11907" w:h="16839"/>
          <w:pgMar w:top="1118" w:right="1735" w:bottom="1184" w:left="1771" w:header="879" w:footer="1024" w:gutter="0"/>
          <w:cols w:space="720" w:num="1"/>
        </w:sectPr>
      </w:pPr>
    </w:p>
    <w:p>
      <w:pPr>
        <w:pStyle w:val="2"/>
        <w:spacing w:line="280" w:lineRule="auto"/>
      </w:pPr>
    </w:p>
    <w:p>
      <w:pPr>
        <w:spacing w:before="78" w:line="359" w:lineRule="auto"/>
        <w:ind w:left="37" w:right="63" w:firstLine="483"/>
        <w:jc w:val="both"/>
        <w:rPr>
          <w:rFonts w:ascii="宋体" w:hAnsi="宋体" w:eastAsia="宋体" w:cs="宋体"/>
          <w:sz w:val="24"/>
          <w:szCs w:val="24"/>
        </w:rPr>
      </w:pPr>
      <w:r>
        <w:rPr>
          <w:rFonts w:ascii="宋体" w:hAnsi="宋体" w:eastAsia="宋体" w:cs="宋体"/>
          <w:spacing w:val="1"/>
          <w:sz w:val="24"/>
          <w:szCs w:val="24"/>
        </w:rPr>
        <w:t>工程建设用地占用植被的总面积约</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14.454</w:t>
      </w:r>
      <w:r>
        <w:rPr>
          <w:rFonts w:ascii="Times New Roman" w:hAnsi="Times New Roman" w:eastAsia="Times New Roman" w:cs="Times New Roman"/>
          <w:sz w:val="24"/>
          <w:szCs w:val="24"/>
        </w:rPr>
        <w:t>hm</w:t>
      </w:r>
      <w:r>
        <w:rPr>
          <w:rFonts w:ascii="Times New Roman" w:hAnsi="Times New Roman" w:eastAsia="Times New Roman" w:cs="Times New Roman"/>
          <w:spacing w:val="1"/>
          <w:position w:val="9"/>
          <w:sz w:val="16"/>
          <w:szCs w:val="16"/>
        </w:rPr>
        <w:t xml:space="preserve">2 </w:t>
      </w:r>
      <w:r>
        <w:rPr>
          <w:rFonts w:ascii="宋体" w:hAnsi="宋体" w:eastAsia="宋体" w:cs="宋体"/>
          <w:spacing w:val="1"/>
          <w:sz w:val="24"/>
          <w:szCs w:val="24"/>
        </w:rPr>
        <w:t>，</w:t>
      </w:r>
      <w:r>
        <w:rPr>
          <w:rFonts w:ascii="宋体" w:hAnsi="宋体" w:eastAsia="宋体" w:cs="宋体"/>
          <w:spacing w:val="-66"/>
          <w:sz w:val="24"/>
          <w:szCs w:val="24"/>
        </w:rPr>
        <w:t xml:space="preserve"> </w:t>
      </w:r>
      <w:r>
        <w:rPr>
          <w:rFonts w:ascii="宋体" w:hAnsi="宋体" w:eastAsia="宋体" w:cs="宋体"/>
          <w:spacing w:val="1"/>
          <w:sz w:val="24"/>
          <w:szCs w:val="24"/>
        </w:rPr>
        <w:t>占评价范围植被总面积的</w:t>
      </w:r>
      <w:r>
        <w:rPr>
          <w:rFonts w:ascii="宋体" w:hAnsi="宋体" w:eastAsia="宋体" w:cs="宋体"/>
          <w:sz w:val="24"/>
          <w:szCs w:val="24"/>
        </w:rPr>
        <w:t xml:space="preserve"> </w:t>
      </w:r>
      <w:r>
        <w:rPr>
          <w:rFonts w:ascii="Times New Roman" w:hAnsi="Times New Roman" w:eastAsia="Times New Roman" w:cs="Times New Roman"/>
          <w:spacing w:val="9"/>
          <w:sz w:val="24"/>
          <w:szCs w:val="24"/>
        </w:rPr>
        <w:t>5.02%</w:t>
      </w:r>
      <w:r>
        <w:rPr>
          <w:rFonts w:ascii="宋体" w:hAnsi="宋体" w:eastAsia="宋体" w:cs="宋体"/>
          <w:spacing w:val="9"/>
          <w:sz w:val="24"/>
          <w:szCs w:val="24"/>
        </w:rPr>
        <w:t>，施工期植被生物量损失量约</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1642</w:t>
      </w:r>
      <w:r>
        <w:rPr>
          <w:rFonts w:ascii="Times New Roman" w:hAnsi="Times New Roman" w:eastAsia="Times New Roman" w:cs="Times New Roman"/>
          <w:spacing w:val="8"/>
          <w:sz w:val="24"/>
          <w:szCs w:val="24"/>
        </w:rPr>
        <w:t>.58t</w:t>
      </w:r>
      <w:r>
        <w:rPr>
          <w:rFonts w:ascii="宋体" w:hAnsi="宋体" w:eastAsia="宋体" w:cs="宋体"/>
          <w:spacing w:val="8"/>
          <w:sz w:val="24"/>
          <w:szCs w:val="24"/>
        </w:rPr>
        <w:t>，</w:t>
      </w:r>
      <w:r>
        <w:rPr>
          <w:rFonts w:ascii="宋体" w:hAnsi="宋体" w:eastAsia="宋体" w:cs="宋体"/>
          <w:spacing w:val="-37"/>
          <w:sz w:val="24"/>
          <w:szCs w:val="24"/>
        </w:rPr>
        <w:t xml:space="preserve"> </w:t>
      </w:r>
      <w:r>
        <w:rPr>
          <w:rFonts w:ascii="宋体" w:hAnsi="宋体" w:eastAsia="宋体" w:cs="宋体"/>
          <w:spacing w:val="8"/>
          <w:sz w:val="24"/>
          <w:szCs w:val="24"/>
        </w:rPr>
        <w:t>占评价范围总植物生物量的</w:t>
      </w:r>
      <w:r>
        <w:rPr>
          <w:rFonts w:ascii="宋体" w:hAnsi="宋体" w:eastAsia="宋体" w:cs="宋体"/>
          <w:sz w:val="24"/>
          <w:szCs w:val="24"/>
        </w:rPr>
        <w:t xml:space="preserve"> </w:t>
      </w:r>
      <w:r>
        <w:rPr>
          <w:rFonts w:ascii="Times New Roman" w:hAnsi="Times New Roman" w:eastAsia="Times New Roman" w:cs="Times New Roman"/>
          <w:spacing w:val="-7"/>
          <w:sz w:val="24"/>
          <w:szCs w:val="24"/>
        </w:rPr>
        <w:t>5.993%</w:t>
      </w:r>
      <w:r>
        <w:rPr>
          <w:rFonts w:ascii="宋体" w:hAnsi="宋体" w:eastAsia="宋体" w:cs="宋体"/>
          <w:spacing w:val="-7"/>
          <w:sz w:val="24"/>
          <w:szCs w:val="24"/>
        </w:rPr>
        <w:t>。施工结束后，</w:t>
      </w:r>
      <w:r>
        <w:rPr>
          <w:rFonts w:ascii="宋体" w:hAnsi="宋体" w:eastAsia="宋体" w:cs="宋体"/>
          <w:spacing w:val="25"/>
          <w:sz w:val="24"/>
          <w:szCs w:val="24"/>
        </w:rPr>
        <w:t xml:space="preserve"> </w:t>
      </w:r>
      <w:r>
        <w:rPr>
          <w:rFonts w:ascii="宋体" w:hAnsi="宋体" w:eastAsia="宋体" w:cs="宋体"/>
          <w:spacing w:val="-7"/>
          <w:sz w:val="24"/>
          <w:szCs w:val="24"/>
        </w:rPr>
        <w:t>对工程沿线进行边坡复绿及道路绿化处理。工程建</w:t>
      </w:r>
      <w:r>
        <w:rPr>
          <w:rFonts w:ascii="宋体" w:hAnsi="宋体" w:eastAsia="宋体" w:cs="宋体"/>
          <w:spacing w:val="-8"/>
          <w:sz w:val="24"/>
          <w:szCs w:val="24"/>
        </w:rPr>
        <w:t>设虽然</w:t>
      </w:r>
      <w:r>
        <w:rPr>
          <w:rFonts w:ascii="宋体" w:hAnsi="宋体" w:eastAsia="宋体" w:cs="宋体"/>
          <w:sz w:val="24"/>
          <w:szCs w:val="24"/>
        </w:rPr>
        <w:t xml:space="preserve"> </w:t>
      </w:r>
      <w:r>
        <w:rPr>
          <w:rFonts w:ascii="宋体" w:hAnsi="宋体" w:eastAsia="宋体" w:cs="宋体"/>
          <w:spacing w:val="-10"/>
          <w:sz w:val="24"/>
          <w:szCs w:val="24"/>
        </w:rPr>
        <w:t>造成评价区域植物生物量的损失， 但是工程采取绿化及植被</w:t>
      </w:r>
      <w:r>
        <w:rPr>
          <w:rFonts w:ascii="宋体" w:hAnsi="宋体" w:eastAsia="宋体" w:cs="宋体"/>
          <w:spacing w:val="-11"/>
          <w:sz w:val="24"/>
          <w:szCs w:val="24"/>
        </w:rPr>
        <w:t>恢复措施后，</w:t>
      </w:r>
      <w:r>
        <w:rPr>
          <w:rFonts w:ascii="宋体" w:hAnsi="宋体" w:eastAsia="宋体" w:cs="宋体"/>
          <w:spacing w:val="24"/>
          <w:sz w:val="24"/>
          <w:szCs w:val="24"/>
        </w:rPr>
        <w:t xml:space="preserve"> </w:t>
      </w:r>
      <w:r>
        <w:rPr>
          <w:rFonts w:ascii="宋体" w:hAnsi="宋体" w:eastAsia="宋体" w:cs="宋体"/>
          <w:spacing w:val="-11"/>
          <w:sz w:val="24"/>
          <w:szCs w:val="24"/>
        </w:rPr>
        <w:t>能够减</w:t>
      </w:r>
      <w:r>
        <w:rPr>
          <w:rFonts w:ascii="宋体" w:hAnsi="宋体" w:eastAsia="宋体" w:cs="宋体"/>
          <w:sz w:val="24"/>
          <w:szCs w:val="24"/>
        </w:rPr>
        <w:t xml:space="preserve"> </w:t>
      </w:r>
      <w:r>
        <w:rPr>
          <w:rFonts w:ascii="宋体" w:hAnsi="宋体" w:eastAsia="宋体" w:cs="宋体"/>
          <w:spacing w:val="-6"/>
          <w:sz w:val="24"/>
          <w:szCs w:val="24"/>
        </w:rPr>
        <w:t>缓植被生物量损失及生态系统生产力的下降。因此， 本工程</w:t>
      </w:r>
      <w:r>
        <w:rPr>
          <w:rFonts w:ascii="宋体" w:hAnsi="宋体" w:eastAsia="宋体" w:cs="宋体"/>
          <w:spacing w:val="-7"/>
          <w:sz w:val="24"/>
          <w:szCs w:val="24"/>
        </w:rPr>
        <w:t>建设对区域自然生态</w:t>
      </w:r>
    </w:p>
    <w:p>
      <w:pPr>
        <w:spacing w:line="219" w:lineRule="auto"/>
        <w:ind w:left="38"/>
        <w:rPr>
          <w:rFonts w:ascii="宋体" w:hAnsi="宋体" w:eastAsia="宋体" w:cs="宋体"/>
          <w:sz w:val="24"/>
          <w:szCs w:val="24"/>
        </w:rPr>
      </w:pPr>
      <w:r>
        <w:rPr>
          <w:rFonts w:ascii="宋体" w:hAnsi="宋体" w:eastAsia="宋体" w:cs="宋体"/>
          <w:spacing w:val="-3"/>
          <w:sz w:val="24"/>
          <w:szCs w:val="24"/>
        </w:rPr>
        <w:t>体系稳定的扰动在生态系统的可承受范围内。</w:t>
      </w:r>
    </w:p>
    <w:p>
      <w:pPr>
        <w:spacing w:before="180" w:line="220" w:lineRule="auto"/>
        <w:ind w:left="36"/>
        <w:outlineLvl w:val="1"/>
        <w:rPr>
          <w:rFonts w:ascii="宋体" w:hAnsi="宋体" w:eastAsia="宋体" w:cs="宋体"/>
          <w:sz w:val="24"/>
          <w:szCs w:val="24"/>
        </w:rPr>
      </w:pPr>
      <w:r>
        <w:fldChar w:fldCharType="begin"/>
      </w:r>
      <w:r>
        <w:instrText xml:space="preserve"> HYPERLINK "5.5.1.3" </w:instrText>
      </w:r>
      <w:r>
        <w:fldChar w:fldCharType="separate"/>
      </w:r>
      <w:r>
        <w:rPr>
          <w:rFonts w:ascii="Times New Roman" w:hAnsi="Times New Roman" w:eastAsia="Times New Roman" w:cs="Times New Roman"/>
          <w:b/>
          <w:bCs/>
          <w:sz w:val="24"/>
          <w:szCs w:val="24"/>
        </w:rPr>
        <w:t>5.5.1.3</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施工期对动物的影响</w:t>
      </w:r>
    </w:p>
    <w:p>
      <w:pPr>
        <w:spacing w:before="182" w:line="220" w:lineRule="auto"/>
        <w:ind w:left="539"/>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、对沿线野生动物的影响</w:t>
      </w:r>
    </w:p>
    <w:p>
      <w:pPr>
        <w:spacing w:before="180" w:line="359" w:lineRule="auto"/>
        <w:ind w:left="38" w:right="4" w:firstLine="489"/>
        <w:rPr>
          <w:rFonts w:ascii="宋体" w:hAnsi="宋体" w:eastAsia="宋体" w:cs="宋体"/>
          <w:sz w:val="24"/>
          <w:szCs w:val="24"/>
        </w:rPr>
      </w:pPr>
      <w:r>
        <w:rPr>
          <w:rFonts w:ascii="宋体" w:hAnsi="宋体" w:eastAsia="宋体" w:cs="宋体"/>
          <w:spacing w:val="6"/>
          <w:sz w:val="24"/>
          <w:szCs w:val="24"/>
        </w:rPr>
        <w:t>公路建设对生态环境的分割会对野生动物</w:t>
      </w:r>
      <w:r>
        <w:rPr>
          <w:rFonts w:ascii="Times New Roman" w:hAnsi="Times New Roman" w:eastAsia="Times New Roman" w:cs="Times New Roman"/>
          <w:spacing w:val="6"/>
          <w:sz w:val="24"/>
          <w:szCs w:val="24"/>
        </w:rPr>
        <w:t>(</w:t>
      </w:r>
      <w:r>
        <w:rPr>
          <w:rFonts w:ascii="宋体" w:hAnsi="宋体" w:eastAsia="宋体" w:cs="宋体"/>
          <w:spacing w:val="6"/>
          <w:sz w:val="24"/>
          <w:szCs w:val="24"/>
        </w:rPr>
        <w:t>尤其是两栖类和爬行类</w:t>
      </w:r>
      <w:r>
        <w:rPr>
          <w:rFonts w:ascii="Times New Roman" w:hAnsi="Times New Roman" w:eastAsia="Times New Roman" w:cs="Times New Roman"/>
          <w:spacing w:val="6"/>
          <w:sz w:val="24"/>
          <w:szCs w:val="24"/>
        </w:rPr>
        <w:t>)</w:t>
      </w:r>
      <w:r>
        <w:rPr>
          <w:rFonts w:ascii="宋体" w:hAnsi="宋体" w:eastAsia="宋体" w:cs="宋体"/>
          <w:spacing w:val="6"/>
          <w:sz w:val="24"/>
          <w:szCs w:val="24"/>
        </w:rPr>
        <w:t>产生阻</w:t>
      </w:r>
      <w:r>
        <w:rPr>
          <w:rFonts w:ascii="宋体" w:hAnsi="宋体" w:eastAsia="宋体" w:cs="宋体"/>
          <w:spacing w:val="9"/>
          <w:sz w:val="24"/>
          <w:szCs w:val="24"/>
        </w:rPr>
        <w:t xml:space="preserve"> </w:t>
      </w:r>
      <w:r>
        <w:rPr>
          <w:rFonts w:ascii="宋体" w:hAnsi="宋体" w:eastAsia="宋体" w:cs="宋体"/>
          <w:spacing w:val="-7"/>
          <w:sz w:val="24"/>
          <w:szCs w:val="24"/>
        </w:rPr>
        <w:t>隔影响，其造成的环境污染也会对动物产生影响。公路</w:t>
      </w:r>
      <w:r>
        <w:rPr>
          <w:rFonts w:ascii="宋体" w:hAnsi="宋体" w:eastAsia="宋体" w:cs="宋体"/>
          <w:spacing w:val="-8"/>
          <w:sz w:val="24"/>
          <w:szCs w:val="24"/>
        </w:rPr>
        <w:t>建成后，</w:t>
      </w:r>
      <w:r>
        <w:rPr>
          <w:rFonts w:ascii="宋体" w:hAnsi="宋体" w:eastAsia="宋体" w:cs="宋体"/>
          <w:spacing w:val="32"/>
          <w:sz w:val="24"/>
          <w:szCs w:val="24"/>
        </w:rPr>
        <w:t xml:space="preserve"> </w:t>
      </w:r>
      <w:r>
        <w:rPr>
          <w:rFonts w:ascii="宋体" w:hAnsi="宋体" w:eastAsia="宋体" w:cs="宋体"/>
          <w:spacing w:val="-8"/>
          <w:sz w:val="24"/>
          <w:szCs w:val="24"/>
        </w:rPr>
        <w:t>植被没有受到破</w:t>
      </w:r>
      <w:r>
        <w:rPr>
          <w:rFonts w:ascii="宋体" w:hAnsi="宋体" w:eastAsia="宋体" w:cs="宋体"/>
          <w:sz w:val="24"/>
          <w:szCs w:val="24"/>
        </w:rPr>
        <w:t xml:space="preserve"> </w:t>
      </w:r>
      <w:r>
        <w:rPr>
          <w:rFonts w:ascii="宋体" w:hAnsi="宋体" w:eastAsia="宋体" w:cs="宋体"/>
          <w:spacing w:val="-1"/>
          <w:sz w:val="24"/>
          <w:szCs w:val="24"/>
        </w:rPr>
        <w:t>坏的隧道上方是很好的大型动物通道，可极大降低公路建</w:t>
      </w:r>
      <w:r>
        <w:rPr>
          <w:rFonts w:ascii="宋体" w:hAnsi="宋体" w:eastAsia="宋体" w:cs="宋体"/>
          <w:spacing w:val="-2"/>
          <w:sz w:val="24"/>
          <w:szCs w:val="24"/>
        </w:rPr>
        <w:t>设对兽类的阻隔影响。</w:t>
      </w:r>
    </w:p>
    <w:p>
      <w:pPr>
        <w:spacing w:before="1" w:line="219" w:lineRule="auto"/>
        <w:ind w:left="41"/>
        <w:rPr>
          <w:rFonts w:ascii="宋体" w:hAnsi="宋体" w:eastAsia="宋体" w:cs="宋体"/>
          <w:sz w:val="24"/>
          <w:szCs w:val="24"/>
        </w:rPr>
      </w:pPr>
      <w:r>
        <w:rPr>
          <w:rFonts w:ascii="宋体" w:hAnsi="宋体" w:eastAsia="宋体" w:cs="宋体"/>
          <w:spacing w:val="-2"/>
          <w:sz w:val="24"/>
          <w:szCs w:val="24"/>
        </w:rPr>
        <w:t>工程建设的排水管涵，箱涵等也是动物穿越的通道。</w:t>
      </w:r>
    </w:p>
    <w:p>
      <w:pPr>
        <w:spacing w:before="182" w:line="359" w:lineRule="auto"/>
        <w:ind w:left="50" w:right="64" w:firstLine="469"/>
        <w:rPr>
          <w:rFonts w:ascii="宋体" w:hAnsi="宋体" w:eastAsia="宋体" w:cs="宋体"/>
          <w:sz w:val="24"/>
          <w:szCs w:val="24"/>
        </w:rPr>
      </w:pPr>
      <w:r>
        <w:rPr>
          <w:rFonts w:ascii="宋体" w:hAnsi="宋体" w:eastAsia="宋体" w:cs="宋体"/>
          <w:spacing w:val="-11"/>
          <w:sz w:val="24"/>
          <w:szCs w:val="24"/>
        </w:rPr>
        <w:t>评价区内植被覆盖率较高，</w:t>
      </w:r>
      <w:r>
        <w:rPr>
          <w:rFonts w:ascii="宋体" w:hAnsi="宋体" w:eastAsia="宋体" w:cs="宋体"/>
          <w:spacing w:val="33"/>
          <w:sz w:val="24"/>
          <w:szCs w:val="24"/>
        </w:rPr>
        <w:t xml:space="preserve"> </w:t>
      </w:r>
      <w:r>
        <w:rPr>
          <w:rFonts w:ascii="宋体" w:hAnsi="宋体" w:eastAsia="宋体" w:cs="宋体"/>
          <w:spacing w:val="-11"/>
          <w:sz w:val="24"/>
          <w:szCs w:val="24"/>
        </w:rPr>
        <w:t>区内有许多动物的替代生境， 动物很</w:t>
      </w:r>
      <w:r>
        <w:rPr>
          <w:rFonts w:ascii="宋体" w:hAnsi="宋体" w:eastAsia="宋体" w:cs="宋体"/>
          <w:spacing w:val="-12"/>
          <w:sz w:val="24"/>
          <w:szCs w:val="24"/>
        </w:rPr>
        <w:t>容易找到新</w:t>
      </w:r>
      <w:r>
        <w:rPr>
          <w:rFonts w:ascii="宋体" w:hAnsi="宋体" w:eastAsia="宋体" w:cs="宋体"/>
          <w:sz w:val="24"/>
          <w:szCs w:val="24"/>
        </w:rPr>
        <w:t xml:space="preserve"> </w:t>
      </w:r>
      <w:r>
        <w:rPr>
          <w:rFonts w:ascii="宋体" w:hAnsi="宋体" w:eastAsia="宋体" w:cs="宋体"/>
          <w:spacing w:val="-12"/>
          <w:sz w:val="24"/>
          <w:szCs w:val="24"/>
        </w:rPr>
        <w:t>的类似栖息场所。另外，</w:t>
      </w:r>
      <w:r>
        <w:rPr>
          <w:rFonts w:ascii="宋体" w:hAnsi="宋体" w:eastAsia="宋体" w:cs="宋体"/>
          <w:spacing w:val="39"/>
          <w:sz w:val="24"/>
          <w:szCs w:val="24"/>
        </w:rPr>
        <w:t xml:space="preserve"> </w:t>
      </w:r>
      <w:r>
        <w:rPr>
          <w:rFonts w:ascii="宋体" w:hAnsi="宋体" w:eastAsia="宋体" w:cs="宋体"/>
          <w:spacing w:val="-12"/>
          <w:sz w:val="24"/>
          <w:szCs w:val="24"/>
        </w:rPr>
        <w:t>公路施工范围小，</w:t>
      </w:r>
      <w:r>
        <w:rPr>
          <w:rFonts w:ascii="宋体" w:hAnsi="宋体" w:eastAsia="宋体" w:cs="宋体"/>
          <w:spacing w:val="34"/>
          <w:sz w:val="24"/>
          <w:szCs w:val="24"/>
        </w:rPr>
        <w:t xml:space="preserve"> </w:t>
      </w:r>
      <w:r>
        <w:rPr>
          <w:rFonts w:ascii="宋体" w:hAnsi="宋体" w:eastAsia="宋体" w:cs="宋体"/>
          <w:spacing w:val="-12"/>
          <w:sz w:val="24"/>
          <w:szCs w:val="24"/>
        </w:rPr>
        <w:t>工程建设对野</w:t>
      </w:r>
      <w:r>
        <w:rPr>
          <w:rFonts w:ascii="宋体" w:hAnsi="宋体" w:eastAsia="宋体" w:cs="宋体"/>
          <w:spacing w:val="-13"/>
          <w:sz w:val="24"/>
          <w:szCs w:val="24"/>
        </w:rPr>
        <w:t>生动物的影响范围和影</w:t>
      </w:r>
      <w:r>
        <w:rPr>
          <w:rFonts w:ascii="宋体" w:hAnsi="宋体" w:eastAsia="宋体" w:cs="宋体"/>
          <w:sz w:val="24"/>
          <w:szCs w:val="24"/>
        </w:rPr>
        <w:t xml:space="preserve"> </w:t>
      </w:r>
      <w:r>
        <w:rPr>
          <w:rFonts w:ascii="宋体" w:hAnsi="宋体" w:eastAsia="宋体" w:cs="宋体"/>
          <w:spacing w:val="-13"/>
          <w:sz w:val="24"/>
          <w:szCs w:val="24"/>
        </w:rPr>
        <w:t>响时间较短，</w:t>
      </w:r>
      <w:r>
        <w:rPr>
          <w:rFonts w:ascii="宋体" w:hAnsi="宋体" w:eastAsia="宋体" w:cs="宋体"/>
          <w:spacing w:val="66"/>
          <w:sz w:val="24"/>
          <w:szCs w:val="24"/>
        </w:rPr>
        <w:t xml:space="preserve"> </w:t>
      </w:r>
      <w:r>
        <w:rPr>
          <w:rFonts w:ascii="宋体" w:hAnsi="宋体" w:eastAsia="宋体" w:cs="宋体"/>
          <w:spacing w:val="-13"/>
          <w:sz w:val="24"/>
          <w:szCs w:val="24"/>
        </w:rPr>
        <w:t>因此不会对区内野生动物造成大的影响。同时随着施工的结束，</w:t>
      </w:r>
      <w:r>
        <w:rPr>
          <w:rFonts w:ascii="宋体" w:hAnsi="宋体" w:eastAsia="宋体" w:cs="宋体"/>
          <w:spacing w:val="32"/>
          <w:sz w:val="24"/>
          <w:szCs w:val="24"/>
        </w:rPr>
        <w:t xml:space="preserve"> </w:t>
      </w:r>
      <w:r>
        <w:rPr>
          <w:rFonts w:ascii="宋体" w:hAnsi="宋体" w:eastAsia="宋体" w:cs="宋体"/>
          <w:spacing w:val="-13"/>
          <w:sz w:val="24"/>
          <w:szCs w:val="24"/>
        </w:rPr>
        <w:t>植</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被的逐渐恢复，部分种类可回到原处。因此，总体而言影响较小。</w:t>
      </w:r>
    </w:p>
    <w:p>
      <w:pPr>
        <w:spacing w:before="182" w:line="220" w:lineRule="auto"/>
        <w:ind w:left="516"/>
        <w:rPr>
          <w:rFonts w:ascii="宋体" w:hAnsi="宋体" w:eastAsia="宋体" w:cs="宋体"/>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、对鸟类的影响</w:t>
      </w:r>
    </w:p>
    <w:p>
      <w:pPr>
        <w:spacing w:before="180" w:line="359" w:lineRule="auto"/>
        <w:ind w:left="39" w:firstLine="484"/>
        <w:rPr>
          <w:rFonts w:ascii="宋体" w:hAnsi="宋体" w:eastAsia="宋体" w:cs="宋体"/>
          <w:sz w:val="24"/>
          <w:szCs w:val="24"/>
        </w:rPr>
      </w:pPr>
      <w:r>
        <w:rPr>
          <w:rFonts w:ascii="宋体" w:hAnsi="宋体" w:eastAsia="宋体" w:cs="宋体"/>
          <w:spacing w:val="-10"/>
          <w:sz w:val="24"/>
          <w:szCs w:val="24"/>
        </w:rPr>
        <w:t>工程施工过程的人员活动， 施工机械噪声会对鸟类造成惊扰， 工程占地会对</w:t>
      </w:r>
      <w:r>
        <w:rPr>
          <w:rFonts w:ascii="宋体" w:hAnsi="宋体" w:eastAsia="宋体" w:cs="宋体"/>
          <w:sz w:val="24"/>
          <w:szCs w:val="24"/>
        </w:rPr>
        <w:t xml:space="preserve"> </w:t>
      </w:r>
      <w:r>
        <w:rPr>
          <w:rFonts w:ascii="宋体" w:hAnsi="宋体" w:eastAsia="宋体" w:cs="宋体"/>
          <w:spacing w:val="-12"/>
          <w:sz w:val="24"/>
          <w:szCs w:val="24"/>
        </w:rPr>
        <w:t>其生活区域造成一定的破坏，</w:t>
      </w:r>
      <w:r>
        <w:rPr>
          <w:rFonts w:ascii="宋体" w:hAnsi="宋体" w:eastAsia="宋体" w:cs="宋体"/>
          <w:spacing w:val="-46"/>
          <w:sz w:val="24"/>
          <w:szCs w:val="24"/>
        </w:rPr>
        <w:t xml:space="preserve"> </w:t>
      </w:r>
      <w:r>
        <w:rPr>
          <w:rFonts w:ascii="宋体" w:hAnsi="宋体" w:eastAsia="宋体" w:cs="宋体"/>
          <w:spacing w:val="-12"/>
          <w:sz w:val="24"/>
          <w:szCs w:val="24"/>
        </w:rPr>
        <w:t>但鸟类的迁徙能力强，</w:t>
      </w:r>
      <w:r>
        <w:rPr>
          <w:rFonts w:ascii="宋体" w:hAnsi="宋体" w:eastAsia="宋体" w:cs="宋体"/>
          <w:spacing w:val="-43"/>
          <w:sz w:val="24"/>
          <w:szCs w:val="24"/>
        </w:rPr>
        <w:t xml:space="preserve"> </w:t>
      </w:r>
      <w:r>
        <w:rPr>
          <w:rFonts w:ascii="宋体" w:hAnsi="宋体" w:eastAsia="宋体" w:cs="宋体"/>
          <w:spacing w:val="-12"/>
          <w:sz w:val="24"/>
          <w:szCs w:val="24"/>
        </w:rPr>
        <w:t>可以迁移到附近类似生境中，</w:t>
      </w:r>
    </w:p>
    <w:p>
      <w:pPr>
        <w:spacing w:before="1" w:line="219" w:lineRule="auto"/>
        <w:ind w:left="37"/>
        <w:rPr>
          <w:rFonts w:ascii="宋体" w:hAnsi="宋体" w:eastAsia="宋体" w:cs="宋体"/>
          <w:sz w:val="24"/>
          <w:szCs w:val="24"/>
        </w:rPr>
      </w:pPr>
      <w:r>
        <w:rPr>
          <w:rFonts w:ascii="宋体" w:hAnsi="宋体" w:eastAsia="宋体" w:cs="宋体"/>
          <w:spacing w:val="-5"/>
          <w:sz w:val="24"/>
          <w:szCs w:val="24"/>
        </w:rPr>
        <w:t>对鸟类的影响有限。</w:t>
      </w:r>
    </w:p>
    <w:p>
      <w:pPr>
        <w:spacing w:before="183" w:line="220" w:lineRule="auto"/>
        <w:ind w:left="520"/>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、对两栖、爬行动物的影响</w:t>
      </w:r>
    </w:p>
    <w:p>
      <w:pPr>
        <w:spacing w:before="180" w:line="359" w:lineRule="auto"/>
        <w:ind w:left="41" w:right="22" w:firstLine="478"/>
        <w:rPr>
          <w:rFonts w:ascii="宋体" w:hAnsi="宋体" w:eastAsia="宋体" w:cs="宋体"/>
          <w:sz w:val="24"/>
          <w:szCs w:val="24"/>
        </w:rPr>
      </w:pPr>
      <w:r>
        <w:rPr>
          <w:rFonts w:ascii="宋体" w:hAnsi="宋体" w:eastAsia="宋体" w:cs="宋体"/>
          <w:spacing w:val="-12"/>
          <w:sz w:val="24"/>
          <w:szCs w:val="24"/>
        </w:rPr>
        <w:t>在低海拔分布的蜥蜴类及蛇类等爬行动物，</w:t>
      </w:r>
      <w:r>
        <w:rPr>
          <w:rFonts w:ascii="宋体" w:hAnsi="宋体" w:eastAsia="宋体" w:cs="宋体"/>
          <w:spacing w:val="62"/>
          <w:sz w:val="24"/>
          <w:szCs w:val="24"/>
        </w:rPr>
        <w:t xml:space="preserve"> </w:t>
      </w:r>
      <w:r>
        <w:rPr>
          <w:rFonts w:ascii="宋体" w:hAnsi="宋体" w:eastAsia="宋体" w:cs="宋体"/>
          <w:spacing w:val="-12"/>
          <w:sz w:val="24"/>
          <w:szCs w:val="24"/>
        </w:rPr>
        <w:t>由于施工场地及道路的建设， 施</w:t>
      </w:r>
      <w:r>
        <w:rPr>
          <w:rFonts w:ascii="宋体" w:hAnsi="宋体" w:eastAsia="宋体" w:cs="宋体"/>
          <w:sz w:val="24"/>
          <w:szCs w:val="24"/>
        </w:rPr>
        <w:t xml:space="preserve"> </w:t>
      </w:r>
      <w:r>
        <w:rPr>
          <w:rFonts w:ascii="宋体" w:hAnsi="宋体" w:eastAsia="宋体" w:cs="宋体"/>
          <w:spacing w:val="-11"/>
          <w:sz w:val="24"/>
          <w:szCs w:val="24"/>
        </w:rPr>
        <w:t>工人员的进入， 必然受到惊扰，</w:t>
      </w:r>
      <w:r>
        <w:rPr>
          <w:rFonts w:ascii="宋体" w:hAnsi="宋体" w:eastAsia="宋体" w:cs="宋体"/>
          <w:spacing w:val="46"/>
          <w:sz w:val="24"/>
          <w:szCs w:val="24"/>
        </w:rPr>
        <w:t xml:space="preserve"> </w:t>
      </w:r>
      <w:r>
        <w:rPr>
          <w:rFonts w:ascii="宋体" w:hAnsi="宋体" w:eastAsia="宋体" w:cs="宋体"/>
          <w:spacing w:val="-11"/>
          <w:sz w:val="24"/>
          <w:szCs w:val="24"/>
        </w:rPr>
        <w:t>由于原分布区被破坏导致这些动物迁徙到工程影</w:t>
      </w:r>
      <w:r>
        <w:rPr>
          <w:rFonts w:ascii="宋体" w:hAnsi="宋体" w:eastAsia="宋体" w:cs="宋体"/>
          <w:sz w:val="24"/>
          <w:szCs w:val="24"/>
        </w:rPr>
        <w:t xml:space="preserve"> </w:t>
      </w:r>
      <w:r>
        <w:rPr>
          <w:rFonts w:ascii="宋体" w:hAnsi="宋体" w:eastAsia="宋体" w:cs="宋体"/>
          <w:spacing w:val="-6"/>
          <w:sz w:val="24"/>
          <w:szCs w:val="24"/>
        </w:rPr>
        <w:t>响区外的相似生境内。公路两侧区域部分地方植被覆</w:t>
      </w:r>
      <w:r>
        <w:rPr>
          <w:rFonts w:ascii="宋体" w:hAnsi="宋体" w:eastAsia="宋体" w:cs="宋体"/>
          <w:spacing w:val="-7"/>
          <w:sz w:val="24"/>
          <w:szCs w:val="24"/>
        </w:rPr>
        <w:t>盖率较高， 爬行动物比较容</w:t>
      </w:r>
      <w:r>
        <w:rPr>
          <w:rFonts w:ascii="宋体" w:hAnsi="宋体" w:eastAsia="宋体" w:cs="宋体"/>
          <w:sz w:val="24"/>
          <w:szCs w:val="24"/>
        </w:rPr>
        <w:t xml:space="preserve"> </w:t>
      </w:r>
      <w:r>
        <w:rPr>
          <w:rFonts w:ascii="宋体" w:hAnsi="宋体" w:eastAsia="宋体" w:cs="宋体"/>
          <w:spacing w:val="-7"/>
          <w:sz w:val="24"/>
          <w:szCs w:val="24"/>
        </w:rPr>
        <w:t>易找到新的栖息地。由于公路建设影响的范围有限，</w:t>
      </w:r>
      <w:r>
        <w:rPr>
          <w:rFonts w:ascii="宋体" w:hAnsi="宋体" w:eastAsia="宋体" w:cs="宋体"/>
          <w:spacing w:val="63"/>
          <w:sz w:val="24"/>
          <w:szCs w:val="24"/>
        </w:rPr>
        <w:t xml:space="preserve"> </w:t>
      </w:r>
      <w:r>
        <w:rPr>
          <w:rFonts w:ascii="宋体" w:hAnsi="宋体" w:eastAsia="宋体" w:cs="宋体"/>
          <w:spacing w:val="-7"/>
          <w:sz w:val="24"/>
          <w:szCs w:val="24"/>
        </w:rPr>
        <w:t>在采取相应的保护</w:t>
      </w:r>
      <w:r>
        <w:rPr>
          <w:rFonts w:ascii="宋体" w:hAnsi="宋体" w:eastAsia="宋体" w:cs="宋体"/>
          <w:spacing w:val="-8"/>
          <w:sz w:val="24"/>
          <w:szCs w:val="24"/>
        </w:rPr>
        <w:t>措施后，</w:t>
      </w:r>
    </w:p>
    <w:p>
      <w:pPr>
        <w:spacing w:line="220" w:lineRule="auto"/>
        <w:ind w:left="41"/>
        <w:rPr>
          <w:rFonts w:ascii="宋体" w:hAnsi="宋体" w:eastAsia="宋体" w:cs="宋体"/>
          <w:sz w:val="24"/>
          <w:szCs w:val="24"/>
        </w:rPr>
      </w:pPr>
      <w:r>
        <w:rPr>
          <w:rFonts w:ascii="宋体" w:hAnsi="宋体" w:eastAsia="宋体" w:cs="宋体"/>
          <w:spacing w:val="-2"/>
          <w:sz w:val="24"/>
          <w:szCs w:val="24"/>
        </w:rPr>
        <w:t>工程虽对爬行动物的有一定影响，但施工期影响较短，总体影响较小。</w:t>
      </w:r>
    </w:p>
    <w:p>
      <w:pPr>
        <w:spacing w:before="181" w:line="220" w:lineRule="auto"/>
        <w:ind w:left="514"/>
        <w:rPr>
          <w:rFonts w:ascii="宋体" w:hAnsi="宋体" w:eastAsia="宋体" w:cs="宋体"/>
          <w:sz w:val="24"/>
          <w:szCs w:val="24"/>
        </w:rPr>
      </w:pPr>
      <w:r>
        <w:rPr>
          <w:rFonts w:ascii="Times New Roman" w:hAnsi="Times New Roman" w:eastAsia="Times New Roman" w:cs="Times New Roman"/>
          <w:spacing w:val="-4"/>
          <w:sz w:val="24"/>
          <w:szCs w:val="24"/>
        </w:rPr>
        <w:t>4</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、对兽类的影响</w:t>
      </w:r>
    </w:p>
    <w:p>
      <w:pPr>
        <w:spacing w:before="181" w:line="359" w:lineRule="auto"/>
        <w:ind w:left="38" w:right="21" w:firstLine="481"/>
        <w:rPr>
          <w:rFonts w:ascii="宋体" w:hAnsi="宋体" w:eastAsia="宋体" w:cs="宋体"/>
          <w:sz w:val="24"/>
          <w:szCs w:val="24"/>
        </w:rPr>
      </w:pPr>
      <w:r>
        <w:rPr>
          <w:rFonts w:ascii="宋体" w:hAnsi="宋体" w:eastAsia="宋体" w:cs="宋体"/>
          <w:spacing w:val="-2"/>
          <w:sz w:val="24"/>
          <w:szCs w:val="24"/>
        </w:rPr>
        <w:t>在施工期对兽类的影响主要体现在对动物栖息觅食地所在生态环境的破坏，</w:t>
      </w:r>
      <w:r>
        <w:rPr>
          <w:rFonts w:ascii="宋体" w:hAnsi="宋体" w:eastAsia="宋体" w:cs="宋体"/>
          <w:spacing w:val="3"/>
          <w:sz w:val="24"/>
          <w:szCs w:val="24"/>
        </w:rPr>
        <w:t xml:space="preserve"> </w:t>
      </w:r>
      <w:r>
        <w:rPr>
          <w:rFonts w:ascii="宋体" w:hAnsi="宋体" w:eastAsia="宋体" w:cs="宋体"/>
          <w:spacing w:val="-2"/>
          <w:sz w:val="24"/>
          <w:szCs w:val="24"/>
        </w:rPr>
        <w:t>包括对施工区植被的破坏和树木的砍伐，各种施工人员以及施工机械的干扰等，</w:t>
      </w:r>
    </w:p>
    <w:p>
      <w:pPr>
        <w:spacing w:line="218" w:lineRule="auto"/>
        <w:ind w:left="39"/>
        <w:rPr>
          <w:rFonts w:ascii="宋体" w:hAnsi="宋体" w:eastAsia="宋体" w:cs="宋体"/>
          <w:sz w:val="24"/>
          <w:szCs w:val="24"/>
        </w:rPr>
      </w:pPr>
      <w:r>
        <w:rPr>
          <w:rFonts w:ascii="宋体" w:hAnsi="宋体" w:eastAsia="宋体" w:cs="宋体"/>
          <w:spacing w:val="-6"/>
          <w:sz w:val="24"/>
          <w:szCs w:val="24"/>
        </w:rPr>
        <w:t>使评价区及其周边环境发生改变，</w:t>
      </w:r>
      <w:r>
        <w:rPr>
          <w:rFonts w:ascii="宋体" w:hAnsi="宋体" w:eastAsia="宋体" w:cs="宋体"/>
          <w:spacing w:val="-15"/>
          <w:sz w:val="24"/>
          <w:szCs w:val="24"/>
        </w:rPr>
        <w:t xml:space="preserve"> </w:t>
      </w:r>
      <w:r>
        <w:rPr>
          <w:rFonts w:ascii="宋体" w:hAnsi="宋体" w:eastAsia="宋体" w:cs="宋体"/>
          <w:spacing w:val="-6"/>
          <w:sz w:val="24"/>
          <w:szCs w:val="24"/>
        </w:rPr>
        <w:t>一些迁徙和活动能力较强的动物将迁移至附近</w:t>
      </w:r>
    </w:p>
    <w:p>
      <w:pPr>
        <w:spacing w:line="218" w:lineRule="auto"/>
        <w:rPr>
          <w:rFonts w:ascii="宋体" w:hAnsi="宋体" w:eastAsia="宋体" w:cs="宋体"/>
          <w:sz w:val="24"/>
          <w:szCs w:val="24"/>
        </w:rPr>
        <w:sectPr>
          <w:footerReference r:id="rId288" w:type="default"/>
          <w:pgSz w:w="11907" w:h="16839"/>
          <w:pgMar w:top="1118" w:right="1735" w:bottom="1184" w:left="1771" w:header="879" w:footer="1024" w:gutter="0"/>
          <w:cols w:space="720" w:num="1"/>
        </w:sectPr>
      </w:pPr>
    </w:p>
    <w:p>
      <w:pPr>
        <w:pStyle w:val="2"/>
        <w:spacing w:line="278" w:lineRule="auto"/>
      </w:pPr>
    </w:p>
    <w:p>
      <w:pPr>
        <w:spacing w:before="78" w:line="468" w:lineRule="exact"/>
        <w:ind w:left="42"/>
        <w:rPr>
          <w:rFonts w:ascii="宋体" w:hAnsi="宋体" w:eastAsia="宋体" w:cs="宋体"/>
          <w:sz w:val="24"/>
          <w:szCs w:val="24"/>
        </w:rPr>
      </w:pPr>
      <w:r>
        <w:rPr>
          <w:rFonts w:ascii="宋体" w:hAnsi="宋体" w:eastAsia="宋体" w:cs="宋体"/>
          <w:spacing w:val="-17"/>
          <w:position w:val="17"/>
          <w:sz w:val="24"/>
          <w:szCs w:val="24"/>
        </w:rPr>
        <w:t>受干扰小的区域。工程建成后，</w:t>
      </w:r>
      <w:r>
        <w:rPr>
          <w:rFonts w:ascii="宋体" w:hAnsi="宋体" w:eastAsia="宋体" w:cs="宋体"/>
          <w:spacing w:val="53"/>
          <w:position w:val="17"/>
          <w:sz w:val="24"/>
          <w:szCs w:val="24"/>
        </w:rPr>
        <w:t xml:space="preserve"> </w:t>
      </w:r>
      <w:r>
        <w:rPr>
          <w:rFonts w:ascii="宋体" w:hAnsi="宋体" w:eastAsia="宋体" w:cs="宋体"/>
          <w:spacing w:val="-17"/>
          <w:position w:val="17"/>
          <w:sz w:val="24"/>
          <w:szCs w:val="24"/>
        </w:rPr>
        <w:t>随着植被的逐渐恢复，</w:t>
      </w:r>
      <w:r>
        <w:rPr>
          <w:rFonts w:ascii="宋体" w:hAnsi="宋体" w:eastAsia="宋体" w:cs="宋体"/>
          <w:spacing w:val="40"/>
          <w:position w:val="17"/>
          <w:sz w:val="24"/>
          <w:szCs w:val="24"/>
        </w:rPr>
        <w:t xml:space="preserve"> </w:t>
      </w:r>
      <w:r>
        <w:rPr>
          <w:rFonts w:ascii="宋体" w:hAnsi="宋体" w:eastAsia="宋体" w:cs="宋体"/>
          <w:spacing w:val="-17"/>
          <w:position w:val="17"/>
          <w:sz w:val="24"/>
          <w:szCs w:val="24"/>
        </w:rPr>
        <w:t>生态环境</w:t>
      </w:r>
      <w:r>
        <w:rPr>
          <w:rFonts w:ascii="宋体" w:hAnsi="宋体" w:eastAsia="宋体" w:cs="宋体"/>
          <w:spacing w:val="-18"/>
          <w:position w:val="17"/>
          <w:sz w:val="24"/>
          <w:szCs w:val="24"/>
        </w:rPr>
        <w:t>的好转，</w:t>
      </w:r>
      <w:r>
        <w:rPr>
          <w:rFonts w:ascii="宋体" w:hAnsi="宋体" w:eastAsia="宋体" w:cs="宋体"/>
          <w:spacing w:val="41"/>
          <w:position w:val="17"/>
          <w:sz w:val="24"/>
          <w:szCs w:val="24"/>
        </w:rPr>
        <w:t xml:space="preserve"> </w:t>
      </w:r>
      <w:r>
        <w:rPr>
          <w:rFonts w:ascii="宋体" w:hAnsi="宋体" w:eastAsia="宋体" w:cs="宋体"/>
          <w:spacing w:val="-18"/>
          <w:position w:val="17"/>
          <w:sz w:val="24"/>
          <w:szCs w:val="24"/>
        </w:rPr>
        <w:t>人为干</w:t>
      </w:r>
    </w:p>
    <w:p>
      <w:pPr>
        <w:spacing w:before="1" w:line="218" w:lineRule="auto"/>
        <w:ind w:left="38"/>
        <w:rPr>
          <w:rFonts w:ascii="宋体" w:hAnsi="宋体" w:eastAsia="宋体" w:cs="宋体"/>
          <w:sz w:val="24"/>
          <w:szCs w:val="24"/>
        </w:rPr>
      </w:pPr>
      <w:r>
        <w:rPr>
          <w:rFonts w:ascii="宋体" w:hAnsi="宋体" w:eastAsia="宋体" w:cs="宋体"/>
          <w:spacing w:val="-9"/>
          <w:sz w:val="24"/>
          <w:szCs w:val="24"/>
        </w:rPr>
        <w:t>扰逐渐减少，</w:t>
      </w:r>
      <w:r>
        <w:rPr>
          <w:rFonts w:ascii="宋体" w:hAnsi="宋体" w:eastAsia="宋体" w:cs="宋体"/>
          <w:spacing w:val="72"/>
          <w:sz w:val="24"/>
          <w:szCs w:val="24"/>
        </w:rPr>
        <w:t xml:space="preserve"> </w:t>
      </w:r>
      <w:r>
        <w:rPr>
          <w:rFonts w:ascii="宋体" w:hAnsi="宋体" w:eastAsia="宋体" w:cs="宋体"/>
          <w:spacing w:val="-9"/>
          <w:sz w:val="24"/>
          <w:szCs w:val="24"/>
        </w:rPr>
        <w:t>部分外迁的兽类也会陆续回到原来的栖息地。</w:t>
      </w:r>
    </w:p>
    <w:p>
      <w:pPr>
        <w:spacing w:before="182" w:line="359" w:lineRule="auto"/>
        <w:ind w:left="37" w:right="193" w:firstLine="482"/>
        <w:jc w:val="both"/>
        <w:rPr>
          <w:rFonts w:ascii="宋体" w:hAnsi="宋体" w:eastAsia="宋体" w:cs="宋体"/>
          <w:sz w:val="24"/>
          <w:szCs w:val="24"/>
        </w:rPr>
      </w:pPr>
      <w:r>
        <w:rPr>
          <w:rFonts w:ascii="宋体" w:hAnsi="宋体" w:eastAsia="宋体" w:cs="宋体"/>
          <w:spacing w:val="-10"/>
          <w:sz w:val="24"/>
          <w:szCs w:val="24"/>
        </w:rPr>
        <w:t>施工期对野生动物影响是必然的， 是不可避免的， 但这种影响由于只涉及在</w:t>
      </w:r>
      <w:r>
        <w:rPr>
          <w:rFonts w:ascii="宋体" w:hAnsi="宋体" w:eastAsia="宋体" w:cs="宋体"/>
          <w:spacing w:val="4"/>
          <w:sz w:val="24"/>
          <w:szCs w:val="24"/>
        </w:rPr>
        <w:t xml:space="preserve"> </w:t>
      </w:r>
      <w:r>
        <w:rPr>
          <w:rFonts w:ascii="宋体" w:hAnsi="宋体" w:eastAsia="宋体" w:cs="宋体"/>
          <w:spacing w:val="-13"/>
          <w:sz w:val="24"/>
          <w:szCs w:val="24"/>
        </w:rPr>
        <w:t>施工区域， 范围较小， 施工区范围内的野生动</w:t>
      </w:r>
      <w:r>
        <w:rPr>
          <w:rFonts w:ascii="宋体" w:hAnsi="宋体" w:eastAsia="宋体" w:cs="宋体"/>
          <w:spacing w:val="-14"/>
          <w:sz w:val="24"/>
          <w:szCs w:val="24"/>
        </w:rPr>
        <w:t>物较容易就近找到新的栖息地，</w:t>
      </w:r>
      <w:r>
        <w:rPr>
          <w:rFonts w:ascii="宋体" w:hAnsi="宋体" w:eastAsia="宋体" w:cs="宋体"/>
          <w:spacing w:val="32"/>
          <w:sz w:val="24"/>
          <w:szCs w:val="24"/>
        </w:rPr>
        <w:t xml:space="preserve"> </w:t>
      </w:r>
      <w:r>
        <w:rPr>
          <w:rFonts w:ascii="宋体" w:hAnsi="宋体" w:eastAsia="宋体" w:cs="宋体"/>
          <w:spacing w:val="-14"/>
          <w:sz w:val="24"/>
          <w:szCs w:val="24"/>
        </w:rPr>
        <w:t>这</w:t>
      </w:r>
      <w:r>
        <w:rPr>
          <w:rFonts w:ascii="宋体" w:hAnsi="宋体" w:eastAsia="宋体" w:cs="宋体"/>
          <w:sz w:val="24"/>
          <w:szCs w:val="24"/>
        </w:rPr>
        <w:t xml:space="preserve"> </w:t>
      </w:r>
      <w:r>
        <w:rPr>
          <w:rFonts w:ascii="宋体" w:hAnsi="宋体" w:eastAsia="宋体" w:cs="宋体"/>
          <w:spacing w:val="4"/>
          <w:sz w:val="24"/>
          <w:szCs w:val="24"/>
        </w:rPr>
        <w:t>些野生动物不会因为工程的施工扰动栖息地而死亡，种群数量也不会有大的变</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化，但施工区两侧的野生动物密度会明显降</w:t>
      </w:r>
      <w:r>
        <w:rPr>
          <w:rFonts w:ascii="宋体" w:hAnsi="宋体" w:eastAsia="宋体" w:cs="宋体"/>
          <w:spacing w:val="-3"/>
          <w:sz w:val="24"/>
          <w:szCs w:val="24"/>
        </w:rPr>
        <w:t>低。</w:t>
      </w:r>
    </w:p>
    <w:p>
      <w:pPr>
        <w:spacing w:before="290" w:line="220" w:lineRule="auto"/>
        <w:ind w:left="36"/>
        <w:outlineLvl w:val="1"/>
        <w:rPr>
          <w:rFonts w:ascii="宋体" w:hAnsi="宋体" w:eastAsia="宋体" w:cs="宋体"/>
          <w:sz w:val="24"/>
          <w:szCs w:val="24"/>
        </w:rPr>
      </w:pPr>
      <w:r>
        <w:fldChar w:fldCharType="begin"/>
      </w:r>
      <w:r>
        <w:instrText xml:space="preserve"> HYPERLINK "5.5.1.4" </w:instrText>
      </w:r>
      <w:r>
        <w:fldChar w:fldCharType="separate"/>
      </w:r>
      <w:r>
        <w:rPr>
          <w:rFonts w:ascii="Times New Roman" w:hAnsi="Times New Roman" w:eastAsia="Times New Roman" w:cs="Times New Roman"/>
          <w:b/>
          <w:bCs/>
          <w:sz w:val="24"/>
          <w:szCs w:val="24"/>
        </w:rPr>
        <w:t>5.5.1.4</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施工期对水生生物影响分析</w:t>
      </w:r>
    </w:p>
    <w:p>
      <w:pPr>
        <w:spacing w:before="136" w:line="359" w:lineRule="auto"/>
        <w:ind w:left="38" w:right="196" w:firstLine="485"/>
        <w:jc w:val="both"/>
        <w:rPr>
          <w:rFonts w:ascii="宋体" w:hAnsi="宋体" w:eastAsia="宋体" w:cs="宋体"/>
          <w:sz w:val="24"/>
          <w:szCs w:val="24"/>
        </w:rPr>
      </w:pPr>
      <w:r>
        <w:rPr>
          <w:rFonts w:ascii="宋体" w:hAnsi="宋体" w:eastAsia="宋体" w:cs="宋体"/>
          <w:spacing w:val="-7"/>
          <w:sz w:val="24"/>
          <w:szCs w:val="24"/>
        </w:rPr>
        <w:t>工程拟建桥梁未跨越地表水体， 桥墩均采用钻孔灌注桩基础。本项目跨越溪</w:t>
      </w:r>
      <w:r>
        <w:rPr>
          <w:rFonts w:ascii="宋体" w:hAnsi="宋体" w:eastAsia="宋体" w:cs="宋体"/>
          <w:spacing w:val="8"/>
          <w:sz w:val="24"/>
          <w:szCs w:val="24"/>
        </w:rPr>
        <w:t xml:space="preserve"> </w:t>
      </w:r>
      <w:r>
        <w:rPr>
          <w:rFonts w:ascii="宋体" w:hAnsi="宋体" w:eastAsia="宋体" w:cs="宋体"/>
          <w:spacing w:val="-7"/>
          <w:sz w:val="24"/>
          <w:szCs w:val="24"/>
        </w:rPr>
        <w:t>沟排水均采用管涵、箱涵等。在箱涵的施工过程中，</w:t>
      </w:r>
      <w:r>
        <w:rPr>
          <w:rFonts w:ascii="宋体" w:hAnsi="宋体" w:eastAsia="宋体" w:cs="宋体"/>
          <w:spacing w:val="31"/>
          <w:sz w:val="24"/>
          <w:szCs w:val="24"/>
        </w:rPr>
        <w:t xml:space="preserve"> </w:t>
      </w:r>
      <w:r>
        <w:rPr>
          <w:rFonts w:ascii="宋体" w:hAnsi="宋体" w:eastAsia="宋体" w:cs="宋体"/>
          <w:spacing w:val="-7"/>
          <w:sz w:val="24"/>
          <w:szCs w:val="24"/>
        </w:rPr>
        <w:t>采用</w:t>
      </w:r>
      <w:r>
        <w:rPr>
          <w:rFonts w:ascii="宋体" w:hAnsi="宋体" w:eastAsia="宋体" w:cs="宋体"/>
          <w:spacing w:val="-8"/>
          <w:sz w:val="24"/>
          <w:szCs w:val="24"/>
        </w:rPr>
        <w:t>围堰或在枯水期进行施</w:t>
      </w:r>
      <w:r>
        <w:rPr>
          <w:rFonts w:ascii="宋体" w:hAnsi="宋体" w:eastAsia="宋体" w:cs="宋体"/>
          <w:sz w:val="24"/>
          <w:szCs w:val="24"/>
        </w:rPr>
        <w:t xml:space="preserve"> </w:t>
      </w:r>
      <w:r>
        <w:rPr>
          <w:rFonts w:ascii="宋体" w:hAnsi="宋体" w:eastAsia="宋体" w:cs="宋体"/>
          <w:spacing w:val="-19"/>
          <w:sz w:val="24"/>
          <w:szCs w:val="24"/>
        </w:rPr>
        <w:t>工，</w:t>
      </w:r>
      <w:r>
        <w:rPr>
          <w:rFonts w:ascii="宋体" w:hAnsi="宋体" w:eastAsia="宋体" w:cs="宋体"/>
          <w:spacing w:val="-45"/>
          <w:sz w:val="24"/>
          <w:szCs w:val="24"/>
        </w:rPr>
        <w:t xml:space="preserve"> </w:t>
      </w:r>
      <w:r>
        <w:rPr>
          <w:rFonts w:ascii="宋体" w:hAnsi="宋体" w:eastAsia="宋体" w:cs="宋体"/>
          <w:spacing w:val="-19"/>
          <w:sz w:val="24"/>
          <w:szCs w:val="24"/>
        </w:rPr>
        <w:t>项目沿线溪沟总体水量不大，</w:t>
      </w:r>
      <w:r>
        <w:rPr>
          <w:rFonts w:ascii="宋体" w:hAnsi="宋体" w:eastAsia="宋体" w:cs="宋体"/>
          <w:spacing w:val="40"/>
          <w:sz w:val="24"/>
          <w:szCs w:val="24"/>
        </w:rPr>
        <w:t xml:space="preserve"> </w:t>
      </w:r>
      <w:r>
        <w:rPr>
          <w:rFonts w:ascii="宋体" w:hAnsi="宋体" w:eastAsia="宋体" w:cs="宋体"/>
          <w:spacing w:val="-19"/>
          <w:sz w:val="24"/>
          <w:szCs w:val="24"/>
        </w:rPr>
        <w:t>均为山溪性，</w:t>
      </w:r>
      <w:r>
        <w:rPr>
          <w:rFonts w:ascii="宋体" w:hAnsi="宋体" w:eastAsia="宋体" w:cs="宋体"/>
          <w:spacing w:val="41"/>
          <w:sz w:val="24"/>
          <w:szCs w:val="24"/>
        </w:rPr>
        <w:t xml:space="preserve"> </w:t>
      </w:r>
      <w:r>
        <w:rPr>
          <w:rFonts w:ascii="宋体" w:hAnsi="宋体" w:eastAsia="宋体" w:cs="宋体"/>
          <w:spacing w:val="-19"/>
          <w:sz w:val="24"/>
          <w:szCs w:val="24"/>
        </w:rPr>
        <w:t>水量随季节天气的变化较大，</w:t>
      </w:r>
      <w:r>
        <w:rPr>
          <w:rFonts w:ascii="宋体" w:hAnsi="宋体" w:eastAsia="宋体" w:cs="宋体"/>
          <w:spacing w:val="42"/>
          <w:sz w:val="24"/>
          <w:szCs w:val="24"/>
        </w:rPr>
        <w:t xml:space="preserve"> </w:t>
      </w:r>
      <w:r>
        <w:rPr>
          <w:rFonts w:ascii="宋体" w:hAnsi="宋体" w:eastAsia="宋体" w:cs="宋体"/>
          <w:spacing w:val="-19"/>
          <w:sz w:val="24"/>
          <w:szCs w:val="24"/>
        </w:rPr>
        <w:t>水</w:t>
      </w:r>
      <w:r>
        <w:rPr>
          <w:rFonts w:ascii="宋体" w:hAnsi="宋体" w:eastAsia="宋体" w:cs="宋体"/>
          <w:sz w:val="24"/>
          <w:szCs w:val="24"/>
        </w:rPr>
        <w:t xml:space="preserve"> </w:t>
      </w:r>
      <w:r>
        <w:rPr>
          <w:rFonts w:ascii="宋体" w:hAnsi="宋体" w:eastAsia="宋体" w:cs="宋体"/>
          <w:spacing w:val="-9"/>
          <w:sz w:val="24"/>
          <w:szCs w:val="24"/>
        </w:rPr>
        <w:t>生生物量较少， 施工过程中基本未诱发的明显的溪</w:t>
      </w:r>
      <w:r>
        <w:rPr>
          <w:rFonts w:ascii="宋体" w:hAnsi="宋体" w:eastAsia="宋体" w:cs="宋体"/>
          <w:spacing w:val="-10"/>
          <w:sz w:val="24"/>
          <w:szCs w:val="24"/>
        </w:rPr>
        <w:t>沟水质悬浮物增加的情况， 但</w:t>
      </w:r>
      <w:r>
        <w:rPr>
          <w:rFonts w:ascii="宋体" w:hAnsi="宋体" w:eastAsia="宋体" w:cs="宋体"/>
          <w:sz w:val="24"/>
          <w:szCs w:val="24"/>
        </w:rPr>
        <w:t xml:space="preserve"> </w:t>
      </w:r>
      <w:r>
        <w:rPr>
          <w:rFonts w:ascii="宋体" w:hAnsi="宋体" w:eastAsia="宋体" w:cs="宋体"/>
          <w:spacing w:val="-6"/>
          <w:sz w:val="24"/>
          <w:szCs w:val="24"/>
        </w:rPr>
        <w:t>是施工产生的噪声和光污染对工点周边一定范围内的水生生物产生影响，</w:t>
      </w:r>
      <w:r>
        <w:rPr>
          <w:rFonts w:ascii="宋体" w:hAnsi="宋体" w:eastAsia="宋体" w:cs="宋体"/>
          <w:spacing w:val="-14"/>
          <w:sz w:val="24"/>
          <w:szCs w:val="24"/>
        </w:rPr>
        <w:t xml:space="preserve"> </w:t>
      </w:r>
      <w:r>
        <w:rPr>
          <w:rFonts w:ascii="宋体" w:hAnsi="宋体" w:eastAsia="宋体" w:cs="宋体"/>
          <w:spacing w:val="-6"/>
          <w:sz w:val="24"/>
          <w:szCs w:val="24"/>
        </w:rPr>
        <w:t>并对鱼</w:t>
      </w:r>
      <w:r>
        <w:rPr>
          <w:rFonts w:ascii="宋体" w:hAnsi="宋体" w:eastAsia="宋体" w:cs="宋体"/>
          <w:sz w:val="24"/>
          <w:szCs w:val="24"/>
        </w:rPr>
        <w:t xml:space="preserve"> </w:t>
      </w:r>
      <w:r>
        <w:rPr>
          <w:rFonts w:ascii="宋体" w:hAnsi="宋体" w:eastAsia="宋体" w:cs="宋体"/>
          <w:spacing w:val="-9"/>
          <w:sz w:val="24"/>
          <w:szCs w:val="24"/>
        </w:rPr>
        <w:t>类等产生驱扰， 但总体施工过程的影响程度较为有限</w:t>
      </w:r>
      <w:r>
        <w:rPr>
          <w:rFonts w:ascii="宋体" w:hAnsi="宋体" w:eastAsia="宋体" w:cs="宋体"/>
          <w:spacing w:val="-10"/>
          <w:sz w:val="24"/>
          <w:szCs w:val="24"/>
        </w:rPr>
        <w:t>， 且影响随着施工结束而消</w:t>
      </w:r>
    </w:p>
    <w:p>
      <w:pPr>
        <w:spacing w:before="1" w:line="220" w:lineRule="auto"/>
        <w:ind w:left="43"/>
        <w:rPr>
          <w:rFonts w:ascii="宋体" w:hAnsi="宋体" w:eastAsia="宋体" w:cs="宋体"/>
          <w:sz w:val="24"/>
          <w:szCs w:val="24"/>
        </w:rPr>
      </w:pPr>
      <w:r>
        <w:rPr>
          <w:rFonts w:ascii="宋体" w:hAnsi="宋体" w:eastAsia="宋体" w:cs="宋体"/>
          <w:spacing w:val="-13"/>
          <w:sz w:val="24"/>
          <w:szCs w:val="24"/>
        </w:rPr>
        <w:t>失。</w:t>
      </w:r>
    </w:p>
    <w:p>
      <w:pPr>
        <w:spacing w:before="260" w:line="220" w:lineRule="auto"/>
        <w:ind w:left="36"/>
        <w:outlineLvl w:val="1"/>
        <w:rPr>
          <w:rFonts w:ascii="宋体" w:hAnsi="宋体" w:eastAsia="宋体" w:cs="宋体"/>
          <w:sz w:val="24"/>
          <w:szCs w:val="24"/>
        </w:rPr>
      </w:pPr>
      <w:r>
        <w:fldChar w:fldCharType="begin"/>
      </w:r>
      <w:r>
        <w:instrText xml:space="preserve"> HYPERLINK "5.5.1.5" </w:instrText>
      </w:r>
      <w:r>
        <w:fldChar w:fldCharType="separate"/>
      </w:r>
      <w:r>
        <w:rPr>
          <w:rFonts w:ascii="Times New Roman" w:hAnsi="Times New Roman" w:eastAsia="Times New Roman" w:cs="Times New Roman"/>
          <w:b/>
          <w:bCs/>
          <w:spacing w:val="-1"/>
          <w:sz w:val="24"/>
          <w:szCs w:val="24"/>
        </w:rPr>
        <w:t>5.5.1.5</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24"/>
          <w:w w:val="10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临时场地对生态环境的影响分析</w:t>
      </w:r>
    </w:p>
    <w:p>
      <w:pPr>
        <w:spacing w:before="182" w:line="360" w:lineRule="auto"/>
        <w:ind w:left="41" w:right="195" w:firstLine="478"/>
        <w:jc w:val="both"/>
        <w:rPr>
          <w:rFonts w:ascii="宋体" w:hAnsi="宋体" w:eastAsia="宋体" w:cs="宋体"/>
          <w:sz w:val="24"/>
          <w:szCs w:val="24"/>
        </w:rPr>
      </w:pPr>
      <w:r>
        <w:rPr>
          <w:rFonts w:ascii="宋体" w:hAnsi="宋体" w:eastAsia="宋体" w:cs="宋体"/>
          <w:spacing w:val="-9"/>
          <w:sz w:val="24"/>
          <w:szCs w:val="24"/>
        </w:rPr>
        <w:t>本工程沿线设置</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处施工场地，</w:t>
      </w:r>
      <w:r>
        <w:rPr>
          <w:rFonts w:ascii="宋体" w:hAnsi="宋体" w:eastAsia="宋体" w:cs="宋体"/>
          <w:spacing w:val="33"/>
          <w:sz w:val="24"/>
          <w:szCs w:val="24"/>
        </w:rPr>
        <w:t xml:space="preserve"> </w:t>
      </w:r>
      <w:r>
        <w:rPr>
          <w:rFonts w:ascii="宋体" w:hAnsi="宋体" w:eastAsia="宋体" w:cs="宋体"/>
          <w:spacing w:val="-9"/>
          <w:sz w:val="24"/>
          <w:szCs w:val="24"/>
        </w:rPr>
        <w:t>主要用于布设标化工地、砼拌合场</w:t>
      </w:r>
      <w:r>
        <w:rPr>
          <w:rFonts w:ascii="宋体" w:hAnsi="宋体" w:eastAsia="宋体" w:cs="宋体"/>
          <w:spacing w:val="-10"/>
          <w:sz w:val="24"/>
          <w:szCs w:val="24"/>
        </w:rPr>
        <w:t>、钢筋加</w:t>
      </w:r>
      <w:r>
        <w:rPr>
          <w:rFonts w:ascii="宋体" w:hAnsi="宋体" w:eastAsia="宋体" w:cs="宋体"/>
          <w:sz w:val="24"/>
          <w:szCs w:val="24"/>
        </w:rPr>
        <w:t xml:space="preserve"> </w:t>
      </w:r>
      <w:r>
        <w:rPr>
          <w:rFonts w:ascii="宋体" w:hAnsi="宋体" w:eastAsia="宋体" w:cs="宋体"/>
          <w:spacing w:val="-6"/>
          <w:sz w:val="24"/>
          <w:szCs w:val="24"/>
        </w:rPr>
        <w:t>工场等， 不涉及公共设施、基础设施、居民点；不涉</w:t>
      </w:r>
      <w:r>
        <w:rPr>
          <w:rFonts w:ascii="宋体" w:hAnsi="宋体" w:eastAsia="宋体" w:cs="宋体"/>
          <w:spacing w:val="-7"/>
          <w:sz w:val="24"/>
          <w:szCs w:val="24"/>
        </w:rPr>
        <w:t>及河道、湖泊、建成水库管</w:t>
      </w:r>
    </w:p>
    <w:p>
      <w:pPr>
        <w:spacing w:before="1" w:line="218" w:lineRule="auto"/>
        <w:ind w:left="41"/>
        <w:rPr>
          <w:rFonts w:ascii="宋体" w:hAnsi="宋体" w:eastAsia="宋体" w:cs="宋体"/>
          <w:sz w:val="24"/>
          <w:szCs w:val="24"/>
        </w:rPr>
      </w:pPr>
      <w:r>
        <w:rPr>
          <w:rFonts w:ascii="宋体" w:hAnsi="宋体" w:eastAsia="宋体" w:cs="宋体"/>
          <w:spacing w:val="-6"/>
          <w:sz w:val="24"/>
          <w:szCs w:val="24"/>
        </w:rPr>
        <w:t>理范围。施工场地位置如图所示。</w:t>
      </w:r>
      <w:r>
        <w:rPr>
          <w:rFonts w:ascii="宋体" w:hAnsi="宋体" w:eastAsia="宋体" w:cs="宋体"/>
          <w:spacing w:val="43"/>
          <w:sz w:val="24"/>
          <w:szCs w:val="24"/>
        </w:rPr>
        <w:t xml:space="preserve"> </w:t>
      </w:r>
      <w:r>
        <w:rPr>
          <w:rFonts w:ascii="宋体" w:hAnsi="宋体" w:eastAsia="宋体" w:cs="宋体"/>
          <w:spacing w:val="-6"/>
          <w:sz w:val="24"/>
          <w:szCs w:val="24"/>
        </w:rPr>
        <w:t>施工场地临时占</w:t>
      </w:r>
      <w:r>
        <w:rPr>
          <w:rFonts w:ascii="宋体" w:hAnsi="宋体" w:eastAsia="宋体" w:cs="宋体"/>
          <w:spacing w:val="-7"/>
          <w:sz w:val="24"/>
          <w:szCs w:val="24"/>
        </w:rPr>
        <w:t>地主要涉及耕地和林地。</w:t>
      </w:r>
    </w:p>
    <w:p>
      <w:pPr>
        <w:spacing w:before="69" w:line="3795" w:lineRule="exact"/>
        <w:ind w:firstLine="28"/>
      </w:pPr>
      <w:r>
        <w:rPr>
          <w:position w:val="-75"/>
        </w:rPr>
        <w:drawing>
          <wp:inline distT="0" distB="0" distL="0" distR="0">
            <wp:extent cx="5399405" cy="240982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474"/>
                    <a:stretch>
                      <a:fillRect/>
                    </a:stretch>
                  </pic:blipFill>
                  <pic:spPr>
                    <a:xfrm>
                      <a:off x="0" y="0"/>
                      <a:ext cx="5399405" cy="2409825"/>
                    </a:xfrm>
                    <a:prstGeom prst="rect">
                      <a:avLst/>
                    </a:prstGeom>
                  </pic:spPr>
                </pic:pic>
              </a:graphicData>
            </a:graphic>
          </wp:inline>
        </w:drawing>
      </w:r>
    </w:p>
    <w:p>
      <w:pPr>
        <w:spacing w:before="234" w:line="220" w:lineRule="auto"/>
        <w:ind w:left="2555"/>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5.5-</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临时施工场地周边</w:t>
      </w:r>
      <w:r>
        <w:rPr>
          <w:rFonts w:ascii="宋体" w:hAnsi="宋体" w:eastAsia="宋体" w:cs="宋体"/>
          <w:spacing w:val="-4"/>
          <w:sz w:val="24"/>
          <w:szCs w:val="24"/>
        </w:rPr>
        <w:t>概况图</w:t>
      </w:r>
    </w:p>
    <w:p>
      <w:pPr>
        <w:spacing w:before="183" w:line="468" w:lineRule="exact"/>
        <w:ind w:left="520"/>
        <w:rPr>
          <w:rFonts w:ascii="宋体" w:hAnsi="宋体" w:eastAsia="宋体" w:cs="宋体"/>
          <w:sz w:val="24"/>
          <w:szCs w:val="24"/>
        </w:rPr>
      </w:pPr>
      <w:r>
        <w:rPr>
          <w:rFonts w:ascii="宋体" w:hAnsi="宋体" w:eastAsia="宋体" w:cs="宋体"/>
          <w:spacing w:val="-2"/>
          <w:position w:val="17"/>
          <w:sz w:val="24"/>
          <w:szCs w:val="24"/>
        </w:rPr>
        <w:t>现阶段，工程施工已结束，临时施工场地拆除施工设备，破除混凝土地面，</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按耕地和林地的要求将场地恢复原有的功能。</w:t>
      </w:r>
    </w:p>
    <w:p>
      <w:pPr>
        <w:spacing w:line="218" w:lineRule="auto"/>
        <w:rPr>
          <w:rFonts w:ascii="宋体" w:hAnsi="宋体" w:eastAsia="宋体" w:cs="宋体"/>
          <w:sz w:val="24"/>
          <w:szCs w:val="24"/>
        </w:rPr>
        <w:sectPr>
          <w:headerReference r:id="rId289" w:type="default"/>
          <w:footerReference r:id="rId290" w:type="default"/>
          <w:pgSz w:w="11907" w:h="16839"/>
          <w:pgMar w:top="1118" w:right="1603" w:bottom="1184" w:left="1771" w:header="879" w:footer="1024" w:gutter="0"/>
          <w:cols w:space="720" w:num="1"/>
        </w:sectPr>
      </w:pPr>
    </w:p>
    <w:p>
      <w:pPr>
        <w:pStyle w:val="2"/>
        <w:spacing w:line="396" w:lineRule="auto"/>
      </w:pPr>
    </w:p>
    <w:p>
      <w:pPr>
        <w:spacing w:before="103" w:line="193" w:lineRule="auto"/>
        <w:jc w:val="right"/>
        <w:rPr>
          <w:rFonts w:ascii="微软雅黑" w:hAnsi="微软雅黑" w:eastAsia="微软雅黑" w:cs="微软雅黑"/>
          <w:sz w:val="24"/>
          <w:szCs w:val="24"/>
        </w:rPr>
      </w:pPr>
      <w:r>
        <w:rPr>
          <w:rFonts w:ascii="宋体" w:hAnsi="宋体" w:eastAsia="宋体" w:cs="宋体"/>
          <w:spacing w:val="-2"/>
          <w:sz w:val="24"/>
          <w:szCs w:val="24"/>
        </w:rPr>
        <w:t>根据现场调查，施工期能够落实以上防护措施，从</w:t>
      </w:r>
      <w:r>
        <w:rPr>
          <w:rFonts w:ascii="宋体" w:hAnsi="宋体" w:eastAsia="宋体" w:cs="宋体"/>
          <w:spacing w:val="-3"/>
          <w:sz w:val="24"/>
          <w:szCs w:val="24"/>
        </w:rPr>
        <w:t>现场图片（见图</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5.5.1-2</w:t>
      </w:r>
      <w:r>
        <w:rPr>
          <w:rFonts w:ascii="微软雅黑" w:hAnsi="微软雅黑" w:eastAsia="微软雅黑" w:cs="微软雅黑"/>
          <w:spacing w:val="-3"/>
          <w:sz w:val="24"/>
          <w:szCs w:val="24"/>
        </w:rPr>
        <w:t>）</w:t>
      </w:r>
    </w:p>
    <w:p>
      <w:pPr>
        <w:spacing w:before="228" w:line="360" w:lineRule="auto"/>
        <w:ind w:left="38" w:right="70" w:firstLine="1"/>
        <w:jc w:val="both"/>
        <w:rPr>
          <w:rFonts w:ascii="宋体" w:hAnsi="宋体" w:eastAsia="宋体" w:cs="宋体"/>
          <w:sz w:val="24"/>
          <w:szCs w:val="24"/>
        </w:rPr>
      </w:pPr>
      <w:r>
        <w:rPr>
          <w:rFonts w:ascii="宋体" w:hAnsi="宋体" w:eastAsia="宋体" w:cs="宋体"/>
          <w:spacing w:val="-20"/>
          <w:sz w:val="24"/>
          <w:szCs w:val="24"/>
        </w:rPr>
        <w:t>可以看出， 临时占用场地已经拆除，</w:t>
      </w:r>
      <w:r>
        <w:rPr>
          <w:rFonts w:ascii="宋体" w:hAnsi="宋体" w:eastAsia="宋体" w:cs="宋体"/>
          <w:spacing w:val="48"/>
          <w:sz w:val="24"/>
          <w:szCs w:val="24"/>
        </w:rPr>
        <w:t xml:space="preserve"> </w:t>
      </w:r>
      <w:r>
        <w:rPr>
          <w:rFonts w:ascii="宋体" w:hAnsi="宋体" w:eastAsia="宋体" w:cs="宋体"/>
          <w:spacing w:val="-20"/>
          <w:sz w:val="24"/>
          <w:szCs w:val="24"/>
        </w:rPr>
        <w:t>并破除混凝土地面，</w:t>
      </w:r>
      <w:r>
        <w:rPr>
          <w:rFonts w:ascii="宋体" w:hAnsi="宋体" w:eastAsia="宋体" w:cs="宋体"/>
          <w:spacing w:val="38"/>
          <w:sz w:val="24"/>
          <w:szCs w:val="24"/>
        </w:rPr>
        <w:t xml:space="preserve"> </w:t>
      </w:r>
      <w:r>
        <w:rPr>
          <w:rFonts w:ascii="宋体" w:hAnsi="宋体" w:eastAsia="宋体" w:cs="宋体"/>
          <w:spacing w:val="-20"/>
          <w:sz w:val="24"/>
          <w:szCs w:val="24"/>
        </w:rPr>
        <w:t>场地进行了平整，</w:t>
      </w:r>
      <w:r>
        <w:rPr>
          <w:rFonts w:ascii="宋体" w:hAnsi="宋体" w:eastAsia="宋体" w:cs="宋体"/>
          <w:spacing w:val="45"/>
          <w:sz w:val="24"/>
          <w:szCs w:val="24"/>
        </w:rPr>
        <w:t xml:space="preserve"> </w:t>
      </w:r>
      <w:r>
        <w:rPr>
          <w:rFonts w:ascii="宋体" w:hAnsi="宋体" w:eastAsia="宋体" w:cs="宋体"/>
          <w:spacing w:val="-20"/>
          <w:sz w:val="24"/>
          <w:szCs w:val="24"/>
        </w:rPr>
        <w:t>复绿</w:t>
      </w:r>
      <w:r>
        <w:rPr>
          <w:rFonts w:ascii="宋体" w:hAnsi="宋体" w:eastAsia="宋体" w:cs="宋体"/>
          <w:sz w:val="24"/>
          <w:szCs w:val="24"/>
        </w:rPr>
        <w:t xml:space="preserve"> </w:t>
      </w:r>
      <w:r>
        <w:rPr>
          <w:rFonts w:ascii="宋体" w:hAnsi="宋体" w:eastAsia="宋体" w:cs="宋体"/>
          <w:spacing w:val="-20"/>
          <w:sz w:val="24"/>
          <w:szCs w:val="24"/>
        </w:rPr>
        <w:t>工程已进行，</w:t>
      </w:r>
      <w:r>
        <w:rPr>
          <w:rFonts w:ascii="宋体" w:hAnsi="宋体" w:eastAsia="宋体" w:cs="宋体"/>
          <w:spacing w:val="47"/>
          <w:sz w:val="24"/>
          <w:szCs w:val="24"/>
        </w:rPr>
        <w:t xml:space="preserve"> </w:t>
      </w:r>
      <w:r>
        <w:rPr>
          <w:rFonts w:ascii="宋体" w:hAnsi="宋体" w:eastAsia="宋体" w:cs="宋体"/>
          <w:spacing w:val="-20"/>
          <w:sz w:val="24"/>
          <w:szCs w:val="24"/>
        </w:rPr>
        <w:t>初期阶段， 植物长势良好，</w:t>
      </w:r>
      <w:r>
        <w:rPr>
          <w:rFonts w:ascii="宋体" w:hAnsi="宋体" w:eastAsia="宋体" w:cs="宋体"/>
          <w:spacing w:val="41"/>
          <w:sz w:val="24"/>
          <w:szCs w:val="24"/>
        </w:rPr>
        <w:t xml:space="preserve"> </w:t>
      </w:r>
      <w:r>
        <w:rPr>
          <w:rFonts w:ascii="宋体" w:hAnsi="宋体" w:eastAsia="宋体" w:cs="宋体"/>
          <w:spacing w:val="-20"/>
          <w:sz w:val="24"/>
          <w:szCs w:val="24"/>
        </w:rPr>
        <w:t>但暂未形成规模。随着时间的推进，</w:t>
      </w:r>
      <w:r>
        <w:rPr>
          <w:rFonts w:ascii="宋体" w:hAnsi="宋体" w:eastAsia="宋体" w:cs="宋体"/>
          <w:spacing w:val="45"/>
          <w:sz w:val="24"/>
          <w:szCs w:val="24"/>
        </w:rPr>
        <w:t xml:space="preserve"> </w:t>
      </w:r>
      <w:r>
        <w:rPr>
          <w:rFonts w:ascii="宋体" w:hAnsi="宋体" w:eastAsia="宋体" w:cs="宋体"/>
          <w:spacing w:val="-20"/>
          <w:sz w:val="24"/>
          <w:szCs w:val="24"/>
        </w:rPr>
        <w:t>植</w:t>
      </w:r>
      <w:r>
        <w:rPr>
          <w:rFonts w:ascii="宋体" w:hAnsi="宋体" w:eastAsia="宋体" w:cs="宋体"/>
          <w:sz w:val="24"/>
          <w:szCs w:val="24"/>
        </w:rPr>
        <w:t xml:space="preserve"> </w:t>
      </w:r>
      <w:r>
        <w:rPr>
          <w:rFonts w:ascii="宋体" w:hAnsi="宋体" w:eastAsia="宋体" w:cs="宋体"/>
          <w:spacing w:val="-11"/>
          <w:sz w:val="24"/>
          <w:szCs w:val="24"/>
        </w:rPr>
        <w:t>被会持续生长，</w:t>
      </w:r>
      <w:r>
        <w:rPr>
          <w:rFonts w:ascii="宋体" w:hAnsi="宋体" w:eastAsia="宋体" w:cs="宋体"/>
          <w:spacing w:val="49"/>
          <w:sz w:val="24"/>
          <w:szCs w:val="24"/>
        </w:rPr>
        <w:t xml:space="preserve"> </w:t>
      </w:r>
      <w:r>
        <w:rPr>
          <w:rFonts w:ascii="宋体" w:hAnsi="宋体" w:eastAsia="宋体" w:cs="宋体"/>
          <w:spacing w:val="-11"/>
          <w:sz w:val="24"/>
          <w:szCs w:val="24"/>
        </w:rPr>
        <w:t>区域所在生态环境未来能够得到有效地改善， 本工程临时占地对</w:t>
      </w:r>
    </w:p>
    <w:p>
      <w:pPr>
        <w:spacing w:line="220" w:lineRule="auto"/>
        <w:ind w:left="40"/>
        <w:rPr>
          <w:rFonts w:ascii="宋体" w:hAnsi="宋体" w:eastAsia="宋体" w:cs="宋体"/>
          <w:sz w:val="24"/>
          <w:szCs w:val="24"/>
        </w:rPr>
      </w:pPr>
      <w:r>
        <w:rPr>
          <w:rFonts w:ascii="宋体" w:hAnsi="宋体" w:eastAsia="宋体" w:cs="宋体"/>
          <w:spacing w:val="-5"/>
          <w:sz w:val="24"/>
          <w:szCs w:val="24"/>
        </w:rPr>
        <w:t>生态环境影响较小。</w:t>
      </w:r>
    </w:p>
    <w:p>
      <w:pPr>
        <w:spacing w:before="258" w:line="219" w:lineRule="auto"/>
        <w:ind w:left="36"/>
        <w:outlineLvl w:val="1"/>
        <w:rPr>
          <w:rFonts w:ascii="宋体" w:hAnsi="宋体" w:eastAsia="宋体" w:cs="宋体"/>
          <w:sz w:val="24"/>
          <w:szCs w:val="24"/>
        </w:rPr>
      </w:pPr>
      <w:r>
        <w:fldChar w:fldCharType="begin"/>
      </w:r>
      <w:r>
        <w:instrText xml:space="preserve"> HYPERLINK "5.5.1.6" </w:instrText>
      </w:r>
      <w:r>
        <w:fldChar w:fldCharType="separate"/>
      </w:r>
      <w:r>
        <w:rPr>
          <w:rFonts w:ascii="Times New Roman" w:hAnsi="Times New Roman" w:eastAsia="Times New Roman" w:cs="Times New Roman"/>
          <w:b/>
          <w:bCs/>
          <w:sz w:val="24"/>
          <w:szCs w:val="24"/>
        </w:rPr>
        <w:t>5.5.1.6</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对百丈漈</w:t>
      </w:r>
      <w:r>
        <w:rPr>
          <w:rFonts w:ascii="Times New Roman" w:hAnsi="Times New Roman" w:eastAsia="Times New Roman" w:cs="Times New Roman"/>
          <w:b/>
          <w:bCs/>
          <w:sz w:val="24"/>
          <w:szCs w:val="24"/>
        </w:rPr>
        <w:t>-</w:t>
      </w:r>
      <w:r>
        <w:rPr>
          <w:rFonts w:ascii="宋体" w:hAnsi="宋体" w:eastAsia="宋体" w:cs="宋体"/>
          <w:sz w:val="24"/>
          <w:szCs w:val="24"/>
          <w14:textOutline w14:w="4354" w14:cap="flat" w14:cmpd="sng">
            <w14:solidFill>
              <w14:srgbClr w14:val="000000"/>
            </w14:solidFill>
            <w14:prstDash w14:val="solid"/>
            <w14:miter w14:val="0"/>
          </w14:textOutline>
        </w:rPr>
        <w:t>飞云湖风景名胜区的影响</w:t>
      </w:r>
    </w:p>
    <w:p>
      <w:pPr>
        <w:spacing w:before="183" w:line="359" w:lineRule="auto"/>
        <w:ind w:left="43" w:right="133" w:firstLine="474"/>
        <w:jc w:val="both"/>
        <w:rPr>
          <w:rFonts w:ascii="宋体" w:hAnsi="宋体" w:eastAsia="宋体" w:cs="宋体"/>
          <w:sz w:val="24"/>
          <w:szCs w:val="24"/>
        </w:rPr>
      </w:pPr>
      <w:r>
        <w:rPr>
          <w:rFonts w:ascii="宋体" w:hAnsi="宋体" w:eastAsia="宋体" w:cs="宋体"/>
          <w:sz w:val="24"/>
          <w:szCs w:val="24"/>
        </w:rPr>
        <w:t>根据最新《百丈漈</w:t>
      </w:r>
      <w:r>
        <w:rPr>
          <w:rFonts w:ascii="Times New Roman" w:hAnsi="Times New Roman" w:eastAsia="Times New Roman" w:cs="Times New Roman"/>
          <w:sz w:val="24"/>
          <w:szCs w:val="24"/>
        </w:rPr>
        <w:t>—</w:t>
      </w:r>
      <w:r>
        <w:rPr>
          <w:rFonts w:ascii="宋体" w:hAnsi="宋体" w:eastAsia="宋体" w:cs="宋体"/>
          <w:sz w:val="24"/>
          <w:szCs w:val="24"/>
        </w:rPr>
        <w:t>飞云湖风景名胜区总体规划（</w:t>
      </w:r>
      <w:r>
        <w:rPr>
          <w:rFonts w:ascii="Times New Roman" w:hAnsi="Times New Roman" w:eastAsia="Times New Roman" w:cs="Times New Roman"/>
          <w:sz w:val="24"/>
          <w:szCs w:val="24"/>
        </w:rPr>
        <w:t>2021-</w:t>
      </w:r>
      <w:r>
        <w:rPr>
          <w:rFonts w:ascii="Times New Roman" w:hAnsi="Times New Roman" w:eastAsia="Times New Roman" w:cs="Times New Roman"/>
          <w:spacing w:val="-1"/>
          <w:sz w:val="24"/>
          <w:szCs w:val="24"/>
        </w:rPr>
        <w:t>2035</w:t>
      </w:r>
      <w:r>
        <w:rPr>
          <w:rFonts w:ascii="宋体" w:hAnsi="宋体" w:eastAsia="宋体" w:cs="宋体"/>
          <w:spacing w:val="-1"/>
          <w:sz w:val="24"/>
          <w:szCs w:val="24"/>
        </w:rPr>
        <w:t>年）》划定的</w:t>
      </w:r>
      <w:r>
        <w:rPr>
          <w:rFonts w:ascii="宋体" w:hAnsi="宋体" w:eastAsia="宋体" w:cs="宋体"/>
          <w:sz w:val="24"/>
          <w:szCs w:val="24"/>
        </w:rPr>
        <w:t xml:space="preserve"> </w:t>
      </w:r>
      <w:r>
        <w:rPr>
          <w:rFonts w:ascii="宋体" w:hAnsi="宋体" w:eastAsia="宋体" w:cs="宋体"/>
          <w:spacing w:val="-1"/>
          <w:sz w:val="24"/>
          <w:szCs w:val="24"/>
        </w:rPr>
        <w:t>百丈漈</w:t>
      </w:r>
      <w:r>
        <w:rPr>
          <w:rFonts w:ascii="Times New Roman" w:hAnsi="Times New Roman" w:eastAsia="Times New Roman" w:cs="Times New Roman"/>
          <w:spacing w:val="-1"/>
          <w:sz w:val="24"/>
          <w:szCs w:val="24"/>
        </w:rPr>
        <w:t>-</w:t>
      </w:r>
      <w:r>
        <w:rPr>
          <w:rFonts w:ascii="宋体" w:hAnsi="宋体" w:eastAsia="宋体" w:cs="宋体"/>
          <w:spacing w:val="-1"/>
          <w:sz w:val="24"/>
          <w:szCs w:val="24"/>
        </w:rPr>
        <w:t>飞云湖风景名胜区范围（上报国家暂未批复，地方资规部门已启用新的</w:t>
      </w:r>
      <w:r>
        <w:rPr>
          <w:rFonts w:ascii="宋体" w:hAnsi="宋体" w:eastAsia="宋体" w:cs="宋体"/>
          <w:spacing w:val="18"/>
          <w:sz w:val="24"/>
          <w:szCs w:val="24"/>
        </w:rPr>
        <w:t xml:space="preserve"> </w:t>
      </w:r>
      <w:r>
        <w:rPr>
          <w:rFonts w:ascii="宋体" w:hAnsi="宋体" w:eastAsia="宋体" w:cs="宋体"/>
          <w:sz w:val="24"/>
          <w:szCs w:val="24"/>
        </w:rPr>
        <w:t>范围</w:t>
      </w:r>
      <w:r>
        <w:rPr>
          <w:rFonts w:ascii="宋体" w:hAnsi="宋体" w:eastAsia="宋体" w:cs="宋体"/>
          <w:spacing w:val="-1"/>
          <w:sz w:val="24"/>
          <w:szCs w:val="24"/>
        </w:rPr>
        <w:t>），</w:t>
      </w:r>
      <w:r>
        <w:rPr>
          <w:rFonts w:ascii="宋体" w:hAnsi="宋体" w:eastAsia="宋体" w:cs="宋体"/>
          <w:sz w:val="24"/>
          <w:szCs w:val="24"/>
        </w:rPr>
        <w:t>本工程线路不涉及百丈漈</w:t>
      </w:r>
      <w:r>
        <w:rPr>
          <w:rFonts w:ascii="Times New Roman" w:hAnsi="Times New Roman" w:eastAsia="Times New Roman" w:cs="Times New Roman"/>
          <w:sz w:val="24"/>
          <w:szCs w:val="24"/>
        </w:rPr>
        <w:t>-</w:t>
      </w:r>
      <w:r>
        <w:rPr>
          <w:rFonts w:ascii="宋体" w:hAnsi="宋体" w:eastAsia="宋体" w:cs="宋体"/>
          <w:sz w:val="24"/>
          <w:szCs w:val="24"/>
        </w:rPr>
        <w:t>飞云湖风景</w:t>
      </w:r>
      <w:r>
        <w:rPr>
          <w:rFonts w:ascii="宋体" w:hAnsi="宋体" w:eastAsia="宋体" w:cs="宋体"/>
          <w:spacing w:val="-1"/>
          <w:sz w:val="24"/>
          <w:szCs w:val="24"/>
        </w:rPr>
        <w:t>名胜区。</w:t>
      </w:r>
      <w:r>
        <w:rPr>
          <w:rFonts w:hint="eastAsia" w:ascii="宋体" w:hAnsi="宋体" w:eastAsia="宋体" w:cs="宋体"/>
          <w:spacing w:val="-1"/>
          <w:sz w:val="24"/>
          <w:szCs w:val="24"/>
          <w:lang w:eastAsia="zh-CN"/>
        </w:rPr>
        <w:t>根据</w:t>
      </w:r>
      <w:r>
        <w:rPr>
          <w:rFonts w:ascii="宋体" w:hAnsi="宋体" w:eastAsia="宋体" w:cs="宋体"/>
          <w:spacing w:val="-1"/>
          <w:sz w:val="24"/>
          <w:szCs w:val="24"/>
        </w:rPr>
        <w:t>用地审批时的</w:t>
      </w:r>
    </w:p>
    <w:p>
      <w:pPr>
        <w:spacing w:before="1" w:line="218" w:lineRule="auto"/>
        <w:ind w:left="61"/>
        <w:rPr>
          <w:rFonts w:ascii="宋体" w:hAnsi="宋体" w:eastAsia="宋体" w:cs="宋体"/>
          <w:sz w:val="24"/>
          <w:szCs w:val="24"/>
        </w:rPr>
      </w:pPr>
      <w:r>
        <w:rPr>
          <w:rFonts w:ascii="宋体" w:hAnsi="宋体" w:eastAsia="宋体" w:cs="宋体"/>
          <w:spacing w:val="-3"/>
          <w:sz w:val="24"/>
          <w:szCs w:val="24"/>
        </w:rPr>
        <w:t>图件，本工程线路部分已经在风景区规划中得以体现。</w:t>
      </w:r>
    </w:p>
    <w:p>
      <w:pPr>
        <w:spacing w:before="183" w:line="359" w:lineRule="auto"/>
        <w:ind w:left="39" w:right="67" w:firstLine="478"/>
        <w:jc w:val="both"/>
        <w:rPr>
          <w:rFonts w:ascii="宋体" w:hAnsi="宋体" w:eastAsia="宋体" w:cs="宋体"/>
          <w:sz w:val="24"/>
          <w:szCs w:val="24"/>
        </w:rPr>
      </w:pPr>
      <w:r>
        <w:rPr>
          <w:rFonts w:ascii="宋体" w:hAnsi="宋体" w:eastAsia="宋体" w:cs="宋体"/>
          <w:spacing w:val="-10"/>
          <w:sz w:val="24"/>
          <w:szCs w:val="24"/>
        </w:rPr>
        <w:t>通过前述分析， 本工程施工期对生态环境造成了一定的影响， 但临时场地等</w:t>
      </w:r>
      <w:r>
        <w:rPr>
          <w:rFonts w:ascii="宋体" w:hAnsi="宋体" w:eastAsia="宋体" w:cs="宋体"/>
          <w:spacing w:val="3"/>
          <w:sz w:val="24"/>
          <w:szCs w:val="24"/>
        </w:rPr>
        <w:t xml:space="preserve"> </w:t>
      </w:r>
      <w:r>
        <w:rPr>
          <w:rFonts w:ascii="宋体" w:hAnsi="宋体" w:eastAsia="宋体" w:cs="宋体"/>
          <w:spacing w:val="-12"/>
          <w:sz w:val="24"/>
          <w:szCs w:val="24"/>
        </w:rPr>
        <w:t>已在施工结束后进行恢复，</w:t>
      </w:r>
      <w:r>
        <w:rPr>
          <w:rFonts w:ascii="宋体" w:hAnsi="宋体" w:eastAsia="宋体" w:cs="宋体"/>
          <w:spacing w:val="40"/>
          <w:sz w:val="24"/>
          <w:szCs w:val="24"/>
        </w:rPr>
        <w:t xml:space="preserve"> </w:t>
      </w:r>
      <w:r>
        <w:rPr>
          <w:rFonts w:ascii="宋体" w:hAnsi="宋体" w:eastAsia="宋体" w:cs="宋体"/>
          <w:spacing w:val="-12"/>
          <w:sz w:val="24"/>
          <w:szCs w:val="24"/>
        </w:rPr>
        <w:t>并将持续进行管养。项目已经建成通车，</w:t>
      </w:r>
      <w:r>
        <w:rPr>
          <w:rFonts w:ascii="宋体" w:hAnsi="宋体" w:eastAsia="宋体" w:cs="宋体"/>
          <w:spacing w:val="35"/>
          <w:sz w:val="24"/>
          <w:szCs w:val="24"/>
        </w:rPr>
        <w:t xml:space="preserve"> </w:t>
      </w:r>
      <w:r>
        <w:rPr>
          <w:rFonts w:ascii="宋体" w:hAnsi="宋体" w:eastAsia="宋体" w:cs="宋体"/>
          <w:spacing w:val="-12"/>
          <w:sz w:val="24"/>
          <w:szCs w:val="24"/>
        </w:rPr>
        <w:t>从目前生态</w:t>
      </w:r>
      <w:r>
        <w:rPr>
          <w:rFonts w:ascii="宋体" w:hAnsi="宋体" w:eastAsia="宋体" w:cs="宋体"/>
          <w:sz w:val="24"/>
          <w:szCs w:val="24"/>
        </w:rPr>
        <w:t xml:space="preserve"> </w:t>
      </w:r>
      <w:r>
        <w:rPr>
          <w:rFonts w:ascii="宋体" w:hAnsi="宋体" w:eastAsia="宋体" w:cs="宋体"/>
          <w:spacing w:val="-16"/>
          <w:sz w:val="24"/>
          <w:szCs w:val="24"/>
        </w:rPr>
        <w:t>恢复的情况来看，</w:t>
      </w:r>
      <w:r>
        <w:rPr>
          <w:rFonts w:ascii="宋体" w:hAnsi="宋体" w:eastAsia="宋体" w:cs="宋体"/>
          <w:spacing w:val="31"/>
          <w:sz w:val="24"/>
          <w:szCs w:val="24"/>
        </w:rPr>
        <w:t xml:space="preserve"> </w:t>
      </w:r>
      <w:r>
        <w:rPr>
          <w:rFonts w:ascii="宋体" w:hAnsi="宋体" w:eastAsia="宋体" w:cs="宋体"/>
          <w:spacing w:val="-16"/>
          <w:sz w:val="24"/>
          <w:szCs w:val="24"/>
        </w:rPr>
        <w:t>边坡等均已恢复绿化，</w:t>
      </w:r>
      <w:r>
        <w:rPr>
          <w:rFonts w:ascii="宋体" w:hAnsi="宋体" w:eastAsia="宋体" w:cs="宋体"/>
          <w:spacing w:val="31"/>
          <w:sz w:val="24"/>
          <w:szCs w:val="24"/>
        </w:rPr>
        <w:t xml:space="preserve"> </w:t>
      </w:r>
      <w:r>
        <w:rPr>
          <w:rFonts w:ascii="宋体" w:hAnsi="宋体" w:eastAsia="宋体" w:cs="宋体"/>
          <w:spacing w:val="-16"/>
          <w:sz w:val="24"/>
          <w:szCs w:val="24"/>
        </w:rPr>
        <w:t>道路两侧也进行了绿化，</w:t>
      </w:r>
      <w:r>
        <w:rPr>
          <w:rFonts w:ascii="宋体" w:hAnsi="宋体" w:eastAsia="宋体" w:cs="宋体"/>
          <w:spacing w:val="33"/>
          <w:sz w:val="24"/>
          <w:szCs w:val="24"/>
        </w:rPr>
        <w:t xml:space="preserve"> </w:t>
      </w:r>
      <w:r>
        <w:rPr>
          <w:rFonts w:ascii="宋体" w:hAnsi="宋体" w:eastAsia="宋体" w:cs="宋体"/>
          <w:spacing w:val="-16"/>
          <w:sz w:val="24"/>
          <w:szCs w:val="24"/>
        </w:rPr>
        <w:t>本项目景观基</w:t>
      </w:r>
      <w:r>
        <w:rPr>
          <w:rFonts w:ascii="宋体" w:hAnsi="宋体" w:eastAsia="宋体" w:cs="宋体"/>
          <w:sz w:val="24"/>
          <w:szCs w:val="24"/>
        </w:rPr>
        <w:t xml:space="preserve"> </w:t>
      </w:r>
      <w:r>
        <w:rPr>
          <w:rFonts w:ascii="宋体" w:hAnsi="宋体" w:eastAsia="宋体" w:cs="宋体"/>
          <w:spacing w:val="-6"/>
          <w:sz w:val="24"/>
          <w:szCs w:val="24"/>
        </w:rPr>
        <w:t>本与景区相协调。且根据最新的规划， 项目位于风景</w:t>
      </w:r>
      <w:r>
        <w:rPr>
          <w:rFonts w:ascii="宋体" w:hAnsi="宋体" w:eastAsia="宋体" w:cs="宋体"/>
          <w:spacing w:val="-7"/>
          <w:sz w:val="24"/>
          <w:szCs w:val="24"/>
        </w:rPr>
        <w:t>名胜区的外围保护地带范围</w:t>
      </w:r>
      <w:r>
        <w:rPr>
          <w:rFonts w:ascii="宋体" w:hAnsi="宋体" w:eastAsia="宋体" w:cs="宋体"/>
          <w:sz w:val="24"/>
          <w:szCs w:val="24"/>
        </w:rPr>
        <w:t xml:space="preserve"> </w:t>
      </w:r>
      <w:r>
        <w:rPr>
          <w:rFonts w:ascii="宋体" w:hAnsi="宋体" w:eastAsia="宋体" w:cs="宋体"/>
          <w:spacing w:val="-3"/>
          <w:sz w:val="24"/>
          <w:szCs w:val="24"/>
        </w:rPr>
        <w:t>内，</w:t>
      </w:r>
      <w:r>
        <w:rPr>
          <w:rFonts w:ascii="宋体" w:hAnsi="宋体" w:eastAsia="宋体" w:cs="宋体"/>
          <w:spacing w:val="-44"/>
          <w:sz w:val="24"/>
          <w:szCs w:val="24"/>
        </w:rPr>
        <w:t xml:space="preserve"> </w:t>
      </w:r>
      <w:r>
        <w:rPr>
          <w:rFonts w:ascii="宋体" w:hAnsi="宋体" w:eastAsia="宋体" w:cs="宋体"/>
          <w:spacing w:val="-3"/>
          <w:sz w:val="24"/>
          <w:szCs w:val="24"/>
        </w:rPr>
        <w:t>与风景名胜区最近距离约</w:t>
      </w:r>
      <w:r>
        <w:rPr>
          <w:rFonts w:ascii="Times New Roman" w:hAnsi="Times New Roman" w:eastAsia="Times New Roman" w:cs="Times New Roman"/>
          <w:spacing w:val="-3"/>
          <w:sz w:val="24"/>
          <w:szCs w:val="24"/>
        </w:rPr>
        <w:t>1305m</w:t>
      </w:r>
      <w:r>
        <w:rPr>
          <w:rFonts w:ascii="宋体" w:hAnsi="宋体" w:eastAsia="宋体" w:cs="宋体"/>
          <w:spacing w:val="-3"/>
          <w:sz w:val="24"/>
          <w:szCs w:val="24"/>
        </w:rPr>
        <w:t>，项</w:t>
      </w:r>
      <w:r>
        <w:rPr>
          <w:rFonts w:ascii="宋体" w:hAnsi="宋体" w:eastAsia="宋体" w:cs="宋体"/>
          <w:spacing w:val="-4"/>
          <w:sz w:val="24"/>
          <w:szCs w:val="24"/>
        </w:rPr>
        <w:t>目的建设沟通了风景名胜区的两块分片</w:t>
      </w:r>
    </w:p>
    <w:p>
      <w:pPr>
        <w:spacing w:line="219" w:lineRule="auto"/>
        <w:ind w:left="41"/>
        <w:rPr>
          <w:rFonts w:ascii="宋体" w:hAnsi="宋体" w:eastAsia="宋体" w:cs="宋体"/>
          <w:sz w:val="24"/>
          <w:szCs w:val="24"/>
        </w:rPr>
      </w:pPr>
      <w:r>
        <w:rPr>
          <w:rFonts w:ascii="宋体" w:hAnsi="宋体" w:eastAsia="宋体" w:cs="宋体"/>
          <w:spacing w:val="-2"/>
          <w:sz w:val="24"/>
          <w:szCs w:val="24"/>
        </w:rPr>
        <w:t>景点，有利于带动区域旅游，项目的建设对风景名胜区的影响很小。</w:t>
      </w:r>
    </w:p>
    <w:p>
      <w:pPr>
        <w:spacing w:before="182" w:line="220" w:lineRule="auto"/>
        <w:ind w:left="36"/>
        <w:outlineLvl w:val="1"/>
        <w:rPr>
          <w:rFonts w:ascii="宋体" w:hAnsi="宋体" w:eastAsia="宋体" w:cs="宋体"/>
          <w:sz w:val="24"/>
          <w:szCs w:val="24"/>
        </w:rPr>
      </w:pPr>
      <w:r>
        <w:fldChar w:fldCharType="begin"/>
      </w:r>
      <w:r>
        <w:instrText xml:space="preserve"> HYPERLINK "5.5.1.7" </w:instrText>
      </w:r>
      <w:r>
        <w:fldChar w:fldCharType="separate"/>
      </w:r>
      <w:r>
        <w:rPr>
          <w:rFonts w:ascii="Times New Roman" w:hAnsi="Times New Roman" w:eastAsia="Times New Roman" w:cs="Times New Roman"/>
          <w:b/>
          <w:bCs/>
          <w:sz w:val="24"/>
          <w:szCs w:val="24"/>
        </w:rPr>
        <w:t>5.5.1.7</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对生态公益林的影响</w:t>
      </w:r>
    </w:p>
    <w:p>
      <w:pPr>
        <w:spacing w:before="181" w:line="359" w:lineRule="auto"/>
        <w:ind w:left="33" w:right="67" w:firstLine="487"/>
        <w:rPr>
          <w:rFonts w:ascii="宋体" w:hAnsi="宋体" w:eastAsia="宋体" w:cs="宋体"/>
          <w:sz w:val="24"/>
          <w:szCs w:val="24"/>
        </w:rPr>
      </w:pPr>
      <w:r>
        <w:rPr>
          <w:rFonts w:ascii="宋体" w:hAnsi="宋体" w:eastAsia="宋体" w:cs="宋体"/>
          <w:spacing w:val="7"/>
          <w:sz w:val="24"/>
          <w:szCs w:val="24"/>
        </w:rPr>
        <w:t xml:space="preserve">工程永久占地不涉及到国家级生态公益林，在 </w:t>
      </w:r>
      <w:r>
        <w:rPr>
          <w:rFonts w:ascii="Times New Roman" w:hAnsi="Times New Roman" w:eastAsia="Times New Roman" w:cs="Times New Roman"/>
          <w:spacing w:val="7"/>
          <w:sz w:val="24"/>
          <w:szCs w:val="24"/>
        </w:rPr>
        <w:t>L1K2+84</w:t>
      </w:r>
      <w:r>
        <w:rPr>
          <w:rFonts w:ascii="Times New Roman" w:hAnsi="Times New Roman" w:eastAsia="Times New Roman" w:cs="Times New Roman"/>
          <w:spacing w:val="6"/>
          <w:sz w:val="24"/>
          <w:szCs w:val="24"/>
        </w:rPr>
        <w:t>0</w:t>
      </w:r>
      <w:r>
        <w:rPr>
          <w:rFonts w:ascii="宋体" w:hAnsi="宋体" w:eastAsia="宋体" w:cs="宋体"/>
          <w:spacing w:val="6"/>
          <w:sz w:val="24"/>
          <w:szCs w:val="24"/>
        </w:rPr>
        <w:t>～</w:t>
      </w:r>
      <w:r>
        <w:rPr>
          <w:rFonts w:ascii="Times New Roman" w:hAnsi="Times New Roman" w:eastAsia="Times New Roman" w:cs="Times New Roman"/>
          <w:spacing w:val="6"/>
          <w:sz w:val="24"/>
          <w:szCs w:val="24"/>
        </w:rPr>
        <w:t>L1K3+185</w:t>
      </w:r>
      <w:r>
        <w:rPr>
          <w:rFonts w:ascii="Times New Roman" w:hAnsi="Times New Roman" w:eastAsia="Times New Roman" w:cs="Times New Roman"/>
          <w:spacing w:val="-19"/>
          <w:sz w:val="24"/>
          <w:szCs w:val="24"/>
        </w:rPr>
        <w:t xml:space="preserve"> </w:t>
      </w:r>
      <w:r>
        <w:rPr>
          <w:rFonts w:ascii="宋体" w:hAnsi="宋体" w:eastAsia="宋体" w:cs="宋体"/>
          <w:spacing w:val="6"/>
          <w:sz w:val="24"/>
          <w:szCs w:val="24"/>
        </w:rPr>
        <w:t>、</w:t>
      </w:r>
      <w:r>
        <w:rPr>
          <w:rFonts w:ascii="宋体" w:hAnsi="宋体" w:eastAsia="宋体" w:cs="宋体"/>
          <w:sz w:val="24"/>
          <w:szCs w:val="24"/>
        </w:rPr>
        <w:t xml:space="preserve"> </w:t>
      </w:r>
      <w:r>
        <w:rPr>
          <w:rFonts w:ascii="Times New Roman" w:hAnsi="Times New Roman" w:eastAsia="Times New Roman" w:cs="Times New Roman"/>
          <w:spacing w:val="-5"/>
          <w:sz w:val="24"/>
          <w:szCs w:val="24"/>
        </w:rPr>
        <w:t>L1K4+900</w:t>
      </w:r>
      <w:r>
        <w:rPr>
          <w:rFonts w:ascii="宋体" w:hAnsi="宋体" w:eastAsia="宋体" w:cs="宋体"/>
          <w:spacing w:val="-5"/>
          <w:sz w:val="24"/>
          <w:szCs w:val="24"/>
        </w:rPr>
        <w:t>～</w:t>
      </w:r>
      <w:r>
        <w:rPr>
          <w:rFonts w:ascii="Times New Roman" w:hAnsi="Times New Roman" w:eastAsia="Times New Roman" w:cs="Times New Roman"/>
          <w:spacing w:val="-5"/>
          <w:sz w:val="24"/>
          <w:szCs w:val="24"/>
        </w:rPr>
        <w:t>L1K5+100</w:t>
      </w:r>
      <w:r>
        <w:rPr>
          <w:rFonts w:ascii="Times New Roman" w:hAnsi="Times New Roman" w:eastAsia="Times New Roman" w:cs="Times New Roman"/>
          <w:spacing w:val="13"/>
          <w:sz w:val="24"/>
          <w:szCs w:val="24"/>
        </w:rPr>
        <w:t xml:space="preserve"> </w:t>
      </w:r>
      <w:r>
        <w:rPr>
          <w:rFonts w:ascii="宋体" w:hAnsi="宋体" w:eastAsia="宋体" w:cs="宋体"/>
          <w:spacing w:val="-5"/>
          <w:sz w:val="24"/>
          <w:szCs w:val="24"/>
        </w:rPr>
        <w:t>段以隧道形式无害化穿越，</w:t>
      </w:r>
      <w:r>
        <w:rPr>
          <w:rFonts w:ascii="宋体" w:hAnsi="宋体" w:eastAsia="宋体" w:cs="宋体"/>
          <w:spacing w:val="-30"/>
          <w:sz w:val="24"/>
          <w:szCs w:val="24"/>
        </w:rPr>
        <w:t xml:space="preserve"> </w:t>
      </w:r>
      <w:r>
        <w:rPr>
          <w:rFonts w:ascii="宋体" w:hAnsi="宋体" w:eastAsia="宋体" w:cs="宋体"/>
          <w:spacing w:val="-5"/>
          <w:sz w:val="24"/>
          <w:szCs w:val="24"/>
        </w:rPr>
        <w:t>隧道洞口和临时占地不</w:t>
      </w:r>
      <w:r>
        <w:rPr>
          <w:rFonts w:ascii="宋体" w:hAnsi="宋体" w:eastAsia="宋体" w:cs="宋体"/>
          <w:spacing w:val="-6"/>
          <w:sz w:val="24"/>
          <w:szCs w:val="24"/>
        </w:rPr>
        <w:t>涉及占</w:t>
      </w:r>
    </w:p>
    <w:p>
      <w:pPr>
        <w:spacing w:line="219" w:lineRule="auto"/>
        <w:ind w:left="40"/>
        <w:rPr>
          <w:rFonts w:ascii="宋体" w:hAnsi="宋体" w:eastAsia="宋体" w:cs="宋体"/>
          <w:sz w:val="24"/>
          <w:szCs w:val="24"/>
        </w:rPr>
      </w:pPr>
      <w:r>
        <w:rPr>
          <w:rFonts w:ascii="宋体" w:hAnsi="宋体" w:eastAsia="宋体" w:cs="宋体"/>
          <w:spacing w:val="-2"/>
          <w:sz w:val="24"/>
          <w:szCs w:val="24"/>
        </w:rPr>
        <w:t>用生态公益林。工程线路占地对生态公益林的影响不大。</w:t>
      </w:r>
    </w:p>
    <w:p>
      <w:pPr>
        <w:spacing w:before="184" w:line="359" w:lineRule="auto"/>
        <w:ind w:left="36" w:right="27" w:firstLine="480"/>
        <w:rPr>
          <w:rFonts w:ascii="宋体" w:hAnsi="宋体" w:eastAsia="宋体" w:cs="宋体"/>
          <w:sz w:val="24"/>
          <w:szCs w:val="24"/>
        </w:rPr>
      </w:pPr>
      <w:r>
        <w:rPr>
          <w:rFonts w:ascii="宋体" w:hAnsi="宋体" w:eastAsia="宋体" w:cs="宋体"/>
          <w:spacing w:val="-10"/>
          <w:sz w:val="24"/>
          <w:szCs w:val="24"/>
        </w:rPr>
        <w:t>施工期严格施工规范， 对施工人员的进行现场宣传教育， 不砍伐作业带以外</w:t>
      </w:r>
      <w:r>
        <w:rPr>
          <w:rFonts w:ascii="宋体" w:hAnsi="宋体" w:eastAsia="宋体" w:cs="宋体"/>
          <w:spacing w:val="5"/>
          <w:sz w:val="24"/>
          <w:szCs w:val="24"/>
        </w:rPr>
        <w:t xml:space="preserve"> </w:t>
      </w:r>
      <w:r>
        <w:rPr>
          <w:rFonts w:ascii="宋体" w:hAnsi="宋体" w:eastAsia="宋体" w:cs="宋体"/>
          <w:spacing w:val="-3"/>
          <w:sz w:val="24"/>
          <w:szCs w:val="24"/>
        </w:rPr>
        <w:t>的林地。施工生活营地和施工场地未设置在生态公益林范围内，且临时施工场地</w:t>
      </w:r>
      <w:r>
        <w:rPr>
          <w:rFonts w:ascii="宋体" w:hAnsi="宋体" w:eastAsia="宋体" w:cs="宋体"/>
          <w:spacing w:val="2"/>
          <w:sz w:val="24"/>
          <w:szCs w:val="24"/>
        </w:rPr>
        <w:t xml:space="preserve"> </w:t>
      </w:r>
      <w:r>
        <w:rPr>
          <w:rFonts w:ascii="宋体" w:hAnsi="宋体" w:eastAsia="宋体" w:cs="宋体"/>
          <w:spacing w:val="-7"/>
          <w:sz w:val="24"/>
          <w:szCs w:val="24"/>
        </w:rPr>
        <w:t>进行了临时用地审批。施工结束后，</w:t>
      </w:r>
      <w:r>
        <w:rPr>
          <w:rFonts w:ascii="宋体" w:hAnsi="宋体" w:eastAsia="宋体" w:cs="宋体"/>
          <w:spacing w:val="76"/>
          <w:sz w:val="24"/>
          <w:szCs w:val="24"/>
        </w:rPr>
        <w:t xml:space="preserve"> </w:t>
      </w:r>
      <w:r>
        <w:rPr>
          <w:rFonts w:ascii="宋体" w:hAnsi="宋体" w:eastAsia="宋体" w:cs="宋体"/>
          <w:spacing w:val="-7"/>
          <w:sz w:val="24"/>
          <w:szCs w:val="24"/>
        </w:rPr>
        <w:t>临时场地等按</w:t>
      </w:r>
      <w:r>
        <w:rPr>
          <w:rFonts w:ascii="宋体" w:hAnsi="宋体" w:eastAsia="宋体" w:cs="宋体"/>
          <w:spacing w:val="-8"/>
          <w:sz w:val="24"/>
          <w:szCs w:val="24"/>
        </w:rPr>
        <w:t>照要求进行恢复原有的功能，</w:t>
      </w:r>
      <w:r>
        <w:rPr>
          <w:rFonts w:ascii="宋体" w:hAnsi="宋体" w:eastAsia="宋体" w:cs="宋体"/>
          <w:sz w:val="24"/>
          <w:szCs w:val="24"/>
        </w:rPr>
        <w:t xml:space="preserve"> </w:t>
      </w:r>
      <w:r>
        <w:rPr>
          <w:rFonts w:ascii="宋体" w:hAnsi="宋体" w:eastAsia="宋体" w:cs="宋体"/>
          <w:spacing w:val="-12"/>
          <w:sz w:val="24"/>
          <w:szCs w:val="24"/>
        </w:rPr>
        <w:t>并由当地资规部门进行验收。此外，</w:t>
      </w:r>
      <w:r>
        <w:rPr>
          <w:rFonts w:ascii="宋体" w:hAnsi="宋体" w:eastAsia="宋体" w:cs="宋体"/>
          <w:spacing w:val="52"/>
          <w:sz w:val="24"/>
          <w:szCs w:val="24"/>
        </w:rPr>
        <w:t xml:space="preserve"> </w:t>
      </w:r>
      <w:r>
        <w:rPr>
          <w:rFonts w:ascii="宋体" w:hAnsi="宋体" w:eastAsia="宋体" w:cs="宋体"/>
          <w:spacing w:val="-12"/>
          <w:sz w:val="24"/>
          <w:szCs w:val="24"/>
        </w:rPr>
        <w:t>工程建成后通过对路基边坡进行绿化，</w:t>
      </w:r>
      <w:r>
        <w:rPr>
          <w:rFonts w:ascii="宋体" w:hAnsi="宋体" w:eastAsia="宋体" w:cs="宋体"/>
          <w:spacing w:val="32"/>
          <w:sz w:val="24"/>
          <w:szCs w:val="24"/>
        </w:rPr>
        <w:t xml:space="preserve"> </w:t>
      </w:r>
      <w:r>
        <w:rPr>
          <w:rFonts w:ascii="宋体" w:hAnsi="宋体" w:eastAsia="宋体" w:cs="宋体"/>
          <w:spacing w:val="-12"/>
          <w:sz w:val="24"/>
          <w:szCs w:val="24"/>
        </w:rPr>
        <w:t>种植</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树木，可以弥补部分生态损失。</w:t>
      </w:r>
    </w:p>
    <w:p>
      <w:pPr>
        <w:spacing w:line="219" w:lineRule="auto"/>
        <w:rPr>
          <w:rFonts w:ascii="宋体" w:hAnsi="宋体" w:eastAsia="宋体" w:cs="宋体"/>
          <w:sz w:val="24"/>
          <w:szCs w:val="24"/>
        </w:rPr>
        <w:sectPr>
          <w:headerReference r:id="rId291" w:type="default"/>
          <w:footerReference r:id="rId292" w:type="default"/>
          <w:pgSz w:w="11907" w:h="16839"/>
          <w:pgMar w:top="1118" w:right="1731" w:bottom="1184" w:left="1771" w:header="879" w:footer="1024" w:gutter="0"/>
          <w:cols w:space="720" w:num="1"/>
        </w:sectPr>
      </w:pPr>
    </w:p>
    <w:p>
      <w:pPr>
        <w:spacing w:before="80"/>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6"/>
        <w:gridCol w:w="42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9" w:hRule="atLeast"/>
        </w:trPr>
        <w:tc>
          <w:tcPr>
            <w:tcW w:w="4266" w:type="dxa"/>
            <w:vAlign w:val="top"/>
          </w:tcPr>
          <w:p>
            <w:pPr>
              <w:spacing w:before="88" w:line="2955" w:lineRule="exact"/>
              <w:ind w:firstLine="162"/>
            </w:pPr>
            <w:r>
              <w:rPr>
                <w:position w:val="-59"/>
              </w:rPr>
              <w:drawing>
                <wp:inline distT="0" distB="0" distL="0" distR="0">
                  <wp:extent cx="2498725" cy="187579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475"/>
                          <a:stretch>
                            <a:fillRect/>
                          </a:stretch>
                        </pic:blipFill>
                        <pic:spPr>
                          <a:xfrm>
                            <a:off x="0" y="0"/>
                            <a:ext cx="2499359" cy="1875790"/>
                          </a:xfrm>
                          <a:prstGeom prst="rect">
                            <a:avLst/>
                          </a:prstGeom>
                        </pic:spPr>
                      </pic:pic>
                    </a:graphicData>
                  </a:graphic>
                </wp:inline>
              </w:drawing>
            </w:r>
          </w:p>
        </w:tc>
        <w:tc>
          <w:tcPr>
            <w:tcW w:w="4260" w:type="dxa"/>
            <w:vAlign w:val="top"/>
          </w:tcPr>
          <w:p>
            <w:pPr>
              <w:spacing w:before="79" w:line="2971" w:lineRule="exact"/>
              <w:ind w:firstLine="142"/>
            </w:pPr>
            <w:r>
              <w:rPr>
                <w:position w:val="-59"/>
              </w:rPr>
              <w:drawing>
                <wp:inline distT="0" distB="0" distL="0" distR="0">
                  <wp:extent cx="2515870" cy="188595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476"/>
                          <a:stretch>
                            <a:fillRect/>
                          </a:stretch>
                        </pic:blipFill>
                        <pic:spPr>
                          <a:xfrm>
                            <a:off x="0" y="0"/>
                            <a:ext cx="2515870" cy="188658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266" w:type="dxa"/>
            <w:vAlign w:val="top"/>
          </w:tcPr>
          <w:p>
            <w:pPr>
              <w:pStyle w:val="6"/>
              <w:spacing w:before="51" w:line="221" w:lineRule="auto"/>
              <w:ind w:left="1614"/>
            </w:pPr>
            <w:r>
              <w:rPr>
                <w:spacing w:val="-2"/>
              </w:rPr>
              <w:t>敖里隧道口</w:t>
            </w:r>
          </w:p>
        </w:tc>
        <w:tc>
          <w:tcPr>
            <w:tcW w:w="4260" w:type="dxa"/>
            <w:vAlign w:val="top"/>
          </w:tcPr>
          <w:p>
            <w:pPr>
              <w:pStyle w:val="6"/>
              <w:spacing w:before="51" w:line="221" w:lineRule="auto"/>
              <w:ind w:left="1715"/>
            </w:pPr>
            <w:r>
              <w:rPr>
                <w:spacing w:val="-2"/>
              </w:rPr>
              <w:t>路旁绿化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4266" w:type="dxa"/>
            <w:vAlign w:val="top"/>
          </w:tcPr>
          <w:p>
            <w:pPr>
              <w:spacing w:before="90" w:line="2943" w:lineRule="exact"/>
              <w:ind w:firstLine="167"/>
            </w:pPr>
            <w:r>
              <w:rPr>
                <w:position w:val="-58"/>
              </w:rPr>
              <w:drawing>
                <wp:inline distT="0" distB="0" distL="0" distR="0">
                  <wp:extent cx="2492375" cy="186880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477"/>
                          <a:stretch>
                            <a:fillRect/>
                          </a:stretch>
                        </pic:blipFill>
                        <pic:spPr>
                          <a:xfrm>
                            <a:off x="0" y="0"/>
                            <a:ext cx="2493009" cy="1869439"/>
                          </a:xfrm>
                          <a:prstGeom prst="rect">
                            <a:avLst/>
                          </a:prstGeom>
                        </pic:spPr>
                      </pic:pic>
                    </a:graphicData>
                  </a:graphic>
                </wp:inline>
              </w:drawing>
            </w:r>
          </w:p>
        </w:tc>
        <w:tc>
          <w:tcPr>
            <w:tcW w:w="4260" w:type="dxa"/>
            <w:vAlign w:val="top"/>
          </w:tcPr>
          <w:p>
            <w:pPr>
              <w:spacing w:before="135" w:line="2853" w:lineRule="exact"/>
              <w:ind w:firstLine="173"/>
            </w:pPr>
            <w:r>
              <w:rPr>
                <w:position w:val="-57"/>
              </w:rPr>
              <w:drawing>
                <wp:inline distT="0" distB="0" distL="0" distR="0">
                  <wp:extent cx="2476500" cy="181165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478"/>
                          <a:stretch>
                            <a:fillRect/>
                          </a:stretch>
                        </pic:blipFill>
                        <pic:spPr>
                          <a:xfrm>
                            <a:off x="0" y="0"/>
                            <a:ext cx="2476500" cy="181228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266" w:type="dxa"/>
            <w:vAlign w:val="top"/>
          </w:tcPr>
          <w:p>
            <w:pPr>
              <w:pStyle w:val="6"/>
              <w:spacing w:before="55" w:line="221" w:lineRule="auto"/>
              <w:ind w:left="1551"/>
            </w:pPr>
            <w:r>
              <w:rPr>
                <w:spacing w:val="-2"/>
              </w:rPr>
              <w:t>线路</w:t>
            </w:r>
            <w:r>
              <w:rPr>
                <w:spacing w:val="-45"/>
              </w:rPr>
              <w:t xml:space="preserve"> </w:t>
            </w:r>
            <w:r>
              <w:rPr>
                <w:rFonts w:ascii="Times New Roman" w:hAnsi="Times New Roman" w:eastAsia="Times New Roman" w:cs="Times New Roman"/>
                <w:spacing w:val="-2"/>
              </w:rPr>
              <w:t xml:space="preserve">L2 </w:t>
            </w:r>
            <w:r>
              <w:rPr>
                <w:spacing w:val="-2"/>
              </w:rPr>
              <w:t>边坡</w:t>
            </w:r>
          </w:p>
        </w:tc>
        <w:tc>
          <w:tcPr>
            <w:tcW w:w="4260" w:type="dxa"/>
            <w:vAlign w:val="top"/>
          </w:tcPr>
          <w:p>
            <w:pPr>
              <w:pStyle w:val="6"/>
              <w:spacing w:before="55" w:line="221" w:lineRule="auto"/>
              <w:ind w:left="1546"/>
            </w:pPr>
            <w:r>
              <w:rPr>
                <w:spacing w:val="-2"/>
              </w:rPr>
              <w:t>线路</w:t>
            </w:r>
            <w:r>
              <w:rPr>
                <w:spacing w:val="-46"/>
              </w:rPr>
              <w:t xml:space="preserve"> </w:t>
            </w:r>
            <w:r>
              <w:rPr>
                <w:rFonts w:ascii="Times New Roman" w:hAnsi="Times New Roman" w:eastAsia="Times New Roman" w:cs="Times New Roman"/>
                <w:spacing w:val="-2"/>
              </w:rPr>
              <w:t xml:space="preserve">L2 </w:t>
            </w:r>
            <w:r>
              <w:rPr>
                <w:spacing w:val="-2"/>
              </w:rPr>
              <w:t>边坡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4266" w:type="dxa"/>
            <w:vAlign w:val="top"/>
          </w:tcPr>
          <w:p>
            <w:pPr>
              <w:spacing w:before="89" w:line="2631" w:lineRule="exact"/>
              <w:ind w:firstLine="107"/>
            </w:pPr>
            <w:r>
              <w:rPr>
                <w:position w:val="-52"/>
              </w:rPr>
              <w:drawing>
                <wp:inline distT="0" distB="0" distL="0" distR="0">
                  <wp:extent cx="2580005" cy="167068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479"/>
                          <a:stretch>
                            <a:fillRect/>
                          </a:stretch>
                        </pic:blipFill>
                        <pic:spPr>
                          <a:xfrm>
                            <a:off x="0" y="0"/>
                            <a:ext cx="2580005" cy="1670685"/>
                          </a:xfrm>
                          <a:prstGeom prst="rect">
                            <a:avLst/>
                          </a:prstGeom>
                        </pic:spPr>
                      </pic:pic>
                    </a:graphicData>
                  </a:graphic>
                </wp:inline>
              </w:drawing>
            </w:r>
          </w:p>
        </w:tc>
        <w:tc>
          <w:tcPr>
            <w:tcW w:w="4260" w:type="dxa"/>
            <w:vAlign w:val="top"/>
          </w:tcPr>
          <w:p>
            <w:pPr>
              <w:spacing w:before="27" w:line="2757" w:lineRule="exact"/>
              <w:ind w:firstLine="120"/>
            </w:pPr>
            <w:r>
              <w:rPr>
                <w:position w:val="-55"/>
              </w:rPr>
              <w:drawing>
                <wp:inline distT="0" distB="0" distL="0" distR="0">
                  <wp:extent cx="2544445" cy="175069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480"/>
                          <a:stretch>
                            <a:fillRect/>
                          </a:stretch>
                        </pic:blipFill>
                        <pic:spPr>
                          <a:xfrm>
                            <a:off x="0" y="0"/>
                            <a:ext cx="2545079" cy="175069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266" w:type="dxa"/>
            <w:vAlign w:val="top"/>
          </w:tcPr>
          <w:p>
            <w:pPr>
              <w:pStyle w:val="6"/>
              <w:spacing w:before="54" w:line="221" w:lineRule="auto"/>
              <w:ind w:left="888"/>
            </w:pPr>
            <w:r>
              <w:rPr>
                <w:spacing w:val="-2"/>
              </w:rPr>
              <w:t>临时施工场地恢复（夏季）</w:t>
            </w:r>
          </w:p>
        </w:tc>
        <w:tc>
          <w:tcPr>
            <w:tcW w:w="4260" w:type="dxa"/>
            <w:vAlign w:val="top"/>
          </w:tcPr>
          <w:p>
            <w:pPr>
              <w:pStyle w:val="6"/>
              <w:spacing w:before="54" w:line="221" w:lineRule="auto"/>
              <w:ind w:left="254"/>
            </w:pPr>
            <w:r>
              <w:rPr>
                <w:spacing w:val="-2"/>
              </w:rPr>
              <w:t>临时施工场地恢复（冬天农作物收割后）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4266" w:type="dxa"/>
            <w:vAlign w:val="top"/>
          </w:tcPr>
          <w:p>
            <w:pPr>
              <w:spacing w:before="59" w:line="3007" w:lineRule="exact"/>
              <w:ind w:firstLine="126"/>
            </w:pPr>
            <w:r>
              <w:rPr>
                <w:position w:val="-60"/>
              </w:rPr>
              <w:drawing>
                <wp:inline distT="0" distB="0" distL="0" distR="0">
                  <wp:extent cx="2544445" cy="190944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481"/>
                          <a:stretch>
                            <a:fillRect/>
                          </a:stretch>
                        </pic:blipFill>
                        <pic:spPr>
                          <a:xfrm>
                            <a:off x="0" y="0"/>
                            <a:ext cx="2545079" cy="1909445"/>
                          </a:xfrm>
                          <a:prstGeom prst="rect">
                            <a:avLst/>
                          </a:prstGeom>
                        </pic:spPr>
                      </pic:pic>
                    </a:graphicData>
                  </a:graphic>
                </wp:inline>
              </w:drawing>
            </w:r>
          </w:p>
        </w:tc>
        <w:tc>
          <w:tcPr>
            <w:tcW w:w="4260" w:type="dxa"/>
            <w:vAlign w:val="top"/>
          </w:tcPr>
          <w:p>
            <w:pPr>
              <w:spacing w:before="74" w:line="2976" w:lineRule="exact"/>
              <w:ind w:firstLine="144"/>
            </w:pPr>
            <w:r>
              <w:rPr>
                <w:position w:val="-59"/>
              </w:rPr>
              <w:drawing>
                <wp:inline distT="0" distB="0" distL="0" distR="0">
                  <wp:extent cx="2514600" cy="188912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482"/>
                          <a:stretch>
                            <a:fillRect/>
                          </a:stretch>
                        </pic:blipFill>
                        <pic:spPr>
                          <a:xfrm>
                            <a:off x="0" y="0"/>
                            <a:ext cx="2514600" cy="188975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526" w:type="dxa"/>
            <w:gridSpan w:val="2"/>
            <w:vAlign w:val="top"/>
          </w:tcPr>
          <w:p>
            <w:pPr>
              <w:pStyle w:val="6"/>
              <w:spacing w:before="56" w:line="221" w:lineRule="auto"/>
              <w:ind w:left="3180"/>
            </w:pPr>
            <w:r>
              <w:rPr>
                <w:spacing w:val="-1"/>
              </w:rPr>
              <w:t>天桥（</w:t>
            </w:r>
            <w:r>
              <w:rPr>
                <w:rFonts w:ascii="Times New Roman" w:hAnsi="Times New Roman" w:eastAsia="Times New Roman" w:cs="Times New Roman"/>
                <w:spacing w:val="-1"/>
              </w:rPr>
              <w:t xml:space="preserve">L1K4+134.3 </w:t>
            </w:r>
            <w:r>
              <w:rPr>
                <w:spacing w:val="-1"/>
              </w:rPr>
              <w:t>处）</w:t>
            </w:r>
          </w:p>
        </w:tc>
      </w:tr>
    </w:tbl>
    <w:p>
      <w:pPr>
        <w:spacing w:before="37" w:line="220" w:lineRule="auto"/>
        <w:ind w:left="2279"/>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5.5.1-2      </w:t>
      </w:r>
      <w:r>
        <w:rPr>
          <w:rFonts w:ascii="宋体" w:hAnsi="宋体" w:eastAsia="宋体" w:cs="宋体"/>
          <w:spacing w:val="-2"/>
          <w:sz w:val="24"/>
          <w:szCs w:val="24"/>
        </w:rPr>
        <w:t>连接线沿线生态环境恢复情况</w:t>
      </w:r>
    </w:p>
    <w:p>
      <w:pPr>
        <w:spacing w:line="220" w:lineRule="auto"/>
        <w:rPr>
          <w:rFonts w:ascii="宋体" w:hAnsi="宋体" w:eastAsia="宋体" w:cs="宋体"/>
          <w:sz w:val="24"/>
          <w:szCs w:val="24"/>
        </w:rPr>
        <w:sectPr>
          <w:headerReference r:id="rId293" w:type="default"/>
          <w:footerReference r:id="rId294" w:type="default"/>
          <w:pgSz w:w="11907" w:h="16839"/>
          <w:pgMar w:top="1118" w:right="1687" w:bottom="1184" w:left="1687" w:header="879" w:footer="1024" w:gutter="0"/>
          <w:cols w:space="720" w:num="1"/>
        </w:sectPr>
      </w:pPr>
    </w:p>
    <w:p>
      <w:pPr>
        <w:pStyle w:val="2"/>
        <w:spacing w:line="278" w:lineRule="auto"/>
      </w:pPr>
    </w:p>
    <w:p>
      <w:pPr>
        <w:spacing w:before="78" w:line="220" w:lineRule="auto"/>
        <w:ind w:left="36"/>
        <w:outlineLvl w:val="1"/>
        <w:rPr>
          <w:rFonts w:ascii="宋体" w:hAnsi="宋体" w:eastAsia="宋体" w:cs="宋体"/>
          <w:sz w:val="24"/>
          <w:szCs w:val="24"/>
        </w:rPr>
      </w:pPr>
      <w:r>
        <w:rPr>
          <w:rFonts w:ascii="Times New Roman" w:hAnsi="Times New Roman" w:eastAsia="Times New Roman" w:cs="Times New Roman"/>
          <w:b/>
          <w:bCs/>
          <w:spacing w:val="-1"/>
          <w:sz w:val="24"/>
          <w:szCs w:val="24"/>
        </w:rPr>
        <w:t>5.5.2</w:t>
      </w:r>
      <w:r>
        <w:rPr>
          <w:rFonts w:ascii="Times New Roman" w:hAnsi="Times New Roman" w:eastAsia="Times New Roman" w:cs="Times New Roman"/>
          <w:b/>
          <w:bCs/>
          <w:spacing w:val="17"/>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营运期生态环境影响分析</w:t>
      </w:r>
    </w:p>
    <w:p>
      <w:pPr>
        <w:spacing w:before="181" w:line="220" w:lineRule="auto"/>
        <w:ind w:left="36"/>
        <w:outlineLvl w:val="1"/>
        <w:rPr>
          <w:rFonts w:ascii="宋体" w:hAnsi="宋体" w:eastAsia="宋体" w:cs="宋体"/>
          <w:sz w:val="24"/>
          <w:szCs w:val="24"/>
        </w:rPr>
      </w:pPr>
      <w:r>
        <w:fldChar w:fldCharType="begin"/>
      </w:r>
      <w:r>
        <w:instrText xml:space="preserve"> HYPERLINK "5.5.2.1" </w:instrText>
      </w:r>
      <w:r>
        <w:fldChar w:fldCharType="separate"/>
      </w:r>
      <w:r>
        <w:rPr>
          <w:rFonts w:ascii="Times New Roman" w:hAnsi="Times New Roman" w:eastAsia="Times New Roman" w:cs="Times New Roman"/>
          <w:b/>
          <w:bCs/>
          <w:spacing w:val="-2"/>
          <w:sz w:val="24"/>
          <w:szCs w:val="24"/>
        </w:rPr>
        <w:t>5.5.2.1</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31"/>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营运期对植物的影响</w:t>
      </w:r>
    </w:p>
    <w:p>
      <w:pPr>
        <w:spacing w:before="180" w:line="359" w:lineRule="auto"/>
        <w:ind w:left="37" w:right="86" w:firstLine="480"/>
        <w:jc w:val="both"/>
        <w:rPr>
          <w:rFonts w:ascii="宋体" w:hAnsi="宋体" w:eastAsia="宋体" w:cs="宋体"/>
          <w:sz w:val="24"/>
          <w:szCs w:val="24"/>
        </w:rPr>
      </w:pPr>
      <w:r>
        <w:rPr>
          <w:rFonts w:ascii="宋体" w:hAnsi="宋体" w:eastAsia="宋体" w:cs="宋体"/>
          <w:spacing w:val="-8"/>
          <w:sz w:val="24"/>
          <w:szCs w:val="24"/>
        </w:rPr>
        <w:t>运营期道路两旁的绿化体系逐步建立；</w:t>
      </w:r>
      <w:r>
        <w:rPr>
          <w:rFonts w:ascii="宋体" w:hAnsi="宋体" w:eastAsia="宋体" w:cs="宋体"/>
          <w:spacing w:val="37"/>
          <w:sz w:val="24"/>
          <w:szCs w:val="24"/>
        </w:rPr>
        <w:t xml:space="preserve"> </w:t>
      </w:r>
      <w:r>
        <w:rPr>
          <w:rFonts w:ascii="宋体" w:hAnsi="宋体" w:eastAsia="宋体" w:cs="宋体"/>
          <w:spacing w:val="-8"/>
          <w:sz w:val="24"/>
          <w:szCs w:val="24"/>
        </w:rPr>
        <w:t>临时占地也已经采取复绿措施。这些</w:t>
      </w:r>
      <w:r>
        <w:rPr>
          <w:rFonts w:ascii="宋体" w:hAnsi="宋体" w:eastAsia="宋体" w:cs="宋体"/>
          <w:sz w:val="24"/>
          <w:szCs w:val="24"/>
        </w:rPr>
        <w:t xml:space="preserve"> </w:t>
      </w:r>
      <w:r>
        <w:rPr>
          <w:rFonts w:ascii="宋体" w:hAnsi="宋体" w:eastAsia="宋体" w:cs="宋体"/>
          <w:spacing w:val="-9"/>
          <w:sz w:val="24"/>
          <w:szCs w:val="24"/>
        </w:rPr>
        <w:t>对于所在区域的植物生态系统来说， 是一个建设性的</w:t>
      </w:r>
      <w:r>
        <w:rPr>
          <w:rFonts w:ascii="宋体" w:hAnsi="宋体" w:eastAsia="宋体" w:cs="宋体"/>
          <w:spacing w:val="-10"/>
          <w:sz w:val="24"/>
          <w:szCs w:val="24"/>
        </w:rPr>
        <w:t>过程， 属于逐步消除施工建</w:t>
      </w:r>
    </w:p>
    <w:p>
      <w:pPr>
        <w:spacing w:line="219" w:lineRule="auto"/>
        <w:ind w:left="41"/>
        <w:rPr>
          <w:rFonts w:ascii="宋体" w:hAnsi="宋体" w:eastAsia="宋体" w:cs="宋体"/>
          <w:sz w:val="24"/>
          <w:szCs w:val="24"/>
        </w:rPr>
      </w:pPr>
      <w:r>
        <w:rPr>
          <w:rFonts w:ascii="宋体" w:hAnsi="宋体" w:eastAsia="宋体" w:cs="宋体"/>
          <w:spacing w:val="-4"/>
          <w:sz w:val="24"/>
          <w:szCs w:val="24"/>
        </w:rPr>
        <w:t>设期的负面影响的过程。</w:t>
      </w:r>
    </w:p>
    <w:p>
      <w:pPr>
        <w:spacing w:before="183" w:line="359" w:lineRule="auto"/>
        <w:ind w:left="38" w:right="24" w:firstLine="479"/>
        <w:jc w:val="both"/>
        <w:rPr>
          <w:rFonts w:ascii="宋体" w:hAnsi="宋体" w:eastAsia="宋体" w:cs="宋体"/>
          <w:sz w:val="24"/>
          <w:szCs w:val="24"/>
        </w:rPr>
      </w:pPr>
      <w:r>
        <w:rPr>
          <w:rFonts w:ascii="宋体" w:hAnsi="宋体" w:eastAsia="宋体" w:cs="宋体"/>
          <w:spacing w:val="-1"/>
          <w:sz w:val="24"/>
          <w:szCs w:val="24"/>
        </w:rPr>
        <w:t>运营期间在道路两侧及边坡进行绿化，使道路沿</w:t>
      </w:r>
      <w:r>
        <w:rPr>
          <w:rFonts w:ascii="宋体" w:hAnsi="宋体" w:eastAsia="宋体" w:cs="宋体"/>
          <w:spacing w:val="-2"/>
          <w:sz w:val="24"/>
          <w:szCs w:val="24"/>
        </w:rPr>
        <w:t>线的带状区域形成乔、灌、</w:t>
      </w:r>
      <w:r>
        <w:rPr>
          <w:rFonts w:ascii="宋体" w:hAnsi="宋体" w:eastAsia="宋体" w:cs="宋体"/>
          <w:sz w:val="24"/>
          <w:szCs w:val="24"/>
        </w:rPr>
        <w:t xml:space="preserve"> </w:t>
      </w:r>
      <w:r>
        <w:rPr>
          <w:rFonts w:ascii="宋体" w:hAnsi="宋体" w:eastAsia="宋体" w:cs="宋体"/>
          <w:spacing w:val="-12"/>
          <w:sz w:val="24"/>
          <w:szCs w:val="24"/>
        </w:rPr>
        <w:t>草三层立体式绿化布局。随着运营时间的延续，</w:t>
      </w:r>
      <w:r>
        <w:rPr>
          <w:rFonts w:ascii="宋体" w:hAnsi="宋体" w:eastAsia="宋体" w:cs="宋体"/>
          <w:spacing w:val="40"/>
          <w:sz w:val="24"/>
          <w:szCs w:val="24"/>
        </w:rPr>
        <w:t xml:space="preserve"> </w:t>
      </w:r>
      <w:r>
        <w:rPr>
          <w:rFonts w:ascii="宋体" w:hAnsi="宋体" w:eastAsia="宋体" w:cs="宋体"/>
          <w:spacing w:val="-12"/>
          <w:sz w:val="24"/>
          <w:szCs w:val="24"/>
        </w:rPr>
        <w:t>依托道路的绿化带逐步定型，</w:t>
      </w:r>
      <w:r>
        <w:rPr>
          <w:rFonts w:ascii="宋体" w:hAnsi="宋体" w:eastAsia="宋体" w:cs="宋体"/>
          <w:spacing w:val="36"/>
          <w:sz w:val="24"/>
          <w:szCs w:val="24"/>
        </w:rPr>
        <w:t xml:space="preserve"> </w:t>
      </w:r>
      <w:r>
        <w:rPr>
          <w:rFonts w:ascii="宋体" w:hAnsi="宋体" w:eastAsia="宋体" w:cs="宋体"/>
          <w:spacing w:val="-12"/>
          <w:sz w:val="24"/>
          <w:szCs w:val="24"/>
        </w:rPr>
        <w:t>该</w:t>
      </w:r>
      <w:r>
        <w:rPr>
          <w:rFonts w:ascii="宋体" w:hAnsi="宋体" w:eastAsia="宋体" w:cs="宋体"/>
          <w:sz w:val="24"/>
          <w:szCs w:val="24"/>
        </w:rPr>
        <w:t xml:space="preserve"> </w:t>
      </w:r>
      <w:r>
        <w:rPr>
          <w:rFonts w:ascii="宋体" w:hAnsi="宋体" w:eastAsia="宋体" w:cs="宋体"/>
          <w:spacing w:val="-12"/>
          <w:sz w:val="24"/>
          <w:szCs w:val="24"/>
        </w:rPr>
        <w:t>区域的植物生态系统得以构建。此外，</w:t>
      </w:r>
      <w:r>
        <w:rPr>
          <w:rFonts w:ascii="宋体" w:hAnsi="宋体" w:eastAsia="宋体" w:cs="宋体"/>
          <w:spacing w:val="43"/>
          <w:sz w:val="24"/>
          <w:szCs w:val="24"/>
        </w:rPr>
        <w:t xml:space="preserve"> </w:t>
      </w:r>
      <w:r>
        <w:rPr>
          <w:rFonts w:ascii="宋体" w:hAnsi="宋体" w:eastAsia="宋体" w:cs="宋体"/>
          <w:spacing w:val="-12"/>
          <w:sz w:val="24"/>
          <w:szCs w:val="24"/>
        </w:rPr>
        <w:t>局部区域会引入新的行道树乔木物种，</w:t>
      </w:r>
      <w:r>
        <w:rPr>
          <w:rFonts w:ascii="宋体" w:hAnsi="宋体" w:eastAsia="宋体" w:cs="宋体"/>
          <w:spacing w:val="33"/>
          <w:sz w:val="24"/>
          <w:szCs w:val="24"/>
        </w:rPr>
        <w:t xml:space="preserve"> </w:t>
      </w:r>
      <w:r>
        <w:rPr>
          <w:rFonts w:ascii="宋体" w:hAnsi="宋体" w:eastAsia="宋体" w:cs="宋体"/>
          <w:spacing w:val="-12"/>
          <w:sz w:val="24"/>
          <w:szCs w:val="24"/>
        </w:rPr>
        <w:t>增</w:t>
      </w:r>
      <w:r>
        <w:rPr>
          <w:rFonts w:ascii="宋体" w:hAnsi="宋体" w:eastAsia="宋体" w:cs="宋体"/>
          <w:sz w:val="24"/>
          <w:szCs w:val="24"/>
        </w:rPr>
        <w:t xml:space="preserve"> </w:t>
      </w:r>
      <w:r>
        <w:rPr>
          <w:rFonts w:ascii="宋体" w:hAnsi="宋体" w:eastAsia="宋体" w:cs="宋体"/>
          <w:spacing w:val="-15"/>
          <w:sz w:val="24"/>
          <w:szCs w:val="24"/>
        </w:rPr>
        <w:t>加了物种多样性。因此，</w:t>
      </w:r>
      <w:r>
        <w:rPr>
          <w:rFonts w:ascii="宋体" w:hAnsi="宋体" w:eastAsia="宋体" w:cs="宋体"/>
          <w:spacing w:val="39"/>
          <w:sz w:val="24"/>
          <w:szCs w:val="24"/>
        </w:rPr>
        <w:t xml:space="preserve"> </w:t>
      </w:r>
      <w:r>
        <w:rPr>
          <w:rFonts w:ascii="宋体" w:hAnsi="宋体" w:eastAsia="宋体" w:cs="宋体"/>
          <w:spacing w:val="-15"/>
          <w:sz w:val="24"/>
          <w:szCs w:val="24"/>
        </w:rPr>
        <w:t>运营期间， 应做好绿化的乔木和灌草的养护</w:t>
      </w:r>
      <w:r>
        <w:rPr>
          <w:rFonts w:ascii="宋体" w:hAnsi="宋体" w:eastAsia="宋体" w:cs="宋体"/>
          <w:spacing w:val="-16"/>
          <w:sz w:val="24"/>
          <w:szCs w:val="24"/>
        </w:rPr>
        <w:t>，</w:t>
      </w:r>
      <w:r>
        <w:rPr>
          <w:rFonts w:ascii="宋体" w:hAnsi="宋体" w:eastAsia="宋体" w:cs="宋体"/>
          <w:spacing w:val="42"/>
          <w:sz w:val="24"/>
          <w:szCs w:val="24"/>
        </w:rPr>
        <w:t xml:space="preserve"> </w:t>
      </w:r>
      <w:r>
        <w:rPr>
          <w:rFonts w:ascii="宋体" w:hAnsi="宋体" w:eastAsia="宋体" w:cs="宋体"/>
          <w:spacing w:val="-16"/>
          <w:sz w:val="24"/>
          <w:szCs w:val="24"/>
        </w:rPr>
        <w:t>维护区域</w:t>
      </w:r>
    </w:p>
    <w:p>
      <w:pPr>
        <w:spacing w:before="1" w:line="220" w:lineRule="auto"/>
        <w:ind w:left="40"/>
        <w:rPr>
          <w:rFonts w:ascii="宋体" w:hAnsi="宋体" w:eastAsia="宋体" w:cs="宋体"/>
          <w:sz w:val="24"/>
          <w:szCs w:val="24"/>
        </w:rPr>
      </w:pPr>
      <w:r>
        <w:rPr>
          <w:rFonts w:ascii="宋体" w:hAnsi="宋体" w:eastAsia="宋体" w:cs="宋体"/>
          <w:spacing w:val="-8"/>
          <w:sz w:val="24"/>
          <w:szCs w:val="24"/>
        </w:rPr>
        <w:t>生态系统。</w:t>
      </w:r>
    </w:p>
    <w:p>
      <w:pPr>
        <w:spacing w:before="179" w:line="468" w:lineRule="exact"/>
        <w:ind w:left="518"/>
        <w:rPr>
          <w:rFonts w:ascii="宋体" w:hAnsi="宋体" w:eastAsia="宋体" w:cs="宋体"/>
          <w:sz w:val="24"/>
          <w:szCs w:val="24"/>
        </w:rPr>
      </w:pPr>
      <w:r>
        <w:rPr>
          <w:rFonts w:ascii="宋体" w:hAnsi="宋体" w:eastAsia="宋体" w:cs="宋体"/>
          <w:spacing w:val="-10"/>
          <w:position w:val="17"/>
          <w:sz w:val="24"/>
          <w:szCs w:val="24"/>
        </w:rPr>
        <w:t>运营期如果隧道渗水， 则可能对隧道顶部的植被长势造成一定的影响， 应加</w:t>
      </w:r>
    </w:p>
    <w:p>
      <w:pPr>
        <w:spacing w:before="1" w:line="218" w:lineRule="auto"/>
        <w:ind w:left="43"/>
        <w:rPr>
          <w:rFonts w:ascii="宋体" w:hAnsi="宋体" w:eastAsia="宋体" w:cs="宋体"/>
          <w:sz w:val="24"/>
          <w:szCs w:val="24"/>
        </w:rPr>
      </w:pPr>
      <w:r>
        <w:rPr>
          <w:rFonts w:ascii="宋体" w:hAnsi="宋体" w:eastAsia="宋体" w:cs="宋体"/>
          <w:spacing w:val="-2"/>
          <w:sz w:val="24"/>
          <w:szCs w:val="24"/>
        </w:rPr>
        <w:t>强隧道顶部植被生长的监测，若渗水量较大，需及时采取补水措施。</w:t>
      </w:r>
    </w:p>
    <w:p>
      <w:pPr>
        <w:spacing w:before="181" w:line="220" w:lineRule="auto"/>
        <w:ind w:left="36"/>
        <w:outlineLvl w:val="1"/>
        <w:rPr>
          <w:rFonts w:ascii="宋体" w:hAnsi="宋体" w:eastAsia="宋体" w:cs="宋体"/>
          <w:sz w:val="24"/>
          <w:szCs w:val="24"/>
        </w:rPr>
      </w:pPr>
      <w:r>
        <w:fldChar w:fldCharType="begin"/>
      </w:r>
      <w:r>
        <w:instrText xml:space="preserve"> HYPERLINK "5.5.2.2" </w:instrText>
      </w:r>
      <w:r>
        <w:fldChar w:fldCharType="separate"/>
      </w:r>
      <w:r>
        <w:rPr>
          <w:rFonts w:ascii="Times New Roman" w:hAnsi="Times New Roman" w:eastAsia="Times New Roman" w:cs="Times New Roman"/>
          <w:b/>
          <w:bCs/>
          <w:spacing w:val="-1"/>
          <w:sz w:val="24"/>
          <w:szCs w:val="24"/>
        </w:rPr>
        <w:t>5.5.2.2</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6"/>
          <w:w w:val="10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营运期对动物影响分析</w:t>
      </w:r>
    </w:p>
    <w:p>
      <w:pPr>
        <w:spacing w:before="182" w:line="220" w:lineRule="auto"/>
        <w:ind w:left="539"/>
        <w:rPr>
          <w:rFonts w:ascii="宋体" w:hAnsi="宋体" w:eastAsia="宋体" w:cs="宋体"/>
          <w:sz w:val="24"/>
          <w:szCs w:val="24"/>
        </w:rPr>
      </w:pPr>
      <w:r>
        <w:rPr>
          <w:rFonts w:ascii="Times New Roman" w:hAnsi="Times New Roman" w:eastAsia="Times New Roman" w:cs="Times New Roman"/>
          <w:spacing w:val="-5"/>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、对动物栖息环境的影响</w:t>
      </w:r>
    </w:p>
    <w:p>
      <w:pPr>
        <w:spacing w:before="181" w:line="359" w:lineRule="auto"/>
        <w:ind w:left="38" w:right="81" w:firstLine="489"/>
        <w:rPr>
          <w:rFonts w:ascii="宋体" w:hAnsi="宋体" w:eastAsia="宋体" w:cs="宋体"/>
          <w:sz w:val="24"/>
          <w:szCs w:val="24"/>
        </w:rPr>
      </w:pPr>
      <w:r>
        <w:rPr>
          <w:rFonts w:ascii="宋体" w:hAnsi="宋体" w:eastAsia="宋体" w:cs="宋体"/>
          <w:spacing w:val="-11"/>
          <w:sz w:val="24"/>
          <w:szCs w:val="24"/>
        </w:rPr>
        <w:t>公路建成以后，</w:t>
      </w:r>
      <w:r>
        <w:rPr>
          <w:rFonts w:ascii="宋体" w:hAnsi="宋体" w:eastAsia="宋体" w:cs="宋体"/>
          <w:spacing w:val="28"/>
          <w:sz w:val="24"/>
          <w:szCs w:val="24"/>
        </w:rPr>
        <w:t xml:space="preserve"> </w:t>
      </w:r>
      <w:r>
        <w:rPr>
          <w:rFonts w:ascii="宋体" w:hAnsi="宋体" w:eastAsia="宋体" w:cs="宋体"/>
          <w:spacing w:val="-11"/>
          <w:sz w:val="24"/>
          <w:szCs w:val="24"/>
        </w:rPr>
        <w:t>随着道路两侧植被的恢复， 部分施工期间</w:t>
      </w:r>
      <w:r>
        <w:rPr>
          <w:rFonts w:ascii="宋体" w:hAnsi="宋体" w:eastAsia="宋体" w:cs="宋体"/>
          <w:spacing w:val="-12"/>
          <w:sz w:val="24"/>
          <w:szCs w:val="24"/>
        </w:rPr>
        <w:t>迁移走的动物会回</w:t>
      </w:r>
      <w:r>
        <w:rPr>
          <w:rFonts w:ascii="宋体" w:hAnsi="宋体" w:eastAsia="宋体" w:cs="宋体"/>
          <w:sz w:val="24"/>
          <w:szCs w:val="24"/>
        </w:rPr>
        <w:t xml:space="preserve"> </w:t>
      </w:r>
      <w:r>
        <w:rPr>
          <w:rFonts w:ascii="宋体" w:hAnsi="宋体" w:eastAsia="宋体" w:cs="宋体"/>
          <w:spacing w:val="-12"/>
          <w:sz w:val="24"/>
          <w:szCs w:val="24"/>
        </w:rPr>
        <w:t>归到该区域，</w:t>
      </w:r>
      <w:r>
        <w:rPr>
          <w:rFonts w:ascii="宋体" w:hAnsi="宋体" w:eastAsia="宋体" w:cs="宋体"/>
          <w:spacing w:val="37"/>
          <w:sz w:val="24"/>
          <w:szCs w:val="24"/>
        </w:rPr>
        <w:t xml:space="preserve"> </w:t>
      </w:r>
      <w:r>
        <w:rPr>
          <w:rFonts w:ascii="宋体" w:hAnsi="宋体" w:eastAsia="宋体" w:cs="宋体"/>
          <w:spacing w:val="-12"/>
          <w:sz w:val="24"/>
          <w:szCs w:val="24"/>
        </w:rPr>
        <w:t>但交通噪声、夜间汽车灯光、人为活动，</w:t>
      </w:r>
      <w:r>
        <w:rPr>
          <w:rFonts w:ascii="宋体" w:hAnsi="宋体" w:eastAsia="宋体" w:cs="宋体"/>
          <w:spacing w:val="42"/>
          <w:sz w:val="24"/>
          <w:szCs w:val="24"/>
        </w:rPr>
        <w:t xml:space="preserve"> </w:t>
      </w:r>
      <w:r>
        <w:rPr>
          <w:rFonts w:ascii="宋体" w:hAnsi="宋体" w:eastAsia="宋体" w:cs="宋体"/>
          <w:spacing w:val="-12"/>
          <w:sz w:val="24"/>
          <w:szCs w:val="24"/>
        </w:rPr>
        <w:t>仍对公路沿</w:t>
      </w:r>
      <w:r>
        <w:rPr>
          <w:rFonts w:ascii="宋体" w:hAnsi="宋体" w:eastAsia="宋体" w:cs="宋体"/>
          <w:spacing w:val="-13"/>
          <w:sz w:val="24"/>
          <w:szCs w:val="24"/>
        </w:rPr>
        <w:t>线的动物栖息</w:t>
      </w:r>
      <w:r>
        <w:rPr>
          <w:rFonts w:ascii="宋体" w:hAnsi="宋体" w:eastAsia="宋体" w:cs="宋体"/>
          <w:sz w:val="24"/>
          <w:szCs w:val="24"/>
        </w:rPr>
        <w:t xml:space="preserve"> </w:t>
      </w:r>
      <w:r>
        <w:rPr>
          <w:rFonts w:ascii="宋体" w:hAnsi="宋体" w:eastAsia="宋体" w:cs="宋体"/>
          <w:spacing w:val="4"/>
          <w:sz w:val="24"/>
          <w:szCs w:val="24"/>
        </w:rPr>
        <w:t>环境产生着长期的影响，这将导致公路沿线区域野生动物种群数量少于周边环</w:t>
      </w:r>
    </w:p>
    <w:p>
      <w:pPr>
        <w:spacing w:before="1" w:line="220" w:lineRule="auto"/>
        <w:ind w:left="39"/>
        <w:rPr>
          <w:rFonts w:ascii="宋体" w:hAnsi="宋体" w:eastAsia="宋体" w:cs="宋体"/>
          <w:sz w:val="24"/>
          <w:szCs w:val="24"/>
        </w:rPr>
      </w:pPr>
      <w:r>
        <w:rPr>
          <w:rFonts w:ascii="宋体" w:hAnsi="宋体" w:eastAsia="宋体" w:cs="宋体"/>
          <w:spacing w:val="-12"/>
          <w:sz w:val="24"/>
          <w:szCs w:val="24"/>
        </w:rPr>
        <w:t>境。</w:t>
      </w:r>
    </w:p>
    <w:p>
      <w:pPr>
        <w:spacing w:before="182" w:line="220" w:lineRule="auto"/>
        <w:ind w:left="516"/>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、对动物活动阻隔的影响</w:t>
      </w:r>
    </w:p>
    <w:p>
      <w:pPr>
        <w:spacing w:before="180" w:line="359" w:lineRule="auto"/>
        <w:ind w:left="39" w:right="82" w:firstLine="480"/>
        <w:rPr>
          <w:rFonts w:ascii="宋体" w:hAnsi="宋体" w:eastAsia="宋体" w:cs="宋体"/>
          <w:sz w:val="24"/>
          <w:szCs w:val="24"/>
        </w:rPr>
      </w:pPr>
      <w:r>
        <w:rPr>
          <w:rFonts w:ascii="宋体" w:hAnsi="宋体" w:eastAsia="宋体" w:cs="宋体"/>
          <w:spacing w:val="-10"/>
          <w:sz w:val="24"/>
          <w:szCs w:val="24"/>
        </w:rPr>
        <w:t>对分布在公路沿线区域的动物而言， 其的活动范围受到限制， 动物生境破碎</w:t>
      </w:r>
      <w:r>
        <w:rPr>
          <w:rFonts w:ascii="宋体" w:hAnsi="宋体" w:eastAsia="宋体" w:cs="宋体"/>
          <w:spacing w:val="4"/>
          <w:sz w:val="24"/>
          <w:szCs w:val="24"/>
        </w:rPr>
        <w:t xml:space="preserve"> </w:t>
      </w:r>
      <w:r>
        <w:rPr>
          <w:rFonts w:ascii="宋体" w:hAnsi="宋体" w:eastAsia="宋体" w:cs="宋体"/>
          <w:spacing w:val="-10"/>
          <w:sz w:val="24"/>
          <w:szCs w:val="24"/>
        </w:rPr>
        <w:t>化，</w:t>
      </w:r>
      <w:r>
        <w:rPr>
          <w:rFonts w:ascii="宋体" w:hAnsi="宋体" w:eastAsia="宋体" w:cs="宋体"/>
          <w:spacing w:val="-38"/>
          <w:sz w:val="24"/>
          <w:szCs w:val="24"/>
        </w:rPr>
        <w:t xml:space="preserve"> </w:t>
      </w:r>
      <w:r>
        <w:rPr>
          <w:rFonts w:ascii="宋体" w:hAnsi="宋体" w:eastAsia="宋体" w:cs="宋体"/>
          <w:spacing w:val="-10"/>
          <w:sz w:val="24"/>
          <w:szCs w:val="24"/>
        </w:rPr>
        <w:t>对其觅食、交偶的潜在影响较大。但在公路路基预留了部分箱涵等通道，</w:t>
      </w:r>
      <w:r>
        <w:rPr>
          <w:rFonts w:ascii="宋体" w:hAnsi="宋体" w:eastAsia="宋体" w:cs="宋体"/>
          <w:spacing w:val="41"/>
          <w:sz w:val="24"/>
          <w:szCs w:val="24"/>
        </w:rPr>
        <w:t xml:space="preserve"> </w:t>
      </w:r>
      <w:r>
        <w:rPr>
          <w:rFonts w:ascii="宋体" w:hAnsi="宋体" w:eastAsia="宋体" w:cs="宋体"/>
          <w:spacing w:val="-10"/>
          <w:sz w:val="24"/>
          <w:szCs w:val="24"/>
        </w:rPr>
        <w:t>可</w:t>
      </w:r>
      <w:r>
        <w:rPr>
          <w:rFonts w:ascii="宋体" w:hAnsi="宋体" w:eastAsia="宋体" w:cs="宋体"/>
          <w:sz w:val="24"/>
          <w:szCs w:val="24"/>
        </w:rPr>
        <w:t xml:space="preserve"> </w:t>
      </w:r>
      <w:r>
        <w:rPr>
          <w:rFonts w:ascii="宋体" w:hAnsi="宋体" w:eastAsia="宋体" w:cs="宋体"/>
          <w:spacing w:val="-9"/>
          <w:sz w:val="24"/>
          <w:szCs w:val="24"/>
        </w:rPr>
        <w:t>交流沟通道路两侧环境， 减少对部分两栖类动物</w:t>
      </w:r>
      <w:r>
        <w:rPr>
          <w:rFonts w:ascii="宋体" w:hAnsi="宋体" w:eastAsia="宋体" w:cs="宋体"/>
          <w:spacing w:val="-10"/>
          <w:sz w:val="24"/>
          <w:szCs w:val="24"/>
        </w:rPr>
        <w:t>及水生生物活动的阻隔， 另外在</w:t>
      </w:r>
      <w:r>
        <w:rPr>
          <w:rFonts w:ascii="宋体" w:hAnsi="宋体" w:eastAsia="宋体" w:cs="宋体"/>
          <w:sz w:val="24"/>
          <w:szCs w:val="24"/>
        </w:rPr>
        <w:t xml:space="preserve"> </w:t>
      </w:r>
      <w:r>
        <w:rPr>
          <w:rFonts w:ascii="宋体" w:hAnsi="宋体" w:eastAsia="宋体" w:cs="宋体"/>
          <w:spacing w:val="-12"/>
          <w:sz w:val="24"/>
          <w:szCs w:val="24"/>
        </w:rPr>
        <w:t>枯水期或无水时，</w:t>
      </w:r>
      <w:r>
        <w:rPr>
          <w:rFonts w:ascii="宋体" w:hAnsi="宋体" w:eastAsia="宋体" w:cs="宋体"/>
          <w:spacing w:val="37"/>
          <w:sz w:val="24"/>
          <w:szCs w:val="24"/>
        </w:rPr>
        <w:t xml:space="preserve"> </w:t>
      </w:r>
      <w:r>
        <w:rPr>
          <w:rFonts w:ascii="宋体" w:hAnsi="宋体" w:eastAsia="宋体" w:cs="宋体"/>
          <w:spacing w:val="-12"/>
          <w:sz w:val="24"/>
          <w:szCs w:val="24"/>
        </w:rPr>
        <w:t>这些也可以为其他动物提供通道。由于鸟类可以飞翔，</w:t>
      </w:r>
      <w:r>
        <w:rPr>
          <w:rFonts w:ascii="宋体" w:hAnsi="宋体" w:eastAsia="宋体" w:cs="宋体"/>
          <w:spacing w:val="39"/>
          <w:sz w:val="24"/>
          <w:szCs w:val="24"/>
        </w:rPr>
        <w:t xml:space="preserve"> </w:t>
      </w:r>
      <w:r>
        <w:rPr>
          <w:rFonts w:ascii="宋体" w:hAnsi="宋体" w:eastAsia="宋体" w:cs="宋体"/>
          <w:spacing w:val="-12"/>
          <w:sz w:val="24"/>
          <w:szCs w:val="24"/>
        </w:rPr>
        <w:t>公路对</w:t>
      </w:r>
    </w:p>
    <w:p>
      <w:pPr>
        <w:spacing w:before="1" w:line="219" w:lineRule="auto"/>
        <w:ind w:left="42"/>
        <w:rPr>
          <w:rFonts w:ascii="宋体" w:hAnsi="宋体" w:eastAsia="宋体" w:cs="宋体"/>
          <w:sz w:val="24"/>
          <w:szCs w:val="24"/>
        </w:rPr>
      </w:pPr>
      <w:r>
        <w:rPr>
          <w:rFonts w:ascii="宋体" w:hAnsi="宋体" w:eastAsia="宋体" w:cs="宋体"/>
          <w:spacing w:val="-5"/>
          <w:sz w:val="24"/>
          <w:szCs w:val="24"/>
        </w:rPr>
        <w:t>鸟类活动阻隔影响较小。</w:t>
      </w:r>
    </w:p>
    <w:p>
      <w:pPr>
        <w:spacing w:before="183" w:line="220" w:lineRule="auto"/>
        <w:ind w:left="520"/>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、环境污染对动物的影响</w:t>
      </w:r>
    </w:p>
    <w:p>
      <w:pPr>
        <w:spacing w:before="180" w:line="359" w:lineRule="auto"/>
        <w:ind w:left="38" w:right="84" w:firstLine="493"/>
        <w:rPr>
          <w:rFonts w:ascii="宋体" w:hAnsi="宋体" w:eastAsia="宋体" w:cs="宋体"/>
          <w:sz w:val="24"/>
          <w:szCs w:val="24"/>
        </w:rPr>
      </w:pPr>
      <w:r>
        <w:rPr>
          <w:rFonts w:ascii="宋体" w:hAnsi="宋体" w:eastAsia="宋体" w:cs="宋体"/>
          <w:spacing w:val="-6"/>
          <w:sz w:val="24"/>
          <w:szCs w:val="24"/>
        </w:rPr>
        <w:t>随着公路的运营，</w:t>
      </w:r>
      <w:r>
        <w:rPr>
          <w:rFonts w:ascii="宋体" w:hAnsi="宋体" w:eastAsia="宋体" w:cs="宋体"/>
          <w:spacing w:val="-29"/>
          <w:sz w:val="24"/>
          <w:szCs w:val="24"/>
        </w:rPr>
        <w:t xml:space="preserve"> </w:t>
      </w:r>
      <w:r>
        <w:rPr>
          <w:rFonts w:ascii="宋体" w:hAnsi="宋体" w:eastAsia="宋体" w:cs="宋体"/>
          <w:spacing w:val="-6"/>
          <w:sz w:val="24"/>
          <w:szCs w:val="24"/>
        </w:rPr>
        <w:t>车流引起的规律性影响将重新转</w:t>
      </w:r>
      <w:r>
        <w:rPr>
          <w:rFonts w:ascii="宋体" w:hAnsi="宋体" w:eastAsia="宋体" w:cs="宋体"/>
          <w:spacing w:val="-7"/>
          <w:sz w:val="24"/>
          <w:szCs w:val="24"/>
        </w:rPr>
        <w:t>变为动物在一定程度上可</w:t>
      </w:r>
      <w:r>
        <w:rPr>
          <w:rFonts w:ascii="宋体" w:hAnsi="宋体" w:eastAsia="宋体" w:cs="宋体"/>
          <w:sz w:val="24"/>
          <w:szCs w:val="24"/>
        </w:rPr>
        <w:t xml:space="preserve"> </w:t>
      </w:r>
      <w:r>
        <w:rPr>
          <w:rFonts w:ascii="宋体" w:hAnsi="宋体" w:eastAsia="宋体" w:cs="宋体"/>
          <w:spacing w:val="-6"/>
          <w:sz w:val="24"/>
          <w:szCs w:val="24"/>
        </w:rPr>
        <w:t>以接受的背景噪声。交通噪声和汽车尾气会迫使野生动物</w:t>
      </w:r>
      <w:r>
        <w:rPr>
          <w:rFonts w:ascii="宋体" w:hAnsi="宋体" w:eastAsia="宋体" w:cs="宋体"/>
          <w:spacing w:val="-7"/>
          <w:sz w:val="24"/>
          <w:szCs w:val="24"/>
        </w:rPr>
        <w:t>远离污染源， 通常会在</w:t>
      </w:r>
      <w:r>
        <w:rPr>
          <w:rFonts w:ascii="宋体" w:hAnsi="宋体" w:eastAsia="宋体" w:cs="宋体"/>
          <w:sz w:val="24"/>
          <w:szCs w:val="24"/>
        </w:rPr>
        <w:t xml:space="preserve"> </w:t>
      </w:r>
      <w:r>
        <w:rPr>
          <w:rFonts w:ascii="宋体" w:hAnsi="宋体" w:eastAsia="宋体" w:cs="宋体"/>
          <w:spacing w:val="-6"/>
          <w:sz w:val="24"/>
          <w:szCs w:val="24"/>
        </w:rPr>
        <w:t xml:space="preserve">远离公路的区域重新选择栖息地。沿线地区有人类活动， </w:t>
      </w:r>
      <w:r>
        <w:rPr>
          <w:rFonts w:ascii="宋体" w:hAnsi="宋体" w:eastAsia="宋体" w:cs="宋体"/>
          <w:spacing w:val="-7"/>
          <w:sz w:val="24"/>
          <w:szCs w:val="24"/>
        </w:rPr>
        <w:t>分布着主要是一些小型</w:t>
      </w:r>
    </w:p>
    <w:p>
      <w:pPr>
        <w:spacing w:before="1" w:line="218" w:lineRule="auto"/>
        <w:jc w:val="right"/>
        <w:rPr>
          <w:rFonts w:ascii="宋体" w:hAnsi="宋体" w:eastAsia="宋体" w:cs="宋体"/>
          <w:sz w:val="24"/>
          <w:szCs w:val="24"/>
        </w:rPr>
      </w:pPr>
      <w:r>
        <w:rPr>
          <w:rFonts w:ascii="宋体" w:hAnsi="宋体" w:eastAsia="宋体" w:cs="宋体"/>
          <w:spacing w:val="-9"/>
          <w:sz w:val="24"/>
          <w:szCs w:val="24"/>
        </w:rPr>
        <w:t>动物，</w:t>
      </w:r>
      <w:r>
        <w:rPr>
          <w:rFonts w:ascii="宋体" w:hAnsi="宋体" w:eastAsia="宋体" w:cs="宋体"/>
          <w:spacing w:val="-57"/>
          <w:sz w:val="24"/>
          <w:szCs w:val="24"/>
        </w:rPr>
        <w:t xml:space="preserve"> </w:t>
      </w:r>
      <w:r>
        <w:rPr>
          <w:rFonts w:ascii="宋体" w:hAnsi="宋体" w:eastAsia="宋体" w:cs="宋体"/>
          <w:spacing w:val="-9"/>
          <w:sz w:val="24"/>
          <w:szCs w:val="24"/>
        </w:rPr>
        <w:t>对人类干扰已有适应。环境污染对当地野生动物的影响总体较小，可接受。</w:t>
      </w:r>
    </w:p>
    <w:p>
      <w:pPr>
        <w:spacing w:before="181" w:line="220" w:lineRule="auto"/>
        <w:ind w:left="36"/>
        <w:outlineLvl w:val="1"/>
        <w:rPr>
          <w:rFonts w:ascii="宋体" w:hAnsi="宋体" w:eastAsia="宋体" w:cs="宋体"/>
          <w:sz w:val="24"/>
          <w:szCs w:val="24"/>
        </w:rPr>
      </w:pPr>
      <w:r>
        <w:rPr>
          <w:rFonts w:ascii="Times New Roman" w:hAnsi="Times New Roman" w:eastAsia="Times New Roman" w:cs="Times New Roman"/>
          <w:b/>
          <w:bCs/>
          <w:sz w:val="24"/>
          <w:szCs w:val="24"/>
        </w:rPr>
        <w:t xml:space="preserve">5.5.3 </w:t>
      </w:r>
      <w:r>
        <w:rPr>
          <w:rFonts w:ascii="宋体" w:hAnsi="宋体" w:eastAsia="宋体" w:cs="宋体"/>
          <w:sz w:val="24"/>
          <w:szCs w:val="24"/>
          <w14:textOutline w14:w="4354" w14:cap="flat" w14:cmpd="sng">
            <w14:solidFill>
              <w14:srgbClr w14:val="000000"/>
            </w14:solidFill>
            <w14:prstDash w14:val="solid"/>
            <w14:miter w14:val="0"/>
          </w14:textOutline>
        </w:rPr>
        <w:t>工程建设对沿线土地利用现状影响分析</w:t>
      </w:r>
    </w:p>
    <w:p>
      <w:pPr>
        <w:spacing w:line="220" w:lineRule="auto"/>
        <w:rPr>
          <w:rFonts w:ascii="宋体" w:hAnsi="宋体" w:eastAsia="宋体" w:cs="宋体"/>
          <w:sz w:val="24"/>
          <w:szCs w:val="24"/>
        </w:rPr>
        <w:sectPr>
          <w:headerReference r:id="rId295" w:type="default"/>
          <w:footerReference r:id="rId296" w:type="default"/>
          <w:pgSz w:w="11907" w:h="16839"/>
          <w:pgMar w:top="1118" w:right="1715" w:bottom="1184" w:left="1771" w:header="879" w:footer="1024" w:gutter="0"/>
          <w:cols w:space="720" w:num="1"/>
        </w:sectPr>
      </w:pPr>
    </w:p>
    <w:p>
      <w:pPr>
        <w:pStyle w:val="2"/>
        <w:spacing w:line="278" w:lineRule="auto"/>
      </w:pPr>
    </w:p>
    <w:p>
      <w:pPr>
        <w:spacing w:before="78" w:line="359" w:lineRule="auto"/>
        <w:ind w:left="38" w:right="82" w:firstLine="483"/>
        <w:jc w:val="both"/>
        <w:rPr>
          <w:rFonts w:ascii="宋体" w:hAnsi="宋体" w:eastAsia="宋体" w:cs="宋体"/>
          <w:sz w:val="24"/>
          <w:szCs w:val="24"/>
        </w:rPr>
      </w:pPr>
      <w:r>
        <w:rPr>
          <w:rFonts w:ascii="宋体" w:hAnsi="宋体" w:eastAsia="宋体" w:cs="宋体"/>
          <w:spacing w:val="-3"/>
          <w:sz w:val="24"/>
          <w:szCs w:val="24"/>
        </w:rPr>
        <w:t>本工程对沿线土地利用的影响主要为永久性占地造成的</w:t>
      </w:r>
      <w:r>
        <w:rPr>
          <w:rFonts w:ascii="宋体" w:hAnsi="宋体" w:eastAsia="宋体" w:cs="宋体"/>
          <w:spacing w:val="-4"/>
          <w:sz w:val="24"/>
          <w:szCs w:val="24"/>
        </w:rPr>
        <w:t>影响。公路对土地的</w:t>
      </w:r>
      <w:r>
        <w:rPr>
          <w:rFonts w:ascii="宋体" w:hAnsi="宋体" w:eastAsia="宋体" w:cs="宋体"/>
          <w:sz w:val="24"/>
          <w:szCs w:val="24"/>
        </w:rPr>
        <w:t xml:space="preserve"> </w:t>
      </w:r>
      <w:r>
        <w:rPr>
          <w:rFonts w:ascii="宋体" w:hAnsi="宋体" w:eastAsia="宋体" w:cs="宋体"/>
          <w:spacing w:val="-10"/>
          <w:sz w:val="24"/>
          <w:szCs w:val="24"/>
        </w:rPr>
        <w:t>永久占用， 将使被占地范围内的土壤理化性质</w:t>
      </w:r>
      <w:r>
        <w:rPr>
          <w:rFonts w:ascii="宋体" w:hAnsi="宋体" w:eastAsia="宋体" w:cs="宋体"/>
          <w:spacing w:val="-11"/>
          <w:sz w:val="24"/>
          <w:szCs w:val="24"/>
        </w:rPr>
        <w:t>发生改变，</w:t>
      </w:r>
      <w:r>
        <w:rPr>
          <w:rFonts w:ascii="宋体" w:hAnsi="宋体" w:eastAsia="宋体" w:cs="宋体"/>
          <w:spacing w:val="31"/>
          <w:sz w:val="24"/>
          <w:szCs w:val="24"/>
        </w:rPr>
        <w:t xml:space="preserve"> </w:t>
      </w:r>
      <w:r>
        <w:rPr>
          <w:rFonts w:ascii="宋体" w:hAnsi="宋体" w:eastAsia="宋体" w:cs="宋体"/>
          <w:spacing w:val="-11"/>
          <w:sz w:val="24"/>
          <w:szCs w:val="24"/>
        </w:rPr>
        <w:t>破坏原来宜农、宜林土</w:t>
      </w:r>
      <w:r>
        <w:rPr>
          <w:rFonts w:ascii="宋体" w:hAnsi="宋体" w:eastAsia="宋体" w:cs="宋体"/>
          <w:sz w:val="24"/>
          <w:szCs w:val="24"/>
        </w:rPr>
        <w:t xml:space="preserve"> </w:t>
      </w:r>
      <w:r>
        <w:rPr>
          <w:rFonts w:ascii="宋体" w:hAnsi="宋体" w:eastAsia="宋体" w:cs="宋体"/>
          <w:spacing w:val="-6"/>
          <w:sz w:val="24"/>
          <w:szCs w:val="24"/>
        </w:rPr>
        <w:t>壤结构及肥力， 导致该范围内的土壤不能或不宜作业耕</w:t>
      </w:r>
      <w:r>
        <w:rPr>
          <w:rFonts w:ascii="宋体" w:hAnsi="宋体" w:eastAsia="宋体" w:cs="宋体"/>
          <w:spacing w:val="-7"/>
          <w:sz w:val="24"/>
          <w:szCs w:val="24"/>
        </w:rPr>
        <w:t>作。公路永久占地将使土</w:t>
      </w:r>
      <w:r>
        <w:rPr>
          <w:rFonts w:ascii="宋体" w:hAnsi="宋体" w:eastAsia="宋体" w:cs="宋体"/>
          <w:sz w:val="24"/>
          <w:szCs w:val="24"/>
        </w:rPr>
        <w:t xml:space="preserve"> </w:t>
      </w:r>
      <w:r>
        <w:rPr>
          <w:rFonts w:ascii="宋体" w:hAnsi="宋体" w:eastAsia="宋体" w:cs="宋体"/>
          <w:spacing w:val="-8"/>
          <w:sz w:val="24"/>
          <w:szCs w:val="24"/>
        </w:rPr>
        <w:t>地利用格局发生改变，</w:t>
      </w:r>
      <w:r>
        <w:rPr>
          <w:rFonts w:ascii="宋体" w:hAnsi="宋体" w:eastAsia="宋体" w:cs="宋体"/>
          <w:spacing w:val="54"/>
          <w:sz w:val="24"/>
          <w:szCs w:val="24"/>
        </w:rPr>
        <w:t xml:space="preserve"> </w:t>
      </w:r>
      <w:r>
        <w:rPr>
          <w:rFonts w:ascii="宋体" w:hAnsi="宋体" w:eastAsia="宋体" w:cs="宋体"/>
          <w:spacing w:val="-8"/>
          <w:sz w:val="24"/>
          <w:szCs w:val="24"/>
        </w:rPr>
        <w:t>由农用地或林地等转变为建设用地。而公路征地范围外的</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用地基本不受公路运营的影响，可继续保持其土地利用功能。</w:t>
      </w:r>
    </w:p>
    <w:p>
      <w:pPr>
        <w:spacing w:before="184" w:line="359" w:lineRule="auto"/>
        <w:ind w:left="36" w:firstLine="485"/>
        <w:jc w:val="both"/>
        <w:rPr>
          <w:rFonts w:ascii="宋体" w:hAnsi="宋体" w:eastAsia="宋体" w:cs="宋体"/>
          <w:sz w:val="24"/>
          <w:szCs w:val="24"/>
        </w:rPr>
      </w:pPr>
      <w:r>
        <w:rPr>
          <w:rFonts w:ascii="宋体" w:hAnsi="宋体" w:eastAsia="宋体" w:cs="宋体"/>
          <w:spacing w:val="-10"/>
          <w:sz w:val="24"/>
          <w:szCs w:val="24"/>
        </w:rPr>
        <w:t>此外工程全线临时占用土地， 在施工期间进行严格的施工管理， 施</w:t>
      </w:r>
      <w:r>
        <w:rPr>
          <w:rFonts w:ascii="宋体" w:hAnsi="宋体" w:eastAsia="宋体" w:cs="宋体"/>
          <w:spacing w:val="-11"/>
          <w:sz w:val="24"/>
          <w:szCs w:val="24"/>
        </w:rPr>
        <w:t>工结束后 进行临时占地的恢复工程， 加强工程防护以及绿化措施，</w:t>
      </w:r>
      <w:r>
        <w:rPr>
          <w:rFonts w:ascii="宋体" w:hAnsi="宋体" w:eastAsia="宋体" w:cs="宋体"/>
          <w:spacing w:val="47"/>
          <w:sz w:val="24"/>
          <w:szCs w:val="24"/>
        </w:rPr>
        <w:t xml:space="preserve"> </w:t>
      </w:r>
      <w:r>
        <w:rPr>
          <w:rFonts w:ascii="宋体" w:hAnsi="宋体" w:eastAsia="宋体" w:cs="宋体"/>
          <w:spacing w:val="-11"/>
          <w:sz w:val="24"/>
          <w:szCs w:val="24"/>
        </w:rPr>
        <w:t xml:space="preserve">防止水土流失等地质灾 </w:t>
      </w:r>
      <w:r>
        <w:rPr>
          <w:rFonts w:ascii="宋体" w:hAnsi="宋体" w:eastAsia="宋体" w:cs="宋体"/>
          <w:spacing w:val="-2"/>
          <w:sz w:val="24"/>
          <w:szCs w:val="24"/>
        </w:rPr>
        <w:t>害的发生。在施工期间，暂时改变了临时占地原有土地利用功能，施工完毕后，</w:t>
      </w:r>
      <w:r>
        <w:rPr>
          <w:rFonts w:ascii="宋体" w:hAnsi="宋体" w:eastAsia="宋体" w:cs="宋体"/>
          <w:spacing w:val="8"/>
          <w:sz w:val="24"/>
          <w:szCs w:val="24"/>
        </w:rPr>
        <w:t xml:space="preserve"> </w:t>
      </w:r>
      <w:r>
        <w:rPr>
          <w:rFonts w:ascii="宋体" w:hAnsi="宋体" w:eastAsia="宋体" w:cs="宋体"/>
          <w:spacing w:val="-3"/>
          <w:sz w:val="24"/>
          <w:szCs w:val="24"/>
        </w:rPr>
        <w:t>可通过拆除临时设施、平整土地，恢复肥力等，使临时</w:t>
      </w:r>
      <w:r>
        <w:rPr>
          <w:rFonts w:ascii="宋体" w:hAnsi="宋体" w:eastAsia="宋体" w:cs="宋体"/>
          <w:spacing w:val="-4"/>
          <w:sz w:val="24"/>
          <w:szCs w:val="24"/>
        </w:rPr>
        <w:t xml:space="preserve">占地恢复到原来土地使用 </w:t>
      </w:r>
      <w:r>
        <w:rPr>
          <w:rFonts w:ascii="宋体" w:hAnsi="宋体" w:eastAsia="宋体" w:cs="宋体"/>
          <w:spacing w:val="-9"/>
          <w:sz w:val="24"/>
          <w:szCs w:val="24"/>
        </w:rPr>
        <w:t>功能水平，</w:t>
      </w:r>
      <w:r>
        <w:rPr>
          <w:rFonts w:ascii="宋体" w:hAnsi="宋体" w:eastAsia="宋体" w:cs="宋体"/>
          <w:spacing w:val="-56"/>
          <w:sz w:val="24"/>
          <w:szCs w:val="24"/>
        </w:rPr>
        <w:t xml:space="preserve"> </w:t>
      </w:r>
      <w:r>
        <w:rPr>
          <w:rFonts w:ascii="宋体" w:hAnsi="宋体" w:eastAsia="宋体" w:cs="宋体"/>
          <w:spacing w:val="-9"/>
          <w:sz w:val="24"/>
          <w:szCs w:val="24"/>
        </w:rPr>
        <w:t>因此临时占地不会对评价区的土地利用性质和功能、土壤的理化性质、</w:t>
      </w:r>
      <w:r>
        <w:rPr>
          <w:rFonts w:ascii="宋体" w:hAnsi="宋体" w:eastAsia="宋体" w:cs="宋体"/>
          <w:sz w:val="24"/>
          <w:szCs w:val="24"/>
        </w:rPr>
        <w:t xml:space="preserve"> </w:t>
      </w:r>
      <w:r>
        <w:rPr>
          <w:rFonts w:ascii="宋体" w:hAnsi="宋体" w:eastAsia="宋体" w:cs="宋体"/>
          <w:spacing w:val="-3"/>
          <w:sz w:val="24"/>
          <w:szCs w:val="24"/>
        </w:rPr>
        <w:t>土地利用格局造成显著影响。永久占地则把原有土地利用功能改变为交通建设用</w:t>
      </w:r>
    </w:p>
    <w:p>
      <w:pPr>
        <w:spacing w:line="218" w:lineRule="auto"/>
        <w:ind w:left="38"/>
        <w:rPr>
          <w:rFonts w:ascii="宋体" w:hAnsi="宋体" w:eastAsia="宋体" w:cs="宋体"/>
          <w:sz w:val="24"/>
          <w:szCs w:val="24"/>
        </w:rPr>
      </w:pPr>
      <w:r>
        <w:rPr>
          <w:rFonts w:ascii="宋体" w:hAnsi="宋体" w:eastAsia="宋体" w:cs="宋体"/>
          <w:spacing w:val="-1"/>
          <w:sz w:val="24"/>
          <w:szCs w:val="24"/>
        </w:rPr>
        <w:t>地，通过区域的占补平衡，不会对评价区的土</w:t>
      </w:r>
      <w:r>
        <w:rPr>
          <w:rFonts w:ascii="宋体" w:hAnsi="宋体" w:eastAsia="宋体" w:cs="宋体"/>
          <w:spacing w:val="-2"/>
          <w:sz w:val="24"/>
          <w:szCs w:val="24"/>
        </w:rPr>
        <w:t>地利用格局造成显著影响。</w:t>
      </w:r>
    </w:p>
    <w:p>
      <w:pPr>
        <w:spacing w:before="182" w:line="359" w:lineRule="auto"/>
        <w:ind w:left="41" w:right="82" w:firstLine="485"/>
        <w:jc w:val="both"/>
        <w:rPr>
          <w:rFonts w:ascii="宋体" w:hAnsi="宋体" w:eastAsia="宋体" w:cs="宋体"/>
          <w:sz w:val="24"/>
          <w:szCs w:val="24"/>
        </w:rPr>
      </w:pPr>
      <w:r>
        <w:rPr>
          <w:rFonts w:ascii="宋体" w:hAnsi="宋体" w:eastAsia="宋体" w:cs="宋体"/>
          <w:spacing w:val="-10"/>
          <w:sz w:val="24"/>
          <w:szCs w:val="24"/>
        </w:rPr>
        <w:t>总的来看， 公路建设占地对于评价区土地利用格局影响较小， 仅对土</w:t>
      </w:r>
      <w:r>
        <w:rPr>
          <w:rFonts w:ascii="宋体" w:hAnsi="宋体" w:eastAsia="宋体" w:cs="宋体"/>
          <w:spacing w:val="-11"/>
          <w:sz w:val="24"/>
          <w:szCs w:val="24"/>
        </w:rPr>
        <w:t>地利用</w:t>
      </w:r>
      <w:r>
        <w:rPr>
          <w:rFonts w:ascii="宋体" w:hAnsi="宋体" w:eastAsia="宋体" w:cs="宋体"/>
          <w:sz w:val="24"/>
          <w:szCs w:val="24"/>
        </w:rPr>
        <w:t xml:space="preserve"> </w:t>
      </w:r>
      <w:r>
        <w:rPr>
          <w:rFonts w:ascii="宋体" w:hAnsi="宋体" w:eastAsia="宋体" w:cs="宋体"/>
          <w:spacing w:val="-11"/>
          <w:sz w:val="24"/>
          <w:szCs w:val="24"/>
        </w:rPr>
        <w:t>性质和功能，</w:t>
      </w:r>
      <w:r>
        <w:rPr>
          <w:rFonts w:ascii="宋体" w:hAnsi="宋体" w:eastAsia="宋体" w:cs="宋体"/>
          <w:spacing w:val="47"/>
          <w:sz w:val="24"/>
          <w:szCs w:val="24"/>
        </w:rPr>
        <w:t xml:space="preserve"> </w:t>
      </w:r>
      <w:r>
        <w:rPr>
          <w:rFonts w:ascii="宋体" w:hAnsi="宋体" w:eastAsia="宋体" w:cs="宋体"/>
          <w:spacing w:val="-11"/>
          <w:sz w:val="24"/>
          <w:szCs w:val="24"/>
        </w:rPr>
        <w:t>以及土壤理化性质变化造成一定程度影响， 这也是公路建设不可避</w:t>
      </w:r>
    </w:p>
    <w:p>
      <w:pPr>
        <w:spacing w:line="218" w:lineRule="auto"/>
        <w:ind w:left="43"/>
        <w:rPr>
          <w:rFonts w:ascii="宋体" w:hAnsi="宋体" w:eastAsia="宋体" w:cs="宋体"/>
          <w:sz w:val="24"/>
          <w:szCs w:val="24"/>
        </w:rPr>
      </w:pPr>
      <w:r>
        <w:rPr>
          <w:rFonts w:ascii="宋体" w:hAnsi="宋体" w:eastAsia="宋体" w:cs="宋体"/>
          <w:spacing w:val="-2"/>
          <w:sz w:val="24"/>
          <w:szCs w:val="24"/>
        </w:rPr>
        <w:t>免的，但从整个评价区来看，公路占地对土地利用格局的影响并不显著。</w:t>
      </w:r>
    </w:p>
    <w:p>
      <w:pPr>
        <w:spacing w:before="185" w:line="220" w:lineRule="auto"/>
        <w:ind w:left="36"/>
        <w:outlineLvl w:val="1"/>
        <w:rPr>
          <w:rFonts w:ascii="宋体" w:hAnsi="宋体" w:eastAsia="宋体" w:cs="宋体"/>
          <w:sz w:val="24"/>
          <w:szCs w:val="24"/>
        </w:rPr>
      </w:pPr>
      <w:bookmarkStart w:id="39" w:name="bookmark36"/>
      <w:bookmarkEnd w:id="39"/>
      <w:r>
        <w:rPr>
          <w:rFonts w:ascii="Times New Roman" w:hAnsi="Times New Roman" w:eastAsia="Times New Roman" w:cs="Times New Roman"/>
          <w:b/>
          <w:bCs/>
          <w:spacing w:val="-1"/>
          <w:sz w:val="24"/>
          <w:szCs w:val="24"/>
        </w:rPr>
        <w:t xml:space="preserve">5.6 </w:t>
      </w:r>
      <w:r>
        <w:rPr>
          <w:rFonts w:ascii="宋体" w:hAnsi="宋体" w:eastAsia="宋体" w:cs="宋体"/>
          <w:spacing w:val="-1"/>
          <w:sz w:val="24"/>
          <w:szCs w:val="24"/>
          <w14:textOutline w14:w="4354" w14:cap="flat" w14:cmpd="sng">
            <w14:solidFill>
              <w14:srgbClr w14:val="000000"/>
            </w14:solidFill>
            <w14:prstDash w14:val="solid"/>
            <w14:miter w14:val="0"/>
          </w14:textOutline>
        </w:rPr>
        <w:t>环境风险分析</w:t>
      </w:r>
    </w:p>
    <w:p>
      <w:pPr>
        <w:spacing w:before="182" w:line="465" w:lineRule="exact"/>
        <w:ind w:left="517"/>
        <w:rPr>
          <w:rFonts w:ascii="宋体" w:hAnsi="宋体" w:eastAsia="宋体" w:cs="宋体"/>
          <w:sz w:val="24"/>
          <w:szCs w:val="24"/>
        </w:rPr>
      </w:pPr>
      <w:r>
        <w:rPr>
          <w:rFonts w:ascii="宋体" w:hAnsi="宋体" w:eastAsia="宋体" w:cs="宋体"/>
          <w:spacing w:val="-3"/>
          <w:position w:val="17"/>
          <w:sz w:val="24"/>
          <w:szCs w:val="24"/>
        </w:rPr>
        <w:t>对在运营过程中危险化学货物的泄漏进行事故污染风险分析。其分析</w:t>
      </w:r>
      <w:r>
        <w:rPr>
          <w:rFonts w:ascii="宋体" w:hAnsi="宋体" w:eastAsia="宋体" w:cs="宋体"/>
          <w:spacing w:val="-4"/>
          <w:position w:val="17"/>
          <w:sz w:val="24"/>
          <w:szCs w:val="24"/>
        </w:rPr>
        <w:t>重点针</w:t>
      </w:r>
    </w:p>
    <w:p>
      <w:pPr>
        <w:spacing w:before="1" w:line="219" w:lineRule="auto"/>
        <w:ind w:left="37"/>
        <w:rPr>
          <w:rFonts w:ascii="宋体" w:hAnsi="宋体" w:eastAsia="宋体" w:cs="宋体"/>
          <w:sz w:val="24"/>
          <w:szCs w:val="24"/>
        </w:rPr>
      </w:pPr>
      <w:r>
        <w:rPr>
          <w:rFonts w:ascii="宋体" w:hAnsi="宋体" w:eastAsia="宋体" w:cs="宋体"/>
          <w:spacing w:val="-2"/>
          <w:sz w:val="24"/>
          <w:szCs w:val="24"/>
        </w:rPr>
        <w:t>对确定的水环境敏感目标进行，并提出风险防范和管理对策。</w:t>
      </w:r>
    </w:p>
    <w:p>
      <w:pPr>
        <w:spacing w:before="182" w:line="220" w:lineRule="auto"/>
        <w:ind w:left="36"/>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5.6.1 </w:t>
      </w:r>
      <w:r>
        <w:rPr>
          <w:rFonts w:ascii="宋体" w:hAnsi="宋体" w:eastAsia="宋体" w:cs="宋体"/>
          <w:spacing w:val="-1"/>
          <w:sz w:val="24"/>
          <w:szCs w:val="24"/>
          <w14:textOutline w14:w="4354" w14:cap="flat" w14:cmpd="sng">
            <w14:solidFill>
              <w14:srgbClr w14:val="000000"/>
            </w14:solidFill>
            <w14:prstDash w14:val="solid"/>
            <w14:miter w14:val="0"/>
          </w14:textOutline>
        </w:rPr>
        <w:t>风险潜势分析</w:t>
      </w:r>
    </w:p>
    <w:p>
      <w:pPr>
        <w:spacing w:before="180" w:line="359" w:lineRule="auto"/>
        <w:ind w:left="38" w:right="22" w:firstLine="480"/>
        <w:jc w:val="both"/>
        <w:rPr>
          <w:rFonts w:ascii="宋体" w:hAnsi="宋体" w:eastAsia="宋体" w:cs="宋体"/>
          <w:sz w:val="24"/>
          <w:szCs w:val="24"/>
        </w:rPr>
      </w:pPr>
      <w:r>
        <w:rPr>
          <w:rFonts w:ascii="宋体" w:hAnsi="宋体" w:eastAsia="宋体" w:cs="宋体"/>
          <w:spacing w:val="-8"/>
          <w:sz w:val="24"/>
          <w:szCs w:val="24"/>
        </w:rPr>
        <w:t>本项目未设置服务区加油站等，</w:t>
      </w:r>
      <w:r>
        <w:rPr>
          <w:rFonts w:ascii="宋体" w:hAnsi="宋体" w:eastAsia="宋体" w:cs="宋体"/>
          <w:spacing w:val="36"/>
          <w:sz w:val="24"/>
          <w:szCs w:val="24"/>
        </w:rPr>
        <w:t xml:space="preserve"> </w:t>
      </w:r>
      <w:r>
        <w:rPr>
          <w:rFonts w:ascii="宋体" w:hAnsi="宋体" w:eastAsia="宋体" w:cs="宋体"/>
          <w:spacing w:val="-8"/>
          <w:sz w:val="24"/>
          <w:szCs w:val="24"/>
        </w:rPr>
        <w:t>因此无油罐泄漏风险。公路允许危化品车辆</w:t>
      </w:r>
      <w:r>
        <w:rPr>
          <w:rFonts w:ascii="宋体" w:hAnsi="宋体" w:eastAsia="宋体" w:cs="宋体"/>
          <w:sz w:val="24"/>
          <w:szCs w:val="24"/>
        </w:rPr>
        <w:t xml:space="preserve"> </w:t>
      </w:r>
      <w:r>
        <w:rPr>
          <w:rFonts w:ascii="宋体" w:hAnsi="宋体" w:eastAsia="宋体" w:cs="宋体"/>
          <w:spacing w:val="-1"/>
          <w:sz w:val="24"/>
          <w:szCs w:val="24"/>
        </w:rPr>
        <w:t>通过，公路运输过程中的风险事故主要为危化品泄漏对周边</w:t>
      </w:r>
      <w:r>
        <w:rPr>
          <w:rFonts w:ascii="宋体" w:hAnsi="宋体" w:eastAsia="宋体" w:cs="宋体"/>
          <w:spacing w:val="-2"/>
          <w:sz w:val="24"/>
          <w:szCs w:val="24"/>
        </w:rPr>
        <w:t>环境造成的而影响。</w:t>
      </w:r>
    </w:p>
    <w:p>
      <w:pPr>
        <w:spacing w:before="1" w:line="219" w:lineRule="auto"/>
        <w:ind w:left="36"/>
        <w:rPr>
          <w:rFonts w:ascii="宋体" w:hAnsi="宋体" w:eastAsia="宋体" w:cs="宋体"/>
          <w:sz w:val="24"/>
          <w:szCs w:val="24"/>
        </w:rPr>
      </w:pPr>
      <w:r>
        <w:rPr>
          <w:rFonts w:ascii="宋体" w:hAnsi="宋体" w:eastAsia="宋体" w:cs="宋体"/>
          <w:spacing w:val="-2"/>
          <w:sz w:val="24"/>
          <w:szCs w:val="24"/>
        </w:rPr>
        <w:t>但连接的高速公路禁止危化品车辆通行，公路危化品车辆通行较少。</w:t>
      </w:r>
    </w:p>
    <w:p>
      <w:pPr>
        <w:spacing w:before="183" w:line="466" w:lineRule="exact"/>
        <w:ind w:left="518"/>
        <w:rPr>
          <w:rFonts w:ascii="宋体" w:hAnsi="宋体" w:eastAsia="宋体" w:cs="宋体"/>
          <w:sz w:val="24"/>
          <w:szCs w:val="24"/>
        </w:rPr>
      </w:pPr>
      <w:r>
        <w:rPr>
          <w:rFonts w:ascii="宋体" w:hAnsi="宋体" w:eastAsia="宋体" w:cs="宋体"/>
          <w:spacing w:val="-2"/>
          <w:position w:val="17"/>
          <w:sz w:val="24"/>
          <w:szCs w:val="24"/>
        </w:rPr>
        <w:t>根据对《建设项目环境风险评价技术导则》（</w:t>
      </w:r>
      <w:r>
        <w:rPr>
          <w:rFonts w:ascii="Times New Roman" w:hAnsi="Times New Roman" w:eastAsia="Times New Roman" w:cs="Times New Roman"/>
          <w:spacing w:val="-2"/>
          <w:position w:val="17"/>
          <w:sz w:val="24"/>
          <w:szCs w:val="24"/>
        </w:rPr>
        <w:t>HJ169-2018</w:t>
      </w:r>
      <w:r>
        <w:rPr>
          <w:rFonts w:ascii="宋体" w:hAnsi="宋体" w:eastAsia="宋体" w:cs="宋体"/>
          <w:spacing w:val="-2"/>
          <w:position w:val="17"/>
          <w:sz w:val="24"/>
          <w:szCs w:val="24"/>
        </w:rPr>
        <w:t>）中</w:t>
      </w:r>
      <w:r>
        <w:rPr>
          <w:rFonts w:ascii="Times New Roman" w:hAnsi="Times New Roman" w:eastAsia="Times New Roman" w:cs="Times New Roman"/>
          <w:spacing w:val="-2"/>
          <w:position w:val="17"/>
          <w:sz w:val="24"/>
          <w:szCs w:val="24"/>
        </w:rPr>
        <w:t>“C.1.1</w:t>
      </w:r>
      <w:r>
        <w:rPr>
          <w:rFonts w:ascii="Times New Roman" w:hAnsi="Times New Roman" w:eastAsia="Times New Roman" w:cs="Times New Roman"/>
          <w:spacing w:val="30"/>
          <w:position w:val="17"/>
          <w:sz w:val="24"/>
          <w:szCs w:val="24"/>
        </w:rPr>
        <w:t xml:space="preserve"> </w:t>
      </w:r>
      <w:r>
        <w:rPr>
          <w:rFonts w:ascii="宋体" w:hAnsi="宋体" w:eastAsia="宋体" w:cs="宋体"/>
          <w:spacing w:val="-2"/>
          <w:position w:val="17"/>
          <w:sz w:val="24"/>
          <w:szCs w:val="24"/>
        </w:rPr>
        <w:t>危险物</w:t>
      </w:r>
    </w:p>
    <w:p>
      <w:pPr>
        <w:spacing w:before="1" w:line="215" w:lineRule="auto"/>
        <w:ind w:left="39"/>
        <w:rPr>
          <w:rFonts w:ascii="宋体" w:hAnsi="宋体" w:eastAsia="宋体" w:cs="宋体"/>
          <w:sz w:val="24"/>
          <w:szCs w:val="24"/>
        </w:rPr>
      </w:pPr>
      <w:r>
        <w:rPr>
          <w:rFonts w:ascii="宋体" w:hAnsi="宋体" w:eastAsia="宋体" w:cs="宋体"/>
          <w:spacing w:val="-2"/>
          <w:sz w:val="24"/>
          <w:szCs w:val="24"/>
        </w:rPr>
        <w:t>质数量与临界量比值（</w:t>
      </w:r>
      <w:r>
        <w:rPr>
          <w:rFonts w:ascii="Times New Roman" w:hAnsi="Times New Roman" w:eastAsia="Times New Roman" w:cs="Times New Roman"/>
          <w:spacing w:val="-2"/>
          <w:sz w:val="24"/>
          <w:szCs w:val="24"/>
        </w:rPr>
        <w:t>Q</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9"/>
          <w:sz w:val="24"/>
          <w:szCs w:val="24"/>
        </w:rPr>
        <w:t xml:space="preserve"> </w:t>
      </w:r>
      <w:r>
        <w:rPr>
          <w:rFonts w:ascii="宋体" w:hAnsi="宋体" w:eastAsia="宋体" w:cs="宋体"/>
          <w:spacing w:val="-2"/>
          <w:sz w:val="24"/>
          <w:szCs w:val="24"/>
        </w:rPr>
        <w:t>的判断，进行该项目环境风险潜势判定。</w:t>
      </w:r>
    </w:p>
    <w:p>
      <w:pPr>
        <w:spacing w:before="187" w:line="466" w:lineRule="exact"/>
        <w:jc w:val="right"/>
        <w:rPr>
          <w:rFonts w:ascii="宋体" w:hAnsi="宋体" w:eastAsia="宋体" w:cs="宋体"/>
          <w:sz w:val="24"/>
          <w:szCs w:val="24"/>
        </w:rPr>
      </w:pPr>
      <w:r>
        <w:rPr>
          <w:rFonts w:ascii="宋体" w:hAnsi="宋体" w:eastAsia="宋体" w:cs="宋体"/>
          <w:spacing w:val="-14"/>
          <w:position w:val="17"/>
          <w:sz w:val="24"/>
          <w:szCs w:val="24"/>
        </w:rPr>
        <w:t>当只涉及一种危险物质时，</w:t>
      </w:r>
      <w:r>
        <w:rPr>
          <w:rFonts w:ascii="宋体" w:hAnsi="宋体" w:eastAsia="宋体" w:cs="宋体"/>
          <w:spacing w:val="60"/>
          <w:position w:val="17"/>
          <w:sz w:val="24"/>
          <w:szCs w:val="24"/>
        </w:rPr>
        <w:t xml:space="preserve"> </w:t>
      </w:r>
      <w:r>
        <w:rPr>
          <w:rFonts w:ascii="宋体" w:hAnsi="宋体" w:eastAsia="宋体" w:cs="宋体"/>
          <w:spacing w:val="-14"/>
          <w:position w:val="17"/>
          <w:sz w:val="24"/>
          <w:szCs w:val="24"/>
        </w:rPr>
        <w:t>计算该物质的总数量与其临界量比值，</w:t>
      </w:r>
      <w:r>
        <w:rPr>
          <w:rFonts w:ascii="宋体" w:hAnsi="宋体" w:eastAsia="宋体" w:cs="宋体"/>
          <w:spacing w:val="66"/>
          <w:position w:val="17"/>
          <w:sz w:val="24"/>
          <w:szCs w:val="24"/>
        </w:rPr>
        <w:t xml:space="preserve"> </w:t>
      </w:r>
      <w:r>
        <w:rPr>
          <w:rFonts w:ascii="宋体" w:hAnsi="宋体" w:eastAsia="宋体" w:cs="宋体"/>
          <w:spacing w:val="-14"/>
          <w:position w:val="17"/>
          <w:sz w:val="24"/>
          <w:szCs w:val="24"/>
        </w:rPr>
        <w:t xml:space="preserve">即为 </w:t>
      </w:r>
      <w:r>
        <w:rPr>
          <w:rFonts w:ascii="Times New Roman" w:hAnsi="Times New Roman" w:eastAsia="Times New Roman" w:cs="Times New Roman"/>
          <w:spacing w:val="-14"/>
          <w:position w:val="17"/>
          <w:sz w:val="24"/>
          <w:szCs w:val="24"/>
        </w:rPr>
        <w:t>Q</w:t>
      </w:r>
      <w:r>
        <w:rPr>
          <w:rFonts w:ascii="宋体" w:hAnsi="宋体" w:eastAsia="宋体" w:cs="宋体"/>
          <w:spacing w:val="-14"/>
          <w:position w:val="17"/>
          <w:sz w:val="24"/>
          <w:szCs w:val="24"/>
        </w:rPr>
        <w:t>；</w:t>
      </w:r>
    </w:p>
    <w:p>
      <w:pPr>
        <w:spacing w:before="1" w:line="215" w:lineRule="auto"/>
        <w:ind w:left="533"/>
        <w:rPr>
          <w:rFonts w:ascii="宋体" w:hAnsi="宋体" w:eastAsia="宋体" w:cs="宋体"/>
          <w:sz w:val="24"/>
          <w:szCs w:val="24"/>
        </w:rPr>
      </w:pPr>
      <w:r>
        <w:rPr>
          <w:rFonts w:ascii="宋体" w:hAnsi="宋体" w:eastAsia="宋体" w:cs="宋体"/>
          <w:spacing w:val="-1"/>
          <w:sz w:val="24"/>
          <w:szCs w:val="24"/>
        </w:rPr>
        <w:t>当存在多种危险物质时，则按下式 计算物质数量与其临界量比值（</w:t>
      </w:r>
      <w:r>
        <w:rPr>
          <w:rFonts w:ascii="Times New Roman" w:hAnsi="Times New Roman" w:eastAsia="Times New Roman" w:cs="Times New Roman"/>
          <w:spacing w:val="-1"/>
          <w:sz w:val="24"/>
          <w:szCs w:val="24"/>
        </w:rPr>
        <w:t>Q</w:t>
      </w:r>
      <w:r>
        <w:rPr>
          <w:rFonts w:ascii="宋体" w:hAnsi="宋体" w:eastAsia="宋体" w:cs="宋体"/>
          <w:spacing w:val="-11"/>
          <w:sz w:val="24"/>
          <w:szCs w:val="24"/>
        </w:rPr>
        <w:t>）：</w:t>
      </w:r>
    </w:p>
    <w:p>
      <w:pPr>
        <w:spacing w:before="152" w:line="840" w:lineRule="exact"/>
        <w:ind w:firstLine="2699"/>
      </w:pPr>
      <w:r>
        <w:rPr>
          <w:position w:val="-16"/>
        </w:rPr>
        <w:drawing>
          <wp:inline distT="0" distB="0" distL="0" distR="0">
            <wp:extent cx="1880870" cy="53340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483"/>
                    <a:stretch>
                      <a:fillRect/>
                    </a:stretch>
                  </pic:blipFill>
                  <pic:spPr>
                    <a:xfrm>
                      <a:off x="0" y="0"/>
                      <a:ext cx="1880870" cy="533400"/>
                    </a:xfrm>
                    <a:prstGeom prst="rect">
                      <a:avLst/>
                    </a:prstGeom>
                  </pic:spPr>
                </pic:pic>
              </a:graphicData>
            </a:graphic>
          </wp:inline>
        </w:drawing>
      </w:r>
    </w:p>
    <w:p>
      <w:pPr>
        <w:spacing w:before="175" w:line="214" w:lineRule="auto"/>
        <w:ind w:left="522"/>
        <w:rPr>
          <w:rFonts w:ascii="宋体" w:hAnsi="宋体" w:eastAsia="宋体" w:cs="宋体"/>
          <w:sz w:val="24"/>
          <w:szCs w:val="24"/>
        </w:rPr>
      </w:pPr>
      <w:r>
        <w:rPr>
          <w:rFonts w:ascii="宋体" w:hAnsi="宋体" w:eastAsia="宋体" w:cs="宋体"/>
          <w:spacing w:val="-16"/>
          <w:sz w:val="24"/>
          <w:szCs w:val="24"/>
        </w:rPr>
        <w:t>式中：</w:t>
      </w:r>
      <w:r>
        <w:rPr>
          <w:rFonts w:ascii="宋体" w:hAnsi="宋体" w:eastAsia="宋体" w:cs="宋体"/>
          <w:spacing w:val="5"/>
          <w:sz w:val="24"/>
          <w:szCs w:val="24"/>
        </w:rPr>
        <w:t xml:space="preserve">  </w:t>
      </w:r>
      <w:r>
        <w:rPr>
          <w:rFonts w:ascii="Times New Roman" w:hAnsi="Times New Roman" w:eastAsia="Times New Roman" w:cs="Times New Roman"/>
          <w:spacing w:val="-16"/>
          <w:sz w:val="24"/>
          <w:szCs w:val="24"/>
        </w:rPr>
        <w:t>q</w:t>
      </w:r>
      <w:r>
        <w:rPr>
          <w:rFonts w:ascii="Times New Roman" w:hAnsi="Times New Roman" w:eastAsia="Times New Roman" w:cs="Times New Roman"/>
          <w:spacing w:val="-16"/>
          <w:position w:val="-1"/>
          <w:sz w:val="16"/>
          <w:szCs w:val="16"/>
        </w:rPr>
        <w:t>1</w:t>
      </w:r>
      <w:r>
        <w:rPr>
          <w:rFonts w:ascii="Times New Roman" w:hAnsi="Times New Roman" w:eastAsia="Times New Roman" w:cs="Times New Roman"/>
          <w:spacing w:val="-10"/>
          <w:position w:val="-1"/>
          <w:sz w:val="16"/>
          <w:szCs w:val="16"/>
        </w:rPr>
        <w:t xml:space="preserve"> </w:t>
      </w:r>
      <w:r>
        <w:rPr>
          <w:rFonts w:ascii="宋体" w:hAnsi="宋体" w:eastAsia="宋体" w:cs="宋体"/>
          <w:spacing w:val="-16"/>
          <w:sz w:val="24"/>
          <w:szCs w:val="24"/>
        </w:rPr>
        <w:t>，</w:t>
      </w:r>
      <w:r>
        <w:rPr>
          <w:rFonts w:ascii="宋体" w:hAnsi="宋体" w:eastAsia="宋体" w:cs="宋体"/>
          <w:spacing w:val="9"/>
          <w:sz w:val="24"/>
          <w:szCs w:val="24"/>
        </w:rPr>
        <w:t xml:space="preserve"> </w:t>
      </w:r>
      <w:r>
        <w:rPr>
          <w:rFonts w:ascii="Times New Roman" w:hAnsi="Times New Roman" w:eastAsia="Times New Roman" w:cs="Times New Roman"/>
          <w:spacing w:val="-16"/>
          <w:sz w:val="24"/>
          <w:szCs w:val="24"/>
        </w:rPr>
        <w:t>q</w:t>
      </w:r>
      <w:r>
        <w:rPr>
          <w:rFonts w:ascii="Times New Roman" w:hAnsi="Times New Roman" w:eastAsia="Times New Roman" w:cs="Times New Roman"/>
          <w:spacing w:val="-16"/>
          <w:position w:val="-1"/>
          <w:sz w:val="16"/>
          <w:szCs w:val="16"/>
        </w:rPr>
        <w:t>2</w:t>
      </w:r>
      <w:r>
        <w:rPr>
          <w:rFonts w:ascii="Times New Roman" w:hAnsi="Times New Roman" w:eastAsia="Times New Roman" w:cs="Times New Roman"/>
          <w:spacing w:val="-10"/>
          <w:position w:val="-1"/>
          <w:sz w:val="16"/>
          <w:szCs w:val="16"/>
        </w:rPr>
        <w:t xml:space="preserve"> </w:t>
      </w:r>
      <w:r>
        <w:rPr>
          <w:rFonts w:ascii="宋体" w:hAnsi="宋体" w:eastAsia="宋体" w:cs="宋体"/>
          <w:spacing w:val="-16"/>
          <w:sz w:val="24"/>
          <w:szCs w:val="24"/>
        </w:rPr>
        <w:t>，</w:t>
      </w:r>
      <w:r>
        <w:rPr>
          <w:rFonts w:ascii="宋体" w:hAnsi="宋体" w:eastAsia="宋体" w:cs="宋体"/>
          <w:spacing w:val="17"/>
          <w:sz w:val="24"/>
          <w:szCs w:val="24"/>
        </w:rPr>
        <w:t xml:space="preserve"> </w:t>
      </w:r>
      <w:r>
        <w:rPr>
          <w:rFonts w:ascii="Times New Roman" w:hAnsi="Times New Roman" w:eastAsia="Times New Roman" w:cs="Times New Roman"/>
          <w:spacing w:val="-16"/>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16"/>
          <w:sz w:val="24"/>
          <w:szCs w:val="24"/>
        </w:rPr>
        <w:t xml:space="preserve">， </w:t>
      </w:r>
      <w:r>
        <w:rPr>
          <w:rFonts w:ascii="Times New Roman" w:hAnsi="Times New Roman" w:eastAsia="Times New Roman" w:cs="Times New Roman"/>
          <w:spacing w:val="-16"/>
          <w:sz w:val="24"/>
          <w:szCs w:val="24"/>
        </w:rPr>
        <w:t>q</w:t>
      </w:r>
      <w:r>
        <w:rPr>
          <w:rFonts w:ascii="Times New Roman" w:hAnsi="Times New Roman" w:eastAsia="Times New Roman" w:cs="Times New Roman"/>
          <w:spacing w:val="-16"/>
          <w:position w:val="-1"/>
          <w:sz w:val="16"/>
          <w:szCs w:val="16"/>
        </w:rPr>
        <w:t>n</w:t>
      </w:r>
      <w:r>
        <w:rPr>
          <w:rFonts w:ascii="Times New Roman" w:hAnsi="Times New Roman" w:eastAsia="Times New Roman" w:cs="Times New Roman"/>
          <w:spacing w:val="-10"/>
          <w:sz w:val="24"/>
          <w:szCs w:val="24"/>
        </w:rPr>
        <w:t>——</w:t>
      </w:r>
      <w:r>
        <w:rPr>
          <w:rFonts w:ascii="宋体" w:hAnsi="宋体" w:eastAsia="宋体" w:cs="宋体"/>
          <w:spacing w:val="-10"/>
          <w:sz w:val="24"/>
          <w:szCs w:val="24"/>
        </w:rPr>
        <w:t>每种危险物质的最大存在总量，</w:t>
      </w:r>
      <w:r>
        <w:rPr>
          <w:rFonts w:ascii="宋体" w:hAnsi="宋体" w:eastAsia="宋体" w:cs="宋体"/>
          <w:spacing w:val="28"/>
          <w:sz w:val="24"/>
          <w:szCs w:val="24"/>
        </w:rPr>
        <w:t xml:space="preserve">  </w:t>
      </w:r>
      <w:r>
        <w:rPr>
          <w:rFonts w:ascii="Times New Roman" w:hAnsi="Times New Roman" w:eastAsia="Times New Roman" w:cs="Times New Roman"/>
          <w:spacing w:val="-10"/>
          <w:sz w:val="24"/>
          <w:szCs w:val="24"/>
        </w:rPr>
        <w:t>t</w:t>
      </w:r>
      <w:r>
        <w:rPr>
          <w:rFonts w:ascii="宋体" w:hAnsi="宋体" w:eastAsia="宋体" w:cs="宋体"/>
          <w:spacing w:val="-10"/>
          <w:sz w:val="24"/>
          <w:szCs w:val="24"/>
        </w:rPr>
        <w:t>；</w:t>
      </w:r>
    </w:p>
    <w:p>
      <w:pPr>
        <w:spacing w:before="187" w:line="218" w:lineRule="auto"/>
        <w:ind w:left="1357"/>
        <w:rPr>
          <w:rFonts w:ascii="宋体" w:hAnsi="宋体" w:eastAsia="宋体" w:cs="宋体"/>
          <w:sz w:val="24"/>
          <w:szCs w:val="24"/>
        </w:rPr>
      </w:pPr>
      <w:r>
        <w:rPr>
          <w:rFonts w:ascii="Times New Roman" w:hAnsi="Times New Roman" w:eastAsia="Times New Roman" w:cs="Times New Roman"/>
          <w:spacing w:val="-7"/>
          <w:sz w:val="24"/>
          <w:szCs w:val="24"/>
        </w:rPr>
        <w:t>Q</w:t>
      </w:r>
      <w:r>
        <w:rPr>
          <w:rFonts w:ascii="Times New Roman" w:hAnsi="Times New Roman" w:eastAsia="Times New Roman" w:cs="Times New Roman"/>
          <w:spacing w:val="-7"/>
          <w:position w:val="-1"/>
          <w:sz w:val="16"/>
          <w:szCs w:val="16"/>
        </w:rPr>
        <w:t>1</w:t>
      </w:r>
      <w:r>
        <w:rPr>
          <w:rFonts w:ascii="Times New Roman" w:hAnsi="Times New Roman" w:eastAsia="Times New Roman" w:cs="Times New Roman"/>
          <w:spacing w:val="-7"/>
          <w:sz w:val="24"/>
          <w:szCs w:val="24"/>
        </w:rPr>
        <w:t>, Q</w:t>
      </w:r>
      <w:r>
        <w:rPr>
          <w:rFonts w:ascii="Times New Roman" w:hAnsi="Times New Roman" w:eastAsia="Times New Roman" w:cs="Times New Roman"/>
          <w:spacing w:val="-7"/>
          <w:position w:val="-1"/>
          <w:sz w:val="16"/>
          <w:szCs w:val="16"/>
        </w:rPr>
        <w:t>2</w:t>
      </w:r>
      <w:r>
        <w:rPr>
          <w:rFonts w:ascii="Times New Roman" w:hAnsi="Times New Roman" w:eastAsia="Times New Roman" w:cs="Times New Roman"/>
          <w:spacing w:val="-7"/>
          <w:sz w:val="24"/>
          <w:szCs w:val="24"/>
        </w:rPr>
        <w:t>,</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pacing w:val="-7"/>
          <w:sz w:val="24"/>
          <w:szCs w:val="24"/>
        </w:rPr>
        <w:t>..., Q</w:t>
      </w:r>
      <w:r>
        <w:rPr>
          <w:rFonts w:ascii="Times New Roman" w:hAnsi="Times New Roman" w:eastAsia="Times New Roman" w:cs="Times New Roman"/>
          <w:spacing w:val="-7"/>
          <w:position w:val="-1"/>
          <w:sz w:val="16"/>
          <w:szCs w:val="16"/>
        </w:rPr>
        <w:t>n</w:t>
      </w:r>
      <w:r>
        <w:rPr>
          <w:rFonts w:ascii="Times New Roman" w:hAnsi="Times New Roman" w:eastAsia="Times New Roman" w:cs="Times New Roman"/>
          <w:spacing w:val="-7"/>
          <w:sz w:val="24"/>
          <w:szCs w:val="24"/>
        </w:rPr>
        <w:t>——</w:t>
      </w:r>
      <w:r>
        <w:rPr>
          <w:rFonts w:ascii="宋体" w:hAnsi="宋体" w:eastAsia="宋体" w:cs="宋体"/>
          <w:spacing w:val="-7"/>
          <w:sz w:val="24"/>
          <w:szCs w:val="24"/>
        </w:rPr>
        <w:t>每种危险物质的临界量，</w:t>
      </w:r>
      <w:r>
        <w:rPr>
          <w:rFonts w:ascii="宋体" w:hAnsi="宋体" w:eastAsia="宋体" w:cs="宋体"/>
          <w:spacing w:val="28"/>
          <w:sz w:val="24"/>
          <w:szCs w:val="24"/>
        </w:rPr>
        <w:t xml:space="preserve">  </w:t>
      </w:r>
      <w:r>
        <w:rPr>
          <w:rFonts w:ascii="Times New Roman" w:hAnsi="Times New Roman" w:eastAsia="Times New Roman" w:cs="Times New Roman"/>
          <w:spacing w:val="-7"/>
          <w:sz w:val="24"/>
          <w:szCs w:val="24"/>
        </w:rPr>
        <w:t>t</w:t>
      </w:r>
      <w:r>
        <w:rPr>
          <w:rFonts w:ascii="宋体" w:hAnsi="宋体" w:eastAsia="宋体" w:cs="宋体"/>
          <w:spacing w:val="-7"/>
          <w:sz w:val="24"/>
          <w:szCs w:val="24"/>
        </w:rPr>
        <w:t>。</w:t>
      </w:r>
    </w:p>
    <w:p>
      <w:pPr>
        <w:spacing w:line="218" w:lineRule="auto"/>
        <w:rPr>
          <w:rFonts w:ascii="宋体" w:hAnsi="宋体" w:eastAsia="宋体" w:cs="宋体"/>
          <w:sz w:val="24"/>
          <w:szCs w:val="24"/>
        </w:rPr>
        <w:sectPr>
          <w:headerReference r:id="rId297" w:type="default"/>
          <w:footerReference r:id="rId298" w:type="default"/>
          <w:pgSz w:w="11907" w:h="16839"/>
          <w:pgMar w:top="1118" w:right="1716" w:bottom="1184" w:left="1771" w:header="879" w:footer="1024" w:gutter="0"/>
          <w:cols w:space="720" w:num="1"/>
        </w:sectPr>
      </w:pPr>
    </w:p>
    <w:p>
      <w:pPr>
        <w:pStyle w:val="2"/>
        <w:spacing w:line="278" w:lineRule="auto"/>
      </w:pPr>
    </w:p>
    <w:sdt>
      <w:sdtPr>
        <w:rPr>
          <w:rFonts w:ascii="宋体" w:hAnsi="宋体" w:eastAsia="宋体" w:cs="宋体"/>
          <w:sz w:val="24"/>
          <w:szCs w:val="24"/>
        </w:rPr>
        <w:id w:val="3"/>
        <w:docPartObj>
          <w:docPartGallery w:val="Table of Contents"/>
          <w:docPartUnique/>
        </w:docPartObj>
      </w:sdtPr>
      <w:sdtEndPr>
        <w:rPr>
          <w:rFonts w:ascii="宋体" w:hAnsi="宋体" w:eastAsia="宋体" w:cs="宋体"/>
          <w:sz w:val="24"/>
          <w:szCs w:val="24"/>
        </w:rPr>
      </w:sdtEndPr>
      <w:sdtContent>
        <w:p>
          <w:pPr>
            <w:spacing w:before="78" w:line="216" w:lineRule="auto"/>
            <w:ind w:left="1253"/>
            <w:rPr>
              <w:rFonts w:ascii="宋体" w:hAnsi="宋体" w:eastAsia="宋体" w:cs="宋体"/>
              <w:sz w:val="24"/>
              <w:szCs w:val="24"/>
            </w:rPr>
          </w:pPr>
          <w:r>
            <w:rPr>
              <w:rFonts w:ascii="宋体" w:hAnsi="宋体" w:eastAsia="宋体" w:cs="宋体"/>
              <w:spacing w:val="-3"/>
              <w:sz w:val="24"/>
              <w:szCs w:val="24"/>
            </w:rPr>
            <w:t>当</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Q</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0"/>
              <w:w w:val="101"/>
              <w:sz w:val="24"/>
              <w:szCs w:val="24"/>
            </w:rPr>
            <w:t xml:space="preserve"> </w:t>
          </w:r>
          <w:r>
            <w:rPr>
              <w:rFonts w:ascii="宋体" w:hAnsi="宋体" w:eastAsia="宋体" w:cs="宋体"/>
              <w:spacing w:val="-3"/>
              <w:sz w:val="24"/>
              <w:szCs w:val="24"/>
            </w:rPr>
            <w:t>时，该项目环境风险潜势为</w:t>
          </w:r>
          <w:r>
            <w:rPr>
              <w:rFonts w:ascii="Times New Roman" w:hAnsi="Times New Roman" w:eastAsia="Times New Roman" w:cs="Times New Roman"/>
              <w:spacing w:val="-3"/>
              <w:sz w:val="24"/>
              <w:szCs w:val="24"/>
            </w:rPr>
            <w:t>Ⅰ</w:t>
          </w:r>
          <w:r>
            <w:rPr>
              <w:rFonts w:ascii="宋体" w:hAnsi="宋体" w:eastAsia="宋体" w:cs="宋体"/>
              <w:spacing w:val="-3"/>
              <w:sz w:val="24"/>
              <w:szCs w:val="24"/>
            </w:rPr>
            <w:t>。</w:t>
          </w:r>
        </w:p>
        <w:p>
          <w:pPr>
            <w:spacing w:before="187" w:line="216" w:lineRule="auto"/>
            <w:jc w:val="right"/>
            <w:rPr>
              <w:rFonts w:ascii="宋体" w:hAnsi="宋体" w:eastAsia="宋体" w:cs="宋体"/>
              <w:sz w:val="24"/>
              <w:szCs w:val="24"/>
            </w:rPr>
          </w:pPr>
          <w:r>
            <w:rPr>
              <w:rFonts w:ascii="宋体" w:hAnsi="宋体" w:eastAsia="宋体" w:cs="宋体"/>
              <w:spacing w:val="-7"/>
              <w:sz w:val="24"/>
              <w:szCs w:val="24"/>
            </w:rPr>
            <w:t xml:space="preserve">当 </w:t>
          </w:r>
          <w:r>
            <w:rPr>
              <w:rFonts w:ascii="Times New Roman" w:hAnsi="Times New Roman" w:eastAsia="Times New Roman" w:cs="Times New Roman"/>
              <w:spacing w:val="-7"/>
              <w:sz w:val="24"/>
              <w:szCs w:val="24"/>
            </w:rPr>
            <w:t>Q≥1</w:t>
          </w:r>
          <w:r>
            <w:rPr>
              <w:rFonts w:ascii="Times New Roman" w:hAnsi="Times New Roman" w:eastAsia="Times New Roman" w:cs="Times New Roman"/>
              <w:spacing w:val="22"/>
              <w:w w:val="101"/>
              <w:sz w:val="24"/>
              <w:szCs w:val="24"/>
            </w:rPr>
            <w:t xml:space="preserve"> </w:t>
          </w:r>
          <w:r>
            <w:rPr>
              <w:rFonts w:ascii="宋体" w:hAnsi="宋体" w:eastAsia="宋体" w:cs="宋体"/>
              <w:spacing w:val="-7"/>
              <w:sz w:val="24"/>
              <w:szCs w:val="24"/>
            </w:rPr>
            <w:t>时，</w:t>
          </w:r>
          <w:r>
            <w:rPr>
              <w:rFonts w:ascii="宋体" w:hAnsi="宋体" w:eastAsia="宋体" w:cs="宋体"/>
              <w:spacing w:val="-55"/>
              <w:sz w:val="24"/>
              <w:szCs w:val="24"/>
            </w:rPr>
            <w:t xml:space="preserve"> </w:t>
          </w:r>
          <w:r>
            <w:rPr>
              <w:rFonts w:ascii="宋体" w:hAnsi="宋体" w:eastAsia="宋体" w:cs="宋体"/>
              <w:spacing w:val="-7"/>
              <w:sz w:val="24"/>
              <w:szCs w:val="24"/>
            </w:rPr>
            <w:t>将</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 xml:space="preserve">Q </w:t>
          </w:r>
          <w:r>
            <w:rPr>
              <w:rFonts w:ascii="宋体" w:hAnsi="宋体" w:eastAsia="宋体" w:cs="宋体"/>
              <w:spacing w:val="-7"/>
              <w:sz w:val="24"/>
              <w:szCs w:val="24"/>
            </w:rPr>
            <w:t>值划分为</w:t>
          </w:r>
          <w:r>
            <w:rPr>
              <w:rFonts w:ascii="宋体" w:hAnsi="宋体" w:eastAsia="宋体" w:cs="宋体"/>
              <w:spacing w:val="-27"/>
              <w:sz w:val="24"/>
              <w:szCs w:val="24"/>
            </w:rPr>
            <w:t>：</w:t>
          </w:r>
          <w:r>
            <w:rPr>
              <w:rFonts w:ascii="宋体" w:hAnsi="宋体" w:eastAsia="宋体" w:cs="宋体"/>
              <w:spacing w:val="-20"/>
              <w:sz w:val="24"/>
              <w:szCs w:val="24"/>
            </w:rPr>
            <w:t xml:space="preserve"> </w:t>
          </w:r>
          <w:r>
            <w:rPr>
              <w:rFonts w:ascii="宋体" w:hAnsi="宋体" w:eastAsia="宋体" w:cs="宋体"/>
              <w:spacing w:val="-2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w:t>
          </w:r>
          <w:r>
            <w:rPr>
              <w:rFonts w:ascii="Times New Roman" w:hAnsi="Times New Roman" w:eastAsia="Times New Roman" w:cs="Times New Roman"/>
              <w:spacing w:val="-7"/>
              <w:sz w:val="24"/>
              <w:szCs w:val="24"/>
            </w:rPr>
            <w:t>1≤Q</w:t>
          </w:r>
          <w:r>
            <w:rPr>
              <w:rFonts w:ascii="宋体" w:hAnsi="宋体" w:eastAsia="宋体" w:cs="宋体"/>
              <w:spacing w:val="-7"/>
              <w:sz w:val="24"/>
              <w:szCs w:val="24"/>
            </w:rPr>
            <w:t>＜</w:t>
          </w:r>
          <w:r>
            <w:rPr>
              <w:rFonts w:ascii="Times New Roman" w:hAnsi="Times New Roman" w:eastAsia="Times New Roman" w:cs="Times New Roman"/>
              <w:spacing w:val="-7"/>
              <w:sz w:val="24"/>
              <w:szCs w:val="24"/>
            </w:rPr>
            <w:t>10</w:t>
          </w:r>
          <w:r>
            <w:rPr>
              <w:rFonts w:ascii="宋体" w:hAnsi="宋体" w:eastAsia="宋体" w:cs="宋体"/>
              <w:spacing w:val="-2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w:t>
          </w:r>
          <w:r>
            <w:rPr>
              <w:rFonts w:ascii="Times New Roman" w:hAnsi="Times New Roman" w:eastAsia="Times New Roman" w:cs="Times New Roman"/>
              <w:spacing w:val="-7"/>
              <w:sz w:val="24"/>
              <w:szCs w:val="24"/>
            </w:rPr>
            <w:t>10≤Q</w:t>
          </w:r>
          <w:r>
            <w:rPr>
              <w:rFonts w:ascii="宋体" w:hAnsi="宋体" w:eastAsia="宋体" w:cs="宋体"/>
              <w:spacing w:val="-7"/>
              <w:sz w:val="24"/>
              <w:szCs w:val="24"/>
            </w:rPr>
            <w:t>＜</w:t>
          </w:r>
          <w:r>
            <w:rPr>
              <w:rFonts w:ascii="Times New Roman" w:hAnsi="Times New Roman" w:eastAsia="Times New Roman" w:cs="Times New Roman"/>
              <w:spacing w:val="-7"/>
              <w:sz w:val="24"/>
              <w:szCs w:val="24"/>
            </w:rPr>
            <w:t>100</w:t>
          </w:r>
          <w:r>
            <w:rPr>
              <w:rFonts w:ascii="宋体" w:hAnsi="宋体" w:eastAsia="宋体" w:cs="宋体"/>
              <w:spacing w:val="-27"/>
              <w:sz w:val="24"/>
              <w:szCs w:val="24"/>
            </w:rPr>
            <w:t>；（</w:t>
          </w:r>
          <w:r>
            <w:fldChar w:fldCharType="begin"/>
          </w:r>
          <w:r>
            <w:instrText xml:space="preserve"> HYPERLINK \l "bookmark66" </w:instrText>
          </w:r>
          <w:r>
            <w:fldChar w:fldCharType="separate"/>
          </w:r>
          <w:r>
            <w:rPr>
              <w:rFonts w:ascii="Times New Roman" w:hAnsi="Times New Roman" w:eastAsia="Times New Roman" w:cs="Times New Roman"/>
              <w:spacing w:val="-7"/>
              <w:sz w:val="24"/>
              <w:szCs w:val="24"/>
            </w:rPr>
            <w:t>3</w:t>
          </w:r>
          <w:r>
            <w:rPr>
              <w:rFonts w:ascii="Times New Roman" w:hAnsi="Times New Roman" w:eastAsia="Times New Roman" w:cs="Times New Roman"/>
              <w:spacing w:val="-7"/>
              <w:sz w:val="24"/>
              <w:szCs w:val="24"/>
            </w:rPr>
            <w:fldChar w:fldCharType="end"/>
          </w:r>
          <w:r>
            <w:rPr>
              <w:rFonts w:ascii="宋体" w:hAnsi="宋体" w:eastAsia="宋体" w:cs="宋体"/>
              <w:spacing w:val="-7"/>
              <w:sz w:val="24"/>
              <w:szCs w:val="24"/>
            </w:rPr>
            <w:t>）</w:t>
          </w:r>
        </w:p>
      </w:sdtContent>
    </w:sdt>
    <w:p>
      <w:pPr>
        <w:spacing w:before="225" w:line="185" w:lineRule="auto"/>
        <w:ind w:left="37"/>
        <w:rPr>
          <w:rFonts w:ascii="宋体" w:hAnsi="宋体" w:eastAsia="宋体" w:cs="宋体"/>
          <w:sz w:val="24"/>
          <w:szCs w:val="24"/>
        </w:rPr>
      </w:pPr>
      <w:r>
        <w:rPr>
          <w:rFonts w:ascii="Times New Roman" w:hAnsi="Times New Roman" w:eastAsia="Times New Roman" w:cs="Times New Roman"/>
          <w:spacing w:val="-2"/>
          <w:sz w:val="24"/>
          <w:szCs w:val="24"/>
        </w:rPr>
        <w:t>Q≥100</w:t>
      </w:r>
      <w:r>
        <w:rPr>
          <w:rFonts w:ascii="宋体" w:hAnsi="宋体" w:eastAsia="宋体" w:cs="宋体"/>
          <w:spacing w:val="-2"/>
          <w:sz w:val="24"/>
          <w:szCs w:val="24"/>
        </w:rPr>
        <w:t>。</w:t>
      </w:r>
    </w:p>
    <w:p>
      <w:pPr>
        <w:spacing w:before="187" w:line="359" w:lineRule="auto"/>
        <w:ind w:left="43" w:right="40" w:firstLine="475"/>
        <w:jc w:val="both"/>
        <w:rPr>
          <w:rFonts w:ascii="宋体" w:hAnsi="宋体" w:eastAsia="宋体" w:cs="宋体"/>
          <w:sz w:val="24"/>
          <w:szCs w:val="24"/>
        </w:rPr>
      </w:pPr>
      <w:r>
        <w:rPr>
          <w:rFonts w:ascii="宋体" w:hAnsi="宋体" w:eastAsia="宋体" w:cs="宋体"/>
          <w:spacing w:val="-4"/>
          <w:sz w:val="24"/>
          <w:szCs w:val="24"/>
        </w:rPr>
        <w:t>本项目不涉及有毒有害和易燃易爆危险物质的生产、使用、储存（包</w:t>
      </w:r>
      <w:r>
        <w:rPr>
          <w:rFonts w:ascii="宋体" w:hAnsi="宋体" w:eastAsia="宋体" w:cs="宋体"/>
          <w:spacing w:val="-5"/>
          <w:sz w:val="24"/>
          <w:szCs w:val="24"/>
        </w:rPr>
        <w:t xml:space="preserve">括使用 </w:t>
      </w:r>
      <w:r>
        <w:rPr>
          <w:rFonts w:ascii="宋体" w:hAnsi="宋体" w:eastAsia="宋体" w:cs="宋体"/>
          <w:spacing w:val="-11"/>
          <w:sz w:val="24"/>
          <w:szCs w:val="24"/>
        </w:rPr>
        <w:t>管线输运）等，</w:t>
      </w:r>
      <w:r>
        <w:rPr>
          <w:rFonts w:ascii="宋体" w:hAnsi="宋体" w:eastAsia="宋体" w:cs="宋体"/>
          <w:spacing w:val="-65"/>
          <w:sz w:val="24"/>
          <w:szCs w:val="24"/>
        </w:rPr>
        <w:t xml:space="preserve"> </w:t>
      </w:r>
      <w:r>
        <w:rPr>
          <w:rFonts w:ascii="宋体" w:hAnsi="宋体" w:eastAsia="宋体" w:cs="宋体"/>
          <w:spacing w:val="-11"/>
          <w:sz w:val="24"/>
          <w:szCs w:val="24"/>
        </w:rPr>
        <w:t>风险评价参照《建设项目环境风险评价技术导则》（</w:t>
      </w:r>
      <w:r>
        <w:rPr>
          <w:rFonts w:ascii="Times New Roman" w:hAnsi="Times New Roman" w:eastAsia="Times New Roman" w:cs="Times New Roman"/>
          <w:spacing w:val="-11"/>
          <w:sz w:val="24"/>
          <w:szCs w:val="24"/>
        </w:rPr>
        <w:t>HJ169-2018</w:t>
      </w:r>
      <w:r>
        <w:rPr>
          <w:rFonts w:ascii="宋体" w:hAnsi="宋体" w:eastAsia="宋体" w:cs="宋体"/>
          <w:spacing w:val="-63"/>
          <w:sz w:val="24"/>
          <w:szCs w:val="24"/>
        </w:rPr>
        <w:t>），</w:t>
      </w:r>
    </w:p>
    <w:p>
      <w:pPr>
        <w:spacing w:before="1" w:line="218" w:lineRule="auto"/>
        <w:ind w:left="36"/>
        <w:rPr>
          <w:rFonts w:ascii="宋体" w:hAnsi="宋体" w:eastAsia="宋体" w:cs="宋体"/>
          <w:sz w:val="24"/>
          <w:szCs w:val="24"/>
        </w:rPr>
      </w:pPr>
      <w:r>
        <w:rPr>
          <w:rFonts w:ascii="宋体" w:hAnsi="宋体" w:eastAsia="宋体" w:cs="宋体"/>
          <w:spacing w:val="-6"/>
          <w:sz w:val="24"/>
          <w:szCs w:val="24"/>
        </w:rPr>
        <w:t>进行简单分析。</w:t>
      </w:r>
    </w:p>
    <w:p>
      <w:pPr>
        <w:spacing w:before="181" w:line="220" w:lineRule="auto"/>
        <w:ind w:left="36"/>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5.6.2 </w:t>
      </w:r>
      <w:r>
        <w:rPr>
          <w:rFonts w:ascii="宋体" w:hAnsi="宋体" w:eastAsia="宋体" w:cs="宋体"/>
          <w:spacing w:val="-1"/>
          <w:sz w:val="24"/>
          <w:szCs w:val="24"/>
          <w14:textOutline w14:w="4354" w14:cap="flat" w14:cmpd="sng">
            <w14:solidFill>
              <w14:srgbClr w14:val="000000"/>
            </w14:solidFill>
            <w14:prstDash w14:val="solid"/>
            <w14:miter w14:val="0"/>
          </w14:textOutline>
        </w:rPr>
        <w:t>环境风险事故案例</w:t>
      </w:r>
    </w:p>
    <w:p>
      <w:pPr>
        <w:spacing w:before="182" w:line="359" w:lineRule="auto"/>
        <w:ind w:left="37" w:right="104" w:firstLine="479"/>
        <w:rPr>
          <w:rFonts w:ascii="宋体" w:hAnsi="宋体" w:eastAsia="宋体" w:cs="宋体"/>
          <w:sz w:val="24"/>
          <w:szCs w:val="24"/>
        </w:rPr>
      </w:pPr>
      <w:r>
        <w:rPr>
          <w:rFonts w:ascii="宋体" w:hAnsi="宋体" w:eastAsia="宋体" w:cs="宋体"/>
          <w:spacing w:val="-14"/>
          <w:sz w:val="24"/>
          <w:szCs w:val="24"/>
        </w:rPr>
        <w:t>据有关调查资料，</w:t>
      </w:r>
      <w:r>
        <w:rPr>
          <w:rFonts w:ascii="宋体" w:hAnsi="宋体" w:eastAsia="宋体" w:cs="宋体"/>
          <w:spacing w:val="85"/>
          <w:sz w:val="24"/>
          <w:szCs w:val="24"/>
        </w:rPr>
        <w:t xml:space="preserve"> </w:t>
      </w:r>
      <w:r>
        <w:rPr>
          <w:rFonts w:ascii="宋体" w:hAnsi="宋体" w:eastAsia="宋体" w:cs="宋体"/>
          <w:spacing w:val="-14"/>
          <w:sz w:val="24"/>
          <w:szCs w:val="24"/>
        </w:rPr>
        <w:t>目前公路上运送的主要危险</w:t>
      </w:r>
      <w:r>
        <w:rPr>
          <w:rFonts w:ascii="宋体" w:hAnsi="宋体" w:eastAsia="宋体" w:cs="宋体"/>
          <w:spacing w:val="-15"/>
          <w:sz w:val="24"/>
          <w:szCs w:val="24"/>
        </w:rPr>
        <w:t>品有：</w:t>
      </w:r>
      <w:r>
        <w:rPr>
          <w:rFonts w:ascii="宋体" w:hAnsi="宋体" w:eastAsia="宋体" w:cs="宋体"/>
          <w:spacing w:val="44"/>
          <w:sz w:val="24"/>
          <w:szCs w:val="24"/>
        </w:rPr>
        <w:t xml:space="preserve"> </w:t>
      </w:r>
      <w:r>
        <w:rPr>
          <w:rFonts w:ascii="宋体" w:hAnsi="宋体" w:eastAsia="宋体" w:cs="宋体"/>
          <w:spacing w:val="-15"/>
          <w:sz w:val="24"/>
          <w:szCs w:val="24"/>
        </w:rPr>
        <w:t>油品、危险化学品、腐</w:t>
      </w:r>
      <w:r>
        <w:rPr>
          <w:rFonts w:ascii="宋体" w:hAnsi="宋体" w:eastAsia="宋体" w:cs="宋体"/>
          <w:sz w:val="24"/>
          <w:szCs w:val="24"/>
        </w:rPr>
        <w:t xml:space="preserve"> </w:t>
      </w:r>
      <w:r>
        <w:rPr>
          <w:rFonts w:ascii="宋体" w:hAnsi="宋体" w:eastAsia="宋体" w:cs="宋体"/>
          <w:spacing w:val="-10"/>
          <w:sz w:val="24"/>
          <w:szCs w:val="24"/>
        </w:rPr>
        <w:t>蚀品、易爆易燃品等，</w:t>
      </w:r>
      <w:r>
        <w:rPr>
          <w:rFonts w:ascii="宋体" w:hAnsi="宋体" w:eastAsia="宋体" w:cs="宋体"/>
          <w:spacing w:val="44"/>
          <w:sz w:val="24"/>
          <w:szCs w:val="24"/>
        </w:rPr>
        <w:t xml:space="preserve"> </w:t>
      </w:r>
      <w:r>
        <w:rPr>
          <w:rFonts w:ascii="宋体" w:hAnsi="宋体" w:eastAsia="宋体" w:cs="宋体"/>
          <w:spacing w:val="-10"/>
          <w:sz w:val="24"/>
          <w:szCs w:val="24"/>
        </w:rPr>
        <w:t>其中油罐车辆约占危险品运输车辆的一半。</w:t>
      </w:r>
      <w:r>
        <w:rPr>
          <w:rFonts w:ascii="宋体" w:hAnsi="宋体" w:eastAsia="宋体" w:cs="宋体"/>
          <w:spacing w:val="-36"/>
          <w:sz w:val="24"/>
          <w:szCs w:val="24"/>
        </w:rPr>
        <w:t xml:space="preserve"> </w:t>
      </w:r>
      <w:r>
        <w:rPr>
          <w:rFonts w:ascii="宋体" w:hAnsi="宋体" w:eastAsia="宋体" w:cs="宋体"/>
          <w:spacing w:val="-10"/>
          <w:sz w:val="24"/>
          <w:szCs w:val="24"/>
        </w:rPr>
        <w:t>以下为几则典</w:t>
      </w:r>
    </w:p>
    <w:p>
      <w:pPr>
        <w:spacing w:line="219" w:lineRule="auto"/>
        <w:ind w:left="45"/>
        <w:rPr>
          <w:rFonts w:ascii="宋体" w:hAnsi="宋体" w:eastAsia="宋体" w:cs="宋体"/>
          <w:sz w:val="24"/>
          <w:szCs w:val="24"/>
        </w:rPr>
      </w:pPr>
      <w:r>
        <w:rPr>
          <w:rFonts w:ascii="宋体" w:hAnsi="宋体" w:eastAsia="宋体" w:cs="宋体"/>
          <w:spacing w:val="-2"/>
          <w:sz w:val="24"/>
          <w:szCs w:val="24"/>
        </w:rPr>
        <w:t>型的公路运输危险品交通事故：</w:t>
      </w:r>
    </w:p>
    <w:p>
      <w:pPr>
        <w:spacing w:before="181" w:line="220" w:lineRule="auto"/>
        <w:ind w:left="52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w:t>
      </w:r>
      <w:r>
        <w:rPr>
          <w:rFonts w:ascii="Times New Roman" w:hAnsi="Times New Roman" w:eastAsia="Times New Roman" w:cs="Times New Roman"/>
          <w:spacing w:val="-5"/>
          <w:sz w:val="24"/>
          <w:szCs w:val="24"/>
        </w:rPr>
        <w:t>104</w:t>
      </w:r>
      <w:r>
        <w:rPr>
          <w:rFonts w:ascii="Times New Roman" w:hAnsi="Times New Roman" w:eastAsia="Times New Roman" w:cs="Times New Roman"/>
          <w:spacing w:val="41"/>
          <w:sz w:val="24"/>
          <w:szCs w:val="24"/>
        </w:rPr>
        <w:t xml:space="preserve"> </w:t>
      </w:r>
      <w:r>
        <w:rPr>
          <w:rFonts w:ascii="宋体" w:hAnsi="宋体" w:eastAsia="宋体" w:cs="宋体"/>
          <w:spacing w:val="-5"/>
          <w:sz w:val="24"/>
          <w:szCs w:val="24"/>
        </w:rPr>
        <w:t>国道事故</w:t>
      </w:r>
    </w:p>
    <w:p>
      <w:pPr>
        <w:spacing w:before="181" w:line="220" w:lineRule="auto"/>
        <w:ind w:left="529"/>
        <w:rPr>
          <w:rFonts w:ascii="宋体" w:hAnsi="宋体" w:eastAsia="宋体" w:cs="宋体"/>
          <w:sz w:val="24"/>
          <w:szCs w:val="24"/>
        </w:rPr>
      </w:pPr>
      <w:r>
        <w:rPr>
          <w:rFonts w:ascii="宋体" w:hAnsi="宋体" w:eastAsia="宋体" w:cs="宋体"/>
          <w:spacing w:val="-15"/>
          <w:sz w:val="24"/>
          <w:szCs w:val="24"/>
        </w:rPr>
        <w:t xml:space="preserve">时间： </w:t>
      </w:r>
      <w:r>
        <w:rPr>
          <w:rFonts w:ascii="Times New Roman" w:hAnsi="Times New Roman" w:eastAsia="Times New Roman" w:cs="Times New Roman"/>
          <w:spacing w:val="-15"/>
          <w:sz w:val="24"/>
          <w:szCs w:val="24"/>
        </w:rPr>
        <w:t>2002</w:t>
      </w:r>
      <w:r>
        <w:rPr>
          <w:rFonts w:ascii="Times New Roman" w:hAnsi="Times New Roman" w:eastAsia="Times New Roman" w:cs="Times New Roman"/>
          <w:spacing w:val="24"/>
          <w:sz w:val="24"/>
          <w:szCs w:val="24"/>
        </w:rPr>
        <w:t xml:space="preserve"> </w:t>
      </w:r>
      <w:r>
        <w:rPr>
          <w:rFonts w:ascii="宋体" w:hAnsi="宋体" w:eastAsia="宋体" w:cs="宋体"/>
          <w:spacing w:val="-15"/>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15"/>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1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5"/>
          <w:sz w:val="24"/>
          <w:szCs w:val="24"/>
        </w:rPr>
        <w:t xml:space="preserve">2  </w:t>
      </w:r>
      <w:r>
        <w:rPr>
          <w:rFonts w:ascii="宋体" w:hAnsi="宋体" w:eastAsia="宋体" w:cs="宋体"/>
          <w:spacing w:val="-15"/>
          <w:sz w:val="24"/>
          <w:szCs w:val="24"/>
        </w:rPr>
        <w:t>日凌晨。地点：</w:t>
      </w:r>
      <w:r>
        <w:rPr>
          <w:rFonts w:ascii="宋体" w:hAnsi="宋体" w:eastAsia="宋体" w:cs="宋体"/>
          <w:spacing w:val="83"/>
          <w:sz w:val="24"/>
          <w:szCs w:val="24"/>
        </w:rPr>
        <w:t xml:space="preserve"> </w:t>
      </w:r>
      <w:r>
        <w:rPr>
          <w:rFonts w:ascii="Times New Roman" w:hAnsi="Times New Roman" w:eastAsia="Times New Roman" w:cs="Times New Roman"/>
          <w:spacing w:val="-15"/>
          <w:sz w:val="24"/>
          <w:szCs w:val="24"/>
        </w:rPr>
        <w:t>104</w:t>
      </w:r>
      <w:r>
        <w:rPr>
          <w:rFonts w:ascii="Times New Roman" w:hAnsi="Times New Roman" w:eastAsia="Times New Roman" w:cs="Times New Roman"/>
          <w:spacing w:val="33"/>
          <w:w w:val="101"/>
          <w:sz w:val="24"/>
          <w:szCs w:val="24"/>
        </w:rPr>
        <w:t xml:space="preserve"> </w:t>
      </w:r>
      <w:r>
        <w:rPr>
          <w:rFonts w:ascii="宋体" w:hAnsi="宋体" w:eastAsia="宋体" w:cs="宋体"/>
          <w:spacing w:val="-15"/>
          <w:sz w:val="24"/>
          <w:szCs w:val="24"/>
        </w:rPr>
        <w:t>国道临海汛桥利庄路段。</w:t>
      </w:r>
    </w:p>
    <w:p>
      <w:pPr>
        <w:spacing w:before="184" w:line="359" w:lineRule="auto"/>
        <w:ind w:left="38" w:right="101" w:firstLine="480"/>
        <w:rPr>
          <w:rFonts w:ascii="宋体" w:hAnsi="宋体" w:eastAsia="宋体" w:cs="宋体"/>
          <w:sz w:val="24"/>
          <w:szCs w:val="24"/>
        </w:rPr>
      </w:pPr>
      <w:r>
        <w:rPr>
          <w:rFonts w:ascii="宋体" w:hAnsi="宋体" w:eastAsia="宋体" w:cs="宋体"/>
          <w:spacing w:val="-9"/>
          <w:sz w:val="24"/>
          <w:szCs w:val="24"/>
        </w:rPr>
        <w:t xml:space="preserve">情况简介： </w:t>
      </w:r>
      <w:r>
        <w:rPr>
          <w:rFonts w:ascii="Times New Roman" w:hAnsi="Times New Roman" w:eastAsia="Times New Roman" w:cs="Times New Roman"/>
          <w:spacing w:val="-9"/>
          <w:sz w:val="24"/>
          <w:szCs w:val="24"/>
        </w:rPr>
        <w:t>2002</w:t>
      </w:r>
      <w:r>
        <w:rPr>
          <w:rFonts w:ascii="Times New Roman" w:hAnsi="Times New Roman" w:eastAsia="Times New Roman" w:cs="Times New Roman"/>
          <w:spacing w:val="25"/>
          <w:sz w:val="24"/>
          <w:szCs w:val="24"/>
        </w:rPr>
        <w:t xml:space="preserve"> </w:t>
      </w:r>
      <w:r>
        <w:rPr>
          <w:rFonts w:ascii="宋体" w:hAnsi="宋体" w:eastAsia="宋体" w:cs="宋体"/>
          <w:spacing w:val="-9"/>
          <w:sz w:val="24"/>
          <w:szCs w:val="24"/>
        </w:rPr>
        <w:t>年</w:t>
      </w:r>
      <w:r>
        <w:rPr>
          <w:rFonts w:ascii="宋体" w:hAnsi="宋体" w:eastAsia="宋体" w:cs="宋体"/>
          <w:spacing w:val="-38"/>
          <w:sz w:val="24"/>
          <w:szCs w:val="24"/>
        </w:rPr>
        <w:t xml:space="preserve"> </w:t>
      </w:r>
      <w:r>
        <w:rPr>
          <w:rFonts w:ascii="Times New Roman" w:hAnsi="Times New Roman" w:eastAsia="Times New Roman" w:cs="Times New Roman"/>
          <w:spacing w:val="-9"/>
          <w:sz w:val="24"/>
          <w:szCs w:val="24"/>
        </w:rPr>
        <w:t>8</w:t>
      </w:r>
      <w:r>
        <w:rPr>
          <w:rFonts w:ascii="Times New Roman" w:hAnsi="Times New Roman" w:eastAsia="Times New Roman" w:cs="Times New Roman"/>
          <w:spacing w:val="24"/>
          <w:w w:val="101"/>
          <w:sz w:val="24"/>
          <w:szCs w:val="24"/>
        </w:rPr>
        <w:t xml:space="preserve"> </w:t>
      </w:r>
      <w:r>
        <w:rPr>
          <w:rFonts w:ascii="宋体" w:hAnsi="宋体" w:eastAsia="宋体" w:cs="宋体"/>
          <w:spacing w:val="-9"/>
          <w:sz w:val="24"/>
          <w:szCs w:val="24"/>
        </w:rPr>
        <w:t>月</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 xml:space="preserve">2  </w:t>
      </w:r>
      <w:r>
        <w:rPr>
          <w:rFonts w:ascii="宋体" w:hAnsi="宋体" w:eastAsia="宋体" w:cs="宋体"/>
          <w:spacing w:val="-9"/>
          <w:sz w:val="24"/>
          <w:szCs w:val="24"/>
        </w:rPr>
        <w:t>日凌晨</w:t>
      </w:r>
      <w:r>
        <w:rPr>
          <w:rFonts w:ascii="宋体" w:hAnsi="宋体" w:eastAsia="宋体" w:cs="宋体"/>
          <w:spacing w:val="-43"/>
          <w:sz w:val="24"/>
          <w:szCs w:val="24"/>
        </w:rPr>
        <w:t xml:space="preserve"> </w:t>
      </w:r>
      <w:r>
        <w:rPr>
          <w:rFonts w:ascii="Times New Roman" w:hAnsi="Times New Roman" w:eastAsia="Times New Roman" w:cs="Times New Roman"/>
          <w:spacing w:val="-9"/>
          <w:sz w:val="24"/>
          <w:szCs w:val="24"/>
        </w:rPr>
        <w:t>3</w:t>
      </w:r>
      <w:r>
        <w:rPr>
          <w:rFonts w:ascii="Times New Roman" w:hAnsi="Times New Roman" w:eastAsia="Times New Roman" w:cs="Times New Roman"/>
          <w:spacing w:val="28"/>
          <w:w w:val="101"/>
          <w:sz w:val="24"/>
          <w:szCs w:val="24"/>
        </w:rPr>
        <w:t xml:space="preserve"> </w:t>
      </w:r>
      <w:r>
        <w:rPr>
          <w:rFonts w:ascii="宋体" w:hAnsi="宋体" w:eastAsia="宋体" w:cs="宋体"/>
          <w:spacing w:val="-9"/>
          <w:sz w:val="24"/>
          <w:szCs w:val="24"/>
        </w:rPr>
        <w:t>时</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40</w:t>
      </w:r>
      <w:r>
        <w:rPr>
          <w:rFonts w:ascii="Times New Roman" w:hAnsi="Times New Roman" w:eastAsia="Times New Roman" w:cs="Times New Roman"/>
          <w:spacing w:val="19"/>
          <w:w w:val="101"/>
          <w:sz w:val="24"/>
          <w:szCs w:val="24"/>
        </w:rPr>
        <w:t xml:space="preserve"> </w:t>
      </w:r>
      <w:r>
        <w:rPr>
          <w:rFonts w:ascii="宋体" w:hAnsi="宋体" w:eastAsia="宋体" w:cs="宋体"/>
          <w:spacing w:val="-9"/>
          <w:sz w:val="24"/>
          <w:szCs w:val="24"/>
        </w:rPr>
        <w:t xml:space="preserve">分左右，宁波一化工厂满载 </w:t>
      </w:r>
      <w:r>
        <w:rPr>
          <w:rFonts w:ascii="Times New Roman" w:hAnsi="Times New Roman" w:eastAsia="Times New Roman" w:cs="Times New Roman"/>
          <w:spacing w:val="-9"/>
          <w:sz w:val="24"/>
          <w:szCs w:val="24"/>
        </w:rPr>
        <w:t>15</w:t>
      </w:r>
      <w:r>
        <w:rPr>
          <w:rFonts w:ascii="Times New Roman" w:hAnsi="Times New Roman" w:eastAsia="Times New Roman" w:cs="Times New Roman"/>
          <w:spacing w:val="27"/>
          <w:w w:val="101"/>
          <w:sz w:val="24"/>
          <w:szCs w:val="24"/>
        </w:rPr>
        <w:t xml:space="preserve"> </w:t>
      </w:r>
      <w:r>
        <w:rPr>
          <w:rFonts w:ascii="宋体" w:hAnsi="宋体" w:eastAsia="宋体" w:cs="宋体"/>
          <w:spacing w:val="-9"/>
          <w:sz w:val="24"/>
          <w:szCs w:val="24"/>
        </w:rPr>
        <w:t>吨</w:t>
      </w:r>
      <w:r>
        <w:rPr>
          <w:rFonts w:ascii="宋体" w:hAnsi="宋体" w:eastAsia="宋体" w:cs="宋体"/>
          <w:sz w:val="24"/>
          <w:szCs w:val="24"/>
        </w:rPr>
        <w:t xml:space="preserve"> </w:t>
      </w:r>
      <w:r>
        <w:rPr>
          <w:rFonts w:ascii="宋体" w:hAnsi="宋体" w:eastAsia="宋体" w:cs="宋体"/>
          <w:spacing w:val="-18"/>
          <w:sz w:val="24"/>
          <w:szCs w:val="24"/>
        </w:rPr>
        <w:t>丙酮的槽车，</w:t>
      </w:r>
      <w:r>
        <w:rPr>
          <w:rFonts w:ascii="宋体" w:hAnsi="宋体" w:eastAsia="宋体" w:cs="宋体"/>
          <w:spacing w:val="40"/>
          <w:sz w:val="24"/>
          <w:szCs w:val="24"/>
        </w:rPr>
        <w:t xml:space="preserve"> </w:t>
      </w:r>
      <w:r>
        <w:rPr>
          <w:rFonts w:ascii="宋体" w:hAnsi="宋体" w:eastAsia="宋体" w:cs="宋体"/>
          <w:spacing w:val="-18"/>
          <w:sz w:val="24"/>
          <w:szCs w:val="24"/>
        </w:rPr>
        <w:t>途径</w:t>
      </w:r>
      <w:r>
        <w:rPr>
          <w:rFonts w:ascii="宋体" w:hAnsi="宋体" w:eastAsia="宋体" w:cs="宋体"/>
          <w:spacing w:val="-32"/>
          <w:sz w:val="24"/>
          <w:szCs w:val="24"/>
        </w:rPr>
        <w:t xml:space="preserve"> </w:t>
      </w:r>
      <w:r>
        <w:rPr>
          <w:rFonts w:ascii="Times New Roman" w:hAnsi="Times New Roman" w:eastAsia="Times New Roman" w:cs="Times New Roman"/>
          <w:spacing w:val="-18"/>
          <w:sz w:val="24"/>
          <w:szCs w:val="24"/>
        </w:rPr>
        <w:t>104</w:t>
      </w:r>
      <w:r>
        <w:rPr>
          <w:rFonts w:ascii="Times New Roman" w:hAnsi="Times New Roman" w:eastAsia="Times New Roman" w:cs="Times New Roman"/>
          <w:spacing w:val="33"/>
          <w:w w:val="101"/>
          <w:sz w:val="24"/>
          <w:szCs w:val="24"/>
        </w:rPr>
        <w:t xml:space="preserve"> </w:t>
      </w:r>
      <w:r>
        <w:rPr>
          <w:rFonts w:ascii="宋体" w:hAnsi="宋体" w:eastAsia="宋体" w:cs="宋体"/>
          <w:spacing w:val="-18"/>
          <w:sz w:val="24"/>
          <w:szCs w:val="24"/>
        </w:rPr>
        <w:t>国道临海汛桥利庄路段时，</w:t>
      </w:r>
      <w:r>
        <w:rPr>
          <w:rFonts w:ascii="宋体" w:hAnsi="宋体" w:eastAsia="宋体" w:cs="宋体"/>
          <w:spacing w:val="35"/>
          <w:sz w:val="24"/>
          <w:szCs w:val="24"/>
        </w:rPr>
        <w:t xml:space="preserve"> </w:t>
      </w:r>
      <w:r>
        <w:rPr>
          <w:rFonts w:ascii="宋体" w:hAnsi="宋体" w:eastAsia="宋体" w:cs="宋体"/>
          <w:spacing w:val="-18"/>
          <w:sz w:val="24"/>
          <w:szCs w:val="24"/>
        </w:rPr>
        <w:t>不慎翻入路边水沟里，</w:t>
      </w:r>
      <w:r>
        <w:rPr>
          <w:rFonts w:ascii="宋体" w:hAnsi="宋体" w:eastAsia="宋体" w:cs="宋体"/>
          <w:spacing w:val="47"/>
          <w:sz w:val="24"/>
          <w:szCs w:val="24"/>
        </w:rPr>
        <w:t xml:space="preserve"> </w:t>
      </w:r>
      <w:r>
        <w:rPr>
          <w:rFonts w:ascii="宋体" w:hAnsi="宋体" w:eastAsia="宋体" w:cs="宋体"/>
          <w:spacing w:val="-18"/>
          <w:sz w:val="24"/>
          <w:szCs w:val="24"/>
        </w:rPr>
        <w:t>当即油</w:t>
      </w:r>
      <w:r>
        <w:rPr>
          <w:rFonts w:ascii="宋体" w:hAnsi="宋体" w:eastAsia="宋体" w:cs="宋体"/>
          <w:sz w:val="24"/>
          <w:szCs w:val="24"/>
        </w:rPr>
        <w:t xml:space="preserve"> </w:t>
      </w:r>
      <w:r>
        <w:rPr>
          <w:rFonts w:ascii="宋体" w:hAnsi="宋体" w:eastAsia="宋体" w:cs="宋体"/>
          <w:spacing w:val="-7"/>
          <w:sz w:val="24"/>
          <w:szCs w:val="24"/>
        </w:rPr>
        <w:t>箱挤压破裂，罐体严重变形，</w:t>
      </w:r>
      <w:r>
        <w:rPr>
          <w:rFonts w:ascii="宋体" w:hAnsi="宋体" w:eastAsia="宋体" w:cs="宋体"/>
          <w:spacing w:val="63"/>
          <w:sz w:val="24"/>
          <w:szCs w:val="24"/>
        </w:rPr>
        <w:t xml:space="preserve"> </w:t>
      </w:r>
      <w:r>
        <w:rPr>
          <w:rFonts w:ascii="Times New Roman" w:hAnsi="Times New Roman" w:eastAsia="Times New Roman" w:cs="Times New Roman"/>
          <w:spacing w:val="-7"/>
          <w:sz w:val="24"/>
          <w:szCs w:val="24"/>
        </w:rPr>
        <w:t>7</w:t>
      </w:r>
      <w:r>
        <w:rPr>
          <w:rFonts w:ascii="Times New Roman" w:hAnsi="Times New Roman" w:eastAsia="Times New Roman" w:cs="Times New Roman"/>
          <w:spacing w:val="21"/>
          <w:sz w:val="24"/>
          <w:szCs w:val="24"/>
        </w:rPr>
        <w:t xml:space="preserve"> </w:t>
      </w:r>
      <w:r>
        <w:rPr>
          <w:rFonts w:ascii="宋体" w:hAnsi="宋体" w:eastAsia="宋体" w:cs="宋体"/>
          <w:spacing w:val="-7"/>
          <w:sz w:val="24"/>
          <w:szCs w:val="24"/>
        </w:rPr>
        <w:t>吨丙酮泄漏在居民区</w:t>
      </w:r>
      <w:r>
        <w:rPr>
          <w:rFonts w:ascii="宋体" w:hAnsi="宋体" w:eastAsia="宋体" w:cs="宋体"/>
          <w:spacing w:val="-8"/>
          <w:sz w:val="24"/>
          <w:szCs w:val="24"/>
        </w:rPr>
        <w:t>旁，前后近</w:t>
      </w:r>
      <w:r>
        <w:rPr>
          <w:rFonts w:ascii="宋体" w:hAnsi="宋体" w:eastAsia="宋体" w:cs="宋体"/>
          <w:spacing w:val="-54"/>
          <w:sz w:val="24"/>
          <w:szCs w:val="24"/>
        </w:rPr>
        <w:t xml:space="preserve"> </w:t>
      </w:r>
      <w:r>
        <w:rPr>
          <w:rFonts w:ascii="Times New Roman" w:hAnsi="Times New Roman" w:eastAsia="Times New Roman" w:cs="Times New Roman"/>
          <w:spacing w:val="-8"/>
          <w:sz w:val="24"/>
          <w:szCs w:val="24"/>
        </w:rPr>
        <w:t xml:space="preserve">200 </w:t>
      </w:r>
      <w:r>
        <w:rPr>
          <w:rFonts w:ascii="宋体" w:hAnsi="宋体" w:eastAsia="宋体" w:cs="宋体"/>
          <w:spacing w:val="-8"/>
          <w:sz w:val="24"/>
          <w:szCs w:val="24"/>
        </w:rPr>
        <w:t>辆车受阻，</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300 </w:t>
      </w:r>
      <w:r>
        <w:rPr>
          <w:rFonts w:ascii="宋体" w:hAnsi="宋体" w:eastAsia="宋体" w:cs="宋体"/>
          <w:spacing w:val="-1"/>
          <w:sz w:val="24"/>
          <w:szCs w:val="24"/>
        </w:rPr>
        <w:t>米长的水沟上都漂浮着随时可能爆炸的可燃丙酮，且事故发</w:t>
      </w:r>
      <w:r>
        <w:rPr>
          <w:rFonts w:ascii="宋体" w:hAnsi="宋体" w:eastAsia="宋体" w:cs="宋体"/>
          <w:spacing w:val="-2"/>
          <w:sz w:val="24"/>
          <w:szCs w:val="24"/>
        </w:rPr>
        <w:t>生地距汛桥镇中</w:t>
      </w:r>
      <w:r>
        <w:rPr>
          <w:rFonts w:ascii="宋体" w:hAnsi="宋体" w:eastAsia="宋体" w:cs="宋体"/>
          <w:sz w:val="24"/>
          <w:szCs w:val="24"/>
        </w:rPr>
        <w:t xml:space="preserve"> </w:t>
      </w:r>
      <w:r>
        <w:rPr>
          <w:rFonts w:ascii="宋体" w:hAnsi="宋体" w:eastAsia="宋体" w:cs="宋体"/>
          <w:spacing w:val="-13"/>
          <w:sz w:val="24"/>
          <w:szCs w:val="24"/>
        </w:rPr>
        <w:t>心城区不足</w:t>
      </w:r>
      <w:r>
        <w:rPr>
          <w:rFonts w:ascii="宋体" w:hAnsi="宋体" w:eastAsia="宋体" w:cs="宋体"/>
          <w:spacing w:val="-47"/>
          <w:sz w:val="24"/>
          <w:szCs w:val="24"/>
        </w:rPr>
        <w:t xml:space="preserve"> </w:t>
      </w:r>
      <w:r>
        <w:rPr>
          <w:rFonts w:ascii="Times New Roman" w:hAnsi="Times New Roman" w:eastAsia="Times New Roman" w:cs="Times New Roman"/>
          <w:spacing w:val="-13"/>
          <w:sz w:val="24"/>
          <w:szCs w:val="24"/>
        </w:rPr>
        <w:t xml:space="preserve">500 </w:t>
      </w:r>
      <w:r>
        <w:rPr>
          <w:rFonts w:ascii="宋体" w:hAnsi="宋体" w:eastAsia="宋体" w:cs="宋体"/>
          <w:spacing w:val="-13"/>
          <w:sz w:val="24"/>
          <w:szCs w:val="24"/>
        </w:rPr>
        <w:t>米，</w:t>
      </w:r>
      <w:r>
        <w:rPr>
          <w:rFonts w:ascii="宋体" w:hAnsi="宋体" w:eastAsia="宋体" w:cs="宋体"/>
          <w:spacing w:val="-37"/>
          <w:sz w:val="24"/>
          <w:szCs w:val="24"/>
        </w:rPr>
        <w:t xml:space="preserve"> </w:t>
      </w:r>
      <w:r>
        <w:rPr>
          <w:rFonts w:ascii="宋体" w:hAnsi="宋体" w:eastAsia="宋体" w:cs="宋体"/>
          <w:spacing w:val="-13"/>
          <w:sz w:val="24"/>
          <w:szCs w:val="24"/>
        </w:rPr>
        <w:t>两侧有大量居民住房，</w:t>
      </w:r>
      <w:r>
        <w:rPr>
          <w:rFonts w:ascii="宋体" w:hAnsi="宋体" w:eastAsia="宋体" w:cs="宋体"/>
          <w:spacing w:val="52"/>
          <w:sz w:val="24"/>
          <w:szCs w:val="24"/>
        </w:rPr>
        <w:t xml:space="preserve"> </w:t>
      </w:r>
      <w:r>
        <w:rPr>
          <w:rFonts w:ascii="宋体" w:hAnsi="宋体" w:eastAsia="宋体" w:cs="宋体"/>
          <w:spacing w:val="-13"/>
          <w:sz w:val="24"/>
          <w:szCs w:val="24"/>
        </w:rPr>
        <w:t>还有一家化工厂。</w:t>
      </w:r>
      <w:r>
        <w:rPr>
          <w:rFonts w:ascii="宋体" w:hAnsi="宋体" w:eastAsia="宋体" w:cs="宋体"/>
          <w:spacing w:val="31"/>
          <w:sz w:val="24"/>
          <w:szCs w:val="24"/>
        </w:rPr>
        <w:t xml:space="preserve"> </w:t>
      </w:r>
      <w:r>
        <w:rPr>
          <w:rFonts w:ascii="Times New Roman" w:hAnsi="Times New Roman" w:eastAsia="Times New Roman" w:cs="Times New Roman"/>
          <w:spacing w:val="-13"/>
          <w:sz w:val="24"/>
          <w:szCs w:val="24"/>
        </w:rPr>
        <w:t>4</w:t>
      </w:r>
      <w:r>
        <w:rPr>
          <w:rFonts w:ascii="Times New Roman" w:hAnsi="Times New Roman" w:eastAsia="Times New Roman" w:cs="Times New Roman"/>
          <w:spacing w:val="21"/>
          <w:sz w:val="24"/>
          <w:szCs w:val="24"/>
        </w:rPr>
        <w:t xml:space="preserve"> </w:t>
      </w:r>
      <w:r>
        <w:rPr>
          <w:rFonts w:ascii="宋体" w:hAnsi="宋体" w:eastAsia="宋体" w:cs="宋体"/>
          <w:spacing w:val="-13"/>
          <w:sz w:val="24"/>
          <w:szCs w:val="24"/>
        </w:rPr>
        <w:t>时许，临海市公</w:t>
      </w:r>
      <w:r>
        <w:rPr>
          <w:rFonts w:ascii="宋体" w:hAnsi="宋体" w:eastAsia="宋体" w:cs="宋体"/>
          <w:sz w:val="24"/>
          <w:szCs w:val="24"/>
        </w:rPr>
        <w:t xml:space="preserve"> </w:t>
      </w:r>
      <w:r>
        <w:rPr>
          <w:rFonts w:ascii="宋体" w:hAnsi="宋体" w:eastAsia="宋体" w:cs="宋体"/>
          <w:spacing w:val="-13"/>
          <w:sz w:val="24"/>
          <w:szCs w:val="24"/>
        </w:rPr>
        <w:t>安、交警、消防、环保等部门迅速出动，</w:t>
      </w:r>
      <w:r>
        <w:rPr>
          <w:rFonts w:ascii="宋体" w:hAnsi="宋体" w:eastAsia="宋体" w:cs="宋体"/>
          <w:spacing w:val="64"/>
          <w:sz w:val="24"/>
          <w:szCs w:val="24"/>
        </w:rPr>
        <w:t xml:space="preserve"> </w:t>
      </w:r>
      <w:r>
        <w:rPr>
          <w:rFonts w:ascii="宋体" w:hAnsi="宋体" w:eastAsia="宋体" w:cs="宋体"/>
          <w:spacing w:val="-13"/>
          <w:sz w:val="24"/>
          <w:szCs w:val="24"/>
        </w:rPr>
        <w:t>到现场实施紧急抢救，</w:t>
      </w:r>
      <w:r>
        <w:rPr>
          <w:rFonts w:ascii="宋体" w:hAnsi="宋体" w:eastAsia="宋体" w:cs="宋体"/>
          <w:spacing w:val="45"/>
          <w:sz w:val="24"/>
          <w:szCs w:val="24"/>
        </w:rPr>
        <w:t xml:space="preserve"> </w:t>
      </w:r>
      <w:r>
        <w:rPr>
          <w:rFonts w:ascii="宋体" w:hAnsi="宋体" w:eastAsia="宋体" w:cs="宋体"/>
          <w:spacing w:val="-13"/>
          <w:sz w:val="24"/>
          <w:szCs w:val="24"/>
        </w:rPr>
        <w:t>封锁道路、疏散</w:t>
      </w:r>
      <w:r>
        <w:rPr>
          <w:rFonts w:ascii="宋体" w:hAnsi="宋体" w:eastAsia="宋体" w:cs="宋体"/>
          <w:sz w:val="24"/>
          <w:szCs w:val="24"/>
        </w:rPr>
        <w:t xml:space="preserve"> </w:t>
      </w:r>
      <w:r>
        <w:rPr>
          <w:rFonts w:ascii="宋体" w:hAnsi="宋体" w:eastAsia="宋体" w:cs="宋体"/>
          <w:spacing w:val="-8"/>
          <w:sz w:val="24"/>
          <w:szCs w:val="24"/>
        </w:rPr>
        <w:t>车辆、并到居民家中组织转移了</w:t>
      </w:r>
      <w:r>
        <w:rPr>
          <w:rFonts w:ascii="宋体" w:hAnsi="宋体" w:eastAsia="宋体" w:cs="宋体"/>
          <w:spacing w:val="-48"/>
          <w:sz w:val="24"/>
          <w:szCs w:val="24"/>
        </w:rPr>
        <w:t xml:space="preserve"> </w:t>
      </w:r>
      <w:r>
        <w:rPr>
          <w:rFonts w:ascii="Times New Roman" w:hAnsi="Times New Roman" w:eastAsia="Times New Roman" w:cs="Times New Roman"/>
          <w:spacing w:val="-8"/>
          <w:sz w:val="24"/>
          <w:szCs w:val="24"/>
        </w:rPr>
        <w:t>500</w:t>
      </w:r>
      <w:r>
        <w:rPr>
          <w:rFonts w:ascii="Times New Roman" w:hAnsi="Times New Roman" w:eastAsia="Times New Roman" w:cs="Times New Roman"/>
          <w:spacing w:val="21"/>
          <w:sz w:val="24"/>
          <w:szCs w:val="24"/>
        </w:rPr>
        <w:t xml:space="preserve"> </w:t>
      </w:r>
      <w:r>
        <w:rPr>
          <w:rFonts w:ascii="宋体" w:hAnsi="宋体" w:eastAsia="宋体" w:cs="宋体"/>
          <w:spacing w:val="-8"/>
          <w:sz w:val="24"/>
          <w:szCs w:val="24"/>
        </w:rPr>
        <w:t>多名群众。同时，</w:t>
      </w:r>
      <w:r>
        <w:rPr>
          <w:rFonts w:ascii="宋体" w:hAnsi="宋体" w:eastAsia="宋体" w:cs="宋体"/>
          <w:spacing w:val="35"/>
          <w:sz w:val="24"/>
          <w:szCs w:val="24"/>
        </w:rPr>
        <w:t xml:space="preserve"> </w:t>
      </w:r>
      <w:r>
        <w:rPr>
          <w:rFonts w:ascii="宋体" w:hAnsi="宋体" w:eastAsia="宋体" w:cs="宋体"/>
          <w:spacing w:val="-8"/>
          <w:sz w:val="24"/>
          <w:szCs w:val="24"/>
        </w:rPr>
        <w:t>为防止侧翻槽车</w:t>
      </w:r>
      <w:r>
        <w:rPr>
          <w:rFonts w:ascii="宋体" w:hAnsi="宋体" w:eastAsia="宋体" w:cs="宋体"/>
          <w:spacing w:val="-9"/>
          <w:sz w:val="24"/>
          <w:szCs w:val="24"/>
        </w:rPr>
        <w:t>滑动产生</w:t>
      </w:r>
      <w:r>
        <w:rPr>
          <w:rFonts w:ascii="宋体" w:hAnsi="宋体" w:eastAsia="宋体" w:cs="宋体"/>
          <w:sz w:val="24"/>
          <w:szCs w:val="24"/>
        </w:rPr>
        <w:t xml:space="preserve"> </w:t>
      </w:r>
      <w:r>
        <w:rPr>
          <w:rFonts w:ascii="宋体" w:hAnsi="宋体" w:eastAsia="宋体" w:cs="宋体"/>
          <w:spacing w:val="-17"/>
          <w:sz w:val="24"/>
          <w:szCs w:val="24"/>
        </w:rPr>
        <w:t>火花引起爆炸，</w:t>
      </w:r>
      <w:r>
        <w:rPr>
          <w:rFonts w:ascii="宋体" w:hAnsi="宋体" w:eastAsia="宋体" w:cs="宋体"/>
          <w:spacing w:val="36"/>
          <w:sz w:val="24"/>
          <w:szCs w:val="24"/>
        </w:rPr>
        <w:t xml:space="preserve"> </w:t>
      </w:r>
      <w:r>
        <w:rPr>
          <w:rFonts w:ascii="宋体" w:hAnsi="宋体" w:eastAsia="宋体" w:cs="宋体"/>
          <w:spacing w:val="-17"/>
          <w:sz w:val="24"/>
          <w:szCs w:val="24"/>
        </w:rPr>
        <w:t>消防队员用水实施冷却，</w:t>
      </w:r>
      <w:r>
        <w:rPr>
          <w:rFonts w:ascii="宋体" w:hAnsi="宋体" w:eastAsia="宋体" w:cs="宋体"/>
          <w:spacing w:val="34"/>
          <w:sz w:val="24"/>
          <w:szCs w:val="24"/>
        </w:rPr>
        <w:t xml:space="preserve"> </w:t>
      </w:r>
      <w:r>
        <w:rPr>
          <w:rFonts w:ascii="宋体" w:hAnsi="宋体" w:eastAsia="宋体" w:cs="宋体"/>
          <w:spacing w:val="-17"/>
          <w:sz w:val="24"/>
          <w:szCs w:val="24"/>
        </w:rPr>
        <w:t>用水将</w:t>
      </w:r>
      <w:r>
        <w:rPr>
          <w:rFonts w:ascii="宋体" w:hAnsi="宋体" w:eastAsia="宋体" w:cs="宋体"/>
          <w:spacing w:val="-50"/>
          <w:sz w:val="24"/>
          <w:szCs w:val="24"/>
        </w:rPr>
        <w:t xml:space="preserve"> </w:t>
      </w:r>
      <w:r>
        <w:rPr>
          <w:rFonts w:ascii="Times New Roman" w:hAnsi="Times New Roman" w:eastAsia="Times New Roman" w:cs="Times New Roman"/>
          <w:spacing w:val="-17"/>
          <w:sz w:val="24"/>
          <w:szCs w:val="24"/>
        </w:rPr>
        <w:t>7</w:t>
      </w:r>
      <w:r>
        <w:rPr>
          <w:rFonts w:ascii="Times New Roman" w:hAnsi="Times New Roman" w:eastAsia="Times New Roman" w:cs="Times New Roman"/>
          <w:spacing w:val="21"/>
          <w:sz w:val="24"/>
          <w:szCs w:val="24"/>
        </w:rPr>
        <w:t xml:space="preserve"> </w:t>
      </w:r>
      <w:r>
        <w:rPr>
          <w:rFonts w:ascii="宋体" w:hAnsi="宋体" w:eastAsia="宋体" w:cs="宋体"/>
          <w:spacing w:val="-17"/>
          <w:sz w:val="24"/>
          <w:szCs w:val="24"/>
        </w:rPr>
        <w:t>吨泄漏丙酮全</w:t>
      </w:r>
      <w:r>
        <w:rPr>
          <w:rFonts w:ascii="宋体" w:hAnsi="宋体" w:eastAsia="宋体" w:cs="宋体"/>
          <w:spacing w:val="-18"/>
          <w:sz w:val="24"/>
          <w:szCs w:val="24"/>
        </w:rPr>
        <w:t>部稀释，</w:t>
      </w:r>
      <w:r>
        <w:rPr>
          <w:rFonts w:ascii="宋体" w:hAnsi="宋体" w:eastAsia="宋体" w:cs="宋体"/>
          <w:spacing w:val="37"/>
          <w:sz w:val="24"/>
          <w:szCs w:val="24"/>
        </w:rPr>
        <w:t xml:space="preserve"> </w:t>
      </w:r>
      <w:r>
        <w:rPr>
          <w:rFonts w:ascii="宋体" w:hAnsi="宋体" w:eastAsia="宋体" w:cs="宋体"/>
          <w:spacing w:val="-18"/>
          <w:sz w:val="24"/>
          <w:szCs w:val="24"/>
        </w:rPr>
        <w:t>并将槽</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车解体，吊离现场，整个过程持续几个小时。</w:t>
      </w:r>
    </w:p>
    <w:p>
      <w:pPr>
        <w:spacing w:before="180" w:line="220" w:lineRule="auto"/>
        <w:ind w:left="52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）杭金衢高速公路义乌上溪段事故</w:t>
      </w:r>
    </w:p>
    <w:p>
      <w:pPr>
        <w:spacing w:before="184" w:line="465" w:lineRule="exact"/>
        <w:ind w:left="529"/>
        <w:rPr>
          <w:rFonts w:ascii="Times New Roman" w:hAnsi="Times New Roman" w:eastAsia="Times New Roman" w:cs="Times New Roman"/>
          <w:sz w:val="24"/>
          <w:szCs w:val="24"/>
        </w:rPr>
      </w:pPr>
      <w:r>
        <w:rPr>
          <w:rFonts w:ascii="宋体" w:hAnsi="宋体" w:eastAsia="宋体" w:cs="宋体"/>
          <w:spacing w:val="-8"/>
          <w:position w:val="17"/>
          <w:sz w:val="24"/>
          <w:szCs w:val="24"/>
        </w:rPr>
        <w:t xml:space="preserve">时间： </w:t>
      </w:r>
      <w:r>
        <w:rPr>
          <w:rFonts w:ascii="Times New Roman" w:hAnsi="Times New Roman" w:eastAsia="Times New Roman" w:cs="Times New Roman"/>
          <w:spacing w:val="-8"/>
          <w:position w:val="17"/>
          <w:sz w:val="24"/>
          <w:szCs w:val="24"/>
        </w:rPr>
        <w:t>2004</w:t>
      </w:r>
      <w:r>
        <w:rPr>
          <w:rFonts w:ascii="Times New Roman" w:hAnsi="Times New Roman" w:eastAsia="Times New Roman" w:cs="Times New Roman"/>
          <w:spacing w:val="13"/>
          <w:position w:val="17"/>
          <w:sz w:val="24"/>
          <w:szCs w:val="24"/>
        </w:rPr>
        <w:t xml:space="preserve"> </w:t>
      </w:r>
      <w:r>
        <w:rPr>
          <w:rFonts w:ascii="宋体" w:hAnsi="宋体" w:eastAsia="宋体" w:cs="宋体"/>
          <w:spacing w:val="-8"/>
          <w:position w:val="17"/>
          <w:sz w:val="24"/>
          <w:szCs w:val="24"/>
        </w:rPr>
        <w:t>年</w:t>
      </w:r>
      <w:r>
        <w:rPr>
          <w:rFonts w:ascii="宋体" w:hAnsi="宋体" w:eastAsia="宋体" w:cs="宋体"/>
          <w:spacing w:val="-46"/>
          <w:position w:val="17"/>
          <w:sz w:val="24"/>
          <w:szCs w:val="24"/>
        </w:rPr>
        <w:t xml:space="preserve"> </w:t>
      </w:r>
      <w:r>
        <w:rPr>
          <w:rFonts w:ascii="Times New Roman" w:hAnsi="Times New Roman" w:eastAsia="Times New Roman" w:cs="Times New Roman"/>
          <w:spacing w:val="-8"/>
          <w:position w:val="17"/>
          <w:sz w:val="24"/>
          <w:szCs w:val="24"/>
        </w:rPr>
        <w:t>5</w:t>
      </w:r>
      <w:r>
        <w:rPr>
          <w:rFonts w:ascii="Times New Roman" w:hAnsi="Times New Roman" w:eastAsia="Times New Roman" w:cs="Times New Roman"/>
          <w:spacing w:val="17"/>
          <w:w w:val="101"/>
          <w:position w:val="17"/>
          <w:sz w:val="24"/>
          <w:szCs w:val="24"/>
        </w:rPr>
        <w:t xml:space="preserve"> </w:t>
      </w:r>
      <w:r>
        <w:rPr>
          <w:rFonts w:ascii="宋体" w:hAnsi="宋体" w:eastAsia="宋体" w:cs="宋体"/>
          <w:spacing w:val="-8"/>
          <w:position w:val="17"/>
          <w:sz w:val="24"/>
          <w:szCs w:val="24"/>
        </w:rPr>
        <w:t>月</w:t>
      </w:r>
      <w:r>
        <w:rPr>
          <w:rFonts w:ascii="宋体" w:hAnsi="宋体" w:eastAsia="宋体" w:cs="宋体"/>
          <w:spacing w:val="-30"/>
          <w:position w:val="17"/>
          <w:sz w:val="24"/>
          <w:szCs w:val="24"/>
        </w:rPr>
        <w:t xml:space="preserve"> </w:t>
      </w:r>
      <w:r>
        <w:rPr>
          <w:rFonts w:ascii="Times New Roman" w:hAnsi="Times New Roman" w:eastAsia="Times New Roman" w:cs="Times New Roman"/>
          <w:spacing w:val="-8"/>
          <w:position w:val="17"/>
          <w:sz w:val="24"/>
          <w:szCs w:val="24"/>
        </w:rPr>
        <w:t xml:space="preserve">16  </w:t>
      </w:r>
      <w:r>
        <w:rPr>
          <w:rFonts w:ascii="宋体" w:hAnsi="宋体" w:eastAsia="宋体" w:cs="宋体"/>
          <w:spacing w:val="-8"/>
          <w:position w:val="17"/>
          <w:sz w:val="24"/>
          <w:szCs w:val="24"/>
        </w:rPr>
        <w:t>日下午。地点：上溪高速公路义乌段。下午</w:t>
      </w:r>
      <w:r>
        <w:rPr>
          <w:rFonts w:ascii="宋体" w:hAnsi="宋体" w:eastAsia="宋体" w:cs="宋体"/>
          <w:spacing w:val="-28"/>
          <w:position w:val="17"/>
          <w:sz w:val="24"/>
          <w:szCs w:val="24"/>
        </w:rPr>
        <w:t xml:space="preserve"> </w:t>
      </w:r>
      <w:r>
        <w:rPr>
          <w:rFonts w:ascii="Times New Roman" w:hAnsi="Times New Roman" w:eastAsia="Times New Roman" w:cs="Times New Roman"/>
          <w:spacing w:val="-8"/>
          <w:position w:val="17"/>
          <w:sz w:val="24"/>
          <w:szCs w:val="24"/>
        </w:rPr>
        <w:t>17</w:t>
      </w:r>
      <w:r>
        <w:rPr>
          <w:rFonts w:ascii="Times New Roman" w:hAnsi="Times New Roman" w:eastAsia="Times New Roman" w:cs="Times New Roman"/>
          <w:spacing w:val="23"/>
          <w:position w:val="17"/>
          <w:sz w:val="24"/>
          <w:szCs w:val="24"/>
        </w:rPr>
        <w:t xml:space="preserve"> </w:t>
      </w:r>
      <w:r>
        <w:rPr>
          <w:rFonts w:ascii="宋体" w:hAnsi="宋体" w:eastAsia="宋体" w:cs="宋体"/>
          <w:spacing w:val="-8"/>
          <w:position w:val="17"/>
          <w:sz w:val="24"/>
          <w:szCs w:val="24"/>
        </w:rPr>
        <w:t>时</w:t>
      </w:r>
      <w:r>
        <w:rPr>
          <w:rFonts w:ascii="宋体" w:hAnsi="宋体" w:eastAsia="宋体" w:cs="宋体"/>
          <w:spacing w:val="-46"/>
          <w:position w:val="17"/>
          <w:sz w:val="24"/>
          <w:szCs w:val="24"/>
        </w:rPr>
        <w:t xml:space="preserve"> </w:t>
      </w:r>
      <w:r>
        <w:rPr>
          <w:rFonts w:ascii="Times New Roman" w:hAnsi="Times New Roman" w:eastAsia="Times New Roman" w:cs="Times New Roman"/>
          <w:spacing w:val="-9"/>
          <w:position w:val="17"/>
          <w:sz w:val="24"/>
          <w:szCs w:val="24"/>
        </w:rPr>
        <w:t>50</w:t>
      </w:r>
    </w:p>
    <w:p>
      <w:pPr>
        <w:spacing w:before="1" w:line="219" w:lineRule="auto"/>
        <w:ind w:left="41"/>
        <w:rPr>
          <w:rFonts w:ascii="宋体" w:hAnsi="宋体" w:eastAsia="宋体" w:cs="宋体"/>
          <w:sz w:val="24"/>
          <w:szCs w:val="24"/>
        </w:rPr>
      </w:pPr>
      <w:r>
        <w:rPr>
          <w:rFonts w:ascii="宋体" w:hAnsi="宋体" w:eastAsia="宋体" w:cs="宋体"/>
          <w:spacing w:val="-9"/>
          <w:sz w:val="24"/>
          <w:szCs w:val="24"/>
        </w:rPr>
        <w:t>分出事，到</w:t>
      </w:r>
      <w:r>
        <w:rPr>
          <w:rFonts w:ascii="宋体" w:hAnsi="宋体" w:eastAsia="宋体" w:cs="宋体"/>
          <w:spacing w:val="-30"/>
          <w:sz w:val="24"/>
          <w:szCs w:val="24"/>
        </w:rPr>
        <w:t xml:space="preserve"> </w:t>
      </w:r>
      <w:r>
        <w:rPr>
          <w:rFonts w:ascii="Times New Roman" w:hAnsi="Times New Roman" w:eastAsia="Times New Roman" w:cs="Times New Roman"/>
          <w:spacing w:val="-9"/>
          <w:sz w:val="24"/>
          <w:szCs w:val="24"/>
        </w:rPr>
        <w:t>17</w:t>
      </w:r>
      <w:r>
        <w:rPr>
          <w:rFonts w:ascii="Times New Roman" w:hAnsi="Times New Roman" w:eastAsia="Times New Roman" w:cs="Times New Roman"/>
          <w:spacing w:val="50"/>
          <w:w w:val="101"/>
          <w:sz w:val="24"/>
          <w:szCs w:val="24"/>
        </w:rPr>
        <w:t xml:space="preserve"> </w:t>
      </w:r>
      <w:r>
        <w:rPr>
          <w:rFonts w:ascii="宋体" w:hAnsi="宋体" w:eastAsia="宋体" w:cs="宋体"/>
          <w:spacing w:val="-9"/>
          <w:sz w:val="24"/>
          <w:szCs w:val="24"/>
        </w:rPr>
        <w:t>日晨</w:t>
      </w:r>
      <w:r>
        <w:rPr>
          <w:rFonts w:ascii="宋体" w:hAnsi="宋体" w:eastAsia="宋体" w:cs="宋体"/>
          <w:spacing w:val="-56"/>
          <w:sz w:val="24"/>
          <w:szCs w:val="24"/>
        </w:rPr>
        <w:t xml:space="preserve"> </w:t>
      </w:r>
      <w:r>
        <w:rPr>
          <w:rFonts w:ascii="Times New Roman" w:hAnsi="Times New Roman" w:eastAsia="Times New Roman" w:cs="Times New Roman"/>
          <w:spacing w:val="-9"/>
          <w:sz w:val="24"/>
          <w:szCs w:val="24"/>
        </w:rPr>
        <w:t>4</w:t>
      </w:r>
      <w:r>
        <w:rPr>
          <w:rFonts w:ascii="Times New Roman" w:hAnsi="Times New Roman" w:eastAsia="Times New Roman" w:cs="Times New Roman"/>
          <w:spacing w:val="21"/>
          <w:sz w:val="24"/>
          <w:szCs w:val="24"/>
        </w:rPr>
        <w:t xml:space="preserve"> </w:t>
      </w:r>
      <w:r>
        <w:rPr>
          <w:rFonts w:ascii="宋体" w:hAnsi="宋体" w:eastAsia="宋体" w:cs="宋体"/>
          <w:spacing w:val="-9"/>
          <w:sz w:val="24"/>
          <w:szCs w:val="24"/>
        </w:rPr>
        <w:t>时清理完结。</w:t>
      </w:r>
    </w:p>
    <w:p>
      <w:pPr>
        <w:spacing w:before="182" w:line="359" w:lineRule="auto"/>
        <w:ind w:left="37" w:right="101" w:firstLine="480"/>
        <w:rPr>
          <w:rFonts w:ascii="宋体" w:hAnsi="宋体" w:eastAsia="宋体" w:cs="宋体"/>
          <w:sz w:val="24"/>
          <w:szCs w:val="24"/>
        </w:rPr>
      </w:pPr>
      <w:r>
        <w:rPr>
          <w:rFonts w:ascii="宋体" w:hAnsi="宋体" w:eastAsia="宋体" w:cs="宋体"/>
          <w:spacing w:val="-13"/>
          <w:sz w:val="24"/>
          <w:szCs w:val="24"/>
        </w:rPr>
        <w:t xml:space="preserve">事故经过： </w:t>
      </w:r>
      <w:r>
        <w:rPr>
          <w:rFonts w:ascii="Times New Roman" w:hAnsi="Times New Roman" w:eastAsia="Times New Roman" w:cs="Times New Roman"/>
          <w:spacing w:val="-13"/>
          <w:sz w:val="24"/>
          <w:szCs w:val="24"/>
        </w:rPr>
        <w:t>5</w:t>
      </w:r>
      <w:r>
        <w:rPr>
          <w:rFonts w:ascii="Times New Roman" w:hAnsi="Times New Roman" w:eastAsia="Times New Roman" w:cs="Times New Roman"/>
          <w:spacing w:val="17"/>
          <w:sz w:val="24"/>
          <w:szCs w:val="24"/>
        </w:rPr>
        <w:t xml:space="preserve"> </w:t>
      </w:r>
      <w:r>
        <w:rPr>
          <w:rFonts w:ascii="宋体" w:hAnsi="宋体" w:eastAsia="宋体" w:cs="宋体"/>
          <w:spacing w:val="-13"/>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3"/>
          <w:sz w:val="24"/>
          <w:szCs w:val="24"/>
        </w:rPr>
        <w:t xml:space="preserve">16  </w:t>
      </w:r>
      <w:r>
        <w:rPr>
          <w:rFonts w:ascii="宋体" w:hAnsi="宋体" w:eastAsia="宋体" w:cs="宋体"/>
          <w:spacing w:val="-13"/>
          <w:sz w:val="24"/>
          <w:szCs w:val="24"/>
        </w:rPr>
        <w:t>日</w:t>
      </w:r>
      <w:r>
        <w:rPr>
          <w:rFonts w:ascii="宋体" w:hAnsi="宋体" w:eastAsia="宋体" w:cs="宋体"/>
          <w:spacing w:val="-32"/>
          <w:sz w:val="24"/>
          <w:szCs w:val="24"/>
        </w:rPr>
        <w:t xml:space="preserve"> </w:t>
      </w:r>
      <w:r>
        <w:rPr>
          <w:rFonts w:ascii="Times New Roman" w:hAnsi="Times New Roman" w:eastAsia="Times New Roman" w:cs="Times New Roman"/>
          <w:spacing w:val="-13"/>
          <w:sz w:val="24"/>
          <w:szCs w:val="24"/>
        </w:rPr>
        <w:t>17</w:t>
      </w:r>
      <w:r>
        <w:rPr>
          <w:rFonts w:ascii="Times New Roman" w:hAnsi="Times New Roman" w:eastAsia="Times New Roman" w:cs="Times New Roman"/>
          <w:spacing w:val="21"/>
          <w:sz w:val="24"/>
          <w:szCs w:val="24"/>
        </w:rPr>
        <w:t xml:space="preserve"> </w:t>
      </w:r>
      <w:r>
        <w:rPr>
          <w:rFonts w:ascii="宋体" w:hAnsi="宋体" w:eastAsia="宋体" w:cs="宋体"/>
          <w:spacing w:val="-13"/>
          <w:sz w:val="24"/>
          <w:szCs w:val="24"/>
        </w:rPr>
        <w:t>时</w:t>
      </w:r>
      <w:r>
        <w:rPr>
          <w:rFonts w:ascii="宋体" w:hAnsi="宋体" w:eastAsia="宋体" w:cs="宋体"/>
          <w:spacing w:val="-52"/>
          <w:sz w:val="24"/>
          <w:szCs w:val="24"/>
        </w:rPr>
        <w:t xml:space="preserve"> </w:t>
      </w:r>
      <w:r>
        <w:rPr>
          <w:rFonts w:ascii="Times New Roman" w:hAnsi="Times New Roman" w:eastAsia="Times New Roman" w:cs="Times New Roman"/>
          <w:spacing w:val="-13"/>
          <w:sz w:val="24"/>
          <w:szCs w:val="24"/>
        </w:rPr>
        <w:t>05</w:t>
      </w:r>
      <w:r>
        <w:rPr>
          <w:rFonts w:ascii="Times New Roman" w:hAnsi="Times New Roman" w:eastAsia="Times New Roman" w:cs="Times New Roman"/>
          <w:spacing w:val="12"/>
          <w:sz w:val="24"/>
          <w:szCs w:val="24"/>
        </w:rPr>
        <w:t xml:space="preserve"> </w:t>
      </w:r>
      <w:r>
        <w:rPr>
          <w:rFonts w:ascii="宋体" w:hAnsi="宋体" w:eastAsia="宋体" w:cs="宋体"/>
          <w:spacing w:val="-13"/>
          <w:sz w:val="24"/>
          <w:szCs w:val="24"/>
        </w:rPr>
        <w:t>分左右， 一辆装着</w:t>
      </w:r>
      <w:r>
        <w:rPr>
          <w:rFonts w:ascii="宋体" w:hAnsi="宋体" w:eastAsia="宋体" w:cs="宋体"/>
          <w:spacing w:val="-31"/>
          <w:sz w:val="24"/>
          <w:szCs w:val="24"/>
        </w:rPr>
        <w:t xml:space="preserve"> </w:t>
      </w:r>
      <w:r>
        <w:rPr>
          <w:rFonts w:ascii="Times New Roman" w:hAnsi="Times New Roman" w:eastAsia="Times New Roman" w:cs="Times New Roman"/>
          <w:spacing w:val="-13"/>
          <w:sz w:val="24"/>
          <w:szCs w:val="24"/>
        </w:rPr>
        <w:t>15</w:t>
      </w:r>
      <w:r>
        <w:rPr>
          <w:rFonts w:ascii="Times New Roman" w:hAnsi="Times New Roman" w:eastAsia="Times New Roman" w:cs="Times New Roman"/>
          <w:spacing w:val="21"/>
          <w:sz w:val="24"/>
          <w:szCs w:val="24"/>
        </w:rPr>
        <w:t xml:space="preserve"> </w:t>
      </w:r>
      <w:r>
        <w:rPr>
          <w:rFonts w:ascii="宋体" w:hAnsi="宋体" w:eastAsia="宋体" w:cs="宋体"/>
          <w:spacing w:val="-13"/>
          <w:sz w:val="24"/>
          <w:szCs w:val="24"/>
        </w:rPr>
        <w:t>吨巨毒氟化氢的槽罐车</w:t>
      </w:r>
      <w:r>
        <w:rPr>
          <w:rFonts w:ascii="宋体" w:hAnsi="宋体" w:eastAsia="宋体" w:cs="宋体"/>
          <w:sz w:val="24"/>
          <w:szCs w:val="24"/>
        </w:rPr>
        <w:t xml:space="preserve"> </w:t>
      </w:r>
      <w:r>
        <w:rPr>
          <w:rFonts w:ascii="宋体" w:hAnsi="宋体" w:eastAsia="宋体" w:cs="宋体"/>
          <w:spacing w:val="-9"/>
          <w:sz w:val="24"/>
          <w:szCs w:val="24"/>
        </w:rPr>
        <w:t>在行到义乌市上溪高速公路路口处时， 槽罐顶部突然</w:t>
      </w:r>
      <w:r>
        <w:rPr>
          <w:rFonts w:ascii="宋体" w:hAnsi="宋体" w:eastAsia="宋体" w:cs="宋体"/>
          <w:spacing w:val="-10"/>
          <w:sz w:val="24"/>
          <w:szCs w:val="24"/>
        </w:rPr>
        <w:t>发生泄漏， 大量的氟化氢从</w:t>
      </w:r>
      <w:r>
        <w:rPr>
          <w:rFonts w:ascii="宋体" w:hAnsi="宋体" w:eastAsia="宋体" w:cs="宋体"/>
          <w:sz w:val="24"/>
          <w:szCs w:val="24"/>
        </w:rPr>
        <w:t xml:space="preserve"> </w:t>
      </w:r>
      <w:r>
        <w:rPr>
          <w:rFonts w:ascii="宋体" w:hAnsi="宋体" w:eastAsia="宋体" w:cs="宋体"/>
          <w:spacing w:val="-4"/>
          <w:sz w:val="24"/>
          <w:szCs w:val="24"/>
        </w:rPr>
        <w:t xml:space="preserve">罐体内倾泄而出，驾驶员立即靠边停车，并向 </w:t>
      </w:r>
      <w:r>
        <w:rPr>
          <w:rFonts w:ascii="Times New Roman" w:hAnsi="Times New Roman" w:eastAsia="Times New Roman" w:cs="Times New Roman"/>
          <w:spacing w:val="-5"/>
          <w:sz w:val="24"/>
          <w:szCs w:val="24"/>
        </w:rPr>
        <w:t>119</w:t>
      </w:r>
      <w:r>
        <w:rPr>
          <w:rFonts w:ascii="Times New Roman" w:hAnsi="Times New Roman" w:eastAsia="Times New Roman" w:cs="Times New Roman"/>
          <w:spacing w:val="19"/>
          <w:w w:val="101"/>
          <w:sz w:val="24"/>
          <w:szCs w:val="24"/>
        </w:rPr>
        <w:t xml:space="preserve"> </w:t>
      </w:r>
      <w:r>
        <w:rPr>
          <w:rFonts w:ascii="宋体" w:hAnsi="宋体" w:eastAsia="宋体" w:cs="宋体"/>
          <w:spacing w:val="-5"/>
          <w:sz w:val="24"/>
          <w:szCs w:val="24"/>
        </w:rPr>
        <w:t xml:space="preserve">和交警部门报警。到 </w:t>
      </w:r>
      <w:r>
        <w:rPr>
          <w:rFonts w:ascii="Times New Roman" w:hAnsi="Times New Roman" w:eastAsia="Times New Roman" w:cs="Times New Roman"/>
          <w:spacing w:val="-5"/>
          <w:sz w:val="24"/>
          <w:szCs w:val="24"/>
        </w:rPr>
        <w:t xml:space="preserve">17  </w:t>
      </w:r>
      <w:r>
        <w:rPr>
          <w:rFonts w:ascii="宋体" w:hAnsi="宋体" w:eastAsia="宋体" w:cs="宋体"/>
          <w:spacing w:val="-5"/>
          <w:sz w:val="24"/>
          <w:szCs w:val="24"/>
        </w:rPr>
        <w:t>日凌</w:t>
      </w:r>
    </w:p>
    <w:p>
      <w:pPr>
        <w:spacing w:line="219" w:lineRule="auto"/>
        <w:ind w:left="38"/>
        <w:rPr>
          <w:rFonts w:ascii="宋体" w:hAnsi="宋体" w:eastAsia="宋体" w:cs="宋体"/>
          <w:sz w:val="24"/>
          <w:szCs w:val="24"/>
        </w:rPr>
      </w:pPr>
      <w:r>
        <w:rPr>
          <w:rFonts w:ascii="宋体" w:hAnsi="宋体" w:eastAsia="宋体" w:cs="宋体"/>
          <w:spacing w:val="-2"/>
          <w:sz w:val="24"/>
          <w:szCs w:val="24"/>
        </w:rPr>
        <w:t>晨</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20"/>
          <w:w w:val="101"/>
          <w:sz w:val="24"/>
          <w:szCs w:val="24"/>
        </w:rPr>
        <w:t xml:space="preserve"> </w:t>
      </w:r>
      <w:r>
        <w:rPr>
          <w:rFonts w:ascii="宋体" w:hAnsi="宋体" w:eastAsia="宋体" w:cs="宋体"/>
          <w:spacing w:val="-2"/>
          <w:sz w:val="24"/>
          <w:szCs w:val="24"/>
        </w:rPr>
        <w:t>时左右，两度发生险情的氟化氢槽罐车泄漏事故得到</w:t>
      </w:r>
      <w:r>
        <w:rPr>
          <w:rFonts w:ascii="宋体" w:hAnsi="宋体" w:eastAsia="宋体" w:cs="宋体"/>
          <w:spacing w:val="-3"/>
          <w:sz w:val="24"/>
          <w:szCs w:val="24"/>
        </w:rPr>
        <w:t>了成功处置。</w:t>
      </w:r>
    </w:p>
    <w:p>
      <w:pPr>
        <w:spacing w:before="182" w:line="220" w:lineRule="auto"/>
        <w:ind w:left="52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）杭新景高速公路新安江高速出口事故</w:t>
      </w:r>
    </w:p>
    <w:p>
      <w:pPr>
        <w:spacing w:before="180" w:line="220" w:lineRule="auto"/>
        <w:ind w:left="529"/>
        <w:rPr>
          <w:rFonts w:ascii="宋体" w:hAnsi="宋体" w:eastAsia="宋体" w:cs="宋体"/>
          <w:sz w:val="24"/>
          <w:szCs w:val="24"/>
        </w:rPr>
      </w:pPr>
      <w:r>
        <w:rPr>
          <w:rFonts w:ascii="宋体" w:hAnsi="宋体" w:eastAsia="宋体" w:cs="宋体"/>
          <w:spacing w:val="-13"/>
          <w:sz w:val="24"/>
          <w:szCs w:val="24"/>
        </w:rPr>
        <w:t xml:space="preserve">时间： </w:t>
      </w:r>
      <w:r>
        <w:rPr>
          <w:rFonts w:ascii="Times New Roman" w:hAnsi="Times New Roman" w:eastAsia="Times New Roman" w:cs="Times New Roman"/>
          <w:spacing w:val="-13"/>
          <w:sz w:val="24"/>
          <w:szCs w:val="24"/>
        </w:rPr>
        <w:t>2011</w:t>
      </w:r>
      <w:r>
        <w:rPr>
          <w:rFonts w:ascii="Times New Roman" w:hAnsi="Times New Roman" w:eastAsia="Times New Roman" w:cs="Times New Roman"/>
          <w:spacing w:val="11"/>
          <w:sz w:val="24"/>
          <w:szCs w:val="24"/>
        </w:rPr>
        <w:t xml:space="preserve"> </w:t>
      </w:r>
      <w:r>
        <w:rPr>
          <w:rFonts w:ascii="宋体" w:hAnsi="宋体" w:eastAsia="宋体" w:cs="宋体"/>
          <w:spacing w:val="-13"/>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13"/>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13"/>
          <w:sz w:val="24"/>
          <w:szCs w:val="24"/>
        </w:rPr>
        <w:t>月</w:t>
      </w:r>
      <w:r>
        <w:rPr>
          <w:rFonts w:ascii="宋体" w:hAnsi="宋体" w:eastAsia="宋体" w:cs="宋体"/>
          <w:spacing w:val="-56"/>
          <w:sz w:val="24"/>
          <w:szCs w:val="24"/>
        </w:rPr>
        <w:t xml:space="preserve"> </w:t>
      </w:r>
      <w:r>
        <w:rPr>
          <w:rFonts w:ascii="Times New Roman" w:hAnsi="Times New Roman" w:eastAsia="Times New Roman" w:cs="Times New Roman"/>
          <w:spacing w:val="-13"/>
          <w:sz w:val="24"/>
          <w:szCs w:val="24"/>
        </w:rPr>
        <w:t>4</w:t>
      </w:r>
      <w:r>
        <w:rPr>
          <w:rFonts w:ascii="Times New Roman" w:hAnsi="Times New Roman" w:eastAsia="Times New Roman" w:cs="Times New Roman"/>
          <w:spacing w:val="50"/>
          <w:w w:val="101"/>
          <w:sz w:val="24"/>
          <w:szCs w:val="24"/>
        </w:rPr>
        <w:t xml:space="preserve"> </w:t>
      </w:r>
      <w:r>
        <w:rPr>
          <w:rFonts w:ascii="宋体" w:hAnsi="宋体" w:eastAsia="宋体" w:cs="宋体"/>
          <w:spacing w:val="-13"/>
          <w:sz w:val="24"/>
          <w:szCs w:val="24"/>
        </w:rPr>
        <w:t>日</w:t>
      </w:r>
      <w:r>
        <w:rPr>
          <w:rFonts w:ascii="宋体" w:hAnsi="宋体" w:eastAsia="宋体" w:cs="宋体"/>
          <w:spacing w:val="-55"/>
          <w:sz w:val="24"/>
          <w:szCs w:val="24"/>
        </w:rPr>
        <w:t xml:space="preserve"> </w:t>
      </w:r>
      <w:r>
        <w:rPr>
          <w:rFonts w:ascii="Times New Roman" w:hAnsi="Times New Roman" w:eastAsia="Times New Roman" w:cs="Times New Roman"/>
          <w:spacing w:val="-13"/>
          <w:sz w:val="24"/>
          <w:szCs w:val="24"/>
        </w:rPr>
        <w:t>23</w:t>
      </w:r>
      <w:r>
        <w:rPr>
          <w:rFonts w:ascii="Times New Roman" w:hAnsi="Times New Roman" w:eastAsia="Times New Roman" w:cs="Times New Roman"/>
          <w:spacing w:val="20"/>
          <w:w w:val="101"/>
          <w:sz w:val="24"/>
          <w:szCs w:val="24"/>
        </w:rPr>
        <w:t xml:space="preserve"> </w:t>
      </w:r>
      <w:r>
        <w:rPr>
          <w:rFonts w:ascii="宋体" w:hAnsi="宋体" w:eastAsia="宋体" w:cs="宋体"/>
          <w:spacing w:val="-13"/>
          <w:sz w:val="24"/>
          <w:szCs w:val="24"/>
        </w:rPr>
        <w:t>时。地点：</w:t>
      </w:r>
      <w:r>
        <w:rPr>
          <w:rFonts w:ascii="宋体" w:hAnsi="宋体" w:eastAsia="宋体" w:cs="宋体"/>
          <w:spacing w:val="56"/>
          <w:sz w:val="24"/>
          <w:szCs w:val="24"/>
        </w:rPr>
        <w:t xml:space="preserve"> </w:t>
      </w:r>
      <w:r>
        <w:rPr>
          <w:rFonts w:ascii="宋体" w:hAnsi="宋体" w:eastAsia="宋体" w:cs="宋体"/>
          <w:spacing w:val="-13"/>
          <w:sz w:val="24"/>
          <w:szCs w:val="24"/>
        </w:rPr>
        <w:t>杭新景高速公路新安江高速出口互通</w:t>
      </w:r>
    </w:p>
    <w:p>
      <w:pPr>
        <w:spacing w:line="220" w:lineRule="auto"/>
        <w:rPr>
          <w:rFonts w:ascii="宋体" w:hAnsi="宋体" w:eastAsia="宋体" w:cs="宋体"/>
          <w:sz w:val="24"/>
          <w:szCs w:val="24"/>
        </w:rPr>
        <w:sectPr>
          <w:headerReference r:id="rId299" w:type="default"/>
          <w:footerReference r:id="rId300" w:type="default"/>
          <w:pgSz w:w="11907" w:h="16839"/>
          <w:pgMar w:top="1118" w:right="1693" w:bottom="1184" w:left="1771" w:header="879" w:footer="1024" w:gutter="0"/>
          <w:cols w:space="720" w:num="1"/>
        </w:sectPr>
      </w:pPr>
    </w:p>
    <w:p>
      <w:pPr>
        <w:pStyle w:val="2"/>
        <w:spacing w:line="277" w:lineRule="auto"/>
      </w:pPr>
    </w:p>
    <w:p>
      <w:pPr>
        <w:spacing w:before="78" w:line="220" w:lineRule="auto"/>
        <w:ind w:left="40"/>
        <w:rPr>
          <w:rFonts w:ascii="宋体" w:hAnsi="宋体" w:eastAsia="宋体" w:cs="宋体"/>
          <w:sz w:val="24"/>
          <w:szCs w:val="24"/>
        </w:rPr>
      </w:pPr>
      <w:r>
        <w:rPr>
          <w:rFonts w:ascii="宋体" w:hAnsi="宋体" w:eastAsia="宋体" w:cs="宋体"/>
          <w:spacing w:val="-8"/>
          <w:sz w:val="24"/>
          <w:szCs w:val="24"/>
        </w:rPr>
        <w:t>主路段内。</w:t>
      </w:r>
    </w:p>
    <w:p>
      <w:pPr>
        <w:spacing w:before="183" w:line="359" w:lineRule="auto"/>
        <w:ind w:left="32" w:right="81" w:firstLine="486"/>
        <w:rPr>
          <w:rFonts w:ascii="宋体" w:hAnsi="宋体" w:eastAsia="宋体" w:cs="宋体"/>
          <w:sz w:val="24"/>
          <w:szCs w:val="24"/>
        </w:rPr>
      </w:pPr>
      <w:r>
        <w:rPr>
          <w:rFonts w:ascii="宋体" w:hAnsi="宋体" w:eastAsia="宋体" w:cs="宋体"/>
          <w:spacing w:val="-9"/>
          <w:sz w:val="24"/>
          <w:szCs w:val="24"/>
        </w:rPr>
        <w:t xml:space="preserve">情况如下： </w:t>
      </w:r>
      <w:r>
        <w:rPr>
          <w:rFonts w:ascii="Times New Roman" w:hAnsi="Times New Roman" w:eastAsia="Times New Roman" w:cs="Times New Roman"/>
          <w:spacing w:val="-9"/>
          <w:sz w:val="24"/>
          <w:szCs w:val="24"/>
        </w:rPr>
        <w:t xml:space="preserve">2011 </w:t>
      </w:r>
      <w:r>
        <w:rPr>
          <w:rFonts w:ascii="宋体" w:hAnsi="宋体" w:eastAsia="宋体" w:cs="宋体"/>
          <w:spacing w:val="-9"/>
          <w:sz w:val="24"/>
          <w:szCs w:val="24"/>
        </w:rPr>
        <w:t>年</w:t>
      </w:r>
      <w:r>
        <w:rPr>
          <w:rFonts w:ascii="宋体" w:hAnsi="宋体" w:eastAsia="宋体" w:cs="宋体"/>
          <w:spacing w:val="-57"/>
          <w:sz w:val="24"/>
          <w:szCs w:val="24"/>
        </w:rPr>
        <w:t xml:space="preserve"> </w:t>
      </w:r>
      <w:r>
        <w:rPr>
          <w:rFonts w:ascii="Times New Roman" w:hAnsi="Times New Roman" w:eastAsia="Times New Roman" w:cs="Times New Roman"/>
          <w:spacing w:val="-9"/>
          <w:sz w:val="24"/>
          <w:szCs w:val="24"/>
        </w:rPr>
        <w:t xml:space="preserve">4  </w:t>
      </w:r>
      <w:r>
        <w:rPr>
          <w:rFonts w:ascii="宋体" w:hAnsi="宋体" w:eastAsia="宋体" w:cs="宋体"/>
          <w:spacing w:val="-9"/>
          <w:sz w:val="24"/>
          <w:szCs w:val="24"/>
        </w:rPr>
        <w:t>日</w:t>
      </w:r>
      <w:r>
        <w:rPr>
          <w:rFonts w:ascii="宋体" w:hAnsi="宋体" w:eastAsia="宋体" w:cs="宋体"/>
          <w:spacing w:val="-54"/>
          <w:sz w:val="24"/>
          <w:szCs w:val="24"/>
        </w:rPr>
        <w:t xml:space="preserve"> </w:t>
      </w:r>
      <w:r>
        <w:rPr>
          <w:rFonts w:ascii="Times New Roman" w:hAnsi="Times New Roman" w:eastAsia="Times New Roman" w:cs="Times New Roman"/>
          <w:spacing w:val="-9"/>
          <w:sz w:val="24"/>
          <w:szCs w:val="24"/>
        </w:rPr>
        <w:t>23</w:t>
      </w:r>
      <w:r>
        <w:rPr>
          <w:rFonts w:ascii="Times New Roman" w:hAnsi="Times New Roman" w:eastAsia="Times New Roman" w:cs="Times New Roman"/>
          <w:spacing w:val="20"/>
          <w:w w:val="101"/>
          <w:sz w:val="24"/>
          <w:szCs w:val="24"/>
        </w:rPr>
        <w:t xml:space="preserve"> </w:t>
      </w:r>
      <w:r>
        <w:rPr>
          <w:rFonts w:ascii="宋体" w:hAnsi="宋体" w:eastAsia="宋体" w:cs="宋体"/>
          <w:spacing w:val="-9"/>
          <w:sz w:val="24"/>
          <w:szCs w:val="24"/>
        </w:rPr>
        <w:t>时左右， 一辆载</w:t>
      </w:r>
      <w:r>
        <w:rPr>
          <w:rFonts w:ascii="宋体" w:hAnsi="宋体" w:eastAsia="宋体" w:cs="宋体"/>
          <w:spacing w:val="-10"/>
          <w:sz w:val="24"/>
          <w:szCs w:val="24"/>
        </w:rPr>
        <w:t>有化学品苯酚的灌装车在从上海</w:t>
      </w:r>
      <w:r>
        <w:rPr>
          <w:rFonts w:ascii="宋体" w:hAnsi="宋体" w:eastAsia="宋体" w:cs="宋体"/>
          <w:sz w:val="24"/>
          <w:szCs w:val="24"/>
        </w:rPr>
        <w:t xml:space="preserve"> </w:t>
      </w:r>
      <w:r>
        <w:rPr>
          <w:rFonts w:ascii="宋体" w:hAnsi="宋体" w:eastAsia="宋体" w:cs="宋体"/>
          <w:spacing w:val="-6"/>
          <w:sz w:val="24"/>
          <w:szCs w:val="24"/>
        </w:rPr>
        <w:t>开往龙游途中，</w:t>
      </w:r>
      <w:r>
        <w:rPr>
          <w:rFonts w:ascii="宋体" w:hAnsi="宋体" w:eastAsia="宋体" w:cs="宋体"/>
          <w:spacing w:val="51"/>
          <w:sz w:val="24"/>
          <w:szCs w:val="24"/>
        </w:rPr>
        <w:t xml:space="preserve"> </w:t>
      </w:r>
      <w:r>
        <w:rPr>
          <w:rFonts w:ascii="宋体" w:hAnsi="宋体" w:eastAsia="宋体" w:cs="宋体"/>
          <w:spacing w:val="-6"/>
          <w:sz w:val="24"/>
          <w:szCs w:val="24"/>
        </w:rPr>
        <w:t>经杭新景高速公路新安江高速出口互通主路段内（</w:t>
      </w:r>
      <w:r>
        <w:rPr>
          <w:rFonts w:ascii="Times New Roman" w:hAnsi="Times New Roman" w:eastAsia="Times New Roman" w:cs="Times New Roman"/>
          <w:spacing w:val="-6"/>
          <w:sz w:val="24"/>
          <w:szCs w:val="24"/>
        </w:rPr>
        <w:t xml:space="preserve">S31 </w:t>
      </w:r>
      <w:r>
        <w:rPr>
          <w:rFonts w:ascii="宋体" w:hAnsi="宋体" w:eastAsia="宋体" w:cs="宋体"/>
          <w:spacing w:val="-6"/>
          <w:sz w:val="24"/>
          <w:szCs w:val="24"/>
        </w:rPr>
        <w:t>龙游方向</w:t>
      </w:r>
      <w:r>
        <w:rPr>
          <w:rFonts w:ascii="宋体" w:hAnsi="宋体" w:eastAsia="宋体" w:cs="宋体"/>
          <w:sz w:val="24"/>
          <w:szCs w:val="24"/>
        </w:rPr>
        <w:t xml:space="preserve"> </w:t>
      </w:r>
      <w:r>
        <w:rPr>
          <w:rFonts w:ascii="Times New Roman" w:hAnsi="Times New Roman" w:eastAsia="Times New Roman" w:cs="Times New Roman"/>
          <w:spacing w:val="-9"/>
          <w:sz w:val="24"/>
          <w:szCs w:val="24"/>
        </w:rPr>
        <w:t>48</w:t>
      </w:r>
      <w:r>
        <w:rPr>
          <w:rFonts w:ascii="Times New Roman" w:hAnsi="Times New Roman" w:eastAsia="Times New Roman" w:cs="Times New Roman"/>
          <w:spacing w:val="17"/>
          <w:sz w:val="24"/>
          <w:szCs w:val="24"/>
        </w:rPr>
        <w:t xml:space="preserve"> </w:t>
      </w:r>
      <w:r>
        <w:rPr>
          <w:rFonts w:ascii="宋体" w:hAnsi="宋体" w:eastAsia="宋体" w:cs="宋体"/>
          <w:spacing w:val="-9"/>
          <w:sz w:val="24"/>
          <w:szCs w:val="24"/>
        </w:rPr>
        <w:t>公里＋</w:t>
      </w:r>
      <w:r>
        <w:rPr>
          <w:rFonts w:ascii="Times New Roman" w:hAnsi="Times New Roman" w:eastAsia="Times New Roman" w:cs="Times New Roman"/>
          <w:spacing w:val="-9"/>
          <w:sz w:val="24"/>
          <w:szCs w:val="24"/>
        </w:rPr>
        <w:t xml:space="preserve">200 </w:t>
      </w:r>
      <w:r>
        <w:rPr>
          <w:rFonts w:ascii="宋体" w:hAnsi="宋体" w:eastAsia="宋体" w:cs="宋体"/>
          <w:spacing w:val="-9"/>
          <w:sz w:val="24"/>
          <w:szCs w:val="24"/>
        </w:rPr>
        <w:t>米处）</w:t>
      </w:r>
      <w:r>
        <w:rPr>
          <w:rFonts w:ascii="宋体" w:hAnsi="宋体" w:eastAsia="宋体" w:cs="宋体"/>
          <w:spacing w:val="-43"/>
          <w:sz w:val="24"/>
          <w:szCs w:val="24"/>
        </w:rPr>
        <w:t xml:space="preserve"> </w:t>
      </w:r>
      <w:r>
        <w:rPr>
          <w:rFonts w:ascii="宋体" w:hAnsi="宋体" w:eastAsia="宋体" w:cs="宋体"/>
          <w:spacing w:val="-9"/>
          <w:sz w:val="24"/>
          <w:szCs w:val="24"/>
        </w:rPr>
        <w:t>时发生交通事故，</w:t>
      </w:r>
      <w:r>
        <w:rPr>
          <w:rFonts w:ascii="宋体" w:hAnsi="宋体" w:eastAsia="宋体" w:cs="宋体"/>
          <w:spacing w:val="38"/>
          <w:sz w:val="24"/>
          <w:szCs w:val="24"/>
        </w:rPr>
        <w:t xml:space="preserve"> </w:t>
      </w:r>
      <w:r>
        <w:rPr>
          <w:rFonts w:ascii="宋体" w:hAnsi="宋体" w:eastAsia="宋体" w:cs="宋体"/>
          <w:spacing w:val="-9"/>
          <w:sz w:val="24"/>
          <w:szCs w:val="24"/>
        </w:rPr>
        <w:t>导致部分苯酚泄漏。</w:t>
      </w:r>
      <w:r>
        <w:rPr>
          <w:rFonts w:ascii="宋体" w:hAnsi="宋体" w:eastAsia="宋体" w:cs="宋体"/>
          <w:spacing w:val="-10"/>
          <w:sz w:val="24"/>
          <w:szCs w:val="24"/>
        </w:rPr>
        <w:t>因时逢该区域内暴雨</w:t>
      </w:r>
      <w:r>
        <w:rPr>
          <w:rFonts w:ascii="宋体" w:hAnsi="宋体" w:eastAsia="宋体" w:cs="宋体"/>
          <w:sz w:val="24"/>
          <w:szCs w:val="24"/>
        </w:rPr>
        <w:t xml:space="preserve"> </w:t>
      </w:r>
      <w:r>
        <w:rPr>
          <w:rFonts w:ascii="宋体" w:hAnsi="宋体" w:eastAsia="宋体" w:cs="宋体"/>
          <w:spacing w:val="-10"/>
          <w:sz w:val="24"/>
          <w:szCs w:val="24"/>
        </w:rPr>
        <w:t>影响， 导致部分泄漏苯酚随地表水流入新安江中。建</w:t>
      </w:r>
      <w:r>
        <w:rPr>
          <w:rFonts w:ascii="宋体" w:hAnsi="宋体" w:eastAsia="宋体" w:cs="宋体"/>
          <w:spacing w:val="-11"/>
          <w:sz w:val="24"/>
          <w:szCs w:val="24"/>
        </w:rPr>
        <w:t>德隶属杭州市，</w:t>
      </w:r>
      <w:r>
        <w:rPr>
          <w:rFonts w:ascii="宋体" w:hAnsi="宋体" w:eastAsia="宋体" w:cs="宋体"/>
          <w:spacing w:val="33"/>
          <w:sz w:val="24"/>
          <w:szCs w:val="24"/>
        </w:rPr>
        <w:t xml:space="preserve"> </w:t>
      </w:r>
      <w:r>
        <w:rPr>
          <w:rFonts w:ascii="宋体" w:hAnsi="宋体" w:eastAsia="宋体" w:cs="宋体"/>
          <w:spacing w:val="-11"/>
          <w:sz w:val="24"/>
          <w:szCs w:val="24"/>
        </w:rPr>
        <w:t>新安江是钱</w:t>
      </w:r>
    </w:p>
    <w:p>
      <w:pPr>
        <w:spacing w:line="219" w:lineRule="auto"/>
        <w:ind w:left="39"/>
        <w:rPr>
          <w:rFonts w:ascii="宋体" w:hAnsi="宋体" w:eastAsia="宋体" w:cs="宋体"/>
          <w:sz w:val="24"/>
          <w:szCs w:val="24"/>
        </w:rPr>
      </w:pPr>
      <w:r>
        <w:rPr>
          <w:rFonts w:ascii="宋体" w:hAnsi="宋体" w:eastAsia="宋体" w:cs="宋体"/>
          <w:spacing w:val="-3"/>
          <w:sz w:val="24"/>
          <w:szCs w:val="24"/>
        </w:rPr>
        <w:t>塘江水系的支流，下游最终将流入钱塘江。</w:t>
      </w:r>
    </w:p>
    <w:p>
      <w:pPr>
        <w:spacing w:before="181" w:line="359" w:lineRule="auto"/>
        <w:ind w:left="32" w:right="16" w:firstLine="485"/>
        <w:rPr>
          <w:rFonts w:ascii="宋体" w:hAnsi="宋体" w:eastAsia="宋体" w:cs="宋体"/>
          <w:sz w:val="24"/>
          <w:szCs w:val="24"/>
        </w:rPr>
      </w:pPr>
      <w:r>
        <w:rPr>
          <w:rFonts w:ascii="宋体" w:hAnsi="宋体" w:eastAsia="宋体" w:cs="宋体"/>
          <w:spacing w:val="-11"/>
          <w:sz w:val="24"/>
          <w:szCs w:val="24"/>
        </w:rPr>
        <w:t>事故发生原因：</w:t>
      </w:r>
      <w:r>
        <w:rPr>
          <w:rFonts w:ascii="宋体" w:hAnsi="宋体" w:eastAsia="宋体" w:cs="宋体"/>
          <w:spacing w:val="32"/>
          <w:sz w:val="24"/>
          <w:szCs w:val="24"/>
        </w:rPr>
        <w:t xml:space="preserve"> </w:t>
      </w:r>
      <w:r>
        <w:rPr>
          <w:rFonts w:ascii="宋体" w:hAnsi="宋体" w:eastAsia="宋体" w:cs="宋体"/>
          <w:spacing w:val="-11"/>
          <w:sz w:val="24"/>
          <w:szCs w:val="24"/>
        </w:rPr>
        <w:t>一辆重型半挂牵引车（准驾不符） 在</w:t>
      </w:r>
      <w:r>
        <w:rPr>
          <w:rFonts w:ascii="宋体" w:hAnsi="宋体" w:eastAsia="宋体" w:cs="宋体"/>
          <w:spacing w:val="-44"/>
          <w:sz w:val="24"/>
          <w:szCs w:val="24"/>
        </w:rPr>
        <w:t xml:space="preserve"> </w:t>
      </w:r>
      <w:r>
        <w:rPr>
          <w:rFonts w:ascii="Times New Roman" w:hAnsi="Times New Roman" w:eastAsia="Times New Roman" w:cs="Times New Roman"/>
          <w:spacing w:val="-11"/>
          <w:sz w:val="24"/>
          <w:szCs w:val="24"/>
        </w:rPr>
        <w:t>S31</w:t>
      </w:r>
      <w:r>
        <w:rPr>
          <w:rFonts w:ascii="Times New Roman" w:hAnsi="Times New Roman" w:eastAsia="Times New Roman" w:cs="Times New Roman"/>
          <w:spacing w:val="-12"/>
          <w:sz w:val="24"/>
          <w:szCs w:val="24"/>
        </w:rPr>
        <w:t xml:space="preserve"> </w:t>
      </w:r>
      <w:r>
        <w:rPr>
          <w:rFonts w:ascii="宋体" w:hAnsi="宋体" w:eastAsia="宋体" w:cs="宋体"/>
          <w:spacing w:val="-12"/>
          <w:sz w:val="24"/>
          <w:szCs w:val="24"/>
        </w:rPr>
        <w:t>杭新景高速公路往</w:t>
      </w:r>
      <w:r>
        <w:rPr>
          <w:rFonts w:ascii="宋体" w:hAnsi="宋体" w:eastAsia="宋体" w:cs="宋体"/>
          <w:sz w:val="24"/>
          <w:szCs w:val="24"/>
        </w:rPr>
        <w:t xml:space="preserve"> </w:t>
      </w:r>
      <w:r>
        <w:rPr>
          <w:rFonts w:ascii="宋体" w:hAnsi="宋体" w:eastAsia="宋体" w:cs="宋体"/>
          <w:spacing w:val="-6"/>
          <w:sz w:val="24"/>
          <w:szCs w:val="24"/>
        </w:rPr>
        <w:t>江西方向行驶，</w:t>
      </w:r>
      <w:r>
        <w:rPr>
          <w:rFonts w:ascii="宋体" w:hAnsi="宋体" w:eastAsia="宋体" w:cs="宋体"/>
          <w:spacing w:val="51"/>
          <w:sz w:val="24"/>
          <w:szCs w:val="24"/>
        </w:rPr>
        <w:t xml:space="preserve"> </w:t>
      </w:r>
      <w:r>
        <w:rPr>
          <w:rFonts w:ascii="宋体" w:hAnsi="宋体" w:eastAsia="宋体" w:cs="宋体"/>
          <w:spacing w:val="-6"/>
          <w:sz w:val="24"/>
          <w:szCs w:val="24"/>
        </w:rPr>
        <w:t>经杭新景高速公路新安江高速出口互通主路段内（</w:t>
      </w:r>
      <w:r>
        <w:rPr>
          <w:rFonts w:ascii="Times New Roman" w:hAnsi="Times New Roman" w:eastAsia="Times New Roman" w:cs="Times New Roman"/>
          <w:spacing w:val="-6"/>
          <w:sz w:val="24"/>
          <w:szCs w:val="24"/>
        </w:rPr>
        <w:t xml:space="preserve">S31 </w:t>
      </w:r>
      <w:r>
        <w:rPr>
          <w:rFonts w:ascii="宋体" w:hAnsi="宋体" w:eastAsia="宋体" w:cs="宋体"/>
          <w:spacing w:val="-6"/>
          <w:sz w:val="24"/>
          <w:szCs w:val="24"/>
        </w:rPr>
        <w:t>龙游方向</w:t>
      </w:r>
      <w:r>
        <w:rPr>
          <w:rFonts w:ascii="宋体" w:hAnsi="宋体" w:eastAsia="宋体" w:cs="宋体"/>
          <w:sz w:val="24"/>
          <w:szCs w:val="24"/>
        </w:rPr>
        <w:t xml:space="preserve"> </w:t>
      </w:r>
      <w:r>
        <w:rPr>
          <w:rFonts w:ascii="Times New Roman" w:hAnsi="Times New Roman" w:eastAsia="Times New Roman" w:cs="Times New Roman"/>
          <w:spacing w:val="-12"/>
          <w:sz w:val="24"/>
          <w:szCs w:val="24"/>
        </w:rPr>
        <w:t>48</w:t>
      </w:r>
      <w:r>
        <w:rPr>
          <w:rFonts w:ascii="Times New Roman" w:hAnsi="Times New Roman" w:eastAsia="Times New Roman" w:cs="Times New Roman"/>
          <w:spacing w:val="25"/>
          <w:sz w:val="24"/>
          <w:szCs w:val="24"/>
        </w:rPr>
        <w:t xml:space="preserve"> </w:t>
      </w:r>
      <w:r>
        <w:rPr>
          <w:rFonts w:ascii="宋体" w:hAnsi="宋体" w:eastAsia="宋体" w:cs="宋体"/>
          <w:spacing w:val="-12"/>
          <w:sz w:val="24"/>
          <w:szCs w:val="24"/>
        </w:rPr>
        <w:t>公里</w:t>
      </w:r>
      <w:r>
        <w:rPr>
          <w:rFonts w:ascii="Times New Roman" w:hAnsi="Times New Roman" w:eastAsia="Times New Roman" w:cs="Times New Roman"/>
          <w:spacing w:val="-12"/>
          <w:sz w:val="24"/>
          <w:szCs w:val="24"/>
        </w:rPr>
        <w:t xml:space="preserve">+200 </w:t>
      </w:r>
      <w:r>
        <w:rPr>
          <w:rFonts w:ascii="宋体" w:hAnsi="宋体" w:eastAsia="宋体" w:cs="宋体"/>
          <w:spacing w:val="-12"/>
          <w:sz w:val="24"/>
          <w:szCs w:val="24"/>
        </w:rPr>
        <w:t>米处）</w:t>
      </w:r>
      <w:r>
        <w:rPr>
          <w:rFonts w:ascii="宋体" w:hAnsi="宋体" w:eastAsia="宋体" w:cs="宋体"/>
          <w:spacing w:val="-48"/>
          <w:sz w:val="24"/>
          <w:szCs w:val="24"/>
        </w:rPr>
        <w:t xml:space="preserve"> </w:t>
      </w:r>
      <w:r>
        <w:rPr>
          <w:rFonts w:ascii="宋体" w:hAnsi="宋体" w:eastAsia="宋体" w:cs="宋体"/>
          <w:spacing w:val="-12"/>
          <w:sz w:val="24"/>
          <w:szCs w:val="24"/>
        </w:rPr>
        <w:t>时，</w:t>
      </w:r>
      <w:r>
        <w:rPr>
          <w:rFonts w:ascii="宋体" w:hAnsi="宋体" w:eastAsia="宋体" w:cs="宋体"/>
          <w:spacing w:val="-71"/>
          <w:sz w:val="24"/>
          <w:szCs w:val="24"/>
        </w:rPr>
        <w:t xml:space="preserve"> </w:t>
      </w:r>
      <w:r>
        <w:rPr>
          <w:rFonts w:ascii="宋体" w:hAnsi="宋体" w:eastAsia="宋体" w:cs="宋体"/>
          <w:spacing w:val="-12"/>
          <w:sz w:val="24"/>
          <w:szCs w:val="24"/>
        </w:rPr>
        <w:t>在下雨路滑的情况下，</w:t>
      </w:r>
      <w:r>
        <w:rPr>
          <w:rFonts w:ascii="宋体" w:hAnsi="宋体" w:eastAsia="宋体" w:cs="宋体"/>
          <w:spacing w:val="34"/>
          <w:sz w:val="24"/>
          <w:szCs w:val="24"/>
        </w:rPr>
        <w:t xml:space="preserve"> </w:t>
      </w:r>
      <w:r>
        <w:rPr>
          <w:rFonts w:ascii="宋体" w:hAnsi="宋体" w:eastAsia="宋体" w:cs="宋体"/>
          <w:spacing w:val="-12"/>
          <w:sz w:val="24"/>
          <w:szCs w:val="24"/>
        </w:rPr>
        <w:t>驾驶员对前方道路状况观察不明，</w:t>
      </w:r>
      <w:r>
        <w:rPr>
          <w:rFonts w:ascii="宋体" w:hAnsi="宋体" w:eastAsia="宋体" w:cs="宋体"/>
          <w:sz w:val="24"/>
          <w:szCs w:val="24"/>
        </w:rPr>
        <w:t xml:space="preserve"> </w:t>
      </w:r>
      <w:r>
        <w:rPr>
          <w:rFonts w:ascii="宋体" w:hAnsi="宋体" w:eastAsia="宋体" w:cs="宋体"/>
          <w:spacing w:val="-6"/>
          <w:sz w:val="24"/>
          <w:szCs w:val="24"/>
        </w:rPr>
        <w:t>车速过快， 未能及时采取有效避让措施，和停于硬路肩的同向重型半挂</w:t>
      </w:r>
      <w:r>
        <w:rPr>
          <w:rFonts w:ascii="宋体" w:hAnsi="宋体" w:eastAsia="宋体" w:cs="宋体"/>
          <w:spacing w:val="-7"/>
          <w:sz w:val="24"/>
          <w:szCs w:val="24"/>
        </w:rPr>
        <w:t>牵引车发</w:t>
      </w:r>
    </w:p>
    <w:p>
      <w:pPr>
        <w:spacing w:line="221" w:lineRule="auto"/>
        <w:ind w:left="40"/>
        <w:rPr>
          <w:rFonts w:ascii="宋体" w:hAnsi="宋体" w:eastAsia="宋体" w:cs="宋体"/>
          <w:sz w:val="24"/>
          <w:szCs w:val="24"/>
        </w:rPr>
      </w:pPr>
      <w:r>
        <w:rPr>
          <w:rFonts w:ascii="宋体" w:hAnsi="宋体" w:eastAsia="宋体" w:cs="宋体"/>
          <w:spacing w:val="-9"/>
          <w:sz w:val="24"/>
          <w:szCs w:val="24"/>
        </w:rPr>
        <w:t>生相撞。</w:t>
      </w:r>
    </w:p>
    <w:p>
      <w:pPr>
        <w:spacing w:before="182" w:line="359" w:lineRule="auto"/>
        <w:ind w:left="36" w:right="82" w:firstLine="481"/>
        <w:rPr>
          <w:rFonts w:ascii="宋体" w:hAnsi="宋体" w:eastAsia="宋体" w:cs="宋体"/>
          <w:sz w:val="24"/>
          <w:szCs w:val="24"/>
        </w:rPr>
      </w:pPr>
      <w:r>
        <w:rPr>
          <w:rFonts w:ascii="宋体" w:hAnsi="宋体" w:eastAsia="宋体" w:cs="宋体"/>
          <w:spacing w:val="-11"/>
          <w:sz w:val="24"/>
          <w:szCs w:val="24"/>
        </w:rPr>
        <w:t>事故发生后，</w:t>
      </w:r>
      <w:r>
        <w:rPr>
          <w:rFonts w:ascii="宋体" w:hAnsi="宋体" w:eastAsia="宋体" w:cs="宋体"/>
          <w:spacing w:val="30"/>
          <w:sz w:val="24"/>
          <w:szCs w:val="24"/>
        </w:rPr>
        <w:t xml:space="preserve"> </w:t>
      </w:r>
      <w:r>
        <w:rPr>
          <w:rFonts w:ascii="宋体" w:hAnsi="宋体" w:eastAsia="宋体" w:cs="宋体"/>
          <w:spacing w:val="-11"/>
          <w:sz w:val="24"/>
          <w:szCs w:val="24"/>
        </w:rPr>
        <w:t>当地相关部门立即组织人员赶赴现场， 对泄漏的苯酚用</w:t>
      </w:r>
      <w:r>
        <w:rPr>
          <w:rFonts w:ascii="宋体" w:hAnsi="宋体" w:eastAsia="宋体" w:cs="宋体"/>
          <w:spacing w:val="-12"/>
          <w:sz w:val="24"/>
          <w:szCs w:val="24"/>
        </w:rPr>
        <w:t>石灰进</w:t>
      </w:r>
      <w:r>
        <w:rPr>
          <w:rFonts w:ascii="宋体" w:hAnsi="宋体" w:eastAsia="宋体" w:cs="宋体"/>
          <w:sz w:val="24"/>
          <w:szCs w:val="24"/>
        </w:rPr>
        <w:t xml:space="preserve"> </w:t>
      </w:r>
      <w:r>
        <w:rPr>
          <w:rFonts w:ascii="宋体" w:hAnsi="宋体" w:eastAsia="宋体" w:cs="宋体"/>
          <w:spacing w:val="-7"/>
          <w:sz w:val="24"/>
          <w:szCs w:val="24"/>
        </w:rPr>
        <w:t>行吸附处置，</w:t>
      </w:r>
      <w:r>
        <w:rPr>
          <w:rFonts w:ascii="宋体" w:hAnsi="宋体" w:eastAsia="宋体" w:cs="宋体"/>
          <w:spacing w:val="30"/>
          <w:sz w:val="24"/>
          <w:szCs w:val="24"/>
        </w:rPr>
        <w:t xml:space="preserve"> </w:t>
      </w:r>
      <w:r>
        <w:rPr>
          <w:rFonts w:ascii="宋体" w:hAnsi="宋体" w:eastAsia="宋体" w:cs="宋体"/>
          <w:spacing w:val="-7"/>
          <w:sz w:val="24"/>
          <w:szCs w:val="24"/>
        </w:rPr>
        <w:t>防止污染进一步扩散。并会同杭千高速建德分</w:t>
      </w:r>
      <w:r>
        <w:rPr>
          <w:rFonts w:ascii="宋体" w:hAnsi="宋体" w:eastAsia="宋体" w:cs="宋体"/>
          <w:spacing w:val="-8"/>
          <w:sz w:val="24"/>
          <w:szCs w:val="24"/>
        </w:rPr>
        <w:t>中心紧急开展事故处</w:t>
      </w:r>
      <w:r>
        <w:rPr>
          <w:rFonts w:ascii="宋体" w:hAnsi="宋体" w:eastAsia="宋体" w:cs="宋体"/>
          <w:sz w:val="24"/>
          <w:szCs w:val="24"/>
        </w:rPr>
        <w:t xml:space="preserve"> </w:t>
      </w:r>
      <w:r>
        <w:rPr>
          <w:rFonts w:ascii="宋体" w:hAnsi="宋体" w:eastAsia="宋体" w:cs="宋体"/>
          <w:spacing w:val="-10"/>
          <w:sz w:val="24"/>
          <w:szCs w:val="24"/>
        </w:rPr>
        <w:t>置，</w:t>
      </w:r>
      <w:r>
        <w:rPr>
          <w:rFonts w:ascii="宋体" w:hAnsi="宋体" w:eastAsia="宋体" w:cs="宋体"/>
          <w:spacing w:val="-24"/>
          <w:sz w:val="24"/>
          <w:szCs w:val="24"/>
        </w:rPr>
        <w:t xml:space="preserve"> </w:t>
      </w:r>
      <w:r>
        <w:rPr>
          <w:rFonts w:ascii="宋体" w:hAnsi="宋体" w:eastAsia="宋体" w:cs="宋体"/>
          <w:spacing w:val="-10"/>
          <w:sz w:val="24"/>
          <w:szCs w:val="24"/>
        </w:rPr>
        <w:t>同时立即启动了建德市突发环境事件应急预案。根据应急预案，</w:t>
      </w:r>
      <w:r>
        <w:rPr>
          <w:rFonts w:ascii="宋体" w:hAnsi="宋体" w:eastAsia="宋体" w:cs="宋体"/>
          <w:spacing w:val="31"/>
          <w:sz w:val="24"/>
          <w:szCs w:val="24"/>
        </w:rPr>
        <w:t xml:space="preserve"> </w:t>
      </w:r>
      <w:r>
        <w:rPr>
          <w:rFonts w:ascii="宋体" w:hAnsi="宋体" w:eastAsia="宋体" w:cs="宋体"/>
          <w:spacing w:val="-10"/>
          <w:sz w:val="24"/>
          <w:szCs w:val="24"/>
        </w:rPr>
        <w:t>事故应急指</w:t>
      </w:r>
      <w:r>
        <w:rPr>
          <w:rFonts w:ascii="宋体" w:hAnsi="宋体" w:eastAsia="宋体" w:cs="宋体"/>
          <w:sz w:val="24"/>
          <w:szCs w:val="24"/>
        </w:rPr>
        <w:t xml:space="preserve"> </w:t>
      </w:r>
      <w:r>
        <w:rPr>
          <w:rFonts w:ascii="宋体" w:hAnsi="宋体" w:eastAsia="宋体" w:cs="宋体"/>
          <w:spacing w:val="-17"/>
          <w:sz w:val="24"/>
          <w:szCs w:val="24"/>
        </w:rPr>
        <w:t>挥部采取了一系列措施：</w:t>
      </w:r>
      <w:r>
        <w:rPr>
          <w:rFonts w:ascii="宋体" w:hAnsi="宋体" w:eastAsia="宋体" w:cs="宋体"/>
          <w:spacing w:val="46"/>
          <w:sz w:val="24"/>
          <w:szCs w:val="24"/>
        </w:rPr>
        <w:t xml:space="preserve"> </w:t>
      </w:r>
      <w:r>
        <w:rPr>
          <w:rFonts w:ascii="宋体" w:hAnsi="宋体" w:eastAsia="宋体" w:cs="宋体"/>
          <w:spacing w:val="-17"/>
          <w:sz w:val="24"/>
          <w:szCs w:val="24"/>
        </w:rPr>
        <w:t>杭州市各自来水厂进行强储源水，</w:t>
      </w:r>
      <w:r>
        <w:rPr>
          <w:rFonts w:ascii="宋体" w:hAnsi="宋体" w:eastAsia="宋体" w:cs="宋体"/>
          <w:spacing w:val="31"/>
          <w:sz w:val="24"/>
          <w:szCs w:val="24"/>
        </w:rPr>
        <w:t xml:space="preserve"> </w:t>
      </w:r>
      <w:r>
        <w:rPr>
          <w:rFonts w:ascii="宋体" w:hAnsi="宋体" w:eastAsia="宋体" w:cs="宋体"/>
          <w:spacing w:val="-17"/>
          <w:sz w:val="24"/>
          <w:szCs w:val="24"/>
        </w:rPr>
        <w:t>加开马力生产，</w:t>
      </w:r>
      <w:r>
        <w:rPr>
          <w:rFonts w:ascii="宋体" w:hAnsi="宋体" w:eastAsia="宋体" w:cs="宋体"/>
          <w:spacing w:val="55"/>
          <w:sz w:val="24"/>
          <w:szCs w:val="24"/>
        </w:rPr>
        <w:t xml:space="preserve"> </w:t>
      </w:r>
      <w:r>
        <w:rPr>
          <w:rFonts w:ascii="宋体" w:hAnsi="宋体" w:eastAsia="宋体" w:cs="宋体"/>
          <w:spacing w:val="-17"/>
          <w:sz w:val="24"/>
          <w:szCs w:val="24"/>
        </w:rPr>
        <w:t>同时</w:t>
      </w:r>
      <w:r>
        <w:rPr>
          <w:rFonts w:ascii="宋体" w:hAnsi="宋体" w:eastAsia="宋体" w:cs="宋体"/>
          <w:sz w:val="24"/>
          <w:szCs w:val="24"/>
        </w:rPr>
        <w:t xml:space="preserve"> </w:t>
      </w:r>
      <w:r>
        <w:rPr>
          <w:rFonts w:ascii="宋体" w:hAnsi="宋体" w:eastAsia="宋体" w:cs="宋体"/>
          <w:spacing w:val="-8"/>
          <w:sz w:val="24"/>
          <w:szCs w:val="24"/>
        </w:rPr>
        <w:t>通知广大市民抓紧时间利用各种容器尽可能多储水，</w:t>
      </w:r>
      <w:r>
        <w:rPr>
          <w:rFonts w:ascii="宋体" w:hAnsi="宋体" w:eastAsia="宋体" w:cs="宋体"/>
          <w:spacing w:val="57"/>
          <w:sz w:val="24"/>
          <w:szCs w:val="24"/>
        </w:rPr>
        <w:t xml:space="preserve"> </w:t>
      </w:r>
      <w:r>
        <w:rPr>
          <w:rFonts w:ascii="宋体" w:hAnsi="宋体" w:eastAsia="宋体" w:cs="宋体"/>
          <w:spacing w:val="-8"/>
          <w:sz w:val="24"/>
          <w:szCs w:val="24"/>
        </w:rPr>
        <w:t>以备不时之需。水质恢复正</w:t>
      </w:r>
      <w:r>
        <w:rPr>
          <w:rFonts w:ascii="宋体" w:hAnsi="宋体" w:eastAsia="宋体" w:cs="宋体"/>
          <w:sz w:val="24"/>
          <w:szCs w:val="24"/>
        </w:rPr>
        <w:t xml:space="preserve"> </w:t>
      </w:r>
      <w:r>
        <w:rPr>
          <w:rFonts w:ascii="宋体" w:hAnsi="宋体" w:eastAsia="宋体" w:cs="宋体"/>
          <w:spacing w:val="-6"/>
          <w:sz w:val="24"/>
          <w:szCs w:val="24"/>
        </w:rPr>
        <w:t>常前不能到新安江取饮用水，也不能食用新安江、富春江、兰江的死鱼。</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27"/>
          <w:sz w:val="24"/>
          <w:szCs w:val="24"/>
        </w:rPr>
        <w:t xml:space="preserve"> </w:t>
      </w:r>
      <w:r>
        <w:rPr>
          <w:rFonts w:ascii="宋体" w:hAnsi="宋体" w:eastAsia="宋体" w:cs="宋体"/>
          <w:spacing w:val="-6"/>
          <w:sz w:val="24"/>
          <w:szCs w:val="24"/>
        </w:rPr>
        <w:t>月</w:t>
      </w:r>
      <w:r>
        <w:rPr>
          <w:rFonts w:ascii="宋体" w:hAnsi="宋体" w:eastAsia="宋体" w:cs="宋体"/>
          <w:spacing w:val="-36"/>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z w:val="24"/>
          <w:szCs w:val="24"/>
        </w:rPr>
        <w:t xml:space="preserve"> </w:t>
      </w:r>
      <w:r>
        <w:rPr>
          <w:rFonts w:ascii="宋体" w:hAnsi="宋体" w:eastAsia="宋体" w:cs="宋体"/>
          <w:spacing w:val="-2"/>
          <w:sz w:val="24"/>
          <w:szCs w:val="24"/>
        </w:rPr>
        <w:t xml:space="preserve">日中午 </w:t>
      </w:r>
      <w:r>
        <w:rPr>
          <w:rFonts w:ascii="Times New Roman" w:hAnsi="Times New Roman" w:eastAsia="Times New Roman" w:cs="Times New Roman"/>
          <w:spacing w:val="-2"/>
          <w:sz w:val="24"/>
          <w:szCs w:val="24"/>
        </w:rPr>
        <w:t>11</w:t>
      </w:r>
      <w:r>
        <w:rPr>
          <w:rFonts w:ascii="Times New Roman" w:hAnsi="Times New Roman" w:eastAsia="Times New Roman" w:cs="Times New Roman"/>
          <w:spacing w:val="37"/>
          <w:w w:val="101"/>
          <w:sz w:val="24"/>
          <w:szCs w:val="24"/>
        </w:rPr>
        <w:t xml:space="preserve"> </w:t>
      </w:r>
      <w:r>
        <w:rPr>
          <w:rFonts w:ascii="宋体" w:hAnsi="宋体" w:eastAsia="宋体" w:cs="宋体"/>
          <w:spacing w:val="-2"/>
          <w:sz w:val="24"/>
          <w:szCs w:val="24"/>
        </w:rPr>
        <w:t>时，根据指挥部的要求，新安江电厂增开六台发电</w:t>
      </w:r>
      <w:r>
        <w:rPr>
          <w:rFonts w:ascii="宋体" w:hAnsi="宋体" w:eastAsia="宋体" w:cs="宋体"/>
          <w:spacing w:val="-3"/>
          <w:sz w:val="24"/>
          <w:szCs w:val="24"/>
        </w:rPr>
        <w:t>机组，下泄流量从</w:t>
      </w:r>
      <w:r>
        <w:rPr>
          <w:rFonts w:ascii="宋体" w:hAnsi="宋体" w:eastAsia="宋体" w:cs="宋体"/>
          <w:sz w:val="24"/>
          <w:szCs w:val="24"/>
        </w:rPr>
        <w:t xml:space="preserve"> </w:t>
      </w:r>
      <w:r>
        <w:rPr>
          <w:rFonts w:ascii="宋体" w:hAnsi="宋体" w:eastAsia="宋体" w:cs="宋体"/>
          <w:spacing w:val="-2"/>
          <w:sz w:val="24"/>
          <w:szCs w:val="24"/>
        </w:rPr>
        <w:t>每秒</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268</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立方米增至</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1230</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立方米，加速水体更新，稀释受污染的水体并加快下</w:t>
      </w:r>
      <w:r>
        <w:rPr>
          <w:rFonts w:ascii="宋体" w:hAnsi="宋体" w:eastAsia="宋体" w:cs="宋体"/>
          <w:sz w:val="24"/>
          <w:szCs w:val="24"/>
        </w:rPr>
        <w:t xml:space="preserve"> </w:t>
      </w:r>
      <w:r>
        <w:rPr>
          <w:rFonts w:ascii="宋体" w:hAnsi="宋体" w:eastAsia="宋体" w:cs="宋体"/>
          <w:spacing w:val="-4"/>
          <w:sz w:val="24"/>
          <w:szCs w:val="24"/>
        </w:rPr>
        <w:t>泄。截至</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月</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56"/>
          <w:sz w:val="24"/>
          <w:szCs w:val="24"/>
        </w:rPr>
        <w:t xml:space="preserve"> </w:t>
      </w:r>
      <w:r>
        <w:rPr>
          <w:rFonts w:ascii="宋体" w:hAnsi="宋体" w:eastAsia="宋体" w:cs="宋体"/>
          <w:spacing w:val="-4"/>
          <w:sz w:val="24"/>
          <w:szCs w:val="24"/>
        </w:rPr>
        <w:t>日中午</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25"/>
          <w:w w:val="101"/>
          <w:sz w:val="24"/>
          <w:szCs w:val="24"/>
        </w:rPr>
        <w:t xml:space="preserve"> </w:t>
      </w:r>
      <w:r>
        <w:rPr>
          <w:rFonts w:ascii="宋体" w:hAnsi="宋体" w:eastAsia="宋体" w:cs="宋体"/>
          <w:spacing w:val="-4"/>
          <w:sz w:val="24"/>
          <w:szCs w:val="24"/>
        </w:rPr>
        <w:t>时，发生交通事故的现场已清理完</w:t>
      </w:r>
      <w:r>
        <w:rPr>
          <w:rFonts w:ascii="宋体" w:hAnsi="宋体" w:eastAsia="宋体" w:cs="宋体"/>
          <w:spacing w:val="-5"/>
          <w:sz w:val="24"/>
          <w:szCs w:val="24"/>
        </w:rPr>
        <w:t>毕，泄漏的槽罐车</w:t>
      </w:r>
      <w:r>
        <w:rPr>
          <w:rFonts w:ascii="宋体" w:hAnsi="宋体" w:eastAsia="宋体" w:cs="宋体"/>
          <w:sz w:val="24"/>
          <w:szCs w:val="24"/>
        </w:rPr>
        <w:t xml:space="preserve"> </w:t>
      </w:r>
      <w:r>
        <w:rPr>
          <w:rFonts w:ascii="宋体" w:hAnsi="宋体" w:eastAsia="宋体" w:cs="宋体"/>
          <w:spacing w:val="-11"/>
          <w:sz w:val="24"/>
          <w:szCs w:val="24"/>
        </w:rPr>
        <w:t>已被拖离现场，</w:t>
      </w:r>
      <w:r>
        <w:rPr>
          <w:rFonts w:ascii="宋体" w:hAnsi="宋体" w:eastAsia="宋体" w:cs="宋体"/>
          <w:spacing w:val="34"/>
          <w:sz w:val="24"/>
          <w:szCs w:val="24"/>
        </w:rPr>
        <w:t xml:space="preserve"> </w:t>
      </w:r>
      <w:r>
        <w:rPr>
          <w:rFonts w:ascii="宋体" w:hAnsi="宋体" w:eastAsia="宋体" w:cs="宋体"/>
          <w:spacing w:val="-11"/>
          <w:sz w:val="24"/>
          <w:szCs w:val="24"/>
        </w:rPr>
        <w:t>残留在现场的部分苯酚也得到清除。经过几天的连续监测，</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20</w:t>
      </w:r>
      <w:r>
        <w:rPr>
          <w:rFonts w:ascii="Times New Roman" w:hAnsi="Times New Roman" w:eastAsia="Times New Roman" w:cs="Times New Roman"/>
          <w:spacing w:val="-12"/>
          <w:sz w:val="24"/>
          <w:szCs w:val="24"/>
        </w:rPr>
        <w:t>11</w:t>
      </w:r>
      <w:r>
        <w:rPr>
          <w:rFonts w:ascii="Times New Roman" w:hAnsi="Times New Roman" w:eastAsia="Times New Roman" w:cs="Times New Roman"/>
          <w:sz w:val="24"/>
          <w:szCs w:val="24"/>
        </w:rPr>
        <w:t xml:space="preserve"> </w:t>
      </w:r>
      <w:r>
        <w:rPr>
          <w:rFonts w:ascii="宋体" w:hAnsi="宋体" w:eastAsia="宋体" w:cs="宋体"/>
          <w:spacing w:val="-6"/>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9</w:t>
      </w:r>
      <w:r>
        <w:rPr>
          <w:rFonts w:ascii="Times New Roman" w:hAnsi="Times New Roman" w:eastAsia="Times New Roman" w:cs="Times New Roman"/>
          <w:spacing w:val="51"/>
          <w:sz w:val="24"/>
          <w:szCs w:val="24"/>
        </w:rPr>
        <w:t xml:space="preserve"> </w:t>
      </w:r>
      <w:r>
        <w:rPr>
          <w:rFonts w:ascii="宋体" w:hAnsi="宋体" w:eastAsia="宋体" w:cs="宋体"/>
          <w:spacing w:val="-6"/>
          <w:sz w:val="24"/>
          <w:szCs w:val="24"/>
        </w:rPr>
        <w:t>日</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12</w:t>
      </w:r>
      <w:r>
        <w:rPr>
          <w:rFonts w:ascii="Times New Roman" w:hAnsi="Times New Roman" w:eastAsia="Times New Roman" w:cs="Times New Roman"/>
          <w:spacing w:val="21"/>
          <w:sz w:val="24"/>
          <w:szCs w:val="24"/>
        </w:rPr>
        <w:t xml:space="preserve"> </w:t>
      </w:r>
      <w:r>
        <w:rPr>
          <w:rFonts w:ascii="宋体" w:hAnsi="宋体" w:eastAsia="宋体" w:cs="宋体"/>
          <w:spacing w:val="-6"/>
          <w:sz w:val="24"/>
          <w:szCs w:val="24"/>
        </w:rPr>
        <w:t>时，</w:t>
      </w:r>
      <w:r>
        <w:rPr>
          <w:rFonts w:ascii="宋体" w:hAnsi="宋体" w:eastAsia="宋体" w:cs="宋体"/>
          <w:spacing w:val="-42"/>
          <w:sz w:val="24"/>
          <w:szCs w:val="24"/>
        </w:rPr>
        <w:t xml:space="preserve"> </w:t>
      </w:r>
      <w:r>
        <w:rPr>
          <w:rFonts w:ascii="宋体" w:hAnsi="宋体" w:eastAsia="宋体" w:cs="宋体"/>
          <w:spacing w:val="-6"/>
          <w:sz w:val="24"/>
          <w:szCs w:val="24"/>
        </w:rPr>
        <w:t>事故入江点挥发酚浓度已下降至</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0.0078mg/L</w:t>
      </w:r>
      <w:r>
        <w:rPr>
          <w:rFonts w:ascii="宋体" w:hAnsi="宋体" w:eastAsia="宋体" w:cs="宋体"/>
          <w:spacing w:val="-6"/>
          <w:sz w:val="24"/>
          <w:szCs w:val="24"/>
        </w:rPr>
        <w:t>，下</w:t>
      </w:r>
      <w:r>
        <w:rPr>
          <w:rFonts w:ascii="宋体" w:hAnsi="宋体" w:eastAsia="宋体" w:cs="宋体"/>
          <w:spacing w:val="-7"/>
          <w:sz w:val="24"/>
          <w:szCs w:val="24"/>
        </w:rPr>
        <w:t>游其余各监</w:t>
      </w:r>
      <w:r>
        <w:rPr>
          <w:rFonts w:ascii="宋体" w:hAnsi="宋体" w:eastAsia="宋体" w:cs="宋体"/>
          <w:sz w:val="24"/>
          <w:szCs w:val="24"/>
        </w:rPr>
        <w:t xml:space="preserve"> </w:t>
      </w:r>
      <w:r>
        <w:rPr>
          <w:rFonts w:ascii="宋体" w:hAnsi="宋体" w:eastAsia="宋体" w:cs="宋体"/>
          <w:spacing w:val="-1"/>
          <w:sz w:val="24"/>
          <w:szCs w:val="24"/>
        </w:rPr>
        <w:t>测点</w:t>
      </w:r>
      <w:r>
        <w:rPr>
          <w:rFonts w:ascii="Times New Roman" w:hAnsi="Times New Roman" w:eastAsia="Times New Roman" w:cs="Times New Roman"/>
          <w:spacing w:val="-1"/>
          <w:sz w:val="24"/>
          <w:szCs w:val="24"/>
        </w:rPr>
        <w:t>(</w:t>
      </w:r>
      <w:r>
        <w:rPr>
          <w:rFonts w:ascii="宋体" w:hAnsi="宋体" w:eastAsia="宋体" w:cs="宋体"/>
          <w:spacing w:val="-1"/>
          <w:sz w:val="24"/>
          <w:szCs w:val="24"/>
        </w:rPr>
        <w:t>包括沿线所有水厂水源地</w:t>
      </w:r>
      <w:r>
        <w:rPr>
          <w:rFonts w:ascii="Times New Roman" w:hAnsi="Times New Roman" w:eastAsia="Times New Roman" w:cs="Times New Roman"/>
          <w:spacing w:val="-1"/>
          <w:sz w:val="24"/>
          <w:szCs w:val="24"/>
        </w:rPr>
        <w:t>)</w:t>
      </w:r>
      <w:r>
        <w:rPr>
          <w:rFonts w:ascii="宋体" w:hAnsi="宋体" w:eastAsia="宋体" w:cs="宋体"/>
          <w:spacing w:val="-1"/>
          <w:sz w:val="24"/>
          <w:szCs w:val="24"/>
        </w:rPr>
        <w:t>均达到地表水</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I </w:t>
      </w:r>
      <w:r>
        <w:rPr>
          <w:rFonts w:ascii="宋体" w:hAnsi="宋体" w:eastAsia="宋体" w:cs="宋体"/>
          <w:spacing w:val="-2"/>
          <w:sz w:val="24"/>
          <w:szCs w:val="24"/>
        </w:rPr>
        <w:t>类标准，并已稳定了</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天以上。</w:t>
      </w:r>
    </w:p>
    <w:p>
      <w:pPr>
        <w:spacing w:before="1" w:line="218" w:lineRule="auto"/>
        <w:ind w:left="37"/>
        <w:rPr>
          <w:rFonts w:ascii="宋体" w:hAnsi="宋体" w:eastAsia="宋体" w:cs="宋体"/>
          <w:sz w:val="24"/>
          <w:szCs w:val="24"/>
        </w:rPr>
      </w:pPr>
      <w:r>
        <w:rPr>
          <w:rFonts w:ascii="宋体" w:hAnsi="宋体" w:eastAsia="宋体" w:cs="宋体"/>
          <w:spacing w:val="-1"/>
          <w:sz w:val="24"/>
          <w:szCs w:val="24"/>
        </w:rPr>
        <w:t>杭州市所有取自钱塘江、富春江的自来水厂水源水质</w:t>
      </w:r>
      <w:r>
        <w:rPr>
          <w:rFonts w:ascii="宋体" w:hAnsi="宋体" w:eastAsia="宋体" w:cs="宋体"/>
          <w:spacing w:val="-2"/>
          <w:sz w:val="24"/>
          <w:szCs w:val="24"/>
        </w:rPr>
        <w:t>稳定达标，供水安全。</w:t>
      </w:r>
    </w:p>
    <w:p>
      <w:pPr>
        <w:spacing w:before="183" w:line="220"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）杭甬高速公路事故</w:t>
      </w:r>
    </w:p>
    <w:p>
      <w:pPr>
        <w:spacing w:before="180" w:line="219" w:lineRule="auto"/>
        <w:ind w:left="529"/>
        <w:rPr>
          <w:rFonts w:ascii="宋体" w:hAnsi="宋体" w:eastAsia="宋体" w:cs="宋体"/>
          <w:sz w:val="24"/>
          <w:szCs w:val="24"/>
        </w:rPr>
      </w:pPr>
      <w:r>
        <w:rPr>
          <w:rFonts w:ascii="宋体" w:hAnsi="宋体" w:eastAsia="宋体" w:cs="宋体"/>
          <w:spacing w:val="-9"/>
          <w:sz w:val="24"/>
          <w:szCs w:val="24"/>
        </w:rPr>
        <w:t xml:space="preserve">时间： </w:t>
      </w:r>
      <w:r>
        <w:rPr>
          <w:rFonts w:ascii="Times New Roman" w:hAnsi="Times New Roman" w:eastAsia="Times New Roman" w:cs="Times New Roman"/>
          <w:spacing w:val="-9"/>
          <w:sz w:val="24"/>
          <w:szCs w:val="24"/>
        </w:rPr>
        <w:t xml:space="preserve">2002 </w:t>
      </w:r>
      <w:r>
        <w:rPr>
          <w:rFonts w:ascii="宋体" w:hAnsi="宋体" w:eastAsia="宋体" w:cs="宋体"/>
          <w:spacing w:val="-9"/>
          <w:sz w:val="24"/>
          <w:szCs w:val="24"/>
        </w:rPr>
        <w:t>年</w:t>
      </w:r>
      <w:r>
        <w:rPr>
          <w:rFonts w:ascii="宋体" w:hAnsi="宋体" w:eastAsia="宋体" w:cs="宋体"/>
          <w:spacing w:val="-38"/>
          <w:sz w:val="24"/>
          <w:szCs w:val="24"/>
        </w:rPr>
        <w:t xml:space="preserve"> </w:t>
      </w:r>
      <w:r>
        <w:rPr>
          <w:rFonts w:ascii="Times New Roman" w:hAnsi="Times New Roman" w:eastAsia="Times New Roman" w:cs="Times New Roman"/>
          <w:spacing w:val="-9"/>
          <w:sz w:val="24"/>
          <w:szCs w:val="24"/>
        </w:rPr>
        <w:t>3</w:t>
      </w:r>
      <w:r>
        <w:rPr>
          <w:rFonts w:ascii="Times New Roman" w:hAnsi="Times New Roman" w:eastAsia="Times New Roman" w:cs="Times New Roman"/>
          <w:spacing w:val="16"/>
          <w:sz w:val="24"/>
          <w:szCs w:val="24"/>
        </w:rPr>
        <w:t xml:space="preserve"> </w:t>
      </w:r>
      <w:r>
        <w:rPr>
          <w:rFonts w:ascii="宋体" w:hAnsi="宋体" w:eastAsia="宋体" w:cs="宋体"/>
          <w:spacing w:val="-9"/>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 xml:space="preserve">10  </w:t>
      </w:r>
      <w:r>
        <w:rPr>
          <w:rFonts w:ascii="宋体" w:hAnsi="宋体" w:eastAsia="宋体" w:cs="宋体"/>
          <w:spacing w:val="-9"/>
          <w:sz w:val="24"/>
          <w:szCs w:val="24"/>
        </w:rPr>
        <w:t>日上午。地点：杭甬高速公路萧山段。</w:t>
      </w:r>
    </w:p>
    <w:p>
      <w:pPr>
        <w:spacing w:before="183" w:line="220" w:lineRule="auto"/>
        <w:ind w:left="518"/>
        <w:rPr>
          <w:rFonts w:ascii="宋体" w:hAnsi="宋体" w:eastAsia="宋体" w:cs="宋体"/>
          <w:sz w:val="24"/>
          <w:szCs w:val="24"/>
        </w:rPr>
      </w:pPr>
      <w:r>
        <w:rPr>
          <w:rFonts w:ascii="宋体" w:hAnsi="宋体" w:eastAsia="宋体" w:cs="宋体"/>
          <w:spacing w:val="-13"/>
          <w:sz w:val="24"/>
          <w:szCs w:val="24"/>
        </w:rPr>
        <w:t>晨</w:t>
      </w:r>
      <w:r>
        <w:rPr>
          <w:rFonts w:ascii="宋体" w:hAnsi="宋体" w:eastAsia="宋体" w:cs="宋体"/>
          <w:spacing w:val="-34"/>
          <w:sz w:val="24"/>
          <w:szCs w:val="24"/>
        </w:rPr>
        <w:t xml:space="preserve"> </w:t>
      </w:r>
      <w:r>
        <w:rPr>
          <w:rFonts w:ascii="Times New Roman" w:hAnsi="Times New Roman" w:eastAsia="Times New Roman" w:cs="Times New Roman"/>
          <w:spacing w:val="-13"/>
          <w:sz w:val="24"/>
          <w:szCs w:val="24"/>
        </w:rPr>
        <w:t>7</w:t>
      </w:r>
      <w:r>
        <w:rPr>
          <w:rFonts w:ascii="Times New Roman" w:hAnsi="Times New Roman" w:eastAsia="Times New Roman" w:cs="Times New Roman"/>
          <w:spacing w:val="22"/>
          <w:sz w:val="24"/>
          <w:szCs w:val="24"/>
        </w:rPr>
        <w:t xml:space="preserve"> </w:t>
      </w:r>
      <w:r>
        <w:rPr>
          <w:rFonts w:ascii="宋体" w:hAnsi="宋体" w:eastAsia="宋体" w:cs="宋体"/>
          <w:spacing w:val="-13"/>
          <w:sz w:val="24"/>
          <w:szCs w:val="24"/>
        </w:rPr>
        <w:t>点半出事，</w:t>
      </w:r>
      <w:r>
        <w:rPr>
          <w:rFonts w:ascii="宋体" w:hAnsi="宋体" w:eastAsia="宋体" w:cs="宋体"/>
          <w:spacing w:val="31"/>
          <w:sz w:val="24"/>
          <w:szCs w:val="24"/>
        </w:rPr>
        <w:t xml:space="preserve"> </w:t>
      </w:r>
      <w:r>
        <w:rPr>
          <w:rFonts w:ascii="宋体" w:hAnsi="宋体" w:eastAsia="宋体" w:cs="宋体"/>
          <w:spacing w:val="-13"/>
          <w:sz w:val="24"/>
          <w:szCs w:val="24"/>
        </w:rPr>
        <w:t>到下一天下午</w:t>
      </w:r>
      <w:r>
        <w:rPr>
          <w:rFonts w:ascii="宋体" w:hAnsi="宋体" w:eastAsia="宋体" w:cs="宋体"/>
          <w:spacing w:val="-56"/>
          <w:sz w:val="24"/>
          <w:szCs w:val="24"/>
        </w:rPr>
        <w:t xml:space="preserve"> </w:t>
      </w:r>
      <w:r>
        <w:rPr>
          <w:rFonts w:ascii="Times New Roman" w:hAnsi="Times New Roman" w:eastAsia="Times New Roman" w:cs="Times New Roman"/>
          <w:spacing w:val="-13"/>
          <w:sz w:val="24"/>
          <w:szCs w:val="24"/>
        </w:rPr>
        <w:t>4</w:t>
      </w:r>
      <w:r>
        <w:rPr>
          <w:rFonts w:ascii="Times New Roman" w:hAnsi="Times New Roman" w:eastAsia="Times New Roman" w:cs="Times New Roman"/>
          <w:spacing w:val="21"/>
          <w:w w:val="101"/>
          <w:sz w:val="24"/>
          <w:szCs w:val="24"/>
        </w:rPr>
        <w:t xml:space="preserve"> </w:t>
      </w:r>
      <w:r>
        <w:rPr>
          <w:rFonts w:ascii="宋体" w:hAnsi="宋体" w:eastAsia="宋体" w:cs="宋体"/>
          <w:spacing w:val="-13"/>
          <w:sz w:val="24"/>
          <w:szCs w:val="24"/>
        </w:rPr>
        <w:t>点清理完结。</w:t>
      </w:r>
    </w:p>
    <w:p>
      <w:pPr>
        <w:spacing w:before="181" w:line="359" w:lineRule="auto"/>
        <w:ind w:left="37" w:right="81" w:firstLine="481"/>
        <w:rPr>
          <w:rFonts w:ascii="宋体" w:hAnsi="宋体" w:eastAsia="宋体" w:cs="宋体"/>
          <w:sz w:val="24"/>
          <w:szCs w:val="24"/>
        </w:rPr>
      </w:pPr>
      <w:r>
        <w:rPr>
          <w:rFonts w:ascii="宋体" w:hAnsi="宋体" w:eastAsia="宋体" w:cs="宋体"/>
          <w:spacing w:val="-14"/>
          <w:sz w:val="24"/>
          <w:szCs w:val="24"/>
        </w:rPr>
        <w:t>情况如下：</w:t>
      </w:r>
      <w:r>
        <w:rPr>
          <w:rFonts w:ascii="宋体" w:hAnsi="宋体" w:eastAsia="宋体" w:cs="宋体"/>
          <w:spacing w:val="26"/>
          <w:sz w:val="24"/>
          <w:szCs w:val="24"/>
        </w:rPr>
        <w:t xml:space="preserve"> </w:t>
      </w:r>
      <w:r>
        <w:rPr>
          <w:rFonts w:ascii="Times New Roman" w:hAnsi="Times New Roman" w:eastAsia="Times New Roman" w:cs="Times New Roman"/>
          <w:spacing w:val="-14"/>
          <w:sz w:val="24"/>
          <w:szCs w:val="24"/>
        </w:rPr>
        <w:t>2002</w:t>
      </w:r>
      <w:r>
        <w:rPr>
          <w:rFonts w:ascii="Times New Roman" w:hAnsi="Times New Roman" w:eastAsia="Times New Roman" w:cs="Times New Roman"/>
          <w:spacing w:val="20"/>
          <w:w w:val="101"/>
          <w:sz w:val="24"/>
          <w:szCs w:val="24"/>
        </w:rPr>
        <w:t xml:space="preserve"> </w:t>
      </w:r>
      <w:r>
        <w:rPr>
          <w:rFonts w:ascii="宋体" w:hAnsi="宋体" w:eastAsia="宋体" w:cs="宋体"/>
          <w:spacing w:val="-14"/>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14"/>
          <w:sz w:val="24"/>
          <w:szCs w:val="24"/>
        </w:rPr>
        <w:t>3</w:t>
      </w:r>
      <w:r>
        <w:rPr>
          <w:rFonts w:ascii="Times New Roman" w:hAnsi="Times New Roman" w:eastAsia="Times New Roman" w:cs="Times New Roman"/>
          <w:spacing w:val="25"/>
          <w:sz w:val="24"/>
          <w:szCs w:val="24"/>
        </w:rPr>
        <w:t xml:space="preserve"> </w:t>
      </w:r>
      <w:r>
        <w:rPr>
          <w:rFonts w:ascii="宋体" w:hAnsi="宋体" w:eastAsia="宋体" w:cs="宋体"/>
          <w:spacing w:val="-14"/>
          <w:sz w:val="24"/>
          <w:szCs w:val="24"/>
        </w:rPr>
        <w:t xml:space="preserve">月 </w:t>
      </w:r>
      <w:r>
        <w:rPr>
          <w:rFonts w:ascii="Times New Roman" w:hAnsi="Times New Roman" w:eastAsia="Times New Roman" w:cs="Times New Roman"/>
          <w:spacing w:val="-14"/>
          <w:sz w:val="24"/>
          <w:szCs w:val="24"/>
        </w:rPr>
        <w:t xml:space="preserve">10  </w:t>
      </w:r>
      <w:r>
        <w:rPr>
          <w:rFonts w:ascii="宋体" w:hAnsi="宋体" w:eastAsia="宋体" w:cs="宋体"/>
          <w:spacing w:val="-14"/>
          <w:sz w:val="24"/>
          <w:szCs w:val="24"/>
        </w:rPr>
        <w:t>日上午</w:t>
      </w:r>
      <w:r>
        <w:rPr>
          <w:rFonts w:ascii="宋体" w:hAnsi="宋体" w:eastAsia="宋体" w:cs="宋体"/>
          <w:spacing w:val="-41"/>
          <w:sz w:val="24"/>
          <w:szCs w:val="24"/>
        </w:rPr>
        <w:t xml:space="preserve"> </w:t>
      </w:r>
      <w:r>
        <w:rPr>
          <w:rFonts w:ascii="Times New Roman" w:hAnsi="Times New Roman" w:eastAsia="Times New Roman" w:cs="Times New Roman"/>
          <w:spacing w:val="-14"/>
          <w:sz w:val="24"/>
          <w:szCs w:val="24"/>
        </w:rPr>
        <w:t>7</w:t>
      </w:r>
      <w:r>
        <w:rPr>
          <w:rFonts w:ascii="Times New Roman" w:hAnsi="Times New Roman" w:eastAsia="Times New Roman" w:cs="Times New Roman"/>
          <w:spacing w:val="30"/>
          <w:sz w:val="24"/>
          <w:szCs w:val="24"/>
        </w:rPr>
        <w:t xml:space="preserve"> </w:t>
      </w:r>
      <w:r>
        <w:rPr>
          <w:rFonts w:ascii="宋体" w:hAnsi="宋体" w:eastAsia="宋体" w:cs="宋体"/>
          <w:spacing w:val="-14"/>
          <w:sz w:val="24"/>
          <w:szCs w:val="24"/>
        </w:rPr>
        <w:t>时</w:t>
      </w:r>
      <w:r>
        <w:rPr>
          <w:rFonts w:ascii="宋体" w:hAnsi="宋体" w:eastAsia="宋体" w:cs="宋体"/>
          <w:spacing w:val="-41"/>
          <w:sz w:val="24"/>
          <w:szCs w:val="24"/>
        </w:rPr>
        <w:t xml:space="preserve"> </w:t>
      </w:r>
      <w:r>
        <w:rPr>
          <w:rFonts w:ascii="Times New Roman" w:hAnsi="Times New Roman" w:eastAsia="Times New Roman" w:cs="Times New Roman"/>
          <w:spacing w:val="-14"/>
          <w:sz w:val="24"/>
          <w:szCs w:val="24"/>
        </w:rPr>
        <w:t>30</w:t>
      </w:r>
      <w:r>
        <w:rPr>
          <w:rFonts w:ascii="Times New Roman" w:hAnsi="Times New Roman" w:eastAsia="Times New Roman" w:cs="Times New Roman"/>
          <w:spacing w:val="22"/>
          <w:w w:val="101"/>
          <w:sz w:val="24"/>
          <w:szCs w:val="24"/>
        </w:rPr>
        <w:t xml:space="preserve"> </w:t>
      </w:r>
      <w:r>
        <w:rPr>
          <w:rFonts w:ascii="宋体" w:hAnsi="宋体" w:eastAsia="宋体" w:cs="宋体"/>
          <w:spacing w:val="-14"/>
          <w:sz w:val="24"/>
          <w:szCs w:val="24"/>
        </w:rPr>
        <w:t>分，在杭甬高速公路萧山段，</w:t>
      </w:r>
      <w:r>
        <w:rPr>
          <w:rFonts w:ascii="宋体" w:hAnsi="宋体" w:eastAsia="宋体" w:cs="宋体"/>
          <w:spacing w:val="66"/>
          <w:sz w:val="24"/>
          <w:szCs w:val="24"/>
        </w:rPr>
        <w:t xml:space="preserve"> </w:t>
      </w:r>
      <w:r>
        <w:rPr>
          <w:rFonts w:ascii="宋体" w:hAnsi="宋体" w:eastAsia="宋体" w:cs="宋体"/>
          <w:spacing w:val="-14"/>
          <w:sz w:val="24"/>
          <w:szCs w:val="24"/>
        </w:rPr>
        <w:t>一</w:t>
      </w:r>
      <w:r>
        <w:rPr>
          <w:rFonts w:ascii="宋体" w:hAnsi="宋体" w:eastAsia="宋体" w:cs="宋体"/>
          <w:sz w:val="24"/>
          <w:szCs w:val="24"/>
        </w:rPr>
        <w:t xml:space="preserve"> </w:t>
      </w:r>
      <w:r>
        <w:rPr>
          <w:rFonts w:ascii="宋体" w:hAnsi="宋体" w:eastAsia="宋体" w:cs="宋体"/>
          <w:spacing w:val="-12"/>
          <w:sz w:val="24"/>
          <w:szCs w:val="24"/>
        </w:rPr>
        <w:t>辆运送化学物品的槽罐车侧翻，</w:t>
      </w:r>
      <w:r>
        <w:rPr>
          <w:rFonts w:ascii="宋体" w:hAnsi="宋体" w:eastAsia="宋体" w:cs="宋体"/>
          <w:spacing w:val="65"/>
          <w:sz w:val="24"/>
          <w:szCs w:val="24"/>
        </w:rPr>
        <w:t xml:space="preserve"> </w:t>
      </w:r>
      <w:r>
        <w:rPr>
          <w:rFonts w:ascii="Times New Roman" w:hAnsi="Times New Roman" w:eastAsia="Times New Roman" w:cs="Times New Roman"/>
          <w:spacing w:val="-12"/>
          <w:sz w:val="24"/>
          <w:szCs w:val="24"/>
        </w:rPr>
        <w:t>15</w:t>
      </w:r>
      <w:r>
        <w:rPr>
          <w:rFonts w:ascii="Times New Roman" w:hAnsi="Times New Roman" w:eastAsia="Times New Roman" w:cs="Times New Roman"/>
          <w:spacing w:val="21"/>
          <w:sz w:val="24"/>
          <w:szCs w:val="24"/>
        </w:rPr>
        <w:t xml:space="preserve"> </w:t>
      </w:r>
      <w:r>
        <w:rPr>
          <w:rFonts w:ascii="宋体" w:hAnsi="宋体" w:eastAsia="宋体" w:cs="宋体"/>
          <w:spacing w:val="-12"/>
          <w:sz w:val="24"/>
          <w:szCs w:val="24"/>
        </w:rPr>
        <w:t>吨苯倾泻， 流向公路旁</w:t>
      </w:r>
      <w:r>
        <w:rPr>
          <w:rFonts w:ascii="宋体" w:hAnsi="宋体" w:eastAsia="宋体" w:cs="宋体"/>
          <w:spacing w:val="-50"/>
          <w:sz w:val="24"/>
          <w:szCs w:val="24"/>
        </w:rPr>
        <w:t xml:space="preserve"> </w:t>
      </w:r>
      <w:r>
        <w:rPr>
          <w:rFonts w:ascii="Times New Roman" w:hAnsi="Times New Roman" w:eastAsia="Times New Roman" w:cs="Times New Roman"/>
          <w:spacing w:val="-12"/>
          <w:sz w:val="24"/>
          <w:szCs w:val="24"/>
        </w:rPr>
        <w:t>300m</w:t>
      </w:r>
      <w:r>
        <w:rPr>
          <w:rFonts w:ascii="Times New Roman" w:hAnsi="Times New Roman" w:eastAsia="Times New Roman" w:cs="Times New Roman"/>
          <w:spacing w:val="11"/>
          <w:sz w:val="24"/>
          <w:szCs w:val="24"/>
        </w:rPr>
        <w:t xml:space="preserve"> </w:t>
      </w:r>
      <w:r>
        <w:rPr>
          <w:rFonts w:ascii="宋体" w:hAnsi="宋体" w:eastAsia="宋体" w:cs="宋体"/>
          <w:spacing w:val="-12"/>
          <w:sz w:val="24"/>
          <w:szCs w:val="24"/>
        </w:rPr>
        <w:t>长的排水沟。此</w:t>
      </w:r>
    </w:p>
    <w:p>
      <w:pPr>
        <w:spacing w:line="218" w:lineRule="auto"/>
        <w:jc w:val="right"/>
        <w:rPr>
          <w:rFonts w:ascii="宋体" w:hAnsi="宋体" w:eastAsia="宋体" w:cs="宋体"/>
          <w:sz w:val="24"/>
          <w:szCs w:val="24"/>
        </w:rPr>
      </w:pPr>
      <w:r>
        <w:rPr>
          <w:rFonts w:ascii="宋体" w:hAnsi="宋体" w:eastAsia="宋体" w:cs="宋体"/>
          <w:spacing w:val="-10"/>
          <w:sz w:val="24"/>
          <w:szCs w:val="24"/>
        </w:rPr>
        <w:t>时，空气中一旦闪过静电或火星，</w:t>
      </w:r>
      <w:r>
        <w:rPr>
          <w:rFonts w:ascii="宋体" w:hAnsi="宋体" w:eastAsia="宋体" w:cs="宋体"/>
          <w:spacing w:val="-33"/>
          <w:sz w:val="24"/>
          <w:szCs w:val="24"/>
        </w:rPr>
        <w:t xml:space="preserve"> </w:t>
      </w:r>
      <w:r>
        <w:rPr>
          <w:rFonts w:ascii="宋体" w:hAnsi="宋体" w:eastAsia="宋体" w:cs="宋体"/>
          <w:spacing w:val="-10"/>
          <w:sz w:val="24"/>
          <w:szCs w:val="24"/>
        </w:rPr>
        <w:t>这些引爆点较低的化学物品极有可能起火爆炸。</w:t>
      </w:r>
    </w:p>
    <w:p>
      <w:pPr>
        <w:spacing w:line="218" w:lineRule="auto"/>
        <w:rPr>
          <w:rFonts w:ascii="宋体" w:hAnsi="宋体" w:eastAsia="宋体" w:cs="宋体"/>
          <w:sz w:val="24"/>
          <w:szCs w:val="24"/>
        </w:rPr>
        <w:sectPr>
          <w:headerReference r:id="rId301" w:type="default"/>
          <w:footerReference r:id="rId302" w:type="default"/>
          <w:pgSz w:w="11907" w:h="16839"/>
          <w:pgMar w:top="1118" w:right="1716" w:bottom="1184" w:left="1771" w:header="879" w:footer="1024" w:gutter="0"/>
          <w:cols w:space="720" w:num="1"/>
        </w:sectPr>
      </w:pPr>
    </w:p>
    <w:p>
      <w:pPr>
        <w:pStyle w:val="2"/>
        <w:spacing w:line="278" w:lineRule="auto"/>
      </w:pPr>
    </w:p>
    <w:p>
      <w:pPr>
        <w:spacing w:before="78" w:line="359" w:lineRule="auto"/>
        <w:ind w:left="42" w:right="29" w:hanging="4"/>
        <w:jc w:val="both"/>
        <w:rPr>
          <w:rFonts w:ascii="宋体" w:hAnsi="宋体" w:eastAsia="宋体" w:cs="宋体"/>
          <w:sz w:val="24"/>
          <w:szCs w:val="24"/>
        </w:rPr>
      </w:pPr>
      <w:r>
        <w:rPr>
          <w:rFonts w:ascii="宋体" w:hAnsi="宋体" w:eastAsia="宋体" w:cs="宋体"/>
          <w:spacing w:val="-11"/>
          <w:sz w:val="24"/>
          <w:szCs w:val="24"/>
        </w:rPr>
        <w:t>事发后仅</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3</w:t>
      </w:r>
      <w:r>
        <w:rPr>
          <w:rFonts w:ascii="Times New Roman" w:hAnsi="Times New Roman" w:eastAsia="Times New Roman" w:cs="Times New Roman"/>
          <w:spacing w:val="12"/>
          <w:sz w:val="24"/>
          <w:szCs w:val="24"/>
        </w:rPr>
        <w:t xml:space="preserve"> </w:t>
      </w:r>
      <w:r>
        <w:rPr>
          <w:rFonts w:ascii="宋体" w:hAnsi="宋体" w:eastAsia="宋体" w:cs="宋体"/>
          <w:spacing w:val="-11"/>
          <w:sz w:val="24"/>
          <w:szCs w:val="24"/>
        </w:rPr>
        <w:t>分钟， 高速交警杭州大队巡逻车赶到现场，</w:t>
      </w:r>
      <w:r>
        <w:rPr>
          <w:rFonts w:ascii="宋体" w:hAnsi="宋体" w:eastAsia="宋体" w:cs="宋体"/>
          <w:spacing w:val="32"/>
          <w:sz w:val="24"/>
          <w:szCs w:val="24"/>
        </w:rPr>
        <w:t xml:space="preserve"> </w:t>
      </w:r>
      <w:r>
        <w:rPr>
          <w:rFonts w:ascii="宋体" w:hAnsi="宋体" w:eastAsia="宋体" w:cs="宋体"/>
          <w:spacing w:val="-11"/>
          <w:sz w:val="24"/>
          <w:szCs w:val="24"/>
        </w:rPr>
        <w:t>疏散交通。消防特</w:t>
      </w:r>
      <w:r>
        <w:rPr>
          <w:rFonts w:ascii="宋体" w:hAnsi="宋体" w:eastAsia="宋体" w:cs="宋体"/>
          <w:spacing w:val="-12"/>
          <w:sz w:val="24"/>
          <w:szCs w:val="24"/>
        </w:rPr>
        <w:t>勤大队</w:t>
      </w:r>
      <w:r>
        <w:rPr>
          <w:rFonts w:ascii="宋体" w:hAnsi="宋体" w:eastAsia="宋体" w:cs="宋体"/>
          <w:sz w:val="24"/>
          <w:szCs w:val="24"/>
        </w:rPr>
        <w:t xml:space="preserve"> </w:t>
      </w:r>
      <w:r>
        <w:rPr>
          <w:rFonts w:ascii="宋体" w:hAnsi="宋体" w:eastAsia="宋体" w:cs="宋体"/>
          <w:spacing w:val="-9"/>
          <w:sz w:val="24"/>
          <w:szCs w:val="24"/>
        </w:rPr>
        <w:t>也在</w:t>
      </w:r>
      <w:r>
        <w:rPr>
          <w:rFonts w:ascii="宋体" w:hAnsi="宋体" w:eastAsia="宋体" w:cs="宋体"/>
          <w:spacing w:val="-47"/>
          <w:sz w:val="24"/>
          <w:szCs w:val="24"/>
        </w:rPr>
        <w:t xml:space="preserve"> </w:t>
      </w:r>
      <w:r>
        <w:rPr>
          <w:rFonts w:ascii="Times New Roman" w:hAnsi="Times New Roman" w:eastAsia="Times New Roman" w:cs="Times New Roman"/>
          <w:spacing w:val="-9"/>
          <w:sz w:val="24"/>
          <w:szCs w:val="24"/>
        </w:rPr>
        <w:t>20</w:t>
      </w:r>
      <w:r>
        <w:rPr>
          <w:rFonts w:ascii="Times New Roman" w:hAnsi="Times New Roman" w:eastAsia="Times New Roman" w:cs="Times New Roman"/>
          <w:spacing w:val="13"/>
          <w:sz w:val="24"/>
          <w:szCs w:val="24"/>
        </w:rPr>
        <w:t xml:space="preserve"> </w:t>
      </w:r>
      <w:r>
        <w:rPr>
          <w:rFonts w:ascii="宋体" w:hAnsi="宋体" w:eastAsia="宋体" w:cs="宋体"/>
          <w:spacing w:val="-9"/>
          <w:sz w:val="24"/>
          <w:szCs w:val="24"/>
        </w:rPr>
        <w:t>分钟后赶到事发地，投入抢险。至</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3</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11</w:t>
      </w:r>
      <w:r>
        <w:rPr>
          <w:rFonts w:ascii="Times New Roman" w:hAnsi="Times New Roman" w:eastAsia="Times New Roman" w:cs="Times New Roman"/>
          <w:spacing w:val="51"/>
          <w:sz w:val="24"/>
          <w:szCs w:val="24"/>
        </w:rPr>
        <w:t xml:space="preserve"> </w:t>
      </w:r>
      <w:r>
        <w:rPr>
          <w:rFonts w:ascii="宋体" w:hAnsi="宋体" w:eastAsia="宋体" w:cs="宋体"/>
          <w:spacing w:val="-9"/>
          <w:sz w:val="24"/>
          <w:szCs w:val="24"/>
        </w:rPr>
        <w:t>日下午</w:t>
      </w:r>
      <w:r>
        <w:rPr>
          <w:rFonts w:ascii="宋体" w:hAnsi="宋体" w:eastAsia="宋体" w:cs="宋体"/>
          <w:spacing w:val="-57"/>
          <w:sz w:val="24"/>
          <w:szCs w:val="24"/>
        </w:rPr>
        <w:t xml:space="preserve"> </w:t>
      </w:r>
      <w:r>
        <w:rPr>
          <w:rFonts w:ascii="Times New Roman" w:hAnsi="Times New Roman" w:eastAsia="Times New Roman" w:cs="Times New Roman"/>
          <w:spacing w:val="-9"/>
          <w:sz w:val="24"/>
          <w:szCs w:val="24"/>
        </w:rPr>
        <w:t>4</w:t>
      </w:r>
      <w:r>
        <w:rPr>
          <w:rFonts w:ascii="Times New Roman" w:hAnsi="Times New Roman" w:eastAsia="Times New Roman" w:cs="Times New Roman"/>
          <w:spacing w:val="22"/>
          <w:sz w:val="24"/>
          <w:szCs w:val="24"/>
        </w:rPr>
        <w:t xml:space="preserve"> </w:t>
      </w:r>
      <w:r>
        <w:rPr>
          <w:rFonts w:ascii="宋体" w:hAnsi="宋体" w:eastAsia="宋体" w:cs="宋体"/>
          <w:spacing w:val="-9"/>
          <w:sz w:val="24"/>
          <w:szCs w:val="24"/>
        </w:rPr>
        <w:t>点，</w:t>
      </w:r>
      <w:r>
        <w:rPr>
          <w:rFonts w:ascii="宋体" w:hAnsi="宋体" w:eastAsia="宋体" w:cs="宋体"/>
          <w:spacing w:val="-60"/>
          <w:sz w:val="24"/>
          <w:szCs w:val="24"/>
        </w:rPr>
        <w:t xml:space="preserve"> </w:t>
      </w:r>
      <w:r>
        <w:rPr>
          <w:rFonts w:ascii="宋体" w:hAnsi="宋体" w:eastAsia="宋体" w:cs="宋体"/>
          <w:spacing w:val="-9"/>
          <w:sz w:val="24"/>
          <w:szCs w:val="24"/>
        </w:rPr>
        <w:t>泄漏的苯终于被</w:t>
      </w:r>
    </w:p>
    <w:p>
      <w:pPr>
        <w:spacing w:line="220" w:lineRule="auto"/>
        <w:ind w:left="42"/>
        <w:rPr>
          <w:rFonts w:ascii="宋体" w:hAnsi="宋体" w:eastAsia="宋体" w:cs="宋体"/>
          <w:sz w:val="24"/>
          <w:szCs w:val="24"/>
        </w:rPr>
      </w:pPr>
      <w:r>
        <w:rPr>
          <w:rFonts w:ascii="宋体" w:hAnsi="宋体" w:eastAsia="宋体" w:cs="宋体"/>
          <w:spacing w:val="-8"/>
          <w:sz w:val="24"/>
          <w:szCs w:val="24"/>
        </w:rPr>
        <w:t>安全清理。</w:t>
      </w:r>
    </w:p>
    <w:p>
      <w:pPr>
        <w:spacing w:before="181" w:line="220" w:lineRule="auto"/>
        <w:ind w:left="36"/>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5.6.2 </w:t>
      </w:r>
      <w:r>
        <w:rPr>
          <w:rFonts w:ascii="宋体" w:hAnsi="宋体" w:eastAsia="宋体" w:cs="宋体"/>
          <w:spacing w:val="-1"/>
          <w:sz w:val="24"/>
          <w:szCs w:val="24"/>
          <w14:textOutline w14:w="4354" w14:cap="flat" w14:cmpd="sng">
            <w14:solidFill>
              <w14:srgbClr w14:val="000000"/>
            </w14:solidFill>
            <w14:prstDash w14:val="solid"/>
            <w14:miter w14:val="0"/>
          </w14:textOutline>
        </w:rPr>
        <w:t>环境风险源调查</w:t>
      </w:r>
    </w:p>
    <w:p>
      <w:pPr>
        <w:spacing w:before="180" w:line="359" w:lineRule="auto"/>
        <w:ind w:left="38" w:right="30" w:firstLine="480"/>
        <w:rPr>
          <w:rFonts w:ascii="宋体" w:hAnsi="宋体" w:eastAsia="宋体" w:cs="宋体"/>
          <w:sz w:val="24"/>
          <w:szCs w:val="24"/>
        </w:rPr>
      </w:pPr>
      <w:r>
        <w:rPr>
          <w:rFonts w:ascii="宋体" w:hAnsi="宋体" w:eastAsia="宋体" w:cs="宋体"/>
          <w:spacing w:val="-8"/>
          <w:sz w:val="24"/>
          <w:szCs w:val="24"/>
        </w:rPr>
        <w:t>本项目未设置服务区加油站等，</w:t>
      </w:r>
      <w:r>
        <w:rPr>
          <w:rFonts w:ascii="宋体" w:hAnsi="宋体" w:eastAsia="宋体" w:cs="宋体"/>
          <w:spacing w:val="36"/>
          <w:sz w:val="24"/>
          <w:szCs w:val="24"/>
        </w:rPr>
        <w:t xml:space="preserve"> </w:t>
      </w:r>
      <w:r>
        <w:rPr>
          <w:rFonts w:ascii="宋体" w:hAnsi="宋体" w:eastAsia="宋体" w:cs="宋体"/>
          <w:spacing w:val="-8"/>
          <w:sz w:val="24"/>
          <w:szCs w:val="24"/>
        </w:rPr>
        <w:t>因此无油罐泄漏风险。公路允许危化品车辆</w:t>
      </w:r>
      <w:r>
        <w:rPr>
          <w:rFonts w:ascii="宋体" w:hAnsi="宋体" w:eastAsia="宋体" w:cs="宋体"/>
          <w:sz w:val="24"/>
          <w:szCs w:val="24"/>
        </w:rPr>
        <w:t xml:space="preserve"> </w:t>
      </w:r>
      <w:r>
        <w:rPr>
          <w:rFonts w:ascii="宋体" w:hAnsi="宋体" w:eastAsia="宋体" w:cs="宋体"/>
          <w:spacing w:val="-15"/>
          <w:sz w:val="24"/>
          <w:szCs w:val="24"/>
        </w:rPr>
        <w:t>通过， 公路运输过程中的风险事故，</w:t>
      </w:r>
      <w:r>
        <w:rPr>
          <w:rFonts w:ascii="宋体" w:hAnsi="宋体" w:eastAsia="宋体" w:cs="宋体"/>
          <w:spacing w:val="43"/>
          <w:sz w:val="24"/>
          <w:szCs w:val="24"/>
        </w:rPr>
        <w:t xml:space="preserve"> </w:t>
      </w:r>
      <w:r>
        <w:rPr>
          <w:rFonts w:ascii="宋体" w:hAnsi="宋体" w:eastAsia="宋体" w:cs="宋体"/>
          <w:spacing w:val="-15"/>
          <w:sz w:val="24"/>
          <w:szCs w:val="24"/>
        </w:rPr>
        <w:t>主要造成的影响是对沿线水体的影响，</w:t>
      </w:r>
      <w:r>
        <w:rPr>
          <w:rFonts w:ascii="宋体" w:hAnsi="宋体" w:eastAsia="宋体" w:cs="宋体"/>
          <w:spacing w:val="33"/>
          <w:sz w:val="24"/>
          <w:szCs w:val="24"/>
        </w:rPr>
        <w:t xml:space="preserve"> </w:t>
      </w:r>
      <w:r>
        <w:rPr>
          <w:rFonts w:ascii="宋体" w:hAnsi="宋体" w:eastAsia="宋体" w:cs="宋体"/>
          <w:spacing w:val="-15"/>
          <w:sz w:val="24"/>
          <w:szCs w:val="24"/>
        </w:rPr>
        <w:t>化学</w:t>
      </w:r>
      <w:r>
        <w:rPr>
          <w:rFonts w:ascii="宋体" w:hAnsi="宋体" w:eastAsia="宋体" w:cs="宋体"/>
          <w:sz w:val="24"/>
          <w:szCs w:val="24"/>
        </w:rPr>
        <w:t xml:space="preserve"> </w:t>
      </w:r>
      <w:r>
        <w:rPr>
          <w:rFonts w:ascii="宋体" w:hAnsi="宋体" w:eastAsia="宋体" w:cs="宋体"/>
          <w:spacing w:val="-8"/>
          <w:sz w:val="24"/>
          <w:szCs w:val="24"/>
        </w:rPr>
        <w:t>危险品的泄漏、落水将造成水体的严重污染。大量的研究成果表明，</w:t>
      </w:r>
      <w:r>
        <w:rPr>
          <w:rFonts w:ascii="宋体" w:hAnsi="宋体" w:eastAsia="宋体" w:cs="宋体"/>
          <w:spacing w:val="56"/>
          <w:sz w:val="24"/>
          <w:szCs w:val="24"/>
        </w:rPr>
        <w:t xml:space="preserve"> </w:t>
      </w:r>
      <w:r>
        <w:rPr>
          <w:rFonts w:ascii="宋体" w:hAnsi="宋体" w:eastAsia="宋体" w:cs="宋体"/>
          <w:spacing w:val="-8"/>
          <w:sz w:val="24"/>
          <w:szCs w:val="24"/>
        </w:rPr>
        <w:t>公路污染事</w:t>
      </w:r>
      <w:r>
        <w:rPr>
          <w:rFonts w:ascii="宋体" w:hAnsi="宋体" w:eastAsia="宋体" w:cs="宋体"/>
          <w:sz w:val="24"/>
          <w:szCs w:val="24"/>
        </w:rPr>
        <w:t xml:space="preserve"> </w:t>
      </w:r>
      <w:r>
        <w:rPr>
          <w:rFonts w:ascii="宋体" w:hAnsi="宋体" w:eastAsia="宋体" w:cs="宋体"/>
          <w:spacing w:val="-6"/>
          <w:sz w:val="24"/>
          <w:szCs w:val="24"/>
        </w:rPr>
        <w:t>故主要来源于交通事故。当公路跨过水体或沿水域经过时，</w:t>
      </w:r>
      <w:r>
        <w:rPr>
          <w:rFonts w:ascii="宋体" w:hAnsi="宋体" w:eastAsia="宋体" w:cs="宋体"/>
          <w:spacing w:val="-7"/>
          <w:sz w:val="24"/>
          <w:szCs w:val="24"/>
        </w:rPr>
        <w:t xml:space="preserve"> 车辆发生事故将可能</w:t>
      </w:r>
    </w:p>
    <w:p>
      <w:pPr>
        <w:spacing w:before="1" w:line="219" w:lineRule="auto"/>
        <w:ind w:left="37"/>
        <w:rPr>
          <w:rFonts w:ascii="宋体" w:hAnsi="宋体" w:eastAsia="宋体" w:cs="宋体"/>
          <w:sz w:val="24"/>
          <w:szCs w:val="24"/>
        </w:rPr>
      </w:pPr>
      <w:r>
        <w:rPr>
          <w:rFonts w:ascii="宋体" w:hAnsi="宋体" w:eastAsia="宋体" w:cs="宋体"/>
          <w:spacing w:val="-3"/>
          <w:sz w:val="24"/>
          <w:szCs w:val="24"/>
        </w:rPr>
        <w:t>对水体、环境空气产生污染，事故类型主要有：</w:t>
      </w:r>
    </w:p>
    <w:p>
      <w:pPr>
        <w:spacing w:before="182" w:line="213" w:lineRule="auto"/>
        <w:ind w:left="52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）车辆本身携带的汽油</w:t>
      </w:r>
      <w:r>
        <w:rPr>
          <w:rFonts w:ascii="Times New Roman" w:hAnsi="Times New Roman" w:eastAsia="Times New Roman" w:cs="Times New Roman"/>
          <w:spacing w:val="-2"/>
          <w:sz w:val="24"/>
          <w:szCs w:val="24"/>
        </w:rPr>
        <w:t>(</w:t>
      </w:r>
      <w:r>
        <w:rPr>
          <w:rFonts w:ascii="宋体" w:hAnsi="宋体" w:eastAsia="宋体" w:cs="宋体"/>
          <w:spacing w:val="-2"/>
          <w:sz w:val="24"/>
          <w:szCs w:val="24"/>
        </w:rPr>
        <w:t>柴油</w:t>
      </w:r>
      <w:r>
        <w:rPr>
          <w:rFonts w:ascii="Times New Roman" w:hAnsi="Times New Roman" w:eastAsia="Times New Roman" w:cs="Times New Roman"/>
          <w:spacing w:val="-2"/>
          <w:sz w:val="24"/>
          <w:szCs w:val="24"/>
        </w:rPr>
        <w:t>)</w:t>
      </w:r>
      <w:r>
        <w:rPr>
          <w:rFonts w:ascii="宋体" w:hAnsi="宋体" w:eastAsia="宋体" w:cs="宋体"/>
          <w:spacing w:val="-2"/>
          <w:sz w:val="24"/>
          <w:szCs w:val="24"/>
        </w:rPr>
        <w:t>和机油泄漏，排入附近水体。</w:t>
      </w:r>
    </w:p>
    <w:p>
      <w:pPr>
        <w:spacing w:before="189" w:line="359" w:lineRule="auto"/>
        <w:ind w:left="41" w:right="30" w:firstLine="48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）化学危险品的运输车辆发生交通事故后，有毒有害固态、液态危险品</w:t>
      </w:r>
      <w:r>
        <w:rPr>
          <w:rFonts w:ascii="宋体" w:hAnsi="宋体" w:eastAsia="宋体" w:cs="宋体"/>
          <w:spacing w:val="2"/>
          <w:sz w:val="24"/>
          <w:szCs w:val="24"/>
        </w:rPr>
        <w:t xml:space="preserve"> </w:t>
      </w:r>
      <w:r>
        <w:rPr>
          <w:rFonts w:ascii="宋体" w:hAnsi="宋体" w:eastAsia="宋体" w:cs="宋体"/>
          <w:spacing w:val="-8"/>
          <w:sz w:val="24"/>
          <w:szCs w:val="24"/>
        </w:rPr>
        <w:t>发生泄漏或易燃易爆物质引起爆炸，</w:t>
      </w:r>
      <w:r>
        <w:rPr>
          <w:rFonts w:ascii="宋体" w:hAnsi="宋体" w:eastAsia="宋体" w:cs="宋体"/>
          <w:spacing w:val="52"/>
          <w:sz w:val="24"/>
          <w:szCs w:val="24"/>
        </w:rPr>
        <w:t xml:space="preserve"> </w:t>
      </w:r>
      <w:r>
        <w:rPr>
          <w:rFonts w:ascii="宋体" w:hAnsi="宋体" w:eastAsia="宋体" w:cs="宋体"/>
          <w:spacing w:val="-8"/>
          <w:sz w:val="24"/>
          <w:szCs w:val="24"/>
        </w:rPr>
        <w:t>引起空气污染、水污染、地下水污染和土壤</w:t>
      </w:r>
    </w:p>
    <w:p>
      <w:pPr>
        <w:spacing w:line="220" w:lineRule="auto"/>
        <w:ind w:left="40"/>
        <w:rPr>
          <w:rFonts w:ascii="宋体" w:hAnsi="宋体" w:eastAsia="宋体" w:cs="宋体"/>
          <w:sz w:val="24"/>
          <w:szCs w:val="24"/>
        </w:rPr>
      </w:pPr>
      <w:r>
        <w:rPr>
          <w:rFonts w:ascii="宋体" w:hAnsi="宋体" w:eastAsia="宋体" w:cs="宋体"/>
          <w:spacing w:val="-11"/>
          <w:sz w:val="24"/>
          <w:szCs w:val="24"/>
        </w:rPr>
        <w:t>污染。</w:t>
      </w:r>
    </w:p>
    <w:p>
      <w:pPr>
        <w:spacing w:before="183" w:line="359" w:lineRule="auto"/>
        <w:ind w:left="38" w:right="31" w:firstLine="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）在公路路段发生交通事故，汽车连带货物坠入周边溪沟，影响水质，</w:t>
      </w:r>
      <w:r>
        <w:rPr>
          <w:rFonts w:ascii="宋体" w:hAnsi="宋体" w:eastAsia="宋体" w:cs="宋体"/>
          <w:spacing w:val="18"/>
          <w:sz w:val="24"/>
          <w:szCs w:val="24"/>
        </w:rPr>
        <w:t xml:space="preserve"> </w:t>
      </w:r>
      <w:r>
        <w:rPr>
          <w:rFonts w:ascii="宋体" w:hAnsi="宋体" w:eastAsia="宋体" w:cs="宋体"/>
          <w:spacing w:val="-6"/>
          <w:sz w:val="24"/>
          <w:szCs w:val="24"/>
        </w:rPr>
        <w:t>特别是本项目处于饮用水源准保护区， 若不及时处置，可能</w:t>
      </w:r>
      <w:r>
        <w:rPr>
          <w:rFonts w:ascii="宋体" w:hAnsi="宋体" w:eastAsia="宋体" w:cs="宋体"/>
          <w:spacing w:val="-7"/>
          <w:sz w:val="24"/>
          <w:szCs w:val="24"/>
        </w:rPr>
        <w:t>会对准保护区的生态</w:t>
      </w:r>
    </w:p>
    <w:p>
      <w:pPr>
        <w:spacing w:line="219" w:lineRule="auto"/>
        <w:ind w:left="38"/>
        <w:rPr>
          <w:rFonts w:ascii="宋体" w:hAnsi="宋体" w:eastAsia="宋体" w:cs="宋体"/>
          <w:sz w:val="24"/>
          <w:szCs w:val="24"/>
        </w:rPr>
      </w:pPr>
      <w:r>
        <w:rPr>
          <w:rFonts w:ascii="宋体" w:hAnsi="宋体" w:eastAsia="宋体" w:cs="宋体"/>
          <w:spacing w:val="-9"/>
          <w:sz w:val="24"/>
          <w:szCs w:val="24"/>
        </w:rPr>
        <w:t>环境产生影响；</w:t>
      </w:r>
    </w:p>
    <w:p>
      <w:pPr>
        <w:spacing w:before="182" w:line="220" w:lineRule="auto"/>
        <w:ind w:left="36"/>
        <w:outlineLvl w:val="1"/>
        <w:rPr>
          <w:rFonts w:ascii="宋体" w:hAnsi="宋体" w:eastAsia="宋体" w:cs="宋体"/>
          <w:sz w:val="24"/>
          <w:szCs w:val="24"/>
        </w:rPr>
      </w:pPr>
      <w:r>
        <w:rPr>
          <w:rFonts w:ascii="Times New Roman" w:hAnsi="Times New Roman" w:eastAsia="Times New Roman" w:cs="Times New Roman"/>
          <w:b/>
          <w:bCs/>
          <w:sz w:val="24"/>
          <w:szCs w:val="24"/>
        </w:rPr>
        <w:t xml:space="preserve">5.6.3 </w:t>
      </w:r>
      <w:r>
        <w:rPr>
          <w:rFonts w:ascii="宋体" w:hAnsi="宋体" w:eastAsia="宋体" w:cs="宋体"/>
          <w:sz w:val="24"/>
          <w:szCs w:val="24"/>
          <w14:textOutline w14:w="4354" w14:cap="flat" w14:cmpd="sng">
            <w14:solidFill>
              <w14:srgbClr w14:val="000000"/>
            </w14:solidFill>
            <w14:prstDash w14:val="solid"/>
            <w14:miter w14:val="0"/>
          </w14:textOutline>
        </w:rPr>
        <w:t>地表水环境风险影响分析</w:t>
      </w:r>
    </w:p>
    <w:p>
      <w:pPr>
        <w:spacing w:before="180" w:line="220" w:lineRule="auto"/>
        <w:ind w:left="36"/>
        <w:outlineLvl w:val="1"/>
        <w:rPr>
          <w:rFonts w:ascii="宋体" w:hAnsi="宋体" w:eastAsia="宋体" w:cs="宋体"/>
          <w:sz w:val="24"/>
          <w:szCs w:val="24"/>
        </w:rPr>
      </w:pPr>
      <w:r>
        <w:fldChar w:fldCharType="begin"/>
      </w:r>
      <w:r>
        <w:instrText xml:space="preserve"> HYPERLINK "5.6.3.1" </w:instrText>
      </w:r>
      <w:r>
        <w:fldChar w:fldCharType="separate"/>
      </w:r>
      <w:r>
        <w:rPr>
          <w:rFonts w:ascii="Times New Roman" w:hAnsi="Times New Roman" w:eastAsia="Times New Roman" w:cs="Times New Roman"/>
          <w:b/>
          <w:bCs/>
          <w:sz w:val="24"/>
          <w:szCs w:val="24"/>
        </w:rPr>
        <w:t>5.6.3.1</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地表水环境保护目标识别</w:t>
      </w:r>
    </w:p>
    <w:p>
      <w:pPr>
        <w:spacing w:before="182" w:line="359" w:lineRule="auto"/>
        <w:ind w:left="40" w:right="28" w:firstLine="478"/>
        <w:rPr>
          <w:rFonts w:ascii="宋体" w:hAnsi="宋体" w:eastAsia="宋体" w:cs="宋体"/>
          <w:sz w:val="24"/>
          <w:szCs w:val="24"/>
        </w:rPr>
      </w:pPr>
      <w:r>
        <w:rPr>
          <w:rFonts w:ascii="宋体" w:hAnsi="宋体" w:eastAsia="宋体" w:cs="宋体"/>
          <w:sz w:val="24"/>
          <w:szCs w:val="24"/>
        </w:rPr>
        <w:t>本工程地表水环境保护目标主要为工程沿线跨越的水体及</w:t>
      </w:r>
      <w:r>
        <w:rPr>
          <w:rFonts w:ascii="Times New Roman" w:hAnsi="Times New Roman" w:eastAsia="Times New Roman" w:cs="Times New Roman"/>
          <w:sz w:val="24"/>
          <w:szCs w:val="24"/>
        </w:rPr>
        <w:t xml:space="preserve">200m </w:t>
      </w:r>
      <w:r>
        <w:rPr>
          <w:rFonts w:ascii="宋体" w:hAnsi="宋体" w:eastAsia="宋体" w:cs="宋体"/>
          <w:sz w:val="24"/>
          <w:szCs w:val="24"/>
        </w:rPr>
        <w:t>范围内的伴</w:t>
      </w:r>
      <w:r>
        <w:rPr>
          <w:rFonts w:ascii="宋体" w:hAnsi="宋体" w:eastAsia="宋体" w:cs="宋体"/>
          <w:spacing w:val="10"/>
          <w:sz w:val="24"/>
          <w:szCs w:val="24"/>
        </w:rPr>
        <w:t xml:space="preserve"> </w:t>
      </w:r>
      <w:r>
        <w:rPr>
          <w:rFonts w:ascii="宋体" w:hAnsi="宋体" w:eastAsia="宋体" w:cs="宋体"/>
          <w:sz w:val="24"/>
          <w:szCs w:val="24"/>
        </w:rPr>
        <w:t>行水体。根据《浙江省水功能区、水环境功能区划分方案（</w:t>
      </w:r>
      <w:r>
        <w:rPr>
          <w:rFonts w:ascii="Times New Roman" w:hAnsi="Times New Roman" w:eastAsia="Times New Roman" w:cs="Times New Roman"/>
          <w:sz w:val="24"/>
          <w:szCs w:val="24"/>
        </w:rPr>
        <w:t xml:space="preserve">2015  </w:t>
      </w:r>
      <w:r>
        <w:rPr>
          <w:rFonts w:ascii="宋体" w:hAnsi="宋体" w:eastAsia="宋体" w:cs="宋体"/>
          <w:sz w:val="24"/>
          <w:szCs w:val="24"/>
        </w:rPr>
        <w:t>年）》，工程</w:t>
      </w:r>
      <w:r>
        <w:rPr>
          <w:rFonts w:ascii="宋体" w:hAnsi="宋体" w:eastAsia="宋体" w:cs="宋体"/>
          <w:spacing w:val="2"/>
          <w:sz w:val="24"/>
          <w:szCs w:val="24"/>
        </w:rPr>
        <w:t xml:space="preserve"> </w:t>
      </w:r>
      <w:r>
        <w:rPr>
          <w:rFonts w:ascii="宋体" w:hAnsi="宋体" w:eastAsia="宋体" w:cs="宋体"/>
          <w:spacing w:val="36"/>
          <w:sz w:val="24"/>
          <w:szCs w:val="24"/>
        </w:rPr>
        <w:t>涉及沿线地表水环境保护目标的保护要求为《地表水环境质量标准》</w:t>
      </w:r>
    </w:p>
    <w:p>
      <w:pPr>
        <w:spacing w:line="219" w:lineRule="auto"/>
        <w:ind w:left="4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GB3838-2002</w:t>
      </w:r>
      <w:r>
        <w:rPr>
          <w:rFonts w:ascii="宋体" w:hAnsi="宋体" w:eastAsia="宋体" w:cs="宋体"/>
          <w:spacing w:val="-4"/>
          <w:sz w:val="24"/>
          <w:szCs w:val="24"/>
        </w:rPr>
        <w:t>）</w:t>
      </w:r>
      <w:r>
        <w:rPr>
          <w:rFonts w:ascii="Times New Roman" w:hAnsi="Times New Roman" w:eastAsia="Times New Roman" w:cs="Times New Roman"/>
          <w:spacing w:val="-4"/>
          <w:sz w:val="24"/>
          <w:szCs w:val="24"/>
        </w:rPr>
        <w:t>Ⅱ</w:t>
      </w:r>
      <w:r>
        <w:rPr>
          <w:rFonts w:ascii="Times New Roman" w:hAnsi="Times New Roman" w:eastAsia="Times New Roman" w:cs="Times New Roman"/>
          <w:spacing w:val="-22"/>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Ⅲ</w:t>
      </w:r>
      <w:r>
        <w:rPr>
          <w:rFonts w:ascii="宋体" w:hAnsi="宋体" w:eastAsia="宋体" w:cs="宋体"/>
          <w:spacing w:val="-4"/>
          <w:sz w:val="24"/>
          <w:szCs w:val="24"/>
        </w:rPr>
        <w:t>类。</w:t>
      </w:r>
    </w:p>
    <w:p>
      <w:pPr>
        <w:spacing w:before="183" w:line="220" w:lineRule="auto"/>
        <w:ind w:left="36"/>
        <w:outlineLvl w:val="1"/>
        <w:rPr>
          <w:rFonts w:ascii="宋体" w:hAnsi="宋体" w:eastAsia="宋体" w:cs="宋体"/>
          <w:sz w:val="24"/>
          <w:szCs w:val="24"/>
        </w:rPr>
      </w:pPr>
      <w:r>
        <w:fldChar w:fldCharType="begin"/>
      </w:r>
      <w:r>
        <w:instrText xml:space="preserve"> HYPERLINK "5.6.3.2" </w:instrText>
      </w:r>
      <w:r>
        <w:fldChar w:fldCharType="separate"/>
      </w:r>
      <w:r>
        <w:rPr>
          <w:rFonts w:ascii="Times New Roman" w:hAnsi="Times New Roman" w:eastAsia="Times New Roman" w:cs="Times New Roman"/>
          <w:b/>
          <w:bCs/>
          <w:sz w:val="24"/>
          <w:szCs w:val="24"/>
        </w:rPr>
        <w:t>5.6.3.2</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危险品运输事故概率</w:t>
      </w:r>
    </w:p>
    <w:p>
      <w:pPr>
        <w:spacing w:before="180" w:line="468" w:lineRule="exact"/>
        <w:ind w:right="27"/>
        <w:jc w:val="right"/>
        <w:rPr>
          <w:rFonts w:ascii="宋体" w:hAnsi="宋体" w:eastAsia="宋体" w:cs="宋体"/>
          <w:sz w:val="24"/>
          <w:szCs w:val="24"/>
        </w:rPr>
      </w:pPr>
      <w:r>
        <w:rPr>
          <w:rFonts w:ascii="宋体" w:hAnsi="宋体" w:eastAsia="宋体" w:cs="宋体"/>
          <w:spacing w:val="4"/>
          <w:position w:val="17"/>
          <w:sz w:val="24"/>
          <w:szCs w:val="24"/>
        </w:rPr>
        <w:t>工程位于饮用水水源保护区准保护区范围内，但线位基本未跨越较大的水</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体，仅有小溪沟采用涵洞的形式跨越。</w:t>
      </w:r>
    </w:p>
    <w:p>
      <w:pPr>
        <w:spacing w:before="183" w:line="359" w:lineRule="auto"/>
        <w:ind w:left="40" w:right="30" w:firstLine="478"/>
        <w:rPr>
          <w:rFonts w:ascii="宋体" w:hAnsi="宋体" w:eastAsia="宋体" w:cs="宋体"/>
          <w:sz w:val="24"/>
          <w:szCs w:val="24"/>
        </w:rPr>
      </w:pPr>
      <w:r>
        <w:rPr>
          <w:rFonts w:ascii="宋体" w:hAnsi="宋体" w:eastAsia="宋体" w:cs="宋体"/>
          <w:spacing w:val="-10"/>
          <w:sz w:val="24"/>
          <w:szCs w:val="24"/>
        </w:rPr>
        <w:t>通常情况下， 连接线连接的高速公路禁止危化品车辆通行， 公路建成后通行</w:t>
      </w:r>
      <w:r>
        <w:rPr>
          <w:rFonts w:ascii="宋体" w:hAnsi="宋体" w:eastAsia="宋体" w:cs="宋体"/>
          <w:spacing w:val="5"/>
          <w:sz w:val="24"/>
          <w:szCs w:val="24"/>
        </w:rPr>
        <w:t xml:space="preserve"> </w:t>
      </w:r>
      <w:r>
        <w:rPr>
          <w:rFonts w:ascii="宋体" w:hAnsi="宋体" w:eastAsia="宋体" w:cs="宋体"/>
          <w:spacing w:val="-11"/>
          <w:sz w:val="24"/>
          <w:szCs w:val="24"/>
        </w:rPr>
        <w:t>的危化品车辆较少， 危险品运输车辆发生交通事故的概率较小，</w:t>
      </w:r>
      <w:r>
        <w:rPr>
          <w:rFonts w:ascii="宋体" w:hAnsi="宋体" w:eastAsia="宋体" w:cs="宋体"/>
          <w:spacing w:val="48"/>
          <w:sz w:val="24"/>
          <w:szCs w:val="24"/>
        </w:rPr>
        <w:t xml:space="preserve"> </w:t>
      </w:r>
      <w:r>
        <w:rPr>
          <w:rFonts w:ascii="宋体" w:hAnsi="宋体" w:eastAsia="宋体" w:cs="宋体"/>
          <w:spacing w:val="-11"/>
          <w:sz w:val="24"/>
          <w:szCs w:val="24"/>
        </w:rPr>
        <w:t>因危险品运输发</w:t>
      </w:r>
      <w:r>
        <w:rPr>
          <w:rFonts w:ascii="宋体" w:hAnsi="宋体" w:eastAsia="宋体" w:cs="宋体"/>
          <w:sz w:val="24"/>
          <w:szCs w:val="24"/>
        </w:rPr>
        <w:t xml:space="preserve"> </w:t>
      </w:r>
      <w:r>
        <w:rPr>
          <w:rFonts w:ascii="宋体" w:hAnsi="宋体" w:eastAsia="宋体" w:cs="宋体"/>
          <w:spacing w:val="-6"/>
          <w:sz w:val="24"/>
          <w:szCs w:val="24"/>
        </w:rPr>
        <w:t>生事故而造成泄漏对水环境造成严重影响的可能性很小，</w:t>
      </w:r>
      <w:r>
        <w:rPr>
          <w:rFonts w:ascii="宋体" w:hAnsi="宋体" w:eastAsia="宋体" w:cs="宋体"/>
          <w:spacing w:val="-16"/>
          <w:sz w:val="24"/>
          <w:szCs w:val="24"/>
        </w:rPr>
        <w:t xml:space="preserve"> </w:t>
      </w:r>
      <w:r>
        <w:rPr>
          <w:rFonts w:ascii="宋体" w:hAnsi="宋体" w:eastAsia="宋体" w:cs="宋体"/>
          <w:spacing w:val="-6"/>
          <w:sz w:val="24"/>
          <w:szCs w:val="24"/>
        </w:rPr>
        <w:t>但仍需采取严格的风险</w:t>
      </w:r>
    </w:p>
    <w:p>
      <w:pPr>
        <w:spacing w:line="220" w:lineRule="auto"/>
        <w:ind w:left="38"/>
        <w:rPr>
          <w:rFonts w:ascii="宋体" w:hAnsi="宋体" w:eastAsia="宋体" w:cs="宋体"/>
          <w:sz w:val="24"/>
          <w:szCs w:val="24"/>
        </w:rPr>
      </w:pPr>
      <w:r>
        <w:rPr>
          <w:rFonts w:ascii="宋体" w:hAnsi="宋体" w:eastAsia="宋体" w:cs="宋体"/>
          <w:spacing w:val="-3"/>
          <w:sz w:val="24"/>
          <w:szCs w:val="24"/>
        </w:rPr>
        <w:t>事故防范措施及应急预案，防患于未然。</w:t>
      </w:r>
    </w:p>
    <w:p>
      <w:pPr>
        <w:spacing w:before="180" w:line="218" w:lineRule="auto"/>
        <w:ind w:right="29"/>
        <w:jc w:val="right"/>
        <w:rPr>
          <w:rFonts w:ascii="宋体" w:hAnsi="宋体" w:eastAsia="宋体" w:cs="宋体"/>
          <w:sz w:val="24"/>
          <w:szCs w:val="24"/>
        </w:rPr>
      </w:pPr>
      <w:r>
        <w:rPr>
          <w:rFonts w:ascii="宋体" w:hAnsi="宋体" w:eastAsia="宋体" w:cs="宋体"/>
          <w:spacing w:val="-16"/>
          <w:sz w:val="24"/>
          <w:szCs w:val="24"/>
        </w:rPr>
        <w:t>危险品运输过程中，</w:t>
      </w:r>
      <w:r>
        <w:rPr>
          <w:rFonts w:ascii="宋体" w:hAnsi="宋体" w:eastAsia="宋体" w:cs="宋体"/>
          <w:spacing w:val="35"/>
          <w:sz w:val="24"/>
          <w:szCs w:val="24"/>
        </w:rPr>
        <w:t xml:space="preserve"> </w:t>
      </w:r>
      <w:r>
        <w:rPr>
          <w:rFonts w:ascii="宋体" w:hAnsi="宋体" w:eastAsia="宋体" w:cs="宋体"/>
          <w:spacing w:val="-16"/>
          <w:sz w:val="24"/>
          <w:szCs w:val="24"/>
        </w:rPr>
        <w:t>如果发生事故，</w:t>
      </w:r>
      <w:r>
        <w:rPr>
          <w:rFonts w:ascii="宋体" w:hAnsi="宋体" w:eastAsia="宋体" w:cs="宋体"/>
          <w:spacing w:val="50"/>
          <w:sz w:val="24"/>
          <w:szCs w:val="24"/>
        </w:rPr>
        <w:t xml:space="preserve"> </w:t>
      </w:r>
      <w:r>
        <w:rPr>
          <w:rFonts w:ascii="宋体" w:hAnsi="宋体" w:eastAsia="宋体" w:cs="宋体"/>
          <w:spacing w:val="-16"/>
          <w:sz w:val="24"/>
          <w:szCs w:val="24"/>
        </w:rPr>
        <w:t>引起爆炸， 有毒有害气</w:t>
      </w:r>
      <w:r>
        <w:rPr>
          <w:rFonts w:ascii="宋体" w:hAnsi="宋体" w:eastAsia="宋体" w:cs="宋体"/>
          <w:spacing w:val="-17"/>
          <w:sz w:val="24"/>
          <w:szCs w:val="24"/>
        </w:rPr>
        <w:t>体将污染环境空</w:t>
      </w:r>
    </w:p>
    <w:p>
      <w:pPr>
        <w:spacing w:line="218" w:lineRule="auto"/>
        <w:rPr>
          <w:rFonts w:ascii="宋体" w:hAnsi="宋体" w:eastAsia="宋体" w:cs="宋体"/>
          <w:sz w:val="24"/>
          <w:szCs w:val="24"/>
        </w:rPr>
        <w:sectPr>
          <w:headerReference r:id="rId303" w:type="default"/>
          <w:footerReference r:id="rId304" w:type="default"/>
          <w:pgSz w:w="11907" w:h="16839"/>
          <w:pgMar w:top="1118" w:right="1769" w:bottom="1184" w:left="1771" w:header="879" w:footer="1024" w:gutter="0"/>
          <w:cols w:space="720" w:num="1"/>
        </w:sectPr>
      </w:pPr>
    </w:p>
    <w:p>
      <w:pPr>
        <w:pStyle w:val="2"/>
        <w:spacing w:line="278" w:lineRule="auto"/>
      </w:pPr>
    </w:p>
    <w:p>
      <w:pPr>
        <w:spacing w:before="78" w:line="468" w:lineRule="exact"/>
        <w:ind w:left="123"/>
        <w:rPr>
          <w:rFonts w:ascii="宋体" w:hAnsi="宋体" w:eastAsia="宋体" w:cs="宋体"/>
          <w:sz w:val="24"/>
          <w:szCs w:val="24"/>
        </w:rPr>
      </w:pPr>
      <w:r>
        <w:rPr>
          <w:rFonts w:ascii="宋体" w:hAnsi="宋体" w:eastAsia="宋体" w:cs="宋体"/>
          <w:spacing w:val="-8"/>
          <w:position w:val="17"/>
          <w:sz w:val="24"/>
          <w:szCs w:val="24"/>
        </w:rPr>
        <w:t>气危及人身安全； 另外，</w:t>
      </w:r>
      <w:r>
        <w:rPr>
          <w:rFonts w:ascii="宋体" w:hAnsi="宋体" w:eastAsia="宋体" w:cs="宋体"/>
          <w:spacing w:val="-47"/>
          <w:position w:val="17"/>
          <w:sz w:val="24"/>
          <w:szCs w:val="24"/>
        </w:rPr>
        <w:t xml:space="preserve"> </w:t>
      </w:r>
      <w:r>
        <w:rPr>
          <w:rFonts w:ascii="宋体" w:hAnsi="宋体" w:eastAsia="宋体" w:cs="宋体"/>
          <w:spacing w:val="-8"/>
          <w:position w:val="17"/>
          <w:sz w:val="24"/>
          <w:szCs w:val="24"/>
        </w:rPr>
        <w:t>有毒有害的固态或液体危险</w:t>
      </w:r>
      <w:r>
        <w:rPr>
          <w:rFonts w:ascii="宋体" w:hAnsi="宋体" w:eastAsia="宋体" w:cs="宋体"/>
          <w:spacing w:val="-9"/>
          <w:position w:val="17"/>
          <w:sz w:val="24"/>
          <w:szCs w:val="24"/>
        </w:rPr>
        <w:t>品因为交通事故而泄漏进入</w:t>
      </w:r>
    </w:p>
    <w:p>
      <w:pPr>
        <w:spacing w:before="1" w:line="218" w:lineRule="auto"/>
        <w:ind w:left="125"/>
        <w:rPr>
          <w:rFonts w:ascii="宋体" w:hAnsi="宋体" w:eastAsia="宋体" w:cs="宋体"/>
          <w:sz w:val="24"/>
          <w:szCs w:val="24"/>
        </w:rPr>
      </w:pPr>
      <w:r>
        <w:rPr>
          <w:rFonts w:ascii="宋体" w:hAnsi="宋体" w:eastAsia="宋体" w:cs="宋体"/>
          <w:spacing w:val="-3"/>
          <w:sz w:val="24"/>
          <w:szCs w:val="24"/>
        </w:rPr>
        <w:t>水体，将污染工程附近地表水及地下水。</w:t>
      </w:r>
    </w:p>
    <w:p>
      <w:pPr>
        <w:spacing w:before="182" w:line="359" w:lineRule="auto"/>
        <w:ind w:left="126" w:right="16" w:firstLine="478"/>
        <w:jc w:val="both"/>
        <w:rPr>
          <w:rFonts w:ascii="宋体" w:hAnsi="宋体" w:eastAsia="宋体" w:cs="宋体"/>
          <w:sz w:val="24"/>
          <w:szCs w:val="24"/>
        </w:rPr>
      </w:pPr>
      <w:r>
        <w:rPr>
          <w:rFonts w:ascii="宋体" w:hAnsi="宋体" w:eastAsia="宋体" w:cs="宋体"/>
          <w:spacing w:val="-9"/>
          <w:sz w:val="24"/>
          <w:szCs w:val="24"/>
        </w:rPr>
        <w:t>工程线路途经敏感点处（均为村庄</w:t>
      </w:r>
      <w:r>
        <w:rPr>
          <w:rFonts w:ascii="宋体" w:hAnsi="宋体" w:eastAsia="宋体" w:cs="宋体"/>
          <w:spacing w:val="-60"/>
          <w:sz w:val="24"/>
          <w:szCs w:val="24"/>
        </w:rPr>
        <w:t>），</w:t>
      </w:r>
      <w:r>
        <w:rPr>
          <w:rFonts w:ascii="宋体" w:hAnsi="宋体" w:eastAsia="宋体" w:cs="宋体"/>
          <w:spacing w:val="-9"/>
          <w:sz w:val="24"/>
          <w:szCs w:val="24"/>
        </w:rPr>
        <w:t>部分敏感点与线路</w:t>
      </w:r>
      <w:r>
        <w:rPr>
          <w:rFonts w:ascii="宋体" w:hAnsi="宋体" w:eastAsia="宋体" w:cs="宋体"/>
          <w:spacing w:val="-10"/>
          <w:sz w:val="24"/>
          <w:szCs w:val="24"/>
        </w:rPr>
        <w:t>的距离不超过</w:t>
      </w:r>
      <w:r>
        <w:rPr>
          <w:rFonts w:ascii="宋体" w:hAnsi="宋体" w:eastAsia="宋体" w:cs="宋体"/>
          <w:spacing w:val="-29"/>
          <w:sz w:val="24"/>
          <w:szCs w:val="24"/>
        </w:rPr>
        <w:t xml:space="preserve"> </w:t>
      </w:r>
      <w:r>
        <w:rPr>
          <w:rFonts w:ascii="Times New Roman" w:hAnsi="Times New Roman" w:eastAsia="Times New Roman" w:cs="Times New Roman"/>
          <w:spacing w:val="-10"/>
          <w:sz w:val="24"/>
          <w:szCs w:val="24"/>
        </w:rPr>
        <w:t>100m</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8"/>
          <w:sz w:val="24"/>
          <w:szCs w:val="24"/>
        </w:rPr>
        <w:t>因此，</w:t>
      </w:r>
      <w:r>
        <w:rPr>
          <w:rFonts w:ascii="宋体" w:hAnsi="宋体" w:eastAsia="宋体" w:cs="宋体"/>
          <w:spacing w:val="-47"/>
          <w:sz w:val="24"/>
          <w:szCs w:val="24"/>
        </w:rPr>
        <w:t xml:space="preserve"> </w:t>
      </w:r>
      <w:r>
        <w:rPr>
          <w:rFonts w:ascii="宋体" w:hAnsi="宋体" w:eastAsia="宋体" w:cs="宋体"/>
          <w:spacing w:val="-8"/>
          <w:sz w:val="24"/>
          <w:szCs w:val="24"/>
        </w:rPr>
        <w:t xml:space="preserve">若危险品运输车辆发生爆炸事故， </w:t>
      </w:r>
      <w:r>
        <w:rPr>
          <w:rFonts w:ascii="宋体" w:hAnsi="宋体" w:eastAsia="宋体" w:cs="宋体"/>
          <w:spacing w:val="-9"/>
          <w:sz w:val="24"/>
          <w:szCs w:val="24"/>
        </w:rPr>
        <w:t>将直接威胁到前几排民房内村民的人身</w:t>
      </w:r>
      <w:r>
        <w:rPr>
          <w:rFonts w:ascii="宋体" w:hAnsi="宋体" w:eastAsia="宋体" w:cs="宋体"/>
          <w:sz w:val="24"/>
          <w:szCs w:val="24"/>
        </w:rPr>
        <w:t xml:space="preserve"> </w:t>
      </w:r>
      <w:r>
        <w:rPr>
          <w:rFonts w:ascii="宋体" w:hAnsi="宋体" w:eastAsia="宋体" w:cs="宋体"/>
          <w:spacing w:val="-8"/>
          <w:sz w:val="24"/>
          <w:szCs w:val="24"/>
        </w:rPr>
        <w:t>安全，</w:t>
      </w:r>
      <w:r>
        <w:rPr>
          <w:rFonts w:ascii="宋体" w:hAnsi="宋体" w:eastAsia="宋体" w:cs="宋体"/>
          <w:spacing w:val="-47"/>
          <w:sz w:val="24"/>
          <w:szCs w:val="24"/>
        </w:rPr>
        <w:t xml:space="preserve"> </w:t>
      </w:r>
      <w:r>
        <w:rPr>
          <w:rFonts w:ascii="宋体" w:hAnsi="宋体" w:eastAsia="宋体" w:cs="宋体"/>
          <w:spacing w:val="-8"/>
          <w:sz w:val="24"/>
          <w:szCs w:val="24"/>
        </w:rPr>
        <w:t>有毒有害气体还可能污染周围的环境空</w:t>
      </w:r>
      <w:r>
        <w:rPr>
          <w:rFonts w:ascii="宋体" w:hAnsi="宋体" w:eastAsia="宋体" w:cs="宋体"/>
          <w:spacing w:val="-9"/>
          <w:sz w:val="24"/>
          <w:szCs w:val="24"/>
        </w:rPr>
        <w:t>气， 严重影响工程沿线环境空气质</w:t>
      </w:r>
    </w:p>
    <w:p>
      <w:pPr>
        <w:spacing w:line="220" w:lineRule="auto"/>
        <w:ind w:left="122"/>
        <w:rPr>
          <w:rFonts w:ascii="宋体" w:hAnsi="宋体" w:eastAsia="宋体" w:cs="宋体"/>
          <w:sz w:val="24"/>
          <w:szCs w:val="24"/>
        </w:rPr>
      </w:pPr>
      <w:r>
        <w:rPr>
          <w:rFonts w:ascii="宋体" w:hAnsi="宋体" w:eastAsia="宋体" w:cs="宋体"/>
          <w:spacing w:val="-6"/>
          <w:sz w:val="24"/>
          <w:szCs w:val="24"/>
        </w:rPr>
        <w:t>量和生态环境。</w:t>
      </w:r>
    </w:p>
    <w:p>
      <w:pPr>
        <w:spacing w:before="306" w:line="220" w:lineRule="auto"/>
        <w:ind w:left="120"/>
        <w:outlineLvl w:val="1"/>
        <w:rPr>
          <w:rFonts w:ascii="宋体" w:hAnsi="宋体" w:eastAsia="宋体" w:cs="宋体"/>
          <w:sz w:val="24"/>
          <w:szCs w:val="24"/>
        </w:rPr>
      </w:pPr>
      <w:r>
        <w:rPr>
          <w:rFonts w:ascii="Times New Roman" w:hAnsi="Times New Roman" w:eastAsia="Times New Roman" w:cs="Times New Roman"/>
          <w:b/>
          <w:bCs/>
          <w:sz w:val="24"/>
          <w:szCs w:val="24"/>
        </w:rPr>
        <w:t xml:space="preserve">5.6.4 </w:t>
      </w:r>
      <w:r>
        <w:rPr>
          <w:rFonts w:ascii="宋体" w:hAnsi="宋体" w:eastAsia="宋体" w:cs="宋体"/>
          <w:sz w:val="24"/>
          <w:szCs w:val="24"/>
          <w14:textOutline w14:w="4354" w14:cap="flat" w14:cmpd="sng">
            <w14:solidFill>
              <w14:srgbClr w14:val="000000"/>
            </w14:solidFill>
            <w14:prstDash w14:val="solid"/>
            <w14:miter w14:val="0"/>
          </w14:textOutline>
        </w:rPr>
        <w:t>大气环境风险影响分析</w:t>
      </w:r>
    </w:p>
    <w:p>
      <w:pPr>
        <w:spacing w:before="175" w:line="220" w:lineRule="auto"/>
        <w:ind w:left="120"/>
        <w:outlineLvl w:val="1"/>
        <w:rPr>
          <w:rFonts w:ascii="宋体" w:hAnsi="宋体" w:eastAsia="宋体" w:cs="宋体"/>
          <w:sz w:val="24"/>
          <w:szCs w:val="24"/>
        </w:rPr>
      </w:pPr>
      <w:r>
        <w:fldChar w:fldCharType="begin"/>
      </w:r>
      <w:r>
        <w:instrText xml:space="preserve"> HYPERLINK "5.6.4.1" </w:instrText>
      </w:r>
      <w:r>
        <w:fldChar w:fldCharType="separate"/>
      </w:r>
      <w:r>
        <w:rPr>
          <w:rFonts w:ascii="Times New Roman" w:hAnsi="Times New Roman" w:eastAsia="Times New Roman" w:cs="Times New Roman"/>
          <w:b/>
          <w:bCs/>
          <w:spacing w:val="-1"/>
          <w:sz w:val="24"/>
          <w:szCs w:val="24"/>
        </w:rPr>
        <w:t>5.6.4.1</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大气风险源分析</w:t>
      </w:r>
    </w:p>
    <w:p>
      <w:pPr>
        <w:spacing w:before="174" w:line="354" w:lineRule="auto"/>
        <w:ind w:left="125" w:right="83" w:firstLine="476"/>
        <w:jc w:val="both"/>
        <w:rPr>
          <w:rFonts w:ascii="Times New Roman" w:hAnsi="Times New Roman" w:eastAsia="Times New Roman" w:cs="Times New Roman"/>
          <w:sz w:val="24"/>
          <w:szCs w:val="24"/>
        </w:rPr>
      </w:pPr>
      <w:r>
        <w:rPr>
          <w:rFonts w:ascii="宋体" w:hAnsi="宋体" w:eastAsia="宋体" w:cs="宋体"/>
          <w:spacing w:val="-6"/>
          <w:sz w:val="24"/>
          <w:szCs w:val="24"/>
        </w:rPr>
        <w:t>根据前述工程分析可知，</w:t>
      </w:r>
      <w:r>
        <w:rPr>
          <w:rFonts w:ascii="宋体" w:hAnsi="宋体" w:eastAsia="宋体" w:cs="宋体"/>
          <w:spacing w:val="-26"/>
          <w:sz w:val="24"/>
          <w:szCs w:val="24"/>
        </w:rPr>
        <w:t xml:space="preserve"> </w:t>
      </w:r>
      <w:r>
        <w:rPr>
          <w:rFonts w:ascii="宋体" w:hAnsi="宋体" w:eastAsia="宋体" w:cs="宋体"/>
          <w:spacing w:val="-6"/>
          <w:sz w:val="24"/>
          <w:szCs w:val="24"/>
        </w:rPr>
        <w:t>本项目生产设施及涉及的风险物质主要为汽油和柴</w:t>
      </w:r>
      <w:r>
        <w:rPr>
          <w:rFonts w:ascii="宋体" w:hAnsi="宋体" w:eastAsia="宋体" w:cs="宋体"/>
          <w:sz w:val="24"/>
          <w:szCs w:val="24"/>
        </w:rPr>
        <w:t xml:space="preserve"> </w:t>
      </w:r>
      <w:r>
        <w:rPr>
          <w:rFonts w:ascii="宋体" w:hAnsi="宋体" w:eastAsia="宋体" w:cs="宋体"/>
          <w:spacing w:val="-1"/>
          <w:sz w:val="24"/>
          <w:szCs w:val="24"/>
        </w:rPr>
        <w:t xml:space="preserve">油，通过对这些风险物质进一步分析可知，物质可能影响环境的途径如表 </w:t>
      </w:r>
      <w:r>
        <w:rPr>
          <w:rFonts w:ascii="Times New Roman" w:hAnsi="Times New Roman" w:eastAsia="Times New Roman" w:cs="Times New Roman"/>
          <w:spacing w:val="-1"/>
          <w:sz w:val="24"/>
          <w:szCs w:val="24"/>
        </w:rPr>
        <w:t>5.6-</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
          <w:sz w:val="24"/>
          <w:szCs w:val="24"/>
        </w:rPr>
        <w:t>1</w:t>
      </w:r>
    </w:p>
    <w:p>
      <w:pPr>
        <w:spacing w:line="220" w:lineRule="auto"/>
        <w:ind w:left="122"/>
        <w:rPr>
          <w:rFonts w:ascii="宋体" w:hAnsi="宋体" w:eastAsia="宋体" w:cs="宋体"/>
          <w:sz w:val="24"/>
          <w:szCs w:val="24"/>
        </w:rPr>
      </w:pPr>
      <w:r>
        <w:rPr>
          <w:rFonts w:ascii="宋体" w:hAnsi="宋体" w:eastAsia="宋体" w:cs="宋体"/>
          <w:spacing w:val="-10"/>
          <w:sz w:val="24"/>
          <w:szCs w:val="24"/>
        </w:rPr>
        <w:t>所示。</w:t>
      </w:r>
    </w:p>
    <w:p>
      <w:pPr>
        <w:spacing w:before="172" w:line="220" w:lineRule="auto"/>
        <w:ind w:left="2855"/>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5.6-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大气环境风险源分析</w:t>
      </w:r>
    </w:p>
    <w:p>
      <w:pPr>
        <w:spacing w:line="123" w:lineRule="auto"/>
        <w:rPr>
          <w:rFonts w:ascii="Arial"/>
          <w:sz w:val="2"/>
        </w:rPr>
      </w:pPr>
    </w:p>
    <w:tbl>
      <w:tblPr>
        <w:tblStyle w:val="5"/>
        <w:tblW w:w="8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2"/>
        <w:gridCol w:w="2025"/>
        <w:gridCol w:w="45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722" w:type="dxa"/>
            <w:vAlign w:val="top"/>
          </w:tcPr>
          <w:p>
            <w:pPr>
              <w:pStyle w:val="6"/>
              <w:spacing w:before="149" w:line="221" w:lineRule="auto"/>
              <w:ind w:left="551"/>
            </w:pPr>
            <w:r>
              <w:rPr>
                <w:spacing w:val="-2"/>
              </w:rPr>
              <w:t>风险源</w:t>
            </w:r>
          </w:p>
        </w:tc>
        <w:tc>
          <w:tcPr>
            <w:tcW w:w="2025" w:type="dxa"/>
            <w:vAlign w:val="top"/>
          </w:tcPr>
          <w:p>
            <w:pPr>
              <w:pStyle w:val="6"/>
              <w:spacing w:before="149" w:line="221" w:lineRule="auto"/>
              <w:ind w:left="600"/>
            </w:pPr>
            <w:r>
              <w:rPr>
                <w:spacing w:val="-2"/>
              </w:rPr>
              <w:t>危险物质</w:t>
            </w:r>
          </w:p>
        </w:tc>
        <w:tc>
          <w:tcPr>
            <w:tcW w:w="4555" w:type="dxa"/>
            <w:vAlign w:val="top"/>
          </w:tcPr>
          <w:p>
            <w:pPr>
              <w:pStyle w:val="6"/>
              <w:spacing w:before="149" w:line="221" w:lineRule="auto"/>
              <w:ind w:left="1342"/>
            </w:pPr>
            <w:r>
              <w:rPr>
                <w:spacing w:val="-2"/>
              </w:rPr>
              <w:t>突发事件及影响途径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1722" w:type="dxa"/>
            <w:vAlign w:val="top"/>
          </w:tcPr>
          <w:p>
            <w:pPr>
              <w:spacing w:line="368" w:lineRule="auto"/>
              <w:rPr>
                <w:rFonts w:ascii="Arial"/>
                <w:sz w:val="21"/>
              </w:rPr>
            </w:pPr>
          </w:p>
          <w:p>
            <w:pPr>
              <w:pStyle w:val="6"/>
              <w:spacing w:before="68" w:line="221" w:lineRule="auto"/>
              <w:ind w:left="132"/>
            </w:pPr>
            <w:r>
              <w:rPr>
                <w:spacing w:val="-2"/>
              </w:rPr>
              <w:t>危化品运输车辆</w:t>
            </w:r>
          </w:p>
        </w:tc>
        <w:tc>
          <w:tcPr>
            <w:tcW w:w="2025" w:type="dxa"/>
            <w:vAlign w:val="top"/>
          </w:tcPr>
          <w:p>
            <w:pPr>
              <w:pStyle w:val="6"/>
              <w:spacing w:before="304" w:line="230" w:lineRule="auto"/>
              <w:ind w:left="702" w:right="102" w:hanging="590"/>
            </w:pPr>
            <w:r>
              <w:rPr>
                <w:spacing w:val="-10"/>
              </w:rPr>
              <w:t>汽油、柴油以及其他</w:t>
            </w:r>
            <w:r>
              <w:rPr>
                <w:spacing w:val="3"/>
              </w:rPr>
              <w:t xml:space="preserve"> </w:t>
            </w:r>
            <w:r>
              <w:rPr>
                <w:spacing w:val="-2"/>
              </w:rPr>
              <w:t>危化品</w:t>
            </w:r>
          </w:p>
        </w:tc>
        <w:tc>
          <w:tcPr>
            <w:tcW w:w="4555" w:type="dxa"/>
            <w:vAlign w:val="top"/>
          </w:tcPr>
          <w:p>
            <w:pPr>
              <w:pStyle w:val="6"/>
              <w:spacing w:before="31" w:line="219" w:lineRule="auto"/>
              <w:ind w:left="120"/>
            </w:pPr>
            <w:r>
              <w:rPr>
                <w:spacing w:val="-10"/>
              </w:rPr>
              <w:t>突发事件： 泄漏、火灾或爆炸；</w:t>
            </w:r>
          </w:p>
          <w:p>
            <w:pPr>
              <w:pStyle w:val="6"/>
              <w:spacing w:before="23" w:line="221" w:lineRule="auto"/>
              <w:ind w:left="112"/>
            </w:pPr>
            <w:r>
              <w:rPr>
                <w:spacing w:val="-15"/>
              </w:rPr>
              <w:t>释放形态： 液态、气态（挥发</w:t>
            </w:r>
            <w:r>
              <w:rPr>
                <w:spacing w:val="-9"/>
              </w:rPr>
              <w:t>）</w:t>
            </w:r>
            <w:r>
              <w:rPr>
                <w:spacing w:val="12"/>
              </w:rPr>
              <w:t xml:space="preserve"> </w:t>
            </w:r>
            <w:r>
              <w:rPr>
                <w:spacing w:val="-9"/>
              </w:rPr>
              <w:t>；</w:t>
            </w:r>
          </w:p>
          <w:p>
            <w:pPr>
              <w:pStyle w:val="6"/>
              <w:spacing w:before="20" w:line="224" w:lineRule="auto"/>
              <w:ind w:left="116" w:right="107"/>
            </w:pPr>
            <w:r>
              <w:rPr>
                <w:spacing w:val="-4"/>
              </w:rPr>
              <w:t>大气污染物：危化品挥发气体以及燃烧、爆炸后</w:t>
            </w:r>
            <w:r>
              <w:t xml:space="preserve"> </w:t>
            </w:r>
            <w:r>
              <w:rPr>
                <w:spacing w:val="-2"/>
              </w:rPr>
              <w:t>发二次污染物</w:t>
            </w:r>
          </w:p>
        </w:tc>
      </w:tr>
    </w:tbl>
    <w:p>
      <w:pPr>
        <w:spacing w:before="192" w:line="220" w:lineRule="auto"/>
        <w:ind w:left="120"/>
        <w:outlineLvl w:val="1"/>
        <w:rPr>
          <w:rFonts w:ascii="宋体" w:hAnsi="宋体" w:eastAsia="宋体" w:cs="宋体"/>
          <w:sz w:val="24"/>
          <w:szCs w:val="24"/>
        </w:rPr>
      </w:pPr>
      <w:r>
        <w:fldChar w:fldCharType="begin"/>
      </w:r>
      <w:r>
        <w:instrText xml:space="preserve"> HYPERLINK "5.6.4.2" </w:instrText>
      </w:r>
      <w:r>
        <w:fldChar w:fldCharType="separate"/>
      </w:r>
      <w:r>
        <w:rPr>
          <w:rFonts w:ascii="Times New Roman" w:hAnsi="Times New Roman" w:eastAsia="Times New Roman" w:cs="Times New Roman"/>
          <w:b/>
          <w:bCs/>
          <w:spacing w:val="-1"/>
          <w:sz w:val="24"/>
          <w:szCs w:val="24"/>
        </w:rPr>
        <w:t>5.6.4.2</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大气环境风险识别</w:t>
      </w:r>
    </w:p>
    <w:p>
      <w:pPr>
        <w:spacing w:before="183" w:line="359" w:lineRule="auto"/>
        <w:ind w:left="121" w:firstLine="481"/>
        <w:jc w:val="both"/>
        <w:rPr>
          <w:rFonts w:ascii="宋体" w:hAnsi="宋体" w:eastAsia="宋体" w:cs="宋体"/>
          <w:sz w:val="24"/>
          <w:szCs w:val="24"/>
        </w:rPr>
      </w:pPr>
      <w:r>
        <w:rPr>
          <w:rFonts w:ascii="宋体" w:hAnsi="宋体" w:eastAsia="宋体" w:cs="宋体"/>
          <w:spacing w:val="-4"/>
          <w:sz w:val="24"/>
          <w:szCs w:val="24"/>
        </w:rPr>
        <w:t xml:space="preserve">本项目的大气环境风险主要是来自于运输过程中危化品运输车辆泄漏、火灾 </w:t>
      </w:r>
      <w:r>
        <w:rPr>
          <w:rFonts w:ascii="宋体" w:hAnsi="宋体" w:eastAsia="宋体" w:cs="宋体"/>
          <w:spacing w:val="3"/>
          <w:sz w:val="24"/>
          <w:szCs w:val="24"/>
        </w:rPr>
        <w:t xml:space="preserve">或爆炸。在危险货物运输过程中由于管理人员和驾驶人员没有遵守相关规章制 </w:t>
      </w:r>
      <w:r>
        <w:rPr>
          <w:rFonts w:ascii="宋体" w:hAnsi="宋体" w:eastAsia="宋体" w:cs="宋体"/>
          <w:spacing w:val="-5"/>
          <w:sz w:val="24"/>
          <w:szCs w:val="24"/>
        </w:rPr>
        <w:t>度，</w:t>
      </w:r>
      <w:r>
        <w:rPr>
          <w:rFonts w:ascii="宋体" w:hAnsi="宋体" w:eastAsia="宋体" w:cs="宋体"/>
          <w:spacing w:val="-52"/>
          <w:sz w:val="24"/>
          <w:szCs w:val="24"/>
        </w:rPr>
        <w:t xml:space="preserve"> </w:t>
      </w:r>
      <w:r>
        <w:rPr>
          <w:rFonts w:ascii="宋体" w:hAnsi="宋体" w:eastAsia="宋体" w:cs="宋体"/>
          <w:spacing w:val="-5"/>
          <w:sz w:val="24"/>
          <w:szCs w:val="24"/>
        </w:rPr>
        <w:t>运输过程中疲劳驾驶、超载、超速等人为因素以及运输</w:t>
      </w:r>
      <w:r>
        <w:rPr>
          <w:rFonts w:ascii="宋体" w:hAnsi="宋体" w:eastAsia="宋体" w:cs="宋体"/>
          <w:spacing w:val="-6"/>
          <w:sz w:val="24"/>
          <w:szCs w:val="24"/>
        </w:rPr>
        <w:t>车辆缺陷（部分零件</w:t>
      </w:r>
      <w:r>
        <w:rPr>
          <w:rFonts w:ascii="宋体" w:hAnsi="宋体" w:eastAsia="宋体" w:cs="宋体"/>
          <w:sz w:val="24"/>
          <w:szCs w:val="24"/>
        </w:rPr>
        <w:t xml:space="preserve"> </w:t>
      </w:r>
      <w:r>
        <w:rPr>
          <w:rFonts w:ascii="宋体" w:hAnsi="宋体" w:eastAsia="宋体" w:cs="宋体"/>
          <w:spacing w:val="-11"/>
          <w:sz w:val="24"/>
          <w:szCs w:val="24"/>
        </w:rPr>
        <w:t>老化、刹车失灵） 等造成翻车、泄漏等交通事故，</w:t>
      </w:r>
      <w:r>
        <w:rPr>
          <w:rFonts w:ascii="宋体" w:hAnsi="宋体" w:eastAsia="宋体" w:cs="宋体"/>
          <w:spacing w:val="50"/>
          <w:sz w:val="24"/>
          <w:szCs w:val="24"/>
        </w:rPr>
        <w:t xml:space="preserve"> </w:t>
      </w:r>
      <w:r>
        <w:rPr>
          <w:rFonts w:ascii="宋体" w:hAnsi="宋体" w:eastAsia="宋体" w:cs="宋体"/>
          <w:spacing w:val="-11"/>
          <w:sz w:val="24"/>
          <w:szCs w:val="24"/>
        </w:rPr>
        <w:t>导致气体类危化品泄漏、或</w:t>
      </w:r>
      <w:r>
        <w:rPr>
          <w:rFonts w:ascii="宋体" w:hAnsi="宋体" w:eastAsia="宋体" w:cs="宋体"/>
          <w:spacing w:val="-12"/>
          <w:sz w:val="24"/>
          <w:szCs w:val="24"/>
        </w:rPr>
        <w:t xml:space="preserve">者 </w:t>
      </w:r>
      <w:r>
        <w:rPr>
          <w:rFonts w:ascii="宋体" w:hAnsi="宋体" w:eastAsia="宋体" w:cs="宋体"/>
          <w:spacing w:val="-9"/>
          <w:sz w:val="24"/>
          <w:szCs w:val="24"/>
        </w:rPr>
        <w:t>易挥发的液体危化品挥发进入大气中造成大气环境污染事故</w:t>
      </w:r>
      <w:r>
        <w:rPr>
          <w:rFonts w:ascii="宋体" w:hAnsi="宋体" w:eastAsia="宋体" w:cs="宋体"/>
          <w:spacing w:val="-10"/>
          <w:sz w:val="24"/>
          <w:szCs w:val="24"/>
        </w:rPr>
        <w:t>，</w:t>
      </w:r>
      <w:r>
        <w:rPr>
          <w:rFonts w:ascii="宋体" w:hAnsi="宋体" w:eastAsia="宋体" w:cs="宋体"/>
          <w:spacing w:val="-45"/>
          <w:sz w:val="24"/>
          <w:szCs w:val="24"/>
        </w:rPr>
        <w:t xml:space="preserve"> </w:t>
      </w:r>
      <w:r>
        <w:rPr>
          <w:rFonts w:ascii="宋体" w:hAnsi="宋体" w:eastAsia="宋体" w:cs="宋体"/>
          <w:spacing w:val="-10"/>
          <w:sz w:val="24"/>
          <w:szCs w:val="24"/>
        </w:rPr>
        <w:t>此外，运输的易燃、</w:t>
      </w:r>
      <w:r>
        <w:rPr>
          <w:rFonts w:ascii="宋体" w:hAnsi="宋体" w:eastAsia="宋体" w:cs="宋体"/>
          <w:sz w:val="24"/>
          <w:szCs w:val="24"/>
        </w:rPr>
        <w:t xml:space="preserve"> </w:t>
      </w:r>
      <w:r>
        <w:rPr>
          <w:rFonts w:ascii="宋体" w:hAnsi="宋体" w:eastAsia="宋体" w:cs="宋体"/>
          <w:spacing w:val="-3"/>
          <w:sz w:val="24"/>
          <w:szCs w:val="24"/>
        </w:rPr>
        <w:t>易爆的危化品发生泄漏事故遇明火引发的火灾、爆炸事故产生的二次污染物进入</w:t>
      </w:r>
    </w:p>
    <w:p>
      <w:pPr>
        <w:spacing w:line="220" w:lineRule="auto"/>
        <w:ind w:left="125"/>
        <w:rPr>
          <w:rFonts w:ascii="宋体" w:hAnsi="宋体" w:eastAsia="宋体" w:cs="宋体"/>
          <w:sz w:val="24"/>
          <w:szCs w:val="24"/>
        </w:rPr>
      </w:pPr>
      <w:r>
        <w:rPr>
          <w:rFonts w:ascii="宋体" w:hAnsi="宋体" w:eastAsia="宋体" w:cs="宋体"/>
          <w:spacing w:val="-4"/>
          <w:sz w:val="24"/>
          <w:szCs w:val="24"/>
        </w:rPr>
        <w:t>大气造成大气环境污染事故。</w:t>
      </w:r>
    </w:p>
    <w:p>
      <w:pPr>
        <w:spacing w:before="182" w:line="359" w:lineRule="auto"/>
        <w:ind w:left="121" w:right="44" w:firstLine="480"/>
        <w:jc w:val="both"/>
        <w:rPr>
          <w:rFonts w:ascii="宋体" w:hAnsi="宋体" w:eastAsia="宋体" w:cs="宋体"/>
          <w:sz w:val="24"/>
          <w:szCs w:val="24"/>
        </w:rPr>
      </w:pPr>
      <w:r>
        <w:rPr>
          <w:rFonts w:ascii="宋体" w:hAnsi="宋体" w:eastAsia="宋体" w:cs="宋体"/>
          <w:spacing w:val="-2"/>
          <w:sz w:val="24"/>
          <w:szCs w:val="24"/>
        </w:rPr>
        <w:t>根据对浙江省危险货运运输企业的相关调查，省内危险货物种类主要三类，</w:t>
      </w:r>
      <w:r>
        <w:rPr>
          <w:rFonts w:ascii="宋体" w:hAnsi="宋体" w:eastAsia="宋体" w:cs="宋体"/>
          <w:spacing w:val="2"/>
          <w:sz w:val="24"/>
          <w:szCs w:val="24"/>
        </w:rPr>
        <w:t xml:space="preserve"> </w:t>
      </w:r>
      <w:r>
        <w:rPr>
          <w:rFonts w:ascii="宋体" w:hAnsi="宋体" w:eastAsia="宋体" w:cs="宋体"/>
          <w:spacing w:val="-8"/>
          <w:sz w:val="24"/>
          <w:szCs w:val="24"/>
        </w:rPr>
        <w:t>分别是第</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 xml:space="preserve">2 </w:t>
      </w:r>
      <w:r>
        <w:rPr>
          <w:rFonts w:ascii="宋体" w:hAnsi="宋体" w:eastAsia="宋体" w:cs="宋体"/>
          <w:spacing w:val="-8"/>
          <w:sz w:val="24"/>
          <w:szCs w:val="24"/>
        </w:rPr>
        <w:t>类气体、第</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 xml:space="preserve">3 </w:t>
      </w:r>
      <w:r>
        <w:rPr>
          <w:rFonts w:ascii="宋体" w:hAnsi="宋体" w:eastAsia="宋体" w:cs="宋体"/>
          <w:spacing w:val="-8"/>
          <w:sz w:val="24"/>
          <w:szCs w:val="24"/>
        </w:rPr>
        <w:t>类易燃液体、第</w:t>
      </w:r>
      <w:r>
        <w:rPr>
          <w:rFonts w:ascii="宋体" w:hAnsi="宋体" w:eastAsia="宋体" w:cs="宋体"/>
          <w:spacing w:val="-45"/>
          <w:sz w:val="24"/>
          <w:szCs w:val="24"/>
        </w:rPr>
        <w:t xml:space="preserve"> </w:t>
      </w:r>
      <w:r>
        <w:rPr>
          <w:rFonts w:ascii="Times New Roman" w:hAnsi="Times New Roman" w:eastAsia="Times New Roman" w:cs="Times New Roman"/>
          <w:spacing w:val="-8"/>
          <w:sz w:val="24"/>
          <w:szCs w:val="24"/>
        </w:rPr>
        <w:t xml:space="preserve">8 </w:t>
      </w:r>
      <w:r>
        <w:rPr>
          <w:rFonts w:ascii="宋体" w:hAnsi="宋体" w:eastAsia="宋体" w:cs="宋体"/>
          <w:spacing w:val="-8"/>
          <w:sz w:val="24"/>
          <w:szCs w:val="24"/>
        </w:rPr>
        <w:t>类腐蚀性物质。据调查，</w:t>
      </w:r>
      <w:r>
        <w:rPr>
          <w:rFonts w:ascii="宋体" w:hAnsi="宋体" w:eastAsia="宋体" w:cs="宋体"/>
          <w:spacing w:val="40"/>
          <w:sz w:val="24"/>
          <w:szCs w:val="24"/>
        </w:rPr>
        <w:t xml:space="preserve"> </w:t>
      </w:r>
      <w:r>
        <w:rPr>
          <w:rFonts w:ascii="宋体" w:hAnsi="宋体" w:eastAsia="宋体" w:cs="宋体"/>
          <w:spacing w:val="-8"/>
          <w:sz w:val="24"/>
          <w:szCs w:val="24"/>
        </w:rPr>
        <w:t>气体主要在</w:t>
      </w:r>
      <w:r>
        <w:rPr>
          <w:rFonts w:ascii="宋体" w:hAnsi="宋体" w:eastAsia="宋体" w:cs="宋体"/>
          <w:sz w:val="24"/>
          <w:szCs w:val="24"/>
        </w:rPr>
        <w:t xml:space="preserve"> </w:t>
      </w:r>
      <w:r>
        <w:rPr>
          <w:rFonts w:ascii="宋体" w:hAnsi="宋体" w:eastAsia="宋体" w:cs="宋体"/>
          <w:spacing w:val="-13"/>
          <w:sz w:val="24"/>
          <w:szCs w:val="24"/>
        </w:rPr>
        <w:t>分布在温州；</w:t>
      </w:r>
      <w:r>
        <w:rPr>
          <w:rFonts w:ascii="宋体" w:hAnsi="宋体" w:eastAsia="宋体" w:cs="宋体"/>
          <w:spacing w:val="65"/>
          <w:sz w:val="24"/>
          <w:szCs w:val="24"/>
        </w:rPr>
        <w:t xml:space="preserve"> </w:t>
      </w:r>
      <w:r>
        <w:rPr>
          <w:rFonts w:ascii="宋体" w:hAnsi="宋体" w:eastAsia="宋体" w:cs="宋体"/>
          <w:spacing w:val="-13"/>
          <w:sz w:val="24"/>
          <w:szCs w:val="24"/>
        </w:rPr>
        <w:t>易燃液体以宁波和嘉兴为主，</w:t>
      </w:r>
      <w:r>
        <w:rPr>
          <w:rFonts w:ascii="宋体" w:hAnsi="宋体" w:eastAsia="宋体" w:cs="宋体"/>
          <w:spacing w:val="48"/>
          <w:sz w:val="24"/>
          <w:szCs w:val="24"/>
        </w:rPr>
        <w:t xml:space="preserve"> </w:t>
      </w:r>
      <w:r>
        <w:rPr>
          <w:rFonts w:ascii="宋体" w:hAnsi="宋体" w:eastAsia="宋体" w:cs="宋体"/>
          <w:spacing w:val="-13"/>
          <w:sz w:val="24"/>
          <w:szCs w:val="24"/>
        </w:rPr>
        <w:t>温州、金华、台州、杭州也较多</w:t>
      </w:r>
      <w:r>
        <w:rPr>
          <w:rFonts w:ascii="宋体" w:hAnsi="宋体" w:eastAsia="宋体" w:cs="宋体"/>
          <w:spacing w:val="-14"/>
          <w:sz w:val="24"/>
          <w:szCs w:val="24"/>
        </w:rPr>
        <w:t>。腐</w:t>
      </w:r>
      <w:r>
        <w:rPr>
          <w:rFonts w:ascii="宋体" w:hAnsi="宋体" w:eastAsia="宋体" w:cs="宋体"/>
          <w:sz w:val="24"/>
          <w:szCs w:val="24"/>
        </w:rPr>
        <w:t xml:space="preserve"> </w:t>
      </w:r>
      <w:r>
        <w:rPr>
          <w:rFonts w:ascii="宋体" w:hAnsi="宋体" w:eastAsia="宋体" w:cs="宋体"/>
          <w:spacing w:val="-3"/>
          <w:sz w:val="24"/>
          <w:szCs w:val="24"/>
        </w:rPr>
        <w:t>蚀性物质主要分布在杭州、嘉兴、绍兴和衢州。本工程危险货物种类以可能以气</w:t>
      </w:r>
    </w:p>
    <w:p>
      <w:pPr>
        <w:spacing w:before="1" w:line="219" w:lineRule="auto"/>
        <w:ind w:left="122"/>
        <w:rPr>
          <w:rFonts w:ascii="宋体" w:hAnsi="宋体" w:eastAsia="宋体" w:cs="宋体"/>
          <w:sz w:val="24"/>
          <w:szCs w:val="24"/>
        </w:rPr>
      </w:pPr>
      <w:r>
        <w:rPr>
          <w:rFonts w:ascii="宋体" w:hAnsi="宋体" w:eastAsia="宋体" w:cs="宋体"/>
          <w:spacing w:val="-1"/>
          <w:sz w:val="24"/>
          <w:szCs w:val="24"/>
        </w:rPr>
        <w:t>体和易燃液体为主，腐蚀性物质相对较少。</w:t>
      </w:r>
    </w:p>
    <w:p>
      <w:pPr>
        <w:spacing w:before="181" w:line="220" w:lineRule="auto"/>
        <w:ind w:left="120"/>
        <w:outlineLvl w:val="1"/>
        <w:rPr>
          <w:rFonts w:ascii="宋体" w:hAnsi="宋体" w:eastAsia="宋体" w:cs="宋体"/>
          <w:sz w:val="24"/>
          <w:szCs w:val="24"/>
        </w:rPr>
      </w:pPr>
      <w:r>
        <w:fldChar w:fldCharType="begin"/>
      </w:r>
      <w:r>
        <w:instrText xml:space="preserve"> HYPERLINK "5.6.4.3" </w:instrText>
      </w:r>
      <w:r>
        <w:fldChar w:fldCharType="separate"/>
      </w:r>
      <w:r>
        <w:rPr>
          <w:rFonts w:ascii="Times New Roman" w:hAnsi="Times New Roman" w:eastAsia="Times New Roman" w:cs="Times New Roman"/>
          <w:b/>
          <w:bCs/>
          <w:sz w:val="24"/>
          <w:szCs w:val="24"/>
        </w:rPr>
        <w:t>5.6.4.3</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大气环境风险影响分析</w:t>
      </w:r>
    </w:p>
    <w:p>
      <w:pPr>
        <w:spacing w:line="220" w:lineRule="auto"/>
        <w:rPr>
          <w:rFonts w:ascii="宋体" w:hAnsi="宋体" w:eastAsia="宋体" w:cs="宋体"/>
          <w:sz w:val="24"/>
          <w:szCs w:val="24"/>
        </w:rPr>
        <w:sectPr>
          <w:headerReference r:id="rId305" w:type="default"/>
          <w:footerReference r:id="rId306" w:type="default"/>
          <w:pgSz w:w="11907" w:h="16839"/>
          <w:pgMar w:top="1118" w:right="1714" w:bottom="1184" w:left="1687" w:header="879" w:footer="1024" w:gutter="0"/>
          <w:cols w:space="720" w:num="1"/>
        </w:sectPr>
      </w:pPr>
    </w:p>
    <w:p>
      <w:pPr>
        <w:pStyle w:val="2"/>
        <w:spacing w:line="280" w:lineRule="auto"/>
      </w:pPr>
    </w:p>
    <w:p>
      <w:pPr>
        <w:spacing w:before="78" w:line="359" w:lineRule="auto"/>
        <w:ind w:left="39" w:right="30" w:firstLine="478"/>
        <w:jc w:val="both"/>
        <w:rPr>
          <w:rFonts w:ascii="宋体" w:hAnsi="宋体" w:eastAsia="宋体" w:cs="宋体"/>
          <w:sz w:val="24"/>
          <w:szCs w:val="24"/>
        </w:rPr>
      </w:pPr>
      <w:r>
        <w:rPr>
          <w:rFonts w:ascii="宋体" w:hAnsi="宋体" w:eastAsia="宋体" w:cs="宋体"/>
          <w:spacing w:val="-21"/>
          <w:sz w:val="24"/>
          <w:szCs w:val="24"/>
        </w:rPr>
        <w:t>在危化品运输过程中，</w:t>
      </w:r>
      <w:r>
        <w:rPr>
          <w:rFonts w:ascii="宋体" w:hAnsi="宋体" w:eastAsia="宋体" w:cs="宋体"/>
          <w:spacing w:val="47"/>
          <w:sz w:val="24"/>
          <w:szCs w:val="24"/>
        </w:rPr>
        <w:t xml:space="preserve"> </w:t>
      </w:r>
      <w:r>
        <w:rPr>
          <w:rFonts w:ascii="宋体" w:hAnsi="宋体" w:eastAsia="宋体" w:cs="宋体"/>
          <w:spacing w:val="-21"/>
          <w:sz w:val="24"/>
          <w:szCs w:val="24"/>
        </w:rPr>
        <w:t>从装卸、运输到保管，</w:t>
      </w:r>
      <w:r>
        <w:rPr>
          <w:rFonts w:ascii="宋体" w:hAnsi="宋体" w:eastAsia="宋体" w:cs="宋体"/>
          <w:spacing w:val="46"/>
          <w:sz w:val="24"/>
          <w:szCs w:val="24"/>
        </w:rPr>
        <w:t xml:space="preserve"> </w:t>
      </w:r>
      <w:r>
        <w:rPr>
          <w:rFonts w:ascii="宋体" w:hAnsi="宋体" w:eastAsia="宋体" w:cs="宋体"/>
          <w:spacing w:val="-21"/>
          <w:sz w:val="24"/>
          <w:szCs w:val="24"/>
        </w:rPr>
        <w:t xml:space="preserve">工序长， </w:t>
      </w:r>
      <w:r>
        <w:rPr>
          <w:rFonts w:ascii="宋体" w:hAnsi="宋体" w:eastAsia="宋体" w:cs="宋体"/>
          <w:spacing w:val="-22"/>
          <w:sz w:val="24"/>
          <w:szCs w:val="24"/>
        </w:rPr>
        <w:t>参与人员多，</w:t>
      </w:r>
      <w:r>
        <w:rPr>
          <w:rFonts w:ascii="宋体" w:hAnsi="宋体" w:eastAsia="宋体" w:cs="宋体"/>
          <w:spacing w:val="44"/>
          <w:sz w:val="24"/>
          <w:szCs w:val="24"/>
        </w:rPr>
        <w:t xml:space="preserve"> </w:t>
      </w:r>
      <w:r>
        <w:rPr>
          <w:rFonts w:ascii="宋体" w:hAnsi="宋体" w:eastAsia="宋体" w:cs="宋体"/>
          <w:spacing w:val="-22"/>
          <w:sz w:val="24"/>
          <w:szCs w:val="24"/>
        </w:rPr>
        <w:t>运输方</w:t>
      </w:r>
      <w:r>
        <w:rPr>
          <w:rFonts w:ascii="宋体" w:hAnsi="宋体" w:eastAsia="宋体" w:cs="宋体"/>
          <w:sz w:val="24"/>
          <w:szCs w:val="24"/>
        </w:rPr>
        <w:t xml:space="preserve"> </w:t>
      </w:r>
      <w:r>
        <w:rPr>
          <w:rFonts w:ascii="宋体" w:hAnsi="宋体" w:eastAsia="宋体" w:cs="宋体"/>
          <w:spacing w:val="-18"/>
          <w:sz w:val="24"/>
          <w:szCs w:val="24"/>
        </w:rPr>
        <w:t>式和工具多，</w:t>
      </w:r>
      <w:r>
        <w:rPr>
          <w:rFonts w:ascii="宋体" w:hAnsi="宋体" w:eastAsia="宋体" w:cs="宋体"/>
          <w:spacing w:val="48"/>
          <w:sz w:val="24"/>
          <w:szCs w:val="24"/>
        </w:rPr>
        <w:t xml:space="preserve"> </w:t>
      </w:r>
      <w:r>
        <w:rPr>
          <w:rFonts w:ascii="宋体" w:hAnsi="宋体" w:eastAsia="宋体" w:cs="宋体"/>
          <w:spacing w:val="-18"/>
          <w:sz w:val="24"/>
          <w:szCs w:val="24"/>
        </w:rPr>
        <w:t>运输范围广，</w:t>
      </w:r>
      <w:r>
        <w:rPr>
          <w:rFonts w:ascii="宋体" w:hAnsi="宋体" w:eastAsia="宋体" w:cs="宋体"/>
          <w:spacing w:val="-35"/>
          <w:sz w:val="24"/>
          <w:szCs w:val="24"/>
        </w:rPr>
        <w:t xml:space="preserve"> </w:t>
      </w:r>
      <w:r>
        <w:rPr>
          <w:rFonts w:ascii="宋体" w:hAnsi="宋体" w:eastAsia="宋体" w:cs="宋体"/>
          <w:spacing w:val="-18"/>
          <w:sz w:val="24"/>
          <w:szCs w:val="24"/>
        </w:rPr>
        <w:t>行程长， 气温、压力、干湿变化范围大，</w:t>
      </w:r>
      <w:r>
        <w:rPr>
          <w:rFonts w:ascii="宋体" w:hAnsi="宋体" w:eastAsia="宋体" w:cs="宋体"/>
          <w:spacing w:val="49"/>
          <w:sz w:val="24"/>
          <w:szCs w:val="24"/>
        </w:rPr>
        <w:t xml:space="preserve"> </w:t>
      </w:r>
      <w:r>
        <w:rPr>
          <w:rFonts w:ascii="宋体" w:hAnsi="宋体" w:eastAsia="宋体" w:cs="宋体"/>
          <w:spacing w:val="-18"/>
          <w:sz w:val="24"/>
          <w:szCs w:val="24"/>
        </w:rPr>
        <w:t>这些复杂众</w:t>
      </w:r>
      <w:r>
        <w:rPr>
          <w:rFonts w:ascii="宋体" w:hAnsi="宋体" w:eastAsia="宋体" w:cs="宋体"/>
          <w:sz w:val="24"/>
          <w:szCs w:val="24"/>
        </w:rPr>
        <w:t xml:space="preserve"> </w:t>
      </w:r>
      <w:r>
        <w:rPr>
          <w:rFonts w:ascii="宋体" w:hAnsi="宋体" w:eastAsia="宋体" w:cs="宋体"/>
          <w:spacing w:val="-3"/>
          <w:sz w:val="24"/>
          <w:szCs w:val="24"/>
        </w:rPr>
        <w:t>多的外界因素是运输过程中造成风险的诱发条件。在运输、车辆装卸以及储存等</w:t>
      </w:r>
      <w:r>
        <w:rPr>
          <w:rFonts w:ascii="宋体" w:hAnsi="宋体" w:eastAsia="宋体" w:cs="宋体"/>
          <w:sz w:val="24"/>
          <w:szCs w:val="24"/>
        </w:rPr>
        <w:t xml:space="preserve"> </w:t>
      </w:r>
      <w:r>
        <w:rPr>
          <w:rFonts w:ascii="宋体" w:hAnsi="宋体" w:eastAsia="宋体" w:cs="宋体"/>
          <w:spacing w:val="-3"/>
          <w:sz w:val="24"/>
          <w:szCs w:val="24"/>
        </w:rPr>
        <w:t>过程有可能发生交通事故、运输过程设备故障性泄漏、装卸化学品操作失</w:t>
      </w:r>
      <w:r>
        <w:rPr>
          <w:rFonts w:ascii="宋体" w:hAnsi="宋体" w:eastAsia="宋体" w:cs="宋体"/>
          <w:spacing w:val="-4"/>
          <w:sz w:val="24"/>
          <w:szCs w:val="24"/>
        </w:rPr>
        <w:t>误等事</w:t>
      </w:r>
      <w:r>
        <w:rPr>
          <w:rFonts w:ascii="宋体" w:hAnsi="宋体" w:eastAsia="宋体" w:cs="宋体"/>
          <w:sz w:val="24"/>
          <w:szCs w:val="24"/>
        </w:rPr>
        <w:t xml:space="preserve"> </w:t>
      </w:r>
      <w:r>
        <w:rPr>
          <w:rFonts w:ascii="宋体" w:hAnsi="宋体" w:eastAsia="宋体" w:cs="宋体"/>
          <w:spacing w:val="-9"/>
          <w:sz w:val="24"/>
          <w:szCs w:val="24"/>
        </w:rPr>
        <w:t>故会造成火灾爆炸风险， 使有毒有害物质进入到空</w:t>
      </w:r>
      <w:r>
        <w:rPr>
          <w:rFonts w:ascii="宋体" w:hAnsi="宋体" w:eastAsia="宋体" w:cs="宋体"/>
          <w:spacing w:val="-10"/>
          <w:sz w:val="24"/>
          <w:szCs w:val="24"/>
        </w:rPr>
        <w:t>气中， 对周边居民或生态造成</w:t>
      </w:r>
    </w:p>
    <w:p>
      <w:pPr>
        <w:spacing w:line="219" w:lineRule="auto"/>
        <w:ind w:left="38"/>
        <w:rPr>
          <w:rFonts w:ascii="宋体" w:hAnsi="宋体" w:eastAsia="宋体" w:cs="宋体"/>
          <w:sz w:val="24"/>
          <w:szCs w:val="24"/>
        </w:rPr>
      </w:pPr>
      <w:r>
        <w:rPr>
          <w:rFonts w:ascii="宋体" w:hAnsi="宋体" w:eastAsia="宋体" w:cs="宋体"/>
          <w:spacing w:val="-4"/>
          <w:sz w:val="24"/>
          <w:szCs w:val="24"/>
        </w:rPr>
        <w:t>损害，引发大气环境事件。</w:t>
      </w:r>
    </w:p>
    <w:p>
      <w:pPr>
        <w:spacing w:before="178" w:line="360" w:lineRule="auto"/>
        <w:ind w:left="38" w:right="30" w:firstLine="479"/>
        <w:jc w:val="both"/>
        <w:rPr>
          <w:rFonts w:ascii="宋体" w:hAnsi="宋体" w:eastAsia="宋体" w:cs="宋体"/>
          <w:sz w:val="24"/>
          <w:szCs w:val="24"/>
        </w:rPr>
      </w:pPr>
      <w:r>
        <w:rPr>
          <w:rFonts w:ascii="宋体" w:hAnsi="宋体" w:eastAsia="宋体" w:cs="宋体"/>
          <w:spacing w:val="-10"/>
          <w:sz w:val="24"/>
          <w:szCs w:val="24"/>
        </w:rPr>
        <w:t>根据前文危险品运输事故概率分析， 本工程危化品车辆通过量较少， 发生危</w:t>
      </w:r>
      <w:r>
        <w:rPr>
          <w:rFonts w:ascii="宋体" w:hAnsi="宋体" w:eastAsia="宋体" w:cs="宋体"/>
          <w:spacing w:val="5"/>
          <w:sz w:val="24"/>
          <w:szCs w:val="24"/>
        </w:rPr>
        <w:t xml:space="preserve"> </w:t>
      </w:r>
      <w:r>
        <w:rPr>
          <w:rFonts w:ascii="宋体" w:hAnsi="宋体" w:eastAsia="宋体" w:cs="宋体"/>
          <w:spacing w:val="-9"/>
          <w:sz w:val="24"/>
          <w:szCs w:val="24"/>
        </w:rPr>
        <w:t>化品运输事故的概率相对较小， 工程建成运营后应</w:t>
      </w:r>
      <w:r>
        <w:rPr>
          <w:rFonts w:ascii="宋体" w:hAnsi="宋体" w:eastAsia="宋体" w:cs="宋体"/>
          <w:spacing w:val="-10"/>
          <w:sz w:val="24"/>
          <w:szCs w:val="24"/>
        </w:rPr>
        <w:t>加强危化品运输管理， 尽可能</w:t>
      </w:r>
      <w:r>
        <w:rPr>
          <w:rFonts w:ascii="宋体" w:hAnsi="宋体" w:eastAsia="宋体" w:cs="宋体"/>
          <w:sz w:val="24"/>
          <w:szCs w:val="24"/>
        </w:rPr>
        <w:t xml:space="preserve"> </w:t>
      </w:r>
      <w:r>
        <w:rPr>
          <w:rFonts w:ascii="宋体" w:hAnsi="宋体" w:eastAsia="宋体" w:cs="宋体"/>
          <w:spacing w:val="-16"/>
          <w:sz w:val="24"/>
          <w:szCs w:val="24"/>
        </w:rPr>
        <w:t>减小事故发生的概率；</w:t>
      </w:r>
      <w:r>
        <w:rPr>
          <w:rFonts w:ascii="宋体" w:hAnsi="宋体" w:eastAsia="宋体" w:cs="宋体"/>
          <w:spacing w:val="40"/>
          <w:sz w:val="24"/>
          <w:szCs w:val="24"/>
        </w:rPr>
        <w:t xml:space="preserve"> </w:t>
      </w:r>
      <w:r>
        <w:rPr>
          <w:rFonts w:ascii="宋体" w:hAnsi="宋体" w:eastAsia="宋体" w:cs="宋体"/>
          <w:spacing w:val="-16"/>
          <w:sz w:val="24"/>
          <w:szCs w:val="24"/>
        </w:rPr>
        <w:t>并制定相应的应急预案，</w:t>
      </w:r>
      <w:r>
        <w:rPr>
          <w:rFonts w:ascii="宋体" w:hAnsi="宋体" w:eastAsia="宋体" w:cs="宋体"/>
          <w:spacing w:val="36"/>
          <w:sz w:val="24"/>
          <w:szCs w:val="24"/>
        </w:rPr>
        <w:t xml:space="preserve"> </w:t>
      </w:r>
      <w:r>
        <w:rPr>
          <w:rFonts w:ascii="宋体" w:hAnsi="宋体" w:eastAsia="宋体" w:cs="宋体"/>
          <w:spacing w:val="-16"/>
          <w:sz w:val="24"/>
          <w:szCs w:val="24"/>
        </w:rPr>
        <w:t>一旦</w:t>
      </w:r>
      <w:r>
        <w:rPr>
          <w:rFonts w:ascii="宋体" w:hAnsi="宋体" w:eastAsia="宋体" w:cs="宋体"/>
          <w:spacing w:val="-17"/>
          <w:sz w:val="24"/>
          <w:szCs w:val="24"/>
        </w:rPr>
        <w:t>发生事故，</w:t>
      </w:r>
      <w:r>
        <w:rPr>
          <w:rFonts w:ascii="宋体" w:hAnsi="宋体" w:eastAsia="宋体" w:cs="宋体"/>
          <w:spacing w:val="32"/>
          <w:sz w:val="24"/>
          <w:szCs w:val="24"/>
        </w:rPr>
        <w:t xml:space="preserve"> </w:t>
      </w:r>
      <w:r>
        <w:rPr>
          <w:rFonts w:ascii="宋体" w:hAnsi="宋体" w:eastAsia="宋体" w:cs="宋体"/>
          <w:spacing w:val="-17"/>
          <w:sz w:val="24"/>
          <w:szCs w:val="24"/>
        </w:rPr>
        <w:t>确保第一时间启</w:t>
      </w:r>
    </w:p>
    <w:p>
      <w:pPr>
        <w:spacing w:line="220" w:lineRule="auto"/>
        <w:ind w:left="39"/>
        <w:rPr>
          <w:rFonts w:ascii="宋体" w:hAnsi="宋体" w:eastAsia="宋体" w:cs="宋体"/>
          <w:sz w:val="24"/>
          <w:szCs w:val="24"/>
        </w:rPr>
      </w:pPr>
      <w:r>
        <w:rPr>
          <w:rFonts w:ascii="宋体" w:hAnsi="宋体" w:eastAsia="宋体" w:cs="宋体"/>
          <w:spacing w:val="-3"/>
          <w:sz w:val="24"/>
          <w:szCs w:val="24"/>
        </w:rPr>
        <w:t>动，尽可能减小事故影响的范围和程度。</w:t>
      </w:r>
    </w:p>
    <w:p>
      <w:pPr>
        <w:spacing w:line="220" w:lineRule="auto"/>
        <w:rPr>
          <w:rFonts w:ascii="宋体" w:hAnsi="宋体" w:eastAsia="宋体" w:cs="宋体"/>
          <w:sz w:val="24"/>
          <w:szCs w:val="24"/>
        </w:rPr>
        <w:sectPr>
          <w:headerReference r:id="rId307" w:type="default"/>
          <w:footerReference r:id="rId308" w:type="default"/>
          <w:pgSz w:w="11907" w:h="16839"/>
          <w:pgMar w:top="1118" w:right="1769" w:bottom="1184" w:left="1771" w:header="879" w:footer="1024" w:gutter="0"/>
          <w:cols w:space="720" w:num="1"/>
        </w:sectPr>
      </w:pPr>
    </w:p>
    <w:p>
      <w:pPr>
        <w:pStyle w:val="2"/>
        <w:spacing w:line="271" w:lineRule="auto"/>
      </w:pPr>
    </w:p>
    <w:p>
      <w:pPr>
        <w:spacing w:before="91" w:line="539" w:lineRule="exact"/>
        <w:ind w:left="123"/>
        <w:rPr>
          <w:rFonts w:ascii="宋体" w:hAnsi="宋体" w:eastAsia="宋体" w:cs="宋体"/>
          <w:sz w:val="28"/>
          <w:szCs w:val="28"/>
        </w:rPr>
      </w:pPr>
      <w:bookmarkStart w:id="40" w:name="bookmark38"/>
      <w:bookmarkEnd w:id="40"/>
      <w:bookmarkStart w:id="41" w:name="bookmark37"/>
      <w:bookmarkEnd w:id="41"/>
      <w:r>
        <w:rPr>
          <w:rFonts w:ascii="Times New Roman" w:hAnsi="Times New Roman" w:eastAsia="Times New Roman" w:cs="Times New Roman"/>
          <w:b/>
          <w:bCs/>
          <w:position w:val="19"/>
          <w:sz w:val="28"/>
          <w:szCs w:val="28"/>
        </w:rPr>
        <w:t xml:space="preserve">6 </w:t>
      </w:r>
      <w:r>
        <w:rPr>
          <w:rFonts w:ascii="宋体" w:hAnsi="宋体" w:eastAsia="宋体" w:cs="宋体"/>
          <w:position w:val="19"/>
          <w:sz w:val="28"/>
          <w:szCs w:val="28"/>
          <w14:textOutline w14:w="5094" w14:cap="flat" w14:cmpd="sng">
            <w14:solidFill>
              <w14:srgbClr w14:val="000000"/>
            </w14:solidFill>
            <w14:prstDash w14:val="solid"/>
            <w14:miter w14:val="0"/>
          </w14:textOutline>
        </w:rPr>
        <w:t>环境保护措施及其可行性论证</w:t>
      </w:r>
    </w:p>
    <w:p>
      <w:pPr>
        <w:spacing w:line="219" w:lineRule="auto"/>
        <w:ind w:left="121"/>
        <w:rPr>
          <w:rFonts w:ascii="宋体" w:hAnsi="宋体" w:eastAsia="宋体" w:cs="宋体"/>
          <w:sz w:val="24"/>
          <w:szCs w:val="24"/>
        </w:rPr>
      </w:pPr>
      <w:r>
        <w:rPr>
          <w:rFonts w:ascii="Times New Roman" w:hAnsi="Times New Roman" w:eastAsia="Times New Roman" w:cs="Times New Roman"/>
          <w:b/>
          <w:bCs/>
          <w:spacing w:val="-1"/>
          <w:sz w:val="24"/>
          <w:szCs w:val="24"/>
        </w:rPr>
        <w:t xml:space="preserve">6.1 </w:t>
      </w:r>
      <w:r>
        <w:rPr>
          <w:rFonts w:ascii="宋体" w:hAnsi="宋体" w:eastAsia="宋体" w:cs="宋体"/>
          <w:spacing w:val="-1"/>
          <w:sz w:val="24"/>
          <w:szCs w:val="24"/>
          <w14:textOutline w14:w="4354" w14:cap="flat" w14:cmpd="sng">
            <w14:solidFill>
              <w14:srgbClr w14:val="000000"/>
            </w14:solidFill>
            <w14:prstDash w14:val="solid"/>
            <w14:miter w14:val="0"/>
          </w14:textOutline>
        </w:rPr>
        <w:t>地表水环境污染防治措施</w:t>
      </w:r>
    </w:p>
    <w:p>
      <w:pPr>
        <w:spacing w:before="179" w:line="220" w:lineRule="auto"/>
        <w:ind w:left="121"/>
        <w:outlineLvl w:val="1"/>
        <w:rPr>
          <w:rFonts w:ascii="宋体" w:hAnsi="宋体" w:eastAsia="宋体" w:cs="宋体"/>
          <w:sz w:val="24"/>
          <w:szCs w:val="24"/>
        </w:rPr>
      </w:pPr>
      <w:r>
        <w:rPr>
          <w:rFonts w:ascii="Times New Roman" w:hAnsi="Times New Roman" w:eastAsia="Times New Roman" w:cs="Times New Roman"/>
          <w:b/>
          <w:bCs/>
          <w:sz w:val="24"/>
          <w:szCs w:val="24"/>
        </w:rPr>
        <w:t xml:space="preserve">6.1.1 </w:t>
      </w:r>
      <w:r>
        <w:rPr>
          <w:rFonts w:ascii="宋体" w:hAnsi="宋体" w:eastAsia="宋体" w:cs="宋体"/>
          <w:sz w:val="24"/>
          <w:szCs w:val="24"/>
          <w14:textOutline w14:w="4354" w14:cap="flat" w14:cmpd="sng">
            <w14:solidFill>
              <w14:srgbClr w14:val="000000"/>
            </w14:solidFill>
            <w14:prstDash w14:val="solid"/>
            <w14:miter w14:val="0"/>
          </w14:textOutline>
        </w:rPr>
        <w:t>施工期水环境污染防治措施回顾</w:t>
      </w:r>
    </w:p>
    <w:p>
      <w:pPr>
        <w:spacing w:before="182" w:line="220" w:lineRule="auto"/>
        <w:ind w:left="60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）施工人员生活污水污染防治措施</w:t>
      </w:r>
    </w:p>
    <w:p>
      <w:pPr>
        <w:spacing w:before="182" w:line="359" w:lineRule="auto"/>
        <w:ind w:left="125" w:right="114" w:firstLine="477"/>
        <w:rPr>
          <w:rFonts w:ascii="宋体" w:hAnsi="宋体" w:eastAsia="宋体" w:cs="宋体"/>
          <w:sz w:val="24"/>
          <w:szCs w:val="24"/>
        </w:rPr>
      </w:pPr>
      <w:r>
        <w:rPr>
          <w:rFonts w:ascii="宋体" w:hAnsi="宋体" w:eastAsia="宋体" w:cs="宋体"/>
          <w:spacing w:val="-6"/>
          <w:sz w:val="24"/>
          <w:szCs w:val="24"/>
        </w:rPr>
        <w:t>本工程施工人员主要租用附近民房，</w:t>
      </w:r>
      <w:r>
        <w:rPr>
          <w:rFonts w:ascii="宋体" w:hAnsi="宋体" w:eastAsia="宋体" w:cs="宋体"/>
          <w:spacing w:val="-27"/>
          <w:sz w:val="24"/>
          <w:szCs w:val="24"/>
        </w:rPr>
        <w:t xml:space="preserve"> </w:t>
      </w:r>
      <w:r>
        <w:rPr>
          <w:rFonts w:ascii="宋体" w:hAnsi="宋体" w:eastAsia="宋体" w:cs="宋体"/>
          <w:spacing w:val="-6"/>
          <w:sz w:val="24"/>
          <w:szCs w:val="24"/>
        </w:rPr>
        <w:t>生活污水利用当地原有污水处理设施进</w:t>
      </w:r>
      <w:r>
        <w:rPr>
          <w:rFonts w:ascii="宋体" w:hAnsi="宋体" w:eastAsia="宋体" w:cs="宋体"/>
          <w:sz w:val="24"/>
          <w:szCs w:val="24"/>
        </w:rPr>
        <w:t xml:space="preserve"> </w:t>
      </w:r>
      <w:r>
        <w:rPr>
          <w:rFonts w:ascii="宋体" w:hAnsi="宋体" w:eastAsia="宋体" w:cs="宋体"/>
          <w:spacing w:val="-6"/>
          <w:sz w:val="24"/>
          <w:szCs w:val="24"/>
        </w:rPr>
        <w:t>行处理。临时施工场地设置临时厕所， 施工人员</w:t>
      </w:r>
      <w:r>
        <w:rPr>
          <w:rFonts w:ascii="宋体" w:hAnsi="宋体" w:eastAsia="宋体" w:cs="宋体"/>
          <w:spacing w:val="-7"/>
          <w:sz w:val="24"/>
          <w:szCs w:val="24"/>
        </w:rPr>
        <w:t>的生活污水经化粪池预处理后委</w:t>
      </w:r>
    </w:p>
    <w:p>
      <w:pPr>
        <w:spacing w:before="1" w:line="219" w:lineRule="auto"/>
        <w:ind w:left="122"/>
        <w:rPr>
          <w:rFonts w:ascii="宋体" w:hAnsi="宋体" w:eastAsia="宋体" w:cs="宋体"/>
          <w:sz w:val="24"/>
          <w:szCs w:val="24"/>
        </w:rPr>
      </w:pPr>
      <w:r>
        <w:rPr>
          <w:rFonts w:ascii="宋体" w:hAnsi="宋体" w:eastAsia="宋体" w:cs="宋体"/>
          <w:spacing w:val="-1"/>
          <w:sz w:val="24"/>
          <w:szCs w:val="24"/>
        </w:rPr>
        <w:t>托定期清运浇灌山林。</w:t>
      </w:r>
    </w:p>
    <w:p>
      <w:pPr>
        <w:spacing w:before="180" w:line="220" w:lineRule="auto"/>
        <w:ind w:left="60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）桥梁施工</w:t>
      </w:r>
    </w:p>
    <w:p>
      <w:pPr>
        <w:spacing w:before="183" w:line="359" w:lineRule="auto"/>
        <w:ind w:left="124" w:right="114" w:firstLine="480"/>
        <w:rPr>
          <w:rFonts w:ascii="宋体" w:hAnsi="宋体" w:eastAsia="宋体" w:cs="宋体"/>
          <w:sz w:val="24"/>
          <w:szCs w:val="24"/>
        </w:rPr>
      </w:pPr>
      <w:r>
        <w:rPr>
          <w:rFonts w:ascii="宋体" w:hAnsi="宋体" w:eastAsia="宋体" w:cs="宋体"/>
          <w:spacing w:val="-6"/>
          <w:sz w:val="24"/>
          <w:szCs w:val="24"/>
        </w:rPr>
        <w:t>工程所设桥梁基础主要采用钻孔灌注桩，</w:t>
      </w:r>
      <w:r>
        <w:rPr>
          <w:rFonts w:ascii="宋体" w:hAnsi="宋体" w:eastAsia="宋体" w:cs="宋体"/>
          <w:spacing w:val="-29"/>
          <w:sz w:val="24"/>
          <w:szCs w:val="24"/>
        </w:rPr>
        <w:t xml:space="preserve"> </w:t>
      </w:r>
      <w:r>
        <w:rPr>
          <w:rFonts w:ascii="宋体" w:hAnsi="宋体" w:eastAsia="宋体" w:cs="宋体"/>
          <w:spacing w:val="-6"/>
          <w:sz w:val="24"/>
          <w:szCs w:val="24"/>
        </w:rPr>
        <w:t>钻孔灌注桩基础施工中泥浆部分回</w:t>
      </w:r>
      <w:r>
        <w:rPr>
          <w:rFonts w:ascii="宋体" w:hAnsi="宋体" w:eastAsia="宋体" w:cs="宋体"/>
          <w:sz w:val="24"/>
          <w:szCs w:val="24"/>
        </w:rPr>
        <w:t xml:space="preserve"> </w:t>
      </w:r>
      <w:r>
        <w:rPr>
          <w:rFonts w:ascii="宋体" w:hAnsi="宋体" w:eastAsia="宋体" w:cs="宋体"/>
          <w:spacing w:val="-3"/>
          <w:sz w:val="24"/>
          <w:szCs w:val="24"/>
        </w:rPr>
        <w:t>用，无法回用的泥浆经沉淀后上清液回用于洒水降尘，钻渣最终作为废弃</w:t>
      </w:r>
      <w:r>
        <w:rPr>
          <w:rFonts w:ascii="宋体" w:hAnsi="宋体" w:eastAsia="宋体" w:cs="宋体"/>
          <w:spacing w:val="-4"/>
          <w:sz w:val="24"/>
          <w:szCs w:val="24"/>
        </w:rPr>
        <w:t>土石方</w:t>
      </w:r>
    </w:p>
    <w:p>
      <w:pPr>
        <w:spacing w:line="220" w:lineRule="auto"/>
        <w:ind w:left="120"/>
        <w:rPr>
          <w:rFonts w:ascii="宋体" w:hAnsi="宋体" w:eastAsia="宋体" w:cs="宋体"/>
          <w:sz w:val="24"/>
          <w:szCs w:val="24"/>
        </w:rPr>
      </w:pPr>
      <w:r>
        <w:rPr>
          <w:rFonts w:ascii="宋体" w:hAnsi="宋体" w:eastAsia="宋体" w:cs="宋体"/>
          <w:spacing w:val="-2"/>
          <w:sz w:val="24"/>
          <w:szCs w:val="24"/>
        </w:rPr>
        <w:t>进行处理。</w:t>
      </w:r>
    </w:p>
    <w:p>
      <w:pPr>
        <w:spacing w:before="179" w:line="220"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）混凝土拌和站废水</w:t>
      </w:r>
    </w:p>
    <w:p>
      <w:pPr>
        <w:spacing w:before="183" w:line="217" w:lineRule="auto"/>
        <w:ind w:left="601"/>
        <w:rPr>
          <w:rFonts w:ascii="宋体" w:hAnsi="宋体" w:eastAsia="宋体" w:cs="宋体"/>
          <w:sz w:val="24"/>
          <w:szCs w:val="24"/>
        </w:rPr>
      </w:pPr>
      <w:r>
        <w:rPr>
          <w:rFonts w:ascii="宋体" w:hAnsi="宋体" w:eastAsia="宋体" w:cs="宋体"/>
          <w:spacing w:val="-2"/>
          <w:sz w:val="24"/>
          <w:szCs w:val="24"/>
        </w:rPr>
        <w:t>①混凝土拌和站场地硬化，内设雨水导流沟排水系统。</w:t>
      </w:r>
    </w:p>
    <w:p>
      <w:pPr>
        <w:spacing w:before="183" w:line="359" w:lineRule="auto"/>
        <w:ind w:left="126" w:right="110" w:firstLine="473"/>
        <w:jc w:val="both"/>
        <w:rPr>
          <w:rFonts w:ascii="宋体" w:hAnsi="宋体" w:eastAsia="宋体" w:cs="宋体"/>
          <w:sz w:val="24"/>
          <w:szCs w:val="24"/>
        </w:rPr>
      </w:pPr>
      <w:r>
        <w:rPr>
          <w:rFonts w:ascii="宋体" w:hAnsi="宋体" w:eastAsia="宋体" w:cs="宋体"/>
          <w:spacing w:val="4"/>
          <w:sz w:val="24"/>
          <w:szCs w:val="24"/>
        </w:rPr>
        <w:t>②搅拌机清洗水和运输车辆清洗水在临时场地内由沉淀池等生产废水处理</w:t>
      </w:r>
      <w:r>
        <w:rPr>
          <w:rFonts w:ascii="宋体" w:hAnsi="宋体" w:eastAsia="宋体" w:cs="宋体"/>
          <w:spacing w:val="13"/>
          <w:sz w:val="24"/>
          <w:szCs w:val="24"/>
        </w:rPr>
        <w:t xml:space="preserve"> </w:t>
      </w:r>
      <w:r>
        <w:rPr>
          <w:rFonts w:ascii="宋体" w:hAnsi="宋体" w:eastAsia="宋体" w:cs="宋体"/>
          <w:spacing w:val="-8"/>
          <w:sz w:val="24"/>
          <w:szCs w:val="24"/>
        </w:rPr>
        <w:t>系统处理后上清液回用，</w:t>
      </w:r>
      <w:r>
        <w:rPr>
          <w:rFonts w:ascii="宋体" w:hAnsi="宋体" w:eastAsia="宋体" w:cs="宋体"/>
          <w:spacing w:val="56"/>
          <w:sz w:val="24"/>
          <w:szCs w:val="24"/>
        </w:rPr>
        <w:t xml:space="preserve"> </w:t>
      </w:r>
      <w:r>
        <w:rPr>
          <w:rFonts w:ascii="宋体" w:hAnsi="宋体" w:eastAsia="宋体" w:cs="宋体"/>
          <w:spacing w:val="-8"/>
          <w:sz w:val="24"/>
          <w:szCs w:val="24"/>
        </w:rPr>
        <w:t>回用于运输车辆、场地冲洗和场地抑尘洒水等</w:t>
      </w:r>
      <w:r>
        <w:rPr>
          <w:rFonts w:ascii="宋体" w:hAnsi="宋体" w:eastAsia="宋体" w:cs="宋体"/>
          <w:spacing w:val="-9"/>
          <w:sz w:val="24"/>
          <w:szCs w:val="24"/>
        </w:rPr>
        <w:t>用途。冲</w:t>
      </w:r>
    </w:p>
    <w:p>
      <w:pPr>
        <w:spacing w:before="1" w:line="219" w:lineRule="auto"/>
        <w:ind w:left="121"/>
        <w:rPr>
          <w:rFonts w:ascii="宋体" w:hAnsi="宋体" w:eastAsia="宋体" w:cs="宋体"/>
          <w:sz w:val="24"/>
          <w:szCs w:val="24"/>
        </w:rPr>
      </w:pPr>
      <w:r>
        <w:rPr>
          <w:rFonts w:ascii="宋体" w:hAnsi="宋体" w:eastAsia="宋体" w:cs="宋体"/>
          <w:sz w:val="24"/>
          <w:szCs w:val="24"/>
        </w:rPr>
        <w:t>洗场地产生的废水也一并汇至沉淀池进行处理</w:t>
      </w:r>
      <w:r>
        <w:rPr>
          <w:rFonts w:ascii="宋体" w:hAnsi="宋体" w:eastAsia="宋体" w:cs="宋体"/>
          <w:spacing w:val="-1"/>
          <w:sz w:val="24"/>
          <w:szCs w:val="24"/>
        </w:rPr>
        <w:t>后回用做洒水降尘。</w:t>
      </w:r>
    </w:p>
    <w:p>
      <w:pPr>
        <w:spacing w:before="183" w:line="220" w:lineRule="auto"/>
        <w:ind w:left="60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）其他措施</w:t>
      </w:r>
    </w:p>
    <w:p>
      <w:pPr>
        <w:spacing w:before="180" w:line="217" w:lineRule="auto"/>
        <w:ind w:left="601"/>
        <w:rPr>
          <w:rFonts w:ascii="宋体" w:hAnsi="宋体" w:eastAsia="宋体" w:cs="宋体"/>
          <w:sz w:val="24"/>
          <w:szCs w:val="24"/>
        </w:rPr>
      </w:pPr>
      <w:r>
        <w:rPr>
          <w:rFonts w:ascii="宋体" w:hAnsi="宋体" w:eastAsia="宋体" w:cs="宋体"/>
          <w:spacing w:val="-2"/>
          <w:sz w:val="24"/>
          <w:szCs w:val="24"/>
        </w:rPr>
        <w:t>①本项目施工过程中做好各类物质及固体废物的堆放和管理。</w:t>
      </w:r>
    </w:p>
    <w:p>
      <w:pPr>
        <w:spacing w:before="185" w:line="468" w:lineRule="exact"/>
        <w:ind w:left="600"/>
        <w:rPr>
          <w:rFonts w:ascii="宋体" w:hAnsi="宋体" w:eastAsia="宋体" w:cs="宋体"/>
          <w:sz w:val="24"/>
          <w:szCs w:val="24"/>
        </w:rPr>
      </w:pPr>
      <w:r>
        <w:rPr>
          <w:rFonts w:ascii="宋体" w:hAnsi="宋体" w:eastAsia="宋体" w:cs="宋体"/>
          <w:spacing w:val="4"/>
          <w:position w:val="17"/>
          <w:sz w:val="24"/>
          <w:szCs w:val="24"/>
        </w:rPr>
        <w:t>②本项目隧道开挖产生的废水，经过处理后回用做洒水降尘及隧道地面冲</w:t>
      </w:r>
    </w:p>
    <w:p>
      <w:pPr>
        <w:spacing w:before="1" w:line="220" w:lineRule="auto"/>
        <w:ind w:left="121"/>
        <w:rPr>
          <w:rFonts w:ascii="宋体" w:hAnsi="宋体" w:eastAsia="宋体" w:cs="宋体"/>
          <w:sz w:val="24"/>
          <w:szCs w:val="24"/>
        </w:rPr>
      </w:pPr>
      <w:r>
        <w:rPr>
          <w:rFonts w:ascii="宋体" w:hAnsi="宋体" w:eastAsia="宋体" w:cs="宋体"/>
          <w:spacing w:val="-11"/>
          <w:sz w:val="24"/>
          <w:szCs w:val="24"/>
        </w:rPr>
        <w:t>洗。</w:t>
      </w:r>
    </w:p>
    <w:p>
      <w:pPr>
        <w:spacing w:line="143"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3" w:hRule="atLeast"/>
        </w:trPr>
        <w:tc>
          <w:tcPr>
            <w:tcW w:w="4263" w:type="dxa"/>
            <w:vAlign w:val="top"/>
          </w:tcPr>
          <w:p>
            <w:pPr>
              <w:spacing w:before="101" w:line="2628" w:lineRule="exact"/>
              <w:ind w:firstLine="153"/>
            </w:pPr>
            <w:r>
              <w:rPr>
                <w:position w:val="-52"/>
              </w:rPr>
              <w:drawing>
                <wp:inline distT="0" distB="0" distL="0" distR="0">
                  <wp:extent cx="2507615" cy="166878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484"/>
                          <a:stretch>
                            <a:fillRect/>
                          </a:stretch>
                        </pic:blipFill>
                        <pic:spPr>
                          <a:xfrm>
                            <a:off x="0" y="0"/>
                            <a:ext cx="2508249" cy="1668780"/>
                          </a:xfrm>
                          <a:prstGeom prst="rect">
                            <a:avLst/>
                          </a:prstGeom>
                        </pic:spPr>
                      </pic:pic>
                    </a:graphicData>
                  </a:graphic>
                </wp:inline>
              </w:drawing>
            </w:r>
          </w:p>
        </w:tc>
        <w:tc>
          <w:tcPr>
            <w:tcW w:w="4265" w:type="dxa"/>
            <w:vAlign w:val="top"/>
          </w:tcPr>
          <w:p>
            <w:pPr>
              <w:spacing w:before="3" w:line="2820" w:lineRule="exact"/>
              <w:ind w:firstLine="279"/>
            </w:pPr>
            <w:r>
              <w:rPr>
                <w:position w:val="-56"/>
              </w:rPr>
              <w:drawing>
                <wp:inline distT="0" distB="0" distL="0" distR="0">
                  <wp:extent cx="2343150" cy="179006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485"/>
                          <a:stretch>
                            <a:fillRect/>
                          </a:stretch>
                        </pic:blipFill>
                        <pic:spPr>
                          <a:xfrm>
                            <a:off x="0" y="0"/>
                            <a:ext cx="2343784" cy="1790446"/>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263" w:type="dxa"/>
            <w:vAlign w:val="top"/>
          </w:tcPr>
          <w:p>
            <w:pPr>
              <w:pStyle w:val="6"/>
              <w:spacing w:before="34" w:line="209" w:lineRule="auto"/>
              <w:ind w:left="667"/>
            </w:pPr>
            <w:r>
              <w:rPr>
                <w:spacing w:val="-1"/>
              </w:rPr>
              <w:t>拌合站砂石分离及污水处理系统</w:t>
            </w:r>
          </w:p>
        </w:tc>
        <w:tc>
          <w:tcPr>
            <w:tcW w:w="4265" w:type="dxa"/>
            <w:vAlign w:val="top"/>
          </w:tcPr>
          <w:p>
            <w:pPr>
              <w:pStyle w:val="6"/>
              <w:spacing w:before="34" w:line="209" w:lineRule="auto"/>
              <w:ind w:left="1401"/>
            </w:pPr>
            <w:r>
              <w:rPr>
                <w:spacing w:val="-1"/>
              </w:rPr>
              <w:t>连接线天桥打桩</w:t>
            </w:r>
          </w:p>
        </w:tc>
      </w:tr>
    </w:tbl>
    <w:p>
      <w:pPr>
        <w:pStyle w:val="2"/>
        <w:spacing w:line="387" w:lineRule="auto"/>
      </w:pPr>
    </w:p>
    <w:p>
      <w:pPr>
        <w:spacing w:before="78" w:line="220" w:lineRule="auto"/>
        <w:ind w:left="121"/>
        <w:outlineLvl w:val="1"/>
        <w:rPr>
          <w:rFonts w:ascii="宋体" w:hAnsi="宋体" w:eastAsia="宋体" w:cs="宋体"/>
          <w:sz w:val="24"/>
          <w:szCs w:val="24"/>
        </w:rPr>
      </w:pPr>
      <w:r>
        <w:rPr>
          <w:rFonts w:ascii="Times New Roman" w:hAnsi="Times New Roman" w:eastAsia="Times New Roman" w:cs="Times New Roman"/>
          <w:b/>
          <w:bCs/>
          <w:spacing w:val="-1"/>
          <w:sz w:val="24"/>
          <w:szCs w:val="24"/>
        </w:rPr>
        <w:t>6.1.2</w:t>
      </w:r>
      <w:r>
        <w:rPr>
          <w:rFonts w:ascii="Times New Roman" w:hAnsi="Times New Roman" w:eastAsia="Times New Roman" w:cs="Times New Roman"/>
          <w:b/>
          <w:bCs/>
          <w:spacing w:val="19"/>
          <w:w w:val="10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营运期水环境污染防治措施</w:t>
      </w:r>
    </w:p>
    <w:p>
      <w:pPr>
        <w:spacing w:before="180" w:line="220" w:lineRule="auto"/>
        <w:ind w:left="609"/>
        <w:rPr>
          <w:rFonts w:ascii="宋体" w:hAnsi="宋体" w:eastAsia="宋体" w:cs="宋体"/>
          <w:sz w:val="24"/>
          <w:szCs w:val="24"/>
        </w:rPr>
      </w:pPr>
      <w:r>
        <w:rPr>
          <w:rFonts w:ascii="宋体" w:hAnsi="宋体" w:eastAsia="宋体" w:cs="宋体"/>
          <w:spacing w:val="-13"/>
          <w:sz w:val="24"/>
          <w:szCs w:val="24"/>
        </w:rPr>
        <w:t>营运期水环境影响主要为路面、桥面径流，</w:t>
      </w:r>
      <w:r>
        <w:rPr>
          <w:rFonts w:ascii="宋体" w:hAnsi="宋体" w:eastAsia="宋体" w:cs="宋体"/>
          <w:spacing w:val="47"/>
          <w:sz w:val="24"/>
          <w:szCs w:val="24"/>
        </w:rPr>
        <w:t xml:space="preserve"> </w:t>
      </w:r>
      <w:r>
        <w:rPr>
          <w:rFonts w:ascii="宋体" w:hAnsi="宋体" w:eastAsia="宋体" w:cs="宋体"/>
          <w:spacing w:val="-13"/>
          <w:sz w:val="24"/>
          <w:szCs w:val="24"/>
        </w:rPr>
        <w:t>线路桥梁不跨越水体，</w:t>
      </w:r>
      <w:r>
        <w:rPr>
          <w:rFonts w:ascii="宋体" w:hAnsi="宋体" w:eastAsia="宋体" w:cs="宋体"/>
          <w:spacing w:val="34"/>
          <w:sz w:val="24"/>
          <w:szCs w:val="24"/>
        </w:rPr>
        <w:t xml:space="preserve"> </w:t>
      </w:r>
      <w:r>
        <w:rPr>
          <w:rFonts w:ascii="宋体" w:hAnsi="宋体" w:eastAsia="宋体" w:cs="宋体"/>
          <w:spacing w:val="-13"/>
          <w:sz w:val="24"/>
          <w:szCs w:val="24"/>
        </w:rPr>
        <w:t>工程排水</w:t>
      </w:r>
    </w:p>
    <w:p>
      <w:pPr>
        <w:spacing w:line="220" w:lineRule="auto"/>
        <w:rPr>
          <w:rFonts w:ascii="宋体" w:hAnsi="宋体" w:eastAsia="宋体" w:cs="宋体"/>
          <w:sz w:val="24"/>
          <w:szCs w:val="24"/>
        </w:rPr>
        <w:sectPr>
          <w:headerReference r:id="rId309" w:type="default"/>
          <w:footerReference r:id="rId310" w:type="default"/>
          <w:pgSz w:w="11907" w:h="16839"/>
          <w:pgMar w:top="1118" w:right="1685" w:bottom="1184" w:left="1687" w:header="879" w:footer="1024" w:gutter="0"/>
          <w:cols w:space="720" w:num="1"/>
        </w:sectPr>
      </w:pPr>
    </w:p>
    <w:p>
      <w:pPr>
        <w:pStyle w:val="2"/>
        <w:spacing w:line="278" w:lineRule="auto"/>
      </w:pPr>
    </w:p>
    <w:p>
      <w:pPr>
        <w:spacing w:before="78" w:line="219" w:lineRule="auto"/>
        <w:ind w:left="40"/>
        <w:rPr>
          <w:rFonts w:ascii="宋体" w:hAnsi="宋体" w:eastAsia="宋体" w:cs="宋体"/>
          <w:sz w:val="24"/>
          <w:szCs w:val="24"/>
        </w:rPr>
      </w:pPr>
      <w:r>
        <w:rPr>
          <w:rFonts w:ascii="宋体" w:hAnsi="宋体" w:eastAsia="宋体" w:cs="宋体"/>
          <w:spacing w:val="-3"/>
          <w:sz w:val="24"/>
          <w:szCs w:val="24"/>
        </w:rPr>
        <w:t>主要采用管涵，跨越小溪沟采用盖板涵。</w:t>
      </w:r>
    </w:p>
    <w:p>
      <w:pPr>
        <w:spacing w:before="182" w:line="359" w:lineRule="auto"/>
        <w:ind w:left="38" w:right="84" w:firstLine="486"/>
        <w:jc w:val="both"/>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）为减缓路面和桥面径流污水对水环境的污染问题，建设单位应加强对</w:t>
      </w:r>
      <w:r>
        <w:rPr>
          <w:rFonts w:ascii="宋体" w:hAnsi="宋体" w:eastAsia="宋体" w:cs="宋体"/>
          <w:spacing w:val="5"/>
          <w:sz w:val="24"/>
          <w:szCs w:val="24"/>
        </w:rPr>
        <w:t xml:space="preserve"> </w:t>
      </w:r>
      <w:r>
        <w:rPr>
          <w:rFonts w:ascii="宋体" w:hAnsi="宋体" w:eastAsia="宋体" w:cs="宋体"/>
          <w:spacing w:val="-9"/>
          <w:sz w:val="24"/>
          <w:szCs w:val="24"/>
        </w:rPr>
        <w:t>路面和桥面的日常维护与管理， 保持路面和桥面清</w:t>
      </w:r>
      <w:r>
        <w:rPr>
          <w:rFonts w:ascii="宋体" w:hAnsi="宋体" w:eastAsia="宋体" w:cs="宋体"/>
          <w:spacing w:val="-10"/>
          <w:sz w:val="24"/>
          <w:szCs w:val="24"/>
        </w:rPr>
        <w:t>洁， 及时清理路面和桥面上累</w:t>
      </w:r>
      <w:r>
        <w:rPr>
          <w:rFonts w:ascii="宋体" w:hAnsi="宋体" w:eastAsia="宋体" w:cs="宋体"/>
          <w:sz w:val="24"/>
          <w:szCs w:val="24"/>
        </w:rPr>
        <w:t xml:space="preserve"> </w:t>
      </w:r>
      <w:r>
        <w:rPr>
          <w:rFonts w:ascii="宋体" w:hAnsi="宋体" w:eastAsia="宋体" w:cs="宋体"/>
          <w:spacing w:val="-7"/>
          <w:sz w:val="24"/>
          <w:szCs w:val="24"/>
        </w:rPr>
        <w:t>积的尘土、碎屑、油污和吸附物等，</w:t>
      </w:r>
      <w:r>
        <w:rPr>
          <w:rFonts w:ascii="宋体" w:hAnsi="宋体" w:eastAsia="宋体" w:cs="宋体"/>
          <w:spacing w:val="32"/>
          <w:sz w:val="24"/>
          <w:szCs w:val="24"/>
        </w:rPr>
        <w:t xml:space="preserve"> </w:t>
      </w:r>
      <w:r>
        <w:rPr>
          <w:rFonts w:ascii="宋体" w:hAnsi="宋体" w:eastAsia="宋体" w:cs="宋体"/>
          <w:spacing w:val="-7"/>
          <w:sz w:val="24"/>
          <w:szCs w:val="24"/>
        </w:rPr>
        <w:t>减少随初期雨水冲</w:t>
      </w:r>
      <w:r>
        <w:rPr>
          <w:rFonts w:ascii="宋体" w:hAnsi="宋体" w:eastAsia="宋体" w:cs="宋体"/>
          <w:spacing w:val="-8"/>
          <w:sz w:val="24"/>
          <w:szCs w:val="24"/>
        </w:rPr>
        <w:t>刷而进入到路面和桥面径</w:t>
      </w:r>
    </w:p>
    <w:p>
      <w:pPr>
        <w:spacing w:line="219" w:lineRule="auto"/>
        <w:ind w:left="39"/>
        <w:rPr>
          <w:rFonts w:ascii="宋体" w:hAnsi="宋体" w:eastAsia="宋体" w:cs="宋体"/>
          <w:sz w:val="24"/>
          <w:szCs w:val="24"/>
        </w:rPr>
      </w:pPr>
      <w:r>
        <w:rPr>
          <w:rFonts w:ascii="宋体" w:hAnsi="宋体" w:eastAsia="宋体" w:cs="宋体"/>
          <w:spacing w:val="-2"/>
          <w:sz w:val="24"/>
          <w:szCs w:val="24"/>
        </w:rPr>
        <w:t>流污水中的</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 xml:space="preserve">SS </w:t>
      </w:r>
      <w:r>
        <w:rPr>
          <w:rFonts w:ascii="宋体" w:hAnsi="宋体" w:eastAsia="宋体" w:cs="宋体"/>
          <w:spacing w:val="-2"/>
          <w:sz w:val="24"/>
          <w:szCs w:val="24"/>
        </w:rPr>
        <w:t>和石油类等污染物量，最大程度地保护工程沿线的地表水环境。</w:t>
      </w:r>
    </w:p>
    <w:p>
      <w:pPr>
        <w:spacing w:before="182" w:line="466" w:lineRule="exact"/>
        <w:ind w:left="524"/>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2</w:t>
      </w:r>
      <w:r>
        <w:rPr>
          <w:rFonts w:ascii="宋体" w:hAnsi="宋体" w:eastAsia="宋体" w:cs="宋体"/>
          <w:spacing w:val="-1"/>
          <w:position w:val="17"/>
          <w:sz w:val="24"/>
          <w:szCs w:val="24"/>
        </w:rPr>
        <w:t>）项目路段均设计防撞护栏，以防止车辆护栏后产生严重的二次污染事</w:t>
      </w:r>
    </w:p>
    <w:p>
      <w:pPr>
        <w:spacing w:line="221" w:lineRule="auto"/>
        <w:ind w:left="41"/>
        <w:rPr>
          <w:rFonts w:ascii="宋体" w:hAnsi="宋体" w:eastAsia="宋体" w:cs="宋体"/>
          <w:sz w:val="24"/>
          <w:szCs w:val="24"/>
        </w:rPr>
      </w:pPr>
      <w:r>
        <w:rPr>
          <w:rFonts w:ascii="宋体" w:hAnsi="宋体" w:eastAsia="宋体" w:cs="宋体"/>
          <w:spacing w:val="-12"/>
          <w:sz w:val="24"/>
          <w:szCs w:val="24"/>
        </w:rPr>
        <w:t>故。</w:t>
      </w:r>
    </w:p>
    <w:p>
      <w:pPr>
        <w:spacing w:before="181" w:line="220" w:lineRule="auto"/>
        <w:ind w:left="37"/>
        <w:outlineLvl w:val="1"/>
        <w:rPr>
          <w:rFonts w:ascii="宋体" w:hAnsi="宋体" w:eastAsia="宋体" w:cs="宋体"/>
          <w:sz w:val="24"/>
          <w:szCs w:val="24"/>
        </w:rPr>
      </w:pPr>
      <w:bookmarkStart w:id="42" w:name="bookmark39"/>
      <w:bookmarkEnd w:id="42"/>
      <w:r>
        <w:rPr>
          <w:rFonts w:ascii="Times New Roman" w:hAnsi="Times New Roman" w:eastAsia="Times New Roman" w:cs="Times New Roman"/>
          <w:b/>
          <w:bCs/>
          <w:spacing w:val="-1"/>
          <w:sz w:val="24"/>
          <w:szCs w:val="24"/>
        </w:rPr>
        <w:t xml:space="preserve">6.2 </w:t>
      </w:r>
      <w:r>
        <w:rPr>
          <w:rFonts w:ascii="宋体" w:hAnsi="宋体" w:eastAsia="宋体" w:cs="宋体"/>
          <w:spacing w:val="-1"/>
          <w:sz w:val="24"/>
          <w:szCs w:val="24"/>
          <w14:textOutline w14:w="4354" w14:cap="flat" w14:cmpd="sng">
            <w14:solidFill>
              <w14:srgbClr w14:val="000000"/>
            </w14:solidFill>
            <w14:prstDash w14:val="solid"/>
            <w14:miter w14:val="0"/>
          </w14:textOutline>
        </w:rPr>
        <w:t>环境空气污染防治措施</w:t>
      </w:r>
    </w:p>
    <w:p>
      <w:pPr>
        <w:spacing w:before="179" w:line="468" w:lineRule="exact"/>
        <w:ind w:left="525"/>
        <w:rPr>
          <w:rFonts w:ascii="宋体" w:hAnsi="宋体" w:eastAsia="宋体" w:cs="宋体"/>
          <w:sz w:val="24"/>
          <w:szCs w:val="24"/>
        </w:rPr>
      </w:pPr>
      <w:r>
        <w:rPr>
          <w:rFonts w:ascii="宋体" w:hAnsi="宋体" w:eastAsia="宋体" w:cs="宋体"/>
          <w:spacing w:val="-10"/>
          <w:position w:val="17"/>
          <w:sz w:val="24"/>
          <w:szCs w:val="24"/>
        </w:rPr>
        <w:t>公路对大气环境的影响主要来自于施工期的影响， 但属短期行为； 根据对项</w:t>
      </w:r>
    </w:p>
    <w:p>
      <w:pPr>
        <w:spacing w:before="1" w:line="219" w:lineRule="auto"/>
        <w:ind w:left="83"/>
        <w:rPr>
          <w:rFonts w:ascii="宋体" w:hAnsi="宋体" w:eastAsia="宋体" w:cs="宋体"/>
          <w:sz w:val="24"/>
          <w:szCs w:val="24"/>
        </w:rPr>
      </w:pPr>
      <w:r>
        <w:rPr>
          <w:rFonts w:ascii="宋体" w:hAnsi="宋体" w:eastAsia="宋体" w:cs="宋体"/>
          <w:spacing w:val="-4"/>
          <w:sz w:val="24"/>
          <w:szCs w:val="24"/>
        </w:rPr>
        <w:t>目施工时期的调查，施工期无环境污染及扰民事件发生。</w:t>
      </w:r>
    </w:p>
    <w:p>
      <w:pPr>
        <w:spacing w:before="180" w:line="220" w:lineRule="auto"/>
        <w:ind w:left="525"/>
        <w:rPr>
          <w:rFonts w:ascii="宋体" w:hAnsi="宋体" w:eastAsia="宋体" w:cs="宋体"/>
          <w:sz w:val="24"/>
          <w:szCs w:val="24"/>
        </w:rPr>
      </w:pPr>
      <w:r>
        <w:rPr>
          <w:rFonts w:ascii="宋体" w:hAnsi="宋体" w:eastAsia="宋体" w:cs="宋体"/>
          <w:spacing w:val="-2"/>
          <w:sz w:val="24"/>
          <w:szCs w:val="24"/>
        </w:rPr>
        <w:t>营运期的汽车尾气排放将对沿线大气产生长久的</w:t>
      </w:r>
      <w:r>
        <w:rPr>
          <w:rFonts w:ascii="宋体" w:hAnsi="宋体" w:eastAsia="宋体" w:cs="宋体"/>
          <w:spacing w:val="-3"/>
          <w:sz w:val="24"/>
          <w:szCs w:val="24"/>
        </w:rPr>
        <w:t>影响。</w:t>
      </w:r>
    </w:p>
    <w:p>
      <w:pPr>
        <w:spacing w:before="182" w:line="220" w:lineRule="auto"/>
        <w:ind w:left="37"/>
        <w:outlineLvl w:val="1"/>
        <w:rPr>
          <w:rFonts w:ascii="宋体" w:hAnsi="宋体" w:eastAsia="宋体" w:cs="宋体"/>
          <w:sz w:val="24"/>
          <w:szCs w:val="24"/>
        </w:rPr>
      </w:pPr>
      <w:r>
        <w:rPr>
          <w:rFonts w:ascii="Times New Roman" w:hAnsi="Times New Roman" w:eastAsia="Times New Roman" w:cs="Times New Roman"/>
          <w:b/>
          <w:bCs/>
          <w:sz w:val="24"/>
          <w:szCs w:val="24"/>
        </w:rPr>
        <w:t xml:space="preserve">6.2.1 </w:t>
      </w:r>
      <w:r>
        <w:rPr>
          <w:rFonts w:ascii="宋体" w:hAnsi="宋体" w:eastAsia="宋体" w:cs="宋体"/>
          <w:sz w:val="24"/>
          <w:szCs w:val="24"/>
          <w14:textOutline w14:w="4354" w14:cap="flat" w14:cmpd="sng">
            <w14:solidFill>
              <w14:srgbClr w14:val="000000"/>
            </w14:solidFill>
            <w14:prstDash w14:val="solid"/>
            <w14:miter w14:val="0"/>
          </w14:textOutline>
        </w:rPr>
        <w:t>施工期环境空气污染防治措施回顾</w:t>
      </w:r>
    </w:p>
    <w:p>
      <w:pPr>
        <w:spacing w:before="180" w:line="468" w:lineRule="exact"/>
        <w:ind w:left="524"/>
        <w:rPr>
          <w:rFonts w:ascii="宋体" w:hAnsi="宋体" w:eastAsia="宋体" w:cs="宋体"/>
          <w:sz w:val="24"/>
          <w:szCs w:val="24"/>
        </w:rPr>
      </w:pPr>
      <w:r>
        <w:rPr>
          <w:rFonts w:ascii="宋体" w:hAnsi="宋体" w:eastAsia="宋体" w:cs="宋体"/>
          <w:spacing w:val="-6"/>
          <w:position w:val="17"/>
          <w:sz w:val="24"/>
          <w:szCs w:val="24"/>
        </w:rPr>
        <w:t>（</w:t>
      </w:r>
      <w:r>
        <w:rPr>
          <w:rFonts w:ascii="Times New Roman" w:hAnsi="Times New Roman" w:eastAsia="Times New Roman" w:cs="Times New Roman"/>
          <w:spacing w:val="-6"/>
          <w:position w:val="17"/>
          <w:sz w:val="24"/>
          <w:szCs w:val="24"/>
        </w:rPr>
        <w:t>1</w:t>
      </w:r>
      <w:r>
        <w:rPr>
          <w:rFonts w:ascii="宋体" w:hAnsi="宋体" w:eastAsia="宋体" w:cs="宋体"/>
          <w:spacing w:val="-6"/>
          <w:position w:val="17"/>
          <w:sz w:val="24"/>
          <w:szCs w:val="24"/>
        </w:rPr>
        <w:t>）在施工期定时对汽车进行维护， 保证汽车正常、安全运行。</w:t>
      </w:r>
      <w:r>
        <w:rPr>
          <w:rFonts w:ascii="宋体" w:hAnsi="宋体" w:eastAsia="宋体" w:cs="宋体"/>
          <w:spacing w:val="-30"/>
          <w:position w:val="17"/>
          <w:sz w:val="24"/>
          <w:szCs w:val="24"/>
        </w:rPr>
        <w:t xml:space="preserve"> </w:t>
      </w:r>
      <w:r>
        <w:rPr>
          <w:rFonts w:ascii="宋体" w:hAnsi="宋体" w:eastAsia="宋体" w:cs="宋体"/>
          <w:spacing w:val="-6"/>
          <w:position w:val="17"/>
          <w:sz w:val="24"/>
          <w:szCs w:val="24"/>
        </w:rPr>
        <w:t>科学管理</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施工机械，安排合理的运行时间，发挥其最大效率。</w:t>
      </w:r>
    </w:p>
    <w:p>
      <w:pPr>
        <w:spacing w:before="181" w:line="468" w:lineRule="exact"/>
        <w:ind w:left="524"/>
        <w:rPr>
          <w:rFonts w:ascii="宋体" w:hAnsi="宋体" w:eastAsia="宋体" w:cs="宋体"/>
          <w:sz w:val="24"/>
          <w:szCs w:val="24"/>
        </w:rPr>
      </w:pPr>
      <w:r>
        <w:rPr>
          <w:rFonts w:ascii="宋体" w:hAnsi="宋体" w:eastAsia="宋体" w:cs="宋体"/>
          <w:spacing w:val="-5"/>
          <w:position w:val="17"/>
          <w:sz w:val="24"/>
          <w:szCs w:val="24"/>
        </w:rPr>
        <w:t>（</w:t>
      </w:r>
      <w:r>
        <w:rPr>
          <w:rFonts w:ascii="Times New Roman" w:hAnsi="Times New Roman" w:eastAsia="Times New Roman" w:cs="Times New Roman"/>
          <w:spacing w:val="-5"/>
          <w:position w:val="17"/>
          <w:sz w:val="24"/>
          <w:szCs w:val="24"/>
        </w:rPr>
        <w:t>2</w:t>
      </w:r>
      <w:r>
        <w:rPr>
          <w:rFonts w:ascii="宋体" w:hAnsi="宋体" w:eastAsia="宋体" w:cs="宋体"/>
          <w:spacing w:val="-5"/>
          <w:position w:val="17"/>
          <w:sz w:val="24"/>
          <w:szCs w:val="24"/>
        </w:rPr>
        <w:t>）合理安排汽车运输时序，</w:t>
      </w:r>
      <w:r>
        <w:rPr>
          <w:rFonts w:ascii="宋体" w:hAnsi="宋体" w:eastAsia="宋体" w:cs="宋体"/>
          <w:spacing w:val="48"/>
          <w:position w:val="17"/>
          <w:sz w:val="24"/>
          <w:szCs w:val="24"/>
        </w:rPr>
        <w:t xml:space="preserve"> </w:t>
      </w:r>
      <w:r>
        <w:rPr>
          <w:rFonts w:ascii="宋体" w:hAnsi="宋体" w:eastAsia="宋体" w:cs="宋体"/>
          <w:spacing w:val="-5"/>
          <w:position w:val="17"/>
          <w:sz w:val="24"/>
          <w:szCs w:val="24"/>
        </w:rPr>
        <w:t>已选择较为科学合理的运输路线，利用施工</w:t>
      </w:r>
    </w:p>
    <w:p>
      <w:pPr>
        <w:spacing w:before="1" w:line="219" w:lineRule="auto"/>
        <w:ind w:left="39"/>
        <w:rPr>
          <w:rFonts w:ascii="宋体" w:hAnsi="宋体" w:eastAsia="宋体" w:cs="宋体"/>
          <w:sz w:val="24"/>
          <w:szCs w:val="24"/>
        </w:rPr>
      </w:pPr>
      <w:r>
        <w:rPr>
          <w:rFonts w:ascii="宋体" w:hAnsi="宋体" w:eastAsia="宋体" w:cs="宋体"/>
          <w:spacing w:val="-9"/>
          <w:sz w:val="24"/>
          <w:szCs w:val="24"/>
        </w:rPr>
        <w:t>便道，安排车辆的运输时间，</w:t>
      </w:r>
      <w:r>
        <w:rPr>
          <w:rFonts w:ascii="宋体" w:hAnsi="宋体" w:eastAsia="宋体" w:cs="宋体"/>
          <w:spacing w:val="65"/>
          <w:sz w:val="24"/>
          <w:szCs w:val="24"/>
        </w:rPr>
        <w:t xml:space="preserve"> </w:t>
      </w:r>
      <w:r>
        <w:rPr>
          <w:rFonts w:ascii="宋体" w:hAnsi="宋体" w:eastAsia="宋体" w:cs="宋体"/>
          <w:spacing w:val="-9"/>
          <w:sz w:val="24"/>
          <w:szCs w:val="24"/>
        </w:rPr>
        <w:t>保证汽车安全、文明行</w:t>
      </w:r>
      <w:r>
        <w:rPr>
          <w:rFonts w:ascii="宋体" w:hAnsi="宋体" w:eastAsia="宋体" w:cs="宋体"/>
          <w:spacing w:val="-10"/>
          <w:sz w:val="24"/>
          <w:szCs w:val="24"/>
        </w:rPr>
        <w:t>驶。</w:t>
      </w:r>
    </w:p>
    <w:p>
      <w:pPr>
        <w:spacing w:before="182" w:line="220" w:lineRule="auto"/>
        <w:ind w:left="52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）运输道路定时进行洒水降尘，路面安</w:t>
      </w:r>
      <w:r>
        <w:rPr>
          <w:rFonts w:ascii="宋体" w:hAnsi="宋体" w:eastAsia="宋体" w:cs="宋体"/>
          <w:spacing w:val="-2"/>
          <w:sz w:val="24"/>
          <w:szCs w:val="24"/>
        </w:rPr>
        <w:t>排工人及时进行清扫。</w:t>
      </w:r>
    </w:p>
    <w:p>
      <w:pPr>
        <w:spacing w:before="180" w:line="468" w:lineRule="exact"/>
        <w:ind w:left="524"/>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4</w:t>
      </w:r>
      <w:r>
        <w:rPr>
          <w:rFonts w:ascii="宋体" w:hAnsi="宋体" w:eastAsia="宋体" w:cs="宋体"/>
          <w:position w:val="17"/>
          <w:sz w:val="24"/>
          <w:szCs w:val="24"/>
        </w:rPr>
        <w:t>）粉状材料采用密闭的筒仓储存，并采</w:t>
      </w:r>
      <w:r>
        <w:rPr>
          <w:rFonts w:ascii="宋体" w:hAnsi="宋体" w:eastAsia="宋体" w:cs="宋体"/>
          <w:spacing w:val="-1"/>
          <w:position w:val="17"/>
          <w:sz w:val="24"/>
          <w:szCs w:val="24"/>
        </w:rPr>
        <w:t>用专门的罐车进行运输。土方、</w:t>
      </w:r>
    </w:p>
    <w:p>
      <w:pPr>
        <w:spacing w:before="1" w:line="218" w:lineRule="auto"/>
        <w:ind w:left="39"/>
        <w:rPr>
          <w:rFonts w:ascii="宋体" w:hAnsi="宋体" w:eastAsia="宋体" w:cs="宋体"/>
          <w:sz w:val="24"/>
          <w:szCs w:val="24"/>
        </w:rPr>
      </w:pPr>
      <w:r>
        <w:rPr>
          <w:rFonts w:ascii="宋体" w:hAnsi="宋体" w:eastAsia="宋体" w:cs="宋体"/>
          <w:spacing w:val="-4"/>
          <w:sz w:val="24"/>
          <w:szCs w:val="24"/>
        </w:rPr>
        <w:t>石方等材料运输时盖篷布。</w:t>
      </w:r>
    </w:p>
    <w:p>
      <w:pPr>
        <w:spacing w:before="181" w:line="468" w:lineRule="exact"/>
        <w:ind w:left="524"/>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5</w:t>
      </w:r>
      <w:r>
        <w:rPr>
          <w:rFonts w:ascii="宋体" w:hAnsi="宋体" w:eastAsia="宋体" w:cs="宋体"/>
          <w:position w:val="17"/>
          <w:sz w:val="24"/>
          <w:szCs w:val="24"/>
        </w:rPr>
        <w:t>）施工作业时采取洒水降尘。易产生扬尘的天气暂停</w:t>
      </w:r>
      <w:r>
        <w:rPr>
          <w:rFonts w:ascii="宋体" w:hAnsi="宋体" w:eastAsia="宋体" w:cs="宋体"/>
          <w:spacing w:val="-1"/>
          <w:position w:val="17"/>
          <w:sz w:val="24"/>
          <w:szCs w:val="24"/>
        </w:rPr>
        <w:t>路堑开挖等施工作</w:t>
      </w:r>
    </w:p>
    <w:p>
      <w:pPr>
        <w:spacing w:before="1" w:line="231" w:lineRule="auto"/>
        <w:ind w:left="37"/>
        <w:rPr>
          <w:rFonts w:ascii="宋体" w:hAnsi="宋体" w:eastAsia="宋体" w:cs="宋体"/>
          <w:sz w:val="24"/>
          <w:szCs w:val="24"/>
        </w:rPr>
      </w:pPr>
      <w:r>
        <w:rPr>
          <w:rFonts w:ascii="宋体" w:hAnsi="宋体" w:eastAsia="宋体" w:cs="宋体"/>
          <w:spacing w:val="-11"/>
          <w:sz w:val="24"/>
          <w:szCs w:val="24"/>
        </w:rPr>
        <w:t>业。</w:t>
      </w:r>
    </w:p>
    <w:p>
      <w:pPr>
        <w:spacing w:before="166" w:line="359" w:lineRule="auto"/>
        <w:ind w:left="37"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）本项目混凝土拌合站的设置符合《公路环境保护设计规范》</w:t>
      </w:r>
      <w:r>
        <w:rPr>
          <w:rFonts w:ascii="宋体" w:hAnsi="宋体" w:eastAsia="宋体" w:cs="宋体"/>
          <w:spacing w:val="-19"/>
          <w:sz w:val="24"/>
          <w:szCs w:val="24"/>
        </w:rPr>
        <w:t xml:space="preserve"> </w:t>
      </w:r>
      <w:r>
        <w:rPr>
          <w:rFonts w:ascii="宋体" w:hAnsi="宋体" w:eastAsia="宋体" w:cs="宋体"/>
          <w:spacing w:val="-2"/>
          <w:sz w:val="24"/>
          <w:szCs w:val="24"/>
        </w:rPr>
        <w:t>的要求，</w:t>
      </w:r>
      <w:r>
        <w:rPr>
          <w:rFonts w:ascii="宋体" w:hAnsi="宋体" w:eastAsia="宋体" w:cs="宋体"/>
          <w:sz w:val="24"/>
          <w:szCs w:val="24"/>
        </w:rPr>
        <w:t xml:space="preserve"> </w:t>
      </w:r>
      <w:r>
        <w:rPr>
          <w:rFonts w:ascii="宋体" w:hAnsi="宋体" w:eastAsia="宋体" w:cs="宋体"/>
          <w:spacing w:val="-1"/>
          <w:sz w:val="24"/>
          <w:szCs w:val="24"/>
        </w:rPr>
        <w:t>混凝料拌合采用集中拌合方式，拌合楼距环境敏感点大于</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200m</w:t>
      </w:r>
      <w:r>
        <w:rPr>
          <w:rFonts w:ascii="宋体" w:hAnsi="宋体" w:eastAsia="宋体" w:cs="宋体"/>
          <w:spacing w:val="-1"/>
          <w:sz w:val="24"/>
          <w:szCs w:val="24"/>
        </w:rPr>
        <w:t>。拌合楼筒仓和</w:t>
      </w:r>
      <w:r>
        <w:rPr>
          <w:rFonts w:ascii="宋体" w:hAnsi="宋体" w:eastAsia="宋体" w:cs="宋体"/>
          <w:sz w:val="24"/>
          <w:szCs w:val="24"/>
        </w:rPr>
        <w:t xml:space="preserve">  </w:t>
      </w:r>
      <w:r>
        <w:rPr>
          <w:rFonts w:ascii="宋体" w:hAnsi="宋体" w:eastAsia="宋体" w:cs="宋体"/>
          <w:spacing w:val="-13"/>
          <w:sz w:val="24"/>
          <w:szCs w:val="24"/>
        </w:rPr>
        <w:t>搅拌主机采用封闭式除尘。水泥卸料时， 采用布袋扎紧放空口， 控制粉</w:t>
      </w:r>
      <w:r>
        <w:rPr>
          <w:rFonts w:ascii="宋体" w:hAnsi="宋体" w:eastAsia="宋体" w:cs="宋体"/>
          <w:spacing w:val="-14"/>
          <w:sz w:val="24"/>
          <w:szCs w:val="24"/>
        </w:rPr>
        <w:t>尘的逸散。</w:t>
      </w:r>
      <w:r>
        <w:rPr>
          <w:rFonts w:ascii="宋体" w:hAnsi="宋体" w:eastAsia="宋体" w:cs="宋体"/>
          <w:sz w:val="24"/>
          <w:szCs w:val="24"/>
        </w:rPr>
        <w:t xml:space="preserve"> </w:t>
      </w:r>
      <w:r>
        <w:rPr>
          <w:rFonts w:ascii="宋体" w:hAnsi="宋体" w:eastAsia="宋体" w:cs="宋体"/>
          <w:spacing w:val="-7"/>
          <w:sz w:val="24"/>
          <w:szCs w:val="24"/>
        </w:rPr>
        <w:t>场区内堆场进行洒水降尘，</w:t>
      </w:r>
      <w:r>
        <w:rPr>
          <w:rFonts w:ascii="宋体" w:hAnsi="宋体" w:eastAsia="宋体" w:cs="宋体"/>
          <w:spacing w:val="37"/>
          <w:sz w:val="24"/>
          <w:szCs w:val="24"/>
        </w:rPr>
        <w:t xml:space="preserve"> </w:t>
      </w:r>
      <w:r>
        <w:rPr>
          <w:rFonts w:ascii="宋体" w:hAnsi="宋体" w:eastAsia="宋体" w:cs="宋体"/>
          <w:spacing w:val="-7"/>
          <w:sz w:val="24"/>
          <w:szCs w:val="24"/>
        </w:rPr>
        <w:t>并采用雾炮机进行</w:t>
      </w:r>
      <w:r>
        <w:rPr>
          <w:rFonts w:ascii="宋体" w:hAnsi="宋体" w:eastAsia="宋体" w:cs="宋体"/>
          <w:spacing w:val="-8"/>
          <w:sz w:val="24"/>
          <w:szCs w:val="24"/>
        </w:rPr>
        <w:t>喷雾降尘；石子、黄砂运输货车车</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辆进入场地后进行洒水降尘，控制卸货时产生的扬尘。</w:t>
      </w:r>
    </w:p>
    <w:p>
      <w:pPr>
        <w:spacing w:before="184" w:line="359" w:lineRule="auto"/>
        <w:ind w:left="37" w:right="82"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7</w:t>
      </w:r>
      <w:r>
        <w:rPr>
          <w:rFonts w:ascii="宋体" w:hAnsi="宋体" w:eastAsia="宋体" w:cs="宋体"/>
          <w:sz w:val="24"/>
          <w:szCs w:val="24"/>
        </w:rPr>
        <w:t>）隧道开挖、钻孔进行合理的施工安排并制定了专门的爆破施工方案，</w:t>
      </w:r>
      <w:r>
        <w:rPr>
          <w:rFonts w:ascii="宋体" w:hAnsi="宋体" w:eastAsia="宋体" w:cs="宋体"/>
          <w:spacing w:val="12"/>
          <w:sz w:val="24"/>
          <w:szCs w:val="24"/>
        </w:rPr>
        <w:t xml:space="preserve"> </w:t>
      </w:r>
      <w:r>
        <w:rPr>
          <w:rFonts w:ascii="宋体" w:hAnsi="宋体" w:eastAsia="宋体" w:cs="宋体"/>
          <w:spacing w:val="4"/>
          <w:sz w:val="24"/>
          <w:szCs w:val="24"/>
        </w:rPr>
        <w:t>对隧道口施工扬尘采取洒水降尘措施；同时为施工人员配备相应的防尘劳保用</w:t>
      </w:r>
    </w:p>
    <w:p>
      <w:pPr>
        <w:spacing w:before="1" w:line="223" w:lineRule="auto"/>
        <w:ind w:left="57"/>
        <w:rPr>
          <w:rFonts w:ascii="宋体" w:hAnsi="宋体" w:eastAsia="宋体" w:cs="宋体"/>
          <w:sz w:val="24"/>
          <w:szCs w:val="24"/>
        </w:rPr>
      </w:pPr>
      <w:r>
        <w:rPr>
          <w:rFonts w:ascii="宋体" w:hAnsi="宋体" w:eastAsia="宋体" w:cs="宋体"/>
          <w:spacing w:val="-16"/>
          <w:sz w:val="24"/>
          <w:szCs w:val="24"/>
        </w:rPr>
        <w:t>品。</w:t>
      </w:r>
    </w:p>
    <w:p>
      <w:pPr>
        <w:spacing w:before="174" w:line="219" w:lineRule="auto"/>
        <w:ind w:left="52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）沥青路面铺浇定时快速高效进行，严格控制浇铺时间。</w:t>
      </w:r>
    </w:p>
    <w:p>
      <w:pPr>
        <w:spacing w:line="219" w:lineRule="auto"/>
        <w:rPr>
          <w:rFonts w:ascii="宋体" w:hAnsi="宋体" w:eastAsia="宋体" w:cs="宋体"/>
          <w:sz w:val="24"/>
          <w:szCs w:val="24"/>
        </w:rPr>
        <w:sectPr>
          <w:headerReference r:id="rId311" w:type="default"/>
          <w:footerReference r:id="rId312" w:type="default"/>
          <w:pgSz w:w="11907" w:h="16839"/>
          <w:pgMar w:top="1118" w:right="1714" w:bottom="1184" w:left="1771" w:header="879" w:footer="1024" w:gutter="0"/>
          <w:cols w:space="720" w:num="1"/>
        </w:sectPr>
      </w:pPr>
    </w:p>
    <w:p>
      <w:pPr>
        <w:spacing w:before="80"/>
      </w:pPr>
    </w:p>
    <w:tbl>
      <w:tblPr>
        <w:tblStyle w:val="5"/>
        <w:tblW w:w="9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47"/>
        <w:gridCol w:w="46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6" w:hRule="atLeast"/>
        </w:trPr>
        <w:tc>
          <w:tcPr>
            <w:tcW w:w="4647" w:type="dxa"/>
            <w:vAlign w:val="top"/>
          </w:tcPr>
          <w:p>
            <w:pPr>
              <w:spacing w:before="4" w:line="3841" w:lineRule="exact"/>
              <w:ind w:firstLine="107"/>
            </w:pPr>
            <w:r>
              <w:rPr>
                <w:position w:val="-76"/>
              </w:rPr>
              <w:drawing>
                <wp:inline distT="0" distB="0" distL="0" distR="0">
                  <wp:extent cx="2838450" cy="243903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486"/>
                          <a:stretch>
                            <a:fillRect/>
                          </a:stretch>
                        </pic:blipFill>
                        <pic:spPr>
                          <a:xfrm>
                            <a:off x="0" y="0"/>
                            <a:ext cx="2839084" cy="2439035"/>
                          </a:xfrm>
                          <a:prstGeom prst="rect">
                            <a:avLst/>
                          </a:prstGeom>
                        </pic:spPr>
                      </pic:pic>
                    </a:graphicData>
                  </a:graphic>
                </wp:inline>
              </w:drawing>
            </w:r>
          </w:p>
        </w:tc>
        <w:tc>
          <w:tcPr>
            <w:tcW w:w="4647" w:type="dxa"/>
            <w:vAlign w:val="top"/>
          </w:tcPr>
          <w:p>
            <w:pPr>
              <w:spacing w:before="30" w:line="3797" w:lineRule="exact"/>
              <w:ind w:firstLine="130"/>
            </w:pPr>
            <w:r>
              <w:rPr>
                <w:position w:val="-75"/>
              </w:rPr>
              <w:drawing>
                <wp:inline distT="0" distB="0" distL="0" distR="0">
                  <wp:extent cx="2778125" cy="241046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487"/>
                          <a:stretch>
                            <a:fillRect/>
                          </a:stretch>
                        </pic:blipFill>
                        <pic:spPr>
                          <a:xfrm>
                            <a:off x="0" y="0"/>
                            <a:ext cx="2778759" cy="241109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47" w:type="dxa"/>
            <w:vAlign w:val="top"/>
          </w:tcPr>
          <w:p>
            <w:pPr>
              <w:pStyle w:val="6"/>
              <w:spacing w:before="33" w:line="206" w:lineRule="auto"/>
              <w:ind w:left="1911"/>
            </w:pPr>
            <w:r>
              <w:rPr>
                <w:spacing w:val="-2"/>
              </w:rPr>
              <w:t>洒水降尘</w:t>
            </w:r>
          </w:p>
        </w:tc>
        <w:tc>
          <w:tcPr>
            <w:tcW w:w="4647" w:type="dxa"/>
            <w:vAlign w:val="top"/>
          </w:tcPr>
          <w:p>
            <w:pPr>
              <w:pStyle w:val="6"/>
              <w:spacing w:before="33" w:line="206" w:lineRule="auto"/>
              <w:ind w:left="1697"/>
            </w:pPr>
            <w:r>
              <w:rPr>
                <w:spacing w:val="-1"/>
              </w:rPr>
              <w:t>边坡防护绿化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4647" w:type="dxa"/>
            <w:vAlign w:val="top"/>
          </w:tcPr>
          <w:p>
            <w:pPr>
              <w:spacing w:line="341" w:lineRule="auto"/>
              <w:rPr>
                <w:rFonts w:ascii="Arial"/>
                <w:sz w:val="21"/>
              </w:rPr>
            </w:pPr>
          </w:p>
          <w:p>
            <w:pPr>
              <w:spacing w:line="341" w:lineRule="auto"/>
              <w:rPr>
                <w:rFonts w:ascii="Arial"/>
                <w:sz w:val="21"/>
              </w:rPr>
            </w:pPr>
          </w:p>
          <w:p>
            <w:pPr>
              <w:spacing w:line="1442" w:lineRule="exact"/>
              <w:ind w:firstLine="107"/>
            </w:pPr>
            <w:r>
              <w:rPr>
                <w:position w:val="-28"/>
              </w:rPr>
              <w:drawing>
                <wp:inline distT="0" distB="0" distL="0" distR="0">
                  <wp:extent cx="2846705" cy="91567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488"/>
                          <a:stretch>
                            <a:fillRect/>
                          </a:stretch>
                        </pic:blipFill>
                        <pic:spPr>
                          <a:xfrm>
                            <a:off x="0" y="0"/>
                            <a:ext cx="2846705" cy="915670"/>
                          </a:xfrm>
                          <a:prstGeom prst="rect">
                            <a:avLst/>
                          </a:prstGeom>
                        </pic:spPr>
                      </pic:pic>
                    </a:graphicData>
                  </a:graphic>
                </wp:inline>
              </w:drawing>
            </w:r>
          </w:p>
        </w:tc>
        <w:tc>
          <w:tcPr>
            <w:tcW w:w="4647" w:type="dxa"/>
            <w:vAlign w:val="top"/>
          </w:tcPr>
          <w:p>
            <w:pPr>
              <w:spacing w:line="2805" w:lineRule="exact"/>
              <w:ind w:firstLine="286"/>
            </w:pPr>
            <w:r>
              <w:rPr>
                <w:position w:val="-56"/>
              </w:rPr>
              <w:drawing>
                <wp:inline distT="0" distB="0" distL="0" distR="0">
                  <wp:extent cx="2578100" cy="178117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489"/>
                          <a:stretch>
                            <a:fillRect/>
                          </a:stretch>
                        </pic:blipFill>
                        <pic:spPr>
                          <a:xfrm>
                            <a:off x="0" y="0"/>
                            <a:ext cx="2578734" cy="178117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47" w:type="dxa"/>
            <w:vAlign w:val="top"/>
          </w:tcPr>
          <w:p>
            <w:pPr>
              <w:pStyle w:val="6"/>
              <w:spacing w:before="35" w:line="204" w:lineRule="auto"/>
              <w:ind w:left="1382"/>
            </w:pPr>
            <w:r>
              <w:rPr>
                <w:spacing w:val="-1"/>
              </w:rPr>
              <w:t>砂石料堆放在料棚中</w:t>
            </w:r>
          </w:p>
        </w:tc>
        <w:tc>
          <w:tcPr>
            <w:tcW w:w="4647" w:type="dxa"/>
            <w:vAlign w:val="top"/>
          </w:tcPr>
          <w:p>
            <w:pPr>
              <w:pStyle w:val="6"/>
              <w:spacing w:before="35" w:line="204" w:lineRule="auto"/>
              <w:ind w:left="1591"/>
            </w:pPr>
            <w:r>
              <w:rPr>
                <w:spacing w:val="-1"/>
              </w:rPr>
              <w:t>粉状材料筒罐装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1" w:hRule="atLeast"/>
        </w:trPr>
        <w:tc>
          <w:tcPr>
            <w:tcW w:w="4647" w:type="dxa"/>
            <w:vAlign w:val="top"/>
          </w:tcPr>
          <w:p>
            <w:pPr>
              <w:spacing w:before="1" w:line="3060" w:lineRule="exact"/>
              <w:ind w:firstLine="107"/>
            </w:pPr>
            <w:r>
              <w:rPr>
                <w:position w:val="-61"/>
              </w:rPr>
              <w:drawing>
                <wp:inline distT="0" distB="0" distL="0" distR="0">
                  <wp:extent cx="2879090" cy="194246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490"/>
                          <a:stretch>
                            <a:fillRect/>
                          </a:stretch>
                        </pic:blipFill>
                        <pic:spPr>
                          <a:xfrm>
                            <a:off x="0" y="0"/>
                            <a:ext cx="2879521" cy="1942465"/>
                          </a:xfrm>
                          <a:prstGeom prst="rect">
                            <a:avLst/>
                          </a:prstGeom>
                        </pic:spPr>
                      </pic:pic>
                    </a:graphicData>
                  </a:graphic>
                </wp:inline>
              </w:drawing>
            </w:r>
          </w:p>
        </w:tc>
        <w:tc>
          <w:tcPr>
            <w:tcW w:w="4647" w:type="dxa"/>
            <w:vAlign w:val="top"/>
          </w:tcPr>
          <w:p>
            <w:pPr>
              <w:spacing w:before="35" w:line="3000" w:lineRule="exact"/>
              <w:ind w:firstLine="104"/>
            </w:pPr>
            <w:r>
              <w:rPr>
                <w:position w:val="-60"/>
              </w:rPr>
              <w:drawing>
                <wp:inline distT="0" distB="0" distL="0" distR="0">
                  <wp:extent cx="2858770" cy="190500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491"/>
                          <a:stretch>
                            <a:fillRect/>
                          </a:stretch>
                        </pic:blipFill>
                        <pic:spPr>
                          <a:xfrm>
                            <a:off x="0" y="0"/>
                            <a:ext cx="2858770" cy="190500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47" w:type="dxa"/>
            <w:vAlign w:val="top"/>
          </w:tcPr>
          <w:p>
            <w:pPr>
              <w:pStyle w:val="6"/>
              <w:spacing w:before="35" w:line="209" w:lineRule="auto"/>
              <w:ind w:left="1605"/>
            </w:pPr>
            <w:r>
              <w:rPr>
                <w:spacing w:val="-3"/>
              </w:rPr>
              <w:t>隧道口喷雾降尘</w:t>
            </w:r>
          </w:p>
        </w:tc>
        <w:tc>
          <w:tcPr>
            <w:tcW w:w="4647" w:type="dxa"/>
            <w:vAlign w:val="top"/>
          </w:tcPr>
          <w:p>
            <w:pPr>
              <w:pStyle w:val="6"/>
              <w:spacing w:before="35" w:line="209" w:lineRule="auto"/>
              <w:ind w:left="1380"/>
            </w:pPr>
            <w:r>
              <w:rPr>
                <w:spacing w:val="-1"/>
              </w:rPr>
              <w:t>施工现场扬尘告示牌</w:t>
            </w:r>
          </w:p>
        </w:tc>
      </w:tr>
    </w:tbl>
    <w:p>
      <w:pPr>
        <w:pStyle w:val="2"/>
        <w:spacing w:line="388" w:lineRule="auto"/>
      </w:pPr>
    </w:p>
    <w:p>
      <w:pPr>
        <w:spacing w:before="78" w:line="220" w:lineRule="auto"/>
        <w:ind w:left="121"/>
        <w:outlineLvl w:val="1"/>
        <w:rPr>
          <w:rFonts w:ascii="宋体" w:hAnsi="宋体" w:eastAsia="宋体" w:cs="宋体"/>
          <w:sz w:val="24"/>
          <w:szCs w:val="24"/>
        </w:rPr>
      </w:pPr>
      <w:r>
        <w:rPr>
          <w:rFonts w:ascii="Times New Roman" w:hAnsi="Times New Roman" w:eastAsia="Times New Roman" w:cs="Times New Roman"/>
          <w:b/>
          <w:bCs/>
          <w:spacing w:val="-1"/>
          <w:sz w:val="24"/>
          <w:szCs w:val="24"/>
        </w:rPr>
        <w:t>6.2.2</w:t>
      </w:r>
      <w:r>
        <w:rPr>
          <w:rFonts w:ascii="Times New Roman" w:hAnsi="Times New Roman" w:eastAsia="Times New Roman" w:cs="Times New Roman"/>
          <w:b/>
          <w:bCs/>
          <w:spacing w:val="20"/>
          <w:w w:val="10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营运期环境空气污染防治措施</w:t>
      </w:r>
    </w:p>
    <w:p>
      <w:pPr>
        <w:spacing w:before="179" w:line="468" w:lineRule="exact"/>
        <w:ind w:left="609"/>
        <w:rPr>
          <w:rFonts w:ascii="宋体" w:hAnsi="宋体" w:eastAsia="宋体" w:cs="宋体"/>
          <w:sz w:val="24"/>
          <w:szCs w:val="24"/>
        </w:rPr>
      </w:pPr>
      <w:r>
        <w:rPr>
          <w:rFonts w:ascii="宋体" w:hAnsi="宋体" w:eastAsia="宋体" w:cs="宋体"/>
          <w:spacing w:val="-6"/>
          <w:position w:val="17"/>
          <w:sz w:val="24"/>
          <w:szCs w:val="24"/>
        </w:rPr>
        <w:t>公路在营运时汽车尾气对沿线环境空气产生污染，</w:t>
      </w:r>
      <w:r>
        <w:rPr>
          <w:rFonts w:ascii="宋体" w:hAnsi="宋体" w:eastAsia="宋体" w:cs="宋体"/>
          <w:spacing w:val="-25"/>
          <w:position w:val="17"/>
          <w:sz w:val="24"/>
          <w:szCs w:val="24"/>
        </w:rPr>
        <w:t xml:space="preserve"> </w:t>
      </w:r>
      <w:r>
        <w:rPr>
          <w:rFonts w:ascii="宋体" w:hAnsi="宋体" w:eastAsia="宋体" w:cs="宋体"/>
          <w:spacing w:val="-6"/>
          <w:position w:val="17"/>
          <w:sz w:val="24"/>
          <w:szCs w:val="24"/>
        </w:rPr>
        <w:t>并直接</w:t>
      </w:r>
      <w:r>
        <w:rPr>
          <w:rFonts w:ascii="宋体" w:hAnsi="宋体" w:eastAsia="宋体" w:cs="宋体"/>
          <w:spacing w:val="-7"/>
          <w:position w:val="17"/>
          <w:sz w:val="24"/>
          <w:szCs w:val="24"/>
        </w:rPr>
        <w:t>影响沿线附近居民</w:t>
      </w:r>
    </w:p>
    <w:p>
      <w:pPr>
        <w:spacing w:before="1" w:line="218" w:lineRule="auto"/>
        <w:ind w:left="124"/>
        <w:rPr>
          <w:rFonts w:ascii="宋体" w:hAnsi="宋体" w:eastAsia="宋体" w:cs="宋体"/>
          <w:sz w:val="24"/>
          <w:szCs w:val="24"/>
        </w:rPr>
      </w:pPr>
      <w:r>
        <w:rPr>
          <w:rFonts w:ascii="宋体" w:hAnsi="宋体" w:eastAsia="宋体" w:cs="宋体"/>
          <w:spacing w:val="-3"/>
          <w:sz w:val="24"/>
          <w:szCs w:val="24"/>
        </w:rPr>
        <w:t>生活、身体健康和农作物的生长。采取措施如下：</w:t>
      </w:r>
    </w:p>
    <w:p>
      <w:pPr>
        <w:spacing w:before="181" w:line="468" w:lineRule="exact"/>
        <w:ind w:left="620"/>
        <w:rPr>
          <w:rFonts w:ascii="宋体" w:hAnsi="宋体" w:eastAsia="宋体" w:cs="宋体"/>
          <w:sz w:val="24"/>
          <w:szCs w:val="24"/>
        </w:rPr>
      </w:pPr>
      <w:r>
        <w:rPr>
          <w:rFonts w:ascii="Times New Roman" w:hAnsi="Times New Roman" w:eastAsia="Times New Roman" w:cs="Times New Roman"/>
          <w:spacing w:val="-4"/>
          <w:position w:val="17"/>
          <w:sz w:val="24"/>
          <w:szCs w:val="24"/>
        </w:rPr>
        <w:t>1</w:t>
      </w:r>
      <w:r>
        <w:rPr>
          <w:rFonts w:ascii="宋体" w:hAnsi="宋体" w:eastAsia="宋体" w:cs="宋体"/>
          <w:spacing w:val="-4"/>
          <w:position w:val="17"/>
          <w:sz w:val="24"/>
          <w:szCs w:val="24"/>
        </w:rPr>
        <w:t>、加强道路管理及路面养护， 保持道路良好运营状态，减少和避免塞车现</w:t>
      </w:r>
    </w:p>
    <w:p>
      <w:pPr>
        <w:spacing w:line="219" w:lineRule="auto"/>
        <w:ind w:left="130"/>
        <w:rPr>
          <w:rFonts w:ascii="宋体" w:hAnsi="宋体" w:eastAsia="宋体" w:cs="宋体"/>
          <w:sz w:val="24"/>
          <w:szCs w:val="24"/>
        </w:rPr>
      </w:pPr>
      <w:r>
        <w:rPr>
          <w:rFonts w:ascii="宋体" w:hAnsi="宋体" w:eastAsia="宋体" w:cs="宋体"/>
          <w:spacing w:val="-2"/>
          <w:sz w:val="24"/>
          <w:szCs w:val="24"/>
        </w:rPr>
        <w:t>象发生。严格控制车况，严禁不符合规定、超载车辆上路。</w:t>
      </w:r>
    </w:p>
    <w:p>
      <w:pPr>
        <w:spacing w:before="180" w:line="220" w:lineRule="auto"/>
        <w:ind w:left="597"/>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、公路沿线进行绿化，并做好绿化工程的维护工作。</w:t>
      </w:r>
    </w:p>
    <w:p>
      <w:pPr>
        <w:spacing w:line="220" w:lineRule="auto"/>
        <w:rPr>
          <w:rFonts w:ascii="宋体" w:hAnsi="宋体" w:eastAsia="宋体" w:cs="宋体"/>
          <w:sz w:val="24"/>
          <w:szCs w:val="24"/>
        </w:rPr>
        <w:sectPr>
          <w:headerReference r:id="rId313" w:type="default"/>
          <w:footerReference r:id="rId314" w:type="default"/>
          <w:pgSz w:w="11907" w:h="16839"/>
          <w:pgMar w:top="1118" w:right="919" w:bottom="1184" w:left="1687" w:header="879" w:footer="1024" w:gutter="0"/>
          <w:cols w:space="720" w:num="1"/>
        </w:sectPr>
      </w:pPr>
    </w:p>
    <w:p>
      <w:pPr>
        <w:pStyle w:val="2"/>
        <w:spacing w:line="278" w:lineRule="auto"/>
      </w:pPr>
    </w:p>
    <w:p>
      <w:pPr>
        <w:spacing w:before="78" w:line="468" w:lineRule="exact"/>
        <w:ind w:right="58"/>
        <w:jc w:val="right"/>
        <w:rPr>
          <w:rFonts w:ascii="宋体" w:hAnsi="宋体" w:eastAsia="宋体" w:cs="宋体"/>
          <w:sz w:val="24"/>
          <w:szCs w:val="24"/>
        </w:rPr>
      </w:pPr>
      <w:r>
        <w:rPr>
          <w:rFonts w:ascii="Times New Roman" w:hAnsi="Times New Roman" w:eastAsia="Times New Roman" w:cs="Times New Roman"/>
          <w:spacing w:val="-1"/>
          <w:position w:val="17"/>
          <w:sz w:val="24"/>
          <w:szCs w:val="24"/>
        </w:rPr>
        <w:t>3</w:t>
      </w:r>
      <w:r>
        <w:rPr>
          <w:rFonts w:ascii="宋体" w:hAnsi="宋体" w:eastAsia="宋体" w:cs="宋体"/>
          <w:spacing w:val="-1"/>
          <w:position w:val="17"/>
          <w:sz w:val="24"/>
          <w:szCs w:val="24"/>
        </w:rPr>
        <w:t xml:space="preserve">、规划部门严格控制公路红线两侧 </w:t>
      </w:r>
      <w:r>
        <w:rPr>
          <w:rFonts w:ascii="Times New Roman" w:hAnsi="Times New Roman" w:eastAsia="Times New Roman" w:cs="Times New Roman"/>
          <w:spacing w:val="-1"/>
          <w:position w:val="17"/>
          <w:sz w:val="24"/>
          <w:szCs w:val="24"/>
        </w:rPr>
        <w:t xml:space="preserve">200m  </w:t>
      </w:r>
      <w:r>
        <w:rPr>
          <w:rFonts w:ascii="宋体" w:hAnsi="宋体" w:eastAsia="宋体" w:cs="宋体"/>
          <w:spacing w:val="-1"/>
          <w:position w:val="17"/>
          <w:sz w:val="24"/>
          <w:szCs w:val="24"/>
        </w:rPr>
        <w:t>范围内</w:t>
      </w:r>
      <w:r>
        <w:rPr>
          <w:rFonts w:ascii="宋体" w:hAnsi="宋体" w:eastAsia="宋体" w:cs="宋体"/>
          <w:spacing w:val="-2"/>
          <w:position w:val="17"/>
          <w:sz w:val="24"/>
          <w:szCs w:val="24"/>
        </w:rPr>
        <w:t>的土地利用，做好隧道口</w:t>
      </w:r>
    </w:p>
    <w:p>
      <w:pPr>
        <w:spacing w:line="220" w:lineRule="auto"/>
        <w:ind w:left="38"/>
        <w:rPr>
          <w:rFonts w:ascii="宋体" w:hAnsi="宋体" w:eastAsia="宋体" w:cs="宋体"/>
          <w:sz w:val="24"/>
          <w:szCs w:val="24"/>
        </w:rPr>
      </w:pPr>
      <w:r>
        <w:rPr>
          <w:rFonts w:ascii="宋体" w:hAnsi="宋体" w:eastAsia="宋体" w:cs="宋体"/>
          <w:spacing w:val="-4"/>
          <w:sz w:val="24"/>
          <w:szCs w:val="24"/>
        </w:rPr>
        <w:t>环境保护目标的保护工作。</w:t>
      </w:r>
    </w:p>
    <w:p>
      <w:pPr>
        <w:spacing w:before="178" w:line="220" w:lineRule="auto"/>
        <w:ind w:left="37"/>
        <w:outlineLvl w:val="1"/>
        <w:rPr>
          <w:rFonts w:ascii="宋体" w:hAnsi="宋体" w:eastAsia="宋体" w:cs="宋体"/>
          <w:sz w:val="24"/>
          <w:szCs w:val="24"/>
        </w:rPr>
      </w:pPr>
      <w:bookmarkStart w:id="43" w:name="bookmark40"/>
      <w:bookmarkEnd w:id="43"/>
      <w:r>
        <w:rPr>
          <w:rFonts w:ascii="Times New Roman" w:hAnsi="Times New Roman" w:eastAsia="Times New Roman" w:cs="Times New Roman"/>
          <w:b/>
          <w:bCs/>
          <w:spacing w:val="-1"/>
          <w:sz w:val="24"/>
          <w:szCs w:val="24"/>
        </w:rPr>
        <w:t xml:space="preserve">6.3 </w:t>
      </w:r>
      <w:r>
        <w:rPr>
          <w:rFonts w:ascii="宋体" w:hAnsi="宋体" w:eastAsia="宋体" w:cs="宋体"/>
          <w:spacing w:val="-1"/>
          <w:sz w:val="24"/>
          <w:szCs w:val="24"/>
          <w14:textOutline w14:w="4354" w14:cap="flat" w14:cmpd="sng">
            <w14:solidFill>
              <w14:srgbClr w14:val="000000"/>
            </w14:solidFill>
            <w14:prstDash w14:val="solid"/>
            <w14:miter w14:val="0"/>
          </w14:textOutline>
        </w:rPr>
        <w:t>声环境影响减缓措施</w:t>
      </w:r>
    </w:p>
    <w:p>
      <w:pPr>
        <w:spacing w:before="181" w:line="220" w:lineRule="auto"/>
        <w:ind w:left="37"/>
        <w:outlineLvl w:val="1"/>
        <w:rPr>
          <w:rFonts w:ascii="宋体" w:hAnsi="宋体" w:eastAsia="宋体" w:cs="宋体"/>
          <w:sz w:val="24"/>
          <w:szCs w:val="24"/>
        </w:rPr>
      </w:pPr>
      <w:r>
        <w:rPr>
          <w:rFonts w:ascii="Times New Roman" w:hAnsi="Times New Roman" w:eastAsia="Times New Roman" w:cs="Times New Roman"/>
          <w:b/>
          <w:bCs/>
          <w:sz w:val="24"/>
          <w:szCs w:val="24"/>
        </w:rPr>
        <w:t xml:space="preserve">6.3.1 </w:t>
      </w:r>
      <w:r>
        <w:rPr>
          <w:rFonts w:ascii="宋体" w:hAnsi="宋体" w:eastAsia="宋体" w:cs="宋体"/>
          <w:sz w:val="24"/>
          <w:szCs w:val="24"/>
          <w14:textOutline w14:w="4354" w14:cap="flat" w14:cmpd="sng">
            <w14:solidFill>
              <w14:srgbClr w14:val="000000"/>
            </w14:solidFill>
            <w14:prstDash w14:val="solid"/>
            <w14:miter w14:val="0"/>
          </w14:textOutline>
        </w:rPr>
        <w:t>施工期声环境影响减缓措施回顾</w:t>
      </w:r>
    </w:p>
    <w:p>
      <w:pPr>
        <w:spacing w:before="180" w:line="468" w:lineRule="exact"/>
        <w:ind w:right="66"/>
        <w:jc w:val="right"/>
        <w:rPr>
          <w:rFonts w:ascii="宋体" w:hAnsi="宋体" w:eastAsia="宋体" w:cs="宋体"/>
          <w:sz w:val="24"/>
          <w:szCs w:val="24"/>
        </w:rPr>
      </w:pPr>
      <w:r>
        <w:rPr>
          <w:rFonts w:ascii="Times New Roman" w:hAnsi="Times New Roman" w:eastAsia="Times New Roman" w:cs="Times New Roman"/>
          <w:spacing w:val="-1"/>
          <w:position w:val="17"/>
          <w:sz w:val="24"/>
          <w:szCs w:val="24"/>
        </w:rPr>
        <w:t>1</w:t>
      </w:r>
      <w:r>
        <w:rPr>
          <w:rFonts w:ascii="Times New Roman" w:hAnsi="Times New Roman" w:eastAsia="Times New Roman" w:cs="Times New Roman"/>
          <w:spacing w:val="-34"/>
          <w:position w:val="17"/>
          <w:sz w:val="24"/>
          <w:szCs w:val="24"/>
        </w:rPr>
        <w:t xml:space="preserve"> </w:t>
      </w:r>
      <w:r>
        <w:rPr>
          <w:rFonts w:ascii="宋体" w:hAnsi="宋体" w:eastAsia="宋体" w:cs="宋体"/>
          <w:spacing w:val="-1"/>
          <w:position w:val="17"/>
          <w:sz w:val="24"/>
          <w:szCs w:val="24"/>
        </w:rPr>
        <w:t>、施工时采用低噪声机械及施工工艺，加强施工机械设备的维修和保养，</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未采用超过国家标准的机械。</w:t>
      </w:r>
    </w:p>
    <w:p>
      <w:pPr>
        <w:spacing w:before="182" w:line="359" w:lineRule="auto"/>
        <w:ind w:left="39" w:right="57" w:firstLine="474"/>
        <w:rPr>
          <w:rFonts w:ascii="宋体" w:hAnsi="宋体" w:eastAsia="宋体" w:cs="宋体"/>
          <w:sz w:val="24"/>
          <w:szCs w:val="24"/>
        </w:rPr>
      </w:pPr>
      <w:r>
        <w:rPr>
          <w:rFonts w:ascii="Times New Roman" w:hAnsi="Times New Roman" w:eastAsia="Times New Roman" w:cs="Times New Roman"/>
          <w:spacing w:val="-5"/>
          <w:sz w:val="24"/>
          <w:szCs w:val="24"/>
        </w:rPr>
        <w:t>2</w:t>
      </w:r>
      <w:r>
        <w:rPr>
          <w:rFonts w:ascii="宋体" w:hAnsi="宋体" w:eastAsia="宋体" w:cs="宋体"/>
          <w:spacing w:val="-5"/>
          <w:sz w:val="24"/>
          <w:szCs w:val="24"/>
        </w:rPr>
        <w:t>、合理安排施工时间，</w:t>
      </w:r>
      <w:r>
        <w:rPr>
          <w:rFonts w:ascii="宋体" w:hAnsi="宋体" w:eastAsia="宋体" w:cs="宋体"/>
          <w:spacing w:val="64"/>
          <w:sz w:val="24"/>
          <w:szCs w:val="24"/>
        </w:rPr>
        <w:t xml:space="preserve"> </w:t>
      </w:r>
      <w:r>
        <w:rPr>
          <w:rFonts w:ascii="宋体" w:hAnsi="宋体" w:eastAsia="宋体" w:cs="宋体"/>
          <w:spacing w:val="-5"/>
          <w:sz w:val="24"/>
          <w:szCs w:val="24"/>
        </w:rPr>
        <w:t>高噪声级的施工机械在夜间</w:t>
      </w:r>
      <w:r>
        <w:rPr>
          <w:rFonts w:ascii="Times New Roman" w:hAnsi="Times New Roman" w:eastAsia="Times New Roman" w:cs="Times New Roman"/>
          <w:spacing w:val="-5"/>
          <w:sz w:val="24"/>
          <w:szCs w:val="24"/>
        </w:rPr>
        <w:t>(</w:t>
      </w:r>
      <w:r>
        <w:rPr>
          <w:rFonts w:ascii="Times New Roman" w:hAnsi="Times New Roman" w:eastAsia="Times New Roman" w:cs="Times New Roman"/>
          <w:spacing w:val="-6"/>
          <w:sz w:val="24"/>
          <w:szCs w:val="24"/>
        </w:rPr>
        <w:t>22</w:t>
      </w:r>
      <w:r>
        <w:rPr>
          <w:rFonts w:ascii="宋体" w:hAnsi="宋体" w:eastAsia="宋体" w:cs="宋体"/>
          <w:spacing w:val="-6"/>
          <w:sz w:val="24"/>
          <w:szCs w:val="24"/>
        </w:rPr>
        <w:t>：</w:t>
      </w:r>
      <w:r>
        <w:rPr>
          <w:rFonts w:ascii="Times New Roman" w:hAnsi="Times New Roman" w:eastAsia="Times New Roman" w:cs="Times New Roman"/>
          <w:spacing w:val="-6"/>
          <w:sz w:val="24"/>
          <w:szCs w:val="24"/>
        </w:rPr>
        <w:t>00~</w:t>
      </w:r>
      <w:r>
        <w:rPr>
          <w:rFonts w:ascii="宋体" w:hAnsi="宋体" w:eastAsia="宋体" w:cs="宋体"/>
          <w:spacing w:val="-6"/>
          <w:sz w:val="24"/>
          <w:szCs w:val="24"/>
        </w:rPr>
        <w:t xml:space="preserve">次日 </w:t>
      </w:r>
      <w:r>
        <w:rPr>
          <w:rFonts w:ascii="Times New Roman" w:hAnsi="Times New Roman" w:eastAsia="Times New Roman" w:cs="Times New Roman"/>
          <w:spacing w:val="-6"/>
          <w:sz w:val="24"/>
          <w:szCs w:val="24"/>
        </w:rPr>
        <w:t>6</w:t>
      </w:r>
      <w:r>
        <w:rPr>
          <w:rFonts w:ascii="宋体" w:hAnsi="宋体" w:eastAsia="宋体" w:cs="宋体"/>
          <w:spacing w:val="-6"/>
          <w:sz w:val="24"/>
          <w:szCs w:val="24"/>
        </w:rPr>
        <w:t>：</w:t>
      </w:r>
      <w:r>
        <w:rPr>
          <w:rFonts w:ascii="Times New Roman" w:hAnsi="Times New Roman" w:eastAsia="Times New Roman" w:cs="Times New Roman"/>
          <w:spacing w:val="-6"/>
          <w:sz w:val="24"/>
          <w:szCs w:val="24"/>
        </w:rPr>
        <w:t>00)</w:t>
      </w:r>
      <w:r>
        <w:rPr>
          <w:rFonts w:ascii="宋体" w:hAnsi="宋体" w:eastAsia="宋体" w:cs="宋体"/>
          <w:spacing w:val="-6"/>
          <w:sz w:val="24"/>
          <w:szCs w:val="24"/>
        </w:rPr>
        <w:t>停</w:t>
      </w:r>
      <w:r>
        <w:rPr>
          <w:rFonts w:ascii="宋体" w:hAnsi="宋体" w:eastAsia="宋体" w:cs="宋体"/>
          <w:sz w:val="24"/>
          <w:szCs w:val="24"/>
        </w:rPr>
        <w:t xml:space="preserve"> </w:t>
      </w:r>
      <w:r>
        <w:rPr>
          <w:rFonts w:ascii="宋体" w:hAnsi="宋体" w:eastAsia="宋体" w:cs="宋体"/>
          <w:spacing w:val="-12"/>
          <w:sz w:val="24"/>
          <w:szCs w:val="24"/>
        </w:rPr>
        <w:t>止施工。因特殊需要必须连续施工作业的，</w:t>
      </w:r>
      <w:r>
        <w:rPr>
          <w:rFonts w:ascii="宋体" w:hAnsi="宋体" w:eastAsia="宋体" w:cs="宋体"/>
          <w:spacing w:val="37"/>
          <w:sz w:val="24"/>
          <w:szCs w:val="24"/>
        </w:rPr>
        <w:t xml:space="preserve"> </w:t>
      </w:r>
      <w:r>
        <w:rPr>
          <w:rFonts w:ascii="宋体" w:hAnsi="宋体" w:eastAsia="宋体" w:cs="宋体"/>
          <w:spacing w:val="-12"/>
          <w:sz w:val="24"/>
          <w:szCs w:val="24"/>
        </w:rPr>
        <w:t>取得生态环境主管部门的证明，</w:t>
      </w:r>
      <w:r>
        <w:rPr>
          <w:rFonts w:ascii="宋体" w:hAnsi="宋体" w:eastAsia="宋体" w:cs="宋体"/>
          <w:spacing w:val="38"/>
          <w:sz w:val="24"/>
          <w:szCs w:val="24"/>
        </w:rPr>
        <w:t xml:space="preserve"> </w:t>
      </w:r>
      <w:r>
        <w:rPr>
          <w:rFonts w:ascii="宋体" w:hAnsi="宋体" w:eastAsia="宋体" w:cs="宋体"/>
          <w:spacing w:val="-12"/>
          <w:sz w:val="24"/>
          <w:szCs w:val="24"/>
        </w:rPr>
        <w:t>并在</w:t>
      </w:r>
    </w:p>
    <w:p>
      <w:pPr>
        <w:spacing w:line="218" w:lineRule="auto"/>
        <w:ind w:left="37"/>
        <w:rPr>
          <w:rFonts w:ascii="宋体" w:hAnsi="宋体" w:eastAsia="宋体" w:cs="宋体"/>
          <w:sz w:val="24"/>
          <w:szCs w:val="24"/>
        </w:rPr>
      </w:pPr>
      <w:r>
        <w:rPr>
          <w:rFonts w:ascii="宋体" w:hAnsi="宋体" w:eastAsia="宋体" w:cs="宋体"/>
          <w:spacing w:val="-2"/>
          <w:sz w:val="24"/>
          <w:szCs w:val="24"/>
        </w:rPr>
        <w:t>施工现场显著位置公示或者以其他方式公告附近居民。</w:t>
      </w:r>
    </w:p>
    <w:p>
      <w:pPr>
        <w:spacing w:before="185" w:line="220" w:lineRule="auto"/>
        <w:ind w:left="51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、施工前封闭施工场地，在施工区域周边设置固定式硬质围栏。</w:t>
      </w:r>
    </w:p>
    <w:p>
      <w:pPr>
        <w:spacing w:before="179" w:line="468" w:lineRule="exact"/>
        <w:ind w:right="64"/>
        <w:jc w:val="right"/>
        <w:rPr>
          <w:rFonts w:ascii="宋体" w:hAnsi="宋体" w:eastAsia="宋体" w:cs="宋体"/>
          <w:sz w:val="24"/>
          <w:szCs w:val="24"/>
        </w:rPr>
      </w:pPr>
      <w:r>
        <w:rPr>
          <w:rFonts w:ascii="Times New Roman" w:hAnsi="Times New Roman" w:eastAsia="Times New Roman" w:cs="Times New Roman"/>
          <w:position w:val="17"/>
          <w:sz w:val="24"/>
          <w:szCs w:val="24"/>
        </w:rPr>
        <w:t>4</w:t>
      </w:r>
      <w:r>
        <w:rPr>
          <w:rFonts w:ascii="宋体" w:hAnsi="宋体" w:eastAsia="宋体" w:cs="宋体"/>
          <w:position w:val="17"/>
          <w:sz w:val="24"/>
          <w:szCs w:val="24"/>
        </w:rPr>
        <w:t>、在利用现有的道路和临时施工便道运输施工物资时，选择合理的运输路</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线，避开集中居住区域。运输车辆途经村庄等限制车速。</w:t>
      </w:r>
    </w:p>
    <w:p>
      <w:pPr>
        <w:spacing w:before="182" w:line="468" w:lineRule="exact"/>
        <w:ind w:right="66"/>
        <w:jc w:val="right"/>
        <w:rPr>
          <w:rFonts w:ascii="宋体" w:hAnsi="宋体" w:eastAsia="宋体" w:cs="宋体"/>
          <w:sz w:val="24"/>
          <w:szCs w:val="24"/>
        </w:rPr>
      </w:pPr>
      <w:r>
        <w:rPr>
          <w:rFonts w:ascii="Times New Roman" w:hAnsi="Times New Roman" w:eastAsia="Times New Roman" w:cs="Times New Roman"/>
          <w:spacing w:val="-1"/>
          <w:position w:val="17"/>
          <w:sz w:val="24"/>
          <w:szCs w:val="24"/>
        </w:rPr>
        <w:t>5</w:t>
      </w:r>
      <w:r>
        <w:rPr>
          <w:rFonts w:ascii="Times New Roman" w:hAnsi="Times New Roman" w:eastAsia="Times New Roman" w:cs="Times New Roman"/>
          <w:spacing w:val="-18"/>
          <w:position w:val="17"/>
          <w:sz w:val="24"/>
          <w:szCs w:val="24"/>
        </w:rPr>
        <w:t xml:space="preserve"> </w:t>
      </w:r>
      <w:r>
        <w:rPr>
          <w:rFonts w:ascii="宋体" w:hAnsi="宋体" w:eastAsia="宋体" w:cs="宋体"/>
          <w:spacing w:val="-1"/>
          <w:position w:val="17"/>
          <w:sz w:val="24"/>
          <w:szCs w:val="24"/>
        </w:rPr>
        <w:t>、临时施工场地周边无环境保护目标，项目施工时钢筋在临时的钢筋加工</w:t>
      </w:r>
    </w:p>
    <w:p>
      <w:pPr>
        <w:spacing w:line="219" w:lineRule="auto"/>
        <w:ind w:left="37"/>
        <w:rPr>
          <w:rFonts w:ascii="宋体" w:hAnsi="宋体" w:eastAsia="宋体" w:cs="宋体"/>
          <w:sz w:val="24"/>
          <w:szCs w:val="24"/>
        </w:rPr>
      </w:pPr>
      <w:r>
        <w:rPr>
          <w:rFonts w:ascii="宋体" w:hAnsi="宋体" w:eastAsia="宋体" w:cs="宋体"/>
          <w:spacing w:val="-5"/>
          <w:sz w:val="24"/>
          <w:szCs w:val="24"/>
        </w:rPr>
        <w:t>场构筑物内进行。</w:t>
      </w:r>
    </w:p>
    <w:p>
      <w:pPr>
        <w:spacing w:before="181" w:line="468" w:lineRule="exact"/>
        <w:ind w:right="59"/>
        <w:jc w:val="right"/>
        <w:rPr>
          <w:rFonts w:ascii="宋体" w:hAnsi="宋体" w:eastAsia="宋体" w:cs="宋体"/>
          <w:sz w:val="24"/>
          <w:szCs w:val="24"/>
        </w:rPr>
      </w:pPr>
      <w:r>
        <w:rPr>
          <w:rFonts w:ascii="宋体" w:hAnsi="宋体" w:eastAsia="宋体" w:cs="宋体"/>
          <w:spacing w:val="-2"/>
          <w:position w:val="17"/>
          <w:sz w:val="24"/>
          <w:szCs w:val="24"/>
        </w:rPr>
        <w:t>施工各阶段噪声按《建筑施工场界环境噪声排放标准》</w:t>
      </w:r>
      <w:r>
        <w:rPr>
          <w:rFonts w:ascii="Times New Roman" w:hAnsi="Times New Roman" w:eastAsia="Times New Roman" w:cs="Times New Roman"/>
          <w:spacing w:val="-2"/>
          <w:position w:val="17"/>
          <w:sz w:val="24"/>
          <w:szCs w:val="24"/>
        </w:rPr>
        <w:t>(GB12523-2011)</w:t>
      </w:r>
      <w:r>
        <w:rPr>
          <w:rFonts w:ascii="宋体" w:hAnsi="宋体" w:eastAsia="宋体" w:cs="宋体"/>
          <w:spacing w:val="-2"/>
          <w:position w:val="17"/>
          <w:sz w:val="24"/>
          <w:szCs w:val="24"/>
        </w:rPr>
        <w:t>中建</w:t>
      </w:r>
    </w:p>
    <w:p>
      <w:pPr>
        <w:spacing w:before="1" w:line="219" w:lineRule="auto"/>
        <w:ind w:left="40"/>
        <w:rPr>
          <w:rFonts w:ascii="宋体" w:hAnsi="宋体" w:eastAsia="宋体" w:cs="宋体"/>
          <w:sz w:val="24"/>
          <w:szCs w:val="24"/>
        </w:rPr>
      </w:pPr>
      <w:r>
        <w:rPr>
          <w:rFonts w:ascii="宋体" w:hAnsi="宋体" w:eastAsia="宋体" w:cs="宋体"/>
          <w:spacing w:val="-3"/>
          <w:sz w:val="24"/>
          <w:szCs w:val="24"/>
        </w:rPr>
        <w:t>筑施工场界噪声排放限值的要求控制。</w:t>
      </w:r>
    </w:p>
    <w:p>
      <w:pPr>
        <w:spacing w:before="182" w:line="220" w:lineRule="auto"/>
        <w:ind w:left="37"/>
        <w:outlineLvl w:val="1"/>
        <w:rPr>
          <w:rFonts w:ascii="宋体" w:hAnsi="宋体" w:eastAsia="宋体" w:cs="宋体"/>
          <w:sz w:val="24"/>
          <w:szCs w:val="24"/>
        </w:rPr>
      </w:pPr>
      <w:r>
        <w:rPr>
          <w:rFonts w:ascii="Times New Roman" w:hAnsi="Times New Roman" w:eastAsia="Times New Roman" w:cs="Times New Roman"/>
          <w:b/>
          <w:bCs/>
          <w:spacing w:val="-1"/>
          <w:sz w:val="24"/>
          <w:szCs w:val="24"/>
        </w:rPr>
        <w:t>6.3.2</w:t>
      </w:r>
      <w:r>
        <w:rPr>
          <w:rFonts w:ascii="Times New Roman" w:hAnsi="Times New Roman" w:eastAsia="Times New Roman" w:cs="Times New Roman"/>
          <w:b/>
          <w:bCs/>
          <w:spacing w:val="17"/>
          <w:w w:val="10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营运期声环境影响减缓措施</w:t>
      </w:r>
    </w:p>
    <w:p>
      <w:pPr>
        <w:spacing w:before="180" w:line="220" w:lineRule="auto"/>
        <w:ind w:left="37"/>
        <w:outlineLvl w:val="1"/>
        <w:rPr>
          <w:rFonts w:ascii="宋体" w:hAnsi="宋体" w:eastAsia="宋体" w:cs="宋体"/>
          <w:sz w:val="24"/>
          <w:szCs w:val="24"/>
        </w:rPr>
      </w:pPr>
      <w:r>
        <w:fldChar w:fldCharType="begin"/>
      </w:r>
      <w:r>
        <w:instrText xml:space="preserve"> HYPERLINK "6.3.2.1" </w:instrText>
      </w:r>
      <w:r>
        <w:fldChar w:fldCharType="separate"/>
      </w:r>
      <w:r>
        <w:rPr>
          <w:rFonts w:ascii="Times New Roman" w:hAnsi="Times New Roman" w:eastAsia="Times New Roman" w:cs="Times New Roman"/>
          <w:b/>
          <w:bCs/>
          <w:spacing w:val="-1"/>
          <w:sz w:val="24"/>
          <w:szCs w:val="24"/>
        </w:rPr>
        <w:t>6.3.2.1</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交通噪声污染防治原则</w:t>
      </w:r>
    </w:p>
    <w:p>
      <w:pPr>
        <w:spacing w:before="182" w:line="359" w:lineRule="auto"/>
        <w:ind w:left="41" w:right="61" w:firstLine="477"/>
        <w:jc w:val="both"/>
        <w:rPr>
          <w:rFonts w:ascii="宋体" w:hAnsi="宋体" w:eastAsia="宋体" w:cs="宋体"/>
          <w:sz w:val="24"/>
          <w:szCs w:val="24"/>
        </w:rPr>
      </w:pPr>
      <w:r>
        <w:rPr>
          <w:rFonts w:ascii="宋体" w:hAnsi="宋体" w:eastAsia="宋体" w:cs="宋体"/>
          <w:spacing w:val="-3"/>
          <w:sz w:val="24"/>
          <w:szCs w:val="24"/>
        </w:rPr>
        <w:t>地面交通噪声主要从合理规划布局、噪声源控制、传声途径噪声</w:t>
      </w:r>
      <w:r>
        <w:rPr>
          <w:rFonts w:ascii="宋体" w:hAnsi="宋体" w:eastAsia="宋体" w:cs="宋体"/>
          <w:spacing w:val="-4"/>
          <w:sz w:val="24"/>
          <w:szCs w:val="24"/>
        </w:rPr>
        <w:t>削减、敏感</w:t>
      </w:r>
      <w:r>
        <w:rPr>
          <w:rFonts w:ascii="宋体" w:hAnsi="宋体" w:eastAsia="宋体" w:cs="宋体"/>
          <w:sz w:val="24"/>
          <w:szCs w:val="24"/>
        </w:rPr>
        <w:t xml:space="preserve"> </w:t>
      </w:r>
      <w:r>
        <w:rPr>
          <w:rFonts w:ascii="宋体" w:hAnsi="宋体" w:eastAsia="宋体" w:cs="宋体"/>
          <w:spacing w:val="-9"/>
          <w:sz w:val="24"/>
          <w:szCs w:val="24"/>
        </w:rPr>
        <w:t>建筑物噪声防护、加强交通噪声管理五个方面进行防治， 根据环发</w:t>
      </w:r>
      <w:r>
        <w:rPr>
          <w:rFonts w:ascii="Times New Roman" w:hAnsi="Times New Roman" w:eastAsia="Times New Roman" w:cs="Times New Roman"/>
          <w:spacing w:val="-9"/>
          <w:sz w:val="24"/>
          <w:szCs w:val="24"/>
        </w:rPr>
        <w:t>[2010]7</w:t>
      </w:r>
      <w:r>
        <w:rPr>
          <w:rFonts w:ascii="Times New Roman" w:hAnsi="Times New Roman" w:eastAsia="Times New Roman" w:cs="Times New Roman"/>
          <w:spacing w:val="23"/>
          <w:sz w:val="24"/>
          <w:szCs w:val="24"/>
        </w:rPr>
        <w:t xml:space="preserve"> </w:t>
      </w:r>
      <w:r>
        <w:rPr>
          <w:rFonts w:ascii="宋体" w:hAnsi="宋体" w:eastAsia="宋体" w:cs="宋体"/>
          <w:spacing w:val="-9"/>
          <w:sz w:val="24"/>
          <w:szCs w:val="24"/>
        </w:rPr>
        <w:t>号《地</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面交通噪声污染防治技术政策》，地面交通噪声污染防治应遵循如下原则：</w:t>
      </w:r>
    </w:p>
    <w:p>
      <w:pPr>
        <w:spacing w:before="180" w:line="469" w:lineRule="exact"/>
        <w:ind w:left="517"/>
        <w:rPr>
          <w:rFonts w:ascii="宋体" w:hAnsi="宋体" w:eastAsia="宋体" w:cs="宋体"/>
          <w:sz w:val="24"/>
          <w:szCs w:val="24"/>
        </w:rPr>
      </w:pPr>
      <w:r>
        <w:rPr>
          <w:rFonts w:ascii="宋体" w:hAnsi="宋体" w:eastAsia="宋体" w:cs="宋体"/>
          <w:spacing w:val="-2"/>
          <w:position w:val="17"/>
          <w:sz w:val="24"/>
          <w:szCs w:val="24"/>
        </w:rPr>
        <w:t>①坚持预防为主原则，合理规划地面交通设施与邻近</w:t>
      </w:r>
      <w:r>
        <w:rPr>
          <w:rFonts w:ascii="宋体" w:hAnsi="宋体" w:eastAsia="宋体" w:cs="宋体"/>
          <w:spacing w:val="-3"/>
          <w:position w:val="17"/>
          <w:sz w:val="24"/>
          <w:szCs w:val="24"/>
        </w:rPr>
        <w:t>建筑物布局；</w:t>
      </w:r>
    </w:p>
    <w:p>
      <w:pPr>
        <w:spacing w:line="217" w:lineRule="auto"/>
        <w:ind w:left="516"/>
        <w:rPr>
          <w:rFonts w:ascii="宋体" w:hAnsi="宋体" w:eastAsia="宋体" w:cs="宋体"/>
          <w:sz w:val="24"/>
          <w:szCs w:val="24"/>
        </w:rPr>
      </w:pPr>
      <w:r>
        <w:rPr>
          <w:rFonts w:ascii="宋体" w:hAnsi="宋体" w:eastAsia="宋体" w:cs="宋体"/>
          <w:spacing w:val="-2"/>
          <w:sz w:val="24"/>
          <w:szCs w:val="24"/>
        </w:rPr>
        <w:t>②噪声源、传声途径、敏感建筑物三者的分层次控制与</w:t>
      </w:r>
      <w:r>
        <w:rPr>
          <w:rFonts w:ascii="宋体" w:hAnsi="宋体" w:eastAsia="宋体" w:cs="宋体"/>
          <w:spacing w:val="-3"/>
          <w:sz w:val="24"/>
          <w:szCs w:val="24"/>
        </w:rPr>
        <w:t>各负其责；</w:t>
      </w:r>
    </w:p>
    <w:p>
      <w:pPr>
        <w:spacing w:before="183" w:line="468" w:lineRule="exact"/>
        <w:ind w:right="59"/>
        <w:jc w:val="right"/>
        <w:rPr>
          <w:rFonts w:ascii="宋体" w:hAnsi="宋体" w:eastAsia="宋体" w:cs="宋体"/>
          <w:sz w:val="24"/>
          <w:szCs w:val="24"/>
        </w:rPr>
      </w:pPr>
      <w:r>
        <w:rPr>
          <w:rFonts w:ascii="宋体" w:hAnsi="宋体" w:eastAsia="宋体" w:cs="宋体"/>
          <w:spacing w:val="4"/>
          <w:position w:val="17"/>
          <w:sz w:val="24"/>
          <w:szCs w:val="24"/>
        </w:rPr>
        <w:t>③在技术经济可行条件下，优先考虑对噪声源和传声途径采取工程技术措</w:t>
      </w:r>
    </w:p>
    <w:p>
      <w:pPr>
        <w:spacing w:line="220" w:lineRule="auto"/>
        <w:ind w:left="37"/>
        <w:rPr>
          <w:rFonts w:ascii="宋体" w:hAnsi="宋体" w:eastAsia="宋体" w:cs="宋体"/>
          <w:sz w:val="24"/>
          <w:szCs w:val="24"/>
        </w:rPr>
      </w:pPr>
      <w:r>
        <w:rPr>
          <w:rFonts w:ascii="宋体" w:hAnsi="宋体" w:eastAsia="宋体" w:cs="宋体"/>
          <w:spacing w:val="-6"/>
          <w:sz w:val="24"/>
          <w:szCs w:val="24"/>
        </w:rPr>
        <w:t>施，实施噪声主动控制；</w:t>
      </w:r>
    </w:p>
    <w:p>
      <w:pPr>
        <w:spacing w:before="180" w:line="217" w:lineRule="auto"/>
        <w:ind w:left="516"/>
        <w:rPr>
          <w:rFonts w:ascii="宋体" w:hAnsi="宋体" w:eastAsia="宋体" w:cs="宋体"/>
          <w:sz w:val="24"/>
          <w:szCs w:val="24"/>
        </w:rPr>
      </w:pPr>
      <w:r>
        <w:rPr>
          <w:rFonts w:ascii="宋体" w:hAnsi="宋体" w:eastAsia="宋体" w:cs="宋体"/>
          <w:spacing w:val="-2"/>
          <w:sz w:val="24"/>
          <w:szCs w:val="24"/>
        </w:rPr>
        <w:t>④坚持以人为本原则，重点对噪声敏感建筑物进行保护。</w:t>
      </w:r>
    </w:p>
    <w:p>
      <w:pPr>
        <w:spacing w:before="186" w:line="465" w:lineRule="exact"/>
        <w:ind w:right="58"/>
        <w:jc w:val="right"/>
        <w:rPr>
          <w:rFonts w:ascii="宋体" w:hAnsi="宋体" w:eastAsia="宋体" w:cs="宋体"/>
          <w:sz w:val="24"/>
          <w:szCs w:val="24"/>
        </w:rPr>
      </w:pPr>
      <w:r>
        <w:rPr>
          <w:rFonts w:ascii="宋体" w:hAnsi="宋体" w:eastAsia="宋体" w:cs="宋体"/>
          <w:spacing w:val="-5"/>
          <w:position w:val="17"/>
          <w:sz w:val="24"/>
          <w:szCs w:val="24"/>
        </w:rPr>
        <w:t>根据环发</w:t>
      </w:r>
      <w:r>
        <w:rPr>
          <w:rFonts w:ascii="Times New Roman" w:hAnsi="Times New Roman" w:eastAsia="Times New Roman" w:cs="Times New Roman"/>
          <w:spacing w:val="-5"/>
          <w:position w:val="17"/>
          <w:sz w:val="24"/>
          <w:szCs w:val="24"/>
        </w:rPr>
        <w:t xml:space="preserve">[2010]7  </w:t>
      </w:r>
      <w:r>
        <w:rPr>
          <w:rFonts w:ascii="宋体" w:hAnsi="宋体" w:eastAsia="宋体" w:cs="宋体"/>
          <w:spacing w:val="-5"/>
          <w:position w:val="17"/>
          <w:sz w:val="24"/>
          <w:szCs w:val="24"/>
        </w:rPr>
        <w:t>号《地面交通噪声污染</w:t>
      </w:r>
      <w:r>
        <w:rPr>
          <w:rFonts w:ascii="宋体" w:hAnsi="宋体" w:eastAsia="宋体" w:cs="宋体"/>
          <w:spacing w:val="-6"/>
          <w:position w:val="17"/>
          <w:sz w:val="24"/>
          <w:szCs w:val="24"/>
        </w:rPr>
        <w:t>防治技术政策》，</w:t>
      </w:r>
      <w:r>
        <w:rPr>
          <w:rFonts w:ascii="宋体" w:hAnsi="宋体" w:eastAsia="宋体" w:cs="宋体"/>
          <w:spacing w:val="64"/>
          <w:position w:val="17"/>
          <w:sz w:val="24"/>
          <w:szCs w:val="24"/>
        </w:rPr>
        <w:t xml:space="preserve"> </w:t>
      </w:r>
      <w:r>
        <w:rPr>
          <w:rFonts w:ascii="宋体" w:hAnsi="宋体" w:eastAsia="宋体" w:cs="宋体"/>
          <w:spacing w:val="-6"/>
          <w:position w:val="17"/>
          <w:sz w:val="24"/>
          <w:szCs w:val="24"/>
        </w:rPr>
        <w:t>地面交通噪声污</w:t>
      </w:r>
    </w:p>
    <w:p>
      <w:pPr>
        <w:spacing w:before="1" w:line="219" w:lineRule="auto"/>
        <w:ind w:left="41"/>
        <w:rPr>
          <w:rFonts w:ascii="宋体" w:hAnsi="宋体" w:eastAsia="宋体" w:cs="宋体"/>
          <w:sz w:val="24"/>
          <w:szCs w:val="24"/>
        </w:rPr>
      </w:pPr>
      <w:r>
        <w:rPr>
          <w:rFonts w:ascii="宋体" w:hAnsi="宋体" w:eastAsia="宋体" w:cs="宋体"/>
          <w:spacing w:val="-4"/>
          <w:sz w:val="24"/>
          <w:szCs w:val="24"/>
        </w:rPr>
        <w:t>染防治应明确责任和控制目标要求如下：</w:t>
      </w:r>
    </w:p>
    <w:p>
      <w:pPr>
        <w:spacing w:before="182" w:line="466" w:lineRule="exact"/>
        <w:ind w:right="59"/>
        <w:jc w:val="right"/>
        <w:rPr>
          <w:rFonts w:ascii="宋体" w:hAnsi="宋体" w:eastAsia="宋体" w:cs="宋体"/>
          <w:sz w:val="24"/>
          <w:szCs w:val="24"/>
        </w:rPr>
      </w:pPr>
      <w:r>
        <w:rPr>
          <w:rFonts w:ascii="宋体" w:hAnsi="宋体" w:eastAsia="宋体" w:cs="宋体"/>
          <w:spacing w:val="-6"/>
          <w:position w:val="17"/>
          <w:sz w:val="24"/>
          <w:szCs w:val="24"/>
        </w:rPr>
        <w:t>①在规划或已有地面交通设施邻近区域建设噪声敏感建筑物，</w:t>
      </w:r>
      <w:r>
        <w:rPr>
          <w:rFonts w:ascii="宋体" w:hAnsi="宋体" w:eastAsia="宋体" w:cs="宋体"/>
          <w:spacing w:val="-23"/>
          <w:position w:val="17"/>
          <w:sz w:val="24"/>
          <w:szCs w:val="24"/>
        </w:rPr>
        <w:t xml:space="preserve"> </w:t>
      </w:r>
      <w:r>
        <w:rPr>
          <w:rFonts w:ascii="宋体" w:hAnsi="宋体" w:eastAsia="宋体" w:cs="宋体"/>
          <w:spacing w:val="-6"/>
          <w:position w:val="17"/>
          <w:sz w:val="24"/>
          <w:szCs w:val="24"/>
        </w:rPr>
        <w:t>建设单位应当</w:t>
      </w:r>
    </w:p>
    <w:p>
      <w:pPr>
        <w:spacing w:before="1" w:line="218" w:lineRule="auto"/>
        <w:jc w:val="right"/>
        <w:rPr>
          <w:rFonts w:ascii="宋体" w:hAnsi="宋体" w:eastAsia="宋体" w:cs="宋体"/>
          <w:sz w:val="24"/>
          <w:szCs w:val="24"/>
        </w:rPr>
      </w:pPr>
      <w:r>
        <w:rPr>
          <w:rFonts w:ascii="宋体" w:hAnsi="宋体" w:eastAsia="宋体" w:cs="宋体"/>
          <w:spacing w:val="-11"/>
          <w:sz w:val="24"/>
          <w:szCs w:val="24"/>
        </w:rPr>
        <w:t>采取间隔必要的距离、传声途径噪声削减等有效措施， 以使室外声环境质量达标；</w:t>
      </w:r>
    </w:p>
    <w:p>
      <w:pPr>
        <w:spacing w:line="218" w:lineRule="auto"/>
        <w:rPr>
          <w:rFonts w:ascii="宋体" w:hAnsi="宋体" w:eastAsia="宋体" w:cs="宋体"/>
          <w:sz w:val="24"/>
          <w:szCs w:val="24"/>
        </w:rPr>
        <w:sectPr>
          <w:headerReference r:id="rId315" w:type="default"/>
          <w:footerReference r:id="rId316" w:type="default"/>
          <w:pgSz w:w="11907" w:h="16839"/>
          <w:pgMar w:top="1118" w:right="1738" w:bottom="1184" w:left="1771" w:header="879" w:footer="1024" w:gutter="0"/>
          <w:cols w:space="720" w:num="1"/>
        </w:sectPr>
      </w:pPr>
    </w:p>
    <w:p>
      <w:pPr>
        <w:pStyle w:val="2"/>
        <w:spacing w:line="278" w:lineRule="auto"/>
      </w:pPr>
    </w:p>
    <w:p>
      <w:pPr>
        <w:spacing w:before="78" w:line="359" w:lineRule="auto"/>
        <w:ind w:left="41" w:right="18" w:firstLine="475"/>
        <w:jc w:val="both"/>
        <w:rPr>
          <w:rFonts w:ascii="宋体" w:hAnsi="宋体" w:eastAsia="宋体" w:cs="宋体"/>
          <w:sz w:val="24"/>
          <w:szCs w:val="24"/>
        </w:rPr>
      </w:pPr>
      <w:r>
        <w:rPr>
          <w:rFonts w:ascii="宋体" w:hAnsi="宋体" w:eastAsia="宋体" w:cs="宋体"/>
          <w:spacing w:val="-7"/>
          <w:sz w:val="24"/>
          <w:szCs w:val="24"/>
        </w:rPr>
        <w:t>②因地面交通设施的建设或运行造成环境噪声污染， 建设单位、运营单位应</w:t>
      </w:r>
      <w:r>
        <w:rPr>
          <w:rFonts w:ascii="宋体" w:hAnsi="宋体" w:eastAsia="宋体" w:cs="宋体"/>
          <w:spacing w:val="15"/>
          <w:sz w:val="24"/>
          <w:szCs w:val="24"/>
        </w:rPr>
        <w:t xml:space="preserve"> </w:t>
      </w:r>
      <w:r>
        <w:rPr>
          <w:rFonts w:ascii="宋体" w:hAnsi="宋体" w:eastAsia="宋体" w:cs="宋体"/>
          <w:spacing w:val="-8"/>
          <w:sz w:val="24"/>
          <w:szCs w:val="24"/>
        </w:rPr>
        <w:t>当采取间隔必要的距离、噪声源控制、传声途径噪声削减等有效措</w:t>
      </w:r>
      <w:r>
        <w:rPr>
          <w:rFonts w:ascii="宋体" w:hAnsi="宋体" w:eastAsia="宋体" w:cs="宋体"/>
          <w:spacing w:val="-9"/>
          <w:sz w:val="24"/>
          <w:szCs w:val="24"/>
        </w:rPr>
        <w:t>施，</w:t>
      </w:r>
      <w:r>
        <w:rPr>
          <w:rFonts w:ascii="宋体" w:hAnsi="宋体" w:eastAsia="宋体" w:cs="宋体"/>
          <w:spacing w:val="59"/>
          <w:sz w:val="24"/>
          <w:szCs w:val="24"/>
        </w:rPr>
        <w:t xml:space="preserve"> </w:t>
      </w:r>
      <w:r>
        <w:rPr>
          <w:rFonts w:ascii="宋体" w:hAnsi="宋体" w:eastAsia="宋体" w:cs="宋体"/>
          <w:spacing w:val="-9"/>
          <w:sz w:val="24"/>
          <w:szCs w:val="24"/>
        </w:rPr>
        <w:t>以使室外</w:t>
      </w:r>
      <w:r>
        <w:rPr>
          <w:rFonts w:ascii="宋体" w:hAnsi="宋体" w:eastAsia="宋体" w:cs="宋体"/>
          <w:sz w:val="24"/>
          <w:szCs w:val="24"/>
        </w:rPr>
        <w:t xml:space="preserve"> </w:t>
      </w:r>
      <w:r>
        <w:rPr>
          <w:rFonts w:ascii="宋体" w:hAnsi="宋体" w:eastAsia="宋体" w:cs="宋体"/>
          <w:spacing w:val="-2"/>
          <w:sz w:val="24"/>
          <w:szCs w:val="24"/>
        </w:rPr>
        <w:t>声环境质量达标；如通过技术经济论证，认为不宜对交通噪声实施主动控制的，</w:t>
      </w:r>
      <w:r>
        <w:rPr>
          <w:rFonts w:ascii="宋体" w:hAnsi="宋体" w:eastAsia="宋体" w:cs="宋体"/>
          <w:spacing w:val="3"/>
          <w:sz w:val="24"/>
          <w:szCs w:val="24"/>
        </w:rPr>
        <w:t xml:space="preserve"> </w:t>
      </w:r>
      <w:r>
        <w:rPr>
          <w:rFonts w:ascii="宋体" w:hAnsi="宋体" w:eastAsia="宋体" w:cs="宋体"/>
          <w:spacing w:val="-6"/>
          <w:sz w:val="24"/>
          <w:szCs w:val="24"/>
        </w:rPr>
        <w:t>建设单位、运营单位应对噪声敏感建筑物采取有效的噪</w:t>
      </w:r>
      <w:r>
        <w:rPr>
          <w:rFonts w:ascii="宋体" w:hAnsi="宋体" w:eastAsia="宋体" w:cs="宋体"/>
          <w:spacing w:val="-7"/>
          <w:sz w:val="24"/>
          <w:szCs w:val="24"/>
        </w:rPr>
        <w:t>声防护措施， 保证室内合</w:t>
      </w:r>
    </w:p>
    <w:p>
      <w:pPr>
        <w:spacing w:line="220" w:lineRule="auto"/>
        <w:ind w:left="41"/>
        <w:rPr>
          <w:rFonts w:ascii="宋体" w:hAnsi="宋体" w:eastAsia="宋体" w:cs="宋体"/>
          <w:sz w:val="24"/>
          <w:szCs w:val="24"/>
        </w:rPr>
      </w:pPr>
      <w:r>
        <w:rPr>
          <w:rFonts w:ascii="宋体" w:hAnsi="宋体" w:eastAsia="宋体" w:cs="宋体"/>
          <w:spacing w:val="-6"/>
          <w:sz w:val="24"/>
          <w:szCs w:val="24"/>
        </w:rPr>
        <w:t>理的声环境质量。</w:t>
      </w:r>
    </w:p>
    <w:p>
      <w:pPr>
        <w:spacing w:before="181" w:line="219" w:lineRule="auto"/>
        <w:ind w:left="37"/>
        <w:outlineLvl w:val="1"/>
        <w:rPr>
          <w:rFonts w:ascii="宋体" w:hAnsi="宋体" w:eastAsia="宋体" w:cs="宋体"/>
          <w:sz w:val="24"/>
          <w:szCs w:val="24"/>
        </w:rPr>
      </w:pPr>
      <w:r>
        <w:fldChar w:fldCharType="begin"/>
      </w:r>
      <w:r>
        <w:instrText xml:space="preserve"> HYPERLINK "6.3.2.2" </w:instrText>
      </w:r>
      <w:r>
        <w:fldChar w:fldCharType="separate"/>
      </w:r>
      <w:r>
        <w:rPr>
          <w:rFonts w:ascii="Times New Roman" w:hAnsi="Times New Roman" w:eastAsia="Times New Roman" w:cs="Times New Roman"/>
          <w:b/>
          <w:bCs/>
          <w:spacing w:val="-1"/>
          <w:sz w:val="24"/>
          <w:szCs w:val="24"/>
        </w:rPr>
        <w:t>6.3.2.2</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本公路噪声防治措施</w:t>
      </w:r>
    </w:p>
    <w:p>
      <w:pPr>
        <w:spacing w:before="181" w:line="359" w:lineRule="auto"/>
        <w:ind w:left="37" w:firstLine="526"/>
        <w:jc w:val="both"/>
        <w:rPr>
          <w:rFonts w:ascii="宋体" w:hAnsi="宋体" w:eastAsia="宋体" w:cs="宋体"/>
          <w:sz w:val="24"/>
          <w:szCs w:val="24"/>
        </w:rPr>
      </w:pPr>
      <w:r>
        <w:rPr>
          <w:rFonts w:ascii="宋体" w:hAnsi="宋体" w:eastAsia="宋体" w:cs="宋体"/>
          <w:spacing w:val="-3"/>
          <w:sz w:val="24"/>
          <w:szCs w:val="24"/>
        </w:rPr>
        <w:t>目前国内常用的工程降噪措施主要有声屏障、搬迁、通风隔声窗、降噪林、</w:t>
      </w:r>
      <w:r>
        <w:rPr>
          <w:rFonts w:ascii="宋体" w:hAnsi="宋体" w:eastAsia="宋体" w:cs="宋体"/>
          <w:spacing w:val="8"/>
          <w:sz w:val="24"/>
          <w:szCs w:val="24"/>
        </w:rPr>
        <w:t xml:space="preserve"> </w:t>
      </w:r>
      <w:r>
        <w:rPr>
          <w:rFonts w:ascii="宋体" w:hAnsi="宋体" w:eastAsia="宋体" w:cs="宋体"/>
          <w:spacing w:val="-6"/>
          <w:sz w:val="24"/>
          <w:szCs w:val="24"/>
        </w:rPr>
        <w:t>低噪声路面等。本次评价针对环境噪声超标的声环境保护目标</w:t>
      </w:r>
      <w:r>
        <w:rPr>
          <w:rFonts w:ascii="宋体" w:hAnsi="宋体" w:eastAsia="宋体" w:cs="宋体"/>
          <w:spacing w:val="-7"/>
          <w:sz w:val="24"/>
          <w:szCs w:val="24"/>
        </w:rPr>
        <w:t>， 进行声环境污染</w:t>
      </w:r>
    </w:p>
    <w:p>
      <w:pPr>
        <w:spacing w:line="220" w:lineRule="auto"/>
        <w:ind w:left="41"/>
        <w:rPr>
          <w:rFonts w:ascii="宋体" w:hAnsi="宋体" w:eastAsia="宋体" w:cs="宋体"/>
          <w:sz w:val="24"/>
          <w:szCs w:val="24"/>
        </w:rPr>
      </w:pPr>
      <w:r>
        <w:rPr>
          <w:rFonts w:ascii="宋体" w:hAnsi="宋体" w:eastAsia="宋体" w:cs="宋体"/>
          <w:spacing w:val="-6"/>
          <w:sz w:val="24"/>
          <w:szCs w:val="24"/>
        </w:rPr>
        <w:t>综合防治设计。</w:t>
      </w:r>
    </w:p>
    <w:p>
      <w:pPr>
        <w:spacing w:before="181" w:line="359" w:lineRule="auto"/>
        <w:ind w:left="37" w:right="58" w:firstLine="480"/>
        <w:jc w:val="both"/>
        <w:rPr>
          <w:rFonts w:ascii="宋体" w:hAnsi="宋体" w:eastAsia="宋体" w:cs="宋体"/>
          <w:sz w:val="24"/>
          <w:szCs w:val="24"/>
        </w:rPr>
      </w:pPr>
      <w:r>
        <w:rPr>
          <w:rFonts w:ascii="宋体" w:hAnsi="宋体" w:eastAsia="宋体" w:cs="宋体"/>
          <w:spacing w:val="-1"/>
          <w:sz w:val="24"/>
          <w:szCs w:val="24"/>
        </w:rPr>
        <w:t>根据环发</w:t>
      </w:r>
      <w:r>
        <w:rPr>
          <w:rFonts w:ascii="Times New Roman" w:hAnsi="Times New Roman" w:eastAsia="Times New Roman" w:cs="Times New Roman"/>
          <w:spacing w:val="-1"/>
          <w:sz w:val="24"/>
          <w:szCs w:val="24"/>
        </w:rPr>
        <w:t xml:space="preserve">[2010]7  </w:t>
      </w:r>
      <w:r>
        <w:rPr>
          <w:rFonts w:ascii="宋体" w:hAnsi="宋体" w:eastAsia="宋体" w:cs="宋体"/>
          <w:spacing w:val="-1"/>
          <w:sz w:val="24"/>
          <w:szCs w:val="24"/>
        </w:rPr>
        <w:t>号《地面交通噪声污染防治技术政策》，规定了从合理规</w:t>
      </w:r>
      <w:r>
        <w:rPr>
          <w:rFonts w:ascii="宋体" w:hAnsi="宋体" w:eastAsia="宋体" w:cs="宋体"/>
          <w:spacing w:val="14"/>
          <w:sz w:val="24"/>
          <w:szCs w:val="24"/>
        </w:rPr>
        <w:t xml:space="preserve"> </w:t>
      </w:r>
      <w:r>
        <w:rPr>
          <w:rFonts w:ascii="宋体" w:hAnsi="宋体" w:eastAsia="宋体" w:cs="宋体"/>
          <w:spacing w:val="-3"/>
          <w:sz w:val="24"/>
          <w:szCs w:val="24"/>
        </w:rPr>
        <w:t>划布局、噪声源控制、传声途径噪声削减、敏感建筑物噪声防护、加强交通噪声</w:t>
      </w:r>
      <w:r>
        <w:rPr>
          <w:rFonts w:ascii="宋体" w:hAnsi="宋体" w:eastAsia="宋体" w:cs="宋体"/>
          <w:sz w:val="24"/>
          <w:szCs w:val="24"/>
        </w:rPr>
        <w:t xml:space="preserve"> </w:t>
      </w:r>
      <w:r>
        <w:rPr>
          <w:rFonts w:ascii="宋体" w:hAnsi="宋体" w:eastAsia="宋体" w:cs="宋体"/>
          <w:spacing w:val="-6"/>
          <w:sz w:val="24"/>
          <w:szCs w:val="24"/>
        </w:rPr>
        <w:t>管理五个方面对交通噪声污染分别进行防治。根据交通噪声影响特</w:t>
      </w:r>
      <w:r>
        <w:rPr>
          <w:rFonts w:ascii="宋体" w:hAnsi="宋体" w:eastAsia="宋体" w:cs="宋体"/>
          <w:spacing w:val="-7"/>
          <w:sz w:val="24"/>
          <w:szCs w:val="24"/>
        </w:rPr>
        <w:t>点， 本次环评</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分别从以下五个方面提出针对性防治措施。</w:t>
      </w:r>
    </w:p>
    <w:p>
      <w:pPr>
        <w:spacing w:line="219" w:lineRule="auto"/>
        <w:rPr>
          <w:rFonts w:ascii="宋体" w:hAnsi="宋体" w:eastAsia="宋体" w:cs="宋体"/>
          <w:sz w:val="24"/>
          <w:szCs w:val="24"/>
        </w:rPr>
        <w:sectPr>
          <w:headerReference r:id="rId317" w:type="default"/>
          <w:footerReference r:id="rId318" w:type="default"/>
          <w:pgSz w:w="11907" w:h="16839"/>
          <w:pgMar w:top="1118" w:right="1740" w:bottom="1184" w:left="1771" w:header="879" w:footer="1024" w:gutter="0"/>
          <w:cols w:space="720" w:num="1"/>
        </w:sectPr>
      </w:pPr>
    </w:p>
    <w:p>
      <w:pPr>
        <w:pStyle w:val="2"/>
        <w:spacing w:line="241" w:lineRule="auto"/>
      </w:pPr>
    </w:p>
    <w:p>
      <w:pPr>
        <w:pStyle w:val="2"/>
        <w:spacing w:line="242" w:lineRule="auto"/>
      </w:pPr>
    </w:p>
    <w:p>
      <w:pPr>
        <w:spacing w:before="78" w:line="219" w:lineRule="auto"/>
        <w:ind w:left="5354"/>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本项目噪声污染总体措施</w:t>
      </w:r>
    </w:p>
    <w:p>
      <w:pPr>
        <w:spacing w:line="44" w:lineRule="exact"/>
      </w:pPr>
    </w:p>
    <w:tbl>
      <w:tblPr>
        <w:tblStyle w:val="5"/>
        <w:tblW w:w="140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1399"/>
        <w:gridCol w:w="6032"/>
        <w:gridCol w:w="1063"/>
        <w:gridCol w:w="47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47" w:type="dxa"/>
            <w:vAlign w:val="top"/>
          </w:tcPr>
          <w:p>
            <w:pPr>
              <w:pStyle w:val="6"/>
              <w:spacing w:before="34" w:line="238" w:lineRule="auto"/>
              <w:ind w:left="233"/>
            </w:pPr>
            <w:r>
              <w:rPr>
                <w:spacing w:val="-6"/>
              </w:rPr>
              <w:t>降噪</w:t>
            </w:r>
          </w:p>
          <w:p>
            <w:pPr>
              <w:pStyle w:val="6"/>
              <w:spacing w:line="209" w:lineRule="auto"/>
              <w:ind w:left="217"/>
            </w:pPr>
            <w:r>
              <w:rPr>
                <w:spacing w:val="-2"/>
              </w:rPr>
              <w:t>途径</w:t>
            </w:r>
          </w:p>
        </w:tc>
        <w:tc>
          <w:tcPr>
            <w:tcW w:w="1399" w:type="dxa"/>
            <w:vAlign w:val="top"/>
          </w:tcPr>
          <w:p>
            <w:pPr>
              <w:pStyle w:val="6"/>
              <w:spacing w:before="168" w:line="221" w:lineRule="auto"/>
              <w:ind w:left="298"/>
            </w:pPr>
            <w:r>
              <w:rPr>
                <w:spacing w:val="-6"/>
              </w:rPr>
              <w:t>降噪主题</w:t>
            </w:r>
          </w:p>
        </w:tc>
        <w:tc>
          <w:tcPr>
            <w:tcW w:w="6032" w:type="dxa"/>
            <w:vAlign w:val="top"/>
          </w:tcPr>
          <w:p>
            <w:pPr>
              <w:pStyle w:val="6"/>
              <w:spacing w:before="169" w:line="221" w:lineRule="auto"/>
              <w:ind w:left="2603"/>
            </w:pPr>
            <w:r>
              <w:rPr>
                <w:spacing w:val="-3"/>
              </w:rPr>
              <w:t>具体措施</w:t>
            </w:r>
          </w:p>
        </w:tc>
        <w:tc>
          <w:tcPr>
            <w:tcW w:w="1063" w:type="dxa"/>
            <w:vAlign w:val="top"/>
          </w:tcPr>
          <w:p>
            <w:pPr>
              <w:pStyle w:val="6"/>
              <w:spacing w:before="168" w:line="221" w:lineRule="auto"/>
              <w:ind w:left="117"/>
            </w:pPr>
            <w:r>
              <w:rPr>
                <w:spacing w:val="-2"/>
              </w:rPr>
              <w:t>执行单位</w:t>
            </w:r>
          </w:p>
        </w:tc>
        <w:tc>
          <w:tcPr>
            <w:tcW w:w="4725" w:type="dxa"/>
            <w:vAlign w:val="top"/>
          </w:tcPr>
          <w:p>
            <w:pPr>
              <w:pStyle w:val="6"/>
              <w:spacing w:before="168" w:line="220" w:lineRule="auto"/>
              <w:ind w:left="1527"/>
            </w:pPr>
            <w:r>
              <w:rPr>
                <w:spacing w:val="-1"/>
              </w:rPr>
              <w:t>本项目拟采取措施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3" w:hRule="atLeast"/>
        </w:trPr>
        <w:tc>
          <w:tcPr>
            <w:tcW w:w="84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29" w:lineRule="auto"/>
              <w:ind w:left="110" w:right="105" w:firstLine="1"/>
            </w:pPr>
            <w:r>
              <w:rPr>
                <w:spacing w:val="-2"/>
              </w:rPr>
              <w:t>合理规</w:t>
            </w:r>
            <w:r>
              <w:t xml:space="preserve"> </w:t>
            </w:r>
            <w:r>
              <w:rPr>
                <w:spacing w:val="-2"/>
              </w:rPr>
              <w:t>划布局</w:t>
            </w:r>
          </w:p>
        </w:tc>
        <w:tc>
          <w:tcPr>
            <w:tcW w:w="1399"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8" w:line="221" w:lineRule="auto"/>
              <w:ind w:left="73"/>
            </w:pPr>
            <w:r>
              <w:rPr>
                <w:spacing w:val="-1"/>
              </w:rPr>
              <w:t>城乡规划、交</w:t>
            </w:r>
          </w:p>
          <w:p>
            <w:pPr>
              <w:pStyle w:val="6"/>
              <w:spacing w:before="22" w:line="221" w:lineRule="auto"/>
              <w:ind w:left="73"/>
            </w:pPr>
            <w:r>
              <w:rPr>
                <w:spacing w:val="-1"/>
              </w:rPr>
              <w:t>通规划、临路</w:t>
            </w:r>
          </w:p>
          <w:p>
            <w:pPr>
              <w:pStyle w:val="6"/>
              <w:spacing w:before="20" w:line="221" w:lineRule="auto"/>
              <w:ind w:left="284"/>
            </w:pPr>
            <w:r>
              <w:rPr>
                <w:spacing w:val="-2"/>
              </w:rPr>
              <w:t>建筑规划</w:t>
            </w:r>
          </w:p>
        </w:tc>
        <w:tc>
          <w:tcPr>
            <w:tcW w:w="6032" w:type="dxa"/>
            <w:vAlign w:val="top"/>
          </w:tcPr>
          <w:p>
            <w:pPr>
              <w:pStyle w:val="6"/>
              <w:spacing w:before="31" w:line="233" w:lineRule="auto"/>
              <w:ind w:left="54" w:right="50" w:firstLine="6"/>
              <w:jc w:val="both"/>
            </w:pPr>
            <w:r>
              <w:rPr>
                <w:spacing w:val="1"/>
              </w:rPr>
              <w:t>（一）城乡规划宜考虑国家声环境质量标准要求，合理确定功能</w:t>
            </w:r>
            <w:r>
              <w:rPr>
                <w:spacing w:val="6"/>
              </w:rPr>
              <w:t xml:space="preserve"> </w:t>
            </w:r>
            <w:r>
              <w:rPr>
                <w:spacing w:val="-2"/>
              </w:rPr>
              <w:t>分区和建设布局， 处理好交通发展与环境保护的关</w:t>
            </w:r>
            <w:r>
              <w:rPr>
                <w:spacing w:val="-3"/>
              </w:rPr>
              <w:t>系，有效预防</w:t>
            </w:r>
            <w:r>
              <w:t xml:space="preserve"> </w:t>
            </w:r>
            <w:r>
              <w:rPr>
                <w:spacing w:val="-3"/>
              </w:rPr>
              <w:t>地面交通噪声污染。</w:t>
            </w:r>
          </w:p>
          <w:p>
            <w:pPr>
              <w:pStyle w:val="6"/>
              <w:spacing w:before="21" w:line="233" w:lineRule="auto"/>
              <w:ind w:left="56" w:right="50" w:firstLine="4"/>
              <w:jc w:val="both"/>
            </w:pPr>
            <w:r>
              <w:rPr>
                <w:spacing w:val="1"/>
              </w:rPr>
              <w:t>（二）交通规划应当符合城乡规划要求，与声环境保护规划相协</w:t>
            </w:r>
            <w:r>
              <w:rPr>
                <w:spacing w:val="6"/>
              </w:rPr>
              <w:t xml:space="preserve"> </w:t>
            </w:r>
            <w:r>
              <w:rPr>
                <w:spacing w:val="1"/>
              </w:rPr>
              <w:t>调，通过合理构建交通网络，提高交通效率，总体减轻地面交通</w:t>
            </w:r>
            <w:r>
              <w:rPr>
                <w:spacing w:val="11"/>
              </w:rPr>
              <w:t xml:space="preserve"> </w:t>
            </w:r>
            <w:r>
              <w:rPr>
                <w:spacing w:val="-2"/>
              </w:rPr>
              <w:t>噪声对周围环境的影响。</w:t>
            </w:r>
          </w:p>
          <w:p>
            <w:pPr>
              <w:pStyle w:val="6"/>
              <w:spacing w:before="21" w:line="233" w:lineRule="auto"/>
              <w:ind w:left="54" w:right="50" w:firstLine="6"/>
              <w:jc w:val="both"/>
            </w:pPr>
            <w:r>
              <w:rPr>
                <w:spacing w:val="1"/>
              </w:rPr>
              <w:t>（三）规划行政主管部门宜在有关规划文件中明确噪声敏感建筑</w:t>
            </w:r>
            <w:r>
              <w:rPr>
                <w:spacing w:val="6"/>
              </w:rPr>
              <w:t xml:space="preserve"> </w:t>
            </w:r>
            <w:r>
              <w:rPr>
                <w:spacing w:val="1"/>
              </w:rPr>
              <w:t>物与地面交通设施之间间隔一定的距离，避免其受到地面交通噪</w:t>
            </w:r>
            <w:r>
              <w:rPr>
                <w:spacing w:val="13"/>
              </w:rPr>
              <w:t xml:space="preserve"> </w:t>
            </w:r>
            <w:r>
              <w:rPr>
                <w:spacing w:val="-3"/>
              </w:rPr>
              <w:t>声的显著干扰。</w:t>
            </w:r>
          </w:p>
          <w:p>
            <w:pPr>
              <w:pStyle w:val="6"/>
              <w:spacing w:before="22" w:line="231" w:lineRule="auto"/>
              <w:ind w:left="53" w:right="44" w:firstLine="20"/>
              <w:jc w:val="both"/>
            </w:pPr>
            <w:r>
              <w:rPr>
                <w:spacing w:val="-3"/>
              </w:rPr>
              <w:t>四）</w:t>
            </w:r>
            <w:r>
              <w:rPr>
                <w:spacing w:val="-53"/>
              </w:rPr>
              <w:t xml:space="preserve"> </w:t>
            </w:r>
            <w:r>
              <w:rPr>
                <w:spacing w:val="-3"/>
              </w:rPr>
              <w:t>在</w:t>
            </w:r>
            <w:r>
              <w:rPr>
                <w:spacing w:val="-25"/>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5"/>
              </w:rPr>
              <w:t xml:space="preserve"> </w:t>
            </w:r>
            <w:r>
              <w:rPr>
                <w:spacing w:val="-3"/>
              </w:rPr>
              <w:t>类声环境功能区内宜进行绿化或作为交通服务</w:t>
            </w:r>
            <w:r>
              <w:rPr>
                <w:spacing w:val="-4"/>
              </w:rPr>
              <w:t>设施、仓</w:t>
            </w:r>
            <w:r>
              <w:t xml:space="preserve"> </w:t>
            </w:r>
            <w:r>
              <w:rPr>
                <w:spacing w:val="-1"/>
              </w:rPr>
              <w:t>储物流设施等非噪声敏感性应用。如</w:t>
            </w:r>
            <w:r>
              <w:rPr>
                <w:spacing w:val="-12"/>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35"/>
              </w:rPr>
              <w:t xml:space="preserve"> </w:t>
            </w:r>
            <w:r>
              <w:rPr>
                <w:spacing w:val="-1"/>
              </w:rPr>
              <w:t>类声环境功能区有噪声敏</w:t>
            </w:r>
            <w:r>
              <w:t xml:space="preserve"> </w:t>
            </w:r>
            <w:r>
              <w:rPr>
                <w:spacing w:val="1"/>
              </w:rPr>
              <w:t>感建筑物存在，宜采取声屏障、建筑物防护等有效的噪声污染防</w:t>
            </w:r>
            <w:r>
              <w:rPr>
                <w:spacing w:val="14"/>
              </w:rPr>
              <w:t xml:space="preserve"> </w:t>
            </w:r>
            <w:r>
              <w:rPr>
                <w:spacing w:val="-1"/>
              </w:rPr>
              <w:t>治措施进行保护，有条件的可进行搬迁或置换。</w:t>
            </w:r>
          </w:p>
        </w:tc>
        <w:tc>
          <w:tcPr>
            <w:tcW w:w="1063"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9" w:line="229" w:lineRule="auto"/>
              <w:ind w:left="59" w:right="47" w:hanging="2"/>
            </w:pPr>
            <w:r>
              <w:rPr>
                <w:spacing w:val="28"/>
              </w:rPr>
              <w:t>城市规划</w:t>
            </w:r>
            <w:r>
              <w:t xml:space="preserve"> </w:t>
            </w:r>
            <w:r>
              <w:rPr>
                <w:spacing w:val="-3"/>
              </w:rPr>
              <w:t>部门</w:t>
            </w:r>
          </w:p>
        </w:tc>
        <w:tc>
          <w:tcPr>
            <w:tcW w:w="4725"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8" w:line="236" w:lineRule="auto"/>
              <w:ind w:left="55" w:right="45" w:firstLine="1"/>
              <w:jc w:val="both"/>
            </w:pPr>
            <w:r>
              <w:rPr>
                <w:spacing w:val="-4"/>
              </w:rPr>
              <w:t>根据沿线城市总规和区域规划分析，</w:t>
            </w:r>
            <w:r>
              <w:rPr>
                <w:spacing w:val="-21"/>
              </w:rPr>
              <w:t xml:space="preserve"> </w:t>
            </w:r>
            <w:r>
              <w:rPr>
                <w:spacing w:val="-4"/>
              </w:rPr>
              <w:t>工程沿线共有</w:t>
            </w:r>
            <w:r>
              <w:t xml:space="preserve"> </w:t>
            </w:r>
            <w:r>
              <w:rPr>
                <w:spacing w:val="-1"/>
              </w:rPr>
              <w:t>规划居住用地等</w:t>
            </w:r>
            <w:r>
              <w:rPr>
                <w:spacing w:val="-32"/>
              </w:rPr>
              <w:t xml:space="preserve"> </w:t>
            </w:r>
            <w:r>
              <w:rPr>
                <w:rFonts w:ascii="Times New Roman" w:hAnsi="Times New Roman" w:eastAsia="Times New Roman" w:cs="Times New Roman"/>
                <w:spacing w:val="-1"/>
              </w:rPr>
              <w:t xml:space="preserve">6 </w:t>
            </w:r>
            <w:r>
              <w:rPr>
                <w:spacing w:val="-1"/>
              </w:rPr>
              <w:t>处，针对拟建规划用地，规划部</w:t>
            </w:r>
            <w:r>
              <w:t xml:space="preserve"> </w:t>
            </w:r>
            <w:r>
              <w:rPr>
                <w:spacing w:val="-8"/>
              </w:rPr>
              <w:t>门应及时采取调整规划、</w:t>
            </w:r>
            <w:r>
              <w:rPr>
                <w:spacing w:val="-28"/>
              </w:rPr>
              <w:t xml:space="preserve"> </w:t>
            </w:r>
            <w:r>
              <w:rPr>
                <w:spacing w:val="-8"/>
              </w:rPr>
              <w:t>建筑退让， 临路建筑功能</w:t>
            </w:r>
            <w:r>
              <w:t xml:space="preserve"> 置换、绿化等隔声降噪措施，确保居住区声</w:t>
            </w:r>
            <w:r>
              <w:rPr>
                <w:spacing w:val="-1"/>
              </w:rPr>
              <w:t>环境质</w:t>
            </w:r>
            <w:r>
              <w:t xml:space="preserve"> </w:t>
            </w:r>
            <w:r>
              <w:rPr>
                <w:spacing w:val="-1"/>
              </w:rPr>
              <w:t>量满足相应标准要求。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2" w:hRule="atLeast"/>
        </w:trPr>
        <w:tc>
          <w:tcPr>
            <w:tcW w:w="847"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68" w:line="231" w:lineRule="auto"/>
              <w:ind w:left="216" w:right="105" w:hanging="95"/>
            </w:pPr>
            <w:r>
              <w:rPr>
                <w:spacing w:val="-5"/>
              </w:rPr>
              <w:t>噪声源</w:t>
            </w:r>
            <w:r>
              <w:t xml:space="preserve"> </w:t>
            </w:r>
            <w:r>
              <w:rPr>
                <w:spacing w:val="-2"/>
              </w:rPr>
              <w:t>控制</w:t>
            </w:r>
          </w:p>
        </w:tc>
        <w:tc>
          <w:tcPr>
            <w:tcW w:w="1399"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8" w:line="221" w:lineRule="auto"/>
              <w:ind w:left="284"/>
            </w:pPr>
            <w:r>
              <w:rPr>
                <w:spacing w:val="-2"/>
              </w:rPr>
              <w:t>工程设计</w:t>
            </w:r>
          </w:p>
        </w:tc>
        <w:tc>
          <w:tcPr>
            <w:tcW w:w="6032"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8" w:line="229" w:lineRule="auto"/>
              <w:ind w:left="55" w:right="50"/>
            </w:pPr>
            <w:r>
              <w:rPr>
                <w:spacing w:val="1"/>
              </w:rPr>
              <w:t>鼓励对城市快速路在噪声敏感建筑物集中的路段采用低噪声路面</w:t>
            </w:r>
            <w:r>
              <w:rPr>
                <w:spacing w:val="11"/>
              </w:rPr>
              <w:t xml:space="preserve"> </w:t>
            </w:r>
            <w:r>
              <w:rPr>
                <w:spacing w:val="-1"/>
              </w:rPr>
              <w:t>技术和材料。</w:t>
            </w:r>
          </w:p>
        </w:tc>
        <w:tc>
          <w:tcPr>
            <w:tcW w:w="1063"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68" w:line="231" w:lineRule="auto"/>
              <w:ind w:left="58" w:right="47" w:hanging="2"/>
            </w:pPr>
            <w:r>
              <w:rPr>
                <w:spacing w:val="28"/>
              </w:rPr>
              <w:t>道路建设</w:t>
            </w:r>
            <w:r>
              <w:rPr>
                <w:spacing w:val="1"/>
              </w:rPr>
              <w:t xml:space="preserve"> </w:t>
            </w:r>
            <w:r>
              <w:rPr>
                <w:spacing w:val="-2"/>
              </w:rPr>
              <w:t>单位</w:t>
            </w:r>
          </w:p>
        </w:tc>
        <w:tc>
          <w:tcPr>
            <w:tcW w:w="4725" w:type="dxa"/>
            <w:vAlign w:val="top"/>
          </w:tcPr>
          <w:p>
            <w:pPr>
              <w:pStyle w:val="6"/>
              <w:spacing w:before="180" w:line="237" w:lineRule="auto"/>
              <w:ind w:left="55" w:firstLine="1"/>
              <w:jc w:val="both"/>
            </w:pPr>
            <w:r>
              <w:rPr>
                <w:spacing w:val="-2"/>
              </w:rPr>
              <w:t xml:space="preserve">根据《环境影响评价技术导则公路建设项目》编制 </w:t>
            </w:r>
            <w:r>
              <w:rPr>
                <w:spacing w:val="-4"/>
              </w:rPr>
              <w:t>说明（征求意见稿，</w:t>
            </w:r>
            <w:r>
              <w:rPr>
                <w:rFonts w:ascii="Times New Roman" w:hAnsi="Times New Roman" w:eastAsia="Times New Roman" w:cs="Times New Roman"/>
                <w:spacing w:val="-4"/>
              </w:rPr>
              <w:t xml:space="preserve">2019 </w:t>
            </w:r>
            <w:r>
              <w:rPr>
                <w:spacing w:val="-4"/>
              </w:rPr>
              <w:t>年</w:t>
            </w:r>
            <w:r>
              <w:rPr>
                <w:spacing w:val="-44"/>
              </w:rPr>
              <w:t xml:space="preserve"> </w:t>
            </w:r>
            <w:r>
              <w:rPr>
                <w:rFonts w:ascii="Times New Roman" w:hAnsi="Times New Roman" w:eastAsia="Times New Roman" w:cs="Times New Roman"/>
                <w:spacing w:val="-4"/>
              </w:rPr>
              <w:t>9</w:t>
            </w:r>
            <w:r>
              <w:rPr>
                <w:rFonts w:ascii="Times New Roman" w:hAnsi="Times New Roman" w:eastAsia="Times New Roman" w:cs="Times New Roman"/>
                <w:spacing w:val="13"/>
              </w:rPr>
              <w:t xml:space="preserve"> </w:t>
            </w:r>
            <w:r>
              <w:rPr>
                <w:spacing w:val="-4"/>
              </w:rPr>
              <w:t>月</w:t>
            </w:r>
            <w:r>
              <w:rPr>
                <w:spacing w:val="-10"/>
              </w:rPr>
              <w:t>），</w:t>
            </w:r>
            <w:r>
              <w:rPr>
                <w:spacing w:val="-4"/>
              </w:rPr>
              <w:t xml:space="preserve">低噪声路面有 </w:t>
            </w:r>
            <w:r>
              <w:rPr>
                <w:spacing w:val="-11"/>
              </w:rPr>
              <w:t>多孔性沥青路面（</w:t>
            </w:r>
            <w:r>
              <w:rPr>
                <w:rFonts w:ascii="Times New Roman" w:hAnsi="Times New Roman" w:eastAsia="Times New Roman" w:cs="Times New Roman"/>
                <w:spacing w:val="-11"/>
              </w:rPr>
              <w:t>PAC</w:t>
            </w:r>
            <w:r>
              <w:rPr>
                <w:spacing w:val="-11"/>
              </w:rPr>
              <w:t>）、橡胶沥青材料（</w:t>
            </w:r>
            <w:r>
              <w:rPr>
                <w:rFonts w:ascii="Times New Roman" w:hAnsi="Times New Roman" w:eastAsia="Times New Roman" w:cs="Times New Roman"/>
                <w:spacing w:val="-11"/>
              </w:rPr>
              <w:t>ARFC</w:t>
            </w:r>
            <w:r>
              <w:rPr>
                <w:spacing w:val="-11"/>
              </w:rPr>
              <w:t>）、</w:t>
            </w:r>
            <w:r>
              <w:rPr>
                <w:spacing w:val="2"/>
              </w:rPr>
              <w:t xml:space="preserve"> 多孔弹性路面（</w:t>
            </w:r>
            <w:r>
              <w:rPr>
                <w:rFonts w:ascii="Times New Roman" w:hAnsi="Times New Roman" w:eastAsia="Times New Roman" w:cs="Times New Roman"/>
              </w:rPr>
              <w:t>PERS</w:t>
            </w:r>
            <w:r>
              <w:rPr>
                <w:spacing w:val="2"/>
              </w:rPr>
              <w:t>）、沥青玛蹄脂（</w:t>
            </w:r>
            <w:r>
              <w:rPr>
                <w:rFonts w:ascii="Times New Roman" w:hAnsi="Times New Roman" w:eastAsia="Times New Roman" w:cs="Times New Roman"/>
              </w:rPr>
              <w:t>SMA</w:t>
            </w:r>
            <w:r>
              <w:rPr>
                <w:spacing w:val="2"/>
              </w:rPr>
              <w:t>）和</w:t>
            </w:r>
            <w:r>
              <w:rPr>
                <w:spacing w:val="4"/>
              </w:rPr>
              <w:t xml:space="preserve">  </w:t>
            </w:r>
            <w:r>
              <w:rPr>
                <w:spacing w:val="-5"/>
              </w:rPr>
              <w:t>薄层路面（</w:t>
            </w:r>
            <w:r>
              <w:rPr>
                <w:rFonts w:ascii="Times New Roman" w:hAnsi="Times New Roman" w:eastAsia="Times New Roman" w:cs="Times New Roman"/>
                <w:spacing w:val="-5"/>
              </w:rPr>
              <w:t>VTAC</w:t>
            </w:r>
            <w:r>
              <w:rPr>
                <w:spacing w:val="-32"/>
              </w:rPr>
              <w:t>），</w:t>
            </w:r>
            <w:r>
              <w:rPr>
                <w:spacing w:val="-22"/>
              </w:rPr>
              <w:t xml:space="preserve"> </w:t>
            </w:r>
            <w:r>
              <w:rPr>
                <w:spacing w:val="-5"/>
              </w:rPr>
              <w:t xml:space="preserve">本工程路面选用 </w:t>
            </w:r>
            <w:r>
              <w:rPr>
                <w:rFonts w:ascii="Times New Roman" w:hAnsi="Times New Roman" w:eastAsia="Times New Roman" w:cs="Times New Roman"/>
                <w:spacing w:val="-5"/>
              </w:rPr>
              <w:t>SMA-</w:t>
            </w:r>
            <w:r>
              <w:rPr>
                <w:rFonts w:ascii="Times New Roman" w:hAnsi="Times New Roman" w:eastAsia="Times New Roman" w:cs="Times New Roman"/>
                <w:spacing w:val="-29"/>
              </w:rPr>
              <w:t xml:space="preserve"> </w:t>
            </w:r>
            <w:r>
              <w:rPr>
                <w:rFonts w:ascii="Times New Roman" w:hAnsi="Times New Roman" w:eastAsia="Times New Roman" w:cs="Times New Roman"/>
                <w:spacing w:val="-5"/>
              </w:rPr>
              <w:t>13</w:t>
            </w:r>
            <w:r>
              <w:rPr>
                <w:rFonts w:ascii="Times New Roman" w:hAnsi="Times New Roman" w:eastAsia="Times New Roman" w:cs="Times New Roman"/>
                <w:spacing w:val="46"/>
                <w:w w:val="101"/>
              </w:rPr>
              <w:t xml:space="preserve"> </w:t>
            </w:r>
            <w:r>
              <w:rPr>
                <w:spacing w:val="-5"/>
              </w:rPr>
              <w:t xml:space="preserve">路 </w:t>
            </w:r>
            <w:r>
              <w:rPr>
                <w:spacing w:val="-8"/>
              </w:rPr>
              <w:t>面，属于低噪声路面中的一种，降噪量可达</w:t>
            </w:r>
            <w:r>
              <w:rPr>
                <w:spacing w:val="-11"/>
              </w:rPr>
              <w:t xml:space="preserve"> </w:t>
            </w:r>
            <w:r>
              <w:rPr>
                <w:rFonts w:ascii="Times New Roman" w:hAnsi="Times New Roman" w:eastAsia="Times New Roman" w:cs="Times New Roman"/>
                <w:spacing w:val="-8"/>
              </w:rPr>
              <w:t>1~2dB</w:t>
            </w:r>
            <w:r>
              <w:rPr>
                <w:spacing w:val="-8"/>
              </w:rPr>
              <w:t>，</w:t>
            </w:r>
            <w:r>
              <w:t xml:space="preserve"> </w:t>
            </w:r>
            <w:r>
              <w:rPr>
                <w:spacing w:val="-6"/>
              </w:rPr>
              <w:t>但本次评价按保守估算，</w:t>
            </w:r>
            <w:r>
              <w:rPr>
                <w:spacing w:val="-19"/>
              </w:rPr>
              <w:t xml:space="preserve"> </w:t>
            </w:r>
            <w:r>
              <w:rPr>
                <w:spacing w:val="-6"/>
              </w:rPr>
              <w:t>其降噪量按</w:t>
            </w:r>
            <w:r>
              <w:rPr>
                <w:spacing w:val="-45"/>
              </w:rPr>
              <w:t xml:space="preserve"> </w:t>
            </w:r>
            <w:r>
              <w:rPr>
                <w:rFonts w:ascii="Times New Roman" w:hAnsi="Times New Roman" w:eastAsia="Times New Roman" w:cs="Times New Roman"/>
                <w:spacing w:val="-6"/>
              </w:rPr>
              <w:t xml:space="preserve">0dB </w:t>
            </w:r>
            <w:r>
              <w:rPr>
                <w:spacing w:val="-6"/>
              </w:rPr>
              <w:t>考虑。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47" w:type="dxa"/>
            <w:vMerge w:val="continue"/>
            <w:tcBorders>
              <w:top w:val="nil"/>
            </w:tcBorders>
            <w:vAlign w:val="top"/>
          </w:tcPr>
          <w:p>
            <w:pPr>
              <w:rPr>
                <w:rFonts w:ascii="Arial"/>
                <w:sz w:val="21"/>
              </w:rPr>
            </w:pPr>
          </w:p>
        </w:tc>
        <w:tc>
          <w:tcPr>
            <w:tcW w:w="1399" w:type="dxa"/>
            <w:vMerge w:val="continue"/>
            <w:tcBorders>
              <w:top w:val="nil"/>
            </w:tcBorders>
            <w:vAlign w:val="top"/>
          </w:tcPr>
          <w:p>
            <w:pPr>
              <w:rPr>
                <w:rFonts w:ascii="Arial"/>
                <w:sz w:val="21"/>
              </w:rPr>
            </w:pPr>
          </w:p>
        </w:tc>
        <w:tc>
          <w:tcPr>
            <w:tcW w:w="6032" w:type="dxa"/>
            <w:vAlign w:val="top"/>
          </w:tcPr>
          <w:p>
            <w:pPr>
              <w:pStyle w:val="6"/>
              <w:spacing w:before="33" w:line="206" w:lineRule="auto"/>
              <w:ind w:left="54"/>
            </w:pPr>
            <w:r>
              <w:t>环保降噪型伸缩装置，减缓车辆行驶在接缝处引起的瞬</w:t>
            </w:r>
            <w:r>
              <w:rPr>
                <w:spacing w:val="-1"/>
              </w:rPr>
              <w:t>时噪声</w:t>
            </w:r>
          </w:p>
        </w:tc>
        <w:tc>
          <w:tcPr>
            <w:tcW w:w="1063" w:type="dxa"/>
            <w:vMerge w:val="continue"/>
            <w:tcBorders>
              <w:top w:val="nil"/>
            </w:tcBorders>
            <w:vAlign w:val="top"/>
          </w:tcPr>
          <w:p>
            <w:pPr>
              <w:rPr>
                <w:rFonts w:ascii="Arial"/>
                <w:sz w:val="21"/>
              </w:rPr>
            </w:pPr>
          </w:p>
        </w:tc>
        <w:tc>
          <w:tcPr>
            <w:tcW w:w="4725" w:type="dxa"/>
            <w:vAlign w:val="top"/>
          </w:tcPr>
          <w:p>
            <w:pPr>
              <w:pStyle w:val="6"/>
              <w:spacing w:before="33" w:line="206" w:lineRule="auto"/>
              <w:ind w:left="57"/>
            </w:pPr>
            <w:r>
              <w:rPr>
                <w:spacing w:val="-1"/>
              </w:rPr>
              <w:t>全线桥梁梁板之间设置环保降噪型伸缩缝。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847" w:type="dxa"/>
            <w:vMerge w:val="restart"/>
            <w:tcBorders>
              <w:bottom w:val="nil"/>
            </w:tcBorders>
            <w:vAlign w:val="top"/>
          </w:tcPr>
          <w:p>
            <w:pPr>
              <w:spacing w:line="375" w:lineRule="auto"/>
              <w:rPr>
                <w:rFonts w:ascii="Arial"/>
                <w:sz w:val="21"/>
              </w:rPr>
            </w:pPr>
          </w:p>
          <w:p>
            <w:pPr>
              <w:pStyle w:val="6"/>
              <w:spacing w:before="69" w:line="220" w:lineRule="auto"/>
              <w:ind w:left="109"/>
            </w:pPr>
            <w:r>
              <w:rPr>
                <w:spacing w:val="-1"/>
              </w:rPr>
              <w:t>传声途</w:t>
            </w:r>
          </w:p>
          <w:p>
            <w:pPr>
              <w:pStyle w:val="6"/>
              <w:spacing w:before="23" w:line="221" w:lineRule="auto"/>
              <w:ind w:left="111"/>
            </w:pPr>
            <w:r>
              <w:rPr>
                <w:spacing w:val="-2"/>
              </w:rPr>
              <w:t>径噪声</w:t>
            </w:r>
          </w:p>
          <w:p>
            <w:pPr>
              <w:pStyle w:val="6"/>
              <w:spacing w:before="20" w:line="222" w:lineRule="auto"/>
              <w:ind w:left="230"/>
            </w:pPr>
            <w:r>
              <w:rPr>
                <w:spacing w:val="-5"/>
              </w:rPr>
              <w:t>削减</w:t>
            </w:r>
          </w:p>
        </w:tc>
        <w:tc>
          <w:tcPr>
            <w:tcW w:w="1399" w:type="dxa"/>
            <w:vAlign w:val="top"/>
          </w:tcPr>
          <w:p>
            <w:pPr>
              <w:pStyle w:val="6"/>
              <w:spacing w:before="304" w:line="221" w:lineRule="auto"/>
              <w:ind w:left="85"/>
            </w:pPr>
            <w:r>
              <w:rPr>
                <w:spacing w:val="-3"/>
              </w:rPr>
              <w:t>隔声降噪措施</w:t>
            </w:r>
          </w:p>
        </w:tc>
        <w:tc>
          <w:tcPr>
            <w:tcW w:w="6032" w:type="dxa"/>
            <w:vAlign w:val="top"/>
          </w:tcPr>
          <w:p>
            <w:pPr>
              <w:pStyle w:val="6"/>
              <w:spacing w:before="35" w:line="227" w:lineRule="auto"/>
              <w:ind w:left="54" w:right="50"/>
              <w:jc w:val="both"/>
            </w:pPr>
            <w:r>
              <w:rPr>
                <w:spacing w:val="1"/>
              </w:rPr>
              <w:t>地面交通设施的建设或运行造成环境噪声污染，应考虑设置声屏</w:t>
            </w:r>
            <w:r>
              <w:rPr>
                <w:spacing w:val="13"/>
              </w:rPr>
              <w:t xml:space="preserve"> </w:t>
            </w:r>
            <w:r>
              <w:rPr>
                <w:spacing w:val="1"/>
              </w:rPr>
              <w:t>障对噪声敏感建筑物进行重点保护。道路或轨道两侧为高层噪声</w:t>
            </w:r>
            <w:r>
              <w:rPr>
                <w:spacing w:val="12"/>
              </w:rPr>
              <w:t xml:space="preserve"> </w:t>
            </w:r>
            <w:r>
              <w:rPr>
                <w:spacing w:val="-4"/>
              </w:rPr>
              <w:t>敏感建筑物时，</w:t>
            </w:r>
            <w:r>
              <w:rPr>
                <w:spacing w:val="-18"/>
              </w:rPr>
              <w:t xml:space="preserve"> </w:t>
            </w:r>
            <w:r>
              <w:rPr>
                <w:spacing w:val="-4"/>
              </w:rPr>
              <w:t>条件许可，可进行线路全封闭处理。</w:t>
            </w:r>
          </w:p>
        </w:tc>
        <w:tc>
          <w:tcPr>
            <w:tcW w:w="1063" w:type="dxa"/>
            <w:vAlign w:val="top"/>
          </w:tcPr>
          <w:p>
            <w:pPr>
              <w:pStyle w:val="6"/>
              <w:spacing w:before="170" w:line="230" w:lineRule="auto"/>
              <w:ind w:left="58" w:right="47" w:hanging="2"/>
            </w:pPr>
            <w:r>
              <w:rPr>
                <w:spacing w:val="28"/>
              </w:rPr>
              <w:t>道路建设</w:t>
            </w:r>
            <w:r>
              <w:rPr>
                <w:spacing w:val="1"/>
              </w:rPr>
              <w:t xml:space="preserve"> </w:t>
            </w:r>
            <w:r>
              <w:rPr>
                <w:spacing w:val="-2"/>
              </w:rPr>
              <w:t>单位</w:t>
            </w:r>
          </w:p>
        </w:tc>
        <w:tc>
          <w:tcPr>
            <w:tcW w:w="4725" w:type="dxa"/>
            <w:vAlign w:val="top"/>
          </w:tcPr>
          <w:p>
            <w:pPr>
              <w:pStyle w:val="6"/>
              <w:spacing w:before="171" w:line="229" w:lineRule="auto"/>
              <w:ind w:left="61" w:right="45" w:hanging="5"/>
            </w:pPr>
            <w:r>
              <w:rPr>
                <w:spacing w:val="-5"/>
              </w:rPr>
              <w:t>对已经建成敏感建筑进行保护， 本项目拟优先采用</w:t>
            </w:r>
            <w:r>
              <w:rPr>
                <w:spacing w:val="7"/>
              </w:rPr>
              <w:t xml:space="preserve"> </w:t>
            </w:r>
            <w:r>
              <w:rPr>
                <w:spacing w:val="-1"/>
              </w:rPr>
              <w:t>声屏障，以降低噪声影响。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847" w:type="dxa"/>
            <w:vMerge w:val="continue"/>
            <w:tcBorders>
              <w:top w:val="nil"/>
            </w:tcBorders>
            <w:vAlign w:val="top"/>
          </w:tcPr>
          <w:p>
            <w:pPr>
              <w:rPr>
                <w:rFonts w:ascii="Arial"/>
                <w:sz w:val="21"/>
              </w:rPr>
            </w:pPr>
          </w:p>
        </w:tc>
        <w:tc>
          <w:tcPr>
            <w:tcW w:w="1399" w:type="dxa"/>
            <w:vAlign w:val="top"/>
          </w:tcPr>
          <w:p>
            <w:pPr>
              <w:pStyle w:val="6"/>
              <w:spacing w:before="170" w:line="231" w:lineRule="auto"/>
              <w:ind w:left="388" w:right="66" w:hanging="315"/>
            </w:pPr>
            <w:r>
              <w:rPr>
                <w:spacing w:val="-1"/>
              </w:rPr>
              <w:t>地物地貌、绿</w:t>
            </w:r>
            <w:r>
              <w:t xml:space="preserve"> </w:t>
            </w:r>
            <w:r>
              <w:rPr>
                <w:spacing w:val="-2"/>
              </w:rPr>
              <w:t>化隔声</w:t>
            </w:r>
          </w:p>
        </w:tc>
        <w:tc>
          <w:tcPr>
            <w:tcW w:w="6032" w:type="dxa"/>
            <w:vAlign w:val="top"/>
          </w:tcPr>
          <w:p>
            <w:pPr>
              <w:pStyle w:val="6"/>
              <w:spacing w:before="307" w:line="221" w:lineRule="auto"/>
              <w:ind w:left="56"/>
            </w:pPr>
            <w:r>
              <w:rPr>
                <w:spacing w:val="-1"/>
              </w:rPr>
              <w:t>绿化带，与地面交通设施同步建设</w:t>
            </w:r>
          </w:p>
        </w:tc>
        <w:tc>
          <w:tcPr>
            <w:tcW w:w="1063" w:type="dxa"/>
            <w:vAlign w:val="top"/>
          </w:tcPr>
          <w:p>
            <w:pPr>
              <w:pStyle w:val="6"/>
              <w:spacing w:before="170" w:line="231" w:lineRule="auto"/>
              <w:ind w:left="58" w:right="47" w:hanging="2"/>
            </w:pPr>
            <w:r>
              <w:rPr>
                <w:spacing w:val="28"/>
              </w:rPr>
              <w:t>道路建设</w:t>
            </w:r>
            <w:r>
              <w:rPr>
                <w:spacing w:val="1"/>
              </w:rPr>
              <w:t xml:space="preserve"> </w:t>
            </w:r>
            <w:r>
              <w:rPr>
                <w:spacing w:val="-2"/>
              </w:rPr>
              <w:t>单位</w:t>
            </w:r>
          </w:p>
        </w:tc>
        <w:tc>
          <w:tcPr>
            <w:tcW w:w="4725" w:type="dxa"/>
            <w:vAlign w:val="top"/>
          </w:tcPr>
          <w:p>
            <w:pPr>
              <w:pStyle w:val="6"/>
              <w:spacing w:before="35" w:line="229" w:lineRule="auto"/>
              <w:ind w:left="56" w:right="64" w:firstLine="1"/>
            </w:pPr>
            <w:r>
              <w:rPr>
                <w:spacing w:val="-3"/>
              </w:rPr>
              <w:t>本项目公路两侧采用绿化带的形式进行降噪吸尘，</w:t>
            </w:r>
            <w:r>
              <w:rPr>
                <w:spacing w:val="13"/>
              </w:rPr>
              <w:t xml:space="preserve"> </w:t>
            </w:r>
            <w:r>
              <w:rPr>
                <w:spacing w:val="33"/>
              </w:rPr>
              <w:t>绿化带单位宽度的平均衰减系数</w:t>
            </w:r>
            <w:r>
              <w:rPr>
                <w:spacing w:val="-38"/>
              </w:rPr>
              <w:t xml:space="preserve"> </w:t>
            </w:r>
            <w:r>
              <w:rPr>
                <w:spacing w:val="33"/>
              </w:rPr>
              <w:t>为</w:t>
            </w:r>
            <w:r>
              <w:rPr>
                <w:spacing w:val="57"/>
              </w:rPr>
              <w:t xml:space="preserve"> </w:t>
            </w:r>
            <w:r>
              <w:rPr>
                <w:rFonts w:ascii="Times New Roman" w:hAnsi="Times New Roman" w:eastAsia="Times New Roman" w:cs="Times New Roman"/>
                <w:spacing w:val="33"/>
              </w:rPr>
              <w:t xml:space="preserve">0.12 </w:t>
            </w:r>
            <w:r>
              <w:rPr>
                <w:spacing w:val="33"/>
              </w:rPr>
              <w:t>~</w:t>
            </w:r>
            <w:r>
              <w:t xml:space="preserve"> </w:t>
            </w:r>
            <w:r>
              <w:rPr>
                <w:rFonts w:ascii="Times New Roman" w:hAnsi="Times New Roman" w:eastAsia="Times New Roman" w:cs="Times New Roman"/>
                <w:spacing w:val="-1"/>
              </w:rPr>
              <w:t>0.18dB/m</w:t>
            </w:r>
            <w:r>
              <w:rPr>
                <w:spacing w:val="-1"/>
              </w:rPr>
              <w:t>。</w:t>
            </w:r>
          </w:p>
        </w:tc>
      </w:tr>
    </w:tbl>
    <w:p>
      <w:pPr>
        <w:pStyle w:val="2"/>
      </w:pPr>
    </w:p>
    <w:p>
      <w:pPr>
        <w:sectPr>
          <w:headerReference r:id="rId319" w:type="default"/>
          <w:footerReference r:id="rId320" w:type="default"/>
          <w:pgSz w:w="16839" w:h="11907"/>
          <w:pgMar w:top="1118" w:right="1382" w:bottom="1184" w:left="1384" w:header="879" w:footer="1024" w:gutter="0"/>
          <w:cols w:space="720" w:num="1"/>
        </w:sectPr>
      </w:pPr>
    </w:p>
    <w:p>
      <w:pPr>
        <w:spacing w:before="159"/>
      </w:pPr>
    </w:p>
    <w:tbl>
      <w:tblPr>
        <w:tblStyle w:val="5"/>
        <w:tblW w:w="140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1399"/>
        <w:gridCol w:w="6032"/>
        <w:gridCol w:w="1063"/>
        <w:gridCol w:w="47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47" w:type="dxa"/>
            <w:vMerge w:val="restart"/>
            <w:tcBorders>
              <w:bottom w:val="nil"/>
            </w:tcBorders>
            <w:vAlign w:val="top"/>
          </w:tcPr>
          <w:p>
            <w:pPr>
              <w:spacing w:line="378" w:lineRule="auto"/>
              <w:rPr>
                <w:rFonts w:ascii="Arial"/>
                <w:sz w:val="21"/>
              </w:rPr>
            </w:pPr>
          </w:p>
          <w:p>
            <w:pPr>
              <w:pStyle w:val="6"/>
              <w:spacing w:before="68" w:line="233" w:lineRule="auto"/>
              <w:ind w:left="112" w:right="105"/>
              <w:jc w:val="both"/>
            </w:pPr>
            <w:r>
              <w:rPr>
                <w:spacing w:val="-2"/>
              </w:rPr>
              <w:t>敏感建</w:t>
            </w:r>
            <w:r>
              <w:t xml:space="preserve"> </w:t>
            </w:r>
            <w:r>
              <w:rPr>
                <w:spacing w:val="-3"/>
              </w:rPr>
              <w:t>筑物噪</w:t>
            </w:r>
            <w:r>
              <w:rPr>
                <w:spacing w:val="1"/>
              </w:rPr>
              <w:t xml:space="preserve"> </w:t>
            </w:r>
            <w:r>
              <w:rPr>
                <w:spacing w:val="-3"/>
              </w:rPr>
              <w:t>声防护</w:t>
            </w:r>
          </w:p>
        </w:tc>
        <w:tc>
          <w:tcPr>
            <w:tcW w:w="1399" w:type="dxa"/>
            <w:vAlign w:val="top"/>
          </w:tcPr>
          <w:p>
            <w:pPr>
              <w:pStyle w:val="6"/>
              <w:spacing w:before="34" w:line="209" w:lineRule="auto"/>
              <w:ind w:left="75"/>
            </w:pPr>
            <w:r>
              <w:rPr>
                <w:spacing w:val="-2"/>
              </w:rPr>
              <w:t>建筑隔声设计</w:t>
            </w:r>
          </w:p>
        </w:tc>
        <w:tc>
          <w:tcPr>
            <w:tcW w:w="6032" w:type="dxa"/>
            <w:vAlign w:val="top"/>
          </w:tcPr>
          <w:p>
            <w:pPr>
              <w:pStyle w:val="6"/>
              <w:spacing w:before="34" w:line="209" w:lineRule="auto"/>
              <w:ind w:left="53"/>
            </w:pPr>
            <w:r>
              <w:t>对噪声建筑物进行建筑隔声设计，以使室内声环境质量符合</w:t>
            </w:r>
            <w:r>
              <w:rPr>
                <w:spacing w:val="-1"/>
              </w:rPr>
              <w:t>规范</w:t>
            </w:r>
          </w:p>
        </w:tc>
        <w:tc>
          <w:tcPr>
            <w:tcW w:w="1063" w:type="dxa"/>
            <w:vMerge w:val="restart"/>
            <w:tcBorders>
              <w:bottom w:val="nil"/>
            </w:tcBorders>
            <w:vAlign w:val="top"/>
          </w:tcPr>
          <w:p>
            <w:pPr>
              <w:pStyle w:val="6"/>
              <w:spacing w:before="35" w:line="231" w:lineRule="auto"/>
              <w:ind w:left="58" w:right="47" w:hanging="2"/>
              <w:jc w:val="both"/>
            </w:pPr>
            <w:r>
              <w:rPr>
                <w:spacing w:val="28"/>
              </w:rPr>
              <w:t>住宅开发</w:t>
            </w:r>
            <w:r>
              <w:rPr>
                <w:spacing w:val="1"/>
              </w:rPr>
              <w:t xml:space="preserve"> </w:t>
            </w:r>
            <w:r>
              <w:rPr>
                <w:spacing w:val="27"/>
              </w:rPr>
              <w:t>单位委托</w:t>
            </w:r>
            <w:r>
              <w:rPr>
                <w:spacing w:val="2"/>
              </w:rPr>
              <w:t xml:space="preserve"> </w:t>
            </w:r>
            <w:r>
              <w:rPr>
                <w:spacing w:val="27"/>
              </w:rPr>
              <w:t>建筑设计</w:t>
            </w:r>
            <w:r>
              <w:rPr>
                <w:spacing w:val="2"/>
              </w:rPr>
              <w:t xml:space="preserve"> </w:t>
            </w:r>
            <w:r>
              <w:rPr>
                <w:spacing w:val="-2"/>
              </w:rPr>
              <w:t>单位执行</w:t>
            </w:r>
          </w:p>
        </w:tc>
        <w:tc>
          <w:tcPr>
            <w:tcW w:w="4725" w:type="dxa"/>
            <w:vMerge w:val="restart"/>
            <w:tcBorders>
              <w:bottom w:val="nil"/>
            </w:tcBorders>
            <w:vAlign w:val="top"/>
          </w:tcPr>
          <w:p>
            <w:pPr>
              <w:pStyle w:val="6"/>
              <w:spacing w:before="309" w:line="229" w:lineRule="auto"/>
              <w:ind w:left="59" w:right="48" w:hanging="1"/>
            </w:pPr>
            <w:r>
              <w:rPr>
                <w:spacing w:val="-13"/>
              </w:rPr>
              <w:t>规划敏感建筑建设，按照《建筑环境通用规范》（</w:t>
            </w:r>
            <w:r>
              <w:rPr>
                <w:rFonts w:ascii="Times New Roman" w:hAnsi="Times New Roman" w:eastAsia="Times New Roman" w:cs="Times New Roman"/>
                <w:spacing w:val="-13"/>
              </w:rPr>
              <w:t>GB</w:t>
            </w:r>
            <w:r>
              <w:rPr>
                <w:rFonts w:ascii="Times New Roman" w:hAnsi="Times New Roman" w:eastAsia="Times New Roman" w:cs="Times New Roman"/>
                <w:spacing w:val="12"/>
              </w:rPr>
              <w:t xml:space="preserve"> </w:t>
            </w:r>
            <w:r>
              <w:rPr>
                <w:rFonts w:ascii="Times New Roman" w:hAnsi="Times New Roman" w:eastAsia="Times New Roman" w:cs="Times New Roman"/>
                <w:spacing w:val="-1"/>
              </w:rPr>
              <w:t>55016-2021</w:t>
            </w:r>
            <w:r>
              <w:rPr>
                <w:spacing w:val="-1"/>
              </w:rPr>
              <w:t>）等要求进行防护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847" w:type="dxa"/>
            <w:vMerge w:val="continue"/>
            <w:tcBorders>
              <w:top w:val="nil"/>
              <w:bottom w:val="nil"/>
            </w:tcBorders>
            <w:vAlign w:val="top"/>
          </w:tcPr>
          <w:p>
            <w:pPr>
              <w:rPr>
                <w:rFonts w:ascii="Arial"/>
                <w:sz w:val="21"/>
              </w:rPr>
            </w:pPr>
          </w:p>
        </w:tc>
        <w:tc>
          <w:tcPr>
            <w:tcW w:w="1399" w:type="dxa"/>
            <w:vAlign w:val="top"/>
          </w:tcPr>
          <w:p>
            <w:pPr>
              <w:pStyle w:val="6"/>
              <w:spacing w:before="296" w:line="220" w:lineRule="auto"/>
              <w:ind w:left="74"/>
            </w:pPr>
            <w:r>
              <w:rPr>
                <w:spacing w:val="-1"/>
              </w:rPr>
              <w:t>合理房间布局</w:t>
            </w:r>
          </w:p>
        </w:tc>
        <w:tc>
          <w:tcPr>
            <w:tcW w:w="6032" w:type="dxa"/>
            <w:vAlign w:val="top"/>
          </w:tcPr>
          <w:p>
            <w:pPr>
              <w:pStyle w:val="6"/>
              <w:spacing w:before="159" w:line="231" w:lineRule="auto"/>
              <w:ind w:left="57" w:right="50" w:hanging="1"/>
            </w:pPr>
            <w:r>
              <w:rPr>
                <w:spacing w:val="1"/>
              </w:rPr>
              <w:t>建筑设计合理安排房间使用功能（如居民住宅在面向道路设计为</w:t>
            </w:r>
            <w:r>
              <w:rPr>
                <w:spacing w:val="10"/>
              </w:rPr>
              <w:t xml:space="preserve"> </w:t>
            </w:r>
            <w:r>
              <w:rPr>
                <w:spacing w:val="-2"/>
              </w:rPr>
              <w:t>厨房、卫生间等非居住用房）</w:t>
            </w:r>
          </w:p>
        </w:tc>
        <w:tc>
          <w:tcPr>
            <w:tcW w:w="1063" w:type="dxa"/>
            <w:vMerge w:val="continue"/>
            <w:tcBorders>
              <w:top w:val="nil"/>
            </w:tcBorders>
            <w:vAlign w:val="top"/>
          </w:tcPr>
          <w:p>
            <w:pPr>
              <w:rPr>
                <w:rFonts w:ascii="Arial"/>
                <w:sz w:val="21"/>
              </w:rPr>
            </w:pPr>
          </w:p>
        </w:tc>
        <w:tc>
          <w:tcPr>
            <w:tcW w:w="472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47" w:type="dxa"/>
            <w:vMerge w:val="continue"/>
            <w:tcBorders>
              <w:top w:val="nil"/>
            </w:tcBorders>
            <w:vAlign w:val="top"/>
          </w:tcPr>
          <w:p>
            <w:pPr>
              <w:rPr>
                <w:rFonts w:ascii="Arial"/>
                <w:sz w:val="21"/>
              </w:rPr>
            </w:pPr>
          </w:p>
        </w:tc>
        <w:tc>
          <w:tcPr>
            <w:tcW w:w="1399" w:type="dxa"/>
            <w:vAlign w:val="top"/>
          </w:tcPr>
          <w:p>
            <w:pPr>
              <w:pStyle w:val="6"/>
              <w:spacing w:before="31" w:line="223" w:lineRule="auto"/>
              <w:ind w:left="391" w:right="66" w:hanging="316"/>
            </w:pPr>
            <w:r>
              <w:rPr>
                <w:spacing w:val="-2"/>
              </w:rPr>
              <w:t>建筑物被动防</w:t>
            </w:r>
            <w:r>
              <w:rPr>
                <w:spacing w:val="2"/>
              </w:rPr>
              <w:t xml:space="preserve"> </w:t>
            </w:r>
            <w:r>
              <w:rPr>
                <w:spacing w:val="-3"/>
              </w:rPr>
              <w:t>治措施</w:t>
            </w:r>
          </w:p>
        </w:tc>
        <w:tc>
          <w:tcPr>
            <w:tcW w:w="6032" w:type="dxa"/>
            <w:vAlign w:val="top"/>
          </w:tcPr>
          <w:p>
            <w:pPr>
              <w:pStyle w:val="6"/>
              <w:spacing w:before="168" w:line="221" w:lineRule="auto"/>
              <w:ind w:left="66"/>
            </w:pPr>
            <w:r>
              <w:rPr>
                <w:spacing w:val="-4"/>
              </w:rPr>
              <w:t>隔声窗</w:t>
            </w:r>
          </w:p>
        </w:tc>
        <w:tc>
          <w:tcPr>
            <w:tcW w:w="1063" w:type="dxa"/>
            <w:vAlign w:val="top"/>
          </w:tcPr>
          <w:p>
            <w:pPr>
              <w:pStyle w:val="6"/>
              <w:spacing w:before="168" w:line="221" w:lineRule="auto"/>
              <w:ind w:left="59"/>
            </w:pPr>
            <w:r>
              <w:rPr>
                <w:spacing w:val="-2"/>
              </w:rPr>
              <w:t>建设单位</w:t>
            </w:r>
          </w:p>
        </w:tc>
        <w:tc>
          <w:tcPr>
            <w:tcW w:w="4725" w:type="dxa"/>
            <w:vAlign w:val="top"/>
          </w:tcPr>
          <w:p>
            <w:pPr>
              <w:pStyle w:val="6"/>
              <w:spacing w:before="168" w:line="220" w:lineRule="auto"/>
              <w:ind w:left="81"/>
            </w:pPr>
            <w:r>
              <w:rPr>
                <w:spacing w:val="-6"/>
              </w:rPr>
              <w:t>以室内达标为原则，</w:t>
            </w:r>
            <w:r>
              <w:rPr>
                <w:spacing w:val="-13"/>
              </w:rPr>
              <w:t xml:space="preserve"> </w:t>
            </w:r>
            <w:r>
              <w:rPr>
                <w:spacing w:val="-6"/>
              </w:rPr>
              <w:t>作为本项目补充降噪措施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47" w:type="dxa"/>
            <w:vMerge w:val="restart"/>
            <w:tcBorders>
              <w:bottom w:val="nil"/>
            </w:tcBorders>
            <w:vAlign w:val="top"/>
          </w:tcPr>
          <w:p>
            <w:pPr>
              <w:spacing w:line="255" w:lineRule="auto"/>
              <w:rPr>
                <w:rFonts w:ascii="Arial"/>
                <w:sz w:val="21"/>
              </w:rPr>
            </w:pPr>
          </w:p>
          <w:p>
            <w:pPr>
              <w:spacing w:line="255" w:lineRule="auto"/>
              <w:rPr>
                <w:rFonts w:ascii="Arial"/>
                <w:sz w:val="21"/>
              </w:rPr>
            </w:pPr>
          </w:p>
          <w:p>
            <w:pPr>
              <w:pStyle w:val="6"/>
              <w:spacing w:before="69" w:line="222" w:lineRule="auto"/>
              <w:ind w:left="111"/>
            </w:pPr>
            <w:r>
              <w:rPr>
                <w:spacing w:val="-2"/>
              </w:rPr>
              <w:t>加强交</w:t>
            </w:r>
          </w:p>
          <w:p>
            <w:pPr>
              <w:pStyle w:val="6"/>
              <w:spacing w:before="21" w:line="221" w:lineRule="auto"/>
              <w:ind w:left="111"/>
            </w:pPr>
            <w:r>
              <w:rPr>
                <w:spacing w:val="-2"/>
              </w:rPr>
              <w:t>通噪声</w:t>
            </w:r>
          </w:p>
          <w:p>
            <w:pPr>
              <w:pStyle w:val="6"/>
              <w:spacing w:before="18" w:line="221" w:lineRule="auto"/>
              <w:ind w:left="222"/>
            </w:pPr>
            <w:r>
              <w:rPr>
                <w:spacing w:val="-3"/>
              </w:rPr>
              <w:t>管理</w:t>
            </w:r>
          </w:p>
        </w:tc>
        <w:tc>
          <w:tcPr>
            <w:tcW w:w="1399" w:type="dxa"/>
            <w:vAlign w:val="top"/>
          </w:tcPr>
          <w:p>
            <w:pPr>
              <w:pStyle w:val="6"/>
              <w:spacing w:before="305" w:line="221" w:lineRule="auto"/>
              <w:ind w:left="287"/>
            </w:pPr>
            <w:r>
              <w:rPr>
                <w:spacing w:val="-3"/>
              </w:rPr>
              <w:t>管理方面</w:t>
            </w:r>
          </w:p>
        </w:tc>
        <w:tc>
          <w:tcPr>
            <w:tcW w:w="6032" w:type="dxa"/>
            <w:vAlign w:val="top"/>
          </w:tcPr>
          <w:p>
            <w:pPr>
              <w:pStyle w:val="6"/>
              <w:spacing w:before="305" w:line="221" w:lineRule="auto"/>
              <w:ind w:left="69"/>
            </w:pPr>
            <w:r>
              <w:rPr>
                <w:spacing w:val="-2"/>
              </w:rPr>
              <w:t>限鸣、限行、限速、合理控制交通参数</w:t>
            </w:r>
          </w:p>
        </w:tc>
        <w:tc>
          <w:tcPr>
            <w:tcW w:w="1063" w:type="dxa"/>
            <w:vAlign w:val="top"/>
          </w:tcPr>
          <w:p>
            <w:pPr>
              <w:pStyle w:val="6"/>
              <w:spacing w:before="170" w:line="229" w:lineRule="auto"/>
              <w:ind w:left="59" w:right="47" w:firstLine="1"/>
            </w:pPr>
            <w:r>
              <w:rPr>
                <w:spacing w:val="27"/>
              </w:rPr>
              <w:t>交通管理</w:t>
            </w:r>
            <w:r>
              <w:t xml:space="preserve"> </w:t>
            </w:r>
            <w:r>
              <w:rPr>
                <w:spacing w:val="-3"/>
              </w:rPr>
              <w:t>部门</w:t>
            </w:r>
          </w:p>
        </w:tc>
        <w:tc>
          <w:tcPr>
            <w:tcW w:w="4725" w:type="dxa"/>
            <w:vAlign w:val="top"/>
          </w:tcPr>
          <w:p>
            <w:pPr>
              <w:pStyle w:val="6"/>
              <w:spacing w:before="30" w:line="229" w:lineRule="auto"/>
              <w:ind w:left="58" w:right="45"/>
              <w:jc w:val="both"/>
            </w:pPr>
            <w:r>
              <w:rPr>
                <w:spacing w:val="-1"/>
              </w:rPr>
              <w:t>连接线设置禁鸣标志；也可根据公路实际运行产生</w:t>
            </w:r>
            <w:r>
              <w:rPr>
                <w:spacing w:val="17"/>
              </w:rPr>
              <w:t xml:space="preserve"> </w:t>
            </w:r>
            <w:r>
              <w:rPr>
                <w:spacing w:val="-1"/>
              </w:rPr>
              <w:t>的噪声情况，由交通管理部门实施限行、限速的要</w:t>
            </w:r>
            <w:r>
              <w:rPr>
                <w:spacing w:val="16"/>
              </w:rPr>
              <w:t xml:space="preserve"> </w:t>
            </w:r>
            <w:r>
              <w:rPr>
                <w:spacing w:val="-10"/>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847" w:type="dxa"/>
            <w:vMerge w:val="continue"/>
            <w:tcBorders>
              <w:top w:val="nil"/>
            </w:tcBorders>
            <w:vAlign w:val="top"/>
          </w:tcPr>
          <w:p>
            <w:pPr>
              <w:rPr>
                <w:rFonts w:ascii="Arial"/>
                <w:sz w:val="21"/>
              </w:rPr>
            </w:pPr>
          </w:p>
        </w:tc>
        <w:tc>
          <w:tcPr>
            <w:tcW w:w="1399" w:type="dxa"/>
            <w:vAlign w:val="top"/>
          </w:tcPr>
          <w:p>
            <w:pPr>
              <w:spacing w:line="370" w:lineRule="auto"/>
              <w:rPr>
                <w:rFonts w:ascii="Arial"/>
                <w:sz w:val="21"/>
              </w:rPr>
            </w:pPr>
          </w:p>
          <w:p>
            <w:pPr>
              <w:pStyle w:val="6"/>
              <w:spacing w:before="68" w:line="221" w:lineRule="auto"/>
              <w:ind w:left="281"/>
            </w:pPr>
            <w:r>
              <w:rPr>
                <w:spacing w:val="-1"/>
              </w:rPr>
              <w:t>道路维护</w:t>
            </w:r>
          </w:p>
        </w:tc>
        <w:tc>
          <w:tcPr>
            <w:tcW w:w="6032" w:type="dxa"/>
            <w:vAlign w:val="top"/>
          </w:tcPr>
          <w:p>
            <w:pPr>
              <w:spacing w:line="370" w:lineRule="auto"/>
              <w:rPr>
                <w:rFonts w:ascii="Arial"/>
                <w:sz w:val="21"/>
              </w:rPr>
            </w:pPr>
          </w:p>
          <w:p>
            <w:pPr>
              <w:pStyle w:val="6"/>
              <w:spacing w:before="68" w:line="221" w:lineRule="auto"/>
              <w:ind w:left="56"/>
            </w:pPr>
            <w:r>
              <w:rPr>
                <w:spacing w:val="-1"/>
              </w:rPr>
              <w:t>经常维护、提高路面平整度</w:t>
            </w:r>
          </w:p>
        </w:tc>
        <w:tc>
          <w:tcPr>
            <w:tcW w:w="1063" w:type="dxa"/>
            <w:vAlign w:val="top"/>
          </w:tcPr>
          <w:p>
            <w:pPr>
              <w:spacing w:line="370" w:lineRule="auto"/>
              <w:rPr>
                <w:rFonts w:ascii="Arial"/>
                <w:sz w:val="21"/>
              </w:rPr>
            </w:pPr>
          </w:p>
          <w:p>
            <w:pPr>
              <w:pStyle w:val="6"/>
              <w:spacing w:before="68" w:line="221" w:lineRule="auto"/>
              <w:ind w:left="58"/>
            </w:pPr>
            <w:r>
              <w:rPr>
                <w:spacing w:val="-2"/>
              </w:rPr>
              <w:t>路政部门</w:t>
            </w:r>
          </w:p>
        </w:tc>
        <w:tc>
          <w:tcPr>
            <w:tcW w:w="4725" w:type="dxa"/>
            <w:vAlign w:val="top"/>
          </w:tcPr>
          <w:p>
            <w:pPr>
              <w:pStyle w:val="6"/>
              <w:spacing w:before="34" w:line="229" w:lineRule="auto"/>
              <w:ind w:left="58" w:right="56" w:firstLine="14"/>
            </w:pPr>
            <w:r>
              <w:rPr>
                <w:rFonts w:ascii="Times New Roman" w:hAnsi="Times New Roman" w:eastAsia="Times New Roman" w:cs="Times New Roman"/>
                <w:spacing w:val="-10"/>
              </w:rPr>
              <w:t>1</w:t>
            </w:r>
            <w:r>
              <w:rPr>
                <w:spacing w:val="-10"/>
              </w:rPr>
              <w:t>、应定期对路面进行高压清洗，</w:t>
            </w:r>
            <w:r>
              <w:rPr>
                <w:spacing w:val="-11"/>
              </w:rPr>
              <w:t xml:space="preserve"> </w:t>
            </w:r>
            <w:r>
              <w:rPr>
                <w:spacing w:val="-10"/>
              </w:rPr>
              <w:t>以避免孔隙被灰尘</w:t>
            </w:r>
            <w:r>
              <w:t xml:space="preserve"> </w:t>
            </w:r>
            <w:r>
              <w:rPr>
                <w:spacing w:val="-1"/>
              </w:rPr>
              <w:t>泥土堵塞而降低减噪效果。</w:t>
            </w:r>
          </w:p>
          <w:p>
            <w:pPr>
              <w:pStyle w:val="6"/>
              <w:spacing w:before="21" w:line="224" w:lineRule="auto"/>
              <w:ind w:left="55" w:right="58" w:hanging="2"/>
            </w:pPr>
            <w:r>
              <w:rPr>
                <w:rFonts w:ascii="Times New Roman" w:hAnsi="Times New Roman" w:eastAsia="Times New Roman" w:cs="Times New Roman"/>
                <w:spacing w:val="-8"/>
              </w:rPr>
              <w:t>2</w:t>
            </w:r>
            <w:r>
              <w:rPr>
                <w:spacing w:val="-8"/>
              </w:rPr>
              <w:t>、对道路进行经常性维护，提高路面平整度，</w:t>
            </w:r>
            <w:r>
              <w:rPr>
                <w:spacing w:val="-39"/>
              </w:rPr>
              <w:t xml:space="preserve"> </w:t>
            </w:r>
            <w:r>
              <w:rPr>
                <w:spacing w:val="-8"/>
              </w:rPr>
              <w:t>可降</w:t>
            </w:r>
            <w:r>
              <w:t xml:space="preserve"> </w:t>
            </w:r>
            <w:r>
              <w:rPr>
                <w:spacing w:val="-1"/>
              </w:rPr>
              <w:t>低轮胎路面噪声和车体振动噪声。</w:t>
            </w:r>
          </w:p>
        </w:tc>
      </w:tr>
    </w:tbl>
    <w:p>
      <w:pPr>
        <w:pStyle w:val="2"/>
      </w:pPr>
    </w:p>
    <w:p>
      <w:pPr>
        <w:sectPr>
          <w:footerReference r:id="rId321" w:type="default"/>
          <w:pgSz w:w="16839" w:h="11907"/>
          <w:pgMar w:top="1118" w:right="1382" w:bottom="1184" w:left="1384" w:header="879" w:footer="1024" w:gutter="0"/>
          <w:cols w:space="720" w:num="1"/>
        </w:sectPr>
      </w:pPr>
    </w:p>
    <w:p>
      <w:pPr>
        <w:pStyle w:val="2"/>
        <w:spacing w:line="256" w:lineRule="auto"/>
      </w:pPr>
    </w:p>
    <w:p>
      <w:pPr>
        <w:spacing w:before="78" w:line="219" w:lineRule="auto"/>
        <w:ind w:left="536"/>
        <w:rPr>
          <w:rFonts w:ascii="宋体" w:hAnsi="宋体" w:eastAsia="宋体" w:cs="宋体"/>
          <w:sz w:val="24"/>
          <w:szCs w:val="24"/>
        </w:rPr>
      </w:pPr>
      <w:r>
        <w:rPr>
          <w:rFonts w:ascii="Times New Roman" w:hAnsi="Times New Roman" w:eastAsia="Times New Roman" w:cs="Times New Roman"/>
          <w:spacing w:val="-8"/>
          <w:sz w:val="24"/>
          <w:szCs w:val="24"/>
        </w:rPr>
        <w:t>1</w:t>
      </w:r>
      <w:r>
        <w:rPr>
          <w:rFonts w:ascii="宋体" w:hAnsi="宋体" w:eastAsia="宋体" w:cs="宋体"/>
          <w:spacing w:val="-8"/>
          <w:sz w:val="24"/>
          <w:szCs w:val="24"/>
        </w:rPr>
        <w:t>、规划布局</w:t>
      </w:r>
    </w:p>
    <w:p>
      <w:pPr>
        <w:spacing w:before="181" w:line="359" w:lineRule="auto"/>
        <w:ind w:left="41" w:right="103" w:firstLine="484"/>
        <w:rPr>
          <w:rFonts w:ascii="宋体" w:hAnsi="宋体" w:eastAsia="宋体" w:cs="宋体"/>
          <w:sz w:val="24"/>
          <w:szCs w:val="24"/>
        </w:rPr>
      </w:pPr>
      <w:r>
        <w:rPr>
          <w:rFonts w:ascii="宋体" w:hAnsi="宋体" w:eastAsia="宋体" w:cs="宋体"/>
          <w:spacing w:val="-11"/>
          <w:sz w:val="24"/>
          <w:szCs w:val="24"/>
        </w:rPr>
        <w:t>公路沿线居民住房重建时，</w:t>
      </w:r>
      <w:r>
        <w:rPr>
          <w:rFonts w:ascii="宋体" w:hAnsi="宋体" w:eastAsia="宋体" w:cs="宋体"/>
          <w:spacing w:val="52"/>
          <w:sz w:val="24"/>
          <w:szCs w:val="24"/>
        </w:rPr>
        <w:t xml:space="preserve"> </w:t>
      </w:r>
      <w:r>
        <w:rPr>
          <w:rFonts w:ascii="宋体" w:hAnsi="宋体" w:eastAsia="宋体" w:cs="宋体"/>
          <w:spacing w:val="-11"/>
          <w:sz w:val="24"/>
          <w:szCs w:val="24"/>
        </w:rPr>
        <w:t>各级政府批复务必指明需远离公路，</w:t>
      </w:r>
      <w:r>
        <w:rPr>
          <w:rFonts w:ascii="宋体" w:hAnsi="宋体" w:eastAsia="宋体" w:cs="宋体"/>
          <w:spacing w:val="38"/>
          <w:sz w:val="24"/>
          <w:szCs w:val="24"/>
        </w:rPr>
        <w:t xml:space="preserve"> </w:t>
      </w:r>
      <w:r>
        <w:rPr>
          <w:rFonts w:ascii="宋体" w:hAnsi="宋体" w:eastAsia="宋体" w:cs="宋体"/>
          <w:spacing w:val="-11"/>
          <w:sz w:val="24"/>
          <w:szCs w:val="24"/>
        </w:rPr>
        <w:t>在进行农村居住区</w:t>
      </w:r>
      <w:r>
        <w:rPr>
          <w:rFonts w:ascii="宋体" w:hAnsi="宋体" w:eastAsia="宋体" w:cs="宋体"/>
          <w:sz w:val="24"/>
          <w:szCs w:val="24"/>
        </w:rPr>
        <w:t xml:space="preserve"> </w:t>
      </w:r>
      <w:r>
        <w:rPr>
          <w:rFonts w:ascii="宋体" w:hAnsi="宋体" w:eastAsia="宋体" w:cs="宋体"/>
          <w:spacing w:val="-5"/>
          <w:sz w:val="24"/>
          <w:szCs w:val="24"/>
        </w:rPr>
        <w:t>或者城镇居住用地的规划时， 应根据不同路段两侧空旷情况下不同声环境功能区噪声达</w:t>
      </w:r>
    </w:p>
    <w:p>
      <w:pPr>
        <w:spacing w:line="219" w:lineRule="auto"/>
        <w:ind w:left="39"/>
        <w:rPr>
          <w:rFonts w:ascii="宋体" w:hAnsi="宋体" w:eastAsia="宋体" w:cs="宋体"/>
          <w:sz w:val="24"/>
          <w:szCs w:val="24"/>
        </w:rPr>
      </w:pPr>
      <w:r>
        <w:rPr>
          <w:rFonts w:ascii="宋体" w:hAnsi="宋体" w:eastAsia="宋体" w:cs="宋体"/>
          <w:spacing w:val="-2"/>
          <w:sz w:val="24"/>
          <w:szCs w:val="24"/>
        </w:rPr>
        <w:t>标距离预测结果，并结合当地的地形条件进行合理规划。</w:t>
      </w:r>
    </w:p>
    <w:p>
      <w:pPr>
        <w:spacing w:before="183" w:line="359" w:lineRule="auto"/>
        <w:ind w:left="40" w:right="90" w:firstLine="477"/>
        <w:rPr>
          <w:rFonts w:ascii="宋体" w:hAnsi="宋体" w:eastAsia="宋体" w:cs="宋体"/>
          <w:sz w:val="24"/>
          <w:szCs w:val="24"/>
        </w:rPr>
      </w:pPr>
      <w:r>
        <w:rPr>
          <w:rFonts w:ascii="宋体" w:hAnsi="宋体" w:eastAsia="宋体" w:cs="宋体"/>
          <w:spacing w:val="-6"/>
          <w:sz w:val="24"/>
          <w:szCs w:val="24"/>
        </w:rPr>
        <w:t>对于公路沿线未建的规划建筑，</w:t>
      </w:r>
      <w:r>
        <w:rPr>
          <w:rFonts w:ascii="宋体" w:hAnsi="宋体" w:eastAsia="宋体" w:cs="宋体"/>
          <w:spacing w:val="48"/>
          <w:sz w:val="24"/>
          <w:szCs w:val="24"/>
        </w:rPr>
        <w:t xml:space="preserve"> </w:t>
      </w:r>
      <w:r>
        <w:rPr>
          <w:rFonts w:ascii="宋体" w:hAnsi="宋体" w:eastAsia="宋体" w:cs="宋体"/>
          <w:spacing w:val="-6"/>
          <w:sz w:val="24"/>
          <w:szCs w:val="24"/>
        </w:rPr>
        <w:t>按照《中华人民共和国</w:t>
      </w:r>
      <w:r>
        <w:rPr>
          <w:rFonts w:ascii="宋体" w:hAnsi="宋体" w:eastAsia="宋体" w:cs="宋体"/>
          <w:spacing w:val="-7"/>
          <w:sz w:val="24"/>
          <w:szCs w:val="24"/>
        </w:rPr>
        <w:t>环境噪声污染防治法》第十</w:t>
      </w:r>
      <w:r>
        <w:rPr>
          <w:rFonts w:ascii="宋体" w:hAnsi="宋体" w:eastAsia="宋体" w:cs="宋体"/>
          <w:sz w:val="24"/>
          <w:szCs w:val="24"/>
        </w:rPr>
        <w:t xml:space="preserve"> </w:t>
      </w:r>
      <w:r>
        <w:rPr>
          <w:rFonts w:ascii="宋体" w:hAnsi="宋体" w:eastAsia="宋体" w:cs="宋体"/>
          <w:spacing w:val="1"/>
          <w:sz w:val="24"/>
          <w:szCs w:val="24"/>
        </w:rPr>
        <w:t>六条和《地面交通噪声污染防治技术政策》（环发</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2010]7  </w:t>
      </w:r>
      <w:r>
        <w:rPr>
          <w:rFonts w:ascii="宋体" w:hAnsi="宋体" w:eastAsia="宋体" w:cs="宋体"/>
          <w:sz w:val="24"/>
          <w:szCs w:val="24"/>
        </w:rPr>
        <w:t>号</w:t>
      </w:r>
      <w:r>
        <w:rPr>
          <w:rFonts w:ascii="宋体" w:hAnsi="宋体" w:eastAsia="宋体" w:cs="宋体"/>
          <w:spacing w:val="-3"/>
          <w:sz w:val="24"/>
          <w:szCs w:val="24"/>
        </w:rPr>
        <w:t>），</w:t>
      </w:r>
      <w:r>
        <w:rPr>
          <w:rFonts w:ascii="宋体" w:hAnsi="宋体" w:eastAsia="宋体" w:cs="宋体"/>
          <w:sz w:val="24"/>
          <w:szCs w:val="24"/>
        </w:rPr>
        <w:t xml:space="preserve">城市规划部门在确定 </w:t>
      </w:r>
      <w:r>
        <w:rPr>
          <w:rFonts w:ascii="宋体" w:hAnsi="宋体" w:eastAsia="宋体" w:cs="宋体"/>
          <w:spacing w:val="-9"/>
          <w:sz w:val="24"/>
          <w:szCs w:val="24"/>
        </w:rPr>
        <w:t>建设布局时，</w:t>
      </w:r>
      <w:r>
        <w:rPr>
          <w:rFonts w:ascii="宋体" w:hAnsi="宋体" w:eastAsia="宋体" w:cs="宋体"/>
          <w:spacing w:val="50"/>
          <w:sz w:val="24"/>
          <w:szCs w:val="24"/>
        </w:rPr>
        <w:t xml:space="preserve"> </w:t>
      </w:r>
      <w:r>
        <w:rPr>
          <w:rFonts w:ascii="宋体" w:hAnsi="宋体" w:eastAsia="宋体" w:cs="宋体"/>
          <w:spacing w:val="-9"/>
          <w:sz w:val="24"/>
          <w:szCs w:val="24"/>
        </w:rPr>
        <w:t>应当依据国家声环境质量标准和《建筑环境通用规范》， 合理划定建筑物</w:t>
      </w:r>
      <w:r>
        <w:rPr>
          <w:rFonts w:ascii="宋体" w:hAnsi="宋体" w:eastAsia="宋体" w:cs="宋体"/>
          <w:sz w:val="24"/>
          <w:szCs w:val="24"/>
        </w:rPr>
        <w:t xml:space="preserve"> </w:t>
      </w:r>
      <w:r>
        <w:rPr>
          <w:rFonts w:ascii="宋体" w:hAnsi="宋体" w:eastAsia="宋体" w:cs="宋体"/>
          <w:spacing w:val="-1"/>
          <w:sz w:val="24"/>
          <w:szCs w:val="24"/>
        </w:rPr>
        <w:t>与交通干线的防噪声距离；建设单位应当按照国家规定间隔一定</w:t>
      </w:r>
      <w:r>
        <w:rPr>
          <w:rFonts w:ascii="宋体" w:hAnsi="宋体" w:eastAsia="宋体" w:cs="宋体"/>
          <w:spacing w:val="-2"/>
          <w:sz w:val="24"/>
          <w:szCs w:val="24"/>
        </w:rPr>
        <w:t>的距离，并采取减轻、</w:t>
      </w:r>
    </w:p>
    <w:p>
      <w:pPr>
        <w:spacing w:line="220" w:lineRule="auto"/>
        <w:ind w:left="36"/>
        <w:rPr>
          <w:rFonts w:ascii="宋体" w:hAnsi="宋体" w:eastAsia="宋体" w:cs="宋体"/>
          <w:sz w:val="24"/>
          <w:szCs w:val="24"/>
        </w:rPr>
      </w:pPr>
      <w:r>
        <w:rPr>
          <w:rFonts w:ascii="宋体" w:hAnsi="宋体" w:eastAsia="宋体" w:cs="宋体"/>
          <w:spacing w:val="-4"/>
          <w:sz w:val="24"/>
          <w:szCs w:val="24"/>
        </w:rPr>
        <w:t>避免交通噪声影响的措施。</w:t>
      </w:r>
    </w:p>
    <w:p>
      <w:pPr>
        <w:spacing w:before="181" w:line="359" w:lineRule="auto"/>
        <w:ind w:left="37" w:right="39" w:firstLine="480"/>
        <w:rPr>
          <w:rFonts w:ascii="宋体" w:hAnsi="宋体" w:eastAsia="宋体" w:cs="宋体"/>
          <w:sz w:val="24"/>
          <w:szCs w:val="24"/>
        </w:rPr>
      </w:pPr>
      <w:r>
        <w:rPr>
          <w:rFonts w:ascii="宋体" w:hAnsi="宋体" w:eastAsia="宋体" w:cs="宋体"/>
          <w:spacing w:val="-6"/>
          <w:sz w:val="24"/>
          <w:szCs w:val="24"/>
        </w:rPr>
        <w:t>在沿线地区制定乡镇行政村等涉及到的规划时，</w:t>
      </w:r>
      <w:r>
        <w:rPr>
          <w:rFonts w:ascii="宋体" w:hAnsi="宋体" w:eastAsia="宋体" w:cs="宋体"/>
          <w:spacing w:val="39"/>
          <w:sz w:val="24"/>
          <w:szCs w:val="24"/>
        </w:rPr>
        <w:t xml:space="preserve"> </w:t>
      </w:r>
      <w:r>
        <w:rPr>
          <w:rFonts w:ascii="宋体" w:hAnsi="宋体" w:eastAsia="宋体" w:cs="宋体"/>
          <w:spacing w:val="-6"/>
          <w:sz w:val="24"/>
          <w:szCs w:val="24"/>
        </w:rPr>
        <w:t>应预留一定的防护距离。特别在规</w:t>
      </w:r>
      <w:r>
        <w:rPr>
          <w:rFonts w:ascii="宋体" w:hAnsi="宋体" w:eastAsia="宋体" w:cs="宋体"/>
          <w:sz w:val="24"/>
          <w:szCs w:val="24"/>
        </w:rPr>
        <w:t xml:space="preserve"> </w:t>
      </w:r>
      <w:r>
        <w:rPr>
          <w:rFonts w:ascii="宋体" w:hAnsi="宋体" w:eastAsia="宋体" w:cs="宋体"/>
          <w:spacing w:val="-5"/>
          <w:sz w:val="24"/>
          <w:szCs w:val="24"/>
        </w:rPr>
        <w:t>划的居住用地及特殊敏感点建设用地路段， 新建敏感建筑选址时应考虑在距本道路中心</w:t>
      </w:r>
      <w:r>
        <w:rPr>
          <w:rFonts w:ascii="宋体" w:hAnsi="宋体" w:eastAsia="宋体" w:cs="宋体"/>
          <w:spacing w:val="15"/>
          <w:sz w:val="24"/>
          <w:szCs w:val="24"/>
        </w:rPr>
        <w:t xml:space="preserve"> </w:t>
      </w:r>
      <w:r>
        <w:rPr>
          <w:rFonts w:ascii="宋体" w:hAnsi="宋体" w:eastAsia="宋体" w:cs="宋体"/>
          <w:spacing w:val="5"/>
          <w:sz w:val="24"/>
          <w:szCs w:val="24"/>
        </w:rPr>
        <w:t>线以外的噪声达标的区域进行；在未采取有效隔声降</w:t>
      </w:r>
      <w:r>
        <w:rPr>
          <w:rFonts w:ascii="宋体" w:hAnsi="宋体" w:eastAsia="宋体" w:cs="宋体"/>
          <w:spacing w:val="4"/>
          <w:sz w:val="24"/>
          <w:szCs w:val="24"/>
        </w:rPr>
        <w:t>噪措施情况下工程主线中心线外</w:t>
      </w:r>
      <w:r>
        <w:rPr>
          <w:rFonts w:ascii="宋体" w:hAnsi="宋体" w:eastAsia="宋体" w:cs="宋体"/>
          <w:sz w:val="24"/>
          <w:szCs w:val="24"/>
        </w:rPr>
        <w:t xml:space="preserve"> </w:t>
      </w:r>
      <w:r>
        <w:rPr>
          <w:rFonts w:ascii="Times New Roman" w:hAnsi="Times New Roman" w:eastAsia="Times New Roman" w:cs="Times New Roman"/>
          <w:spacing w:val="-6"/>
          <w:sz w:val="24"/>
          <w:szCs w:val="24"/>
        </w:rPr>
        <w:t>55m</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范围内第一排不宜建设居民住宅等敏感建筑以及</w:t>
      </w:r>
      <w:r>
        <w:rPr>
          <w:rFonts w:ascii="宋体" w:hAnsi="宋体" w:eastAsia="宋体" w:cs="宋体"/>
          <w:spacing w:val="-7"/>
          <w:sz w:val="24"/>
          <w:szCs w:val="24"/>
        </w:rPr>
        <w:t>学校、幼儿园、医院等特殊敏感点，</w:t>
      </w:r>
      <w:r>
        <w:rPr>
          <w:rFonts w:ascii="宋体" w:hAnsi="宋体" w:eastAsia="宋体" w:cs="宋体"/>
          <w:sz w:val="24"/>
          <w:szCs w:val="24"/>
        </w:rPr>
        <w:t xml:space="preserve"> </w:t>
      </w:r>
      <w:r>
        <w:rPr>
          <w:rFonts w:ascii="宋体" w:hAnsi="宋体" w:eastAsia="宋体" w:cs="宋体"/>
          <w:spacing w:val="-5"/>
          <w:sz w:val="24"/>
          <w:szCs w:val="24"/>
        </w:rPr>
        <w:t>如果必须在此区域修建声环境敏感建筑物， 其建设或业主单位应自行解决建筑物防噪问</w:t>
      </w:r>
    </w:p>
    <w:p>
      <w:pPr>
        <w:spacing w:before="1" w:line="221" w:lineRule="auto"/>
        <w:ind w:left="38"/>
        <w:rPr>
          <w:rFonts w:ascii="宋体" w:hAnsi="宋体" w:eastAsia="宋体" w:cs="宋体"/>
          <w:sz w:val="24"/>
          <w:szCs w:val="24"/>
        </w:rPr>
      </w:pPr>
      <w:r>
        <w:rPr>
          <w:rFonts w:ascii="宋体" w:hAnsi="宋体" w:eastAsia="宋体" w:cs="宋体"/>
          <w:spacing w:val="-12"/>
          <w:sz w:val="24"/>
          <w:szCs w:val="24"/>
        </w:rPr>
        <w:t>题。</w:t>
      </w:r>
    </w:p>
    <w:p>
      <w:pPr>
        <w:spacing w:before="181" w:line="359" w:lineRule="auto"/>
        <w:ind w:left="39" w:right="36" w:firstLine="486"/>
        <w:rPr>
          <w:rFonts w:ascii="宋体" w:hAnsi="宋体" w:eastAsia="宋体" w:cs="宋体"/>
          <w:sz w:val="24"/>
          <w:szCs w:val="24"/>
        </w:rPr>
      </w:pPr>
      <w:r>
        <w:rPr>
          <w:rFonts w:ascii="宋体" w:hAnsi="宋体" w:eastAsia="宋体" w:cs="宋体"/>
          <w:spacing w:val="-5"/>
          <w:sz w:val="24"/>
          <w:szCs w:val="24"/>
        </w:rPr>
        <w:t>公路两侧新建的声环境保护目标， 其噪声污染防治责任归于该声环境保护</w:t>
      </w:r>
      <w:r>
        <w:rPr>
          <w:rFonts w:ascii="宋体" w:hAnsi="宋体" w:eastAsia="宋体" w:cs="宋体"/>
          <w:spacing w:val="-6"/>
          <w:sz w:val="24"/>
          <w:szCs w:val="24"/>
        </w:rPr>
        <w:t>目标的建</w:t>
      </w:r>
      <w:r>
        <w:rPr>
          <w:rFonts w:ascii="宋体" w:hAnsi="宋体" w:eastAsia="宋体" w:cs="宋体"/>
          <w:sz w:val="24"/>
          <w:szCs w:val="24"/>
        </w:rPr>
        <w:t xml:space="preserve"> </w:t>
      </w:r>
      <w:r>
        <w:rPr>
          <w:rFonts w:ascii="宋体" w:hAnsi="宋体" w:eastAsia="宋体" w:cs="宋体"/>
          <w:spacing w:val="-9"/>
          <w:sz w:val="24"/>
          <w:szCs w:val="24"/>
        </w:rPr>
        <w:t>设单位。规划声环境保护目标实施隔声降噪措施， 由规划声环境保护目标实施单位负责，</w:t>
      </w:r>
      <w:r>
        <w:rPr>
          <w:rFonts w:ascii="宋体" w:hAnsi="宋体" w:eastAsia="宋体" w:cs="宋体"/>
          <w:spacing w:val="7"/>
          <w:sz w:val="24"/>
          <w:szCs w:val="24"/>
        </w:rPr>
        <w:t xml:space="preserve"> </w:t>
      </w:r>
      <w:r>
        <w:rPr>
          <w:rFonts w:ascii="宋体" w:hAnsi="宋体" w:eastAsia="宋体" w:cs="宋体"/>
          <w:spacing w:val="-15"/>
          <w:sz w:val="24"/>
          <w:szCs w:val="24"/>
        </w:rPr>
        <w:t>如与公路运营管理单位协商，</w:t>
      </w:r>
      <w:r>
        <w:rPr>
          <w:rFonts w:ascii="宋体" w:hAnsi="宋体" w:eastAsia="宋体" w:cs="宋体"/>
          <w:spacing w:val="50"/>
          <w:sz w:val="24"/>
          <w:szCs w:val="24"/>
        </w:rPr>
        <w:t xml:space="preserve"> </w:t>
      </w:r>
      <w:r>
        <w:rPr>
          <w:rFonts w:ascii="宋体" w:hAnsi="宋体" w:eastAsia="宋体" w:cs="宋体"/>
          <w:spacing w:val="-15"/>
          <w:sz w:val="24"/>
          <w:szCs w:val="24"/>
        </w:rPr>
        <w:t>增设隔声屏障等；</w:t>
      </w:r>
      <w:r>
        <w:rPr>
          <w:rFonts w:ascii="宋体" w:hAnsi="宋体" w:eastAsia="宋体" w:cs="宋体"/>
          <w:spacing w:val="50"/>
          <w:sz w:val="24"/>
          <w:szCs w:val="24"/>
        </w:rPr>
        <w:t xml:space="preserve"> </w:t>
      </w:r>
      <w:r>
        <w:rPr>
          <w:rFonts w:ascii="宋体" w:hAnsi="宋体" w:eastAsia="宋体" w:cs="宋体"/>
          <w:spacing w:val="-15"/>
          <w:sz w:val="24"/>
          <w:szCs w:val="24"/>
        </w:rPr>
        <w:t>靠近公路可多设置绿化，</w:t>
      </w:r>
      <w:r>
        <w:rPr>
          <w:rFonts w:ascii="宋体" w:hAnsi="宋体" w:eastAsia="宋体" w:cs="宋体"/>
          <w:spacing w:val="48"/>
          <w:sz w:val="24"/>
          <w:szCs w:val="24"/>
        </w:rPr>
        <w:t xml:space="preserve"> </w:t>
      </w:r>
      <w:r>
        <w:rPr>
          <w:rFonts w:ascii="宋体" w:hAnsi="宋体" w:eastAsia="宋体" w:cs="宋体"/>
          <w:spacing w:val="-15"/>
          <w:sz w:val="24"/>
          <w:szCs w:val="24"/>
        </w:rPr>
        <w:t>可尽量将不太</w:t>
      </w:r>
      <w:r>
        <w:rPr>
          <w:rFonts w:ascii="宋体" w:hAnsi="宋体" w:eastAsia="宋体" w:cs="宋体"/>
          <w:sz w:val="24"/>
          <w:szCs w:val="24"/>
        </w:rPr>
        <w:t xml:space="preserve"> </w:t>
      </w:r>
      <w:r>
        <w:rPr>
          <w:rFonts w:ascii="宋体" w:hAnsi="宋体" w:eastAsia="宋体" w:cs="宋体"/>
          <w:spacing w:val="-6"/>
          <w:sz w:val="24"/>
          <w:szCs w:val="24"/>
        </w:rPr>
        <w:t>敏感房间功能布置在临近公路一侧，</w:t>
      </w:r>
      <w:r>
        <w:rPr>
          <w:rFonts w:ascii="宋体" w:hAnsi="宋体" w:eastAsia="宋体" w:cs="宋体"/>
          <w:spacing w:val="-35"/>
          <w:sz w:val="24"/>
          <w:szCs w:val="24"/>
        </w:rPr>
        <w:t xml:space="preserve"> </w:t>
      </w:r>
      <w:r>
        <w:rPr>
          <w:rFonts w:ascii="宋体" w:hAnsi="宋体" w:eastAsia="宋体" w:cs="宋体"/>
          <w:spacing w:val="-6"/>
          <w:sz w:val="24"/>
          <w:szCs w:val="24"/>
        </w:rPr>
        <w:t>例如将厨房、卫生间等设置于临近公路一侧，</w:t>
      </w:r>
      <w:r>
        <w:rPr>
          <w:rFonts w:ascii="宋体" w:hAnsi="宋体" w:eastAsia="宋体" w:cs="宋体"/>
          <w:spacing w:val="-28"/>
          <w:sz w:val="24"/>
          <w:szCs w:val="24"/>
        </w:rPr>
        <w:t xml:space="preserve"> </w:t>
      </w:r>
      <w:r>
        <w:rPr>
          <w:rFonts w:ascii="宋体" w:hAnsi="宋体" w:eastAsia="宋体" w:cs="宋体"/>
          <w:spacing w:val="-6"/>
          <w:sz w:val="24"/>
          <w:szCs w:val="24"/>
        </w:rPr>
        <w:t>卧室</w:t>
      </w:r>
    </w:p>
    <w:p>
      <w:pPr>
        <w:spacing w:line="219" w:lineRule="auto"/>
        <w:ind w:left="40"/>
        <w:rPr>
          <w:rFonts w:ascii="宋体" w:hAnsi="宋体" w:eastAsia="宋体" w:cs="宋体"/>
          <w:sz w:val="24"/>
          <w:szCs w:val="24"/>
        </w:rPr>
      </w:pPr>
      <w:r>
        <w:rPr>
          <w:rFonts w:ascii="宋体" w:hAnsi="宋体" w:eastAsia="宋体" w:cs="宋体"/>
          <w:spacing w:val="-1"/>
          <w:sz w:val="24"/>
          <w:szCs w:val="24"/>
        </w:rPr>
        <w:t>等靠居住区内侧，具体实施根据规划的进展（调整）及实</w:t>
      </w:r>
      <w:r>
        <w:rPr>
          <w:rFonts w:ascii="宋体" w:hAnsi="宋体" w:eastAsia="宋体" w:cs="宋体"/>
          <w:spacing w:val="-2"/>
          <w:sz w:val="24"/>
          <w:szCs w:val="24"/>
        </w:rPr>
        <w:t>际项目的实施进行调整。</w:t>
      </w:r>
    </w:p>
    <w:p>
      <w:pPr>
        <w:spacing w:before="181" w:line="220" w:lineRule="auto"/>
        <w:ind w:left="513"/>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、噪声源控制措施</w:t>
      </w:r>
    </w:p>
    <w:p>
      <w:pPr>
        <w:spacing w:before="184" w:line="359" w:lineRule="auto"/>
        <w:ind w:left="39" w:firstLine="479"/>
        <w:rPr>
          <w:rFonts w:ascii="宋体" w:hAnsi="宋体" w:eastAsia="宋体" w:cs="宋体"/>
          <w:sz w:val="24"/>
          <w:szCs w:val="24"/>
        </w:rPr>
      </w:pPr>
      <w:r>
        <w:rPr>
          <w:rFonts w:ascii="宋体" w:hAnsi="宋体" w:eastAsia="宋体" w:cs="宋体"/>
          <w:spacing w:val="-10"/>
          <w:sz w:val="24"/>
          <w:szCs w:val="24"/>
        </w:rPr>
        <w:t>根据《</w:t>
      </w:r>
      <w:r>
        <w:rPr>
          <w:rFonts w:ascii="Times New Roman" w:hAnsi="Times New Roman" w:eastAsia="Times New Roman" w:cs="Times New Roman"/>
          <w:spacing w:val="-10"/>
          <w:sz w:val="24"/>
          <w:szCs w:val="24"/>
        </w:rPr>
        <w:t>&lt;</w:t>
      </w:r>
      <w:r>
        <w:rPr>
          <w:rFonts w:ascii="宋体" w:hAnsi="宋体" w:eastAsia="宋体" w:cs="宋体"/>
          <w:spacing w:val="-10"/>
          <w:sz w:val="24"/>
          <w:szCs w:val="24"/>
        </w:rPr>
        <w:t>环境影响评价技术导则 公路建设项目</w:t>
      </w:r>
      <w:r>
        <w:rPr>
          <w:rFonts w:ascii="Times New Roman" w:hAnsi="Times New Roman" w:eastAsia="Times New Roman" w:cs="Times New Roman"/>
          <w:spacing w:val="-10"/>
          <w:sz w:val="24"/>
          <w:szCs w:val="24"/>
        </w:rPr>
        <w:t>&gt;</w:t>
      </w:r>
      <w:r>
        <w:rPr>
          <w:rFonts w:ascii="宋体" w:hAnsi="宋体" w:eastAsia="宋体" w:cs="宋体"/>
          <w:spacing w:val="-11"/>
          <w:sz w:val="24"/>
          <w:szCs w:val="24"/>
        </w:rPr>
        <w:t>编制说明（征求意见稿）》（</w:t>
      </w:r>
      <w:r>
        <w:rPr>
          <w:rFonts w:ascii="Times New Roman" w:hAnsi="Times New Roman" w:eastAsia="Times New Roman" w:cs="Times New Roman"/>
          <w:spacing w:val="-11"/>
          <w:sz w:val="24"/>
          <w:szCs w:val="24"/>
        </w:rPr>
        <w:t>2019.9</w:t>
      </w:r>
      <w:r>
        <w:rPr>
          <w:rFonts w:ascii="宋体" w:hAnsi="宋体" w:eastAsia="宋体" w:cs="宋体"/>
          <w:spacing w:val="-49"/>
          <w:sz w:val="24"/>
          <w:szCs w:val="24"/>
        </w:rPr>
        <w:t>）：</w:t>
      </w:r>
      <w:r>
        <w:rPr>
          <w:rFonts w:ascii="宋体" w:hAnsi="宋体" w:eastAsia="宋体" w:cs="宋体"/>
          <w:spacing w:val="1"/>
          <w:sz w:val="24"/>
          <w:szCs w:val="24"/>
        </w:rPr>
        <w:t xml:space="preserve"> </w:t>
      </w:r>
      <w:r>
        <w:rPr>
          <w:rFonts w:ascii="宋体" w:hAnsi="宋体" w:eastAsia="宋体" w:cs="宋体"/>
          <w:spacing w:val="-2"/>
          <w:sz w:val="24"/>
          <w:szCs w:val="24"/>
        </w:rPr>
        <w:t>多孔性沥青路面（</w:t>
      </w:r>
      <w:r>
        <w:rPr>
          <w:rFonts w:ascii="Times New Roman" w:hAnsi="Times New Roman" w:eastAsia="Times New Roman" w:cs="Times New Roman"/>
          <w:spacing w:val="-2"/>
          <w:sz w:val="24"/>
          <w:szCs w:val="24"/>
        </w:rPr>
        <w:t>PAC</w:t>
      </w:r>
      <w:r>
        <w:rPr>
          <w:rFonts w:ascii="宋体" w:hAnsi="宋体" w:eastAsia="宋体" w:cs="宋体"/>
          <w:spacing w:val="-2"/>
          <w:sz w:val="24"/>
          <w:szCs w:val="24"/>
        </w:rPr>
        <w:t>）单层降噪量一般为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2~3dB</w:t>
      </w:r>
      <w:r>
        <w:rPr>
          <w:rFonts w:ascii="宋体" w:hAnsi="宋体" w:eastAsia="宋体" w:cs="宋体"/>
          <w:spacing w:val="-2"/>
          <w:sz w:val="24"/>
          <w:szCs w:val="24"/>
        </w:rPr>
        <w:t>，双层降噪</w:t>
      </w:r>
      <w:r>
        <w:rPr>
          <w:rFonts w:ascii="宋体" w:hAnsi="宋体" w:eastAsia="宋体" w:cs="宋体"/>
          <w:spacing w:val="-3"/>
          <w:sz w:val="24"/>
          <w:szCs w:val="24"/>
        </w:rPr>
        <w:t xml:space="preserve">量约 </w:t>
      </w:r>
      <w:r>
        <w:rPr>
          <w:rFonts w:ascii="Times New Roman" w:hAnsi="Times New Roman" w:eastAsia="Times New Roman" w:cs="Times New Roman"/>
          <w:spacing w:val="-3"/>
          <w:sz w:val="24"/>
          <w:szCs w:val="24"/>
        </w:rPr>
        <w:t>5dB</w:t>
      </w:r>
      <w:r>
        <w:rPr>
          <w:rFonts w:ascii="宋体" w:hAnsi="宋体" w:eastAsia="宋体" w:cs="宋体"/>
          <w:spacing w:val="-3"/>
          <w:sz w:val="24"/>
          <w:szCs w:val="24"/>
        </w:rPr>
        <w:t>；橡胶沥青材料</w:t>
      </w:r>
      <w:r>
        <w:rPr>
          <w:rFonts w:ascii="宋体" w:hAnsi="宋体" w:eastAsia="宋体" w:cs="宋体"/>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ARFC</w:t>
      </w:r>
      <w:r>
        <w:rPr>
          <w:rFonts w:ascii="宋体" w:hAnsi="宋体" w:eastAsia="宋体" w:cs="宋体"/>
          <w:spacing w:val="-7"/>
          <w:sz w:val="24"/>
          <w:szCs w:val="24"/>
        </w:rPr>
        <w:t>）降噪量约</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6dB</w:t>
      </w:r>
      <w:r>
        <w:rPr>
          <w:rFonts w:ascii="宋体" w:hAnsi="宋体" w:eastAsia="宋体" w:cs="宋体"/>
          <w:spacing w:val="-7"/>
          <w:sz w:val="24"/>
          <w:szCs w:val="24"/>
        </w:rPr>
        <w:t>；多孔弹性路面（</w:t>
      </w:r>
      <w:r>
        <w:rPr>
          <w:rFonts w:ascii="Times New Roman" w:hAnsi="Times New Roman" w:eastAsia="Times New Roman" w:cs="Times New Roman"/>
          <w:spacing w:val="-7"/>
          <w:sz w:val="24"/>
          <w:szCs w:val="24"/>
        </w:rPr>
        <w:t>PERS</w:t>
      </w:r>
      <w:r>
        <w:rPr>
          <w:rFonts w:ascii="宋体" w:hAnsi="宋体" w:eastAsia="宋体" w:cs="宋体"/>
          <w:spacing w:val="-7"/>
          <w:sz w:val="24"/>
          <w:szCs w:val="24"/>
        </w:rPr>
        <w:t>）降</w:t>
      </w:r>
      <w:r>
        <w:rPr>
          <w:rFonts w:ascii="宋体" w:hAnsi="宋体" w:eastAsia="宋体" w:cs="宋体"/>
          <w:spacing w:val="-8"/>
          <w:sz w:val="24"/>
          <w:szCs w:val="24"/>
        </w:rPr>
        <w:t>噪量为</w:t>
      </w:r>
      <w:r>
        <w:rPr>
          <w:rFonts w:ascii="宋体" w:hAnsi="宋体" w:eastAsia="宋体" w:cs="宋体"/>
          <w:spacing w:val="-48"/>
          <w:sz w:val="24"/>
          <w:szCs w:val="24"/>
        </w:rPr>
        <w:t xml:space="preserve"> </w:t>
      </w:r>
      <w:r>
        <w:rPr>
          <w:rFonts w:ascii="Times New Roman" w:hAnsi="Times New Roman" w:eastAsia="Times New Roman" w:cs="Times New Roman"/>
          <w:spacing w:val="-8"/>
          <w:sz w:val="24"/>
          <w:szCs w:val="24"/>
        </w:rPr>
        <w:t>5~10dB</w:t>
      </w:r>
      <w:r>
        <w:rPr>
          <w:rFonts w:ascii="宋体" w:hAnsi="宋体" w:eastAsia="宋体" w:cs="宋体"/>
          <w:spacing w:val="-8"/>
          <w:sz w:val="24"/>
          <w:szCs w:val="24"/>
        </w:rPr>
        <w:t>；沥青玛蹄脂（</w:t>
      </w:r>
      <w:r>
        <w:rPr>
          <w:rFonts w:ascii="Times New Roman" w:hAnsi="Times New Roman" w:eastAsia="Times New Roman" w:cs="Times New Roman"/>
          <w:spacing w:val="-8"/>
          <w:sz w:val="24"/>
          <w:szCs w:val="24"/>
        </w:rPr>
        <w:t>SMA</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2"/>
          <w:sz w:val="24"/>
          <w:szCs w:val="24"/>
        </w:rPr>
        <w:t xml:space="preserve">路面降噪量为 </w:t>
      </w:r>
      <w:r>
        <w:rPr>
          <w:rFonts w:ascii="Times New Roman" w:hAnsi="Times New Roman" w:eastAsia="Times New Roman" w:cs="Times New Roman"/>
          <w:spacing w:val="-2"/>
          <w:sz w:val="24"/>
          <w:szCs w:val="24"/>
        </w:rPr>
        <w:t>1~2dB</w:t>
      </w:r>
      <w:r>
        <w:rPr>
          <w:rFonts w:ascii="宋体" w:hAnsi="宋体" w:eastAsia="宋体" w:cs="宋体"/>
          <w:spacing w:val="-2"/>
          <w:sz w:val="24"/>
          <w:szCs w:val="24"/>
        </w:rPr>
        <w:t>；薄层路面（</w:t>
      </w:r>
      <w:r>
        <w:rPr>
          <w:rFonts w:ascii="Times New Roman" w:hAnsi="Times New Roman" w:eastAsia="Times New Roman" w:cs="Times New Roman"/>
          <w:spacing w:val="-2"/>
          <w:sz w:val="24"/>
          <w:szCs w:val="24"/>
        </w:rPr>
        <w:t>VTAC</w:t>
      </w:r>
      <w:r>
        <w:rPr>
          <w:rFonts w:ascii="宋体" w:hAnsi="宋体" w:eastAsia="宋体" w:cs="宋体"/>
          <w:spacing w:val="-2"/>
          <w:sz w:val="24"/>
          <w:szCs w:val="24"/>
        </w:rPr>
        <w:t xml:space="preserve">）降噪量为 </w:t>
      </w:r>
      <w:r>
        <w:rPr>
          <w:rFonts w:ascii="Times New Roman" w:hAnsi="Times New Roman" w:eastAsia="Times New Roman" w:cs="Times New Roman"/>
          <w:spacing w:val="-2"/>
          <w:sz w:val="24"/>
          <w:szCs w:val="24"/>
        </w:rPr>
        <w:t>1~3dB</w:t>
      </w:r>
      <w:r>
        <w:rPr>
          <w:rFonts w:ascii="宋体" w:hAnsi="宋体" w:eastAsia="宋体" w:cs="宋体"/>
          <w:spacing w:val="-2"/>
          <w:sz w:val="24"/>
          <w:szCs w:val="24"/>
        </w:rPr>
        <w:t>；</w:t>
      </w:r>
      <w:r>
        <w:rPr>
          <w:rFonts w:ascii="宋体" w:hAnsi="宋体" w:eastAsia="宋体" w:cs="宋体"/>
          <w:spacing w:val="-3"/>
          <w:sz w:val="24"/>
          <w:szCs w:val="24"/>
        </w:rPr>
        <w:t>多孔水泥路面和多孔混凝</w:t>
      </w:r>
      <w:r>
        <w:rPr>
          <w:rFonts w:ascii="宋体" w:hAnsi="宋体" w:eastAsia="宋体" w:cs="宋体"/>
          <w:sz w:val="24"/>
          <w:szCs w:val="24"/>
        </w:rPr>
        <w:t xml:space="preserve">  </w:t>
      </w:r>
      <w:r>
        <w:rPr>
          <w:rFonts w:ascii="宋体" w:hAnsi="宋体" w:eastAsia="宋体" w:cs="宋体"/>
          <w:spacing w:val="-4"/>
          <w:sz w:val="24"/>
          <w:szCs w:val="24"/>
        </w:rPr>
        <w:t>土路面单层降噪量约</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5dB</w:t>
      </w:r>
      <w:r>
        <w:rPr>
          <w:rFonts w:ascii="宋体" w:hAnsi="宋体" w:eastAsia="宋体" w:cs="宋体"/>
          <w:spacing w:val="-4"/>
          <w:sz w:val="24"/>
          <w:szCs w:val="24"/>
        </w:rPr>
        <w:t>，双层降噪量</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5"/>
          <w:sz w:val="24"/>
          <w:szCs w:val="24"/>
        </w:rPr>
        <w:t>~7dB</w:t>
      </w:r>
      <w:r>
        <w:rPr>
          <w:rFonts w:ascii="宋体" w:hAnsi="宋体" w:eastAsia="宋体" w:cs="宋体"/>
          <w:spacing w:val="-5"/>
          <w:sz w:val="24"/>
          <w:szCs w:val="24"/>
        </w:rPr>
        <w:t>。本工程路面选用</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SMA-</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 xml:space="preserve">13 </w:t>
      </w:r>
      <w:r>
        <w:rPr>
          <w:rFonts w:ascii="宋体" w:hAnsi="宋体" w:eastAsia="宋体" w:cs="宋体"/>
          <w:spacing w:val="-5"/>
          <w:sz w:val="24"/>
          <w:szCs w:val="24"/>
        </w:rPr>
        <w:t>路面， 降噪量</w:t>
      </w:r>
    </w:p>
    <w:p>
      <w:pPr>
        <w:spacing w:line="218" w:lineRule="auto"/>
        <w:ind w:left="40"/>
        <w:rPr>
          <w:rFonts w:ascii="宋体" w:hAnsi="宋体" w:eastAsia="宋体" w:cs="宋体"/>
          <w:sz w:val="24"/>
          <w:szCs w:val="24"/>
        </w:rPr>
      </w:pPr>
      <w:r>
        <w:rPr>
          <w:rFonts w:ascii="宋体" w:hAnsi="宋体" w:eastAsia="宋体" w:cs="宋体"/>
          <w:spacing w:val="-3"/>
          <w:sz w:val="24"/>
          <w:szCs w:val="24"/>
        </w:rPr>
        <w:t>可达</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1~2dB</w:t>
      </w:r>
      <w:r>
        <w:rPr>
          <w:rFonts w:ascii="宋体" w:hAnsi="宋体" w:eastAsia="宋体" w:cs="宋体"/>
          <w:spacing w:val="-3"/>
          <w:sz w:val="24"/>
          <w:szCs w:val="24"/>
        </w:rPr>
        <w:t>，但本次评价按保守估算，其降噪量按</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 xml:space="preserve">0dB </w:t>
      </w:r>
      <w:r>
        <w:rPr>
          <w:rFonts w:ascii="宋体" w:hAnsi="宋体" w:eastAsia="宋体" w:cs="宋体"/>
          <w:spacing w:val="-3"/>
          <w:sz w:val="24"/>
          <w:szCs w:val="24"/>
        </w:rPr>
        <w:t>考虑。</w:t>
      </w:r>
    </w:p>
    <w:p>
      <w:pPr>
        <w:spacing w:before="182" w:line="219" w:lineRule="auto"/>
        <w:ind w:left="51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、传声途径噪声削减措施</w:t>
      </w:r>
    </w:p>
    <w:p>
      <w:pPr>
        <w:spacing w:before="183" w:line="219" w:lineRule="auto"/>
        <w:ind w:left="516"/>
        <w:rPr>
          <w:rFonts w:ascii="宋体" w:hAnsi="宋体" w:eastAsia="宋体" w:cs="宋体"/>
          <w:sz w:val="24"/>
          <w:szCs w:val="24"/>
        </w:rPr>
      </w:pPr>
      <w:r>
        <w:rPr>
          <w:rFonts w:ascii="宋体" w:hAnsi="宋体" w:eastAsia="宋体" w:cs="宋体"/>
          <w:spacing w:val="-2"/>
          <w:sz w:val="24"/>
          <w:szCs w:val="24"/>
        </w:rPr>
        <w:t>传声途径噪声削减措施主要为绿化降噪林和声屏障。</w:t>
      </w:r>
    </w:p>
    <w:p>
      <w:pPr>
        <w:spacing w:before="181" w:line="220"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）绿化降噪林</w:t>
      </w:r>
    </w:p>
    <w:p>
      <w:pPr>
        <w:spacing w:line="220" w:lineRule="auto"/>
        <w:rPr>
          <w:rFonts w:ascii="宋体" w:hAnsi="宋体" w:eastAsia="宋体" w:cs="宋体"/>
          <w:sz w:val="24"/>
          <w:szCs w:val="24"/>
        </w:rPr>
        <w:sectPr>
          <w:headerReference r:id="rId322" w:type="default"/>
          <w:footerReference r:id="rId323" w:type="default"/>
          <w:pgSz w:w="11907" w:h="16839"/>
          <w:pgMar w:top="1118" w:right="1312" w:bottom="1037" w:left="1390" w:header="879" w:footer="874" w:gutter="0"/>
          <w:cols w:space="720" w:num="1"/>
        </w:sectPr>
      </w:pPr>
    </w:p>
    <w:p>
      <w:pPr>
        <w:pStyle w:val="2"/>
        <w:spacing w:line="257" w:lineRule="auto"/>
      </w:pPr>
    </w:p>
    <w:p>
      <w:pPr>
        <w:spacing w:before="78" w:line="359" w:lineRule="auto"/>
        <w:ind w:left="37" w:right="68" w:firstLine="480"/>
        <w:rPr>
          <w:rFonts w:ascii="宋体" w:hAnsi="宋体" w:eastAsia="宋体" w:cs="宋体"/>
          <w:sz w:val="24"/>
          <w:szCs w:val="24"/>
        </w:rPr>
      </w:pPr>
      <w:r>
        <w:rPr>
          <w:rFonts w:ascii="宋体" w:hAnsi="宋体" w:eastAsia="宋体" w:cs="宋体"/>
          <w:spacing w:val="14"/>
          <w:sz w:val="24"/>
          <w:szCs w:val="24"/>
        </w:rPr>
        <w:t xml:space="preserve">根据导则推算，绿化林带在采用倍频带中心频率为 </w:t>
      </w:r>
      <w:r>
        <w:rPr>
          <w:rFonts w:ascii="Times New Roman" w:hAnsi="Times New Roman" w:eastAsia="Times New Roman" w:cs="Times New Roman"/>
          <w:spacing w:val="14"/>
          <w:sz w:val="24"/>
          <w:szCs w:val="24"/>
        </w:rPr>
        <w:t>500</w:t>
      </w:r>
      <w:r>
        <w:rPr>
          <w:rFonts w:ascii="Times New Roman" w:hAnsi="Times New Roman" w:eastAsia="Times New Roman" w:cs="Times New Roman"/>
          <w:sz w:val="24"/>
          <w:szCs w:val="24"/>
        </w:rPr>
        <w:t>Hz</w:t>
      </w:r>
      <w:r>
        <w:rPr>
          <w:rFonts w:ascii="Times New Roman" w:hAnsi="Times New Roman" w:eastAsia="Times New Roman" w:cs="Times New Roman"/>
          <w:spacing w:val="14"/>
          <w:sz w:val="24"/>
          <w:szCs w:val="24"/>
        </w:rPr>
        <w:t xml:space="preserve">  </w:t>
      </w:r>
      <w:r>
        <w:rPr>
          <w:rFonts w:ascii="宋体" w:hAnsi="宋体" w:eastAsia="宋体" w:cs="宋体"/>
          <w:spacing w:val="14"/>
          <w:sz w:val="24"/>
          <w:szCs w:val="24"/>
        </w:rPr>
        <w:t>时对应</w:t>
      </w:r>
      <w:r>
        <w:rPr>
          <w:rFonts w:ascii="宋体" w:hAnsi="宋体" w:eastAsia="宋体" w:cs="宋体"/>
          <w:spacing w:val="13"/>
          <w:sz w:val="24"/>
          <w:szCs w:val="24"/>
        </w:rPr>
        <w:t>的衰减系数</w:t>
      </w:r>
      <w:r>
        <w:rPr>
          <w:rFonts w:ascii="宋体" w:hAnsi="宋体" w:eastAsia="宋体" w:cs="宋体"/>
          <w:sz w:val="24"/>
          <w:szCs w:val="24"/>
        </w:rPr>
        <w:t xml:space="preserve"> </w:t>
      </w:r>
      <w:r>
        <w:rPr>
          <w:rFonts w:ascii="Times New Roman" w:hAnsi="Times New Roman" w:eastAsia="Times New Roman" w:cs="Times New Roman"/>
          <w:spacing w:val="-5"/>
          <w:sz w:val="24"/>
          <w:szCs w:val="24"/>
        </w:rPr>
        <w:t>0.05dB/m</w:t>
      </w:r>
      <w:r>
        <w:rPr>
          <w:rFonts w:ascii="宋体" w:hAnsi="宋体" w:eastAsia="宋体" w:cs="宋体"/>
          <w:spacing w:val="-5"/>
          <w:sz w:val="24"/>
          <w:szCs w:val="24"/>
        </w:rPr>
        <w:t>，公路沿线的绿化可以起到一定的降噪作用。但</w:t>
      </w:r>
      <w:r>
        <w:rPr>
          <w:rFonts w:ascii="宋体" w:hAnsi="宋体" w:eastAsia="宋体" w:cs="宋体"/>
          <w:spacing w:val="-6"/>
          <w:sz w:val="24"/>
          <w:szCs w:val="24"/>
        </w:rPr>
        <w:t>保守起见，</w:t>
      </w:r>
      <w:r>
        <w:rPr>
          <w:rFonts w:ascii="宋体" w:hAnsi="宋体" w:eastAsia="宋体" w:cs="宋体"/>
          <w:spacing w:val="49"/>
          <w:sz w:val="24"/>
          <w:szCs w:val="24"/>
        </w:rPr>
        <w:t xml:space="preserve"> </w:t>
      </w:r>
      <w:r>
        <w:rPr>
          <w:rFonts w:ascii="宋体" w:hAnsi="宋体" w:eastAsia="宋体" w:cs="宋体"/>
          <w:spacing w:val="-6"/>
          <w:sz w:val="24"/>
          <w:szCs w:val="24"/>
        </w:rPr>
        <w:t>本次环评预测中未</w:t>
      </w:r>
    </w:p>
    <w:p>
      <w:pPr>
        <w:spacing w:before="1" w:line="218" w:lineRule="auto"/>
        <w:ind w:left="38"/>
        <w:rPr>
          <w:rFonts w:ascii="宋体" w:hAnsi="宋体" w:eastAsia="宋体" w:cs="宋体"/>
          <w:sz w:val="24"/>
          <w:szCs w:val="24"/>
        </w:rPr>
      </w:pPr>
      <w:r>
        <w:rPr>
          <w:rFonts w:ascii="宋体" w:hAnsi="宋体" w:eastAsia="宋体" w:cs="宋体"/>
          <w:spacing w:val="-5"/>
          <w:sz w:val="24"/>
          <w:szCs w:val="24"/>
        </w:rPr>
        <w:t>考虑绿化降噪效果。</w:t>
      </w:r>
    </w:p>
    <w:p>
      <w:pPr>
        <w:spacing w:before="180"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）声屏障</w:t>
      </w:r>
    </w:p>
    <w:p>
      <w:pPr>
        <w:spacing w:before="184" w:line="359" w:lineRule="auto"/>
        <w:ind w:left="38" w:right="66" w:firstLine="480"/>
        <w:rPr>
          <w:rFonts w:ascii="宋体" w:hAnsi="宋体" w:eastAsia="宋体" w:cs="宋体"/>
          <w:sz w:val="24"/>
          <w:szCs w:val="24"/>
        </w:rPr>
      </w:pPr>
      <w:r>
        <w:rPr>
          <w:rFonts w:ascii="宋体" w:hAnsi="宋体" w:eastAsia="宋体" w:cs="宋体"/>
          <w:spacing w:val="-11"/>
          <w:sz w:val="24"/>
          <w:szCs w:val="24"/>
        </w:rPr>
        <w:t>适合于敏感点分布较密集且距道路较近的情况，</w:t>
      </w:r>
      <w:r>
        <w:rPr>
          <w:rFonts w:ascii="宋体" w:hAnsi="宋体" w:eastAsia="宋体" w:cs="宋体"/>
          <w:spacing w:val="51"/>
          <w:sz w:val="24"/>
          <w:szCs w:val="24"/>
        </w:rPr>
        <w:t xml:space="preserve"> </w:t>
      </w:r>
      <w:r>
        <w:rPr>
          <w:rFonts w:ascii="宋体" w:hAnsi="宋体" w:eastAsia="宋体" w:cs="宋体"/>
          <w:spacing w:val="-11"/>
          <w:sz w:val="24"/>
          <w:szCs w:val="24"/>
        </w:rPr>
        <w:t>相对于其他措施，</w:t>
      </w:r>
      <w:r>
        <w:rPr>
          <w:rFonts w:ascii="宋体" w:hAnsi="宋体" w:eastAsia="宋体" w:cs="宋体"/>
          <w:spacing w:val="44"/>
          <w:sz w:val="24"/>
          <w:szCs w:val="24"/>
        </w:rPr>
        <w:t xml:space="preserve"> </w:t>
      </w:r>
      <w:r>
        <w:rPr>
          <w:rFonts w:ascii="宋体" w:hAnsi="宋体" w:eastAsia="宋体" w:cs="宋体"/>
          <w:spacing w:val="-11"/>
          <w:sz w:val="24"/>
          <w:szCs w:val="24"/>
        </w:rPr>
        <w:t>声屏障具有容易</w:t>
      </w:r>
      <w:r>
        <w:rPr>
          <w:rFonts w:ascii="宋体" w:hAnsi="宋体" w:eastAsia="宋体" w:cs="宋体"/>
          <w:sz w:val="24"/>
          <w:szCs w:val="24"/>
        </w:rPr>
        <w:t xml:space="preserve"> </w:t>
      </w:r>
      <w:r>
        <w:rPr>
          <w:rFonts w:ascii="宋体" w:hAnsi="宋体" w:eastAsia="宋体" w:cs="宋体"/>
          <w:spacing w:val="-2"/>
          <w:sz w:val="24"/>
          <w:szCs w:val="24"/>
        </w:rPr>
        <w:t xml:space="preserve">实施，操作性强的优点， 通常可降低 </w:t>
      </w:r>
      <w:r>
        <w:rPr>
          <w:rFonts w:ascii="Times New Roman" w:hAnsi="Times New Roman" w:eastAsia="Times New Roman" w:cs="Times New Roman"/>
          <w:spacing w:val="-2"/>
          <w:sz w:val="24"/>
          <w:szCs w:val="24"/>
        </w:rPr>
        <w:t>5</w:t>
      </w:r>
      <w:r>
        <w:rPr>
          <w:rFonts w:ascii="宋体" w:hAnsi="宋体" w:eastAsia="宋体" w:cs="宋体"/>
          <w:spacing w:val="-2"/>
          <w:sz w:val="24"/>
          <w:szCs w:val="24"/>
        </w:rPr>
        <w:t>～</w:t>
      </w:r>
      <w:r>
        <w:rPr>
          <w:rFonts w:ascii="Times New Roman" w:hAnsi="Times New Roman" w:eastAsia="Times New Roman" w:cs="Times New Roman"/>
          <w:spacing w:val="-2"/>
          <w:sz w:val="24"/>
          <w:szCs w:val="24"/>
        </w:rPr>
        <w:t>16dB(A)</w:t>
      </w:r>
      <w:r>
        <w:rPr>
          <w:rFonts w:ascii="宋体" w:hAnsi="宋体" w:eastAsia="宋体" w:cs="宋体"/>
          <w:spacing w:val="-2"/>
          <w:sz w:val="24"/>
          <w:szCs w:val="24"/>
        </w:rPr>
        <w:t>，其费用也较高。声屏障作为道路交</w:t>
      </w:r>
      <w:r>
        <w:rPr>
          <w:rFonts w:ascii="宋体" w:hAnsi="宋体" w:eastAsia="宋体" w:cs="宋体"/>
          <w:spacing w:val="12"/>
          <w:sz w:val="24"/>
          <w:szCs w:val="24"/>
        </w:rPr>
        <w:t xml:space="preserve"> </w:t>
      </w:r>
      <w:r>
        <w:rPr>
          <w:rFonts w:ascii="宋体" w:hAnsi="宋体" w:eastAsia="宋体" w:cs="宋体"/>
          <w:spacing w:val="-11"/>
          <w:sz w:val="24"/>
          <w:szCs w:val="24"/>
        </w:rPr>
        <w:t>通噪声控制的主要措施，</w:t>
      </w:r>
      <w:r>
        <w:rPr>
          <w:rFonts w:ascii="宋体" w:hAnsi="宋体" w:eastAsia="宋体" w:cs="宋体"/>
          <w:spacing w:val="81"/>
          <w:sz w:val="24"/>
          <w:szCs w:val="24"/>
        </w:rPr>
        <w:t xml:space="preserve"> </w:t>
      </w:r>
      <w:r>
        <w:rPr>
          <w:rFonts w:ascii="宋体" w:hAnsi="宋体" w:eastAsia="宋体" w:cs="宋体"/>
          <w:spacing w:val="-11"/>
          <w:sz w:val="24"/>
          <w:szCs w:val="24"/>
        </w:rPr>
        <w:t>已在交通噪声控制中得到了广泛的应用，</w:t>
      </w:r>
      <w:r>
        <w:rPr>
          <w:rFonts w:ascii="宋体" w:hAnsi="宋体" w:eastAsia="宋体" w:cs="宋体"/>
          <w:spacing w:val="38"/>
          <w:sz w:val="24"/>
          <w:szCs w:val="24"/>
        </w:rPr>
        <w:t xml:space="preserve"> </w:t>
      </w:r>
      <w:r>
        <w:rPr>
          <w:rFonts w:ascii="宋体" w:hAnsi="宋体" w:eastAsia="宋体" w:cs="宋体"/>
          <w:spacing w:val="-11"/>
          <w:sz w:val="24"/>
          <w:szCs w:val="24"/>
        </w:rPr>
        <w:t>在工程占地范围内安</w:t>
      </w:r>
    </w:p>
    <w:p>
      <w:pPr>
        <w:spacing w:line="219" w:lineRule="auto"/>
        <w:ind w:left="38"/>
        <w:rPr>
          <w:rFonts w:ascii="宋体" w:hAnsi="宋体" w:eastAsia="宋体" w:cs="宋体"/>
          <w:sz w:val="24"/>
          <w:szCs w:val="24"/>
        </w:rPr>
      </w:pPr>
      <w:r>
        <w:rPr>
          <w:rFonts w:ascii="宋体" w:hAnsi="宋体" w:eastAsia="宋体" w:cs="宋体"/>
          <w:spacing w:val="-4"/>
          <w:sz w:val="24"/>
          <w:szCs w:val="24"/>
        </w:rPr>
        <w:t>装声屏障便于操作和实施。</w:t>
      </w:r>
    </w:p>
    <w:p>
      <w:pPr>
        <w:spacing w:before="181" w:line="359" w:lineRule="auto"/>
        <w:ind w:left="38" w:right="66" w:firstLine="484"/>
        <w:rPr>
          <w:rFonts w:ascii="宋体" w:hAnsi="宋体" w:eastAsia="宋体" w:cs="宋体"/>
          <w:sz w:val="24"/>
          <w:szCs w:val="24"/>
        </w:rPr>
      </w:pPr>
      <w:r>
        <w:rPr>
          <w:rFonts w:ascii="宋体" w:hAnsi="宋体" w:eastAsia="宋体" w:cs="宋体"/>
          <w:spacing w:val="-7"/>
          <w:sz w:val="24"/>
          <w:szCs w:val="24"/>
        </w:rPr>
        <w:t>声屏障适合于敏感点分布较密集且与敏感点有一定高差、距道路较近的情况，</w:t>
      </w:r>
      <w:r>
        <w:rPr>
          <w:rFonts w:ascii="宋体" w:hAnsi="宋体" w:eastAsia="宋体" w:cs="宋体"/>
          <w:spacing w:val="68"/>
          <w:sz w:val="24"/>
          <w:szCs w:val="24"/>
        </w:rPr>
        <w:t xml:space="preserve"> </w:t>
      </w:r>
      <w:r>
        <w:rPr>
          <w:rFonts w:ascii="宋体" w:hAnsi="宋体" w:eastAsia="宋体" w:cs="宋体"/>
          <w:spacing w:val="-7"/>
          <w:sz w:val="24"/>
          <w:szCs w:val="24"/>
        </w:rPr>
        <w:t>同时</w:t>
      </w:r>
      <w:r>
        <w:rPr>
          <w:rFonts w:ascii="宋体" w:hAnsi="宋体" w:eastAsia="宋体" w:cs="宋体"/>
          <w:sz w:val="24"/>
          <w:szCs w:val="24"/>
        </w:rPr>
        <w:t xml:space="preserve"> </w:t>
      </w:r>
      <w:r>
        <w:rPr>
          <w:rFonts w:ascii="宋体" w:hAnsi="宋体" w:eastAsia="宋体" w:cs="宋体"/>
          <w:spacing w:val="-2"/>
          <w:sz w:val="24"/>
          <w:szCs w:val="24"/>
        </w:rPr>
        <w:t>不影响第一排住户的视野。相对于其他措施，声屏障具有容易实施，操作性强的优点，</w:t>
      </w:r>
      <w:r>
        <w:rPr>
          <w:rFonts w:ascii="宋体" w:hAnsi="宋体" w:eastAsia="宋体" w:cs="宋体"/>
          <w:spacing w:val="12"/>
          <w:sz w:val="24"/>
          <w:szCs w:val="24"/>
        </w:rPr>
        <w:t xml:space="preserve"> </w:t>
      </w:r>
      <w:r>
        <w:rPr>
          <w:rFonts w:ascii="宋体" w:hAnsi="宋体" w:eastAsia="宋体" w:cs="宋体"/>
          <w:spacing w:val="1"/>
          <w:sz w:val="24"/>
          <w:szCs w:val="24"/>
        </w:rPr>
        <w:t xml:space="preserve">通常可降低 </w:t>
      </w:r>
      <w:r>
        <w:rPr>
          <w:rFonts w:ascii="Times New Roman" w:hAnsi="Times New Roman" w:eastAsia="Times New Roman" w:cs="Times New Roman"/>
          <w:spacing w:val="1"/>
          <w:sz w:val="24"/>
          <w:szCs w:val="24"/>
        </w:rPr>
        <w:t>5</w:t>
      </w:r>
      <w:r>
        <w:rPr>
          <w:rFonts w:ascii="宋体" w:hAnsi="宋体" w:eastAsia="宋体" w:cs="宋体"/>
          <w:spacing w:val="1"/>
          <w:sz w:val="24"/>
          <w:szCs w:val="24"/>
        </w:rPr>
        <w:t>～</w:t>
      </w:r>
      <w:r>
        <w:rPr>
          <w:rFonts w:ascii="Times New Roman" w:hAnsi="Times New Roman" w:eastAsia="Times New Roman" w:cs="Times New Roman"/>
          <w:spacing w:val="1"/>
          <w:sz w:val="24"/>
          <w:szCs w:val="24"/>
        </w:rPr>
        <w:t>16</w:t>
      </w:r>
      <w:r>
        <w:rPr>
          <w:rFonts w:ascii="Times New Roman" w:hAnsi="Times New Roman" w:eastAsia="Times New Roman" w:cs="Times New Roman"/>
          <w:sz w:val="24"/>
          <w:szCs w:val="24"/>
        </w:rPr>
        <w:t>dB</w:t>
      </w:r>
      <w:r>
        <w:rPr>
          <w:rFonts w:ascii="Times New Roman" w:hAnsi="Times New Roman" w:eastAsia="Times New Roman" w:cs="Times New Roman"/>
          <w:spacing w:val="1"/>
          <w:sz w:val="24"/>
          <w:szCs w:val="24"/>
        </w:rPr>
        <w:t>(A)</w:t>
      </w:r>
      <w:r>
        <w:rPr>
          <w:rFonts w:ascii="宋体" w:hAnsi="宋体" w:eastAsia="宋体" w:cs="宋体"/>
          <w:spacing w:val="1"/>
          <w:sz w:val="24"/>
          <w:szCs w:val="24"/>
        </w:rPr>
        <w:t>，其费用也较高。声屏障作为道路交通噪声控制的主要措施，</w:t>
      </w:r>
      <w:r>
        <w:rPr>
          <w:rFonts w:ascii="宋体" w:hAnsi="宋体" w:eastAsia="宋体" w:cs="宋体"/>
          <w:spacing w:val="4"/>
          <w:sz w:val="24"/>
          <w:szCs w:val="24"/>
        </w:rPr>
        <w:t xml:space="preserve"> </w:t>
      </w:r>
      <w:r>
        <w:rPr>
          <w:rFonts w:ascii="宋体" w:hAnsi="宋体" w:eastAsia="宋体" w:cs="宋体"/>
          <w:spacing w:val="5"/>
          <w:sz w:val="24"/>
          <w:szCs w:val="24"/>
        </w:rPr>
        <w:t>已在交通噪声控制中得到了广泛的应用，在工</w:t>
      </w:r>
      <w:r>
        <w:rPr>
          <w:rFonts w:ascii="宋体" w:hAnsi="宋体" w:eastAsia="宋体" w:cs="宋体"/>
          <w:spacing w:val="4"/>
          <w:sz w:val="24"/>
          <w:szCs w:val="24"/>
        </w:rPr>
        <w:t>程占地范围内安装声屏障便于操作和实</w:t>
      </w:r>
    </w:p>
    <w:p>
      <w:pPr>
        <w:spacing w:line="222" w:lineRule="auto"/>
        <w:ind w:left="37"/>
        <w:rPr>
          <w:rFonts w:ascii="宋体" w:hAnsi="宋体" w:eastAsia="宋体" w:cs="宋体"/>
          <w:sz w:val="24"/>
          <w:szCs w:val="24"/>
        </w:rPr>
      </w:pPr>
      <w:r>
        <w:rPr>
          <w:rFonts w:ascii="宋体" w:hAnsi="宋体" w:eastAsia="宋体" w:cs="宋体"/>
          <w:spacing w:val="-11"/>
          <w:sz w:val="24"/>
          <w:szCs w:val="24"/>
        </w:rPr>
        <w:t>施。</w:t>
      </w:r>
    </w:p>
    <w:p>
      <w:pPr>
        <w:spacing w:before="179" w:line="359" w:lineRule="auto"/>
        <w:ind w:left="41" w:right="66" w:firstLine="477"/>
        <w:rPr>
          <w:rFonts w:ascii="宋体" w:hAnsi="宋体" w:eastAsia="宋体" w:cs="宋体"/>
          <w:sz w:val="24"/>
          <w:szCs w:val="24"/>
        </w:rPr>
      </w:pPr>
      <w:r>
        <w:rPr>
          <w:rFonts w:ascii="宋体" w:hAnsi="宋体" w:eastAsia="宋体" w:cs="宋体"/>
          <w:spacing w:val="-16"/>
          <w:sz w:val="24"/>
          <w:szCs w:val="24"/>
        </w:rPr>
        <w:t>考虑本项目为开放式道路，</w:t>
      </w:r>
      <w:r>
        <w:rPr>
          <w:rFonts w:ascii="宋体" w:hAnsi="宋体" w:eastAsia="宋体" w:cs="宋体"/>
          <w:spacing w:val="62"/>
          <w:sz w:val="24"/>
          <w:szCs w:val="24"/>
        </w:rPr>
        <w:t xml:space="preserve"> </w:t>
      </w:r>
      <w:r>
        <w:rPr>
          <w:rFonts w:ascii="宋体" w:hAnsi="宋体" w:eastAsia="宋体" w:cs="宋体"/>
          <w:spacing w:val="-16"/>
          <w:sz w:val="24"/>
          <w:szCs w:val="24"/>
        </w:rPr>
        <w:t>多为地面道路段，</w:t>
      </w:r>
      <w:r>
        <w:rPr>
          <w:rFonts w:ascii="宋体" w:hAnsi="宋体" w:eastAsia="宋体" w:cs="宋体"/>
          <w:spacing w:val="47"/>
          <w:sz w:val="24"/>
          <w:szCs w:val="24"/>
        </w:rPr>
        <w:t xml:space="preserve"> </w:t>
      </w:r>
      <w:r>
        <w:rPr>
          <w:rFonts w:ascii="宋体" w:hAnsi="宋体" w:eastAsia="宋体" w:cs="宋体"/>
          <w:spacing w:val="-16"/>
          <w:sz w:val="24"/>
          <w:szCs w:val="24"/>
        </w:rPr>
        <w:t>周边村庄分布较多在道路两侧，</w:t>
      </w:r>
      <w:r>
        <w:rPr>
          <w:rFonts w:ascii="宋体" w:hAnsi="宋体" w:eastAsia="宋体" w:cs="宋体"/>
          <w:spacing w:val="46"/>
          <w:sz w:val="24"/>
          <w:szCs w:val="24"/>
        </w:rPr>
        <w:t xml:space="preserve"> </w:t>
      </w:r>
      <w:r>
        <w:rPr>
          <w:rFonts w:ascii="宋体" w:hAnsi="宋体" w:eastAsia="宋体" w:cs="宋体"/>
          <w:spacing w:val="-16"/>
          <w:sz w:val="24"/>
          <w:szCs w:val="24"/>
        </w:rPr>
        <w:t>且部</w:t>
      </w:r>
      <w:r>
        <w:rPr>
          <w:rFonts w:ascii="宋体" w:hAnsi="宋体" w:eastAsia="宋体" w:cs="宋体"/>
          <w:sz w:val="24"/>
          <w:szCs w:val="24"/>
        </w:rPr>
        <w:t xml:space="preserve"> </w:t>
      </w:r>
      <w:r>
        <w:rPr>
          <w:rFonts w:ascii="宋体" w:hAnsi="宋体" w:eastAsia="宋体" w:cs="宋体"/>
          <w:spacing w:val="-10"/>
          <w:sz w:val="24"/>
          <w:szCs w:val="24"/>
        </w:rPr>
        <w:t>分建筑及地势高于路面，</w:t>
      </w:r>
      <w:r>
        <w:rPr>
          <w:rFonts w:ascii="宋体" w:hAnsi="宋体" w:eastAsia="宋体" w:cs="宋体"/>
          <w:spacing w:val="38"/>
          <w:sz w:val="24"/>
          <w:szCs w:val="24"/>
        </w:rPr>
        <w:t xml:space="preserve"> </w:t>
      </w:r>
      <w:r>
        <w:rPr>
          <w:rFonts w:ascii="宋体" w:hAnsi="宋体" w:eastAsia="宋体" w:cs="宋体"/>
          <w:spacing w:val="-10"/>
          <w:sz w:val="24"/>
          <w:szCs w:val="24"/>
        </w:rPr>
        <w:t>考虑到村民出行及光照等因素，</w:t>
      </w:r>
      <w:r>
        <w:rPr>
          <w:rFonts w:ascii="宋体" w:hAnsi="宋体" w:eastAsia="宋体" w:cs="宋体"/>
          <w:spacing w:val="40"/>
          <w:sz w:val="24"/>
          <w:szCs w:val="24"/>
        </w:rPr>
        <w:t xml:space="preserve"> </w:t>
      </w:r>
      <w:r>
        <w:rPr>
          <w:rFonts w:ascii="宋体" w:hAnsi="宋体" w:eastAsia="宋体" w:cs="宋体"/>
          <w:spacing w:val="-10"/>
          <w:sz w:val="24"/>
          <w:szCs w:val="24"/>
        </w:rPr>
        <w:t>本项目大多数路段不适合采用</w:t>
      </w:r>
    </w:p>
    <w:p>
      <w:pPr>
        <w:spacing w:before="1" w:line="218" w:lineRule="auto"/>
        <w:ind w:left="42"/>
        <w:rPr>
          <w:rFonts w:ascii="宋体" w:hAnsi="宋体" w:eastAsia="宋体" w:cs="宋体"/>
          <w:sz w:val="24"/>
          <w:szCs w:val="24"/>
        </w:rPr>
      </w:pPr>
      <w:r>
        <w:rPr>
          <w:rFonts w:ascii="宋体" w:hAnsi="宋体" w:eastAsia="宋体" w:cs="宋体"/>
          <w:spacing w:val="-2"/>
          <w:sz w:val="24"/>
          <w:szCs w:val="24"/>
        </w:rPr>
        <w:t>声屏障进行隔声，而项目已采用改性沥青</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 xml:space="preserve">SMA </w:t>
      </w:r>
      <w:r>
        <w:rPr>
          <w:rFonts w:ascii="宋体" w:hAnsi="宋体" w:eastAsia="宋体" w:cs="宋体"/>
          <w:spacing w:val="-2"/>
          <w:sz w:val="24"/>
          <w:szCs w:val="24"/>
        </w:rPr>
        <w:t>路面，从声源上可以略微降低噪声。</w:t>
      </w:r>
    </w:p>
    <w:p>
      <w:pPr>
        <w:spacing w:before="183" w:line="359" w:lineRule="auto"/>
        <w:ind w:left="56" w:firstLine="464"/>
        <w:rPr>
          <w:rFonts w:ascii="宋体" w:hAnsi="宋体" w:eastAsia="宋体" w:cs="宋体"/>
          <w:sz w:val="24"/>
          <w:szCs w:val="24"/>
        </w:rPr>
      </w:pPr>
      <w:r>
        <w:rPr>
          <w:rFonts w:ascii="宋体" w:hAnsi="宋体" w:eastAsia="宋体" w:cs="宋体"/>
          <w:spacing w:val="-6"/>
          <w:sz w:val="24"/>
          <w:szCs w:val="24"/>
        </w:rPr>
        <w:t>工程建设为优化区域路网、改善区域交通条件、拓宽边</w:t>
      </w:r>
      <w:r>
        <w:rPr>
          <w:rFonts w:ascii="宋体" w:hAnsi="宋体" w:eastAsia="宋体" w:cs="宋体"/>
          <w:spacing w:val="-7"/>
          <w:sz w:val="24"/>
          <w:szCs w:val="24"/>
        </w:rPr>
        <w:t>远乡镇的发展具有重要意义，</w:t>
      </w:r>
      <w:r>
        <w:rPr>
          <w:rFonts w:ascii="宋体" w:hAnsi="宋体" w:eastAsia="宋体" w:cs="宋体"/>
          <w:sz w:val="24"/>
          <w:szCs w:val="24"/>
        </w:rPr>
        <w:t xml:space="preserve"> </w:t>
      </w:r>
      <w:r>
        <w:rPr>
          <w:rFonts w:ascii="宋体" w:hAnsi="宋体" w:eastAsia="宋体" w:cs="宋体"/>
          <w:spacing w:val="-6"/>
          <w:sz w:val="24"/>
          <w:szCs w:val="24"/>
        </w:rPr>
        <w:t>因此，为便于周边居民出行和与乡镇村的紧密联系，</w:t>
      </w:r>
      <w:r>
        <w:rPr>
          <w:rFonts w:ascii="宋体" w:hAnsi="宋体" w:eastAsia="宋体" w:cs="宋体"/>
          <w:spacing w:val="40"/>
          <w:sz w:val="24"/>
          <w:szCs w:val="24"/>
        </w:rPr>
        <w:t xml:space="preserve"> </w:t>
      </w:r>
      <w:r>
        <w:rPr>
          <w:rFonts w:ascii="宋体" w:hAnsi="宋体" w:eastAsia="宋体" w:cs="宋体"/>
          <w:spacing w:val="-6"/>
          <w:sz w:val="24"/>
          <w:szCs w:val="24"/>
        </w:rPr>
        <w:t>考虑到现状及</w:t>
      </w:r>
      <w:r>
        <w:rPr>
          <w:rFonts w:ascii="宋体" w:hAnsi="宋体" w:eastAsia="宋体" w:cs="宋体"/>
          <w:spacing w:val="-7"/>
          <w:sz w:val="24"/>
          <w:szCs w:val="24"/>
        </w:rPr>
        <w:t>规划声环境保护目标</w:t>
      </w:r>
      <w:r>
        <w:rPr>
          <w:rFonts w:ascii="宋体" w:hAnsi="宋体" w:eastAsia="宋体" w:cs="宋体"/>
          <w:sz w:val="24"/>
          <w:szCs w:val="24"/>
        </w:rPr>
        <w:t xml:space="preserve"> </w:t>
      </w:r>
      <w:r>
        <w:rPr>
          <w:rFonts w:ascii="宋体" w:hAnsi="宋体" w:eastAsia="宋体" w:cs="宋体"/>
          <w:spacing w:val="-11"/>
          <w:sz w:val="24"/>
          <w:szCs w:val="24"/>
        </w:rPr>
        <w:t>的噪声影响，</w:t>
      </w:r>
      <w:r>
        <w:rPr>
          <w:rFonts w:ascii="宋体" w:hAnsi="宋体" w:eastAsia="宋体" w:cs="宋体"/>
          <w:spacing w:val="43"/>
          <w:sz w:val="24"/>
          <w:szCs w:val="24"/>
        </w:rPr>
        <w:t xml:space="preserve"> </w:t>
      </w:r>
      <w:r>
        <w:rPr>
          <w:rFonts w:ascii="宋体" w:hAnsi="宋体" w:eastAsia="宋体" w:cs="宋体"/>
          <w:spacing w:val="-11"/>
          <w:sz w:val="24"/>
          <w:szCs w:val="24"/>
        </w:rPr>
        <w:t>本次评价在部分桥梁路段考虑安装声屏障，</w:t>
      </w:r>
      <w:r>
        <w:rPr>
          <w:rFonts w:ascii="宋体" w:hAnsi="宋体" w:eastAsia="宋体" w:cs="宋体"/>
          <w:spacing w:val="40"/>
          <w:sz w:val="24"/>
          <w:szCs w:val="24"/>
        </w:rPr>
        <w:t xml:space="preserve"> </w:t>
      </w:r>
      <w:r>
        <w:rPr>
          <w:rFonts w:ascii="宋体" w:hAnsi="宋体" w:eastAsia="宋体" w:cs="宋体"/>
          <w:spacing w:val="-11"/>
          <w:sz w:val="24"/>
          <w:szCs w:val="24"/>
        </w:rPr>
        <w:t>沿线共在</w:t>
      </w:r>
      <w:r>
        <w:rPr>
          <w:rFonts w:ascii="宋体" w:hAnsi="宋体" w:eastAsia="宋体" w:cs="宋体"/>
          <w:spacing w:val="-53"/>
          <w:sz w:val="24"/>
          <w:szCs w:val="24"/>
        </w:rPr>
        <w:t xml:space="preserve"> </w:t>
      </w:r>
      <w:r>
        <w:rPr>
          <w:rFonts w:ascii="Times New Roman" w:hAnsi="Times New Roman" w:eastAsia="Times New Roman" w:cs="Times New Roman"/>
          <w:spacing w:val="-11"/>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处声环境保护目标</w:t>
      </w:r>
    </w:p>
    <w:p>
      <w:pPr>
        <w:spacing w:before="1" w:line="219" w:lineRule="auto"/>
        <w:ind w:left="42"/>
        <w:rPr>
          <w:rFonts w:ascii="宋体" w:hAnsi="宋体" w:eastAsia="宋体" w:cs="宋体"/>
          <w:sz w:val="24"/>
          <w:szCs w:val="24"/>
        </w:rPr>
      </w:pPr>
      <w:r>
        <w:rPr>
          <w:rFonts w:ascii="宋体" w:hAnsi="宋体" w:eastAsia="宋体" w:cs="宋体"/>
          <w:spacing w:val="-3"/>
          <w:sz w:val="24"/>
          <w:szCs w:val="24"/>
        </w:rPr>
        <w:t>设置声屏障，声屏障长度</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350 </w:t>
      </w:r>
      <w:r>
        <w:rPr>
          <w:rFonts w:ascii="宋体" w:hAnsi="宋体" w:eastAsia="宋体" w:cs="宋体"/>
          <w:spacing w:val="-3"/>
          <w:sz w:val="24"/>
          <w:szCs w:val="24"/>
        </w:rPr>
        <w:t>延米（高</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3m</w:t>
      </w:r>
      <w:r>
        <w:rPr>
          <w:rFonts w:ascii="宋体" w:hAnsi="宋体" w:eastAsia="宋体" w:cs="宋体"/>
          <w:spacing w:val="-3"/>
          <w:sz w:val="24"/>
          <w:szCs w:val="24"/>
        </w:rPr>
        <w:t xml:space="preserve">（含防撞墩）），费用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4"/>
          <w:sz w:val="24"/>
          <w:szCs w:val="24"/>
        </w:rPr>
        <w:t>57.5</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万元。</w:t>
      </w:r>
    </w:p>
    <w:p>
      <w:pPr>
        <w:spacing w:before="179"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）隧道降噪</w:t>
      </w:r>
    </w:p>
    <w:p>
      <w:pPr>
        <w:spacing w:before="183" w:line="219" w:lineRule="auto"/>
        <w:ind w:left="530"/>
        <w:rPr>
          <w:rFonts w:ascii="宋体" w:hAnsi="宋体" w:eastAsia="宋体" w:cs="宋体"/>
          <w:sz w:val="24"/>
          <w:szCs w:val="24"/>
        </w:rPr>
      </w:pPr>
      <w:r>
        <w:rPr>
          <w:rFonts w:ascii="宋体" w:hAnsi="宋体" w:eastAsia="宋体" w:cs="宋体"/>
          <w:spacing w:val="-1"/>
          <w:sz w:val="24"/>
          <w:szCs w:val="24"/>
        </w:rPr>
        <w:t>隧道射流风机进排风口设置消声装置；隧道壁进出口进行吸声处理。</w:t>
      </w:r>
    </w:p>
    <w:p>
      <w:pPr>
        <w:spacing w:before="183" w:line="220" w:lineRule="auto"/>
        <w:ind w:left="518"/>
        <w:rPr>
          <w:rFonts w:ascii="宋体" w:hAnsi="宋体" w:eastAsia="宋体" w:cs="宋体"/>
          <w:sz w:val="24"/>
          <w:szCs w:val="24"/>
        </w:rPr>
      </w:pPr>
      <w:r>
        <w:rPr>
          <w:rFonts w:ascii="Times New Roman" w:hAnsi="Times New Roman" w:eastAsia="Times New Roman" w:cs="Times New Roman"/>
          <w:spacing w:val="-4"/>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、敏感点噪声防护</w:t>
      </w:r>
    </w:p>
    <w:p>
      <w:pPr>
        <w:spacing w:before="181" w:line="359" w:lineRule="auto"/>
        <w:ind w:left="37" w:right="1" w:firstLine="480"/>
        <w:rPr>
          <w:rFonts w:ascii="宋体" w:hAnsi="宋体" w:eastAsia="宋体" w:cs="宋体"/>
          <w:sz w:val="24"/>
          <w:szCs w:val="24"/>
        </w:rPr>
      </w:pPr>
      <w:r>
        <w:rPr>
          <w:rFonts w:ascii="宋体" w:hAnsi="宋体" w:eastAsia="宋体" w:cs="宋体"/>
          <w:spacing w:val="1"/>
          <w:sz w:val="24"/>
          <w:szCs w:val="24"/>
        </w:rPr>
        <w:t>根据《中华人民共和国环境噪声污染防治法》</w:t>
      </w:r>
      <w:r>
        <w:rPr>
          <w:rFonts w:ascii="宋体" w:hAnsi="宋体" w:eastAsia="宋体" w:cs="宋体"/>
          <w:sz w:val="24"/>
          <w:szCs w:val="24"/>
        </w:rPr>
        <w:t>第二十六条</w:t>
      </w:r>
      <w:r>
        <w:rPr>
          <w:rFonts w:ascii="Times New Roman" w:hAnsi="Times New Roman" w:eastAsia="Times New Roman" w:cs="Times New Roman"/>
          <w:sz w:val="24"/>
          <w:szCs w:val="24"/>
        </w:rPr>
        <w:t>“</w:t>
      </w:r>
      <w:r>
        <w:rPr>
          <w:rFonts w:ascii="宋体" w:hAnsi="宋体" w:eastAsia="宋体" w:cs="宋体"/>
          <w:sz w:val="24"/>
          <w:szCs w:val="24"/>
        </w:rPr>
        <w:t xml:space="preserve">建设噪声敏感建筑物，  </w:t>
      </w:r>
      <w:r>
        <w:rPr>
          <w:rFonts w:ascii="宋体" w:hAnsi="宋体" w:eastAsia="宋体" w:cs="宋体"/>
          <w:spacing w:val="-11"/>
          <w:sz w:val="24"/>
          <w:szCs w:val="24"/>
        </w:rPr>
        <w:t>应当符合民用建筑隔声设计相关标准要求，</w:t>
      </w:r>
      <w:r>
        <w:rPr>
          <w:rFonts w:ascii="宋体" w:hAnsi="宋体" w:eastAsia="宋体" w:cs="宋体"/>
          <w:spacing w:val="68"/>
          <w:sz w:val="24"/>
          <w:szCs w:val="24"/>
        </w:rPr>
        <w:t xml:space="preserve"> </w:t>
      </w:r>
      <w:r>
        <w:rPr>
          <w:rFonts w:ascii="宋体" w:hAnsi="宋体" w:eastAsia="宋体" w:cs="宋体"/>
          <w:spacing w:val="-11"/>
          <w:sz w:val="24"/>
          <w:szCs w:val="24"/>
        </w:rPr>
        <w:t>不符合标准要求的，</w:t>
      </w:r>
      <w:r>
        <w:rPr>
          <w:rFonts w:ascii="宋体" w:hAnsi="宋体" w:eastAsia="宋体" w:cs="宋体"/>
          <w:spacing w:val="50"/>
          <w:sz w:val="24"/>
          <w:szCs w:val="24"/>
        </w:rPr>
        <w:t xml:space="preserve"> </w:t>
      </w:r>
      <w:r>
        <w:rPr>
          <w:rFonts w:ascii="宋体" w:hAnsi="宋体" w:eastAsia="宋体" w:cs="宋体"/>
          <w:spacing w:val="-11"/>
          <w:sz w:val="24"/>
          <w:szCs w:val="24"/>
        </w:rPr>
        <w:t>不得通过验收、交付使</w:t>
      </w:r>
      <w:r>
        <w:rPr>
          <w:rFonts w:ascii="宋体" w:hAnsi="宋体" w:eastAsia="宋体" w:cs="宋体"/>
          <w:sz w:val="24"/>
          <w:szCs w:val="24"/>
        </w:rPr>
        <w:t xml:space="preserve"> </w:t>
      </w:r>
      <w:r>
        <w:rPr>
          <w:rFonts w:ascii="宋体" w:hAnsi="宋体" w:eastAsia="宋体" w:cs="宋体"/>
          <w:spacing w:val="-8"/>
          <w:sz w:val="24"/>
          <w:szCs w:val="24"/>
        </w:rPr>
        <w:t>用；</w:t>
      </w:r>
      <w:r>
        <w:rPr>
          <w:rFonts w:ascii="宋体" w:hAnsi="宋体" w:eastAsia="宋体" w:cs="宋体"/>
          <w:spacing w:val="-41"/>
          <w:sz w:val="24"/>
          <w:szCs w:val="24"/>
        </w:rPr>
        <w:t xml:space="preserve"> </w:t>
      </w:r>
      <w:r>
        <w:rPr>
          <w:rFonts w:ascii="宋体" w:hAnsi="宋体" w:eastAsia="宋体" w:cs="宋体"/>
          <w:spacing w:val="-8"/>
          <w:sz w:val="24"/>
          <w:szCs w:val="24"/>
        </w:rPr>
        <w:t>在交通干线两侧、工业企业周边等地方建设噪声敏感建筑物，</w:t>
      </w:r>
      <w:r>
        <w:rPr>
          <w:rFonts w:ascii="宋体" w:hAnsi="宋体" w:eastAsia="宋体" w:cs="宋体"/>
          <w:spacing w:val="45"/>
          <w:sz w:val="24"/>
          <w:szCs w:val="24"/>
        </w:rPr>
        <w:t xml:space="preserve"> </w:t>
      </w:r>
      <w:r>
        <w:rPr>
          <w:rFonts w:ascii="宋体" w:hAnsi="宋体" w:eastAsia="宋体" w:cs="宋体"/>
          <w:spacing w:val="-8"/>
          <w:sz w:val="24"/>
          <w:szCs w:val="24"/>
        </w:rPr>
        <w:t>还应当按照规定间隔</w:t>
      </w:r>
      <w:r>
        <w:rPr>
          <w:rFonts w:ascii="宋体" w:hAnsi="宋体" w:eastAsia="宋体" w:cs="宋体"/>
          <w:sz w:val="24"/>
          <w:szCs w:val="24"/>
        </w:rPr>
        <w:t xml:space="preserve"> </w:t>
      </w:r>
      <w:r>
        <w:rPr>
          <w:rFonts w:ascii="宋体" w:hAnsi="宋体" w:eastAsia="宋体" w:cs="宋体"/>
          <w:spacing w:val="1"/>
          <w:sz w:val="24"/>
          <w:szCs w:val="24"/>
        </w:rPr>
        <w:t>一定距离，并采取减少振动、降低噪声的措施。</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。根据《地面交通噪声污染防</w:t>
      </w:r>
      <w:r>
        <w:rPr>
          <w:rFonts w:ascii="宋体" w:hAnsi="宋体" w:eastAsia="宋体" w:cs="宋体"/>
          <w:sz w:val="24"/>
          <w:szCs w:val="24"/>
        </w:rPr>
        <w:t xml:space="preserve">治技术 </w:t>
      </w:r>
      <w:r>
        <w:rPr>
          <w:rFonts w:ascii="宋体" w:hAnsi="宋体" w:eastAsia="宋体" w:cs="宋体"/>
          <w:spacing w:val="-4"/>
          <w:sz w:val="24"/>
          <w:szCs w:val="24"/>
        </w:rPr>
        <w:t>政策》（环发</w:t>
      </w:r>
      <w:r>
        <w:rPr>
          <w:rFonts w:ascii="Times New Roman" w:hAnsi="Times New Roman" w:eastAsia="Times New Roman" w:cs="Times New Roman"/>
          <w:spacing w:val="-4"/>
          <w:sz w:val="24"/>
          <w:szCs w:val="24"/>
        </w:rPr>
        <w:t>[2010]7</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号</w:t>
      </w:r>
      <w:r>
        <w:rPr>
          <w:rFonts w:ascii="宋体" w:hAnsi="宋体" w:eastAsia="宋体" w:cs="宋体"/>
          <w:spacing w:val="-14"/>
          <w:sz w:val="24"/>
          <w:szCs w:val="24"/>
        </w:rPr>
        <w:t>）</w:t>
      </w:r>
      <w:r>
        <w:rPr>
          <w:rFonts w:ascii="宋体" w:hAnsi="宋体" w:eastAsia="宋体" w:cs="宋体"/>
          <w:spacing w:val="-38"/>
          <w:sz w:val="24"/>
          <w:szCs w:val="24"/>
        </w:rPr>
        <w:t xml:space="preserve"> </w:t>
      </w:r>
      <w:r>
        <w:rPr>
          <w:rFonts w:ascii="宋体" w:hAnsi="宋体" w:eastAsia="宋体" w:cs="宋体"/>
          <w:spacing w:val="-14"/>
          <w:sz w:val="24"/>
          <w:szCs w:val="24"/>
        </w:rPr>
        <w:t>，</w:t>
      </w:r>
      <w:r>
        <w:rPr>
          <w:rFonts w:ascii="宋体" w:hAnsi="宋体" w:eastAsia="宋体" w:cs="宋体"/>
          <w:spacing w:val="-4"/>
          <w:sz w:val="24"/>
          <w:szCs w:val="24"/>
        </w:rPr>
        <w:t>在规划或已有地面交通设施邻近区域建设噪声敏感建</w:t>
      </w:r>
      <w:r>
        <w:rPr>
          <w:rFonts w:ascii="宋体" w:hAnsi="宋体" w:eastAsia="宋体" w:cs="宋体"/>
          <w:spacing w:val="-5"/>
          <w:sz w:val="24"/>
          <w:szCs w:val="24"/>
        </w:rPr>
        <w:t>筑物，</w:t>
      </w:r>
      <w:r>
        <w:rPr>
          <w:rFonts w:ascii="宋体" w:hAnsi="宋体" w:eastAsia="宋体" w:cs="宋体"/>
          <w:sz w:val="24"/>
          <w:szCs w:val="24"/>
        </w:rPr>
        <w:t xml:space="preserve"> </w:t>
      </w:r>
      <w:r>
        <w:rPr>
          <w:rFonts w:ascii="宋体" w:hAnsi="宋体" w:eastAsia="宋体" w:cs="宋体"/>
          <w:spacing w:val="-6"/>
          <w:sz w:val="24"/>
          <w:szCs w:val="24"/>
        </w:rPr>
        <w:t>建设单位应当采取间隔必要的距离、传声途径噪声削减等有效</w:t>
      </w:r>
      <w:r>
        <w:rPr>
          <w:rFonts w:ascii="宋体" w:hAnsi="宋体" w:eastAsia="宋体" w:cs="宋体"/>
          <w:spacing w:val="-7"/>
          <w:sz w:val="24"/>
          <w:szCs w:val="24"/>
        </w:rPr>
        <w:t>措施，</w:t>
      </w:r>
      <w:r>
        <w:rPr>
          <w:rFonts w:ascii="宋体" w:hAnsi="宋体" w:eastAsia="宋体" w:cs="宋体"/>
          <w:spacing w:val="66"/>
          <w:sz w:val="24"/>
          <w:szCs w:val="24"/>
        </w:rPr>
        <w:t xml:space="preserve"> </w:t>
      </w:r>
      <w:r>
        <w:rPr>
          <w:rFonts w:ascii="宋体" w:hAnsi="宋体" w:eastAsia="宋体" w:cs="宋体"/>
          <w:spacing w:val="-7"/>
          <w:sz w:val="24"/>
          <w:szCs w:val="24"/>
        </w:rPr>
        <w:t>以使室外声环境质</w:t>
      </w:r>
    </w:p>
    <w:p>
      <w:pPr>
        <w:spacing w:before="1" w:line="218" w:lineRule="auto"/>
        <w:ind w:left="38"/>
        <w:rPr>
          <w:rFonts w:ascii="宋体" w:hAnsi="宋体" w:eastAsia="宋体" w:cs="宋体"/>
          <w:sz w:val="24"/>
          <w:szCs w:val="24"/>
        </w:rPr>
      </w:pPr>
      <w:r>
        <w:rPr>
          <w:rFonts w:ascii="宋体" w:hAnsi="宋体" w:eastAsia="宋体" w:cs="宋体"/>
          <w:spacing w:val="-6"/>
          <w:sz w:val="24"/>
          <w:szCs w:val="24"/>
        </w:rPr>
        <w:t>量达标。根据以上法规和文件要求，</w:t>
      </w:r>
      <w:r>
        <w:rPr>
          <w:rFonts w:ascii="宋体" w:hAnsi="宋体" w:eastAsia="宋体" w:cs="宋体"/>
          <w:spacing w:val="54"/>
          <w:sz w:val="24"/>
          <w:szCs w:val="24"/>
        </w:rPr>
        <w:t xml:space="preserve"> </w:t>
      </w:r>
      <w:r>
        <w:rPr>
          <w:rFonts w:ascii="宋体" w:hAnsi="宋体" w:eastAsia="宋体" w:cs="宋体"/>
          <w:spacing w:val="-6"/>
          <w:sz w:val="24"/>
          <w:szCs w:val="24"/>
        </w:rPr>
        <w:t>公路沿线规划住宅和学校建设单位</w:t>
      </w:r>
      <w:r>
        <w:rPr>
          <w:rFonts w:ascii="宋体" w:hAnsi="宋体" w:eastAsia="宋体" w:cs="宋体"/>
          <w:spacing w:val="-7"/>
          <w:sz w:val="24"/>
          <w:szCs w:val="24"/>
        </w:rPr>
        <w:t>应采取减轻、避</w:t>
      </w:r>
    </w:p>
    <w:p>
      <w:pPr>
        <w:spacing w:line="218" w:lineRule="auto"/>
        <w:rPr>
          <w:rFonts w:ascii="宋体" w:hAnsi="宋体" w:eastAsia="宋体" w:cs="宋体"/>
          <w:sz w:val="24"/>
          <w:szCs w:val="24"/>
        </w:rPr>
        <w:sectPr>
          <w:headerReference r:id="rId324" w:type="default"/>
          <w:footerReference r:id="rId325" w:type="default"/>
          <w:pgSz w:w="11907" w:h="16839"/>
          <w:pgMar w:top="1118" w:right="1349" w:bottom="1037" w:left="1390" w:header="879" w:footer="874" w:gutter="0"/>
          <w:cols w:space="720" w:num="1"/>
        </w:sectPr>
      </w:pPr>
    </w:p>
    <w:p>
      <w:pPr>
        <w:pStyle w:val="2"/>
        <w:spacing w:line="257" w:lineRule="auto"/>
      </w:pPr>
    </w:p>
    <w:p>
      <w:pPr>
        <w:spacing w:before="78" w:line="220" w:lineRule="auto"/>
        <w:ind w:left="127"/>
        <w:rPr>
          <w:rFonts w:ascii="宋体" w:hAnsi="宋体" w:eastAsia="宋体" w:cs="宋体"/>
          <w:sz w:val="24"/>
          <w:szCs w:val="24"/>
        </w:rPr>
      </w:pPr>
      <w:r>
        <w:rPr>
          <w:rFonts w:ascii="宋体" w:hAnsi="宋体" w:eastAsia="宋体" w:cs="宋体"/>
          <w:spacing w:val="-5"/>
          <w:sz w:val="24"/>
          <w:szCs w:val="24"/>
        </w:rPr>
        <w:t>免交通噪声影响的措施。</w:t>
      </w:r>
    </w:p>
    <w:p>
      <w:pPr>
        <w:spacing w:before="179" w:line="219" w:lineRule="auto"/>
        <w:ind w:left="605"/>
        <w:rPr>
          <w:rFonts w:ascii="宋体" w:hAnsi="宋体" w:eastAsia="宋体" w:cs="宋体"/>
          <w:sz w:val="24"/>
          <w:szCs w:val="24"/>
        </w:rPr>
      </w:pPr>
      <w:r>
        <w:rPr>
          <w:rFonts w:ascii="宋体" w:hAnsi="宋体" w:eastAsia="宋体" w:cs="宋体"/>
          <w:spacing w:val="-11"/>
          <w:sz w:val="24"/>
          <w:szCs w:val="24"/>
        </w:rPr>
        <w:t>为了降低对声环境保护目标的影响，</w:t>
      </w:r>
      <w:r>
        <w:rPr>
          <w:rFonts w:ascii="宋体" w:hAnsi="宋体" w:eastAsia="宋体" w:cs="宋体"/>
          <w:spacing w:val="56"/>
          <w:sz w:val="24"/>
          <w:szCs w:val="24"/>
        </w:rPr>
        <w:t xml:space="preserve"> </w:t>
      </w:r>
      <w:r>
        <w:rPr>
          <w:rFonts w:ascii="宋体" w:hAnsi="宋体" w:eastAsia="宋体" w:cs="宋体"/>
          <w:spacing w:val="-11"/>
          <w:sz w:val="24"/>
          <w:szCs w:val="24"/>
        </w:rPr>
        <w:t>本次对超标声环境保护目标实施隔声窗，</w:t>
      </w:r>
      <w:r>
        <w:rPr>
          <w:rFonts w:ascii="宋体" w:hAnsi="宋体" w:eastAsia="宋体" w:cs="宋体"/>
          <w:spacing w:val="47"/>
          <w:sz w:val="24"/>
          <w:szCs w:val="24"/>
        </w:rPr>
        <w:t xml:space="preserve"> </w:t>
      </w:r>
      <w:r>
        <w:rPr>
          <w:rFonts w:ascii="宋体" w:hAnsi="宋体" w:eastAsia="宋体" w:cs="宋体"/>
          <w:spacing w:val="-11"/>
          <w:sz w:val="24"/>
          <w:szCs w:val="24"/>
        </w:rPr>
        <w:t>改善</w:t>
      </w:r>
    </w:p>
    <w:p>
      <w:pPr>
        <w:spacing w:before="183" w:line="466" w:lineRule="exact"/>
        <w:ind w:left="123"/>
        <w:rPr>
          <w:rFonts w:ascii="宋体" w:hAnsi="宋体" w:eastAsia="宋体" w:cs="宋体"/>
          <w:sz w:val="24"/>
          <w:szCs w:val="24"/>
        </w:rPr>
      </w:pPr>
      <w:r>
        <w:rPr>
          <w:rFonts w:ascii="宋体" w:hAnsi="宋体" w:eastAsia="宋体" w:cs="宋体"/>
          <w:position w:val="17"/>
          <w:sz w:val="24"/>
          <w:szCs w:val="24"/>
        </w:rPr>
        <w:t>和保证敏感点有一个良好的室内声环境。根据《建筑环境通用规范》</w:t>
      </w:r>
      <w:r>
        <w:rPr>
          <w:rFonts w:ascii="Times New Roman" w:hAnsi="Times New Roman" w:eastAsia="Times New Roman" w:cs="Times New Roman"/>
          <w:position w:val="17"/>
          <w:sz w:val="24"/>
          <w:szCs w:val="24"/>
        </w:rPr>
        <w:t>(GB</w:t>
      </w:r>
      <w:r>
        <w:rPr>
          <w:rFonts w:ascii="Times New Roman" w:hAnsi="Times New Roman" w:eastAsia="Times New Roman" w:cs="Times New Roman"/>
          <w:spacing w:val="-1"/>
          <w:position w:val="17"/>
          <w:sz w:val="24"/>
          <w:szCs w:val="24"/>
        </w:rPr>
        <w:t>55016-2021)</w:t>
      </w:r>
      <w:r>
        <w:rPr>
          <w:rFonts w:ascii="宋体" w:hAnsi="宋体" w:eastAsia="宋体" w:cs="宋体"/>
          <w:spacing w:val="-1"/>
          <w:position w:val="17"/>
          <w:sz w:val="24"/>
          <w:szCs w:val="24"/>
        </w:rPr>
        <w:t>，</w:t>
      </w:r>
    </w:p>
    <w:p>
      <w:pPr>
        <w:spacing w:before="1" w:line="212" w:lineRule="auto"/>
        <w:ind w:left="125"/>
        <w:rPr>
          <w:rFonts w:ascii="宋体" w:hAnsi="宋体" w:eastAsia="宋体" w:cs="宋体"/>
          <w:sz w:val="24"/>
          <w:szCs w:val="24"/>
        </w:rPr>
      </w:pPr>
      <w:bookmarkStart w:id="44" w:name="bookmark67"/>
      <w:bookmarkEnd w:id="44"/>
      <w:r>
        <w:fldChar w:fldCharType="begin"/>
      </w:r>
      <w:r>
        <w:instrText xml:space="preserve"> HYPERLINK \l "bookmark67" </w:instrText>
      </w:r>
      <w:r>
        <w:fldChar w:fldCharType="separate"/>
      </w:r>
      <w:r>
        <w:rPr>
          <w:rFonts w:ascii="宋体" w:hAnsi="宋体" w:eastAsia="宋体" w:cs="宋体"/>
          <w:sz w:val="24"/>
          <w:szCs w:val="24"/>
        </w:rPr>
        <w:t>建筑物外部噪声源传播至主要功能房间室内的</w:t>
      </w:r>
      <w:r>
        <w:rPr>
          <w:rFonts w:ascii="宋体" w:hAnsi="宋体" w:eastAsia="宋体" w:cs="宋体"/>
          <w:spacing w:val="-1"/>
          <w:sz w:val="24"/>
          <w:szCs w:val="24"/>
        </w:rPr>
        <w:t xml:space="preserve">噪声限值应符合表 </w:t>
      </w:r>
      <w:r>
        <w:rPr>
          <w:rFonts w:ascii="Times New Roman" w:hAnsi="Times New Roman" w:eastAsia="Times New Roman" w:cs="Times New Roman"/>
          <w:spacing w:val="-1"/>
          <w:sz w:val="24"/>
          <w:szCs w:val="24"/>
        </w:rPr>
        <w:t>0-1</w:t>
      </w:r>
      <w:r>
        <w:rPr>
          <w:rFonts w:ascii="宋体" w:hAnsi="宋体" w:eastAsia="宋体" w:cs="宋体"/>
          <w:spacing w:val="-1"/>
          <w:sz w:val="24"/>
          <w:szCs w:val="24"/>
        </w:rPr>
        <w:t>。</w:t>
      </w:r>
      <w:r>
        <w:rPr>
          <w:rFonts w:ascii="宋体" w:hAnsi="宋体" w:eastAsia="宋体" w:cs="宋体"/>
          <w:spacing w:val="-1"/>
          <w:sz w:val="24"/>
          <w:szCs w:val="24"/>
        </w:rPr>
        <w:fldChar w:fldCharType="end"/>
      </w:r>
    </w:p>
    <w:p>
      <w:pPr>
        <w:spacing w:before="190" w:line="219" w:lineRule="auto"/>
        <w:ind w:left="1676"/>
        <w:rPr>
          <w:rFonts w:ascii="宋体" w:hAnsi="宋体" w:eastAsia="宋体" w:cs="宋体"/>
          <w:sz w:val="24"/>
          <w:szCs w:val="24"/>
        </w:rPr>
      </w:pPr>
      <w:r>
        <w:rPr>
          <w:rFonts w:ascii="宋体" w:hAnsi="宋体" w:eastAsia="宋体" w:cs="宋体"/>
          <w:spacing w:val="-1"/>
          <w:sz w:val="24"/>
          <w:szCs w:val="24"/>
        </w:rPr>
        <w:t xml:space="preserve">表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建筑物外部噪声源传播至建功能房间室内</w:t>
      </w:r>
      <w:r>
        <w:rPr>
          <w:rFonts w:ascii="宋体" w:hAnsi="宋体" w:eastAsia="宋体" w:cs="宋体"/>
          <w:spacing w:val="-2"/>
          <w:sz w:val="24"/>
          <w:szCs w:val="24"/>
        </w:rPr>
        <w:t>的噪声限值</w:t>
      </w:r>
    </w:p>
    <w:p>
      <w:pPr>
        <w:spacing w:line="144" w:lineRule="exact"/>
      </w:pPr>
    </w:p>
    <w:tbl>
      <w:tblPr>
        <w:tblStyle w:val="5"/>
        <w:tblW w:w="92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2"/>
        <w:gridCol w:w="3097"/>
        <w:gridCol w:w="31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092" w:type="dxa"/>
            <w:vMerge w:val="restart"/>
            <w:tcBorders>
              <w:bottom w:val="nil"/>
            </w:tcBorders>
            <w:vAlign w:val="top"/>
          </w:tcPr>
          <w:p>
            <w:pPr>
              <w:pStyle w:val="6"/>
              <w:spacing w:before="245" w:line="221" w:lineRule="auto"/>
              <w:ind w:left="817"/>
            </w:pPr>
            <w:r>
              <w:rPr>
                <w:spacing w:val="-1"/>
              </w:rPr>
              <w:t>房间的使用功能</w:t>
            </w:r>
          </w:p>
        </w:tc>
        <w:tc>
          <w:tcPr>
            <w:tcW w:w="6199" w:type="dxa"/>
            <w:gridSpan w:val="2"/>
            <w:vAlign w:val="top"/>
          </w:tcPr>
          <w:p>
            <w:pPr>
              <w:pStyle w:val="6"/>
              <w:spacing w:before="82" w:line="209" w:lineRule="auto"/>
              <w:ind w:left="1698"/>
              <w:rPr>
                <w:rFonts w:ascii="Times New Roman" w:hAnsi="Times New Roman" w:eastAsia="Times New Roman" w:cs="Times New Roman"/>
              </w:rPr>
            </w:pPr>
            <w:r>
              <w:rPr>
                <w:spacing w:val="-2"/>
              </w:rPr>
              <w:t>噪声限值</w:t>
            </w:r>
            <w:r>
              <w:rPr>
                <w:rFonts w:ascii="Times New Roman" w:hAnsi="Times New Roman" w:eastAsia="Times New Roman" w:cs="Times New Roman"/>
                <w:spacing w:val="-2"/>
              </w:rPr>
              <w:t>(</w:t>
            </w:r>
            <w:r>
              <w:rPr>
                <w:spacing w:val="-2"/>
              </w:rPr>
              <w:t>等效声级</w:t>
            </w:r>
            <w:r>
              <w:rPr>
                <w:spacing w:val="-33"/>
              </w:rPr>
              <w:t xml:space="preserve"> </w:t>
            </w:r>
            <w:r>
              <w:rPr>
                <w:rFonts w:ascii="Times New Roman" w:hAnsi="Times New Roman" w:eastAsia="Times New Roman" w:cs="Times New Roman"/>
                <w:spacing w:val="-2"/>
              </w:rPr>
              <w:t>LAeq,T,dB)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3092" w:type="dxa"/>
            <w:vMerge w:val="continue"/>
            <w:tcBorders>
              <w:top w:val="nil"/>
            </w:tcBorders>
            <w:vAlign w:val="top"/>
          </w:tcPr>
          <w:p>
            <w:pPr>
              <w:rPr>
                <w:rFonts w:ascii="Arial"/>
                <w:sz w:val="21"/>
              </w:rPr>
            </w:pPr>
          </w:p>
        </w:tc>
        <w:tc>
          <w:tcPr>
            <w:tcW w:w="3097" w:type="dxa"/>
            <w:vAlign w:val="top"/>
          </w:tcPr>
          <w:p>
            <w:pPr>
              <w:pStyle w:val="6"/>
              <w:spacing w:before="76" w:line="208" w:lineRule="auto"/>
              <w:ind w:left="1341"/>
            </w:pPr>
            <w:r>
              <w:rPr>
                <w:spacing w:val="-2"/>
              </w:rPr>
              <w:t>昼间</w:t>
            </w:r>
          </w:p>
        </w:tc>
        <w:tc>
          <w:tcPr>
            <w:tcW w:w="3102" w:type="dxa"/>
            <w:vAlign w:val="top"/>
          </w:tcPr>
          <w:p>
            <w:pPr>
              <w:pStyle w:val="6"/>
              <w:spacing w:before="76" w:line="208" w:lineRule="auto"/>
              <w:ind w:left="1347"/>
            </w:pPr>
            <w:r>
              <w:rPr>
                <w:spacing w:val="-3"/>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3092" w:type="dxa"/>
            <w:vAlign w:val="top"/>
          </w:tcPr>
          <w:p>
            <w:pPr>
              <w:pStyle w:val="6"/>
              <w:spacing w:before="79" w:line="207" w:lineRule="auto"/>
              <w:ind w:left="1351"/>
            </w:pPr>
            <w:r>
              <w:rPr>
                <w:spacing w:val="-4"/>
              </w:rPr>
              <w:t>睡眠</w:t>
            </w:r>
          </w:p>
        </w:tc>
        <w:tc>
          <w:tcPr>
            <w:tcW w:w="3097" w:type="dxa"/>
            <w:vAlign w:val="top"/>
          </w:tcPr>
          <w:p>
            <w:pPr>
              <w:spacing w:before="117" w:line="187" w:lineRule="auto"/>
              <w:ind w:left="14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3102" w:type="dxa"/>
            <w:vAlign w:val="top"/>
          </w:tcPr>
          <w:p>
            <w:pPr>
              <w:spacing w:before="117" w:line="187" w:lineRule="auto"/>
              <w:ind w:left="145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3092" w:type="dxa"/>
            <w:vAlign w:val="top"/>
          </w:tcPr>
          <w:p>
            <w:pPr>
              <w:pStyle w:val="6"/>
              <w:spacing w:before="78" w:line="207" w:lineRule="auto"/>
              <w:ind w:left="1167"/>
            </w:pPr>
            <w:r>
              <w:rPr>
                <w:spacing w:val="-11"/>
              </w:rPr>
              <w:t>日常生活</w:t>
            </w:r>
          </w:p>
        </w:tc>
        <w:tc>
          <w:tcPr>
            <w:tcW w:w="6199" w:type="dxa"/>
            <w:gridSpan w:val="2"/>
            <w:vAlign w:val="top"/>
          </w:tcPr>
          <w:p>
            <w:pPr>
              <w:spacing w:before="117" w:line="187" w:lineRule="auto"/>
              <w:ind w:left="29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3092" w:type="dxa"/>
            <w:vAlign w:val="top"/>
          </w:tcPr>
          <w:p>
            <w:pPr>
              <w:pStyle w:val="6"/>
              <w:spacing w:before="80" w:line="206" w:lineRule="auto"/>
              <w:ind w:left="623"/>
            </w:pPr>
            <w:r>
              <w:rPr>
                <w:spacing w:val="-6"/>
              </w:rPr>
              <w:t>阅读、自学、思考。</w:t>
            </w:r>
          </w:p>
        </w:tc>
        <w:tc>
          <w:tcPr>
            <w:tcW w:w="6199" w:type="dxa"/>
            <w:gridSpan w:val="2"/>
            <w:vAlign w:val="top"/>
          </w:tcPr>
          <w:p>
            <w:pPr>
              <w:spacing w:before="119" w:line="187" w:lineRule="auto"/>
              <w:ind w:left="29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092" w:type="dxa"/>
            <w:vAlign w:val="top"/>
          </w:tcPr>
          <w:p>
            <w:pPr>
              <w:pStyle w:val="6"/>
              <w:spacing w:before="79" w:line="211" w:lineRule="auto"/>
              <w:ind w:left="399"/>
            </w:pPr>
            <w:r>
              <w:rPr>
                <w:spacing w:val="-1"/>
              </w:rPr>
              <w:t>教学、医疗、办公、会议</w:t>
            </w:r>
          </w:p>
        </w:tc>
        <w:tc>
          <w:tcPr>
            <w:tcW w:w="6199" w:type="dxa"/>
            <w:gridSpan w:val="2"/>
            <w:vAlign w:val="top"/>
          </w:tcPr>
          <w:p>
            <w:pPr>
              <w:spacing w:before="118" w:line="187" w:lineRule="auto"/>
              <w:ind w:left="29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r>
    </w:tbl>
    <w:p>
      <w:pPr>
        <w:spacing w:before="29" w:line="221" w:lineRule="auto"/>
        <w:ind w:left="560"/>
        <w:rPr>
          <w:rFonts w:ascii="宋体" w:hAnsi="宋体" w:eastAsia="宋体" w:cs="宋体"/>
          <w:sz w:val="21"/>
          <w:szCs w:val="21"/>
        </w:rPr>
      </w:pPr>
      <w:r>
        <w:rPr>
          <w:rFonts w:ascii="宋体" w:hAnsi="宋体" w:eastAsia="宋体" w:cs="宋体"/>
          <w:spacing w:val="-5"/>
          <w:sz w:val="21"/>
          <w:szCs w:val="21"/>
        </w:rPr>
        <w:t>注：当建筑位于</w:t>
      </w:r>
      <w:r>
        <w:rPr>
          <w:rFonts w:ascii="宋体" w:hAnsi="宋体" w:eastAsia="宋体" w:cs="宋体"/>
          <w:spacing w:val="-34"/>
          <w:sz w:val="21"/>
          <w:szCs w:val="21"/>
        </w:rPr>
        <w:t xml:space="preserve"> </w:t>
      </w:r>
      <w:r>
        <w:rPr>
          <w:rFonts w:ascii="Times New Roman" w:hAnsi="Times New Roman" w:eastAsia="Times New Roman" w:cs="Times New Roman"/>
          <w:spacing w:val="-5"/>
          <w:sz w:val="21"/>
          <w:szCs w:val="21"/>
        </w:rPr>
        <w:t xml:space="preserve">2 </w:t>
      </w:r>
      <w:r>
        <w:rPr>
          <w:rFonts w:ascii="宋体" w:hAnsi="宋体" w:eastAsia="宋体" w:cs="宋体"/>
          <w:spacing w:val="-5"/>
          <w:sz w:val="21"/>
          <w:szCs w:val="21"/>
        </w:rPr>
        <w:t>类、</w:t>
      </w:r>
      <w:r>
        <w:rPr>
          <w:rFonts w:ascii="宋体" w:hAnsi="宋体" w:eastAsia="宋体" w:cs="宋体"/>
          <w:spacing w:val="-32"/>
          <w:sz w:val="21"/>
          <w:szCs w:val="21"/>
        </w:rPr>
        <w:t xml:space="preserve"> </w:t>
      </w:r>
      <w:r>
        <w:rPr>
          <w:rFonts w:ascii="Times New Roman" w:hAnsi="Times New Roman" w:eastAsia="Times New Roman" w:cs="Times New Roman"/>
          <w:spacing w:val="-5"/>
          <w:sz w:val="21"/>
          <w:szCs w:val="21"/>
        </w:rPr>
        <w:t xml:space="preserve">3 </w:t>
      </w:r>
      <w:r>
        <w:rPr>
          <w:rFonts w:ascii="宋体" w:hAnsi="宋体" w:eastAsia="宋体" w:cs="宋体"/>
          <w:spacing w:val="-5"/>
          <w:sz w:val="21"/>
          <w:szCs w:val="21"/>
        </w:rPr>
        <w:t>类、</w:t>
      </w:r>
      <w:r>
        <w:rPr>
          <w:rFonts w:ascii="宋体" w:hAnsi="宋体" w:eastAsia="宋体" w:cs="宋体"/>
          <w:spacing w:val="-37"/>
          <w:sz w:val="21"/>
          <w:szCs w:val="21"/>
        </w:rPr>
        <w:t xml:space="preserve"> </w:t>
      </w:r>
      <w:r>
        <w:rPr>
          <w:rFonts w:ascii="Times New Roman" w:hAnsi="Times New Roman" w:eastAsia="Times New Roman" w:cs="Times New Roman"/>
          <w:spacing w:val="-5"/>
          <w:sz w:val="21"/>
          <w:szCs w:val="21"/>
        </w:rPr>
        <w:t xml:space="preserve">4 </w:t>
      </w:r>
      <w:r>
        <w:rPr>
          <w:rFonts w:ascii="宋体" w:hAnsi="宋体" w:eastAsia="宋体" w:cs="宋体"/>
          <w:spacing w:val="-5"/>
          <w:sz w:val="21"/>
          <w:szCs w:val="21"/>
        </w:rPr>
        <w:t>类声功能区时，噪声限值可放宽</w:t>
      </w:r>
      <w:r>
        <w:rPr>
          <w:rFonts w:ascii="宋体" w:hAnsi="宋体" w:eastAsia="宋体" w:cs="宋体"/>
          <w:spacing w:val="-42"/>
          <w:sz w:val="21"/>
          <w:szCs w:val="21"/>
        </w:rPr>
        <w:t xml:space="preserve"> </w:t>
      </w:r>
      <w:r>
        <w:rPr>
          <w:rFonts w:ascii="Times New Roman" w:hAnsi="Times New Roman" w:eastAsia="Times New Roman" w:cs="Times New Roman"/>
          <w:spacing w:val="-5"/>
          <w:sz w:val="21"/>
          <w:szCs w:val="21"/>
        </w:rPr>
        <w:t>5dB</w:t>
      </w:r>
      <w:r>
        <w:rPr>
          <w:rFonts w:ascii="宋体" w:hAnsi="宋体" w:eastAsia="宋体" w:cs="宋体"/>
          <w:spacing w:val="-5"/>
          <w:sz w:val="21"/>
          <w:szCs w:val="21"/>
        </w:rPr>
        <w:t>。</w:t>
      </w:r>
    </w:p>
    <w:p>
      <w:pPr>
        <w:spacing w:before="154" w:line="219" w:lineRule="auto"/>
        <w:ind w:left="602"/>
        <w:rPr>
          <w:rFonts w:ascii="宋体" w:hAnsi="宋体" w:eastAsia="宋体" w:cs="宋体"/>
          <w:sz w:val="24"/>
          <w:szCs w:val="24"/>
        </w:rPr>
      </w:pPr>
      <w:r>
        <w:rPr>
          <w:rFonts w:ascii="宋体" w:hAnsi="宋体" w:eastAsia="宋体" w:cs="宋体"/>
          <w:spacing w:val="-5"/>
          <w:sz w:val="24"/>
          <w:szCs w:val="24"/>
        </w:rPr>
        <w:t>根据预测结果， 考虑对工程营运远期采取降噪措施后室外噪声仍超标的敏感建筑进</w:t>
      </w:r>
    </w:p>
    <w:p>
      <w:pPr>
        <w:spacing w:before="175" w:line="354" w:lineRule="auto"/>
        <w:ind w:left="130" w:right="112" w:hanging="4"/>
        <w:jc w:val="both"/>
        <w:rPr>
          <w:rFonts w:ascii="宋体" w:hAnsi="宋体" w:eastAsia="宋体" w:cs="宋体"/>
          <w:sz w:val="24"/>
          <w:szCs w:val="24"/>
        </w:rPr>
      </w:pPr>
      <w:r>
        <w:rPr>
          <w:rFonts w:ascii="宋体" w:hAnsi="宋体" w:eastAsia="宋体" w:cs="宋体"/>
          <w:spacing w:val="2"/>
          <w:sz w:val="24"/>
          <w:szCs w:val="24"/>
        </w:rPr>
        <w:t>一步采取隔声窗措施使其室内达到《建筑环境通用规范》</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55016-2</w:t>
      </w:r>
      <w:r>
        <w:rPr>
          <w:rFonts w:ascii="Times New Roman" w:hAnsi="Times New Roman" w:eastAsia="Times New Roman" w:cs="Times New Roman"/>
          <w:spacing w:val="1"/>
          <w:sz w:val="24"/>
          <w:szCs w:val="24"/>
        </w:rPr>
        <w:t>021)</w:t>
      </w:r>
      <w:r>
        <w:rPr>
          <w:rFonts w:ascii="宋体" w:hAnsi="宋体" w:eastAsia="宋体" w:cs="宋体"/>
          <w:spacing w:val="1"/>
          <w:sz w:val="24"/>
          <w:szCs w:val="24"/>
        </w:rPr>
        <w:t>中规定的</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9"/>
          <w:sz w:val="24"/>
          <w:szCs w:val="24"/>
        </w:rPr>
        <w:t xml:space="preserve"> </w:t>
      </w:r>
      <w:r>
        <w:rPr>
          <w:rFonts w:ascii="宋体" w:hAnsi="宋体" w:eastAsia="宋体" w:cs="宋体"/>
          <w:spacing w:val="1"/>
          <w:sz w:val="24"/>
          <w:szCs w:val="24"/>
        </w:rPr>
        <w:t>睡</w:t>
      </w:r>
      <w:r>
        <w:rPr>
          <w:rFonts w:ascii="宋体" w:hAnsi="宋体" w:eastAsia="宋体" w:cs="宋体"/>
          <w:sz w:val="24"/>
          <w:szCs w:val="24"/>
        </w:rPr>
        <w:t xml:space="preserve"> </w:t>
      </w:r>
      <w:r>
        <w:rPr>
          <w:rFonts w:ascii="宋体" w:hAnsi="宋体" w:eastAsia="宋体" w:cs="宋体"/>
          <w:spacing w:val="-4"/>
          <w:sz w:val="24"/>
          <w:szCs w:val="24"/>
        </w:rPr>
        <w:t>眠</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1"/>
          <w:sz w:val="24"/>
          <w:szCs w:val="24"/>
        </w:rPr>
        <w:t xml:space="preserve"> </w:t>
      </w:r>
      <w:r>
        <w:fldChar w:fldCharType="begin"/>
      </w:r>
      <w:r>
        <w:instrText xml:space="preserve"> HYPERLINK \l "bookmark68" </w:instrText>
      </w:r>
      <w:r>
        <w:fldChar w:fldCharType="separate"/>
      </w:r>
      <w:r>
        <w:rPr>
          <w:rFonts w:ascii="宋体" w:hAnsi="宋体" w:eastAsia="宋体" w:cs="宋体"/>
          <w:spacing w:val="-4"/>
          <w:sz w:val="24"/>
          <w:szCs w:val="24"/>
        </w:rPr>
        <w:t xml:space="preserve">允许噪声级。不同级别隔声窗的计权隔声量见表 </w:t>
      </w:r>
      <w:r>
        <w:rPr>
          <w:rFonts w:ascii="Times New Roman" w:hAnsi="Times New Roman" w:eastAsia="Times New Roman" w:cs="Times New Roman"/>
          <w:spacing w:val="-4"/>
          <w:sz w:val="24"/>
          <w:szCs w:val="24"/>
        </w:rPr>
        <w:t>0-2</w:t>
      </w:r>
      <w:r>
        <w:rPr>
          <w:rFonts w:ascii="宋体" w:hAnsi="宋体" w:eastAsia="宋体" w:cs="宋体"/>
          <w:spacing w:val="-4"/>
          <w:sz w:val="24"/>
          <w:szCs w:val="24"/>
        </w:rPr>
        <w:t>。各保护目标需安装隔声窗的户</w:t>
      </w:r>
      <w:r>
        <w:rPr>
          <w:rFonts w:ascii="宋体" w:hAnsi="宋体" w:eastAsia="宋体" w:cs="宋体"/>
          <w:spacing w:val="-4"/>
          <w:sz w:val="24"/>
          <w:szCs w:val="24"/>
        </w:rPr>
        <w:fldChar w:fldCharType="end"/>
      </w:r>
    </w:p>
    <w:p>
      <w:pPr>
        <w:spacing w:before="1" w:line="233" w:lineRule="auto"/>
        <w:ind w:left="124"/>
        <w:rPr>
          <w:rFonts w:ascii="宋体" w:hAnsi="宋体" w:eastAsia="宋体" w:cs="宋体"/>
          <w:sz w:val="24"/>
          <w:szCs w:val="24"/>
        </w:rPr>
      </w:pPr>
      <w:bookmarkStart w:id="45" w:name="bookmark68"/>
      <w:bookmarkEnd w:id="45"/>
      <w:r>
        <w:rPr>
          <w:rFonts w:ascii="宋体" w:hAnsi="宋体" w:eastAsia="宋体" w:cs="宋体"/>
          <w:spacing w:val="-1"/>
          <w:sz w:val="24"/>
          <w:szCs w:val="24"/>
        </w:rPr>
        <w:t>数及其降噪量要求详见</w:t>
      </w:r>
      <w:r>
        <w:rPr>
          <w:rFonts w:ascii="宋体" w:hAnsi="宋体" w:eastAsia="宋体" w:cs="宋体"/>
          <w:spacing w:val="-1"/>
          <w:sz w:val="24"/>
          <w:szCs w:val="24"/>
          <w14:textOutline w14:w="4354" w14:cap="flat" w14:cmpd="sng">
            <w14:solidFill>
              <w14:srgbClr w14:val="000000"/>
            </w14:solidFill>
            <w14:prstDash w14:val="solid"/>
            <w14:miter w14:val="0"/>
          </w14:textOutline>
        </w:rPr>
        <w:t>错误</w:t>
      </w:r>
      <w:r>
        <w:rPr>
          <w:rFonts w:ascii="Times New Roman" w:hAnsi="Times New Roman" w:eastAsia="Times New Roman" w:cs="Times New Roman"/>
          <w:b/>
          <w:bCs/>
          <w:spacing w:val="-1"/>
          <w:sz w:val="24"/>
          <w:szCs w:val="24"/>
        </w:rPr>
        <w:t>!</w:t>
      </w:r>
      <w:r>
        <w:rPr>
          <w:rFonts w:ascii="宋体" w:hAnsi="宋体" w:eastAsia="宋体" w:cs="宋体"/>
          <w:spacing w:val="-1"/>
          <w:sz w:val="24"/>
          <w:szCs w:val="24"/>
          <w14:textOutline w14:w="4354" w14:cap="flat" w14:cmpd="sng">
            <w14:solidFill>
              <w14:srgbClr w14:val="000000"/>
            </w14:solidFill>
            <w14:prstDash w14:val="solid"/>
            <w14:miter w14:val="0"/>
          </w14:textOutline>
        </w:rPr>
        <w:t>未找到引用源。</w:t>
      </w:r>
      <w:r>
        <w:rPr>
          <w:rFonts w:ascii="宋体" w:hAnsi="宋体" w:eastAsia="宋体" w:cs="宋体"/>
          <w:spacing w:val="-1"/>
          <w:sz w:val="24"/>
          <w:szCs w:val="24"/>
        </w:rPr>
        <w:t>。</w:t>
      </w:r>
    </w:p>
    <w:p>
      <w:pPr>
        <w:spacing w:before="154" w:line="220" w:lineRule="auto"/>
        <w:ind w:left="2876"/>
        <w:rPr>
          <w:rFonts w:ascii="宋体" w:hAnsi="宋体" w:eastAsia="宋体" w:cs="宋体"/>
          <w:sz w:val="24"/>
          <w:szCs w:val="24"/>
        </w:rPr>
      </w:pPr>
      <w:r>
        <w:rPr>
          <w:rFonts w:ascii="宋体" w:hAnsi="宋体" w:eastAsia="宋体" w:cs="宋体"/>
          <w:spacing w:val="-1"/>
          <w:sz w:val="24"/>
          <w:szCs w:val="24"/>
        </w:rPr>
        <w:t xml:space="preserve">表 </w:t>
      </w:r>
      <w:r>
        <w:rPr>
          <w:rFonts w:ascii="Times New Roman" w:hAnsi="Times New Roman" w:eastAsia="Times New Roman" w:cs="Times New Roman"/>
          <w:spacing w:val="-1"/>
          <w:sz w:val="24"/>
          <w:szCs w:val="24"/>
        </w:rPr>
        <w:t xml:space="preserve">0-2    </w:t>
      </w:r>
      <w:r>
        <w:rPr>
          <w:rFonts w:ascii="宋体" w:hAnsi="宋体" w:eastAsia="宋体" w:cs="宋体"/>
          <w:spacing w:val="-1"/>
          <w:sz w:val="24"/>
          <w:szCs w:val="24"/>
        </w:rPr>
        <w:t>不同级别隔声窗的计权隔声量</w:t>
      </w:r>
    </w:p>
    <w:p>
      <w:pPr>
        <w:spacing w:line="135" w:lineRule="auto"/>
        <w:rPr>
          <w:rFonts w:ascii="Arial"/>
          <w:sz w:val="2"/>
        </w:rPr>
      </w:pPr>
    </w:p>
    <w:tbl>
      <w:tblPr>
        <w:tblStyle w:val="5"/>
        <w:tblW w:w="92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5"/>
        <w:gridCol w:w="67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555" w:type="dxa"/>
            <w:vAlign w:val="top"/>
          </w:tcPr>
          <w:p>
            <w:pPr>
              <w:pStyle w:val="6"/>
              <w:spacing w:before="92" w:line="217" w:lineRule="auto"/>
              <w:ind w:left="1076"/>
            </w:pPr>
            <w:r>
              <w:rPr>
                <w:spacing w:val="-3"/>
              </w:rPr>
              <w:t>分级</w:t>
            </w:r>
          </w:p>
        </w:tc>
        <w:tc>
          <w:tcPr>
            <w:tcW w:w="6736" w:type="dxa"/>
            <w:vAlign w:val="top"/>
          </w:tcPr>
          <w:p>
            <w:pPr>
              <w:pStyle w:val="6"/>
              <w:spacing w:before="91" w:line="214" w:lineRule="auto"/>
              <w:ind w:left="2640"/>
              <w:rPr>
                <w:rFonts w:ascii="Times New Roman" w:hAnsi="Times New Roman" w:eastAsia="Times New Roman" w:cs="Times New Roman"/>
              </w:rPr>
            </w:pPr>
            <w:r>
              <w:t>计权隔声量</w:t>
            </w:r>
            <w:r>
              <w:rPr>
                <w:rFonts w:ascii="Times New Roman" w:hAnsi="Times New Roman" w:eastAsia="Times New Roman" w:cs="Times New Roman"/>
              </w:rPr>
              <w:t>(R</w:t>
            </w:r>
            <w:r>
              <w:rPr>
                <w:rFonts w:ascii="Times New Roman" w:hAnsi="Times New Roman" w:eastAsia="Times New Roman" w:cs="Times New Roman"/>
                <w:position w:val="-1"/>
                <w:sz w:val="13"/>
                <w:szCs w:val="13"/>
              </w:rPr>
              <w:t>W</w:t>
            </w:r>
            <w:r>
              <w:rPr>
                <w:rFonts w:ascii="Times New Roman" w:hAnsi="Times New Roman" w:eastAsia="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55" w:type="dxa"/>
            <w:vAlign w:val="top"/>
          </w:tcPr>
          <w:p>
            <w:pPr>
              <w:spacing w:before="127" w:line="187" w:lineRule="auto"/>
              <w:ind w:left="124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36" w:type="dxa"/>
            <w:vAlign w:val="top"/>
          </w:tcPr>
          <w:p>
            <w:pPr>
              <w:spacing w:before="123" w:line="210" w:lineRule="auto"/>
              <w:ind w:left="29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r>
              <w:rPr>
                <w:rFonts w:ascii="Times New Roman" w:hAnsi="Times New Roman" w:eastAsia="Times New Roman" w:cs="Times New Roman"/>
                <w:sz w:val="21"/>
                <w:szCs w:val="21"/>
              </w:rPr>
              <w:t>R</w:t>
            </w:r>
            <w:r>
              <w:rPr>
                <w:rFonts w:ascii="Times New Roman" w:hAnsi="Times New Roman" w:eastAsia="Times New Roman" w:cs="Times New Roman"/>
                <w:position w:val="-1"/>
                <w:sz w:val="13"/>
                <w:szCs w:val="13"/>
              </w:rPr>
              <w:t>W</w:t>
            </w:r>
            <w:r>
              <w:rPr>
                <w:rFonts w:ascii="Times New Roman" w:hAnsi="Times New Roman" w:eastAsia="Times New Roman" w:cs="Times New Roman"/>
                <w:spacing w:val="1"/>
                <w:sz w:val="21"/>
                <w:szCs w:val="21"/>
              </w:rPr>
              <w:t>&lt;25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55" w:type="dxa"/>
            <w:vAlign w:val="top"/>
          </w:tcPr>
          <w:p>
            <w:pPr>
              <w:spacing w:before="125" w:line="187" w:lineRule="auto"/>
              <w:ind w:left="12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736" w:type="dxa"/>
            <w:vAlign w:val="top"/>
          </w:tcPr>
          <w:p>
            <w:pPr>
              <w:spacing w:before="121" w:line="212" w:lineRule="auto"/>
              <w:ind w:left="29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r>
              <w:rPr>
                <w:rFonts w:ascii="Times New Roman" w:hAnsi="Times New Roman" w:eastAsia="Times New Roman" w:cs="Times New Roman"/>
                <w:sz w:val="21"/>
                <w:szCs w:val="21"/>
              </w:rPr>
              <w:t>R</w:t>
            </w:r>
            <w:r>
              <w:rPr>
                <w:rFonts w:ascii="Times New Roman" w:hAnsi="Times New Roman" w:eastAsia="Times New Roman" w:cs="Times New Roman"/>
                <w:position w:val="-1"/>
                <w:sz w:val="13"/>
                <w:szCs w:val="13"/>
              </w:rPr>
              <w:t>W</w:t>
            </w:r>
            <w:r>
              <w:rPr>
                <w:rFonts w:ascii="Times New Roman" w:hAnsi="Times New Roman" w:eastAsia="Times New Roman" w:cs="Times New Roman"/>
                <w:spacing w:val="1"/>
                <w:sz w:val="21"/>
                <w:szCs w:val="21"/>
              </w:rPr>
              <w:t>&lt;30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555" w:type="dxa"/>
            <w:vAlign w:val="top"/>
          </w:tcPr>
          <w:p>
            <w:pPr>
              <w:spacing w:before="125" w:line="187" w:lineRule="auto"/>
              <w:ind w:left="122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736" w:type="dxa"/>
            <w:vAlign w:val="top"/>
          </w:tcPr>
          <w:p>
            <w:pPr>
              <w:spacing w:before="121" w:line="211" w:lineRule="auto"/>
              <w:ind w:left="2909"/>
              <w:rPr>
                <w:rFonts w:ascii="Times New Roman" w:hAnsi="Times New Roman" w:eastAsia="Times New Roman" w:cs="Times New Roman"/>
                <w:sz w:val="21"/>
                <w:szCs w:val="21"/>
              </w:rPr>
            </w:pPr>
            <w:r>
              <w:rPr>
                <w:rFonts w:ascii="Times New Roman" w:hAnsi="Times New Roman" w:eastAsia="Times New Roman" w:cs="Times New Roman"/>
                <w:sz w:val="21"/>
                <w:szCs w:val="21"/>
              </w:rPr>
              <w:t>30≤R</w:t>
            </w:r>
            <w:r>
              <w:rPr>
                <w:rFonts w:ascii="Times New Roman" w:hAnsi="Times New Roman" w:eastAsia="Times New Roman" w:cs="Times New Roman"/>
                <w:position w:val="-1"/>
                <w:sz w:val="13"/>
                <w:szCs w:val="13"/>
              </w:rPr>
              <w:t>W</w:t>
            </w:r>
            <w:r>
              <w:rPr>
                <w:rFonts w:ascii="Times New Roman" w:hAnsi="Times New Roman" w:eastAsia="Times New Roman" w:cs="Times New Roman"/>
                <w:sz w:val="21"/>
                <w:szCs w:val="21"/>
              </w:rPr>
              <w:t>&lt;35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55" w:type="dxa"/>
            <w:vAlign w:val="top"/>
          </w:tcPr>
          <w:p>
            <w:pPr>
              <w:spacing w:before="126" w:line="187" w:lineRule="auto"/>
              <w:ind w:left="122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736" w:type="dxa"/>
            <w:vAlign w:val="top"/>
          </w:tcPr>
          <w:p>
            <w:pPr>
              <w:spacing w:before="123" w:line="210" w:lineRule="auto"/>
              <w:ind w:left="2909"/>
              <w:rPr>
                <w:rFonts w:ascii="Times New Roman" w:hAnsi="Times New Roman" w:eastAsia="Times New Roman" w:cs="Times New Roman"/>
                <w:sz w:val="21"/>
                <w:szCs w:val="21"/>
              </w:rPr>
            </w:pPr>
            <w:r>
              <w:rPr>
                <w:rFonts w:ascii="Times New Roman" w:hAnsi="Times New Roman" w:eastAsia="Times New Roman" w:cs="Times New Roman"/>
                <w:sz w:val="21"/>
                <w:szCs w:val="21"/>
              </w:rPr>
              <w:t>35≤R</w:t>
            </w:r>
            <w:r>
              <w:rPr>
                <w:rFonts w:ascii="Times New Roman" w:hAnsi="Times New Roman" w:eastAsia="Times New Roman" w:cs="Times New Roman"/>
                <w:position w:val="-1"/>
                <w:sz w:val="13"/>
                <w:szCs w:val="13"/>
              </w:rPr>
              <w:t>W</w:t>
            </w:r>
            <w:r>
              <w:rPr>
                <w:rFonts w:ascii="Times New Roman" w:hAnsi="Times New Roman" w:eastAsia="Times New Roman" w:cs="Times New Roman"/>
                <w:sz w:val="21"/>
                <w:szCs w:val="21"/>
              </w:rPr>
              <w:t>&lt;40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555" w:type="dxa"/>
            <w:vAlign w:val="top"/>
          </w:tcPr>
          <w:p>
            <w:pPr>
              <w:spacing w:before="130" w:line="184" w:lineRule="auto"/>
              <w:ind w:left="123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736" w:type="dxa"/>
            <w:vAlign w:val="top"/>
          </w:tcPr>
          <w:p>
            <w:pPr>
              <w:spacing w:before="123" w:line="207" w:lineRule="auto"/>
              <w:ind w:left="29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r>
              <w:rPr>
                <w:rFonts w:ascii="Times New Roman" w:hAnsi="Times New Roman" w:eastAsia="Times New Roman" w:cs="Times New Roman"/>
                <w:sz w:val="21"/>
                <w:szCs w:val="21"/>
              </w:rPr>
              <w:t>R</w:t>
            </w:r>
            <w:r>
              <w:rPr>
                <w:rFonts w:ascii="Times New Roman" w:hAnsi="Times New Roman" w:eastAsia="Times New Roman" w:cs="Times New Roman"/>
                <w:position w:val="-1"/>
                <w:sz w:val="13"/>
                <w:szCs w:val="13"/>
              </w:rPr>
              <w:t>W</w:t>
            </w:r>
            <w:r>
              <w:rPr>
                <w:rFonts w:ascii="Times New Roman" w:hAnsi="Times New Roman" w:eastAsia="Times New Roman" w:cs="Times New Roman"/>
                <w:spacing w:val="1"/>
                <w:sz w:val="21"/>
                <w:szCs w:val="21"/>
              </w:rPr>
              <w:t>&lt;45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555" w:type="dxa"/>
            <w:vAlign w:val="top"/>
          </w:tcPr>
          <w:p>
            <w:pPr>
              <w:spacing w:before="130" w:line="187" w:lineRule="auto"/>
              <w:ind w:left="1230"/>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6736" w:type="dxa"/>
            <w:vAlign w:val="top"/>
          </w:tcPr>
          <w:p>
            <w:pPr>
              <w:spacing w:before="126" w:line="211" w:lineRule="auto"/>
              <w:ind w:left="3067"/>
              <w:rPr>
                <w:rFonts w:ascii="Times New Roman" w:hAnsi="Times New Roman" w:eastAsia="Times New Roman" w:cs="Times New Roman"/>
                <w:sz w:val="21"/>
                <w:szCs w:val="21"/>
              </w:rPr>
            </w:pPr>
            <w:r>
              <w:rPr>
                <w:rFonts w:ascii="Times New Roman" w:hAnsi="Times New Roman" w:eastAsia="Times New Roman" w:cs="Times New Roman"/>
                <w:sz w:val="21"/>
                <w:szCs w:val="21"/>
              </w:rPr>
              <w:t>R</w:t>
            </w:r>
            <w:r>
              <w:rPr>
                <w:rFonts w:ascii="Times New Roman" w:hAnsi="Times New Roman" w:eastAsia="Times New Roman" w:cs="Times New Roman"/>
                <w:position w:val="-1"/>
                <w:sz w:val="13"/>
                <w:szCs w:val="13"/>
              </w:rPr>
              <w:t>W</w:t>
            </w:r>
            <w:r>
              <w:rPr>
                <w:rFonts w:ascii="Times New Roman" w:hAnsi="Times New Roman" w:eastAsia="Times New Roman" w:cs="Times New Roman"/>
                <w:spacing w:val="2"/>
                <w:sz w:val="21"/>
                <w:szCs w:val="21"/>
              </w:rPr>
              <w:t>≥45</w:t>
            </w:r>
          </w:p>
        </w:tc>
      </w:tr>
    </w:tbl>
    <w:p>
      <w:pPr>
        <w:spacing w:before="29" w:line="214" w:lineRule="auto"/>
        <w:ind w:left="547"/>
        <w:rPr>
          <w:rFonts w:ascii="宋体" w:hAnsi="宋体" w:eastAsia="宋体" w:cs="宋体"/>
          <w:sz w:val="21"/>
          <w:szCs w:val="21"/>
        </w:rPr>
      </w:pPr>
      <w:r>
        <w:rPr>
          <w:rFonts w:ascii="Times New Roman" w:hAnsi="Times New Roman" w:eastAsia="Times New Roman" w:cs="Times New Roman"/>
          <w:spacing w:val="-3"/>
          <w:sz w:val="21"/>
          <w:szCs w:val="21"/>
        </w:rPr>
        <w:t>*</w:t>
      </w:r>
      <w:r>
        <w:rPr>
          <w:rFonts w:ascii="宋体" w:hAnsi="宋体" w:eastAsia="宋体" w:cs="宋体"/>
          <w:spacing w:val="-3"/>
          <w:sz w:val="21"/>
          <w:szCs w:val="21"/>
        </w:rPr>
        <w:t>注：</w:t>
      </w:r>
      <w:r>
        <w:rPr>
          <w:rFonts w:ascii="宋体" w:hAnsi="宋体" w:eastAsia="宋体" w:cs="宋体"/>
          <w:spacing w:val="-19"/>
          <w:sz w:val="21"/>
          <w:szCs w:val="21"/>
        </w:rPr>
        <w:t xml:space="preserve"> </w:t>
      </w:r>
      <w:r>
        <w:rPr>
          <w:rFonts w:ascii="宋体" w:hAnsi="宋体" w:eastAsia="宋体" w:cs="宋体"/>
          <w:spacing w:val="-3"/>
          <w:sz w:val="21"/>
          <w:szCs w:val="21"/>
        </w:rPr>
        <w:t>采用《建筑门窗空气声隔声性能分级及检测方法》</w:t>
      </w:r>
      <w:r>
        <w:rPr>
          <w:rFonts w:ascii="Times New Roman" w:hAnsi="Times New Roman" w:eastAsia="Times New Roman" w:cs="Times New Roman"/>
          <w:spacing w:val="-3"/>
          <w:sz w:val="21"/>
          <w:szCs w:val="21"/>
        </w:rPr>
        <w:t>(GBT</w:t>
      </w:r>
      <w:r>
        <w:rPr>
          <w:rFonts w:ascii="Times New Roman" w:hAnsi="Times New Roman" w:eastAsia="Times New Roman" w:cs="Times New Roman"/>
          <w:spacing w:val="13"/>
          <w:w w:val="101"/>
          <w:sz w:val="21"/>
          <w:szCs w:val="21"/>
        </w:rPr>
        <w:t xml:space="preserve"> </w:t>
      </w:r>
      <w:r>
        <w:rPr>
          <w:rFonts w:ascii="Times New Roman" w:hAnsi="Times New Roman" w:eastAsia="Times New Roman" w:cs="Times New Roman"/>
          <w:spacing w:val="-3"/>
          <w:sz w:val="21"/>
          <w:szCs w:val="21"/>
        </w:rPr>
        <w:t>8485-2008)</w:t>
      </w:r>
      <w:r>
        <w:rPr>
          <w:rFonts w:ascii="宋体" w:hAnsi="宋体" w:eastAsia="宋体" w:cs="宋体"/>
          <w:spacing w:val="-3"/>
          <w:sz w:val="21"/>
          <w:szCs w:val="21"/>
        </w:rPr>
        <w:t>分级方法。</w:t>
      </w:r>
    </w:p>
    <w:p>
      <w:pPr>
        <w:spacing w:before="155" w:line="360" w:lineRule="auto"/>
        <w:ind w:left="123" w:right="110" w:firstLine="479"/>
        <w:rPr>
          <w:rFonts w:ascii="宋体" w:hAnsi="宋体" w:eastAsia="宋体" w:cs="宋体"/>
          <w:sz w:val="24"/>
          <w:szCs w:val="24"/>
        </w:rPr>
      </w:pPr>
      <w:r>
        <w:rPr>
          <w:rFonts w:ascii="宋体" w:hAnsi="宋体" w:eastAsia="宋体" w:cs="宋体"/>
          <w:spacing w:val="-3"/>
          <w:sz w:val="24"/>
          <w:szCs w:val="24"/>
        </w:rPr>
        <w:t>根据《文成县新</w:t>
      </w:r>
      <w:r>
        <w:rPr>
          <w:rFonts w:ascii="宋体" w:hAnsi="宋体" w:eastAsia="宋体" w:cs="宋体"/>
          <w:spacing w:val="-26"/>
          <w:sz w:val="24"/>
          <w:szCs w:val="24"/>
        </w:rPr>
        <w:t xml:space="preserve"> </w:t>
      </w:r>
      <w:r>
        <w:rPr>
          <w:rFonts w:ascii="Times New Roman" w:hAnsi="Times New Roman" w:eastAsia="Times New Roman" w:cs="Times New Roman"/>
          <w:spacing w:val="-3"/>
          <w:sz w:val="24"/>
          <w:szCs w:val="24"/>
        </w:rPr>
        <w:t xml:space="preserve">56 </w:t>
      </w:r>
      <w:r>
        <w:rPr>
          <w:rFonts w:ascii="宋体" w:hAnsi="宋体" w:eastAsia="宋体" w:cs="宋体"/>
          <w:spacing w:val="-3"/>
          <w:sz w:val="24"/>
          <w:szCs w:val="24"/>
        </w:rPr>
        <w:t>省道接南田公路工程环境影响报告书》和《文成县新</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 xml:space="preserve">56 </w:t>
      </w:r>
      <w:r>
        <w:rPr>
          <w:rFonts w:ascii="宋体" w:hAnsi="宋体" w:eastAsia="宋体" w:cs="宋体"/>
          <w:spacing w:val="-3"/>
          <w:sz w:val="24"/>
          <w:szCs w:val="24"/>
        </w:rPr>
        <w:t>省道接</w:t>
      </w:r>
      <w:r>
        <w:rPr>
          <w:rFonts w:ascii="宋体" w:hAnsi="宋体" w:eastAsia="宋体" w:cs="宋体"/>
          <w:sz w:val="24"/>
          <w:szCs w:val="24"/>
        </w:rPr>
        <w:t xml:space="preserve"> </w:t>
      </w:r>
      <w:r>
        <w:rPr>
          <w:rFonts w:ascii="宋体" w:hAnsi="宋体" w:eastAsia="宋体" w:cs="宋体"/>
          <w:spacing w:val="-5"/>
          <w:sz w:val="24"/>
          <w:szCs w:val="24"/>
        </w:rPr>
        <w:t>南田公路工程竣工环境保护验收调查报告》， 蔡处村和金路桥村未采取降噪措施。根据</w:t>
      </w:r>
      <w:r>
        <w:rPr>
          <w:rFonts w:ascii="宋体" w:hAnsi="宋体" w:eastAsia="宋体" w:cs="宋体"/>
          <w:spacing w:val="13"/>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56</w:t>
      </w:r>
      <w:r>
        <w:rPr>
          <w:rFonts w:ascii="Times New Roman" w:hAnsi="Times New Roman" w:eastAsia="Times New Roman" w:cs="Times New Roman"/>
          <w:spacing w:val="51"/>
          <w:sz w:val="24"/>
          <w:szCs w:val="24"/>
        </w:rPr>
        <w:t xml:space="preserve"> </w:t>
      </w:r>
      <w:r>
        <w:rPr>
          <w:rFonts w:ascii="宋体" w:hAnsi="宋体" w:eastAsia="宋体" w:cs="宋体"/>
          <w:spacing w:val="-1"/>
          <w:sz w:val="24"/>
          <w:szCs w:val="24"/>
        </w:rPr>
        <w:t>省道文成花园至西坑段改建工程环境影响报告书》和《</w:t>
      </w:r>
      <w:r>
        <w:rPr>
          <w:rFonts w:ascii="Times New Roman" w:hAnsi="Times New Roman" w:eastAsia="Times New Roman" w:cs="Times New Roman"/>
          <w:spacing w:val="-1"/>
          <w:sz w:val="24"/>
          <w:szCs w:val="24"/>
        </w:rPr>
        <w:t>56</w:t>
      </w:r>
      <w:r>
        <w:rPr>
          <w:rFonts w:ascii="Times New Roman" w:hAnsi="Times New Roman" w:eastAsia="Times New Roman" w:cs="Times New Roman"/>
          <w:spacing w:val="49"/>
          <w:sz w:val="24"/>
          <w:szCs w:val="24"/>
        </w:rPr>
        <w:t xml:space="preserve"> </w:t>
      </w:r>
      <w:r>
        <w:rPr>
          <w:rFonts w:ascii="宋体" w:hAnsi="宋体" w:eastAsia="宋体" w:cs="宋体"/>
          <w:spacing w:val="-1"/>
          <w:sz w:val="24"/>
          <w:szCs w:val="24"/>
        </w:rPr>
        <w:t>省道文成花园至西坑段</w:t>
      </w:r>
    </w:p>
    <w:p>
      <w:pPr>
        <w:spacing w:line="218" w:lineRule="auto"/>
        <w:ind w:left="130"/>
        <w:rPr>
          <w:rFonts w:ascii="宋体" w:hAnsi="宋体" w:eastAsia="宋体" w:cs="宋体"/>
          <w:sz w:val="24"/>
          <w:szCs w:val="24"/>
        </w:rPr>
      </w:pPr>
      <w:r>
        <w:rPr>
          <w:rFonts w:ascii="宋体" w:hAnsi="宋体" w:eastAsia="宋体" w:cs="宋体"/>
          <w:spacing w:val="-2"/>
          <w:sz w:val="24"/>
          <w:szCs w:val="24"/>
        </w:rPr>
        <w:t>改建工程竣工环境保护验收调查报告》，让川村安置小区未采取降噪措施。</w:t>
      </w:r>
    </w:p>
    <w:p>
      <w:pPr>
        <w:spacing w:before="302" w:line="468" w:lineRule="exact"/>
        <w:ind w:left="602"/>
        <w:rPr>
          <w:rFonts w:ascii="Times New Roman" w:hAnsi="Times New Roman" w:eastAsia="Times New Roman" w:cs="Times New Roman"/>
          <w:sz w:val="24"/>
          <w:szCs w:val="24"/>
        </w:rPr>
      </w:pPr>
      <w:r>
        <w:rPr>
          <w:rFonts w:ascii="宋体" w:hAnsi="宋体" w:eastAsia="宋体" w:cs="宋体"/>
          <w:spacing w:val="-1"/>
          <w:position w:val="17"/>
          <w:sz w:val="24"/>
          <w:szCs w:val="24"/>
        </w:rPr>
        <w:t xml:space="preserve">根据计算，本项目沿线声环境保护目标约有 </w:t>
      </w:r>
      <w:r>
        <w:rPr>
          <w:rFonts w:ascii="Times New Roman" w:hAnsi="Times New Roman" w:eastAsia="Times New Roman" w:cs="Times New Roman"/>
          <w:spacing w:val="-1"/>
          <w:position w:val="17"/>
          <w:sz w:val="24"/>
          <w:szCs w:val="24"/>
        </w:rPr>
        <w:t>77</w:t>
      </w:r>
      <w:r>
        <w:rPr>
          <w:rFonts w:ascii="Times New Roman" w:hAnsi="Times New Roman" w:eastAsia="Times New Roman" w:cs="Times New Roman"/>
          <w:spacing w:val="54"/>
          <w:position w:val="17"/>
          <w:sz w:val="24"/>
          <w:szCs w:val="24"/>
        </w:rPr>
        <w:t xml:space="preserve"> </w:t>
      </w:r>
      <w:r>
        <w:rPr>
          <w:rFonts w:ascii="宋体" w:hAnsi="宋体" w:eastAsia="宋体" w:cs="宋体"/>
          <w:spacing w:val="-1"/>
          <w:position w:val="17"/>
          <w:sz w:val="24"/>
          <w:szCs w:val="24"/>
        </w:rPr>
        <w:t>户需安装隔声窗，费用估算</w:t>
      </w:r>
      <w:r>
        <w:rPr>
          <w:rFonts w:ascii="宋体" w:hAnsi="宋体" w:eastAsia="宋体" w:cs="宋体"/>
          <w:spacing w:val="-2"/>
          <w:position w:val="17"/>
          <w:sz w:val="24"/>
          <w:szCs w:val="24"/>
        </w:rPr>
        <w:t xml:space="preserve">为 </w:t>
      </w:r>
      <w:r>
        <w:rPr>
          <w:rFonts w:ascii="Times New Roman" w:hAnsi="Times New Roman" w:eastAsia="Times New Roman" w:cs="Times New Roman"/>
          <w:spacing w:val="-2"/>
          <w:position w:val="17"/>
          <w:sz w:val="24"/>
          <w:szCs w:val="24"/>
        </w:rPr>
        <w:t>154</w:t>
      </w:r>
    </w:p>
    <w:p>
      <w:pPr>
        <w:spacing w:before="1" w:line="220" w:lineRule="auto"/>
        <w:ind w:left="127"/>
        <w:rPr>
          <w:rFonts w:ascii="宋体" w:hAnsi="宋体" w:eastAsia="宋体" w:cs="宋体"/>
          <w:sz w:val="24"/>
          <w:szCs w:val="24"/>
        </w:rPr>
      </w:pPr>
      <w:r>
        <w:rPr>
          <w:rFonts w:ascii="宋体" w:hAnsi="宋体" w:eastAsia="宋体" w:cs="宋体"/>
          <w:spacing w:val="-6"/>
          <w:sz w:val="24"/>
          <w:szCs w:val="24"/>
        </w:rPr>
        <w:t>万元。</w:t>
      </w:r>
    </w:p>
    <w:p>
      <w:pPr>
        <w:spacing w:before="306" w:line="220" w:lineRule="auto"/>
        <w:ind w:left="596"/>
        <w:rPr>
          <w:rFonts w:ascii="宋体" w:hAnsi="宋体" w:eastAsia="宋体" w:cs="宋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、交通噪声管理措施</w:t>
      </w:r>
    </w:p>
    <w:p>
      <w:pPr>
        <w:spacing w:before="173" w:line="217" w:lineRule="auto"/>
        <w:ind w:right="41"/>
        <w:jc w:val="right"/>
        <w:rPr>
          <w:rFonts w:ascii="宋体" w:hAnsi="宋体" w:eastAsia="宋体" w:cs="宋体"/>
          <w:sz w:val="24"/>
          <w:szCs w:val="24"/>
        </w:rPr>
      </w:pPr>
      <w:r>
        <w:rPr>
          <w:rFonts w:ascii="宋体" w:hAnsi="宋体" w:eastAsia="宋体" w:cs="宋体"/>
          <w:spacing w:val="-12"/>
          <w:sz w:val="24"/>
          <w:szCs w:val="24"/>
        </w:rPr>
        <w:t>①应经常维持路面的平整度， 降低道路交通噪声； 应重点关注各桥梁两端的平整度，</w:t>
      </w:r>
    </w:p>
    <w:p>
      <w:pPr>
        <w:spacing w:line="217" w:lineRule="auto"/>
        <w:rPr>
          <w:rFonts w:ascii="宋体" w:hAnsi="宋体" w:eastAsia="宋体" w:cs="宋体"/>
          <w:sz w:val="24"/>
          <w:szCs w:val="24"/>
        </w:rPr>
        <w:sectPr>
          <w:headerReference r:id="rId326" w:type="default"/>
          <w:footerReference r:id="rId327" w:type="default"/>
          <w:pgSz w:w="11907" w:h="16839"/>
          <w:pgMar w:top="1118" w:right="1303" w:bottom="1037" w:left="1306" w:header="879" w:footer="874" w:gutter="0"/>
          <w:cols w:space="720" w:num="1"/>
        </w:sectPr>
      </w:pPr>
    </w:p>
    <w:p>
      <w:pPr>
        <w:pStyle w:val="2"/>
        <w:spacing w:line="380" w:lineRule="auto"/>
      </w:pPr>
    </w:p>
    <w:p>
      <w:pPr>
        <w:spacing w:before="78" w:line="219" w:lineRule="auto"/>
        <w:ind w:left="36"/>
        <w:rPr>
          <w:rFonts w:ascii="宋体" w:hAnsi="宋体" w:eastAsia="宋体" w:cs="宋体"/>
          <w:sz w:val="24"/>
          <w:szCs w:val="24"/>
        </w:rPr>
      </w:pPr>
      <w:r>
        <w:rPr>
          <w:rFonts w:ascii="宋体" w:hAnsi="宋体" w:eastAsia="宋体" w:cs="宋体"/>
          <w:spacing w:val="-2"/>
          <w:sz w:val="24"/>
          <w:szCs w:val="24"/>
        </w:rPr>
        <w:t>避免因路况不佳造成车辆颠簸而引起交通噪声的增大。</w:t>
      </w:r>
    </w:p>
    <w:p>
      <w:pPr>
        <w:spacing w:before="176" w:line="461" w:lineRule="exact"/>
        <w:ind w:right="65"/>
        <w:jc w:val="right"/>
        <w:rPr>
          <w:rFonts w:ascii="宋体" w:hAnsi="宋体" w:eastAsia="宋体" w:cs="宋体"/>
          <w:sz w:val="24"/>
          <w:szCs w:val="24"/>
        </w:rPr>
      </w:pPr>
      <w:r>
        <w:rPr>
          <w:rFonts w:ascii="宋体" w:hAnsi="宋体" w:eastAsia="宋体" w:cs="宋体"/>
          <w:spacing w:val="1"/>
          <w:position w:val="17"/>
          <w:sz w:val="24"/>
          <w:szCs w:val="24"/>
        </w:rPr>
        <w:t>②通过加强公路交通管理，如在重要敏感点</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居民集</w:t>
      </w:r>
      <w:r>
        <w:rPr>
          <w:rFonts w:ascii="宋体" w:hAnsi="宋体" w:eastAsia="宋体" w:cs="宋体"/>
          <w:position w:val="17"/>
          <w:sz w:val="24"/>
          <w:szCs w:val="24"/>
        </w:rPr>
        <w:t>中路段等噪声敏感区域</w:t>
      </w:r>
      <w:r>
        <w:rPr>
          <w:rFonts w:ascii="Times New Roman" w:hAnsi="Times New Roman" w:eastAsia="Times New Roman" w:cs="Times New Roman"/>
          <w:position w:val="17"/>
          <w:sz w:val="24"/>
          <w:szCs w:val="24"/>
        </w:rPr>
        <w:t>)</w:t>
      </w:r>
      <w:r>
        <w:rPr>
          <w:rFonts w:ascii="宋体" w:hAnsi="宋体" w:eastAsia="宋体" w:cs="宋体"/>
          <w:position w:val="17"/>
          <w:sz w:val="24"/>
          <w:szCs w:val="24"/>
        </w:rPr>
        <w:t>附近路</w:t>
      </w:r>
    </w:p>
    <w:p>
      <w:pPr>
        <w:spacing w:line="219" w:lineRule="auto"/>
        <w:ind w:left="39"/>
        <w:rPr>
          <w:rFonts w:ascii="宋体" w:hAnsi="宋体" w:eastAsia="宋体" w:cs="宋体"/>
          <w:sz w:val="24"/>
          <w:szCs w:val="24"/>
        </w:rPr>
      </w:pPr>
      <w:r>
        <w:rPr>
          <w:rFonts w:ascii="宋体" w:hAnsi="宋体" w:eastAsia="宋体" w:cs="宋体"/>
          <w:spacing w:val="-3"/>
          <w:sz w:val="24"/>
          <w:szCs w:val="24"/>
        </w:rPr>
        <w:t>段两端设置限速、禁鸣标志等，可以有效控制交通噪声的污染；</w:t>
      </w:r>
    </w:p>
    <w:p>
      <w:pPr>
        <w:spacing w:before="173" w:line="460" w:lineRule="exact"/>
        <w:ind w:right="66"/>
        <w:jc w:val="right"/>
        <w:rPr>
          <w:rFonts w:ascii="宋体" w:hAnsi="宋体" w:eastAsia="宋体" w:cs="宋体"/>
          <w:sz w:val="24"/>
          <w:szCs w:val="24"/>
        </w:rPr>
      </w:pPr>
      <w:r>
        <w:rPr>
          <w:rFonts w:ascii="宋体" w:hAnsi="宋体" w:eastAsia="宋体" w:cs="宋体"/>
          <w:spacing w:val="-5"/>
          <w:position w:val="16"/>
          <w:sz w:val="24"/>
          <w:szCs w:val="24"/>
        </w:rPr>
        <w:t>③加强运营期沿线敏感点的噪声监测， 根据实际监测结果及时调整和完善噪声防治</w:t>
      </w:r>
    </w:p>
    <w:p>
      <w:pPr>
        <w:spacing w:line="220" w:lineRule="auto"/>
        <w:ind w:left="38"/>
        <w:rPr>
          <w:rFonts w:ascii="宋体" w:hAnsi="宋体" w:eastAsia="宋体" w:cs="宋体"/>
          <w:sz w:val="24"/>
          <w:szCs w:val="24"/>
        </w:rPr>
      </w:pPr>
      <w:r>
        <w:rPr>
          <w:rFonts w:ascii="宋体" w:hAnsi="宋体" w:eastAsia="宋体" w:cs="宋体"/>
          <w:spacing w:val="-10"/>
          <w:sz w:val="24"/>
          <w:szCs w:val="24"/>
        </w:rPr>
        <w:t>措施。</w:t>
      </w:r>
    </w:p>
    <w:p>
      <w:pPr>
        <w:spacing w:before="175" w:line="458" w:lineRule="exact"/>
        <w:ind w:right="65"/>
        <w:jc w:val="right"/>
        <w:rPr>
          <w:rFonts w:ascii="宋体" w:hAnsi="宋体" w:eastAsia="宋体" w:cs="宋体"/>
          <w:sz w:val="24"/>
          <w:szCs w:val="24"/>
        </w:rPr>
      </w:pPr>
      <w:r>
        <w:rPr>
          <w:rFonts w:ascii="宋体" w:hAnsi="宋体" w:eastAsia="宋体" w:cs="宋体"/>
          <w:spacing w:val="-6"/>
          <w:position w:val="16"/>
          <w:sz w:val="24"/>
          <w:szCs w:val="24"/>
        </w:rPr>
        <w:t>④下阶段路线优化调整发生变化时，</w:t>
      </w:r>
      <w:r>
        <w:rPr>
          <w:rFonts w:ascii="宋体" w:hAnsi="宋体" w:eastAsia="宋体" w:cs="宋体"/>
          <w:spacing w:val="39"/>
          <w:position w:val="16"/>
          <w:sz w:val="24"/>
          <w:szCs w:val="24"/>
        </w:rPr>
        <w:t xml:space="preserve"> </w:t>
      </w:r>
      <w:r>
        <w:rPr>
          <w:rFonts w:ascii="宋体" w:hAnsi="宋体" w:eastAsia="宋体" w:cs="宋体"/>
          <w:spacing w:val="-6"/>
          <w:position w:val="16"/>
          <w:sz w:val="24"/>
          <w:szCs w:val="24"/>
        </w:rPr>
        <w:t>敏感点噪声防治措施应优先采用避让、声屏障</w:t>
      </w:r>
    </w:p>
    <w:p>
      <w:pPr>
        <w:spacing w:before="1" w:line="218" w:lineRule="auto"/>
        <w:ind w:left="40"/>
        <w:rPr>
          <w:rFonts w:ascii="宋体" w:hAnsi="宋体" w:eastAsia="宋体" w:cs="宋体"/>
          <w:sz w:val="24"/>
          <w:szCs w:val="24"/>
        </w:rPr>
      </w:pPr>
      <w:r>
        <w:rPr>
          <w:rFonts w:ascii="宋体" w:hAnsi="宋体" w:eastAsia="宋体" w:cs="宋体"/>
          <w:spacing w:val="-1"/>
          <w:sz w:val="24"/>
          <w:szCs w:val="24"/>
        </w:rPr>
        <w:t>等措施；路段优化调整造成敏感点发生变化时</w:t>
      </w:r>
      <w:r>
        <w:rPr>
          <w:rFonts w:ascii="宋体" w:hAnsi="宋体" w:eastAsia="宋体" w:cs="宋体"/>
          <w:spacing w:val="-2"/>
          <w:sz w:val="24"/>
          <w:szCs w:val="24"/>
        </w:rPr>
        <w:t>，应及时采取噪声补救措施。</w:t>
      </w:r>
    </w:p>
    <w:p>
      <w:pPr>
        <w:spacing w:before="178" w:line="217" w:lineRule="auto"/>
        <w:ind w:left="516"/>
        <w:rPr>
          <w:rFonts w:ascii="宋体" w:hAnsi="宋体" w:eastAsia="宋体" w:cs="宋体"/>
          <w:sz w:val="24"/>
          <w:szCs w:val="24"/>
        </w:rPr>
      </w:pPr>
      <w:r>
        <w:rPr>
          <w:rFonts w:ascii="宋体" w:hAnsi="宋体" w:eastAsia="宋体" w:cs="宋体"/>
          <w:spacing w:val="-2"/>
          <w:sz w:val="24"/>
          <w:szCs w:val="24"/>
        </w:rPr>
        <w:t>⑤工程营运期应加强跟踪监测，并根据实际情况增补噪声防治措施。</w:t>
      </w:r>
    </w:p>
    <w:p>
      <w:pPr>
        <w:spacing w:before="177" w:line="220" w:lineRule="auto"/>
        <w:ind w:left="520"/>
        <w:rPr>
          <w:rFonts w:ascii="宋体" w:hAnsi="宋体" w:eastAsia="宋体" w:cs="宋体"/>
          <w:sz w:val="24"/>
          <w:szCs w:val="24"/>
        </w:rPr>
      </w:pPr>
      <w:r>
        <w:rPr>
          <w:rFonts w:ascii="Times New Roman" w:hAnsi="Times New Roman" w:eastAsia="Times New Roman" w:cs="Times New Roman"/>
          <w:spacing w:val="-3"/>
          <w:sz w:val="24"/>
          <w:szCs w:val="24"/>
        </w:rPr>
        <w:t>5</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、对沿线城镇规划建设的控制要求</w:t>
      </w:r>
    </w:p>
    <w:p>
      <w:pPr>
        <w:spacing w:before="173" w:line="461" w:lineRule="exact"/>
        <w:ind w:right="64"/>
        <w:jc w:val="right"/>
        <w:rPr>
          <w:rFonts w:ascii="宋体" w:hAnsi="宋体" w:eastAsia="宋体" w:cs="宋体"/>
          <w:sz w:val="24"/>
          <w:szCs w:val="24"/>
        </w:rPr>
      </w:pPr>
      <w:r>
        <w:rPr>
          <w:rFonts w:ascii="宋体" w:hAnsi="宋体" w:eastAsia="宋体" w:cs="宋体"/>
          <w:spacing w:val="-11"/>
          <w:position w:val="16"/>
          <w:sz w:val="24"/>
          <w:szCs w:val="24"/>
        </w:rPr>
        <w:t>①项目环评报批后，</w:t>
      </w:r>
      <w:r>
        <w:rPr>
          <w:rFonts w:ascii="宋体" w:hAnsi="宋体" w:eastAsia="宋体" w:cs="宋体"/>
          <w:spacing w:val="59"/>
          <w:position w:val="16"/>
          <w:sz w:val="24"/>
          <w:szCs w:val="24"/>
        </w:rPr>
        <w:t xml:space="preserve"> </w:t>
      </w:r>
      <w:r>
        <w:rPr>
          <w:rFonts w:ascii="宋体" w:hAnsi="宋体" w:eastAsia="宋体" w:cs="宋体"/>
          <w:spacing w:val="-11"/>
          <w:position w:val="16"/>
          <w:sz w:val="24"/>
          <w:szCs w:val="24"/>
        </w:rPr>
        <w:t>公路两侧新建的敏感点，</w:t>
      </w:r>
      <w:r>
        <w:rPr>
          <w:rFonts w:ascii="宋体" w:hAnsi="宋体" w:eastAsia="宋体" w:cs="宋体"/>
          <w:spacing w:val="40"/>
          <w:position w:val="16"/>
          <w:sz w:val="24"/>
          <w:szCs w:val="24"/>
        </w:rPr>
        <w:t xml:space="preserve"> </w:t>
      </w:r>
      <w:r>
        <w:rPr>
          <w:rFonts w:ascii="宋体" w:hAnsi="宋体" w:eastAsia="宋体" w:cs="宋体"/>
          <w:spacing w:val="-11"/>
          <w:position w:val="16"/>
          <w:sz w:val="24"/>
          <w:szCs w:val="24"/>
        </w:rPr>
        <w:t>其噪声污染防治责任归于该敏感点的</w:t>
      </w:r>
    </w:p>
    <w:p>
      <w:pPr>
        <w:spacing w:line="220" w:lineRule="auto"/>
        <w:ind w:left="41"/>
        <w:rPr>
          <w:rFonts w:ascii="宋体" w:hAnsi="宋体" w:eastAsia="宋体" w:cs="宋体"/>
          <w:sz w:val="24"/>
          <w:szCs w:val="24"/>
        </w:rPr>
      </w:pPr>
      <w:r>
        <w:rPr>
          <w:rFonts w:ascii="宋体" w:hAnsi="宋体" w:eastAsia="宋体" w:cs="宋体"/>
          <w:spacing w:val="-8"/>
          <w:sz w:val="24"/>
          <w:szCs w:val="24"/>
        </w:rPr>
        <w:t>建设单位。</w:t>
      </w:r>
    </w:p>
    <w:p>
      <w:pPr>
        <w:spacing w:before="174" w:line="354" w:lineRule="auto"/>
        <w:ind w:left="55" w:right="65" w:firstLine="460"/>
        <w:rPr>
          <w:rFonts w:ascii="宋体" w:hAnsi="宋体" w:eastAsia="宋体" w:cs="宋体"/>
          <w:sz w:val="24"/>
          <w:szCs w:val="24"/>
        </w:rPr>
      </w:pPr>
      <w:r>
        <w:rPr>
          <w:rFonts w:ascii="宋体" w:hAnsi="宋体" w:eastAsia="宋体" w:cs="宋体"/>
          <w:spacing w:val="-10"/>
          <w:sz w:val="24"/>
          <w:szCs w:val="24"/>
        </w:rPr>
        <w:t>②公路沿线居民住房重建时，</w:t>
      </w:r>
      <w:r>
        <w:rPr>
          <w:rFonts w:ascii="宋体" w:hAnsi="宋体" w:eastAsia="宋体" w:cs="宋体"/>
          <w:spacing w:val="40"/>
          <w:sz w:val="24"/>
          <w:szCs w:val="24"/>
        </w:rPr>
        <w:t xml:space="preserve"> </w:t>
      </w:r>
      <w:r>
        <w:rPr>
          <w:rFonts w:ascii="宋体" w:hAnsi="宋体" w:eastAsia="宋体" w:cs="宋体"/>
          <w:spacing w:val="-10"/>
          <w:sz w:val="24"/>
          <w:szCs w:val="24"/>
        </w:rPr>
        <w:t>村镇政府批复务必</w:t>
      </w:r>
      <w:r>
        <w:rPr>
          <w:rFonts w:ascii="宋体" w:hAnsi="宋体" w:eastAsia="宋体" w:cs="宋体"/>
          <w:spacing w:val="-11"/>
          <w:sz w:val="24"/>
          <w:szCs w:val="24"/>
        </w:rPr>
        <w:t>指明需远离公路，</w:t>
      </w:r>
      <w:r>
        <w:rPr>
          <w:rFonts w:ascii="宋体" w:hAnsi="宋体" w:eastAsia="宋体" w:cs="宋体"/>
          <w:spacing w:val="38"/>
          <w:sz w:val="24"/>
          <w:szCs w:val="24"/>
        </w:rPr>
        <w:t xml:space="preserve"> </w:t>
      </w:r>
      <w:r>
        <w:rPr>
          <w:rFonts w:ascii="宋体" w:hAnsi="宋体" w:eastAsia="宋体" w:cs="宋体"/>
          <w:spacing w:val="-11"/>
          <w:sz w:val="24"/>
          <w:szCs w:val="24"/>
        </w:rPr>
        <w:t>在进行农村居住</w:t>
      </w:r>
      <w:r>
        <w:rPr>
          <w:rFonts w:ascii="宋体" w:hAnsi="宋体" w:eastAsia="宋体" w:cs="宋体"/>
          <w:sz w:val="24"/>
          <w:szCs w:val="24"/>
        </w:rPr>
        <w:t xml:space="preserve"> </w:t>
      </w:r>
      <w:r>
        <w:rPr>
          <w:rFonts w:ascii="宋体" w:hAnsi="宋体" w:eastAsia="宋体" w:cs="宋体"/>
          <w:spacing w:val="4"/>
          <w:sz w:val="24"/>
          <w:szCs w:val="24"/>
        </w:rPr>
        <w:t>区的规划时，应根据不同路段两侧空旷情况下不同声环境功能区噪声达标距离预测结</w:t>
      </w:r>
    </w:p>
    <w:p>
      <w:pPr>
        <w:spacing w:line="219" w:lineRule="auto"/>
        <w:ind w:left="42"/>
        <w:rPr>
          <w:rFonts w:ascii="宋体" w:hAnsi="宋体" w:eastAsia="宋体" w:cs="宋体"/>
          <w:sz w:val="24"/>
          <w:szCs w:val="24"/>
        </w:rPr>
      </w:pPr>
      <w:r>
        <w:rPr>
          <w:rFonts w:ascii="宋体" w:hAnsi="宋体" w:eastAsia="宋体" w:cs="宋体"/>
          <w:spacing w:val="-3"/>
          <w:sz w:val="24"/>
          <w:szCs w:val="24"/>
        </w:rPr>
        <w:t>果，并结合当地的地形条件进行合理规划。</w:t>
      </w:r>
    </w:p>
    <w:p>
      <w:pPr>
        <w:spacing w:before="174" w:line="354" w:lineRule="auto"/>
        <w:ind w:left="38" w:firstLine="478"/>
        <w:rPr>
          <w:rFonts w:ascii="宋体" w:hAnsi="宋体" w:eastAsia="宋体" w:cs="宋体"/>
          <w:sz w:val="24"/>
          <w:szCs w:val="24"/>
        </w:rPr>
      </w:pPr>
      <w:r>
        <w:rPr>
          <w:rFonts w:ascii="宋体" w:hAnsi="宋体" w:eastAsia="宋体" w:cs="宋体"/>
          <w:spacing w:val="-7"/>
          <w:sz w:val="24"/>
          <w:szCs w:val="24"/>
        </w:rPr>
        <w:t>③对于道路沿线未建的规划建筑，</w:t>
      </w:r>
      <w:r>
        <w:rPr>
          <w:rFonts w:ascii="宋体" w:hAnsi="宋体" w:eastAsia="宋体" w:cs="宋体"/>
          <w:spacing w:val="66"/>
          <w:sz w:val="24"/>
          <w:szCs w:val="24"/>
        </w:rPr>
        <w:t xml:space="preserve"> </w:t>
      </w:r>
      <w:r>
        <w:rPr>
          <w:rFonts w:ascii="宋体" w:hAnsi="宋体" w:eastAsia="宋体" w:cs="宋体"/>
          <w:spacing w:val="-7"/>
          <w:sz w:val="24"/>
          <w:szCs w:val="24"/>
        </w:rPr>
        <w:t>按照《中华人民共和国噪声污染防治法》和《地</w:t>
      </w:r>
      <w:r>
        <w:rPr>
          <w:rFonts w:ascii="宋体" w:hAnsi="宋体" w:eastAsia="宋体" w:cs="宋体"/>
          <w:sz w:val="24"/>
          <w:szCs w:val="24"/>
        </w:rPr>
        <w:t xml:space="preserve"> </w:t>
      </w:r>
      <w:r>
        <w:rPr>
          <w:rFonts w:ascii="宋体" w:hAnsi="宋体" w:eastAsia="宋体" w:cs="宋体"/>
          <w:spacing w:val="-4"/>
          <w:sz w:val="24"/>
          <w:szCs w:val="24"/>
        </w:rPr>
        <w:t>面交通噪声污染防治技术政策》（环发</w:t>
      </w:r>
      <w:r>
        <w:rPr>
          <w:rFonts w:ascii="Times New Roman" w:hAnsi="Times New Roman" w:eastAsia="Times New Roman" w:cs="Times New Roman"/>
          <w:spacing w:val="-4"/>
          <w:sz w:val="24"/>
          <w:szCs w:val="24"/>
        </w:rPr>
        <w:t>[2010]7</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号</w:t>
      </w:r>
      <w:r>
        <w:rPr>
          <w:rFonts w:ascii="宋体" w:hAnsi="宋体" w:eastAsia="宋体" w:cs="宋体"/>
          <w:spacing w:val="-14"/>
          <w:sz w:val="24"/>
          <w:szCs w:val="24"/>
        </w:rPr>
        <w:t>）</w:t>
      </w:r>
      <w:r>
        <w:rPr>
          <w:rFonts w:ascii="宋体" w:hAnsi="宋体" w:eastAsia="宋体" w:cs="宋体"/>
          <w:spacing w:val="-38"/>
          <w:sz w:val="24"/>
          <w:szCs w:val="24"/>
        </w:rPr>
        <w:t xml:space="preserve"> </w:t>
      </w:r>
      <w:r>
        <w:rPr>
          <w:rFonts w:ascii="宋体" w:hAnsi="宋体" w:eastAsia="宋体" w:cs="宋体"/>
          <w:spacing w:val="-14"/>
          <w:sz w:val="24"/>
          <w:szCs w:val="24"/>
        </w:rPr>
        <w:t>，</w:t>
      </w:r>
      <w:r>
        <w:rPr>
          <w:rFonts w:ascii="宋体" w:hAnsi="宋体" w:eastAsia="宋体" w:cs="宋体"/>
          <w:spacing w:val="-4"/>
          <w:sz w:val="24"/>
          <w:szCs w:val="24"/>
        </w:rPr>
        <w:t>城市规划部门在确定建设</w:t>
      </w:r>
      <w:r>
        <w:rPr>
          <w:rFonts w:ascii="宋体" w:hAnsi="宋体" w:eastAsia="宋体" w:cs="宋体"/>
          <w:spacing w:val="-5"/>
          <w:sz w:val="24"/>
          <w:szCs w:val="24"/>
        </w:rPr>
        <w:t>布局时，</w:t>
      </w:r>
      <w:r>
        <w:rPr>
          <w:rFonts w:ascii="宋体" w:hAnsi="宋体" w:eastAsia="宋体" w:cs="宋体"/>
          <w:sz w:val="24"/>
          <w:szCs w:val="24"/>
        </w:rPr>
        <w:t xml:space="preserve"> </w:t>
      </w:r>
      <w:r>
        <w:rPr>
          <w:rFonts w:ascii="宋体" w:hAnsi="宋体" w:eastAsia="宋体" w:cs="宋体"/>
          <w:spacing w:val="-6"/>
          <w:sz w:val="24"/>
          <w:szCs w:val="24"/>
        </w:rPr>
        <w:t>应当依据国家声环境质量标准、民用建筑隔声设计规范和《建筑环境通用规范》的要求，</w:t>
      </w:r>
      <w:r>
        <w:rPr>
          <w:rFonts w:ascii="宋体" w:hAnsi="宋体" w:eastAsia="宋体" w:cs="宋体"/>
          <w:sz w:val="24"/>
          <w:szCs w:val="24"/>
        </w:rPr>
        <w:t xml:space="preserve"> </w:t>
      </w:r>
      <w:r>
        <w:rPr>
          <w:rFonts w:ascii="宋体" w:hAnsi="宋体" w:eastAsia="宋体" w:cs="宋体"/>
          <w:spacing w:val="-1"/>
          <w:sz w:val="24"/>
          <w:szCs w:val="24"/>
        </w:rPr>
        <w:t>合理划定建筑物与交通干线的防噪声距离，建设单位应当</w:t>
      </w:r>
      <w:r>
        <w:rPr>
          <w:rFonts w:ascii="宋体" w:hAnsi="宋体" w:eastAsia="宋体" w:cs="宋体"/>
          <w:spacing w:val="-2"/>
          <w:sz w:val="24"/>
          <w:szCs w:val="24"/>
        </w:rPr>
        <w:t>按照国家规定间隔一定距离，</w:t>
      </w:r>
    </w:p>
    <w:p>
      <w:pPr>
        <w:spacing w:before="1" w:line="218" w:lineRule="auto"/>
        <w:ind w:left="43"/>
        <w:rPr>
          <w:rFonts w:ascii="宋体" w:hAnsi="宋体" w:eastAsia="宋体" w:cs="宋体"/>
          <w:sz w:val="24"/>
          <w:szCs w:val="24"/>
        </w:rPr>
      </w:pPr>
      <w:r>
        <w:rPr>
          <w:rFonts w:ascii="宋体" w:hAnsi="宋体" w:eastAsia="宋体" w:cs="宋体"/>
          <w:spacing w:val="-3"/>
          <w:sz w:val="24"/>
          <w:szCs w:val="24"/>
        </w:rPr>
        <w:t>并采取减轻、避免交通噪声影响的措施。</w:t>
      </w:r>
    </w:p>
    <w:p>
      <w:pPr>
        <w:spacing w:before="176" w:line="461" w:lineRule="exact"/>
        <w:ind w:right="63"/>
        <w:jc w:val="right"/>
        <w:rPr>
          <w:rFonts w:ascii="宋体" w:hAnsi="宋体" w:eastAsia="宋体" w:cs="宋体"/>
          <w:sz w:val="24"/>
          <w:szCs w:val="24"/>
        </w:rPr>
      </w:pPr>
      <w:r>
        <w:rPr>
          <w:rFonts w:ascii="宋体" w:hAnsi="宋体" w:eastAsia="宋体" w:cs="宋体"/>
          <w:position w:val="16"/>
          <w:sz w:val="24"/>
          <w:szCs w:val="24"/>
        </w:rPr>
        <w:t xml:space="preserve">④在未采取有效隔声降噪措施情况下工程主线道路中心线外 </w:t>
      </w:r>
      <w:r>
        <w:rPr>
          <w:rFonts w:ascii="Times New Roman" w:hAnsi="Times New Roman" w:eastAsia="Times New Roman" w:cs="Times New Roman"/>
          <w:position w:val="16"/>
          <w:sz w:val="24"/>
          <w:szCs w:val="24"/>
        </w:rPr>
        <w:t xml:space="preserve">55m  </w:t>
      </w:r>
      <w:r>
        <w:rPr>
          <w:rFonts w:ascii="宋体" w:hAnsi="宋体" w:eastAsia="宋体" w:cs="宋体"/>
          <w:position w:val="16"/>
          <w:sz w:val="24"/>
          <w:szCs w:val="24"/>
        </w:rPr>
        <w:t>范围内第一</w:t>
      </w:r>
      <w:r>
        <w:rPr>
          <w:rFonts w:ascii="宋体" w:hAnsi="宋体" w:eastAsia="宋体" w:cs="宋体"/>
          <w:spacing w:val="-1"/>
          <w:position w:val="16"/>
          <w:sz w:val="24"/>
          <w:szCs w:val="24"/>
        </w:rPr>
        <w:t>排不</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宜建设居民住宅等敏感建筑以及学校、幼儿园、医院等特殊敏感点。</w:t>
      </w:r>
    </w:p>
    <w:p>
      <w:pPr>
        <w:spacing w:before="173" w:line="218" w:lineRule="auto"/>
        <w:ind w:left="519"/>
        <w:rPr>
          <w:rFonts w:ascii="宋体" w:hAnsi="宋体" w:eastAsia="宋体" w:cs="宋体"/>
          <w:sz w:val="24"/>
          <w:szCs w:val="24"/>
        </w:rPr>
      </w:pPr>
      <w:r>
        <w:rPr>
          <w:rFonts w:ascii="Times New Roman" w:hAnsi="Times New Roman" w:eastAsia="Times New Roman" w:cs="Times New Roman"/>
          <w:spacing w:val="-2"/>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、工程措施后降噪效果分析及投资估算</w:t>
      </w:r>
    </w:p>
    <w:p>
      <w:pPr>
        <w:spacing w:before="178" w:line="233" w:lineRule="auto"/>
        <w:ind w:left="521"/>
        <w:rPr>
          <w:rFonts w:ascii="宋体" w:hAnsi="宋体" w:eastAsia="宋体" w:cs="宋体"/>
          <w:sz w:val="24"/>
          <w:szCs w:val="24"/>
        </w:rPr>
      </w:pPr>
      <w:r>
        <w:rPr>
          <w:rFonts w:ascii="宋体" w:hAnsi="宋体" w:eastAsia="宋体" w:cs="宋体"/>
          <w:spacing w:val="-4"/>
          <w:sz w:val="24"/>
          <w:szCs w:val="24"/>
        </w:rPr>
        <w:t>工程沿线敏感点噪声降噪措施及降噪效果分析见</w:t>
      </w:r>
      <w:r>
        <w:rPr>
          <w:rFonts w:ascii="宋体" w:hAnsi="宋体" w:eastAsia="宋体" w:cs="宋体"/>
          <w:spacing w:val="-4"/>
          <w:sz w:val="24"/>
          <w:szCs w:val="24"/>
          <w14:textOutline w14:w="4354" w14:cap="flat" w14:cmpd="sng">
            <w14:solidFill>
              <w14:srgbClr w14:val="000000"/>
            </w14:solidFill>
            <w14:prstDash w14:val="solid"/>
            <w14:miter w14:val="0"/>
          </w14:textOutline>
        </w:rPr>
        <w:t>错误</w:t>
      </w:r>
      <w:r>
        <w:rPr>
          <w:rFonts w:ascii="Times New Roman" w:hAnsi="Times New Roman" w:eastAsia="Times New Roman" w:cs="Times New Roman"/>
          <w:b/>
          <w:bCs/>
          <w:spacing w:val="-4"/>
          <w:sz w:val="24"/>
          <w:szCs w:val="24"/>
        </w:rPr>
        <w:t>!</w:t>
      </w:r>
      <w:r>
        <w:rPr>
          <w:rFonts w:ascii="宋体" w:hAnsi="宋体" w:eastAsia="宋体" w:cs="宋体"/>
          <w:spacing w:val="-4"/>
          <w:sz w:val="24"/>
          <w:szCs w:val="24"/>
          <w14:textOutline w14:w="4354" w14:cap="flat" w14:cmpd="sng">
            <w14:solidFill>
              <w14:srgbClr w14:val="000000"/>
            </w14:solidFill>
            <w14:prstDash w14:val="solid"/>
            <w14:miter w14:val="0"/>
          </w14:textOutline>
        </w:rPr>
        <w:t>未找到引用源。</w:t>
      </w:r>
      <w:r>
        <w:rPr>
          <w:rFonts w:ascii="宋体" w:hAnsi="宋体" w:eastAsia="宋体" w:cs="宋体"/>
          <w:spacing w:val="-4"/>
          <w:sz w:val="24"/>
          <w:szCs w:val="24"/>
        </w:rPr>
        <w:t xml:space="preserve"> 。</w:t>
      </w:r>
    </w:p>
    <w:p>
      <w:pPr>
        <w:spacing w:line="233" w:lineRule="auto"/>
        <w:rPr>
          <w:rFonts w:ascii="宋体" w:hAnsi="宋体" w:eastAsia="宋体" w:cs="宋体"/>
          <w:sz w:val="24"/>
          <w:szCs w:val="24"/>
        </w:rPr>
        <w:sectPr>
          <w:headerReference r:id="rId328" w:type="default"/>
          <w:footerReference r:id="rId329" w:type="default"/>
          <w:pgSz w:w="11907" w:h="16839"/>
          <w:pgMar w:top="1118" w:right="1350" w:bottom="1037" w:left="1390" w:header="879" w:footer="874" w:gutter="0"/>
          <w:cols w:space="720" w:num="1"/>
        </w:sectPr>
      </w:pPr>
    </w:p>
    <w:p>
      <w:pPr>
        <w:pStyle w:val="2"/>
        <w:spacing w:line="254" w:lineRule="auto"/>
      </w:pPr>
    </w:p>
    <w:p>
      <w:pPr>
        <w:spacing w:before="78" w:line="220" w:lineRule="auto"/>
        <w:ind w:left="833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 xml:space="preserve">6.3-4            </w:t>
      </w:r>
      <w:r>
        <w:rPr>
          <w:rFonts w:ascii="宋体" w:hAnsi="宋体" w:eastAsia="宋体" w:cs="宋体"/>
          <w:spacing w:val="-1"/>
          <w:sz w:val="24"/>
          <w:szCs w:val="24"/>
        </w:rPr>
        <w:t>声环境保护目标远期噪声污染防治措施</w:t>
      </w:r>
    </w:p>
    <w:p>
      <w:pPr>
        <w:spacing w:line="145" w:lineRule="exact"/>
      </w:pPr>
    </w:p>
    <w:tbl>
      <w:tblPr>
        <w:tblStyle w:val="5"/>
        <w:tblW w:w="217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181"/>
        <w:gridCol w:w="1106"/>
        <w:gridCol w:w="1085"/>
        <w:gridCol w:w="866"/>
        <w:gridCol w:w="945"/>
        <w:gridCol w:w="704"/>
        <w:gridCol w:w="600"/>
        <w:gridCol w:w="753"/>
        <w:gridCol w:w="818"/>
        <w:gridCol w:w="773"/>
        <w:gridCol w:w="900"/>
        <w:gridCol w:w="1039"/>
        <w:gridCol w:w="713"/>
        <w:gridCol w:w="701"/>
        <w:gridCol w:w="4351"/>
        <w:gridCol w:w="986"/>
        <w:gridCol w:w="597"/>
        <w:gridCol w:w="597"/>
        <w:gridCol w:w="662"/>
        <w:gridCol w:w="828"/>
        <w:gridCol w:w="8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641" w:type="dxa"/>
            <w:vMerge w:val="restart"/>
            <w:tcBorders>
              <w:bottom w:val="nil"/>
            </w:tcBorders>
            <w:vAlign w:val="top"/>
          </w:tcPr>
          <w:p>
            <w:pPr>
              <w:spacing w:line="275" w:lineRule="auto"/>
              <w:rPr>
                <w:rFonts w:ascii="Arial"/>
                <w:sz w:val="21"/>
              </w:rPr>
            </w:pPr>
          </w:p>
          <w:p>
            <w:pPr>
              <w:spacing w:line="275" w:lineRule="auto"/>
              <w:rPr>
                <w:rFonts w:ascii="Arial"/>
                <w:sz w:val="21"/>
              </w:rPr>
            </w:pPr>
          </w:p>
          <w:p>
            <w:pPr>
              <w:pStyle w:val="6"/>
              <w:spacing w:before="69" w:line="222" w:lineRule="auto"/>
              <w:ind w:left="117"/>
            </w:pPr>
            <w:r>
              <w:rPr>
                <w:spacing w:val="-2"/>
              </w:rPr>
              <w:t>序号</w:t>
            </w:r>
          </w:p>
        </w:tc>
        <w:tc>
          <w:tcPr>
            <w:tcW w:w="1181" w:type="dxa"/>
            <w:vMerge w:val="restart"/>
            <w:tcBorders>
              <w:bottom w:val="nil"/>
            </w:tcBorders>
            <w:vAlign w:val="top"/>
          </w:tcPr>
          <w:p>
            <w:pPr>
              <w:spacing w:line="281" w:lineRule="auto"/>
              <w:rPr>
                <w:rFonts w:ascii="Arial"/>
                <w:sz w:val="21"/>
              </w:rPr>
            </w:pPr>
          </w:p>
          <w:p>
            <w:pPr>
              <w:pStyle w:val="6"/>
              <w:spacing w:before="68" w:line="221" w:lineRule="auto"/>
              <w:ind w:left="182"/>
            </w:pPr>
            <w:r>
              <w:rPr>
                <w:spacing w:val="-3"/>
              </w:rPr>
              <w:t>声环境保</w:t>
            </w:r>
          </w:p>
          <w:p>
            <w:pPr>
              <w:pStyle w:val="6"/>
              <w:spacing w:before="19" w:line="221" w:lineRule="auto"/>
              <w:ind w:left="179"/>
            </w:pPr>
            <w:r>
              <w:rPr>
                <w:spacing w:val="-2"/>
              </w:rPr>
              <w:t>护目标名</w:t>
            </w:r>
          </w:p>
          <w:p>
            <w:pPr>
              <w:pStyle w:val="6"/>
              <w:spacing w:before="21" w:line="223" w:lineRule="auto"/>
              <w:ind w:left="491"/>
            </w:pPr>
            <w:r>
              <w:t>称</w:t>
            </w:r>
          </w:p>
        </w:tc>
        <w:tc>
          <w:tcPr>
            <w:tcW w:w="1106" w:type="dxa"/>
            <w:vMerge w:val="restart"/>
            <w:tcBorders>
              <w:bottom w:val="nil"/>
            </w:tcBorders>
            <w:vAlign w:val="top"/>
          </w:tcPr>
          <w:p>
            <w:pPr>
              <w:spacing w:line="418" w:lineRule="auto"/>
              <w:rPr>
                <w:rFonts w:ascii="Arial"/>
                <w:sz w:val="21"/>
              </w:rPr>
            </w:pPr>
          </w:p>
          <w:p>
            <w:pPr>
              <w:pStyle w:val="6"/>
              <w:spacing w:before="68" w:line="229" w:lineRule="auto"/>
              <w:ind w:left="149" w:right="124" w:hanging="3"/>
            </w:pPr>
            <w:r>
              <w:rPr>
                <w:spacing w:val="-3"/>
              </w:rPr>
              <w:t>与道路中</w:t>
            </w:r>
            <w:r>
              <w:rPr>
                <w:spacing w:val="1"/>
              </w:rPr>
              <w:t xml:space="preserve"> </w:t>
            </w:r>
            <w:r>
              <w:rPr>
                <w:spacing w:val="-4"/>
              </w:rPr>
              <w:t>心线距离</w:t>
            </w:r>
          </w:p>
        </w:tc>
        <w:tc>
          <w:tcPr>
            <w:tcW w:w="1085" w:type="dxa"/>
            <w:vMerge w:val="restart"/>
            <w:tcBorders>
              <w:bottom w:val="nil"/>
            </w:tcBorders>
            <w:vAlign w:val="top"/>
          </w:tcPr>
          <w:p>
            <w:pPr>
              <w:spacing w:line="295" w:lineRule="auto"/>
              <w:rPr>
                <w:rFonts w:ascii="Arial"/>
                <w:sz w:val="21"/>
              </w:rPr>
            </w:pPr>
          </w:p>
          <w:p>
            <w:pPr>
              <w:pStyle w:val="6"/>
              <w:spacing w:before="68" w:line="221" w:lineRule="auto"/>
              <w:ind w:left="132"/>
            </w:pPr>
            <w:r>
              <w:rPr>
                <w:spacing w:val="-2"/>
              </w:rPr>
              <w:t>预测点与</w:t>
            </w:r>
          </w:p>
          <w:p>
            <w:pPr>
              <w:pStyle w:val="6"/>
              <w:spacing w:before="22" w:line="221" w:lineRule="auto"/>
              <w:ind w:left="135"/>
            </w:pPr>
            <w:r>
              <w:rPr>
                <w:spacing w:val="-3"/>
              </w:rPr>
              <w:t>声源高差</w:t>
            </w:r>
          </w:p>
          <w:p>
            <w:pPr>
              <w:spacing w:before="41" w:line="233" w:lineRule="auto"/>
              <w:ind w:left="432"/>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66" w:type="dxa"/>
            <w:vMerge w:val="restart"/>
            <w:tcBorders>
              <w:bottom w:val="nil"/>
            </w:tcBorders>
            <w:vAlign w:val="top"/>
          </w:tcPr>
          <w:p>
            <w:pPr>
              <w:spacing w:line="281" w:lineRule="auto"/>
              <w:rPr>
                <w:rFonts w:ascii="Arial"/>
                <w:sz w:val="21"/>
              </w:rPr>
            </w:pPr>
          </w:p>
          <w:p>
            <w:pPr>
              <w:pStyle w:val="6"/>
              <w:spacing w:before="69" w:line="233" w:lineRule="auto"/>
              <w:ind w:left="129" w:right="109"/>
              <w:jc w:val="both"/>
            </w:pPr>
            <w:r>
              <w:rPr>
                <w:spacing w:val="-3"/>
              </w:rPr>
              <w:t>声环境</w:t>
            </w:r>
            <w:r>
              <w:t xml:space="preserve"> </w:t>
            </w:r>
            <w:r>
              <w:rPr>
                <w:spacing w:val="-3"/>
              </w:rPr>
              <w:t>功能区</w:t>
            </w:r>
            <w:r>
              <w:t xml:space="preserve"> </w:t>
            </w:r>
            <w:r>
              <w:rPr>
                <w:spacing w:val="48"/>
              </w:rPr>
              <w:t>类别</w:t>
            </w:r>
          </w:p>
        </w:tc>
        <w:tc>
          <w:tcPr>
            <w:tcW w:w="945" w:type="dxa"/>
            <w:vMerge w:val="restart"/>
            <w:tcBorders>
              <w:bottom w:val="nil"/>
            </w:tcBorders>
            <w:vAlign w:val="top"/>
          </w:tcPr>
          <w:p>
            <w:pPr>
              <w:spacing w:line="275" w:lineRule="auto"/>
              <w:rPr>
                <w:rFonts w:ascii="Arial"/>
                <w:sz w:val="21"/>
              </w:rPr>
            </w:pPr>
          </w:p>
          <w:p>
            <w:pPr>
              <w:spacing w:line="275" w:lineRule="auto"/>
              <w:rPr>
                <w:rFonts w:ascii="Arial"/>
                <w:sz w:val="21"/>
              </w:rPr>
            </w:pPr>
          </w:p>
          <w:p>
            <w:pPr>
              <w:pStyle w:val="6"/>
              <w:spacing w:before="69" w:line="222" w:lineRule="auto"/>
              <w:ind w:left="280"/>
            </w:pPr>
            <w:r>
              <w:rPr>
                <w:spacing w:val="-4"/>
              </w:rPr>
              <w:t>时段</w:t>
            </w:r>
          </w:p>
        </w:tc>
        <w:tc>
          <w:tcPr>
            <w:tcW w:w="704" w:type="dxa"/>
            <w:vMerge w:val="restart"/>
            <w:tcBorders>
              <w:bottom w:val="nil"/>
            </w:tcBorders>
            <w:vAlign w:val="top"/>
          </w:tcPr>
          <w:p>
            <w:pPr>
              <w:spacing w:line="418" w:lineRule="auto"/>
              <w:rPr>
                <w:rFonts w:ascii="Arial"/>
                <w:sz w:val="21"/>
              </w:rPr>
            </w:pPr>
          </w:p>
          <w:p>
            <w:pPr>
              <w:pStyle w:val="6"/>
              <w:spacing w:before="68" w:line="229" w:lineRule="auto"/>
              <w:ind w:left="255" w:right="134" w:hanging="104"/>
            </w:pPr>
            <w:r>
              <w:rPr>
                <w:spacing w:val="-4"/>
              </w:rPr>
              <w:t>标准</w:t>
            </w:r>
            <w:r>
              <w:t xml:space="preserve"> 值</w:t>
            </w:r>
          </w:p>
        </w:tc>
        <w:tc>
          <w:tcPr>
            <w:tcW w:w="600" w:type="dxa"/>
            <w:vMerge w:val="restart"/>
            <w:tcBorders>
              <w:bottom w:val="nil"/>
            </w:tcBorders>
            <w:textDirection w:val="tbRlV"/>
            <w:vAlign w:val="top"/>
          </w:tcPr>
          <w:p>
            <w:pPr>
              <w:pStyle w:val="6"/>
              <w:spacing w:before="188" w:line="207" w:lineRule="auto"/>
              <w:ind w:left="487"/>
            </w:pPr>
            <w:r>
              <w:rPr>
                <w:spacing w:val="31"/>
              </w:rPr>
              <w:t>楼层</w:t>
            </w:r>
          </w:p>
        </w:tc>
        <w:tc>
          <w:tcPr>
            <w:tcW w:w="753" w:type="dxa"/>
            <w:vMerge w:val="restart"/>
            <w:tcBorders>
              <w:bottom w:val="nil"/>
            </w:tcBorders>
            <w:vAlign w:val="top"/>
          </w:tcPr>
          <w:p>
            <w:pPr>
              <w:spacing w:line="417" w:lineRule="auto"/>
              <w:rPr>
                <w:rFonts w:ascii="Arial"/>
                <w:sz w:val="21"/>
              </w:rPr>
            </w:pPr>
          </w:p>
          <w:p>
            <w:pPr>
              <w:pStyle w:val="6"/>
              <w:spacing w:before="68" w:line="238" w:lineRule="auto"/>
              <w:ind w:left="178"/>
            </w:pPr>
            <w:r>
              <w:rPr>
                <w:spacing w:val="-3"/>
              </w:rPr>
              <w:t>背景</w:t>
            </w:r>
          </w:p>
          <w:p>
            <w:pPr>
              <w:pStyle w:val="6"/>
              <w:spacing w:line="220" w:lineRule="auto"/>
              <w:ind w:left="280"/>
            </w:pPr>
            <w:r>
              <w:t>值</w:t>
            </w:r>
          </w:p>
        </w:tc>
        <w:tc>
          <w:tcPr>
            <w:tcW w:w="818" w:type="dxa"/>
            <w:vMerge w:val="restart"/>
            <w:tcBorders>
              <w:bottom w:val="nil"/>
            </w:tcBorders>
            <w:vAlign w:val="top"/>
          </w:tcPr>
          <w:p>
            <w:pPr>
              <w:spacing w:line="417" w:lineRule="auto"/>
              <w:rPr>
                <w:rFonts w:ascii="Arial"/>
                <w:sz w:val="21"/>
              </w:rPr>
            </w:pPr>
          </w:p>
          <w:p>
            <w:pPr>
              <w:pStyle w:val="6"/>
              <w:spacing w:before="68" w:line="238" w:lineRule="auto"/>
              <w:ind w:left="208"/>
            </w:pPr>
            <w:r>
              <w:rPr>
                <w:spacing w:val="-2"/>
              </w:rPr>
              <w:t>现状</w:t>
            </w:r>
          </w:p>
          <w:p>
            <w:pPr>
              <w:pStyle w:val="6"/>
              <w:spacing w:line="220" w:lineRule="auto"/>
              <w:ind w:left="312"/>
            </w:pPr>
            <w:r>
              <w:t>值</w:t>
            </w:r>
          </w:p>
        </w:tc>
        <w:tc>
          <w:tcPr>
            <w:tcW w:w="3425" w:type="dxa"/>
            <w:gridSpan w:val="4"/>
            <w:vAlign w:val="top"/>
          </w:tcPr>
          <w:p>
            <w:pPr>
              <w:pStyle w:val="6"/>
              <w:spacing w:before="48" w:line="220" w:lineRule="auto"/>
              <w:ind w:left="1512"/>
            </w:pPr>
            <w:r>
              <w:rPr>
                <w:spacing w:val="-2"/>
              </w:rPr>
              <w:t>远期</w:t>
            </w:r>
          </w:p>
        </w:tc>
        <w:tc>
          <w:tcPr>
            <w:tcW w:w="701" w:type="dxa"/>
            <w:vMerge w:val="restart"/>
            <w:tcBorders>
              <w:bottom w:val="nil"/>
            </w:tcBorders>
            <w:vAlign w:val="top"/>
          </w:tcPr>
          <w:p>
            <w:pPr>
              <w:spacing w:line="281" w:lineRule="auto"/>
              <w:rPr>
                <w:rFonts w:ascii="Arial"/>
                <w:sz w:val="21"/>
              </w:rPr>
            </w:pPr>
          </w:p>
          <w:p>
            <w:pPr>
              <w:pStyle w:val="6"/>
              <w:spacing w:before="69" w:line="233" w:lineRule="auto"/>
              <w:ind w:left="159" w:right="132" w:hanging="6"/>
              <w:jc w:val="both"/>
            </w:pPr>
            <w:r>
              <w:rPr>
                <w:spacing w:val="-6"/>
              </w:rPr>
              <w:t>受影</w:t>
            </w:r>
            <w:r>
              <w:t xml:space="preserve"> </w:t>
            </w:r>
            <w:r>
              <w:rPr>
                <w:spacing w:val="-9"/>
              </w:rPr>
              <w:t>响户</w:t>
            </w:r>
            <w:r>
              <w:t xml:space="preserve"> </w:t>
            </w:r>
            <w:r>
              <w:rPr>
                <w:spacing w:val="35"/>
                <w:w w:val="125"/>
              </w:rPr>
              <w:t>数</w:t>
            </w:r>
          </w:p>
        </w:tc>
        <w:tc>
          <w:tcPr>
            <w:tcW w:w="8878" w:type="dxa"/>
            <w:gridSpan w:val="7"/>
            <w:vAlign w:val="top"/>
          </w:tcPr>
          <w:p>
            <w:pPr>
              <w:pStyle w:val="6"/>
              <w:spacing w:before="48" w:line="219" w:lineRule="auto"/>
              <w:ind w:left="3511"/>
            </w:pPr>
            <w:r>
              <w:rPr>
                <w:spacing w:val="-2"/>
              </w:rPr>
              <w:t>噪声防治措施及投资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Merge w:val="continue"/>
            <w:tcBorders>
              <w:top w:val="nil"/>
            </w:tcBorders>
            <w:vAlign w:val="top"/>
          </w:tcPr>
          <w:p>
            <w:pPr>
              <w:rPr>
                <w:rFonts w:ascii="Arial"/>
                <w:sz w:val="21"/>
              </w:rPr>
            </w:pPr>
          </w:p>
        </w:tc>
        <w:tc>
          <w:tcPr>
            <w:tcW w:w="704" w:type="dxa"/>
            <w:vMerge w:val="continue"/>
            <w:tcBorders>
              <w:top w:val="nil"/>
            </w:tcBorders>
            <w:vAlign w:val="top"/>
          </w:tcPr>
          <w:p>
            <w:pPr>
              <w:rPr>
                <w:rFonts w:ascii="Arial"/>
                <w:sz w:val="21"/>
              </w:rPr>
            </w:pPr>
          </w:p>
        </w:tc>
        <w:tc>
          <w:tcPr>
            <w:tcW w:w="600" w:type="dxa"/>
            <w:vMerge w:val="continue"/>
            <w:tcBorders>
              <w:top w:val="nil"/>
            </w:tcBorders>
            <w:textDirection w:val="tbRlV"/>
            <w:vAlign w:val="top"/>
          </w:tcPr>
          <w:p>
            <w:pPr>
              <w:rPr>
                <w:rFonts w:ascii="Arial"/>
                <w:sz w:val="21"/>
              </w:rPr>
            </w:pPr>
          </w:p>
        </w:tc>
        <w:tc>
          <w:tcPr>
            <w:tcW w:w="753" w:type="dxa"/>
            <w:vMerge w:val="continue"/>
            <w:tcBorders>
              <w:top w:val="nil"/>
            </w:tcBorders>
            <w:vAlign w:val="top"/>
          </w:tcPr>
          <w:p>
            <w:pPr>
              <w:rPr>
                <w:rFonts w:ascii="Arial"/>
                <w:sz w:val="21"/>
              </w:rPr>
            </w:pPr>
          </w:p>
        </w:tc>
        <w:tc>
          <w:tcPr>
            <w:tcW w:w="818" w:type="dxa"/>
            <w:vMerge w:val="continue"/>
            <w:tcBorders>
              <w:top w:val="nil"/>
            </w:tcBorders>
            <w:vAlign w:val="top"/>
          </w:tcPr>
          <w:p>
            <w:pPr>
              <w:rPr>
                <w:rFonts w:ascii="Arial"/>
                <w:sz w:val="21"/>
              </w:rPr>
            </w:pPr>
          </w:p>
        </w:tc>
        <w:tc>
          <w:tcPr>
            <w:tcW w:w="773" w:type="dxa"/>
            <w:vAlign w:val="top"/>
          </w:tcPr>
          <w:p>
            <w:pPr>
              <w:spacing w:line="257" w:lineRule="auto"/>
              <w:rPr>
                <w:rFonts w:ascii="Arial"/>
                <w:sz w:val="21"/>
              </w:rPr>
            </w:pPr>
          </w:p>
          <w:p>
            <w:pPr>
              <w:pStyle w:val="6"/>
              <w:spacing w:before="68" w:line="241" w:lineRule="auto"/>
              <w:ind w:left="187"/>
            </w:pPr>
            <w:r>
              <w:rPr>
                <w:spacing w:val="-3"/>
              </w:rPr>
              <w:t>贡献</w:t>
            </w:r>
          </w:p>
          <w:p>
            <w:pPr>
              <w:pStyle w:val="6"/>
              <w:spacing w:line="220" w:lineRule="auto"/>
              <w:ind w:left="288"/>
            </w:pPr>
            <w:r>
              <w:t>值</w:t>
            </w:r>
          </w:p>
        </w:tc>
        <w:tc>
          <w:tcPr>
            <w:tcW w:w="900" w:type="dxa"/>
            <w:vAlign w:val="top"/>
          </w:tcPr>
          <w:p>
            <w:pPr>
              <w:spacing w:line="393" w:lineRule="auto"/>
              <w:rPr>
                <w:rFonts w:ascii="Arial"/>
                <w:sz w:val="21"/>
              </w:rPr>
            </w:pPr>
          </w:p>
          <w:p>
            <w:pPr>
              <w:pStyle w:val="6"/>
              <w:spacing w:before="68" w:line="221" w:lineRule="auto"/>
              <w:ind w:left="143"/>
            </w:pPr>
            <w:r>
              <w:rPr>
                <w:spacing w:val="-2"/>
              </w:rPr>
              <w:t>预测值</w:t>
            </w:r>
          </w:p>
        </w:tc>
        <w:tc>
          <w:tcPr>
            <w:tcW w:w="1039" w:type="dxa"/>
            <w:tcBorders>
              <w:right w:val="single" w:color="000000" w:sz="4" w:space="0"/>
            </w:tcBorders>
            <w:vAlign w:val="top"/>
          </w:tcPr>
          <w:p>
            <w:pPr>
              <w:spacing w:line="258" w:lineRule="auto"/>
              <w:rPr>
                <w:rFonts w:ascii="Arial"/>
                <w:sz w:val="21"/>
              </w:rPr>
            </w:pPr>
          </w:p>
          <w:p>
            <w:pPr>
              <w:pStyle w:val="6"/>
              <w:spacing w:before="68" w:line="231" w:lineRule="auto"/>
              <w:ind w:left="211" w:right="194"/>
            </w:pPr>
            <w:r>
              <w:rPr>
                <w:spacing w:val="-2"/>
              </w:rPr>
              <w:t>较现状</w:t>
            </w:r>
            <w:r>
              <w:t xml:space="preserve"> </w:t>
            </w:r>
            <w:r>
              <w:rPr>
                <w:spacing w:val="-2"/>
              </w:rPr>
              <w:t>增加量</w:t>
            </w:r>
          </w:p>
        </w:tc>
        <w:tc>
          <w:tcPr>
            <w:tcW w:w="713" w:type="dxa"/>
            <w:tcBorders>
              <w:left w:val="single" w:color="000000" w:sz="4" w:space="0"/>
            </w:tcBorders>
            <w:vAlign w:val="top"/>
          </w:tcPr>
          <w:p>
            <w:pPr>
              <w:spacing w:line="258" w:lineRule="auto"/>
              <w:rPr>
                <w:rFonts w:ascii="Arial"/>
                <w:sz w:val="21"/>
              </w:rPr>
            </w:pPr>
          </w:p>
          <w:p>
            <w:pPr>
              <w:pStyle w:val="6"/>
              <w:spacing w:before="68" w:line="233" w:lineRule="auto"/>
              <w:ind w:left="257" w:right="137" w:hanging="104"/>
            </w:pPr>
            <w:r>
              <w:rPr>
                <w:spacing w:val="-3"/>
              </w:rPr>
              <w:t>超标</w:t>
            </w:r>
            <w:r>
              <w:t xml:space="preserve"> 量</w:t>
            </w:r>
          </w:p>
        </w:tc>
        <w:tc>
          <w:tcPr>
            <w:tcW w:w="701" w:type="dxa"/>
            <w:vMerge w:val="continue"/>
            <w:tcBorders>
              <w:top w:val="nil"/>
            </w:tcBorders>
            <w:vAlign w:val="top"/>
          </w:tcPr>
          <w:p>
            <w:pPr>
              <w:rPr>
                <w:rFonts w:ascii="Arial"/>
                <w:sz w:val="21"/>
              </w:rPr>
            </w:pPr>
          </w:p>
        </w:tc>
        <w:tc>
          <w:tcPr>
            <w:tcW w:w="4351" w:type="dxa"/>
            <w:vAlign w:val="top"/>
          </w:tcPr>
          <w:p>
            <w:pPr>
              <w:spacing w:line="393" w:lineRule="auto"/>
              <w:rPr>
                <w:rFonts w:ascii="Arial"/>
                <w:sz w:val="21"/>
              </w:rPr>
            </w:pPr>
          </w:p>
          <w:p>
            <w:pPr>
              <w:pStyle w:val="6"/>
              <w:spacing w:before="68" w:line="221" w:lineRule="auto"/>
              <w:ind w:left="1973"/>
            </w:pPr>
            <w:r>
              <w:rPr>
                <w:spacing w:val="-2"/>
              </w:rPr>
              <w:t>类型</w:t>
            </w:r>
          </w:p>
        </w:tc>
        <w:tc>
          <w:tcPr>
            <w:tcW w:w="986" w:type="dxa"/>
            <w:vAlign w:val="top"/>
          </w:tcPr>
          <w:p>
            <w:pPr>
              <w:spacing w:line="393" w:lineRule="auto"/>
              <w:rPr>
                <w:rFonts w:ascii="Arial"/>
                <w:sz w:val="21"/>
              </w:rPr>
            </w:pPr>
          </w:p>
          <w:p>
            <w:pPr>
              <w:pStyle w:val="6"/>
              <w:spacing w:before="68" w:line="221" w:lineRule="auto"/>
              <w:ind w:left="294"/>
            </w:pPr>
            <w:r>
              <w:rPr>
                <w:spacing w:val="-2"/>
              </w:rPr>
              <w:t>规模</w:t>
            </w:r>
          </w:p>
        </w:tc>
        <w:tc>
          <w:tcPr>
            <w:tcW w:w="597" w:type="dxa"/>
            <w:textDirection w:val="tbRlV"/>
            <w:vAlign w:val="top"/>
          </w:tcPr>
          <w:p>
            <w:pPr>
              <w:pStyle w:val="6"/>
              <w:spacing w:before="185" w:line="208" w:lineRule="auto"/>
              <w:ind w:left="193"/>
            </w:pPr>
            <w:r>
              <w:rPr>
                <w:spacing w:val="41"/>
              </w:rPr>
              <w:t>贡献值</w:t>
            </w:r>
          </w:p>
        </w:tc>
        <w:tc>
          <w:tcPr>
            <w:tcW w:w="597" w:type="dxa"/>
            <w:textDirection w:val="tbRlV"/>
            <w:vAlign w:val="top"/>
          </w:tcPr>
          <w:p>
            <w:pPr>
              <w:pStyle w:val="6"/>
              <w:spacing w:before="184" w:line="209" w:lineRule="auto"/>
              <w:ind w:left="193"/>
            </w:pPr>
            <w:r>
              <w:rPr>
                <w:spacing w:val="41"/>
              </w:rPr>
              <w:t>预测值</w:t>
            </w:r>
          </w:p>
        </w:tc>
        <w:tc>
          <w:tcPr>
            <w:tcW w:w="662" w:type="dxa"/>
            <w:vAlign w:val="top"/>
          </w:tcPr>
          <w:p>
            <w:pPr>
              <w:pStyle w:val="6"/>
              <w:spacing w:before="56" w:line="221" w:lineRule="auto"/>
              <w:ind w:left="136"/>
            </w:pPr>
            <w:r>
              <w:rPr>
                <w:spacing w:val="-3"/>
              </w:rPr>
              <w:t>声屏</w:t>
            </w:r>
          </w:p>
          <w:p>
            <w:pPr>
              <w:pStyle w:val="6"/>
              <w:spacing w:before="18" w:line="221" w:lineRule="auto"/>
              <w:ind w:left="143"/>
            </w:pPr>
            <w:r>
              <w:rPr>
                <w:spacing w:val="-5"/>
              </w:rPr>
              <w:t>障插</w:t>
            </w:r>
          </w:p>
          <w:p>
            <w:pPr>
              <w:pStyle w:val="6"/>
              <w:spacing w:before="23" w:line="221" w:lineRule="auto"/>
              <w:ind w:left="131"/>
            </w:pPr>
            <w:r>
              <w:rPr>
                <w:spacing w:val="-2"/>
              </w:rPr>
              <w:t>入损</w:t>
            </w:r>
          </w:p>
          <w:p>
            <w:pPr>
              <w:pStyle w:val="6"/>
              <w:spacing w:before="19" w:line="222" w:lineRule="auto"/>
              <w:ind w:left="240"/>
            </w:pPr>
            <w:r>
              <w:t>失</w:t>
            </w:r>
          </w:p>
        </w:tc>
        <w:tc>
          <w:tcPr>
            <w:tcW w:w="828" w:type="dxa"/>
            <w:vAlign w:val="top"/>
          </w:tcPr>
          <w:p>
            <w:pPr>
              <w:pStyle w:val="6"/>
              <w:spacing w:before="70" w:line="221" w:lineRule="auto"/>
              <w:ind w:left="217"/>
            </w:pPr>
            <w:r>
              <w:rPr>
                <w:spacing w:val="-3"/>
              </w:rPr>
              <w:t>室内</w:t>
            </w:r>
          </w:p>
          <w:p>
            <w:pPr>
              <w:pStyle w:val="6"/>
              <w:spacing w:before="23" w:line="221" w:lineRule="auto"/>
              <w:ind w:left="224"/>
            </w:pPr>
            <w:r>
              <w:rPr>
                <w:spacing w:val="-4"/>
              </w:rPr>
              <w:t>噪声</w:t>
            </w:r>
          </w:p>
          <w:p>
            <w:pPr>
              <w:pStyle w:val="6"/>
              <w:spacing w:before="18" w:line="221" w:lineRule="auto"/>
              <w:ind w:left="320"/>
            </w:pPr>
            <w:r>
              <w:t>值</w:t>
            </w:r>
          </w:p>
          <w:p>
            <w:pPr>
              <w:spacing w:before="41" w:line="191"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dB(A)</w:t>
            </w:r>
          </w:p>
        </w:tc>
        <w:tc>
          <w:tcPr>
            <w:tcW w:w="857" w:type="dxa"/>
            <w:vAlign w:val="top"/>
          </w:tcPr>
          <w:p>
            <w:pPr>
              <w:pStyle w:val="6"/>
              <w:spacing w:before="56" w:line="221" w:lineRule="auto"/>
              <w:ind w:left="133"/>
            </w:pPr>
            <w:r>
              <w:rPr>
                <w:spacing w:val="-4"/>
              </w:rPr>
              <w:t>噪声控</w:t>
            </w:r>
          </w:p>
          <w:p>
            <w:pPr>
              <w:pStyle w:val="6"/>
              <w:spacing w:before="19" w:line="221" w:lineRule="auto"/>
              <w:ind w:left="124"/>
            </w:pPr>
            <w:r>
              <w:rPr>
                <w:spacing w:val="-2"/>
              </w:rPr>
              <w:t>制措施</w:t>
            </w:r>
          </w:p>
          <w:p>
            <w:pPr>
              <w:pStyle w:val="6"/>
              <w:spacing w:before="21" w:line="233" w:lineRule="auto"/>
              <w:ind w:left="202"/>
              <w:rPr>
                <w:rFonts w:ascii="Times New Roman" w:hAnsi="Times New Roman" w:eastAsia="Times New Roman" w:cs="Times New Roman"/>
              </w:rPr>
            </w:pPr>
            <w:r>
              <w:rPr>
                <w:spacing w:val="-3"/>
              </w:rPr>
              <w:t>投资</w:t>
            </w:r>
            <w:r>
              <w:rPr>
                <w:rFonts w:ascii="Times New Roman" w:hAnsi="Times New Roman" w:eastAsia="Times New Roman" w:cs="Times New Roman"/>
                <w:spacing w:val="-3"/>
              </w:rPr>
              <w:t>/</w:t>
            </w:r>
          </w:p>
          <w:p>
            <w:pPr>
              <w:pStyle w:val="6"/>
              <w:spacing w:before="6" w:line="221" w:lineRule="auto"/>
              <w:ind w:left="233"/>
            </w:pPr>
            <w:r>
              <w:rPr>
                <w:spacing w:val="-3"/>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641"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1" w:line="187"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81"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8" w:line="221" w:lineRule="auto"/>
              <w:ind w:left="286"/>
            </w:pPr>
            <w:r>
              <w:rPr>
                <w:spacing w:val="-2"/>
              </w:rPr>
              <w:t>南坑下</w:t>
            </w:r>
          </w:p>
        </w:tc>
        <w:tc>
          <w:tcPr>
            <w:tcW w:w="1106" w:type="dxa"/>
            <w:vMerge w:val="restart"/>
            <w:tcBorders>
              <w:bottom w:val="nil"/>
            </w:tcBorders>
            <w:vAlign w:val="top"/>
          </w:tcPr>
          <w:p>
            <w:pPr>
              <w:pStyle w:val="6"/>
              <w:spacing w:before="31" w:line="235" w:lineRule="auto"/>
              <w:ind w:left="121" w:right="102" w:firstLine="21"/>
              <w:jc w:val="both"/>
              <w:rPr>
                <w:rFonts w:ascii="Times New Roman" w:hAnsi="Times New Roman" w:eastAsia="Times New Roman" w:cs="Times New Roman"/>
              </w:rPr>
            </w:pPr>
            <w:r>
              <w:rPr>
                <w:rFonts w:ascii="Times New Roman" w:hAnsi="Times New Roman" w:eastAsia="Times New Roman" w:cs="Times New Roman"/>
                <w:spacing w:val="-2"/>
              </w:rPr>
              <w:t>32</w:t>
            </w:r>
            <w:r>
              <w:rPr>
                <w:spacing w:val="-2"/>
              </w:rPr>
              <w:t>（西坑</w:t>
            </w:r>
            <w:r>
              <w:rPr>
                <w:spacing w:val="2"/>
              </w:rPr>
              <w:t xml:space="preserve"> </w:t>
            </w:r>
            <w:r>
              <w:rPr>
                <w:spacing w:val="-8"/>
              </w:rPr>
              <w:t>互通</w:t>
            </w:r>
            <w:r>
              <w:rPr>
                <w:spacing w:val="-51"/>
              </w:rPr>
              <w:t xml:space="preserve"> </w:t>
            </w:r>
            <w:r>
              <w:rPr>
                <w:rFonts w:ascii="Times New Roman" w:hAnsi="Times New Roman" w:eastAsia="Times New Roman" w:cs="Times New Roman"/>
                <w:spacing w:val="-8"/>
              </w:rPr>
              <w:t>A</w:t>
            </w:r>
            <w:r>
              <w:rPr>
                <w:rFonts w:ascii="Times New Roman" w:hAnsi="Times New Roman" w:eastAsia="Times New Roman" w:cs="Times New Roman"/>
                <w:spacing w:val="19"/>
              </w:rPr>
              <w:t xml:space="preserve"> </w:t>
            </w:r>
            <w:r>
              <w:rPr>
                <w:spacing w:val="-8"/>
              </w:rPr>
              <w:t>匝</w:t>
            </w:r>
            <w:r>
              <w:t xml:space="preserve"> </w:t>
            </w:r>
            <w:r>
              <w:rPr>
                <w:spacing w:val="6"/>
              </w:rPr>
              <w:t>道）</w:t>
            </w:r>
            <w:r>
              <w:rPr>
                <w:rFonts w:ascii="Times New Roman" w:hAnsi="Times New Roman" w:eastAsia="Times New Roman" w:cs="Times New Roman"/>
                <w:spacing w:val="6"/>
              </w:rPr>
              <w:t>/138</w:t>
            </w:r>
          </w:p>
          <w:p>
            <w:pPr>
              <w:pStyle w:val="6"/>
              <w:spacing w:before="16" w:line="223" w:lineRule="auto"/>
              <w:ind w:left="334" w:right="139" w:hanging="186"/>
            </w:pPr>
            <w:r>
              <w:rPr>
                <w:spacing w:val="-7"/>
              </w:rPr>
              <w:t>（连接线</w:t>
            </w:r>
            <w:r>
              <w:t xml:space="preserve"> </w:t>
            </w:r>
            <w:r>
              <w:rPr>
                <w:rFonts w:ascii="Times New Roman" w:hAnsi="Times New Roman" w:eastAsia="Times New Roman" w:cs="Times New Roman"/>
                <w:spacing w:val="-1"/>
              </w:rPr>
              <w:t>L1</w:t>
            </w:r>
            <w:r>
              <w:rPr>
                <w:spacing w:val="-1"/>
              </w:rPr>
              <w:t>）</w:t>
            </w:r>
          </w:p>
        </w:tc>
        <w:tc>
          <w:tcPr>
            <w:tcW w:w="1085"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before="60"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-24.0</w:t>
            </w:r>
          </w:p>
        </w:tc>
        <w:tc>
          <w:tcPr>
            <w:tcW w:w="866" w:type="dxa"/>
            <w:vMerge w:val="restart"/>
            <w:tcBorders>
              <w:bottom w:val="nil"/>
            </w:tcBorders>
            <w:vAlign w:val="top"/>
          </w:tcPr>
          <w:p>
            <w:pPr>
              <w:spacing w:line="251" w:lineRule="auto"/>
              <w:rPr>
                <w:rFonts w:ascii="Arial"/>
                <w:sz w:val="21"/>
              </w:rPr>
            </w:pPr>
          </w:p>
          <w:p>
            <w:pPr>
              <w:spacing w:line="252" w:lineRule="auto"/>
              <w:rPr>
                <w:rFonts w:ascii="Arial"/>
                <w:sz w:val="21"/>
              </w:rPr>
            </w:pPr>
          </w:p>
          <w:p>
            <w:pPr>
              <w:pStyle w:val="6"/>
              <w:spacing w:before="68" w:line="221" w:lineRule="auto"/>
              <w:ind w:left="20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945" w:type="dxa"/>
            <w:vAlign w:val="top"/>
          </w:tcPr>
          <w:p>
            <w:pPr>
              <w:pStyle w:val="6"/>
              <w:spacing w:before="230" w:line="223" w:lineRule="auto"/>
              <w:ind w:left="269"/>
            </w:pPr>
            <w:r>
              <w:rPr>
                <w:spacing w:val="-2"/>
              </w:rPr>
              <w:t>昼间</w:t>
            </w:r>
          </w:p>
        </w:tc>
        <w:tc>
          <w:tcPr>
            <w:tcW w:w="704" w:type="dxa"/>
            <w:vAlign w:val="top"/>
          </w:tcPr>
          <w:p>
            <w:pPr>
              <w:spacing w:before="268"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before="60"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268"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w:t>
            </w:r>
          </w:p>
        </w:tc>
        <w:tc>
          <w:tcPr>
            <w:tcW w:w="818" w:type="dxa"/>
            <w:vAlign w:val="top"/>
          </w:tcPr>
          <w:p>
            <w:pPr>
              <w:spacing w:before="268"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w:t>
            </w:r>
          </w:p>
        </w:tc>
        <w:tc>
          <w:tcPr>
            <w:tcW w:w="773" w:type="dxa"/>
            <w:vAlign w:val="top"/>
          </w:tcPr>
          <w:p>
            <w:pPr>
              <w:spacing w:before="268"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57.9</w:t>
            </w:r>
          </w:p>
        </w:tc>
        <w:tc>
          <w:tcPr>
            <w:tcW w:w="900" w:type="dxa"/>
            <w:vAlign w:val="top"/>
          </w:tcPr>
          <w:p>
            <w:pPr>
              <w:spacing w:before="268"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57.9</w:t>
            </w:r>
          </w:p>
        </w:tc>
        <w:tc>
          <w:tcPr>
            <w:tcW w:w="1039" w:type="dxa"/>
            <w:tcBorders>
              <w:right w:val="single" w:color="000000" w:sz="4" w:space="0"/>
            </w:tcBorders>
            <w:vAlign w:val="top"/>
          </w:tcPr>
          <w:p>
            <w:pPr>
              <w:spacing w:before="268"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+17.8</w:t>
            </w:r>
          </w:p>
        </w:tc>
        <w:tc>
          <w:tcPr>
            <w:tcW w:w="713" w:type="dxa"/>
            <w:tcBorders>
              <w:left w:val="single" w:color="000000" w:sz="4" w:space="0"/>
            </w:tcBorders>
            <w:vAlign w:val="top"/>
          </w:tcPr>
          <w:p>
            <w:pPr>
              <w:spacing w:before="264" w:line="23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74" w:lineRule="auto"/>
              <w:rPr>
                <w:rFonts w:ascii="Arial"/>
                <w:sz w:val="21"/>
              </w:rPr>
            </w:pPr>
          </w:p>
          <w:p>
            <w:pPr>
              <w:spacing w:line="275" w:lineRule="auto"/>
              <w:rPr>
                <w:rFonts w:ascii="Arial"/>
                <w:sz w:val="21"/>
              </w:rPr>
            </w:pPr>
          </w:p>
          <w:p>
            <w:pPr>
              <w:spacing w:before="60"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51" w:type="dxa"/>
            <w:vMerge w:val="restart"/>
            <w:tcBorders>
              <w:bottom w:val="nil"/>
            </w:tcBorders>
            <w:vAlign w:val="top"/>
          </w:tcPr>
          <w:p>
            <w:pPr>
              <w:pStyle w:val="6"/>
              <w:spacing w:before="173" w:line="237" w:lineRule="auto"/>
              <w:ind w:left="106" w:right="102" w:firstLine="23"/>
            </w:pPr>
            <w:r>
              <w:rPr>
                <w:rFonts w:ascii="Times New Roman" w:hAnsi="Times New Roman" w:eastAsia="Times New Roman" w:cs="Times New Roman"/>
                <w:spacing w:val="-8"/>
              </w:rPr>
              <w:t xml:space="preserve">1  </w:t>
            </w:r>
            <w:r>
              <w:rPr>
                <w:spacing w:val="-8"/>
              </w:rPr>
              <w:t>、 利 用 西 坑 互 通 连 接 线</w:t>
            </w:r>
            <w:r>
              <w:rPr>
                <w:spacing w:val="105"/>
              </w:rPr>
              <w:t xml:space="preserve"> </w:t>
            </w:r>
            <w:r>
              <w:rPr>
                <w:rFonts w:ascii="Times New Roman" w:hAnsi="Times New Roman" w:eastAsia="Times New Roman" w:cs="Times New Roman"/>
                <w:spacing w:val="-8"/>
              </w:rPr>
              <w:t xml:space="preserve">A    </w:t>
            </w:r>
            <w:r>
              <w:rPr>
                <w:spacing w:val="-8"/>
              </w:rPr>
              <w:t>匝 道</w:t>
            </w:r>
            <w:r>
              <w:t xml:space="preserve"> </w:t>
            </w:r>
            <w:r>
              <w:rPr>
                <w:rFonts w:ascii="Times New Roman" w:hAnsi="Times New Roman" w:eastAsia="Times New Roman" w:cs="Times New Roman"/>
                <w:spacing w:val="-1"/>
              </w:rPr>
              <w:t xml:space="preserve">AK0+070~AK0+260 </w:t>
            </w:r>
            <w:r>
              <w:rPr>
                <w:spacing w:val="-1"/>
              </w:rPr>
              <w:t>南侧的隔声屏障，隔声屏</w:t>
            </w:r>
            <w:r>
              <w:rPr>
                <w:spacing w:val="2"/>
              </w:rPr>
              <w:t xml:space="preserve"> </w:t>
            </w:r>
            <w:r>
              <w:rPr>
                <w:spacing w:val="-2"/>
              </w:rPr>
              <w:t>障等效高度为</w:t>
            </w:r>
            <w:r>
              <w:rPr>
                <w:spacing w:val="-29"/>
              </w:rPr>
              <w:t xml:space="preserve"> </w:t>
            </w:r>
            <w:r>
              <w:rPr>
                <w:rFonts w:ascii="Times New Roman" w:hAnsi="Times New Roman" w:eastAsia="Times New Roman" w:cs="Times New Roman"/>
                <w:spacing w:val="-2"/>
              </w:rPr>
              <w:t xml:space="preserve">3m  </w:t>
            </w:r>
            <w:r>
              <w:rPr>
                <w:spacing w:val="-2"/>
              </w:rPr>
              <w:t xml:space="preserve">高，长度 </w:t>
            </w:r>
            <w:r>
              <w:rPr>
                <w:rFonts w:ascii="Times New Roman" w:hAnsi="Times New Roman" w:eastAsia="Times New Roman" w:cs="Times New Roman"/>
                <w:spacing w:val="-2"/>
              </w:rPr>
              <w:t>190m</w:t>
            </w:r>
            <w:r>
              <w:rPr>
                <w:spacing w:val="-2"/>
              </w:rPr>
              <w:t>；利用景文</w:t>
            </w:r>
            <w:r>
              <w:t xml:space="preserve"> </w:t>
            </w:r>
            <w:r>
              <w:rPr>
                <w:spacing w:val="-2"/>
              </w:rPr>
              <w:t>主线</w:t>
            </w:r>
            <w:r>
              <w:rPr>
                <w:spacing w:val="-44"/>
              </w:rPr>
              <w:t xml:space="preserve"> </w:t>
            </w:r>
            <w:r>
              <w:rPr>
                <w:rFonts w:ascii="Times New Roman" w:hAnsi="Times New Roman" w:eastAsia="Times New Roman" w:cs="Times New Roman"/>
                <w:spacing w:val="-2"/>
              </w:rPr>
              <w:t xml:space="preserve">ZK60+800~ZK61+080 </w:t>
            </w:r>
            <w:r>
              <w:rPr>
                <w:spacing w:val="-2"/>
              </w:rPr>
              <w:t>北侧的隔声屏障，</w:t>
            </w:r>
            <w:r>
              <w:t xml:space="preserve"> </w:t>
            </w:r>
            <w:r>
              <w:rPr>
                <w:spacing w:val="-1"/>
              </w:rPr>
              <w:t>隔声屏障等效高度为</w:t>
            </w:r>
            <w:r>
              <w:rPr>
                <w:spacing w:val="-30"/>
              </w:rPr>
              <w:t xml:space="preserve"> </w:t>
            </w:r>
            <w:r>
              <w:rPr>
                <w:rFonts w:ascii="Times New Roman" w:hAnsi="Times New Roman" w:eastAsia="Times New Roman" w:cs="Times New Roman"/>
                <w:spacing w:val="-1"/>
              </w:rPr>
              <w:t xml:space="preserve">3m  </w:t>
            </w:r>
            <w:r>
              <w:rPr>
                <w:spacing w:val="-1"/>
              </w:rPr>
              <w:t>高，长度</w:t>
            </w:r>
            <w:r>
              <w:rPr>
                <w:spacing w:val="-34"/>
              </w:rPr>
              <w:t xml:space="preserve"> </w:t>
            </w:r>
            <w:r>
              <w:rPr>
                <w:rFonts w:ascii="Times New Roman" w:hAnsi="Times New Roman" w:eastAsia="Times New Roman" w:cs="Times New Roman"/>
                <w:spacing w:val="-1"/>
              </w:rPr>
              <w:t>280m</w:t>
            </w:r>
            <w:r>
              <w:rPr>
                <w:spacing w:val="-1"/>
              </w:rPr>
              <w:t>。设</w:t>
            </w:r>
            <w:r>
              <w:t xml:space="preserve"> </w:t>
            </w:r>
            <w:r>
              <w:rPr>
                <w:spacing w:val="-4"/>
              </w:rPr>
              <w:t>计的声屏障应符合《声屏障声学设计和测量规</w:t>
            </w:r>
            <w:r>
              <w:rPr>
                <w:spacing w:val="15"/>
              </w:rPr>
              <w:t xml:space="preserve"> </w:t>
            </w:r>
            <w:r>
              <w:rPr>
                <w:spacing w:val="3"/>
              </w:rPr>
              <w:t>范》（</w:t>
            </w:r>
            <w:r>
              <w:rPr>
                <w:rFonts w:ascii="Times New Roman" w:hAnsi="Times New Roman" w:eastAsia="Times New Roman" w:cs="Times New Roman"/>
              </w:rPr>
              <w:t>HJ</w:t>
            </w:r>
            <w:r>
              <w:rPr>
                <w:rFonts w:ascii="Times New Roman" w:hAnsi="Times New Roman" w:eastAsia="Times New Roman" w:cs="Times New Roman"/>
                <w:spacing w:val="3"/>
              </w:rPr>
              <w:t>/T90-2004</w:t>
            </w:r>
            <w:r>
              <w:rPr>
                <w:spacing w:val="3"/>
              </w:rPr>
              <w:t>）、《声屏障结构技术标</w:t>
            </w:r>
            <w:r>
              <w:rPr>
                <w:spacing w:val="4"/>
              </w:rPr>
              <w:t xml:space="preserve"> </w:t>
            </w:r>
            <w:r>
              <w:rPr>
                <w:spacing w:val="-1"/>
              </w:rPr>
              <w:t>准》（</w:t>
            </w:r>
            <w:r>
              <w:rPr>
                <w:rFonts w:ascii="Times New Roman" w:hAnsi="Times New Roman" w:eastAsia="Times New Roman" w:cs="Times New Roman"/>
                <w:spacing w:val="-1"/>
              </w:rPr>
              <w:t>GB/T5133-2018</w:t>
            </w:r>
            <w:r>
              <w:rPr>
                <w:spacing w:val="-1"/>
              </w:rPr>
              <w:t>）的要求。</w:t>
            </w:r>
          </w:p>
          <w:p>
            <w:pPr>
              <w:pStyle w:val="6"/>
              <w:spacing w:before="19" w:line="230" w:lineRule="auto"/>
              <w:ind w:left="112" w:right="102" w:hanging="3"/>
            </w:pPr>
            <w:r>
              <w:rPr>
                <w:rFonts w:ascii="Times New Roman" w:hAnsi="Times New Roman" w:eastAsia="Times New Roman" w:cs="Times New Roman"/>
                <w:spacing w:val="-3"/>
              </w:rPr>
              <w:t>2</w:t>
            </w:r>
            <w:r>
              <w:rPr>
                <w:rFonts w:ascii="Times New Roman" w:hAnsi="Times New Roman" w:eastAsia="Times New Roman" w:cs="Times New Roman"/>
                <w:spacing w:val="-28"/>
              </w:rPr>
              <w:t xml:space="preserve"> </w:t>
            </w: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37"/>
                <w:w w:val="101"/>
              </w:rPr>
              <w:t xml:space="preserve"> </w:t>
            </w:r>
            <w:r>
              <w:rPr>
                <w:spacing w:val="-3"/>
              </w:rPr>
              <w:t xml:space="preserve">类区 </w:t>
            </w:r>
            <w:r>
              <w:rPr>
                <w:rFonts w:ascii="Times New Roman" w:hAnsi="Times New Roman" w:eastAsia="Times New Roman" w:cs="Times New Roman"/>
                <w:spacing w:val="-3"/>
              </w:rPr>
              <w:t>4</w:t>
            </w:r>
            <w:r>
              <w:rPr>
                <w:rFonts w:ascii="Times New Roman" w:hAnsi="Times New Roman" w:eastAsia="Times New Roman" w:cs="Times New Roman"/>
                <w:spacing w:val="38"/>
                <w:w w:val="101"/>
              </w:rPr>
              <w:t xml:space="preserve"> </w:t>
            </w:r>
            <w:r>
              <w:rPr>
                <w:spacing w:val="-3"/>
              </w:rPr>
              <w:t>户安装隔声窗，使其满足《建筑</w:t>
            </w:r>
            <w:r>
              <w:t xml:space="preserve"> 环境通用规范》（</w:t>
            </w:r>
            <w:r>
              <w:rPr>
                <w:rFonts w:ascii="Times New Roman" w:hAnsi="Times New Roman" w:eastAsia="Times New Roman" w:cs="Times New Roman"/>
              </w:rPr>
              <w:t>GB55016-202</w:t>
            </w:r>
            <w:r>
              <w:rPr>
                <w:rFonts w:ascii="Times New Roman" w:hAnsi="Times New Roman" w:eastAsia="Times New Roman" w:cs="Times New Roman"/>
                <w:spacing w:val="-1"/>
              </w:rPr>
              <w:t>1</w:t>
            </w:r>
            <w:r>
              <w:rPr>
                <w:spacing w:val="-1"/>
              </w:rPr>
              <w:t>）的要求。</w:t>
            </w:r>
          </w:p>
        </w:tc>
        <w:tc>
          <w:tcPr>
            <w:tcW w:w="986" w:type="dxa"/>
            <w:vMerge w:val="restart"/>
            <w:tcBorders>
              <w:bottom w:val="nil"/>
            </w:tcBorders>
            <w:vAlign w:val="top"/>
          </w:tcPr>
          <w:p>
            <w:pPr>
              <w:pStyle w:val="6"/>
              <w:spacing w:before="39" w:line="236" w:lineRule="auto"/>
              <w:ind w:left="115" w:right="80" w:firstLine="80"/>
              <w:jc w:val="both"/>
            </w:pPr>
            <w:r>
              <w:rPr>
                <w:spacing w:val="-6"/>
              </w:rPr>
              <w:t>隔声屏</w:t>
            </w:r>
            <w:r>
              <w:t xml:space="preserve">  </w:t>
            </w:r>
            <w:r>
              <w:rPr>
                <w:spacing w:val="17"/>
              </w:rPr>
              <w:t xml:space="preserve">障借用 主线与 </w:t>
            </w:r>
            <w:r>
              <w:rPr>
                <w:spacing w:val="-19"/>
              </w:rPr>
              <w:t>匝道，不</w:t>
            </w:r>
            <w:r>
              <w:t xml:space="preserve"> </w:t>
            </w:r>
            <w:r>
              <w:rPr>
                <w:spacing w:val="17"/>
              </w:rPr>
              <w:t xml:space="preserve">计入本 项目费 </w:t>
            </w:r>
            <w:r>
              <w:rPr>
                <w:spacing w:val="-8"/>
              </w:rPr>
              <w:t>用；</w:t>
            </w:r>
            <w:r>
              <w:rPr>
                <w:spacing w:val="-44"/>
              </w:rPr>
              <w:t xml:space="preserve"> </w:t>
            </w:r>
            <w:r>
              <w:rPr>
                <w:rFonts w:ascii="Times New Roman" w:hAnsi="Times New Roman" w:eastAsia="Times New Roman" w:cs="Times New Roman"/>
                <w:spacing w:val="-8"/>
              </w:rPr>
              <w:t>4</w:t>
            </w:r>
            <w:r>
              <w:rPr>
                <w:spacing w:val="-8"/>
              </w:rPr>
              <w:t>户</w:t>
            </w:r>
            <w:r>
              <w:t xml:space="preserve"> </w:t>
            </w:r>
            <w:r>
              <w:rPr>
                <w:spacing w:val="-14"/>
              </w:rPr>
              <w:t>隔声窗，</w:t>
            </w:r>
            <w:r>
              <w:t xml:space="preserve"> </w:t>
            </w:r>
            <w:r>
              <w:rPr>
                <w:spacing w:val="17"/>
              </w:rPr>
              <w:t xml:space="preserve">预计每 </w:t>
            </w:r>
            <w:r>
              <w:rPr>
                <w:spacing w:val="28"/>
              </w:rPr>
              <w:t>户约</w:t>
            </w:r>
            <w:r>
              <w:rPr>
                <w:spacing w:val="-48"/>
              </w:rPr>
              <w:t xml:space="preserve"> </w:t>
            </w:r>
            <w:r>
              <w:rPr>
                <w:rFonts w:ascii="Times New Roman" w:hAnsi="Times New Roman" w:eastAsia="Times New Roman" w:cs="Times New Roman"/>
                <w:spacing w:val="28"/>
              </w:rPr>
              <w:t>2</w:t>
            </w:r>
            <w:r>
              <w:rPr>
                <w:rFonts w:ascii="Times New Roman" w:hAnsi="Times New Roman" w:eastAsia="Times New Roman" w:cs="Times New Roman"/>
              </w:rPr>
              <w:t xml:space="preserve">   </w:t>
            </w:r>
            <w:r>
              <w:rPr>
                <w:spacing w:val="10"/>
              </w:rPr>
              <w:t>万元。</w:t>
            </w:r>
          </w:p>
        </w:tc>
        <w:tc>
          <w:tcPr>
            <w:tcW w:w="597" w:type="dxa"/>
            <w:vAlign w:val="top"/>
          </w:tcPr>
          <w:p>
            <w:pPr>
              <w:spacing w:before="268"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57.4</w:t>
            </w:r>
          </w:p>
        </w:tc>
        <w:tc>
          <w:tcPr>
            <w:tcW w:w="597" w:type="dxa"/>
            <w:vAlign w:val="top"/>
          </w:tcPr>
          <w:p>
            <w:pPr>
              <w:spacing w:before="271" w:line="184" w:lineRule="auto"/>
              <w:ind w:left="1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57.5</w:t>
            </w:r>
          </w:p>
        </w:tc>
        <w:tc>
          <w:tcPr>
            <w:tcW w:w="662" w:type="dxa"/>
            <w:vAlign w:val="top"/>
          </w:tcPr>
          <w:p>
            <w:pPr>
              <w:spacing w:before="268"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828" w:type="dxa"/>
            <w:vAlign w:val="top"/>
          </w:tcPr>
          <w:p>
            <w:pPr>
              <w:spacing w:before="265"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60" w:line="189" w:lineRule="auto"/>
              <w:ind w:left="384"/>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234" w:line="221" w:lineRule="auto"/>
              <w:ind w:left="273"/>
            </w:pPr>
            <w:r>
              <w:rPr>
                <w:spacing w:val="-3"/>
              </w:rPr>
              <w:t>夜间</w:t>
            </w:r>
          </w:p>
        </w:tc>
        <w:tc>
          <w:tcPr>
            <w:tcW w:w="704" w:type="dxa"/>
            <w:vAlign w:val="top"/>
          </w:tcPr>
          <w:p>
            <w:pPr>
              <w:spacing w:before="276"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27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39.3</w:t>
            </w:r>
          </w:p>
        </w:tc>
        <w:tc>
          <w:tcPr>
            <w:tcW w:w="818" w:type="dxa"/>
            <w:vAlign w:val="top"/>
          </w:tcPr>
          <w:p>
            <w:pPr>
              <w:spacing w:before="273"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39.3</w:t>
            </w:r>
          </w:p>
        </w:tc>
        <w:tc>
          <w:tcPr>
            <w:tcW w:w="773" w:type="dxa"/>
            <w:vAlign w:val="top"/>
          </w:tcPr>
          <w:p>
            <w:pPr>
              <w:spacing w:before="273"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46.0</w:t>
            </w:r>
          </w:p>
        </w:tc>
        <w:tc>
          <w:tcPr>
            <w:tcW w:w="900" w:type="dxa"/>
            <w:vAlign w:val="top"/>
          </w:tcPr>
          <w:p>
            <w:pPr>
              <w:spacing w:before="273"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46.5</w:t>
            </w:r>
          </w:p>
        </w:tc>
        <w:tc>
          <w:tcPr>
            <w:tcW w:w="1039" w:type="dxa"/>
            <w:tcBorders>
              <w:right w:val="single" w:color="000000" w:sz="4" w:space="0"/>
            </w:tcBorders>
            <w:vAlign w:val="top"/>
          </w:tcPr>
          <w:p>
            <w:pPr>
              <w:spacing w:before="276" w:line="184"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w:t>
            </w:r>
          </w:p>
        </w:tc>
        <w:tc>
          <w:tcPr>
            <w:tcW w:w="713" w:type="dxa"/>
            <w:tcBorders>
              <w:left w:val="single" w:color="000000" w:sz="4" w:space="0"/>
            </w:tcBorders>
            <w:vAlign w:val="top"/>
          </w:tcPr>
          <w:p>
            <w:pPr>
              <w:spacing w:before="270" w:line="23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273" w:line="187" w:lineRule="auto"/>
              <w:ind w:left="1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45.7</w:t>
            </w:r>
          </w:p>
        </w:tc>
        <w:tc>
          <w:tcPr>
            <w:tcW w:w="597" w:type="dxa"/>
            <w:vAlign w:val="top"/>
          </w:tcPr>
          <w:p>
            <w:pPr>
              <w:spacing w:before="273" w:line="187" w:lineRule="auto"/>
              <w:ind w:left="1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46.6</w:t>
            </w:r>
          </w:p>
        </w:tc>
        <w:tc>
          <w:tcPr>
            <w:tcW w:w="662" w:type="dxa"/>
            <w:vAlign w:val="top"/>
          </w:tcPr>
          <w:p>
            <w:pPr>
              <w:spacing w:before="273"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828" w:type="dxa"/>
            <w:vAlign w:val="top"/>
          </w:tcPr>
          <w:p>
            <w:pPr>
              <w:spacing w:before="270"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restart"/>
            <w:tcBorders>
              <w:bottom w:val="nil"/>
            </w:tcBorders>
            <w:vAlign w:val="top"/>
          </w:tcPr>
          <w:p>
            <w:pPr>
              <w:spacing w:line="250" w:lineRule="auto"/>
              <w:rPr>
                <w:rFonts w:ascii="Arial"/>
                <w:sz w:val="21"/>
              </w:rPr>
            </w:pPr>
          </w:p>
          <w:p>
            <w:pPr>
              <w:spacing w:line="251" w:lineRule="auto"/>
              <w:rPr>
                <w:rFonts w:ascii="Arial"/>
                <w:sz w:val="21"/>
              </w:rPr>
            </w:pPr>
          </w:p>
          <w:p>
            <w:pPr>
              <w:pStyle w:val="6"/>
              <w:spacing w:before="69" w:line="229" w:lineRule="auto"/>
              <w:ind w:left="211" w:right="108" w:hanging="79"/>
            </w:pPr>
            <w:r>
              <w:rPr>
                <w:rFonts w:ascii="Times New Roman" w:hAnsi="Times New Roman" w:eastAsia="Times New Roman" w:cs="Times New Roman"/>
                <w:spacing w:val="-15"/>
              </w:rPr>
              <w:t>112</w:t>
            </w:r>
            <w:r>
              <w:rPr>
                <w:spacing w:val="-15"/>
              </w:rPr>
              <w:t>（连接</w:t>
            </w:r>
            <w:r>
              <w:rPr>
                <w:spacing w:val="3"/>
              </w:rPr>
              <w:t xml:space="preserve"> </w:t>
            </w:r>
            <w:r>
              <w:rPr>
                <w:spacing w:val="-3"/>
              </w:rPr>
              <w:t>线</w:t>
            </w:r>
            <w:r>
              <w:rPr>
                <w:spacing w:val="-48"/>
              </w:rPr>
              <w:t xml:space="preserve"> </w:t>
            </w:r>
            <w:r>
              <w:rPr>
                <w:rFonts w:ascii="Times New Roman" w:hAnsi="Times New Roman" w:eastAsia="Times New Roman" w:cs="Times New Roman"/>
                <w:spacing w:val="-3"/>
              </w:rPr>
              <w:t>L1</w:t>
            </w:r>
            <w:r>
              <w:rPr>
                <w:spacing w:val="-3"/>
              </w:rPr>
              <w:t>）</w:t>
            </w:r>
          </w:p>
        </w:tc>
        <w:tc>
          <w:tcPr>
            <w:tcW w:w="1085" w:type="dxa"/>
            <w:vMerge w:val="restart"/>
            <w:tcBorders>
              <w:bottom w:val="nil"/>
            </w:tcBorders>
            <w:vAlign w:val="top"/>
          </w:tcPr>
          <w:p>
            <w:pPr>
              <w:spacing w:before="255"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-25.8</w:t>
            </w:r>
          </w:p>
        </w:tc>
        <w:tc>
          <w:tcPr>
            <w:tcW w:w="866" w:type="dxa"/>
            <w:vMerge w:val="restart"/>
            <w:tcBorders>
              <w:bottom w:val="nil"/>
            </w:tcBorders>
            <w:vAlign w:val="top"/>
          </w:tcPr>
          <w:p>
            <w:pPr>
              <w:spacing w:line="318" w:lineRule="auto"/>
              <w:rPr>
                <w:rFonts w:ascii="Arial"/>
                <w:sz w:val="21"/>
              </w:rPr>
            </w:pPr>
          </w:p>
          <w:p>
            <w:pPr>
              <w:spacing w:line="318" w:lineRule="auto"/>
              <w:rPr>
                <w:rFonts w:ascii="Arial"/>
                <w:sz w:val="21"/>
              </w:rPr>
            </w:pPr>
          </w:p>
          <w:p>
            <w:pPr>
              <w:pStyle w:val="6"/>
              <w:spacing w:before="68" w:line="221" w:lineRule="auto"/>
              <w:ind w:left="254"/>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4" w:line="223" w:lineRule="auto"/>
              <w:ind w:left="269"/>
            </w:pPr>
            <w:r>
              <w:rPr>
                <w:spacing w:val="-2"/>
              </w:rPr>
              <w:t>昼间</w:t>
            </w:r>
          </w:p>
        </w:tc>
        <w:tc>
          <w:tcPr>
            <w:tcW w:w="704" w:type="dxa"/>
            <w:vAlign w:val="top"/>
          </w:tcPr>
          <w:p>
            <w:pPr>
              <w:spacing w:before="92"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41.9</w:t>
            </w:r>
          </w:p>
        </w:tc>
        <w:tc>
          <w:tcPr>
            <w:tcW w:w="818" w:type="dxa"/>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41.9</w:t>
            </w:r>
          </w:p>
        </w:tc>
        <w:tc>
          <w:tcPr>
            <w:tcW w:w="773" w:type="dxa"/>
            <w:vAlign w:val="top"/>
          </w:tcPr>
          <w:p>
            <w:pPr>
              <w:spacing w:before="92"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56.7</w:t>
            </w:r>
          </w:p>
        </w:tc>
        <w:tc>
          <w:tcPr>
            <w:tcW w:w="900" w:type="dxa"/>
            <w:vAlign w:val="top"/>
          </w:tcPr>
          <w:p>
            <w:pPr>
              <w:spacing w:before="9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56.7</w:t>
            </w:r>
          </w:p>
        </w:tc>
        <w:tc>
          <w:tcPr>
            <w:tcW w:w="1039" w:type="dxa"/>
            <w:tcBorders>
              <w:right w:val="single" w:color="000000" w:sz="4" w:space="0"/>
            </w:tcBorders>
            <w:vAlign w:val="top"/>
          </w:tcPr>
          <w:p>
            <w:pPr>
              <w:spacing w:before="92"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+14.9</w:t>
            </w:r>
          </w:p>
        </w:tc>
        <w:tc>
          <w:tcPr>
            <w:tcW w:w="713" w:type="dxa"/>
            <w:tcBorders>
              <w:left w:val="single" w:color="000000" w:sz="4" w:space="0"/>
            </w:tcBorders>
            <w:vAlign w:val="top"/>
          </w:tcPr>
          <w:p>
            <w:pPr>
              <w:spacing w:before="88" w:line="220"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341" w:lineRule="auto"/>
              <w:rPr>
                <w:rFonts w:ascii="Arial"/>
                <w:sz w:val="21"/>
              </w:rPr>
            </w:pPr>
          </w:p>
          <w:p>
            <w:pPr>
              <w:spacing w:line="341" w:lineRule="auto"/>
              <w:rPr>
                <w:rFonts w:ascii="Arial"/>
                <w:sz w:val="21"/>
              </w:rPr>
            </w:pPr>
          </w:p>
          <w:p>
            <w:pPr>
              <w:spacing w:before="61"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2"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56.7</w:t>
            </w:r>
          </w:p>
        </w:tc>
        <w:tc>
          <w:tcPr>
            <w:tcW w:w="597" w:type="dxa"/>
            <w:vAlign w:val="top"/>
          </w:tcPr>
          <w:p>
            <w:pPr>
              <w:spacing w:before="92" w:line="187" w:lineRule="auto"/>
              <w:ind w:left="1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56.8</w:t>
            </w:r>
          </w:p>
        </w:tc>
        <w:tc>
          <w:tcPr>
            <w:tcW w:w="662" w:type="dxa"/>
            <w:vAlign w:val="top"/>
          </w:tcPr>
          <w:p>
            <w:pPr>
              <w:spacing w:before="90" w:line="189" w:lineRule="auto"/>
              <w:ind w:left="28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2" w:line="221" w:lineRule="auto"/>
              <w:ind w:left="273"/>
            </w:pPr>
            <w:r>
              <w:rPr>
                <w:spacing w:val="-3"/>
              </w:rPr>
              <w:t>夜间</w:t>
            </w:r>
          </w:p>
        </w:tc>
        <w:tc>
          <w:tcPr>
            <w:tcW w:w="704" w:type="dxa"/>
            <w:vAlign w:val="top"/>
          </w:tcPr>
          <w:p>
            <w:pPr>
              <w:spacing w:before="91"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1"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37.1</w:t>
            </w:r>
          </w:p>
        </w:tc>
        <w:tc>
          <w:tcPr>
            <w:tcW w:w="818" w:type="dxa"/>
            <w:vAlign w:val="top"/>
          </w:tcPr>
          <w:p>
            <w:pPr>
              <w:spacing w:before="91"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37.1</w:t>
            </w:r>
          </w:p>
        </w:tc>
        <w:tc>
          <w:tcPr>
            <w:tcW w:w="773" w:type="dxa"/>
            <w:vAlign w:val="top"/>
          </w:tcPr>
          <w:p>
            <w:pPr>
              <w:spacing w:before="91"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45.1</w:t>
            </w:r>
          </w:p>
        </w:tc>
        <w:tc>
          <w:tcPr>
            <w:tcW w:w="900" w:type="dxa"/>
            <w:vAlign w:val="top"/>
          </w:tcPr>
          <w:p>
            <w:pPr>
              <w:spacing w:before="91"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45.4</w:t>
            </w:r>
          </w:p>
        </w:tc>
        <w:tc>
          <w:tcPr>
            <w:tcW w:w="1039" w:type="dxa"/>
            <w:tcBorders>
              <w:right w:val="single" w:color="000000" w:sz="4" w:space="0"/>
            </w:tcBorders>
            <w:vAlign w:val="top"/>
          </w:tcPr>
          <w:p>
            <w:pPr>
              <w:spacing w:before="9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+8.6</w:t>
            </w:r>
          </w:p>
        </w:tc>
        <w:tc>
          <w:tcPr>
            <w:tcW w:w="713" w:type="dxa"/>
            <w:tcBorders>
              <w:left w:val="single" w:color="000000" w:sz="4" w:space="0"/>
            </w:tcBorders>
            <w:vAlign w:val="top"/>
          </w:tcPr>
          <w:p>
            <w:pPr>
              <w:spacing w:before="87" w:line="222"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1" w:line="187" w:lineRule="auto"/>
              <w:ind w:left="1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45.1</w:t>
            </w:r>
          </w:p>
        </w:tc>
        <w:tc>
          <w:tcPr>
            <w:tcW w:w="597" w:type="dxa"/>
            <w:vAlign w:val="top"/>
          </w:tcPr>
          <w:p>
            <w:pPr>
              <w:spacing w:before="91" w:line="187" w:lineRule="auto"/>
              <w:ind w:left="1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45.7</w:t>
            </w:r>
          </w:p>
        </w:tc>
        <w:tc>
          <w:tcPr>
            <w:tcW w:w="662" w:type="dxa"/>
            <w:vAlign w:val="top"/>
          </w:tcPr>
          <w:p>
            <w:pPr>
              <w:spacing w:before="89" w:line="189" w:lineRule="auto"/>
              <w:ind w:left="28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28" w:type="dxa"/>
            <w:vAlign w:val="top"/>
          </w:tcPr>
          <w:p>
            <w:pPr>
              <w:spacing w:before="87"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line="357" w:lineRule="auto"/>
              <w:rPr>
                <w:rFonts w:ascii="Arial"/>
                <w:sz w:val="21"/>
              </w:rPr>
            </w:pPr>
          </w:p>
          <w:p>
            <w:pPr>
              <w:spacing w:before="61"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-22.3</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3" w:line="223" w:lineRule="auto"/>
              <w:ind w:left="269"/>
            </w:pPr>
            <w:r>
              <w:rPr>
                <w:spacing w:val="-2"/>
              </w:rPr>
              <w:t>昼间</w:t>
            </w:r>
          </w:p>
        </w:tc>
        <w:tc>
          <w:tcPr>
            <w:tcW w:w="704" w:type="dxa"/>
            <w:vAlign w:val="top"/>
          </w:tcPr>
          <w:p>
            <w:pPr>
              <w:spacing w:before="91"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line="357" w:lineRule="auto"/>
              <w:rPr>
                <w:rFonts w:ascii="Arial"/>
                <w:sz w:val="21"/>
              </w:rPr>
            </w:pPr>
          </w:p>
          <w:p>
            <w:pPr>
              <w:spacing w:before="61"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1"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818" w:type="dxa"/>
            <w:vAlign w:val="top"/>
          </w:tcPr>
          <w:p>
            <w:pPr>
              <w:spacing w:before="91"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773" w:type="dxa"/>
            <w:vAlign w:val="top"/>
          </w:tcPr>
          <w:p>
            <w:pPr>
              <w:spacing w:before="91"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60.5</w:t>
            </w:r>
          </w:p>
        </w:tc>
        <w:tc>
          <w:tcPr>
            <w:tcW w:w="900" w:type="dxa"/>
            <w:vAlign w:val="top"/>
          </w:tcPr>
          <w:p>
            <w:pPr>
              <w:spacing w:before="91"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60.5</w:t>
            </w:r>
          </w:p>
        </w:tc>
        <w:tc>
          <w:tcPr>
            <w:tcW w:w="1039" w:type="dxa"/>
            <w:tcBorders>
              <w:right w:val="single" w:color="000000" w:sz="4" w:space="0"/>
            </w:tcBorders>
            <w:vAlign w:val="top"/>
          </w:tcPr>
          <w:p>
            <w:pPr>
              <w:spacing w:before="9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+21.5</w:t>
            </w:r>
          </w:p>
        </w:tc>
        <w:tc>
          <w:tcPr>
            <w:tcW w:w="713" w:type="dxa"/>
            <w:tcBorders>
              <w:left w:val="single" w:color="000000" w:sz="4" w:space="0"/>
            </w:tcBorders>
            <w:vAlign w:val="top"/>
          </w:tcPr>
          <w:p>
            <w:pPr>
              <w:spacing w:before="91"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1"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59.6</w:t>
            </w:r>
          </w:p>
        </w:tc>
        <w:tc>
          <w:tcPr>
            <w:tcW w:w="597" w:type="dxa"/>
            <w:vAlign w:val="top"/>
          </w:tcPr>
          <w:p>
            <w:pPr>
              <w:spacing w:before="91" w:line="187" w:lineRule="auto"/>
              <w:ind w:left="1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59.6</w:t>
            </w:r>
          </w:p>
        </w:tc>
        <w:tc>
          <w:tcPr>
            <w:tcW w:w="662" w:type="dxa"/>
            <w:vAlign w:val="top"/>
          </w:tcPr>
          <w:p>
            <w:pPr>
              <w:spacing w:before="91"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0.9</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220" w:line="221" w:lineRule="auto"/>
              <w:ind w:left="273"/>
            </w:pPr>
            <w:r>
              <w:rPr>
                <w:spacing w:val="-3"/>
              </w:rPr>
              <w:t>夜间</w:t>
            </w:r>
          </w:p>
        </w:tc>
        <w:tc>
          <w:tcPr>
            <w:tcW w:w="704" w:type="dxa"/>
            <w:vAlign w:val="top"/>
          </w:tcPr>
          <w:p>
            <w:pPr>
              <w:spacing w:before="259"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259"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39.2</w:t>
            </w:r>
          </w:p>
        </w:tc>
        <w:tc>
          <w:tcPr>
            <w:tcW w:w="818" w:type="dxa"/>
            <w:vAlign w:val="top"/>
          </w:tcPr>
          <w:p>
            <w:pPr>
              <w:spacing w:before="259"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39.2</w:t>
            </w:r>
          </w:p>
        </w:tc>
        <w:tc>
          <w:tcPr>
            <w:tcW w:w="773" w:type="dxa"/>
            <w:vAlign w:val="top"/>
          </w:tcPr>
          <w:p>
            <w:pPr>
              <w:spacing w:before="259"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900" w:type="dxa"/>
            <w:vAlign w:val="top"/>
          </w:tcPr>
          <w:p>
            <w:pPr>
              <w:spacing w:before="259"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48.9</w:t>
            </w:r>
          </w:p>
        </w:tc>
        <w:tc>
          <w:tcPr>
            <w:tcW w:w="1039" w:type="dxa"/>
            <w:tcBorders>
              <w:right w:val="single" w:color="000000" w:sz="4" w:space="0"/>
            </w:tcBorders>
            <w:vAlign w:val="top"/>
          </w:tcPr>
          <w:p>
            <w:pPr>
              <w:spacing w:before="259"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+9.9</w:t>
            </w:r>
          </w:p>
        </w:tc>
        <w:tc>
          <w:tcPr>
            <w:tcW w:w="713" w:type="dxa"/>
            <w:tcBorders>
              <w:left w:val="single" w:color="000000" w:sz="4" w:space="0"/>
            </w:tcBorders>
            <w:vAlign w:val="top"/>
          </w:tcPr>
          <w:p>
            <w:pPr>
              <w:spacing w:before="256" w:line="23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259" w:line="187" w:lineRule="auto"/>
              <w:ind w:left="1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47.9</w:t>
            </w:r>
          </w:p>
        </w:tc>
        <w:tc>
          <w:tcPr>
            <w:tcW w:w="597" w:type="dxa"/>
            <w:vAlign w:val="top"/>
          </w:tcPr>
          <w:p>
            <w:pPr>
              <w:spacing w:before="259" w:line="187" w:lineRule="auto"/>
              <w:ind w:left="1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662" w:type="dxa"/>
            <w:vAlign w:val="top"/>
          </w:tcPr>
          <w:p>
            <w:pPr>
              <w:spacing w:before="259"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0.7</w:t>
            </w:r>
          </w:p>
        </w:tc>
        <w:tc>
          <w:tcPr>
            <w:tcW w:w="828" w:type="dxa"/>
            <w:vAlign w:val="top"/>
          </w:tcPr>
          <w:p>
            <w:pPr>
              <w:spacing w:before="256"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0" w:line="187" w:lineRule="auto"/>
              <w:ind w:left="26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81"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9" w:line="221" w:lineRule="auto"/>
              <w:ind w:left="279"/>
            </w:pPr>
            <w:r>
              <w:rPr>
                <w:spacing w:val="-2"/>
              </w:rPr>
              <w:t>南坑垟</w:t>
            </w:r>
          </w:p>
        </w:tc>
        <w:tc>
          <w:tcPr>
            <w:tcW w:w="1106" w:type="dxa"/>
            <w:vMerge w:val="restart"/>
            <w:tcBorders>
              <w:bottom w:val="nil"/>
            </w:tcBorders>
            <w:vAlign w:val="top"/>
          </w:tcPr>
          <w:p>
            <w:pPr>
              <w:spacing w:before="254"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085" w:type="dxa"/>
            <w:vMerge w:val="restart"/>
            <w:tcBorders>
              <w:bottom w:val="nil"/>
            </w:tcBorders>
            <w:vAlign w:val="top"/>
          </w:tcPr>
          <w:p>
            <w:pPr>
              <w:spacing w:before="254"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866" w:type="dxa"/>
            <w:vMerge w:val="restart"/>
            <w:tcBorders>
              <w:bottom w:val="nil"/>
            </w:tcBorders>
            <w:vAlign w:val="top"/>
          </w:tcPr>
          <w:p>
            <w:pPr>
              <w:pStyle w:val="6"/>
              <w:spacing w:before="218" w:line="221" w:lineRule="auto"/>
              <w:ind w:left="249"/>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5" w:line="223" w:lineRule="auto"/>
              <w:ind w:left="266"/>
            </w:pPr>
            <w:r>
              <w:rPr>
                <w:spacing w:val="-2"/>
              </w:rPr>
              <w:t>昼间</w:t>
            </w:r>
          </w:p>
        </w:tc>
        <w:tc>
          <w:tcPr>
            <w:tcW w:w="704" w:type="dxa"/>
            <w:vAlign w:val="top"/>
          </w:tcPr>
          <w:p>
            <w:pPr>
              <w:spacing w:before="91"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4" w:line="187"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753" w:type="dxa"/>
            <w:vAlign w:val="top"/>
          </w:tcPr>
          <w:p>
            <w:pPr>
              <w:spacing w:before="91"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818" w:type="dxa"/>
            <w:vAlign w:val="top"/>
          </w:tcPr>
          <w:p>
            <w:pPr>
              <w:spacing w:before="91"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773" w:type="dxa"/>
            <w:vAlign w:val="top"/>
          </w:tcPr>
          <w:p>
            <w:pPr>
              <w:spacing w:before="91"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49.5</w:t>
            </w:r>
          </w:p>
        </w:tc>
        <w:tc>
          <w:tcPr>
            <w:tcW w:w="900" w:type="dxa"/>
            <w:vAlign w:val="top"/>
          </w:tcPr>
          <w:p>
            <w:pPr>
              <w:spacing w:before="91"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c>
          <w:tcPr>
            <w:tcW w:w="1039" w:type="dxa"/>
            <w:tcBorders>
              <w:right w:val="single" w:color="000000" w:sz="4" w:space="0"/>
            </w:tcBorders>
            <w:vAlign w:val="top"/>
          </w:tcPr>
          <w:p>
            <w:pPr>
              <w:spacing w:before="9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w:t>
            </w:r>
          </w:p>
        </w:tc>
        <w:tc>
          <w:tcPr>
            <w:tcW w:w="713" w:type="dxa"/>
            <w:tcBorders>
              <w:left w:val="single" w:color="000000" w:sz="4" w:space="0"/>
            </w:tcBorders>
            <w:vAlign w:val="top"/>
          </w:tcPr>
          <w:p>
            <w:pPr>
              <w:spacing w:before="87" w:line="220"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1"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51" w:type="dxa"/>
            <w:vMerge w:val="restart"/>
            <w:tcBorders>
              <w:bottom w:val="nil"/>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1" w:line="233" w:lineRule="auto"/>
              <w:ind w:left="214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86" w:type="dxa"/>
            <w:vMerge w:val="restart"/>
            <w:tcBorders>
              <w:bottom w:val="nil"/>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1" w:line="233" w:lineRule="auto"/>
              <w:ind w:left="4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7" w:line="220"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7" w:line="220"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7" w:line="220"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restart"/>
            <w:tcBorders>
              <w:bottom w:val="nil"/>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1" w:line="233" w:lineRule="auto"/>
              <w:ind w:left="39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4" w:line="221" w:lineRule="auto"/>
              <w:ind w:left="271"/>
            </w:pPr>
            <w:r>
              <w:rPr>
                <w:spacing w:val="-3"/>
              </w:rPr>
              <w:t>夜间</w:t>
            </w:r>
          </w:p>
        </w:tc>
        <w:tc>
          <w:tcPr>
            <w:tcW w:w="704" w:type="dxa"/>
            <w:vAlign w:val="top"/>
          </w:tcPr>
          <w:p>
            <w:pPr>
              <w:spacing w:before="91"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1"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w:t>
            </w:r>
          </w:p>
        </w:tc>
        <w:tc>
          <w:tcPr>
            <w:tcW w:w="818" w:type="dxa"/>
            <w:vAlign w:val="top"/>
          </w:tcPr>
          <w:p>
            <w:pPr>
              <w:spacing w:before="91"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w:t>
            </w:r>
          </w:p>
        </w:tc>
        <w:tc>
          <w:tcPr>
            <w:tcW w:w="773" w:type="dxa"/>
            <w:vAlign w:val="top"/>
          </w:tcPr>
          <w:p>
            <w:pPr>
              <w:spacing w:before="91"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36.1</w:t>
            </w:r>
          </w:p>
        </w:tc>
        <w:tc>
          <w:tcPr>
            <w:tcW w:w="900" w:type="dxa"/>
            <w:vAlign w:val="top"/>
          </w:tcPr>
          <w:p>
            <w:pPr>
              <w:spacing w:before="91"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41.8</w:t>
            </w:r>
          </w:p>
        </w:tc>
        <w:tc>
          <w:tcPr>
            <w:tcW w:w="1039" w:type="dxa"/>
            <w:tcBorders>
              <w:right w:val="single" w:color="000000" w:sz="4" w:space="0"/>
            </w:tcBorders>
            <w:vAlign w:val="top"/>
          </w:tcPr>
          <w:p>
            <w:pPr>
              <w:spacing w:before="9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w:t>
            </w:r>
          </w:p>
        </w:tc>
        <w:tc>
          <w:tcPr>
            <w:tcW w:w="713" w:type="dxa"/>
            <w:tcBorders>
              <w:left w:val="single" w:color="000000" w:sz="4" w:space="0"/>
            </w:tcBorders>
            <w:vAlign w:val="top"/>
          </w:tcPr>
          <w:p>
            <w:pPr>
              <w:spacing w:before="87" w:line="222"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7" w:line="222"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7" w:line="222"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7" w:line="222"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0"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216</w:t>
            </w:r>
          </w:p>
        </w:tc>
        <w:tc>
          <w:tcPr>
            <w:tcW w:w="1085" w:type="dxa"/>
            <w:vMerge w:val="restart"/>
            <w:tcBorders>
              <w:bottom w:val="nil"/>
            </w:tcBorders>
            <w:vAlign w:val="top"/>
          </w:tcPr>
          <w:p>
            <w:pPr>
              <w:spacing w:before="252"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-36.5</w:t>
            </w:r>
          </w:p>
        </w:tc>
        <w:tc>
          <w:tcPr>
            <w:tcW w:w="866" w:type="dxa"/>
            <w:vMerge w:val="restart"/>
            <w:tcBorders>
              <w:bottom w:val="nil"/>
            </w:tcBorders>
            <w:vAlign w:val="top"/>
          </w:tcPr>
          <w:p>
            <w:pPr>
              <w:spacing w:line="471" w:lineRule="auto"/>
              <w:rPr>
                <w:rFonts w:ascii="Arial"/>
                <w:sz w:val="21"/>
              </w:rPr>
            </w:pPr>
          </w:p>
          <w:p>
            <w:pPr>
              <w:pStyle w:val="6"/>
              <w:spacing w:before="68" w:line="221" w:lineRule="auto"/>
              <w:ind w:left="249"/>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5" w:line="223" w:lineRule="auto"/>
              <w:ind w:left="266"/>
            </w:pPr>
            <w:r>
              <w:rPr>
                <w:spacing w:val="-2"/>
              </w:rPr>
              <w:t>昼间</w:t>
            </w:r>
          </w:p>
        </w:tc>
        <w:tc>
          <w:tcPr>
            <w:tcW w:w="704" w:type="dxa"/>
            <w:vAlign w:val="top"/>
          </w:tcPr>
          <w:p>
            <w:pPr>
              <w:spacing w:before="91"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2" w:line="187" w:lineRule="auto"/>
              <w:ind w:left="21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1F</w:t>
            </w:r>
          </w:p>
        </w:tc>
        <w:tc>
          <w:tcPr>
            <w:tcW w:w="753" w:type="dxa"/>
            <w:vAlign w:val="top"/>
          </w:tcPr>
          <w:p>
            <w:pPr>
              <w:spacing w:before="91"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818" w:type="dxa"/>
            <w:vAlign w:val="top"/>
          </w:tcPr>
          <w:p>
            <w:pPr>
              <w:spacing w:before="91"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773" w:type="dxa"/>
            <w:vAlign w:val="top"/>
          </w:tcPr>
          <w:p>
            <w:pPr>
              <w:spacing w:before="91"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48.9</w:t>
            </w:r>
          </w:p>
        </w:tc>
        <w:tc>
          <w:tcPr>
            <w:tcW w:w="900" w:type="dxa"/>
            <w:vAlign w:val="top"/>
          </w:tcPr>
          <w:p>
            <w:pPr>
              <w:spacing w:before="91"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w:t>
            </w:r>
          </w:p>
        </w:tc>
        <w:tc>
          <w:tcPr>
            <w:tcW w:w="1039" w:type="dxa"/>
            <w:tcBorders>
              <w:right w:val="single" w:color="000000" w:sz="4" w:space="0"/>
            </w:tcBorders>
            <w:vAlign w:val="top"/>
          </w:tcPr>
          <w:p>
            <w:pPr>
              <w:spacing w:before="9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+1.6</w:t>
            </w:r>
          </w:p>
        </w:tc>
        <w:tc>
          <w:tcPr>
            <w:tcW w:w="713" w:type="dxa"/>
            <w:tcBorders>
              <w:left w:val="single" w:color="000000" w:sz="4" w:space="0"/>
            </w:tcBorders>
            <w:vAlign w:val="top"/>
          </w:tcPr>
          <w:p>
            <w:pPr>
              <w:spacing w:before="88"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8"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5" w:line="221" w:lineRule="auto"/>
              <w:ind w:left="271"/>
            </w:pPr>
            <w:r>
              <w:rPr>
                <w:spacing w:val="-3"/>
              </w:rPr>
              <w:t>夜间</w:t>
            </w:r>
          </w:p>
        </w:tc>
        <w:tc>
          <w:tcPr>
            <w:tcW w:w="704" w:type="dxa"/>
            <w:vAlign w:val="top"/>
          </w:tcPr>
          <w:p>
            <w:pPr>
              <w:spacing w:before="91"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1"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w:t>
            </w:r>
          </w:p>
        </w:tc>
        <w:tc>
          <w:tcPr>
            <w:tcW w:w="818" w:type="dxa"/>
            <w:vAlign w:val="top"/>
          </w:tcPr>
          <w:p>
            <w:pPr>
              <w:spacing w:before="91"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w:t>
            </w:r>
          </w:p>
        </w:tc>
        <w:tc>
          <w:tcPr>
            <w:tcW w:w="773" w:type="dxa"/>
            <w:vAlign w:val="top"/>
          </w:tcPr>
          <w:p>
            <w:pPr>
              <w:spacing w:before="91"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35.5</w:t>
            </w:r>
          </w:p>
        </w:tc>
        <w:tc>
          <w:tcPr>
            <w:tcW w:w="900" w:type="dxa"/>
            <w:vAlign w:val="top"/>
          </w:tcPr>
          <w:p>
            <w:pPr>
              <w:spacing w:before="91"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41.7</w:t>
            </w:r>
          </w:p>
        </w:tc>
        <w:tc>
          <w:tcPr>
            <w:tcW w:w="1039" w:type="dxa"/>
            <w:tcBorders>
              <w:right w:val="single" w:color="000000" w:sz="4" w:space="0"/>
            </w:tcBorders>
            <w:vAlign w:val="top"/>
          </w:tcPr>
          <w:p>
            <w:pPr>
              <w:spacing w:before="9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w:t>
            </w:r>
          </w:p>
        </w:tc>
        <w:tc>
          <w:tcPr>
            <w:tcW w:w="713" w:type="dxa"/>
            <w:tcBorders>
              <w:left w:val="single" w:color="000000" w:sz="4" w:space="0"/>
            </w:tcBorders>
            <w:vAlign w:val="top"/>
          </w:tcPr>
          <w:p>
            <w:pPr>
              <w:spacing w:before="88"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8"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5" w:line="187" w:lineRule="auto"/>
              <w:ind w:left="4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-33</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8" w:line="222" w:lineRule="auto"/>
              <w:ind w:left="266"/>
            </w:pPr>
            <w:r>
              <w:rPr>
                <w:spacing w:val="-2"/>
              </w:rPr>
              <w:t>昼间</w:t>
            </w:r>
          </w:p>
        </w:tc>
        <w:tc>
          <w:tcPr>
            <w:tcW w:w="704" w:type="dxa"/>
            <w:vAlign w:val="top"/>
          </w:tcPr>
          <w:p>
            <w:pPr>
              <w:spacing w:before="94"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5"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3F</w:t>
            </w:r>
          </w:p>
        </w:tc>
        <w:tc>
          <w:tcPr>
            <w:tcW w:w="753" w:type="dxa"/>
            <w:vAlign w:val="top"/>
          </w:tcPr>
          <w:p>
            <w:pPr>
              <w:spacing w:before="94"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54.9</w:t>
            </w:r>
          </w:p>
        </w:tc>
        <w:tc>
          <w:tcPr>
            <w:tcW w:w="818" w:type="dxa"/>
            <w:vAlign w:val="top"/>
          </w:tcPr>
          <w:p>
            <w:pPr>
              <w:spacing w:before="94"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54.9</w:t>
            </w:r>
          </w:p>
        </w:tc>
        <w:tc>
          <w:tcPr>
            <w:tcW w:w="773" w:type="dxa"/>
            <w:vAlign w:val="top"/>
          </w:tcPr>
          <w:p>
            <w:pPr>
              <w:spacing w:before="94"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51.1</w:t>
            </w:r>
          </w:p>
        </w:tc>
        <w:tc>
          <w:tcPr>
            <w:tcW w:w="900" w:type="dxa"/>
            <w:vAlign w:val="top"/>
          </w:tcPr>
          <w:p>
            <w:pPr>
              <w:spacing w:before="94"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1039" w:type="dxa"/>
            <w:tcBorders>
              <w:right w:val="single" w:color="000000" w:sz="4" w:space="0"/>
            </w:tcBorders>
            <w:vAlign w:val="top"/>
          </w:tcPr>
          <w:p>
            <w:pPr>
              <w:spacing w:before="94"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w:t>
            </w:r>
          </w:p>
        </w:tc>
        <w:tc>
          <w:tcPr>
            <w:tcW w:w="713" w:type="dxa"/>
            <w:tcBorders>
              <w:left w:val="single" w:color="000000" w:sz="4" w:space="0"/>
            </w:tcBorders>
            <w:vAlign w:val="top"/>
          </w:tcPr>
          <w:p>
            <w:pPr>
              <w:spacing w:before="90"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0"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0"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0"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0"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single" w:color="000000" w:sz="4" w:space="0"/>
            </w:tcBorders>
            <w:vAlign w:val="top"/>
          </w:tcPr>
          <w:p>
            <w:pPr>
              <w:rPr>
                <w:rFonts w:ascii="Arial"/>
                <w:sz w:val="21"/>
              </w:rPr>
            </w:pPr>
          </w:p>
        </w:tc>
        <w:tc>
          <w:tcPr>
            <w:tcW w:w="1181" w:type="dxa"/>
            <w:vMerge w:val="continue"/>
            <w:tcBorders>
              <w:top w:val="nil"/>
              <w:bottom w:val="single" w:color="000000" w:sz="4" w:space="0"/>
            </w:tcBorders>
            <w:vAlign w:val="top"/>
          </w:tcPr>
          <w:p>
            <w:pPr>
              <w:rPr>
                <w:rFonts w:ascii="Arial"/>
                <w:sz w:val="21"/>
              </w:rPr>
            </w:pPr>
          </w:p>
        </w:tc>
        <w:tc>
          <w:tcPr>
            <w:tcW w:w="1106" w:type="dxa"/>
            <w:vMerge w:val="continue"/>
            <w:tcBorders>
              <w:top w:val="nil"/>
              <w:bottom w:val="single" w:color="000000" w:sz="4" w:space="0"/>
            </w:tcBorders>
            <w:vAlign w:val="top"/>
          </w:tcPr>
          <w:p>
            <w:pPr>
              <w:rPr>
                <w:rFonts w:ascii="Arial"/>
                <w:sz w:val="21"/>
              </w:rPr>
            </w:pPr>
          </w:p>
        </w:tc>
        <w:tc>
          <w:tcPr>
            <w:tcW w:w="1085" w:type="dxa"/>
            <w:vMerge w:val="continue"/>
            <w:tcBorders>
              <w:top w:val="nil"/>
              <w:bottom w:val="single" w:color="000000" w:sz="4" w:space="0"/>
            </w:tcBorders>
            <w:vAlign w:val="top"/>
          </w:tcPr>
          <w:p>
            <w:pPr>
              <w:rPr>
                <w:rFonts w:ascii="Arial"/>
                <w:sz w:val="21"/>
              </w:rPr>
            </w:pPr>
          </w:p>
        </w:tc>
        <w:tc>
          <w:tcPr>
            <w:tcW w:w="866" w:type="dxa"/>
            <w:vMerge w:val="continue"/>
            <w:tcBorders>
              <w:top w:val="nil"/>
              <w:bottom w:val="single" w:color="000000" w:sz="4" w:space="0"/>
            </w:tcBorders>
            <w:vAlign w:val="top"/>
          </w:tcPr>
          <w:p>
            <w:pPr>
              <w:rPr>
                <w:rFonts w:ascii="Arial"/>
                <w:sz w:val="21"/>
              </w:rPr>
            </w:pPr>
          </w:p>
        </w:tc>
        <w:tc>
          <w:tcPr>
            <w:tcW w:w="945" w:type="dxa"/>
            <w:tcBorders>
              <w:bottom w:val="single" w:color="000000" w:sz="4" w:space="0"/>
            </w:tcBorders>
            <w:vAlign w:val="top"/>
          </w:tcPr>
          <w:p>
            <w:pPr>
              <w:pStyle w:val="6"/>
              <w:spacing w:before="55" w:line="221" w:lineRule="auto"/>
              <w:ind w:left="271"/>
            </w:pPr>
            <w:r>
              <w:rPr>
                <w:spacing w:val="-3"/>
              </w:rPr>
              <w:t>夜间</w:t>
            </w:r>
          </w:p>
        </w:tc>
        <w:tc>
          <w:tcPr>
            <w:tcW w:w="704" w:type="dxa"/>
            <w:tcBorders>
              <w:bottom w:val="single" w:color="000000" w:sz="4" w:space="0"/>
            </w:tcBorders>
            <w:vAlign w:val="top"/>
          </w:tcPr>
          <w:p>
            <w:pPr>
              <w:spacing w:before="92"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bottom w:val="single" w:color="000000" w:sz="4" w:space="0"/>
            </w:tcBorders>
            <w:vAlign w:val="top"/>
          </w:tcPr>
          <w:p>
            <w:pPr>
              <w:rPr>
                <w:rFonts w:ascii="Arial"/>
                <w:sz w:val="21"/>
              </w:rPr>
            </w:pPr>
          </w:p>
        </w:tc>
        <w:tc>
          <w:tcPr>
            <w:tcW w:w="753" w:type="dxa"/>
            <w:tcBorders>
              <w:bottom w:val="single" w:color="000000" w:sz="4" w:space="0"/>
            </w:tcBorders>
            <w:vAlign w:val="top"/>
          </w:tcPr>
          <w:p>
            <w:pPr>
              <w:spacing w:before="9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w:t>
            </w:r>
          </w:p>
        </w:tc>
        <w:tc>
          <w:tcPr>
            <w:tcW w:w="818" w:type="dxa"/>
            <w:tcBorders>
              <w:bottom w:val="single" w:color="000000" w:sz="4" w:space="0"/>
            </w:tcBorders>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w:t>
            </w:r>
          </w:p>
        </w:tc>
        <w:tc>
          <w:tcPr>
            <w:tcW w:w="773" w:type="dxa"/>
            <w:tcBorders>
              <w:bottom w:val="single" w:color="000000" w:sz="4" w:space="0"/>
            </w:tcBorders>
            <w:vAlign w:val="top"/>
          </w:tcPr>
          <w:p>
            <w:pPr>
              <w:spacing w:before="92"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900" w:type="dxa"/>
            <w:tcBorders>
              <w:bottom w:val="single" w:color="000000" w:sz="4" w:space="0"/>
            </w:tcBorders>
            <w:vAlign w:val="top"/>
          </w:tcPr>
          <w:p>
            <w:pPr>
              <w:spacing w:before="92"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43.4</w:t>
            </w:r>
          </w:p>
        </w:tc>
        <w:tc>
          <w:tcPr>
            <w:tcW w:w="1039" w:type="dxa"/>
            <w:tcBorders>
              <w:bottom w:val="single" w:color="000000" w:sz="4" w:space="0"/>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w:t>
            </w:r>
          </w:p>
        </w:tc>
        <w:tc>
          <w:tcPr>
            <w:tcW w:w="713" w:type="dxa"/>
            <w:tcBorders>
              <w:left w:val="single" w:color="000000" w:sz="4" w:space="0"/>
              <w:bottom w:val="single" w:color="000000" w:sz="4" w:space="0"/>
            </w:tcBorders>
            <w:vAlign w:val="top"/>
          </w:tcPr>
          <w:p>
            <w:pPr>
              <w:spacing w:before="88"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single" w:color="000000" w:sz="4" w:space="0"/>
            </w:tcBorders>
            <w:vAlign w:val="top"/>
          </w:tcPr>
          <w:p>
            <w:pPr>
              <w:rPr>
                <w:rFonts w:ascii="Arial"/>
                <w:sz w:val="21"/>
              </w:rPr>
            </w:pPr>
          </w:p>
        </w:tc>
        <w:tc>
          <w:tcPr>
            <w:tcW w:w="4351" w:type="dxa"/>
            <w:vMerge w:val="continue"/>
            <w:tcBorders>
              <w:top w:val="nil"/>
              <w:bottom w:val="single" w:color="000000" w:sz="4" w:space="0"/>
            </w:tcBorders>
            <w:vAlign w:val="top"/>
          </w:tcPr>
          <w:p>
            <w:pPr>
              <w:rPr>
                <w:rFonts w:ascii="Arial"/>
                <w:sz w:val="21"/>
              </w:rPr>
            </w:pPr>
          </w:p>
        </w:tc>
        <w:tc>
          <w:tcPr>
            <w:tcW w:w="986" w:type="dxa"/>
            <w:vMerge w:val="continue"/>
            <w:tcBorders>
              <w:top w:val="nil"/>
              <w:bottom w:val="single" w:color="000000" w:sz="4" w:space="0"/>
            </w:tcBorders>
            <w:vAlign w:val="top"/>
          </w:tcPr>
          <w:p>
            <w:pPr>
              <w:rPr>
                <w:rFonts w:ascii="Arial"/>
                <w:sz w:val="21"/>
              </w:rPr>
            </w:pPr>
          </w:p>
        </w:tc>
        <w:tc>
          <w:tcPr>
            <w:tcW w:w="597" w:type="dxa"/>
            <w:tcBorders>
              <w:bottom w:val="single" w:color="000000" w:sz="4" w:space="0"/>
            </w:tcBorders>
            <w:vAlign w:val="top"/>
          </w:tcPr>
          <w:p>
            <w:pPr>
              <w:spacing w:before="88"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tcBorders>
              <w:bottom w:val="single" w:color="000000" w:sz="4" w:space="0"/>
            </w:tcBorders>
            <w:vAlign w:val="top"/>
          </w:tcPr>
          <w:p>
            <w:pPr>
              <w:spacing w:before="88"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tcBorders>
              <w:bottom w:val="single" w:color="000000" w:sz="4" w:space="0"/>
            </w:tcBorders>
            <w:vAlign w:val="top"/>
          </w:tcPr>
          <w:p>
            <w:pPr>
              <w:spacing w:before="88"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tcBorders>
              <w:bottom w:val="single" w:color="000000" w:sz="4" w:space="0"/>
            </w:tcBorders>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1" w:type="dxa"/>
            <w:vMerge w:val="restart"/>
            <w:tcBorders>
              <w:top w:val="single" w:color="000000" w:sz="4" w:space="0"/>
              <w:bottom w:val="nil"/>
            </w:tcBorders>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1" w:line="187"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81" w:type="dxa"/>
            <w:vMerge w:val="restart"/>
            <w:tcBorders>
              <w:top w:val="single" w:color="000000" w:sz="4" w:space="0"/>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8" w:line="218" w:lineRule="auto"/>
              <w:ind w:left="282"/>
            </w:pPr>
            <w:r>
              <w:rPr>
                <w:spacing w:val="-1"/>
              </w:rPr>
              <w:t>漈头面</w:t>
            </w:r>
          </w:p>
        </w:tc>
        <w:tc>
          <w:tcPr>
            <w:tcW w:w="1106" w:type="dxa"/>
            <w:vMerge w:val="restart"/>
            <w:tcBorders>
              <w:top w:val="single" w:color="000000" w:sz="4" w:space="0"/>
              <w:bottom w:val="nil"/>
            </w:tcBorders>
            <w:vAlign w:val="top"/>
          </w:tcPr>
          <w:p>
            <w:pPr>
              <w:spacing w:before="253" w:line="184" w:lineRule="auto"/>
              <w:ind w:left="4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085" w:type="dxa"/>
            <w:vMerge w:val="restart"/>
            <w:tcBorders>
              <w:top w:val="single" w:color="000000" w:sz="4" w:space="0"/>
              <w:bottom w:val="nil"/>
            </w:tcBorders>
            <w:vAlign w:val="top"/>
          </w:tcPr>
          <w:p>
            <w:pPr>
              <w:spacing w:before="251" w:line="187" w:lineRule="auto"/>
              <w:ind w:left="49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866" w:type="dxa"/>
            <w:vMerge w:val="restart"/>
            <w:tcBorders>
              <w:top w:val="single" w:color="000000" w:sz="4" w:space="0"/>
              <w:bottom w:val="nil"/>
            </w:tcBorders>
            <w:vAlign w:val="top"/>
          </w:tcPr>
          <w:p>
            <w:pPr>
              <w:pStyle w:val="6"/>
              <w:spacing w:before="211" w:line="221" w:lineRule="auto"/>
              <w:ind w:left="20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945" w:type="dxa"/>
            <w:tcBorders>
              <w:top w:val="single" w:color="000000" w:sz="4" w:space="0"/>
            </w:tcBorders>
            <w:vAlign w:val="top"/>
          </w:tcPr>
          <w:p>
            <w:pPr>
              <w:pStyle w:val="6"/>
              <w:spacing w:before="49" w:line="223" w:lineRule="auto"/>
              <w:ind w:left="269"/>
            </w:pPr>
            <w:r>
              <w:rPr>
                <w:spacing w:val="-2"/>
              </w:rPr>
              <w:t>昼间</w:t>
            </w:r>
          </w:p>
        </w:tc>
        <w:tc>
          <w:tcPr>
            <w:tcW w:w="704" w:type="dxa"/>
            <w:tcBorders>
              <w:top w:val="single" w:color="000000" w:sz="4" w:space="0"/>
            </w:tcBorders>
            <w:vAlign w:val="top"/>
          </w:tcPr>
          <w:p>
            <w:pPr>
              <w:spacing w:before="87"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top w:val="single" w:color="000000" w:sz="4" w:space="0"/>
              <w:bottom w:val="nil"/>
            </w:tcBorders>
            <w:vAlign w:val="top"/>
          </w:tcPr>
          <w:p>
            <w:pPr>
              <w:spacing w:before="251"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tcBorders>
              <w:top w:val="single" w:color="000000" w:sz="4" w:space="0"/>
            </w:tcBorders>
            <w:vAlign w:val="top"/>
          </w:tcPr>
          <w:p>
            <w:pPr>
              <w:spacing w:before="87"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818" w:type="dxa"/>
            <w:tcBorders>
              <w:top w:val="single" w:color="000000" w:sz="4" w:space="0"/>
            </w:tcBorders>
            <w:vAlign w:val="top"/>
          </w:tcPr>
          <w:p>
            <w:pPr>
              <w:spacing w:before="87"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773" w:type="dxa"/>
            <w:tcBorders>
              <w:top w:val="single" w:color="000000" w:sz="4" w:space="0"/>
            </w:tcBorders>
            <w:vAlign w:val="top"/>
          </w:tcPr>
          <w:p>
            <w:pPr>
              <w:spacing w:before="90" w:line="184"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55.5</w:t>
            </w:r>
          </w:p>
        </w:tc>
        <w:tc>
          <w:tcPr>
            <w:tcW w:w="900" w:type="dxa"/>
            <w:tcBorders>
              <w:top w:val="single" w:color="000000" w:sz="4" w:space="0"/>
            </w:tcBorders>
            <w:vAlign w:val="top"/>
          </w:tcPr>
          <w:p>
            <w:pPr>
              <w:spacing w:before="87"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55.9</w:t>
            </w:r>
          </w:p>
        </w:tc>
        <w:tc>
          <w:tcPr>
            <w:tcW w:w="1039" w:type="dxa"/>
            <w:tcBorders>
              <w:top w:val="single" w:color="000000" w:sz="4" w:space="0"/>
              <w:right w:val="single" w:color="000000" w:sz="4" w:space="0"/>
            </w:tcBorders>
            <w:vAlign w:val="top"/>
          </w:tcPr>
          <w:p>
            <w:pPr>
              <w:spacing w:before="87"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-4.7</w:t>
            </w:r>
          </w:p>
        </w:tc>
        <w:tc>
          <w:tcPr>
            <w:tcW w:w="713" w:type="dxa"/>
            <w:tcBorders>
              <w:top w:val="single" w:color="000000" w:sz="4" w:space="0"/>
              <w:left w:val="single" w:color="000000" w:sz="4" w:space="0"/>
            </w:tcBorders>
            <w:vAlign w:val="top"/>
          </w:tcPr>
          <w:p>
            <w:pPr>
              <w:spacing w:before="84" w:line="221"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top w:val="single" w:color="000000" w:sz="4" w:space="0"/>
              <w:bottom w:val="nil"/>
            </w:tcBorders>
            <w:vAlign w:val="top"/>
          </w:tcPr>
          <w:p>
            <w:pPr>
              <w:spacing w:before="247"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51" w:type="dxa"/>
            <w:vMerge w:val="restart"/>
            <w:tcBorders>
              <w:top w:val="single" w:color="000000" w:sz="4" w:space="0"/>
              <w:bottom w:val="nil"/>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60" w:line="229" w:lineRule="auto"/>
              <w:ind w:left="214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986" w:type="dxa"/>
            <w:vMerge w:val="restart"/>
            <w:tcBorders>
              <w:top w:val="single" w:color="000000" w:sz="4" w:space="0"/>
              <w:bottom w:val="nil"/>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0" w:line="233" w:lineRule="auto"/>
              <w:ind w:left="4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tcBorders>
              <w:top w:val="single" w:color="000000" w:sz="4" w:space="0"/>
            </w:tcBorders>
            <w:vAlign w:val="top"/>
          </w:tcPr>
          <w:p>
            <w:pPr>
              <w:spacing w:before="84" w:line="221"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tcBorders>
              <w:top w:val="single" w:color="000000" w:sz="4" w:space="0"/>
            </w:tcBorders>
            <w:vAlign w:val="top"/>
          </w:tcPr>
          <w:p>
            <w:pPr>
              <w:spacing w:before="84" w:line="221"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tcBorders>
              <w:top w:val="single" w:color="000000" w:sz="4" w:space="0"/>
            </w:tcBorders>
            <w:vAlign w:val="top"/>
          </w:tcPr>
          <w:p>
            <w:pPr>
              <w:spacing w:before="84" w:line="221"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tcBorders>
              <w:top w:val="single" w:color="000000" w:sz="4" w:space="0"/>
            </w:tcBorders>
            <w:vAlign w:val="top"/>
          </w:tcPr>
          <w:p>
            <w:pPr>
              <w:spacing w:before="84"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restart"/>
            <w:tcBorders>
              <w:top w:val="single" w:color="000000" w:sz="4" w:space="0"/>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5"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31.6</w:t>
            </w:r>
          </w:p>
        </w:tc>
        <w:tc>
          <w:tcPr>
            <w:tcW w:w="818" w:type="dxa"/>
            <w:vAlign w:val="top"/>
          </w:tcPr>
          <w:p>
            <w:pPr>
              <w:spacing w:before="92"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773" w:type="dxa"/>
            <w:vAlign w:val="top"/>
          </w:tcPr>
          <w:p>
            <w:pPr>
              <w:spacing w:before="92"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45.7</w:t>
            </w:r>
          </w:p>
        </w:tc>
        <w:tc>
          <w:tcPr>
            <w:tcW w:w="900" w:type="dxa"/>
            <w:vAlign w:val="top"/>
          </w:tcPr>
          <w:p>
            <w:pPr>
              <w:spacing w:before="92"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45.9</w:t>
            </w:r>
          </w:p>
        </w:tc>
        <w:tc>
          <w:tcPr>
            <w:tcW w:w="1039" w:type="dxa"/>
            <w:tcBorders>
              <w:right w:val="single" w:color="000000" w:sz="4" w:space="0"/>
            </w:tcBorders>
            <w:vAlign w:val="top"/>
          </w:tcPr>
          <w:p>
            <w:pPr>
              <w:spacing w:before="92"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713" w:type="dxa"/>
            <w:tcBorders>
              <w:left w:val="single" w:color="000000" w:sz="4" w:space="0"/>
            </w:tcBorders>
            <w:vAlign w:val="top"/>
          </w:tcPr>
          <w:p>
            <w:pPr>
              <w:spacing w:before="88"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8"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1"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126</w:t>
            </w:r>
          </w:p>
        </w:tc>
        <w:tc>
          <w:tcPr>
            <w:tcW w:w="1085" w:type="dxa"/>
            <w:vMerge w:val="restart"/>
            <w:tcBorders>
              <w:bottom w:val="nil"/>
            </w:tcBorders>
            <w:vAlign w:val="top"/>
          </w:tcPr>
          <w:p>
            <w:pPr>
              <w:spacing w:before="258" w:line="184"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866" w:type="dxa"/>
            <w:vMerge w:val="restart"/>
            <w:tcBorders>
              <w:bottom w:val="nil"/>
            </w:tcBorders>
            <w:vAlign w:val="top"/>
          </w:tcPr>
          <w:p>
            <w:pPr>
              <w:spacing w:line="469" w:lineRule="auto"/>
              <w:rPr>
                <w:rFonts w:ascii="Arial"/>
                <w:sz w:val="21"/>
              </w:rPr>
            </w:pPr>
          </w:p>
          <w:p>
            <w:pPr>
              <w:pStyle w:val="6"/>
              <w:spacing w:before="68" w:line="221" w:lineRule="auto"/>
              <w:ind w:left="254"/>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4" w:line="223" w:lineRule="auto"/>
              <w:ind w:left="269"/>
            </w:pPr>
            <w:r>
              <w:rPr>
                <w:spacing w:val="-2"/>
              </w:rPr>
              <w:t>昼间</w:t>
            </w:r>
          </w:p>
        </w:tc>
        <w:tc>
          <w:tcPr>
            <w:tcW w:w="704" w:type="dxa"/>
            <w:vAlign w:val="top"/>
          </w:tcPr>
          <w:p>
            <w:pPr>
              <w:spacing w:before="92"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818" w:type="dxa"/>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773" w:type="dxa"/>
            <w:vAlign w:val="top"/>
          </w:tcPr>
          <w:p>
            <w:pPr>
              <w:spacing w:before="92"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900" w:type="dxa"/>
            <w:vAlign w:val="top"/>
          </w:tcPr>
          <w:p>
            <w:pPr>
              <w:spacing w:before="9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w:t>
            </w:r>
          </w:p>
        </w:tc>
        <w:tc>
          <w:tcPr>
            <w:tcW w:w="713" w:type="dxa"/>
            <w:tcBorders>
              <w:left w:val="single" w:color="000000" w:sz="4" w:space="0"/>
            </w:tcBorders>
            <w:vAlign w:val="top"/>
          </w:tcPr>
          <w:p>
            <w:pPr>
              <w:spacing w:before="88"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before="60"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8"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4"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4"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31.6</w:t>
            </w:r>
          </w:p>
        </w:tc>
        <w:tc>
          <w:tcPr>
            <w:tcW w:w="818" w:type="dxa"/>
            <w:vAlign w:val="top"/>
          </w:tcPr>
          <w:p>
            <w:pPr>
              <w:spacing w:before="94"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31.6</w:t>
            </w:r>
          </w:p>
        </w:tc>
        <w:tc>
          <w:tcPr>
            <w:tcW w:w="773" w:type="dxa"/>
            <w:vAlign w:val="top"/>
          </w:tcPr>
          <w:p>
            <w:pPr>
              <w:spacing w:before="94"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37.9</w:t>
            </w:r>
          </w:p>
        </w:tc>
        <w:tc>
          <w:tcPr>
            <w:tcW w:w="900" w:type="dxa"/>
            <w:vAlign w:val="top"/>
          </w:tcPr>
          <w:p>
            <w:pPr>
              <w:spacing w:before="9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38.8</w:t>
            </w:r>
          </w:p>
        </w:tc>
        <w:tc>
          <w:tcPr>
            <w:tcW w:w="1039" w:type="dxa"/>
            <w:tcBorders>
              <w:right w:val="single" w:color="000000" w:sz="4" w:space="0"/>
            </w:tcBorders>
            <w:vAlign w:val="top"/>
          </w:tcPr>
          <w:p>
            <w:pPr>
              <w:spacing w:before="94"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w:t>
            </w:r>
          </w:p>
        </w:tc>
        <w:tc>
          <w:tcPr>
            <w:tcW w:w="713" w:type="dxa"/>
            <w:tcBorders>
              <w:left w:val="single" w:color="000000" w:sz="4" w:space="0"/>
            </w:tcBorders>
            <w:vAlign w:val="top"/>
          </w:tcPr>
          <w:p>
            <w:pPr>
              <w:spacing w:before="90"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0"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0"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0"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0"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5" w:line="187" w:lineRule="auto"/>
              <w:ind w:left="46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-4</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4" w:line="223" w:lineRule="auto"/>
              <w:ind w:left="269"/>
            </w:pPr>
            <w:r>
              <w:rPr>
                <w:spacing w:val="-2"/>
              </w:rPr>
              <w:t>昼间</w:t>
            </w:r>
          </w:p>
        </w:tc>
        <w:tc>
          <w:tcPr>
            <w:tcW w:w="704" w:type="dxa"/>
            <w:vAlign w:val="top"/>
          </w:tcPr>
          <w:p>
            <w:pPr>
              <w:spacing w:before="92"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818" w:type="dxa"/>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773" w:type="dxa"/>
            <w:vAlign w:val="top"/>
          </w:tcPr>
          <w:p>
            <w:pPr>
              <w:spacing w:before="92"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51.9</w:t>
            </w:r>
          </w:p>
        </w:tc>
        <w:tc>
          <w:tcPr>
            <w:tcW w:w="900" w:type="dxa"/>
            <w:vAlign w:val="top"/>
          </w:tcPr>
          <w:p>
            <w:pPr>
              <w:spacing w:before="9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53.3</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+5.6</w:t>
            </w:r>
          </w:p>
        </w:tc>
        <w:tc>
          <w:tcPr>
            <w:tcW w:w="713" w:type="dxa"/>
            <w:tcBorders>
              <w:left w:val="single" w:color="000000" w:sz="4" w:space="0"/>
            </w:tcBorders>
            <w:vAlign w:val="top"/>
          </w:tcPr>
          <w:p>
            <w:pPr>
              <w:spacing w:before="88"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8"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2"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34.1</w:t>
            </w:r>
          </w:p>
        </w:tc>
        <w:tc>
          <w:tcPr>
            <w:tcW w:w="818" w:type="dxa"/>
            <w:vAlign w:val="top"/>
          </w:tcPr>
          <w:p>
            <w:pPr>
              <w:spacing w:before="92"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34.1</w:t>
            </w:r>
          </w:p>
        </w:tc>
        <w:tc>
          <w:tcPr>
            <w:tcW w:w="773" w:type="dxa"/>
            <w:vAlign w:val="top"/>
          </w:tcPr>
          <w:p>
            <w:pPr>
              <w:spacing w:before="92"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40.1</w:t>
            </w:r>
          </w:p>
        </w:tc>
        <w:tc>
          <w:tcPr>
            <w:tcW w:w="900" w:type="dxa"/>
            <w:vAlign w:val="top"/>
          </w:tcPr>
          <w:p>
            <w:pPr>
              <w:spacing w:before="92"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w:t>
            </w:r>
          </w:p>
        </w:tc>
        <w:tc>
          <w:tcPr>
            <w:tcW w:w="713" w:type="dxa"/>
            <w:tcBorders>
              <w:left w:val="single" w:color="000000" w:sz="4" w:space="0"/>
            </w:tcBorders>
            <w:vAlign w:val="top"/>
          </w:tcPr>
          <w:p>
            <w:pPr>
              <w:spacing w:before="88" w:line="221"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88" w:line="221"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21"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21"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9"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restart"/>
            <w:tcBorders>
              <w:bottom w:val="nil"/>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60" w:line="187" w:lineRule="auto"/>
              <w:ind w:left="27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81"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8" w:line="218" w:lineRule="auto"/>
              <w:ind w:left="285"/>
            </w:pPr>
            <w:r>
              <w:rPr>
                <w:spacing w:val="-2"/>
              </w:rPr>
              <w:t>墩头垟</w:t>
            </w:r>
          </w:p>
        </w:tc>
        <w:tc>
          <w:tcPr>
            <w:tcW w:w="1106" w:type="dxa"/>
            <w:vMerge w:val="restart"/>
            <w:tcBorders>
              <w:bottom w:val="nil"/>
            </w:tcBorders>
            <w:vAlign w:val="top"/>
          </w:tcPr>
          <w:p>
            <w:pPr>
              <w:spacing w:line="333" w:lineRule="auto"/>
              <w:rPr>
                <w:rFonts w:ascii="Arial"/>
                <w:sz w:val="21"/>
              </w:rPr>
            </w:pPr>
          </w:p>
          <w:p>
            <w:pPr>
              <w:pStyle w:val="6"/>
              <w:spacing w:before="68" w:line="237" w:lineRule="auto"/>
              <w:ind w:left="108" w:right="38" w:firstLine="24"/>
            </w:pPr>
            <w:r>
              <w:rPr>
                <w:rFonts w:ascii="Times New Roman" w:hAnsi="Times New Roman" w:eastAsia="Times New Roman" w:cs="Times New Roman"/>
                <w:spacing w:val="-6"/>
              </w:rPr>
              <w:t>109</w:t>
            </w:r>
            <w:r>
              <w:rPr>
                <w:spacing w:val="-6"/>
              </w:rPr>
              <w:t>（</w:t>
            </w:r>
            <w:r>
              <w:rPr>
                <w:rFonts w:ascii="Times New Roman" w:hAnsi="Times New Roman" w:eastAsia="Times New Roman" w:cs="Times New Roman"/>
                <w:spacing w:val="-6"/>
              </w:rPr>
              <w:t>L1</w:t>
            </w:r>
            <w:r>
              <w:rPr>
                <w:spacing w:val="-6"/>
              </w:rPr>
              <w:t>）</w:t>
            </w:r>
            <w:r>
              <w:rPr>
                <w:spacing w:val="3"/>
              </w:rPr>
              <w:t xml:space="preserve"> </w:t>
            </w:r>
            <w:r>
              <w:rPr>
                <w:rFonts w:ascii="Times New Roman" w:hAnsi="Times New Roman" w:eastAsia="Times New Roman" w:cs="Times New Roman"/>
              </w:rPr>
              <w:t>/40</w:t>
            </w:r>
            <w:r>
              <w:t>（</w:t>
            </w:r>
            <w:r>
              <w:rPr>
                <w:rFonts w:ascii="Times New Roman" w:hAnsi="Times New Roman" w:eastAsia="Times New Roman" w:cs="Times New Roman"/>
              </w:rPr>
              <w:t>L2</w:t>
            </w:r>
            <w:r>
              <w:t>）</w:t>
            </w:r>
          </w:p>
        </w:tc>
        <w:tc>
          <w:tcPr>
            <w:tcW w:w="1085" w:type="dxa"/>
            <w:vMerge w:val="restart"/>
            <w:tcBorders>
              <w:bottom w:val="nil"/>
            </w:tcBorders>
            <w:vAlign w:val="top"/>
          </w:tcPr>
          <w:p>
            <w:pPr>
              <w:pStyle w:val="6"/>
              <w:spacing w:before="214" w:line="233" w:lineRule="auto"/>
              <w:ind w:left="111"/>
            </w:pPr>
            <w:r>
              <w:rPr>
                <w:rFonts w:ascii="Times New Roman" w:hAnsi="Times New Roman" w:eastAsia="Times New Roman" w:cs="Times New Roman"/>
                <w:spacing w:val="-1"/>
              </w:rPr>
              <w:t>4.2</w:t>
            </w:r>
            <w:r>
              <w:rPr>
                <w:spacing w:val="-1"/>
              </w:rPr>
              <w:t>（</w:t>
            </w:r>
            <w:r>
              <w:rPr>
                <w:rFonts w:ascii="Times New Roman" w:hAnsi="Times New Roman" w:eastAsia="Times New Roman" w:cs="Times New Roman"/>
                <w:spacing w:val="-1"/>
              </w:rPr>
              <w:t>L2</w:t>
            </w:r>
            <w:r>
              <w:rPr>
                <w:spacing w:val="-1"/>
              </w:rPr>
              <w:t>）</w:t>
            </w:r>
          </w:p>
        </w:tc>
        <w:tc>
          <w:tcPr>
            <w:tcW w:w="866" w:type="dxa"/>
            <w:vMerge w:val="restart"/>
            <w:tcBorders>
              <w:bottom w:val="nil"/>
            </w:tcBorders>
            <w:vAlign w:val="top"/>
          </w:tcPr>
          <w:p>
            <w:pPr>
              <w:spacing w:line="470" w:lineRule="auto"/>
              <w:rPr>
                <w:rFonts w:ascii="Arial"/>
                <w:sz w:val="21"/>
              </w:rPr>
            </w:pPr>
          </w:p>
          <w:p>
            <w:pPr>
              <w:pStyle w:val="6"/>
              <w:spacing w:before="69" w:line="234" w:lineRule="auto"/>
              <w:ind w:left="20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945" w:type="dxa"/>
            <w:vAlign w:val="top"/>
          </w:tcPr>
          <w:p>
            <w:pPr>
              <w:pStyle w:val="6"/>
              <w:spacing w:before="54" w:line="223" w:lineRule="auto"/>
              <w:ind w:left="269"/>
            </w:pPr>
            <w:r>
              <w:rPr>
                <w:spacing w:val="-2"/>
              </w:rPr>
              <w:t>昼间</w:t>
            </w:r>
          </w:p>
        </w:tc>
        <w:tc>
          <w:tcPr>
            <w:tcW w:w="704" w:type="dxa"/>
            <w:vAlign w:val="top"/>
          </w:tcPr>
          <w:p>
            <w:pPr>
              <w:spacing w:before="92"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3"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818" w:type="dxa"/>
            <w:vAlign w:val="top"/>
          </w:tcPr>
          <w:p>
            <w:pPr>
              <w:spacing w:before="92"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773" w:type="dxa"/>
            <w:vAlign w:val="top"/>
          </w:tcPr>
          <w:p>
            <w:pPr>
              <w:spacing w:before="92"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62.2</w:t>
            </w:r>
          </w:p>
        </w:tc>
        <w:tc>
          <w:tcPr>
            <w:tcW w:w="900" w:type="dxa"/>
            <w:vAlign w:val="top"/>
          </w:tcPr>
          <w:p>
            <w:pPr>
              <w:spacing w:before="92"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62.4</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w:t>
            </w:r>
          </w:p>
        </w:tc>
        <w:tc>
          <w:tcPr>
            <w:tcW w:w="713" w:type="dxa"/>
            <w:tcBorders>
              <w:left w:val="single" w:color="000000" w:sz="4" w:space="0"/>
            </w:tcBorders>
            <w:vAlign w:val="top"/>
          </w:tcPr>
          <w:p>
            <w:pPr>
              <w:spacing w:before="89" w:line="218"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1" w:line="187"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351" w:type="dxa"/>
            <w:vMerge w:val="restart"/>
            <w:tcBorders>
              <w:bottom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8" w:line="230" w:lineRule="auto"/>
              <w:ind w:left="346" w:right="155" w:hanging="188"/>
            </w:pPr>
            <w:r>
              <w:rPr>
                <w:rFonts w:ascii="Times New Roman" w:hAnsi="Times New Roman" w:eastAsia="Times New Roman" w:cs="Times New Roman"/>
                <w:spacing w:val="-5"/>
              </w:rPr>
              <w:t xml:space="preserve">4a </w:t>
            </w:r>
            <w:r>
              <w:rPr>
                <w:spacing w:val="-5"/>
              </w:rPr>
              <w:t>类区</w:t>
            </w:r>
            <w:r>
              <w:rPr>
                <w:spacing w:val="-26"/>
              </w:rPr>
              <w:t xml:space="preserve"> </w:t>
            </w:r>
            <w:r>
              <w:rPr>
                <w:rFonts w:ascii="Times New Roman" w:hAnsi="Times New Roman" w:eastAsia="Times New Roman" w:cs="Times New Roman"/>
                <w:spacing w:val="-5"/>
              </w:rPr>
              <w:t xml:space="preserve">1 </w:t>
            </w:r>
            <w:r>
              <w:rPr>
                <w:spacing w:val="-5"/>
              </w:rPr>
              <w:t>户安装隔声窗，</w:t>
            </w:r>
            <w:r>
              <w:rPr>
                <w:spacing w:val="-22"/>
              </w:rPr>
              <w:t xml:space="preserve"> </w:t>
            </w:r>
            <w:r>
              <w:rPr>
                <w:spacing w:val="-5"/>
              </w:rPr>
              <w:t>使其满足《建筑环</w:t>
            </w:r>
            <w:r>
              <w:t xml:space="preserve"> </w:t>
            </w:r>
            <w:r>
              <w:rPr>
                <w:spacing w:val="-1"/>
              </w:rPr>
              <w:t>境通用规范》（</w:t>
            </w:r>
            <w:r>
              <w:rPr>
                <w:rFonts w:ascii="Times New Roman" w:hAnsi="Times New Roman" w:eastAsia="Times New Roman" w:cs="Times New Roman"/>
                <w:spacing w:val="-1"/>
              </w:rPr>
              <w:t>GB 55016-2021</w:t>
            </w:r>
            <w:r>
              <w:rPr>
                <w:spacing w:val="-1"/>
              </w:rPr>
              <w:t>）的要求</w:t>
            </w:r>
          </w:p>
        </w:tc>
        <w:tc>
          <w:tcPr>
            <w:tcW w:w="986" w:type="dxa"/>
            <w:vMerge w:val="restart"/>
            <w:tcBorders>
              <w:bottom w:val="nil"/>
            </w:tcBorders>
            <w:vAlign w:val="top"/>
          </w:tcPr>
          <w:p>
            <w:pPr>
              <w:spacing w:line="356" w:lineRule="auto"/>
              <w:rPr>
                <w:rFonts w:ascii="Arial"/>
                <w:sz w:val="21"/>
              </w:rPr>
            </w:pPr>
          </w:p>
          <w:p>
            <w:pPr>
              <w:spacing w:line="356" w:lineRule="auto"/>
              <w:rPr>
                <w:rFonts w:ascii="Arial"/>
                <w:sz w:val="21"/>
              </w:rPr>
            </w:pPr>
          </w:p>
          <w:p>
            <w:pPr>
              <w:pStyle w:val="6"/>
              <w:spacing w:before="69" w:line="235" w:lineRule="auto"/>
              <w:ind w:left="114" w:right="100" w:firstLine="16"/>
              <w:jc w:val="both"/>
            </w:pPr>
            <w:r>
              <w:rPr>
                <w:rFonts w:ascii="Times New Roman" w:hAnsi="Times New Roman" w:eastAsia="Times New Roman" w:cs="Times New Roman"/>
                <w:spacing w:val="-8"/>
              </w:rPr>
              <w:t>1</w:t>
            </w:r>
            <w:r>
              <w:rPr>
                <w:rFonts w:ascii="Times New Roman" w:hAnsi="Times New Roman" w:eastAsia="Times New Roman" w:cs="Times New Roman"/>
                <w:spacing w:val="-7"/>
              </w:rPr>
              <w:t xml:space="preserve"> </w:t>
            </w:r>
            <w:r>
              <w:rPr>
                <w:spacing w:val="-8"/>
              </w:rPr>
              <w:t>户隔声</w:t>
            </w:r>
            <w:r>
              <w:t xml:space="preserve"> </w:t>
            </w:r>
            <w:r>
              <w:rPr>
                <w:spacing w:val="-19"/>
              </w:rPr>
              <w:t>窗，预计</w:t>
            </w:r>
            <w:r>
              <w:rPr>
                <w:spacing w:val="1"/>
              </w:rPr>
              <w:t xml:space="preserve"> </w:t>
            </w:r>
            <w:r>
              <w:rPr>
                <w:spacing w:val="7"/>
              </w:rPr>
              <w:t>每户约</w:t>
            </w:r>
            <w:r>
              <w:rPr>
                <w:rFonts w:ascii="Times New Roman" w:hAnsi="Times New Roman" w:eastAsia="Times New Roman" w:cs="Times New Roman"/>
                <w:spacing w:val="7"/>
              </w:rPr>
              <w:t>2</w:t>
            </w:r>
            <w:r>
              <w:rPr>
                <w:rFonts w:ascii="Times New Roman" w:hAnsi="Times New Roman" w:eastAsia="Times New Roman" w:cs="Times New Roman"/>
                <w:spacing w:val="2"/>
              </w:rPr>
              <w:t xml:space="preserve"> </w:t>
            </w:r>
            <w:r>
              <w:rPr>
                <w:spacing w:val="11"/>
              </w:rPr>
              <w:t>万元。</w:t>
            </w:r>
          </w:p>
        </w:tc>
        <w:tc>
          <w:tcPr>
            <w:tcW w:w="597" w:type="dxa"/>
            <w:vAlign w:val="top"/>
          </w:tcPr>
          <w:p>
            <w:pPr>
              <w:spacing w:before="89" w:line="218"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9" w:line="218"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9" w:line="218"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9" w:line="218"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60" w:line="189" w:lineRule="auto"/>
              <w:ind w:left="37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5"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818" w:type="dxa"/>
            <w:vAlign w:val="top"/>
          </w:tcPr>
          <w:p>
            <w:pPr>
              <w:spacing w:before="92"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773" w:type="dxa"/>
            <w:vAlign w:val="top"/>
          </w:tcPr>
          <w:p>
            <w:pPr>
              <w:spacing w:before="92"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53.8</w:t>
            </w:r>
          </w:p>
        </w:tc>
        <w:tc>
          <w:tcPr>
            <w:tcW w:w="900" w:type="dxa"/>
            <w:vAlign w:val="top"/>
          </w:tcPr>
          <w:p>
            <w:pPr>
              <w:spacing w:before="9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w:t>
            </w:r>
          </w:p>
        </w:tc>
        <w:tc>
          <w:tcPr>
            <w:tcW w:w="713" w:type="dxa"/>
            <w:tcBorders>
              <w:left w:val="single" w:color="000000" w:sz="4" w:space="0"/>
            </w:tcBorders>
            <w:vAlign w:val="top"/>
          </w:tcPr>
          <w:p>
            <w:pPr>
              <w:spacing w:before="89" w:line="220"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9" w:line="220"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9" w:line="220"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9" w:line="220"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9"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pStyle w:val="6"/>
              <w:spacing w:before="215" w:line="233" w:lineRule="auto"/>
              <w:ind w:left="116"/>
            </w:pPr>
            <w:r>
              <w:rPr>
                <w:rFonts w:ascii="Times New Roman" w:hAnsi="Times New Roman" w:eastAsia="Times New Roman" w:cs="Times New Roman"/>
                <w:spacing w:val="-1"/>
              </w:rPr>
              <w:t>7.7</w:t>
            </w:r>
            <w:r>
              <w:rPr>
                <w:spacing w:val="-1"/>
              </w:rPr>
              <w:t>（</w:t>
            </w:r>
            <w:r>
              <w:rPr>
                <w:rFonts w:ascii="Times New Roman" w:hAnsi="Times New Roman" w:eastAsia="Times New Roman" w:cs="Times New Roman"/>
                <w:spacing w:val="-1"/>
              </w:rPr>
              <w:t>L2</w:t>
            </w:r>
            <w:r>
              <w:rPr>
                <w:spacing w:val="-1"/>
              </w:rPr>
              <w:t>）</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5" w:line="223" w:lineRule="auto"/>
              <w:ind w:left="269"/>
            </w:pPr>
            <w:r>
              <w:rPr>
                <w:spacing w:val="-2"/>
              </w:rPr>
              <w:t>昼间</w:t>
            </w:r>
          </w:p>
        </w:tc>
        <w:tc>
          <w:tcPr>
            <w:tcW w:w="704" w:type="dxa"/>
            <w:vAlign w:val="top"/>
          </w:tcPr>
          <w:p>
            <w:pPr>
              <w:spacing w:before="93"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4"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3"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818" w:type="dxa"/>
            <w:vAlign w:val="top"/>
          </w:tcPr>
          <w:p>
            <w:pPr>
              <w:spacing w:before="93"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773" w:type="dxa"/>
            <w:vAlign w:val="top"/>
          </w:tcPr>
          <w:p>
            <w:pPr>
              <w:spacing w:before="93"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65.6</w:t>
            </w:r>
          </w:p>
        </w:tc>
        <w:tc>
          <w:tcPr>
            <w:tcW w:w="900" w:type="dxa"/>
            <w:vAlign w:val="top"/>
          </w:tcPr>
          <w:p>
            <w:pPr>
              <w:spacing w:before="93"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65.6</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713" w:type="dxa"/>
            <w:tcBorders>
              <w:left w:val="single" w:color="000000" w:sz="4" w:space="0"/>
            </w:tcBorders>
            <w:vAlign w:val="top"/>
          </w:tcPr>
          <w:p>
            <w:pPr>
              <w:spacing w:before="89" w:line="218"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9" w:line="218"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9" w:line="218"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9" w:line="218"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9" w:line="218"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6"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3"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w:t>
            </w:r>
          </w:p>
        </w:tc>
        <w:tc>
          <w:tcPr>
            <w:tcW w:w="818" w:type="dxa"/>
            <w:vAlign w:val="top"/>
          </w:tcPr>
          <w:p>
            <w:pPr>
              <w:spacing w:before="93"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773" w:type="dxa"/>
            <w:vAlign w:val="top"/>
          </w:tcPr>
          <w:p>
            <w:pPr>
              <w:spacing w:before="93"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56.6</w:t>
            </w:r>
          </w:p>
        </w:tc>
        <w:tc>
          <w:tcPr>
            <w:tcW w:w="900" w:type="dxa"/>
            <w:vAlign w:val="top"/>
          </w:tcPr>
          <w:p>
            <w:pPr>
              <w:spacing w:before="93"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56.7</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713" w:type="dxa"/>
            <w:tcBorders>
              <w:left w:val="single" w:color="000000" w:sz="4" w:space="0"/>
            </w:tcBorders>
            <w:vAlign w:val="top"/>
          </w:tcPr>
          <w:p>
            <w:pPr>
              <w:spacing w:before="93"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w:t>
            </w:r>
          </w:p>
        </w:tc>
        <w:tc>
          <w:tcPr>
            <w:tcW w:w="701" w:type="dxa"/>
            <w:vMerge w:val="continue"/>
            <w:tcBorders>
              <w:top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9" w:line="218"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9" w:line="218"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9" w:line="218"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9" w:line="218"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restart"/>
            <w:tcBorders>
              <w:bottom w:val="nil"/>
            </w:tcBorders>
            <w:vAlign w:val="top"/>
          </w:tcPr>
          <w:p>
            <w:pPr>
              <w:spacing w:line="336" w:lineRule="auto"/>
              <w:rPr>
                <w:rFonts w:ascii="Arial"/>
                <w:sz w:val="21"/>
              </w:rPr>
            </w:pPr>
          </w:p>
          <w:p>
            <w:pPr>
              <w:pStyle w:val="6"/>
              <w:spacing w:before="69" w:line="236" w:lineRule="auto"/>
              <w:ind w:left="108" w:right="9" w:firstLine="24"/>
            </w:pPr>
            <w:r>
              <w:rPr>
                <w:rFonts w:ascii="Times New Roman" w:hAnsi="Times New Roman" w:eastAsia="Times New Roman" w:cs="Times New Roman"/>
                <w:spacing w:val="-4"/>
              </w:rPr>
              <w:t>145</w:t>
            </w:r>
            <w:r>
              <w:rPr>
                <w:spacing w:val="-4"/>
              </w:rPr>
              <w:t>（</w:t>
            </w:r>
            <w:r>
              <w:rPr>
                <w:rFonts w:ascii="Times New Roman" w:hAnsi="Times New Roman" w:eastAsia="Times New Roman" w:cs="Times New Roman"/>
                <w:spacing w:val="-4"/>
              </w:rPr>
              <w:t>L1</w:t>
            </w:r>
            <w:r>
              <w:rPr>
                <w:spacing w:val="-4"/>
              </w:rPr>
              <w:t>）</w:t>
            </w:r>
            <w:r>
              <w:rPr>
                <w:spacing w:val="4"/>
              </w:rPr>
              <w:t xml:space="preserve"> </w:t>
            </w:r>
            <w:r>
              <w:rPr>
                <w:rFonts w:ascii="Times New Roman" w:hAnsi="Times New Roman" w:eastAsia="Times New Roman" w:cs="Times New Roman"/>
                <w:spacing w:val="-6"/>
              </w:rPr>
              <w:t>/124</w:t>
            </w:r>
            <w:r>
              <w:rPr>
                <w:spacing w:val="-6"/>
              </w:rPr>
              <w:t>（</w:t>
            </w:r>
            <w:r>
              <w:rPr>
                <w:rFonts w:ascii="Times New Roman" w:hAnsi="Times New Roman" w:eastAsia="Times New Roman" w:cs="Times New Roman"/>
                <w:spacing w:val="-6"/>
              </w:rPr>
              <w:t>L2</w:t>
            </w:r>
            <w:r>
              <w:rPr>
                <w:spacing w:val="-6"/>
              </w:rPr>
              <w:t>）</w:t>
            </w:r>
          </w:p>
        </w:tc>
        <w:tc>
          <w:tcPr>
            <w:tcW w:w="1085" w:type="dxa"/>
            <w:vMerge w:val="restart"/>
            <w:tcBorders>
              <w:bottom w:val="nil"/>
            </w:tcBorders>
            <w:vAlign w:val="top"/>
          </w:tcPr>
          <w:p>
            <w:pPr>
              <w:pStyle w:val="6"/>
              <w:spacing w:before="218" w:line="233" w:lineRule="auto"/>
              <w:jc w:val="right"/>
            </w:pPr>
            <w:r>
              <w:rPr>
                <w:rFonts w:ascii="Times New Roman" w:hAnsi="Times New Roman" w:eastAsia="Times New Roman" w:cs="Times New Roman"/>
                <w:spacing w:val="-11"/>
              </w:rPr>
              <w:t>18.5</w:t>
            </w:r>
            <w:r>
              <w:rPr>
                <w:spacing w:val="-11"/>
              </w:rPr>
              <w:t>（</w:t>
            </w:r>
            <w:r>
              <w:rPr>
                <w:rFonts w:ascii="Times New Roman" w:hAnsi="Times New Roman" w:eastAsia="Times New Roman" w:cs="Times New Roman"/>
                <w:spacing w:val="-11"/>
              </w:rPr>
              <w:t>L2</w:t>
            </w:r>
            <w:r>
              <w:rPr>
                <w:spacing w:val="-11"/>
              </w:rPr>
              <w:t>）</w:t>
            </w:r>
          </w:p>
        </w:tc>
        <w:tc>
          <w:tcPr>
            <w:tcW w:w="866" w:type="dxa"/>
            <w:vMerge w:val="restart"/>
            <w:tcBorders>
              <w:bottom w:val="nil"/>
            </w:tcBorders>
            <w:vAlign w:val="top"/>
          </w:tcPr>
          <w:p>
            <w:pPr>
              <w:spacing w:line="473" w:lineRule="auto"/>
              <w:rPr>
                <w:rFonts w:ascii="Arial"/>
                <w:sz w:val="21"/>
              </w:rPr>
            </w:pPr>
          </w:p>
          <w:p>
            <w:pPr>
              <w:pStyle w:val="6"/>
              <w:spacing w:before="68" w:line="221" w:lineRule="auto"/>
              <w:ind w:left="254"/>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5" w:line="223" w:lineRule="auto"/>
              <w:ind w:left="269"/>
            </w:pPr>
            <w:r>
              <w:rPr>
                <w:spacing w:val="-2"/>
              </w:rPr>
              <w:t>昼间</w:t>
            </w:r>
          </w:p>
        </w:tc>
        <w:tc>
          <w:tcPr>
            <w:tcW w:w="704" w:type="dxa"/>
            <w:vAlign w:val="top"/>
          </w:tcPr>
          <w:p>
            <w:pPr>
              <w:spacing w:before="93"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7"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6"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818" w:type="dxa"/>
            <w:vAlign w:val="top"/>
          </w:tcPr>
          <w:p>
            <w:pPr>
              <w:spacing w:before="96"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773" w:type="dxa"/>
            <w:vAlign w:val="top"/>
          </w:tcPr>
          <w:p>
            <w:pPr>
              <w:spacing w:before="96"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56.3</w:t>
            </w:r>
          </w:p>
        </w:tc>
        <w:tc>
          <w:tcPr>
            <w:tcW w:w="900" w:type="dxa"/>
            <w:vAlign w:val="top"/>
          </w:tcPr>
          <w:p>
            <w:pPr>
              <w:spacing w:before="96"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56.9</w:t>
            </w:r>
          </w:p>
        </w:tc>
        <w:tc>
          <w:tcPr>
            <w:tcW w:w="1039" w:type="dxa"/>
            <w:tcBorders>
              <w:right w:val="single" w:color="000000" w:sz="4" w:space="0"/>
            </w:tcBorders>
            <w:vAlign w:val="top"/>
          </w:tcPr>
          <w:p>
            <w:pPr>
              <w:spacing w:before="96"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+8.6</w:t>
            </w:r>
          </w:p>
        </w:tc>
        <w:tc>
          <w:tcPr>
            <w:tcW w:w="713" w:type="dxa"/>
            <w:tcBorders>
              <w:left w:val="single" w:color="000000" w:sz="4" w:space="0"/>
            </w:tcBorders>
            <w:vAlign w:val="top"/>
          </w:tcPr>
          <w:p>
            <w:pPr>
              <w:spacing w:before="92" w:line="218"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0"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2" w:line="218"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2" w:line="218"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2" w:line="218"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2" w:line="218"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3"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818" w:type="dxa"/>
            <w:vAlign w:val="top"/>
          </w:tcPr>
          <w:p>
            <w:pPr>
              <w:spacing w:before="93"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773" w:type="dxa"/>
            <w:vAlign w:val="top"/>
          </w:tcPr>
          <w:p>
            <w:pPr>
              <w:spacing w:before="93"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45.2</w:t>
            </w:r>
          </w:p>
        </w:tc>
        <w:tc>
          <w:tcPr>
            <w:tcW w:w="900" w:type="dxa"/>
            <w:vAlign w:val="top"/>
          </w:tcPr>
          <w:p>
            <w:pPr>
              <w:spacing w:before="93"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46.3</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w:t>
            </w:r>
          </w:p>
        </w:tc>
        <w:tc>
          <w:tcPr>
            <w:tcW w:w="713" w:type="dxa"/>
            <w:tcBorders>
              <w:left w:val="single" w:color="000000" w:sz="4" w:space="0"/>
            </w:tcBorders>
            <w:vAlign w:val="top"/>
          </w:tcPr>
          <w:p>
            <w:pPr>
              <w:spacing w:before="89" w:line="218"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9" w:line="218"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9" w:line="218"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9" w:line="218"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9" w:line="218"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pStyle w:val="6"/>
              <w:spacing w:before="217" w:line="233" w:lineRule="auto"/>
              <w:jc w:val="right"/>
            </w:pPr>
            <w:r>
              <w:rPr>
                <w:rFonts w:ascii="Times New Roman" w:hAnsi="Times New Roman" w:eastAsia="Times New Roman" w:cs="Times New Roman"/>
                <w:spacing w:val="-8"/>
              </w:rPr>
              <w:t>22.0</w:t>
            </w:r>
            <w:r>
              <w:rPr>
                <w:spacing w:val="-8"/>
              </w:rPr>
              <w:t>（</w:t>
            </w:r>
            <w:r>
              <w:rPr>
                <w:rFonts w:ascii="Times New Roman" w:hAnsi="Times New Roman" w:eastAsia="Times New Roman" w:cs="Times New Roman"/>
                <w:spacing w:val="-8"/>
              </w:rPr>
              <w:t>L2</w:t>
            </w:r>
            <w:r>
              <w:rPr>
                <w:spacing w:val="-8"/>
              </w:rPr>
              <w:t>）</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5" w:line="223" w:lineRule="auto"/>
              <w:ind w:left="269"/>
            </w:pPr>
            <w:r>
              <w:rPr>
                <w:spacing w:val="-2"/>
              </w:rPr>
              <w:t>昼间</w:t>
            </w:r>
          </w:p>
        </w:tc>
        <w:tc>
          <w:tcPr>
            <w:tcW w:w="704" w:type="dxa"/>
            <w:vAlign w:val="top"/>
          </w:tcPr>
          <w:p>
            <w:pPr>
              <w:spacing w:before="93"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6"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3"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818" w:type="dxa"/>
            <w:vAlign w:val="top"/>
          </w:tcPr>
          <w:p>
            <w:pPr>
              <w:spacing w:before="93"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773" w:type="dxa"/>
            <w:vAlign w:val="top"/>
          </w:tcPr>
          <w:p>
            <w:pPr>
              <w:spacing w:before="93"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58.5</w:t>
            </w:r>
          </w:p>
        </w:tc>
        <w:tc>
          <w:tcPr>
            <w:tcW w:w="900" w:type="dxa"/>
            <w:vAlign w:val="top"/>
          </w:tcPr>
          <w:p>
            <w:pPr>
              <w:spacing w:before="93"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58.7</w:t>
            </w:r>
          </w:p>
        </w:tc>
        <w:tc>
          <w:tcPr>
            <w:tcW w:w="1039" w:type="dxa"/>
            <w:tcBorders>
              <w:right w:val="single" w:color="000000" w:sz="4" w:space="0"/>
            </w:tcBorders>
            <w:vAlign w:val="top"/>
          </w:tcPr>
          <w:p>
            <w:pPr>
              <w:spacing w:before="93"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+13.2</w:t>
            </w:r>
          </w:p>
        </w:tc>
        <w:tc>
          <w:tcPr>
            <w:tcW w:w="713" w:type="dxa"/>
            <w:tcBorders>
              <w:left w:val="single" w:color="000000" w:sz="4" w:space="0"/>
            </w:tcBorders>
            <w:vAlign w:val="top"/>
          </w:tcPr>
          <w:p>
            <w:pPr>
              <w:spacing w:before="89" w:line="220"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9" w:line="220"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9" w:line="220"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9" w:line="220"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0"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3"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3"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w:t>
            </w:r>
          </w:p>
        </w:tc>
        <w:tc>
          <w:tcPr>
            <w:tcW w:w="818" w:type="dxa"/>
            <w:vAlign w:val="top"/>
          </w:tcPr>
          <w:p>
            <w:pPr>
              <w:spacing w:before="93"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w:t>
            </w:r>
          </w:p>
        </w:tc>
        <w:tc>
          <w:tcPr>
            <w:tcW w:w="773" w:type="dxa"/>
            <w:vAlign w:val="top"/>
          </w:tcPr>
          <w:p>
            <w:pPr>
              <w:spacing w:before="93"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47.5</w:t>
            </w:r>
          </w:p>
        </w:tc>
        <w:tc>
          <w:tcPr>
            <w:tcW w:w="900" w:type="dxa"/>
            <w:vAlign w:val="top"/>
          </w:tcPr>
          <w:p>
            <w:pPr>
              <w:spacing w:before="93"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1039" w:type="dxa"/>
            <w:tcBorders>
              <w:right w:val="single" w:color="000000" w:sz="4" w:space="0"/>
            </w:tcBorders>
            <w:vAlign w:val="top"/>
          </w:tcPr>
          <w:p>
            <w:pPr>
              <w:spacing w:before="96" w:line="184"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w:t>
            </w:r>
          </w:p>
        </w:tc>
        <w:tc>
          <w:tcPr>
            <w:tcW w:w="713" w:type="dxa"/>
            <w:tcBorders>
              <w:left w:val="single" w:color="000000" w:sz="4" w:space="0"/>
            </w:tcBorders>
            <w:vAlign w:val="top"/>
          </w:tcPr>
          <w:p>
            <w:pPr>
              <w:spacing w:before="90" w:line="21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90" w:line="217"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0" w:line="217"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0" w:line="217"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0" w:line="21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0" w:line="184"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181"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69" w:line="221" w:lineRule="auto"/>
              <w:ind w:left="282"/>
            </w:pPr>
            <w:r>
              <w:rPr>
                <w:spacing w:val="-1"/>
              </w:rPr>
              <w:t>庙儿垄</w:t>
            </w:r>
          </w:p>
        </w:tc>
        <w:tc>
          <w:tcPr>
            <w:tcW w:w="1106" w:type="dxa"/>
            <w:vMerge w:val="restart"/>
            <w:tcBorders>
              <w:bottom w:val="nil"/>
            </w:tcBorders>
            <w:vAlign w:val="top"/>
          </w:tcPr>
          <w:p>
            <w:pPr>
              <w:spacing w:line="334" w:lineRule="auto"/>
              <w:rPr>
                <w:rFonts w:ascii="Arial"/>
                <w:sz w:val="21"/>
              </w:rPr>
            </w:pPr>
          </w:p>
          <w:p>
            <w:pPr>
              <w:pStyle w:val="6"/>
              <w:spacing w:before="68" w:line="237" w:lineRule="auto"/>
              <w:ind w:left="108" w:right="83" w:firstLine="18"/>
            </w:pPr>
            <w:r>
              <w:rPr>
                <w:rFonts w:ascii="Times New Roman" w:hAnsi="Times New Roman" w:eastAsia="Times New Roman" w:cs="Times New Roman"/>
                <w:spacing w:val="-1"/>
              </w:rPr>
              <w:t>20</w:t>
            </w:r>
            <w:r>
              <w:rPr>
                <w:spacing w:val="-1"/>
              </w:rPr>
              <w:t>（</w:t>
            </w:r>
            <w:r>
              <w:rPr>
                <w:rFonts w:ascii="Times New Roman" w:hAnsi="Times New Roman" w:eastAsia="Times New Roman" w:cs="Times New Roman"/>
                <w:spacing w:val="-1"/>
              </w:rPr>
              <w:t>L2</w:t>
            </w:r>
            <w:r>
              <w:rPr>
                <w:spacing w:val="-1"/>
              </w:rPr>
              <w:t>）</w:t>
            </w:r>
            <w:r>
              <w:rPr>
                <w:spacing w:val="2"/>
              </w:rPr>
              <w:t xml:space="preserve"> </w:t>
            </w:r>
            <w:r>
              <w:rPr>
                <w:rFonts w:ascii="Times New Roman" w:hAnsi="Times New Roman" w:eastAsia="Times New Roman" w:cs="Times New Roman"/>
                <w:spacing w:val="-2"/>
              </w:rPr>
              <w:t>/23</w:t>
            </w:r>
            <w:r>
              <w:rPr>
                <w:spacing w:val="-2"/>
              </w:rPr>
              <w:t>（</w:t>
            </w:r>
            <w:r>
              <w:rPr>
                <w:rFonts w:ascii="Times New Roman" w:hAnsi="Times New Roman" w:eastAsia="Times New Roman" w:cs="Times New Roman"/>
                <w:spacing w:val="-2"/>
              </w:rPr>
              <w:t>L1</w:t>
            </w:r>
            <w:r>
              <w:rPr>
                <w:spacing w:val="-2"/>
              </w:rPr>
              <w:t>）</w:t>
            </w:r>
          </w:p>
        </w:tc>
        <w:tc>
          <w:tcPr>
            <w:tcW w:w="1085" w:type="dxa"/>
            <w:vMerge w:val="restart"/>
            <w:tcBorders>
              <w:bottom w:val="nil"/>
            </w:tcBorders>
            <w:vAlign w:val="top"/>
          </w:tcPr>
          <w:p>
            <w:pPr>
              <w:pStyle w:val="6"/>
              <w:spacing w:before="218" w:line="233" w:lineRule="auto"/>
              <w:ind w:left="116"/>
            </w:pPr>
            <w:r>
              <w:rPr>
                <w:rFonts w:ascii="Times New Roman" w:hAnsi="Times New Roman" w:eastAsia="Times New Roman" w:cs="Times New Roman"/>
                <w:spacing w:val="-1"/>
              </w:rPr>
              <w:t>3.5</w:t>
            </w:r>
            <w:r>
              <w:rPr>
                <w:spacing w:val="-1"/>
              </w:rPr>
              <w:t>（</w:t>
            </w:r>
            <w:r>
              <w:rPr>
                <w:rFonts w:ascii="Times New Roman" w:hAnsi="Times New Roman" w:eastAsia="Times New Roman" w:cs="Times New Roman"/>
                <w:spacing w:val="-1"/>
              </w:rPr>
              <w:t>L2</w:t>
            </w:r>
            <w:r>
              <w:rPr>
                <w:spacing w:val="-1"/>
              </w:rPr>
              <w:t>）</w:t>
            </w:r>
          </w:p>
        </w:tc>
        <w:tc>
          <w:tcPr>
            <w:tcW w:w="866" w:type="dxa"/>
            <w:vMerge w:val="restart"/>
            <w:tcBorders>
              <w:bottom w:val="nil"/>
            </w:tcBorders>
            <w:vAlign w:val="top"/>
          </w:tcPr>
          <w:p>
            <w:pPr>
              <w:spacing w:line="470" w:lineRule="auto"/>
              <w:rPr>
                <w:rFonts w:ascii="Arial"/>
                <w:sz w:val="21"/>
              </w:rPr>
            </w:pPr>
          </w:p>
          <w:p>
            <w:pPr>
              <w:pStyle w:val="6"/>
              <w:spacing w:before="68" w:line="221" w:lineRule="auto"/>
              <w:ind w:left="252"/>
            </w:pPr>
            <w:r>
              <w:rPr>
                <w:rFonts w:ascii="Times New Roman" w:hAnsi="Times New Roman" w:eastAsia="Times New Roman" w:cs="Times New Roman"/>
                <w:spacing w:val="-2"/>
              </w:rPr>
              <w:t>4</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5" w:line="223" w:lineRule="auto"/>
              <w:ind w:left="269"/>
            </w:pPr>
            <w:r>
              <w:rPr>
                <w:spacing w:val="-2"/>
              </w:rPr>
              <w:t>昼间</w:t>
            </w:r>
          </w:p>
        </w:tc>
        <w:tc>
          <w:tcPr>
            <w:tcW w:w="704" w:type="dxa"/>
            <w:vAlign w:val="top"/>
          </w:tcPr>
          <w:p>
            <w:pPr>
              <w:spacing w:before="93"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7"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3"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818" w:type="dxa"/>
            <w:vAlign w:val="top"/>
          </w:tcPr>
          <w:p>
            <w:pPr>
              <w:spacing w:before="93"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773" w:type="dxa"/>
            <w:vAlign w:val="top"/>
          </w:tcPr>
          <w:p>
            <w:pPr>
              <w:spacing w:before="93"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62.5</w:t>
            </w:r>
          </w:p>
        </w:tc>
        <w:tc>
          <w:tcPr>
            <w:tcW w:w="900" w:type="dxa"/>
            <w:vAlign w:val="top"/>
          </w:tcPr>
          <w:p>
            <w:pPr>
              <w:spacing w:before="93"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62.6</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713" w:type="dxa"/>
            <w:tcBorders>
              <w:left w:val="single" w:color="000000" w:sz="4" w:space="0"/>
            </w:tcBorders>
            <w:vAlign w:val="top"/>
          </w:tcPr>
          <w:p>
            <w:pPr>
              <w:spacing w:before="90" w:line="21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before="60" w:line="187" w:lineRule="auto"/>
              <w:ind w:left="30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351" w:type="dxa"/>
            <w:vMerge w:val="restart"/>
            <w:tcBorders>
              <w:bottom w:val="nil"/>
            </w:tcBorders>
            <w:vAlign w:val="top"/>
          </w:tcPr>
          <w:p>
            <w:pPr>
              <w:pStyle w:val="6"/>
              <w:spacing w:before="214" w:line="237" w:lineRule="auto"/>
              <w:ind w:left="109" w:right="102" w:firstLine="20"/>
            </w:pPr>
            <w:r>
              <w:rPr>
                <w:rFonts w:ascii="Times New Roman" w:hAnsi="Times New Roman" w:eastAsia="Times New Roman" w:cs="Times New Roman"/>
                <w:spacing w:val="-2"/>
              </w:rPr>
              <w:t>1</w:t>
            </w:r>
            <w:r>
              <w:rPr>
                <w:spacing w:val="-2"/>
              </w:rPr>
              <w:t xml:space="preserve">、在连接线北侧 </w:t>
            </w:r>
            <w:r>
              <w:rPr>
                <w:rFonts w:ascii="Times New Roman" w:hAnsi="Times New Roman" w:eastAsia="Times New Roman" w:cs="Times New Roman"/>
                <w:spacing w:val="-2"/>
              </w:rPr>
              <w:t>L1K2+000~L1K2+350</w:t>
            </w:r>
            <w:r>
              <w:rPr>
                <w:rFonts w:ascii="Times New Roman" w:hAnsi="Times New Roman" w:eastAsia="Times New Roman" w:cs="Times New Roman"/>
                <w:spacing w:val="55"/>
                <w:w w:val="101"/>
              </w:rPr>
              <w:t xml:space="preserve"> </w:t>
            </w:r>
            <w:r>
              <w:rPr>
                <w:spacing w:val="-2"/>
              </w:rPr>
              <w:t>设置</w:t>
            </w:r>
            <w:r>
              <w:t xml:space="preserve"> </w:t>
            </w:r>
            <w:r>
              <w:rPr>
                <w:spacing w:val="-9"/>
              </w:rPr>
              <w:t>隔声屏障，</w:t>
            </w:r>
            <w:r>
              <w:rPr>
                <w:spacing w:val="-33"/>
              </w:rPr>
              <w:t xml:space="preserve"> </w:t>
            </w:r>
            <w:r>
              <w:rPr>
                <w:spacing w:val="-9"/>
              </w:rPr>
              <w:t>隔声屏障等效高度为</w:t>
            </w:r>
            <w:r>
              <w:rPr>
                <w:spacing w:val="-44"/>
              </w:rPr>
              <w:t xml:space="preserve"> </w:t>
            </w:r>
            <w:r>
              <w:rPr>
                <w:rFonts w:ascii="Times New Roman" w:hAnsi="Times New Roman" w:eastAsia="Times New Roman" w:cs="Times New Roman"/>
                <w:spacing w:val="-9"/>
              </w:rPr>
              <w:t xml:space="preserve">3m  </w:t>
            </w:r>
            <w:r>
              <w:rPr>
                <w:spacing w:val="-9"/>
              </w:rPr>
              <w:t>高，</w:t>
            </w:r>
            <w:r>
              <w:rPr>
                <w:spacing w:val="-62"/>
              </w:rPr>
              <w:t xml:space="preserve"> </w:t>
            </w:r>
            <w:r>
              <w:rPr>
                <w:spacing w:val="-9"/>
              </w:rPr>
              <w:t>长度</w:t>
            </w:r>
            <w:r>
              <w:t xml:space="preserve"> </w:t>
            </w:r>
            <w:r>
              <w:rPr>
                <w:rFonts w:ascii="Times New Roman" w:hAnsi="Times New Roman" w:eastAsia="Times New Roman" w:cs="Times New Roman"/>
                <w:spacing w:val="3"/>
              </w:rPr>
              <w:t>350m</w:t>
            </w:r>
            <w:r>
              <w:rPr>
                <w:spacing w:val="3"/>
              </w:rPr>
              <w:t>。设计的声屏障应符合《声屏障声学设</w:t>
            </w:r>
            <w:r>
              <w:rPr>
                <w:spacing w:val="17"/>
              </w:rPr>
              <w:t xml:space="preserve"> </w:t>
            </w:r>
            <w:r>
              <w:rPr>
                <w:spacing w:val="3"/>
              </w:rPr>
              <w:t>计和测量规范》（</w:t>
            </w:r>
            <w:r>
              <w:rPr>
                <w:rFonts w:ascii="Times New Roman" w:hAnsi="Times New Roman" w:eastAsia="Times New Roman" w:cs="Times New Roman"/>
              </w:rPr>
              <w:t>HJ</w:t>
            </w:r>
            <w:r>
              <w:rPr>
                <w:rFonts w:ascii="Times New Roman" w:hAnsi="Times New Roman" w:eastAsia="Times New Roman" w:cs="Times New Roman"/>
                <w:spacing w:val="3"/>
              </w:rPr>
              <w:t>/T90-2004</w:t>
            </w:r>
            <w:r>
              <w:rPr>
                <w:spacing w:val="3"/>
              </w:rPr>
              <w:t>）、《声屏障</w:t>
            </w:r>
            <w:r>
              <w:rPr>
                <w:spacing w:val="2"/>
              </w:rPr>
              <w:t xml:space="preserve"> </w:t>
            </w:r>
            <w:r>
              <w:t>结构技术标准》（</w:t>
            </w:r>
            <w:r>
              <w:rPr>
                <w:rFonts w:ascii="Times New Roman" w:hAnsi="Times New Roman" w:eastAsia="Times New Roman" w:cs="Times New Roman"/>
              </w:rPr>
              <w:t>GB/T5133-2018</w:t>
            </w:r>
            <w:r>
              <w:t>）的要</w:t>
            </w:r>
            <w:r>
              <w:rPr>
                <w:spacing w:val="-1"/>
              </w:rPr>
              <w:t>求。</w:t>
            </w:r>
            <w:r>
              <w:t xml:space="preserve"> </w:t>
            </w:r>
            <w:r>
              <w:rPr>
                <w:rFonts w:ascii="Times New Roman" w:hAnsi="Times New Roman" w:eastAsia="Times New Roman" w:cs="Times New Roman"/>
                <w:spacing w:val="-2"/>
              </w:rPr>
              <w:t>2</w:t>
            </w:r>
            <w:r>
              <w:rPr>
                <w:rFonts w:ascii="Times New Roman" w:hAnsi="Times New Roman" w:eastAsia="Times New Roman" w:cs="Times New Roman"/>
                <w:spacing w:val="-17"/>
              </w:rPr>
              <w:t xml:space="preserve"> </w:t>
            </w:r>
            <w:r>
              <w:rPr>
                <w:spacing w:val="-2"/>
              </w:rPr>
              <w:t>、</w:t>
            </w:r>
            <w:r>
              <w:rPr>
                <w:rFonts w:ascii="Times New Roman" w:hAnsi="Times New Roman" w:eastAsia="Times New Roman" w:cs="Times New Roman"/>
                <w:spacing w:val="-2"/>
              </w:rPr>
              <w:t xml:space="preserve">4a </w:t>
            </w:r>
            <w:r>
              <w:rPr>
                <w:spacing w:val="-2"/>
              </w:rPr>
              <w:t>类区</w:t>
            </w:r>
            <w:r>
              <w:rPr>
                <w:spacing w:val="-46"/>
              </w:rPr>
              <w:t xml:space="preserve"> </w:t>
            </w:r>
            <w:r>
              <w:rPr>
                <w:rFonts w:ascii="Times New Roman" w:hAnsi="Times New Roman" w:eastAsia="Times New Roman" w:cs="Times New Roman"/>
                <w:spacing w:val="-2"/>
              </w:rPr>
              <w:t xml:space="preserve">3 </w:t>
            </w:r>
            <w:r>
              <w:rPr>
                <w:spacing w:val="-2"/>
              </w:rPr>
              <w:t>户安装隔声窗，使其满足《建筑</w:t>
            </w:r>
            <w:r>
              <w:t xml:space="preserve"> 环境通用规范》（</w:t>
            </w:r>
            <w:r>
              <w:rPr>
                <w:rFonts w:ascii="Times New Roman" w:hAnsi="Times New Roman" w:eastAsia="Times New Roman" w:cs="Times New Roman"/>
              </w:rPr>
              <w:t>GB 55016-2021</w:t>
            </w:r>
            <w:r>
              <w:t>）的要</w:t>
            </w:r>
            <w:r>
              <w:rPr>
                <w:spacing w:val="-1"/>
              </w:rPr>
              <w:t>求。</w:t>
            </w:r>
          </w:p>
        </w:tc>
        <w:tc>
          <w:tcPr>
            <w:tcW w:w="986" w:type="dxa"/>
            <w:vMerge w:val="restart"/>
            <w:tcBorders>
              <w:bottom w:val="nil"/>
            </w:tcBorders>
            <w:vAlign w:val="top"/>
          </w:tcPr>
          <w:p>
            <w:pPr>
              <w:pStyle w:val="6"/>
              <w:spacing w:before="77" w:line="233" w:lineRule="auto"/>
              <w:ind w:left="120" w:right="78" w:firstLine="12"/>
              <w:jc w:val="both"/>
            </w:pPr>
            <w:r>
              <w:rPr>
                <w:rFonts w:ascii="Times New Roman" w:hAnsi="Times New Roman" w:eastAsia="Times New Roman" w:cs="Times New Roman"/>
                <w:spacing w:val="-6"/>
              </w:rPr>
              <w:t>350m</w:t>
            </w:r>
            <w:r>
              <w:rPr>
                <w:rFonts w:ascii="Times New Roman" w:hAnsi="Times New Roman" w:eastAsia="Times New Roman" w:cs="Times New Roman"/>
                <w:spacing w:val="23"/>
              </w:rPr>
              <w:t xml:space="preserve"> </w:t>
            </w:r>
            <w:r>
              <w:rPr>
                <w:spacing w:val="-6"/>
              </w:rPr>
              <w:t>隔</w:t>
            </w:r>
            <w:r>
              <w:t xml:space="preserve"> </w:t>
            </w:r>
            <w:r>
              <w:rPr>
                <w:spacing w:val="-15"/>
              </w:rPr>
              <w:t>声屏障，</w:t>
            </w:r>
            <w:r>
              <w:rPr>
                <w:spacing w:val="1"/>
              </w:rPr>
              <w:t xml:space="preserve"> </w:t>
            </w:r>
            <w:r>
              <w:rPr>
                <w:spacing w:val="21"/>
              </w:rPr>
              <w:t>每延米</w:t>
            </w:r>
          </w:p>
          <w:p>
            <w:pPr>
              <w:pStyle w:val="6"/>
              <w:spacing w:before="22" w:line="230" w:lineRule="auto"/>
              <w:ind w:left="295" w:right="143" w:hanging="128"/>
            </w:pPr>
            <w:r>
              <w:rPr>
                <w:spacing w:val="-4"/>
              </w:rPr>
              <w:t>约</w:t>
            </w:r>
            <w:r>
              <w:rPr>
                <w:spacing w:val="-46"/>
              </w:rPr>
              <w:t xml:space="preserve"> </w:t>
            </w:r>
            <w:r>
              <w:rPr>
                <w:rFonts w:ascii="Times New Roman" w:hAnsi="Times New Roman" w:eastAsia="Times New Roman" w:cs="Times New Roman"/>
                <w:spacing w:val="-4"/>
              </w:rPr>
              <w:t>4500</w:t>
            </w:r>
            <w:r>
              <w:rPr>
                <w:rFonts w:ascii="Times New Roman" w:hAnsi="Times New Roman" w:eastAsia="Times New Roman" w:cs="Times New Roman"/>
              </w:rPr>
              <w:t xml:space="preserve"> </w:t>
            </w:r>
            <w:r>
              <w:rPr>
                <w:spacing w:val="-15"/>
              </w:rPr>
              <w:t>元；</w:t>
            </w:r>
          </w:p>
          <w:p>
            <w:pPr>
              <w:pStyle w:val="6"/>
              <w:spacing w:before="23" w:line="232" w:lineRule="auto"/>
              <w:ind w:left="116" w:right="97"/>
              <w:jc w:val="both"/>
              <w:rPr>
                <w:rFonts w:ascii="Times New Roman" w:hAnsi="Times New Roman" w:eastAsia="Times New Roman" w:cs="Times New Roman"/>
              </w:rPr>
            </w:pPr>
            <w:r>
              <w:rPr>
                <w:rFonts w:ascii="Times New Roman" w:hAnsi="Times New Roman" w:eastAsia="Times New Roman" w:cs="Times New Roman"/>
                <w:spacing w:val="-4"/>
              </w:rPr>
              <w:t>3</w:t>
            </w:r>
            <w:r>
              <w:rPr>
                <w:rFonts w:ascii="Times New Roman" w:hAnsi="Times New Roman" w:eastAsia="Times New Roman" w:cs="Times New Roman"/>
                <w:spacing w:val="-6"/>
              </w:rPr>
              <w:t xml:space="preserve"> </w:t>
            </w:r>
            <w:r>
              <w:rPr>
                <w:spacing w:val="-4"/>
              </w:rPr>
              <w:t>户隔声</w:t>
            </w:r>
            <w:r>
              <w:t xml:space="preserve"> </w:t>
            </w:r>
            <w:r>
              <w:rPr>
                <w:spacing w:val="-19"/>
              </w:rPr>
              <w:t>窗，预计</w:t>
            </w:r>
            <w:r>
              <w:rPr>
                <w:spacing w:val="1"/>
              </w:rPr>
              <w:t xml:space="preserve"> </w:t>
            </w:r>
            <w:r>
              <w:rPr>
                <w:spacing w:val="7"/>
              </w:rPr>
              <w:t>每户约</w:t>
            </w:r>
            <w:r>
              <w:rPr>
                <w:rFonts w:ascii="Times New Roman" w:hAnsi="Times New Roman" w:eastAsia="Times New Roman" w:cs="Times New Roman"/>
                <w:spacing w:val="7"/>
              </w:rPr>
              <w:t>2</w:t>
            </w:r>
          </w:p>
        </w:tc>
        <w:tc>
          <w:tcPr>
            <w:tcW w:w="597" w:type="dxa"/>
            <w:vAlign w:val="top"/>
          </w:tcPr>
          <w:p>
            <w:pPr>
              <w:spacing w:before="93" w:line="187"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62.2</w:t>
            </w:r>
          </w:p>
        </w:tc>
        <w:tc>
          <w:tcPr>
            <w:tcW w:w="597" w:type="dxa"/>
            <w:vAlign w:val="top"/>
          </w:tcPr>
          <w:p>
            <w:pPr>
              <w:spacing w:before="93" w:line="187" w:lineRule="auto"/>
              <w:ind w:left="1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62.3</w:t>
            </w:r>
          </w:p>
        </w:tc>
        <w:tc>
          <w:tcPr>
            <w:tcW w:w="662" w:type="dxa"/>
            <w:vAlign w:val="top"/>
          </w:tcPr>
          <w:p>
            <w:pPr>
              <w:spacing w:before="93"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828" w:type="dxa"/>
            <w:vAlign w:val="top"/>
          </w:tcPr>
          <w:p>
            <w:pPr>
              <w:spacing w:before="90" w:line="21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restart"/>
            <w:tcBorders>
              <w:bottom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0" w:line="189" w:lineRule="auto"/>
              <w:ind w:left="208"/>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163.5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9"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6"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818" w:type="dxa"/>
            <w:vAlign w:val="top"/>
          </w:tcPr>
          <w:p>
            <w:pPr>
              <w:spacing w:before="96"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773" w:type="dxa"/>
            <w:vAlign w:val="top"/>
          </w:tcPr>
          <w:p>
            <w:pPr>
              <w:spacing w:before="96"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c>
          <w:tcPr>
            <w:tcW w:w="900" w:type="dxa"/>
            <w:vAlign w:val="top"/>
          </w:tcPr>
          <w:p>
            <w:pPr>
              <w:spacing w:before="96"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1039" w:type="dxa"/>
            <w:tcBorders>
              <w:right w:val="single" w:color="000000" w:sz="4" w:space="0"/>
            </w:tcBorders>
            <w:vAlign w:val="top"/>
          </w:tcPr>
          <w:p>
            <w:pPr>
              <w:spacing w:before="96"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713" w:type="dxa"/>
            <w:tcBorders>
              <w:left w:val="single" w:color="000000" w:sz="4" w:space="0"/>
            </w:tcBorders>
            <w:vAlign w:val="top"/>
          </w:tcPr>
          <w:p>
            <w:pPr>
              <w:spacing w:before="96"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6"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54.8</w:t>
            </w:r>
          </w:p>
        </w:tc>
        <w:tc>
          <w:tcPr>
            <w:tcW w:w="597" w:type="dxa"/>
            <w:vAlign w:val="top"/>
          </w:tcPr>
          <w:p>
            <w:pPr>
              <w:spacing w:before="96" w:line="187" w:lineRule="auto"/>
              <w:ind w:left="1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54.9</w:t>
            </w:r>
          </w:p>
        </w:tc>
        <w:tc>
          <w:tcPr>
            <w:tcW w:w="662" w:type="dxa"/>
            <w:vAlign w:val="top"/>
          </w:tcPr>
          <w:p>
            <w:pPr>
              <w:spacing w:before="96"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w:t>
            </w:r>
          </w:p>
        </w:tc>
        <w:tc>
          <w:tcPr>
            <w:tcW w:w="828" w:type="dxa"/>
            <w:vAlign w:val="top"/>
          </w:tcPr>
          <w:p>
            <w:pPr>
              <w:spacing w:before="92" w:line="21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123" w:line="184" w:lineRule="auto"/>
              <w:ind w:left="497"/>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p>
            <w:pPr>
              <w:pStyle w:val="6"/>
              <w:spacing w:before="29" w:line="233" w:lineRule="auto"/>
              <w:ind w:left="230"/>
            </w:pPr>
            <w:r>
              <w:rPr>
                <w:spacing w:val="-3"/>
              </w:rPr>
              <w:t>（</w:t>
            </w:r>
            <w:r>
              <w:rPr>
                <w:rFonts w:ascii="Times New Roman" w:hAnsi="Times New Roman" w:eastAsia="Times New Roman" w:cs="Times New Roman"/>
                <w:spacing w:val="-3"/>
              </w:rPr>
              <w:t>L2</w:t>
            </w:r>
            <w:r>
              <w:rPr>
                <w:spacing w:val="-3"/>
              </w:rPr>
              <w:t>）</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5" w:line="223" w:lineRule="auto"/>
              <w:ind w:left="269"/>
            </w:pPr>
            <w:r>
              <w:rPr>
                <w:spacing w:val="-2"/>
              </w:rPr>
              <w:t>昼间</w:t>
            </w:r>
          </w:p>
        </w:tc>
        <w:tc>
          <w:tcPr>
            <w:tcW w:w="704" w:type="dxa"/>
            <w:vAlign w:val="top"/>
          </w:tcPr>
          <w:p>
            <w:pPr>
              <w:spacing w:before="94"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7"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4"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818" w:type="dxa"/>
            <w:vAlign w:val="top"/>
          </w:tcPr>
          <w:p>
            <w:pPr>
              <w:spacing w:before="94"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773" w:type="dxa"/>
            <w:vAlign w:val="top"/>
          </w:tcPr>
          <w:p>
            <w:pPr>
              <w:spacing w:before="94"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68.6</w:t>
            </w:r>
          </w:p>
        </w:tc>
        <w:tc>
          <w:tcPr>
            <w:tcW w:w="900" w:type="dxa"/>
            <w:vAlign w:val="top"/>
          </w:tcPr>
          <w:p>
            <w:pPr>
              <w:spacing w:before="9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68.6</w:t>
            </w:r>
          </w:p>
        </w:tc>
        <w:tc>
          <w:tcPr>
            <w:tcW w:w="1039" w:type="dxa"/>
            <w:tcBorders>
              <w:right w:val="single" w:color="000000" w:sz="4" w:space="0"/>
            </w:tcBorders>
            <w:vAlign w:val="top"/>
          </w:tcPr>
          <w:p>
            <w:pPr>
              <w:spacing w:before="94"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w:t>
            </w:r>
          </w:p>
        </w:tc>
        <w:tc>
          <w:tcPr>
            <w:tcW w:w="713" w:type="dxa"/>
            <w:tcBorders>
              <w:left w:val="single" w:color="000000" w:sz="4" w:space="0"/>
            </w:tcBorders>
            <w:vAlign w:val="top"/>
          </w:tcPr>
          <w:p>
            <w:pPr>
              <w:spacing w:before="90" w:line="21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4" w:line="187"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68.4</w:t>
            </w:r>
          </w:p>
        </w:tc>
        <w:tc>
          <w:tcPr>
            <w:tcW w:w="597" w:type="dxa"/>
            <w:vAlign w:val="top"/>
          </w:tcPr>
          <w:p>
            <w:pPr>
              <w:spacing w:before="94" w:line="187" w:lineRule="auto"/>
              <w:ind w:left="1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68.4</w:t>
            </w:r>
          </w:p>
        </w:tc>
        <w:tc>
          <w:tcPr>
            <w:tcW w:w="662" w:type="dxa"/>
            <w:vAlign w:val="top"/>
          </w:tcPr>
          <w:p>
            <w:pPr>
              <w:spacing w:before="94"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w:t>
            </w:r>
          </w:p>
        </w:tc>
        <w:tc>
          <w:tcPr>
            <w:tcW w:w="828" w:type="dxa"/>
            <w:vAlign w:val="top"/>
          </w:tcPr>
          <w:p>
            <w:pPr>
              <w:spacing w:before="90" w:line="21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5" w:line="221" w:lineRule="auto"/>
              <w:ind w:left="273"/>
            </w:pPr>
            <w:r>
              <w:rPr>
                <w:spacing w:val="-3"/>
              </w:rPr>
              <w:t>夜间</w:t>
            </w:r>
          </w:p>
        </w:tc>
        <w:tc>
          <w:tcPr>
            <w:tcW w:w="704" w:type="dxa"/>
            <w:vAlign w:val="top"/>
          </w:tcPr>
          <w:p>
            <w:pPr>
              <w:spacing w:before="97"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4"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39.1</w:t>
            </w:r>
          </w:p>
        </w:tc>
        <w:tc>
          <w:tcPr>
            <w:tcW w:w="818" w:type="dxa"/>
            <w:vAlign w:val="top"/>
          </w:tcPr>
          <w:p>
            <w:pPr>
              <w:spacing w:before="94"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773" w:type="dxa"/>
            <w:vAlign w:val="top"/>
          </w:tcPr>
          <w:p>
            <w:pPr>
              <w:spacing w:before="94"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60.9</w:t>
            </w:r>
          </w:p>
        </w:tc>
        <w:tc>
          <w:tcPr>
            <w:tcW w:w="900" w:type="dxa"/>
            <w:vAlign w:val="top"/>
          </w:tcPr>
          <w:p>
            <w:pPr>
              <w:spacing w:before="9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60.9</w:t>
            </w:r>
          </w:p>
        </w:tc>
        <w:tc>
          <w:tcPr>
            <w:tcW w:w="1039" w:type="dxa"/>
            <w:tcBorders>
              <w:right w:val="single" w:color="000000" w:sz="4" w:space="0"/>
            </w:tcBorders>
            <w:vAlign w:val="top"/>
          </w:tcPr>
          <w:p>
            <w:pPr>
              <w:spacing w:before="97" w:line="184"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+7.7</w:t>
            </w:r>
          </w:p>
        </w:tc>
        <w:tc>
          <w:tcPr>
            <w:tcW w:w="713" w:type="dxa"/>
            <w:tcBorders>
              <w:left w:val="single" w:color="000000" w:sz="4" w:space="0"/>
            </w:tcBorders>
            <w:vAlign w:val="top"/>
          </w:tcPr>
          <w:p>
            <w:pPr>
              <w:spacing w:before="94"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+5.9</w:t>
            </w:r>
          </w:p>
        </w:tc>
        <w:tc>
          <w:tcPr>
            <w:tcW w:w="701" w:type="dxa"/>
            <w:vMerge w:val="continue"/>
            <w:tcBorders>
              <w:top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4" w:line="187"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60.4</w:t>
            </w:r>
          </w:p>
        </w:tc>
        <w:tc>
          <w:tcPr>
            <w:tcW w:w="597" w:type="dxa"/>
            <w:vAlign w:val="top"/>
          </w:tcPr>
          <w:p>
            <w:pPr>
              <w:spacing w:before="94" w:line="187" w:lineRule="auto"/>
              <w:ind w:left="1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60.4</w:t>
            </w:r>
          </w:p>
        </w:tc>
        <w:tc>
          <w:tcPr>
            <w:tcW w:w="662" w:type="dxa"/>
            <w:vAlign w:val="top"/>
          </w:tcPr>
          <w:p>
            <w:pPr>
              <w:spacing w:before="94"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828" w:type="dxa"/>
            <w:vAlign w:val="top"/>
          </w:tcPr>
          <w:p>
            <w:pPr>
              <w:spacing w:before="90"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restart"/>
            <w:tcBorders>
              <w:bottom w:val="nil"/>
            </w:tcBorders>
            <w:vAlign w:val="top"/>
          </w:tcPr>
          <w:p>
            <w:pPr>
              <w:spacing w:line="309" w:lineRule="auto"/>
              <w:rPr>
                <w:rFonts w:ascii="Arial"/>
                <w:sz w:val="21"/>
              </w:rPr>
            </w:pPr>
          </w:p>
          <w:p>
            <w:pPr>
              <w:pStyle w:val="6"/>
              <w:spacing w:before="68" w:line="233" w:lineRule="auto"/>
              <w:ind w:left="131"/>
            </w:pPr>
            <w:r>
              <w:rPr>
                <w:rFonts w:ascii="Times New Roman" w:hAnsi="Times New Roman" w:eastAsia="Times New Roman" w:cs="Times New Roman"/>
                <w:spacing w:val="-2"/>
              </w:rPr>
              <w:t>64</w:t>
            </w:r>
            <w:r>
              <w:rPr>
                <w:spacing w:val="-2"/>
              </w:rPr>
              <w:t>（</w:t>
            </w:r>
            <w:r>
              <w:rPr>
                <w:rFonts w:ascii="Times New Roman" w:hAnsi="Times New Roman" w:eastAsia="Times New Roman" w:cs="Times New Roman"/>
                <w:spacing w:val="-2"/>
              </w:rPr>
              <w:t>L2</w:t>
            </w:r>
            <w:r>
              <w:rPr>
                <w:spacing w:val="-2"/>
              </w:rPr>
              <w:t>）</w:t>
            </w:r>
          </w:p>
        </w:tc>
        <w:tc>
          <w:tcPr>
            <w:tcW w:w="1085" w:type="dxa"/>
            <w:vMerge w:val="restart"/>
            <w:tcBorders>
              <w:bottom w:val="nil"/>
            </w:tcBorders>
            <w:vAlign w:val="top"/>
          </w:tcPr>
          <w:p>
            <w:pPr>
              <w:pStyle w:val="6"/>
              <w:spacing w:before="216" w:line="233" w:lineRule="auto"/>
              <w:jc w:val="right"/>
            </w:pPr>
            <w:r>
              <w:rPr>
                <w:rFonts w:ascii="Times New Roman" w:hAnsi="Times New Roman" w:eastAsia="Times New Roman" w:cs="Times New Roman"/>
                <w:spacing w:val="-11"/>
              </w:rPr>
              <w:t>10.5</w:t>
            </w:r>
            <w:r>
              <w:rPr>
                <w:spacing w:val="-11"/>
              </w:rPr>
              <w:t>（</w:t>
            </w:r>
            <w:r>
              <w:rPr>
                <w:rFonts w:ascii="Times New Roman" w:hAnsi="Times New Roman" w:eastAsia="Times New Roman" w:cs="Times New Roman"/>
                <w:spacing w:val="-11"/>
              </w:rPr>
              <w:t>L2</w:t>
            </w:r>
            <w:r>
              <w:rPr>
                <w:spacing w:val="-11"/>
              </w:rPr>
              <w:t>）</w:t>
            </w:r>
          </w:p>
        </w:tc>
        <w:tc>
          <w:tcPr>
            <w:tcW w:w="866" w:type="dxa"/>
            <w:vMerge w:val="restart"/>
            <w:tcBorders>
              <w:bottom w:val="nil"/>
            </w:tcBorders>
            <w:vAlign w:val="top"/>
          </w:tcPr>
          <w:p>
            <w:pPr>
              <w:spacing w:line="309" w:lineRule="auto"/>
              <w:rPr>
                <w:rFonts w:ascii="Arial"/>
                <w:sz w:val="21"/>
              </w:rPr>
            </w:pPr>
          </w:p>
          <w:p>
            <w:pPr>
              <w:pStyle w:val="6"/>
              <w:spacing w:before="68" w:line="221" w:lineRule="auto"/>
              <w:ind w:left="254"/>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6" w:line="222" w:lineRule="auto"/>
              <w:ind w:left="269"/>
            </w:pPr>
            <w:r>
              <w:rPr>
                <w:spacing w:val="-2"/>
              </w:rPr>
              <w:t>昼间</w:t>
            </w:r>
          </w:p>
        </w:tc>
        <w:tc>
          <w:tcPr>
            <w:tcW w:w="704" w:type="dxa"/>
            <w:vAlign w:val="top"/>
          </w:tcPr>
          <w:p>
            <w:pPr>
              <w:spacing w:before="94"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4"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818" w:type="dxa"/>
            <w:vAlign w:val="top"/>
          </w:tcPr>
          <w:p>
            <w:pPr>
              <w:spacing w:before="94"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773" w:type="dxa"/>
            <w:vAlign w:val="top"/>
          </w:tcPr>
          <w:p>
            <w:pPr>
              <w:spacing w:before="94"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54.9</w:t>
            </w:r>
          </w:p>
        </w:tc>
        <w:tc>
          <w:tcPr>
            <w:tcW w:w="900" w:type="dxa"/>
            <w:vAlign w:val="top"/>
          </w:tcPr>
          <w:p>
            <w:pPr>
              <w:spacing w:before="94"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55.4</w:t>
            </w:r>
          </w:p>
        </w:tc>
        <w:tc>
          <w:tcPr>
            <w:tcW w:w="1039" w:type="dxa"/>
            <w:tcBorders>
              <w:right w:val="single" w:color="000000" w:sz="4" w:space="0"/>
            </w:tcBorders>
            <w:vAlign w:val="top"/>
          </w:tcPr>
          <w:p>
            <w:pPr>
              <w:spacing w:before="94"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+9.3</w:t>
            </w:r>
          </w:p>
        </w:tc>
        <w:tc>
          <w:tcPr>
            <w:tcW w:w="713" w:type="dxa"/>
            <w:tcBorders>
              <w:left w:val="single" w:color="000000" w:sz="4" w:space="0"/>
            </w:tcBorders>
            <w:vAlign w:val="top"/>
          </w:tcPr>
          <w:p>
            <w:pPr>
              <w:spacing w:before="90" w:line="21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352" w:lineRule="auto"/>
              <w:rPr>
                <w:rFonts w:ascii="Arial"/>
                <w:sz w:val="21"/>
              </w:rPr>
            </w:pPr>
          </w:p>
          <w:p>
            <w:pPr>
              <w:spacing w:before="60" w:line="23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4"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54.9</w:t>
            </w:r>
          </w:p>
        </w:tc>
        <w:tc>
          <w:tcPr>
            <w:tcW w:w="597" w:type="dxa"/>
            <w:vAlign w:val="top"/>
          </w:tcPr>
          <w:p>
            <w:pPr>
              <w:spacing w:before="94" w:line="187" w:lineRule="auto"/>
              <w:ind w:left="1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55.4</w:t>
            </w:r>
          </w:p>
        </w:tc>
        <w:tc>
          <w:tcPr>
            <w:tcW w:w="662" w:type="dxa"/>
            <w:vAlign w:val="top"/>
          </w:tcPr>
          <w:p>
            <w:pPr>
              <w:spacing w:before="92" w:line="189" w:lineRule="auto"/>
              <w:ind w:left="28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28" w:type="dxa"/>
            <w:vAlign w:val="top"/>
          </w:tcPr>
          <w:p>
            <w:pPr>
              <w:spacing w:before="90" w:line="21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5" w:line="221" w:lineRule="auto"/>
              <w:ind w:left="273"/>
            </w:pPr>
            <w:r>
              <w:rPr>
                <w:spacing w:val="-3"/>
              </w:rPr>
              <w:t>夜间</w:t>
            </w:r>
          </w:p>
        </w:tc>
        <w:tc>
          <w:tcPr>
            <w:tcW w:w="704" w:type="dxa"/>
            <w:vAlign w:val="top"/>
          </w:tcPr>
          <w:p>
            <w:pPr>
              <w:spacing w:before="94"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4"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818" w:type="dxa"/>
            <w:vAlign w:val="top"/>
          </w:tcPr>
          <w:p>
            <w:pPr>
              <w:spacing w:before="94"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773" w:type="dxa"/>
            <w:vAlign w:val="top"/>
          </w:tcPr>
          <w:p>
            <w:pPr>
              <w:spacing w:before="94"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43.9</w:t>
            </w:r>
          </w:p>
        </w:tc>
        <w:tc>
          <w:tcPr>
            <w:tcW w:w="900" w:type="dxa"/>
            <w:vAlign w:val="top"/>
          </w:tcPr>
          <w:p>
            <w:pPr>
              <w:spacing w:before="94"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44.5</w:t>
            </w:r>
          </w:p>
        </w:tc>
        <w:tc>
          <w:tcPr>
            <w:tcW w:w="1039" w:type="dxa"/>
            <w:tcBorders>
              <w:right w:val="single" w:color="000000" w:sz="4" w:space="0"/>
            </w:tcBorders>
            <w:vAlign w:val="top"/>
          </w:tcPr>
          <w:p>
            <w:pPr>
              <w:spacing w:before="94"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+8.6</w:t>
            </w:r>
          </w:p>
        </w:tc>
        <w:tc>
          <w:tcPr>
            <w:tcW w:w="713" w:type="dxa"/>
            <w:tcBorders>
              <w:left w:val="single" w:color="000000" w:sz="4" w:space="0"/>
            </w:tcBorders>
            <w:vAlign w:val="top"/>
          </w:tcPr>
          <w:p>
            <w:pPr>
              <w:spacing w:before="90"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4" w:line="187" w:lineRule="auto"/>
              <w:ind w:left="1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43.9</w:t>
            </w:r>
          </w:p>
        </w:tc>
        <w:tc>
          <w:tcPr>
            <w:tcW w:w="597" w:type="dxa"/>
            <w:vAlign w:val="top"/>
          </w:tcPr>
          <w:p>
            <w:pPr>
              <w:spacing w:before="94" w:line="187" w:lineRule="auto"/>
              <w:ind w:left="1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44.5</w:t>
            </w:r>
          </w:p>
        </w:tc>
        <w:tc>
          <w:tcPr>
            <w:tcW w:w="662" w:type="dxa"/>
            <w:vAlign w:val="top"/>
          </w:tcPr>
          <w:p>
            <w:pPr>
              <w:spacing w:before="92" w:line="189" w:lineRule="auto"/>
              <w:ind w:left="28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28" w:type="dxa"/>
            <w:vAlign w:val="top"/>
          </w:tcPr>
          <w:p>
            <w:pPr>
              <w:spacing w:before="90"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Align w:val="top"/>
          </w:tcPr>
          <w:p>
            <w:pPr>
              <w:pStyle w:val="6"/>
              <w:spacing w:before="56" w:line="226" w:lineRule="auto"/>
              <w:jc w:val="right"/>
            </w:pPr>
            <w:r>
              <w:rPr>
                <w:rFonts w:ascii="Times New Roman" w:hAnsi="Times New Roman" w:eastAsia="Times New Roman" w:cs="Times New Roman"/>
                <w:spacing w:val="-11"/>
              </w:rPr>
              <w:t>14.0</w:t>
            </w:r>
            <w:r>
              <w:rPr>
                <w:spacing w:val="-11"/>
              </w:rPr>
              <w:t>（</w:t>
            </w:r>
            <w:r>
              <w:rPr>
                <w:rFonts w:ascii="Times New Roman" w:hAnsi="Times New Roman" w:eastAsia="Times New Roman" w:cs="Times New Roman"/>
                <w:spacing w:val="-11"/>
              </w:rPr>
              <w:t>L2</w:t>
            </w:r>
            <w:r>
              <w:rPr>
                <w:spacing w:val="-11"/>
              </w:rPr>
              <w:t>）</w:t>
            </w:r>
          </w:p>
        </w:tc>
        <w:tc>
          <w:tcPr>
            <w:tcW w:w="866" w:type="dxa"/>
            <w:vMerge w:val="continue"/>
            <w:tcBorders>
              <w:top w:val="nil"/>
            </w:tcBorders>
            <w:vAlign w:val="top"/>
          </w:tcPr>
          <w:p>
            <w:pPr>
              <w:rPr>
                <w:rFonts w:ascii="Arial"/>
                <w:sz w:val="21"/>
              </w:rPr>
            </w:pPr>
          </w:p>
        </w:tc>
        <w:tc>
          <w:tcPr>
            <w:tcW w:w="945" w:type="dxa"/>
            <w:vAlign w:val="top"/>
          </w:tcPr>
          <w:p>
            <w:pPr>
              <w:pStyle w:val="6"/>
              <w:spacing w:before="57" w:line="223" w:lineRule="auto"/>
              <w:ind w:left="269"/>
            </w:pPr>
            <w:r>
              <w:rPr>
                <w:spacing w:val="-2"/>
              </w:rPr>
              <w:t>昼间</w:t>
            </w:r>
          </w:p>
        </w:tc>
        <w:tc>
          <w:tcPr>
            <w:tcW w:w="704" w:type="dxa"/>
            <w:vAlign w:val="top"/>
          </w:tcPr>
          <w:p>
            <w:pPr>
              <w:spacing w:before="95"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Align w:val="top"/>
          </w:tcPr>
          <w:p>
            <w:pPr>
              <w:spacing w:before="9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5"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818" w:type="dxa"/>
            <w:vAlign w:val="top"/>
          </w:tcPr>
          <w:p>
            <w:pPr>
              <w:spacing w:before="95"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773" w:type="dxa"/>
            <w:vAlign w:val="top"/>
          </w:tcPr>
          <w:p>
            <w:pPr>
              <w:spacing w:before="95"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58.7</w:t>
            </w:r>
          </w:p>
        </w:tc>
        <w:tc>
          <w:tcPr>
            <w:tcW w:w="900" w:type="dxa"/>
            <w:vAlign w:val="top"/>
          </w:tcPr>
          <w:p>
            <w:pPr>
              <w:spacing w:before="95"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1039" w:type="dxa"/>
            <w:tcBorders>
              <w:right w:val="single" w:color="000000" w:sz="4" w:space="0"/>
            </w:tcBorders>
            <w:vAlign w:val="top"/>
          </w:tcPr>
          <w:p>
            <w:pPr>
              <w:spacing w:before="95"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+11.2</w:t>
            </w:r>
          </w:p>
        </w:tc>
        <w:tc>
          <w:tcPr>
            <w:tcW w:w="713" w:type="dxa"/>
            <w:tcBorders>
              <w:left w:val="single" w:color="000000" w:sz="4" w:space="0"/>
            </w:tcBorders>
            <w:vAlign w:val="top"/>
          </w:tcPr>
          <w:p>
            <w:pPr>
              <w:spacing w:before="91" w:line="221"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95"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58.7</w:t>
            </w:r>
          </w:p>
        </w:tc>
        <w:tc>
          <w:tcPr>
            <w:tcW w:w="597" w:type="dxa"/>
            <w:vAlign w:val="top"/>
          </w:tcPr>
          <w:p>
            <w:pPr>
              <w:spacing w:before="95" w:line="187" w:lineRule="auto"/>
              <w:ind w:left="1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662" w:type="dxa"/>
            <w:vAlign w:val="top"/>
          </w:tcPr>
          <w:p>
            <w:pPr>
              <w:spacing w:before="93" w:line="189" w:lineRule="auto"/>
              <w:ind w:left="28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28" w:type="dxa"/>
            <w:vAlign w:val="top"/>
          </w:tcPr>
          <w:p>
            <w:pPr>
              <w:spacing w:before="92"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tcBorders>
            <w:vAlign w:val="top"/>
          </w:tcPr>
          <w:p>
            <w:pPr>
              <w:rPr>
                <w:rFonts w:ascii="Arial"/>
                <w:sz w:val="21"/>
              </w:rPr>
            </w:pPr>
          </w:p>
        </w:tc>
      </w:tr>
    </w:tbl>
    <w:p>
      <w:pPr>
        <w:pStyle w:val="2"/>
      </w:pPr>
    </w:p>
    <w:p>
      <w:pPr>
        <w:sectPr>
          <w:headerReference r:id="rId330" w:type="default"/>
          <w:footerReference r:id="rId331" w:type="default"/>
          <w:pgSz w:w="23811" w:h="16839"/>
          <w:pgMar w:top="1118" w:right="1082" w:bottom="1009" w:left="1020" w:header="879" w:footer="845" w:gutter="0"/>
          <w:cols w:space="720" w:num="1"/>
        </w:sectPr>
      </w:pPr>
    </w:p>
    <w:p>
      <w:pPr>
        <w:spacing w:before="56"/>
      </w:pPr>
    </w:p>
    <w:tbl>
      <w:tblPr>
        <w:tblStyle w:val="5"/>
        <w:tblW w:w="217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181"/>
        <w:gridCol w:w="1106"/>
        <w:gridCol w:w="1085"/>
        <w:gridCol w:w="866"/>
        <w:gridCol w:w="945"/>
        <w:gridCol w:w="704"/>
        <w:gridCol w:w="600"/>
        <w:gridCol w:w="753"/>
        <w:gridCol w:w="818"/>
        <w:gridCol w:w="773"/>
        <w:gridCol w:w="900"/>
        <w:gridCol w:w="1039"/>
        <w:gridCol w:w="713"/>
        <w:gridCol w:w="701"/>
        <w:gridCol w:w="4351"/>
        <w:gridCol w:w="986"/>
        <w:gridCol w:w="597"/>
        <w:gridCol w:w="597"/>
        <w:gridCol w:w="662"/>
        <w:gridCol w:w="828"/>
        <w:gridCol w:w="8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41" w:type="dxa"/>
            <w:vMerge w:val="restart"/>
            <w:tcBorders>
              <w:bottom w:val="nil"/>
            </w:tcBorders>
            <w:vAlign w:val="top"/>
          </w:tcPr>
          <w:p>
            <w:pPr>
              <w:spacing w:line="276" w:lineRule="auto"/>
              <w:rPr>
                <w:rFonts w:ascii="Arial"/>
                <w:sz w:val="21"/>
              </w:rPr>
            </w:pPr>
          </w:p>
          <w:p>
            <w:pPr>
              <w:spacing w:line="277" w:lineRule="auto"/>
              <w:rPr>
                <w:rFonts w:ascii="Arial"/>
                <w:sz w:val="21"/>
              </w:rPr>
            </w:pPr>
          </w:p>
          <w:p>
            <w:pPr>
              <w:pStyle w:val="6"/>
              <w:spacing w:before="68" w:line="222" w:lineRule="auto"/>
              <w:ind w:left="117"/>
            </w:pPr>
            <w:r>
              <w:rPr>
                <w:spacing w:val="-2"/>
              </w:rPr>
              <w:t>序号</w:t>
            </w:r>
          </w:p>
        </w:tc>
        <w:tc>
          <w:tcPr>
            <w:tcW w:w="1181" w:type="dxa"/>
            <w:vMerge w:val="restart"/>
            <w:tcBorders>
              <w:bottom w:val="nil"/>
            </w:tcBorders>
            <w:vAlign w:val="top"/>
          </w:tcPr>
          <w:p>
            <w:pPr>
              <w:spacing w:line="281" w:lineRule="auto"/>
              <w:rPr>
                <w:rFonts w:ascii="Arial"/>
                <w:sz w:val="21"/>
              </w:rPr>
            </w:pPr>
          </w:p>
          <w:p>
            <w:pPr>
              <w:pStyle w:val="6"/>
              <w:spacing w:before="69" w:line="221" w:lineRule="auto"/>
              <w:ind w:left="182"/>
            </w:pPr>
            <w:r>
              <w:rPr>
                <w:spacing w:val="-3"/>
              </w:rPr>
              <w:t>声环境保</w:t>
            </w:r>
          </w:p>
          <w:p>
            <w:pPr>
              <w:pStyle w:val="6"/>
              <w:spacing w:before="22" w:line="221" w:lineRule="auto"/>
              <w:ind w:left="179"/>
            </w:pPr>
            <w:r>
              <w:rPr>
                <w:spacing w:val="-2"/>
              </w:rPr>
              <w:t>护目标名</w:t>
            </w:r>
          </w:p>
          <w:p>
            <w:pPr>
              <w:pStyle w:val="6"/>
              <w:spacing w:before="19" w:line="223" w:lineRule="auto"/>
              <w:ind w:left="491"/>
            </w:pPr>
            <w:r>
              <w:t>称</w:t>
            </w:r>
          </w:p>
        </w:tc>
        <w:tc>
          <w:tcPr>
            <w:tcW w:w="1106" w:type="dxa"/>
            <w:vMerge w:val="restart"/>
            <w:tcBorders>
              <w:bottom w:val="nil"/>
            </w:tcBorders>
            <w:vAlign w:val="top"/>
          </w:tcPr>
          <w:p>
            <w:pPr>
              <w:spacing w:line="416" w:lineRule="auto"/>
              <w:rPr>
                <w:rFonts w:ascii="Arial"/>
                <w:sz w:val="21"/>
              </w:rPr>
            </w:pPr>
          </w:p>
          <w:p>
            <w:pPr>
              <w:pStyle w:val="6"/>
              <w:spacing w:before="68" w:line="231" w:lineRule="auto"/>
              <w:ind w:left="149" w:right="124" w:hanging="3"/>
            </w:pPr>
            <w:r>
              <w:rPr>
                <w:spacing w:val="-3"/>
              </w:rPr>
              <w:t>与道路中</w:t>
            </w:r>
            <w:r>
              <w:rPr>
                <w:spacing w:val="1"/>
              </w:rPr>
              <w:t xml:space="preserve"> </w:t>
            </w:r>
            <w:r>
              <w:rPr>
                <w:spacing w:val="-4"/>
              </w:rPr>
              <w:t>心线距离</w:t>
            </w:r>
          </w:p>
        </w:tc>
        <w:tc>
          <w:tcPr>
            <w:tcW w:w="1085" w:type="dxa"/>
            <w:vMerge w:val="restart"/>
            <w:tcBorders>
              <w:bottom w:val="nil"/>
            </w:tcBorders>
            <w:vAlign w:val="top"/>
          </w:tcPr>
          <w:p>
            <w:pPr>
              <w:spacing w:line="297" w:lineRule="auto"/>
              <w:rPr>
                <w:rFonts w:ascii="Arial"/>
                <w:sz w:val="21"/>
              </w:rPr>
            </w:pPr>
          </w:p>
          <w:p>
            <w:pPr>
              <w:pStyle w:val="6"/>
              <w:spacing w:before="69" w:line="221" w:lineRule="auto"/>
              <w:ind w:left="132"/>
            </w:pPr>
            <w:r>
              <w:rPr>
                <w:spacing w:val="-2"/>
              </w:rPr>
              <w:t>预测点与</w:t>
            </w:r>
          </w:p>
          <w:p>
            <w:pPr>
              <w:pStyle w:val="6"/>
              <w:spacing w:before="19" w:line="221" w:lineRule="auto"/>
              <w:ind w:left="135"/>
            </w:pPr>
            <w:r>
              <w:rPr>
                <w:spacing w:val="-3"/>
              </w:rPr>
              <w:t>声源高差</w:t>
            </w:r>
          </w:p>
          <w:p>
            <w:pPr>
              <w:spacing w:before="41" w:line="233" w:lineRule="auto"/>
              <w:ind w:left="432"/>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66" w:type="dxa"/>
            <w:vMerge w:val="restart"/>
            <w:tcBorders>
              <w:bottom w:val="nil"/>
            </w:tcBorders>
            <w:vAlign w:val="top"/>
          </w:tcPr>
          <w:p>
            <w:pPr>
              <w:spacing w:line="282" w:lineRule="auto"/>
              <w:rPr>
                <w:rFonts w:ascii="Arial"/>
                <w:sz w:val="21"/>
              </w:rPr>
            </w:pPr>
          </w:p>
          <w:p>
            <w:pPr>
              <w:pStyle w:val="6"/>
              <w:spacing w:before="68" w:line="233" w:lineRule="auto"/>
              <w:ind w:left="129" w:right="109"/>
              <w:jc w:val="both"/>
            </w:pPr>
            <w:r>
              <w:rPr>
                <w:spacing w:val="-3"/>
              </w:rPr>
              <w:t>声环境</w:t>
            </w:r>
            <w:r>
              <w:t xml:space="preserve"> </w:t>
            </w:r>
            <w:r>
              <w:rPr>
                <w:spacing w:val="-3"/>
              </w:rPr>
              <w:t>功能区</w:t>
            </w:r>
            <w:r>
              <w:t xml:space="preserve"> </w:t>
            </w:r>
            <w:r>
              <w:rPr>
                <w:spacing w:val="48"/>
              </w:rPr>
              <w:t>类别</w:t>
            </w:r>
          </w:p>
        </w:tc>
        <w:tc>
          <w:tcPr>
            <w:tcW w:w="945" w:type="dxa"/>
            <w:vMerge w:val="restart"/>
            <w:tcBorders>
              <w:bottom w:val="nil"/>
            </w:tcBorders>
            <w:vAlign w:val="top"/>
          </w:tcPr>
          <w:p>
            <w:pPr>
              <w:spacing w:line="276" w:lineRule="auto"/>
              <w:rPr>
                <w:rFonts w:ascii="Arial"/>
                <w:sz w:val="21"/>
              </w:rPr>
            </w:pPr>
          </w:p>
          <w:p>
            <w:pPr>
              <w:spacing w:line="277" w:lineRule="auto"/>
              <w:rPr>
                <w:rFonts w:ascii="Arial"/>
                <w:sz w:val="21"/>
              </w:rPr>
            </w:pPr>
          </w:p>
          <w:p>
            <w:pPr>
              <w:pStyle w:val="6"/>
              <w:spacing w:before="68" w:line="222" w:lineRule="auto"/>
              <w:ind w:left="280"/>
            </w:pPr>
            <w:r>
              <w:rPr>
                <w:spacing w:val="-4"/>
              </w:rPr>
              <w:t>时段</w:t>
            </w:r>
          </w:p>
        </w:tc>
        <w:tc>
          <w:tcPr>
            <w:tcW w:w="704" w:type="dxa"/>
            <w:vMerge w:val="restart"/>
            <w:tcBorders>
              <w:bottom w:val="nil"/>
            </w:tcBorders>
            <w:vAlign w:val="top"/>
          </w:tcPr>
          <w:p>
            <w:pPr>
              <w:spacing w:line="416" w:lineRule="auto"/>
              <w:rPr>
                <w:rFonts w:ascii="Arial"/>
                <w:sz w:val="21"/>
              </w:rPr>
            </w:pPr>
          </w:p>
          <w:p>
            <w:pPr>
              <w:pStyle w:val="6"/>
              <w:spacing w:before="68" w:line="231" w:lineRule="auto"/>
              <w:ind w:left="255" w:right="134" w:hanging="104"/>
            </w:pPr>
            <w:r>
              <w:rPr>
                <w:spacing w:val="-4"/>
              </w:rPr>
              <w:t>标准</w:t>
            </w:r>
            <w:r>
              <w:t xml:space="preserve"> 值</w:t>
            </w:r>
          </w:p>
        </w:tc>
        <w:tc>
          <w:tcPr>
            <w:tcW w:w="600" w:type="dxa"/>
            <w:vMerge w:val="restart"/>
            <w:tcBorders>
              <w:bottom w:val="nil"/>
            </w:tcBorders>
            <w:textDirection w:val="tbRlV"/>
            <w:vAlign w:val="top"/>
          </w:tcPr>
          <w:p>
            <w:pPr>
              <w:pStyle w:val="6"/>
              <w:spacing w:before="188" w:line="207" w:lineRule="auto"/>
              <w:ind w:left="488"/>
            </w:pPr>
            <w:r>
              <w:rPr>
                <w:spacing w:val="1"/>
              </w:rPr>
              <w:t>楼</w:t>
            </w:r>
            <w:r>
              <w:rPr>
                <w:spacing w:val="-43"/>
              </w:rPr>
              <w:t xml:space="preserve"> </w:t>
            </w:r>
            <w:r>
              <w:rPr>
                <w:spacing w:val="1"/>
              </w:rPr>
              <w:t>层</w:t>
            </w:r>
          </w:p>
        </w:tc>
        <w:tc>
          <w:tcPr>
            <w:tcW w:w="753" w:type="dxa"/>
            <w:vMerge w:val="restart"/>
            <w:tcBorders>
              <w:bottom w:val="nil"/>
            </w:tcBorders>
            <w:vAlign w:val="top"/>
          </w:tcPr>
          <w:p>
            <w:pPr>
              <w:spacing w:line="417" w:lineRule="auto"/>
              <w:rPr>
                <w:rFonts w:ascii="Arial"/>
                <w:sz w:val="21"/>
              </w:rPr>
            </w:pPr>
          </w:p>
          <w:p>
            <w:pPr>
              <w:pStyle w:val="6"/>
              <w:spacing w:before="68" w:line="241" w:lineRule="auto"/>
              <w:ind w:left="178"/>
            </w:pPr>
            <w:r>
              <w:rPr>
                <w:spacing w:val="-3"/>
              </w:rPr>
              <w:t>背景</w:t>
            </w:r>
          </w:p>
          <w:p>
            <w:pPr>
              <w:pStyle w:val="6"/>
              <w:spacing w:line="220" w:lineRule="auto"/>
              <w:ind w:left="280"/>
            </w:pPr>
            <w:r>
              <w:t>值</w:t>
            </w:r>
          </w:p>
        </w:tc>
        <w:tc>
          <w:tcPr>
            <w:tcW w:w="818" w:type="dxa"/>
            <w:vMerge w:val="restart"/>
            <w:tcBorders>
              <w:bottom w:val="nil"/>
            </w:tcBorders>
            <w:vAlign w:val="top"/>
          </w:tcPr>
          <w:p>
            <w:pPr>
              <w:spacing w:line="417" w:lineRule="auto"/>
              <w:rPr>
                <w:rFonts w:ascii="Arial"/>
                <w:sz w:val="21"/>
              </w:rPr>
            </w:pPr>
          </w:p>
          <w:p>
            <w:pPr>
              <w:pStyle w:val="6"/>
              <w:spacing w:before="68" w:line="241" w:lineRule="auto"/>
              <w:ind w:left="208"/>
            </w:pPr>
            <w:r>
              <w:rPr>
                <w:spacing w:val="-2"/>
              </w:rPr>
              <w:t>现状</w:t>
            </w:r>
          </w:p>
          <w:p>
            <w:pPr>
              <w:pStyle w:val="6"/>
              <w:spacing w:line="220" w:lineRule="auto"/>
              <w:ind w:left="312"/>
            </w:pPr>
            <w:r>
              <w:t>值</w:t>
            </w:r>
          </w:p>
        </w:tc>
        <w:tc>
          <w:tcPr>
            <w:tcW w:w="3425" w:type="dxa"/>
            <w:gridSpan w:val="4"/>
            <w:vAlign w:val="top"/>
          </w:tcPr>
          <w:p>
            <w:pPr>
              <w:pStyle w:val="6"/>
              <w:spacing w:before="49" w:line="221" w:lineRule="auto"/>
              <w:ind w:left="1512"/>
            </w:pPr>
            <w:r>
              <w:rPr>
                <w:spacing w:val="-2"/>
              </w:rPr>
              <w:t>远期</w:t>
            </w:r>
          </w:p>
        </w:tc>
        <w:tc>
          <w:tcPr>
            <w:tcW w:w="701" w:type="dxa"/>
            <w:vMerge w:val="restart"/>
            <w:tcBorders>
              <w:bottom w:val="nil"/>
            </w:tcBorders>
            <w:vAlign w:val="top"/>
          </w:tcPr>
          <w:p>
            <w:pPr>
              <w:spacing w:line="282" w:lineRule="auto"/>
              <w:rPr>
                <w:rFonts w:ascii="Arial"/>
                <w:sz w:val="21"/>
              </w:rPr>
            </w:pPr>
          </w:p>
          <w:p>
            <w:pPr>
              <w:pStyle w:val="6"/>
              <w:spacing w:before="68" w:line="233" w:lineRule="auto"/>
              <w:ind w:left="159" w:right="132" w:hanging="6"/>
              <w:jc w:val="both"/>
            </w:pPr>
            <w:r>
              <w:rPr>
                <w:spacing w:val="-6"/>
              </w:rPr>
              <w:t>受影</w:t>
            </w:r>
            <w:r>
              <w:t xml:space="preserve"> </w:t>
            </w:r>
            <w:r>
              <w:rPr>
                <w:spacing w:val="-9"/>
              </w:rPr>
              <w:t>响户</w:t>
            </w:r>
            <w:r>
              <w:t xml:space="preserve"> </w:t>
            </w:r>
            <w:r>
              <w:rPr>
                <w:spacing w:val="35"/>
                <w:w w:val="125"/>
              </w:rPr>
              <w:t>数</w:t>
            </w:r>
          </w:p>
        </w:tc>
        <w:tc>
          <w:tcPr>
            <w:tcW w:w="8878" w:type="dxa"/>
            <w:gridSpan w:val="7"/>
            <w:vAlign w:val="top"/>
          </w:tcPr>
          <w:p>
            <w:pPr>
              <w:pStyle w:val="6"/>
              <w:spacing w:before="49" w:line="219" w:lineRule="auto"/>
              <w:ind w:left="3511"/>
            </w:pPr>
            <w:r>
              <w:rPr>
                <w:spacing w:val="-2"/>
              </w:rPr>
              <w:t>噪声防治措施及投资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Merge w:val="continue"/>
            <w:tcBorders>
              <w:top w:val="nil"/>
            </w:tcBorders>
            <w:vAlign w:val="top"/>
          </w:tcPr>
          <w:p>
            <w:pPr>
              <w:rPr>
                <w:rFonts w:ascii="Arial"/>
                <w:sz w:val="21"/>
              </w:rPr>
            </w:pPr>
          </w:p>
        </w:tc>
        <w:tc>
          <w:tcPr>
            <w:tcW w:w="704" w:type="dxa"/>
            <w:vMerge w:val="continue"/>
            <w:tcBorders>
              <w:top w:val="nil"/>
            </w:tcBorders>
            <w:vAlign w:val="top"/>
          </w:tcPr>
          <w:p>
            <w:pPr>
              <w:rPr>
                <w:rFonts w:ascii="Arial"/>
                <w:sz w:val="21"/>
              </w:rPr>
            </w:pPr>
          </w:p>
        </w:tc>
        <w:tc>
          <w:tcPr>
            <w:tcW w:w="600" w:type="dxa"/>
            <w:vMerge w:val="continue"/>
            <w:tcBorders>
              <w:top w:val="nil"/>
              <w:bottom w:val="nil"/>
            </w:tcBorders>
            <w:textDirection w:val="tbRlV"/>
            <w:vAlign w:val="top"/>
          </w:tcPr>
          <w:p>
            <w:pPr>
              <w:rPr>
                <w:rFonts w:ascii="Arial"/>
                <w:sz w:val="21"/>
              </w:rPr>
            </w:pPr>
          </w:p>
        </w:tc>
        <w:tc>
          <w:tcPr>
            <w:tcW w:w="753" w:type="dxa"/>
            <w:vMerge w:val="continue"/>
            <w:tcBorders>
              <w:top w:val="nil"/>
            </w:tcBorders>
            <w:vAlign w:val="top"/>
          </w:tcPr>
          <w:p>
            <w:pPr>
              <w:rPr>
                <w:rFonts w:ascii="Arial"/>
                <w:sz w:val="21"/>
              </w:rPr>
            </w:pPr>
          </w:p>
        </w:tc>
        <w:tc>
          <w:tcPr>
            <w:tcW w:w="818" w:type="dxa"/>
            <w:vMerge w:val="continue"/>
            <w:tcBorders>
              <w:top w:val="nil"/>
            </w:tcBorders>
            <w:vAlign w:val="top"/>
          </w:tcPr>
          <w:p>
            <w:pPr>
              <w:rPr>
                <w:rFonts w:ascii="Arial"/>
                <w:sz w:val="21"/>
              </w:rPr>
            </w:pPr>
          </w:p>
        </w:tc>
        <w:tc>
          <w:tcPr>
            <w:tcW w:w="773" w:type="dxa"/>
            <w:vAlign w:val="top"/>
          </w:tcPr>
          <w:p>
            <w:pPr>
              <w:spacing w:line="258" w:lineRule="auto"/>
              <w:rPr>
                <w:rFonts w:ascii="Arial"/>
                <w:sz w:val="21"/>
              </w:rPr>
            </w:pPr>
          </w:p>
          <w:p>
            <w:pPr>
              <w:pStyle w:val="6"/>
              <w:spacing w:before="68" w:line="238" w:lineRule="auto"/>
              <w:ind w:left="187"/>
            </w:pPr>
            <w:r>
              <w:rPr>
                <w:spacing w:val="-3"/>
              </w:rPr>
              <w:t>贡献</w:t>
            </w:r>
          </w:p>
          <w:p>
            <w:pPr>
              <w:pStyle w:val="6"/>
              <w:spacing w:line="220" w:lineRule="auto"/>
              <w:ind w:left="288"/>
            </w:pPr>
            <w:r>
              <w:t>值</w:t>
            </w:r>
          </w:p>
        </w:tc>
        <w:tc>
          <w:tcPr>
            <w:tcW w:w="900" w:type="dxa"/>
            <w:vAlign w:val="top"/>
          </w:tcPr>
          <w:p>
            <w:pPr>
              <w:spacing w:line="393" w:lineRule="auto"/>
              <w:rPr>
                <w:rFonts w:ascii="Arial"/>
                <w:sz w:val="21"/>
              </w:rPr>
            </w:pPr>
          </w:p>
          <w:p>
            <w:pPr>
              <w:pStyle w:val="6"/>
              <w:spacing w:before="68" w:line="221" w:lineRule="auto"/>
              <w:ind w:left="143"/>
            </w:pPr>
            <w:r>
              <w:rPr>
                <w:spacing w:val="-2"/>
              </w:rPr>
              <w:t>预测值</w:t>
            </w:r>
          </w:p>
        </w:tc>
        <w:tc>
          <w:tcPr>
            <w:tcW w:w="1039" w:type="dxa"/>
            <w:tcBorders>
              <w:right w:val="single" w:color="000000" w:sz="4" w:space="0"/>
            </w:tcBorders>
            <w:vAlign w:val="top"/>
          </w:tcPr>
          <w:p>
            <w:pPr>
              <w:spacing w:line="258" w:lineRule="auto"/>
              <w:rPr>
                <w:rFonts w:ascii="Arial"/>
                <w:sz w:val="21"/>
              </w:rPr>
            </w:pPr>
          </w:p>
          <w:p>
            <w:pPr>
              <w:pStyle w:val="6"/>
              <w:spacing w:before="68" w:line="230" w:lineRule="auto"/>
              <w:ind w:left="211" w:right="194"/>
            </w:pPr>
            <w:r>
              <w:rPr>
                <w:spacing w:val="-2"/>
              </w:rPr>
              <w:t>较现状</w:t>
            </w:r>
            <w:r>
              <w:t xml:space="preserve"> </w:t>
            </w:r>
            <w:r>
              <w:rPr>
                <w:spacing w:val="-2"/>
              </w:rPr>
              <w:t>增加量</w:t>
            </w:r>
          </w:p>
        </w:tc>
        <w:tc>
          <w:tcPr>
            <w:tcW w:w="713" w:type="dxa"/>
            <w:tcBorders>
              <w:left w:val="single" w:color="000000" w:sz="4" w:space="0"/>
            </w:tcBorders>
            <w:vAlign w:val="top"/>
          </w:tcPr>
          <w:p>
            <w:pPr>
              <w:spacing w:line="258" w:lineRule="auto"/>
              <w:rPr>
                <w:rFonts w:ascii="Arial"/>
                <w:sz w:val="21"/>
              </w:rPr>
            </w:pPr>
          </w:p>
          <w:p>
            <w:pPr>
              <w:pStyle w:val="6"/>
              <w:spacing w:before="68" w:line="232" w:lineRule="auto"/>
              <w:ind w:left="257" w:right="137" w:hanging="104"/>
            </w:pPr>
            <w:r>
              <w:rPr>
                <w:spacing w:val="-3"/>
              </w:rPr>
              <w:t>超标</w:t>
            </w:r>
            <w:r>
              <w:t xml:space="preserve"> 量</w:t>
            </w:r>
          </w:p>
        </w:tc>
        <w:tc>
          <w:tcPr>
            <w:tcW w:w="701" w:type="dxa"/>
            <w:vMerge w:val="continue"/>
            <w:tcBorders>
              <w:top w:val="nil"/>
              <w:bottom w:val="nil"/>
            </w:tcBorders>
            <w:vAlign w:val="top"/>
          </w:tcPr>
          <w:p>
            <w:pPr>
              <w:rPr>
                <w:rFonts w:ascii="Arial"/>
                <w:sz w:val="21"/>
              </w:rPr>
            </w:pPr>
          </w:p>
        </w:tc>
        <w:tc>
          <w:tcPr>
            <w:tcW w:w="4351" w:type="dxa"/>
            <w:vAlign w:val="top"/>
          </w:tcPr>
          <w:p>
            <w:pPr>
              <w:spacing w:line="393" w:lineRule="auto"/>
              <w:rPr>
                <w:rFonts w:ascii="Arial"/>
                <w:sz w:val="21"/>
              </w:rPr>
            </w:pPr>
          </w:p>
          <w:p>
            <w:pPr>
              <w:pStyle w:val="6"/>
              <w:spacing w:before="68" w:line="221" w:lineRule="auto"/>
              <w:ind w:left="1973"/>
            </w:pPr>
            <w:r>
              <w:rPr>
                <w:spacing w:val="-2"/>
              </w:rPr>
              <w:t>类型</w:t>
            </w:r>
          </w:p>
        </w:tc>
        <w:tc>
          <w:tcPr>
            <w:tcW w:w="986" w:type="dxa"/>
            <w:vAlign w:val="top"/>
          </w:tcPr>
          <w:p>
            <w:pPr>
              <w:spacing w:line="393" w:lineRule="auto"/>
              <w:rPr>
                <w:rFonts w:ascii="Arial"/>
                <w:sz w:val="21"/>
              </w:rPr>
            </w:pPr>
          </w:p>
          <w:p>
            <w:pPr>
              <w:pStyle w:val="6"/>
              <w:spacing w:before="68" w:line="221" w:lineRule="auto"/>
              <w:ind w:left="294"/>
            </w:pPr>
            <w:r>
              <w:rPr>
                <w:spacing w:val="-2"/>
              </w:rPr>
              <w:t>规模</w:t>
            </w:r>
          </w:p>
        </w:tc>
        <w:tc>
          <w:tcPr>
            <w:tcW w:w="597" w:type="dxa"/>
            <w:textDirection w:val="tbRlV"/>
            <w:vAlign w:val="top"/>
          </w:tcPr>
          <w:p>
            <w:pPr>
              <w:pStyle w:val="6"/>
              <w:spacing w:before="185" w:line="208" w:lineRule="auto"/>
              <w:ind w:left="190"/>
            </w:pPr>
            <w:r>
              <w:rPr>
                <w:spacing w:val="42"/>
              </w:rPr>
              <w:t>贡献值</w:t>
            </w:r>
          </w:p>
        </w:tc>
        <w:tc>
          <w:tcPr>
            <w:tcW w:w="597" w:type="dxa"/>
            <w:textDirection w:val="tbRlV"/>
            <w:vAlign w:val="top"/>
          </w:tcPr>
          <w:p>
            <w:pPr>
              <w:pStyle w:val="6"/>
              <w:spacing w:before="184" w:line="209" w:lineRule="auto"/>
              <w:ind w:left="190"/>
            </w:pPr>
            <w:r>
              <w:rPr>
                <w:spacing w:val="42"/>
              </w:rPr>
              <w:t>预测值</w:t>
            </w:r>
          </w:p>
        </w:tc>
        <w:tc>
          <w:tcPr>
            <w:tcW w:w="662" w:type="dxa"/>
            <w:vAlign w:val="top"/>
          </w:tcPr>
          <w:p>
            <w:pPr>
              <w:pStyle w:val="6"/>
              <w:spacing w:before="54" w:line="221" w:lineRule="auto"/>
              <w:ind w:left="136"/>
            </w:pPr>
            <w:r>
              <w:rPr>
                <w:spacing w:val="-3"/>
              </w:rPr>
              <w:t>声屏</w:t>
            </w:r>
          </w:p>
          <w:p>
            <w:pPr>
              <w:pStyle w:val="6"/>
              <w:spacing w:before="21" w:line="221" w:lineRule="auto"/>
              <w:ind w:left="143"/>
            </w:pPr>
            <w:r>
              <w:rPr>
                <w:spacing w:val="-5"/>
              </w:rPr>
              <w:t>障插</w:t>
            </w:r>
          </w:p>
          <w:p>
            <w:pPr>
              <w:pStyle w:val="6"/>
              <w:spacing w:before="20" w:line="221" w:lineRule="auto"/>
              <w:ind w:left="131"/>
            </w:pPr>
            <w:r>
              <w:rPr>
                <w:spacing w:val="-2"/>
              </w:rPr>
              <w:t>入损</w:t>
            </w:r>
          </w:p>
          <w:p>
            <w:pPr>
              <w:pStyle w:val="6"/>
              <w:spacing w:before="21" w:line="222" w:lineRule="auto"/>
              <w:ind w:left="240"/>
            </w:pPr>
            <w:r>
              <w:t>失</w:t>
            </w:r>
          </w:p>
        </w:tc>
        <w:tc>
          <w:tcPr>
            <w:tcW w:w="828" w:type="dxa"/>
            <w:vAlign w:val="top"/>
          </w:tcPr>
          <w:p>
            <w:pPr>
              <w:pStyle w:val="6"/>
              <w:spacing w:before="70" w:line="221" w:lineRule="auto"/>
              <w:ind w:left="217"/>
            </w:pPr>
            <w:r>
              <w:rPr>
                <w:spacing w:val="-3"/>
              </w:rPr>
              <w:t>室内</w:t>
            </w:r>
          </w:p>
          <w:p>
            <w:pPr>
              <w:pStyle w:val="6"/>
              <w:spacing w:before="20" w:line="221" w:lineRule="auto"/>
              <w:ind w:left="224"/>
            </w:pPr>
            <w:r>
              <w:rPr>
                <w:spacing w:val="-4"/>
              </w:rPr>
              <w:t>噪声</w:t>
            </w:r>
          </w:p>
          <w:p>
            <w:pPr>
              <w:pStyle w:val="6"/>
              <w:spacing w:before="21" w:line="221" w:lineRule="auto"/>
              <w:ind w:left="320"/>
            </w:pPr>
            <w:r>
              <w:t>值</w:t>
            </w:r>
          </w:p>
          <w:p>
            <w:pPr>
              <w:spacing w:before="41" w:line="191"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dB(A)</w:t>
            </w:r>
          </w:p>
        </w:tc>
        <w:tc>
          <w:tcPr>
            <w:tcW w:w="857" w:type="dxa"/>
            <w:vAlign w:val="top"/>
          </w:tcPr>
          <w:p>
            <w:pPr>
              <w:pStyle w:val="6"/>
              <w:spacing w:before="54" w:line="221" w:lineRule="auto"/>
              <w:ind w:left="133"/>
            </w:pPr>
            <w:r>
              <w:rPr>
                <w:spacing w:val="-4"/>
              </w:rPr>
              <w:t>噪声控</w:t>
            </w:r>
          </w:p>
          <w:p>
            <w:pPr>
              <w:pStyle w:val="6"/>
              <w:spacing w:before="22" w:line="221" w:lineRule="auto"/>
              <w:ind w:left="124"/>
            </w:pPr>
            <w:r>
              <w:rPr>
                <w:spacing w:val="-2"/>
              </w:rPr>
              <w:t>制措施</w:t>
            </w:r>
          </w:p>
          <w:p>
            <w:pPr>
              <w:pStyle w:val="6"/>
              <w:spacing w:before="19" w:line="233" w:lineRule="auto"/>
              <w:ind w:left="202"/>
              <w:rPr>
                <w:rFonts w:ascii="Times New Roman" w:hAnsi="Times New Roman" w:eastAsia="Times New Roman" w:cs="Times New Roman"/>
              </w:rPr>
            </w:pPr>
            <w:r>
              <w:rPr>
                <w:spacing w:val="-3"/>
              </w:rPr>
              <w:t>投资</w:t>
            </w:r>
            <w:r>
              <w:rPr>
                <w:rFonts w:ascii="Times New Roman" w:hAnsi="Times New Roman" w:eastAsia="Times New Roman" w:cs="Times New Roman"/>
                <w:spacing w:val="-3"/>
              </w:rPr>
              <w:t>/</w:t>
            </w:r>
          </w:p>
          <w:p>
            <w:pPr>
              <w:pStyle w:val="6"/>
              <w:spacing w:before="8" w:line="221" w:lineRule="auto"/>
              <w:ind w:left="233"/>
            </w:pPr>
            <w:r>
              <w:rPr>
                <w:spacing w:val="-3"/>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1" w:line="221" w:lineRule="auto"/>
              <w:ind w:left="273"/>
            </w:pPr>
            <w:r>
              <w:rPr>
                <w:spacing w:val="-3"/>
              </w:rPr>
              <w:t>夜间</w:t>
            </w:r>
          </w:p>
        </w:tc>
        <w:tc>
          <w:tcPr>
            <w:tcW w:w="704" w:type="dxa"/>
            <w:vAlign w:val="top"/>
          </w:tcPr>
          <w:p>
            <w:pPr>
              <w:spacing w:before="90"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textDirection w:val="tbRlV"/>
            <w:vAlign w:val="top"/>
          </w:tcPr>
          <w:p>
            <w:pPr>
              <w:rPr>
                <w:rFonts w:ascii="Arial"/>
                <w:sz w:val="21"/>
              </w:rPr>
            </w:pPr>
          </w:p>
        </w:tc>
        <w:tc>
          <w:tcPr>
            <w:tcW w:w="753" w:type="dxa"/>
            <w:vAlign w:val="top"/>
          </w:tcPr>
          <w:p>
            <w:pPr>
              <w:spacing w:before="90"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39.1</w:t>
            </w:r>
          </w:p>
        </w:tc>
        <w:tc>
          <w:tcPr>
            <w:tcW w:w="818" w:type="dxa"/>
            <w:vAlign w:val="top"/>
          </w:tcPr>
          <w:p>
            <w:pPr>
              <w:spacing w:before="90"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39.1</w:t>
            </w:r>
          </w:p>
        </w:tc>
        <w:tc>
          <w:tcPr>
            <w:tcW w:w="773" w:type="dxa"/>
            <w:vAlign w:val="top"/>
          </w:tcPr>
          <w:p>
            <w:pPr>
              <w:spacing w:before="90"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48.2</w:t>
            </w:r>
          </w:p>
        </w:tc>
        <w:tc>
          <w:tcPr>
            <w:tcW w:w="900" w:type="dxa"/>
            <w:vAlign w:val="top"/>
          </w:tcPr>
          <w:p>
            <w:pPr>
              <w:spacing w:before="90"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48.7</w:t>
            </w:r>
          </w:p>
        </w:tc>
        <w:tc>
          <w:tcPr>
            <w:tcW w:w="1039" w:type="dxa"/>
            <w:tcBorders>
              <w:right w:val="single" w:color="000000" w:sz="4" w:space="0"/>
            </w:tcBorders>
            <w:vAlign w:val="top"/>
          </w:tcPr>
          <w:p>
            <w:pPr>
              <w:spacing w:before="90"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+9.6</w:t>
            </w:r>
          </w:p>
        </w:tc>
        <w:tc>
          <w:tcPr>
            <w:tcW w:w="713" w:type="dxa"/>
            <w:tcBorders>
              <w:left w:val="single" w:color="000000" w:sz="4" w:space="0"/>
            </w:tcBorders>
            <w:vAlign w:val="top"/>
          </w:tcPr>
          <w:p>
            <w:pPr>
              <w:spacing w:before="86" w:line="221"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Align w:val="top"/>
          </w:tcPr>
          <w:p>
            <w:pPr>
              <w:rPr>
                <w:rFonts w:ascii="Arial"/>
                <w:sz w:val="21"/>
              </w:rPr>
            </w:pPr>
          </w:p>
        </w:tc>
        <w:tc>
          <w:tcPr>
            <w:tcW w:w="986" w:type="dxa"/>
            <w:vAlign w:val="top"/>
          </w:tcPr>
          <w:p>
            <w:pPr>
              <w:pStyle w:val="6"/>
              <w:spacing w:before="30" w:line="221" w:lineRule="auto"/>
              <w:ind w:left="193"/>
            </w:pPr>
            <w:r>
              <w:rPr>
                <w:spacing w:val="-10"/>
              </w:rPr>
              <w:t>万元。</w:t>
            </w:r>
          </w:p>
        </w:tc>
        <w:tc>
          <w:tcPr>
            <w:tcW w:w="597" w:type="dxa"/>
            <w:vAlign w:val="top"/>
          </w:tcPr>
          <w:p>
            <w:pPr>
              <w:spacing w:before="90" w:line="187" w:lineRule="auto"/>
              <w:ind w:left="1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48.2</w:t>
            </w:r>
          </w:p>
        </w:tc>
        <w:tc>
          <w:tcPr>
            <w:tcW w:w="597" w:type="dxa"/>
            <w:vAlign w:val="top"/>
          </w:tcPr>
          <w:p>
            <w:pPr>
              <w:spacing w:before="90" w:line="187" w:lineRule="auto"/>
              <w:ind w:left="1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48.7</w:t>
            </w:r>
          </w:p>
        </w:tc>
        <w:tc>
          <w:tcPr>
            <w:tcW w:w="662" w:type="dxa"/>
            <w:vAlign w:val="top"/>
          </w:tcPr>
          <w:p>
            <w:pPr>
              <w:spacing w:before="88" w:line="189" w:lineRule="auto"/>
              <w:ind w:left="28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28" w:type="dxa"/>
            <w:vAlign w:val="top"/>
          </w:tcPr>
          <w:p>
            <w:pPr>
              <w:spacing w:before="87"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60" w:line="187"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81"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8" w:line="223" w:lineRule="auto"/>
              <w:ind w:left="392"/>
            </w:pPr>
            <w:r>
              <w:rPr>
                <w:spacing w:val="-3"/>
              </w:rPr>
              <w:t>前垄</w:t>
            </w:r>
          </w:p>
        </w:tc>
        <w:tc>
          <w:tcPr>
            <w:tcW w:w="1106" w:type="dxa"/>
            <w:vMerge w:val="restart"/>
            <w:tcBorders>
              <w:bottom w:val="nil"/>
            </w:tcBorders>
            <w:vAlign w:val="top"/>
          </w:tcPr>
          <w:p>
            <w:pPr>
              <w:spacing w:line="467" w:lineRule="auto"/>
              <w:rPr>
                <w:rFonts w:ascii="Arial"/>
                <w:sz w:val="21"/>
              </w:rPr>
            </w:pPr>
          </w:p>
          <w:p>
            <w:pPr>
              <w:pStyle w:val="6"/>
              <w:spacing w:before="69" w:line="233" w:lineRule="auto"/>
              <w:ind w:left="130"/>
            </w:pPr>
            <w:r>
              <w:rPr>
                <w:rFonts w:ascii="Times New Roman" w:hAnsi="Times New Roman" w:eastAsia="Times New Roman" w:cs="Times New Roman"/>
                <w:spacing w:val="-2"/>
              </w:rPr>
              <w:t>32</w:t>
            </w:r>
            <w:r>
              <w:rPr>
                <w:spacing w:val="-2"/>
              </w:rPr>
              <w:t>（</w:t>
            </w:r>
            <w:r>
              <w:rPr>
                <w:rFonts w:ascii="Times New Roman" w:hAnsi="Times New Roman" w:eastAsia="Times New Roman" w:cs="Times New Roman"/>
                <w:spacing w:val="-2"/>
              </w:rPr>
              <w:t>L2</w:t>
            </w:r>
            <w:r>
              <w:rPr>
                <w:spacing w:val="-2"/>
              </w:rPr>
              <w:t>）</w:t>
            </w:r>
          </w:p>
        </w:tc>
        <w:tc>
          <w:tcPr>
            <w:tcW w:w="1085" w:type="dxa"/>
            <w:vMerge w:val="restart"/>
            <w:tcBorders>
              <w:bottom w:val="nil"/>
            </w:tcBorders>
            <w:vAlign w:val="top"/>
          </w:tcPr>
          <w:p>
            <w:pPr>
              <w:spacing w:before="253" w:line="187"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866" w:type="dxa"/>
            <w:vMerge w:val="restart"/>
            <w:tcBorders>
              <w:bottom w:val="nil"/>
            </w:tcBorders>
            <w:vAlign w:val="top"/>
          </w:tcPr>
          <w:p>
            <w:pPr>
              <w:spacing w:line="468" w:lineRule="auto"/>
              <w:rPr>
                <w:rFonts w:ascii="Arial"/>
                <w:sz w:val="21"/>
              </w:rPr>
            </w:pPr>
          </w:p>
          <w:p>
            <w:pPr>
              <w:pStyle w:val="6"/>
              <w:spacing w:before="68" w:line="234" w:lineRule="auto"/>
              <w:ind w:left="20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945" w:type="dxa"/>
            <w:vAlign w:val="top"/>
          </w:tcPr>
          <w:p>
            <w:pPr>
              <w:pStyle w:val="6"/>
              <w:spacing w:before="52" w:line="223" w:lineRule="auto"/>
              <w:ind w:left="269"/>
            </w:pPr>
            <w:r>
              <w:rPr>
                <w:spacing w:val="-2"/>
              </w:rPr>
              <w:t>昼间</w:t>
            </w:r>
          </w:p>
        </w:tc>
        <w:tc>
          <w:tcPr>
            <w:tcW w:w="704" w:type="dxa"/>
            <w:vAlign w:val="top"/>
          </w:tcPr>
          <w:p>
            <w:pPr>
              <w:spacing w:before="90"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3"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0"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818" w:type="dxa"/>
            <w:vAlign w:val="top"/>
          </w:tcPr>
          <w:p>
            <w:pPr>
              <w:spacing w:before="90"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773" w:type="dxa"/>
            <w:vAlign w:val="top"/>
          </w:tcPr>
          <w:p>
            <w:pPr>
              <w:spacing w:before="90"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71.4</w:t>
            </w:r>
          </w:p>
        </w:tc>
        <w:tc>
          <w:tcPr>
            <w:tcW w:w="900" w:type="dxa"/>
            <w:vAlign w:val="top"/>
          </w:tcPr>
          <w:p>
            <w:pPr>
              <w:spacing w:before="90"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71.4</w:t>
            </w:r>
          </w:p>
        </w:tc>
        <w:tc>
          <w:tcPr>
            <w:tcW w:w="1039" w:type="dxa"/>
            <w:tcBorders>
              <w:right w:val="single" w:color="000000" w:sz="4" w:space="0"/>
            </w:tcBorders>
            <w:vAlign w:val="top"/>
          </w:tcPr>
          <w:p>
            <w:pPr>
              <w:spacing w:before="90"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+15.0</w:t>
            </w:r>
          </w:p>
        </w:tc>
        <w:tc>
          <w:tcPr>
            <w:tcW w:w="713" w:type="dxa"/>
            <w:tcBorders>
              <w:left w:val="single" w:color="000000" w:sz="4" w:space="0"/>
            </w:tcBorders>
            <w:vAlign w:val="top"/>
          </w:tcPr>
          <w:p>
            <w:pPr>
              <w:spacing w:before="90"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c>
          <w:tcPr>
            <w:tcW w:w="701"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60" w:line="187" w:lineRule="auto"/>
              <w:ind w:left="30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351"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9" w:line="218" w:lineRule="auto"/>
              <w:ind w:left="108"/>
            </w:pPr>
            <w:r>
              <w:rPr>
                <w:rFonts w:ascii="Times New Roman" w:hAnsi="Times New Roman" w:eastAsia="Times New Roman" w:cs="Times New Roman"/>
                <w:spacing w:val="-3"/>
              </w:rPr>
              <w:t xml:space="preserve">4a </w:t>
            </w:r>
            <w:r>
              <w:rPr>
                <w:spacing w:val="-3"/>
              </w:rPr>
              <w:t>类区</w:t>
            </w:r>
            <w:r>
              <w:rPr>
                <w:spacing w:val="-40"/>
              </w:rPr>
              <w:t xml:space="preserve"> </w:t>
            </w:r>
            <w:r>
              <w:rPr>
                <w:rFonts w:ascii="Times New Roman" w:hAnsi="Times New Roman" w:eastAsia="Times New Roman" w:cs="Times New Roman"/>
                <w:spacing w:val="-3"/>
              </w:rPr>
              <w:t xml:space="preserve">3 </w:t>
            </w:r>
            <w:r>
              <w:rPr>
                <w:spacing w:val="-3"/>
              </w:rPr>
              <w:t>户、</w:t>
            </w:r>
            <w:r>
              <w:rPr>
                <w:rFonts w:ascii="Times New Roman" w:hAnsi="Times New Roman" w:eastAsia="Times New Roman" w:cs="Times New Roman"/>
                <w:spacing w:val="-3"/>
              </w:rPr>
              <w:t xml:space="preserve">2 </w:t>
            </w:r>
            <w:r>
              <w:rPr>
                <w:spacing w:val="-3"/>
              </w:rPr>
              <w:t>类区</w:t>
            </w:r>
            <w:r>
              <w:rPr>
                <w:spacing w:val="-44"/>
              </w:rPr>
              <w:t xml:space="preserve"> </w:t>
            </w:r>
            <w:r>
              <w:rPr>
                <w:rFonts w:ascii="Times New Roman" w:hAnsi="Times New Roman" w:eastAsia="Times New Roman" w:cs="Times New Roman"/>
                <w:spacing w:val="-3"/>
              </w:rPr>
              <w:t xml:space="preserve">3 </w:t>
            </w:r>
            <w:r>
              <w:rPr>
                <w:spacing w:val="-3"/>
              </w:rPr>
              <w:t>户安装隔声窗，使其满</w:t>
            </w:r>
          </w:p>
          <w:p>
            <w:pPr>
              <w:pStyle w:val="6"/>
              <w:spacing w:before="65" w:line="250" w:lineRule="auto"/>
              <w:ind w:left="1776" w:right="141" w:hanging="1638"/>
            </w:pPr>
            <w:r>
              <w:rPr>
                <w:spacing w:val="-1"/>
              </w:rPr>
              <w:t>足《建筑环境通用规范》（</w:t>
            </w:r>
            <w:r>
              <w:rPr>
                <w:rFonts w:ascii="Times New Roman" w:hAnsi="Times New Roman" w:eastAsia="Times New Roman" w:cs="Times New Roman"/>
                <w:spacing w:val="-1"/>
              </w:rPr>
              <w:t>GB 55016-2021</w:t>
            </w:r>
            <w:r>
              <w:rPr>
                <w:spacing w:val="-1"/>
              </w:rPr>
              <w:t>）</w:t>
            </w:r>
            <w:r>
              <w:rPr>
                <w:spacing w:val="2"/>
              </w:rPr>
              <w:t xml:space="preserve"> </w:t>
            </w:r>
            <w:r>
              <w:rPr>
                <w:spacing w:val="-6"/>
              </w:rPr>
              <w:t>的要求。</w:t>
            </w:r>
          </w:p>
        </w:tc>
        <w:tc>
          <w:tcPr>
            <w:tcW w:w="986" w:type="dxa"/>
            <w:vMerge w:val="restart"/>
            <w:tcBorders>
              <w:bottom w:val="nil"/>
            </w:tcBorders>
            <w:vAlign w:val="top"/>
          </w:tcPr>
          <w:p>
            <w:pPr>
              <w:spacing w:line="323" w:lineRule="auto"/>
              <w:rPr>
                <w:rFonts w:ascii="Arial"/>
                <w:sz w:val="21"/>
              </w:rPr>
            </w:pPr>
          </w:p>
          <w:p>
            <w:pPr>
              <w:spacing w:line="324" w:lineRule="auto"/>
              <w:rPr>
                <w:rFonts w:ascii="Arial"/>
                <w:sz w:val="21"/>
              </w:rPr>
            </w:pPr>
          </w:p>
          <w:p>
            <w:pPr>
              <w:pStyle w:val="6"/>
              <w:spacing w:before="68" w:line="221" w:lineRule="auto"/>
              <w:ind w:left="114"/>
            </w:pPr>
            <w:r>
              <w:rPr>
                <w:rFonts w:ascii="Times New Roman" w:hAnsi="Times New Roman" w:eastAsia="Times New Roman" w:cs="Times New Roman"/>
                <w:spacing w:val="-4"/>
              </w:rPr>
              <w:t>6</w:t>
            </w:r>
            <w:r>
              <w:rPr>
                <w:rFonts w:ascii="Times New Roman" w:hAnsi="Times New Roman" w:eastAsia="Times New Roman" w:cs="Times New Roman"/>
                <w:spacing w:val="-5"/>
              </w:rPr>
              <w:t xml:space="preserve"> </w:t>
            </w:r>
            <w:r>
              <w:rPr>
                <w:spacing w:val="-4"/>
              </w:rPr>
              <w:t>户隔声</w:t>
            </w:r>
          </w:p>
          <w:p>
            <w:pPr>
              <w:pStyle w:val="6"/>
              <w:spacing w:before="64" w:line="221" w:lineRule="auto"/>
              <w:ind w:left="124"/>
            </w:pPr>
            <w:r>
              <w:rPr>
                <w:spacing w:val="-21"/>
              </w:rPr>
              <w:t>窗，预计</w:t>
            </w:r>
          </w:p>
          <w:p>
            <w:pPr>
              <w:pStyle w:val="6"/>
              <w:spacing w:before="63" w:line="221" w:lineRule="auto"/>
              <w:ind w:left="114"/>
              <w:rPr>
                <w:rFonts w:ascii="Times New Roman" w:hAnsi="Times New Roman" w:eastAsia="Times New Roman" w:cs="Times New Roman"/>
              </w:rPr>
            </w:pPr>
            <w:r>
              <w:rPr>
                <w:spacing w:val="8"/>
              </w:rPr>
              <w:t>每户约</w:t>
            </w:r>
            <w:r>
              <w:rPr>
                <w:rFonts w:ascii="Times New Roman" w:hAnsi="Times New Roman" w:eastAsia="Times New Roman" w:cs="Times New Roman"/>
                <w:spacing w:val="8"/>
              </w:rPr>
              <w:t>2</w:t>
            </w:r>
          </w:p>
          <w:p>
            <w:pPr>
              <w:pStyle w:val="6"/>
              <w:spacing w:before="64" w:line="221" w:lineRule="auto"/>
              <w:ind w:left="294"/>
            </w:pPr>
            <w:r>
              <w:rPr>
                <w:spacing w:val="-3"/>
              </w:rPr>
              <w:t>万元</w:t>
            </w:r>
          </w:p>
        </w:tc>
        <w:tc>
          <w:tcPr>
            <w:tcW w:w="597" w:type="dxa"/>
            <w:vAlign w:val="top"/>
          </w:tcPr>
          <w:p>
            <w:pPr>
              <w:spacing w:before="86" w:line="223"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6" w:line="223"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6" w:line="223"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7"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61"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1" w:line="221" w:lineRule="auto"/>
              <w:ind w:left="273"/>
            </w:pPr>
            <w:r>
              <w:rPr>
                <w:spacing w:val="-3"/>
              </w:rPr>
              <w:t>夜间</w:t>
            </w:r>
          </w:p>
        </w:tc>
        <w:tc>
          <w:tcPr>
            <w:tcW w:w="704" w:type="dxa"/>
            <w:vAlign w:val="top"/>
          </w:tcPr>
          <w:p>
            <w:pPr>
              <w:spacing w:before="93"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0"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36.9</w:t>
            </w:r>
          </w:p>
        </w:tc>
        <w:tc>
          <w:tcPr>
            <w:tcW w:w="818" w:type="dxa"/>
            <w:vAlign w:val="top"/>
          </w:tcPr>
          <w:p>
            <w:pPr>
              <w:spacing w:before="90"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773" w:type="dxa"/>
            <w:vAlign w:val="top"/>
          </w:tcPr>
          <w:p>
            <w:pPr>
              <w:spacing w:before="90"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62.9</w:t>
            </w:r>
          </w:p>
        </w:tc>
        <w:tc>
          <w:tcPr>
            <w:tcW w:w="900" w:type="dxa"/>
            <w:vAlign w:val="top"/>
          </w:tcPr>
          <w:p>
            <w:pPr>
              <w:spacing w:before="90"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62.9</w:t>
            </w:r>
          </w:p>
        </w:tc>
        <w:tc>
          <w:tcPr>
            <w:tcW w:w="1039" w:type="dxa"/>
            <w:tcBorders>
              <w:right w:val="single" w:color="000000" w:sz="4" w:space="0"/>
            </w:tcBorders>
            <w:vAlign w:val="top"/>
          </w:tcPr>
          <w:p>
            <w:pPr>
              <w:spacing w:before="90"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+14.3</w:t>
            </w:r>
          </w:p>
        </w:tc>
        <w:tc>
          <w:tcPr>
            <w:tcW w:w="713" w:type="dxa"/>
            <w:tcBorders>
              <w:left w:val="single" w:color="000000" w:sz="4" w:space="0"/>
            </w:tcBorders>
            <w:vAlign w:val="top"/>
          </w:tcPr>
          <w:p>
            <w:pPr>
              <w:spacing w:before="90"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7" w:line="220"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7" w:line="220"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7" w:line="220"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7"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4" w:line="187" w:lineRule="auto"/>
              <w:ind w:left="46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2" w:line="223" w:lineRule="auto"/>
              <w:ind w:left="269"/>
            </w:pPr>
            <w:r>
              <w:rPr>
                <w:spacing w:val="-2"/>
              </w:rPr>
              <w:t>昼间</w:t>
            </w:r>
          </w:p>
        </w:tc>
        <w:tc>
          <w:tcPr>
            <w:tcW w:w="704" w:type="dxa"/>
            <w:vAlign w:val="top"/>
          </w:tcPr>
          <w:p>
            <w:pPr>
              <w:spacing w:before="90"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4"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0"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818" w:type="dxa"/>
            <w:vAlign w:val="top"/>
          </w:tcPr>
          <w:p>
            <w:pPr>
              <w:spacing w:before="90"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58.6</w:t>
            </w:r>
          </w:p>
        </w:tc>
        <w:tc>
          <w:tcPr>
            <w:tcW w:w="773" w:type="dxa"/>
            <w:vAlign w:val="top"/>
          </w:tcPr>
          <w:p>
            <w:pPr>
              <w:spacing w:before="90"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72.4</w:t>
            </w:r>
          </w:p>
        </w:tc>
        <w:tc>
          <w:tcPr>
            <w:tcW w:w="900" w:type="dxa"/>
            <w:vAlign w:val="top"/>
          </w:tcPr>
          <w:p>
            <w:pPr>
              <w:spacing w:before="90"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72.4</w:t>
            </w:r>
          </w:p>
        </w:tc>
        <w:tc>
          <w:tcPr>
            <w:tcW w:w="1039" w:type="dxa"/>
            <w:tcBorders>
              <w:right w:val="single" w:color="000000" w:sz="4" w:space="0"/>
            </w:tcBorders>
            <w:vAlign w:val="top"/>
          </w:tcPr>
          <w:p>
            <w:pPr>
              <w:spacing w:before="90"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+13.8</w:t>
            </w:r>
          </w:p>
        </w:tc>
        <w:tc>
          <w:tcPr>
            <w:tcW w:w="713" w:type="dxa"/>
            <w:tcBorders>
              <w:left w:val="single" w:color="000000" w:sz="4" w:space="0"/>
            </w:tcBorders>
            <w:vAlign w:val="top"/>
          </w:tcPr>
          <w:p>
            <w:pPr>
              <w:spacing w:before="90"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7" w:line="220"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7" w:line="220"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7" w:line="220"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7"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1" w:line="221" w:lineRule="auto"/>
              <w:ind w:left="273"/>
            </w:pPr>
            <w:r>
              <w:rPr>
                <w:spacing w:val="-3"/>
              </w:rPr>
              <w:t>夜间</w:t>
            </w:r>
          </w:p>
        </w:tc>
        <w:tc>
          <w:tcPr>
            <w:tcW w:w="704" w:type="dxa"/>
            <w:vAlign w:val="top"/>
          </w:tcPr>
          <w:p>
            <w:pPr>
              <w:spacing w:before="96"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818" w:type="dxa"/>
            <w:vAlign w:val="top"/>
          </w:tcPr>
          <w:p>
            <w:pPr>
              <w:spacing w:before="93"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51.8</w:t>
            </w:r>
          </w:p>
        </w:tc>
        <w:tc>
          <w:tcPr>
            <w:tcW w:w="773" w:type="dxa"/>
            <w:vAlign w:val="top"/>
          </w:tcPr>
          <w:p>
            <w:pPr>
              <w:spacing w:before="93"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63.5</w:t>
            </w:r>
          </w:p>
        </w:tc>
        <w:tc>
          <w:tcPr>
            <w:tcW w:w="900" w:type="dxa"/>
            <w:vAlign w:val="top"/>
          </w:tcPr>
          <w:p>
            <w:pPr>
              <w:spacing w:before="93"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63.5</w:t>
            </w:r>
          </w:p>
        </w:tc>
        <w:tc>
          <w:tcPr>
            <w:tcW w:w="1039" w:type="dxa"/>
            <w:tcBorders>
              <w:right w:val="single" w:color="000000" w:sz="4" w:space="0"/>
            </w:tcBorders>
            <w:vAlign w:val="top"/>
          </w:tcPr>
          <w:p>
            <w:pPr>
              <w:spacing w:before="93"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+11.7</w:t>
            </w:r>
          </w:p>
        </w:tc>
        <w:tc>
          <w:tcPr>
            <w:tcW w:w="713" w:type="dxa"/>
            <w:tcBorders>
              <w:left w:val="single" w:color="000000" w:sz="4" w:space="0"/>
            </w:tcBorders>
            <w:vAlign w:val="top"/>
          </w:tcPr>
          <w:p>
            <w:pPr>
              <w:spacing w:before="93"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+8.5</w:t>
            </w:r>
          </w:p>
        </w:tc>
        <w:tc>
          <w:tcPr>
            <w:tcW w:w="701" w:type="dxa"/>
            <w:vMerge w:val="continue"/>
            <w:tcBorders>
              <w:top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9" w:line="220"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9" w:line="220"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9" w:line="220"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0"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restart"/>
            <w:tcBorders>
              <w:bottom w:val="nil"/>
            </w:tcBorders>
            <w:vAlign w:val="top"/>
          </w:tcPr>
          <w:p>
            <w:pPr>
              <w:spacing w:line="469" w:lineRule="auto"/>
              <w:rPr>
                <w:rFonts w:ascii="Arial"/>
                <w:sz w:val="21"/>
              </w:rPr>
            </w:pPr>
          </w:p>
          <w:p>
            <w:pPr>
              <w:pStyle w:val="6"/>
              <w:spacing w:before="68" w:line="233" w:lineRule="auto"/>
              <w:ind w:left="131"/>
            </w:pPr>
            <w:r>
              <w:rPr>
                <w:rFonts w:ascii="Times New Roman" w:hAnsi="Times New Roman" w:eastAsia="Times New Roman" w:cs="Times New Roman"/>
                <w:spacing w:val="-2"/>
              </w:rPr>
              <w:t>60</w:t>
            </w:r>
            <w:r>
              <w:rPr>
                <w:spacing w:val="-2"/>
              </w:rPr>
              <w:t>（</w:t>
            </w:r>
            <w:r>
              <w:rPr>
                <w:rFonts w:ascii="Times New Roman" w:hAnsi="Times New Roman" w:eastAsia="Times New Roman" w:cs="Times New Roman"/>
                <w:spacing w:val="-2"/>
              </w:rPr>
              <w:t>L2</w:t>
            </w:r>
            <w:r>
              <w:rPr>
                <w:spacing w:val="-2"/>
              </w:rPr>
              <w:t>）</w:t>
            </w:r>
          </w:p>
        </w:tc>
        <w:tc>
          <w:tcPr>
            <w:tcW w:w="1085" w:type="dxa"/>
            <w:vMerge w:val="restart"/>
            <w:tcBorders>
              <w:bottom w:val="nil"/>
            </w:tcBorders>
            <w:vAlign w:val="top"/>
          </w:tcPr>
          <w:p>
            <w:pPr>
              <w:spacing w:before="254" w:line="187"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866" w:type="dxa"/>
            <w:vMerge w:val="restart"/>
            <w:tcBorders>
              <w:bottom w:val="nil"/>
            </w:tcBorders>
            <w:vAlign w:val="top"/>
          </w:tcPr>
          <w:p>
            <w:pPr>
              <w:spacing w:line="468" w:lineRule="auto"/>
              <w:rPr>
                <w:rFonts w:ascii="Arial"/>
                <w:sz w:val="21"/>
              </w:rPr>
            </w:pPr>
          </w:p>
          <w:p>
            <w:pPr>
              <w:pStyle w:val="6"/>
              <w:spacing w:before="69" w:line="221" w:lineRule="auto"/>
              <w:ind w:left="254"/>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3" w:line="223" w:lineRule="auto"/>
              <w:ind w:left="269"/>
            </w:pPr>
            <w:r>
              <w:rPr>
                <w:spacing w:val="-2"/>
              </w:rPr>
              <w:t>昼间</w:t>
            </w:r>
          </w:p>
        </w:tc>
        <w:tc>
          <w:tcPr>
            <w:tcW w:w="704" w:type="dxa"/>
            <w:vAlign w:val="top"/>
          </w:tcPr>
          <w:p>
            <w:pPr>
              <w:spacing w:before="91"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4"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1"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818" w:type="dxa"/>
            <w:vAlign w:val="top"/>
          </w:tcPr>
          <w:p>
            <w:pPr>
              <w:spacing w:before="91"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773" w:type="dxa"/>
            <w:vAlign w:val="top"/>
          </w:tcPr>
          <w:p>
            <w:pPr>
              <w:spacing w:before="91" w:line="187"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900" w:type="dxa"/>
            <w:vAlign w:val="top"/>
          </w:tcPr>
          <w:p>
            <w:pPr>
              <w:spacing w:before="91"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57.2</w:t>
            </w:r>
          </w:p>
        </w:tc>
        <w:tc>
          <w:tcPr>
            <w:tcW w:w="1039" w:type="dxa"/>
            <w:tcBorders>
              <w:right w:val="single" w:color="000000" w:sz="4" w:space="0"/>
            </w:tcBorders>
            <w:vAlign w:val="top"/>
          </w:tcPr>
          <w:p>
            <w:pPr>
              <w:spacing w:before="9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+6.2</w:t>
            </w:r>
          </w:p>
        </w:tc>
        <w:tc>
          <w:tcPr>
            <w:tcW w:w="713" w:type="dxa"/>
            <w:tcBorders>
              <w:left w:val="single" w:color="000000" w:sz="4" w:space="0"/>
            </w:tcBorders>
            <w:vAlign w:val="top"/>
          </w:tcPr>
          <w:p>
            <w:pPr>
              <w:spacing w:before="87" w:line="220"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0" w:line="187" w:lineRule="auto"/>
              <w:ind w:left="30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7" w:line="220"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7" w:line="220"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7" w:line="220"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2" w:line="221" w:lineRule="auto"/>
              <w:ind w:left="273"/>
            </w:pPr>
            <w:r>
              <w:rPr>
                <w:spacing w:val="-3"/>
              </w:rPr>
              <w:t>夜间</w:t>
            </w:r>
          </w:p>
        </w:tc>
        <w:tc>
          <w:tcPr>
            <w:tcW w:w="704" w:type="dxa"/>
            <w:vAlign w:val="top"/>
          </w:tcPr>
          <w:p>
            <w:pPr>
              <w:spacing w:before="91"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1"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36.9</w:t>
            </w:r>
          </w:p>
        </w:tc>
        <w:tc>
          <w:tcPr>
            <w:tcW w:w="818" w:type="dxa"/>
            <w:vAlign w:val="top"/>
          </w:tcPr>
          <w:p>
            <w:pPr>
              <w:spacing w:before="91"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36.9</w:t>
            </w:r>
          </w:p>
        </w:tc>
        <w:tc>
          <w:tcPr>
            <w:tcW w:w="773" w:type="dxa"/>
            <w:vAlign w:val="top"/>
          </w:tcPr>
          <w:p>
            <w:pPr>
              <w:spacing w:before="91"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45.6</w:t>
            </w:r>
          </w:p>
        </w:tc>
        <w:tc>
          <w:tcPr>
            <w:tcW w:w="900" w:type="dxa"/>
            <w:vAlign w:val="top"/>
          </w:tcPr>
          <w:p>
            <w:pPr>
              <w:spacing w:before="91"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1039" w:type="dxa"/>
            <w:tcBorders>
              <w:right w:val="single" w:color="000000" w:sz="4" w:space="0"/>
            </w:tcBorders>
            <w:vAlign w:val="top"/>
          </w:tcPr>
          <w:p>
            <w:pPr>
              <w:spacing w:before="9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w:t>
            </w:r>
          </w:p>
        </w:tc>
        <w:tc>
          <w:tcPr>
            <w:tcW w:w="713" w:type="dxa"/>
            <w:tcBorders>
              <w:left w:val="single" w:color="000000" w:sz="4" w:space="0"/>
            </w:tcBorders>
            <w:vAlign w:val="top"/>
          </w:tcPr>
          <w:p>
            <w:pPr>
              <w:spacing w:before="88" w:line="222"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8" w:line="222"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22"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22"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2" w:line="187" w:lineRule="auto"/>
              <w:ind w:left="46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3" w:line="223" w:lineRule="auto"/>
              <w:ind w:left="269"/>
            </w:pPr>
            <w:r>
              <w:rPr>
                <w:spacing w:val="-2"/>
              </w:rPr>
              <w:t>昼间</w:t>
            </w:r>
          </w:p>
        </w:tc>
        <w:tc>
          <w:tcPr>
            <w:tcW w:w="704" w:type="dxa"/>
            <w:vAlign w:val="top"/>
          </w:tcPr>
          <w:p>
            <w:pPr>
              <w:spacing w:before="91"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1"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818" w:type="dxa"/>
            <w:vAlign w:val="top"/>
          </w:tcPr>
          <w:p>
            <w:pPr>
              <w:spacing w:before="91"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773" w:type="dxa"/>
            <w:vAlign w:val="top"/>
          </w:tcPr>
          <w:p>
            <w:pPr>
              <w:spacing w:before="91"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61.2</w:t>
            </w:r>
          </w:p>
        </w:tc>
        <w:tc>
          <w:tcPr>
            <w:tcW w:w="900" w:type="dxa"/>
            <w:vAlign w:val="top"/>
          </w:tcPr>
          <w:p>
            <w:pPr>
              <w:spacing w:before="91"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61.5</w:t>
            </w:r>
          </w:p>
        </w:tc>
        <w:tc>
          <w:tcPr>
            <w:tcW w:w="1039" w:type="dxa"/>
            <w:tcBorders>
              <w:right w:val="single" w:color="000000" w:sz="4" w:space="0"/>
            </w:tcBorders>
            <w:vAlign w:val="top"/>
          </w:tcPr>
          <w:p>
            <w:pPr>
              <w:spacing w:before="9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+11.8</w:t>
            </w:r>
          </w:p>
        </w:tc>
        <w:tc>
          <w:tcPr>
            <w:tcW w:w="713" w:type="dxa"/>
            <w:tcBorders>
              <w:left w:val="single" w:color="000000" w:sz="4" w:space="0"/>
            </w:tcBorders>
            <w:vAlign w:val="top"/>
          </w:tcPr>
          <w:p>
            <w:pPr>
              <w:spacing w:before="91"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7" w:line="220"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7" w:line="220"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7" w:line="220"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2" w:line="221" w:lineRule="auto"/>
              <w:ind w:left="273"/>
            </w:pPr>
            <w:r>
              <w:rPr>
                <w:spacing w:val="-3"/>
              </w:rPr>
              <w:t>夜间</w:t>
            </w:r>
          </w:p>
        </w:tc>
        <w:tc>
          <w:tcPr>
            <w:tcW w:w="704" w:type="dxa"/>
            <w:vAlign w:val="top"/>
          </w:tcPr>
          <w:p>
            <w:pPr>
              <w:spacing w:before="91"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1"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818" w:type="dxa"/>
            <w:vAlign w:val="top"/>
          </w:tcPr>
          <w:p>
            <w:pPr>
              <w:spacing w:before="91"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773" w:type="dxa"/>
            <w:vAlign w:val="top"/>
          </w:tcPr>
          <w:p>
            <w:pPr>
              <w:spacing w:before="91"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50.9</w:t>
            </w:r>
          </w:p>
        </w:tc>
        <w:tc>
          <w:tcPr>
            <w:tcW w:w="900" w:type="dxa"/>
            <w:vAlign w:val="top"/>
          </w:tcPr>
          <w:p>
            <w:pPr>
              <w:spacing w:before="91"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51.1</w:t>
            </w:r>
          </w:p>
        </w:tc>
        <w:tc>
          <w:tcPr>
            <w:tcW w:w="1039" w:type="dxa"/>
            <w:tcBorders>
              <w:right w:val="single" w:color="000000" w:sz="4" w:space="0"/>
            </w:tcBorders>
            <w:vAlign w:val="top"/>
          </w:tcPr>
          <w:p>
            <w:pPr>
              <w:spacing w:before="9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+13.6</w:t>
            </w:r>
          </w:p>
        </w:tc>
        <w:tc>
          <w:tcPr>
            <w:tcW w:w="713" w:type="dxa"/>
            <w:tcBorders>
              <w:left w:val="single" w:color="000000" w:sz="4" w:space="0"/>
            </w:tcBorders>
            <w:vAlign w:val="top"/>
          </w:tcPr>
          <w:p>
            <w:pPr>
              <w:spacing w:before="91"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87" w:line="222"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7" w:line="222"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7" w:line="222"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restart"/>
            <w:tcBorders>
              <w:bottom w:val="nil"/>
            </w:tcBorders>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61" w:line="184"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81"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31" w:lineRule="auto"/>
              <w:ind w:left="281" w:right="163" w:hanging="102"/>
            </w:pPr>
            <w:r>
              <w:rPr>
                <w:spacing w:val="-2"/>
              </w:rPr>
              <w:t>让川村安</w:t>
            </w:r>
            <w:r>
              <w:t xml:space="preserve"> </w:t>
            </w:r>
            <w:r>
              <w:rPr>
                <w:spacing w:val="-1"/>
              </w:rPr>
              <w:t>置小区</w:t>
            </w:r>
          </w:p>
        </w:tc>
        <w:tc>
          <w:tcPr>
            <w:tcW w:w="1106"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0" w:line="18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96</w:t>
            </w:r>
          </w:p>
        </w:tc>
        <w:tc>
          <w:tcPr>
            <w:tcW w:w="1085" w:type="dxa"/>
            <w:vMerge w:val="restart"/>
            <w:tcBorders>
              <w:bottom w:val="nil"/>
            </w:tcBorders>
            <w:vAlign w:val="top"/>
          </w:tcPr>
          <w:p>
            <w:pPr>
              <w:spacing w:before="252" w:line="187"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866" w:type="dxa"/>
            <w:vMerge w:val="restart"/>
            <w:tcBorders>
              <w:bottom w:val="nil"/>
            </w:tcBorders>
            <w:vAlign w:val="top"/>
          </w:tcPr>
          <w:p>
            <w:pPr>
              <w:spacing w:line="468" w:lineRule="auto"/>
              <w:rPr>
                <w:rFonts w:ascii="Arial"/>
                <w:sz w:val="21"/>
              </w:rPr>
            </w:pPr>
          </w:p>
          <w:p>
            <w:pPr>
              <w:pStyle w:val="6"/>
              <w:spacing w:before="69" w:line="221" w:lineRule="auto"/>
              <w:ind w:left="178"/>
            </w:pPr>
            <w:r>
              <w:rPr>
                <w:rFonts w:ascii="Times New Roman" w:hAnsi="Times New Roman" w:eastAsia="Times New Roman" w:cs="Times New Roman"/>
                <w:spacing w:val="-1"/>
              </w:rPr>
              <w:t>4a</w:t>
            </w:r>
            <w:r>
              <w:rPr>
                <w:rFonts w:ascii="Times New Roman" w:hAnsi="Times New Roman" w:eastAsia="Times New Roman" w:cs="Times New Roman"/>
                <w:spacing w:val="4"/>
              </w:rPr>
              <w:t xml:space="preserve">  </w:t>
            </w:r>
            <w:r>
              <w:rPr>
                <w:spacing w:val="-1"/>
              </w:rPr>
              <w:t>类</w:t>
            </w:r>
          </w:p>
        </w:tc>
        <w:tc>
          <w:tcPr>
            <w:tcW w:w="945" w:type="dxa"/>
            <w:vAlign w:val="top"/>
          </w:tcPr>
          <w:p>
            <w:pPr>
              <w:pStyle w:val="6"/>
              <w:spacing w:before="53" w:line="223" w:lineRule="auto"/>
              <w:ind w:left="269"/>
            </w:pPr>
            <w:r>
              <w:rPr>
                <w:spacing w:val="-2"/>
              </w:rPr>
              <w:t>昼间</w:t>
            </w:r>
          </w:p>
        </w:tc>
        <w:tc>
          <w:tcPr>
            <w:tcW w:w="704" w:type="dxa"/>
            <w:vAlign w:val="top"/>
          </w:tcPr>
          <w:p>
            <w:pPr>
              <w:spacing w:before="91"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2"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1"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c>
          <w:tcPr>
            <w:tcW w:w="818" w:type="dxa"/>
            <w:vAlign w:val="top"/>
          </w:tcPr>
          <w:p>
            <w:pPr>
              <w:spacing w:before="91"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773" w:type="dxa"/>
            <w:vAlign w:val="top"/>
          </w:tcPr>
          <w:p>
            <w:pPr>
              <w:spacing w:before="91"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62.3</w:t>
            </w:r>
          </w:p>
        </w:tc>
        <w:tc>
          <w:tcPr>
            <w:tcW w:w="900" w:type="dxa"/>
            <w:vAlign w:val="top"/>
          </w:tcPr>
          <w:p>
            <w:pPr>
              <w:spacing w:before="91"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62.3</w:t>
            </w:r>
          </w:p>
        </w:tc>
        <w:tc>
          <w:tcPr>
            <w:tcW w:w="1039" w:type="dxa"/>
            <w:tcBorders>
              <w:right w:val="single" w:color="000000" w:sz="4" w:space="0"/>
            </w:tcBorders>
            <w:vAlign w:val="top"/>
          </w:tcPr>
          <w:p>
            <w:pPr>
              <w:spacing w:before="9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+5.9</w:t>
            </w:r>
          </w:p>
        </w:tc>
        <w:tc>
          <w:tcPr>
            <w:tcW w:w="713" w:type="dxa"/>
            <w:tcBorders>
              <w:left w:val="single" w:color="000000" w:sz="4" w:space="0"/>
            </w:tcBorders>
            <w:vAlign w:val="top"/>
          </w:tcPr>
          <w:p>
            <w:pPr>
              <w:spacing w:before="88"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0"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4351" w:type="dxa"/>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8" w:line="218" w:lineRule="auto"/>
              <w:ind w:left="108"/>
            </w:pPr>
            <w:r>
              <w:rPr>
                <w:rFonts w:ascii="Times New Roman" w:hAnsi="Times New Roman" w:eastAsia="Times New Roman" w:cs="Times New Roman"/>
                <w:spacing w:val="-3"/>
              </w:rPr>
              <w:t xml:space="preserve">4a </w:t>
            </w:r>
            <w:r>
              <w:rPr>
                <w:spacing w:val="-3"/>
              </w:rPr>
              <w:t>类区</w:t>
            </w:r>
            <w:r>
              <w:rPr>
                <w:spacing w:val="-41"/>
              </w:rPr>
              <w:t xml:space="preserve"> </w:t>
            </w:r>
            <w:r>
              <w:rPr>
                <w:rFonts w:ascii="Times New Roman" w:hAnsi="Times New Roman" w:eastAsia="Times New Roman" w:cs="Times New Roman"/>
                <w:spacing w:val="-3"/>
              </w:rPr>
              <w:t xml:space="preserve">4 </w:t>
            </w:r>
            <w:r>
              <w:rPr>
                <w:spacing w:val="-3"/>
              </w:rPr>
              <w:t>户、</w:t>
            </w:r>
            <w:r>
              <w:rPr>
                <w:rFonts w:ascii="Times New Roman" w:hAnsi="Times New Roman" w:eastAsia="Times New Roman" w:cs="Times New Roman"/>
                <w:spacing w:val="-3"/>
              </w:rPr>
              <w:t xml:space="preserve">2 </w:t>
            </w:r>
            <w:r>
              <w:rPr>
                <w:spacing w:val="-3"/>
              </w:rPr>
              <w:t>类区</w:t>
            </w:r>
            <w:r>
              <w:rPr>
                <w:spacing w:val="-43"/>
              </w:rPr>
              <w:t xml:space="preserve"> </w:t>
            </w:r>
            <w:r>
              <w:rPr>
                <w:rFonts w:ascii="Times New Roman" w:hAnsi="Times New Roman" w:eastAsia="Times New Roman" w:cs="Times New Roman"/>
                <w:spacing w:val="-3"/>
              </w:rPr>
              <w:t xml:space="preserve">6 </w:t>
            </w:r>
            <w:r>
              <w:rPr>
                <w:spacing w:val="-3"/>
              </w:rPr>
              <w:t>户安装隔声窗，使其满</w:t>
            </w:r>
          </w:p>
          <w:p>
            <w:pPr>
              <w:pStyle w:val="6"/>
              <w:spacing w:before="68" w:line="249" w:lineRule="auto"/>
              <w:ind w:left="1882" w:right="141" w:hanging="1744"/>
            </w:pPr>
            <w:r>
              <w:rPr>
                <w:spacing w:val="-1"/>
              </w:rPr>
              <w:t>足《建筑环境通用规范》（</w:t>
            </w:r>
            <w:r>
              <w:rPr>
                <w:rFonts w:ascii="Times New Roman" w:hAnsi="Times New Roman" w:eastAsia="Times New Roman" w:cs="Times New Roman"/>
                <w:spacing w:val="-1"/>
              </w:rPr>
              <w:t>GB 55016-2021</w:t>
            </w:r>
            <w:r>
              <w:rPr>
                <w:spacing w:val="-1"/>
              </w:rPr>
              <w:t>）</w:t>
            </w:r>
            <w:r>
              <w:rPr>
                <w:spacing w:val="2"/>
              </w:rPr>
              <w:t xml:space="preserve"> </w:t>
            </w:r>
            <w:r>
              <w:rPr>
                <w:spacing w:val="-5"/>
              </w:rPr>
              <w:t>的要求</w:t>
            </w:r>
          </w:p>
        </w:tc>
        <w:tc>
          <w:tcPr>
            <w:tcW w:w="986" w:type="dxa"/>
            <w:vMerge w:val="restart"/>
            <w:tcBorders>
              <w:bottom w:val="nil"/>
            </w:tcBorders>
            <w:vAlign w:val="top"/>
          </w:tcPr>
          <w:p>
            <w:pPr>
              <w:spacing w:line="246" w:lineRule="auto"/>
              <w:rPr>
                <w:rFonts w:ascii="Arial"/>
                <w:sz w:val="21"/>
              </w:rPr>
            </w:pPr>
          </w:p>
          <w:p>
            <w:pPr>
              <w:spacing w:line="246" w:lineRule="auto"/>
              <w:rPr>
                <w:rFonts w:ascii="Arial"/>
                <w:sz w:val="21"/>
              </w:rPr>
            </w:pPr>
          </w:p>
          <w:p>
            <w:pPr>
              <w:pStyle w:val="6"/>
              <w:spacing w:before="68" w:line="258" w:lineRule="auto"/>
              <w:ind w:left="118" w:right="99" w:firstLine="57"/>
              <w:jc w:val="both"/>
            </w:pPr>
            <w:r>
              <w:rPr>
                <w:rFonts w:ascii="Times New Roman" w:hAnsi="Times New Roman" w:eastAsia="Times New Roman" w:cs="Times New Roman"/>
                <w:spacing w:val="-9"/>
              </w:rPr>
              <w:t>10</w:t>
            </w:r>
            <w:r>
              <w:rPr>
                <w:rFonts w:ascii="Times New Roman" w:hAnsi="Times New Roman" w:eastAsia="Times New Roman" w:cs="Times New Roman"/>
                <w:spacing w:val="11"/>
              </w:rPr>
              <w:t xml:space="preserve"> </w:t>
            </w:r>
            <w:r>
              <w:rPr>
                <w:spacing w:val="-9"/>
              </w:rPr>
              <w:t>户隔</w:t>
            </w:r>
            <w:r>
              <w:t xml:space="preserve"> </w:t>
            </w:r>
            <w:r>
              <w:rPr>
                <w:spacing w:val="-20"/>
              </w:rPr>
              <w:t>声窗，预</w:t>
            </w:r>
            <w:r>
              <w:rPr>
                <w:spacing w:val="1"/>
              </w:rPr>
              <w:t xml:space="preserve"> </w:t>
            </w:r>
            <w:r>
              <w:rPr>
                <w:spacing w:val="20"/>
              </w:rPr>
              <w:t>计每户</w:t>
            </w:r>
          </w:p>
          <w:p>
            <w:pPr>
              <w:pStyle w:val="6"/>
              <w:spacing w:before="63" w:line="249" w:lineRule="auto"/>
              <w:ind w:left="290" w:right="172" w:hanging="102"/>
            </w:pPr>
            <w:r>
              <w:rPr>
                <w:spacing w:val="-10"/>
              </w:rPr>
              <w:t>约</w:t>
            </w:r>
            <w:r>
              <w:rPr>
                <w:spacing w:val="-47"/>
              </w:rPr>
              <w:t xml:space="preserve"> </w:t>
            </w:r>
            <w:r>
              <w:rPr>
                <w:rFonts w:ascii="Times New Roman" w:hAnsi="Times New Roman" w:eastAsia="Times New Roman" w:cs="Times New Roman"/>
                <w:spacing w:val="-10"/>
              </w:rPr>
              <w:t>2</w:t>
            </w:r>
            <w:r>
              <w:rPr>
                <w:rFonts w:ascii="Times New Roman" w:hAnsi="Times New Roman" w:eastAsia="Times New Roman" w:cs="Times New Roman"/>
                <w:spacing w:val="13"/>
                <w:w w:val="101"/>
              </w:rPr>
              <w:t xml:space="preserve"> </w:t>
            </w:r>
            <w:r>
              <w:rPr>
                <w:spacing w:val="-10"/>
              </w:rPr>
              <w:t>万</w:t>
            </w:r>
            <w:r>
              <w:t xml:space="preserve"> </w:t>
            </w:r>
            <w:r>
              <w:rPr>
                <w:spacing w:val="-10"/>
              </w:rPr>
              <w:t>元。</w:t>
            </w:r>
          </w:p>
        </w:tc>
        <w:tc>
          <w:tcPr>
            <w:tcW w:w="597" w:type="dxa"/>
            <w:vAlign w:val="top"/>
          </w:tcPr>
          <w:p>
            <w:pPr>
              <w:spacing w:before="88"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61"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2" w:line="221" w:lineRule="auto"/>
              <w:ind w:left="273"/>
            </w:pPr>
            <w:r>
              <w:rPr>
                <w:spacing w:val="-3"/>
              </w:rPr>
              <w:t>夜间</w:t>
            </w:r>
          </w:p>
        </w:tc>
        <w:tc>
          <w:tcPr>
            <w:tcW w:w="704" w:type="dxa"/>
            <w:vAlign w:val="top"/>
          </w:tcPr>
          <w:p>
            <w:pPr>
              <w:spacing w:before="94"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1"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33.6</w:t>
            </w:r>
          </w:p>
        </w:tc>
        <w:tc>
          <w:tcPr>
            <w:tcW w:w="818" w:type="dxa"/>
            <w:vAlign w:val="top"/>
          </w:tcPr>
          <w:p>
            <w:pPr>
              <w:spacing w:before="91"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773" w:type="dxa"/>
            <w:vAlign w:val="top"/>
          </w:tcPr>
          <w:p>
            <w:pPr>
              <w:spacing w:before="91"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53.3</w:t>
            </w:r>
          </w:p>
        </w:tc>
        <w:tc>
          <w:tcPr>
            <w:tcW w:w="900" w:type="dxa"/>
            <w:vAlign w:val="top"/>
          </w:tcPr>
          <w:p>
            <w:pPr>
              <w:spacing w:before="91"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53.3</w:t>
            </w:r>
          </w:p>
        </w:tc>
        <w:tc>
          <w:tcPr>
            <w:tcW w:w="1039" w:type="dxa"/>
            <w:tcBorders>
              <w:right w:val="single" w:color="000000" w:sz="4" w:space="0"/>
            </w:tcBorders>
            <w:vAlign w:val="top"/>
          </w:tcPr>
          <w:p>
            <w:pPr>
              <w:spacing w:before="9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713" w:type="dxa"/>
            <w:tcBorders>
              <w:left w:val="single" w:color="000000" w:sz="4" w:space="0"/>
            </w:tcBorders>
            <w:vAlign w:val="top"/>
          </w:tcPr>
          <w:p>
            <w:pPr>
              <w:spacing w:before="88"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8"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7" w:line="184" w:lineRule="auto"/>
              <w:ind w:left="497"/>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3" w:line="223" w:lineRule="auto"/>
              <w:ind w:left="269"/>
            </w:pPr>
            <w:r>
              <w:rPr>
                <w:spacing w:val="-2"/>
              </w:rPr>
              <w:t>昼间</w:t>
            </w:r>
          </w:p>
        </w:tc>
        <w:tc>
          <w:tcPr>
            <w:tcW w:w="704" w:type="dxa"/>
            <w:vAlign w:val="top"/>
          </w:tcPr>
          <w:p>
            <w:pPr>
              <w:spacing w:before="91"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4"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4"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46.8</w:t>
            </w:r>
          </w:p>
        </w:tc>
        <w:tc>
          <w:tcPr>
            <w:tcW w:w="818" w:type="dxa"/>
            <w:vAlign w:val="top"/>
          </w:tcPr>
          <w:p>
            <w:pPr>
              <w:spacing w:before="94"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58.6</w:t>
            </w:r>
          </w:p>
        </w:tc>
        <w:tc>
          <w:tcPr>
            <w:tcW w:w="773" w:type="dxa"/>
            <w:vAlign w:val="top"/>
          </w:tcPr>
          <w:p>
            <w:pPr>
              <w:spacing w:before="94"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64.3</w:t>
            </w:r>
          </w:p>
        </w:tc>
        <w:tc>
          <w:tcPr>
            <w:tcW w:w="900" w:type="dxa"/>
            <w:vAlign w:val="top"/>
          </w:tcPr>
          <w:p>
            <w:pPr>
              <w:spacing w:before="9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64.4</w:t>
            </w:r>
          </w:p>
        </w:tc>
        <w:tc>
          <w:tcPr>
            <w:tcW w:w="1039" w:type="dxa"/>
            <w:tcBorders>
              <w:right w:val="single" w:color="000000" w:sz="4" w:space="0"/>
            </w:tcBorders>
            <w:vAlign w:val="top"/>
          </w:tcPr>
          <w:p>
            <w:pPr>
              <w:spacing w:before="94"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+5.8</w:t>
            </w:r>
          </w:p>
        </w:tc>
        <w:tc>
          <w:tcPr>
            <w:tcW w:w="713" w:type="dxa"/>
            <w:tcBorders>
              <w:left w:val="single" w:color="000000" w:sz="4" w:space="0"/>
            </w:tcBorders>
            <w:vAlign w:val="top"/>
          </w:tcPr>
          <w:p>
            <w:pPr>
              <w:spacing w:before="90"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0"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0"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0"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0"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5"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35.6</w:t>
            </w:r>
          </w:p>
        </w:tc>
        <w:tc>
          <w:tcPr>
            <w:tcW w:w="818" w:type="dxa"/>
            <w:vAlign w:val="top"/>
          </w:tcPr>
          <w:p>
            <w:pPr>
              <w:spacing w:before="92"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51.8</w:t>
            </w:r>
          </w:p>
        </w:tc>
        <w:tc>
          <w:tcPr>
            <w:tcW w:w="773" w:type="dxa"/>
            <w:vAlign w:val="top"/>
          </w:tcPr>
          <w:p>
            <w:pPr>
              <w:spacing w:before="92"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900" w:type="dxa"/>
            <w:vAlign w:val="top"/>
          </w:tcPr>
          <w:p>
            <w:pPr>
              <w:spacing w:before="9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55.3</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713" w:type="dxa"/>
            <w:tcBorders>
              <w:left w:val="single" w:color="000000" w:sz="4" w:space="0"/>
            </w:tcBorders>
            <w:vAlign w:val="top"/>
          </w:tcPr>
          <w:p>
            <w:pPr>
              <w:spacing w:before="92"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w:t>
            </w:r>
          </w:p>
        </w:tc>
        <w:tc>
          <w:tcPr>
            <w:tcW w:w="701" w:type="dxa"/>
            <w:vMerge w:val="continue"/>
            <w:tcBorders>
              <w:top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8"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1" w:line="18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w:t>
            </w:r>
          </w:p>
        </w:tc>
        <w:tc>
          <w:tcPr>
            <w:tcW w:w="1085" w:type="dxa"/>
            <w:vMerge w:val="restart"/>
            <w:tcBorders>
              <w:bottom w:val="nil"/>
            </w:tcBorders>
            <w:vAlign w:val="top"/>
          </w:tcPr>
          <w:p>
            <w:pPr>
              <w:spacing w:before="255" w:line="187"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866" w:type="dxa"/>
            <w:vMerge w:val="restart"/>
            <w:tcBorders>
              <w:bottom w:val="nil"/>
            </w:tcBorders>
            <w:vAlign w:val="top"/>
          </w:tcPr>
          <w:p>
            <w:pPr>
              <w:spacing w:line="469" w:lineRule="auto"/>
              <w:rPr>
                <w:rFonts w:ascii="Arial"/>
                <w:sz w:val="21"/>
              </w:rPr>
            </w:pPr>
          </w:p>
          <w:p>
            <w:pPr>
              <w:pStyle w:val="6"/>
              <w:spacing w:before="68" w:line="221" w:lineRule="auto"/>
              <w:ind w:left="227"/>
            </w:pPr>
            <w:r>
              <w:rPr>
                <w:rFonts w:ascii="Times New Roman" w:hAnsi="Times New Roman" w:eastAsia="Times New Roman" w:cs="Times New Roman"/>
                <w:spacing w:val="-2"/>
              </w:rPr>
              <w:t>2</w:t>
            </w:r>
            <w:r>
              <w:rPr>
                <w:rFonts w:ascii="Times New Roman" w:hAnsi="Times New Roman" w:eastAsia="Times New Roman" w:cs="Times New Roman"/>
                <w:spacing w:val="4"/>
              </w:rPr>
              <w:t xml:space="preserve">  </w:t>
            </w:r>
            <w:r>
              <w:rPr>
                <w:spacing w:val="-2"/>
              </w:rPr>
              <w:t>类</w:t>
            </w:r>
          </w:p>
        </w:tc>
        <w:tc>
          <w:tcPr>
            <w:tcW w:w="945" w:type="dxa"/>
            <w:vAlign w:val="top"/>
          </w:tcPr>
          <w:p>
            <w:pPr>
              <w:pStyle w:val="6"/>
              <w:spacing w:before="54" w:line="223" w:lineRule="auto"/>
              <w:ind w:left="269"/>
            </w:pPr>
            <w:r>
              <w:rPr>
                <w:spacing w:val="-2"/>
              </w:rPr>
              <w:t>昼间</w:t>
            </w:r>
          </w:p>
        </w:tc>
        <w:tc>
          <w:tcPr>
            <w:tcW w:w="704" w:type="dxa"/>
            <w:vAlign w:val="top"/>
          </w:tcPr>
          <w:p>
            <w:pPr>
              <w:spacing w:before="92"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2"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818" w:type="dxa"/>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773" w:type="dxa"/>
            <w:vAlign w:val="top"/>
          </w:tcPr>
          <w:p>
            <w:pPr>
              <w:spacing w:before="92"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59.1</w:t>
            </w:r>
          </w:p>
        </w:tc>
        <w:tc>
          <w:tcPr>
            <w:tcW w:w="900" w:type="dxa"/>
            <w:vAlign w:val="top"/>
          </w:tcPr>
          <w:p>
            <w:pPr>
              <w:spacing w:before="9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59.1</w:t>
            </w:r>
          </w:p>
        </w:tc>
        <w:tc>
          <w:tcPr>
            <w:tcW w:w="1039" w:type="dxa"/>
            <w:tcBorders>
              <w:right w:val="single" w:color="000000" w:sz="4" w:space="0"/>
            </w:tcBorders>
            <w:vAlign w:val="top"/>
          </w:tcPr>
          <w:p>
            <w:pPr>
              <w:spacing w:before="92"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+10.7</w:t>
            </w:r>
          </w:p>
        </w:tc>
        <w:tc>
          <w:tcPr>
            <w:tcW w:w="713" w:type="dxa"/>
            <w:tcBorders>
              <w:left w:val="single" w:color="000000" w:sz="4" w:space="0"/>
            </w:tcBorders>
            <w:vAlign w:val="top"/>
          </w:tcPr>
          <w:p>
            <w:pPr>
              <w:spacing w:before="88" w:line="221"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1" w:line="187" w:lineRule="auto"/>
              <w:ind w:left="30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8" w:line="221"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21"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21"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2"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37.8</w:t>
            </w:r>
          </w:p>
        </w:tc>
        <w:tc>
          <w:tcPr>
            <w:tcW w:w="818" w:type="dxa"/>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773" w:type="dxa"/>
            <w:vAlign w:val="top"/>
          </w:tcPr>
          <w:p>
            <w:pPr>
              <w:spacing w:before="92"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49.1</w:t>
            </w:r>
          </w:p>
        </w:tc>
        <w:tc>
          <w:tcPr>
            <w:tcW w:w="900" w:type="dxa"/>
            <w:vAlign w:val="top"/>
          </w:tcPr>
          <w:p>
            <w:pPr>
              <w:spacing w:before="92"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49.4</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w:t>
            </w:r>
          </w:p>
        </w:tc>
        <w:tc>
          <w:tcPr>
            <w:tcW w:w="713" w:type="dxa"/>
            <w:tcBorders>
              <w:left w:val="single" w:color="000000" w:sz="4" w:space="0"/>
            </w:tcBorders>
            <w:vAlign w:val="top"/>
          </w:tcPr>
          <w:p>
            <w:pPr>
              <w:spacing w:before="88"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8"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8" w:line="184" w:lineRule="auto"/>
              <w:ind w:left="497"/>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4" w:line="223" w:lineRule="auto"/>
              <w:ind w:left="269"/>
            </w:pPr>
            <w:r>
              <w:rPr>
                <w:spacing w:val="-2"/>
              </w:rPr>
              <w:t>昼间</w:t>
            </w:r>
          </w:p>
        </w:tc>
        <w:tc>
          <w:tcPr>
            <w:tcW w:w="704" w:type="dxa"/>
            <w:vAlign w:val="top"/>
          </w:tcPr>
          <w:p>
            <w:pPr>
              <w:spacing w:before="92"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818" w:type="dxa"/>
            <w:vAlign w:val="top"/>
          </w:tcPr>
          <w:p>
            <w:pPr>
              <w:spacing w:before="92"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773" w:type="dxa"/>
            <w:vAlign w:val="top"/>
          </w:tcPr>
          <w:p>
            <w:pPr>
              <w:spacing w:before="92"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60.9</w:t>
            </w:r>
          </w:p>
        </w:tc>
        <w:tc>
          <w:tcPr>
            <w:tcW w:w="900" w:type="dxa"/>
            <w:vAlign w:val="top"/>
          </w:tcPr>
          <w:p>
            <w:pPr>
              <w:spacing w:before="92"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61.0</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w:t>
            </w:r>
          </w:p>
        </w:tc>
        <w:tc>
          <w:tcPr>
            <w:tcW w:w="713" w:type="dxa"/>
            <w:tcBorders>
              <w:left w:val="single" w:color="000000" w:sz="4" w:space="0"/>
            </w:tcBorders>
            <w:vAlign w:val="top"/>
          </w:tcPr>
          <w:p>
            <w:pPr>
              <w:spacing w:before="92"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8"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5"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37.2</w:t>
            </w:r>
          </w:p>
        </w:tc>
        <w:tc>
          <w:tcPr>
            <w:tcW w:w="818" w:type="dxa"/>
            <w:vAlign w:val="top"/>
          </w:tcPr>
          <w:p>
            <w:pPr>
              <w:spacing w:before="95"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45.1</w:t>
            </w:r>
          </w:p>
        </w:tc>
        <w:tc>
          <w:tcPr>
            <w:tcW w:w="773" w:type="dxa"/>
            <w:vAlign w:val="top"/>
          </w:tcPr>
          <w:p>
            <w:pPr>
              <w:spacing w:before="95" w:line="187"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900" w:type="dxa"/>
            <w:vAlign w:val="top"/>
          </w:tcPr>
          <w:p>
            <w:pPr>
              <w:spacing w:before="95"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51.2</w:t>
            </w:r>
          </w:p>
        </w:tc>
        <w:tc>
          <w:tcPr>
            <w:tcW w:w="1039" w:type="dxa"/>
            <w:tcBorders>
              <w:right w:val="single" w:color="000000" w:sz="4" w:space="0"/>
            </w:tcBorders>
            <w:vAlign w:val="top"/>
          </w:tcPr>
          <w:p>
            <w:pPr>
              <w:spacing w:before="95"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+6.1</w:t>
            </w:r>
          </w:p>
        </w:tc>
        <w:tc>
          <w:tcPr>
            <w:tcW w:w="713" w:type="dxa"/>
            <w:tcBorders>
              <w:left w:val="single" w:color="000000" w:sz="4" w:space="0"/>
            </w:tcBorders>
            <w:vAlign w:val="top"/>
          </w:tcPr>
          <w:p>
            <w:pPr>
              <w:spacing w:before="95"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91"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1"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1"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1"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1"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81" w:type="dxa"/>
            <w:vMerge w:val="restart"/>
            <w:tcBorders>
              <w:bottom w:val="nil"/>
            </w:tcBorders>
            <w:vAlign w:val="top"/>
          </w:tcPr>
          <w:p>
            <w:pPr>
              <w:spacing w:line="469" w:lineRule="auto"/>
              <w:rPr>
                <w:rFonts w:ascii="Arial"/>
                <w:sz w:val="21"/>
              </w:rPr>
            </w:pPr>
          </w:p>
          <w:p>
            <w:pPr>
              <w:pStyle w:val="6"/>
              <w:spacing w:before="69" w:line="222" w:lineRule="auto"/>
              <w:ind w:left="397"/>
            </w:pPr>
            <w:r>
              <w:rPr>
                <w:spacing w:val="-4"/>
              </w:rPr>
              <w:t>官田</w:t>
            </w:r>
          </w:p>
        </w:tc>
        <w:tc>
          <w:tcPr>
            <w:tcW w:w="1106"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1"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1085" w:type="dxa"/>
            <w:vMerge w:val="restart"/>
            <w:tcBorders>
              <w:bottom w:val="nil"/>
            </w:tcBorders>
            <w:vAlign w:val="top"/>
          </w:tcPr>
          <w:p>
            <w:pPr>
              <w:spacing w:before="255" w:line="187"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866" w:type="dxa"/>
            <w:vMerge w:val="restart"/>
            <w:tcBorders>
              <w:bottom w:val="nil"/>
            </w:tcBorders>
            <w:vAlign w:val="top"/>
          </w:tcPr>
          <w:p>
            <w:pPr>
              <w:spacing w:line="469" w:lineRule="auto"/>
              <w:rPr>
                <w:rFonts w:ascii="Arial"/>
                <w:sz w:val="21"/>
              </w:rPr>
            </w:pPr>
          </w:p>
          <w:p>
            <w:pPr>
              <w:pStyle w:val="6"/>
              <w:spacing w:before="68" w:line="221" w:lineRule="auto"/>
              <w:ind w:left="227"/>
            </w:pPr>
            <w:r>
              <w:rPr>
                <w:rFonts w:ascii="Times New Roman" w:hAnsi="Times New Roman" w:eastAsia="Times New Roman" w:cs="Times New Roman"/>
                <w:spacing w:val="-2"/>
              </w:rPr>
              <w:t>2</w:t>
            </w:r>
            <w:r>
              <w:rPr>
                <w:rFonts w:ascii="Times New Roman" w:hAnsi="Times New Roman" w:eastAsia="Times New Roman" w:cs="Times New Roman"/>
                <w:spacing w:val="4"/>
              </w:rPr>
              <w:t xml:space="preserve">  </w:t>
            </w:r>
            <w:r>
              <w:rPr>
                <w:spacing w:val="-2"/>
              </w:rPr>
              <w:t>类</w:t>
            </w:r>
          </w:p>
        </w:tc>
        <w:tc>
          <w:tcPr>
            <w:tcW w:w="945" w:type="dxa"/>
            <w:vAlign w:val="top"/>
          </w:tcPr>
          <w:p>
            <w:pPr>
              <w:pStyle w:val="6"/>
              <w:spacing w:before="54" w:line="223" w:lineRule="auto"/>
              <w:ind w:left="269"/>
            </w:pPr>
            <w:r>
              <w:rPr>
                <w:spacing w:val="-2"/>
              </w:rPr>
              <w:t>昼间</w:t>
            </w:r>
          </w:p>
        </w:tc>
        <w:tc>
          <w:tcPr>
            <w:tcW w:w="704" w:type="dxa"/>
            <w:vAlign w:val="top"/>
          </w:tcPr>
          <w:p>
            <w:pPr>
              <w:spacing w:before="92"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2"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818" w:type="dxa"/>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773" w:type="dxa"/>
            <w:vAlign w:val="top"/>
          </w:tcPr>
          <w:p>
            <w:pPr>
              <w:spacing w:before="92"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58.4</w:t>
            </w:r>
          </w:p>
        </w:tc>
        <w:tc>
          <w:tcPr>
            <w:tcW w:w="900" w:type="dxa"/>
            <w:vAlign w:val="top"/>
          </w:tcPr>
          <w:p>
            <w:pPr>
              <w:spacing w:before="9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58.4</w:t>
            </w:r>
          </w:p>
        </w:tc>
        <w:tc>
          <w:tcPr>
            <w:tcW w:w="1039" w:type="dxa"/>
            <w:tcBorders>
              <w:right w:val="single" w:color="000000" w:sz="4" w:space="0"/>
            </w:tcBorders>
            <w:vAlign w:val="top"/>
          </w:tcPr>
          <w:p>
            <w:pPr>
              <w:spacing w:before="92"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+10.0</w:t>
            </w:r>
          </w:p>
        </w:tc>
        <w:tc>
          <w:tcPr>
            <w:tcW w:w="713" w:type="dxa"/>
            <w:tcBorders>
              <w:left w:val="single" w:color="000000" w:sz="4" w:space="0"/>
            </w:tcBorders>
            <w:vAlign w:val="top"/>
          </w:tcPr>
          <w:p>
            <w:pPr>
              <w:spacing w:before="88"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0" w:line="187" w:lineRule="auto"/>
              <w:ind w:left="29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351" w:type="dxa"/>
            <w:vMerge w:val="restart"/>
            <w:tcBorders>
              <w:bottom w:val="nil"/>
            </w:tcBorders>
            <w:vAlign w:val="top"/>
          </w:tcPr>
          <w:p>
            <w:pPr>
              <w:spacing w:line="316" w:lineRule="auto"/>
              <w:rPr>
                <w:rFonts w:ascii="Arial"/>
                <w:sz w:val="21"/>
              </w:rPr>
            </w:pPr>
          </w:p>
          <w:p>
            <w:pPr>
              <w:pStyle w:val="6"/>
              <w:spacing w:before="69" w:line="249" w:lineRule="auto"/>
              <w:ind w:left="448" w:right="102" w:hanging="339"/>
            </w:pPr>
            <w:r>
              <w:rPr>
                <w:rFonts w:ascii="Times New Roman" w:hAnsi="Times New Roman" w:eastAsia="Times New Roman" w:cs="Times New Roman"/>
                <w:spacing w:val="-5"/>
              </w:rPr>
              <w:t xml:space="preserve">2 </w:t>
            </w:r>
            <w:r>
              <w:rPr>
                <w:spacing w:val="-5"/>
              </w:rPr>
              <w:t>类区</w:t>
            </w:r>
            <w:r>
              <w:rPr>
                <w:spacing w:val="-34"/>
              </w:rPr>
              <w:t xml:space="preserve"> </w:t>
            </w:r>
            <w:r>
              <w:rPr>
                <w:rFonts w:ascii="Times New Roman" w:hAnsi="Times New Roman" w:eastAsia="Times New Roman" w:cs="Times New Roman"/>
                <w:spacing w:val="-5"/>
              </w:rPr>
              <w:t xml:space="preserve">2 </w:t>
            </w:r>
            <w:r>
              <w:rPr>
                <w:spacing w:val="-5"/>
              </w:rPr>
              <w:t>户安装隔声窗，</w:t>
            </w:r>
            <w:r>
              <w:rPr>
                <w:spacing w:val="-29"/>
              </w:rPr>
              <w:t xml:space="preserve"> </w:t>
            </w:r>
            <w:r>
              <w:rPr>
                <w:spacing w:val="-5"/>
              </w:rPr>
              <w:t>使其满足《建筑环境</w:t>
            </w:r>
            <w:r>
              <w:t xml:space="preserve"> </w:t>
            </w:r>
            <w:r>
              <w:rPr>
                <w:spacing w:val="-1"/>
              </w:rPr>
              <w:t>通用规范》（</w:t>
            </w:r>
            <w:r>
              <w:rPr>
                <w:rFonts w:ascii="Times New Roman" w:hAnsi="Times New Roman" w:eastAsia="Times New Roman" w:cs="Times New Roman"/>
                <w:spacing w:val="-1"/>
              </w:rPr>
              <w:t>GB 55016-2021</w:t>
            </w:r>
            <w:r>
              <w:rPr>
                <w:spacing w:val="-1"/>
              </w:rPr>
              <w:t>）的要求</w:t>
            </w:r>
          </w:p>
        </w:tc>
        <w:tc>
          <w:tcPr>
            <w:tcW w:w="986" w:type="dxa"/>
            <w:vMerge w:val="restart"/>
            <w:tcBorders>
              <w:bottom w:val="nil"/>
            </w:tcBorders>
            <w:vAlign w:val="top"/>
          </w:tcPr>
          <w:p>
            <w:pPr>
              <w:pStyle w:val="6"/>
              <w:spacing w:before="71" w:line="263" w:lineRule="auto"/>
              <w:ind w:left="113" w:right="100" w:hanging="3"/>
              <w:jc w:val="both"/>
            </w:pPr>
            <w:r>
              <w:rPr>
                <w:rFonts w:ascii="Times New Roman" w:hAnsi="Times New Roman" w:eastAsia="Times New Roman" w:cs="Times New Roman"/>
                <w:spacing w:val="-3"/>
              </w:rPr>
              <w:t>2</w:t>
            </w:r>
            <w:r>
              <w:rPr>
                <w:rFonts w:ascii="Times New Roman" w:hAnsi="Times New Roman" w:eastAsia="Times New Roman" w:cs="Times New Roman"/>
                <w:spacing w:val="-6"/>
              </w:rPr>
              <w:t xml:space="preserve"> </w:t>
            </w:r>
            <w:r>
              <w:rPr>
                <w:spacing w:val="-3"/>
              </w:rPr>
              <w:t>户隔声</w:t>
            </w:r>
            <w:r>
              <w:t xml:space="preserve"> </w:t>
            </w:r>
            <w:r>
              <w:rPr>
                <w:spacing w:val="-19"/>
              </w:rPr>
              <w:t>窗，预计</w:t>
            </w:r>
            <w:r>
              <w:rPr>
                <w:spacing w:val="1"/>
              </w:rPr>
              <w:t xml:space="preserve"> </w:t>
            </w:r>
            <w:r>
              <w:rPr>
                <w:spacing w:val="7"/>
              </w:rPr>
              <w:t>每户约</w:t>
            </w:r>
            <w:r>
              <w:rPr>
                <w:rFonts w:ascii="Times New Roman" w:hAnsi="Times New Roman" w:eastAsia="Times New Roman" w:cs="Times New Roman"/>
                <w:spacing w:val="7"/>
              </w:rPr>
              <w:t>2</w:t>
            </w:r>
            <w:r>
              <w:rPr>
                <w:rFonts w:ascii="Times New Roman" w:hAnsi="Times New Roman" w:eastAsia="Times New Roman" w:cs="Times New Roman"/>
                <w:spacing w:val="2"/>
              </w:rPr>
              <w:t xml:space="preserve"> </w:t>
            </w:r>
            <w:r>
              <w:rPr>
                <w:spacing w:val="11"/>
              </w:rPr>
              <w:t>万元。</w:t>
            </w:r>
          </w:p>
        </w:tc>
        <w:tc>
          <w:tcPr>
            <w:tcW w:w="597" w:type="dxa"/>
            <w:vAlign w:val="top"/>
          </w:tcPr>
          <w:p>
            <w:pPr>
              <w:spacing w:before="88"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0" w:line="187" w:lineRule="auto"/>
              <w:ind w:left="37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2"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37.8</w:t>
            </w:r>
          </w:p>
        </w:tc>
        <w:tc>
          <w:tcPr>
            <w:tcW w:w="818" w:type="dxa"/>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773" w:type="dxa"/>
            <w:vAlign w:val="top"/>
          </w:tcPr>
          <w:p>
            <w:pPr>
              <w:spacing w:before="92"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900" w:type="dxa"/>
            <w:vAlign w:val="top"/>
          </w:tcPr>
          <w:p>
            <w:pPr>
              <w:spacing w:before="92"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48.2</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+5.8</w:t>
            </w:r>
          </w:p>
        </w:tc>
        <w:tc>
          <w:tcPr>
            <w:tcW w:w="713" w:type="dxa"/>
            <w:tcBorders>
              <w:left w:val="single" w:color="000000" w:sz="4" w:space="0"/>
            </w:tcBorders>
            <w:vAlign w:val="top"/>
          </w:tcPr>
          <w:p>
            <w:pPr>
              <w:spacing w:before="88" w:line="221"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8" w:line="221"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8" w:line="221"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8" w:line="221"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9"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6" w:line="184" w:lineRule="auto"/>
              <w:ind w:left="497"/>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4" w:line="223" w:lineRule="auto"/>
              <w:ind w:left="269"/>
            </w:pPr>
            <w:r>
              <w:rPr>
                <w:spacing w:val="-2"/>
              </w:rPr>
              <w:t>昼间</w:t>
            </w:r>
          </w:p>
        </w:tc>
        <w:tc>
          <w:tcPr>
            <w:tcW w:w="704" w:type="dxa"/>
            <w:vAlign w:val="top"/>
          </w:tcPr>
          <w:p>
            <w:pPr>
              <w:spacing w:before="92"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818" w:type="dxa"/>
            <w:vAlign w:val="top"/>
          </w:tcPr>
          <w:p>
            <w:pPr>
              <w:spacing w:before="92"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773" w:type="dxa"/>
            <w:vAlign w:val="top"/>
          </w:tcPr>
          <w:p>
            <w:pPr>
              <w:spacing w:before="92"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60.4</w:t>
            </w:r>
          </w:p>
        </w:tc>
        <w:tc>
          <w:tcPr>
            <w:tcW w:w="900" w:type="dxa"/>
            <w:vAlign w:val="top"/>
          </w:tcPr>
          <w:p>
            <w:pPr>
              <w:spacing w:before="92"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60.5</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+5.9</w:t>
            </w:r>
          </w:p>
        </w:tc>
        <w:tc>
          <w:tcPr>
            <w:tcW w:w="713" w:type="dxa"/>
            <w:tcBorders>
              <w:left w:val="single" w:color="000000" w:sz="4" w:space="0"/>
            </w:tcBorders>
            <w:vAlign w:val="top"/>
          </w:tcPr>
          <w:p>
            <w:pPr>
              <w:spacing w:before="92"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9" w:line="218"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9" w:line="218"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9" w:line="218"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9" w:line="218"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2"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37.2</w:t>
            </w:r>
          </w:p>
        </w:tc>
        <w:tc>
          <w:tcPr>
            <w:tcW w:w="818" w:type="dxa"/>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45.1</w:t>
            </w:r>
          </w:p>
        </w:tc>
        <w:tc>
          <w:tcPr>
            <w:tcW w:w="773" w:type="dxa"/>
            <w:vAlign w:val="top"/>
          </w:tcPr>
          <w:p>
            <w:pPr>
              <w:spacing w:before="92"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50.2</w:t>
            </w:r>
          </w:p>
        </w:tc>
        <w:tc>
          <w:tcPr>
            <w:tcW w:w="900" w:type="dxa"/>
            <w:vAlign w:val="top"/>
          </w:tcPr>
          <w:p>
            <w:pPr>
              <w:spacing w:before="9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50.4</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w:t>
            </w:r>
          </w:p>
        </w:tc>
        <w:tc>
          <w:tcPr>
            <w:tcW w:w="713" w:type="dxa"/>
            <w:tcBorders>
              <w:left w:val="single" w:color="000000" w:sz="4" w:space="0"/>
            </w:tcBorders>
            <w:vAlign w:val="top"/>
          </w:tcPr>
          <w:p>
            <w:pPr>
              <w:spacing w:before="92"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89" w:line="220"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9" w:line="220"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9" w:line="220"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9"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restart"/>
            <w:tcBorders>
              <w:bottom w:val="nil"/>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60" w:line="187"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81"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9" w:line="220" w:lineRule="auto"/>
              <w:ind w:left="283"/>
            </w:pPr>
            <w:r>
              <w:rPr>
                <w:spacing w:val="-2"/>
              </w:rPr>
              <w:t>双田村</w:t>
            </w:r>
          </w:p>
        </w:tc>
        <w:tc>
          <w:tcPr>
            <w:tcW w:w="1106"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1"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085" w:type="dxa"/>
            <w:vMerge w:val="restart"/>
            <w:tcBorders>
              <w:bottom w:val="nil"/>
            </w:tcBorders>
            <w:vAlign w:val="top"/>
          </w:tcPr>
          <w:p>
            <w:pPr>
              <w:spacing w:before="253"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866" w:type="dxa"/>
            <w:vMerge w:val="restart"/>
            <w:tcBorders>
              <w:bottom w:val="nil"/>
            </w:tcBorders>
            <w:vAlign w:val="top"/>
          </w:tcPr>
          <w:p>
            <w:pPr>
              <w:spacing w:line="470" w:lineRule="auto"/>
              <w:rPr>
                <w:rFonts w:ascii="Arial"/>
                <w:sz w:val="21"/>
              </w:rPr>
            </w:pPr>
          </w:p>
          <w:p>
            <w:pPr>
              <w:pStyle w:val="6"/>
              <w:spacing w:before="68" w:line="221" w:lineRule="auto"/>
              <w:ind w:left="178"/>
            </w:pPr>
            <w:r>
              <w:rPr>
                <w:rFonts w:ascii="Times New Roman" w:hAnsi="Times New Roman" w:eastAsia="Times New Roman" w:cs="Times New Roman"/>
                <w:spacing w:val="-1"/>
              </w:rPr>
              <w:t>4a</w:t>
            </w:r>
            <w:r>
              <w:rPr>
                <w:rFonts w:ascii="Times New Roman" w:hAnsi="Times New Roman" w:eastAsia="Times New Roman" w:cs="Times New Roman"/>
                <w:spacing w:val="4"/>
              </w:rPr>
              <w:t xml:space="preserve">  </w:t>
            </w:r>
            <w:r>
              <w:rPr>
                <w:spacing w:val="-1"/>
              </w:rPr>
              <w:t>类</w:t>
            </w:r>
          </w:p>
        </w:tc>
        <w:tc>
          <w:tcPr>
            <w:tcW w:w="945" w:type="dxa"/>
            <w:vAlign w:val="top"/>
          </w:tcPr>
          <w:p>
            <w:pPr>
              <w:pStyle w:val="6"/>
              <w:spacing w:before="55" w:line="223" w:lineRule="auto"/>
              <w:ind w:left="269"/>
            </w:pPr>
            <w:r>
              <w:rPr>
                <w:spacing w:val="-2"/>
              </w:rPr>
              <w:t>昼间</w:t>
            </w:r>
          </w:p>
        </w:tc>
        <w:tc>
          <w:tcPr>
            <w:tcW w:w="704" w:type="dxa"/>
            <w:vAlign w:val="top"/>
          </w:tcPr>
          <w:p>
            <w:pPr>
              <w:spacing w:before="93"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4"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38.4</w:t>
            </w:r>
          </w:p>
        </w:tc>
        <w:tc>
          <w:tcPr>
            <w:tcW w:w="818" w:type="dxa"/>
            <w:vAlign w:val="top"/>
          </w:tcPr>
          <w:p>
            <w:pPr>
              <w:spacing w:before="93"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773" w:type="dxa"/>
            <w:vAlign w:val="top"/>
          </w:tcPr>
          <w:p>
            <w:pPr>
              <w:spacing w:before="93"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67.4</w:t>
            </w:r>
          </w:p>
        </w:tc>
        <w:tc>
          <w:tcPr>
            <w:tcW w:w="900" w:type="dxa"/>
            <w:vAlign w:val="top"/>
          </w:tcPr>
          <w:p>
            <w:pPr>
              <w:spacing w:before="93"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67.4</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w:t>
            </w:r>
          </w:p>
        </w:tc>
        <w:tc>
          <w:tcPr>
            <w:tcW w:w="713" w:type="dxa"/>
            <w:tcBorders>
              <w:left w:val="single" w:color="000000" w:sz="4" w:space="0"/>
            </w:tcBorders>
            <w:vAlign w:val="top"/>
          </w:tcPr>
          <w:p>
            <w:pPr>
              <w:spacing w:before="89" w:line="218"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1" w:line="187" w:lineRule="auto"/>
              <w:ind w:left="29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351" w:type="dxa"/>
            <w:vMerge w:val="restart"/>
            <w:tcBorders>
              <w:bottom w:val="nil"/>
            </w:tcBorders>
            <w:vAlign w:val="top"/>
          </w:tcPr>
          <w:p>
            <w:pPr>
              <w:pStyle w:val="6"/>
              <w:spacing w:before="248" w:line="269" w:lineRule="auto"/>
              <w:ind w:left="109" w:right="102" w:firstLine="56"/>
            </w:pPr>
            <w:r>
              <w:rPr>
                <w:rFonts w:ascii="Times New Roman" w:hAnsi="Times New Roman" w:eastAsia="Times New Roman" w:cs="Times New Roman"/>
                <w:spacing w:val="-2"/>
              </w:rPr>
              <w:t>1</w:t>
            </w:r>
            <w:r>
              <w:rPr>
                <w:spacing w:val="-2"/>
              </w:rPr>
              <w:t>、利用连接线北侧</w:t>
            </w:r>
            <w:r>
              <w:rPr>
                <w:spacing w:val="-48"/>
              </w:rPr>
              <w:t xml:space="preserve"> </w:t>
            </w:r>
            <w:r>
              <w:rPr>
                <w:rFonts w:ascii="Times New Roman" w:hAnsi="Times New Roman" w:eastAsia="Times New Roman" w:cs="Times New Roman"/>
                <w:spacing w:val="-2"/>
              </w:rPr>
              <w:t>L1K2+000~L1K2+350</w:t>
            </w:r>
            <w:r>
              <w:rPr>
                <w:rFonts w:ascii="Times New Roman" w:hAnsi="Times New Roman" w:eastAsia="Times New Roman" w:cs="Times New Roman"/>
                <w:spacing w:val="27"/>
              </w:rPr>
              <w:t xml:space="preserve"> </w:t>
            </w:r>
            <w:r>
              <w:rPr>
                <w:spacing w:val="-2"/>
              </w:rPr>
              <w:t>的</w:t>
            </w:r>
            <w:r>
              <w:t xml:space="preserve"> </w:t>
            </w:r>
            <w:r>
              <w:rPr>
                <w:spacing w:val="-9"/>
              </w:rPr>
              <w:t>隔声屏障，</w:t>
            </w:r>
            <w:r>
              <w:rPr>
                <w:spacing w:val="-33"/>
              </w:rPr>
              <w:t xml:space="preserve"> </w:t>
            </w:r>
            <w:r>
              <w:rPr>
                <w:spacing w:val="-9"/>
              </w:rPr>
              <w:t>隔声屏障等效高度为</w:t>
            </w:r>
            <w:r>
              <w:rPr>
                <w:spacing w:val="-44"/>
              </w:rPr>
              <w:t xml:space="preserve"> </w:t>
            </w:r>
            <w:r>
              <w:rPr>
                <w:rFonts w:ascii="Times New Roman" w:hAnsi="Times New Roman" w:eastAsia="Times New Roman" w:cs="Times New Roman"/>
                <w:spacing w:val="-9"/>
              </w:rPr>
              <w:t xml:space="preserve">3m  </w:t>
            </w:r>
            <w:r>
              <w:rPr>
                <w:spacing w:val="-9"/>
              </w:rPr>
              <w:t>高，</w:t>
            </w:r>
            <w:r>
              <w:rPr>
                <w:spacing w:val="-62"/>
              </w:rPr>
              <w:t xml:space="preserve"> </w:t>
            </w:r>
            <w:r>
              <w:rPr>
                <w:spacing w:val="-9"/>
              </w:rPr>
              <w:t>长度</w:t>
            </w:r>
            <w:r>
              <w:t xml:space="preserve"> </w:t>
            </w:r>
            <w:r>
              <w:rPr>
                <w:rFonts w:ascii="Times New Roman" w:hAnsi="Times New Roman" w:eastAsia="Times New Roman" w:cs="Times New Roman"/>
                <w:spacing w:val="2"/>
              </w:rPr>
              <w:t>350m</w:t>
            </w:r>
            <w:r>
              <w:rPr>
                <w:spacing w:val="2"/>
              </w:rPr>
              <w:t>。设计的声屏障应符合《声屏障声学设</w:t>
            </w:r>
            <w:r>
              <w:t xml:space="preserve"> </w:t>
            </w:r>
            <w:r>
              <w:rPr>
                <w:spacing w:val="1"/>
              </w:rPr>
              <w:t>计和测量规范》（</w:t>
            </w:r>
            <w:r>
              <w:rPr>
                <w:rFonts w:ascii="Times New Roman" w:hAnsi="Times New Roman" w:eastAsia="Times New Roman" w:cs="Times New Roman"/>
              </w:rPr>
              <w:t>HJ</w:t>
            </w:r>
            <w:r>
              <w:rPr>
                <w:rFonts w:ascii="Times New Roman" w:hAnsi="Times New Roman" w:eastAsia="Times New Roman" w:cs="Times New Roman"/>
                <w:spacing w:val="1"/>
              </w:rPr>
              <w:t>/T90-2004</w:t>
            </w:r>
            <w:r>
              <w:rPr>
                <w:spacing w:val="1"/>
              </w:rPr>
              <w:t>）、《声屏障</w:t>
            </w:r>
            <w:r>
              <w:rPr>
                <w:spacing w:val="11"/>
              </w:rPr>
              <w:t xml:space="preserve"> </w:t>
            </w:r>
            <w:r>
              <w:t>结构技术标准》（</w:t>
            </w:r>
            <w:r>
              <w:rPr>
                <w:rFonts w:ascii="Times New Roman" w:hAnsi="Times New Roman" w:eastAsia="Times New Roman" w:cs="Times New Roman"/>
              </w:rPr>
              <w:t>GB/T5133-2018</w:t>
            </w:r>
            <w:r>
              <w:t>）的要求。</w:t>
            </w:r>
            <w:r>
              <w:rPr>
                <w:spacing w:val="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2"/>
              </w:rPr>
              <w:t xml:space="preserve"> </w:t>
            </w:r>
            <w:r>
              <w:rPr>
                <w:spacing w:val="-2"/>
              </w:rPr>
              <w:t>、</w:t>
            </w:r>
            <w:r>
              <w:rPr>
                <w:rFonts w:ascii="Times New Roman" w:hAnsi="Times New Roman" w:eastAsia="Times New Roman" w:cs="Times New Roman"/>
                <w:spacing w:val="-2"/>
              </w:rPr>
              <w:t xml:space="preserve">4a </w:t>
            </w:r>
            <w:r>
              <w:rPr>
                <w:spacing w:val="-2"/>
              </w:rPr>
              <w:t>类区</w:t>
            </w:r>
            <w:r>
              <w:rPr>
                <w:spacing w:val="-51"/>
              </w:rPr>
              <w:t xml:space="preserve"> </w:t>
            </w:r>
            <w:r>
              <w:rPr>
                <w:rFonts w:ascii="Times New Roman" w:hAnsi="Times New Roman" w:eastAsia="Times New Roman" w:cs="Times New Roman"/>
                <w:spacing w:val="-2"/>
              </w:rPr>
              <w:t xml:space="preserve">2 </w:t>
            </w:r>
            <w:r>
              <w:rPr>
                <w:spacing w:val="-2"/>
              </w:rPr>
              <w:t>户安装隔声窗，使其满足《建筑</w:t>
            </w:r>
            <w:r>
              <w:t xml:space="preserve"> </w:t>
            </w:r>
            <w:r>
              <w:rPr>
                <w:spacing w:val="1"/>
              </w:rPr>
              <w:t>环境通用规范》（</w:t>
            </w:r>
            <w:r>
              <w:rPr>
                <w:rFonts w:ascii="Times New Roman" w:hAnsi="Times New Roman" w:eastAsia="Times New Roman" w:cs="Times New Roman"/>
              </w:rPr>
              <w:t>GB</w:t>
            </w:r>
            <w:r>
              <w:rPr>
                <w:rFonts w:ascii="Times New Roman" w:hAnsi="Times New Roman" w:eastAsia="Times New Roman" w:cs="Times New Roman"/>
                <w:spacing w:val="1"/>
              </w:rPr>
              <w:t xml:space="preserve"> 55016-2021</w:t>
            </w:r>
            <w:r>
              <w:rPr>
                <w:spacing w:val="1"/>
              </w:rPr>
              <w:t>）</w:t>
            </w:r>
            <w:r>
              <w:t>的要求。</w:t>
            </w:r>
          </w:p>
        </w:tc>
        <w:tc>
          <w:tcPr>
            <w:tcW w:w="986" w:type="dxa"/>
            <w:vMerge w:val="restart"/>
            <w:tcBorders>
              <w:bottom w:val="nil"/>
            </w:tcBorders>
            <w:vAlign w:val="top"/>
          </w:tcPr>
          <w:p>
            <w:pPr>
              <w:spacing w:line="355" w:lineRule="auto"/>
              <w:rPr>
                <w:rFonts w:ascii="Arial"/>
                <w:sz w:val="21"/>
              </w:rPr>
            </w:pPr>
          </w:p>
          <w:p>
            <w:pPr>
              <w:spacing w:line="355" w:lineRule="auto"/>
              <w:rPr>
                <w:rFonts w:ascii="Arial"/>
                <w:sz w:val="21"/>
              </w:rPr>
            </w:pPr>
          </w:p>
          <w:p>
            <w:pPr>
              <w:pStyle w:val="6"/>
              <w:spacing w:before="68" w:line="235" w:lineRule="auto"/>
              <w:ind w:left="115" w:right="97" w:hanging="3"/>
              <w:jc w:val="both"/>
            </w:pPr>
            <w:r>
              <w:rPr>
                <w:rFonts w:ascii="Times New Roman" w:hAnsi="Times New Roman" w:eastAsia="Times New Roman" w:cs="Times New Roman"/>
                <w:spacing w:val="-3"/>
              </w:rPr>
              <w:t>2</w:t>
            </w:r>
            <w:r>
              <w:rPr>
                <w:rFonts w:ascii="Times New Roman" w:hAnsi="Times New Roman" w:eastAsia="Times New Roman" w:cs="Times New Roman"/>
                <w:spacing w:val="-6"/>
              </w:rPr>
              <w:t xml:space="preserve"> </w:t>
            </w:r>
            <w:r>
              <w:rPr>
                <w:spacing w:val="-3"/>
              </w:rPr>
              <w:t>户隔声</w:t>
            </w:r>
            <w:r>
              <w:t xml:space="preserve"> </w:t>
            </w:r>
            <w:r>
              <w:rPr>
                <w:spacing w:val="-19"/>
              </w:rPr>
              <w:t>窗，预计</w:t>
            </w:r>
            <w:r>
              <w:rPr>
                <w:spacing w:val="1"/>
              </w:rPr>
              <w:t xml:space="preserve"> </w:t>
            </w:r>
            <w:r>
              <w:rPr>
                <w:spacing w:val="7"/>
              </w:rPr>
              <w:t>每户约</w:t>
            </w:r>
            <w:r>
              <w:rPr>
                <w:rFonts w:ascii="Times New Roman" w:hAnsi="Times New Roman" w:eastAsia="Times New Roman" w:cs="Times New Roman"/>
                <w:spacing w:val="7"/>
              </w:rPr>
              <w:t>2</w:t>
            </w:r>
            <w:r>
              <w:rPr>
                <w:rFonts w:ascii="Times New Roman" w:hAnsi="Times New Roman" w:eastAsia="Times New Roman" w:cs="Times New Roman"/>
                <w:spacing w:val="2"/>
              </w:rPr>
              <w:t xml:space="preserve"> </w:t>
            </w:r>
            <w:r>
              <w:rPr>
                <w:spacing w:val="12"/>
              </w:rPr>
              <w:t>万元。</w:t>
            </w:r>
          </w:p>
        </w:tc>
        <w:tc>
          <w:tcPr>
            <w:tcW w:w="597" w:type="dxa"/>
            <w:vAlign w:val="top"/>
          </w:tcPr>
          <w:p>
            <w:pPr>
              <w:spacing w:before="89" w:line="218"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9" w:line="218"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9" w:line="218"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9" w:line="218"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60" w:line="189" w:lineRule="auto"/>
              <w:ind w:left="37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6"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3"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w:t>
            </w:r>
          </w:p>
        </w:tc>
        <w:tc>
          <w:tcPr>
            <w:tcW w:w="818" w:type="dxa"/>
            <w:vAlign w:val="top"/>
          </w:tcPr>
          <w:p>
            <w:pPr>
              <w:spacing w:before="93"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773" w:type="dxa"/>
            <w:vAlign w:val="top"/>
          </w:tcPr>
          <w:p>
            <w:pPr>
              <w:spacing w:before="93"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61.4</w:t>
            </w:r>
          </w:p>
        </w:tc>
        <w:tc>
          <w:tcPr>
            <w:tcW w:w="900" w:type="dxa"/>
            <w:vAlign w:val="top"/>
          </w:tcPr>
          <w:p>
            <w:pPr>
              <w:spacing w:before="93"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61.4</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+8.5</w:t>
            </w:r>
          </w:p>
        </w:tc>
        <w:tc>
          <w:tcPr>
            <w:tcW w:w="713" w:type="dxa"/>
            <w:tcBorders>
              <w:left w:val="single" w:color="000000" w:sz="4" w:space="0"/>
            </w:tcBorders>
            <w:vAlign w:val="top"/>
          </w:tcPr>
          <w:p>
            <w:pPr>
              <w:spacing w:before="93"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9" w:line="218"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9" w:line="218"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9" w:line="218"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9" w:line="218"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6" w:line="187"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5" w:line="223" w:lineRule="auto"/>
              <w:ind w:left="269"/>
            </w:pPr>
            <w:r>
              <w:rPr>
                <w:spacing w:val="-2"/>
              </w:rPr>
              <w:t>昼间</w:t>
            </w:r>
          </w:p>
        </w:tc>
        <w:tc>
          <w:tcPr>
            <w:tcW w:w="704" w:type="dxa"/>
            <w:vAlign w:val="top"/>
          </w:tcPr>
          <w:p>
            <w:pPr>
              <w:spacing w:before="93"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6"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38.2</w:t>
            </w:r>
          </w:p>
        </w:tc>
        <w:tc>
          <w:tcPr>
            <w:tcW w:w="818" w:type="dxa"/>
            <w:vAlign w:val="top"/>
          </w:tcPr>
          <w:p>
            <w:pPr>
              <w:spacing w:before="95"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773" w:type="dxa"/>
            <w:vAlign w:val="top"/>
          </w:tcPr>
          <w:p>
            <w:pPr>
              <w:spacing w:before="95"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71.4</w:t>
            </w:r>
          </w:p>
        </w:tc>
        <w:tc>
          <w:tcPr>
            <w:tcW w:w="900" w:type="dxa"/>
            <w:vAlign w:val="top"/>
          </w:tcPr>
          <w:p>
            <w:pPr>
              <w:spacing w:before="95"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71.4</w:t>
            </w:r>
          </w:p>
        </w:tc>
        <w:tc>
          <w:tcPr>
            <w:tcW w:w="1039" w:type="dxa"/>
            <w:tcBorders>
              <w:right w:val="single" w:color="000000" w:sz="4" w:space="0"/>
            </w:tcBorders>
            <w:vAlign w:val="top"/>
          </w:tcPr>
          <w:p>
            <w:pPr>
              <w:spacing w:before="95"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+9.8</w:t>
            </w:r>
          </w:p>
        </w:tc>
        <w:tc>
          <w:tcPr>
            <w:tcW w:w="713" w:type="dxa"/>
            <w:tcBorders>
              <w:left w:val="single" w:color="000000" w:sz="4" w:space="0"/>
            </w:tcBorders>
            <w:vAlign w:val="top"/>
          </w:tcPr>
          <w:p>
            <w:pPr>
              <w:spacing w:before="95"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1" w:line="218"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1" w:line="218"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1" w:line="218"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1" w:line="218"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6"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36.6</w:t>
            </w:r>
          </w:p>
        </w:tc>
        <w:tc>
          <w:tcPr>
            <w:tcW w:w="818" w:type="dxa"/>
            <w:vAlign w:val="top"/>
          </w:tcPr>
          <w:p>
            <w:pPr>
              <w:spacing w:before="93"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773" w:type="dxa"/>
            <w:vAlign w:val="top"/>
          </w:tcPr>
          <w:p>
            <w:pPr>
              <w:spacing w:before="93"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64.9</w:t>
            </w:r>
          </w:p>
        </w:tc>
        <w:tc>
          <w:tcPr>
            <w:tcW w:w="900" w:type="dxa"/>
            <w:vAlign w:val="top"/>
          </w:tcPr>
          <w:p>
            <w:pPr>
              <w:spacing w:before="93"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64.9</w:t>
            </w:r>
          </w:p>
        </w:tc>
        <w:tc>
          <w:tcPr>
            <w:tcW w:w="1039" w:type="dxa"/>
            <w:tcBorders>
              <w:right w:val="single" w:color="000000" w:sz="4" w:space="0"/>
            </w:tcBorders>
            <w:vAlign w:val="top"/>
          </w:tcPr>
          <w:p>
            <w:pPr>
              <w:spacing w:before="93"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+11.7</w:t>
            </w:r>
          </w:p>
        </w:tc>
        <w:tc>
          <w:tcPr>
            <w:tcW w:w="713" w:type="dxa"/>
            <w:tcBorders>
              <w:left w:val="single" w:color="000000" w:sz="4" w:space="0"/>
            </w:tcBorders>
            <w:vAlign w:val="top"/>
          </w:tcPr>
          <w:p>
            <w:pPr>
              <w:spacing w:before="93"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+9.9</w:t>
            </w:r>
          </w:p>
        </w:tc>
        <w:tc>
          <w:tcPr>
            <w:tcW w:w="701" w:type="dxa"/>
            <w:vMerge w:val="continue"/>
            <w:tcBorders>
              <w:top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9" w:line="218"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9" w:line="218"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9" w:line="218"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9" w:line="218"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before="61" w:line="187" w:lineRule="auto"/>
              <w:ind w:left="46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81</w:t>
            </w:r>
          </w:p>
        </w:tc>
        <w:tc>
          <w:tcPr>
            <w:tcW w:w="1085" w:type="dxa"/>
            <w:vMerge w:val="restart"/>
            <w:tcBorders>
              <w:bottom w:val="nil"/>
            </w:tcBorders>
            <w:vAlign w:val="top"/>
          </w:tcPr>
          <w:p>
            <w:pPr>
              <w:spacing w:before="256"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-24.2</w:t>
            </w:r>
          </w:p>
        </w:tc>
        <w:tc>
          <w:tcPr>
            <w:tcW w:w="866" w:type="dxa"/>
            <w:vMerge w:val="restart"/>
            <w:tcBorders>
              <w:bottom w:val="nil"/>
            </w:tcBorders>
            <w:vAlign w:val="top"/>
          </w:tcPr>
          <w:p>
            <w:pPr>
              <w:spacing w:line="471" w:lineRule="auto"/>
              <w:rPr>
                <w:rFonts w:ascii="Arial"/>
                <w:sz w:val="21"/>
              </w:rPr>
            </w:pPr>
          </w:p>
          <w:p>
            <w:pPr>
              <w:pStyle w:val="6"/>
              <w:spacing w:before="68" w:line="221" w:lineRule="auto"/>
              <w:ind w:left="227"/>
            </w:pPr>
            <w:r>
              <w:rPr>
                <w:rFonts w:ascii="Times New Roman" w:hAnsi="Times New Roman" w:eastAsia="Times New Roman" w:cs="Times New Roman"/>
                <w:spacing w:val="-2"/>
              </w:rPr>
              <w:t>2</w:t>
            </w:r>
            <w:r>
              <w:rPr>
                <w:rFonts w:ascii="Times New Roman" w:hAnsi="Times New Roman" w:eastAsia="Times New Roman" w:cs="Times New Roman"/>
                <w:spacing w:val="4"/>
              </w:rPr>
              <w:t xml:space="preserve">  </w:t>
            </w:r>
            <w:r>
              <w:rPr>
                <w:spacing w:val="-2"/>
              </w:rPr>
              <w:t>类</w:t>
            </w:r>
          </w:p>
        </w:tc>
        <w:tc>
          <w:tcPr>
            <w:tcW w:w="945" w:type="dxa"/>
            <w:vAlign w:val="top"/>
          </w:tcPr>
          <w:p>
            <w:pPr>
              <w:pStyle w:val="6"/>
              <w:spacing w:before="55" w:line="223" w:lineRule="auto"/>
              <w:ind w:left="269"/>
            </w:pPr>
            <w:r>
              <w:rPr>
                <w:spacing w:val="-2"/>
              </w:rPr>
              <w:t>昼间</w:t>
            </w:r>
          </w:p>
        </w:tc>
        <w:tc>
          <w:tcPr>
            <w:tcW w:w="704" w:type="dxa"/>
            <w:vAlign w:val="top"/>
          </w:tcPr>
          <w:p>
            <w:pPr>
              <w:spacing w:before="93"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6"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3"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818" w:type="dxa"/>
            <w:vAlign w:val="top"/>
          </w:tcPr>
          <w:p>
            <w:pPr>
              <w:spacing w:before="93"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773" w:type="dxa"/>
            <w:vAlign w:val="top"/>
          </w:tcPr>
          <w:p>
            <w:pPr>
              <w:spacing w:before="93"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58.6</w:t>
            </w:r>
          </w:p>
        </w:tc>
        <w:tc>
          <w:tcPr>
            <w:tcW w:w="900" w:type="dxa"/>
            <w:vAlign w:val="top"/>
          </w:tcPr>
          <w:p>
            <w:pPr>
              <w:spacing w:before="93"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w:t>
            </w:r>
          </w:p>
        </w:tc>
        <w:tc>
          <w:tcPr>
            <w:tcW w:w="1039" w:type="dxa"/>
            <w:tcBorders>
              <w:right w:val="single" w:color="000000" w:sz="4" w:space="0"/>
            </w:tcBorders>
            <w:vAlign w:val="top"/>
          </w:tcPr>
          <w:p>
            <w:pPr>
              <w:spacing w:before="93"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+10.7</w:t>
            </w:r>
          </w:p>
        </w:tc>
        <w:tc>
          <w:tcPr>
            <w:tcW w:w="713" w:type="dxa"/>
            <w:tcBorders>
              <w:left w:val="single" w:color="000000" w:sz="4" w:space="0"/>
            </w:tcBorders>
            <w:vAlign w:val="top"/>
          </w:tcPr>
          <w:p>
            <w:pPr>
              <w:spacing w:before="89" w:line="220"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60"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3"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57.3</w:t>
            </w:r>
          </w:p>
        </w:tc>
        <w:tc>
          <w:tcPr>
            <w:tcW w:w="597" w:type="dxa"/>
            <w:vAlign w:val="top"/>
          </w:tcPr>
          <w:p>
            <w:pPr>
              <w:spacing w:before="93" w:line="187" w:lineRule="auto"/>
              <w:ind w:left="1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57.8</w:t>
            </w:r>
          </w:p>
        </w:tc>
        <w:tc>
          <w:tcPr>
            <w:tcW w:w="662" w:type="dxa"/>
            <w:vAlign w:val="top"/>
          </w:tcPr>
          <w:p>
            <w:pPr>
              <w:spacing w:before="93"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w:t>
            </w:r>
          </w:p>
        </w:tc>
        <w:tc>
          <w:tcPr>
            <w:tcW w:w="828" w:type="dxa"/>
            <w:vAlign w:val="top"/>
          </w:tcPr>
          <w:p>
            <w:pPr>
              <w:spacing w:before="90"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3"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818" w:type="dxa"/>
            <w:vAlign w:val="top"/>
          </w:tcPr>
          <w:p>
            <w:pPr>
              <w:spacing w:before="93"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773" w:type="dxa"/>
            <w:vAlign w:val="top"/>
          </w:tcPr>
          <w:p>
            <w:pPr>
              <w:spacing w:before="93"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47.3</w:t>
            </w:r>
          </w:p>
        </w:tc>
        <w:tc>
          <w:tcPr>
            <w:tcW w:w="900" w:type="dxa"/>
            <w:vAlign w:val="top"/>
          </w:tcPr>
          <w:p>
            <w:pPr>
              <w:spacing w:before="93"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48.0</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+8.2</w:t>
            </w:r>
          </w:p>
        </w:tc>
        <w:tc>
          <w:tcPr>
            <w:tcW w:w="713" w:type="dxa"/>
            <w:tcBorders>
              <w:left w:val="single" w:color="000000" w:sz="4" w:space="0"/>
            </w:tcBorders>
            <w:vAlign w:val="top"/>
          </w:tcPr>
          <w:p>
            <w:pPr>
              <w:spacing w:before="90" w:line="21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3" w:line="187" w:lineRule="auto"/>
              <w:ind w:left="1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46.3</w:t>
            </w:r>
          </w:p>
        </w:tc>
        <w:tc>
          <w:tcPr>
            <w:tcW w:w="597" w:type="dxa"/>
            <w:vAlign w:val="top"/>
          </w:tcPr>
          <w:p>
            <w:pPr>
              <w:spacing w:before="93" w:line="187" w:lineRule="auto"/>
              <w:ind w:left="1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47.2</w:t>
            </w:r>
          </w:p>
        </w:tc>
        <w:tc>
          <w:tcPr>
            <w:tcW w:w="662" w:type="dxa"/>
            <w:vAlign w:val="top"/>
          </w:tcPr>
          <w:p>
            <w:pPr>
              <w:spacing w:before="93"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c>
          <w:tcPr>
            <w:tcW w:w="828" w:type="dxa"/>
            <w:vAlign w:val="top"/>
          </w:tcPr>
          <w:p>
            <w:pPr>
              <w:spacing w:before="90" w:line="21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7"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-20.7</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6" w:line="223" w:lineRule="auto"/>
              <w:ind w:left="269"/>
            </w:pPr>
            <w:r>
              <w:rPr>
                <w:spacing w:val="-2"/>
              </w:rPr>
              <w:t>昼间</w:t>
            </w:r>
          </w:p>
        </w:tc>
        <w:tc>
          <w:tcPr>
            <w:tcW w:w="704" w:type="dxa"/>
            <w:vAlign w:val="top"/>
          </w:tcPr>
          <w:p>
            <w:pPr>
              <w:spacing w:before="94"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7"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4"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818" w:type="dxa"/>
            <w:vAlign w:val="top"/>
          </w:tcPr>
          <w:p>
            <w:pPr>
              <w:spacing w:before="94"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773" w:type="dxa"/>
            <w:vAlign w:val="top"/>
          </w:tcPr>
          <w:p>
            <w:pPr>
              <w:spacing w:before="94"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59.2</w:t>
            </w:r>
          </w:p>
        </w:tc>
        <w:tc>
          <w:tcPr>
            <w:tcW w:w="900" w:type="dxa"/>
            <w:vAlign w:val="top"/>
          </w:tcPr>
          <w:p>
            <w:pPr>
              <w:spacing w:before="94"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59.4</w:t>
            </w:r>
          </w:p>
        </w:tc>
        <w:tc>
          <w:tcPr>
            <w:tcW w:w="1039" w:type="dxa"/>
            <w:tcBorders>
              <w:right w:val="single" w:color="000000" w:sz="4" w:space="0"/>
            </w:tcBorders>
            <w:vAlign w:val="top"/>
          </w:tcPr>
          <w:p>
            <w:pPr>
              <w:spacing w:before="94"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+13.9</w:t>
            </w:r>
          </w:p>
        </w:tc>
        <w:tc>
          <w:tcPr>
            <w:tcW w:w="713" w:type="dxa"/>
            <w:tcBorders>
              <w:left w:val="single" w:color="000000" w:sz="4" w:space="0"/>
            </w:tcBorders>
            <w:vAlign w:val="top"/>
          </w:tcPr>
          <w:p>
            <w:pPr>
              <w:spacing w:before="90" w:line="218"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4"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58.4</w:t>
            </w:r>
          </w:p>
        </w:tc>
        <w:tc>
          <w:tcPr>
            <w:tcW w:w="597" w:type="dxa"/>
            <w:vAlign w:val="top"/>
          </w:tcPr>
          <w:p>
            <w:pPr>
              <w:spacing w:before="94" w:line="187" w:lineRule="auto"/>
              <w:ind w:left="1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58.6</w:t>
            </w:r>
          </w:p>
        </w:tc>
        <w:tc>
          <w:tcPr>
            <w:tcW w:w="662" w:type="dxa"/>
            <w:vAlign w:val="top"/>
          </w:tcPr>
          <w:p>
            <w:pPr>
              <w:spacing w:before="94"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0.8</w:t>
            </w:r>
          </w:p>
        </w:tc>
        <w:tc>
          <w:tcPr>
            <w:tcW w:w="828" w:type="dxa"/>
            <w:vAlign w:val="top"/>
          </w:tcPr>
          <w:p>
            <w:pPr>
              <w:spacing w:before="90" w:line="218"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5"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5"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w:t>
            </w:r>
          </w:p>
        </w:tc>
        <w:tc>
          <w:tcPr>
            <w:tcW w:w="818" w:type="dxa"/>
            <w:vAlign w:val="top"/>
          </w:tcPr>
          <w:p>
            <w:pPr>
              <w:spacing w:before="95"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w:t>
            </w:r>
          </w:p>
        </w:tc>
        <w:tc>
          <w:tcPr>
            <w:tcW w:w="773" w:type="dxa"/>
            <w:vAlign w:val="top"/>
          </w:tcPr>
          <w:p>
            <w:pPr>
              <w:spacing w:before="95"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47.9</w:t>
            </w:r>
          </w:p>
        </w:tc>
        <w:tc>
          <w:tcPr>
            <w:tcW w:w="900" w:type="dxa"/>
            <w:vAlign w:val="top"/>
          </w:tcPr>
          <w:p>
            <w:pPr>
              <w:spacing w:before="95"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48.7</w:t>
            </w:r>
          </w:p>
        </w:tc>
        <w:tc>
          <w:tcPr>
            <w:tcW w:w="1039" w:type="dxa"/>
            <w:tcBorders>
              <w:right w:val="single" w:color="000000" w:sz="4" w:space="0"/>
            </w:tcBorders>
            <w:vAlign w:val="top"/>
          </w:tcPr>
          <w:p>
            <w:pPr>
              <w:spacing w:before="95"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w:t>
            </w:r>
          </w:p>
        </w:tc>
        <w:tc>
          <w:tcPr>
            <w:tcW w:w="713" w:type="dxa"/>
            <w:tcBorders>
              <w:left w:val="single" w:color="000000" w:sz="4" w:space="0"/>
            </w:tcBorders>
            <w:vAlign w:val="top"/>
          </w:tcPr>
          <w:p>
            <w:pPr>
              <w:spacing w:before="92" w:line="21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95" w:line="187" w:lineRule="auto"/>
              <w:ind w:left="1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47.4</w:t>
            </w:r>
          </w:p>
        </w:tc>
        <w:tc>
          <w:tcPr>
            <w:tcW w:w="597" w:type="dxa"/>
            <w:vAlign w:val="top"/>
          </w:tcPr>
          <w:p>
            <w:pPr>
              <w:spacing w:before="95" w:line="187" w:lineRule="auto"/>
              <w:ind w:left="1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48.3</w:t>
            </w:r>
          </w:p>
        </w:tc>
        <w:tc>
          <w:tcPr>
            <w:tcW w:w="662" w:type="dxa"/>
            <w:vAlign w:val="top"/>
          </w:tcPr>
          <w:p>
            <w:pPr>
              <w:spacing w:before="95"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828" w:type="dxa"/>
            <w:vAlign w:val="top"/>
          </w:tcPr>
          <w:p>
            <w:pPr>
              <w:spacing w:before="92" w:line="21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before="60" w:line="187" w:lineRule="auto"/>
              <w:ind w:left="24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181" w:type="dxa"/>
            <w:vMerge w:val="restart"/>
            <w:tcBorders>
              <w:bottom w:val="nil"/>
            </w:tcBorders>
            <w:vAlign w:val="top"/>
          </w:tcPr>
          <w:p>
            <w:pPr>
              <w:spacing w:line="471" w:lineRule="auto"/>
              <w:rPr>
                <w:rFonts w:ascii="Arial"/>
                <w:sz w:val="21"/>
              </w:rPr>
            </w:pPr>
          </w:p>
          <w:p>
            <w:pPr>
              <w:pStyle w:val="6"/>
              <w:spacing w:before="69" w:line="221" w:lineRule="auto"/>
              <w:ind w:left="287"/>
            </w:pPr>
            <w:r>
              <w:rPr>
                <w:spacing w:val="-2"/>
              </w:rPr>
              <w:t>丁坑岭</w:t>
            </w:r>
          </w:p>
        </w:tc>
        <w:tc>
          <w:tcPr>
            <w:tcW w:w="1106"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before="60"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w:t>
            </w:r>
          </w:p>
        </w:tc>
        <w:tc>
          <w:tcPr>
            <w:tcW w:w="1085" w:type="dxa"/>
            <w:vMerge w:val="restart"/>
            <w:tcBorders>
              <w:bottom w:val="nil"/>
            </w:tcBorders>
            <w:vAlign w:val="top"/>
          </w:tcPr>
          <w:p>
            <w:pPr>
              <w:spacing w:before="257"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-70.5</w:t>
            </w:r>
          </w:p>
        </w:tc>
        <w:tc>
          <w:tcPr>
            <w:tcW w:w="866" w:type="dxa"/>
            <w:vMerge w:val="restart"/>
            <w:tcBorders>
              <w:bottom w:val="nil"/>
            </w:tcBorders>
            <w:vAlign w:val="top"/>
          </w:tcPr>
          <w:p>
            <w:pPr>
              <w:spacing w:line="470" w:lineRule="auto"/>
              <w:rPr>
                <w:rFonts w:ascii="Arial"/>
                <w:sz w:val="21"/>
              </w:rPr>
            </w:pPr>
          </w:p>
          <w:p>
            <w:pPr>
              <w:pStyle w:val="6"/>
              <w:spacing w:before="69" w:line="221" w:lineRule="auto"/>
              <w:ind w:left="254"/>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5" w:line="223" w:lineRule="auto"/>
              <w:ind w:left="269"/>
            </w:pPr>
            <w:r>
              <w:rPr>
                <w:spacing w:val="-2"/>
              </w:rPr>
              <w:t>昼间</w:t>
            </w:r>
          </w:p>
        </w:tc>
        <w:tc>
          <w:tcPr>
            <w:tcW w:w="704" w:type="dxa"/>
            <w:vAlign w:val="top"/>
          </w:tcPr>
          <w:p>
            <w:pPr>
              <w:spacing w:before="93"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7"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3"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18" w:type="dxa"/>
            <w:vAlign w:val="top"/>
          </w:tcPr>
          <w:p>
            <w:pPr>
              <w:spacing w:before="93"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49.6</w:t>
            </w:r>
          </w:p>
        </w:tc>
        <w:tc>
          <w:tcPr>
            <w:tcW w:w="773" w:type="dxa"/>
            <w:vAlign w:val="top"/>
          </w:tcPr>
          <w:p>
            <w:pPr>
              <w:spacing w:before="93"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56.1</w:t>
            </w:r>
          </w:p>
        </w:tc>
        <w:tc>
          <w:tcPr>
            <w:tcW w:w="900" w:type="dxa"/>
            <w:vAlign w:val="top"/>
          </w:tcPr>
          <w:p>
            <w:pPr>
              <w:spacing w:before="93"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w:t>
            </w:r>
          </w:p>
        </w:tc>
        <w:tc>
          <w:tcPr>
            <w:tcW w:w="713" w:type="dxa"/>
            <w:tcBorders>
              <w:left w:val="single" w:color="000000" w:sz="4" w:space="0"/>
            </w:tcBorders>
            <w:vAlign w:val="top"/>
          </w:tcPr>
          <w:p>
            <w:pPr>
              <w:spacing w:before="90" w:line="21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60"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51"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60" w:line="233" w:lineRule="auto"/>
              <w:ind w:left="214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86"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60" w:line="233" w:lineRule="auto"/>
              <w:ind w:left="46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0" w:line="217"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0" w:line="217"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0" w:line="217"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0" w:line="21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60" w:line="233" w:lineRule="auto"/>
              <w:ind w:left="39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3"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39.2</w:t>
            </w:r>
          </w:p>
        </w:tc>
        <w:tc>
          <w:tcPr>
            <w:tcW w:w="818" w:type="dxa"/>
            <w:vAlign w:val="top"/>
          </w:tcPr>
          <w:p>
            <w:pPr>
              <w:spacing w:before="93"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55.8</w:t>
            </w:r>
          </w:p>
        </w:tc>
        <w:tc>
          <w:tcPr>
            <w:tcW w:w="773" w:type="dxa"/>
            <w:vAlign w:val="top"/>
          </w:tcPr>
          <w:p>
            <w:pPr>
              <w:spacing w:before="93"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48.9</w:t>
            </w:r>
          </w:p>
        </w:tc>
        <w:tc>
          <w:tcPr>
            <w:tcW w:w="900" w:type="dxa"/>
            <w:vAlign w:val="top"/>
          </w:tcPr>
          <w:p>
            <w:pPr>
              <w:spacing w:before="93"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49.3</w:t>
            </w:r>
          </w:p>
        </w:tc>
        <w:tc>
          <w:tcPr>
            <w:tcW w:w="1039" w:type="dxa"/>
            <w:tcBorders>
              <w:right w:val="single" w:color="000000" w:sz="4" w:space="0"/>
            </w:tcBorders>
            <w:vAlign w:val="top"/>
          </w:tcPr>
          <w:p>
            <w:pPr>
              <w:spacing w:before="93"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713" w:type="dxa"/>
            <w:tcBorders>
              <w:left w:val="single" w:color="000000" w:sz="4" w:space="0"/>
            </w:tcBorders>
            <w:vAlign w:val="top"/>
          </w:tcPr>
          <w:p>
            <w:pPr>
              <w:spacing w:before="90"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0"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0"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0"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0"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5" w:line="187" w:lineRule="auto"/>
              <w:ind w:left="4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-67</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5" w:line="223" w:lineRule="auto"/>
              <w:ind w:left="269"/>
            </w:pPr>
            <w:r>
              <w:rPr>
                <w:spacing w:val="-2"/>
              </w:rPr>
              <w:t>昼间</w:t>
            </w:r>
          </w:p>
        </w:tc>
        <w:tc>
          <w:tcPr>
            <w:tcW w:w="704" w:type="dxa"/>
            <w:vAlign w:val="top"/>
          </w:tcPr>
          <w:p>
            <w:pPr>
              <w:spacing w:before="94"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4"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44.8</w:t>
            </w:r>
          </w:p>
        </w:tc>
        <w:tc>
          <w:tcPr>
            <w:tcW w:w="818" w:type="dxa"/>
            <w:vAlign w:val="top"/>
          </w:tcPr>
          <w:p>
            <w:pPr>
              <w:spacing w:before="94"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c>
          <w:tcPr>
            <w:tcW w:w="773" w:type="dxa"/>
            <w:vAlign w:val="top"/>
          </w:tcPr>
          <w:p>
            <w:pPr>
              <w:spacing w:before="94"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56.7</w:t>
            </w:r>
          </w:p>
        </w:tc>
        <w:tc>
          <w:tcPr>
            <w:tcW w:w="900" w:type="dxa"/>
            <w:vAlign w:val="top"/>
          </w:tcPr>
          <w:p>
            <w:pPr>
              <w:spacing w:before="94"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57.0</w:t>
            </w:r>
          </w:p>
        </w:tc>
        <w:tc>
          <w:tcPr>
            <w:tcW w:w="1039" w:type="dxa"/>
            <w:tcBorders>
              <w:right w:val="single" w:color="000000" w:sz="4" w:space="0"/>
            </w:tcBorders>
            <w:vAlign w:val="top"/>
          </w:tcPr>
          <w:p>
            <w:pPr>
              <w:spacing w:before="94"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w:t>
            </w:r>
          </w:p>
        </w:tc>
        <w:tc>
          <w:tcPr>
            <w:tcW w:w="713" w:type="dxa"/>
            <w:tcBorders>
              <w:left w:val="single" w:color="000000" w:sz="4" w:space="0"/>
            </w:tcBorders>
            <w:vAlign w:val="top"/>
          </w:tcPr>
          <w:p>
            <w:pPr>
              <w:spacing w:before="90" w:line="21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0" w:line="217"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0" w:line="217"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0" w:line="217"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0" w:line="21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5" w:line="221" w:lineRule="auto"/>
              <w:ind w:left="273"/>
            </w:pPr>
            <w:r>
              <w:rPr>
                <w:spacing w:val="-3"/>
              </w:rPr>
              <w:t>夜间</w:t>
            </w:r>
          </w:p>
        </w:tc>
        <w:tc>
          <w:tcPr>
            <w:tcW w:w="704" w:type="dxa"/>
            <w:vAlign w:val="top"/>
          </w:tcPr>
          <w:p>
            <w:pPr>
              <w:spacing w:before="94"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4"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41.8</w:t>
            </w:r>
          </w:p>
        </w:tc>
        <w:tc>
          <w:tcPr>
            <w:tcW w:w="818" w:type="dxa"/>
            <w:vAlign w:val="top"/>
          </w:tcPr>
          <w:p>
            <w:pPr>
              <w:spacing w:before="94"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43.5</w:t>
            </w:r>
          </w:p>
        </w:tc>
        <w:tc>
          <w:tcPr>
            <w:tcW w:w="773" w:type="dxa"/>
            <w:vAlign w:val="top"/>
          </w:tcPr>
          <w:p>
            <w:pPr>
              <w:spacing w:before="94"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48.8</w:t>
            </w:r>
          </w:p>
        </w:tc>
        <w:tc>
          <w:tcPr>
            <w:tcW w:w="900" w:type="dxa"/>
            <w:vAlign w:val="top"/>
          </w:tcPr>
          <w:p>
            <w:pPr>
              <w:spacing w:before="94"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49.6</w:t>
            </w:r>
          </w:p>
        </w:tc>
        <w:tc>
          <w:tcPr>
            <w:tcW w:w="1039" w:type="dxa"/>
            <w:tcBorders>
              <w:right w:val="single" w:color="000000" w:sz="4" w:space="0"/>
            </w:tcBorders>
            <w:vAlign w:val="top"/>
          </w:tcPr>
          <w:p>
            <w:pPr>
              <w:spacing w:before="94"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+6.1</w:t>
            </w:r>
          </w:p>
        </w:tc>
        <w:tc>
          <w:tcPr>
            <w:tcW w:w="713" w:type="dxa"/>
            <w:tcBorders>
              <w:left w:val="single" w:color="000000" w:sz="4" w:space="0"/>
            </w:tcBorders>
            <w:vAlign w:val="top"/>
          </w:tcPr>
          <w:p>
            <w:pPr>
              <w:spacing w:before="90"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90" w:line="219"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0" w:line="219"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0" w:line="219"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0"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restart"/>
            <w:tcBorders>
              <w:bottom w:val="nil"/>
            </w:tcBorders>
            <w:vAlign w:val="top"/>
          </w:tcPr>
          <w:p>
            <w:pPr>
              <w:spacing w:line="339" w:lineRule="auto"/>
              <w:rPr>
                <w:rFonts w:ascii="Arial"/>
                <w:sz w:val="21"/>
              </w:rPr>
            </w:pPr>
          </w:p>
          <w:p>
            <w:pPr>
              <w:spacing w:line="339" w:lineRule="auto"/>
              <w:rPr>
                <w:rFonts w:ascii="Arial"/>
                <w:sz w:val="21"/>
              </w:rPr>
            </w:pPr>
          </w:p>
          <w:p>
            <w:pPr>
              <w:spacing w:before="60"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1181" w:type="dxa"/>
            <w:vMerge w:val="restart"/>
            <w:tcBorders>
              <w:bottom w:val="nil"/>
            </w:tcBorders>
            <w:vAlign w:val="top"/>
          </w:tcPr>
          <w:p>
            <w:pPr>
              <w:spacing w:line="315" w:lineRule="auto"/>
              <w:rPr>
                <w:rFonts w:ascii="Arial"/>
                <w:sz w:val="21"/>
              </w:rPr>
            </w:pPr>
          </w:p>
          <w:p>
            <w:pPr>
              <w:spacing w:line="316" w:lineRule="auto"/>
              <w:rPr>
                <w:rFonts w:ascii="Arial"/>
                <w:sz w:val="21"/>
              </w:rPr>
            </w:pPr>
          </w:p>
          <w:p>
            <w:pPr>
              <w:pStyle w:val="6"/>
              <w:spacing w:before="69" w:line="220" w:lineRule="auto"/>
              <w:ind w:left="284"/>
            </w:pPr>
            <w:r>
              <w:rPr>
                <w:spacing w:val="-2"/>
              </w:rPr>
              <w:t>江山村</w:t>
            </w:r>
          </w:p>
        </w:tc>
        <w:tc>
          <w:tcPr>
            <w:tcW w:w="1106"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before="60"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1085" w:type="dxa"/>
            <w:vMerge w:val="restart"/>
            <w:tcBorders>
              <w:bottom w:val="nil"/>
            </w:tcBorders>
            <w:vAlign w:val="top"/>
          </w:tcPr>
          <w:p>
            <w:pPr>
              <w:spacing w:before="255"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31.5</w:t>
            </w:r>
          </w:p>
        </w:tc>
        <w:tc>
          <w:tcPr>
            <w:tcW w:w="866" w:type="dxa"/>
            <w:vMerge w:val="restart"/>
            <w:tcBorders>
              <w:bottom w:val="nil"/>
            </w:tcBorders>
            <w:vAlign w:val="top"/>
          </w:tcPr>
          <w:p>
            <w:pPr>
              <w:spacing w:line="471" w:lineRule="auto"/>
              <w:rPr>
                <w:rFonts w:ascii="Arial"/>
                <w:sz w:val="21"/>
              </w:rPr>
            </w:pPr>
          </w:p>
          <w:p>
            <w:pPr>
              <w:pStyle w:val="6"/>
              <w:spacing w:before="68" w:line="221" w:lineRule="auto"/>
              <w:ind w:left="178"/>
            </w:pPr>
            <w:r>
              <w:rPr>
                <w:rFonts w:ascii="Times New Roman" w:hAnsi="Times New Roman" w:eastAsia="Times New Roman" w:cs="Times New Roman"/>
                <w:spacing w:val="-1"/>
              </w:rPr>
              <w:t>4a</w:t>
            </w:r>
            <w:r>
              <w:rPr>
                <w:rFonts w:ascii="Times New Roman" w:hAnsi="Times New Roman" w:eastAsia="Times New Roman" w:cs="Times New Roman"/>
                <w:spacing w:val="4"/>
              </w:rPr>
              <w:t xml:space="preserve">  </w:t>
            </w:r>
            <w:r>
              <w:rPr>
                <w:spacing w:val="-1"/>
              </w:rPr>
              <w:t>类</w:t>
            </w:r>
          </w:p>
        </w:tc>
        <w:tc>
          <w:tcPr>
            <w:tcW w:w="945" w:type="dxa"/>
            <w:vAlign w:val="top"/>
          </w:tcPr>
          <w:p>
            <w:pPr>
              <w:pStyle w:val="6"/>
              <w:spacing w:before="56" w:line="222" w:lineRule="auto"/>
              <w:ind w:left="269"/>
            </w:pPr>
            <w:r>
              <w:rPr>
                <w:spacing w:val="-2"/>
              </w:rPr>
              <w:t>昼间</w:t>
            </w:r>
          </w:p>
        </w:tc>
        <w:tc>
          <w:tcPr>
            <w:tcW w:w="704" w:type="dxa"/>
            <w:vAlign w:val="top"/>
          </w:tcPr>
          <w:p>
            <w:pPr>
              <w:spacing w:before="94"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4"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818" w:type="dxa"/>
            <w:vAlign w:val="top"/>
          </w:tcPr>
          <w:p>
            <w:pPr>
              <w:spacing w:before="94"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773" w:type="dxa"/>
            <w:vAlign w:val="top"/>
          </w:tcPr>
          <w:p>
            <w:pPr>
              <w:spacing w:before="94"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62.8</w:t>
            </w:r>
          </w:p>
        </w:tc>
        <w:tc>
          <w:tcPr>
            <w:tcW w:w="900" w:type="dxa"/>
            <w:vAlign w:val="top"/>
          </w:tcPr>
          <w:p>
            <w:pPr>
              <w:spacing w:before="9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62.9</w:t>
            </w:r>
          </w:p>
        </w:tc>
        <w:tc>
          <w:tcPr>
            <w:tcW w:w="1039" w:type="dxa"/>
            <w:tcBorders>
              <w:right w:val="single" w:color="000000" w:sz="4" w:space="0"/>
            </w:tcBorders>
            <w:vAlign w:val="top"/>
          </w:tcPr>
          <w:p>
            <w:pPr>
              <w:spacing w:before="94"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713" w:type="dxa"/>
            <w:tcBorders>
              <w:left w:val="single" w:color="000000" w:sz="4" w:space="0"/>
            </w:tcBorders>
            <w:vAlign w:val="top"/>
          </w:tcPr>
          <w:p>
            <w:pPr>
              <w:spacing w:before="91" w:line="216"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61"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51" w:type="dxa"/>
            <w:vMerge w:val="restart"/>
            <w:tcBorders>
              <w:bottom w:val="nil"/>
            </w:tcBorders>
            <w:vAlign w:val="top"/>
          </w:tcPr>
          <w:p>
            <w:pPr>
              <w:spacing w:line="337" w:lineRule="auto"/>
              <w:rPr>
                <w:rFonts w:ascii="Arial"/>
                <w:sz w:val="21"/>
              </w:rPr>
            </w:pPr>
          </w:p>
          <w:p>
            <w:pPr>
              <w:spacing w:line="337" w:lineRule="auto"/>
              <w:rPr>
                <w:rFonts w:ascii="Arial"/>
                <w:sz w:val="21"/>
              </w:rPr>
            </w:pPr>
          </w:p>
          <w:p>
            <w:pPr>
              <w:spacing w:before="61" w:line="233" w:lineRule="auto"/>
              <w:ind w:left="214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86" w:type="dxa"/>
            <w:vMerge w:val="restart"/>
            <w:tcBorders>
              <w:bottom w:val="nil"/>
            </w:tcBorders>
            <w:vAlign w:val="top"/>
          </w:tcPr>
          <w:p>
            <w:pPr>
              <w:spacing w:line="339" w:lineRule="auto"/>
              <w:rPr>
                <w:rFonts w:ascii="Arial"/>
                <w:sz w:val="21"/>
              </w:rPr>
            </w:pPr>
          </w:p>
          <w:p>
            <w:pPr>
              <w:spacing w:line="339" w:lineRule="auto"/>
              <w:rPr>
                <w:rFonts w:ascii="Arial"/>
                <w:sz w:val="21"/>
              </w:rPr>
            </w:pPr>
          </w:p>
          <w:p>
            <w:pPr>
              <w:spacing w:before="60" w:line="229" w:lineRule="auto"/>
              <w:ind w:left="466"/>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1" w:line="216"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1" w:line="216"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1" w:line="216"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1" w:line="216"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restart"/>
            <w:tcBorders>
              <w:bottom w:val="nil"/>
            </w:tcBorders>
            <w:vAlign w:val="top"/>
          </w:tcPr>
          <w:p>
            <w:pPr>
              <w:spacing w:line="338" w:lineRule="auto"/>
              <w:rPr>
                <w:rFonts w:ascii="Arial"/>
                <w:sz w:val="21"/>
              </w:rPr>
            </w:pPr>
          </w:p>
          <w:p>
            <w:pPr>
              <w:spacing w:line="339" w:lineRule="auto"/>
              <w:rPr>
                <w:rFonts w:ascii="Arial"/>
                <w:sz w:val="21"/>
              </w:rPr>
            </w:pPr>
          </w:p>
          <w:p>
            <w:pPr>
              <w:spacing w:before="60" w:line="233" w:lineRule="auto"/>
              <w:ind w:left="39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5" w:line="221" w:lineRule="auto"/>
              <w:ind w:left="273"/>
            </w:pPr>
            <w:r>
              <w:rPr>
                <w:spacing w:val="-3"/>
              </w:rPr>
              <w:t>夜间</w:t>
            </w:r>
          </w:p>
        </w:tc>
        <w:tc>
          <w:tcPr>
            <w:tcW w:w="704" w:type="dxa"/>
            <w:vAlign w:val="top"/>
          </w:tcPr>
          <w:p>
            <w:pPr>
              <w:spacing w:before="97"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4"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818" w:type="dxa"/>
            <w:vAlign w:val="top"/>
          </w:tcPr>
          <w:p>
            <w:pPr>
              <w:spacing w:before="94"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773" w:type="dxa"/>
            <w:vAlign w:val="top"/>
          </w:tcPr>
          <w:p>
            <w:pPr>
              <w:spacing w:before="94"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53.4</w:t>
            </w:r>
          </w:p>
        </w:tc>
        <w:tc>
          <w:tcPr>
            <w:tcW w:w="900" w:type="dxa"/>
            <w:vAlign w:val="top"/>
          </w:tcPr>
          <w:p>
            <w:pPr>
              <w:spacing w:before="94"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53.5</w:t>
            </w:r>
          </w:p>
        </w:tc>
        <w:tc>
          <w:tcPr>
            <w:tcW w:w="1039" w:type="dxa"/>
            <w:tcBorders>
              <w:right w:val="single" w:color="000000" w:sz="4" w:space="0"/>
            </w:tcBorders>
            <w:vAlign w:val="top"/>
          </w:tcPr>
          <w:p>
            <w:pPr>
              <w:spacing w:before="94"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w:t>
            </w:r>
          </w:p>
        </w:tc>
        <w:tc>
          <w:tcPr>
            <w:tcW w:w="713" w:type="dxa"/>
            <w:tcBorders>
              <w:left w:val="single" w:color="000000" w:sz="4" w:space="0"/>
            </w:tcBorders>
            <w:vAlign w:val="top"/>
          </w:tcPr>
          <w:p>
            <w:pPr>
              <w:spacing w:before="91" w:line="216"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1" w:line="216"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1" w:line="216"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1" w:line="216"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1" w:line="216"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7" w:line="187" w:lineRule="auto"/>
              <w:ind w:left="4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6" w:line="223" w:lineRule="auto"/>
              <w:ind w:left="269"/>
            </w:pPr>
            <w:r>
              <w:rPr>
                <w:spacing w:val="-2"/>
              </w:rPr>
              <w:t>昼间</w:t>
            </w:r>
          </w:p>
        </w:tc>
        <w:tc>
          <w:tcPr>
            <w:tcW w:w="704" w:type="dxa"/>
            <w:vAlign w:val="top"/>
          </w:tcPr>
          <w:p>
            <w:pPr>
              <w:spacing w:before="94"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7"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7"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818" w:type="dxa"/>
            <w:vAlign w:val="top"/>
          </w:tcPr>
          <w:p>
            <w:pPr>
              <w:spacing w:before="97"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773" w:type="dxa"/>
            <w:vAlign w:val="top"/>
          </w:tcPr>
          <w:p>
            <w:pPr>
              <w:spacing w:before="97"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64.1</w:t>
            </w:r>
          </w:p>
        </w:tc>
        <w:tc>
          <w:tcPr>
            <w:tcW w:w="900" w:type="dxa"/>
            <w:vAlign w:val="top"/>
          </w:tcPr>
          <w:p>
            <w:pPr>
              <w:spacing w:before="97"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64.3</w:t>
            </w:r>
          </w:p>
        </w:tc>
        <w:tc>
          <w:tcPr>
            <w:tcW w:w="1039" w:type="dxa"/>
            <w:tcBorders>
              <w:right w:val="single" w:color="000000" w:sz="4" w:space="0"/>
            </w:tcBorders>
            <w:vAlign w:val="top"/>
          </w:tcPr>
          <w:p>
            <w:pPr>
              <w:spacing w:before="97"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713" w:type="dxa"/>
            <w:tcBorders>
              <w:left w:val="single" w:color="000000" w:sz="4" w:space="0"/>
            </w:tcBorders>
            <w:vAlign w:val="top"/>
          </w:tcPr>
          <w:p>
            <w:pPr>
              <w:spacing w:before="93" w:line="216"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3" w:line="216"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3" w:line="216"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3" w:line="216"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3" w:line="216"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6" w:line="221" w:lineRule="auto"/>
              <w:ind w:left="273"/>
            </w:pPr>
            <w:r>
              <w:rPr>
                <w:spacing w:val="-3"/>
              </w:rPr>
              <w:t>夜间</w:t>
            </w:r>
          </w:p>
        </w:tc>
        <w:tc>
          <w:tcPr>
            <w:tcW w:w="704" w:type="dxa"/>
            <w:vAlign w:val="top"/>
          </w:tcPr>
          <w:p>
            <w:pPr>
              <w:spacing w:before="98"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818" w:type="dxa"/>
            <w:vAlign w:val="top"/>
          </w:tcPr>
          <w:p>
            <w:pPr>
              <w:spacing w:before="95"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773" w:type="dxa"/>
            <w:vAlign w:val="top"/>
          </w:tcPr>
          <w:p>
            <w:pPr>
              <w:spacing w:before="95"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54.5</w:t>
            </w:r>
          </w:p>
        </w:tc>
        <w:tc>
          <w:tcPr>
            <w:tcW w:w="900" w:type="dxa"/>
            <w:vAlign w:val="top"/>
          </w:tcPr>
          <w:p>
            <w:pPr>
              <w:spacing w:before="95"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1039" w:type="dxa"/>
            <w:tcBorders>
              <w:right w:val="single" w:color="000000" w:sz="4" w:space="0"/>
            </w:tcBorders>
            <w:vAlign w:val="top"/>
          </w:tcPr>
          <w:p>
            <w:pPr>
              <w:spacing w:before="95"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c>
          <w:tcPr>
            <w:tcW w:w="713" w:type="dxa"/>
            <w:tcBorders>
              <w:left w:val="single" w:color="000000" w:sz="4" w:space="0"/>
            </w:tcBorders>
            <w:vAlign w:val="top"/>
          </w:tcPr>
          <w:p>
            <w:pPr>
              <w:spacing w:before="91" w:line="216"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1" w:line="216"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1" w:line="216"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1" w:line="216"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1" w:line="216"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Align w:val="top"/>
          </w:tcPr>
          <w:p>
            <w:pPr>
              <w:spacing w:before="95" w:line="187" w:lineRule="auto"/>
              <w:ind w:left="4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1085" w:type="dxa"/>
            <w:vAlign w:val="top"/>
          </w:tcPr>
          <w:p>
            <w:pPr>
              <w:spacing w:before="95"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48.5</w:t>
            </w:r>
          </w:p>
        </w:tc>
        <w:tc>
          <w:tcPr>
            <w:tcW w:w="866" w:type="dxa"/>
            <w:vAlign w:val="top"/>
          </w:tcPr>
          <w:p>
            <w:pPr>
              <w:pStyle w:val="6"/>
              <w:spacing w:before="56" w:line="221" w:lineRule="auto"/>
              <w:ind w:left="227"/>
            </w:pPr>
            <w:r>
              <w:rPr>
                <w:rFonts w:ascii="Times New Roman" w:hAnsi="Times New Roman" w:eastAsia="Times New Roman" w:cs="Times New Roman"/>
                <w:spacing w:val="-2"/>
              </w:rPr>
              <w:t>2</w:t>
            </w:r>
            <w:r>
              <w:rPr>
                <w:rFonts w:ascii="Times New Roman" w:hAnsi="Times New Roman" w:eastAsia="Times New Roman" w:cs="Times New Roman"/>
                <w:spacing w:val="4"/>
              </w:rPr>
              <w:t xml:space="preserve">  </w:t>
            </w:r>
            <w:r>
              <w:rPr>
                <w:spacing w:val="-2"/>
              </w:rPr>
              <w:t>类</w:t>
            </w:r>
          </w:p>
        </w:tc>
        <w:tc>
          <w:tcPr>
            <w:tcW w:w="945" w:type="dxa"/>
            <w:vAlign w:val="top"/>
          </w:tcPr>
          <w:p>
            <w:pPr>
              <w:pStyle w:val="6"/>
              <w:spacing w:before="57" w:line="223" w:lineRule="auto"/>
              <w:ind w:left="269"/>
            </w:pPr>
            <w:r>
              <w:rPr>
                <w:spacing w:val="-2"/>
              </w:rPr>
              <w:t>昼间</w:t>
            </w:r>
          </w:p>
        </w:tc>
        <w:tc>
          <w:tcPr>
            <w:tcW w:w="704" w:type="dxa"/>
            <w:vAlign w:val="top"/>
          </w:tcPr>
          <w:p>
            <w:pPr>
              <w:spacing w:before="95"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Align w:val="top"/>
          </w:tcPr>
          <w:p>
            <w:pPr>
              <w:spacing w:before="9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5"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818" w:type="dxa"/>
            <w:vAlign w:val="top"/>
          </w:tcPr>
          <w:p>
            <w:pPr>
              <w:spacing w:before="95"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773" w:type="dxa"/>
            <w:vAlign w:val="top"/>
          </w:tcPr>
          <w:p>
            <w:pPr>
              <w:spacing w:before="95"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50.4</w:t>
            </w:r>
          </w:p>
        </w:tc>
        <w:tc>
          <w:tcPr>
            <w:tcW w:w="900" w:type="dxa"/>
            <w:vAlign w:val="top"/>
          </w:tcPr>
          <w:p>
            <w:pPr>
              <w:spacing w:before="95"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1039" w:type="dxa"/>
            <w:tcBorders>
              <w:right w:val="single" w:color="000000" w:sz="4" w:space="0"/>
            </w:tcBorders>
            <w:vAlign w:val="top"/>
          </w:tcPr>
          <w:p>
            <w:pPr>
              <w:spacing w:before="95"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713" w:type="dxa"/>
            <w:tcBorders>
              <w:left w:val="single" w:color="000000" w:sz="4" w:space="0"/>
            </w:tcBorders>
            <w:vAlign w:val="top"/>
          </w:tcPr>
          <w:p>
            <w:pPr>
              <w:spacing w:before="91" w:line="224"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Align w:val="top"/>
          </w:tcPr>
          <w:p>
            <w:pPr>
              <w:spacing w:before="91" w:line="224"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91" w:line="224"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1" w:line="224"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91" w:line="224"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92"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tcBorders>
            <w:vAlign w:val="top"/>
          </w:tcPr>
          <w:p>
            <w:pPr>
              <w:rPr>
                <w:rFonts w:ascii="Arial"/>
                <w:sz w:val="21"/>
              </w:rPr>
            </w:pPr>
          </w:p>
        </w:tc>
      </w:tr>
    </w:tbl>
    <w:p>
      <w:pPr>
        <w:pStyle w:val="2"/>
      </w:pPr>
    </w:p>
    <w:p>
      <w:pPr>
        <w:sectPr>
          <w:footerReference r:id="rId332" w:type="default"/>
          <w:pgSz w:w="23811" w:h="16839"/>
          <w:pgMar w:top="1118" w:right="1082" w:bottom="1009" w:left="1020" w:header="879" w:footer="845" w:gutter="0"/>
          <w:cols w:space="720" w:num="1"/>
        </w:sectPr>
      </w:pPr>
    </w:p>
    <w:p>
      <w:pPr>
        <w:spacing w:before="56"/>
      </w:pPr>
    </w:p>
    <w:tbl>
      <w:tblPr>
        <w:tblStyle w:val="5"/>
        <w:tblW w:w="217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181"/>
        <w:gridCol w:w="1106"/>
        <w:gridCol w:w="1085"/>
        <w:gridCol w:w="866"/>
        <w:gridCol w:w="945"/>
        <w:gridCol w:w="704"/>
        <w:gridCol w:w="600"/>
        <w:gridCol w:w="753"/>
        <w:gridCol w:w="818"/>
        <w:gridCol w:w="773"/>
        <w:gridCol w:w="900"/>
        <w:gridCol w:w="1039"/>
        <w:gridCol w:w="713"/>
        <w:gridCol w:w="701"/>
        <w:gridCol w:w="4351"/>
        <w:gridCol w:w="986"/>
        <w:gridCol w:w="597"/>
        <w:gridCol w:w="597"/>
        <w:gridCol w:w="662"/>
        <w:gridCol w:w="828"/>
        <w:gridCol w:w="8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41" w:type="dxa"/>
            <w:vMerge w:val="restart"/>
            <w:tcBorders>
              <w:bottom w:val="nil"/>
            </w:tcBorders>
            <w:vAlign w:val="top"/>
          </w:tcPr>
          <w:p>
            <w:pPr>
              <w:spacing w:line="276" w:lineRule="auto"/>
              <w:rPr>
                <w:rFonts w:ascii="Arial"/>
                <w:sz w:val="21"/>
              </w:rPr>
            </w:pPr>
          </w:p>
          <w:p>
            <w:pPr>
              <w:spacing w:line="277" w:lineRule="auto"/>
              <w:rPr>
                <w:rFonts w:ascii="Arial"/>
                <w:sz w:val="21"/>
              </w:rPr>
            </w:pPr>
          </w:p>
          <w:p>
            <w:pPr>
              <w:pStyle w:val="6"/>
              <w:spacing w:before="68" w:line="222" w:lineRule="auto"/>
              <w:ind w:left="117"/>
            </w:pPr>
            <w:r>
              <w:rPr>
                <w:spacing w:val="-2"/>
              </w:rPr>
              <w:t>序号</w:t>
            </w:r>
          </w:p>
        </w:tc>
        <w:tc>
          <w:tcPr>
            <w:tcW w:w="1181" w:type="dxa"/>
            <w:vMerge w:val="restart"/>
            <w:tcBorders>
              <w:bottom w:val="nil"/>
            </w:tcBorders>
            <w:vAlign w:val="top"/>
          </w:tcPr>
          <w:p>
            <w:pPr>
              <w:spacing w:line="281" w:lineRule="auto"/>
              <w:rPr>
                <w:rFonts w:ascii="Arial"/>
                <w:sz w:val="21"/>
              </w:rPr>
            </w:pPr>
          </w:p>
          <w:p>
            <w:pPr>
              <w:pStyle w:val="6"/>
              <w:spacing w:before="69" w:line="221" w:lineRule="auto"/>
              <w:ind w:left="182"/>
            </w:pPr>
            <w:r>
              <w:rPr>
                <w:spacing w:val="-3"/>
              </w:rPr>
              <w:t>声环境保</w:t>
            </w:r>
          </w:p>
          <w:p>
            <w:pPr>
              <w:pStyle w:val="6"/>
              <w:spacing w:before="22" w:line="221" w:lineRule="auto"/>
              <w:ind w:left="179"/>
            </w:pPr>
            <w:r>
              <w:rPr>
                <w:spacing w:val="-2"/>
              </w:rPr>
              <w:t>护目标名</w:t>
            </w:r>
          </w:p>
          <w:p>
            <w:pPr>
              <w:pStyle w:val="6"/>
              <w:spacing w:before="19" w:line="223" w:lineRule="auto"/>
              <w:ind w:left="491"/>
            </w:pPr>
            <w:r>
              <w:t>称</w:t>
            </w:r>
          </w:p>
        </w:tc>
        <w:tc>
          <w:tcPr>
            <w:tcW w:w="1106" w:type="dxa"/>
            <w:vMerge w:val="restart"/>
            <w:tcBorders>
              <w:bottom w:val="nil"/>
            </w:tcBorders>
            <w:vAlign w:val="top"/>
          </w:tcPr>
          <w:p>
            <w:pPr>
              <w:spacing w:line="416" w:lineRule="auto"/>
              <w:rPr>
                <w:rFonts w:ascii="Arial"/>
                <w:sz w:val="21"/>
              </w:rPr>
            </w:pPr>
          </w:p>
          <w:p>
            <w:pPr>
              <w:pStyle w:val="6"/>
              <w:spacing w:before="68" w:line="231" w:lineRule="auto"/>
              <w:ind w:left="149" w:right="124" w:hanging="3"/>
            </w:pPr>
            <w:r>
              <w:rPr>
                <w:spacing w:val="-3"/>
              </w:rPr>
              <w:t>与道路中</w:t>
            </w:r>
            <w:r>
              <w:rPr>
                <w:spacing w:val="1"/>
              </w:rPr>
              <w:t xml:space="preserve"> </w:t>
            </w:r>
            <w:r>
              <w:rPr>
                <w:spacing w:val="-4"/>
              </w:rPr>
              <w:t>心线距离</w:t>
            </w:r>
          </w:p>
        </w:tc>
        <w:tc>
          <w:tcPr>
            <w:tcW w:w="1085" w:type="dxa"/>
            <w:vMerge w:val="restart"/>
            <w:tcBorders>
              <w:bottom w:val="nil"/>
            </w:tcBorders>
            <w:vAlign w:val="top"/>
          </w:tcPr>
          <w:p>
            <w:pPr>
              <w:spacing w:line="297" w:lineRule="auto"/>
              <w:rPr>
                <w:rFonts w:ascii="Arial"/>
                <w:sz w:val="21"/>
              </w:rPr>
            </w:pPr>
          </w:p>
          <w:p>
            <w:pPr>
              <w:pStyle w:val="6"/>
              <w:spacing w:before="69" w:line="221" w:lineRule="auto"/>
              <w:ind w:left="132"/>
            </w:pPr>
            <w:r>
              <w:rPr>
                <w:spacing w:val="-2"/>
              </w:rPr>
              <w:t>预测点与</w:t>
            </w:r>
          </w:p>
          <w:p>
            <w:pPr>
              <w:pStyle w:val="6"/>
              <w:spacing w:before="19" w:line="221" w:lineRule="auto"/>
              <w:ind w:left="135"/>
            </w:pPr>
            <w:r>
              <w:rPr>
                <w:spacing w:val="-3"/>
              </w:rPr>
              <w:t>声源高差</w:t>
            </w:r>
          </w:p>
          <w:p>
            <w:pPr>
              <w:spacing w:before="41" w:line="233" w:lineRule="auto"/>
              <w:ind w:left="432"/>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66" w:type="dxa"/>
            <w:vMerge w:val="restart"/>
            <w:tcBorders>
              <w:bottom w:val="nil"/>
            </w:tcBorders>
            <w:vAlign w:val="top"/>
          </w:tcPr>
          <w:p>
            <w:pPr>
              <w:spacing w:line="282" w:lineRule="auto"/>
              <w:rPr>
                <w:rFonts w:ascii="Arial"/>
                <w:sz w:val="21"/>
              </w:rPr>
            </w:pPr>
          </w:p>
          <w:p>
            <w:pPr>
              <w:pStyle w:val="6"/>
              <w:spacing w:before="68" w:line="233" w:lineRule="auto"/>
              <w:ind w:left="129" w:right="109"/>
              <w:jc w:val="both"/>
            </w:pPr>
            <w:r>
              <w:rPr>
                <w:spacing w:val="-3"/>
              </w:rPr>
              <w:t>声环境</w:t>
            </w:r>
            <w:r>
              <w:t xml:space="preserve"> </w:t>
            </w:r>
            <w:r>
              <w:rPr>
                <w:spacing w:val="-3"/>
              </w:rPr>
              <w:t>功能区</w:t>
            </w:r>
            <w:r>
              <w:t xml:space="preserve"> </w:t>
            </w:r>
            <w:r>
              <w:rPr>
                <w:spacing w:val="48"/>
              </w:rPr>
              <w:t>类别</w:t>
            </w:r>
          </w:p>
        </w:tc>
        <w:tc>
          <w:tcPr>
            <w:tcW w:w="945" w:type="dxa"/>
            <w:vMerge w:val="restart"/>
            <w:tcBorders>
              <w:bottom w:val="nil"/>
            </w:tcBorders>
            <w:vAlign w:val="top"/>
          </w:tcPr>
          <w:p>
            <w:pPr>
              <w:spacing w:line="276" w:lineRule="auto"/>
              <w:rPr>
                <w:rFonts w:ascii="Arial"/>
                <w:sz w:val="21"/>
              </w:rPr>
            </w:pPr>
          </w:p>
          <w:p>
            <w:pPr>
              <w:spacing w:line="277" w:lineRule="auto"/>
              <w:rPr>
                <w:rFonts w:ascii="Arial"/>
                <w:sz w:val="21"/>
              </w:rPr>
            </w:pPr>
          </w:p>
          <w:p>
            <w:pPr>
              <w:pStyle w:val="6"/>
              <w:spacing w:before="68" w:line="222" w:lineRule="auto"/>
              <w:ind w:left="280"/>
            </w:pPr>
            <w:r>
              <w:rPr>
                <w:spacing w:val="-4"/>
              </w:rPr>
              <w:t>时段</w:t>
            </w:r>
          </w:p>
        </w:tc>
        <w:tc>
          <w:tcPr>
            <w:tcW w:w="704" w:type="dxa"/>
            <w:vMerge w:val="restart"/>
            <w:tcBorders>
              <w:bottom w:val="nil"/>
            </w:tcBorders>
            <w:vAlign w:val="top"/>
          </w:tcPr>
          <w:p>
            <w:pPr>
              <w:spacing w:line="416" w:lineRule="auto"/>
              <w:rPr>
                <w:rFonts w:ascii="Arial"/>
                <w:sz w:val="21"/>
              </w:rPr>
            </w:pPr>
          </w:p>
          <w:p>
            <w:pPr>
              <w:pStyle w:val="6"/>
              <w:spacing w:before="68" w:line="231" w:lineRule="auto"/>
              <w:ind w:left="255" w:right="134" w:hanging="104"/>
            </w:pPr>
            <w:r>
              <w:rPr>
                <w:spacing w:val="-4"/>
              </w:rPr>
              <w:t>标准</w:t>
            </w:r>
            <w:r>
              <w:t xml:space="preserve"> 值</w:t>
            </w:r>
          </w:p>
        </w:tc>
        <w:tc>
          <w:tcPr>
            <w:tcW w:w="600" w:type="dxa"/>
            <w:vMerge w:val="restart"/>
            <w:tcBorders>
              <w:bottom w:val="nil"/>
            </w:tcBorders>
            <w:textDirection w:val="tbRlV"/>
            <w:vAlign w:val="top"/>
          </w:tcPr>
          <w:p>
            <w:pPr>
              <w:pStyle w:val="6"/>
              <w:spacing w:before="188" w:line="207" w:lineRule="auto"/>
              <w:ind w:left="488"/>
            </w:pPr>
            <w:r>
              <w:rPr>
                <w:spacing w:val="1"/>
              </w:rPr>
              <w:t>楼</w:t>
            </w:r>
            <w:r>
              <w:rPr>
                <w:spacing w:val="-43"/>
              </w:rPr>
              <w:t xml:space="preserve"> </w:t>
            </w:r>
            <w:r>
              <w:rPr>
                <w:spacing w:val="1"/>
              </w:rPr>
              <w:t>层</w:t>
            </w:r>
          </w:p>
        </w:tc>
        <w:tc>
          <w:tcPr>
            <w:tcW w:w="753" w:type="dxa"/>
            <w:vMerge w:val="restart"/>
            <w:tcBorders>
              <w:bottom w:val="nil"/>
            </w:tcBorders>
            <w:vAlign w:val="top"/>
          </w:tcPr>
          <w:p>
            <w:pPr>
              <w:spacing w:line="417" w:lineRule="auto"/>
              <w:rPr>
                <w:rFonts w:ascii="Arial"/>
                <w:sz w:val="21"/>
              </w:rPr>
            </w:pPr>
          </w:p>
          <w:p>
            <w:pPr>
              <w:pStyle w:val="6"/>
              <w:spacing w:before="68" w:line="241" w:lineRule="auto"/>
              <w:ind w:left="178"/>
            </w:pPr>
            <w:r>
              <w:rPr>
                <w:spacing w:val="-3"/>
              </w:rPr>
              <w:t>背景</w:t>
            </w:r>
          </w:p>
          <w:p>
            <w:pPr>
              <w:pStyle w:val="6"/>
              <w:spacing w:line="220" w:lineRule="auto"/>
              <w:ind w:left="280"/>
            </w:pPr>
            <w:r>
              <w:t>值</w:t>
            </w:r>
          </w:p>
        </w:tc>
        <w:tc>
          <w:tcPr>
            <w:tcW w:w="818" w:type="dxa"/>
            <w:vMerge w:val="restart"/>
            <w:tcBorders>
              <w:bottom w:val="nil"/>
            </w:tcBorders>
            <w:vAlign w:val="top"/>
          </w:tcPr>
          <w:p>
            <w:pPr>
              <w:spacing w:line="417" w:lineRule="auto"/>
              <w:rPr>
                <w:rFonts w:ascii="Arial"/>
                <w:sz w:val="21"/>
              </w:rPr>
            </w:pPr>
          </w:p>
          <w:p>
            <w:pPr>
              <w:pStyle w:val="6"/>
              <w:spacing w:before="68" w:line="241" w:lineRule="auto"/>
              <w:ind w:left="208"/>
            </w:pPr>
            <w:r>
              <w:rPr>
                <w:spacing w:val="-2"/>
              </w:rPr>
              <w:t>现状</w:t>
            </w:r>
          </w:p>
          <w:p>
            <w:pPr>
              <w:pStyle w:val="6"/>
              <w:spacing w:line="220" w:lineRule="auto"/>
              <w:ind w:left="312"/>
            </w:pPr>
            <w:r>
              <w:t>值</w:t>
            </w:r>
          </w:p>
        </w:tc>
        <w:tc>
          <w:tcPr>
            <w:tcW w:w="3425" w:type="dxa"/>
            <w:gridSpan w:val="4"/>
            <w:vAlign w:val="top"/>
          </w:tcPr>
          <w:p>
            <w:pPr>
              <w:pStyle w:val="6"/>
              <w:spacing w:before="49" w:line="221" w:lineRule="auto"/>
              <w:ind w:left="1512"/>
            </w:pPr>
            <w:r>
              <w:rPr>
                <w:spacing w:val="-2"/>
              </w:rPr>
              <w:t>远期</w:t>
            </w:r>
          </w:p>
        </w:tc>
        <w:tc>
          <w:tcPr>
            <w:tcW w:w="701" w:type="dxa"/>
            <w:vMerge w:val="restart"/>
            <w:tcBorders>
              <w:bottom w:val="nil"/>
            </w:tcBorders>
            <w:vAlign w:val="top"/>
          </w:tcPr>
          <w:p>
            <w:pPr>
              <w:spacing w:line="282" w:lineRule="auto"/>
              <w:rPr>
                <w:rFonts w:ascii="Arial"/>
                <w:sz w:val="21"/>
              </w:rPr>
            </w:pPr>
          </w:p>
          <w:p>
            <w:pPr>
              <w:pStyle w:val="6"/>
              <w:spacing w:before="68" w:line="233" w:lineRule="auto"/>
              <w:ind w:left="159" w:right="132" w:hanging="6"/>
              <w:jc w:val="both"/>
            </w:pPr>
            <w:r>
              <w:rPr>
                <w:spacing w:val="-6"/>
              </w:rPr>
              <w:t>受影</w:t>
            </w:r>
            <w:r>
              <w:t xml:space="preserve"> </w:t>
            </w:r>
            <w:r>
              <w:rPr>
                <w:spacing w:val="-9"/>
              </w:rPr>
              <w:t>响户</w:t>
            </w:r>
            <w:r>
              <w:t xml:space="preserve"> </w:t>
            </w:r>
            <w:r>
              <w:rPr>
                <w:spacing w:val="35"/>
                <w:w w:val="125"/>
              </w:rPr>
              <w:t>数</w:t>
            </w:r>
          </w:p>
        </w:tc>
        <w:tc>
          <w:tcPr>
            <w:tcW w:w="8878" w:type="dxa"/>
            <w:gridSpan w:val="7"/>
            <w:vAlign w:val="top"/>
          </w:tcPr>
          <w:p>
            <w:pPr>
              <w:pStyle w:val="6"/>
              <w:spacing w:before="49" w:line="219" w:lineRule="auto"/>
              <w:ind w:left="3511"/>
            </w:pPr>
            <w:r>
              <w:rPr>
                <w:spacing w:val="-2"/>
              </w:rPr>
              <w:t>噪声防治措施及投资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Merge w:val="continue"/>
            <w:tcBorders>
              <w:top w:val="nil"/>
            </w:tcBorders>
            <w:vAlign w:val="top"/>
          </w:tcPr>
          <w:p>
            <w:pPr>
              <w:rPr>
                <w:rFonts w:ascii="Arial"/>
                <w:sz w:val="21"/>
              </w:rPr>
            </w:pPr>
          </w:p>
        </w:tc>
        <w:tc>
          <w:tcPr>
            <w:tcW w:w="704" w:type="dxa"/>
            <w:vMerge w:val="continue"/>
            <w:tcBorders>
              <w:top w:val="nil"/>
            </w:tcBorders>
            <w:vAlign w:val="top"/>
          </w:tcPr>
          <w:p>
            <w:pPr>
              <w:rPr>
                <w:rFonts w:ascii="Arial"/>
                <w:sz w:val="21"/>
              </w:rPr>
            </w:pPr>
          </w:p>
        </w:tc>
        <w:tc>
          <w:tcPr>
            <w:tcW w:w="600" w:type="dxa"/>
            <w:vMerge w:val="continue"/>
            <w:tcBorders>
              <w:top w:val="nil"/>
              <w:bottom w:val="nil"/>
            </w:tcBorders>
            <w:textDirection w:val="tbRlV"/>
            <w:vAlign w:val="top"/>
          </w:tcPr>
          <w:p>
            <w:pPr>
              <w:rPr>
                <w:rFonts w:ascii="Arial"/>
                <w:sz w:val="21"/>
              </w:rPr>
            </w:pPr>
          </w:p>
        </w:tc>
        <w:tc>
          <w:tcPr>
            <w:tcW w:w="753" w:type="dxa"/>
            <w:vMerge w:val="continue"/>
            <w:tcBorders>
              <w:top w:val="nil"/>
            </w:tcBorders>
            <w:vAlign w:val="top"/>
          </w:tcPr>
          <w:p>
            <w:pPr>
              <w:rPr>
                <w:rFonts w:ascii="Arial"/>
                <w:sz w:val="21"/>
              </w:rPr>
            </w:pPr>
          </w:p>
        </w:tc>
        <w:tc>
          <w:tcPr>
            <w:tcW w:w="818" w:type="dxa"/>
            <w:vMerge w:val="continue"/>
            <w:tcBorders>
              <w:top w:val="nil"/>
            </w:tcBorders>
            <w:vAlign w:val="top"/>
          </w:tcPr>
          <w:p>
            <w:pPr>
              <w:rPr>
                <w:rFonts w:ascii="Arial"/>
                <w:sz w:val="21"/>
              </w:rPr>
            </w:pPr>
          </w:p>
        </w:tc>
        <w:tc>
          <w:tcPr>
            <w:tcW w:w="773" w:type="dxa"/>
            <w:vAlign w:val="top"/>
          </w:tcPr>
          <w:p>
            <w:pPr>
              <w:spacing w:line="258" w:lineRule="auto"/>
              <w:rPr>
                <w:rFonts w:ascii="Arial"/>
                <w:sz w:val="21"/>
              </w:rPr>
            </w:pPr>
          </w:p>
          <w:p>
            <w:pPr>
              <w:pStyle w:val="6"/>
              <w:spacing w:before="68" w:line="238" w:lineRule="auto"/>
              <w:ind w:left="187"/>
            </w:pPr>
            <w:r>
              <w:rPr>
                <w:spacing w:val="-3"/>
              </w:rPr>
              <w:t>贡献</w:t>
            </w:r>
          </w:p>
          <w:p>
            <w:pPr>
              <w:pStyle w:val="6"/>
              <w:spacing w:line="220" w:lineRule="auto"/>
              <w:ind w:left="288"/>
            </w:pPr>
            <w:r>
              <w:t>值</w:t>
            </w:r>
          </w:p>
        </w:tc>
        <w:tc>
          <w:tcPr>
            <w:tcW w:w="900" w:type="dxa"/>
            <w:vAlign w:val="top"/>
          </w:tcPr>
          <w:p>
            <w:pPr>
              <w:spacing w:line="393" w:lineRule="auto"/>
              <w:rPr>
                <w:rFonts w:ascii="Arial"/>
                <w:sz w:val="21"/>
              </w:rPr>
            </w:pPr>
          </w:p>
          <w:p>
            <w:pPr>
              <w:pStyle w:val="6"/>
              <w:spacing w:before="68" w:line="221" w:lineRule="auto"/>
              <w:ind w:left="143"/>
            </w:pPr>
            <w:r>
              <w:rPr>
                <w:spacing w:val="-2"/>
              </w:rPr>
              <w:t>预测值</w:t>
            </w:r>
          </w:p>
        </w:tc>
        <w:tc>
          <w:tcPr>
            <w:tcW w:w="1039" w:type="dxa"/>
            <w:tcBorders>
              <w:right w:val="single" w:color="000000" w:sz="4" w:space="0"/>
            </w:tcBorders>
            <w:vAlign w:val="top"/>
          </w:tcPr>
          <w:p>
            <w:pPr>
              <w:spacing w:line="258" w:lineRule="auto"/>
              <w:rPr>
                <w:rFonts w:ascii="Arial"/>
                <w:sz w:val="21"/>
              </w:rPr>
            </w:pPr>
          </w:p>
          <w:p>
            <w:pPr>
              <w:pStyle w:val="6"/>
              <w:spacing w:before="68" w:line="230" w:lineRule="auto"/>
              <w:ind w:left="211" w:right="194"/>
            </w:pPr>
            <w:r>
              <w:rPr>
                <w:spacing w:val="-2"/>
              </w:rPr>
              <w:t>较现状</w:t>
            </w:r>
            <w:r>
              <w:t xml:space="preserve"> </w:t>
            </w:r>
            <w:r>
              <w:rPr>
                <w:spacing w:val="-2"/>
              </w:rPr>
              <w:t>增加量</w:t>
            </w:r>
          </w:p>
        </w:tc>
        <w:tc>
          <w:tcPr>
            <w:tcW w:w="713" w:type="dxa"/>
            <w:tcBorders>
              <w:left w:val="single" w:color="000000" w:sz="4" w:space="0"/>
            </w:tcBorders>
            <w:vAlign w:val="top"/>
          </w:tcPr>
          <w:p>
            <w:pPr>
              <w:spacing w:line="258" w:lineRule="auto"/>
              <w:rPr>
                <w:rFonts w:ascii="Arial"/>
                <w:sz w:val="21"/>
              </w:rPr>
            </w:pPr>
          </w:p>
          <w:p>
            <w:pPr>
              <w:pStyle w:val="6"/>
              <w:spacing w:before="68" w:line="232" w:lineRule="auto"/>
              <w:ind w:left="257" w:right="137" w:hanging="104"/>
            </w:pPr>
            <w:r>
              <w:rPr>
                <w:spacing w:val="-3"/>
              </w:rPr>
              <w:t>超标</w:t>
            </w:r>
            <w:r>
              <w:t xml:space="preserve"> 量</w:t>
            </w:r>
          </w:p>
        </w:tc>
        <w:tc>
          <w:tcPr>
            <w:tcW w:w="701" w:type="dxa"/>
            <w:vMerge w:val="continue"/>
            <w:tcBorders>
              <w:top w:val="nil"/>
              <w:bottom w:val="nil"/>
            </w:tcBorders>
            <w:vAlign w:val="top"/>
          </w:tcPr>
          <w:p>
            <w:pPr>
              <w:rPr>
                <w:rFonts w:ascii="Arial"/>
                <w:sz w:val="21"/>
              </w:rPr>
            </w:pPr>
          </w:p>
        </w:tc>
        <w:tc>
          <w:tcPr>
            <w:tcW w:w="4351" w:type="dxa"/>
            <w:vAlign w:val="top"/>
          </w:tcPr>
          <w:p>
            <w:pPr>
              <w:spacing w:line="393" w:lineRule="auto"/>
              <w:rPr>
                <w:rFonts w:ascii="Arial"/>
                <w:sz w:val="21"/>
              </w:rPr>
            </w:pPr>
          </w:p>
          <w:p>
            <w:pPr>
              <w:pStyle w:val="6"/>
              <w:spacing w:before="68" w:line="221" w:lineRule="auto"/>
              <w:ind w:left="1973"/>
            </w:pPr>
            <w:r>
              <w:rPr>
                <w:spacing w:val="-2"/>
              </w:rPr>
              <w:t>类型</w:t>
            </w:r>
          </w:p>
        </w:tc>
        <w:tc>
          <w:tcPr>
            <w:tcW w:w="986" w:type="dxa"/>
            <w:vAlign w:val="top"/>
          </w:tcPr>
          <w:p>
            <w:pPr>
              <w:spacing w:line="393" w:lineRule="auto"/>
              <w:rPr>
                <w:rFonts w:ascii="Arial"/>
                <w:sz w:val="21"/>
              </w:rPr>
            </w:pPr>
          </w:p>
          <w:p>
            <w:pPr>
              <w:pStyle w:val="6"/>
              <w:spacing w:before="68" w:line="221" w:lineRule="auto"/>
              <w:ind w:left="294"/>
            </w:pPr>
            <w:r>
              <w:rPr>
                <w:spacing w:val="-2"/>
              </w:rPr>
              <w:t>规模</w:t>
            </w:r>
          </w:p>
        </w:tc>
        <w:tc>
          <w:tcPr>
            <w:tcW w:w="597" w:type="dxa"/>
            <w:textDirection w:val="tbRlV"/>
            <w:vAlign w:val="top"/>
          </w:tcPr>
          <w:p>
            <w:pPr>
              <w:pStyle w:val="6"/>
              <w:spacing w:before="185" w:line="208" w:lineRule="auto"/>
              <w:ind w:left="190"/>
            </w:pPr>
            <w:r>
              <w:rPr>
                <w:spacing w:val="42"/>
              </w:rPr>
              <w:t>贡献值</w:t>
            </w:r>
          </w:p>
        </w:tc>
        <w:tc>
          <w:tcPr>
            <w:tcW w:w="597" w:type="dxa"/>
            <w:textDirection w:val="tbRlV"/>
            <w:vAlign w:val="top"/>
          </w:tcPr>
          <w:p>
            <w:pPr>
              <w:pStyle w:val="6"/>
              <w:spacing w:before="184" w:line="209" w:lineRule="auto"/>
              <w:ind w:left="190"/>
            </w:pPr>
            <w:r>
              <w:rPr>
                <w:spacing w:val="42"/>
              </w:rPr>
              <w:t>预测值</w:t>
            </w:r>
          </w:p>
        </w:tc>
        <w:tc>
          <w:tcPr>
            <w:tcW w:w="662" w:type="dxa"/>
            <w:vAlign w:val="top"/>
          </w:tcPr>
          <w:p>
            <w:pPr>
              <w:pStyle w:val="6"/>
              <w:spacing w:before="54" w:line="221" w:lineRule="auto"/>
              <w:ind w:left="136"/>
            </w:pPr>
            <w:r>
              <w:rPr>
                <w:spacing w:val="-3"/>
              </w:rPr>
              <w:t>声屏</w:t>
            </w:r>
          </w:p>
          <w:p>
            <w:pPr>
              <w:pStyle w:val="6"/>
              <w:spacing w:before="21" w:line="221" w:lineRule="auto"/>
              <w:ind w:left="143"/>
            </w:pPr>
            <w:r>
              <w:rPr>
                <w:spacing w:val="-5"/>
              </w:rPr>
              <w:t>障插</w:t>
            </w:r>
          </w:p>
          <w:p>
            <w:pPr>
              <w:pStyle w:val="6"/>
              <w:spacing w:before="20" w:line="221" w:lineRule="auto"/>
              <w:ind w:left="131"/>
            </w:pPr>
            <w:r>
              <w:rPr>
                <w:spacing w:val="-2"/>
              </w:rPr>
              <w:t>入损</w:t>
            </w:r>
          </w:p>
          <w:p>
            <w:pPr>
              <w:pStyle w:val="6"/>
              <w:spacing w:before="21" w:line="222" w:lineRule="auto"/>
              <w:ind w:left="240"/>
            </w:pPr>
            <w:r>
              <w:t>失</w:t>
            </w:r>
          </w:p>
        </w:tc>
        <w:tc>
          <w:tcPr>
            <w:tcW w:w="828" w:type="dxa"/>
            <w:vAlign w:val="top"/>
          </w:tcPr>
          <w:p>
            <w:pPr>
              <w:pStyle w:val="6"/>
              <w:spacing w:before="70" w:line="221" w:lineRule="auto"/>
              <w:ind w:left="217"/>
            </w:pPr>
            <w:r>
              <w:rPr>
                <w:spacing w:val="-3"/>
              </w:rPr>
              <w:t>室内</w:t>
            </w:r>
          </w:p>
          <w:p>
            <w:pPr>
              <w:pStyle w:val="6"/>
              <w:spacing w:before="20" w:line="221" w:lineRule="auto"/>
              <w:ind w:left="224"/>
            </w:pPr>
            <w:r>
              <w:rPr>
                <w:spacing w:val="-4"/>
              </w:rPr>
              <w:t>噪声</w:t>
            </w:r>
          </w:p>
          <w:p>
            <w:pPr>
              <w:pStyle w:val="6"/>
              <w:spacing w:before="21" w:line="221" w:lineRule="auto"/>
              <w:ind w:left="320"/>
            </w:pPr>
            <w:r>
              <w:t>值</w:t>
            </w:r>
          </w:p>
          <w:p>
            <w:pPr>
              <w:spacing w:before="41" w:line="191"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dB(A)</w:t>
            </w:r>
          </w:p>
        </w:tc>
        <w:tc>
          <w:tcPr>
            <w:tcW w:w="857" w:type="dxa"/>
            <w:vAlign w:val="top"/>
          </w:tcPr>
          <w:p>
            <w:pPr>
              <w:pStyle w:val="6"/>
              <w:spacing w:before="54" w:line="221" w:lineRule="auto"/>
              <w:ind w:left="133"/>
            </w:pPr>
            <w:r>
              <w:rPr>
                <w:spacing w:val="-4"/>
              </w:rPr>
              <w:t>噪声控</w:t>
            </w:r>
          </w:p>
          <w:p>
            <w:pPr>
              <w:pStyle w:val="6"/>
              <w:spacing w:before="22" w:line="221" w:lineRule="auto"/>
              <w:ind w:left="124"/>
            </w:pPr>
            <w:r>
              <w:rPr>
                <w:spacing w:val="-2"/>
              </w:rPr>
              <w:t>制措施</w:t>
            </w:r>
          </w:p>
          <w:p>
            <w:pPr>
              <w:pStyle w:val="6"/>
              <w:spacing w:before="19" w:line="233" w:lineRule="auto"/>
              <w:ind w:left="202"/>
              <w:rPr>
                <w:rFonts w:ascii="Times New Roman" w:hAnsi="Times New Roman" w:eastAsia="Times New Roman" w:cs="Times New Roman"/>
              </w:rPr>
            </w:pPr>
            <w:r>
              <w:rPr>
                <w:spacing w:val="-3"/>
              </w:rPr>
              <w:t>投资</w:t>
            </w:r>
            <w:r>
              <w:rPr>
                <w:rFonts w:ascii="Times New Roman" w:hAnsi="Times New Roman" w:eastAsia="Times New Roman" w:cs="Times New Roman"/>
                <w:spacing w:val="-3"/>
              </w:rPr>
              <w:t>/</w:t>
            </w:r>
          </w:p>
          <w:p>
            <w:pPr>
              <w:pStyle w:val="6"/>
              <w:spacing w:before="8" w:line="221" w:lineRule="auto"/>
              <w:ind w:left="233"/>
            </w:pPr>
            <w:r>
              <w:rPr>
                <w:spacing w:val="-3"/>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1" w:line="221" w:lineRule="auto"/>
              <w:ind w:left="273"/>
            </w:pPr>
            <w:r>
              <w:rPr>
                <w:spacing w:val="-3"/>
              </w:rPr>
              <w:t>夜间</w:t>
            </w:r>
          </w:p>
        </w:tc>
        <w:tc>
          <w:tcPr>
            <w:tcW w:w="704" w:type="dxa"/>
            <w:vAlign w:val="top"/>
          </w:tcPr>
          <w:p>
            <w:pPr>
              <w:spacing w:before="90"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textDirection w:val="tbRlV"/>
            <w:vAlign w:val="top"/>
          </w:tcPr>
          <w:p>
            <w:pPr>
              <w:rPr>
                <w:rFonts w:ascii="Arial"/>
                <w:sz w:val="21"/>
              </w:rPr>
            </w:pPr>
          </w:p>
        </w:tc>
        <w:tc>
          <w:tcPr>
            <w:tcW w:w="753" w:type="dxa"/>
            <w:vAlign w:val="top"/>
          </w:tcPr>
          <w:p>
            <w:pPr>
              <w:spacing w:before="90"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818" w:type="dxa"/>
            <w:vAlign w:val="top"/>
          </w:tcPr>
          <w:p>
            <w:pPr>
              <w:spacing w:before="90"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773" w:type="dxa"/>
            <w:vAlign w:val="top"/>
          </w:tcPr>
          <w:p>
            <w:pPr>
              <w:spacing w:before="90"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w:t>
            </w:r>
          </w:p>
        </w:tc>
        <w:tc>
          <w:tcPr>
            <w:tcW w:w="900" w:type="dxa"/>
            <w:vAlign w:val="top"/>
          </w:tcPr>
          <w:p>
            <w:pPr>
              <w:spacing w:before="90"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41.4</w:t>
            </w:r>
          </w:p>
        </w:tc>
        <w:tc>
          <w:tcPr>
            <w:tcW w:w="1039" w:type="dxa"/>
            <w:tcBorders>
              <w:right w:val="single" w:color="000000" w:sz="4" w:space="0"/>
            </w:tcBorders>
            <w:vAlign w:val="top"/>
          </w:tcPr>
          <w:p>
            <w:pPr>
              <w:spacing w:before="90"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+6.2</w:t>
            </w:r>
          </w:p>
        </w:tc>
        <w:tc>
          <w:tcPr>
            <w:tcW w:w="713" w:type="dxa"/>
            <w:tcBorders>
              <w:left w:val="single" w:color="000000" w:sz="4" w:space="0"/>
            </w:tcBorders>
            <w:vAlign w:val="top"/>
          </w:tcPr>
          <w:p>
            <w:pPr>
              <w:spacing w:before="86" w:line="221"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restart"/>
            <w:tcBorders>
              <w:bottom w:val="nil"/>
            </w:tcBorders>
            <w:vAlign w:val="top"/>
          </w:tcPr>
          <w:p>
            <w:pPr>
              <w:rPr>
                <w:rFonts w:ascii="Arial"/>
                <w:sz w:val="21"/>
              </w:rPr>
            </w:pPr>
          </w:p>
        </w:tc>
        <w:tc>
          <w:tcPr>
            <w:tcW w:w="986" w:type="dxa"/>
            <w:vMerge w:val="restart"/>
            <w:tcBorders>
              <w:bottom w:val="nil"/>
            </w:tcBorders>
            <w:vAlign w:val="top"/>
          </w:tcPr>
          <w:p>
            <w:pPr>
              <w:rPr>
                <w:rFonts w:ascii="Arial"/>
                <w:sz w:val="21"/>
              </w:rPr>
            </w:pPr>
          </w:p>
        </w:tc>
        <w:tc>
          <w:tcPr>
            <w:tcW w:w="597" w:type="dxa"/>
            <w:vAlign w:val="top"/>
          </w:tcPr>
          <w:p>
            <w:pPr>
              <w:spacing w:before="86" w:line="221"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6" w:line="221"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6" w:line="221"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7"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3" w:line="187" w:lineRule="auto"/>
              <w:ind w:left="4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2" w:line="223" w:lineRule="auto"/>
              <w:ind w:left="269"/>
            </w:pPr>
            <w:r>
              <w:rPr>
                <w:spacing w:val="-2"/>
              </w:rPr>
              <w:t>昼间</w:t>
            </w:r>
          </w:p>
        </w:tc>
        <w:tc>
          <w:tcPr>
            <w:tcW w:w="704" w:type="dxa"/>
            <w:vAlign w:val="top"/>
          </w:tcPr>
          <w:p>
            <w:pPr>
              <w:spacing w:before="90"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0"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818" w:type="dxa"/>
            <w:vAlign w:val="top"/>
          </w:tcPr>
          <w:p>
            <w:pPr>
              <w:spacing w:before="90"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773" w:type="dxa"/>
            <w:vAlign w:val="top"/>
          </w:tcPr>
          <w:p>
            <w:pPr>
              <w:spacing w:before="93" w:line="184"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55.5</w:t>
            </w:r>
          </w:p>
        </w:tc>
        <w:tc>
          <w:tcPr>
            <w:tcW w:w="900" w:type="dxa"/>
            <w:vAlign w:val="top"/>
          </w:tcPr>
          <w:p>
            <w:pPr>
              <w:spacing w:before="90"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57.0</w:t>
            </w:r>
          </w:p>
        </w:tc>
        <w:tc>
          <w:tcPr>
            <w:tcW w:w="1039" w:type="dxa"/>
            <w:tcBorders>
              <w:right w:val="single" w:color="000000" w:sz="4" w:space="0"/>
            </w:tcBorders>
            <w:vAlign w:val="top"/>
          </w:tcPr>
          <w:p>
            <w:pPr>
              <w:spacing w:before="90"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+5.4</w:t>
            </w:r>
          </w:p>
        </w:tc>
        <w:tc>
          <w:tcPr>
            <w:tcW w:w="713" w:type="dxa"/>
            <w:tcBorders>
              <w:left w:val="single" w:color="000000" w:sz="4" w:space="0"/>
            </w:tcBorders>
            <w:vAlign w:val="top"/>
          </w:tcPr>
          <w:p>
            <w:pPr>
              <w:spacing w:before="86" w:line="223"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86" w:line="223"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6" w:line="223"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6" w:line="223"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7"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1" w:line="221" w:lineRule="auto"/>
              <w:ind w:left="273"/>
            </w:pPr>
            <w:r>
              <w:rPr>
                <w:spacing w:val="-3"/>
              </w:rPr>
              <w:t>夜间</w:t>
            </w:r>
          </w:p>
        </w:tc>
        <w:tc>
          <w:tcPr>
            <w:tcW w:w="704" w:type="dxa"/>
            <w:vAlign w:val="top"/>
          </w:tcPr>
          <w:p>
            <w:pPr>
              <w:spacing w:before="90"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0"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818" w:type="dxa"/>
            <w:vAlign w:val="top"/>
          </w:tcPr>
          <w:p>
            <w:pPr>
              <w:spacing w:before="90"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773" w:type="dxa"/>
            <w:vAlign w:val="top"/>
          </w:tcPr>
          <w:p>
            <w:pPr>
              <w:spacing w:before="90"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45.2</w:t>
            </w:r>
          </w:p>
        </w:tc>
        <w:tc>
          <w:tcPr>
            <w:tcW w:w="900" w:type="dxa"/>
            <w:vAlign w:val="top"/>
          </w:tcPr>
          <w:p>
            <w:pPr>
              <w:spacing w:before="90"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45.9</w:t>
            </w:r>
          </w:p>
        </w:tc>
        <w:tc>
          <w:tcPr>
            <w:tcW w:w="1039" w:type="dxa"/>
            <w:tcBorders>
              <w:right w:val="single" w:color="000000" w:sz="4" w:space="0"/>
            </w:tcBorders>
            <w:vAlign w:val="top"/>
          </w:tcPr>
          <w:p>
            <w:pPr>
              <w:spacing w:before="90"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+8.5</w:t>
            </w:r>
          </w:p>
        </w:tc>
        <w:tc>
          <w:tcPr>
            <w:tcW w:w="713" w:type="dxa"/>
            <w:tcBorders>
              <w:left w:val="single" w:color="000000" w:sz="4" w:space="0"/>
            </w:tcBorders>
            <w:vAlign w:val="top"/>
          </w:tcPr>
          <w:p>
            <w:pPr>
              <w:spacing w:before="87" w:line="220"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87" w:line="220"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87" w:line="220" w:lineRule="auto"/>
              <w:ind w:left="2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62" w:type="dxa"/>
            <w:vAlign w:val="top"/>
          </w:tcPr>
          <w:p>
            <w:pPr>
              <w:spacing w:before="87" w:line="220"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28" w:type="dxa"/>
            <w:vAlign w:val="top"/>
          </w:tcPr>
          <w:p>
            <w:pPr>
              <w:spacing w:before="87"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61" w:line="187" w:lineRule="auto"/>
              <w:ind w:left="24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181" w:type="dxa"/>
            <w:vMerge w:val="restart"/>
            <w:tcBorders>
              <w:bottom w:val="nil"/>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8" w:line="228" w:lineRule="auto"/>
              <w:ind w:left="389"/>
            </w:pPr>
            <w:r>
              <w:rPr>
                <w:spacing w:val="-2"/>
              </w:rPr>
              <w:t>包山</w:t>
            </w:r>
          </w:p>
        </w:tc>
        <w:tc>
          <w:tcPr>
            <w:tcW w:w="1106"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61"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085" w:type="dxa"/>
            <w:vMerge w:val="restart"/>
            <w:tcBorders>
              <w:bottom w:val="nil"/>
            </w:tcBorders>
            <w:vAlign w:val="top"/>
          </w:tcPr>
          <w:p>
            <w:pPr>
              <w:spacing w:before="254" w:line="187" w:lineRule="auto"/>
              <w:ind w:left="43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w:t>
            </w:r>
          </w:p>
        </w:tc>
        <w:tc>
          <w:tcPr>
            <w:tcW w:w="866" w:type="dxa"/>
            <w:vMerge w:val="restart"/>
            <w:tcBorders>
              <w:bottom w:val="nil"/>
            </w:tcBorders>
            <w:vAlign w:val="top"/>
          </w:tcPr>
          <w:p>
            <w:pPr>
              <w:spacing w:line="467" w:lineRule="auto"/>
              <w:rPr>
                <w:rFonts w:ascii="Arial"/>
                <w:sz w:val="21"/>
              </w:rPr>
            </w:pPr>
          </w:p>
          <w:p>
            <w:pPr>
              <w:pStyle w:val="6"/>
              <w:spacing w:before="69" w:line="221" w:lineRule="auto"/>
              <w:ind w:left="20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945" w:type="dxa"/>
            <w:vAlign w:val="top"/>
          </w:tcPr>
          <w:p>
            <w:pPr>
              <w:pStyle w:val="6"/>
              <w:spacing w:before="52" w:line="223" w:lineRule="auto"/>
              <w:ind w:left="269"/>
            </w:pPr>
            <w:r>
              <w:rPr>
                <w:spacing w:val="-2"/>
              </w:rPr>
              <w:t>昼间</w:t>
            </w:r>
          </w:p>
        </w:tc>
        <w:tc>
          <w:tcPr>
            <w:tcW w:w="704" w:type="dxa"/>
            <w:vAlign w:val="top"/>
          </w:tcPr>
          <w:p>
            <w:pPr>
              <w:spacing w:before="90"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4"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0"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818" w:type="dxa"/>
            <w:vAlign w:val="top"/>
          </w:tcPr>
          <w:p>
            <w:pPr>
              <w:spacing w:before="90"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773" w:type="dxa"/>
            <w:vAlign w:val="top"/>
          </w:tcPr>
          <w:p>
            <w:pPr>
              <w:spacing w:before="90"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71.9</w:t>
            </w:r>
          </w:p>
        </w:tc>
        <w:tc>
          <w:tcPr>
            <w:tcW w:w="900" w:type="dxa"/>
            <w:vAlign w:val="top"/>
          </w:tcPr>
          <w:p>
            <w:pPr>
              <w:spacing w:before="90"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71.9</w:t>
            </w:r>
          </w:p>
        </w:tc>
        <w:tc>
          <w:tcPr>
            <w:tcW w:w="1039" w:type="dxa"/>
            <w:tcBorders>
              <w:right w:val="single" w:color="000000" w:sz="4" w:space="0"/>
            </w:tcBorders>
            <w:vAlign w:val="top"/>
          </w:tcPr>
          <w:p>
            <w:pPr>
              <w:spacing w:before="90"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+11.3</w:t>
            </w:r>
          </w:p>
        </w:tc>
        <w:tc>
          <w:tcPr>
            <w:tcW w:w="713" w:type="dxa"/>
            <w:tcBorders>
              <w:left w:val="single" w:color="000000" w:sz="4" w:space="0"/>
            </w:tcBorders>
            <w:vAlign w:val="top"/>
          </w:tcPr>
          <w:p>
            <w:pPr>
              <w:spacing w:before="90"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w:t>
            </w:r>
          </w:p>
        </w:tc>
        <w:tc>
          <w:tcPr>
            <w:tcW w:w="701"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61"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4351"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8" w:line="218" w:lineRule="auto"/>
              <w:ind w:left="134"/>
            </w:pPr>
            <w:r>
              <w:rPr>
                <w:rFonts w:ascii="Times New Roman" w:hAnsi="Times New Roman" w:eastAsia="Times New Roman" w:cs="Times New Roman"/>
                <w:spacing w:val="-5"/>
              </w:rPr>
              <w:t xml:space="preserve">4a </w:t>
            </w:r>
            <w:r>
              <w:rPr>
                <w:spacing w:val="-5"/>
              </w:rPr>
              <w:t>类区</w:t>
            </w:r>
            <w:r>
              <w:rPr>
                <w:spacing w:val="-34"/>
              </w:rPr>
              <w:t xml:space="preserve"> </w:t>
            </w:r>
            <w:r>
              <w:rPr>
                <w:rFonts w:ascii="Times New Roman" w:hAnsi="Times New Roman" w:eastAsia="Times New Roman" w:cs="Times New Roman"/>
                <w:spacing w:val="-5"/>
              </w:rPr>
              <w:t xml:space="preserve">22 </w:t>
            </w:r>
            <w:r>
              <w:rPr>
                <w:spacing w:val="-5"/>
              </w:rPr>
              <w:t>户、</w:t>
            </w:r>
            <w:r>
              <w:rPr>
                <w:spacing w:val="-38"/>
              </w:rPr>
              <w:t xml:space="preserve"> </w:t>
            </w:r>
            <w:r>
              <w:rPr>
                <w:rFonts w:ascii="Times New Roman" w:hAnsi="Times New Roman" w:eastAsia="Times New Roman" w:cs="Times New Roman"/>
                <w:spacing w:val="-5"/>
              </w:rPr>
              <w:t xml:space="preserve">2 </w:t>
            </w:r>
            <w:r>
              <w:rPr>
                <w:spacing w:val="-5"/>
              </w:rPr>
              <w:t>类区</w:t>
            </w:r>
            <w:r>
              <w:rPr>
                <w:spacing w:val="-28"/>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7"/>
              </w:rPr>
              <w:t xml:space="preserve"> </w:t>
            </w:r>
            <w:r>
              <w:rPr>
                <w:spacing w:val="-5"/>
              </w:rPr>
              <w:t>户安装隔声窗，使其</w:t>
            </w:r>
          </w:p>
          <w:p>
            <w:pPr>
              <w:pStyle w:val="6"/>
              <w:spacing w:before="66" w:line="221" w:lineRule="auto"/>
              <w:jc w:val="right"/>
            </w:pPr>
            <w:r>
              <w:rPr>
                <w:spacing w:val="-3"/>
              </w:rPr>
              <w:t>满足《建筑环境通用规范》（</w:t>
            </w:r>
            <w:r>
              <w:rPr>
                <w:rFonts w:ascii="Times New Roman" w:hAnsi="Times New Roman" w:eastAsia="Times New Roman" w:cs="Times New Roman"/>
                <w:spacing w:val="-3"/>
              </w:rPr>
              <w:t>GB 55016-2021</w:t>
            </w:r>
            <w:r>
              <w:rPr>
                <w:spacing w:val="-3"/>
              </w:rPr>
              <w:t>）</w:t>
            </w:r>
          </w:p>
          <w:p>
            <w:pPr>
              <w:pStyle w:val="6"/>
              <w:spacing w:before="63" w:line="221" w:lineRule="auto"/>
              <w:ind w:left="1882"/>
            </w:pPr>
            <w:r>
              <w:rPr>
                <w:spacing w:val="-5"/>
              </w:rPr>
              <w:t>的要求</w:t>
            </w:r>
          </w:p>
        </w:tc>
        <w:tc>
          <w:tcPr>
            <w:tcW w:w="986" w:type="dxa"/>
            <w:vMerge w:val="restart"/>
            <w:tcBorders>
              <w:bottom w:val="nil"/>
            </w:tcBorders>
            <w:vAlign w:val="top"/>
          </w:tcPr>
          <w:p>
            <w:pPr>
              <w:spacing w:line="246" w:lineRule="auto"/>
              <w:rPr>
                <w:rFonts w:ascii="Arial"/>
                <w:sz w:val="21"/>
              </w:rPr>
            </w:pPr>
          </w:p>
          <w:p>
            <w:pPr>
              <w:spacing w:line="246" w:lineRule="auto"/>
              <w:rPr>
                <w:rFonts w:ascii="Arial"/>
                <w:sz w:val="21"/>
              </w:rPr>
            </w:pPr>
          </w:p>
          <w:p>
            <w:pPr>
              <w:pStyle w:val="6"/>
              <w:spacing w:before="68" w:line="258" w:lineRule="auto"/>
              <w:ind w:left="118" w:right="99" w:firstLine="37"/>
              <w:jc w:val="both"/>
            </w:pPr>
            <w:r>
              <w:rPr>
                <w:rFonts w:ascii="Times New Roman" w:hAnsi="Times New Roman" w:eastAsia="Times New Roman" w:cs="Times New Roman"/>
                <w:spacing w:val="-4"/>
              </w:rPr>
              <w:t>23</w:t>
            </w:r>
            <w:r>
              <w:rPr>
                <w:rFonts w:ascii="Times New Roman" w:hAnsi="Times New Roman" w:eastAsia="Times New Roman" w:cs="Times New Roman"/>
                <w:spacing w:val="12"/>
              </w:rPr>
              <w:t xml:space="preserve"> </w:t>
            </w:r>
            <w:r>
              <w:rPr>
                <w:spacing w:val="-4"/>
              </w:rPr>
              <w:t>户隔</w:t>
            </w:r>
            <w:r>
              <w:t xml:space="preserve"> </w:t>
            </w:r>
            <w:r>
              <w:rPr>
                <w:spacing w:val="-20"/>
              </w:rPr>
              <w:t>声窗，预</w:t>
            </w:r>
            <w:r>
              <w:rPr>
                <w:spacing w:val="1"/>
              </w:rPr>
              <w:t xml:space="preserve"> </w:t>
            </w:r>
            <w:r>
              <w:rPr>
                <w:spacing w:val="20"/>
              </w:rPr>
              <w:t>计每户</w:t>
            </w:r>
          </w:p>
          <w:p>
            <w:pPr>
              <w:pStyle w:val="6"/>
              <w:spacing w:before="63" w:line="250" w:lineRule="auto"/>
              <w:ind w:left="290" w:right="172" w:hanging="102"/>
            </w:pPr>
            <w:r>
              <w:rPr>
                <w:spacing w:val="-10"/>
              </w:rPr>
              <w:t>约</w:t>
            </w:r>
            <w:r>
              <w:rPr>
                <w:spacing w:val="-47"/>
              </w:rPr>
              <w:t xml:space="preserve"> </w:t>
            </w:r>
            <w:r>
              <w:rPr>
                <w:rFonts w:ascii="Times New Roman" w:hAnsi="Times New Roman" w:eastAsia="Times New Roman" w:cs="Times New Roman"/>
                <w:spacing w:val="-10"/>
              </w:rPr>
              <w:t>2</w:t>
            </w:r>
            <w:r>
              <w:rPr>
                <w:rFonts w:ascii="Times New Roman" w:hAnsi="Times New Roman" w:eastAsia="Times New Roman" w:cs="Times New Roman"/>
                <w:spacing w:val="13"/>
                <w:w w:val="101"/>
              </w:rPr>
              <w:t xml:space="preserve"> </w:t>
            </w:r>
            <w:r>
              <w:rPr>
                <w:spacing w:val="-10"/>
              </w:rPr>
              <w:t>万</w:t>
            </w:r>
            <w:r>
              <w:t xml:space="preserve"> </w:t>
            </w:r>
            <w:r>
              <w:rPr>
                <w:spacing w:val="-10"/>
              </w:rPr>
              <w:t>元。</w:t>
            </w:r>
          </w:p>
        </w:tc>
        <w:tc>
          <w:tcPr>
            <w:tcW w:w="597" w:type="dxa"/>
            <w:vAlign w:val="top"/>
          </w:tcPr>
          <w:p>
            <w:pPr>
              <w:spacing w:before="95" w:line="212"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5" w:line="212"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5" w:line="212"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87"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6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1" w:line="221" w:lineRule="auto"/>
              <w:ind w:left="273"/>
            </w:pPr>
            <w:r>
              <w:rPr>
                <w:spacing w:val="-3"/>
              </w:rPr>
              <w:t>夜间</w:t>
            </w:r>
          </w:p>
        </w:tc>
        <w:tc>
          <w:tcPr>
            <w:tcW w:w="704" w:type="dxa"/>
            <w:vAlign w:val="top"/>
          </w:tcPr>
          <w:p>
            <w:pPr>
              <w:spacing w:before="96"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818" w:type="dxa"/>
            <w:vAlign w:val="top"/>
          </w:tcPr>
          <w:p>
            <w:pPr>
              <w:spacing w:before="93"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773" w:type="dxa"/>
            <w:vAlign w:val="top"/>
          </w:tcPr>
          <w:p>
            <w:pPr>
              <w:spacing w:before="93"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65.3</w:t>
            </w:r>
          </w:p>
        </w:tc>
        <w:tc>
          <w:tcPr>
            <w:tcW w:w="900" w:type="dxa"/>
            <w:vAlign w:val="top"/>
          </w:tcPr>
          <w:p>
            <w:pPr>
              <w:spacing w:before="93"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65.3</w:t>
            </w:r>
          </w:p>
        </w:tc>
        <w:tc>
          <w:tcPr>
            <w:tcW w:w="1039" w:type="dxa"/>
            <w:tcBorders>
              <w:right w:val="single" w:color="000000" w:sz="4" w:space="0"/>
            </w:tcBorders>
            <w:vAlign w:val="top"/>
          </w:tcPr>
          <w:p>
            <w:pPr>
              <w:spacing w:before="93"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+12.4</w:t>
            </w:r>
          </w:p>
        </w:tc>
        <w:tc>
          <w:tcPr>
            <w:tcW w:w="713" w:type="dxa"/>
            <w:tcBorders>
              <w:left w:val="single" w:color="000000" w:sz="4" w:space="0"/>
            </w:tcBorders>
            <w:vAlign w:val="top"/>
          </w:tcPr>
          <w:p>
            <w:pPr>
              <w:spacing w:before="93" w:line="187"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+10.3</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7" w:line="212"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7" w:line="212"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7" w:line="212"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0"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7" w:line="184" w:lineRule="auto"/>
              <w:ind w:left="49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3" w:line="223" w:lineRule="auto"/>
              <w:ind w:left="269"/>
            </w:pPr>
            <w:r>
              <w:rPr>
                <w:spacing w:val="-2"/>
              </w:rPr>
              <w:t>昼间</w:t>
            </w:r>
          </w:p>
        </w:tc>
        <w:tc>
          <w:tcPr>
            <w:tcW w:w="704" w:type="dxa"/>
            <w:vAlign w:val="top"/>
          </w:tcPr>
          <w:p>
            <w:pPr>
              <w:spacing w:before="91"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4"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1"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818" w:type="dxa"/>
            <w:vAlign w:val="top"/>
          </w:tcPr>
          <w:p>
            <w:pPr>
              <w:spacing w:before="91"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773" w:type="dxa"/>
            <w:vAlign w:val="top"/>
          </w:tcPr>
          <w:p>
            <w:pPr>
              <w:spacing w:before="91"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71.7</w:t>
            </w:r>
          </w:p>
        </w:tc>
        <w:tc>
          <w:tcPr>
            <w:tcW w:w="900" w:type="dxa"/>
            <w:vAlign w:val="top"/>
          </w:tcPr>
          <w:p>
            <w:pPr>
              <w:spacing w:before="91"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71.7</w:t>
            </w:r>
          </w:p>
        </w:tc>
        <w:tc>
          <w:tcPr>
            <w:tcW w:w="1039" w:type="dxa"/>
            <w:tcBorders>
              <w:right w:val="single" w:color="000000" w:sz="4" w:space="0"/>
            </w:tcBorders>
            <w:vAlign w:val="top"/>
          </w:tcPr>
          <w:p>
            <w:pPr>
              <w:spacing w:before="9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+10.1</w:t>
            </w:r>
          </w:p>
        </w:tc>
        <w:tc>
          <w:tcPr>
            <w:tcW w:w="713" w:type="dxa"/>
            <w:tcBorders>
              <w:left w:val="single" w:color="000000" w:sz="4" w:space="0"/>
            </w:tcBorders>
            <w:vAlign w:val="top"/>
          </w:tcPr>
          <w:p>
            <w:pPr>
              <w:spacing w:before="91"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5" w:line="212"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5" w:line="212"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5" w:line="212"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2" w:line="221" w:lineRule="auto"/>
              <w:ind w:left="273"/>
            </w:pPr>
            <w:r>
              <w:rPr>
                <w:spacing w:val="-3"/>
              </w:rPr>
              <w:t>夜间</w:t>
            </w:r>
          </w:p>
        </w:tc>
        <w:tc>
          <w:tcPr>
            <w:tcW w:w="704" w:type="dxa"/>
            <w:vAlign w:val="top"/>
          </w:tcPr>
          <w:p>
            <w:pPr>
              <w:spacing w:before="94"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1"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818" w:type="dxa"/>
            <w:vAlign w:val="top"/>
          </w:tcPr>
          <w:p>
            <w:pPr>
              <w:spacing w:before="91"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773" w:type="dxa"/>
            <w:vAlign w:val="top"/>
          </w:tcPr>
          <w:p>
            <w:pPr>
              <w:spacing w:before="91"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64.7</w:t>
            </w:r>
          </w:p>
        </w:tc>
        <w:tc>
          <w:tcPr>
            <w:tcW w:w="900" w:type="dxa"/>
            <w:vAlign w:val="top"/>
          </w:tcPr>
          <w:p>
            <w:pPr>
              <w:spacing w:before="91"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64.7</w:t>
            </w:r>
          </w:p>
        </w:tc>
        <w:tc>
          <w:tcPr>
            <w:tcW w:w="1039" w:type="dxa"/>
            <w:tcBorders>
              <w:right w:val="single" w:color="000000" w:sz="4" w:space="0"/>
            </w:tcBorders>
            <w:vAlign w:val="top"/>
          </w:tcPr>
          <w:p>
            <w:pPr>
              <w:spacing w:before="9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+11.5</w:t>
            </w:r>
          </w:p>
        </w:tc>
        <w:tc>
          <w:tcPr>
            <w:tcW w:w="713" w:type="dxa"/>
            <w:tcBorders>
              <w:left w:val="single" w:color="000000" w:sz="4" w:space="0"/>
            </w:tcBorders>
            <w:vAlign w:val="top"/>
          </w:tcPr>
          <w:p>
            <w:pPr>
              <w:spacing w:before="91"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+9.7</w:t>
            </w:r>
          </w:p>
        </w:tc>
        <w:tc>
          <w:tcPr>
            <w:tcW w:w="701" w:type="dxa"/>
            <w:vMerge w:val="continue"/>
            <w:tcBorders>
              <w:top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6" w:line="214"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6" w:line="214"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6" w:line="214"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0" w:line="18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w:t>
            </w:r>
          </w:p>
        </w:tc>
        <w:tc>
          <w:tcPr>
            <w:tcW w:w="1085" w:type="dxa"/>
            <w:vMerge w:val="restart"/>
            <w:tcBorders>
              <w:bottom w:val="nil"/>
            </w:tcBorders>
            <w:vAlign w:val="top"/>
          </w:tcPr>
          <w:p>
            <w:pPr>
              <w:spacing w:before="252"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19.5</w:t>
            </w:r>
          </w:p>
        </w:tc>
        <w:tc>
          <w:tcPr>
            <w:tcW w:w="866" w:type="dxa"/>
            <w:vMerge w:val="restart"/>
            <w:tcBorders>
              <w:bottom w:val="nil"/>
            </w:tcBorders>
            <w:vAlign w:val="top"/>
          </w:tcPr>
          <w:p>
            <w:pPr>
              <w:spacing w:line="468" w:lineRule="auto"/>
              <w:rPr>
                <w:rFonts w:ascii="Arial"/>
                <w:sz w:val="21"/>
              </w:rPr>
            </w:pPr>
          </w:p>
          <w:p>
            <w:pPr>
              <w:pStyle w:val="6"/>
              <w:spacing w:before="68" w:line="221" w:lineRule="auto"/>
              <w:ind w:left="254"/>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3" w:line="223" w:lineRule="auto"/>
              <w:ind w:left="269"/>
            </w:pPr>
            <w:r>
              <w:rPr>
                <w:spacing w:val="-2"/>
              </w:rPr>
              <w:t>昼间</w:t>
            </w:r>
          </w:p>
        </w:tc>
        <w:tc>
          <w:tcPr>
            <w:tcW w:w="704" w:type="dxa"/>
            <w:vAlign w:val="top"/>
          </w:tcPr>
          <w:p>
            <w:pPr>
              <w:spacing w:before="91"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2"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1"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818" w:type="dxa"/>
            <w:vAlign w:val="top"/>
          </w:tcPr>
          <w:p>
            <w:pPr>
              <w:spacing w:before="91"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773" w:type="dxa"/>
            <w:vAlign w:val="top"/>
          </w:tcPr>
          <w:p>
            <w:pPr>
              <w:spacing w:before="91"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55.1</w:t>
            </w:r>
          </w:p>
        </w:tc>
        <w:tc>
          <w:tcPr>
            <w:tcW w:w="900" w:type="dxa"/>
            <w:vAlign w:val="top"/>
          </w:tcPr>
          <w:p>
            <w:pPr>
              <w:spacing w:before="91"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55.9</w:t>
            </w:r>
          </w:p>
        </w:tc>
        <w:tc>
          <w:tcPr>
            <w:tcW w:w="1039" w:type="dxa"/>
            <w:tcBorders>
              <w:right w:val="single" w:color="000000" w:sz="4" w:space="0"/>
            </w:tcBorders>
            <w:vAlign w:val="top"/>
          </w:tcPr>
          <w:p>
            <w:pPr>
              <w:spacing w:before="9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w:t>
            </w:r>
          </w:p>
        </w:tc>
        <w:tc>
          <w:tcPr>
            <w:tcW w:w="713" w:type="dxa"/>
            <w:tcBorders>
              <w:left w:val="single" w:color="000000" w:sz="4" w:space="0"/>
            </w:tcBorders>
            <w:vAlign w:val="top"/>
          </w:tcPr>
          <w:p>
            <w:pPr>
              <w:spacing w:before="87" w:line="220"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0" w:line="187"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5" w:line="212"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5" w:line="212"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5" w:line="212"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2" w:line="221" w:lineRule="auto"/>
              <w:ind w:left="273"/>
            </w:pPr>
            <w:r>
              <w:rPr>
                <w:spacing w:val="-3"/>
              </w:rPr>
              <w:t>夜间</w:t>
            </w:r>
          </w:p>
        </w:tc>
        <w:tc>
          <w:tcPr>
            <w:tcW w:w="704" w:type="dxa"/>
            <w:vAlign w:val="top"/>
          </w:tcPr>
          <w:p>
            <w:pPr>
              <w:spacing w:before="91"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1"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818" w:type="dxa"/>
            <w:vAlign w:val="top"/>
          </w:tcPr>
          <w:p>
            <w:pPr>
              <w:spacing w:before="91"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773" w:type="dxa"/>
            <w:vAlign w:val="top"/>
          </w:tcPr>
          <w:p>
            <w:pPr>
              <w:spacing w:before="91"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46.4</w:t>
            </w:r>
          </w:p>
        </w:tc>
        <w:tc>
          <w:tcPr>
            <w:tcW w:w="900" w:type="dxa"/>
            <w:vAlign w:val="top"/>
          </w:tcPr>
          <w:p>
            <w:pPr>
              <w:spacing w:before="91"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46.7</w:t>
            </w:r>
          </w:p>
        </w:tc>
        <w:tc>
          <w:tcPr>
            <w:tcW w:w="1039" w:type="dxa"/>
            <w:tcBorders>
              <w:right w:val="single" w:color="000000" w:sz="4" w:space="0"/>
            </w:tcBorders>
            <w:vAlign w:val="top"/>
          </w:tcPr>
          <w:p>
            <w:pPr>
              <w:spacing w:before="9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+11.5</w:t>
            </w:r>
          </w:p>
        </w:tc>
        <w:tc>
          <w:tcPr>
            <w:tcW w:w="713" w:type="dxa"/>
            <w:tcBorders>
              <w:left w:val="single" w:color="000000" w:sz="4" w:space="0"/>
            </w:tcBorders>
            <w:vAlign w:val="top"/>
          </w:tcPr>
          <w:p>
            <w:pPr>
              <w:spacing w:before="87" w:line="222"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5" w:line="214"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5" w:line="214"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5" w:line="214"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2" w:line="187" w:lineRule="auto"/>
              <w:ind w:left="4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3" w:line="223" w:lineRule="auto"/>
              <w:ind w:left="269"/>
            </w:pPr>
            <w:r>
              <w:rPr>
                <w:spacing w:val="-2"/>
              </w:rPr>
              <w:t>昼间</w:t>
            </w:r>
          </w:p>
        </w:tc>
        <w:tc>
          <w:tcPr>
            <w:tcW w:w="704" w:type="dxa"/>
            <w:vAlign w:val="top"/>
          </w:tcPr>
          <w:p>
            <w:pPr>
              <w:spacing w:before="91"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1"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818" w:type="dxa"/>
            <w:vAlign w:val="top"/>
          </w:tcPr>
          <w:p>
            <w:pPr>
              <w:spacing w:before="91"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773" w:type="dxa"/>
            <w:vAlign w:val="top"/>
          </w:tcPr>
          <w:p>
            <w:pPr>
              <w:spacing w:before="91"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57.3</w:t>
            </w:r>
          </w:p>
        </w:tc>
        <w:tc>
          <w:tcPr>
            <w:tcW w:w="900" w:type="dxa"/>
            <w:vAlign w:val="top"/>
          </w:tcPr>
          <w:p>
            <w:pPr>
              <w:spacing w:before="91"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58.3</w:t>
            </w:r>
          </w:p>
        </w:tc>
        <w:tc>
          <w:tcPr>
            <w:tcW w:w="1039" w:type="dxa"/>
            <w:tcBorders>
              <w:right w:val="single" w:color="000000" w:sz="4" w:space="0"/>
            </w:tcBorders>
            <w:vAlign w:val="top"/>
          </w:tcPr>
          <w:p>
            <w:pPr>
              <w:spacing w:before="9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w:t>
            </w:r>
          </w:p>
        </w:tc>
        <w:tc>
          <w:tcPr>
            <w:tcW w:w="713" w:type="dxa"/>
            <w:tcBorders>
              <w:left w:val="single" w:color="000000" w:sz="4" w:space="0"/>
            </w:tcBorders>
            <w:vAlign w:val="top"/>
          </w:tcPr>
          <w:p>
            <w:pPr>
              <w:spacing w:before="88"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6" w:line="211"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6" w:line="211"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6" w:line="211"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2" w:line="221" w:lineRule="auto"/>
              <w:ind w:left="273"/>
            </w:pPr>
            <w:r>
              <w:rPr>
                <w:spacing w:val="-3"/>
              </w:rPr>
              <w:t>夜间</w:t>
            </w:r>
          </w:p>
        </w:tc>
        <w:tc>
          <w:tcPr>
            <w:tcW w:w="704" w:type="dxa"/>
            <w:vAlign w:val="top"/>
          </w:tcPr>
          <w:p>
            <w:pPr>
              <w:spacing w:before="91"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1"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818" w:type="dxa"/>
            <w:vAlign w:val="top"/>
          </w:tcPr>
          <w:p>
            <w:pPr>
              <w:spacing w:before="91"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773" w:type="dxa"/>
            <w:vAlign w:val="top"/>
          </w:tcPr>
          <w:p>
            <w:pPr>
              <w:spacing w:before="91"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51.3</w:t>
            </w:r>
          </w:p>
        </w:tc>
        <w:tc>
          <w:tcPr>
            <w:tcW w:w="900" w:type="dxa"/>
            <w:vAlign w:val="top"/>
          </w:tcPr>
          <w:p>
            <w:pPr>
              <w:spacing w:before="91"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51.5</w:t>
            </w:r>
          </w:p>
        </w:tc>
        <w:tc>
          <w:tcPr>
            <w:tcW w:w="1039" w:type="dxa"/>
            <w:tcBorders>
              <w:right w:val="single" w:color="000000" w:sz="4" w:space="0"/>
            </w:tcBorders>
            <w:vAlign w:val="top"/>
          </w:tcPr>
          <w:p>
            <w:pPr>
              <w:spacing w:before="9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+14.1</w:t>
            </w:r>
          </w:p>
        </w:tc>
        <w:tc>
          <w:tcPr>
            <w:tcW w:w="713" w:type="dxa"/>
            <w:tcBorders>
              <w:left w:val="single" w:color="000000" w:sz="4" w:space="0"/>
            </w:tcBorders>
            <w:vAlign w:val="top"/>
          </w:tcPr>
          <w:p>
            <w:pPr>
              <w:spacing w:before="91"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96" w:line="211"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6" w:line="211"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6" w:line="211"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61" w:line="187" w:lineRule="auto"/>
              <w:ind w:left="24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181" w:type="dxa"/>
            <w:vMerge w:val="restart"/>
            <w:tcBorders>
              <w:bottom w:val="nil"/>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9" w:line="221" w:lineRule="auto"/>
              <w:ind w:left="390"/>
            </w:pPr>
            <w:r>
              <w:rPr>
                <w:spacing w:val="-2"/>
              </w:rPr>
              <w:t>凤鸣</w:t>
            </w:r>
          </w:p>
        </w:tc>
        <w:tc>
          <w:tcPr>
            <w:tcW w:w="1106"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before="61" w:line="18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085" w:type="dxa"/>
            <w:vMerge w:val="restart"/>
            <w:tcBorders>
              <w:bottom w:val="nil"/>
            </w:tcBorders>
            <w:vAlign w:val="top"/>
          </w:tcPr>
          <w:p>
            <w:pPr>
              <w:spacing w:before="254"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11.5</w:t>
            </w:r>
          </w:p>
        </w:tc>
        <w:tc>
          <w:tcPr>
            <w:tcW w:w="866" w:type="dxa"/>
            <w:vMerge w:val="restart"/>
            <w:tcBorders>
              <w:bottom w:val="nil"/>
            </w:tcBorders>
            <w:vAlign w:val="top"/>
          </w:tcPr>
          <w:p>
            <w:pPr>
              <w:spacing w:line="471" w:lineRule="auto"/>
              <w:rPr>
                <w:rFonts w:ascii="Arial"/>
                <w:sz w:val="21"/>
              </w:rPr>
            </w:pPr>
          </w:p>
          <w:p>
            <w:pPr>
              <w:pStyle w:val="6"/>
              <w:spacing w:before="68" w:line="221" w:lineRule="auto"/>
              <w:ind w:left="20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945" w:type="dxa"/>
            <w:vAlign w:val="top"/>
          </w:tcPr>
          <w:p>
            <w:pPr>
              <w:pStyle w:val="6"/>
              <w:spacing w:before="53" w:line="223" w:lineRule="auto"/>
              <w:ind w:left="269"/>
            </w:pPr>
            <w:r>
              <w:rPr>
                <w:spacing w:val="-2"/>
              </w:rPr>
              <w:t>昼间</w:t>
            </w:r>
          </w:p>
        </w:tc>
        <w:tc>
          <w:tcPr>
            <w:tcW w:w="704" w:type="dxa"/>
            <w:vAlign w:val="top"/>
          </w:tcPr>
          <w:p>
            <w:pPr>
              <w:spacing w:before="91"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4"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818" w:type="dxa"/>
            <w:vAlign w:val="top"/>
          </w:tcPr>
          <w:p>
            <w:pPr>
              <w:spacing w:before="94"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60.6</w:t>
            </w:r>
          </w:p>
        </w:tc>
        <w:tc>
          <w:tcPr>
            <w:tcW w:w="773" w:type="dxa"/>
            <w:vAlign w:val="top"/>
          </w:tcPr>
          <w:p>
            <w:pPr>
              <w:spacing w:before="94"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64.8</w:t>
            </w:r>
          </w:p>
        </w:tc>
        <w:tc>
          <w:tcPr>
            <w:tcW w:w="900" w:type="dxa"/>
            <w:vAlign w:val="top"/>
          </w:tcPr>
          <w:p>
            <w:pPr>
              <w:spacing w:before="9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64.9</w:t>
            </w:r>
          </w:p>
        </w:tc>
        <w:tc>
          <w:tcPr>
            <w:tcW w:w="1039" w:type="dxa"/>
            <w:tcBorders>
              <w:right w:val="single" w:color="000000" w:sz="4" w:space="0"/>
            </w:tcBorders>
            <w:vAlign w:val="top"/>
          </w:tcPr>
          <w:p>
            <w:pPr>
              <w:spacing w:before="94"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713" w:type="dxa"/>
            <w:tcBorders>
              <w:left w:val="single" w:color="000000" w:sz="4" w:space="0"/>
            </w:tcBorders>
            <w:vAlign w:val="top"/>
          </w:tcPr>
          <w:p>
            <w:pPr>
              <w:spacing w:before="90"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before="61" w:line="187" w:lineRule="auto"/>
              <w:ind w:left="29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351"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8" w:line="218" w:lineRule="auto"/>
              <w:ind w:left="108"/>
            </w:pPr>
            <w:r>
              <w:rPr>
                <w:rFonts w:ascii="Times New Roman" w:hAnsi="Times New Roman" w:eastAsia="Times New Roman" w:cs="Times New Roman"/>
                <w:spacing w:val="-3"/>
              </w:rPr>
              <w:t xml:space="preserve">4a </w:t>
            </w:r>
            <w:r>
              <w:rPr>
                <w:spacing w:val="-3"/>
              </w:rPr>
              <w:t>类区</w:t>
            </w:r>
            <w:r>
              <w:rPr>
                <w:spacing w:val="-40"/>
              </w:rPr>
              <w:t xml:space="preserve"> </w:t>
            </w:r>
            <w:r>
              <w:rPr>
                <w:rFonts w:ascii="Times New Roman" w:hAnsi="Times New Roman" w:eastAsia="Times New Roman" w:cs="Times New Roman"/>
                <w:spacing w:val="-3"/>
              </w:rPr>
              <w:t xml:space="preserve">2 </w:t>
            </w:r>
            <w:r>
              <w:rPr>
                <w:spacing w:val="-3"/>
              </w:rPr>
              <w:t>户、</w:t>
            </w:r>
            <w:r>
              <w:rPr>
                <w:rFonts w:ascii="Times New Roman" w:hAnsi="Times New Roman" w:eastAsia="Times New Roman" w:cs="Times New Roman"/>
                <w:spacing w:val="-3"/>
              </w:rPr>
              <w:t xml:space="preserve">2 </w:t>
            </w:r>
            <w:r>
              <w:rPr>
                <w:spacing w:val="-3"/>
              </w:rPr>
              <w:t>类区</w:t>
            </w:r>
            <w:r>
              <w:rPr>
                <w:spacing w:val="-44"/>
              </w:rPr>
              <w:t xml:space="preserve"> </w:t>
            </w:r>
            <w:r>
              <w:rPr>
                <w:rFonts w:ascii="Times New Roman" w:hAnsi="Times New Roman" w:eastAsia="Times New Roman" w:cs="Times New Roman"/>
                <w:spacing w:val="-3"/>
              </w:rPr>
              <w:t xml:space="preserve">3 </w:t>
            </w:r>
            <w:r>
              <w:rPr>
                <w:spacing w:val="-3"/>
              </w:rPr>
              <w:t>户安装隔声窗，使其满</w:t>
            </w:r>
          </w:p>
          <w:p>
            <w:pPr>
              <w:pStyle w:val="6"/>
              <w:spacing w:before="65" w:line="250" w:lineRule="auto"/>
              <w:ind w:left="1882" w:right="141" w:hanging="1744"/>
            </w:pPr>
            <w:r>
              <w:rPr>
                <w:spacing w:val="-1"/>
              </w:rPr>
              <w:t>足《建筑环境通用规范》（</w:t>
            </w:r>
            <w:r>
              <w:rPr>
                <w:rFonts w:ascii="Times New Roman" w:hAnsi="Times New Roman" w:eastAsia="Times New Roman" w:cs="Times New Roman"/>
                <w:spacing w:val="-1"/>
              </w:rPr>
              <w:t>GB 55016-2021</w:t>
            </w:r>
            <w:r>
              <w:rPr>
                <w:spacing w:val="-1"/>
              </w:rPr>
              <w:t>）</w:t>
            </w:r>
            <w:r>
              <w:rPr>
                <w:spacing w:val="2"/>
              </w:rPr>
              <w:t xml:space="preserve"> </w:t>
            </w:r>
            <w:r>
              <w:rPr>
                <w:spacing w:val="-5"/>
              </w:rPr>
              <w:t>的要求</w:t>
            </w:r>
          </w:p>
        </w:tc>
        <w:tc>
          <w:tcPr>
            <w:tcW w:w="986" w:type="dxa"/>
            <w:vMerge w:val="restart"/>
            <w:tcBorders>
              <w:bottom w:val="nil"/>
            </w:tcBorders>
            <w:vAlign w:val="top"/>
          </w:tcPr>
          <w:p>
            <w:pPr>
              <w:spacing w:line="324" w:lineRule="auto"/>
              <w:rPr>
                <w:rFonts w:ascii="Arial"/>
                <w:sz w:val="21"/>
              </w:rPr>
            </w:pPr>
          </w:p>
          <w:p>
            <w:pPr>
              <w:spacing w:line="324" w:lineRule="auto"/>
              <w:rPr>
                <w:rFonts w:ascii="Arial"/>
                <w:sz w:val="21"/>
              </w:rPr>
            </w:pPr>
          </w:p>
          <w:p>
            <w:pPr>
              <w:pStyle w:val="6"/>
              <w:spacing w:before="69" w:line="263" w:lineRule="auto"/>
              <w:ind w:left="114" w:right="100" w:firstLine="1"/>
              <w:jc w:val="both"/>
            </w:pPr>
            <w:r>
              <w:rPr>
                <w:rFonts w:ascii="Times New Roman" w:hAnsi="Times New Roman" w:eastAsia="Times New Roman" w:cs="Times New Roman"/>
                <w:spacing w:val="-4"/>
              </w:rPr>
              <w:t>5</w:t>
            </w:r>
            <w:r>
              <w:rPr>
                <w:rFonts w:ascii="Times New Roman" w:hAnsi="Times New Roman" w:eastAsia="Times New Roman" w:cs="Times New Roman"/>
                <w:spacing w:val="-8"/>
              </w:rPr>
              <w:t xml:space="preserve"> </w:t>
            </w:r>
            <w:r>
              <w:rPr>
                <w:spacing w:val="-4"/>
              </w:rPr>
              <w:t>户隔声</w:t>
            </w:r>
            <w:r>
              <w:t xml:space="preserve"> </w:t>
            </w:r>
            <w:r>
              <w:rPr>
                <w:spacing w:val="-19"/>
              </w:rPr>
              <w:t>窗，预计</w:t>
            </w:r>
            <w:r>
              <w:rPr>
                <w:spacing w:val="1"/>
              </w:rPr>
              <w:t xml:space="preserve"> </w:t>
            </w:r>
            <w:r>
              <w:rPr>
                <w:spacing w:val="7"/>
              </w:rPr>
              <w:t>每户约</w:t>
            </w:r>
            <w:r>
              <w:rPr>
                <w:rFonts w:ascii="Times New Roman" w:hAnsi="Times New Roman" w:eastAsia="Times New Roman" w:cs="Times New Roman"/>
                <w:spacing w:val="7"/>
              </w:rPr>
              <w:t>2</w:t>
            </w:r>
            <w:r>
              <w:rPr>
                <w:rFonts w:ascii="Times New Roman" w:hAnsi="Times New Roman" w:eastAsia="Times New Roman" w:cs="Times New Roman"/>
                <w:spacing w:val="2"/>
              </w:rPr>
              <w:t xml:space="preserve"> </w:t>
            </w:r>
            <w:r>
              <w:rPr>
                <w:spacing w:val="11"/>
              </w:rPr>
              <w:t>万元。</w:t>
            </w:r>
          </w:p>
        </w:tc>
        <w:tc>
          <w:tcPr>
            <w:tcW w:w="597" w:type="dxa"/>
            <w:vAlign w:val="top"/>
          </w:tcPr>
          <w:p>
            <w:pPr>
              <w:spacing w:before="98" w:line="211"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8" w:line="211"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8" w:line="211"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0"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61"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5"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818" w:type="dxa"/>
            <w:vAlign w:val="top"/>
          </w:tcPr>
          <w:p>
            <w:pPr>
              <w:spacing w:before="92"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773" w:type="dxa"/>
            <w:vAlign w:val="top"/>
          </w:tcPr>
          <w:p>
            <w:pPr>
              <w:spacing w:before="92"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900" w:type="dxa"/>
            <w:vAlign w:val="top"/>
          </w:tcPr>
          <w:p>
            <w:pPr>
              <w:spacing w:before="9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713" w:type="dxa"/>
            <w:tcBorders>
              <w:left w:val="single" w:color="000000" w:sz="4" w:space="0"/>
            </w:tcBorders>
            <w:vAlign w:val="top"/>
          </w:tcPr>
          <w:p>
            <w:pPr>
              <w:spacing w:before="92"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6" w:line="211"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6" w:line="211"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6" w:line="211"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5" w:line="187" w:lineRule="auto"/>
              <w:ind w:left="46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4" w:line="223" w:lineRule="auto"/>
              <w:ind w:left="269"/>
            </w:pPr>
            <w:r>
              <w:rPr>
                <w:spacing w:val="-2"/>
              </w:rPr>
              <w:t>昼间</w:t>
            </w:r>
          </w:p>
        </w:tc>
        <w:tc>
          <w:tcPr>
            <w:tcW w:w="704" w:type="dxa"/>
            <w:vAlign w:val="top"/>
          </w:tcPr>
          <w:p>
            <w:pPr>
              <w:spacing w:before="92"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2"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818" w:type="dxa"/>
            <w:vAlign w:val="top"/>
          </w:tcPr>
          <w:p>
            <w:pPr>
              <w:spacing w:before="92"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w:t>
            </w:r>
          </w:p>
        </w:tc>
        <w:tc>
          <w:tcPr>
            <w:tcW w:w="773" w:type="dxa"/>
            <w:vAlign w:val="top"/>
          </w:tcPr>
          <w:p>
            <w:pPr>
              <w:spacing w:before="92"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67.8</w:t>
            </w:r>
          </w:p>
        </w:tc>
        <w:tc>
          <w:tcPr>
            <w:tcW w:w="900" w:type="dxa"/>
            <w:vAlign w:val="top"/>
          </w:tcPr>
          <w:p>
            <w:pPr>
              <w:spacing w:before="92"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67.9</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w:t>
            </w:r>
          </w:p>
        </w:tc>
        <w:tc>
          <w:tcPr>
            <w:tcW w:w="713" w:type="dxa"/>
            <w:tcBorders>
              <w:left w:val="single" w:color="000000" w:sz="4" w:space="0"/>
            </w:tcBorders>
            <w:vAlign w:val="top"/>
          </w:tcPr>
          <w:p>
            <w:pPr>
              <w:spacing w:before="88" w:line="221"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6" w:line="213"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6" w:line="213"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6" w:line="213"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5"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818" w:type="dxa"/>
            <w:vAlign w:val="top"/>
          </w:tcPr>
          <w:p>
            <w:pPr>
              <w:spacing w:before="92"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773" w:type="dxa"/>
            <w:vAlign w:val="top"/>
          </w:tcPr>
          <w:p>
            <w:pPr>
              <w:spacing w:before="92"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59.3</w:t>
            </w:r>
          </w:p>
        </w:tc>
        <w:tc>
          <w:tcPr>
            <w:tcW w:w="900" w:type="dxa"/>
            <w:vAlign w:val="top"/>
          </w:tcPr>
          <w:p>
            <w:pPr>
              <w:spacing w:before="9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59.3</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+6.1</w:t>
            </w:r>
          </w:p>
        </w:tc>
        <w:tc>
          <w:tcPr>
            <w:tcW w:w="713" w:type="dxa"/>
            <w:tcBorders>
              <w:left w:val="single" w:color="000000" w:sz="4" w:space="0"/>
            </w:tcBorders>
            <w:vAlign w:val="top"/>
          </w:tcPr>
          <w:p>
            <w:pPr>
              <w:spacing w:before="92"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701" w:type="dxa"/>
            <w:vMerge w:val="continue"/>
            <w:tcBorders>
              <w:top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7" w:line="210"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7" w:line="210"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7" w:line="210"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0"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1085" w:type="dxa"/>
            <w:vMerge w:val="restart"/>
            <w:tcBorders>
              <w:bottom w:val="nil"/>
            </w:tcBorders>
            <w:vAlign w:val="top"/>
          </w:tcPr>
          <w:p>
            <w:pPr>
              <w:spacing w:before="255" w:line="187" w:lineRule="auto"/>
              <w:ind w:left="4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866" w:type="dxa"/>
            <w:vMerge w:val="restart"/>
            <w:tcBorders>
              <w:bottom w:val="nil"/>
            </w:tcBorders>
            <w:vAlign w:val="top"/>
          </w:tcPr>
          <w:p>
            <w:pPr>
              <w:spacing w:line="469" w:lineRule="auto"/>
              <w:rPr>
                <w:rFonts w:ascii="Arial"/>
                <w:sz w:val="21"/>
              </w:rPr>
            </w:pPr>
          </w:p>
          <w:p>
            <w:pPr>
              <w:pStyle w:val="6"/>
              <w:spacing w:before="69" w:line="221" w:lineRule="auto"/>
              <w:ind w:left="254"/>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4" w:line="223" w:lineRule="auto"/>
              <w:ind w:left="269"/>
            </w:pPr>
            <w:r>
              <w:rPr>
                <w:spacing w:val="-2"/>
              </w:rPr>
              <w:t>昼间</w:t>
            </w:r>
          </w:p>
        </w:tc>
        <w:tc>
          <w:tcPr>
            <w:tcW w:w="704" w:type="dxa"/>
            <w:vAlign w:val="top"/>
          </w:tcPr>
          <w:p>
            <w:pPr>
              <w:spacing w:before="92"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818" w:type="dxa"/>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w:t>
            </w:r>
          </w:p>
        </w:tc>
        <w:tc>
          <w:tcPr>
            <w:tcW w:w="773" w:type="dxa"/>
            <w:vAlign w:val="top"/>
          </w:tcPr>
          <w:p>
            <w:pPr>
              <w:spacing w:before="92"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63.4</w:t>
            </w:r>
          </w:p>
        </w:tc>
        <w:tc>
          <w:tcPr>
            <w:tcW w:w="900" w:type="dxa"/>
            <w:vAlign w:val="top"/>
          </w:tcPr>
          <w:p>
            <w:pPr>
              <w:spacing w:before="92"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63.5</w:t>
            </w:r>
          </w:p>
        </w:tc>
        <w:tc>
          <w:tcPr>
            <w:tcW w:w="1039" w:type="dxa"/>
            <w:tcBorders>
              <w:right w:val="single" w:color="000000" w:sz="4" w:space="0"/>
            </w:tcBorders>
            <w:vAlign w:val="top"/>
          </w:tcPr>
          <w:p>
            <w:pPr>
              <w:spacing w:before="92"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+15.4</w:t>
            </w:r>
          </w:p>
        </w:tc>
        <w:tc>
          <w:tcPr>
            <w:tcW w:w="713" w:type="dxa"/>
            <w:tcBorders>
              <w:left w:val="single" w:color="000000" w:sz="4" w:space="0"/>
            </w:tcBorders>
            <w:vAlign w:val="top"/>
          </w:tcPr>
          <w:p>
            <w:pPr>
              <w:spacing w:before="92"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701"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0" w:line="187" w:lineRule="auto"/>
              <w:ind w:left="30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7" w:line="210"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7" w:line="210"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7" w:line="210"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88"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5"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818" w:type="dxa"/>
            <w:vAlign w:val="top"/>
          </w:tcPr>
          <w:p>
            <w:pPr>
              <w:spacing w:before="95"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773" w:type="dxa"/>
            <w:vAlign w:val="top"/>
          </w:tcPr>
          <w:p>
            <w:pPr>
              <w:spacing w:before="95"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c>
          <w:tcPr>
            <w:tcW w:w="900" w:type="dxa"/>
            <w:vAlign w:val="top"/>
          </w:tcPr>
          <w:p>
            <w:pPr>
              <w:spacing w:before="95"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54.3</w:t>
            </w:r>
          </w:p>
        </w:tc>
        <w:tc>
          <w:tcPr>
            <w:tcW w:w="1039" w:type="dxa"/>
            <w:tcBorders>
              <w:right w:val="single" w:color="000000" w:sz="4" w:space="0"/>
            </w:tcBorders>
            <w:vAlign w:val="top"/>
          </w:tcPr>
          <w:p>
            <w:pPr>
              <w:spacing w:before="95"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+19.1</w:t>
            </w:r>
          </w:p>
        </w:tc>
        <w:tc>
          <w:tcPr>
            <w:tcW w:w="713" w:type="dxa"/>
            <w:tcBorders>
              <w:left w:val="single" w:color="000000" w:sz="4" w:space="0"/>
            </w:tcBorders>
            <w:vAlign w:val="top"/>
          </w:tcPr>
          <w:p>
            <w:pPr>
              <w:spacing w:before="95"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9" w:line="211"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9" w:line="211"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9" w:line="211"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1" w:line="219"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5" w:line="187" w:lineRule="auto"/>
              <w:ind w:left="46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4" w:line="223" w:lineRule="auto"/>
              <w:ind w:left="269"/>
            </w:pPr>
            <w:r>
              <w:rPr>
                <w:spacing w:val="-2"/>
              </w:rPr>
              <w:t>昼间</w:t>
            </w:r>
          </w:p>
        </w:tc>
        <w:tc>
          <w:tcPr>
            <w:tcW w:w="704" w:type="dxa"/>
            <w:vAlign w:val="top"/>
          </w:tcPr>
          <w:p>
            <w:pPr>
              <w:spacing w:before="92"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2"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818" w:type="dxa"/>
            <w:vAlign w:val="top"/>
          </w:tcPr>
          <w:p>
            <w:pPr>
              <w:spacing w:before="92"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51.6</w:t>
            </w:r>
          </w:p>
        </w:tc>
        <w:tc>
          <w:tcPr>
            <w:tcW w:w="773" w:type="dxa"/>
            <w:vAlign w:val="top"/>
          </w:tcPr>
          <w:p>
            <w:pPr>
              <w:spacing w:before="92"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65.6</w:t>
            </w:r>
          </w:p>
        </w:tc>
        <w:tc>
          <w:tcPr>
            <w:tcW w:w="900" w:type="dxa"/>
            <w:vAlign w:val="top"/>
          </w:tcPr>
          <w:p>
            <w:pPr>
              <w:spacing w:before="92"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65.8</w:t>
            </w:r>
          </w:p>
        </w:tc>
        <w:tc>
          <w:tcPr>
            <w:tcW w:w="1039" w:type="dxa"/>
            <w:tcBorders>
              <w:right w:val="single" w:color="000000" w:sz="4" w:space="0"/>
            </w:tcBorders>
            <w:vAlign w:val="top"/>
          </w:tcPr>
          <w:p>
            <w:pPr>
              <w:spacing w:before="92"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+14.2</w:t>
            </w:r>
          </w:p>
        </w:tc>
        <w:tc>
          <w:tcPr>
            <w:tcW w:w="713" w:type="dxa"/>
            <w:tcBorders>
              <w:left w:val="single" w:color="000000" w:sz="4" w:space="0"/>
            </w:tcBorders>
            <w:vAlign w:val="top"/>
          </w:tcPr>
          <w:p>
            <w:pPr>
              <w:spacing w:before="92"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+5.8</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6" w:line="211"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6" w:line="211"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6" w:line="211"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4" w:line="213" w:lineRule="auto"/>
              <w:ind w:left="25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2"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818" w:type="dxa"/>
            <w:vAlign w:val="top"/>
          </w:tcPr>
          <w:p>
            <w:pPr>
              <w:spacing w:before="92"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37.4</w:t>
            </w:r>
          </w:p>
        </w:tc>
        <w:tc>
          <w:tcPr>
            <w:tcW w:w="773" w:type="dxa"/>
            <w:vAlign w:val="top"/>
          </w:tcPr>
          <w:p>
            <w:pPr>
              <w:spacing w:before="92"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56.3</w:t>
            </w:r>
          </w:p>
        </w:tc>
        <w:tc>
          <w:tcPr>
            <w:tcW w:w="900" w:type="dxa"/>
            <w:vAlign w:val="top"/>
          </w:tcPr>
          <w:p>
            <w:pPr>
              <w:spacing w:before="9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56.4</w:t>
            </w:r>
          </w:p>
        </w:tc>
        <w:tc>
          <w:tcPr>
            <w:tcW w:w="1039" w:type="dxa"/>
            <w:tcBorders>
              <w:right w:val="single" w:color="000000" w:sz="4" w:space="0"/>
            </w:tcBorders>
            <w:vAlign w:val="top"/>
          </w:tcPr>
          <w:p>
            <w:pPr>
              <w:spacing w:before="92"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+19.0</w:t>
            </w:r>
          </w:p>
        </w:tc>
        <w:tc>
          <w:tcPr>
            <w:tcW w:w="713" w:type="dxa"/>
            <w:tcBorders>
              <w:left w:val="single" w:color="000000" w:sz="4" w:space="0"/>
            </w:tcBorders>
            <w:vAlign w:val="top"/>
          </w:tcPr>
          <w:p>
            <w:pPr>
              <w:spacing w:before="92"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96" w:line="213"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6" w:line="213"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6" w:line="213"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4" w:line="215" w:lineRule="auto"/>
              <w:ind w:left="2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35≤</w:t>
            </w:r>
          </w:p>
        </w:tc>
        <w:tc>
          <w:tcPr>
            <w:tcW w:w="8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0" w:line="187" w:lineRule="auto"/>
              <w:ind w:left="24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181" w:type="dxa"/>
            <w:vMerge w:val="restart"/>
            <w:tcBorders>
              <w:bottom w:val="nil"/>
            </w:tcBorders>
            <w:vAlign w:val="top"/>
          </w:tcPr>
          <w:p>
            <w:pPr>
              <w:spacing w:line="470" w:lineRule="auto"/>
              <w:rPr>
                <w:rFonts w:ascii="Arial"/>
                <w:sz w:val="21"/>
              </w:rPr>
            </w:pPr>
          </w:p>
          <w:p>
            <w:pPr>
              <w:pStyle w:val="6"/>
              <w:spacing w:before="68" w:line="217" w:lineRule="auto"/>
              <w:ind w:left="282"/>
            </w:pPr>
            <w:r>
              <w:rPr>
                <w:spacing w:val="-1"/>
              </w:rPr>
              <w:t>横路垟</w:t>
            </w:r>
          </w:p>
        </w:tc>
        <w:tc>
          <w:tcPr>
            <w:tcW w:w="1106"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0" w:line="187" w:lineRule="auto"/>
              <w:ind w:left="4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1085" w:type="dxa"/>
            <w:vMerge w:val="restart"/>
            <w:tcBorders>
              <w:bottom w:val="nil"/>
            </w:tcBorders>
            <w:vAlign w:val="top"/>
          </w:tcPr>
          <w:p>
            <w:pPr>
              <w:spacing w:before="253" w:line="187" w:lineRule="auto"/>
              <w:ind w:left="3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29.1</w:t>
            </w:r>
          </w:p>
        </w:tc>
        <w:tc>
          <w:tcPr>
            <w:tcW w:w="866" w:type="dxa"/>
            <w:vMerge w:val="restart"/>
            <w:tcBorders>
              <w:bottom w:val="nil"/>
            </w:tcBorders>
            <w:vAlign w:val="top"/>
          </w:tcPr>
          <w:p>
            <w:pPr>
              <w:spacing w:line="469" w:lineRule="auto"/>
              <w:rPr>
                <w:rFonts w:ascii="Arial"/>
                <w:sz w:val="21"/>
              </w:rPr>
            </w:pPr>
          </w:p>
          <w:p>
            <w:pPr>
              <w:pStyle w:val="6"/>
              <w:spacing w:before="69" w:line="221" w:lineRule="auto"/>
              <w:ind w:left="254"/>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4" w:line="223" w:lineRule="auto"/>
              <w:ind w:left="269"/>
            </w:pPr>
            <w:r>
              <w:rPr>
                <w:spacing w:val="-2"/>
              </w:rPr>
              <w:t>昼间</w:t>
            </w:r>
          </w:p>
        </w:tc>
        <w:tc>
          <w:tcPr>
            <w:tcW w:w="704" w:type="dxa"/>
            <w:vAlign w:val="top"/>
          </w:tcPr>
          <w:p>
            <w:pPr>
              <w:spacing w:before="92"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3"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w:t>
            </w:r>
          </w:p>
        </w:tc>
        <w:tc>
          <w:tcPr>
            <w:tcW w:w="818" w:type="dxa"/>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w:t>
            </w:r>
          </w:p>
        </w:tc>
        <w:tc>
          <w:tcPr>
            <w:tcW w:w="773" w:type="dxa"/>
            <w:vAlign w:val="top"/>
          </w:tcPr>
          <w:p>
            <w:pPr>
              <w:spacing w:before="92"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49.1</w:t>
            </w:r>
          </w:p>
        </w:tc>
        <w:tc>
          <w:tcPr>
            <w:tcW w:w="900" w:type="dxa"/>
            <w:vAlign w:val="top"/>
          </w:tcPr>
          <w:p>
            <w:pPr>
              <w:spacing w:before="92"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49.7</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+8.6</w:t>
            </w:r>
          </w:p>
        </w:tc>
        <w:tc>
          <w:tcPr>
            <w:tcW w:w="713" w:type="dxa"/>
            <w:tcBorders>
              <w:left w:val="single" w:color="000000" w:sz="4" w:space="0"/>
            </w:tcBorders>
            <w:vAlign w:val="top"/>
          </w:tcPr>
          <w:p>
            <w:pPr>
              <w:spacing w:before="89" w:line="218"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before="60"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51"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before="60" w:line="233" w:lineRule="auto"/>
              <w:ind w:left="214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86"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before="60" w:line="233" w:lineRule="auto"/>
              <w:ind w:left="46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97" w:type="dxa"/>
            <w:vAlign w:val="top"/>
          </w:tcPr>
          <w:p>
            <w:pPr>
              <w:spacing w:before="97" w:line="210"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7" w:line="210"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7" w:line="210"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5" w:line="212" w:lineRule="auto"/>
              <w:ind w:left="25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45≤</w:t>
            </w:r>
          </w:p>
        </w:tc>
        <w:tc>
          <w:tcPr>
            <w:tcW w:w="857"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before="60" w:line="233" w:lineRule="auto"/>
              <w:ind w:left="39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2"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2"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37.1</w:t>
            </w:r>
          </w:p>
        </w:tc>
        <w:tc>
          <w:tcPr>
            <w:tcW w:w="818" w:type="dxa"/>
            <w:vAlign w:val="top"/>
          </w:tcPr>
          <w:p>
            <w:pPr>
              <w:spacing w:before="92"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37.1</w:t>
            </w:r>
          </w:p>
        </w:tc>
        <w:tc>
          <w:tcPr>
            <w:tcW w:w="773" w:type="dxa"/>
            <w:vAlign w:val="top"/>
          </w:tcPr>
          <w:p>
            <w:pPr>
              <w:spacing w:before="92"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39.2</w:t>
            </w:r>
          </w:p>
        </w:tc>
        <w:tc>
          <w:tcPr>
            <w:tcW w:w="900" w:type="dxa"/>
            <w:vAlign w:val="top"/>
          </w:tcPr>
          <w:p>
            <w:pPr>
              <w:spacing w:before="92"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41.3</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713" w:type="dxa"/>
            <w:tcBorders>
              <w:left w:val="single" w:color="000000" w:sz="4" w:space="0"/>
            </w:tcBorders>
            <w:vAlign w:val="top"/>
          </w:tcPr>
          <w:p>
            <w:pPr>
              <w:spacing w:before="89" w:line="220"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7" w:line="212"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7" w:line="212"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7" w:line="212"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5" w:line="214" w:lineRule="auto"/>
              <w:ind w:left="2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3"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32.6</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5" w:line="223" w:lineRule="auto"/>
              <w:ind w:left="269"/>
            </w:pPr>
            <w:r>
              <w:rPr>
                <w:spacing w:val="-2"/>
              </w:rPr>
              <w:t>昼间</w:t>
            </w:r>
          </w:p>
        </w:tc>
        <w:tc>
          <w:tcPr>
            <w:tcW w:w="704" w:type="dxa"/>
            <w:vAlign w:val="top"/>
          </w:tcPr>
          <w:p>
            <w:pPr>
              <w:spacing w:before="93"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3"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w:t>
            </w:r>
          </w:p>
        </w:tc>
        <w:tc>
          <w:tcPr>
            <w:tcW w:w="818" w:type="dxa"/>
            <w:vAlign w:val="top"/>
          </w:tcPr>
          <w:p>
            <w:pPr>
              <w:spacing w:before="93"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w:t>
            </w:r>
          </w:p>
        </w:tc>
        <w:tc>
          <w:tcPr>
            <w:tcW w:w="773" w:type="dxa"/>
            <w:vAlign w:val="top"/>
          </w:tcPr>
          <w:p>
            <w:pPr>
              <w:spacing w:before="93"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53.5</w:t>
            </w:r>
          </w:p>
        </w:tc>
        <w:tc>
          <w:tcPr>
            <w:tcW w:w="900" w:type="dxa"/>
            <w:vAlign w:val="top"/>
          </w:tcPr>
          <w:p>
            <w:pPr>
              <w:spacing w:before="93"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53.8</w:t>
            </w:r>
          </w:p>
        </w:tc>
        <w:tc>
          <w:tcPr>
            <w:tcW w:w="1039" w:type="dxa"/>
            <w:tcBorders>
              <w:right w:val="single" w:color="000000" w:sz="4" w:space="0"/>
            </w:tcBorders>
            <w:vAlign w:val="top"/>
          </w:tcPr>
          <w:p>
            <w:pPr>
              <w:spacing w:before="93"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+11.3</w:t>
            </w:r>
          </w:p>
        </w:tc>
        <w:tc>
          <w:tcPr>
            <w:tcW w:w="713" w:type="dxa"/>
            <w:tcBorders>
              <w:left w:val="single" w:color="000000" w:sz="4" w:space="0"/>
            </w:tcBorders>
            <w:vAlign w:val="top"/>
          </w:tcPr>
          <w:p>
            <w:pPr>
              <w:spacing w:before="89" w:line="218"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7" w:line="210"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7" w:line="210"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7" w:line="210"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5" w:line="212" w:lineRule="auto"/>
              <w:ind w:left="25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3"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39.3</w:t>
            </w:r>
          </w:p>
        </w:tc>
        <w:tc>
          <w:tcPr>
            <w:tcW w:w="818" w:type="dxa"/>
            <w:vAlign w:val="top"/>
          </w:tcPr>
          <w:p>
            <w:pPr>
              <w:spacing w:before="93" w:line="187" w:lineRule="auto"/>
              <w:ind w:left="2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39.3</w:t>
            </w:r>
          </w:p>
        </w:tc>
        <w:tc>
          <w:tcPr>
            <w:tcW w:w="773" w:type="dxa"/>
            <w:vAlign w:val="top"/>
          </w:tcPr>
          <w:p>
            <w:pPr>
              <w:spacing w:before="93"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43.5</w:t>
            </w:r>
          </w:p>
        </w:tc>
        <w:tc>
          <w:tcPr>
            <w:tcW w:w="900" w:type="dxa"/>
            <w:vAlign w:val="top"/>
          </w:tcPr>
          <w:p>
            <w:pPr>
              <w:spacing w:before="93"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44.9</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+5.6</w:t>
            </w:r>
          </w:p>
        </w:tc>
        <w:tc>
          <w:tcPr>
            <w:tcW w:w="713" w:type="dxa"/>
            <w:tcBorders>
              <w:left w:val="single" w:color="000000" w:sz="4" w:space="0"/>
            </w:tcBorders>
            <w:vAlign w:val="top"/>
          </w:tcPr>
          <w:p>
            <w:pPr>
              <w:spacing w:before="89" w:line="218"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97" w:line="210"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7" w:line="210"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7" w:line="210"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5" w:line="212" w:lineRule="auto"/>
              <w:ind w:left="2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35≤</w:t>
            </w:r>
          </w:p>
        </w:tc>
        <w:tc>
          <w:tcPr>
            <w:tcW w:w="8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restart"/>
            <w:tcBorders>
              <w:bottom w:val="nil"/>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61" w:line="187" w:lineRule="auto"/>
              <w:ind w:left="24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181"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8" w:line="221" w:lineRule="auto"/>
              <w:ind w:left="395"/>
            </w:pPr>
            <w:r>
              <w:rPr>
                <w:spacing w:val="-4"/>
              </w:rPr>
              <w:t>蔡处</w:t>
            </w:r>
          </w:p>
        </w:tc>
        <w:tc>
          <w:tcPr>
            <w:tcW w:w="1106"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before="60"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085" w:type="dxa"/>
            <w:vMerge w:val="restart"/>
            <w:tcBorders>
              <w:bottom w:val="nil"/>
            </w:tcBorders>
            <w:vAlign w:val="top"/>
          </w:tcPr>
          <w:p>
            <w:pPr>
              <w:spacing w:before="256" w:line="187" w:lineRule="auto"/>
              <w:ind w:left="4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866" w:type="dxa"/>
            <w:vMerge w:val="restart"/>
            <w:tcBorders>
              <w:bottom w:val="nil"/>
            </w:tcBorders>
            <w:vAlign w:val="top"/>
          </w:tcPr>
          <w:p>
            <w:pPr>
              <w:spacing w:line="472" w:lineRule="auto"/>
              <w:rPr>
                <w:rFonts w:ascii="Arial"/>
                <w:sz w:val="21"/>
              </w:rPr>
            </w:pPr>
          </w:p>
          <w:p>
            <w:pPr>
              <w:pStyle w:val="6"/>
              <w:spacing w:before="68" w:line="221" w:lineRule="auto"/>
              <w:ind w:left="20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945" w:type="dxa"/>
            <w:vAlign w:val="top"/>
          </w:tcPr>
          <w:p>
            <w:pPr>
              <w:pStyle w:val="6"/>
              <w:spacing w:before="55" w:line="223" w:lineRule="auto"/>
              <w:ind w:left="269"/>
            </w:pPr>
            <w:r>
              <w:rPr>
                <w:spacing w:val="-2"/>
              </w:rPr>
              <w:t>昼间</w:t>
            </w:r>
          </w:p>
        </w:tc>
        <w:tc>
          <w:tcPr>
            <w:tcW w:w="704" w:type="dxa"/>
            <w:vAlign w:val="top"/>
          </w:tcPr>
          <w:p>
            <w:pPr>
              <w:spacing w:before="93"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6"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5"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818" w:type="dxa"/>
            <w:vAlign w:val="top"/>
          </w:tcPr>
          <w:p>
            <w:pPr>
              <w:spacing w:before="95"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773" w:type="dxa"/>
            <w:vAlign w:val="top"/>
          </w:tcPr>
          <w:p>
            <w:pPr>
              <w:spacing w:before="95"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69.2</w:t>
            </w:r>
          </w:p>
        </w:tc>
        <w:tc>
          <w:tcPr>
            <w:tcW w:w="900" w:type="dxa"/>
            <w:vAlign w:val="top"/>
          </w:tcPr>
          <w:p>
            <w:pPr>
              <w:spacing w:before="95"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69.3</w:t>
            </w:r>
          </w:p>
        </w:tc>
        <w:tc>
          <w:tcPr>
            <w:tcW w:w="1039" w:type="dxa"/>
            <w:tcBorders>
              <w:right w:val="single" w:color="000000" w:sz="4" w:space="0"/>
            </w:tcBorders>
            <w:vAlign w:val="top"/>
          </w:tcPr>
          <w:p>
            <w:pPr>
              <w:spacing w:before="95"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w:t>
            </w:r>
          </w:p>
        </w:tc>
        <w:tc>
          <w:tcPr>
            <w:tcW w:w="713" w:type="dxa"/>
            <w:tcBorders>
              <w:left w:val="single" w:color="000000" w:sz="4" w:space="0"/>
            </w:tcBorders>
            <w:vAlign w:val="top"/>
          </w:tcPr>
          <w:p>
            <w:pPr>
              <w:spacing w:before="91" w:line="218"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before="60" w:line="187" w:lineRule="auto"/>
              <w:ind w:left="26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4351"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8" w:line="249" w:lineRule="auto"/>
              <w:ind w:left="346" w:right="102" w:hanging="238"/>
            </w:pPr>
            <w:r>
              <w:rPr>
                <w:rFonts w:ascii="Times New Roman" w:hAnsi="Times New Roman" w:eastAsia="Times New Roman" w:cs="Times New Roman"/>
                <w:spacing w:val="-1"/>
              </w:rPr>
              <w:t xml:space="preserve">4a </w:t>
            </w:r>
            <w:r>
              <w:rPr>
                <w:spacing w:val="-1"/>
              </w:rPr>
              <w:t>类区</w:t>
            </w:r>
            <w:r>
              <w:rPr>
                <w:spacing w:val="-28"/>
              </w:rPr>
              <w:t xml:space="preserve"> </w:t>
            </w:r>
            <w:r>
              <w:rPr>
                <w:rFonts w:ascii="Times New Roman" w:hAnsi="Times New Roman" w:eastAsia="Times New Roman" w:cs="Times New Roman"/>
                <w:spacing w:val="-1"/>
              </w:rPr>
              <w:t xml:space="preserve">12 </w:t>
            </w:r>
            <w:r>
              <w:rPr>
                <w:spacing w:val="-1"/>
              </w:rPr>
              <w:t>户安装隔声窗，使其满足</w:t>
            </w:r>
            <w:r>
              <w:rPr>
                <w:spacing w:val="-2"/>
              </w:rPr>
              <w:t>《建筑环</w:t>
            </w:r>
            <w:r>
              <w:t xml:space="preserve"> </w:t>
            </w:r>
            <w:r>
              <w:rPr>
                <w:spacing w:val="-1"/>
              </w:rPr>
              <w:t>境通用规范》（</w:t>
            </w:r>
            <w:r>
              <w:rPr>
                <w:rFonts w:ascii="Times New Roman" w:hAnsi="Times New Roman" w:eastAsia="Times New Roman" w:cs="Times New Roman"/>
                <w:spacing w:val="-1"/>
              </w:rPr>
              <w:t>GB 55016-2021</w:t>
            </w:r>
            <w:r>
              <w:rPr>
                <w:spacing w:val="-1"/>
              </w:rPr>
              <w:t>）的要求</w:t>
            </w:r>
          </w:p>
        </w:tc>
        <w:tc>
          <w:tcPr>
            <w:tcW w:w="986" w:type="dxa"/>
            <w:vMerge w:val="restart"/>
            <w:tcBorders>
              <w:bottom w:val="nil"/>
            </w:tcBorders>
            <w:vAlign w:val="top"/>
          </w:tcPr>
          <w:p>
            <w:pPr>
              <w:spacing w:line="247" w:lineRule="auto"/>
              <w:rPr>
                <w:rFonts w:ascii="Arial"/>
                <w:sz w:val="21"/>
              </w:rPr>
            </w:pPr>
          </w:p>
          <w:p>
            <w:pPr>
              <w:spacing w:line="247" w:lineRule="auto"/>
              <w:rPr>
                <w:rFonts w:ascii="Arial"/>
                <w:sz w:val="21"/>
              </w:rPr>
            </w:pPr>
          </w:p>
          <w:p>
            <w:pPr>
              <w:pStyle w:val="6"/>
              <w:spacing w:before="68" w:line="258" w:lineRule="auto"/>
              <w:ind w:left="118" w:right="99" w:firstLine="57"/>
              <w:jc w:val="both"/>
            </w:pPr>
            <w:r>
              <w:rPr>
                <w:rFonts w:ascii="Times New Roman" w:hAnsi="Times New Roman" w:eastAsia="Times New Roman" w:cs="Times New Roman"/>
                <w:spacing w:val="-9"/>
              </w:rPr>
              <w:t>12</w:t>
            </w:r>
            <w:r>
              <w:rPr>
                <w:rFonts w:ascii="Times New Roman" w:hAnsi="Times New Roman" w:eastAsia="Times New Roman" w:cs="Times New Roman"/>
                <w:spacing w:val="11"/>
              </w:rPr>
              <w:t xml:space="preserve"> </w:t>
            </w:r>
            <w:r>
              <w:rPr>
                <w:spacing w:val="-9"/>
              </w:rPr>
              <w:t>户隔</w:t>
            </w:r>
            <w:r>
              <w:t xml:space="preserve"> </w:t>
            </w:r>
            <w:r>
              <w:rPr>
                <w:spacing w:val="-20"/>
              </w:rPr>
              <w:t>声窗，预</w:t>
            </w:r>
            <w:r>
              <w:rPr>
                <w:spacing w:val="1"/>
              </w:rPr>
              <w:t xml:space="preserve"> </w:t>
            </w:r>
            <w:r>
              <w:rPr>
                <w:spacing w:val="20"/>
              </w:rPr>
              <w:t>计每户</w:t>
            </w:r>
          </w:p>
          <w:p>
            <w:pPr>
              <w:pStyle w:val="6"/>
              <w:spacing w:before="65" w:line="249" w:lineRule="auto"/>
              <w:ind w:left="290" w:right="172" w:hanging="102"/>
            </w:pPr>
            <w:r>
              <w:rPr>
                <w:spacing w:val="-10"/>
              </w:rPr>
              <w:t>约</w:t>
            </w:r>
            <w:r>
              <w:rPr>
                <w:spacing w:val="-47"/>
              </w:rPr>
              <w:t xml:space="preserve"> </w:t>
            </w:r>
            <w:r>
              <w:rPr>
                <w:rFonts w:ascii="Times New Roman" w:hAnsi="Times New Roman" w:eastAsia="Times New Roman" w:cs="Times New Roman"/>
                <w:spacing w:val="-10"/>
              </w:rPr>
              <w:t>2</w:t>
            </w:r>
            <w:r>
              <w:rPr>
                <w:rFonts w:ascii="Times New Roman" w:hAnsi="Times New Roman" w:eastAsia="Times New Roman" w:cs="Times New Roman"/>
                <w:spacing w:val="13"/>
                <w:w w:val="101"/>
              </w:rPr>
              <w:t xml:space="preserve"> </w:t>
            </w:r>
            <w:r>
              <w:rPr>
                <w:spacing w:val="-10"/>
              </w:rPr>
              <w:t>万</w:t>
            </w:r>
            <w:r>
              <w:t xml:space="preserve"> </w:t>
            </w:r>
            <w:r>
              <w:rPr>
                <w:spacing w:val="-10"/>
              </w:rPr>
              <w:t>元。</w:t>
            </w:r>
          </w:p>
        </w:tc>
        <w:tc>
          <w:tcPr>
            <w:tcW w:w="597" w:type="dxa"/>
            <w:vAlign w:val="top"/>
          </w:tcPr>
          <w:p>
            <w:pPr>
              <w:spacing w:before="100" w:line="209"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100" w:line="209"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100" w:line="209"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8" w:line="211" w:lineRule="auto"/>
              <w:ind w:left="25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45≤</w:t>
            </w:r>
          </w:p>
        </w:tc>
        <w:tc>
          <w:tcPr>
            <w:tcW w:w="857" w:type="dxa"/>
            <w:vMerge w:val="restart"/>
            <w:tcBorders>
              <w:bottom w:val="nil"/>
            </w:tcBorders>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before="61" w:line="189" w:lineRule="auto"/>
              <w:ind w:left="324"/>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6"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3"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818" w:type="dxa"/>
            <w:vAlign w:val="top"/>
          </w:tcPr>
          <w:p>
            <w:pPr>
              <w:spacing w:before="93"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773" w:type="dxa"/>
            <w:vAlign w:val="top"/>
          </w:tcPr>
          <w:p>
            <w:pPr>
              <w:spacing w:before="93"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62.9</w:t>
            </w:r>
          </w:p>
        </w:tc>
        <w:tc>
          <w:tcPr>
            <w:tcW w:w="900" w:type="dxa"/>
            <w:vAlign w:val="top"/>
          </w:tcPr>
          <w:p>
            <w:pPr>
              <w:spacing w:before="93"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62.9</w:t>
            </w:r>
          </w:p>
        </w:tc>
        <w:tc>
          <w:tcPr>
            <w:tcW w:w="1039" w:type="dxa"/>
            <w:tcBorders>
              <w:right w:val="single" w:color="000000" w:sz="4" w:space="0"/>
            </w:tcBorders>
            <w:vAlign w:val="top"/>
          </w:tcPr>
          <w:p>
            <w:pPr>
              <w:spacing w:before="93" w:line="187" w:lineRule="auto"/>
              <w:ind w:left="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+10.5</w:t>
            </w:r>
          </w:p>
        </w:tc>
        <w:tc>
          <w:tcPr>
            <w:tcW w:w="713" w:type="dxa"/>
            <w:tcBorders>
              <w:left w:val="single" w:color="000000" w:sz="4" w:space="0"/>
            </w:tcBorders>
            <w:vAlign w:val="top"/>
          </w:tcPr>
          <w:p>
            <w:pPr>
              <w:spacing w:before="93"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8" w:line="209"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8" w:line="209"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8" w:line="209"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6" w:line="211" w:lineRule="auto"/>
              <w:ind w:left="2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9" w:line="184"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5" w:line="223" w:lineRule="auto"/>
              <w:ind w:left="269"/>
            </w:pPr>
            <w:r>
              <w:rPr>
                <w:spacing w:val="-2"/>
              </w:rPr>
              <w:t>昼间</w:t>
            </w:r>
          </w:p>
        </w:tc>
        <w:tc>
          <w:tcPr>
            <w:tcW w:w="704" w:type="dxa"/>
            <w:vAlign w:val="top"/>
          </w:tcPr>
          <w:p>
            <w:pPr>
              <w:spacing w:before="93"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6"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3"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53.6</w:t>
            </w:r>
          </w:p>
        </w:tc>
        <w:tc>
          <w:tcPr>
            <w:tcW w:w="818" w:type="dxa"/>
            <w:vAlign w:val="top"/>
          </w:tcPr>
          <w:p>
            <w:pPr>
              <w:spacing w:before="93"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67.4</w:t>
            </w:r>
          </w:p>
        </w:tc>
        <w:tc>
          <w:tcPr>
            <w:tcW w:w="773" w:type="dxa"/>
            <w:vAlign w:val="top"/>
          </w:tcPr>
          <w:p>
            <w:pPr>
              <w:spacing w:before="93"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70.9</w:t>
            </w:r>
          </w:p>
        </w:tc>
        <w:tc>
          <w:tcPr>
            <w:tcW w:w="900" w:type="dxa"/>
            <w:vAlign w:val="top"/>
          </w:tcPr>
          <w:p>
            <w:pPr>
              <w:spacing w:before="93"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71.0</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w:t>
            </w:r>
          </w:p>
        </w:tc>
        <w:tc>
          <w:tcPr>
            <w:tcW w:w="713" w:type="dxa"/>
            <w:tcBorders>
              <w:left w:val="single" w:color="000000" w:sz="4" w:space="0"/>
            </w:tcBorders>
            <w:vAlign w:val="top"/>
          </w:tcPr>
          <w:p>
            <w:pPr>
              <w:spacing w:before="93"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8" w:line="211"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8" w:line="211"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8" w:line="211"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6" w:line="213" w:lineRule="auto"/>
              <w:ind w:left="25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6"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818" w:type="dxa"/>
            <w:vAlign w:val="top"/>
          </w:tcPr>
          <w:p>
            <w:pPr>
              <w:spacing w:before="93"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c>
          <w:tcPr>
            <w:tcW w:w="773" w:type="dxa"/>
            <w:vAlign w:val="top"/>
          </w:tcPr>
          <w:p>
            <w:pPr>
              <w:spacing w:before="93"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64.1</w:t>
            </w:r>
          </w:p>
        </w:tc>
        <w:tc>
          <w:tcPr>
            <w:tcW w:w="900" w:type="dxa"/>
            <w:vAlign w:val="top"/>
          </w:tcPr>
          <w:p>
            <w:pPr>
              <w:spacing w:before="93"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64.1</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+9.9</w:t>
            </w:r>
          </w:p>
        </w:tc>
        <w:tc>
          <w:tcPr>
            <w:tcW w:w="713" w:type="dxa"/>
            <w:tcBorders>
              <w:left w:val="single" w:color="000000" w:sz="4" w:space="0"/>
            </w:tcBorders>
            <w:vAlign w:val="top"/>
          </w:tcPr>
          <w:p>
            <w:pPr>
              <w:spacing w:before="93"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+9.1</w:t>
            </w:r>
          </w:p>
        </w:tc>
        <w:tc>
          <w:tcPr>
            <w:tcW w:w="701" w:type="dxa"/>
            <w:vMerge w:val="continue"/>
            <w:tcBorders>
              <w:top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8" w:line="209"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8" w:line="209"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8" w:line="209"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6" w:line="211" w:lineRule="auto"/>
              <w:ind w:left="2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before="60"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085" w:type="dxa"/>
            <w:vMerge w:val="restart"/>
            <w:tcBorders>
              <w:bottom w:val="nil"/>
            </w:tcBorders>
            <w:vAlign w:val="top"/>
          </w:tcPr>
          <w:p>
            <w:pPr>
              <w:spacing w:before="257" w:line="187" w:lineRule="auto"/>
              <w:ind w:left="4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866" w:type="dxa"/>
            <w:vMerge w:val="restart"/>
            <w:tcBorders>
              <w:bottom w:val="nil"/>
            </w:tcBorders>
            <w:vAlign w:val="top"/>
          </w:tcPr>
          <w:p>
            <w:pPr>
              <w:spacing w:line="471" w:lineRule="auto"/>
              <w:rPr>
                <w:rFonts w:ascii="Arial"/>
                <w:sz w:val="21"/>
              </w:rPr>
            </w:pPr>
          </w:p>
          <w:p>
            <w:pPr>
              <w:pStyle w:val="6"/>
              <w:spacing w:before="68" w:line="221" w:lineRule="auto"/>
              <w:ind w:left="254"/>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6" w:line="223" w:lineRule="auto"/>
              <w:ind w:left="269"/>
            </w:pPr>
            <w:r>
              <w:rPr>
                <w:spacing w:val="-2"/>
              </w:rPr>
              <w:t>昼间</w:t>
            </w:r>
          </w:p>
        </w:tc>
        <w:tc>
          <w:tcPr>
            <w:tcW w:w="704" w:type="dxa"/>
            <w:vAlign w:val="top"/>
          </w:tcPr>
          <w:p>
            <w:pPr>
              <w:spacing w:before="94"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7"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4"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42.2</w:t>
            </w:r>
          </w:p>
        </w:tc>
        <w:tc>
          <w:tcPr>
            <w:tcW w:w="818" w:type="dxa"/>
            <w:vAlign w:val="top"/>
          </w:tcPr>
          <w:p>
            <w:pPr>
              <w:spacing w:before="94"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52.3</w:t>
            </w:r>
          </w:p>
        </w:tc>
        <w:tc>
          <w:tcPr>
            <w:tcW w:w="773" w:type="dxa"/>
            <w:vAlign w:val="top"/>
          </w:tcPr>
          <w:p>
            <w:pPr>
              <w:spacing w:before="94"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51.2</w:t>
            </w:r>
          </w:p>
        </w:tc>
        <w:tc>
          <w:tcPr>
            <w:tcW w:w="900" w:type="dxa"/>
            <w:vAlign w:val="top"/>
          </w:tcPr>
          <w:p>
            <w:pPr>
              <w:spacing w:before="94"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51.7</w:t>
            </w:r>
          </w:p>
        </w:tc>
        <w:tc>
          <w:tcPr>
            <w:tcW w:w="1039" w:type="dxa"/>
            <w:tcBorders>
              <w:right w:val="single" w:color="000000" w:sz="4" w:space="0"/>
            </w:tcBorders>
            <w:vAlign w:val="top"/>
          </w:tcPr>
          <w:p>
            <w:pPr>
              <w:spacing w:before="94"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tc>
        <w:tc>
          <w:tcPr>
            <w:tcW w:w="713" w:type="dxa"/>
            <w:tcBorders>
              <w:left w:val="single" w:color="000000" w:sz="4" w:space="0"/>
            </w:tcBorders>
            <w:vAlign w:val="top"/>
          </w:tcPr>
          <w:p>
            <w:pPr>
              <w:spacing w:before="90" w:line="218"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61"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9" w:line="209"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9" w:line="209"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9" w:line="209"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7" w:line="211" w:lineRule="auto"/>
              <w:ind w:left="25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5"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31.4</w:t>
            </w:r>
          </w:p>
        </w:tc>
        <w:tc>
          <w:tcPr>
            <w:tcW w:w="818" w:type="dxa"/>
            <w:vAlign w:val="top"/>
          </w:tcPr>
          <w:p>
            <w:pPr>
              <w:spacing w:before="95"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42.7</w:t>
            </w:r>
          </w:p>
        </w:tc>
        <w:tc>
          <w:tcPr>
            <w:tcW w:w="773" w:type="dxa"/>
            <w:vAlign w:val="top"/>
          </w:tcPr>
          <w:p>
            <w:pPr>
              <w:spacing w:before="96" w:line="187" w:lineRule="auto"/>
              <w:ind w:left="2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900" w:type="dxa"/>
            <w:vAlign w:val="top"/>
          </w:tcPr>
          <w:p>
            <w:pPr>
              <w:spacing w:before="95"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1039" w:type="dxa"/>
            <w:tcBorders>
              <w:right w:val="single" w:color="000000" w:sz="4" w:space="0"/>
            </w:tcBorders>
            <w:vAlign w:val="top"/>
          </w:tcPr>
          <w:p>
            <w:pPr>
              <w:spacing w:before="95"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713" w:type="dxa"/>
            <w:tcBorders>
              <w:left w:val="single" w:color="000000" w:sz="4" w:space="0"/>
            </w:tcBorders>
            <w:vAlign w:val="top"/>
          </w:tcPr>
          <w:p>
            <w:pPr>
              <w:spacing w:before="92" w:line="21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100" w:line="209"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100" w:line="209"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100" w:line="209"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8" w:line="211" w:lineRule="auto"/>
              <w:ind w:left="2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60" w:line="184"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5" w:line="223" w:lineRule="auto"/>
              <w:ind w:left="269"/>
            </w:pPr>
            <w:r>
              <w:rPr>
                <w:spacing w:val="-2"/>
              </w:rPr>
              <w:t>昼间</w:t>
            </w:r>
          </w:p>
        </w:tc>
        <w:tc>
          <w:tcPr>
            <w:tcW w:w="704" w:type="dxa"/>
            <w:vAlign w:val="top"/>
          </w:tcPr>
          <w:p>
            <w:pPr>
              <w:spacing w:before="93"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7"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3"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42.2</w:t>
            </w:r>
          </w:p>
        </w:tc>
        <w:tc>
          <w:tcPr>
            <w:tcW w:w="818" w:type="dxa"/>
            <w:vAlign w:val="top"/>
          </w:tcPr>
          <w:p>
            <w:pPr>
              <w:spacing w:before="93"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52.3</w:t>
            </w:r>
          </w:p>
        </w:tc>
        <w:tc>
          <w:tcPr>
            <w:tcW w:w="773" w:type="dxa"/>
            <w:vAlign w:val="top"/>
          </w:tcPr>
          <w:p>
            <w:pPr>
              <w:spacing w:before="93"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59.2</w:t>
            </w:r>
          </w:p>
        </w:tc>
        <w:tc>
          <w:tcPr>
            <w:tcW w:w="900" w:type="dxa"/>
            <w:vAlign w:val="top"/>
          </w:tcPr>
          <w:p>
            <w:pPr>
              <w:spacing w:before="93"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59.3</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w:t>
            </w:r>
          </w:p>
        </w:tc>
        <w:tc>
          <w:tcPr>
            <w:tcW w:w="713" w:type="dxa"/>
            <w:tcBorders>
              <w:left w:val="single" w:color="000000" w:sz="4" w:space="0"/>
            </w:tcBorders>
            <w:vAlign w:val="top"/>
          </w:tcPr>
          <w:p>
            <w:pPr>
              <w:spacing w:before="90" w:line="21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8" w:line="209"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8" w:line="209"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8" w:line="209"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6" w:line="211" w:lineRule="auto"/>
              <w:ind w:left="25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4" w:line="221" w:lineRule="auto"/>
              <w:ind w:left="273"/>
            </w:pPr>
            <w:r>
              <w:rPr>
                <w:spacing w:val="-3"/>
              </w:rPr>
              <w:t>夜间</w:t>
            </w:r>
          </w:p>
        </w:tc>
        <w:tc>
          <w:tcPr>
            <w:tcW w:w="704" w:type="dxa"/>
            <w:vAlign w:val="top"/>
          </w:tcPr>
          <w:p>
            <w:pPr>
              <w:spacing w:before="93"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3"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31.4</w:t>
            </w:r>
          </w:p>
        </w:tc>
        <w:tc>
          <w:tcPr>
            <w:tcW w:w="818" w:type="dxa"/>
            <w:vAlign w:val="top"/>
          </w:tcPr>
          <w:p>
            <w:pPr>
              <w:spacing w:before="93"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42.7</w:t>
            </w:r>
          </w:p>
        </w:tc>
        <w:tc>
          <w:tcPr>
            <w:tcW w:w="773" w:type="dxa"/>
            <w:vAlign w:val="top"/>
          </w:tcPr>
          <w:p>
            <w:pPr>
              <w:spacing w:before="93"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49.9</w:t>
            </w:r>
          </w:p>
        </w:tc>
        <w:tc>
          <w:tcPr>
            <w:tcW w:w="900" w:type="dxa"/>
            <w:vAlign w:val="top"/>
          </w:tcPr>
          <w:p>
            <w:pPr>
              <w:spacing w:before="93"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+7.3</w:t>
            </w:r>
          </w:p>
        </w:tc>
        <w:tc>
          <w:tcPr>
            <w:tcW w:w="713" w:type="dxa"/>
            <w:tcBorders>
              <w:left w:val="single" w:color="000000" w:sz="4" w:space="0"/>
            </w:tcBorders>
            <w:vAlign w:val="top"/>
          </w:tcPr>
          <w:p>
            <w:pPr>
              <w:spacing w:before="90"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98" w:line="211"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8" w:line="211"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8" w:line="211"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6" w:line="213" w:lineRule="auto"/>
              <w:ind w:left="2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35≤</w:t>
            </w:r>
          </w:p>
        </w:tc>
        <w:tc>
          <w:tcPr>
            <w:tcW w:w="85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60" w:line="187" w:lineRule="auto"/>
              <w:ind w:left="24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181"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68" w:line="221" w:lineRule="auto"/>
              <w:ind w:left="285"/>
            </w:pPr>
            <w:r>
              <w:rPr>
                <w:spacing w:val="-2"/>
              </w:rPr>
              <w:t>金路桥</w:t>
            </w:r>
          </w:p>
        </w:tc>
        <w:tc>
          <w:tcPr>
            <w:tcW w:w="1106"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before="61" w:line="18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085" w:type="dxa"/>
            <w:vMerge w:val="restart"/>
            <w:tcBorders>
              <w:bottom w:val="nil"/>
            </w:tcBorders>
            <w:vAlign w:val="top"/>
          </w:tcPr>
          <w:p>
            <w:pPr>
              <w:spacing w:before="255" w:line="187" w:lineRule="auto"/>
              <w:ind w:left="4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866" w:type="dxa"/>
            <w:vMerge w:val="restart"/>
            <w:tcBorders>
              <w:bottom w:val="nil"/>
            </w:tcBorders>
            <w:vAlign w:val="top"/>
          </w:tcPr>
          <w:p>
            <w:pPr>
              <w:spacing w:line="471" w:lineRule="auto"/>
              <w:rPr>
                <w:rFonts w:ascii="Arial"/>
                <w:sz w:val="21"/>
              </w:rPr>
            </w:pPr>
          </w:p>
          <w:p>
            <w:pPr>
              <w:pStyle w:val="6"/>
              <w:spacing w:before="68" w:line="221" w:lineRule="auto"/>
              <w:ind w:left="204"/>
            </w:pPr>
            <w:r>
              <w:rPr>
                <w:rFonts w:ascii="Times New Roman" w:hAnsi="Times New Roman" w:eastAsia="Times New Roman" w:cs="Times New Roman"/>
                <w:spacing w:val="-1"/>
              </w:rPr>
              <w:t>4a</w:t>
            </w:r>
            <w:r>
              <w:rPr>
                <w:rFonts w:ascii="Times New Roman" w:hAnsi="Times New Roman" w:eastAsia="Times New Roman" w:cs="Times New Roman"/>
                <w:spacing w:val="8"/>
              </w:rPr>
              <w:t xml:space="preserve"> </w:t>
            </w:r>
            <w:r>
              <w:rPr>
                <w:spacing w:val="-1"/>
              </w:rPr>
              <w:t>类</w:t>
            </w:r>
          </w:p>
        </w:tc>
        <w:tc>
          <w:tcPr>
            <w:tcW w:w="945" w:type="dxa"/>
            <w:vAlign w:val="top"/>
          </w:tcPr>
          <w:p>
            <w:pPr>
              <w:pStyle w:val="6"/>
              <w:spacing w:before="55" w:line="223" w:lineRule="auto"/>
              <w:ind w:left="269"/>
            </w:pPr>
            <w:r>
              <w:rPr>
                <w:spacing w:val="-2"/>
              </w:rPr>
              <w:t>昼间</w:t>
            </w:r>
          </w:p>
        </w:tc>
        <w:tc>
          <w:tcPr>
            <w:tcW w:w="704" w:type="dxa"/>
            <w:vAlign w:val="top"/>
          </w:tcPr>
          <w:p>
            <w:pPr>
              <w:spacing w:before="94"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4"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818" w:type="dxa"/>
            <w:vAlign w:val="top"/>
          </w:tcPr>
          <w:p>
            <w:pPr>
              <w:spacing w:before="94"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773" w:type="dxa"/>
            <w:vAlign w:val="top"/>
          </w:tcPr>
          <w:p>
            <w:pPr>
              <w:spacing w:before="94"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60.7</w:t>
            </w:r>
          </w:p>
        </w:tc>
        <w:tc>
          <w:tcPr>
            <w:tcW w:w="900" w:type="dxa"/>
            <w:vAlign w:val="top"/>
          </w:tcPr>
          <w:p>
            <w:pPr>
              <w:spacing w:before="9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61.4</w:t>
            </w:r>
          </w:p>
        </w:tc>
        <w:tc>
          <w:tcPr>
            <w:tcW w:w="1039" w:type="dxa"/>
            <w:tcBorders>
              <w:right w:val="single" w:color="000000" w:sz="4" w:space="0"/>
            </w:tcBorders>
            <w:vAlign w:val="top"/>
          </w:tcPr>
          <w:p>
            <w:pPr>
              <w:spacing w:before="94"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-4.5</w:t>
            </w:r>
          </w:p>
        </w:tc>
        <w:tc>
          <w:tcPr>
            <w:tcW w:w="713" w:type="dxa"/>
            <w:tcBorders>
              <w:left w:val="single" w:color="000000" w:sz="4" w:space="0"/>
            </w:tcBorders>
            <w:vAlign w:val="top"/>
          </w:tcPr>
          <w:p>
            <w:pPr>
              <w:spacing w:before="90" w:line="21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before="61" w:line="184" w:lineRule="auto"/>
              <w:ind w:left="302"/>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4351" w:type="dxa"/>
            <w:vMerge w:val="restart"/>
            <w:tcBorders>
              <w:bottom w:val="nil"/>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9" w:line="250" w:lineRule="auto"/>
              <w:ind w:left="346" w:right="155" w:hanging="188"/>
            </w:pPr>
            <w:r>
              <w:rPr>
                <w:rFonts w:ascii="Times New Roman" w:hAnsi="Times New Roman" w:eastAsia="Times New Roman" w:cs="Times New Roman"/>
                <w:spacing w:val="-5"/>
              </w:rPr>
              <w:t xml:space="preserve">4a </w:t>
            </w:r>
            <w:r>
              <w:rPr>
                <w:spacing w:val="-5"/>
              </w:rPr>
              <w:t>类区</w:t>
            </w:r>
            <w:r>
              <w:rPr>
                <w:spacing w:val="-26"/>
              </w:rPr>
              <w:t xml:space="preserve"> </w:t>
            </w:r>
            <w:r>
              <w:rPr>
                <w:rFonts w:ascii="Times New Roman" w:hAnsi="Times New Roman" w:eastAsia="Times New Roman" w:cs="Times New Roman"/>
                <w:spacing w:val="-5"/>
              </w:rPr>
              <w:t xml:space="preserve">7 </w:t>
            </w:r>
            <w:r>
              <w:rPr>
                <w:spacing w:val="-5"/>
              </w:rPr>
              <w:t>户安装隔声窗，</w:t>
            </w:r>
            <w:r>
              <w:rPr>
                <w:spacing w:val="-22"/>
              </w:rPr>
              <w:t xml:space="preserve"> </w:t>
            </w:r>
            <w:r>
              <w:rPr>
                <w:spacing w:val="-5"/>
              </w:rPr>
              <w:t>使其满足《建筑环</w:t>
            </w:r>
            <w:r>
              <w:t xml:space="preserve"> </w:t>
            </w:r>
            <w:r>
              <w:rPr>
                <w:spacing w:val="-1"/>
              </w:rPr>
              <w:t>境通用规范》（</w:t>
            </w:r>
            <w:r>
              <w:rPr>
                <w:rFonts w:ascii="Times New Roman" w:hAnsi="Times New Roman" w:eastAsia="Times New Roman" w:cs="Times New Roman"/>
                <w:spacing w:val="-1"/>
              </w:rPr>
              <w:t>GB 55016-2021</w:t>
            </w:r>
            <w:r>
              <w:rPr>
                <w:spacing w:val="-1"/>
              </w:rPr>
              <w:t>）的要求</w:t>
            </w:r>
          </w:p>
        </w:tc>
        <w:tc>
          <w:tcPr>
            <w:tcW w:w="986" w:type="dxa"/>
            <w:vMerge w:val="restart"/>
            <w:tcBorders>
              <w:bottom w:val="nil"/>
            </w:tcBorders>
            <w:vAlign w:val="top"/>
          </w:tcPr>
          <w:p>
            <w:pPr>
              <w:spacing w:line="244" w:lineRule="auto"/>
              <w:rPr>
                <w:rFonts w:ascii="Arial"/>
                <w:sz w:val="21"/>
              </w:rPr>
            </w:pPr>
          </w:p>
          <w:p>
            <w:pPr>
              <w:spacing w:line="245" w:lineRule="auto"/>
              <w:rPr>
                <w:rFonts w:ascii="Arial"/>
                <w:sz w:val="21"/>
              </w:rPr>
            </w:pPr>
          </w:p>
          <w:p>
            <w:pPr>
              <w:pStyle w:val="6"/>
              <w:spacing w:before="68" w:line="263" w:lineRule="auto"/>
              <w:ind w:left="113" w:right="100"/>
              <w:jc w:val="both"/>
            </w:pPr>
            <w:r>
              <w:rPr>
                <w:rFonts w:ascii="Times New Roman" w:hAnsi="Times New Roman" w:eastAsia="Times New Roman" w:cs="Times New Roman"/>
                <w:spacing w:val="-4"/>
              </w:rPr>
              <w:t>7</w:t>
            </w:r>
            <w:r>
              <w:rPr>
                <w:rFonts w:ascii="Times New Roman" w:hAnsi="Times New Roman" w:eastAsia="Times New Roman" w:cs="Times New Roman"/>
                <w:spacing w:val="-6"/>
              </w:rPr>
              <w:t xml:space="preserve"> </w:t>
            </w:r>
            <w:r>
              <w:rPr>
                <w:spacing w:val="-4"/>
              </w:rPr>
              <w:t>户隔声</w:t>
            </w:r>
            <w:r>
              <w:t xml:space="preserve"> </w:t>
            </w:r>
            <w:r>
              <w:rPr>
                <w:spacing w:val="-19"/>
              </w:rPr>
              <w:t>窗，预计</w:t>
            </w:r>
            <w:r>
              <w:rPr>
                <w:spacing w:val="1"/>
              </w:rPr>
              <w:t xml:space="preserve"> </w:t>
            </w:r>
            <w:r>
              <w:rPr>
                <w:spacing w:val="7"/>
              </w:rPr>
              <w:t>每户约</w:t>
            </w:r>
            <w:r>
              <w:rPr>
                <w:rFonts w:ascii="Times New Roman" w:hAnsi="Times New Roman" w:eastAsia="Times New Roman" w:cs="Times New Roman"/>
                <w:spacing w:val="7"/>
              </w:rPr>
              <w:t>2</w:t>
            </w:r>
            <w:r>
              <w:rPr>
                <w:rFonts w:ascii="Times New Roman" w:hAnsi="Times New Roman" w:eastAsia="Times New Roman" w:cs="Times New Roman"/>
                <w:spacing w:val="2"/>
              </w:rPr>
              <w:t xml:space="preserve"> </w:t>
            </w:r>
            <w:r>
              <w:rPr>
                <w:spacing w:val="11"/>
              </w:rPr>
              <w:t>万元。</w:t>
            </w:r>
          </w:p>
        </w:tc>
        <w:tc>
          <w:tcPr>
            <w:tcW w:w="597" w:type="dxa"/>
            <w:vAlign w:val="top"/>
          </w:tcPr>
          <w:p>
            <w:pPr>
              <w:spacing w:before="98" w:line="209"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8" w:line="209"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8" w:line="209"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6" w:line="211" w:lineRule="auto"/>
              <w:ind w:left="25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45≤</w:t>
            </w:r>
          </w:p>
        </w:tc>
        <w:tc>
          <w:tcPr>
            <w:tcW w:w="85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60"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5" w:line="221" w:lineRule="auto"/>
              <w:ind w:left="273"/>
            </w:pPr>
            <w:r>
              <w:rPr>
                <w:spacing w:val="-3"/>
              </w:rPr>
              <w:t>夜间</w:t>
            </w:r>
          </w:p>
        </w:tc>
        <w:tc>
          <w:tcPr>
            <w:tcW w:w="704" w:type="dxa"/>
            <w:vAlign w:val="top"/>
          </w:tcPr>
          <w:p>
            <w:pPr>
              <w:spacing w:before="97"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4"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818" w:type="dxa"/>
            <w:vAlign w:val="top"/>
          </w:tcPr>
          <w:p>
            <w:pPr>
              <w:spacing w:before="94"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773" w:type="dxa"/>
            <w:vAlign w:val="top"/>
          </w:tcPr>
          <w:p>
            <w:pPr>
              <w:spacing w:before="94"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52.9</w:t>
            </w:r>
          </w:p>
        </w:tc>
        <w:tc>
          <w:tcPr>
            <w:tcW w:w="900" w:type="dxa"/>
            <w:vAlign w:val="top"/>
          </w:tcPr>
          <w:p>
            <w:pPr>
              <w:spacing w:before="94"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1039" w:type="dxa"/>
            <w:tcBorders>
              <w:right w:val="single" w:color="000000" w:sz="4" w:space="0"/>
            </w:tcBorders>
            <w:vAlign w:val="top"/>
          </w:tcPr>
          <w:p>
            <w:pPr>
              <w:spacing w:before="94"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w:t>
            </w:r>
          </w:p>
        </w:tc>
        <w:tc>
          <w:tcPr>
            <w:tcW w:w="713" w:type="dxa"/>
            <w:tcBorders>
              <w:left w:val="single" w:color="000000" w:sz="4" w:space="0"/>
            </w:tcBorders>
            <w:vAlign w:val="top"/>
          </w:tcPr>
          <w:p>
            <w:pPr>
              <w:spacing w:before="90"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8" w:line="211"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8" w:line="211"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8" w:line="211"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6" w:line="213" w:lineRule="auto"/>
              <w:ind w:left="2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8" w:line="184"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6" w:line="222" w:lineRule="auto"/>
              <w:ind w:left="269"/>
            </w:pPr>
            <w:r>
              <w:rPr>
                <w:spacing w:val="-2"/>
              </w:rPr>
              <w:t>昼间</w:t>
            </w:r>
          </w:p>
        </w:tc>
        <w:tc>
          <w:tcPr>
            <w:tcW w:w="704" w:type="dxa"/>
            <w:vAlign w:val="top"/>
          </w:tcPr>
          <w:p>
            <w:pPr>
              <w:spacing w:before="94"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600" w:type="dxa"/>
            <w:vMerge w:val="restart"/>
            <w:tcBorders>
              <w:bottom w:val="nil"/>
            </w:tcBorders>
            <w:vAlign w:val="top"/>
          </w:tcPr>
          <w:p>
            <w:pPr>
              <w:spacing w:before="25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4"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53.6</w:t>
            </w:r>
          </w:p>
        </w:tc>
        <w:tc>
          <w:tcPr>
            <w:tcW w:w="818" w:type="dxa"/>
            <w:vAlign w:val="top"/>
          </w:tcPr>
          <w:p>
            <w:pPr>
              <w:spacing w:before="94"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67.4</w:t>
            </w:r>
          </w:p>
        </w:tc>
        <w:tc>
          <w:tcPr>
            <w:tcW w:w="773" w:type="dxa"/>
            <w:vAlign w:val="top"/>
          </w:tcPr>
          <w:p>
            <w:pPr>
              <w:spacing w:before="94"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65.9</w:t>
            </w:r>
          </w:p>
        </w:tc>
        <w:tc>
          <w:tcPr>
            <w:tcW w:w="900" w:type="dxa"/>
            <w:vAlign w:val="top"/>
          </w:tcPr>
          <w:p>
            <w:pPr>
              <w:spacing w:before="9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66.1</w:t>
            </w:r>
          </w:p>
        </w:tc>
        <w:tc>
          <w:tcPr>
            <w:tcW w:w="1039" w:type="dxa"/>
            <w:tcBorders>
              <w:right w:val="single" w:color="000000" w:sz="4" w:space="0"/>
            </w:tcBorders>
            <w:vAlign w:val="top"/>
          </w:tcPr>
          <w:p>
            <w:pPr>
              <w:spacing w:before="94"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6"/>
                <w:sz w:val="21"/>
                <w:szCs w:val="21"/>
              </w:rPr>
              <w:t>1.3</w:t>
            </w:r>
          </w:p>
        </w:tc>
        <w:tc>
          <w:tcPr>
            <w:tcW w:w="713" w:type="dxa"/>
            <w:tcBorders>
              <w:left w:val="single" w:color="000000" w:sz="4" w:space="0"/>
            </w:tcBorders>
            <w:vAlign w:val="top"/>
          </w:tcPr>
          <w:p>
            <w:pPr>
              <w:spacing w:before="91" w:line="216"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9" w:line="208"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9" w:line="208"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9" w:line="208"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7" w:line="210" w:lineRule="auto"/>
              <w:ind w:left="25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5" w:line="221" w:lineRule="auto"/>
              <w:ind w:left="273"/>
            </w:pPr>
            <w:r>
              <w:rPr>
                <w:spacing w:val="-3"/>
              </w:rPr>
              <w:t>夜间</w:t>
            </w:r>
          </w:p>
        </w:tc>
        <w:tc>
          <w:tcPr>
            <w:tcW w:w="704" w:type="dxa"/>
            <w:vAlign w:val="top"/>
          </w:tcPr>
          <w:p>
            <w:pPr>
              <w:spacing w:before="97" w:line="184"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600" w:type="dxa"/>
            <w:vMerge w:val="continue"/>
            <w:tcBorders>
              <w:top w:val="nil"/>
            </w:tcBorders>
            <w:vAlign w:val="top"/>
          </w:tcPr>
          <w:p>
            <w:pPr>
              <w:rPr>
                <w:rFonts w:ascii="Arial"/>
                <w:sz w:val="21"/>
              </w:rPr>
            </w:pPr>
          </w:p>
        </w:tc>
        <w:tc>
          <w:tcPr>
            <w:tcW w:w="753" w:type="dxa"/>
            <w:vAlign w:val="top"/>
          </w:tcPr>
          <w:p>
            <w:pPr>
              <w:spacing w:before="94"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39.8</w:t>
            </w:r>
          </w:p>
        </w:tc>
        <w:tc>
          <w:tcPr>
            <w:tcW w:w="818" w:type="dxa"/>
            <w:vAlign w:val="top"/>
          </w:tcPr>
          <w:p>
            <w:pPr>
              <w:spacing w:before="94"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54.2</w:t>
            </w:r>
          </w:p>
        </w:tc>
        <w:tc>
          <w:tcPr>
            <w:tcW w:w="773" w:type="dxa"/>
            <w:vAlign w:val="top"/>
          </w:tcPr>
          <w:p>
            <w:pPr>
              <w:spacing w:before="94"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58.5</w:t>
            </w:r>
          </w:p>
        </w:tc>
        <w:tc>
          <w:tcPr>
            <w:tcW w:w="900" w:type="dxa"/>
            <w:vAlign w:val="top"/>
          </w:tcPr>
          <w:p>
            <w:pPr>
              <w:spacing w:before="94"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58.6</w:t>
            </w:r>
          </w:p>
        </w:tc>
        <w:tc>
          <w:tcPr>
            <w:tcW w:w="1039" w:type="dxa"/>
            <w:tcBorders>
              <w:right w:val="single" w:color="000000" w:sz="4" w:space="0"/>
            </w:tcBorders>
            <w:vAlign w:val="top"/>
          </w:tcPr>
          <w:p>
            <w:pPr>
              <w:spacing w:before="94"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713" w:type="dxa"/>
            <w:tcBorders>
              <w:left w:val="single" w:color="000000" w:sz="4" w:space="0"/>
            </w:tcBorders>
            <w:vAlign w:val="top"/>
          </w:tcPr>
          <w:p>
            <w:pPr>
              <w:spacing w:before="94"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w:t>
            </w:r>
          </w:p>
        </w:tc>
        <w:tc>
          <w:tcPr>
            <w:tcW w:w="701" w:type="dxa"/>
            <w:vMerge w:val="continue"/>
            <w:tcBorders>
              <w:top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9" w:line="208"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9" w:line="208"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9" w:line="208"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7" w:line="210" w:lineRule="auto"/>
              <w:ind w:left="2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restart"/>
            <w:tcBorders>
              <w:bottom w:val="nil"/>
            </w:tcBorders>
            <w:vAlign w:val="top"/>
          </w:tcPr>
          <w:p>
            <w:pPr>
              <w:spacing w:line="358" w:lineRule="auto"/>
              <w:rPr>
                <w:rFonts w:ascii="Arial"/>
                <w:sz w:val="21"/>
              </w:rPr>
            </w:pPr>
          </w:p>
          <w:p>
            <w:pPr>
              <w:spacing w:before="60" w:line="18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1085" w:type="dxa"/>
            <w:vMerge w:val="restart"/>
            <w:tcBorders>
              <w:bottom w:val="nil"/>
            </w:tcBorders>
            <w:vAlign w:val="top"/>
          </w:tcPr>
          <w:p>
            <w:pPr>
              <w:spacing w:before="257"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tc>
        <w:tc>
          <w:tcPr>
            <w:tcW w:w="866" w:type="dxa"/>
            <w:vMerge w:val="restart"/>
            <w:tcBorders>
              <w:bottom w:val="nil"/>
            </w:tcBorders>
            <w:vAlign w:val="top"/>
          </w:tcPr>
          <w:p>
            <w:pPr>
              <w:spacing w:line="311" w:lineRule="auto"/>
              <w:rPr>
                <w:rFonts w:ascii="Arial"/>
                <w:sz w:val="21"/>
              </w:rPr>
            </w:pPr>
          </w:p>
          <w:p>
            <w:pPr>
              <w:pStyle w:val="6"/>
              <w:spacing w:before="69" w:line="221" w:lineRule="auto"/>
              <w:ind w:left="254"/>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6" w:line="223" w:lineRule="auto"/>
              <w:ind w:left="269"/>
            </w:pPr>
            <w:r>
              <w:rPr>
                <w:spacing w:val="-2"/>
              </w:rPr>
              <w:t>昼间</w:t>
            </w:r>
          </w:p>
        </w:tc>
        <w:tc>
          <w:tcPr>
            <w:tcW w:w="704" w:type="dxa"/>
            <w:vAlign w:val="top"/>
          </w:tcPr>
          <w:p>
            <w:pPr>
              <w:spacing w:before="94"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8"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7"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46.8</w:t>
            </w:r>
          </w:p>
        </w:tc>
        <w:tc>
          <w:tcPr>
            <w:tcW w:w="818" w:type="dxa"/>
            <w:vAlign w:val="top"/>
          </w:tcPr>
          <w:p>
            <w:pPr>
              <w:spacing w:before="97" w:line="187"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773" w:type="dxa"/>
            <w:vAlign w:val="top"/>
          </w:tcPr>
          <w:p>
            <w:pPr>
              <w:spacing w:before="97"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54.1</w:t>
            </w:r>
          </w:p>
        </w:tc>
        <w:tc>
          <w:tcPr>
            <w:tcW w:w="900" w:type="dxa"/>
            <w:vAlign w:val="top"/>
          </w:tcPr>
          <w:p>
            <w:pPr>
              <w:spacing w:before="97"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54.8</w:t>
            </w:r>
          </w:p>
        </w:tc>
        <w:tc>
          <w:tcPr>
            <w:tcW w:w="1039" w:type="dxa"/>
            <w:tcBorders>
              <w:right w:val="single" w:color="000000" w:sz="4" w:space="0"/>
            </w:tcBorders>
            <w:vAlign w:val="top"/>
          </w:tcPr>
          <w:p>
            <w:pPr>
              <w:spacing w:before="97"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w:t>
            </w:r>
          </w:p>
        </w:tc>
        <w:tc>
          <w:tcPr>
            <w:tcW w:w="713" w:type="dxa"/>
            <w:tcBorders>
              <w:left w:val="single" w:color="000000" w:sz="4" w:space="0"/>
            </w:tcBorders>
            <w:vAlign w:val="top"/>
          </w:tcPr>
          <w:p>
            <w:pPr>
              <w:spacing w:before="93" w:line="216"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355" w:lineRule="auto"/>
              <w:rPr>
                <w:rFonts w:ascii="Arial"/>
                <w:sz w:val="21"/>
              </w:rPr>
            </w:pPr>
          </w:p>
          <w:p>
            <w:pPr>
              <w:spacing w:before="60" w:line="233" w:lineRule="auto"/>
              <w:ind w:left="31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101" w:line="208"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101" w:line="208"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101" w:line="208"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9" w:line="210" w:lineRule="auto"/>
              <w:ind w:left="25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6" w:line="221" w:lineRule="auto"/>
              <w:ind w:left="273"/>
            </w:pPr>
            <w:r>
              <w:rPr>
                <w:spacing w:val="-3"/>
              </w:rPr>
              <w:t>夜间</w:t>
            </w:r>
          </w:p>
        </w:tc>
        <w:tc>
          <w:tcPr>
            <w:tcW w:w="704" w:type="dxa"/>
            <w:vAlign w:val="top"/>
          </w:tcPr>
          <w:p>
            <w:pPr>
              <w:spacing w:before="95"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5"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818" w:type="dxa"/>
            <w:vAlign w:val="top"/>
          </w:tcPr>
          <w:p>
            <w:pPr>
              <w:spacing w:before="95"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47.8</w:t>
            </w:r>
          </w:p>
        </w:tc>
        <w:tc>
          <w:tcPr>
            <w:tcW w:w="773" w:type="dxa"/>
            <w:vAlign w:val="top"/>
          </w:tcPr>
          <w:p>
            <w:pPr>
              <w:spacing w:before="95"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44.8</w:t>
            </w:r>
          </w:p>
        </w:tc>
        <w:tc>
          <w:tcPr>
            <w:tcW w:w="900" w:type="dxa"/>
            <w:vAlign w:val="top"/>
          </w:tcPr>
          <w:p>
            <w:pPr>
              <w:spacing w:before="95"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45.1</w:t>
            </w:r>
          </w:p>
        </w:tc>
        <w:tc>
          <w:tcPr>
            <w:tcW w:w="1039" w:type="dxa"/>
            <w:tcBorders>
              <w:right w:val="single" w:color="000000" w:sz="4" w:space="0"/>
            </w:tcBorders>
            <w:vAlign w:val="top"/>
          </w:tcPr>
          <w:p>
            <w:pPr>
              <w:spacing w:before="95"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-2.7</w:t>
            </w:r>
          </w:p>
        </w:tc>
        <w:tc>
          <w:tcPr>
            <w:tcW w:w="713" w:type="dxa"/>
            <w:tcBorders>
              <w:left w:val="single" w:color="000000" w:sz="4" w:space="0"/>
            </w:tcBorders>
            <w:vAlign w:val="top"/>
          </w:tcPr>
          <w:p>
            <w:pPr>
              <w:spacing w:before="91" w:line="216"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9" w:line="208"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9" w:line="208"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9" w:line="208"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7" w:line="210" w:lineRule="auto"/>
              <w:ind w:left="2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Align w:val="top"/>
          </w:tcPr>
          <w:p>
            <w:pPr>
              <w:spacing w:before="95" w:line="187" w:lineRule="auto"/>
              <w:ind w:left="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866" w:type="dxa"/>
            <w:vMerge w:val="continue"/>
            <w:tcBorders>
              <w:top w:val="nil"/>
            </w:tcBorders>
            <w:vAlign w:val="top"/>
          </w:tcPr>
          <w:p>
            <w:pPr>
              <w:rPr>
                <w:rFonts w:ascii="Arial"/>
                <w:sz w:val="21"/>
              </w:rPr>
            </w:pPr>
          </w:p>
        </w:tc>
        <w:tc>
          <w:tcPr>
            <w:tcW w:w="945" w:type="dxa"/>
            <w:vAlign w:val="top"/>
          </w:tcPr>
          <w:p>
            <w:pPr>
              <w:pStyle w:val="6"/>
              <w:spacing w:before="57" w:line="223" w:lineRule="auto"/>
              <w:ind w:left="269"/>
            </w:pPr>
            <w:r>
              <w:rPr>
                <w:spacing w:val="-2"/>
              </w:rPr>
              <w:t>昼间</w:t>
            </w:r>
          </w:p>
        </w:tc>
        <w:tc>
          <w:tcPr>
            <w:tcW w:w="704" w:type="dxa"/>
            <w:vAlign w:val="top"/>
          </w:tcPr>
          <w:p>
            <w:pPr>
              <w:spacing w:before="95"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Align w:val="top"/>
          </w:tcPr>
          <w:p>
            <w:pPr>
              <w:spacing w:before="95"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5"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49.2</w:t>
            </w:r>
          </w:p>
        </w:tc>
        <w:tc>
          <w:tcPr>
            <w:tcW w:w="818" w:type="dxa"/>
            <w:vAlign w:val="top"/>
          </w:tcPr>
          <w:p>
            <w:pPr>
              <w:spacing w:before="95"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49.2</w:t>
            </w:r>
          </w:p>
        </w:tc>
        <w:tc>
          <w:tcPr>
            <w:tcW w:w="773" w:type="dxa"/>
            <w:vAlign w:val="top"/>
          </w:tcPr>
          <w:p>
            <w:pPr>
              <w:spacing w:before="95" w:line="187"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900" w:type="dxa"/>
            <w:vAlign w:val="top"/>
          </w:tcPr>
          <w:p>
            <w:pPr>
              <w:spacing w:before="95"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1039" w:type="dxa"/>
            <w:tcBorders>
              <w:right w:val="single" w:color="000000" w:sz="4" w:space="0"/>
            </w:tcBorders>
            <w:vAlign w:val="top"/>
          </w:tcPr>
          <w:p>
            <w:pPr>
              <w:spacing w:before="95"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713" w:type="dxa"/>
            <w:tcBorders>
              <w:left w:val="single" w:color="000000" w:sz="4" w:space="0"/>
            </w:tcBorders>
            <w:vAlign w:val="top"/>
          </w:tcPr>
          <w:p>
            <w:pPr>
              <w:spacing w:before="91" w:line="224"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100" w:line="215"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100" w:line="215"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100" w:line="215"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7" w:line="216" w:lineRule="auto"/>
              <w:ind w:left="25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45≤</w:t>
            </w:r>
          </w:p>
        </w:tc>
        <w:tc>
          <w:tcPr>
            <w:tcW w:w="857" w:type="dxa"/>
            <w:vMerge w:val="continue"/>
            <w:tcBorders>
              <w:top w:val="nil"/>
            </w:tcBorders>
            <w:vAlign w:val="top"/>
          </w:tcPr>
          <w:p>
            <w:pPr>
              <w:rPr>
                <w:rFonts w:ascii="Arial"/>
                <w:sz w:val="21"/>
              </w:rPr>
            </w:pPr>
          </w:p>
        </w:tc>
      </w:tr>
    </w:tbl>
    <w:p>
      <w:pPr>
        <w:pStyle w:val="2"/>
      </w:pPr>
    </w:p>
    <w:p>
      <w:pPr>
        <w:sectPr>
          <w:footerReference r:id="rId333" w:type="default"/>
          <w:pgSz w:w="23811" w:h="16839"/>
          <w:pgMar w:top="1118" w:right="1082" w:bottom="1009" w:left="1020" w:header="879" w:footer="845" w:gutter="0"/>
          <w:cols w:space="720" w:num="1"/>
        </w:sectPr>
      </w:pPr>
    </w:p>
    <w:p>
      <w:pPr>
        <w:spacing w:before="56"/>
      </w:pPr>
    </w:p>
    <w:tbl>
      <w:tblPr>
        <w:tblStyle w:val="5"/>
        <w:tblW w:w="217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181"/>
        <w:gridCol w:w="1106"/>
        <w:gridCol w:w="1085"/>
        <w:gridCol w:w="866"/>
        <w:gridCol w:w="945"/>
        <w:gridCol w:w="704"/>
        <w:gridCol w:w="600"/>
        <w:gridCol w:w="753"/>
        <w:gridCol w:w="818"/>
        <w:gridCol w:w="773"/>
        <w:gridCol w:w="900"/>
        <w:gridCol w:w="1039"/>
        <w:gridCol w:w="713"/>
        <w:gridCol w:w="701"/>
        <w:gridCol w:w="4351"/>
        <w:gridCol w:w="986"/>
        <w:gridCol w:w="597"/>
        <w:gridCol w:w="597"/>
        <w:gridCol w:w="662"/>
        <w:gridCol w:w="828"/>
        <w:gridCol w:w="8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41" w:type="dxa"/>
            <w:vMerge w:val="restart"/>
            <w:tcBorders>
              <w:bottom w:val="nil"/>
            </w:tcBorders>
            <w:vAlign w:val="top"/>
          </w:tcPr>
          <w:p>
            <w:pPr>
              <w:spacing w:line="276" w:lineRule="auto"/>
              <w:rPr>
                <w:rFonts w:ascii="Arial"/>
                <w:sz w:val="21"/>
              </w:rPr>
            </w:pPr>
          </w:p>
          <w:p>
            <w:pPr>
              <w:spacing w:line="277" w:lineRule="auto"/>
              <w:rPr>
                <w:rFonts w:ascii="Arial"/>
                <w:sz w:val="21"/>
              </w:rPr>
            </w:pPr>
          </w:p>
          <w:p>
            <w:pPr>
              <w:pStyle w:val="6"/>
              <w:spacing w:before="68" w:line="222" w:lineRule="auto"/>
              <w:ind w:left="117"/>
            </w:pPr>
            <w:r>
              <w:rPr>
                <w:spacing w:val="-2"/>
              </w:rPr>
              <w:t>序号</w:t>
            </w:r>
          </w:p>
        </w:tc>
        <w:tc>
          <w:tcPr>
            <w:tcW w:w="1181" w:type="dxa"/>
            <w:vMerge w:val="restart"/>
            <w:tcBorders>
              <w:bottom w:val="nil"/>
            </w:tcBorders>
            <w:vAlign w:val="top"/>
          </w:tcPr>
          <w:p>
            <w:pPr>
              <w:spacing w:line="281" w:lineRule="auto"/>
              <w:rPr>
                <w:rFonts w:ascii="Arial"/>
                <w:sz w:val="21"/>
              </w:rPr>
            </w:pPr>
          </w:p>
          <w:p>
            <w:pPr>
              <w:pStyle w:val="6"/>
              <w:spacing w:before="69" w:line="221" w:lineRule="auto"/>
              <w:ind w:left="182"/>
            </w:pPr>
            <w:r>
              <w:rPr>
                <w:spacing w:val="-3"/>
              </w:rPr>
              <w:t>声环境保</w:t>
            </w:r>
          </w:p>
          <w:p>
            <w:pPr>
              <w:pStyle w:val="6"/>
              <w:spacing w:before="22" w:line="221" w:lineRule="auto"/>
              <w:ind w:left="179"/>
            </w:pPr>
            <w:r>
              <w:rPr>
                <w:spacing w:val="-2"/>
              </w:rPr>
              <w:t>护目标名</w:t>
            </w:r>
          </w:p>
          <w:p>
            <w:pPr>
              <w:pStyle w:val="6"/>
              <w:spacing w:before="19" w:line="223" w:lineRule="auto"/>
              <w:ind w:left="491"/>
            </w:pPr>
            <w:r>
              <w:t>称</w:t>
            </w:r>
          </w:p>
        </w:tc>
        <w:tc>
          <w:tcPr>
            <w:tcW w:w="1106" w:type="dxa"/>
            <w:vMerge w:val="restart"/>
            <w:tcBorders>
              <w:bottom w:val="nil"/>
            </w:tcBorders>
            <w:vAlign w:val="top"/>
          </w:tcPr>
          <w:p>
            <w:pPr>
              <w:spacing w:line="416" w:lineRule="auto"/>
              <w:rPr>
                <w:rFonts w:ascii="Arial"/>
                <w:sz w:val="21"/>
              </w:rPr>
            </w:pPr>
          </w:p>
          <w:p>
            <w:pPr>
              <w:pStyle w:val="6"/>
              <w:spacing w:before="68" w:line="231" w:lineRule="auto"/>
              <w:ind w:left="149" w:right="124" w:hanging="3"/>
            </w:pPr>
            <w:r>
              <w:rPr>
                <w:spacing w:val="-3"/>
              </w:rPr>
              <w:t>与道路中</w:t>
            </w:r>
            <w:r>
              <w:rPr>
                <w:spacing w:val="1"/>
              </w:rPr>
              <w:t xml:space="preserve"> </w:t>
            </w:r>
            <w:r>
              <w:rPr>
                <w:spacing w:val="-4"/>
              </w:rPr>
              <w:t>心线距离</w:t>
            </w:r>
          </w:p>
        </w:tc>
        <w:tc>
          <w:tcPr>
            <w:tcW w:w="1085" w:type="dxa"/>
            <w:vMerge w:val="restart"/>
            <w:tcBorders>
              <w:bottom w:val="nil"/>
            </w:tcBorders>
            <w:vAlign w:val="top"/>
          </w:tcPr>
          <w:p>
            <w:pPr>
              <w:spacing w:line="297" w:lineRule="auto"/>
              <w:rPr>
                <w:rFonts w:ascii="Arial"/>
                <w:sz w:val="21"/>
              </w:rPr>
            </w:pPr>
          </w:p>
          <w:p>
            <w:pPr>
              <w:pStyle w:val="6"/>
              <w:spacing w:before="69" w:line="221" w:lineRule="auto"/>
              <w:ind w:left="132"/>
            </w:pPr>
            <w:r>
              <w:rPr>
                <w:spacing w:val="-2"/>
              </w:rPr>
              <w:t>预测点与</w:t>
            </w:r>
          </w:p>
          <w:p>
            <w:pPr>
              <w:pStyle w:val="6"/>
              <w:spacing w:before="19" w:line="221" w:lineRule="auto"/>
              <w:ind w:left="135"/>
            </w:pPr>
            <w:r>
              <w:rPr>
                <w:spacing w:val="-3"/>
              </w:rPr>
              <w:t>声源高差</w:t>
            </w:r>
          </w:p>
          <w:p>
            <w:pPr>
              <w:spacing w:before="41" w:line="233" w:lineRule="auto"/>
              <w:ind w:left="432"/>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66" w:type="dxa"/>
            <w:vMerge w:val="restart"/>
            <w:tcBorders>
              <w:bottom w:val="nil"/>
            </w:tcBorders>
            <w:vAlign w:val="top"/>
          </w:tcPr>
          <w:p>
            <w:pPr>
              <w:spacing w:line="282" w:lineRule="auto"/>
              <w:rPr>
                <w:rFonts w:ascii="Arial"/>
                <w:sz w:val="21"/>
              </w:rPr>
            </w:pPr>
          </w:p>
          <w:p>
            <w:pPr>
              <w:pStyle w:val="6"/>
              <w:spacing w:before="68" w:line="233" w:lineRule="auto"/>
              <w:ind w:left="129" w:right="109"/>
              <w:jc w:val="both"/>
            </w:pPr>
            <w:r>
              <w:rPr>
                <w:spacing w:val="-3"/>
              </w:rPr>
              <w:t>声环境</w:t>
            </w:r>
            <w:r>
              <w:t xml:space="preserve"> </w:t>
            </w:r>
            <w:r>
              <w:rPr>
                <w:spacing w:val="-3"/>
              </w:rPr>
              <w:t>功能区</w:t>
            </w:r>
            <w:r>
              <w:t xml:space="preserve"> </w:t>
            </w:r>
            <w:r>
              <w:rPr>
                <w:spacing w:val="48"/>
              </w:rPr>
              <w:t>类别</w:t>
            </w:r>
          </w:p>
        </w:tc>
        <w:tc>
          <w:tcPr>
            <w:tcW w:w="945" w:type="dxa"/>
            <w:vMerge w:val="restart"/>
            <w:tcBorders>
              <w:bottom w:val="nil"/>
            </w:tcBorders>
            <w:vAlign w:val="top"/>
          </w:tcPr>
          <w:p>
            <w:pPr>
              <w:spacing w:line="276" w:lineRule="auto"/>
              <w:rPr>
                <w:rFonts w:ascii="Arial"/>
                <w:sz w:val="21"/>
              </w:rPr>
            </w:pPr>
          </w:p>
          <w:p>
            <w:pPr>
              <w:spacing w:line="277" w:lineRule="auto"/>
              <w:rPr>
                <w:rFonts w:ascii="Arial"/>
                <w:sz w:val="21"/>
              </w:rPr>
            </w:pPr>
          </w:p>
          <w:p>
            <w:pPr>
              <w:pStyle w:val="6"/>
              <w:spacing w:before="68" w:line="222" w:lineRule="auto"/>
              <w:ind w:left="280"/>
            </w:pPr>
            <w:r>
              <w:rPr>
                <w:spacing w:val="-4"/>
              </w:rPr>
              <w:t>时段</w:t>
            </w:r>
          </w:p>
        </w:tc>
        <w:tc>
          <w:tcPr>
            <w:tcW w:w="704" w:type="dxa"/>
            <w:vMerge w:val="restart"/>
            <w:tcBorders>
              <w:bottom w:val="nil"/>
            </w:tcBorders>
            <w:vAlign w:val="top"/>
          </w:tcPr>
          <w:p>
            <w:pPr>
              <w:spacing w:line="416" w:lineRule="auto"/>
              <w:rPr>
                <w:rFonts w:ascii="Arial"/>
                <w:sz w:val="21"/>
              </w:rPr>
            </w:pPr>
          </w:p>
          <w:p>
            <w:pPr>
              <w:pStyle w:val="6"/>
              <w:spacing w:before="68" w:line="231" w:lineRule="auto"/>
              <w:ind w:left="255" w:right="134" w:hanging="104"/>
            </w:pPr>
            <w:r>
              <w:rPr>
                <w:spacing w:val="-4"/>
              </w:rPr>
              <w:t>标准</w:t>
            </w:r>
            <w:r>
              <w:t xml:space="preserve"> 值</w:t>
            </w:r>
          </w:p>
        </w:tc>
        <w:tc>
          <w:tcPr>
            <w:tcW w:w="600" w:type="dxa"/>
            <w:vMerge w:val="restart"/>
            <w:tcBorders>
              <w:bottom w:val="nil"/>
            </w:tcBorders>
            <w:textDirection w:val="tbRlV"/>
            <w:vAlign w:val="top"/>
          </w:tcPr>
          <w:p>
            <w:pPr>
              <w:pStyle w:val="6"/>
              <w:spacing w:before="188" w:line="207" w:lineRule="auto"/>
              <w:ind w:left="488"/>
            </w:pPr>
            <w:r>
              <w:rPr>
                <w:spacing w:val="1"/>
              </w:rPr>
              <w:t>楼</w:t>
            </w:r>
            <w:r>
              <w:rPr>
                <w:spacing w:val="-43"/>
              </w:rPr>
              <w:t xml:space="preserve"> </w:t>
            </w:r>
            <w:r>
              <w:rPr>
                <w:spacing w:val="1"/>
              </w:rPr>
              <w:t>层</w:t>
            </w:r>
          </w:p>
        </w:tc>
        <w:tc>
          <w:tcPr>
            <w:tcW w:w="753" w:type="dxa"/>
            <w:vMerge w:val="restart"/>
            <w:tcBorders>
              <w:bottom w:val="nil"/>
            </w:tcBorders>
            <w:vAlign w:val="top"/>
          </w:tcPr>
          <w:p>
            <w:pPr>
              <w:spacing w:line="417" w:lineRule="auto"/>
              <w:rPr>
                <w:rFonts w:ascii="Arial"/>
                <w:sz w:val="21"/>
              </w:rPr>
            </w:pPr>
          </w:p>
          <w:p>
            <w:pPr>
              <w:pStyle w:val="6"/>
              <w:spacing w:before="68" w:line="241" w:lineRule="auto"/>
              <w:ind w:left="178"/>
            </w:pPr>
            <w:r>
              <w:rPr>
                <w:spacing w:val="-3"/>
              </w:rPr>
              <w:t>背景</w:t>
            </w:r>
          </w:p>
          <w:p>
            <w:pPr>
              <w:pStyle w:val="6"/>
              <w:spacing w:line="220" w:lineRule="auto"/>
              <w:ind w:left="280"/>
            </w:pPr>
            <w:r>
              <w:t>值</w:t>
            </w:r>
          </w:p>
        </w:tc>
        <w:tc>
          <w:tcPr>
            <w:tcW w:w="818" w:type="dxa"/>
            <w:vMerge w:val="restart"/>
            <w:tcBorders>
              <w:bottom w:val="nil"/>
            </w:tcBorders>
            <w:vAlign w:val="top"/>
          </w:tcPr>
          <w:p>
            <w:pPr>
              <w:spacing w:line="417" w:lineRule="auto"/>
              <w:rPr>
                <w:rFonts w:ascii="Arial"/>
                <w:sz w:val="21"/>
              </w:rPr>
            </w:pPr>
          </w:p>
          <w:p>
            <w:pPr>
              <w:pStyle w:val="6"/>
              <w:spacing w:before="68" w:line="241" w:lineRule="auto"/>
              <w:ind w:left="208"/>
            </w:pPr>
            <w:r>
              <w:rPr>
                <w:spacing w:val="-2"/>
              </w:rPr>
              <w:t>现状</w:t>
            </w:r>
          </w:p>
          <w:p>
            <w:pPr>
              <w:pStyle w:val="6"/>
              <w:spacing w:line="220" w:lineRule="auto"/>
              <w:ind w:left="312"/>
            </w:pPr>
            <w:r>
              <w:t>值</w:t>
            </w:r>
          </w:p>
        </w:tc>
        <w:tc>
          <w:tcPr>
            <w:tcW w:w="3425" w:type="dxa"/>
            <w:gridSpan w:val="4"/>
            <w:vAlign w:val="top"/>
          </w:tcPr>
          <w:p>
            <w:pPr>
              <w:pStyle w:val="6"/>
              <w:spacing w:before="49" w:line="221" w:lineRule="auto"/>
              <w:ind w:left="1512"/>
            </w:pPr>
            <w:r>
              <w:rPr>
                <w:spacing w:val="-2"/>
              </w:rPr>
              <w:t>远期</w:t>
            </w:r>
          </w:p>
        </w:tc>
        <w:tc>
          <w:tcPr>
            <w:tcW w:w="701" w:type="dxa"/>
            <w:vMerge w:val="restart"/>
            <w:tcBorders>
              <w:bottom w:val="nil"/>
            </w:tcBorders>
            <w:vAlign w:val="top"/>
          </w:tcPr>
          <w:p>
            <w:pPr>
              <w:spacing w:line="282" w:lineRule="auto"/>
              <w:rPr>
                <w:rFonts w:ascii="Arial"/>
                <w:sz w:val="21"/>
              </w:rPr>
            </w:pPr>
          </w:p>
          <w:p>
            <w:pPr>
              <w:pStyle w:val="6"/>
              <w:spacing w:before="68" w:line="233" w:lineRule="auto"/>
              <w:ind w:left="159" w:right="132" w:hanging="6"/>
              <w:jc w:val="both"/>
            </w:pPr>
            <w:r>
              <w:rPr>
                <w:spacing w:val="-6"/>
              </w:rPr>
              <w:t>受影</w:t>
            </w:r>
            <w:r>
              <w:t xml:space="preserve"> </w:t>
            </w:r>
            <w:r>
              <w:rPr>
                <w:spacing w:val="-9"/>
              </w:rPr>
              <w:t>响户</w:t>
            </w:r>
            <w:r>
              <w:t xml:space="preserve"> </w:t>
            </w:r>
            <w:r>
              <w:rPr>
                <w:spacing w:val="35"/>
                <w:w w:val="125"/>
              </w:rPr>
              <w:t>数</w:t>
            </w:r>
          </w:p>
        </w:tc>
        <w:tc>
          <w:tcPr>
            <w:tcW w:w="8878" w:type="dxa"/>
            <w:gridSpan w:val="7"/>
            <w:vAlign w:val="top"/>
          </w:tcPr>
          <w:p>
            <w:pPr>
              <w:pStyle w:val="6"/>
              <w:spacing w:before="49" w:line="219" w:lineRule="auto"/>
              <w:ind w:left="3511"/>
            </w:pPr>
            <w:r>
              <w:rPr>
                <w:spacing w:val="-2"/>
              </w:rPr>
              <w:t>噪声防治措施及投资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Merge w:val="continue"/>
            <w:tcBorders>
              <w:top w:val="nil"/>
            </w:tcBorders>
            <w:vAlign w:val="top"/>
          </w:tcPr>
          <w:p>
            <w:pPr>
              <w:rPr>
                <w:rFonts w:ascii="Arial"/>
                <w:sz w:val="21"/>
              </w:rPr>
            </w:pPr>
          </w:p>
        </w:tc>
        <w:tc>
          <w:tcPr>
            <w:tcW w:w="704" w:type="dxa"/>
            <w:vMerge w:val="continue"/>
            <w:tcBorders>
              <w:top w:val="nil"/>
            </w:tcBorders>
            <w:vAlign w:val="top"/>
          </w:tcPr>
          <w:p>
            <w:pPr>
              <w:rPr>
                <w:rFonts w:ascii="Arial"/>
                <w:sz w:val="21"/>
              </w:rPr>
            </w:pPr>
          </w:p>
        </w:tc>
        <w:tc>
          <w:tcPr>
            <w:tcW w:w="600" w:type="dxa"/>
            <w:vMerge w:val="continue"/>
            <w:tcBorders>
              <w:top w:val="nil"/>
              <w:bottom w:val="nil"/>
            </w:tcBorders>
            <w:textDirection w:val="tbRlV"/>
            <w:vAlign w:val="top"/>
          </w:tcPr>
          <w:p>
            <w:pPr>
              <w:rPr>
                <w:rFonts w:ascii="Arial"/>
                <w:sz w:val="21"/>
              </w:rPr>
            </w:pPr>
          </w:p>
        </w:tc>
        <w:tc>
          <w:tcPr>
            <w:tcW w:w="753" w:type="dxa"/>
            <w:vMerge w:val="continue"/>
            <w:tcBorders>
              <w:top w:val="nil"/>
            </w:tcBorders>
            <w:vAlign w:val="top"/>
          </w:tcPr>
          <w:p>
            <w:pPr>
              <w:rPr>
                <w:rFonts w:ascii="Arial"/>
                <w:sz w:val="21"/>
              </w:rPr>
            </w:pPr>
          </w:p>
        </w:tc>
        <w:tc>
          <w:tcPr>
            <w:tcW w:w="818" w:type="dxa"/>
            <w:vMerge w:val="continue"/>
            <w:tcBorders>
              <w:top w:val="nil"/>
            </w:tcBorders>
            <w:vAlign w:val="top"/>
          </w:tcPr>
          <w:p>
            <w:pPr>
              <w:rPr>
                <w:rFonts w:ascii="Arial"/>
                <w:sz w:val="21"/>
              </w:rPr>
            </w:pPr>
          </w:p>
        </w:tc>
        <w:tc>
          <w:tcPr>
            <w:tcW w:w="773" w:type="dxa"/>
            <w:vAlign w:val="top"/>
          </w:tcPr>
          <w:p>
            <w:pPr>
              <w:spacing w:line="258" w:lineRule="auto"/>
              <w:rPr>
                <w:rFonts w:ascii="Arial"/>
                <w:sz w:val="21"/>
              </w:rPr>
            </w:pPr>
          </w:p>
          <w:p>
            <w:pPr>
              <w:pStyle w:val="6"/>
              <w:spacing w:before="68" w:line="238" w:lineRule="auto"/>
              <w:ind w:left="187"/>
            </w:pPr>
            <w:r>
              <w:rPr>
                <w:spacing w:val="-3"/>
              </w:rPr>
              <w:t>贡献</w:t>
            </w:r>
          </w:p>
          <w:p>
            <w:pPr>
              <w:pStyle w:val="6"/>
              <w:spacing w:line="220" w:lineRule="auto"/>
              <w:ind w:left="288"/>
            </w:pPr>
            <w:r>
              <w:t>值</w:t>
            </w:r>
          </w:p>
        </w:tc>
        <w:tc>
          <w:tcPr>
            <w:tcW w:w="900" w:type="dxa"/>
            <w:vAlign w:val="top"/>
          </w:tcPr>
          <w:p>
            <w:pPr>
              <w:spacing w:line="393" w:lineRule="auto"/>
              <w:rPr>
                <w:rFonts w:ascii="Arial"/>
                <w:sz w:val="21"/>
              </w:rPr>
            </w:pPr>
          </w:p>
          <w:p>
            <w:pPr>
              <w:pStyle w:val="6"/>
              <w:spacing w:before="68" w:line="221" w:lineRule="auto"/>
              <w:ind w:left="143"/>
            </w:pPr>
            <w:r>
              <w:rPr>
                <w:spacing w:val="-2"/>
              </w:rPr>
              <w:t>预测值</w:t>
            </w:r>
          </w:p>
        </w:tc>
        <w:tc>
          <w:tcPr>
            <w:tcW w:w="1039" w:type="dxa"/>
            <w:tcBorders>
              <w:right w:val="single" w:color="000000" w:sz="4" w:space="0"/>
            </w:tcBorders>
            <w:vAlign w:val="top"/>
          </w:tcPr>
          <w:p>
            <w:pPr>
              <w:spacing w:line="258" w:lineRule="auto"/>
              <w:rPr>
                <w:rFonts w:ascii="Arial"/>
                <w:sz w:val="21"/>
              </w:rPr>
            </w:pPr>
          </w:p>
          <w:p>
            <w:pPr>
              <w:pStyle w:val="6"/>
              <w:spacing w:before="68" w:line="230" w:lineRule="auto"/>
              <w:ind w:left="211" w:right="194"/>
            </w:pPr>
            <w:r>
              <w:rPr>
                <w:spacing w:val="-2"/>
              </w:rPr>
              <w:t>较现状</w:t>
            </w:r>
            <w:r>
              <w:t xml:space="preserve"> </w:t>
            </w:r>
            <w:r>
              <w:rPr>
                <w:spacing w:val="-2"/>
              </w:rPr>
              <w:t>增加量</w:t>
            </w:r>
          </w:p>
        </w:tc>
        <w:tc>
          <w:tcPr>
            <w:tcW w:w="713" w:type="dxa"/>
            <w:tcBorders>
              <w:left w:val="single" w:color="000000" w:sz="4" w:space="0"/>
            </w:tcBorders>
            <w:vAlign w:val="top"/>
          </w:tcPr>
          <w:p>
            <w:pPr>
              <w:spacing w:line="258" w:lineRule="auto"/>
              <w:rPr>
                <w:rFonts w:ascii="Arial"/>
                <w:sz w:val="21"/>
              </w:rPr>
            </w:pPr>
          </w:p>
          <w:p>
            <w:pPr>
              <w:pStyle w:val="6"/>
              <w:spacing w:before="68" w:line="232" w:lineRule="auto"/>
              <w:ind w:left="257" w:right="137" w:hanging="104"/>
            </w:pPr>
            <w:r>
              <w:rPr>
                <w:spacing w:val="-3"/>
              </w:rPr>
              <w:t>超标</w:t>
            </w:r>
            <w:r>
              <w:t xml:space="preserve"> 量</w:t>
            </w:r>
          </w:p>
        </w:tc>
        <w:tc>
          <w:tcPr>
            <w:tcW w:w="701" w:type="dxa"/>
            <w:vMerge w:val="continue"/>
            <w:tcBorders>
              <w:top w:val="nil"/>
              <w:bottom w:val="nil"/>
            </w:tcBorders>
            <w:vAlign w:val="top"/>
          </w:tcPr>
          <w:p>
            <w:pPr>
              <w:rPr>
                <w:rFonts w:ascii="Arial"/>
                <w:sz w:val="21"/>
              </w:rPr>
            </w:pPr>
          </w:p>
        </w:tc>
        <w:tc>
          <w:tcPr>
            <w:tcW w:w="4351" w:type="dxa"/>
            <w:vAlign w:val="top"/>
          </w:tcPr>
          <w:p>
            <w:pPr>
              <w:spacing w:line="393" w:lineRule="auto"/>
              <w:rPr>
                <w:rFonts w:ascii="Arial"/>
                <w:sz w:val="21"/>
              </w:rPr>
            </w:pPr>
          </w:p>
          <w:p>
            <w:pPr>
              <w:pStyle w:val="6"/>
              <w:spacing w:before="68" w:line="221" w:lineRule="auto"/>
              <w:ind w:left="1973"/>
            </w:pPr>
            <w:r>
              <w:rPr>
                <w:spacing w:val="-2"/>
              </w:rPr>
              <w:t>类型</w:t>
            </w:r>
          </w:p>
        </w:tc>
        <w:tc>
          <w:tcPr>
            <w:tcW w:w="986" w:type="dxa"/>
            <w:vAlign w:val="top"/>
          </w:tcPr>
          <w:p>
            <w:pPr>
              <w:spacing w:line="393" w:lineRule="auto"/>
              <w:rPr>
                <w:rFonts w:ascii="Arial"/>
                <w:sz w:val="21"/>
              </w:rPr>
            </w:pPr>
          </w:p>
          <w:p>
            <w:pPr>
              <w:pStyle w:val="6"/>
              <w:spacing w:before="68" w:line="221" w:lineRule="auto"/>
              <w:ind w:left="294"/>
            </w:pPr>
            <w:r>
              <w:rPr>
                <w:spacing w:val="-2"/>
              </w:rPr>
              <w:t>规模</w:t>
            </w:r>
          </w:p>
        </w:tc>
        <w:tc>
          <w:tcPr>
            <w:tcW w:w="597" w:type="dxa"/>
            <w:textDirection w:val="tbRlV"/>
            <w:vAlign w:val="top"/>
          </w:tcPr>
          <w:p>
            <w:pPr>
              <w:pStyle w:val="6"/>
              <w:spacing w:before="185" w:line="208" w:lineRule="auto"/>
              <w:ind w:left="190"/>
            </w:pPr>
            <w:r>
              <w:rPr>
                <w:spacing w:val="42"/>
              </w:rPr>
              <w:t>贡献值</w:t>
            </w:r>
          </w:p>
        </w:tc>
        <w:tc>
          <w:tcPr>
            <w:tcW w:w="597" w:type="dxa"/>
            <w:textDirection w:val="tbRlV"/>
            <w:vAlign w:val="top"/>
          </w:tcPr>
          <w:p>
            <w:pPr>
              <w:pStyle w:val="6"/>
              <w:spacing w:before="184" w:line="209" w:lineRule="auto"/>
              <w:ind w:left="190"/>
            </w:pPr>
            <w:r>
              <w:rPr>
                <w:spacing w:val="42"/>
              </w:rPr>
              <w:t>预测值</w:t>
            </w:r>
          </w:p>
        </w:tc>
        <w:tc>
          <w:tcPr>
            <w:tcW w:w="662" w:type="dxa"/>
            <w:vAlign w:val="top"/>
          </w:tcPr>
          <w:p>
            <w:pPr>
              <w:pStyle w:val="6"/>
              <w:spacing w:before="54" w:line="221" w:lineRule="auto"/>
              <w:ind w:left="136"/>
            </w:pPr>
            <w:r>
              <w:rPr>
                <w:spacing w:val="-3"/>
              </w:rPr>
              <w:t>声屏</w:t>
            </w:r>
          </w:p>
          <w:p>
            <w:pPr>
              <w:pStyle w:val="6"/>
              <w:spacing w:before="21" w:line="221" w:lineRule="auto"/>
              <w:ind w:left="143"/>
            </w:pPr>
            <w:r>
              <w:rPr>
                <w:spacing w:val="-5"/>
              </w:rPr>
              <w:t>障插</w:t>
            </w:r>
          </w:p>
          <w:p>
            <w:pPr>
              <w:pStyle w:val="6"/>
              <w:spacing w:before="20" w:line="221" w:lineRule="auto"/>
              <w:ind w:left="131"/>
            </w:pPr>
            <w:r>
              <w:rPr>
                <w:spacing w:val="-2"/>
              </w:rPr>
              <w:t>入损</w:t>
            </w:r>
          </w:p>
          <w:p>
            <w:pPr>
              <w:pStyle w:val="6"/>
              <w:spacing w:before="21" w:line="222" w:lineRule="auto"/>
              <w:ind w:left="240"/>
            </w:pPr>
            <w:r>
              <w:t>失</w:t>
            </w:r>
          </w:p>
        </w:tc>
        <w:tc>
          <w:tcPr>
            <w:tcW w:w="828" w:type="dxa"/>
            <w:vAlign w:val="top"/>
          </w:tcPr>
          <w:p>
            <w:pPr>
              <w:pStyle w:val="6"/>
              <w:spacing w:before="70" w:line="221" w:lineRule="auto"/>
              <w:ind w:left="217"/>
            </w:pPr>
            <w:r>
              <w:rPr>
                <w:spacing w:val="-3"/>
              </w:rPr>
              <w:t>室内</w:t>
            </w:r>
          </w:p>
          <w:p>
            <w:pPr>
              <w:pStyle w:val="6"/>
              <w:spacing w:before="20" w:line="221" w:lineRule="auto"/>
              <w:ind w:left="224"/>
            </w:pPr>
            <w:r>
              <w:rPr>
                <w:spacing w:val="-4"/>
              </w:rPr>
              <w:t>噪声</w:t>
            </w:r>
          </w:p>
          <w:p>
            <w:pPr>
              <w:pStyle w:val="6"/>
              <w:spacing w:before="21" w:line="221" w:lineRule="auto"/>
              <w:ind w:left="320"/>
            </w:pPr>
            <w:r>
              <w:t>值</w:t>
            </w:r>
          </w:p>
          <w:p>
            <w:pPr>
              <w:spacing w:before="41" w:line="191"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dB(A)</w:t>
            </w:r>
          </w:p>
        </w:tc>
        <w:tc>
          <w:tcPr>
            <w:tcW w:w="857" w:type="dxa"/>
            <w:vAlign w:val="top"/>
          </w:tcPr>
          <w:p>
            <w:pPr>
              <w:pStyle w:val="6"/>
              <w:spacing w:before="54" w:line="221" w:lineRule="auto"/>
              <w:ind w:left="133"/>
            </w:pPr>
            <w:r>
              <w:rPr>
                <w:spacing w:val="-4"/>
              </w:rPr>
              <w:t>噪声控</w:t>
            </w:r>
          </w:p>
          <w:p>
            <w:pPr>
              <w:pStyle w:val="6"/>
              <w:spacing w:before="22" w:line="221" w:lineRule="auto"/>
              <w:ind w:left="124"/>
            </w:pPr>
            <w:r>
              <w:rPr>
                <w:spacing w:val="-2"/>
              </w:rPr>
              <w:t>制措施</w:t>
            </w:r>
          </w:p>
          <w:p>
            <w:pPr>
              <w:pStyle w:val="6"/>
              <w:spacing w:before="19" w:line="233" w:lineRule="auto"/>
              <w:ind w:left="202"/>
              <w:rPr>
                <w:rFonts w:ascii="Times New Roman" w:hAnsi="Times New Roman" w:eastAsia="Times New Roman" w:cs="Times New Roman"/>
              </w:rPr>
            </w:pPr>
            <w:r>
              <w:rPr>
                <w:spacing w:val="-3"/>
              </w:rPr>
              <w:t>投资</w:t>
            </w:r>
            <w:r>
              <w:rPr>
                <w:rFonts w:ascii="Times New Roman" w:hAnsi="Times New Roman" w:eastAsia="Times New Roman" w:cs="Times New Roman"/>
                <w:spacing w:val="-3"/>
              </w:rPr>
              <w:t>/</w:t>
            </w:r>
          </w:p>
          <w:p>
            <w:pPr>
              <w:pStyle w:val="6"/>
              <w:spacing w:before="8" w:line="221" w:lineRule="auto"/>
              <w:ind w:left="233"/>
            </w:pPr>
            <w:r>
              <w:rPr>
                <w:spacing w:val="-3"/>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2" w:line="221" w:lineRule="auto"/>
              <w:ind w:left="273"/>
            </w:pPr>
            <w:r>
              <w:rPr>
                <w:spacing w:val="-3"/>
              </w:rPr>
              <w:t>夜间</w:t>
            </w:r>
          </w:p>
        </w:tc>
        <w:tc>
          <w:tcPr>
            <w:tcW w:w="704" w:type="dxa"/>
            <w:vAlign w:val="top"/>
          </w:tcPr>
          <w:p>
            <w:pPr>
              <w:spacing w:before="91"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textDirection w:val="tbRlV"/>
            <w:vAlign w:val="top"/>
          </w:tcPr>
          <w:p>
            <w:pPr>
              <w:rPr>
                <w:rFonts w:ascii="Arial"/>
                <w:sz w:val="21"/>
              </w:rPr>
            </w:pPr>
          </w:p>
        </w:tc>
        <w:tc>
          <w:tcPr>
            <w:tcW w:w="753" w:type="dxa"/>
            <w:vAlign w:val="top"/>
          </w:tcPr>
          <w:p>
            <w:pPr>
              <w:spacing w:before="91"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44.9</w:t>
            </w:r>
          </w:p>
        </w:tc>
        <w:tc>
          <w:tcPr>
            <w:tcW w:w="818" w:type="dxa"/>
            <w:vAlign w:val="top"/>
          </w:tcPr>
          <w:p>
            <w:pPr>
              <w:spacing w:before="91"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44.9</w:t>
            </w:r>
          </w:p>
        </w:tc>
        <w:tc>
          <w:tcPr>
            <w:tcW w:w="773" w:type="dxa"/>
            <w:vAlign w:val="top"/>
          </w:tcPr>
          <w:p>
            <w:pPr>
              <w:spacing w:before="91"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40.8</w:t>
            </w:r>
          </w:p>
        </w:tc>
        <w:tc>
          <w:tcPr>
            <w:tcW w:w="900" w:type="dxa"/>
            <w:vAlign w:val="top"/>
          </w:tcPr>
          <w:p>
            <w:pPr>
              <w:spacing w:before="91"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46.3</w:t>
            </w:r>
          </w:p>
        </w:tc>
        <w:tc>
          <w:tcPr>
            <w:tcW w:w="1039" w:type="dxa"/>
            <w:tcBorders>
              <w:right w:val="single" w:color="000000" w:sz="4" w:space="0"/>
            </w:tcBorders>
            <w:vAlign w:val="top"/>
          </w:tcPr>
          <w:p>
            <w:pPr>
              <w:spacing w:before="9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+1.4</w:t>
            </w:r>
          </w:p>
        </w:tc>
        <w:tc>
          <w:tcPr>
            <w:tcW w:w="713" w:type="dxa"/>
            <w:tcBorders>
              <w:left w:val="single" w:color="000000" w:sz="4" w:space="0"/>
            </w:tcBorders>
            <w:vAlign w:val="top"/>
          </w:tcPr>
          <w:p>
            <w:pPr>
              <w:spacing w:before="87" w:line="219"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tcBorders>
            <w:vAlign w:val="top"/>
          </w:tcPr>
          <w:p>
            <w:pPr>
              <w:rPr>
                <w:rFonts w:ascii="Arial"/>
                <w:sz w:val="21"/>
              </w:rPr>
            </w:pPr>
          </w:p>
        </w:tc>
        <w:tc>
          <w:tcPr>
            <w:tcW w:w="4351" w:type="dxa"/>
            <w:vAlign w:val="top"/>
          </w:tcPr>
          <w:p>
            <w:pPr>
              <w:rPr>
                <w:rFonts w:ascii="Arial"/>
                <w:sz w:val="21"/>
              </w:rPr>
            </w:pPr>
          </w:p>
        </w:tc>
        <w:tc>
          <w:tcPr>
            <w:tcW w:w="986" w:type="dxa"/>
            <w:vAlign w:val="top"/>
          </w:tcPr>
          <w:p>
            <w:pPr>
              <w:rPr>
                <w:rFonts w:ascii="Arial"/>
                <w:sz w:val="21"/>
              </w:rPr>
            </w:pPr>
          </w:p>
        </w:tc>
        <w:tc>
          <w:tcPr>
            <w:tcW w:w="597" w:type="dxa"/>
            <w:vAlign w:val="top"/>
          </w:tcPr>
          <w:p>
            <w:pPr>
              <w:spacing w:before="96" w:line="210"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6" w:line="210"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6" w:line="210"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4" w:line="212" w:lineRule="auto"/>
              <w:ind w:left="2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35≤</w:t>
            </w: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1"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0" w:line="187" w:lineRule="auto"/>
              <w:ind w:left="24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181" w:type="dxa"/>
            <w:vMerge w:val="restart"/>
            <w:tcBorders>
              <w:bottom w:val="nil"/>
            </w:tcBorders>
            <w:vAlign w:val="top"/>
          </w:tcPr>
          <w:p>
            <w:pPr>
              <w:spacing w:line="470" w:lineRule="auto"/>
              <w:rPr>
                <w:rFonts w:ascii="Arial"/>
                <w:sz w:val="21"/>
              </w:rPr>
            </w:pPr>
          </w:p>
          <w:p>
            <w:pPr>
              <w:pStyle w:val="6"/>
              <w:spacing w:before="68" w:line="222" w:lineRule="auto"/>
              <w:ind w:left="390"/>
            </w:pPr>
            <w:r>
              <w:rPr>
                <w:spacing w:val="-2"/>
              </w:rPr>
              <w:t>莲塘</w:t>
            </w:r>
          </w:p>
        </w:tc>
        <w:tc>
          <w:tcPr>
            <w:tcW w:w="1106"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0"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w:t>
            </w:r>
          </w:p>
        </w:tc>
        <w:tc>
          <w:tcPr>
            <w:tcW w:w="1085" w:type="dxa"/>
            <w:vMerge w:val="restart"/>
            <w:tcBorders>
              <w:bottom w:val="nil"/>
            </w:tcBorders>
            <w:vAlign w:val="top"/>
          </w:tcPr>
          <w:p>
            <w:pPr>
              <w:spacing w:before="258" w:line="184"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866" w:type="dxa"/>
            <w:vMerge w:val="restart"/>
            <w:tcBorders>
              <w:bottom w:val="nil"/>
            </w:tcBorders>
            <w:vAlign w:val="top"/>
          </w:tcPr>
          <w:p>
            <w:pPr>
              <w:spacing w:line="469" w:lineRule="auto"/>
              <w:rPr>
                <w:rFonts w:ascii="Arial"/>
                <w:sz w:val="21"/>
              </w:rPr>
            </w:pPr>
          </w:p>
          <w:p>
            <w:pPr>
              <w:pStyle w:val="6"/>
              <w:spacing w:before="68" w:line="221" w:lineRule="auto"/>
              <w:ind w:left="254"/>
            </w:pP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类</w:t>
            </w:r>
          </w:p>
        </w:tc>
        <w:tc>
          <w:tcPr>
            <w:tcW w:w="945" w:type="dxa"/>
            <w:vAlign w:val="top"/>
          </w:tcPr>
          <w:p>
            <w:pPr>
              <w:pStyle w:val="6"/>
              <w:spacing w:before="54" w:line="223" w:lineRule="auto"/>
              <w:ind w:left="269"/>
            </w:pPr>
            <w:r>
              <w:rPr>
                <w:spacing w:val="-2"/>
              </w:rPr>
              <w:t>昼间</w:t>
            </w:r>
          </w:p>
        </w:tc>
        <w:tc>
          <w:tcPr>
            <w:tcW w:w="704" w:type="dxa"/>
            <w:vAlign w:val="top"/>
          </w:tcPr>
          <w:p>
            <w:pPr>
              <w:spacing w:before="92"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1F</w:t>
            </w:r>
          </w:p>
        </w:tc>
        <w:tc>
          <w:tcPr>
            <w:tcW w:w="753" w:type="dxa"/>
            <w:vAlign w:val="top"/>
          </w:tcPr>
          <w:p>
            <w:pPr>
              <w:spacing w:before="9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818" w:type="dxa"/>
            <w:vAlign w:val="top"/>
          </w:tcPr>
          <w:p>
            <w:pPr>
              <w:spacing w:before="92"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50.3</w:t>
            </w:r>
          </w:p>
        </w:tc>
        <w:tc>
          <w:tcPr>
            <w:tcW w:w="773" w:type="dxa"/>
            <w:vAlign w:val="top"/>
          </w:tcPr>
          <w:p>
            <w:pPr>
              <w:spacing w:before="92"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54.3</w:t>
            </w:r>
          </w:p>
        </w:tc>
        <w:tc>
          <w:tcPr>
            <w:tcW w:w="900" w:type="dxa"/>
            <w:vAlign w:val="top"/>
          </w:tcPr>
          <w:p>
            <w:pPr>
              <w:spacing w:before="92"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54.6</w:t>
            </w:r>
          </w:p>
        </w:tc>
        <w:tc>
          <w:tcPr>
            <w:tcW w:w="1039" w:type="dxa"/>
            <w:tcBorders>
              <w:right w:val="single" w:color="000000" w:sz="4" w:space="0"/>
            </w:tcBorders>
            <w:vAlign w:val="top"/>
          </w:tcPr>
          <w:p>
            <w:pPr>
              <w:spacing w:before="92"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713" w:type="dxa"/>
            <w:tcBorders>
              <w:left w:val="single" w:color="000000" w:sz="4" w:space="0"/>
            </w:tcBorders>
            <w:vAlign w:val="top"/>
          </w:tcPr>
          <w:p>
            <w:pPr>
              <w:spacing w:before="88" w:line="221"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before="60" w:line="187" w:lineRule="auto"/>
              <w:ind w:left="29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351" w:type="dxa"/>
            <w:vMerge w:val="restart"/>
            <w:tcBorders>
              <w:bottom w:val="nil"/>
            </w:tcBorders>
            <w:vAlign w:val="top"/>
          </w:tcPr>
          <w:p>
            <w:pPr>
              <w:spacing w:line="317" w:lineRule="auto"/>
              <w:rPr>
                <w:rFonts w:ascii="Arial"/>
                <w:sz w:val="21"/>
              </w:rPr>
            </w:pPr>
          </w:p>
          <w:p>
            <w:pPr>
              <w:pStyle w:val="6"/>
              <w:spacing w:before="68" w:line="249" w:lineRule="auto"/>
              <w:ind w:left="448" w:right="102" w:hanging="339"/>
            </w:pPr>
            <w:r>
              <w:rPr>
                <w:rFonts w:ascii="Times New Roman" w:hAnsi="Times New Roman" w:eastAsia="Times New Roman" w:cs="Times New Roman"/>
                <w:spacing w:val="-5"/>
              </w:rPr>
              <w:t xml:space="preserve">2 </w:t>
            </w:r>
            <w:r>
              <w:rPr>
                <w:spacing w:val="-5"/>
              </w:rPr>
              <w:t>类区</w:t>
            </w:r>
            <w:r>
              <w:rPr>
                <w:spacing w:val="-34"/>
              </w:rPr>
              <w:t xml:space="preserve"> </w:t>
            </w:r>
            <w:r>
              <w:rPr>
                <w:rFonts w:ascii="Times New Roman" w:hAnsi="Times New Roman" w:eastAsia="Times New Roman" w:cs="Times New Roman"/>
                <w:spacing w:val="-5"/>
              </w:rPr>
              <w:t xml:space="preserve">2 </w:t>
            </w:r>
            <w:r>
              <w:rPr>
                <w:spacing w:val="-5"/>
              </w:rPr>
              <w:t>户安装隔声窗，</w:t>
            </w:r>
            <w:r>
              <w:rPr>
                <w:spacing w:val="-29"/>
              </w:rPr>
              <w:t xml:space="preserve"> </w:t>
            </w:r>
            <w:r>
              <w:rPr>
                <w:spacing w:val="-5"/>
              </w:rPr>
              <w:t>使其满足《建筑环境</w:t>
            </w:r>
            <w:r>
              <w:t xml:space="preserve"> </w:t>
            </w:r>
            <w:r>
              <w:rPr>
                <w:spacing w:val="-1"/>
              </w:rPr>
              <w:t>通用规范》（</w:t>
            </w:r>
            <w:r>
              <w:rPr>
                <w:rFonts w:ascii="Times New Roman" w:hAnsi="Times New Roman" w:eastAsia="Times New Roman" w:cs="Times New Roman"/>
                <w:spacing w:val="-1"/>
              </w:rPr>
              <w:t>GB 55016-2021</w:t>
            </w:r>
            <w:r>
              <w:rPr>
                <w:spacing w:val="-1"/>
              </w:rPr>
              <w:t>）的要求</w:t>
            </w:r>
          </w:p>
        </w:tc>
        <w:tc>
          <w:tcPr>
            <w:tcW w:w="986" w:type="dxa"/>
            <w:vMerge w:val="restart"/>
            <w:tcBorders>
              <w:bottom w:val="nil"/>
            </w:tcBorders>
            <w:vAlign w:val="top"/>
          </w:tcPr>
          <w:p>
            <w:pPr>
              <w:pStyle w:val="6"/>
              <w:spacing w:before="71" w:line="263" w:lineRule="auto"/>
              <w:ind w:left="113" w:right="100" w:hanging="3"/>
              <w:jc w:val="both"/>
            </w:pPr>
            <w:r>
              <w:rPr>
                <w:rFonts w:ascii="Times New Roman" w:hAnsi="Times New Roman" w:eastAsia="Times New Roman" w:cs="Times New Roman"/>
                <w:spacing w:val="-3"/>
              </w:rPr>
              <w:t>2</w:t>
            </w:r>
            <w:r>
              <w:rPr>
                <w:rFonts w:ascii="Times New Roman" w:hAnsi="Times New Roman" w:eastAsia="Times New Roman" w:cs="Times New Roman"/>
                <w:spacing w:val="-6"/>
              </w:rPr>
              <w:t xml:space="preserve"> </w:t>
            </w:r>
            <w:r>
              <w:rPr>
                <w:spacing w:val="-3"/>
              </w:rPr>
              <w:t>户隔声</w:t>
            </w:r>
            <w:r>
              <w:t xml:space="preserve"> </w:t>
            </w:r>
            <w:r>
              <w:rPr>
                <w:spacing w:val="-19"/>
              </w:rPr>
              <w:t>窗，预计</w:t>
            </w:r>
            <w:r>
              <w:rPr>
                <w:spacing w:val="1"/>
              </w:rPr>
              <w:t xml:space="preserve"> </w:t>
            </w:r>
            <w:r>
              <w:rPr>
                <w:spacing w:val="7"/>
              </w:rPr>
              <w:t>每户约</w:t>
            </w:r>
            <w:r>
              <w:rPr>
                <w:rFonts w:ascii="Times New Roman" w:hAnsi="Times New Roman" w:eastAsia="Times New Roman" w:cs="Times New Roman"/>
                <w:spacing w:val="7"/>
              </w:rPr>
              <w:t>2</w:t>
            </w:r>
            <w:r>
              <w:rPr>
                <w:rFonts w:ascii="Times New Roman" w:hAnsi="Times New Roman" w:eastAsia="Times New Roman" w:cs="Times New Roman"/>
                <w:spacing w:val="2"/>
              </w:rPr>
              <w:t xml:space="preserve"> </w:t>
            </w:r>
            <w:r>
              <w:rPr>
                <w:spacing w:val="11"/>
              </w:rPr>
              <w:t>万元。</w:t>
            </w:r>
          </w:p>
        </w:tc>
        <w:tc>
          <w:tcPr>
            <w:tcW w:w="597" w:type="dxa"/>
            <w:vAlign w:val="top"/>
          </w:tcPr>
          <w:p>
            <w:pPr>
              <w:spacing w:before="97" w:line="212"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7" w:line="212"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7" w:line="212"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5" w:line="214" w:lineRule="auto"/>
              <w:ind w:left="25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45≤</w:t>
            </w:r>
          </w:p>
        </w:tc>
        <w:tc>
          <w:tcPr>
            <w:tcW w:w="857"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before="60" w:line="189" w:lineRule="auto"/>
              <w:ind w:left="37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3" w:line="221" w:lineRule="auto"/>
              <w:ind w:left="273"/>
            </w:pPr>
            <w:r>
              <w:rPr>
                <w:spacing w:val="-3"/>
              </w:rPr>
              <w:t>夜间</w:t>
            </w:r>
          </w:p>
        </w:tc>
        <w:tc>
          <w:tcPr>
            <w:tcW w:w="704" w:type="dxa"/>
            <w:vAlign w:val="top"/>
          </w:tcPr>
          <w:p>
            <w:pPr>
              <w:spacing w:before="92"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2"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43.8</w:t>
            </w:r>
          </w:p>
        </w:tc>
        <w:tc>
          <w:tcPr>
            <w:tcW w:w="818" w:type="dxa"/>
            <w:vAlign w:val="top"/>
          </w:tcPr>
          <w:p>
            <w:pPr>
              <w:spacing w:before="92"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773" w:type="dxa"/>
            <w:vAlign w:val="top"/>
          </w:tcPr>
          <w:p>
            <w:pPr>
              <w:spacing w:before="92"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44.5</w:t>
            </w:r>
          </w:p>
        </w:tc>
        <w:tc>
          <w:tcPr>
            <w:tcW w:w="900" w:type="dxa"/>
            <w:vAlign w:val="top"/>
          </w:tcPr>
          <w:p>
            <w:pPr>
              <w:spacing w:before="92" w:line="187"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47.2</w:t>
            </w:r>
          </w:p>
        </w:tc>
        <w:tc>
          <w:tcPr>
            <w:tcW w:w="1039" w:type="dxa"/>
            <w:tcBorders>
              <w:right w:val="single" w:color="000000" w:sz="4" w:space="0"/>
            </w:tcBorders>
            <w:vAlign w:val="top"/>
          </w:tcPr>
          <w:p>
            <w:pPr>
              <w:spacing w:before="92"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6"/>
                <w:sz w:val="21"/>
                <w:szCs w:val="21"/>
              </w:rPr>
              <w:t>1.4</w:t>
            </w:r>
          </w:p>
        </w:tc>
        <w:tc>
          <w:tcPr>
            <w:tcW w:w="713" w:type="dxa"/>
            <w:tcBorders>
              <w:left w:val="single" w:color="000000" w:sz="4" w:space="0"/>
            </w:tcBorders>
            <w:vAlign w:val="top"/>
          </w:tcPr>
          <w:p>
            <w:pPr>
              <w:spacing w:before="89" w:line="21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7" w:line="209"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7" w:line="209"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7" w:line="209"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5" w:line="211" w:lineRule="auto"/>
              <w:ind w:left="2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1" w:type="dxa"/>
            <w:vMerge w:val="continue"/>
            <w:tcBorders>
              <w:top w:val="nil"/>
              <w:bottom w:val="nil"/>
            </w:tcBorders>
            <w:vAlign w:val="top"/>
          </w:tcPr>
          <w:p>
            <w:pPr>
              <w:rPr>
                <w:rFonts w:ascii="Arial"/>
                <w:sz w:val="21"/>
              </w:rPr>
            </w:pPr>
          </w:p>
        </w:tc>
        <w:tc>
          <w:tcPr>
            <w:tcW w:w="1181" w:type="dxa"/>
            <w:vMerge w:val="continue"/>
            <w:tcBorders>
              <w:top w:val="nil"/>
              <w:bottom w:val="nil"/>
            </w:tcBorders>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85" w:type="dxa"/>
            <w:vMerge w:val="restart"/>
            <w:tcBorders>
              <w:bottom w:val="nil"/>
            </w:tcBorders>
            <w:vAlign w:val="top"/>
          </w:tcPr>
          <w:p>
            <w:pPr>
              <w:spacing w:before="257" w:line="187" w:lineRule="auto"/>
              <w:ind w:left="498"/>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866" w:type="dxa"/>
            <w:vMerge w:val="continue"/>
            <w:tcBorders>
              <w:top w:val="nil"/>
              <w:bottom w:val="nil"/>
            </w:tcBorders>
            <w:vAlign w:val="top"/>
          </w:tcPr>
          <w:p>
            <w:pPr>
              <w:rPr>
                <w:rFonts w:ascii="Arial"/>
                <w:sz w:val="21"/>
              </w:rPr>
            </w:pPr>
          </w:p>
        </w:tc>
        <w:tc>
          <w:tcPr>
            <w:tcW w:w="945" w:type="dxa"/>
            <w:vAlign w:val="top"/>
          </w:tcPr>
          <w:p>
            <w:pPr>
              <w:pStyle w:val="6"/>
              <w:spacing w:before="55" w:line="222" w:lineRule="auto"/>
              <w:ind w:left="269"/>
            </w:pPr>
            <w:r>
              <w:rPr>
                <w:spacing w:val="-2"/>
              </w:rPr>
              <w:t>昼间</w:t>
            </w:r>
          </w:p>
        </w:tc>
        <w:tc>
          <w:tcPr>
            <w:tcW w:w="704" w:type="dxa"/>
            <w:vAlign w:val="top"/>
          </w:tcPr>
          <w:p>
            <w:pPr>
              <w:spacing w:before="93" w:line="187" w:lineRule="auto"/>
              <w:ind w:left="2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600" w:type="dxa"/>
            <w:vMerge w:val="restart"/>
            <w:tcBorders>
              <w:bottom w:val="nil"/>
            </w:tcBorders>
            <w:vAlign w:val="top"/>
          </w:tcPr>
          <w:p>
            <w:pPr>
              <w:spacing w:before="257" w:line="187"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3F</w:t>
            </w:r>
          </w:p>
        </w:tc>
        <w:tc>
          <w:tcPr>
            <w:tcW w:w="753" w:type="dxa"/>
            <w:vAlign w:val="top"/>
          </w:tcPr>
          <w:p>
            <w:pPr>
              <w:spacing w:before="93" w:line="187" w:lineRule="auto"/>
              <w:ind w:left="2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50.3</w:t>
            </w:r>
          </w:p>
        </w:tc>
        <w:tc>
          <w:tcPr>
            <w:tcW w:w="818" w:type="dxa"/>
            <w:vAlign w:val="top"/>
          </w:tcPr>
          <w:p>
            <w:pPr>
              <w:spacing w:before="93"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50.3</w:t>
            </w:r>
          </w:p>
        </w:tc>
        <w:tc>
          <w:tcPr>
            <w:tcW w:w="773" w:type="dxa"/>
            <w:vAlign w:val="top"/>
          </w:tcPr>
          <w:p>
            <w:pPr>
              <w:spacing w:before="93" w:line="187"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58.5</w:t>
            </w:r>
          </w:p>
        </w:tc>
        <w:tc>
          <w:tcPr>
            <w:tcW w:w="900" w:type="dxa"/>
            <w:vAlign w:val="top"/>
          </w:tcPr>
          <w:p>
            <w:pPr>
              <w:spacing w:before="93"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59.1</w:t>
            </w:r>
          </w:p>
        </w:tc>
        <w:tc>
          <w:tcPr>
            <w:tcW w:w="1039" w:type="dxa"/>
            <w:tcBorders>
              <w:right w:val="single" w:color="000000" w:sz="4" w:space="0"/>
            </w:tcBorders>
            <w:vAlign w:val="top"/>
          </w:tcPr>
          <w:p>
            <w:pPr>
              <w:spacing w:before="93"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+8.8</w:t>
            </w:r>
          </w:p>
        </w:tc>
        <w:tc>
          <w:tcPr>
            <w:tcW w:w="713" w:type="dxa"/>
            <w:tcBorders>
              <w:left w:val="single" w:color="000000" w:sz="4" w:space="0"/>
            </w:tcBorders>
            <w:vAlign w:val="top"/>
          </w:tcPr>
          <w:p>
            <w:pPr>
              <w:spacing w:before="90" w:line="216"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1" w:type="dxa"/>
            <w:vMerge w:val="continue"/>
            <w:tcBorders>
              <w:top w:val="nil"/>
              <w:bottom w:val="nil"/>
            </w:tcBorders>
            <w:vAlign w:val="top"/>
          </w:tcPr>
          <w:p>
            <w:pPr>
              <w:rPr>
                <w:rFonts w:ascii="Arial"/>
                <w:sz w:val="21"/>
              </w:rPr>
            </w:pPr>
          </w:p>
        </w:tc>
        <w:tc>
          <w:tcPr>
            <w:tcW w:w="4351" w:type="dxa"/>
            <w:vMerge w:val="continue"/>
            <w:tcBorders>
              <w:top w:val="nil"/>
              <w:bottom w:val="nil"/>
            </w:tcBorders>
            <w:vAlign w:val="top"/>
          </w:tcPr>
          <w:p>
            <w:pPr>
              <w:rPr>
                <w:rFonts w:ascii="Arial"/>
                <w:sz w:val="21"/>
              </w:rPr>
            </w:pPr>
          </w:p>
        </w:tc>
        <w:tc>
          <w:tcPr>
            <w:tcW w:w="986" w:type="dxa"/>
            <w:vMerge w:val="continue"/>
            <w:tcBorders>
              <w:top w:val="nil"/>
              <w:bottom w:val="nil"/>
            </w:tcBorders>
            <w:vAlign w:val="top"/>
          </w:tcPr>
          <w:p>
            <w:pPr>
              <w:rPr>
                <w:rFonts w:ascii="Arial"/>
                <w:sz w:val="21"/>
              </w:rPr>
            </w:pPr>
          </w:p>
        </w:tc>
        <w:tc>
          <w:tcPr>
            <w:tcW w:w="597" w:type="dxa"/>
            <w:vAlign w:val="top"/>
          </w:tcPr>
          <w:p>
            <w:pPr>
              <w:spacing w:before="98" w:line="208"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98" w:line="208"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98" w:line="208"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6" w:line="210" w:lineRule="auto"/>
              <w:ind w:left="254"/>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45≤</w:t>
            </w:r>
          </w:p>
        </w:tc>
        <w:tc>
          <w:tcPr>
            <w:tcW w:w="85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41" w:type="dxa"/>
            <w:vMerge w:val="continue"/>
            <w:tcBorders>
              <w:top w:val="nil"/>
            </w:tcBorders>
            <w:vAlign w:val="top"/>
          </w:tcPr>
          <w:p>
            <w:pPr>
              <w:rPr>
                <w:rFonts w:ascii="Arial"/>
                <w:sz w:val="21"/>
              </w:rPr>
            </w:pPr>
          </w:p>
        </w:tc>
        <w:tc>
          <w:tcPr>
            <w:tcW w:w="1181" w:type="dxa"/>
            <w:vMerge w:val="continue"/>
            <w:tcBorders>
              <w:top w:val="nil"/>
            </w:tcBorders>
            <w:vAlign w:val="top"/>
          </w:tcPr>
          <w:p>
            <w:pPr>
              <w:rPr>
                <w:rFonts w:ascii="Arial"/>
                <w:sz w:val="21"/>
              </w:rPr>
            </w:pPr>
          </w:p>
        </w:tc>
        <w:tc>
          <w:tcPr>
            <w:tcW w:w="1106" w:type="dxa"/>
            <w:vMerge w:val="continue"/>
            <w:tcBorders>
              <w:top w:val="nil"/>
            </w:tcBorders>
            <w:vAlign w:val="top"/>
          </w:tcPr>
          <w:p>
            <w:pPr>
              <w:rPr>
                <w:rFonts w:ascii="Arial"/>
                <w:sz w:val="21"/>
              </w:rPr>
            </w:pPr>
          </w:p>
        </w:tc>
        <w:tc>
          <w:tcPr>
            <w:tcW w:w="1085"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945" w:type="dxa"/>
            <w:vAlign w:val="top"/>
          </w:tcPr>
          <w:p>
            <w:pPr>
              <w:pStyle w:val="6"/>
              <w:spacing w:before="55" w:line="221" w:lineRule="auto"/>
              <w:ind w:left="273"/>
            </w:pPr>
            <w:r>
              <w:rPr>
                <w:spacing w:val="-3"/>
              </w:rPr>
              <w:t>夜间</w:t>
            </w:r>
          </w:p>
        </w:tc>
        <w:tc>
          <w:tcPr>
            <w:tcW w:w="704" w:type="dxa"/>
            <w:vAlign w:val="top"/>
          </w:tcPr>
          <w:p>
            <w:pPr>
              <w:spacing w:before="97"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600" w:type="dxa"/>
            <w:vMerge w:val="continue"/>
            <w:tcBorders>
              <w:top w:val="nil"/>
            </w:tcBorders>
            <w:vAlign w:val="top"/>
          </w:tcPr>
          <w:p>
            <w:pPr>
              <w:rPr>
                <w:rFonts w:ascii="Arial"/>
                <w:sz w:val="21"/>
              </w:rPr>
            </w:pPr>
          </w:p>
        </w:tc>
        <w:tc>
          <w:tcPr>
            <w:tcW w:w="753" w:type="dxa"/>
            <w:vAlign w:val="top"/>
          </w:tcPr>
          <w:p>
            <w:pPr>
              <w:spacing w:before="97"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818" w:type="dxa"/>
            <w:vAlign w:val="top"/>
          </w:tcPr>
          <w:p>
            <w:pPr>
              <w:spacing w:before="97" w:line="187"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773" w:type="dxa"/>
            <w:vAlign w:val="top"/>
          </w:tcPr>
          <w:p>
            <w:pPr>
              <w:spacing w:before="97" w:line="187"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48.8</w:t>
            </w:r>
          </w:p>
        </w:tc>
        <w:tc>
          <w:tcPr>
            <w:tcW w:w="900" w:type="dxa"/>
            <w:vAlign w:val="top"/>
          </w:tcPr>
          <w:p>
            <w:pPr>
              <w:spacing w:before="97"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51.7</w:t>
            </w:r>
          </w:p>
        </w:tc>
        <w:tc>
          <w:tcPr>
            <w:tcW w:w="1039" w:type="dxa"/>
            <w:tcBorders>
              <w:right w:val="single" w:color="000000" w:sz="4" w:space="0"/>
            </w:tcBorders>
            <w:vAlign w:val="top"/>
          </w:tcPr>
          <w:p>
            <w:pPr>
              <w:spacing w:before="97"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w:t>
            </w:r>
          </w:p>
        </w:tc>
        <w:tc>
          <w:tcPr>
            <w:tcW w:w="713" w:type="dxa"/>
            <w:tcBorders>
              <w:left w:val="single" w:color="000000" w:sz="4" w:space="0"/>
            </w:tcBorders>
            <w:vAlign w:val="top"/>
          </w:tcPr>
          <w:p>
            <w:pPr>
              <w:spacing w:before="97" w:line="187" w:lineRule="auto"/>
              <w:ind w:left="16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+1.7</w:t>
            </w:r>
          </w:p>
        </w:tc>
        <w:tc>
          <w:tcPr>
            <w:tcW w:w="701" w:type="dxa"/>
            <w:vMerge w:val="continue"/>
            <w:tcBorders>
              <w:top w:val="nil"/>
            </w:tcBorders>
            <w:vAlign w:val="top"/>
          </w:tcPr>
          <w:p>
            <w:pPr>
              <w:rPr>
                <w:rFonts w:ascii="Arial"/>
                <w:sz w:val="21"/>
              </w:rPr>
            </w:pPr>
          </w:p>
        </w:tc>
        <w:tc>
          <w:tcPr>
            <w:tcW w:w="4351" w:type="dxa"/>
            <w:vMerge w:val="continue"/>
            <w:tcBorders>
              <w:top w:val="nil"/>
            </w:tcBorders>
            <w:vAlign w:val="top"/>
          </w:tcPr>
          <w:p>
            <w:pPr>
              <w:rPr>
                <w:rFonts w:ascii="Arial"/>
                <w:sz w:val="21"/>
              </w:rPr>
            </w:pPr>
          </w:p>
        </w:tc>
        <w:tc>
          <w:tcPr>
            <w:tcW w:w="986" w:type="dxa"/>
            <w:vMerge w:val="continue"/>
            <w:tcBorders>
              <w:top w:val="nil"/>
            </w:tcBorders>
            <w:vAlign w:val="top"/>
          </w:tcPr>
          <w:p>
            <w:pPr>
              <w:rPr>
                <w:rFonts w:ascii="Arial"/>
                <w:sz w:val="21"/>
              </w:rPr>
            </w:pPr>
          </w:p>
        </w:tc>
        <w:tc>
          <w:tcPr>
            <w:tcW w:w="597" w:type="dxa"/>
            <w:vAlign w:val="top"/>
          </w:tcPr>
          <w:p>
            <w:pPr>
              <w:spacing w:before="101" w:line="213" w:lineRule="auto"/>
              <w:ind w:left="26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597" w:type="dxa"/>
            <w:vAlign w:val="top"/>
          </w:tcPr>
          <w:p>
            <w:pPr>
              <w:spacing w:before="101" w:line="213" w:lineRule="auto"/>
              <w:ind w:left="26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662" w:type="dxa"/>
            <w:vAlign w:val="top"/>
          </w:tcPr>
          <w:p>
            <w:pPr>
              <w:spacing w:before="101" w:line="213" w:lineRule="auto"/>
              <w:ind w:left="302"/>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c>
          <w:tcPr>
            <w:tcW w:w="828" w:type="dxa"/>
            <w:vAlign w:val="top"/>
          </w:tcPr>
          <w:p>
            <w:pPr>
              <w:spacing w:before="99" w:line="215" w:lineRule="auto"/>
              <w:ind w:left="2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35≤</w:t>
            </w:r>
          </w:p>
        </w:tc>
        <w:tc>
          <w:tcPr>
            <w:tcW w:w="857" w:type="dxa"/>
            <w:vMerge w:val="continue"/>
            <w:tcBorders>
              <w:top w:val="nil"/>
            </w:tcBorders>
            <w:vAlign w:val="top"/>
          </w:tcPr>
          <w:p>
            <w:pPr>
              <w:rPr>
                <w:rFonts w:ascii="Arial"/>
                <w:sz w:val="21"/>
              </w:rPr>
            </w:pPr>
          </w:p>
        </w:tc>
      </w:tr>
    </w:tbl>
    <w:p>
      <w:pPr>
        <w:pStyle w:val="2"/>
      </w:pPr>
    </w:p>
    <w:p>
      <w:pPr>
        <w:sectPr>
          <w:footerReference r:id="rId334" w:type="default"/>
          <w:pgSz w:w="23811" w:h="16839"/>
          <w:pgMar w:top="1118" w:right="1082" w:bottom="1009" w:left="1020" w:header="879" w:footer="845" w:gutter="0"/>
          <w:cols w:space="720" w:num="1"/>
        </w:sectPr>
      </w:pPr>
    </w:p>
    <w:p>
      <w:pPr>
        <w:pStyle w:val="2"/>
        <w:spacing w:line="254" w:lineRule="auto"/>
      </w:pPr>
    </w:p>
    <w:p>
      <w:pPr>
        <w:spacing w:before="78" w:line="220" w:lineRule="auto"/>
        <w:ind w:left="37"/>
        <w:outlineLvl w:val="1"/>
        <w:rPr>
          <w:rFonts w:ascii="宋体" w:hAnsi="宋体" w:eastAsia="宋体" w:cs="宋体"/>
          <w:sz w:val="24"/>
          <w:szCs w:val="24"/>
        </w:rPr>
      </w:pPr>
      <w:bookmarkStart w:id="46" w:name="bookmark41"/>
      <w:bookmarkEnd w:id="46"/>
      <w:r>
        <w:rPr>
          <w:rFonts w:ascii="Times New Roman" w:hAnsi="Times New Roman" w:eastAsia="Times New Roman" w:cs="Times New Roman"/>
          <w:b/>
          <w:bCs/>
          <w:sz w:val="24"/>
          <w:szCs w:val="24"/>
        </w:rPr>
        <w:t>6.4</w:t>
      </w:r>
      <w:r>
        <w:rPr>
          <w:rFonts w:ascii="Times New Roman" w:hAnsi="Times New Roman" w:eastAsia="Times New Roman" w:cs="Times New Roman"/>
          <w:b/>
          <w:bCs/>
          <w:spacing w:val="41"/>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固体废物处置措施</w:t>
      </w:r>
    </w:p>
    <w:p>
      <w:pPr>
        <w:spacing w:before="182" w:line="220" w:lineRule="auto"/>
        <w:ind w:left="37"/>
        <w:outlineLvl w:val="1"/>
        <w:rPr>
          <w:rFonts w:ascii="宋体" w:hAnsi="宋体" w:eastAsia="宋体" w:cs="宋体"/>
          <w:sz w:val="24"/>
          <w:szCs w:val="24"/>
        </w:rPr>
      </w:pPr>
      <w:r>
        <w:rPr>
          <w:rFonts w:ascii="Times New Roman" w:hAnsi="Times New Roman" w:eastAsia="Times New Roman" w:cs="Times New Roman"/>
          <w:b/>
          <w:bCs/>
          <w:spacing w:val="4"/>
          <w:sz w:val="24"/>
          <w:szCs w:val="24"/>
        </w:rPr>
        <w:t xml:space="preserve">6.4.1 </w:t>
      </w:r>
      <w:r>
        <w:rPr>
          <w:rFonts w:ascii="宋体" w:hAnsi="宋体" w:eastAsia="宋体" w:cs="宋体"/>
          <w:spacing w:val="4"/>
          <w:sz w:val="24"/>
          <w:szCs w:val="24"/>
          <w14:textOutline w14:w="4354" w14:cap="flat" w14:cmpd="sng">
            <w14:solidFill>
              <w14:srgbClr w14:val="000000"/>
            </w14:solidFill>
            <w14:prstDash w14:val="solid"/>
            <w14:miter w14:val="0"/>
          </w14:textOutline>
        </w:rPr>
        <w:t>施工期固体废物处置措施回顾</w:t>
      </w:r>
    </w:p>
    <w:p>
      <w:pPr>
        <w:spacing w:before="179" w:line="220" w:lineRule="auto"/>
        <w:ind w:left="546"/>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、生活垃圾</w:t>
      </w:r>
    </w:p>
    <w:p>
      <w:pPr>
        <w:spacing w:before="181" w:line="468" w:lineRule="exact"/>
        <w:ind w:left="526"/>
        <w:rPr>
          <w:rFonts w:ascii="宋体" w:hAnsi="宋体" w:eastAsia="宋体" w:cs="宋体"/>
          <w:sz w:val="24"/>
          <w:szCs w:val="24"/>
        </w:rPr>
      </w:pPr>
      <w:r>
        <w:rPr>
          <w:rFonts w:ascii="宋体" w:hAnsi="宋体" w:eastAsia="宋体" w:cs="宋体"/>
          <w:spacing w:val="4"/>
          <w:position w:val="17"/>
          <w:sz w:val="24"/>
          <w:szCs w:val="24"/>
        </w:rPr>
        <w:t>施工单位将生活垃圾分类集中收集，定期予以清运，进行无害化处置。</w:t>
      </w:r>
    </w:p>
    <w:p>
      <w:pPr>
        <w:spacing w:line="219" w:lineRule="auto"/>
        <w:ind w:left="523"/>
        <w:rPr>
          <w:rFonts w:ascii="宋体" w:hAnsi="宋体" w:eastAsia="宋体" w:cs="宋体"/>
          <w:sz w:val="24"/>
          <w:szCs w:val="24"/>
        </w:rPr>
      </w:pPr>
      <w:r>
        <w:rPr>
          <w:rFonts w:ascii="Times New Roman" w:hAnsi="Times New Roman" w:eastAsia="Times New Roman" w:cs="Times New Roman"/>
          <w:sz w:val="24"/>
          <w:szCs w:val="24"/>
        </w:rPr>
        <w:t>2</w:t>
      </w:r>
      <w:r>
        <w:rPr>
          <w:rFonts w:ascii="宋体" w:hAnsi="宋体" w:eastAsia="宋体" w:cs="宋体"/>
          <w:sz w:val="24"/>
          <w:szCs w:val="24"/>
        </w:rPr>
        <w:t>、工程弃渣</w:t>
      </w:r>
    </w:p>
    <w:p>
      <w:pPr>
        <w:spacing w:before="181" w:line="359" w:lineRule="auto"/>
        <w:ind w:left="67" w:right="143" w:firstLine="461"/>
        <w:jc w:val="both"/>
        <w:rPr>
          <w:rFonts w:ascii="宋体" w:hAnsi="宋体" w:eastAsia="宋体" w:cs="宋体"/>
          <w:sz w:val="24"/>
          <w:szCs w:val="24"/>
        </w:rPr>
      </w:pPr>
      <w:r>
        <w:rPr>
          <w:rFonts w:ascii="宋体" w:hAnsi="宋体" w:eastAsia="宋体" w:cs="宋体"/>
          <w:sz w:val="24"/>
          <w:szCs w:val="24"/>
        </w:rPr>
        <w:t xml:space="preserve">本工程利用景文高速公路施工期弃渣场进行弃渣。连接线约 </w:t>
      </w:r>
      <w:r>
        <w:rPr>
          <w:rFonts w:ascii="Times New Roman" w:hAnsi="Times New Roman" w:eastAsia="Times New Roman" w:cs="Times New Roman"/>
          <w:sz w:val="24"/>
          <w:szCs w:val="24"/>
        </w:rPr>
        <w:t>17</w:t>
      </w:r>
      <w:r>
        <w:rPr>
          <w:rFonts w:ascii="Times New Roman" w:hAnsi="Times New Roman" w:eastAsia="Times New Roman" w:cs="Times New Roman"/>
          <w:spacing w:val="28"/>
          <w:w w:val="101"/>
          <w:sz w:val="24"/>
          <w:szCs w:val="24"/>
        </w:rPr>
        <w:t xml:space="preserve"> </w:t>
      </w:r>
      <w:r>
        <w:rPr>
          <w:rFonts w:ascii="宋体" w:hAnsi="宋体" w:eastAsia="宋体" w:cs="宋体"/>
          <w:sz w:val="24"/>
          <w:szCs w:val="24"/>
        </w:rPr>
        <w:t xml:space="preserve">万方土石方 </w:t>
      </w:r>
      <w:r>
        <w:rPr>
          <w:rFonts w:ascii="宋体" w:hAnsi="宋体" w:eastAsia="宋体" w:cs="宋体"/>
          <w:spacing w:val="1"/>
          <w:sz w:val="24"/>
          <w:szCs w:val="24"/>
        </w:rPr>
        <w:t xml:space="preserve">由景文高速公路施工期进行加工利用，另外，约 </w:t>
      </w:r>
      <w:r>
        <w:rPr>
          <w:rFonts w:ascii="Times New Roman" w:hAnsi="Times New Roman" w:eastAsia="Times New Roman" w:cs="Times New Roman"/>
          <w:spacing w:val="1"/>
          <w:sz w:val="24"/>
          <w:szCs w:val="24"/>
        </w:rPr>
        <w:t xml:space="preserve">11  </w:t>
      </w:r>
      <w:r>
        <w:rPr>
          <w:rFonts w:ascii="宋体" w:hAnsi="宋体" w:eastAsia="宋体" w:cs="宋体"/>
          <w:spacing w:val="1"/>
          <w:sz w:val="24"/>
          <w:szCs w:val="24"/>
        </w:rPr>
        <w:t xml:space="preserve">万 </w:t>
      </w:r>
      <w:r>
        <w:rPr>
          <w:rFonts w:ascii="Times New Roman" w:hAnsi="Times New Roman" w:eastAsia="Times New Roman" w:cs="Times New Roman"/>
          <w:spacing w:val="1"/>
          <w:sz w:val="24"/>
          <w:szCs w:val="24"/>
        </w:rPr>
        <w:t>m³</w:t>
      </w:r>
      <w:r>
        <w:rPr>
          <w:rFonts w:ascii="宋体" w:hAnsi="宋体" w:eastAsia="宋体" w:cs="宋体"/>
          <w:spacing w:val="1"/>
          <w:sz w:val="24"/>
          <w:szCs w:val="24"/>
        </w:rPr>
        <w:t>渣土经文成县财政局</w:t>
      </w:r>
    </w:p>
    <w:p>
      <w:pPr>
        <w:spacing w:before="1" w:line="219" w:lineRule="auto"/>
        <w:ind w:left="36"/>
        <w:rPr>
          <w:rFonts w:ascii="宋体" w:hAnsi="宋体" w:eastAsia="宋体" w:cs="宋体"/>
          <w:sz w:val="24"/>
          <w:szCs w:val="24"/>
        </w:rPr>
      </w:pPr>
      <w:r>
        <w:rPr>
          <w:rFonts w:ascii="宋体" w:hAnsi="宋体" w:eastAsia="宋体" w:cs="宋体"/>
          <w:spacing w:val="4"/>
          <w:sz w:val="24"/>
          <w:szCs w:val="24"/>
        </w:rPr>
        <w:t>进行渣土拍卖，由第三方拍卖中标单位文成县龙翔混凝土有限公司</w:t>
      </w:r>
      <w:r>
        <w:rPr>
          <w:rFonts w:ascii="宋体" w:hAnsi="宋体" w:eastAsia="宋体" w:cs="宋体"/>
          <w:spacing w:val="3"/>
          <w:sz w:val="24"/>
          <w:szCs w:val="24"/>
        </w:rPr>
        <w:t>进行处置。</w:t>
      </w:r>
    </w:p>
    <w:p>
      <w:pPr>
        <w:spacing w:before="183" w:line="219" w:lineRule="auto"/>
        <w:ind w:left="526"/>
        <w:rPr>
          <w:rFonts w:ascii="宋体" w:hAnsi="宋体" w:eastAsia="宋体" w:cs="宋体"/>
          <w:sz w:val="24"/>
          <w:szCs w:val="24"/>
        </w:rPr>
      </w:pPr>
      <w:r>
        <w:rPr>
          <w:rFonts w:ascii="宋体" w:hAnsi="宋体" w:eastAsia="宋体" w:cs="宋体"/>
          <w:spacing w:val="-7"/>
          <w:sz w:val="24"/>
          <w:szCs w:val="24"/>
        </w:rPr>
        <w:t>施工中产生的废材料、包装袋、零星边角料等，分类收集，</w:t>
      </w:r>
      <w:r>
        <w:rPr>
          <w:rFonts w:ascii="宋体" w:hAnsi="宋体" w:eastAsia="宋体" w:cs="宋体"/>
          <w:spacing w:val="75"/>
          <w:sz w:val="24"/>
          <w:szCs w:val="24"/>
        </w:rPr>
        <w:t xml:space="preserve"> </w:t>
      </w:r>
      <w:r>
        <w:rPr>
          <w:rFonts w:ascii="宋体" w:hAnsi="宋体" w:eastAsia="宋体" w:cs="宋体"/>
          <w:spacing w:val="-7"/>
          <w:sz w:val="24"/>
          <w:szCs w:val="24"/>
        </w:rPr>
        <w:t>进行回收利用。</w:t>
      </w:r>
    </w:p>
    <w:p>
      <w:pPr>
        <w:spacing w:before="181" w:line="220" w:lineRule="auto"/>
        <w:ind w:left="37"/>
        <w:outlineLvl w:val="1"/>
        <w:rPr>
          <w:rFonts w:ascii="宋体" w:hAnsi="宋体" w:eastAsia="宋体" w:cs="宋体"/>
          <w:sz w:val="24"/>
          <w:szCs w:val="24"/>
        </w:rPr>
      </w:pPr>
      <w:r>
        <w:rPr>
          <w:rFonts w:ascii="Times New Roman" w:hAnsi="Times New Roman" w:eastAsia="Times New Roman" w:cs="Times New Roman"/>
          <w:b/>
          <w:bCs/>
          <w:spacing w:val="2"/>
          <w:sz w:val="24"/>
          <w:szCs w:val="24"/>
        </w:rPr>
        <w:t>6.4.2</w:t>
      </w:r>
      <w:r>
        <w:rPr>
          <w:rFonts w:ascii="Times New Roman" w:hAnsi="Times New Roman" w:eastAsia="Times New Roman" w:cs="Times New Roman"/>
          <w:b/>
          <w:bCs/>
          <w:spacing w:val="32"/>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营运期固体废物处置措施</w:t>
      </w:r>
    </w:p>
    <w:p>
      <w:pPr>
        <w:spacing w:before="182" w:line="465" w:lineRule="exact"/>
        <w:ind w:left="546"/>
        <w:rPr>
          <w:rFonts w:ascii="宋体" w:hAnsi="宋体" w:eastAsia="宋体" w:cs="宋体"/>
          <w:sz w:val="24"/>
          <w:szCs w:val="24"/>
        </w:rPr>
      </w:pPr>
      <w:r>
        <w:rPr>
          <w:rFonts w:ascii="Times New Roman" w:hAnsi="Times New Roman" w:eastAsia="Times New Roman" w:cs="Times New Roman"/>
          <w:spacing w:val="2"/>
          <w:position w:val="17"/>
          <w:sz w:val="24"/>
          <w:szCs w:val="24"/>
        </w:rPr>
        <w:t>1</w:t>
      </w:r>
      <w:r>
        <w:rPr>
          <w:rFonts w:ascii="宋体" w:hAnsi="宋体" w:eastAsia="宋体" w:cs="宋体"/>
          <w:spacing w:val="2"/>
          <w:position w:val="17"/>
          <w:sz w:val="24"/>
          <w:szCs w:val="24"/>
        </w:rPr>
        <w:t>、公路沿线产生的生活垃圾，及时分类收集，将生</w:t>
      </w:r>
      <w:r>
        <w:rPr>
          <w:rFonts w:ascii="宋体" w:hAnsi="宋体" w:eastAsia="宋体" w:cs="宋体"/>
          <w:spacing w:val="1"/>
          <w:position w:val="17"/>
          <w:sz w:val="24"/>
          <w:szCs w:val="24"/>
        </w:rPr>
        <w:t>活垃圾纳入地方环卫系</w:t>
      </w:r>
    </w:p>
    <w:p>
      <w:pPr>
        <w:spacing w:before="1" w:line="220" w:lineRule="auto"/>
        <w:ind w:left="43"/>
        <w:rPr>
          <w:rFonts w:ascii="宋体" w:hAnsi="宋体" w:eastAsia="宋体" w:cs="宋体"/>
          <w:sz w:val="24"/>
          <w:szCs w:val="24"/>
        </w:rPr>
      </w:pPr>
      <w:r>
        <w:rPr>
          <w:rFonts w:ascii="宋体" w:hAnsi="宋体" w:eastAsia="宋体" w:cs="宋体"/>
          <w:spacing w:val="-2"/>
          <w:sz w:val="24"/>
          <w:szCs w:val="24"/>
        </w:rPr>
        <w:t>统进行无害化处理。</w:t>
      </w:r>
    </w:p>
    <w:p>
      <w:pPr>
        <w:spacing w:before="181" w:line="466" w:lineRule="exact"/>
        <w:ind w:left="523"/>
        <w:rPr>
          <w:rFonts w:ascii="宋体" w:hAnsi="宋体" w:eastAsia="宋体" w:cs="宋体"/>
          <w:sz w:val="24"/>
          <w:szCs w:val="24"/>
        </w:rPr>
      </w:pPr>
      <w:r>
        <w:rPr>
          <w:rFonts w:ascii="Times New Roman" w:hAnsi="Times New Roman" w:eastAsia="Times New Roman" w:cs="Times New Roman"/>
          <w:spacing w:val="2"/>
          <w:position w:val="17"/>
          <w:sz w:val="24"/>
          <w:szCs w:val="24"/>
        </w:rPr>
        <w:t>2</w:t>
      </w:r>
      <w:r>
        <w:rPr>
          <w:rFonts w:ascii="宋体" w:hAnsi="宋体" w:eastAsia="宋体" w:cs="宋体"/>
          <w:spacing w:val="2"/>
          <w:position w:val="17"/>
          <w:sz w:val="24"/>
          <w:szCs w:val="24"/>
        </w:rPr>
        <w:t>、加强对公路养护单位和养护工人的管理力度，提高其工作责任心，杜绝</w:t>
      </w:r>
    </w:p>
    <w:p>
      <w:pPr>
        <w:spacing w:before="1" w:line="219" w:lineRule="auto"/>
        <w:ind w:left="36"/>
        <w:rPr>
          <w:rFonts w:ascii="宋体" w:hAnsi="宋体" w:eastAsia="宋体" w:cs="宋体"/>
          <w:sz w:val="24"/>
          <w:szCs w:val="24"/>
        </w:rPr>
      </w:pPr>
      <w:r>
        <w:rPr>
          <w:rFonts w:ascii="宋体" w:hAnsi="宋体" w:eastAsia="宋体" w:cs="宋体"/>
          <w:spacing w:val="1"/>
          <w:sz w:val="24"/>
          <w:szCs w:val="24"/>
        </w:rPr>
        <w:t>将养护垃圾随处倾倒的现象。</w:t>
      </w:r>
    </w:p>
    <w:p>
      <w:pPr>
        <w:spacing w:before="182" w:line="219" w:lineRule="auto"/>
        <w:ind w:left="528"/>
        <w:rPr>
          <w:rFonts w:ascii="宋体" w:hAnsi="宋体" w:eastAsia="宋体" w:cs="宋体"/>
          <w:sz w:val="24"/>
          <w:szCs w:val="24"/>
        </w:rPr>
      </w:pPr>
      <w:r>
        <w:rPr>
          <w:rFonts w:ascii="Times New Roman" w:hAnsi="Times New Roman" w:eastAsia="Times New Roman" w:cs="Times New Roman"/>
          <w:spacing w:val="4"/>
          <w:sz w:val="24"/>
          <w:szCs w:val="24"/>
        </w:rPr>
        <w:t>3</w:t>
      </w:r>
      <w:r>
        <w:rPr>
          <w:rFonts w:ascii="宋体" w:hAnsi="宋体" w:eastAsia="宋体" w:cs="宋体"/>
          <w:spacing w:val="4"/>
          <w:sz w:val="24"/>
          <w:szCs w:val="24"/>
        </w:rPr>
        <w:t>、养护产生的废沥青进行综合回收再生利</w:t>
      </w:r>
      <w:r>
        <w:rPr>
          <w:rFonts w:ascii="宋体" w:hAnsi="宋体" w:eastAsia="宋体" w:cs="宋体"/>
          <w:spacing w:val="3"/>
          <w:sz w:val="24"/>
          <w:szCs w:val="24"/>
        </w:rPr>
        <w:t>用。</w:t>
      </w:r>
    </w:p>
    <w:p>
      <w:pPr>
        <w:spacing w:before="182" w:line="220" w:lineRule="auto"/>
        <w:ind w:left="37"/>
        <w:outlineLvl w:val="1"/>
        <w:rPr>
          <w:rFonts w:ascii="宋体" w:hAnsi="宋体" w:eastAsia="宋体" w:cs="宋体"/>
          <w:sz w:val="24"/>
          <w:szCs w:val="24"/>
        </w:rPr>
      </w:pPr>
      <w:bookmarkStart w:id="47" w:name="bookmark42"/>
      <w:bookmarkEnd w:id="47"/>
      <w:r>
        <w:rPr>
          <w:rFonts w:ascii="Times New Roman" w:hAnsi="Times New Roman" w:eastAsia="Times New Roman" w:cs="Times New Roman"/>
          <w:b/>
          <w:bCs/>
          <w:spacing w:val="3"/>
          <w:sz w:val="24"/>
          <w:szCs w:val="24"/>
        </w:rPr>
        <w:t xml:space="preserve">6.5 </w:t>
      </w:r>
      <w:r>
        <w:rPr>
          <w:rFonts w:ascii="宋体" w:hAnsi="宋体" w:eastAsia="宋体" w:cs="宋体"/>
          <w:spacing w:val="3"/>
          <w:sz w:val="24"/>
          <w:szCs w:val="24"/>
          <w14:textOutline w14:w="4354" w14:cap="flat" w14:cmpd="sng">
            <w14:solidFill>
              <w14:srgbClr w14:val="000000"/>
            </w14:solidFill>
            <w14:prstDash w14:val="solid"/>
            <w14:miter w14:val="0"/>
          </w14:textOutline>
        </w:rPr>
        <w:t>生态环境保护措施</w:t>
      </w:r>
    </w:p>
    <w:p>
      <w:pPr>
        <w:spacing w:before="182" w:line="220" w:lineRule="auto"/>
        <w:ind w:left="37"/>
        <w:outlineLvl w:val="1"/>
        <w:rPr>
          <w:rFonts w:ascii="宋体" w:hAnsi="宋体" w:eastAsia="宋体" w:cs="宋体"/>
          <w:sz w:val="24"/>
          <w:szCs w:val="24"/>
        </w:rPr>
      </w:pPr>
      <w:r>
        <w:rPr>
          <w:rFonts w:ascii="Times New Roman" w:hAnsi="Times New Roman" w:eastAsia="Times New Roman" w:cs="Times New Roman"/>
          <w:b/>
          <w:bCs/>
          <w:spacing w:val="4"/>
          <w:sz w:val="24"/>
          <w:szCs w:val="24"/>
        </w:rPr>
        <w:t xml:space="preserve">6.5.1 </w:t>
      </w:r>
      <w:r>
        <w:rPr>
          <w:rFonts w:ascii="宋体" w:hAnsi="宋体" w:eastAsia="宋体" w:cs="宋体"/>
          <w:spacing w:val="4"/>
          <w:sz w:val="24"/>
          <w:szCs w:val="24"/>
          <w14:textOutline w14:w="4354" w14:cap="flat" w14:cmpd="sng">
            <w14:solidFill>
              <w14:srgbClr w14:val="000000"/>
            </w14:solidFill>
            <w14:prstDash w14:val="solid"/>
            <w14:miter w14:val="0"/>
          </w14:textOutline>
        </w:rPr>
        <w:t>施工期生态环境保护措施回顾</w:t>
      </w:r>
    </w:p>
    <w:p>
      <w:pPr>
        <w:spacing w:before="178" w:line="220" w:lineRule="auto"/>
        <w:ind w:left="37"/>
        <w:outlineLvl w:val="1"/>
        <w:rPr>
          <w:rFonts w:ascii="宋体" w:hAnsi="宋体" w:eastAsia="宋体" w:cs="宋体"/>
          <w:sz w:val="24"/>
          <w:szCs w:val="24"/>
        </w:rPr>
      </w:pPr>
      <w:r>
        <w:fldChar w:fldCharType="begin"/>
      </w:r>
      <w:r>
        <w:instrText xml:space="preserve"> HYPERLINK "6.5.1.1" </w:instrText>
      </w:r>
      <w:r>
        <w:fldChar w:fldCharType="separate"/>
      </w:r>
      <w:r>
        <w:rPr>
          <w:rFonts w:ascii="Times New Roman" w:hAnsi="Times New Roman" w:eastAsia="Times New Roman" w:cs="Times New Roman"/>
          <w:b/>
          <w:bCs/>
          <w:spacing w:val="1"/>
          <w:sz w:val="24"/>
          <w:szCs w:val="24"/>
        </w:rPr>
        <w:t>6.5.1.1</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35"/>
          <w:w w:val="10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陆生植被恢复措施</w:t>
      </w:r>
    </w:p>
    <w:p>
      <w:pPr>
        <w:spacing w:before="182" w:line="220" w:lineRule="auto"/>
        <w:ind w:left="546"/>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、临时占地生态恢复措施</w:t>
      </w:r>
    </w:p>
    <w:p>
      <w:pPr>
        <w:spacing w:before="183" w:line="466" w:lineRule="exact"/>
        <w:ind w:left="529"/>
        <w:rPr>
          <w:rFonts w:ascii="宋体" w:hAnsi="宋体" w:eastAsia="宋体" w:cs="宋体"/>
          <w:sz w:val="24"/>
          <w:szCs w:val="24"/>
        </w:rPr>
      </w:pPr>
      <w:r>
        <w:rPr>
          <w:rFonts w:ascii="宋体" w:hAnsi="宋体" w:eastAsia="宋体" w:cs="宋体"/>
          <w:spacing w:val="6"/>
          <w:position w:val="17"/>
          <w:sz w:val="24"/>
          <w:szCs w:val="24"/>
        </w:rPr>
        <w:t>按照要求对项目施工临时设施用地进行审批，未随意扩大范围及破坏周围</w:t>
      </w:r>
    </w:p>
    <w:p>
      <w:pPr>
        <w:spacing w:line="219" w:lineRule="auto"/>
        <w:ind w:left="38"/>
        <w:rPr>
          <w:rFonts w:ascii="宋体" w:hAnsi="宋体" w:eastAsia="宋体" w:cs="宋体"/>
          <w:sz w:val="24"/>
          <w:szCs w:val="24"/>
        </w:rPr>
      </w:pPr>
      <w:r>
        <w:rPr>
          <w:rFonts w:ascii="宋体" w:hAnsi="宋体" w:eastAsia="宋体" w:cs="宋体"/>
          <w:spacing w:val="-3"/>
          <w:sz w:val="24"/>
          <w:szCs w:val="24"/>
        </w:rPr>
        <w:t>农田、植被。</w:t>
      </w:r>
    </w:p>
    <w:p>
      <w:pPr>
        <w:spacing w:before="184" w:line="359" w:lineRule="auto"/>
        <w:ind w:left="37" w:right="148" w:firstLine="489"/>
        <w:rPr>
          <w:rFonts w:ascii="宋体" w:hAnsi="宋体" w:eastAsia="宋体" w:cs="宋体"/>
          <w:sz w:val="24"/>
          <w:szCs w:val="24"/>
        </w:rPr>
      </w:pPr>
      <w:r>
        <w:rPr>
          <w:rFonts w:ascii="宋体" w:hAnsi="宋体" w:eastAsia="宋体" w:cs="宋体"/>
          <w:spacing w:val="6"/>
          <w:sz w:val="24"/>
          <w:szCs w:val="24"/>
        </w:rPr>
        <w:t>施工便道尽可能利用现有道路，在现有道路基础上，不新修或少修施工便</w:t>
      </w:r>
      <w:r>
        <w:rPr>
          <w:rFonts w:ascii="宋体" w:hAnsi="宋体" w:eastAsia="宋体" w:cs="宋体"/>
          <w:spacing w:val="13"/>
          <w:sz w:val="24"/>
          <w:szCs w:val="24"/>
        </w:rPr>
        <w:t xml:space="preserve"> </w:t>
      </w:r>
      <w:r>
        <w:rPr>
          <w:rFonts w:ascii="宋体" w:hAnsi="宋体" w:eastAsia="宋体" w:cs="宋体"/>
          <w:spacing w:val="5"/>
          <w:sz w:val="24"/>
          <w:szCs w:val="24"/>
        </w:rPr>
        <w:t>道，减少临时占地。施工便道道路两侧做好绿化、排水、浆砌石衬砌等植物、</w:t>
      </w:r>
    </w:p>
    <w:p>
      <w:pPr>
        <w:spacing w:line="219" w:lineRule="auto"/>
        <w:ind w:left="41"/>
        <w:rPr>
          <w:rFonts w:ascii="宋体" w:hAnsi="宋体" w:eastAsia="宋体" w:cs="宋体"/>
          <w:sz w:val="24"/>
          <w:szCs w:val="24"/>
        </w:rPr>
      </w:pPr>
      <w:r>
        <w:rPr>
          <w:rFonts w:ascii="宋体" w:hAnsi="宋体" w:eastAsia="宋体" w:cs="宋体"/>
          <w:spacing w:val="4"/>
          <w:sz w:val="24"/>
          <w:szCs w:val="24"/>
        </w:rPr>
        <w:t>工程保护措施，减轻施工便道开挖引起的水土流失和植被破坏。</w:t>
      </w:r>
    </w:p>
    <w:p>
      <w:pPr>
        <w:spacing w:before="181" w:line="468" w:lineRule="exact"/>
        <w:ind w:left="540"/>
        <w:rPr>
          <w:rFonts w:ascii="宋体" w:hAnsi="宋体" w:eastAsia="宋体" w:cs="宋体"/>
          <w:sz w:val="24"/>
          <w:szCs w:val="24"/>
        </w:rPr>
      </w:pPr>
      <w:r>
        <w:rPr>
          <w:rFonts w:ascii="宋体" w:hAnsi="宋体" w:eastAsia="宋体" w:cs="宋体"/>
          <w:spacing w:val="6"/>
          <w:position w:val="17"/>
          <w:sz w:val="24"/>
          <w:szCs w:val="24"/>
        </w:rPr>
        <w:t>临时施工营地选择灌草丛等植被稀疏区域，尽量少占林地和耕地。临时施</w:t>
      </w:r>
    </w:p>
    <w:p>
      <w:pPr>
        <w:spacing w:line="219" w:lineRule="auto"/>
        <w:ind w:left="41"/>
        <w:rPr>
          <w:rFonts w:ascii="宋体" w:hAnsi="宋体" w:eastAsia="宋体" w:cs="宋体"/>
          <w:sz w:val="24"/>
          <w:szCs w:val="24"/>
        </w:rPr>
      </w:pPr>
      <w:r>
        <w:rPr>
          <w:rFonts w:ascii="宋体" w:hAnsi="宋体" w:eastAsia="宋体" w:cs="宋体"/>
          <w:spacing w:val="3"/>
          <w:sz w:val="24"/>
          <w:szCs w:val="24"/>
        </w:rPr>
        <w:t>工场地平整时，夯实堆积边坡，表面植草防护，设置排水沟。</w:t>
      </w:r>
    </w:p>
    <w:p>
      <w:pPr>
        <w:spacing w:before="181" w:line="359" w:lineRule="auto"/>
        <w:ind w:left="39" w:right="157" w:firstLine="501"/>
        <w:rPr>
          <w:rFonts w:ascii="宋体" w:hAnsi="宋体" w:eastAsia="宋体" w:cs="宋体"/>
          <w:sz w:val="24"/>
          <w:szCs w:val="24"/>
        </w:rPr>
      </w:pPr>
      <w:r>
        <w:rPr>
          <w:rFonts w:ascii="宋体" w:hAnsi="宋体" w:eastAsia="宋体" w:cs="宋体"/>
          <w:spacing w:val="6"/>
          <w:sz w:val="24"/>
          <w:szCs w:val="24"/>
        </w:rPr>
        <w:t>临时占地在施工结束后及时恢复。废渣、废料和临</w:t>
      </w:r>
      <w:r>
        <w:rPr>
          <w:rFonts w:ascii="宋体" w:hAnsi="宋体" w:eastAsia="宋体" w:cs="宋体"/>
          <w:spacing w:val="5"/>
          <w:sz w:val="24"/>
          <w:szCs w:val="24"/>
        </w:rPr>
        <w:t>时建筑拆除、清理后，</w:t>
      </w:r>
      <w:r>
        <w:rPr>
          <w:rFonts w:ascii="宋体" w:hAnsi="宋体" w:eastAsia="宋体" w:cs="宋体"/>
          <w:sz w:val="24"/>
          <w:szCs w:val="24"/>
        </w:rPr>
        <w:t xml:space="preserve"> 土石方运至弃渣场，</w:t>
      </w:r>
      <w:r>
        <w:rPr>
          <w:rFonts w:ascii="宋体" w:hAnsi="宋体" w:eastAsia="宋体" w:cs="宋体"/>
          <w:spacing w:val="84"/>
          <w:sz w:val="24"/>
          <w:szCs w:val="24"/>
        </w:rPr>
        <w:t xml:space="preserve"> </w:t>
      </w:r>
      <w:r>
        <w:rPr>
          <w:rFonts w:ascii="宋体" w:hAnsi="宋体" w:eastAsia="宋体" w:cs="宋体"/>
          <w:sz w:val="24"/>
          <w:szCs w:val="24"/>
        </w:rPr>
        <w:t>对压实的土地进行翻松、平整、复绿，并按照当地资规部</w:t>
      </w:r>
    </w:p>
    <w:p>
      <w:pPr>
        <w:spacing w:before="1" w:line="218" w:lineRule="auto"/>
        <w:ind w:left="65"/>
        <w:rPr>
          <w:rFonts w:ascii="宋体" w:hAnsi="宋体" w:eastAsia="宋体" w:cs="宋体"/>
          <w:sz w:val="24"/>
          <w:szCs w:val="24"/>
        </w:rPr>
      </w:pPr>
      <w:r>
        <w:rPr>
          <w:rFonts w:ascii="宋体" w:hAnsi="宋体" w:eastAsia="宋体" w:cs="宋体"/>
          <w:spacing w:val="-2"/>
          <w:sz w:val="24"/>
          <w:szCs w:val="24"/>
        </w:rPr>
        <w:t>门的要求，</w:t>
      </w:r>
      <w:r>
        <w:rPr>
          <w:rFonts w:ascii="宋体" w:hAnsi="宋体" w:eastAsia="宋体" w:cs="宋体"/>
          <w:spacing w:val="75"/>
          <w:sz w:val="24"/>
          <w:szCs w:val="24"/>
        </w:rPr>
        <w:t xml:space="preserve"> </w:t>
      </w:r>
      <w:r>
        <w:rPr>
          <w:rFonts w:ascii="宋体" w:hAnsi="宋体" w:eastAsia="宋体" w:cs="宋体"/>
          <w:spacing w:val="-2"/>
          <w:sz w:val="24"/>
          <w:szCs w:val="24"/>
        </w:rPr>
        <w:t>占用的林地及时补草植树，对耕地进行复耕，恢复其原有的功能。</w:t>
      </w:r>
    </w:p>
    <w:p>
      <w:pPr>
        <w:spacing w:before="183" w:line="220" w:lineRule="auto"/>
        <w:ind w:left="523"/>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、隧道施工植被恢复措施</w:t>
      </w:r>
    </w:p>
    <w:p>
      <w:pPr>
        <w:spacing w:line="220" w:lineRule="auto"/>
        <w:rPr>
          <w:rFonts w:ascii="宋体" w:hAnsi="宋体" w:eastAsia="宋体" w:cs="宋体"/>
          <w:sz w:val="24"/>
          <w:szCs w:val="24"/>
        </w:rPr>
        <w:sectPr>
          <w:headerReference r:id="rId335" w:type="default"/>
          <w:footerReference r:id="rId336" w:type="default"/>
          <w:pgSz w:w="11907" w:h="16839"/>
          <w:pgMar w:top="1118" w:right="1670" w:bottom="1009" w:left="1673" w:header="877" w:footer="845" w:gutter="0"/>
          <w:cols w:space="720" w:num="1"/>
        </w:sectPr>
      </w:pPr>
    </w:p>
    <w:p>
      <w:pPr>
        <w:pStyle w:val="2"/>
        <w:spacing w:line="254" w:lineRule="auto"/>
      </w:pPr>
    </w:p>
    <w:p>
      <w:pPr>
        <w:spacing w:before="78" w:line="468" w:lineRule="exact"/>
        <w:ind w:left="528"/>
        <w:rPr>
          <w:rFonts w:ascii="宋体" w:hAnsi="宋体" w:eastAsia="宋体" w:cs="宋体"/>
          <w:sz w:val="24"/>
          <w:szCs w:val="24"/>
        </w:rPr>
      </w:pPr>
      <w:r>
        <w:rPr>
          <w:rFonts w:ascii="宋体" w:hAnsi="宋体" w:eastAsia="宋体" w:cs="宋体"/>
          <w:position w:val="17"/>
          <w:sz w:val="24"/>
          <w:szCs w:val="24"/>
        </w:rPr>
        <w:t>严格控制路基开挖、隧道洞口开挖施工作业面，施工结束后，</w:t>
      </w:r>
      <w:r>
        <w:rPr>
          <w:rFonts w:ascii="宋体" w:hAnsi="宋体" w:eastAsia="宋体" w:cs="宋体"/>
          <w:spacing w:val="84"/>
          <w:position w:val="17"/>
          <w:sz w:val="24"/>
          <w:szCs w:val="24"/>
        </w:rPr>
        <w:t xml:space="preserve"> </w:t>
      </w:r>
      <w:r>
        <w:rPr>
          <w:rFonts w:ascii="宋体" w:hAnsi="宋体" w:eastAsia="宋体" w:cs="宋体"/>
          <w:position w:val="17"/>
          <w:sz w:val="24"/>
          <w:szCs w:val="24"/>
        </w:rPr>
        <w:t>隧道洞脸边</w:t>
      </w:r>
    </w:p>
    <w:p>
      <w:pPr>
        <w:spacing w:before="1" w:line="218" w:lineRule="auto"/>
        <w:ind w:left="38"/>
        <w:rPr>
          <w:rFonts w:ascii="宋体" w:hAnsi="宋体" w:eastAsia="宋体" w:cs="宋体"/>
          <w:sz w:val="24"/>
          <w:szCs w:val="24"/>
        </w:rPr>
      </w:pPr>
      <w:r>
        <w:rPr>
          <w:rFonts w:ascii="宋体" w:hAnsi="宋体" w:eastAsia="宋体" w:cs="宋体"/>
          <w:spacing w:val="4"/>
          <w:sz w:val="24"/>
          <w:szCs w:val="24"/>
        </w:rPr>
        <w:t>坡采用厚层基材植被护坡的方式进行喷播绿化。</w:t>
      </w:r>
    </w:p>
    <w:p>
      <w:pPr>
        <w:spacing w:before="180" w:line="220" w:lineRule="auto"/>
        <w:ind w:left="52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、高填深挖段生态恢复措施</w:t>
      </w:r>
    </w:p>
    <w:p>
      <w:pPr>
        <w:spacing w:before="181" w:line="220" w:lineRule="auto"/>
        <w:ind w:left="526"/>
        <w:rPr>
          <w:rFonts w:ascii="宋体" w:hAnsi="宋体" w:eastAsia="宋体" w:cs="宋体"/>
          <w:sz w:val="24"/>
          <w:szCs w:val="24"/>
        </w:rPr>
      </w:pPr>
      <w:r>
        <w:rPr>
          <w:rFonts w:ascii="宋体" w:hAnsi="宋体" w:eastAsia="宋体" w:cs="宋体"/>
          <w:spacing w:val="3"/>
          <w:sz w:val="24"/>
          <w:szCs w:val="24"/>
        </w:rPr>
        <w:t>对高填深挖段加强路基建设，及时进行植被恢复。</w:t>
      </w:r>
    </w:p>
    <w:p>
      <w:pPr>
        <w:spacing w:before="182" w:line="220" w:lineRule="auto"/>
        <w:ind w:left="522"/>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、对重点保护植物和古树的保护措施</w:t>
      </w:r>
    </w:p>
    <w:p>
      <w:pPr>
        <w:spacing w:before="182" w:line="359" w:lineRule="auto"/>
        <w:ind w:left="39" w:right="77" w:firstLine="488"/>
        <w:rPr>
          <w:rFonts w:ascii="宋体" w:hAnsi="宋体" w:eastAsia="宋体" w:cs="宋体"/>
          <w:sz w:val="24"/>
          <w:szCs w:val="24"/>
        </w:rPr>
      </w:pPr>
      <w:r>
        <w:rPr>
          <w:rFonts w:ascii="宋体" w:hAnsi="宋体" w:eastAsia="宋体" w:cs="宋体"/>
          <w:spacing w:val="2"/>
          <w:sz w:val="24"/>
          <w:szCs w:val="24"/>
        </w:rPr>
        <w:t>根据资料收集和现场调查， 本项目工程占地范围内无古树名木分布，评价</w:t>
      </w:r>
      <w:r>
        <w:rPr>
          <w:rFonts w:ascii="宋体" w:hAnsi="宋体" w:eastAsia="宋体" w:cs="宋体"/>
          <w:spacing w:val="15"/>
          <w:sz w:val="24"/>
          <w:szCs w:val="24"/>
        </w:rPr>
        <w:t xml:space="preserve"> </w:t>
      </w:r>
      <w:r>
        <w:rPr>
          <w:rFonts w:ascii="宋体" w:hAnsi="宋体" w:eastAsia="宋体" w:cs="宋体"/>
          <w:spacing w:val="1"/>
          <w:sz w:val="24"/>
          <w:szCs w:val="24"/>
        </w:rPr>
        <w:t>范围内古树名木与线路有一定的距离。</w:t>
      </w:r>
      <w:r>
        <w:rPr>
          <w:rFonts w:ascii="宋体" w:hAnsi="宋体" w:eastAsia="宋体" w:cs="宋体"/>
          <w:spacing w:val="63"/>
          <w:sz w:val="24"/>
          <w:szCs w:val="24"/>
        </w:rPr>
        <w:t xml:space="preserve"> </w:t>
      </w:r>
      <w:r>
        <w:rPr>
          <w:rFonts w:ascii="宋体" w:hAnsi="宋体" w:eastAsia="宋体" w:cs="宋体"/>
          <w:spacing w:val="1"/>
          <w:sz w:val="24"/>
          <w:szCs w:val="24"/>
        </w:rPr>
        <w:t>工程沿线野生重点保护植物分别分布于</w:t>
      </w:r>
      <w:r>
        <w:rPr>
          <w:rFonts w:ascii="宋体" w:hAnsi="宋体" w:eastAsia="宋体" w:cs="宋体"/>
          <w:sz w:val="24"/>
          <w:szCs w:val="24"/>
        </w:rPr>
        <w:t xml:space="preserve"> </w:t>
      </w:r>
      <w:r>
        <w:rPr>
          <w:rFonts w:ascii="宋体" w:hAnsi="宋体" w:eastAsia="宋体" w:cs="宋体"/>
          <w:spacing w:val="-1"/>
          <w:sz w:val="24"/>
          <w:szCs w:val="24"/>
        </w:rPr>
        <w:t>敖里隧道进口变电所西侧、</w:t>
      </w:r>
      <w:r>
        <w:rPr>
          <w:rFonts w:ascii="宋体" w:hAnsi="宋体" w:eastAsia="宋体" w:cs="宋体"/>
          <w:spacing w:val="-18"/>
          <w:sz w:val="24"/>
          <w:szCs w:val="24"/>
        </w:rPr>
        <w:t xml:space="preserve"> </w:t>
      </w:r>
      <w:r>
        <w:rPr>
          <w:rFonts w:ascii="Times New Roman" w:hAnsi="Times New Roman" w:eastAsia="Times New Roman" w:cs="Times New Roman"/>
          <w:spacing w:val="-1"/>
          <w:sz w:val="24"/>
          <w:szCs w:val="24"/>
        </w:rPr>
        <w:t>K0+400</w:t>
      </w:r>
      <w:r>
        <w:rPr>
          <w:rFonts w:ascii="Times New Roman" w:hAnsi="Times New Roman" w:eastAsia="Times New Roman" w:cs="Times New Roman"/>
          <w:spacing w:val="29"/>
          <w:w w:val="101"/>
          <w:sz w:val="24"/>
          <w:szCs w:val="24"/>
        </w:rPr>
        <w:t xml:space="preserve"> </w:t>
      </w:r>
      <w:r>
        <w:rPr>
          <w:rFonts w:ascii="宋体" w:hAnsi="宋体" w:eastAsia="宋体" w:cs="宋体"/>
          <w:spacing w:val="-1"/>
          <w:sz w:val="24"/>
          <w:szCs w:val="24"/>
        </w:rPr>
        <w:t>到严驮岙道路南侧、</w:t>
      </w:r>
      <w:r>
        <w:rPr>
          <w:rFonts w:ascii="Times New Roman" w:hAnsi="Times New Roman" w:eastAsia="Times New Roman" w:cs="Times New Roman"/>
          <w:spacing w:val="-1"/>
          <w:sz w:val="24"/>
          <w:szCs w:val="24"/>
        </w:rPr>
        <w:t>L2K1+100</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南侧山体，</w:t>
      </w:r>
      <w:r>
        <w:rPr>
          <w:rFonts w:ascii="宋体" w:hAnsi="宋体" w:eastAsia="宋体" w:cs="宋体"/>
          <w:sz w:val="24"/>
          <w:szCs w:val="24"/>
        </w:rPr>
        <w:t xml:space="preserve">  </w:t>
      </w:r>
      <w:r>
        <w:rPr>
          <w:rFonts w:ascii="宋体" w:hAnsi="宋体" w:eastAsia="宋体" w:cs="宋体"/>
          <w:spacing w:val="1"/>
          <w:sz w:val="24"/>
          <w:szCs w:val="24"/>
        </w:rPr>
        <w:t>与路线均有一定距离。本工程施工过程中没有涉及到古树名木和重点保护植物，</w:t>
      </w:r>
      <w:r>
        <w:rPr>
          <w:rFonts w:ascii="宋体" w:hAnsi="宋体" w:eastAsia="宋体" w:cs="宋体"/>
          <w:spacing w:val="9"/>
          <w:sz w:val="24"/>
          <w:szCs w:val="24"/>
        </w:rPr>
        <w:t xml:space="preserve"> </w:t>
      </w:r>
      <w:r>
        <w:rPr>
          <w:rFonts w:ascii="宋体" w:hAnsi="宋体" w:eastAsia="宋体" w:cs="宋体"/>
          <w:spacing w:val="1"/>
          <w:sz w:val="24"/>
          <w:szCs w:val="24"/>
        </w:rPr>
        <w:t>工程施工过程对施工人员进行宣传教育，</w:t>
      </w:r>
      <w:r>
        <w:rPr>
          <w:rFonts w:ascii="宋体" w:hAnsi="宋体" w:eastAsia="宋体" w:cs="宋体"/>
          <w:spacing w:val="67"/>
          <w:sz w:val="24"/>
          <w:szCs w:val="24"/>
        </w:rPr>
        <w:t xml:space="preserve"> </w:t>
      </w:r>
      <w:r>
        <w:rPr>
          <w:rFonts w:ascii="宋体" w:hAnsi="宋体" w:eastAsia="宋体" w:cs="宋体"/>
          <w:spacing w:val="1"/>
          <w:sz w:val="24"/>
          <w:szCs w:val="24"/>
        </w:rPr>
        <w:t>对其做好保护，不随意扩大施工</w:t>
      </w:r>
      <w:r>
        <w:rPr>
          <w:rFonts w:ascii="宋体" w:hAnsi="宋体" w:eastAsia="宋体" w:cs="宋体"/>
          <w:sz w:val="24"/>
          <w:szCs w:val="24"/>
        </w:rPr>
        <w:t>活动</w:t>
      </w:r>
    </w:p>
    <w:p>
      <w:pPr>
        <w:spacing w:before="1" w:line="218" w:lineRule="auto"/>
        <w:ind w:left="55"/>
        <w:rPr>
          <w:rFonts w:ascii="宋体" w:hAnsi="宋体" w:eastAsia="宋体" w:cs="宋体"/>
          <w:sz w:val="24"/>
          <w:szCs w:val="24"/>
        </w:rPr>
      </w:pPr>
      <w:r>
        <w:rPr>
          <w:rFonts w:ascii="宋体" w:hAnsi="宋体" w:eastAsia="宋体" w:cs="宋体"/>
          <w:sz w:val="24"/>
          <w:szCs w:val="24"/>
        </w:rPr>
        <w:t>区域，基本不影响其生长分布。</w:t>
      </w:r>
    </w:p>
    <w:p>
      <w:pPr>
        <w:spacing w:before="181" w:line="220" w:lineRule="auto"/>
        <w:ind w:left="529"/>
        <w:rPr>
          <w:rFonts w:ascii="宋体" w:hAnsi="宋体" w:eastAsia="宋体" w:cs="宋体"/>
          <w:sz w:val="24"/>
          <w:szCs w:val="24"/>
        </w:rPr>
      </w:pPr>
      <w:r>
        <w:rPr>
          <w:rFonts w:ascii="Times New Roman" w:hAnsi="Times New Roman" w:eastAsia="Times New Roman" w:cs="Times New Roman"/>
          <w:spacing w:val="3"/>
          <w:sz w:val="24"/>
          <w:szCs w:val="24"/>
        </w:rPr>
        <w:t>5</w:t>
      </w:r>
      <w:r>
        <w:rPr>
          <w:rFonts w:ascii="宋体" w:hAnsi="宋体" w:eastAsia="宋体" w:cs="宋体"/>
          <w:spacing w:val="3"/>
          <w:sz w:val="24"/>
          <w:szCs w:val="24"/>
        </w:rPr>
        <w:t>、对林地、生态公益林的保护措施</w:t>
      </w:r>
    </w:p>
    <w:p>
      <w:pPr>
        <w:spacing w:before="182" w:line="359" w:lineRule="auto"/>
        <w:ind w:left="37" w:right="59" w:firstLine="489"/>
        <w:rPr>
          <w:rFonts w:ascii="宋体" w:hAnsi="宋体" w:eastAsia="宋体" w:cs="宋体"/>
          <w:sz w:val="24"/>
          <w:szCs w:val="24"/>
        </w:rPr>
      </w:pPr>
      <w:r>
        <w:rPr>
          <w:rFonts w:ascii="宋体" w:hAnsi="宋体" w:eastAsia="宋体" w:cs="宋体"/>
          <w:spacing w:val="2"/>
          <w:sz w:val="24"/>
          <w:szCs w:val="24"/>
        </w:rPr>
        <w:t>施工期严格施工规范，对施工人员进行培训，禁止</w:t>
      </w:r>
      <w:r>
        <w:rPr>
          <w:rFonts w:ascii="宋体" w:hAnsi="宋体" w:eastAsia="宋体" w:cs="宋体"/>
          <w:spacing w:val="1"/>
          <w:sz w:val="24"/>
          <w:szCs w:val="24"/>
        </w:rPr>
        <w:t>砍伐作业带以外的林地。</w:t>
      </w:r>
      <w:r>
        <w:rPr>
          <w:rFonts w:ascii="宋体" w:hAnsi="宋体" w:eastAsia="宋体" w:cs="宋体"/>
          <w:sz w:val="24"/>
          <w:szCs w:val="24"/>
        </w:rPr>
        <w:t xml:space="preserve"> </w:t>
      </w:r>
      <w:r>
        <w:rPr>
          <w:rFonts w:ascii="宋体" w:hAnsi="宋体" w:eastAsia="宋体" w:cs="宋体"/>
          <w:spacing w:val="6"/>
          <w:sz w:val="24"/>
          <w:szCs w:val="24"/>
        </w:rPr>
        <w:t>施工生活营地和施工场地未设置在生态公益林内。施工结束后，临时占地则根</w:t>
      </w:r>
      <w:r>
        <w:rPr>
          <w:rFonts w:ascii="宋体" w:hAnsi="宋体" w:eastAsia="宋体" w:cs="宋体"/>
          <w:spacing w:val="18"/>
          <w:sz w:val="24"/>
          <w:szCs w:val="24"/>
        </w:rPr>
        <w:t xml:space="preserve"> </w:t>
      </w:r>
      <w:r>
        <w:rPr>
          <w:rFonts w:ascii="宋体" w:hAnsi="宋体" w:eastAsia="宋体" w:cs="宋体"/>
          <w:spacing w:val="6"/>
          <w:sz w:val="24"/>
          <w:szCs w:val="24"/>
        </w:rPr>
        <w:t>据原有土地功能的要求，恢复林地或其原有功能。此外，工程建成后通过对路</w:t>
      </w:r>
    </w:p>
    <w:p>
      <w:pPr>
        <w:spacing w:before="1" w:line="219" w:lineRule="auto"/>
        <w:ind w:left="38"/>
        <w:rPr>
          <w:rFonts w:ascii="宋体" w:hAnsi="宋体" w:eastAsia="宋体" w:cs="宋体"/>
          <w:sz w:val="24"/>
          <w:szCs w:val="24"/>
        </w:rPr>
      </w:pPr>
      <w:r>
        <w:rPr>
          <w:rFonts w:ascii="宋体" w:hAnsi="宋体" w:eastAsia="宋体" w:cs="宋体"/>
          <w:spacing w:val="4"/>
          <w:sz w:val="24"/>
          <w:szCs w:val="24"/>
        </w:rPr>
        <w:t>基边坡进行草灌结合绿化，引入乡土物种，可以弥补部分损失。</w:t>
      </w:r>
    </w:p>
    <w:p>
      <w:pPr>
        <w:spacing w:before="184" w:line="359" w:lineRule="auto"/>
        <w:ind w:left="39" w:right="141" w:firstLine="500"/>
        <w:rPr>
          <w:rFonts w:ascii="宋体" w:hAnsi="宋体" w:eastAsia="宋体" w:cs="宋体"/>
          <w:sz w:val="24"/>
          <w:szCs w:val="24"/>
        </w:rPr>
      </w:pPr>
      <w:r>
        <w:rPr>
          <w:rFonts w:ascii="宋体" w:hAnsi="宋体" w:eastAsia="宋体" w:cs="宋体"/>
          <w:spacing w:val="6"/>
          <w:sz w:val="24"/>
          <w:szCs w:val="24"/>
        </w:rPr>
        <w:t>隧道穿越生态公益林路段，施工期对隧道上方植被长</w:t>
      </w:r>
      <w:r>
        <w:rPr>
          <w:rFonts w:ascii="宋体" w:hAnsi="宋体" w:eastAsia="宋体" w:cs="宋体"/>
          <w:spacing w:val="5"/>
          <w:sz w:val="24"/>
          <w:szCs w:val="24"/>
        </w:rPr>
        <w:t>势进行的跟踪，隧道</w:t>
      </w:r>
      <w:r>
        <w:rPr>
          <w:rFonts w:ascii="宋体" w:hAnsi="宋体" w:eastAsia="宋体" w:cs="宋体"/>
          <w:sz w:val="24"/>
          <w:szCs w:val="24"/>
        </w:rPr>
        <w:t xml:space="preserve"> </w:t>
      </w:r>
      <w:r>
        <w:rPr>
          <w:rFonts w:ascii="宋体" w:hAnsi="宋体" w:eastAsia="宋体" w:cs="宋体"/>
          <w:spacing w:val="1"/>
          <w:sz w:val="24"/>
          <w:szCs w:val="24"/>
        </w:rPr>
        <w:t>渗水影响植被生长，</w:t>
      </w:r>
      <w:r>
        <w:rPr>
          <w:rFonts w:ascii="宋体" w:hAnsi="宋体" w:eastAsia="宋体" w:cs="宋体"/>
          <w:spacing w:val="73"/>
          <w:sz w:val="24"/>
          <w:szCs w:val="24"/>
        </w:rPr>
        <w:t xml:space="preserve"> </w:t>
      </w:r>
      <w:r>
        <w:rPr>
          <w:rFonts w:ascii="宋体" w:hAnsi="宋体" w:eastAsia="宋体" w:cs="宋体"/>
          <w:spacing w:val="1"/>
          <w:sz w:val="24"/>
          <w:szCs w:val="24"/>
        </w:rPr>
        <w:t>则采取相关的补水措施。在施工期内，通</w:t>
      </w:r>
      <w:r>
        <w:rPr>
          <w:rFonts w:ascii="宋体" w:hAnsi="宋体" w:eastAsia="宋体" w:cs="宋体"/>
          <w:sz w:val="24"/>
          <w:szCs w:val="24"/>
        </w:rPr>
        <w:t xml:space="preserve">过培训加强施工 </w:t>
      </w:r>
      <w:r>
        <w:rPr>
          <w:rFonts w:ascii="宋体" w:hAnsi="宋体" w:eastAsia="宋体" w:cs="宋体"/>
          <w:spacing w:val="6"/>
          <w:sz w:val="24"/>
          <w:szCs w:val="24"/>
        </w:rPr>
        <w:t>人员对生态公益林的保护，树立保护标识，严格按照用地部门审批的永久占地</w:t>
      </w:r>
    </w:p>
    <w:p>
      <w:pPr>
        <w:spacing w:line="219" w:lineRule="auto"/>
        <w:ind w:left="39"/>
        <w:rPr>
          <w:rFonts w:ascii="宋体" w:hAnsi="宋体" w:eastAsia="宋体" w:cs="宋体"/>
          <w:sz w:val="24"/>
          <w:szCs w:val="24"/>
        </w:rPr>
      </w:pPr>
      <w:r>
        <w:rPr>
          <w:rFonts w:ascii="宋体" w:hAnsi="宋体" w:eastAsia="宋体" w:cs="宋体"/>
          <w:spacing w:val="4"/>
          <w:sz w:val="24"/>
          <w:szCs w:val="24"/>
        </w:rPr>
        <w:t>和临时占地范围设置施工场地。制止破坏林地、林木的行为。</w:t>
      </w:r>
    </w:p>
    <w:p>
      <w:pPr>
        <w:spacing w:before="181" w:line="220" w:lineRule="auto"/>
        <w:ind w:left="37"/>
        <w:outlineLvl w:val="1"/>
        <w:rPr>
          <w:rFonts w:ascii="宋体" w:hAnsi="宋体" w:eastAsia="宋体" w:cs="宋体"/>
          <w:sz w:val="24"/>
          <w:szCs w:val="24"/>
        </w:rPr>
      </w:pPr>
      <w:r>
        <w:fldChar w:fldCharType="begin"/>
      </w:r>
      <w:r>
        <w:instrText xml:space="preserve"> HYPERLINK "6.5.1.2" </w:instrText>
      </w:r>
      <w:r>
        <w:fldChar w:fldCharType="separate"/>
      </w:r>
      <w:r>
        <w:rPr>
          <w:rFonts w:ascii="Times New Roman" w:hAnsi="Times New Roman" w:eastAsia="Times New Roman" w:cs="Times New Roman"/>
          <w:b/>
          <w:bCs/>
          <w:spacing w:val="2"/>
          <w:sz w:val="24"/>
          <w:szCs w:val="24"/>
        </w:rPr>
        <w:t>6.5.1.2</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2"/>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动物保护措施</w:t>
      </w:r>
    </w:p>
    <w:p>
      <w:pPr>
        <w:spacing w:before="181" w:line="359" w:lineRule="auto"/>
        <w:ind w:left="38" w:right="77" w:firstLine="488"/>
        <w:jc w:val="both"/>
        <w:rPr>
          <w:rFonts w:ascii="宋体" w:hAnsi="宋体" w:eastAsia="宋体" w:cs="宋体"/>
          <w:sz w:val="24"/>
          <w:szCs w:val="24"/>
        </w:rPr>
      </w:pPr>
      <w:r>
        <w:rPr>
          <w:rFonts w:ascii="宋体" w:hAnsi="宋体" w:eastAsia="宋体" w:cs="宋体"/>
          <w:spacing w:val="-7"/>
          <w:sz w:val="24"/>
          <w:szCs w:val="24"/>
        </w:rPr>
        <w:t>在林地较密集路段施工优化施工方案，</w:t>
      </w:r>
      <w:r>
        <w:rPr>
          <w:rFonts w:ascii="宋体" w:hAnsi="宋体" w:eastAsia="宋体" w:cs="宋体"/>
          <w:spacing w:val="36"/>
          <w:sz w:val="24"/>
          <w:szCs w:val="24"/>
        </w:rPr>
        <w:t xml:space="preserve"> </w:t>
      </w:r>
      <w:r>
        <w:rPr>
          <w:rFonts w:ascii="宋体" w:hAnsi="宋体" w:eastAsia="宋体" w:cs="宋体"/>
          <w:spacing w:val="-7"/>
          <w:sz w:val="24"/>
          <w:szCs w:val="24"/>
        </w:rPr>
        <w:t>抓紧施工进度， 缩短施工作业时</w:t>
      </w:r>
      <w:r>
        <w:rPr>
          <w:rFonts w:ascii="宋体" w:hAnsi="宋体" w:eastAsia="宋体" w:cs="宋体"/>
          <w:spacing w:val="-8"/>
          <w:sz w:val="24"/>
          <w:szCs w:val="24"/>
        </w:rPr>
        <w:t>间，</w:t>
      </w:r>
      <w:r>
        <w:rPr>
          <w:rFonts w:ascii="宋体" w:hAnsi="宋体" w:eastAsia="宋体" w:cs="宋体"/>
          <w:sz w:val="24"/>
          <w:szCs w:val="24"/>
        </w:rPr>
        <w:t xml:space="preserve"> </w:t>
      </w:r>
      <w:r>
        <w:rPr>
          <w:rFonts w:ascii="宋体" w:hAnsi="宋体" w:eastAsia="宋体" w:cs="宋体"/>
          <w:spacing w:val="1"/>
          <w:sz w:val="24"/>
          <w:szCs w:val="24"/>
        </w:rPr>
        <w:t>减少爆破作业。</w:t>
      </w:r>
      <w:r>
        <w:rPr>
          <w:rFonts w:ascii="宋体" w:hAnsi="宋体" w:eastAsia="宋体" w:cs="宋体"/>
          <w:spacing w:val="65"/>
          <w:sz w:val="24"/>
          <w:szCs w:val="24"/>
        </w:rPr>
        <w:t xml:space="preserve"> </w:t>
      </w:r>
      <w:r>
        <w:rPr>
          <w:rFonts w:ascii="宋体" w:hAnsi="宋体" w:eastAsia="宋体" w:cs="宋体"/>
          <w:spacing w:val="1"/>
          <w:sz w:val="24"/>
          <w:szCs w:val="24"/>
        </w:rPr>
        <w:t>施工时间避开野生动物活动的高峰时段。施工期间遇常见野生</w:t>
      </w:r>
      <w:r>
        <w:rPr>
          <w:rFonts w:ascii="宋体" w:hAnsi="宋体" w:eastAsia="宋体" w:cs="宋体"/>
          <w:sz w:val="24"/>
          <w:szCs w:val="24"/>
        </w:rPr>
        <w:t xml:space="preserve"> </w:t>
      </w:r>
      <w:r>
        <w:rPr>
          <w:rFonts w:ascii="宋体" w:hAnsi="宋体" w:eastAsia="宋体" w:cs="宋体"/>
          <w:spacing w:val="6"/>
          <w:sz w:val="24"/>
          <w:szCs w:val="24"/>
        </w:rPr>
        <w:t>动物进行避让或驱赶。施工期间加强施工人员的各类卫生管理，最大限度</w:t>
      </w:r>
      <w:r>
        <w:rPr>
          <w:rFonts w:ascii="宋体" w:hAnsi="宋体" w:eastAsia="宋体" w:cs="宋体"/>
          <w:spacing w:val="5"/>
          <w:sz w:val="24"/>
          <w:szCs w:val="24"/>
        </w:rPr>
        <w:t>保护</w:t>
      </w:r>
    </w:p>
    <w:p>
      <w:pPr>
        <w:spacing w:before="1" w:line="220" w:lineRule="auto"/>
        <w:ind w:left="39"/>
        <w:rPr>
          <w:rFonts w:ascii="宋体" w:hAnsi="宋体" w:eastAsia="宋体" w:cs="宋体"/>
          <w:sz w:val="24"/>
          <w:szCs w:val="24"/>
        </w:rPr>
      </w:pPr>
      <w:r>
        <w:rPr>
          <w:rFonts w:ascii="宋体" w:hAnsi="宋体" w:eastAsia="宋体" w:cs="宋体"/>
          <w:spacing w:val="-5"/>
          <w:sz w:val="24"/>
          <w:szCs w:val="24"/>
        </w:rPr>
        <w:t>动物生境。</w:t>
      </w:r>
    </w:p>
    <w:p>
      <w:pPr>
        <w:spacing w:before="181" w:line="220" w:lineRule="auto"/>
        <w:ind w:left="37"/>
        <w:outlineLvl w:val="1"/>
        <w:rPr>
          <w:rFonts w:ascii="宋体" w:hAnsi="宋体" w:eastAsia="宋体" w:cs="宋体"/>
          <w:sz w:val="24"/>
          <w:szCs w:val="24"/>
        </w:rPr>
      </w:pPr>
      <w:r>
        <w:fldChar w:fldCharType="begin"/>
      </w:r>
      <w:r>
        <w:instrText xml:space="preserve"> HYPERLINK "6.5.1.2" </w:instrText>
      </w:r>
      <w:r>
        <w:fldChar w:fldCharType="separate"/>
      </w:r>
      <w:r>
        <w:rPr>
          <w:rFonts w:ascii="Times New Roman" w:hAnsi="Times New Roman" w:eastAsia="Times New Roman" w:cs="Times New Roman"/>
          <w:b/>
          <w:bCs/>
          <w:spacing w:val="2"/>
          <w:sz w:val="24"/>
          <w:szCs w:val="24"/>
        </w:rPr>
        <w:t>6.5.1.2</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21"/>
          <w:w w:val="101"/>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水生生物保护措施</w:t>
      </w:r>
    </w:p>
    <w:p>
      <w:pPr>
        <w:spacing w:before="180" w:line="468" w:lineRule="exact"/>
        <w:ind w:left="521"/>
        <w:rPr>
          <w:rFonts w:ascii="宋体" w:hAnsi="宋体" w:eastAsia="宋体" w:cs="宋体"/>
          <w:sz w:val="24"/>
          <w:szCs w:val="24"/>
        </w:rPr>
      </w:pPr>
      <w:r>
        <w:rPr>
          <w:rFonts w:ascii="宋体" w:hAnsi="宋体" w:eastAsia="宋体" w:cs="宋体"/>
          <w:spacing w:val="5"/>
          <w:position w:val="17"/>
          <w:sz w:val="24"/>
          <w:szCs w:val="24"/>
        </w:rPr>
        <w:t>本项目采用围堰或在枯水期进行施工，减少河道水质悬浮物增加的情</w:t>
      </w:r>
      <w:r>
        <w:rPr>
          <w:rFonts w:ascii="宋体" w:hAnsi="宋体" w:eastAsia="宋体" w:cs="宋体"/>
          <w:spacing w:val="4"/>
          <w:position w:val="17"/>
          <w:sz w:val="24"/>
          <w:szCs w:val="24"/>
        </w:rPr>
        <w:t>况，</w:t>
      </w:r>
    </w:p>
    <w:p>
      <w:pPr>
        <w:spacing w:before="1" w:line="219" w:lineRule="auto"/>
        <w:ind w:left="56"/>
        <w:rPr>
          <w:rFonts w:ascii="宋体" w:hAnsi="宋体" w:eastAsia="宋体" w:cs="宋体"/>
          <w:sz w:val="24"/>
          <w:szCs w:val="24"/>
        </w:rPr>
      </w:pPr>
      <w:r>
        <w:rPr>
          <w:rFonts w:ascii="宋体" w:hAnsi="宋体" w:eastAsia="宋体" w:cs="宋体"/>
          <w:spacing w:val="-5"/>
          <w:sz w:val="24"/>
          <w:szCs w:val="24"/>
        </w:rPr>
        <w:t>降低施工噪声。</w:t>
      </w:r>
    </w:p>
    <w:p>
      <w:pPr>
        <w:spacing w:before="180" w:line="220" w:lineRule="auto"/>
        <w:ind w:left="37"/>
        <w:outlineLvl w:val="1"/>
        <w:rPr>
          <w:rFonts w:ascii="宋体" w:hAnsi="宋体" w:eastAsia="宋体" w:cs="宋体"/>
          <w:sz w:val="24"/>
          <w:szCs w:val="24"/>
        </w:rPr>
      </w:pPr>
      <w:r>
        <w:rPr>
          <w:rFonts w:ascii="Times New Roman" w:hAnsi="Times New Roman" w:eastAsia="Times New Roman" w:cs="Times New Roman"/>
          <w:b/>
          <w:bCs/>
          <w:spacing w:val="2"/>
          <w:sz w:val="24"/>
          <w:szCs w:val="24"/>
        </w:rPr>
        <w:t>6.5.2</w:t>
      </w:r>
      <w:r>
        <w:rPr>
          <w:rFonts w:ascii="Times New Roman" w:hAnsi="Times New Roman" w:eastAsia="Times New Roman" w:cs="Times New Roman"/>
          <w:b/>
          <w:bCs/>
          <w:spacing w:val="35"/>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营运期生态环境保护措施</w:t>
      </w:r>
    </w:p>
    <w:p>
      <w:pPr>
        <w:spacing w:before="182" w:line="219" w:lineRule="auto"/>
        <w:ind w:left="546"/>
        <w:rPr>
          <w:rFonts w:ascii="宋体" w:hAnsi="宋体" w:eastAsia="宋体" w:cs="宋体"/>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、凡因公路施工破坏植被而裸露的土地均应在施工结束后立即整治</w:t>
      </w:r>
      <w:r>
        <w:rPr>
          <w:rFonts w:ascii="宋体" w:hAnsi="宋体" w:eastAsia="宋体" w:cs="宋体"/>
          <w:spacing w:val="1"/>
          <w:sz w:val="24"/>
          <w:szCs w:val="24"/>
        </w:rPr>
        <w:t>利用，</w:t>
      </w:r>
    </w:p>
    <w:p>
      <w:pPr>
        <w:spacing w:line="219" w:lineRule="auto"/>
        <w:rPr>
          <w:rFonts w:ascii="宋体" w:hAnsi="宋体" w:eastAsia="宋体" w:cs="宋体"/>
          <w:sz w:val="24"/>
          <w:szCs w:val="24"/>
        </w:rPr>
        <w:sectPr>
          <w:footerReference r:id="rId337" w:type="default"/>
          <w:pgSz w:w="11907" w:h="16839"/>
          <w:pgMar w:top="1118" w:right="1670" w:bottom="1009" w:left="1673" w:header="877" w:footer="845" w:gutter="0"/>
          <w:cols w:space="720" w:num="1"/>
        </w:sectPr>
      </w:pPr>
    </w:p>
    <w:p>
      <w:pPr>
        <w:pStyle w:val="2"/>
        <w:spacing w:line="254" w:lineRule="auto"/>
      </w:pPr>
    </w:p>
    <w:p>
      <w:pPr>
        <w:spacing w:before="78" w:line="219" w:lineRule="auto"/>
        <w:ind w:left="40"/>
        <w:rPr>
          <w:rFonts w:ascii="宋体" w:hAnsi="宋体" w:eastAsia="宋体" w:cs="宋体"/>
          <w:sz w:val="24"/>
          <w:szCs w:val="24"/>
        </w:rPr>
      </w:pPr>
      <w:r>
        <w:rPr>
          <w:rFonts w:ascii="宋体" w:hAnsi="宋体" w:eastAsia="宋体" w:cs="宋体"/>
          <w:spacing w:val="4"/>
          <w:sz w:val="24"/>
          <w:szCs w:val="24"/>
        </w:rPr>
        <w:t>恢复植被或造田还耕，并持续关注土地的功能恢复情况。</w:t>
      </w:r>
    </w:p>
    <w:p>
      <w:pPr>
        <w:spacing w:before="182" w:line="220" w:lineRule="auto"/>
        <w:ind w:left="523"/>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、对公路沿线边坡进行植草防护，植被恢</w:t>
      </w:r>
      <w:r>
        <w:rPr>
          <w:rFonts w:ascii="宋体" w:hAnsi="宋体" w:eastAsia="宋体" w:cs="宋体"/>
          <w:spacing w:val="2"/>
          <w:sz w:val="24"/>
          <w:szCs w:val="24"/>
        </w:rPr>
        <w:t>复的物种应优先选择当地有的物</w:t>
      </w:r>
    </w:p>
    <w:p>
      <w:pPr>
        <w:spacing w:before="179" w:line="220" w:lineRule="auto"/>
        <w:ind w:left="38"/>
        <w:rPr>
          <w:rFonts w:ascii="宋体" w:hAnsi="宋体" w:eastAsia="宋体" w:cs="宋体"/>
          <w:sz w:val="24"/>
          <w:szCs w:val="24"/>
        </w:rPr>
      </w:pPr>
      <w:r>
        <w:rPr>
          <w:rFonts w:ascii="宋体" w:hAnsi="宋体" w:eastAsia="宋体" w:cs="宋体"/>
          <w:spacing w:val="3"/>
          <w:sz w:val="24"/>
          <w:szCs w:val="24"/>
        </w:rPr>
        <w:t>种，避免引来外来物种，影响当地物种的种群结构。</w:t>
      </w:r>
    </w:p>
    <w:p>
      <w:pPr>
        <w:spacing w:before="181" w:line="220" w:lineRule="auto"/>
        <w:ind w:left="52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、加强公路沿线控制带的绿化建设，做好绿化植被的管护工作。</w:t>
      </w:r>
    </w:p>
    <w:p>
      <w:pPr>
        <w:spacing w:before="183" w:line="220" w:lineRule="auto"/>
        <w:ind w:left="37"/>
        <w:outlineLvl w:val="1"/>
        <w:rPr>
          <w:rFonts w:ascii="宋体" w:hAnsi="宋体" w:eastAsia="宋体" w:cs="宋体"/>
          <w:sz w:val="24"/>
          <w:szCs w:val="24"/>
        </w:rPr>
      </w:pPr>
      <w:bookmarkStart w:id="48" w:name="bookmark43"/>
      <w:bookmarkEnd w:id="48"/>
      <w:r>
        <w:rPr>
          <w:rFonts w:ascii="Times New Roman" w:hAnsi="Times New Roman" w:eastAsia="Times New Roman" w:cs="Times New Roman"/>
          <w:b/>
          <w:bCs/>
          <w:spacing w:val="4"/>
          <w:sz w:val="24"/>
          <w:szCs w:val="24"/>
        </w:rPr>
        <w:t xml:space="preserve">6.6 </w:t>
      </w:r>
      <w:r>
        <w:rPr>
          <w:rFonts w:ascii="宋体" w:hAnsi="宋体" w:eastAsia="宋体" w:cs="宋体"/>
          <w:spacing w:val="4"/>
          <w:sz w:val="24"/>
          <w:szCs w:val="24"/>
          <w14:textOutline w14:w="4354" w14:cap="flat" w14:cmpd="sng">
            <w14:solidFill>
              <w14:srgbClr w14:val="000000"/>
            </w14:solidFill>
            <w14:prstDash w14:val="solid"/>
            <w14:miter w14:val="0"/>
          </w14:textOutline>
        </w:rPr>
        <w:t>环境风险防范措施及应急预案</w:t>
      </w:r>
    </w:p>
    <w:p>
      <w:pPr>
        <w:spacing w:before="179" w:line="220" w:lineRule="auto"/>
        <w:ind w:left="37"/>
        <w:outlineLvl w:val="1"/>
        <w:rPr>
          <w:rFonts w:ascii="宋体" w:hAnsi="宋体" w:eastAsia="宋体" w:cs="宋体"/>
          <w:sz w:val="24"/>
          <w:szCs w:val="24"/>
        </w:rPr>
      </w:pPr>
      <w:r>
        <w:fldChar w:fldCharType="begin"/>
      </w:r>
      <w:r>
        <w:instrText xml:space="preserve"> HYPERLINK "6.6.1.1" </w:instrText>
      </w:r>
      <w:r>
        <w:fldChar w:fldCharType="separate"/>
      </w:r>
      <w:r>
        <w:rPr>
          <w:rFonts w:ascii="Times New Roman" w:hAnsi="Times New Roman" w:eastAsia="Times New Roman" w:cs="Times New Roman"/>
          <w:b/>
          <w:bCs/>
          <w:spacing w:val="2"/>
          <w:sz w:val="24"/>
          <w:szCs w:val="24"/>
        </w:rPr>
        <w:t>6.6.1.1</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35"/>
          <w:w w:val="101"/>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一般路段的风险防范及管理</w:t>
      </w:r>
    </w:p>
    <w:p>
      <w:pPr>
        <w:spacing w:before="184" w:line="359" w:lineRule="auto"/>
        <w:ind w:left="36" w:firstLine="510"/>
        <w:jc w:val="both"/>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、安全设施设计，安全设施包括交通标志和监控设施，主要包括警告、禁</w:t>
      </w:r>
      <w:r>
        <w:rPr>
          <w:rFonts w:ascii="宋体" w:hAnsi="宋体" w:eastAsia="宋体" w:cs="宋体"/>
          <w:spacing w:val="12"/>
          <w:sz w:val="24"/>
          <w:szCs w:val="24"/>
        </w:rPr>
        <w:t xml:space="preserve"> </w:t>
      </w:r>
      <w:r>
        <w:rPr>
          <w:rFonts w:ascii="宋体" w:hAnsi="宋体" w:eastAsia="宋体" w:cs="宋体"/>
          <w:spacing w:val="2"/>
          <w:sz w:val="24"/>
          <w:szCs w:val="24"/>
        </w:rPr>
        <w:t>令、指示、指路、诱导、辅助等类型，重点部分为：在一般路段、互通立交出入</w:t>
      </w:r>
      <w:r>
        <w:rPr>
          <w:rFonts w:ascii="宋体" w:hAnsi="宋体" w:eastAsia="宋体" w:cs="宋体"/>
          <w:spacing w:val="11"/>
          <w:sz w:val="24"/>
          <w:szCs w:val="24"/>
        </w:rPr>
        <w:t xml:space="preserve"> </w:t>
      </w:r>
      <w:r>
        <w:rPr>
          <w:rFonts w:ascii="宋体" w:hAnsi="宋体" w:eastAsia="宋体" w:cs="宋体"/>
          <w:spacing w:val="4"/>
          <w:sz w:val="24"/>
          <w:szCs w:val="24"/>
        </w:rPr>
        <w:t>口、收费广场、视距确认路段等处设置完善的路面标线和警示设施；防撞护栏，</w:t>
      </w:r>
      <w:r>
        <w:rPr>
          <w:rFonts w:ascii="宋体" w:hAnsi="宋体" w:eastAsia="宋体" w:cs="宋体"/>
          <w:spacing w:val="14"/>
          <w:sz w:val="24"/>
          <w:szCs w:val="24"/>
        </w:rPr>
        <w:t xml:space="preserve"> </w:t>
      </w:r>
      <w:r>
        <w:rPr>
          <w:rFonts w:ascii="宋体" w:hAnsi="宋体" w:eastAsia="宋体" w:cs="宋体"/>
          <w:spacing w:val="2"/>
          <w:sz w:val="24"/>
          <w:szCs w:val="24"/>
        </w:rPr>
        <w:t>综合考虑路基填挖高度、路线平纵线形、敏感性、桥梁长度等因素，采用波形梁</w:t>
      </w:r>
      <w:r>
        <w:rPr>
          <w:rFonts w:ascii="宋体" w:hAnsi="宋体" w:eastAsia="宋体" w:cs="宋体"/>
          <w:spacing w:val="18"/>
          <w:sz w:val="24"/>
          <w:szCs w:val="24"/>
        </w:rPr>
        <w:t xml:space="preserve"> </w:t>
      </w:r>
      <w:r>
        <w:rPr>
          <w:rFonts w:ascii="宋体" w:hAnsi="宋体" w:eastAsia="宋体" w:cs="宋体"/>
          <w:spacing w:val="-3"/>
          <w:sz w:val="24"/>
          <w:szCs w:val="24"/>
        </w:rPr>
        <w:t>钢护栏或混凝土护栏形式；</w:t>
      </w:r>
      <w:r>
        <w:rPr>
          <w:rFonts w:ascii="宋体" w:hAnsi="宋体" w:eastAsia="宋体" w:cs="宋体"/>
          <w:spacing w:val="-6"/>
          <w:sz w:val="24"/>
          <w:szCs w:val="24"/>
        </w:rPr>
        <w:t xml:space="preserve"> </w:t>
      </w:r>
      <w:r>
        <w:rPr>
          <w:rFonts w:ascii="宋体" w:hAnsi="宋体" w:eastAsia="宋体" w:cs="宋体"/>
          <w:spacing w:val="-3"/>
          <w:sz w:val="24"/>
          <w:szCs w:val="24"/>
        </w:rPr>
        <w:t>防眩设施，中分带活动护栏上安全装防眩板，</w:t>
      </w:r>
      <w:r>
        <w:rPr>
          <w:rFonts w:ascii="宋体" w:hAnsi="宋体" w:eastAsia="宋体" w:cs="宋体"/>
          <w:spacing w:val="-41"/>
          <w:sz w:val="24"/>
          <w:szCs w:val="24"/>
        </w:rPr>
        <w:t xml:space="preserve"> </w:t>
      </w:r>
      <w:r>
        <w:rPr>
          <w:rFonts w:ascii="宋体" w:hAnsi="宋体" w:eastAsia="宋体" w:cs="宋体"/>
          <w:spacing w:val="-3"/>
          <w:sz w:val="24"/>
          <w:szCs w:val="24"/>
        </w:rPr>
        <w:t>在分隔</w:t>
      </w:r>
      <w:r>
        <w:rPr>
          <w:rFonts w:ascii="宋体" w:hAnsi="宋体" w:eastAsia="宋体" w:cs="宋体"/>
          <w:sz w:val="24"/>
          <w:szCs w:val="24"/>
        </w:rPr>
        <w:t xml:space="preserve"> </w:t>
      </w:r>
      <w:r>
        <w:rPr>
          <w:rFonts w:ascii="宋体" w:hAnsi="宋体" w:eastAsia="宋体" w:cs="宋体"/>
          <w:spacing w:val="7"/>
          <w:sz w:val="24"/>
          <w:szCs w:val="24"/>
        </w:rPr>
        <w:t>带宽度＜</w:t>
      </w:r>
      <w:r>
        <w:rPr>
          <w:rFonts w:ascii="Times New Roman" w:hAnsi="Times New Roman" w:eastAsia="Times New Roman" w:cs="Times New Roman"/>
          <w:spacing w:val="7"/>
          <w:sz w:val="24"/>
          <w:szCs w:val="24"/>
        </w:rPr>
        <w:t xml:space="preserve">9m  </w:t>
      </w:r>
      <w:r>
        <w:rPr>
          <w:rFonts w:ascii="宋体" w:hAnsi="宋体" w:eastAsia="宋体" w:cs="宋体"/>
          <w:spacing w:val="7"/>
          <w:sz w:val="24"/>
          <w:szCs w:val="24"/>
        </w:rPr>
        <w:t>上下车行道高差</w:t>
      </w:r>
      <w:r>
        <w:rPr>
          <w:rFonts w:ascii="Times New Roman" w:hAnsi="Times New Roman" w:eastAsia="Times New Roman" w:cs="Times New Roman"/>
          <w:spacing w:val="7"/>
          <w:sz w:val="24"/>
          <w:szCs w:val="24"/>
        </w:rPr>
        <w:t>≤2m</w:t>
      </w:r>
      <w:r>
        <w:rPr>
          <w:rFonts w:ascii="Times New Roman" w:hAnsi="Times New Roman" w:eastAsia="Times New Roman" w:cs="Times New Roman"/>
          <w:spacing w:val="21"/>
          <w:sz w:val="24"/>
          <w:szCs w:val="24"/>
        </w:rPr>
        <w:t xml:space="preserve">  </w:t>
      </w:r>
      <w:r>
        <w:rPr>
          <w:rFonts w:ascii="宋体" w:hAnsi="宋体" w:eastAsia="宋体" w:cs="宋体"/>
          <w:spacing w:val="7"/>
          <w:sz w:val="24"/>
          <w:szCs w:val="24"/>
        </w:rPr>
        <w:t>的路段内的桥梁上连续设置防眩板；防落物</w:t>
      </w:r>
      <w:r>
        <w:rPr>
          <w:rFonts w:ascii="宋体" w:hAnsi="宋体" w:eastAsia="宋体" w:cs="宋体"/>
          <w:sz w:val="24"/>
          <w:szCs w:val="24"/>
        </w:rPr>
        <w:t xml:space="preserve"> </w:t>
      </w:r>
      <w:r>
        <w:rPr>
          <w:rFonts w:ascii="宋体" w:hAnsi="宋体" w:eastAsia="宋体" w:cs="宋体"/>
          <w:spacing w:val="2"/>
          <w:sz w:val="24"/>
          <w:szCs w:val="24"/>
        </w:rPr>
        <w:t>网，在分离式立交桥上安装桥梁防落物网；视线诱导设施，全线均设柱式、附着</w:t>
      </w:r>
      <w:r>
        <w:rPr>
          <w:rFonts w:ascii="宋体" w:hAnsi="宋体" w:eastAsia="宋体" w:cs="宋体"/>
          <w:spacing w:val="12"/>
          <w:sz w:val="24"/>
          <w:szCs w:val="24"/>
        </w:rPr>
        <w:t xml:space="preserve"> </w:t>
      </w:r>
      <w:r>
        <w:rPr>
          <w:rFonts w:ascii="宋体" w:hAnsi="宋体" w:eastAsia="宋体" w:cs="宋体"/>
          <w:spacing w:val="-5"/>
          <w:sz w:val="24"/>
          <w:szCs w:val="24"/>
        </w:rPr>
        <w:t>式轮廓标或贴立面标记反光膜，</w:t>
      </w:r>
      <w:r>
        <w:rPr>
          <w:rFonts w:ascii="宋体" w:hAnsi="宋体" w:eastAsia="宋体" w:cs="宋体"/>
          <w:spacing w:val="-26"/>
          <w:sz w:val="24"/>
          <w:szCs w:val="24"/>
        </w:rPr>
        <w:t xml:space="preserve"> </w:t>
      </w:r>
      <w:r>
        <w:rPr>
          <w:rFonts w:ascii="宋体" w:hAnsi="宋体" w:eastAsia="宋体" w:cs="宋体"/>
          <w:spacing w:val="-5"/>
          <w:sz w:val="24"/>
          <w:szCs w:val="24"/>
        </w:rPr>
        <w:t>用以批示道路方向、车行道边界位置，诱导行车；</w:t>
      </w:r>
    </w:p>
    <w:p>
      <w:pPr>
        <w:spacing w:before="1" w:line="219" w:lineRule="auto"/>
        <w:ind w:left="53"/>
        <w:rPr>
          <w:rFonts w:ascii="宋体" w:hAnsi="宋体" w:eastAsia="宋体" w:cs="宋体"/>
          <w:sz w:val="24"/>
          <w:szCs w:val="24"/>
        </w:rPr>
      </w:pPr>
      <w:r>
        <w:rPr>
          <w:rFonts w:ascii="宋体" w:hAnsi="宋体" w:eastAsia="宋体" w:cs="宋体"/>
          <w:spacing w:val="2"/>
          <w:sz w:val="24"/>
          <w:szCs w:val="24"/>
        </w:rPr>
        <w:t>防撞设施，在车辆分流处护栏端头前端设防撞桶。</w:t>
      </w:r>
    </w:p>
    <w:p>
      <w:pPr>
        <w:spacing w:before="183" w:line="359" w:lineRule="auto"/>
        <w:ind w:left="37" w:right="60" w:firstLine="486"/>
        <w:jc w:val="both"/>
        <w:rPr>
          <w:rFonts w:ascii="宋体" w:hAnsi="宋体" w:eastAsia="宋体" w:cs="宋体"/>
          <w:sz w:val="24"/>
          <w:szCs w:val="24"/>
        </w:rPr>
      </w:pPr>
      <w:r>
        <w:rPr>
          <w:rFonts w:ascii="Times New Roman" w:hAnsi="Times New Roman" w:eastAsia="Times New Roman" w:cs="Times New Roman"/>
          <w:spacing w:val="6"/>
          <w:sz w:val="24"/>
          <w:szCs w:val="24"/>
        </w:rPr>
        <w:t>2</w:t>
      </w:r>
      <w:r>
        <w:rPr>
          <w:rFonts w:ascii="宋体" w:hAnsi="宋体" w:eastAsia="宋体" w:cs="宋体"/>
          <w:spacing w:val="6"/>
          <w:sz w:val="24"/>
          <w:szCs w:val="24"/>
        </w:rPr>
        <w:t>、加强车辆管理，加强车检工作，危险品承运人必须定期将运输车辆、运</w:t>
      </w:r>
      <w:r>
        <w:rPr>
          <w:rFonts w:ascii="宋体" w:hAnsi="宋体" w:eastAsia="宋体" w:cs="宋体"/>
          <w:spacing w:val="2"/>
          <w:sz w:val="24"/>
          <w:szCs w:val="24"/>
        </w:rPr>
        <w:t xml:space="preserve"> 输工具、罐车罐体和配载容器送质量监督部门认可的机构进行检测检验，取得检</w:t>
      </w:r>
      <w:r>
        <w:rPr>
          <w:rFonts w:ascii="宋体" w:hAnsi="宋体" w:eastAsia="宋体" w:cs="宋体"/>
          <w:spacing w:val="11"/>
          <w:sz w:val="24"/>
          <w:szCs w:val="24"/>
        </w:rPr>
        <w:t xml:space="preserve"> </w:t>
      </w:r>
      <w:r>
        <w:rPr>
          <w:rFonts w:ascii="宋体" w:hAnsi="宋体" w:eastAsia="宋体" w:cs="宋体"/>
          <w:spacing w:val="-6"/>
          <w:sz w:val="24"/>
          <w:szCs w:val="24"/>
        </w:rPr>
        <w:t>测检验合格证明；</w:t>
      </w:r>
      <w:r>
        <w:rPr>
          <w:rFonts w:ascii="宋体" w:hAnsi="宋体" w:eastAsia="宋体" w:cs="宋体"/>
          <w:spacing w:val="33"/>
          <w:sz w:val="24"/>
          <w:szCs w:val="24"/>
        </w:rPr>
        <w:t xml:space="preserve"> </w:t>
      </w:r>
      <w:r>
        <w:rPr>
          <w:rFonts w:ascii="宋体" w:hAnsi="宋体" w:eastAsia="宋体" w:cs="宋体"/>
          <w:spacing w:val="-6"/>
          <w:sz w:val="24"/>
          <w:szCs w:val="24"/>
        </w:rPr>
        <w:t>保证上路车辆车况良好，</w:t>
      </w:r>
      <w:r>
        <w:rPr>
          <w:rFonts w:ascii="宋体" w:hAnsi="宋体" w:eastAsia="宋体" w:cs="宋体"/>
          <w:spacing w:val="37"/>
          <w:sz w:val="24"/>
          <w:szCs w:val="24"/>
        </w:rPr>
        <w:t xml:space="preserve"> </w:t>
      </w:r>
      <w:r>
        <w:rPr>
          <w:rFonts w:ascii="宋体" w:hAnsi="宋体" w:eastAsia="宋体" w:cs="宋体"/>
          <w:spacing w:val="-6"/>
          <w:sz w:val="24"/>
          <w:szCs w:val="24"/>
        </w:rPr>
        <w:t>并为运</w:t>
      </w:r>
      <w:r>
        <w:rPr>
          <w:rFonts w:ascii="宋体" w:hAnsi="宋体" w:eastAsia="宋体" w:cs="宋体"/>
          <w:spacing w:val="-7"/>
          <w:sz w:val="24"/>
          <w:szCs w:val="24"/>
        </w:rPr>
        <w:t>输车辆配备应急处置器材和防</w:t>
      </w:r>
      <w:r>
        <w:rPr>
          <w:rFonts w:ascii="宋体" w:hAnsi="宋体" w:eastAsia="宋体" w:cs="宋体"/>
          <w:sz w:val="24"/>
          <w:szCs w:val="24"/>
        </w:rPr>
        <w:t xml:space="preserve"> </w:t>
      </w:r>
      <w:r>
        <w:rPr>
          <w:rFonts w:ascii="宋体" w:hAnsi="宋体" w:eastAsia="宋体" w:cs="宋体"/>
          <w:spacing w:val="3"/>
          <w:sz w:val="24"/>
          <w:szCs w:val="24"/>
        </w:rPr>
        <w:t>护用品；运输车辆必须安装符合《道路运输危险货物车辆标志》</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13393-2005)</w:t>
      </w:r>
      <w:r>
        <w:rPr>
          <w:rFonts w:ascii="Times New Roman" w:hAnsi="Times New Roman" w:eastAsia="Times New Roman" w:cs="Times New Roman"/>
          <w:sz w:val="24"/>
          <w:szCs w:val="24"/>
        </w:rPr>
        <w:t xml:space="preserve"> </w:t>
      </w:r>
      <w:r>
        <w:rPr>
          <w:rFonts w:ascii="宋体" w:hAnsi="宋体" w:eastAsia="宋体" w:cs="宋体"/>
          <w:spacing w:val="2"/>
          <w:sz w:val="24"/>
          <w:szCs w:val="24"/>
        </w:rPr>
        <w:t>要求的标志灯、标志牌；运输剧毒化学品的车辆还要安装载明品名、种类、施救</w:t>
      </w:r>
      <w:r>
        <w:rPr>
          <w:rFonts w:ascii="宋体" w:hAnsi="宋体" w:eastAsia="宋体" w:cs="宋体"/>
          <w:spacing w:val="11"/>
          <w:sz w:val="24"/>
          <w:szCs w:val="24"/>
        </w:rPr>
        <w:t xml:space="preserve"> </w:t>
      </w:r>
      <w:r>
        <w:rPr>
          <w:rFonts w:ascii="宋体" w:hAnsi="宋体" w:eastAsia="宋体" w:cs="宋体"/>
          <w:sz w:val="24"/>
          <w:szCs w:val="24"/>
        </w:rPr>
        <w:t>方法等内容的安全标示牌；</w:t>
      </w:r>
      <w:r>
        <w:rPr>
          <w:rFonts w:ascii="宋体" w:hAnsi="宋体" w:eastAsia="宋体" w:cs="宋体"/>
          <w:spacing w:val="-33"/>
          <w:sz w:val="24"/>
          <w:szCs w:val="24"/>
        </w:rPr>
        <w:t xml:space="preserve"> </w:t>
      </w:r>
      <w:r>
        <w:rPr>
          <w:rFonts w:ascii="宋体" w:hAnsi="宋体" w:eastAsia="宋体" w:cs="宋体"/>
          <w:sz w:val="24"/>
          <w:szCs w:val="24"/>
        </w:rPr>
        <w:t xml:space="preserve">依据国务院发布的《化学危险物品安全管理条例》有 </w:t>
      </w:r>
      <w:r>
        <w:rPr>
          <w:rFonts w:ascii="宋体" w:hAnsi="宋体" w:eastAsia="宋体" w:cs="宋体"/>
          <w:spacing w:val="2"/>
          <w:sz w:val="24"/>
          <w:szCs w:val="24"/>
        </w:rPr>
        <w:t>关要求，运输危险品须持有公安部门颁发的运输许可证、驾驶员执照及保安员证</w:t>
      </w:r>
      <w:r>
        <w:rPr>
          <w:rFonts w:ascii="宋体" w:hAnsi="宋体" w:eastAsia="宋体" w:cs="宋体"/>
          <w:spacing w:val="11"/>
          <w:sz w:val="24"/>
          <w:szCs w:val="24"/>
        </w:rPr>
        <w:t xml:space="preserve"> </w:t>
      </w:r>
      <w:r>
        <w:rPr>
          <w:rFonts w:ascii="宋体" w:hAnsi="宋体" w:eastAsia="宋体" w:cs="宋体"/>
          <w:sz w:val="24"/>
          <w:szCs w:val="24"/>
        </w:rPr>
        <w:t>书。所有从事化学危险货物运输的车辆，</w:t>
      </w:r>
      <w:r>
        <w:rPr>
          <w:rFonts w:ascii="宋体" w:hAnsi="宋体" w:eastAsia="宋体" w:cs="宋体"/>
          <w:spacing w:val="90"/>
          <w:sz w:val="24"/>
          <w:szCs w:val="24"/>
        </w:rPr>
        <w:t xml:space="preserve"> </w:t>
      </w:r>
      <w:r>
        <w:rPr>
          <w:rFonts w:ascii="宋体" w:hAnsi="宋体" w:eastAsia="宋体" w:cs="宋体"/>
          <w:sz w:val="24"/>
          <w:szCs w:val="24"/>
        </w:rPr>
        <w:t>必须在车前醒目位置悬挂黄底黑字</w:t>
      </w:r>
      <w:r>
        <w:rPr>
          <w:rFonts w:ascii="Times New Roman" w:hAnsi="Times New Roman" w:eastAsia="Times New Roman" w:cs="Times New Roman"/>
          <w:sz w:val="24"/>
          <w:szCs w:val="24"/>
        </w:rPr>
        <w:t>“</w:t>
      </w:r>
      <w:r>
        <w:rPr>
          <w:rFonts w:ascii="Times New Roman" w:hAnsi="Times New Roman" w:eastAsia="Times New Roman" w:cs="Times New Roman"/>
          <w:spacing w:val="-44"/>
          <w:sz w:val="24"/>
          <w:szCs w:val="24"/>
        </w:rPr>
        <w:t xml:space="preserve"> </w:t>
      </w:r>
      <w:r>
        <w:rPr>
          <w:rFonts w:ascii="宋体" w:hAnsi="宋体" w:eastAsia="宋体" w:cs="宋体"/>
          <w:sz w:val="24"/>
          <w:szCs w:val="24"/>
        </w:rPr>
        <w:t xml:space="preserve">危 </w:t>
      </w:r>
      <w:r>
        <w:rPr>
          <w:rFonts w:ascii="宋体" w:hAnsi="宋体" w:eastAsia="宋体" w:cs="宋体"/>
          <w:spacing w:val="6"/>
          <w:sz w:val="24"/>
          <w:szCs w:val="24"/>
        </w:rPr>
        <w:t>险品</w:t>
      </w:r>
      <w:r>
        <w:rPr>
          <w:rFonts w:ascii="Times New Roman" w:hAnsi="Times New Roman" w:eastAsia="Times New Roman" w:cs="Times New Roman"/>
          <w:spacing w:val="6"/>
          <w:sz w:val="24"/>
          <w:szCs w:val="24"/>
        </w:rPr>
        <w:t>”</w:t>
      </w:r>
      <w:r>
        <w:rPr>
          <w:rFonts w:ascii="宋体" w:hAnsi="宋体" w:eastAsia="宋体" w:cs="宋体"/>
          <w:spacing w:val="6"/>
          <w:sz w:val="24"/>
          <w:szCs w:val="24"/>
        </w:rPr>
        <w:t>字样的三角旗，危险品车辆上路必须事先通知道路管理部门，接受上路安</w:t>
      </w:r>
    </w:p>
    <w:p>
      <w:pPr>
        <w:spacing w:before="1" w:line="219" w:lineRule="auto"/>
        <w:ind w:left="38"/>
        <w:rPr>
          <w:rFonts w:ascii="宋体" w:hAnsi="宋体" w:eastAsia="宋体" w:cs="宋体"/>
          <w:sz w:val="24"/>
          <w:szCs w:val="24"/>
        </w:rPr>
      </w:pPr>
      <w:r>
        <w:rPr>
          <w:rFonts w:ascii="宋体" w:hAnsi="宋体" w:eastAsia="宋体" w:cs="宋体"/>
          <w:spacing w:val="1"/>
          <w:sz w:val="24"/>
          <w:szCs w:val="24"/>
        </w:rPr>
        <w:t>全检查，严格禁止车辆超载。</w:t>
      </w:r>
    </w:p>
    <w:p>
      <w:pPr>
        <w:spacing w:before="183" w:line="359" w:lineRule="auto"/>
        <w:ind w:left="51" w:right="66" w:firstLine="476"/>
        <w:jc w:val="both"/>
        <w:rPr>
          <w:rFonts w:ascii="宋体" w:hAnsi="宋体" w:eastAsia="宋体" w:cs="宋体"/>
          <w:sz w:val="24"/>
          <w:szCs w:val="24"/>
        </w:rPr>
      </w:pPr>
      <w:r>
        <w:rPr>
          <w:rFonts w:ascii="Times New Roman" w:hAnsi="Times New Roman" w:eastAsia="Times New Roman" w:cs="Times New Roman"/>
          <w:spacing w:val="6"/>
          <w:sz w:val="24"/>
          <w:szCs w:val="24"/>
        </w:rPr>
        <w:t>3</w:t>
      </w:r>
      <w:r>
        <w:rPr>
          <w:rFonts w:ascii="宋体" w:hAnsi="宋体" w:eastAsia="宋体" w:cs="宋体"/>
          <w:spacing w:val="6"/>
          <w:sz w:val="24"/>
          <w:szCs w:val="24"/>
        </w:rPr>
        <w:t>、工程道路监控中心应对危险品运输车辆严密监控，同时使用可变</w:t>
      </w:r>
      <w:r>
        <w:rPr>
          <w:rFonts w:ascii="宋体" w:hAnsi="宋体" w:eastAsia="宋体" w:cs="宋体"/>
          <w:spacing w:val="5"/>
          <w:sz w:val="24"/>
          <w:szCs w:val="24"/>
        </w:rPr>
        <w:t>情报板</w:t>
      </w:r>
      <w:r>
        <w:rPr>
          <w:rFonts w:ascii="宋体" w:hAnsi="宋体" w:eastAsia="宋体" w:cs="宋体"/>
          <w:sz w:val="24"/>
          <w:szCs w:val="24"/>
        </w:rPr>
        <w:t xml:space="preserve"> 随时警示容易诱发交通事故的恶劣天气或危险路况，</w:t>
      </w:r>
      <w:r>
        <w:rPr>
          <w:rFonts w:ascii="宋体" w:hAnsi="宋体" w:eastAsia="宋体" w:cs="宋体"/>
          <w:spacing w:val="-47"/>
          <w:sz w:val="24"/>
          <w:szCs w:val="24"/>
        </w:rPr>
        <w:t xml:space="preserve"> </w:t>
      </w:r>
      <w:r>
        <w:rPr>
          <w:rFonts w:ascii="宋体" w:hAnsi="宋体" w:eastAsia="宋体" w:cs="宋体"/>
          <w:sz w:val="24"/>
          <w:szCs w:val="24"/>
        </w:rPr>
        <w:t>提前采取限制行车速度或封</w:t>
      </w:r>
    </w:p>
    <w:p>
      <w:pPr>
        <w:spacing w:line="219" w:lineRule="auto"/>
        <w:ind w:left="61"/>
        <w:rPr>
          <w:rFonts w:ascii="宋体" w:hAnsi="宋体" w:eastAsia="宋体" w:cs="宋体"/>
          <w:sz w:val="24"/>
          <w:szCs w:val="24"/>
        </w:rPr>
      </w:pPr>
      <w:r>
        <w:rPr>
          <w:rFonts w:ascii="宋体" w:hAnsi="宋体" w:eastAsia="宋体" w:cs="宋体"/>
          <w:spacing w:val="1"/>
          <w:sz w:val="24"/>
          <w:szCs w:val="24"/>
        </w:rPr>
        <w:t>闭局部路段等积极、主动的风险防范措施。</w:t>
      </w:r>
    </w:p>
    <w:p>
      <w:pPr>
        <w:spacing w:before="180" w:line="469" w:lineRule="exact"/>
        <w:jc w:val="right"/>
        <w:rPr>
          <w:rFonts w:ascii="宋体" w:hAnsi="宋体" w:eastAsia="宋体" w:cs="宋体"/>
          <w:sz w:val="24"/>
          <w:szCs w:val="24"/>
        </w:rPr>
      </w:pPr>
      <w:r>
        <w:rPr>
          <w:rFonts w:ascii="Times New Roman" w:hAnsi="Times New Roman" w:eastAsia="Times New Roman" w:cs="Times New Roman"/>
          <w:spacing w:val="1"/>
          <w:position w:val="17"/>
          <w:sz w:val="24"/>
          <w:szCs w:val="24"/>
        </w:rPr>
        <w:t>4</w:t>
      </w:r>
      <w:r>
        <w:rPr>
          <w:rFonts w:ascii="宋体" w:hAnsi="宋体" w:eastAsia="宋体" w:cs="宋体"/>
          <w:spacing w:val="1"/>
          <w:position w:val="17"/>
          <w:sz w:val="24"/>
          <w:szCs w:val="24"/>
        </w:rPr>
        <w:t>、工程营运单位应制定处置危险化学品车辆运输突发环境事</w:t>
      </w:r>
      <w:r>
        <w:rPr>
          <w:rFonts w:ascii="宋体" w:hAnsi="宋体" w:eastAsia="宋体" w:cs="宋体"/>
          <w:position w:val="17"/>
          <w:sz w:val="24"/>
          <w:szCs w:val="24"/>
        </w:rPr>
        <w:t>件的应急预案，</w:t>
      </w:r>
    </w:p>
    <w:p>
      <w:pPr>
        <w:spacing w:before="1" w:line="218" w:lineRule="auto"/>
        <w:ind w:left="36"/>
        <w:rPr>
          <w:rFonts w:ascii="宋体" w:hAnsi="宋体" w:eastAsia="宋体" w:cs="宋体"/>
          <w:sz w:val="24"/>
          <w:szCs w:val="24"/>
        </w:rPr>
      </w:pPr>
      <w:r>
        <w:rPr>
          <w:rFonts w:ascii="宋体" w:hAnsi="宋体" w:eastAsia="宋体" w:cs="宋体"/>
          <w:spacing w:val="-2"/>
          <w:sz w:val="24"/>
          <w:szCs w:val="24"/>
        </w:rPr>
        <w:t>进行必要的演练；</w:t>
      </w:r>
      <w:r>
        <w:rPr>
          <w:rFonts w:ascii="宋体" w:hAnsi="宋体" w:eastAsia="宋体" w:cs="宋体"/>
          <w:spacing w:val="38"/>
          <w:sz w:val="24"/>
          <w:szCs w:val="24"/>
        </w:rPr>
        <w:t xml:space="preserve"> </w:t>
      </w:r>
      <w:r>
        <w:rPr>
          <w:rFonts w:ascii="宋体" w:hAnsi="宋体" w:eastAsia="宋体" w:cs="宋体"/>
          <w:spacing w:val="-2"/>
          <w:sz w:val="24"/>
          <w:szCs w:val="24"/>
        </w:rPr>
        <w:t>进一步完善危险化学品现场施救应急指挥联动机制，明确指挥</w:t>
      </w:r>
    </w:p>
    <w:p>
      <w:pPr>
        <w:spacing w:line="218" w:lineRule="auto"/>
        <w:rPr>
          <w:rFonts w:ascii="宋体" w:hAnsi="宋体" w:eastAsia="宋体" w:cs="宋体"/>
          <w:sz w:val="24"/>
          <w:szCs w:val="24"/>
        </w:rPr>
        <w:sectPr>
          <w:headerReference r:id="rId338" w:type="default"/>
          <w:footerReference r:id="rId339" w:type="default"/>
          <w:pgSz w:w="11907" w:h="16839"/>
          <w:pgMar w:top="1118" w:right="1641" w:bottom="1009" w:left="1673" w:header="877" w:footer="845" w:gutter="0"/>
          <w:cols w:space="720" w:num="1"/>
        </w:sectPr>
      </w:pPr>
    </w:p>
    <w:p>
      <w:pPr>
        <w:pStyle w:val="2"/>
        <w:spacing w:line="252" w:lineRule="auto"/>
      </w:pPr>
    </w:p>
    <w:p>
      <w:pPr>
        <w:spacing w:before="78" w:line="360" w:lineRule="auto"/>
        <w:ind w:left="38" w:right="44" w:hanging="1"/>
        <w:jc w:val="both"/>
        <w:rPr>
          <w:rFonts w:ascii="宋体" w:hAnsi="宋体" w:eastAsia="宋体" w:cs="宋体"/>
          <w:sz w:val="24"/>
          <w:szCs w:val="24"/>
        </w:rPr>
      </w:pPr>
      <w:r>
        <w:rPr>
          <w:rFonts w:ascii="宋体" w:hAnsi="宋体" w:eastAsia="宋体" w:cs="宋体"/>
          <w:spacing w:val="2"/>
          <w:sz w:val="24"/>
          <w:szCs w:val="24"/>
        </w:rPr>
        <w:t>权限、部门职责；建立社会施救力量、施救物资装备器材、专业防化单位、有关</w:t>
      </w:r>
      <w:r>
        <w:rPr>
          <w:rFonts w:ascii="宋体" w:hAnsi="宋体" w:eastAsia="宋体" w:cs="宋体"/>
          <w:spacing w:val="12"/>
          <w:sz w:val="24"/>
          <w:szCs w:val="24"/>
        </w:rPr>
        <w:t xml:space="preserve"> </w:t>
      </w:r>
      <w:r>
        <w:rPr>
          <w:rFonts w:ascii="宋体" w:hAnsi="宋体" w:eastAsia="宋体" w:cs="宋体"/>
          <w:spacing w:val="2"/>
          <w:sz w:val="24"/>
          <w:szCs w:val="24"/>
        </w:rPr>
        <w:t>专家等信息库；设立施救物资装备器材储备仓库；完善危险化学品报警和处置网</w:t>
      </w:r>
      <w:r>
        <w:rPr>
          <w:rFonts w:ascii="宋体" w:hAnsi="宋体" w:eastAsia="宋体" w:cs="宋体"/>
          <w:spacing w:val="9"/>
          <w:sz w:val="24"/>
          <w:szCs w:val="24"/>
        </w:rPr>
        <w:t xml:space="preserve"> </w:t>
      </w:r>
      <w:r>
        <w:rPr>
          <w:rFonts w:ascii="宋体" w:hAnsi="宋体" w:eastAsia="宋体" w:cs="宋体"/>
          <w:spacing w:val="2"/>
          <w:sz w:val="24"/>
          <w:szCs w:val="24"/>
        </w:rPr>
        <w:t>络。提高道路运输危险化学品事故现场处置能力。对运输剧毒、爆炸等危险化学</w:t>
      </w:r>
      <w:r>
        <w:rPr>
          <w:rFonts w:ascii="宋体" w:hAnsi="宋体" w:eastAsia="宋体" w:cs="宋体"/>
          <w:spacing w:val="9"/>
          <w:sz w:val="24"/>
          <w:szCs w:val="24"/>
        </w:rPr>
        <w:t xml:space="preserve"> </w:t>
      </w:r>
      <w:r>
        <w:rPr>
          <w:rFonts w:ascii="宋体" w:hAnsi="宋体" w:eastAsia="宋体" w:cs="宋体"/>
          <w:spacing w:val="4"/>
          <w:sz w:val="24"/>
          <w:szCs w:val="24"/>
        </w:rPr>
        <w:t>品车辆发生的交通事故，应立即报告当地政府和相</w:t>
      </w:r>
      <w:r>
        <w:rPr>
          <w:rFonts w:ascii="宋体" w:hAnsi="宋体" w:eastAsia="宋体" w:cs="宋体"/>
          <w:spacing w:val="3"/>
          <w:sz w:val="24"/>
          <w:szCs w:val="24"/>
        </w:rPr>
        <w:t>关部门。安监、公安、交通、</w:t>
      </w:r>
    </w:p>
    <w:p>
      <w:pPr>
        <w:spacing w:line="219" w:lineRule="auto"/>
        <w:ind w:left="40"/>
        <w:rPr>
          <w:rFonts w:ascii="宋体" w:hAnsi="宋体" w:eastAsia="宋体" w:cs="宋体"/>
          <w:sz w:val="24"/>
          <w:szCs w:val="24"/>
        </w:rPr>
      </w:pPr>
      <w:r>
        <w:rPr>
          <w:rFonts w:ascii="宋体" w:hAnsi="宋体" w:eastAsia="宋体" w:cs="宋体"/>
          <w:spacing w:val="3"/>
          <w:sz w:val="24"/>
          <w:szCs w:val="24"/>
        </w:rPr>
        <w:t>生态环境、质技监、气象等相关部门应按照处置预案。</w:t>
      </w:r>
    </w:p>
    <w:p>
      <w:pPr>
        <w:spacing w:before="180" w:line="468" w:lineRule="exact"/>
        <w:ind w:left="529"/>
        <w:rPr>
          <w:rFonts w:ascii="宋体" w:hAnsi="宋体" w:eastAsia="宋体" w:cs="宋体"/>
          <w:sz w:val="24"/>
          <w:szCs w:val="24"/>
        </w:rPr>
      </w:pPr>
      <w:r>
        <w:rPr>
          <w:rFonts w:ascii="Times New Roman" w:hAnsi="Times New Roman" w:eastAsia="Times New Roman" w:cs="Times New Roman"/>
          <w:spacing w:val="6"/>
          <w:position w:val="17"/>
          <w:sz w:val="24"/>
          <w:szCs w:val="24"/>
        </w:rPr>
        <w:t>5</w:t>
      </w:r>
      <w:r>
        <w:rPr>
          <w:rFonts w:ascii="宋体" w:hAnsi="宋体" w:eastAsia="宋体" w:cs="宋体"/>
          <w:spacing w:val="6"/>
          <w:position w:val="17"/>
          <w:sz w:val="24"/>
          <w:szCs w:val="24"/>
        </w:rPr>
        <w:t>、重点加强临水边公路的运营管理，做好日常维护工作，确保公路路况和</w:t>
      </w:r>
    </w:p>
    <w:p>
      <w:pPr>
        <w:spacing w:line="219" w:lineRule="auto"/>
        <w:ind w:left="38"/>
        <w:rPr>
          <w:rFonts w:ascii="宋体" w:hAnsi="宋体" w:eastAsia="宋体" w:cs="宋体"/>
          <w:sz w:val="24"/>
          <w:szCs w:val="24"/>
        </w:rPr>
      </w:pPr>
      <w:r>
        <w:rPr>
          <w:rFonts w:ascii="宋体" w:hAnsi="宋体" w:eastAsia="宋体" w:cs="宋体"/>
          <w:spacing w:val="1"/>
          <w:sz w:val="24"/>
          <w:szCs w:val="24"/>
        </w:rPr>
        <w:t>相关警示、安全设施的状态良好。</w:t>
      </w:r>
    </w:p>
    <w:p>
      <w:pPr>
        <w:spacing w:before="180" w:line="468" w:lineRule="exact"/>
        <w:jc w:val="right"/>
        <w:rPr>
          <w:rFonts w:ascii="宋体" w:hAnsi="宋体" w:eastAsia="宋体" w:cs="宋体"/>
          <w:sz w:val="24"/>
          <w:szCs w:val="24"/>
        </w:rPr>
      </w:pPr>
      <w:r>
        <w:rPr>
          <w:rFonts w:ascii="Times New Roman" w:hAnsi="Times New Roman" w:eastAsia="Times New Roman" w:cs="Times New Roman"/>
          <w:spacing w:val="1"/>
          <w:position w:val="17"/>
          <w:sz w:val="24"/>
          <w:szCs w:val="24"/>
        </w:rPr>
        <w:t>6</w:t>
      </w:r>
      <w:r>
        <w:rPr>
          <w:rFonts w:ascii="宋体" w:hAnsi="宋体" w:eastAsia="宋体" w:cs="宋体"/>
          <w:spacing w:val="1"/>
          <w:position w:val="17"/>
          <w:sz w:val="24"/>
          <w:szCs w:val="24"/>
        </w:rPr>
        <w:t>、一旦发生危化品车辆事故导致的泄漏事故，</w:t>
      </w:r>
      <w:r>
        <w:rPr>
          <w:rFonts w:ascii="宋体" w:hAnsi="宋体" w:eastAsia="宋体" w:cs="宋体"/>
          <w:position w:val="17"/>
          <w:sz w:val="24"/>
          <w:szCs w:val="24"/>
        </w:rPr>
        <w:t>应立即通知周边村民或居民，</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保证人身安全。</w:t>
      </w:r>
    </w:p>
    <w:p>
      <w:pPr>
        <w:spacing w:before="307" w:line="220" w:lineRule="auto"/>
        <w:ind w:left="37"/>
        <w:outlineLvl w:val="1"/>
        <w:rPr>
          <w:rFonts w:ascii="宋体" w:hAnsi="宋体" w:eastAsia="宋体" w:cs="宋体"/>
          <w:sz w:val="24"/>
          <w:szCs w:val="24"/>
        </w:rPr>
      </w:pPr>
      <w:r>
        <w:fldChar w:fldCharType="begin"/>
      </w:r>
      <w:r>
        <w:instrText xml:space="preserve"> HYPERLINK "6.6.1.2" </w:instrText>
      </w:r>
      <w:r>
        <w:fldChar w:fldCharType="separate"/>
      </w:r>
      <w:r>
        <w:rPr>
          <w:rFonts w:ascii="Times New Roman" w:hAnsi="Times New Roman" w:eastAsia="Times New Roman" w:cs="Times New Roman"/>
          <w:b/>
          <w:bCs/>
          <w:spacing w:val="3"/>
          <w:sz w:val="24"/>
          <w:szCs w:val="24"/>
        </w:rPr>
        <w:t>6.6.1.2</w:t>
      </w:r>
      <w:r>
        <w:rPr>
          <w:rFonts w:ascii="Times New Roman" w:hAnsi="Times New Roman" w:eastAsia="Times New Roman" w:cs="Times New Roman"/>
          <w:b/>
          <w:bCs/>
          <w:spacing w:val="3"/>
          <w:sz w:val="24"/>
          <w:szCs w:val="24"/>
        </w:rPr>
        <w:fldChar w:fldCharType="end"/>
      </w:r>
      <w:r>
        <w:rPr>
          <w:rFonts w:ascii="Times New Roman" w:hAnsi="Times New Roman" w:eastAsia="Times New Roman" w:cs="Times New Roman"/>
          <w:b/>
          <w:bCs/>
          <w:spacing w:val="3"/>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跨河路段的风险防范</w:t>
      </w:r>
    </w:p>
    <w:p>
      <w:pPr>
        <w:spacing w:before="174" w:line="354" w:lineRule="auto"/>
        <w:ind w:left="40" w:right="82" w:firstLine="49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）警示措施在道路拐角、靠近河流路段设置</w:t>
      </w:r>
      <w:r>
        <w:rPr>
          <w:rFonts w:ascii="Times New Roman" w:hAnsi="Times New Roman" w:eastAsia="Times New Roman" w:cs="Times New Roman"/>
          <w:spacing w:val="6"/>
          <w:sz w:val="24"/>
          <w:szCs w:val="24"/>
        </w:rPr>
        <w:t>“</w:t>
      </w:r>
      <w:r>
        <w:rPr>
          <w:rFonts w:ascii="宋体" w:hAnsi="宋体" w:eastAsia="宋体" w:cs="宋体"/>
          <w:spacing w:val="6"/>
          <w:sz w:val="24"/>
          <w:szCs w:val="24"/>
        </w:rPr>
        <w:t>谨慎驾驶</w:t>
      </w:r>
      <w:r>
        <w:rPr>
          <w:rFonts w:ascii="Times New Roman" w:hAnsi="Times New Roman" w:eastAsia="Times New Roman" w:cs="Times New Roman"/>
          <w:spacing w:val="6"/>
          <w:sz w:val="24"/>
          <w:szCs w:val="24"/>
        </w:rPr>
        <w:t>”</w:t>
      </w:r>
      <w:r>
        <w:rPr>
          <w:rFonts w:ascii="宋体" w:hAnsi="宋体" w:eastAsia="宋体" w:cs="宋体"/>
          <w:spacing w:val="6"/>
          <w:sz w:val="24"/>
          <w:szCs w:val="24"/>
        </w:rPr>
        <w:t>警示牌。在靠近</w:t>
      </w:r>
      <w:r>
        <w:rPr>
          <w:rFonts w:ascii="宋体" w:hAnsi="宋体" w:eastAsia="宋体" w:cs="宋体"/>
          <w:spacing w:val="17"/>
          <w:sz w:val="24"/>
          <w:szCs w:val="24"/>
        </w:rPr>
        <w:t xml:space="preserve"> </w:t>
      </w:r>
      <w:r>
        <w:rPr>
          <w:rFonts w:ascii="宋体" w:hAnsi="宋体" w:eastAsia="宋体" w:cs="宋体"/>
          <w:spacing w:val="-2"/>
          <w:sz w:val="24"/>
          <w:szCs w:val="24"/>
        </w:rPr>
        <w:t>居民点和跨河处设置减速和限速标识，</w:t>
      </w:r>
      <w:r>
        <w:rPr>
          <w:rFonts w:ascii="宋体" w:hAnsi="宋体" w:eastAsia="宋体" w:cs="宋体"/>
          <w:spacing w:val="34"/>
          <w:sz w:val="24"/>
          <w:szCs w:val="24"/>
        </w:rPr>
        <w:t xml:space="preserve"> </w:t>
      </w:r>
      <w:r>
        <w:rPr>
          <w:rFonts w:ascii="宋体" w:hAnsi="宋体" w:eastAsia="宋体" w:cs="宋体"/>
          <w:spacing w:val="-2"/>
          <w:sz w:val="24"/>
          <w:szCs w:val="24"/>
        </w:rPr>
        <w:t>要求经过的车辆限速和减速，保证该路段</w:t>
      </w:r>
      <w:r>
        <w:rPr>
          <w:rFonts w:ascii="宋体" w:hAnsi="宋体" w:eastAsia="宋体" w:cs="宋体"/>
          <w:sz w:val="24"/>
          <w:szCs w:val="24"/>
        </w:rPr>
        <w:t xml:space="preserve"> </w:t>
      </w:r>
      <w:r>
        <w:rPr>
          <w:rFonts w:ascii="宋体" w:hAnsi="宋体" w:eastAsia="宋体" w:cs="宋体"/>
          <w:spacing w:val="-6"/>
          <w:sz w:val="24"/>
          <w:szCs w:val="24"/>
        </w:rPr>
        <w:t>的车辆通行安全，</w:t>
      </w:r>
      <w:r>
        <w:rPr>
          <w:rFonts w:ascii="宋体" w:hAnsi="宋体" w:eastAsia="宋体" w:cs="宋体"/>
          <w:spacing w:val="60"/>
          <w:sz w:val="24"/>
          <w:szCs w:val="24"/>
        </w:rPr>
        <w:t xml:space="preserve"> </w:t>
      </w:r>
      <w:r>
        <w:rPr>
          <w:rFonts w:ascii="宋体" w:hAnsi="宋体" w:eastAsia="宋体" w:cs="宋体"/>
          <w:spacing w:val="-6"/>
          <w:sz w:val="24"/>
          <w:szCs w:val="24"/>
        </w:rPr>
        <w:t>降低该路段交通事故的发生机率， 保障沿线居民的安全及水体</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水质不受污染。</w:t>
      </w:r>
    </w:p>
    <w:p>
      <w:pPr>
        <w:spacing w:before="173" w:line="461" w:lineRule="exact"/>
        <w:ind w:left="534"/>
        <w:rPr>
          <w:rFonts w:ascii="宋体" w:hAnsi="宋体" w:eastAsia="宋体" w:cs="宋体"/>
          <w:sz w:val="24"/>
          <w:szCs w:val="24"/>
        </w:rPr>
      </w:pPr>
      <w:r>
        <w:rPr>
          <w:rFonts w:ascii="宋体" w:hAnsi="宋体" w:eastAsia="宋体" w:cs="宋体"/>
          <w:spacing w:val="6"/>
          <w:position w:val="16"/>
          <w:sz w:val="24"/>
          <w:szCs w:val="24"/>
        </w:rPr>
        <w:t>（</w:t>
      </w:r>
      <w:r>
        <w:rPr>
          <w:rFonts w:ascii="Times New Roman" w:hAnsi="Times New Roman" w:eastAsia="Times New Roman" w:cs="Times New Roman"/>
          <w:spacing w:val="6"/>
          <w:position w:val="16"/>
          <w:sz w:val="24"/>
          <w:szCs w:val="24"/>
        </w:rPr>
        <w:t>2</w:t>
      </w:r>
      <w:r>
        <w:rPr>
          <w:rFonts w:ascii="宋体" w:hAnsi="宋体" w:eastAsia="宋体" w:cs="宋体"/>
          <w:spacing w:val="6"/>
          <w:position w:val="16"/>
          <w:sz w:val="24"/>
          <w:szCs w:val="24"/>
        </w:rPr>
        <w:t>）在工程桥梁、路基两侧均加装防护栏，避免危险化学品</w:t>
      </w:r>
      <w:r>
        <w:rPr>
          <w:rFonts w:ascii="宋体" w:hAnsi="宋体" w:eastAsia="宋体" w:cs="宋体"/>
          <w:spacing w:val="5"/>
          <w:position w:val="16"/>
          <w:sz w:val="24"/>
          <w:szCs w:val="24"/>
        </w:rPr>
        <w:t>运输车辆因交</w:t>
      </w:r>
    </w:p>
    <w:p>
      <w:pPr>
        <w:spacing w:before="1" w:line="219" w:lineRule="auto"/>
        <w:ind w:left="38"/>
        <w:rPr>
          <w:rFonts w:ascii="宋体" w:hAnsi="宋体" w:eastAsia="宋体" w:cs="宋体"/>
          <w:sz w:val="24"/>
          <w:szCs w:val="24"/>
        </w:rPr>
      </w:pPr>
      <w:r>
        <w:rPr>
          <w:rFonts w:ascii="宋体" w:hAnsi="宋体" w:eastAsia="宋体" w:cs="宋体"/>
          <w:spacing w:val="1"/>
          <w:sz w:val="24"/>
          <w:szCs w:val="24"/>
        </w:rPr>
        <w:t>通事故掉入水域，造成水体污染。</w:t>
      </w:r>
    </w:p>
    <w:p>
      <w:pPr>
        <w:spacing w:before="175" w:line="354" w:lineRule="auto"/>
        <w:ind w:left="41" w:right="83" w:firstLine="49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）工程营运前应联合相关部门进一步明确危险品车</w:t>
      </w:r>
      <w:r>
        <w:rPr>
          <w:rFonts w:ascii="宋体" w:hAnsi="宋体" w:eastAsia="宋体" w:cs="宋体"/>
          <w:spacing w:val="5"/>
          <w:sz w:val="24"/>
          <w:szCs w:val="24"/>
        </w:rPr>
        <w:t>辆通行要求。严格执</w:t>
      </w:r>
      <w:r>
        <w:rPr>
          <w:rFonts w:ascii="宋体" w:hAnsi="宋体" w:eastAsia="宋体" w:cs="宋体"/>
          <w:sz w:val="24"/>
          <w:szCs w:val="24"/>
        </w:rPr>
        <w:t xml:space="preserve"> </w:t>
      </w:r>
      <w:r>
        <w:rPr>
          <w:rFonts w:ascii="宋体" w:hAnsi="宋体" w:eastAsia="宋体" w:cs="宋体"/>
          <w:spacing w:val="2"/>
          <w:sz w:val="24"/>
          <w:szCs w:val="24"/>
        </w:rPr>
        <w:t>行《公路危险货物运输规范》和</w:t>
      </w:r>
      <w:r>
        <w:rPr>
          <w:rFonts w:hint="eastAsia" w:ascii="宋体" w:hAnsi="宋体" w:eastAsia="宋体" w:cs="宋体"/>
          <w:spacing w:val="2"/>
          <w:sz w:val="24"/>
          <w:szCs w:val="24"/>
          <w:lang w:eastAsia="zh-CN"/>
        </w:rPr>
        <w:t>《危险化学品安全管理条例》</w:t>
      </w:r>
      <w:r>
        <w:rPr>
          <w:rFonts w:ascii="宋体" w:hAnsi="宋体" w:eastAsia="宋体" w:cs="宋体"/>
          <w:spacing w:val="2"/>
          <w:sz w:val="24"/>
          <w:szCs w:val="24"/>
        </w:rPr>
        <w:t>规定。严格上路检</w:t>
      </w:r>
      <w:r>
        <w:rPr>
          <w:rFonts w:ascii="宋体" w:hAnsi="宋体" w:eastAsia="宋体" w:cs="宋体"/>
          <w:spacing w:val="8"/>
          <w:sz w:val="24"/>
          <w:szCs w:val="24"/>
        </w:rPr>
        <w:t xml:space="preserve"> </w:t>
      </w:r>
      <w:r>
        <w:rPr>
          <w:rFonts w:ascii="宋体" w:hAnsi="宋体" w:eastAsia="宋体" w:cs="宋体"/>
          <w:spacing w:val="3"/>
          <w:sz w:val="24"/>
          <w:szCs w:val="24"/>
        </w:rPr>
        <w:t>查、途中运输、停车，直到事故处理等各个环节，禁止</w:t>
      </w:r>
      <w:r>
        <w:rPr>
          <w:rFonts w:ascii="宋体" w:hAnsi="宋体" w:eastAsia="宋体" w:cs="宋体"/>
          <w:spacing w:val="2"/>
          <w:sz w:val="24"/>
          <w:szCs w:val="24"/>
        </w:rPr>
        <w:t>和杜绝</w:t>
      </w:r>
      <w:r>
        <w:rPr>
          <w:rFonts w:ascii="Times New Roman" w:hAnsi="Times New Roman" w:eastAsia="Times New Roman" w:cs="Times New Roman"/>
          <w:spacing w:val="2"/>
          <w:sz w:val="24"/>
          <w:szCs w:val="24"/>
        </w:rPr>
        <w:t>“</w:t>
      </w:r>
      <w:r>
        <w:rPr>
          <w:rFonts w:ascii="宋体" w:hAnsi="宋体" w:eastAsia="宋体" w:cs="宋体"/>
          <w:spacing w:val="2"/>
          <w:sz w:val="24"/>
          <w:szCs w:val="24"/>
        </w:rPr>
        <w:t>三证</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3"/>
          <w:sz w:val="24"/>
          <w:szCs w:val="24"/>
        </w:rPr>
        <w:t xml:space="preserve"> </w:t>
      </w:r>
      <w:r>
        <w:rPr>
          <w:rFonts w:ascii="宋体" w:hAnsi="宋体" w:eastAsia="宋体" w:cs="宋体"/>
          <w:spacing w:val="2"/>
          <w:sz w:val="24"/>
          <w:szCs w:val="24"/>
        </w:rPr>
        <w:t>不全的危险</w:t>
      </w:r>
    </w:p>
    <w:p>
      <w:pPr>
        <w:spacing w:before="1" w:line="219" w:lineRule="auto"/>
        <w:ind w:left="57"/>
        <w:rPr>
          <w:rFonts w:ascii="宋体" w:hAnsi="宋体" w:eastAsia="宋体" w:cs="宋体"/>
          <w:sz w:val="24"/>
          <w:szCs w:val="24"/>
        </w:rPr>
      </w:pPr>
      <w:r>
        <w:rPr>
          <w:rFonts w:ascii="宋体" w:hAnsi="宋体" w:eastAsia="宋体" w:cs="宋体"/>
          <w:sz w:val="24"/>
          <w:szCs w:val="24"/>
        </w:rPr>
        <w:t>品运输车辆上路行驶，</w:t>
      </w:r>
      <w:r>
        <w:rPr>
          <w:rFonts w:ascii="宋体" w:hAnsi="宋体" w:eastAsia="宋体" w:cs="宋体"/>
          <w:spacing w:val="-63"/>
          <w:sz w:val="24"/>
          <w:szCs w:val="24"/>
        </w:rPr>
        <w:t xml:space="preserve"> </w:t>
      </w:r>
      <w:r>
        <w:rPr>
          <w:rFonts w:ascii="宋体" w:hAnsi="宋体" w:eastAsia="宋体" w:cs="宋体"/>
          <w:sz w:val="24"/>
          <w:szCs w:val="24"/>
        </w:rPr>
        <w:t>以预防危险品运输事故的发生。</w:t>
      </w:r>
    </w:p>
    <w:p>
      <w:pPr>
        <w:spacing w:before="173" w:line="220" w:lineRule="auto"/>
        <w:ind w:left="37"/>
        <w:outlineLvl w:val="1"/>
        <w:rPr>
          <w:rFonts w:ascii="宋体" w:hAnsi="宋体" w:eastAsia="宋体" w:cs="宋体"/>
          <w:sz w:val="24"/>
          <w:szCs w:val="24"/>
        </w:rPr>
      </w:pPr>
      <w:r>
        <w:rPr>
          <w:rFonts w:ascii="Times New Roman" w:hAnsi="Times New Roman" w:eastAsia="Times New Roman" w:cs="Times New Roman"/>
          <w:b/>
          <w:bCs/>
          <w:spacing w:val="3"/>
          <w:sz w:val="24"/>
          <w:szCs w:val="24"/>
        </w:rPr>
        <w:t xml:space="preserve">6.6.2 </w:t>
      </w:r>
      <w:r>
        <w:rPr>
          <w:rFonts w:ascii="宋体" w:hAnsi="宋体" w:eastAsia="宋体" w:cs="宋体"/>
          <w:spacing w:val="3"/>
          <w:sz w:val="24"/>
          <w:szCs w:val="24"/>
          <w14:textOutline w14:w="4354" w14:cap="flat" w14:cmpd="sng">
            <w14:solidFill>
              <w14:srgbClr w14:val="000000"/>
            </w14:solidFill>
            <w14:prstDash w14:val="solid"/>
            <w14:miter w14:val="0"/>
          </w14:textOutline>
        </w:rPr>
        <w:t>环境风险事故应急预案</w:t>
      </w:r>
    </w:p>
    <w:p>
      <w:pPr>
        <w:spacing w:before="175" w:line="354" w:lineRule="auto"/>
        <w:ind w:left="37" w:right="86" w:firstLine="493"/>
        <w:rPr>
          <w:rFonts w:ascii="宋体" w:hAnsi="宋体" w:eastAsia="宋体" w:cs="宋体"/>
          <w:sz w:val="24"/>
          <w:szCs w:val="24"/>
        </w:rPr>
      </w:pPr>
      <w:r>
        <w:rPr>
          <w:rFonts w:ascii="宋体" w:hAnsi="宋体" w:eastAsia="宋体" w:cs="宋体"/>
          <w:spacing w:val="-8"/>
          <w:sz w:val="24"/>
          <w:szCs w:val="24"/>
        </w:rPr>
        <w:t>为保护沿线水体水质、居民安全，</w:t>
      </w:r>
      <w:r>
        <w:rPr>
          <w:rFonts w:ascii="宋体" w:hAnsi="宋体" w:eastAsia="宋体" w:cs="宋体"/>
          <w:spacing w:val="52"/>
          <w:sz w:val="24"/>
          <w:szCs w:val="24"/>
        </w:rPr>
        <w:t xml:space="preserve"> </w:t>
      </w:r>
      <w:r>
        <w:rPr>
          <w:rFonts w:ascii="宋体" w:hAnsi="宋体" w:eastAsia="宋体" w:cs="宋体"/>
          <w:spacing w:val="-8"/>
          <w:sz w:val="24"/>
          <w:szCs w:val="24"/>
        </w:rPr>
        <w:t>本项目公路建成通车时，</w:t>
      </w:r>
      <w:r>
        <w:rPr>
          <w:rFonts w:ascii="宋体" w:hAnsi="宋体" w:eastAsia="宋体" w:cs="宋体"/>
          <w:spacing w:val="46"/>
          <w:sz w:val="24"/>
          <w:szCs w:val="24"/>
        </w:rPr>
        <w:t xml:space="preserve"> </w:t>
      </w:r>
      <w:r>
        <w:rPr>
          <w:rFonts w:ascii="宋体" w:hAnsi="宋体" w:eastAsia="宋体" w:cs="宋体"/>
          <w:spacing w:val="-8"/>
          <w:sz w:val="24"/>
          <w:szCs w:val="24"/>
        </w:rPr>
        <w:t>建设单位应制订</w:t>
      </w:r>
      <w:r>
        <w:rPr>
          <w:rFonts w:ascii="宋体" w:hAnsi="宋体" w:eastAsia="宋体" w:cs="宋体"/>
          <w:sz w:val="24"/>
          <w:szCs w:val="24"/>
        </w:rPr>
        <w:t xml:space="preserve"> </w:t>
      </w:r>
      <w:r>
        <w:rPr>
          <w:rFonts w:ascii="宋体" w:hAnsi="宋体" w:eastAsia="宋体" w:cs="宋体"/>
          <w:spacing w:val="-1"/>
          <w:sz w:val="24"/>
          <w:szCs w:val="24"/>
        </w:rPr>
        <w:t>危险品运输交通事故应急预案， 事故发生后第一时间启动应急预案，采取相关措</w:t>
      </w:r>
      <w:r>
        <w:rPr>
          <w:rFonts w:ascii="宋体" w:hAnsi="宋体" w:eastAsia="宋体" w:cs="宋体"/>
          <w:spacing w:val="3"/>
          <w:sz w:val="24"/>
          <w:szCs w:val="24"/>
        </w:rPr>
        <w:t xml:space="preserve"> </w:t>
      </w:r>
      <w:r>
        <w:rPr>
          <w:rFonts w:ascii="宋体" w:hAnsi="宋体" w:eastAsia="宋体" w:cs="宋体"/>
          <w:spacing w:val="2"/>
          <w:sz w:val="24"/>
          <w:szCs w:val="24"/>
        </w:rPr>
        <w:t>施，以最大限度减少危险品对水体的污染及沿线居民的影响。根据《国家突发公</w:t>
      </w:r>
      <w:r>
        <w:rPr>
          <w:rFonts w:ascii="宋体" w:hAnsi="宋体" w:eastAsia="宋体" w:cs="宋体"/>
          <w:spacing w:val="11"/>
          <w:sz w:val="24"/>
          <w:szCs w:val="24"/>
        </w:rPr>
        <w:t xml:space="preserve"> </w:t>
      </w:r>
      <w:r>
        <w:rPr>
          <w:rFonts w:ascii="宋体" w:hAnsi="宋体" w:eastAsia="宋体" w:cs="宋体"/>
          <w:spacing w:val="2"/>
          <w:sz w:val="24"/>
          <w:szCs w:val="24"/>
        </w:rPr>
        <w:t>共事件总体应急预案》、《浙江省突发公共事件总体应急预案》等相关要求和说</w:t>
      </w:r>
    </w:p>
    <w:p>
      <w:pPr>
        <w:spacing w:before="1" w:line="218" w:lineRule="auto"/>
        <w:jc w:val="right"/>
        <w:rPr>
          <w:rFonts w:ascii="宋体" w:hAnsi="宋体" w:eastAsia="宋体" w:cs="宋体"/>
          <w:sz w:val="24"/>
          <w:szCs w:val="24"/>
        </w:rPr>
      </w:pPr>
      <w:r>
        <w:rPr>
          <w:rFonts w:ascii="宋体" w:hAnsi="宋体" w:eastAsia="宋体" w:cs="宋体"/>
          <w:spacing w:val="-3"/>
          <w:sz w:val="24"/>
          <w:szCs w:val="24"/>
        </w:rPr>
        <w:t>明，制定本工程应急预案，并纳入温州市和文成县突发公共事件应急预案体系中。</w:t>
      </w:r>
    </w:p>
    <w:p>
      <w:pPr>
        <w:spacing w:before="174" w:line="219" w:lineRule="auto"/>
        <w:ind w:left="53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）突发事件应急领导指挥机构</w:t>
      </w:r>
    </w:p>
    <w:p>
      <w:pPr>
        <w:spacing w:before="175" w:line="354" w:lineRule="auto"/>
        <w:ind w:left="41" w:right="86" w:firstLine="486"/>
        <w:rPr>
          <w:rFonts w:ascii="宋体" w:hAnsi="宋体" w:eastAsia="宋体" w:cs="宋体"/>
          <w:sz w:val="24"/>
          <w:szCs w:val="24"/>
        </w:rPr>
      </w:pPr>
      <w:r>
        <w:rPr>
          <w:rFonts w:ascii="宋体" w:hAnsi="宋体" w:eastAsia="宋体" w:cs="宋体"/>
          <w:spacing w:val="2"/>
          <w:sz w:val="24"/>
          <w:szCs w:val="24"/>
        </w:rPr>
        <w:t>应急领导机构：应急总领导机构为文成县突发环境事件主管应急的部门，作</w:t>
      </w:r>
      <w:r>
        <w:rPr>
          <w:rFonts w:ascii="宋体" w:hAnsi="宋体" w:eastAsia="宋体" w:cs="宋体"/>
          <w:spacing w:val="10"/>
          <w:sz w:val="24"/>
          <w:szCs w:val="24"/>
        </w:rPr>
        <w:t xml:space="preserve"> </w:t>
      </w:r>
      <w:r>
        <w:rPr>
          <w:rFonts w:ascii="宋体" w:hAnsi="宋体" w:eastAsia="宋体" w:cs="宋体"/>
          <w:spacing w:val="-3"/>
          <w:sz w:val="24"/>
          <w:szCs w:val="24"/>
        </w:rPr>
        <w:t>为协调指挥机构，</w:t>
      </w:r>
      <w:r>
        <w:rPr>
          <w:rFonts w:ascii="宋体" w:hAnsi="宋体" w:eastAsia="宋体" w:cs="宋体"/>
          <w:spacing w:val="68"/>
          <w:sz w:val="24"/>
          <w:szCs w:val="24"/>
        </w:rPr>
        <w:t xml:space="preserve"> </w:t>
      </w:r>
      <w:r>
        <w:rPr>
          <w:rFonts w:ascii="宋体" w:hAnsi="宋体" w:eastAsia="宋体" w:cs="宋体"/>
          <w:spacing w:val="-3"/>
          <w:sz w:val="24"/>
          <w:szCs w:val="24"/>
        </w:rPr>
        <w:t>统一领导突发公共事件的应急处置工作。安监、生态环境、水</w:t>
      </w:r>
    </w:p>
    <w:p>
      <w:pPr>
        <w:spacing w:before="1" w:line="219" w:lineRule="auto"/>
        <w:ind w:left="39"/>
        <w:rPr>
          <w:rFonts w:ascii="宋体" w:hAnsi="宋体" w:eastAsia="宋体" w:cs="宋体"/>
          <w:sz w:val="24"/>
          <w:szCs w:val="24"/>
        </w:rPr>
      </w:pPr>
      <w:r>
        <w:rPr>
          <w:rFonts w:ascii="宋体" w:hAnsi="宋体" w:eastAsia="宋体" w:cs="宋体"/>
          <w:spacing w:val="3"/>
          <w:sz w:val="24"/>
          <w:szCs w:val="24"/>
        </w:rPr>
        <w:t>利、卫生、消防、公安、电力、交通、建设等相关部门参与。</w:t>
      </w:r>
    </w:p>
    <w:p>
      <w:pPr>
        <w:spacing w:line="219" w:lineRule="auto"/>
        <w:rPr>
          <w:rFonts w:ascii="宋体" w:hAnsi="宋体" w:eastAsia="宋体" w:cs="宋体"/>
          <w:sz w:val="24"/>
          <w:szCs w:val="24"/>
        </w:rPr>
        <w:sectPr>
          <w:headerReference r:id="rId340" w:type="default"/>
          <w:footerReference r:id="rId341" w:type="default"/>
          <w:pgSz w:w="11907" w:h="16839"/>
          <w:pgMar w:top="1118" w:right="1620" w:bottom="1009" w:left="1673" w:header="877" w:footer="845" w:gutter="0"/>
          <w:cols w:space="720" w:num="1"/>
        </w:sectPr>
      </w:pPr>
    </w:p>
    <w:p>
      <w:pPr>
        <w:pStyle w:val="2"/>
        <w:spacing w:line="381" w:lineRule="auto"/>
      </w:pPr>
    </w:p>
    <w:p>
      <w:pPr>
        <w:spacing w:before="78" w:line="354" w:lineRule="auto"/>
        <w:ind w:left="37" w:right="13" w:firstLine="492"/>
        <w:rPr>
          <w:rFonts w:ascii="宋体" w:hAnsi="宋体" w:eastAsia="宋体" w:cs="宋体"/>
          <w:sz w:val="24"/>
          <w:szCs w:val="24"/>
        </w:rPr>
      </w:pPr>
      <w:r>
        <w:rPr>
          <w:rFonts w:ascii="宋体" w:hAnsi="宋体" w:eastAsia="宋体" w:cs="宋体"/>
          <w:spacing w:val="2"/>
          <w:sz w:val="24"/>
          <w:szCs w:val="24"/>
        </w:rPr>
        <w:t>现场指挥：由应急领导机构指定现场指挥，各类事故应急行动由应急负责单</w:t>
      </w:r>
      <w:r>
        <w:rPr>
          <w:rFonts w:ascii="宋体" w:hAnsi="宋体" w:eastAsia="宋体" w:cs="宋体"/>
          <w:spacing w:val="5"/>
          <w:sz w:val="24"/>
          <w:szCs w:val="24"/>
        </w:rPr>
        <w:t xml:space="preserve"> </w:t>
      </w:r>
      <w:r>
        <w:rPr>
          <w:rFonts w:ascii="宋体" w:hAnsi="宋体" w:eastAsia="宋体" w:cs="宋体"/>
          <w:spacing w:val="3"/>
          <w:sz w:val="24"/>
          <w:szCs w:val="24"/>
        </w:rPr>
        <w:t>位负责人负责指挥。如遇突发事件，指挥调度员要做好事发现场信息收集工作，</w:t>
      </w:r>
      <w:r>
        <w:rPr>
          <w:rFonts w:ascii="宋体" w:hAnsi="宋体" w:eastAsia="宋体" w:cs="宋体"/>
          <w:spacing w:val="5"/>
          <w:sz w:val="24"/>
          <w:szCs w:val="24"/>
        </w:rPr>
        <w:t xml:space="preserve"> </w:t>
      </w:r>
      <w:r>
        <w:rPr>
          <w:rFonts w:ascii="宋体" w:hAnsi="宋体" w:eastAsia="宋体" w:cs="宋体"/>
          <w:spacing w:val="2"/>
          <w:sz w:val="24"/>
          <w:szCs w:val="24"/>
        </w:rPr>
        <w:t>了解事发时间、方位、信息来源、事件种类，</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分钟内将现场情况报上级部门以</w:t>
      </w:r>
      <w:r>
        <w:rPr>
          <w:rFonts w:ascii="宋体" w:hAnsi="宋体" w:eastAsia="宋体" w:cs="宋体"/>
          <w:spacing w:val="15"/>
          <w:sz w:val="24"/>
          <w:szCs w:val="24"/>
        </w:rPr>
        <w:t xml:space="preserve"> </w:t>
      </w:r>
      <w:r>
        <w:rPr>
          <w:rFonts w:ascii="宋体" w:hAnsi="宋体" w:eastAsia="宋体" w:cs="宋体"/>
          <w:spacing w:val="2"/>
          <w:sz w:val="24"/>
          <w:szCs w:val="24"/>
        </w:rPr>
        <w:t>及生态环境、消防、公安等相关部门。同时将信息内容录入相关栏目中，传送监</w:t>
      </w:r>
    </w:p>
    <w:p>
      <w:pPr>
        <w:spacing w:before="1" w:line="218" w:lineRule="auto"/>
        <w:ind w:left="37"/>
        <w:rPr>
          <w:rFonts w:ascii="宋体" w:hAnsi="宋体" w:eastAsia="宋体" w:cs="宋体"/>
          <w:sz w:val="24"/>
          <w:szCs w:val="24"/>
        </w:rPr>
      </w:pPr>
      <w:r>
        <w:rPr>
          <w:rFonts w:ascii="宋体" w:hAnsi="宋体" w:eastAsia="宋体" w:cs="宋体"/>
          <w:spacing w:val="4"/>
          <w:sz w:val="24"/>
          <w:szCs w:val="24"/>
        </w:rPr>
        <w:t>控指挥中心，并将上级指令内容和指令传达情况通过录音电话录音备案。</w:t>
      </w:r>
    </w:p>
    <w:p>
      <w:pPr>
        <w:spacing w:before="173" w:line="221" w:lineRule="auto"/>
        <w:ind w:left="529"/>
        <w:rPr>
          <w:rFonts w:ascii="宋体" w:hAnsi="宋体" w:eastAsia="宋体" w:cs="宋体"/>
          <w:sz w:val="24"/>
          <w:szCs w:val="24"/>
        </w:rPr>
      </w:pPr>
      <w:r>
        <w:rPr>
          <w:rFonts w:ascii="宋体" w:hAnsi="宋体" w:eastAsia="宋体" w:cs="宋体"/>
          <w:spacing w:val="-8"/>
          <w:sz w:val="24"/>
          <w:szCs w:val="24"/>
        </w:rPr>
        <w:t>主要职责：</w:t>
      </w:r>
    </w:p>
    <w:p>
      <w:pPr>
        <w:spacing w:before="173" w:line="219" w:lineRule="auto"/>
        <w:ind w:left="520"/>
        <w:rPr>
          <w:rFonts w:ascii="宋体" w:hAnsi="宋体" w:eastAsia="宋体" w:cs="宋体"/>
          <w:sz w:val="24"/>
          <w:szCs w:val="24"/>
        </w:rPr>
      </w:pPr>
      <w:r>
        <w:rPr>
          <w:rFonts w:ascii="Times New Roman" w:hAnsi="Times New Roman" w:eastAsia="Times New Roman" w:cs="Times New Roman"/>
          <w:spacing w:val="4"/>
          <w:sz w:val="24"/>
          <w:szCs w:val="24"/>
        </w:rPr>
        <w:t>A</w:t>
      </w:r>
      <w:r>
        <w:rPr>
          <w:rFonts w:ascii="宋体" w:hAnsi="宋体" w:eastAsia="宋体" w:cs="宋体"/>
          <w:spacing w:val="4"/>
          <w:sz w:val="24"/>
          <w:szCs w:val="24"/>
        </w:rPr>
        <w:t>、根据突发性风险事故情况和级别，下达应急命令，指挥应急行动；</w:t>
      </w:r>
    </w:p>
    <w:p>
      <w:pPr>
        <w:spacing w:before="176" w:line="220" w:lineRule="auto"/>
        <w:ind w:left="522"/>
        <w:rPr>
          <w:rFonts w:ascii="宋体" w:hAnsi="宋体" w:eastAsia="宋体" w:cs="宋体"/>
          <w:sz w:val="24"/>
          <w:szCs w:val="24"/>
        </w:rPr>
      </w:pPr>
      <w:r>
        <w:rPr>
          <w:rFonts w:ascii="Times New Roman" w:hAnsi="Times New Roman" w:eastAsia="Times New Roman" w:cs="Times New Roman"/>
          <w:spacing w:val="-6"/>
          <w:sz w:val="24"/>
          <w:szCs w:val="24"/>
        </w:rPr>
        <w:t>B</w:t>
      </w:r>
      <w:r>
        <w:rPr>
          <w:rFonts w:ascii="宋体" w:hAnsi="宋体" w:eastAsia="宋体" w:cs="宋体"/>
          <w:spacing w:val="-6"/>
          <w:sz w:val="24"/>
          <w:szCs w:val="24"/>
        </w:rPr>
        <w:t>、调动人力、物力，</w:t>
      </w:r>
      <w:r>
        <w:rPr>
          <w:rFonts w:ascii="宋体" w:hAnsi="宋体" w:eastAsia="宋体" w:cs="宋体"/>
          <w:spacing w:val="80"/>
          <w:sz w:val="24"/>
          <w:szCs w:val="24"/>
        </w:rPr>
        <w:t xml:space="preserve"> </w:t>
      </w:r>
      <w:r>
        <w:rPr>
          <w:rFonts w:ascii="宋体" w:hAnsi="宋体" w:eastAsia="宋体" w:cs="宋体"/>
          <w:spacing w:val="-6"/>
          <w:sz w:val="24"/>
          <w:szCs w:val="24"/>
        </w:rPr>
        <w:t>协调应急服务组的应急活动；</w:t>
      </w:r>
    </w:p>
    <w:p>
      <w:pPr>
        <w:spacing w:before="172" w:line="219" w:lineRule="auto"/>
        <w:ind w:left="526"/>
        <w:rPr>
          <w:rFonts w:ascii="宋体" w:hAnsi="宋体" w:eastAsia="宋体" w:cs="宋体"/>
          <w:sz w:val="24"/>
          <w:szCs w:val="24"/>
        </w:rPr>
      </w:pPr>
      <w:r>
        <w:rPr>
          <w:rFonts w:ascii="Times New Roman" w:hAnsi="Times New Roman" w:eastAsia="Times New Roman" w:cs="Times New Roman"/>
          <w:sz w:val="24"/>
          <w:szCs w:val="24"/>
        </w:rPr>
        <w:t>C</w:t>
      </w:r>
      <w:r>
        <w:rPr>
          <w:rFonts w:ascii="宋体" w:hAnsi="宋体" w:eastAsia="宋体" w:cs="宋体"/>
          <w:sz w:val="24"/>
          <w:szCs w:val="24"/>
        </w:rPr>
        <w:t>、负责对外联络及发布消息；</w:t>
      </w:r>
    </w:p>
    <w:p>
      <w:pPr>
        <w:spacing w:before="176" w:line="220" w:lineRule="auto"/>
        <w:ind w:left="522"/>
        <w:rPr>
          <w:rFonts w:ascii="宋体" w:hAnsi="宋体" w:eastAsia="宋体" w:cs="宋体"/>
          <w:sz w:val="24"/>
          <w:szCs w:val="24"/>
        </w:rPr>
      </w:pPr>
      <w:r>
        <w:rPr>
          <w:rFonts w:ascii="Times New Roman" w:hAnsi="Times New Roman" w:eastAsia="Times New Roman" w:cs="Times New Roman"/>
          <w:spacing w:val="4"/>
          <w:sz w:val="24"/>
          <w:szCs w:val="24"/>
        </w:rPr>
        <w:t>D</w:t>
      </w:r>
      <w:r>
        <w:rPr>
          <w:rFonts w:ascii="宋体" w:hAnsi="宋体" w:eastAsia="宋体" w:cs="宋体"/>
          <w:spacing w:val="4"/>
          <w:sz w:val="24"/>
          <w:szCs w:val="24"/>
        </w:rPr>
        <w:t>、组织事故调查，总结应急救援工作经验及事故的善后工作；</w:t>
      </w:r>
    </w:p>
    <w:p>
      <w:pPr>
        <w:spacing w:before="175" w:line="220" w:lineRule="auto"/>
        <w:ind w:left="523"/>
        <w:rPr>
          <w:rFonts w:ascii="宋体" w:hAnsi="宋体" w:eastAsia="宋体" w:cs="宋体"/>
          <w:sz w:val="24"/>
          <w:szCs w:val="24"/>
        </w:rPr>
      </w:pPr>
      <w:r>
        <w:rPr>
          <w:rFonts w:ascii="Times New Roman" w:hAnsi="Times New Roman" w:eastAsia="Times New Roman" w:cs="Times New Roman"/>
          <w:spacing w:val="2"/>
          <w:sz w:val="24"/>
          <w:szCs w:val="24"/>
        </w:rPr>
        <w:t>E</w:t>
      </w:r>
      <w:r>
        <w:rPr>
          <w:rFonts w:ascii="宋体" w:hAnsi="宋体" w:eastAsia="宋体" w:cs="宋体"/>
          <w:spacing w:val="2"/>
          <w:sz w:val="24"/>
          <w:szCs w:val="24"/>
        </w:rPr>
        <w:t>、组织应急培训和演习。</w:t>
      </w:r>
    </w:p>
    <w:p>
      <w:pPr>
        <w:spacing w:before="172" w:line="220" w:lineRule="auto"/>
        <w:ind w:left="527"/>
        <w:rPr>
          <w:rFonts w:ascii="宋体" w:hAnsi="宋体" w:eastAsia="宋体" w:cs="宋体"/>
          <w:sz w:val="24"/>
          <w:szCs w:val="24"/>
        </w:rPr>
      </w:pPr>
      <w:r>
        <w:rPr>
          <w:rFonts w:ascii="宋体" w:hAnsi="宋体" w:eastAsia="宋体" w:cs="宋体"/>
          <w:sz w:val="24"/>
          <w:szCs w:val="24"/>
        </w:rPr>
        <w:t>应急救援人员：应急救援人员包括：</w:t>
      </w:r>
    </w:p>
    <w:p>
      <w:pPr>
        <w:spacing w:before="175" w:line="461" w:lineRule="exact"/>
        <w:ind w:right="44"/>
        <w:jc w:val="right"/>
        <w:rPr>
          <w:rFonts w:ascii="宋体" w:hAnsi="宋体" w:eastAsia="宋体" w:cs="宋体"/>
          <w:sz w:val="24"/>
          <w:szCs w:val="24"/>
        </w:rPr>
      </w:pPr>
      <w:r>
        <w:rPr>
          <w:rFonts w:ascii="Times New Roman" w:hAnsi="Times New Roman" w:eastAsia="Times New Roman" w:cs="Times New Roman"/>
          <w:spacing w:val="4"/>
          <w:position w:val="16"/>
          <w:sz w:val="24"/>
          <w:szCs w:val="24"/>
        </w:rPr>
        <w:t>A</w:t>
      </w:r>
      <w:r>
        <w:rPr>
          <w:rFonts w:ascii="宋体" w:hAnsi="宋体" w:eastAsia="宋体" w:cs="宋体"/>
          <w:spacing w:val="4"/>
          <w:position w:val="16"/>
          <w:sz w:val="24"/>
          <w:szCs w:val="24"/>
        </w:rPr>
        <w:t>、危险源控制组，主要是负责在紧急状态下的现场抢险作业，发生危险事</w:t>
      </w:r>
    </w:p>
    <w:p>
      <w:pPr>
        <w:spacing w:before="1" w:line="219" w:lineRule="auto"/>
        <w:jc w:val="right"/>
        <w:rPr>
          <w:rFonts w:ascii="宋体" w:hAnsi="宋体" w:eastAsia="宋体" w:cs="宋体"/>
          <w:sz w:val="24"/>
          <w:szCs w:val="24"/>
        </w:rPr>
      </w:pPr>
      <w:r>
        <w:rPr>
          <w:rFonts w:ascii="宋体" w:hAnsi="宋体" w:eastAsia="宋体" w:cs="宋体"/>
          <w:spacing w:val="-4"/>
          <w:sz w:val="24"/>
          <w:szCs w:val="24"/>
        </w:rPr>
        <w:t>故及时通知周边居民，由建设单位安全部门负责，必要时</w:t>
      </w:r>
      <w:r>
        <w:rPr>
          <w:rFonts w:ascii="宋体" w:hAnsi="宋体" w:eastAsia="宋体" w:cs="宋体"/>
          <w:spacing w:val="-5"/>
          <w:sz w:val="24"/>
          <w:szCs w:val="24"/>
        </w:rPr>
        <w:t>包括地方专业防护队伍；</w:t>
      </w:r>
    </w:p>
    <w:p>
      <w:pPr>
        <w:spacing w:before="173" w:line="461" w:lineRule="exact"/>
        <w:ind w:right="27"/>
        <w:jc w:val="right"/>
        <w:rPr>
          <w:rFonts w:ascii="宋体" w:hAnsi="宋体" w:eastAsia="宋体" w:cs="宋体"/>
          <w:sz w:val="24"/>
          <w:szCs w:val="24"/>
        </w:rPr>
      </w:pPr>
      <w:r>
        <w:rPr>
          <w:rFonts w:ascii="Times New Roman" w:hAnsi="Times New Roman" w:eastAsia="Times New Roman" w:cs="Times New Roman"/>
          <w:spacing w:val="-8"/>
          <w:position w:val="16"/>
          <w:sz w:val="21"/>
          <w:szCs w:val="21"/>
        </w:rPr>
        <w:t>B</w:t>
      </w:r>
      <w:r>
        <w:rPr>
          <w:rFonts w:ascii="Times New Roman" w:hAnsi="Times New Roman" w:eastAsia="Times New Roman" w:cs="Times New Roman"/>
          <w:spacing w:val="-27"/>
          <w:position w:val="16"/>
          <w:sz w:val="21"/>
          <w:szCs w:val="21"/>
        </w:rPr>
        <w:t xml:space="preserve"> </w:t>
      </w:r>
      <w:r>
        <w:rPr>
          <w:rFonts w:ascii="宋体" w:hAnsi="宋体" w:eastAsia="宋体" w:cs="宋体"/>
          <w:spacing w:val="-8"/>
          <w:position w:val="16"/>
          <w:sz w:val="21"/>
          <w:szCs w:val="21"/>
        </w:rPr>
        <w:t>、</w:t>
      </w:r>
      <w:r>
        <w:rPr>
          <w:rFonts w:ascii="宋体" w:hAnsi="宋体" w:eastAsia="宋体" w:cs="宋体"/>
          <w:spacing w:val="-42"/>
          <w:position w:val="16"/>
          <w:sz w:val="21"/>
          <w:szCs w:val="21"/>
        </w:rPr>
        <w:t xml:space="preserve"> </w:t>
      </w:r>
      <w:r>
        <w:rPr>
          <w:rFonts w:ascii="宋体" w:hAnsi="宋体" w:eastAsia="宋体" w:cs="宋体"/>
          <w:spacing w:val="-8"/>
          <w:position w:val="16"/>
          <w:sz w:val="24"/>
          <w:szCs w:val="24"/>
        </w:rPr>
        <w:t>清污组，主要负责各类水质污染事故的污染清除工作，由</w:t>
      </w:r>
      <w:r>
        <w:rPr>
          <w:rFonts w:ascii="宋体" w:hAnsi="宋体" w:eastAsia="宋体" w:cs="宋体"/>
          <w:spacing w:val="-9"/>
          <w:position w:val="16"/>
          <w:sz w:val="24"/>
          <w:szCs w:val="24"/>
        </w:rPr>
        <w:t>建设单位环境保护</w:t>
      </w:r>
    </w:p>
    <w:p>
      <w:pPr>
        <w:spacing w:before="1" w:line="219" w:lineRule="auto"/>
        <w:ind w:left="43"/>
        <w:rPr>
          <w:rFonts w:ascii="宋体" w:hAnsi="宋体" w:eastAsia="宋体" w:cs="宋体"/>
          <w:sz w:val="24"/>
          <w:szCs w:val="24"/>
        </w:rPr>
      </w:pPr>
      <w:r>
        <w:rPr>
          <w:rFonts w:ascii="宋体" w:hAnsi="宋体" w:eastAsia="宋体" w:cs="宋体"/>
          <w:spacing w:val="2"/>
          <w:sz w:val="24"/>
          <w:szCs w:val="24"/>
        </w:rPr>
        <w:t>管理办公室和当地环保部门、水利部门及专业单位组成；</w:t>
      </w:r>
    </w:p>
    <w:p>
      <w:pPr>
        <w:spacing w:before="175" w:line="458" w:lineRule="exact"/>
        <w:ind w:right="15"/>
        <w:jc w:val="right"/>
        <w:rPr>
          <w:rFonts w:ascii="宋体" w:hAnsi="宋体" w:eastAsia="宋体" w:cs="宋体"/>
          <w:sz w:val="24"/>
          <w:szCs w:val="24"/>
        </w:rPr>
      </w:pPr>
      <w:r>
        <w:rPr>
          <w:rFonts w:ascii="Times New Roman" w:hAnsi="Times New Roman" w:eastAsia="Times New Roman" w:cs="Times New Roman"/>
          <w:spacing w:val="-6"/>
          <w:position w:val="16"/>
          <w:sz w:val="21"/>
          <w:szCs w:val="21"/>
        </w:rPr>
        <w:t>C</w:t>
      </w:r>
      <w:r>
        <w:rPr>
          <w:rFonts w:ascii="Times New Roman" w:hAnsi="Times New Roman" w:eastAsia="Times New Roman" w:cs="Times New Roman"/>
          <w:spacing w:val="-27"/>
          <w:position w:val="16"/>
          <w:sz w:val="21"/>
          <w:szCs w:val="21"/>
        </w:rPr>
        <w:t xml:space="preserve"> </w:t>
      </w:r>
      <w:r>
        <w:rPr>
          <w:rFonts w:ascii="宋体" w:hAnsi="宋体" w:eastAsia="宋体" w:cs="宋体"/>
          <w:spacing w:val="-6"/>
          <w:position w:val="16"/>
          <w:sz w:val="21"/>
          <w:szCs w:val="21"/>
        </w:rPr>
        <w:t>、</w:t>
      </w:r>
      <w:r>
        <w:rPr>
          <w:rFonts w:ascii="宋体" w:hAnsi="宋体" w:eastAsia="宋体" w:cs="宋体"/>
          <w:spacing w:val="-6"/>
          <w:position w:val="16"/>
          <w:sz w:val="24"/>
          <w:szCs w:val="24"/>
        </w:rPr>
        <w:t>消防组，负责现场灭火、设备容器的冷却、喷水隔爆、抢救</w:t>
      </w:r>
      <w:r>
        <w:rPr>
          <w:rFonts w:ascii="宋体" w:hAnsi="宋体" w:eastAsia="宋体" w:cs="宋体"/>
          <w:spacing w:val="-7"/>
          <w:position w:val="16"/>
          <w:sz w:val="24"/>
          <w:szCs w:val="24"/>
        </w:rPr>
        <w:t>伤员及事故后对</w:t>
      </w:r>
    </w:p>
    <w:p>
      <w:pPr>
        <w:spacing w:before="1" w:line="219" w:lineRule="auto"/>
        <w:ind w:left="38"/>
        <w:rPr>
          <w:rFonts w:ascii="宋体" w:hAnsi="宋体" w:eastAsia="宋体" w:cs="宋体"/>
          <w:sz w:val="24"/>
          <w:szCs w:val="24"/>
        </w:rPr>
      </w:pPr>
      <w:r>
        <w:rPr>
          <w:rFonts w:ascii="宋体" w:hAnsi="宋体" w:eastAsia="宋体" w:cs="宋体"/>
          <w:spacing w:val="-8"/>
          <w:sz w:val="24"/>
          <w:szCs w:val="24"/>
        </w:rPr>
        <w:t>被污染区域的清洗工作，人员由建设单位安全部门和当地公安消防队伍组成；</w:t>
      </w:r>
    </w:p>
    <w:p>
      <w:pPr>
        <w:spacing w:before="176" w:line="460" w:lineRule="exact"/>
        <w:ind w:right="30"/>
        <w:jc w:val="right"/>
        <w:rPr>
          <w:rFonts w:ascii="宋体" w:hAnsi="宋体" w:eastAsia="宋体" w:cs="宋体"/>
          <w:sz w:val="24"/>
          <w:szCs w:val="24"/>
        </w:rPr>
      </w:pPr>
      <w:r>
        <w:rPr>
          <w:rFonts w:ascii="Times New Roman" w:hAnsi="Times New Roman" w:eastAsia="Times New Roman" w:cs="Times New Roman"/>
          <w:spacing w:val="-7"/>
          <w:position w:val="16"/>
          <w:sz w:val="21"/>
          <w:szCs w:val="21"/>
        </w:rPr>
        <w:t>D</w:t>
      </w:r>
      <w:r>
        <w:rPr>
          <w:rFonts w:ascii="Times New Roman" w:hAnsi="Times New Roman" w:eastAsia="Times New Roman" w:cs="Times New Roman"/>
          <w:spacing w:val="-21"/>
          <w:position w:val="16"/>
          <w:sz w:val="21"/>
          <w:szCs w:val="21"/>
        </w:rPr>
        <w:t xml:space="preserve"> </w:t>
      </w:r>
      <w:r>
        <w:rPr>
          <w:rFonts w:ascii="宋体" w:hAnsi="宋体" w:eastAsia="宋体" w:cs="宋体"/>
          <w:spacing w:val="-7"/>
          <w:position w:val="16"/>
          <w:sz w:val="21"/>
          <w:szCs w:val="21"/>
        </w:rPr>
        <w:t>、</w:t>
      </w:r>
      <w:r>
        <w:rPr>
          <w:rFonts w:ascii="宋体" w:hAnsi="宋体" w:eastAsia="宋体" w:cs="宋体"/>
          <w:spacing w:val="-7"/>
          <w:position w:val="16"/>
          <w:sz w:val="24"/>
          <w:szCs w:val="24"/>
        </w:rPr>
        <w:t>安全警戒组，负责布置安全警戒，禁止无关人员进入危险区域，由建设单位</w:t>
      </w:r>
    </w:p>
    <w:p>
      <w:pPr>
        <w:spacing w:before="1" w:line="219" w:lineRule="auto"/>
        <w:ind w:left="42"/>
        <w:rPr>
          <w:rFonts w:ascii="宋体" w:hAnsi="宋体" w:eastAsia="宋体" w:cs="宋体"/>
          <w:sz w:val="24"/>
          <w:szCs w:val="24"/>
        </w:rPr>
      </w:pPr>
      <w:r>
        <w:rPr>
          <w:rFonts w:ascii="宋体" w:hAnsi="宋体" w:eastAsia="宋体" w:cs="宋体"/>
          <w:sz w:val="24"/>
          <w:szCs w:val="24"/>
        </w:rPr>
        <w:t>安全保卫人员和当地公安部门负责；</w:t>
      </w:r>
    </w:p>
    <w:p>
      <w:pPr>
        <w:spacing w:before="173" w:line="461" w:lineRule="exact"/>
        <w:ind w:right="21"/>
        <w:jc w:val="right"/>
        <w:rPr>
          <w:rFonts w:ascii="宋体" w:hAnsi="宋体" w:eastAsia="宋体" w:cs="宋体"/>
          <w:sz w:val="24"/>
          <w:szCs w:val="24"/>
        </w:rPr>
      </w:pPr>
      <w:r>
        <w:rPr>
          <w:rFonts w:ascii="Times New Roman" w:hAnsi="Times New Roman" w:eastAsia="Times New Roman" w:cs="Times New Roman"/>
          <w:spacing w:val="-3"/>
          <w:position w:val="16"/>
          <w:sz w:val="21"/>
          <w:szCs w:val="21"/>
        </w:rPr>
        <w:t>E</w:t>
      </w:r>
      <w:r>
        <w:rPr>
          <w:rFonts w:ascii="Times New Roman" w:hAnsi="Times New Roman" w:eastAsia="Times New Roman" w:cs="Times New Roman"/>
          <w:spacing w:val="-24"/>
          <w:position w:val="16"/>
          <w:sz w:val="21"/>
          <w:szCs w:val="21"/>
        </w:rPr>
        <w:t xml:space="preserve"> </w:t>
      </w:r>
      <w:r>
        <w:rPr>
          <w:rFonts w:ascii="宋体" w:hAnsi="宋体" w:eastAsia="宋体" w:cs="宋体"/>
          <w:spacing w:val="-3"/>
          <w:position w:val="16"/>
          <w:sz w:val="21"/>
          <w:szCs w:val="21"/>
        </w:rPr>
        <w:t>、</w:t>
      </w:r>
      <w:r>
        <w:rPr>
          <w:rFonts w:ascii="宋体" w:hAnsi="宋体" w:eastAsia="宋体" w:cs="宋体"/>
          <w:spacing w:val="32"/>
          <w:position w:val="16"/>
          <w:sz w:val="21"/>
          <w:szCs w:val="21"/>
        </w:rPr>
        <w:t xml:space="preserve"> </w:t>
      </w:r>
      <w:r>
        <w:rPr>
          <w:rFonts w:ascii="宋体" w:hAnsi="宋体" w:eastAsia="宋体" w:cs="宋体"/>
          <w:spacing w:val="-3"/>
          <w:position w:val="16"/>
          <w:sz w:val="24"/>
          <w:szCs w:val="24"/>
        </w:rPr>
        <w:t>物资供应组，负责组织相关应急物资、工器具的市场供应，</w:t>
      </w:r>
      <w:r>
        <w:rPr>
          <w:rFonts w:ascii="宋体" w:hAnsi="宋体" w:eastAsia="宋体" w:cs="宋体"/>
          <w:spacing w:val="-4"/>
          <w:position w:val="16"/>
          <w:sz w:val="24"/>
          <w:szCs w:val="24"/>
        </w:rPr>
        <w:t>组织运送应急</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物资和人员，由建设单位和当地政府相关部门负责；</w:t>
      </w:r>
    </w:p>
    <w:p>
      <w:pPr>
        <w:spacing w:before="176" w:line="354" w:lineRule="auto"/>
        <w:ind w:left="42" w:right="14" w:firstLine="476"/>
        <w:rPr>
          <w:rFonts w:ascii="宋体" w:hAnsi="宋体" w:eastAsia="宋体" w:cs="宋体"/>
          <w:sz w:val="24"/>
          <w:szCs w:val="24"/>
        </w:rPr>
      </w:pPr>
      <w:r>
        <w:rPr>
          <w:rFonts w:ascii="Times New Roman" w:hAnsi="Times New Roman" w:eastAsia="Times New Roman" w:cs="Times New Roman"/>
          <w:spacing w:val="6"/>
          <w:sz w:val="24"/>
          <w:szCs w:val="24"/>
        </w:rPr>
        <w:t>F</w:t>
      </w:r>
      <w:r>
        <w:rPr>
          <w:rFonts w:ascii="宋体" w:hAnsi="宋体" w:eastAsia="宋体" w:cs="宋体"/>
          <w:spacing w:val="6"/>
          <w:sz w:val="24"/>
          <w:szCs w:val="24"/>
        </w:rPr>
        <w:t>、环境监测组，负责对大气、水质、土壤等进行环境应</w:t>
      </w:r>
      <w:r>
        <w:rPr>
          <w:rFonts w:ascii="宋体" w:hAnsi="宋体" w:eastAsia="宋体" w:cs="宋体"/>
          <w:spacing w:val="5"/>
          <w:sz w:val="24"/>
          <w:szCs w:val="24"/>
        </w:rPr>
        <w:t>急监测，确定影响</w:t>
      </w:r>
      <w:r>
        <w:rPr>
          <w:rFonts w:ascii="宋体" w:hAnsi="宋体" w:eastAsia="宋体" w:cs="宋体"/>
          <w:sz w:val="24"/>
          <w:szCs w:val="24"/>
        </w:rPr>
        <w:t xml:space="preserve"> </w:t>
      </w:r>
      <w:r>
        <w:rPr>
          <w:rFonts w:ascii="宋体" w:hAnsi="宋体" w:eastAsia="宋体" w:cs="宋体"/>
          <w:spacing w:val="-10"/>
          <w:sz w:val="24"/>
          <w:szCs w:val="24"/>
        </w:rPr>
        <w:t>区域范围和危险物质浓度，对事故造成的环境影响做出正确评估，为</w:t>
      </w:r>
      <w:r>
        <w:rPr>
          <w:rFonts w:ascii="宋体" w:hAnsi="宋体" w:eastAsia="宋体" w:cs="宋体"/>
          <w:spacing w:val="-11"/>
          <w:sz w:val="24"/>
          <w:szCs w:val="24"/>
        </w:rPr>
        <w:t>指挥人员决策和</w:t>
      </w:r>
      <w:r>
        <w:rPr>
          <w:rFonts w:ascii="宋体" w:hAnsi="宋体" w:eastAsia="宋体" w:cs="宋体"/>
          <w:sz w:val="24"/>
          <w:szCs w:val="24"/>
        </w:rPr>
        <w:t xml:space="preserve"> </w:t>
      </w:r>
      <w:r>
        <w:rPr>
          <w:rFonts w:ascii="宋体" w:hAnsi="宋体" w:eastAsia="宋体" w:cs="宋体"/>
          <w:spacing w:val="-11"/>
          <w:sz w:val="24"/>
          <w:szCs w:val="24"/>
        </w:rPr>
        <w:t>消除事故污染提供依据，并负责对事故现场危险物质的处置，由建设单位生态环境保</w:t>
      </w:r>
    </w:p>
    <w:p>
      <w:pPr>
        <w:spacing w:before="1" w:line="219" w:lineRule="auto"/>
        <w:ind w:left="39"/>
        <w:rPr>
          <w:rFonts w:ascii="宋体" w:hAnsi="宋体" w:eastAsia="宋体" w:cs="宋体"/>
          <w:sz w:val="24"/>
          <w:szCs w:val="24"/>
        </w:rPr>
      </w:pPr>
      <w:r>
        <w:rPr>
          <w:rFonts w:ascii="宋体" w:hAnsi="宋体" w:eastAsia="宋体" w:cs="宋体"/>
          <w:spacing w:val="1"/>
          <w:sz w:val="24"/>
          <w:szCs w:val="24"/>
        </w:rPr>
        <w:t>护管理办公室和当地生态环境局负责；</w:t>
      </w:r>
    </w:p>
    <w:p>
      <w:pPr>
        <w:spacing w:before="174" w:line="354" w:lineRule="auto"/>
        <w:ind w:left="39" w:right="35" w:firstLine="468"/>
        <w:rPr>
          <w:rFonts w:ascii="宋体" w:hAnsi="宋体" w:eastAsia="宋体" w:cs="宋体"/>
          <w:sz w:val="24"/>
          <w:szCs w:val="24"/>
        </w:rPr>
      </w:pPr>
      <w:r>
        <w:rPr>
          <w:rFonts w:ascii="Times New Roman" w:hAnsi="Times New Roman" w:eastAsia="Times New Roman" w:cs="Times New Roman"/>
          <w:spacing w:val="-6"/>
          <w:sz w:val="24"/>
          <w:szCs w:val="24"/>
        </w:rPr>
        <w:t>G</w:t>
      </w:r>
      <w:r>
        <w:rPr>
          <w:rFonts w:ascii="宋体" w:hAnsi="宋体" w:eastAsia="宋体" w:cs="宋体"/>
          <w:spacing w:val="-6"/>
          <w:sz w:val="24"/>
          <w:szCs w:val="24"/>
        </w:rPr>
        <w:t>、专家咨询组， 负责对事故应急救援提出方案和安全措施，现场指导救援工</w:t>
      </w:r>
      <w:r>
        <w:rPr>
          <w:rFonts w:ascii="宋体" w:hAnsi="宋体" w:eastAsia="宋体" w:cs="宋体"/>
          <w:spacing w:val="14"/>
          <w:sz w:val="24"/>
          <w:szCs w:val="24"/>
        </w:rPr>
        <w:t xml:space="preserve"> </w:t>
      </w:r>
      <w:r>
        <w:rPr>
          <w:rFonts w:ascii="宋体" w:hAnsi="宋体" w:eastAsia="宋体" w:cs="宋体"/>
          <w:spacing w:val="-17"/>
          <w:sz w:val="24"/>
          <w:szCs w:val="24"/>
        </w:rPr>
        <w:t>作，参与事故的调查分析并制定防范措施，由建设单位安全监督部门、当地各相关部门</w:t>
      </w:r>
    </w:p>
    <w:p>
      <w:pPr>
        <w:spacing w:before="1" w:line="218" w:lineRule="auto"/>
        <w:ind w:left="39"/>
        <w:rPr>
          <w:rFonts w:ascii="宋体" w:hAnsi="宋体" w:eastAsia="宋体" w:cs="宋体"/>
          <w:sz w:val="24"/>
          <w:szCs w:val="24"/>
        </w:rPr>
      </w:pPr>
      <w:r>
        <w:rPr>
          <w:rFonts w:ascii="宋体" w:hAnsi="宋体" w:eastAsia="宋体" w:cs="宋体"/>
          <w:spacing w:val="1"/>
          <w:sz w:val="24"/>
          <w:szCs w:val="24"/>
        </w:rPr>
        <w:t>技术专家组成，由领导机构负责组织；</w:t>
      </w:r>
    </w:p>
    <w:p>
      <w:pPr>
        <w:spacing w:before="175" w:line="218" w:lineRule="auto"/>
        <w:ind w:right="27"/>
        <w:jc w:val="right"/>
        <w:rPr>
          <w:rFonts w:ascii="宋体" w:hAnsi="宋体" w:eastAsia="宋体" w:cs="宋体"/>
          <w:sz w:val="24"/>
          <w:szCs w:val="24"/>
        </w:rPr>
      </w:pPr>
      <w:r>
        <w:rPr>
          <w:rFonts w:ascii="Times New Roman" w:hAnsi="Times New Roman" w:eastAsia="Times New Roman" w:cs="Times New Roman"/>
          <w:spacing w:val="-9"/>
          <w:sz w:val="24"/>
          <w:szCs w:val="24"/>
        </w:rPr>
        <w:t>H</w:t>
      </w:r>
      <w:r>
        <w:rPr>
          <w:rFonts w:ascii="宋体" w:hAnsi="宋体" w:eastAsia="宋体" w:cs="宋体"/>
          <w:spacing w:val="-9"/>
          <w:sz w:val="24"/>
          <w:szCs w:val="24"/>
        </w:rPr>
        <w:t>、综合协调组，负责综合协调、信息沟通、事故新闻和应急公告发布，由建设</w:t>
      </w:r>
    </w:p>
    <w:p>
      <w:pPr>
        <w:spacing w:line="218" w:lineRule="auto"/>
        <w:rPr>
          <w:rFonts w:ascii="宋体" w:hAnsi="宋体" w:eastAsia="宋体" w:cs="宋体"/>
          <w:sz w:val="24"/>
          <w:szCs w:val="24"/>
        </w:rPr>
        <w:sectPr>
          <w:headerReference r:id="rId342" w:type="default"/>
          <w:footerReference r:id="rId343" w:type="default"/>
          <w:pgSz w:w="11907" w:h="16839"/>
          <w:pgMar w:top="1118" w:right="1670" w:bottom="1009" w:left="1673" w:header="877" w:footer="845" w:gutter="0"/>
          <w:cols w:space="720" w:num="1"/>
        </w:sectPr>
      </w:pPr>
    </w:p>
    <w:p>
      <w:pPr>
        <w:pStyle w:val="2"/>
        <w:spacing w:line="380" w:lineRule="auto"/>
      </w:pPr>
    </w:p>
    <w:p>
      <w:pPr>
        <w:spacing w:before="78" w:line="219" w:lineRule="auto"/>
        <w:ind w:left="40"/>
        <w:rPr>
          <w:rFonts w:ascii="宋体" w:hAnsi="宋体" w:eastAsia="宋体" w:cs="宋体"/>
          <w:sz w:val="24"/>
          <w:szCs w:val="24"/>
        </w:rPr>
      </w:pPr>
      <w:r>
        <w:rPr>
          <w:rFonts w:ascii="宋体" w:hAnsi="宋体" w:eastAsia="宋体" w:cs="宋体"/>
          <w:sz w:val="24"/>
          <w:szCs w:val="24"/>
        </w:rPr>
        <w:t>单位、当地宣传部门组成；</w:t>
      </w:r>
    </w:p>
    <w:p>
      <w:pPr>
        <w:spacing w:before="176" w:line="458" w:lineRule="exact"/>
        <w:ind w:left="521"/>
        <w:rPr>
          <w:rFonts w:ascii="宋体" w:hAnsi="宋体" w:eastAsia="宋体" w:cs="宋体"/>
          <w:sz w:val="24"/>
          <w:szCs w:val="24"/>
        </w:rPr>
      </w:pPr>
      <w:r>
        <w:rPr>
          <w:rFonts w:ascii="Times New Roman" w:hAnsi="Times New Roman" w:eastAsia="Times New Roman" w:cs="Times New Roman"/>
          <w:spacing w:val="5"/>
          <w:position w:val="16"/>
          <w:sz w:val="24"/>
          <w:szCs w:val="24"/>
        </w:rPr>
        <w:t>I</w:t>
      </w:r>
      <w:r>
        <w:rPr>
          <w:rFonts w:ascii="宋体" w:hAnsi="宋体" w:eastAsia="宋体" w:cs="宋体"/>
          <w:spacing w:val="5"/>
          <w:position w:val="16"/>
          <w:sz w:val="24"/>
          <w:szCs w:val="24"/>
        </w:rPr>
        <w:t>、善后处理组，负责现场处置、善后工作，</w:t>
      </w:r>
      <w:r>
        <w:rPr>
          <w:rFonts w:ascii="宋体" w:hAnsi="宋体" w:eastAsia="宋体" w:cs="宋体"/>
          <w:spacing w:val="-58"/>
          <w:position w:val="16"/>
          <w:sz w:val="24"/>
          <w:szCs w:val="24"/>
        </w:rPr>
        <w:t xml:space="preserve"> </w:t>
      </w:r>
      <w:r>
        <w:rPr>
          <w:rFonts w:ascii="宋体" w:hAnsi="宋体" w:eastAsia="宋体" w:cs="宋体"/>
          <w:spacing w:val="5"/>
          <w:position w:val="16"/>
          <w:sz w:val="24"/>
          <w:szCs w:val="24"/>
        </w:rPr>
        <w:t>由建设单位、当地政府相关部</w:t>
      </w:r>
    </w:p>
    <w:p>
      <w:pPr>
        <w:spacing w:before="1" w:line="220" w:lineRule="auto"/>
        <w:ind w:left="65"/>
        <w:rPr>
          <w:rFonts w:ascii="宋体" w:hAnsi="宋体" w:eastAsia="宋体" w:cs="宋体"/>
          <w:sz w:val="24"/>
          <w:szCs w:val="24"/>
        </w:rPr>
      </w:pPr>
      <w:r>
        <w:rPr>
          <w:rFonts w:ascii="宋体" w:hAnsi="宋体" w:eastAsia="宋体" w:cs="宋体"/>
          <w:spacing w:val="-11"/>
          <w:sz w:val="24"/>
          <w:szCs w:val="24"/>
        </w:rPr>
        <w:t>门组成。</w:t>
      </w:r>
    </w:p>
    <w:p>
      <w:pPr>
        <w:spacing w:before="173" w:line="220" w:lineRule="auto"/>
        <w:ind w:left="53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）预案分级响应</w:t>
      </w:r>
    </w:p>
    <w:p>
      <w:pPr>
        <w:spacing w:before="173" w:line="354" w:lineRule="auto"/>
        <w:ind w:left="37" w:firstLine="493"/>
        <w:rPr>
          <w:rFonts w:ascii="宋体" w:hAnsi="宋体" w:eastAsia="宋体" w:cs="宋体"/>
          <w:sz w:val="24"/>
          <w:szCs w:val="24"/>
        </w:rPr>
      </w:pPr>
      <w:r>
        <w:rPr>
          <w:rFonts w:ascii="宋体" w:hAnsi="宋体" w:eastAsia="宋体" w:cs="宋体"/>
          <w:spacing w:val="11"/>
          <w:sz w:val="24"/>
          <w:szCs w:val="24"/>
        </w:rPr>
        <w:t xml:space="preserve">工程事故分为以下 </w:t>
      </w:r>
      <w:r>
        <w:rPr>
          <w:rFonts w:ascii="Times New Roman" w:hAnsi="Times New Roman" w:eastAsia="Times New Roman" w:cs="Times New Roman"/>
          <w:spacing w:val="11"/>
          <w:sz w:val="24"/>
          <w:szCs w:val="24"/>
        </w:rPr>
        <w:t xml:space="preserve">4  </w:t>
      </w:r>
      <w:r>
        <w:rPr>
          <w:rFonts w:ascii="宋体" w:hAnsi="宋体" w:eastAsia="宋体" w:cs="宋体"/>
          <w:spacing w:val="11"/>
          <w:sz w:val="24"/>
          <w:szCs w:val="24"/>
        </w:rPr>
        <w:t>个等级：特大(</w:t>
      </w:r>
      <w:r>
        <w:rPr>
          <w:rFonts w:ascii="Times New Roman" w:hAnsi="Times New Roman" w:eastAsia="Times New Roman" w:cs="Times New Roman"/>
          <w:spacing w:val="11"/>
          <w:sz w:val="24"/>
          <w:szCs w:val="24"/>
        </w:rPr>
        <w:t>Ⅰ</w:t>
      </w:r>
      <w:r>
        <w:rPr>
          <w:rFonts w:ascii="宋体" w:hAnsi="宋体" w:eastAsia="宋体" w:cs="宋体"/>
          <w:spacing w:val="11"/>
          <w:sz w:val="24"/>
          <w:szCs w:val="24"/>
        </w:rPr>
        <w:t>级）、重大(</w:t>
      </w:r>
      <w:r>
        <w:rPr>
          <w:rFonts w:ascii="Times New Roman" w:hAnsi="Times New Roman" w:eastAsia="Times New Roman" w:cs="Times New Roman"/>
          <w:spacing w:val="11"/>
          <w:sz w:val="24"/>
          <w:szCs w:val="24"/>
        </w:rPr>
        <w:t>Ⅱ</w:t>
      </w:r>
      <w:r>
        <w:rPr>
          <w:rFonts w:ascii="宋体" w:hAnsi="宋体" w:eastAsia="宋体" w:cs="宋体"/>
          <w:spacing w:val="11"/>
          <w:sz w:val="24"/>
          <w:szCs w:val="24"/>
        </w:rPr>
        <w:t>级）、较大(</w:t>
      </w:r>
      <w:r>
        <w:rPr>
          <w:rFonts w:ascii="Times New Roman" w:hAnsi="Times New Roman" w:eastAsia="Times New Roman" w:cs="Times New Roman"/>
          <w:spacing w:val="11"/>
          <w:sz w:val="24"/>
          <w:szCs w:val="24"/>
        </w:rPr>
        <w:t>Ⅲ</w:t>
      </w:r>
      <w:r>
        <w:rPr>
          <w:rFonts w:ascii="宋体" w:hAnsi="宋体" w:eastAsia="宋体" w:cs="宋体"/>
          <w:spacing w:val="11"/>
          <w:sz w:val="24"/>
          <w:szCs w:val="24"/>
        </w:rPr>
        <w:t>级）、</w:t>
      </w:r>
      <w:r>
        <w:rPr>
          <w:rFonts w:ascii="宋体" w:hAnsi="宋体" w:eastAsia="宋体" w:cs="宋体"/>
          <w:spacing w:val="9"/>
          <w:sz w:val="24"/>
          <w:szCs w:val="24"/>
        </w:rPr>
        <w:t xml:space="preserve"> </w:t>
      </w:r>
      <w:r>
        <w:rPr>
          <w:rFonts w:ascii="宋体" w:hAnsi="宋体" w:eastAsia="宋体" w:cs="宋体"/>
          <w:spacing w:val="5"/>
          <w:sz w:val="24"/>
          <w:szCs w:val="24"/>
        </w:rPr>
        <w:t>一般(</w:t>
      </w:r>
      <w:r>
        <w:rPr>
          <w:rFonts w:ascii="Times New Roman" w:hAnsi="Times New Roman" w:eastAsia="Times New Roman" w:cs="Times New Roman"/>
          <w:spacing w:val="5"/>
          <w:sz w:val="24"/>
          <w:szCs w:val="24"/>
        </w:rPr>
        <w:t>Ⅳ</w:t>
      </w:r>
      <w:r>
        <w:rPr>
          <w:rFonts w:ascii="宋体" w:hAnsi="宋体" w:eastAsia="宋体" w:cs="宋体"/>
          <w:spacing w:val="5"/>
          <w:sz w:val="24"/>
          <w:szCs w:val="24"/>
        </w:rPr>
        <w:t xml:space="preserve">级）。针对不同事故等级，实行分级响应。事故发生时，立即启动并实 </w:t>
      </w:r>
      <w:r>
        <w:rPr>
          <w:rFonts w:ascii="宋体" w:hAnsi="宋体" w:eastAsia="宋体" w:cs="宋体"/>
          <w:spacing w:val="-3"/>
          <w:sz w:val="24"/>
          <w:szCs w:val="24"/>
        </w:rPr>
        <w:t>施本部门应急预案，</w:t>
      </w:r>
      <w:r>
        <w:rPr>
          <w:rFonts w:ascii="宋体" w:hAnsi="宋体" w:eastAsia="宋体" w:cs="宋体"/>
          <w:spacing w:val="69"/>
          <w:sz w:val="24"/>
          <w:szCs w:val="24"/>
        </w:rPr>
        <w:t xml:space="preserve"> </w:t>
      </w:r>
      <w:r>
        <w:rPr>
          <w:rFonts w:ascii="Times New Roman" w:hAnsi="Times New Roman" w:eastAsia="Times New Roman" w:cs="Times New Roman"/>
          <w:spacing w:val="-3"/>
          <w:sz w:val="24"/>
          <w:szCs w:val="24"/>
        </w:rPr>
        <w:t>Ⅰ</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Ⅱ</w:t>
      </w:r>
      <w:r>
        <w:rPr>
          <w:rFonts w:ascii="宋体" w:hAnsi="宋体" w:eastAsia="宋体" w:cs="宋体"/>
          <w:spacing w:val="-3"/>
          <w:sz w:val="24"/>
          <w:szCs w:val="24"/>
        </w:rPr>
        <w:t>级响应：现场指挥在事故应急领导机构的统一领导下，</w:t>
      </w:r>
      <w:r>
        <w:rPr>
          <w:rFonts w:ascii="宋体" w:hAnsi="宋体" w:eastAsia="宋体" w:cs="宋体"/>
          <w:sz w:val="24"/>
          <w:szCs w:val="24"/>
        </w:rPr>
        <w:t xml:space="preserve"> 具体安排组织重大事故应急救援预案的组织和实施；</w:t>
      </w:r>
      <w:r>
        <w:rPr>
          <w:rFonts w:ascii="宋体" w:hAnsi="宋体" w:eastAsia="宋体" w:cs="宋体"/>
          <w:spacing w:val="-45"/>
          <w:sz w:val="24"/>
          <w:szCs w:val="24"/>
        </w:rPr>
        <w:t xml:space="preserve"> </w:t>
      </w:r>
      <w:r>
        <w:rPr>
          <w:rFonts w:ascii="宋体" w:hAnsi="宋体" w:eastAsia="宋体" w:cs="宋体"/>
          <w:sz w:val="24"/>
          <w:szCs w:val="24"/>
        </w:rPr>
        <w:t xml:space="preserve">组织所有应急力量按照应急 </w:t>
      </w:r>
      <w:r>
        <w:rPr>
          <w:rFonts w:ascii="宋体" w:hAnsi="宋体" w:eastAsia="宋体" w:cs="宋体"/>
          <w:spacing w:val="-2"/>
          <w:sz w:val="24"/>
          <w:szCs w:val="24"/>
        </w:rPr>
        <w:t>救援预案迅速开展抢险救援工作；</w:t>
      </w:r>
      <w:r>
        <w:rPr>
          <w:rFonts w:ascii="宋体" w:hAnsi="宋体" w:eastAsia="宋体" w:cs="宋体"/>
          <w:spacing w:val="32"/>
          <w:sz w:val="24"/>
          <w:szCs w:val="24"/>
        </w:rPr>
        <w:t xml:space="preserve"> </w:t>
      </w:r>
      <w:r>
        <w:rPr>
          <w:rFonts w:ascii="宋体" w:hAnsi="宋体" w:eastAsia="宋体" w:cs="宋体"/>
          <w:spacing w:val="-2"/>
          <w:sz w:val="24"/>
          <w:szCs w:val="24"/>
        </w:rPr>
        <w:t>根据事故，对应急工作中发生的争议</w:t>
      </w:r>
      <w:r>
        <w:rPr>
          <w:rFonts w:ascii="宋体" w:hAnsi="宋体" w:eastAsia="宋体" w:cs="宋体"/>
          <w:spacing w:val="-3"/>
          <w:sz w:val="24"/>
          <w:szCs w:val="24"/>
        </w:rPr>
        <w:t xml:space="preserve">采取紧急 </w:t>
      </w:r>
      <w:r>
        <w:rPr>
          <w:rFonts w:ascii="宋体" w:hAnsi="宋体" w:eastAsia="宋体" w:cs="宋体"/>
          <w:spacing w:val="-2"/>
          <w:sz w:val="24"/>
          <w:szCs w:val="24"/>
        </w:rPr>
        <w:t>处理措施；根据预案实施过程中存在的问题和险情的变化，及时对预案进行调整、</w:t>
      </w:r>
      <w:r>
        <w:rPr>
          <w:rFonts w:ascii="宋体" w:hAnsi="宋体" w:eastAsia="宋体" w:cs="宋体"/>
          <w:sz w:val="24"/>
          <w:szCs w:val="24"/>
        </w:rPr>
        <w:t xml:space="preserve"> </w:t>
      </w:r>
      <w:r>
        <w:rPr>
          <w:rFonts w:ascii="宋体" w:hAnsi="宋体" w:eastAsia="宋体" w:cs="宋体"/>
          <w:spacing w:val="2"/>
          <w:sz w:val="24"/>
          <w:szCs w:val="24"/>
        </w:rPr>
        <w:t xml:space="preserve">修订、补充和完善，确保人员各尽其职、应急工作灵活开展；现场应急指挥与应 </w:t>
      </w:r>
      <w:r>
        <w:rPr>
          <w:rFonts w:ascii="宋体" w:hAnsi="宋体" w:eastAsia="宋体" w:cs="宋体"/>
          <w:spacing w:val="-5"/>
          <w:sz w:val="24"/>
          <w:szCs w:val="24"/>
        </w:rPr>
        <w:t>急领导机构要保持密切联系， 定期通报事故现场的态势，</w:t>
      </w:r>
      <w:r>
        <w:rPr>
          <w:rFonts w:ascii="宋体" w:hAnsi="宋体" w:eastAsia="宋体" w:cs="宋体"/>
          <w:spacing w:val="29"/>
          <w:sz w:val="24"/>
          <w:szCs w:val="24"/>
        </w:rPr>
        <w:t xml:space="preserve"> </w:t>
      </w:r>
      <w:r>
        <w:rPr>
          <w:rFonts w:ascii="宋体" w:hAnsi="宋体" w:eastAsia="宋体" w:cs="宋体"/>
          <w:spacing w:val="-5"/>
          <w:sz w:val="24"/>
          <w:szCs w:val="24"/>
        </w:rPr>
        <w:t>配合</w:t>
      </w:r>
      <w:r>
        <w:rPr>
          <w:rFonts w:ascii="宋体" w:hAnsi="宋体" w:eastAsia="宋体" w:cs="宋体"/>
          <w:spacing w:val="-6"/>
          <w:sz w:val="24"/>
          <w:szCs w:val="24"/>
        </w:rPr>
        <w:t xml:space="preserve">上级部门进行事故 </w:t>
      </w:r>
      <w:r>
        <w:rPr>
          <w:rFonts w:ascii="宋体" w:hAnsi="宋体" w:eastAsia="宋体" w:cs="宋体"/>
          <w:spacing w:val="2"/>
          <w:sz w:val="24"/>
          <w:szCs w:val="24"/>
        </w:rPr>
        <w:t xml:space="preserve">调查处理工作，做好稳定社会秩序的善后及安抚工作，适时发布公告，将危机的 </w:t>
      </w:r>
      <w:r>
        <w:rPr>
          <w:rFonts w:ascii="宋体" w:hAnsi="宋体" w:eastAsia="宋体" w:cs="宋体"/>
          <w:spacing w:val="-5"/>
          <w:sz w:val="24"/>
          <w:szCs w:val="24"/>
        </w:rPr>
        <w:t>原因责任及处理决定公布于众， 接受社会的监督。</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Ⅲ</w:t>
      </w:r>
      <w:r>
        <w:rPr>
          <w:rFonts w:ascii="宋体" w:hAnsi="宋体" w:eastAsia="宋体" w:cs="宋体"/>
          <w:spacing w:val="-5"/>
          <w:sz w:val="24"/>
          <w:szCs w:val="24"/>
        </w:rPr>
        <w:t>级</w:t>
      </w:r>
      <w:r>
        <w:rPr>
          <w:rFonts w:ascii="宋体" w:hAnsi="宋体" w:eastAsia="宋体" w:cs="宋体"/>
          <w:spacing w:val="-6"/>
          <w:sz w:val="24"/>
          <w:szCs w:val="24"/>
        </w:rPr>
        <w:t>、</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Ⅳ</w:t>
      </w:r>
      <w:r>
        <w:rPr>
          <w:rFonts w:ascii="宋体" w:hAnsi="宋体" w:eastAsia="宋体" w:cs="宋体"/>
          <w:spacing w:val="-6"/>
          <w:sz w:val="24"/>
          <w:szCs w:val="24"/>
        </w:rPr>
        <w:t xml:space="preserve">级响应：各相关职能 </w:t>
      </w:r>
      <w:r>
        <w:rPr>
          <w:rFonts w:ascii="宋体" w:hAnsi="宋体" w:eastAsia="宋体" w:cs="宋体"/>
          <w:spacing w:val="-5"/>
          <w:sz w:val="24"/>
          <w:szCs w:val="24"/>
        </w:rPr>
        <w:t>部门按照各自职责开展应急处置工作， 防止事故</w:t>
      </w:r>
      <w:r>
        <w:rPr>
          <w:rFonts w:ascii="宋体" w:hAnsi="宋体" w:eastAsia="宋体" w:cs="宋体"/>
          <w:spacing w:val="-6"/>
          <w:sz w:val="24"/>
          <w:szCs w:val="24"/>
        </w:rPr>
        <w:t>扩大、蔓延，保证信息渠道畅通，</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及时向领导机构通报情况。</w:t>
      </w:r>
    </w:p>
    <w:p>
      <w:pPr>
        <w:spacing w:before="176" w:line="458" w:lineRule="exact"/>
        <w:ind w:left="546"/>
        <w:rPr>
          <w:rFonts w:ascii="宋体" w:hAnsi="宋体" w:eastAsia="宋体" w:cs="宋体"/>
          <w:sz w:val="24"/>
          <w:szCs w:val="24"/>
        </w:rPr>
      </w:pPr>
      <w:r>
        <w:rPr>
          <w:rFonts w:ascii="宋体" w:hAnsi="宋体" w:eastAsia="宋体" w:cs="宋体"/>
          <w:spacing w:val="2"/>
          <w:position w:val="16"/>
          <w:sz w:val="24"/>
          <w:szCs w:val="24"/>
        </w:rPr>
        <w:t>因环境污染事故存在不可预见、作用时间较长、容易衍生发展的</w:t>
      </w:r>
      <w:r>
        <w:rPr>
          <w:rFonts w:ascii="宋体" w:hAnsi="宋体" w:eastAsia="宋体" w:cs="宋体"/>
          <w:spacing w:val="1"/>
          <w:position w:val="16"/>
          <w:sz w:val="24"/>
          <w:szCs w:val="24"/>
        </w:rPr>
        <w:t>特点，现场</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指挥可根据现场实际情况随时将响应等级升级或降级。</w:t>
      </w:r>
    </w:p>
    <w:p>
      <w:pPr>
        <w:spacing w:before="175" w:line="220" w:lineRule="auto"/>
        <w:ind w:left="53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）突发事件的处理工作</w:t>
      </w:r>
    </w:p>
    <w:p>
      <w:pPr>
        <w:spacing w:before="176" w:line="217" w:lineRule="auto"/>
        <w:ind w:left="526"/>
        <w:rPr>
          <w:rFonts w:ascii="宋体" w:hAnsi="宋体" w:eastAsia="宋体" w:cs="宋体"/>
          <w:sz w:val="24"/>
          <w:szCs w:val="24"/>
        </w:rPr>
      </w:pPr>
      <w:r>
        <w:rPr>
          <w:rFonts w:ascii="宋体" w:hAnsi="宋体" w:eastAsia="宋体" w:cs="宋体"/>
          <w:spacing w:val="-2"/>
          <w:sz w:val="24"/>
          <w:szCs w:val="24"/>
        </w:rPr>
        <w:t>① 信息报告</w:t>
      </w:r>
    </w:p>
    <w:p>
      <w:pPr>
        <w:spacing w:before="176" w:line="354" w:lineRule="auto"/>
        <w:ind w:left="41" w:right="91" w:firstLine="490"/>
        <w:rPr>
          <w:rFonts w:ascii="宋体" w:hAnsi="宋体" w:eastAsia="宋体" w:cs="宋体"/>
          <w:sz w:val="24"/>
          <w:szCs w:val="24"/>
        </w:rPr>
      </w:pPr>
      <w:r>
        <w:rPr>
          <w:rFonts w:ascii="宋体" w:hAnsi="宋体" w:eastAsia="宋体" w:cs="宋体"/>
          <w:spacing w:val="2"/>
          <w:sz w:val="24"/>
          <w:szCs w:val="24"/>
        </w:rPr>
        <w:t>一旦事故发生，任何人员应及时通过电话或其它通讯方式向突发事件指挥机</w:t>
      </w:r>
      <w:r>
        <w:rPr>
          <w:rFonts w:ascii="宋体" w:hAnsi="宋体" w:eastAsia="宋体" w:cs="宋体"/>
          <w:spacing w:val="3"/>
          <w:sz w:val="24"/>
          <w:szCs w:val="24"/>
        </w:rPr>
        <w:t xml:space="preserve"> </w:t>
      </w:r>
      <w:r>
        <w:rPr>
          <w:rFonts w:ascii="宋体" w:hAnsi="宋体" w:eastAsia="宋体" w:cs="宋体"/>
          <w:spacing w:val="2"/>
          <w:sz w:val="24"/>
          <w:szCs w:val="24"/>
        </w:rPr>
        <w:t>构报告。各部门接到事故报告后，应立即通知上级部门以及生态环境、公安、消</w:t>
      </w:r>
      <w:r>
        <w:rPr>
          <w:rFonts w:ascii="宋体" w:hAnsi="宋体" w:eastAsia="宋体" w:cs="宋体"/>
          <w:spacing w:val="7"/>
          <w:sz w:val="24"/>
          <w:szCs w:val="24"/>
        </w:rPr>
        <w:t xml:space="preserve"> </w:t>
      </w:r>
      <w:r>
        <w:rPr>
          <w:rFonts w:ascii="宋体" w:hAnsi="宋体" w:eastAsia="宋体" w:cs="宋体"/>
          <w:spacing w:val="2"/>
          <w:sz w:val="24"/>
          <w:szCs w:val="24"/>
        </w:rPr>
        <w:t>防等部门，必要时对沿线处于污染范围内的人员进行疏离，避免发生人员中毒伤</w:t>
      </w:r>
    </w:p>
    <w:p>
      <w:pPr>
        <w:spacing w:line="232" w:lineRule="auto"/>
        <w:ind w:left="40"/>
        <w:rPr>
          <w:rFonts w:ascii="宋体" w:hAnsi="宋体" w:eastAsia="宋体" w:cs="宋体"/>
          <w:sz w:val="24"/>
          <w:szCs w:val="24"/>
        </w:rPr>
      </w:pPr>
      <w:r>
        <w:rPr>
          <w:rFonts w:ascii="宋体" w:hAnsi="宋体" w:eastAsia="宋体" w:cs="宋体"/>
          <w:spacing w:val="-11"/>
          <w:sz w:val="24"/>
          <w:szCs w:val="24"/>
        </w:rPr>
        <w:t>亡。</w:t>
      </w:r>
    </w:p>
    <w:p>
      <w:pPr>
        <w:spacing w:before="158" w:line="354" w:lineRule="auto"/>
        <w:ind w:left="40" w:right="87" w:firstLine="491"/>
        <w:rPr>
          <w:rFonts w:ascii="宋体" w:hAnsi="宋体" w:eastAsia="宋体" w:cs="宋体"/>
          <w:sz w:val="24"/>
          <w:szCs w:val="24"/>
        </w:rPr>
      </w:pPr>
      <w:r>
        <w:rPr>
          <w:rFonts w:ascii="宋体" w:hAnsi="宋体" w:eastAsia="宋体" w:cs="宋体"/>
          <w:spacing w:val="2"/>
          <w:sz w:val="24"/>
          <w:szCs w:val="24"/>
        </w:rPr>
        <w:t>如果危险品为液态，并已进入公共水体，应立即通知河流下游单位，或附近</w:t>
      </w:r>
      <w:r>
        <w:rPr>
          <w:rFonts w:ascii="宋体" w:hAnsi="宋体" w:eastAsia="宋体" w:cs="宋体"/>
          <w:spacing w:val="7"/>
          <w:sz w:val="24"/>
          <w:szCs w:val="24"/>
        </w:rPr>
        <w:t xml:space="preserve"> </w:t>
      </w:r>
      <w:r>
        <w:rPr>
          <w:rFonts w:ascii="宋体" w:hAnsi="宋体" w:eastAsia="宋体" w:cs="宋体"/>
          <w:sz w:val="24"/>
          <w:szCs w:val="24"/>
        </w:rPr>
        <w:t>用水单位停止取用水，同时派环保专家和监测人员到现场进行监测分析，</w:t>
      </w:r>
      <w:r>
        <w:rPr>
          <w:rFonts w:ascii="宋体" w:hAnsi="宋体" w:eastAsia="宋体" w:cs="宋体"/>
          <w:spacing w:val="-36"/>
          <w:sz w:val="24"/>
          <w:szCs w:val="24"/>
        </w:rPr>
        <w:t xml:space="preserve"> </w:t>
      </w:r>
      <w:r>
        <w:rPr>
          <w:rFonts w:ascii="宋体" w:hAnsi="宋体" w:eastAsia="宋体" w:cs="宋体"/>
          <w:sz w:val="24"/>
          <w:szCs w:val="24"/>
        </w:rPr>
        <w:t>及时捞</w:t>
      </w:r>
    </w:p>
    <w:p>
      <w:pPr>
        <w:spacing w:line="219" w:lineRule="auto"/>
        <w:ind w:left="40"/>
        <w:rPr>
          <w:rFonts w:ascii="宋体" w:hAnsi="宋体" w:eastAsia="宋体" w:cs="宋体"/>
          <w:sz w:val="24"/>
          <w:szCs w:val="24"/>
        </w:rPr>
      </w:pPr>
      <w:r>
        <w:rPr>
          <w:rFonts w:ascii="宋体" w:hAnsi="宋体" w:eastAsia="宋体" w:cs="宋体"/>
          <w:spacing w:val="3"/>
          <w:sz w:val="24"/>
          <w:szCs w:val="24"/>
        </w:rPr>
        <w:t>掉入水体的危险品容器和处置被污染的现场。</w:t>
      </w:r>
    </w:p>
    <w:p>
      <w:pPr>
        <w:spacing w:before="175" w:line="354" w:lineRule="auto"/>
        <w:ind w:left="38" w:right="84" w:firstLine="488"/>
        <w:rPr>
          <w:rFonts w:ascii="宋体" w:hAnsi="宋体" w:eastAsia="宋体" w:cs="宋体"/>
          <w:sz w:val="24"/>
          <w:szCs w:val="24"/>
        </w:rPr>
      </w:pPr>
      <w:r>
        <w:rPr>
          <w:rFonts w:ascii="宋体" w:hAnsi="宋体" w:eastAsia="宋体" w:cs="宋体"/>
          <w:spacing w:val="-5"/>
          <w:sz w:val="24"/>
          <w:szCs w:val="24"/>
        </w:rPr>
        <w:t>在沿线水域发生突发性事故，</w:t>
      </w:r>
      <w:r>
        <w:rPr>
          <w:rFonts w:ascii="宋体" w:hAnsi="宋体" w:eastAsia="宋体" w:cs="宋体"/>
          <w:spacing w:val="-24"/>
          <w:sz w:val="24"/>
          <w:szCs w:val="24"/>
        </w:rPr>
        <w:t xml:space="preserve"> </w:t>
      </w:r>
      <w:r>
        <w:rPr>
          <w:rFonts w:ascii="宋体" w:hAnsi="宋体" w:eastAsia="宋体" w:cs="宋体"/>
          <w:spacing w:val="-5"/>
          <w:sz w:val="24"/>
          <w:szCs w:val="24"/>
        </w:rPr>
        <w:t>造成或可能造成水体严重污染的，</w:t>
      </w:r>
      <w:r>
        <w:rPr>
          <w:rFonts w:ascii="宋体" w:hAnsi="宋体" w:eastAsia="宋体" w:cs="宋体"/>
          <w:spacing w:val="33"/>
          <w:sz w:val="24"/>
          <w:szCs w:val="24"/>
        </w:rPr>
        <w:t xml:space="preserve"> </w:t>
      </w:r>
      <w:r>
        <w:rPr>
          <w:rFonts w:ascii="宋体" w:hAnsi="宋体" w:eastAsia="宋体" w:cs="宋体"/>
          <w:spacing w:val="-5"/>
          <w:sz w:val="24"/>
          <w:szCs w:val="24"/>
        </w:rPr>
        <w:t>有</w:t>
      </w:r>
      <w:r>
        <w:rPr>
          <w:rFonts w:ascii="宋体" w:hAnsi="宋体" w:eastAsia="宋体" w:cs="宋体"/>
          <w:spacing w:val="-6"/>
          <w:sz w:val="24"/>
          <w:szCs w:val="24"/>
        </w:rPr>
        <w:t>关责任单</w:t>
      </w:r>
      <w:r>
        <w:rPr>
          <w:rFonts w:ascii="宋体" w:hAnsi="宋体" w:eastAsia="宋体" w:cs="宋体"/>
          <w:sz w:val="24"/>
          <w:szCs w:val="24"/>
        </w:rPr>
        <w:t xml:space="preserve"> </w:t>
      </w:r>
      <w:r>
        <w:rPr>
          <w:rFonts w:ascii="宋体" w:hAnsi="宋体" w:eastAsia="宋体" w:cs="宋体"/>
          <w:spacing w:val="5"/>
          <w:sz w:val="24"/>
          <w:szCs w:val="24"/>
        </w:rPr>
        <w:t>位或个人应当采取应急措施，通报可能受到污染危害的单</w:t>
      </w:r>
      <w:r>
        <w:rPr>
          <w:rFonts w:ascii="宋体" w:hAnsi="宋体" w:eastAsia="宋体" w:cs="宋体"/>
          <w:spacing w:val="4"/>
          <w:sz w:val="24"/>
          <w:szCs w:val="24"/>
        </w:rPr>
        <w:t>位和居</w:t>
      </w:r>
      <w:r>
        <w:rPr>
          <w:rFonts w:ascii="Times New Roman" w:hAnsi="Times New Roman" w:eastAsia="Times New Roman" w:cs="Times New Roman"/>
          <w:spacing w:val="4"/>
          <w:sz w:val="24"/>
          <w:szCs w:val="24"/>
        </w:rPr>
        <w:t>(</w:t>
      </w:r>
      <w:r>
        <w:rPr>
          <w:rFonts w:ascii="宋体" w:hAnsi="宋体" w:eastAsia="宋体" w:cs="宋体"/>
          <w:spacing w:val="4"/>
          <w:sz w:val="24"/>
          <w:szCs w:val="24"/>
        </w:rPr>
        <w:t>村</w:t>
      </w:r>
      <w:r>
        <w:rPr>
          <w:rFonts w:ascii="Times New Roman" w:hAnsi="Times New Roman" w:eastAsia="Times New Roman" w:cs="Times New Roman"/>
          <w:spacing w:val="4"/>
          <w:sz w:val="24"/>
          <w:szCs w:val="24"/>
        </w:rPr>
        <w:t>)</w:t>
      </w:r>
      <w:r>
        <w:rPr>
          <w:rFonts w:ascii="宋体" w:hAnsi="宋体" w:eastAsia="宋体" w:cs="宋体"/>
          <w:spacing w:val="4"/>
          <w:sz w:val="24"/>
          <w:szCs w:val="24"/>
        </w:rPr>
        <w:t>民，立刻报</w:t>
      </w:r>
    </w:p>
    <w:p>
      <w:pPr>
        <w:spacing w:line="218" w:lineRule="auto"/>
        <w:ind w:left="43"/>
        <w:rPr>
          <w:rFonts w:ascii="宋体" w:hAnsi="宋体" w:eastAsia="宋体" w:cs="宋体"/>
          <w:sz w:val="24"/>
          <w:szCs w:val="24"/>
        </w:rPr>
      </w:pPr>
      <w:r>
        <w:rPr>
          <w:rFonts w:ascii="宋体" w:hAnsi="宋体" w:eastAsia="宋体" w:cs="宋体"/>
          <w:spacing w:val="1"/>
          <w:sz w:val="24"/>
          <w:szCs w:val="24"/>
        </w:rPr>
        <w:t>告应急指挥机构，接受调查处理。</w:t>
      </w:r>
    </w:p>
    <w:p>
      <w:pPr>
        <w:spacing w:line="218" w:lineRule="auto"/>
        <w:rPr>
          <w:rFonts w:ascii="宋体" w:hAnsi="宋体" w:eastAsia="宋体" w:cs="宋体"/>
          <w:sz w:val="24"/>
          <w:szCs w:val="24"/>
        </w:rPr>
        <w:sectPr>
          <w:headerReference r:id="rId344" w:type="default"/>
          <w:footerReference r:id="rId345" w:type="default"/>
          <w:pgSz w:w="11907" w:h="16839"/>
          <w:pgMar w:top="1118" w:right="1619" w:bottom="1009" w:left="1673" w:header="877" w:footer="845" w:gutter="0"/>
          <w:cols w:space="720" w:num="1"/>
        </w:sectPr>
      </w:pPr>
    </w:p>
    <w:p>
      <w:pPr>
        <w:pStyle w:val="2"/>
        <w:spacing w:line="379" w:lineRule="auto"/>
      </w:pPr>
    </w:p>
    <w:p>
      <w:pPr>
        <w:spacing w:before="78" w:line="354" w:lineRule="auto"/>
        <w:ind w:left="65" w:right="39" w:firstLine="461"/>
        <w:rPr>
          <w:rFonts w:ascii="宋体" w:hAnsi="宋体" w:eastAsia="宋体" w:cs="宋体"/>
          <w:sz w:val="24"/>
          <w:szCs w:val="24"/>
        </w:rPr>
      </w:pPr>
      <w:r>
        <w:rPr>
          <w:rFonts w:ascii="宋体" w:hAnsi="宋体" w:eastAsia="宋体" w:cs="宋体"/>
          <w:sz w:val="24"/>
          <w:szCs w:val="24"/>
        </w:rPr>
        <w:t>接到突发环境事件报告后，</w:t>
      </w:r>
      <w:r>
        <w:rPr>
          <w:rFonts w:ascii="宋体" w:hAnsi="宋体" w:eastAsia="宋体" w:cs="宋体"/>
          <w:spacing w:val="-40"/>
          <w:sz w:val="24"/>
          <w:szCs w:val="24"/>
        </w:rPr>
        <w:t xml:space="preserve"> </w:t>
      </w:r>
      <w:r>
        <w:rPr>
          <w:rFonts w:ascii="宋体" w:hAnsi="宋体" w:eastAsia="宋体" w:cs="宋体"/>
          <w:sz w:val="24"/>
          <w:szCs w:val="24"/>
        </w:rPr>
        <w:t xml:space="preserve">领导小组须在第一时间向省、市生态环境主管部 </w:t>
      </w:r>
      <w:r>
        <w:rPr>
          <w:rFonts w:ascii="宋体" w:hAnsi="宋体" w:eastAsia="宋体" w:cs="宋体"/>
          <w:spacing w:val="-2"/>
          <w:sz w:val="24"/>
          <w:szCs w:val="24"/>
        </w:rPr>
        <w:t>门应急领导组报告。并立即启动应急指挥小组，检查所需仪器装备， 了解重要保</w:t>
      </w:r>
    </w:p>
    <w:p>
      <w:pPr>
        <w:spacing w:line="218" w:lineRule="auto"/>
        <w:ind w:left="39"/>
        <w:rPr>
          <w:rFonts w:ascii="宋体" w:hAnsi="宋体" w:eastAsia="宋体" w:cs="宋体"/>
          <w:sz w:val="24"/>
          <w:szCs w:val="24"/>
        </w:rPr>
      </w:pPr>
      <w:r>
        <w:rPr>
          <w:rFonts w:ascii="宋体" w:hAnsi="宋体" w:eastAsia="宋体" w:cs="宋体"/>
          <w:spacing w:val="4"/>
          <w:sz w:val="24"/>
          <w:szCs w:val="24"/>
        </w:rPr>
        <w:t>护目标及其分布情况。报告应包括下列内容：</w:t>
      </w:r>
    </w:p>
    <w:p>
      <w:pPr>
        <w:spacing w:before="176" w:line="354" w:lineRule="auto"/>
        <w:ind w:left="40" w:right="41" w:firstLine="486"/>
        <w:rPr>
          <w:rFonts w:ascii="宋体" w:hAnsi="宋体" w:eastAsia="宋体" w:cs="宋体"/>
          <w:sz w:val="24"/>
          <w:szCs w:val="24"/>
        </w:rPr>
      </w:pPr>
      <w:r>
        <w:rPr>
          <w:rFonts w:ascii="宋体" w:hAnsi="宋体" w:eastAsia="宋体" w:cs="宋体"/>
          <w:sz w:val="24"/>
          <w:szCs w:val="24"/>
        </w:rPr>
        <w:t>造成水域污染的单位及发生时间、地点；</w:t>
      </w:r>
      <w:r>
        <w:rPr>
          <w:rFonts w:ascii="宋体" w:hAnsi="宋体" w:eastAsia="宋体" w:cs="宋体"/>
          <w:spacing w:val="-39"/>
          <w:sz w:val="24"/>
          <w:szCs w:val="24"/>
        </w:rPr>
        <w:t xml:space="preserve"> </w:t>
      </w:r>
      <w:r>
        <w:rPr>
          <w:rFonts w:ascii="宋体" w:hAnsi="宋体" w:eastAsia="宋体" w:cs="宋体"/>
          <w:sz w:val="24"/>
          <w:szCs w:val="24"/>
        </w:rPr>
        <w:t>造成水域污染的简要经过、</w:t>
      </w:r>
      <w:r>
        <w:rPr>
          <w:rFonts w:ascii="宋体" w:hAnsi="宋体" w:eastAsia="宋体" w:cs="宋体"/>
          <w:spacing w:val="-1"/>
          <w:sz w:val="24"/>
          <w:szCs w:val="24"/>
        </w:rPr>
        <w:t>伤亡人</w:t>
      </w:r>
      <w:r>
        <w:rPr>
          <w:rFonts w:ascii="宋体" w:hAnsi="宋体" w:eastAsia="宋体" w:cs="宋体"/>
          <w:sz w:val="24"/>
          <w:szCs w:val="24"/>
        </w:rPr>
        <w:t xml:space="preserve"> </w:t>
      </w:r>
      <w:r>
        <w:rPr>
          <w:rFonts w:ascii="宋体" w:hAnsi="宋体" w:eastAsia="宋体" w:cs="宋体"/>
          <w:spacing w:val="2"/>
          <w:sz w:val="24"/>
          <w:szCs w:val="24"/>
        </w:rPr>
        <w:t>数、直接经济损失的初步估计；造成水域污染的原因、性质的初步判断；造成水</w:t>
      </w:r>
    </w:p>
    <w:p>
      <w:pPr>
        <w:spacing w:before="1" w:line="218" w:lineRule="auto"/>
        <w:ind w:left="39"/>
        <w:rPr>
          <w:rFonts w:ascii="宋体" w:hAnsi="宋体" w:eastAsia="宋体" w:cs="宋体"/>
          <w:sz w:val="24"/>
          <w:szCs w:val="24"/>
        </w:rPr>
      </w:pPr>
      <w:r>
        <w:rPr>
          <w:rFonts w:ascii="宋体" w:hAnsi="宋体" w:eastAsia="宋体" w:cs="宋体"/>
          <w:spacing w:val="4"/>
          <w:sz w:val="24"/>
          <w:szCs w:val="24"/>
        </w:rPr>
        <w:t>域污染的情况和采取的措施；需要有关单位协助事故抢救和</w:t>
      </w:r>
      <w:r>
        <w:rPr>
          <w:rFonts w:ascii="宋体" w:hAnsi="宋体" w:eastAsia="宋体" w:cs="宋体"/>
          <w:spacing w:val="3"/>
          <w:sz w:val="24"/>
          <w:szCs w:val="24"/>
        </w:rPr>
        <w:t>处理的有关事宜。</w:t>
      </w:r>
    </w:p>
    <w:p>
      <w:pPr>
        <w:spacing w:before="176" w:line="217" w:lineRule="auto"/>
        <w:ind w:left="525"/>
        <w:rPr>
          <w:rFonts w:ascii="宋体" w:hAnsi="宋体" w:eastAsia="宋体" w:cs="宋体"/>
          <w:sz w:val="24"/>
          <w:szCs w:val="24"/>
        </w:rPr>
      </w:pPr>
      <w:r>
        <w:rPr>
          <w:rFonts w:ascii="宋体" w:hAnsi="宋体" w:eastAsia="宋体" w:cs="宋体"/>
          <w:spacing w:val="3"/>
          <w:sz w:val="24"/>
          <w:szCs w:val="24"/>
        </w:rPr>
        <w:t>②应急救援保障</w:t>
      </w:r>
    </w:p>
    <w:p>
      <w:pPr>
        <w:spacing w:before="178" w:line="459" w:lineRule="exact"/>
        <w:ind w:right="41"/>
        <w:jc w:val="right"/>
        <w:rPr>
          <w:rFonts w:ascii="宋体" w:hAnsi="宋体" w:eastAsia="宋体" w:cs="宋体"/>
          <w:sz w:val="24"/>
          <w:szCs w:val="24"/>
        </w:rPr>
      </w:pPr>
      <w:r>
        <w:rPr>
          <w:rFonts w:ascii="宋体" w:hAnsi="宋体" w:eastAsia="宋体" w:cs="宋体"/>
          <w:spacing w:val="-8"/>
          <w:position w:val="16"/>
          <w:sz w:val="24"/>
          <w:szCs w:val="24"/>
        </w:rPr>
        <w:t>水污染应急防治队伍：一旦发生事故，</w:t>
      </w:r>
      <w:r>
        <w:rPr>
          <w:rFonts w:ascii="宋体" w:hAnsi="宋体" w:eastAsia="宋体" w:cs="宋体"/>
          <w:spacing w:val="51"/>
          <w:position w:val="16"/>
          <w:sz w:val="24"/>
          <w:szCs w:val="24"/>
        </w:rPr>
        <w:t xml:space="preserve"> </w:t>
      </w:r>
      <w:r>
        <w:rPr>
          <w:rFonts w:ascii="宋体" w:hAnsi="宋体" w:eastAsia="宋体" w:cs="宋体"/>
          <w:spacing w:val="-8"/>
          <w:position w:val="16"/>
          <w:sz w:val="24"/>
          <w:szCs w:val="24"/>
        </w:rPr>
        <w:t>指挥部可根据情况的需要</w:t>
      </w:r>
      <w:r>
        <w:rPr>
          <w:rFonts w:ascii="宋体" w:hAnsi="宋体" w:eastAsia="宋体" w:cs="宋体"/>
          <w:spacing w:val="-9"/>
          <w:position w:val="16"/>
          <w:sz w:val="24"/>
          <w:szCs w:val="24"/>
        </w:rPr>
        <w:t>，</w:t>
      </w:r>
      <w:r>
        <w:rPr>
          <w:rFonts w:ascii="宋体" w:hAnsi="宋体" w:eastAsia="宋体" w:cs="宋体"/>
          <w:spacing w:val="52"/>
          <w:position w:val="16"/>
          <w:sz w:val="24"/>
          <w:szCs w:val="24"/>
        </w:rPr>
        <w:t xml:space="preserve"> </w:t>
      </w:r>
      <w:r>
        <w:rPr>
          <w:rFonts w:ascii="宋体" w:hAnsi="宋体" w:eastAsia="宋体" w:cs="宋体"/>
          <w:spacing w:val="-9"/>
          <w:position w:val="16"/>
          <w:sz w:val="24"/>
          <w:szCs w:val="24"/>
        </w:rPr>
        <w:t>动员、调</w:t>
      </w:r>
    </w:p>
    <w:p>
      <w:pPr>
        <w:spacing w:line="219" w:lineRule="auto"/>
        <w:ind w:left="38"/>
        <w:rPr>
          <w:rFonts w:ascii="宋体" w:hAnsi="宋体" w:eastAsia="宋体" w:cs="宋体"/>
          <w:sz w:val="24"/>
          <w:szCs w:val="24"/>
        </w:rPr>
      </w:pPr>
      <w:r>
        <w:rPr>
          <w:rFonts w:ascii="宋体" w:hAnsi="宋体" w:eastAsia="宋体" w:cs="宋体"/>
          <w:spacing w:val="1"/>
          <w:sz w:val="24"/>
          <w:szCs w:val="24"/>
        </w:rPr>
        <w:t>配储备的人力资源投入行动。</w:t>
      </w:r>
    </w:p>
    <w:p>
      <w:pPr>
        <w:spacing w:before="175" w:line="354" w:lineRule="auto"/>
        <w:ind w:left="59" w:firstLine="470"/>
        <w:rPr>
          <w:rFonts w:ascii="宋体" w:hAnsi="宋体" w:eastAsia="宋体" w:cs="宋体"/>
          <w:sz w:val="24"/>
          <w:szCs w:val="24"/>
        </w:rPr>
      </w:pPr>
      <w:r>
        <w:rPr>
          <w:rFonts w:ascii="宋体" w:hAnsi="宋体" w:eastAsia="宋体" w:cs="宋体"/>
          <w:spacing w:val="3"/>
          <w:sz w:val="24"/>
          <w:szCs w:val="24"/>
        </w:rPr>
        <w:t>水污染应急防治设备：常备一定数量的</w:t>
      </w:r>
      <w:r>
        <w:rPr>
          <w:rFonts w:hint="eastAsia" w:ascii="宋体" w:hAnsi="宋体" w:eastAsia="宋体" w:cs="宋体"/>
          <w:spacing w:val="3"/>
          <w:sz w:val="24"/>
          <w:szCs w:val="24"/>
          <w:lang w:eastAsia="zh-CN"/>
        </w:rPr>
        <w:t>活性炭</w:t>
      </w:r>
      <w:r>
        <w:rPr>
          <w:rFonts w:ascii="宋体" w:hAnsi="宋体" w:eastAsia="宋体" w:cs="宋体"/>
          <w:spacing w:val="3"/>
          <w:sz w:val="24"/>
          <w:szCs w:val="24"/>
        </w:rPr>
        <w:t>、降毒、解毒药剂、中和剂、</w:t>
      </w:r>
      <w:r>
        <w:rPr>
          <w:rFonts w:ascii="宋体" w:hAnsi="宋体" w:eastAsia="宋体" w:cs="宋体"/>
          <w:spacing w:val="17"/>
          <w:sz w:val="24"/>
          <w:szCs w:val="24"/>
        </w:rPr>
        <w:t xml:space="preserve"> </w:t>
      </w:r>
      <w:r>
        <w:rPr>
          <w:rFonts w:ascii="宋体" w:hAnsi="宋体" w:eastAsia="宋体" w:cs="宋体"/>
          <w:spacing w:val="2"/>
          <w:sz w:val="24"/>
          <w:szCs w:val="24"/>
        </w:rPr>
        <w:t>围油栏、吸油棉体、撇油器等，在区域定点联系好供应</w:t>
      </w:r>
      <w:r>
        <w:rPr>
          <w:rFonts w:ascii="宋体" w:hAnsi="宋体" w:eastAsia="宋体" w:cs="宋体"/>
          <w:spacing w:val="1"/>
          <w:sz w:val="24"/>
          <w:szCs w:val="24"/>
        </w:rPr>
        <w:t>相关物资的单位，一旦有</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事故发生，可及时提供相关物资。</w:t>
      </w:r>
    </w:p>
    <w:p>
      <w:pPr>
        <w:spacing w:before="176" w:line="461" w:lineRule="exact"/>
        <w:ind w:right="36"/>
        <w:jc w:val="right"/>
        <w:rPr>
          <w:rFonts w:ascii="宋体" w:hAnsi="宋体" w:eastAsia="宋体" w:cs="宋体"/>
          <w:sz w:val="24"/>
          <w:szCs w:val="24"/>
        </w:rPr>
      </w:pPr>
      <w:r>
        <w:rPr>
          <w:rFonts w:ascii="宋体" w:hAnsi="宋体" w:eastAsia="宋体" w:cs="宋体"/>
          <w:position w:val="16"/>
          <w:sz w:val="24"/>
          <w:szCs w:val="24"/>
        </w:rPr>
        <w:t>火灾应急防治设备：工程区常备一定数量灭火器，</w:t>
      </w:r>
      <w:r>
        <w:rPr>
          <w:rFonts w:ascii="宋体" w:hAnsi="宋体" w:eastAsia="宋体" w:cs="宋体"/>
          <w:spacing w:val="-40"/>
          <w:position w:val="16"/>
          <w:sz w:val="24"/>
          <w:szCs w:val="24"/>
        </w:rPr>
        <w:t xml:space="preserve"> </w:t>
      </w:r>
      <w:r>
        <w:rPr>
          <w:rFonts w:ascii="宋体" w:hAnsi="宋体" w:eastAsia="宋体" w:cs="宋体"/>
          <w:position w:val="16"/>
          <w:sz w:val="24"/>
          <w:szCs w:val="24"/>
        </w:rPr>
        <w:t>较大事故可通知文成县消</w:t>
      </w:r>
    </w:p>
    <w:p>
      <w:pPr>
        <w:spacing w:line="220" w:lineRule="auto"/>
        <w:ind w:left="53"/>
        <w:rPr>
          <w:rFonts w:ascii="宋体" w:hAnsi="宋体" w:eastAsia="宋体" w:cs="宋体"/>
          <w:sz w:val="24"/>
          <w:szCs w:val="24"/>
        </w:rPr>
      </w:pPr>
      <w:r>
        <w:rPr>
          <w:rFonts w:ascii="宋体" w:hAnsi="宋体" w:eastAsia="宋体" w:cs="宋体"/>
          <w:spacing w:val="-12"/>
          <w:sz w:val="24"/>
          <w:szCs w:val="24"/>
        </w:rPr>
        <w:t>防队。</w:t>
      </w:r>
    </w:p>
    <w:p>
      <w:pPr>
        <w:spacing w:before="173" w:line="217" w:lineRule="auto"/>
        <w:ind w:left="525"/>
        <w:rPr>
          <w:rFonts w:ascii="宋体" w:hAnsi="宋体" w:eastAsia="宋体" w:cs="宋体"/>
          <w:sz w:val="24"/>
          <w:szCs w:val="24"/>
        </w:rPr>
      </w:pPr>
      <w:r>
        <w:rPr>
          <w:rFonts w:ascii="宋体" w:hAnsi="宋体" w:eastAsia="宋体" w:cs="宋体"/>
          <w:spacing w:val="-2"/>
          <w:sz w:val="24"/>
          <w:szCs w:val="24"/>
        </w:rPr>
        <w:t>③ 应急措施</w:t>
      </w:r>
    </w:p>
    <w:p>
      <w:pPr>
        <w:spacing w:before="177" w:line="354" w:lineRule="auto"/>
        <w:ind w:left="51" w:right="41" w:firstLine="468"/>
        <w:rPr>
          <w:rFonts w:ascii="宋体" w:hAnsi="宋体" w:eastAsia="宋体" w:cs="宋体"/>
          <w:sz w:val="24"/>
          <w:szCs w:val="24"/>
        </w:rPr>
      </w:pPr>
      <w:r>
        <w:rPr>
          <w:rFonts w:ascii="Times New Roman" w:hAnsi="Times New Roman" w:eastAsia="Times New Roman" w:cs="Times New Roman"/>
          <w:spacing w:val="1"/>
          <w:sz w:val="24"/>
          <w:szCs w:val="24"/>
        </w:rPr>
        <w:t xml:space="preserve">A  </w:t>
      </w:r>
      <w:r>
        <w:rPr>
          <w:rFonts w:ascii="宋体" w:hAnsi="宋体" w:eastAsia="宋体" w:cs="宋体"/>
          <w:spacing w:val="1"/>
          <w:sz w:val="24"/>
          <w:szCs w:val="24"/>
        </w:rPr>
        <w:t>发生事故后，驾驶员和押运人员应立即向有关部门</w:t>
      </w:r>
      <w:r>
        <w:rPr>
          <w:rFonts w:ascii="宋体" w:hAnsi="宋体" w:eastAsia="宋体" w:cs="宋体"/>
          <w:sz w:val="24"/>
          <w:szCs w:val="24"/>
        </w:rPr>
        <w:t>报告，说明所载化学危 险品的名称和泄漏的情况，</w:t>
      </w:r>
      <w:r>
        <w:rPr>
          <w:rFonts w:ascii="宋体" w:hAnsi="宋体" w:eastAsia="宋体" w:cs="宋体"/>
          <w:spacing w:val="-40"/>
          <w:sz w:val="24"/>
          <w:szCs w:val="24"/>
        </w:rPr>
        <w:t xml:space="preserve"> </w:t>
      </w:r>
      <w:r>
        <w:rPr>
          <w:rFonts w:ascii="宋体" w:hAnsi="宋体" w:eastAsia="宋体" w:cs="宋体"/>
          <w:sz w:val="24"/>
          <w:szCs w:val="24"/>
        </w:rPr>
        <w:t>在等待专业人员救援的同时要保护、</w:t>
      </w:r>
      <w:r>
        <w:rPr>
          <w:rFonts w:ascii="宋体" w:hAnsi="宋体" w:eastAsia="宋体" w:cs="宋体"/>
          <w:spacing w:val="-1"/>
          <w:sz w:val="24"/>
          <w:szCs w:val="24"/>
        </w:rPr>
        <w:t>控制好现场。在</w:t>
      </w:r>
    </w:p>
    <w:p>
      <w:pPr>
        <w:spacing w:before="1" w:line="218" w:lineRule="auto"/>
        <w:ind w:left="39"/>
        <w:rPr>
          <w:rFonts w:ascii="宋体" w:hAnsi="宋体" w:eastAsia="宋体" w:cs="宋体"/>
          <w:sz w:val="24"/>
          <w:szCs w:val="24"/>
        </w:rPr>
      </w:pPr>
      <w:r>
        <w:rPr>
          <w:rFonts w:ascii="宋体" w:hAnsi="宋体" w:eastAsia="宋体" w:cs="宋体"/>
          <w:spacing w:val="4"/>
          <w:sz w:val="24"/>
          <w:szCs w:val="24"/>
        </w:rPr>
        <w:t>保证自身安全的情况下采取一切办法切断事故源，查清泄漏目标和部位。</w:t>
      </w:r>
    </w:p>
    <w:p>
      <w:pPr>
        <w:spacing w:before="175" w:line="354" w:lineRule="auto"/>
        <w:ind w:left="41" w:right="43" w:firstLine="481"/>
        <w:rPr>
          <w:rFonts w:ascii="宋体" w:hAnsi="宋体" w:eastAsia="宋体" w:cs="宋体"/>
          <w:sz w:val="24"/>
          <w:szCs w:val="24"/>
        </w:rPr>
      </w:pPr>
      <w:r>
        <w:rPr>
          <w:rFonts w:ascii="Times New Roman" w:hAnsi="Times New Roman" w:eastAsia="Times New Roman" w:cs="Times New Roman"/>
          <w:spacing w:val="-2"/>
          <w:sz w:val="24"/>
          <w:szCs w:val="24"/>
        </w:rPr>
        <w:t xml:space="preserve">B  </w:t>
      </w:r>
      <w:r>
        <w:rPr>
          <w:rFonts w:ascii="宋体" w:hAnsi="宋体" w:eastAsia="宋体" w:cs="宋体"/>
          <w:spacing w:val="-2"/>
          <w:sz w:val="24"/>
          <w:szCs w:val="24"/>
        </w:rPr>
        <w:t>安全警戒组在事故区域设置警戒标识， 禁止无关人员进</w:t>
      </w:r>
      <w:r>
        <w:rPr>
          <w:rFonts w:ascii="宋体" w:hAnsi="宋体" w:eastAsia="宋体" w:cs="宋体"/>
          <w:spacing w:val="-3"/>
          <w:sz w:val="24"/>
          <w:szCs w:val="24"/>
        </w:rPr>
        <w:t>入。在污染发现初</w:t>
      </w:r>
      <w:r>
        <w:rPr>
          <w:rFonts w:ascii="宋体" w:hAnsi="宋体" w:eastAsia="宋体" w:cs="宋体"/>
          <w:sz w:val="24"/>
          <w:szCs w:val="24"/>
        </w:rPr>
        <w:t xml:space="preserve"> </w:t>
      </w:r>
      <w:r>
        <w:rPr>
          <w:rFonts w:ascii="宋体" w:hAnsi="宋体" w:eastAsia="宋体" w:cs="宋体"/>
          <w:spacing w:val="2"/>
          <w:sz w:val="24"/>
          <w:szCs w:val="24"/>
        </w:rPr>
        <w:t>期，立即采取适当的应急措施，视突发性风险事故类型不同，泄漏污染物的种类</w:t>
      </w:r>
    </w:p>
    <w:p>
      <w:pPr>
        <w:spacing w:before="1" w:line="218" w:lineRule="auto"/>
        <w:ind w:left="42"/>
        <w:rPr>
          <w:rFonts w:ascii="宋体" w:hAnsi="宋体" w:eastAsia="宋体" w:cs="宋体"/>
          <w:sz w:val="24"/>
          <w:szCs w:val="24"/>
        </w:rPr>
      </w:pPr>
      <w:r>
        <w:rPr>
          <w:rFonts w:ascii="宋体" w:hAnsi="宋体" w:eastAsia="宋体" w:cs="宋体"/>
          <w:spacing w:val="1"/>
          <w:sz w:val="24"/>
          <w:szCs w:val="24"/>
        </w:rPr>
        <w:t>不同，采取针对性的措施。</w:t>
      </w:r>
    </w:p>
    <w:p>
      <w:pPr>
        <w:spacing w:before="177" w:line="461" w:lineRule="exact"/>
        <w:ind w:right="43"/>
        <w:jc w:val="right"/>
        <w:rPr>
          <w:rFonts w:ascii="宋体" w:hAnsi="宋体" w:eastAsia="宋体" w:cs="宋体"/>
          <w:sz w:val="24"/>
          <w:szCs w:val="24"/>
        </w:rPr>
      </w:pPr>
      <w:r>
        <w:rPr>
          <w:rFonts w:ascii="Times New Roman" w:hAnsi="Times New Roman" w:eastAsia="Times New Roman" w:cs="Times New Roman"/>
          <w:spacing w:val="-6"/>
          <w:position w:val="16"/>
          <w:sz w:val="24"/>
          <w:szCs w:val="24"/>
        </w:rPr>
        <w:t xml:space="preserve">C  </w:t>
      </w:r>
      <w:r>
        <w:rPr>
          <w:rFonts w:ascii="宋体" w:hAnsi="宋体" w:eastAsia="宋体" w:cs="宋体"/>
          <w:spacing w:val="-6"/>
          <w:position w:val="16"/>
          <w:sz w:val="24"/>
          <w:szCs w:val="24"/>
        </w:rPr>
        <w:t>如果车辆在发生事故后引起火灾， 则应按灭火预案进行扑救， 并用污水收</w:t>
      </w:r>
    </w:p>
    <w:p>
      <w:pPr>
        <w:spacing w:before="1" w:line="219" w:lineRule="auto"/>
        <w:ind w:left="38"/>
        <w:rPr>
          <w:rFonts w:ascii="宋体" w:hAnsi="宋体" w:eastAsia="宋体" w:cs="宋体"/>
          <w:sz w:val="24"/>
          <w:szCs w:val="24"/>
        </w:rPr>
      </w:pPr>
      <w:r>
        <w:rPr>
          <w:rFonts w:ascii="宋体" w:hAnsi="宋体" w:eastAsia="宋体" w:cs="宋体"/>
          <w:spacing w:val="1"/>
          <w:sz w:val="24"/>
          <w:szCs w:val="24"/>
        </w:rPr>
        <w:t>集车对消防水进行收集外运。</w:t>
      </w:r>
    </w:p>
    <w:p>
      <w:pPr>
        <w:spacing w:before="173" w:line="461" w:lineRule="exact"/>
        <w:ind w:right="44"/>
        <w:jc w:val="right"/>
        <w:rPr>
          <w:rFonts w:ascii="宋体" w:hAnsi="宋体" w:eastAsia="宋体" w:cs="宋体"/>
          <w:sz w:val="24"/>
          <w:szCs w:val="24"/>
        </w:rPr>
      </w:pPr>
      <w:r>
        <w:rPr>
          <w:rFonts w:ascii="Times New Roman" w:hAnsi="Times New Roman" w:eastAsia="Times New Roman" w:cs="Times New Roman"/>
          <w:spacing w:val="3"/>
          <w:position w:val="17"/>
          <w:sz w:val="24"/>
          <w:szCs w:val="24"/>
        </w:rPr>
        <w:t xml:space="preserve">D  </w:t>
      </w:r>
      <w:r>
        <w:rPr>
          <w:rFonts w:ascii="宋体" w:hAnsi="宋体" w:eastAsia="宋体" w:cs="宋体"/>
          <w:spacing w:val="3"/>
          <w:position w:val="17"/>
          <w:sz w:val="24"/>
          <w:szCs w:val="24"/>
        </w:rPr>
        <w:t>如果车辆装载的危险品</w:t>
      </w:r>
      <w:r>
        <w:rPr>
          <w:rFonts w:ascii="Times New Roman" w:hAnsi="Times New Roman" w:eastAsia="Times New Roman" w:cs="Times New Roman"/>
          <w:spacing w:val="3"/>
          <w:position w:val="17"/>
          <w:sz w:val="24"/>
          <w:szCs w:val="24"/>
        </w:rPr>
        <w:t>(</w:t>
      </w:r>
      <w:r>
        <w:rPr>
          <w:rFonts w:ascii="宋体" w:hAnsi="宋体" w:eastAsia="宋体" w:cs="宋体"/>
          <w:spacing w:val="3"/>
          <w:position w:val="17"/>
          <w:sz w:val="24"/>
          <w:szCs w:val="24"/>
        </w:rPr>
        <w:t>液体</w:t>
      </w:r>
      <w:r>
        <w:rPr>
          <w:rFonts w:ascii="Times New Roman" w:hAnsi="Times New Roman" w:eastAsia="Times New Roman" w:cs="Times New Roman"/>
          <w:spacing w:val="3"/>
          <w:position w:val="17"/>
          <w:sz w:val="24"/>
          <w:szCs w:val="24"/>
        </w:rPr>
        <w:t>)</w:t>
      </w:r>
      <w:r>
        <w:rPr>
          <w:rFonts w:ascii="宋体" w:hAnsi="宋体" w:eastAsia="宋体" w:cs="宋体"/>
          <w:spacing w:val="3"/>
          <w:position w:val="17"/>
          <w:sz w:val="24"/>
          <w:szCs w:val="24"/>
        </w:rPr>
        <w:t>出现泄漏时，应用污水收集车对其泄漏物进</w:t>
      </w:r>
    </w:p>
    <w:p>
      <w:pPr>
        <w:spacing w:line="219" w:lineRule="auto"/>
        <w:ind w:left="42"/>
        <w:rPr>
          <w:rFonts w:ascii="宋体" w:hAnsi="宋体" w:eastAsia="宋体" w:cs="宋体"/>
          <w:sz w:val="24"/>
          <w:szCs w:val="24"/>
        </w:rPr>
      </w:pPr>
      <w:r>
        <w:rPr>
          <w:rFonts w:ascii="宋体" w:hAnsi="宋体" w:eastAsia="宋体" w:cs="宋体"/>
          <w:spacing w:val="1"/>
          <w:sz w:val="24"/>
          <w:szCs w:val="24"/>
        </w:rPr>
        <w:t>行回收，防止污水外溢进入河流。</w:t>
      </w:r>
    </w:p>
    <w:p>
      <w:pPr>
        <w:spacing w:before="176" w:line="458" w:lineRule="exact"/>
        <w:ind w:right="41"/>
        <w:jc w:val="right"/>
        <w:rPr>
          <w:rFonts w:ascii="宋体" w:hAnsi="宋体" w:eastAsia="宋体" w:cs="宋体"/>
          <w:sz w:val="24"/>
          <w:szCs w:val="24"/>
        </w:rPr>
      </w:pPr>
      <w:r>
        <w:rPr>
          <w:rFonts w:ascii="Times New Roman" w:hAnsi="Times New Roman" w:eastAsia="Times New Roman" w:cs="Times New Roman"/>
          <w:spacing w:val="1"/>
          <w:position w:val="16"/>
          <w:sz w:val="24"/>
          <w:szCs w:val="24"/>
        </w:rPr>
        <w:t>E</w:t>
      </w:r>
      <w:r>
        <w:rPr>
          <w:rFonts w:ascii="Times New Roman" w:hAnsi="Times New Roman" w:eastAsia="Times New Roman" w:cs="Times New Roman"/>
          <w:spacing w:val="17"/>
          <w:position w:val="16"/>
          <w:sz w:val="24"/>
          <w:szCs w:val="24"/>
        </w:rPr>
        <w:t xml:space="preserve">  </w:t>
      </w:r>
      <w:r>
        <w:rPr>
          <w:rFonts w:ascii="宋体" w:hAnsi="宋体" w:eastAsia="宋体" w:cs="宋体"/>
          <w:spacing w:val="1"/>
          <w:position w:val="16"/>
          <w:sz w:val="24"/>
          <w:szCs w:val="24"/>
        </w:rPr>
        <w:t>出现车辆坠入沿线河流时，应立即通知当地</w:t>
      </w:r>
      <w:r>
        <w:rPr>
          <w:rFonts w:ascii="宋体" w:hAnsi="宋体" w:eastAsia="宋体" w:cs="宋体"/>
          <w:position w:val="16"/>
          <w:sz w:val="24"/>
          <w:szCs w:val="24"/>
        </w:rPr>
        <w:t>政府调集打捞人员进行营救和</w:t>
      </w:r>
    </w:p>
    <w:p>
      <w:pPr>
        <w:spacing w:before="1" w:line="219" w:lineRule="auto"/>
        <w:ind w:left="40"/>
        <w:rPr>
          <w:rFonts w:ascii="宋体" w:hAnsi="宋体" w:eastAsia="宋体" w:cs="宋体"/>
          <w:sz w:val="24"/>
          <w:szCs w:val="24"/>
        </w:rPr>
      </w:pPr>
      <w:r>
        <w:rPr>
          <w:rFonts w:ascii="宋体" w:hAnsi="宋体" w:eastAsia="宋体" w:cs="宋体"/>
          <w:spacing w:val="-5"/>
          <w:sz w:val="24"/>
          <w:szCs w:val="24"/>
        </w:rPr>
        <w:t>车辆打捞。</w:t>
      </w:r>
    </w:p>
    <w:p>
      <w:pPr>
        <w:spacing w:before="175"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 xml:space="preserve">F  </w:t>
      </w:r>
      <w:r>
        <w:rPr>
          <w:rFonts w:ascii="宋体" w:hAnsi="宋体" w:eastAsia="宋体" w:cs="宋体"/>
          <w:spacing w:val="3"/>
          <w:sz w:val="24"/>
          <w:szCs w:val="24"/>
        </w:rPr>
        <w:t>物资供应组及时提供所需各项物资和设备。</w:t>
      </w:r>
    </w:p>
    <w:p>
      <w:pPr>
        <w:spacing w:before="177" w:line="217" w:lineRule="auto"/>
        <w:ind w:left="525"/>
        <w:rPr>
          <w:rFonts w:ascii="宋体" w:hAnsi="宋体" w:eastAsia="宋体" w:cs="宋体"/>
          <w:sz w:val="24"/>
          <w:szCs w:val="24"/>
        </w:rPr>
      </w:pPr>
      <w:r>
        <w:rPr>
          <w:rFonts w:ascii="宋体" w:hAnsi="宋体" w:eastAsia="宋体" w:cs="宋体"/>
          <w:spacing w:val="4"/>
          <w:sz w:val="24"/>
          <w:szCs w:val="24"/>
        </w:rPr>
        <w:t>④应急监测、救援及控制措施</w:t>
      </w:r>
    </w:p>
    <w:p>
      <w:pPr>
        <w:spacing w:before="175" w:line="220" w:lineRule="auto"/>
        <w:ind w:left="527"/>
        <w:rPr>
          <w:rFonts w:ascii="宋体" w:hAnsi="宋体" w:eastAsia="宋体" w:cs="宋体"/>
          <w:sz w:val="24"/>
          <w:szCs w:val="24"/>
        </w:rPr>
      </w:pPr>
      <w:r>
        <w:rPr>
          <w:rFonts w:ascii="宋体" w:hAnsi="宋体" w:eastAsia="宋体" w:cs="宋体"/>
          <w:spacing w:val="10"/>
          <w:sz w:val="24"/>
          <w:szCs w:val="24"/>
        </w:rPr>
        <w:t>环境监测组负责人带领环境监测人员及应急查询资料</w:t>
      </w:r>
      <w:r>
        <w:rPr>
          <w:rFonts w:ascii="宋体" w:hAnsi="宋体" w:eastAsia="宋体" w:cs="宋体"/>
          <w:spacing w:val="9"/>
          <w:sz w:val="24"/>
          <w:szCs w:val="24"/>
        </w:rPr>
        <w:t>到达现场，对事故原</w:t>
      </w:r>
    </w:p>
    <w:p>
      <w:pPr>
        <w:spacing w:line="220" w:lineRule="auto"/>
        <w:rPr>
          <w:rFonts w:ascii="宋体" w:hAnsi="宋体" w:eastAsia="宋体" w:cs="宋体"/>
          <w:sz w:val="24"/>
          <w:szCs w:val="24"/>
        </w:rPr>
        <w:sectPr>
          <w:headerReference r:id="rId346" w:type="default"/>
          <w:footerReference r:id="rId347" w:type="default"/>
          <w:pgSz w:w="11907" w:h="16839"/>
          <w:pgMar w:top="1118" w:right="1665" w:bottom="1009" w:left="1673" w:header="877" w:footer="845" w:gutter="0"/>
          <w:cols w:space="720" w:num="1"/>
        </w:sectPr>
      </w:pPr>
    </w:p>
    <w:p>
      <w:pPr>
        <w:pStyle w:val="2"/>
        <w:spacing w:line="379" w:lineRule="auto"/>
      </w:pPr>
    </w:p>
    <w:p>
      <w:pPr>
        <w:spacing w:before="78" w:line="354" w:lineRule="auto"/>
        <w:ind w:left="40" w:right="40" w:firstLine="16"/>
        <w:jc w:val="both"/>
        <w:rPr>
          <w:rFonts w:ascii="宋体" w:hAnsi="宋体" w:eastAsia="宋体" w:cs="宋体"/>
          <w:sz w:val="24"/>
          <w:szCs w:val="24"/>
        </w:rPr>
      </w:pPr>
      <w:r>
        <w:rPr>
          <w:rFonts w:ascii="宋体" w:hAnsi="宋体" w:eastAsia="宋体" w:cs="宋体"/>
          <w:spacing w:val="2"/>
          <w:sz w:val="24"/>
          <w:szCs w:val="24"/>
        </w:rPr>
        <w:t>因、性质进行初步分析、取样、送样、并做好样品快速</w:t>
      </w:r>
      <w:r>
        <w:rPr>
          <w:rFonts w:ascii="宋体" w:hAnsi="宋体" w:eastAsia="宋体" w:cs="宋体"/>
          <w:spacing w:val="1"/>
          <w:sz w:val="24"/>
          <w:szCs w:val="24"/>
        </w:rPr>
        <w:t>检测工作，及时提供监测</w:t>
      </w:r>
      <w:r>
        <w:rPr>
          <w:rFonts w:ascii="宋体" w:hAnsi="宋体" w:eastAsia="宋体" w:cs="宋体"/>
          <w:sz w:val="24"/>
          <w:szCs w:val="24"/>
        </w:rPr>
        <w:t xml:space="preserve"> </w:t>
      </w:r>
      <w:r>
        <w:rPr>
          <w:rFonts w:ascii="宋体" w:hAnsi="宋体" w:eastAsia="宋体" w:cs="宋体"/>
          <w:spacing w:val="3"/>
          <w:sz w:val="24"/>
          <w:szCs w:val="24"/>
        </w:rPr>
        <w:t>数据、污染物种类、性质、控制方法及防护、处理意见，并发布应急监测简报，</w:t>
      </w:r>
    </w:p>
    <w:p>
      <w:pPr>
        <w:spacing w:before="1" w:line="218" w:lineRule="auto"/>
        <w:jc w:val="right"/>
        <w:rPr>
          <w:rFonts w:ascii="宋体" w:hAnsi="宋体" w:eastAsia="宋体" w:cs="宋体"/>
          <w:sz w:val="24"/>
          <w:szCs w:val="24"/>
        </w:rPr>
      </w:pPr>
      <w:r>
        <w:rPr>
          <w:rFonts w:ascii="宋体" w:hAnsi="宋体" w:eastAsia="宋体" w:cs="宋体"/>
          <w:spacing w:val="4"/>
          <w:sz w:val="24"/>
          <w:szCs w:val="24"/>
        </w:rPr>
        <w:t>对事故出现后周围的安全防护距离、应急人员进出现场</w:t>
      </w:r>
      <w:r>
        <w:rPr>
          <w:rFonts w:ascii="宋体" w:hAnsi="宋体" w:eastAsia="宋体" w:cs="宋体"/>
          <w:spacing w:val="3"/>
          <w:sz w:val="24"/>
          <w:szCs w:val="24"/>
        </w:rPr>
        <w:t>的要求等提供科学依据。</w:t>
      </w:r>
    </w:p>
    <w:p>
      <w:pPr>
        <w:spacing w:before="176" w:line="217" w:lineRule="auto"/>
        <w:ind w:left="525"/>
        <w:rPr>
          <w:rFonts w:ascii="宋体" w:hAnsi="宋体" w:eastAsia="宋体" w:cs="宋体"/>
          <w:sz w:val="24"/>
          <w:szCs w:val="24"/>
        </w:rPr>
      </w:pPr>
      <w:r>
        <w:rPr>
          <w:rFonts w:ascii="宋体" w:hAnsi="宋体" w:eastAsia="宋体" w:cs="宋体"/>
          <w:spacing w:val="4"/>
          <w:sz w:val="24"/>
          <w:szCs w:val="24"/>
        </w:rPr>
        <w:t>⑤事故应急救援关闭程序与恢复措施</w:t>
      </w:r>
    </w:p>
    <w:p>
      <w:pPr>
        <w:spacing w:before="176" w:line="354" w:lineRule="auto"/>
        <w:ind w:left="39" w:firstLine="489"/>
        <w:rPr>
          <w:rFonts w:ascii="宋体" w:hAnsi="宋体" w:eastAsia="宋体" w:cs="宋体"/>
          <w:sz w:val="24"/>
          <w:szCs w:val="24"/>
        </w:rPr>
      </w:pPr>
      <w:r>
        <w:rPr>
          <w:rFonts w:ascii="宋体" w:hAnsi="宋体" w:eastAsia="宋体" w:cs="宋体"/>
          <w:spacing w:val="-9"/>
          <w:sz w:val="24"/>
          <w:szCs w:val="24"/>
        </w:rPr>
        <w:t>整个应急处置和救援工作完成后， 即事件现场得到控制，</w:t>
      </w:r>
      <w:r>
        <w:rPr>
          <w:rFonts w:ascii="宋体" w:hAnsi="宋体" w:eastAsia="宋体" w:cs="宋体"/>
          <w:spacing w:val="-23"/>
          <w:sz w:val="24"/>
          <w:szCs w:val="24"/>
        </w:rPr>
        <w:t xml:space="preserve"> </w:t>
      </w:r>
      <w:r>
        <w:rPr>
          <w:rFonts w:ascii="宋体" w:hAnsi="宋体" w:eastAsia="宋体" w:cs="宋体"/>
          <w:spacing w:val="-9"/>
          <w:sz w:val="24"/>
          <w:szCs w:val="24"/>
        </w:rPr>
        <w:t>事件条件已经消除；</w:t>
      </w:r>
      <w:r>
        <w:rPr>
          <w:rFonts w:ascii="宋体" w:hAnsi="宋体" w:eastAsia="宋体" w:cs="宋体"/>
          <w:sz w:val="24"/>
          <w:szCs w:val="24"/>
        </w:rPr>
        <w:t xml:space="preserve"> </w:t>
      </w:r>
      <w:r>
        <w:rPr>
          <w:rFonts w:ascii="宋体" w:hAnsi="宋体" w:eastAsia="宋体" w:cs="宋体"/>
          <w:spacing w:val="-5"/>
          <w:sz w:val="24"/>
          <w:szCs w:val="24"/>
        </w:rPr>
        <w:t>污染源的泄漏或释放已降至规定限值以内；</w:t>
      </w:r>
      <w:r>
        <w:rPr>
          <w:rFonts w:ascii="宋体" w:hAnsi="宋体" w:eastAsia="宋体" w:cs="宋体"/>
          <w:spacing w:val="34"/>
          <w:sz w:val="24"/>
          <w:szCs w:val="24"/>
        </w:rPr>
        <w:t xml:space="preserve"> </w:t>
      </w:r>
      <w:r>
        <w:rPr>
          <w:rFonts w:ascii="宋体" w:hAnsi="宋体" w:eastAsia="宋体" w:cs="宋体"/>
          <w:spacing w:val="-5"/>
          <w:sz w:val="24"/>
          <w:szCs w:val="24"/>
        </w:rPr>
        <w:t>事件所造成的危害</w:t>
      </w:r>
      <w:r>
        <w:rPr>
          <w:rFonts w:ascii="宋体" w:hAnsi="宋体" w:eastAsia="宋体" w:cs="宋体"/>
          <w:spacing w:val="-6"/>
          <w:sz w:val="24"/>
          <w:szCs w:val="24"/>
        </w:rPr>
        <w:t>已被彻底消除， 无</w:t>
      </w:r>
      <w:r>
        <w:rPr>
          <w:rFonts w:ascii="宋体" w:hAnsi="宋体" w:eastAsia="宋体" w:cs="宋体"/>
          <w:sz w:val="24"/>
          <w:szCs w:val="24"/>
        </w:rPr>
        <w:t xml:space="preserve"> </w:t>
      </w:r>
      <w:r>
        <w:rPr>
          <w:rFonts w:ascii="宋体" w:hAnsi="宋体" w:eastAsia="宋体" w:cs="宋体"/>
          <w:spacing w:val="2"/>
          <w:sz w:val="24"/>
          <w:szCs w:val="24"/>
        </w:rPr>
        <w:t>续发可能；事件现场的各种专业应急处置行动已无继续的必要；采取了必要的防</w:t>
      </w:r>
      <w:r>
        <w:rPr>
          <w:rFonts w:ascii="宋体" w:hAnsi="宋体" w:eastAsia="宋体" w:cs="宋体"/>
          <w:spacing w:val="9"/>
          <w:sz w:val="24"/>
          <w:szCs w:val="24"/>
        </w:rPr>
        <w:t xml:space="preserve"> </w:t>
      </w:r>
      <w:r>
        <w:rPr>
          <w:rFonts w:ascii="宋体" w:hAnsi="宋体" w:eastAsia="宋体" w:cs="宋体"/>
          <w:spacing w:val="-1"/>
          <w:sz w:val="24"/>
          <w:szCs w:val="24"/>
        </w:rPr>
        <w:t>护措施已能保证公众免受再次危害， 并使事件可能引起的中长期影响趋于合理且</w:t>
      </w:r>
      <w:r>
        <w:rPr>
          <w:rFonts w:ascii="宋体" w:hAnsi="宋体" w:eastAsia="宋体" w:cs="宋体"/>
          <w:spacing w:val="1"/>
          <w:sz w:val="24"/>
          <w:szCs w:val="24"/>
        </w:rPr>
        <w:t xml:space="preserve"> </w:t>
      </w:r>
      <w:r>
        <w:rPr>
          <w:rFonts w:ascii="宋体" w:hAnsi="宋体" w:eastAsia="宋体" w:cs="宋体"/>
          <w:spacing w:val="-2"/>
          <w:sz w:val="24"/>
          <w:szCs w:val="24"/>
        </w:rPr>
        <w:t>尽量低的水平。经现场指挥提议、领导小组批</w:t>
      </w:r>
      <w:r>
        <w:rPr>
          <w:rFonts w:ascii="宋体" w:hAnsi="宋体" w:eastAsia="宋体" w:cs="宋体"/>
          <w:spacing w:val="-3"/>
          <w:sz w:val="24"/>
          <w:szCs w:val="24"/>
        </w:rPr>
        <w:t>准，由现场指挥宣布解除应急状态，</w:t>
      </w:r>
      <w:r>
        <w:rPr>
          <w:rFonts w:ascii="宋体" w:hAnsi="宋体" w:eastAsia="宋体" w:cs="宋体"/>
          <w:sz w:val="24"/>
          <w:szCs w:val="24"/>
        </w:rPr>
        <w:t xml:space="preserve"> </w:t>
      </w:r>
      <w:r>
        <w:rPr>
          <w:rFonts w:ascii="宋体" w:hAnsi="宋体" w:eastAsia="宋体" w:cs="宋体"/>
          <w:spacing w:val="4"/>
          <w:sz w:val="24"/>
          <w:szCs w:val="24"/>
        </w:rPr>
        <w:t>并发布有关信息。建设单位协同有关部门做好现场</w:t>
      </w:r>
      <w:r>
        <w:rPr>
          <w:rFonts w:ascii="宋体" w:hAnsi="宋体" w:eastAsia="宋体" w:cs="宋体"/>
          <w:spacing w:val="3"/>
          <w:sz w:val="24"/>
          <w:szCs w:val="24"/>
        </w:rPr>
        <w:t>清洁与清理，消除危害因素。</w:t>
      </w:r>
      <w:r>
        <w:rPr>
          <w:rFonts w:ascii="宋体" w:hAnsi="宋体" w:eastAsia="宋体" w:cs="宋体"/>
          <w:sz w:val="24"/>
          <w:szCs w:val="24"/>
        </w:rPr>
        <w:t xml:space="preserve"> </w:t>
      </w:r>
      <w:r>
        <w:rPr>
          <w:rFonts w:ascii="宋体" w:hAnsi="宋体" w:eastAsia="宋体" w:cs="宋体"/>
          <w:spacing w:val="2"/>
          <w:sz w:val="24"/>
          <w:szCs w:val="24"/>
        </w:rPr>
        <w:t>善后处理组针对事故对人体、动植物、土壤、水体、空气造成的现实危害和可能</w:t>
      </w:r>
      <w:r>
        <w:rPr>
          <w:rFonts w:ascii="宋体" w:hAnsi="宋体" w:eastAsia="宋体" w:cs="宋体"/>
          <w:spacing w:val="15"/>
          <w:sz w:val="24"/>
          <w:szCs w:val="24"/>
        </w:rPr>
        <w:t xml:space="preserve"> </w:t>
      </w:r>
      <w:r>
        <w:rPr>
          <w:rFonts w:ascii="宋体" w:hAnsi="宋体" w:eastAsia="宋体" w:cs="宋体"/>
          <w:spacing w:val="-3"/>
          <w:sz w:val="24"/>
          <w:szCs w:val="24"/>
        </w:rPr>
        <w:t>的危害，提供处置建议等相关技术支持，并对事故现场和周边环境进行跟踪监测，</w:t>
      </w:r>
    </w:p>
    <w:p>
      <w:pPr>
        <w:spacing w:line="219" w:lineRule="auto"/>
        <w:ind w:left="40"/>
        <w:rPr>
          <w:rFonts w:ascii="宋体" w:hAnsi="宋体" w:eastAsia="宋体" w:cs="宋体"/>
          <w:sz w:val="24"/>
          <w:szCs w:val="24"/>
        </w:rPr>
      </w:pPr>
      <w:r>
        <w:rPr>
          <w:rFonts w:ascii="宋体" w:hAnsi="宋体" w:eastAsia="宋体" w:cs="宋体"/>
          <w:spacing w:val="3"/>
          <w:sz w:val="24"/>
          <w:szCs w:val="24"/>
        </w:rPr>
        <w:t>直至符合国家环境保护标准。做好事故调查处理。</w:t>
      </w:r>
    </w:p>
    <w:p>
      <w:pPr>
        <w:spacing w:before="176" w:line="217" w:lineRule="auto"/>
        <w:ind w:left="525"/>
        <w:rPr>
          <w:rFonts w:ascii="宋体" w:hAnsi="宋体" w:eastAsia="宋体" w:cs="宋体"/>
          <w:sz w:val="24"/>
          <w:szCs w:val="24"/>
        </w:rPr>
      </w:pPr>
      <w:r>
        <w:rPr>
          <w:rFonts w:ascii="宋体" w:hAnsi="宋体" w:eastAsia="宋体" w:cs="宋体"/>
          <w:spacing w:val="3"/>
          <w:sz w:val="24"/>
          <w:szCs w:val="24"/>
        </w:rPr>
        <w:t>⑥污染调查取证</w:t>
      </w:r>
    </w:p>
    <w:p>
      <w:pPr>
        <w:spacing w:before="175" w:line="355" w:lineRule="auto"/>
        <w:ind w:left="40" w:right="24" w:firstLine="487"/>
        <w:rPr>
          <w:rFonts w:ascii="宋体" w:hAnsi="宋体" w:eastAsia="宋体" w:cs="宋体"/>
          <w:sz w:val="24"/>
          <w:szCs w:val="24"/>
        </w:rPr>
      </w:pPr>
      <w:r>
        <w:rPr>
          <w:rFonts w:ascii="宋体" w:hAnsi="宋体" w:eastAsia="宋体" w:cs="宋体"/>
          <w:spacing w:val="4"/>
          <w:sz w:val="24"/>
          <w:szCs w:val="24"/>
        </w:rPr>
        <w:t>全程详细记录污染事故过程、污染范围、周</w:t>
      </w:r>
      <w:r>
        <w:rPr>
          <w:rFonts w:ascii="宋体" w:hAnsi="宋体" w:eastAsia="宋体" w:cs="宋体"/>
          <w:spacing w:val="3"/>
          <w:sz w:val="24"/>
          <w:szCs w:val="24"/>
        </w:rPr>
        <w:t>围环境状况、污染物排放情况、</w:t>
      </w:r>
      <w:r>
        <w:rPr>
          <w:rFonts w:ascii="宋体" w:hAnsi="宋体" w:eastAsia="宋体" w:cs="宋体"/>
          <w:sz w:val="24"/>
          <w:szCs w:val="24"/>
        </w:rPr>
        <w:t xml:space="preserve"> </w:t>
      </w:r>
      <w:r>
        <w:rPr>
          <w:rFonts w:ascii="宋体" w:hAnsi="宋体" w:eastAsia="宋体" w:cs="宋体"/>
          <w:spacing w:val="2"/>
          <w:sz w:val="24"/>
          <w:szCs w:val="24"/>
        </w:rPr>
        <w:t>污染途径、危害程度等内容，调查、分析事故原因。尽可能采用原始的第一手材</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料，科学分析确定事故责任人，依法对涉案人员作调查询问笔录，</w:t>
      </w:r>
      <w:r>
        <w:rPr>
          <w:rFonts w:ascii="宋体" w:hAnsi="宋体" w:eastAsia="宋体" w:cs="宋体"/>
          <w:spacing w:val="72"/>
          <w:sz w:val="24"/>
          <w:szCs w:val="24"/>
        </w:rPr>
        <w:t xml:space="preserve"> </w:t>
      </w:r>
      <w:r>
        <w:rPr>
          <w:rFonts w:ascii="宋体" w:hAnsi="宋体" w:eastAsia="宋体" w:cs="宋体"/>
          <w:spacing w:val="-2"/>
          <w:sz w:val="24"/>
          <w:szCs w:val="24"/>
        </w:rPr>
        <w:t>立案。</w:t>
      </w:r>
    </w:p>
    <w:p>
      <w:pPr>
        <w:spacing w:before="175" w:line="217" w:lineRule="auto"/>
        <w:ind w:left="525"/>
        <w:rPr>
          <w:rFonts w:ascii="宋体" w:hAnsi="宋体" w:eastAsia="宋体" w:cs="宋体"/>
          <w:sz w:val="24"/>
          <w:szCs w:val="24"/>
        </w:rPr>
      </w:pPr>
      <w:r>
        <w:rPr>
          <w:rFonts w:ascii="宋体" w:hAnsi="宋体" w:eastAsia="宋体" w:cs="宋体"/>
          <w:spacing w:val="-5"/>
          <w:sz w:val="24"/>
          <w:szCs w:val="24"/>
        </w:rPr>
        <w:t>⑦ 培训</w:t>
      </w:r>
    </w:p>
    <w:p>
      <w:pPr>
        <w:spacing w:before="178" w:line="354" w:lineRule="auto"/>
        <w:ind w:left="38" w:right="3" w:firstLine="492"/>
        <w:rPr>
          <w:rFonts w:ascii="宋体" w:hAnsi="宋体" w:eastAsia="宋体" w:cs="宋体"/>
          <w:sz w:val="24"/>
          <w:szCs w:val="24"/>
        </w:rPr>
      </w:pPr>
      <w:r>
        <w:rPr>
          <w:rFonts w:ascii="宋体" w:hAnsi="宋体" w:eastAsia="宋体" w:cs="宋体"/>
          <w:spacing w:val="3"/>
          <w:sz w:val="24"/>
          <w:szCs w:val="24"/>
        </w:rPr>
        <w:t>为了确保应急计划的有效性和可操作性，必须预先对计划中所涉及的人员、</w:t>
      </w:r>
      <w:r>
        <w:rPr>
          <w:rFonts w:ascii="宋体" w:hAnsi="宋体" w:eastAsia="宋体" w:cs="宋体"/>
          <w:spacing w:val="17"/>
          <w:sz w:val="24"/>
          <w:szCs w:val="24"/>
        </w:rPr>
        <w:t xml:space="preserve"> </w:t>
      </w:r>
      <w:r>
        <w:rPr>
          <w:rFonts w:ascii="宋体" w:hAnsi="宋体" w:eastAsia="宋体" w:cs="宋体"/>
          <w:sz w:val="24"/>
          <w:szCs w:val="24"/>
        </w:rPr>
        <w:t>设备器材进行训练和保养，</w:t>
      </w:r>
      <w:r>
        <w:rPr>
          <w:rFonts w:ascii="宋体" w:hAnsi="宋体" w:eastAsia="宋体" w:cs="宋体"/>
          <w:spacing w:val="-34"/>
          <w:sz w:val="24"/>
          <w:szCs w:val="24"/>
        </w:rPr>
        <w:t xml:space="preserve"> </w:t>
      </w:r>
      <w:r>
        <w:rPr>
          <w:rFonts w:ascii="宋体" w:hAnsi="宋体" w:eastAsia="宋体" w:cs="宋体"/>
          <w:sz w:val="24"/>
          <w:szCs w:val="24"/>
        </w:rPr>
        <w:t xml:space="preserve">使参加应急行动的每一个人都能做到应知应会、熟练 </w:t>
      </w:r>
      <w:r>
        <w:rPr>
          <w:rFonts w:ascii="宋体" w:hAnsi="宋体" w:eastAsia="宋体" w:cs="宋体"/>
          <w:spacing w:val="-3"/>
          <w:sz w:val="24"/>
          <w:szCs w:val="24"/>
        </w:rPr>
        <w:t>掌握。定期进行一次应急演习，在模拟的事故状态下，检查应急机构，应急队伍，</w:t>
      </w:r>
      <w:r>
        <w:rPr>
          <w:rFonts w:ascii="宋体" w:hAnsi="宋体" w:eastAsia="宋体" w:cs="宋体"/>
          <w:spacing w:val="17"/>
          <w:sz w:val="24"/>
          <w:szCs w:val="24"/>
        </w:rPr>
        <w:t xml:space="preserve"> </w:t>
      </w:r>
      <w:r>
        <w:rPr>
          <w:rFonts w:ascii="宋体" w:hAnsi="宋体" w:eastAsia="宋体" w:cs="宋体"/>
          <w:spacing w:val="2"/>
          <w:sz w:val="24"/>
          <w:szCs w:val="24"/>
        </w:rPr>
        <w:t>应急设备和器材，应急通讯等各方面的实战船能力。通过演习，发现工作中薄弱</w:t>
      </w:r>
    </w:p>
    <w:p>
      <w:pPr>
        <w:spacing w:before="1" w:line="219" w:lineRule="auto"/>
        <w:ind w:left="38"/>
        <w:rPr>
          <w:rFonts w:ascii="宋体" w:hAnsi="宋体" w:eastAsia="宋体" w:cs="宋体"/>
          <w:sz w:val="24"/>
          <w:szCs w:val="24"/>
        </w:rPr>
      </w:pPr>
      <w:r>
        <w:rPr>
          <w:rFonts w:ascii="宋体" w:hAnsi="宋体" w:eastAsia="宋体" w:cs="宋体"/>
          <w:spacing w:val="1"/>
          <w:sz w:val="24"/>
          <w:szCs w:val="24"/>
        </w:rPr>
        <w:t>环节，并修改、完善应急计划。</w:t>
      </w:r>
    </w:p>
    <w:p>
      <w:pPr>
        <w:spacing w:before="174" w:line="217" w:lineRule="auto"/>
        <w:ind w:left="525"/>
        <w:rPr>
          <w:rFonts w:ascii="宋体" w:hAnsi="宋体" w:eastAsia="宋体" w:cs="宋体"/>
          <w:sz w:val="24"/>
          <w:szCs w:val="24"/>
        </w:rPr>
      </w:pPr>
      <w:r>
        <w:rPr>
          <w:rFonts w:ascii="宋体" w:hAnsi="宋体" w:eastAsia="宋体" w:cs="宋体"/>
          <w:spacing w:val="3"/>
          <w:sz w:val="24"/>
          <w:szCs w:val="24"/>
        </w:rPr>
        <w:t>⑧公众教育和信息</w:t>
      </w:r>
    </w:p>
    <w:p>
      <w:pPr>
        <w:spacing w:before="178" w:line="219" w:lineRule="auto"/>
        <w:ind w:left="526"/>
        <w:rPr>
          <w:rFonts w:ascii="宋体" w:hAnsi="宋体" w:eastAsia="宋体" w:cs="宋体"/>
          <w:sz w:val="24"/>
          <w:szCs w:val="24"/>
        </w:rPr>
      </w:pPr>
      <w:r>
        <w:rPr>
          <w:rFonts w:ascii="宋体" w:hAnsi="宋体" w:eastAsia="宋体" w:cs="宋体"/>
          <w:spacing w:val="3"/>
          <w:sz w:val="24"/>
          <w:szCs w:val="24"/>
        </w:rPr>
        <w:t>对可能发生事故的附近区域居民进行宣传教育，并发布相关信息。</w:t>
      </w:r>
    </w:p>
    <w:p>
      <w:pPr>
        <w:spacing w:before="175" w:line="220" w:lineRule="auto"/>
        <w:ind w:left="527"/>
        <w:rPr>
          <w:rFonts w:ascii="宋体" w:hAnsi="宋体" w:eastAsia="宋体" w:cs="宋体"/>
          <w:sz w:val="24"/>
          <w:szCs w:val="24"/>
        </w:rPr>
      </w:pPr>
      <w:r>
        <w:rPr>
          <w:rFonts w:ascii="宋体" w:hAnsi="宋体" w:eastAsia="宋体" w:cs="宋体"/>
          <w:spacing w:val="1"/>
          <w:sz w:val="24"/>
          <w:szCs w:val="24"/>
        </w:rPr>
        <w:t xml:space="preserve">环境风险应急程序见图 </w:t>
      </w:r>
      <w:r>
        <w:rPr>
          <w:rFonts w:ascii="Times New Roman" w:hAnsi="Times New Roman" w:eastAsia="Times New Roman" w:cs="Times New Roman"/>
          <w:spacing w:val="1"/>
          <w:sz w:val="24"/>
          <w:szCs w:val="24"/>
        </w:rPr>
        <w:t>6.7-</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p>
    <w:p>
      <w:pPr>
        <w:spacing w:line="220" w:lineRule="auto"/>
        <w:rPr>
          <w:rFonts w:ascii="宋体" w:hAnsi="宋体" w:eastAsia="宋体" w:cs="宋体"/>
          <w:sz w:val="24"/>
          <w:szCs w:val="24"/>
        </w:rPr>
        <w:sectPr>
          <w:headerReference r:id="rId348" w:type="default"/>
          <w:footerReference r:id="rId349" w:type="default"/>
          <w:pgSz w:w="11907" w:h="16839"/>
          <w:pgMar w:top="1118" w:right="1640" w:bottom="1009" w:left="1673" w:header="877" w:footer="845" w:gutter="0"/>
          <w:cols w:space="720" w:num="1"/>
        </w:sectPr>
      </w:pPr>
    </w:p>
    <w:p>
      <w:pPr>
        <w:pStyle w:val="2"/>
        <w:spacing w:line="377" w:lineRule="auto"/>
      </w:pPr>
    </w:p>
    <w:p>
      <w:pPr>
        <w:spacing w:line="8239" w:lineRule="exact"/>
        <w:ind w:firstLine="2048"/>
      </w:pPr>
      <w:r>
        <w:rPr>
          <w:position w:val="-164"/>
        </w:rPr>
        <w:drawing>
          <wp:inline distT="0" distB="0" distL="0" distR="0">
            <wp:extent cx="3072130" cy="523176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492"/>
                    <a:stretch>
                      <a:fillRect/>
                    </a:stretch>
                  </pic:blipFill>
                  <pic:spPr>
                    <a:xfrm>
                      <a:off x="0" y="0"/>
                      <a:ext cx="3072764" cy="5231765"/>
                    </a:xfrm>
                    <a:prstGeom prst="rect">
                      <a:avLst/>
                    </a:prstGeom>
                  </pic:spPr>
                </pic:pic>
              </a:graphicData>
            </a:graphic>
          </wp:inline>
        </w:drawing>
      </w:r>
    </w:p>
    <w:p>
      <w:pPr>
        <w:spacing w:before="277" w:line="220" w:lineRule="auto"/>
        <w:ind w:left="3172"/>
        <w:rPr>
          <w:rFonts w:ascii="宋体" w:hAnsi="宋体" w:eastAsia="宋体" w:cs="宋体"/>
          <w:sz w:val="24"/>
          <w:szCs w:val="24"/>
        </w:rPr>
      </w:pPr>
      <w:r>
        <w:rPr>
          <w:rFonts w:ascii="宋体" w:hAnsi="宋体" w:eastAsia="宋体" w:cs="宋体"/>
          <w:spacing w:val="-3"/>
          <w:sz w:val="24"/>
          <w:szCs w:val="24"/>
        </w:rPr>
        <w:t xml:space="preserve">图 </w:t>
      </w:r>
      <w:r>
        <w:rPr>
          <w:rFonts w:ascii="Times New Roman" w:hAnsi="Times New Roman" w:eastAsia="Times New Roman" w:cs="Times New Roman"/>
          <w:spacing w:val="-3"/>
          <w:sz w:val="24"/>
          <w:szCs w:val="24"/>
        </w:rPr>
        <w:t>6.7-</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4"/>
          <w:sz w:val="24"/>
          <w:szCs w:val="24"/>
        </w:rPr>
        <w:t xml:space="preserve">     </w:t>
      </w:r>
      <w:r>
        <w:rPr>
          <w:rFonts w:ascii="宋体" w:hAnsi="宋体" w:eastAsia="宋体" w:cs="宋体"/>
          <w:spacing w:val="-3"/>
          <w:sz w:val="24"/>
          <w:szCs w:val="24"/>
        </w:rPr>
        <w:t>事故应急程序</w:t>
      </w:r>
    </w:p>
    <w:p>
      <w:pPr>
        <w:spacing w:line="220" w:lineRule="auto"/>
        <w:rPr>
          <w:rFonts w:ascii="宋体" w:hAnsi="宋体" w:eastAsia="宋体" w:cs="宋体"/>
          <w:sz w:val="24"/>
          <w:szCs w:val="24"/>
        </w:rPr>
        <w:sectPr>
          <w:headerReference r:id="rId350" w:type="default"/>
          <w:footerReference r:id="rId351" w:type="default"/>
          <w:pgSz w:w="11907" w:h="16839"/>
          <w:pgMar w:top="1118" w:right="1670" w:bottom="1009" w:left="1673" w:header="877" w:footer="845" w:gutter="0"/>
          <w:cols w:space="720" w:num="1"/>
        </w:sectPr>
      </w:pPr>
    </w:p>
    <w:p>
      <w:pPr>
        <w:pStyle w:val="2"/>
        <w:spacing w:line="271" w:lineRule="auto"/>
      </w:pPr>
    </w:p>
    <w:p>
      <w:pPr>
        <w:spacing w:before="91" w:line="220" w:lineRule="auto"/>
        <w:ind w:left="124"/>
        <w:rPr>
          <w:rFonts w:ascii="宋体" w:hAnsi="宋体" w:eastAsia="宋体" w:cs="宋体"/>
          <w:sz w:val="28"/>
          <w:szCs w:val="28"/>
        </w:rPr>
      </w:pPr>
      <w:bookmarkStart w:id="49" w:name="bookmark44"/>
      <w:bookmarkEnd w:id="49"/>
      <w:bookmarkStart w:id="50" w:name="bookmark45"/>
      <w:bookmarkEnd w:id="50"/>
      <w:r>
        <w:rPr>
          <w:rFonts w:ascii="Times New Roman" w:hAnsi="Times New Roman" w:eastAsia="Times New Roman" w:cs="Times New Roman"/>
          <w:b/>
          <w:bCs/>
          <w:sz w:val="28"/>
          <w:szCs w:val="28"/>
        </w:rPr>
        <w:t xml:space="preserve">7 </w:t>
      </w:r>
      <w:r>
        <w:rPr>
          <w:rFonts w:ascii="宋体" w:hAnsi="宋体" w:eastAsia="宋体" w:cs="宋体"/>
          <w:sz w:val="28"/>
          <w:szCs w:val="28"/>
          <w14:textOutline w14:w="5094" w14:cap="flat" w14:cmpd="sng">
            <w14:solidFill>
              <w14:srgbClr w14:val="000000"/>
            </w14:solidFill>
            <w14:prstDash w14:val="solid"/>
            <w14:miter w14:val="0"/>
          </w14:textOutline>
        </w:rPr>
        <w:t>环境管理和监测计划</w:t>
      </w:r>
    </w:p>
    <w:p>
      <w:pPr>
        <w:spacing w:before="204" w:line="220" w:lineRule="auto"/>
        <w:ind w:left="123"/>
        <w:rPr>
          <w:rFonts w:ascii="宋体" w:hAnsi="宋体" w:eastAsia="宋体" w:cs="宋体"/>
          <w:sz w:val="24"/>
          <w:szCs w:val="24"/>
        </w:rPr>
      </w:pPr>
      <w:r>
        <w:rPr>
          <w:rFonts w:ascii="Times New Roman" w:hAnsi="Times New Roman" w:eastAsia="Times New Roman" w:cs="Times New Roman"/>
          <w:b/>
          <w:bCs/>
          <w:sz w:val="24"/>
          <w:szCs w:val="24"/>
        </w:rPr>
        <w:t xml:space="preserve">7.1 </w:t>
      </w:r>
      <w:r>
        <w:rPr>
          <w:rFonts w:ascii="宋体" w:hAnsi="宋体" w:eastAsia="宋体" w:cs="宋体"/>
          <w:sz w:val="24"/>
          <w:szCs w:val="24"/>
          <w14:textOutline w14:w="4354" w14:cap="flat" w14:cmpd="sng">
            <w14:solidFill>
              <w14:srgbClr w14:val="000000"/>
            </w14:solidFill>
            <w14:prstDash w14:val="solid"/>
            <w14:miter w14:val="0"/>
          </w14:textOutline>
        </w:rPr>
        <w:t>环境保护管理和监督计划</w:t>
      </w:r>
    </w:p>
    <w:p>
      <w:pPr>
        <w:spacing w:before="179" w:line="220" w:lineRule="auto"/>
        <w:ind w:left="123"/>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7.1.1 </w:t>
      </w:r>
      <w:r>
        <w:rPr>
          <w:rFonts w:ascii="宋体" w:hAnsi="宋体" w:eastAsia="宋体" w:cs="宋体"/>
          <w:spacing w:val="-1"/>
          <w:sz w:val="24"/>
          <w:szCs w:val="24"/>
          <w14:textOutline w14:w="4354" w14:cap="flat" w14:cmpd="sng">
            <w14:solidFill>
              <w14:srgbClr w14:val="000000"/>
            </w14:solidFill>
            <w14:prstDash w14:val="solid"/>
            <w14:miter w14:val="0"/>
          </w14:textOutline>
        </w:rPr>
        <w:t>环境管理目标</w:t>
      </w:r>
    </w:p>
    <w:p>
      <w:pPr>
        <w:spacing w:before="184" w:line="359" w:lineRule="auto"/>
        <w:ind w:left="123" w:right="116" w:firstLine="480"/>
        <w:jc w:val="both"/>
        <w:rPr>
          <w:rFonts w:ascii="宋体" w:hAnsi="宋体" w:eastAsia="宋体" w:cs="宋体"/>
          <w:sz w:val="24"/>
          <w:szCs w:val="24"/>
        </w:rPr>
      </w:pPr>
      <w:r>
        <w:rPr>
          <w:rFonts w:ascii="宋体" w:hAnsi="宋体" w:eastAsia="宋体" w:cs="宋体"/>
          <w:spacing w:val="-6"/>
          <w:sz w:val="24"/>
          <w:szCs w:val="24"/>
        </w:rPr>
        <w:t>环境保护管理计划可划分成施工期环境管理计划和营运期环境管理计划，</w:t>
      </w:r>
      <w:r>
        <w:rPr>
          <w:rFonts w:ascii="宋体" w:hAnsi="宋体" w:eastAsia="宋体" w:cs="宋体"/>
          <w:spacing w:val="-26"/>
          <w:sz w:val="24"/>
          <w:szCs w:val="24"/>
        </w:rPr>
        <w:t xml:space="preserve"> </w:t>
      </w:r>
      <w:r>
        <w:rPr>
          <w:rFonts w:ascii="宋体" w:hAnsi="宋体" w:eastAsia="宋体" w:cs="宋体"/>
          <w:spacing w:val="-6"/>
          <w:sz w:val="24"/>
          <w:szCs w:val="24"/>
        </w:rPr>
        <w:t>相</w:t>
      </w:r>
      <w:r>
        <w:rPr>
          <w:rFonts w:ascii="宋体" w:hAnsi="宋体" w:eastAsia="宋体" w:cs="宋体"/>
          <w:sz w:val="24"/>
          <w:szCs w:val="24"/>
        </w:rPr>
        <w:t xml:space="preserve"> </w:t>
      </w:r>
      <w:r>
        <w:rPr>
          <w:rFonts w:ascii="宋体" w:hAnsi="宋体" w:eastAsia="宋体" w:cs="宋体"/>
          <w:spacing w:val="-3"/>
          <w:sz w:val="24"/>
          <w:szCs w:val="24"/>
        </w:rPr>
        <w:t>应的管理机构一般包括管理机构、监督执行机构和监测机构。该计划用于组织实</w:t>
      </w:r>
      <w:r>
        <w:rPr>
          <w:rFonts w:ascii="宋体" w:hAnsi="宋体" w:eastAsia="宋体" w:cs="宋体"/>
          <w:sz w:val="24"/>
          <w:szCs w:val="24"/>
        </w:rPr>
        <w:t xml:space="preserve"> </w:t>
      </w:r>
      <w:r>
        <w:rPr>
          <w:rFonts w:ascii="宋体" w:hAnsi="宋体" w:eastAsia="宋体" w:cs="宋体"/>
          <w:spacing w:val="-6"/>
          <w:sz w:val="24"/>
          <w:szCs w:val="24"/>
        </w:rPr>
        <w:t>施由本报告中所提出的环境影响减缓措施， 计划中指出了</w:t>
      </w:r>
      <w:r>
        <w:rPr>
          <w:rFonts w:ascii="宋体" w:hAnsi="宋体" w:eastAsia="宋体" w:cs="宋体"/>
          <w:spacing w:val="-7"/>
          <w:sz w:val="24"/>
          <w:szCs w:val="24"/>
        </w:rPr>
        <w:t>责任方、拟定了操作方</w:t>
      </w:r>
    </w:p>
    <w:p>
      <w:pPr>
        <w:spacing w:line="219" w:lineRule="auto"/>
        <w:ind w:left="126"/>
        <w:rPr>
          <w:rFonts w:ascii="宋体" w:hAnsi="宋体" w:eastAsia="宋体" w:cs="宋体"/>
          <w:sz w:val="24"/>
          <w:szCs w:val="24"/>
        </w:rPr>
      </w:pPr>
      <w:r>
        <w:rPr>
          <w:rFonts w:ascii="宋体" w:hAnsi="宋体" w:eastAsia="宋体" w:cs="宋体"/>
          <w:spacing w:val="-3"/>
          <w:sz w:val="24"/>
          <w:szCs w:val="24"/>
        </w:rPr>
        <w:t>案以及监控项目。通过环境保护管理，以达到如下目的：</w:t>
      </w:r>
    </w:p>
    <w:p>
      <w:pPr>
        <w:spacing w:before="181" w:line="359" w:lineRule="auto"/>
        <w:ind w:left="123" w:right="116" w:firstLine="487"/>
        <w:jc w:val="both"/>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）使项目的建设和运营符合国家经济建设和环</w:t>
      </w:r>
      <w:r>
        <w:rPr>
          <w:rFonts w:ascii="宋体" w:hAnsi="宋体" w:eastAsia="宋体" w:cs="宋体"/>
          <w:spacing w:val="-1"/>
          <w:sz w:val="24"/>
          <w:szCs w:val="24"/>
        </w:rPr>
        <w:t>境建设的同时设计、同时</w:t>
      </w:r>
      <w:r>
        <w:rPr>
          <w:rFonts w:ascii="宋体" w:hAnsi="宋体" w:eastAsia="宋体" w:cs="宋体"/>
          <w:sz w:val="24"/>
          <w:szCs w:val="24"/>
        </w:rPr>
        <w:t xml:space="preserve"> </w:t>
      </w:r>
      <w:r>
        <w:rPr>
          <w:rFonts w:ascii="宋体" w:hAnsi="宋体" w:eastAsia="宋体" w:cs="宋体"/>
          <w:spacing w:val="-6"/>
          <w:sz w:val="24"/>
          <w:szCs w:val="24"/>
        </w:rPr>
        <w:t>施工和同时投入使用的</w:t>
      </w:r>
      <w:r>
        <w:rPr>
          <w:rFonts w:ascii="Times New Roman" w:hAnsi="Times New Roman" w:eastAsia="Times New Roman" w:cs="Times New Roman"/>
          <w:spacing w:val="-6"/>
          <w:sz w:val="24"/>
          <w:szCs w:val="24"/>
        </w:rPr>
        <w:t>“</w:t>
      </w:r>
      <w:r>
        <w:rPr>
          <w:rFonts w:ascii="宋体" w:hAnsi="宋体" w:eastAsia="宋体" w:cs="宋体"/>
          <w:spacing w:val="-6"/>
          <w:sz w:val="24"/>
          <w:szCs w:val="24"/>
        </w:rPr>
        <w:t>三同时</w:t>
      </w:r>
      <w:r>
        <w:rPr>
          <w:rFonts w:ascii="Times New Roman" w:hAnsi="Times New Roman" w:eastAsia="Times New Roman" w:cs="Times New Roman"/>
          <w:spacing w:val="-6"/>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6"/>
          <w:sz w:val="24"/>
          <w:szCs w:val="24"/>
        </w:rPr>
        <w:t>的制度， 为环保措施的落实及监督、为项目</w:t>
      </w:r>
      <w:r>
        <w:rPr>
          <w:rFonts w:ascii="宋体" w:hAnsi="宋体" w:eastAsia="宋体" w:cs="宋体"/>
          <w:spacing w:val="-7"/>
          <w:sz w:val="24"/>
          <w:szCs w:val="24"/>
        </w:rPr>
        <w:t>环境</w:t>
      </w:r>
    </w:p>
    <w:p>
      <w:pPr>
        <w:spacing w:before="1" w:line="218" w:lineRule="auto"/>
        <w:ind w:left="125"/>
        <w:rPr>
          <w:rFonts w:ascii="宋体" w:hAnsi="宋体" w:eastAsia="宋体" w:cs="宋体"/>
          <w:sz w:val="24"/>
          <w:szCs w:val="24"/>
        </w:rPr>
      </w:pPr>
      <w:r>
        <w:rPr>
          <w:rFonts w:ascii="宋体" w:hAnsi="宋体" w:eastAsia="宋体" w:cs="宋体"/>
          <w:spacing w:val="-3"/>
          <w:sz w:val="24"/>
          <w:szCs w:val="24"/>
        </w:rPr>
        <w:t>保护审批及环境保护竣工验收提供依据。</w:t>
      </w:r>
    </w:p>
    <w:p>
      <w:pPr>
        <w:spacing w:before="184" w:line="465" w:lineRule="exact"/>
        <w:ind w:left="610"/>
        <w:rPr>
          <w:rFonts w:ascii="宋体" w:hAnsi="宋体" w:eastAsia="宋体" w:cs="宋体"/>
          <w:sz w:val="24"/>
          <w:szCs w:val="24"/>
        </w:rPr>
      </w:pP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2</w:t>
      </w:r>
      <w:r>
        <w:rPr>
          <w:rFonts w:ascii="宋体" w:hAnsi="宋体" w:eastAsia="宋体" w:cs="宋体"/>
          <w:spacing w:val="-4"/>
          <w:position w:val="17"/>
          <w:sz w:val="24"/>
          <w:szCs w:val="24"/>
        </w:rPr>
        <w:t>）通过本管理计划的实施， 将拟建道路对环境带来的不利影响减少至最</w:t>
      </w:r>
    </w:p>
    <w:p>
      <w:pPr>
        <w:spacing w:before="1" w:line="219" w:lineRule="auto"/>
        <w:ind w:left="123"/>
        <w:rPr>
          <w:rFonts w:ascii="宋体" w:hAnsi="宋体" w:eastAsia="宋体" w:cs="宋体"/>
          <w:sz w:val="24"/>
          <w:szCs w:val="24"/>
        </w:rPr>
      </w:pPr>
      <w:r>
        <w:rPr>
          <w:rFonts w:ascii="宋体" w:hAnsi="宋体" w:eastAsia="宋体" w:cs="宋体"/>
          <w:spacing w:val="-2"/>
          <w:sz w:val="24"/>
          <w:szCs w:val="24"/>
        </w:rPr>
        <w:t>低程度，使该项目的经济效益和环境效益得以协调发展。</w:t>
      </w:r>
    </w:p>
    <w:p>
      <w:pPr>
        <w:spacing w:before="182" w:line="219" w:lineRule="auto"/>
        <w:ind w:left="123"/>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7.1.2 </w:t>
      </w:r>
      <w:r>
        <w:rPr>
          <w:rFonts w:ascii="宋体" w:hAnsi="宋体" w:eastAsia="宋体" w:cs="宋体"/>
          <w:spacing w:val="-1"/>
          <w:sz w:val="24"/>
          <w:szCs w:val="24"/>
          <w14:textOutline w14:w="4354" w14:cap="flat" w14:cmpd="sng">
            <w14:solidFill>
              <w14:srgbClr w14:val="000000"/>
            </w14:solidFill>
            <w14:prstDash w14:val="solid"/>
            <w14:miter w14:val="0"/>
          </w14:textOutline>
        </w:rPr>
        <w:t>环境管理机构</w:t>
      </w:r>
    </w:p>
    <w:p>
      <w:pPr>
        <w:spacing w:before="185" w:line="359" w:lineRule="auto"/>
        <w:ind w:left="123" w:right="116" w:firstLine="481"/>
        <w:jc w:val="both"/>
        <w:rPr>
          <w:rFonts w:ascii="宋体" w:hAnsi="宋体" w:eastAsia="宋体" w:cs="宋体"/>
          <w:sz w:val="24"/>
          <w:szCs w:val="24"/>
        </w:rPr>
      </w:pPr>
      <w:r>
        <w:rPr>
          <w:rFonts w:ascii="宋体" w:hAnsi="宋体" w:eastAsia="宋体" w:cs="宋体"/>
          <w:spacing w:val="-3"/>
          <w:sz w:val="24"/>
          <w:szCs w:val="24"/>
        </w:rPr>
        <w:t>本项目建设单位在整个项目全过程中具体落实各项环境保护措</w:t>
      </w:r>
      <w:r>
        <w:rPr>
          <w:rFonts w:ascii="宋体" w:hAnsi="宋体" w:eastAsia="宋体" w:cs="宋体"/>
          <w:spacing w:val="-4"/>
          <w:sz w:val="24"/>
          <w:szCs w:val="24"/>
        </w:rPr>
        <w:t>施。首先在设</w:t>
      </w:r>
      <w:r>
        <w:rPr>
          <w:rFonts w:ascii="宋体" w:hAnsi="宋体" w:eastAsia="宋体" w:cs="宋体"/>
          <w:sz w:val="24"/>
          <w:szCs w:val="24"/>
        </w:rPr>
        <w:t xml:space="preserve"> </w:t>
      </w:r>
      <w:r>
        <w:rPr>
          <w:rFonts w:ascii="宋体" w:hAnsi="宋体" w:eastAsia="宋体" w:cs="宋体"/>
          <w:spacing w:val="-9"/>
          <w:sz w:val="24"/>
          <w:szCs w:val="24"/>
        </w:rPr>
        <w:t>计阶段，</w:t>
      </w:r>
      <w:r>
        <w:rPr>
          <w:rFonts w:ascii="宋体" w:hAnsi="宋体" w:eastAsia="宋体" w:cs="宋体"/>
          <w:spacing w:val="-22"/>
          <w:sz w:val="24"/>
          <w:szCs w:val="24"/>
        </w:rPr>
        <w:t xml:space="preserve"> </w:t>
      </w:r>
      <w:r>
        <w:rPr>
          <w:rFonts w:ascii="宋体" w:hAnsi="宋体" w:eastAsia="宋体" w:cs="宋体"/>
          <w:spacing w:val="-9"/>
          <w:sz w:val="24"/>
          <w:szCs w:val="24"/>
        </w:rPr>
        <w:t>设计单位应将环境影响报告中提出的环保工程措施落实在设计中， 建设</w:t>
      </w:r>
      <w:r>
        <w:rPr>
          <w:rFonts w:ascii="宋体" w:hAnsi="宋体" w:eastAsia="宋体" w:cs="宋体"/>
          <w:sz w:val="24"/>
          <w:szCs w:val="24"/>
        </w:rPr>
        <w:t xml:space="preserve"> </w:t>
      </w:r>
      <w:r>
        <w:rPr>
          <w:rFonts w:ascii="宋体" w:hAnsi="宋体" w:eastAsia="宋体" w:cs="宋体"/>
          <w:spacing w:val="-6"/>
          <w:sz w:val="24"/>
          <w:szCs w:val="24"/>
        </w:rPr>
        <w:t>单位和环保管理机构应对有关环保的设计方案进行审查。在</w:t>
      </w:r>
      <w:r>
        <w:rPr>
          <w:rFonts w:ascii="宋体" w:hAnsi="宋体" w:eastAsia="宋体" w:cs="宋体"/>
          <w:spacing w:val="-7"/>
          <w:sz w:val="24"/>
          <w:szCs w:val="24"/>
        </w:rPr>
        <w:t>招投标阶段， 承包商</w:t>
      </w:r>
      <w:r>
        <w:rPr>
          <w:rFonts w:ascii="宋体" w:hAnsi="宋体" w:eastAsia="宋体" w:cs="宋体"/>
          <w:sz w:val="24"/>
          <w:szCs w:val="24"/>
        </w:rPr>
        <w:t xml:space="preserve"> </w:t>
      </w:r>
      <w:r>
        <w:rPr>
          <w:rFonts w:ascii="宋体" w:hAnsi="宋体" w:eastAsia="宋体" w:cs="宋体"/>
          <w:spacing w:val="-11"/>
          <w:sz w:val="24"/>
          <w:szCs w:val="24"/>
        </w:rPr>
        <w:t>在标书中应有环境保护内容，</w:t>
      </w:r>
      <w:r>
        <w:rPr>
          <w:rFonts w:ascii="宋体" w:hAnsi="宋体" w:eastAsia="宋体" w:cs="宋体"/>
          <w:spacing w:val="50"/>
          <w:sz w:val="24"/>
          <w:szCs w:val="24"/>
        </w:rPr>
        <w:t xml:space="preserve"> </w:t>
      </w:r>
      <w:r>
        <w:rPr>
          <w:rFonts w:ascii="宋体" w:hAnsi="宋体" w:eastAsia="宋体" w:cs="宋体"/>
          <w:spacing w:val="-11"/>
          <w:sz w:val="24"/>
          <w:szCs w:val="24"/>
        </w:rPr>
        <w:t>中标后合同中应有实施环保措施的条款， 并应明确</w:t>
      </w:r>
      <w:r>
        <w:rPr>
          <w:rFonts w:ascii="宋体" w:hAnsi="宋体" w:eastAsia="宋体" w:cs="宋体"/>
          <w:sz w:val="24"/>
          <w:szCs w:val="24"/>
        </w:rPr>
        <w:t xml:space="preserve"> </w:t>
      </w:r>
      <w:r>
        <w:rPr>
          <w:rFonts w:ascii="宋体" w:hAnsi="宋体" w:eastAsia="宋体" w:cs="宋体"/>
          <w:spacing w:val="-7"/>
          <w:sz w:val="24"/>
          <w:szCs w:val="24"/>
        </w:rPr>
        <w:t>违约责任。建设单位在施工开始后应配</w:t>
      </w:r>
      <w:r>
        <w:rPr>
          <w:rFonts w:ascii="宋体" w:hAnsi="宋体" w:eastAsia="宋体" w:cs="宋体"/>
          <w:spacing w:val="-26"/>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名以上的专职人员， 负责施工期环境管</w:t>
      </w:r>
      <w:r>
        <w:rPr>
          <w:rFonts w:ascii="宋体" w:hAnsi="宋体" w:eastAsia="宋体" w:cs="宋体"/>
          <w:sz w:val="24"/>
          <w:szCs w:val="24"/>
        </w:rPr>
        <w:t xml:space="preserve"> </w:t>
      </w:r>
      <w:r>
        <w:rPr>
          <w:rFonts w:ascii="宋体" w:hAnsi="宋体" w:eastAsia="宋体" w:cs="宋体"/>
          <w:spacing w:val="-6"/>
          <w:sz w:val="24"/>
          <w:szCs w:val="24"/>
        </w:rPr>
        <w:t>理与监督， 重点是施工期噪声、施工扬尘、施工人员生活</w:t>
      </w:r>
      <w:r>
        <w:rPr>
          <w:rFonts w:ascii="宋体" w:hAnsi="宋体" w:eastAsia="宋体" w:cs="宋体"/>
          <w:spacing w:val="-7"/>
          <w:sz w:val="24"/>
          <w:szCs w:val="24"/>
        </w:rPr>
        <w:t>废水清运、施工废水处</w:t>
      </w:r>
      <w:r>
        <w:rPr>
          <w:rFonts w:ascii="宋体" w:hAnsi="宋体" w:eastAsia="宋体" w:cs="宋体"/>
          <w:sz w:val="24"/>
          <w:szCs w:val="24"/>
        </w:rPr>
        <w:t xml:space="preserve"> </w:t>
      </w:r>
      <w:r>
        <w:rPr>
          <w:rFonts w:ascii="宋体" w:hAnsi="宋体" w:eastAsia="宋体" w:cs="宋体"/>
          <w:spacing w:val="-7"/>
          <w:sz w:val="24"/>
          <w:szCs w:val="24"/>
        </w:rPr>
        <w:t>理等。各个施工队伍中应配一名环保员，</w:t>
      </w:r>
      <w:r>
        <w:rPr>
          <w:rFonts w:ascii="宋体" w:hAnsi="宋体" w:eastAsia="宋体" w:cs="宋体"/>
          <w:spacing w:val="32"/>
          <w:sz w:val="24"/>
          <w:szCs w:val="24"/>
        </w:rPr>
        <w:t xml:space="preserve"> </w:t>
      </w:r>
      <w:r>
        <w:rPr>
          <w:rFonts w:ascii="宋体" w:hAnsi="宋体" w:eastAsia="宋体" w:cs="宋体"/>
          <w:spacing w:val="-7"/>
          <w:sz w:val="24"/>
          <w:szCs w:val="24"/>
        </w:rPr>
        <w:t>监督环保措施</w:t>
      </w:r>
      <w:r>
        <w:rPr>
          <w:rFonts w:ascii="宋体" w:hAnsi="宋体" w:eastAsia="宋体" w:cs="宋体"/>
          <w:spacing w:val="-8"/>
          <w:sz w:val="24"/>
          <w:szCs w:val="24"/>
        </w:rPr>
        <w:t>的实施。营运期间的环保</w:t>
      </w:r>
      <w:r>
        <w:rPr>
          <w:rFonts w:ascii="宋体" w:hAnsi="宋体" w:eastAsia="宋体" w:cs="宋体"/>
          <w:sz w:val="24"/>
          <w:szCs w:val="24"/>
        </w:rPr>
        <w:t xml:space="preserve"> </w:t>
      </w:r>
      <w:r>
        <w:rPr>
          <w:rFonts w:ascii="宋体" w:hAnsi="宋体" w:eastAsia="宋体" w:cs="宋体"/>
          <w:spacing w:val="-3"/>
          <w:sz w:val="24"/>
          <w:szCs w:val="24"/>
        </w:rPr>
        <w:t>管理与监控必须由专门的部门实施。生态环境部门对区域内路段施工期和营运期</w:t>
      </w:r>
    </w:p>
    <w:p>
      <w:pPr>
        <w:spacing w:line="220" w:lineRule="auto"/>
        <w:ind w:left="124"/>
        <w:rPr>
          <w:rFonts w:ascii="宋体" w:hAnsi="宋体" w:eastAsia="宋体" w:cs="宋体"/>
          <w:sz w:val="24"/>
          <w:szCs w:val="24"/>
        </w:rPr>
      </w:pPr>
      <w:r>
        <w:rPr>
          <w:rFonts w:ascii="宋体" w:hAnsi="宋体" w:eastAsia="宋体" w:cs="宋体"/>
          <w:spacing w:val="-3"/>
          <w:sz w:val="24"/>
          <w:szCs w:val="24"/>
        </w:rPr>
        <w:t>环保措施的落实情况给予监督和指导。</w:t>
      </w:r>
    </w:p>
    <w:p>
      <w:pPr>
        <w:spacing w:before="180" w:line="219" w:lineRule="auto"/>
        <w:ind w:left="2497"/>
        <w:rPr>
          <w:rFonts w:ascii="宋体" w:hAnsi="宋体" w:eastAsia="宋体" w:cs="宋体"/>
          <w:sz w:val="24"/>
          <w:szCs w:val="24"/>
        </w:rPr>
      </w:pPr>
      <w:r>
        <w:rPr>
          <w:rFonts w:ascii="宋体" w:hAnsi="宋体" w:eastAsia="宋体" w:cs="宋体"/>
          <w:spacing w:val="-1"/>
          <w:sz w:val="24"/>
          <w:szCs w:val="24"/>
        </w:rPr>
        <w:t xml:space="preserve">表 </w:t>
      </w:r>
      <w:r>
        <w:rPr>
          <w:rFonts w:ascii="Times New Roman" w:hAnsi="Times New Roman" w:eastAsia="Times New Roman" w:cs="Times New Roman"/>
          <w:spacing w:val="-1"/>
          <w:sz w:val="24"/>
          <w:szCs w:val="24"/>
        </w:rPr>
        <w:t xml:space="preserve">0-3    </w:t>
      </w:r>
      <w:r>
        <w:rPr>
          <w:rFonts w:ascii="宋体" w:hAnsi="宋体" w:eastAsia="宋体" w:cs="宋体"/>
          <w:spacing w:val="-1"/>
          <w:sz w:val="24"/>
          <w:szCs w:val="24"/>
        </w:rPr>
        <w:t>公路环境管理机构主要职责表</w:t>
      </w:r>
    </w:p>
    <w:p>
      <w:pPr>
        <w:spacing w:line="147"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2"/>
        <w:gridCol w:w="4861"/>
        <w:gridCol w:w="26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062" w:type="dxa"/>
            <w:vAlign w:val="top"/>
          </w:tcPr>
          <w:p>
            <w:pPr>
              <w:pStyle w:val="6"/>
              <w:spacing w:before="80" w:line="209" w:lineRule="auto"/>
              <w:ind w:left="115"/>
            </w:pPr>
            <w:r>
              <w:rPr>
                <w:spacing w:val="-1"/>
              </w:rPr>
              <w:t>机构名称</w:t>
            </w:r>
          </w:p>
        </w:tc>
        <w:tc>
          <w:tcPr>
            <w:tcW w:w="4861" w:type="dxa"/>
            <w:vAlign w:val="top"/>
          </w:tcPr>
          <w:p>
            <w:pPr>
              <w:pStyle w:val="6"/>
              <w:spacing w:before="80" w:line="209" w:lineRule="auto"/>
              <w:ind w:left="2015"/>
            </w:pPr>
            <w:r>
              <w:rPr>
                <w:spacing w:val="-1"/>
              </w:rPr>
              <w:t>机构职责</w:t>
            </w:r>
          </w:p>
        </w:tc>
        <w:tc>
          <w:tcPr>
            <w:tcW w:w="2610" w:type="dxa"/>
            <w:vAlign w:val="top"/>
          </w:tcPr>
          <w:p>
            <w:pPr>
              <w:pStyle w:val="6"/>
              <w:spacing w:before="80" w:line="209" w:lineRule="auto"/>
              <w:ind w:left="1101"/>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1062" w:type="dxa"/>
            <w:vAlign w:val="top"/>
          </w:tcPr>
          <w:p>
            <w:pPr>
              <w:pStyle w:val="6"/>
              <w:spacing w:before="235" w:line="251" w:lineRule="auto"/>
              <w:ind w:left="117" w:right="106"/>
            </w:pPr>
            <w:r>
              <w:rPr>
                <w:spacing w:val="-2"/>
              </w:rPr>
              <w:t>生态环境</w:t>
            </w:r>
            <w:r>
              <w:t xml:space="preserve"> </w:t>
            </w:r>
            <w:r>
              <w:rPr>
                <w:spacing w:val="-2"/>
              </w:rPr>
              <w:t>主管部门</w:t>
            </w:r>
          </w:p>
        </w:tc>
        <w:tc>
          <w:tcPr>
            <w:tcW w:w="4861" w:type="dxa"/>
            <w:vAlign w:val="top"/>
          </w:tcPr>
          <w:p>
            <w:pPr>
              <w:pStyle w:val="6"/>
              <w:spacing w:before="75" w:line="219" w:lineRule="auto"/>
              <w:ind w:left="132"/>
            </w:pPr>
            <w:r>
              <w:rPr>
                <w:spacing w:val="-1"/>
              </w:rPr>
              <w:t>负责本项目环境影响报告的审批。总体负责辖区内</w:t>
            </w:r>
          </w:p>
          <w:p>
            <w:pPr>
              <w:pStyle w:val="6"/>
              <w:spacing w:before="72" w:line="244" w:lineRule="auto"/>
              <w:ind w:left="333" w:right="114" w:hanging="209"/>
            </w:pPr>
            <w:r>
              <w:rPr>
                <w:spacing w:val="-1"/>
              </w:rPr>
              <w:t>包括本项目在内的所有交通建设项目的环境保护工</w:t>
            </w:r>
            <w:r>
              <w:rPr>
                <w:spacing w:val="18"/>
              </w:rPr>
              <w:t xml:space="preserve"> </w:t>
            </w:r>
            <w:r>
              <w:rPr>
                <w:spacing w:val="-1"/>
              </w:rPr>
              <w:t>作，负责本项目环境保护工作的监督和管理。</w:t>
            </w:r>
          </w:p>
        </w:tc>
        <w:tc>
          <w:tcPr>
            <w:tcW w:w="2610" w:type="dxa"/>
            <w:vAlign w:val="top"/>
          </w:tcPr>
          <w:p>
            <w:pPr>
              <w:spacing w:line="369" w:lineRule="auto"/>
              <w:rPr>
                <w:rFonts w:ascii="Arial"/>
                <w:sz w:val="21"/>
              </w:rPr>
            </w:pPr>
          </w:p>
          <w:p>
            <w:pPr>
              <w:spacing w:before="61" w:line="233" w:lineRule="auto"/>
              <w:ind w:left="127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062" w:type="dxa"/>
            <w:vAlign w:val="top"/>
          </w:tcPr>
          <w:p>
            <w:pPr>
              <w:pStyle w:val="6"/>
              <w:spacing w:before="238" w:line="221" w:lineRule="auto"/>
              <w:ind w:left="118"/>
            </w:pPr>
            <w:r>
              <w:rPr>
                <w:spacing w:val="-2"/>
              </w:rPr>
              <w:t>建设单位</w:t>
            </w:r>
          </w:p>
        </w:tc>
        <w:tc>
          <w:tcPr>
            <w:tcW w:w="4861" w:type="dxa"/>
            <w:vAlign w:val="top"/>
          </w:tcPr>
          <w:p>
            <w:pPr>
              <w:pStyle w:val="6"/>
              <w:spacing w:before="76" w:line="245" w:lineRule="auto"/>
              <w:ind w:left="754" w:right="219" w:hanging="516"/>
            </w:pPr>
            <w:r>
              <w:rPr>
                <w:spacing w:val="-1"/>
              </w:rPr>
              <w:t>负责本项目施工期环境保护计划的实施与管理工</w:t>
            </w:r>
            <w:r>
              <w:rPr>
                <w:spacing w:val="7"/>
              </w:rPr>
              <w:t xml:space="preserve"> </w:t>
            </w:r>
            <w:r>
              <w:rPr>
                <w:spacing w:val="-2"/>
              </w:rPr>
              <w:t>作，负责项目营运期环境保护工作。</w:t>
            </w:r>
          </w:p>
        </w:tc>
        <w:tc>
          <w:tcPr>
            <w:tcW w:w="2610" w:type="dxa"/>
            <w:vAlign w:val="top"/>
          </w:tcPr>
          <w:p>
            <w:pPr>
              <w:pStyle w:val="6"/>
              <w:spacing w:before="76" w:line="245" w:lineRule="auto"/>
              <w:ind w:left="157" w:right="146" w:hanging="5"/>
            </w:pPr>
            <w:r>
              <w:rPr>
                <w:spacing w:val="-1"/>
              </w:rPr>
              <w:t>施工期和营运期制定专人</w:t>
            </w:r>
            <w:r>
              <w:rPr>
                <w:spacing w:val="6"/>
              </w:rPr>
              <w:t xml:space="preserve"> </w:t>
            </w:r>
            <w:r>
              <w:rPr>
                <w:spacing w:val="-3"/>
              </w:rPr>
              <w:t>具体负责环境管理工作。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062" w:type="dxa"/>
            <w:vAlign w:val="top"/>
          </w:tcPr>
          <w:p>
            <w:pPr>
              <w:pStyle w:val="6"/>
              <w:spacing w:before="78" w:line="209" w:lineRule="auto"/>
              <w:ind w:left="116"/>
            </w:pPr>
            <w:r>
              <w:rPr>
                <w:spacing w:val="-2"/>
              </w:rPr>
              <w:t>监测单位</w:t>
            </w:r>
          </w:p>
        </w:tc>
        <w:tc>
          <w:tcPr>
            <w:tcW w:w="4861" w:type="dxa"/>
            <w:vAlign w:val="top"/>
          </w:tcPr>
          <w:p>
            <w:pPr>
              <w:pStyle w:val="6"/>
              <w:spacing w:before="78" w:line="209" w:lineRule="auto"/>
              <w:ind w:left="649"/>
            </w:pPr>
            <w:r>
              <w:rPr>
                <w:spacing w:val="-1"/>
              </w:rPr>
              <w:t>承担施工期与营运期的环境监测工作。</w:t>
            </w:r>
          </w:p>
        </w:tc>
        <w:tc>
          <w:tcPr>
            <w:tcW w:w="2610" w:type="dxa"/>
            <w:vAlign w:val="top"/>
          </w:tcPr>
          <w:p>
            <w:pPr>
              <w:pStyle w:val="6"/>
              <w:spacing w:before="78" w:line="209" w:lineRule="auto"/>
              <w:ind w:left="155"/>
              <w:rPr>
                <w:rFonts w:hint="eastAsia" w:eastAsia="宋体"/>
                <w:lang w:eastAsia="zh-CN"/>
              </w:rPr>
            </w:pPr>
            <w:r>
              <w:rPr>
                <w:spacing w:val="-9"/>
              </w:rPr>
              <w:t>建设单位委托，</w:t>
            </w:r>
            <w:r>
              <w:rPr>
                <w:spacing w:val="-14"/>
              </w:rPr>
              <w:t xml:space="preserve"> </w:t>
            </w:r>
            <w:r>
              <w:rPr>
                <w:rFonts w:hint="eastAsia"/>
                <w:spacing w:val="-9"/>
                <w:lang w:eastAsia="zh-CN"/>
              </w:rPr>
              <w:t>签订合同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062" w:type="dxa"/>
            <w:vAlign w:val="top"/>
          </w:tcPr>
          <w:p>
            <w:pPr>
              <w:pStyle w:val="6"/>
              <w:spacing w:before="237" w:line="221" w:lineRule="auto"/>
              <w:ind w:left="119"/>
            </w:pPr>
            <w:r>
              <w:rPr>
                <w:spacing w:val="-3"/>
              </w:rPr>
              <w:t>设计单位</w:t>
            </w:r>
          </w:p>
        </w:tc>
        <w:tc>
          <w:tcPr>
            <w:tcW w:w="4861" w:type="dxa"/>
            <w:vAlign w:val="top"/>
          </w:tcPr>
          <w:p>
            <w:pPr>
              <w:pStyle w:val="6"/>
              <w:spacing w:before="79" w:line="246" w:lineRule="auto"/>
              <w:ind w:left="984" w:right="114" w:hanging="860"/>
            </w:pPr>
            <w:r>
              <w:rPr>
                <w:spacing w:val="-1"/>
              </w:rPr>
              <w:t>根据环评报告提出的环保措施与要求，在设计文件</w:t>
            </w:r>
            <w:r>
              <w:rPr>
                <w:spacing w:val="18"/>
              </w:rPr>
              <w:t xml:space="preserve"> </w:t>
            </w:r>
            <w:r>
              <w:rPr>
                <w:spacing w:val="-4"/>
              </w:rPr>
              <w:t>中落实。负责环保工程的设计。</w:t>
            </w:r>
          </w:p>
        </w:tc>
        <w:tc>
          <w:tcPr>
            <w:tcW w:w="2610" w:type="dxa"/>
            <w:vAlign w:val="top"/>
          </w:tcPr>
          <w:p>
            <w:pPr>
              <w:pStyle w:val="6"/>
              <w:spacing w:before="237" w:line="221" w:lineRule="auto"/>
              <w:ind w:left="155"/>
              <w:rPr>
                <w:rFonts w:hint="eastAsia" w:eastAsia="宋体"/>
                <w:lang w:eastAsia="zh-CN"/>
              </w:rPr>
            </w:pPr>
            <w:r>
              <w:rPr>
                <w:spacing w:val="-9"/>
              </w:rPr>
              <w:t>建设单位委托，</w:t>
            </w:r>
            <w:r>
              <w:rPr>
                <w:spacing w:val="-14"/>
              </w:rPr>
              <w:t xml:space="preserve"> </w:t>
            </w:r>
            <w:r>
              <w:rPr>
                <w:rFonts w:hint="eastAsia"/>
                <w:spacing w:val="-9"/>
                <w:lang w:eastAsia="zh-CN"/>
              </w:rPr>
              <w:t>签订合同</w:t>
            </w:r>
          </w:p>
        </w:tc>
      </w:tr>
    </w:tbl>
    <w:p>
      <w:pPr>
        <w:pStyle w:val="2"/>
      </w:pPr>
    </w:p>
    <w:p>
      <w:pPr>
        <w:sectPr>
          <w:headerReference r:id="rId352" w:type="default"/>
          <w:footerReference r:id="rId353" w:type="default"/>
          <w:pgSz w:w="11907" w:h="16839"/>
          <w:pgMar w:top="1118" w:right="1682" w:bottom="1151" w:left="1685" w:header="879" w:footer="990" w:gutter="0"/>
          <w:cols w:space="720" w:num="1"/>
        </w:sectPr>
      </w:pPr>
    </w:p>
    <w:p>
      <w:pPr>
        <w:spacing w:before="80"/>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2"/>
        <w:gridCol w:w="4861"/>
        <w:gridCol w:w="26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062" w:type="dxa"/>
            <w:vAlign w:val="top"/>
          </w:tcPr>
          <w:p>
            <w:pPr>
              <w:pStyle w:val="6"/>
              <w:spacing w:before="80" w:line="210" w:lineRule="auto"/>
              <w:ind w:left="116"/>
            </w:pPr>
            <w:r>
              <w:rPr>
                <w:spacing w:val="-2"/>
              </w:rPr>
              <w:t>环评单位</w:t>
            </w:r>
          </w:p>
        </w:tc>
        <w:tc>
          <w:tcPr>
            <w:tcW w:w="4861" w:type="dxa"/>
            <w:vAlign w:val="top"/>
          </w:tcPr>
          <w:p>
            <w:pPr>
              <w:pStyle w:val="6"/>
              <w:spacing w:before="80" w:line="210" w:lineRule="auto"/>
              <w:ind w:left="964"/>
            </w:pPr>
            <w:r>
              <w:rPr>
                <w:spacing w:val="-2"/>
              </w:rPr>
              <w:t>承担项目的环境影响评价工作。</w:t>
            </w:r>
          </w:p>
        </w:tc>
        <w:tc>
          <w:tcPr>
            <w:tcW w:w="2610" w:type="dxa"/>
            <w:vAlign w:val="top"/>
          </w:tcPr>
          <w:p>
            <w:pPr>
              <w:pStyle w:val="6"/>
              <w:spacing w:before="80" w:line="210" w:lineRule="auto"/>
              <w:ind w:left="155"/>
              <w:rPr>
                <w:rFonts w:hint="eastAsia" w:eastAsia="宋体"/>
                <w:lang w:eastAsia="zh-CN"/>
              </w:rPr>
            </w:pPr>
            <w:r>
              <w:rPr>
                <w:spacing w:val="-9"/>
              </w:rPr>
              <w:t>建设单位委托，</w:t>
            </w:r>
            <w:r>
              <w:rPr>
                <w:spacing w:val="-14"/>
              </w:rPr>
              <w:t xml:space="preserve"> </w:t>
            </w:r>
            <w:r>
              <w:rPr>
                <w:rFonts w:hint="eastAsia"/>
                <w:spacing w:val="-9"/>
                <w:lang w:eastAsia="zh-CN"/>
              </w:rPr>
              <w:t>签订合同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062" w:type="dxa"/>
            <w:vAlign w:val="top"/>
          </w:tcPr>
          <w:p>
            <w:pPr>
              <w:pStyle w:val="6"/>
              <w:spacing w:before="235" w:line="221" w:lineRule="auto"/>
              <w:ind w:left="219"/>
            </w:pPr>
            <w:r>
              <w:rPr>
                <w:spacing w:val="-2"/>
              </w:rPr>
              <w:t>承包商</w:t>
            </w:r>
          </w:p>
        </w:tc>
        <w:tc>
          <w:tcPr>
            <w:tcW w:w="4861" w:type="dxa"/>
            <w:vAlign w:val="top"/>
          </w:tcPr>
          <w:p>
            <w:pPr>
              <w:pStyle w:val="6"/>
              <w:spacing w:before="77" w:line="246" w:lineRule="auto"/>
              <w:ind w:left="649" w:right="114" w:hanging="517"/>
            </w:pPr>
            <w:r>
              <w:rPr>
                <w:spacing w:val="-5"/>
              </w:rPr>
              <w:t>负责本单位施工标段内的环境保护工作， 具体</w:t>
            </w:r>
            <w:r>
              <w:rPr>
                <w:spacing w:val="-6"/>
              </w:rPr>
              <w:t>落实</w:t>
            </w:r>
            <w:r>
              <w:t xml:space="preserve"> </w:t>
            </w:r>
            <w:r>
              <w:rPr>
                <w:spacing w:val="-1"/>
              </w:rPr>
              <w:t>环评报告书中提出的环保措施与要求。</w:t>
            </w:r>
          </w:p>
        </w:tc>
        <w:tc>
          <w:tcPr>
            <w:tcW w:w="2610" w:type="dxa"/>
            <w:vAlign w:val="top"/>
          </w:tcPr>
          <w:p>
            <w:pPr>
              <w:pStyle w:val="6"/>
              <w:spacing w:before="236" w:line="221" w:lineRule="auto"/>
              <w:ind w:left="443"/>
            </w:pPr>
            <w:r>
              <w:rPr>
                <w:spacing w:val="-4"/>
              </w:rPr>
              <w:t>配备</w:t>
            </w:r>
            <w:r>
              <w:rPr>
                <w:spacing w:val="30"/>
              </w:rPr>
              <w:t xml:space="preserve"> </w:t>
            </w:r>
            <w:r>
              <w:rPr>
                <w:rFonts w:ascii="Times New Roman" w:hAnsi="Times New Roman" w:eastAsia="Times New Roman" w:cs="Times New Roman"/>
                <w:spacing w:val="-4"/>
              </w:rPr>
              <w:t xml:space="preserve">1 </w:t>
            </w:r>
            <w:r>
              <w:rPr>
                <w:spacing w:val="-4"/>
              </w:rPr>
              <w:t>名环保人员</w:t>
            </w:r>
          </w:p>
        </w:tc>
      </w:tr>
    </w:tbl>
    <w:p>
      <w:pPr>
        <w:pStyle w:val="2"/>
        <w:spacing w:line="267" w:lineRule="auto"/>
      </w:pPr>
    </w:p>
    <w:p>
      <w:pPr>
        <w:spacing w:before="78" w:line="220" w:lineRule="auto"/>
        <w:ind w:left="123"/>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7.1.3 </w:t>
      </w:r>
      <w:r>
        <w:rPr>
          <w:rFonts w:ascii="宋体" w:hAnsi="宋体" w:eastAsia="宋体" w:cs="宋体"/>
          <w:spacing w:val="-1"/>
          <w:sz w:val="24"/>
          <w:szCs w:val="24"/>
          <w14:textOutline w14:w="4354" w14:cap="flat" w14:cmpd="sng">
            <w14:solidFill>
              <w14:srgbClr w14:val="000000"/>
            </w14:solidFill>
            <w14:prstDash w14:val="solid"/>
            <w14:miter w14:val="0"/>
          </w14:textOutline>
        </w:rPr>
        <w:t>环境管理主要内容</w:t>
      </w:r>
    </w:p>
    <w:p>
      <w:pPr>
        <w:spacing w:before="180" w:line="468" w:lineRule="exact"/>
        <w:ind w:left="605"/>
        <w:rPr>
          <w:rFonts w:ascii="宋体" w:hAnsi="宋体" w:eastAsia="宋体" w:cs="宋体"/>
          <w:sz w:val="24"/>
          <w:szCs w:val="24"/>
        </w:rPr>
      </w:pPr>
      <w:r>
        <w:rPr>
          <w:rFonts w:ascii="宋体" w:hAnsi="宋体" w:eastAsia="宋体" w:cs="宋体"/>
          <w:spacing w:val="-11"/>
          <w:position w:val="17"/>
          <w:sz w:val="24"/>
          <w:szCs w:val="24"/>
        </w:rPr>
        <w:t>本项目现阶段已建成，</w:t>
      </w:r>
      <w:r>
        <w:rPr>
          <w:rFonts w:ascii="宋体" w:hAnsi="宋体" w:eastAsia="宋体" w:cs="宋体"/>
          <w:spacing w:val="54"/>
          <w:position w:val="17"/>
          <w:sz w:val="24"/>
          <w:szCs w:val="24"/>
        </w:rPr>
        <w:t xml:space="preserve"> </w:t>
      </w:r>
      <w:r>
        <w:rPr>
          <w:rFonts w:ascii="宋体" w:hAnsi="宋体" w:eastAsia="宋体" w:cs="宋体"/>
          <w:spacing w:val="-11"/>
          <w:position w:val="17"/>
          <w:sz w:val="24"/>
          <w:szCs w:val="24"/>
        </w:rPr>
        <w:t>因此，</w:t>
      </w:r>
      <w:r>
        <w:rPr>
          <w:rFonts w:ascii="宋体" w:hAnsi="宋体" w:eastAsia="宋体" w:cs="宋体"/>
          <w:spacing w:val="-35"/>
          <w:position w:val="17"/>
          <w:sz w:val="24"/>
          <w:szCs w:val="24"/>
        </w:rPr>
        <w:t xml:space="preserve"> </w:t>
      </w:r>
      <w:r>
        <w:rPr>
          <w:rFonts w:ascii="宋体" w:hAnsi="宋体" w:eastAsia="宋体" w:cs="宋体"/>
          <w:spacing w:val="-11"/>
          <w:position w:val="17"/>
          <w:sz w:val="24"/>
          <w:szCs w:val="24"/>
        </w:rPr>
        <w:t>本次不再列举施工期的环境管理要求。后续环</w:t>
      </w:r>
    </w:p>
    <w:p>
      <w:pPr>
        <w:spacing w:line="219" w:lineRule="auto"/>
        <w:ind w:left="125"/>
        <w:rPr>
          <w:rFonts w:ascii="宋体" w:hAnsi="宋体" w:eastAsia="宋体" w:cs="宋体"/>
          <w:sz w:val="24"/>
          <w:szCs w:val="24"/>
        </w:rPr>
      </w:pPr>
      <w:r>
        <w:rPr>
          <w:rFonts w:ascii="宋体" w:hAnsi="宋体" w:eastAsia="宋体" w:cs="宋体"/>
          <w:spacing w:val="-4"/>
          <w:sz w:val="24"/>
          <w:szCs w:val="24"/>
        </w:rPr>
        <w:t>境管理主要为运营阶段的管理。</w:t>
      </w:r>
    </w:p>
    <w:p>
      <w:pPr>
        <w:spacing w:before="180" w:line="468" w:lineRule="exact"/>
        <w:ind w:left="608"/>
        <w:rPr>
          <w:rFonts w:ascii="宋体" w:hAnsi="宋体" w:eastAsia="宋体" w:cs="宋体"/>
          <w:sz w:val="24"/>
          <w:szCs w:val="24"/>
        </w:rPr>
      </w:pPr>
      <w:bookmarkStart w:id="51" w:name="bookmark69"/>
      <w:bookmarkEnd w:id="51"/>
      <w:r>
        <w:fldChar w:fldCharType="begin"/>
      </w:r>
      <w:r>
        <w:instrText xml:space="preserve"> HYPERLINK \l "bookmark69" </w:instrText>
      </w:r>
      <w:r>
        <w:fldChar w:fldCharType="separate"/>
      </w:r>
      <w:r>
        <w:rPr>
          <w:rFonts w:ascii="宋体" w:hAnsi="宋体" w:eastAsia="宋体" w:cs="宋体"/>
          <w:spacing w:val="-1"/>
          <w:position w:val="17"/>
          <w:sz w:val="24"/>
          <w:szCs w:val="24"/>
        </w:rPr>
        <w:t>项目运营期环境管理和监督的各项环保措施详见表</w:t>
      </w:r>
      <w:r>
        <w:rPr>
          <w:rFonts w:ascii="宋体" w:hAnsi="宋体" w:eastAsia="宋体" w:cs="宋体"/>
          <w:spacing w:val="-49"/>
          <w:position w:val="17"/>
          <w:sz w:val="24"/>
          <w:szCs w:val="24"/>
        </w:rPr>
        <w:t xml:space="preserve"> </w:t>
      </w:r>
      <w:r>
        <w:rPr>
          <w:rFonts w:ascii="Times New Roman" w:hAnsi="Times New Roman" w:eastAsia="Times New Roman" w:cs="Times New Roman"/>
          <w:spacing w:val="-1"/>
          <w:position w:val="17"/>
          <w:sz w:val="24"/>
          <w:szCs w:val="24"/>
        </w:rPr>
        <w:t>0-</w:t>
      </w:r>
      <w:r>
        <w:rPr>
          <w:rFonts w:ascii="宋体" w:hAnsi="宋体" w:eastAsia="宋体" w:cs="宋体"/>
          <w:spacing w:val="-1"/>
          <w:position w:val="17"/>
          <w:sz w:val="24"/>
          <w:szCs w:val="24"/>
        </w:rPr>
        <w:t>。</w:t>
      </w:r>
      <w:r>
        <w:rPr>
          <w:rFonts w:ascii="宋体" w:hAnsi="宋体" w:eastAsia="宋体" w:cs="宋体"/>
          <w:spacing w:val="-1"/>
          <w:position w:val="17"/>
          <w:sz w:val="24"/>
          <w:szCs w:val="24"/>
        </w:rPr>
        <w:fldChar w:fldCharType="end"/>
      </w:r>
    </w:p>
    <w:p>
      <w:pPr>
        <w:spacing w:line="219" w:lineRule="auto"/>
        <w:ind w:left="2526"/>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0-2    </w:t>
      </w:r>
      <w:r>
        <w:rPr>
          <w:rFonts w:ascii="宋体" w:hAnsi="宋体" w:eastAsia="宋体" w:cs="宋体"/>
          <w:spacing w:val="-1"/>
          <w:sz w:val="24"/>
          <w:szCs w:val="24"/>
        </w:rPr>
        <w:t>运营期环保管理与监督计划表</w:t>
      </w:r>
    </w:p>
    <w:p>
      <w:pPr>
        <w:spacing w:line="145" w:lineRule="exact"/>
      </w:pPr>
    </w:p>
    <w:tbl>
      <w:tblPr>
        <w:tblStyle w:val="5"/>
        <w:tblW w:w="8528"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6267"/>
        <w:gridCol w:w="11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084" w:type="dxa"/>
            <w:vAlign w:val="top"/>
          </w:tcPr>
          <w:p>
            <w:pPr>
              <w:pStyle w:val="6"/>
              <w:spacing w:before="89" w:line="220" w:lineRule="auto"/>
              <w:ind w:left="128"/>
            </w:pPr>
            <w:r>
              <w:rPr>
                <w:spacing w:val="-2"/>
              </w:rPr>
              <w:t>环境类型</w:t>
            </w:r>
          </w:p>
        </w:tc>
        <w:tc>
          <w:tcPr>
            <w:tcW w:w="6267" w:type="dxa"/>
            <w:vAlign w:val="top"/>
          </w:tcPr>
          <w:p>
            <w:pPr>
              <w:pStyle w:val="6"/>
              <w:spacing w:before="89" w:line="220" w:lineRule="auto"/>
              <w:ind w:left="2718"/>
            </w:pPr>
            <w:r>
              <w:rPr>
                <w:spacing w:val="-2"/>
              </w:rPr>
              <w:t>环保措施</w:t>
            </w:r>
          </w:p>
        </w:tc>
        <w:tc>
          <w:tcPr>
            <w:tcW w:w="1177" w:type="dxa"/>
            <w:vAlign w:val="top"/>
          </w:tcPr>
          <w:p>
            <w:pPr>
              <w:pStyle w:val="6"/>
              <w:spacing w:before="89" w:line="220" w:lineRule="auto"/>
              <w:ind w:left="172"/>
            </w:pPr>
            <w:r>
              <w:rPr>
                <w:spacing w:val="-2"/>
              </w:rPr>
              <w:t>相关部门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4" w:type="dxa"/>
            <w:vAlign w:val="top"/>
          </w:tcPr>
          <w:p>
            <w:pPr>
              <w:pStyle w:val="6"/>
              <w:spacing w:before="84" w:line="220" w:lineRule="auto"/>
              <w:ind w:left="128"/>
            </w:pPr>
            <w:r>
              <w:rPr>
                <w:spacing w:val="-2"/>
              </w:rPr>
              <w:t>环境管理</w:t>
            </w:r>
          </w:p>
        </w:tc>
        <w:tc>
          <w:tcPr>
            <w:tcW w:w="6267" w:type="dxa"/>
            <w:vAlign w:val="top"/>
          </w:tcPr>
          <w:p>
            <w:pPr>
              <w:pStyle w:val="6"/>
              <w:spacing w:before="84" w:line="220" w:lineRule="auto"/>
              <w:ind w:left="148"/>
            </w:pPr>
            <w:r>
              <w:rPr>
                <w:spacing w:val="-2"/>
              </w:rPr>
              <w:t>日常环保管理及环境监测；环保措施的实施与维护</w:t>
            </w:r>
          </w:p>
        </w:tc>
        <w:tc>
          <w:tcPr>
            <w:tcW w:w="117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8" w:line="221" w:lineRule="auto"/>
              <w:ind w:left="178"/>
            </w:pPr>
            <w:r>
              <w:rPr>
                <w:spacing w:val="-3"/>
              </w:rPr>
              <w:t>实施负责</w:t>
            </w:r>
          </w:p>
          <w:p>
            <w:pPr>
              <w:pStyle w:val="6"/>
              <w:spacing w:before="68" w:line="221" w:lineRule="auto"/>
              <w:ind w:left="117"/>
            </w:pPr>
            <w:r>
              <w:rPr>
                <w:spacing w:val="-19"/>
              </w:rPr>
              <w:t>单位：建设</w:t>
            </w:r>
          </w:p>
          <w:p>
            <w:pPr>
              <w:pStyle w:val="6"/>
              <w:spacing w:before="70" w:line="221" w:lineRule="auto"/>
              <w:ind w:left="117"/>
            </w:pPr>
            <w:r>
              <w:rPr>
                <w:spacing w:val="-20"/>
              </w:rPr>
              <w:t>单位、运营</w:t>
            </w:r>
          </w:p>
          <w:p>
            <w:pPr>
              <w:pStyle w:val="6"/>
              <w:spacing w:before="67" w:line="221" w:lineRule="auto"/>
              <w:ind w:left="385"/>
            </w:pPr>
            <w:r>
              <w:rPr>
                <w:spacing w:val="-2"/>
              </w:rPr>
              <w:t>单位</w:t>
            </w:r>
          </w:p>
          <w:p>
            <w:pPr>
              <w:pStyle w:val="6"/>
              <w:spacing w:before="68" w:line="221" w:lineRule="auto"/>
              <w:ind w:right="12"/>
              <w:jc w:val="right"/>
            </w:pPr>
            <w:r>
              <w:rPr>
                <w:spacing w:val="-2"/>
              </w:rPr>
              <w:t>监督单位：</w:t>
            </w:r>
          </w:p>
          <w:p>
            <w:pPr>
              <w:pStyle w:val="6"/>
              <w:spacing w:before="70" w:line="221" w:lineRule="auto"/>
              <w:ind w:left="174"/>
            </w:pPr>
            <w:r>
              <w:rPr>
                <w:spacing w:val="-2"/>
              </w:rPr>
              <w:t>生态环境</w:t>
            </w:r>
          </w:p>
          <w:p>
            <w:pPr>
              <w:pStyle w:val="6"/>
              <w:spacing w:before="67" w:line="221" w:lineRule="auto"/>
              <w:ind w:left="174"/>
            </w:pPr>
            <w:r>
              <w:rPr>
                <w:spacing w:val="-2"/>
              </w:rPr>
              <w:t>主管部门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1084" w:type="dxa"/>
            <w:vAlign w:val="top"/>
          </w:tcPr>
          <w:p>
            <w:pPr>
              <w:spacing w:line="322" w:lineRule="auto"/>
              <w:rPr>
                <w:rFonts w:ascii="Arial"/>
                <w:sz w:val="21"/>
              </w:rPr>
            </w:pPr>
          </w:p>
          <w:p>
            <w:pPr>
              <w:spacing w:line="322" w:lineRule="auto"/>
              <w:rPr>
                <w:rFonts w:ascii="Arial"/>
                <w:sz w:val="21"/>
              </w:rPr>
            </w:pPr>
          </w:p>
          <w:p>
            <w:pPr>
              <w:pStyle w:val="6"/>
              <w:spacing w:before="68" w:line="221" w:lineRule="auto"/>
              <w:ind w:left="129"/>
            </w:pPr>
            <w:r>
              <w:rPr>
                <w:spacing w:val="-2"/>
              </w:rPr>
              <w:t>生态环境</w:t>
            </w:r>
          </w:p>
        </w:tc>
        <w:tc>
          <w:tcPr>
            <w:tcW w:w="6267" w:type="dxa"/>
            <w:vAlign w:val="top"/>
          </w:tcPr>
          <w:p>
            <w:pPr>
              <w:pStyle w:val="6"/>
              <w:spacing w:before="76" w:line="218" w:lineRule="auto"/>
              <w:ind w:left="111"/>
            </w:pPr>
            <w:r>
              <w:rPr>
                <w:spacing w:val="-4"/>
              </w:rPr>
              <w:t>道路绿化：</w:t>
            </w:r>
            <w:r>
              <w:rPr>
                <w:spacing w:val="-23"/>
              </w:rPr>
              <w:t xml:space="preserve"> </w:t>
            </w:r>
            <w:r>
              <w:rPr>
                <w:spacing w:val="-4"/>
              </w:rPr>
              <w:t>①路基坡边绿化维护；②边坡脚至路界绿化维护；</w:t>
            </w:r>
          </w:p>
          <w:p>
            <w:pPr>
              <w:pStyle w:val="6"/>
              <w:spacing w:before="69" w:line="264" w:lineRule="auto"/>
              <w:ind w:left="113" w:right="99" w:firstLine="9"/>
            </w:pPr>
            <w:r>
              <w:rPr>
                <w:spacing w:val="-2"/>
              </w:rPr>
              <w:t>临时用地植被恢复：①因道路建设在路界以外造成植被损坏的临时</w:t>
            </w:r>
            <w:r>
              <w:rPr>
                <w:spacing w:val="5"/>
              </w:rPr>
              <w:t xml:space="preserve"> </w:t>
            </w:r>
            <w:r>
              <w:rPr>
                <w:spacing w:val="-2"/>
              </w:rPr>
              <w:t>用地，施工结束进行土地整治，凡能绿化种植的均应绿化；②能恢</w:t>
            </w:r>
            <w:r>
              <w:rPr>
                <w:spacing w:val="11"/>
              </w:rPr>
              <w:t xml:space="preserve"> </w:t>
            </w:r>
            <w:r>
              <w:rPr>
                <w:spacing w:val="-5"/>
              </w:rPr>
              <w:t>复农耕的应恢复农田；③适合高效种植的开发种植用地； ④生态公</w:t>
            </w:r>
            <w:r>
              <w:rPr>
                <w:spacing w:val="3"/>
              </w:rPr>
              <w:t xml:space="preserve"> </w:t>
            </w:r>
            <w:r>
              <w:rPr>
                <w:spacing w:val="-5"/>
              </w:rPr>
              <w:t>益林恢复；</w:t>
            </w:r>
            <w:r>
              <w:rPr>
                <w:spacing w:val="-17"/>
              </w:rPr>
              <w:t xml:space="preserve"> </w:t>
            </w:r>
            <w:r>
              <w:rPr>
                <w:spacing w:val="-5"/>
              </w:rPr>
              <w:t>路基防护工程、排水工程完善与维护。</w:t>
            </w:r>
          </w:p>
        </w:tc>
        <w:tc>
          <w:tcPr>
            <w:tcW w:w="117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5" w:hRule="atLeast"/>
        </w:trPr>
        <w:tc>
          <w:tcPr>
            <w:tcW w:w="1084" w:type="dxa"/>
            <w:vAlign w:val="top"/>
          </w:tcPr>
          <w:p>
            <w:pPr>
              <w:spacing w:line="320" w:lineRule="auto"/>
              <w:rPr>
                <w:rFonts w:ascii="Arial"/>
                <w:sz w:val="21"/>
              </w:rPr>
            </w:pPr>
          </w:p>
          <w:p>
            <w:pPr>
              <w:spacing w:line="320" w:lineRule="auto"/>
              <w:rPr>
                <w:rFonts w:ascii="Arial"/>
                <w:sz w:val="21"/>
              </w:rPr>
            </w:pPr>
          </w:p>
          <w:p>
            <w:pPr>
              <w:pStyle w:val="6"/>
              <w:spacing w:before="68" w:line="221" w:lineRule="auto"/>
              <w:ind w:left="128"/>
            </w:pPr>
            <w:r>
              <w:rPr>
                <w:spacing w:val="-2"/>
              </w:rPr>
              <w:t>环境噪声</w:t>
            </w:r>
          </w:p>
        </w:tc>
        <w:tc>
          <w:tcPr>
            <w:tcW w:w="6267" w:type="dxa"/>
            <w:vAlign w:val="top"/>
          </w:tcPr>
          <w:p>
            <w:pPr>
              <w:pStyle w:val="6"/>
              <w:spacing w:before="76" w:line="261" w:lineRule="auto"/>
              <w:ind w:left="117" w:right="101" w:firstLine="11"/>
              <w:jc w:val="both"/>
            </w:pPr>
            <w:r>
              <w:rPr>
                <w:rFonts w:ascii="Times New Roman" w:hAnsi="Times New Roman" w:eastAsia="Times New Roman" w:cs="Times New Roman"/>
              </w:rPr>
              <w:t>1</w:t>
            </w:r>
            <w:r>
              <w:rPr>
                <w:rFonts w:ascii="Times New Roman" w:hAnsi="Times New Roman" w:eastAsia="Times New Roman" w:cs="Times New Roman"/>
                <w:spacing w:val="-12"/>
              </w:rPr>
              <w:t xml:space="preserve"> </w:t>
            </w:r>
            <w:r>
              <w:t xml:space="preserve">、营运期环境噪声超标的村庄等敏感点，采取安装声屏障和隔声 </w:t>
            </w:r>
            <w:r>
              <w:rPr>
                <w:spacing w:val="4"/>
              </w:rPr>
              <w:t>窗等措施满足《地面交通噪声污染防治技术政策》（环发</w:t>
            </w:r>
            <w:r>
              <w:rPr>
                <w:rFonts w:ascii="Times New Roman" w:hAnsi="Times New Roman" w:eastAsia="Times New Roman" w:cs="Times New Roman"/>
                <w:spacing w:val="4"/>
              </w:rPr>
              <w:t>[2010]7</w:t>
            </w:r>
            <w:r>
              <w:rPr>
                <w:rFonts w:ascii="Times New Roman" w:hAnsi="Times New Roman" w:eastAsia="Times New Roman" w:cs="Times New Roman"/>
              </w:rPr>
              <w:t xml:space="preserve"> </w:t>
            </w:r>
            <w:r>
              <w:rPr>
                <w:spacing w:val="-2"/>
              </w:rPr>
              <w:t>号）的要求；</w:t>
            </w:r>
          </w:p>
          <w:p>
            <w:pPr>
              <w:pStyle w:val="6"/>
              <w:spacing w:before="69" w:line="283" w:lineRule="exact"/>
              <w:ind w:left="108"/>
            </w:pPr>
            <w:r>
              <w:rPr>
                <w:rFonts w:ascii="Times New Roman" w:hAnsi="Times New Roman" w:eastAsia="Times New Roman" w:cs="Times New Roman"/>
                <w:spacing w:val="-2"/>
                <w:position w:val="5"/>
              </w:rPr>
              <w:t>2</w:t>
            </w:r>
            <w:r>
              <w:rPr>
                <w:rFonts w:ascii="Times New Roman" w:hAnsi="Times New Roman" w:eastAsia="Times New Roman" w:cs="Times New Roman"/>
                <w:spacing w:val="-30"/>
                <w:position w:val="5"/>
              </w:rPr>
              <w:t xml:space="preserve"> </w:t>
            </w:r>
            <w:r>
              <w:rPr>
                <w:spacing w:val="-2"/>
                <w:position w:val="5"/>
              </w:rPr>
              <w:t>、定期对路面进行养护维修，确保路面平</w:t>
            </w:r>
            <w:r>
              <w:rPr>
                <w:spacing w:val="-3"/>
                <w:position w:val="5"/>
              </w:rPr>
              <w:t>整完好；</w:t>
            </w:r>
          </w:p>
          <w:p>
            <w:pPr>
              <w:pStyle w:val="6"/>
              <w:spacing w:line="176" w:lineRule="auto"/>
              <w:ind w:left="1512"/>
              <w:rPr>
                <w:rFonts w:ascii="微软雅黑" w:hAnsi="微软雅黑" w:eastAsia="微软雅黑" w:cs="微软雅黑"/>
              </w:rPr>
            </w:pPr>
            <w:r>
              <w:rPr>
                <w:rFonts w:ascii="Times New Roman" w:hAnsi="Times New Roman" w:eastAsia="Times New Roman" w:cs="Times New Roman"/>
                <w:spacing w:val="-1"/>
              </w:rPr>
              <w:t>3</w:t>
            </w:r>
            <w:r>
              <w:rPr>
                <w:spacing w:val="-1"/>
              </w:rPr>
              <w:t>、加强营运期交通噪声跟踪监测</w:t>
            </w:r>
            <w:r>
              <w:rPr>
                <w:rFonts w:ascii="微软雅黑" w:hAnsi="微软雅黑" w:eastAsia="微软雅黑" w:cs="微软雅黑"/>
                <w:spacing w:val="-1"/>
              </w:rPr>
              <w:t>。</w:t>
            </w:r>
          </w:p>
        </w:tc>
        <w:tc>
          <w:tcPr>
            <w:tcW w:w="117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1084" w:type="dxa"/>
            <w:vAlign w:val="top"/>
          </w:tcPr>
          <w:p>
            <w:pPr>
              <w:spacing w:line="320" w:lineRule="auto"/>
              <w:rPr>
                <w:rFonts w:ascii="Arial"/>
                <w:sz w:val="21"/>
              </w:rPr>
            </w:pPr>
          </w:p>
          <w:p>
            <w:pPr>
              <w:spacing w:line="320" w:lineRule="auto"/>
              <w:rPr>
                <w:rFonts w:ascii="Arial"/>
                <w:sz w:val="21"/>
              </w:rPr>
            </w:pPr>
          </w:p>
          <w:p>
            <w:pPr>
              <w:pStyle w:val="6"/>
              <w:spacing w:before="68" w:line="221" w:lineRule="auto"/>
              <w:ind w:left="233"/>
            </w:pPr>
            <w:r>
              <w:rPr>
                <w:spacing w:val="-2"/>
              </w:rPr>
              <w:t>水环境</w:t>
            </w:r>
          </w:p>
        </w:tc>
        <w:tc>
          <w:tcPr>
            <w:tcW w:w="6267" w:type="dxa"/>
            <w:vAlign w:val="top"/>
          </w:tcPr>
          <w:p>
            <w:pPr>
              <w:pStyle w:val="6"/>
              <w:spacing w:before="52" w:line="221" w:lineRule="auto"/>
              <w:ind w:left="1211"/>
            </w:pPr>
            <w:r>
              <w:rPr>
                <w:rFonts w:ascii="Times New Roman" w:hAnsi="Times New Roman" w:eastAsia="Times New Roman" w:cs="Times New Roman"/>
                <w:spacing w:val="-3"/>
              </w:rPr>
              <w:t>1</w:t>
            </w:r>
            <w:r>
              <w:rPr>
                <w:spacing w:val="-3"/>
              </w:rPr>
              <w:t>、加强对路面和桥面的日常维护与管理；</w:t>
            </w:r>
          </w:p>
          <w:p>
            <w:pPr>
              <w:pStyle w:val="6"/>
              <w:spacing w:before="86" w:line="263" w:lineRule="auto"/>
              <w:ind w:left="110" w:right="94" w:hanging="2"/>
            </w:pPr>
            <w:r>
              <w:rPr>
                <w:rFonts w:ascii="Times New Roman" w:hAnsi="Times New Roman" w:eastAsia="Times New Roman" w:cs="Times New Roman"/>
                <w:spacing w:val="1"/>
              </w:rPr>
              <w:t>2</w:t>
            </w:r>
            <w:r>
              <w:rPr>
                <w:rFonts w:ascii="Times New Roman" w:hAnsi="Times New Roman" w:eastAsia="Times New Roman" w:cs="Times New Roman"/>
                <w:spacing w:val="-16"/>
              </w:rPr>
              <w:t xml:space="preserve"> </w:t>
            </w:r>
            <w:r>
              <w:rPr>
                <w:spacing w:val="1"/>
              </w:rPr>
              <w:t>、事故风险防范：①跨溪流路段加固和加高两侧护栏；②加强车</w:t>
            </w:r>
            <w:r>
              <w:t xml:space="preserve"> </w:t>
            </w:r>
            <w:r>
              <w:rPr>
                <w:spacing w:val="-2"/>
              </w:rPr>
              <w:t>辆安全检查，减少危化品车辆通行；③采取应急措施，制订应急预</w:t>
            </w:r>
            <w:r>
              <w:rPr>
                <w:spacing w:val="14"/>
              </w:rPr>
              <w:t xml:space="preserve"> </w:t>
            </w:r>
            <w:r>
              <w:rPr>
                <w:spacing w:val="-9"/>
              </w:rPr>
              <w:t>案，配备应急设备器材、物资，</w:t>
            </w:r>
            <w:r>
              <w:rPr>
                <w:spacing w:val="57"/>
              </w:rPr>
              <w:t xml:space="preserve"> </w:t>
            </w:r>
            <w:r>
              <w:rPr>
                <w:spacing w:val="-9"/>
              </w:rPr>
              <w:t>设立应急机构</w:t>
            </w:r>
            <w:r>
              <w:rPr>
                <w:spacing w:val="-10"/>
              </w:rPr>
              <w:t>等。</w:t>
            </w:r>
            <w:r>
              <w:rPr>
                <w:spacing w:val="-32"/>
              </w:rPr>
              <w:t xml:space="preserve"> </w:t>
            </w:r>
            <w:r>
              <w:rPr>
                <w:spacing w:val="-10"/>
              </w:rPr>
              <w:t>④设置警示牌、</w:t>
            </w:r>
            <w:r>
              <w:t xml:space="preserve"> </w:t>
            </w:r>
            <w:r>
              <w:rPr>
                <w:spacing w:val="-1"/>
              </w:rPr>
              <w:t>限速牌、禁止超车标志及告知牌。</w:t>
            </w:r>
          </w:p>
        </w:tc>
        <w:tc>
          <w:tcPr>
            <w:tcW w:w="117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1084" w:type="dxa"/>
            <w:vAlign w:val="top"/>
          </w:tcPr>
          <w:p>
            <w:pPr>
              <w:spacing w:line="470" w:lineRule="auto"/>
              <w:rPr>
                <w:rFonts w:ascii="Arial"/>
                <w:sz w:val="21"/>
              </w:rPr>
            </w:pPr>
          </w:p>
          <w:p>
            <w:pPr>
              <w:pStyle w:val="6"/>
              <w:spacing w:before="69" w:line="221" w:lineRule="auto"/>
              <w:ind w:left="128"/>
            </w:pPr>
            <w:r>
              <w:rPr>
                <w:spacing w:val="-2"/>
              </w:rPr>
              <w:t>环境空气</w:t>
            </w:r>
          </w:p>
        </w:tc>
        <w:tc>
          <w:tcPr>
            <w:tcW w:w="6267" w:type="dxa"/>
            <w:vAlign w:val="top"/>
          </w:tcPr>
          <w:p>
            <w:pPr>
              <w:pStyle w:val="6"/>
              <w:spacing w:before="55" w:line="247" w:lineRule="auto"/>
              <w:ind w:left="2303" w:right="143" w:hanging="2141"/>
            </w:pPr>
            <w:r>
              <w:rPr>
                <w:rFonts w:ascii="Times New Roman" w:hAnsi="Times New Roman" w:eastAsia="Times New Roman" w:cs="Times New Roman"/>
                <w:spacing w:val="-1"/>
              </w:rPr>
              <w:t>1</w:t>
            </w:r>
            <w:r>
              <w:rPr>
                <w:spacing w:val="-1"/>
              </w:rPr>
              <w:t>、加强道路管理及路面养护，保持道路良好运营状态，减少和避</w:t>
            </w:r>
            <w:r>
              <w:t xml:space="preserve"> </w:t>
            </w:r>
            <w:r>
              <w:rPr>
                <w:spacing w:val="-2"/>
              </w:rPr>
              <w:t>免塞车现象发生。</w:t>
            </w:r>
          </w:p>
          <w:p>
            <w:pPr>
              <w:pStyle w:val="6"/>
              <w:spacing w:before="60" w:line="248" w:lineRule="auto"/>
              <w:ind w:left="1454" w:right="144" w:hanging="1313"/>
            </w:pPr>
            <w:r>
              <w:rPr>
                <w:rFonts w:ascii="Times New Roman" w:hAnsi="Times New Roman" w:eastAsia="Times New Roman" w:cs="Times New Roman"/>
                <w:spacing w:val="-3"/>
              </w:rPr>
              <w:t>2</w:t>
            </w:r>
            <w:r>
              <w:rPr>
                <w:spacing w:val="-3"/>
              </w:rPr>
              <w:t>、严格控制车况，</w:t>
            </w:r>
            <w:r>
              <w:rPr>
                <w:spacing w:val="-22"/>
              </w:rPr>
              <w:t xml:space="preserve"> </w:t>
            </w:r>
            <w:r>
              <w:rPr>
                <w:spacing w:val="-3"/>
              </w:rPr>
              <w:t>严禁不符合规定、超载车辆上</w:t>
            </w:r>
            <w:r>
              <w:rPr>
                <w:spacing w:val="-4"/>
              </w:rPr>
              <w:t>路。加强过境车</w:t>
            </w:r>
            <w:r>
              <w:t xml:space="preserve"> </w:t>
            </w:r>
            <w:r>
              <w:rPr>
                <w:spacing w:val="-7"/>
              </w:rPr>
              <w:t>辆的管理；</w:t>
            </w:r>
            <w:r>
              <w:rPr>
                <w:spacing w:val="-12"/>
              </w:rPr>
              <w:t xml:space="preserve"> </w:t>
            </w:r>
            <w:r>
              <w:rPr>
                <w:spacing w:val="-7"/>
              </w:rPr>
              <w:t>加强车辆尾气排放监测。</w:t>
            </w:r>
          </w:p>
        </w:tc>
        <w:tc>
          <w:tcPr>
            <w:tcW w:w="117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2" w:hRule="atLeast"/>
        </w:trPr>
        <w:tc>
          <w:tcPr>
            <w:tcW w:w="1084"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9" w:line="221" w:lineRule="auto"/>
              <w:ind w:left="146"/>
            </w:pPr>
            <w:r>
              <w:rPr>
                <w:spacing w:val="-6"/>
              </w:rPr>
              <w:t>固体废物</w:t>
            </w:r>
          </w:p>
        </w:tc>
        <w:tc>
          <w:tcPr>
            <w:tcW w:w="6267" w:type="dxa"/>
            <w:vAlign w:val="top"/>
          </w:tcPr>
          <w:p>
            <w:pPr>
              <w:pStyle w:val="6"/>
              <w:spacing w:before="54" w:line="248" w:lineRule="auto"/>
              <w:ind w:left="1876" w:right="135" w:hanging="1714"/>
            </w:pPr>
            <w:r>
              <w:rPr>
                <w:rFonts w:ascii="Times New Roman" w:hAnsi="Times New Roman" w:eastAsia="Times New Roman" w:cs="Times New Roman"/>
                <w:spacing w:val="-2"/>
              </w:rPr>
              <w:t>1</w:t>
            </w:r>
            <w:r>
              <w:rPr>
                <w:rFonts w:ascii="Times New Roman" w:hAnsi="Times New Roman" w:eastAsia="Times New Roman" w:cs="Times New Roman"/>
                <w:spacing w:val="-17"/>
              </w:rPr>
              <w:t xml:space="preserve"> </w:t>
            </w:r>
            <w:r>
              <w:rPr>
                <w:spacing w:val="-2"/>
              </w:rPr>
              <w:t>、加强公路的管理，路面的生活垃圾进行收集分类，并纳入地方</w:t>
            </w:r>
            <w:r>
              <w:t xml:space="preserve"> </w:t>
            </w:r>
            <w:r>
              <w:rPr>
                <w:spacing w:val="-1"/>
              </w:rPr>
              <w:t>环卫系统进行无害化处理。</w:t>
            </w:r>
          </w:p>
          <w:p>
            <w:pPr>
              <w:pStyle w:val="6"/>
              <w:spacing w:before="60" w:line="220" w:lineRule="auto"/>
              <w:ind w:left="141"/>
            </w:pPr>
            <w:r>
              <w:rPr>
                <w:rFonts w:ascii="Times New Roman" w:hAnsi="Times New Roman" w:eastAsia="Times New Roman" w:cs="Times New Roman"/>
                <w:spacing w:val="-1"/>
              </w:rPr>
              <w:t>2</w:t>
            </w:r>
            <w:r>
              <w:rPr>
                <w:rFonts w:ascii="Times New Roman" w:hAnsi="Times New Roman" w:eastAsia="Times New Roman" w:cs="Times New Roman"/>
                <w:spacing w:val="-24"/>
              </w:rPr>
              <w:t xml:space="preserve"> </w:t>
            </w:r>
            <w:r>
              <w:rPr>
                <w:spacing w:val="-1"/>
              </w:rPr>
              <w:t>、公路养护产生的废旧包装物、废建材等为一般固废，妥善进行</w:t>
            </w:r>
          </w:p>
          <w:p>
            <w:pPr>
              <w:pStyle w:val="6"/>
              <w:spacing w:before="61" w:line="225" w:lineRule="auto"/>
              <w:ind w:left="2617"/>
            </w:pPr>
            <w:r>
              <w:rPr>
                <w:spacing w:val="-5"/>
              </w:rPr>
              <w:t>处理处置。</w:t>
            </w:r>
          </w:p>
          <w:p>
            <w:pPr>
              <w:pStyle w:val="6"/>
              <w:spacing w:before="80" w:line="244" w:lineRule="auto"/>
              <w:ind w:left="111" w:right="106"/>
            </w:pPr>
            <w:r>
              <w:rPr>
                <w:rFonts w:ascii="Times New Roman" w:hAnsi="Times New Roman" w:eastAsia="Times New Roman" w:cs="Times New Roman"/>
                <w:spacing w:val="1"/>
              </w:rPr>
              <w:t>3</w:t>
            </w:r>
            <w:r>
              <w:rPr>
                <w:rFonts w:ascii="Times New Roman" w:hAnsi="Times New Roman" w:eastAsia="Times New Roman" w:cs="Times New Roman"/>
                <w:spacing w:val="-25"/>
              </w:rPr>
              <w:t xml:space="preserve"> </w:t>
            </w:r>
            <w:r>
              <w:rPr>
                <w:spacing w:val="1"/>
              </w:rPr>
              <w:t>、养护产生的少量废沥青综合利用，无法利用的作为危险废物委</w:t>
            </w:r>
            <w:r>
              <w:t xml:space="preserve"> </w:t>
            </w:r>
            <w:r>
              <w:rPr>
                <w:spacing w:val="-2"/>
              </w:rPr>
              <w:t>托有资质单位进行处理处置。</w:t>
            </w:r>
          </w:p>
        </w:tc>
        <w:tc>
          <w:tcPr>
            <w:tcW w:w="117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0" w:hRule="atLeast"/>
        </w:trPr>
        <w:tc>
          <w:tcPr>
            <w:tcW w:w="1084" w:type="dxa"/>
            <w:vAlign w:val="top"/>
          </w:tcPr>
          <w:p>
            <w:pPr>
              <w:spacing w:line="323" w:lineRule="auto"/>
              <w:rPr>
                <w:rFonts w:ascii="Arial"/>
                <w:sz w:val="21"/>
              </w:rPr>
            </w:pPr>
          </w:p>
          <w:p>
            <w:pPr>
              <w:spacing w:line="323" w:lineRule="auto"/>
              <w:rPr>
                <w:rFonts w:ascii="Arial"/>
                <w:sz w:val="21"/>
              </w:rPr>
            </w:pPr>
          </w:p>
          <w:p>
            <w:pPr>
              <w:pStyle w:val="6"/>
              <w:spacing w:before="68" w:line="221" w:lineRule="auto"/>
              <w:ind w:left="128"/>
            </w:pPr>
            <w:r>
              <w:rPr>
                <w:spacing w:val="-2"/>
              </w:rPr>
              <w:t>环境风险</w:t>
            </w:r>
          </w:p>
        </w:tc>
        <w:tc>
          <w:tcPr>
            <w:tcW w:w="6267" w:type="dxa"/>
            <w:vAlign w:val="top"/>
          </w:tcPr>
          <w:p>
            <w:pPr>
              <w:pStyle w:val="6"/>
              <w:spacing w:before="79" w:line="221" w:lineRule="auto"/>
              <w:ind w:left="128"/>
            </w:pPr>
            <w:r>
              <w:rPr>
                <w:rFonts w:ascii="Times New Roman" w:hAnsi="Times New Roman" w:eastAsia="Times New Roman" w:cs="Times New Roman"/>
                <w:spacing w:val="-4"/>
              </w:rPr>
              <w:t>1</w:t>
            </w:r>
            <w:r>
              <w:rPr>
                <w:rFonts w:ascii="Times New Roman" w:hAnsi="Times New Roman" w:eastAsia="Times New Roman" w:cs="Times New Roman"/>
                <w:spacing w:val="-23"/>
              </w:rPr>
              <w:t xml:space="preserve"> </w:t>
            </w:r>
            <w:r>
              <w:rPr>
                <w:spacing w:val="-4"/>
              </w:rPr>
              <w:t>、跨溪流路段加固和加高两侧护栏。</w:t>
            </w:r>
          </w:p>
          <w:p>
            <w:pPr>
              <w:pStyle w:val="6"/>
              <w:spacing w:before="67" w:line="221" w:lineRule="auto"/>
              <w:ind w:left="108"/>
            </w:pPr>
            <w:r>
              <w:rPr>
                <w:rFonts w:ascii="Times New Roman" w:hAnsi="Times New Roman" w:eastAsia="Times New Roman" w:cs="Times New Roman"/>
                <w:spacing w:val="-2"/>
              </w:rPr>
              <w:t>2</w:t>
            </w:r>
            <w:r>
              <w:rPr>
                <w:rFonts w:ascii="Times New Roman" w:hAnsi="Times New Roman" w:eastAsia="Times New Roman" w:cs="Times New Roman"/>
                <w:spacing w:val="-28"/>
              </w:rPr>
              <w:t xml:space="preserve"> </w:t>
            </w:r>
            <w:r>
              <w:rPr>
                <w:spacing w:val="-2"/>
              </w:rPr>
              <w:t>、加强车辆安全检查，减少危化品车辆通行。</w:t>
            </w:r>
          </w:p>
          <w:p>
            <w:pPr>
              <w:pStyle w:val="6"/>
              <w:spacing w:before="68" w:line="251" w:lineRule="auto"/>
              <w:ind w:left="111" w:right="114"/>
            </w:pPr>
            <w:r>
              <w:rPr>
                <w:rFonts w:ascii="Times New Roman" w:hAnsi="Times New Roman" w:eastAsia="Times New Roman" w:cs="Times New Roman"/>
                <w:spacing w:val="1"/>
              </w:rPr>
              <w:t>3</w:t>
            </w:r>
            <w:r>
              <w:rPr>
                <w:rFonts w:ascii="Times New Roman" w:hAnsi="Times New Roman" w:eastAsia="Times New Roman" w:cs="Times New Roman"/>
                <w:spacing w:val="-27"/>
              </w:rPr>
              <w:t xml:space="preserve"> </w:t>
            </w:r>
            <w:r>
              <w:rPr>
                <w:spacing w:val="1"/>
              </w:rPr>
              <w:t>、采取应急措施，制订应急预案，配备应急设备器材</w:t>
            </w:r>
            <w:r>
              <w:t xml:space="preserve">、物资，设 </w:t>
            </w:r>
            <w:r>
              <w:rPr>
                <w:spacing w:val="-1"/>
              </w:rPr>
              <w:t>立应急机构等。</w:t>
            </w:r>
          </w:p>
          <w:p>
            <w:pPr>
              <w:pStyle w:val="6"/>
              <w:spacing w:before="70" w:line="211" w:lineRule="auto"/>
              <w:ind w:left="107"/>
            </w:pPr>
            <w:r>
              <w:rPr>
                <w:rFonts w:ascii="Times New Roman" w:hAnsi="Times New Roman" w:eastAsia="Times New Roman" w:cs="Times New Roman"/>
                <w:spacing w:val="-2"/>
              </w:rPr>
              <w:t>4</w:t>
            </w:r>
            <w:r>
              <w:rPr>
                <w:rFonts w:ascii="Times New Roman" w:hAnsi="Times New Roman" w:eastAsia="Times New Roman" w:cs="Times New Roman"/>
                <w:spacing w:val="-23"/>
              </w:rPr>
              <w:t xml:space="preserve"> </w:t>
            </w:r>
            <w:r>
              <w:rPr>
                <w:spacing w:val="-2"/>
              </w:rPr>
              <w:t>、设置警示牌、限速牌、禁止超车标志及告知牌。</w:t>
            </w:r>
          </w:p>
        </w:tc>
        <w:tc>
          <w:tcPr>
            <w:tcW w:w="1177" w:type="dxa"/>
            <w:vMerge w:val="continue"/>
            <w:tcBorders>
              <w:top w:val="nil"/>
            </w:tcBorders>
            <w:vAlign w:val="top"/>
          </w:tcPr>
          <w:p>
            <w:pPr>
              <w:rPr>
                <w:rFonts w:ascii="Arial"/>
                <w:sz w:val="21"/>
              </w:rPr>
            </w:pPr>
          </w:p>
        </w:tc>
      </w:tr>
    </w:tbl>
    <w:p>
      <w:pPr>
        <w:pStyle w:val="2"/>
      </w:pPr>
    </w:p>
    <w:p>
      <w:pPr>
        <w:sectPr>
          <w:footerReference r:id="rId354" w:type="default"/>
          <w:pgSz w:w="11907" w:h="16839"/>
          <w:pgMar w:top="1118" w:right="1682" w:bottom="1151" w:left="1685" w:header="879" w:footer="990" w:gutter="0"/>
          <w:cols w:space="720" w:num="1"/>
        </w:sectPr>
      </w:pPr>
    </w:p>
    <w:p>
      <w:pPr>
        <w:pStyle w:val="2"/>
        <w:spacing w:line="278" w:lineRule="auto"/>
      </w:pPr>
    </w:p>
    <w:p>
      <w:pPr>
        <w:spacing w:before="78" w:line="220" w:lineRule="auto"/>
        <w:ind w:left="120"/>
        <w:outlineLvl w:val="1"/>
        <w:rPr>
          <w:rFonts w:ascii="宋体" w:hAnsi="宋体" w:eastAsia="宋体" w:cs="宋体"/>
          <w:sz w:val="24"/>
          <w:szCs w:val="24"/>
        </w:rPr>
      </w:pPr>
      <w:bookmarkStart w:id="52" w:name="bookmark46"/>
      <w:bookmarkEnd w:id="52"/>
      <w:r>
        <w:rPr>
          <w:rFonts w:ascii="Times New Roman" w:hAnsi="Times New Roman" w:eastAsia="Times New Roman" w:cs="Times New Roman"/>
          <w:b/>
          <w:bCs/>
          <w:spacing w:val="-1"/>
          <w:sz w:val="24"/>
          <w:szCs w:val="24"/>
        </w:rPr>
        <w:t xml:space="preserve">7.2 </w:t>
      </w:r>
      <w:r>
        <w:rPr>
          <w:rFonts w:ascii="宋体" w:hAnsi="宋体" w:eastAsia="宋体" w:cs="宋体"/>
          <w:spacing w:val="-1"/>
          <w:sz w:val="24"/>
          <w:szCs w:val="24"/>
          <w14:textOutline w14:w="4354" w14:cap="flat" w14:cmpd="sng">
            <w14:solidFill>
              <w14:srgbClr w14:val="000000"/>
            </w14:solidFill>
            <w14:prstDash w14:val="solid"/>
            <w14:miter w14:val="0"/>
          </w14:textOutline>
        </w:rPr>
        <w:t>环境监测计划</w:t>
      </w:r>
    </w:p>
    <w:p>
      <w:pPr>
        <w:spacing w:before="182" w:line="220" w:lineRule="auto"/>
        <w:ind w:left="120"/>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7.2.1 </w:t>
      </w:r>
      <w:r>
        <w:rPr>
          <w:rFonts w:ascii="宋体" w:hAnsi="宋体" w:eastAsia="宋体" w:cs="宋体"/>
          <w:spacing w:val="-1"/>
          <w:sz w:val="24"/>
          <w:szCs w:val="24"/>
          <w14:textOutline w14:w="4354" w14:cap="flat" w14:cmpd="sng">
            <w14:solidFill>
              <w14:srgbClr w14:val="000000"/>
            </w14:solidFill>
            <w14:prstDash w14:val="solid"/>
            <w14:miter w14:val="0"/>
          </w14:textOutline>
        </w:rPr>
        <w:t>环境监测的目的</w:t>
      </w:r>
    </w:p>
    <w:p>
      <w:pPr>
        <w:spacing w:before="181" w:line="359" w:lineRule="auto"/>
        <w:ind w:left="121" w:right="114" w:firstLine="480"/>
        <w:jc w:val="both"/>
        <w:rPr>
          <w:rFonts w:ascii="宋体" w:hAnsi="宋体" w:eastAsia="宋体" w:cs="宋体"/>
          <w:sz w:val="24"/>
          <w:szCs w:val="24"/>
        </w:rPr>
      </w:pPr>
      <w:r>
        <w:rPr>
          <w:rFonts w:ascii="宋体" w:hAnsi="宋体" w:eastAsia="宋体" w:cs="宋体"/>
          <w:spacing w:val="-3"/>
          <w:sz w:val="24"/>
          <w:szCs w:val="24"/>
        </w:rPr>
        <w:t>环境监测是环境管理必备的一种手段，环境监测计划的实施在公</w:t>
      </w:r>
      <w:r>
        <w:rPr>
          <w:rFonts w:ascii="宋体" w:hAnsi="宋体" w:eastAsia="宋体" w:cs="宋体"/>
          <w:spacing w:val="-4"/>
          <w:sz w:val="24"/>
          <w:szCs w:val="24"/>
        </w:rPr>
        <w:t>路建设项目</w:t>
      </w:r>
      <w:r>
        <w:rPr>
          <w:rFonts w:ascii="宋体" w:hAnsi="宋体" w:eastAsia="宋体" w:cs="宋体"/>
          <w:sz w:val="24"/>
          <w:szCs w:val="24"/>
        </w:rPr>
        <w:t xml:space="preserve"> </w:t>
      </w:r>
      <w:r>
        <w:rPr>
          <w:rFonts w:ascii="宋体" w:hAnsi="宋体" w:eastAsia="宋体" w:cs="宋体"/>
          <w:spacing w:val="-6"/>
          <w:sz w:val="24"/>
          <w:szCs w:val="24"/>
        </w:rPr>
        <w:t>中主要分为三个阶段。第一阶段是建前所在区域的环境背景</w:t>
      </w:r>
      <w:r>
        <w:rPr>
          <w:rFonts w:ascii="宋体" w:hAnsi="宋体" w:eastAsia="宋体" w:cs="宋体"/>
          <w:spacing w:val="-7"/>
          <w:sz w:val="24"/>
          <w:szCs w:val="24"/>
        </w:rPr>
        <w:t>资料监测， 第二阶段</w:t>
      </w:r>
      <w:r>
        <w:rPr>
          <w:rFonts w:ascii="宋体" w:hAnsi="宋体" w:eastAsia="宋体" w:cs="宋体"/>
          <w:sz w:val="24"/>
          <w:szCs w:val="24"/>
        </w:rPr>
        <w:t xml:space="preserve"> </w:t>
      </w:r>
      <w:r>
        <w:rPr>
          <w:rFonts w:ascii="宋体" w:hAnsi="宋体" w:eastAsia="宋体" w:cs="宋体"/>
          <w:spacing w:val="-6"/>
          <w:sz w:val="24"/>
          <w:szCs w:val="24"/>
        </w:rPr>
        <w:t>是公路在施工期间的污染监测， 第三阶段是建后的污染监</w:t>
      </w:r>
      <w:r>
        <w:rPr>
          <w:rFonts w:ascii="宋体" w:hAnsi="宋体" w:eastAsia="宋体" w:cs="宋体"/>
          <w:spacing w:val="-7"/>
          <w:sz w:val="24"/>
          <w:szCs w:val="24"/>
        </w:rPr>
        <w:t>测。第一阶段的监测一</w:t>
      </w:r>
      <w:r>
        <w:rPr>
          <w:rFonts w:ascii="宋体" w:hAnsi="宋体" w:eastAsia="宋体" w:cs="宋体"/>
          <w:sz w:val="24"/>
          <w:szCs w:val="24"/>
        </w:rPr>
        <w:t xml:space="preserve"> </w:t>
      </w:r>
      <w:r>
        <w:rPr>
          <w:rFonts w:ascii="宋体" w:hAnsi="宋体" w:eastAsia="宋体" w:cs="宋体"/>
          <w:spacing w:val="-6"/>
          <w:sz w:val="24"/>
          <w:szCs w:val="24"/>
        </w:rPr>
        <w:t>般由建设单位委托环评单位在可行性研究阶段完成，</w:t>
      </w:r>
      <w:r>
        <w:rPr>
          <w:rFonts w:ascii="宋体" w:hAnsi="宋体" w:eastAsia="宋体" w:cs="宋体"/>
          <w:spacing w:val="-14"/>
          <w:sz w:val="24"/>
          <w:szCs w:val="24"/>
        </w:rPr>
        <w:t xml:space="preserve"> </w:t>
      </w:r>
      <w:r>
        <w:rPr>
          <w:rFonts w:ascii="宋体" w:hAnsi="宋体" w:eastAsia="宋体" w:cs="宋体"/>
          <w:spacing w:val="-6"/>
          <w:sz w:val="24"/>
          <w:szCs w:val="24"/>
        </w:rPr>
        <w:t>第二阶段的污染监测可委托</w:t>
      </w:r>
      <w:r>
        <w:rPr>
          <w:rFonts w:ascii="宋体" w:hAnsi="宋体" w:eastAsia="宋体" w:cs="宋体"/>
          <w:sz w:val="24"/>
          <w:szCs w:val="24"/>
        </w:rPr>
        <w:t xml:space="preserve"> </w:t>
      </w:r>
      <w:r>
        <w:rPr>
          <w:rFonts w:ascii="宋体" w:hAnsi="宋体" w:eastAsia="宋体" w:cs="宋体"/>
          <w:spacing w:val="-11"/>
          <w:sz w:val="24"/>
          <w:szCs w:val="24"/>
        </w:rPr>
        <w:t>环境监测公司完成，</w:t>
      </w:r>
      <w:r>
        <w:rPr>
          <w:rFonts w:ascii="宋体" w:hAnsi="宋体" w:eastAsia="宋体" w:cs="宋体"/>
          <w:spacing w:val="51"/>
          <w:sz w:val="24"/>
          <w:szCs w:val="24"/>
        </w:rPr>
        <w:t xml:space="preserve"> </w:t>
      </w:r>
      <w:r>
        <w:rPr>
          <w:rFonts w:ascii="宋体" w:hAnsi="宋体" w:eastAsia="宋体" w:cs="宋体"/>
          <w:spacing w:val="-11"/>
          <w:sz w:val="24"/>
          <w:szCs w:val="24"/>
        </w:rPr>
        <w:t>由建设单位支付必要的监测费用， 第三阶段的监测可由建设</w:t>
      </w:r>
    </w:p>
    <w:p>
      <w:pPr>
        <w:spacing w:before="1" w:line="218" w:lineRule="auto"/>
        <w:ind w:left="124"/>
        <w:rPr>
          <w:rFonts w:ascii="宋体" w:hAnsi="宋体" w:eastAsia="宋体" w:cs="宋体"/>
          <w:sz w:val="24"/>
          <w:szCs w:val="24"/>
        </w:rPr>
      </w:pPr>
      <w:r>
        <w:rPr>
          <w:rFonts w:ascii="宋体" w:hAnsi="宋体" w:eastAsia="宋体" w:cs="宋体"/>
          <w:spacing w:val="-2"/>
          <w:sz w:val="24"/>
          <w:szCs w:val="24"/>
        </w:rPr>
        <w:t>单位自己组建的监测机构监测或者委托环境监测公司进行。</w:t>
      </w:r>
    </w:p>
    <w:p>
      <w:pPr>
        <w:spacing w:before="181" w:line="468" w:lineRule="exact"/>
        <w:ind w:left="603"/>
        <w:rPr>
          <w:rFonts w:ascii="宋体" w:hAnsi="宋体" w:eastAsia="宋体" w:cs="宋体"/>
          <w:sz w:val="24"/>
          <w:szCs w:val="24"/>
        </w:rPr>
      </w:pPr>
      <w:r>
        <w:rPr>
          <w:rFonts w:ascii="宋体" w:hAnsi="宋体" w:eastAsia="宋体" w:cs="宋体"/>
          <w:spacing w:val="-10"/>
          <w:position w:val="17"/>
          <w:sz w:val="24"/>
          <w:szCs w:val="24"/>
        </w:rPr>
        <w:t>本项目现阶段已建成， 施工期的监测不再追溯， 后期的监测主要为运营期的</w:t>
      </w:r>
    </w:p>
    <w:p>
      <w:pPr>
        <w:spacing w:before="1" w:line="220" w:lineRule="auto"/>
        <w:ind w:left="123"/>
        <w:rPr>
          <w:rFonts w:ascii="宋体" w:hAnsi="宋体" w:eastAsia="宋体" w:cs="宋体"/>
          <w:sz w:val="24"/>
          <w:szCs w:val="24"/>
        </w:rPr>
      </w:pPr>
      <w:r>
        <w:rPr>
          <w:rFonts w:ascii="宋体" w:hAnsi="宋体" w:eastAsia="宋体" w:cs="宋体"/>
          <w:spacing w:val="-11"/>
          <w:sz w:val="24"/>
          <w:szCs w:val="24"/>
        </w:rPr>
        <w:t>监测。</w:t>
      </w:r>
    </w:p>
    <w:p>
      <w:pPr>
        <w:spacing w:before="178" w:line="220" w:lineRule="auto"/>
        <w:ind w:left="120"/>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7.2.2 </w:t>
      </w:r>
      <w:r>
        <w:rPr>
          <w:rFonts w:ascii="宋体" w:hAnsi="宋体" w:eastAsia="宋体" w:cs="宋体"/>
          <w:spacing w:val="-1"/>
          <w:sz w:val="24"/>
          <w:szCs w:val="24"/>
          <w14:textOutline w14:w="4354" w14:cap="flat" w14:cmpd="sng">
            <w14:solidFill>
              <w14:srgbClr w14:val="000000"/>
            </w14:solidFill>
            <w14:prstDash w14:val="solid"/>
            <w14:miter w14:val="0"/>
          </w14:textOutline>
        </w:rPr>
        <w:t>环境监测计划</w:t>
      </w:r>
    </w:p>
    <w:p>
      <w:pPr>
        <w:spacing w:before="182" w:line="509" w:lineRule="exact"/>
        <w:ind w:left="603"/>
        <w:rPr>
          <w:rFonts w:ascii="宋体" w:hAnsi="宋体" w:eastAsia="宋体" w:cs="宋体"/>
          <w:sz w:val="24"/>
          <w:szCs w:val="24"/>
        </w:rPr>
      </w:pPr>
      <w:r>
        <w:rPr>
          <w:rFonts w:ascii="宋体" w:hAnsi="宋体" w:eastAsia="宋体" w:cs="宋体"/>
          <w:spacing w:val="4"/>
          <w:position w:val="20"/>
          <w:sz w:val="24"/>
          <w:szCs w:val="24"/>
        </w:rPr>
        <w:t>本项目</w:t>
      </w:r>
      <w:r>
        <w:fldChar w:fldCharType="begin"/>
      </w:r>
      <w:r>
        <w:instrText xml:space="preserve"> HYPERLINK \l "bookmark70" </w:instrText>
      </w:r>
      <w:r>
        <w:fldChar w:fldCharType="separate"/>
      </w:r>
      <w:r>
        <w:rPr>
          <w:rFonts w:ascii="宋体" w:hAnsi="宋体" w:eastAsia="宋体" w:cs="宋体"/>
          <w:spacing w:val="4"/>
          <w:position w:val="20"/>
          <w:sz w:val="24"/>
          <w:szCs w:val="24"/>
        </w:rPr>
        <w:t>施工期已结束，因此本次只列出运营期的环境监测计划，具体见表</w:t>
      </w:r>
      <w:r>
        <w:rPr>
          <w:rFonts w:ascii="宋体" w:hAnsi="宋体" w:eastAsia="宋体" w:cs="宋体"/>
          <w:spacing w:val="4"/>
          <w:position w:val="20"/>
          <w:sz w:val="24"/>
          <w:szCs w:val="24"/>
        </w:rPr>
        <w:fldChar w:fldCharType="end"/>
      </w:r>
    </w:p>
    <w:p>
      <w:pPr>
        <w:spacing w:line="203" w:lineRule="exact"/>
        <w:ind w:left="121"/>
        <w:rPr>
          <w:rFonts w:ascii="宋体" w:hAnsi="宋体" w:eastAsia="宋体" w:cs="宋体"/>
          <w:sz w:val="24"/>
          <w:szCs w:val="24"/>
        </w:rPr>
      </w:pPr>
      <w:bookmarkStart w:id="53" w:name="bookmark70"/>
      <w:bookmarkEnd w:id="53"/>
      <w:r>
        <w:fldChar w:fldCharType="begin"/>
      </w:r>
      <w:r>
        <w:instrText xml:space="preserve"> HYPERLINK \l "bookmark70" </w:instrText>
      </w:r>
      <w:r>
        <w:fldChar w:fldCharType="separate"/>
      </w:r>
      <w:r>
        <w:rPr>
          <w:rFonts w:ascii="Times New Roman" w:hAnsi="Times New Roman" w:eastAsia="Times New Roman" w:cs="Times New Roman"/>
          <w:spacing w:val="-3"/>
          <w:position w:val="-2"/>
          <w:sz w:val="24"/>
          <w:szCs w:val="24"/>
        </w:rPr>
        <w:t>0-4</w:t>
      </w:r>
      <w:r>
        <w:rPr>
          <w:rFonts w:ascii="宋体" w:hAnsi="宋体" w:eastAsia="宋体" w:cs="宋体"/>
          <w:spacing w:val="-3"/>
          <w:position w:val="-2"/>
          <w:sz w:val="24"/>
          <w:szCs w:val="24"/>
        </w:rPr>
        <w:t>。</w:t>
      </w:r>
      <w:r>
        <w:rPr>
          <w:rFonts w:ascii="宋体" w:hAnsi="宋体" w:eastAsia="宋体" w:cs="宋体"/>
          <w:spacing w:val="-3"/>
          <w:position w:val="-2"/>
          <w:sz w:val="24"/>
          <w:szCs w:val="24"/>
        </w:rPr>
        <w:fldChar w:fldCharType="end"/>
      </w:r>
    </w:p>
    <w:p>
      <w:pPr>
        <w:spacing w:before="222" w:line="220" w:lineRule="auto"/>
        <w:ind w:left="2735"/>
        <w:rPr>
          <w:rFonts w:ascii="宋体" w:hAnsi="宋体" w:eastAsia="宋体" w:cs="宋体"/>
          <w:sz w:val="24"/>
          <w:szCs w:val="24"/>
        </w:rPr>
      </w:pPr>
      <w:r>
        <w:rPr>
          <w:rFonts w:ascii="宋体" w:hAnsi="宋体" w:eastAsia="宋体" w:cs="宋体"/>
          <w:spacing w:val="-1"/>
          <w:sz w:val="24"/>
          <w:szCs w:val="24"/>
        </w:rPr>
        <w:t xml:space="preserve">表 </w:t>
      </w:r>
      <w:r>
        <w:rPr>
          <w:rFonts w:ascii="Times New Roman" w:hAnsi="Times New Roman" w:eastAsia="Times New Roman" w:cs="Times New Roman"/>
          <w:spacing w:val="-1"/>
          <w:sz w:val="24"/>
          <w:szCs w:val="24"/>
        </w:rPr>
        <w:t xml:space="preserve">0-4    </w:t>
      </w:r>
      <w:r>
        <w:rPr>
          <w:rFonts w:ascii="宋体" w:hAnsi="宋体" w:eastAsia="宋体" w:cs="宋体"/>
          <w:spacing w:val="-1"/>
          <w:sz w:val="24"/>
          <w:szCs w:val="24"/>
        </w:rPr>
        <w:t>工程环境监测计划一览表</w:t>
      </w:r>
    </w:p>
    <w:p>
      <w:pPr>
        <w:spacing w:line="143"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789"/>
        <w:gridCol w:w="1888"/>
        <w:gridCol w:w="1742"/>
        <w:gridCol w:w="1617"/>
        <w:gridCol w:w="851"/>
        <w:gridCol w:w="7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78" w:type="dxa"/>
            <w:vAlign w:val="top"/>
          </w:tcPr>
          <w:p>
            <w:pPr>
              <w:pStyle w:val="6"/>
              <w:spacing w:before="82" w:line="245" w:lineRule="auto"/>
              <w:ind w:left="339" w:right="119" w:hanging="206"/>
            </w:pPr>
            <w:r>
              <w:rPr>
                <w:spacing w:val="-4"/>
              </w:rPr>
              <w:t>实施阶</w:t>
            </w:r>
            <w:r>
              <w:rPr>
                <w:spacing w:val="1"/>
              </w:rPr>
              <w:t xml:space="preserve"> </w:t>
            </w:r>
            <w:r>
              <w:t>段</w:t>
            </w:r>
          </w:p>
        </w:tc>
        <w:tc>
          <w:tcPr>
            <w:tcW w:w="789" w:type="dxa"/>
            <w:vAlign w:val="top"/>
          </w:tcPr>
          <w:p>
            <w:pPr>
              <w:pStyle w:val="6"/>
              <w:spacing w:before="82" w:line="319" w:lineRule="exact"/>
              <w:ind w:left="189"/>
            </w:pPr>
            <w:r>
              <w:rPr>
                <w:spacing w:val="-2"/>
                <w:position w:val="8"/>
              </w:rPr>
              <w:t>监测</w:t>
            </w:r>
          </w:p>
          <w:p>
            <w:pPr>
              <w:pStyle w:val="6"/>
              <w:spacing w:line="209" w:lineRule="auto"/>
              <w:ind w:left="213"/>
            </w:pPr>
            <w:r>
              <w:rPr>
                <w:spacing w:val="-8"/>
              </w:rPr>
              <w:t>内容</w:t>
            </w:r>
          </w:p>
        </w:tc>
        <w:tc>
          <w:tcPr>
            <w:tcW w:w="1888" w:type="dxa"/>
            <w:vAlign w:val="top"/>
          </w:tcPr>
          <w:p>
            <w:pPr>
              <w:pStyle w:val="6"/>
              <w:spacing w:before="241" w:line="222" w:lineRule="auto"/>
              <w:ind w:left="528"/>
            </w:pPr>
            <w:r>
              <w:rPr>
                <w:spacing w:val="-2"/>
              </w:rPr>
              <w:t>监测点位</w:t>
            </w:r>
          </w:p>
        </w:tc>
        <w:tc>
          <w:tcPr>
            <w:tcW w:w="1742" w:type="dxa"/>
            <w:vAlign w:val="top"/>
          </w:tcPr>
          <w:p>
            <w:pPr>
              <w:pStyle w:val="6"/>
              <w:spacing w:before="241" w:line="221" w:lineRule="auto"/>
              <w:ind w:left="457"/>
            </w:pPr>
            <w:r>
              <w:rPr>
                <w:spacing w:val="-2"/>
              </w:rPr>
              <w:t>监测项目</w:t>
            </w:r>
          </w:p>
        </w:tc>
        <w:tc>
          <w:tcPr>
            <w:tcW w:w="1617" w:type="dxa"/>
            <w:vAlign w:val="top"/>
          </w:tcPr>
          <w:p>
            <w:pPr>
              <w:pStyle w:val="6"/>
              <w:spacing w:before="82" w:line="245" w:lineRule="auto"/>
              <w:ind w:left="712" w:right="173" w:hanging="528"/>
            </w:pPr>
            <w:r>
              <w:rPr>
                <w:spacing w:val="-2"/>
              </w:rPr>
              <w:t>监测时间及频</w:t>
            </w:r>
            <w:r>
              <w:rPr>
                <w:spacing w:val="4"/>
              </w:rPr>
              <w:t xml:space="preserve"> </w:t>
            </w:r>
            <w:r>
              <w:t>次</w:t>
            </w:r>
          </w:p>
        </w:tc>
        <w:tc>
          <w:tcPr>
            <w:tcW w:w="851" w:type="dxa"/>
            <w:vAlign w:val="top"/>
          </w:tcPr>
          <w:p>
            <w:pPr>
              <w:pStyle w:val="6"/>
              <w:spacing w:before="82" w:line="245" w:lineRule="auto"/>
              <w:ind w:left="329" w:right="102" w:hanging="206"/>
            </w:pPr>
            <w:r>
              <w:rPr>
                <w:spacing w:val="-4"/>
              </w:rPr>
              <w:t>实施机</w:t>
            </w:r>
            <w:r>
              <w:rPr>
                <w:spacing w:val="1"/>
              </w:rPr>
              <w:t xml:space="preserve"> </w:t>
            </w:r>
            <w:r>
              <w:t>构</w:t>
            </w:r>
          </w:p>
        </w:tc>
        <w:tc>
          <w:tcPr>
            <w:tcW w:w="763" w:type="dxa"/>
            <w:vAlign w:val="top"/>
          </w:tcPr>
          <w:p>
            <w:pPr>
              <w:pStyle w:val="6"/>
              <w:spacing w:before="82" w:line="319" w:lineRule="exact"/>
              <w:ind w:left="184"/>
            </w:pPr>
            <w:r>
              <w:rPr>
                <w:spacing w:val="-4"/>
                <w:position w:val="7"/>
              </w:rPr>
              <w:t>负责</w:t>
            </w:r>
          </w:p>
          <w:p>
            <w:pPr>
              <w:pStyle w:val="6"/>
              <w:spacing w:line="209" w:lineRule="auto"/>
              <w:ind w:left="175"/>
            </w:pPr>
            <w:r>
              <w:rPr>
                <w:spacing w:val="-2"/>
              </w:rPr>
              <w:t>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87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9" w:line="221" w:lineRule="auto"/>
              <w:ind w:left="134"/>
            </w:pPr>
            <w:r>
              <w:rPr>
                <w:spacing w:val="-3"/>
              </w:rPr>
              <w:t>营运期</w:t>
            </w:r>
          </w:p>
        </w:tc>
        <w:tc>
          <w:tcPr>
            <w:tcW w:w="789" w:type="dxa"/>
            <w:vAlign w:val="top"/>
          </w:tcPr>
          <w:p>
            <w:pPr>
              <w:spacing w:line="242" w:lineRule="auto"/>
              <w:rPr>
                <w:rFonts w:ascii="Arial"/>
                <w:sz w:val="21"/>
              </w:rPr>
            </w:pPr>
          </w:p>
          <w:p>
            <w:pPr>
              <w:spacing w:line="242" w:lineRule="auto"/>
              <w:rPr>
                <w:rFonts w:ascii="Arial"/>
                <w:sz w:val="21"/>
              </w:rPr>
            </w:pPr>
          </w:p>
          <w:p>
            <w:pPr>
              <w:pStyle w:val="6"/>
              <w:spacing w:before="69" w:line="221" w:lineRule="auto"/>
              <w:ind w:left="198"/>
            </w:pPr>
            <w:r>
              <w:rPr>
                <w:spacing w:val="-4"/>
              </w:rPr>
              <w:t>噪声</w:t>
            </w:r>
          </w:p>
        </w:tc>
        <w:tc>
          <w:tcPr>
            <w:tcW w:w="1888" w:type="dxa"/>
            <w:vAlign w:val="top"/>
          </w:tcPr>
          <w:p>
            <w:pPr>
              <w:spacing w:line="326" w:lineRule="auto"/>
              <w:rPr>
                <w:rFonts w:ascii="Arial"/>
                <w:sz w:val="21"/>
              </w:rPr>
            </w:pPr>
          </w:p>
          <w:p>
            <w:pPr>
              <w:pStyle w:val="6"/>
              <w:spacing w:before="68" w:line="251" w:lineRule="auto"/>
              <w:ind w:left="286" w:right="203" w:hanging="69"/>
              <w:rPr>
                <w:rFonts w:ascii="Times New Roman" w:hAnsi="Times New Roman" w:eastAsia="Times New Roman" w:cs="Times New Roman"/>
              </w:rPr>
            </w:pPr>
            <w:r>
              <w:rPr>
                <w:spacing w:val="-2"/>
              </w:rPr>
              <w:t>声环境保护目标</w:t>
            </w:r>
            <w:r>
              <w:rPr>
                <w:spacing w:val="4"/>
              </w:rPr>
              <w:t xml:space="preserve"> </w:t>
            </w:r>
            <w:r>
              <w:rPr>
                <w:spacing w:val="-2"/>
              </w:rPr>
              <w:t>具体见表</w:t>
            </w:r>
            <w:r>
              <w:rPr>
                <w:spacing w:val="-46"/>
              </w:rPr>
              <w:t xml:space="preserve"> </w:t>
            </w:r>
            <w:r>
              <w:rPr>
                <w:rFonts w:ascii="Times New Roman" w:hAnsi="Times New Roman" w:eastAsia="Times New Roman" w:cs="Times New Roman"/>
                <w:spacing w:val="-2"/>
              </w:rPr>
              <w:t>2.6-2</w:t>
            </w:r>
          </w:p>
        </w:tc>
        <w:tc>
          <w:tcPr>
            <w:tcW w:w="1742" w:type="dxa"/>
            <w:vAlign w:val="top"/>
          </w:tcPr>
          <w:p>
            <w:pPr>
              <w:spacing w:line="263" w:lineRule="auto"/>
              <w:rPr>
                <w:rFonts w:ascii="Arial"/>
                <w:sz w:val="21"/>
              </w:rPr>
            </w:pPr>
          </w:p>
          <w:p>
            <w:pPr>
              <w:spacing w:line="264" w:lineRule="auto"/>
              <w:rPr>
                <w:rFonts w:ascii="Arial"/>
                <w:sz w:val="21"/>
              </w:rPr>
            </w:pPr>
          </w:p>
          <w:p>
            <w:pPr>
              <w:spacing w:before="60" w:line="191" w:lineRule="auto"/>
              <w:ind w:left="6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LAeq</w:t>
            </w:r>
          </w:p>
        </w:tc>
        <w:tc>
          <w:tcPr>
            <w:tcW w:w="1617" w:type="dxa"/>
            <w:vAlign w:val="top"/>
          </w:tcPr>
          <w:p>
            <w:pPr>
              <w:pStyle w:val="6"/>
              <w:spacing w:before="76" w:line="221" w:lineRule="auto"/>
              <w:ind w:left="114"/>
              <w:rPr>
                <w:rFonts w:ascii="Times New Roman" w:hAnsi="Times New Roman" w:eastAsia="Times New Roman" w:cs="Times New Roman"/>
              </w:rPr>
            </w:pPr>
            <w:r>
              <w:rPr>
                <w:spacing w:val="4"/>
              </w:rPr>
              <w:t>试运行期监测</w:t>
            </w:r>
            <w:r>
              <w:rPr>
                <w:rFonts w:ascii="Times New Roman" w:hAnsi="Times New Roman" w:eastAsia="Times New Roman" w:cs="Times New Roman"/>
                <w:spacing w:val="4"/>
              </w:rPr>
              <w:t>2</w:t>
            </w:r>
          </w:p>
          <w:p>
            <w:pPr>
              <w:pStyle w:val="6"/>
              <w:spacing w:before="69" w:line="221" w:lineRule="auto"/>
              <w:ind w:left="214"/>
              <w:rPr>
                <w:rFonts w:ascii="Times New Roman" w:hAnsi="Times New Roman" w:eastAsia="Times New Roman" w:cs="Times New Roman"/>
              </w:rPr>
            </w:pPr>
            <w:r>
              <w:rPr>
                <w:spacing w:val="-2"/>
              </w:rPr>
              <w:t>天，昼夜各</w:t>
            </w:r>
            <w:r>
              <w:rPr>
                <w:spacing w:val="-48"/>
              </w:rPr>
              <w:t xml:space="preserve"> </w:t>
            </w:r>
            <w:r>
              <w:rPr>
                <w:rFonts w:ascii="Times New Roman" w:hAnsi="Times New Roman" w:eastAsia="Times New Roman" w:cs="Times New Roman"/>
                <w:spacing w:val="-2"/>
              </w:rPr>
              <w:t>2</w:t>
            </w:r>
          </w:p>
          <w:p>
            <w:pPr>
              <w:pStyle w:val="6"/>
              <w:spacing w:before="67" w:line="221" w:lineRule="auto"/>
              <w:ind w:left="120"/>
            </w:pPr>
            <w:r>
              <w:rPr>
                <w:spacing w:val="-12"/>
              </w:rPr>
              <w:t>次，并进行跟踪</w:t>
            </w:r>
          </w:p>
          <w:p>
            <w:pPr>
              <w:pStyle w:val="6"/>
              <w:spacing w:before="68" w:line="210" w:lineRule="auto"/>
              <w:ind w:left="604"/>
            </w:pPr>
            <w:r>
              <w:rPr>
                <w:spacing w:val="-2"/>
              </w:rPr>
              <w:t>监测</w:t>
            </w:r>
          </w:p>
        </w:tc>
        <w:tc>
          <w:tcPr>
            <w:tcW w:w="851"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68" w:line="270" w:lineRule="auto"/>
              <w:ind w:left="117" w:right="102" w:firstLine="2"/>
              <w:jc w:val="both"/>
            </w:pPr>
            <w:r>
              <w:rPr>
                <w:spacing w:val="-3"/>
              </w:rPr>
              <w:t>建设单</w:t>
            </w:r>
            <w:r>
              <w:t xml:space="preserve"> </w:t>
            </w:r>
            <w:r>
              <w:rPr>
                <w:spacing w:val="-2"/>
              </w:rPr>
              <w:t>位和有</w:t>
            </w:r>
            <w:r>
              <w:t xml:space="preserve"> </w:t>
            </w:r>
            <w:r>
              <w:rPr>
                <w:spacing w:val="-2"/>
              </w:rPr>
              <w:t>资质的</w:t>
            </w:r>
            <w:r>
              <w:t xml:space="preserve"> </w:t>
            </w:r>
            <w:r>
              <w:rPr>
                <w:spacing w:val="-2"/>
              </w:rPr>
              <w:t>环境监</w:t>
            </w:r>
            <w:r>
              <w:t xml:space="preserve"> </w:t>
            </w:r>
            <w:r>
              <w:rPr>
                <w:spacing w:val="-2"/>
              </w:rPr>
              <w:t>测单位</w:t>
            </w:r>
          </w:p>
        </w:tc>
        <w:tc>
          <w:tcPr>
            <w:tcW w:w="763"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9" w:line="321" w:lineRule="exact"/>
              <w:ind w:left="179"/>
            </w:pPr>
            <w:r>
              <w:rPr>
                <w:spacing w:val="-3"/>
                <w:position w:val="8"/>
              </w:rPr>
              <w:t>建设</w:t>
            </w:r>
          </w:p>
          <w:p>
            <w:pPr>
              <w:pStyle w:val="6"/>
              <w:spacing w:line="221" w:lineRule="auto"/>
              <w:ind w:left="178"/>
            </w:pPr>
            <w:r>
              <w:rPr>
                <w:spacing w:val="-2"/>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878" w:type="dxa"/>
            <w:vMerge w:val="continue"/>
            <w:tcBorders>
              <w:top w:val="nil"/>
              <w:bottom w:val="nil"/>
            </w:tcBorders>
            <w:vAlign w:val="top"/>
          </w:tcPr>
          <w:p>
            <w:pPr>
              <w:rPr>
                <w:rFonts w:ascii="Arial"/>
                <w:sz w:val="21"/>
              </w:rPr>
            </w:pPr>
          </w:p>
        </w:tc>
        <w:tc>
          <w:tcPr>
            <w:tcW w:w="789" w:type="dxa"/>
            <w:vAlign w:val="top"/>
          </w:tcPr>
          <w:p>
            <w:pPr>
              <w:spacing w:line="325" w:lineRule="auto"/>
              <w:rPr>
                <w:rFonts w:ascii="Arial"/>
                <w:sz w:val="21"/>
              </w:rPr>
            </w:pPr>
          </w:p>
          <w:p>
            <w:pPr>
              <w:pStyle w:val="6"/>
              <w:spacing w:before="69" w:line="321" w:lineRule="exact"/>
              <w:ind w:left="190"/>
            </w:pPr>
            <w:r>
              <w:rPr>
                <w:spacing w:val="-3"/>
                <w:position w:val="8"/>
              </w:rPr>
              <w:t>水环</w:t>
            </w:r>
          </w:p>
          <w:p>
            <w:pPr>
              <w:pStyle w:val="6"/>
              <w:spacing w:line="221" w:lineRule="auto"/>
              <w:ind w:left="294"/>
            </w:pPr>
            <w:r>
              <w:t>境</w:t>
            </w:r>
          </w:p>
        </w:tc>
        <w:tc>
          <w:tcPr>
            <w:tcW w:w="1888" w:type="dxa"/>
            <w:vAlign w:val="top"/>
          </w:tcPr>
          <w:p>
            <w:pPr>
              <w:spacing w:line="242" w:lineRule="auto"/>
              <w:rPr>
                <w:rFonts w:ascii="Arial"/>
                <w:sz w:val="21"/>
              </w:rPr>
            </w:pPr>
          </w:p>
          <w:p>
            <w:pPr>
              <w:spacing w:line="243" w:lineRule="auto"/>
              <w:rPr>
                <w:rFonts w:ascii="Arial"/>
                <w:sz w:val="21"/>
              </w:rPr>
            </w:pPr>
          </w:p>
          <w:p>
            <w:pPr>
              <w:pStyle w:val="6"/>
              <w:spacing w:before="68" w:line="221" w:lineRule="auto"/>
              <w:ind w:left="214"/>
            </w:pPr>
            <w:r>
              <w:rPr>
                <w:spacing w:val="-1"/>
              </w:rPr>
              <w:t>沿线地表水水体</w:t>
            </w:r>
          </w:p>
        </w:tc>
        <w:tc>
          <w:tcPr>
            <w:tcW w:w="1742" w:type="dxa"/>
            <w:vAlign w:val="top"/>
          </w:tcPr>
          <w:p>
            <w:pPr>
              <w:pStyle w:val="6"/>
              <w:spacing w:before="76" w:line="214" w:lineRule="auto"/>
              <w:ind w:left="116"/>
            </w:pPr>
            <w:r>
              <w:rPr>
                <w:spacing w:val="-4"/>
              </w:rPr>
              <w:t>水温、</w:t>
            </w:r>
            <w:r>
              <w:rPr>
                <w:rFonts w:ascii="Times New Roman" w:hAnsi="Times New Roman" w:eastAsia="Times New Roman" w:cs="Times New Roman"/>
                <w:spacing w:val="-4"/>
              </w:rPr>
              <w:t>pH</w:t>
            </w:r>
            <w:r>
              <w:rPr>
                <w:rFonts w:ascii="Times New Roman" w:hAnsi="Times New Roman" w:eastAsia="Times New Roman" w:cs="Times New Roman"/>
                <w:spacing w:val="-28"/>
              </w:rPr>
              <w:t xml:space="preserve"> </w:t>
            </w:r>
            <w:r>
              <w:rPr>
                <w:spacing w:val="-4"/>
              </w:rPr>
              <w:t>、</w:t>
            </w:r>
            <w:r>
              <w:rPr>
                <w:rFonts w:ascii="Times New Roman" w:hAnsi="Times New Roman" w:eastAsia="Times New Roman" w:cs="Times New Roman"/>
                <w:spacing w:val="-4"/>
              </w:rPr>
              <w:t>DO</w:t>
            </w:r>
            <w:r>
              <w:rPr>
                <w:spacing w:val="-4"/>
              </w:rPr>
              <w:t>、</w:t>
            </w:r>
          </w:p>
          <w:p>
            <w:pPr>
              <w:pStyle w:val="6"/>
              <w:spacing w:before="114" w:line="187" w:lineRule="auto"/>
              <w:ind w:left="112"/>
            </w:pPr>
            <w:r>
              <w:rPr>
                <w:rFonts w:ascii="Times New Roman" w:hAnsi="Times New Roman" w:eastAsia="Times New Roman" w:cs="Times New Roman"/>
                <w:spacing w:val="-1"/>
              </w:rPr>
              <w:t>COD</w:t>
            </w:r>
            <w:r>
              <w:rPr>
                <w:rFonts w:ascii="Times New Roman" w:hAnsi="Times New Roman" w:eastAsia="Times New Roman" w:cs="Times New Roman"/>
                <w:spacing w:val="-1"/>
                <w:position w:val="-1"/>
                <w:sz w:val="13"/>
                <w:szCs w:val="13"/>
              </w:rPr>
              <w:t>Mn</w:t>
            </w:r>
            <w:r>
              <w:rPr>
                <w:rFonts w:ascii="Times New Roman" w:hAnsi="Times New Roman" w:eastAsia="Times New Roman" w:cs="Times New Roman"/>
                <w:spacing w:val="-9"/>
                <w:position w:val="-1"/>
                <w:sz w:val="13"/>
                <w:szCs w:val="13"/>
              </w:rPr>
              <w:t xml:space="preserve"> </w:t>
            </w:r>
            <w:r>
              <w:rPr>
                <w:spacing w:val="-1"/>
              </w:rPr>
              <w:t>、</w:t>
            </w:r>
            <w:r>
              <w:rPr>
                <w:rFonts w:ascii="Times New Roman" w:hAnsi="Times New Roman" w:eastAsia="Times New Roman" w:cs="Times New Roman"/>
                <w:spacing w:val="-1"/>
              </w:rPr>
              <w:t>BOD</w:t>
            </w:r>
            <w:r>
              <w:rPr>
                <w:rFonts w:ascii="Times New Roman" w:hAnsi="Times New Roman" w:eastAsia="Times New Roman" w:cs="Times New Roman"/>
                <w:spacing w:val="-1"/>
                <w:position w:val="-1"/>
                <w:sz w:val="13"/>
                <w:szCs w:val="13"/>
              </w:rPr>
              <w:t>5</w:t>
            </w:r>
            <w:r>
              <w:rPr>
                <w:spacing w:val="-1"/>
              </w:rPr>
              <w:t>、</w:t>
            </w:r>
          </w:p>
          <w:p>
            <w:pPr>
              <w:pStyle w:val="6"/>
              <w:spacing w:before="69" w:line="220" w:lineRule="auto"/>
              <w:ind w:left="139"/>
            </w:pPr>
            <w:r>
              <w:rPr>
                <w:spacing w:val="-1"/>
              </w:rPr>
              <w:t>氨氮、石油类、</w:t>
            </w:r>
          </w:p>
          <w:p>
            <w:pPr>
              <w:pStyle w:val="6"/>
              <w:spacing w:before="69" w:line="207" w:lineRule="auto"/>
              <w:ind w:left="671"/>
            </w:pPr>
            <w:r>
              <w:rPr>
                <w:spacing w:val="-3"/>
              </w:rPr>
              <w:t>总磷</w:t>
            </w:r>
          </w:p>
        </w:tc>
        <w:tc>
          <w:tcPr>
            <w:tcW w:w="1617" w:type="dxa"/>
            <w:vAlign w:val="top"/>
          </w:tcPr>
          <w:p>
            <w:pPr>
              <w:spacing w:line="325" w:lineRule="auto"/>
              <w:rPr>
                <w:rFonts w:ascii="Arial"/>
                <w:sz w:val="21"/>
              </w:rPr>
            </w:pPr>
          </w:p>
          <w:p>
            <w:pPr>
              <w:pStyle w:val="6"/>
              <w:spacing w:before="69" w:line="252" w:lineRule="auto"/>
              <w:ind w:left="711" w:right="103" w:hanging="597"/>
            </w:pPr>
            <w:r>
              <w:rPr>
                <w:spacing w:val="-2"/>
              </w:rPr>
              <w:t>试运行期监测</w:t>
            </w:r>
            <w:r>
              <w:rPr>
                <w:spacing w:val="-63"/>
              </w:rPr>
              <w:t xml:space="preserve"> </w:t>
            </w:r>
            <w:r>
              <w:rPr>
                <w:rFonts w:ascii="Times New Roman" w:hAnsi="Times New Roman" w:eastAsia="Times New Roman" w:cs="Times New Roman"/>
                <w:spacing w:val="-2"/>
              </w:rPr>
              <w:t>3</w:t>
            </w:r>
            <w:r>
              <w:rPr>
                <w:rFonts w:ascii="Times New Roman" w:hAnsi="Times New Roman" w:eastAsia="Times New Roman" w:cs="Times New Roman"/>
              </w:rPr>
              <w:t xml:space="preserve"> </w:t>
            </w:r>
            <w:r>
              <w:t>天</w:t>
            </w:r>
          </w:p>
        </w:tc>
        <w:tc>
          <w:tcPr>
            <w:tcW w:w="851" w:type="dxa"/>
            <w:vMerge w:val="continue"/>
            <w:tcBorders>
              <w:top w:val="nil"/>
              <w:bottom w:val="nil"/>
            </w:tcBorders>
            <w:vAlign w:val="top"/>
          </w:tcPr>
          <w:p>
            <w:pPr>
              <w:rPr>
                <w:rFonts w:ascii="Arial"/>
                <w:sz w:val="21"/>
              </w:rPr>
            </w:pPr>
          </w:p>
        </w:tc>
        <w:tc>
          <w:tcPr>
            <w:tcW w:w="76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78" w:type="dxa"/>
            <w:vMerge w:val="continue"/>
            <w:tcBorders>
              <w:top w:val="nil"/>
              <w:bottom w:val="nil"/>
            </w:tcBorders>
            <w:vAlign w:val="top"/>
          </w:tcPr>
          <w:p>
            <w:pPr>
              <w:rPr>
                <w:rFonts w:ascii="Arial"/>
                <w:sz w:val="21"/>
              </w:rPr>
            </w:pPr>
          </w:p>
        </w:tc>
        <w:tc>
          <w:tcPr>
            <w:tcW w:w="789" w:type="dxa"/>
            <w:vAlign w:val="top"/>
          </w:tcPr>
          <w:p>
            <w:pPr>
              <w:pStyle w:val="6"/>
              <w:spacing w:before="78" w:line="322" w:lineRule="exact"/>
              <w:ind w:left="188"/>
            </w:pPr>
            <w:r>
              <w:rPr>
                <w:spacing w:val="-2"/>
                <w:position w:val="8"/>
              </w:rPr>
              <w:t>环境</w:t>
            </w:r>
          </w:p>
          <w:p>
            <w:pPr>
              <w:pStyle w:val="6"/>
              <w:spacing w:line="205" w:lineRule="auto"/>
              <w:ind w:left="194"/>
            </w:pPr>
            <w:r>
              <w:rPr>
                <w:spacing w:val="-4"/>
              </w:rPr>
              <w:t>空气</w:t>
            </w:r>
          </w:p>
        </w:tc>
        <w:tc>
          <w:tcPr>
            <w:tcW w:w="1888" w:type="dxa"/>
            <w:vAlign w:val="top"/>
          </w:tcPr>
          <w:p>
            <w:pPr>
              <w:pStyle w:val="6"/>
              <w:spacing w:before="239" w:line="221" w:lineRule="auto"/>
              <w:ind w:left="224"/>
            </w:pPr>
            <w:r>
              <w:rPr>
                <w:spacing w:val="-3"/>
              </w:rPr>
              <w:t>隧道口保护目标</w:t>
            </w:r>
          </w:p>
        </w:tc>
        <w:tc>
          <w:tcPr>
            <w:tcW w:w="1742" w:type="dxa"/>
            <w:vAlign w:val="top"/>
          </w:tcPr>
          <w:p>
            <w:pPr>
              <w:pStyle w:val="6"/>
              <w:spacing w:before="278" w:line="187" w:lineRule="auto"/>
              <w:ind w:left="426"/>
              <w:rPr>
                <w:rFonts w:ascii="Times New Roman" w:hAnsi="Times New Roman" w:eastAsia="Times New Roman" w:cs="Times New Roman"/>
              </w:rPr>
            </w:pPr>
            <w:r>
              <w:rPr>
                <w:rFonts w:ascii="Times New Roman" w:hAnsi="Times New Roman" w:eastAsia="Times New Roman" w:cs="Times New Roman"/>
                <w:spacing w:val="-2"/>
              </w:rPr>
              <w:t>NO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9"/>
                <w:position w:val="-1"/>
                <w:sz w:val="13"/>
                <w:szCs w:val="13"/>
              </w:rPr>
              <w:t xml:space="preserve"> </w:t>
            </w:r>
            <w:r>
              <w:rPr>
                <w:spacing w:val="-2"/>
              </w:rPr>
              <w:t>、</w:t>
            </w:r>
            <w:r>
              <w:rPr>
                <w:rFonts w:ascii="Times New Roman" w:hAnsi="Times New Roman" w:eastAsia="Times New Roman" w:cs="Times New Roman"/>
                <w:spacing w:val="-2"/>
              </w:rPr>
              <w:t>CO</w:t>
            </w:r>
          </w:p>
        </w:tc>
        <w:tc>
          <w:tcPr>
            <w:tcW w:w="1617" w:type="dxa"/>
            <w:vAlign w:val="top"/>
          </w:tcPr>
          <w:p>
            <w:pPr>
              <w:pStyle w:val="6"/>
              <w:spacing w:before="79" w:line="244" w:lineRule="auto"/>
              <w:ind w:left="711" w:right="103" w:hanging="597"/>
            </w:pPr>
            <w:r>
              <w:rPr>
                <w:spacing w:val="4"/>
              </w:rPr>
              <w:t>试运行期监测</w:t>
            </w:r>
            <w:r>
              <w:rPr>
                <w:rFonts w:ascii="Times New Roman" w:hAnsi="Times New Roman" w:eastAsia="Times New Roman" w:cs="Times New Roman"/>
                <w:spacing w:val="4"/>
              </w:rPr>
              <w:t>2</w:t>
            </w:r>
            <w:r>
              <w:rPr>
                <w:rFonts w:ascii="Times New Roman" w:hAnsi="Times New Roman" w:eastAsia="Times New Roman" w:cs="Times New Roman"/>
              </w:rPr>
              <w:t xml:space="preserve"> </w:t>
            </w:r>
            <w:r>
              <w:t>天</w:t>
            </w:r>
          </w:p>
        </w:tc>
        <w:tc>
          <w:tcPr>
            <w:tcW w:w="851" w:type="dxa"/>
            <w:vMerge w:val="continue"/>
            <w:tcBorders>
              <w:top w:val="nil"/>
              <w:bottom w:val="nil"/>
            </w:tcBorders>
            <w:vAlign w:val="top"/>
          </w:tcPr>
          <w:p>
            <w:pPr>
              <w:rPr>
                <w:rFonts w:ascii="Arial"/>
                <w:sz w:val="21"/>
              </w:rPr>
            </w:pPr>
          </w:p>
        </w:tc>
        <w:tc>
          <w:tcPr>
            <w:tcW w:w="76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78" w:type="dxa"/>
            <w:vMerge w:val="continue"/>
            <w:tcBorders>
              <w:top w:val="nil"/>
            </w:tcBorders>
            <w:vAlign w:val="top"/>
          </w:tcPr>
          <w:p>
            <w:pPr>
              <w:rPr>
                <w:rFonts w:ascii="Arial"/>
                <w:sz w:val="21"/>
              </w:rPr>
            </w:pPr>
          </w:p>
        </w:tc>
        <w:tc>
          <w:tcPr>
            <w:tcW w:w="789" w:type="dxa"/>
            <w:vAlign w:val="top"/>
          </w:tcPr>
          <w:p>
            <w:pPr>
              <w:pStyle w:val="6"/>
              <w:spacing w:before="79" w:line="322" w:lineRule="exact"/>
              <w:ind w:left="190"/>
            </w:pPr>
            <w:r>
              <w:rPr>
                <w:spacing w:val="-2"/>
                <w:position w:val="7"/>
              </w:rPr>
              <w:t>生态</w:t>
            </w:r>
          </w:p>
          <w:p>
            <w:pPr>
              <w:pStyle w:val="6"/>
              <w:spacing w:before="1" w:line="208" w:lineRule="auto"/>
              <w:ind w:left="188"/>
            </w:pPr>
            <w:r>
              <w:rPr>
                <w:spacing w:val="-2"/>
              </w:rPr>
              <w:t>环境</w:t>
            </w:r>
          </w:p>
        </w:tc>
        <w:tc>
          <w:tcPr>
            <w:tcW w:w="1888" w:type="dxa"/>
            <w:vAlign w:val="top"/>
          </w:tcPr>
          <w:p>
            <w:pPr>
              <w:pStyle w:val="6"/>
              <w:spacing w:before="240" w:line="221" w:lineRule="auto"/>
              <w:ind w:left="111"/>
            </w:pPr>
            <w:r>
              <w:rPr>
                <w:spacing w:val="-2"/>
              </w:rPr>
              <w:t>施工场地、路基处</w:t>
            </w:r>
          </w:p>
        </w:tc>
        <w:tc>
          <w:tcPr>
            <w:tcW w:w="1742" w:type="dxa"/>
            <w:vAlign w:val="top"/>
          </w:tcPr>
          <w:p>
            <w:pPr>
              <w:pStyle w:val="6"/>
              <w:spacing w:before="79" w:line="246" w:lineRule="auto"/>
              <w:ind w:left="243" w:right="131" w:hanging="104"/>
            </w:pPr>
            <w:r>
              <w:rPr>
                <w:spacing w:val="-1"/>
              </w:rPr>
              <w:t>对植被恢复情况</w:t>
            </w:r>
            <w:r>
              <w:rPr>
                <w:spacing w:val="2"/>
              </w:rPr>
              <w:t xml:space="preserve"> </w:t>
            </w:r>
            <w:r>
              <w:rPr>
                <w:spacing w:val="-1"/>
              </w:rPr>
              <w:t>进行跟踪调查</w:t>
            </w:r>
          </w:p>
        </w:tc>
        <w:tc>
          <w:tcPr>
            <w:tcW w:w="1617" w:type="dxa"/>
            <w:vAlign w:val="top"/>
          </w:tcPr>
          <w:p>
            <w:pPr>
              <w:pStyle w:val="6"/>
              <w:spacing w:before="240" w:line="221" w:lineRule="auto"/>
              <w:ind w:left="287"/>
            </w:pPr>
            <w:r>
              <w:rPr>
                <w:spacing w:val="-7"/>
              </w:rPr>
              <w:t>运营期</w:t>
            </w:r>
            <w:r>
              <w:rPr>
                <w:spacing w:val="-25"/>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4"/>
                <w:w w:val="101"/>
              </w:rPr>
              <w:t xml:space="preserve"> </w:t>
            </w:r>
            <w:r>
              <w:rPr>
                <w:spacing w:val="-7"/>
              </w:rPr>
              <w:t>次</w:t>
            </w:r>
          </w:p>
        </w:tc>
        <w:tc>
          <w:tcPr>
            <w:tcW w:w="851" w:type="dxa"/>
            <w:vMerge w:val="continue"/>
            <w:tcBorders>
              <w:top w:val="nil"/>
            </w:tcBorders>
            <w:vAlign w:val="top"/>
          </w:tcPr>
          <w:p>
            <w:pPr>
              <w:rPr>
                <w:rFonts w:ascii="Arial"/>
                <w:sz w:val="21"/>
              </w:rPr>
            </w:pPr>
          </w:p>
        </w:tc>
        <w:tc>
          <w:tcPr>
            <w:tcW w:w="763" w:type="dxa"/>
            <w:vMerge w:val="continue"/>
            <w:tcBorders>
              <w:top w:val="nil"/>
            </w:tcBorders>
            <w:vAlign w:val="top"/>
          </w:tcPr>
          <w:p>
            <w:pPr>
              <w:rPr>
                <w:rFonts w:ascii="Arial"/>
                <w:sz w:val="21"/>
              </w:rPr>
            </w:pPr>
          </w:p>
        </w:tc>
      </w:tr>
    </w:tbl>
    <w:p>
      <w:pPr>
        <w:spacing w:before="139" w:line="200" w:lineRule="auto"/>
        <w:ind w:left="540"/>
        <w:rPr>
          <w:rFonts w:ascii="宋体" w:hAnsi="宋体" w:eastAsia="宋体" w:cs="宋体"/>
          <w:sz w:val="24"/>
          <w:szCs w:val="24"/>
        </w:rPr>
      </w:pPr>
      <w:r>
        <w:rPr>
          <w:rFonts w:ascii="宋体" w:hAnsi="宋体" w:eastAsia="宋体" w:cs="宋体"/>
          <w:sz w:val="21"/>
          <w:szCs w:val="21"/>
        </w:rPr>
        <w:t>注：表中所列出的监测点位、监测时间和监测频次，可根据当时具体情况进行调整</w:t>
      </w:r>
      <w:r>
        <w:rPr>
          <w:rFonts w:ascii="宋体" w:hAnsi="宋体" w:eastAsia="宋体" w:cs="宋体"/>
          <w:sz w:val="24"/>
          <w:szCs w:val="24"/>
        </w:rPr>
        <w:t>。</w:t>
      </w:r>
    </w:p>
    <w:p>
      <w:pPr>
        <w:spacing w:before="165" w:line="218" w:lineRule="auto"/>
        <w:ind w:left="120"/>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7.2.3 </w:t>
      </w:r>
      <w:r>
        <w:rPr>
          <w:rFonts w:ascii="宋体" w:hAnsi="宋体" w:eastAsia="宋体" w:cs="宋体"/>
          <w:spacing w:val="-1"/>
          <w:sz w:val="24"/>
          <w:szCs w:val="24"/>
          <w14:textOutline w14:w="4354" w14:cap="flat" w14:cmpd="sng">
            <w14:solidFill>
              <w14:srgbClr w14:val="000000"/>
            </w14:solidFill>
            <w14:prstDash w14:val="solid"/>
            <w14:miter w14:val="0"/>
          </w14:textOutline>
        </w:rPr>
        <w:t>监测报告制度</w:t>
      </w:r>
    </w:p>
    <w:p>
      <w:pPr>
        <w:spacing w:before="185" w:line="465" w:lineRule="exact"/>
        <w:ind w:left="604"/>
        <w:rPr>
          <w:rFonts w:ascii="宋体" w:hAnsi="宋体" w:eastAsia="宋体" w:cs="宋体"/>
          <w:sz w:val="24"/>
          <w:szCs w:val="24"/>
        </w:rPr>
      </w:pPr>
      <w:r>
        <w:rPr>
          <w:rFonts w:ascii="宋体" w:hAnsi="宋体" w:eastAsia="宋体" w:cs="宋体"/>
          <w:spacing w:val="-3"/>
          <w:position w:val="17"/>
          <w:sz w:val="24"/>
          <w:szCs w:val="24"/>
        </w:rPr>
        <w:t>建设单位应在竣工验收时监测一次，将监测情况向生态环</w:t>
      </w:r>
      <w:r>
        <w:rPr>
          <w:rFonts w:ascii="宋体" w:hAnsi="宋体" w:eastAsia="宋体" w:cs="宋体"/>
          <w:spacing w:val="-4"/>
          <w:position w:val="17"/>
          <w:sz w:val="24"/>
          <w:szCs w:val="24"/>
        </w:rPr>
        <w:t>境主管部门提交备</w:t>
      </w:r>
    </w:p>
    <w:p>
      <w:pPr>
        <w:spacing w:line="220" w:lineRule="auto"/>
        <w:ind w:left="124"/>
        <w:rPr>
          <w:rFonts w:ascii="宋体" w:hAnsi="宋体" w:eastAsia="宋体" w:cs="宋体"/>
          <w:sz w:val="24"/>
          <w:szCs w:val="24"/>
        </w:rPr>
      </w:pPr>
      <w:r>
        <w:rPr>
          <w:rFonts w:ascii="宋体" w:hAnsi="宋体" w:eastAsia="宋体" w:cs="宋体"/>
          <w:spacing w:val="-12"/>
          <w:sz w:val="24"/>
          <w:szCs w:val="24"/>
        </w:rPr>
        <w:t>案。</w:t>
      </w:r>
    </w:p>
    <w:p>
      <w:pPr>
        <w:spacing w:before="182" w:line="220" w:lineRule="auto"/>
        <w:ind w:left="120"/>
        <w:outlineLvl w:val="1"/>
        <w:rPr>
          <w:rFonts w:ascii="宋体" w:hAnsi="宋体" w:eastAsia="宋体" w:cs="宋体"/>
          <w:sz w:val="24"/>
          <w:szCs w:val="24"/>
        </w:rPr>
      </w:pPr>
      <w:bookmarkStart w:id="54" w:name="bookmark47"/>
      <w:bookmarkEnd w:id="54"/>
      <w:r>
        <w:rPr>
          <w:rFonts w:ascii="Times New Roman" w:hAnsi="Times New Roman" w:eastAsia="Times New Roman" w:cs="Times New Roman"/>
          <w:b/>
          <w:bCs/>
          <w:spacing w:val="-1"/>
          <w:sz w:val="24"/>
          <w:szCs w:val="24"/>
        </w:rPr>
        <w:t xml:space="preserve">7.3 </w:t>
      </w:r>
      <w:r>
        <w:rPr>
          <w:rFonts w:ascii="宋体" w:hAnsi="宋体" w:eastAsia="宋体" w:cs="宋体"/>
          <w:spacing w:val="-1"/>
          <w:sz w:val="24"/>
          <w:szCs w:val="24"/>
          <w14:textOutline w14:w="4354" w14:cap="flat" w14:cmpd="sng">
            <w14:solidFill>
              <w14:srgbClr w14:val="000000"/>
            </w14:solidFill>
            <w14:prstDash w14:val="solid"/>
            <w14:miter w14:val="0"/>
          </w14:textOutline>
        </w:rPr>
        <w:t>工程竣工环保验收</w:t>
      </w:r>
    </w:p>
    <w:p>
      <w:pPr>
        <w:spacing w:before="180" w:line="213" w:lineRule="auto"/>
        <w:ind w:left="602"/>
        <w:rPr>
          <w:rFonts w:ascii="宋体" w:hAnsi="宋体" w:eastAsia="宋体" w:cs="宋体"/>
          <w:sz w:val="24"/>
          <w:szCs w:val="24"/>
        </w:rPr>
      </w:pPr>
      <w:r>
        <w:rPr>
          <w:rFonts w:ascii="宋体" w:hAnsi="宋体" w:eastAsia="宋体" w:cs="宋体"/>
          <w:spacing w:val="-1"/>
          <w:sz w:val="24"/>
          <w:szCs w:val="24"/>
        </w:rPr>
        <w:t>根据《建设项目竣工环境保护验收暂行办法》</w:t>
      </w:r>
      <w:r>
        <w:rPr>
          <w:rFonts w:ascii="Times New Roman" w:hAnsi="Times New Roman" w:eastAsia="Times New Roman" w:cs="Times New Roman"/>
          <w:spacing w:val="-1"/>
          <w:sz w:val="24"/>
          <w:szCs w:val="24"/>
        </w:rPr>
        <w:t>(</w:t>
      </w:r>
      <w:r>
        <w:rPr>
          <w:rFonts w:ascii="宋体" w:hAnsi="宋体" w:eastAsia="宋体" w:cs="宋体"/>
          <w:spacing w:val="-1"/>
          <w:sz w:val="24"/>
          <w:szCs w:val="24"/>
        </w:rPr>
        <w:t>国环规环评〔</w:t>
      </w:r>
      <w:r>
        <w:rPr>
          <w:rFonts w:ascii="Times New Roman" w:hAnsi="Times New Roman" w:eastAsia="Times New Roman" w:cs="Times New Roman"/>
          <w:spacing w:val="-1"/>
          <w:sz w:val="24"/>
          <w:szCs w:val="24"/>
        </w:rPr>
        <w:t>2017</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号</w:t>
      </w:r>
      <w:r>
        <w:rPr>
          <w:rFonts w:ascii="Times New Roman" w:hAnsi="Times New Roman" w:eastAsia="Times New Roman" w:cs="Times New Roman"/>
          <w:spacing w:val="-1"/>
          <w:sz w:val="24"/>
          <w:szCs w:val="24"/>
        </w:rPr>
        <w:t>)</w:t>
      </w:r>
      <w:r>
        <w:rPr>
          <w:rFonts w:ascii="宋体" w:hAnsi="宋体" w:eastAsia="宋体" w:cs="宋体"/>
          <w:spacing w:val="-1"/>
          <w:sz w:val="24"/>
          <w:szCs w:val="24"/>
        </w:rPr>
        <w:t>以</w:t>
      </w:r>
    </w:p>
    <w:p>
      <w:pPr>
        <w:spacing w:line="213" w:lineRule="auto"/>
        <w:rPr>
          <w:rFonts w:ascii="宋体" w:hAnsi="宋体" w:eastAsia="宋体" w:cs="宋体"/>
          <w:sz w:val="24"/>
          <w:szCs w:val="24"/>
        </w:rPr>
        <w:sectPr>
          <w:headerReference r:id="rId355" w:type="default"/>
          <w:footerReference r:id="rId356" w:type="default"/>
          <w:pgSz w:w="11907" w:h="16839"/>
          <w:pgMar w:top="1118" w:right="1685" w:bottom="1151" w:left="1687" w:header="879" w:footer="990" w:gutter="0"/>
          <w:cols w:space="720" w:num="1"/>
        </w:sectPr>
      </w:pPr>
    </w:p>
    <w:p>
      <w:pPr>
        <w:pStyle w:val="2"/>
        <w:spacing w:line="278" w:lineRule="auto"/>
      </w:pPr>
    </w:p>
    <w:p>
      <w:pPr>
        <w:spacing w:before="78" w:line="468" w:lineRule="exact"/>
        <w:ind w:left="317"/>
        <w:rPr>
          <w:rFonts w:ascii="宋体" w:hAnsi="宋体" w:eastAsia="宋体" w:cs="宋体"/>
          <w:sz w:val="24"/>
          <w:szCs w:val="24"/>
        </w:rPr>
      </w:pPr>
      <w:r>
        <w:rPr>
          <w:rFonts w:ascii="宋体" w:hAnsi="宋体" w:eastAsia="宋体" w:cs="宋体"/>
          <w:spacing w:val="-5"/>
          <w:position w:val="17"/>
          <w:sz w:val="24"/>
          <w:szCs w:val="24"/>
        </w:rPr>
        <w:t>及环评报告所提环境保护措施， 提出本工程环境保护</w:t>
      </w:r>
      <w:r>
        <w:rPr>
          <w:rFonts w:ascii="Times New Roman" w:hAnsi="Times New Roman" w:eastAsia="Times New Roman" w:cs="Times New Roman"/>
          <w:spacing w:val="-5"/>
          <w:position w:val="17"/>
          <w:sz w:val="24"/>
          <w:szCs w:val="24"/>
        </w:rPr>
        <w:t>“</w:t>
      </w:r>
      <w:r>
        <w:rPr>
          <w:rFonts w:ascii="宋体" w:hAnsi="宋体" w:eastAsia="宋体" w:cs="宋体"/>
          <w:spacing w:val="-5"/>
          <w:position w:val="17"/>
          <w:sz w:val="24"/>
          <w:szCs w:val="24"/>
        </w:rPr>
        <w:t>三</w:t>
      </w:r>
      <w:r>
        <w:rPr>
          <w:rFonts w:ascii="宋体" w:hAnsi="宋体" w:eastAsia="宋体" w:cs="宋体"/>
          <w:spacing w:val="-6"/>
          <w:position w:val="17"/>
          <w:sz w:val="24"/>
          <w:szCs w:val="24"/>
        </w:rPr>
        <w:t>同时</w:t>
      </w:r>
      <w:r>
        <w:rPr>
          <w:rFonts w:ascii="Times New Roman" w:hAnsi="Times New Roman" w:eastAsia="Times New Roman" w:cs="Times New Roman"/>
          <w:spacing w:val="-6"/>
          <w:position w:val="17"/>
          <w:sz w:val="24"/>
          <w:szCs w:val="24"/>
        </w:rPr>
        <w:t>”</w:t>
      </w:r>
      <w:r>
        <w:rPr>
          <w:rFonts w:ascii="宋体" w:hAnsi="宋体" w:eastAsia="宋体" w:cs="宋体"/>
          <w:spacing w:val="-6"/>
          <w:position w:val="17"/>
          <w:sz w:val="24"/>
          <w:szCs w:val="24"/>
        </w:rPr>
        <w:t>竣工验收重点内容</w:t>
      </w:r>
    </w:p>
    <w:p>
      <w:pPr>
        <w:spacing w:line="219" w:lineRule="auto"/>
        <w:ind w:left="321"/>
        <w:rPr>
          <w:rFonts w:ascii="宋体" w:hAnsi="宋体" w:eastAsia="宋体" w:cs="宋体"/>
          <w:sz w:val="24"/>
          <w:szCs w:val="24"/>
        </w:rPr>
      </w:pPr>
      <w:r>
        <w:rPr>
          <w:rFonts w:ascii="宋体" w:hAnsi="宋体" w:eastAsia="宋体" w:cs="宋体"/>
          <w:spacing w:val="-4"/>
          <w:sz w:val="24"/>
          <w:szCs w:val="24"/>
        </w:rPr>
        <w:t>建议，具体见表</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7.3-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w:t>
      </w:r>
    </w:p>
    <w:p>
      <w:pPr>
        <w:spacing w:before="179" w:line="220" w:lineRule="auto"/>
        <w:ind w:left="225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0-5    </w:t>
      </w:r>
      <w:r>
        <w:rPr>
          <w:rFonts w:ascii="宋体" w:hAnsi="宋体" w:eastAsia="宋体" w:cs="宋体"/>
          <w:spacing w:val="-1"/>
          <w:sz w:val="24"/>
          <w:szCs w:val="24"/>
        </w:rPr>
        <w:t>工程</w:t>
      </w:r>
      <w:r>
        <w:rPr>
          <w:rFonts w:ascii="Times New Roman" w:hAnsi="Times New Roman" w:eastAsia="Times New Roman" w:cs="Times New Roman"/>
          <w:spacing w:val="-1"/>
          <w:sz w:val="24"/>
          <w:szCs w:val="24"/>
        </w:rPr>
        <w:t>“</w:t>
      </w:r>
      <w:r>
        <w:rPr>
          <w:rFonts w:ascii="宋体" w:hAnsi="宋体" w:eastAsia="宋体" w:cs="宋体"/>
          <w:spacing w:val="-1"/>
          <w:sz w:val="24"/>
          <w:szCs w:val="24"/>
        </w:rPr>
        <w:t>三同时</w:t>
      </w:r>
      <w:r>
        <w:rPr>
          <w:rFonts w:ascii="Times New Roman" w:hAnsi="Times New Roman" w:eastAsia="Times New Roman" w:cs="Times New Roman"/>
          <w:spacing w:val="-1"/>
          <w:sz w:val="24"/>
          <w:szCs w:val="24"/>
        </w:rPr>
        <w:t>”</w:t>
      </w:r>
      <w:r>
        <w:rPr>
          <w:rFonts w:ascii="宋体" w:hAnsi="宋体" w:eastAsia="宋体" w:cs="宋体"/>
          <w:spacing w:val="-1"/>
          <w:sz w:val="24"/>
          <w:szCs w:val="24"/>
        </w:rPr>
        <w:t>竣工验收重点内容一览表</w:t>
      </w:r>
    </w:p>
    <w:p>
      <w:pPr>
        <w:spacing w:line="146" w:lineRule="exact"/>
      </w:pPr>
    </w:p>
    <w:tbl>
      <w:tblPr>
        <w:tblStyle w:val="5"/>
        <w:tblW w:w="89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835"/>
        <w:gridCol w:w="3584"/>
        <w:gridCol w:w="2649"/>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29" w:type="dxa"/>
            <w:vAlign w:val="top"/>
          </w:tcPr>
          <w:p>
            <w:pPr>
              <w:pStyle w:val="6"/>
              <w:spacing w:before="132" w:line="221" w:lineRule="auto"/>
              <w:ind w:left="159"/>
            </w:pPr>
            <w:r>
              <w:rPr>
                <w:spacing w:val="-2"/>
              </w:rPr>
              <w:t>类别</w:t>
            </w:r>
          </w:p>
        </w:tc>
        <w:tc>
          <w:tcPr>
            <w:tcW w:w="835" w:type="dxa"/>
            <w:vAlign w:val="top"/>
          </w:tcPr>
          <w:p>
            <w:pPr>
              <w:pStyle w:val="6"/>
              <w:spacing w:before="132" w:line="223" w:lineRule="auto"/>
              <w:ind w:left="212"/>
            </w:pPr>
            <w:r>
              <w:rPr>
                <w:spacing w:val="-3"/>
              </w:rPr>
              <w:t>名称</w:t>
            </w:r>
          </w:p>
        </w:tc>
        <w:tc>
          <w:tcPr>
            <w:tcW w:w="3584" w:type="dxa"/>
            <w:vAlign w:val="top"/>
          </w:tcPr>
          <w:p>
            <w:pPr>
              <w:pStyle w:val="6"/>
              <w:spacing w:before="133" w:line="221" w:lineRule="auto"/>
              <w:ind w:left="1382"/>
            </w:pPr>
            <w:r>
              <w:rPr>
                <w:spacing w:val="-3"/>
              </w:rPr>
              <w:t>治理措施</w:t>
            </w:r>
          </w:p>
        </w:tc>
        <w:tc>
          <w:tcPr>
            <w:tcW w:w="2649" w:type="dxa"/>
            <w:vAlign w:val="top"/>
          </w:tcPr>
          <w:p>
            <w:pPr>
              <w:pStyle w:val="6"/>
              <w:spacing w:before="132" w:line="221" w:lineRule="auto"/>
              <w:ind w:left="910"/>
            </w:pPr>
            <w:r>
              <w:rPr>
                <w:spacing w:val="-1"/>
              </w:rPr>
              <w:t>验收效果</w:t>
            </w:r>
          </w:p>
        </w:tc>
        <w:tc>
          <w:tcPr>
            <w:tcW w:w="1125" w:type="dxa"/>
            <w:vAlign w:val="top"/>
          </w:tcPr>
          <w:p>
            <w:pPr>
              <w:pStyle w:val="6"/>
              <w:spacing w:before="132" w:line="222" w:lineRule="auto"/>
              <w:ind w:left="360"/>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729" w:type="dxa"/>
            <w:vAlign w:val="top"/>
          </w:tcPr>
          <w:p>
            <w:pPr>
              <w:spacing w:line="323" w:lineRule="auto"/>
              <w:rPr>
                <w:rFonts w:ascii="Arial"/>
                <w:sz w:val="21"/>
              </w:rPr>
            </w:pPr>
          </w:p>
          <w:p>
            <w:pPr>
              <w:pStyle w:val="6"/>
              <w:spacing w:before="69" w:line="226" w:lineRule="auto"/>
              <w:ind w:left="160"/>
            </w:pPr>
            <w:r>
              <w:rPr>
                <w:spacing w:val="-2"/>
              </w:rPr>
              <w:t>生态</w:t>
            </w:r>
          </w:p>
        </w:tc>
        <w:tc>
          <w:tcPr>
            <w:tcW w:w="835" w:type="dxa"/>
            <w:vAlign w:val="top"/>
          </w:tcPr>
          <w:p>
            <w:pPr>
              <w:pStyle w:val="6"/>
              <w:spacing w:before="236" w:line="221" w:lineRule="auto"/>
              <w:ind w:left="210"/>
            </w:pPr>
            <w:r>
              <w:rPr>
                <w:spacing w:val="-2"/>
              </w:rPr>
              <w:t>运营</w:t>
            </w:r>
          </w:p>
          <w:p>
            <w:pPr>
              <w:pStyle w:val="6"/>
              <w:spacing w:before="67" w:line="221" w:lineRule="auto"/>
              <w:ind w:left="315"/>
            </w:pPr>
            <w:r>
              <w:t>期</w:t>
            </w:r>
          </w:p>
        </w:tc>
        <w:tc>
          <w:tcPr>
            <w:tcW w:w="3584" w:type="dxa"/>
            <w:vAlign w:val="top"/>
          </w:tcPr>
          <w:p>
            <w:pPr>
              <w:pStyle w:val="6"/>
              <w:spacing w:before="235" w:line="251" w:lineRule="auto"/>
              <w:ind w:left="113" w:right="28"/>
            </w:pPr>
            <w:r>
              <w:rPr>
                <w:spacing w:val="-8"/>
              </w:rPr>
              <w:t>主体工程防护措施等；生态防护措施、</w:t>
            </w:r>
            <w:r>
              <w:rPr>
                <w:spacing w:val="1"/>
              </w:rPr>
              <w:t xml:space="preserve"> </w:t>
            </w:r>
            <w:r>
              <w:rPr>
                <w:spacing w:val="-2"/>
              </w:rPr>
              <w:t>生态公益林等恢复措施。</w:t>
            </w:r>
          </w:p>
        </w:tc>
        <w:tc>
          <w:tcPr>
            <w:tcW w:w="2649" w:type="dxa"/>
            <w:vAlign w:val="top"/>
          </w:tcPr>
          <w:p>
            <w:pPr>
              <w:pStyle w:val="6"/>
              <w:spacing w:before="236" w:line="251" w:lineRule="auto"/>
              <w:ind w:left="594" w:right="372" w:hanging="209"/>
            </w:pPr>
            <w:r>
              <w:rPr>
                <w:spacing w:val="-1"/>
              </w:rPr>
              <w:t>满足环评及水土保持</w:t>
            </w:r>
            <w:r>
              <w:rPr>
                <w:spacing w:val="3"/>
              </w:rPr>
              <w:t xml:space="preserve"> </w:t>
            </w:r>
            <w:r>
              <w:rPr>
                <w:spacing w:val="-3"/>
              </w:rPr>
              <w:t>方案措施要求。</w:t>
            </w:r>
          </w:p>
        </w:tc>
        <w:tc>
          <w:tcPr>
            <w:tcW w:w="1125" w:type="dxa"/>
            <w:vAlign w:val="top"/>
          </w:tcPr>
          <w:p>
            <w:pPr>
              <w:pStyle w:val="6"/>
              <w:spacing w:before="76" w:line="257" w:lineRule="auto"/>
              <w:ind w:left="146" w:right="138" w:firstLine="108"/>
              <w:jc w:val="both"/>
            </w:pPr>
            <w:r>
              <w:rPr>
                <w:spacing w:val="-3"/>
              </w:rPr>
              <w:t>工程实</w:t>
            </w:r>
            <w:r>
              <w:t xml:space="preserve">  </w:t>
            </w:r>
            <w:r>
              <w:rPr>
                <w:spacing w:val="-2"/>
              </w:rPr>
              <w:t>物，验收</w:t>
            </w:r>
            <w:r>
              <w:rPr>
                <w:spacing w:val="1"/>
              </w:rPr>
              <w:t xml:space="preserve"> </w:t>
            </w:r>
            <w:r>
              <w:rPr>
                <w:spacing w:val="-2"/>
              </w:rPr>
              <w:t>监测报告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729" w:type="dxa"/>
            <w:vAlign w:val="top"/>
          </w:tcPr>
          <w:p>
            <w:pPr>
              <w:spacing w:line="327" w:lineRule="auto"/>
              <w:rPr>
                <w:rFonts w:ascii="Arial"/>
                <w:sz w:val="21"/>
              </w:rPr>
            </w:pPr>
          </w:p>
          <w:p>
            <w:pPr>
              <w:pStyle w:val="6"/>
              <w:spacing w:before="68" w:line="221" w:lineRule="auto"/>
              <w:ind w:left="169"/>
            </w:pPr>
            <w:r>
              <w:rPr>
                <w:spacing w:val="-4"/>
              </w:rPr>
              <w:t>噪声</w:t>
            </w:r>
          </w:p>
        </w:tc>
        <w:tc>
          <w:tcPr>
            <w:tcW w:w="835" w:type="dxa"/>
            <w:vAlign w:val="top"/>
          </w:tcPr>
          <w:p>
            <w:pPr>
              <w:pStyle w:val="6"/>
              <w:spacing w:before="237" w:line="221" w:lineRule="auto"/>
              <w:ind w:left="210"/>
            </w:pPr>
            <w:r>
              <w:rPr>
                <w:spacing w:val="-2"/>
              </w:rPr>
              <w:t>运营</w:t>
            </w:r>
          </w:p>
          <w:p>
            <w:pPr>
              <w:pStyle w:val="6"/>
              <w:spacing w:before="68" w:line="221" w:lineRule="auto"/>
              <w:ind w:left="315"/>
            </w:pPr>
            <w:r>
              <w:t>期</w:t>
            </w:r>
          </w:p>
        </w:tc>
        <w:tc>
          <w:tcPr>
            <w:tcW w:w="3584" w:type="dxa"/>
            <w:vAlign w:val="top"/>
          </w:tcPr>
          <w:p>
            <w:pPr>
              <w:pStyle w:val="6"/>
              <w:spacing w:before="76" w:line="257" w:lineRule="auto"/>
              <w:ind w:left="112" w:right="100" w:hanging="1"/>
              <w:jc w:val="both"/>
            </w:pPr>
            <w:r>
              <w:t>对沿线超标的敏感点设置声屏障、隔</w:t>
            </w:r>
            <w:r>
              <w:rPr>
                <w:spacing w:val="6"/>
              </w:rPr>
              <w:t xml:space="preserve"> </w:t>
            </w:r>
            <w:r>
              <w:t>声窗；制定噪声跟踪监测计划并开展</w:t>
            </w:r>
            <w:r>
              <w:rPr>
                <w:spacing w:val="4"/>
              </w:rPr>
              <w:t xml:space="preserve"> </w:t>
            </w:r>
            <w:r>
              <w:rPr>
                <w:spacing w:val="-9"/>
              </w:rPr>
              <w:t>监测。</w:t>
            </w:r>
          </w:p>
        </w:tc>
        <w:tc>
          <w:tcPr>
            <w:tcW w:w="2649" w:type="dxa"/>
            <w:vAlign w:val="top"/>
          </w:tcPr>
          <w:p>
            <w:pPr>
              <w:pStyle w:val="6"/>
              <w:spacing w:before="75" w:line="221" w:lineRule="auto"/>
              <w:ind w:left="114"/>
            </w:pPr>
            <w:r>
              <w:rPr>
                <w:spacing w:val="-8"/>
              </w:rPr>
              <w:t>满足《地面交通噪声污染防</w:t>
            </w:r>
          </w:p>
          <w:p>
            <w:pPr>
              <w:pStyle w:val="6"/>
              <w:spacing w:before="69" w:line="245" w:lineRule="auto"/>
              <w:ind w:left="460" w:right="110" w:hanging="331"/>
            </w:pPr>
            <w:r>
              <w:rPr>
                <w:spacing w:val="-1"/>
              </w:rPr>
              <w:t>治技术政策》</w:t>
            </w:r>
            <w:r>
              <w:rPr>
                <w:rFonts w:ascii="Times New Roman" w:hAnsi="Times New Roman" w:eastAsia="Times New Roman" w:cs="Times New Roman"/>
                <w:spacing w:val="-1"/>
              </w:rPr>
              <w:t>(</w:t>
            </w:r>
            <w:r>
              <w:rPr>
                <w:spacing w:val="-1"/>
              </w:rPr>
              <w:t>环发</w:t>
            </w:r>
            <w:r>
              <w:rPr>
                <w:rFonts w:ascii="Times New Roman" w:hAnsi="Times New Roman" w:eastAsia="Times New Roman" w:cs="Times New Roman"/>
                <w:spacing w:val="-1"/>
              </w:rPr>
              <w:t>[2010]7</w:t>
            </w:r>
            <w:r>
              <w:rPr>
                <w:rFonts w:ascii="Times New Roman" w:hAnsi="Times New Roman" w:eastAsia="Times New Roman" w:cs="Times New Roman"/>
                <w:spacing w:val="4"/>
              </w:rPr>
              <w:t xml:space="preserve"> </w:t>
            </w:r>
            <w:r>
              <w:rPr>
                <w:spacing w:val="-2"/>
              </w:rPr>
              <w:t>号</w:t>
            </w:r>
            <w:r>
              <w:rPr>
                <w:rFonts w:ascii="Times New Roman" w:hAnsi="Times New Roman" w:eastAsia="Times New Roman" w:cs="Times New Roman"/>
                <w:spacing w:val="-2"/>
              </w:rPr>
              <w:t>)</w:t>
            </w:r>
            <w:r>
              <w:rPr>
                <w:spacing w:val="-2"/>
              </w:rPr>
              <w:t>等的相关要求。</w:t>
            </w:r>
          </w:p>
        </w:tc>
        <w:tc>
          <w:tcPr>
            <w:tcW w:w="1125" w:type="dxa"/>
            <w:vAlign w:val="top"/>
          </w:tcPr>
          <w:p>
            <w:pPr>
              <w:pStyle w:val="6"/>
              <w:spacing w:before="76" w:line="257" w:lineRule="auto"/>
              <w:ind w:left="146" w:right="138" w:firstLine="108"/>
              <w:jc w:val="both"/>
            </w:pPr>
            <w:r>
              <w:rPr>
                <w:spacing w:val="-3"/>
              </w:rPr>
              <w:t>工程实</w:t>
            </w:r>
            <w:r>
              <w:t xml:space="preserve">  </w:t>
            </w:r>
            <w:r>
              <w:rPr>
                <w:spacing w:val="-2"/>
              </w:rPr>
              <w:t>物，验收</w:t>
            </w:r>
            <w:r>
              <w:rPr>
                <w:spacing w:val="1"/>
              </w:rPr>
              <w:t xml:space="preserve"> </w:t>
            </w:r>
            <w:r>
              <w:rPr>
                <w:spacing w:val="-2"/>
              </w:rPr>
              <w:t>监测报告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729" w:type="dxa"/>
            <w:vAlign w:val="top"/>
          </w:tcPr>
          <w:p>
            <w:pPr>
              <w:pStyle w:val="6"/>
              <w:spacing w:before="237" w:line="222" w:lineRule="auto"/>
              <w:ind w:left="159"/>
            </w:pPr>
            <w:r>
              <w:rPr>
                <w:spacing w:val="-2"/>
              </w:rPr>
              <w:t>地表</w:t>
            </w:r>
          </w:p>
          <w:p>
            <w:pPr>
              <w:pStyle w:val="6"/>
              <w:spacing w:before="66" w:line="221" w:lineRule="auto"/>
              <w:ind w:left="267"/>
            </w:pPr>
            <w:r>
              <w:t>水</w:t>
            </w:r>
          </w:p>
        </w:tc>
        <w:tc>
          <w:tcPr>
            <w:tcW w:w="835" w:type="dxa"/>
            <w:vAlign w:val="top"/>
          </w:tcPr>
          <w:p>
            <w:pPr>
              <w:pStyle w:val="6"/>
              <w:spacing w:before="238" w:line="221" w:lineRule="auto"/>
              <w:ind w:left="210"/>
            </w:pPr>
            <w:r>
              <w:rPr>
                <w:spacing w:val="-2"/>
              </w:rPr>
              <w:t>运营</w:t>
            </w:r>
          </w:p>
          <w:p>
            <w:pPr>
              <w:pStyle w:val="6"/>
              <w:spacing w:before="67" w:line="221" w:lineRule="auto"/>
              <w:ind w:left="315"/>
            </w:pPr>
            <w:r>
              <w:t>期</w:t>
            </w:r>
          </w:p>
        </w:tc>
        <w:tc>
          <w:tcPr>
            <w:tcW w:w="3584" w:type="dxa"/>
            <w:vAlign w:val="top"/>
          </w:tcPr>
          <w:p>
            <w:pPr>
              <w:pStyle w:val="6"/>
              <w:spacing w:before="237" w:line="251" w:lineRule="auto"/>
              <w:ind w:left="111" w:right="100"/>
            </w:pPr>
            <w:r>
              <w:t>加强路面桥面清理；桥梁设置防撞护</w:t>
            </w:r>
            <w:r>
              <w:rPr>
                <w:spacing w:val="5"/>
              </w:rPr>
              <w:t xml:space="preserve"> </w:t>
            </w:r>
            <w:r>
              <w:rPr>
                <w:spacing w:val="-14"/>
              </w:rPr>
              <w:t>栏；</w:t>
            </w:r>
          </w:p>
        </w:tc>
        <w:tc>
          <w:tcPr>
            <w:tcW w:w="2649" w:type="dxa"/>
            <w:vAlign w:val="top"/>
          </w:tcPr>
          <w:p>
            <w:pPr>
              <w:pStyle w:val="6"/>
              <w:spacing w:before="237" w:line="320" w:lineRule="exact"/>
              <w:ind w:left="700"/>
            </w:pPr>
            <w:r>
              <w:rPr>
                <w:spacing w:val="-1"/>
                <w:position w:val="7"/>
              </w:rPr>
              <w:t>满足环评环保</w:t>
            </w:r>
          </w:p>
          <w:p>
            <w:pPr>
              <w:pStyle w:val="6"/>
              <w:spacing w:line="221" w:lineRule="auto"/>
              <w:ind w:left="805"/>
            </w:pPr>
            <w:r>
              <w:rPr>
                <w:spacing w:val="-5"/>
              </w:rPr>
              <w:t>措施要求。</w:t>
            </w:r>
          </w:p>
        </w:tc>
        <w:tc>
          <w:tcPr>
            <w:tcW w:w="1125" w:type="dxa"/>
            <w:vAlign w:val="top"/>
          </w:tcPr>
          <w:p>
            <w:pPr>
              <w:pStyle w:val="6"/>
              <w:spacing w:before="76" w:line="257" w:lineRule="auto"/>
              <w:ind w:left="146" w:right="138" w:firstLine="108"/>
              <w:jc w:val="both"/>
            </w:pPr>
            <w:r>
              <w:rPr>
                <w:spacing w:val="-3"/>
              </w:rPr>
              <w:t>工程实</w:t>
            </w:r>
            <w:r>
              <w:t xml:space="preserve">  </w:t>
            </w:r>
            <w:r>
              <w:rPr>
                <w:spacing w:val="-2"/>
              </w:rPr>
              <w:t>物，验收</w:t>
            </w:r>
            <w:r>
              <w:rPr>
                <w:spacing w:val="1"/>
              </w:rPr>
              <w:t xml:space="preserve"> </w:t>
            </w:r>
            <w:r>
              <w:rPr>
                <w:spacing w:val="-2"/>
              </w:rPr>
              <w:t>监测报告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729" w:type="dxa"/>
            <w:vAlign w:val="top"/>
          </w:tcPr>
          <w:p>
            <w:pPr>
              <w:pStyle w:val="6"/>
              <w:spacing w:before="238" w:line="221" w:lineRule="auto"/>
              <w:ind w:left="161"/>
            </w:pPr>
            <w:r>
              <w:rPr>
                <w:spacing w:val="-3"/>
              </w:rPr>
              <w:t>大气</w:t>
            </w:r>
          </w:p>
        </w:tc>
        <w:tc>
          <w:tcPr>
            <w:tcW w:w="835" w:type="dxa"/>
            <w:vAlign w:val="top"/>
          </w:tcPr>
          <w:p>
            <w:pPr>
              <w:pStyle w:val="6"/>
              <w:spacing w:before="80" w:line="221" w:lineRule="auto"/>
              <w:ind w:left="210"/>
            </w:pPr>
            <w:r>
              <w:rPr>
                <w:spacing w:val="-2"/>
              </w:rPr>
              <w:t>运营</w:t>
            </w:r>
          </w:p>
          <w:p>
            <w:pPr>
              <w:pStyle w:val="6"/>
              <w:spacing w:before="67" w:line="207" w:lineRule="auto"/>
              <w:ind w:left="315"/>
            </w:pPr>
            <w:r>
              <w:t>期</w:t>
            </w:r>
          </w:p>
        </w:tc>
        <w:tc>
          <w:tcPr>
            <w:tcW w:w="3584" w:type="dxa"/>
            <w:vAlign w:val="top"/>
          </w:tcPr>
          <w:p>
            <w:pPr>
              <w:pStyle w:val="6"/>
              <w:spacing w:before="238" w:line="221" w:lineRule="auto"/>
              <w:ind w:left="111"/>
            </w:pPr>
            <w:r>
              <w:rPr>
                <w:spacing w:val="-5"/>
              </w:rPr>
              <w:t>加强路面养护；</w:t>
            </w:r>
          </w:p>
        </w:tc>
        <w:tc>
          <w:tcPr>
            <w:tcW w:w="2649" w:type="dxa"/>
            <w:vAlign w:val="top"/>
          </w:tcPr>
          <w:p>
            <w:pPr>
              <w:pStyle w:val="6"/>
              <w:spacing w:before="79" w:line="244" w:lineRule="auto"/>
              <w:ind w:left="114" w:right="26"/>
            </w:pPr>
            <w:r>
              <w:rPr>
                <w:spacing w:val="-8"/>
              </w:rPr>
              <w:t xml:space="preserve">满足《大气污染物综合排放 </w:t>
            </w:r>
            <w:r>
              <w:rPr>
                <w:spacing w:val="-10"/>
              </w:rPr>
              <w:t>标准》（</w:t>
            </w:r>
            <w:r>
              <w:rPr>
                <w:rFonts w:ascii="Times New Roman" w:hAnsi="Times New Roman" w:eastAsia="Times New Roman" w:cs="Times New Roman"/>
                <w:spacing w:val="-10"/>
              </w:rPr>
              <w:t>GB</w:t>
            </w:r>
            <w:r>
              <w:rPr>
                <w:rFonts w:ascii="Times New Roman" w:hAnsi="Times New Roman" w:eastAsia="Times New Roman" w:cs="Times New Roman"/>
                <w:spacing w:val="37"/>
                <w:w w:val="101"/>
              </w:rPr>
              <w:t xml:space="preserve"> </w:t>
            </w:r>
            <w:r>
              <w:rPr>
                <w:rFonts w:ascii="Times New Roman" w:hAnsi="Times New Roman" w:eastAsia="Times New Roman" w:cs="Times New Roman"/>
                <w:spacing w:val="-10"/>
              </w:rPr>
              <w:t>16297-</w:t>
            </w:r>
            <w:r>
              <w:rPr>
                <w:rFonts w:ascii="Times New Roman" w:hAnsi="Times New Roman" w:eastAsia="Times New Roman" w:cs="Times New Roman"/>
                <w:spacing w:val="-29"/>
              </w:rPr>
              <w:t xml:space="preserve"> </w:t>
            </w:r>
            <w:r>
              <w:rPr>
                <w:rFonts w:ascii="Times New Roman" w:hAnsi="Times New Roman" w:eastAsia="Times New Roman" w:cs="Times New Roman"/>
                <w:spacing w:val="-10"/>
              </w:rPr>
              <w:t>1996</w:t>
            </w:r>
            <w:r>
              <w:rPr>
                <w:spacing w:val="-10"/>
              </w:rPr>
              <w:t>）。</w:t>
            </w:r>
          </w:p>
        </w:tc>
        <w:tc>
          <w:tcPr>
            <w:tcW w:w="1125" w:type="dxa"/>
            <w:vAlign w:val="top"/>
          </w:tcPr>
          <w:p>
            <w:pPr>
              <w:pStyle w:val="6"/>
              <w:spacing w:before="79" w:line="244" w:lineRule="auto"/>
              <w:ind w:left="356" w:right="138" w:hanging="210"/>
            </w:pPr>
            <w:r>
              <w:rPr>
                <w:spacing w:val="-2"/>
              </w:rPr>
              <w:t>验收调查</w:t>
            </w:r>
            <w:r>
              <w:rPr>
                <w:spacing w:val="2"/>
              </w:rPr>
              <w:t xml:space="preserve"> </w:t>
            </w:r>
            <w:r>
              <w:rPr>
                <w:spacing w:val="-2"/>
              </w:rPr>
              <w:t>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729" w:type="dxa"/>
            <w:vAlign w:val="top"/>
          </w:tcPr>
          <w:p>
            <w:pPr>
              <w:pStyle w:val="6"/>
              <w:spacing w:before="78" w:line="321" w:lineRule="exact"/>
              <w:ind w:left="177"/>
            </w:pPr>
            <w:r>
              <w:rPr>
                <w:spacing w:val="-6"/>
                <w:position w:val="8"/>
              </w:rPr>
              <w:t>固体</w:t>
            </w:r>
          </w:p>
          <w:p>
            <w:pPr>
              <w:pStyle w:val="6"/>
              <w:spacing w:line="206" w:lineRule="auto"/>
              <w:ind w:left="158"/>
            </w:pPr>
            <w:r>
              <w:rPr>
                <w:spacing w:val="-2"/>
              </w:rPr>
              <w:t>废物</w:t>
            </w:r>
          </w:p>
        </w:tc>
        <w:tc>
          <w:tcPr>
            <w:tcW w:w="835" w:type="dxa"/>
            <w:vAlign w:val="top"/>
          </w:tcPr>
          <w:p>
            <w:pPr>
              <w:pStyle w:val="6"/>
              <w:spacing w:before="78" w:line="221" w:lineRule="auto"/>
              <w:ind w:left="210"/>
            </w:pPr>
            <w:r>
              <w:rPr>
                <w:spacing w:val="-2"/>
              </w:rPr>
              <w:t>运营</w:t>
            </w:r>
          </w:p>
          <w:p>
            <w:pPr>
              <w:pStyle w:val="6"/>
              <w:spacing w:before="69" w:line="207" w:lineRule="auto"/>
              <w:ind w:left="315"/>
            </w:pPr>
            <w:r>
              <w:t>期</w:t>
            </w:r>
          </w:p>
        </w:tc>
        <w:tc>
          <w:tcPr>
            <w:tcW w:w="3584" w:type="dxa"/>
            <w:vAlign w:val="top"/>
          </w:tcPr>
          <w:p>
            <w:pPr>
              <w:pStyle w:val="6"/>
              <w:spacing w:before="77" w:line="245" w:lineRule="auto"/>
              <w:ind w:left="115" w:right="100" w:hanging="4"/>
            </w:pPr>
            <w:r>
              <w:t>加强公路养护垃圾及沿线生活垃圾的</w:t>
            </w:r>
            <w:r>
              <w:rPr>
                <w:spacing w:val="5"/>
              </w:rPr>
              <w:t xml:space="preserve"> </w:t>
            </w:r>
            <w:r>
              <w:rPr>
                <w:spacing w:val="-9"/>
              </w:rPr>
              <w:t>处置。</w:t>
            </w:r>
          </w:p>
        </w:tc>
        <w:tc>
          <w:tcPr>
            <w:tcW w:w="2649" w:type="dxa"/>
            <w:vAlign w:val="top"/>
          </w:tcPr>
          <w:p>
            <w:pPr>
              <w:pStyle w:val="6"/>
              <w:spacing w:before="238" w:line="221" w:lineRule="auto"/>
              <w:ind w:left="747"/>
              <w:rPr>
                <w:rFonts w:ascii="Times New Roman" w:hAnsi="Times New Roman" w:eastAsia="Times New Roman" w:cs="Times New Roman"/>
              </w:rPr>
            </w:pPr>
            <w:r>
              <w:rPr>
                <w:spacing w:val="-4"/>
              </w:rPr>
              <w:t>处理率</w:t>
            </w:r>
            <w:r>
              <w:rPr>
                <w:spacing w:val="-26"/>
              </w:rPr>
              <w:t xml:space="preserve"> </w:t>
            </w:r>
            <w:r>
              <w:rPr>
                <w:rFonts w:ascii="Times New Roman" w:hAnsi="Times New Roman" w:eastAsia="Times New Roman" w:cs="Times New Roman"/>
                <w:spacing w:val="-4"/>
              </w:rPr>
              <w:t>100%</w:t>
            </w:r>
          </w:p>
        </w:tc>
        <w:tc>
          <w:tcPr>
            <w:tcW w:w="1125" w:type="dxa"/>
            <w:vAlign w:val="top"/>
          </w:tcPr>
          <w:p>
            <w:pPr>
              <w:pStyle w:val="6"/>
              <w:spacing w:before="77" w:line="245" w:lineRule="auto"/>
              <w:ind w:left="356" w:right="138" w:hanging="210"/>
            </w:pPr>
            <w:r>
              <w:rPr>
                <w:spacing w:val="-2"/>
              </w:rPr>
              <w:t>验收调查</w:t>
            </w:r>
            <w:r>
              <w:rPr>
                <w:spacing w:val="2"/>
              </w:rPr>
              <w:t xml:space="preserve"> </w:t>
            </w:r>
            <w:r>
              <w:rPr>
                <w:spacing w:val="-2"/>
              </w:rPr>
              <w:t>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6" w:hRule="atLeast"/>
        </w:trPr>
        <w:tc>
          <w:tcPr>
            <w:tcW w:w="729" w:type="dxa"/>
            <w:vAlign w:val="top"/>
          </w:tcPr>
          <w:p>
            <w:pPr>
              <w:spacing w:line="310" w:lineRule="auto"/>
              <w:rPr>
                <w:rFonts w:ascii="Arial"/>
                <w:sz w:val="21"/>
              </w:rPr>
            </w:pPr>
          </w:p>
          <w:p>
            <w:pPr>
              <w:spacing w:line="311" w:lineRule="auto"/>
              <w:rPr>
                <w:rFonts w:ascii="Arial"/>
                <w:sz w:val="21"/>
              </w:rPr>
            </w:pPr>
          </w:p>
          <w:p>
            <w:pPr>
              <w:pStyle w:val="6"/>
              <w:spacing w:before="68" w:line="314" w:lineRule="exact"/>
              <w:ind w:left="159"/>
            </w:pPr>
            <w:r>
              <w:rPr>
                <w:spacing w:val="-2"/>
                <w:position w:val="7"/>
              </w:rPr>
              <w:t>环境</w:t>
            </w:r>
          </w:p>
          <w:p>
            <w:pPr>
              <w:pStyle w:val="6"/>
              <w:spacing w:line="221" w:lineRule="auto"/>
              <w:ind w:left="160"/>
            </w:pPr>
            <w:r>
              <w:rPr>
                <w:spacing w:val="-2"/>
              </w:rPr>
              <w:t>风险</w:t>
            </w:r>
          </w:p>
        </w:tc>
        <w:tc>
          <w:tcPr>
            <w:tcW w:w="835" w:type="dxa"/>
            <w:vAlign w:val="top"/>
          </w:tcPr>
          <w:p>
            <w:pPr>
              <w:spacing w:line="320" w:lineRule="auto"/>
              <w:rPr>
                <w:rFonts w:ascii="Arial"/>
                <w:sz w:val="21"/>
              </w:rPr>
            </w:pPr>
          </w:p>
          <w:p>
            <w:pPr>
              <w:spacing w:line="320" w:lineRule="auto"/>
              <w:rPr>
                <w:rFonts w:ascii="Arial"/>
                <w:sz w:val="21"/>
              </w:rPr>
            </w:pPr>
          </w:p>
          <w:p>
            <w:pPr>
              <w:pStyle w:val="6"/>
              <w:spacing w:before="68" w:line="221" w:lineRule="auto"/>
              <w:ind w:left="210"/>
            </w:pPr>
            <w:r>
              <w:rPr>
                <w:spacing w:val="-2"/>
              </w:rPr>
              <w:t>运营</w:t>
            </w:r>
          </w:p>
          <w:p>
            <w:pPr>
              <w:pStyle w:val="6"/>
              <w:spacing w:before="67" w:line="221" w:lineRule="auto"/>
              <w:ind w:left="315"/>
            </w:pPr>
            <w:r>
              <w:t>期</w:t>
            </w:r>
          </w:p>
        </w:tc>
        <w:tc>
          <w:tcPr>
            <w:tcW w:w="3584" w:type="dxa"/>
            <w:vAlign w:val="top"/>
          </w:tcPr>
          <w:p>
            <w:pPr>
              <w:pStyle w:val="6"/>
              <w:spacing w:before="31" w:line="231" w:lineRule="auto"/>
              <w:ind w:left="111" w:right="100" w:firstLine="17"/>
            </w:pPr>
            <w:r>
              <w:rPr>
                <w:rFonts w:ascii="Times New Roman" w:hAnsi="Times New Roman" w:eastAsia="Times New Roman" w:cs="Times New Roman"/>
                <w:spacing w:val="-7"/>
              </w:rPr>
              <w:t>1</w:t>
            </w:r>
            <w:r>
              <w:rPr>
                <w:spacing w:val="-7"/>
              </w:rPr>
              <w:t>、加强车辆安全检查，减少危化品车</w:t>
            </w:r>
            <w:r>
              <w:rPr>
                <w:spacing w:val="3"/>
              </w:rPr>
              <w:t xml:space="preserve"> </w:t>
            </w:r>
            <w:r>
              <w:rPr>
                <w:spacing w:val="-1"/>
              </w:rPr>
              <w:t>辆通行。</w:t>
            </w:r>
          </w:p>
          <w:p>
            <w:pPr>
              <w:pStyle w:val="6"/>
              <w:spacing w:before="21" w:line="233" w:lineRule="auto"/>
              <w:ind w:left="114" w:right="100" w:hanging="6"/>
              <w:jc w:val="both"/>
            </w:pPr>
            <w:r>
              <w:rPr>
                <w:rFonts w:ascii="Times New Roman" w:hAnsi="Times New Roman" w:eastAsia="Times New Roman" w:cs="Times New Roman"/>
                <w:spacing w:val="-7"/>
              </w:rPr>
              <w:t>2</w:t>
            </w:r>
            <w:r>
              <w:rPr>
                <w:spacing w:val="-7"/>
              </w:rPr>
              <w:t>、采取应急措施，制订应急预案，配</w:t>
            </w:r>
            <w:r>
              <w:rPr>
                <w:spacing w:val="12"/>
              </w:rPr>
              <w:t xml:space="preserve"> </w:t>
            </w:r>
            <w:r>
              <w:rPr>
                <w:spacing w:val="-10"/>
              </w:rPr>
              <w:t>备应急设备器材、物资，</w:t>
            </w:r>
            <w:r>
              <w:rPr>
                <w:spacing w:val="57"/>
              </w:rPr>
              <w:t xml:space="preserve"> </w:t>
            </w:r>
            <w:r>
              <w:rPr>
                <w:spacing w:val="-10"/>
              </w:rPr>
              <w:t>设立应急机</w:t>
            </w:r>
            <w:r>
              <w:t xml:space="preserve"> </w:t>
            </w:r>
            <w:r>
              <w:rPr>
                <w:spacing w:val="-3"/>
              </w:rPr>
              <w:t>构等。</w:t>
            </w:r>
          </w:p>
          <w:p>
            <w:pPr>
              <w:pStyle w:val="6"/>
              <w:spacing w:before="22" w:line="224" w:lineRule="auto"/>
              <w:ind w:left="118" w:right="100" w:hanging="6"/>
            </w:pPr>
            <w:r>
              <w:rPr>
                <w:rFonts w:ascii="Times New Roman" w:hAnsi="Times New Roman" w:eastAsia="Times New Roman" w:cs="Times New Roman"/>
                <w:spacing w:val="-6"/>
              </w:rPr>
              <w:t>3</w:t>
            </w:r>
            <w:r>
              <w:rPr>
                <w:spacing w:val="-6"/>
              </w:rPr>
              <w:t>、设置警示牌、限速牌、禁止超车标</w:t>
            </w:r>
            <w:r>
              <w:rPr>
                <w:spacing w:val="2"/>
              </w:rPr>
              <w:t xml:space="preserve"> </w:t>
            </w:r>
            <w:r>
              <w:rPr>
                <w:spacing w:val="-2"/>
              </w:rPr>
              <w:t>志及告知牌。</w:t>
            </w:r>
          </w:p>
        </w:tc>
        <w:tc>
          <w:tcPr>
            <w:tcW w:w="2649" w:type="dxa"/>
            <w:vAlign w:val="top"/>
          </w:tcPr>
          <w:p>
            <w:pPr>
              <w:spacing w:line="320" w:lineRule="auto"/>
              <w:rPr>
                <w:rFonts w:ascii="Arial"/>
                <w:sz w:val="21"/>
              </w:rPr>
            </w:pPr>
          </w:p>
          <w:p>
            <w:pPr>
              <w:spacing w:line="321" w:lineRule="auto"/>
              <w:rPr>
                <w:rFonts w:ascii="Arial"/>
                <w:sz w:val="21"/>
              </w:rPr>
            </w:pPr>
          </w:p>
          <w:p>
            <w:pPr>
              <w:pStyle w:val="6"/>
              <w:spacing w:before="68" w:line="251" w:lineRule="auto"/>
              <w:ind w:left="1120" w:right="163" w:hanging="946"/>
            </w:pPr>
            <w:r>
              <w:rPr>
                <w:spacing w:val="-1"/>
              </w:rPr>
              <w:t>满足环评及应急预案措施</w:t>
            </w:r>
            <w:r>
              <w:rPr>
                <w:spacing w:val="5"/>
              </w:rPr>
              <w:t xml:space="preserve"> </w:t>
            </w:r>
            <w:r>
              <w:rPr>
                <w:spacing w:val="-2"/>
              </w:rPr>
              <w:t>要求</w:t>
            </w:r>
          </w:p>
        </w:tc>
        <w:tc>
          <w:tcPr>
            <w:tcW w:w="1125" w:type="dxa"/>
            <w:vAlign w:val="top"/>
          </w:tcPr>
          <w:p>
            <w:pPr>
              <w:spacing w:line="323" w:lineRule="auto"/>
              <w:rPr>
                <w:rFonts w:ascii="Arial"/>
                <w:sz w:val="21"/>
              </w:rPr>
            </w:pPr>
          </w:p>
          <w:p>
            <w:pPr>
              <w:pStyle w:val="6"/>
              <w:spacing w:before="68" w:line="221" w:lineRule="auto"/>
              <w:ind w:left="252"/>
            </w:pPr>
            <w:r>
              <w:rPr>
                <w:spacing w:val="-2"/>
              </w:rPr>
              <w:t>应急预</w:t>
            </w:r>
          </w:p>
          <w:p>
            <w:pPr>
              <w:pStyle w:val="6"/>
              <w:spacing w:before="68" w:line="221" w:lineRule="auto"/>
              <w:ind w:left="148"/>
            </w:pPr>
            <w:r>
              <w:rPr>
                <w:spacing w:val="-2"/>
              </w:rPr>
              <w:t>案，工程</w:t>
            </w:r>
          </w:p>
          <w:p>
            <w:pPr>
              <w:pStyle w:val="6"/>
              <w:spacing w:before="67" w:line="221" w:lineRule="auto"/>
              <w:ind w:left="152"/>
            </w:pPr>
            <w:r>
              <w:rPr>
                <w:spacing w:val="-25"/>
                <w:w w:val="99"/>
              </w:rPr>
              <w:t>实物，</w:t>
            </w:r>
            <w:r>
              <w:t xml:space="preserve"> </w:t>
            </w:r>
            <w:r>
              <w:rPr>
                <w:spacing w:val="-25"/>
                <w:w w:val="99"/>
              </w:rPr>
              <w:t>监</w:t>
            </w:r>
          </w:p>
          <w:p>
            <w:pPr>
              <w:pStyle w:val="6"/>
              <w:spacing w:before="70" w:line="219" w:lineRule="auto"/>
              <w:ind w:left="255"/>
            </w:pPr>
            <w:r>
              <w:rPr>
                <w:spacing w:val="-2"/>
              </w:rPr>
              <w:t>理报告</w:t>
            </w:r>
          </w:p>
        </w:tc>
      </w:tr>
    </w:tbl>
    <w:p>
      <w:pPr>
        <w:pStyle w:val="2"/>
      </w:pPr>
    </w:p>
    <w:p>
      <w:pPr>
        <w:sectPr>
          <w:headerReference r:id="rId357" w:type="default"/>
          <w:footerReference r:id="rId358" w:type="default"/>
          <w:pgSz w:w="11907" w:h="16839"/>
          <w:pgMar w:top="1118" w:right="1488" w:bottom="1151" w:left="1490" w:header="879" w:footer="990" w:gutter="0"/>
          <w:cols w:space="720" w:num="1"/>
        </w:sectPr>
      </w:pPr>
    </w:p>
    <w:p>
      <w:pPr>
        <w:pStyle w:val="2"/>
        <w:spacing w:line="271" w:lineRule="auto"/>
      </w:pPr>
    </w:p>
    <w:p>
      <w:pPr>
        <w:spacing w:before="91" w:line="539" w:lineRule="exact"/>
        <w:ind w:left="165"/>
        <w:rPr>
          <w:rFonts w:ascii="宋体" w:hAnsi="宋体" w:eastAsia="宋体" w:cs="宋体"/>
          <w:sz w:val="28"/>
          <w:szCs w:val="28"/>
        </w:rPr>
      </w:pPr>
      <w:bookmarkStart w:id="55" w:name="bookmark48"/>
      <w:bookmarkEnd w:id="55"/>
      <w:bookmarkStart w:id="56" w:name="bookmark49"/>
      <w:bookmarkEnd w:id="56"/>
      <w:r>
        <w:rPr>
          <w:rFonts w:ascii="Times New Roman" w:hAnsi="Times New Roman" w:eastAsia="Times New Roman" w:cs="Times New Roman"/>
          <w:b/>
          <w:bCs/>
          <w:spacing w:val="-1"/>
          <w:position w:val="19"/>
          <w:sz w:val="28"/>
          <w:szCs w:val="28"/>
        </w:rPr>
        <w:t xml:space="preserve">8 </w:t>
      </w:r>
      <w:r>
        <w:rPr>
          <w:rFonts w:ascii="宋体" w:hAnsi="宋体" w:eastAsia="宋体" w:cs="宋体"/>
          <w:spacing w:val="-1"/>
          <w:position w:val="19"/>
          <w:sz w:val="28"/>
          <w:szCs w:val="28"/>
          <w14:textOutline w14:w="5094" w14:cap="flat" w14:cmpd="sng">
            <w14:solidFill>
              <w14:srgbClr w14:val="000000"/>
            </w14:solidFill>
            <w14:prstDash w14:val="solid"/>
            <w14:miter w14:val="0"/>
          </w14:textOutline>
        </w:rPr>
        <w:t>环境经济损益分析</w:t>
      </w:r>
    </w:p>
    <w:p>
      <w:pPr>
        <w:spacing w:line="219" w:lineRule="auto"/>
        <w:ind w:left="164"/>
        <w:rPr>
          <w:rFonts w:ascii="宋体" w:hAnsi="宋体" w:eastAsia="宋体" w:cs="宋体"/>
          <w:sz w:val="24"/>
          <w:szCs w:val="24"/>
        </w:rPr>
      </w:pPr>
      <w:r>
        <w:rPr>
          <w:rFonts w:ascii="Times New Roman" w:hAnsi="Times New Roman" w:eastAsia="Times New Roman" w:cs="Times New Roman"/>
          <w:b/>
          <w:bCs/>
          <w:spacing w:val="-1"/>
          <w:sz w:val="24"/>
          <w:szCs w:val="24"/>
        </w:rPr>
        <w:t xml:space="preserve">8.1 </w:t>
      </w:r>
      <w:r>
        <w:rPr>
          <w:rFonts w:ascii="宋体" w:hAnsi="宋体" w:eastAsia="宋体" w:cs="宋体"/>
          <w:spacing w:val="-1"/>
          <w:sz w:val="24"/>
          <w:szCs w:val="24"/>
          <w14:textOutline w14:w="4354" w14:cap="flat" w14:cmpd="sng">
            <w14:solidFill>
              <w14:srgbClr w14:val="000000"/>
            </w14:solidFill>
            <w14:prstDash w14:val="solid"/>
            <w14:miter w14:val="0"/>
          </w14:textOutline>
        </w:rPr>
        <w:t>工程产生的效益分析</w:t>
      </w:r>
    </w:p>
    <w:p>
      <w:pPr>
        <w:spacing w:before="180" w:line="220" w:lineRule="auto"/>
        <w:ind w:left="164"/>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8.1.1 </w:t>
      </w:r>
      <w:r>
        <w:rPr>
          <w:rFonts w:ascii="宋体" w:hAnsi="宋体" w:eastAsia="宋体" w:cs="宋体"/>
          <w:spacing w:val="-1"/>
          <w:sz w:val="24"/>
          <w:szCs w:val="24"/>
          <w14:textOutline w14:w="4354" w14:cap="flat" w14:cmpd="sng">
            <w14:solidFill>
              <w14:srgbClr w14:val="000000"/>
            </w14:solidFill>
            <w14:prstDash w14:val="solid"/>
            <w14:miter w14:val="0"/>
          </w14:textOutline>
        </w:rPr>
        <w:t>直接经济效益</w:t>
      </w:r>
    </w:p>
    <w:p>
      <w:pPr>
        <w:spacing w:before="181" w:line="468" w:lineRule="exact"/>
        <w:ind w:left="652"/>
        <w:rPr>
          <w:rFonts w:ascii="宋体" w:hAnsi="宋体" w:eastAsia="宋体" w:cs="宋体"/>
          <w:sz w:val="24"/>
          <w:szCs w:val="24"/>
        </w:rPr>
      </w:pPr>
      <w:r>
        <w:rPr>
          <w:rFonts w:ascii="宋体" w:hAnsi="宋体" w:eastAsia="宋体" w:cs="宋体"/>
          <w:spacing w:val="-7"/>
          <w:position w:val="17"/>
          <w:sz w:val="24"/>
          <w:szCs w:val="24"/>
        </w:rPr>
        <w:t>公路建设项目直接经济效益包括以下内容： 公路运输成本降低效益、运输时</w:t>
      </w:r>
    </w:p>
    <w:p>
      <w:pPr>
        <w:spacing w:line="219" w:lineRule="auto"/>
        <w:ind w:left="184"/>
        <w:rPr>
          <w:rFonts w:ascii="宋体" w:hAnsi="宋体" w:eastAsia="宋体" w:cs="宋体"/>
          <w:sz w:val="24"/>
          <w:szCs w:val="24"/>
        </w:rPr>
      </w:pPr>
      <w:r>
        <w:rPr>
          <w:rFonts w:ascii="宋体" w:hAnsi="宋体" w:eastAsia="宋体" w:cs="宋体"/>
          <w:spacing w:val="-3"/>
          <w:sz w:val="24"/>
          <w:szCs w:val="24"/>
        </w:rPr>
        <w:t>间节约效益、交通事故减少、老路减少拥挤而获得的效益。</w:t>
      </w:r>
    </w:p>
    <w:p>
      <w:pPr>
        <w:spacing w:before="180" w:line="219" w:lineRule="auto"/>
        <w:ind w:left="164"/>
        <w:outlineLvl w:val="1"/>
        <w:rPr>
          <w:rFonts w:ascii="宋体" w:hAnsi="宋体" w:eastAsia="宋体" w:cs="宋体"/>
          <w:sz w:val="24"/>
          <w:szCs w:val="24"/>
        </w:rPr>
      </w:pPr>
      <w:r>
        <w:rPr>
          <w:rFonts w:ascii="Times New Roman" w:hAnsi="Times New Roman" w:eastAsia="Times New Roman" w:cs="Times New Roman"/>
          <w:b/>
          <w:bCs/>
          <w:spacing w:val="-3"/>
          <w:sz w:val="24"/>
          <w:szCs w:val="24"/>
        </w:rPr>
        <w:t>8.1.2</w:t>
      </w:r>
      <w:r>
        <w:rPr>
          <w:rFonts w:ascii="Times New Roman" w:hAnsi="Times New Roman" w:eastAsia="Times New Roman" w:cs="Times New Roman"/>
          <w:b/>
          <w:bCs/>
          <w:spacing w:val="30"/>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间接社会效益</w:t>
      </w:r>
    </w:p>
    <w:p>
      <w:pPr>
        <w:spacing w:before="185" w:line="359" w:lineRule="auto"/>
        <w:ind w:left="164" w:right="91" w:firstLine="481"/>
        <w:jc w:val="both"/>
        <w:rPr>
          <w:rFonts w:ascii="宋体" w:hAnsi="宋体" w:eastAsia="宋体" w:cs="宋体"/>
          <w:sz w:val="24"/>
          <w:szCs w:val="24"/>
        </w:rPr>
      </w:pPr>
      <w:r>
        <w:rPr>
          <w:rFonts w:ascii="宋体" w:hAnsi="宋体" w:eastAsia="宋体" w:cs="宋体"/>
          <w:spacing w:val="4"/>
          <w:sz w:val="24"/>
          <w:szCs w:val="24"/>
        </w:rPr>
        <w:t>本项目产生的间接社会效益是多方面的，包括提高所在地区人民的生活水</w:t>
      </w:r>
      <w:r>
        <w:rPr>
          <w:rFonts w:ascii="宋体" w:hAnsi="宋体" w:eastAsia="宋体" w:cs="宋体"/>
          <w:spacing w:val="9"/>
          <w:sz w:val="24"/>
          <w:szCs w:val="24"/>
        </w:rPr>
        <w:t xml:space="preserve"> </w:t>
      </w:r>
      <w:r>
        <w:rPr>
          <w:rFonts w:ascii="宋体" w:hAnsi="宋体" w:eastAsia="宋体" w:cs="宋体"/>
          <w:spacing w:val="-8"/>
          <w:sz w:val="24"/>
          <w:szCs w:val="24"/>
        </w:rPr>
        <w:t>平、改善当地的社会经济环境和自然环境、增加就业机会、促进城镇化的发展等，</w:t>
      </w:r>
    </w:p>
    <w:p>
      <w:pPr>
        <w:spacing w:line="218" w:lineRule="auto"/>
        <w:ind w:left="166"/>
        <w:rPr>
          <w:rFonts w:ascii="宋体" w:hAnsi="宋体" w:eastAsia="宋体" w:cs="宋体"/>
          <w:sz w:val="24"/>
          <w:szCs w:val="24"/>
        </w:rPr>
      </w:pPr>
      <w:r>
        <w:rPr>
          <w:rFonts w:ascii="宋体" w:hAnsi="宋体" w:eastAsia="宋体" w:cs="宋体"/>
          <w:spacing w:val="-3"/>
          <w:sz w:val="24"/>
          <w:szCs w:val="24"/>
        </w:rPr>
        <w:t>这些效益难以用货币计量和定量评价。</w:t>
      </w:r>
    </w:p>
    <w:p>
      <w:pPr>
        <w:spacing w:before="182" w:line="218" w:lineRule="auto"/>
        <w:ind w:left="164"/>
        <w:outlineLvl w:val="1"/>
        <w:rPr>
          <w:rFonts w:ascii="宋体" w:hAnsi="宋体" w:eastAsia="宋体" w:cs="宋体"/>
          <w:sz w:val="24"/>
          <w:szCs w:val="24"/>
        </w:rPr>
      </w:pPr>
      <w:bookmarkStart w:id="57" w:name="bookmark50"/>
      <w:bookmarkEnd w:id="57"/>
      <w:r>
        <w:rPr>
          <w:rFonts w:ascii="Times New Roman" w:hAnsi="Times New Roman" w:eastAsia="Times New Roman" w:cs="Times New Roman"/>
          <w:b/>
          <w:bCs/>
          <w:spacing w:val="-1"/>
          <w:sz w:val="24"/>
          <w:szCs w:val="24"/>
        </w:rPr>
        <w:t xml:space="preserve">8.2 </w:t>
      </w:r>
      <w:r>
        <w:rPr>
          <w:rFonts w:ascii="宋体" w:hAnsi="宋体" w:eastAsia="宋体" w:cs="宋体"/>
          <w:spacing w:val="-1"/>
          <w:sz w:val="24"/>
          <w:szCs w:val="24"/>
          <w14:textOutline w14:w="4354" w14:cap="flat" w14:cmpd="sng">
            <w14:solidFill>
              <w14:srgbClr w14:val="000000"/>
            </w14:solidFill>
            <w14:prstDash w14:val="solid"/>
            <w14:miter w14:val="0"/>
          </w14:textOutline>
        </w:rPr>
        <w:t>环保投资估算</w:t>
      </w:r>
    </w:p>
    <w:p>
      <w:pPr>
        <w:spacing w:before="185" w:line="465" w:lineRule="exact"/>
        <w:ind w:left="645"/>
        <w:rPr>
          <w:rFonts w:ascii="Times New Roman" w:hAnsi="Times New Roman" w:eastAsia="Times New Roman" w:cs="Times New Roman"/>
          <w:sz w:val="24"/>
          <w:szCs w:val="24"/>
        </w:rPr>
      </w:pPr>
      <w:r>
        <w:rPr>
          <w:rFonts w:ascii="宋体" w:hAnsi="宋体" w:eastAsia="宋体" w:cs="宋体"/>
          <w:spacing w:val="2"/>
          <w:position w:val="17"/>
          <w:sz w:val="24"/>
          <w:szCs w:val="24"/>
        </w:rPr>
        <w:t xml:space="preserve">根据本报告拟定的环境保护对策措施，估算出本项目总的环保投资 </w:t>
      </w:r>
      <w:r>
        <w:rPr>
          <w:rFonts w:ascii="Times New Roman" w:hAnsi="Times New Roman" w:eastAsia="Times New Roman" w:cs="Times New Roman"/>
          <w:spacing w:val="2"/>
          <w:position w:val="17"/>
          <w:sz w:val="24"/>
          <w:szCs w:val="24"/>
        </w:rPr>
        <w:t>948.05</w:t>
      </w:r>
    </w:p>
    <w:p>
      <w:pPr>
        <w:spacing w:line="234" w:lineRule="auto"/>
        <w:ind w:left="171"/>
        <w:rPr>
          <w:rFonts w:ascii="宋体" w:hAnsi="宋体" w:eastAsia="宋体" w:cs="宋体"/>
          <w:sz w:val="24"/>
          <w:szCs w:val="24"/>
        </w:rPr>
      </w:pPr>
      <w:r>
        <w:rPr>
          <w:rFonts w:ascii="宋体" w:hAnsi="宋体" w:eastAsia="宋体" w:cs="宋体"/>
          <w:spacing w:val="-6"/>
          <w:sz w:val="24"/>
          <w:szCs w:val="24"/>
        </w:rPr>
        <w:t>万元。环保投资占工程总投资（</w:t>
      </w:r>
      <w:r>
        <w:rPr>
          <w:rFonts w:ascii="Times New Roman" w:hAnsi="Times New Roman" w:eastAsia="Times New Roman" w:cs="Times New Roman"/>
          <w:spacing w:val="-6"/>
          <w:sz w:val="24"/>
          <w:szCs w:val="24"/>
        </w:rPr>
        <w:t>7.1691</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亿元） 的比例约</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1.32%</w:t>
      </w:r>
      <w:r>
        <w:rPr>
          <w:rFonts w:ascii="宋体" w:hAnsi="宋体" w:eastAsia="宋体" w:cs="宋体"/>
          <w:spacing w:val="-7"/>
          <w:sz w:val="24"/>
          <w:szCs w:val="24"/>
        </w:rPr>
        <w:t>。如表</w:t>
      </w:r>
      <w:r>
        <w:rPr>
          <w:rFonts w:ascii="宋体" w:hAnsi="宋体" w:eastAsia="宋体" w:cs="宋体"/>
          <w:spacing w:val="-42"/>
          <w:sz w:val="24"/>
          <w:szCs w:val="24"/>
        </w:rPr>
        <w:t xml:space="preserve"> </w:t>
      </w:r>
      <w:r>
        <w:rPr>
          <w:rFonts w:ascii="Times New Roman" w:hAnsi="Times New Roman" w:eastAsia="Times New Roman" w:cs="Times New Roman"/>
          <w:spacing w:val="-7"/>
          <w:sz w:val="24"/>
          <w:szCs w:val="24"/>
        </w:rPr>
        <w:t>8.2-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所示。</w:t>
      </w:r>
    </w:p>
    <w:p>
      <w:pPr>
        <w:spacing w:before="164" w:line="218" w:lineRule="auto"/>
        <w:ind w:left="2718"/>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8.2-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本项目环保投资估算</w:t>
      </w:r>
    </w:p>
    <w:p>
      <w:pPr>
        <w:spacing w:line="146" w:lineRule="exact"/>
      </w:pPr>
    </w:p>
    <w:tbl>
      <w:tblPr>
        <w:tblStyle w:val="5"/>
        <w:tblW w:w="86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0"/>
        <w:gridCol w:w="1103"/>
        <w:gridCol w:w="2932"/>
        <w:gridCol w:w="763"/>
        <w:gridCol w:w="1269"/>
        <w:gridCol w:w="18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60" w:type="dxa"/>
            <w:vAlign w:val="top"/>
          </w:tcPr>
          <w:p>
            <w:pPr>
              <w:pStyle w:val="6"/>
              <w:spacing w:before="70" w:line="222" w:lineRule="auto"/>
              <w:ind w:left="134"/>
            </w:pPr>
            <w:r>
              <w:rPr>
                <w:spacing w:val="-4"/>
              </w:rPr>
              <w:t>阶段</w:t>
            </w:r>
          </w:p>
        </w:tc>
        <w:tc>
          <w:tcPr>
            <w:tcW w:w="1103" w:type="dxa"/>
            <w:vAlign w:val="top"/>
          </w:tcPr>
          <w:p>
            <w:pPr>
              <w:pStyle w:val="6"/>
              <w:spacing w:before="70" w:line="221" w:lineRule="auto"/>
              <w:ind w:left="135"/>
            </w:pPr>
            <w:r>
              <w:rPr>
                <w:spacing w:val="-2"/>
              </w:rPr>
              <w:t>环保项目</w:t>
            </w:r>
          </w:p>
        </w:tc>
        <w:tc>
          <w:tcPr>
            <w:tcW w:w="2932" w:type="dxa"/>
            <w:vAlign w:val="top"/>
          </w:tcPr>
          <w:p>
            <w:pPr>
              <w:pStyle w:val="6"/>
              <w:spacing w:before="69" w:line="221" w:lineRule="auto"/>
              <w:ind w:left="1051"/>
            </w:pPr>
            <w:r>
              <w:rPr>
                <w:spacing w:val="-2"/>
              </w:rPr>
              <w:t>措施内容</w:t>
            </w:r>
          </w:p>
        </w:tc>
        <w:tc>
          <w:tcPr>
            <w:tcW w:w="763" w:type="dxa"/>
            <w:vAlign w:val="top"/>
          </w:tcPr>
          <w:p>
            <w:pPr>
              <w:pStyle w:val="6"/>
              <w:spacing w:before="69" w:line="221" w:lineRule="auto"/>
              <w:ind w:left="178"/>
            </w:pPr>
            <w:r>
              <w:rPr>
                <w:spacing w:val="-2"/>
              </w:rPr>
              <w:t>数量</w:t>
            </w:r>
          </w:p>
        </w:tc>
        <w:tc>
          <w:tcPr>
            <w:tcW w:w="1269" w:type="dxa"/>
            <w:vAlign w:val="top"/>
          </w:tcPr>
          <w:p>
            <w:pPr>
              <w:pStyle w:val="6"/>
              <w:spacing w:before="70" w:line="214" w:lineRule="auto"/>
              <w:ind w:left="151"/>
              <w:rPr>
                <w:rFonts w:ascii="Times New Roman" w:hAnsi="Times New Roman" w:eastAsia="Times New Roman" w:cs="Times New Roman"/>
              </w:rPr>
            </w:pPr>
            <w:r>
              <w:rPr>
                <w:spacing w:val="-2"/>
              </w:rPr>
              <w:t>合计</w:t>
            </w:r>
            <w:r>
              <w:rPr>
                <w:rFonts w:ascii="Times New Roman" w:hAnsi="Times New Roman" w:eastAsia="Times New Roman" w:cs="Times New Roman"/>
                <w:spacing w:val="-2"/>
              </w:rPr>
              <w:t>(</w:t>
            </w:r>
            <w:r>
              <w:rPr>
                <w:spacing w:val="-2"/>
              </w:rPr>
              <w:t>万元</w:t>
            </w:r>
            <w:r>
              <w:rPr>
                <w:rFonts w:ascii="Times New Roman" w:hAnsi="Times New Roman" w:eastAsia="Times New Roman" w:cs="Times New Roman"/>
                <w:spacing w:val="-2"/>
              </w:rPr>
              <w:t>)</w:t>
            </w:r>
          </w:p>
        </w:tc>
        <w:tc>
          <w:tcPr>
            <w:tcW w:w="1885" w:type="dxa"/>
            <w:vAlign w:val="top"/>
          </w:tcPr>
          <w:p>
            <w:pPr>
              <w:pStyle w:val="6"/>
              <w:spacing w:before="70" w:line="222" w:lineRule="auto"/>
              <w:ind w:left="741"/>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23" w:lineRule="auto"/>
              <w:ind w:left="124"/>
            </w:pPr>
            <w:r>
              <w:rPr>
                <w:spacing w:val="-2"/>
              </w:rPr>
              <w:t>施工</w:t>
            </w:r>
          </w:p>
          <w:p>
            <w:pPr>
              <w:pStyle w:val="6"/>
              <w:spacing w:before="19" w:line="221" w:lineRule="auto"/>
              <w:ind w:left="231"/>
            </w:pPr>
            <w:r>
              <w:t>期</w:t>
            </w:r>
          </w:p>
        </w:tc>
        <w:tc>
          <w:tcPr>
            <w:tcW w:w="1103" w:type="dxa"/>
            <w:vMerge w:val="restart"/>
            <w:tcBorders>
              <w:bottom w:val="nil"/>
            </w:tcBorders>
            <w:vAlign w:val="top"/>
          </w:tcPr>
          <w:p>
            <w:pPr>
              <w:spacing w:line="256" w:lineRule="auto"/>
              <w:rPr>
                <w:rFonts w:ascii="Arial"/>
                <w:sz w:val="21"/>
              </w:rPr>
            </w:pPr>
          </w:p>
          <w:p>
            <w:pPr>
              <w:spacing w:line="256" w:lineRule="auto"/>
              <w:rPr>
                <w:rFonts w:ascii="Arial"/>
                <w:sz w:val="21"/>
              </w:rPr>
            </w:pPr>
          </w:p>
          <w:p>
            <w:pPr>
              <w:pStyle w:val="6"/>
              <w:spacing w:before="69" w:line="231" w:lineRule="auto"/>
              <w:ind w:left="241" w:right="128" w:hanging="104"/>
            </w:pPr>
            <w:r>
              <w:rPr>
                <w:spacing w:val="-3"/>
              </w:rPr>
              <w:t>水环境污</w:t>
            </w:r>
            <w:r>
              <w:rPr>
                <w:spacing w:val="2"/>
              </w:rPr>
              <w:t xml:space="preserve"> </w:t>
            </w:r>
            <w:r>
              <w:rPr>
                <w:spacing w:val="-2"/>
              </w:rPr>
              <w:t>染防治</w:t>
            </w:r>
          </w:p>
        </w:tc>
        <w:tc>
          <w:tcPr>
            <w:tcW w:w="2932" w:type="dxa"/>
            <w:vAlign w:val="top"/>
          </w:tcPr>
          <w:p>
            <w:pPr>
              <w:pStyle w:val="6"/>
              <w:spacing w:before="166" w:line="221" w:lineRule="auto"/>
              <w:ind w:left="209"/>
            </w:pPr>
            <w:r>
              <w:rPr>
                <w:spacing w:val="-1"/>
              </w:rPr>
              <w:t>堆场导流沟、物料覆盖设施</w:t>
            </w:r>
          </w:p>
        </w:tc>
        <w:tc>
          <w:tcPr>
            <w:tcW w:w="763" w:type="dxa"/>
            <w:vAlign w:val="top"/>
          </w:tcPr>
          <w:p>
            <w:pPr>
              <w:spacing w:before="201" w:line="233"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201" w:line="233" w:lineRule="auto"/>
              <w:ind w:left="6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85" w:type="dxa"/>
            <w:vAlign w:val="top"/>
          </w:tcPr>
          <w:p>
            <w:pPr>
              <w:pStyle w:val="6"/>
              <w:spacing w:before="29" w:line="224" w:lineRule="auto"/>
              <w:ind w:left="861" w:right="200" w:hanging="625"/>
            </w:pPr>
            <w:r>
              <w:rPr>
                <w:spacing w:val="-4"/>
              </w:rPr>
              <w:t>已计入主体工程</w:t>
            </w:r>
            <w:r>
              <w:t xml:space="preserve"> 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0" w:type="dxa"/>
            <w:vMerge w:val="continue"/>
            <w:tcBorders>
              <w:top w:val="nil"/>
              <w:bottom w:val="nil"/>
            </w:tcBorders>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2932" w:type="dxa"/>
            <w:vAlign w:val="top"/>
          </w:tcPr>
          <w:p>
            <w:pPr>
              <w:pStyle w:val="6"/>
              <w:spacing w:before="166" w:line="221" w:lineRule="auto"/>
              <w:ind w:left="742"/>
            </w:pPr>
            <w:r>
              <w:rPr>
                <w:spacing w:val="-2"/>
              </w:rPr>
              <w:t>雨水收集、处置</w:t>
            </w:r>
          </w:p>
        </w:tc>
        <w:tc>
          <w:tcPr>
            <w:tcW w:w="763" w:type="dxa"/>
            <w:vAlign w:val="top"/>
          </w:tcPr>
          <w:p>
            <w:pPr>
              <w:spacing w:before="206" w:line="187" w:lineRule="auto"/>
              <w:ind w:left="35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69" w:type="dxa"/>
            <w:vAlign w:val="top"/>
          </w:tcPr>
          <w:p>
            <w:pPr>
              <w:spacing w:before="202" w:line="233" w:lineRule="auto"/>
              <w:ind w:left="6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85" w:type="dxa"/>
            <w:vAlign w:val="top"/>
          </w:tcPr>
          <w:p>
            <w:pPr>
              <w:pStyle w:val="6"/>
              <w:spacing w:before="31" w:line="223" w:lineRule="auto"/>
              <w:ind w:left="861" w:right="200" w:hanging="625"/>
            </w:pPr>
            <w:r>
              <w:rPr>
                <w:spacing w:val="-4"/>
              </w:rPr>
              <w:t>已计入主体工程</w:t>
            </w:r>
            <w:r>
              <w:t xml:space="preserve"> 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60" w:type="dxa"/>
            <w:vMerge w:val="continue"/>
            <w:tcBorders>
              <w:top w:val="nil"/>
              <w:bottom w:val="nil"/>
            </w:tcBorders>
            <w:vAlign w:val="top"/>
          </w:tcPr>
          <w:p>
            <w:pPr>
              <w:rPr>
                <w:rFonts w:ascii="Arial"/>
                <w:sz w:val="21"/>
              </w:rPr>
            </w:pPr>
          </w:p>
        </w:tc>
        <w:tc>
          <w:tcPr>
            <w:tcW w:w="1103" w:type="dxa"/>
            <w:vMerge w:val="continue"/>
            <w:tcBorders>
              <w:top w:val="nil"/>
            </w:tcBorders>
            <w:vAlign w:val="top"/>
          </w:tcPr>
          <w:p>
            <w:pPr>
              <w:rPr>
                <w:rFonts w:ascii="Arial"/>
                <w:sz w:val="21"/>
              </w:rPr>
            </w:pPr>
          </w:p>
        </w:tc>
        <w:tc>
          <w:tcPr>
            <w:tcW w:w="2932" w:type="dxa"/>
            <w:vAlign w:val="top"/>
          </w:tcPr>
          <w:p>
            <w:pPr>
              <w:pStyle w:val="6"/>
              <w:spacing w:before="167" w:line="221" w:lineRule="auto"/>
              <w:ind w:left="313"/>
            </w:pPr>
            <w:r>
              <w:rPr>
                <w:spacing w:val="-1"/>
              </w:rPr>
              <w:t>施工废水隔油、沉淀设施</w:t>
            </w:r>
          </w:p>
        </w:tc>
        <w:tc>
          <w:tcPr>
            <w:tcW w:w="763" w:type="dxa"/>
            <w:vAlign w:val="top"/>
          </w:tcPr>
          <w:p>
            <w:pPr>
              <w:spacing w:before="202" w:line="233"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202" w:line="233" w:lineRule="auto"/>
              <w:ind w:left="6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85" w:type="dxa"/>
            <w:vAlign w:val="top"/>
          </w:tcPr>
          <w:p>
            <w:pPr>
              <w:pStyle w:val="6"/>
              <w:spacing w:before="33" w:line="223" w:lineRule="auto"/>
              <w:ind w:left="861" w:right="200" w:hanging="625"/>
            </w:pPr>
            <w:r>
              <w:rPr>
                <w:spacing w:val="-4"/>
              </w:rPr>
              <w:t>已计入主体工程</w:t>
            </w:r>
            <w:r>
              <w:t xml:space="preserve"> 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60" w:type="dxa"/>
            <w:vMerge w:val="continue"/>
            <w:tcBorders>
              <w:top w:val="nil"/>
              <w:bottom w:val="nil"/>
            </w:tcBorders>
            <w:vAlign w:val="top"/>
          </w:tcPr>
          <w:p>
            <w:pPr>
              <w:rPr>
                <w:rFonts w:ascii="Arial"/>
                <w:sz w:val="21"/>
              </w:rPr>
            </w:pPr>
          </w:p>
        </w:tc>
        <w:tc>
          <w:tcPr>
            <w:tcW w:w="1103" w:type="dxa"/>
            <w:vMerge w:val="restart"/>
            <w:tcBorders>
              <w:bottom w:val="nil"/>
            </w:tcBorders>
            <w:vAlign w:val="top"/>
          </w:tcPr>
          <w:p>
            <w:pPr>
              <w:spacing w:line="241" w:lineRule="auto"/>
              <w:rPr>
                <w:rFonts w:ascii="Arial"/>
                <w:sz w:val="21"/>
              </w:rPr>
            </w:pPr>
          </w:p>
          <w:p>
            <w:pPr>
              <w:spacing w:line="242" w:lineRule="auto"/>
              <w:rPr>
                <w:rFonts w:ascii="Arial"/>
                <w:sz w:val="21"/>
              </w:rPr>
            </w:pPr>
          </w:p>
          <w:p>
            <w:pPr>
              <w:pStyle w:val="6"/>
              <w:spacing w:before="68" w:line="231" w:lineRule="auto"/>
              <w:ind w:left="136" w:right="128" w:hanging="1"/>
            </w:pPr>
            <w:r>
              <w:rPr>
                <w:spacing w:val="-2"/>
              </w:rPr>
              <w:t>环境空气</w:t>
            </w:r>
            <w:r>
              <w:rPr>
                <w:spacing w:val="1"/>
              </w:rPr>
              <w:t xml:space="preserve"> </w:t>
            </w:r>
            <w:r>
              <w:rPr>
                <w:spacing w:val="-2"/>
              </w:rPr>
              <w:t>污染防治</w:t>
            </w:r>
          </w:p>
        </w:tc>
        <w:tc>
          <w:tcPr>
            <w:tcW w:w="2932" w:type="dxa"/>
            <w:vAlign w:val="top"/>
          </w:tcPr>
          <w:p>
            <w:pPr>
              <w:pStyle w:val="6"/>
              <w:spacing w:before="64" w:line="221" w:lineRule="auto"/>
              <w:ind w:left="419"/>
            </w:pPr>
            <w:r>
              <w:rPr>
                <w:spacing w:val="-1"/>
              </w:rPr>
              <w:t>施工期洒水车及运行费</w:t>
            </w:r>
          </w:p>
        </w:tc>
        <w:tc>
          <w:tcPr>
            <w:tcW w:w="763" w:type="dxa"/>
            <w:vAlign w:val="top"/>
          </w:tcPr>
          <w:p>
            <w:pPr>
              <w:pStyle w:val="6"/>
              <w:spacing w:before="64" w:line="221" w:lineRule="auto"/>
              <w:ind w:left="198"/>
            </w:pPr>
            <w:r>
              <w:rPr>
                <w:rFonts w:ascii="Times New Roman" w:hAnsi="Times New Roman" w:eastAsia="Times New Roman" w:cs="Times New Roman"/>
                <w:spacing w:val="-2"/>
              </w:rPr>
              <w:t>2</w:t>
            </w:r>
            <w:r>
              <w:rPr>
                <w:rFonts w:ascii="Times New Roman" w:hAnsi="Times New Roman" w:eastAsia="Times New Roman" w:cs="Times New Roman"/>
                <w:spacing w:val="7"/>
              </w:rPr>
              <w:t xml:space="preserve"> </w:t>
            </w:r>
            <w:r>
              <w:rPr>
                <w:spacing w:val="-2"/>
              </w:rPr>
              <w:t>辆</w:t>
            </w:r>
          </w:p>
        </w:tc>
        <w:tc>
          <w:tcPr>
            <w:tcW w:w="1269" w:type="dxa"/>
            <w:vAlign w:val="top"/>
          </w:tcPr>
          <w:p>
            <w:pPr>
              <w:spacing w:before="103" w:line="187"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60" w:type="dxa"/>
            <w:vMerge w:val="continue"/>
            <w:tcBorders>
              <w:top w:val="nil"/>
              <w:bottom w:val="nil"/>
            </w:tcBorders>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2932" w:type="dxa"/>
            <w:vAlign w:val="top"/>
          </w:tcPr>
          <w:p>
            <w:pPr>
              <w:pStyle w:val="6"/>
              <w:spacing w:before="68" w:line="221" w:lineRule="auto"/>
              <w:ind w:left="419"/>
            </w:pPr>
            <w:r>
              <w:rPr>
                <w:spacing w:val="-1"/>
              </w:rPr>
              <w:t>施工中物料堆防尘措施</w:t>
            </w:r>
          </w:p>
        </w:tc>
        <w:tc>
          <w:tcPr>
            <w:tcW w:w="763" w:type="dxa"/>
            <w:vAlign w:val="top"/>
          </w:tcPr>
          <w:p>
            <w:pPr>
              <w:spacing w:before="102" w:line="231"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106" w:line="187"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0" w:type="dxa"/>
            <w:vMerge w:val="continue"/>
            <w:tcBorders>
              <w:top w:val="nil"/>
              <w:bottom w:val="nil"/>
            </w:tcBorders>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2932" w:type="dxa"/>
            <w:vAlign w:val="top"/>
          </w:tcPr>
          <w:p>
            <w:pPr>
              <w:pStyle w:val="6"/>
              <w:spacing w:before="31" w:line="223" w:lineRule="auto"/>
              <w:ind w:left="1366" w:right="103" w:hanging="1242"/>
            </w:pPr>
            <w:r>
              <w:rPr>
                <w:spacing w:val="-3"/>
              </w:rPr>
              <w:t>临时防尘围档、喷淋和雾炮降</w:t>
            </w:r>
            <w:r>
              <w:rPr>
                <w:spacing w:val="7"/>
              </w:rPr>
              <w:t xml:space="preserve"> </w:t>
            </w:r>
            <w:r>
              <w:t>尘</w:t>
            </w:r>
          </w:p>
        </w:tc>
        <w:tc>
          <w:tcPr>
            <w:tcW w:w="763" w:type="dxa"/>
            <w:vAlign w:val="top"/>
          </w:tcPr>
          <w:p>
            <w:pPr>
              <w:pStyle w:val="6"/>
              <w:spacing w:before="168" w:line="225" w:lineRule="auto"/>
              <w:ind w:left="197"/>
            </w:pPr>
            <w:r>
              <w:rPr>
                <w:rFonts w:ascii="Times New Roman" w:hAnsi="Times New Roman" w:eastAsia="Times New Roman" w:cs="Times New Roman"/>
                <w:spacing w:val="-2"/>
              </w:rPr>
              <w:t>4</w:t>
            </w:r>
            <w:r>
              <w:rPr>
                <w:rFonts w:ascii="Times New Roman" w:hAnsi="Times New Roman" w:eastAsia="Times New Roman" w:cs="Times New Roman"/>
                <w:spacing w:val="12"/>
              </w:rPr>
              <w:t xml:space="preserve"> </w:t>
            </w:r>
            <w:r>
              <w:rPr>
                <w:spacing w:val="-2"/>
              </w:rPr>
              <w:t>处</w:t>
            </w:r>
          </w:p>
        </w:tc>
        <w:tc>
          <w:tcPr>
            <w:tcW w:w="1269" w:type="dxa"/>
            <w:vAlign w:val="top"/>
          </w:tcPr>
          <w:p>
            <w:pPr>
              <w:spacing w:before="207" w:line="187" w:lineRule="auto"/>
              <w:ind w:left="53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60" w:type="dxa"/>
            <w:vMerge w:val="continue"/>
            <w:tcBorders>
              <w:top w:val="nil"/>
              <w:bottom w:val="nil"/>
            </w:tcBorders>
            <w:vAlign w:val="top"/>
          </w:tcPr>
          <w:p>
            <w:pPr>
              <w:rPr>
                <w:rFonts w:ascii="Arial"/>
                <w:sz w:val="21"/>
              </w:rPr>
            </w:pPr>
          </w:p>
        </w:tc>
        <w:tc>
          <w:tcPr>
            <w:tcW w:w="1103" w:type="dxa"/>
            <w:vMerge w:val="continue"/>
            <w:tcBorders>
              <w:top w:val="nil"/>
            </w:tcBorders>
            <w:vAlign w:val="top"/>
          </w:tcPr>
          <w:p>
            <w:pPr>
              <w:rPr>
                <w:rFonts w:ascii="Arial"/>
                <w:sz w:val="21"/>
              </w:rPr>
            </w:pPr>
          </w:p>
        </w:tc>
        <w:tc>
          <w:tcPr>
            <w:tcW w:w="2932" w:type="dxa"/>
            <w:vAlign w:val="top"/>
          </w:tcPr>
          <w:p>
            <w:pPr>
              <w:pStyle w:val="6"/>
              <w:spacing w:before="68" w:line="221" w:lineRule="auto"/>
              <w:ind w:left="947"/>
            </w:pPr>
            <w:r>
              <w:rPr>
                <w:spacing w:val="-2"/>
              </w:rPr>
              <w:t>拌合站除尘</w:t>
            </w:r>
          </w:p>
        </w:tc>
        <w:tc>
          <w:tcPr>
            <w:tcW w:w="763" w:type="dxa"/>
            <w:vAlign w:val="top"/>
          </w:tcPr>
          <w:p>
            <w:pPr>
              <w:pStyle w:val="6"/>
              <w:spacing w:before="68" w:line="225" w:lineRule="auto"/>
              <w:ind w:left="219"/>
            </w:pPr>
            <w:r>
              <w:rPr>
                <w:rFonts w:ascii="Times New Roman" w:hAnsi="Times New Roman" w:eastAsia="Times New Roman" w:cs="Times New Roman"/>
                <w:spacing w:val="-13"/>
              </w:rPr>
              <w:t>1</w:t>
            </w:r>
            <w:r>
              <w:rPr>
                <w:rFonts w:ascii="Times New Roman" w:hAnsi="Times New Roman" w:eastAsia="Times New Roman" w:cs="Times New Roman"/>
                <w:spacing w:val="13"/>
                <w:w w:val="101"/>
              </w:rPr>
              <w:t xml:space="preserve"> </w:t>
            </w:r>
            <w:r>
              <w:rPr>
                <w:spacing w:val="-13"/>
              </w:rPr>
              <w:t>处</w:t>
            </w:r>
          </w:p>
        </w:tc>
        <w:tc>
          <w:tcPr>
            <w:tcW w:w="1269" w:type="dxa"/>
            <w:vAlign w:val="top"/>
          </w:tcPr>
          <w:p>
            <w:pPr>
              <w:spacing w:before="107" w:line="187" w:lineRule="auto"/>
              <w:ind w:left="53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60" w:type="dxa"/>
            <w:vMerge w:val="continue"/>
            <w:tcBorders>
              <w:top w:val="nil"/>
              <w:bottom w:val="nil"/>
            </w:tcBorders>
            <w:vAlign w:val="top"/>
          </w:tcPr>
          <w:p>
            <w:pPr>
              <w:rPr>
                <w:rFonts w:ascii="Arial"/>
                <w:sz w:val="21"/>
              </w:rPr>
            </w:pPr>
          </w:p>
        </w:tc>
        <w:tc>
          <w:tcPr>
            <w:tcW w:w="1103" w:type="dxa"/>
            <w:vMerge w:val="restart"/>
            <w:tcBorders>
              <w:bottom w:val="nil"/>
            </w:tcBorders>
            <w:vAlign w:val="top"/>
          </w:tcPr>
          <w:p>
            <w:pPr>
              <w:pStyle w:val="6"/>
              <w:spacing w:before="208" w:line="231" w:lineRule="auto"/>
              <w:ind w:left="357" w:right="128" w:hanging="212"/>
            </w:pPr>
            <w:r>
              <w:rPr>
                <w:spacing w:val="-4"/>
              </w:rPr>
              <w:t>噪声污染</w:t>
            </w:r>
            <w:r>
              <w:t xml:space="preserve"> </w:t>
            </w:r>
            <w:r>
              <w:rPr>
                <w:spacing w:val="-5"/>
              </w:rPr>
              <w:t>防治</w:t>
            </w:r>
          </w:p>
        </w:tc>
        <w:tc>
          <w:tcPr>
            <w:tcW w:w="2932" w:type="dxa"/>
            <w:vAlign w:val="top"/>
          </w:tcPr>
          <w:p>
            <w:pPr>
              <w:pStyle w:val="6"/>
              <w:spacing w:before="66" w:line="220" w:lineRule="auto"/>
              <w:ind w:left="839"/>
            </w:pPr>
            <w:r>
              <w:rPr>
                <w:spacing w:val="-1"/>
              </w:rPr>
              <w:t>施工机械围护</w:t>
            </w:r>
          </w:p>
        </w:tc>
        <w:tc>
          <w:tcPr>
            <w:tcW w:w="763" w:type="dxa"/>
            <w:vAlign w:val="top"/>
          </w:tcPr>
          <w:p>
            <w:pPr>
              <w:pStyle w:val="6"/>
              <w:spacing w:before="66" w:line="225" w:lineRule="auto"/>
              <w:ind w:left="204"/>
            </w:pPr>
            <w:r>
              <w:rPr>
                <w:rFonts w:ascii="Times New Roman" w:hAnsi="Times New Roman" w:eastAsia="Times New Roman" w:cs="Times New Roman"/>
                <w:spacing w:val="-5"/>
              </w:rPr>
              <w:t>5</w:t>
            </w:r>
            <w:r>
              <w:rPr>
                <w:rFonts w:ascii="Times New Roman" w:hAnsi="Times New Roman" w:eastAsia="Times New Roman" w:cs="Times New Roman"/>
                <w:spacing w:val="12"/>
              </w:rPr>
              <w:t xml:space="preserve"> </w:t>
            </w:r>
            <w:r>
              <w:rPr>
                <w:spacing w:val="-5"/>
              </w:rPr>
              <w:t>处</w:t>
            </w:r>
          </w:p>
        </w:tc>
        <w:tc>
          <w:tcPr>
            <w:tcW w:w="1269" w:type="dxa"/>
            <w:vAlign w:val="top"/>
          </w:tcPr>
          <w:p>
            <w:pPr>
              <w:spacing w:before="105"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60" w:type="dxa"/>
            <w:vMerge w:val="continue"/>
            <w:tcBorders>
              <w:top w:val="nil"/>
              <w:bottom w:val="nil"/>
            </w:tcBorders>
            <w:vAlign w:val="top"/>
          </w:tcPr>
          <w:p>
            <w:pPr>
              <w:rPr>
                <w:rFonts w:ascii="Arial"/>
                <w:sz w:val="21"/>
              </w:rPr>
            </w:pPr>
          </w:p>
        </w:tc>
        <w:tc>
          <w:tcPr>
            <w:tcW w:w="1103" w:type="dxa"/>
            <w:vMerge w:val="continue"/>
            <w:tcBorders>
              <w:top w:val="nil"/>
            </w:tcBorders>
            <w:vAlign w:val="top"/>
          </w:tcPr>
          <w:p>
            <w:pPr>
              <w:rPr>
                <w:rFonts w:ascii="Arial"/>
                <w:sz w:val="21"/>
              </w:rPr>
            </w:pPr>
          </w:p>
        </w:tc>
        <w:tc>
          <w:tcPr>
            <w:tcW w:w="2932" w:type="dxa"/>
            <w:vAlign w:val="top"/>
          </w:tcPr>
          <w:p>
            <w:pPr>
              <w:pStyle w:val="6"/>
              <w:spacing w:before="34" w:line="222" w:lineRule="auto"/>
              <w:ind w:left="1260" w:right="103" w:hanging="1144"/>
            </w:pPr>
            <w:r>
              <w:rPr>
                <w:spacing w:val="-2"/>
              </w:rPr>
              <w:t>设置围栏、设备减振降噪及维</w:t>
            </w:r>
            <w:r>
              <w:rPr>
                <w:spacing w:val="2"/>
              </w:rPr>
              <w:t xml:space="preserve"> </w:t>
            </w:r>
            <w:r>
              <w:rPr>
                <w:spacing w:val="-2"/>
              </w:rPr>
              <w:t>护等</w:t>
            </w:r>
          </w:p>
        </w:tc>
        <w:tc>
          <w:tcPr>
            <w:tcW w:w="763" w:type="dxa"/>
            <w:vAlign w:val="top"/>
          </w:tcPr>
          <w:p>
            <w:pPr>
              <w:spacing w:before="205" w:line="233"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209"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0" w:type="dxa"/>
            <w:vMerge w:val="continue"/>
            <w:tcBorders>
              <w:top w:val="nil"/>
              <w:bottom w:val="nil"/>
            </w:tcBorders>
            <w:vAlign w:val="top"/>
          </w:tcPr>
          <w:p>
            <w:pPr>
              <w:rPr>
                <w:rFonts w:ascii="Arial"/>
                <w:sz w:val="21"/>
              </w:rPr>
            </w:pPr>
          </w:p>
        </w:tc>
        <w:tc>
          <w:tcPr>
            <w:tcW w:w="1103" w:type="dxa"/>
            <w:vMerge w:val="restart"/>
            <w:tcBorders>
              <w:bottom w:val="nil"/>
            </w:tcBorders>
            <w:vAlign w:val="top"/>
          </w:tcPr>
          <w:p>
            <w:pPr>
              <w:pStyle w:val="6"/>
              <w:spacing w:before="207" w:line="233" w:lineRule="auto"/>
              <w:ind w:left="347" w:right="128" w:hanging="194"/>
            </w:pPr>
            <w:r>
              <w:rPr>
                <w:spacing w:val="-6"/>
              </w:rPr>
              <w:t>固体废物</w:t>
            </w:r>
            <w:r>
              <w:t xml:space="preserve"> </w:t>
            </w:r>
            <w:r>
              <w:rPr>
                <w:spacing w:val="-3"/>
              </w:rPr>
              <w:t>处置</w:t>
            </w:r>
          </w:p>
        </w:tc>
        <w:tc>
          <w:tcPr>
            <w:tcW w:w="2932" w:type="dxa"/>
            <w:vAlign w:val="top"/>
          </w:tcPr>
          <w:p>
            <w:pPr>
              <w:pStyle w:val="6"/>
              <w:spacing w:before="170" w:line="222" w:lineRule="auto"/>
              <w:ind w:left="946"/>
            </w:pPr>
            <w:r>
              <w:rPr>
                <w:spacing w:val="-2"/>
              </w:rPr>
              <w:t>土石方处理</w:t>
            </w:r>
          </w:p>
        </w:tc>
        <w:tc>
          <w:tcPr>
            <w:tcW w:w="763" w:type="dxa"/>
            <w:vAlign w:val="top"/>
          </w:tcPr>
          <w:p>
            <w:pPr>
              <w:spacing w:before="205" w:line="233"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205" w:line="233" w:lineRule="auto"/>
              <w:ind w:left="6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85" w:type="dxa"/>
            <w:vAlign w:val="top"/>
          </w:tcPr>
          <w:p>
            <w:pPr>
              <w:pStyle w:val="6"/>
              <w:spacing w:before="33" w:line="222" w:lineRule="auto"/>
              <w:ind w:left="861" w:right="200" w:hanging="625"/>
            </w:pPr>
            <w:r>
              <w:rPr>
                <w:spacing w:val="-4"/>
              </w:rPr>
              <w:t>已计入主体工程</w:t>
            </w:r>
            <w:r>
              <w:t xml:space="preserve"> 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60" w:type="dxa"/>
            <w:vMerge w:val="continue"/>
            <w:tcBorders>
              <w:top w:val="nil"/>
              <w:bottom w:val="nil"/>
            </w:tcBorders>
            <w:vAlign w:val="top"/>
          </w:tcPr>
          <w:p>
            <w:pPr>
              <w:rPr>
                <w:rFonts w:ascii="Arial"/>
                <w:sz w:val="21"/>
              </w:rPr>
            </w:pPr>
          </w:p>
        </w:tc>
        <w:tc>
          <w:tcPr>
            <w:tcW w:w="1103" w:type="dxa"/>
            <w:vMerge w:val="continue"/>
            <w:tcBorders>
              <w:top w:val="nil"/>
            </w:tcBorders>
            <w:vAlign w:val="top"/>
          </w:tcPr>
          <w:p>
            <w:pPr>
              <w:rPr>
                <w:rFonts w:ascii="Arial"/>
                <w:sz w:val="21"/>
              </w:rPr>
            </w:pPr>
          </w:p>
        </w:tc>
        <w:tc>
          <w:tcPr>
            <w:tcW w:w="2932" w:type="dxa"/>
            <w:vAlign w:val="top"/>
          </w:tcPr>
          <w:p>
            <w:pPr>
              <w:pStyle w:val="6"/>
              <w:spacing w:before="67" w:line="221" w:lineRule="auto"/>
              <w:ind w:left="212"/>
            </w:pPr>
            <w:r>
              <w:rPr>
                <w:spacing w:val="-1"/>
              </w:rPr>
              <w:t>设置垃圾箱，生活垃圾清运</w:t>
            </w:r>
          </w:p>
        </w:tc>
        <w:tc>
          <w:tcPr>
            <w:tcW w:w="763" w:type="dxa"/>
            <w:vAlign w:val="top"/>
          </w:tcPr>
          <w:p>
            <w:pPr>
              <w:pStyle w:val="6"/>
              <w:spacing w:before="67" w:line="225" w:lineRule="auto"/>
              <w:ind w:left="219"/>
            </w:pPr>
            <w:r>
              <w:rPr>
                <w:rFonts w:ascii="Times New Roman" w:hAnsi="Times New Roman" w:eastAsia="Times New Roman" w:cs="Times New Roman"/>
                <w:spacing w:val="-13"/>
              </w:rPr>
              <w:t>1</w:t>
            </w:r>
            <w:r>
              <w:rPr>
                <w:rFonts w:ascii="Times New Roman" w:hAnsi="Times New Roman" w:eastAsia="Times New Roman" w:cs="Times New Roman"/>
                <w:spacing w:val="13"/>
                <w:w w:val="101"/>
              </w:rPr>
              <w:t xml:space="preserve"> </w:t>
            </w:r>
            <w:r>
              <w:rPr>
                <w:spacing w:val="-13"/>
              </w:rPr>
              <w:t>处</w:t>
            </w:r>
          </w:p>
        </w:tc>
        <w:tc>
          <w:tcPr>
            <w:tcW w:w="1269" w:type="dxa"/>
            <w:vAlign w:val="top"/>
          </w:tcPr>
          <w:p>
            <w:pPr>
              <w:spacing w:before="108" w:line="187" w:lineRule="auto"/>
              <w:ind w:left="591"/>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0" w:type="dxa"/>
            <w:vMerge w:val="continue"/>
            <w:tcBorders>
              <w:top w:val="nil"/>
              <w:bottom w:val="nil"/>
            </w:tcBorders>
            <w:vAlign w:val="top"/>
          </w:tcPr>
          <w:p>
            <w:pPr>
              <w:rPr>
                <w:rFonts w:ascii="Arial"/>
                <w:sz w:val="21"/>
              </w:rPr>
            </w:pPr>
          </w:p>
        </w:tc>
        <w:tc>
          <w:tcPr>
            <w:tcW w:w="1103" w:type="dxa"/>
            <w:vMerge w:val="restart"/>
            <w:tcBorders>
              <w:bottom w:val="nil"/>
            </w:tcBorders>
            <w:vAlign w:val="top"/>
          </w:tcPr>
          <w:p>
            <w:pPr>
              <w:pStyle w:val="6"/>
              <w:spacing w:before="209" w:line="231" w:lineRule="auto"/>
              <w:ind w:left="356" w:right="128" w:hanging="220"/>
            </w:pPr>
            <w:r>
              <w:rPr>
                <w:spacing w:val="-2"/>
              </w:rPr>
              <w:t>生态环境</w:t>
            </w:r>
            <w:r>
              <w:t xml:space="preserve"> </w:t>
            </w:r>
            <w:r>
              <w:rPr>
                <w:spacing w:val="-5"/>
              </w:rPr>
              <w:t>防护</w:t>
            </w:r>
          </w:p>
        </w:tc>
        <w:tc>
          <w:tcPr>
            <w:tcW w:w="2932" w:type="dxa"/>
            <w:vAlign w:val="top"/>
          </w:tcPr>
          <w:p>
            <w:pPr>
              <w:pStyle w:val="6"/>
              <w:spacing w:before="33" w:line="222" w:lineRule="auto"/>
              <w:ind w:left="1261" w:right="203" w:hanging="1054"/>
            </w:pPr>
            <w:r>
              <w:rPr>
                <w:spacing w:val="-1"/>
              </w:rPr>
              <w:t>施工期水土保持措施及绿化</w:t>
            </w:r>
            <w:r>
              <w:rPr>
                <w:spacing w:val="6"/>
              </w:rPr>
              <w:t xml:space="preserve"> </w:t>
            </w:r>
            <w:r>
              <w:rPr>
                <w:spacing w:val="-3"/>
              </w:rPr>
              <w:t>工程</w:t>
            </w:r>
          </w:p>
        </w:tc>
        <w:tc>
          <w:tcPr>
            <w:tcW w:w="763" w:type="dxa"/>
            <w:vAlign w:val="top"/>
          </w:tcPr>
          <w:p>
            <w:pPr>
              <w:spacing w:before="206" w:line="233"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206" w:line="233" w:lineRule="auto"/>
              <w:ind w:left="6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85" w:type="dxa"/>
            <w:vAlign w:val="top"/>
          </w:tcPr>
          <w:p>
            <w:pPr>
              <w:pStyle w:val="6"/>
              <w:spacing w:before="33" w:line="222" w:lineRule="auto"/>
              <w:ind w:left="861" w:right="200" w:hanging="625"/>
            </w:pPr>
            <w:r>
              <w:rPr>
                <w:spacing w:val="-4"/>
              </w:rPr>
              <w:t>已计入主体工程</w:t>
            </w:r>
            <w:r>
              <w:t xml:space="preserve"> 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60" w:type="dxa"/>
            <w:vMerge w:val="continue"/>
            <w:tcBorders>
              <w:top w:val="nil"/>
            </w:tcBorders>
            <w:vAlign w:val="top"/>
          </w:tcPr>
          <w:p>
            <w:pPr>
              <w:rPr>
                <w:rFonts w:ascii="Arial"/>
                <w:sz w:val="21"/>
              </w:rPr>
            </w:pPr>
          </w:p>
        </w:tc>
        <w:tc>
          <w:tcPr>
            <w:tcW w:w="1103" w:type="dxa"/>
            <w:vMerge w:val="continue"/>
            <w:tcBorders>
              <w:top w:val="nil"/>
            </w:tcBorders>
            <w:vAlign w:val="top"/>
          </w:tcPr>
          <w:p>
            <w:pPr>
              <w:rPr>
                <w:rFonts w:ascii="Arial"/>
                <w:sz w:val="21"/>
              </w:rPr>
            </w:pPr>
          </w:p>
        </w:tc>
        <w:tc>
          <w:tcPr>
            <w:tcW w:w="2932" w:type="dxa"/>
            <w:vAlign w:val="top"/>
          </w:tcPr>
          <w:p>
            <w:pPr>
              <w:pStyle w:val="6"/>
              <w:spacing w:before="68" w:line="221" w:lineRule="auto"/>
              <w:ind w:left="419"/>
            </w:pPr>
            <w:r>
              <w:rPr>
                <w:spacing w:val="-1"/>
              </w:rPr>
              <w:t>施工期围护、生态保护</w:t>
            </w:r>
          </w:p>
        </w:tc>
        <w:tc>
          <w:tcPr>
            <w:tcW w:w="763" w:type="dxa"/>
            <w:vAlign w:val="top"/>
          </w:tcPr>
          <w:p>
            <w:pPr>
              <w:spacing w:before="103" w:line="230"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106"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0" w:type="dxa"/>
            <w:vMerge w:val="restart"/>
            <w:tcBorders>
              <w:bottom w:val="nil"/>
            </w:tcBorders>
            <w:vAlign w:val="top"/>
          </w:tcPr>
          <w:p>
            <w:pPr>
              <w:spacing w:line="418" w:lineRule="auto"/>
              <w:rPr>
                <w:rFonts w:ascii="Arial"/>
                <w:sz w:val="21"/>
              </w:rPr>
            </w:pPr>
          </w:p>
          <w:p>
            <w:pPr>
              <w:pStyle w:val="6"/>
              <w:spacing w:before="68" w:line="221" w:lineRule="auto"/>
              <w:ind w:left="125"/>
            </w:pPr>
            <w:r>
              <w:rPr>
                <w:spacing w:val="-2"/>
              </w:rPr>
              <w:t>运营</w:t>
            </w:r>
          </w:p>
          <w:p>
            <w:pPr>
              <w:pStyle w:val="6"/>
              <w:spacing w:before="19" w:line="221" w:lineRule="auto"/>
              <w:ind w:left="231"/>
            </w:pPr>
            <w:r>
              <w:t>期</w:t>
            </w:r>
          </w:p>
        </w:tc>
        <w:tc>
          <w:tcPr>
            <w:tcW w:w="1103" w:type="dxa"/>
            <w:vAlign w:val="top"/>
          </w:tcPr>
          <w:p>
            <w:pPr>
              <w:pStyle w:val="6"/>
              <w:spacing w:before="33" w:line="222" w:lineRule="auto"/>
              <w:ind w:left="136" w:right="128" w:hanging="1"/>
            </w:pPr>
            <w:r>
              <w:rPr>
                <w:spacing w:val="-2"/>
              </w:rPr>
              <w:t>环境空气</w:t>
            </w:r>
            <w:r>
              <w:rPr>
                <w:spacing w:val="1"/>
              </w:rPr>
              <w:t xml:space="preserve"> </w:t>
            </w:r>
            <w:r>
              <w:rPr>
                <w:spacing w:val="-2"/>
              </w:rPr>
              <w:t>污染防治</w:t>
            </w:r>
          </w:p>
        </w:tc>
        <w:tc>
          <w:tcPr>
            <w:tcW w:w="2932" w:type="dxa"/>
            <w:vAlign w:val="top"/>
          </w:tcPr>
          <w:p>
            <w:pPr>
              <w:pStyle w:val="6"/>
              <w:spacing w:before="171" w:line="221" w:lineRule="auto"/>
              <w:ind w:left="1052"/>
            </w:pPr>
            <w:r>
              <w:rPr>
                <w:spacing w:val="-2"/>
              </w:rPr>
              <w:t>路面养护</w:t>
            </w:r>
          </w:p>
        </w:tc>
        <w:tc>
          <w:tcPr>
            <w:tcW w:w="763" w:type="dxa"/>
            <w:vAlign w:val="top"/>
          </w:tcPr>
          <w:p>
            <w:pPr>
              <w:spacing w:before="206" w:line="233"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210"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0" w:type="dxa"/>
            <w:vMerge w:val="continue"/>
            <w:tcBorders>
              <w:top w:val="nil"/>
              <w:bottom w:val="nil"/>
            </w:tcBorders>
            <w:vAlign w:val="top"/>
          </w:tcPr>
          <w:p>
            <w:pPr>
              <w:rPr>
                <w:rFonts w:ascii="Arial"/>
                <w:sz w:val="21"/>
              </w:rPr>
            </w:pPr>
          </w:p>
        </w:tc>
        <w:tc>
          <w:tcPr>
            <w:tcW w:w="1103" w:type="dxa"/>
            <w:vMerge w:val="restart"/>
            <w:tcBorders>
              <w:bottom w:val="nil"/>
            </w:tcBorders>
            <w:vAlign w:val="top"/>
          </w:tcPr>
          <w:p>
            <w:pPr>
              <w:pStyle w:val="6"/>
              <w:spacing w:before="210" w:line="231" w:lineRule="auto"/>
              <w:ind w:left="357" w:right="128" w:hanging="212"/>
            </w:pPr>
            <w:r>
              <w:rPr>
                <w:spacing w:val="-4"/>
              </w:rPr>
              <w:t>噪声污染</w:t>
            </w:r>
            <w:r>
              <w:t xml:space="preserve"> </w:t>
            </w:r>
            <w:r>
              <w:rPr>
                <w:spacing w:val="-5"/>
              </w:rPr>
              <w:t>防治</w:t>
            </w:r>
          </w:p>
        </w:tc>
        <w:tc>
          <w:tcPr>
            <w:tcW w:w="2932" w:type="dxa"/>
            <w:vAlign w:val="top"/>
          </w:tcPr>
          <w:p>
            <w:pPr>
              <w:pStyle w:val="6"/>
              <w:spacing w:before="36" w:line="221" w:lineRule="auto"/>
              <w:ind w:left="1157" w:right="203" w:hanging="948"/>
            </w:pPr>
            <w:r>
              <w:rPr>
                <w:spacing w:val="-1"/>
              </w:rPr>
              <w:t>沿线声环境保护目标设置隔</w:t>
            </w:r>
            <w:r>
              <w:rPr>
                <w:spacing w:val="4"/>
              </w:rPr>
              <w:t xml:space="preserve"> </w:t>
            </w:r>
            <w:r>
              <w:rPr>
                <w:spacing w:val="-2"/>
              </w:rPr>
              <w:t>声屏障</w:t>
            </w:r>
          </w:p>
        </w:tc>
        <w:tc>
          <w:tcPr>
            <w:tcW w:w="763" w:type="dxa"/>
            <w:vAlign w:val="top"/>
          </w:tcPr>
          <w:p>
            <w:pPr>
              <w:spacing w:before="210" w:line="187"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350m</w:t>
            </w:r>
          </w:p>
        </w:tc>
        <w:tc>
          <w:tcPr>
            <w:tcW w:w="1269" w:type="dxa"/>
            <w:vAlign w:val="top"/>
          </w:tcPr>
          <w:p>
            <w:pPr>
              <w:spacing w:before="210" w:line="187" w:lineRule="auto"/>
              <w:ind w:left="41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157.5</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660" w:type="dxa"/>
            <w:vMerge w:val="continue"/>
            <w:tcBorders>
              <w:top w:val="nil"/>
            </w:tcBorders>
            <w:vAlign w:val="top"/>
          </w:tcPr>
          <w:p>
            <w:pPr>
              <w:rPr>
                <w:rFonts w:ascii="Arial"/>
                <w:sz w:val="21"/>
              </w:rPr>
            </w:pPr>
          </w:p>
        </w:tc>
        <w:tc>
          <w:tcPr>
            <w:tcW w:w="1103" w:type="dxa"/>
            <w:vMerge w:val="continue"/>
            <w:tcBorders>
              <w:top w:val="nil"/>
            </w:tcBorders>
            <w:vAlign w:val="top"/>
          </w:tcPr>
          <w:p>
            <w:pPr>
              <w:rPr>
                <w:rFonts w:ascii="Arial"/>
                <w:sz w:val="21"/>
              </w:rPr>
            </w:pPr>
          </w:p>
        </w:tc>
        <w:tc>
          <w:tcPr>
            <w:tcW w:w="2932" w:type="dxa"/>
            <w:vAlign w:val="top"/>
          </w:tcPr>
          <w:p>
            <w:pPr>
              <w:pStyle w:val="6"/>
              <w:spacing w:before="72" w:line="221" w:lineRule="auto"/>
              <w:ind w:left="209"/>
            </w:pPr>
            <w:r>
              <w:rPr>
                <w:spacing w:val="-1"/>
              </w:rPr>
              <w:t>沿线声环境保护目标设置隔</w:t>
            </w:r>
          </w:p>
        </w:tc>
        <w:tc>
          <w:tcPr>
            <w:tcW w:w="763" w:type="dxa"/>
            <w:vAlign w:val="top"/>
          </w:tcPr>
          <w:p>
            <w:pPr>
              <w:pStyle w:val="6"/>
              <w:spacing w:before="72" w:line="221" w:lineRule="auto"/>
              <w:ind w:left="149"/>
            </w:pPr>
            <w:r>
              <w:rPr>
                <w:rFonts w:ascii="Times New Roman" w:hAnsi="Times New Roman" w:eastAsia="Times New Roman" w:cs="Times New Roman"/>
                <w:spacing w:val="-3"/>
              </w:rPr>
              <w:t>77</w:t>
            </w:r>
            <w:r>
              <w:rPr>
                <w:rFonts w:ascii="Times New Roman" w:hAnsi="Times New Roman" w:eastAsia="Times New Roman" w:cs="Times New Roman"/>
                <w:spacing w:val="10"/>
              </w:rPr>
              <w:t xml:space="preserve"> </w:t>
            </w:r>
            <w:r>
              <w:rPr>
                <w:spacing w:val="-3"/>
              </w:rPr>
              <w:t>户</w:t>
            </w:r>
          </w:p>
        </w:tc>
        <w:tc>
          <w:tcPr>
            <w:tcW w:w="1269" w:type="dxa"/>
            <w:vAlign w:val="top"/>
          </w:tcPr>
          <w:p>
            <w:pPr>
              <w:spacing w:before="110" w:line="187"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154</w:t>
            </w:r>
          </w:p>
        </w:tc>
        <w:tc>
          <w:tcPr>
            <w:tcW w:w="1885" w:type="dxa"/>
            <w:vAlign w:val="top"/>
          </w:tcPr>
          <w:p>
            <w:pPr>
              <w:rPr>
                <w:rFonts w:ascii="Arial"/>
                <w:sz w:val="21"/>
              </w:rPr>
            </w:pPr>
          </w:p>
        </w:tc>
      </w:tr>
    </w:tbl>
    <w:p>
      <w:pPr>
        <w:pStyle w:val="2"/>
      </w:pPr>
    </w:p>
    <w:p>
      <w:pPr>
        <w:sectPr>
          <w:headerReference r:id="rId359" w:type="default"/>
          <w:footerReference r:id="rId360" w:type="default"/>
          <w:pgSz w:w="11907" w:h="16839"/>
          <w:pgMar w:top="1118" w:right="1644" w:bottom="1151" w:left="1644" w:header="879" w:footer="990" w:gutter="0"/>
          <w:cols w:space="720" w:num="1"/>
        </w:sectPr>
      </w:pPr>
    </w:p>
    <w:p>
      <w:pPr>
        <w:spacing w:before="80"/>
      </w:pPr>
    </w:p>
    <w:tbl>
      <w:tblPr>
        <w:tblStyle w:val="5"/>
        <w:tblW w:w="86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0"/>
        <w:gridCol w:w="1103"/>
        <w:gridCol w:w="2932"/>
        <w:gridCol w:w="763"/>
        <w:gridCol w:w="1269"/>
        <w:gridCol w:w="18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60" w:type="dxa"/>
            <w:vAlign w:val="top"/>
          </w:tcPr>
          <w:p>
            <w:pPr>
              <w:pStyle w:val="6"/>
              <w:spacing w:before="68" w:line="222" w:lineRule="auto"/>
              <w:ind w:left="134"/>
            </w:pPr>
            <w:r>
              <w:rPr>
                <w:spacing w:val="-4"/>
              </w:rPr>
              <w:t>阶段</w:t>
            </w:r>
          </w:p>
        </w:tc>
        <w:tc>
          <w:tcPr>
            <w:tcW w:w="1103" w:type="dxa"/>
            <w:vAlign w:val="top"/>
          </w:tcPr>
          <w:p>
            <w:pPr>
              <w:pStyle w:val="6"/>
              <w:spacing w:before="68" w:line="221" w:lineRule="auto"/>
              <w:ind w:left="135"/>
            </w:pPr>
            <w:r>
              <w:rPr>
                <w:spacing w:val="-2"/>
              </w:rPr>
              <w:t>环保项目</w:t>
            </w:r>
          </w:p>
        </w:tc>
        <w:tc>
          <w:tcPr>
            <w:tcW w:w="2932" w:type="dxa"/>
            <w:vAlign w:val="top"/>
          </w:tcPr>
          <w:p>
            <w:pPr>
              <w:pStyle w:val="6"/>
              <w:spacing w:before="67" w:line="221" w:lineRule="auto"/>
              <w:ind w:left="1051"/>
            </w:pPr>
            <w:r>
              <w:rPr>
                <w:spacing w:val="-2"/>
              </w:rPr>
              <w:t>措施内容</w:t>
            </w:r>
          </w:p>
        </w:tc>
        <w:tc>
          <w:tcPr>
            <w:tcW w:w="763" w:type="dxa"/>
            <w:vAlign w:val="top"/>
          </w:tcPr>
          <w:p>
            <w:pPr>
              <w:pStyle w:val="6"/>
              <w:spacing w:before="67" w:line="221" w:lineRule="auto"/>
              <w:ind w:left="178"/>
            </w:pPr>
            <w:r>
              <w:rPr>
                <w:spacing w:val="-2"/>
              </w:rPr>
              <w:t>数量</w:t>
            </w:r>
          </w:p>
        </w:tc>
        <w:tc>
          <w:tcPr>
            <w:tcW w:w="1269" w:type="dxa"/>
            <w:vAlign w:val="top"/>
          </w:tcPr>
          <w:p>
            <w:pPr>
              <w:pStyle w:val="6"/>
              <w:spacing w:before="68" w:line="214" w:lineRule="auto"/>
              <w:ind w:left="151"/>
              <w:rPr>
                <w:rFonts w:ascii="Times New Roman" w:hAnsi="Times New Roman" w:eastAsia="Times New Roman" w:cs="Times New Roman"/>
              </w:rPr>
            </w:pPr>
            <w:r>
              <w:rPr>
                <w:spacing w:val="-2"/>
              </w:rPr>
              <w:t>合计</w:t>
            </w:r>
            <w:r>
              <w:rPr>
                <w:rFonts w:ascii="Times New Roman" w:hAnsi="Times New Roman" w:eastAsia="Times New Roman" w:cs="Times New Roman"/>
                <w:spacing w:val="-2"/>
              </w:rPr>
              <w:t>(</w:t>
            </w:r>
            <w:r>
              <w:rPr>
                <w:spacing w:val="-2"/>
              </w:rPr>
              <w:t>万元</w:t>
            </w:r>
            <w:r>
              <w:rPr>
                <w:rFonts w:ascii="Times New Roman" w:hAnsi="Times New Roman" w:eastAsia="Times New Roman" w:cs="Times New Roman"/>
                <w:spacing w:val="-2"/>
              </w:rPr>
              <w:t>)</w:t>
            </w:r>
          </w:p>
        </w:tc>
        <w:tc>
          <w:tcPr>
            <w:tcW w:w="1885" w:type="dxa"/>
            <w:vAlign w:val="top"/>
          </w:tcPr>
          <w:p>
            <w:pPr>
              <w:pStyle w:val="6"/>
              <w:spacing w:before="68" w:line="222" w:lineRule="auto"/>
              <w:ind w:left="741"/>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60" w:type="dxa"/>
            <w:vMerge w:val="restart"/>
            <w:tcBorders>
              <w:bottom w:val="nil"/>
            </w:tcBorders>
            <w:vAlign w:val="top"/>
          </w:tcPr>
          <w:p>
            <w:pPr>
              <w:rPr>
                <w:rFonts w:ascii="Arial"/>
                <w:sz w:val="21"/>
              </w:rPr>
            </w:pPr>
          </w:p>
        </w:tc>
        <w:tc>
          <w:tcPr>
            <w:tcW w:w="1103" w:type="dxa"/>
            <w:vMerge w:val="restart"/>
            <w:tcBorders>
              <w:bottom w:val="nil"/>
            </w:tcBorders>
            <w:vAlign w:val="top"/>
          </w:tcPr>
          <w:p>
            <w:pPr>
              <w:rPr>
                <w:rFonts w:ascii="Arial"/>
                <w:sz w:val="21"/>
              </w:rPr>
            </w:pPr>
          </w:p>
        </w:tc>
        <w:tc>
          <w:tcPr>
            <w:tcW w:w="2932" w:type="dxa"/>
            <w:vAlign w:val="top"/>
          </w:tcPr>
          <w:p>
            <w:pPr>
              <w:pStyle w:val="6"/>
              <w:spacing w:before="30" w:line="221" w:lineRule="auto"/>
              <w:ind w:left="1264"/>
            </w:pPr>
            <w:r>
              <w:rPr>
                <w:spacing w:val="-3"/>
              </w:rPr>
              <w:t>声窗</w:t>
            </w:r>
          </w:p>
        </w:tc>
        <w:tc>
          <w:tcPr>
            <w:tcW w:w="763" w:type="dxa"/>
            <w:vAlign w:val="top"/>
          </w:tcPr>
          <w:p>
            <w:pPr>
              <w:rPr>
                <w:rFonts w:ascii="Arial"/>
                <w:sz w:val="21"/>
              </w:rPr>
            </w:pPr>
          </w:p>
        </w:tc>
        <w:tc>
          <w:tcPr>
            <w:tcW w:w="1269" w:type="dxa"/>
            <w:vAlign w:val="top"/>
          </w:tcPr>
          <w:p>
            <w:pPr>
              <w:rPr>
                <w:rFonts w:ascii="Arial"/>
                <w:sz w:val="21"/>
              </w:rPr>
            </w:pP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0" w:type="dxa"/>
            <w:vMerge w:val="continue"/>
            <w:tcBorders>
              <w:top w:val="nil"/>
              <w:bottom w:val="nil"/>
            </w:tcBorders>
            <w:vAlign w:val="top"/>
          </w:tcPr>
          <w:p>
            <w:pPr>
              <w:rPr>
                <w:rFonts w:ascii="Arial"/>
                <w:sz w:val="21"/>
              </w:rPr>
            </w:pPr>
          </w:p>
        </w:tc>
        <w:tc>
          <w:tcPr>
            <w:tcW w:w="1103" w:type="dxa"/>
            <w:vMerge w:val="continue"/>
            <w:tcBorders>
              <w:top w:val="nil"/>
              <w:bottom w:val="nil"/>
            </w:tcBorders>
            <w:vAlign w:val="top"/>
          </w:tcPr>
          <w:p>
            <w:pPr>
              <w:rPr>
                <w:rFonts w:ascii="Arial"/>
                <w:sz w:val="21"/>
              </w:rPr>
            </w:pPr>
          </w:p>
        </w:tc>
        <w:tc>
          <w:tcPr>
            <w:tcW w:w="2932" w:type="dxa"/>
            <w:vAlign w:val="top"/>
          </w:tcPr>
          <w:p>
            <w:pPr>
              <w:pStyle w:val="6"/>
              <w:spacing w:before="31" w:line="223" w:lineRule="auto"/>
              <w:ind w:left="734" w:right="203" w:hanging="515"/>
            </w:pPr>
            <w:r>
              <w:rPr>
                <w:spacing w:val="-2"/>
              </w:rPr>
              <w:t>隧道射流风机进排风口消声</w:t>
            </w:r>
            <w:r>
              <w:rPr>
                <w:spacing w:val="6"/>
              </w:rPr>
              <w:t xml:space="preserve"> </w:t>
            </w:r>
            <w:r>
              <w:rPr>
                <w:spacing w:val="-1"/>
              </w:rPr>
              <w:t>和隧道吸声措施</w:t>
            </w:r>
          </w:p>
        </w:tc>
        <w:tc>
          <w:tcPr>
            <w:tcW w:w="763" w:type="dxa"/>
            <w:vAlign w:val="top"/>
          </w:tcPr>
          <w:p>
            <w:pPr>
              <w:spacing w:before="202" w:line="233"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205" w:line="187" w:lineRule="auto"/>
              <w:ind w:left="53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60" w:type="dxa"/>
            <w:vMerge w:val="continue"/>
            <w:tcBorders>
              <w:top w:val="nil"/>
              <w:bottom w:val="nil"/>
            </w:tcBorders>
            <w:vAlign w:val="top"/>
          </w:tcPr>
          <w:p>
            <w:pPr>
              <w:rPr>
                <w:rFonts w:ascii="Arial"/>
                <w:sz w:val="21"/>
              </w:rPr>
            </w:pPr>
          </w:p>
        </w:tc>
        <w:tc>
          <w:tcPr>
            <w:tcW w:w="1103" w:type="dxa"/>
            <w:vMerge w:val="continue"/>
            <w:tcBorders>
              <w:top w:val="nil"/>
            </w:tcBorders>
            <w:vAlign w:val="top"/>
          </w:tcPr>
          <w:p>
            <w:pPr>
              <w:rPr>
                <w:rFonts w:ascii="Arial"/>
                <w:sz w:val="21"/>
              </w:rPr>
            </w:pPr>
          </w:p>
        </w:tc>
        <w:tc>
          <w:tcPr>
            <w:tcW w:w="2932" w:type="dxa"/>
            <w:vAlign w:val="top"/>
          </w:tcPr>
          <w:p>
            <w:pPr>
              <w:pStyle w:val="6"/>
              <w:spacing w:before="64" w:line="221" w:lineRule="auto"/>
              <w:ind w:left="849"/>
            </w:pPr>
            <w:r>
              <w:rPr>
                <w:spacing w:val="-3"/>
              </w:rPr>
              <w:t>噪声跟踪监测</w:t>
            </w:r>
          </w:p>
        </w:tc>
        <w:tc>
          <w:tcPr>
            <w:tcW w:w="763" w:type="dxa"/>
            <w:vAlign w:val="top"/>
          </w:tcPr>
          <w:p>
            <w:pPr>
              <w:spacing w:before="99" w:line="233"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103"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60" w:type="dxa"/>
            <w:vMerge w:val="continue"/>
            <w:tcBorders>
              <w:top w:val="nil"/>
              <w:bottom w:val="nil"/>
            </w:tcBorders>
            <w:vAlign w:val="top"/>
          </w:tcPr>
          <w:p>
            <w:pPr>
              <w:rPr>
                <w:rFonts w:ascii="Arial"/>
                <w:sz w:val="21"/>
              </w:rPr>
            </w:pPr>
          </w:p>
        </w:tc>
        <w:tc>
          <w:tcPr>
            <w:tcW w:w="1103" w:type="dxa"/>
            <w:vAlign w:val="top"/>
          </w:tcPr>
          <w:p>
            <w:pPr>
              <w:pStyle w:val="6"/>
              <w:spacing w:before="53" w:line="248" w:lineRule="auto"/>
              <w:ind w:left="347" w:right="128" w:hanging="194"/>
            </w:pPr>
            <w:r>
              <w:rPr>
                <w:spacing w:val="-6"/>
              </w:rPr>
              <w:t>固体废物</w:t>
            </w:r>
            <w:r>
              <w:t xml:space="preserve"> </w:t>
            </w:r>
            <w:r>
              <w:rPr>
                <w:spacing w:val="-3"/>
              </w:rPr>
              <w:t>处置</w:t>
            </w:r>
          </w:p>
        </w:tc>
        <w:tc>
          <w:tcPr>
            <w:tcW w:w="2932" w:type="dxa"/>
            <w:vAlign w:val="top"/>
          </w:tcPr>
          <w:p>
            <w:pPr>
              <w:pStyle w:val="6"/>
              <w:spacing w:before="206" w:line="221" w:lineRule="auto"/>
              <w:ind w:left="212"/>
            </w:pPr>
            <w:r>
              <w:rPr>
                <w:spacing w:val="-1"/>
              </w:rPr>
              <w:t>设置垃圾箱，生活垃圾清运</w:t>
            </w:r>
          </w:p>
        </w:tc>
        <w:tc>
          <w:tcPr>
            <w:tcW w:w="763" w:type="dxa"/>
            <w:vAlign w:val="top"/>
          </w:tcPr>
          <w:p>
            <w:pPr>
              <w:pStyle w:val="6"/>
              <w:spacing w:before="206" w:line="225" w:lineRule="auto"/>
              <w:ind w:left="219"/>
            </w:pPr>
            <w:r>
              <w:rPr>
                <w:rFonts w:ascii="Times New Roman" w:hAnsi="Times New Roman" w:eastAsia="Times New Roman" w:cs="Times New Roman"/>
                <w:spacing w:val="-13"/>
              </w:rPr>
              <w:t>1</w:t>
            </w:r>
            <w:r>
              <w:rPr>
                <w:rFonts w:ascii="Times New Roman" w:hAnsi="Times New Roman" w:eastAsia="Times New Roman" w:cs="Times New Roman"/>
                <w:spacing w:val="13"/>
                <w:w w:val="101"/>
              </w:rPr>
              <w:t xml:space="preserve"> </w:t>
            </w:r>
            <w:r>
              <w:rPr>
                <w:spacing w:val="-13"/>
              </w:rPr>
              <w:t>处</w:t>
            </w:r>
          </w:p>
        </w:tc>
        <w:tc>
          <w:tcPr>
            <w:tcW w:w="1269" w:type="dxa"/>
            <w:vAlign w:val="top"/>
          </w:tcPr>
          <w:p>
            <w:pPr>
              <w:spacing w:before="248" w:line="184" w:lineRule="auto"/>
              <w:ind w:left="58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60" w:type="dxa"/>
            <w:vMerge w:val="continue"/>
            <w:tcBorders>
              <w:top w:val="nil"/>
              <w:bottom w:val="nil"/>
            </w:tcBorders>
            <w:vAlign w:val="top"/>
          </w:tcPr>
          <w:p>
            <w:pPr>
              <w:rPr>
                <w:rFonts w:ascii="Arial"/>
                <w:sz w:val="21"/>
              </w:rPr>
            </w:pPr>
          </w:p>
        </w:tc>
        <w:tc>
          <w:tcPr>
            <w:tcW w:w="1103" w:type="dxa"/>
            <w:vAlign w:val="top"/>
          </w:tcPr>
          <w:p>
            <w:pPr>
              <w:pStyle w:val="6"/>
              <w:spacing w:before="68" w:line="221" w:lineRule="auto"/>
              <w:ind w:left="136"/>
            </w:pPr>
            <w:r>
              <w:rPr>
                <w:spacing w:val="-2"/>
              </w:rPr>
              <w:t>生态环境</w:t>
            </w:r>
          </w:p>
        </w:tc>
        <w:tc>
          <w:tcPr>
            <w:tcW w:w="2932" w:type="dxa"/>
            <w:vAlign w:val="top"/>
          </w:tcPr>
          <w:p>
            <w:pPr>
              <w:pStyle w:val="6"/>
              <w:spacing w:before="65" w:line="221" w:lineRule="auto"/>
              <w:ind w:left="1052"/>
            </w:pPr>
            <w:r>
              <w:rPr>
                <w:spacing w:val="-2"/>
              </w:rPr>
              <w:t>绿化养护</w:t>
            </w:r>
          </w:p>
        </w:tc>
        <w:tc>
          <w:tcPr>
            <w:tcW w:w="763" w:type="dxa"/>
            <w:vAlign w:val="top"/>
          </w:tcPr>
          <w:p>
            <w:pPr>
              <w:spacing w:before="100" w:line="233"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107" w:line="184" w:lineRule="auto"/>
              <w:ind w:left="58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0" w:type="dxa"/>
            <w:vMerge w:val="continue"/>
            <w:tcBorders>
              <w:top w:val="nil"/>
            </w:tcBorders>
            <w:vAlign w:val="top"/>
          </w:tcPr>
          <w:p>
            <w:pPr>
              <w:rPr>
                <w:rFonts w:ascii="Arial"/>
                <w:sz w:val="21"/>
              </w:rPr>
            </w:pPr>
          </w:p>
        </w:tc>
        <w:tc>
          <w:tcPr>
            <w:tcW w:w="1103" w:type="dxa"/>
            <w:vAlign w:val="top"/>
          </w:tcPr>
          <w:p>
            <w:pPr>
              <w:pStyle w:val="6"/>
              <w:spacing w:before="31" w:line="223" w:lineRule="auto"/>
              <w:ind w:left="343" w:right="128" w:hanging="207"/>
            </w:pPr>
            <w:r>
              <w:rPr>
                <w:spacing w:val="-2"/>
              </w:rPr>
              <w:t>风险防范</w:t>
            </w:r>
            <w:r>
              <w:t xml:space="preserve"> </w:t>
            </w:r>
            <w:r>
              <w:rPr>
                <w:spacing w:val="-2"/>
              </w:rPr>
              <w:t>措施</w:t>
            </w:r>
          </w:p>
        </w:tc>
        <w:tc>
          <w:tcPr>
            <w:tcW w:w="2932" w:type="dxa"/>
            <w:vAlign w:val="top"/>
          </w:tcPr>
          <w:p>
            <w:pPr>
              <w:pStyle w:val="6"/>
              <w:spacing w:before="31" w:line="223" w:lineRule="auto"/>
              <w:ind w:left="1366" w:right="103" w:hanging="1254"/>
            </w:pPr>
            <w:r>
              <w:rPr>
                <w:spacing w:val="-7"/>
              </w:rPr>
              <w:t>桥梁路段防撞护栏，</w:t>
            </w:r>
            <w:r>
              <w:rPr>
                <w:spacing w:val="-34"/>
              </w:rPr>
              <w:t xml:space="preserve"> </w:t>
            </w:r>
            <w:r>
              <w:rPr>
                <w:spacing w:val="-7"/>
              </w:rPr>
              <w:t>警示标志</w:t>
            </w:r>
            <w:r>
              <w:t xml:space="preserve"> 等</w:t>
            </w:r>
          </w:p>
        </w:tc>
        <w:tc>
          <w:tcPr>
            <w:tcW w:w="763" w:type="dxa"/>
            <w:vAlign w:val="top"/>
          </w:tcPr>
          <w:p>
            <w:pPr>
              <w:spacing w:before="204" w:line="233"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204" w:line="233" w:lineRule="auto"/>
              <w:ind w:left="60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85" w:type="dxa"/>
            <w:vAlign w:val="top"/>
          </w:tcPr>
          <w:p>
            <w:pPr>
              <w:pStyle w:val="6"/>
              <w:spacing w:before="169" w:line="221" w:lineRule="auto"/>
              <w:ind w:left="213"/>
            </w:pPr>
            <w:r>
              <w:rPr>
                <w:spacing w:val="-1"/>
              </w:rPr>
              <w:t>计入主体工程中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0" w:type="dxa"/>
            <w:vMerge w:val="restart"/>
            <w:tcBorders>
              <w:bottom w:val="nil"/>
            </w:tcBorders>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9" w:line="229" w:lineRule="auto"/>
              <w:ind w:left="130" w:right="115" w:hanging="5"/>
            </w:pPr>
            <w:r>
              <w:rPr>
                <w:spacing w:val="-3"/>
              </w:rPr>
              <w:t>环境</w:t>
            </w:r>
            <w:r>
              <w:t xml:space="preserve"> </w:t>
            </w:r>
            <w:r>
              <w:rPr>
                <w:spacing w:val="-6"/>
              </w:rPr>
              <w:t>管理</w:t>
            </w:r>
          </w:p>
        </w:tc>
        <w:tc>
          <w:tcPr>
            <w:tcW w:w="4035" w:type="dxa"/>
            <w:gridSpan w:val="2"/>
            <w:vAlign w:val="top"/>
          </w:tcPr>
          <w:p>
            <w:pPr>
              <w:pStyle w:val="6"/>
              <w:spacing w:before="31" w:line="223" w:lineRule="auto"/>
              <w:ind w:left="1917" w:right="122" w:hanging="1788"/>
            </w:pPr>
            <w:r>
              <w:rPr>
                <w:spacing w:val="-1"/>
              </w:rPr>
              <w:t>施工期及营运期环境管理计划、人员培训</w:t>
            </w:r>
            <w:r>
              <w:rPr>
                <w:spacing w:val="14"/>
              </w:rPr>
              <w:t xml:space="preserve"> </w:t>
            </w:r>
            <w:r>
              <w:t>等</w:t>
            </w:r>
          </w:p>
        </w:tc>
        <w:tc>
          <w:tcPr>
            <w:tcW w:w="763" w:type="dxa"/>
            <w:vAlign w:val="top"/>
          </w:tcPr>
          <w:p>
            <w:pPr>
              <w:spacing w:before="204" w:line="233"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208" w:line="187" w:lineRule="auto"/>
              <w:ind w:left="591"/>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60" w:type="dxa"/>
            <w:vMerge w:val="continue"/>
            <w:tcBorders>
              <w:top w:val="nil"/>
              <w:bottom w:val="nil"/>
            </w:tcBorders>
            <w:vAlign w:val="top"/>
          </w:tcPr>
          <w:p>
            <w:pPr>
              <w:rPr>
                <w:rFonts w:ascii="Arial"/>
                <w:sz w:val="21"/>
              </w:rPr>
            </w:pPr>
          </w:p>
        </w:tc>
        <w:tc>
          <w:tcPr>
            <w:tcW w:w="4035" w:type="dxa"/>
            <w:gridSpan w:val="2"/>
            <w:vAlign w:val="top"/>
          </w:tcPr>
          <w:p>
            <w:pPr>
              <w:pStyle w:val="6"/>
              <w:spacing w:before="67" w:line="221" w:lineRule="auto"/>
              <w:ind w:left="1284"/>
            </w:pPr>
            <w:r>
              <w:rPr>
                <w:spacing w:val="-1"/>
              </w:rPr>
              <w:t>施工期监测实施</w:t>
            </w:r>
          </w:p>
        </w:tc>
        <w:tc>
          <w:tcPr>
            <w:tcW w:w="763" w:type="dxa"/>
            <w:vAlign w:val="top"/>
          </w:tcPr>
          <w:p>
            <w:pPr>
              <w:spacing w:before="102" w:line="231"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105"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60" w:type="dxa"/>
            <w:vMerge w:val="continue"/>
            <w:tcBorders>
              <w:top w:val="nil"/>
              <w:bottom w:val="nil"/>
            </w:tcBorders>
            <w:vAlign w:val="top"/>
          </w:tcPr>
          <w:p>
            <w:pPr>
              <w:rPr>
                <w:rFonts w:ascii="Arial"/>
                <w:sz w:val="21"/>
              </w:rPr>
            </w:pPr>
          </w:p>
        </w:tc>
        <w:tc>
          <w:tcPr>
            <w:tcW w:w="4035" w:type="dxa"/>
            <w:gridSpan w:val="2"/>
            <w:vAlign w:val="top"/>
          </w:tcPr>
          <w:p>
            <w:pPr>
              <w:pStyle w:val="6"/>
              <w:spacing w:before="68" w:line="221" w:lineRule="auto"/>
              <w:ind w:left="1291"/>
            </w:pPr>
            <w:r>
              <w:rPr>
                <w:spacing w:val="-2"/>
              </w:rPr>
              <w:t>营运期监测实施</w:t>
            </w:r>
          </w:p>
        </w:tc>
        <w:tc>
          <w:tcPr>
            <w:tcW w:w="763" w:type="dxa"/>
            <w:vAlign w:val="top"/>
          </w:tcPr>
          <w:p>
            <w:pPr>
              <w:spacing w:before="102" w:line="231"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106"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60" w:type="dxa"/>
            <w:vMerge w:val="continue"/>
            <w:tcBorders>
              <w:top w:val="nil"/>
              <w:bottom w:val="nil"/>
            </w:tcBorders>
            <w:vAlign w:val="top"/>
          </w:tcPr>
          <w:p>
            <w:pPr>
              <w:rPr>
                <w:rFonts w:ascii="Arial"/>
                <w:sz w:val="21"/>
              </w:rPr>
            </w:pPr>
          </w:p>
        </w:tc>
        <w:tc>
          <w:tcPr>
            <w:tcW w:w="4035" w:type="dxa"/>
            <w:gridSpan w:val="2"/>
            <w:vAlign w:val="top"/>
          </w:tcPr>
          <w:p>
            <w:pPr>
              <w:pStyle w:val="6"/>
              <w:spacing w:before="67" w:line="221" w:lineRule="auto"/>
              <w:ind w:left="1182"/>
            </w:pPr>
            <w:r>
              <w:rPr>
                <w:spacing w:val="-1"/>
              </w:rPr>
              <w:t>竣工环境保护验收</w:t>
            </w:r>
          </w:p>
        </w:tc>
        <w:tc>
          <w:tcPr>
            <w:tcW w:w="763" w:type="dxa"/>
            <w:vAlign w:val="top"/>
          </w:tcPr>
          <w:p>
            <w:pPr>
              <w:spacing w:before="103" w:line="228"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before="106"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8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660" w:type="dxa"/>
            <w:vMerge w:val="continue"/>
            <w:tcBorders>
              <w:top w:val="nil"/>
            </w:tcBorders>
            <w:vAlign w:val="top"/>
          </w:tcPr>
          <w:p>
            <w:pPr>
              <w:rPr>
                <w:rFonts w:ascii="Arial"/>
                <w:sz w:val="21"/>
              </w:rPr>
            </w:pPr>
          </w:p>
        </w:tc>
        <w:tc>
          <w:tcPr>
            <w:tcW w:w="4035" w:type="dxa"/>
            <w:gridSpan w:val="2"/>
            <w:vAlign w:val="top"/>
          </w:tcPr>
          <w:p>
            <w:pPr>
              <w:pStyle w:val="6"/>
              <w:spacing w:before="294" w:line="221" w:lineRule="auto"/>
              <w:ind w:left="665"/>
            </w:pPr>
            <w:r>
              <w:rPr>
                <w:spacing w:val="-2"/>
              </w:rPr>
              <w:t>噪声防治措施及其他预留经费</w:t>
            </w:r>
          </w:p>
        </w:tc>
        <w:tc>
          <w:tcPr>
            <w:tcW w:w="763" w:type="dxa"/>
            <w:vAlign w:val="top"/>
          </w:tcPr>
          <w:p>
            <w:pPr>
              <w:spacing w:line="266" w:lineRule="auto"/>
              <w:rPr>
                <w:rFonts w:ascii="Arial"/>
                <w:sz w:val="21"/>
              </w:rPr>
            </w:pPr>
          </w:p>
          <w:p>
            <w:pPr>
              <w:spacing w:before="61" w:line="233"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69" w:type="dxa"/>
            <w:vAlign w:val="top"/>
          </w:tcPr>
          <w:p>
            <w:pPr>
              <w:spacing w:line="270" w:lineRule="auto"/>
              <w:rPr>
                <w:rFonts w:ascii="Arial"/>
                <w:sz w:val="21"/>
              </w:rPr>
            </w:pPr>
          </w:p>
          <w:p>
            <w:pPr>
              <w:spacing w:before="60"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222.55</w:t>
            </w:r>
          </w:p>
        </w:tc>
        <w:tc>
          <w:tcPr>
            <w:tcW w:w="1885" w:type="dxa"/>
            <w:vAlign w:val="top"/>
          </w:tcPr>
          <w:p>
            <w:pPr>
              <w:pStyle w:val="6"/>
              <w:spacing w:before="37" w:line="221" w:lineRule="auto"/>
              <w:ind w:left="214"/>
            </w:pPr>
            <w:r>
              <w:rPr>
                <w:spacing w:val="-1"/>
              </w:rPr>
              <w:t>其他预留经费为</w:t>
            </w:r>
          </w:p>
          <w:p>
            <w:pPr>
              <w:pStyle w:val="6"/>
              <w:spacing w:before="19" w:line="221" w:lineRule="auto"/>
              <w:ind w:left="322"/>
            </w:pPr>
            <w:r>
              <w:rPr>
                <w:spacing w:val="-2"/>
              </w:rPr>
              <w:t>前述总费用的</w:t>
            </w:r>
          </w:p>
          <w:p>
            <w:pPr>
              <w:spacing w:before="44" w:line="176" w:lineRule="auto"/>
              <w:ind w:left="77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458" w:type="dxa"/>
            <w:gridSpan w:val="4"/>
            <w:vAlign w:val="top"/>
          </w:tcPr>
          <w:p>
            <w:pPr>
              <w:pStyle w:val="6"/>
              <w:spacing w:before="68" w:line="222" w:lineRule="auto"/>
              <w:ind w:left="2531"/>
            </w:pPr>
            <w:r>
              <w:rPr>
                <w:spacing w:val="-3"/>
              </w:rPr>
              <w:t>总计</w:t>
            </w:r>
          </w:p>
        </w:tc>
        <w:tc>
          <w:tcPr>
            <w:tcW w:w="1269" w:type="dxa"/>
            <w:vAlign w:val="top"/>
          </w:tcPr>
          <w:p>
            <w:pPr>
              <w:spacing w:before="107" w:line="187" w:lineRule="auto"/>
              <w:ind w:left="3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948.05</w:t>
            </w:r>
          </w:p>
        </w:tc>
        <w:tc>
          <w:tcPr>
            <w:tcW w:w="1885" w:type="dxa"/>
            <w:vAlign w:val="top"/>
          </w:tcPr>
          <w:p>
            <w:pPr>
              <w:rPr>
                <w:rFonts w:ascii="Arial"/>
                <w:sz w:val="21"/>
              </w:rPr>
            </w:pPr>
          </w:p>
        </w:tc>
      </w:tr>
    </w:tbl>
    <w:p>
      <w:pPr>
        <w:pStyle w:val="2"/>
        <w:spacing w:line="371" w:lineRule="auto"/>
      </w:pPr>
    </w:p>
    <w:p>
      <w:pPr>
        <w:spacing w:before="78" w:line="220" w:lineRule="auto"/>
        <w:ind w:left="164"/>
        <w:outlineLvl w:val="1"/>
        <w:rPr>
          <w:rFonts w:ascii="宋体" w:hAnsi="宋体" w:eastAsia="宋体" w:cs="宋体"/>
          <w:sz w:val="24"/>
          <w:szCs w:val="24"/>
        </w:rPr>
      </w:pPr>
      <w:bookmarkStart w:id="58" w:name="bookmark51"/>
      <w:bookmarkEnd w:id="58"/>
      <w:r>
        <w:rPr>
          <w:rFonts w:ascii="Times New Roman" w:hAnsi="Times New Roman" w:eastAsia="Times New Roman" w:cs="Times New Roman"/>
          <w:b/>
          <w:bCs/>
          <w:spacing w:val="-1"/>
          <w:sz w:val="24"/>
          <w:szCs w:val="24"/>
        </w:rPr>
        <w:t xml:space="preserve">8.3 </w:t>
      </w:r>
      <w:r>
        <w:rPr>
          <w:rFonts w:ascii="宋体" w:hAnsi="宋体" w:eastAsia="宋体" w:cs="宋体"/>
          <w:spacing w:val="-1"/>
          <w:sz w:val="24"/>
          <w:szCs w:val="24"/>
          <w14:textOutline w14:w="4354" w14:cap="flat" w14:cmpd="sng">
            <w14:solidFill>
              <w14:srgbClr w14:val="000000"/>
            </w14:solidFill>
            <w14:prstDash w14:val="solid"/>
            <w14:miter w14:val="0"/>
          </w14:textOutline>
        </w:rPr>
        <w:t>环境经济损益分析</w:t>
      </w:r>
    </w:p>
    <w:p>
      <w:pPr>
        <w:spacing w:before="181" w:line="359" w:lineRule="auto"/>
        <w:ind w:left="165" w:right="155" w:firstLine="480"/>
        <w:jc w:val="both"/>
        <w:rPr>
          <w:rFonts w:ascii="宋体" w:hAnsi="宋体" w:eastAsia="宋体" w:cs="宋体"/>
          <w:sz w:val="24"/>
          <w:szCs w:val="24"/>
        </w:rPr>
      </w:pPr>
      <w:r>
        <w:rPr>
          <w:rFonts w:ascii="宋体" w:hAnsi="宋体" w:eastAsia="宋体" w:cs="宋体"/>
          <w:spacing w:val="-6"/>
          <w:sz w:val="24"/>
          <w:szCs w:val="24"/>
        </w:rPr>
        <w:t>本项目建设带来的效益主要是社会效益，</w:t>
      </w:r>
      <w:r>
        <w:rPr>
          <w:rFonts w:ascii="宋体" w:hAnsi="宋体" w:eastAsia="宋体" w:cs="宋体"/>
          <w:spacing w:val="-27"/>
          <w:sz w:val="24"/>
          <w:szCs w:val="24"/>
        </w:rPr>
        <w:t xml:space="preserve"> </w:t>
      </w:r>
      <w:r>
        <w:rPr>
          <w:rFonts w:ascii="宋体" w:hAnsi="宋体" w:eastAsia="宋体" w:cs="宋体"/>
          <w:spacing w:val="-6"/>
          <w:sz w:val="24"/>
          <w:szCs w:val="24"/>
        </w:rPr>
        <w:t>其产生的效益量远大于环境效益的</w:t>
      </w:r>
      <w:r>
        <w:rPr>
          <w:rFonts w:ascii="宋体" w:hAnsi="宋体" w:eastAsia="宋体" w:cs="宋体"/>
          <w:sz w:val="24"/>
          <w:szCs w:val="24"/>
        </w:rPr>
        <w:t xml:space="preserve"> </w:t>
      </w:r>
      <w:r>
        <w:rPr>
          <w:rFonts w:ascii="宋体" w:hAnsi="宋体" w:eastAsia="宋体" w:cs="宋体"/>
          <w:spacing w:val="-6"/>
          <w:sz w:val="24"/>
          <w:szCs w:val="24"/>
        </w:rPr>
        <w:t>损失量。虽然本项目的施工和运营会对沿线环境产生一定</w:t>
      </w:r>
      <w:r>
        <w:rPr>
          <w:rFonts w:ascii="宋体" w:hAnsi="宋体" w:eastAsia="宋体" w:cs="宋体"/>
          <w:spacing w:val="-7"/>
          <w:sz w:val="24"/>
          <w:szCs w:val="24"/>
        </w:rPr>
        <w:t>的干扰和破坏影响， 但</w:t>
      </w:r>
      <w:r>
        <w:rPr>
          <w:rFonts w:ascii="宋体" w:hAnsi="宋体" w:eastAsia="宋体" w:cs="宋体"/>
          <w:sz w:val="24"/>
          <w:szCs w:val="24"/>
        </w:rPr>
        <w:t xml:space="preserve"> </w:t>
      </w:r>
      <w:r>
        <w:rPr>
          <w:rFonts w:ascii="宋体" w:hAnsi="宋体" w:eastAsia="宋体" w:cs="宋体"/>
          <w:spacing w:val="-6"/>
          <w:sz w:val="24"/>
          <w:szCs w:val="24"/>
        </w:rPr>
        <w:t>落实环保投资并采取一定的环保措施后，</w:t>
      </w:r>
      <w:r>
        <w:rPr>
          <w:rFonts w:ascii="宋体" w:hAnsi="宋体" w:eastAsia="宋体" w:cs="宋体"/>
          <w:spacing w:val="-14"/>
          <w:sz w:val="24"/>
          <w:szCs w:val="24"/>
        </w:rPr>
        <w:t xml:space="preserve"> </w:t>
      </w:r>
      <w:r>
        <w:rPr>
          <w:rFonts w:ascii="宋体" w:hAnsi="宋体" w:eastAsia="宋体" w:cs="宋体"/>
          <w:spacing w:val="-6"/>
          <w:sz w:val="24"/>
          <w:szCs w:val="24"/>
        </w:rPr>
        <w:t>这些影响在一定程度上将得以减轻或消</w:t>
      </w:r>
      <w:r>
        <w:rPr>
          <w:rFonts w:ascii="宋体" w:hAnsi="宋体" w:eastAsia="宋体" w:cs="宋体"/>
          <w:sz w:val="24"/>
          <w:szCs w:val="24"/>
        </w:rPr>
        <w:t xml:space="preserve"> </w:t>
      </w:r>
      <w:r>
        <w:rPr>
          <w:rFonts w:ascii="宋体" w:hAnsi="宋体" w:eastAsia="宋体" w:cs="宋体"/>
          <w:spacing w:val="-12"/>
          <w:sz w:val="24"/>
          <w:szCs w:val="24"/>
        </w:rPr>
        <w:t>除。如公路建成后将节约时间和运行成本，</w:t>
      </w:r>
      <w:r>
        <w:rPr>
          <w:rFonts w:ascii="宋体" w:hAnsi="宋体" w:eastAsia="宋体" w:cs="宋体"/>
          <w:spacing w:val="50"/>
          <w:sz w:val="24"/>
          <w:szCs w:val="24"/>
        </w:rPr>
        <w:t xml:space="preserve"> </w:t>
      </w:r>
      <w:r>
        <w:rPr>
          <w:rFonts w:ascii="宋体" w:hAnsi="宋体" w:eastAsia="宋体" w:cs="宋体"/>
          <w:spacing w:val="-12"/>
          <w:sz w:val="24"/>
          <w:szCs w:val="24"/>
        </w:rPr>
        <w:t>降低燃</w:t>
      </w:r>
      <w:r>
        <w:rPr>
          <w:rFonts w:ascii="宋体" w:hAnsi="宋体" w:eastAsia="宋体" w:cs="宋体"/>
          <w:spacing w:val="-13"/>
          <w:sz w:val="24"/>
          <w:szCs w:val="24"/>
        </w:rPr>
        <w:t>料消耗，</w:t>
      </w:r>
      <w:r>
        <w:rPr>
          <w:rFonts w:ascii="宋体" w:hAnsi="宋体" w:eastAsia="宋体" w:cs="宋体"/>
          <w:spacing w:val="39"/>
          <w:sz w:val="24"/>
          <w:szCs w:val="24"/>
        </w:rPr>
        <w:t xml:space="preserve"> </w:t>
      </w:r>
      <w:r>
        <w:rPr>
          <w:rFonts w:ascii="宋体" w:hAnsi="宋体" w:eastAsia="宋体" w:cs="宋体"/>
          <w:spacing w:val="-13"/>
          <w:sz w:val="24"/>
          <w:szCs w:val="24"/>
        </w:rPr>
        <w:t>带来当地区域经济发</w:t>
      </w:r>
      <w:r>
        <w:rPr>
          <w:rFonts w:ascii="宋体" w:hAnsi="宋体" w:eastAsia="宋体" w:cs="宋体"/>
          <w:sz w:val="24"/>
          <w:szCs w:val="24"/>
        </w:rPr>
        <w:t xml:space="preserve"> </w:t>
      </w:r>
      <w:r>
        <w:rPr>
          <w:rFonts w:ascii="宋体" w:hAnsi="宋体" w:eastAsia="宋体" w:cs="宋体"/>
          <w:spacing w:val="-6"/>
          <w:sz w:val="24"/>
          <w:szCs w:val="24"/>
        </w:rPr>
        <w:t>展和居民收入的增加； 公路绿化工程可部分补偿因工程占地引</w:t>
      </w:r>
      <w:r>
        <w:rPr>
          <w:rFonts w:ascii="宋体" w:hAnsi="宋体" w:eastAsia="宋体" w:cs="宋体"/>
          <w:spacing w:val="-7"/>
          <w:sz w:val="24"/>
          <w:szCs w:val="24"/>
        </w:rPr>
        <w:t>起的植被环境效益</w:t>
      </w:r>
    </w:p>
    <w:p>
      <w:pPr>
        <w:spacing w:before="1" w:line="218" w:lineRule="auto"/>
        <w:ind w:left="165"/>
        <w:rPr>
          <w:rFonts w:ascii="宋体" w:hAnsi="宋体" w:eastAsia="宋体" w:cs="宋体"/>
          <w:sz w:val="24"/>
          <w:szCs w:val="24"/>
        </w:rPr>
      </w:pPr>
      <w:r>
        <w:rPr>
          <w:rFonts w:ascii="宋体" w:hAnsi="宋体" w:eastAsia="宋体" w:cs="宋体"/>
          <w:spacing w:val="-2"/>
          <w:sz w:val="24"/>
          <w:szCs w:val="24"/>
        </w:rPr>
        <w:t>损失。现就环保投资的环境效益、社会经济效益简要分析见表</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8.3-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p>
      <w:pPr>
        <w:spacing w:before="181" w:line="220" w:lineRule="auto"/>
        <w:ind w:left="2838"/>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8.3-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环境经济损益分析</w:t>
      </w:r>
    </w:p>
    <w:p>
      <w:pPr>
        <w:spacing w:line="145" w:lineRule="exact"/>
      </w:pPr>
    </w:p>
    <w:tbl>
      <w:tblPr>
        <w:tblStyle w:val="5"/>
        <w:tblW w:w="8370" w:type="dxa"/>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0"/>
        <w:gridCol w:w="2581"/>
        <w:gridCol w:w="2447"/>
        <w:gridCol w:w="22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130" w:type="dxa"/>
            <w:vAlign w:val="top"/>
          </w:tcPr>
          <w:p>
            <w:pPr>
              <w:pStyle w:val="6"/>
              <w:spacing w:before="80" w:line="210" w:lineRule="auto"/>
              <w:ind w:left="149"/>
            </w:pPr>
            <w:r>
              <w:rPr>
                <w:spacing w:val="-2"/>
              </w:rPr>
              <w:t>环保投资</w:t>
            </w:r>
          </w:p>
        </w:tc>
        <w:tc>
          <w:tcPr>
            <w:tcW w:w="2581" w:type="dxa"/>
            <w:vAlign w:val="top"/>
          </w:tcPr>
          <w:p>
            <w:pPr>
              <w:pStyle w:val="6"/>
              <w:spacing w:before="80" w:line="210" w:lineRule="auto"/>
              <w:ind w:left="875"/>
            </w:pPr>
            <w:r>
              <w:rPr>
                <w:spacing w:val="-2"/>
              </w:rPr>
              <w:t>环境效益</w:t>
            </w:r>
          </w:p>
        </w:tc>
        <w:tc>
          <w:tcPr>
            <w:tcW w:w="2447" w:type="dxa"/>
            <w:vAlign w:val="top"/>
          </w:tcPr>
          <w:p>
            <w:pPr>
              <w:pStyle w:val="6"/>
              <w:spacing w:before="80" w:line="210" w:lineRule="auto"/>
              <w:ind w:left="811"/>
            </w:pPr>
            <w:r>
              <w:rPr>
                <w:spacing w:val="-2"/>
              </w:rPr>
              <w:t>社会效益</w:t>
            </w:r>
          </w:p>
        </w:tc>
        <w:tc>
          <w:tcPr>
            <w:tcW w:w="2212" w:type="dxa"/>
            <w:vAlign w:val="top"/>
          </w:tcPr>
          <w:p>
            <w:pPr>
              <w:pStyle w:val="6"/>
              <w:spacing w:before="80" w:line="210" w:lineRule="auto"/>
              <w:ind w:left="694"/>
            </w:pPr>
            <w:r>
              <w:rPr>
                <w:spacing w:val="-2"/>
              </w:rPr>
              <w:t>综合效益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1130" w:type="dxa"/>
            <w:vAlign w:val="top"/>
          </w:tcPr>
          <w:p>
            <w:pPr>
              <w:spacing w:line="242" w:lineRule="auto"/>
              <w:rPr>
                <w:rFonts w:ascii="Arial"/>
                <w:sz w:val="21"/>
              </w:rPr>
            </w:pPr>
          </w:p>
          <w:p>
            <w:pPr>
              <w:spacing w:line="242" w:lineRule="auto"/>
              <w:rPr>
                <w:rFonts w:ascii="Arial"/>
                <w:sz w:val="21"/>
              </w:rPr>
            </w:pPr>
          </w:p>
          <w:p>
            <w:pPr>
              <w:pStyle w:val="6"/>
              <w:spacing w:before="68" w:line="252" w:lineRule="auto"/>
              <w:ind w:left="360" w:right="35" w:hanging="317"/>
            </w:pPr>
            <w:r>
              <w:rPr>
                <w:spacing w:val="-1"/>
              </w:rPr>
              <w:t>施工期环保</w:t>
            </w:r>
            <w:r>
              <w:t xml:space="preserve"> </w:t>
            </w:r>
            <w:r>
              <w:rPr>
                <w:spacing w:val="-2"/>
              </w:rPr>
              <w:t>措施</w:t>
            </w:r>
          </w:p>
        </w:tc>
        <w:tc>
          <w:tcPr>
            <w:tcW w:w="2581" w:type="dxa"/>
            <w:vAlign w:val="top"/>
          </w:tcPr>
          <w:p>
            <w:pPr>
              <w:pStyle w:val="6"/>
              <w:spacing w:before="236" w:line="221" w:lineRule="auto"/>
              <w:ind w:left="48"/>
            </w:pPr>
            <w:r>
              <w:rPr>
                <w:rFonts w:ascii="Times New Roman" w:hAnsi="Times New Roman" w:eastAsia="Times New Roman" w:cs="Times New Roman"/>
                <w:spacing w:val="-3"/>
              </w:rPr>
              <w:t>1.</w:t>
            </w:r>
            <w:r>
              <w:rPr>
                <w:spacing w:val="-3"/>
              </w:rPr>
              <w:t>防止施工扰民</w:t>
            </w:r>
          </w:p>
          <w:p>
            <w:pPr>
              <w:pStyle w:val="6"/>
              <w:spacing w:before="67" w:line="322" w:lineRule="exact"/>
              <w:ind w:left="28"/>
            </w:pPr>
            <w:r>
              <w:rPr>
                <w:rFonts w:ascii="Times New Roman" w:hAnsi="Times New Roman" w:eastAsia="Times New Roman" w:cs="Times New Roman"/>
                <w:spacing w:val="-1"/>
                <w:position w:val="8"/>
              </w:rPr>
              <w:t>2.</w:t>
            </w:r>
            <w:r>
              <w:rPr>
                <w:spacing w:val="-1"/>
                <w:position w:val="8"/>
              </w:rPr>
              <w:t>防止水环境污染</w:t>
            </w:r>
          </w:p>
          <w:p>
            <w:pPr>
              <w:pStyle w:val="6"/>
              <w:spacing w:line="221" w:lineRule="auto"/>
              <w:ind w:left="32"/>
            </w:pPr>
            <w:r>
              <w:rPr>
                <w:rFonts w:ascii="Times New Roman" w:hAnsi="Times New Roman" w:eastAsia="Times New Roman" w:cs="Times New Roman"/>
                <w:spacing w:val="-1"/>
              </w:rPr>
              <w:t>3.</w:t>
            </w:r>
            <w:r>
              <w:rPr>
                <w:spacing w:val="-1"/>
              </w:rPr>
              <w:t>防止空气污染</w:t>
            </w:r>
          </w:p>
          <w:p>
            <w:pPr>
              <w:pStyle w:val="6"/>
              <w:spacing w:before="66" w:line="221" w:lineRule="auto"/>
              <w:ind w:left="27"/>
            </w:pPr>
            <w:r>
              <w:rPr>
                <w:rFonts w:ascii="Times New Roman" w:hAnsi="Times New Roman" w:eastAsia="Times New Roman" w:cs="Times New Roman"/>
              </w:rPr>
              <w:t>4.</w:t>
            </w:r>
            <w:r>
              <w:t>保护公众安全、出行方便</w:t>
            </w:r>
          </w:p>
        </w:tc>
        <w:tc>
          <w:tcPr>
            <w:tcW w:w="2447" w:type="dxa"/>
            <w:vAlign w:val="top"/>
          </w:tcPr>
          <w:p>
            <w:pPr>
              <w:pStyle w:val="6"/>
              <w:spacing w:before="76" w:line="261" w:lineRule="auto"/>
              <w:ind w:left="30" w:right="20" w:firstLine="20"/>
              <w:jc w:val="both"/>
            </w:pPr>
            <w:r>
              <w:rPr>
                <w:rFonts w:ascii="Times New Roman" w:hAnsi="Times New Roman" w:eastAsia="Times New Roman" w:cs="Times New Roman"/>
                <w:spacing w:val="-8"/>
              </w:rPr>
              <w:t>1.</w:t>
            </w:r>
            <w:r>
              <w:rPr>
                <w:spacing w:val="-8"/>
              </w:rPr>
              <w:t>保护人们生活、生产环境</w:t>
            </w:r>
            <w:r>
              <w:rPr>
                <w:spacing w:val="6"/>
              </w:rPr>
              <w:t xml:space="preserve"> </w:t>
            </w:r>
            <w:r>
              <w:rPr>
                <w:rFonts w:ascii="Times New Roman" w:hAnsi="Times New Roman" w:eastAsia="Times New Roman" w:cs="Times New Roman"/>
                <w:spacing w:val="-6"/>
              </w:rPr>
              <w:t>2.</w:t>
            </w:r>
            <w:r>
              <w:rPr>
                <w:spacing w:val="-6"/>
              </w:rPr>
              <w:t>保护土地、农业、林业及</w:t>
            </w:r>
            <w:r>
              <w:t xml:space="preserve"> </w:t>
            </w:r>
            <w:r>
              <w:rPr>
                <w:spacing w:val="-1"/>
              </w:rPr>
              <w:t>植被等</w:t>
            </w:r>
          </w:p>
          <w:p>
            <w:pPr>
              <w:pStyle w:val="6"/>
              <w:spacing w:before="68" w:line="245" w:lineRule="auto"/>
              <w:ind w:left="34" w:right="22"/>
            </w:pPr>
            <w:r>
              <w:rPr>
                <w:rFonts w:ascii="Times New Roman" w:hAnsi="Times New Roman" w:eastAsia="Times New Roman" w:cs="Times New Roman"/>
                <w:spacing w:val="10"/>
              </w:rPr>
              <w:t>3.</w:t>
            </w:r>
            <w:r>
              <w:rPr>
                <w:spacing w:val="10"/>
              </w:rPr>
              <w:t>保护国家财产安全和公</w:t>
            </w:r>
            <w:r>
              <w:rPr>
                <w:spacing w:val="6"/>
              </w:rPr>
              <w:t xml:space="preserve"> </w:t>
            </w:r>
            <w:r>
              <w:rPr>
                <w:spacing w:val="-2"/>
              </w:rPr>
              <w:t>众人身安全</w:t>
            </w:r>
          </w:p>
        </w:tc>
        <w:tc>
          <w:tcPr>
            <w:tcW w:w="2212" w:type="dxa"/>
            <w:vAlign w:val="top"/>
          </w:tcPr>
          <w:p>
            <w:pPr>
              <w:pStyle w:val="6"/>
              <w:spacing w:before="236" w:line="266" w:lineRule="auto"/>
              <w:ind w:left="31" w:right="28" w:firstLine="20"/>
              <w:jc w:val="both"/>
            </w:pPr>
            <w:r>
              <w:rPr>
                <w:rFonts w:ascii="Times New Roman" w:hAnsi="Times New Roman" w:eastAsia="Times New Roman" w:cs="Times New Roman"/>
                <w:spacing w:val="7"/>
              </w:rPr>
              <w:t>1.</w:t>
            </w:r>
            <w:r>
              <w:rPr>
                <w:spacing w:val="7"/>
              </w:rPr>
              <w:t>使施工期对环境的不</w:t>
            </w:r>
            <w:r>
              <w:t xml:space="preserve"> </w:t>
            </w:r>
            <w:r>
              <w:rPr>
                <w:spacing w:val="-1"/>
              </w:rPr>
              <w:t>利影响降低到最小程度</w:t>
            </w:r>
            <w:r>
              <w:rPr>
                <w:spacing w:val="7"/>
              </w:rPr>
              <w:t xml:space="preserve"> </w:t>
            </w:r>
            <w:r>
              <w:rPr>
                <w:rFonts w:ascii="Times New Roman" w:hAnsi="Times New Roman" w:eastAsia="Times New Roman" w:cs="Times New Roman"/>
                <w:spacing w:val="8"/>
              </w:rPr>
              <w:t>2.</w:t>
            </w:r>
            <w:r>
              <w:rPr>
                <w:spacing w:val="8"/>
              </w:rPr>
              <w:t>公路改扩建得到社会</w:t>
            </w:r>
            <w:r>
              <w:rPr>
                <w:spacing w:val="9"/>
              </w:rPr>
              <w:t xml:space="preserve"> </w:t>
            </w:r>
            <w:r>
              <w:rPr>
                <w:spacing w:val="-1"/>
              </w:rPr>
              <w:t>公众的支持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1130" w:type="dxa"/>
            <w:vAlign w:val="top"/>
          </w:tcPr>
          <w:p>
            <w:pPr>
              <w:spacing w:line="328" w:lineRule="auto"/>
              <w:rPr>
                <w:rFonts w:ascii="Arial"/>
                <w:sz w:val="21"/>
              </w:rPr>
            </w:pPr>
          </w:p>
          <w:p>
            <w:pPr>
              <w:pStyle w:val="6"/>
              <w:spacing w:before="69" w:line="251" w:lineRule="auto"/>
              <w:ind w:left="258" w:right="66" w:hanging="208"/>
            </w:pPr>
            <w:r>
              <w:rPr>
                <w:spacing w:val="-9"/>
              </w:rPr>
              <w:t>公路界内、</w:t>
            </w:r>
            <w:r>
              <w:rPr>
                <w:spacing w:val="1"/>
              </w:rPr>
              <w:t xml:space="preserve"> </w:t>
            </w:r>
            <w:r>
              <w:rPr>
                <w:spacing w:val="-2"/>
              </w:rPr>
              <w:t>外绿化</w:t>
            </w:r>
          </w:p>
        </w:tc>
        <w:tc>
          <w:tcPr>
            <w:tcW w:w="2581" w:type="dxa"/>
            <w:vAlign w:val="top"/>
          </w:tcPr>
          <w:p>
            <w:pPr>
              <w:pStyle w:val="6"/>
              <w:spacing w:before="77" w:line="322" w:lineRule="exact"/>
              <w:ind w:left="48"/>
            </w:pPr>
            <w:r>
              <w:rPr>
                <w:rFonts w:ascii="Times New Roman" w:hAnsi="Times New Roman" w:eastAsia="Times New Roman" w:cs="Times New Roman"/>
                <w:spacing w:val="-4"/>
                <w:position w:val="8"/>
              </w:rPr>
              <w:t>1.</w:t>
            </w:r>
            <w:r>
              <w:rPr>
                <w:spacing w:val="-4"/>
                <w:position w:val="8"/>
              </w:rPr>
              <w:t>公路景观</w:t>
            </w:r>
          </w:p>
          <w:p>
            <w:pPr>
              <w:pStyle w:val="6"/>
              <w:spacing w:line="220" w:lineRule="auto"/>
              <w:ind w:left="28"/>
            </w:pPr>
            <w:r>
              <w:rPr>
                <w:rFonts w:ascii="Times New Roman" w:hAnsi="Times New Roman" w:eastAsia="Times New Roman" w:cs="Times New Roman"/>
                <w:spacing w:val="-1"/>
              </w:rPr>
              <w:t>2.</w:t>
            </w:r>
            <w:r>
              <w:rPr>
                <w:spacing w:val="-1"/>
              </w:rPr>
              <w:t>水土保持</w:t>
            </w:r>
          </w:p>
          <w:p>
            <w:pPr>
              <w:pStyle w:val="6"/>
              <w:spacing w:before="68" w:line="319" w:lineRule="exact"/>
              <w:ind w:left="32"/>
            </w:pPr>
            <w:r>
              <w:rPr>
                <w:rFonts w:ascii="Times New Roman" w:hAnsi="Times New Roman" w:eastAsia="Times New Roman" w:cs="Times New Roman"/>
                <w:spacing w:val="-1"/>
                <w:position w:val="7"/>
              </w:rPr>
              <w:t>3.</w:t>
            </w:r>
            <w:r>
              <w:rPr>
                <w:spacing w:val="-1"/>
                <w:position w:val="7"/>
              </w:rPr>
              <w:t>恢复或补偿植被</w:t>
            </w:r>
          </w:p>
          <w:p>
            <w:pPr>
              <w:pStyle w:val="6"/>
              <w:spacing w:line="207" w:lineRule="auto"/>
              <w:ind w:left="27"/>
            </w:pPr>
            <w:r>
              <w:rPr>
                <w:rFonts w:ascii="Times New Roman" w:hAnsi="Times New Roman" w:eastAsia="Times New Roman" w:cs="Times New Roman"/>
              </w:rPr>
              <w:t>4.</w:t>
            </w:r>
            <w:r>
              <w:t>改善生态环境</w:t>
            </w:r>
          </w:p>
        </w:tc>
        <w:tc>
          <w:tcPr>
            <w:tcW w:w="2447" w:type="dxa"/>
            <w:vAlign w:val="top"/>
          </w:tcPr>
          <w:p>
            <w:pPr>
              <w:pStyle w:val="6"/>
              <w:spacing w:before="77" w:line="221" w:lineRule="auto"/>
              <w:ind w:left="50"/>
            </w:pPr>
            <w:r>
              <w:rPr>
                <w:rFonts w:ascii="Times New Roman" w:hAnsi="Times New Roman" w:eastAsia="Times New Roman" w:cs="Times New Roman"/>
                <w:spacing w:val="-3"/>
              </w:rPr>
              <w:t>1.</w:t>
            </w:r>
            <w:r>
              <w:rPr>
                <w:spacing w:val="-3"/>
              </w:rPr>
              <w:t>改造整体环境</w:t>
            </w:r>
          </w:p>
          <w:p>
            <w:pPr>
              <w:pStyle w:val="6"/>
              <w:spacing w:before="70" w:line="251" w:lineRule="auto"/>
              <w:ind w:left="36" w:right="22" w:hanging="6"/>
            </w:pPr>
            <w:r>
              <w:rPr>
                <w:rFonts w:ascii="Times New Roman" w:hAnsi="Times New Roman" w:eastAsia="Times New Roman" w:cs="Times New Roman"/>
                <w:spacing w:val="10"/>
              </w:rPr>
              <w:t>2.</w:t>
            </w:r>
            <w:r>
              <w:rPr>
                <w:spacing w:val="10"/>
              </w:rPr>
              <w:t xml:space="preserve">防止土壤侵蚀进一步扩 </w:t>
            </w:r>
            <w:r>
              <w:t>大</w:t>
            </w:r>
          </w:p>
          <w:p>
            <w:pPr>
              <w:pStyle w:val="6"/>
              <w:spacing w:before="67" w:line="208" w:lineRule="auto"/>
              <w:ind w:left="34"/>
            </w:pPr>
            <w:r>
              <w:rPr>
                <w:rFonts w:ascii="Times New Roman" w:hAnsi="Times New Roman" w:eastAsia="Times New Roman" w:cs="Times New Roman"/>
                <w:spacing w:val="-1"/>
              </w:rPr>
              <w:t>3.</w:t>
            </w:r>
            <w:r>
              <w:rPr>
                <w:spacing w:val="-1"/>
              </w:rPr>
              <w:t>增加路基稳定性</w:t>
            </w:r>
          </w:p>
        </w:tc>
        <w:tc>
          <w:tcPr>
            <w:tcW w:w="2212" w:type="dxa"/>
            <w:vAlign w:val="top"/>
          </w:tcPr>
          <w:p>
            <w:pPr>
              <w:pStyle w:val="6"/>
              <w:spacing w:before="76" w:line="252" w:lineRule="auto"/>
              <w:ind w:left="31" w:right="129" w:firstLine="20"/>
            </w:pPr>
            <w:r>
              <w:rPr>
                <w:rFonts w:ascii="Times New Roman" w:hAnsi="Times New Roman" w:eastAsia="Times New Roman" w:cs="Times New Roman"/>
                <w:spacing w:val="-3"/>
              </w:rPr>
              <w:t>1.</w:t>
            </w:r>
            <w:r>
              <w:rPr>
                <w:spacing w:val="-3"/>
              </w:rPr>
              <w:t>改善地区的生态环境</w:t>
            </w:r>
            <w:r>
              <w:rPr>
                <w:spacing w:val="9"/>
              </w:rPr>
              <w:t xml:space="preserve"> </w:t>
            </w:r>
            <w:r>
              <w:rPr>
                <w:rFonts w:ascii="Times New Roman" w:hAnsi="Times New Roman" w:eastAsia="Times New Roman" w:cs="Times New Roman"/>
                <w:spacing w:val="-1"/>
              </w:rPr>
              <w:t>2.</w:t>
            </w:r>
            <w:r>
              <w:rPr>
                <w:spacing w:val="-1"/>
              </w:rPr>
              <w:t>保障公路运输安全</w:t>
            </w:r>
          </w:p>
          <w:p>
            <w:pPr>
              <w:pStyle w:val="6"/>
              <w:spacing w:before="68" w:line="244" w:lineRule="auto"/>
              <w:ind w:left="36" w:right="28"/>
            </w:pPr>
            <w:r>
              <w:rPr>
                <w:rFonts w:ascii="Times New Roman" w:hAnsi="Times New Roman" w:eastAsia="Times New Roman" w:cs="Times New Roman"/>
                <w:spacing w:val="8"/>
              </w:rPr>
              <w:t>3.</w:t>
            </w:r>
            <w:r>
              <w:rPr>
                <w:spacing w:val="8"/>
              </w:rPr>
              <w:t>增加旅行安全和舒适</w:t>
            </w:r>
            <w:r>
              <w:rPr>
                <w:spacing w:val="5"/>
              </w:rPr>
              <w:t xml:space="preserve"> </w:t>
            </w:r>
            <w:r>
              <w:t>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130" w:type="dxa"/>
            <w:vAlign w:val="top"/>
          </w:tcPr>
          <w:p>
            <w:pPr>
              <w:pStyle w:val="6"/>
              <w:spacing w:before="80" w:line="246" w:lineRule="auto"/>
              <w:ind w:left="43" w:right="35" w:firstLine="2"/>
            </w:pPr>
            <w:r>
              <w:rPr>
                <w:spacing w:val="-2"/>
              </w:rPr>
              <w:t>污水处理工</w:t>
            </w:r>
            <w:r>
              <w:rPr>
                <w:spacing w:val="2"/>
              </w:rPr>
              <w:t xml:space="preserve"> </w:t>
            </w:r>
            <w:r>
              <w:rPr>
                <w:spacing w:val="-1"/>
              </w:rPr>
              <w:t>程、排水与</w:t>
            </w:r>
          </w:p>
        </w:tc>
        <w:tc>
          <w:tcPr>
            <w:tcW w:w="2581" w:type="dxa"/>
            <w:vAlign w:val="top"/>
          </w:tcPr>
          <w:p>
            <w:pPr>
              <w:pStyle w:val="6"/>
              <w:spacing w:before="80" w:line="246" w:lineRule="auto"/>
              <w:ind w:left="49" w:right="24" w:hanging="16"/>
            </w:pPr>
            <w:r>
              <w:rPr>
                <w:spacing w:val="-1"/>
              </w:rPr>
              <w:t>保护沿线地区河流、灌渠等</w:t>
            </w:r>
            <w:r>
              <w:rPr>
                <w:spacing w:val="9"/>
              </w:rPr>
              <w:t xml:space="preserve"> </w:t>
            </w:r>
            <w:r>
              <w:rPr>
                <w:spacing w:val="-5"/>
              </w:rPr>
              <w:t>的水质</w:t>
            </w:r>
          </w:p>
        </w:tc>
        <w:tc>
          <w:tcPr>
            <w:tcW w:w="2447" w:type="dxa"/>
            <w:vAlign w:val="top"/>
          </w:tcPr>
          <w:p>
            <w:pPr>
              <w:pStyle w:val="6"/>
              <w:spacing w:before="79" w:line="320" w:lineRule="exact"/>
              <w:ind w:left="50"/>
            </w:pPr>
            <w:r>
              <w:rPr>
                <w:rFonts w:ascii="Times New Roman" w:hAnsi="Times New Roman" w:eastAsia="Times New Roman" w:cs="Times New Roman"/>
                <w:spacing w:val="-3"/>
                <w:position w:val="7"/>
              </w:rPr>
              <w:t>1.</w:t>
            </w:r>
            <w:r>
              <w:rPr>
                <w:spacing w:val="-3"/>
                <w:position w:val="7"/>
              </w:rPr>
              <w:t>保护地表水资源</w:t>
            </w:r>
          </w:p>
          <w:p>
            <w:pPr>
              <w:pStyle w:val="6"/>
              <w:spacing w:line="211" w:lineRule="auto"/>
              <w:ind w:left="30"/>
            </w:pPr>
            <w:r>
              <w:rPr>
                <w:rFonts w:ascii="Times New Roman" w:hAnsi="Times New Roman" w:eastAsia="Times New Roman" w:cs="Times New Roman"/>
                <w:spacing w:val="-1"/>
              </w:rPr>
              <w:t>2.</w:t>
            </w:r>
            <w:r>
              <w:rPr>
                <w:spacing w:val="-1"/>
              </w:rPr>
              <w:t>水土保持</w:t>
            </w:r>
          </w:p>
        </w:tc>
        <w:tc>
          <w:tcPr>
            <w:tcW w:w="2212" w:type="dxa"/>
            <w:vAlign w:val="top"/>
          </w:tcPr>
          <w:p>
            <w:pPr>
              <w:pStyle w:val="6"/>
              <w:spacing w:before="238" w:line="221" w:lineRule="auto"/>
              <w:ind w:left="36"/>
            </w:pPr>
            <w:r>
              <w:rPr>
                <w:spacing w:val="-2"/>
              </w:rPr>
              <w:t>保护水资源</w:t>
            </w:r>
          </w:p>
        </w:tc>
      </w:tr>
    </w:tbl>
    <w:p>
      <w:pPr>
        <w:pStyle w:val="2"/>
      </w:pPr>
    </w:p>
    <w:p>
      <w:pPr>
        <w:sectPr>
          <w:footerReference r:id="rId361" w:type="default"/>
          <w:pgSz w:w="11907" w:h="16839"/>
          <w:pgMar w:top="1118" w:right="1644" w:bottom="1151" w:left="1644" w:header="879" w:footer="990" w:gutter="0"/>
          <w:cols w:space="720" w:num="1"/>
        </w:sectPr>
      </w:pPr>
    </w:p>
    <w:p>
      <w:pPr>
        <w:spacing w:before="80"/>
      </w:pPr>
    </w:p>
    <w:tbl>
      <w:tblPr>
        <w:tblStyle w:val="5"/>
        <w:tblW w:w="83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0"/>
        <w:gridCol w:w="2581"/>
        <w:gridCol w:w="2447"/>
        <w:gridCol w:w="22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0" w:type="dxa"/>
            <w:vAlign w:val="top"/>
          </w:tcPr>
          <w:p>
            <w:pPr>
              <w:pStyle w:val="6"/>
              <w:spacing w:before="79" w:line="212" w:lineRule="auto"/>
              <w:ind w:left="162"/>
            </w:pPr>
            <w:r>
              <w:rPr>
                <w:spacing w:val="-5"/>
              </w:rPr>
              <w:t>防护工程</w:t>
            </w:r>
          </w:p>
        </w:tc>
        <w:tc>
          <w:tcPr>
            <w:tcW w:w="2581" w:type="dxa"/>
            <w:vAlign w:val="top"/>
          </w:tcPr>
          <w:p>
            <w:pPr>
              <w:rPr>
                <w:rFonts w:ascii="Arial"/>
                <w:sz w:val="21"/>
              </w:rPr>
            </w:pPr>
          </w:p>
        </w:tc>
        <w:tc>
          <w:tcPr>
            <w:tcW w:w="2447" w:type="dxa"/>
            <w:vAlign w:val="top"/>
          </w:tcPr>
          <w:p>
            <w:pPr>
              <w:rPr>
                <w:rFonts w:ascii="Arial"/>
                <w:sz w:val="21"/>
              </w:rPr>
            </w:pPr>
          </w:p>
        </w:tc>
        <w:tc>
          <w:tcPr>
            <w:tcW w:w="22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1130" w:type="dxa"/>
            <w:vAlign w:val="top"/>
          </w:tcPr>
          <w:p>
            <w:pPr>
              <w:pStyle w:val="6"/>
              <w:spacing w:before="234" w:line="252" w:lineRule="auto"/>
              <w:ind w:left="362" w:right="141" w:hanging="203"/>
            </w:pPr>
            <w:r>
              <w:rPr>
                <w:spacing w:val="-4"/>
              </w:rPr>
              <w:t>噪声防治</w:t>
            </w:r>
            <w:r>
              <w:t xml:space="preserve"> </w:t>
            </w:r>
            <w:r>
              <w:rPr>
                <w:spacing w:val="-3"/>
              </w:rPr>
              <w:t>工程</w:t>
            </w:r>
          </w:p>
        </w:tc>
        <w:tc>
          <w:tcPr>
            <w:tcW w:w="2581" w:type="dxa"/>
            <w:vAlign w:val="top"/>
          </w:tcPr>
          <w:p>
            <w:pPr>
              <w:pStyle w:val="6"/>
              <w:spacing w:before="234" w:line="252" w:lineRule="auto"/>
              <w:ind w:left="32" w:right="29" w:firstLine="13"/>
            </w:pPr>
            <w:r>
              <w:rPr>
                <w:spacing w:val="-2"/>
              </w:rPr>
              <w:t>防止交通噪声对沿线地区声</w:t>
            </w:r>
            <w:r>
              <w:rPr>
                <w:spacing w:val="4"/>
              </w:rPr>
              <w:t xml:space="preserve"> </w:t>
            </w:r>
            <w:r>
              <w:rPr>
                <w:spacing w:val="-1"/>
              </w:rPr>
              <w:t>环境的污染</w:t>
            </w:r>
          </w:p>
        </w:tc>
        <w:tc>
          <w:tcPr>
            <w:tcW w:w="2447" w:type="dxa"/>
            <w:vAlign w:val="top"/>
          </w:tcPr>
          <w:p>
            <w:pPr>
              <w:pStyle w:val="6"/>
              <w:spacing w:before="234" w:line="252" w:lineRule="auto"/>
              <w:ind w:left="34" w:right="20"/>
            </w:pPr>
            <w:r>
              <w:rPr>
                <w:spacing w:val="6"/>
              </w:rPr>
              <w:t>保护村镇居民的学习生活</w:t>
            </w:r>
            <w:r>
              <w:rPr>
                <w:spacing w:val="9"/>
              </w:rPr>
              <w:t xml:space="preserve"> </w:t>
            </w:r>
            <w:r>
              <w:rPr>
                <w:spacing w:val="-2"/>
              </w:rPr>
              <w:t>环境</w:t>
            </w:r>
          </w:p>
        </w:tc>
        <w:tc>
          <w:tcPr>
            <w:tcW w:w="2212" w:type="dxa"/>
            <w:vAlign w:val="top"/>
          </w:tcPr>
          <w:p>
            <w:pPr>
              <w:pStyle w:val="6"/>
              <w:spacing w:before="75" w:line="257" w:lineRule="auto"/>
              <w:ind w:left="35" w:right="26"/>
            </w:pPr>
            <w:r>
              <w:rPr>
                <w:spacing w:val="1"/>
              </w:rPr>
              <w:t xml:space="preserve">保护人们学习、生产、 </w:t>
            </w:r>
            <w:r>
              <w:rPr>
                <w:spacing w:val="4"/>
              </w:rPr>
              <w:t>生活环境质量，以及人</w:t>
            </w:r>
            <w:r>
              <w:rPr>
                <w:spacing w:val="3"/>
              </w:rPr>
              <w:t xml:space="preserve"> </w:t>
            </w:r>
            <w:r>
              <w:rPr>
                <w:spacing w:val="-1"/>
              </w:rPr>
              <w:t>们的身体健康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130" w:type="dxa"/>
            <w:vAlign w:val="top"/>
          </w:tcPr>
          <w:p>
            <w:pPr>
              <w:pStyle w:val="6"/>
              <w:spacing w:before="76" w:line="245" w:lineRule="auto"/>
              <w:ind w:left="360" w:right="141" w:hanging="210"/>
            </w:pPr>
            <w:r>
              <w:rPr>
                <w:spacing w:val="-2"/>
              </w:rPr>
              <w:t>风险防范</w:t>
            </w:r>
            <w:r>
              <w:t xml:space="preserve"> </w:t>
            </w:r>
            <w:r>
              <w:rPr>
                <w:spacing w:val="-2"/>
              </w:rPr>
              <w:t>措施</w:t>
            </w:r>
          </w:p>
        </w:tc>
        <w:tc>
          <w:tcPr>
            <w:tcW w:w="2581" w:type="dxa"/>
            <w:vAlign w:val="top"/>
          </w:tcPr>
          <w:p>
            <w:pPr>
              <w:pStyle w:val="6"/>
              <w:spacing w:before="237" w:line="221" w:lineRule="auto"/>
              <w:ind w:left="33"/>
            </w:pPr>
            <w:r>
              <w:rPr>
                <w:spacing w:val="-2"/>
              </w:rPr>
              <w:t>保护水质</w:t>
            </w:r>
          </w:p>
        </w:tc>
        <w:tc>
          <w:tcPr>
            <w:tcW w:w="2447" w:type="dxa"/>
            <w:vAlign w:val="top"/>
          </w:tcPr>
          <w:p>
            <w:pPr>
              <w:pStyle w:val="6"/>
              <w:spacing w:before="237" w:line="221" w:lineRule="auto"/>
              <w:ind w:left="35"/>
            </w:pPr>
            <w:r>
              <w:rPr>
                <w:spacing w:val="-1"/>
              </w:rPr>
              <w:t>保护居民用水安全</w:t>
            </w:r>
          </w:p>
        </w:tc>
        <w:tc>
          <w:tcPr>
            <w:tcW w:w="2212" w:type="dxa"/>
            <w:vAlign w:val="top"/>
          </w:tcPr>
          <w:p>
            <w:pPr>
              <w:pStyle w:val="6"/>
              <w:spacing w:before="237" w:line="221" w:lineRule="auto"/>
              <w:ind w:left="36"/>
            </w:pPr>
            <w:r>
              <w:rPr>
                <w:spacing w:val="-2"/>
              </w:rPr>
              <w:t>保护水资源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1130" w:type="dxa"/>
            <w:vAlign w:val="top"/>
          </w:tcPr>
          <w:p>
            <w:pPr>
              <w:pStyle w:val="6"/>
              <w:spacing w:before="78" w:line="261" w:lineRule="auto"/>
              <w:ind w:left="43" w:right="35"/>
            </w:pPr>
            <w:r>
              <w:rPr>
                <w:spacing w:val="-8"/>
              </w:rPr>
              <w:t>环境监测、</w:t>
            </w:r>
            <w:r>
              <w:rPr>
                <w:spacing w:val="3"/>
              </w:rPr>
              <w:t xml:space="preserve"> </w:t>
            </w:r>
            <w:r>
              <w:rPr>
                <w:spacing w:val="-1"/>
              </w:rPr>
              <w:t>施工期环境</w:t>
            </w:r>
            <w:r>
              <w:t xml:space="preserve"> </w:t>
            </w:r>
            <w:r>
              <w:rPr>
                <w:spacing w:val="-1"/>
              </w:rPr>
              <w:t>监测和环境</w:t>
            </w:r>
          </w:p>
          <w:p>
            <w:pPr>
              <w:pStyle w:val="6"/>
              <w:spacing w:before="69" w:line="209" w:lineRule="auto"/>
              <w:ind w:left="365"/>
            </w:pPr>
            <w:r>
              <w:rPr>
                <w:spacing w:val="-3"/>
              </w:rPr>
              <w:t>管理</w:t>
            </w:r>
          </w:p>
        </w:tc>
        <w:tc>
          <w:tcPr>
            <w:tcW w:w="2581" w:type="dxa"/>
            <w:vAlign w:val="top"/>
          </w:tcPr>
          <w:p>
            <w:pPr>
              <w:spacing w:line="327" w:lineRule="auto"/>
              <w:rPr>
                <w:rFonts w:ascii="Arial"/>
                <w:sz w:val="21"/>
              </w:rPr>
            </w:pPr>
          </w:p>
          <w:p>
            <w:pPr>
              <w:pStyle w:val="6"/>
              <w:spacing w:before="68" w:line="251" w:lineRule="auto"/>
              <w:ind w:left="28" w:right="290" w:firstLine="20"/>
            </w:pPr>
            <w:r>
              <w:rPr>
                <w:rFonts w:ascii="Times New Roman" w:hAnsi="Times New Roman" w:eastAsia="Times New Roman" w:cs="Times New Roman"/>
                <w:spacing w:val="-2"/>
              </w:rPr>
              <w:t>1.</w:t>
            </w:r>
            <w:r>
              <w:rPr>
                <w:spacing w:val="-2"/>
              </w:rPr>
              <w:t>监测沿线地区环境质量</w:t>
            </w:r>
            <w:r>
              <w:rPr>
                <w:spacing w:val="1"/>
              </w:rPr>
              <w:t xml:space="preserve"> </w:t>
            </w:r>
            <w:r>
              <w:rPr>
                <w:rFonts w:ascii="Times New Roman" w:hAnsi="Times New Roman" w:eastAsia="Times New Roman" w:cs="Times New Roman"/>
                <w:spacing w:val="-1"/>
              </w:rPr>
              <w:t>2.</w:t>
            </w:r>
            <w:r>
              <w:rPr>
                <w:spacing w:val="-1"/>
              </w:rPr>
              <w:t>保护沿线地区环境</w:t>
            </w:r>
          </w:p>
        </w:tc>
        <w:tc>
          <w:tcPr>
            <w:tcW w:w="2447" w:type="dxa"/>
            <w:vAlign w:val="top"/>
          </w:tcPr>
          <w:p>
            <w:pPr>
              <w:spacing w:line="243" w:lineRule="auto"/>
              <w:rPr>
                <w:rFonts w:ascii="Arial"/>
                <w:sz w:val="21"/>
              </w:rPr>
            </w:pPr>
          </w:p>
          <w:p>
            <w:pPr>
              <w:spacing w:line="243" w:lineRule="auto"/>
              <w:rPr>
                <w:rFonts w:ascii="Arial"/>
                <w:sz w:val="21"/>
              </w:rPr>
            </w:pPr>
          </w:p>
          <w:p>
            <w:pPr>
              <w:pStyle w:val="6"/>
              <w:spacing w:before="69" w:line="221" w:lineRule="auto"/>
              <w:ind w:left="76"/>
            </w:pPr>
            <w:r>
              <w:rPr>
                <w:spacing w:val="-1"/>
              </w:rPr>
              <w:t>保护人类及生物生存环境</w:t>
            </w:r>
          </w:p>
        </w:tc>
        <w:tc>
          <w:tcPr>
            <w:tcW w:w="2212" w:type="dxa"/>
            <w:vAlign w:val="top"/>
          </w:tcPr>
          <w:p>
            <w:pPr>
              <w:spacing w:line="243" w:lineRule="auto"/>
              <w:rPr>
                <w:rFonts w:ascii="Arial"/>
                <w:sz w:val="21"/>
              </w:rPr>
            </w:pPr>
          </w:p>
          <w:p>
            <w:pPr>
              <w:spacing w:line="244" w:lineRule="auto"/>
              <w:rPr>
                <w:rFonts w:ascii="Arial"/>
                <w:sz w:val="21"/>
              </w:rPr>
            </w:pPr>
          </w:p>
          <w:p>
            <w:pPr>
              <w:pStyle w:val="6"/>
              <w:spacing w:before="68" w:line="221" w:lineRule="auto"/>
              <w:ind w:left="167"/>
            </w:pPr>
            <w:r>
              <w:rPr>
                <w:spacing w:val="-1"/>
              </w:rPr>
              <w:t>经济与环境协调发展</w:t>
            </w:r>
          </w:p>
        </w:tc>
      </w:tr>
    </w:tbl>
    <w:p>
      <w:pPr>
        <w:spacing w:before="192" w:line="220" w:lineRule="auto"/>
        <w:ind w:left="498"/>
        <w:rPr>
          <w:rFonts w:ascii="宋体" w:hAnsi="宋体" w:eastAsia="宋体" w:cs="宋体"/>
          <w:sz w:val="24"/>
          <w:szCs w:val="24"/>
        </w:rPr>
      </w:pPr>
      <w:r>
        <w:rPr>
          <w:rFonts w:ascii="宋体" w:hAnsi="宋体" w:eastAsia="宋体" w:cs="宋体"/>
          <w:spacing w:val="-13"/>
          <w:sz w:val="24"/>
          <w:szCs w:val="24"/>
        </w:rPr>
        <w:t>根据环境经济损益分析表可以看出，工程建设所产生的环境经济效益较显著。</w:t>
      </w:r>
    </w:p>
    <w:p>
      <w:pPr>
        <w:spacing w:line="220" w:lineRule="auto"/>
        <w:rPr>
          <w:rFonts w:ascii="宋体" w:hAnsi="宋体" w:eastAsia="宋体" w:cs="宋体"/>
          <w:sz w:val="24"/>
          <w:szCs w:val="24"/>
        </w:rPr>
        <w:sectPr>
          <w:headerReference r:id="rId362" w:type="default"/>
          <w:footerReference r:id="rId363" w:type="default"/>
          <w:pgSz w:w="11907" w:h="16839"/>
          <w:pgMar w:top="1118" w:right="1764" w:bottom="1151" w:left="1766" w:header="879" w:footer="990" w:gutter="0"/>
          <w:cols w:space="720" w:num="1"/>
        </w:sectPr>
      </w:pPr>
    </w:p>
    <w:p>
      <w:pPr>
        <w:pStyle w:val="2"/>
        <w:spacing w:line="330" w:lineRule="auto"/>
      </w:pPr>
    </w:p>
    <w:p>
      <w:pPr>
        <w:spacing w:before="91" w:line="221" w:lineRule="auto"/>
        <w:ind w:left="37"/>
        <w:rPr>
          <w:rFonts w:ascii="宋体" w:hAnsi="宋体" w:eastAsia="宋体" w:cs="宋体"/>
          <w:sz w:val="28"/>
          <w:szCs w:val="28"/>
        </w:rPr>
      </w:pPr>
      <w:bookmarkStart w:id="59" w:name="bookmark52"/>
      <w:bookmarkEnd w:id="59"/>
      <w:bookmarkStart w:id="60" w:name="bookmark53"/>
      <w:bookmarkEnd w:id="60"/>
      <w:r>
        <w:rPr>
          <w:rFonts w:ascii="Times New Roman" w:hAnsi="Times New Roman" w:eastAsia="Times New Roman" w:cs="Times New Roman"/>
          <w:b/>
          <w:bCs/>
          <w:sz w:val="28"/>
          <w:szCs w:val="28"/>
        </w:rPr>
        <w:t xml:space="preserve">9 </w:t>
      </w:r>
      <w:r>
        <w:rPr>
          <w:rFonts w:ascii="宋体" w:hAnsi="宋体" w:eastAsia="宋体" w:cs="宋体"/>
          <w:sz w:val="28"/>
          <w:szCs w:val="28"/>
          <w14:textOutline w14:w="5094" w14:cap="flat" w14:cmpd="sng">
            <w14:solidFill>
              <w14:srgbClr w14:val="000000"/>
            </w14:solidFill>
            <w14:prstDash w14:val="solid"/>
            <w14:miter w14:val="0"/>
          </w14:textOutline>
        </w:rPr>
        <w:t>选址选线合理性分析</w:t>
      </w:r>
    </w:p>
    <w:p>
      <w:pPr>
        <w:spacing w:before="263" w:line="219" w:lineRule="auto"/>
        <w:ind w:left="36"/>
        <w:rPr>
          <w:rFonts w:ascii="宋体" w:hAnsi="宋体" w:eastAsia="宋体" w:cs="宋体"/>
          <w:sz w:val="24"/>
          <w:szCs w:val="24"/>
        </w:rPr>
      </w:pPr>
      <w:r>
        <w:rPr>
          <w:rFonts w:ascii="Times New Roman" w:hAnsi="Times New Roman" w:eastAsia="Times New Roman" w:cs="Times New Roman"/>
          <w:b/>
          <w:bCs/>
          <w:spacing w:val="-2"/>
          <w:sz w:val="24"/>
          <w:szCs w:val="24"/>
        </w:rPr>
        <w:t>9.1</w:t>
      </w:r>
      <w:r>
        <w:rPr>
          <w:rFonts w:ascii="Times New Roman" w:hAnsi="Times New Roman" w:eastAsia="Times New Roman" w:cs="Times New Roman"/>
          <w:b/>
          <w:bCs/>
          <w:spacing w:val="28"/>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临时工程布置合理性分析</w:t>
      </w:r>
    </w:p>
    <w:p>
      <w:pPr>
        <w:spacing w:before="178" w:line="360" w:lineRule="auto"/>
        <w:ind w:left="37" w:right="84" w:firstLine="480"/>
        <w:rPr>
          <w:rFonts w:ascii="宋体" w:hAnsi="宋体" w:eastAsia="宋体" w:cs="宋体"/>
          <w:sz w:val="24"/>
          <w:szCs w:val="24"/>
        </w:rPr>
      </w:pPr>
      <w:r>
        <w:rPr>
          <w:rFonts w:ascii="宋体" w:hAnsi="宋体" w:eastAsia="宋体" w:cs="宋体"/>
          <w:spacing w:val="-14"/>
          <w:sz w:val="24"/>
          <w:szCs w:val="24"/>
        </w:rPr>
        <w:t>根据工程方案，</w:t>
      </w:r>
      <w:r>
        <w:rPr>
          <w:rFonts w:ascii="宋体" w:hAnsi="宋体" w:eastAsia="宋体" w:cs="宋体"/>
          <w:spacing w:val="40"/>
          <w:sz w:val="24"/>
          <w:szCs w:val="24"/>
        </w:rPr>
        <w:t xml:space="preserve"> </w:t>
      </w:r>
      <w:r>
        <w:rPr>
          <w:rFonts w:ascii="宋体" w:hAnsi="宋体" w:eastAsia="宋体" w:cs="宋体"/>
          <w:spacing w:val="-14"/>
          <w:sz w:val="24"/>
          <w:szCs w:val="24"/>
        </w:rPr>
        <w:t>本项目不设沥青拌合站，</w:t>
      </w:r>
      <w:r>
        <w:rPr>
          <w:rFonts w:ascii="宋体" w:hAnsi="宋体" w:eastAsia="宋体" w:cs="宋体"/>
          <w:spacing w:val="36"/>
          <w:sz w:val="24"/>
          <w:szCs w:val="24"/>
        </w:rPr>
        <w:t xml:space="preserve"> </w:t>
      </w:r>
      <w:r>
        <w:rPr>
          <w:rFonts w:ascii="宋体" w:hAnsi="宋体" w:eastAsia="宋体" w:cs="宋体"/>
          <w:spacing w:val="-14"/>
          <w:sz w:val="24"/>
          <w:szCs w:val="24"/>
        </w:rPr>
        <w:t>设有</w:t>
      </w:r>
      <w:r>
        <w:rPr>
          <w:rFonts w:ascii="宋体" w:hAnsi="宋体" w:eastAsia="宋体" w:cs="宋体"/>
          <w:spacing w:val="-31"/>
          <w:sz w:val="24"/>
          <w:szCs w:val="24"/>
        </w:rPr>
        <w:t xml:space="preserve"> </w:t>
      </w:r>
      <w:r>
        <w:rPr>
          <w:rFonts w:ascii="Times New Roman" w:hAnsi="Times New Roman" w:eastAsia="Times New Roman" w:cs="Times New Roman"/>
          <w:spacing w:val="-14"/>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14"/>
          <w:sz w:val="24"/>
          <w:szCs w:val="24"/>
        </w:rPr>
        <w:t>处集中式施工场地，施工过</w:t>
      </w:r>
      <w:r>
        <w:rPr>
          <w:rFonts w:ascii="宋体" w:hAnsi="宋体" w:eastAsia="宋体" w:cs="宋体"/>
          <w:sz w:val="24"/>
          <w:szCs w:val="24"/>
        </w:rPr>
        <w:t xml:space="preserve"> </w:t>
      </w:r>
      <w:r>
        <w:rPr>
          <w:rFonts w:ascii="宋体" w:hAnsi="宋体" w:eastAsia="宋体" w:cs="宋体"/>
          <w:spacing w:val="-6"/>
          <w:sz w:val="24"/>
          <w:szCs w:val="24"/>
        </w:rPr>
        <w:t>程中部分材料包括沥青和部分混凝土等均由景文高速公路提供，</w:t>
      </w:r>
      <w:r>
        <w:rPr>
          <w:rFonts w:ascii="宋体" w:hAnsi="宋体" w:eastAsia="宋体" w:cs="宋体"/>
          <w:spacing w:val="-14"/>
          <w:sz w:val="24"/>
          <w:szCs w:val="24"/>
        </w:rPr>
        <w:t xml:space="preserve"> </w:t>
      </w:r>
      <w:r>
        <w:rPr>
          <w:rFonts w:ascii="宋体" w:hAnsi="宋体" w:eastAsia="宋体" w:cs="宋体"/>
          <w:spacing w:val="-6"/>
          <w:sz w:val="24"/>
          <w:szCs w:val="24"/>
        </w:rPr>
        <w:t>利用的施工场地</w:t>
      </w:r>
      <w:r>
        <w:rPr>
          <w:rFonts w:ascii="宋体" w:hAnsi="宋体" w:eastAsia="宋体" w:cs="宋体"/>
          <w:sz w:val="24"/>
          <w:szCs w:val="24"/>
        </w:rPr>
        <w:t xml:space="preserve"> </w:t>
      </w:r>
      <w:r>
        <w:rPr>
          <w:rFonts w:ascii="宋体" w:hAnsi="宋体" w:eastAsia="宋体" w:cs="宋体"/>
          <w:spacing w:val="-6"/>
          <w:sz w:val="24"/>
          <w:szCs w:val="24"/>
        </w:rPr>
        <w:t>已由景文高速公路进行环评评价及竣工验收， 本次不再进行评</w:t>
      </w:r>
      <w:r>
        <w:rPr>
          <w:rFonts w:ascii="宋体" w:hAnsi="宋体" w:eastAsia="宋体" w:cs="宋体"/>
          <w:spacing w:val="-7"/>
          <w:sz w:val="24"/>
          <w:szCs w:val="24"/>
        </w:rPr>
        <w:t>价。本项目设置的</w:t>
      </w:r>
      <w:r>
        <w:rPr>
          <w:rFonts w:ascii="宋体" w:hAnsi="宋体" w:eastAsia="宋体" w:cs="宋体"/>
          <w:sz w:val="24"/>
          <w:szCs w:val="24"/>
        </w:rPr>
        <w:t xml:space="preserve"> </w:t>
      </w:r>
      <w:r>
        <w:rPr>
          <w:rFonts w:ascii="宋体" w:hAnsi="宋体" w:eastAsia="宋体" w:cs="宋体"/>
          <w:spacing w:val="-6"/>
          <w:sz w:val="24"/>
          <w:szCs w:val="24"/>
        </w:rPr>
        <w:t>施工场地及利用的景文高速公路设置的临时施工场地， 不</w:t>
      </w:r>
      <w:r>
        <w:rPr>
          <w:rFonts w:ascii="宋体" w:hAnsi="宋体" w:eastAsia="宋体" w:cs="宋体"/>
          <w:spacing w:val="-7"/>
          <w:sz w:val="24"/>
          <w:szCs w:val="24"/>
        </w:rPr>
        <w:t>在生态保护红线、国家</w:t>
      </w:r>
    </w:p>
    <w:p>
      <w:pPr>
        <w:spacing w:before="1" w:line="218" w:lineRule="auto"/>
        <w:jc w:val="right"/>
        <w:rPr>
          <w:rFonts w:ascii="宋体" w:hAnsi="宋体" w:eastAsia="宋体" w:cs="宋体"/>
          <w:sz w:val="24"/>
          <w:szCs w:val="24"/>
        </w:rPr>
      </w:pPr>
      <w:r>
        <w:rPr>
          <w:rFonts w:ascii="宋体" w:hAnsi="宋体" w:eastAsia="宋体" w:cs="宋体"/>
          <w:spacing w:val="-3"/>
          <w:sz w:val="24"/>
          <w:szCs w:val="24"/>
        </w:rPr>
        <w:t>公园、森林公园、湿地、饮用水源保护区、百丈漈</w:t>
      </w:r>
      <w:r>
        <w:rPr>
          <w:rFonts w:ascii="Times New Roman" w:hAnsi="Times New Roman" w:eastAsia="Times New Roman" w:cs="Times New Roman"/>
          <w:spacing w:val="-3"/>
          <w:sz w:val="24"/>
          <w:szCs w:val="24"/>
        </w:rPr>
        <w:t>-</w:t>
      </w:r>
      <w:r>
        <w:rPr>
          <w:rFonts w:ascii="宋体" w:hAnsi="宋体" w:eastAsia="宋体" w:cs="宋体"/>
          <w:spacing w:val="-3"/>
          <w:sz w:val="24"/>
          <w:szCs w:val="24"/>
        </w:rPr>
        <w:t>飞云湖风景名胜区等范围内。</w:t>
      </w:r>
    </w:p>
    <w:p>
      <w:pPr>
        <w:spacing w:before="182" w:line="468" w:lineRule="exact"/>
        <w:ind w:left="519"/>
        <w:rPr>
          <w:rFonts w:ascii="宋体" w:hAnsi="宋体" w:eastAsia="宋体" w:cs="宋体"/>
          <w:sz w:val="24"/>
          <w:szCs w:val="24"/>
        </w:rPr>
      </w:pPr>
      <w:r>
        <w:rPr>
          <w:rFonts w:ascii="宋体" w:hAnsi="宋体" w:eastAsia="宋体" w:cs="宋体"/>
          <w:spacing w:val="-6"/>
          <w:position w:val="17"/>
          <w:sz w:val="24"/>
          <w:szCs w:val="24"/>
        </w:rPr>
        <w:t>本项目施工场地周边</w:t>
      </w:r>
      <w:r>
        <w:rPr>
          <w:rFonts w:ascii="宋体" w:hAnsi="宋体" w:eastAsia="宋体" w:cs="宋体"/>
          <w:spacing w:val="-36"/>
          <w:position w:val="17"/>
          <w:sz w:val="24"/>
          <w:szCs w:val="24"/>
        </w:rPr>
        <w:t xml:space="preserve"> </w:t>
      </w:r>
      <w:r>
        <w:rPr>
          <w:rFonts w:ascii="Times New Roman" w:hAnsi="Times New Roman" w:eastAsia="Times New Roman" w:cs="Times New Roman"/>
          <w:spacing w:val="-6"/>
          <w:position w:val="17"/>
          <w:sz w:val="24"/>
          <w:szCs w:val="24"/>
        </w:rPr>
        <w:t>200m</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6"/>
          <w:position w:val="17"/>
          <w:sz w:val="24"/>
          <w:szCs w:val="24"/>
        </w:rPr>
        <w:t>范围内无环境保护目标， 施工过程总体对周边环</w:t>
      </w:r>
    </w:p>
    <w:p>
      <w:pPr>
        <w:spacing w:line="220" w:lineRule="auto"/>
        <w:ind w:left="39"/>
        <w:rPr>
          <w:rFonts w:ascii="宋体" w:hAnsi="宋体" w:eastAsia="宋体" w:cs="宋体"/>
          <w:sz w:val="24"/>
          <w:szCs w:val="24"/>
        </w:rPr>
      </w:pPr>
      <w:r>
        <w:rPr>
          <w:rFonts w:ascii="宋体" w:hAnsi="宋体" w:eastAsia="宋体" w:cs="宋体"/>
          <w:spacing w:val="-3"/>
          <w:sz w:val="24"/>
          <w:szCs w:val="24"/>
        </w:rPr>
        <w:t>境影响较小，施工场地选址合理。</w:t>
      </w:r>
    </w:p>
    <w:p>
      <w:pPr>
        <w:spacing w:before="179" w:line="468" w:lineRule="exact"/>
        <w:ind w:left="519"/>
        <w:rPr>
          <w:rFonts w:ascii="宋体" w:hAnsi="宋体" w:eastAsia="宋体" w:cs="宋体"/>
          <w:sz w:val="24"/>
          <w:szCs w:val="24"/>
        </w:rPr>
      </w:pPr>
      <w:r>
        <w:rPr>
          <w:rFonts w:ascii="宋体" w:hAnsi="宋体" w:eastAsia="宋体" w:cs="宋体"/>
          <w:spacing w:val="-18"/>
          <w:position w:val="17"/>
          <w:sz w:val="24"/>
          <w:szCs w:val="24"/>
        </w:rPr>
        <w:t>本项目施工已结束，</w:t>
      </w:r>
      <w:r>
        <w:rPr>
          <w:rFonts w:ascii="宋体" w:hAnsi="宋体" w:eastAsia="宋体" w:cs="宋体"/>
          <w:spacing w:val="47"/>
          <w:position w:val="17"/>
          <w:sz w:val="24"/>
          <w:szCs w:val="24"/>
        </w:rPr>
        <w:t xml:space="preserve"> </w:t>
      </w:r>
      <w:r>
        <w:rPr>
          <w:rFonts w:ascii="宋体" w:hAnsi="宋体" w:eastAsia="宋体" w:cs="宋体"/>
          <w:spacing w:val="-18"/>
          <w:position w:val="17"/>
          <w:sz w:val="24"/>
          <w:szCs w:val="24"/>
        </w:rPr>
        <w:t>施工场地进行清理，</w:t>
      </w:r>
      <w:r>
        <w:rPr>
          <w:rFonts w:ascii="宋体" w:hAnsi="宋体" w:eastAsia="宋体" w:cs="宋体"/>
          <w:spacing w:val="32"/>
          <w:position w:val="17"/>
          <w:sz w:val="24"/>
          <w:szCs w:val="24"/>
        </w:rPr>
        <w:t xml:space="preserve"> </w:t>
      </w:r>
      <w:r>
        <w:rPr>
          <w:rFonts w:ascii="宋体" w:hAnsi="宋体" w:eastAsia="宋体" w:cs="宋体"/>
          <w:spacing w:val="-18"/>
          <w:position w:val="17"/>
          <w:sz w:val="24"/>
          <w:szCs w:val="24"/>
        </w:rPr>
        <w:t>清除硬化混凝土，</w:t>
      </w:r>
      <w:r>
        <w:rPr>
          <w:rFonts w:ascii="宋体" w:hAnsi="宋体" w:eastAsia="宋体" w:cs="宋体"/>
          <w:spacing w:val="55"/>
          <w:position w:val="17"/>
          <w:sz w:val="24"/>
          <w:szCs w:val="24"/>
        </w:rPr>
        <w:t xml:space="preserve"> </w:t>
      </w:r>
      <w:r>
        <w:rPr>
          <w:rFonts w:ascii="宋体" w:hAnsi="宋体" w:eastAsia="宋体" w:cs="宋体"/>
          <w:spacing w:val="-18"/>
          <w:position w:val="17"/>
          <w:sz w:val="24"/>
          <w:szCs w:val="24"/>
        </w:rPr>
        <w:t>同时做好水土保</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持，进行土壤改良，恢复为原有使用功能。</w:t>
      </w:r>
    </w:p>
    <w:p>
      <w:pPr>
        <w:spacing w:before="179" w:line="220" w:lineRule="auto"/>
        <w:ind w:left="36"/>
        <w:outlineLvl w:val="1"/>
        <w:rPr>
          <w:rFonts w:ascii="宋体" w:hAnsi="宋体" w:eastAsia="宋体" w:cs="宋体"/>
          <w:sz w:val="24"/>
          <w:szCs w:val="24"/>
        </w:rPr>
      </w:pPr>
      <w:bookmarkStart w:id="61" w:name="bookmark54"/>
      <w:bookmarkEnd w:id="61"/>
      <w:r>
        <w:rPr>
          <w:rFonts w:ascii="Times New Roman" w:hAnsi="Times New Roman" w:eastAsia="Times New Roman" w:cs="Times New Roman"/>
          <w:b/>
          <w:bCs/>
          <w:spacing w:val="-3"/>
          <w:sz w:val="24"/>
          <w:szCs w:val="24"/>
        </w:rPr>
        <w:t>9.2</w:t>
      </w:r>
      <w:r>
        <w:rPr>
          <w:rFonts w:ascii="Times New Roman" w:hAnsi="Times New Roman" w:eastAsia="Times New Roman" w:cs="Times New Roman"/>
          <w:b/>
          <w:bCs/>
          <w:spacing w:val="15"/>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审批符合性分析性</w:t>
      </w:r>
    </w:p>
    <w:p>
      <w:pPr>
        <w:spacing w:before="182" w:line="220" w:lineRule="auto"/>
        <w:ind w:left="36"/>
        <w:outlineLvl w:val="1"/>
        <w:rPr>
          <w:rFonts w:ascii="宋体" w:hAnsi="宋体" w:eastAsia="宋体" w:cs="宋体"/>
          <w:sz w:val="24"/>
          <w:szCs w:val="24"/>
        </w:rPr>
      </w:pPr>
      <w:r>
        <w:rPr>
          <w:rFonts w:ascii="Times New Roman" w:hAnsi="Times New Roman" w:eastAsia="Times New Roman" w:cs="Times New Roman"/>
          <w:b/>
          <w:bCs/>
          <w:sz w:val="24"/>
          <w:szCs w:val="24"/>
        </w:rPr>
        <w:t xml:space="preserve">9.2.1 </w:t>
      </w:r>
      <w:r>
        <w:rPr>
          <w:rFonts w:ascii="宋体" w:hAnsi="宋体" w:eastAsia="宋体" w:cs="宋体"/>
          <w:sz w:val="24"/>
          <w:szCs w:val="24"/>
          <w14:textOutline w14:w="4354" w14:cap="flat" w14:cmpd="sng">
            <w14:solidFill>
              <w14:srgbClr w14:val="000000"/>
            </w14:solidFill>
            <w14:prstDash w14:val="solid"/>
            <w14:miter w14:val="0"/>
          </w14:textOutline>
        </w:rPr>
        <w:t>建设项目环评审批原则符合性分析</w:t>
      </w:r>
    </w:p>
    <w:p>
      <w:pPr>
        <w:spacing w:before="180" w:line="220" w:lineRule="auto"/>
        <w:ind w:left="536"/>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、生态环境分区管控方案符合性分析</w:t>
      </w:r>
    </w:p>
    <w:p>
      <w:pPr>
        <w:spacing w:before="183" w:line="359" w:lineRule="auto"/>
        <w:ind w:left="40" w:right="85" w:firstLine="478"/>
        <w:rPr>
          <w:rFonts w:ascii="宋体" w:hAnsi="宋体" w:eastAsia="宋体" w:cs="宋体"/>
          <w:sz w:val="24"/>
          <w:szCs w:val="24"/>
        </w:rPr>
      </w:pPr>
      <w:r>
        <w:rPr>
          <w:rFonts w:ascii="宋体" w:hAnsi="宋体" w:eastAsia="宋体" w:cs="宋体"/>
          <w:spacing w:val="-7"/>
          <w:sz w:val="24"/>
          <w:szCs w:val="24"/>
        </w:rPr>
        <w:t>本项目为二级公路建设项目，</w:t>
      </w:r>
      <w:r>
        <w:rPr>
          <w:rFonts w:ascii="宋体" w:hAnsi="宋体" w:eastAsia="宋体" w:cs="宋体"/>
          <w:spacing w:val="41"/>
          <w:sz w:val="24"/>
          <w:szCs w:val="24"/>
        </w:rPr>
        <w:t xml:space="preserve"> </w:t>
      </w:r>
      <w:r>
        <w:rPr>
          <w:rFonts w:ascii="宋体" w:hAnsi="宋体" w:eastAsia="宋体" w:cs="宋体"/>
          <w:spacing w:val="-7"/>
          <w:sz w:val="24"/>
          <w:szCs w:val="24"/>
        </w:rPr>
        <w:t>对照《文成县</w:t>
      </w:r>
      <w:r>
        <w:rPr>
          <w:rFonts w:ascii="Times New Roman" w:hAnsi="Times New Roman" w:eastAsia="Times New Roman" w:cs="Times New Roman"/>
          <w:spacing w:val="-7"/>
          <w:sz w:val="24"/>
          <w:szCs w:val="24"/>
        </w:rPr>
        <w:t>“</w:t>
      </w:r>
      <w:r>
        <w:rPr>
          <w:rFonts w:ascii="宋体" w:hAnsi="宋体" w:eastAsia="宋体" w:cs="宋体"/>
          <w:spacing w:val="-7"/>
          <w:sz w:val="24"/>
          <w:szCs w:val="24"/>
        </w:rPr>
        <w:t>三线一单</w:t>
      </w:r>
      <w:r>
        <w:rPr>
          <w:rFonts w:ascii="Times New Roman" w:hAnsi="Times New Roman" w:eastAsia="Times New Roman" w:cs="Times New Roman"/>
          <w:spacing w:val="-7"/>
          <w:sz w:val="24"/>
          <w:szCs w:val="24"/>
        </w:rPr>
        <w:t>”</w:t>
      </w:r>
      <w:r>
        <w:rPr>
          <w:rFonts w:ascii="宋体" w:hAnsi="宋体" w:eastAsia="宋体" w:cs="宋体"/>
          <w:spacing w:val="-7"/>
          <w:sz w:val="24"/>
          <w:szCs w:val="24"/>
        </w:rPr>
        <w:t>生态环境分区管控方</w:t>
      </w:r>
      <w:r>
        <w:rPr>
          <w:rFonts w:ascii="宋体" w:hAnsi="宋体" w:eastAsia="宋体" w:cs="宋体"/>
          <w:sz w:val="24"/>
          <w:szCs w:val="24"/>
        </w:rPr>
        <w:t xml:space="preserve"> </w:t>
      </w:r>
      <w:r>
        <w:rPr>
          <w:rFonts w:ascii="宋体" w:hAnsi="宋体" w:eastAsia="宋体" w:cs="宋体"/>
          <w:spacing w:val="-10"/>
          <w:sz w:val="24"/>
          <w:szCs w:val="24"/>
        </w:rPr>
        <w:t>案》， 本工程涉及文成县</w:t>
      </w:r>
      <w:r>
        <w:rPr>
          <w:rFonts w:ascii="宋体" w:hAnsi="宋体" w:eastAsia="宋体" w:cs="宋体"/>
          <w:spacing w:val="-22"/>
          <w:sz w:val="24"/>
          <w:szCs w:val="24"/>
        </w:rPr>
        <w:t xml:space="preserve">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个优先保护单元、</w:t>
      </w:r>
      <w:r>
        <w:rPr>
          <w:rFonts w:ascii="宋体" w:hAnsi="宋体" w:eastAsia="宋体" w:cs="宋体"/>
          <w:spacing w:val="57"/>
          <w:sz w:val="24"/>
          <w:szCs w:val="24"/>
        </w:rPr>
        <w:t xml:space="preserve">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个产业集聚重点管控单元。经分</w:t>
      </w:r>
    </w:p>
    <w:p>
      <w:pPr>
        <w:spacing w:before="1" w:line="219" w:lineRule="auto"/>
        <w:ind w:left="40"/>
        <w:rPr>
          <w:rFonts w:ascii="宋体" w:hAnsi="宋体" w:eastAsia="宋体" w:cs="宋体"/>
          <w:sz w:val="24"/>
          <w:szCs w:val="24"/>
        </w:rPr>
      </w:pPr>
      <w:r>
        <w:rPr>
          <w:rFonts w:ascii="宋体" w:hAnsi="宋体" w:eastAsia="宋体" w:cs="宋体"/>
          <w:spacing w:val="-3"/>
          <w:sz w:val="24"/>
          <w:szCs w:val="24"/>
        </w:rPr>
        <w:t>析，项目符合生态环境分区管控要求。</w:t>
      </w:r>
    </w:p>
    <w:p>
      <w:pPr>
        <w:spacing w:before="183" w:line="359" w:lineRule="auto"/>
        <w:ind w:left="37" w:right="46" w:firstLine="481"/>
        <w:rPr>
          <w:rFonts w:ascii="宋体" w:hAnsi="宋体" w:eastAsia="宋体" w:cs="宋体"/>
          <w:sz w:val="24"/>
          <w:szCs w:val="24"/>
        </w:rPr>
      </w:pPr>
      <w:r>
        <w:rPr>
          <w:rFonts w:ascii="宋体" w:hAnsi="宋体" w:eastAsia="宋体" w:cs="宋体"/>
          <w:spacing w:val="-8"/>
          <w:sz w:val="24"/>
          <w:szCs w:val="24"/>
        </w:rPr>
        <w:t>本项目为公路建设项目，</w:t>
      </w:r>
      <w:r>
        <w:rPr>
          <w:rFonts w:ascii="宋体" w:hAnsi="宋体" w:eastAsia="宋体" w:cs="宋体"/>
          <w:spacing w:val="36"/>
          <w:sz w:val="24"/>
          <w:szCs w:val="24"/>
        </w:rPr>
        <w:t xml:space="preserve"> </w:t>
      </w:r>
      <w:r>
        <w:rPr>
          <w:rFonts w:ascii="宋体" w:hAnsi="宋体" w:eastAsia="宋体" w:cs="宋体"/>
          <w:spacing w:val="-8"/>
          <w:sz w:val="24"/>
          <w:szCs w:val="24"/>
        </w:rPr>
        <w:t>不属于工业类项目。本项目跨越沿线</w:t>
      </w:r>
      <w:r>
        <w:rPr>
          <w:rFonts w:ascii="宋体" w:hAnsi="宋体" w:eastAsia="宋体" w:cs="宋体"/>
          <w:spacing w:val="-9"/>
          <w:sz w:val="24"/>
          <w:szCs w:val="24"/>
        </w:rPr>
        <w:t>的小溪沟，基</w:t>
      </w:r>
      <w:r>
        <w:rPr>
          <w:rFonts w:ascii="宋体" w:hAnsi="宋体" w:eastAsia="宋体" w:cs="宋体"/>
          <w:sz w:val="24"/>
          <w:szCs w:val="24"/>
        </w:rPr>
        <w:t xml:space="preserve"> </w:t>
      </w:r>
      <w:r>
        <w:rPr>
          <w:rFonts w:ascii="宋体" w:hAnsi="宋体" w:eastAsia="宋体" w:cs="宋体"/>
          <w:spacing w:val="-6"/>
          <w:sz w:val="24"/>
          <w:szCs w:val="24"/>
        </w:rPr>
        <w:t>本不会对水体产生较大的影响。本项目建设用地已得到审批</w:t>
      </w:r>
      <w:r>
        <w:rPr>
          <w:rFonts w:ascii="宋体" w:hAnsi="宋体" w:eastAsia="宋体" w:cs="宋体"/>
          <w:spacing w:val="-7"/>
          <w:sz w:val="24"/>
          <w:szCs w:val="24"/>
        </w:rPr>
        <w:t>， 并根据要求做好水</w:t>
      </w:r>
      <w:r>
        <w:rPr>
          <w:rFonts w:ascii="宋体" w:hAnsi="宋体" w:eastAsia="宋体" w:cs="宋体"/>
          <w:sz w:val="24"/>
          <w:szCs w:val="24"/>
        </w:rPr>
        <w:t xml:space="preserve"> </w:t>
      </w:r>
      <w:r>
        <w:rPr>
          <w:rFonts w:ascii="宋体" w:hAnsi="宋体" w:eastAsia="宋体" w:cs="宋体"/>
          <w:spacing w:val="-12"/>
          <w:sz w:val="24"/>
          <w:szCs w:val="24"/>
        </w:rPr>
        <w:t>土保持。本项目营运期主要为噪声污染，</w:t>
      </w:r>
      <w:r>
        <w:rPr>
          <w:rFonts w:ascii="宋体" w:hAnsi="宋体" w:eastAsia="宋体" w:cs="宋体"/>
          <w:spacing w:val="43"/>
          <w:sz w:val="24"/>
          <w:szCs w:val="24"/>
        </w:rPr>
        <w:t xml:space="preserve"> </w:t>
      </w:r>
      <w:r>
        <w:rPr>
          <w:rFonts w:ascii="宋体" w:hAnsi="宋体" w:eastAsia="宋体" w:cs="宋体"/>
          <w:spacing w:val="-12"/>
          <w:sz w:val="24"/>
          <w:szCs w:val="24"/>
        </w:rPr>
        <w:t>在采取隔声屏障和隔声窗后，</w:t>
      </w:r>
      <w:r>
        <w:rPr>
          <w:rFonts w:ascii="宋体" w:hAnsi="宋体" w:eastAsia="宋体" w:cs="宋体"/>
          <w:spacing w:val="34"/>
          <w:sz w:val="24"/>
          <w:szCs w:val="24"/>
        </w:rPr>
        <w:t xml:space="preserve"> </w:t>
      </w:r>
      <w:r>
        <w:rPr>
          <w:rFonts w:ascii="宋体" w:hAnsi="宋体" w:eastAsia="宋体" w:cs="宋体"/>
          <w:spacing w:val="-12"/>
          <w:sz w:val="24"/>
          <w:szCs w:val="24"/>
        </w:rPr>
        <w:t>可使声环</w:t>
      </w:r>
      <w:r>
        <w:rPr>
          <w:rFonts w:ascii="宋体" w:hAnsi="宋体" w:eastAsia="宋体" w:cs="宋体"/>
          <w:sz w:val="24"/>
          <w:szCs w:val="24"/>
        </w:rPr>
        <w:t xml:space="preserve"> </w:t>
      </w:r>
      <w:r>
        <w:rPr>
          <w:rFonts w:ascii="宋体" w:hAnsi="宋体" w:eastAsia="宋体" w:cs="宋体"/>
          <w:spacing w:val="-3"/>
          <w:sz w:val="24"/>
          <w:szCs w:val="24"/>
        </w:rPr>
        <w:t>境保护目标室内噪声达标。项目符合各管控单元的空间布局约束、污染物排放管</w:t>
      </w:r>
      <w:r>
        <w:rPr>
          <w:rFonts w:ascii="宋体" w:hAnsi="宋体" w:eastAsia="宋体" w:cs="宋体"/>
          <w:sz w:val="24"/>
          <w:szCs w:val="24"/>
        </w:rPr>
        <w:t xml:space="preserve"> </w:t>
      </w:r>
      <w:r>
        <w:rPr>
          <w:rFonts w:ascii="宋体" w:hAnsi="宋体" w:eastAsia="宋体" w:cs="宋体"/>
          <w:spacing w:val="-2"/>
          <w:sz w:val="24"/>
          <w:szCs w:val="24"/>
        </w:rPr>
        <w:t>控、环境风险防控以及资源开发效率要求，符合各管控单元的管控要求。因此，</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本项目的建设能够满足</w:t>
      </w:r>
      <w:r>
        <w:rPr>
          <w:rFonts w:ascii="Times New Roman" w:hAnsi="Times New Roman" w:eastAsia="Times New Roman" w:cs="Times New Roman"/>
          <w:spacing w:val="-2"/>
          <w:sz w:val="24"/>
          <w:szCs w:val="24"/>
        </w:rPr>
        <w:t>“</w:t>
      </w:r>
      <w:r>
        <w:rPr>
          <w:rFonts w:ascii="宋体" w:hAnsi="宋体" w:eastAsia="宋体" w:cs="宋体"/>
          <w:spacing w:val="-2"/>
          <w:sz w:val="24"/>
          <w:szCs w:val="24"/>
        </w:rPr>
        <w:t>三线一单</w:t>
      </w:r>
      <w:r>
        <w:rPr>
          <w:rFonts w:ascii="Times New Roman" w:hAnsi="Times New Roman" w:eastAsia="Times New Roman" w:cs="Times New Roman"/>
          <w:spacing w:val="-2"/>
          <w:sz w:val="24"/>
          <w:szCs w:val="24"/>
        </w:rPr>
        <w:t>”</w:t>
      </w:r>
      <w:r>
        <w:rPr>
          <w:rFonts w:ascii="宋体" w:hAnsi="宋体" w:eastAsia="宋体" w:cs="宋体"/>
          <w:spacing w:val="-2"/>
          <w:sz w:val="24"/>
          <w:szCs w:val="24"/>
        </w:rPr>
        <w:t>环境管控的要求。</w:t>
      </w:r>
    </w:p>
    <w:p>
      <w:pPr>
        <w:spacing w:before="183" w:line="220" w:lineRule="auto"/>
        <w:ind w:left="513"/>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、达标排放原则符合性分析</w:t>
      </w:r>
    </w:p>
    <w:p>
      <w:pPr>
        <w:spacing w:before="180" w:line="359" w:lineRule="auto"/>
        <w:ind w:left="39" w:right="46" w:firstLine="479"/>
        <w:rPr>
          <w:rFonts w:ascii="宋体" w:hAnsi="宋体" w:eastAsia="宋体" w:cs="宋体"/>
          <w:sz w:val="24"/>
          <w:szCs w:val="24"/>
        </w:rPr>
      </w:pPr>
      <w:r>
        <w:rPr>
          <w:rFonts w:ascii="宋体" w:hAnsi="宋体" w:eastAsia="宋体" w:cs="宋体"/>
          <w:spacing w:val="-2"/>
          <w:sz w:val="24"/>
          <w:szCs w:val="24"/>
        </w:rPr>
        <w:t>本项目营运期废气主要为汽车尾气。营运期随着车用燃油标准的不断提高，</w:t>
      </w:r>
      <w:r>
        <w:rPr>
          <w:rFonts w:ascii="宋体" w:hAnsi="宋体" w:eastAsia="宋体" w:cs="宋体"/>
          <w:spacing w:val="1"/>
          <w:sz w:val="24"/>
          <w:szCs w:val="24"/>
        </w:rPr>
        <w:t xml:space="preserve"> </w:t>
      </w:r>
      <w:r>
        <w:rPr>
          <w:rFonts w:ascii="宋体" w:hAnsi="宋体" w:eastAsia="宋体" w:cs="宋体"/>
          <w:spacing w:val="-9"/>
          <w:sz w:val="24"/>
          <w:szCs w:val="24"/>
        </w:rPr>
        <w:t>新能源汽车的不断推广， 汽车尾气的排放将大大降低</w:t>
      </w:r>
      <w:r>
        <w:rPr>
          <w:rFonts w:ascii="宋体" w:hAnsi="宋体" w:eastAsia="宋体" w:cs="宋体"/>
          <w:spacing w:val="-10"/>
          <w:sz w:val="24"/>
          <w:szCs w:val="24"/>
        </w:rPr>
        <w:t>， 公路对沿线空气质量带来</w:t>
      </w:r>
    </w:p>
    <w:p>
      <w:pPr>
        <w:spacing w:before="1" w:line="219" w:lineRule="auto"/>
        <w:ind w:left="57"/>
        <w:rPr>
          <w:rFonts w:ascii="宋体" w:hAnsi="宋体" w:eastAsia="宋体" w:cs="宋体"/>
          <w:sz w:val="24"/>
          <w:szCs w:val="24"/>
        </w:rPr>
      </w:pPr>
      <w:r>
        <w:rPr>
          <w:rFonts w:ascii="宋体" w:hAnsi="宋体" w:eastAsia="宋体" w:cs="宋体"/>
          <w:spacing w:val="-7"/>
          <w:sz w:val="24"/>
          <w:szCs w:val="24"/>
        </w:rPr>
        <w:t>的影响逐步减小。</w:t>
      </w:r>
    </w:p>
    <w:p>
      <w:pPr>
        <w:spacing w:before="182" w:line="466" w:lineRule="exact"/>
        <w:ind w:left="519"/>
        <w:rPr>
          <w:rFonts w:ascii="宋体" w:hAnsi="宋体" w:eastAsia="宋体" w:cs="宋体"/>
          <w:sz w:val="24"/>
          <w:szCs w:val="24"/>
        </w:rPr>
      </w:pPr>
      <w:r>
        <w:rPr>
          <w:rFonts w:ascii="宋体" w:hAnsi="宋体" w:eastAsia="宋体" w:cs="宋体"/>
          <w:spacing w:val="-4"/>
          <w:position w:val="17"/>
          <w:sz w:val="24"/>
          <w:szCs w:val="24"/>
        </w:rPr>
        <w:t>本项目涉及的声环境功能区包括</w:t>
      </w:r>
      <w:r>
        <w:rPr>
          <w:rFonts w:ascii="宋体" w:hAnsi="宋体" w:eastAsia="宋体" w:cs="宋体"/>
          <w:spacing w:val="-30"/>
          <w:position w:val="17"/>
          <w:sz w:val="24"/>
          <w:szCs w:val="24"/>
        </w:rPr>
        <w:t xml:space="preserve"> </w:t>
      </w:r>
      <w:r>
        <w:rPr>
          <w:rFonts w:ascii="Times New Roman" w:hAnsi="Times New Roman" w:eastAsia="Times New Roman" w:cs="Times New Roman"/>
          <w:spacing w:val="-4"/>
          <w:position w:val="17"/>
          <w:sz w:val="24"/>
          <w:szCs w:val="24"/>
        </w:rPr>
        <w:t>2</w:t>
      </w:r>
      <w:r>
        <w:rPr>
          <w:rFonts w:ascii="Times New Roman" w:hAnsi="Times New Roman" w:eastAsia="Times New Roman" w:cs="Times New Roman"/>
          <w:spacing w:val="29"/>
          <w:position w:val="17"/>
          <w:sz w:val="24"/>
          <w:szCs w:val="24"/>
        </w:rPr>
        <w:t xml:space="preserve"> </w:t>
      </w:r>
      <w:r>
        <w:rPr>
          <w:rFonts w:ascii="宋体" w:hAnsi="宋体" w:eastAsia="宋体" w:cs="宋体"/>
          <w:spacing w:val="-4"/>
          <w:position w:val="17"/>
          <w:sz w:val="24"/>
          <w:szCs w:val="24"/>
        </w:rPr>
        <w:t>类、</w:t>
      </w:r>
      <w:r>
        <w:rPr>
          <w:rFonts w:ascii="宋体" w:hAnsi="宋体" w:eastAsia="宋体" w:cs="宋体"/>
          <w:spacing w:val="-37"/>
          <w:position w:val="17"/>
          <w:sz w:val="24"/>
          <w:szCs w:val="24"/>
        </w:rPr>
        <w:t xml:space="preserve"> </w:t>
      </w:r>
      <w:r>
        <w:rPr>
          <w:rFonts w:ascii="Times New Roman" w:hAnsi="Times New Roman" w:eastAsia="Times New Roman" w:cs="Times New Roman"/>
          <w:spacing w:val="-4"/>
          <w:position w:val="17"/>
          <w:sz w:val="24"/>
          <w:szCs w:val="24"/>
        </w:rPr>
        <w:t>3</w:t>
      </w:r>
      <w:r>
        <w:rPr>
          <w:rFonts w:ascii="Times New Roman" w:hAnsi="Times New Roman" w:eastAsia="Times New Roman" w:cs="Times New Roman"/>
          <w:spacing w:val="28"/>
          <w:w w:val="101"/>
          <w:position w:val="17"/>
          <w:sz w:val="24"/>
          <w:szCs w:val="24"/>
        </w:rPr>
        <w:t xml:space="preserve"> </w:t>
      </w:r>
      <w:r>
        <w:rPr>
          <w:rFonts w:ascii="宋体" w:hAnsi="宋体" w:eastAsia="宋体" w:cs="宋体"/>
          <w:spacing w:val="-4"/>
          <w:position w:val="17"/>
          <w:sz w:val="24"/>
          <w:szCs w:val="24"/>
        </w:rPr>
        <w:t>类和</w:t>
      </w:r>
      <w:r>
        <w:rPr>
          <w:rFonts w:ascii="宋体" w:hAnsi="宋体" w:eastAsia="宋体" w:cs="宋体"/>
          <w:spacing w:val="-37"/>
          <w:position w:val="17"/>
          <w:sz w:val="24"/>
          <w:szCs w:val="24"/>
        </w:rPr>
        <w:t xml:space="preserve"> </w:t>
      </w:r>
      <w:r>
        <w:rPr>
          <w:rFonts w:ascii="Times New Roman" w:hAnsi="Times New Roman" w:eastAsia="Times New Roman" w:cs="Times New Roman"/>
          <w:spacing w:val="-4"/>
          <w:position w:val="17"/>
          <w:sz w:val="24"/>
          <w:szCs w:val="24"/>
        </w:rPr>
        <w:t>4a</w:t>
      </w:r>
      <w:r>
        <w:rPr>
          <w:rFonts w:ascii="Times New Roman" w:hAnsi="Times New Roman" w:eastAsia="Times New Roman" w:cs="Times New Roman"/>
          <w:spacing w:val="27"/>
          <w:w w:val="101"/>
          <w:position w:val="17"/>
          <w:sz w:val="24"/>
          <w:szCs w:val="24"/>
        </w:rPr>
        <w:t xml:space="preserve"> </w:t>
      </w:r>
      <w:r>
        <w:rPr>
          <w:rFonts w:ascii="宋体" w:hAnsi="宋体" w:eastAsia="宋体" w:cs="宋体"/>
          <w:spacing w:val="-4"/>
          <w:position w:val="17"/>
          <w:sz w:val="24"/>
          <w:szCs w:val="24"/>
        </w:rPr>
        <w:t>类区，根据现状监测结果</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表明，声环境保护目标噪声能满足声环境功能区划的要求。本工程建成运营后，</w:t>
      </w:r>
    </w:p>
    <w:p>
      <w:pPr>
        <w:spacing w:line="218" w:lineRule="auto"/>
        <w:rPr>
          <w:rFonts w:ascii="宋体" w:hAnsi="宋体" w:eastAsia="宋体" w:cs="宋体"/>
          <w:sz w:val="24"/>
          <w:szCs w:val="24"/>
        </w:rPr>
        <w:sectPr>
          <w:headerReference r:id="rId364" w:type="default"/>
          <w:footerReference r:id="rId365" w:type="default"/>
          <w:pgSz w:w="11907" w:h="16839"/>
          <w:pgMar w:top="1118" w:right="1713" w:bottom="1151" w:left="1771" w:header="879" w:footer="990" w:gutter="0"/>
          <w:cols w:space="720" w:num="1"/>
        </w:sectPr>
      </w:pPr>
    </w:p>
    <w:p>
      <w:pPr>
        <w:pStyle w:val="2"/>
        <w:spacing w:line="278" w:lineRule="auto"/>
      </w:pPr>
    </w:p>
    <w:p>
      <w:pPr>
        <w:spacing w:before="78" w:line="359" w:lineRule="auto"/>
        <w:ind w:left="38" w:right="65"/>
        <w:jc w:val="both"/>
        <w:rPr>
          <w:rFonts w:ascii="宋体" w:hAnsi="宋体" w:eastAsia="宋体" w:cs="宋体"/>
          <w:sz w:val="24"/>
          <w:szCs w:val="24"/>
        </w:rPr>
      </w:pPr>
      <w:r>
        <w:rPr>
          <w:rFonts w:ascii="宋体" w:hAnsi="宋体" w:eastAsia="宋体" w:cs="宋体"/>
          <w:spacing w:val="4"/>
          <w:sz w:val="24"/>
          <w:szCs w:val="24"/>
        </w:rPr>
        <w:t>通过采用隔声屏障和隔声窗措施，工程沿线声环境保护目标室内声环境能符合</w:t>
      </w:r>
      <w:r>
        <w:rPr>
          <w:rFonts w:ascii="宋体" w:hAnsi="宋体" w:eastAsia="宋体" w:cs="宋体"/>
          <w:spacing w:val="2"/>
          <w:sz w:val="24"/>
          <w:szCs w:val="24"/>
        </w:rPr>
        <w:t xml:space="preserve"> </w:t>
      </w:r>
      <w:r>
        <w:rPr>
          <w:rFonts w:ascii="宋体" w:hAnsi="宋体" w:eastAsia="宋体" w:cs="宋体"/>
          <w:spacing w:val="-1"/>
          <w:sz w:val="24"/>
          <w:szCs w:val="24"/>
        </w:rPr>
        <w:t>《建筑环境通用规范》（</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55"/>
          <w:sz w:val="24"/>
          <w:szCs w:val="24"/>
        </w:rPr>
        <w:t xml:space="preserve"> </w:t>
      </w:r>
      <w:r>
        <w:rPr>
          <w:rFonts w:ascii="Times New Roman" w:hAnsi="Times New Roman" w:eastAsia="Times New Roman" w:cs="Times New Roman"/>
          <w:spacing w:val="-1"/>
          <w:sz w:val="24"/>
          <w:szCs w:val="24"/>
        </w:rPr>
        <w:t>55016-2021</w:t>
      </w:r>
      <w:r>
        <w:rPr>
          <w:rFonts w:ascii="宋体" w:hAnsi="宋体" w:eastAsia="宋体" w:cs="宋体"/>
          <w:spacing w:val="-1"/>
          <w:sz w:val="24"/>
          <w:szCs w:val="24"/>
        </w:rPr>
        <w:t>）。本项目噪声防治措施符合《地面交</w:t>
      </w:r>
    </w:p>
    <w:p>
      <w:pPr>
        <w:spacing w:line="212" w:lineRule="auto"/>
        <w:ind w:left="38"/>
        <w:rPr>
          <w:rFonts w:ascii="宋体" w:hAnsi="宋体" w:eastAsia="宋体" w:cs="宋体"/>
          <w:sz w:val="24"/>
          <w:szCs w:val="24"/>
        </w:rPr>
      </w:pPr>
      <w:r>
        <w:rPr>
          <w:rFonts w:ascii="宋体" w:hAnsi="宋体" w:eastAsia="宋体" w:cs="宋体"/>
          <w:spacing w:val="-2"/>
          <w:sz w:val="24"/>
          <w:szCs w:val="24"/>
        </w:rPr>
        <w:t>通噪声污染防治技术政策》</w:t>
      </w:r>
      <w:r>
        <w:rPr>
          <w:rFonts w:ascii="Times New Roman" w:hAnsi="Times New Roman" w:eastAsia="Times New Roman" w:cs="Times New Roman"/>
          <w:spacing w:val="-2"/>
          <w:sz w:val="24"/>
          <w:szCs w:val="24"/>
        </w:rPr>
        <w:t>(</w:t>
      </w:r>
      <w:r>
        <w:rPr>
          <w:rFonts w:ascii="宋体" w:hAnsi="宋体" w:eastAsia="宋体" w:cs="宋体"/>
          <w:spacing w:val="-2"/>
          <w:sz w:val="24"/>
          <w:szCs w:val="24"/>
        </w:rPr>
        <w:t>环发</w:t>
      </w:r>
      <w:r>
        <w:rPr>
          <w:rFonts w:ascii="Times New Roman" w:hAnsi="Times New Roman" w:eastAsia="Times New Roman" w:cs="Times New Roman"/>
          <w:spacing w:val="-2"/>
          <w:sz w:val="24"/>
          <w:szCs w:val="24"/>
        </w:rPr>
        <w:t>[2010]7</w:t>
      </w:r>
      <w:r>
        <w:rPr>
          <w:rFonts w:ascii="Times New Roman" w:hAnsi="Times New Roman" w:eastAsia="Times New Roman" w:cs="Times New Roman"/>
          <w:spacing w:val="21"/>
          <w:sz w:val="24"/>
          <w:szCs w:val="24"/>
        </w:rPr>
        <w:t xml:space="preserve">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w:t>
      </w:r>
      <w:r>
        <w:rPr>
          <w:rFonts w:ascii="宋体" w:hAnsi="宋体" w:eastAsia="宋体" w:cs="宋体"/>
          <w:spacing w:val="-2"/>
          <w:sz w:val="24"/>
          <w:szCs w:val="24"/>
        </w:rPr>
        <w:t>的相关要求。</w:t>
      </w:r>
    </w:p>
    <w:p>
      <w:pPr>
        <w:spacing w:before="191" w:line="359" w:lineRule="auto"/>
        <w:ind w:left="40" w:right="26" w:firstLine="478"/>
        <w:rPr>
          <w:rFonts w:ascii="宋体" w:hAnsi="宋体" w:eastAsia="宋体" w:cs="宋体"/>
          <w:sz w:val="24"/>
          <w:szCs w:val="24"/>
        </w:rPr>
      </w:pPr>
      <w:r>
        <w:rPr>
          <w:rFonts w:ascii="宋体" w:hAnsi="宋体" w:eastAsia="宋体" w:cs="宋体"/>
          <w:spacing w:val="-3"/>
          <w:sz w:val="24"/>
          <w:szCs w:val="24"/>
        </w:rPr>
        <w:t>本项目营运期产生的废水经处理后达相应标准后回用。桥面路</w:t>
      </w:r>
      <w:r>
        <w:rPr>
          <w:rFonts w:ascii="宋体" w:hAnsi="宋体" w:eastAsia="宋体" w:cs="宋体"/>
          <w:spacing w:val="-4"/>
          <w:sz w:val="24"/>
          <w:szCs w:val="24"/>
        </w:rPr>
        <w:t>面径流夹带的</w:t>
      </w:r>
      <w:r>
        <w:rPr>
          <w:rFonts w:ascii="宋体" w:hAnsi="宋体" w:eastAsia="宋体" w:cs="宋体"/>
          <w:sz w:val="24"/>
          <w:szCs w:val="24"/>
        </w:rPr>
        <w:t xml:space="preserve"> </w:t>
      </w:r>
      <w:r>
        <w:rPr>
          <w:rFonts w:ascii="宋体" w:hAnsi="宋体" w:eastAsia="宋体" w:cs="宋体"/>
          <w:spacing w:val="-2"/>
          <w:sz w:val="24"/>
          <w:szCs w:val="24"/>
        </w:rPr>
        <w:t>尘土、碎屑、油污等，通过做好路面的日常维护与管理，保持路面和桥面清洁，</w:t>
      </w:r>
    </w:p>
    <w:p>
      <w:pPr>
        <w:spacing w:before="1" w:line="219" w:lineRule="auto"/>
        <w:ind w:left="40"/>
        <w:rPr>
          <w:rFonts w:ascii="宋体" w:hAnsi="宋体" w:eastAsia="宋体" w:cs="宋体"/>
          <w:sz w:val="24"/>
          <w:szCs w:val="24"/>
        </w:rPr>
      </w:pPr>
      <w:r>
        <w:rPr>
          <w:rFonts w:ascii="宋体" w:hAnsi="宋体" w:eastAsia="宋体" w:cs="宋体"/>
          <w:spacing w:val="-3"/>
          <w:sz w:val="24"/>
          <w:szCs w:val="24"/>
        </w:rPr>
        <w:t>可降低路面径流对沿线地表水体的影响。</w:t>
      </w:r>
    </w:p>
    <w:p>
      <w:pPr>
        <w:spacing w:before="179" w:line="220" w:lineRule="auto"/>
        <w:ind w:left="51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、总量控制原则符合性分析</w:t>
      </w:r>
    </w:p>
    <w:p>
      <w:pPr>
        <w:spacing w:before="182" w:line="359" w:lineRule="auto"/>
        <w:ind w:left="38" w:right="67" w:firstLine="480"/>
        <w:rPr>
          <w:rFonts w:ascii="宋体" w:hAnsi="宋体" w:eastAsia="宋体" w:cs="宋体"/>
          <w:sz w:val="24"/>
          <w:szCs w:val="24"/>
        </w:rPr>
      </w:pPr>
      <w:r>
        <w:rPr>
          <w:rFonts w:ascii="宋体" w:hAnsi="宋体" w:eastAsia="宋体" w:cs="宋体"/>
          <w:spacing w:val="-10"/>
          <w:sz w:val="24"/>
          <w:szCs w:val="24"/>
        </w:rPr>
        <w:t>本项目建设内容主要为交通道路建设， 为基础设施建设项目， 项目投入营运</w:t>
      </w:r>
      <w:r>
        <w:rPr>
          <w:rFonts w:ascii="宋体" w:hAnsi="宋体" w:eastAsia="宋体" w:cs="宋体"/>
          <w:spacing w:val="2"/>
          <w:sz w:val="24"/>
          <w:szCs w:val="24"/>
        </w:rPr>
        <w:t xml:space="preserve"> </w:t>
      </w:r>
      <w:r>
        <w:rPr>
          <w:rFonts w:ascii="宋体" w:hAnsi="宋体" w:eastAsia="宋体" w:cs="宋体"/>
          <w:spacing w:val="-4"/>
          <w:sz w:val="24"/>
          <w:szCs w:val="24"/>
        </w:rPr>
        <w:t>后产生的污染物主要为汽车尾气、交通噪声。根据《建设项目主要污染物排放总</w:t>
      </w:r>
      <w:r>
        <w:rPr>
          <w:rFonts w:ascii="宋体" w:hAnsi="宋体" w:eastAsia="宋体" w:cs="宋体"/>
          <w:spacing w:val="15"/>
          <w:sz w:val="24"/>
          <w:szCs w:val="24"/>
        </w:rPr>
        <w:t xml:space="preserve"> </w:t>
      </w:r>
      <w:r>
        <w:rPr>
          <w:rFonts w:ascii="宋体" w:hAnsi="宋体" w:eastAsia="宋体" w:cs="宋体"/>
          <w:spacing w:val="-3"/>
          <w:sz w:val="24"/>
          <w:szCs w:val="24"/>
        </w:rPr>
        <w:t>量指标审核及管理暂行办法》（环发〔</w:t>
      </w:r>
      <w:r>
        <w:rPr>
          <w:rFonts w:ascii="Times New Roman" w:hAnsi="Times New Roman" w:eastAsia="Times New Roman" w:cs="Times New Roman"/>
          <w:spacing w:val="-3"/>
          <w:sz w:val="24"/>
          <w:szCs w:val="24"/>
        </w:rPr>
        <w:t>2014</w:t>
      </w:r>
      <w:r>
        <w:rPr>
          <w:rFonts w:ascii="宋体" w:hAnsi="宋体" w:eastAsia="宋体" w:cs="宋体"/>
          <w:spacing w:val="-3"/>
          <w:sz w:val="24"/>
          <w:szCs w:val="24"/>
        </w:rPr>
        <w:t>〕</w:t>
      </w:r>
      <w:r>
        <w:rPr>
          <w:rFonts w:ascii="Times New Roman" w:hAnsi="Times New Roman" w:eastAsia="Times New Roman" w:cs="Times New Roman"/>
          <w:spacing w:val="-3"/>
          <w:sz w:val="24"/>
          <w:szCs w:val="24"/>
        </w:rPr>
        <w:t>19</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号</w:t>
      </w:r>
      <w:r>
        <w:rPr>
          <w:rFonts w:ascii="宋体" w:hAnsi="宋体" w:eastAsia="宋体" w:cs="宋体"/>
          <w:spacing w:val="-12"/>
          <w:sz w:val="24"/>
          <w:szCs w:val="24"/>
        </w:rPr>
        <w:t>）</w:t>
      </w:r>
      <w:r>
        <w:rPr>
          <w:rFonts w:ascii="宋体" w:hAnsi="宋体" w:eastAsia="宋体" w:cs="宋体"/>
          <w:spacing w:val="-36"/>
          <w:sz w:val="24"/>
          <w:szCs w:val="24"/>
        </w:rPr>
        <w:t xml:space="preserve"> </w:t>
      </w:r>
      <w:r>
        <w:rPr>
          <w:rFonts w:ascii="宋体" w:hAnsi="宋体" w:eastAsia="宋体" w:cs="宋体"/>
          <w:spacing w:val="-12"/>
          <w:sz w:val="24"/>
          <w:szCs w:val="24"/>
        </w:rPr>
        <w:t>，</w:t>
      </w:r>
      <w:r>
        <w:rPr>
          <w:rFonts w:ascii="宋体" w:hAnsi="宋体" w:eastAsia="宋体" w:cs="宋体"/>
          <w:spacing w:val="-4"/>
          <w:sz w:val="24"/>
          <w:szCs w:val="24"/>
        </w:rPr>
        <w:t>本项目运行期无生产废</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气和生产废水产生，因此，无需进行总量控</w:t>
      </w:r>
      <w:r>
        <w:rPr>
          <w:rFonts w:ascii="宋体" w:hAnsi="宋体" w:eastAsia="宋体" w:cs="宋体"/>
          <w:spacing w:val="-3"/>
          <w:sz w:val="24"/>
          <w:szCs w:val="24"/>
        </w:rPr>
        <w:t>制。</w:t>
      </w:r>
    </w:p>
    <w:p>
      <w:pPr>
        <w:spacing w:before="182" w:line="220" w:lineRule="auto"/>
        <w:ind w:left="512"/>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、维持环境质量原则符合性分析</w:t>
      </w:r>
    </w:p>
    <w:p>
      <w:pPr>
        <w:spacing w:before="181" w:line="359" w:lineRule="auto"/>
        <w:ind w:left="48" w:firstLine="438"/>
        <w:rPr>
          <w:rFonts w:ascii="宋体" w:hAnsi="宋体" w:eastAsia="宋体" w:cs="宋体"/>
          <w:sz w:val="24"/>
          <w:szCs w:val="24"/>
        </w:rPr>
      </w:pPr>
      <w:r>
        <w:rPr>
          <w:rFonts w:ascii="宋体" w:hAnsi="宋体" w:eastAsia="宋体" w:cs="宋体"/>
          <w:spacing w:val="-5"/>
          <w:sz w:val="24"/>
          <w:szCs w:val="24"/>
        </w:rPr>
        <w:t>根据《关于以改善环境质量为核心加强环境影响评价管理的通</w:t>
      </w:r>
      <w:r>
        <w:rPr>
          <w:rFonts w:ascii="宋体" w:hAnsi="宋体" w:eastAsia="宋体" w:cs="宋体"/>
          <w:spacing w:val="-6"/>
          <w:sz w:val="24"/>
          <w:szCs w:val="24"/>
        </w:rPr>
        <w:t>知》 （环环评</w:t>
      </w:r>
      <w:r>
        <w:rPr>
          <w:rFonts w:ascii="宋体" w:hAnsi="宋体" w:eastAsia="宋体" w:cs="宋体"/>
          <w:sz w:val="24"/>
          <w:szCs w:val="24"/>
        </w:rPr>
        <w:t xml:space="preserve"> </w:t>
      </w:r>
      <w:r>
        <w:rPr>
          <w:rFonts w:ascii="Times New Roman" w:hAnsi="Times New Roman" w:eastAsia="Times New Roman" w:cs="Times New Roman"/>
          <w:spacing w:val="-9"/>
          <w:sz w:val="24"/>
          <w:szCs w:val="24"/>
        </w:rPr>
        <w:t xml:space="preserve">[2016]150  </w:t>
      </w:r>
      <w:r>
        <w:rPr>
          <w:rFonts w:ascii="宋体" w:hAnsi="宋体" w:eastAsia="宋体" w:cs="宋体"/>
          <w:spacing w:val="-9"/>
          <w:sz w:val="24"/>
          <w:szCs w:val="24"/>
        </w:rPr>
        <w:t>号</w:t>
      </w:r>
      <w:r>
        <w:rPr>
          <w:rFonts w:ascii="宋体" w:hAnsi="宋体" w:eastAsia="宋体" w:cs="宋体"/>
          <w:spacing w:val="-38"/>
          <w:sz w:val="24"/>
          <w:szCs w:val="24"/>
        </w:rPr>
        <w:t>），</w:t>
      </w:r>
      <w:r>
        <w:rPr>
          <w:rFonts w:ascii="宋体" w:hAnsi="宋体" w:eastAsia="宋体" w:cs="宋体"/>
          <w:spacing w:val="-9"/>
          <w:sz w:val="24"/>
          <w:szCs w:val="24"/>
        </w:rPr>
        <w:t>环境质量底线是国家和地方设置的大气、水和土壤环境质量</w:t>
      </w:r>
      <w:r>
        <w:rPr>
          <w:rFonts w:ascii="宋体" w:hAnsi="宋体" w:eastAsia="宋体" w:cs="宋体"/>
          <w:spacing w:val="-10"/>
          <w:sz w:val="24"/>
          <w:szCs w:val="24"/>
        </w:rPr>
        <w:t>目标，</w:t>
      </w:r>
    </w:p>
    <w:p>
      <w:pPr>
        <w:spacing w:line="219" w:lineRule="auto"/>
        <w:ind w:left="42"/>
        <w:rPr>
          <w:rFonts w:ascii="宋体" w:hAnsi="宋体" w:eastAsia="宋体" w:cs="宋体"/>
          <w:sz w:val="24"/>
          <w:szCs w:val="24"/>
        </w:rPr>
      </w:pPr>
      <w:r>
        <w:rPr>
          <w:rFonts w:ascii="宋体" w:hAnsi="宋体" w:eastAsia="宋体" w:cs="宋体"/>
          <w:spacing w:val="-3"/>
          <w:sz w:val="24"/>
          <w:szCs w:val="24"/>
        </w:rPr>
        <w:t>也是改善环境质量的基准线。</w:t>
      </w:r>
    </w:p>
    <w:p>
      <w:pPr>
        <w:spacing w:before="184" w:line="359" w:lineRule="auto"/>
        <w:ind w:left="36" w:right="63" w:firstLine="469"/>
        <w:rPr>
          <w:rFonts w:ascii="宋体" w:hAnsi="宋体" w:eastAsia="宋体" w:cs="宋体"/>
          <w:sz w:val="24"/>
          <w:szCs w:val="24"/>
        </w:rPr>
      </w:pPr>
      <w:r>
        <w:rPr>
          <w:rFonts w:ascii="宋体" w:hAnsi="宋体" w:eastAsia="宋体" w:cs="宋体"/>
          <w:spacing w:val="-4"/>
          <w:sz w:val="24"/>
          <w:szCs w:val="24"/>
        </w:rPr>
        <w:t>根据《文成县环境质量年报（</w:t>
      </w:r>
      <w:r>
        <w:rPr>
          <w:rFonts w:ascii="Times New Roman" w:hAnsi="Times New Roman" w:eastAsia="Times New Roman" w:cs="Times New Roman"/>
          <w:spacing w:val="-4"/>
          <w:sz w:val="24"/>
          <w:szCs w:val="24"/>
        </w:rPr>
        <w:t xml:space="preserve">2022 </w:t>
      </w:r>
      <w:r>
        <w:rPr>
          <w:rFonts w:ascii="宋体" w:hAnsi="宋体" w:eastAsia="宋体" w:cs="宋体"/>
          <w:spacing w:val="-4"/>
          <w:sz w:val="24"/>
          <w:szCs w:val="24"/>
        </w:rPr>
        <w:t>年）》，项目经过区域属于达标</w:t>
      </w:r>
      <w:r>
        <w:rPr>
          <w:rFonts w:ascii="宋体" w:hAnsi="宋体" w:eastAsia="宋体" w:cs="宋体"/>
          <w:spacing w:val="-5"/>
          <w:sz w:val="24"/>
          <w:szCs w:val="24"/>
        </w:rPr>
        <w:t>区。本工</w:t>
      </w:r>
      <w:r>
        <w:rPr>
          <w:rFonts w:ascii="宋体" w:hAnsi="宋体" w:eastAsia="宋体" w:cs="宋体"/>
          <w:sz w:val="24"/>
          <w:szCs w:val="24"/>
        </w:rPr>
        <w:t xml:space="preserve"> </w:t>
      </w:r>
      <w:r>
        <w:rPr>
          <w:rFonts w:ascii="宋体" w:hAnsi="宋体" w:eastAsia="宋体" w:cs="宋体"/>
          <w:spacing w:val="-3"/>
          <w:sz w:val="24"/>
          <w:szCs w:val="24"/>
        </w:rPr>
        <w:t>程营运期废气主要为汽车尾气，随着我国执行单车排放标准的不断提高，单车尾</w:t>
      </w:r>
      <w:r>
        <w:rPr>
          <w:rFonts w:ascii="宋体" w:hAnsi="宋体" w:eastAsia="宋体" w:cs="宋体"/>
          <w:spacing w:val="7"/>
          <w:sz w:val="24"/>
          <w:szCs w:val="24"/>
        </w:rPr>
        <w:t xml:space="preserve"> </w:t>
      </w:r>
      <w:r>
        <w:rPr>
          <w:rFonts w:ascii="宋体" w:hAnsi="宋体" w:eastAsia="宋体" w:cs="宋体"/>
          <w:spacing w:val="-3"/>
          <w:sz w:val="24"/>
          <w:szCs w:val="24"/>
        </w:rPr>
        <w:t>气的排放量将会不断降低。同时浙江省大气污染物防治行动和措施的实施，两地</w:t>
      </w:r>
      <w:r>
        <w:rPr>
          <w:rFonts w:ascii="宋体" w:hAnsi="宋体" w:eastAsia="宋体" w:cs="宋体"/>
          <w:spacing w:val="7"/>
          <w:sz w:val="24"/>
          <w:szCs w:val="24"/>
        </w:rPr>
        <w:t xml:space="preserve"> </w:t>
      </w:r>
      <w:r>
        <w:rPr>
          <w:rFonts w:ascii="宋体" w:hAnsi="宋体" w:eastAsia="宋体" w:cs="宋体"/>
          <w:spacing w:val="-3"/>
          <w:sz w:val="24"/>
          <w:szCs w:val="24"/>
        </w:rPr>
        <w:t>将深化机动车污染防治，进一步优化车辆结构，新能源车比例逐步提高，汽车尾</w:t>
      </w:r>
    </w:p>
    <w:p>
      <w:pPr>
        <w:spacing w:line="219" w:lineRule="auto"/>
        <w:ind w:left="39"/>
        <w:rPr>
          <w:rFonts w:ascii="宋体" w:hAnsi="宋体" w:eastAsia="宋体" w:cs="宋体"/>
          <w:sz w:val="24"/>
          <w:szCs w:val="24"/>
        </w:rPr>
      </w:pPr>
      <w:r>
        <w:rPr>
          <w:rFonts w:ascii="宋体" w:hAnsi="宋体" w:eastAsia="宋体" w:cs="宋体"/>
          <w:spacing w:val="-6"/>
          <w:sz w:val="24"/>
          <w:szCs w:val="24"/>
        </w:rPr>
        <w:t>气排放量将得到进一步降低，公路对沿线空气质量带来的影响较小。</w:t>
      </w:r>
    </w:p>
    <w:p>
      <w:pPr>
        <w:spacing w:before="183" w:line="359" w:lineRule="auto"/>
        <w:ind w:left="38" w:right="3" w:firstLine="480"/>
        <w:rPr>
          <w:rFonts w:ascii="Times New Roman" w:hAnsi="Times New Roman" w:eastAsia="Times New Roman" w:cs="Times New Roman"/>
          <w:sz w:val="24"/>
          <w:szCs w:val="24"/>
        </w:rPr>
      </w:pPr>
      <w:r>
        <w:rPr>
          <w:rFonts w:ascii="宋体" w:hAnsi="宋体" w:eastAsia="宋体" w:cs="宋体"/>
          <w:spacing w:val="-5"/>
          <w:sz w:val="24"/>
          <w:szCs w:val="24"/>
        </w:rPr>
        <w:t>本项目涉及的声环境功能区包括</w:t>
      </w:r>
      <w:r>
        <w:rPr>
          <w:rFonts w:ascii="宋体" w:hAnsi="宋体" w:eastAsia="宋体" w:cs="宋体"/>
          <w:spacing w:val="-29"/>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 xml:space="preserve">类区、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28"/>
          <w:w w:val="101"/>
          <w:sz w:val="24"/>
          <w:szCs w:val="24"/>
        </w:rPr>
        <w:t xml:space="preserve"> </w:t>
      </w:r>
      <w:r>
        <w:rPr>
          <w:rFonts w:ascii="宋体" w:hAnsi="宋体" w:eastAsia="宋体" w:cs="宋体"/>
          <w:spacing w:val="-5"/>
          <w:sz w:val="24"/>
          <w:szCs w:val="24"/>
        </w:rPr>
        <w:t>类和</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4a</w:t>
      </w:r>
      <w:r>
        <w:rPr>
          <w:rFonts w:ascii="Times New Roman" w:hAnsi="Times New Roman" w:eastAsia="Times New Roman" w:cs="Times New Roman"/>
          <w:spacing w:val="27"/>
          <w:w w:val="101"/>
          <w:sz w:val="24"/>
          <w:szCs w:val="24"/>
        </w:rPr>
        <w:t xml:space="preserve"> </w:t>
      </w:r>
      <w:r>
        <w:rPr>
          <w:rFonts w:ascii="宋体" w:hAnsi="宋体" w:eastAsia="宋体" w:cs="宋体"/>
          <w:spacing w:val="-5"/>
          <w:sz w:val="24"/>
          <w:szCs w:val="24"/>
        </w:rPr>
        <w:t>类区，根据现状监测结</w:t>
      </w:r>
      <w:r>
        <w:rPr>
          <w:rFonts w:ascii="宋体" w:hAnsi="宋体" w:eastAsia="宋体" w:cs="宋体"/>
          <w:sz w:val="24"/>
          <w:szCs w:val="24"/>
        </w:rPr>
        <w:t xml:space="preserve"> </w:t>
      </w:r>
      <w:r>
        <w:rPr>
          <w:rFonts w:ascii="宋体" w:hAnsi="宋体" w:eastAsia="宋体" w:cs="宋体"/>
          <w:spacing w:val="-8"/>
          <w:sz w:val="24"/>
          <w:szCs w:val="24"/>
        </w:rPr>
        <w:t>果表明，声环境保护目标噪声能满足声环境功能区划的要求。本工程建成运营后，</w:t>
      </w:r>
      <w:r>
        <w:rPr>
          <w:rFonts w:ascii="宋体" w:hAnsi="宋体" w:eastAsia="宋体" w:cs="宋体"/>
          <w:spacing w:val="8"/>
          <w:sz w:val="24"/>
          <w:szCs w:val="24"/>
        </w:rPr>
        <w:t xml:space="preserve"> </w:t>
      </w:r>
      <w:r>
        <w:rPr>
          <w:rFonts w:ascii="宋体" w:hAnsi="宋体" w:eastAsia="宋体" w:cs="宋体"/>
          <w:spacing w:val="-6"/>
          <w:sz w:val="24"/>
          <w:szCs w:val="24"/>
        </w:rPr>
        <w:t>通过采用隔声屏障和隔声窗措施降低对声环境保护目标的影响，</w:t>
      </w:r>
      <w:r>
        <w:rPr>
          <w:rFonts w:ascii="宋体" w:hAnsi="宋体" w:eastAsia="宋体" w:cs="宋体"/>
          <w:spacing w:val="-14"/>
          <w:sz w:val="24"/>
          <w:szCs w:val="24"/>
        </w:rPr>
        <w:t xml:space="preserve"> </w:t>
      </w:r>
      <w:r>
        <w:rPr>
          <w:rFonts w:ascii="宋体" w:hAnsi="宋体" w:eastAsia="宋体" w:cs="宋体"/>
          <w:spacing w:val="-6"/>
          <w:sz w:val="24"/>
          <w:szCs w:val="24"/>
        </w:rPr>
        <w:t>工程沿线声环境</w:t>
      </w:r>
      <w:r>
        <w:rPr>
          <w:rFonts w:ascii="宋体" w:hAnsi="宋体" w:eastAsia="宋体" w:cs="宋体"/>
          <w:sz w:val="24"/>
          <w:szCs w:val="24"/>
        </w:rPr>
        <w:t xml:space="preserve"> </w:t>
      </w:r>
      <w:r>
        <w:rPr>
          <w:rFonts w:ascii="宋体" w:hAnsi="宋体" w:eastAsia="宋体" w:cs="宋体"/>
          <w:spacing w:val="-1"/>
          <w:sz w:val="24"/>
          <w:szCs w:val="24"/>
        </w:rPr>
        <w:t>保护目标室内声环境能符合《建筑环境通用规范》（</w:t>
      </w:r>
      <w:r>
        <w:rPr>
          <w:rFonts w:ascii="Times New Roman" w:hAnsi="Times New Roman" w:eastAsia="Times New Roman" w:cs="Times New Roman"/>
          <w:spacing w:val="-2"/>
          <w:sz w:val="24"/>
          <w:szCs w:val="24"/>
        </w:rPr>
        <w:t>GB</w:t>
      </w:r>
      <w:r>
        <w:rPr>
          <w:rFonts w:ascii="Times New Roman" w:hAnsi="Times New Roman" w:eastAsia="Times New Roman" w:cs="Times New Roman"/>
          <w:spacing w:val="45"/>
          <w:w w:val="101"/>
          <w:sz w:val="24"/>
          <w:szCs w:val="24"/>
        </w:rPr>
        <w:t xml:space="preserve"> </w:t>
      </w:r>
      <w:r>
        <w:rPr>
          <w:rFonts w:ascii="Times New Roman" w:hAnsi="Times New Roman" w:eastAsia="Times New Roman" w:cs="Times New Roman"/>
          <w:spacing w:val="-2"/>
          <w:sz w:val="24"/>
          <w:szCs w:val="24"/>
        </w:rPr>
        <w:t>55016-2021</w:t>
      </w:r>
      <w:r>
        <w:rPr>
          <w:rFonts w:ascii="宋体" w:hAnsi="宋体" w:eastAsia="宋体" w:cs="宋体"/>
          <w:spacing w:val="-2"/>
          <w:sz w:val="24"/>
          <w:szCs w:val="24"/>
        </w:rPr>
        <w:t xml:space="preserve">）的要求。 </w:t>
      </w:r>
      <w:r>
        <w:rPr>
          <w:rFonts w:ascii="宋体" w:hAnsi="宋体" w:eastAsia="宋体" w:cs="宋体"/>
          <w:spacing w:val="1"/>
          <w:sz w:val="24"/>
          <w:szCs w:val="24"/>
        </w:rPr>
        <w:t>本项目噪声防治措施符合《地面交通噪声污染防治技术政策》</w:t>
      </w:r>
      <w:r>
        <w:rPr>
          <w:rFonts w:ascii="Times New Roman" w:hAnsi="Times New Roman" w:eastAsia="Times New Roman" w:cs="Times New Roman"/>
          <w:spacing w:val="1"/>
          <w:sz w:val="24"/>
          <w:szCs w:val="24"/>
        </w:rPr>
        <w:t>(</w:t>
      </w:r>
      <w:r>
        <w:rPr>
          <w:rFonts w:ascii="宋体" w:hAnsi="宋体" w:eastAsia="宋体" w:cs="宋体"/>
          <w:spacing w:val="1"/>
          <w:sz w:val="24"/>
          <w:szCs w:val="24"/>
        </w:rPr>
        <w:t>环发</w:t>
      </w:r>
      <w:r>
        <w:rPr>
          <w:rFonts w:ascii="Times New Roman" w:hAnsi="Times New Roman" w:eastAsia="Times New Roman" w:cs="Times New Roman"/>
          <w:spacing w:val="1"/>
          <w:sz w:val="24"/>
          <w:szCs w:val="24"/>
        </w:rPr>
        <w:t xml:space="preserve">[2010]7  </w:t>
      </w:r>
      <w:r>
        <w:rPr>
          <w:rFonts w:ascii="宋体" w:hAnsi="宋体" w:eastAsia="宋体" w:cs="宋体"/>
          <w:spacing w:val="1"/>
          <w:sz w:val="24"/>
          <w:szCs w:val="24"/>
        </w:rPr>
        <w:t>号</w:t>
      </w:r>
      <w:r>
        <w:rPr>
          <w:rFonts w:ascii="Times New Roman" w:hAnsi="Times New Roman" w:eastAsia="Times New Roman" w:cs="Times New Roman"/>
          <w:spacing w:val="1"/>
          <w:sz w:val="24"/>
          <w:szCs w:val="24"/>
        </w:rPr>
        <w:t>)</w:t>
      </w:r>
    </w:p>
    <w:p>
      <w:pPr>
        <w:spacing w:line="220" w:lineRule="auto"/>
        <w:ind w:left="57"/>
        <w:rPr>
          <w:rFonts w:ascii="宋体" w:hAnsi="宋体" w:eastAsia="宋体" w:cs="宋体"/>
          <w:sz w:val="24"/>
          <w:szCs w:val="24"/>
        </w:rPr>
      </w:pPr>
      <w:r>
        <w:rPr>
          <w:rFonts w:ascii="宋体" w:hAnsi="宋体" w:eastAsia="宋体" w:cs="宋体"/>
          <w:spacing w:val="-9"/>
          <w:sz w:val="24"/>
          <w:szCs w:val="24"/>
        </w:rPr>
        <w:t>的相关要求。</w:t>
      </w:r>
    </w:p>
    <w:p>
      <w:pPr>
        <w:spacing w:before="181" w:line="359" w:lineRule="auto"/>
        <w:ind w:left="37" w:right="66" w:firstLine="452"/>
        <w:rPr>
          <w:rFonts w:ascii="宋体" w:hAnsi="宋体" w:eastAsia="宋体" w:cs="宋体"/>
          <w:sz w:val="24"/>
          <w:szCs w:val="24"/>
        </w:rPr>
      </w:pPr>
      <w:r>
        <w:rPr>
          <w:rFonts w:ascii="宋体" w:hAnsi="宋体" w:eastAsia="宋体" w:cs="宋体"/>
          <w:spacing w:val="-10"/>
          <w:sz w:val="24"/>
          <w:szCs w:val="24"/>
        </w:rPr>
        <w:t>根据《文成县环境质量年报（</w:t>
      </w:r>
      <w:r>
        <w:rPr>
          <w:rFonts w:ascii="Times New Roman" w:hAnsi="Times New Roman" w:eastAsia="Times New Roman" w:cs="Times New Roman"/>
          <w:spacing w:val="-10"/>
          <w:sz w:val="24"/>
          <w:szCs w:val="24"/>
        </w:rPr>
        <w:t xml:space="preserve">2022 </w:t>
      </w:r>
      <w:r>
        <w:rPr>
          <w:rFonts w:ascii="宋体" w:hAnsi="宋体" w:eastAsia="宋体" w:cs="宋体"/>
          <w:spacing w:val="-10"/>
          <w:sz w:val="24"/>
          <w:szCs w:val="24"/>
        </w:rPr>
        <w:t>年）》</w:t>
      </w:r>
      <w:r>
        <w:rPr>
          <w:rFonts w:ascii="宋体" w:hAnsi="宋体" w:eastAsia="宋体" w:cs="宋体"/>
          <w:spacing w:val="-11"/>
          <w:sz w:val="24"/>
          <w:szCs w:val="24"/>
        </w:rPr>
        <w:t>，项目沿线地表水水质均能满足《地</w:t>
      </w:r>
      <w:r>
        <w:rPr>
          <w:rFonts w:ascii="宋体" w:hAnsi="宋体" w:eastAsia="宋体" w:cs="宋体"/>
          <w:sz w:val="24"/>
          <w:szCs w:val="24"/>
        </w:rPr>
        <w:t xml:space="preserve"> </w:t>
      </w:r>
      <w:r>
        <w:rPr>
          <w:rFonts w:ascii="宋体" w:hAnsi="宋体" w:eastAsia="宋体" w:cs="宋体"/>
          <w:spacing w:val="1"/>
          <w:sz w:val="24"/>
          <w:szCs w:val="24"/>
        </w:rPr>
        <w:t>表水环境质量标准》</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3838-2002)</w:t>
      </w:r>
      <w:r>
        <w:rPr>
          <w:rFonts w:ascii="宋体" w:hAnsi="宋体" w:eastAsia="宋体" w:cs="宋体"/>
          <w:spacing w:val="1"/>
          <w:sz w:val="24"/>
          <w:szCs w:val="24"/>
        </w:rPr>
        <w:t>的要求，本项目所在区域地表水环境质量现</w:t>
      </w:r>
      <w:r>
        <w:rPr>
          <w:rFonts w:ascii="宋体" w:hAnsi="宋体" w:eastAsia="宋体" w:cs="宋体"/>
          <w:spacing w:val="5"/>
          <w:sz w:val="24"/>
          <w:szCs w:val="24"/>
        </w:rPr>
        <w:t xml:space="preserve"> </w:t>
      </w:r>
      <w:r>
        <w:rPr>
          <w:rFonts w:ascii="宋体" w:hAnsi="宋体" w:eastAsia="宋体" w:cs="宋体"/>
          <w:spacing w:val="-7"/>
          <w:sz w:val="24"/>
          <w:szCs w:val="24"/>
        </w:rPr>
        <w:t>状良好。本项目施工期生活污水收集后定期清运，</w:t>
      </w:r>
      <w:r>
        <w:rPr>
          <w:rFonts w:ascii="宋体" w:hAnsi="宋体" w:eastAsia="宋体" w:cs="宋体"/>
          <w:spacing w:val="31"/>
          <w:sz w:val="24"/>
          <w:szCs w:val="24"/>
        </w:rPr>
        <w:t xml:space="preserve"> </w:t>
      </w:r>
      <w:r>
        <w:rPr>
          <w:rFonts w:ascii="宋体" w:hAnsi="宋体" w:eastAsia="宋体" w:cs="宋体"/>
          <w:spacing w:val="-7"/>
          <w:sz w:val="24"/>
          <w:szCs w:val="24"/>
        </w:rPr>
        <w:t>施工废水处</w:t>
      </w:r>
      <w:r>
        <w:rPr>
          <w:rFonts w:ascii="宋体" w:hAnsi="宋体" w:eastAsia="宋体" w:cs="宋体"/>
          <w:spacing w:val="-8"/>
          <w:sz w:val="24"/>
          <w:szCs w:val="24"/>
        </w:rPr>
        <w:t>理后回用，对沿线</w:t>
      </w:r>
    </w:p>
    <w:p>
      <w:pPr>
        <w:spacing w:before="1" w:line="218" w:lineRule="auto"/>
        <w:ind w:left="41"/>
        <w:rPr>
          <w:rFonts w:ascii="宋体" w:hAnsi="宋体" w:eastAsia="宋体" w:cs="宋体"/>
          <w:sz w:val="24"/>
          <w:szCs w:val="24"/>
        </w:rPr>
      </w:pPr>
      <w:r>
        <w:rPr>
          <w:rFonts w:ascii="宋体" w:hAnsi="宋体" w:eastAsia="宋体" w:cs="宋体"/>
          <w:spacing w:val="-9"/>
          <w:sz w:val="24"/>
          <w:szCs w:val="24"/>
        </w:rPr>
        <w:t>水体的影响较小， 不会导致沿线地表水环境质</w:t>
      </w:r>
      <w:r>
        <w:rPr>
          <w:rFonts w:ascii="宋体" w:hAnsi="宋体" w:eastAsia="宋体" w:cs="宋体"/>
          <w:spacing w:val="-10"/>
          <w:sz w:val="24"/>
          <w:szCs w:val="24"/>
        </w:rPr>
        <w:t>量下降， 对土壤和地下水环境质量</w:t>
      </w:r>
    </w:p>
    <w:p>
      <w:pPr>
        <w:spacing w:line="218" w:lineRule="auto"/>
        <w:rPr>
          <w:rFonts w:ascii="宋体" w:hAnsi="宋体" w:eastAsia="宋体" w:cs="宋体"/>
          <w:sz w:val="24"/>
          <w:szCs w:val="24"/>
        </w:rPr>
        <w:sectPr>
          <w:headerReference r:id="rId366" w:type="default"/>
          <w:footerReference r:id="rId367" w:type="default"/>
          <w:pgSz w:w="11907" w:h="16839"/>
          <w:pgMar w:top="1118" w:right="1731" w:bottom="1151" w:left="1771" w:header="879" w:footer="990" w:gutter="0"/>
          <w:cols w:space="720" w:num="1"/>
        </w:sectPr>
      </w:pPr>
    </w:p>
    <w:p>
      <w:pPr>
        <w:pStyle w:val="2"/>
        <w:spacing w:line="278" w:lineRule="auto"/>
      </w:pPr>
    </w:p>
    <w:p>
      <w:pPr>
        <w:spacing w:before="78" w:line="219" w:lineRule="auto"/>
        <w:ind w:left="122"/>
        <w:rPr>
          <w:rFonts w:ascii="宋体" w:hAnsi="宋体" w:eastAsia="宋体" w:cs="宋体"/>
          <w:sz w:val="24"/>
          <w:szCs w:val="24"/>
        </w:rPr>
      </w:pPr>
      <w:r>
        <w:rPr>
          <w:rFonts w:ascii="宋体" w:hAnsi="宋体" w:eastAsia="宋体" w:cs="宋体"/>
          <w:spacing w:val="-2"/>
          <w:sz w:val="24"/>
          <w:szCs w:val="24"/>
        </w:rPr>
        <w:t>影响很小。因此，基本不会对地表水体水质造成影响。</w:t>
      </w:r>
    </w:p>
    <w:p>
      <w:pPr>
        <w:spacing w:before="183" w:line="466" w:lineRule="exact"/>
        <w:ind w:left="604"/>
        <w:rPr>
          <w:rFonts w:ascii="宋体" w:hAnsi="宋体" w:eastAsia="宋体" w:cs="宋体"/>
          <w:sz w:val="24"/>
          <w:szCs w:val="24"/>
        </w:rPr>
      </w:pPr>
      <w:r>
        <w:rPr>
          <w:rFonts w:ascii="宋体" w:hAnsi="宋体" w:eastAsia="宋体" w:cs="宋体"/>
          <w:spacing w:val="-10"/>
          <w:position w:val="17"/>
          <w:sz w:val="24"/>
          <w:szCs w:val="24"/>
        </w:rPr>
        <w:t>工程实施后， 在落实各项污染防治措施的基础上， 项目对周边和区域环境的</w:t>
      </w:r>
    </w:p>
    <w:p>
      <w:pPr>
        <w:spacing w:line="219" w:lineRule="auto"/>
        <w:ind w:left="122"/>
        <w:rPr>
          <w:rFonts w:ascii="宋体" w:hAnsi="宋体" w:eastAsia="宋体" w:cs="宋体"/>
          <w:sz w:val="24"/>
          <w:szCs w:val="24"/>
        </w:rPr>
      </w:pPr>
      <w:r>
        <w:rPr>
          <w:rFonts w:ascii="宋体" w:hAnsi="宋体" w:eastAsia="宋体" w:cs="宋体"/>
          <w:spacing w:val="-1"/>
          <w:sz w:val="24"/>
          <w:szCs w:val="24"/>
        </w:rPr>
        <w:t>影响可接受，能做到维持地区大气、地表水环</w:t>
      </w:r>
      <w:r>
        <w:rPr>
          <w:rFonts w:ascii="宋体" w:hAnsi="宋体" w:eastAsia="宋体" w:cs="宋体"/>
          <w:spacing w:val="-2"/>
          <w:sz w:val="24"/>
          <w:szCs w:val="24"/>
        </w:rPr>
        <w:t>境质量，符合功能区要求。</w:t>
      </w:r>
    </w:p>
    <w:p>
      <w:pPr>
        <w:spacing w:before="181" w:line="220" w:lineRule="auto"/>
        <w:ind w:left="604"/>
        <w:rPr>
          <w:rFonts w:ascii="宋体" w:hAnsi="宋体" w:eastAsia="宋体" w:cs="宋体"/>
          <w:sz w:val="24"/>
          <w:szCs w:val="24"/>
        </w:rPr>
      </w:pPr>
      <w:r>
        <w:rPr>
          <w:rFonts w:ascii="Times New Roman" w:hAnsi="Times New Roman" w:eastAsia="Times New Roman" w:cs="Times New Roman"/>
          <w:spacing w:val="-1"/>
          <w:sz w:val="24"/>
          <w:szCs w:val="24"/>
        </w:rPr>
        <w:t>5</w:t>
      </w:r>
      <w:r>
        <w:rPr>
          <w:rFonts w:ascii="宋体" w:hAnsi="宋体" w:eastAsia="宋体" w:cs="宋体"/>
          <w:spacing w:val="-1"/>
          <w:sz w:val="24"/>
          <w:szCs w:val="24"/>
        </w:rPr>
        <w:t>、《建设项目环境保护管理条例》符合性</w:t>
      </w:r>
      <w:r>
        <w:rPr>
          <w:rFonts w:ascii="宋体" w:hAnsi="宋体" w:eastAsia="宋体" w:cs="宋体"/>
          <w:spacing w:val="-2"/>
          <w:sz w:val="24"/>
          <w:szCs w:val="24"/>
        </w:rPr>
        <w:t>分析</w:t>
      </w:r>
    </w:p>
    <w:p>
      <w:pPr>
        <w:spacing w:before="180" w:line="468" w:lineRule="exact"/>
        <w:jc w:val="right"/>
        <w:rPr>
          <w:rFonts w:ascii="宋体" w:hAnsi="宋体" w:eastAsia="宋体" w:cs="宋体"/>
          <w:sz w:val="24"/>
          <w:szCs w:val="24"/>
        </w:rPr>
      </w:pPr>
      <w:r>
        <w:rPr>
          <w:rFonts w:ascii="宋体" w:hAnsi="宋体" w:eastAsia="宋体" w:cs="宋体"/>
          <w:spacing w:val="-9"/>
          <w:position w:val="17"/>
          <w:sz w:val="24"/>
          <w:szCs w:val="24"/>
        </w:rPr>
        <w:t>根据《建设项目环境保护管理条例》，本项目环评审批可行性分析见表</w:t>
      </w:r>
      <w:r>
        <w:rPr>
          <w:rFonts w:ascii="宋体" w:hAnsi="宋体" w:eastAsia="宋体" w:cs="宋体"/>
          <w:spacing w:val="-39"/>
          <w:position w:val="17"/>
          <w:sz w:val="24"/>
          <w:szCs w:val="24"/>
        </w:rPr>
        <w:t xml:space="preserve"> </w:t>
      </w:r>
      <w:r>
        <w:rPr>
          <w:rFonts w:ascii="Times New Roman" w:hAnsi="Times New Roman" w:eastAsia="Times New Roman" w:cs="Times New Roman"/>
          <w:spacing w:val="-9"/>
          <w:position w:val="17"/>
          <w:sz w:val="24"/>
          <w:szCs w:val="24"/>
        </w:rPr>
        <w:t>9.2-</w:t>
      </w:r>
      <w:r>
        <w:rPr>
          <w:rFonts w:ascii="Times New Roman" w:hAnsi="Times New Roman" w:eastAsia="Times New Roman" w:cs="Times New Roman"/>
          <w:spacing w:val="-33"/>
          <w:position w:val="17"/>
          <w:sz w:val="24"/>
          <w:szCs w:val="24"/>
        </w:rPr>
        <w:t xml:space="preserve"> </w:t>
      </w:r>
      <w:r>
        <w:rPr>
          <w:rFonts w:ascii="Times New Roman" w:hAnsi="Times New Roman" w:eastAsia="Times New Roman" w:cs="Times New Roman"/>
          <w:spacing w:val="-9"/>
          <w:position w:val="17"/>
          <w:sz w:val="24"/>
          <w:szCs w:val="24"/>
        </w:rPr>
        <w:t>1</w:t>
      </w:r>
      <w:r>
        <w:rPr>
          <w:rFonts w:ascii="宋体" w:hAnsi="宋体" w:eastAsia="宋体" w:cs="宋体"/>
          <w:spacing w:val="-9"/>
          <w:position w:val="17"/>
          <w:sz w:val="24"/>
          <w:szCs w:val="24"/>
        </w:rPr>
        <w:t>。</w:t>
      </w:r>
    </w:p>
    <w:p>
      <w:pPr>
        <w:spacing w:before="1" w:line="218" w:lineRule="auto"/>
        <w:ind w:left="2015"/>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9.2-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本项目环评审批可行性分析一</w:t>
      </w:r>
      <w:r>
        <w:rPr>
          <w:rFonts w:ascii="宋体" w:hAnsi="宋体" w:eastAsia="宋体" w:cs="宋体"/>
          <w:spacing w:val="-3"/>
          <w:sz w:val="24"/>
          <w:szCs w:val="24"/>
        </w:rPr>
        <w:t>览表</w:t>
      </w:r>
    </w:p>
    <w:p>
      <w:pPr>
        <w:spacing w:line="145"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2673"/>
        <w:gridCol w:w="51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81" w:type="dxa"/>
            <w:vAlign w:val="top"/>
          </w:tcPr>
          <w:p>
            <w:pPr>
              <w:pStyle w:val="6"/>
              <w:spacing w:before="58" w:line="222" w:lineRule="auto"/>
              <w:ind w:left="134"/>
            </w:pPr>
            <w:r>
              <w:rPr>
                <w:spacing w:val="-2"/>
              </w:rPr>
              <w:t>序号</w:t>
            </w:r>
          </w:p>
        </w:tc>
        <w:tc>
          <w:tcPr>
            <w:tcW w:w="2673" w:type="dxa"/>
            <w:vAlign w:val="top"/>
          </w:tcPr>
          <w:p>
            <w:pPr>
              <w:pStyle w:val="6"/>
              <w:spacing w:before="57" w:line="221" w:lineRule="auto"/>
              <w:ind w:left="715"/>
            </w:pPr>
            <w:r>
              <w:rPr>
                <w:spacing w:val="-2"/>
              </w:rPr>
              <w:t>不得审批情形</w:t>
            </w:r>
          </w:p>
        </w:tc>
        <w:tc>
          <w:tcPr>
            <w:tcW w:w="5179" w:type="dxa"/>
            <w:vAlign w:val="top"/>
          </w:tcPr>
          <w:p>
            <w:pPr>
              <w:pStyle w:val="6"/>
              <w:spacing w:before="57" w:line="221" w:lineRule="auto"/>
              <w:ind w:left="2068"/>
            </w:pPr>
            <w:r>
              <w:rPr>
                <w:spacing w:val="-2"/>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681" w:type="dxa"/>
            <w:vAlign w:val="top"/>
          </w:tcPr>
          <w:p>
            <w:pPr>
              <w:spacing w:line="248" w:lineRule="auto"/>
              <w:rPr>
                <w:rFonts w:ascii="Arial"/>
                <w:sz w:val="21"/>
              </w:rPr>
            </w:pPr>
          </w:p>
          <w:p>
            <w:pPr>
              <w:spacing w:line="249" w:lineRule="auto"/>
              <w:rPr>
                <w:rFonts w:ascii="Arial"/>
                <w:sz w:val="21"/>
              </w:rPr>
            </w:pPr>
          </w:p>
          <w:p>
            <w:pPr>
              <w:spacing w:before="61" w:line="187" w:lineRule="auto"/>
              <w:ind w:left="31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73" w:type="dxa"/>
            <w:vAlign w:val="top"/>
          </w:tcPr>
          <w:p>
            <w:pPr>
              <w:pStyle w:val="6"/>
              <w:spacing w:before="211" w:line="256" w:lineRule="auto"/>
              <w:ind w:left="114" w:right="104"/>
              <w:jc w:val="both"/>
            </w:pPr>
            <w:r>
              <w:rPr>
                <w:spacing w:val="-6"/>
              </w:rPr>
              <w:t>建设项目类型及其选址、布</w:t>
            </w:r>
            <w:r>
              <w:t xml:space="preserve"> </w:t>
            </w:r>
            <w:r>
              <w:rPr>
                <w:spacing w:val="-6"/>
              </w:rPr>
              <w:t>局、规模等不符合环境保护</w:t>
            </w:r>
            <w:r>
              <w:t xml:space="preserve"> </w:t>
            </w:r>
            <w:r>
              <w:rPr>
                <w:spacing w:val="6"/>
              </w:rPr>
              <w:t>法律法规和相关法定规划</w:t>
            </w:r>
          </w:p>
        </w:tc>
        <w:tc>
          <w:tcPr>
            <w:tcW w:w="5179" w:type="dxa"/>
            <w:vAlign w:val="top"/>
          </w:tcPr>
          <w:p>
            <w:pPr>
              <w:pStyle w:val="6"/>
              <w:spacing w:before="53" w:line="220" w:lineRule="auto"/>
              <w:ind w:left="533"/>
            </w:pPr>
            <w:r>
              <w:rPr>
                <w:spacing w:val="-1"/>
              </w:rPr>
              <w:t>本项目符合相关法律法规和规划。</w:t>
            </w:r>
          </w:p>
          <w:p>
            <w:pPr>
              <w:pStyle w:val="6"/>
              <w:spacing w:before="61" w:line="257" w:lineRule="auto"/>
              <w:ind w:left="114" w:right="107" w:firstLine="419"/>
            </w:pPr>
            <w:r>
              <w:rPr>
                <w:spacing w:val="1"/>
              </w:rPr>
              <w:t>本项目为公路建设项目，符合国家产业政策及</w:t>
            </w:r>
            <w:r>
              <w:rPr>
                <w:rFonts w:ascii="Times New Roman" w:hAnsi="Times New Roman" w:eastAsia="Times New Roman" w:cs="Times New Roman"/>
                <w:spacing w:val="1"/>
              </w:rPr>
              <w:t>“</w:t>
            </w:r>
            <w:r>
              <w:rPr>
                <w:spacing w:val="1"/>
              </w:rPr>
              <w:t>三</w:t>
            </w:r>
            <w:r>
              <w:rPr>
                <w:spacing w:val="6"/>
              </w:rPr>
              <w:t xml:space="preserve"> </w:t>
            </w:r>
            <w:r>
              <w:rPr>
                <w:spacing w:val="-3"/>
              </w:rPr>
              <w:t>线一单</w:t>
            </w:r>
            <w:r>
              <w:rPr>
                <w:rFonts w:ascii="Times New Roman" w:hAnsi="Times New Roman" w:eastAsia="Times New Roman" w:cs="Times New Roman"/>
                <w:spacing w:val="-3"/>
              </w:rPr>
              <w:t xml:space="preserve">”  </w:t>
            </w:r>
            <w:r>
              <w:rPr>
                <w:spacing w:val="-3"/>
              </w:rPr>
              <w:t>管控要求。项目符合《温州市综合交通运输发</w:t>
            </w:r>
            <w:r>
              <w:t xml:space="preserve"> </w:t>
            </w:r>
            <w:r>
              <w:rPr>
                <w:spacing w:val="-2"/>
              </w:rPr>
              <w:t>展</w:t>
            </w:r>
            <w:r>
              <w:rPr>
                <w:rFonts w:ascii="Times New Roman" w:hAnsi="Times New Roman" w:eastAsia="Times New Roman" w:cs="Times New Roman"/>
                <w:spacing w:val="-2"/>
              </w:rPr>
              <w:t>“</w:t>
            </w:r>
            <w:r>
              <w:rPr>
                <w:spacing w:val="-2"/>
              </w:rPr>
              <w:t>十四五</w:t>
            </w:r>
            <w:r>
              <w:rPr>
                <w:rFonts w:ascii="Times New Roman" w:hAnsi="Times New Roman" w:eastAsia="Times New Roman" w:cs="Times New Roman"/>
                <w:spacing w:val="-2"/>
              </w:rPr>
              <w:t>”</w:t>
            </w:r>
            <w:r>
              <w:rPr>
                <w:spacing w:val="-2"/>
              </w:rPr>
              <w:t>规划》的相关要求。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1" w:hRule="atLeast"/>
        </w:trPr>
        <w:tc>
          <w:tcPr>
            <w:tcW w:w="681"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0" w:line="187" w:lineRule="auto"/>
              <w:ind w:left="28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7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8" w:line="256" w:lineRule="auto"/>
              <w:ind w:left="113" w:right="104" w:firstLine="72"/>
              <w:jc w:val="both"/>
            </w:pPr>
            <w:r>
              <w:rPr>
                <w:spacing w:val="-2"/>
              </w:rPr>
              <w:t xml:space="preserve">所在区域环境质量未达到 </w:t>
            </w:r>
            <w:r>
              <w:rPr>
                <w:spacing w:val="4"/>
              </w:rPr>
              <w:t xml:space="preserve">国家或者地方环境质量标 </w:t>
            </w:r>
            <w:r>
              <w:rPr>
                <w:spacing w:val="-6"/>
              </w:rPr>
              <w:t>准，且建设项目拟采取的措</w:t>
            </w:r>
          </w:p>
          <w:p>
            <w:pPr>
              <w:pStyle w:val="6"/>
              <w:spacing w:before="62" w:line="247" w:lineRule="auto"/>
              <w:ind w:left="402" w:right="176" w:hanging="217"/>
            </w:pPr>
            <w:r>
              <w:rPr>
                <w:spacing w:val="-1"/>
              </w:rPr>
              <w:t>施不能满足区域环境质量</w:t>
            </w:r>
            <w:r>
              <w:rPr>
                <w:spacing w:val="6"/>
              </w:rPr>
              <w:t xml:space="preserve"> </w:t>
            </w:r>
            <w:r>
              <w:rPr>
                <w:spacing w:val="-4"/>
              </w:rPr>
              <w:t>改善目标管理要求。</w:t>
            </w:r>
          </w:p>
        </w:tc>
        <w:tc>
          <w:tcPr>
            <w:tcW w:w="5179" w:type="dxa"/>
            <w:vAlign w:val="top"/>
          </w:tcPr>
          <w:p>
            <w:pPr>
              <w:pStyle w:val="6"/>
              <w:spacing w:before="42" w:line="272" w:lineRule="auto"/>
              <w:ind w:left="65" w:right="49" w:firstLine="381"/>
              <w:jc w:val="both"/>
            </w:pPr>
            <w:r>
              <w:t xml:space="preserve">根据《建设项目环境保护管理条例释义》（国务院 </w:t>
            </w:r>
            <w:r>
              <w:rPr>
                <w:spacing w:val="-2"/>
              </w:rPr>
              <w:t>法制办公室农林城建资源环保法制司、环境保护部政策</w:t>
            </w:r>
            <w:r>
              <w:rPr>
                <w:spacing w:val="8"/>
              </w:rPr>
              <w:t xml:space="preserve"> </w:t>
            </w:r>
            <w:r>
              <w:rPr>
                <w:spacing w:val="-1"/>
              </w:rPr>
              <w:t>法规司、环境保护部环境影响评价司联合编制</w:t>
            </w:r>
            <w:r>
              <w:rPr>
                <w:spacing w:val="-9"/>
              </w:rPr>
              <w:t>），</w:t>
            </w:r>
            <w:r>
              <w:rPr>
                <w:spacing w:val="-1"/>
              </w:rPr>
              <w:t>明确</w:t>
            </w:r>
            <w:r>
              <w:t xml:space="preserve"> </w:t>
            </w:r>
            <w:r>
              <w:rPr>
                <w:rFonts w:ascii="Times New Roman" w:hAnsi="Times New Roman" w:eastAsia="Times New Roman" w:cs="Times New Roman"/>
                <w:spacing w:val="1"/>
              </w:rPr>
              <w:t>“</w:t>
            </w:r>
            <w:r>
              <w:rPr>
                <w:spacing w:val="1"/>
              </w:rPr>
              <w:t xml:space="preserve">对环境质量现状超标的地区，除民生和减排工程外，  </w:t>
            </w:r>
            <w:r>
              <w:rPr>
                <w:spacing w:val="-2"/>
              </w:rPr>
              <w:t>单纯项目实施可能加剧区域环境质量恶化，要改善环境</w:t>
            </w:r>
            <w:r>
              <w:rPr>
                <w:spacing w:val="8"/>
              </w:rPr>
              <w:t xml:space="preserve"> </w:t>
            </w:r>
            <w:r>
              <w:rPr>
                <w:spacing w:val="-4"/>
              </w:rPr>
              <w:t>质量，</w:t>
            </w:r>
            <w:r>
              <w:rPr>
                <w:spacing w:val="-49"/>
              </w:rPr>
              <w:t xml:space="preserve"> </w:t>
            </w:r>
            <w:r>
              <w:rPr>
                <w:spacing w:val="-4"/>
              </w:rPr>
              <w:t>必须采取实施区域环境质量改善目标和项目污染</w:t>
            </w:r>
            <w:r>
              <w:t xml:space="preserve"> </w:t>
            </w:r>
            <w:r>
              <w:rPr>
                <w:spacing w:val="1"/>
              </w:rPr>
              <w:t>减排结合的综合措施，才能实现</w:t>
            </w:r>
            <w:r>
              <w:rPr>
                <w:rFonts w:ascii="Times New Roman" w:hAnsi="Times New Roman" w:eastAsia="Times New Roman" w:cs="Times New Roman"/>
                <w:spacing w:val="1"/>
              </w:rPr>
              <w:t>“</w:t>
            </w:r>
            <w:r>
              <w:rPr>
                <w:spacing w:val="1"/>
              </w:rPr>
              <w:t>差的环境质量要变好</w:t>
            </w:r>
            <w:r>
              <w:rPr>
                <w:rFonts w:ascii="Times New Roman" w:hAnsi="Times New Roman" w:eastAsia="Times New Roman" w:cs="Times New Roman"/>
                <w:spacing w:val="1"/>
              </w:rPr>
              <w:t>”</w:t>
            </w:r>
            <w:r>
              <w:rPr>
                <w:rFonts w:ascii="Times New Roman" w:hAnsi="Times New Roman" w:eastAsia="Times New Roman" w:cs="Times New Roman"/>
                <w:spacing w:val="5"/>
              </w:rPr>
              <w:t xml:space="preserve"> </w:t>
            </w:r>
            <w:r>
              <w:rPr>
                <w:spacing w:val="-3"/>
              </w:rPr>
              <w:t>的要求。</w:t>
            </w:r>
            <w:r>
              <w:rPr>
                <w:rFonts w:ascii="Times New Roman" w:hAnsi="Times New Roman" w:eastAsia="Times New Roman" w:cs="Times New Roman"/>
                <w:spacing w:val="-3"/>
              </w:rPr>
              <w:t>”</w:t>
            </w:r>
            <w:r>
              <w:rPr>
                <w:spacing w:val="-3"/>
              </w:rPr>
              <w:t>公路工程属于民生工程，改善居民出行条件，</w:t>
            </w:r>
            <w:r>
              <w:t xml:space="preserve"> </w:t>
            </w:r>
            <w:r>
              <w:rPr>
                <w:spacing w:val="-2"/>
              </w:rPr>
              <w:t>更新货物进出区域的通道，促进经济发展。本项目通过</w:t>
            </w:r>
            <w:r>
              <w:rPr>
                <w:spacing w:val="8"/>
              </w:rPr>
              <w:t xml:space="preserve"> </w:t>
            </w:r>
            <w:r>
              <w:rPr>
                <w:spacing w:val="-2"/>
              </w:rPr>
              <w:t>采取隔声屏障、绿化、隔声窗等噪声治理措施后，各环</w:t>
            </w:r>
            <w:r>
              <w:rPr>
                <w:spacing w:val="8"/>
              </w:rPr>
              <w:t xml:space="preserve"> </w:t>
            </w:r>
            <w:r>
              <w:rPr>
                <w:spacing w:val="-2"/>
              </w:rPr>
              <w:t>境保护目标的声环境能满足室内噪声限值要求；本项目</w:t>
            </w:r>
            <w:r>
              <w:rPr>
                <w:spacing w:val="8"/>
              </w:rPr>
              <w:t xml:space="preserve"> </w:t>
            </w:r>
            <w:r>
              <w:rPr>
                <w:spacing w:val="-4"/>
              </w:rPr>
              <w:t>营运期桥路面径流，对沿线水体的影响较小，</w:t>
            </w:r>
            <w:r>
              <w:rPr>
                <w:spacing w:val="-47"/>
              </w:rPr>
              <w:t xml:space="preserve"> </w:t>
            </w:r>
            <w:r>
              <w:rPr>
                <w:spacing w:val="-4"/>
              </w:rPr>
              <w:t>不会导致</w:t>
            </w:r>
            <w:r>
              <w:t xml:space="preserve"> </w:t>
            </w:r>
            <w:r>
              <w:rPr>
                <w:spacing w:val="-2"/>
              </w:rPr>
              <w:t>沿线地表水环境质量下降。本项目营运期废气主要为汽</w:t>
            </w:r>
            <w:r>
              <w:rPr>
                <w:spacing w:val="8"/>
              </w:rPr>
              <w:t xml:space="preserve"> </w:t>
            </w:r>
            <w:r>
              <w:rPr>
                <w:spacing w:val="-6"/>
              </w:rPr>
              <w:t>车尾气， 随着我国执行单车排放标准的不断提高，单车</w:t>
            </w:r>
            <w:r>
              <w:rPr>
                <w:spacing w:val="11"/>
              </w:rPr>
              <w:t xml:space="preserve"> </w:t>
            </w:r>
            <w:r>
              <w:rPr>
                <w:spacing w:val="-2"/>
              </w:rPr>
              <w:t>尾气的排放量将会不断降低。同时浙江省大气污染物防</w:t>
            </w:r>
            <w:r>
              <w:rPr>
                <w:spacing w:val="13"/>
              </w:rPr>
              <w:t xml:space="preserve"> </w:t>
            </w:r>
            <w:r>
              <w:rPr>
                <w:spacing w:val="-2"/>
              </w:rPr>
              <w:t>治行动和措施的实施，区域将深化机动车污染防治，进</w:t>
            </w:r>
            <w:r>
              <w:rPr>
                <w:spacing w:val="13"/>
              </w:rPr>
              <w:t xml:space="preserve"> </w:t>
            </w:r>
            <w:r>
              <w:rPr>
                <w:spacing w:val="-2"/>
              </w:rPr>
              <w:t>一步优化车辆结构，新能源车比例逐步提高，汽车尾气</w:t>
            </w:r>
            <w:r>
              <w:rPr>
                <w:spacing w:val="13"/>
              </w:rPr>
              <w:t xml:space="preserve"> </w:t>
            </w:r>
            <w:r>
              <w:rPr>
                <w:spacing w:val="-2"/>
              </w:rPr>
              <w:t>排放量将得到进一步降低，公路对沿线空气质量带来的</w:t>
            </w:r>
            <w:r>
              <w:rPr>
                <w:spacing w:val="13"/>
              </w:rPr>
              <w:t xml:space="preserve"> </w:t>
            </w:r>
            <w:r>
              <w:rPr>
                <w:spacing w:val="-3"/>
              </w:rPr>
              <w:t>影响较小。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68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1" w:line="187" w:lineRule="auto"/>
              <w:ind w:left="29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73" w:type="dxa"/>
            <w:vAlign w:val="top"/>
          </w:tcPr>
          <w:p>
            <w:pPr>
              <w:spacing w:line="302" w:lineRule="auto"/>
              <w:rPr>
                <w:rFonts w:ascii="Arial"/>
                <w:sz w:val="21"/>
              </w:rPr>
            </w:pPr>
          </w:p>
          <w:p>
            <w:pPr>
              <w:spacing w:line="303" w:lineRule="auto"/>
              <w:rPr>
                <w:rFonts w:ascii="Arial"/>
                <w:sz w:val="21"/>
              </w:rPr>
            </w:pPr>
          </w:p>
          <w:p>
            <w:pPr>
              <w:pStyle w:val="6"/>
              <w:spacing w:before="68" w:line="261" w:lineRule="auto"/>
              <w:ind w:left="117" w:right="104" w:firstLine="71"/>
              <w:jc w:val="both"/>
            </w:pPr>
            <w:r>
              <w:rPr>
                <w:spacing w:val="-2"/>
              </w:rPr>
              <w:t xml:space="preserve">建设项目采取的污染防治 </w:t>
            </w:r>
            <w:r>
              <w:rPr>
                <w:spacing w:val="4"/>
              </w:rPr>
              <w:t xml:space="preserve">措施无法确保污染排放达 </w:t>
            </w:r>
            <w:r>
              <w:rPr>
                <w:spacing w:val="-7"/>
              </w:rPr>
              <w:t>到国家和地方排放标准，或</w:t>
            </w:r>
            <w:r>
              <w:rPr>
                <w:spacing w:val="9"/>
              </w:rPr>
              <w:t xml:space="preserve"> </w:t>
            </w:r>
            <w:r>
              <w:rPr>
                <w:spacing w:val="5"/>
              </w:rPr>
              <w:t>者未采取必要措施预防和</w:t>
            </w:r>
          </w:p>
          <w:p>
            <w:pPr>
              <w:pStyle w:val="6"/>
              <w:spacing w:before="62" w:line="221" w:lineRule="auto"/>
              <w:ind w:left="605"/>
            </w:pPr>
            <w:r>
              <w:rPr>
                <w:spacing w:val="-3"/>
              </w:rPr>
              <w:t>控制生态破坏。</w:t>
            </w:r>
          </w:p>
        </w:tc>
        <w:tc>
          <w:tcPr>
            <w:tcW w:w="5179" w:type="dxa"/>
            <w:vAlign w:val="top"/>
          </w:tcPr>
          <w:p>
            <w:pPr>
              <w:pStyle w:val="6"/>
              <w:spacing w:before="57" w:line="268" w:lineRule="auto"/>
              <w:ind w:left="112" w:right="105" w:firstLine="1"/>
              <w:jc w:val="both"/>
            </w:pPr>
            <w:r>
              <w:rPr>
                <w:spacing w:val="-4"/>
              </w:rPr>
              <w:t>本项目通过采取隔声屏障、绿化、隔声窗等噪声治理措</w:t>
            </w:r>
            <w:r>
              <w:rPr>
                <w:spacing w:val="7"/>
              </w:rPr>
              <w:t xml:space="preserve"> </w:t>
            </w:r>
            <w:r>
              <w:rPr>
                <w:spacing w:val="-4"/>
              </w:rPr>
              <w:t>施后，各声环境保护目标的室内声环境能满足室内噪声</w:t>
            </w:r>
            <w:r>
              <w:rPr>
                <w:spacing w:val="9"/>
              </w:rPr>
              <w:t xml:space="preserve"> </w:t>
            </w:r>
            <w:r>
              <w:rPr>
                <w:spacing w:val="-6"/>
              </w:rPr>
              <w:t>限值要求，</w:t>
            </w:r>
            <w:r>
              <w:rPr>
                <w:spacing w:val="-46"/>
              </w:rPr>
              <w:t xml:space="preserve"> </w:t>
            </w:r>
            <w:r>
              <w:rPr>
                <w:spacing w:val="-6"/>
              </w:rPr>
              <w:t>本项目噪声防治措施符合《地面交通噪声污</w:t>
            </w:r>
            <w:r>
              <w:t xml:space="preserve"> </w:t>
            </w:r>
            <w:r>
              <w:rPr>
                <w:spacing w:val="-4"/>
              </w:rPr>
              <w:t>染防治技术政策》</w:t>
            </w:r>
            <w:r>
              <w:rPr>
                <w:rFonts w:ascii="Times New Roman" w:hAnsi="Times New Roman" w:eastAsia="Times New Roman" w:cs="Times New Roman"/>
                <w:spacing w:val="-4"/>
              </w:rPr>
              <w:t>(</w:t>
            </w:r>
            <w:r>
              <w:rPr>
                <w:spacing w:val="-4"/>
              </w:rPr>
              <w:t>环发</w:t>
            </w:r>
            <w:r>
              <w:rPr>
                <w:rFonts w:ascii="Times New Roman" w:hAnsi="Times New Roman" w:eastAsia="Times New Roman" w:cs="Times New Roman"/>
                <w:spacing w:val="-4"/>
              </w:rPr>
              <w:t>[2010]7</w:t>
            </w:r>
            <w:r>
              <w:rPr>
                <w:rFonts w:ascii="Times New Roman" w:hAnsi="Times New Roman" w:eastAsia="Times New Roman" w:cs="Times New Roman"/>
                <w:spacing w:val="13"/>
              </w:rPr>
              <w:t xml:space="preserve"> </w:t>
            </w:r>
            <w:r>
              <w:rPr>
                <w:spacing w:val="-4"/>
              </w:rPr>
              <w:t>号</w:t>
            </w:r>
            <w:r>
              <w:rPr>
                <w:rFonts w:ascii="Times New Roman" w:hAnsi="Times New Roman" w:eastAsia="Times New Roman" w:cs="Times New Roman"/>
                <w:spacing w:val="-4"/>
              </w:rPr>
              <w:t>)</w:t>
            </w:r>
            <w:r>
              <w:rPr>
                <w:spacing w:val="-4"/>
              </w:rPr>
              <w:t>的相关要求；本项目</w:t>
            </w:r>
            <w:r>
              <w:t xml:space="preserve"> </w:t>
            </w:r>
            <w:r>
              <w:rPr>
                <w:spacing w:val="-4"/>
              </w:rPr>
              <w:t>营运期废气的排放可满足相应标准要求；各类固废暂存</w:t>
            </w:r>
            <w:r>
              <w:rPr>
                <w:spacing w:val="9"/>
              </w:rPr>
              <w:t xml:space="preserve"> </w:t>
            </w:r>
            <w:r>
              <w:rPr>
                <w:spacing w:val="-4"/>
              </w:rPr>
              <w:t>和处置满足相应标准要求。通过落实环评报告提出的生</w:t>
            </w:r>
            <w:r>
              <w:rPr>
                <w:spacing w:val="9"/>
              </w:rPr>
              <w:t xml:space="preserve"> </w:t>
            </w:r>
            <w:r>
              <w:rPr>
                <w:spacing w:val="-6"/>
              </w:rPr>
              <w:t>态保护和生态恢复措施、污染防治措施，</w:t>
            </w:r>
            <w:r>
              <w:rPr>
                <w:spacing w:val="-46"/>
              </w:rPr>
              <w:t xml:space="preserve"> </w:t>
            </w:r>
            <w:r>
              <w:rPr>
                <w:spacing w:val="-6"/>
              </w:rPr>
              <w:t>本项目排放废</w:t>
            </w:r>
            <w:r>
              <w:t xml:space="preserve"> </w:t>
            </w:r>
            <w:r>
              <w:rPr>
                <w:spacing w:val="5"/>
              </w:rPr>
              <w:t xml:space="preserve">水、废气不会超过国家和浙江省规定的污染物排放标 </w:t>
            </w:r>
            <w:r>
              <w:rPr>
                <w:spacing w:val="-1"/>
              </w:rPr>
              <w:t>准，并能有效控制声环境影响和生态破坏。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81" w:type="dxa"/>
            <w:vAlign w:val="top"/>
          </w:tcPr>
          <w:p>
            <w:pPr>
              <w:spacing w:before="250" w:line="187" w:lineRule="auto"/>
              <w:ind w:left="28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673" w:type="dxa"/>
            <w:vAlign w:val="top"/>
          </w:tcPr>
          <w:p>
            <w:pPr>
              <w:pStyle w:val="6"/>
              <w:spacing w:before="56" w:line="248" w:lineRule="auto"/>
              <w:ind w:left="152" w:right="104" w:firstLine="41"/>
            </w:pPr>
            <w:r>
              <w:rPr>
                <w:spacing w:val="-3"/>
              </w:rPr>
              <w:t xml:space="preserve">改建、扩建和技术改造项 </w:t>
            </w:r>
            <w:r>
              <w:rPr>
                <w:spacing w:val="-10"/>
              </w:rPr>
              <w:t>目，未针对项目原有环境污</w:t>
            </w:r>
          </w:p>
        </w:tc>
        <w:tc>
          <w:tcPr>
            <w:tcW w:w="5179" w:type="dxa"/>
            <w:vAlign w:val="top"/>
          </w:tcPr>
          <w:p>
            <w:pPr>
              <w:pStyle w:val="6"/>
              <w:spacing w:before="212" w:line="222" w:lineRule="auto"/>
              <w:ind w:left="116"/>
            </w:pPr>
            <w:r>
              <w:rPr>
                <w:spacing w:val="-3"/>
              </w:rPr>
              <w:t>不涉及。</w:t>
            </w:r>
          </w:p>
        </w:tc>
      </w:tr>
    </w:tbl>
    <w:p>
      <w:pPr>
        <w:pStyle w:val="2"/>
      </w:pPr>
    </w:p>
    <w:p>
      <w:pPr>
        <w:sectPr>
          <w:headerReference r:id="rId368" w:type="default"/>
          <w:footerReference r:id="rId369" w:type="default"/>
          <w:pgSz w:w="11907" w:h="16839"/>
          <w:pgMar w:top="1118" w:right="1680" w:bottom="1151" w:left="1687" w:header="879" w:footer="990" w:gutter="0"/>
          <w:cols w:space="720" w:num="1"/>
        </w:sectPr>
      </w:pPr>
    </w:p>
    <w:p>
      <w:pPr>
        <w:spacing w:before="80"/>
      </w:pPr>
    </w:p>
    <w:tbl>
      <w:tblPr>
        <w:tblStyle w:val="5"/>
        <w:tblW w:w="8533"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2673"/>
        <w:gridCol w:w="51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81" w:type="dxa"/>
            <w:vAlign w:val="top"/>
          </w:tcPr>
          <w:p>
            <w:pPr>
              <w:pStyle w:val="6"/>
              <w:spacing w:before="58" w:line="222" w:lineRule="auto"/>
              <w:ind w:left="134"/>
            </w:pPr>
            <w:r>
              <w:rPr>
                <w:spacing w:val="-2"/>
              </w:rPr>
              <w:t>序号</w:t>
            </w:r>
          </w:p>
        </w:tc>
        <w:tc>
          <w:tcPr>
            <w:tcW w:w="2673" w:type="dxa"/>
            <w:vAlign w:val="top"/>
          </w:tcPr>
          <w:p>
            <w:pPr>
              <w:pStyle w:val="6"/>
              <w:spacing w:before="58" w:line="221" w:lineRule="auto"/>
              <w:ind w:left="715"/>
            </w:pPr>
            <w:r>
              <w:rPr>
                <w:spacing w:val="-2"/>
              </w:rPr>
              <w:t>不得审批情形</w:t>
            </w:r>
          </w:p>
        </w:tc>
        <w:tc>
          <w:tcPr>
            <w:tcW w:w="5179" w:type="dxa"/>
            <w:vAlign w:val="top"/>
          </w:tcPr>
          <w:p>
            <w:pPr>
              <w:pStyle w:val="6"/>
              <w:spacing w:before="58" w:line="221" w:lineRule="auto"/>
              <w:ind w:left="2068"/>
            </w:pPr>
            <w:r>
              <w:rPr>
                <w:spacing w:val="-2"/>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81" w:type="dxa"/>
            <w:vAlign w:val="top"/>
          </w:tcPr>
          <w:p>
            <w:pPr>
              <w:rPr>
                <w:rFonts w:ascii="Arial"/>
                <w:sz w:val="21"/>
              </w:rPr>
            </w:pPr>
          </w:p>
        </w:tc>
        <w:tc>
          <w:tcPr>
            <w:tcW w:w="2673" w:type="dxa"/>
            <w:vAlign w:val="top"/>
          </w:tcPr>
          <w:p>
            <w:pPr>
              <w:pStyle w:val="6"/>
              <w:spacing w:before="51" w:line="248" w:lineRule="auto"/>
              <w:ind w:left="925" w:right="176" w:hanging="736"/>
            </w:pPr>
            <w:r>
              <w:rPr>
                <w:spacing w:val="-1"/>
              </w:rPr>
              <w:t>染和生态破坏提出有效防</w:t>
            </w:r>
            <w:r>
              <w:rPr>
                <w:spacing w:val="2"/>
              </w:rPr>
              <w:t xml:space="preserve"> </w:t>
            </w:r>
            <w:r>
              <w:rPr>
                <w:spacing w:val="-3"/>
              </w:rPr>
              <w:t>治措施。</w:t>
            </w:r>
          </w:p>
        </w:tc>
        <w:tc>
          <w:tcPr>
            <w:tcW w:w="51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681"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61" w:line="184" w:lineRule="auto"/>
              <w:ind w:left="29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673" w:type="dxa"/>
            <w:vAlign w:val="top"/>
          </w:tcPr>
          <w:p>
            <w:pPr>
              <w:pStyle w:val="6"/>
              <w:spacing w:before="55" w:line="219" w:lineRule="auto"/>
              <w:ind w:left="188"/>
            </w:pPr>
            <w:r>
              <w:rPr>
                <w:spacing w:val="-1"/>
              </w:rPr>
              <w:t>建设项目的环境影响报告</w:t>
            </w:r>
          </w:p>
          <w:p>
            <w:pPr>
              <w:pStyle w:val="6"/>
              <w:spacing w:before="62" w:line="219" w:lineRule="auto"/>
              <w:ind w:left="115"/>
            </w:pPr>
            <w:r>
              <w:rPr>
                <w:spacing w:val="-6"/>
              </w:rPr>
              <w:t>书、环境影响报告表的基础</w:t>
            </w:r>
          </w:p>
          <w:p>
            <w:pPr>
              <w:pStyle w:val="6"/>
              <w:spacing w:before="62" w:line="221" w:lineRule="auto"/>
              <w:ind w:left="120"/>
            </w:pPr>
            <w:r>
              <w:rPr>
                <w:spacing w:val="-7"/>
              </w:rPr>
              <w:t>资料数据明显不实，内容存</w:t>
            </w:r>
          </w:p>
          <w:p>
            <w:pPr>
              <w:pStyle w:val="6"/>
              <w:spacing w:before="61" w:line="221" w:lineRule="auto"/>
              <w:ind w:left="110"/>
            </w:pPr>
            <w:r>
              <w:rPr>
                <w:spacing w:val="-11"/>
              </w:rPr>
              <w:t>在重大缺陷、遗漏，</w:t>
            </w:r>
            <w:r>
              <w:rPr>
                <w:spacing w:val="-41"/>
              </w:rPr>
              <w:t xml:space="preserve"> </w:t>
            </w:r>
            <w:r>
              <w:rPr>
                <w:spacing w:val="-11"/>
              </w:rPr>
              <w:t>或者环</w:t>
            </w:r>
          </w:p>
          <w:p>
            <w:pPr>
              <w:pStyle w:val="6"/>
              <w:spacing w:before="60" w:line="219" w:lineRule="auto"/>
              <w:ind w:left="112"/>
            </w:pPr>
            <w:r>
              <w:rPr>
                <w:spacing w:val="-6"/>
              </w:rPr>
              <w:t>境影响评价结论不明确、不</w:t>
            </w:r>
          </w:p>
          <w:p>
            <w:pPr>
              <w:pStyle w:val="6"/>
              <w:spacing w:before="64" w:line="223" w:lineRule="auto"/>
              <w:ind w:left="1133"/>
            </w:pPr>
            <w:r>
              <w:rPr>
                <w:spacing w:val="-2"/>
              </w:rPr>
              <w:t>合理</w:t>
            </w:r>
          </w:p>
        </w:tc>
        <w:tc>
          <w:tcPr>
            <w:tcW w:w="5179" w:type="dxa"/>
            <w:vAlign w:val="top"/>
          </w:tcPr>
          <w:p>
            <w:pPr>
              <w:spacing w:line="454" w:lineRule="auto"/>
              <w:rPr>
                <w:rFonts w:ascii="Arial"/>
                <w:sz w:val="21"/>
              </w:rPr>
            </w:pPr>
          </w:p>
          <w:p>
            <w:pPr>
              <w:pStyle w:val="6"/>
              <w:spacing w:before="68" w:line="256" w:lineRule="auto"/>
              <w:ind w:left="112" w:right="107" w:firstLine="1"/>
              <w:jc w:val="both"/>
            </w:pPr>
            <w:r>
              <w:rPr>
                <w:spacing w:val="-4"/>
              </w:rPr>
              <w:t>本项目环评过程基于项目建设方提供的设计文件、图纸</w:t>
            </w:r>
            <w:r>
              <w:rPr>
                <w:spacing w:val="7"/>
              </w:rPr>
              <w:t xml:space="preserve"> </w:t>
            </w:r>
            <w:r>
              <w:rPr>
                <w:spacing w:val="-4"/>
              </w:rPr>
              <w:t>等资料，按照现行的环境影响评价技术导则要求开展环</w:t>
            </w:r>
            <w:r>
              <w:rPr>
                <w:spacing w:val="9"/>
              </w:rPr>
              <w:t xml:space="preserve"> </w:t>
            </w:r>
            <w:r>
              <w:rPr>
                <w:spacing w:val="-2"/>
              </w:rPr>
              <w:t>评分析，符合审批要求。</w:t>
            </w:r>
          </w:p>
        </w:tc>
      </w:tr>
    </w:tbl>
    <w:p>
      <w:pPr>
        <w:spacing w:before="191" w:line="219" w:lineRule="auto"/>
        <w:ind w:left="1909"/>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 xml:space="preserve">9.2-2      </w:t>
      </w:r>
      <w:r>
        <w:rPr>
          <w:rFonts w:ascii="宋体" w:hAnsi="宋体" w:eastAsia="宋体" w:cs="宋体"/>
          <w:spacing w:val="-2"/>
          <w:sz w:val="24"/>
          <w:szCs w:val="24"/>
        </w:rPr>
        <w:t>本项目环评审查</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四性</w:t>
      </w:r>
      <w:r>
        <w:rPr>
          <w:rFonts w:ascii="Times New Roman" w:hAnsi="Times New Roman" w:eastAsia="Times New Roman" w:cs="Times New Roman"/>
          <w:spacing w:val="-2"/>
          <w:sz w:val="24"/>
          <w:szCs w:val="24"/>
        </w:rPr>
        <w:t>”</w:t>
      </w:r>
      <w:r>
        <w:rPr>
          <w:rFonts w:ascii="宋体" w:hAnsi="宋体" w:eastAsia="宋体" w:cs="宋体"/>
          <w:spacing w:val="-2"/>
          <w:sz w:val="24"/>
          <w:szCs w:val="24"/>
        </w:rPr>
        <w:t>分析一览表</w:t>
      </w:r>
    </w:p>
    <w:p>
      <w:pPr>
        <w:spacing w:line="144"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1627"/>
        <w:gridCol w:w="62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83" w:type="dxa"/>
            <w:vAlign w:val="top"/>
          </w:tcPr>
          <w:p>
            <w:pPr>
              <w:pStyle w:val="6"/>
              <w:spacing w:before="56" w:line="222" w:lineRule="auto"/>
              <w:ind w:left="136"/>
            </w:pPr>
            <w:r>
              <w:rPr>
                <w:spacing w:val="-2"/>
              </w:rPr>
              <w:t>序号</w:t>
            </w:r>
          </w:p>
        </w:tc>
        <w:tc>
          <w:tcPr>
            <w:tcW w:w="1627" w:type="dxa"/>
            <w:vAlign w:val="top"/>
          </w:tcPr>
          <w:p>
            <w:pPr>
              <w:pStyle w:val="6"/>
              <w:spacing w:before="56" w:line="221" w:lineRule="auto"/>
              <w:ind w:left="256"/>
            </w:pPr>
            <w:r>
              <w:rPr>
                <w:rFonts w:ascii="Times New Roman" w:hAnsi="Times New Roman" w:eastAsia="Times New Roman" w:cs="Times New Roman"/>
                <w:spacing w:val="-1"/>
              </w:rPr>
              <w:t>“</w:t>
            </w:r>
            <w:r>
              <w:rPr>
                <w:rFonts w:ascii="Times New Roman" w:hAnsi="Times New Roman" w:eastAsia="Times New Roman" w:cs="Times New Roman"/>
                <w:spacing w:val="-21"/>
              </w:rPr>
              <w:t xml:space="preserve"> </w:t>
            </w:r>
            <w:r>
              <w:rPr>
                <w:spacing w:val="-1"/>
              </w:rPr>
              <w:t>四性</w:t>
            </w:r>
            <w:r>
              <w:rPr>
                <w:rFonts w:ascii="Times New Roman" w:hAnsi="Times New Roman" w:eastAsia="Times New Roman" w:cs="Times New Roman"/>
                <w:spacing w:val="-1"/>
              </w:rPr>
              <w:t>”</w:t>
            </w:r>
            <w:r>
              <w:rPr>
                <w:rFonts w:ascii="Times New Roman" w:hAnsi="Times New Roman" w:eastAsia="Times New Roman" w:cs="Times New Roman"/>
                <w:spacing w:val="-21"/>
              </w:rPr>
              <w:t xml:space="preserve"> </w:t>
            </w:r>
            <w:r>
              <w:rPr>
                <w:spacing w:val="-1"/>
              </w:rPr>
              <w:t>内容</w:t>
            </w:r>
          </w:p>
        </w:tc>
        <w:tc>
          <w:tcPr>
            <w:tcW w:w="6223" w:type="dxa"/>
            <w:vAlign w:val="top"/>
          </w:tcPr>
          <w:p>
            <w:pPr>
              <w:pStyle w:val="6"/>
              <w:spacing w:before="56" w:line="221" w:lineRule="auto"/>
              <w:ind w:left="2554"/>
            </w:pP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四性</w:t>
            </w:r>
            <w:r>
              <w:rPr>
                <w:rFonts w:ascii="Times New Roman" w:hAnsi="Times New Roman" w:eastAsia="Times New Roman" w:cs="Times New Roman"/>
                <w:spacing w:val="2"/>
              </w:rPr>
              <w:t>”</w:t>
            </w:r>
            <w:r>
              <w:rPr>
                <w:spacing w:val="2"/>
              </w:rPr>
              <w:t>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68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1" w:line="187" w:lineRule="auto"/>
              <w:ind w:left="31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27" w:type="dxa"/>
            <w:vAlign w:val="top"/>
          </w:tcPr>
          <w:p>
            <w:pPr>
              <w:spacing w:line="303" w:lineRule="auto"/>
              <w:rPr>
                <w:rFonts w:ascii="Arial"/>
                <w:sz w:val="21"/>
              </w:rPr>
            </w:pPr>
          </w:p>
          <w:p>
            <w:pPr>
              <w:spacing w:line="303" w:lineRule="auto"/>
              <w:rPr>
                <w:rFonts w:ascii="Arial"/>
                <w:sz w:val="21"/>
              </w:rPr>
            </w:pPr>
          </w:p>
          <w:p>
            <w:pPr>
              <w:pStyle w:val="6"/>
              <w:spacing w:before="68" w:line="248" w:lineRule="auto"/>
              <w:ind w:left="398" w:right="181" w:hanging="209"/>
            </w:pPr>
            <w:r>
              <w:rPr>
                <w:spacing w:val="-2"/>
              </w:rPr>
              <w:t>建设项目的环</w:t>
            </w:r>
            <w:r>
              <w:rPr>
                <w:spacing w:val="2"/>
              </w:rPr>
              <w:t xml:space="preserve"> </w:t>
            </w:r>
            <w:r>
              <w:rPr>
                <w:spacing w:val="-2"/>
              </w:rPr>
              <w:t>境可行性</w:t>
            </w:r>
          </w:p>
        </w:tc>
        <w:tc>
          <w:tcPr>
            <w:tcW w:w="6223" w:type="dxa"/>
            <w:vAlign w:val="top"/>
          </w:tcPr>
          <w:p>
            <w:pPr>
              <w:pStyle w:val="6"/>
              <w:spacing w:before="57" w:line="265" w:lineRule="auto"/>
              <w:ind w:left="112" w:right="102"/>
              <w:jc w:val="both"/>
            </w:pPr>
            <w:r>
              <w:rPr>
                <w:spacing w:val="-6"/>
              </w:rPr>
              <w:t>根据本环评对噪声、大气、水、固废、生态等分析，</w:t>
            </w:r>
            <w:r>
              <w:rPr>
                <w:spacing w:val="-23"/>
              </w:rPr>
              <w:t xml:space="preserve"> </w:t>
            </w:r>
            <w:r>
              <w:rPr>
                <w:spacing w:val="-6"/>
              </w:rPr>
              <w:t>项目建设和运</w:t>
            </w:r>
            <w:r>
              <w:t xml:space="preserve"> </w:t>
            </w:r>
            <w:r>
              <w:rPr>
                <w:spacing w:val="-3"/>
              </w:rPr>
              <w:t>营对环境存在一定影响，但是通过实施本环评提出个所有环</w:t>
            </w:r>
            <w:r>
              <w:rPr>
                <w:spacing w:val="-4"/>
              </w:rPr>
              <w:t>保措施</w:t>
            </w:r>
            <w:r>
              <w:t xml:space="preserve"> </w:t>
            </w:r>
            <w:r>
              <w:rPr>
                <w:spacing w:val="-5"/>
              </w:rPr>
              <w:t>后，</w:t>
            </w:r>
            <w:r>
              <w:rPr>
                <w:spacing w:val="-50"/>
              </w:rPr>
              <w:t xml:space="preserve"> </w:t>
            </w:r>
            <w:r>
              <w:rPr>
                <w:spacing w:val="-5"/>
              </w:rPr>
              <w:t>声环境保护目标的室内声环境能满足室内噪声限值要求，本项</w:t>
            </w:r>
            <w:r>
              <w:t xml:space="preserve"> </w:t>
            </w:r>
            <w:r>
              <w:rPr>
                <w:spacing w:val="9"/>
              </w:rPr>
              <w:t>目噪声防治措施符合《地面交通噪声污染防治技术政策》</w:t>
            </w:r>
            <w:r>
              <w:rPr>
                <w:rFonts w:ascii="Times New Roman" w:hAnsi="Times New Roman" w:eastAsia="Times New Roman" w:cs="Times New Roman"/>
                <w:spacing w:val="9"/>
              </w:rPr>
              <w:t>(</w:t>
            </w:r>
            <w:r>
              <w:rPr>
                <w:spacing w:val="9"/>
              </w:rPr>
              <w:t>环发</w:t>
            </w:r>
            <w:r>
              <w:rPr>
                <w:spacing w:val="8"/>
              </w:rPr>
              <w:t xml:space="preserve"> </w:t>
            </w:r>
            <w:r>
              <w:rPr>
                <w:rFonts w:ascii="Times New Roman" w:hAnsi="Times New Roman" w:eastAsia="Times New Roman" w:cs="Times New Roman"/>
                <w:spacing w:val="-5"/>
              </w:rPr>
              <w:t>[2010]7</w:t>
            </w:r>
            <w:r>
              <w:rPr>
                <w:spacing w:val="-5"/>
              </w:rPr>
              <w:t>号</w:t>
            </w:r>
            <w:r>
              <w:rPr>
                <w:rFonts w:ascii="Times New Roman" w:hAnsi="Times New Roman" w:eastAsia="Times New Roman" w:cs="Times New Roman"/>
                <w:spacing w:val="-5"/>
              </w:rPr>
              <w:t>)</w:t>
            </w:r>
            <w:r>
              <w:rPr>
                <w:spacing w:val="-5"/>
              </w:rPr>
              <w:t>的相关要求，</w:t>
            </w:r>
            <w:r>
              <w:rPr>
                <w:spacing w:val="72"/>
              </w:rPr>
              <w:t xml:space="preserve"> </w:t>
            </w:r>
            <w:r>
              <w:rPr>
                <w:spacing w:val="-5"/>
              </w:rPr>
              <w:t>其他各类型污染均能达标或维持现状，具</w:t>
            </w:r>
            <w:r>
              <w:t xml:space="preserve"> </w:t>
            </w:r>
            <w:r>
              <w:rPr>
                <w:spacing w:val="-3"/>
              </w:rPr>
              <w:t>有环境可行性。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3" w:type="dxa"/>
            <w:vAlign w:val="top"/>
          </w:tcPr>
          <w:p>
            <w:pPr>
              <w:spacing w:line="342" w:lineRule="auto"/>
              <w:rPr>
                <w:rFonts w:ascii="Arial"/>
                <w:sz w:val="21"/>
              </w:rPr>
            </w:pPr>
          </w:p>
          <w:p>
            <w:pPr>
              <w:spacing w:before="60" w:line="187" w:lineRule="auto"/>
              <w:ind w:left="28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27" w:type="dxa"/>
            <w:vAlign w:val="top"/>
          </w:tcPr>
          <w:p>
            <w:pPr>
              <w:pStyle w:val="6"/>
              <w:spacing w:before="54" w:line="221" w:lineRule="auto"/>
              <w:ind w:left="186"/>
            </w:pPr>
            <w:r>
              <w:rPr>
                <w:spacing w:val="-1"/>
              </w:rPr>
              <w:t>环境影响分析</w:t>
            </w:r>
          </w:p>
          <w:p>
            <w:pPr>
              <w:pStyle w:val="6"/>
              <w:spacing w:before="60" w:line="219" w:lineRule="auto"/>
              <w:ind w:left="188"/>
            </w:pPr>
            <w:r>
              <w:rPr>
                <w:spacing w:val="-2"/>
              </w:rPr>
              <w:t>预测评估的可</w:t>
            </w:r>
          </w:p>
          <w:p>
            <w:pPr>
              <w:pStyle w:val="6"/>
              <w:spacing w:before="63" w:line="221" w:lineRule="auto"/>
              <w:ind w:left="607"/>
            </w:pPr>
            <w:r>
              <w:rPr>
                <w:spacing w:val="-2"/>
              </w:rPr>
              <w:t>靠性</w:t>
            </w:r>
          </w:p>
        </w:tc>
        <w:tc>
          <w:tcPr>
            <w:tcW w:w="6223" w:type="dxa"/>
            <w:vAlign w:val="top"/>
          </w:tcPr>
          <w:p>
            <w:pPr>
              <w:pStyle w:val="6"/>
              <w:spacing w:before="53" w:line="256" w:lineRule="auto"/>
              <w:ind w:left="112" w:right="102" w:firstLine="1"/>
              <w:jc w:val="both"/>
            </w:pPr>
            <w:r>
              <w:rPr>
                <w:spacing w:val="4"/>
              </w:rPr>
              <w:t>本环评采用环境影响评价技术导则推荐模式和方法进行各专题的</w:t>
            </w:r>
            <w:r>
              <w:rPr>
                <w:spacing w:val="1"/>
              </w:rPr>
              <w:t xml:space="preserve"> </w:t>
            </w:r>
            <w:r>
              <w:rPr>
                <w:spacing w:val="-5"/>
              </w:rPr>
              <w:t>环境影响分析，使用技术和方法均较为成熟，</w:t>
            </w:r>
            <w:r>
              <w:rPr>
                <w:spacing w:val="-46"/>
              </w:rPr>
              <w:t xml:space="preserve"> </w:t>
            </w:r>
            <w:r>
              <w:rPr>
                <w:spacing w:val="-5"/>
              </w:rPr>
              <w:t>同时对数据和</w:t>
            </w:r>
            <w:r>
              <w:rPr>
                <w:spacing w:val="-6"/>
              </w:rPr>
              <w:t>预测过</w:t>
            </w:r>
            <w:r>
              <w:t xml:space="preserve"> 程进行多重审核，环境影响分析预测评估较为</w:t>
            </w:r>
            <w:r>
              <w:rPr>
                <w:spacing w:val="-1"/>
              </w:rPr>
              <w:t>可靠。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3" w:type="dxa"/>
            <w:vAlign w:val="top"/>
          </w:tcPr>
          <w:p>
            <w:pPr>
              <w:spacing w:line="343" w:lineRule="auto"/>
              <w:rPr>
                <w:rFonts w:ascii="Arial"/>
                <w:sz w:val="21"/>
              </w:rPr>
            </w:pPr>
          </w:p>
          <w:p>
            <w:pPr>
              <w:spacing w:before="60" w:line="187" w:lineRule="auto"/>
              <w:ind w:left="29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27" w:type="dxa"/>
            <w:vAlign w:val="top"/>
          </w:tcPr>
          <w:p>
            <w:pPr>
              <w:pStyle w:val="6"/>
              <w:spacing w:before="210" w:line="248" w:lineRule="auto"/>
              <w:ind w:left="414" w:right="181" w:hanging="228"/>
            </w:pPr>
            <w:r>
              <w:rPr>
                <w:spacing w:val="-1"/>
              </w:rPr>
              <w:t>环境保护措施</w:t>
            </w:r>
            <w:r>
              <w:t xml:space="preserve"> </w:t>
            </w:r>
            <w:r>
              <w:rPr>
                <w:spacing w:val="-6"/>
              </w:rPr>
              <w:t>的有效性</w:t>
            </w:r>
          </w:p>
        </w:tc>
        <w:tc>
          <w:tcPr>
            <w:tcW w:w="6223" w:type="dxa"/>
            <w:vAlign w:val="top"/>
          </w:tcPr>
          <w:p>
            <w:pPr>
              <w:pStyle w:val="6"/>
              <w:spacing w:before="56" w:line="256" w:lineRule="auto"/>
              <w:ind w:left="112" w:right="102"/>
              <w:jc w:val="both"/>
            </w:pPr>
            <w:r>
              <w:rPr>
                <w:spacing w:val="-3"/>
              </w:rPr>
              <w:t>本环评所提的噪声、污水等防治措施、生态环境影响减缓措</w:t>
            </w:r>
            <w:r>
              <w:rPr>
                <w:spacing w:val="-4"/>
              </w:rPr>
              <w:t>施均为</w:t>
            </w:r>
            <w:r>
              <w:t xml:space="preserve"> </w:t>
            </w:r>
            <w:r>
              <w:rPr>
                <w:spacing w:val="-3"/>
              </w:rPr>
              <w:t>已有多年使用并被实践论证可行的技术和设备，各环境保护措</w:t>
            </w:r>
            <w:r>
              <w:rPr>
                <w:spacing w:val="-4"/>
              </w:rPr>
              <w:t>施能</w:t>
            </w:r>
            <w:r>
              <w:t xml:space="preserve"> </w:t>
            </w:r>
            <w:r>
              <w:rPr>
                <w:spacing w:val="-1"/>
              </w:rPr>
              <w:t>较好的发挥污染防治和生态环境影响减缓作用。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683" w:type="dxa"/>
            <w:vAlign w:val="top"/>
          </w:tcPr>
          <w:p>
            <w:pPr>
              <w:spacing w:line="327" w:lineRule="auto"/>
              <w:rPr>
                <w:rFonts w:ascii="Arial"/>
                <w:sz w:val="21"/>
              </w:rPr>
            </w:pPr>
          </w:p>
          <w:p>
            <w:pPr>
              <w:spacing w:line="327" w:lineRule="auto"/>
              <w:rPr>
                <w:rFonts w:ascii="Arial"/>
                <w:sz w:val="21"/>
              </w:rPr>
            </w:pPr>
          </w:p>
          <w:p>
            <w:pPr>
              <w:spacing w:before="60" w:line="187" w:lineRule="auto"/>
              <w:ind w:left="28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27" w:type="dxa"/>
            <w:vAlign w:val="top"/>
          </w:tcPr>
          <w:p>
            <w:pPr>
              <w:spacing w:line="452" w:lineRule="auto"/>
              <w:rPr>
                <w:rFonts w:ascii="Arial"/>
                <w:sz w:val="21"/>
              </w:rPr>
            </w:pPr>
          </w:p>
          <w:p>
            <w:pPr>
              <w:pStyle w:val="6"/>
              <w:spacing w:before="69" w:line="247" w:lineRule="auto"/>
              <w:ind w:left="191" w:right="181" w:hanging="5"/>
            </w:pPr>
            <w:r>
              <w:rPr>
                <w:spacing w:val="-1"/>
              </w:rPr>
              <w:t>环境影响评价</w:t>
            </w:r>
            <w:r>
              <w:t xml:space="preserve"> </w:t>
            </w:r>
            <w:r>
              <w:rPr>
                <w:spacing w:val="-2"/>
              </w:rPr>
              <w:t>结论的科学性</w:t>
            </w:r>
          </w:p>
        </w:tc>
        <w:tc>
          <w:tcPr>
            <w:tcW w:w="6223" w:type="dxa"/>
            <w:vAlign w:val="top"/>
          </w:tcPr>
          <w:p>
            <w:pPr>
              <w:pStyle w:val="6"/>
              <w:spacing w:before="58" w:line="263" w:lineRule="auto"/>
              <w:ind w:left="112" w:right="102"/>
              <w:jc w:val="both"/>
            </w:pPr>
            <w:r>
              <w:rPr>
                <w:spacing w:val="-3"/>
              </w:rPr>
              <w:t>本环评论证了项目与三线一单分区管控方案、规划等的相符</w:t>
            </w:r>
            <w:r>
              <w:rPr>
                <w:spacing w:val="-4"/>
              </w:rPr>
              <w:t>性，并</w:t>
            </w:r>
            <w:r>
              <w:t xml:space="preserve"> </w:t>
            </w:r>
            <w:r>
              <w:rPr>
                <w:spacing w:val="-3"/>
              </w:rPr>
              <w:t>基于现行的技术导则方法开展量化为主的分析，通过对标国家</w:t>
            </w:r>
            <w:r>
              <w:rPr>
                <w:spacing w:val="-4"/>
              </w:rPr>
              <w:t>以及</w:t>
            </w:r>
            <w:r>
              <w:t xml:space="preserve"> </w:t>
            </w:r>
            <w:r>
              <w:rPr>
                <w:spacing w:val="-5"/>
              </w:rPr>
              <w:t>地方管理部门确认的环境质量、排放标准，</w:t>
            </w:r>
            <w:r>
              <w:rPr>
                <w:spacing w:val="-39"/>
              </w:rPr>
              <w:t xml:space="preserve"> </w:t>
            </w:r>
            <w:r>
              <w:rPr>
                <w:spacing w:val="-6"/>
              </w:rPr>
              <w:t>提出当前较为成熟的环</w:t>
            </w:r>
            <w:r>
              <w:t xml:space="preserve"> </w:t>
            </w:r>
            <w:r>
              <w:rPr>
                <w:spacing w:val="-5"/>
              </w:rPr>
              <w:t>保措施，确保项目环境质量达标或维持现状，</w:t>
            </w:r>
            <w:r>
              <w:rPr>
                <w:spacing w:val="-49"/>
              </w:rPr>
              <w:t xml:space="preserve"> </w:t>
            </w:r>
            <w:r>
              <w:rPr>
                <w:spacing w:val="-5"/>
              </w:rPr>
              <w:t>因此本环评结论具有</w:t>
            </w:r>
            <w:r>
              <w:t xml:space="preserve"> </w:t>
            </w:r>
            <w:r>
              <w:rPr>
                <w:spacing w:val="-3"/>
              </w:rPr>
              <w:t>较好的科学性。</w:t>
            </w:r>
          </w:p>
        </w:tc>
      </w:tr>
    </w:tbl>
    <w:p>
      <w:pPr>
        <w:spacing w:before="215" w:line="220" w:lineRule="auto"/>
        <w:ind w:left="122"/>
        <w:outlineLvl w:val="1"/>
        <w:rPr>
          <w:rFonts w:ascii="宋体" w:hAnsi="宋体" w:eastAsia="宋体" w:cs="宋体"/>
          <w:sz w:val="24"/>
          <w:szCs w:val="24"/>
        </w:rPr>
      </w:pPr>
      <w:r>
        <w:rPr>
          <w:rFonts w:ascii="Times New Roman" w:hAnsi="Times New Roman" w:eastAsia="Times New Roman" w:cs="Times New Roman"/>
          <w:b/>
          <w:bCs/>
          <w:sz w:val="24"/>
          <w:szCs w:val="24"/>
        </w:rPr>
        <w:t xml:space="preserve">9.2.2 </w:t>
      </w:r>
      <w:r>
        <w:rPr>
          <w:rFonts w:ascii="宋体" w:hAnsi="宋体" w:eastAsia="宋体" w:cs="宋体"/>
          <w:sz w:val="24"/>
          <w:szCs w:val="24"/>
          <w14:textOutline w14:w="4354" w14:cap="flat" w14:cmpd="sng">
            <w14:solidFill>
              <w14:srgbClr w14:val="000000"/>
            </w14:solidFill>
            <w14:prstDash w14:val="solid"/>
            <w14:miter w14:val="0"/>
          </w14:textOutline>
        </w:rPr>
        <w:t>环评审批要求符合性分析</w:t>
      </w:r>
    </w:p>
    <w:p>
      <w:pPr>
        <w:spacing w:before="223" w:line="220" w:lineRule="auto"/>
        <w:ind w:left="623"/>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、清洁生产符合性分析</w:t>
      </w:r>
    </w:p>
    <w:p>
      <w:pPr>
        <w:spacing w:before="221" w:line="359" w:lineRule="auto"/>
        <w:ind w:left="125" w:right="54" w:firstLine="479"/>
        <w:rPr>
          <w:rFonts w:ascii="宋体" w:hAnsi="宋体" w:eastAsia="宋体" w:cs="宋体"/>
          <w:sz w:val="24"/>
          <w:szCs w:val="24"/>
        </w:rPr>
      </w:pPr>
      <w:r>
        <w:rPr>
          <w:rFonts w:ascii="宋体" w:hAnsi="宋体" w:eastAsia="宋体" w:cs="宋体"/>
          <w:spacing w:val="-13"/>
          <w:sz w:val="24"/>
          <w:szCs w:val="24"/>
        </w:rPr>
        <w:t>本项目为二级公路建设项目，</w:t>
      </w:r>
      <w:r>
        <w:rPr>
          <w:rFonts w:ascii="宋体" w:hAnsi="宋体" w:eastAsia="宋体" w:cs="宋体"/>
          <w:spacing w:val="-34"/>
          <w:sz w:val="24"/>
          <w:szCs w:val="24"/>
        </w:rPr>
        <w:t xml:space="preserve"> </w:t>
      </w:r>
      <w:r>
        <w:rPr>
          <w:rFonts w:ascii="宋体" w:hAnsi="宋体" w:eastAsia="宋体" w:cs="宋体"/>
          <w:spacing w:val="-13"/>
          <w:sz w:val="24"/>
          <w:szCs w:val="24"/>
        </w:rPr>
        <w:t>工程采用先进的工艺进行施工，</w:t>
      </w:r>
      <w:r>
        <w:rPr>
          <w:rFonts w:ascii="宋体" w:hAnsi="宋体" w:eastAsia="宋体" w:cs="宋体"/>
          <w:spacing w:val="-45"/>
          <w:sz w:val="24"/>
          <w:szCs w:val="24"/>
        </w:rPr>
        <w:t xml:space="preserve"> </w:t>
      </w:r>
      <w:r>
        <w:rPr>
          <w:rFonts w:ascii="宋体" w:hAnsi="宋体" w:eastAsia="宋体" w:cs="宋体"/>
          <w:spacing w:val="-13"/>
          <w:sz w:val="24"/>
          <w:szCs w:val="24"/>
        </w:rPr>
        <w:t>做好施工管理，</w:t>
      </w:r>
      <w:r>
        <w:rPr>
          <w:rFonts w:ascii="宋体" w:hAnsi="宋体" w:eastAsia="宋体" w:cs="宋体"/>
          <w:sz w:val="24"/>
          <w:szCs w:val="24"/>
        </w:rPr>
        <w:t xml:space="preserve"> </w:t>
      </w:r>
      <w:r>
        <w:rPr>
          <w:rFonts w:ascii="宋体" w:hAnsi="宋体" w:eastAsia="宋体" w:cs="宋体"/>
          <w:spacing w:val="-9"/>
          <w:sz w:val="24"/>
          <w:szCs w:val="24"/>
        </w:rPr>
        <w:t>生产废水处理达标后回用， 尽可能减少施工过程</w:t>
      </w:r>
      <w:r>
        <w:rPr>
          <w:rFonts w:ascii="宋体" w:hAnsi="宋体" w:eastAsia="宋体" w:cs="宋体"/>
          <w:spacing w:val="-10"/>
          <w:sz w:val="24"/>
          <w:szCs w:val="24"/>
        </w:rPr>
        <w:t>中的扬尘污染， 土石方进行综合</w:t>
      </w:r>
      <w:r>
        <w:rPr>
          <w:rFonts w:ascii="宋体" w:hAnsi="宋体" w:eastAsia="宋体" w:cs="宋体"/>
          <w:sz w:val="24"/>
          <w:szCs w:val="24"/>
        </w:rPr>
        <w:t xml:space="preserve"> </w:t>
      </w:r>
      <w:r>
        <w:rPr>
          <w:rFonts w:ascii="宋体" w:hAnsi="宋体" w:eastAsia="宋体" w:cs="宋体"/>
          <w:spacing w:val="-12"/>
          <w:sz w:val="24"/>
          <w:szCs w:val="24"/>
        </w:rPr>
        <w:t>利用。运营期汽车尾气产生量较小，</w:t>
      </w:r>
      <w:r>
        <w:rPr>
          <w:rFonts w:ascii="宋体" w:hAnsi="宋体" w:eastAsia="宋体" w:cs="宋体"/>
          <w:spacing w:val="40"/>
          <w:sz w:val="24"/>
          <w:szCs w:val="24"/>
        </w:rPr>
        <w:t xml:space="preserve"> </w:t>
      </w:r>
      <w:r>
        <w:rPr>
          <w:rFonts w:ascii="宋体" w:hAnsi="宋体" w:eastAsia="宋体" w:cs="宋体"/>
          <w:spacing w:val="-12"/>
          <w:sz w:val="24"/>
          <w:szCs w:val="24"/>
        </w:rPr>
        <w:t>各类固废妥善处置，</w:t>
      </w:r>
      <w:r>
        <w:rPr>
          <w:rFonts w:ascii="宋体" w:hAnsi="宋体" w:eastAsia="宋体" w:cs="宋体"/>
          <w:spacing w:val="36"/>
          <w:sz w:val="24"/>
          <w:szCs w:val="24"/>
        </w:rPr>
        <w:t xml:space="preserve"> </w:t>
      </w:r>
      <w:r>
        <w:rPr>
          <w:rFonts w:ascii="宋体" w:hAnsi="宋体" w:eastAsia="宋体" w:cs="宋体"/>
          <w:spacing w:val="-12"/>
          <w:sz w:val="24"/>
          <w:szCs w:val="24"/>
        </w:rPr>
        <w:t>故本项目符合清洁生产</w:t>
      </w:r>
    </w:p>
    <w:p>
      <w:pPr>
        <w:spacing w:before="1" w:line="220" w:lineRule="auto"/>
        <w:ind w:left="125"/>
        <w:rPr>
          <w:rFonts w:ascii="宋体" w:hAnsi="宋体" w:eastAsia="宋体" w:cs="宋体"/>
          <w:sz w:val="24"/>
          <w:szCs w:val="24"/>
        </w:rPr>
      </w:pPr>
      <w:r>
        <w:rPr>
          <w:rFonts w:ascii="宋体" w:hAnsi="宋体" w:eastAsia="宋体" w:cs="宋体"/>
          <w:spacing w:val="-11"/>
          <w:sz w:val="24"/>
          <w:szCs w:val="24"/>
        </w:rPr>
        <w:t>要求。</w:t>
      </w:r>
    </w:p>
    <w:p>
      <w:pPr>
        <w:spacing w:before="221" w:line="220" w:lineRule="auto"/>
        <w:ind w:left="600"/>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、建设项目风险防范措施要求符合性分析</w:t>
      </w:r>
    </w:p>
    <w:p>
      <w:pPr>
        <w:spacing w:before="221" w:line="465" w:lineRule="exact"/>
        <w:ind w:left="607"/>
        <w:rPr>
          <w:rFonts w:ascii="宋体" w:hAnsi="宋体" w:eastAsia="宋体" w:cs="宋体"/>
          <w:sz w:val="24"/>
          <w:szCs w:val="24"/>
        </w:rPr>
      </w:pPr>
      <w:r>
        <w:rPr>
          <w:rFonts w:ascii="宋体" w:hAnsi="宋体" w:eastAsia="宋体" w:cs="宋体"/>
          <w:spacing w:val="4"/>
          <w:position w:val="17"/>
          <w:sz w:val="24"/>
          <w:szCs w:val="24"/>
        </w:rPr>
        <w:t>建设单位按照本环评报告的要求落实道路危险品运输交通事故的风险防范</w:t>
      </w:r>
    </w:p>
    <w:p>
      <w:pPr>
        <w:spacing w:before="1" w:line="219" w:lineRule="auto"/>
        <w:ind w:left="124"/>
        <w:rPr>
          <w:rFonts w:ascii="宋体" w:hAnsi="宋体" w:eastAsia="宋体" w:cs="宋体"/>
          <w:sz w:val="24"/>
          <w:szCs w:val="24"/>
        </w:rPr>
      </w:pPr>
      <w:r>
        <w:rPr>
          <w:rFonts w:ascii="宋体" w:hAnsi="宋体" w:eastAsia="宋体" w:cs="宋体"/>
          <w:spacing w:val="-11"/>
          <w:sz w:val="24"/>
          <w:szCs w:val="24"/>
        </w:rPr>
        <w:t>措施和应急预案，</w:t>
      </w:r>
      <w:r>
        <w:rPr>
          <w:rFonts w:ascii="宋体" w:hAnsi="宋体" w:eastAsia="宋体" w:cs="宋体"/>
          <w:spacing w:val="50"/>
          <w:sz w:val="24"/>
          <w:szCs w:val="24"/>
        </w:rPr>
        <w:t xml:space="preserve"> </w:t>
      </w:r>
      <w:r>
        <w:rPr>
          <w:rFonts w:ascii="宋体" w:hAnsi="宋体" w:eastAsia="宋体" w:cs="宋体"/>
          <w:spacing w:val="-11"/>
          <w:sz w:val="24"/>
          <w:szCs w:val="24"/>
        </w:rPr>
        <w:t>并纳入</w:t>
      </w:r>
      <w:r>
        <w:rPr>
          <w:rFonts w:ascii="Times New Roman" w:hAnsi="Times New Roman" w:eastAsia="Times New Roman" w:cs="Times New Roman"/>
          <w:spacing w:val="-11"/>
          <w:sz w:val="24"/>
          <w:szCs w:val="24"/>
        </w:rPr>
        <w:t>“</w:t>
      </w:r>
      <w:r>
        <w:rPr>
          <w:rFonts w:ascii="宋体" w:hAnsi="宋体" w:eastAsia="宋体" w:cs="宋体"/>
          <w:spacing w:val="-11"/>
          <w:sz w:val="24"/>
          <w:szCs w:val="24"/>
        </w:rPr>
        <w:t>三同时</w:t>
      </w:r>
      <w:r>
        <w:rPr>
          <w:rFonts w:ascii="Times New Roman" w:hAnsi="Times New Roman" w:eastAsia="Times New Roman" w:cs="Times New Roman"/>
          <w:spacing w:val="-11"/>
          <w:sz w:val="24"/>
          <w:szCs w:val="24"/>
        </w:rPr>
        <w:t>”</w:t>
      </w:r>
      <w:r>
        <w:rPr>
          <w:rFonts w:ascii="宋体" w:hAnsi="宋体" w:eastAsia="宋体" w:cs="宋体"/>
          <w:spacing w:val="-11"/>
          <w:sz w:val="24"/>
          <w:szCs w:val="24"/>
        </w:rPr>
        <w:t>验收管理，</w:t>
      </w:r>
      <w:r>
        <w:rPr>
          <w:rFonts w:ascii="宋体" w:hAnsi="宋体" w:eastAsia="宋体" w:cs="宋体"/>
          <w:spacing w:val="30"/>
          <w:sz w:val="24"/>
          <w:szCs w:val="24"/>
        </w:rPr>
        <w:t xml:space="preserve"> </w:t>
      </w:r>
      <w:r>
        <w:rPr>
          <w:rFonts w:ascii="宋体" w:hAnsi="宋体" w:eastAsia="宋体" w:cs="宋体"/>
          <w:spacing w:val="-11"/>
          <w:sz w:val="24"/>
          <w:szCs w:val="24"/>
        </w:rPr>
        <w:t>将道路运营可能产生的环境风险降</w:t>
      </w:r>
    </w:p>
    <w:p>
      <w:pPr>
        <w:spacing w:line="219" w:lineRule="auto"/>
        <w:rPr>
          <w:rFonts w:ascii="宋体" w:hAnsi="宋体" w:eastAsia="宋体" w:cs="宋体"/>
          <w:sz w:val="24"/>
          <w:szCs w:val="24"/>
        </w:rPr>
        <w:sectPr>
          <w:headerReference r:id="rId370" w:type="default"/>
          <w:footerReference r:id="rId371" w:type="default"/>
          <w:pgSz w:w="11907" w:h="16839"/>
          <w:pgMar w:top="1118" w:right="1680" w:bottom="1151" w:left="1685" w:header="879" w:footer="990" w:gutter="0"/>
          <w:cols w:space="720" w:num="1"/>
        </w:sectPr>
      </w:pPr>
    </w:p>
    <w:p>
      <w:pPr>
        <w:pStyle w:val="2"/>
        <w:spacing w:line="277" w:lineRule="auto"/>
      </w:pPr>
    </w:p>
    <w:p>
      <w:pPr>
        <w:spacing w:before="78" w:line="220" w:lineRule="auto"/>
        <w:ind w:left="44"/>
        <w:rPr>
          <w:rFonts w:ascii="宋体" w:hAnsi="宋体" w:eastAsia="宋体" w:cs="宋体"/>
          <w:sz w:val="24"/>
          <w:szCs w:val="24"/>
        </w:rPr>
      </w:pPr>
      <w:r>
        <w:rPr>
          <w:rFonts w:ascii="宋体" w:hAnsi="宋体" w:eastAsia="宋体" w:cs="宋体"/>
          <w:spacing w:val="-10"/>
          <w:sz w:val="24"/>
          <w:szCs w:val="24"/>
        </w:rPr>
        <w:t>到最低。</w:t>
      </w:r>
    </w:p>
    <w:p>
      <w:pPr>
        <w:spacing w:before="242" w:line="220" w:lineRule="auto"/>
        <w:ind w:left="36"/>
        <w:outlineLvl w:val="1"/>
        <w:rPr>
          <w:rFonts w:ascii="宋体" w:hAnsi="宋体" w:eastAsia="宋体" w:cs="宋体"/>
          <w:sz w:val="24"/>
          <w:szCs w:val="24"/>
        </w:rPr>
      </w:pPr>
      <w:r>
        <w:rPr>
          <w:rFonts w:ascii="Times New Roman" w:hAnsi="Times New Roman" w:eastAsia="Times New Roman" w:cs="Times New Roman"/>
          <w:b/>
          <w:bCs/>
          <w:sz w:val="24"/>
          <w:szCs w:val="24"/>
        </w:rPr>
        <w:t xml:space="preserve">9.2.3 </w:t>
      </w:r>
      <w:r>
        <w:rPr>
          <w:rFonts w:ascii="宋体" w:hAnsi="宋体" w:eastAsia="宋体" w:cs="宋体"/>
          <w:sz w:val="24"/>
          <w:szCs w:val="24"/>
          <w14:textOutline w14:w="4354" w14:cap="flat" w14:cmpd="sng">
            <w14:solidFill>
              <w14:srgbClr w14:val="000000"/>
            </w14:solidFill>
            <w14:prstDash w14:val="solid"/>
            <w14:miter w14:val="0"/>
          </w14:textOutline>
        </w:rPr>
        <w:t>其他审批要求符合性分析</w:t>
      </w:r>
    </w:p>
    <w:p>
      <w:pPr>
        <w:spacing w:before="220" w:line="220" w:lineRule="auto"/>
        <w:ind w:left="536"/>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、规划符合性分析</w:t>
      </w:r>
    </w:p>
    <w:p>
      <w:pPr>
        <w:spacing w:before="180" w:line="359" w:lineRule="auto"/>
        <w:ind w:left="41" w:firstLine="506"/>
        <w:rPr>
          <w:rFonts w:ascii="宋体" w:hAnsi="宋体" w:eastAsia="宋体" w:cs="宋体"/>
          <w:sz w:val="24"/>
          <w:szCs w:val="24"/>
        </w:rPr>
      </w:pPr>
      <w:r>
        <w:rPr>
          <w:rFonts w:ascii="宋体" w:hAnsi="宋体" w:eastAsia="宋体" w:cs="宋体"/>
          <w:spacing w:val="-2"/>
          <w:sz w:val="24"/>
          <w:szCs w:val="24"/>
        </w:rPr>
        <w:t>由</w:t>
      </w:r>
      <w:r>
        <w:rPr>
          <w:rFonts w:ascii="Times New Roman" w:hAnsi="Times New Roman" w:eastAsia="Times New Roman" w:cs="Times New Roman"/>
          <w:spacing w:val="-2"/>
          <w:sz w:val="24"/>
          <w:szCs w:val="24"/>
        </w:rPr>
        <w:t xml:space="preserve">“9.3  </w:t>
      </w:r>
      <w:r>
        <w:rPr>
          <w:rFonts w:ascii="宋体" w:hAnsi="宋体" w:eastAsia="宋体" w:cs="宋体"/>
          <w:spacing w:val="-2"/>
          <w:sz w:val="24"/>
          <w:szCs w:val="24"/>
        </w:rPr>
        <w:t>选址与规划符合性分析</w:t>
      </w:r>
      <w:r>
        <w:rPr>
          <w:rFonts w:ascii="Times New Roman" w:hAnsi="Times New Roman" w:eastAsia="Times New Roman" w:cs="Times New Roman"/>
          <w:spacing w:val="-2"/>
          <w:sz w:val="24"/>
          <w:szCs w:val="24"/>
        </w:rPr>
        <w:t>”</w:t>
      </w:r>
      <w:r>
        <w:rPr>
          <w:rFonts w:ascii="宋体" w:hAnsi="宋体" w:eastAsia="宋体" w:cs="宋体"/>
          <w:spacing w:val="-2"/>
          <w:sz w:val="24"/>
          <w:szCs w:val="24"/>
        </w:rPr>
        <w:t xml:space="preserve">可知，本项目线位均已在区域总体规划、沿 </w:t>
      </w:r>
      <w:r>
        <w:rPr>
          <w:rFonts w:ascii="宋体" w:hAnsi="宋体" w:eastAsia="宋体" w:cs="宋体"/>
          <w:spacing w:val="-10"/>
          <w:sz w:val="24"/>
          <w:szCs w:val="24"/>
        </w:rPr>
        <w:t>线各乡镇总体规划中预留，</w:t>
      </w:r>
      <w:r>
        <w:rPr>
          <w:rFonts w:ascii="宋体" w:hAnsi="宋体" w:eastAsia="宋体" w:cs="宋体"/>
          <w:spacing w:val="-25"/>
          <w:sz w:val="24"/>
          <w:szCs w:val="24"/>
        </w:rPr>
        <w:t xml:space="preserve"> </w:t>
      </w:r>
      <w:r>
        <w:rPr>
          <w:rFonts w:ascii="宋体" w:hAnsi="宋体" w:eastAsia="宋体" w:cs="宋体"/>
          <w:spacing w:val="-10"/>
          <w:sz w:val="24"/>
          <w:szCs w:val="24"/>
        </w:rPr>
        <w:t>工程建设符合沿线城市总体规划、沿线乡镇总体规划。</w:t>
      </w:r>
    </w:p>
    <w:p>
      <w:pPr>
        <w:spacing w:before="1" w:line="218" w:lineRule="auto"/>
        <w:ind w:left="61"/>
        <w:rPr>
          <w:rFonts w:ascii="宋体" w:hAnsi="宋体" w:eastAsia="宋体" w:cs="宋体"/>
          <w:sz w:val="24"/>
          <w:szCs w:val="24"/>
        </w:rPr>
      </w:pPr>
      <w:r>
        <w:rPr>
          <w:rFonts w:ascii="宋体" w:hAnsi="宋体" w:eastAsia="宋体" w:cs="宋体"/>
          <w:spacing w:val="-2"/>
          <w:sz w:val="24"/>
          <w:szCs w:val="24"/>
        </w:rPr>
        <w:t>同时，本工程建设符合温州市综合交通运输发展</w:t>
      </w:r>
      <w:r>
        <w:rPr>
          <w:rFonts w:ascii="Times New Roman" w:hAnsi="Times New Roman" w:eastAsia="Times New Roman" w:cs="Times New Roman"/>
          <w:spacing w:val="-2"/>
          <w:sz w:val="24"/>
          <w:szCs w:val="24"/>
        </w:rPr>
        <w:t>“</w:t>
      </w:r>
      <w:r>
        <w:rPr>
          <w:rFonts w:ascii="宋体" w:hAnsi="宋体" w:eastAsia="宋体" w:cs="宋体"/>
          <w:spacing w:val="-2"/>
          <w:sz w:val="24"/>
          <w:szCs w:val="24"/>
        </w:rPr>
        <w:t>十四五</w:t>
      </w:r>
      <w:r>
        <w:rPr>
          <w:rFonts w:ascii="Times New Roman" w:hAnsi="Times New Roman" w:eastAsia="Times New Roman" w:cs="Times New Roman"/>
          <w:spacing w:val="-2"/>
          <w:sz w:val="24"/>
          <w:szCs w:val="24"/>
        </w:rPr>
        <w:t>”</w:t>
      </w:r>
      <w:r>
        <w:rPr>
          <w:rFonts w:ascii="宋体" w:hAnsi="宋体" w:eastAsia="宋体" w:cs="宋体"/>
          <w:spacing w:val="-2"/>
          <w:sz w:val="24"/>
          <w:szCs w:val="24"/>
        </w:rPr>
        <w:t>规划。</w:t>
      </w:r>
    </w:p>
    <w:p>
      <w:pPr>
        <w:spacing w:before="182" w:line="220" w:lineRule="auto"/>
        <w:ind w:left="513"/>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、国家和省产业政策符合性分析</w:t>
      </w:r>
    </w:p>
    <w:p>
      <w:pPr>
        <w:spacing w:before="181" w:line="359" w:lineRule="auto"/>
        <w:ind w:left="39" w:right="93" w:firstLine="479"/>
        <w:rPr>
          <w:rFonts w:ascii="宋体" w:hAnsi="宋体" w:eastAsia="宋体" w:cs="宋体"/>
          <w:sz w:val="24"/>
          <w:szCs w:val="24"/>
        </w:rPr>
      </w:pPr>
      <w:r>
        <w:rPr>
          <w:rFonts w:ascii="宋体" w:hAnsi="宋体" w:eastAsia="宋体" w:cs="宋体"/>
          <w:spacing w:val="-5"/>
          <w:sz w:val="24"/>
          <w:szCs w:val="24"/>
        </w:rPr>
        <w:t>本项目为二级公路建设， 为溧阳至宁德高速公路（</w:t>
      </w:r>
      <w:r>
        <w:rPr>
          <w:rFonts w:ascii="Times New Roman" w:hAnsi="Times New Roman" w:eastAsia="Times New Roman" w:cs="Times New Roman"/>
          <w:spacing w:val="-5"/>
          <w:sz w:val="24"/>
          <w:szCs w:val="24"/>
        </w:rPr>
        <w:t>G4012</w:t>
      </w:r>
      <w:r>
        <w:rPr>
          <w:rFonts w:ascii="宋体" w:hAnsi="宋体" w:eastAsia="宋体" w:cs="宋体"/>
          <w:spacing w:val="-5"/>
          <w:sz w:val="24"/>
          <w:szCs w:val="24"/>
        </w:rPr>
        <w:t>）浙江景宁至文成</w:t>
      </w:r>
      <w:r>
        <w:rPr>
          <w:rFonts w:ascii="宋体" w:hAnsi="宋体" w:eastAsia="宋体" w:cs="宋体"/>
          <w:spacing w:val="11"/>
          <w:sz w:val="24"/>
          <w:szCs w:val="24"/>
        </w:rPr>
        <w:t xml:space="preserve"> </w:t>
      </w:r>
      <w:r>
        <w:rPr>
          <w:rFonts w:ascii="宋体" w:hAnsi="宋体" w:eastAsia="宋体" w:cs="宋体"/>
          <w:spacing w:val="-7"/>
          <w:sz w:val="24"/>
          <w:szCs w:val="24"/>
        </w:rPr>
        <w:t>段工程的配套连接线，</w:t>
      </w:r>
      <w:r>
        <w:rPr>
          <w:rFonts w:ascii="宋体" w:hAnsi="宋体" w:eastAsia="宋体" w:cs="宋体"/>
          <w:spacing w:val="57"/>
          <w:sz w:val="24"/>
          <w:szCs w:val="24"/>
        </w:rPr>
        <w:t xml:space="preserve"> </w:t>
      </w:r>
      <w:r>
        <w:rPr>
          <w:rFonts w:ascii="宋体" w:hAnsi="宋体" w:eastAsia="宋体" w:cs="宋体"/>
          <w:spacing w:val="-7"/>
          <w:sz w:val="24"/>
          <w:szCs w:val="24"/>
        </w:rPr>
        <w:t>不属于国家《产业结构调整指导目录</w:t>
      </w:r>
      <w:r>
        <w:rPr>
          <w:rFonts w:ascii="Times New Roman" w:hAnsi="Times New Roman" w:eastAsia="Times New Roman" w:cs="Times New Roman"/>
          <w:spacing w:val="-7"/>
          <w:sz w:val="24"/>
          <w:szCs w:val="24"/>
        </w:rPr>
        <w:t xml:space="preserve">(2024 </w:t>
      </w:r>
      <w:r>
        <w:rPr>
          <w:rFonts w:ascii="宋体" w:hAnsi="宋体" w:eastAsia="宋体" w:cs="宋体"/>
          <w:spacing w:val="-7"/>
          <w:sz w:val="24"/>
          <w:szCs w:val="24"/>
        </w:rPr>
        <w:t>年本</w:t>
      </w:r>
      <w:r>
        <w:rPr>
          <w:rFonts w:ascii="Times New Roman" w:hAnsi="Times New Roman" w:eastAsia="Times New Roman" w:cs="Times New Roman"/>
          <w:spacing w:val="-7"/>
          <w:sz w:val="24"/>
          <w:szCs w:val="24"/>
        </w:rPr>
        <w:t>)</w:t>
      </w:r>
      <w:r>
        <w:rPr>
          <w:rFonts w:ascii="宋体" w:hAnsi="宋体" w:eastAsia="宋体" w:cs="宋体"/>
          <w:spacing w:val="-7"/>
          <w:sz w:val="24"/>
          <w:szCs w:val="24"/>
        </w:rPr>
        <w:t>》中限制</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类和淘汰类项目。工程的建设符合国家的产业政策。</w:t>
      </w:r>
    </w:p>
    <w:p>
      <w:pPr>
        <w:spacing w:line="219" w:lineRule="auto"/>
        <w:rPr>
          <w:rFonts w:ascii="宋体" w:hAnsi="宋体" w:eastAsia="宋体" w:cs="宋体"/>
          <w:sz w:val="24"/>
          <w:szCs w:val="24"/>
        </w:rPr>
        <w:sectPr>
          <w:headerReference r:id="rId372" w:type="default"/>
          <w:footerReference r:id="rId373" w:type="default"/>
          <w:pgSz w:w="11907" w:h="16839"/>
          <w:pgMar w:top="1118" w:right="1716" w:bottom="1151" w:left="1771" w:header="879" w:footer="990" w:gutter="0"/>
          <w:cols w:space="720" w:num="1"/>
        </w:sectPr>
      </w:pPr>
    </w:p>
    <w:p>
      <w:pPr>
        <w:pStyle w:val="2"/>
        <w:spacing w:line="271" w:lineRule="auto"/>
      </w:pPr>
    </w:p>
    <w:p>
      <w:pPr>
        <w:spacing w:before="91" w:line="539" w:lineRule="exact"/>
        <w:ind w:left="47"/>
        <w:rPr>
          <w:rFonts w:ascii="宋体" w:hAnsi="宋体" w:eastAsia="宋体" w:cs="宋体"/>
          <w:sz w:val="28"/>
          <w:szCs w:val="28"/>
        </w:rPr>
      </w:pPr>
      <w:bookmarkStart w:id="62" w:name="bookmark56"/>
      <w:bookmarkEnd w:id="62"/>
      <w:bookmarkStart w:id="63" w:name="bookmark55"/>
      <w:bookmarkEnd w:id="63"/>
      <w:r>
        <w:rPr>
          <w:rFonts w:ascii="Times New Roman" w:hAnsi="Times New Roman" w:eastAsia="Times New Roman" w:cs="Times New Roman"/>
          <w:b/>
          <w:bCs/>
          <w:spacing w:val="-2"/>
          <w:position w:val="19"/>
          <w:sz w:val="28"/>
          <w:szCs w:val="28"/>
        </w:rPr>
        <w:t xml:space="preserve">10 </w:t>
      </w:r>
      <w:r>
        <w:rPr>
          <w:rFonts w:ascii="宋体" w:hAnsi="宋体" w:eastAsia="宋体" w:cs="宋体"/>
          <w:spacing w:val="-2"/>
          <w:position w:val="19"/>
          <w:sz w:val="28"/>
          <w:szCs w:val="28"/>
          <w14:textOutline w14:w="5094" w14:cap="flat" w14:cmpd="sng">
            <w14:solidFill>
              <w14:srgbClr w14:val="000000"/>
            </w14:solidFill>
            <w14:prstDash w14:val="solid"/>
            <w14:miter w14:val="0"/>
          </w14:textOutline>
        </w:rPr>
        <w:t>环评结论</w:t>
      </w:r>
    </w:p>
    <w:p>
      <w:pPr>
        <w:spacing w:line="219" w:lineRule="auto"/>
        <w:ind w:left="44"/>
        <w:rPr>
          <w:rFonts w:ascii="宋体" w:hAnsi="宋体" w:eastAsia="宋体" w:cs="宋体"/>
          <w:sz w:val="24"/>
          <w:szCs w:val="24"/>
        </w:rPr>
      </w:pPr>
      <w:r>
        <w:rPr>
          <w:rFonts w:ascii="Times New Roman" w:hAnsi="Times New Roman" w:eastAsia="Times New Roman" w:cs="Times New Roman"/>
          <w:b/>
          <w:bCs/>
          <w:spacing w:val="-3"/>
          <w:sz w:val="24"/>
          <w:szCs w:val="24"/>
        </w:rPr>
        <w:t>10.1</w:t>
      </w:r>
      <w:r>
        <w:rPr>
          <w:rFonts w:ascii="Times New Roman" w:hAnsi="Times New Roman" w:eastAsia="Times New Roman" w:cs="Times New Roman"/>
          <w:b/>
          <w:bCs/>
          <w:spacing w:val="12"/>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工程概况</w:t>
      </w:r>
    </w:p>
    <w:p>
      <w:pPr>
        <w:spacing w:before="180" w:line="468" w:lineRule="exact"/>
        <w:ind w:left="521"/>
        <w:rPr>
          <w:rFonts w:ascii="宋体" w:hAnsi="宋体" w:eastAsia="宋体" w:cs="宋体"/>
          <w:sz w:val="24"/>
          <w:szCs w:val="24"/>
        </w:rPr>
      </w:pPr>
      <w:r>
        <w:rPr>
          <w:rFonts w:ascii="宋体" w:hAnsi="宋体" w:eastAsia="宋体" w:cs="宋体"/>
          <w:spacing w:val="-5"/>
          <w:position w:val="17"/>
          <w:sz w:val="24"/>
          <w:szCs w:val="24"/>
        </w:rPr>
        <w:t>项目名称： 溧阳至宁德高速公路（</w:t>
      </w:r>
      <w:r>
        <w:rPr>
          <w:rFonts w:ascii="Times New Roman" w:hAnsi="Times New Roman" w:eastAsia="Times New Roman" w:cs="Times New Roman"/>
          <w:spacing w:val="-5"/>
          <w:position w:val="17"/>
          <w:sz w:val="24"/>
          <w:szCs w:val="24"/>
        </w:rPr>
        <w:t>G4012</w:t>
      </w:r>
      <w:r>
        <w:rPr>
          <w:rFonts w:ascii="宋体" w:hAnsi="宋体" w:eastAsia="宋体" w:cs="宋体"/>
          <w:spacing w:val="-5"/>
          <w:position w:val="17"/>
          <w:sz w:val="24"/>
          <w:szCs w:val="24"/>
        </w:rPr>
        <w:t>）浙江景宁至文成段工程西坑互通</w:t>
      </w:r>
    </w:p>
    <w:p>
      <w:pPr>
        <w:spacing w:line="220" w:lineRule="auto"/>
        <w:ind w:left="39"/>
        <w:rPr>
          <w:rFonts w:ascii="宋体" w:hAnsi="宋体" w:eastAsia="宋体" w:cs="宋体"/>
          <w:sz w:val="24"/>
          <w:szCs w:val="24"/>
        </w:rPr>
      </w:pPr>
      <w:r>
        <w:rPr>
          <w:rFonts w:ascii="宋体" w:hAnsi="宋体" w:eastAsia="宋体" w:cs="宋体"/>
          <w:spacing w:val="-3"/>
          <w:sz w:val="24"/>
          <w:szCs w:val="24"/>
        </w:rPr>
        <w:t>连接线</w:t>
      </w:r>
    </w:p>
    <w:p>
      <w:pPr>
        <w:spacing w:before="181" w:line="220" w:lineRule="auto"/>
        <w:ind w:left="521"/>
        <w:rPr>
          <w:rFonts w:ascii="宋体" w:hAnsi="宋体" w:eastAsia="宋体" w:cs="宋体"/>
          <w:sz w:val="24"/>
          <w:szCs w:val="24"/>
        </w:rPr>
      </w:pPr>
      <w:r>
        <w:rPr>
          <w:rFonts w:ascii="宋体" w:hAnsi="宋体" w:eastAsia="宋体" w:cs="宋体"/>
          <w:spacing w:val="-15"/>
          <w:sz w:val="24"/>
          <w:szCs w:val="24"/>
        </w:rPr>
        <w:t>项目性质：</w:t>
      </w:r>
      <w:r>
        <w:rPr>
          <w:rFonts w:ascii="宋体" w:hAnsi="宋体" w:eastAsia="宋体" w:cs="宋体"/>
          <w:spacing w:val="33"/>
          <w:sz w:val="24"/>
          <w:szCs w:val="24"/>
        </w:rPr>
        <w:t xml:space="preserve"> </w:t>
      </w:r>
      <w:r>
        <w:rPr>
          <w:rFonts w:ascii="宋体" w:hAnsi="宋体" w:eastAsia="宋体" w:cs="宋体"/>
          <w:spacing w:val="-15"/>
          <w:sz w:val="24"/>
          <w:szCs w:val="24"/>
        </w:rPr>
        <w:t>新建（已建成）</w:t>
      </w:r>
    </w:p>
    <w:p>
      <w:pPr>
        <w:spacing w:before="179" w:line="468" w:lineRule="exact"/>
        <w:ind w:left="520"/>
        <w:rPr>
          <w:rFonts w:ascii="宋体" w:hAnsi="宋体" w:eastAsia="宋体" w:cs="宋体"/>
          <w:sz w:val="24"/>
          <w:szCs w:val="24"/>
        </w:rPr>
      </w:pPr>
      <w:r>
        <w:rPr>
          <w:rFonts w:ascii="宋体" w:hAnsi="宋体" w:eastAsia="宋体" w:cs="宋体"/>
          <w:spacing w:val="-10"/>
          <w:position w:val="17"/>
          <w:sz w:val="24"/>
          <w:szCs w:val="24"/>
        </w:rPr>
        <w:t>建设单位：</w:t>
      </w:r>
      <w:r>
        <w:rPr>
          <w:rFonts w:ascii="宋体" w:hAnsi="宋体" w:eastAsia="宋体" w:cs="宋体"/>
          <w:spacing w:val="37"/>
          <w:position w:val="17"/>
          <w:sz w:val="24"/>
          <w:szCs w:val="24"/>
        </w:rPr>
        <w:t xml:space="preserve"> </w:t>
      </w:r>
      <w:r>
        <w:rPr>
          <w:rFonts w:ascii="宋体" w:hAnsi="宋体" w:eastAsia="宋体" w:cs="宋体"/>
          <w:spacing w:val="-10"/>
          <w:position w:val="17"/>
          <w:sz w:val="24"/>
          <w:szCs w:val="24"/>
        </w:rPr>
        <w:t>浙江景文高速公路有限公司</w:t>
      </w:r>
    </w:p>
    <w:p>
      <w:pPr>
        <w:spacing w:before="1" w:line="218" w:lineRule="auto"/>
        <w:ind w:left="520"/>
        <w:rPr>
          <w:rFonts w:ascii="宋体" w:hAnsi="宋体" w:eastAsia="宋体" w:cs="宋体"/>
          <w:sz w:val="24"/>
          <w:szCs w:val="24"/>
        </w:rPr>
      </w:pPr>
      <w:r>
        <w:rPr>
          <w:rFonts w:ascii="宋体" w:hAnsi="宋体" w:eastAsia="宋体" w:cs="宋体"/>
          <w:spacing w:val="-15"/>
          <w:sz w:val="24"/>
          <w:szCs w:val="24"/>
        </w:rPr>
        <w:t>建设地点：</w:t>
      </w:r>
      <w:r>
        <w:rPr>
          <w:rFonts w:ascii="宋体" w:hAnsi="宋体" w:eastAsia="宋体" w:cs="宋体"/>
          <w:spacing w:val="33"/>
          <w:sz w:val="24"/>
          <w:szCs w:val="24"/>
        </w:rPr>
        <w:t xml:space="preserve"> </w:t>
      </w:r>
      <w:r>
        <w:rPr>
          <w:rFonts w:ascii="宋体" w:hAnsi="宋体" w:eastAsia="宋体" w:cs="宋体"/>
          <w:spacing w:val="-15"/>
          <w:sz w:val="24"/>
          <w:szCs w:val="24"/>
        </w:rPr>
        <w:t>温州市文成县</w:t>
      </w:r>
    </w:p>
    <w:p>
      <w:pPr>
        <w:spacing w:before="178" w:line="364" w:lineRule="auto"/>
        <w:ind w:left="38" w:right="80" w:firstLine="483"/>
        <w:rPr>
          <w:rFonts w:ascii="宋体" w:hAnsi="宋体" w:eastAsia="宋体" w:cs="宋体"/>
          <w:sz w:val="24"/>
          <w:szCs w:val="24"/>
        </w:rPr>
      </w:pPr>
      <w:r>
        <w:rPr>
          <w:rFonts w:ascii="宋体" w:hAnsi="宋体" w:eastAsia="宋体" w:cs="宋体"/>
          <w:spacing w:val="-16"/>
          <w:sz w:val="24"/>
          <w:szCs w:val="24"/>
        </w:rPr>
        <w:t>项目建设内容和规模：</w:t>
      </w:r>
      <w:r>
        <w:rPr>
          <w:rFonts w:ascii="宋体" w:hAnsi="宋体" w:eastAsia="宋体" w:cs="宋体"/>
          <w:spacing w:val="-29"/>
          <w:sz w:val="24"/>
          <w:szCs w:val="24"/>
        </w:rPr>
        <w:t xml:space="preserve"> </w:t>
      </w:r>
      <w:r>
        <w:rPr>
          <w:rFonts w:ascii="宋体" w:hAnsi="宋体" w:eastAsia="宋体" w:cs="宋体"/>
          <w:spacing w:val="-16"/>
          <w:sz w:val="24"/>
          <w:szCs w:val="24"/>
        </w:rPr>
        <w:t>项目一号线起于景文高速公路西坑出口终点（桩号</w:t>
      </w:r>
      <w:r>
        <w:rPr>
          <w:rFonts w:ascii="宋体" w:hAnsi="宋体" w:eastAsia="宋体" w:cs="宋体"/>
          <w:spacing w:val="-57"/>
          <w:sz w:val="24"/>
          <w:szCs w:val="24"/>
        </w:rPr>
        <w:t xml:space="preserve"> </w:t>
      </w:r>
      <w:r>
        <w:rPr>
          <w:rFonts w:ascii="Times New Roman" w:hAnsi="Times New Roman" w:eastAsia="Times New Roman" w:cs="Times New Roman"/>
          <w:spacing w:val="-16"/>
          <w:sz w:val="24"/>
          <w:szCs w:val="24"/>
        </w:rPr>
        <w:t>L1K0</w:t>
      </w:r>
      <w:r>
        <w:rPr>
          <w:rFonts w:ascii="Times New Roman" w:hAnsi="Times New Roman" w:eastAsia="Times New Roman" w:cs="Times New Roman"/>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000</w:t>
      </w:r>
      <w:r>
        <w:rPr>
          <w:rFonts w:ascii="宋体" w:hAnsi="宋体" w:eastAsia="宋体" w:cs="宋体"/>
          <w:spacing w:val="-13"/>
          <w:sz w:val="24"/>
          <w:szCs w:val="24"/>
        </w:rPr>
        <w:t>），</w:t>
      </w:r>
      <w:r>
        <w:rPr>
          <w:rFonts w:ascii="宋体" w:hAnsi="宋体" w:eastAsia="宋体" w:cs="宋体"/>
          <w:spacing w:val="-8"/>
          <w:sz w:val="24"/>
          <w:szCs w:val="24"/>
        </w:rPr>
        <w:t>沿南坑下县乡道走向，经墩头大桥，在敖里村设置敖里隧道长</w:t>
      </w:r>
      <w:r>
        <w:rPr>
          <w:rFonts w:ascii="宋体" w:hAnsi="宋体" w:eastAsia="宋体" w:cs="宋体"/>
          <w:spacing w:val="-61"/>
          <w:sz w:val="24"/>
          <w:szCs w:val="24"/>
        </w:rPr>
        <w:t xml:space="preserve"> </w:t>
      </w:r>
      <w:r>
        <w:rPr>
          <w:rFonts w:ascii="Times New Roman" w:hAnsi="Times New Roman" w:eastAsia="Times New Roman" w:cs="Times New Roman"/>
          <w:spacing w:val="-8"/>
          <w:sz w:val="24"/>
          <w:szCs w:val="24"/>
        </w:rPr>
        <w:t xml:space="preserve">853 </w:t>
      </w:r>
      <w:r>
        <w:rPr>
          <w:rFonts w:ascii="宋体" w:hAnsi="宋体" w:eastAsia="宋体" w:cs="宋体"/>
          <w:spacing w:val="-8"/>
          <w:sz w:val="24"/>
          <w:szCs w:val="24"/>
        </w:rPr>
        <w:t>米（起</w:t>
      </w:r>
      <w:r>
        <w:rPr>
          <w:rFonts w:ascii="宋体" w:hAnsi="宋体" w:eastAsia="宋体" w:cs="宋体"/>
          <w:sz w:val="24"/>
          <w:szCs w:val="24"/>
        </w:rPr>
        <w:t xml:space="preserve"> </w:t>
      </w:r>
      <w:r>
        <w:rPr>
          <w:rFonts w:ascii="宋体" w:hAnsi="宋体" w:eastAsia="宋体" w:cs="宋体"/>
          <w:spacing w:val="-8"/>
          <w:sz w:val="24"/>
          <w:szCs w:val="24"/>
        </w:rPr>
        <w:t>点桩号</w:t>
      </w:r>
      <w:r>
        <w:rPr>
          <w:rFonts w:ascii="Times New Roman" w:hAnsi="Times New Roman" w:eastAsia="Times New Roman" w:cs="Times New Roman"/>
          <w:spacing w:val="-8"/>
          <w:sz w:val="24"/>
          <w:szCs w:val="24"/>
        </w:rPr>
        <w:t>L1K2</w:t>
      </w:r>
      <w:r>
        <w:rPr>
          <w:rFonts w:ascii="宋体" w:hAnsi="宋体" w:eastAsia="宋体" w:cs="宋体"/>
          <w:spacing w:val="-8"/>
          <w:sz w:val="24"/>
          <w:szCs w:val="24"/>
        </w:rPr>
        <w:t>＋</w:t>
      </w:r>
      <w:r>
        <w:rPr>
          <w:rFonts w:ascii="Times New Roman" w:hAnsi="Times New Roman" w:eastAsia="Times New Roman" w:cs="Times New Roman"/>
          <w:spacing w:val="-8"/>
          <w:sz w:val="24"/>
          <w:szCs w:val="24"/>
        </w:rPr>
        <w:t>410</w:t>
      </w:r>
      <w:r>
        <w:rPr>
          <w:rFonts w:ascii="宋体" w:hAnsi="宋体" w:eastAsia="宋体" w:cs="宋体"/>
          <w:spacing w:val="-8"/>
          <w:sz w:val="24"/>
          <w:szCs w:val="24"/>
        </w:rPr>
        <w:t>，终点桩号</w:t>
      </w:r>
      <w:r>
        <w:rPr>
          <w:rFonts w:ascii="宋体" w:hAnsi="宋体" w:eastAsia="宋体" w:cs="宋体"/>
          <w:spacing w:val="-72"/>
          <w:sz w:val="24"/>
          <w:szCs w:val="24"/>
        </w:rPr>
        <w:t xml:space="preserve"> </w:t>
      </w:r>
      <w:r>
        <w:rPr>
          <w:rFonts w:ascii="Times New Roman" w:hAnsi="Times New Roman" w:eastAsia="Times New Roman" w:cs="Times New Roman"/>
          <w:spacing w:val="-8"/>
          <w:sz w:val="24"/>
          <w:szCs w:val="24"/>
        </w:rPr>
        <w:t>L1K3</w:t>
      </w:r>
      <w:r>
        <w:rPr>
          <w:rFonts w:ascii="宋体" w:hAnsi="宋体" w:eastAsia="宋体" w:cs="宋体"/>
          <w:spacing w:val="-8"/>
          <w:sz w:val="24"/>
          <w:szCs w:val="24"/>
        </w:rPr>
        <w:t>＋</w:t>
      </w:r>
      <w:r>
        <w:rPr>
          <w:rFonts w:ascii="Times New Roman" w:hAnsi="Times New Roman" w:eastAsia="Times New Roman" w:cs="Times New Roman"/>
          <w:spacing w:val="-8"/>
          <w:sz w:val="24"/>
          <w:szCs w:val="24"/>
        </w:rPr>
        <w:t>263</w:t>
      </w:r>
      <w:r>
        <w:rPr>
          <w:rFonts w:ascii="宋体" w:hAnsi="宋体" w:eastAsia="宋体" w:cs="宋体"/>
          <w:spacing w:val="-14"/>
          <w:sz w:val="24"/>
          <w:szCs w:val="24"/>
        </w:rPr>
        <w:t>）；</w:t>
      </w:r>
      <w:r>
        <w:rPr>
          <w:rFonts w:ascii="宋体" w:hAnsi="宋体" w:eastAsia="宋体" w:cs="宋体"/>
          <w:spacing w:val="-8"/>
          <w:sz w:val="24"/>
          <w:szCs w:val="24"/>
        </w:rPr>
        <w:t>沿江山民族村</w:t>
      </w:r>
      <w:r>
        <w:rPr>
          <w:rFonts w:ascii="宋体" w:hAnsi="宋体" w:eastAsia="宋体" w:cs="宋体"/>
          <w:spacing w:val="-9"/>
          <w:sz w:val="24"/>
          <w:szCs w:val="24"/>
        </w:rPr>
        <w:t>外侧布设，下穿原</w:t>
      </w:r>
      <w:r>
        <w:rPr>
          <w:rFonts w:ascii="宋体" w:hAnsi="宋体" w:eastAsia="宋体" w:cs="宋体"/>
          <w:spacing w:val="-61"/>
          <w:sz w:val="24"/>
          <w:szCs w:val="24"/>
        </w:rPr>
        <w:t xml:space="preserve"> </w:t>
      </w:r>
      <w:r>
        <w:rPr>
          <w:rFonts w:ascii="Times New Roman" w:hAnsi="Times New Roman" w:eastAsia="Times New Roman" w:cs="Times New Roman"/>
          <w:spacing w:val="-9"/>
          <w:sz w:val="24"/>
          <w:szCs w:val="24"/>
        </w:rPr>
        <w:t>S330</w:t>
      </w:r>
      <w:r>
        <w:rPr>
          <w:rFonts w:ascii="Times New Roman" w:hAnsi="Times New Roman" w:eastAsia="Times New Roman" w:cs="Times New Roman"/>
          <w:sz w:val="24"/>
          <w:szCs w:val="24"/>
        </w:rPr>
        <w:t xml:space="preserve"> </w:t>
      </w:r>
      <w:r>
        <w:rPr>
          <w:rFonts w:ascii="宋体" w:hAnsi="宋体" w:eastAsia="宋体" w:cs="宋体"/>
          <w:spacing w:val="-7"/>
          <w:sz w:val="24"/>
          <w:szCs w:val="24"/>
        </w:rPr>
        <w:t>省道设百丈隧道长</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 xml:space="preserve">1310 </w:t>
      </w:r>
      <w:r>
        <w:rPr>
          <w:rFonts w:ascii="宋体" w:hAnsi="宋体" w:eastAsia="宋体" w:cs="宋体"/>
          <w:spacing w:val="-7"/>
          <w:sz w:val="24"/>
          <w:szCs w:val="24"/>
        </w:rPr>
        <w:t>米（起点桩号</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L1K4</w:t>
      </w:r>
      <w:r>
        <w:rPr>
          <w:rFonts w:ascii="宋体" w:hAnsi="宋体" w:eastAsia="宋体" w:cs="宋体"/>
          <w:spacing w:val="-7"/>
          <w:sz w:val="24"/>
          <w:szCs w:val="24"/>
        </w:rPr>
        <w:t>＋</w:t>
      </w:r>
      <w:r>
        <w:rPr>
          <w:rFonts w:ascii="Times New Roman" w:hAnsi="Times New Roman" w:eastAsia="Times New Roman" w:cs="Times New Roman"/>
          <w:spacing w:val="-7"/>
          <w:sz w:val="24"/>
          <w:szCs w:val="24"/>
        </w:rPr>
        <w:t>830</w:t>
      </w:r>
      <w:r>
        <w:rPr>
          <w:rFonts w:ascii="宋体" w:hAnsi="宋体" w:eastAsia="宋体" w:cs="宋体"/>
          <w:spacing w:val="-7"/>
          <w:sz w:val="24"/>
          <w:szCs w:val="24"/>
        </w:rPr>
        <w:t>，终点桩号</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1LK6</w:t>
      </w:r>
      <w:r>
        <w:rPr>
          <w:rFonts w:ascii="宋体" w:hAnsi="宋体" w:eastAsia="宋体" w:cs="宋体"/>
          <w:spacing w:val="-7"/>
          <w:sz w:val="24"/>
          <w:szCs w:val="24"/>
        </w:rPr>
        <w:t>＋</w:t>
      </w:r>
      <w:r>
        <w:rPr>
          <w:rFonts w:ascii="Times New Roman" w:hAnsi="Times New Roman" w:eastAsia="Times New Roman" w:cs="Times New Roman"/>
          <w:spacing w:val="-7"/>
          <w:sz w:val="24"/>
          <w:szCs w:val="24"/>
        </w:rPr>
        <w:t>140</w:t>
      </w:r>
      <w:r>
        <w:rPr>
          <w:rFonts w:ascii="宋体" w:hAnsi="宋体" w:eastAsia="宋体" w:cs="宋体"/>
          <w:spacing w:val="-13"/>
          <w:sz w:val="24"/>
          <w:szCs w:val="24"/>
        </w:rPr>
        <w:t>），</w:t>
      </w:r>
      <w:r>
        <w:rPr>
          <w:rFonts w:ascii="宋体" w:hAnsi="宋体" w:eastAsia="宋体" w:cs="宋体"/>
          <w:spacing w:val="-7"/>
          <w:sz w:val="24"/>
          <w:szCs w:val="24"/>
        </w:rPr>
        <w:t>终点</w:t>
      </w:r>
      <w:r>
        <w:rPr>
          <w:rFonts w:ascii="宋体" w:hAnsi="宋体" w:eastAsia="宋体" w:cs="宋体"/>
          <w:sz w:val="24"/>
          <w:szCs w:val="24"/>
        </w:rPr>
        <w:t xml:space="preserve"> </w:t>
      </w:r>
      <w:r>
        <w:rPr>
          <w:rFonts w:ascii="宋体" w:hAnsi="宋体" w:eastAsia="宋体" w:cs="宋体"/>
          <w:spacing w:val="-3"/>
          <w:sz w:val="24"/>
          <w:szCs w:val="24"/>
        </w:rPr>
        <w:t>位于长塘村接南田接线公路（桩号</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L1K6</w:t>
      </w:r>
      <w:r>
        <w:rPr>
          <w:rFonts w:ascii="宋体" w:hAnsi="宋体" w:eastAsia="宋体" w:cs="宋体"/>
          <w:spacing w:val="-3"/>
          <w:sz w:val="24"/>
          <w:szCs w:val="24"/>
        </w:rPr>
        <w:t>＋</w:t>
      </w:r>
      <w:r>
        <w:rPr>
          <w:rFonts w:ascii="Times New Roman" w:hAnsi="Times New Roman" w:eastAsia="Times New Roman" w:cs="Times New Roman"/>
          <w:spacing w:val="-3"/>
          <w:sz w:val="24"/>
          <w:szCs w:val="24"/>
        </w:rPr>
        <w:t>675</w:t>
      </w:r>
      <w:r>
        <w:rPr>
          <w:rFonts w:ascii="宋体" w:hAnsi="宋体" w:eastAsia="宋体" w:cs="宋体"/>
          <w:spacing w:val="-18"/>
          <w:sz w:val="24"/>
          <w:szCs w:val="24"/>
        </w:rPr>
        <w:t>）；</w:t>
      </w:r>
      <w:r>
        <w:rPr>
          <w:rFonts w:ascii="宋体" w:hAnsi="宋体" w:eastAsia="宋体" w:cs="宋体"/>
          <w:spacing w:val="-3"/>
          <w:sz w:val="24"/>
          <w:szCs w:val="24"/>
        </w:rPr>
        <w:t>项目二号线起点位于文成森林</w:t>
      </w:r>
      <w:r>
        <w:rPr>
          <w:rFonts w:ascii="宋体" w:hAnsi="宋体" w:eastAsia="宋体" w:cs="宋体"/>
          <w:sz w:val="24"/>
          <w:szCs w:val="24"/>
        </w:rPr>
        <w:t xml:space="preserve"> </w:t>
      </w:r>
      <w:r>
        <w:rPr>
          <w:rFonts w:ascii="宋体" w:hAnsi="宋体" w:eastAsia="宋体" w:cs="宋体"/>
          <w:spacing w:val="-12"/>
          <w:sz w:val="24"/>
          <w:szCs w:val="24"/>
        </w:rPr>
        <w:t>氧吧小镇附近（起点桩号</w:t>
      </w:r>
      <w:r>
        <w:rPr>
          <w:rFonts w:ascii="宋体" w:hAnsi="宋体" w:eastAsia="宋体" w:cs="宋体"/>
          <w:spacing w:val="-39"/>
          <w:sz w:val="24"/>
          <w:szCs w:val="24"/>
        </w:rPr>
        <w:t xml:space="preserve"> </w:t>
      </w:r>
      <w:r>
        <w:rPr>
          <w:rFonts w:ascii="Times New Roman" w:hAnsi="Times New Roman" w:eastAsia="Times New Roman" w:cs="Times New Roman"/>
          <w:spacing w:val="-12"/>
          <w:sz w:val="24"/>
          <w:szCs w:val="24"/>
        </w:rPr>
        <w:t>L2K0</w:t>
      </w:r>
      <w:r>
        <w:rPr>
          <w:rFonts w:ascii="宋体" w:hAnsi="宋体" w:eastAsia="宋体" w:cs="宋体"/>
          <w:spacing w:val="-12"/>
          <w:sz w:val="24"/>
          <w:szCs w:val="24"/>
        </w:rPr>
        <w:t>＋</w:t>
      </w:r>
      <w:r>
        <w:rPr>
          <w:rFonts w:ascii="Times New Roman" w:hAnsi="Times New Roman" w:eastAsia="Times New Roman" w:cs="Times New Roman"/>
          <w:spacing w:val="-12"/>
          <w:sz w:val="24"/>
          <w:szCs w:val="24"/>
        </w:rPr>
        <w:t>000</w:t>
      </w:r>
      <w:r>
        <w:rPr>
          <w:rFonts w:ascii="宋体" w:hAnsi="宋体" w:eastAsia="宋体" w:cs="宋体"/>
          <w:spacing w:val="5"/>
          <w:sz w:val="24"/>
          <w:szCs w:val="24"/>
        </w:rPr>
        <w:t>），</w:t>
      </w:r>
      <w:r>
        <w:rPr>
          <w:rFonts w:ascii="宋体" w:hAnsi="宋体" w:eastAsia="宋体" w:cs="宋体"/>
          <w:spacing w:val="-12"/>
          <w:sz w:val="24"/>
          <w:szCs w:val="24"/>
        </w:rPr>
        <w:t>向南沿双田村外侧，</w:t>
      </w:r>
      <w:r>
        <w:rPr>
          <w:rFonts w:ascii="宋体" w:hAnsi="宋体" w:eastAsia="宋体" w:cs="宋体"/>
          <w:spacing w:val="52"/>
          <w:sz w:val="24"/>
          <w:szCs w:val="24"/>
        </w:rPr>
        <w:t xml:space="preserve"> </w:t>
      </w:r>
      <w:r>
        <w:rPr>
          <w:rFonts w:ascii="宋体" w:hAnsi="宋体" w:eastAsia="宋体" w:cs="宋体"/>
          <w:spacing w:val="-12"/>
          <w:sz w:val="24"/>
          <w:szCs w:val="24"/>
        </w:rPr>
        <w:t>下穿一号线后， 渐</w:t>
      </w:r>
      <w:r>
        <w:rPr>
          <w:rFonts w:ascii="宋体" w:hAnsi="宋体" w:eastAsia="宋体" w:cs="宋体"/>
          <w:sz w:val="24"/>
          <w:szCs w:val="24"/>
        </w:rPr>
        <w:t xml:space="preserve"> </w:t>
      </w:r>
      <w:r>
        <w:rPr>
          <w:rFonts w:ascii="宋体" w:hAnsi="宋体" w:eastAsia="宋体" w:cs="宋体"/>
          <w:spacing w:val="1"/>
          <w:sz w:val="24"/>
          <w:szCs w:val="24"/>
        </w:rPr>
        <w:t xml:space="preserve">向西，终点位于漈头面附近并平交于一号线（终点桩号 </w:t>
      </w:r>
      <w:r>
        <w:rPr>
          <w:rFonts w:ascii="Times New Roman" w:hAnsi="Times New Roman" w:eastAsia="Times New Roman" w:cs="Times New Roman"/>
          <w:spacing w:val="1"/>
          <w:sz w:val="24"/>
          <w:szCs w:val="24"/>
        </w:rPr>
        <w:t>L2K1</w:t>
      </w:r>
      <w:r>
        <w:rPr>
          <w:rFonts w:ascii="宋体" w:hAnsi="宋体" w:eastAsia="宋体" w:cs="宋体"/>
          <w:spacing w:val="1"/>
          <w:sz w:val="24"/>
          <w:szCs w:val="24"/>
        </w:rPr>
        <w:t>＋</w:t>
      </w:r>
      <w:r>
        <w:rPr>
          <w:rFonts w:ascii="Times New Roman" w:hAnsi="Times New Roman" w:eastAsia="Times New Roman" w:cs="Times New Roman"/>
          <w:spacing w:val="1"/>
          <w:sz w:val="24"/>
          <w:szCs w:val="24"/>
        </w:rPr>
        <w:t>630</w:t>
      </w:r>
      <w:r>
        <w:rPr>
          <w:rFonts w:ascii="宋体" w:hAnsi="宋体" w:eastAsia="宋体" w:cs="宋体"/>
          <w:spacing w:val="1"/>
          <w:sz w:val="24"/>
          <w:szCs w:val="24"/>
        </w:rPr>
        <w:t>）。全长约</w:t>
      </w:r>
    </w:p>
    <w:p>
      <w:pPr>
        <w:spacing w:before="1" w:line="181" w:lineRule="auto"/>
        <w:ind w:left="43"/>
        <w:rPr>
          <w:rFonts w:ascii="宋体" w:hAnsi="宋体" w:eastAsia="宋体" w:cs="宋体"/>
          <w:sz w:val="24"/>
          <w:szCs w:val="24"/>
        </w:rPr>
      </w:pPr>
      <w:r>
        <w:rPr>
          <w:rFonts w:ascii="Times New Roman" w:hAnsi="Times New Roman" w:eastAsia="Times New Roman" w:cs="Times New Roman"/>
          <w:spacing w:val="-7"/>
          <w:sz w:val="24"/>
          <w:szCs w:val="24"/>
        </w:rPr>
        <w:t>8.244km</w:t>
      </w:r>
      <w:r>
        <w:rPr>
          <w:rFonts w:ascii="宋体" w:hAnsi="宋体" w:eastAsia="宋体" w:cs="宋体"/>
          <w:spacing w:val="-7"/>
          <w:sz w:val="24"/>
          <w:szCs w:val="24"/>
        </w:rPr>
        <w:t>。</w:t>
      </w:r>
    </w:p>
    <w:p>
      <w:pPr>
        <w:spacing w:before="192" w:line="359" w:lineRule="auto"/>
        <w:ind w:left="41" w:firstLine="455"/>
        <w:rPr>
          <w:rFonts w:ascii="宋体" w:hAnsi="宋体" w:eastAsia="宋体" w:cs="宋体"/>
          <w:sz w:val="24"/>
          <w:szCs w:val="24"/>
        </w:rPr>
      </w:pPr>
      <w:r>
        <w:rPr>
          <w:rFonts w:ascii="宋体" w:hAnsi="宋体" w:eastAsia="宋体" w:cs="宋体"/>
          <w:spacing w:val="-9"/>
          <w:sz w:val="24"/>
          <w:szCs w:val="24"/>
        </w:rPr>
        <w:t>项目采用《公路工程技术标准》（</w:t>
      </w:r>
      <w:r>
        <w:rPr>
          <w:rFonts w:ascii="Times New Roman" w:hAnsi="Times New Roman" w:eastAsia="Times New Roman" w:cs="Times New Roman"/>
          <w:spacing w:val="-9"/>
          <w:sz w:val="24"/>
          <w:szCs w:val="24"/>
        </w:rPr>
        <w:t>JTG</w:t>
      </w:r>
      <w:r>
        <w:rPr>
          <w:rFonts w:ascii="Times New Roman" w:hAnsi="Times New Roman" w:eastAsia="Times New Roman" w:cs="Times New Roman"/>
          <w:spacing w:val="54"/>
          <w:sz w:val="24"/>
          <w:szCs w:val="24"/>
        </w:rPr>
        <w:t xml:space="preserve"> </w:t>
      </w:r>
      <w:r>
        <w:rPr>
          <w:rFonts w:ascii="Times New Roman" w:hAnsi="Times New Roman" w:eastAsia="Times New Roman" w:cs="Times New Roman"/>
          <w:spacing w:val="-9"/>
          <w:sz w:val="24"/>
          <w:szCs w:val="24"/>
        </w:rPr>
        <w:t>B01-2014</w:t>
      </w:r>
      <w:r>
        <w:rPr>
          <w:rFonts w:ascii="宋体" w:hAnsi="宋体" w:eastAsia="宋体" w:cs="宋体"/>
          <w:spacing w:val="-9"/>
          <w:sz w:val="24"/>
          <w:szCs w:val="24"/>
        </w:rPr>
        <w:t>）双车道二级公路标准建设。</w:t>
      </w:r>
      <w:r>
        <w:rPr>
          <w:rFonts w:ascii="宋体" w:hAnsi="宋体" w:eastAsia="宋体" w:cs="宋体"/>
          <w:sz w:val="24"/>
          <w:szCs w:val="24"/>
        </w:rPr>
        <w:t xml:space="preserve"> </w:t>
      </w:r>
      <w:r>
        <w:rPr>
          <w:rFonts w:ascii="宋体" w:hAnsi="宋体" w:eastAsia="宋体" w:cs="宋体"/>
          <w:spacing w:val="-12"/>
          <w:sz w:val="24"/>
          <w:szCs w:val="24"/>
        </w:rPr>
        <w:t>设计速度</w:t>
      </w:r>
      <w:r>
        <w:rPr>
          <w:rFonts w:ascii="宋体" w:hAnsi="宋体" w:eastAsia="宋体" w:cs="宋体"/>
          <w:spacing w:val="-66"/>
          <w:sz w:val="24"/>
          <w:szCs w:val="24"/>
        </w:rPr>
        <w:t xml:space="preserve"> </w:t>
      </w:r>
      <w:r>
        <w:rPr>
          <w:rFonts w:ascii="Times New Roman" w:hAnsi="Times New Roman" w:eastAsia="Times New Roman" w:cs="Times New Roman"/>
          <w:spacing w:val="-12"/>
          <w:sz w:val="24"/>
          <w:szCs w:val="24"/>
        </w:rPr>
        <w:t>60km/h</w:t>
      </w:r>
      <w:r>
        <w:rPr>
          <w:rFonts w:ascii="宋体" w:hAnsi="宋体" w:eastAsia="宋体" w:cs="宋体"/>
          <w:spacing w:val="-12"/>
          <w:sz w:val="24"/>
          <w:szCs w:val="24"/>
        </w:rPr>
        <w:t>（局部困难路段采用</w:t>
      </w:r>
      <w:r>
        <w:rPr>
          <w:rFonts w:ascii="宋体" w:hAnsi="宋体" w:eastAsia="宋体" w:cs="宋体"/>
          <w:spacing w:val="-43"/>
          <w:sz w:val="24"/>
          <w:szCs w:val="24"/>
        </w:rPr>
        <w:t xml:space="preserve"> </w:t>
      </w:r>
      <w:r>
        <w:rPr>
          <w:rFonts w:ascii="Times New Roman" w:hAnsi="Times New Roman" w:eastAsia="Times New Roman" w:cs="Times New Roman"/>
          <w:spacing w:val="-12"/>
          <w:sz w:val="24"/>
          <w:szCs w:val="24"/>
        </w:rPr>
        <w:t>40km/h</w:t>
      </w:r>
      <w:r>
        <w:rPr>
          <w:rFonts w:ascii="宋体" w:hAnsi="宋体" w:eastAsia="宋体" w:cs="宋体"/>
          <w:spacing w:val="-20"/>
          <w:sz w:val="24"/>
          <w:szCs w:val="24"/>
        </w:rPr>
        <w:t>），</w:t>
      </w:r>
      <w:r>
        <w:rPr>
          <w:rFonts w:ascii="宋体" w:hAnsi="宋体" w:eastAsia="宋体" w:cs="宋体"/>
          <w:spacing w:val="-12"/>
          <w:sz w:val="24"/>
          <w:szCs w:val="24"/>
        </w:rPr>
        <w:t>双向双车道，路基宽度采用</w:t>
      </w:r>
      <w:r>
        <w:rPr>
          <w:rFonts w:ascii="宋体" w:hAnsi="宋体" w:eastAsia="宋体" w:cs="宋体"/>
          <w:spacing w:val="-48"/>
          <w:sz w:val="24"/>
          <w:szCs w:val="24"/>
        </w:rPr>
        <w:t xml:space="preserve"> </w:t>
      </w:r>
      <w:r>
        <w:rPr>
          <w:rFonts w:ascii="Times New Roman" w:hAnsi="Times New Roman" w:eastAsia="Times New Roman" w:cs="Times New Roman"/>
          <w:spacing w:val="-12"/>
          <w:sz w:val="24"/>
          <w:szCs w:val="24"/>
        </w:rPr>
        <w:t xml:space="preserve">10 </w:t>
      </w:r>
      <w:r>
        <w:rPr>
          <w:rFonts w:ascii="宋体" w:hAnsi="宋体" w:eastAsia="宋体" w:cs="宋体"/>
          <w:spacing w:val="-12"/>
          <w:sz w:val="24"/>
          <w:szCs w:val="24"/>
        </w:rPr>
        <w:t>米。</w:t>
      </w:r>
      <w:r>
        <w:rPr>
          <w:rFonts w:ascii="宋体" w:hAnsi="宋体" w:eastAsia="宋体" w:cs="宋体"/>
          <w:sz w:val="24"/>
          <w:szCs w:val="24"/>
        </w:rPr>
        <w:t xml:space="preserve"> </w:t>
      </w:r>
      <w:r>
        <w:rPr>
          <w:rFonts w:ascii="宋体" w:hAnsi="宋体" w:eastAsia="宋体" w:cs="宋体"/>
          <w:spacing w:val="-10"/>
          <w:sz w:val="24"/>
          <w:szCs w:val="24"/>
        </w:rPr>
        <w:t>设置大桥</w:t>
      </w:r>
      <w:r>
        <w:rPr>
          <w:rFonts w:ascii="宋体" w:hAnsi="宋体" w:eastAsia="宋体" w:cs="宋体"/>
          <w:spacing w:val="-71"/>
          <w:sz w:val="24"/>
          <w:szCs w:val="24"/>
        </w:rPr>
        <w:t xml:space="preserve"> </w:t>
      </w:r>
      <w:r>
        <w:rPr>
          <w:rFonts w:ascii="Times New Roman" w:hAnsi="Times New Roman" w:eastAsia="Times New Roman" w:cs="Times New Roman"/>
          <w:spacing w:val="-10"/>
          <w:sz w:val="24"/>
          <w:szCs w:val="24"/>
        </w:rPr>
        <w:t xml:space="preserve">455.96m/1 </w:t>
      </w:r>
      <w:r>
        <w:rPr>
          <w:rFonts w:ascii="宋体" w:hAnsi="宋体" w:eastAsia="宋体" w:cs="宋体"/>
          <w:spacing w:val="-10"/>
          <w:sz w:val="24"/>
          <w:szCs w:val="24"/>
        </w:rPr>
        <w:t xml:space="preserve">座，涵洞（通道） </w:t>
      </w:r>
      <w:r>
        <w:rPr>
          <w:rFonts w:ascii="Times New Roman" w:hAnsi="Times New Roman" w:eastAsia="Times New Roman" w:cs="Times New Roman"/>
          <w:spacing w:val="-10"/>
          <w:sz w:val="24"/>
          <w:szCs w:val="24"/>
        </w:rPr>
        <w:t xml:space="preserve">25 </w:t>
      </w:r>
      <w:r>
        <w:rPr>
          <w:rFonts w:ascii="宋体" w:hAnsi="宋体" w:eastAsia="宋体" w:cs="宋体"/>
          <w:spacing w:val="-10"/>
          <w:sz w:val="24"/>
          <w:szCs w:val="24"/>
        </w:rPr>
        <w:t>道，天桥</w:t>
      </w:r>
      <w:r>
        <w:rPr>
          <w:rFonts w:ascii="宋体" w:hAnsi="宋体" w:eastAsia="宋体" w:cs="宋体"/>
          <w:spacing w:val="-65"/>
          <w:sz w:val="24"/>
          <w:szCs w:val="24"/>
        </w:rPr>
        <w:t xml:space="preserve"> </w:t>
      </w:r>
      <w:r>
        <w:rPr>
          <w:rFonts w:ascii="Times New Roman" w:hAnsi="Times New Roman" w:eastAsia="Times New Roman" w:cs="Times New Roman"/>
          <w:spacing w:val="-10"/>
          <w:sz w:val="24"/>
          <w:szCs w:val="24"/>
        </w:rPr>
        <w:t>35.96</w:t>
      </w:r>
      <w:r>
        <w:rPr>
          <w:rFonts w:ascii="Times New Roman" w:hAnsi="Times New Roman" w:eastAsia="Times New Roman" w:cs="Times New Roman"/>
          <w:spacing w:val="-11"/>
          <w:sz w:val="24"/>
          <w:szCs w:val="24"/>
        </w:rPr>
        <w:t xml:space="preserve">m/1 </w:t>
      </w:r>
      <w:r>
        <w:rPr>
          <w:rFonts w:ascii="宋体" w:hAnsi="宋体" w:eastAsia="宋体" w:cs="宋体"/>
          <w:spacing w:val="-11"/>
          <w:sz w:val="24"/>
          <w:szCs w:val="24"/>
        </w:rPr>
        <w:t>座，隧道</w:t>
      </w:r>
      <w:r>
        <w:rPr>
          <w:rFonts w:ascii="宋体" w:hAnsi="宋体" w:eastAsia="宋体" w:cs="宋体"/>
          <w:spacing w:val="-68"/>
          <w:sz w:val="24"/>
          <w:szCs w:val="24"/>
        </w:rPr>
        <w:t xml:space="preserve"> </w:t>
      </w:r>
      <w:r>
        <w:rPr>
          <w:rFonts w:ascii="Times New Roman" w:hAnsi="Times New Roman" w:eastAsia="Times New Roman" w:cs="Times New Roman"/>
          <w:spacing w:val="-11"/>
          <w:sz w:val="24"/>
          <w:szCs w:val="24"/>
        </w:rPr>
        <w:t xml:space="preserve">2163m/2 </w:t>
      </w:r>
      <w:r>
        <w:rPr>
          <w:rFonts w:ascii="宋体" w:hAnsi="宋体" w:eastAsia="宋体" w:cs="宋体"/>
          <w:spacing w:val="-11"/>
          <w:sz w:val="24"/>
          <w:szCs w:val="24"/>
        </w:rPr>
        <w:t>座，</w:t>
      </w:r>
    </w:p>
    <w:p>
      <w:pPr>
        <w:spacing w:line="219" w:lineRule="auto"/>
        <w:ind w:left="37"/>
        <w:rPr>
          <w:rFonts w:ascii="宋体" w:hAnsi="宋体" w:eastAsia="宋体" w:cs="宋体"/>
          <w:sz w:val="24"/>
          <w:szCs w:val="24"/>
        </w:rPr>
      </w:pPr>
      <w:r>
        <w:rPr>
          <w:rFonts w:ascii="宋体" w:hAnsi="宋体" w:eastAsia="宋体" w:cs="宋体"/>
          <w:spacing w:val="-10"/>
          <w:sz w:val="24"/>
          <w:szCs w:val="24"/>
        </w:rPr>
        <w:t>平交口</w:t>
      </w:r>
      <w:r>
        <w:rPr>
          <w:rFonts w:ascii="宋体" w:hAnsi="宋体" w:eastAsia="宋体" w:cs="宋体"/>
          <w:spacing w:val="-57"/>
          <w:sz w:val="24"/>
          <w:szCs w:val="24"/>
        </w:rPr>
        <w:t xml:space="preserve"> </w:t>
      </w:r>
      <w:r>
        <w:rPr>
          <w:rFonts w:ascii="Times New Roman" w:hAnsi="Times New Roman" w:eastAsia="Times New Roman" w:cs="Times New Roman"/>
          <w:spacing w:val="-10"/>
          <w:sz w:val="24"/>
          <w:szCs w:val="24"/>
        </w:rPr>
        <w:t xml:space="preserve">5 </w:t>
      </w:r>
      <w:r>
        <w:rPr>
          <w:rFonts w:ascii="宋体" w:hAnsi="宋体" w:eastAsia="宋体" w:cs="宋体"/>
          <w:spacing w:val="-10"/>
          <w:sz w:val="24"/>
          <w:szCs w:val="24"/>
        </w:rPr>
        <w:t>处。其余技术指标符合相应技术标准、规范要求。</w:t>
      </w:r>
    </w:p>
    <w:p>
      <w:pPr>
        <w:spacing w:before="183" w:line="220" w:lineRule="auto"/>
        <w:ind w:left="521"/>
        <w:rPr>
          <w:rFonts w:ascii="宋体" w:hAnsi="宋体" w:eastAsia="宋体" w:cs="宋体"/>
          <w:sz w:val="24"/>
          <w:szCs w:val="24"/>
        </w:rPr>
      </w:pPr>
      <w:r>
        <w:rPr>
          <w:rFonts w:ascii="宋体" w:hAnsi="宋体" w:eastAsia="宋体" w:cs="宋体"/>
          <w:spacing w:val="-2"/>
          <w:sz w:val="24"/>
          <w:szCs w:val="24"/>
        </w:rPr>
        <w:t>项目总投资：工程总投资为</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7.1691 </w:t>
      </w:r>
      <w:r>
        <w:rPr>
          <w:rFonts w:ascii="宋体" w:hAnsi="宋体" w:eastAsia="宋体" w:cs="宋体"/>
          <w:spacing w:val="-2"/>
          <w:sz w:val="24"/>
          <w:szCs w:val="24"/>
        </w:rPr>
        <w:t>亿元。</w:t>
      </w:r>
    </w:p>
    <w:p>
      <w:pPr>
        <w:spacing w:before="180" w:line="218" w:lineRule="auto"/>
        <w:ind w:left="44"/>
        <w:outlineLvl w:val="1"/>
        <w:rPr>
          <w:rFonts w:ascii="宋体" w:hAnsi="宋体" w:eastAsia="宋体" w:cs="宋体"/>
          <w:sz w:val="24"/>
          <w:szCs w:val="24"/>
        </w:rPr>
      </w:pPr>
      <w:bookmarkStart w:id="64" w:name="bookmark57"/>
      <w:bookmarkEnd w:id="64"/>
      <w:r>
        <w:rPr>
          <w:rFonts w:ascii="Times New Roman" w:hAnsi="Times New Roman" w:eastAsia="Times New Roman" w:cs="Times New Roman"/>
          <w:b/>
          <w:bCs/>
          <w:spacing w:val="-1"/>
          <w:sz w:val="24"/>
          <w:szCs w:val="24"/>
        </w:rPr>
        <w:t xml:space="preserve">10.2 </w:t>
      </w:r>
      <w:r>
        <w:rPr>
          <w:rFonts w:ascii="宋体" w:hAnsi="宋体" w:eastAsia="宋体" w:cs="宋体"/>
          <w:spacing w:val="-1"/>
          <w:sz w:val="24"/>
          <w:szCs w:val="24"/>
          <w14:textOutline w14:w="4354" w14:cap="flat" w14:cmpd="sng">
            <w14:solidFill>
              <w14:srgbClr w14:val="000000"/>
            </w14:solidFill>
            <w14:prstDash w14:val="solid"/>
            <w14:miter w14:val="0"/>
          </w14:textOutline>
        </w:rPr>
        <w:t>环境质量现状评价结论</w:t>
      </w:r>
    </w:p>
    <w:p>
      <w:pPr>
        <w:spacing w:before="184" w:line="218" w:lineRule="auto"/>
        <w:ind w:left="44"/>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10.2.1 </w:t>
      </w:r>
      <w:r>
        <w:rPr>
          <w:rFonts w:ascii="宋体" w:hAnsi="宋体" w:eastAsia="宋体" w:cs="宋体"/>
          <w:spacing w:val="-1"/>
          <w:sz w:val="24"/>
          <w:szCs w:val="24"/>
          <w14:textOutline w14:w="4354" w14:cap="flat" w14:cmpd="sng">
            <w14:solidFill>
              <w14:srgbClr w14:val="000000"/>
            </w14:solidFill>
            <w14:prstDash w14:val="solid"/>
            <w14:miter w14:val="0"/>
          </w14:textOutline>
        </w:rPr>
        <w:t>地表水环境质量现状评价结论</w:t>
      </w:r>
    </w:p>
    <w:p>
      <w:pPr>
        <w:spacing w:before="184" w:line="359" w:lineRule="auto"/>
        <w:ind w:left="37" w:right="26" w:firstLine="480"/>
        <w:jc w:val="both"/>
        <w:rPr>
          <w:rFonts w:ascii="宋体" w:hAnsi="宋体" w:eastAsia="宋体" w:cs="宋体"/>
          <w:sz w:val="24"/>
          <w:szCs w:val="24"/>
        </w:rPr>
      </w:pPr>
      <w:r>
        <w:rPr>
          <w:rFonts w:ascii="宋体" w:hAnsi="宋体" w:eastAsia="宋体" w:cs="宋体"/>
          <w:spacing w:val="-3"/>
          <w:sz w:val="24"/>
          <w:szCs w:val="24"/>
        </w:rPr>
        <w:t>根据《文成县环境质量年报（</w:t>
      </w:r>
      <w:r>
        <w:rPr>
          <w:rFonts w:ascii="Times New Roman" w:hAnsi="Times New Roman" w:eastAsia="Times New Roman" w:cs="Times New Roman"/>
          <w:spacing w:val="-3"/>
          <w:sz w:val="24"/>
          <w:szCs w:val="24"/>
        </w:rPr>
        <w:t xml:space="preserve">2022 </w:t>
      </w:r>
      <w:r>
        <w:rPr>
          <w:rFonts w:ascii="宋体" w:hAnsi="宋体" w:eastAsia="宋体" w:cs="宋体"/>
          <w:spacing w:val="-3"/>
          <w:sz w:val="24"/>
          <w:szCs w:val="24"/>
        </w:rPr>
        <w:t>年）》，</w:t>
      </w:r>
      <w:r>
        <w:rPr>
          <w:rFonts w:ascii="Times New Roman" w:hAnsi="Times New Roman" w:eastAsia="Times New Roman" w:cs="Times New Roman"/>
          <w:spacing w:val="-3"/>
          <w:sz w:val="24"/>
          <w:szCs w:val="24"/>
        </w:rPr>
        <w:t xml:space="preserve">2022 </w:t>
      </w:r>
      <w:r>
        <w:rPr>
          <w:rFonts w:ascii="宋体" w:hAnsi="宋体" w:eastAsia="宋体" w:cs="宋体"/>
          <w:spacing w:val="-3"/>
          <w:sz w:val="24"/>
          <w:szCs w:val="24"/>
        </w:rPr>
        <w:t>年</w:t>
      </w:r>
      <w:r>
        <w:rPr>
          <w:rFonts w:ascii="宋体" w:hAnsi="宋体" w:eastAsia="宋体" w:cs="宋体"/>
          <w:spacing w:val="-4"/>
          <w:sz w:val="24"/>
          <w:szCs w:val="24"/>
        </w:rPr>
        <w:t>对文成县域内</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11 </w:t>
      </w:r>
      <w:r>
        <w:rPr>
          <w:rFonts w:ascii="宋体" w:hAnsi="宋体" w:eastAsia="宋体" w:cs="宋体"/>
          <w:spacing w:val="-4"/>
          <w:sz w:val="24"/>
          <w:szCs w:val="24"/>
        </w:rPr>
        <w:t>个断面</w:t>
      </w:r>
      <w:r>
        <w:rPr>
          <w:rFonts w:ascii="宋体" w:hAnsi="宋体" w:eastAsia="宋体" w:cs="宋体"/>
          <w:sz w:val="24"/>
          <w:szCs w:val="24"/>
        </w:rPr>
        <w:t xml:space="preserve"> </w:t>
      </w:r>
      <w:r>
        <w:rPr>
          <w:rFonts w:ascii="宋体" w:hAnsi="宋体" w:eastAsia="宋体" w:cs="宋体"/>
          <w:spacing w:val="-9"/>
          <w:sz w:val="24"/>
          <w:szCs w:val="24"/>
        </w:rPr>
        <w:t>水质进行监测结果统计显示，</w:t>
      </w:r>
      <w:r>
        <w:rPr>
          <w:rFonts w:ascii="宋体" w:hAnsi="宋体" w:eastAsia="宋体" w:cs="宋体"/>
          <w:spacing w:val="73"/>
          <w:sz w:val="24"/>
          <w:szCs w:val="24"/>
        </w:rPr>
        <w:t xml:space="preserve"> </w:t>
      </w:r>
      <w:r>
        <w:rPr>
          <w:rFonts w:ascii="Times New Roman" w:hAnsi="Times New Roman" w:eastAsia="Times New Roman" w:cs="Times New Roman"/>
          <w:spacing w:val="-9"/>
          <w:sz w:val="24"/>
          <w:szCs w:val="24"/>
        </w:rPr>
        <w:t>Ⅰ</w:t>
      </w:r>
      <w:r>
        <w:rPr>
          <w:rFonts w:ascii="宋体" w:hAnsi="宋体" w:eastAsia="宋体" w:cs="宋体"/>
          <w:spacing w:val="-9"/>
          <w:sz w:val="24"/>
          <w:szCs w:val="24"/>
        </w:rPr>
        <w:t>类断面</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3</w:t>
      </w:r>
      <w:r>
        <w:rPr>
          <w:rFonts w:ascii="Times New Roman" w:hAnsi="Times New Roman" w:eastAsia="Times New Roman" w:cs="Times New Roman"/>
          <w:spacing w:val="12"/>
          <w:sz w:val="24"/>
          <w:szCs w:val="24"/>
        </w:rPr>
        <w:t xml:space="preserve"> </w:t>
      </w:r>
      <w:r>
        <w:rPr>
          <w:rFonts w:ascii="宋体" w:hAnsi="宋体" w:eastAsia="宋体" w:cs="宋体"/>
          <w:spacing w:val="-9"/>
          <w:sz w:val="24"/>
          <w:szCs w:val="24"/>
        </w:rPr>
        <w:t>个， 占总断面数的</w:t>
      </w:r>
      <w:r>
        <w:rPr>
          <w:rFonts w:ascii="宋体" w:hAnsi="宋体" w:eastAsia="宋体" w:cs="宋体"/>
          <w:spacing w:val="-52"/>
          <w:sz w:val="24"/>
          <w:szCs w:val="24"/>
        </w:rPr>
        <w:t xml:space="preserve"> </w:t>
      </w:r>
      <w:r>
        <w:rPr>
          <w:rFonts w:ascii="Times New Roman" w:hAnsi="Times New Roman" w:eastAsia="Times New Roman" w:cs="Times New Roman"/>
          <w:spacing w:val="-9"/>
          <w:sz w:val="24"/>
          <w:szCs w:val="24"/>
        </w:rPr>
        <w:t>27.3%</w:t>
      </w:r>
      <w:r>
        <w:rPr>
          <w:rFonts w:ascii="宋体" w:hAnsi="宋体" w:eastAsia="宋体" w:cs="宋体"/>
          <w:spacing w:val="-9"/>
          <w:sz w:val="24"/>
          <w:szCs w:val="24"/>
        </w:rPr>
        <w:t>；</w:t>
      </w:r>
      <w:r>
        <w:rPr>
          <w:rFonts w:ascii="Times New Roman" w:hAnsi="Times New Roman" w:eastAsia="Times New Roman" w:cs="Times New Roman"/>
          <w:spacing w:val="-9"/>
          <w:sz w:val="24"/>
          <w:szCs w:val="24"/>
        </w:rPr>
        <w:t>Ⅱ</w:t>
      </w:r>
      <w:r>
        <w:rPr>
          <w:rFonts w:ascii="宋体" w:hAnsi="宋体" w:eastAsia="宋体" w:cs="宋体"/>
          <w:spacing w:val="-9"/>
          <w:sz w:val="24"/>
          <w:szCs w:val="24"/>
        </w:rPr>
        <w:t>类水断面</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7</w:t>
      </w:r>
      <w:r>
        <w:rPr>
          <w:rFonts w:ascii="Times New Roman" w:hAnsi="Times New Roman" w:eastAsia="Times New Roman" w:cs="Times New Roman"/>
          <w:sz w:val="24"/>
          <w:szCs w:val="24"/>
        </w:rPr>
        <w:t xml:space="preserve">  </w:t>
      </w:r>
      <w:r>
        <w:rPr>
          <w:rFonts w:ascii="宋体" w:hAnsi="宋体" w:eastAsia="宋体" w:cs="宋体"/>
          <w:spacing w:val="-3"/>
          <w:sz w:val="24"/>
          <w:szCs w:val="24"/>
        </w:rPr>
        <w:t xml:space="preserve">个，占总断面数的 </w:t>
      </w:r>
      <w:r>
        <w:rPr>
          <w:rFonts w:ascii="Times New Roman" w:hAnsi="Times New Roman" w:eastAsia="Times New Roman" w:cs="Times New Roman"/>
          <w:spacing w:val="-3"/>
          <w:sz w:val="24"/>
          <w:szCs w:val="24"/>
        </w:rPr>
        <w:t>63.6%</w:t>
      </w:r>
      <w:r>
        <w:rPr>
          <w:rFonts w:ascii="宋体" w:hAnsi="宋体" w:eastAsia="宋体" w:cs="宋体"/>
          <w:spacing w:val="-3"/>
          <w:sz w:val="24"/>
          <w:szCs w:val="24"/>
        </w:rPr>
        <w:t>；</w:t>
      </w:r>
      <w:r>
        <w:rPr>
          <w:rFonts w:ascii="Times New Roman" w:hAnsi="Times New Roman" w:eastAsia="Times New Roman" w:cs="Times New Roman"/>
          <w:spacing w:val="-3"/>
          <w:sz w:val="24"/>
          <w:szCs w:val="24"/>
        </w:rPr>
        <w:t>Ⅲ</w:t>
      </w:r>
      <w:r>
        <w:rPr>
          <w:rFonts w:ascii="宋体" w:hAnsi="宋体" w:eastAsia="宋体" w:cs="宋体"/>
          <w:spacing w:val="-3"/>
          <w:sz w:val="24"/>
          <w:szCs w:val="24"/>
        </w:rPr>
        <w:t xml:space="preserve">类水断面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8"/>
          <w:w w:val="101"/>
          <w:sz w:val="24"/>
          <w:szCs w:val="24"/>
        </w:rPr>
        <w:t xml:space="preserve"> </w:t>
      </w:r>
      <w:r>
        <w:rPr>
          <w:rFonts w:ascii="宋体" w:hAnsi="宋体" w:eastAsia="宋体" w:cs="宋体"/>
          <w:spacing w:val="-3"/>
          <w:sz w:val="24"/>
          <w:szCs w:val="24"/>
        </w:rPr>
        <w:t>个，占总断面数的</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9.1%</w:t>
      </w:r>
      <w:r>
        <w:rPr>
          <w:rFonts w:ascii="宋体" w:hAnsi="宋体" w:eastAsia="宋体" w:cs="宋体"/>
          <w:spacing w:val="-3"/>
          <w:sz w:val="24"/>
          <w:szCs w:val="24"/>
        </w:rPr>
        <w:t xml:space="preserve">，其中珊溪库 </w:t>
      </w:r>
      <w:r>
        <w:rPr>
          <w:rFonts w:ascii="宋体" w:hAnsi="宋体" w:eastAsia="宋体" w:cs="宋体"/>
          <w:spacing w:val="-8"/>
          <w:sz w:val="24"/>
          <w:szCs w:val="24"/>
        </w:rPr>
        <w:t>中、坝前，</w:t>
      </w:r>
      <w:r>
        <w:rPr>
          <w:rFonts w:ascii="宋体" w:hAnsi="宋体" w:eastAsia="宋体" w:cs="宋体"/>
          <w:spacing w:val="54"/>
          <w:sz w:val="24"/>
          <w:szCs w:val="24"/>
        </w:rPr>
        <w:t xml:space="preserve"> </w:t>
      </w:r>
      <w:r>
        <w:rPr>
          <w:rFonts w:ascii="宋体" w:hAnsi="宋体" w:eastAsia="宋体" w:cs="宋体"/>
          <w:spacing w:val="-8"/>
          <w:sz w:val="24"/>
          <w:szCs w:val="24"/>
        </w:rPr>
        <w:t>泗溪断面采用采测分离数据。所有监测断面水质均达标。文成县主要</w:t>
      </w:r>
      <w:r>
        <w:rPr>
          <w:rFonts w:ascii="宋体" w:hAnsi="宋体" w:eastAsia="宋体" w:cs="宋体"/>
          <w:sz w:val="24"/>
          <w:szCs w:val="24"/>
        </w:rPr>
        <w:t xml:space="preserve"> </w:t>
      </w:r>
      <w:r>
        <w:rPr>
          <w:rFonts w:ascii="宋体" w:hAnsi="宋体" w:eastAsia="宋体" w:cs="宋体"/>
          <w:spacing w:val="-4"/>
          <w:sz w:val="24"/>
          <w:szCs w:val="24"/>
        </w:rPr>
        <w:t>河流水质均能满足功能区要求。珊溪水库</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 xml:space="preserve">2022 </w:t>
      </w:r>
      <w:r>
        <w:rPr>
          <w:rFonts w:ascii="宋体" w:hAnsi="宋体" w:eastAsia="宋体" w:cs="宋体"/>
          <w:spacing w:val="-4"/>
          <w:sz w:val="24"/>
          <w:szCs w:val="24"/>
        </w:rPr>
        <w:t>年水质符合</w:t>
      </w:r>
      <w:r>
        <w:rPr>
          <w:rFonts w:ascii="宋体" w:hAnsi="宋体" w:eastAsia="宋体" w:cs="宋体"/>
          <w:spacing w:val="-5"/>
          <w:sz w:val="24"/>
          <w:szCs w:val="24"/>
        </w:rPr>
        <w:t>饮用水源地水质标准，</w:t>
      </w:r>
      <w:r>
        <w:rPr>
          <w:rFonts w:ascii="宋体" w:hAnsi="宋体" w:eastAsia="宋体" w:cs="宋体"/>
          <w:sz w:val="24"/>
          <w:szCs w:val="24"/>
        </w:rPr>
        <w:t xml:space="preserve"> </w:t>
      </w:r>
      <w:r>
        <w:rPr>
          <w:rFonts w:ascii="宋体" w:hAnsi="宋体" w:eastAsia="宋体" w:cs="宋体"/>
          <w:spacing w:val="1"/>
          <w:sz w:val="24"/>
          <w:szCs w:val="24"/>
        </w:rPr>
        <w:t>入库支流符合地表水环境功能区要求。</w:t>
      </w:r>
      <w:r>
        <w:rPr>
          <w:rFonts w:ascii="Times New Roman" w:hAnsi="Times New Roman" w:eastAsia="Times New Roman" w:cs="Times New Roman"/>
          <w:spacing w:val="1"/>
          <w:sz w:val="24"/>
          <w:szCs w:val="24"/>
        </w:rPr>
        <w:t xml:space="preserve">2022  </w:t>
      </w:r>
      <w:r>
        <w:rPr>
          <w:rFonts w:ascii="宋体" w:hAnsi="宋体" w:eastAsia="宋体" w:cs="宋体"/>
          <w:spacing w:val="1"/>
          <w:sz w:val="24"/>
          <w:szCs w:val="24"/>
        </w:rPr>
        <w:t>年文成县农村</w:t>
      </w:r>
      <w:r>
        <w:rPr>
          <w:rFonts w:ascii="Times New Roman" w:hAnsi="Times New Roman" w:eastAsia="Times New Roman" w:cs="Times New Roman"/>
          <w:spacing w:val="1"/>
          <w:sz w:val="24"/>
          <w:szCs w:val="24"/>
        </w:rPr>
        <w:t>“</w:t>
      </w:r>
      <w:r>
        <w:rPr>
          <w:rFonts w:ascii="宋体" w:hAnsi="宋体" w:eastAsia="宋体" w:cs="宋体"/>
          <w:spacing w:val="1"/>
          <w:sz w:val="24"/>
          <w:szCs w:val="24"/>
        </w:rPr>
        <w:t>千吨万人</w:t>
      </w:r>
      <w:r>
        <w:rPr>
          <w:rFonts w:ascii="Times New Roman" w:hAnsi="Times New Roman" w:eastAsia="Times New Roman" w:cs="Times New Roman"/>
          <w:spacing w:val="1"/>
          <w:sz w:val="24"/>
          <w:szCs w:val="24"/>
        </w:rPr>
        <w:t>”</w:t>
      </w:r>
      <w:r>
        <w:rPr>
          <w:rFonts w:ascii="宋体" w:hAnsi="宋体" w:eastAsia="宋体" w:cs="宋体"/>
          <w:spacing w:val="1"/>
          <w:sz w:val="24"/>
          <w:szCs w:val="24"/>
        </w:rPr>
        <w:t>地表水饮</w:t>
      </w:r>
    </w:p>
    <w:p>
      <w:pPr>
        <w:spacing w:line="219" w:lineRule="auto"/>
        <w:ind w:left="40"/>
        <w:rPr>
          <w:rFonts w:ascii="宋体" w:hAnsi="宋体" w:eastAsia="宋体" w:cs="宋体"/>
          <w:sz w:val="24"/>
          <w:szCs w:val="24"/>
        </w:rPr>
      </w:pPr>
      <w:r>
        <w:rPr>
          <w:rFonts w:ascii="宋体" w:hAnsi="宋体" w:eastAsia="宋体" w:cs="宋体"/>
          <w:spacing w:val="-3"/>
          <w:sz w:val="24"/>
          <w:szCs w:val="24"/>
        </w:rPr>
        <w:t>用水源地水质符合饮用水源地水质标准。</w:t>
      </w:r>
    </w:p>
    <w:p>
      <w:pPr>
        <w:spacing w:before="183" w:line="220" w:lineRule="auto"/>
        <w:ind w:left="518"/>
        <w:rPr>
          <w:rFonts w:ascii="宋体" w:hAnsi="宋体" w:eastAsia="宋体" w:cs="宋体"/>
          <w:sz w:val="24"/>
          <w:szCs w:val="24"/>
        </w:rPr>
      </w:pPr>
      <w:r>
        <w:rPr>
          <w:rFonts w:ascii="宋体" w:hAnsi="宋体" w:eastAsia="宋体" w:cs="宋体"/>
          <w:spacing w:val="-7"/>
          <w:sz w:val="24"/>
          <w:szCs w:val="24"/>
        </w:rPr>
        <w:t>根据收集的监测数据， 项目周边水体高岭头二级水库水质满足《地表水环境</w:t>
      </w:r>
    </w:p>
    <w:p>
      <w:pPr>
        <w:spacing w:line="220" w:lineRule="auto"/>
        <w:rPr>
          <w:rFonts w:ascii="宋体" w:hAnsi="宋体" w:eastAsia="宋体" w:cs="宋体"/>
          <w:sz w:val="24"/>
          <w:szCs w:val="24"/>
        </w:rPr>
        <w:sectPr>
          <w:headerReference r:id="rId374" w:type="default"/>
          <w:footerReference r:id="rId375" w:type="default"/>
          <w:pgSz w:w="11907" w:h="16839"/>
          <w:pgMar w:top="1118" w:right="1705" w:bottom="1177" w:left="1771" w:header="879" w:footer="1013" w:gutter="0"/>
          <w:cols w:space="720" w:num="1"/>
        </w:sectPr>
      </w:pPr>
    </w:p>
    <w:p>
      <w:pPr>
        <w:pStyle w:val="2"/>
        <w:spacing w:line="277" w:lineRule="auto"/>
      </w:pPr>
    </w:p>
    <w:p>
      <w:pPr>
        <w:spacing w:before="78" w:line="220" w:lineRule="auto"/>
        <w:ind w:left="39"/>
        <w:rPr>
          <w:rFonts w:ascii="宋体" w:hAnsi="宋体" w:eastAsia="宋体" w:cs="宋体"/>
          <w:sz w:val="24"/>
          <w:szCs w:val="24"/>
        </w:rPr>
      </w:pPr>
      <w:r>
        <w:rPr>
          <w:rFonts w:ascii="宋体" w:hAnsi="宋体" w:eastAsia="宋体" w:cs="宋体"/>
          <w:spacing w:val="-6"/>
          <w:sz w:val="24"/>
          <w:szCs w:val="24"/>
        </w:rPr>
        <w:t>质量标准》 （</w:t>
      </w:r>
      <w:r>
        <w:rPr>
          <w:rFonts w:ascii="Times New Roman" w:hAnsi="Times New Roman" w:eastAsia="Times New Roman" w:cs="Times New Roman"/>
          <w:spacing w:val="-6"/>
          <w:sz w:val="24"/>
          <w:szCs w:val="24"/>
        </w:rPr>
        <w:t>GB3838-2002</w:t>
      </w:r>
      <w:r>
        <w:rPr>
          <w:rFonts w:ascii="宋体" w:hAnsi="宋体" w:eastAsia="宋体" w:cs="宋体"/>
          <w:spacing w:val="-6"/>
          <w:sz w:val="24"/>
          <w:szCs w:val="24"/>
        </w:rPr>
        <w:t>）</w:t>
      </w:r>
      <w:r>
        <w:rPr>
          <w:rFonts w:ascii="Times New Roman" w:hAnsi="Times New Roman" w:eastAsia="Times New Roman" w:cs="Times New Roman"/>
          <w:spacing w:val="-6"/>
          <w:sz w:val="24"/>
          <w:szCs w:val="24"/>
        </w:rPr>
        <w:t>Ⅱ</w:t>
      </w:r>
      <w:r>
        <w:rPr>
          <w:rFonts w:ascii="宋体" w:hAnsi="宋体" w:eastAsia="宋体" w:cs="宋体"/>
          <w:spacing w:val="-6"/>
          <w:sz w:val="24"/>
          <w:szCs w:val="24"/>
        </w:rPr>
        <w:t>类水质标准要求。</w:t>
      </w:r>
    </w:p>
    <w:p>
      <w:pPr>
        <w:spacing w:before="182" w:line="218" w:lineRule="auto"/>
        <w:ind w:left="44"/>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10.2.2 </w:t>
      </w:r>
      <w:r>
        <w:rPr>
          <w:rFonts w:ascii="宋体" w:hAnsi="宋体" w:eastAsia="宋体" w:cs="宋体"/>
          <w:spacing w:val="-1"/>
          <w:sz w:val="24"/>
          <w:szCs w:val="24"/>
          <w14:textOutline w14:w="4354" w14:cap="flat" w14:cmpd="sng">
            <w14:solidFill>
              <w14:srgbClr w14:val="000000"/>
            </w14:solidFill>
            <w14:prstDash w14:val="solid"/>
            <w14:miter w14:val="0"/>
          </w14:textOutline>
        </w:rPr>
        <w:t>大气环境质量现状评价结论</w:t>
      </w:r>
    </w:p>
    <w:p>
      <w:pPr>
        <w:spacing w:before="181" w:line="220" w:lineRule="auto"/>
        <w:ind w:left="518"/>
        <w:rPr>
          <w:rFonts w:ascii="宋体" w:hAnsi="宋体" w:eastAsia="宋体" w:cs="宋体"/>
          <w:sz w:val="24"/>
          <w:szCs w:val="24"/>
        </w:rPr>
      </w:pPr>
      <w:r>
        <w:rPr>
          <w:rFonts w:ascii="宋体" w:hAnsi="宋体" w:eastAsia="宋体" w:cs="宋体"/>
          <w:spacing w:val="-1"/>
          <w:sz w:val="24"/>
          <w:szCs w:val="24"/>
        </w:rPr>
        <w:t>根据《文成县环境质量年报（</w:t>
      </w:r>
      <w:r>
        <w:rPr>
          <w:rFonts w:ascii="Times New Roman" w:hAnsi="Times New Roman" w:eastAsia="Times New Roman" w:cs="Times New Roman"/>
          <w:spacing w:val="-1"/>
          <w:sz w:val="24"/>
          <w:szCs w:val="24"/>
        </w:rPr>
        <w:t xml:space="preserve">2022 </w:t>
      </w:r>
      <w:r>
        <w:rPr>
          <w:rFonts w:ascii="宋体" w:hAnsi="宋体" w:eastAsia="宋体" w:cs="宋体"/>
          <w:spacing w:val="-1"/>
          <w:sz w:val="24"/>
          <w:szCs w:val="24"/>
        </w:rPr>
        <w:t>年）》，文</w:t>
      </w:r>
      <w:r>
        <w:rPr>
          <w:rFonts w:ascii="宋体" w:hAnsi="宋体" w:eastAsia="宋体" w:cs="宋体"/>
          <w:spacing w:val="-2"/>
          <w:sz w:val="24"/>
          <w:szCs w:val="24"/>
        </w:rPr>
        <w:t>成县属于达标区。</w:t>
      </w:r>
    </w:p>
    <w:p>
      <w:pPr>
        <w:spacing w:before="182" w:line="218" w:lineRule="auto"/>
        <w:ind w:left="44"/>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10.2.3 </w:t>
      </w:r>
      <w:r>
        <w:rPr>
          <w:rFonts w:ascii="宋体" w:hAnsi="宋体" w:eastAsia="宋体" w:cs="宋体"/>
          <w:spacing w:val="-1"/>
          <w:sz w:val="24"/>
          <w:szCs w:val="24"/>
          <w14:textOutline w14:w="4354" w14:cap="flat" w14:cmpd="sng">
            <w14:solidFill>
              <w14:srgbClr w14:val="000000"/>
            </w14:solidFill>
            <w14:prstDash w14:val="solid"/>
            <w14:miter w14:val="0"/>
          </w14:textOutline>
        </w:rPr>
        <w:t>声环境质量现状评价结论</w:t>
      </w:r>
    </w:p>
    <w:p>
      <w:pPr>
        <w:spacing w:before="181" w:line="360" w:lineRule="auto"/>
        <w:ind w:left="39" w:right="106" w:firstLine="480"/>
        <w:rPr>
          <w:rFonts w:ascii="宋体" w:hAnsi="宋体" w:eastAsia="宋体" w:cs="宋体"/>
          <w:sz w:val="24"/>
          <w:szCs w:val="24"/>
        </w:rPr>
      </w:pPr>
      <w:r>
        <w:rPr>
          <w:rFonts w:ascii="宋体" w:hAnsi="宋体" w:eastAsia="宋体" w:cs="宋体"/>
          <w:spacing w:val="-7"/>
          <w:sz w:val="24"/>
          <w:szCs w:val="24"/>
        </w:rPr>
        <w:t>现状监测表明，</w:t>
      </w:r>
      <w:r>
        <w:rPr>
          <w:rFonts w:ascii="宋体" w:hAnsi="宋体" w:eastAsia="宋体" w:cs="宋体"/>
          <w:spacing w:val="78"/>
          <w:sz w:val="24"/>
          <w:szCs w:val="24"/>
        </w:rPr>
        <w:t xml:space="preserve"> </w:t>
      </w:r>
      <w:r>
        <w:rPr>
          <w:rFonts w:ascii="宋体" w:hAnsi="宋体" w:eastAsia="宋体" w:cs="宋体"/>
          <w:spacing w:val="-7"/>
          <w:sz w:val="24"/>
          <w:szCs w:val="24"/>
        </w:rPr>
        <w:t>除蔡处</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2023</w:t>
      </w:r>
      <w:r>
        <w:rPr>
          <w:rFonts w:ascii="Times New Roman" w:hAnsi="Times New Roman" w:eastAsia="Times New Roman" w:cs="Times New Roman"/>
          <w:spacing w:val="18"/>
          <w:sz w:val="24"/>
          <w:szCs w:val="24"/>
        </w:rPr>
        <w:t xml:space="preserve"> </w:t>
      </w:r>
      <w:r>
        <w:rPr>
          <w:rFonts w:ascii="宋体" w:hAnsi="宋体" w:eastAsia="宋体" w:cs="宋体"/>
          <w:spacing w:val="-7"/>
          <w:sz w:val="24"/>
          <w:szCs w:val="24"/>
        </w:rPr>
        <w:t>年</w:t>
      </w:r>
      <w:r>
        <w:rPr>
          <w:rFonts w:ascii="宋体" w:hAnsi="宋体" w:eastAsia="宋体" w:cs="宋体"/>
          <w:spacing w:val="-44"/>
          <w:sz w:val="24"/>
          <w:szCs w:val="24"/>
        </w:rPr>
        <w:t xml:space="preserve"> </w:t>
      </w:r>
      <w:r>
        <w:rPr>
          <w:rFonts w:ascii="Times New Roman" w:hAnsi="Times New Roman" w:eastAsia="Times New Roman" w:cs="Times New Roman"/>
          <w:spacing w:val="-7"/>
          <w:sz w:val="24"/>
          <w:szCs w:val="24"/>
        </w:rPr>
        <w:t>7</w:t>
      </w:r>
      <w:r>
        <w:rPr>
          <w:rFonts w:ascii="Times New Roman" w:hAnsi="Times New Roman" w:eastAsia="Times New Roman" w:cs="Times New Roman"/>
          <w:spacing w:val="22"/>
          <w:w w:val="101"/>
          <w:sz w:val="24"/>
          <w:szCs w:val="24"/>
        </w:rPr>
        <w:t xml:space="preserve"> </w:t>
      </w:r>
      <w:r>
        <w:rPr>
          <w:rFonts w:ascii="宋体" w:hAnsi="宋体" w:eastAsia="宋体" w:cs="宋体"/>
          <w:spacing w:val="-7"/>
          <w:sz w:val="24"/>
          <w:szCs w:val="24"/>
        </w:rPr>
        <w:t>月受交通</w:t>
      </w:r>
      <w:r>
        <w:rPr>
          <w:rFonts w:ascii="宋体" w:hAnsi="宋体" w:eastAsia="宋体" w:cs="宋体"/>
          <w:spacing w:val="-8"/>
          <w:sz w:val="24"/>
          <w:szCs w:val="24"/>
        </w:rPr>
        <w:t>噪声影响、夜间等效声级不能达</w:t>
      </w:r>
      <w:r>
        <w:rPr>
          <w:rFonts w:ascii="宋体" w:hAnsi="宋体" w:eastAsia="宋体" w:cs="宋体"/>
          <w:sz w:val="24"/>
          <w:szCs w:val="24"/>
        </w:rPr>
        <w:t xml:space="preserve"> 标外， 现状其他声环境保护目标昼间、夜间噪声都能满足《声环境质量标准》</w:t>
      </w:r>
      <w:r>
        <w:rPr>
          <w:rFonts w:ascii="宋体" w:hAnsi="宋体" w:eastAsia="宋体" w:cs="宋体"/>
          <w:spacing w:val="2"/>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GB3096-2008</w:t>
      </w:r>
      <w:r>
        <w:rPr>
          <w:rFonts w:ascii="宋体" w:hAnsi="宋体" w:eastAsia="宋体" w:cs="宋体"/>
          <w:spacing w:val="-6"/>
          <w:sz w:val="24"/>
          <w:szCs w:val="24"/>
        </w:rPr>
        <w:t xml:space="preserve">）中 </w:t>
      </w:r>
      <w:r>
        <w:rPr>
          <w:rFonts w:ascii="Times New Roman" w:hAnsi="Times New Roman" w:eastAsia="Times New Roman" w:cs="Times New Roman"/>
          <w:spacing w:val="-6"/>
          <w:sz w:val="24"/>
          <w:szCs w:val="24"/>
        </w:rPr>
        <w:t>4a</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类和</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35"/>
          <w:w w:val="101"/>
          <w:sz w:val="24"/>
          <w:szCs w:val="24"/>
        </w:rPr>
        <w:t xml:space="preserve"> </w:t>
      </w:r>
      <w:r>
        <w:rPr>
          <w:rFonts w:ascii="宋体" w:hAnsi="宋体" w:eastAsia="宋体" w:cs="宋体"/>
          <w:spacing w:val="-6"/>
          <w:sz w:val="24"/>
          <w:szCs w:val="24"/>
        </w:rPr>
        <w:t>类标准要求，</w:t>
      </w:r>
      <w:r>
        <w:rPr>
          <w:rFonts w:ascii="宋体" w:hAnsi="宋体" w:eastAsia="宋体" w:cs="宋体"/>
          <w:spacing w:val="67"/>
          <w:sz w:val="24"/>
          <w:szCs w:val="24"/>
        </w:rPr>
        <w:t xml:space="preserve"> </w:t>
      </w:r>
      <w:r>
        <w:rPr>
          <w:rFonts w:ascii="宋体" w:hAnsi="宋体" w:eastAsia="宋体" w:cs="宋体"/>
          <w:spacing w:val="-6"/>
          <w:sz w:val="24"/>
          <w:szCs w:val="24"/>
        </w:rPr>
        <w:t>现阶段环境噪声和</w:t>
      </w:r>
      <w:r>
        <w:rPr>
          <w:rFonts w:ascii="宋体" w:hAnsi="宋体" w:eastAsia="宋体" w:cs="宋体"/>
          <w:spacing w:val="-7"/>
          <w:sz w:val="24"/>
          <w:szCs w:val="24"/>
        </w:rPr>
        <w:t>交通噪声对声环</w:t>
      </w:r>
    </w:p>
    <w:p>
      <w:pPr>
        <w:spacing w:line="220" w:lineRule="auto"/>
        <w:ind w:left="39"/>
        <w:rPr>
          <w:rFonts w:ascii="宋体" w:hAnsi="宋体" w:eastAsia="宋体" w:cs="宋体"/>
          <w:sz w:val="24"/>
          <w:szCs w:val="24"/>
        </w:rPr>
      </w:pPr>
      <w:r>
        <w:rPr>
          <w:rFonts w:ascii="宋体" w:hAnsi="宋体" w:eastAsia="宋体" w:cs="宋体"/>
          <w:spacing w:val="-1"/>
          <w:sz w:val="24"/>
          <w:szCs w:val="24"/>
        </w:rPr>
        <w:t>境保护目标的影响不大。</w:t>
      </w:r>
    </w:p>
    <w:p>
      <w:pPr>
        <w:spacing w:before="179" w:line="218" w:lineRule="auto"/>
        <w:ind w:left="44"/>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10.2.4 </w:t>
      </w:r>
      <w:r>
        <w:rPr>
          <w:rFonts w:ascii="宋体" w:hAnsi="宋体" w:eastAsia="宋体" w:cs="宋体"/>
          <w:spacing w:val="-1"/>
          <w:sz w:val="24"/>
          <w:szCs w:val="24"/>
          <w14:textOutline w14:w="4354" w14:cap="flat" w14:cmpd="sng">
            <w14:solidFill>
              <w14:srgbClr w14:val="000000"/>
            </w14:solidFill>
            <w14:prstDash w14:val="solid"/>
            <w14:miter w14:val="0"/>
          </w14:textOutline>
        </w:rPr>
        <w:t>生态环境质量现状评价结论</w:t>
      </w:r>
    </w:p>
    <w:p>
      <w:pPr>
        <w:spacing w:before="184" w:line="220" w:lineRule="auto"/>
        <w:ind w:left="52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）敏感区</w:t>
      </w:r>
    </w:p>
    <w:p>
      <w:pPr>
        <w:spacing w:before="180" w:line="220" w:lineRule="auto"/>
        <w:ind w:left="520"/>
        <w:rPr>
          <w:rFonts w:ascii="宋体" w:hAnsi="宋体" w:eastAsia="宋体" w:cs="宋体"/>
          <w:sz w:val="24"/>
          <w:szCs w:val="24"/>
        </w:rPr>
      </w:pPr>
      <w:r>
        <w:rPr>
          <w:rFonts w:ascii="宋体" w:hAnsi="宋体" w:eastAsia="宋体" w:cs="宋体"/>
          <w:spacing w:val="-1"/>
          <w:sz w:val="24"/>
          <w:szCs w:val="24"/>
        </w:rPr>
        <w:t>线位不涉及生态保护红线、湿地、自然保护区、国家公园等。</w:t>
      </w:r>
    </w:p>
    <w:p>
      <w:pPr>
        <w:spacing w:before="182" w:line="466" w:lineRule="exact"/>
        <w:ind w:left="520"/>
        <w:rPr>
          <w:rFonts w:ascii="宋体" w:hAnsi="宋体" w:eastAsia="宋体" w:cs="宋体"/>
          <w:sz w:val="24"/>
          <w:szCs w:val="24"/>
        </w:rPr>
      </w:pPr>
      <w:r>
        <w:rPr>
          <w:rFonts w:ascii="宋体" w:hAnsi="宋体" w:eastAsia="宋体" w:cs="宋体"/>
          <w:spacing w:val="-6"/>
          <w:position w:val="17"/>
          <w:sz w:val="24"/>
          <w:szCs w:val="24"/>
        </w:rPr>
        <w:t>线位位于珊溪水库饮用水水源保护区准保护区范围内，</w:t>
      </w:r>
      <w:r>
        <w:rPr>
          <w:rFonts w:ascii="宋体" w:hAnsi="宋体" w:eastAsia="宋体" w:cs="宋体"/>
          <w:spacing w:val="-28"/>
          <w:position w:val="17"/>
          <w:sz w:val="24"/>
          <w:szCs w:val="24"/>
        </w:rPr>
        <w:t xml:space="preserve"> </w:t>
      </w:r>
      <w:r>
        <w:rPr>
          <w:rFonts w:ascii="宋体" w:hAnsi="宋体" w:eastAsia="宋体" w:cs="宋体"/>
          <w:spacing w:val="-6"/>
          <w:position w:val="17"/>
          <w:sz w:val="24"/>
          <w:szCs w:val="24"/>
        </w:rPr>
        <w:t>距离包垟水库水源地</w:t>
      </w:r>
    </w:p>
    <w:p>
      <w:pPr>
        <w:spacing w:before="1" w:line="218" w:lineRule="auto"/>
        <w:ind w:left="44"/>
        <w:rPr>
          <w:rFonts w:ascii="宋体" w:hAnsi="宋体" w:eastAsia="宋体" w:cs="宋体"/>
          <w:sz w:val="24"/>
          <w:szCs w:val="24"/>
        </w:rPr>
      </w:pPr>
      <w:r>
        <w:rPr>
          <w:rFonts w:ascii="宋体" w:hAnsi="宋体" w:eastAsia="宋体" w:cs="宋体"/>
          <w:spacing w:val="-5"/>
          <w:sz w:val="24"/>
          <w:szCs w:val="24"/>
        </w:rPr>
        <w:t>（拟划定）约</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300m</w:t>
      </w:r>
      <w:r>
        <w:rPr>
          <w:rFonts w:ascii="宋体" w:hAnsi="宋体" w:eastAsia="宋体" w:cs="宋体"/>
          <w:spacing w:val="-5"/>
          <w:sz w:val="24"/>
          <w:szCs w:val="24"/>
        </w:rPr>
        <w:t>。</w:t>
      </w:r>
    </w:p>
    <w:p>
      <w:pPr>
        <w:spacing w:before="183" w:line="219" w:lineRule="auto"/>
        <w:ind w:left="520"/>
        <w:rPr>
          <w:rFonts w:ascii="宋体" w:hAnsi="宋体" w:eastAsia="宋体" w:cs="宋体"/>
          <w:sz w:val="24"/>
          <w:szCs w:val="24"/>
        </w:rPr>
      </w:pPr>
      <w:r>
        <w:rPr>
          <w:rFonts w:ascii="宋体" w:hAnsi="宋体" w:eastAsia="宋体" w:cs="宋体"/>
          <w:spacing w:val="-2"/>
          <w:sz w:val="24"/>
          <w:szCs w:val="24"/>
        </w:rPr>
        <w:t>线位不在重新划定的百丈漈</w:t>
      </w:r>
      <w:r>
        <w:rPr>
          <w:rFonts w:ascii="Times New Roman" w:hAnsi="Times New Roman" w:eastAsia="Times New Roman" w:cs="Times New Roman"/>
          <w:spacing w:val="-2"/>
          <w:sz w:val="24"/>
          <w:szCs w:val="24"/>
        </w:rPr>
        <w:t>-</w:t>
      </w:r>
      <w:r>
        <w:rPr>
          <w:rFonts w:ascii="宋体" w:hAnsi="宋体" w:eastAsia="宋体" w:cs="宋体"/>
          <w:spacing w:val="-2"/>
          <w:sz w:val="24"/>
          <w:szCs w:val="24"/>
        </w:rPr>
        <w:t>飞云湖风景名胜区范围内。</w:t>
      </w:r>
    </w:p>
    <w:p>
      <w:pPr>
        <w:spacing w:before="181" w:line="219" w:lineRule="auto"/>
        <w:ind w:left="52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）区域植被分布特征</w:t>
      </w:r>
    </w:p>
    <w:p>
      <w:pPr>
        <w:spacing w:before="184" w:line="468" w:lineRule="exact"/>
        <w:ind w:left="520"/>
        <w:rPr>
          <w:rFonts w:ascii="宋体" w:hAnsi="宋体" w:eastAsia="宋体" w:cs="宋体"/>
          <w:sz w:val="24"/>
          <w:szCs w:val="24"/>
        </w:rPr>
      </w:pPr>
      <w:r>
        <w:rPr>
          <w:rFonts w:ascii="宋体" w:hAnsi="宋体" w:eastAsia="宋体" w:cs="宋体"/>
          <w:spacing w:val="-7"/>
          <w:position w:val="17"/>
          <w:sz w:val="24"/>
          <w:szCs w:val="24"/>
        </w:rPr>
        <w:t>工程沿线植被以针叶林为主， 另外还包括一般灌木林地、针阔混交林、阔叶</w:t>
      </w:r>
    </w:p>
    <w:p>
      <w:pPr>
        <w:spacing w:before="1" w:line="219" w:lineRule="auto"/>
        <w:ind w:left="39"/>
        <w:rPr>
          <w:rFonts w:ascii="宋体" w:hAnsi="宋体" w:eastAsia="宋体" w:cs="宋体"/>
          <w:sz w:val="24"/>
          <w:szCs w:val="24"/>
        </w:rPr>
      </w:pPr>
      <w:r>
        <w:rPr>
          <w:rFonts w:ascii="宋体" w:hAnsi="宋体" w:eastAsia="宋体" w:cs="宋体"/>
          <w:spacing w:val="-6"/>
          <w:sz w:val="24"/>
          <w:szCs w:val="24"/>
        </w:rPr>
        <w:t>林、毛竹林等。</w:t>
      </w:r>
    </w:p>
    <w:p>
      <w:pPr>
        <w:spacing w:before="181" w:line="359" w:lineRule="auto"/>
        <w:ind w:left="32" w:firstLine="485"/>
        <w:rPr>
          <w:rFonts w:ascii="宋体" w:hAnsi="宋体" w:eastAsia="宋体" w:cs="宋体"/>
          <w:sz w:val="24"/>
          <w:szCs w:val="24"/>
        </w:rPr>
      </w:pPr>
      <w:r>
        <w:rPr>
          <w:rFonts w:ascii="宋体" w:hAnsi="宋体" w:eastAsia="宋体" w:cs="宋体"/>
          <w:spacing w:val="-7"/>
          <w:sz w:val="24"/>
          <w:szCs w:val="24"/>
        </w:rPr>
        <w:t>根据现状样方调查， 评价区内陆生维管束植物共有</w:t>
      </w:r>
      <w:r>
        <w:rPr>
          <w:rFonts w:ascii="宋体" w:hAnsi="宋体" w:eastAsia="宋体" w:cs="宋体"/>
          <w:spacing w:val="-27"/>
          <w:sz w:val="24"/>
          <w:szCs w:val="24"/>
        </w:rPr>
        <w:t xml:space="preserve"> </w:t>
      </w:r>
      <w:r>
        <w:rPr>
          <w:rFonts w:ascii="Times New Roman" w:hAnsi="Times New Roman" w:eastAsia="Times New Roman" w:cs="Times New Roman"/>
          <w:spacing w:val="-7"/>
          <w:sz w:val="24"/>
          <w:szCs w:val="24"/>
        </w:rPr>
        <w:t xml:space="preserve">122 </w:t>
      </w:r>
      <w:r>
        <w:rPr>
          <w:rFonts w:ascii="宋体" w:hAnsi="宋体" w:eastAsia="宋体" w:cs="宋体"/>
          <w:spacing w:val="-7"/>
          <w:sz w:val="24"/>
          <w:szCs w:val="24"/>
        </w:rPr>
        <w:t>科</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 xml:space="preserve">331 </w:t>
      </w:r>
      <w:r>
        <w:rPr>
          <w:rFonts w:ascii="宋体" w:hAnsi="宋体" w:eastAsia="宋体" w:cs="宋体"/>
          <w:spacing w:val="-7"/>
          <w:sz w:val="24"/>
          <w:szCs w:val="24"/>
        </w:rPr>
        <w:t>属</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 xml:space="preserve">511 </w:t>
      </w:r>
      <w:r>
        <w:rPr>
          <w:rFonts w:ascii="宋体" w:hAnsi="宋体" w:eastAsia="宋体" w:cs="宋体"/>
          <w:spacing w:val="-7"/>
          <w:sz w:val="24"/>
          <w:szCs w:val="24"/>
        </w:rPr>
        <w:t>种，包</w:t>
      </w:r>
      <w:r>
        <w:rPr>
          <w:rFonts w:ascii="宋体" w:hAnsi="宋体" w:eastAsia="宋体" w:cs="宋体"/>
          <w:sz w:val="24"/>
          <w:szCs w:val="24"/>
        </w:rPr>
        <w:t xml:space="preserve">  </w:t>
      </w:r>
      <w:r>
        <w:rPr>
          <w:rFonts w:ascii="宋体" w:hAnsi="宋体" w:eastAsia="宋体" w:cs="宋体"/>
          <w:spacing w:val="-5"/>
          <w:sz w:val="24"/>
          <w:szCs w:val="24"/>
        </w:rPr>
        <w:t xml:space="preserve">括蕨类植物 </w:t>
      </w:r>
      <w:r>
        <w:rPr>
          <w:rFonts w:ascii="Times New Roman" w:hAnsi="Times New Roman" w:eastAsia="Times New Roman" w:cs="Times New Roman"/>
          <w:spacing w:val="-5"/>
          <w:sz w:val="24"/>
          <w:szCs w:val="24"/>
        </w:rPr>
        <w:t>19</w:t>
      </w:r>
      <w:r>
        <w:rPr>
          <w:rFonts w:ascii="Times New Roman" w:hAnsi="Times New Roman" w:eastAsia="Times New Roman" w:cs="Times New Roman"/>
          <w:spacing w:val="19"/>
          <w:sz w:val="24"/>
          <w:szCs w:val="24"/>
        </w:rPr>
        <w:t xml:space="preserve"> </w:t>
      </w:r>
      <w:r>
        <w:rPr>
          <w:rFonts w:ascii="宋体" w:hAnsi="宋体" w:eastAsia="宋体" w:cs="宋体"/>
          <w:spacing w:val="-5"/>
          <w:sz w:val="24"/>
          <w:szCs w:val="24"/>
        </w:rPr>
        <w:t>科</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27</w:t>
      </w:r>
      <w:r>
        <w:rPr>
          <w:rFonts w:ascii="Times New Roman" w:hAnsi="Times New Roman" w:eastAsia="Times New Roman" w:cs="Times New Roman"/>
          <w:spacing w:val="18"/>
          <w:w w:val="101"/>
          <w:sz w:val="24"/>
          <w:szCs w:val="24"/>
        </w:rPr>
        <w:t xml:space="preserve"> </w:t>
      </w:r>
      <w:r>
        <w:rPr>
          <w:rFonts w:ascii="宋体" w:hAnsi="宋体" w:eastAsia="宋体" w:cs="宋体"/>
          <w:spacing w:val="-5"/>
          <w:sz w:val="24"/>
          <w:szCs w:val="24"/>
        </w:rPr>
        <w:t>属</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36</w:t>
      </w:r>
      <w:r>
        <w:rPr>
          <w:rFonts w:ascii="Times New Roman" w:hAnsi="Times New Roman" w:eastAsia="Times New Roman" w:cs="Times New Roman"/>
          <w:spacing w:val="19"/>
          <w:sz w:val="24"/>
          <w:szCs w:val="24"/>
        </w:rPr>
        <w:t xml:space="preserve"> </w:t>
      </w:r>
      <w:r>
        <w:rPr>
          <w:rFonts w:ascii="宋体" w:hAnsi="宋体" w:eastAsia="宋体" w:cs="宋体"/>
          <w:spacing w:val="-5"/>
          <w:sz w:val="24"/>
          <w:szCs w:val="24"/>
        </w:rPr>
        <w:t>种、裸子植物</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16"/>
          <w:w w:val="101"/>
          <w:sz w:val="24"/>
          <w:szCs w:val="24"/>
        </w:rPr>
        <w:t xml:space="preserve"> </w:t>
      </w:r>
      <w:r>
        <w:rPr>
          <w:rFonts w:ascii="宋体" w:hAnsi="宋体" w:eastAsia="宋体" w:cs="宋体"/>
          <w:spacing w:val="-5"/>
          <w:sz w:val="24"/>
          <w:szCs w:val="24"/>
        </w:rPr>
        <w:t>科</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21"/>
          <w:sz w:val="24"/>
          <w:szCs w:val="24"/>
        </w:rPr>
        <w:t xml:space="preserve"> </w:t>
      </w:r>
      <w:r>
        <w:rPr>
          <w:rFonts w:ascii="宋体" w:hAnsi="宋体" w:eastAsia="宋体" w:cs="宋体"/>
          <w:spacing w:val="-5"/>
          <w:sz w:val="24"/>
          <w:szCs w:val="24"/>
        </w:rPr>
        <w:t>属</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19"/>
          <w:sz w:val="24"/>
          <w:szCs w:val="24"/>
        </w:rPr>
        <w:t xml:space="preserve"> </w:t>
      </w:r>
      <w:r>
        <w:rPr>
          <w:rFonts w:ascii="宋体" w:hAnsi="宋体" w:eastAsia="宋体" w:cs="宋体"/>
          <w:spacing w:val="-5"/>
          <w:sz w:val="24"/>
          <w:szCs w:val="24"/>
        </w:rPr>
        <w:t>种、被子植物</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6"/>
          <w:sz w:val="24"/>
          <w:szCs w:val="24"/>
        </w:rPr>
        <w:t>9</w:t>
      </w:r>
      <w:r>
        <w:rPr>
          <w:rFonts w:ascii="Times New Roman" w:hAnsi="Times New Roman" w:eastAsia="Times New Roman" w:cs="Times New Roman"/>
          <w:spacing w:val="19"/>
          <w:sz w:val="24"/>
          <w:szCs w:val="24"/>
        </w:rPr>
        <w:t xml:space="preserve"> </w:t>
      </w:r>
      <w:r>
        <w:rPr>
          <w:rFonts w:ascii="宋体" w:hAnsi="宋体" w:eastAsia="宋体" w:cs="宋体"/>
          <w:spacing w:val="-6"/>
          <w:sz w:val="24"/>
          <w:szCs w:val="24"/>
        </w:rPr>
        <w:t>科</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296</w:t>
      </w:r>
      <w:r>
        <w:rPr>
          <w:rFonts w:ascii="Times New Roman" w:hAnsi="Times New Roman" w:eastAsia="Times New Roman" w:cs="Times New Roman"/>
          <w:spacing w:val="21"/>
          <w:w w:val="101"/>
          <w:sz w:val="24"/>
          <w:szCs w:val="24"/>
        </w:rPr>
        <w:t xml:space="preserve"> </w:t>
      </w:r>
      <w:r>
        <w:rPr>
          <w:rFonts w:ascii="宋体" w:hAnsi="宋体" w:eastAsia="宋体" w:cs="宋体"/>
          <w:spacing w:val="-6"/>
          <w:sz w:val="24"/>
          <w:szCs w:val="24"/>
        </w:rPr>
        <w:t>属</w:t>
      </w:r>
      <w:r>
        <w:rPr>
          <w:rFonts w:ascii="宋体" w:hAnsi="宋体" w:eastAsia="宋体" w:cs="宋体"/>
          <w:sz w:val="24"/>
          <w:szCs w:val="24"/>
        </w:rPr>
        <w:t xml:space="preserve">  </w:t>
      </w:r>
      <w:r>
        <w:rPr>
          <w:rFonts w:ascii="Times New Roman" w:hAnsi="Times New Roman" w:eastAsia="Times New Roman" w:cs="Times New Roman"/>
          <w:spacing w:val="-10"/>
          <w:sz w:val="24"/>
          <w:szCs w:val="24"/>
        </w:rPr>
        <w:t xml:space="preserve">466 </w:t>
      </w:r>
      <w:r>
        <w:rPr>
          <w:rFonts w:ascii="宋体" w:hAnsi="宋体" w:eastAsia="宋体" w:cs="宋体"/>
          <w:spacing w:val="-10"/>
          <w:sz w:val="24"/>
          <w:szCs w:val="24"/>
        </w:rPr>
        <w:t>种。评价区范围内发现野大豆（</w:t>
      </w:r>
      <w:r>
        <w:rPr>
          <w:rFonts w:ascii="Times New Roman" w:hAnsi="Times New Roman" w:eastAsia="Times New Roman" w:cs="Times New Roman"/>
          <w:i/>
          <w:iCs/>
          <w:spacing w:val="-10"/>
          <w:sz w:val="24"/>
          <w:szCs w:val="24"/>
        </w:rPr>
        <w:t>Glycine soja</w:t>
      </w:r>
      <w:r>
        <w:rPr>
          <w:rFonts w:ascii="宋体" w:hAnsi="宋体" w:eastAsia="宋体" w:cs="宋体"/>
          <w:spacing w:val="-10"/>
          <w:sz w:val="24"/>
          <w:szCs w:val="24"/>
        </w:rPr>
        <w:t>）、中华猕猴桃（</w:t>
      </w:r>
      <w:r>
        <w:rPr>
          <w:rFonts w:ascii="Times New Roman" w:hAnsi="Times New Roman" w:eastAsia="Times New Roman" w:cs="Times New Roman"/>
          <w:i/>
          <w:iCs/>
          <w:spacing w:val="-10"/>
          <w:sz w:val="24"/>
          <w:szCs w:val="24"/>
        </w:rPr>
        <w:t>Actinidia chinensis</w:t>
      </w:r>
      <w:r>
        <w:rPr>
          <w:rFonts w:ascii="宋体" w:hAnsi="宋体" w:eastAsia="宋体" w:cs="宋体"/>
          <w:spacing w:val="-10"/>
          <w:sz w:val="24"/>
          <w:szCs w:val="24"/>
        </w:rPr>
        <w:t>）</w:t>
      </w:r>
      <w:r>
        <w:rPr>
          <w:rFonts w:ascii="宋体" w:hAnsi="宋体" w:eastAsia="宋体" w:cs="宋体"/>
          <w:spacing w:val="10"/>
          <w:sz w:val="24"/>
          <w:szCs w:val="24"/>
        </w:rPr>
        <w:t xml:space="preserve"> </w:t>
      </w:r>
      <w:r>
        <w:rPr>
          <w:rFonts w:ascii="宋体" w:hAnsi="宋体" w:eastAsia="宋体" w:cs="宋体"/>
          <w:spacing w:val="-8"/>
          <w:sz w:val="24"/>
          <w:szCs w:val="24"/>
        </w:rPr>
        <w:t>两种国家二级保护植物，</w:t>
      </w:r>
      <w:r>
        <w:rPr>
          <w:rFonts w:ascii="宋体" w:hAnsi="宋体" w:eastAsia="宋体" w:cs="宋体"/>
          <w:spacing w:val="63"/>
          <w:sz w:val="24"/>
          <w:szCs w:val="24"/>
        </w:rPr>
        <w:t xml:space="preserve"> </w:t>
      </w:r>
      <w:r>
        <w:rPr>
          <w:rFonts w:ascii="宋体" w:hAnsi="宋体" w:eastAsia="宋体" w:cs="宋体"/>
          <w:spacing w:val="-8"/>
          <w:sz w:val="24"/>
          <w:szCs w:val="24"/>
        </w:rPr>
        <w:t>杨桐（</w:t>
      </w:r>
      <w:r>
        <w:rPr>
          <w:rFonts w:ascii="Times New Roman" w:hAnsi="Times New Roman" w:eastAsia="Times New Roman" w:cs="Times New Roman"/>
          <w:i/>
          <w:iCs/>
          <w:spacing w:val="-8"/>
          <w:sz w:val="24"/>
          <w:szCs w:val="24"/>
        </w:rPr>
        <w:t>Adinandra millettii</w:t>
      </w:r>
      <w:r>
        <w:rPr>
          <w:rFonts w:ascii="宋体" w:hAnsi="宋体" w:eastAsia="宋体" w:cs="宋体"/>
          <w:spacing w:val="-8"/>
          <w:sz w:val="24"/>
          <w:szCs w:val="24"/>
        </w:rPr>
        <w:t>）一种省级保护植物</w:t>
      </w:r>
      <w:r>
        <w:rPr>
          <w:rFonts w:ascii="宋体" w:hAnsi="宋体" w:eastAsia="宋体" w:cs="宋体"/>
          <w:spacing w:val="-9"/>
          <w:sz w:val="24"/>
          <w:szCs w:val="24"/>
        </w:rPr>
        <w:t>，</w:t>
      </w:r>
      <w:r>
        <w:rPr>
          <w:rFonts w:ascii="宋体" w:hAnsi="宋体" w:eastAsia="宋体" w:cs="宋体"/>
          <w:spacing w:val="61"/>
          <w:sz w:val="24"/>
          <w:szCs w:val="24"/>
        </w:rPr>
        <w:t xml:space="preserve"> </w:t>
      </w:r>
      <w:r>
        <w:rPr>
          <w:rFonts w:ascii="宋体" w:hAnsi="宋体" w:eastAsia="宋体" w:cs="宋体"/>
          <w:spacing w:val="-9"/>
          <w:sz w:val="24"/>
          <w:szCs w:val="24"/>
        </w:rPr>
        <w:t>其中中</w:t>
      </w:r>
    </w:p>
    <w:p>
      <w:pPr>
        <w:spacing w:line="219" w:lineRule="auto"/>
        <w:ind w:left="39"/>
        <w:rPr>
          <w:rFonts w:ascii="宋体" w:hAnsi="宋体" w:eastAsia="宋体" w:cs="宋体"/>
          <w:sz w:val="24"/>
          <w:szCs w:val="24"/>
        </w:rPr>
      </w:pPr>
      <w:r>
        <w:rPr>
          <w:rFonts w:ascii="宋体" w:hAnsi="宋体" w:eastAsia="宋体" w:cs="宋体"/>
          <w:spacing w:val="-17"/>
          <w:sz w:val="24"/>
          <w:szCs w:val="24"/>
        </w:rPr>
        <w:t>华猕猴桃为特有种。</w:t>
      </w:r>
      <w:r>
        <w:rPr>
          <w:rFonts w:ascii="宋体" w:hAnsi="宋体" w:eastAsia="宋体" w:cs="宋体"/>
          <w:spacing w:val="39"/>
          <w:sz w:val="24"/>
          <w:szCs w:val="24"/>
        </w:rPr>
        <w:t xml:space="preserve"> </w:t>
      </w:r>
      <w:r>
        <w:rPr>
          <w:rFonts w:ascii="宋体" w:hAnsi="宋体" w:eastAsia="宋体" w:cs="宋体"/>
          <w:spacing w:val="-17"/>
          <w:sz w:val="24"/>
          <w:szCs w:val="24"/>
        </w:rPr>
        <w:t>。</w:t>
      </w:r>
    </w:p>
    <w:p>
      <w:pPr>
        <w:spacing w:before="184" w:line="220" w:lineRule="auto"/>
        <w:ind w:left="52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）动物</w:t>
      </w:r>
    </w:p>
    <w:p>
      <w:pPr>
        <w:spacing w:before="180" w:line="313" w:lineRule="auto"/>
        <w:ind w:left="32" w:right="104" w:firstLine="485"/>
        <w:rPr>
          <w:rFonts w:ascii="Times New Roman" w:hAnsi="Times New Roman" w:eastAsia="Times New Roman" w:cs="Times New Roman"/>
          <w:sz w:val="24"/>
          <w:szCs w:val="24"/>
        </w:rPr>
      </w:pPr>
      <w:r>
        <w:rPr>
          <w:rFonts w:hint="eastAsia" w:ascii="宋体" w:hAnsi="宋体" w:eastAsia="宋体" w:cs="宋体"/>
          <w:spacing w:val="-6"/>
          <w:sz w:val="24"/>
          <w:szCs w:val="24"/>
          <w:lang w:eastAsia="zh-CN"/>
        </w:rPr>
        <w:t>根据</w:t>
      </w:r>
      <w:r>
        <w:rPr>
          <w:rFonts w:ascii="宋体" w:hAnsi="宋体" w:eastAsia="宋体" w:cs="宋体"/>
          <w:spacing w:val="-6"/>
          <w:sz w:val="24"/>
          <w:szCs w:val="24"/>
        </w:rPr>
        <w:t>实地考察及对相关资料进行综合分析，</w:t>
      </w:r>
      <w:r>
        <w:rPr>
          <w:rFonts w:ascii="宋体" w:hAnsi="宋体" w:eastAsia="宋体" w:cs="宋体"/>
          <w:spacing w:val="-26"/>
          <w:sz w:val="24"/>
          <w:szCs w:val="24"/>
        </w:rPr>
        <w:t xml:space="preserve"> </w:t>
      </w:r>
      <w:r>
        <w:rPr>
          <w:rFonts w:ascii="宋体" w:hAnsi="宋体" w:eastAsia="宋体" w:cs="宋体"/>
          <w:spacing w:val="-6"/>
          <w:sz w:val="24"/>
          <w:szCs w:val="24"/>
        </w:rPr>
        <w:t>评价区内共有陆生脊椎动物</w:t>
      </w:r>
      <w:r>
        <w:rPr>
          <w:rFonts w:ascii="宋体" w:hAnsi="宋体" w:eastAsia="宋体" w:cs="宋体"/>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 xml:space="preserve">纲 </w:t>
      </w:r>
      <w:r>
        <w:rPr>
          <w:rFonts w:ascii="Times New Roman" w:hAnsi="Times New Roman" w:eastAsia="Times New Roman" w:cs="Times New Roman"/>
          <w:spacing w:val="2"/>
          <w:sz w:val="24"/>
          <w:szCs w:val="24"/>
        </w:rPr>
        <w:t xml:space="preserve">22   </w:t>
      </w:r>
      <w:r>
        <w:rPr>
          <w:rFonts w:ascii="宋体" w:hAnsi="宋体" w:eastAsia="宋体" w:cs="宋体"/>
          <w:spacing w:val="2"/>
          <w:sz w:val="24"/>
          <w:szCs w:val="24"/>
        </w:rPr>
        <w:t xml:space="preserve">目 </w:t>
      </w:r>
      <w:r>
        <w:rPr>
          <w:rFonts w:ascii="Times New Roman" w:hAnsi="Times New Roman" w:eastAsia="Times New Roman" w:cs="Times New Roman"/>
          <w:spacing w:val="2"/>
          <w:sz w:val="24"/>
          <w:szCs w:val="24"/>
        </w:rPr>
        <w:t>60</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科</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128</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种；国家</w:t>
      </w:r>
      <w:r>
        <w:rPr>
          <w:rFonts w:ascii="Times New Roman" w:hAnsi="Times New Roman" w:eastAsia="Times New Roman" w:cs="Times New Roman"/>
          <w:spacing w:val="2"/>
          <w:sz w:val="24"/>
          <w:szCs w:val="24"/>
        </w:rPr>
        <w:t>Ⅱ</w:t>
      </w:r>
      <w:r>
        <w:rPr>
          <w:rFonts w:ascii="宋体" w:hAnsi="宋体" w:eastAsia="宋体" w:cs="宋体"/>
          <w:spacing w:val="2"/>
          <w:sz w:val="24"/>
          <w:szCs w:val="24"/>
        </w:rPr>
        <w:t>级重点保护</w:t>
      </w:r>
      <w:r>
        <w:rPr>
          <w:rFonts w:ascii="宋体" w:hAnsi="宋体" w:eastAsia="宋体" w:cs="宋体"/>
          <w:spacing w:val="1"/>
          <w:sz w:val="24"/>
          <w:szCs w:val="24"/>
        </w:rPr>
        <w:t>野生动物</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9"/>
          <w:sz w:val="24"/>
          <w:szCs w:val="24"/>
        </w:rPr>
        <w:t xml:space="preserve">  </w:t>
      </w:r>
      <w:r>
        <w:rPr>
          <w:rFonts w:ascii="宋体" w:hAnsi="宋体" w:eastAsia="宋体" w:cs="宋体"/>
          <w:spacing w:val="1"/>
          <w:sz w:val="24"/>
          <w:szCs w:val="24"/>
        </w:rPr>
        <w:t xml:space="preserve">种（白鹇 </w:t>
      </w:r>
      <w:r>
        <w:rPr>
          <w:rFonts w:ascii="Times New Roman" w:hAnsi="Times New Roman" w:eastAsia="Times New Roman" w:cs="Times New Roman"/>
          <w:i/>
          <w:iCs/>
          <w:sz w:val="24"/>
          <w:szCs w:val="24"/>
        </w:rPr>
        <w:t xml:space="preserve">Lophura </w:t>
      </w:r>
      <w:r>
        <w:rPr>
          <w:rFonts w:ascii="Times New Roman" w:hAnsi="Times New Roman" w:eastAsia="Times New Roman" w:cs="Times New Roman"/>
          <w:i/>
          <w:iCs/>
          <w:spacing w:val="-2"/>
          <w:sz w:val="24"/>
          <w:szCs w:val="24"/>
        </w:rPr>
        <w:t>nycthemera</w:t>
      </w:r>
      <w:r>
        <w:rPr>
          <w:rFonts w:ascii="微软雅黑" w:hAnsi="微软雅黑" w:eastAsia="微软雅黑" w:cs="微软雅黑"/>
          <w:spacing w:val="-2"/>
          <w:sz w:val="24"/>
          <w:szCs w:val="24"/>
        </w:rPr>
        <w:t>）</w:t>
      </w:r>
      <w:r>
        <w:rPr>
          <w:rFonts w:ascii="微软雅黑" w:hAnsi="微软雅黑" w:eastAsia="微软雅黑" w:cs="微软雅黑"/>
          <w:spacing w:val="-19"/>
          <w:sz w:val="24"/>
          <w:szCs w:val="24"/>
        </w:rPr>
        <w:t xml:space="preserve"> </w:t>
      </w:r>
      <w:r>
        <w:rPr>
          <w:rFonts w:ascii="宋体" w:hAnsi="宋体" w:eastAsia="宋体" w:cs="宋体"/>
          <w:spacing w:val="-2"/>
          <w:sz w:val="24"/>
          <w:szCs w:val="24"/>
        </w:rPr>
        <w:t>、赤腹鹰</w:t>
      </w:r>
      <w:r>
        <w:rPr>
          <w:rFonts w:ascii="微软雅黑" w:hAnsi="微软雅黑" w:eastAsia="微软雅黑" w:cs="微软雅黑"/>
          <w:spacing w:val="-2"/>
          <w:sz w:val="24"/>
          <w:szCs w:val="24"/>
        </w:rPr>
        <w:t>（</w:t>
      </w:r>
      <w:r>
        <w:rPr>
          <w:rFonts w:ascii="Times New Roman" w:hAnsi="Times New Roman" w:eastAsia="Times New Roman" w:cs="Times New Roman"/>
          <w:i/>
          <w:iCs/>
          <w:spacing w:val="-2"/>
          <w:sz w:val="24"/>
          <w:szCs w:val="24"/>
        </w:rPr>
        <w:t>Accipiter</w:t>
      </w:r>
      <w:r>
        <w:rPr>
          <w:rFonts w:ascii="Times New Roman" w:hAnsi="Times New Roman" w:eastAsia="Times New Roman" w:cs="Times New Roman"/>
          <w:i/>
          <w:iCs/>
          <w:spacing w:val="20"/>
          <w:w w:val="101"/>
          <w:sz w:val="24"/>
          <w:szCs w:val="24"/>
        </w:rPr>
        <w:t xml:space="preserve"> </w:t>
      </w:r>
      <w:r>
        <w:rPr>
          <w:rFonts w:ascii="Times New Roman" w:hAnsi="Times New Roman" w:eastAsia="Times New Roman" w:cs="Times New Roman"/>
          <w:i/>
          <w:iCs/>
          <w:spacing w:val="-2"/>
          <w:sz w:val="24"/>
          <w:szCs w:val="24"/>
        </w:rPr>
        <w:t>soloensis</w:t>
      </w:r>
      <w:r>
        <w:rPr>
          <w:rFonts w:ascii="微软雅黑" w:hAnsi="微软雅黑" w:eastAsia="微软雅黑" w:cs="微软雅黑"/>
          <w:spacing w:val="-2"/>
          <w:sz w:val="24"/>
          <w:szCs w:val="24"/>
        </w:rPr>
        <w:t>）</w:t>
      </w:r>
      <w:r>
        <w:rPr>
          <w:rFonts w:ascii="微软雅黑" w:hAnsi="微软雅黑" w:eastAsia="微软雅黑" w:cs="微软雅黑"/>
          <w:spacing w:val="-35"/>
          <w:sz w:val="24"/>
          <w:szCs w:val="24"/>
        </w:rPr>
        <w:t xml:space="preserve"> </w:t>
      </w:r>
      <w:r>
        <w:rPr>
          <w:rFonts w:ascii="宋体" w:hAnsi="宋体" w:eastAsia="宋体" w:cs="宋体"/>
          <w:spacing w:val="-2"/>
          <w:sz w:val="24"/>
          <w:szCs w:val="24"/>
        </w:rPr>
        <w:t>、凤头鹰</w:t>
      </w:r>
      <w:r>
        <w:rPr>
          <w:rFonts w:ascii="微软雅黑" w:hAnsi="微软雅黑" w:eastAsia="微软雅黑" w:cs="微软雅黑"/>
          <w:spacing w:val="-2"/>
          <w:sz w:val="24"/>
          <w:szCs w:val="24"/>
        </w:rPr>
        <w:t>（</w:t>
      </w:r>
      <w:r>
        <w:rPr>
          <w:rFonts w:ascii="Times New Roman" w:hAnsi="Times New Roman" w:eastAsia="Times New Roman" w:cs="Times New Roman"/>
          <w:i/>
          <w:iCs/>
          <w:spacing w:val="-2"/>
          <w:sz w:val="24"/>
          <w:szCs w:val="24"/>
        </w:rPr>
        <w:t>Accipiter</w:t>
      </w:r>
      <w:r>
        <w:rPr>
          <w:rFonts w:ascii="Times New Roman" w:hAnsi="Times New Roman" w:eastAsia="Times New Roman" w:cs="Times New Roman"/>
          <w:i/>
          <w:iCs/>
          <w:spacing w:val="32"/>
          <w:sz w:val="24"/>
          <w:szCs w:val="24"/>
        </w:rPr>
        <w:t xml:space="preserve"> </w:t>
      </w:r>
      <w:r>
        <w:rPr>
          <w:rFonts w:ascii="Times New Roman" w:hAnsi="Times New Roman" w:eastAsia="Times New Roman" w:cs="Times New Roman"/>
          <w:i/>
          <w:iCs/>
          <w:spacing w:val="-2"/>
          <w:sz w:val="24"/>
          <w:szCs w:val="24"/>
        </w:rPr>
        <w:t>trivirgatus</w:t>
      </w:r>
      <w:r>
        <w:rPr>
          <w:rFonts w:ascii="微软雅黑" w:hAnsi="微软雅黑" w:eastAsia="微软雅黑" w:cs="微软雅黑"/>
          <w:spacing w:val="-2"/>
          <w:sz w:val="24"/>
          <w:szCs w:val="24"/>
        </w:rPr>
        <w:t>）</w:t>
      </w:r>
      <w:r>
        <w:rPr>
          <w:rFonts w:ascii="微软雅黑" w:hAnsi="微软雅黑" w:eastAsia="微软雅黑" w:cs="微软雅黑"/>
          <w:spacing w:val="-35"/>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6"/>
          <w:sz w:val="24"/>
          <w:szCs w:val="24"/>
        </w:rPr>
        <w:t>黑冠鹃隼</w:t>
      </w:r>
      <w:r>
        <w:rPr>
          <w:rFonts w:ascii="微软雅黑" w:hAnsi="微软雅黑" w:eastAsia="微软雅黑" w:cs="微软雅黑"/>
          <w:spacing w:val="-6"/>
          <w:sz w:val="24"/>
          <w:szCs w:val="24"/>
        </w:rPr>
        <w:t>（</w:t>
      </w:r>
      <w:r>
        <w:rPr>
          <w:rFonts w:ascii="Times New Roman" w:hAnsi="Times New Roman" w:eastAsia="Times New Roman" w:cs="Times New Roman"/>
          <w:i/>
          <w:iCs/>
          <w:spacing w:val="-6"/>
          <w:sz w:val="24"/>
          <w:szCs w:val="24"/>
        </w:rPr>
        <w:t>Avicedaleuphotes</w:t>
      </w:r>
      <w:r>
        <w:rPr>
          <w:rFonts w:ascii="微软雅黑" w:hAnsi="微软雅黑" w:eastAsia="微软雅黑" w:cs="微软雅黑"/>
          <w:spacing w:val="-6"/>
          <w:sz w:val="24"/>
          <w:szCs w:val="24"/>
        </w:rPr>
        <w:t>）</w:t>
      </w:r>
      <w:r>
        <w:rPr>
          <w:rFonts w:ascii="宋体" w:hAnsi="宋体" w:eastAsia="宋体" w:cs="宋体"/>
          <w:spacing w:val="-6"/>
          <w:sz w:val="24"/>
          <w:szCs w:val="24"/>
        </w:rPr>
        <w:t>、林雕</w:t>
      </w:r>
      <w:r>
        <w:rPr>
          <w:rFonts w:ascii="微软雅黑" w:hAnsi="微软雅黑" w:eastAsia="微软雅黑" w:cs="微软雅黑"/>
          <w:spacing w:val="-6"/>
          <w:sz w:val="24"/>
          <w:szCs w:val="24"/>
        </w:rPr>
        <w:t>（</w:t>
      </w:r>
      <w:r>
        <w:rPr>
          <w:rFonts w:ascii="Times New Roman" w:hAnsi="Times New Roman" w:eastAsia="Times New Roman" w:cs="Times New Roman"/>
          <w:i/>
          <w:iCs/>
          <w:spacing w:val="-6"/>
          <w:sz w:val="24"/>
          <w:szCs w:val="24"/>
        </w:rPr>
        <w:t>Ictinaetus malaiens</w:t>
      </w:r>
      <w:r>
        <w:rPr>
          <w:rFonts w:ascii="Times New Roman" w:hAnsi="Times New Roman" w:eastAsia="Times New Roman" w:cs="Times New Roman"/>
          <w:i/>
          <w:iCs/>
          <w:spacing w:val="-7"/>
          <w:sz w:val="24"/>
          <w:szCs w:val="24"/>
        </w:rPr>
        <w:t>is</w:t>
      </w:r>
      <w:r>
        <w:rPr>
          <w:rFonts w:ascii="微软雅黑" w:hAnsi="微软雅黑" w:eastAsia="微软雅黑" w:cs="微软雅黑"/>
          <w:spacing w:val="-7"/>
          <w:sz w:val="24"/>
          <w:szCs w:val="24"/>
        </w:rPr>
        <w:t>）</w:t>
      </w:r>
      <w:r>
        <w:rPr>
          <w:rFonts w:ascii="宋体" w:hAnsi="宋体" w:eastAsia="宋体" w:cs="宋体"/>
          <w:spacing w:val="-7"/>
          <w:sz w:val="24"/>
          <w:szCs w:val="24"/>
        </w:rPr>
        <w:t>、领鸺鹠</w:t>
      </w:r>
      <w:r>
        <w:rPr>
          <w:rFonts w:ascii="微软雅黑" w:hAnsi="微软雅黑" w:eastAsia="微软雅黑" w:cs="微软雅黑"/>
          <w:spacing w:val="-7"/>
          <w:sz w:val="24"/>
          <w:szCs w:val="24"/>
        </w:rPr>
        <w:t>（</w:t>
      </w:r>
      <w:r>
        <w:rPr>
          <w:rFonts w:ascii="Times New Roman" w:hAnsi="Times New Roman" w:eastAsia="Times New Roman" w:cs="Times New Roman"/>
          <w:i/>
          <w:iCs/>
          <w:spacing w:val="-7"/>
          <w:sz w:val="24"/>
          <w:szCs w:val="24"/>
        </w:rPr>
        <w:t>Glaucidium</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7"/>
          <w:sz w:val="24"/>
          <w:szCs w:val="24"/>
        </w:rPr>
        <w:t>brodiei</w:t>
      </w:r>
      <w:r>
        <w:rPr>
          <w:rFonts w:ascii="微软雅黑" w:hAnsi="微软雅黑" w:eastAsia="微软雅黑" w:cs="微软雅黑"/>
          <w:spacing w:val="-7"/>
          <w:sz w:val="24"/>
          <w:szCs w:val="24"/>
        </w:rPr>
        <w:t>）</w:t>
      </w:r>
      <w:r>
        <w:rPr>
          <w:rFonts w:ascii="宋体" w:hAnsi="宋体" w:eastAsia="宋体" w:cs="宋体"/>
          <w:spacing w:val="-7"/>
          <w:sz w:val="24"/>
          <w:szCs w:val="24"/>
        </w:rPr>
        <w:t>、红隼</w:t>
      </w:r>
      <w:r>
        <w:rPr>
          <w:rFonts w:ascii="微软雅黑" w:hAnsi="微软雅黑" w:eastAsia="微软雅黑" w:cs="微软雅黑"/>
          <w:spacing w:val="-7"/>
          <w:sz w:val="24"/>
          <w:szCs w:val="24"/>
        </w:rPr>
        <w:t>（</w:t>
      </w:r>
      <w:r>
        <w:rPr>
          <w:rFonts w:ascii="Times New Roman" w:hAnsi="Times New Roman" w:eastAsia="Times New Roman" w:cs="Times New Roman"/>
          <w:i/>
          <w:iCs/>
          <w:spacing w:val="-7"/>
          <w:sz w:val="24"/>
          <w:szCs w:val="24"/>
        </w:rPr>
        <w:t>Falco tinnun</w:t>
      </w:r>
      <w:r>
        <w:rPr>
          <w:rFonts w:ascii="Times New Roman" w:hAnsi="Times New Roman" w:eastAsia="Times New Roman" w:cs="Times New Roman"/>
          <w:i/>
          <w:iCs/>
          <w:spacing w:val="-8"/>
          <w:sz w:val="24"/>
          <w:szCs w:val="24"/>
        </w:rPr>
        <w:t>culus</w:t>
      </w:r>
      <w:r>
        <w:rPr>
          <w:rFonts w:ascii="微软雅黑" w:hAnsi="微软雅黑" w:eastAsia="微软雅黑" w:cs="微软雅黑"/>
          <w:spacing w:val="-8"/>
          <w:sz w:val="24"/>
          <w:szCs w:val="24"/>
        </w:rPr>
        <w:t>）</w:t>
      </w:r>
      <w:r>
        <w:rPr>
          <w:rFonts w:ascii="宋体" w:hAnsi="宋体" w:eastAsia="宋体" w:cs="宋体"/>
          <w:spacing w:val="-8"/>
          <w:sz w:val="24"/>
          <w:szCs w:val="24"/>
        </w:rPr>
        <w:t>、画眉</w:t>
      </w:r>
      <w:r>
        <w:rPr>
          <w:rFonts w:ascii="微软雅黑" w:hAnsi="微软雅黑" w:eastAsia="微软雅黑" w:cs="微软雅黑"/>
          <w:spacing w:val="-8"/>
          <w:sz w:val="24"/>
          <w:szCs w:val="24"/>
        </w:rPr>
        <w:t>（</w:t>
      </w:r>
      <w:r>
        <w:rPr>
          <w:rFonts w:ascii="Times New Roman" w:hAnsi="Times New Roman" w:eastAsia="Times New Roman" w:cs="Times New Roman"/>
          <w:i/>
          <w:iCs/>
          <w:spacing w:val="-8"/>
          <w:sz w:val="24"/>
          <w:szCs w:val="24"/>
        </w:rPr>
        <w:t>Garrulax canorus</w:t>
      </w:r>
      <w:r>
        <w:rPr>
          <w:rFonts w:ascii="微软雅黑" w:hAnsi="微软雅黑" w:eastAsia="微软雅黑" w:cs="微软雅黑"/>
          <w:spacing w:val="-8"/>
          <w:sz w:val="24"/>
          <w:szCs w:val="24"/>
        </w:rPr>
        <w:t>）</w:t>
      </w:r>
      <w:r>
        <w:rPr>
          <w:rFonts w:ascii="宋体" w:hAnsi="宋体" w:eastAsia="宋体" w:cs="宋体"/>
          <w:spacing w:val="-8"/>
          <w:sz w:val="24"/>
          <w:szCs w:val="24"/>
        </w:rPr>
        <w:t>、短尾猴</w:t>
      </w:r>
      <w:r>
        <w:rPr>
          <w:rFonts w:ascii="微软雅黑" w:hAnsi="微软雅黑" w:eastAsia="微软雅黑" w:cs="微软雅黑"/>
          <w:spacing w:val="-8"/>
          <w:sz w:val="24"/>
          <w:szCs w:val="24"/>
        </w:rPr>
        <w:t>（</w:t>
      </w:r>
      <w:r>
        <w:rPr>
          <w:rFonts w:ascii="Times New Roman" w:hAnsi="Times New Roman" w:eastAsia="Times New Roman" w:cs="Times New Roman"/>
          <w:i/>
          <w:iCs/>
          <w:spacing w:val="-8"/>
          <w:sz w:val="24"/>
          <w:szCs w:val="24"/>
        </w:rPr>
        <w:t>Macaca</w:t>
      </w:r>
    </w:p>
    <w:p>
      <w:pPr>
        <w:spacing w:before="1" w:line="233" w:lineRule="auto"/>
        <w:ind w:left="34"/>
        <w:rPr>
          <w:rFonts w:ascii="宋体" w:hAnsi="宋体" w:eastAsia="宋体" w:cs="宋体"/>
          <w:sz w:val="24"/>
          <w:szCs w:val="24"/>
        </w:rPr>
      </w:pPr>
      <w:r>
        <w:rPr>
          <w:rFonts w:ascii="Times New Roman" w:hAnsi="Times New Roman" w:eastAsia="Times New Roman" w:cs="Times New Roman"/>
          <w:i/>
          <w:iCs/>
          <w:spacing w:val="-3"/>
          <w:sz w:val="24"/>
          <w:szCs w:val="24"/>
        </w:rPr>
        <w:t>arctoides</w:t>
      </w:r>
      <w:r>
        <w:rPr>
          <w:rFonts w:ascii="宋体" w:hAnsi="宋体" w:eastAsia="宋体" w:cs="宋体"/>
          <w:spacing w:val="13"/>
          <w:sz w:val="24"/>
          <w:szCs w:val="24"/>
        </w:rPr>
        <w:t>），</w:t>
      </w:r>
      <w:r>
        <w:rPr>
          <w:rFonts w:ascii="宋体" w:hAnsi="宋体" w:eastAsia="宋体" w:cs="宋体"/>
          <w:spacing w:val="-3"/>
          <w:sz w:val="24"/>
          <w:szCs w:val="24"/>
        </w:rPr>
        <w:t xml:space="preserve">浙江省级重点保护野生动物 </w:t>
      </w:r>
      <w:r>
        <w:rPr>
          <w:rFonts w:ascii="Times New Roman" w:hAnsi="Times New Roman" w:eastAsia="Times New Roman" w:cs="Times New Roman"/>
          <w:spacing w:val="-3"/>
          <w:sz w:val="24"/>
          <w:szCs w:val="24"/>
        </w:rPr>
        <w:t xml:space="preserve">15 </w:t>
      </w:r>
      <w:r>
        <w:rPr>
          <w:rFonts w:ascii="宋体" w:hAnsi="宋体" w:eastAsia="宋体" w:cs="宋体"/>
          <w:spacing w:val="-3"/>
          <w:sz w:val="24"/>
          <w:szCs w:val="24"/>
        </w:rPr>
        <w:t>种，中国</w:t>
      </w:r>
      <w:r>
        <w:rPr>
          <w:rFonts w:ascii="宋体" w:hAnsi="宋体" w:eastAsia="宋体" w:cs="宋体"/>
          <w:spacing w:val="-4"/>
          <w:sz w:val="24"/>
          <w:szCs w:val="24"/>
        </w:rPr>
        <w:t>特有种</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6 </w:t>
      </w:r>
      <w:r>
        <w:rPr>
          <w:rFonts w:ascii="宋体" w:hAnsi="宋体" w:eastAsia="宋体" w:cs="宋体"/>
          <w:spacing w:val="-4"/>
          <w:sz w:val="24"/>
          <w:szCs w:val="24"/>
        </w:rPr>
        <w:t>种。</w:t>
      </w:r>
    </w:p>
    <w:p>
      <w:pPr>
        <w:spacing w:before="164"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）水生生物</w:t>
      </w:r>
    </w:p>
    <w:p>
      <w:pPr>
        <w:spacing w:line="220" w:lineRule="auto"/>
        <w:rPr>
          <w:rFonts w:ascii="宋体" w:hAnsi="宋体" w:eastAsia="宋体" w:cs="宋体"/>
          <w:sz w:val="24"/>
          <w:szCs w:val="24"/>
        </w:rPr>
        <w:sectPr>
          <w:headerReference r:id="rId376" w:type="default"/>
          <w:footerReference r:id="rId377" w:type="default"/>
          <w:pgSz w:w="11907" w:h="16839"/>
          <w:pgMar w:top="1118" w:right="1691" w:bottom="1177" w:left="1771" w:header="879" w:footer="968" w:gutter="0"/>
          <w:cols w:space="720" w:num="1"/>
        </w:sectPr>
      </w:pPr>
    </w:p>
    <w:p>
      <w:pPr>
        <w:pStyle w:val="2"/>
        <w:spacing w:line="277" w:lineRule="auto"/>
      </w:pPr>
    </w:p>
    <w:p>
      <w:pPr>
        <w:spacing w:before="78"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）浮游植物</w:t>
      </w:r>
    </w:p>
    <w:p>
      <w:pPr>
        <w:spacing w:before="183" w:line="359" w:lineRule="auto"/>
        <w:ind w:left="39" w:right="97" w:firstLine="480"/>
        <w:rPr>
          <w:rFonts w:ascii="宋体" w:hAnsi="宋体" w:eastAsia="宋体" w:cs="宋体"/>
          <w:sz w:val="24"/>
          <w:szCs w:val="24"/>
        </w:rPr>
      </w:pPr>
      <w:r>
        <w:rPr>
          <w:rFonts w:ascii="宋体" w:hAnsi="宋体" w:eastAsia="宋体" w:cs="宋体"/>
          <w:spacing w:val="-4"/>
          <w:sz w:val="24"/>
          <w:szCs w:val="24"/>
        </w:rPr>
        <w:t>文成县浮游植物生物量平均为</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0.546</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4"/>
          <w:sz w:val="24"/>
          <w:szCs w:val="24"/>
        </w:rPr>
        <w:t>mg/L</w:t>
      </w:r>
      <w:r>
        <w:rPr>
          <w:rFonts w:ascii="宋体" w:hAnsi="宋体" w:eastAsia="宋体" w:cs="宋体"/>
          <w:spacing w:val="-4"/>
          <w:sz w:val="24"/>
          <w:szCs w:val="24"/>
        </w:rPr>
        <w:t xml:space="preserve">，经鉴定共检出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37"/>
          <w:sz w:val="24"/>
          <w:szCs w:val="24"/>
        </w:rPr>
        <w:t xml:space="preserve"> </w:t>
      </w:r>
      <w:r>
        <w:rPr>
          <w:rFonts w:ascii="宋体" w:hAnsi="宋体" w:eastAsia="宋体" w:cs="宋体"/>
          <w:spacing w:val="-4"/>
          <w:sz w:val="24"/>
          <w:szCs w:val="24"/>
        </w:rPr>
        <w:t>门</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 xml:space="preserve">32 </w:t>
      </w:r>
      <w:r>
        <w:rPr>
          <w:rFonts w:ascii="宋体" w:hAnsi="宋体" w:eastAsia="宋体" w:cs="宋体"/>
          <w:spacing w:val="-4"/>
          <w:sz w:val="24"/>
          <w:szCs w:val="24"/>
        </w:rPr>
        <w:t>种（属）</w:t>
      </w:r>
      <w:r>
        <w:rPr>
          <w:rFonts w:ascii="宋体" w:hAnsi="宋体" w:eastAsia="宋体" w:cs="宋体"/>
          <w:sz w:val="24"/>
          <w:szCs w:val="24"/>
        </w:rPr>
        <w:t xml:space="preserve"> </w:t>
      </w:r>
      <w:r>
        <w:rPr>
          <w:rFonts w:ascii="宋体" w:hAnsi="宋体" w:eastAsia="宋体" w:cs="宋体"/>
          <w:spacing w:val="-13"/>
          <w:sz w:val="24"/>
          <w:szCs w:val="24"/>
        </w:rPr>
        <w:t>藻类， 其中蓝藻门</w:t>
      </w:r>
      <w:r>
        <w:rPr>
          <w:rFonts w:ascii="宋体" w:hAnsi="宋体" w:eastAsia="宋体" w:cs="宋体"/>
          <w:spacing w:val="-49"/>
          <w:sz w:val="24"/>
          <w:szCs w:val="24"/>
        </w:rPr>
        <w:t xml:space="preserve"> </w:t>
      </w:r>
      <w:r>
        <w:rPr>
          <w:rFonts w:ascii="Times New Roman" w:hAnsi="Times New Roman" w:eastAsia="Times New Roman" w:cs="Times New Roman"/>
          <w:spacing w:val="-13"/>
          <w:sz w:val="24"/>
          <w:szCs w:val="24"/>
        </w:rPr>
        <w:t xml:space="preserve">3 </w:t>
      </w:r>
      <w:r>
        <w:rPr>
          <w:rFonts w:ascii="宋体" w:hAnsi="宋体" w:eastAsia="宋体" w:cs="宋体"/>
          <w:spacing w:val="-13"/>
          <w:sz w:val="24"/>
          <w:szCs w:val="24"/>
        </w:rPr>
        <w:t>种（属</w:t>
      </w:r>
      <w:r>
        <w:rPr>
          <w:rFonts w:ascii="宋体" w:hAnsi="宋体" w:eastAsia="宋体" w:cs="宋体"/>
          <w:spacing w:val="13"/>
          <w:sz w:val="24"/>
          <w:szCs w:val="24"/>
        </w:rPr>
        <w:t>）</w:t>
      </w:r>
      <w:r>
        <w:rPr>
          <w:rFonts w:ascii="宋体" w:hAnsi="宋体" w:eastAsia="宋体" w:cs="宋体"/>
          <w:spacing w:val="-4"/>
          <w:sz w:val="24"/>
          <w:szCs w:val="24"/>
        </w:rPr>
        <w:t xml:space="preserve"> </w:t>
      </w:r>
      <w:r>
        <w:rPr>
          <w:rFonts w:ascii="宋体" w:hAnsi="宋体" w:eastAsia="宋体" w:cs="宋体"/>
          <w:spacing w:val="13"/>
          <w:sz w:val="24"/>
          <w:szCs w:val="24"/>
        </w:rPr>
        <w:t>，</w:t>
      </w:r>
      <w:r>
        <w:rPr>
          <w:rFonts w:ascii="宋体" w:hAnsi="宋体" w:eastAsia="宋体" w:cs="宋体"/>
          <w:spacing w:val="-13"/>
          <w:sz w:val="24"/>
          <w:szCs w:val="24"/>
        </w:rPr>
        <w:t>占</w:t>
      </w:r>
      <w:r>
        <w:rPr>
          <w:rFonts w:ascii="宋体" w:hAnsi="宋体" w:eastAsia="宋体" w:cs="宋体"/>
          <w:spacing w:val="-50"/>
          <w:sz w:val="24"/>
          <w:szCs w:val="24"/>
        </w:rPr>
        <w:t xml:space="preserve"> </w:t>
      </w:r>
      <w:r>
        <w:rPr>
          <w:rFonts w:ascii="Times New Roman" w:hAnsi="Times New Roman" w:eastAsia="Times New Roman" w:cs="Times New Roman"/>
          <w:spacing w:val="-13"/>
          <w:sz w:val="24"/>
          <w:szCs w:val="24"/>
        </w:rPr>
        <w:t>9.4%</w:t>
      </w:r>
      <w:r>
        <w:rPr>
          <w:rFonts w:ascii="宋体" w:hAnsi="宋体" w:eastAsia="宋体" w:cs="宋体"/>
          <w:spacing w:val="-13"/>
          <w:sz w:val="24"/>
          <w:szCs w:val="24"/>
        </w:rPr>
        <w:t>；绿藻门</w:t>
      </w:r>
      <w:r>
        <w:rPr>
          <w:rFonts w:ascii="宋体" w:hAnsi="宋体" w:eastAsia="宋体" w:cs="宋体"/>
          <w:spacing w:val="-32"/>
          <w:sz w:val="24"/>
          <w:szCs w:val="24"/>
        </w:rPr>
        <w:t xml:space="preserve"> </w:t>
      </w:r>
      <w:r>
        <w:rPr>
          <w:rFonts w:ascii="Times New Roman" w:hAnsi="Times New Roman" w:eastAsia="Times New Roman" w:cs="Times New Roman"/>
          <w:spacing w:val="-13"/>
          <w:sz w:val="24"/>
          <w:szCs w:val="24"/>
        </w:rPr>
        <w:t xml:space="preserve">15 </w:t>
      </w:r>
      <w:r>
        <w:rPr>
          <w:rFonts w:ascii="宋体" w:hAnsi="宋体" w:eastAsia="宋体" w:cs="宋体"/>
          <w:spacing w:val="-13"/>
          <w:sz w:val="24"/>
          <w:szCs w:val="24"/>
        </w:rPr>
        <w:t>种（属</w:t>
      </w:r>
      <w:r>
        <w:rPr>
          <w:rFonts w:ascii="宋体" w:hAnsi="宋体" w:eastAsia="宋体" w:cs="宋体"/>
          <w:spacing w:val="13"/>
          <w:sz w:val="24"/>
          <w:szCs w:val="24"/>
        </w:rPr>
        <w:t>）</w:t>
      </w:r>
      <w:r>
        <w:rPr>
          <w:rFonts w:ascii="宋体" w:hAnsi="宋体" w:eastAsia="宋体" w:cs="宋体"/>
          <w:spacing w:val="-3"/>
          <w:sz w:val="24"/>
          <w:szCs w:val="24"/>
        </w:rPr>
        <w:t xml:space="preserve"> </w:t>
      </w:r>
      <w:r>
        <w:rPr>
          <w:rFonts w:ascii="宋体" w:hAnsi="宋体" w:eastAsia="宋体" w:cs="宋体"/>
          <w:spacing w:val="13"/>
          <w:sz w:val="24"/>
          <w:szCs w:val="24"/>
        </w:rPr>
        <w:t>，</w:t>
      </w:r>
      <w:r>
        <w:rPr>
          <w:rFonts w:ascii="宋体" w:hAnsi="宋体" w:eastAsia="宋体" w:cs="宋体"/>
          <w:spacing w:val="-13"/>
          <w:sz w:val="24"/>
          <w:szCs w:val="24"/>
        </w:rPr>
        <w:t>占</w:t>
      </w:r>
      <w:r>
        <w:rPr>
          <w:rFonts w:ascii="宋体" w:hAnsi="宋体" w:eastAsia="宋体" w:cs="宋体"/>
          <w:spacing w:val="-56"/>
          <w:sz w:val="24"/>
          <w:szCs w:val="24"/>
        </w:rPr>
        <w:t xml:space="preserve"> </w:t>
      </w:r>
      <w:r>
        <w:rPr>
          <w:rFonts w:ascii="Times New Roman" w:hAnsi="Times New Roman" w:eastAsia="Times New Roman" w:cs="Times New Roman"/>
          <w:spacing w:val="-13"/>
          <w:sz w:val="24"/>
          <w:szCs w:val="24"/>
        </w:rPr>
        <w:t>46.9%</w:t>
      </w:r>
      <w:r>
        <w:rPr>
          <w:rFonts w:ascii="宋体" w:hAnsi="宋体" w:eastAsia="宋体" w:cs="宋体"/>
          <w:spacing w:val="-13"/>
          <w:sz w:val="24"/>
          <w:szCs w:val="24"/>
        </w:rPr>
        <w:t>；硅藻</w:t>
      </w:r>
      <w:r>
        <w:rPr>
          <w:rFonts w:ascii="宋体" w:hAnsi="宋体" w:eastAsia="宋体" w:cs="宋体"/>
          <w:sz w:val="24"/>
          <w:szCs w:val="24"/>
        </w:rPr>
        <w:t xml:space="preserve"> </w:t>
      </w:r>
      <w:r>
        <w:rPr>
          <w:rFonts w:ascii="宋体" w:hAnsi="宋体" w:eastAsia="宋体" w:cs="宋体"/>
          <w:spacing w:val="-8"/>
          <w:sz w:val="24"/>
          <w:szCs w:val="24"/>
        </w:rPr>
        <w:t>门</w:t>
      </w:r>
      <w:r>
        <w:rPr>
          <w:rFonts w:ascii="宋体" w:hAnsi="宋体" w:eastAsia="宋体" w:cs="宋体"/>
          <w:spacing w:val="-41"/>
          <w:sz w:val="24"/>
          <w:szCs w:val="24"/>
        </w:rPr>
        <w:t xml:space="preserve"> </w:t>
      </w:r>
      <w:r>
        <w:rPr>
          <w:rFonts w:ascii="Times New Roman" w:hAnsi="Times New Roman" w:eastAsia="Times New Roman" w:cs="Times New Roman"/>
          <w:spacing w:val="-8"/>
          <w:sz w:val="24"/>
          <w:szCs w:val="24"/>
        </w:rPr>
        <w:t xml:space="preserve">8 </w:t>
      </w:r>
      <w:r>
        <w:rPr>
          <w:rFonts w:ascii="宋体" w:hAnsi="宋体" w:eastAsia="宋体" w:cs="宋体"/>
          <w:spacing w:val="-8"/>
          <w:sz w:val="24"/>
          <w:szCs w:val="24"/>
        </w:rPr>
        <w:t>种（属</w:t>
      </w:r>
      <w:r>
        <w:rPr>
          <w:rFonts w:ascii="宋体" w:hAnsi="宋体" w:eastAsia="宋体" w:cs="宋体"/>
          <w:spacing w:val="-7"/>
          <w:sz w:val="24"/>
          <w:szCs w:val="24"/>
        </w:rPr>
        <w:t>），</w:t>
      </w:r>
      <w:r>
        <w:rPr>
          <w:rFonts w:ascii="宋体" w:hAnsi="宋体" w:eastAsia="宋体" w:cs="宋体"/>
          <w:spacing w:val="-8"/>
          <w:sz w:val="24"/>
          <w:szCs w:val="24"/>
        </w:rPr>
        <w:t>占</w:t>
      </w:r>
      <w:r>
        <w:rPr>
          <w:rFonts w:ascii="宋体" w:hAnsi="宋体" w:eastAsia="宋体" w:cs="宋体"/>
          <w:spacing w:val="-54"/>
          <w:sz w:val="24"/>
          <w:szCs w:val="24"/>
        </w:rPr>
        <w:t xml:space="preserve"> </w:t>
      </w:r>
      <w:r>
        <w:rPr>
          <w:rFonts w:ascii="Times New Roman" w:hAnsi="Times New Roman" w:eastAsia="Times New Roman" w:cs="Times New Roman"/>
          <w:spacing w:val="-8"/>
          <w:sz w:val="24"/>
          <w:szCs w:val="24"/>
        </w:rPr>
        <w:t>25%</w:t>
      </w:r>
      <w:r>
        <w:rPr>
          <w:rFonts w:ascii="宋体" w:hAnsi="宋体" w:eastAsia="宋体" w:cs="宋体"/>
          <w:spacing w:val="-8"/>
          <w:sz w:val="24"/>
          <w:szCs w:val="24"/>
        </w:rPr>
        <w:t>；隐藻门</w:t>
      </w:r>
      <w:r>
        <w:rPr>
          <w:rFonts w:ascii="宋体" w:hAnsi="宋体" w:eastAsia="宋体" w:cs="宋体"/>
          <w:spacing w:val="-28"/>
          <w:sz w:val="24"/>
          <w:szCs w:val="24"/>
        </w:rPr>
        <w:t xml:space="preserve"> </w:t>
      </w:r>
      <w:r>
        <w:rPr>
          <w:rFonts w:ascii="Times New Roman" w:hAnsi="Times New Roman" w:eastAsia="Times New Roman" w:cs="Times New Roman"/>
          <w:spacing w:val="-8"/>
          <w:sz w:val="24"/>
          <w:szCs w:val="24"/>
        </w:rPr>
        <w:t xml:space="preserve">2 </w:t>
      </w:r>
      <w:r>
        <w:rPr>
          <w:rFonts w:ascii="宋体" w:hAnsi="宋体" w:eastAsia="宋体" w:cs="宋体"/>
          <w:spacing w:val="-8"/>
          <w:sz w:val="24"/>
          <w:szCs w:val="24"/>
        </w:rPr>
        <w:t>种（属</w:t>
      </w:r>
      <w:r>
        <w:rPr>
          <w:rFonts w:ascii="宋体" w:hAnsi="宋体" w:eastAsia="宋体" w:cs="宋体"/>
          <w:spacing w:val="-7"/>
          <w:sz w:val="24"/>
          <w:szCs w:val="24"/>
        </w:rPr>
        <w:t>），</w:t>
      </w:r>
      <w:r>
        <w:rPr>
          <w:rFonts w:ascii="宋体" w:hAnsi="宋体" w:eastAsia="宋体" w:cs="宋体"/>
          <w:spacing w:val="68"/>
          <w:sz w:val="24"/>
          <w:szCs w:val="24"/>
        </w:rPr>
        <w:t xml:space="preserve"> </w:t>
      </w:r>
      <w:r>
        <w:rPr>
          <w:rFonts w:ascii="宋体" w:hAnsi="宋体" w:eastAsia="宋体" w:cs="宋体"/>
          <w:spacing w:val="-8"/>
          <w:sz w:val="24"/>
          <w:szCs w:val="24"/>
        </w:rPr>
        <w:t>占</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6.3</w:t>
      </w:r>
      <w:r>
        <w:rPr>
          <w:rFonts w:ascii="宋体" w:hAnsi="宋体" w:eastAsia="宋体" w:cs="宋体"/>
          <w:spacing w:val="-7"/>
          <w:sz w:val="24"/>
          <w:szCs w:val="24"/>
        </w:rPr>
        <w:t>％；</w:t>
      </w:r>
      <w:r>
        <w:rPr>
          <w:rFonts w:ascii="宋体" w:hAnsi="宋体" w:eastAsia="宋体" w:cs="宋体"/>
          <w:spacing w:val="-8"/>
          <w:sz w:val="24"/>
          <w:szCs w:val="24"/>
        </w:rPr>
        <w:t>裸藻门</w:t>
      </w:r>
      <w:r>
        <w:rPr>
          <w:rFonts w:ascii="宋体" w:hAnsi="宋体" w:eastAsia="宋体" w:cs="宋体"/>
          <w:spacing w:val="-27"/>
          <w:sz w:val="24"/>
          <w:szCs w:val="24"/>
        </w:rPr>
        <w:t xml:space="preserve"> </w:t>
      </w:r>
      <w:r>
        <w:rPr>
          <w:rFonts w:ascii="Times New Roman" w:hAnsi="Times New Roman" w:eastAsia="Times New Roman" w:cs="Times New Roman"/>
          <w:spacing w:val="-8"/>
          <w:sz w:val="24"/>
          <w:szCs w:val="24"/>
        </w:rPr>
        <w:t xml:space="preserve">2 </w:t>
      </w:r>
      <w:r>
        <w:rPr>
          <w:rFonts w:ascii="宋体" w:hAnsi="宋体" w:eastAsia="宋体" w:cs="宋体"/>
          <w:spacing w:val="-8"/>
          <w:sz w:val="24"/>
          <w:szCs w:val="24"/>
        </w:rPr>
        <w:t>种（属</w:t>
      </w:r>
      <w:r>
        <w:rPr>
          <w:rFonts w:ascii="宋体" w:hAnsi="宋体" w:eastAsia="宋体" w:cs="宋体"/>
          <w:spacing w:val="-7"/>
          <w:sz w:val="24"/>
          <w:szCs w:val="24"/>
        </w:rPr>
        <w:t>），</w:t>
      </w:r>
      <w:r>
        <w:rPr>
          <w:rFonts w:ascii="宋体" w:hAnsi="宋体" w:eastAsia="宋体" w:cs="宋体"/>
          <w:spacing w:val="-8"/>
          <w:sz w:val="24"/>
          <w:szCs w:val="24"/>
        </w:rPr>
        <w:t>占</w:t>
      </w:r>
      <w:r>
        <w:rPr>
          <w:rFonts w:ascii="宋体" w:hAnsi="宋体" w:eastAsia="宋体" w:cs="宋体"/>
          <w:sz w:val="24"/>
          <w:szCs w:val="24"/>
        </w:rPr>
        <w:t xml:space="preserve"> </w:t>
      </w:r>
      <w:r>
        <w:rPr>
          <w:rFonts w:ascii="Times New Roman" w:hAnsi="Times New Roman" w:eastAsia="Times New Roman" w:cs="Times New Roman"/>
          <w:spacing w:val="-8"/>
          <w:sz w:val="24"/>
          <w:szCs w:val="24"/>
        </w:rPr>
        <w:t>6.3%</w:t>
      </w:r>
      <w:r>
        <w:rPr>
          <w:rFonts w:ascii="宋体" w:hAnsi="宋体" w:eastAsia="宋体" w:cs="宋体"/>
          <w:spacing w:val="-8"/>
          <w:sz w:val="24"/>
          <w:szCs w:val="24"/>
        </w:rPr>
        <w:t>；金藻门</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种（属</w:t>
      </w:r>
      <w:r>
        <w:rPr>
          <w:rFonts w:ascii="宋体" w:hAnsi="宋体" w:eastAsia="宋体" w:cs="宋体"/>
          <w:spacing w:val="19"/>
          <w:sz w:val="24"/>
          <w:szCs w:val="24"/>
        </w:rPr>
        <w:t>），</w:t>
      </w:r>
      <w:r>
        <w:rPr>
          <w:rFonts w:ascii="宋体" w:hAnsi="宋体" w:eastAsia="宋体" w:cs="宋体"/>
          <w:spacing w:val="-8"/>
          <w:sz w:val="24"/>
          <w:szCs w:val="24"/>
        </w:rPr>
        <w:t>占</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3.05%</w:t>
      </w:r>
      <w:r>
        <w:rPr>
          <w:rFonts w:ascii="宋体" w:hAnsi="宋体" w:eastAsia="宋体" w:cs="宋体"/>
          <w:spacing w:val="-8"/>
          <w:sz w:val="24"/>
          <w:szCs w:val="24"/>
        </w:rPr>
        <w:t>；甲藻门</w:t>
      </w:r>
      <w:r>
        <w:rPr>
          <w:rFonts w:ascii="宋体" w:hAnsi="宋体" w:eastAsia="宋体" w:cs="宋体"/>
          <w:spacing w:val="-30"/>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9"/>
          <w:sz w:val="24"/>
          <w:szCs w:val="24"/>
        </w:rPr>
        <w:t>种（属</w:t>
      </w:r>
      <w:r>
        <w:rPr>
          <w:rFonts w:ascii="宋体" w:hAnsi="宋体" w:eastAsia="宋体" w:cs="宋体"/>
          <w:spacing w:val="19"/>
          <w:sz w:val="24"/>
          <w:szCs w:val="24"/>
        </w:rPr>
        <w:t>）</w:t>
      </w:r>
      <w:r>
        <w:rPr>
          <w:rFonts w:ascii="宋体" w:hAnsi="宋体" w:eastAsia="宋体" w:cs="宋体"/>
          <w:spacing w:val="-6"/>
          <w:sz w:val="24"/>
          <w:szCs w:val="24"/>
        </w:rPr>
        <w:t xml:space="preserve"> </w:t>
      </w:r>
      <w:r>
        <w:rPr>
          <w:rFonts w:ascii="宋体" w:hAnsi="宋体" w:eastAsia="宋体" w:cs="宋体"/>
          <w:spacing w:val="19"/>
          <w:sz w:val="24"/>
          <w:szCs w:val="24"/>
        </w:rPr>
        <w:t>，</w:t>
      </w:r>
      <w:r>
        <w:rPr>
          <w:rFonts w:ascii="宋体" w:hAnsi="宋体" w:eastAsia="宋体" w:cs="宋体"/>
          <w:spacing w:val="-9"/>
          <w:sz w:val="24"/>
          <w:szCs w:val="24"/>
        </w:rPr>
        <w:t>占</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3.05%</w:t>
      </w:r>
      <w:r>
        <w:rPr>
          <w:rFonts w:ascii="宋体" w:hAnsi="宋体" w:eastAsia="宋体" w:cs="宋体"/>
          <w:spacing w:val="-9"/>
          <w:sz w:val="24"/>
          <w:szCs w:val="24"/>
        </w:rPr>
        <w:t>。优势种为</w:t>
      </w:r>
    </w:p>
    <w:p>
      <w:pPr>
        <w:spacing w:line="219" w:lineRule="auto"/>
        <w:ind w:left="38"/>
        <w:rPr>
          <w:rFonts w:ascii="宋体" w:hAnsi="宋体" w:eastAsia="宋体" w:cs="宋体"/>
          <w:sz w:val="24"/>
          <w:szCs w:val="24"/>
        </w:rPr>
      </w:pPr>
      <w:r>
        <w:rPr>
          <w:rFonts w:ascii="宋体" w:hAnsi="宋体" w:eastAsia="宋体" w:cs="宋体"/>
          <w:spacing w:val="-6"/>
          <w:sz w:val="24"/>
          <w:szCs w:val="24"/>
        </w:rPr>
        <w:t>栅藻和针杆藻。</w:t>
      </w:r>
    </w:p>
    <w:p>
      <w:pPr>
        <w:spacing w:before="180" w:line="220"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）浮游动物</w:t>
      </w:r>
    </w:p>
    <w:p>
      <w:pPr>
        <w:spacing w:before="182" w:line="359" w:lineRule="auto"/>
        <w:ind w:left="39" w:firstLine="480"/>
        <w:rPr>
          <w:rFonts w:ascii="宋体" w:hAnsi="宋体" w:eastAsia="宋体" w:cs="宋体"/>
          <w:sz w:val="24"/>
          <w:szCs w:val="24"/>
        </w:rPr>
      </w:pPr>
      <w:r>
        <w:rPr>
          <w:rFonts w:ascii="宋体" w:hAnsi="宋体" w:eastAsia="宋体" w:cs="宋体"/>
          <w:spacing w:val="-9"/>
          <w:sz w:val="24"/>
          <w:szCs w:val="24"/>
        </w:rPr>
        <w:t>文成县浮游动物生物量平均为</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3.076 mg/L</w:t>
      </w:r>
      <w:r>
        <w:rPr>
          <w:rFonts w:ascii="宋体" w:hAnsi="宋体" w:eastAsia="宋体" w:cs="宋体"/>
          <w:spacing w:val="-9"/>
          <w:sz w:val="24"/>
          <w:szCs w:val="24"/>
        </w:rPr>
        <w:t>，经鉴定共检出</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3</w:t>
      </w:r>
      <w:r>
        <w:rPr>
          <w:rFonts w:ascii="Times New Roman" w:hAnsi="Times New Roman" w:eastAsia="Times New Roman" w:cs="Times New Roman"/>
          <w:spacing w:val="13"/>
          <w:sz w:val="24"/>
          <w:szCs w:val="24"/>
        </w:rPr>
        <w:t xml:space="preserve"> </w:t>
      </w:r>
      <w:r>
        <w:rPr>
          <w:rFonts w:ascii="宋体" w:hAnsi="宋体" w:eastAsia="宋体" w:cs="宋体"/>
          <w:spacing w:val="-9"/>
          <w:sz w:val="24"/>
          <w:szCs w:val="24"/>
        </w:rPr>
        <w:t>大类</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 xml:space="preserve">10 </w:t>
      </w:r>
      <w:r>
        <w:rPr>
          <w:rFonts w:ascii="宋体" w:hAnsi="宋体" w:eastAsia="宋体" w:cs="宋体"/>
          <w:spacing w:val="-9"/>
          <w:sz w:val="24"/>
          <w:szCs w:val="24"/>
        </w:rPr>
        <w:t>种（属</w:t>
      </w:r>
      <w:r>
        <w:rPr>
          <w:rFonts w:ascii="宋体" w:hAnsi="宋体" w:eastAsia="宋体" w:cs="宋体"/>
          <w:spacing w:val="-46"/>
          <w:sz w:val="24"/>
          <w:szCs w:val="24"/>
        </w:rPr>
        <w:t>），</w:t>
      </w:r>
      <w:r>
        <w:rPr>
          <w:rFonts w:ascii="宋体" w:hAnsi="宋体" w:eastAsia="宋体" w:cs="宋体"/>
          <w:sz w:val="24"/>
          <w:szCs w:val="24"/>
        </w:rPr>
        <w:t xml:space="preserve"> </w:t>
      </w:r>
      <w:r>
        <w:rPr>
          <w:rFonts w:ascii="宋体" w:hAnsi="宋体" w:eastAsia="宋体" w:cs="宋体"/>
          <w:spacing w:val="-12"/>
          <w:sz w:val="24"/>
          <w:szCs w:val="24"/>
        </w:rPr>
        <w:t>其中原生动物</w:t>
      </w:r>
      <w:r>
        <w:rPr>
          <w:rFonts w:ascii="宋体" w:hAnsi="宋体" w:eastAsia="宋体" w:cs="宋体"/>
          <w:spacing w:val="-47"/>
          <w:sz w:val="24"/>
          <w:szCs w:val="24"/>
        </w:rPr>
        <w:t xml:space="preserve"> </w:t>
      </w:r>
      <w:r>
        <w:rPr>
          <w:rFonts w:ascii="Times New Roman" w:hAnsi="Times New Roman" w:eastAsia="Times New Roman" w:cs="Times New Roman"/>
          <w:spacing w:val="-12"/>
          <w:sz w:val="24"/>
          <w:szCs w:val="24"/>
        </w:rPr>
        <w:t xml:space="preserve">6 </w:t>
      </w:r>
      <w:r>
        <w:rPr>
          <w:rFonts w:ascii="宋体" w:hAnsi="宋体" w:eastAsia="宋体" w:cs="宋体"/>
          <w:spacing w:val="-12"/>
          <w:sz w:val="24"/>
          <w:szCs w:val="24"/>
        </w:rPr>
        <w:t>种， 占</w:t>
      </w:r>
      <w:r>
        <w:rPr>
          <w:rFonts w:ascii="宋体" w:hAnsi="宋体" w:eastAsia="宋体" w:cs="宋体"/>
          <w:spacing w:val="-49"/>
          <w:sz w:val="24"/>
          <w:szCs w:val="24"/>
        </w:rPr>
        <w:t xml:space="preserve"> </w:t>
      </w:r>
      <w:r>
        <w:rPr>
          <w:rFonts w:ascii="Times New Roman" w:hAnsi="Times New Roman" w:eastAsia="Times New Roman" w:cs="Times New Roman"/>
          <w:spacing w:val="-12"/>
          <w:sz w:val="24"/>
          <w:szCs w:val="24"/>
        </w:rPr>
        <w:t>60%</w:t>
      </w:r>
      <w:r>
        <w:rPr>
          <w:rFonts w:ascii="宋体" w:hAnsi="宋体" w:eastAsia="宋体" w:cs="宋体"/>
          <w:spacing w:val="-12"/>
          <w:sz w:val="24"/>
          <w:szCs w:val="24"/>
        </w:rPr>
        <w:t>；轮虫</w:t>
      </w:r>
      <w:r>
        <w:rPr>
          <w:rFonts w:ascii="宋体" w:hAnsi="宋体" w:eastAsia="宋体" w:cs="宋体"/>
          <w:spacing w:val="-50"/>
          <w:sz w:val="24"/>
          <w:szCs w:val="24"/>
        </w:rPr>
        <w:t xml:space="preserve"> </w:t>
      </w:r>
      <w:r>
        <w:rPr>
          <w:rFonts w:ascii="Times New Roman" w:hAnsi="Times New Roman" w:eastAsia="Times New Roman" w:cs="Times New Roman"/>
          <w:spacing w:val="-12"/>
          <w:sz w:val="24"/>
          <w:szCs w:val="24"/>
        </w:rPr>
        <w:t xml:space="preserve">3 </w:t>
      </w:r>
      <w:r>
        <w:rPr>
          <w:rFonts w:ascii="宋体" w:hAnsi="宋体" w:eastAsia="宋体" w:cs="宋体"/>
          <w:spacing w:val="-13"/>
          <w:sz w:val="24"/>
          <w:szCs w:val="24"/>
        </w:rPr>
        <w:t>种（属</w:t>
      </w:r>
      <w:r>
        <w:rPr>
          <w:rFonts w:ascii="宋体" w:hAnsi="宋体" w:eastAsia="宋体" w:cs="宋体"/>
          <w:spacing w:val="-22"/>
          <w:sz w:val="24"/>
          <w:szCs w:val="24"/>
        </w:rPr>
        <w:t>）</w:t>
      </w:r>
      <w:r>
        <w:rPr>
          <w:rFonts w:ascii="宋体" w:hAnsi="宋体" w:eastAsia="宋体" w:cs="宋体"/>
          <w:spacing w:val="-20"/>
          <w:sz w:val="24"/>
          <w:szCs w:val="24"/>
        </w:rPr>
        <w:t xml:space="preserve"> </w:t>
      </w:r>
      <w:r>
        <w:rPr>
          <w:rFonts w:ascii="宋体" w:hAnsi="宋体" w:eastAsia="宋体" w:cs="宋体"/>
          <w:spacing w:val="-22"/>
          <w:sz w:val="24"/>
          <w:szCs w:val="24"/>
        </w:rPr>
        <w:t>，</w:t>
      </w:r>
      <w:r>
        <w:rPr>
          <w:rFonts w:ascii="宋体" w:hAnsi="宋体" w:eastAsia="宋体" w:cs="宋体"/>
          <w:spacing w:val="-13"/>
          <w:sz w:val="24"/>
          <w:szCs w:val="24"/>
        </w:rPr>
        <w:t>占</w:t>
      </w:r>
      <w:r>
        <w:rPr>
          <w:rFonts w:ascii="宋体" w:hAnsi="宋体" w:eastAsia="宋体" w:cs="宋体"/>
          <w:spacing w:val="-50"/>
          <w:sz w:val="24"/>
          <w:szCs w:val="24"/>
        </w:rPr>
        <w:t xml:space="preserve"> </w:t>
      </w:r>
      <w:r>
        <w:rPr>
          <w:rFonts w:ascii="Times New Roman" w:hAnsi="Times New Roman" w:eastAsia="Times New Roman" w:cs="Times New Roman"/>
          <w:spacing w:val="-13"/>
          <w:sz w:val="24"/>
          <w:szCs w:val="24"/>
        </w:rPr>
        <w:t>30</w:t>
      </w:r>
      <w:r>
        <w:rPr>
          <w:rFonts w:ascii="宋体" w:hAnsi="宋体" w:eastAsia="宋体" w:cs="宋体"/>
          <w:spacing w:val="-22"/>
          <w:sz w:val="24"/>
          <w:szCs w:val="24"/>
        </w:rPr>
        <w:t>％；</w:t>
      </w:r>
      <w:r>
        <w:rPr>
          <w:rFonts w:ascii="宋体" w:hAnsi="宋体" w:eastAsia="宋体" w:cs="宋体"/>
          <w:spacing w:val="-38"/>
          <w:sz w:val="24"/>
          <w:szCs w:val="24"/>
        </w:rPr>
        <w:t xml:space="preserve"> </w:t>
      </w:r>
      <w:r>
        <w:rPr>
          <w:rFonts w:ascii="宋体" w:hAnsi="宋体" w:eastAsia="宋体" w:cs="宋体"/>
          <w:spacing w:val="-13"/>
          <w:sz w:val="24"/>
          <w:szCs w:val="24"/>
        </w:rPr>
        <w:t>枝角类</w:t>
      </w:r>
      <w:r>
        <w:rPr>
          <w:rFonts w:ascii="宋体" w:hAnsi="宋体" w:eastAsia="宋体" w:cs="宋体"/>
          <w:spacing w:val="-31"/>
          <w:sz w:val="24"/>
          <w:szCs w:val="24"/>
        </w:rPr>
        <w:t xml:space="preserve"> </w:t>
      </w:r>
      <w:r>
        <w:rPr>
          <w:rFonts w:ascii="Times New Roman" w:hAnsi="Times New Roman" w:eastAsia="Times New Roman" w:cs="Times New Roman"/>
          <w:spacing w:val="-13"/>
          <w:sz w:val="24"/>
          <w:szCs w:val="24"/>
        </w:rPr>
        <w:t xml:space="preserve">1 </w:t>
      </w:r>
      <w:r>
        <w:rPr>
          <w:rFonts w:ascii="宋体" w:hAnsi="宋体" w:eastAsia="宋体" w:cs="宋体"/>
          <w:spacing w:val="-13"/>
          <w:sz w:val="24"/>
          <w:szCs w:val="24"/>
        </w:rPr>
        <w:t>种，占</w:t>
      </w:r>
      <w:r>
        <w:rPr>
          <w:rFonts w:ascii="宋体" w:hAnsi="宋体" w:eastAsia="宋体" w:cs="宋体"/>
          <w:spacing w:val="-32"/>
          <w:sz w:val="24"/>
          <w:szCs w:val="24"/>
        </w:rPr>
        <w:t xml:space="preserve"> </w:t>
      </w:r>
      <w:r>
        <w:rPr>
          <w:rFonts w:ascii="Times New Roman" w:hAnsi="Times New Roman" w:eastAsia="Times New Roman" w:cs="Times New Roman"/>
          <w:spacing w:val="-13"/>
          <w:sz w:val="24"/>
          <w:szCs w:val="24"/>
        </w:rPr>
        <w:t>10</w:t>
      </w:r>
      <w:r>
        <w:rPr>
          <w:rFonts w:ascii="宋体" w:hAnsi="宋体" w:eastAsia="宋体" w:cs="宋体"/>
          <w:spacing w:val="-13"/>
          <w:sz w:val="24"/>
          <w:szCs w:val="24"/>
        </w:rPr>
        <w:t>％。</w:t>
      </w:r>
    </w:p>
    <w:p>
      <w:pPr>
        <w:spacing w:before="1" w:line="218" w:lineRule="auto"/>
        <w:ind w:left="37"/>
        <w:rPr>
          <w:rFonts w:ascii="宋体" w:hAnsi="宋体" w:eastAsia="宋体" w:cs="宋体"/>
          <w:sz w:val="24"/>
          <w:szCs w:val="24"/>
        </w:rPr>
      </w:pPr>
      <w:r>
        <w:rPr>
          <w:rFonts w:ascii="宋体" w:hAnsi="宋体" w:eastAsia="宋体" w:cs="宋体"/>
          <w:spacing w:val="-3"/>
          <w:sz w:val="24"/>
          <w:szCs w:val="24"/>
        </w:rPr>
        <w:t>优势种为轮虫类、枝角类、桡足类等。</w:t>
      </w:r>
    </w:p>
    <w:p>
      <w:pPr>
        <w:spacing w:before="181" w:line="221" w:lineRule="auto"/>
        <w:ind w:left="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）渔业资源</w:t>
      </w:r>
    </w:p>
    <w:p>
      <w:pPr>
        <w:spacing w:before="180" w:line="359" w:lineRule="auto"/>
        <w:ind w:left="38" w:firstLine="479"/>
        <w:rPr>
          <w:rFonts w:ascii="宋体" w:hAnsi="宋体" w:eastAsia="宋体" w:cs="宋体"/>
          <w:sz w:val="24"/>
          <w:szCs w:val="24"/>
        </w:rPr>
      </w:pPr>
      <w:r>
        <w:rPr>
          <w:rFonts w:ascii="宋体" w:hAnsi="宋体" w:eastAsia="宋体" w:cs="宋体"/>
          <w:spacing w:val="-5"/>
          <w:sz w:val="24"/>
          <w:szCs w:val="24"/>
        </w:rPr>
        <w:t>根据文成县淡水渔业资源专项调查、《浙江动物志</w:t>
      </w:r>
      <w:r>
        <w:rPr>
          <w:rFonts w:ascii="宋体" w:hAnsi="宋体" w:eastAsia="宋体" w:cs="宋体"/>
          <w:spacing w:val="31"/>
          <w:sz w:val="24"/>
          <w:szCs w:val="24"/>
        </w:rPr>
        <w:t xml:space="preserve"> </w:t>
      </w:r>
      <w:r>
        <w:rPr>
          <w:rFonts w:ascii="宋体" w:hAnsi="宋体" w:eastAsia="宋体" w:cs="宋体"/>
          <w:spacing w:val="-5"/>
          <w:sz w:val="24"/>
          <w:szCs w:val="24"/>
        </w:rPr>
        <w:t>淡水鱼类》等文</w:t>
      </w:r>
      <w:r>
        <w:rPr>
          <w:rFonts w:ascii="宋体" w:hAnsi="宋体" w:eastAsia="宋体" w:cs="宋体"/>
          <w:spacing w:val="-6"/>
          <w:sz w:val="24"/>
          <w:szCs w:val="24"/>
        </w:rPr>
        <w:t>献资料、</w:t>
      </w:r>
      <w:r>
        <w:rPr>
          <w:rFonts w:ascii="宋体" w:hAnsi="宋体" w:eastAsia="宋体" w:cs="宋体"/>
          <w:sz w:val="24"/>
          <w:szCs w:val="24"/>
        </w:rPr>
        <w:t xml:space="preserve"> </w:t>
      </w:r>
      <w:r>
        <w:rPr>
          <w:rFonts w:ascii="宋体" w:hAnsi="宋体" w:eastAsia="宋体" w:cs="宋体"/>
          <w:spacing w:val="-9"/>
          <w:sz w:val="24"/>
          <w:szCs w:val="24"/>
        </w:rPr>
        <w:t>渔业专家调查等不完全统计和报道结果，</w:t>
      </w:r>
      <w:r>
        <w:rPr>
          <w:rFonts w:ascii="宋体" w:hAnsi="宋体" w:eastAsia="宋体" w:cs="宋体"/>
          <w:spacing w:val="71"/>
          <w:sz w:val="24"/>
          <w:szCs w:val="24"/>
        </w:rPr>
        <w:t xml:space="preserve"> </w:t>
      </w:r>
      <w:r>
        <w:rPr>
          <w:rFonts w:ascii="宋体" w:hAnsi="宋体" w:eastAsia="宋体" w:cs="宋体"/>
          <w:spacing w:val="-9"/>
          <w:sz w:val="24"/>
          <w:szCs w:val="24"/>
        </w:rPr>
        <w:t>目前文成县拥有水生动物（不含浮游动</w:t>
      </w:r>
      <w:r>
        <w:rPr>
          <w:rFonts w:ascii="宋体" w:hAnsi="宋体" w:eastAsia="宋体" w:cs="宋体"/>
          <w:sz w:val="24"/>
          <w:szCs w:val="24"/>
        </w:rPr>
        <w:t xml:space="preserve">  </w:t>
      </w:r>
      <w:r>
        <w:rPr>
          <w:rFonts w:ascii="宋体" w:hAnsi="宋体" w:eastAsia="宋体" w:cs="宋体"/>
          <w:spacing w:val="-3"/>
          <w:sz w:val="24"/>
          <w:szCs w:val="24"/>
        </w:rPr>
        <w:t>物）</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 xml:space="preserve">110 </w:t>
      </w:r>
      <w:r>
        <w:rPr>
          <w:rFonts w:ascii="宋体" w:hAnsi="宋体" w:eastAsia="宋体" w:cs="宋体"/>
          <w:spacing w:val="-3"/>
          <w:sz w:val="24"/>
          <w:szCs w:val="24"/>
        </w:rPr>
        <w:t>种，其中鱼类</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63 </w:t>
      </w:r>
      <w:r>
        <w:rPr>
          <w:rFonts w:ascii="宋体" w:hAnsi="宋体" w:eastAsia="宋体" w:cs="宋体"/>
          <w:spacing w:val="-3"/>
          <w:sz w:val="24"/>
          <w:szCs w:val="24"/>
        </w:rPr>
        <w:t>种，占种类总数的</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57.27%</w:t>
      </w:r>
      <w:r>
        <w:rPr>
          <w:rFonts w:ascii="宋体" w:hAnsi="宋体" w:eastAsia="宋体" w:cs="宋体"/>
          <w:spacing w:val="-3"/>
          <w:sz w:val="24"/>
          <w:szCs w:val="24"/>
        </w:rPr>
        <w:t>，</w:t>
      </w:r>
      <w:r>
        <w:rPr>
          <w:rFonts w:ascii="宋体" w:hAnsi="宋体" w:eastAsia="宋体" w:cs="宋体"/>
          <w:spacing w:val="-4"/>
          <w:sz w:val="24"/>
          <w:szCs w:val="24"/>
        </w:rPr>
        <w:t>是文成县渔业资源的主要</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类群，其他还有贝类</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29 </w:t>
      </w:r>
      <w:r>
        <w:rPr>
          <w:rFonts w:ascii="宋体" w:hAnsi="宋体" w:eastAsia="宋体" w:cs="宋体"/>
          <w:spacing w:val="-2"/>
          <w:sz w:val="24"/>
          <w:szCs w:val="24"/>
        </w:rPr>
        <w:t>种、两栖类</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8 </w:t>
      </w:r>
      <w:r>
        <w:rPr>
          <w:rFonts w:ascii="宋体" w:hAnsi="宋体" w:eastAsia="宋体" w:cs="宋体"/>
          <w:spacing w:val="-2"/>
          <w:sz w:val="24"/>
          <w:szCs w:val="24"/>
        </w:rPr>
        <w:t>种、甲壳类</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7 </w:t>
      </w:r>
      <w:r>
        <w:rPr>
          <w:rFonts w:ascii="宋体" w:hAnsi="宋体" w:eastAsia="宋体" w:cs="宋体"/>
          <w:spacing w:val="-2"/>
          <w:sz w:val="24"/>
          <w:szCs w:val="24"/>
        </w:rPr>
        <w:t>种、爬行类</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种。</w:t>
      </w:r>
    </w:p>
    <w:p>
      <w:pPr>
        <w:spacing w:before="184" w:line="359" w:lineRule="auto"/>
        <w:ind w:left="38" w:right="16" w:firstLine="480"/>
        <w:rPr>
          <w:rFonts w:ascii="宋体" w:hAnsi="宋体" w:eastAsia="宋体" w:cs="宋体"/>
          <w:sz w:val="24"/>
          <w:szCs w:val="24"/>
        </w:rPr>
      </w:pPr>
      <w:r>
        <w:rPr>
          <w:rFonts w:ascii="宋体" w:hAnsi="宋体" w:eastAsia="宋体" w:cs="宋体"/>
          <w:spacing w:val="-9"/>
          <w:sz w:val="24"/>
          <w:szCs w:val="24"/>
        </w:rPr>
        <w:t xml:space="preserve">其中鱼类隶属 </w:t>
      </w:r>
      <w:r>
        <w:rPr>
          <w:rFonts w:ascii="Times New Roman" w:hAnsi="Times New Roman" w:eastAsia="Times New Roman" w:cs="Times New Roman"/>
          <w:spacing w:val="-9"/>
          <w:sz w:val="24"/>
          <w:szCs w:val="24"/>
        </w:rPr>
        <w:t xml:space="preserve">8  </w:t>
      </w:r>
      <w:r>
        <w:rPr>
          <w:rFonts w:ascii="宋体" w:hAnsi="宋体" w:eastAsia="宋体" w:cs="宋体"/>
          <w:spacing w:val="-9"/>
          <w:sz w:val="24"/>
          <w:szCs w:val="24"/>
        </w:rPr>
        <w:t>目、</w:t>
      </w:r>
      <w:r>
        <w:rPr>
          <w:rFonts w:ascii="宋体" w:hAnsi="宋体" w:eastAsia="宋体" w:cs="宋体"/>
          <w:spacing w:val="-42"/>
          <w:sz w:val="24"/>
          <w:szCs w:val="24"/>
        </w:rPr>
        <w:t xml:space="preserve"> </w:t>
      </w:r>
      <w:r>
        <w:rPr>
          <w:rFonts w:ascii="Times New Roman" w:hAnsi="Times New Roman" w:eastAsia="Times New Roman" w:cs="Times New Roman"/>
          <w:spacing w:val="-9"/>
          <w:sz w:val="24"/>
          <w:szCs w:val="24"/>
        </w:rPr>
        <w:t>14</w:t>
      </w:r>
      <w:r>
        <w:rPr>
          <w:rFonts w:ascii="Times New Roman" w:hAnsi="Times New Roman" w:eastAsia="Times New Roman" w:cs="Times New Roman"/>
          <w:spacing w:val="34"/>
          <w:sz w:val="24"/>
          <w:szCs w:val="24"/>
        </w:rPr>
        <w:t xml:space="preserve"> </w:t>
      </w:r>
      <w:r>
        <w:rPr>
          <w:rFonts w:ascii="宋体" w:hAnsi="宋体" w:eastAsia="宋体" w:cs="宋体"/>
          <w:spacing w:val="-9"/>
          <w:sz w:val="24"/>
          <w:szCs w:val="24"/>
        </w:rPr>
        <w:t>科、</w:t>
      </w:r>
      <w:r>
        <w:rPr>
          <w:rFonts w:ascii="宋体" w:hAnsi="宋体" w:eastAsia="宋体" w:cs="宋体"/>
          <w:spacing w:val="-44"/>
          <w:sz w:val="24"/>
          <w:szCs w:val="24"/>
        </w:rPr>
        <w:t xml:space="preserve"> </w:t>
      </w:r>
      <w:r>
        <w:rPr>
          <w:rFonts w:ascii="Times New Roman" w:hAnsi="Times New Roman" w:eastAsia="Times New Roman" w:cs="Times New Roman"/>
          <w:spacing w:val="-9"/>
          <w:sz w:val="24"/>
          <w:szCs w:val="24"/>
        </w:rPr>
        <w:t>47</w:t>
      </w:r>
      <w:r>
        <w:rPr>
          <w:rFonts w:ascii="Times New Roman" w:hAnsi="Times New Roman" w:eastAsia="Times New Roman" w:cs="Times New Roman"/>
          <w:spacing w:val="35"/>
          <w:w w:val="101"/>
          <w:sz w:val="24"/>
          <w:szCs w:val="24"/>
        </w:rPr>
        <w:t xml:space="preserve"> </w:t>
      </w:r>
      <w:r>
        <w:rPr>
          <w:rFonts w:ascii="宋体" w:hAnsi="宋体" w:eastAsia="宋体" w:cs="宋体"/>
          <w:spacing w:val="-9"/>
          <w:sz w:val="24"/>
          <w:szCs w:val="24"/>
        </w:rPr>
        <w:t>属、</w:t>
      </w:r>
      <w:r>
        <w:rPr>
          <w:rFonts w:ascii="宋体" w:hAnsi="宋体" w:eastAsia="宋体" w:cs="宋体"/>
          <w:spacing w:val="-38"/>
          <w:sz w:val="24"/>
          <w:szCs w:val="24"/>
        </w:rPr>
        <w:t xml:space="preserve"> </w:t>
      </w:r>
      <w:r>
        <w:rPr>
          <w:rFonts w:ascii="Times New Roman" w:hAnsi="Times New Roman" w:eastAsia="Times New Roman" w:cs="Times New Roman"/>
          <w:spacing w:val="-9"/>
          <w:sz w:val="24"/>
          <w:szCs w:val="24"/>
        </w:rPr>
        <w:t>63</w:t>
      </w:r>
      <w:r>
        <w:rPr>
          <w:rFonts w:ascii="Times New Roman" w:hAnsi="Times New Roman" w:eastAsia="Times New Roman" w:cs="Times New Roman"/>
          <w:spacing w:val="34"/>
          <w:sz w:val="24"/>
          <w:szCs w:val="24"/>
        </w:rPr>
        <w:t xml:space="preserve"> </w:t>
      </w:r>
      <w:r>
        <w:rPr>
          <w:rFonts w:ascii="宋体" w:hAnsi="宋体" w:eastAsia="宋体" w:cs="宋体"/>
          <w:spacing w:val="-9"/>
          <w:sz w:val="24"/>
          <w:szCs w:val="24"/>
        </w:rPr>
        <w:t>种。鲤形</w:t>
      </w:r>
      <w:r>
        <w:rPr>
          <w:rFonts w:ascii="宋体" w:hAnsi="宋体" w:eastAsia="宋体" w:cs="宋体"/>
          <w:spacing w:val="-10"/>
          <w:sz w:val="24"/>
          <w:szCs w:val="24"/>
        </w:rPr>
        <w:t>目鱼类种类数最多，为</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41</w:t>
      </w:r>
      <w:r>
        <w:rPr>
          <w:rFonts w:ascii="Times New Roman" w:hAnsi="Times New Roman" w:eastAsia="Times New Roman" w:cs="Times New Roman"/>
          <w:sz w:val="24"/>
          <w:szCs w:val="24"/>
        </w:rPr>
        <w:t xml:space="preserve">  </w:t>
      </w:r>
      <w:r>
        <w:rPr>
          <w:rFonts w:ascii="宋体" w:hAnsi="宋体" w:eastAsia="宋体" w:cs="宋体"/>
          <w:spacing w:val="-6"/>
          <w:sz w:val="24"/>
          <w:szCs w:val="24"/>
        </w:rPr>
        <w:t>种， 占鱼类种数的</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65.08%</w:t>
      </w:r>
      <w:r>
        <w:rPr>
          <w:rFonts w:ascii="宋体" w:hAnsi="宋体" w:eastAsia="宋体" w:cs="宋体"/>
          <w:spacing w:val="-6"/>
          <w:sz w:val="24"/>
          <w:szCs w:val="24"/>
        </w:rPr>
        <w:t>，是文成县</w:t>
      </w:r>
      <w:r>
        <w:rPr>
          <w:rFonts w:ascii="宋体" w:hAnsi="宋体" w:eastAsia="宋体" w:cs="宋体"/>
          <w:spacing w:val="-7"/>
          <w:sz w:val="24"/>
          <w:szCs w:val="24"/>
        </w:rPr>
        <w:t>水域鱼类的主要类群。其次为鲈形目</w:t>
      </w:r>
      <w:r>
        <w:rPr>
          <w:rFonts w:ascii="宋体" w:hAnsi="宋体" w:eastAsia="宋体" w:cs="宋体"/>
          <w:spacing w:val="-44"/>
          <w:sz w:val="24"/>
          <w:szCs w:val="24"/>
        </w:rPr>
        <w:t xml:space="preserve"> </w:t>
      </w:r>
      <w:r>
        <w:rPr>
          <w:rFonts w:ascii="Times New Roman" w:hAnsi="Times New Roman" w:eastAsia="Times New Roman" w:cs="Times New Roman"/>
          <w:spacing w:val="-7"/>
          <w:sz w:val="24"/>
          <w:szCs w:val="24"/>
        </w:rPr>
        <w:t xml:space="preserve">8 </w:t>
      </w:r>
      <w:r>
        <w:rPr>
          <w:rFonts w:ascii="宋体" w:hAnsi="宋体" w:eastAsia="宋体" w:cs="宋体"/>
          <w:spacing w:val="-7"/>
          <w:sz w:val="24"/>
          <w:szCs w:val="24"/>
        </w:rPr>
        <w:t>种，</w:t>
      </w:r>
      <w:r>
        <w:rPr>
          <w:rFonts w:ascii="宋体" w:hAnsi="宋体" w:eastAsia="宋体" w:cs="宋体"/>
          <w:sz w:val="24"/>
          <w:szCs w:val="24"/>
        </w:rPr>
        <w:t xml:space="preserve"> </w:t>
      </w:r>
      <w:r>
        <w:rPr>
          <w:rFonts w:ascii="宋体" w:hAnsi="宋体" w:eastAsia="宋体" w:cs="宋体"/>
          <w:spacing w:val="-5"/>
          <w:sz w:val="24"/>
          <w:szCs w:val="24"/>
        </w:rPr>
        <w:t>占鱼类种数的</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12.70%</w:t>
      </w:r>
      <w:r>
        <w:rPr>
          <w:rFonts w:ascii="宋体" w:hAnsi="宋体" w:eastAsia="宋体" w:cs="宋体"/>
          <w:spacing w:val="-5"/>
          <w:sz w:val="24"/>
          <w:szCs w:val="24"/>
        </w:rPr>
        <w:t>；鲇形目</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 xml:space="preserve">7 </w:t>
      </w:r>
      <w:r>
        <w:rPr>
          <w:rFonts w:ascii="宋体" w:hAnsi="宋体" w:eastAsia="宋体" w:cs="宋体"/>
          <w:spacing w:val="-5"/>
          <w:sz w:val="24"/>
          <w:szCs w:val="24"/>
        </w:rPr>
        <w:t>种， 占鱼类种数的</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11.11%</w:t>
      </w:r>
      <w:r>
        <w:rPr>
          <w:rFonts w:ascii="宋体" w:hAnsi="宋体" w:eastAsia="宋体" w:cs="宋体"/>
          <w:spacing w:val="-5"/>
          <w:sz w:val="24"/>
          <w:szCs w:val="24"/>
        </w:rPr>
        <w:t>；胡瓜鱼目、鳗鲡目</w:t>
      </w:r>
    </w:p>
    <w:p>
      <w:pPr>
        <w:spacing w:before="1" w:line="220" w:lineRule="auto"/>
        <w:ind w:left="41"/>
        <w:rPr>
          <w:rFonts w:ascii="宋体" w:hAnsi="宋体" w:eastAsia="宋体" w:cs="宋体"/>
          <w:sz w:val="24"/>
          <w:szCs w:val="24"/>
        </w:rPr>
      </w:pPr>
      <w:r>
        <w:rPr>
          <w:rFonts w:ascii="宋体" w:hAnsi="宋体" w:eastAsia="宋体" w:cs="宋体"/>
          <w:spacing w:val="-3"/>
          <w:sz w:val="24"/>
          <w:szCs w:val="24"/>
        </w:rPr>
        <w:t>各</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种，均占</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3.17%</w:t>
      </w:r>
      <w:r>
        <w:rPr>
          <w:rFonts w:ascii="宋体" w:hAnsi="宋体" w:eastAsia="宋体" w:cs="宋体"/>
          <w:spacing w:val="-3"/>
          <w:sz w:val="24"/>
          <w:szCs w:val="24"/>
        </w:rPr>
        <w:t xml:space="preserve">；合鳃目、鲑形目、鳉形目各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种，均占</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1.59</w:t>
      </w:r>
      <w:r>
        <w:rPr>
          <w:rFonts w:ascii="Times New Roman" w:hAnsi="Times New Roman" w:eastAsia="Times New Roman" w:cs="Times New Roman"/>
          <w:spacing w:val="-4"/>
          <w:sz w:val="24"/>
          <w:szCs w:val="24"/>
        </w:rPr>
        <w:t>%</w:t>
      </w:r>
      <w:r>
        <w:rPr>
          <w:rFonts w:ascii="宋体" w:hAnsi="宋体" w:eastAsia="宋体" w:cs="宋体"/>
          <w:spacing w:val="-4"/>
          <w:sz w:val="24"/>
          <w:szCs w:val="24"/>
        </w:rPr>
        <w:t>。</w:t>
      </w:r>
    </w:p>
    <w:p>
      <w:pPr>
        <w:spacing w:before="177" w:line="360" w:lineRule="auto"/>
        <w:ind w:left="37" w:right="19" w:firstLine="481"/>
        <w:rPr>
          <w:rFonts w:ascii="宋体" w:hAnsi="宋体" w:eastAsia="宋体" w:cs="宋体"/>
          <w:sz w:val="24"/>
          <w:szCs w:val="24"/>
        </w:rPr>
      </w:pPr>
      <w:r>
        <w:rPr>
          <w:rFonts w:ascii="宋体" w:hAnsi="宋体" w:eastAsia="宋体" w:cs="宋体"/>
          <w:spacing w:val="-7"/>
          <w:sz w:val="24"/>
          <w:szCs w:val="24"/>
        </w:rPr>
        <w:t>渔获物春季共捕获</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 xml:space="preserve">29 </w:t>
      </w:r>
      <w:r>
        <w:rPr>
          <w:rFonts w:ascii="宋体" w:hAnsi="宋体" w:eastAsia="宋体" w:cs="宋体"/>
          <w:spacing w:val="-7"/>
          <w:sz w:val="24"/>
          <w:szCs w:val="24"/>
        </w:rPr>
        <w:t>种，</w:t>
      </w:r>
      <w:r>
        <w:rPr>
          <w:rFonts w:ascii="宋体" w:hAnsi="宋体" w:eastAsia="宋体" w:cs="宋体"/>
          <w:spacing w:val="-52"/>
          <w:sz w:val="24"/>
          <w:szCs w:val="24"/>
        </w:rPr>
        <w:t xml:space="preserve"> </w:t>
      </w:r>
      <w:r>
        <w:rPr>
          <w:rFonts w:ascii="宋体" w:hAnsi="宋体" w:eastAsia="宋体" w:cs="宋体"/>
          <w:spacing w:val="-7"/>
          <w:sz w:val="24"/>
          <w:szCs w:val="24"/>
        </w:rPr>
        <w:t>其中鱼类</w:t>
      </w:r>
      <w:r>
        <w:rPr>
          <w:rFonts w:ascii="宋体" w:hAnsi="宋体" w:eastAsia="宋体" w:cs="宋体"/>
          <w:spacing w:val="-54"/>
          <w:sz w:val="24"/>
          <w:szCs w:val="24"/>
        </w:rPr>
        <w:t xml:space="preserve"> </w:t>
      </w:r>
      <w:r>
        <w:rPr>
          <w:rFonts w:ascii="Times New Roman" w:hAnsi="Times New Roman" w:eastAsia="Times New Roman" w:cs="Times New Roman"/>
          <w:spacing w:val="-7"/>
          <w:sz w:val="24"/>
          <w:szCs w:val="24"/>
        </w:rPr>
        <w:t xml:space="preserve">25 </w:t>
      </w:r>
      <w:r>
        <w:rPr>
          <w:rFonts w:ascii="宋体" w:hAnsi="宋体" w:eastAsia="宋体" w:cs="宋体"/>
          <w:spacing w:val="-7"/>
          <w:sz w:val="24"/>
          <w:szCs w:val="24"/>
        </w:rPr>
        <w:t>种，</w:t>
      </w:r>
      <w:r>
        <w:rPr>
          <w:rFonts w:ascii="宋体" w:hAnsi="宋体" w:eastAsia="宋体" w:cs="宋体"/>
          <w:spacing w:val="-54"/>
          <w:sz w:val="24"/>
          <w:szCs w:val="24"/>
        </w:rPr>
        <w:t xml:space="preserve"> </w:t>
      </w:r>
      <w:r>
        <w:rPr>
          <w:rFonts w:ascii="宋体" w:hAnsi="宋体" w:eastAsia="宋体" w:cs="宋体"/>
          <w:spacing w:val="-7"/>
          <w:sz w:val="24"/>
          <w:szCs w:val="24"/>
        </w:rPr>
        <w:t>优势种为翘嘴鲌、鲫、子陵吻虾</w:t>
      </w:r>
      <w:r>
        <w:rPr>
          <w:rFonts w:ascii="宋体" w:hAnsi="宋体" w:eastAsia="宋体" w:cs="宋体"/>
          <w:sz w:val="24"/>
          <w:szCs w:val="24"/>
        </w:rPr>
        <w:t xml:space="preserve"> </w:t>
      </w:r>
      <w:r>
        <w:rPr>
          <w:rFonts w:ascii="宋体" w:hAnsi="宋体" w:eastAsia="宋体" w:cs="宋体"/>
          <w:spacing w:val="-14"/>
          <w:sz w:val="24"/>
          <w:szCs w:val="24"/>
        </w:rPr>
        <w:t>虎鱼； 夏季</w:t>
      </w:r>
      <w:r>
        <w:rPr>
          <w:rFonts w:ascii="宋体" w:hAnsi="宋体" w:eastAsia="宋体" w:cs="宋体"/>
          <w:spacing w:val="-50"/>
          <w:sz w:val="24"/>
          <w:szCs w:val="24"/>
        </w:rPr>
        <w:t xml:space="preserve"> </w:t>
      </w:r>
      <w:r>
        <w:rPr>
          <w:rFonts w:ascii="Times New Roman" w:hAnsi="Times New Roman" w:eastAsia="Times New Roman" w:cs="Times New Roman"/>
          <w:spacing w:val="-14"/>
          <w:sz w:val="24"/>
          <w:szCs w:val="24"/>
        </w:rPr>
        <w:t xml:space="preserve">31 </w:t>
      </w:r>
      <w:r>
        <w:rPr>
          <w:rFonts w:ascii="宋体" w:hAnsi="宋体" w:eastAsia="宋体" w:cs="宋体"/>
          <w:spacing w:val="-14"/>
          <w:sz w:val="24"/>
          <w:szCs w:val="24"/>
        </w:rPr>
        <w:t>种，</w:t>
      </w:r>
      <w:r>
        <w:rPr>
          <w:rFonts w:ascii="宋体" w:hAnsi="宋体" w:eastAsia="宋体" w:cs="宋体"/>
          <w:spacing w:val="-45"/>
          <w:sz w:val="24"/>
          <w:szCs w:val="24"/>
        </w:rPr>
        <w:t xml:space="preserve"> </w:t>
      </w:r>
      <w:r>
        <w:rPr>
          <w:rFonts w:ascii="宋体" w:hAnsi="宋体" w:eastAsia="宋体" w:cs="宋体"/>
          <w:spacing w:val="-14"/>
          <w:sz w:val="24"/>
          <w:szCs w:val="24"/>
        </w:rPr>
        <w:t>其中鱼类</w:t>
      </w:r>
      <w:r>
        <w:rPr>
          <w:rFonts w:ascii="宋体" w:hAnsi="宋体" w:eastAsia="宋体" w:cs="宋体"/>
          <w:spacing w:val="-54"/>
          <w:sz w:val="24"/>
          <w:szCs w:val="24"/>
        </w:rPr>
        <w:t xml:space="preserve"> </w:t>
      </w:r>
      <w:r>
        <w:rPr>
          <w:rFonts w:ascii="Times New Roman" w:hAnsi="Times New Roman" w:eastAsia="Times New Roman" w:cs="Times New Roman"/>
          <w:spacing w:val="-14"/>
          <w:sz w:val="24"/>
          <w:szCs w:val="24"/>
        </w:rPr>
        <w:t xml:space="preserve">28 </w:t>
      </w:r>
      <w:r>
        <w:rPr>
          <w:rFonts w:ascii="宋体" w:hAnsi="宋体" w:eastAsia="宋体" w:cs="宋体"/>
          <w:spacing w:val="-14"/>
          <w:sz w:val="24"/>
          <w:szCs w:val="24"/>
        </w:rPr>
        <w:t>种，</w:t>
      </w:r>
      <w:r>
        <w:rPr>
          <w:rFonts w:ascii="宋体" w:hAnsi="宋体" w:eastAsia="宋体" w:cs="宋体"/>
          <w:spacing w:val="-46"/>
          <w:sz w:val="24"/>
          <w:szCs w:val="24"/>
        </w:rPr>
        <w:t xml:space="preserve"> </w:t>
      </w:r>
      <w:r>
        <w:rPr>
          <w:rFonts w:ascii="宋体" w:hAnsi="宋体" w:eastAsia="宋体" w:cs="宋体"/>
          <w:spacing w:val="-14"/>
          <w:sz w:val="24"/>
          <w:szCs w:val="24"/>
        </w:rPr>
        <w:t>优势种为翘嘴</w:t>
      </w:r>
      <w:r>
        <w:rPr>
          <w:rFonts w:ascii="宋体" w:hAnsi="宋体" w:eastAsia="宋体" w:cs="宋体"/>
          <w:spacing w:val="-15"/>
          <w:sz w:val="24"/>
          <w:szCs w:val="24"/>
        </w:rPr>
        <w:t>鲌、子陵吻虾虎鱼、鲤；</w:t>
      </w:r>
      <w:r>
        <w:rPr>
          <w:rFonts w:ascii="宋体" w:hAnsi="宋体" w:eastAsia="宋体" w:cs="宋体"/>
          <w:spacing w:val="51"/>
          <w:sz w:val="24"/>
          <w:szCs w:val="24"/>
        </w:rPr>
        <w:t xml:space="preserve"> </w:t>
      </w:r>
      <w:r>
        <w:rPr>
          <w:rFonts w:ascii="宋体" w:hAnsi="宋体" w:eastAsia="宋体" w:cs="宋体"/>
          <w:spacing w:val="-15"/>
          <w:sz w:val="24"/>
          <w:szCs w:val="24"/>
        </w:rPr>
        <w:t>秋季</w:t>
      </w:r>
      <w:r>
        <w:rPr>
          <w:rFonts w:ascii="宋体" w:hAnsi="宋体" w:eastAsia="宋体" w:cs="宋体"/>
          <w:sz w:val="24"/>
          <w:szCs w:val="24"/>
        </w:rPr>
        <w:t xml:space="preserve"> </w:t>
      </w:r>
      <w:r>
        <w:rPr>
          <w:rFonts w:ascii="宋体" w:hAnsi="宋体" w:eastAsia="宋体" w:cs="宋体"/>
          <w:spacing w:val="-13"/>
          <w:sz w:val="24"/>
          <w:szCs w:val="24"/>
        </w:rPr>
        <w:t>捕获种类最多， 共</w:t>
      </w:r>
      <w:r>
        <w:rPr>
          <w:rFonts w:ascii="宋体" w:hAnsi="宋体" w:eastAsia="宋体" w:cs="宋体"/>
          <w:spacing w:val="-49"/>
          <w:sz w:val="24"/>
          <w:szCs w:val="24"/>
        </w:rPr>
        <w:t xml:space="preserve"> </w:t>
      </w:r>
      <w:r>
        <w:rPr>
          <w:rFonts w:ascii="Times New Roman" w:hAnsi="Times New Roman" w:eastAsia="Times New Roman" w:cs="Times New Roman"/>
          <w:spacing w:val="-13"/>
          <w:sz w:val="24"/>
          <w:szCs w:val="24"/>
        </w:rPr>
        <w:t xml:space="preserve">34 </w:t>
      </w:r>
      <w:r>
        <w:rPr>
          <w:rFonts w:ascii="宋体" w:hAnsi="宋体" w:eastAsia="宋体" w:cs="宋体"/>
          <w:spacing w:val="-13"/>
          <w:sz w:val="24"/>
          <w:szCs w:val="24"/>
        </w:rPr>
        <w:t>种，其中鱼类</w:t>
      </w:r>
      <w:r>
        <w:rPr>
          <w:rFonts w:ascii="宋体" w:hAnsi="宋体" w:eastAsia="宋体" w:cs="宋体"/>
          <w:spacing w:val="-50"/>
          <w:sz w:val="24"/>
          <w:szCs w:val="24"/>
        </w:rPr>
        <w:t xml:space="preserve"> </w:t>
      </w:r>
      <w:r>
        <w:rPr>
          <w:rFonts w:ascii="Times New Roman" w:hAnsi="Times New Roman" w:eastAsia="Times New Roman" w:cs="Times New Roman"/>
          <w:spacing w:val="-13"/>
          <w:sz w:val="24"/>
          <w:szCs w:val="24"/>
        </w:rPr>
        <w:t xml:space="preserve">33 </w:t>
      </w:r>
      <w:r>
        <w:rPr>
          <w:rFonts w:ascii="宋体" w:hAnsi="宋体" w:eastAsia="宋体" w:cs="宋体"/>
          <w:spacing w:val="-13"/>
          <w:sz w:val="24"/>
          <w:szCs w:val="24"/>
        </w:rPr>
        <w:t>种，优势种为翘嘴鲌； 冬季捕获种</w:t>
      </w:r>
      <w:r>
        <w:rPr>
          <w:rFonts w:ascii="宋体" w:hAnsi="宋体" w:eastAsia="宋体" w:cs="宋体"/>
          <w:spacing w:val="-14"/>
          <w:sz w:val="24"/>
          <w:szCs w:val="24"/>
        </w:rPr>
        <w:t>类最少，</w:t>
      </w:r>
    </w:p>
    <w:p>
      <w:pPr>
        <w:spacing w:before="1" w:line="219" w:lineRule="auto"/>
        <w:ind w:left="37"/>
        <w:rPr>
          <w:rFonts w:ascii="宋体" w:hAnsi="宋体" w:eastAsia="宋体" w:cs="宋体"/>
          <w:sz w:val="24"/>
          <w:szCs w:val="24"/>
        </w:rPr>
      </w:pPr>
      <w:r>
        <w:rPr>
          <w:rFonts w:ascii="宋体" w:hAnsi="宋体" w:eastAsia="宋体" w:cs="宋体"/>
          <w:spacing w:val="-1"/>
          <w:sz w:val="24"/>
          <w:szCs w:val="24"/>
        </w:rPr>
        <w:t>共</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27 </w:t>
      </w:r>
      <w:r>
        <w:rPr>
          <w:rFonts w:ascii="宋体" w:hAnsi="宋体" w:eastAsia="宋体" w:cs="宋体"/>
          <w:spacing w:val="-1"/>
          <w:sz w:val="24"/>
          <w:szCs w:val="24"/>
        </w:rPr>
        <w:t>种，其中鱼类</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24 </w:t>
      </w:r>
      <w:r>
        <w:rPr>
          <w:rFonts w:ascii="宋体" w:hAnsi="宋体" w:eastAsia="宋体" w:cs="宋体"/>
          <w:spacing w:val="-1"/>
          <w:sz w:val="24"/>
          <w:szCs w:val="24"/>
        </w:rPr>
        <w:t>种，优势种为翘嘴</w:t>
      </w:r>
      <w:r>
        <w:rPr>
          <w:rFonts w:ascii="宋体" w:hAnsi="宋体" w:eastAsia="宋体" w:cs="宋体"/>
          <w:spacing w:val="-2"/>
          <w:sz w:val="24"/>
          <w:szCs w:val="24"/>
        </w:rPr>
        <w:t>鲌。各季节均以鱼类的种类数最多。</w:t>
      </w:r>
    </w:p>
    <w:p>
      <w:pPr>
        <w:spacing w:before="180" w:line="359" w:lineRule="auto"/>
        <w:ind w:left="38" w:right="21" w:firstLine="483"/>
        <w:rPr>
          <w:rFonts w:ascii="宋体" w:hAnsi="宋体" w:eastAsia="宋体" w:cs="宋体"/>
          <w:sz w:val="24"/>
          <w:szCs w:val="24"/>
        </w:rPr>
      </w:pPr>
      <w:r>
        <w:rPr>
          <w:rFonts w:ascii="宋体" w:hAnsi="宋体" w:eastAsia="宋体" w:cs="宋体"/>
          <w:spacing w:val="-9"/>
          <w:sz w:val="24"/>
          <w:szCs w:val="24"/>
        </w:rPr>
        <w:t>不同水系的渔获物种类数，</w:t>
      </w:r>
      <w:r>
        <w:rPr>
          <w:rFonts w:ascii="宋体" w:hAnsi="宋体" w:eastAsia="宋体" w:cs="宋体"/>
          <w:spacing w:val="57"/>
          <w:sz w:val="24"/>
          <w:szCs w:val="24"/>
        </w:rPr>
        <w:t xml:space="preserve"> </w:t>
      </w:r>
      <w:r>
        <w:rPr>
          <w:rFonts w:ascii="宋体" w:hAnsi="宋体" w:eastAsia="宋体" w:cs="宋体"/>
          <w:spacing w:val="-9"/>
          <w:sz w:val="24"/>
          <w:szCs w:val="24"/>
        </w:rPr>
        <w:t>珊溪水库共捕获</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 xml:space="preserve">34 </w:t>
      </w:r>
      <w:r>
        <w:rPr>
          <w:rFonts w:ascii="宋体" w:hAnsi="宋体" w:eastAsia="宋体" w:cs="宋体"/>
          <w:spacing w:val="-9"/>
          <w:sz w:val="24"/>
          <w:szCs w:val="24"/>
        </w:rPr>
        <w:t>种，</w:t>
      </w:r>
      <w:r>
        <w:rPr>
          <w:rFonts w:ascii="宋体" w:hAnsi="宋体" w:eastAsia="宋体" w:cs="宋体"/>
          <w:spacing w:val="-45"/>
          <w:sz w:val="24"/>
          <w:szCs w:val="24"/>
        </w:rPr>
        <w:t xml:space="preserve"> </w:t>
      </w:r>
      <w:r>
        <w:rPr>
          <w:rFonts w:ascii="宋体" w:hAnsi="宋体" w:eastAsia="宋体" w:cs="宋体"/>
          <w:spacing w:val="-9"/>
          <w:sz w:val="24"/>
          <w:szCs w:val="24"/>
        </w:rPr>
        <w:t>种类最多的站位捕到</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20</w:t>
      </w:r>
      <w:r>
        <w:rPr>
          <w:rFonts w:ascii="Times New Roman" w:hAnsi="Times New Roman" w:eastAsia="Times New Roman" w:cs="Times New Roman"/>
          <w:sz w:val="24"/>
          <w:szCs w:val="24"/>
        </w:rPr>
        <w:t xml:space="preserve">  </w:t>
      </w:r>
      <w:r>
        <w:rPr>
          <w:rFonts w:ascii="宋体" w:hAnsi="宋体" w:eastAsia="宋体" w:cs="宋体"/>
          <w:spacing w:val="-15"/>
          <w:sz w:val="24"/>
          <w:szCs w:val="24"/>
        </w:rPr>
        <w:t>种；</w:t>
      </w:r>
      <w:r>
        <w:rPr>
          <w:rFonts w:ascii="宋体" w:hAnsi="宋体" w:eastAsia="宋体" w:cs="宋体"/>
          <w:spacing w:val="-42"/>
          <w:sz w:val="24"/>
          <w:szCs w:val="24"/>
        </w:rPr>
        <w:t xml:space="preserve"> </w:t>
      </w:r>
      <w:r>
        <w:rPr>
          <w:rFonts w:ascii="宋体" w:hAnsi="宋体" w:eastAsia="宋体" w:cs="宋体"/>
          <w:spacing w:val="-15"/>
          <w:sz w:val="24"/>
          <w:szCs w:val="24"/>
        </w:rPr>
        <w:t>泗溪共捕获</w:t>
      </w:r>
      <w:r>
        <w:rPr>
          <w:rFonts w:ascii="宋体" w:hAnsi="宋体" w:eastAsia="宋体" w:cs="宋体"/>
          <w:spacing w:val="-49"/>
          <w:sz w:val="24"/>
          <w:szCs w:val="24"/>
        </w:rPr>
        <w:t xml:space="preserve"> </w:t>
      </w:r>
      <w:r>
        <w:rPr>
          <w:rFonts w:ascii="Times New Roman" w:hAnsi="Times New Roman" w:eastAsia="Times New Roman" w:cs="Times New Roman"/>
          <w:spacing w:val="-15"/>
          <w:sz w:val="24"/>
          <w:szCs w:val="24"/>
        </w:rPr>
        <w:t xml:space="preserve">36 </w:t>
      </w:r>
      <w:r>
        <w:rPr>
          <w:rFonts w:ascii="宋体" w:hAnsi="宋体" w:eastAsia="宋体" w:cs="宋体"/>
          <w:spacing w:val="-15"/>
          <w:sz w:val="24"/>
          <w:szCs w:val="24"/>
        </w:rPr>
        <w:t>种， 以百丈漈水库种类最多，</w:t>
      </w:r>
      <w:r>
        <w:rPr>
          <w:rFonts w:ascii="宋体" w:hAnsi="宋体" w:eastAsia="宋体" w:cs="宋体"/>
          <w:spacing w:val="42"/>
          <w:sz w:val="24"/>
          <w:szCs w:val="24"/>
        </w:rPr>
        <w:t xml:space="preserve"> </w:t>
      </w:r>
      <w:r>
        <w:rPr>
          <w:rFonts w:ascii="宋体" w:hAnsi="宋体" w:eastAsia="宋体" w:cs="宋体"/>
          <w:spacing w:val="-15"/>
          <w:sz w:val="24"/>
          <w:szCs w:val="24"/>
        </w:rPr>
        <w:t>为</w:t>
      </w:r>
      <w:r>
        <w:rPr>
          <w:rFonts w:ascii="宋体" w:hAnsi="宋体" w:eastAsia="宋体" w:cs="宋体"/>
          <w:spacing w:val="-55"/>
          <w:sz w:val="24"/>
          <w:szCs w:val="24"/>
        </w:rPr>
        <w:t xml:space="preserve"> </w:t>
      </w:r>
      <w:r>
        <w:rPr>
          <w:rFonts w:ascii="Times New Roman" w:hAnsi="Times New Roman" w:eastAsia="Times New Roman" w:cs="Times New Roman"/>
          <w:spacing w:val="-15"/>
          <w:sz w:val="24"/>
          <w:szCs w:val="24"/>
        </w:rPr>
        <w:t xml:space="preserve">25 </w:t>
      </w:r>
      <w:r>
        <w:rPr>
          <w:rFonts w:ascii="宋体" w:hAnsi="宋体" w:eastAsia="宋体" w:cs="宋体"/>
          <w:spacing w:val="-15"/>
          <w:sz w:val="24"/>
          <w:szCs w:val="24"/>
        </w:rPr>
        <w:t>种；</w:t>
      </w:r>
      <w:r>
        <w:rPr>
          <w:rFonts w:ascii="宋体" w:hAnsi="宋体" w:eastAsia="宋体" w:cs="宋体"/>
          <w:spacing w:val="-50"/>
          <w:sz w:val="24"/>
          <w:szCs w:val="24"/>
        </w:rPr>
        <w:t xml:space="preserve"> </w:t>
      </w:r>
      <w:r>
        <w:rPr>
          <w:rFonts w:ascii="宋体" w:hAnsi="宋体" w:eastAsia="宋体" w:cs="宋体"/>
          <w:spacing w:val="-15"/>
          <w:sz w:val="24"/>
          <w:szCs w:val="24"/>
        </w:rPr>
        <w:t>玉泉溪共捕获</w:t>
      </w:r>
      <w:r>
        <w:rPr>
          <w:rFonts w:ascii="宋体" w:hAnsi="宋体" w:eastAsia="宋体" w:cs="宋体"/>
          <w:spacing w:val="-50"/>
          <w:sz w:val="24"/>
          <w:szCs w:val="24"/>
        </w:rPr>
        <w:t xml:space="preserve"> </w:t>
      </w:r>
      <w:r>
        <w:rPr>
          <w:rFonts w:ascii="Times New Roman" w:hAnsi="Times New Roman" w:eastAsia="Times New Roman" w:cs="Times New Roman"/>
          <w:spacing w:val="-15"/>
          <w:sz w:val="24"/>
          <w:szCs w:val="24"/>
        </w:rPr>
        <w:t xml:space="preserve">30 </w:t>
      </w:r>
      <w:r>
        <w:rPr>
          <w:rFonts w:ascii="宋体" w:hAnsi="宋体" w:eastAsia="宋体" w:cs="宋体"/>
          <w:spacing w:val="-15"/>
          <w:sz w:val="24"/>
          <w:szCs w:val="24"/>
        </w:rPr>
        <w:t>种，</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种类最多的站位捕到</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24 </w:t>
      </w:r>
      <w:r>
        <w:rPr>
          <w:rFonts w:ascii="宋体" w:hAnsi="宋体" w:eastAsia="宋体" w:cs="宋体"/>
          <w:spacing w:val="-2"/>
          <w:sz w:val="24"/>
          <w:szCs w:val="24"/>
        </w:rPr>
        <w:t>种。</w:t>
      </w:r>
    </w:p>
    <w:p>
      <w:pPr>
        <w:spacing w:before="183" w:line="218" w:lineRule="auto"/>
        <w:ind w:left="44"/>
        <w:outlineLvl w:val="1"/>
        <w:rPr>
          <w:rFonts w:ascii="宋体" w:hAnsi="宋体" w:eastAsia="宋体" w:cs="宋体"/>
          <w:sz w:val="24"/>
          <w:szCs w:val="24"/>
        </w:rPr>
      </w:pPr>
      <w:bookmarkStart w:id="65" w:name="bookmark58"/>
      <w:bookmarkEnd w:id="65"/>
      <w:r>
        <w:rPr>
          <w:rFonts w:ascii="Times New Roman" w:hAnsi="Times New Roman" w:eastAsia="Times New Roman" w:cs="Times New Roman"/>
          <w:b/>
          <w:bCs/>
          <w:spacing w:val="-1"/>
          <w:sz w:val="24"/>
          <w:szCs w:val="24"/>
        </w:rPr>
        <w:t xml:space="preserve">10.3 </w:t>
      </w:r>
      <w:r>
        <w:rPr>
          <w:rFonts w:ascii="宋体" w:hAnsi="宋体" w:eastAsia="宋体" w:cs="宋体"/>
          <w:spacing w:val="-1"/>
          <w:sz w:val="24"/>
          <w:szCs w:val="24"/>
          <w14:textOutline w14:w="4354" w14:cap="flat" w14:cmpd="sng">
            <w14:solidFill>
              <w14:srgbClr w14:val="000000"/>
            </w14:solidFill>
            <w14:prstDash w14:val="solid"/>
            <w14:miter w14:val="0"/>
          </w14:textOutline>
        </w:rPr>
        <w:t>环境影响评价结论</w:t>
      </w:r>
    </w:p>
    <w:p>
      <w:pPr>
        <w:spacing w:before="182" w:line="218" w:lineRule="auto"/>
        <w:ind w:left="44"/>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10.3.1 </w:t>
      </w:r>
      <w:r>
        <w:rPr>
          <w:rFonts w:ascii="宋体" w:hAnsi="宋体" w:eastAsia="宋体" w:cs="宋体"/>
          <w:spacing w:val="-1"/>
          <w:sz w:val="24"/>
          <w:szCs w:val="24"/>
          <w14:textOutline w14:w="4354" w14:cap="flat" w14:cmpd="sng">
            <w14:solidFill>
              <w14:srgbClr w14:val="000000"/>
            </w14:solidFill>
            <w14:prstDash w14:val="solid"/>
            <w14:miter w14:val="0"/>
          </w14:textOutline>
        </w:rPr>
        <w:t>地表水环境影响评价结论</w:t>
      </w:r>
    </w:p>
    <w:p>
      <w:pPr>
        <w:spacing w:before="185" w:line="220" w:lineRule="auto"/>
        <w:ind w:left="536"/>
        <w:rPr>
          <w:rFonts w:ascii="宋体" w:hAnsi="宋体" w:eastAsia="宋体" w:cs="宋体"/>
          <w:sz w:val="24"/>
          <w:szCs w:val="24"/>
        </w:rPr>
      </w:pPr>
      <w:r>
        <w:rPr>
          <w:rFonts w:ascii="Times New Roman" w:hAnsi="Times New Roman" w:eastAsia="Times New Roman" w:cs="Times New Roman"/>
          <w:spacing w:val="-8"/>
          <w:sz w:val="24"/>
          <w:szCs w:val="24"/>
        </w:rPr>
        <w:t>1</w:t>
      </w:r>
      <w:r>
        <w:rPr>
          <w:rFonts w:ascii="宋体" w:hAnsi="宋体" w:eastAsia="宋体" w:cs="宋体"/>
          <w:spacing w:val="-8"/>
          <w:sz w:val="24"/>
          <w:szCs w:val="24"/>
        </w:rPr>
        <w:t>、施工期</w:t>
      </w:r>
    </w:p>
    <w:p>
      <w:pPr>
        <w:spacing w:before="179" w:line="220" w:lineRule="auto"/>
        <w:ind w:left="520"/>
        <w:rPr>
          <w:rFonts w:ascii="宋体" w:hAnsi="宋体" w:eastAsia="宋体" w:cs="宋体"/>
          <w:sz w:val="24"/>
          <w:szCs w:val="24"/>
        </w:rPr>
      </w:pPr>
      <w:r>
        <w:rPr>
          <w:rFonts w:ascii="宋体" w:hAnsi="宋体" w:eastAsia="宋体" w:cs="宋体"/>
          <w:spacing w:val="-3"/>
          <w:sz w:val="24"/>
          <w:szCs w:val="24"/>
        </w:rPr>
        <w:t>工程施工过程中对水环境的影响主要来自各桥梁基础开</w:t>
      </w:r>
      <w:r>
        <w:rPr>
          <w:rFonts w:ascii="宋体" w:hAnsi="宋体" w:eastAsia="宋体" w:cs="宋体"/>
          <w:spacing w:val="-4"/>
          <w:sz w:val="24"/>
          <w:szCs w:val="24"/>
        </w:rPr>
        <w:t>挖、钻桩、混凝土浇</w:t>
      </w:r>
    </w:p>
    <w:p>
      <w:pPr>
        <w:spacing w:line="220" w:lineRule="auto"/>
        <w:rPr>
          <w:rFonts w:ascii="宋体" w:hAnsi="宋体" w:eastAsia="宋体" w:cs="宋体"/>
          <w:sz w:val="24"/>
          <w:szCs w:val="24"/>
        </w:rPr>
        <w:sectPr>
          <w:headerReference r:id="rId378" w:type="default"/>
          <w:footerReference r:id="rId379" w:type="default"/>
          <w:pgSz w:w="11907" w:h="16839"/>
          <w:pgMar w:top="1118" w:right="1712" w:bottom="1177" w:left="1771" w:header="879" w:footer="1013" w:gutter="0"/>
          <w:cols w:space="720" w:num="1"/>
        </w:sectPr>
      </w:pPr>
    </w:p>
    <w:p>
      <w:pPr>
        <w:pStyle w:val="2"/>
        <w:spacing w:line="278" w:lineRule="auto"/>
      </w:pPr>
    </w:p>
    <w:p>
      <w:pPr>
        <w:spacing w:before="78" w:line="468" w:lineRule="exact"/>
        <w:ind w:left="38"/>
        <w:rPr>
          <w:rFonts w:ascii="宋体" w:hAnsi="宋体" w:eastAsia="宋体" w:cs="宋体"/>
          <w:sz w:val="24"/>
          <w:szCs w:val="24"/>
        </w:rPr>
      </w:pPr>
      <w:r>
        <w:rPr>
          <w:rFonts w:ascii="宋体" w:hAnsi="宋体" w:eastAsia="宋体" w:cs="宋体"/>
          <w:spacing w:val="-7"/>
          <w:position w:val="17"/>
          <w:sz w:val="24"/>
          <w:szCs w:val="24"/>
        </w:rPr>
        <w:t>注等建设过程中产生的污废水、隧道废水、</w:t>
      </w:r>
      <w:r>
        <w:rPr>
          <w:rFonts w:ascii="宋体" w:hAnsi="宋体" w:eastAsia="宋体" w:cs="宋体"/>
          <w:spacing w:val="27"/>
          <w:position w:val="17"/>
          <w:sz w:val="24"/>
          <w:szCs w:val="24"/>
        </w:rPr>
        <w:t xml:space="preserve"> </w:t>
      </w:r>
      <w:r>
        <w:rPr>
          <w:rFonts w:ascii="宋体" w:hAnsi="宋体" w:eastAsia="宋体" w:cs="宋体"/>
          <w:spacing w:val="-7"/>
          <w:position w:val="17"/>
          <w:sz w:val="24"/>
          <w:szCs w:val="24"/>
        </w:rPr>
        <w:t>临时施工场地施工废水、</w:t>
      </w:r>
      <w:r>
        <w:rPr>
          <w:rFonts w:ascii="宋体" w:hAnsi="宋体" w:eastAsia="宋体" w:cs="宋体"/>
          <w:spacing w:val="-8"/>
          <w:position w:val="17"/>
          <w:sz w:val="24"/>
          <w:szCs w:val="24"/>
        </w:rPr>
        <w:t>施工人员的</w:t>
      </w:r>
    </w:p>
    <w:p>
      <w:pPr>
        <w:spacing w:line="219" w:lineRule="auto"/>
        <w:ind w:left="40"/>
        <w:rPr>
          <w:rFonts w:ascii="宋体" w:hAnsi="宋体" w:eastAsia="宋体" w:cs="宋体"/>
          <w:sz w:val="24"/>
          <w:szCs w:val="24"/>
        </w:rPr>
      </w:pPr>
      <w:r>
        <w:rPr>
          <w:rFonts w:ascii="宋体" w:hAnsi="宋体" w:eastAsia="宋体" w:cs="宋体"/>
          <w:spacing w:val="-2"/>
          <w:sz w:val="24"/>
          <w:szCs w:val="24"/>
        </w:rPr>
        <w:t>生活污水等。</w:t>
      </w:r>
    </w:p>
    <w:p>
      <w:pPr>
        <w:spacing w:before="181" w:line="359" w:lineRule="auto"/>
        <w:ind w:left="41" w:right="86" w:firstLine="478"/>
        <w:rPr>
          <w:rFonts w:ascii="宋体" w:hAnsi="宋体" w:eastAsia="宋体" w:cs="宋体"/>
          <w:sz w:val="24"/>
          <w:szCs w:val="24"/>
        </w:rPr>
      </w:pPr>
      <w:r>
        <w:rPr>
          <w:rFonts w:ascii="宋体" w:hAnsi="宋体" w:eastAsia="宋体" w:cs="宋体"/>
          <w:spacing w:val="-10"/>
          <w:sz w:val="24"/>
          <w:szCs w:val="24"/>
        </w:rPr>
        <w:t>本项目各类施工废水均进行处理后回用， 不排放周边水体； 施工人员在场地</w:t>
      </w:r>
      <w:r>
        <w:rPr>
          <w:rFonts w:ascii="宋体" w:hAnsi="宋体" w:eastAsia="宋体" w:cs="宋体"/>
          <w:spacing w:val="2"/>
          <w:sz w:val="24"/>
          <w:szCs w:val="24"/>
        </w:rPr>
        <w:t xml:space="preserve"> </w:t>
      </w:r>
      <w:r>
        <w:rPr>
          <w:rFonts w:ascii="宋体" w:hAnsi="宋体" w:eastAsia="宋体" w:cs="宋体"/>
          <w:spacing w:val="-6"/>
          <w:sz w:val="24"/>
          <w:szCs w:val="24"/>
        </w:rPr>
        <w:t>内采用旱厕或化粪池对生活污水进行处理， 并定期清</w:t>
      </w:r>
      <w:r>
        <w:rPr>
          <w:rFonts w:ascii="宋体" w:hAnsi="宋体" w:eastAsia="宋体" w:cs="宋体"/>
          <w:spacing w:val="-7"/>
          <w:sz w:val="24"/>
          <w:szCs w:val="24"/>
        </w:rPr>
        <w:t>运用于灌溉山林等；部分施</w:t>
      </w:r>
      <w:r>
        <w:rPr>
          <w:rFonts w:ascii="宋体" w:hAnsi="宋体" w:eastAsia="宋体" w:cs="宋体"/>
          <w:sz w:val="24"/>
          <w:szCs w:val="24"/>
        </w:rPr>
        <w:t xml:space="preserve"> </w:t>
      </w:r>
      <w:r>
        <w:rPr>
          <w:rFonts w:ascii="宋体" w:hAnsi="宋体" w:eastAsia="宋体" w:cs="宋体"/>
          <w:spacing w:val="-6"/>
          <w:sz w:val="24"/>
          <w:szCs w:val="24"/>
        </w:rPr>
        <w:t>工人员依托附近的村庄民房， 充分利用现有污水处</w:t>
      </w:r>
      <w:r>
        <w:rPr>
          <w:rFonts w:ascii="宋体" w:hAnsi="宋体" w:eastAsia="宋体" w:cs="宋体"/>
          <w:spacing w:val="-7"/>
          <w:sz w:val="24"/>
          <w:szCs w:val="24"/>
        </w:rPr>
        <w:t>理设施，对周围水环境基本无</w:t>
      </w:r>
    </w:p>
    <w:p>
      <w:pPr>
        <w:spacing w:line="221" w:lineRule="auto"/>
        <w:ind w:left="38"/>
        <w:rPr>
          <w:rFonts w:ascii="宋体" w:hAnsi="宋体" w:eastAsia="宋体" w:cs="宋体"/>
          <w:sz w:val="24"/>
          <w:szCs w:val="24"/>
        </w:rPr>
      </w:pPr>
      <w:r>
        <w:rPr>
          <w:rFonts w:ascii="宋体" w:hAnsi="宋体" w:eastAsia="宋体" w:cs="宋体"/>
          <w:spacing w:val="-10"/>
          <w:sz w:val="24"/>
          <w:szCs w:val="24"/>
        </w:rPr>
        <w:t>影响。</w:t>
      </w:r>
    </w:p>
    <w:p>
      <w:pPr>
        <w:spacing w:before="178" w:line="220" w:lineRule="auto"/>
        <w:ind w:left="513"/>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、营运期</w:t>
      </w:r>
    </w:p>
    <w:p>
      <w:pPr>
        <w:spacing w:before="183" w:line="359" w:lineRule="auto"/>
        <w:ind w:left="41" w:right="85" w:firstLine="477"/>
        <w:rPr>
          <w:rFonts w:ascii="宋体" w:hAnsi="宋体" w:eastAsia="宋体" w:cs="宋体"/>
          <w:sz w:val="24"/>
          <w:szCs w:val="24"/>
        </w:rPr>
      </w:pPr>
      <w:r>
        <w:rPr>
          <w:rFonts w:ascii="宋体" w:hAnsi="宋体" w:eastAsia="宋体" w:cs="宋体"/>
          <w:spacing w:val="-6"/>
          <w:sz w:val="24"/>
          <w:szCs w:val="24"/>
        </w:rPr>
        <w:t>本工程营运期对水体产生影响主要为暴雨冲刷路面与桥面，</w:t>
      </w:r>
      <w:r>
        <w:rPr>
          <w:rFonts w:ascii="宋体" w:hAnsi="宋体" w:eastAsia="宋体" w:cs="宋体"/>
          <w:spacing w:val="-27"/>
          <w:sz w:val="24"/>
          <w:szCs w:val="24"/>
        </w:rPr>
        <w:t xml:space="preserve"> </w:t>
      </w:r>
      <w:r>
        <w:rPr>
          <w:rFonts w:ascii="宋体" w:hAnsi="宋体" w:eastAsia="宋体" w:cs="宋体"/>
          <w:spacing w:val="-6"/>
          <w:sz w:val="24"/>
          <w:szCs w:val="24"/>
        </w:rPr>
        <w:t>形成地面径流污</w:t>
      </w:r>
      <w:r>
        <w:rPr>
          <w:rFonts w:ascii="宋体" w:hAnsi="宋体" w:eastAsia="宋体" w:cs="宋体"/>
          <w:sz w:val="24"/>
          <w:szCs w:val="24"/>
        </w:rPr>
        <w:t xml:space="preserve"> </w:t>
      </w:r>
      <w:r>
        <w:rPr>
          <w:rFonts w:ascii="宋体" w:hAnsi="宋体" w:eastAsia="宋体" w:cs="宋体"/>
          <w:spacing w:val="-11"/>
          <w:sz w:val="24"/>
          <w:szCs w:val="24"/>
        </w:rPr>
        <w:t>染水体。一般而言， 道路地表径流污染物浓度不高，</w:t>
      </w:r>
      <w:r>
        <w:rPr>
          <w:rFonts w:ascii="宋体" w:hAnsi="宋体" w:eastAsia="宋体" w:cs="宋体"/>
          <w:spacing w:val="48"/>
          <w:sz w:val="24"/>
          <w:szCs w:val="24"/>
        </w:rPr>
        <w:t xml:space="preserve"> </w:t>
      </w:r>
      <w:r>
        <w:rPr>
          <w:rFonts w:ascii="宋体" w:hAnsi="宋体" w:eastAsia="宋体" w:cs="宋体"/>
          <w:spacing w:val="-11"/>
          <w:sz w:val="24"/>
          <w:szCs w:val="24"/>
        </w:rPr>
        <w:t>不会对沿线水体水质产生明</w:t>
      </w:r>
    </w:p>
    <w:p>
      <w:pPr>
        <w:spacing w:line="221" w:lineRule="auto"/>
        <w:ind w:left="43"/>
        <w:rPr>
          <w:rFonts w:ascii="宋体" w:hAnsi="宋体" w:eastAsia="宋体" w:cs="宋体"/>
          <w:sz w:val="24"/>
          <w:szCs w:val="24"/>
        </w:rPr>
      </w:pPr>
      <w:r>
        <w:rPr>
          <w:rFonts w:ascii="宋体" w:hAnsi="宋体" w:eastAsia="宋体" w:cs="宋体"/>
          <w:spacing w:val="-10"/>
          <w:sz w:val="24"/>
          <w:szCs w:val="24"/>
        </w:rPr>
        <w:t>显影响。</w:t>
      </w:r>
    </w:p>
    <w:p>
      <w:pPr>
        <w:spacing w:before="178" w:line="218" w:lineRule="auto"/>
        <w:ind w:left="44"/>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10.3.2 </w:t>
      </w:r>
      <w:r>
        <w:rPr>
          <w:rFonts w:ascii="宋体" w:hAnsi="宋体" w:eastAsia="宋体" w:cs="宋体"/>
          <w:spacing w:val="-1"/>
          <w:sz w:val="24"/>
          <w:szCs w:val="24"/>
          <w14:textOutline w14:w="4354" w14:cap="flat" w14:cmpd="sng">
            <w14:solidFill>
              <w14:srgbClr w14:val="000000"/>
            </w14:solidFill>
            <w14:prstDash w14:val="solid"/>
            <w14:miter w14:val="0"/>
          </w14:textOutline>
        </w:rPr>
        <w:t>环境空气影响评价结论</w:t>
      </w:r>
    </w:p>
    <w:p>
      <w:pPr>
        <w:spacing w:before="185" w:line="220" w:lineRule="auto"/>
        <w:ind w:left="536"/>
        <w:rPr>
          <w:rFonts w:ascii="宋体" w:hAnsi="宋体" w:eastAsia="宋体" w:cs="宋体"/>
          <w:sz w:val="24"/>
          <w:szCs w:val="24"/>
        </w:rPr>
      </w:pPr>
      <w:r>
        <w:rPr>
          <w:rFonts w:ascii="Times New Roman" w:hAnsi="Times New Roman" w:eastAsia="Times New Roman" w:cs="Times New Roman"/>
          <w:spacing w:val="-8"/>
          <w:sz w:val="24"/>
          <w:szCs w:val="24"/>
        </w:rPr>
        <w:t>1</w:t>
      </w:r>
      <w:r>
        <w:rPr>
          <w:rFonts w:ascii="宋体" w:hAnsi="宋体" w:eastAsia="宋体" w:cs="宋体"/>
          <w:spacing w:val="-8"/>
          <w:sz w:val="24"/>
          <w:szCs w:val="24"/>
        </w:rPr>
        <w:t>、施工期</w:t>
      </w:r>
    </w:p>
    <w:p>
      <w:pPr>
        <w:spacing w:before="179" w:line="359" w:lineRule="auto"/>
        <w:ind w:left="38" w:right="86" w:firstLine="478"/>
        <w:rPr>
          <w:rFonts w:ascii="宋体" w:hAnsi="宋体" w:eastAsia="宋体" w:cs="宋体"/>
          <w:sz w:val="24"/>
          <w:szCs w:val="24"/>
        </w:rPr>
      </w:pPr>
      <w:r>
        <w:rPr>
          <w:rFonts w:ascii="宋体" w:hAnsi="宋体" w:eastAsia="宋体" w:cs="宋体"/>
          <w:spacing w:val="2"/>
          <w:sz w:val="24"/>
          <w:szCs w:val="24"/>
        </w:rPr>
        <w:t>施工期废气主要为施工扬尘</w:t>
      </w:r>
      <w:r>
        <w:rPr>
          <w:rFonts w:ascii="Times New Roman" w:hAnsi="Times New Roman" w:eastAsia="Times New Roman" w:cs="Times New Roman"/>
          <w:spacing w:val="2"/>
          <w:sz w:val="24"/>
          <w:szCs w:val="24"/>
        </w:rPr>
        <w:t>(</w:t>
      </w:r>
      <w:r>
        <w:rPr>
          <w:rFonts w:ascii="宋体" w:hAnsi="宋体" w:eastAsia="宋体" w:cs="宋体"/>
          <w:spacing w:val="2"/>
          <w:sz w:val="24"/>
          <w:szCs w:val="24"/>
        </w:rPr>
        <w:t>施工场地扬尘、搅拌</w:t>
      </w:r>
      <w:r>
        <w:rPr>
          <w:rFonts w:ascii="宋体" w:hAnsi="宋体" w:eastAsia="宋体" w:cs="宋体"/>
          <w:spacing w:val="1"/>
          <w:sz w:val="24"/>
          <w:szCs w:val="24"/>
        </w:rPr>
        <w:t>扬尘、碎石及机制砂将生</w:t>
      </w:r>
      <w:r>
        <w:rPr>
          <w:rFonts w:ascii="宋体" w:hAnsi="宋体" w:eastAsia="宋体" w:cs="宋体"/>
          <w:sz w:val="24"/>
          <w:szCs w:val="24"/>
        </w:rPr>
        <w:t xml:space="preserve"> </w:t>
      </w:r>
      <w:r>
        <w:rPr>
          <w:rFonts w:ascii="宋体" w:hAnsi="宋体" w:eastAsia="宋体" w:cs="宋体"/>
          <w:spacing w:val="1"/>
          <w:sz w:val="24"/>
          <w:szCs w:val="24"/>
        </w:rPr>
        <w:t>产粉尘、车辆扬尘</w:t>
      </w:r>
      <w:r>
        <w:rPr>
          <w:rFonts w:ascii="Times New Roman" w:hAnsi="Times New Roman" w:eastAsia="Times New Roman" w:cs="Times New Roman"/>
          <w:spacing w:val="1"/>
          <w:sz w:val="24"/>
          <w:szCs w:val="24"/>
        </w:rPr>
        <w:t>)</w:t>
      </w:r>
      <w:r>
        <w:rPr>
          <w:rFonts w:ascii="宋体" w:hAnsi="宋体" w:eastAsia="宋体" w:cs="宋体"/>
          <w:spacing w:val="1"/>
          <w:sz w:val="24"/>
          <w:szCs w:val="24"/>
        </w:rPr>
        <w:t>、沥青烟气，通过加强施工管理，采取洒水、除尘器除尘、</w:t>
      </w:r>
    </w:p>
    <w:p>
      <w:pPr>
        <w:spacing w:before="1" w:line="219" w:lineRule="auto"/>
        <w:ind w:left="54"/>
        <w:rPr>
          <w:rFonts w:ascii="宋体" w:hAnsi="宋体" w:eastAsia="宋体" w:cs="宋体"/>
          <w:sz w:val="24"/>
          <w:szCs w:val="24"/>
        </w:rPr>
      </w:pPr>
      <w:r>
        <w:rPr>
          <w:rFonts w:ascii="宋体" w:hAnsi="宋体" w:eastAsia="宋体" w:cs="宋体"/>
          <w:spacing w:val="-3"/>
          <w:sz w:val="24"/>
          <w:szCs w:val="24"/>
        </w:rPr>
        <w:t>限制车速等措施后，扬尘等废气对敏感点的影响不大。</w:t>
      </w:r>
    </w:p>
    <w:p>
      <w:pPr>
        <w:spacing w:before="183" w:line="220" w:lineRule="auto"/>
        <w:ind w:left="513"/>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、营运期</w:t>
      </w:r>
    </w:p>
    <w:p>
      <w:pPr>
        <w:spacing w:before="182" w:line="359" w:lineRule="auto"/>
        <w:ind w:left="37" w:right="84" w:firstLine="481"/>
        <w:rPr>
          <w:rFonts w:ascii="宋体" w:hAnsi="宋体" w:eastAsia="宋体" w:cs="宋体"/>
          <w:sz w:val="24"/>
          <w:szCs w:val="24"/>
        </w:rPr>
      </w:pPr>
      <w:r>
        <w:rPr>
          <w:rFonts w:ascii="宋体" w:hAnsi="宋体" w:eastAsia="宋体" w:cs="宋体"/>
          <w:spacing w:val="-4"/>
          <w:sz w:val="24"/>
          <w:szCs w:val="24"/>
        </w:rPr>
        <w:t>本工程公路营运期过往车辆排放的汽车尾气</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NOx</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CO </w:t>
      </w:r>
      <w:r>
        <w:rPr>
          <w:rFonts w:ascii="宋体" w:hAnsi="宋体" w:eastAsia="宋体" w:cs="宋体"/>
          <w:spacing w:val="-4"/>
          <w:sz w:val="24"/>
          <w:szCs w:val="24"/>
        </w:rPr>
        <w:t>等，</w:t>
      </w:r>
      <w:r>
        <w:rPr>
          <w:rFonts w:ascii="宋体" w:hAnsi="宋体" w:eastAsia="宋体" w:cs="宋体"/>
          <w:spacing w:val="-55"/>
          <w:sz w:val="24"/>
          <w:szCs w:val="24"/>
        </w:rPr>
        <w:t xml:space="preserve"> </w:t>
      </w:r>
      <w:r>
        <w:rPr>
          <w:rFonts w:ascii="宋体" w:hAnsi="宋体" w:eastAsia="宋体" w:cs="宋体"/>
          <w:spacing w:val="-4"/>
          <w:sz w:val="24"/>
          <w:szCs w:val="24"/>
        </w:rPr>
        <w:t>影响区域局限在</w:t>
      </w:r>
      <w:r>
        <w:rPr>
          <w:rFonts w:ascii="宋体" w:hAnsi="宋体" w:eastAsia="宋体" w:cs="宋体"/>
          <w:sz w:val="24"/>
          <w:szCs w:val="24"/>
        </w:rPr>
        <w:t xml:space="preserve"> </w:t>
      </w:r>
      <w:r>
        <w:rPr>
          <w:rFonts w:ascii="宋体" w:hAnsi="宋体" w:eastAsia="宋体" w:cs="宋体"/>
          <w:spacing w:val="-6"/>
          <w:sz w:val="24"/>
          <w:szCs w:val="24"/>
        </w:rPr>
        <w:t>道路两侧， 受影响区域人口密度不大。汽车尾气经过大气的</w:t>
      </w:r>
      <w:r>
        <w:rPr>
          <w:rFonts w:ascii="宋体" w:hAnsi="宋体" w:eastAsia="宋体" w:cs="宋体"/>
          <w:spacing w:val="-7"/>
          <w:sz w:val="24"/>
          <w:szCs w:val="24"/>
        </w:rPr>
        <w:t>扩散及稀释对周边环</w:t>
      </w:r>
    </w:p>
    <w:p>
      <w:pPr>
        <w:spacing w:before="1" w:line="218" w:lineRule="auto"/>
        <w:jc w:val="right"/>
        <w:rPr>
          <w:rFonts w:ascii="宋体" w:hAnsi="宋体" w:eastAsia="宋体" w:cs="宋体"/>
          <w:sz w:val="24"/>
          <w:szCs w:val="24"/>
        </w:rPr>
      </w:pPr>
      <w:r>
        <w:rPr>
          <w:rFonts w:ascii="宋体" w:hAnsi="宋体" w:eastAsia="宋体" w:cs="宋体"/>
          <w:spacing w:val="-9"/>
          <w:sz w:val="24"/>
          <w:szCs w:val="24"/>
        </w:rPr>
        <w:t>境空气的基本无影响。总体而言，</w:t>
      </w:r>
      <w:r>
        <w:rPr>
          <w:rFonts w:ascii="宋体" w:hAnsi="宋体" w:eastAsia="宋体" w:cs="宋体"/>
          <w:spacing w:val="-44"/>
          <w:sz w:val="24"/>
          <w:szCs w:val="24"/>
        </w:rPr>
        <w:t xml:space="preserve"> </w:t>
      </w:r>
      <w:r>
        <w:rPr>
          <w:rFonts w:ascii="宋体" w:hAnsi="宋体" w:eastAsia="宋体" w:cs="宋体"/>
          <w:spacing w:val="-9"/>
          <w:sz w:val="24"/>
          <w:szCs w:val="24"/>
        </w:rPr>
        <w:t>本项目运营大气</w:t>
      </w:r>
      <w:r>
        <w:rPr>
          <w:rFonts w:ascii="宋体" w:hAnsi="宋体" w:eastAsia="宋体" w:cs="宋体"/>
          <w:spacing w:val="-10"/>
          <w:sz w:val="24"/>
          <w:szCs w:val="24"/>
        </w:rPr>
        <w:t>环境及周边敏感点的影响较小。</w:t>
      </w:r>
    </w:p>
    <w:p>
      <w:pPr>
        <w:spacing w:before="181" w:line="218" w:lineRule="auto"/>
        <w:ind w:left="44"/>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10.3.3 </w:t>
      </w:r>
      <w:r>
        <w:rPr>
          <w:rFonts w:ascii="宋体" w:hAnsi="宋体" w:eastAsia="宋体" w:cs="宋体"/>
          <w:spacing w:val="-1"/>
          <w:sz w:val="24"/>
          <w:szCs w:val="24"/>
          <w14:textOutline w14:w="4354" w14:cap="flat" w14:cmpd="sng">
            <w14:solidFill>
              <w14:srgbClr w14:val="000000"/>
            </w14:solidFill>
            <w14:prstDash w14:val="solid"/>
            <w14:miter w14:val="0"/>
          </w14:textOutline>
        </w:rPr>
        <w:t>声环境影响评价结论</w:t>
      </w:r>
    </w:p>
    <w:p>
      <w:pPr>
        <w:spacing w:before="185" w:line="220" w:lineRule="auto"/>
        <w:ind w:left="536"/>
        <w:rPr>
          <w:rFonts w:ascii="宋体" w:hAnsi="宋体" w:eastAsia="宋体" w:cs="宋体"/>
          <w:sz w:val="24"/>
          <w:szCs w:val="24"/>
        </w:rPr>
      </w:pPr>
      <w:r>
        <w:rPr>
          <w:rFonts w:ascii="Times New Roman" w:hAnsi="Times New Roman" w:eastAsia="Times New Roman" w:cs="Times New Roman"/>
          <w:spacing w:val="-8"/>
          <w:sz w:val="24"/>
          <w:szCs w:val="24"/>
        </w:rPr>
        <w:t>1</w:t>
      </w:r>
      <w:r>
        <w:rPr>
          <w:rFonts w:ascii="宋体" w:hAnsi="宋体" w:eastAsia="宋体" w:cs="宋体"/>
          <w:spacing w:val="-8"/>
          <w:sz w:val="24"/>
          <w:szCs w:val="24"/>
        </w:rPr>
        <w:t>、施工期</w:t>
      </w:r>
    </w:p>
    <w:p>
      <w:pPr>
        <w:spacing w:before="180" w:line="359" w:lineRule="auto"/>
        <w:ind w:left="44" w:firstLine="472"/>
        <w:rPr>
          <w:rFonts w:ascii="宋体" w:hAnsi="宋体" w:eastAsia="宋体" w:cs="宋体"/>
          <w:sz w:val="24"/>
          <w:szCs w:val="24"/>
        </w:rPr>
      </w:pPr>
      <w:r>
        <w:rPr>
          <w:rFonts w:ascii="宋体" w:hAnsi="宋体" w:eastAsia="宋体" w:cs="宋体"/>
          <w:spacing w:val="-1"/>
          <w:sz w:val="24"/>
          <w:szCs w:val="24"/>
        </w:rPr>
        <w:t>施工期临时场地和现场施工噪声均按照《建筑施工场界环境噪声排放标准》</w:t>
      </w:r>
      <w:r>
        <w:rPr>
          <w:rFonts w:ascii="宋体" w:hAnsi="宋体" w:eastAsia="宋体" w:cs="宋体"/>
          <w:spacing w:val="15"/>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12523-2011</w:t>
      </w:r>
      <w:r>
        <w:rPr>
          <w:rFonts w:ascii="宋体" w:hAnsi="宋体" w:eastAsia="宋体" w:cs="宋体"/>
          <w:spacing w:val="2"/>
          <w:sz w:val="24"/>
          <w:szCs w:val="24"/>
        </w:rPr>
        <w:t>）中的噪声限值进行控制，严格控制夜间施工，降低施工期对</w:t>
      </w:r>
    </w:p>
    <w:p>
      <w:pPr>
        <w:spacing w:before="1" w:line="220" w:lineRule="auto"/>
        <w:ind w:left="39"/>
        <w:rPr>
          <w:rFonts w:ascii="宋体" w:hAnsi="宋体" w:eastAsia="宋体" w:cs="宋体"/>
          <w:sz w:val="24"/>
          <w:szCs w:val="24"/>
        </w:rPr>
      </w:pPr>
      <w:r>
        <w:rPr>
          <w:rFonts w:ascii="宋体" w:hAnsi="宋体" w:eastAsia="宋体" w:cs="宋体"/>
          <w:spacing w:val="-3"/>
          <w:sz w:val="24"/>
          <w:szCs w:val="24"/>
        </w:rPr>
        <w:t>周边环境保护目标及声环境的影响。</w:t>
      </w:r>
    </w:p>
    <w:p>
      <w:pPr>
        <w:spacing w:before="181" w:line="466" w:lineRule="exact"/>
        <w:ind w:left="520"/>
        <w:rPr>
          <w:rFonts w:ascii="宋体" w:hAnsi="宋体" w:eastAsia="宋体" w:cs="宋体"/>
          <w:sz w:val="24"/>
          <w:szCs w:val="24"/>
        </w:rPr>
      </w:pPr>
      <w:r>
        <w:rPr>
          <w:rFonts w:ascii="宋体" w:hAnsi="宋体" w:eastAsia="宋体" w:cs="宋体"/>
          <w:spacing w:val="-11"/>
          <w:position w:val="17"/>
          <w:sz w:val="24"/>
          <w:szCs w:val="24"/>
        </w:rPr>
        <w:t>工程设置</w:t>
      </w:r>
      <w:r>
        <w:rPr>
          <w:rFonts w:ascii="宋体" w:hAnsi="宋体" w:eastAsia="宋体" w:cs="宋体"/>
          <w:spacing w:val="-55"/>
          <w:position w:val="17"/>
          <w:sz w:val="24"/>
          <w:szCs w:val="24"/>
        </w:rPr>
        <w:t xml:space="preserve"> </w:t>
      </w:r>
      <w:r>
        <w:rPr>
          <w:rFonts w:ascii="Times New Roman" w:hAnsi="Times New Roman" w:eastAsia="Times New Roman" w:cs="Times New Roman"/>
          <w:spacing w:val="-11"/>
          <w:position w:val="17"/>
          <w:sz w:val="24"/>
          <w:szCs w:val="24"/>
        </w:rPr>
        <w:t xml:space="preserve">2 </w:t>
      </w:r>
      <w:r>
        <w:rPr>
          <w:rFonts w:ascii="宋体" w:hAnsi="宋体" w:eastAsia="宋体" w:cs="宋体"/>
          <w:spacing w:val="-11"/>
          <w:position w:val="17"/>
          <w:sz w:val="24"/>
          <w:szCs w:val="24"/>
        </w:rPr>
        <w:t>座隧道， 因此隧道爆破施工期间噪声较大，</w:t>
      </w:r>
      <w:r>
        <w:rPr>
          <w:rFonts w:ascii="宋体" w:hAnsi="宋体" w:eastAsia="宋体" w:cs="宋体"/>
          <w:spacing w:val="44"/>
          <w:position w:val="17"/>
          <w:sz w:val="24"/>
          <w:szCs w:val="24"/>
        </w:rPr>
        <w:t xml:space="preserve"> </w:t>
      </w:r>
      <w:r>
        <w:rPr>
          <w:rFonts w:ascii="宋体" w:hAnsi="宋体" w:eastAsia="宋体" w:cs="宋体"/>
          <w:spacing w:val="-12"/>
          <w:position w:val="17"/>
          <w:sz w:val="24"/>
          <w:szCs w:val="24"/>
        </w:rPr>
        <w:t>由于爆破噪声属瞬时</w:t>
      </w:r>
    </w:p>
    <w:p>
      <w:pPr>
        <w:spacing w:line="218" w:lineRule="auto"/>
        <w:ind w:left="49"/>
        <w:rPr>
          <w:rFonts w:ascii="宋体" w:hAnsi="宋体" w:eastAsia="宋体" w:cs="宋体"/>
          <w:sz w:val="24"/>
          <w:szCs w:val="24"/>
        </w:rPr>
      </w:pPr>
      <w:r>
        <w:rPr>
          <w:rFonts w:ascii="宋体" w:hAnsi="宋体" w:eastAsia="宋体" w:cs="宋体"/>
          <w:spacing w:val="-2"/>
          <w:sz w:val="24"/>
          <w:szCs w:val="24"/>
        </w:rPr>
        <w:t>噪声，其影响持续时间不会太长，随着爆破施工的结束，影响随之终止。</w:t>
      </w:r>
    </w:p>
    <w:p>
      <w:pPr>
        <w:spacing w:before="185" w:line="359" w:lineRule="auto"/>
        <w:ind w:left="42" w:right="85" w:firstLine="476"/>
        <w:rPr>
          <w:rFonts w:ascii="宋体" w:hAnsi="宋体" w:eastAsia="宋体" w:cs="宋体"/>
          <w:sz w:val="24"/>
          <w:szCs w:val="24"/>
        </w:rPr>
      </w:pPr>
      <w:r>
        <w:rPr>
          <w:rFonts w:ascii="宋体" w:hAnsi="宋体" w:eastAsia="宋体" w:cs="宋体"/>
          <w:spacing w:val="-6"/>
          <w:sz w:val="24"/>
          <w:szCs w:val="24"/>
        </w:rPr>
        <w:t>机械施工振动的振幅和能量都很小，</w:t>
      </w:r>
      <w:r>
        <w:rPr>
          <w:rFonts w:ascii="宋体" w:hAnsi="宋体" w:eastAsia="宋体" w:cs="宋体"/>
          <w:spacing w:val="-28"/>
          <w:sz w:val="24"/>
          <w:szCs w:val="24"/>
        </w:rPr>
        <w:t xml:space="preserve"> </w:t>
      </w:r>
      <w:r>
        <w:rPr>
          <w:rFonts w:ascii="宋体" w:hAnsi="宋体" w:eastAsia="宋体" w:cs="宋体"/>
          <w:spacing w:val="-6"/>
          <w:sz w:val="24"/>
          <w:szCs w:val="24"/>
        </w:rPr>
        <w:t>对建筑物安全不会像爆破那样的剧烈损</w:t>
      </w:r>
      <w:r>
        <w:rPr>
          <w:rFonts w:ascii="宋体" w:hAnsi="宋体" w:eastAsia="宋体" w:cs="宋体"/>
          <w:sz w:val="24"/>
          <w:szCs w:val="24"/>
        </w:rPr>
        <w:t xml:space="preserve"> </w:t>
      </w:r>
      <w:r>
        <w:rPr>
          <w:rFonts w:ascii="宋体" w:hAnsi="宋体" w:eastAsia="宋体" w:cs="宋体"/>
          <w:spacing w:val="-12"/>
          <w:sz w:val="24"/>
          <w:szCs w:val="24"/>
        </w:rPr>
        <w:t>害。本工程沿线以砖混房为主，</w:t>
      </w:r>
      <w:r>
        <w:rPr>
          <w:rFonts w:ascii="宋体" w:hAnsi="宋体" w:eastAsia="宋体" w:cs="宋体"/>
          <w:spacing w:val="31"/>
          <w:sz w:val="24"/>
          <w:szCs w:val="24"/>
        </w:rPr>
        <w:t xml:space="preserve"> </w:t>
      </w:r>
      <w:r>
        <w:rPr>
          <w:rFonts w:ascii="宋体" w:hAnsi="宋体" w:eastAsia="宋体" w:cs="宋体"/>
          <w:spacing w:val="-12"/>
          <w:sz w:val="24"/>
          <w:szCs w:val="24"/>
        </w:rPr>
        <w:t>抗振性能较好，</w:t>
      </w:r>
      <w:r>
        <w:rPr>
          <w:rFonts w:ascii="宋体" w:hAnsi="宋体" w:eastAsia="宋体" w:cs="宋体"/>
          <w:spacing w:val="51"/>
          <w:sz w:val="24"/>
          <w:szCs w:val="24"/>
        </w:rPr>
        <w:t xml:space="preserve"> </w:t>
      </w:r>
      <w:r>
        <w:rPr>
          <w:rFonts w:ascii="宋体" w:hAnsi="宋体" w:eastAsia="宋体" w:cs="宋体"/>
          <w:spacing w:val="-12"/>
          <w:sz w:val="24"/>
          <w:szCs w:val="24"/>
        </w:rPr>
        <w:t>因此本</w:t>
      </w:r>
      <w:r>
        <w:rPr>
          <w:rFonts w:ascii="宋体" w:hAnsi="宋体" w:eastAsia="宋体" w:cs="宋体"/>
          <w:spacing w:val="-13"/>
          <w:sz w:val="24"/>
          <w:szCs w:val="24"/>
        </w:rPr>
        <w:t>工程施工机械振动对居民</w:t>
      </w:r>
    </w:p>
    <w:p>
      <w:pPr>
        <w:spacing w:line="220" w:lineRule="auto"/>
        <w:ind w:left="37"/>
        <w:rPr>
          <w:rFonts w:ascii="宋体" w:hAnsi="宋体" w:eastAsia="宋体" w:cs="宋体"/>
          <w:sz w:val="24"/>
          <w:szCs w:val="24"/>
        </w:rPr>
      </w:pPr>
      <w:r>
        <w:rPr>
          <w:rFonts w:ascii="宋体" w:hAnsi="宋体" w:eastAsia="宋体" w:cs="宋体"/>
          <w:spacing w:val="-5"/>
          <w:sz w:val="24"/>
          <w:szCs w:val="24"/>
        </w:rPr>
        <w:t>住宅的影响不大。</w:t>
      </w:r>
    </w:p>
    <w:p>
      <w:pPr>
        <w:spacing w:before="180" w:line="220" w:lineRule="auto"/>
        <w:ind w:left="513"/>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、营运期</w:t>
      </w:r>
    </w:p>
    <w:p>
      <w:pPr>
        <w:spacing w:line="220" w:lineRule="auto"/>
        <w:rPr>
          <w:rFonts w:ascii="宋体" w:hAnsi="宋体" w:eastAsia="宋体" w:cs="宋体"/>
          <w:sz w:val="24"/>
          <w:szCs w:val="24"/>
        </w:rPr>
        <w:sectPr>
          <w:headerReference r:id="rId380" w:type="default"/>
          <w:footerReference r:id="rId381" w:type="default"/>
          <w:pgSz w:w="11907" w:h="16839"/>
          <w:pgMar w:top="1118" w:right="1714" w:bottom="1177" w:left="1771" w:header="879" w:footer="1013" w:gutter="0"/>
          <w:cols w:space="720" w:num="1"/>
        </w:sectPr>
      </w:pPr>
    </w:p>
    <w:p>
      <w:pPr>
        <w:pStyle w:val="2"/>
        <w:spacing w:line="281" w:lineRule="auto"/>
      </w:pPr>
    </w:p>
    <w:p>
      <w:pPr>
        <w:spacing w:before="78" w:line="359" w:lineRule="auto"/>
        <w:ind w:left="37" w:firstLine="475"/>
        <w:rPr>
          <w:rFonts w:ascii="宋体" w:hAnsi="宋体" w:eastAsia="宋体" w:cs="宋体"/>
          <w:sz w:val="24"/>
          <w:szCs w:val="24"/>
        </w:rPr>
      </w:pPr>
      <w:r>
        <w:rPr>
          <w:rFonts w:ascii="Times New Roman" w:hAnsi="Times New Roman" w:eastAsia="Times New Roman" w:cs="Times New Roman"/>
          <w:spacing w:val="-7"/>
          <w:sz w:val="24"/>
          <w:szCs w:val="24"/>
        </w:rPr>
        <w:t xml:space="preserve">4a  </w:t>
      </w:r>
      <w:r>
        <w:rPr>
          <w:rFonts w:ascii="宋体" w:hAnsi="宋体" w:eastAsia="宋体" w:cs="宋体"/>
          <w:spacing w:val="-7"/>
          <w:sz w:val="24"/>
          <w:szCs w:val="24"/>
        </w:rPr>
        <w:t>类区中， 项目营运近期，所有的保护目标昼间均达标， 庙儿垄、前垄、</w:t>
      </w:r>
      <w:r>
        <w:rPr>
          <w:rFonts w:ascii="宋体" w:hAnsi="宋体" w:eastAsia="宋体" w:cs="宋体"/>
          <w:spacing w:val="8"/>
          <w:sz w:val="24"/>
          <w:szCs w:val="24"/>
        </w:rPr>
        <w:t xml:space="preserve">  </w:t>
      </w:r>
      <w:r>
        <w:rPr>
          <w:rFonts w:ascii="宋体" w:hAnsi="宋体" w:eastAsia="宋体" w:cs="宋体"/>
          <w:spacing w:val="-16"/>
          <w:sz w:val="24"/>
          <w:szCs w:val="24"/>
        </w:rPr>
        <w:t>双田村、 包山、凤鸣、</w:t>
      </w:r>
      <w:r>
        <w:rPr>
          <w:rFonts w:ascii="宋体" w:hAnsi="宋体" w:eastAsia="宋体" w:cs="宋体"/>
          <w:spacing w:val="47"/>
          <w:sz w:val="24"/>
          <w:szCs w:val="24"/>
        </w:rPr>
        <w:t xml:space="preserve"> </w:t>
      </w:r>
      <w:r>
        <w:rPr>
          <w:rFonts w:ascii="宋体" w:hAnsi="宋体" w:eastAsia="宋体" w:cs="宋体"/>
          <w:spacing w:val="-16"/>
          <w:sz w:val="24"/>
          <w:szCs w:val="24"/>
        </w:rPr>
        <w:t>蔡处、金路桥等</w:t>
      </w:r>
      <w:r>
        <w:rPr>
          <w:rFonts w:ascii="宋体" w:hAnsi="宋体" w:eastAsia="宋体" w:cs="宋体"/>
          <w:spacing w:val="-51"/>
          <w:sz w:val="24"/>
          <w:szCs w:val="24"/>
        </w:rPr>
        <w:t xml:space="preserve"> </w:t>
      </w:r>
      <w:r>
        <w:rPr>
          <w:rFonts w:ascii="Times New Roman" w:hAnsi="Times New Roman" w:eastAsia="Times New Roman" w:cs="Times New Roman"/>
          <w:spacing w:val="-16"/>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16"/>
          <w:sz w:val="24"/>
          <w:szCs w:val="24"/>
        </w:rPr>
        <w:t>处声环境保护目标夜间存在超标，</w:t>
      </w:r>
      <w:r>
        <w:rPr>
          <w:rFonts w:ascii="宋体" w:hAnsi="宋体" w:eastAsia="宋体" w:cs="宋体"/>
          <w:spacing w:val="43"/>
          <w:sz w:val="24"/>
          <w:szCs w:val="24"/>
        </w:rPr>
        <w:t xml:space="preserve"> </w:t>
      </w:r>
      <w:r>
        <w:rPr>
          <w:rFonts w:ascii="宋体" w:hAnsi="宋体" w:eastAsia="宋体" w:cs="宋体"/>
          <w:spacing w:val="-16"/>
          <w:sz w:val="24"/>
          <w:szCs w:val="24"/>
        </w:rPr>
        <w:t xml:space="preserve">超标 </w:t>
      </w:r>
      <w:r>
        <w:rPr>
          <w:rFonts w:ascii="宋体" w:hAnsi="宋体" w:eastAsia="宋体" w:cs="宋体"/>
          <w:spacing w:val="-12"/>
          <w:sz w:val="24"/>
          <w:szCs w:val="24"/>
        </w:rPr>
        <w:t>量为</w:t>
      </w:r>
      <w:r>
        <w:rPr>
          <w:rFonts w:ascii="宋体" w:hAnsi="宋体" w:eastAsia="宋体" w:cs="宋体"/>
          <w:spacing w:val="-34"/>
          <w:sz w:val="24"/>
          <w:szCs w:val="24"/>
        </w:rPr>
        <w:t xml:space="preserve"> </w:t>
      </w:r>
      <w:r>
        <w:rPr>
          <w:rFonts w:ascii="Times New Roman" w:hAnsi="Times New Roman" w:eastAsia="Times New Roman" w:cs="Times New Roman"/>
          <w:spacing w:val="-12"/>
          <w:sz w:val="24"/>
          <w:szCs w:val="24"/>
        </w:rPr>
        <w:t>0.4~6.9dB</w:t>
      </w:r>
      <w:r>
        <w:rPr>
          <w:rFonts w:ascii="宋体" w:hAnsi="宋体" w:eastAsia="宋体" w:cs="宋体"/>
          <w:spacing w:val="-12"/>
          <w:sz w:val="24"/>
          <w:szCs w:val="24"/>
        </w:rPr>
        <w:t>；项目营运中期，</w:t>
      </w:r>
      <w:r>
        <w:rPr>
          <w:rFonts w:ascii="宋体" w:hAnsi="宋体" w:eastAsia="宋体" w:cs="宋体"/>
          <w:spacing w:val="42"/>
          <w:sz w:val="24"/>
          <w:szCs w:val="24"/>
        </w:rPr>
        <w:t xml:space="preserve"> </w:t>
      </w:r>
      <w:r>
        <w:rPr>
          <w:rFonts w:ascii="宋体" w:hAnsi="宋体" w:eastAsia="宋体" w:cs="宋体"/>
          <w:spacing w:val="-12"/>
          <w:sz w:val="24"/>
          <w:szCs w:val="24"/>
        </w:rPr>
        <w:t>所有的保护目标昼间均达标，</w:t>
      </w:r>
      <w:r>
        <w:rPr>
          <w:rFonts w:ascii="宋体" w:hAnsi="宋体" w:eastAsia="宋体" w:cs="宋体"/>
          <w:spacing w:val="43"/>
          <w:sz w:val="24"/>
          <w:szCs w:val="24"/>
        </w:rPr>
        <w:t xml:space="preserve"> </w:t>
      </w:r>
      <w:r>
        <w:rPr>
          <w:rFonts w:ascii="宋体" w:hAnsi="宋体" w:eastAsia="宋体" w:cs="宋体"/>
          <w:spacing w:val="-12"/>
          <w:sz w:val="24"/>
          <w:szCs w:val="24"/>
        </w:rPr>
        <w:t>墩头垟、庙儿垄、</w:t>
      </w:r>
      <w:r>
        <w:rPr>
          <w:rFonts w:ascii="宋体" w:hAnsi="宋体" w:eastAsia="宋体" w:cs="宋体"/>
          <w:sz w:val="24"/>
          <w:szCs w:val="24"/>
        </w:rPr>
        <w:t xml:space="preserve"> </w:t>
      </w:r>
      <w:r>
        <w:rPr>
          <w:rFonts w:ascii="宋体" w:hAnsi="宋体" w:eastAsia="宋体" w:cs="宋体"/>
          <w:spacing w:val="-8"/>
          <w:sz w:val="24"/>
          <w:szCs w:val="24"/>
        </w:rPr>
        <w:t>前垄、双田村、包山、凤鸣、蔡处、金路桥等</w:t>
      </w:r>
      <w:r>
        <w:rPr>
          <w:rFonts w:ascii="宋体" w:hAnsi="宋体" w:eastAsia="宋体" w:cs="宋体"/>
          <w:spacing w:val="-46"/>
          <w:sz w:val="24"/>
          <w:szCs w:val="24"/>
        </w:rPr>
        <w:t xml:space="preserve"> </w:t>
      </w:r>
      <w:r>
        <w:rPr>
          <w:rFonts w:ascii="Times New Roman" w:hAnsi="Times New Roman" w:eastAsia="Times New Roman" w:cs="Times New Roman"/>
          <w:spacing w:val="-9"/>
          <w:sz w:val="24"/>
          <w:szCs w:val="24"/>
        </w:rPr>
        <w:t>8</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处声环境保护目标夜间存在超标，</w:t>
      </w:r>
      <w:r>
        <w:rPr>
          <w:rFonts w:ascii="宋体" w:hAnsi="宋体" w:eastAsia="宋体" w:cs="宋体"/>
          <w:sz w:val="24"/>
          <w:szCs w:val="24"/>
        </w:rPr>
        <w:t xml:space="preserve"> </w:t>
      </w:r>
      <w:r>
        <w:rPr>
          <w:rFonts w:ascii="宋体" w:hAnsi="宋体" w:eastAsia="宋体" w:cs="宋体"/>
          <w:spacing w:val="-10"/>
          <w:sz w:val="24"/>
          <w:szCs w:val="24"/>
        </w:rPr>
        <w:t>超标量在</w:t>
      </w:r>
      <w:r>
        <w:rPr>
          <w:rFonts w:ascii="宋体" w:hAnsi="宋体" w:eastAsia="宋体" w:cs="宋体"/>
          <w:spacing w:val="-40"/>
          <w:sz w:val="24"/>
          <w:szCs w:val="24"/>
        </w:rPr>
        <w:t xml:space="preserve"> </w:t>
      </w:r>
      <w:r>
        <w:rPr>
          <w:rFonts w:ascii="Times New Roman" w:hAnsi="Times New Roman" w:eastAsia="Times New Roman" w:cs="Times New Roman"/>
          <w:spacing w:val="-10"/>
          <w:sz w:val="24"/>
          <w:szCs w:val="24"/>
        </w:rPr>
        <w:t>0.6~9.3dB</w:t>
      </w:r>
      <w:r>
        <w:rPr>
          <w:rFonts w:ascii="宋体" w:hAnsi="宋体" w:eastAsia="宋体" w:cs="宋体"/>
          <w:spacing w:val="-10"/>
          <w:sz w:val="24"/>
          <w:szCs w:val="24"/>
        </w:rPr>
        <w:t>；项目营运远期，</w:t>
      </w:r>
      <w:r>
        <w:rPr>
          <w:rFonts w:ascii="宋体" w:hAnsi="宋体" w:eastAsia="宋体" w:cs="宋体"/>
          <w:spacing w:val="67"/>
          <w:sz w:val="24"/>
          <w:szCs w:val="24"/>
        </w:rPr>
        <w:t xml:space="preserve"> </w:t>
      </w:r>
      <w:r>
        <w:rPr>
          <w:rFonts w:ascii="宋体" w:hAnsi="宋体" w:eastAsia="宋体" w:cs="宋体"/>
          <w:spacing w:val="-10"/>
          <w:sz w:val="24"/>
          <w:szCs w:val="24"/>
        </w:rPr>
        <w:t>前垄、双田村、包山</w:t>
      </w:r>
      <w:r>
        <w:rPr>
          <w:rFonts w:ascii="宋体" w:hAnsi="宋体" w:eastAsia="宋体" w:cs="宋体"/>
          <w:spacing w:val="-11"/>
          <w:sz w:val="24"/>
          <w:szCs w:val="24"/>
        </w:rPr>
        <w:t>、</w:t>
      </w:r>
      <w:r>
        <w:rPr>
          <w:rFonts w:ascii="宋体" w:hAnsi="宋体" w:eastAsia="宋体" w:cs="宋体"/>
          <w:spacing w:val="52"/>
          <w:sz w:val="24"/>
          <w:szCs w:val="24"/>
        </w:rPr>
        <w:t xml:space="preserve"> </w:t>
      </w:r>
      <w:r>
        <w:rPr>
          <w:rFonts w:ascii="宋体" w:hAnsi="宋体" w:eastAsia="宋体" w:cs="宋体"/>
          <w:spacing w:val="-11"/>
          <w:sz w:val="24"/>
          <w:szCs w:val="24"/>
        </w:rPr>
        <w:t>蔡处等</w:t>
      </w:r>
      <w:r>
        <w:rPr>
          <w:rFonts w:ascii="宋体" w:hAnsi="宋体" w:eastAsia="宋体" w:cs="宋体"/>
          <w:spacing w:val="-44"/>
          <w:sz w:val="24"/>
          <w:szCs w:val="24"/>
        </w:rPr>
        <w:t xml:space="preserve"> </w:t>
      </w:r>
      <w:r>
        <w:rPr>
          <w:rFonts w:ascii="Times New Roman" w:hAnsi="Times New Roman" w:eastAsia="Times New Roman" w:cs="Times New Roman"/>
          <w:spacing w:val="-11"/>
          <w:sz w:val="24"/>
          <w:szCs w:val="24"/>
        </w:rPr>
        <w:t>4</w:t>
      </w:r>
      <w:r>
        <w:rPr>
          <w:rFonts w:ascii="Times New Roman" w:hAnsi="Times New Roman" w:eastAsia="Times New Roman" w:cs="Times New Roman"/>
          <w:spacing w:val="26"/>
          <w:sz w:val="24"/>
          <w:szCs w:val="24"/>
        </w:rPr>
        <w:t xml:space="preserve"> </w:t>
      </w:r>
      <w:r>
        <w:rPr>
          <w:rFonts w:ascii="宋体" w:hAnsi="宋体" w:eastAsia="宋体" w:cs="宋体"/>
          <w:spacing w:val="-11"/>
          <w:sz w:val="24"/>
          <w:szCs w:val="24"/>
        </w:rPr>
        <w:t xml:space="preserve">处声环境 </w:t>
      </w:r>
      <w:r>
        <w:rPr>
          <w:rFonts w:ascii="宋体" w:hAnsi="宋体" w:eastAsia="宋体" w:cs="宋体"/>
          <w:spacing w:val="-9"/>
          <w:sz w:val="24"/>
          <w:szCs w:val="24"/>
        </w:rPr>
        <w:t xml:space="preserve">保护目标昼间存在超标，超标量为 </w:t>
      </w:r>
      <w:r>
        <w:rPr>
          <w:rFonts w:ascii="Times New Roman" w:hAnsi="Times New Roman" w:eastAsia="Times New Roman" w:cs="Times New Roman"/>
          <w:spacing w:val="-9"/>
          <w:sz w:val="24"/>
          <w:szCs w:val="24"/>
        </w:rPr>
        <w:t>1.0~2.4dB</w:t>
      </w:r>
      <w:r>
        <w:rPr>
          <w:rFonts w:ascii="Times New Roman" w:hAnsi="Times New Roman" w:eastAsia="Times New Roman" w:cs="Times New Roman"/>
          <w:spacing w:val="-20"/>
          <w:sz w:val="24"/>
          <w:szCs w:val="24"/>
        </w:rPr>
        <w:t xml:space="preserve"> </w:t>
      </w:r>
      <w:r>
        <w:rPr>
          <w:rFonts w:ascii="宋体" w:hAnsi="宋体" w:eastAsia="宋体" w:cs="宋体"/>
          <w:spacing w:val="-9"/>
          <w:sz w:val="24"/>
          <w:szCs w:val="24"/>
        </w:rPr>
        <w:t>，墩头垟、庙儿垄、</w:t>
      </w:r>
      <w:r>
        <w:rPr>
          <w:rFonts w:ascii="宋体" w:hAnsi="宋体" w:eastAsia="宋体" w:cs="宋体"/>
          <w:spacing w:val="49"/>
          <w:sz w:val="24"/>
          <w:szCs w:val="24"/>
        </w:rPr>
        <w:t xml:space="preserve"> </w:t>
      </w:r>
      <w:r>
        <w:rPr>
          <w:rFonts w:ascii="宋体" w:hAnsi="宋体" w:eastAsia="宋体" w:cs="宋体"/>
          <w:spacing w:val="-9"/>
          <w:sz w:val="24"/>
          <w:szCs w:val="24"/>
        </w:rPr>
        <w:t xml:space="preserve">前垄、 让川村 </w:t>
      </w:r>
      <w:r>
        <w:rPr>
          <w:rFonts w:ascii="宋体" w:hAnsi="宋体" w:eastAsia="宋体" w:cs="宋体"/>
          <w:spacing w:val="-12"/>
          <w:sz w:val="24"/>
          <w:szCs w:val="24"/>
        </w:rPr>
        <w:t>安置小区、双田村、</w:t>
      </w:r>
      <w:r>
        <w:rPr>
          <w:rFonts w:ascii="宋体" w:hAnsi="宋体" w:eastAsia="宋体" w:cs="宋体"/>
          <w:spacing w:val="26"/>
          <w:sz w:val="24"/>
          <w:szCs w:val="24"/>
        </w:rPr>
        <w:t xml:space="preserve"> </w:t>
      </w:r>
      <w:r>
        <w:rPr>
          <w:rFonts w:ascii="宋体" w:hAnsi="宋体" w:eastAsia="宋体" w:cs="宋体"/>
          <w:spacing w:val="-12"/>
          <w:sz w:val="24"/>
          <w:szCs w:val="24"/>
        </w:rPr>
        <w:t>包山、凤鸣、</w:t>
      </w:r>
      <w:r>
        <w:rPr>
          <w:rFonts w:ascii="宋体" w:hAnsi="宋体" w:eastAsia="宋体" w:cs="宋体"/>
          <w:spacing w:val="32"/>
          <w:sz w:val="24"/>
          <w:szCs w:val="24"/>
        </w:rPr>
        <w:t xml:space="preserve"> </w:t>
      </w:r>
      <w:r>
        <w:rPr>
          <w:rFonts w:ascii="宋体" w:hAnsi="宋体" w:eastAsia="宋体" w:cs="宋体"/>
          <w:spacing w:val="-12"/>
          <w:sz w:val="24"/>
          <w:szCs w:val="24"/>
        </w:rPr>
        <w:t>蔡处、金路桥等</w:t>
      </w:r>
      <w:r>
        <w:rPr>
          <w:rFonts w:ascii="宋体" w:hAnsi="宋体" w:eastAsia="宋体" w:cs="宋体"/>
          <w:spacing w:val="-50"/>
          <w:sz w:val="24"/>
          <w:szCs w:val="24"/>
        </w:rPr>
        <w:t xml:space="preserve"> </w:t>
      </w:r>
      <w:r>
        <w:rPr>
          <w:rFonts w:ascii="Times New Roman" w:hAnsi="Times New Roman" w:eastAsia="Times New Roman" w:cs="Times New Roman"/>
          <w:spacing w:val="-12"/>
          <w:sz w:val="24"/>
          <w:szCs w:val="24"/>
        </w:rPr>
        <w:t>9</w:t>
      </w:r>
      <w:r>
        <w:rPr>
          <w:rFonts w:ascii="Times New Roman" w:hAnsi="Times New Roman" w:eastAsia="Times New Roman" w:cs="Times New Roman"/>
          <w:spacing w:val="14"/>
          <w:sz w:val="24"/>
          <w:szCs w:val="24"/>
        </w:rPr>
        <w:t xml:space="preserve"> </w:t>
      </w:r>
      <w:r>
        <w:rPr>
          <w:rFonts w:ascii="宋体" w:hAnsi="宋体" w:eastAsia="宋体" w:cs="宋体"/>
          <w:spacing w:val="-12"/>
          <w:sz w:val="24"/>
          <w:szCs w:val="24"/>
        </w:rPr>
        <w:t>处声环境保护目标</w:t>
      </w:r>
      <w:r>
        <w:rPr>
          <w:rFonts w:ascii="宋体" w:hAnsi="宋体" w:eastAsia="宋体" w:cs="宋体"/>
          <w:spacing w:val="-13"/>
          <w:sz w:val="24"/>
          <w:szCs w:val="24"/>
        </w:rPr>
        <w:t>夜间存在</w:t>
      </w:r>
    </w:p>
    <w:p>
      <w:pPr>
        <w:spacing w:line="220" w:lineRule="auto"/>
        <w:ind w:left="37"/>
        <w:rPr>
          <w:rFonts w:ascii="宋体" w:hAnsi="宋体" w:eastAsia="宋体" w:cs="宋体"/>
          <w:sz w:val="24"/>
          <w:szCs w:val="24"/>
        </w:rPr>
      </w:pPr>
      <w:r>
        <w:rPr>
          <w:rFonts w:ascii="宋体" w:hAnsi="宋体" w:eastAsia="宋体" w:cs="宋体"/>
          <w:spacing w:val="-3"/>
          <w:sz w:val="24"/>
          <w:szCs w:val="24"/>
        </w:rPr>
        <w:t>超标，超标量为</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0.3~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10.3dB</w:t>
      </w:r>
      <w:r>
        <w:rPr>
          <w:rFonts w:ascii="宋体" w:hAnsi="宋体" w:eastAsia="宋体" w:cs="宋体"/>
          <w:spacing w:val="-3"/>
          <w:sz w:val="24"/>
          <w:szCs w:val="24"/>
        </w:rPr>
        <w:t>。</w:t>
      </w:r>
    </w:p>
    <w:p>
      <w:pPr>
        <w:spacing w:before="179" w:line="359" w:lineRule="auto"/>
        <w:ind w:left="39" w:right="82" w:firstLine="474"/>
        <w:rPr>
          <w:rFonts w:ascii="宋体" w:hAnsi="宋体" w:eastAsia="宋体" w:cs="宋体"/>
          <w:sz w:val="24"/>
          <w:szCs w:val="24"/>
        </w:rPr>
      </w:pPr>
      <w:r>
        <w:rPr>
          <w:rFonts w:ascii="Times New Roman" w:hAnsi="Times New Roman" w:eastAsia="Times New Roman" w:cs="Times New Roman"/>
          <w:spacing w:val="-15"/>
          <w:sz w:val="24"/>
          <w:szCs w:val="24"/>
        </w:rPr>
        <w:t xml:space="preserve">2 </w:t>
      </w:r>
      <w:r>
        <w:rPr>
          <w:rFonts w:ascii="宋体" w:hAnsi="宋体" w:eastAsia="宋体" w:cs="宋体"/>
          <w:spacing w:val="-15"/>
          <w:sz w:val="24"/>
          <w:szCs w:val="24"/>
        </w:rPr>
        <w:t>类区中， 项目营运近期，</w:t>
      </w:r>
      <w:r>
        <w:rPr>
          <w:rFonts w:ascii="宋体" w:hAnsi="宋体" w:eastAsia="宋体" w:cs="宋体"/>
          <w:spacing w:val="58"/>
          <w:sz w:val="24"/>
          <w:szCs w:val="24"/>
        </w:rPr>
        <w:t xml:space="preserve"> </w:t>
      </w:r>
      <w:r>
        <w:rPr>
          <w:rFonts w:ascii="宋体" w:hAnsi="宋体" w:eastAsia="宋体" w:cs="宋体"/>
          <w:spacing w:val="-15"/>
          <w:sz w:val="24"/>
          <w:szCs w:val="24"/>
        </w:rPr>
        <w:t>所有保护目标昼间均达标，</w:t>
      </w:r>
      <w:r>
        <w:rPr>
          <w:rFonts w:ascii="宋体" w:hAnsi="宋体" w:eastAsia="宋体" w:cs="宋体"/>
          <w:spacing w:val="65"/>
          <w:sz w:val="24"/>
          <w:szCs w:val="24"/>
        </w:rPr>
        <w:t xml:space="preserve"> </w:t>
      </w:r>
      <w:r>
        <w:rPr>
          <w:rFonts w:ascii="宋体" w:hAnsi="宋体" w:eastAsia="宋体" w:cs="宋体"/>
          <w:spacing w:val="-15"/>
          <w:sz w:val="24"/>
          <w:szCs w:val="24"/>
        </w:rPr>
        <w:t>除凤鸣村外其他声环</w:t>
      </w:r>
      <w:r>
        <w:rPr>
          <w:rFonts w:ascii="宋体" w:hAnsi="宋体" w:eastAsia="宋体" w:cs="宋体"/>
          <w:sz w:val="24"/>
          <w:szCs w:val="24"/>
        </w:rPr>
        <w:t xml:space="preserve"> </w:t>
      </w:r>
      <w:r>
        <w:rPr>
          <w:rFonts w:ascii="宋体" w:hAnsi="宋体" w:eastAsia="宋体" w:cs="宋体"/>
          <w:spacing w:val="-6"/>
          <w:sz w:val="24"/>
          <w:szCs w:val="24"/>
        </w:rPr>
        <w:t xml:space="preserve">境保护目标夜间均达标，凤鸣村超标量为 </w:t>
      </w:r>
      <w:r>
        <w:rPr>
          <w:rFonts w:ascii="Times New Roman" w:hAnsi="Times New Roman" w:eastAsia="Times New Roman" w:cs="Times New Roman"/>
          <w:spacing w:val="-6"/>
          <w:sz w:val="24"/>
          <w:szCs w:val="24"/>
        </w:rPr>
        <w:t>0.3~2.4dB</w:t>
      </w:r>
      <w:r>
        <w:rPr>
          <w:rFonts w:ascii="宋体" w:hAnsi="宋体" w:eastAsia="宋体" w:cs="宋体"/>
          <w:spacing w:val="-6"/>
          <w:sz w:val="24"/>
          <w:szCs w:val="24"/>
        </w:rPr>
        <w:t>；项目营运中期，</w:t>
      </w:r>
      <w:r>
        <w:rPr>
          <w:rFonts w:ascii="宋体" w:hAnsi="宋体" w:eastAsia="宋体" w:cs="宋体"/>
          <w:spacing w:val="86"/>
          <w:sz w:val="24"/>
          <w:szCs w:val="24"/>
        </w:rPr>
        <w:t xml:space="preserve"> </w:t>
      </w:r>
      <w:r>
        <w:rPr>
          <w:rFonts w:ascii="宋体" w:hAnsi="宋体" w:eastAsia="宋体" w:cs="宋体"/>
          <w:spacing w:val="-6"/>
          <w:sz w:val="24"/>
          <w:szCs w:val="24"/>
        </w:rPr>
        <w:t>除凤鸣村</w:t>
      </w:r>
      <w:r>
        <w:rPr>
          <w:rFonts w:ascii="宋体" w:hAnsi="宋体" w:eastAsia="宋体" w:cs="宋体"/>
          <w:sz w:val="24"/>
          <w:szCs w:val="24"/>
        </w:rPr>
        <w:t xml:space="preserve"> </w:t>
      </w:r>
      <w:r>
        <w:rPr>
          <w:rFonts w:ascii="宋体" w:hAnsi="宋体" w:eastAsia="宋体" w:cs="宋体"/>
          <w:spacing w:val="-6"/>
          <w:sz w:val="24"/>
          <w:szCs w:val="24"/>
        </w:rPr>
        <w:t>外其他声环境保护目标昼间均达标，</w:t>
      </w:r>
      <w:r>
        <w:rPr>
          <w:rFonts w:ascii="宋体" w:hAnsi="宋体" w:eastAsia="宋体" w:cs="宋体"/>
          <w:spacing w:val="59"/>
          <w:sz w:val="24"/>
          <w:szCs w:val="24"/>
        </w:rPr>
        <w:t xml:space="preserve"> </w:t>
      </w:r>
      <w:r>
        <w:rPr>
          <w:rFonts w:ascii="宋体" w:hAnsi="宋体" w:eastAsia="宋体" w:cs="宋体"/>
          <w:spacing w:val="-6"/>
          <w:sz w:val="24"/>
          <w:szCs w:val="24"/>
        </w:rPr>
        <w:t>凤鸣村超标量为</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1.2</w:t>
      </w:r>
      <w:r>
        <w:rPr>
          <w:rFonts w:ascii="Times New Roman" w:hAnsi="Times New Roman" w:eastAsia="Times New Roman" w:cs="Times New Roman"/>
          <w:spacing w:val="-7"/>
          <w:sz w:val="24"/>
          <w:szCs w:val="24"/>
        </w:rPr>
        <w:t>dB</w:t>
      </w:r>
      <w:r>
        <w:rPr>
          <w:rFonts w:ascii="宋体" w:hAnsi="宋体" w:eastAsia="宋体" w:cs="宋体"/>
          <w:spacing w:val="-7"/>
          <w:sz w:val="24"/>
          <w:szCs w:val="24"/>
        </w:rPr>
        <w:t>，前垄、让川村安置</w:t>
      </w:r>
      <w:r>
        <w:rPr>
          <w:rFonts w:ascii="宋体" w:hAnsi="宋体" w:eastAsia="宋体" w:cs="宋体"/>
          <w:sz w:val="24"/>
          <w:szCs w:val="24"/>
        </w:rPr>
        <w:t xml:space="preserve"> </w:t>
      </w:r>
      <w:r>
        <w:rPr>
          <w:rFonts w:ascii="宋体" w:hAnsi="宋体" w:eastAsia="宋体" w:cs="宋体"/>
          <w:spacing w:val="-1"/>
          <w:sz w:val="24"/>
          <w:szCs w:val="24"/>
        </w:rPr>
        <w:t>小区、包山、凤鸣等</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26"/>
          <w:w w:val="101"/>
          <w:sz w:val="24"/>
          <w:szCs w:val="24"/>
        </w:rPr>
        <w:t xml:space="preserve"> </w:t>
      </w:r>
      <w:r>
        <w:rPr>
          <w:rFonts w:ascii="宋体" w:hAnsi="宋体" w:eastAsia="宋体" w:cs="宋体"/>
          <w:spacing w:val="-1"/>
          <w:sz w:val="24"/>
          <w:szCs w:val="24"/>
        </w:rPr>
        <w:t>处声环境保护目标夜间存在超标，超标量在</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0.1~5.4dB</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9"/>
          <w:sz w:val="24"/>
          <w:szCs w:val="24"/>
        </w:rPr>
        <w:t>项目营运远期，</w:t>
      </w:r>
      <w:r>
        <w:rPr>
          <w:rFonts w:ascii="宋体" w:hAnsi="宋体" w:eastAsia="宋体" w:cs="宋体"/>
          <w:spacing w:val="61"/>
          <w:sz w:val="24"/>
          <w:szCs w:val="24"/>
        </w:rPr>
        <w:t xml:space="preserve"> </w:t>
      </w:r>
      <w:r>
        <w:rPr>
          <w:rFonts w:ascii="宋体" w:hAnsi="宋体" w:eastAsia="宋体" w:cs="宋体"/>
          <w:spacing w:val="-9"/>
          <w:sz w:val="24"/>
          <w:szCs w:val="24"/>
        </w:rPr>
        <w:t>南坑下、前垄、让川村安置小区、官田、凤鸣等</w:t>
      </w:r>
      <w:r>
        <w:rPr>
          <w:rFonts w:ascii="宋体" w:hAnsi="宋体" w:eastAsia="宋体" w:cs="宋体"/>
          <w:spacing w:val="-46"/>
          <w:sz w:val="24"/>
          <w:szCs w:val="24"/>
        </w:rPr>
        <w:t xml:space="preserve"> </w:t>
      </w:r>
      <w:r>
        <w:rPr>
          <w:rFonts w:ascii="Times New Roman" w:hAnsi="Times New Roman" w:eastAsia="Times New Roman" w:cs="Times New Roman"/>
          <w:spacing w:val="-9"/>
          <w:sz w:val="24"/>
          <w:szCs w:val="24"/>
        </w:rPr>
        <w:t>5</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处声环境保护</w:t>
      </w:r>
      <w:r>
        <w:rPr>
          <w:rFonts w:ascii="宋体" w:hAnsi="宋体" w:eastAsia="宋体" w:cs="宋体"/>
          <w:sz w:val="24"/>
          <w:szCs w:val="24"/>
        </w:rPr>
        <w:t xml:space="preserve"> </w:t>
      </w:r>
      <w:r>
        <w:rPr>
          <w:rFonts w:ascii="宋体" w:hAnsi="宋体" w:eastAsia="宋体" w:cs="宋体"/>
          <w:spacing w:val="-1"/>
          <w:sz w:val="24"/>
          <w:szCs w:val="24"/>
        </w:rPr>
        <w:t xml:space="preserve">目标昼间超标，超标量为 </w:t>
      </w:r>
      <w:r>
        <w:rPr>
          <w:rFonts w:ascii="Times New Roman" w:hAnsi="Times New Roman" w:eastAsia="Times New Roman" w:cs="Times New Roman"/>
          <w:spacing w:val="-1"/>
          <w:sz w:val="24"/>
          <w:szCs w:val="24"/>
        </w:rPr>
        <w:t>0.5~5.8dB</w:t>
      </w:r>
      <w:r>
        <w:rPr>
          <w:rFonts w:ascii="宋体" w:hAnsi="宋体" w:eastAsia="宋体" w:cs="宋体"/>
          <w:spacing w:val="-1"/>
          <w:sz w:val="24"/>
          <w:szCs w:val="24"/>
        </w:rPr>
        <w:t>，前垄、让川村安置小区</w:t>
      </w:r>
      <w:r>
        <w:rPr>
          <w:rFonts w:ascii="宋体" w:hAnsi="宋体" w:eastAsia="宋体" w:cs="宋体"/>
          <w:spacing w:val="-2"/>
          <w:sz w:val="24"/>
          <w:szCs w:val="24"/>
        </w:rPr>
        <w:t>、官田、包山、凤</w:t>
      </w:r>
    </w:p>
    <w:p>
      <w:pPr>
        <w:spacing w:line="219" w:lineRule="auto"/>
        <w:ind w:left="50"/>
        <w:rPr>
          <w:rFonts w:ascii="宋体" w:hAnsi="宋体" w:eastAsia="宋体" w:cs="宋体"/>
          <w:sz w:val="24"/>
          <w:szCs w:val="24"/>
        </w:rPr>
      </w:pPr>
      <w:r>
        <w:rPr>
          <w:rFonts w:ascii="宋体" w:hAnsi="宋体" w:eastAsia="宋体" w:cs="宋体"/>
          <w:spacing w:val="-1"/>
          <w:sz w:val="24"/>
          <w:szCs w:val="24"/>
        </w:rPr>
        <w:t>鸣等</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处声环境保护目标夜间存在超标，超标量在</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0.4~6.4dB</w:t>
      </w:r>
      <w:r>
        <w:rPr>
          <w:rFonts w:ascii="宋体" w:hAnsi="宋体" w:eastAsia="宋体" w:cs="宋体"/>
          <w:spacing w:val="-2"/>
          <w:sz w:val="24"/>
          <w:szCs w:val="24"/>
        </w:rPr>
        <w:t>。</w:t>
      </w:r>
    </w:p>
    <w:p>
      <w:pPr>
        <w:spacing w:before="183" w:line="220" w:lineRule="auto"/>
        <w:ind w:left="51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、规划保护目标噪声影响分析</w:t>
      </w:r>
    </w:p>
    <w:p>
      <w:pPr>
        <w:spacing w:before="181" w:line="466" w:lineRule="exact"/>
        <w:ind w:left="517"/>
        <w:rPr>
          <w:rFonts w:ascii="宋体" w:hAnsi="宋体" w:eastAsia="宋体" w:cs="宋体"/>
          <w:sz w:val="24"/>
          <w:szCs w:val="24"/>
        </w:rPr>
      </w:pPr>
      <w:r>
        <w:rPr>
          <w:rFonts w:ascii="宋体" w:hAnsi="宋体" w:eastAsia="宋体" w:cs="宋体"/>
          <w:spacing w:val="-11"/>
          <w:position w:val="17"/>
          <w:sz w:val="24"/>
          <w:szCs w:val="24"/>
        </w:rPr>
        <w:t>据沿线规划， 本项目沿线共有</w:t>
      </w:r>
      <w:r>
        <w:rPr>
          <w:rFonts w:ascii="宋体" w:hAnsi="宋体" w:eastAsia="宋体" w:cs="宋体"/>
          <w:spacing w:val="-33"/>
          <w:position w:val="17"/>
          <w:sz w:val="24"/>
          <w:szCs w:val="24"/>
        </w:rPr>
        <w:t xml:space="preserve"> </w:t>
      </w:r>
      <w:r>
        <w:rPr>
          <w:rFonts w:ascii="Times New Roman" w:hAnsi="Times New Roman" w:eastAsia="Times New Roman" w:cs="Times New Roman"/>
          <w:spacing w:val="-11"/>
          <w:position w:val="17"/>
          <w:sz w:val="24"/>
          <w:szCs w:val="24"/>
        </w:rPr>
        <w:t>6</w:t>
      </w:r>
      <w:r>
        <w:rPr>
          <w:rFonts w:ascii="Times New Roman" w:hAnsi="Times New Roman" w:eastAsia="Times New Roman" w:cs="Times New Roman"/>
          <w:spacing w:val="14"/>
          <w:position w:val="17"/>
          <w:sz w:val="24"/>
          <w:szCs w:val="24"/>
        </w:rPr>
        <w:t xml:space="preserve"> </w:t>
      </w:r>
      <w:r>
        <w:rPr>
          <w:rFonts w:ascii="宋体" w:hAnsi="宋体" w:eastAsia="宋体" w:cs="宋体"/>
          <w:spacing w:val="-11"/>
          <w:position w:val="17"/>
          <w:sz w:val="24"/>
          <w:szCs w:val="24"/>
        </w:rPr>
        <w:t>处规划声环境保护目标， 规划声环境保护目</w:t>
      </w:r>
    </w:p>
    <w:p>
      <w:pPr>
        <w:spacing w:before="1" w:line="219" w:lineRule="auto"/>
        <w:ind w:left="39"/>
        <w:rPr>
          <w:rFonts w:ascii="宋体" w:hAnsi="宋体" w:eastAsia="宋体" w:cs="宋体"/>
          <w:sz w:val="24"/>
          <w:szCs w:val="24"/>
        </w:rPr>
      </w:pPr>
      <w:r>
        <w:rPr>
          <w:rFonts w:ascii="宋体" w:hAnsi="宋体" w:eastAsia="宋体" w:cs="宋体"/>
          <w:spacing w:val="-5"/>
          <w:sz w:val="24"/>
          <w:szCs w:val="24"/>
        </w:rPr>
        <w:t>标存在超标现象。</w:t>
      </w:r>
    </w:p>
    <w:p>
      <w:pPr>
        <w:spacing w:before="183" w:line="359" w:lineRule="auto"/>
        <w:ind w:left="42" w:right="85" w:firstLine="481"/>
        <w:rPr>
          <w:rFonts w:ascii="宋体" w:hAnsi="宋体" w:eastAsia="宋体" w:cs="宋体"/>
          <w:sz w:val="24"/>
          <w:szCs w:val="24"/>
        </w:rPr>
      </w:pPr>
      <w:r>
        <w:rPr>
          <w:rFonts w:ascii="宋体" w:hAnsi="宋体" w:eastAsia="宋体" w:cs="宋体"/>
          <w:spacing w:val="-9"/>
          <w:sz w:val="24"/>
          <w:szCs w:val="24"/>
        </w:rPr>
        <w:t>总之，</w:t>
      </w:r>
      <w:r>
        <w:rPr>
          <w:rFonts w:ascii="宋体" w:hAnsi="宋体" w:eastAsia="宋体" w:cs="宋体"/>
          <w:spacing w:val="-47"/>
          <w:sz w:val="24"/>
          <w:szCs w:val="24"/>
        </w:rPr>
        <w:t xml:space="preserve"> </w:t>
      </w:r>
      <w:r>
        <w:rPr>
          <w:rFonts w:ascii="宋体" w:hAnsi="宋体" w:eastAsia="宋体" w:cs="宋体"/>
          <w:spacing w:val="-9"/>
          <w:sz w:val="24"/>
          <w:szCs w:val="24"/>
        </w:rPr>
        <w:t>无论是从本公路标准定位， 还是根据工可资料进行预测的交通噪声结</w:t>
      </w:r>
      <w:r>
        <w:rPr>
          <w:rFonts w:ascii="宋体" w:hAnsi="宋体" w:eastAsia="宋体" w:cs="宋体"/>
          <w:sz w:val="24"/>
          <w:szCs w:val="24"/>
        </w:rPr>
        <w:t xml:space="preserve"> </w:t>
      </w:r>
      <w:r>
        <w:rPr>
          <w:rFonts w:ascii="宋体" w:hAnsi="宋体" w:eastAsia="宋体" w:cs="宋体"/>
          <w:spacing w:val="-6"/>
          <w:sz w:val="24"/>
          <w:szCs w:val="24"/>
        </w:rPr>
        <w:t>果，可见本公路交通噪声对沿线声环境会产生一定的影响，</w:t>
      </w:r>
      <w:r>
        <w:rPr>
          <w:rFonts w:ascii="宋体" w:hAnsi="宋体" w:eastAsia="宋体" w:cs="宋体"/>
          <w:spacing w:val="-21"/>
          <w:sz w:val="24"/>
          <w:szCs w:val="24"/>
        </w:rPr>
        <w:t xml:space="preserve"> </w:t>
      </w:r>
      <w:r>
        <w:rPr>
          <w:rFonts w:ascii="宋体" w:hAnsi="宋体" w:eastAsia="宋体" w:cs="宋体"/>
          <w:spacing w:val="-6"/>
          <w:sz w:val="24"/>
          <w:szCs w:val="24"/>
        </w:rPr>
        <w:t>需要采取噪声防治措</w:t>
      </w:r>
    </w:p>
    <w:p>
      <w:pPr>
        <w:spacing w:line="222" w:lineRule="auto"/>
        <w:ind w:left="37"/>
        <w:rPr>
          <w:rFonts w:ascii="宋体" w:hAnsi="宋体" w:eastAsia="宋体" w:cs="宋体"/>
          <w:sz w:val="24"/>
          <w:szCs w:val="24"/>
        </w:rPr>
      </w:pPr>
      <w:r>
        <w:rPr>
          <w:rFonts w:ascii="宋体" w:hAnsi="宋体" w:eastAsia="宋体" w:cs="宋体"/>
          <w:spacing w:val="-11"/>
          <w:sz w:val="24"/>
          <w:szCs w:val="24"/>
        </w:rPr>
        <w:t>施。</w:t>
      </w:r>
    </w:p>
    <w:p>
      <w:pPr>
        <w:spacing w:before="177" w:line="220" w:lineRule="auto"/>
        <w:ind w:left="44"/>
        <w:outlineLvl w:val="1"/>
        <w:rPr>
          <w:rFonts w:ascii="宋体" w:hAnsi="宋体" w:eastAsia="宋体" w:cs="宋体"/>
          <w:sz w:val="24"/>
          <w:szCs w:val="24"/>
        </w:rPr>
      </w:pPr>
      <w:r>
        <w:rPr>
          <w:rFonts w:ascii="Times New Roman" w:hAnsi="Times New Roman" w:eastAsia="Times New Roman" w:cs="Times New Roman"/>
          <w:b/>
          <w:bCs/>
          <w:spacing w:val="-3"/>
          <w:sz w:val="24"/>
          <w:szCs w:val="24"/>
        </w:rPr>
        <w:t>10.3.4</w:t>
      </w:r>
      <w:r>
        <w:rPr>
          <w:rFonts w:ascii="Times New Roman" w:hAnsi="Times New Roman" w:eastAsia="Times New Roman" w:cs="Times New Roman"/>
          <w:b/>
          <w:bCs/>
          <w:spacing w:val="39"/>
          <w:w w:val="101"/>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固废处置影响分析结论</w:t>
      </w:r>
    </w:p>
    <w:p>
      <w:pPr>
        <w:spacing w:before="182" w:line="220" w:lineRule="auto"/>
        <w:ind w:left="536"/>
        <w:rPr>
          <w:rFonts w:ascii="宋体" w:hAnsi="宋体" w:eastAsia="宋体" w:cs="宋体"/>
          <w:sz w:val="24"/>
          <w:szCs w:val="24"/>
        </w:rPr>
      </w:pPr>
      <w:r>
        <w:rPr>
          <w:rFonts w:ascii="Times New Roman" w:hAnsi="Times New Roman" w:eastAsia="Times New Roman" w:cs="Times New Roman"/>
          <w:spacing w:val="-8"/>
          <w:sz w:val="24"/>
          <w:szCs w:val="24"/>
        </w:rPr>
        <w:t>1</w:t>
      </w:r>
      <w:r>
        <w:rPr>
          <w:rFonts w:ascii="宋体" w:hAnsi="宋体" w:eastAsia="宋体" w:cs="宋体"/>
          <w:spacing w:val="-8"/>
          <w:sz w:val="24"/>
          <w:szCs w:val="24"/>
        </w:rPr>
        <w:t>、施工期</w:t>
      </w:r>
    </w:p>
    <w:p>
      <w:pPr>
        <w:spacing w:before="180" w:line="359" w:lineRule="auto"/>
        <w:ind w:left="40" w:right="80" w:firstLine="477"/>
        <w:rPr>
          <w:rFonts w:ascii="宋体" w:hAnsi="宋体" w:eastAsia="宋体" w:cs="宋体"/>
          <w:sz w:val="24"/>
          <w:szCs w:val="24"/>
        </w:rPr>
      </w:pPr>
      <w:r>
        <w:rPr>
          <w:rFonts w:ascii="宋体" w:hAnsi="宋体" w:eastAsia="宋体" w:cs="宋体"/>
          <w:spacing w:val="4"/>
          <w:sz w:val="24"/>
          <w:szCs w:val="24"/>
        </w:rPr>
        <w:t>施工期生活垃圾收集后委托清运统一处理；施工过程中产生的表土进行利</w:t>
      </w:r>
      <w:r>
        <w:rPr>
          <w:rFonts w:ascii="宋体" w:hAnsi="宋体" w:eastAsia="宋体" w:cs="宋体"/>
          <w:spacing w:val="12"/>
          <w:sz w:val="24"/>
          <w:szCs w:val="24"/>
        </w:rPr>
        <w:t xml:space="preserve"> </w:t>
      </w:r>
      <w:r>
        <w:rPr>
          <w:rFonts w:ascii="宋体" w:hAnsi="宋体" w:eastAsia="宋体" w:cs="宋体"/>
          <w:spacing w:val="-9"/>
          <w:sz w:val="24"/>
          <w:szCs w:val="24"/>
        </w:rPr>
        <w:t>用，</w:t>
      </w:r>
      <w:r>
        <w:rPr>
          <w:rFonts w:ascii="宋体" w:hAnsi="宋体" w:eastAsia="宋体" w:cs="宋体"/>
          <w:spacing w:val="-60"/>
          <w:sz w:val="24"/>
          <w:szCs w:val="24"/>
        </w:rPr>
        <w:t xml:space="preserve"> </w:t>
      </w:r>
      <w:r>
        <w:rPr>
          <w:rFonts w:ascii="宋体" w:hAnsi="宋体" w:eastAsia="宋体" w:cs="宋体"/>
          <w:spacing w:val="-9"/>
          <w:sz w:val="24"/>
          <w:szCs w:val="24"/>
        </w:rPr>
        <w:t>废弃土石方堆至弃渣场，</w:t>
      </w:r>
      <w:r>
        <w:rPr>
          <w:rFonts w:ascii="宋体" w:hAnsi="宋体" w:eastAsia="宋体" w:cs="宋体"/>
          <w:spacing w:val="30"/>
          <w:sz w:val="24"/>
          <w:szCs w:val="24"/>
        </w:rPr>
        <w:t xml:space="preserve"> </w:t>
      </w:r>
      <w:r>
        <w:rPr>
          <w:rFonts w:ascii="宋体" w:hAnsi="宋体" w:eastAsia="宋体" w:cs="宋体"/>
          <w:spacing w:val="-9"/>
          <w:sz w:val="24"/>
          <w:szCs w:val="24"/>
        </w:rPr>
        <w:t>进行综合利用及由政府拍卖利用。施工中产生的废</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材料、包装袋、零星边角料等，分类收集后加以回收利用。</w:t>
      </w:r>
    </w:p>
    <w:p>
      <w:pPr>
        <w:spacing w:before="184" w:line="465" w:lineRule="exact"/>
        <w:ind w:left="520"/>
        <w:rPr>
          <w:rFonts w:ascii="宋体" w:hAnsi="宋体" w:eastAsia="宋体" w:cs="宋体"/>
          <w:sz w:val="24"/>
          <w:szCs w:val="24"/>
        </w:rPr>
      </w:pPr>
      <w:r>
        <w:rPr>
          <w:rFonts w:ascii="宋体" w:hAnsi="宋体" w:eastAsia="宋体" w:cs="宋体"/>
          <w:spacing w:val="-2"/>
          <w:position w:val="17"/>
          <w:sz w:val="24"/>
          <w:szCs w:val="24"/>
        </w:rPr>
        <w:t>工程施工期固废处置不会对周围环境造成较大影响。</w:t>
      </w:r>
    </w:p>
    <w:p>
      <w:pPr>
        <w:spacing w:line="220" w:lineRule="auto"/>
        <w:ind w:left="513"/>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、营运期</w:t>
      </w:r>
    </w:p>
    <w:p>
      <w:pPr>
        <w:spacing w:before="182" w:line="466" w:lineRule="exact"/>
        <w:ind w:left="525"/>
        <w:rPr>
          <w:rFonts w:ascii="宋体" w:hAnsi="宋体" w:eastAsia="宋体" w:cs="宋体"/>
          <w:sz w:val="24"/>
          <w:szCs w:val="24"/>
        </w:rPr>
      </w:pPr>
      <w:r>
        <w:rPr>
          <w:rFonts w:ascii="宋体" w:hAnsi="宋体" w:eastAsia="宋体" w:cs="宋体"/>
          <w:spacing w:val="-10"/>
          <w:position w:val="17"/>
          <w:sz w:val="24"/>
          <w:szCs w:val="24"/>
        </w:rPr>
        <w:t>营运期公路沿线生活垃圾统一收集后，</w:t>
      </w:r>
      <w:r>
        <w:rPr>
          <w:rFonts w:ascii="宋体" w:hAnsi="宋体" w:eastAsia="宋体" w:cs="宋体"/>
          <w:spacing w:val="-13"/>
          <w:position w:val="17"/>
          <w:sz w:val="24"/>
          <w:szCs w:val="24"/>
        </w:rPr>
        <w:t xml:space="preserve"> </w:t>
      </w:r>
      <w:r>
        <w:rPr>
          <w:rFonts w:ascii="宋体" w:hAnsi="宋体" w:eastAsia="宋体" w:cs="宋体"/>
          <w:spacing w:val="-10"/>
          <w:position w:val="17"/>
          <w:sz w:val="24"/>
          <w:szCs w:val="24"/>
        </w:rPr>
        <w:t>将定期清运， 纳入当地环卫系统进行</w:t>
      </w:r>
    </w:p>
    <w:p>
      <w:pPr>
        <w:spacing w:line="220" w:lineRule="auto"/>
        <w:ind w:left="43"/>
        <w:rPr>
          <w:rFonts w:ascii="宋体" w:hAnsi="宋体" w:eastAsia="宋体" w:cs="宋体"/>
          <w:sz w:val="24"/>
          <w:szCs w:val="24"/>
        </w:rPr>
      </w:pPr>
      <w:r>
        <w:rPr>
          <w:rFonts w:ascii="宋体" w:hAnsi="宋体" w:eastAsia="宋体" w:cs="宋体"/>
          <w:spacing w:val="-4"/>
          <w:sz w:val="24"/>
          <w:szCs w:val="24"/>
        </w:rPr>
        <w:t>统一处理，对周边环境影响较小。</w:t>
      </w:r>
    </w:p>
    <w:p>
      <w:pPr>
        <w:spacing w:line="220" w:lineRule="auto"/>
        <w:rPr>
          <w:rFonts w:ascii="宋体" w:hAnsi="宋体" w:eastAsia="宋体" w:cs="宋体"/>
          <w:sz w:val="24"/>
          <w:szCs w:val="24"/>
        </w:rPr>
        <w:sectPr>
          <w:headerReference r:id="rId382" w:type="default"/>
          <w:footerReference r:id="rId383" w:type="default"/>
          <w:pgSz w:w="11907" w:h="16839"/>
          <w:pgMar w:top="1118" w:right="1715" w:bottom="1177" w:left="1771" w:header="879" w:footer="1013" w:gutter="0"/>
          <w:cols w:space="720" w:num="1"/>
        </w:sectPr>
      </w:pPr>
    </w:p>
    <w:p>
      <w:pPr>
        <w:pStyle w:val="2"/>
        <w:spacing w:line="278" w:lineRule="auto"/>
      </w:pPr>
    </w:p>
    <w:p>
      <w:pPr>
        <w:spacing w:before="78" w:line="219" w:lineRule="auto"/>
        <w:ind w:left="605"/>
        <w:rPr>
          <w:rFonts w:ascii="宋体" w:hAnsi="宋体" w:eastAsia="宋体" w:cs="宋体"/>
          <w:sz w:val="24"/>
          <w:szCs w:val="24"/>
        </w:rPr>
      </w:pPr>
      <w:r>
        <w:rPr>
          <w:rFonts w:ascii="宋体" w:hAnsi="宋体" w:eastAsia="宋体" w:cs="宋体"/>
          <w:spacing w:val="-3"/>
          <w:sz w:val="24"/>
          <w:szCs w:val="24"/>
        </w:rPr>
        <w:t>养护产生的废沥青进行回收利用。</w:t>
      </w:r>
    </w:p>
    <w:p>
      <w:pPr>
        <w:spacing w:before="183" w:line="219" w:lineRule="auto"/>
        <w:ind w:left="603"/>
        <w:rPr>
          <w:rFonts w:ascii="宋体" w:hAnsi="宋体" w:eastAsia="宋体" w:cs="宋体"/>
          <w:sz w:val="24"/>
          <w:szCs w:val="24"/>
        </w:rPr>
      </w:pPr>
      <w:r>
        <w:rPr>
          <w:rFonts w:ascii="宋体" w:hAnsi="宋体" w:eastAsia="宋体" w:cs="宋体"/>
          <w:spacing w:val="-1"/>
          <w:sz w:val="24"/>
          <w:szCs w:val="24"/>
        </w:rPr>
        <w:t>在各类固废采取妥善的处理处置后，本项目固废</w:t>
      </w:r>
      <w:r>
        <w:rPr>
          <w:rFonts w:ascii="宋体" w:hAnsi="宋体" w:eastAsia="宋体" w:cs="宋体"/>
          <w:spacing w:val="-2"/>
          <w:sz w:val="24"/>
          <w:szCs w:val="24"/>
        </w:rPr>
        <w:t>对周边环境基本无影响。</w:t>
      </w:r>
    </w:p>
    <w:p>
      <w:pPr>
        <w:spacing w:before="181" w:line="218" w:lineRule="auto"/>
        <w:ind w:left="131"/>
        <w:outlineLvl w:val="1"/>
        <w:rPr>
          <w:rFonts w:ascii="宋体" w:hAnsi="宋体" w:eastAsia="宋体" w:cs="宋体"/>
          <w:sz w:val="24"/>
          <w:szCs w:val="24"/>
        </w:rPr>
      </w:pPr>
      <w:r>
        <w:rPr>
          <w:rFonts w:ascii="Times New Roman" w:hAnsi="Times New Roman" w:eastAsia="Times New Roman" w:cs="Times New Roman"/>
          <w:b/>
          <w:bCs/>
          <w:spacing w:val="-1"/>
          <w:sz w:val="24"/>
          <w:szCs w:val="24"/>
        </w:rPr>
        <w:t xml:space="preserve">10.3.5 </w:t>
      </w:r>
      <w:r>
        <w:rPr>
          <w:rFonts w:ascii="宋体" w:hAnsi="宋体" w:eastAsia="宋体" w:cs="宋体"/>
          <w:spacing w:val="-1"/>
          <w:sz w:val="24"/>
          <w:szCs w:val="24"/>
          <w14:textOutline w14:w="4354" w14:cap="flat" w14:cmpd="sng">
            <w14:solidFill>
              <w14:srgbClr w14:val="000000"/>
            </w14:solidFill>
            <w14:prstDash w14:val="solid"/>
            <w14:miter w14:val="0"/>
          </w14:textOutline>
        </w:rPr>
        <w:t>生态环境影响评价结论</w:t>
      </w:r>
    </w:p>
    <w:p>
      <w:pPr>
        <w:spacing w:before="185" w:line="359" w:lineRule="auto"/>
        <w:ind w:left="123" w:right="114" w:firstLine="483"/>
        <w:jc w:val="both"/>
        <w:rPr>
          <w:rFonts w:ascii="宋体" w:hAnsi="宋体" w:eastAsia="宋体" w:cs="宋体"/>
          <w:sz w:val="24"/>
          <w:szCs w:val="24"/>
        </w:rPr>
      </w:pPr>
      <w:r>
        <w:rPr>
          <w:rFonts w:ascii="宋体" w:hAnsi="宋体" w:eastAsia="宋体" w:cs="宋体"/>
          <w:spacing w:val="-3"/>
          <w:sz w:val="24"/>
          <w:szCs w:val="24"/>
        </w:rPr>
        <w:t>工程建设对评价区内植物生产力、生物量的影响主要来自</w:t>
      </w:r>
      <w:r>
        <w:rPr>
          <w:rFonts w:ascii="宋体" w:hAnsi="宋体" w:eastAsia="宋体" w:cs="宋体"/>
          <w:spacing w:val="-4"/>
          <w:sz w:val="24"/>
          <w:szCs w:val="24"/>
        </w:rPr>
        <w:t>路基工程和桥涵工</w:t>
      </w:r>
      <w:r>
        <w:rPr>
          <w:rFonts w:ascii="宋体" w:hAnsi="宋体" w:eastAsia="宋体" w:cs="宋体"/>
          <w:sz w:val="24"/>
          <w:szCs w:val="24"/>
        </w:rPr>
        <w:t xml:space="preserve"> </w:t>
      </w:r>
      <w:r>
        <w:rPr>
          <w:rFonts w:ascii="宋体" w:hAnsi="宋体" w:eastAsia="宋体" w:cs="宋体"/>
          <w:spacing w:val="4"/>
          <w:sz w:val="24"/>
          <w:szCs w:val="24"/>
        </w:rPr>
        <w:t>程永久以及施工临时征地对其产生影响，工程建设对评价区植物生物量影响较</w:t>
      </w:r>
      <w:r>
        <w:rPr>
          <w:rFonts w:ascii="宋体" w:hAnsi="宋体" w:eastAsia="宋体" w:cs="宋体"/>
          <w:spacing w:val="3"/>
          <w:sz w:val="24"/>
          <w:szCs w:val="24"/>
        </w:rPr>
        <w:t xml:space="preserve"> </w:t>
      </w:r>
      <w:r>
        <w:rPr>
          <w:rFonts w:ascii="宋体" w:hAnsi="宋体" w:eastAsia="宋体" w:cs="宋体"/>
          <w:spacing w:val="-12"/>
          <w:sz w:val="24"/>
          <w:szCs w:val="24"/>
        </w:rPr>
        <w:t>小。由于工程所在地区自然条件较好，</w:t>
      </w:r>
      <w:r>
        <w:rPr>
          <w:rFonts w:ascii="宋体" w:hAnsi="宋体" w:eastAsia="宋体" w:cs="宋体"/>
          <w:spacing w:val="45"/>
          <w:sz w:val="24"/>
          <w:szCs w:val="24"/>
        </w:rPr>
        <w:t xml:space="preserve"> </w:t>
      </w:r>
      <w:r>
        <w:rPr>
          <w:rFonts w:ascii="宋体" w:hAnsi="宋体" w:eastAsia="宋体" w:cs="宋体"/>
          <w:spacing w:val="-12"/>
          <w:sz w:val="24"/>
          <w:szCs w:val="24"/>
        </w:rPr>
        <w:t>植被的自然恢复能力较强，</w:t>
      </w:r>
      <w:r>
        <w:rPr>
          <w:rFonts w:ascii="宋体" w:hAnsi="宋体" w:eastAsia="宋体" w:cs="宋体"/>
          <w:spacing w:val="32"/>
          <w:sz w:val="24"/>
          <w:szCs w:val="24"/>
        </w:rPr>
        <w:t xml:space="preserve"> </w:t>
      </w:r>
      <w:r>
        <w:rPr>
          <w:rFonts w:ascii="宋体" w:hAnsi="宋体" w:eastAsia="宋体" w:cs="宋体"/>
          <w:spacing w:val="-12"/>
          <w:sz w:val="24"/>
          <w:szCs w:val="24"/>
        </w:rPr>
        <w:t>被破坏地段的</w:t>
      </w:r>
      <w:r>
        <w:rPr>
          <w:rFonts w:ascii="宋体" w:hAnsi="宋体" w:eastAsia="宋体" w:cs="宋体"/>
          <w:sz w:val="24"/>
          <w:szCs w:val="24"/>
        </w:rPr>
        <w:t xml:space="preserve"> </w:t>
      </w:r>
      <w:r>
        <w:rPr>
          <w:rFonts w:ascii="宋体" w:hAnsi="宋体" w:eastAsia="宋体" w:cs="宋体"/>
          <w:spacing w:val="-6"/>
          <w:sz w:val="24"/>
          <w:szCs w:val="24"/>
        </w:rPr>
        <w:t>植物和植被能够较快恢复。同时， 本项目将对永久占地范围内</w:t>
      </w:r>
      <w:r>
        <w:rPr>
          <w:rFonts w:ascii="宋体" w:hAnsi="宋体" w:eastAsia="宋体" w:cs="宋体"/>
          <w:spacing w:val="-7"/>
          <w:sz w:val="24"/>
          <w:szCs w:val="24"/>
        </w:rPr>
        <w:t>可绿化地段实施植</w:t>
      </w:r>
    </w:p>
    <w:p>
      <w:pPr>
        <w:spacing w:line="219" w:lineRule="auto"/>
        <w:ind w:left="124"/>
        <w:rPr>
          <w:rFonts w:ascii="宋体" w:hAnsi="宋体" w:eastAsia="宋体" w:cs="宋体"/>
          <w:sz w:val="24"/>
          <w:szCs w:val="24"/>
        </w:rPr>
      </w:pPr>
      <w:r>
        <w:rPr>
          <w:rFonts w:ascii="宋体" w:hAnsi="宋体" w:eastAsia="宋体" w:cs="宋体"/>
          <w:spacing w:val="-1"/>
          <w:sz w:val="24"/>
          <w:szCs w:val="24"/>
        </w:rPr>
        <w:t>被恢复工程，同时恢复全部临时用地，可大大减轻公路建设</w:t>
      </w:r>
      <w:r>
        <w:rPr>
          <w:rFonts w:ascii="宋体" w:hAnsi="宋体" w:eastAsia="宋体" w:cs="宋体"/>
          <w:spacing w:val="-2"/>
          <w:sz w:val="24"/>
          <w:szCs w:val="24"/>
        </w:rPr>
        <w:t>对植物种群的影响。</w:t>
      </w:r>
    </w:p>
    <w:p>
      <w:pPr>
        <w:spacing w:before="180" w:line="359" w:lineRule="auto"/>
        <w:ind w:left="122" w:right="76" w:firstLine="484"/>
        <w:jc w:val="both"/>
        <w:rPr>
          <w:rFonts w:ascii="宋体" w:hAnsi="宋体" w:eastAsia="宋体" w:cs="宋体"/>
          <w:sz w:val="24"/>
          <w:szCs w:val="24"/>
        </w:rPr>
      </w:pPr>
      <w:r>
        <w:rPr>
          <w:rFonts w:ascii="宋体" w:hAnsi="宋体" w:eastAsia="宋体" w:cs="宋体"/>
          <w:spacing w:val="-2"/>
          <w:sz w:val="24"/>
          <w:szCs w:val="24"/>
        </w:rPr>
        <w:t>工程所在区域人类活动较为频繁，施工期对野生动物的影响是不可避免的，</w:t>
      </w:r>
      <w:r>
        <w:rPr>
          <w:rFonts w:ascii="宋体" w:hAnsi="宋体" w:eastAsia="宋体" w:cs="宋体"/>
          <w:sz w:val="24"/>
          <w:szCs w:val="24"/>
        </w:rPr>
        <w:t xml:space="preserve"> </w:t>
      </w:r>
      <w:r>
        <w:rPr>
          <w:rFonts w:ascii="宋体" w:hAnsi="宋体" w:eastAsia="宋体" w:cs="宋体"/>
          <w:spacing w:val="-9"/>
          <w:sz w:val="24"/>
          <w:szCs w:val="24"/>
        </w:rPr>
        <w:t>但这种影响只局限在施工区域， 范围较小， 由于工程整个</w:t>
      </w:r>
      <w:r>
        <w:rPr>
          <w:rFonts w:ascii="宋体" w:hAnsi="宋体" w:eastAsia="宋体" w:cs="宋体"/>
          <w:spacing w:val="-10"/>
          <w:sz w:val="24"/>
          <w:szCs w:val="24"/>
        </w:rPr>
        <w:t>施工区的环境与施工区</w:t>
      </w:r>
      <w:r>
        <w:rPr>
          <w:rFonts w:ascii="宋体" w:hAnsi="宋体" w:eastAsia="宋体" w:cs="宋体"/>
          <w:sz w:val="24"/>
          <w:szCs w:val="24"/>
        </w:rPr>
        <w:t xml:space="preserve"> </w:t>
      </w:r>
      <w:r>
        <w:rPr>
          <w:rFonts w:ascii="宋体" w:hAnsi="宋体" w:eastAsia="宋体" w:cs="宋体"/>
          <w:spacing w:val="-9"/>
          <w:sz w:val="24"/>
          <w:szCs w:val="24"/>
        </w:rPr>
        <w:t>以外的环境十分相似， 施工区内的野生动物较容易找到</w:t>
      </w:r>
      <w:r>
        <w:rPr>
          <w:rFonts w:ascii="宋体" w:hAnsi="宋体" w:eastAsia="宋体" w:cs="宋体"/>
          <w:spacing w:val="-10"/>
          <w:sz w:val="24"/>
          <w:szCs w:val="24"/>
        </w:rPr>
        <w:t>新的栖息地， 对区内野生</w:t>
      </w:r>
      <w:r>
        <w:rPr>
          <w:rFonts w:ascii="宋体" w:hAnsi="宋体" w:eastAsia="宋体" w:cs="宋体"/>
          <w:sz w:val="24"/>
          <w:szCs w:val="24"/>
        </w:rPr>
        <w:t xml:space="preserve"> </w:t>
      </w:r>
      <w:r>
        <w:rPr>
          <w:rFonts w:ascii="宋体" w:hAnsi="宋体" w:eastAsia="宋体" w:cs="宋体"/>
          <w:spacing w:val="-6"/>
          <w:sz w:val="24"/>
          <w:szCs w:val="24"/>
        </w:rPr>
        <w:t>动物的种群数量不会有大的变化。根据生态现状调查， 评价区域</w:t>
      </w:r>
      <w:r>
        <w:rPr>
          <w:rFonts w:ascii="宋体" w:hAnsi="宋体" w:eastAsia="宋体" w:cs="宋体"/>
          <w:spacing w:val="-7"/>
          <w:sz w:val="24"/>
          <w:szCs w:val="24"/>
        </w:rPr>
        <w:t>内存在珍稀野生</w:t>
      </w:r>
      <w:r>
        <w:rPr>
          <w:rFonts w:ascii="宋体" w:hAnsi="宋体" w:eastAsia="宋体" w:cs="宋体"/>
          <w:sz w:val="24"/>
          <w:szCs w:val="24"/>
        </w:rPr>
        <w:t xml:space="preserve"> </w:t>
      </w:r>
      <w:r>
        <w:rPr>
          <w:rFonts w:ascii="宋体" w:hAnsi="宋体" w:eastAsia="宋体" w:cs="宋体"/>
          <w:spacing w:val="-14"/>
          <w:sz w:val="24"/>
          <w:szCs w:val="24"/>
        </w:rPr>
        <w:t>动物，</w:t>
      </w:r>
      <w:r>
        <w:rPr>
          <w:rFonts w:ascii="宋体" w:hAnsi="宋体" w:eastAsia="宋体" w:cs="宋体"/>
          <w:spacing w:val="-30"/>
          <w:sz w:val="24"/>
          <w:szCs w:val="24"/>
        </w:rPr>
        <w:t xml:space="preserve"> </w:t>
      </w:r>
      <w:r>
        <w:rPr>
          <w:rFonts w:ascii="宋体" w:hAnsi="宋体" w:eastAsia="宋体" w:cs="宋体"/>
          <w:spacing w:val="-14"/>
          <w:sz w:val="24"/>
          <w:szCs w:val="24"/>
        </w:rPr>
        <w:t>施工期建设单位做好相关的保护工作，</w:t>
      </w:r>
      <w:r>
        <w:rPr>
          <w:rFonts w:ascii="宋体" w:hAnsi="宋体" w:eastAsia="宋体" w:cs="宋体"/>
          <w:spacing w:val="33"/>
          <w:sz w:val="24"/>
          <w:szCs w:val="24"/>
        </w:rPr>
        <w:t xml:space="preserve"> </w:t>
      </w:r>
      <w:r>
        <w:rPr>
          <w:rFonts w:ascii="宋体" w:hAnsi="宋体" w:eastAsia="宋体" w:cs="宋体"/>
          <w:spacing w:val="-14"/>
          <w:sz w:val="24"/>
          <w:szCs w:val="24"/>
        </w:rPr>
        <w:t>严格控制施工用</w:t>
      </w:r>
      <w:r>
        <w:rPr>
          <w:rFonts w:ascii="宋体" w:hAnsi="宋体" w:eastAsia="宋体" w:cs="宋体"/>
          <w:spacing w:val="-15"/>
          <w:sz w:val="24"/>
          <w:szCs w:val="24"/>
        </w:rPr>
        <w:t>地范围，</w:t>
      </w:r>
      <w:r>
        <w:rPr>
          <w:rFonts w:ascii="宋体" w:hAnsi="宋体" w:eastAsia="宋体" w:cs="宋体"/>
          <w:spacing w:val="32"/>
          <w:sz w:val="24"/>
          <w:szCs w:val="24"/>
        </w:rPr>
        <w:t xml:space="preserve"> </w:t>
      </w:r>
      <w:r>
        <w:rPr>
          <w:rFonts w:ascii="宋体" w:hAnsi="宋体" w:eastAsia="宋体" w:cs="宋体"/>
          <w:spacing w:val="-15"/>
          <w:sz w:val="24"/>
          <w:szCs w:val="24"/>
        </w:rPr>
        <w:t>严禁乱砍</w:t>
      </w:r>
      <w:r>
        <w:rPr>
          <w:rFonts w:ascii="宋体" w:hAnsi="宋体" w:eastAsia="宋体" w:cs="宋体"/>
          <w:sz w:val="24"/>
          <w:szCs w:val="24"/>
        </w:rPr>
        <w:t xml:space="preserve"> </w:t>
      </w:r>
      <w:r>
        <w:rPr>
          <w:rFonts w:ascii="宋体" w:hAnsi="宋体" w:eastAsia="宋体" w:cs="宋体"/>
          <w:spacing w:val="-15"/>
          <w:sz w:val="24"/>
          <w:szCs w:val="24"/>
        </w:rPr>
        <w:t>滥伐， 保护动物生境，</w:t>
      </w:r>
      <w:r>
        <w:rPr>
          <w:rFonts w:ascii="宋体" w:hAnsi="宋体" w:eastAsia="宋体" w:cs="宋体"/>
          <w:spacing w:val="31"/>
          <w:sz w:val="24"/>
          <w:szCs w:val="24"/>
        </w:rPr>
        <w:t xml:space="preserve"> </w:t>
      </w:r>
      <w:r>
        <w:rPr>
          <w:rFonts w:ascii="宋体" w:hAnsi="宋体" w:eastAsia="宋体" w:cs="宋体"/>
          <w:spacing w:val="-15"/>
          <w:sz w:val="24"/>
          <w:szCs w:val="24"/>
        </w:rPr>
        <w:t>在施工中要对施工人员提出野生动物的保护要求，</w:t>
      </w:r>
      <w:r>
        <w:rPr>
          <w:rFonts w:ascii="宋体" w:hAnsi="宋体" w:eastAsia="宋体" w:cs="宋体"/>
          <w:spacing w:val="59"/>
          <w:sz w:val="24"/>
          <w:szCs w:val="24"/>
        </w:rPr>
        <w:t xml:space="preserve"> </w:t>
      </w:r>
      <w:r>
        <w:rPr>
          <w:rFonts w:ascii="宋体" w:hAnsi="宋体" w:eastAsia="宋体" w:cs="宋体"/>
          <w:spacing w:val="-15"/>
          <w:sz w:val="24"/>
          <w:szCs w:val="24"/>
        </w:rPr>
        <w:t>以最大</w:t>
      </w:r>
    </w:p>
    <w:p>
      <w:pPr>
        <w:spacing w:before="1" w:line="220" w:lineRule="auto"/>
        <w:ind w:left="141"/>
        <w:rPr>
          <w:rFonts w:ascii="宋体" w:hAnsi="宋体" w:eastAsia="宋体" w:cs="宋体"/>
          <w:sz w:val="24"/>
          <w:szCs w:val="24"/>
        </w:rPr>
      </w:pPr>
      <w:r>
        <w:rPr>
          <w:rFonts w:ascii="宋体" w:hAnsi="宋体" w:eastAsia="宋体" w:cs="宋体"/>
          <w:spacing w:val="-5"/>
          <w:sz w:val="24"/>
          <w:szCs w:val="24"/>
        </w:rPr>
        <w:t>限度地减少对野生动物的影响。</w:t>
      </w:r>
    </w:p>
    <w:p>
      <w:pPr>
        <w:spacing w:before="183" w:line="359" w:lineRule="auto"/>
        <w:ind w:left="123" w:right="57" w:firstLine="488"/>
        <w:jc w:val="both"/>
        <w:rPr>
          <w:rFonts w:ascii="宋体" w:hAnsi="宋体" w:eastAsia="宋体" w:cs="宋体"/>
          <w:sz w:val="24"/>
          <w:szCs w:val="24"/>
        </w:rPr>
      </w:pPr>
      <w:r>
        <w:rPr>
          <w:rFonts w:ascii="宋体" w:hAnsi="宋体" w:eastAsia="宋体" w:cs="宋体"/>
          <w:spacing w:val="4"/>
          <w:sz w:val="24"/>
          <w:szCs w:val="24"/>
        </w:rPr>
        <w:t>营运期工程对植物资源的影响主要表现在工程占地和道路阻隔引起局部区</w:t>
      </w:r>
      <w:r>
        <w:rPr>
          <w:rFonts w:ascii="宋体" w:hAnsi="宋体" w:eastAsia="宋体" w:cs="宋体"/>
          <w:spacing w:val="3"/>
          <w:sz w:val="24"/>
          <w:szCs w:val="24"/>
        </w:rPr>
        <w:t xml:space="preserve"> </w:t>
      </w:r>
      <w:r>
        <w:rPr>
          <w:rFonts w:ascii="宋体" w:hAnsi="宋体" w:eastAsia="宋体" w:cs="宋体"/>
          <w:spacing w:val="-12"/>
          <w:sz w:val="24"/>
          <w:szCs w:val="24"/>
        </w:rPr>
        <w:t>域用地布局发生变化，</w:t>
      </w:r>
      <w:r>
        <w:rPr>
          <w:rFonts w:ascii="宋体" w:hAnsi="宋体" w:eastAsia="宋体" w:cs="宋体"/>
          <w:spacing w:val="43"/>
          <w:sz w:val="24"/>
          <w:szCs w:val="24"/>
        </w:rPr>
        <w:t xml:space="preserve"> </w:t>
      </w:r>
      <w:r>
        <w:rPr>
          <w:rFonts w:ascii="宋体" w:hAnsi="宋体" w:eastAsia="宋体" w:cs="宋体"/>
          <w:spacing w:val="-12"/>
          <w:sz w:val="24"/>
          <w:szCs w:val="24"/>
        </w:rPr>
        <w:t>生物量减少；</w:t>
      </w:r>
      <w:r>
        <w:rPr>
          <w:rFonts w:ascii="宋体" w:hAnsi="宋体" w:eastAsia="宋体" w:cs="宋体"/>
          <w:spacing w:val="33"/>
          <w:sz w:val="24"/>
          <w:szCs w:val="24"/>
        </w:rPr>
        <w:t xml:space="preserve"> </w:t>
      </w:r>
      <w:r>
        <w:rPr>
          <w:rFonts w:ascii="宋体" w:hAnsi="宋体" w:eastAsia="宋体" w:cs="宋体"/>
          <w:spacing w:val="-12"/>
          <w:sz w:val="24"/>
          <w:szCs w:val="24"/>
        </w:rPr>
        <w:t>对动物的影响主要是车辆行驶噪声、灯光以</w:t>
      </w:r>
      <w:r>
        <w:rPr>
          <w:rFonts w:ascii="宋体" w:hAnsi="宋体" w:eastAsia="宋体" w:cs="宋体"/>
          <w:sz w:val="24"/>
          <w:szCs w:val="24"/>
        </w:rPr>
        <w:t xml:space="preserve"> </w:t>
      </w:r>
      <w:r>
        <w:rPr>
          <w:rFonts w:ascii="宋体" w:hAnsi="宋体" w:eastAsia="宋体" w:cs="宋体"/>
          <w:spacing w:val="-6"/>
          <w:sz w:val="24"/>
          <w:szCs w:val="24"/>
        </w:rPr>
        <w:t>及道路的阻隔等； 构筑物改变沿线传统视觉环境带来的景</w:t>
      </w:r>
      <w:r>
        <w:rPr>
          <w:rFonts w:ascii="宋体" w:hAnsi="宋体" w:eastAsia="宋体" w:cs="宋体"/>
          <w:spacing w:val="-7"/>
          <w:sz w:val="24"/>
          <w:szCs w:val="24"/>
        </w:rPr>
        <w:t>观影响。工程通过设计</w:t>
      </w:r>
      <w:r>
        <w:rPr>
          <w:rFonts w:ascii="宋体" w:hAnsi="宋体" w:eastAsia="宋体" w:cs="宋体"/>
          <w:sz w:val="24"/>
          <w:szCs w:val="24"/>
        </w:rPr>
        <w:t xml:space="preserve"> </w:t>
      </w:r>
      <w:r>
        <w:rPr>
          <w:rFonts w:ascii="宋体" w:hAnsi="宋体" w:eastAsia="宋体" w:cs="宋体"/>
          <w:spacing w:val="-1"/>
          <w:sz w:val="24"/>
          <w:szCs w:val="24"/>
        </w:rPr>
        <w:t>中采取路面径流排水措施，不会改变附近地表水水质，通</w:t>
      </w:r>
      <w:r>
        <w:rPr>
          <w:rFonts w:ascii="宋体" w:hAnsi="宋体" w:eastAsia="宋体" w:cs="宋体"/>
          <w:spacing w:val="-2"/>
          <w:sz w:val="24"/>
          <w:szCs w:val="24"/>
        </w:rPr>
        <w:t>过加强对土地的复垦、</w:t>
      </w:r>
      <w:r>
        <w:rPr>
          <w:rFonts w:ascii="宋体" w:hAnsi="宋体" w:eastAsia="宋体" w:cs="宋体"/>
          <w:sz w:val="24"/>
          <w:szCs w:val="24"/>
        </w:rPr>
        <w:t xml:space="preserve"> </w:t>
      </w:r>
      <w:r>
        <w:rPr>
          <w:rFonts w:ascii="宋体" w:hAnsi="宋体" w:eastAsia="宋体" w:cs="宋体"/>
          <w:spacing w:val="-6"/>
          <w:sz w:val="24"/>
          <w:szCs w:val="24"/>
        </w:rPr>
        <w:t>公路沿线的绿化， 可使降低其因其对环境的影响降至最低</w:t>
      </w:r>
      <w:r>
        <w:rPr>
          <w:rFonts w:ascii="宋体" w:hAnsi="宋体" w:eastAsia="宋体" w:cs="宋体"/>
          <w:spacing w:val="-7"/>
          <w:sz w:val="24"/>
          <w:szCs w:val="24"/>
        </w:rPr>
        <w:t>。故本项目营运期对区</w:t>
      </w:r>
    </w:p>
    <w:p>
      <w:pPr>
        <w:spacing w:before="1" w:line="220" w:lineRule="auto"/>
        <w:ind w:left="125"/>
        <w:rPr>
          <w:rFonts w:ascii="宋体" w:hAnsi="宋体" w:eastAsia="宋体" w:cs="宋体"/>
          <w:sz w:val="24"/>
          <w:szCs w:val="24"/>
        </w:rPr>
      </w:pPr>
      <w:r>
        <w:rPr>
          <w:rFonts w:ascii="宋体" w:hAnsi="宋体" w:eastAsia="宋体" w:cs="宋体"/>
          <w:spacing w:val="-5"/>
          <w:sz w:val="24"/>
          <w:szCs w:val="24"/>
        </w:rPr>
        <w:t>域生态环境影响较小。</w:t>
      </w:r>
    </w:p>
    <w:p>
      <w:pPr>
        <w:spacing w:before="179" w:line="220" w:lineRule="auto"/>
        <w:ind w:left="131"/>
        <w:outlineLvl w:val="1"/>
        <w:rPr>
          <w:rFonts w:ascii="宋体" w:hAnsi="宋体" w:eastAsia="宋体" w:cs="宋体"/>
          <w:sz w:val="24"/>
          <w:szCs w:val="24"/>
        </w:rPr>
      </w:pPr>
      <w:bookmarkStart w:id="66" w:name="bookmark59"/>
      <w:bookmarkEnd w:id="66"/>
      <w:r>
        <w:rPr>
          <w:rFonts w:ascii="Times New Roman" w:hAnsi="Times New Roman" w:eastAsia="Times New Roman" w:cs="Times New Roman"/>
          <w:b/>
          <w:bCs/>
          <w:spacing w:val="-1"/>
          <w:sz w:val="24"/>
          <w:szCs w:val="24"/>
        </w:rPr>
        <w:t xml:space="preserve">10.4 </w:t>
      </w:r>
      <w:r>
        <w:rPr>
          <w:rFonts w:ascii="宋体" w:hAnsi="宋体" w:eastAsia="宋体" w:cs="宋体"/>
          <w:spacing w:val="-1"/>
          <w:sz w:val="24"/>
          <w:szCs w:val="24"/>
          <w14:textOutline w14:w="4354" w14:cap="flat" w14:cmpd="sng">
            <w14:solidFill>
              <w14:srgbClr w14:val="000000"/>
            </w14:solidFill>
            <w14:prstDash w14:val="solid"/>
            <w14:miter w14:val="0"/>
          </w14:textOutline>
        </w:rPr>
        <w:t>污染防治措施结论</w:t>
      </w:r>
    </w:p>
    <w:p>
      <w:pPr>
        <w:spacing w:before="182" w:line="219" w:lineRule="auto"/>
        <w:ind w:left="605"/>
        <w:rPr>
          <w:rFonts w:ascii="宋体" w:hAnsi="宋体" w:eastAsia="宋体" w:cs="宋体"/>
          <w:sz w:val="24"/>
          <w:szCs w:val="24"/>
        </w:rPr>
      </w:pPr>
      <w:r>
        <w:rPr>
          <w:rFonts w:ascii="宋体" w:hAnsi="宋体" w:eastAsia="宋体" w:cs="宋体"/>
          <w:spacing w:val="-3"/>
          <w:sz w:val="24"/>
          <w:szCs w:val="24"/>
        </w:rPr>
        <w:t>本工程污染防治措施汇总情况详见表</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10.4-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before="182" w:line="220" w:lineRule="auto"/>
        <w:ind w:left="2586"/>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污染防治对策措施一览表</w:t>
      </w:r>
    </w:p>
    <w:p>
      <w:pPr>
        <w:spacing w:line="145"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4741"/>
        <w:gridCol w:w="31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97" w:type="dxa"/>
            <w:vAlign w:val="top"/>
          </w:tcPr>
          <w:p>
            <w:pPr>
              <w:pStyle w:val="6"/>
              <w:spacing w:before="80" w:line="209" w:lineRule="auto"/>
              <w:ind w:left="94"/>
            </w:pPr>
            <w:r>
              <w:rPr>
                <w:spacing w:val="-3"/>
              </w:rPr>
              <w:t>分类</w:t>
            </w:r>
          </w:p>
        </w:tc>
        <w:tc>
          <w:tcPr>
            <w:tcW w:w="4741" w:type="dxa"/>
            <w:vAlign w:val="top"/>
          </w:tcPr>
          <w:p>
            <w:pPr>
              <w:pStyle w:val="6"/>
              <w:spacing w:before="80" w:line="209" w:lineRule="auto"/>
              <w:ind w:left="2057"/>
            </w:pPr>
            <w:r>
              <w:rPr>
                <w:spacing w:val="-1"/>
              </w:rPr>
              <w:t>施工期</w:t>
            </w:r>
          </w:p>
        </w:tc>
        <w:tc>
          <w:tcPr>
            <w:tcW w:w="3195" w:type="dxa"/>
            <w:vAlign w:val="top"/>
          </w:tcPr>
          <w:p>
            <w:pPr>
              <w:pStyle w:val="6"/>
              <w:spacing w:before="80" w:line="209" w:lineRule="auto"/>
              <w:ind w:left="1285"/>
            </w:pPr>
            <w:r>
              <w:rPr>
                <w:spacing w:val="-2"/>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84" w:hRule="atLeast"/>
        </w:trPr>
        <w:tc>
          <w:tcPr>
            <w:tcW w:w="597"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8" w:line="251" w:lineRule="auto"/>
              <w:ind w:left="197" w:right="85" w:hanging="103"/>
            </w:pPr>
            <w:r>
              <w:rPr>
                <w:spacing w:val="-5"/>
              </w:rPr>
              <w:t>水环</w:t>
            </w:r>
            <w:r>
              <w:t xml:space="preserve"> 境</w:t>
            </w:r>
          </w:p>
        </w:tc>
        <w:tc>
          <w:tcPr>
            <w:tcW w:w="4741" w:type="dxa"/>
            <w:vAlign w:val="top"/>
          </w:tcPr>
          <w:p>
            <w:pPr>
              <w:pStyle w:val="6"/>
              <w:spacing w:before="29" w:line="221" w:lineRule="auto"/>
              <w:ind w:left="458"/>
            </w:pPr>
            <w:r>
              <w:rPr>
                <w:spacing w:val="-1"/>
              </w:rPr>
              <w:t>（</w:t>
            </w:r>
            <w:r>
              <w:rPr>
                <w:rFonts w:ascii="Times New Roman" w:hAnsi="Times New Roman" w:eastAsia="Times New Roman" w:cs="Times New Roman"/>
                <w:spacing w:val="-1"/>
              </w:rPr>
              <w:t>1</w:t>
            </w:r>
            <w:r>
              <w:rPr>
                <w:spacing w:val="-1"/>
              </w:rPr>
              <w:t>）施工人员生活污水污染防治措施</w:t>
            </w:r>
          </w:p>
          <w:p>
            <w:pPr>
              <w:pStyle w:val="6"/>
              <w:spacing w:before="24" w:line="234" w:lineRule="auto"/>
              <w:ind w:left="32" w:right="24" w:firstLine="420"/>
            </w:pPr>
            <w:r>
              <w:rPr>
                <w:spacing w:val="2"/>
              </w:rPr>
              <w:t>本工程施工人员主要租用附近民房，生活污水</w:t>
            </w:r>
            <w:r>
              <w:rPr>
                <w:spacing w:val="17"/>
              </w:rPr>
              <w:t xml:space="preserve"> </w:t>
            </w:r>
            <w:r>
              <w:rPr>
                <w:spacing w:val="2"/>
              </w:rPr>
              <w:t>利用当地原有污水处理设施进行处理。临时施工场</w:t>
            </w:r>
            <w:r>
              <w:rPr>
                <w:spacing w:val="14"/>
              </w:rPr>
              <w:t xml:space="preserve"> </w:t>
            </w:r>
            <w:r>
              <w:rPr>
                <w:spacing w:val="-2"/>
              </w:rPr>
              <w:t>地设置临时厕所， 施工人员的生活污水经</w:t>
            </w:r>
            <w:r>
              <w:rPr>
                <w:spacing w:val="-3"/>
              </w:rPr>
              <w:t>化粪池预</w:t>
            </w:r>
            <w:r>
              <w:t xml:space="preserve"> </w:t>
            </w:r>
            <w:r>
              <w:rPr>
                <w:spacing w:val="-1"/>
              </w:rPr>
              <w:t>处理后委托定期清运及浇灌山林。</w:t>
            </w:r>
          </w:p>
          <w:p>
            <w:pPr>
              <w:pStyle w:val="6"/>
              <w:spacing w:before="22" w:line="221" w:lineRule="auto"/>
              <w:ind w:left="458"/>
            </w:pPr>
            <w:r>
              <w:rPr>
                <w:spacing w:val="-3"/>
              </w:rPr>
              <w:t>（</w:t>
            </w:r>
            <w:r>
              <w:rPr>
                <w:rFonts w:ascii="Times New Roman" w:hAnsi="Times New Roman" w:eastAsia="Times New Roman" w:cs="Times New Roman"/>
                <w:spacing w:val="-3"/>
              </w:rPr>
              <w:t>2</w:t>
            </w:r>
            <w:r>
              <w:rPr>
                <w:spacing w:val="-3"/>
              </w:rPr>
              <w:t>）桥梁施工</w:t>
            </w:r>
          </w:p>
          <w:p>
            <w:pPr>
              <w:pStyle w:val="6"/>
              <w:spacing w:before="20" w:line="224" w:lineRule="auto"/>
              <w:ind w:left="35" w:right="24" w:firstLine="420"/>
            </w:pPr>
            <w:r>
              <w:rPr>
                <w:spacing w:val="2"/>
              </w:rPr>
              <w:t>工程所设桥梁基础主要采用钻孔灌注桩，钻孔</w:t>
            </w:r>
            <w:r>
              <w:rPr>
                <w:spacing w:val="15"/>
              </w:rPr>
              <w:t xml:space="preserve"> </w:t>
            </w:r>
            <w:r>
              <w:rPr>
                <w:spacing w:val="2"/>
              </w:rPr>
              <w:t>灌注桩基础施工中泥浆部分回用，无法回用的泥浆</w:t>
            </w:r>
          </w:p>
        </w:tc>
        <w:tc>
          <w:tcPr>
            <w:tcW w:w="3195" w:type="dxa"/>
            <w:vAlign w:val="top"/>
          </w:tcPr>
          <w:p>
            <w:pPr>
              <w:rPr>
                <w:rFonts w:ascii="Arial"/>
                <w:sz w:val="21"/>
              </w:rPr>
            </w:pPr>
          </w:p>
          <w:p>
            <w:pPr>
              <w:spacing w:line="241" w:lineRule="auto"/>
              <w:rPr>
                <w:rFonts w:ascii="Arial"/>
                <w:sz w:val="21"/>
              </w:rPr>
            </w:pPr>
          </w:p>
          <w:p>
            <w:pPr>
              <w:pStyle w:val="6"/>
              <w:spacing w:before="68" w:line="221" w:lineRule="auto"/>
              <w:ind w:left="49"/>
            </w:pPr>
            <w:r>
              <w:rPr>
                <w:rFonts w:ascii="Times New Roman" w:hAnsi="Times New Roman" w:eastAsia="Times New Roman" w:cs="Times New Roman"/>
                <w:spacing w:val="-7"/>
              </w:rPr>
              <w:t>1</w:t>
            </w:r>
            <w:r>
              <w:rPr>
                <w:rFonts w:ascii="Times New Roman" w:hAnsi="Times New Roman" w:eastAsia="Times New Roman" w:cs="Times New Roman"/>
                <w:spacing w:val="-23"/>
              </w:rPr>
              <w:t xml:space="preserve"> </w:t>
            </w:r>
            <w:r>
              <w:rPr>
                <w:spacing w:val="-7"/>
              </w:rPr>
              <w:t>、加强路面桥面清理；</w:t>
            </w:r>
          </w:p>
          <w:p>
            <w:pPr>
              <w:pStyle w:val="6"/>
              <w:spacing w:before="30" w:line="234" w:lineRule="auto"/>
              <w:ind w:left="32" w:right="117" w:hanging="4"/>
            </w:pPr>
            <w:r>
              <w:rPr>
                <w:rFonts w:ascii="Times New Roman" w:hAnsi="Times New Roman" w:eastAsia="Times New Roman" w:cs="Times New Roman"/>
                <w:spacing w:val="-7"/>
              </w:rPr>
              <w:t>2</w:t>
            </w:r>
            <w:r>
              <w:rPr>
                <w:spacing w:val="-7"/>
              </w:rPr>
              <w:t>、径流纳入雨水边沟， 设置防撞</w:t>
            </w:r>
            <w:r>
              <w:rPr>
                <w:spacing w:val="5"/>
              </w:rPr>
              <w:t xml:space="preserve"> </w:t>
            </w:r>
            <w:r>
              <w:rPr>
                <w:spacing w:val="-9"/>
              </w:rPr>
              <w:t>护栏。</w:t>
            </w:r>
          </w:p>
        </w:tc>
      </w:tr>
    </w:tbl>
    <w:p>
      <w:pPr>
        <w:pStyle w:val="2"/>
      </w:pPr>
    </w:p>
    <w:p>
      <w:pPr>
        <w:sectPr>
          <w:headerReference r:id="rId384" w:type="default"/>
          <w:footerReference r:id="rId385" w:type="default"/>
          <w:pgSz w:w="11907" w:h="16839"/>
          <w:pgMar w:top="1118" w:right="1682" w:bottom="1177" w:left="1685" w:header="879" w:footer="1013" w:gutter="0"/>
          <w:cols w:space="720" w:num="1"/>
        </w:sectPr>
      </w:pPr>
    </w:p>
    <w:p>
      <w:pPr>
        <w:spacing w:before="80"/>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4741"/>
        <w:gridCol w:w="31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97" w:type="dxa"/>
            <w:vAlign w:val="top"/>
          </w:tcPr>
          <w:p>
            <w:pPr>
              <w:pStyle w:val="6"/>
              <w:spacing w:before="79" w:line="212" w:lineRule="auto"/>
              <w:ind w:left="94"/>
            </w:pPr>
            <w:r>
              <w:rPr>
                <w:spacing w:val="-3"/>
              </w:rPr>
              <w:t>分类</w:t>
            </w:r>
          </w:p>
        </w:tc>
        <w:tc>
          <w:tcPr>
            <w:tcW w:w="4741" w:type="dxa"/>
            <w:vAlign w:val="top"/>
          </w:tcPr>
          <w:p>
            <w:pPr>
              <w:pStyle w:val="6"/>
              <w:spacing w:before="79" w:line="212" w:lineRule="auto"/>
              <w:ind w:left="2057"/>
            </w:pPr>
            <w:r>
              <w:rPr>
                <w:spacing w:val="-1"/>
              </w:rPr>
              <w:t>施工期</w:t>
            </w:r>
          </w:p>
        </w:tc>
        <w:tc>
          <w:tcPr>
            <w:tcW w:w="3195" w:type="dxa"/>
            <w:vAlign w:val="top"/>
          </w:tcPr>
          <w:p>
            <w:pPr>
              <w:pStyle w:val="6"/>
              <w:spacing w:before="79" w:line="212" w:lineRule="auto"/>
              <w:ind w:left="1285"/>
            </w:pPr>
            <w:r>
              <w:rPr>
                <w:spacing w:val="-2"/>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8" w:hRule="atLeast"/>
        </w:trPr>
        <w:tc>
          <w:tcPr>
            <w:tcW w:w="597" w:type="dxa"/>
            <w:vAlign w:val="top"/>
          </w:tcPr>
          <w:p>
            <w:pPr>
              <w:rPr>
                <w:rFonts w:ascii="Arial"/>
                <w:sz w:val="21"/>
              </w:rPr>
            </w:pPr>
          </w:p>
        </w:tc>
        <w:tc>
          <w:tcPr>
            <w:tcW w:w="4741" w:type="dxa"/>
            <w:vAlign w:val="top"/>
          </w:tcPr>
          <w:p>
            <w:pPr>
              <w:pStyle w:val="6"/>
              <w:spacing w:before="31" w:line="229" w:lineRule="auto"/>
              <w:ind w:left="35" w:right="24" w:hanging="1"/>
            </w:pPr>
            <w:r>
              <w:rPr>
                <w:spacing w:val="2"/>
              </w:rPr>
              <w:t>经沉淀后上清液回用于洒水降尘，钻渣最终作为废</w:t>
            </w:r>
            <w:r>
              <w:rPr>
                <w:spacing w:val="12"/>
              </w:rPr>
              <w:t xml:space="preserve"> </w:t>
            </w:r>
            <w:r>
              <w:rPr>
                <w:spacing w:val="-1"/>
              </w:rPr>
              <w:t>弃土石方进行处理。</w:t>
            </w:r>
          </w:p>
          <w:p>
            <w:pPr>
              <w:pStyle w:val="6"/>
              <w:spacing w:before="22" w:line="221" w:lineRule="auto"/>
              <w:ind w:left="458"/>
            </w:pPr>
            <w:r>
              <w:rPr>
                <w:spacing w:val="-2"/>
              </w:rPr>
              <w:t>（</w:t>
            </w:r>
            <w:r>
              <w:rPr>
                <w:rFonts w:ascii="Times New Roman" w:hAnsi="Times New Roman" w:eastAsia="Times New Roman" w:cs="Times New Roman"/>
                <w:spacing w:val="-2"/>
              </w:rPr>
              <w:t>3</w:t>
            </w:r>
            <w:r>
              <w:rPr>
                <w:spacing w:val="-2"/>
              </w:rPr>
              <w:t>）混凝土拌和站废水</w:t>
            </w:r>
          </w:p>
          <w:p>
            <w:pPr>
              <w:pStyle w:val="6"/>
              <w:spacing w:before="19" w:line="231" w:lineRule="auto"/>
              <w:ind w:left="35" w:right="32" w:firstLine="416"/>
            </w:pPr>
            <w:r>
              <w:rPr>
                <w:spacing w:val="2"/>
              </w:rPr>
              <w:t>①混凝土拌和站场地硬化，内设雨水导流沟排</w:t>
            </w:r>
            <w:r>
              <w:rPr>
                <w:spacing w:val="10"/>
              </w:rPr>
              <w:t xml:space="preserve"> </w:t>
            </w:r>
            <w:r>
              <w:rPr>
                <w:spacing w:val="-2"/>
              </w:rPr>
              <w:t>水系统。</w:t>
            </w:r>
          </w:p>
          <w:p>
            <w:pPr>
              <w:pStyle w:val="6"/>
              <w:spacing w:before="19" w:line="236" w:lineRule="auto"/>
              <w:ind w:left="34" w:right="23" w:firstLine="416"/>
            </w:pPr>
            <w:r>
              <w:rPr>
                <w:spacing w:val="3"/>
              </w:rPr>
              <w:t>②搅拌机清洗水和运输车辆清洗水在临时场地</w:t>
            </w:r>
            <w:r>
              <w:t xml:space="preserve"> </w:t>
            </w:r>
            <w:r>
              <w:rPr>
                <w:spacing w:val="12"/>
              </w:rPr>
              <w:t>内由沉淀池等生产废水处理系统处理后上清液回</w:t>
            </w:r>
            <w:r>
              <w:rPr>
                <w:spacing w:val="13"/>
              </w:rPr>
              <w:t xml:space="preserve"> </w:t>
            </w:r>
            <w:r>
              <w:rPr>
                <w:spacing w:val="2"/>
              </w:rPr>
              <w:t>用，回用于运输车辆、场地冲洗和场地抑尘洒水等</w:t>
            </w:r>
            <w:r>
              <w:rPr>
                <w:spacing w:val="10"/>
              </w:rPr>
              <w:t xml:space="preserve"> </w:t>
            </w:r>
            <w:r>
              <w:rPr>
                <w:spacing w:val="2"/>
              </w:rPr>
              <w:t>用途。冲洗场地产生的废水也一并汇至沉淀池进行</w:t>
            </w:r>
            <w:r>
              <w:rPr>
                <w:spacing w:val="13"/>
              </w:rPr>
              <w:t xml:space="preserve"> </w:t>
            </w:r>
            <w:r>
              <w:rPr>
                <w:spacing w:val="-2"/>
              </w:rPr>
              <w:t>处理后回用。</w:t>
            </w:r>
          </w:p>
          <w:p>
            <w:pPr>
              <w:pStyle w:val="6"/>
              <w:spacing w:before="19" w:line="221" w:lineRule="auto"/>
              <w:ind w:left="458"/>
            </w:pPr>
            <w:r>
              <w:rPr>
                <w:spacing w:val="-3"/>
              </w:rPr>
              <w:t>（</w:t>
            </w:r>
            <w:r>
              <w:rPr>
                <w:rFonts w:ascii="Times New Roman" w:hAnsi="Times New Roman" w:eastAsia="Times New Roman" w:cs="Times New Roman"/>
                <w:spacing w:val="-3"/>
              </w:rPr>
              <w:t>4</w:t>
            </w:r>
            <w:r>
              <w:rPr>
                <w:spacing w:val="-3"/>
              </w:rPr>
              <w:t>）其他措施</w:t>
            </w:r>
          </w:p>
          <w:p>
            <w:pPr>
              <w:pStyle w:val="6"/>
              <w:spacing w:before="23" w:line="229" w:lineRule="auto"/>
              <w:ind w:left="32" w:right="24" w:firstLine="419"/>
            </w:pPr>
            <w:r>
              <w:rPr>
                <w:spacing w:val="2"/>
              </w:rPr>
              <w:t>①本项目施工过程中做好施工的各类物质及固</w:t>
            </w:r>
            <w:r>
              <w:rPr>
                <w:spacing w:val="18"/>
              </w:rPr>
              <w:t xml:space="preserve"> </w:t>
            </w:r>
            <w:r>
              <w:rPr>
                <w:spacing w:val="-1"/>
              </w:rPr>
              <w:t>体废物的堆放和管理。</w:t>
            </w:r>
          </w:p>
          <w:p>
            <w:pPr>
              <w:pStyle w:val="6"/>
              <w:spacing w:before="23" w:line="223" w:lineRule="auto"/>
              <w:ind w:left="34" w:right="24" w:firstLine="416"/>
            </w:pPr>
            <w:r>
              <w:rPr>
                <w:spacing w:val="3"/>
              </w:rPr>
              <w:t>②本项目隧道开挖产生的废水，经过处理后回</w:t>
            </w:r>
            <w:r>
              <w:t xml:space="preserve"> </w:t>
            </w:r>
            <w:r>
              <w:rPr>
                <w:spacing w:val="-10"/>
              </w:rPr>
              <w:t>用。</w:t>
            </w:r>
          </w:p>
        </w:tc>
        <w:tc>
          <w:tcPr>
            <w:tcW w:w="31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7" w:hRule="atLeast"/>
        </w:trPr>
        <w:tc>
          <w:tcPr>
            <w:tcW w:w="59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8" w:line="251" w:lineRule="auto"/>
              <w:ind w:left="92" w:right="85" w:firstLine="2"/>
            </w:pPr>
            <w:r>
              <w:rPr>
                <w:spacing w:val="-5"/>
              </w:rPr>
              <w:t>大气</w:t>
            </w:r>
            <w:r>
              <w:t xml:space="preserve"> </w:t>
            </w:r>
            <w:r>
              <w:rPr>
                <w:spacing w:val="-3"/>
              </w:rPr>
              <w:t>环境</w:t>
            </w:r>
          </w:p>
        </w:tc>
        <w:tc>
          <w:tcPr>
            <w:tcW w:w="4741" w:type="dxa"/>
            <w:vAlign w:val="top"/>
          </w:tcPr>
          <w:p>
            <w:pPr>
              <w:pStyle w:val="6"/>
              <w:spacing w:before="32" w:line="233" w:lineRule="auto"/>
              <w:ind w:left="32" w:right="23" w:firstLine="426"/>
            </w:pPr>
            <w:r>
              <w:rPr>
                <w:spacing w:val="-3"/>
              </w:rPr>
              <w:t>（</w:t>
            </w:r>
            <w:r>
              <w:rPr>
                <w:rFonts w:ascii="Times New Roman" w:hAnsi="Times New Roman" w:eastAsia="Times New Roman" w:cs="Times New Roman"/>
                <w:spacing w:val="-3"/>
              </w:rPr>
              <w:t>1</w:t>
            </w:r>
            <w:r>
              <w:rPr>
                <w:spacing w:val="-3"/>
              </w:rPr>
              <w:t>）在施工期定时对汽车进行维护，保证汽车</w:t>
            </w:r>
            <w:r>
              <w:rPr>
                <w:spacing w:val="10"/>
              </w:rPr>
              <w:t xml:space="preserve"> </w:t>
            </w:r>
            <w:r>
              <w:rPr>
                <w:spacing w:val="-1"/>
              </w:rPr>
              <w:t>正常、安全运行。</w:t>
            </w:r>
            <w:r>
              <w:rPr>
                <w:spacing w:val="-22"/>
              </w:rPr>
              <w:t xml:space="preserve"> </w:t>
            </w:r>
            <w:r>
              <w:rPr>
                <w:spacing w:val="-1"/>
              </w:rPr>
              <w:t>科学管理施工机械，安排</w:t>
            </w:r>
            <w:r>
              <w:rPr>
                <w:spacing w:val="-2"/>
              </w:rPr>
              <w:t>合理的</w:t>
            </w:r>
            <w:r>
              <w:t xml:space="preserve"> </w:t>
            </w:r>
            <w:r>
              <w:rPr>
                <w:spacing w:val="-9"/>
              </w:rPr>
              <w:t>运行时间， 发挥其最大效率。</w:t>
            </w:r>
          </w:p>
          <w:p>
            <w:pPr>
              <w:pStyle w:val="6"/>
              <w:spacing w:before="20" w:line="233" w:lineRule="auto"/>
              <w:ind w:left="33" w:right="23" w:firstLine="425"/>
            </w:pPr>
            <w:r>
              <w:rPr>
                <w:spacing w:val="-8"/>
              </w:rPr>
              <w:t>（</w:t>
            </w:r>
            <w:r>
              <w:rPr>
                <w:rFonts w:ascii="Times New Roman" w:hAnsi="Times New Roman" w:eastAsia="Times New Roman" w:cs="Times New Roman"/>
                <w:spacing w:val="-8"/>
              </w:rPr>
              <w:t>2</w:t>
            </w:r>
            <w:r>
              <w:rPr>
                <w:spacing w:val="-8"/>
              </w:rPr>
              <w:t>）合理安排汽车运输时序， 已选择较为科学</w:t>
            </w:r>
            <w:r>
              <w:rPr>
                <w:spacing w:val="18"/>
              </w:rPr>
              <w:t xml:space="preserve"> </w:t>
            </w:r>
            <w:r>
              <w:rPr>
                <w:spacing w:val="-3"/>
              </w:rPr>
              <w:t>合理的运输路线， 利用施工便道，安排车辆的运输</w:t>
            </w:r>
            <w:r>
              <w:rPr>
                <w:spacing w:val="16"/>
              </w:rPr>
              <w:t xml:space="preserve"> </w:t>
            </w:r>
            <w:r>
              <w:rPr>
                <w:spacing w:val="-7"/>
              </w:rPr>
              <w:t>时间， 保证汽车安全、文明行驶。</w:t>
            </w:r>
          </w:p>
          <w:p>
            <w:pPr>
              <w:pStyle w:val="6"/>
              <w:spacing w:before="22" w:line="230" w:lineRule="auto"/>
              <w:ind w:left="34" w:right="23" w:firstLine="424"/>
            </w:pPr>
            <w:r>
              <w:rPr>
                <w:spacing w:val="-3"/>
              </w:rPr>
              <w:t>（</w:t>
            </w:r>
            <w:r>
              <w:rPr>
                <w:rFonts w:ascii="Times New Roman" w:hAnsi="Times New Roman" w:eastAsia="Times New Roman" w:cs="Times New Roman"/>
                <w:spacing w:val="-3"/>
              </w:rPr>
              <w:t>3</w:t>
            </w:r>
            <w:r>
              <w:rPr>
                <w:spacing w:val="-3"/>
              </w:rPr>
              <w:t>）运输道路定时进行洒水降尘，路面安排工</w:t>
            </w:r>
            <w:r>
              <w:rPr>
                <w:spacing w:val="10"/>
              </w:rPr>
              <w:t xml:space="preserve"> </w:t>
            </w:r>
            <w:r>
              <w:rPr>
                <w:spacing w:val="-1"/>
              </w:rPr>
              <w:t>人及时进行清扫。</w:t>
            </w:r>
          </w:p>
          <w:p>
            <w:pPr>
              <w:pStyle w:val="6"/>
              <w:spacing w:before="22" w:line="233" w:lineRule="auto"/>
              <w:ind w:left="32" w:right="23" w:firstLine="426"/>
            </w:pPr>
            <w:r>
              <w:rPr>
                <w:spacing w:val="-3"/>
              </w:rPr>
              <w:t>（</w:t>
            </w:r>
            <w:r>
              <w:rPr>
                <w:rFonts w:ascii="Times New Roman" w:hAnsi="Times New Roman" w:eastAsia="Times New Roman" w:cs="Times New Roman"/>
                <w:spacing w:val="-3"/>
              </w:rPr>
              <w:t>4</w:t>
            </w:r>
            <w:r>
              <w:rPr>
                <w:spacing w:val="-3"/>
              </w:rPr>
              <w:t>）粉状材料采用密闭的筒仓储存，并采用专</w:t>
            </w:r>
            <w:r>
              <w:rPr>
                <w:spacing w:val="10"/>
              </w:rPr>
              <w:t xml:space="preserve"> </w:t>
            </w:r>
            <w:r>
              <w:rPr>
                <w:spacing w:val="2"/>
              </w:rPr>
              <w:t>门的罐车进行运输。土方、石方等材料运输时盖篷</w:t>
            </w:r>
            <w:r>
              <w:rPr>
                <w:spacing w:val="14"/>
              </w:rPr>
              <w:t xml:space="preserve"> </w:t>
            </w:r>
            <w:r>
              <w:rPr>
                <w:spacing w:val="-10"/>
              </w:rPr>
              <w:t>布。</w:t>
            </w:r>
          </w:p>
          <w:p>
            <w:pPr>
              <w:pStyle w:val="6"/>
              <w:spacing w:before="20" w:line="231" w:lineRule="auto"/>
              <w:ind w:left="36" w:right="40" w:firstLine="422"/>
            </w:pPr>
            <w:r>
              <w:rPr>
                <w:spacing w:val="-4"/>
              </w:rPr>
              <w:t>（</w:t>
            </w:r>
            <w:r>
              <w:rPr>
                <w:rFonts w:ascii="Times New Roman" w:hAnsi="Times New Roman" w:eastAsia="Times New Roman" w:cs="Times New Roman"/>
                <w:spacing w:val="-4"/>
              </w:rPr>
              <w:t>5</w:t>
            </w:r>
            <w:r>
              <w:rPr>
                <w:spacing w:val="-4"/>
              </w:rPr>
              <w:t>）施工作业时采取洒水降尘。易产生扬尘的</w:t>
            </w:r>
            <w:r>
              <w:rPr>
                <w:spacing w:val="14"/>
              </w:rPr>
              <w:t xml:space="preserve"> </w:t>
            </w:r>
            <w:r>
              <w:rPr>
                <w:spacing w:val="-3"/>
              </w:rPr>
              <w:t>天气暂停路堑开挖等施工作业。</w:t>
            </w:r>
          </w:p>
          <w:p>
            <w:pPr>
              <w:pStyle w:val="6"/>
              <w:spacing w:before="21" w:line="237" w:lineRule="auto"/>
              <w:ind w:left="31" w:right="23" w:firstLine="427"/>
            </w:pPr>
            <w:r>
              <w:rPr>
                <w:spacing w:val="-3"/>
              </w:rPr>
              <w:t>（</w:t>
            </w:r>
            <w:r>
              <w:rPr>
                <w:rFonts w:ascii="Times New Roman" w:hAnsi="Times New Roman" w:eastAsia="Times New Roman" w:cs="Times New Roman"/>
                <w:spacing w:val="-3"/>
              </w:rPr>
              <w:t>6</w:t>
            </w:r>
            <w:r>
              <w:rPr>
                <w:spacing w:val="-3"/>
              </w:rPr>
              <w:t>）本项目混凝土拌合站的设置符合《公路环</w:t>
            </w:r>
            <w:r>
              <w:rPr>
                <w:spacing w:val="10"/>
              </w:rPr>
              <w:t xml:space="preserve"> </w:t>
            </w:r>
            <w:r>
              <w:rPr>
                <w:spacing w:val="-2"/>
              </w:rPr>
              <w:t>境保护设计规范》 的要求，混凝料拌合采用集</w:t>
            </w:r>
            <w:r>
              <w:rPr>
                <w:spacing w:val="-3"/>
              </w:rPr>
              <w:t>中拌</w:t>
            </w:r>
            <w:r>
              <w:t xml:space="preserve"> </w:t>
            </w:r>
            <w:r>
              <w:rPr>
                <w:spacing w:val="-3"/>
              </w:rPr>
              <w:t>合方式，拌合楼距环境敏感点大于</w:t>
            </w:r>
            <w:r>
              <w:rPr>
                <w:spacing w:val="-32"/>
              </w:rPr>
              <w:t xml:space="preserve"> </w:t>
            </w:r>
            <w:r>
              <w:rPr>
                <w:rFonts w:ascii="Times New Roman" w:hAnsi="Times New Roman" w:eastAsia="Times New Roman" w:cs="Times New Roman"/>
                <w:spacing w:val="-3"/>
              </w:rPr>
              <w:t>200m</w:t>
            </w:r>
            <w:r>
              <w:rPr>
                <w:spacing w:val="-3"/>
              </w:rPr>
              <w:t>。拌合楼筒</w:t>
            </w:r>
            <w:r>
              <w:t xml:space="preserve"> </w:t>
            </w:r>
            <w:r>
              <w:rPr>
                <w:spacing w:val="2"/>
              </w:rPr>
              <w:t>仓和搅拌主机采用封闭式除尘。水泥卸料时，采用</w:t>
            </w:r>
            <w:r>
              <w:rPr>
                <w:spacing w:val="9"/>
              </w:rPr>
              <w:t xml:space="preserve"> </w:t>
            </w:r>
            <w:r>
              <w:rPr>
                <w:spacing w:val="-2"/>
              </w:rPr>
              <w:t>布袋扎紧放空口， 控制粉尘的逸散。场区内堆场进</w:t>
            </w:r>
            <w:r>
              <w:t xml:space="preserve"> </w:t>
            </w:r>
            <w:r>
              <w:rPr>
                <w:spacing w:val="1"/>
              </w:rPr>
              <w:t>行洒水降尘，并采用雾炮机进行喷雾降尘；石子、</w:t>
            </w:r>
            <w:r>
              <w:rPr>
                <w:spacing w:val="6"/>
              </w:rPr>
              <w:t xml:space="preserve"> </w:t>
            </w:r>
            <w:r>
              <w:rPr>
                <w:spacing w:val="2"/>
              </w:rPr>
              <w:t>黄砂运输货车车辆进入场地后进行洒水降尘，控制</w:t>
            </w:r>
            <w:r>
              <w:rPr>
                <w:spacing w:val="15"/>
              </w:rPr>
              <w:t xml:space="preserve"> </w:t>
            </w:r>
            <w:r>
              <w:rPr>
                <w:spacing w:val="-3"/>
              </w:rPr>
              <w:t>卸货时产生的扬尘。</w:t>
            </w:r>
          </w:p>
          <w:p>
            <w:pPr>
              <w:pStyle w:val="6"/>
              <w:spacing w:before="20" w:line="235" w:lineRule="auto"/>
              <w:ind w:left="33" w:right="21" w:firstLine="425"/>
            </w:pPr>
            <w:r>
              <w:rPr>
                <w:spacing w:val="-3"/>
              </w:rPr>
              <w:t>（</w:t>
            </w:r>
            <w:r>
              <w:rPr>
                <w:rFonts w:ascii="Times New Roman" w:hAnsi="Times New Roman" w:eastAsia="Times New Roman" w:cs="Times New Roman"/>
                <w:spacing w:val="-3"/>
              </w:rPr>
              <w:t>7</w:t>
            </w:r>
            <w:r>
              <w:rPr>
                <w:spacing w:val="-3"/>
              </w:rPr>
              <w:t>）隧道开挖、钻孔进行合理的施工安排并制</w:t>
            </w:r>
            <w:r>
              <w:rPr>
                <w:spacing w:val="12"/>
              </w:rPr>
              <w:t xml:space="preserve"> </w:t>
            </w:r>
            <w:r>
              <w:rPr>
                <w:spacing w:val="2"/>
              </w:rPr>
              <w:t>定了专门的爆破施工方案，对隧道口施工扬尘采取</w:t>
            </w:r>
            <w:r>
              <w:rPr>
                <w:spacing w:val="11"/>
              </w:rPr>
              <w:t xml:space="preserve"> </w:t>
            </w:r>
            <w:r>
              <w:rPr>
                <w:spacing w:val="2"/>
              </w:rPr>
              <w:t>洒水降尘措施；同时为施工人员配备相应的防尘劳</w:t>
            </w:r>
            <w:r>
              <w:rPr>
                <w:spacing w:val="8"/>
              </w:rPr>
              <w:t xml:space="preserve"> </w:t>
            </w:r>
            <w:r>
              <w:rPr>
                <w:spacing w:val="-2"/>
              </w:rPr>
              <w:t>保用品。</w:t>
            </w:r>
          </w:p>
          <w:p>
            <w:pPr>
              <w:pStyle w:val="6"/>
              <w:spacing w:before="22" w:line="222" w:lineRule="auto"/>
              <w:ind w:left="33" w:right="23" w:firstLine="425"/>
            </w:pPr>
            <w:r>
              <w:rPr>
                <w:spacing w:val="-3"/>
              </w:rPr>
              <w:t>（</w:t>
            </w:r>
            <w:r>
              <w:rPr>
                <w:rFonts w:ascii="Times New Roman" w:hAnsi="Times New Roman" w:eastAsia="Times New Roman" w:cs="Times New Roman"/>
                <w:spacing w:val="-3"/>
              </w:rPr>
              <w:t>8</w:t>
            </w:r>
            <w:r>
              <w:rPr>
                <w:spacing w:val="-3"/>
              </w:rPr>
              <w:t>）沥青路面铺浇定时快速高效进行，严格控</w:t>
            </w:r>
            <w:r>
              <w:rPr>
                <w:spacing w:val="10"/>
              </w:rPr>
              <w:t xml:space="preserve"> </w:t>
            </w:r>
            <w:r>
              <w:rPr>
                <w:spacing w:val="-1"/>
              </w:rPr>
              <w:t>制浇铺时间。</w:t>
            </w:r>
          </w:p>
        </w:tc>
        <w:tc>
          <w:tcPr>
            <w:tcW w:w="3195"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8" w:line="235" w:lineRule="auto"/>
              <w:ind w:left="33" w:firstLine="431"/>
            </w:pPr>
            <w:r>
              <w:rPr>
                <w:rFonts w:ascii="Times New Roman" w:hAnsi="Times New Roman" w:eastAsia="Times New Roman" w:cs="Times New Roman"/>
                <w:spacing w:val="-8"/>
              </w:rPr>
              <w:t>1</w:t>
            </w:r>
            <w:r>
              <w:rPr>
                <w:spacing w:val="-8"/>
              </w:rPr>
              <w:t>、加强道路管理及路面养护，</w:t>
            </w:r>
            <w:r>
              <w:rPr>
                <w:spacing w:val="1"/>
              </w:rPr>
              <w:t xml:space="preserve"> </w:t>
            </w:r>
            <w:r>
              <w:rPr>
                <w:spacing w:val="-4"/>
              </w:rPr>
              <w:t>保持道路良好运营状态，减少和避</w:t>
            </w:r>
            <w:r>
              <w:rPr>
                <w:spacing w:val="8"/>
              </w:rPr>
              <w:t xml:space="preserve"> </w:t>
            </w:r>
            <w:r>
              <w:rPr>
                <w:spacing w:val="-3"/>
              </w:rPr>
              <w:t>免塞车现象发生。严格控制车况，</w:t>
            </w:r>
            <w:r>
              <w:rPr>
                <w:spacing w:val="10"/>
              </w:rPr>
              <w:t xml:space="preserve"> </w:t>
            </w:r>
            <w:r>
              <w:rPr>
                <w:spacing w:val="-3"/>
              </w:rPr>
              <w:t>严禁不符合规定、超载车辆上路；</w:t>
            </w:r>
          </w:p>
          <w:p>
            <w:pPr>
              <w:pStyle w:val="6"/>
              <w:spacing w:before="24" w:line="233" w:lineRule="auto"/>
              <w:ind w:left="32" w:right="25" w:firstLine="416"/>
            </w:pPr>
            <w:r>
              <w:rPr>
                <w:rFonts w:ascii="Times New Roman" w:hAnsi="Times New Roman" w:eastAsia="Times New Roman" w:cs="Times New Roman"/>
                <w:spacing w:val="6"/>
              </w:rPr>
              <w:t>2</w:t>
            </w:r>
            <w:r>
              <w:rPr>
                <w:spacing w:val="6"/>
              </w:rPr>
              <w:t>、加强路面的清扫，保持路</w:t>
            </w:r>
            <w:r>
              <w:rPr>
                <w:spacing w:val="8"/>
              </w:rPr>
              <w:t xml:space="preserve"> </w:t>
            </w:r>
            <w:r>
              <w:rPr>
                <w:spacing w:val="-2"/>
              </w:rPr>
              <w:t>面的整洁，遇到路面破损应及时修</w:t>
            </w:r>
            <w:r>
              <w:rPr>
                <w:spacing w:val="10"/>
              </w:rPr>
              <w:t xml:space="preserve"> </w:t>
            </w:r>
            <w:r>
              <w:rPr>
                <w:spacing w:val="-14"/>
              </w:rPr>
              <w:t>补；</w:t>
            </w:r>
          </w:p>
          <w:p>
            <w:pPr>
              <w:pStyle w:val="6"/>
              <w:spacing w:before="18" w:line="231" w:lineRule="auto"/>
              <w:ind w:left="32" w:right="39" w:firstLine="420"/>
            </w:pPr>
            <w:r>
              <w:rPr>
                <w:rFonts w:ascii="Times New Roman" w:hAnsi="Times New Roman" w:eastAsia="Times New Roman" w:cs="Times New Roman"/>
                <w:spacing w:val="5"/>
              </w:rPr>
              <w:t>3</w:t>
            </w:r>
            <w:r>
              <w:rPr>
                <w:spacing w:val="5"/>
              </w:rPr>
              <w:t>、公路沿线进行绿化，并做</w:t>
            </w:r>
            <w:r>
              <w:rPr>
                <w:spacing w:val="6"/>
              </w:rPr>
              <w:t xml:space="preserve"> </w:t>
            </w:r>
            <w:r>
              <w:rPr>
                <w:spacing w:val="-2"/>
              </w:rPr>
              <w:t>好绿化工程的维护工作。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7" w:hRule="atLeast"/>
        </w:trPr>
        <w:tc>
          <w:tcPr>
            <w:tcW w:w="597" w:type="dxa"/>
            <w:vAlign w:val="top"/>
          </w:tcPr>
          <w:p>
            <w:pPr>
              <w:spacing w:line="320" w:lineRule="auto"/>
              <w:rPr>
                <w:rFonts w:ascii="Arial"/>
                <w:sz w:val="21"/>
              </w:rPr>
            </w:pPr>
          </w:p>
          <w:p>
            <w:pPr>
              <w:spacing w:line="321" w:lineRule="auto"/>
              <w:rPr>
                <w:rFonts w:ascii="Arial"/>
                <w:sz w:val="21"/>
              </w:rPr>
            </w:pPr>
          </w:p>
          <w:p>
            <w:pPr>
              <w:pStyle w:val="6"/>
              <w:spacing w:before="68" w:line="251" w:lineRule="auto"/>
              <w:ind w:left="198" w:right="85" w:hanging="102"/>
            </w:pPr>
            <w:r>
              <w:rPr>
                <w:spacing w:val="-6"/>
              </w:rPr>
              <w:t>声环</w:t>
            </w:r>
            <w:r>
              <w:t xml:space="preserve"> 境</w:t>
            </w:r>
          </w:p>
        </w:tc>
        <w:tc>
          <w:tcPr>
            <w:tcW w:w="4741" w:type="dxa"/>
            <w:vAlign w:val="top"/>
          </w:tcPr>
          <w:p>
            <w:pPr>
              <w:pStyle w:val="6"/>
              <w:spacing w:before="33" w:line="233" w:lineRule="auto"/>
              <w:ind w:left="31" w:right="23" w:firstLine="437"/>
              <w:jc w:val="both"/>
            </w:pPr>
            <w:r>
              <w:rPr>
                <w:rFonts w:ascii="Times New Roman" w:hAnsi="Times New Roman" w:eastAsia="Times New Roman" w:cs="Times New Roman"/>
                <w:spacing w:val="-3"/>
              </w:rPr>
              <w:t>1</w:t>
            </w:r>
            <w:r>
              <w:rPr>
                <w:spacing w:val="-3"/>
              </w:rPr>
              <w:t>、施工时采用低噪声机械及施工工艺，加强施</w:t>
            </w:r>
            <w:r>
              <w:t xml:space="preserve"> </w:t>
            </w:r>
            <w:r>
              <w:rPr>
                <w:spacing w:val="2"/>
              </w:rPr>
              <w:t>工机械设备的维修和保养，未采用超过国家标准的</w:t>
            </w:r>
            <w:r>
              <w:rPr>
                <w:spacing w:val="14"/>
              </w:rPr>
              <w:t xml:space="preserve"> </w:t>
            </w:r>
            <w:r>
              <w:rPr>
                <w:spacing w:val="-2"/>
              </w:rPr>
              <w:t>机械。</w:t>
            </w:r>
          </w:p>
          <w:p>
            <w:pPr>
              <w:pStyle w:val="6"/>
              <w:spacing w:before="22" w:line="232" w:lineRule="auto"/>
              <w:ind w:left="35" w:firstLine="409"/>
              <w:jc w:val="both"/>
            </w:pPr>
            <w:r>
              <w:rPr>
                <w:rFonts w:ascii="Times New Roman" w:hAnsi="Times New Roman" w:eastAsia="Times New Roman" w:cs="Times New Roman"/>
                <w:spacing w:val="-4"/>
              </w:rPr>
              <w:t>2</w:t>
            </w:r>
            <w:r>
              <w:rPr>
                <w:spacing w:val="-4"/>
              </w:rPr>
              <w:t>、合理安排施工时间，高噪声级的施工机械在</w:t>
            </w:r>
            <w:r>
              <w:rPr>
                <w:spacing w:val="13"/>
              </w:rPr>
              <w:t xml:space="preserve"> </w:t>
            </w:r>
            <w:r>
              <w:rPr>
                <w:spacing w:val="-1"/>
              </w:rPr>
              <w:t>夜间</w:t>
            </w:r>
            <w:r>
              <w:rPr>
                <w:rFonts w:ascii="Times New Roman" w:hAnsi="Times New Roman" w:eastAsia="Times New Roman" w:cs="Times New Roman"/>
                <w:spacing w:val="-1"/>
              </w:rPr>
              <w:t>(22</w:t>
            </w:r>
            <w:r>
              <w:rPr>
                <w:spacing w:val="-1"/>
              </w:rPr>
              <w:t>：</w:t>
            </w:r>
            <w:r>
              <w:rPr>
                <w:rFonts w:ascii="Times New Roman" w:hAnsi="Times New Roman" w:eastAsia="Times New Roman" w:cs="Times New Roman"/>
                <w:spacing w:val="-1"/>
              </w:rPr>
              <w:t>00~</w:t>
            </w:r>
            <w:r>
              <w:rPr>
                <w:spacing w:val="-1"/>
              </w:rPr>
              <w:t xml:space="preserve">次日 </w:t>
            </w:r>
            <w:r>
              <w:rPr>
                <w:rFonts w:ascii="Times New Roman" w:hAnsi="Times New Roman" w:eastAsia="Times New Roman" w:cs="Times New Roman"/>
                <w:spacing w:val="-1"/>
              </w:rPr>
              <w:t>6</w:t>
            </w:r>
            <w:r>
              <w:rPr>
                <w:spacing w:val="-1"/>
              </w:rPr>
              <w:t>：</w:t>
            </w:r>
            <w:r>
              <w:rPr>
                <w:rFonts w:ascii="Times New Roman" w:hAnsi="Times New Roman" w:eastAsia="Times New Roman" w:cs="Times New Roman"/>
                <w:spacing w:val="-1"/>
              </w:rPr>
              <w:t>00)</w:t>
            </w:r>
            <w:r>
              <w:rPr>
                <w:spacing w:val="-1"/>
              </w:rPr>
              <w:t>停止施工。因特殊需要必</w:t>
            </w:r>
            <w:r>
              <w:rPr>
                <w:spacing w:val="6"/>
              </w:rPr>
              <w:t xml:space="preserve"> </w:t>
            </w:r>
            <w:r>
              <w:rPr>
                <w:spacing w:val="-8"/>
              </w:rPr>
              <w:t>须连续施工作业的，</w:t>
            </w:r>
            <w:r>
              <w:rPr>
                <w:spacing w:val="-52"/>
              </w:rPr>
              <w:t xml:space="preserve"> </w:t>
            </w:r>
            <w:r>
              <w:rPr>
                <w:spacing w:val="-8"/>
              </w:rPr>
              <w:t>取得生态环境主管部门的证明，</w:t>
            </w:r>
            <w:r>
              <w:t xml:space="preserve"> 并在施工现场显著位置公示或者以其他方式公告附</w:t>
            </w:r>
          </w:p>
        </w:tc>
        <w:tc>
          <w:tcPr>
            <w:tcW w:w="3195" w:type="dxa"/>
            <w:vAlign w:val="top"/>
          </w:tcPr>
          <w:p>
            <w:pPr>
              <w:pStyle w:val="6"/>
              <w:spacing w:before="36" w:line="236" w:lineRule="auto"/>
              <w:ind w:left="37" w:right="23" w:firstLine="431"/>
              <w:jc w:val="both"/>
            </w:pPr>
            <w:r>
              <w:rPr>
                <w:rFonts w:ascii="Times New Roman" w:hAnsi="Times New Roman" w:eastAsia="Times New Roman" w:cs="Times New Roman"/>
                <w:spacing w:val="2"/>
              </w:rPr>
              <w:t>1</w:t>
            </w:r>
            <w:r>
              <w:rPr>
                <w:rFonts w:ascii="Times New Roman" w:hAnsi="Times New Roman" w:eastAsia="Times New Roman" w:cs="Times New Roman"/>
                <w:spacing w:val="-13"/>
              </w:rPr>
              <w:t xml:space="preserve"> </w:t>
            </w:r>
            <w:r>
              <w:rPr>
                <w:spacing w:val="2"/>
              </w:rPr>
              <w:t>、针对声环境保护目标，本</w:t>
            </w:r>
            <w:r>
              <w:t xml:space="preserve"> </w:t>
            </w:r>
            <w:r>
              <w:rPr>
                <w:spacing w:val="-2"/>
              </w:rPr>
              <w:t>次在位于桥梁段的</w:t>
            </w:r>
            <w:r>
              <w:rPr>
                <w:spacing w:val="-45"/>
              </w:rPr>
              <w:t xml:space="preserve"> </w:t>
            </w:r>
            <w:r>
              <w:rPr>
                <w:rFonts w:ascii="Times New Roman" w:hAnsi="Times New Roman" w:eastAsia="Times New Roman" w:cs="Times New Roman"/>
                <w:spacing w:val="-2"/>
              </w:rPr>
              <w:t xml:space="preserve">2 </w:t>
            </w:r>
            <w:r>
              <w:rPr>
                <w:spacing w:val="-2"/>
              </w:rPr>
              <w:t>处声环境保护</w:t>
            </w:r>
            <w:r>
              <w:t xml:space="preserve"> </w:t>
            </w:r>
            <w:r>
              <w:rPr>
                <w:spacing w:val="4"/>
              </w:rPr>
              <w:t xml:space="preserve">目标处设置声屏障长度 </w:t>
            </w:r>
            <w:r>
              <w:rPr>
                <w:rFonts w:ascii="Times New Roman" w:hAnsi="Times New Roman" w:eastAsia="Times New Roman" w:cs="Times New Roman"/>
                <w:spacing w:val="4"/>
              </w:rPr>
              <w:t>350</w:t>
            </w:r>
            <w:r>
              <w:rPr>
                <w:rFonts w:ascii="Times New Roman" w:hAnsi="Times New Roman" w:eastAsia="Times New Roman" w:cs="Times New Roman"/>
                <w:spacing w:val="9"/>
              </w:rPr>
              <w:t xml:space="preserve">  </w:t>
            </w:r>
            <w:r>
              <w:rPr>
                <w:spacing w:val="4"/>
              </w:rPr>
              <w:t>延米</w:t>
            </w:r>
            <w:r>
              <w:t xml:space="preserve"> </w:t>
            </w:r>
            <w:r>
              <w:rPr>
                <w:spacing w:val="-12"/>
              </w:rPr>
              <w:t>（高</w:t>
            </w:r>
            <w:r>
              <w:rPr>
                <w:spacing w:val="-34"/>
              </w:rPr>
              <w:t xml:space="preserve"> </w:t>
            </w:r>
            <w:r>
              <w:rPr>
                <w:rFonts w:ascii="Times New Roman" w:hAnsi="Times New Roman" w:eastAsia="Times New Roman" w:cs="Times New Roman"/>
                <w:spacing w:val="-12"/>
              </w:rPr>
              <w:t>3m</w:t>
            </w:r>
            <w:r>
              <w:rPr>
                <w:spacing w:val="-12"/>
              </w:rPr>
              <w:t>（含防撞墩</w:t>
            </w:r>
            <w:r>
              <w:rPr>
                <w:spacing w:val="-31"/>
              </w:rPr>
              <w:t>）），</w:t>
            </w:r>
            <w:r>
              <w:rPr>
                <w:spacing w:val="-12"/>
              </w:rPr>
              <w:t>费用</w:t>
            </w:r>
            <w:r>
              <w:rPr>
                <w:spacing w:val="-27"/>
              </w:rPr>
              <w:t xml:space="preserve"> </w:t>
            </w:r>
            <w:r>
              <w:rPr>
                <w:rFonts w:ascii="Times New Roman" w:hAnsi="Times New Roman" w:eastAsia="Times New Roman" w:cs="Times New Roman"/>
                <w:spacing w:val="-12"/>
              </w:rPr>
              <w:t>157.5</w:t>
            </w:r>
            <w:r>
              <w:rPr>
                <w:rFonts w:ascii="Times New Roman" w:hAnsi="Times New Roman" w:eastAsia="Times New Roman" w:cs="Times New Roman"/>
              </w:rPr>
              <w:t xml:space="preserve"> </w:t>
            </w:r>
            <w:r>
              <w:rPr>
                <w:spacing w:val="-7"/>
              </w:rPr>
              <w:t xml:space="preserve">万元。 约 </w:t>
            </w:r>
            <w:r>
              <w:rPr>
                <w:rFonts w:ascii="Times New Roman" w:hAnsi="Times New Roman" w:eastAsia="Times New Roman" w:cs="Times New Roman"/>
                <w:spacing w:val="-7"/>
              </w:rPr>
              <w:t xml:space="preserve">77  </w:t>
            </w:r>
            <w:r>
              <w:rPr>
                <w:spacing w:val="-7"/>
              </w:rPr>
              <w:t>户设置隔声窗，共计</w:t>
            </w:r>
            <w:r>
              <w:rPr>
                <w:spacing w:val="3"/>
              </w:rPr>
              <w:t xml:space="preserve"> </w:t>
            </w:r>
            <w:r>
              <w:rPr>
                <w:spacing w:val="-9"/>
              </w:rPr>
              <w:t>费用</w:t>
            </w:r>
            <w:r>
              <w:rPr>
                <w:spacing w:val="-24"/>
              </w:rPr>
              <w:t xml:space="preserve"> </w:t>
            </w:r>
            <w:r>
              <w:rPr>
                <w:rFonts w:ascii="Times New Roman" w:hAnsi="Times New Roman" w:eastAsia="Times New Roman" w:cs="Times New Roman"/>
                <w:spacing w:val="-9"/>
              </w:rPr>
              <w:t>154</w:t>
            </w:r>
            <w:r>
              <w:rPr>
                <w:rFonts w:ascii="Times New Roman" w:hAnsi="Times New Roman" w:eastAsia="Times New Roman" w:cs="Times New Roman"/>
                <w:spacing w:val="13"/>
                <w:w w:val="101"/>
              </w:rPr>
              <w:t xml:space="preserve"> </w:t>
            </w:r>
            <w:r>
              <w:rPr>
                <w:spacing w:val="-9"/>
              </w:rPr>
              <w:t>万。</w:t>
            </w:r>
          </w:p>
          <w:p>
            <w:pPr>
              <w:pStyle w:val="6"/>
              <w:spacing w:before="22" w:line="209" w:lineRule="auto"/>
              <w:ind w:left="448"/>
            </w:pPr>
            <w:r>
              <w:rPr>
                <w:rFonts w:ascii="Times New Roman" w:hAnsi="Times New Roman" w:eastAsia="Times New Roman" w:cs="Times New Roman"/>
                <w:spacing w:val="-1"/>
              </w:rPr>
              <w:t>2</w:t>
            </w:r>
            <w:r>
              <w:rPr>
                <w:spacing w:val="-1"/>
              </w:rPr>
              <w:t>、噪声源控制措施</w:t>
            </w:r>
          </w:p>
        </w:tc>
      </w:tr>
    </w:tbl>
    <w:p>
      <w:pPr>
        <w:pStyle w:val="2"/>
      </w:pPr>
    </w:p>
    <w:p>
      <w:pPr>
        <w:sectPr>
          <w:footerReference r:id="rId386" w:type="default"/>
          <w:pgSz w:w="11907" w:h="16839"/>
          <w:pgMar w:top="1118" w:right="1682" w:bottom="1177" w:left="1685" w:header="879" w:footer="1013" w:gutter="0"/>
          <w:cols w:space="720" w:num="1"/>
        </w:sectPr>
      </w:pPr>
    </w:p>
    <w:p>
      <w:pPr>
        <w:spacing w:before="80"/>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4741"/>
        <w:gridCol w:w="31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97" w:type="dxa"/>
            <w:vAlign w:val="top"/>
          </w:tcPr>
          <w:p>
            <w:pPr>
              <w:pStyle w:val="6"/>
              <w:spacing w:before="79" w:line="212" w:lineRule="auto"/>
              <w:ind w:left="94"/>
            </w:pPr>
            <w:r>
              <w:rPr>
                <w:spacing w:val="-3"/>
              </w:rPr>
              <w:t>分类</w:t>
            </w:r>
          </w:p>
        </w:tc>
        <w:tc>
          <w:tcPr>
            <w:tcW w:w="4741" w:type="dxa"/>
            <w:vAlign w:val="top"/>
          </w:tcPr>
          <w:p>
            <w:pPr>
              <w:pStyle w:val="6"/>
              <w:spacing w:before="79" w:line="212" w:lineRule="auto"/>
              <w:ind w:left="2057"/>
            </w:pPr>
            <w:r>
              <w:rPr>
                <w:spacing w:val="-1"/>
              </w:rPr>
              <w:t>施工期</w:t>
            </w:r>
          </w:p>
        </w:tc>
        <w:tc>
          <w:tcPr>
            <w:tcW w:w="3195" w:type="dxa"/>
            <w:vAlign w:val="top"/>
          </w:tcPr>
          <w:p>
            <w:pPr>
              <w:pStyle w:val="6"/>
              <w:spacing w:before="79" w:line="212" w:lineRule="auto"/>
              <w:ind w:left="1285"/>
            </w:pPr>
            <w:r>
              <w:rPr>
                <w:spacing w:val="-2"/>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4" w:hRule="atLeast"/>
        </w:trPr>
        <w:tc>
          <w:tcPr>
            <w:tcW w:w="597" w:type="dxa"/>
            <w:vAlign w:val="top"/>
          </w:tcPr>
          <w:p>
            <w:pPr>
              <w:rPr>
                <w:rFonts w:ascii="Arial"/>
                <w:sz w:val="21"/>
              </w:rPr>
            </w:pPr>
          </w:p>
        </w:tc>
        <w:tc>
          <w:tcPr>
            <w:tcW w:w="4741" w:type="dxa"/>
            <w:vAlign w:val="top"/>
          </w:tcPr>
          <w:p>
            <w:pPr>
              <w:pStyle w:val="6"/>
              <w:spacing w:before="30" w:line="221" w:lineRule="auto"/>
              <w:ind w:left="31"/>
            </w:pPr>
            <w:r>
              <w:rPr>
                <w:spacing w:val="-1"/>
              </w:rPr>
              <w:t>近居民。</w:t>
            </w:r>
          </w:p>
          <w:p>
            <w:pPr>
              <w:pStyle w:val="6"/>
              <w:spacing w:before="19" w:line="231" w:lineRule="auto"/>
              <w:ind w:left="50" w:right="28" w:firstLine="402"/>
            </w:pPr>
            <w:r>
              <w:rPr>
                <w:rFonts w:ascii="Times New Roman" w:hAnsi="Times New Roman" w:eastAsia="Times New Roman" w:cs="Times New Roman"/>
                <w:spacing w:val="-6"/>
              </w:rPr>
              <w:t>3</w:t>
            </w:r>
            <w:r>
              <w:rPr>
                <w:spacing w:val="-6"/>
              </w:rPr>
              <w:t>、施工前封闭施工场地，</w:t>
            </w:r>
            <w:r>
              <w:rPr>
                <w:spacing w:val="-31"/>
              </w:rPr>
              <w:t xml:space="preserve"> </w:t>
            </w:r>
            <w:r>
              <w:rPr>
                <w:spacing w:val="-6"/>
              </w:rPr>
              <w:t>在施工区域周边设置</w:t>
            </w:r>
            <w:r>
              <w:t xml:space="preserve"> </w:t>
            </w:r>
            <w:r>
              <w:rPr>
                <w:spacing w:val="-3"/>
              </w:rPr>
              <w:t>固定式硬质围栏。</w:t>
            </w:r>
          </w:p>
          <w:p>
            <w:pPr>
              <w:pStyle w:val="6"/>
              <w:spacing w:before="19" w:line="233" w:lineRule="auto"/>
              <w:ind w:left="32" w:firstLine="410"/>
            </w:pPr>
            <w:r>
              <w:rPr>
                <w:rFonts w:ascii="Times New Roman" w:hAnsi="Times New Roman" w:eastAsia="Times New Roman" w:cs="Times New Roman"/>
                <w:spacing w:val="-5"/>
              </w:rPr>
              <w:t>4</w:t>
            </w:r>
            <w:r>
              <w:rPr>
                <w:spacing w:val="-5"/>
              </w:rPr>
              <w:t xml:space="preserve">、在利用现有的道路和临时施工便道运输施工 </w:t>
            </w:r>
            <w:r>
              <w:rPr>
                <w:spacing w:val="-6"/>
              </w:rPr>
              <w:t>物资时，选择合理的运输路线，避开集中居住区域。</w:t>
            </w:r>
            <w:r>
              <w:rPr>
                <w:spacing w:val="10"/>
              </w:rPr>
              <w:t xml:space="preserve"> </w:t>
            </w:r>
            <w:r>
              <w:rPr>
                <w:spacing w:val="-4"/>
              </w:rPr>
              <w:t>运输车辆途经村庄等限制车速。</w:t>
            </w:r>
          </w:p>
          <w:p>
            <w:pPr>
              <w:pStyle w:val="6"/>
              <w:spacing w:before="25" w:line="232" w:lineRule="auto"/>
              <w:ind w:left="58" w:right="23" w:firstLine="396"/>
            </w:pPr>
            <w:r>
              <w:rPr>
                <w:rFonts w:ascii="Times New Roman" w:hAnsi="Times New Roman" w:eastAsia="Times New Roman" w:cs="Times New Roman"/>
                <w:spacing w:val="-2"/>
              </w:rPr>
              <w:t>5</w:t>
            </w:r>
            <w:r>
              <w:rPr>
                <w:rFonts w:ascii="Times New Roman" w:hAnsi="Times New Roman" w:eastAsia="Times New Roman" w:cs="Times New Roman"/>
                <w:spacing w:val="-30"/>
              </w:rPr>
              <w:t xml:space="preserve"> </w:t>
            </w:r>
            <w:r>
              <w:rPr>
                <w:spacing w:val="-2"/>
              </w:rPr>
              <w:t>、临时施工场地周边</w:t>
            </w:r>
            <w:r>
              <w:rPr>
                <w:spacing w:val="-47"/>
              </w:rPr>
              <w:t xml:space="preserve"> </w:t>
            </w:r>
            <w:r>
              <w:rPr>
                <w:rFonts w:ascii="Times New Roman" w:hAnsi="Times New Roman" w:eastAsia="Times New Roman" w:cs="Times New Roman"/>
                <w:spacing w:val="-2"/>
              </w:rPr>
              <w:t>200m</w:t>
            </w:r>
            <w:r>
              <w:rPr>
                <w:rFonts w:ascii="Times New Roman" w:hAnsi="Times New Roman" w:eastAsia="Times New Roman" w:cs="Times New Roman"/>
                <w:spacing w:val="14"/>
                <w:w w:val="101"/>
              </w:rPr>
              <w:t xml:space="preserve"> </w:t>
            </w:r>
            <w:r>
              <w:rPr>
                <w:spacing w:val="-2"/>
              </w:rPr>
              <w:t>范围内无环境保护</w:t>
            </w:r>
            <w:r>
              <w:t xml:space="preserve"> </w:t>
            </w:r>
            <w:r>
              <w:rPr>
                <w:spacing w:val="-4"/>
              </w:rPr>
              <w:t>目标， 项目施工时钢筋在临时的钢筋加工场构筑物</w:t>
            </w:r>
            <w:r>
              <w:rPr>
                <w:spacing w:val="15"/>
              </w:rPr>
              <w:t xml:space="preserve"> </w:t>
            </w:r>
            <w:r>
              <w:rPr>
                <w:spacing w:val="-8"/>
              </w:rPr>
              <w:t>内进行。</w:t>
            </w:r>
          </w:p>
          <w:p>
            <w:pPr>
              <w:pStyle w:val="6"/>
              <w:spacing w:before="23" w:line="233" w:lineRule="auto"/>
              <w:ind w:left="32" w:right="24" w:firstLine="419"/>
            </w:pPr>
            <w:r>
              <w:rPr>
                <w:spacing w:val="2"/>
              </w:rPr>
              <w:t>施工各阶段噪声按《建筑施工场界环境噪声排</w:t>
            </w:r>
            <w:r>
              <w:rPr>
                <w:spacing w:val="18"/>
              </w:rPr>
              <w:t xml:space="preserve"> </w:t>
            </w:r>
            <w:r>
              <w:rPr>
                <w:spacing w:val="3"/>
              </w:rPr>
              <w:t>放标准》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12523-2011)</w:t>
            </w:r>
            <w:r>
              <w:rPr>
                <w:spacing w:val="3"/>
              </w:rPr>
              <w:t>中建筑施工场界噪声排放</w:t>
            </w:r>
            <w:r>
              <w:t xml:space="preserve"> </w:t>
            </w:r>
            <w:r>
              <w:rPr>
                <w:spacing w:val="-1"/>
              </w:rPr>
              <w:t>限值的要求控制。</w:t>
            </w:r>
          </w:p>
        </w:tc>
        <w:tc>
          <w:tcPr>
            <w:tcW w:w="3195" w:type="dxa"/>
            <w:vAlign w:val="top"/>
          </w:tcPr>
          <w:p>
            <w:pPr>
              <w:pStyle w:val="6"/>
              <w:spacing w:before="30" w:line="236" w:lineRule="auto"/>
              <w:ind w:left="31" w:right="23" w:firstLine="427"/>
              <w:jc w:val="both"/>
            </w:pPr>
            <w:r>
              <w:rPr>
                <w:spacing w:val="5"/>
              </w:rPr>
              <w:t>（</w:t>
            </w:r>
            <w:r>
              <w:rPr>
                <w:rFonts w:ascii="Times New Roman" w:hAnsi="Times New Roman" w:eastAsia="Times New Roman" w:cs="Times New Roman"/>
                <w:spacing w:val="5"/>
              </w:rPr>
              <w:t>1</w:t>
            </w:r>
            <w:r>
              <w:rPr>
                <w:spacing w:val="5"/>
              </w:rPr>
              <w:t>）交通和自然环境的作用</w:t>
            </w:r>
            <w:r>
              <w:rPr>
                <w:spacing w:val="11"/>
              </w:rPr>
              <w:t xml:space="preserve"> </w:t>
            </w:r>
            <w:r>
              <w:rPr>
                <w:spacing w:val="-7"/>
              </w:rPr>
              <w:t>会影响公路路面的降噪效果，</w:t>
            </w:r>
            <w:r>
              <w:rPr>
                <w:spacing w:val="-17"/>
              </w:rPr>
              <w:t xml:space="preserve"> </w:t>
            </w:r>
            <w:r>
              <w:rPr>
                <w:spacing w:val="-7"/>
              </w:rPr>
              <w:t>公路</w:t>
            </w:r>
            <w:r>
              <w:t xml:space="preserve"> </w:t>
            </w:r>
            <w:r>
              <w:rPr>
                <w:spacing w:val="13"/>
              </w:rPr>
              <w:t>养护管理部门应经常维持路面的</w:t>
            </w:r>
            <w:r>
              <w:rPr>
                <w:spacing w:val="8"/>
              </w:rPr>
              <w:t xml:space="preserve"> </w:t>
            </w:r>
            <w:r>
              <w:rPr>
                <w:spacing w:val="-2"/>
              </w:rPr>
              <w:t>平整度，重点关注各桥梁两端的平</w:t>
            </w:r>
            <w:r>
              <w:rPr>
                <w:spacing w:val="11"/>
              </w:rPr>
              <w:t xml:space="preserve"> </w:t>
            </w:r>
            <w:r>
              <w:rPr>
                <w:spacing w:val="-2"/>
              </w:rPr>
              <w:t>整度，避免因路况不佳造成车辆颠</w:t>
            </w:r>
            <w:r>
              <w:rPr>
                <w:spacing w:val="11"/>
              </w:rPr>
              <w:t xml:space="preserve"> </w:t>
            </w:r>
            <w:r>
              <w:rPr>
                <w:spacing w:val="-1"/>
              </w:rPr>
              <w:t>簸而引起交通噪声的增大。</w:t>
            </w:r>
          </w:p>
          <w:p>
            <w:pPr>
              <w:pStyle w:val="6"/>
              <w:spacing w:before="24" w:line="234" w:lineRule="auto"/>
              <w:ind w:left="31" w:right="23" w:firstLine="427"/>
              <w:jc w:val="both"/>
            </w:pPr>
            <w:r>
              <w:rPr>
                <w:spacing w:val="5"/>
              </w:rPr>
              <w:t>（</w:t>
            </w:r>
            <w:r>
              <w:rPr>
                <w:rFonts w:ascii="Times New Roman" w:hAnsi="Times New Roman" w:eastAsia="Times New Roman" w:cs="Times New Roman"/>
                <w:spacing w:val="5"/>
              </w:rPr>
              <w:t>2</w:t>
            </w:r>
            <w:r>
              <w:rPr>
                <w:spacing w:val="5"/>
              </w:rPr>
              <w:t>）定期对路面进行高压清</w:t>
            </w:r>
            <w:r>
              <w:rPr>
                <w:spacing w:val="11"/>
              </w:rPr>
              <w:t xml:space="preserve"> </w:t>
            </w:r>
            <w:r>
              <w:rPr>
                <w:spacing w:val="-12"/>
              </w:rPr>
              <w:t>洗，</w:t>
            </w:r>
            <w:r>
              <w:rPr>
                <w:spacing w:val="-21"/>
              </w:rPr>
              <w:t xml:space="preserve"> </w:t>
            </w:r>
            <w:r>
              <w:rPr>
                <w:spacing w:val="-12"/>
              </w:rPr>
              <w:t>加强路面的清理和养护，</w:t>
            </w:r>
            <w:r>
              <w:rPr>
                <w:spacing w:val="-28"/>
              </w:rPr>
              <w:t xml:space="preserve"> </w:t>
            </w:r>
            <w:r>
              <w:rPr>
                <w:spacing w:val="-12"/>
              </w:rPr>
              <w:t>破损</w:t>
            </w:r>
            <w:r>
              <w:t xml:space="preserve"> </w:t>
            </w:r>
            <w:r>
              <w:rPr>
                <w:spacing w:val="-2"/>
              </w:rPr>
              <w:t>严重时可对路面进行更换，降低道</w:t>
            </w:r>
            <w:r>
              <w:rPr>
                <w:spacing w:val="13"/>
              </w:rPr>
              <w:t xml:space="preserve"> </w:t>
            </w:r>
            <w:r>
              <w:rPr>
                <w:spacing w:val="-1"/>
              </w:rPr>
              <w:t>路交通噪声；</w:t>
            </w:r>
          </w:p>
          <w:p>
            <w:pPr>
              <w:pStyle w:val="6"/>
              <w:spacing w:before="21" w:line="229" w:lineRule="auto"/>
              <w:ind w:left="36" w:right="25" w:firstLine="416"/>
              <w:jc w:val="both"/>
            </w:pPr>
            <w:r>
              <w:rPr>
                <w:rFonts w:ascii="Times New Roman" w:hAnsi="Times New Roman" w:eastAsia="Times New Roman" w:cs="Times New Roman"/>
                <w:spacing w:val="6"/>
              </w:rPr>
              <w:t>3</w:t>
            </w:r>
            <w:r>
              <w:rPr>
                <w:spacing w:val="6"/>
              </w:rPr>
              <w:t>、加强运营期沿线环境保护</w:t>
            </w:r>
            <w:r>
              <w:rPr>
                <w:spacing w:val="4"/>
              </w:rPr>
              <w:t xml:space="preserve"> </w:t>
            </w:r>
            <w:r>
              <w:rPr>
                <w:spacing w:val="-2"/>
              </w:rPr>
              <w:t>目标的噪声监测，根据实际监测结</w:t>
            </w:r>
            <w:r>
              <w:rPr>
                <w:spacing w:val="6"/>
              </w:rPr>
              <w:t xml:space="preserve"> </w:t>
            </w:r>
            <w:r>
              <w:rPr>
                <w:spacing w:val="-3"/>
              </w:rPr>
              <w:t>果及时调整和完善噪声防治措施。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3" w:hRule="atLeast"/>
        </w:trPr>
        <w:tc>
          <w:tcPr>
            <w:tcW w:w="597"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9" w:line="254" w:lineRule="auto"/>
              <w:ind w:left="96" w:right="85" w:firstLine="13"/>
            </w:pPr>
            <w:r>
              <w:rPr>
                <w:spacing w:val="-12"/>
              </w:rPr>
              <w:t>固废</w:t>
            </w:r>
            <w:r>
              <w:t xml:space="preserve"> </w:t>
            </w:r>
            <w:r>
              <w:rPr>
                <w:spacing w:val="-6"/>
              </w:rPr>
              <w:t>处置</w:t>
            </w:r>
          </w:p>
        </w:tc>
        <w:tc>
          <w:tcPr>
            <w:tcW w:w="4741" w:type="dxa"/>
            <w:vAlign w:val="top"/>
          </w:tcPr>
          <w:p>
            <w:pPr>
              <w:pStyle w:val="6"/>
              <w:spacing w:before="45" w:line="221" w:lineRule="auto"/>
              <w:ind w:left="49"/>
            </w:pPr>
            <w:r>
              <w:rPr>
                <w:rFonts w:ascii="Times New Roman" w:hAnsi="Times New Roman" w:eastAsia="Times New Roman" w:cs="Times New Roman"/>
                <w:spacing w:val="-4"/>
              </w:rPr>
              <w:t>1</w:t>
            </w:r>
            <w:r>
              <w:rPr>
                <w:spacing w:val="-4"/>
              </w:rPr>
              <w:t>、生活垃圾</w:t>
            </w:r>
          </w:p>
          <w:p>
            <w:pPr>
              <w:pStyle w:val="6"/>
              <w:spacing w:before="26" w:line="234" w:lineRule="auto"/>
              <w:ind w:left="30"/>
            </w:pPr>
            <w:r>
              <w:rPr>
                <w:spacing w:val="-8"/>
              </w:rPr>
              <w:t>施工单位将生活垃圾分类集中收集，</w:t>
            </w:r>
            <w:r>
              <w:rPr>
                <w:spacing w:val="-48"/>
              </w:rPr>
              <w:t xml:space="preserve"> </w:t>
            </w:r>
            <w:r>
              <w:rPr>
                <w:spacing w:val="-8"/>
              </w:rPr>
              <w:t>定期予以清运，</w:t>
            </w:r>
            <w:r>
              <w:t xml:space="preserve"> </w:t>
            </w:r>
            <w:r>
              <w:rPr>
                <w:spacing w:val="-2"/>
              </w:rPr>
              <w:t>进行无害化处置。</w:t>
            </w:r>
          </w:p>
          <w:p>
            <w:pPr>
              <w:pStyle w:val="6"/>
              <w:spacing w:before="28" w:line="221" w:lineRule="auto"/>
              <w:ind w:left="28"/>
            </w:pPr>
            <w:r>
              <w:rPr>
                <w:rFonts w:ascii="Times New Roman" w:hAnsi="Times New Roman" w:eastAsia="Times New Roman" w:cs="Times New Roman"/>
                <w:spacing w:val="-1"/>
              </w:rPr>
              <w:t>2</w:t>
            </w:r>
            <w:r>
              <w:rPr>
                <w:spacing w:val="-1"/>
              </w:rPr>
              <w:t>、工程弃渣</w:t>
            </w:r>
          </w:p>
          <w:p>
            <w:pPr>
              <w:pStyle w:val="6"/>
              <w:spacing w:before="29" w:line="241" w:lineRule="auto"/>
              <w:ind w:left="31" w:right="25" w:firstLine="1"/>
            </w:pPr>
            <w:r>
              <w:rPr>
                <w:spacing w:val="1"/>
              </w:rPr>
              <w:t>本工程利用景文高速公路施工期弃渣场进行弃渣。</w:t>
            </w:r>
            <w:r>
              <w:t xml:space="preserve"> </w:t>
            </w:r>
            <w:r>
              <w:rPr>
                <w:spacing w:val="1"/>
              </w:rPr>
              <w:t>连接线约</w:t>
            </w:r>
            <w:r>
              <w:rPr>
                <w:rFonts w:ascii="Times New Roman" w:hAnsi="Times New Roman" w:eastAsia="Times New Roman" w:cs="Times New Roman"/>
                <w:spacing w:val="1"/>
              </w:rPr>
              <w:t>17</w:t>
            </w:r>
            <w:r>
              <w:rPr>
                <w:spacing w:val="1"/>
              </w:rPr>
              <w:t>万</w:t>
            </w:r>
            <w:r>
              <w:rPr>
                <w:rFonts w:ascii="Times New Roman" w:hAnsi="Times New Roman" w:eastAsia="Times New Roman" w:cs="Times New Roman"/>
                <w:spacing w:val="1"/>
              </w:rPr>
              <w:t>m³</w:t>
            </w:r>
            <w:r>
              <w:rPr>
                <w:spacing w:val="1"/>
              </w:rPr>
              <w:t>土石方由景文高速公路施工期进行</w:t>
            </w:r>
            <w:r>
              <w:rPr>
                <w:spacing w:val="17"/>
              </w:rPr>
              <w:t xml:space="preserve"> </w:t>
            </w:r>
            <w:r>
              <w:rPr>
                <w:spacing w:val="-3"/>
              </w:rPr>
              <w:t>加工利用， 另外，约</w:t>
            </w:r>
            <w:r>
              <w:rPr>
                <w:rFonts w:ascii="Times New Roman" w:hAnsi="Times New Roman" w:eastAsia="Times New Roman" w:cs="Times New Roman"/>
                <w:spacing w:val="-3"/>
              </w:rPr>
              <w:t>11</w:t>
            </w:r>
            <w:r>
              <w:rPr>
                <w:spacing w:val="-3"/>
              </w:rPr>
              <w:t>万</w:t>
            </w:r>
            <w:r>
              <w:rPr>
                <w:rFonts w:ascii="Times New Roman" w:hAnsi="Times New Roman" w:eastAsia="Times New Roman" w:cs="Times New Roman"/>
                <w:spacing w:val="-3"/>
              </w:rPr>
              <w:t>m³</w:t>
            </w:r>
            <w:r>
              <w:rPr>
                <w:spacing w:val="-3"/>
              </w:rPr>
              <w:t>渣土经文成县财政局进</w:t>
            </w:r>
            <w:r>
              <w:rPr>
                <w:spacing w:val="11"/>
              </w:rPr>
              <w:t xml:space="preserve"> </w:t>
            </w:r>
            <w:r>
              <w:rPr>
                <w:spacing w:val="2"/>
              </w:rPr>
              <w:t>行渣土拍卖，由第三方拍卖中标单位文成县龙翔混</w:t>
            </w:r>
            <w:r>
              <w:rPr>
                <w:spacing w:val="9"/>
              </w:rPr>
              <w:t xml:space="preserve"> </w:t>
            </w:r>
            <w:r>
              <w:rPr>
                <w:spacing w:val="-2"/>
              </w:rPr>
              <w:t>凝土有限公司进行处置。</w:t>
            </w:r>
          </w:p>
          <w:p>
            <w:pPr>
              <w:pStyle w:val="6"/>
              <w:spacing w:before="29" w:line="223" w:lineRule="auto"/>
              <w:ind w:left="34" w:right="30" w:hanging="2"/>
            </w:pPr>
            <w:r>
              <w:rPr>
                <w:rFonts w:ascii="Times New Roman" w:hAnsi="Times New Roman" w:eastAsia="Times New Roman" w:cs="Times New Roman"/>
                <w:spacing w:val="-4"/>
              </w:rPr>
              <w:t>3</w:t>
            </w:r>
            <w:r>
              <w:rPr>
                <w:rFonts w:ascii="Times New Roman" w:hAnsi="Times New Roman" w:eastAsia="Times New Roman" w:cs="Times New Roman"/>
                <w:spacing w:val="-15"/>
              </w:rPr>
              <w:t xml:space="preserve"> </w:t>
            </w:r>
            <w:r>
              <w:rPr>
                <w:spacing w:val="-4"/>
              </w:rPr>
              <w:t>、施工中产生的废材料、包装袋、零星边角料等，</w:t>
            </w:r>
            <w:r>
              <w:t xml:space="preserve"> </w:t>
            </w:r>
            <w:r>
              <w:rPr>
                <w:spacing w:val="-8"/>
              </w:rPr>
              <w:t>分类收集，</w:t>
            </w:r>
            <w:r>
              <w:rPr>
                <w:spacing w:val="-17"/>
              </w:rPr>
              <w:t xml:space="preserve"> </w:t>
            </w:r>
            <w:r>
              <w:rPr>
                <w:spacing w:val="-8"/>
              </w:rPr>
              <w:t>进行回收利用。</w:t>
            </w:r>
          </w:p>
        </w:tc>
        <w:tc>
          <w:tcPr>
            <w:tcW w:w="3195" w:type="dxa"/>
            <w:vAlign w:val="top"/>
          </w:tcPr>
          <w:p>
            <w:pPr>
              <w:spacing w:line="394" w:lineRule="auto"/>
              <w:rPr>
                <w:rFonts w:ascii="Arial"/>
                <w:sz w:val="21"/>
              </w:rPr>
            </w:pPr>
          </w:p>
          <w:p>
            <w:pPr>
              <w:pStyle w:val="6"/>
              <w:spacing w:before="68" w:line="233" w:lineRule="auto"/>
              <w:ind w:left="32" w:right="117" w:firstLine="16"/>
            </w:pPr>
            <w:r>
              <w:rPr>
                <w:rFonts w:ascii="Times New Roman" w:hAnsi="Times New Roman" w:eastAsia="Times New Roman" w:cs="Times New Roman"/>
                <w:spacing w:val="-2"/>
              </w:rPr>
              <w:t>1</w:t>
            </w:r>
            <w:r>
              <w:rPr>
                <w:spacing w:val="-2"/>
              </w:rPr>
              <w:t>、完善公路沿线生活垃圾及时分</w:t>
            </w:r>
            <w:r>
              <w:rPr>
                <w:spacing w:val="7"/>
              </w:rPr>
              <w:t xml:space="preserve"> </w:t>
            </w:r>
            <w:r>
              <w:rPr>
                <w:spacing w:val="-1"/>
              </w:rPr>
              <w:t>类收集，由环卫定期清运。</w:t>
            </w:r>
          </w:p>
          <w:p>
            <w:pPr>
              <w:pStyle w:val="6"/>
              <w:spacing w:before="28"/>
              <w:ind w:left="33" w:right="25" w:hanging="5"/>
              <w:jc w:val="both"/>
            </w:pPr>
            <w:r>
              <w:rPr>
                <w:rFonts w:ascii="Times New Roman" w:hAnsi="Times New Roman" w:eastAsia="Times New Roman" w:cs="Times New Roman"/>
                <w:spacing w:val="5"/>
              </w:rPr>
              <w:t>2</w:t>
            </w:r>
            <w:r>
              <w:rPr>
                <w:spacing w:val="5"/>
              </w:rPr>
              <w:t>、加强对公路养护单位和养护工</w:t>
            </w:r>
            <w:r>
              <w:rPr>
                <w:spacing w:val="11"/>
              </w:rPr>
              <w:t xml:space="preserve"> </w:t>
            </w:r>
            <w:r>
              <w:rPr>
                <w:spacing w:val="13"/>
              </w:rPr>
              <w:t>人的管理力度，提高其工作责任</w:t>
            </w:r>
            <w:r>
              <w:rPr>
                <w:spacing w:val="6"/>
              </w:rPr>
              <w:t xml:space="preserve"> </w:t>
            </w:r>
            <w:r>
              <w:rPr>
                <w:spacing w:val="-6"/>
              </w:rPr>
              <w:t>心，</w:t>
            </w:r>
            <w:r>
              <w:rPr>
                <w:spacing w:val="-37"/>
              </w:rPr>
              <w:t xml:space="preserve"> </w:t>
            </w:r>
            <w:r>
              <w:rPr>
                <w:spacing w:val="-6"/>
              </w:rPr>
              <w:t>杜绝将养护垃圾随处倾倒的现</w:t>
            </w:r>
            <w:r>
              <w:t xml:space="preserve"> </w:t>
            </w:r>
            <w:r>
              <w:rPr>
                <w:spacing w:val="-10"/>
              </w:rPr>
              <w:t>象。</w:t>
            </w:r>
          </w:p>
          <w:p>
            <w:pPr>
              <w:pStyle w:val="6"/>
              <w:spacing w:before="29" w:line="233" w:lineRule="auto"/>
              <w:ind w:left="38" w:right="51" w:hanging="6"/>
            </w:pPr>
            <w:r>
              <w:rPr>
                <w:rFonts w:ascii="Times New Roman" w:hAnsi="Times New Roman" w:eastAsia="Times New Roman" w:cs="Times New Roman"/>
                <w:spacing w:val="4"/>
              </w:rPr>
              <w:t>3</w:t>
            </w:r>
            <w:r>
              <w:rPr>
                <w:spacing w:val="4"/>
              </w:rPr>
              <w:t>、养护产生的废沥青进行综合回</w:t>
            </w:r>
            <w:r>
              <w:t xml:space="preserve"> </w:t>
            </w:r>
            <w:r>
              <w:rPr>
                <w:spacing w:val="-2"/>
              </w:rPr>
              <w:t>收再生利用。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4" w:hRule="atLeast"/>
        </w:trPr>
        <w:tc>
          <w:tcPr>
            <w:tcW w:w="59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8" w:line="252" w:lineRule="auto"/>
              <w:ind w:left="92" w:right="85" w:firstLine="1"/>
            </w:pPr>
            <w:r>
              <w:rPr>
                <w:spacing w:val="-4"/>
              </w:rPr>
              <w:t>生态</w:t>
            </w:r>
            <w:r>
              <w:t xml:space="preserve"> </w:t>
            </w:r>
            <w:r>
              <w:rPr>
                <w:spacing w:val="-3"/>
              </w:rPr>
              <w:t>环境</w:t>
            </w:r>
          </w:p>
        </w:tc>
        <w:tc>
          <w:tcPr>
            <w:tcW w:w="4741" w:type="dxa"/>
            <w:vAlign w:val="top"/>
          </w:tcPr>
          <w:p>
            <w:pPr>
              <w:pStyle w:val="6"/>
              <w:spacing w:before="55" w:line="221" w:lineRule="auto"/>
              <w:ind w:left="49"/>
            </w:pPr>
            <w:r>
              <w:rPr>
                <w:rFonts w:ascii="Times New Roman" w:hAnsi="Times New Roman" w:eastAsia="Times New Roman" w:cs="Times New Roman"/>
                <w:spacing w:val="-3"/>
              </w:rPr>
              <w:t>1</w:t>
            </w:r>
            <w:r>
              <w:rPr>
                <w:spacing w:val="-3"/>
              </w:rPr>
              <w:t>、陆生植被保护措施</w:t>
            </w:r>
          </w:p>
          <w:p>
            <w:pPr>
              <w:pStyle w:val="6"/>
              <w:spacing w:before="60" w:line="221" w:lineRule="auto"/>
              <w:ind w:left="38"/>
            </w:pPr>
            <w:r>
              <w:rPr>
                <w:spacing w:val="-1"/>
              </w:rPr>
              <w:t>（</w:t>
            </w:r>
            <w:r>
              <w:rPr>
                <w:rFonts w:ascii="Times New Roman" w:hAnsi="Times New Roman" w:eastAsia="Times New Roman" w:cs="Times New Roman"/>
                <w:spacing w:val="-1"/>
              </w:rPr>
              <w:t>1</w:t>
            </w:r>
            <w:r>
              <w:rPr>
                <w:spacing w:val="-1"/>
              </w:rPr>
              <w:t>）临时占地生态恢复措施</w:t>
            </w:r>
          </w:p>
          <w:p>
            <w:pPr>
              <w:pStyle w:val="6"/>
              <w:spacing w:before="62" w:line="247" w:lineRule="auto"/>
              <w:ind w:left="35" w:hanging="4"/>
            </w:pPr>
            <w:r>
              <w:rPr>
                <w:spacing w:val="-6"/>
              </w:rPr>
              <w:t>施工临时设施的用地进行了审批，按要求进行施工，</w:t>
            </w:r>
            <w:r>
              <w:rPr>
                <w:spacing w:val="11"/>
              </w:rPr>
              <w:t xml:space="preserve"> </w:t>
            </w:r>
            <w:r>
              <w:rPr>
                <w:spacing w:val="-3"/>
              </w:rPr>
              <w:t>未随意扩大范围及破坏周围农田、植被。</w:t>
            </w:r>
          </w:p>
          <w:p>
            <w:pPr>
              <w:pStyle w:val="6"/>
              <w:spacing w:before="62" w:line="256" w:lineRule="auto"/>
              <w:ind w:left="31" w:right="43" w:firstLine="7"/>
            </w:pPr>
            <w:r>
              <w:rPr>
                <w:spacing w:val="1"/>
              </w:rPr>
              <w:t>公路施工破坏植被而裸露的土地（包括路界内外）</w:t>
            </w:r>
            <w:r>
              <w:rPr>
                <w:spacing w:val="9"/>
              </w:rPr>
              <w:t xml:space="preserve"> </w:t>
            </w:r>
            <w:r>
              <w:rPr>
                <w:spacing w:val="-2"/>
              </w:rPr>
              <w:t xml:space="preserve">在施工结束后进行了恢复，恢复植被及造田还耕。 </w:t>
            </w:r>
            <w:r>
              <w:rPr>
                <w:spacing w:val="-1"/>
              </w:rPr>
              <w:t>（</w:t>
            </w:r>
            <w:r>
              <w:rPr>
                <w:rFonts w:ascii="Times New Roman" w:hAnsi="Times New Roman" w:eastAsia="Times New Roman" w:cs="Times New Roman"/>
                <w:spacing w:val="-1"/>
              </w:rPr>
              <w:t>2</w:t>
            </w:r>
            <w:r>
              <w:rPr>
                <w:spacing w:val="-1"/>
              </w:rPr>
              <w:t>）隧道施工植被恢复措施</w:t>
            </w:r>
          </w:p>
          <w:p>
            <w:pPr>
              <w:pStyle w:val="6"/>
              <w:spacing w:before="62" w:line="256" w:lineRule="auto"/>
              <w:ind w:left="33" w:right="29"/>
            </w:pPr>
            <w:r>
              <w:rPr>
                <w:spacing w:val="2"/>
              </w:rPr>
              <w:t>严格控制路基开挖、隧道洞口开挖施工作业面</w:t>
            </w:r>
            <w:r>
              <w:rPr>
                <w:spacing w:val="1"/>
              </w:rPr>
              <w:t>，施</w:t>
            </w:r>
            <w:r>
              <w:t xml:space="preserve"> </w:t>
            </w:r>
            <w:r>
              <w:rPr>
                <w:spacing w:val="2"/>
              </w:rPr>
              <w:t>工结束后，隧道洞脸边坡采用厚层基材植被护坡的</w:t>
            </w:r>
            <w:r>
              <w:rPr>
                <w:spacing w:val="8"/>
              </w:rPr>
              <w:t xml:space="preserve"> </w:t>
            </w:r>
            <w:r>
              <w:rPr>
                <w:spacing w:val="-3"/>
              </w:rPr>
              <w:t>方式进行喷播绿化。</w:t>
            </w:r>
          </w:p>
          <w:p>
            <w:pPr>
              <w:pStyle w:val="6"/>
              <w:spacing w:before="61" w:line="221" w:lineRule="auto"/>
              <w:ind w:left="38"/>
            </w:pPr>
            <w:r>
              <w:rPr>
                <w:spacing w:val="-2"/>
              </w:rPr>
              <w:t>（</w:t>
            </w:r>
            <w:r>
              <w:rPr>
                <w:rFonts w:ascii="Times New Roman" w:hAnsi="Times New Roman" w:eastAsia="Times New Roman" w:cs="Times New Roman"/>
                <w:spacing w:val="-2"/>
              </w:rPr>
              <w:t>3</w:t>
            </w:r>
            <w:r>
              <w:rPr>
                <w:spacing w:val="-2"/>
              </w:rPr>
              <w:t>）高填深挖段生态恢复措施</w:t>
            </w:r>
          </w:p>
          <w:p>
            <w:pPr>
              <w:pStyle w:val="6"/>
              <w:spacing w:before="62" w:line="247" w:lineRule="auto"/>
              <w:ind w:left="38" w:right="117" w:hanging="7"/>
            </w:pPr>
            <w:r>
              <w:rPr>
                <w:spacing w:val="-2"/>
              </w:rPr>
              <w:t>对高填深挖段加强路基建设，及时进行植被恢复。</w:t>
            </w:r>
            <w:r>
              <w:rPr>
                <w:spacing w:val="9"/>
              </w:rPr>
              <w:t xml:space="preserve"> </w:t>
            </w:r>
            <w:r>
              <w:rPr>
                <w:spacing w:val="-1"/>
              </w:rPr>
              <w:t>（</w:t>
            </w:r>
            <w:r>
              <w:rPr>
                <w:rFonts w:ascii="Times New Roman" w:hAnsi="Times New Roman" w:eastAsia="Times New Roman" w:cs="Times New Roman"/>
                <w:spacing w:val="-1"/>
              </w:rPr>
              <w:t>4</w:t>
            </w:r>
            <w:r>
              <w:rPr>
                <w:spacing w:val="-1"/>
              </w:rPr>
              <w:t>）对重点保护植物和古树的保护措施</w:t>
            </w:r>
          </w:p>
          <w:p>
            <w:pPr>
              <w:pStyle w:val="6"/>
              <w:spacing w:before="60" w:line="261" w:lineRule="auto"/>
              <w:ind w:left="28" w:right="23" w:firstLine="6"/>
            </w:pPr>
            <w:r>
              <w:rPr>
                <w:spacing w:val="2"/>
              </w:rPr>
              <w:t>工程沿线野生重点保护植物分别分布于敖里隧道进</w:t>
            </w:r>
            <w:r>
              <w:rPr>
                <w:spacing w:val="6"/>
              </w:rPr>
              <w:t xml:space="preserve"> </w:t>
            </w:r>
            <w:r>
              <w:rPr>
                <w:spacing w:val="11"/>
              </w:rPr>
              <w:t>口变</w:t>
            </w:r>
            <w:r>
              <w:rPr>
                <w:spacing w:val="-23"/>
              </w:rPr>
              <w:t xml:space="preserve"> </w:t>
            </w:r>
            <w:r>
              <w:rPr>
                <w:spacing w:val="11"/>
              </w:rPr>
              <w:t>电所</w:t>
            </w:r>
            <w:r>
              <w:rPr>
                <w:spacing w:val="-59"/>
              </w:rPr>
              <w:t xml:space="preserve"> </w:t>
            </w:r>
            <w:r>
              <w:rPr>
                <w:spacing w:val="11"/>
              </w:rPr>
              <w:t>西侧</w:t>
            </w:r>
            <w:r>
              <w:rPr>
                <w:spacing w:val="-51"/>
              </w:rPr>
              <w:t xml:space="preserve"> </w:t>
            </w:r>
            <w:r>
              <w:rPr>
                <w:spacing w:val="11"/>
              </w:rPr>
              <w:t>、</w:t>
            </w:r>
            <w:r>
              <w:rPr>
                <w:rFonts w:ascii="Times New Roman" w:hAnsi="Times New Roman" w:eastAsia="Times New Roman" w:cs="Times New Roman"/>
                <w:spacing w:val="11"/>
              </w:rPr>
              <w:t>K0+400</w:t>
            </w:r>
            <w:r>
              <w:rPr>
                <w:rFonts w:ascii="Times New Roman" w:hAnsi="Times New Roman" w:eastAsia="Times New Roman" w:cs="Times New Roman"/>
                <w:spacing w:val="24"/>
                <w:w w:val="101"/>
              </w:rPr>
              <w:t xml:space="preserve">  </w:t>
            </w:r>
            <w:r>
              <w:rPr>
                <w:spacing w:val="11"/>
              </w:rPr>
              <w:t>到严驮岙道路南侧</w:t>
            </w:r>
            <w:r>
              <w:rPr>
                <w:spacing w:val="-51"/>
              </w:rPr>
              <w:t xml:space="preserve"> </w:t>
            </w:r>
            <w:r>
              <w:rPr>
                <w:spacing w:val="11"/>
              </w:rPr>
              <w:t>、</w:t>
            </w:r>
            <w:r>
              <w:t xml:space="preserve"> </w:t>
            </w:r>
            <w:r>
              <w:rPr>
                <w:rFonts w:ascii="Times New Roman" w:hAnsi="Times New Roman" w:eastAsia="Times New Roman" w:cs="Times New Roman"/>
                <w:spacing w:val="-3"/>
              </w:rPr>
              <w:t xml:space="preserve">L2K1+100 </w:t>
            </w:r>
            <w:r>
              <w:rPr>
                <w:spacing w:val="-3"/>
              </w:rPr>
              <w:t>南侧山体，距离路线均有一定距离。工程</w:t>
            </w:r>
            <w:r>
              <w:rPr>
                <w:spacing w:val="7"/>
              </w:rPr>
              <w:t xml:space="preserve"> </w:t>
            </w:r>
            <w:r>
              <w:rPr>
                <w:spacing w:val="-5"/>
              </w:rPr>
              <w:t>施工对其做好保护，</w:t>
            </w:r>
            <w:r>
              <w:rPr>
                <w:spacing w:val="-21"/>
              </w:rPr>
              <w:t xml:space="preserve"> </w:t>
            </w:r>
            <w:r>
              <w:rPr>
                <w:spacing w:val="-5"/>
              </w:rPr>
              <w:t>基本不影响其生长分布。</w:t>
            </w:r>
          </w:p>
          <w:p>
            <w:pPr>
              <w:pStyle w:val="6"/>
              <w:spacing w:before="61" w:line="221" w:lineRule="auto"/>
              <w:ind w:left="38"/>
            </w:pPr>
            <w:r>
              <w:rPr>
                <w:spacing w:val="-1"/>
              </w:rPr>
              <w:t>（</w:t>
            </w:r>
            <w:r>
              <w:rPr>
                <w:rFonts w:ascii="Times New Roman" w:hAnsi="Times New Roman" w:eastAsia="Times New Roman" w:cs="Times New Roman"/>
                <w:spacing w:val="-1"/>
              </w:rPr>
              <w:t>5</w:t>
            </w:r>
            <w:r>
              <w:rPr>
                <w:spacing w:val="-1"/>
              </w:rPr>
              <w:t>）对林地、生态公益林的保护措施</w:t>
            </w:r>
          </w:p>
          <w:p>
            <w:pPr>
              <w:pStyle w:val="6"/>
              <w:spacing w:before="61" w:line="261" w:lineRule="auto"/>
              <w:ind w:left="31" w:right="29"/>
            </w:pPr>
            <w:r>
              <w:rPr>
                <w:spacing w:val="2"/>
              </w:rPr>
              <w:t>施工期严格施工规范，对施工人员进行培训，禁止</w:t>
            </w:r>
            <w:r>
              <w:rPr>
                <w:spacing w:val="9"/>
              </w:rPr>
              <w:t xml:space="preserve"> </w:t>
            </w:r>
            <w:r>
              <w:rPr>
                <w:spacing w:val="2"/>
              </w:rPr>
              <w:t>砍伐作业带以外的林地。施工生活营地和施工场地</w:t>
            </w:r>
            <w:r>
              <w:rPr>
                <w:spacing w:val="9"/>
              </w:rPr>
              <w:t xml:space="preserve"> </w:t>
            </w:r>
            <w:r>
              <w:rPr>
                <w:spacing w:val="2"/>
              </w:rPr>
              <w:t>未设置在生态公益林内。施工结束后，临时占地恢</w:t>
            </w:r>
            <w:r>
              <w:rPr>
                <w:spacing w:val="9"/>
              </w:rPr>
              <w:t xml:space="preserve"> </w:t>
            </w:r>
            <w:r>
              <w:rPr>
                <w:spacing w:val="2"/>
              </w:rPr>
              <w:t>复林地或其原有功能。此外，工程建成后通过对路</w:t>
            </w:r>
          </w:p>
        </w:tc>
        <w:tc>
          <w:tcPr>
            <w:tcW w:w="3195"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8" w:line="236" w:lineRule="auto"/>
              <w:ind w:left="32" w:right="26" w:firstLine="436"/>
              <w:jc w:val="both"/>
            </w:pPr>
            <w:r>
              <w:rPr>
                <w:rFonts w:ascii="Times New Roman" w:hAnsi="Times New Roman" w:eastAsia="Times New Roman" w:cs="Times New Roman"/>
                <w:spacing w:val="2"/>
              </w:rPr>
              <w:t>1</w:t>
            </w:r>
            <w:r>
              <w:rPr>
                <w:rFonts w:ascii="Times New Roman" w:hAnsi="Times New Roman" w:eastAsia="Times New Roman" w:cs="Times New Roman"/>
                <w:spacing w:val="-13"/>
              </w:rPr>
              <w:t xml:space="preserve"> </w:t>
            </w:r>
            <w:r>
              <w:rPr>
                <w:spacing w:val="2"/>
              </w:rPr>
              <w:t>、凡因公路施工破坏植被而</w:t>
            </w:r>
            <w:r>
              <w:t xml:space="preserve"> </w:t>
            </w:r>
            <w:r>
              <w:rPr>
                <w:spacing w:val="13"/>
              </w:rPr>
              <w:t>裸露的土地均应在施工结束后立</w:t>
            </w:r>
            <w:r>
              <w:rPr>
                <w:spacing w:val="8"/>
              </w:rPr>
              <w:t xml:space="preserve"> </w:t>
            </w:r>
            <w:r>
              <w:rPr>
                <w:spacing w:val="13"/>
              </w:rPr>
              <w:t>即整治利用，恢复植被或造田还</w:t>
            </w:r>
            <w:r>
              <w:rPr>
                <w:spacing w:val="8"/>
              </w:rPr>
              <w:t xml:space="preserve"> </w:t>
            </w:r>
            <w:r>
              <w:rPr>
                <w:spacing w:val="-2"/>
              </w:rPr>
              <w:t>耕，并持续关注土地的功能恢复情</w:t>
            </w:r>
            <w:r>
              <w:rPr>
                <w:spacing w:val="10"/>
              </w:rPr>
              <w:t xml:space="preserve"> </w:t>
            </w:r>
            <w:r>
              <w:rPr>
                <w:spacing w:val="-4"/>
              </w:rPr>
              <w:t>况。</w:t>
            </w:r>
          </w:p>
          <w:p>
            <w:pPr>
              <w:pStyle w:val="6"/>
              <w:spacing w:before="20" w:line="235" w:lineRule="auto"/>
              <w:ind w:left="32" w:right="25" w:firstLine="416"/>
              <w:jc w:val="both"/>
            </w:pPr>
            <w:r>
              <w:rPr>
                <w:rFonts w:ascii="Times New Roman" w:hAnsi="Times New Roman" w:eastAsia="Times New Roman" w:cs="Times New Roman"/>
                <w:spacing w:val="4"/>
              </w:rPr>
              <w:t>2</w:t>
            </w:r>
            <w:r>
              <w:rPr>
                <w:rFonts w:ascii="Times New Roman" w:hAnsi="Times New Roman" w:eastAsia="Times New Roman" w:cs="Times New Roman"/>
                <w:spacing w:val="-18"/>
              </w:rPr>
              <w:t xml:space="preserve"> </w:t>
            </w:r>
            <w:r>
              <w:rPr>
                <w:spacing w:val="4"/>
              </w:rPr>
              <w:t>、对公路沿线边坡进行植草</w:t>
            </w:r>
            <w:r>
              <w:t xml:space="preserve"> </w:t>
            </w:r>
            <w:r>
              <w:rPr>
                <w:spacing w:val="-2"/>
              </w:rPr>
              <w:t>防护，植被恢复的物种应优先选择</w:t>
            </w:r>
            <w:r>
              <w:rPr>
                <w:spacing w:val="10"/>
              </w:rPr>
              <w:t xml:space="preserve"> </w:t>
            </w:r>
            <w:r>
              <w:rPr>
                <w:spacing w:val="13"/>
              </w:rPr>
              <w:t>当地有的物种，避免引来外来物</w:t>
            </w:r>
            <w:r>
              <w:rPr>
                <w:spacing w:val="8"/>
              </w:rPr>
              <w:t xml:space="preserve"> </w:t>
            </w:r>
            <w:r>
              <w:rPr>
                <w:spacing w:val="-2"/>
              </w:rPr>
              <w:t>种，影响当地物种的种群结构。</w:t>
            </w:r>
          </w:p>
          <w:p>
            <w:pPr>
              <w:pStyle w:val="6"/>
              <w:spacing w:before="21" w:line="233" w:lineRule="auto"/>
              <w:ind w:left="33" w:right="25" w:firstLine="419"/>
              <w:jc w:val="both"/>
            </w:pPr>
            <w:r>
              <w:rPr>
                <w:rFonts w:ascii="Times New Roman" w:hAnsi="Times New Roman" w:eastAsia="Times New Roman" w:cs="Times New Roman"/>
                <w:spacing w:val="4"/>
              </w:rPr>
              <w:t>3</w:t>
            </w:r>
            <w:r>
              <w:rPr>
                <w:rFonts w:ascii="Times New Roman" w:hAnsi="Times New Roman" w:eastAsia="Times New Roman" w:cs="Times New Roman"/>
                <w:spacing w:val="-20"/>
              </w:rPr>
              <w:t xml:space="preserve"> </w:t>
            </w:r>
            <w:r>
              <w:rPr>
                <w:spacing w:val="4"/>
              </w:rPr>
              <w:t>、加强公路沿线边坡等的绿</w:t>
            </w:r>
            <w:r>
              <w:t xml:space="preserve"> </w:t>
            </w:r>
            <w:r>
              <w:rPr>
                <w:spacing w:val="13"/>
              </w:rPr>
              <w:t>化建设，做好绿化植被的管护工</w:t>
            </w:r>
            <w:r>
              <w:rPr>
                <w:spacing w:val="7"/>
              </w:rPr>
              <w:t xml:space="preserve"> </w:t>
            </w:r>
            <w:r>
              <w:rPr>
                <w:spacing w:val="-10"/>
              </w:rPr>
              <w:t>作。</w:t>
            </w:r>
          </w:p>
        </w:tc>
      </w:tr>
    </w:tbl>
    <w:p>
      <w:pPr>
        <w:pStyle w:val="2"/>
      </w:pPr>
    </w:p>
    <w:p>
      <w:pPr>
        <w:sectPr>
          <w:footerReference r:id="rId387" w:type="default"/>
          <w:pgSz w:w="11907" w:h="16839"/>
          <w:pgMar w:top="1118" w:right="1682" w:bottom="1177" w:left="1685" w:header="879" w:footer="1013" w:gutter="0"/>
          <w:cols w:space="720" w:num="1"/>
        </w:sectPr>
      </w:pPr>
    </w:p>
    <w:p>
      <w:pPr>
        <w:spacing w:before="80"/>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4741"/>
        <w:gridCol w:w="31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97" w:type="dxa"/>
            <w:vAlign w:val="top"/>
          </w:tcPr>
          <w:p>
            <w:pPr>
              <w:pStyle w:val="6"/>
              <w:spacing w:before="79" w:line="212" w:lineRule="auto"/>
              <w:ind w:left="94"/>
            </w:pPr>
            <w:r>
              <w:rPr>
                <w:spacing w:val="-3"/>
              </w:rPr>
              <w:t>分类</w:t>
            </w:r>
          </w:p>
        </w:tc>
        <w:tc>
          <w:tcPr>
            <w:tcW w:w="4741" w:type="dxa"/>
            <w:vAlign w:val="top"/>
          </w:tcPr>
          <w:p>
            <w:pPr>
              <w:pStyle w:val="6"/>
              <w:spacing w:before="79" w:line="212" w:lineRule="auto"/>
              <w:ind w:left="2057"/>
            </w:pPr>
            <w:r>
              <w:rPr>
                <w:spacing w:val="-1"/>
              </w:rPr>
              <w:t>施工期</w:t>
            </w:r>
          </w:p>
        </w:tc>
        <w:tc>
          <w:tcPr>
            <w:tcW w:w="3195" w:type="dxa"/>
            <w:vAlign w:val="top"/>
          </w:tcPr>
          <w:p>
            <w:pPr>
              <w:pStyle w:val="6"/>
              <w:spacing w:before="79" w:line="212" w:lineRule="auto"/>
              <w:ind w:left="1285"/>
            </w:pPr>
            <w:r>
              <w:rPr>
                <w:spacing w:val="-2"/>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6" w:hRule="atLeast"/>
        </w:trPr>
        <w:tc>
          <w:tcPr>
            <w:tcW w:w="597" w:type="dxa"/>
            <w:vAlign w:val="top"/>
          </w:tcPr>
          <w:p>
            <w:pPr>
              <w:rPr>
                <w:rFonts w:ascii="Arial"/>
                <w:sz w:val="21"/>
              </w:rPr>
            </w:pPr>
          </w:p>
        </w:tc>
        <w:tc>
          <w:tcPr>
            <w:tcW w:w="4741" w:type="dxa"/>
            <w:vAlign w:val="top"/>
          </w:tcPr>
          <w:p>
            <w:pPr>
              <w:pStyle w:val="6"/>
              <w:spacing w:before="52" w:line="247" w:lineRule="auto"/>
              <w:ind w:left="32" w:right="29"/>
            </w:pPr>
            <w:r>
              <w:rPr>
                <w:spacing w:val="-7"/>
              </w:rPr>
              <w:t>基边坡进行草灌结合绿化， 引入乡土物种， 可以弥</w:t>
            </w:r>
            <w:r>
              <w:rPr>
                <w:spacing w:val="11"/>
              </w:rPr>
              <w:t xml:space="preserve"> </w:t>
            </w:r>
            <w:r>
              <w:rPr>
                <w:spacing w:val="-1"/>
              </w:rPr>
              <w:t>补部分损失。</w:t>
            </w:r>
          </w:p>
          <w:p>
            <w:pPr>
              <w:pStyle w:val="6"/>
              <w:spacing w:before="63" w:line="265" w:lineRule="auto"/>
              <w:ind w:left="32" w:right="29" w:firstLine="10"/>
              <w:jc w:val="both"/>
            </w:pPr>
            <w:r>
              <w:rPr>
                <w:spacing w:val="-3"/>
              </w:rPr>
              <w:t>隧道穿越生态公益林路段， 施工期对隧道上方植被</w:t>
            </w:r>
            <w:r>
              <w:rPr>
                <w:spacing w:val="6"/>
              </w:rPr>
              <w:t xml:space="preserve"> </w:t>
            </w:r>
            <w:r>
              <w:rPr>
                <w:spacing w:val="-7"/>
              </w:rPr>
              <w:t>长势进行的跟踪， 隧道渗水影响植被生长， 则采取</w:t>
            </w:r>
            <w:r>
              <w:rPr>
                <w:spacing w:val="11"/>
              </w:rPr>
              <w:t xml:space="preserve"> </w:t>
            </w:r>
            <w:r>
              <w:rPr>
                <w:spacing w:val="2"/>
              </w:rPr>
              <w:t>相关的补水措施。在施工期内，通过培训加强施工</w:t>
            </w:r>
            <w:r>
              <w:rPr>
                <w:spacing w:val="9"/>
              </w:rPr>
              <w:t xml:space="preserve"> </w:t>
            </w:r>
            <w:r>
              <w:rPr>
                <w:spacing w:val="-7"/>
              </w:rPr>
              <w:t>人员对生态公益林的保护， 树立保护标识， 严格按</w:t>
            </w:r>
            <w:r>
              <w:rPr>
                <w:spacing w:val="11"/>
              </w:rPr>
              <w:t xml:space="preserve"> </w:t>
            </w:r>
            <w:r>
              <w:rPr>
                <w:spacing w:val="2"/>
              </w:rPr>
              <w:t>照用地部门审批的永久占地和临时占地范围设置施</w:t>
            </w:r>
            <w:r>
              <w:rPr>
                <w:spacing w:val="9"/>
              </w:rPr>
              <w:t xml:space="preserve"> </w:t>
            </w:r>
            <w:r>
              <w:rPr>
                <w:spacing w:val="-1"/>
              </w:rPr>
              <w:t>工场地。制止破坏林地、林木的行为。</w:t>
            </w:r>
          </w:p>
          <w:p>
            <w:pPr>
              <w:pStyle w:val="6"/>
              <w:spacing w:before="61" w:line="221" w:lineRule="auto"/>
              <w:ind w:left="28"/>
            </w:pPr>
            <w:r>
              <w:rPr>
                <w:rFonts w:ascii="Times New Roman" w:hAnsi="Times New Roman" w:eastAsia="Times New Roman" w:cs="Times New Roman"/>
                <w:spacing w:val="-1"/>
              </w:rPr>
              <w:t>2</w:t>
            </w:r>
            <w:r>
              <w:rPr>
                <w:spacing w:val="-1"/>
              </w:rPr>
              <w:t>、动物保护措施</w:t>
            </w:r>
          </w:p>
          <w:p>
            <w:pPr>
              <w:pStyle w:val="6"/>
              <w:spacing w:before="58" w:line="264" w:lineRule="auto"/>
              <w:ind w:left="30" w:right="29"/>
            </w:pPr>
            <w:r>
              <w:rPr>
                <w:spacing w:val="2"/>
              </w:rPr>
              <w:t>在林地较密集路段施工优化施工方案，抓紧施工进</w:t>
            </w:r>
            <w:r>
              <w:rPr>
                <w:spacing w:val="9"/>
              </w:rPr>
              <w:t xml:space="preserve"> </w:t>
            </w:r>
            <w:r>
              <w:rPr>
                <w:spacing w:val="2"/>
              </w:rPr>
              <w:t>度，缩短施工作业时间，减少爆破作业。施工时间</w:t>
            </w:r>
            <w:r>
              <w:rPr>
                <w:spacing w:val="10"/>
              </w:rPr>
              <w:t xml:space="preserve"> </w:t>
            </w:r>
            <w:r>
              <w:rPr>
                <w:spacing w:val="2"/>
              </w:rPr>
              <w:t>避开野生动物活动的高峰时段。施工期间遇常见野</w:t>
            </w:r>
            <w:r>
              <w:rPr>
                <w:spacing w:val="10"/>
              </w:rPr>
              <w:t xml:space="preserve"> </w:t>
            </w:r>
            <w:r>
              <w:rPr>
                <w:spacing w:val="2"/>
              </w:rPr>
              <w:t>生动物进行避让或驱赶。施工期间加强施工人员的</w:t>
            </w:r>
            <w:r>
              <w:rPr>
                <w:spacing w:val="10"/>
              </w:rPr>
              <w:t xml:space="preserve"> </w:t>
            </w:r>
            <w:r>
              <w:rPr>
                <w:spacing w:val="-7"/>
              </w:rPr>
              <w:t>各类卫生管理， 最大限度保护动物生境。</w:t>
            </w:r>
          </w:p>
          <w:p>
            <w:pPr>
              <w:pStyle w:val="6"/>
              <w:spacing w:before="60" w:line="221" w:lineRule="auto"/>
              <w:ind w:left="32"/>
            </w:pPr>
            <w:r>
              <w:rPr>
                <w:rFonts w:ascii="Times New Roman" w:hAnsi="Times New Roman" w:eastAsia="Times New Roman" w:cs="Times New Roman"/>
                <w:spacing w:val="-1"/>
              </w:rPr>
              <w:t>3</w:t>
            </w:r>
            <w:r>
              <w:rPr>
                <w:spacing w:val="-1"/>
              </w:rPr>
              <w:t>、水生生物保护措施</w:t>
            </w:r>
          </w:p>
          <w:p>
            <w:pPr>
              <w:pStyle w:val="6"/>
              <w:spacing w:before="62" w:line="247" w:lineRule="auto"/>
              <w:ind w:left="33" w:right="29"/>
            </w:pPr>
            <w:r>
              <w:rPr>
                <w:spacing w:val="2"/>
              </w:rPr>
              <w:t>本项目采用围堰或在枯水期进行施工，减少河道水</w:t>
            </w:r>
            <w:r>
              <w:rPr>
                <w:spacing w:val="8"/>
              </w:rPr>
              <w:t xml:space="preserve"> </w:t>
            </w:r>
            <w:r>
              <w:rPr>
                <w:spacing w:val="-1"/>
              </w:rPr>
              <w:t>质悬浮物增加的情况，降低施工噪声。</w:t>
            </w:r>
          </w:p>
        </w:tc>
        <w:tc>
          <w:tcPr>
            <w:tcW w:w="31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8" w:hRule="atLeast"/>
        </w:trPr>
        <w:tc>
          <w:tcPr>
            <w:tcW w:w="59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8" w:line="252" w:lineRule="auto"/>
              <w:ind w:left="92" w:right="85"/>
            </w:pPr>
            <w:r>
              <w:rPr>
                <w:spacing w:val="-3"/>
              </w:rPr>
              <w:t>环境</w:t>
            </w:r>
            <w:r>
              <w:t xml:space="preserve"> </w:t>
            </w:r>
            <w:r>
              <w:rPr>
                <w:spacing w:val="-4"/>
              </w:rPr>
              <w:t>风险</w:t>
            </w:r>
          </w:p>
        </w:tc>
        <w:tc>
          <w:tcPr>
            <w:tcW w:w="4741"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0" w:line="233" w:lineRule="auto"/>
              <w:ind w:left="2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195" w:type="dxa"/>
            <w:vAlign w:val="top"/>
          </w:tcPr>
          <w:p>
            <w:pPr>
              <w:pStyle w:val="6"/>
              <w:spacing w:before="57" w:line="265" w:lineRule="auto"/>
              <w:ind w:left="32" w:right="25" w:firstLine="16"/>
              <w:jc w:val="both"/>
            </w:pPr>
            <w:r>
              <w:rPr>
                <w:rFonts w:ascii="Times New Roman" w:hAnsi="Times New Roman" w:eastAsia="Times New Roman" w:cs="Times New Roman"/>
                <w:spacing w:val="4"/>
              </w:rPr>
              <w:t>1</w:t>
            </w:r>
            <w:r>
              <w:rPr>
                <w:spacing w:val="4"/>
              </w:rPr>
              <w:t>、建设单位在营运期间应加强对</w:t>
            </w:r>
            <w:r>
              <w:rPr>
                <w:spacing w:val="6"/>
              </w:rPr>
              <w:t xml:space="preserve"> </w:t>
            </w:r>
            <w:r>
              <w:rPr>
                <w:spacing w:val="13"/>
              </w:rPr>
              <w:t>桥面的日常维护与管理，保持桥</w:t>
            </w:r>
            <w:r>
              <w:t xml:space="preserve"> </w:t>
            </w:r>
            <w:r>
              <w:rPr>
                <w:spacing w:val="-7"/>
              </w:rPr>
              <w:t>面、路面清洁，</w:t>
            </w:r>
            <w:r>
              <w:rPr>
                <w:spacing w:val="-20"/>
              </w:rPr>
              <w:t xml:space="preserve"> </w:t>
            </w:r>
            <w:r>
              <w:rPr>
                <w:spacing w:val="-7"/>
              </w:rPr>
              <w:t>及时清理桥面、路</w:t>
            </w:r>
            <w:r>
              <w:t xml:space="preserve"> </w:t>
            </w:r>
            <w:r>
              <w:rPr>
                <w:spacing w:val="-2"/>
              </w:rPr>
              <w:t>面上累积的尘土、碎屑、油污和吸</w:t>
            </w:r>
            <w:r>
              <w:rPr>
                <w:spacing w:val="10"/>
              </w:rPr>
              <w:t xml:space="preserve"> </w:t>
            </w:r>
            <w:r>
              <w:rPr>
                <w:spacing w:val="-2"/>
              </w:rPr>
              <w:t>附物等，减少桥面、路面径流污水</w:t>
            </w:r>
            <w:r>
              <w:rPr>
                <w:spacing w:val="10"/>
              </w:rPr>
              <w:t xml:space="preserve"> </w:t>
            </w:r>
            <w:r>
              <w:rPr>
                <w:spacing w:val="-3"/>
              </w:rPr>
              <w:t>中的</w:t>
            </w:r>
            <w:r>
              <w:rPr>
                <w:spacing w:val="-30"/>
              </w:rPr>
              <w:t xml:space="preserve"> </w:t>
            </w:r>
            <w:r>
              <w:rPr>
                <w:rFonts w:ascii="Times New Roman" w:hAnsi="Times New Roman" w:eastAsia="Times New Roman" w:cs="Times New Roman"/>
                <w:spacing w:val="-3"/>
              </w:rPr>
              <w:t xml:space="preserve">SS </w:t>
            </w:r>
            <w:r>
              <w:rPr>
                <w:spacing w:val="-3"/>
              </w:rPr>
              <w:t>和石油类等污染物量。</w:t>
            </w:r>
          </w:p>
          <w:p>
            <w:pPr>
              <w:pStyle w:val="6"/>
              <w:spacing w:before="60" w:line="248" w:lineRule="auto"/>
              <w:ind w:left="31" w:right="28" w:hanging="3"/>
            </w:pPr>
            <w:r>
              <w:rPr>
                <w:rFonts w:ascii="Times New Roman" w:hAnsi="Times New Roman" w:eastAsia="Times New Roman" w:cs="Times New Roman"/>
                <w:spacing w:val="3"/>
              </w:rPr>
              <w:t>2</w:t>
            </w:r>
            <w:r>
              <w:rPr>
                <w:rFonts w:ascii="Times New Roman" w:hAnsi="Times New Roman" w:eastAsia="Times New Roman" w:cs="Times New Roman"/>
                <w:spacing w:val="-11"/>
              </w:rPr>
              <w:t xml:space="preserve"> </w:t>
            </w:r>
            <w:r>
              <w:rPr>
                <w:spacing w:val="3"/>
              </w:rPr>
              <w:t>、加强工程沿线河段和桥梁防撞</w:t>
            </w:r>
            <w:r>
              <w:t xml:space="preserve"> </w:t>
            </w:r>
            <w:r>
              <w:rPr>
                <w:spacing w:val="-2"/>
              </w:rPr>
              <w:t>栏的设计。</w:t>
            </w:r>
          </w:p>
          <w:p>
            <w:pPr>
              <w:pStyle w:val="6"/>
              <w:spacing w:before="59" w:line="248" w:lineRule="auto"/>
              <w:ind w:left="32" w:right="28"/>
            </w:pPr>
            <w:r>
              <w:rPr>
                <w:rFonts w:ascii="Times New Roman" w:hAnsi="Times New Roman" w:eastAsia="Times New Roman" w:cs="Times New Roman"/>
                <w:spacing w:val="3"/>
              </w:rPr>
              <w:t>3</w:t>
            </w:r>
            <w:r>
              <w:rPr>
                <w:rFonts w:ascii="Times New Roman" w:hAnsi="Times New Roman" w:eastAsia="Times New Roman" w:cs="Times New Roman"/>
                <w:spacing w:val="-16"/>
              </w:rPr>
              <w:t xml:space="preserve"> </w:t>
            </w:r>
            <w:r>
              <w:rPr>
                <w:spacing w:val="3"/>
              </w:rPr>
              <w:t>、加强风险管理，制定环境风险</w:t>
            </w:r>
            <w:r>
              <w:t xml:space="preserve"> </w:t>
            </w:r>
            <w:r>
              <w:rPr>
                <w:spacing w:val="-3"/>
              </w:rPr>
              <w:t>事故应急预案。</w:t>
            </w:r>
          </w:p>
        </w:tc>
      </w:tr>
    </w:tbl>
    <w:p>
      <w:pPr>
        <w:spacing w:before="191" w:line="220" w:lineRule="auto"/>
        <w:ind w:left="131"/>
        <w:outlineLvl w:val="1"/>
        <w:rPr>
          <w:rFonts w:ascii="宋体" w:hAnsi="宋体" w:eastAsia="宋体" w:cs="宋体"/>
          <w:sz w:val="24"/>
          <w:szCs w:val="24"/>
        </w:rPr>
      </w:pPr>
      <w:bookmarkStart w:id="67" w:name="bookmark60"/>
      <w:bookmarkEnd w:id="67"/>
      <w:r>
        <w:rPr>
          <w:rFonts w:ascii="Times New Roman" w:hAnsi="Times New Roman" w:eastAsia="Times New Roman" w:cs="Times New Roman"/>
          <w:b/>
          <w:bCs/>
          <w:spacing w:val="-3"/>
          <w:sz w:val="24"/>
          <w:szCs w:val="24"/>
        </w:rPr>
        <w:t>10.5</w:t>
      </w:r>
      <w:r>
        <w:rPr>
          <w:rFonts w:ascii="Times New Roman" w:hAnsi="Times New Roman" w:eastAsia="Times New Roman" w:cs="Times New Roman"/>
          <w:b/>
          <w:bCs/>
          <w:spacing w:val="19"/>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公众参与结论</w:t>
      </w:r>
    </w:p>
    <w:p>
      <w:pPr>
        <w:spacing w:before="182" w:line="359" w:lineRule="auto"/>
        <w:ind w:left="116" w:right="115" w:firstLine="487"/>
        <w:rPr>
          <w:rFonts w:ascii="宋体" w:hAnsi="宋体" w:eastAsia="宋体" w:cs="宋体"/>
          <w:sz w:val="24"/>
          <w:szCs w:val="24"/>
        </w:rPr>
      </w:pPr>
      <w:r>
        <w:rPr>
          <w:rFonts w:ascii="宋体" w:hAnsi="宋体" w:eastAsia="宋体" w:cs="宋体"/>
          <w:sz w:val="24"/>
          <w:szCs w:val="24"/>
        </w:rPr>
        <w:t>根据《浙江省建设项目环境保护管理办法》（</w:t>
      </w:r>
      <w:r>
        <w:rPr>
          <w:rFonts w:ascii="Times New Roman" w:hAnsi="Times New Roman" w:eastAsia="Times New Roman" w:cs="Times New Roman"/>
          <w:sz w:val="24"/>
          <w:szCs w:val="24"/>
        </w:rPr>
        <w:t xml:space="preserve">2021  </w:t>
      </w:r>
      <w:r>
        <w:rPr>
          <w:rFonts w:ascii="宋体" w:hAnsi="宋体" w:eastAsia="宋体" w:cs="宋体"/>
          <w:sz w:val="24"/>
          <w:szCs w:val="24"/>
        </w:rPr>
        <w:t>年修正）的要求，本次</w:t>
      </w:r>
      <w:r>
        <w:rPr>
          <w:rFonts w:ascii="宋体" w:hAnsi="宋体" w:eastAsia="宋体" w:cs="宋体"/>
          <w:spacing w:val="6"/>
          <w:sz w:val="24"/>
          <w:szCs w:val="24"/>
        </w:rPr>
        <w:t xml:space="preserve"> </w:t>
      </w:r>
      <w:r>
        <w:rPr>
          <w:rFonts w:ascii="宋体" w:hAnsi="宋体" w:eastAsia="宋体" w:cs="宋体"/>
          <w:spacing w:val="-4"/>
          <w:sz w:val="24"/>
          <w:szCs w:val="24"/>
        </w:rPr>
        <w:t>环境影响报告书编制期间进行了公众参与。公示于</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11  </w:t>
      </w:r>
      <w:r>
        <w:rPr>
          <w:rFonts w:ascii="宋体" w:hAnsi="宋体" w:eastAsia="宋体" w:cs="宋体"/>
          <w:spacing w:val="-4"/>
          <w:sz w:val="24"/>
          <w:szCs w:val="24"/>
        </w:rPr>
        <w:t>日～</w:t>
      </w: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w:t>
      </w:r>
      <w:r>
        <w:rPr>
          <w:rFonts w:ascii="宋体" w:hAnsi="宋体" w:eastAsia="宋体" w:cs="宋体"/>
          <w:sz w:val="24"/>
          <w:szCs w:val="24"/>
        </w:rPr>
        <w:t xml:space="preserve"> </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25</w:t>
      </w:r>
      <w:r>
        <w:rPr>
          <w:rFonts w:ascii="Times New Roman" w:hAnsi="Times New Roman" w:eastAsia="Times New Roman" w:cs="Times New Roman"/>
          <w:spacing w:val="50"/>
          <w:w w:val="101"/>
          <w:sz w:val="24"/>
          <w:szCs w:val="24"/>
        </w:rPr>
        <w:t xml:space="preserve"> </w:t>
      </w:r>
      <w:r>
        <w:rPr>
          <w:rFonts w:ascii="宋体" w:hAnsi="宋体" w:eastAsia="宋体" w:cs="宋体"/>
          <w:spacing w:val="-6"/>
          <w:sz w:val="24"/>
          <w:szCs w:val="24"/>
        </w:rPr>
        <w:t>日进行， 通过网络平台公开、现场张贴公示两种方式进行了</w:t>
      </w:r>
      <w:r>
        <w:rPr>
          <w:rFonts w:ascii="宋体" w:hAnsi="宋体" w:eastAsia="宋体" w:cs="宋体"/>
          <w:spacing w:val="-7"/>
          <w:sz w:val="24"/>
          <w:szCs w:val="24"/>
        </w:rPr>
        <w:t>项目的环保</w:t>
      </w:r>
      <w:r>
        <w:rPr>
          <w:rFonts w:ascii="宋体" w:hAnsi="宋体" w:eastAsia="宋体" w:cs="宋体"/>
          <w:sz w:val="24"/>
          <w:szCs w:val="24"/>
        </w:rPr>
        <w:t xml:space="preserve"> </w:t>
      </w:r>
      <w:r>
        <w:rPr>
          <w:rFonts w:ascii="宋体" w:hAnsi="宋体" w:eastAsia="宋体" w:cs="宋体"/>
          <w:spacing w:val="-17"/>
          <w:sz w:val="24"/>
          <w:szCs w:val="24"/>
        </w:rPr>
        <w:t>公</w:t>
      </w:r>
      <w:r>
        <w:rPr>
          <w:rFonts w:ascii="宋体" w:hAnsi="宋体" w:eastAsia="宋体" w:cs="宋体"/>
          <w:spacing w:val="-22"/>
          <w:sz w:val="24"/>
          <w:szCs w:val="24"/>
        </w:rPr>
        <w:t xml:space="preserve"> </w:t>
      </w:r>
      <w:r>
        <w:rPr>
          <w:rFonts w:ascii="宋体" w:hAnsi="宋体" w:eastAsia="宋体" w:cs="宋体"/>
          <w:spacing w:val="-17"/>
          <w:sz w:val="24"/>
          <w:szCs w:val="24"/>
        </w:rPr>
        <w:t>示 。 同</w:t>
      </w:r>
      <w:r>
        <w:rPr>
          <w:rFonts w:ascii="宋体" w:hAnsi="宋体" w:eastAsia="宋体" w:cs="宋体"/>
          <w:spacing w:val="-31"/>
          <w:sz w:val="24"/>
          <w:szCs w:val="24"/>
        </w:rPr>
        <w:t xml:space="preserve"> </w:t>
      </w:r>
      <w:r>
        <w:rPr>
          <w:rFonts w:ascii="宋体" w:hAnsi="宋体" w:eastAsia="宋体" w:cs="宋体"/>
          <w:spacing w:val="-17"/>
          <w:sz w:val="24"/>
          <w:szCs w:val="24"/>
        </w:rPr>
        <w:t>步</w:t>
      </w:r>
      <w:r>
        <w:rPr>
          <w:rFonts w:ascii="宋体" w:hAnsi="宋体" w:eastAsia="宋体" w:cs="宋体"/>
          <w:spacing w:val="-35"/>
          <w:sz w:val="24"/>
          <w:szCs w:val="24"/>
        </w:rPr>
        <w:t xml:space="preserve"> </w:t>
      </w:r>
      <w:r>
        <w:rPr>
          <w:rFonts w:ascii="宋体" w:hAnsi="宋体" w:eastAsia="宋体" w:cs="宋体"/>
          <w:spacing w:val="-17"/>
          <w:sz w:val="24"/>
          <w:szCs w:val="24"/>
        </w:rPr>
        <w:t>在</w:t>
      </w:r>
      <w:r>
        <w:rPr>
          <w:rFonts w:ascii="宋体" w:hAnsi="宋体" w:eastAsia="宋体" w:cs="宋体"/>
          <w:spacing w:val="-32"/>
          <w:sz w:val="24"/>
          <w:szCs w:val="24"/>
        </w:rPr>
        <w:t xml:space="preserve"> </w:t>
      </w:r>
      <w:r>
        <w:rPr>
          <w:rFonts w:ascii="宋体" w:hAnsi="宋体" w:eastAsia="宋体" w:cs="宋体"/>
          <w:spacing w:val="-17"/>
          <w:sz w:val="24"/>
          <w:szCs w:val="24"/>
        </w:rPr>
        <w:t>浙</w:t>
      </w:r>
      <w:r>
        <w:rPr>
          <w:rFonts w:ascii="宋体" w:hAnsi="宋体" w:eastAsia="宋体" w:cs="宋体"/>
          <w:spacing w:val="-36"/>
          <w:sz w:val="24"/>
          <w:szCs w:val="24"/>
        </w:rPr>
        <w:t xml:space="preserve"> </w:t>
      </w:r>
      <w:r>
        <w:rPr>
          <w:rFonts w:ascii="宋体" w:hAnsi="宋体" w:eastAsia="宋体" w:cs="宋体"/>
          <w:spacing w:val="-17"/>
          <w:sz w:val="24"/>
          <w:szCs w:val="24"/>
        </w:rPr>
        <w:t>江</w:t>
      </w:r>
      <w:r>
        <w:rPr>
          <w:rFonts w:ascii="宋体" w:hAnsi="宋体" w:eastAsia="宋体" w:cs="宋体"/>
          <w:spacing w:val="-30"/>
          <w:sz w:val="24"/>
          <w:szCs w:val="24"/>
        </w:rPr>
        <w:t xml:space="preserve"> </w:t>
      </w:r>
      <w:r>
        <w:rPr>
          <w:rFonts w:ascii="宋体" w:hAnsi="宋体" w:eastAsia="宋体" w:cs="宋体"/>
          <w:spacing w:val="-17"/>
          <w:sz w:val="24"/>
          <w:szCs w:val="24"/>
        </w:rPr>
        <w:t>省</w:t>
      </w:r>
      <w:r>
        <w:rPr>
          <w:rFonts w:ascii="宋体" w:hAnsi="宋体" w:eastAsia="宋体" w:cs="宋体"/>
          <w:spacing w:val="-29"/>
          <w:sz w:val="24"/>
          <w:szCs w:val="24"/>
        </w:rPr>
        <w:t xml:space="preserve"> </w:t>
      </w:r>
      <w:r>
        <w:rPr>
          <w:rFonts w:ascii="宋体" w:hAnsi="宋体" w:eastAsia="宋体" w:cs="宋体"/>
          <w:spacing w:val="-17"/>
          <w:sz w:val="24"/>
          <w:szCs w:val="24"/>
        </w:rPr>
        <w:t>交</w:t>
      </w:r>
      <w:r>
        <w:rPr>
          <w:rFonts w:ascii="宋体" w:hAnsi="宋体" w:eastAsia="宋体" w:cs="宋体"/>
          <w:spacing w:val="-34"/>
          <w:sz w:val="24"/>
          <w:szCs w:val="24"/>
        </w:rPr>
        <w:t xml:space="preserve"> </w:t>
      </w:r>
      <w:r>
        <w:rPr>
          <w:rFonts w:ascii="宋体" w:hAnsi="宋体" w:eastAsia="宋体" w:cs="宋体"/>
          <w:spacing w:val="-17"/>
          <w:sz w:val="24"/>
          <w:szCs w:val="24"/>
        </w:rPr>
        <w:t>通</w:t>
      </w:r>
      <w:r>
        <w:rPr>
          <w:rFonts w:ascii="宋体" w:hAnsi="宋体" w:eastAsia="宋体" w:cs="宋体"/>
          <w:spacing w:val="-32"/>
          <w:sz w:val="24"/>
          <w:szCs w:val="24"/>
        </w:rPr>
        <w:t xml:space="preserve"> </w:t>
      </w:r>
      <w:r>
        <w:rPr>
          <w:rFonts w:ascii="宋体" w:hAnsi="宋体" w:eastAsia="宋体" w:cs="宋体"/>
          <w:spacing w:val="-17"/>
          <w:sz w:val="24"/>
          <w:szCs w:val="24"/>
        </w:rPr>
        <w:t>投 资</w:t>
      </w:r>
      <w:r>
        <w:rPr>
          <w:rFonts w:ascii="宋体" w:hAnsi="宋体" w:eastAsia="宋体" w:cs="宋体"/>
          <w:spacing w:val="-34"/>
          <w:sz w:val="24"/>
          <w:szCs w:val="24"/>
        </w:rPr>
        <w:t xml:space="preserve"> </w:t>
      </w:r>
      <w:r>
        <w:rPr>
          <w:rFonts w:ascii="宋体" w:hAnsi="宋体" w:eastAsia="宋体" w:cs="宋体"/>
          <w:spacing w:val="-17"/>
          <w:sz w:val="24"/>
          <w:szCs w:val="24"/>
        </w:rPr>
        <w:t>集 团</w:t>
      </w:r>
      <w:r>
        <w:rPr>
          <w:rFonts w:ascii="宋体" w:hAnsi="宋体" w:eastAsia="宋体" w:cs="宋体"/>
          <w:spacing w:val="-33"/>
          <w:sz w:val="24"/>
          <w:szCs w:val="24"/>
        </w:rPr>
        <w:t xml:space="preserve"> </w:t>
      </w:r>
      <w:r>
        <w:rPr>
          <w:rFonts w:ascii="宋体" w:hAnsi="宋体" w:eastAsia="宋体" w:cs="宋体"/>
          <w:spacing w:val="-17"/>
          <w:sz w:val="24"/>
          <w:szCs w:val="24"/>
        </w:rPr>
        <w:t>有 限</w:t>
      </w:r>
      <w:r>
        <w:rPr>
          <w:rFonts w:ascii="宋体" w:hAnsi="宋体" w:eastAsia="宋体" w:cs="宋体"/>
          <w:spacing w:val="-27"/>
          <w:sz w:val="24"/>
          <w:szCs w:val="24"/>
        </w:rPr>
        <w:t xml:space="preserve"> </w:t>
      </w:r>
      <w:r>
        <w:rPr>
          <w:rFonts w:ascii="宋体" w:hAnsi="宋体" w:eastAsia="宋体" w:cs="宋体"/>
          <w:spacing w:val="-17"/>
          <w:sz w:val="24"/>
          <w:szCs w:val="24"/>
        </w:rPr>
        <w:t>公</w:t>
      </w:r>
      <w:r>
        <w:rPr>
          <w:rFonts w:ascii="宋体" w:hAnsi="宋体" w:eastAsia="宋体" w:cs="宋体"/>
          <w:spacing w:val="-25"/>
          <w:sz w:val="24"/>
          <w:szCs w:val="24"/>
        </w:rPr>
        <w:t xml:space="preserve"> </w:t>
      </w:r>
      <w:r>
        <w:rPr>
          <w:rFonts w:ascii="宋体" w:hAnsi="宋体" w:eastAsia="宋体" w:cs="宋体"/>
          <w:spacing w:val="-17"/>
          <w:sz w:val="24"/>
          <w:szCs w:val="24"/>
        </w:rPr>
        <w:t>司 网</w:t>
      </w:r>
      <w:r>
        <w:rPr>
          <w:rFonts w:ascii="宋体" w:hAnsi="宋体" w:eastAsia="宋体" w:cs="宋体"/>
          <w:spacing w:val="-33"/>
          <w:sz w:val="24"/>
          <w:szCs w:val="24"/>
        </w:rPr>
        <w:t xml:space="preserve"> </w:t>
      </w:r>
      <w:r>
        <w:rPr>
          <w:rFonts w:ascii="宋体" w:hAnsi="宋体" w:eastAsia="宋体" w:cs="宋体"/>
          <w:spacing w:val="-17"/>
          <w:sz w:val="24"/>
          <w:szCs w:val="24"/>
        </w:rPr>
        <w:t>站</w:t>
      </w:r>
      <w:r>
        <w:rPr>
          <w:rFonts w:ascii="宋体" w:hAnsi="宋体" w:eastAsia="宋体" w:cs="宋体"/>
          <w:spacing w:val="-13"/>
          <w:sz w:val="24"/>
          <w:szCs w:val="24"/>
        </w:rPr>
        <w:t xml:space="preserve"> </w:t>
      </w:r>
      <w:r>
        <w:rPr>
          <w:rFonts w:ascii="宋体" w:hAnsi="宋体" w:eastAsia="宋体" w:cs="宋体"/>
          <w:spacing w:val="-17"/>
          <w:sz w:val="24"/>
          <w:szCs w:val="24"/>
        </w:rPr>
        <w:t>网</w:t>
      </w:r>
      <w:r>
        <w:rPr>
          <w:rFonts w:ascii="宋体" w:hAnsi="宋体" w:eastAsia="宋体" w:cs="宋体"/>
          <w:spacing w:val="-33"/>
          <w:sz w:val="24"/>
          <w:szCs w:val="24"/>
        </w:rPr>
        <w:t xml:space="preserve"> </w:t>
      </w:r>
      <w:r>
        <w:rPr>
          <w:rFonts w:ascii="宋体" w:hAnsi="宋体" w:eastAsia="宋体" w:cs="宋体"/>
          <w:spacing w:val="-17"/>
          <w:sz w:val="24"/>
          <w:szCs w:val="24"/>
        </w:rPr>
        <w:t>站</w:t>
      </w:r>
      <w:r>
        <w:fldChar w:fldCharType="begin"/>
      </w:r>
      <w:r>
        <w:instrText xml:space="preserve"> HYPERLINK "http://www.zjxj.gov.cn/art/2020/6/18/art_1562567_47443792.html）进行了公示。网站公示截图见图2-1。公示文件见附件1。" </w:instrText>
      </w:r>
      <w:r>
        <w:fldChar w:fldCharType="separate"/>
      </w:r>
      <w:r>
        <w:rPr>
          <w:rFonts w:ascii="宋体" w:hAnsi="宋体" w:eastAsia="宋体" w:cs="宋体"/>
          <w:spacing w:val="-2"/>
          <w:sz w:val="24"/>
          <w:szCs w:val="24"/>
        </w:rPr>
        <w:t>行现场张贴公示。本</w:t>
      </w:r>
      <w:r>
        <w:rPr>
          <w:rFonts w:ascii="宋体" w:hAnsi="宋体" w:eastAsia="宋体" w:cs="宋体"/>
          <w:spacing w:val="-2"/>
          <w:sz w:val="24"/>
          <w:szCs w:val="24"/>
        </w:rPr>
        <w:fldChar w:fldCharType="end"/>
      </w:r>
      <w:r>
        <w:rPr>
          <w:rFonts w:ascii="宋体" w:hAnsi="宋体" w:eastAsia="宋体" w:cs="宋体"/>
          <w:spacing w:val="-2"/>
          <w:sz w:val="24"/>
          <w:szCs w:val="24"/>
        </w:rPr>
        <w:t>项目环评信息公示期间，未收到公众提交的意见建议。</w:t>
      </w:r>
    </w:p>
    <w:p>
      <w:pPr>
        <w:pStyle w:val="2"/>
        <w:spacing w:line="259" w:lineRule="auto"/>
      </w:pPr>
    </w:p>
    <w:p>
      <w:pPr>
        <w:spacing w:before="78" w:line="221" w:lineRule="auto"/>
        <w:ind w:left="131"/>
        <w:outlineLvl w:val="1"/>
        <w:rPr>
          <w:rFonts w:ascii="宋体" w:hAnsi="宋体" w:eastAsia="宋体" w:cs="宋体"/>
          <w:sz w:val="24"/>
          <w:szCs w:val="24"/>
        </w:rPr>
      </w:pPr>
      <w:bookmarkStart w:id="68" w:name="bookmark61"/>
      <w:bookmarkEnd w:id="68"/>
      <w:r>
        <w:rPr>
          <w:rFonts w:ascii="Times New Roman" w:hAnsi="Times New Roman" w:eastAsia="Times New Roman" w:cs="Times New Roman"/>
          <w:b/>
          <w:bCs/>
          <w:spacing w:val="-5"/>
          <w:sz w:val="24"/>
          <w:szCs w:val="24"/>
        </w:rPr>
        <w:t>10.6</w:t>
      </w:r>
      <w:r>
        <w:rPr>
          <w:rFonts w:ascii="Times New Roman" w:hAnsi="Times New Roman" w:eastAsia="Times New Roman" w:cs="Times New Roman"/>
          <w:b/>
          <w:bCs/>
          <w:spacing w:val="20"/>
          <w:sz w:val="24"/>
          <w:szCs w:val="24"/>
        </w:rPr>
        <w:t xml:space="preserve"> </w:t>
      </w:r>
      <w:r>
        <w:rPr>
          <w:rFonts w:ascii="宋体" w:hAnsi="宋体" w:eastAsia="宋体" w:cs="宋体"/>
          <w:spacing w:val="-5"/>
          <w:sz w:val="24"/>
          <w:szCs w:val="24"/>
          <w14:textOutline w14:w="4354" w14:cap="flat" w14:cmpd="sng">
            <w14:solidFill>
              <w14:srgbClr w14:val="000000"/>
            </w14:solidFill>
            <w14:prstDash w14:val="solid"/>
            <w14:miter w14:val="0"/>
          </w14:textOutline>
        </w:rPr>
        <w:t>总结论</w:t>
      </w:r>
    </w:p>
    <w:p>
      <w:pPr>
        <w:spacing w:before="178" w:line="468" w:lineRule="exact"/>
        <w:ind w:left="605"/>
        <w:rPr>
          <w:rFonts w:ascii="宋体" w:hAnsi="宋体" w:eastAsia="宋体" w:cs="宋体"/>
          <w:sz w:val="24"/>
          <w:szCs w:val="24"/>
        </w:rPr>
      </w:pPr>
      <w:r>
        <w:rPr>
          <w:rFonts w:ascii="宋体" w:hAnsi="宋体" w:eastAsia="宋体" w:cs="宋体"/>
          <w:spacing w:val="-1"/>
          <w:position w:val="17"/>
          <w:sz w:val="24"/>
          <w:szCs w:val="24"/>
        </w:rPr>
        <w:t>溧阳至宁德高速公路（</w:t>
      </w:r>
      <w:r>
        <w:rPr>
          <w:rFonts w:ascii="Times New Roman" w:hAnsi="Times New Roman" w:eastAsia="Times New Roman" w:cs="Times New Roman"/>
          <w:spacing w:val="-1"/>
          <w:position w:val="17"/>
          <w:sz w:val="24"/>
          <w:szCs w:val="24"/>
        </w:rPr>
        <w:t>G4012</w:t>
      </w:r>
      <w:r>
        <w:rPr>
          <w:rFonts w:ascii="宋体" w:hAnsi="宋体" w:eastAsia="宋体" w:cs="宋体"/>
          <w:spacing w:val="-1"/>
          <w:position w:val="17"/>
          <w:sz w:val="24"/>
          <w:szCs w:val="24"/>
        </w:rPr>
        <w:t>）浙江景宁至文成段工程西坑互通连接线</w:t>
      </w:r>
      <w:r>
        <w:rPr>
          <w:rFonts w:ascii="宋体" w:hAnsi="宋体" w:eastAsia="宋体" w:cs="宋体"/>
          <w:spacing w:val="-2"/>
          <w:position w:val="17"/>
          <w:sz w:val="24"/>
          <w:szCs w:val="24"/>
        </w:rPr>
        <w:t>是二</w:t>
      </w:r>
    </w:p>
    <w:p>
      <w:pPr>
        <w:spacing w:before="1" w:line="218" w:lineRule="auto"/>
        <w:ind w:left="128"/>
        <w:rPr>
          <w:rFonts w:ascii="宋体" w:hAnsi="宋体" w:eastAsia="宋体" w:cs="宋体"/>
          <w:sz w:val="24"/>
          <w:szCs w:val="24"/>
        </w:rPr>
      </w:pPr>
      <w:r>
        <w:rPr>
          <w:rFonts w:ascii="宋体" w:hAnsi="宋体" w:eastAsia="宋体" w:cs="宋体"/>
          <w:spacing w:val="-12"/>
          <w:sz w:val="24"/>
          <w:szCs w:val="24"/>
        </w:rPr>
        <w:t>级公路建设项目，</w:t>
      </w:r>
      <w:r>
        <w:rPr>
          <w:rFonts w:ascii="宋体" w:hAnsi="宋体" w:eastAsia="宋体" w:cs="宋体"/>
          <w:spacing w:val="34"/>
          <w:sz w:val="24"/>
          <w:szCs w:val="24"/>
        </w:rPr>
        <w:t xml:space="preserve"> </w:t>
      </w:r>
      <w:r>
        <w:rPr>
          <w:rFonts w:ascii="宋体" w:hAnsi="宋体" w:eastAsia="宋体" w:cs="宋体"/>
          <w:spacing w:val="-12"/>
          <w:sz w:val="24"/>
          <w:szCs w:val="24"/>
        </w:rPr>
        <w:t>符合国家产业政策；</w:t>
      </w:r>
      <w:r>
        <w:rPr>
          <w:rFonts w:ascii="宋体" w:hAnsi="宋体" w:eastAsia="宋体" w:cs="宋体"/>
          <w:spacing w:val="35"/>
          <w:sz w:val="24"/>
          <w:szCs w:val="24"/>
        </w:rPr>
        <w:t xml:space="preserve"> </w:t>
      </w:r>
      <w:r>
        <w:rPr>
          <w:rFonts w:ascii="宋体" w:hAnsi="宋体" w:eastAsia="宋体" w:cs="宋体"/>
          <w:spacing w:val="-12"/>
          <w:sz w:val="24"/>
          <w:szCs w:val="24"/>
        </w:rPr>
        <w:t>本项目的建设符合《浙江省综合交</w:t>
      </w:r>
      <w:r>
        <w:rPr>
          <w:rFonts w:ascii="宋体" w:hAnsi="宋体" w:eastAsia="宋体" w:cs="宋体"/>
          <w:spacing w:val="-13"/>
          <w:sz w:val="24"/>
          <w:szCs w:val="24"/>
        </w:rPr>
        <w:t>通运输</w:t>
      </w:r>
    </w:p>
    <w:p>
      <w:pPr>
        <w:spacing w:line="218" w:lineRule="auto"/>
        <w:rPr>
          <w:rFonts w:ascii="宋体" w:hAnsi="宋体" w:eastAsia="宋体" w:cs="宋体"/>
          <w:sz w:val="24"/>
          <w:szCs w:val="24"/>
        </w:rPr>
        <w:sectPr>
          <w:footerReference r:id="rId388" w:type="default"/>
          <w:pgSz w:w="11907" w:h="16839"/>
          <w:pgMar w:top="1118" w:right="1682" w:bottom="1177" w:left="1685" w:header="879" w:footer="1013" w:gutter="0"/>
          <w:cols w:space="720" w:num="1"/>
        </w:sectPr>
      </w:pPr>
    </w:p>
    <w:p>
      <w:pPr>
        <w:pStyle w:val="2"/>
        <w:spacing w:line="279" w:lineRule="auto"/>
      </w:pPr>
    </w:p>
    <w:p>
      <w:pPr>
        <w:spacing w:before="78" w:line="359" w:lineRule="auto"/>
        <w:ind w:left="37" w:firstLine="4"/>
        <w:jc w:val="both"/>
        <w:rPr>
          <w:rFonts w:ascii="宋体" w:hAnsi="宋体" w:eastAsia="宋体" w:cs="宋体"/>
          <w:sz w:val="24"/>
          <w:szCs w:val="24"/>
        </w:rPr>
      </w:pPr>
      <w:r>
        <w:rPr>
          <w:rFonts w:ascii="宋体" w:hAnsi="宋体" w:eastAsia="宋体" w:cs="宋体"/>
          <w:spacing w:val="-6"/>
          <w:sz w:val="24"/>
          <w:szCs w:val="24"/>
        </w:rPr>
        <w:t>发展</w:t>
      </w:r>
      <w:r>
        <w:rPr>
          <w:rFonts w:ascii="Times New Roman" w:hAnsi="Times New Roman" w:eastAsia="Times New Roman" w:cs="Times New Roman"/>
          <w:spacing w:val="-6"/>
          <w:sz w:val="24"/>
          <w:szCs w:val="24"/>
        </w:rPr>
        <w:t>“</w:t>
      </w:r>
      <w:r>
        <w:rPr>
          <w:rFonts w:ascii="宋体" w:hAnsi="宋体" w:eastAsia="宋体" w:cs="宋体"/>
          <w:spacing w:val="-6"/>
          <w:sz w:val="24"/>
          <w:szCs w:val="24"/>
        </w:rPr>
        <w:t>十四五</w:t>
      </w:r>
      <w:r>
        <w:rPr>
          <w:rFonts w:ascii="Times New Roman" w:hAnsi="Times New Roman" w:eastAsia="Times New Roman" w:cs="Times New Roman"/>
          <w:spacing w:val="-6"/>
          <w:sz w:val="24"/>
          <w:szCs w:val="24"/>
        </w:rPr>
        <w:t>”</w:t>
      </w:r>
      <w:r>
        <w:rPr>
          <w:rFonts w:ascii="宋体" w:hAnsi="宋体" w:eastAsia="宋体" w:cs="宋体"/>
          <w:spacing w:val="-6"/>
          <w:sz w:val="24"/>
          <w:szCs w:val="24"/>
        </w:rPr>
        <w:t>规划》、《温州市综合交通运输发展</w:t>
      </w:r>
      <w:r>
        <w:rPr>
          <w:rFonts w:ascii="Times New Roman" w:hAnsi="Times New Roman" w:eastAsia="Times New Roman" w:cs="Times New Roman"/>
          <w:spacing w:val="-6"/>
          <w:sz w:val="24"/>
          <w:szCs w:val="24"/>
        </w:rPr>
        <w:t>“</w:t>
      </w:r>
      <w:r>
        <w:rPr>
          <w:rFonts w:ascii="宋体" w:hAnsi="宋体" w:eastAsia="宋体" w:cs="宋体"/>
          <w:spacing w:val="-6"/>
          <w:sz w:val="24"/>
          <w:szCs w:val="24"/>
        </w:rPr>
        <w:t>十四五</w:t>
      </w:r>
      <w:r>
        <w:rPr>
          <w:rFonts w:ascii="Times New Roman" w:hAnsi="Times New Roman" w:eastAsia="Times New Roman" w:cs="Times New Roman"/>
          <w:spacing w:val="-6"/>
          <w:sz w:val="24"/>
          <w:szCs w:val="24"/>
        </w:rPr>
        <w:t>”</w:t>
      </w:r>
      <w:r>
        <w:rPr>
          <w:rFonts w:ascii="宋体" w:hAnsi="宋体" w:eastAsia="宋体" w:cs="宋体"/>
          <w:spacing w:val="-6"/>
          <w:sz w:val="24"/>
          <w:szCs w:val="24"/>
        </w:rPr>
        <w:t>规划》及其规划环评、</w:t>
      </w:r>
      <w:r>
        <w:rPr>
          <w:rFonts w:ascii="宋体" w:hAnsi="宋体" w:eastAsia="宋体" w:cs="宋体"/>
          <w:spacing w:val="17"/>
          <w:sz w:val="24"/>
          <w:szCs w:val="24"/>
        </w:rPr>
        <w:t xml:space="preserve"> </w:t>
      </w:r>
      <w:r>
        <w:rPr>
          <w:rFonts w:ascii="宋体" w:hAnsi="宋体" w:eastAsia="宋体" w:cs="宋体"/>
          <w:spacing w:val="-7"/>
          <w:sz w:val="24"/>
          <w:szCs w:val="24"/>
        </w:rPr>
        <w:t>《文成县域总体规划（</w:t>
      </w:r>
      <w:r>
        <w:rPr>
          <w:rFonts w:ascii="Times New Roman" w:hAnsi="Times New Roman" w:eastAsia="Times New Roman" w:cs="Times New Roman"/>
          <w:spacing w:val="-7"/>
          <w:sz w:val="24"/>
          <w:szCs w:val="24"/>
        </w:rPr>
        <w:t xml:space="preserve">2006-2020 </w:t>
      </w:r>
      <w:r>
        <w:rPr>
          <w:rFonts w:ascii="宋体" w:hAnsi="宋体" w:eastAsia="宋体" w:cs="宋体"/>
          <w:spacing w:val="-7"/>
          <w:sz w:val="24"/>
          <w:szCs w:val="24"/>
        </w:rPr>
        <w:t>年）》、《文成县国土空间总体规划（</w:t>
      </w:r>
      <w:r>
        <w:rPr>
          <w:rFonts w:ascii="Times New Roman" w:hAnsi="Times New Roman" w:eastAsia="Times New Roman" w:cs="Times New Roman"/>
          <w:spacing w:val="-7"/>
          <w:sz w:val="24"/>
          <w:szCs w:val="24"/>
        </w:rPr>
        <w:t>2021-20</w:t>
      </w:r>
      <w:r>
        <w:rPr>
          <w:rFonts w:ascii="Times New Roman" w:hAnsi="Times New Roman" w:eastAsia="Times New Roman" w:cs="Times New Roman"/>
          <w:spacing w:val="-8"/>
          <w:sz w:val="24"/>
          <w:szCs w:val="24"/>
        </w:rPr>
        <w:t xml:space="preserve">35  </w:t>
      </w:r>
      <w:r>
        <w:rPr>
          <w:rFonts w:ascii="宋体" w:hAnsi="宋体" w:eastAsia="宋体" w:cs="宋体"/>
          <w:spacing w:val="-9"/>
          <w:sz w:val="24"/>
          <w:szCs w:val="24"/>
        </w:rPr>
        <w:t>年）》（评审稿）</w:t>
      </w:r>
      <w:r>
        <w:rPr>
          <w:rFonts w:ascii="宋体" w:hAnsi="宋体" w:eastAsia="宋体" w:cs="宋体"/>
          <w:spacing w:val="-66"/>
          <w:sz w:val="24"/>
          <w:szCs w:val="24"/>
        </w:rPr>
        <w:t xml:space="preserve"> </w:t>
      </w:r>
      <w:r>
        <w:rPr>
          <w:rFonts w:ascii="宋体" w:hAnsi="宋体" w:eastAsia="宋体" w:cs="宋体"/>
          <w:spacing w:val="-9"/>
          <w:sz w:val="24"/>
          <w:szCs w:val="24"/>
        </w:rPr>
        <w:t>的要求。项目位于珊溪水库饮用水水源保护区准保</w:t>
      </w:r>
      <w:r>
        <w:rPr>
          <w:rFonts w:ascii="宋体" w:hAnsi="宋体" w:eastAsia="宋体" w:cs="宋体"/>
          <w:spacing w:val="-10"/>
          <w:sz w:val="24"/>
          <w:szCs w:val="24"/>
        </w:rPr>
        <w:t>护区范围内，</w:t>
      </w:r>
      <w:r>
        <w:rPr>
          <w:rFonts w:ascii="宋体" w:hAnsi="宋体" w:eastAsia="宋体" w:cs="宋体"/>
          <w:sz w:val="24"/>
          <w:szCs w:val="24"/>
        </w:rPr>
        <w:t xml:space="preserve"> </w:t>
      </w:r>
      <w:r>
        <w:rPr>
          <w:rFonts w:ascii="宋体" w:hAnsi="宋体" w:eastAsia="宋体" w:cs="宋体"/>
          <w:spacing w:val="2"/>
          <w:sz w:val="24"/>
          <w:szCs w:val="24"/>
        </w:rPr>
        <w:t xml:space="preserve">距离包垟水库水源地（拟划定）约 </w:t>
      </w:r>
      <w:r>
        <w:rPr>
          <w:rFonts w:ascii="Times New Roman" w:hAnsi="Times New Roman" w:eastAsia="Times New Roman" w:cs="Times New Roman"/>
          <w:spacing w:val="2"/>
          <w:sz w:val="24"/>
          <w:szCs w:val="24"/>
        </w:rPr>
        <w:t>300m</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。工程经过区域不涉及最新的百丈漈</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 xml:space="preserve">  </w:t>
      </w:r>
      <w:r>
        <w:rPr>
          <w:rFonts w:ascii="宋体" w:hAnsi="宋体" w:eastAsia="宋体" w:cs="宋体"/>
          <w:spacing w:val="-3"/>
          <w:sz w:val="24"/>
          <w:szCs w:val="24"/>
        </w:rPr>
        <w:t>飞云湖风景名胜区范围，不涉及生态保护红线及其他敏</w:t>
      </w:r>
      <w:r>
        <w:rPr>
          <w:rFonts w:ascii="宋体" w:hAnsi="宋体" w:eastAsia="宋体" w:cs="宋体"/>
          <w:spacing w:val="-4"/>
          <w:sz w:val="24"/>
          <w:szCs w:val="24"/>
        </w:rPr>
        <w:t xml:space="preserve">感区。在采取各项有效的 </w:t>
      </w:r>
      <w:r>
        <w:rPr>
          <w:rFonts w:ascii="宋体" w:hAnsi="宋体" w:eastAsia="宋体" w:cs="宋体"/>
          <w:spacing w:val="-7"/>
          <w:sz w:val="24"/>
          <w:szCs w:val="24"/>
        </w:rPr>
        <w:t>生态保护和生态恢复措施、污染防治措施后，</w:t>
      </w:r>
      <w:r>
        <w:rPr>
          <w:rFonts w:ascii="宋体" w:hAnsi="宋体" w:eastAsia="宋体" w:cs="宋体"/>
          <w:spacing w:val="36"/>
          <w:sz w:val="24"/>
          <w:szCs w:val="24"/>
        </w:rPr>
        <w:t xml:space="preserve"> </w:t>
      </w:r>
      <w:r>
        <w:rPr>
          <w:rFonts w:ascii="宋体" w:hAnsi="宋体" w:eastAsia="宋体" w:cs="宋体"/>
          <w:spacing w:val="-7"/>
          <w:sz w:val="24"/>
          <w:szCs w:val="24"/>
        </w:rPr>
        <w:t>项</w:t>
      </w:r>
      <w:r>
        <w:rPr>
          <w:rFonts w:ascii="宋体" w:hAnsi="宋体" w:eastAsia="宋体" w:cs="宋体"/>
          <w:spacing w:val="-8"/>
          <w:sz w:val="24"/>
          <w:szCs w:val="24"/>
        </w:rPr>
        <w:t>目建设符合生态保护红线、环境</w:t>
      </w:r>
    </w:p>
    <w:p>
      <w:pPr>
        <w:spacing w:line="219" w:lineRule="auto"/>
        <w:jc w:val="right"/>
        <w:rPr>
          <w:rFonts w:ascii="宋体" w:hAnsi="宋体" w:eastAsia="宋体" w:cs="宋体"/>
          <w:sz w:val="24"/>
          <w:szCs w:val="24"/>
        </w:rPr>
      </w:pPr>
      <w:r>
        <w:rPr>
          <w:rFonts w:ascii="宋体" w:hAnsi="宋体" w:eastAsia="宋体" w:cs="宋体"/>
          <w:spacing w:val="-9"/>
          <w:sz w:val="24"/>
          <w:szCs w:val="24"/>
        </w:rPr>
        <w:t>质量底线、资源利用上线及生态环境准入清单的要求，</w:t>
      </w:r>
      <w:r>
        <w:rPr>
          <w:rFonts w:ascii="宋体" w:hAnsi="宋体" w:eastAsia="宋体" w:cs="宋体"/>
          <w:spacing w:val="-21"/>
          <w:sz w:val="24"/>
          <w:szCs w:val="24"/>
        </w:rPr>
        <w:t xml:space="preserve"> </w:t>
      </w:r>
      <w:r>
        <w:rPr>
          <w:rFonts w:ascii="宋体" w:hAnsi="宋体" w:eastAsia="宋体" w:cs="宋体"/>
          <w:spacing w:val="-9"/>
          <w:sz w:val="24"/>
          <w:szCs w:val="24"/>
        </w:rPr>
        <w:t>符合</w:t>
      </w:r>
      <w:r>
        <w:rPr>
          <w:rFonts w:ascii="Times New Roman" w:hAnsi="Times New Roman" w:eastAsia="Times New Roman" w:cs="Times New Roman"/>
          <w:spacing w:val="-9"/>
          <w:sz w:val="24"/>
          <w:szCs w:val="24"/>
        </w:rPr>
        <w:t>“</w:t>
      </w:r>
      <w:r>
        <w:rPr>
          <w:rFonts w:ascii="宋体" w:hAnsi="宋体" w:eastAsia="宋体" w:cs="宋体"/>
          <w:spacing w:val="-9"/>
          <w:sz w:val="24"/>
          <w:szCs w:val="24"/>
        </w:rPr>
        <w:t>三线一单</w:t>
      </w:r>
      <w:r>
        <w:rPr>
          <w:rFonts w:ascii="Times New Roman" w:hAnsi="Times New Roman" w:eastAsia="Times New Roman" w:cs="Times New Roman"/>
          <w:spacing w:val="-9"/>
          <w:sz w:val="24"/>
          <w:szCs w:val="24"/>
        </w:rPr>
        <w:t>”</w:t>
      </w:r>
      <w:r>
        <w:rPr>
          <w:rFonts w:ascii="宋体" w:hAnsi="宋体" w:eastAsia="宋体" w:cs="宋体"/>
          <w:spacing w:val="-9"/>
          <w:sz w:val="24"/>
          <w:szCs w:val="24"/>
        </w:rPr>
        <w:t>管控要求。</w:t>
      </w:r>
    </w:p>
    <w:p>
      <w:pPr>
        <w:spacing w:before="183" w:line="359" w:lineRule="auto"/>
        <w:ind w:left="38" w:right="52" w:firstLine="479"/>
        <w:jc w:val="both"/>
        <w:rPr>
          <w:rFonts w:ascii="宋体" w:hAnsi="宋体" w:eastAsia="宋体" w:cs="宋体"/>
          <w:sz w:val="24"/>
          <w:szCs w:val="24"/>
        </w:rPr>
      </w:pPr>
      <w:r>
        <w:rPr>
          <w:rFonts w:ascii="宋体" w:hAnsi="宋体" w:eastAsia="宋体" w:cs="宋体"/>
          <w:spacing w:val="-6"/>
          <w:sz w:val="24"/>
          <w:szCs w:val="24"/>
        </w:rPr>
        <w:t>根据预测结果显示，</w:t>
      </w:r>
      <w:r>
        <w:rPr>
          <w:rFonts w:ascii="宋体" w:hAnsi="宋体" w:eastAsia="宋体" w:cs="宋体"/>
          <w:spacing w:val="-26"/>
          <w:sz w:val="24"/>
          <w:szCs w:val="24"/>
        </w:rPr>
        <w:t xml:space="preserve"> </w:t>
      </w:r>
      <w:r>
        <w:rPr>
          <w:rFonts w:ascii="宋体" w:hAnsi="宋体" w:eastAsia="宋体" w:cs="宋体"/>
          <w:spacing w:val="-6"/>
          <w:sz w:val="24"/>
          <w:szCs w:val="24"/>
        </w:rPr>
        <w:t>工程施工期和营运期将会对工程沿线区域产生一定不利</w:t>
      </w:r>
      <w:r>
        <w:rPr>
          <w:rFonts w:ascii="宋体" w:hAnsi="宋体" w:eastAsia="宋体" w:cs="宋体"/>
          <w:sz w:val="24"/>
          <w:szCs w:val="24"/>
        </w:rPr>
        <w:t xml:space="preserve"> </w:t>
      </w:r>
      <w:r>
        <w:rPr>
          <w:rFonts w:ascii="宋体" w:hAnsi="宋体" w:eastAsia="宋体" w:cs="宋体"/>
          <w:spacing w:val="-9"/>
          <w:sz w:val="24"/>
          <w:szCs w:val="24"/>
        </w:rPr>
        <w:t>环境影响， 建设单位及施工单位应严格执行国家的</w:t>
      </w:r>
      <w:r>
        <w:rPr>
          <w:rFonts w:ascii="宋体" w:hAnsi="宋体" w:eastAsia="宋体" w:cs="宋体"/>
          <w:spacing w:val="-10"/>
          <w:sz w:val="24"/>
          <w:szCs w:val="24"/>
        </w:rPr>
        <w:t>有关环保法规， 充分落实本报</w:t>
      </w:r>
      <w:r>
        <w:rPr>
          <w:rFonts w:ascii="宋体" w:hAnsi="宋体" w:eastAsia="宋体" w:cs="宋体"/>
          <w:sz w:val="24"/>
          <w:szCs w:val="24"/>
        </w:rPr>
        <w:t xml:space="preserve"> </w:t>
      </w:r>
      <w:r>
        <w:rPr>
          <w:rFonts w:ascii="宋体" w:hAnsi="宋体" w:eastAsia="宋体" w:cs="宋体"/>
          <w:spacing w:val="-9"/>
          <w:sz w:val="24"/>
          <w:szCs w:val="24"/>
        </w:rPr>
        <w:t>告书提出的各项环保建议和要求， 加强施工期环境</w:t>
      </w:r>
      <w:r>
        <w:rPr>
          <w:rFonts w:ascii="宋体" w:hAnsi="宋体" w:eastAsia="宋体" w:cs="宋体"/>
          <w:spacing w:val="-10"/>
          <w:sz w:val="24"/>
          <w:szCs w:val="24"/>
        </w:rPr>
        <w:t>管理， 做好施工期和运营期的</w:t>
      </w:r>
      <w:r>
        <w:rPr>
          <w:rFonts w:ascii="宋体" w:hAnsi="宋体" w:eastAsia="宋体" w:cs="宋体"/>
          <w:sz w:val="24"/>
          <w:szCs w:val="24"/>
        </w:rPr>
        <w:t xml:space="preserve"> </w:t>
      </w:r>
      <w:r>
        <w:rPr>
          <w:rFonts w:ascii="宋体" w:hAnsi="宋体" w:eastAsia="宋体" w:cs="宋体"/>
          <w:spacing w:val="-2"/>
          <w:sz w:val="24"/>
          <w:szCs w:val="24"/>
        </w:rPr>
        <w:t>各项污染防治措施及事故防范应急措施，达到与主体工程实现</w:t>
      </w:r>
      <w:r>
        <w:rPr>
          <w:rFonts w:ascii="Times New Roman" w:hAnsi="Times New Roman" w:eastAsia="Times New Roman" w:cs="Times New Roman"/>
          <w:spacing w:val="-2"/>
          <w:sz w:val="24"/>
          <w:szCs w:val="24"/>
        </w:rPr>
        <w:t>“</w:t>
      </w:r>
      <w:r>
        <w:rPr>
          <w:rFonts w:ascii="宋体" w:hAnsi="宋体" w:eastAsia="宋体" w:cs="宋体"/>
          <w:spacing w:val="-2"/>
          <w:sz w:val="24"/>
          <w:szCs w:val="24"/>
        </w:rPr>
        <w:t>三同时</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的要</w:t>
      </w:r>
      <w:r>
        <w:rPr>
          <w:rFonts w:ascii="宋体" w:hAnsi="宋体" w:eastAsia="宋体" w:cs="宋体"/>
          <w:spacing w:val="-3"/>
          <w:sz w:val="24"/>
          <w:szCs w:val="24"/>
        </w:rPr>
        <w:t>求。</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在此基础上，从环境保护角度而言，工程建设可行。</w:t>
      </w:r>
    </w:p>
    <w:p>
      <w:pPr>
        <w:spacing w:line="218" w:lineRule="auto"/>
        <w:rPr>
          <w:rFonts w:ascii="宋体" w:hAnsi="宋体" w:eastAsia="宋体" w:cs="宋体"/>
          <w:sz w:val="24"/>
          <w:szCs w:val="24"/>
        </w:rPr>
        <w:sectPr>
          <w:headerReference r:id="rId389" w:type="default"/>
          <w:footerReference r:id="rId390" w:type="default"/>
          <w:pgSz w:w="11907" w:h="16839"/>
          <w:pgMar w:top="1118" w:right="1715" w:bottom="1177" w:left="1771" w:header="879" w:footer="1013" w:gutter="0"/>
          <w:cols w:space="720" w:num="1"/>
        </w:sectPr>
      </w:pPr>
    </w:p>
    <w:p>
      <w:pPr>
        <w:pStyle w:val="2"/>
        <w:spacing w:line="338" w:lineRule="auto"/>
      </w:pPr>
    </w:p>
    <w:p>
      <w:pPr>
        <w:spacing w:before="78" w:line="218" w:lineRule="auto"/>
        <w:ind w:left="2632"/>
        <w:rPr>
          <w:rFonts w:ascii="宋体" w:hAnsi="宋体" w:eastAsia="宋体" w:cs="宋体"/>
          <w:sz w:val="24"/>
          <w:szCs w:val="24"/>
        </w:rPr>
      </w:pPr>
      <w:r>
        <w:rPr>
          <w:rFonts w:ascii="宋体" w:hAnsi="宋体" w:eastAsia="宋体" w:cs="宋体"/>
          <w:spacing w:val="-3"/>
          <w:sz w:val="24"/>
          <w:szCs w:val="24"/>
        </w:rPr>
        <w:t>附表</w:t>
      </w:r>
      <w:r>
        <w:rPr>
          <w:rFonts w:ascii="宋体" w:hAnsi="宋体" w:eastAsia="宋体" w:cs="宋体"/>
          <w:spacing w:val="-26"/>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地表水环境影响评价自查表</w:t>
      </w:r>
    </w:p>
    <w:p>
      <w:pPr>
        <w:spacing w:line="148" w:lineRule="exact"/>
      </w:pPr>
    </w:p>
    <w:tbl>
      <w:tblPr>
        <w:tblStyle w:val="5"/>
        <w:tblW w:w="91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7"/>
        <w:gridCol w:w="947"/>
        <w:gridCol w:w="1989"/>
        <w:gridCol w:w="2188"/>
        <w:gridCol w:w="1416"/>
        <w:gridCol w:w="2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84" w:type="dxa"/>
            <w:gridSpan w:val="2"/>
            <w:vAlign w:val="top"/>
          </w:tcPr>
          <w:p>
            <w:pPr>
              <w:pStyle w:val="6"/>
              <w:spacing w:before="55" w:line="221" w:lineRule="auto"/>
              <w:ind w:left="279"/>
            </w:pPr>
            <w:r>
              <w:rPr>
                <w:spacing w:val="-2"/>
              </w:rPr>
              <w:t>工作内容</w:t>
            </w:r>
          </w:p>
        </w:tc>
        <w:tc>
          <w:tcPr>
            <w:tcW w:w="7718" w:type="dxa"/>
            <w:gridSpan w:val="4"/>
            <w:vAlign w:val="top"/>
          </w:tcPr>
          <w:p>
            <w:pPr>
              <w:pStyle w:val="6"/>
              <w:spacing w:before="55" w:line="221" w:lineRule="auto"/>
              <w:ind w:left="3478"/>
            </w:pPr>
            <w:r>
              <w:rPr>
                <w:spacing w:val="-10"/>
              </w:rPr>
              <w:t>自查项目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7" w:type="dxa"/>
            <w:vMerge w:val="restart"/>
            <w:tcBorders>
              <w:bottom w:val="nil"/>
            </w:tcBorders>
            <w:textDirection w:val="tbRlV"/>
            <w:vAlign w:val="top"/>
          </w:tcPr>
          <w:p>
            <w:pPr>
              <w:pStyle w:val="6"/>
              <w:spacing w:before="113" w:line="209" w:lineRule="auto"/>
              <w:ind w:left="1162"/>
            </w:pPr>
            <w:r>
              <w:t>影 响</w:t>
            </w:r>
            <w:r>
              <w:rPr>
                <w:spacing w:val="-5"/>
              </w:rPr>
              <w:t xml:space="preserve"> </w:t>
            </w:r>
            <w:r>
              <w:t>识</w:t>
            </w:r>
            <w:r>
              <w:rPr>
                <w:spacing w:val="-4"/>
              </w:rPr>
              <w:t xml:space="preserve"> </w:t>
            </w:r>
            <w:r>
              <w:t>别</w:t>
            </w:r>
          </w:p>
        </w:tc>
        <w:tc>
          <w:tcPr>
            <w:tcW w:w="947" w:type="dxa"/>
            <w:vAlign w:val="top"/>
          </w:tcPr>
          <w:p>
            <w:pPr>
              <w:pStyle w:val="6"/>
              <w:spacing w:before="51" w:line="249" w:lineRule="auto"/>
              <w:ind w:left="376" w:right="155" w:hanging="215"/>
            </w:pPr>
            <w:r>
              <w:rPr>
                <w:spacing w:val="-2"/>
              </w:rPr>
              <w:t>影响类</w:t>
            </w:r>
            <w:r>
              <w:t xml:space="preserve"> 型</w:t>
            </w:r>
          </w:p>
        </w:tc>
        <w:tc>
          <w:tcPr>
            <w:tcW w:w="7718" w:type="dxa"/>
            <w:gridSpan w:val="4"/>
            <w:vAlign w:val="top"/>
          </w:tcPr>
          <w:p>
            <w:pPr>
              <w:pStyle w:val="6"/>
              <w:spacing w:before="214" w:line="221" w:lineRule="auto"/>
              <w:ind w:left="114"/>
              <w:rPr>
                <w:rFonts w:ascii="Segoe UI Symbol" w:hAnsi="Segoe UI Symbol" w:eastAsia="Segoe UI Symbol" w:cs="Segoe UI Symbol"/>
              </w:rPr>
            </w:pPr>
            <w:r>
              <w:rPr>
                <w:spacing w:val="-4"/>
              </w:rPr>
              <w:t xml:space="preserve">水污染影响型 </w:t>
            </w:r>
            <w:r>
              <w:rPr>
                <w:rFonts w:ascii="Segoe UI Symbol" w:hAnsi="Segoe UI Symbol" w:eastAsia="Segoe UI Symbol" w:cs="Segoe UI Symbol"/>
                <w:spacing w:val="-4"/>
              </w:rPr>
              <w:t>☑</w:t>
            </w:r>
            <w:r>
              <w:rPr>
                <w:spacing w:val="-4"/>
              </w:rPr>
              <w:t>;</w:t>
            </w:r>
            <w:r>
              <w:rPr>
                <w:spacing w:val="59"/>
              </w:rPr>
              <w:t xml:space="preserve"> </w:t>
            </w:r>
            <w:r>
              <w:rPr>
                <w:spacing w:val="-4"/>
              </w:rPr>
              <w:t>水文要素影响型</w:t>
            </w:r>
            <w:r>
              <w:rPr>
                <w:spacing w:val="15"/>
              </w:rPr>
              <w:t xml:space="preserve"> </w:t>
            </w:r>
            <w:r>
              <w:rPr>
                <w:rFonts w:ascii="Segoe UI Symbol" w:hAnsi="Segoe UI Symbol" w:eastAsia="Segoe UI Symbol" w:cs="Segoe UI Symbol"/>
                <w:spacing w:val="-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37" w:type="dxa"/>
            <w:vMerge w:val="continue"/>
            <w:tcBorders>
              <w:top w:val="nil"/>
              <w:bottom w:val="nil"/>
            </w:tcBorders>
            <w:textDirection w:val="tbRlV"/>
            <w:vAlign w:val="top"/>
          </w:tcPr>
          <w:p>
            <w:pPr>
              <w:rPr>
                <w:rFonts w:ascii="Arial"/>
                <w:sz w:val="21"/>
              </w:rPr>
            </w:pPr>
          </w:p>
        </w:tc>
        <w:tc>
          <w:tcPr>
            <w:tcW w:w="947" w:type="dxa"/>
            <w:vAlign w:val="top"/>
          </w:tcPr>
          <w:p>
            <w:pPr>
              <w:pStyle w:val="6"/>
              <w:spacing w:before="207" w:line="221" w:lineRule="auto"/>
              <w:ind w:left="163"/>
            </w:pPr>
            <w:r>
              <w:rPr>
                <w:spacing w:val="-2"/>
              </w:rPr>
              <w:t>水环境</w:t>
            </w:r>
          </w:p>
          <w:p>
            <w:pPr>
              <w:pStyle w:val="6"/>
              <w:spacing w:before="61" w:line="221" w:lineRule="auto"/>
              <w:ind w:left="162"/>
            </w:pPr>
            <w:r>
              <w:rPr>
                <w:spacing w:val="-2"/>
              </w:rPr>
              <w:t>保护目</w:t>
            </w:r>
          </w:p>
          <w:p>
            <w:pPr>
              <w:pStyle w:val="6"/>
              <w:spacing w:before="60" w:line="221" w:lineRule="auto"/>
              <w:ind w:left="371"/>
            </w:pPr>
            <w:r>
              <w:t>标</w:t>
            </w:r>
          </w:p>
        </w:tc>
        <w:tc>
          <w:tcPr>
            <w:tcW w:w="7718" w:type="dxa"/>
            <w:gridSpan w:val="4"/>
            <w:vAlign w:val="top"/>
          </w:tcPr>
          <w:p>
            <w:pPr>
              <w:pStyle w:val="6"/>
              <w:spacing w:before="52" w:line="234" w:lineRule="auto"/>
              <w:ind w:left="111"/>
            </w:pPr>
            <w:r>
              <w:rPr>
                <w:spacing w:val="1"/>
              </w:rPr>
              <w:t xml:space="preserve">饮用水水源保护区 </w:t>
            </w:r>
            <w:r>
              <w:rPr>
                <w:rFonts w:ascii="Times New Roman" w:hAnsi="Times New Roman" w:eastAsia="Times New Roman" w:cs="Times New Roman"/>
                <w:spacing w:val="1"/>
              </w:rPr>
              <w:t>□</w:t>
            </w:r>
            <w:r>
              <w:rPr>
                <w:spacing w:val="1"/>
              </w:rPr>
              <w:t xml:space="preserve">;饮用水取水口 </w:t>
            </w:r>
            <w:r>
              <w:rPr>
                <w:rFonts w:ascii="Times New Roman" w:hAnsi="Times New Roman" w:eastAsia="Times New Roman" w:cs="Times New Roman"/>
                <w:spacing w:val="1"/>
              </w:rPr>
              <w:t>□</w:t>
            </w:r>
            <w:r>
              <w:rPr>
                <w:spacing w:val="1"/>
              </w:rPr>
              <w:t>;</w:t>
            </w:r>
            <w:r>
              <w:rPr>
                <w:spacing w:val="72"/>
              </w:rPr>
              <w:t xml:space="preserve"> </w:t>
            </w:r>
            <w:r>
              <w:rPr>
                <w:spacing w:val="1"/>
              </w:rPr>
              <w:t xml:space="preserve">涉水的自然保护区 </w:t>
            </w:r>
            <w:r>
              <w:rPr>
                <w:rFonts w:ascii="Times New Roman" w:hAnsi="Times New Roman" w:eastAsia="Times New Roman" w:cs="Times New Roman"/>
                <w:spacing w:val="1"/>
              </w:rPr>
              <w:t>□</w:t>
            </w:r>
            <w:r>
              <w:rPr>
                <w:spacing w:val="1"/>
              </w:rPr>
              <w:t>;</w:t>
            </w:r>
          </w:p>
          <w:p>
            <w:pPr>
              <w:pStyle w:val="6"/>
              <w:spacing w:before="46" w:line="247" w:lineRule="auto"/>
              <w:ind w:left="111" w:right="161" w:firstLine="1"/>
            </w:pPr>
            <w:r>
              <w:rPr>
                <w:spacing w:val="3"/>
              </w:rPr>
              <w:t xml:space="preserve">重要湿地 </w:t>
            </w:r>
            <w:r>
              <w:drawing>
                <wp:inline distT="0" distB="0" distL="0" distR="0">
                  <wp:extent cx="104140" cy="10414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493"/>
                          <a:stretch>
                            <a:fillRect/>
                          </a:stretch>
                        </pic:blipFill>
                        <pic:spPr>
                          <a:xfrm>
                            <a:off x="0" y="0"/>
                            <a:ext cx="104473" cy="104205"/>
                          </a:xfrm>
                          <a:prstGeom prst="rect">
                            <a:avLst/>
                          </a:prstGeom>
                        </pic:spPr>
                      </pic:pic>
                    </a:graphicData>
                  </a:graphic>
                </wp:inline>
              </w:drawing>
            </w:r>
            <w:r>
              <w:rPr>
                <w:spacing w:val="3"/>
              </w:rPr>
              <w:t xml:space="preserve">；重点保护与珍稀水生生物的栖息地 </w:t>
            </w:r>
            <w:r>
              <w:rPr>
                <w:rFonts w:ascii="Times New Roman" w:hAnsi="Times New Roman" w:eastAsia="Times New Roman" w:cs="Times New Roman"/>
                <w:spacing w:val="3"/>
              </w:rPr>
              <w:t>□</w:t>
            </w:r>
            <w:r>
              <w:rPr>
                <w:spacing w:val="3"/>
              </w:rPr>
              <w:t xml:space="preserve">;重要水生生物的自然产卵场 </w:t>
            </w:r>
            <w:r>
              <w:t xml:space="preserve">及索饵场、越冬场和洄游通道、天然渔场等渔业水体 </w:t>
            </w:r>
            <w:r>
              <w:drawing>
                <wp:inline distT="0" distB="0" distL="0" distR="0">
                  <wp:extent cx="104140" cy="10414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494"/>
                          <a:stretch>
                            <a:fillRect/>
                          </a:stretch>
                        </pic:blipFill>
                        <pic:spPr>
                          <a:xfrm>
                            <a:off x="0" y="0"/>
                            <a:ext cx="104473" cy="104205"/>
                          </a:xfrm>
                          <a:prstGeom prst="rect">
                            <a:avLst/>
                          </a:prstGeom>
                        </pic:spPr>
                      </pic:pic>
                    </a:graphicData>
                  </a:graphic>
                </wp:inline>
              </w:drawing>
            </w:r>
            <w:r>
              <w:t>；</w:t>
            </w:r>
          </w:p>
          <w:p>
            <w:pPr>
              <w:pStyle w:val="6"/>
              <w:spacing w:before="61" w:line="223" w:lineRule="auto"/>
              <w:ind w:left="113"/>
              <w:rPr>
                <w:rFonts w:ascii="Times New Roman" w:hAnsi="Times New Roman" w:eastAsia="Times New Roman" w:cs="Times New Roman"/>
              </w:rPr>
            </w:pPr>
            <w:r>
              <w:rPr>
                <w:spacing w:val="6"/>
              </w:rPr>
              <w:t xml:space="preserve">涉水的风景名胜区 </w:t>
            </w:r>
            <w:r>
              <w:rPr>
                <w:rFonts w:ascii="Times New Roman" w:hAnsi="Times New Roman" w:eastAsia="Times New Roman" w:cs="Times New Roman"/>
                <w:spacing w:val="6"/>
              </w:rPr>
              <w:t>□</w:t>
            </w:r>
            <w:r>
              <w:rPr>
                <w:spacing w:val="6"/>
              </w:rPr>
              <w:t>;其他</w:t>
            </w:r>
            <w:r>
              <w:rPr>
                <w:spacing w:val="28"/>
              </w:rPr>
              <w:t xml:space="preserve"> </w:t>
            </w:r>
            <w:r>
              <w:rPr>
                <w:rFonts w:ascii="Times New Roman" w:hAnsi="Times New Roman" w:eastAsia="Times New Roman" w:cs="Times New Roman"/>
                <w:spacing w:val="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37" w:type="dxa"/>
            <w:vMerge w:val="continue"/>
            <w:tcBorders>
              <w:top w:val="nil"/>
              <w:bottom w:val="nil"/>
            </w:tcBorders>
            <w:textDirection w:val="tbRlV"/>
            <w:vAlign w:val="top"/>
          </w:tcPr>
          <w:p>
            <w:pPr>
              <w:rPr>
                <w:rFonts w:ascii="Arial"/>
                <w:sz w:val="21"/>
              </w:rPr>
            </w:pPr>
          </w:p>
        </w:tc>
        <w:tc>
          <w:tcPr>
            <w:tcW w:w="947" w:type="dxa"/>
            <w:vMerge w:val="restart"/>
            <w:tcBorders>
              <w:bottom w:val="nil"/>
            </w:tcBorders>
            <w:vAlign w:val="top"/>
          </w:tcPr>
          <w:p>
            <w:pPr>
              <w:pStyle w:val="6"/>
              <w:spacing w:before="58" w:line="247" w:lineRule="auto"/>
              <w:ind w:left="369" w:right="155" w:hanging="208"/>
            </w:pPr>
            <w:r>
              <w:rPr>
                <w:spacing w:val="-2"/>
              </w:rPr>
              <w:t>影响途</w:t>
            </w:r>
            <w:r>
              <w:t xml:space="preserve"> 径</w:t>
            </w:r>
          </w:p>
        </w:tc>
        <w:tc>
          <w:tcPr>
            <w:tcW w:w="4177" w:type="dxa"/>
            <w:gridSpan w:val="2"/>
            <w:vAlign w:val="top"/>
          </w:tcPr>
          <w:p>
            <w:pPr>
              <w:pStyle w:val="6"/>
              <w:spacing w:before="52" w:line="221" w:lineRule="auto"/>
              <w:ind w:left="1466"/>
            </w:pPr>
            <w:r>
              <w:rPr>
                <w:spacing w:val="-2"/>
              </w:rPr>
              <w:t>水污染影响型</w:t>
            </w:r>
          </w:p>
        </w:tc>
        <w:tc>
          <w:tcPr>
            <w:tcW w:w="3541" w:type="dxa"/>
            <w:gridSpan w:val="2"/>
            <w:vAlign w:val="top"/>
          </w:tcPr>
          <w:p>
            <w:pPr>
              <w:pStyle w:val="6"/>
              <w:spacing w:before="52" w:line="221" w:lineRule="auto"/>
              <w:ind w:left="1040"/>
            </w:pPr>
            <w:r>
              <w:rPr>
                <w:spacing w:val="-2"/>
              </w:rPr>
              <w:t>水文要素影响型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37" w:type="dxa"/>
            <w:vMerge w:val="continue"/>
            <w:tcBorders>
              <w:top w:val="nil"/>
              <w:bottom w:val="nil"/>
            </w:tcBorders>
            <w:textDirection w:val="tbRlV"/>
            <w:vAlign w:val="top"/>
          </w:tcPr>
          <w:p>
            <w:pPr>
              <w:rPr>
                <w:rFonts w:ascii="Arial"/>
                <w:sz w:val="21"/>
              </w:rPr>
            </w:pPr>
          </w:p>
        </w:tc>
        <w:tc>
          <w:tcPr>
            <w:tcW w:w="947" w:type="dxa"/>
            <w:vMerge w:val="continue"/>
            <w:tcBorders>
              <w:top w:val="nil"/>
            </w:tcBorders>
            <w:vAlign w:val="top"/>
          </w:tcPr>
          <w:p>
            <w:pPr>
              <w:rPr>
                <w:rFonts w:ascii="Arial"/>
                <w:sz w:val="21"/>
              </w:rPr>
            </w:pPr>
          </w:p>
        </w:tc>
        <w:tc>
          <w:tcPr>
            <w:tcW w:w="4177" w:type="dxa"/>
            <w:gridSpan w:val="2"/>
            <w:vAlign w:val="top"/>
          </w:tcPr>
          <w:p>
            <w:pPr>
              <w:pStyle w:val="6"/>
              <w:spacing w:before="60" w:line="204" w:lineRule="auto"/>
              <w:ind w:left="113"/>
              <w:rPr>
                <w:rFonts w:ascii="Times New Roman" w:hAnsi="Times New Roman" w:eastAsia="Times New Roman" w:cs="Times New Roman"/>
              </w:rPr>
            </w:pPr>
            <w:r>
              <w:rPr>
                <w:spacing w:val="11"/>
              </w:rPr>
              <w:t xml:space="preserve">直接排放 </w:t>
            </w:r>
            <w:r>
              <w:rPr>
                <w:rFonts w:ascii="Times New Roman" w:hAnsi="Times New Roman" w:eastAsia="Times New Roman" w:cs="Times New Roman"/>
                <w:spacing w:val="11"/>
              </w:rPr>
              <w:t>□</w:t>
            </w:r>
            <w:r>
              <w:rPr>
                <w:spacing w:val="11"/>
              </w:rPr>
              <w:t xml:space="preserve">;间接排放 </w:t>
            </w:r>
            <w:r>
              <w:rPr>
                <w:rFonts w:ascii="Segoe UI Symbol" w:hAnsi="Segoe UI Symbol" w:eastAsia="Segoe UI Symbol" w:cs="Segoe UI Symbol"/>
                <w:spacing w:val="11"/>
              </w:rPr>
              <w:t>☑</w:t>
            </w:r>
            <w:r>
              <w:rPr>
                <w:spacing w:val="11"/>
              </w:rPr>
              <w:t>;其他</w:t>
            </w:r>
            <w:r>
              <w:rPr>
                <w:spacing w:val="29"/>
              </w:rPr>
              <w:t xml:space="preserve"> </w:t>
            </w:r>
            <w:r>
              <w:rPr>
                <w:rFonts w:ascii="Times New Roman" w:hAnsi="Times New Roman" w:eastAsia="Times New Roman" w:cs="Times New Roman"/>
                <w:spacing w:val="11"/>
              </w:rPr>
              <w:t>□</w:t>
            </w:r>
          </w:p>
        </w:tc>
        <w:tc>
          <w:tcPr>
            <w:tcW w:w="3541" w:type="dxa"/>
            <w:gridSpan w:val="2"/>
            <w:vAlign w:val="top"/>
          </w:tcPr>
          <w:p>
            <w:pPr>
              <w:pStyle w:val="6"/>
              <w:spacing w:before="60" w:line="204" w:lineRule="auto"/>
              <w:ind w:left="116"/>
              <w:rPr>
                <w:rFonts w:ascii="Segoe UI Symbol" w:hAnsi="Segoe UI Symbol" w:eastAsia="Segoe UI Symbol" w:cs="Segoe UI Symbol"/>
              </w:rPr>
            </w:pPr>
            <w:r>
              <w:rPr>
                <w:spacing w:val="13"/>
              </w:rPr>
              <w:t xml:space="preserve">水温 </w:t>
            </w:r>
            <w:r>
              <w:rPr>
                <w:rFonts w:ascii="Times New Roman" w:hAnsi="Times New Roman" w:eastAsia="Times New Roman" w:cs="Times New Roman"/>
                <w:spacing w:val="13"/>
              </w:rPr>
              <w:t>□</w:t>
            </w:r>
            <w:r>
              <w:rPr>
                <w:spacing w:val="13"/>
              </w:rPr>
              <w:t xml:space="preserve">;径流 </w:t>
            </w:r>
            <w:r>
              <w:rPr>
                <w:rFonts w:ascii="Times New Roman" w:hAnsi="Times New Roman" w:eastAsia="Times New Roman" w:cs="Times New Roman"/>
                <w:spacing w:val="13"/>
              </w:rPr>
              <w:t>□</w:t>
            </w:r>
            <w:r>
              <w:rPr>
                <w:spacing w:val="13"/>
              </w:rPr>
              <w:t>;水域面积</w:t>
            </w:r>
            <w:r>
              <w:rPr>
                <w:spacing w:val="23"/>
              </w:rPr>
              <w:t xml:space="preserve"> </w:t>
            </w:r>
            <w:r>
              <w:rPr>
                <w:rFonts w:ascii="Segoe UI Symbol" w:hAnsi="Segoe UI Symbol" w:eastAsia="Segoe UI Symbol" w:cs="Segoe UI Symbol"/>
                <w:spacing w:val="1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37" w:type="dxa"/>
            <w:vMerge w:val="continue"/>
            <w:tcBorders>
              <w:top w:val="nil"/>
            </w:tcBorders>
            <w:textDirection w:val="tbRlV"/>
            <w:vAlign w:val="top"/>
          </w:tcPr>
          <w:p>
            <w:pPr>
              <w:rPr>
                <w:rFonts w:ascii="Arial"/>
                <w:sz w:val="21"/>
              </w:rPr>
            </w:pPr>
          </w:p>
        </w:tc>
        <w:tc>
          <w:tcPr>
            <w:tcW w:w="947" w:type="dxa"/>
            <w:vAlign w:val="top"/>
          </w:tcPr>
          <w:p>
            <w:pPr>
              <w:pStyle w:val="6"/>
              <w:spacing w:before="212" w:line="248" w:lineRule="auto"/>
              <w:ind w:left="370" w:right="155" w:hanging="209"/>
            </w:pPr>
            <w:r>
              <w:rPr>
                <w:spacing w:val="-2"/>
              </w:rPr>
              <w:t>影响因</w:t>
            </w:r>
            <w:r>
              <w:t xml:space="preserve"> 子</w:t>
            </w:r>
          </w:p>
        </w:tc>
        <w:tc>
          <w:tcPr>
            <w:tcW w:w="4177" w:type="dxa"/>
            <w:gridSpan w:val="2"/>
            <w:vAlign w:val="top"/>
          </w:tcPr>
          <w:p>
            <w:pPr>
              <w:pStyle w:val="6"/>
              <w:spacing w:before="56" w:line="241" w:lineRule="auto"/>
              <w:ind w:left="114" w:right="108"/>
            </w:pPr>
            <w:r>
              <w:rPr>
                <w:spacing w:val="-8"/>
              </w:rPr>
              <w:t xml:space="preserve">持久性污染物 </w:t>
            </w:r>
            <w:r>
              <w:rPr>
                <w:rFonts w:ascii="Times New Roman" w:hAnsi="Times New Roman" w:eastAsia="Times New Roman" w:cs="Times New Roman"/>
                <w:spacing w:val="-8"/>
              </w:rPr>
              <w:t>□</w:t>
            </w:r>
            <w:r>
              <w:rPr>
                <w:spacing w:val="-8"/>
              </w:rPr>
              <w:t>;</w:t>
            </w:r>
            <w:r>
              <w:rPr>
                <w:spacing w:val="35"/>
              </w:rPr>
              <w:t xml:space="preserve"> </w:t>
            </w:r>
            <w:r>
              <w:rPr>
                <w:spacing w:val="-8"/>
              </w:rPr>
              <w:t>有毒有害污染物</w:t>
            </w:r>
            <w:r>
              <w:rPr>
                <w:spacing w:val="16"/>
              </w:rPr>
              <w:t xml:space="preserve"> </w:t>
            </w:r>
            <w:r>
              <w:rPr>
                <w:rFonts w:ascii="Times New Roman" w:hAnsi="Times New Roman" w:eastAsia="Times New Roman" w:cs="Times New Roman"/>
                <w:spacing w:val="-8"/>
              </w:rPr>
              <w:t>□</w:t>
            </w:r>
            <w:r>
              <w:rPr>
                <w:spacing w:val="-8"/>
              </w:rPr>
              <w:t>;</w:t>
            </w:r>
            <w:r>
              <w:rPr>
                <w:spacing w:val="23"/>
              </w:rPr>
              <w:t xml:space="preserve"> </w:t>
            </w:r>
            <w:r>
              <w:rPr>
                <w:spacing w:val="-8"/>
              </w:rPr>
              <w:t>非持</w:t>
            </w:r>
            <w:r>
              <w:t xml:space="preserve"> </w:t>
            </w:r>
            <w:r>
              <w:rPr>
                <w:spacing w:val="-8"/>
              </w:rPr>
              <w:t>久性污染物</w:t>
            </w:r>
            <w:r>
              <w:rPr>
                <w:spacing w:val="22"/>
              </w:rPr>
              <w:t xml:space="preserve"> </w:t>
            </w:r>
            <w:r>
              <w:rPr>
                <w:rFonts w:ascii="Segoe UI Symbol" w:hAnsi="Segoe UI Symbol" w:eastAsia="Segoe UI Symbol" w:cs="Segoe UI Symbol"/>
                <w:spacing w:val="-8"/>
              </w:rPr>
              <w:t>☑</w:t>
            </w:r>
            <w:r>
              <w:rPr>
                <w:spacing w:val="-8"/>
              </w:rPr>
              <w:t>;</w:t>
            </w:r>
            <w:r>
              <w:rPr>
                <w:spacing w:val="50"/>
              </w:rPr>
              <w:t xml:space="preserve"> </w:t>
            </w:r>
            <w:r>
              <w:rPr>
                <w:rFonts w:ascii="Times New Roman" w:hAnsi="Times New Roman" w:eastAsia="Times New Roman" w:cs="Times New Roman"/>
                <w:spacing w:val="-8"/>
              </w:rPr>
              <w:t>pH</w:t>
            </w:r>
            <w:r>
              <w:rPr>
                <w:spacing w:val="-8"/>
              </w:rPr>
              <w:t>值</w:t>
            </w:r>
            <w:r>
              <w:rPr>
                <w:spacing w:val="15"/>
              </w:rPr>
              <w:t xml:space="preserve"> </w:t>
            </w:r>
            <w:r>
              <w:rPr>
                <w:rFonts w:ascii="Segoe UI Symbol" w:hAnsi="Segoe UI Symbol" w:eastAsia="Segoe UI Symbol" w:cs="Segoe UI Symbol"/>
                <w:spacing w:val="-8"/>
              </w:rPr>
              <w:t>☑</w:t>
            </w:r>
            <w:r>
              <w:rPr>
                <w:spacing w:val="-8"/>
              </w:rPr>
              <w:t>;</w:t>
            </w:r>
          </w:p>
          <w:p>
            <w:pPr>
              <w:pStyle w:val="6"/>
              <w:spacing w:before="61" w:line="222" w:lineRule="auto"/>
              <w:ind w:left="116"/>
              <w:rPr>
                <w:rFonts w:ascii="Times New Roman" w:hAnsi="Times New Roman" w:eastAsia="Times New Roman" w:cs="Times New Roman"/>
              </w:rPr>
            </w:pPr>
            <w:r>
              <w:rPr>
                <w:spacing w:val="-10"/>
              </w:rPr>
              <w:t xml:space="preserve">热污染 </w:t>
            </w:r>
            <w:r>
              <w:rPr>
                <w:rFonts w:ascii="Times New Roman" w:hAnsi="Times New Roman" w:eastAsia="Times New Roman" w:cs="Times New Roman"/>
                <w:spacing w:val="-10"/>
              </w:rPr>
              <w:t>□</w:t>
            </w:r>
            <w:r>
              <w:rPr>
                <w:spacing w:val="-10"/>
              </w:rPr>
              <w:t>;</w:t>
            </w:r>
            <w:r>
              <w:rPr>
                <w:spacing w:val="70"/>
              </w:rPr>
              <w:t xml:space="preserve"> </w:t>
            </w:r>
            <w:r>
              <w:rPr>
                <w:spacing w:val="-10"/>
              </w:rPr>
              <w:t>富营养化</w:t>
            </w:r>
            <w:r>
              <w:rPr>
                <w:spacing w:val="13"/>
              </w:rPr>
              <w:t xml:space="preserve"> </w:t>
            </w:r>
            <w:r>
              <w:rPr>
                <w:rFonts w:ascii="Times New Roman" w:hAnsi="Times New Roman" w:eastAsia="Times New Roman" w:cs="Times New Roman"/>
                <w:spacing w:val="-10"/>
              </w:rPr>
              <w:t>□</w:t>
            </w:r>
            <w:r>
              <w:rPr>
                <w:spacing w:val="-10"/>
              </w:rPr>
              <w:t>;</w:t>
            </w:r>
            <w:r>
              <w:rPr>
                <w:spacing w:val="57"/>
              </w:rPr>
              <w:t xml:space="preserve"> </w:t>
            </w:r>
            <w:r>
              <w:rPr>
                <w:spacing w:val="-10"/>
              </w:rPr>
              <w:t>其他</w:t>
            </w:r>
            <w:r>
              <w:rPr>
                <w:spacing w:val="15"/>
              </w:rPr>
              <w:t xml:space="preserve"> </w:t>
            </w:r>
            <w:r>
              <w:rPr>
                <w:rFonts w:ascii="Times New Roman" w:hAnsi="Times New Roman" w:eastAsia="Times New Roman" w:cs="Times New Roman"/>
                <w:spacing w:val="-10"/>
              </w:rPr>
              <w:t>□</w:t>
            </w:r>
          </w:p>
        </w:tc>
        <w:tc>
          <w:tcPr>
            <w:tcW w:w="3541" w:type="dxa"/>
            <w:gridSpan w:val="2"/>
            <w:vAlign w:val="top"/>
          </w:tcPr>
          <w:p>
            <w:pPr>
              <w:pStyle w:val="6"/>
              <w:spacing w:before="213" w:line="234" w:lineRule="auto"/>
              <w:ind w:left="116"/>
            </w:pPr>
            <w:r>
              <w:rPr>
                <w:spacing w:val="10"/>
              </w:rPr>
              <w:t xml:space="preserve">水温 </w:t>
            </w:r>
            <w:r>
              <w:rPr>
                <w:rFonts w:ascii="Times New Roman" w:hAnsi="Times New Roman" w:eastAsia="Times New Roman" w:cs="Times New Roman"/>
                <w:spacing w:val="10"/>
              </w:rPr>
              <w:t>□</w:t>
            </w:r>
            <w:r>
              <w:rPr>
                <w:spacing w:val="10"/>
              </w:rPr>
              <w:t xml:space="preserve">;水位（水深） </w:t>
            </w:r>
            <w:r>
              <w:rPr>
                <w:rFonts w:ascii="Times New Roman" w:hAnsi="Times New Roman" w:eastAsia="Times New Roman" w:cs="Times New Roman"/>
                <w:spacing w:val="10"/>
              </w:rPr>
              <w:t>□</w:t>
            </w:r>
            <w:r>
              <w:rPr>
                <w:spacing w:val="10"/>
              </w:rPr>
              <w:t>;流速</w:t>
            </w:r>
            <w:r>
              <w:rPr>
                <w:spacing w:val="22"/>
              </w:rPr>
              <w:t xml:space="preserve"> </w:t>
            </w:r>
            <w:r>
              <w:rPr>
                <w:rFonts w:ascii="Times New Roman" w:hAnsi="Times New Roman" w:eastAsia="Times New Roman" w:cs="Times New Roman"/>
                <w:spacing w:val="10"/>
              </w:rPr>
              <w:t>□</w:t>
            </w:r>
            <w:r>
              <w:rPr>
                <w:spacing w:val="10"/>
              </w:rPr>
              <w:t>;</w:t>
            </w:r>
          </w:p>
          <w:p>
            <w:pPr>
              <w:pStyle w:val="6"/>
              <w:spacing w:before="52" w:line="220" w:lineRule="auto"/>
              <w:ind w:left="115"/>
              <w:rPr>
                <w:rFonts w:ascii="Segoe UI Symbol" w:hAnsi="Segoe UI Symbol" w:eastAsia="Segoe UI Symbol" w:cs="Segoe UI Symbol"/>
              </w:rPr>
            </w:pPr>
            <w:r>
              <w:rPr>
                <w:spacing w:val="12"/>
              </w:rPr>
              <w:t xml:space="preserve">流量 </w:t>
            </w:r>
            <w:r>
              <w:rPr>
                <w:rFonts w:ascii="Times New Roman" w:hAnsi="Times New Roman" w:eastAsia="Times New Roman" w:cs="Times New Roman"/>
                <w:spacing w:val="12"/>
              </w:rPr>
              <w:t>□</w:t>
            </w:r>
            <w:r>
              <w:rPr>
                <w:spacing w:val="12"/>
              </w:rPr>
              <w:t>;其他</w:t>
            </w:r>
            <w:r>
              <w:rPr>
                <w:spacing w:val="16"/>
              </w:rPr>
              <w:t xml:space="preserve"> </w:t>
            </w:r>
            <w:r>
              <w:rPr>
                <w:rFonts w:ascii="Segoe UI Symbol" w:hAnsi="Segoe UI Symbol" w:eastAsia="Segoe UI Symbol" w:cs="Segoe UI Symbol"/>
                <w:spacing w:val="1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84" w:type="dxa"/>
            <w:gridSpan w:val="2"/>
            <w:vMerge w:val="restart"/>
            <w:tcBorders>
              <w:bottom w:val="nil"/>
            </w:tcBorders>
            <w:vAlign w:val="top"/>
          </w:tcPr>
          <w:p>
            <w:pPr>
              <w:pStyle w:val="6"/>
              <w:spacing w:before="215" w:line="219" w:lineRule="auto"/>
              <w:ind w:left="275"/>
            </w:pPr>
            <w:r>
              <w:rPr>
                <w:spacing w:val="-1"/>
              </w:rPr>
              <w:t>评价等级</w:t>
            </w:r>
          </w:p>
        </w:tc>
        <w:tc>
          <w:tcPr>
            <w:tcW w:w="4177" w:type="dxa"/>
            <w:gridSpan w:val="2"/>
            <w:vAlign w:val="top"/>
          </w:tcPr>
          <w:p>
            <w:pPr>
              <w:pStyle w:val="6"/>
              <w:spacing w:before="54" w:line="221" w:lineRule="auto"/>
              <w:ind w:left="1466"/>
            </w:pPr>
            <w:r>
              <w:rPr>
                <w:spacing w:val="-2"/>
              </w:rPr>
              <w:t>水污染影响型</w:t>
            </w:r>
          </w:p>
        </w:tc>
        <w:tc>
          <w:tcPr>
            <w:tcW w:w="3541" w:type="dxa"/>
            <w:gridSpan w:val="2"/>
            <w:vAlign w:val="top"/>
          </w:tcPr>
          <w:p>
            <w:pPr>
              <w:pStyle w:val="6"/>
              <w:spacing w:before="54" w:line="221" w:lineRule="auto"/>
              <w:ind w:left="1040"/>
            </w:pPr>
            <w:r>
              <w:rPr>
                <w:spacing w:val="-2"/>
              </w:rPr>
              <w:t>水文要素影响型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84" w:type="dxa"/>
            <w:gridSpan w:val="2"/>
            <w:vMerge w:val="continue"/>
            <w:tcBorders>
              <w:top w:val="nil"/>
            </w:tcBorders>
            <w:vAlign w:val="top"/>
          </w:tcPr>
          <w:p>
            <w:pPr>
              <w:rPr>
                <w:rFonts w:ascii="Arial"/>
                <w:sz w:val="21"/>
              </w:rPr>
            </w:pPr>
          </w:p>
        </w:tc>
        <w:tc>
          <w:tcPr>
            <w:tcW w:w="4177" w:type="dxa"/>
            <w:gridSpan w:val="2"/>
            <w:vAlign w:val="top"/>
          </w:tcPr>
          <w:p>
            <w:pPr>
              <w:pStyle w:val="6"/>
              <w:spacing w:before="61" w:line="204" w:lineRule="auto"/>
              <w:ind w:left="115"/>
              <w:rPr>
                <w:rFonts w:ascii="Segoe UI Symbol" w:hAnsi="Segoe UI Symbol" w:eastAsia="Segoe UI Symbol" w:cs="Segoe UI Symbol"/>
              </w:rPr>
            </w:pPr>
            <w:r>
              <w:rPr>
                <w:spacing w:val="15"/>
              </w:rPr>
              <w:t xml:space="preserve">一级 </w:t>
            </w:r>
            <w:r>
              <w:rPr>
                <w:rFonts w:ascii="Times New Roman" w:hAnsi="Times New Roman" w:eastAsia="Times New Roman" w:cs="Times New Roman"/>
                <w:spacing w:val="15"/>
              </w:rPr>
              <w:t>□</w:t>
            </w:r>
            <w:r>
              <w:rPr>
                <w:spacing w:val="15"/>
              </w:rPr>
              <w:t xml:space="preserve">;二级 </w:t>
            </w:r>
            <w:r>
              <w:rPr>
                <w:rFonts w:ascii="Times New Roman" w:hAnsi="Times New Roman" w:eastAsia="Times New Roman" w:cs="Times New Roman"/>
                <w:spacing w:val="15"/>
              </w:rPr>
              <w:t>□</w:t>
            </w:r>
            <w:r>
              <w:rPr>
                <w:spacing w:val="15"/>
              </w:rPr>
              <w:t>;三级</w:t>
            </w:r>
            <w:r>
              <w:rPr>
                <w:rFonts w:ascii="Times New Roman" w:hAnsi="Times New Roman" w:eastAsia="Times New Roman" w:cs="Times New Roman"/>
                <w:spacing w:val="15"/>
              </w:rPr>
              <w:t>A □</w:t>
            </w:r>
            <w:r>
              <w:rPr>
                <w:spacing w:val="15"/>
              </w:rPr>
              <w:t>;三级</w:t>
            </w:r>
            <w:r>
              <w:rPr>
                <w:rFonts w:ascii="Times New Roman" w:hAnsi="Times New Roman" w:eastAsia="Times New Roman" w:cs="Times New Roman"/>
                <w:spacing w:val="15"/>
              </w:rPr>
              <w:t>B</w:t>
            </w:r>
            <w:r>
              <w:rPr>
                <w:rFonts w:ascii="Times New Roman" w:hAnsi="Times New Roman" w:eastAsia="Times New Roman" w:cs="Times New Roman"/>
                <w:spacing w:val="20"/>
                <w:w w:val="101"/>
              </w:rPr>
              <w:t xml:space="preserve"> </w:t>
            </w:r>
            <w:r>
              <w:rPr>
                <w:rFonts w:ascii="Segoe UI Symbol" w:hAnsi="Segoe UI Symbol" w:eastAsia="Segoe UI Symbol" w:cs="Segoe UI Symbol"/>
                <w:spacing w:val="15"/>
              </w:rPr>
              <w:t>☑</w:t>
            </w:r>
          </w:p>
        </w:tc>
        <w:tc>
          <w:tcPr>
            <w:tcW w:w="3541" w:type="dxa"/>
            <w:gridSpan w:val="2"/>
            <w:vAlign w:val="top"/>
          </w:tcPr>
          <w:p>
            <w:pPr>
              <w:pStyle w:val="6"/>
              <w:spacing w:before="61" w:line="204" w:lineRule="auto"/>
              <w:ind w:left="117"/>
              <w:rPr>
                <w:rFonts w:ascii="Segoe UI Symbol" w:hAnsi="Segoe UI Symbol" w:eastAsia="Segoe UI Symbol" w:cs="Segoe UI Symbol"/>
              </w:rPr>
            </w:pPr>
            <w:r>
              <w:rPr>
                <w:spacing w:val="15"/>
              </w:rPr>
              <w:t xml:space="preserve">一级 </w:t>
            </w:r>
            <w:r>
              <w:rPr>
                <w:rFonts w:ascii="Times New Roman" w:hAnsi="Times New Roman" w:eastAsia="Times New Roman" w:cs="Times New Roman"/>
                <w:spacing w:val="15"/>
              </w:rPr>
              <w:t>□</w:t>
            </w:r>
            <w:r>
              <w:rPr>
                <w:spacing w:val="15"/>
              </w:rPr>
              <w:t xml:space="preserve">;二级 </w:t>
            </w:r>
            <w:r>
              <w:rPr>
                <w:rFonts w:ascii="Times New Roman" w:hAnsi="Times New Roman" w:eastAsia="Times New Roman" w:cs="Times New Roman"/>
                <w:spacing w:val="15"/>
              </w:rPr>
              <w:t>□</w:t>
            </w:r>
            <w:r>
              <w:rPr>
                <w:spacing w:val="15"/>
              </w:rPr>
              <w:t>;三级</w:t>
            </w:r>
            <w:r>
              <w:rPr>
                <w:rFonts w:ascii="Segoe UI Symbol" w:hAnsi="Segoe UI Symbol" w:eastAsia="Segoe UI Symbol" w:cs="Segoe UI Symbol"/>
                <w:spacing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37" w:type="dxa"/>
            <w:vMerge w:val="restart"/>
            <w:tcBorders>
              <w:bottom w:val="nil"/>
            </w:tcBorders>
            <w:textDirection w:val="tbRlV"/>
            <w:vAlign w:val="top"/>
          </w:tcPr>
          <w:p>
            <w:pPr>
              <w:pStyle w:val="6"/>
              <w:spacing w:before="112" w:line="209" w:lineRule="auto"/>
              <w:ind w:left="2583"/>
            </w:pPr>
            <w:r>
              <w:t>现 状</w:t>
            </w:r>
            <w:r>
              <w:rPr>
                <w:spacing w:val="-5"/>
              </w:rPr>
              <w:t xml:space="preserve"> </w:t>
            </w:r>
            <w:r>
              <w:t>调</w:t>
            </w:r>
            <w:r>
              <w:rPr>
                <w:spacing w:val="-4"/>
              </w:rPr>
              <w:t xml:space="preserve"> </w:t>
            </w:r>
            <w:r>
              <w:t>查</w:t>
            </w:r>
          </w:p>
        </w:tc>
        <w:tc>
          <w:tcPr>
            <w:tcW w:w="947" w:type="dxa"/>
            <w:vMerge w:val="restart"/>
            <w:tcBorders>
              <w:bottom w:val="nil"/>
            </w:tcBorders>
            <w:vAlign w:val="top"/>
          </w:tcPr>
          <w:p>
            <w:pPr>
              <w:spacing w:line="455" w:lineRule="auto"/>
              <w:rPr>
                <w:rFonts w:ascii="Arial"/>
                <w:sz w:val="21"/>
              </w:rPr>
            </w:pPr>
          </w:p>
          <w:p>
            <w:pPr>
              <w:pStyle w:val="6"/>
              <w:spacing w:before="68" w:line="248" w:lineRule="auto"/>
              <w:ind w:left="270" w:right="155" w:hanging="93"/>
            </w:pPr>
            <w:r>
              <w:rPr>
                <w:spacing w:val="-7"/>
              </w:rPr>
              <w:t>区域污</w:t>
            </w:r>
            <w:r>
              <w:t xml:space="preserve"> </w:t>
            </w:r>
            <w:r>
              <w:rPr>
                <w:spacing w:val="-3"/>
              </w:rPr>
              <w:t>染源</w:t>
            </w:r>
          </w:p>
        </w:tc>
        <w:tc>
          <w:tcPr>
            <w:tcW w:w="4177" w:type="dxa"/>
            <w:gridSpan w:val="2"/>
            <w:vAlign w:val="top"/>
          </w:tcPr>
          <w:p>
            <w:pPr>
              <w:pStyle w:val="6"/>
              <w:spacing w:before="53" w:line="221" w:lineRule="auto"/>
              <w:ind w:left="1676"/>
            </w:pPr>
            <w:r>
              <w:rPr>
                <w:spacing w:val="-2"/>
              </w:rPr>
              <w:t>调查项目</w:t>
            </w:r>
          </w:p>
        </w:tc>
        <w:tc>
          <w:tcPr>
            <w:tcW w:w="3541" w:type="dxa"/>
            <w:gridSpan w:val="2"/>
            <w:vAlign w:val="top"/>
          </w:tcPr>
          <w:p>
            <w:pPr>
              <w:pStyle w:val="6"/>
              <w:spacing w:before="53" w:line="221" w:lineRule="auto"/>
              <w:ind w:left="1357"/>
            </w:pPr>
            <w:r>
              <w:rPr>
                <w:spacing w:val="-2"/>
              </w:rPr>
              <w:t>数据来源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37" w:type="dxa"/>
            <w:vMerge w:val="continue"/>
            <w:tcBorders>
              <w:top w:val="nil"/>
              <w:bottom w:val="nil"/>
            </w:tcBorders>
            <w:textDirection w:val="tbRlV"/>
            <w:vAlign w:val="top"/>
          </w:tcPr>
          <w:p>
            <w:pPr>
              <w:rPr>
                <w:rFonts w:ascii="Arial"/>
                <w:sz w:val="21"/>
              </w:rPr>
            </w:pPr>
          </w:p>
        </w:tc>
        <w:tc>
          <w:tcPr>
            <w:tcW w:w="947" w:type="dxa"/>
            <w:vMerge w:val="continue"/>
            <w:tcBorders>
              <w:top w:val="nil"/>
            </w:tcBorders>
            <w:vAlign w:val="top"/>
          </w:tcPr>
          <w:p>
            <w:pPr>
              <w:rPr>
                <w:rFonts w:ascii="Arial"/>
                <w:sz w:val="21"/>
              </w:rPr>
            </w:pPr>
          </w:p>
        </w:tc>
        <w:tc>
          <w:tcPr>
            <w:tcW w:w="1989" w:type="dxa"/>
            <w:vAlign w:val="top"/>
          </w:tcPr>
          <w:p>
            <w:pPr>
              <w:spacing w:line="296" w:lineRule="auto"/>
              <w:rPr>
                <w:rFonts w:ascii="Arial"/>
                <w:sz w:val="21"/>
              </w:rPr>
            </w:pPr>
          </w:p>
          <w:p>
            <w:pPr>
              <w:pStyle w:val="6"/>
              <w:spacing w:before="68" w:line="253" w:lineRule="auto"/>
              <w:ind w:left="111" w:right="309" w:firstLine="23"/>
              <w:rPr>
                <w:rFonts w:ascii="Times New Roman" w:hAnsi="Times New Roman" w:eastAsia="Times New Roman" w:cs="Times New Roman"/>
              </w:rPr>
            </w:pPr>
            <w:r>
              <w:rPr>
                <w:spacing w:val="-1"/>
              </w:rPr>
              <w:t>已建</w:t>
            </w:r>
            <w:r>
              <w:rPr>
                <w:spacing w:val="17"/>
              </w:rPr>
              <w:t xml:space="preserve"> </w:t>
            </w:r>
            <w:r>
              <w:rPr>
                <w:rFonts w:ascii="Times New Roman" w:hAnsi="Times New Roman" w:eastAsia="Times New Roman" w:cs="Times New Roman"/>
                <w:spacing w:val="-1"/>
              </w:rPr>
              <w:t>□</w:t>
            </w:r>
            <w:r>
              <w:rPr>
                <w:spacing w:val="-1"/>
              </w:rPr>
              <w:t>;在建</w:t>
            </w:r>
            <w:r>
              <w:rPr>
                <w:spacing w:val="16"/>
              </w:rPr>
              <w:t xml:space="preserve"> </w:t>
            </w:r>
            <w:r>
              <w:rPr>
                <w:rFonts w:ascii="Times New Roman" w:hAnsi="Times New Roman" w:eastAsia="Times New Roman" w:cs="Times New Roman"/>
                <w:spacing w:val="-1"/>
              </w:rPr>
              <w:t>□</w:t>
            </w:r>
            <w:r>
              <w:rPr>
                <w:spacing w:val="-1"/>
              </w:rPr>
              <w:t>;</w:t>
            </w:r>
            <w:r>
              <w:t xml:space="preserve"> </w:t>
            </w:r>
            <w:r>
              <w:rPr>
                <w:spacing w:val="12"/>
              </w:rPr>
              <w:t xml:space="preserve">拟建 </w:t>
            </w:r>
            <w:r>
              <w:rPr>
                <w:rFonts w:ascii="Times New Roman" w:hAnsi="Times New Roman" w:eastAsia="Times New Roman" w:cs="Times New Roman"/>
                <w:spacing w:val="12"/>
              </w:rPr>
              <w:t>□</w:t>
            </w:r>
            <w:r>
              <w:rPr>
                <w:spacing w:val="12"/>
              </w:rPr>
              <w:t>;其他</w:t>
            </w:r>
            <w:r>
              <w:rPr>
                <w:spacing w:val="18"/>
              </w:rPr>
              <w:t xml:space="preserve"> </w:t>
            </w:r>
            <w:r>
              <w:rPr>
                <w:rFonts w:ascii="Times New Roman" w:hAnsi="Times New Roman" w:eastAsia="Times New Roman" w:cs="Times New Roman"/>
                <w:spacing w:val="12"/>
              </w:rPr>
              <w:t>□</w:t>
            </w:r>
          </w:p>
        </w:tc>
        <w:tc>
          <w:tcPr>
            <w:tcW w:w="2188" w:type="dxa"/>
            <w:vAlign w:val="top"/>
          </w:tcPr>
          <w:p>
            <w:pPr>
              <w:spacing w:line="450" w:lineRule="auto"/>
              <w:rPr>
                <w:rFonts w:ascii="Arial"/>
                <w:sz w:val="21"/>
              </w:rPr>
            </w:pPr>
          </w:p>
          <w:p>
            <w:pPr>
              <w:pStyle w:val="6"/>
              <w:spacing w:before="68" w:line="233" w:lineRule="auto"/>
              <w:ind w:left="113"/>
              <w:rPr>
                <w:rFonts w:ascii="Times New Roman" w:hAnsi="Times New Roman" w:eastAsia="Times New Roman" w:cs="Times New Roman"/>
              </w:rPr>
            </w:pPr>
            <w:r>
              <w:t xml:space="preserve">拟替代的污染源 </w:t>
            </w:r>
            <w:r>
              <w:rPr>
                <w:rFonts w:ascii="Times New Roman" w:hAnsi="Times New Roman" w:eastAsia="Times New Roman" w:cs="Times New Roman"/>
              </w:rPr>
              <w:t>□</w:t>
            </w:r>
          </w:p>
        </w:tc>
        <w:tc>
          <w:tcPr>
            <w:tcW w:w="3541" w:type="dxa"/>
            <w:gridSpan w:val="2"/>
            <w:vAlign w:val="top"/>
          </w:tcPr>
          <w:p>
            <w:pPr>
              <w:pStyle w:val="6"/>
              <w:spacing w:before="53" w:line="235" w:lineRule="auto"/>
              <w:ind w:left="114"/>
            </w:pPr>
            <w:r>
              <w:rPr>
                <w:spacing w:val="-7"/>
              </w:rPr>
              <w:t xml:space="preserve">排污许可证 </w:t>
            </w:r>
            <w:r>
              <w:rPr>
                <w:rFonts w:ascii="Times New Roman" w:hAnsi="Times New Roman" w:eastAsia="Times New Roman" w:cs="Times New Roman"/>
                <w:spacing w:val="-7"/>
              </w:rPr>
              <w:t>□</w:t>
            </w:r>
            <w:r>
              <w:rPr>
                <w:spacing w:val="-7"/>
              </w:rPr>
              <w:t>;</w:t>
            </w:r>
            <w:r>
              <w:rPr>
                <w:spacing w:val="64"/>
              </w:rPr>
              <w:t xml:space="preserve"> </w:t>
            </w:r>
            <w:r>
              <w:rPr>
                <w:spacing w:val="-7"/>
              </w:rPr>
              <w:t>环评</w:t>
            </w:r>
            <w:r>
              <w:rPr>
                <w:spacing w:val="13"/>
              </w:rPr>
              <w:t xml:space="preserve"> </w:t>
            </w:r>
            <w:r>
              <w:rPr>
                <w:rFonts w:ascii="Times New Roman" w:hAnsi="Times New Roman" w:eastAsia="Times New Roman" w:cs="Times New Roman"/>
                <w:spacing w:val="-7"/>
              </w:rPr>
              <w:t>□</w:t>
            </w:r>
            <w:r>
              <w:rPr>
                <w:spacing w:val="-7"/>
              </w:rPr>
              <w:t>;</w:t>
            </w:r>
          </w:p>
          <w:p>
            <w:pPr>
              <w:pStyle w:val="6"/>
              <w:spacing w:before="44" w:line="231" w:lineRule="auto"/>
              <w:ind w:left="114"/>
            </w:pPr>
            <w:r>
              <w:rPr>
                <w:spacing w:val="6"/>
              </w:rPr>
              <w:t xml:space="preserve">环保验收 </w:t>
            </w:r>
            <w:r>
              <w:rPr>
                <w:rFonts w:ascii="Times New Roman" w:hAnsi="Times New Roman" w:eastAsia="Times New Roman" w:cs="Times New Roman"/>
                <w:spacing w:val="6"/>
              </w:rPr>
              <w:t>□</w:t>
            </w:r>
            <w:r>
              <w:rPr>
                <w:spacing w:val="6"/>
              </w:rPr>
              <w:t>;既有实测</w:t>
            </w:r>
            <w:r>
              <w:rPr>
                <w:spacing w:val="21"/>
              </w:rPr>
              <w:t xml:space="preserve"> </w:t>
            </w:r>
            <w:r>
              <w:rPr>
                <w:rFonts w:ascii="Times New Roman" w:hAnsi="Times New Roman" w:eastAsia="Times New Roman" w:cs="Times New Roman"/>
                <w:spacing w:val="6"/>
              </w:rPr>
              <w:t>□</w:t>
            </w:r>
            <w:r>
              <w:rPr>
                <w:spacing w:val="6"/>
              </w:rPr>
              <w:t>;</w:t>
            </w:r>
          </w:p>
          <w:p>
            <w:pPr>
              <w:pStyle w:val="6"/>
              <w:spacing w:before="49" w:line="248" w:lineRule="auto"/>
              <w:ind w:left="115" w:right="387"/>
              <w:rPr>
                <w:rFonts w:ascii="Times New Roman" w:hAnsi="Times New Roman" w:eastAsia="Times New Roman" w:cs="Times New Roman"/>
              </w:rPr>
            </w:pPr>
            <w:r>
              <w:rPr>
                <w:spacing w:val="2"/>
              </w:rPr>
              <w:t xml:space="preserve">现场监测 </w:t>
            </w:r>
            <w:r>
              <w:rPr>
                <w:rFonts w:ascii="Times New Roman" w:hAnsi="Times New Roman" w:eastAsia="Times New Roman" w:cs="Times New Roman"/>
                <w:spacing w:val="2"/>
              </w:rPr>
              <w:t>□</w:t>
            </w:r>
            <w:r>
              <w:rPr>
                <w:spacing w:val="2"/>
              </w:rPr>
              <w:t>;入河排放口数据</w:t>
            </w:r>
            <w:r>
              <w:rPr>
                <w:spacing w:val="15"/>
              </w:rPr>
              <w:t xml:space="preserve"> </w:t>
            </w:r>
            <w:r>
              <w:rPr>
                <w:rFonts w:ascii="Times New Roman" w:hAnsi="Times New Roman" w:eastAsia="Times New Roman" w:cs="Times New Roman"/>
                <w:spacing w:val="2"/>
              </w:rPr>
              <w:t>□</w:t>
            </w:r>
            <w:r>
              <w:rPr>
                <w:spacing w:val="2"/>
              </w:rPr>
              <w:t>;</w:t>
            </w:r>
            <w:r>
              <w:t xml:space="preserve"> </w:t>
            </w:r>
            <w:r>
              <w:rPr>
                <w:spacing w:val="-3"/>
              </w:rPr>
              <w:t>其他</w:t>
            </w:r>
            <w:r>
              <w:rPr>
                <w:spacing w:val="16"/>
              </w:rPr>
              <w:t xml:space="preserve"> </w:t>
            </w:r>
            <w:r>
              <w:rPr>
                <w:rFonts w:ascii="Times New Roman" w:hAnsi="Times New Roman" w:eastAsia="Times New Roman" w:cs="Times New Roman"/>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37" w:type="dxa"/>
            <w:vMerge w:val="continue"/>
            <w:tcBorders>
              <w:top w:val="nil"/>
              <w:bottom w:val="nil"/>
            </w:tcBorders>
            <w:textDirection w:val="tbRlV"/>
            <w:vAlign w:val="top"/>
          </w:tcPr>
          <w:p>
            <w:pPr>
              <w:rPr>
                <w:rFonts w:ascii="Arial"/>
                <w:sz w:val="21"/>
              </w:rPr>
            </w:pPr>
          </w:p>
        </w:tc>
        <w:tc>
          <w:tcPr>
            <w:tcW w:w="947" w:type="dxa"/>
            <w:vMerge w:val="restart"/>
            <w:tcBorders>
              <w:bottom w:val="nil"/>
            </w:tcBorders>
            <w:vAlign w:val="top"/>
          </w:tcPr>
          <w:p>
            <w:pPr>
              <w:pStyle w:val="6"/>
              <w:spacing w:before="53" w:line="223" w:lineRule="auto"/>
              <w:ind w:left="165"/>
            </w:pPr>
            <w:r>
              <w:rPr>
                <w:spacing w:val="-2"/>
              </w:rPr>
              <w:t>受影响</w:t>
            </w:r>
          </w:p>
          <w:p>
            <w:pPr>
              <w:pStyle w:val="6"/>
              <w:spacing w:before="58" w:line="221" w:lineRule="auto"/>
              <w:ind w:left="163"/>
            </w:pPr>
            <w:r>
              <w:rPr>
                <w:spacing w:val="-2"/>
              </w:rPr>
              <w:t>水体水</w:t>
            </w:r>
          </w:p>
          <w:p>
            <w:pPr>
              <w:pStyle w:val="6"/>
              <w:spacing w:before="61" w:line="221" w:lineRule="auto"/>
              <w:ind w:left="161"/>
            </w:pPr>
            <w:r>
              <w:rPr>
                <w:spacing w:val="-2"/>
              </w:rPr>
              <w:t>环境质</w:t>
            </w:r>
          </w:p>
          <w:p>
            <w:pPr>
              <w:pStyle w:val="6"/>
              <w:spacing w:before="60" w:line="222" w:lineRule="auto"/>
              <w:ind w:left="370"/>
            </w:pPr>
            <w:r>
              <w:t>量</w:t>
            </w:r>
          </w:p>
        </w:tc>
        <w:tc>
          <w:tcPr>
            <w:tcW w:w="4177" w:type="dxa"/>
            <w:gridSpan w:val="2"/>
            <w:vAlign w:val="top"/>
          </w:tcPr>
          <w:p>
            <w:pPr>
              <w:pStyle w:val="6"/>
              <w:spacing w:before="54" w:line="221" w:lineRule="auto"/>
              <w:ind w:left="1676"/>
            </w:pPr>
            <w:r>
              <w:rPr>
                <w:spacing w:val="-2"/>
              </w:rPr>
              <w:t>调查时期</w:t>
            </w:r>
          </w:p>
        </w:tc>
        <w:tc>
          <w:tcPr>
            <w:tcW w:w="3541" w:type="dxa"/>
            <w:gridSpan w:val="2"/>
            <w:vAlign w:val="top"/>
          </w:tcPr>
          <w:p>
            <w:pPr>
              <w:pStyle w:val="6"/>
              <w:spacing w:before="53" w:line="221" w:lineRule="auto"/>
              <w:ind w:left="1357"/>
            </w:pPr>
            <w:r>
              <w:rPr>
                <w:spacing w:val="-2"/>
              </w:rPr>
              <w:t>数据来源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37" w:type="dxa"/>
            <w:vMerge w:val="continue"/>
            <w:tcBorders>
              <w:top w:val="nil"/>
              <w:bottom w:val="nil"/>
            </w:tcBorders>
            <w:textDirection w:val="tbRlV"/>
            <w:vAlign w:val="top"/>
          </w:tcPr>
          <w:p>
            <w:pPr>
              <w:rPr>
                <w:rFonts w:ascii="Arial"/>
                <w:sz w:val="21"/>
              </w:rPr>
            </w:pPr>
          </w:p>
        </w:tc>
        <w:tc>
          <w:tcPr>
            <w:tcW w:w="947" w:type="dxa"/>
            <w:vMerge w:val="continue"/>
            <w:tcBorders>
              <w:top w:val="nil"/>
            </w:tcBorders>
            <w:vAlign w:val="top"/>
          </w:tcPr>
          <w:p>
            <w:pPr>
              <w:rPr>
                <w:rFonts w:ascii="Arial"/>
                <w:sz w:val="21"/>
              </w:rPr>
            </w:pPr>
          </w:p>
        </w:tc>
        <w:tc>
          <w:tcPr>
            <w:tcW w:w="4177" w:type="dxa"/>
            <w:gridSpan w:val="2"/>
            <w:vAlign w:val="top"/>
          </w:tcPr>
          <w:p>
            <w:pPr>
              <w:pStyle w:val="6"/>
              <w:spacing w:before="205" w:line="234" w:lineRule="auto"/>
              <w:ind w:left="112"/>
            </w:pPr>
            <w:r>
              <w:t xml:space="preserve">丰水期 </w:t>
            </w:r>
            <w:r>
              <w:rPr>
                <w:rFonts w:ascii="Times New Roman" w:hAnsi="Times New Roman" w:eastAsia="Times New Roman" w:cs="Times New Roman"/>
              </w:rPr>
              <w:t>□</w:t>
            </w:r>
            <w:r>
              <w:t>;</w:t>
            </w:r>
            <w:r>
              <w:rPr>
                <w:spacing w:val="69"/>
              </w:rPr>
              <w:t xml:space="preserve"> </w:t>
            </w:r>
            <w:r>
              <w:t>平水期</w:t>
            </w:r>
            <w:r>
              <w:rPr>
                <w:spacing w:val="15"/>
              </w:rPr>
              <w:t xml:space="preserve"> </w:t>
            </w:r>
            <w:r>
              <w:rPr>
                <w:rFonts w:ascii="Times New Roman" w:hAnsi="Times New Roman" w:eastAsia="Times New Roman" w:cs="Times New Roman"/>
              </w:rPr>
              <w:t>□</w:t>
            </w:r>
            <w:r>
              <w:t>;枯水期</w:t>
            </w:r>
            <w:r>
              <w:rPr>
                <w:spacing w:val="15"/>
              </w:rPr>
              <w:t xml:space="preserve"> </w:t>
            </w:r>
            <w:r>
              <w:rPr>
                <w:rFonts w:ascii="Times New Roman" w:hAnsi="Times New Roman" w:eastAsia="Times New Roman" w:cs="Times New Roman"/>
              </w:rPr>
              <w:t>□</w:t>
            </w:r>
            <w:r>
              <w:t>;</w:t>
            </w:r>
          </w:p>
          <w:p>
            <w:pPr>
              <w:pStyle w:val="6"/>
              <w:spacing w:before="45" w:line="234" w:lineRule="auto"/>
              <w:ind w:left="111"/>
              <w:rPr>
                <w:rFonts w:ascii="Times New Roman" w:hAnsi="Times New Roman" w:eastAsia="Times New Roman" w:cs="Times New Roman"/>
              </w:rPr>
            </w:pPr>
            <w:r>
              <w:rPr>
                <w:spacing w:val="-12"/>
              </w:rPr>
              <w:t xml:space="preserve">冰封期 </w:t>
            </w:r>
            <w:r>
              <w:rPr>
                <w:rFonts w:ascii="Times New Roman" w:hAnsi="Times New Roman" w:eastAsia="Times New Roman" w:cs="Times New Roman"/>
                <w:spacing w:val="-12"/>
              </w:rPr>
              <w:t>□</w:t>
            </w:r>
            <w:r>
              <w:rPr>
                <w:spacing w:val="-12"/>
              </w:rPr>
              <w:t>春季</w:t>
            </w:r>
            <w:r>
              <w:rPr>
                <w:spacing w:val="25"/>
              </w:rPr>
              <w:t xml:space="preserve"> </w:t>
            </w:r>
            <w:r>
              <w:rPr>
                <w:rFonts w:ascii="Times New Roman" w:hAnsi="Times New Roman" w:eastAsia="Times New Roman" w:cs="Times New Roman"/>
                <w:spacing w:val="-12"/>
              </w:rPr>
              <w:t>□</w:t>
            </w:r>
            <w:r>
              <w:rPr>
                <w:spacing w:val="-12"/>
              </w:rPr>
              <w:t>;</w:t>
            </w:r>
            <w:r>
              <w:rPr>
                <w:spacing w:val="12"/>
              </w:rPr>
              <w:t xml:space="preserve"> </w:t>
            </w:r>
            <w:r>
              <w:rPr>
                <w:spacing w:val="-12"/>
              </w:rPr>
              <w:t>夏季</w:t>
            </w:r>
            <w:r>
              <w:rPr>
                <w:spacing w:val="16"/>
              </w:rPr>
              <w:t xml:space="preserve"> </w:t>
            </w:r>
            <w:r>
              <w:rPr>
                <w:rFonts w:ascii="Times New Roman" w:hAnsi="Times New Roman" w:eastAsia="Times New Roman" w:cs="Times New Roman"/>
                <w:spacing w:val="-12"/>
              </w:rPr>
              <w:t>□</w:t>
            </w:r>
            <w:r>
              <w:rPr>
                <w:spacing w:val="-12"/>
              </w:rPr>
              <w:t>;</w:t>
            </w:r>
            <w:r>
              <w:rPr>
                <w:spacing w:val="14"/>
              </w:rPr>
              <w:t xml:space="preserve"> </w:t>
            </w:r>
            <w:r>
              <w:rPr>
                <w:spacing w:val="-12"/>
              </w:rPr>
              <w:t>秋季</w:t>
            </w:r>
            <w:r>
              <w:rPr>
                <w:spacing w:val="14"/>
              </w:rPr>
              <w:t xml:space="preserve"> </w:t>
            </w:r>
            <w:r>
              <w:rPr>
                <w:rFonts w:ascii="Times New Roman" w:hAnsi="Times New Roman" w:eastAsia="Times New Roman" w:cs="Times New Roman"/>
                <w:spacing w:val="-12"/>
              </w:rPr>
              <w:t>□</w:t>
            </w:r>
            <w:r>
              <w:rPr>
                <w:spacing w:val="-12"/>
              </w:rPr>
              <w:t>;</w:t>
            </w:r>
            <w:r>
              <w:rPr>
                <w:spacing w:val="17"/>
              </w:rPr>
              <w:t xml:space="preserve"> </w:t>
            </w:r>
            <w:r>
              <w:rPr>
                <w:spacing w:val="-12"/>
              </w:rPr>
              <w:t>冬季</w:t>
            </w:r>
            <w:r>
              <w:rPr>
                <w:spacing w:val="16"/>
              </w:rPr>
              <w:t xml:space="preserve"> </w:t>
            </w:r>
            <w:r>
              <w:rPr>
                <w:rFonts w:ascii="Times New Roman" w:hAnsi="Times New Roman" w:eastAsia="Times New Roman" w:cs="Times New Roman"/>
                <w:spacing w:val="-12"/>
              </w:rPr>
              <w:t>□</w:t>
            </w:r>
          </w:p>
        </w:tc>
        <w:tc>
          <w:tcPr>
            <w:tcW w:w="3541" w:type="dxa"/>
            <w:gridSpan w:val="2"/>
            <w:vAlign w:val="top"/>
          </w:tcPr>
          <w:p>
            <w:pPr>
              <w:pStyle w:val="6"/>
              <w:spacing w:before="212" w:line="312" w:lineRule="exact"/>
              <w:ind w:left="116"/>
            </w:pPr>
            <w:r>
              <w:rPr>
                <w:spacing w:val="-1"/>
                <w:position w:val="6"/>
              </w:rPr>
              <w:t xml:space="preserve">生态环境保护主管部门 </w:t>
            </w:r>
            <w:r>
              <w:rPr>
                <w:rFonts w:ascii="Segoe UI Symbol" w:hAnsi="Segoe UI Symbol" w:eastAsia="Segoe UI Symbol" w:cs="Segoe UI Symbol"/>
                <w:spacing w:val="-1"/>
                <w:position w:val="6"/>
              </w:rPr>
              <w:t>☑</w:t>
            </w:r>
            <w:r>
              <w:rPr>
                <w:spacing w:val="-1"/>
                <w:position w:val="6"/>
              </w:rPr>
              <w:t>;</w:t>
            </w:r>
          </w:p>
          <w:p>
            <w:pPr>
              <w:pStyle w:val="6"/>
              <w:spacing w:before="1" w:line="219" w:lineRule="auto"/>
              <w:ind w:left="114"/>
              <w:rPr>
                <w:rFonts w:ascii="Times New Roman" w:hAnsi="Times New Roman" w:eastAsia="Times New Roman" w:cs="Times New Roman"/>
              </w:rPr>
            </w:pPr>
            <w:r>
              <w:rPr>
                <w:spacing w:val="-9"/>
              </w:rPr>
              <w:t>补充监测</w:t>
            </w:r>
            <w:r>
              <w:rPr>
                <w:spacing w:val="18"/>
              </w:rPr>
              <w:t xml:space="preserve"> </w:t>
            </w:r>
            <w:r>
              <w:rPr>
                <w:rFonts w:ascii="Segoe UI Symbol" w:hAnsi="Segoe UI Symbol" w:eastAsia="Segoe UI Symbol" w:cs="Segoe UI Symbol"/>
                <w:spacing w:val="-9"/>
              </w:rPr>
              <w:t>☑</w:t>
            </w:r>
            <w:r>
              <w:rPr>
                <w:spacing w:val="-9"/>
              </w:rPr>
              <w:t>;</w:t>
            </w:r>
            <w:r>
              <w:rPr>
                <w:spacing w:val="57"/>
              </w:rPr>
              <w:t xml:space="preserve"> </w:t>
            </w:r>
            <w:r>
              <w:rPr>
                <w:spacing w:val="-9"/>
              </w:rPr>
              <w:t>其他</w:t>
            </w:r>
            <w:r>
              <w:rPr>
                <w:spacing w:val="13"/>
              </w:rPr>
              <w:t xml:space="preserve"> </w:t>
            </w:r>
            <w:r>
              <w:rPr>
                <w:rFonts w:ascii="Times New Roman" w:hAnsi="Times New Roman" w:eastAsia="Times New Roman" w:cs="Times New Roman"/>
                <w:spacing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37" w:type="dxa"/>
            <w:vMerge w:val="continue"/>
            <w:tcBorders>
              <w:top w:val="nil"/>
              <w:bottom w:val="nil"/>
            </w:tcBorders>
            <w:textDirection w:val="tbRlV"/>
            <w:vAlign w:val="top"/>
          </w:tcPr>
          <w:p>
            <w:pPr>
              <w:rPr>
                <w:rFonts w:ascii="Arial"/>
                <w:sz w:val="21"/>
              </w:rPr>
            </w:pPr>
          </w:p>
        </w:tc>
        <w:tc>
          <w:tcPr>
            <w:tcW w:w="947" w:type="dxa"/>
            <w:vAlign w:val="top"/>
          </w:tcPr>
          <w:p>
            <w:pPr>
              <w:pStyle w:val="6"/>
              <w:spacing w:before="57" w:line="260" w:lineRule="auto"/>
              <w:ind w:left="164" w:right="155" w:firstLine="12"/>
              <w:jc w:val="both"/>
            </w:pPr>
            <w:r>
              <w:rPr>
                <w:spacing w:val="-7"/>
              </w:rPr>
              <w:t>区域水</w:t>
            </w:r>
            <w:r>
              <w:t xml:space="preserve"> </w:t>
            </w:r>
            <w:r>
              <w:rPr>
                <w:spacing w:val="-3"/>
              </w:rPr>
              <w:t>资源开</w:t>
            </w:r>
            <w:r>
              <w:t xml:space="preserve"> </w:t>
            </w:r>
            <w:r>
              <w:rPr>
                <w:spacing w:val="-3"/>
              </w:rPr>
              <w:t>发利用</w:t>
            </w:r>
            <w:r>
              <w:t xml:space="preserve"> </w:t>
            </w:r>
            <w:r>
              <w:rPr>
                <w:spacing w:val="48"/>
              </w:rPr>
              <w:t>状况</w:t>
            </w:r>
          </w:p>
        </w:tc>
        <w:tc>
          <w:tcPr>
            <w:tcW w:w="7718" w:type="dxa"/>
            <w:gridSpan w:val="4"/>
            <w:vAlign w:val="top"/>
          </w:tcPr>
          <w:p>
            <w:pPr>
              <w:spacing w:line="453" w:lineRule="auto"/>
              <w:rPr>
                <w:rFonts w:ascii="Arial"/>
                <w:sz w:val="21"/>
              </w:rPr>
            </w:pPr>
          </w:p>
          <w:p>
            <w:pPr>
              <w:pStyle w:val="6"/>
              <w:spacing w:before="68" w:line="235" w:lineRule="auto"/>
              <w:ind w:left="115"/>
              <w:rPr>
                <w:rFonts w:ascii="Times New Roman" w:hAnsi="Times New Roman" w:eastAsia="Times New Roman" w:cs="Times New Roman"/>
              </w:rPr>
            </w:pPr>
            <w:r>
              <w:rPr>
                <w:spacing w:val="-5"/>
              </w:rPr>
              <w:t xml:space="preserve">未开发 </w:t>
            </w:r>
            <w:r>
              <w:rPr>
                <w:rFonts w:ascii="Times New Roman" w:hAnsi="Times New Roman" w:eastAsia="Times New Roman" w:cs="Times New Roman"/>
                <w:spacing w:val="-5"/>
              </w:rPr>
              <w:t>□</w:t>
            </w:r>
            <w:r>
              <w:rPr>
                <w:spacing w:val="-5"/>
              </w:rPr>
              <w:t>;</w:t>
            </w:r>
            <w:r>
              <w:rPr>
                <w:spacing w:val="65"/>
              </w:rPr>
              <w:t xml:space="preserve"> </w:t>
            </w:r>
            <w:r>
              <w:rPr>
                <w:spacing w:val="-5"/>
              </w:rPr>
              <w:t>开发量</w:t>
            </w:r>
            <w:r>
              <w:rPr>
                <w:rFonts w:ascii="Times New Roman" w:hAnsi="Times New Roman" w:eastAsia="Times New Roman" w:cs="Times New Roman"/>
                <w:spacing w:val="-5"/>
              </w:rPr>
              <w:t>40%</w:t>
            </w:r>
            <w:r>
              <w:rPr>
                <w:spacing w:val="-5"/>
              </w:rPr>
              <w:t xml:space="preserve">以下 </w:t>
            </w:r>
            <w:r>
              <w:rPr>
                <w:rFonts w:ascii="Times New Roman" w:hAnsi="Times New Roman" w:eastAsia="Times New Roman" w:cs="Times New Roman"/>
                <w:spacing w:val="-5"/>
              </w:rPr>
              <w:t>□</w:t>
            </w:r>
            <w:r>
              <w:rPr>
                <w:spacing w:val="-5"/>
              </w:rPr>
              <w:t>;</w:t>
            </w:r>
            <w:r>
              <w:rPr>
                <w:spacing w:val="57"/>
              </w:rPr>
              <w:t xml:space="preserve"> </w:t>
            </w:r>
            <w:r>
              <w:rPr>
                <w:spacing w:val="-5"/>
              </w:rPr>
              <w:t>开发量</w:t>
            </w:r>
            <w:r>
              <w:rPr>
                <w:rFonts w:ascii="Times New Roman" w:hAnsi="Times New Roman" w:eastAsia="Times New Roman" w:cs="Times New Roman"/>
                <w:spacing w:val="-5"/>
              </w:rPr>
              <w:t>40%</w:t>
            </w:r>
            <w:r>
              <w:rPr>
                <w:spacing w:val="-5"/>
              </w:rPr>
              <w:t>以上</w:t>
            </w:r>
            <w:r>
              <w:rPr>
                <w:spacing w:val="13"/>
              </w:rPr>
              <w:t xml:space="preserve"> </w:t>
            </w:r>
            <w:r>
              <w:rPr>
                <w:rFonts w:ascii="Times New Roman" w:hAnsi="Times New Roman" w:eastAsia="Times New Roman" w:cs="Times New Roman"/>
                <w:spacing w:val="-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37" w:type="dxa"/>
            <w:vMerge w:val="continue"/>
            <w:tcBorders>
              <w:top w:val="nil"/>
              <w:bottom w:val="nil"/>
            </w:tcBorders>
            <w:textDirection w:val="tbRlV"/>
            <w:vAlign w:val="top"/>
          </w:tcPr>
          <w:p>
            <w:pPr>
              <w:rPr>
                <w:rFonts w:ascii="Arial"/>
                <w:sz w:val="21"/>
              </w:rPr>
            </w:pPr>
          </w:p>
        </w:tc>
        <w:tc>
          <w:tcPr>
            <w:tcW w:w="947" w:type="dxa"/>
            <w:vMerge w:val="restart"/>
            <w:tcBorders>
              <w:bottom w:val="nil"/>
            </w:tcBorders>
            <w:vAlign w:val="top"/>
          </w:tcPr>
          <w:p>
            <w:pPr>
              <w:pStyle w:val="6"/>
              <w:spacing w:before="218" w:line="247" w:lineRule="auto"/>
              <w:ind w:left="165" w:right="155" w:hanging="2"/>
            </w:pPr>
            <w:r>
              <w:rPr>
                <w:spacing w:val="-3"/>
              </w:rPr>
              <w:t>水文情</w:t>
            </w:r>
            <w:r>
              <w:t xml:space="preserve"> </w:t>
            </w:r>
            <w:r>
              <w:rPr>
                <w:spacing w:val="-4"/>
              </w:rPr>
              <w:t>势调查</w:t>
            </w:r>
          </w:p>
        </w:tc>
        <w:tc>
          <w:tcPr>
            <w:tcW w:w="4177" w:type="dxa"/>
            <w:gridSpan w:val="2"/>
            <w:vAlign w:val="top"/>
          </w:tcPr>
          <w:p>
            <w:pPr>
              <w:pStyle w:val="6"/>
              <w:spacing w:before="57" w:line="221" w:lineRule="auto"/>
              <w:ind w:left="1676"/>
            </w:pPr>
            <w:r>
              <w:rPr>
                <w:spacing w:val="-2"/>
              </w:rPr>
              <w:t>调查时期</w:t>
            </w:r>
          </w:p>
        </w:tc>
        <w:tc>
          <w:tcPr>
            <w:tcW w:w="3541" w:type="dxa"/>
            <w:gridSpan w:val="2"/>
            <w:vAlign w:val="top"/>
          </w:tcPr>
          <w:p>
            <w:pPr>
              <w:pStyle w:val="6"/>
              <w:spacing w:before="56" w:line="221" w:lineRule="auto"/>
              <w:ind w:left="1357"/>
            </w:pPr>
            <w:r>
              <w:rPr>
                <w:spacing w:val="-2"/>
              </w:rPr>
              <w:t>数据来源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7" w:type="dxa"/>
            <w:vMerge w:val="continue"/>
            <w:tcBorders>
              <w:top w:val="nil"/>
              <w:bottom w:val="nil"/>
            </w:tcBorders>
            <w:textDirection w:val="tbRlV"/>
            <w:vAlign w:val="top"/>
          </w:tcPr>
          <w:p>
            <w:pPr>
              <w:rPr>
                <w:rFonts w:ascii="Arial"/>
                <w:sz w:val="21"/>
              </w:rPr>
            </w:pPr>
          </w:p>
        </w:tc>
        <w:tc>
          <w:tcPr>
            <w:tcW w:w="947" w:type="dxa"/>
            <w:vMerge w:val="continue"/>
            <w:tcBorders>
              <w:top w:val="nil"/>
            </w:tcBorders>
            <w:vAlign w:val="top"/>
          </w:tcPr>
          <w:p>
            <w:pPr>
              <w:rPr>
                <w:rFonts w:ascii="Arial"/>
                <w:sz w:val="21"/>
              </w:rPr>
            </w:pPr>
          </w:p>
        </w:tc>
        <w:tc>
          <w:tcPr>
            <w:tcW w:w="4177" w:type="dxa"/>
            <w:gridSpan w:val="2"/>
            <w:vAlign w:val="top"/>
          </w:tcPr>
          <w:p>
            <w:pPr>
              <w:pStyle w:val="6"/>
              <w:spacing w:before="55" w:line="234" w:lineRule="auto"/>
              <w:ind w:left="112"/>
            </w:pPr>
            <w:r>
              <w:t xml:space="preserve">丰水期 </w:t>
            </w:r>
            <w:r>
              <w:rPr>
                <w:rFonts w:ascii="Times New Roman" w:hAnsi="Times New Roman" w:eastAsia="Times New Roman" w:cs="Times New Roman"/>
              </w:rPr>
              <w:t>□</w:t>
            </w:r>
            <w:r>
              <w:t>;</w:t>
            </w:r>
            <w:r>
              <w:rPr>
                <w:spacing w:val="69"/>
              </w:rPr>
              <w:t xml:space="preserve"> </w:t>
            </w:r>
            <w:r>
              <w:t>平水期</w:t>
            </w:r>
            <w:r>
              <w:rPr>
                <w:spacing w:val="15"/>
              </w:rPr>
              <w:t xml:space="preserve"> </w:t>
            </w:r>
            <w:r>
              <w:rPr>
                <w:rFonts w:ascii="Times New Roman" w:hAnsi="Times New Roman" w:eastAsia="Times New Roman" w:cs="Times New Roman"/>
              </w:rPr>
              <w:t>□</w:t>
            </w:r>
            <w:r>
              <w:t>;枯水期</w:t>
            </w:r>
            <w:r>
              <w:rPr>
                <w:spacing w:val="15"/>
              </w:rPr>
              <w:t xml:space="preserve"> </w:t>
            </w:r>
            <w:r>
              <w:rPr>
                <w:rFonts w:ascii="Times New Roman" w:hAnsi="Times New Roman" w:eastAsia="Times New Roman" w:cs="Times New Roman"/>
              </w:rPr>
              <w:t>□</w:t>
            </w:r>
            <w:r>
              <w:t>;</w:t>
            </w:r>
          </w:p>
          <w:p>
            <w:pPr>
              <w:pStyle w:val="6"/>
              <w:spacing w:before="45" w:line="221" w:lineRule="auto"/>
              <w:ind w:left="111"/>
              <w:rPr>
                <w:rFonts w:ascii="Times New Roman" w:hAnsi="Times New Roman" w:eastAsia="Times New Roman" w:cs="Times New Roman"/>
              </w:rPr>
            </w:pPr>
            <w:r>
              <w:rPr>
                <w:spacing w:val="-12"/>
              </w:rPr>
              <w:t xml:space="preserve">冰封期 </w:t>
            </w:r>
            <w:r>
              <w:rPr>
                <w:rFonts w:ascii="Times New Roman" w:hAnsi="Times New Roman" w:eastAsia="Times New Roman" w:cs="Times New Roman"/>
                <w:spacing w:val="-12"/>
              </w:rPr>
              <w:t>□</w:t>
            </w:r>
            <w:r>
              <w:rPr>
                <w:spacing w:val="-12"/>
              </w:rPr>
              <w:t>春季</w:t>
            </w:r>
            <w:r>
              <w:rPr>
                <w:spacing w:val="25"/>
              </w:rPr>
              <w:t xml:space="preserve"> </w:t>
            </w:r>
            <w:r>
              <w:rPr>
                <w:rFonts w:ascii="Times New Roman" w:hAnsi="Times New Roman" w:eastAsia="Times New Roman" w:cs="Times New Roman"/>
                <w:spacing w:val="-12"/>
              </w:rPr>
              <w:t>□</w:t>
            </w:r>
            <w:r>
              <w:rPr>
                <w:spacing w:val="-12"/>
              </w:rPr>
              <w:t>;</w:t>
            </w:r>
            <w:r>
              <w:rPr>
                <w:spacing w:val="12"/>
              </w:rPr>
              <w:t xml:space="preserve"> </w:t>
            </w:r>
            <w:r>
              <w:rPr>
                <w:spacing w:val="-12"/>
              </w:rPr>
              <w:t>夏季</w:t>
            </w:r>
            <w:r>
              <w:rPr>
                <w:spacing w:val="16"/>
              </w:rPr>
              <w:t xml:space="preserve"> </w:t>
            </w:r>
            <w:r>
              <w:rPr>
                <w:rFonts w:ascii="Times New Roman" w:hAnsi="Times New Roman" w:eastAsia="Times New Roman" w:cs="Times New Roman"/>
                <w:spacing w:val="-12"/>
              </w:rPr>
              <w:t>□</w:t>
            </w:r>
            <w:r>
              <w:rPr>
                <w:spacing w:val="-12"/>
              </w:rPr>
              <w:t>;</w:t>
            </w:r>
            <w:r>
              <w:rPr>
                <w:spacing w:val="14"/>
              </w:rPr>
              <w:t xml:space="preserve"> </w:t>
            </w:r>
            <w:r>
              <w:rPr>
                <w:spacing w:val="-12"/>
              </w:rPr>
              <w:t>秋季</w:t>
            </w:r>
            <w:r>
              <w:rPr>
                <w:spacing w:val="14"/>
              </w:rPr>
              <w:t xml:space="preserve"> </w:t>
            </w:r>
            <w:r>
              <w:rPr>
                <w:rFonts w:ascii="Times New Roman" w:hAnsi="Times New Roman" w:eastAsia="Times New Roman" w:cs="Times New Roman"/>
                <w:spacing w:val="-12"/>
              </w:rPr>
              <w:t>□</w:t>
            </w:r>
            <w:r>
              <w:rPr>
                <w:spacing w:val="-12"/>
              </w:rPr>
              <w:t>;</w:t>
            </w:r>
            <w:r>
              <w:rPr>
                <w:spacing w:val="17"/>
              </w:rPr>
              <w:t xml:space="preserve"> </w:t>
            </w:r>
            <w:r>
              <w:rPr>
                <w:spacing w:val="-12"/>
              </w:rPr>
              <w:t>冬季</w:t>
            </w:r>
            <w:r>
              <w:rPr>
                <w:spacing w:val="16"/>
              </w:rPr>
              <w:t xml:space="preserve"> </w:t>
            </w:r>
            <w:r>
              <w:rPr>
                <w:rFonts w:ascii="Times New Roman" w:hAnsi="Times New Roman" w:eastAsia="Times New Roman" w:cs="Times New Roman"/>
                <w:spacing w:val="-12"/>
              </w:rPr>
              <w:t>□</w:t>
            </w:r>
          </w:p>
        </w:tc>
        <w:tc>
          <w:tcPr>
            <w:tcW w:w="3541" w:type="dxa"/>
            <w:gridSpan w:val="2"/>
            <w:vAlign w:val="top"/>
          </w:tcPr>
          <w:p>
            <w:pPr>
              <w:pStyle w:val="6"/>
              <w:spacing w:before="55" w:line="234" w:lineRule="auto"/>
              <w:ind w:left="116"/>
            </w:pPr>
            <w:r>
              <w:rPr>
                <w:spacing w:val="-1"/>
              </w:rPr>
              <w:t xml:space="preserve">水行政主管部门 </w:t>
            </w:r>
            <w:r>
              <w:rPr>
                <w:rFonts w:ascii="Times New Roman" w:hAnsi="Times New Roman" w:eastAsia="Times New Roman" w:cs="Times New Roman"/>
                <w:spacing w:val="-1"/>
              </w:rPr>
              <w:t>□</w:t>
            </w:r>
            <w:r>
              <w:rPr>
                <w:spacing w:val="-1"/>
              </w:rPr>
              <w:t>;</w:t>
            </w:r>
          </w:p>
          <w:p>
            <w:pPr>
              <w:pStyle w:val="6"/>
              <w:spacing w:before="52" w:line="203" w:lineRule="auto"/>
              <w:ind w:left="114"/>
              <w:rPr>
                <w:rFonts w:ascii="Segoe UI Symbol" w:hAnsi="Segoe UI Symbol" w:eastAsia="Segoe UI Symbol" w:cs="Segoe UI Symbol"/>
              </w:rPr>
            </w:pPr>
            <w:r>
              <w:rPr>
                <w:spacing w:val="2"/>
              </w:rPr>
              <w:t>补充监测</w:t>
            </w:r>
            <w:r>
              <w:rPr>
                <w:spacing w:val="24"/>
              </w:rPr>
              <w:t xml:space="preserve"> </w:t>
            </w:r>
            <w:r>
              <w:drawing>
                <wp:inline distT="0" distB="0" distL="0" distR="0">
                  <wp:extent cx="96520" cy="9842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495"/>
                          <a:stretch>
                            <a:fillRect/>
                          </a:stretch>
                        </pic:blipFill>
                        <pic:spPr>
                          <a:xfrm>
                            <a:off x="0" y="0"/>
                            <a:ext cx="96962" cy="98438"/>
                          </a:xfrm>
                          <a:prstGeom prst="rect">
                            <a:avLst/>
                          </a:prstGeom>
                        </pic:spPr>
                      </pic:pic>
                    </a:graphicData>
                  </a:graphic>
                </wp:inline>
              </w:drawing>
            </w:r>
            <w:r>
              <w:rPr>
                <w:spacing w:val="2"/>
              </w:rPr>
              <w:t xml:space="preserve">；其他 </w:t>
            </w:r>
            <w:r>
              <w:rPr>
                <w:rFonts w:ascii="Segoe UI Symbol" w:hAnsi="Segoe UI Symbol" w:eastAsia="Segoe UI Symbol" w:cs="Segoe UI Symbol"/>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37" w:type="dxa"/>
            <w:vMerge w:val="continue"/>
            <w:tcBorders>
              <w:top w:val="nil"/>
              <w:bottom w:val="nil"/>
            </w:tcBorders>
            <w:textDirection w:val="tbRlV"/>
            <w:vAlign w:val="top"/>
          </w:tcPr>
          <w:p>
            <w:pPr>
              <w:rPr>
                <w:rFonts w:ascii="Arial"/>
                <w:sz w:val="21"/>
              </w:rPr>
            </w:pPr>
          </w:p>
        </w:tc>
        <w:tc>
          <w:tcPr>
            <w:tcW w:w="947" w:type="dxa"/>
            <w:vMerge w:val="restart"/>
            <w:tcBorders>
              <w:bottom w:val="nil"/>
            </w:tcBorders>
            <w:vAlign w:val="top"/>
          </w:tcPr>
          <w:p>
            <w:pPr>
              <w:spacing w:line="302" w:lineRule="auto"/>
              <w:rPr>
                <w:rFonts w:ascii="Arial"/>
                <w:sz w:val="21"/>
              </w:rPr>
            </w:pPr>
          </w:p>
          <w:p>
            <w:pPr>
              <w:pStyle w:val="6"/>
              <w:spacing w:before="69" w:line="248" w:lineRule="auto"/>
              <w:ind w:left="370" w:right="155" w:hanging="209"/>
            </w:pPr>
            <w:r>
              <w:rPr>
                <w:spacing w:val="-2"/>
              </w:rPr>
              <w:t>补充监</w:t>
            </w:r>
            <w:r>
              <w:t xml:space="preserve"> 测</w:t>
            </w:r>
          </w:p>
        </w:tc>
        <w:tc>
          <w:tcPr>
            <w:tcW w:w="4177" w:type="dxa"/>
            <w:gridSpan w:val="2"/>
            <w:vAlign w:val="top"/>
          </w:tcPr>
          <w:p>
            <w:pPr>
              <w:pStyle w:val="6"/>
              <w:spacing w:before="55" w:line="221" w:lineRule="auto"/>
              <w:ind w:left="1675"/>
            </w:pPr>
            <w:r>
              <w:rPr>
                <w:spacing w:val="-2"/>
              </w:rPr>
              <w:t>监测时期</w:t>
            </w:r>
          </w:p>
        </w:tc>
        <w:tc>
          <w:tcPr>
            <w:tcW w:w="1416" w:type="dxa"/>
            <w:vAlign w:val="top"/>
          </w:tcPr>
          <w:p>
            <w:pPr>
              <w:pStyle w:val="6"/>
              <w:spacing w:before="55" w:line="221" w:lineRule="auto"/>
              <w:ind w:left="295"/>
            </w:pPr>
            <w:r>
              <w:rPr>
                <w:spacing w:val="-2"/>
              </w:rPr>
              <w:t>监测因子</w:t>
            </w:r>
          </w:p>
        </w:tc>
        <w:tc>
          <w:tcPr>
            <w:tcW w:w="2125" w:type="dxa"/>
            <w:vAlign w:val="top"/>
          </w:tcPr>
          <w:p>
            <w:pPr>
              <w:pStyle w:val="6"/>
              <w:spacing w:before="55" w:line="221" w:lineRule="auto"/>
              <w:ind w:left="334"/>
            </w:pPr>
            <w:r>
              <w:rPr>
                <w:spacing w:val="-1"/>
              </w:rPr>
              <w:t>监测断面或点位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37" w:type="dxa"/>
            <w:vMerge w:val="continue"/>
            <w:tcBorders>
              <w:top w:val="nil"/>
            </w:tcBorders>
            <w:textDirection w:val="tbRlV"/>
            <w:vAlign w:val="top"/>
          </w:tcPr>
          <w:p>
            <w:pPr>
              <w:rPr>
                <w:rFonts w:ascii="Arial"/>
                <w:sz w:val="21"/>
              </w:rPr>
            </w:pPr>
          </w:p>
        </w:tc>
        <w:tc>
          <w:tcPr>
            <w:tcW w:w="947" w:type="dxa"/>
            <w:vMerge w:val="continue"/>
            <w:tcBorders>
              <w:top w:val="nil"/>
            </w:tcBorders>
            <w:vAlign w:val="top"/>
          </w:tcPr>
          <w:p>
            <w:pPr>
              <w:rPr>
                <w:rFonts w:ascii="Arial"/>
                <w:sz w:val="21"/>
              </w:rPr>
            </w:pPr>
          </w:p>
        </w:tc>
        <w:tc>
          <w:tcPr>
            <w:tcW w:w="4177" w:type="dxa"/>
            <w:gridSpan w:val="2"/>
            <w:vAlign w:val="top"/>
          </w:tcPr>
          <w:p>
            <w:pPr>
              <w:pStyle w:val="6"/>
              <w:spacing w:before="211" w:line="234" w:lineRule="auto"/>
              <w:ind w:left="112"/>
            </w:pPr>
            <w:r>
              <w:t xml:space="preserve">丰水期 </w:t>
            </w:r>
            <w:r>
              <w:rPr>
                <w:rFonts w:ascii="Times New Roman" w:hAnsi="Times New Roman" w:eastAsia="Times New Roman" w:cs="Times New Roman"/>
              </w:rPr>
              <w:t>□</w:t>
            </w:r>
            <w:r>
              <w:t>;</w:t>
            </w:r>
            <w:r>
              <w:rPr>
                <w:spacing w:val="69"/>
              </w:rPr>
              <w:t xml:space="preserve"> </w:t>
            </w:r>
            <w:r>
              <w:t>平水期</w:t>
            </w:r>
            <w:r>
              <w:rPr>
                <w:spacing w:val="15"/>
              </w:rPr>
              <w:t xml:space="preserve"> </w:t>
            </w:r>
            <w:r>
              <w:rPr>
                <w:rFonts w:ascii="Times New Roman" w:hAnsi="Times New Roman" w:eastAsia="Times New Roman" w:cs="Times New Roman"/>
              </w:rPr>
              <w:t>□</w:t>
            </w:r>
            <w:r>
              <w:t>;枯水期</w:t>
            </w:r>
            <w:r>
              <w:rPr>
                <w:spacing w:val="15"/>
              </w:rPr>
              <w:t xml:space="preserve"> </w:t>
            </w:r>
            <w:r>
              <w:rPr>
                <w:rFonts w:ascii="Times New Roman" w:hAnsi="Times New Roman" w:eastAsia="Times New Roman" w:cs="Times New Roman"/>
              </w:rPr>
              <w:t>□</w:t>
            </w:r>
            <w:r>
              <w:t>;</w:t>
            </w:r>
          </w:p>
          <w:p>
            <w:pPr>
              <w:pStyle w:val="6"/>
              <w:spacing w:before="45" w:line="234" w:lineRule="auto"/>
              <w:ind w:left="111"/>
              <w:rPr>
                <w:rFonts w:ascii="Times New Roman" w:hAnsi="Times New Roman" w:eastAsia="Times New Roman" w:cs="Times New Roman"/>
              </w:rPr>
            </w:pPr>
            <w:r>
              <w:rPr>
                <w:spacing w:val="-12"/>
              </w:rPr>
              <w:t xml:space="preserve">冰封期 </w:t>
            </w:r>
            <w:r>
              <w:rPr>
                <w:rFonts w:ascii="Times New Roman" w:hAnsi="Times New Roman" w:eastAsia="Times New Roman" w:cs="Times New Roman"/>
                <w:spacing w:val="-12"/>
              </w:rPr>
              <w:t>□</w:t>
            </w:r>
            <w:r>
              <w:rPr>
                <w:spacing w:val="-12"/>
              </w:rPr>
              <w:t>春季</w:t>
            </w:r>
            <w:r>
              <w:rPr>
                <w:spacing w:val="25"/>
              </w:rPr>
              <w:t xml:space="preserve"> </w:t>
            </w:r>
            <w:r>
              <w:rPr>
                <w:rFonts w:ascii="Times New Roman" w:hAnsi="Times New Roman" w:eastAsia="Times New Roman" w:cs="Times New Roman"/>
                <w:spacing w:val="-12"/>
              </w:rPr>
              <w:t>□</w:t>
            </w:r>
            <w:r>
              <w:rPr>
                <w:spacing w:val="-12"/>
              </w:rPr>
              <w:t>;</w:t>
            </w:r>
            <w:r>
              <w:rPr>
                <w:spacing w:val="12"/>
              </w:rPr>
              <w:t xml:space="preserve"> </w:t>
            </w:r>
            <w:r>
              <w:rPr>
                <w:spacing w:val="-12"/>
              </w:rPr>
              <w:t>夏季</w:t>
            </w:r>
            <w:r>
              <w:rPr>
                <w:spacing w:val="16"/>
              </w:rPr>
              <w:t xml:space="preserve"> </w:t>
            </w:r>
            <w:r>
              <w:rPr>
                <w:rFonts w:ascii="Times New Roman" w:hAnsi="Times New Roman" w:eastAsia="Times New Roman" w:cs="Times New Roman"/>
                <w:spacing w:val="-12"/>
              </w:rPr>
              <w:t>□</w:t>
            </w:r>
            <w:r>
              <w:rPr>
                <w:spacing w:val="-12"/>
              </w:rPr>
              <w:t>;</w:t>
            </w:r>
            <w:r>
              <w:rPr>
                <w:spacing w:val="14"/>
              </w:rPr>
              <w:t xml:space="preserve"> </w:t>
            </w:r>
            <w:r>
              <w:rPr>
                <w:spacing w:val="-12"/>
              </w:rPr>
              <w:t>秋季</w:t>
            </w:r>
            <w:r>
              <w:rPr>
                <w:spacing w:val="14"/>
              </w:rPr>
              <w:t xml:space="preserve"> </w:t>
            </w:r>
            <w:r>
              <w:rPr>
                <w:rFonts w:ascii="Times New Roman" w:hAnsi="Times New Roman" w:eastAsia="Times New Roman" w:cs="Times New Roman"/>
                <w:spacing w:val="-12"/>
              </w:rPr>
              <w:t>□</w:t>
            </w:r>
            <w:r>
              <w:rPr>
                <w:spacing w:val="-12"/>
              </w:rPr>
              <w:t>;</w:t>
            </w:r>
            <w:r>
              <w:rPr>
                <w:spacing w:val="17"/>
              </w:rPr>
              <w:t xml:space="preserve"> </w:t>
            </w:r>
            <w:r>
              <w:rPr>
                <w:spacing w:val="-12"/>
              </w:rPr>
              <w:t>冬季</w:t>
            </w:r>
            <w:r>
              <w:rPr>
                <w:spacing w:val="16"/>
              </w:rPr>
              <w:t xml:space="preserve"> </w:t>
            </w:r>
            <w:r>
              <w:rPr>
                <w:rFonts w:ascii="Times New Roman" w:hAnsi="Times New Roman" w:eastAsia="Times New Roman" w:cs="Times New Roman"/>
                <w:spacing w:val="-12"/>
              </w:rPr>
              <w:t>□</w:t>
            </w:r>
          </w:p>
        </w:tc>
        <w:tc>
          <w:tcPr>
            <w:tcW w:w="1416" w:type="dxa"/>
            <w:vAlign w:val="top"/>
          </w:tcPr>
          <w:p>
            <w:pPr>
              <w:pStyle w:val="6"/>
              <w:spacing w:before="30" w:line="230" w:lineRule="auto"/>
              <w:ind w:left="108" w:right="111" w:hanging="3"/>
              <w:rPr>
                <w:sz w:val="18"/>
                <w:szCs w:val="18"/>
              </w:rPr>
            </w:pPr>
            <w:r>
              <w:rPr>
                <w:rFonts w:ascii="Times New Roman" w:hAnsi="Times New Roman" w:eastAsia="Times New Roman" w:cs="Times New Roman"/>
                <w:spacing w:val="-4"/>
                <w:sz w:val="18"/>
                <w:szCs w:val="18"/>
              </w:rPr>
              <w:t>pH</w:t>
            </w:r>
            <w:r>
              <w:rPr>
                <w:rFonts w:ascii="Times New Roman" w:hAnsi="Times New Roman" w:eastAsia="Times New Roman" w:cs="Times New Roman"/>
                <w:spacing w:val="-20"/>
                <w:sz w:val="18"/>
                <w:szCs w:val="18"/>
              </w:rPr>
              <w:t xml:space="preserve"> </w:t>
            </w:r>
            <w:r>
              <w:rPr>
                <w:spacing w:val="-4"/>
                <w:sz w:val="18"/>
                <w:szCs w:val="18"/>
              </w:rPr>
              <w:t>、</w:t>
            </w:r>
            <w:r>
              <w:rPr>
                <w:rFonts w:ascii="Times New Roman" w:hAnsi="Times New Roman" w:eastAsia="Times New Roman" w:cs="Times New Roman"/>
                <w:spacing w:val="-4"/>
                <w:sz w:val="18"/>
                <w:szCs w:val="18"/>
              </w:rPr>
              <w:t>DO</w:t>
            </w:r>
            <w:r>
              <w:rPr>
                <w:spacing w:val="-4"/>
                <w:sz w:val="18"/>
                <w:szCs w:val="18"/>
              </w:rPr>
              <w:t>、高锰</w:t>
            </w:r>
            <w:r>
              <w:rPr>
                <w:sz w:val="18"/>
                <w:szCs w:val="18"/>
              </w:rPr>
              <w:t xml:space="preserve"> </w:t>
            </w:r>
            <w:r>
              <w:rPr>
                <w:spacing w:val="-8"/>
                <w:sz w:val="18"/>
                <w:szCs w:val="18"/>
              </w:rPr>
              <w:t>酸 盐 指 数 、</w:t>
            </w:r>
            <w:r>
              <w:rPr>
                <w:spacing w:val="1"/>
                <w:sz w:val="18"/>
                <w:szCs w:val="18"/>
              </w:rPr>
              <w:t xml:space="preserve"> </w:t>
            </w:r>
            <w:r>
              <w:rPr>
                <w:rFonts w:ascii="Times New Roman" w:hAnsi="Times New Roman" w:eastAsia="Times New Roman" w:cs="Times New Roman"/>
                <w:spacing w:val="-3"/>
                <w:sz w:val="18"/>
                <w:szCs w:val="18"/>
              </w:rPr>
              <w:t>BOD</w:t>
            </w:r>
            <w:r>
              <w:rPr>
                <w:rFonts w:ascii="Times New Roman" w:hAnsi="Times New Roman" w:eastAsia="Times New Roman" w:cs="Times New Roman"/>
                <w:spacing w:val="-3"/>
                <w:sz w:val="12"/>
                <w:szCs w:val="12"/>
              </w:rPr>
              <w:t xml:space="preserve">5 </w:t>
            </w:r>
            <w:r>
              <w:rPr>
                <w:spacing w:val="-3"/>
                <w:sz w:val="18"/>
                <w:szCs w:val="18"/>
              </w:rPr>
              <w:t>、氨氮、</w:t>
            </w:r>
            <w:r>
              <w:rPr>
                <w:spacing w:val="4"/>
                <w:sz w:val="18"/>
                <w:szCs w:val="18"/>
              </w:rPr>
              <w:t xml:space="preserve"> </w:t>
            </w:r>
            <w:r>
              <w:rPr>
                <w:spacing w:val="-1"/>
                <w:sz w:val="18"/>
                <w:szCs w:val="18"/>
              </w:rPr>
              <w:t>总磷、石油类</w:t>
            </w:r>
          </w:p>
        </w:tc>
        <w:tc>
          <w:tcPr>
            <w:tcW w:w="2125" w:type="dxa"/>
            <w:vAlign w:val="top"/>
          </w:tcPr>
          <w:p>
            <w:pPr>
              <w:pStyle w:val="6"/>
              <w:spacing w:before="212" w:line="247" w:lineRule="auto"/>
              <w:ind w:left="120" w:right="119" w:hanging="5"/>
            </w:pPr>
            <w:r>
              <w:rPr>
                <w:spacing w:val="-1"/>
              </w:rPr>
              <w:t>监测断面或点位个数</w:t>
            </w:r>
            <w:r>
              <w:rPr>
                <w:spacing w:val="2"/>
              </w:rPr>
              <w:t xml:space="preserve"> </w:t>
            </w:r>
            <w:r>
              <w:rPr>
                <w:spacing w:val="-5"/>
              </w:rPr>
              <w:t>（</w:t>
            </w:r>
            <w:r>
              <w:rPr>
                <w:rFonts w:ascii="Times New Roman" w:hAnsi="Times New Roman" w:eastAsia="Times New Roman" w:cs="Times New Roman"/>
                <w:spacing w:val="-5"/>
              </w:rPr>
              <w:t>1</w:t>
            </w:r>
            <w:r>
              <w:rPr>
                <w:spacing w:val="-5"/>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7" w:type="dxa"/>
            <w:vMerge w:val="restart"/>
            <w:tcBorders>
              <w:bottom w:val="nil"/>
            </w:tcBorders>
            <w:textDirection w:val="tbRlV"/>
            <w:vAlign w:val="top"/>
          </w:tcPr>
          <w:p>
            <w:pPr>
              <w:pStyle w:val="6"/>
              <w:spacing w:before="113" w:line="208" w:lineRule="auto"/>
              <w:ind w:left="540"/>
            </w:pPr>
            <w:r>
              <w:t>现 状</w:t>
            </w:r>
            <w:r>
              <w:rPr>
                <w:spacing w:val="-5"/>
              </w:rPr>
              <w:t xml:space="preserve"> </w:t>
            </w:r>
            <w:r>
              <w:t>评</w:t>
            </w:r>
            <w:r>
              <w:rPr>
                <w:spacing w:val="-4"/>
              </w:rPr>
              <w:t xml:space="preserve"> </w:t>
            </w:r>
            <w:r>
              <w:t>价</w:t>
            </w:r>
          </w:p>
        </w:tc>
        <w:tc>
          <w:tcPr>
            <w:tcW w:w="947" w:type="dxa"/>
            <w:vAlign w:val="top"/>
          </w:tcPr>
          <w:p>
            <w:pPr>
              <w:pStyle w:val="6"/>
              <w:spacing w:before="56" w:line="247" w:lineRule="auto"/>
              <w:ind w:left="388" w:right="155" w:hanging="228"/>
            </w:pPr>
            <w:r>
              <w:rPr>
                <w:spacing w:val="-2"/>
              </w:rPr>
              <w:t>评价范</w:t>
            </w:r>
            <w:r>
              <w:rPr>
                <w:spacing w:val="1"/>
              </w:rPr>
              <w:t xml:space="preserve"> </w:t>
            </w:r>
            <w:r>
              <w:t>围</w:t>
            </w:r>
          </w:p>
        </w:tc>
        <w:tc>
          <w:tcPr>
            <w:tcW w:w="7718" w:type="dxa"/>
            <w:gridSpan w:val="4"/>
            <w:vAlign w:val="top"/>
          </w:tcPr>
          <w:p>
            <w:pPr>
              <w:pStyle w:val="6"/>
              <w:spacing w:before="212" w:line="234" w:lineRule="auto"/>
              <w:ind w:left="111"/>
              <w:rPr>
                <w:rFonts w:ascii="Times New Roman" w:hAnsi="Times New Roman" w:eastAsia="Times New Roman" w:cs="Times New Roman"/>
              </w:rPr>
            </w:pPr>
            <w:r>
              <w:rPr>
                <w:spacing w:val="-8"/>
              </w:rPr>
              <w:t>河流： 长度</w:t>
            </w:r>
            <w:r>
              <w:rPr>
                <w:spacing w:val="-30"/>
              </w:rPr>
              <w:t>（）</w:t>
            </w:r>
            <w:r>
              <w:rPr>
                <w:spacing w:val="-45"/>
              </w:rPr>
              <w:t xml:space="preserve"> </w:t>
            </w:r>
            <w:r>
              <w:rPr>
                <w:rFonts w:ascii="Times New Roman" w:hAnsi="Times New Roman" w:eastAsia="Times New Roman" w:cs="Times New Roman"/>
                <w:spacing w:val="-8"/>
              </w:rPr>
              <w:t>km</w:t>
            </w:r>
            <w:r>
              <w:rPr>
                <w:spacing w:val="-8"/>
              </w:rPr>
              <w:t>；湖库、河口及近岸海域：</w:t>
            </w:r>
            <w:r>
              <w:rPr>
                <w:spacing w:val="-9"/>
              </w:rPr>
              <w:t xml:space="preserve"> 面积</w:t>
            </w:r>
            <w:r>
              <w:rPr>
                <w:spacing w:val="-30"/>
              </w:rPr>
              <w:t>（）</w:t>
            </w:r>
            <w:r>
              <w:rPr>
                <w:spacing w:val="-43"/>
              </w:rPr>
              <w:t xml:space="preserve"> </w:t>
            </w:r>
            <w:r>
              <w:rPr>
                <w:rFonts w:ascii="Times New Roman" w:hAnsi="Times New Roman" w:eastAsia="Times New Roman" w:cs="Times New Roman"/>
                <w:spacing w:val="-9"/>
              </w:rPr>
              <w:t>km2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37" w:type="dxa"/>
            <w:vMerge w:val="continue"/>
            <w:tcBorders>
              <w:top w:val="nil"/>
              <w:bottom w:val="nil"/>
            </w:tcBorders>
            <w:textDirection w:val="tbRlV"/>
            <w:vAlign w:val="top"/>
          </w:tcPr>
          <w:p>
            <w:pPr>
              <w:rPr>
                <w:rFonts w:ascii="Arial"/>
                <w:sz w:val="21"/>
              </w:rPr>
            </w:pPr>
          </w:p>
        </w:tc>
        <w:tc>
          <w:tcPr>
            <w:tcW w:w="947" w:type="dxa"/>
            <w:vAlign w:val="top"/>
          </w:tcPr>
          <w:p>
            <w:pPr>
              <w:pStyle w:val="6"/>
              <w:spacing w:before="59" w:line="247" w:lineRule="auto"/>
              <w:ind w:left="370" w:right="155" w:hanging="210"/>
            </w:pPr>
            <w:r>
              <w:rPr>
                <w:spacing w:val="-2"/>
              </w:rPr>
              <w:t>评价因</w:t>
            </w:r>
            <w:r>
              <w:rPr>
                <w:spacing w:val="1"/>
              </w:rPr>
              <w:t xml:space="preserve"> </w:t>
            </w:r>
            <w:r>
              <w:t>子</w:t>
            </w:r>
          </w:p>
        </w:tc>
        <w:tc>
          <w:tcPr>
            <w:tcW w:w="7718" w:type="dxa"/>
            <w:gridSpan w:val="4"/>
            <w:vAlign w:val="top"/>
          </w:tcPr>
          <w:p>
            <w:pPr>
              <w:pStyle w:val="6"/>
              <w:spacing w:before="214" w:line="214" w:lineRule="auto"/>
              <w:ind w:left="1934"/>
              <w:rPr>
                <w:rFonts w:ascii="Times New Roman" w:hAnsi="Times New Roman" w:eastAsia="Times New Roman" w:cs="Times New Roman"/>
              </w:rPr>
            </w:pPr>
            <w:r>
              <w:rPr>
                <w:rFonts w:ascii="Times New Roman" w:hAnsi="Times New Roman" w:eastAsia="Times New Roman" w:cs="Times New Roman"/>
                <w:spacing w:val="-3"/>
              </w:rPr>
              <w:t>(pH</w:t>
            </w:r>
            <w:r>
              <w:rPr>
                <w:rFonts w:ascii="Times New Roman" w:hAnsi="Times New Roman" w:eastAsia="Times New Roman" w:cs="Times New Roman"/>
                <w:spacing w:val="-19"/>
              </w:rPr>
              <w:t xml:space="preserve"> </w:t>
            </w:r>
            <w:r>
              <w:rPr>
                <w:spacing w:val="-3"/>
              </w:rPr>
              <w:t>、</w:t>
            </w:r>
            <w:r>
              <w:rPr>
                <w:rFonts w:ascii="Times New Roman" w:hAnsi="Times New Roman" w:eastAsia="Times New Roman" w:cs="Times New Roman"/>
                <w:spacing w:val="-3"/>
              </w:rPr>
              <w:t>DO</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spacing w:val="-3"/>
              </w:rPr>
              <w:t>COD</w:t>
            </w:r>
            <w:r>
              <w:rPr>
                <w:rFonts w:ascii="Times New Roman" w:hAnsi="Times New Roman" w:eastAsia="Times New Roman" w:cs="Times New Roman"/>
                <w:spacing w:val="-3"/>
                <w:position w:val="-1"/>
                <w:sz w:val="13"/>
                <w:szCs w:val="13"/>
              </w:rPr>
              <w:t>Mn</w:t>
            </w:r>
            <w:r>
              <w:rPr>
                <w:rFonts w:ascii="Times New Roman" w:hAnsi="Times New Roman" w:eastAsia="Times New Roman" w:cs="Times New Roman"/>
                <w:spacing w:val="-9"/>
                <w:position w:val="-1"/>
                <w:sz w:val="13"/>
                <w:szCs w:val="13"/>
              </w:rPr>
              <w:t xml:space="preserve"> </w:t>
            </w:r>
            <w:r>
              <w:rPr>
                <w:spacing w:val="-3"/>
              </w:rPr>
              <w:t>、氨氮、总磷、石油类</w:t>
            </w:r>
            <w:r>
              <w:rPr>
                <w:rFonts w:ascii="Times New Roman" w:hAnsi="Times New Roman" w:eastAsia="Times New Roman" w:cs="Times New Roman"/>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7" w:type="dxa"/>
            <w:vMerge w:val="continue"/>
            <w:tcBorders>
              <w:top w:val="nil"/>
              <w:bottom w:val="nil"/>
            </w:tcBorders>
            <w:textDirection w:val="tbRlV"/>
            <w:vAlign w:val="top"/>
          </w:tcPr>
          <w:p>
            <w:pPr>
              <w:rPr>
                <w:rFonts w:ascii="Arial"/>
                <w:sz w:val="21"/>
              </w:rPr>
            </w:pPr>
          </w:p>
        </w:tc>
        <w:tc>
          <w:tcPr>
            <w:tcW w:w="947" w:type="dxa"/>
            <w:vAlign w:val="top"/>
          </w:tcPr>
          <w:p>
            <w:pPr>
              <w:pStyle w:val="6"/>
              <w:spacing w:before="212" w:line="248" w:lineRule="auto"/>
              <w:ind w:left="371" w:right="155" w:hanging="211"/>
            </w:pPr>
            <w:r>
              <w:rPr>
                <w:spacing w:val="-2"/>
              </w:rPr>
              <w:t>评价标</w:t>
            </w:r>
            <w:r>
              <w:rPr>
                <w:spacing w:val="1"/>
              </w:rPr>
              <w:t xml:space="preserve"> </w:t>
            </w:r>
            <w:r>
              <w:t>准</w:t>
            </w:r>
          </w:p>
        </w:tc>
        <w:tc>
          <w:tcPr>
            <w:tcW w:w="7718" w:type="dxa"/>
            <w:gridSpan w:val="4"/>
            <w:vAlign w:val="top"/>
          </w:tcPr>
          <w:p>
            <w:pPr>
              <w:pStyle w:val="6"/>
              <w:spacing w:before="63" w:line="222" w:lineRule="auto"/>
              <w:ind w:left="111"/>
              <w:rPr>
                <w:rFonts w:ascii="Times New Roman" w:hAnsi="Times New Roman" w:eastAsia="Times New Roman" w:cs="Times New Roman"/>
              </w:rPr>
            </w:pPr>
            <w:r>
              <w:rPr>
                <w:spacing w:val="-11"/>
              </w:rPr>
              <w:t xml:space="preserve">河流、湖库、河口： </w:t>
            </w:r>
            <w:r>
              <w:rPr>
                <w:rFonts w:ascii="Times New Roman" w:hAnsi="Times New Roman" w:eastAsia="Times New Roman" w:cs="Times New Roman"/>
                <w:spacing w:val="-11"/>
              </w:rPr>
              <w:t>Ⅰ</w:t>
            </w:r>
            <w:r>
              <w:rPr>
                <w:spacing w:val="-11"/>
              </w:rPr>
              <w:t xml:space="preserve">类 </w:t>
            </w:r>
            <w:r>
              <w:rPr>
                <w:rFonts w:ascii="Times New Roman" w:hAnsi="Times New Roman" w:eastAsia="Times New Roman" w:cs="Times New Roman"/>
                <w:spacing w:val="-11"/>
              </w:rPr>
              <w:t>□</w:t>
            </w:r>
            <w:r>
              <w:rPr>
                <w:spacing w:val="-11"/>
              </w:rPr>
              <w:t>;</w:t>
            </w:r>
            <w:r>
              <w:rPr>
                <w:spacing w:val="56"/>
              </w:rPr>
              <w:t xml:space="preserve"> </w:t>
            </w:r>
            <w:r>
              <w:rPr>
                <w:rFonts w:ascii="Times New Roman" w:hAnsi="Times New Roman" w:eastAsia="Times New Roman" w:cs="Times New Roman"/>
                <w:spacing w:val="-11"/>
              </w:rPr>
              <w:t>Ⅱ</w:t>
            </w:r>
            <w:r>
              <w:rPr>
                <w:spacing w:val="-11"/>
              </w:rPr>
              <w:t xml:space="preserve">类 </w:t>
            </w:r>
            <w:r>
              <w:rPr>
                <w:rFonts w:ascii="Segoe UI Symbol" w:hAnsi="Segoe UI Symbol" w:eastAsia="Segoe UI Symbol" w:cs="Segoe UI Symbol"/>
                <w:spacing w:val="-11"/>
              </w:rPr>
              <w:t>☑</w:t>
            </w:r>
            <w:r>
              <w:rPr>
                <w:spacing w:val="-11"/>
              </w:rPr>
              <w:t>;</w:t>
            </w:r>
            <w:r>
              <w:rPr>
                <w:spacing w:val="55"/>
              </w:rPr>
              <w:t xml:space="preserve"> </w:t>
            </w:r>
            <w:r>
              <w:rPr>
                <w:rFonts w:ascii="Times New Roman" w:hAnsi="Times New Roman" w:eastAsia="Times New Roman" w:cs="Times New Roman"/>
                <w:spacing w:val="-11"/>
              </w:rPr>
              <w:t>Ⅲ</w:t>
            </w:r>
            <w:r>
              <w:rPr>
                <w:spacing w:val="-11"/>
              </w:rPr>
              <w:t>类</w:t>
            </w:r>
            <w:r>
              <w:rPr>
                <w:spacing w:val="15"/>
              </w:rPr>
              <w:t xml:space="preserve"> </w:t>
            </w:r>
            <w:r>
              <w:rPr>
                <w:rFonts w:ascii="Segoe UI Symbol" w:hAnsi="Segoe UI Symbol" w:eastAsia="Segoe UI Symbol" w:cs="Segoe UI Symbol"/>
                <w:spacing w:val="-12"/>
              </w:rPr>
              <w:t>☑</w:t>
            </w:r>
            <w:r>
              <w:rPr>
                <w:spacing w:val="-12"/>
              </w:rPr>
              <w:t>;</w:t>
            </w:r>
            <w:r>
              <w:rPr>
                <w:spacing w:val="53"/>
              </w:rPr>
              <w:t xml:space="preserve"> </w:t>
            </w:r>
            <w:r>
              <w:rPr>
                <w:rFonts w:ascii="Times New Roman" w:hAnsi="Times New Roman" w:eastAsia="Times New Roman" w:cs="Times New Roman"/>
                <w:spacing w:val="-12"/>
              </w:rPr>
              <w:t>Ⅳ</w:t>
            </w:r>
            <w:r>
              <w:rPr>
                <w:spacing w:val="-12"/>
              </w:rPr>
              <w:t>类</w:t>
            </w:r>
            <w:r>
              <w:rPr>
                <w:spacing w:val="13"/>
              </w:rPr>
              <w:t xml:space="preserve"> </w:t>
            </w:r>
            <w:r>
              <w:rPr>
                <w:rFonts w:ascii="Times New Roman" w:hAnsi="Times New Roman" w:eastAsia="Times New Roman" w:cs="Times New Roman"/>
                <w:spacing w:val="-12"/>
              </w:rPr>
              <w:t>□</w:t>
            </w:r>
            <w:r>
              <w:rPr>
                <w:spacing w:val="-12"/>
              </w:rPr>
              <w:t>;</w:t>
            </w:r>
            <w:r>
              <w:rPr>
                <w:spacing w:val="50"/>
              </w:rPr>
              <w:t xml:space="preserve"> </w:t>
            </w:r>
            <w:r>
              <w:rPr>
                <w:rFonts w:ascii="Times New Roman" w:hAnsi="Times New Roman" w:eastAsia="Times New Roman" w:cs="Times New Roman"/>
                <w:spacing w:val="-12"/>
              </w:rPr>
              <w:t>Ⅴ</w:t>
            </w:r>
            <w:r>
              <w:rPr>
                <w:spacing w:val="-12"/>
              </w:rPr>
              <w:t>类</w:t>
            </w:r>
            <w:r>
              <w:rPr>
                <w:spacing w:val="13"/>
              </w:rPr>
              <w:t xml:space="preserve"> </w:t>
            </w:r>
            <w:r>
              <w:rPr>
                <w:rFonts w:ascii="Times New Roman" w:hAnsi="Times New Roman" w:eastAsia="Times New Roman" w:cs="Times New Roman"/>
                <w:spacing w:val="-12"/>
              </w:rPr>
              <w:t>□</w:t>
            </w:r>
          </w:p>
          <w:p>
            <w:pPr>
              <w:pStyle w:val="6"/>
              <w:spacing w:before="38" w:line="311" w:lineRule="exact"/>
              <w:ind w:left="111"/>
              <w:rPr>
                <w:rFonts w:ascii="Times New Roman" w:hAnsi="Times New Roman" w:eastAsia="Times New Roman" w:cs="Times New Roman"/>
              </w:rPr>
            </w:pPr>
            <w:r>
              <w:rPr>
                <w:spacing w:val="2"/>
                <w:position w:val="6"/>
              </w:rPr>
              <w:t>近岸海域：</w:t>
            </w:r>
            <w:r>
              <w:rPr>
                <w:spacing w:val="-21"/>
                <w:position w:val="6"/>
              </w:rPr>
              <w:t xml:space="preserve"> </w:t>
            </w:r>
            <w:r>
              <w:rPr>
                <w:spacing w:val="2"/>
                <w:position w:val="6"/>
              </w:rPr>
              <w:t xml:space="preserve">第一类 </w:t>
            </w:r>
            <w:r>
              <w:rPr>
                <w:rFonts w:ascii="Times New Roman" w:hAnsi="Times New Roman" w:eastAsia="Times New Roman" w:cs="Times New Roman"/>
                <w:spacing w:val="2"/>
                <w:position w:val="6"/>
              </w:rPr>
              <w:t>□</w:t>
            </w:r>
            <w:r>
              <w:rPr>
                <w:spacing w:val="2"/>
                <w:position w:val="6"/>
              </w:rPr>
              <w:t xml:space="preserve">;第二类 </w:t>
            </w:r>
            <w:r>
              <w:rPr>
                <w:rFonts w:ascii="Times New Roman" w:hAnsi="Times New Roman" w:eastAsia="Times New Roman" w:cs="Times New Roman"/>
                <w:spacing w:val="2"/>
                <w:position w:val="6"/>
              </w:rPr>
              <w:t>□</w:t>
            </w:r>
            <w:r>
              <w:rPr>
                <w:spacing w:val="2"/>
                <w:position w:val="6"/>
              </w:rPr>
              <w:t>;第三类</w:t>
            </w:r>
            <w:r>
              <w:rPr>
                <w:spacing w:val="13"/>
                <w:position w:val="6"/>
              </w:rPr>
              <w:t xml:space="preserve"> </w:t>
            </w:r>
            <w:r>
              <w:rPr>
                <w:rFonts w:ascii="Times New Roman" w:hAnsi="Times New Roman" w:eastAsia="Times New Roman" w:cs="Times New Roman"/>
                <w:spacing w:val="2"/>
                <w:position w:val="6"/>
              </w:rPr>
              <w:t>□</w:t>
            </w:r>
            <w:r>
              <w:rPr>
                <w:spacing w:val="2"/>
                <w:position w:val="6"/>
              </w:rPr>
              <w:t>;</w:t>
            </w:r>
            <w:r>
              <w:rPr>
                <w:spacing w:val="56"/>
                <w:position w:val="6"/>
              </w:rPr>
              <w:t xml:space="preserve"> </w:t>
            </w:r>
            <w:r>
              <w:rPr>
                <w:spacing w:val="2"/>
                <w:position w:val="6"/>
              </w:rPr>
              <w:t>第四类</w:t>
            </w:r>
            <w:r>
              <w:rPr>
                <w:spacing w:val="16"/>
                <w:position w:val="6"/>
              </w:rPr>
              <w:t xml:space="preserve"> </w:t>
            </w:r>
            <w:r>
              <w:rPr>
                <w:rFonts w:ascii="Times New Roman" w:hAnsi="Times New Roman" w:eastAsia="Times New Roman" w:cs="Times New Roman"/>
                <w:spacing w:val="2"/>
                <w:position w:val="6"/>
              </w:rPr>
              <w:t>□</w:t>
            </w:r>
          </w:p>
          <w:p>
            <w:pPr>
              <w:pStyle w:val="6"/>
              <w:spacing w:line="219" w:lineRule="auto"/>
              <w:ind w:left="112"/>
            </w:pPr>
            <w:r>
              <w:rPr>
                <w:spacing w:val="9"/>
              </w:rPr>
              <w:t>规划年评价标准()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37" w:type="dxa"/>
            <w:vMerge w:val="continue"/>
            <w:tcBorders>
              <w:top w:val="nil"/>
            </w:tcBorders>
            <w:textDirection w:val="tbRlV"/>
            <w:vAlign w:val="top"/>
          </w:tcPr>
          <w:p>
            <w:pPr>
              <w:rPr>
                <w:rFonts w:ascii="Arial"/>
                <w:sz w:val="21"/>
              </w:rPr>
            </w:pPr>
          </w:p>
        </w:tc>
        <w:tc>
          <w:tcPr>
            <w:tcW w:w="947" w:type="dxa"/>
            <w:vAlign w:val="top"/>
          </w:tcPr>
          <w:p>
            <w:pPr>
              <w:pStyle w:val="6"/>
              <w:spacing w:before="57" w:line="219" w:lineRule="auto"/>
              <w:ind w:left="160"/>
            </w:pPr>
            <w:r>
              <w:rPr>
                <w:spacing w:val="-1"/>
              </w:rPr>
              <w:t>评价时</w:t>
            </w:r>
          </w:p>
        </w:tc>
        <w:tc>
          <w:tcPr>
            <w:tcW w:w="7718" w:type="dxa"/>
            <w:gridSpan w:val="4"/>
            <w:vAlign w:val="top"/>
          </w:tcPr>
          <w:p>
            <w:pPr>
              <w:pStyle w:val="6"/>
              <w:spacing w:before="57" w:line="224" w:lineRule="auto"/>
              <w:ind w:left="112"/>
              <w:rPr>
                <w:rFonts w:ascii="Times New Roman" w:hAnsi="Times New Roman" w:eastAsia="Times New Roman" w:cs="Times New Roman"/>
              </w:rPr>
            </w:pPr>
            <w:r>
              <w:t xml:space="preserve">丰水期 </w:t>
            </w:r>
            <w:r>
              <w:rPr>
                <w:rFonts w:ascii="Times New Roman" w:hAnsi="Times New Roman" w:eastAsia="Times New Roman" w:cs="Times New Roman"/>
              </w:rPr>
              <w:t>□</w:t>
            </w:r>
            <w:r>
              <w:t>;</w:t>
            </w:r>
            <w:r>
              <w:rPr>
                <w:spacing w:val="55"/>
              </w:rPr>
              <w:t xml:space="preserve"> </w:t>
            </w:r>
            <w:r>
              <w:t xml:space="preserve">平水期 </w:t>
            </w:r>
            <w:r>
              <w:rPr>
                <w:rFonts w:ascii="Times New Roman" w:hAnsi="Times New Roman" w:eastAsia="Times New Roman" w:cs="Times New Roman"/>
              </w:rPr>
              <w:t>□</w:t>
            </w:r>
            <w:r>
              <w:t xml:space="preserve">;枯水期 </w:t>
            </w:r>
            <w:r>
              <w:drawing>
                <wp:inline distT="0" distB="0" distL="0" distR="0">
                  <wp:extent cx="104140" cy="10414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493"/>
                          <a:stretch>
                            <a:fillRect/>
                          </a:stretch>
                        </pic:blipFill>
                        <pic:spPr>
                          <a:xfrm>
                            <a:off x="0" y="0"/>
                            <a:ext cx="104473" cy="104204"/>
                          </a:xfrm>
                          <a:prstGeom prst="rect">
                            <a:avLst/>
                          </a:prstGeom>
                        </pic:spPr>
                      </pic:pic>
                    </a:graphicData>
                  </a:graphic>
                </wp:inline>
              </w:drawing>
            </w:r>
            <w:r>
              <w:t>；冰封期</w:t>
            </w:r>
            <w:r>
              <w:rPr>
                <w:spacing w:val="13"/>
              </w:rPr>
              <w:t xml:space="preserve"> </w:t>
            </w:r>
            <w:r>
              <w:rPr>
                <w:rFonts w:ascii="Times New Roman" w:hAnsi="Times New Roman" w:eastAsia="Times New Roman" w:cs="Times New Roman"/>
              </w:rPr>
              <w:t>□</w:t>
            </w:r>
            <w:r>
              <w:t>春季</w:t>
            </w:r>
            <w:r>
              <w:rPr>
                <w:spacing w:val="16"/>
              </w:rPr>
              <w:t xml:space="preserve"> </w:t>
            </w:r>
            <w:r>
              <w:rPr>
                <w:rFonts w:ascii="Times New Roman" w:hAnsi="Times New Roman" w:eastAsia="Times New Roman" w:cs="Times New Roman"/>
              </w:rPr>
              <w:t>□</w:t>
            </w:r>
            <w:r>
              <w:t>;夏</w:t>
            </w:r>
            <w:r>
              <w:rPr>
                <w:spacing w:val="-1"/>
              </w:rPr>
              <w:t>季</w:t>
            </w:r>
            <w:r>
              <w:rPr>
                <w:spacing w:val="22"/>
              </w:rPr>
              <w:t xml:space="preserve"> </w:t>
            </w:r>
            <w:r>
              <w:rPr>
                <w:rFonts w:ascii="Times New Roman" w:hAnsi="Times New Roman" w:eastAsia="Times New Roman" w:cs="Times New Roman"/>
                <w:spacing w:val="-1"/>
              </w:rPr>
              <w:t>□</w:t>
            </w:r>
            <w:r>
              <w:rPr>
                <w:spacing w:val="-1"/>
              </w:rPr>
              <w:t>;</w:t>
            </w:r>
            <w:r>
              <w:rPr>
                <w:spacing w:val="58"/>
              </w:rPr>
              <w:t xml:space="preserve"> </w:t>
            </w:r>
            <w:r>
              <w:rPr>
                <w:spacing w:val="-1"/>
              </w:rPr>
              <w:t>秋季</w:t>
            </w:r>
            <w:r>
              <w:rPr>
                <w:spacing w:val="13"/>
              </w:rPr>
              <w:t xml:space="preserve"> </w:t>
            </w:r>
            <w:r>
              <w:rPr>
                <w:rFonts w:ascii="Times New Roman" w:hAnsi="Times New Roman" w:eastAsia="Times New Roman" w:cs="Times New Roman"/>
                <w:spacing w:val="-1"/>
              </w:rPr>
              <w:t>□</w:t>
            </w:r>
            <w:r>
              <w:rPr>
                <w:spacing w:val="-1"/>
              </w:rPr>
              <w:t>;</w:t>
            </w:r>
            <w:r>
              <w:rPr>
                <w:spacing w:val="61"/>
              </w:rPr>
              <w:t xml:space="preserve"> </w:t>
            </w:r>
            <w:r>
              <w:rPr>
                <w:spacing w:val="-1"/>
              </w:rPr>
              <w:t>冬季</w:t>
            </w:r>
            <w:r>
              <w:rPr>
                <w:spacing w:val="13"/>
              </w:rPr>
              <w:t xml:space="preserve"> </w:t>
            </w:r>
            <w:r>
              <w:rPr>
                <w:rFonts w:ascii="Times New Roman" w:hAnsi="Times New Roman" w:eastAsia="Times New Roman" w:cs="Times New Roman"/>
                <w:spacing w:val="-1"/>
              </w:rPr>
              <w:t>□</w:t>
            </w:r>
          </w:p>
        </w:tc>
      </w:tr>
    </w:tbl>
    <w:p>
      <w:pPr>
        <w:pStyle w:val="2"/>
      </w:pPr>
    </w:p>
    <w:p>
      <w:pPr>
        <w:sectPr>
          <w:headerReference r:id="rId391" w:type="default"/>
          <w:footerReference r:id="rId392" w:type="default"/>
          <w:pgSz w:w="11907" w:h="16839"/>
          <w:pgMar w:top="1118" w:right="1399" w:bottom="1177" w:left="1399" w:header="879" w:footer="1013" w:gutter="0"/>
          <w:cols w:space="720" w:num="1"/>
        </w:sectPr>
      </w:pPr>
    </w:p>
    <w:p>
      <w:pPr>
        <w:spacing w:before="80"/>
      </w:pPr>
    </w:p>
    <w:tbl>
      <w:tblPr>
        <w:tblStyle w:val="5"/>
        <w:tblW w:w="91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7"/>
        <w:gridCol w:w="947"/>
        <w:gridCol w:w="2342"/>
        <w:gridCol w:w="3083"/>
        <w:gridCol w:w="168"/>
        <w:gridCol w:w="2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37" w:type="dxa"/>
            <w:vMerge w:val="restart"/>
            <w:tcBorders>
              <w:bottom w:val="nil"/>
            </w:tcBorders>
            <w:vAlign w:val="top"/>
          </w:tcPr>
          <w:p>
            <w:pPr>
              <w:rPr>
                <w:rFonts w:ascii="Arial"/>
                <w:sz w:val="21"/>
              </w:rPr>
            </w:pPr>
          </w:p>
        </w:tc>
        <w:tc>
          <w:tcPr>
            <w:tcW w:w="947" w:type="dxa"/>
            <w:vAlign w:val="top"/>
          </w:tcPr>
          <w:p>
            <w:pPr>
              <w:pStyle w:val="6"/>
              <w:spacing w:before="56" w:line="221" w:lineRule="auto"/>
              <w:ind w:left="372"/>
            </w:pPr>
            <w:r>
              <w:t>期</w:t>
            </w:r>
          </w:p>
        </w:tc>
        <w:tc>
          <w:tcPr>
            <w:tcW w:w="7718"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0" w:hRule="atLeast"/>
        </w:trPr>
        <w:tc>
          <w:tcPr>
            <w:tcW w:w="437" w:type="dxa"/>
            <w:vMerge w:val="continue"/>
            <w:tcBorders>
              <w:top w:val="nil"/>
            </w:tcBorders>
            <w:vAlign w:val="top"/>
          </w:tcPr>
          <w:p>
            <w:pPr>
              <w:rPr>
                <w:rFonts w:ascii="Arial"/>
                <w:sz w:val="21"/>
              </w:rPr>
            </w:pPr>
          </w:p>
        </w:tc>
        <w:tc>
          <w:tcPr>
            <w:tcW w:w="94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51" w:lineRule="auto"/>
              <w:ind w:left="371" w:right="155" w:hanging="211"/>
            </w:pPr>
            <w:r>
              <w:rPr>
                <w:spacing w:val="-2"/>
              </w:rPr>
              <w:t>评价结</w:t>
            </w:r>
            <w:r>
              <w:rPr>
                <w:spacing w:val="1"/>
              </w:rPr>
              <w:t xml:space="preserve"> </w:t>
            </w:r>
            <w:r>
              <w:t>论</w:t>
            </w:r>
          </w:p>
        </w:tc>
        <w:tc>
          <w:tcPr>
            <w:tcW w:w="5593" w:type="dxa"/>
            <w:gridSpan w:val="3"/>
            <w:vAlign w:val="top"/>
          </w:tcPr>
          <w:p>
            <w:pPr>
              <w:pStyle w:val="6"/>
              <w:spacing w:before="52" w:line="251" w:lineRule="auto"/>
              <w:ind w:left="113" w:right="100"/>
              <w:rPr>
                <w:rFonts w:ascii="Times New Roman" w:hAnsi="Times New Roman" w:eastAsia="Times New Roman" w:cs="Times New Roman"/>
              </w:rPr>
            </w:pPr>
            <w:r>
              <w:rPr>
                <w:spacing w:val="-4"/>
              </w:rPr>
              <w:t>水环境功能区或水功能区、近岸海域环境功能区水质达标状</w:t>
            </w:r>
            <w:r>
              <w:rPr>
                <w:spacing w:val="16"/>
              </w:rPr>
              <w:t xml:space="preserve"> </w:t>
            </w:r>
            <w:r>
              <w:rPr>
                <w:spacing w:val="6"/>
              </w:rPr>
              <w:t>况</w:t>
            </w:r>
            <w:r>
              <w:rPr>
                <w:spacing w:val="31"/>
              </w:rPr>
              <w:t xml:space="preserve"> </w:t>
            </w:r>
            <w:r>
              <w:rPr>
                <w:spacing w:val="6"/>
              </w:rPr>
              <w:t xml:space="preserve">：达标 </w:t>
            </w:r>
            <w:r>
              <w:rPr>
                <w:rFonts w:ascii="Segoe UI Symbol" w:hAnsi="Segoe UI Symbol" w:eastAsia="Segoe UI Symbol" w:cs="Segoe UI Symbol"/>
                <w:spacing w:val="6"/>
              </w:rPr>
              <w:t>☑</w:t>
            </w:r>
            <w:r>
              <w:rPr>
                <w:spacing w:val="6"/>
              </w:rPr>
              <w:t>;不达标</w:t>
            </w:r>
            <w:r>
              <w:rPr>
                <w:spacing w:val="15"/>
              </w:rPr>
              <w:t xml:space="preserve"> </w:t>
            </w:r>
            <w:r>
              <w:rPr>
                <w:rFonts w:ascii="Times New Roman" w:hAnsi="Times New Roman" w:eastAsia="Times New Roman" w:cs="Times New Roman"/>
                <w:spacing w:val="6"/>
              </w:rPr>
              <w:t>□</w:t>
            </w:r>
          </w:p>
          <w:p>
            <w:pPr>
              <w:pStyle w:val="6"/>
              <w:spacing w:before="38" w:line="254" w:lineRule="auto"/>
              <w:ind w:left="114" w:right="99"/>
              <w:rPr>
                <w:rFonts w:ascii="Times New Roman" w:hAnsi="Times New Roman" w:eastAsia="Times New Roman" w:cs="Times New Roman"/>
              </w:rPr>
            </w:pPr>
            <w:r>
              <w:rPr>
                <w:spacing w:val="-4"/>
              </w:rPr>
              <w:t>水环境控制单元或断面水质达标状况</w:t>
            </w:r>
            <w:r>
              <w:rPr>
                <w:spacing w:val="32"/>
              </w:rPr>
              <w:t xml:space="preserve"> </w:t>
            </w:r>
            <w:r>
              <w:rPr>
                <w:spacing w:val="-4"/>
              </w:rPr>
              <w:t xml:space="preserve">：达标 </w:t>
            </w:r>
            <w:r>
              <w:rPr>
                <w:rFonts w:ascii="Times New Roman" w:hAnsi="Times New Roman" w:eastAsia="Times New Roman" w:cs="Times New Roman"/>
                <w:spacing w:val="-4"/>
              </w:rPr>
              <w:t>□</w:t>
            </w:r>
            <w:r>
              <w:rPr>
                <w:spacing w:val="-4"/>
              </w:rPr>
              <w:t>;</w:t>
            </w:r>
            <w:r>
              <w:rPr>
                <w:spacing w:val="50"/>
              </w:rPr>
              <w:t xml:space="preserve"> </w:t>
            </w:r>
            <w:r>
              <w:rPr>
                <w:spacing w:val="-4"/>
              </w:rPr>
              <w:t xml:space="preserve">不达标 </w:t>
            </w:r>
            <w:r>
              <w:rPr>
                <w:rFonts w:ascii="Times New Roman" w:hAnsi="Times New Roman" w:eastAsia="Times New Roman" w:cs="Times New Roman"/>
                <w:spacing w:val="-4"/>
              </w:rPr>
              <w:t>□</w:t>
            </w:r>
            <w:r>
              <w:rPr>
                <w:rFonts w:ascii="Times New Roman" w:hAnsi="Times New Roman" w:eastAsia="Times New Roman" w:cs="Times New Roman"/>
              </w:rPr>
              <w:t xml:space="preserve"> </w:t>
            </w:r>
            <w:r>
              <w:rPr>
                <w:spacing w:val="-5"/>
              </w:rPr>
              <w:t>水环境保护目标质量状况 ：达标</w:t>
            </w:r>
            <w:r>
              <w:rPr>
                <w:spacing w:val="36"/>
              </w:rPr>
              <w:t xml:space="preserve"> </w:t>
            </w:r>
            <w:r>
              <w:rPr>
                <w:rFonts w:ascii="Times New Roman" w:hAnsi="Times New Roman" w:eastAsia="Times New Roman" w:cs="Times New Roman"/>
                <w:spacing w:val="-5"/>
              </w:rPr>
              <w:t>□</w:t>
            </w:r>
            <w:r>
              <w:rPr>
                <w:spacing w:val="-5"/>
              </w:rPr>
              <w:t>;</w:t>
            </w:r>
            <w:r>
              <w:rPr>
                <w:spacing w:val="59"/>
              </w:rPr>
              <w:t xml:space="preserve"> </w:t>
            </w:r>
            <w:r>
              <w:rPr>
                <w:spacing w:val="-5"/>
              </w:rPr>
              <w:t>不达标</w:t>
            </w:r>
            <w:r>
              <w:rPr>
                <w:spacing w:val="16"/>
              </w:rPr>
              <w:t xml:space="preserve"> </w:t>
            </w:r>
            <w:r>
              <w:rPr>
                <w:rFonts w:ascii="Times New Roman" w:hAnsi="Times New Roman" w:eastAsia="Times New Roman" w:cs="Times New Roman"/>
                <w:spacing w:val="-5"/>
              </w:rPr>
              <w:t>□</w:t>
            </w:r>
          </w:p>
          <w:p>
            <w:pPr>
              <w:pStyle w:val="6"/>
              <w:spacing w:before="44" w:line="255" w:lineRule="auto"/>
              <w:ind w:left="115" w:right="151" w:hanging="4"/>
              <w:rPr>
                <w:rFonts w:ascii="Times New Roman" w:hAnsi="Times New Roman" w:eastAsia="Times New Roman" w:cs="Times New Roman"/>
              </w:rPr>
            </w:pPr>
            <w:r>
              <w:rPr>
                <w:spacing w:val="-3"/>
              </w:rPr>
              <w:t xml:space="preserve">对照断面、控制断面等代表性断面的水质状况 </w:t>
            </w:r>
            <w:r>
              <w:rPr>
                <w:rFonts w:ascii="Times New Roman" w:hAnsi="Times New Roman" w:eastAsia="Times New Roman" w:cs="Times New Roman"/>
                <w:spacing w:val="-3"/>
              </w:rPr>
              <w:t>□</w:t>
            </w:r>
            <w:r>
              <w:rPr>
                <w:spacing w:val="-3"/>
              </w:rPr>
              <w:t xml:space="preserve">：达标 </w:t>
            </w:r>
            <w:r>
              <w:rPr>
                <w:rFonts w:ascii="Times New Roman" w:hAnsi="Times New Roman" w:eastAsia="Times New Roman" w:cs="Times New Roman"/>
                <w:spacing w:val="-3"/>
              </w:rPr>
              <w:t>□</w:t>
            </w:r>
            <w:r>
              <w:rPr>
                <w:spacing w:val="-3"/>
              </w:rPr>
              <w:t>;</w:t>
            </w:r>
            <w:r>
              <w:rPr>
                <w:spacing w:val="9"/>
              </w:rPr>
              <w:t xml:space="preserve"> </w:t>
            </w:r>
            <w:r>
              <w:rPr>
                <w:spacing w:val="-3"/>
              </w:rPr>
              <w:t>不达标</w:t>
            </w:r>
            <w:r>
              <w:rPr>
                <w:spacing w:val="16"/>
              </w:rPr>
              <w:t xml:space="preserve"> </w:t>
            </w:r>
            <w:r>
              <w:rPr>
                <w:rFonts w:ascii="Times New Roman" w:hAnsi="Times New Roman" w:eastAsia="Times New Roman" w:cs="Times New Roman"/>
                <w:spacing w:val="-3"/>
              </w:rPr>
              <w:t>□</w:t>
            </w:r>
          </w:p>
          <w:p>
            <w:pPr>
              <w:pStyle w:val="6"/>
              <w:spacing w:before="44" w:line="233" w:lineRule="auto"/>
              <w:ind w:left="111"/>
              <w:rPr>
                <w:rFonts w:ascii="Times New Roman" w:hAnsi="Times New Roman" w:eastAsia="Times New Roman" w:cs="Times New Roman"/>
              </w:rPr>
            </w:pPr>
            <w:r>
              <w:rPr>
                <w:spacing w:val="-1"/>
              </w:rPr>
              <w:t>底泥污染评价</w:t>
            </w:r>
            <w:r>
              <w:rPr>
                <w:spacing w:val="17"/>
              </w:rPr>
              <w:t xml:space="preserve"> </w:t>
            </w:r>
            <w:r>
              <w:rPr>
                <w:rFonts w:ascii="Times New Roman" w:hAnsi="Times New Roman" w:eastAsia="Times New Roman" w:cs="Times New Roman"/>
                <w:spacing w:val="-1"/>
              </w:rPr>
              <w:t>□</w:t>
            </w:r>
          </w:p>
          <w:p>
            <w:pPr>
              <w:pStyle w:val="6"/>
              <w:spacing w:before="47" w:line="312" w:lineRule="exact"/>
              <w:ind w:left="114"/>
              <w:rPr>
                <w:rFonts w:ascii="Times New Roman" w:hAnsi="Times New Roman" w:eastAsia="Times New Roman" w:cs="Times New Roman"/>
              </w:rPr>
            </w:pPr>
            <w:r>
              <w:rPr>
                <w:position w:val="6"/>
              </w:rPr>
              <w:t xml:space="preserve">水资源与开发利用程度及其水文情势评价 </w:t>
            </w:r>
            <w:r>
              <w:rPr>
                <w:rFonts w:ascii="Times New Roman" w:hAnsi="Times New Roman" w:eastAsia="Times New Roman" w:cs="Times New Roman"/>
                <w:position w:val="6"/>
              </w:rPr>
              <w:t>□</w:t>
            </w:r>
          </w:p>
          <w:p>
            <w:pPr>
              <w:pStyle w:val="6"/>
              <w:spacing w:line="233" w:lineRule="auto"/>
              <w:ind w:left="114"/>
              <w:rPr>
                <w:rFonts w:ascii="Times New Roman" w:hAnsi="Times New Roman" w:eastAsia="Times New Roman" w:cs="Times New Roman"/>
              </w:rPr>
            </w:pPr>
            <w:r>
              <w:t xml:space="preserve">水环境质量回顾评价 </w:t>
            </w:r>
            <w:r>
              <w:rPr>
                <w:rFonts w:ascii="Times New Roman" w:hAnsi="Times New Roman" w:eastAsia="Times New Roman" w:cs="Times New Roman"/>
              </w:rPr>
              <w:t>□</w:t>
            </w:r>
          </w:p>
          <w:p>
            <w:pPr>
              <w:pStyle w:val="6"/>
              <w:spacing w:before="48" w:line="260" w:lineRule="auto"/>
              <w:ind w:left="112" w:right="28"/>
              <w:jc w:val="both"/>
              <w:rPr>
                <w:rFonts w:ascii="Times New Roman" w:hAnsi="Times New Roman" w:eastAsia="Times New Roman" w:cs="Times New Roman"/>
              </w:rPr>
            </w:pPr>
            <w:r>
              <w:rPr>
                <w:spacing w:val="-8"/>
              </w:rPr>
              <w:t>流域（区域）水资源（包括水能资源）与开</w:t>
            </w:r>
            <w:r>
              <w:rPr>
                <w:spacing w:val="-9"/>
              </w:rPr>
              <w:t>发利用总体状况、</w:t>
            </w:r>
            <w:r>
              <w:t xml:space="preserve"> </w:t>
            </w:r>
            <w:r>
              <w:rPr>
                <w:spacing w:val="-4"/>
              </w:rPr>
              <w:t xml:space="preserve">生态流量管理要求与现状满足程度、建设项目占用水域空间 </w:t>
            </w:r>
            <w:r>
              <w:t xml:space="preserve">的水流状况与河湖演变状况 </w:t>
            </w:r>
            <w:r>
              <w:rPr>
                <w:rFonts w:ascii="Times New Roman" w:hAnsi="Times New Roman" w:eastAsia="Times New Roman" w:cs="Times New Roman"/>
              </w:rPr>
              <w:t>□</w:t>
            </w:r>
          </w:p>
          <w:p>
            <w:pPr>
              <w:pStyle w:val="6"/>
              <w:spacing w:before="48" w:line="223" w:lineRule="auto"/>
              <w:ind w:left="113"/>
              <w:rPr>
                <w:rFonts w:ascii="Times New Roman" w:hAnsi="Times New Roman" w:eastAsia="Times New Roman" w:cs="Times New Roman"/>
              </w:rPr>
            </w:pPr>
            <w:r>
              <w:rPr>
                <w:spacing w:val="-1"/>
              </w:rPr>
              <w:t>依托污水处理设施稳定达标排放评价</w:t>
            </w:r>
            <w:r>
              <w:rPr>
                <w:rFonts w:ascii="Times New Roman" w:hAnsi="Times New Roman" w:eastAsia="Times New Roman" w:cs="Times New Roman"/>
                <w:spacing w:val="-1"/>
              </w:rPr>
              <w:t>□</w:t>
            </w:r>
          </w:p>
        </w:tc>
        <w:tc>
          <w:tcPr>
            <w:tcW w:w="2125"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0" w:line="305" w:lineRule="exact"/>
              <w:ind w:left="114"/>
              <w:rPr>
                <w:rFonts w:ascii="Segoe UI Symbol" w:hAnsi="Segoe UI Symbol" w:eastAsia="Segoe UI Symbol" w:cs="Segoe UI Symbol"/>
              </w:rPr>
            </w:pPr>
            <w:r>
              <w:rPr>
                <w:spacing w:val="-1"/>
                <w:position w:val="5"/>
              </w:rPr>
              <w:t>达标区</w:t>
            </w:r>
            <w:r>
              <w:rPr>
                <w:spacing w:val="15"/>
                <w:position w:val="5"/>
              </w:rPr>
              <w:t xml:space="preserve"> </w:t>
            </w:r>
            <w:r>
              <w:rPr>
                <w:rFonts w:ascii="Segoe UI Symbol" w:hAnsi="Segoe UI Symbol" w:eastAsia="Segoe UI Symbol" w:cs="Segoe UI Symbol"/>
                <w:spacing w:val="-1"/>
                <w:position w:val="5"/>
              </w:rPr>
              <w:t>☑</w:t>
            </w:r>
          </w:p>
          <w:p>
            <w:pPr>
              <w:pStyle w:val="6"/>
              <w:spacing w:line="235" w:lineRule="auto"/>
              <w:ind w:left="118"/>
              <w:rPr>
                <w:rFonts w:ascii="Times New Roman" w:hAnsi="Times New Roman" w:eastAsia="Times New Roman" w:cs="Times New Roman"/>
              </w:rPr>
            </w:pPr>
            <w:r>
              <w:rPr>
                <w:spacing w:val="-2"/>
              </w:rPr>
              <w:t>不达标区</w:t>
            </w:r>
            <w:r>
              <w:rPr>
                <w:spacing w:val="15"/>
              </w:rPr>
              <w:t xml:space="preserve"> </w:t>
            </w:r>
            <w:r>
              <w:rPr>
                <w:rFonts w:ascii="Times New Roman" w:hAnsi="Times New Roman" w:eastAsia="Times New Roman" w:cs="Times New Roman"/>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7" w:type="dxa"/>
            <w:vMerge w:val="restart"/>
            <w:tcBorders>
              <w:bottom w:val="nil"/>
            </w:tcBorders>
            <w:textDirection w:val="tbRlV"/>
            <w:vAlign w:val="top"/>
          </w:tcPr>
          <w:p>
            <w:pPr>
              <w:pStyle w:val="6"/>
              <w:spacing w:before="112" w:line="209" w:lineRule="auto"/>
              <w:ind w:left="1010"/>
            </w:pPr>
            <w:r>
              <w:t>影 响</w:t>
            </w:r>
            <w:r>
              <w:rPr>
                <w:spacing w:val="-5"/>
              </w:rPr>
              <w:t xml:space="preserve"> </w:t>
            </w:r>
            <w:r>
              <w:t>预</w:t>
            </w:r>
            <w:r>
              <w:rPr>
                <w:spacing w:val="-4"/>
              </w:rPr>
              <w:t xml:space="preserve"> </w:t>
            </w:r>
            <w:r>
              <w:t>测</w:t>
            </w:r>
          </w:p>
        </w:tc>
        <w:tc>
          <w:tcPr>
            <w:tcW w:w="947" w:type="dxa"/>
            <w:vAlign w:val="top"/>
          </w:tcPr>
          <w:p>
            <w:pPr>
              <w:pStyle w:val="6"/>
              <w:spacing w:before="52" w:line="248" w:lineRule="auto"/>
              <w:ind w:left="389" w:right="155" w:hanging="226"/>
            </w:pPr>
            <w:r>
              <w:rPr>
                <w:spacing w:val="-3"/>
              </w:rPr>
              <w:t>预测范</w:t>
            </w:r>
            <w:r>
              <w:rPr>
                <w:spacing w:val="1"/>
              </w:rPr>
              <w:t xml:space="preserve"> </w:t>
            </w:r>
            <w:r>
              <w:t>围</w:t>
            </w:r>
          </w:p>
        </w:tc>
        <w:tc>
          <w:tcPr>
            <w:tcW w:w="7718" w:type="dxa"/>
            <w:gridSpan w:val="4"/>
            <w:vAlign w:val="top"/>
          </w:tcPr>
          <w:p>
            <w:pPr>
              <w:pStyle w:val="6"/>
              <w:spacing w:before="209" w:line="234" w:lineRule="auto"/>
              <w:ind w:left="111"/>
              <w:rPr>
                <w:rFonts w:ascii="Times New Roman" w:hAnsi="Times New Roman" w:eastAsia="Times New Roman" w:cs="Times New Roman"/>
                <w:sz w:val="13"/>
                <w:szCs w:val="13"/>
              </w:rPr>
            </w:pPr>
            <w:r>
              <w:rPr>
                <w:spacing w:val="-8"/>
              </w:rPr>
              <w:t>河流： 长度</w:t>
            </w:r>
            <w:r>
              <w:rPr>
                <w:spacing w:val="-30"/>
              </w:rPr>
              <w:t>（）</w:t>
            </w:r>
            <w:r>
              <w:rPr>
                <w:spacing w:val="-45"/>
              </w:rPr>
              <w:t xml:space="preserve"> </w:t>
            </w:r>
            <w:r>
              <w:rPr>
                <w:rFonts w:ascii="Times New Roman" w:hAnsi="Times New Roman" w:eastAsia="Times New Roman" w:cs="Times New Roman"/>
                <w:spacing w:val="-8"/>
              </w:rPr>
              <w:t>km</w:t>
            </w:r>
            <w:r>
              <w:rPr>
                <w:spacing w:val="-8"/>
              </w:rPr>
              <w:t>；湖库、河口及近岸海域： 面积</w:t>
            </w:r>
            <w:r>
              <w:rPr>
                <w:spacing w:val="-30"/>
              </w:rPr>
              <w:t>（）</w:t>
            </w:r>
            <w:r>
              <w:rPr>
                <w:spacing w:val="-43"/>
              </w:rPr>
              <w:t xml:space="preserve"> </w:t>
            </w:r>
            <w:r>
              <w:rPr>
                <w:rFonts w:ascii="Times New Roman" w:hAnsi="Times New Roman" w:eastAsia="Times New Roman" w:cs="Times New Roman"/>
                <w:spacing w:val="-8"/>
              </w:rPr>
              <w:t>k</w:t>
            </w:r>
            <w:r>
              <w:rPr>
                <w:rFonts w:ascii="Times New Roman" w:hAnsi="Times New Roman" w:eastAsia="Times New Roman" w:cs="Times New Roman"/>
                <w:spacing w:val="-9"/>
              </w:rPr>
              <w:t>m</w:t>
            </w:r>
            <w:r>
              <w:rPr>
                <w:rFonts w:ascii="Times New Roman" w:hAnsi="Times New Roman" w:eastAsia="Times New Roman" w:cs="Times New Roman"/>
                <w:spacing w:val="-9"/>
                <w:position w:val="6"/>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37" w:type="dxa"/>
            <w:vMerge w:val="continue"/>
            <w:tcBorders>
              <w:top w:val="nil"/>
              <w:bottom w:val="nil"/>
            </w:tcBorders>
            <w:textDirection w:val="tbRlV"/>
            <w:vAlign w:val="top"/>
          </w:tcPr>
          <w:p>
            <w:pPr>
              <w:rPr>
                <w:rFonts w:ascii="Arial"/>
                <w:sz w:val="21"/>
              </w:rPr>
            </w:pPr>
          </w:p>
        </w:tc>
        <w:tc>
          <w:tcPr>
            <w:tcW w:w="947" w:type="dxa"/>
            <w:vAlign w:val="top"/>
          </w:tcPr>
          <w:p>
            <w:pPr>
              <w:pStyle w:val="6"/>
              <w:spacing w:before="55" w:line="248" w:lineRule="auto"/>
              <w:ind w:left="370" w:right="155" w:hanging="207"/>
            </w:pPr>
            <w:r>
              <w:rPr>
                <w:spacing w:val="-3"/>
              </w:rPr>
              <w:t>预测因</w:t>
            </w:r>
            <w:r>
              <w:rPr>
                <w:spacing w:val="1"/>
              </w:rPr>
              <w:t xml:space="preserve"> </w:t>
            </w:r>
            <w:r>
              <w:t>子</w:t>
            </w:r>
          </w:p>
        </w:tc>
        <w:tc>
          <w:tcPr>
            <w:tcW w:w="7718" w:type="dxa"/>
            <w:gridSpan w:val="4"/>
            <w:vAlign w:val="top"/>
          </w:tcPr>
          <w:p>
            <w:pPr>
              <w:pStyle w:val="6"/>
              <w:spacing w:before="211" w:line="214" w:lineRule="auto"/>
              <w:ind w:left="1934"/>
              <w:rPr>
                <w:rFonts w:ascii="Times New Roman" w:hAnsi="Times New Roman" w:eastAsia="Times New Roman" w:cs="Times New Roman"/>
              </w:rPr>
            </w:pPr>
            <w:r>
              <w:rPr>
                <w:rFonts w:ascii="Times New Roman" w:hAnsi="Times New Roman" w:eastAsia="Times New Roman" w:cs="Times New Roman"/>
                <w:spacing w:val="-3"/>
              </w:rPr>
              <w:t>(pH</w:t>
            </w:r>
            <w:r>
              <w:rPr>
                <w:rFonts w:ascii="Times New Roman" w:hAnsi="Times New Roman" w:eastAsia="Times New Roman" w:cs="Times New Roman"/>
                <w:spacing w:val="-19"/>
              </w:rPr>
              <w:t xml:space="preserve"> </w:t>
            </w:r>
            <w:r>
              <w:rPr>
                <w:spacing w:val="-3"/>
              </w:rPr>
              <w:t>、</w:t>
            </w:r>
            <w:r>
              <w:rPr>
                <w:rFonts w:ascii="Times New Roman" w:hAnsi="Times New Roman" w:eastAsia="Times New Roman" w:cs="Times New Roman"/>
                <w:spacing w:val="-3"/>
              </w:rPr>
              <w:t>DO</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spacing w:val="-3"/>
              </w:rPr>
              <w:t>COD</w:t>
            </w:r>
            <w:r>
              <w:rPr>
                <w:rFonts w:ascii="Times New Roman" w:hAnsi="Times New Roman" w:eastAsia="Times New Roman" w:cs="Times New Roman"/>
                <w:spacing w:val="-3"/>
                <w:position w:val="-1"/>
                <w:sz w:val="13"/>
                <w:szCs w:val="13"/>
              </w:rPr>
              <w:t>Mn</w:t>
            </w:r>
            <w:r>
              <w:rPr>
                <w:rFonts w:ascii="Times New Roman" w:hAnsi="Times New Roman" w:eastAsia="Times New Roman" w:cs="Times New Roman"/>
                <w:spacing w:val="-9"/>
                <w:position w:val="-1"/>
                <w:sz w:val="13"/>
                <w:szCs w:val="13"/>
              </w:rPr>
              <w:t xml:space="preserve"> </w:t>
            </w:r>
            <w:r>
              <w:rPr>
                <w:spacing w:val="-3"/>
              </w:rPr>
              <w:t>、氨氮、总磷、石油类</w:t>
            </w:r>
            <w:r>
              <w:rPr>
                <w:rFonts w:ascii="Times New Roman" w:hAnsi="Times New Roman" w:eastAsia="Times New Roman" w:cs="Times New Roman"/>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7" w:type="dxa"/>
            <w:vMerge w:val="continue"/>
            <w:tcBorders>
              <w:top w:val="nil"/>
              <w:bottom w:val="nil"/>
            </w:tcBorders>
            <w:textDirection w:val="tbRlV"/>
            <w:vAlign w:val="top"/>
          </w:tcPr>
          <w:p>
            <w:pPr>
              <w:rPr>
                <w:rFonts w:ascii="Arial"/>
                <w:sz w:val="21"/>
              </w:rPr>
            </w:pPr>
          </w:p>
        </w:tc>
        <w:tc>
          <w:tcPr>
            <w:tcW w:w="947" w:type="dxa"/>
            <w:vAlign w:val="top"/>
          </w:tcPr>
          <w:p>
            <w:pPr>
              <w:pStyle w:val="6"/>
              <w:spacing w:before="53" w:line="248" w:lineRule="auto"/>
              <w:ind w:left="372" w:right="155" w:hanging="209"/>
            </w:pPr>
            <w:r>
              <w:rPr>
                <w:spacing w:val="-3"/>
              </w:rPr>
              <w:t>预测时</w:t>
            </w:r>
            <w:r>
              <w:rPr>
                <w:spacing w:val="1"/>
              </w:rPr>
              <w:t xml:space="preserve"> </w:t>
            </w:r>
            <w:r>
              <w:t>期</w:t>
            </w:r>
          </w:p>
        </w:tc>
        <w:tc>
          <w:tcPr>
            <w:tcW w:w="7718" w:type="dxa"/>
            <w:gridSpan w:val="4"/>
            <w:vAlign w:val="top"/>
          </w:tcPr>
          <w:p>
            <w:pPr>
              <w:pStyle w:val="6"/>
              <w:spacing w:before="54" w:line="234" w:lineRule="auto"/>
              <w:ind w:left="112"/>
              <w:rPr>
                <w:rFonts w:ascii="Times New Roman" w:hAnsi="Times New Roman" w:eastAsia="Times New Roman" w:cs="Times New Roman"/>
              </w:rPr>
            </w:pPr>
            <w:r>
              <w:rPr>
                <w:spacing w:val="6"/>
              </w:rPr>
              <w:t xml:space="preserve">丰水期 </w:t>
            </w:r>
            <w:r>
              <w:rPr>
                <w:rFonts w:ascii="Times New Roman" w:hAnsi="Times New Roman" w:eastAsia="Times New Roman" w:cs="Times New Roman"/>
                <w:spacing w:val="6"/>
              </w:rPr>
              <w:t>□</w:t>
            </w:r>
            <w:r>
              <w:rPr>
                <w:spacing w:val="6"/>
              </w:rPr>
              <w:t>;</w:t>
            </w:r>
            <w:r>
              <w:rPr>
                <w:spacing w:val="70"/>
              </w:rPr>
              <w:t xml:space="preserve"> </w:t>
            </w:r>
            <w:r>
              <w:rPr>
                <w:spacing w:val="6"/>
              </w:rPr>
              <w:t xml:space="preserve">平水期 </w:t>
            </w:r>
            <w:r>
              <w:rPr>
                <w:rFonts w:ascii="Times New Roman" w:hAnsi="Times New Roman" w:eastAsia="Times New Roman" w:cs="Times New Roman"/>
                <w:spacing w:val="6"/>
              </w:rPr>
              <w:t>□</w:t>
            </w:r>
            <w:r>
              <w:rPr>
                <w:spacing w:val="6"/>
              </w:rPr>
              <w:t>;枯水期</w:t>
            </w:r>
            <w:r>
              <w:rPr>
                <w:spacing w:val="16"/>
              </w:rPr>
              <w:t xml:space="preserve"> </w:t>
            </w:r>
            <w:r>
              <w:rPr>
                <w:rFonts w:ascii="Times New Roman" w:hAnsi="Times New Roman" w:eastAsia="Times New Roman" w:cs="Times New Roman"/>
                <w:spacing w:val="6"/>
              </w:rPr>
              <w:t>□</w:t>
            </w:r>
            <w:r>
              <w:rPr>
                <w:spacing w:val="6"/>
              </w:rPr>
              <w:t xml:space="preserve">;冰封期 </w:t>
            </w:r>
            <w:r>
              <w:rPr>
                <w:rFonts w:ascii="Times New Roman" w:hAnsi="Times New Roman" w:eastAsia="Times New Roman" w:cs="Times New Roman"/>
                <w:spacing w:val="6"/>
              </w:rPr>
              <w:t>□</w:t>
            </w:r>
          </w:p>
          <w:p>
            <w:pPr>
              <w:pStyle w:val="6"/>
              <w:spacing w:before="44" w:line="222" w:lineRule="auto"/>
              <w:ind w:left="111"/>
              <w:rPr>
                <w:rFonts w:ascii="Times New Roman" w:hAnsi="Times New Roman" w:eastAsia="Times New Roman" w:cs="Times New Roman"/>
              </w:rPr>
            </w:pPr>
            <w:r>
              <w:rPr>
                <w:spacing w:val="11"/>
              </w:rPr>
              <w:t xml:space="preserve">春季 </w:t>
            </w:r>
            <w:r>
              <w:rPr>
                <w:rFonts w:ascii="Times New Roman" w:hAnsi="Times New Roman" w:eastAsia="Times New Roman" w:cs="Times New Roman"/>
                <w:spacing w:val="11"/>
              </w:rPr>
              <w:t>□</w:t>
            </w:r>
            <w:r>
              <w:rPr>
                <w:spacing w:val="11"/>
              </w:rPr>
              <w:t xml:space="preserve">;夏季 </w:t>
            </w:r>
            <w:r>
              <w:rPr>
                <w:rFonts w:ascii="Times New Roman" w:hAnsi="Times New Roman" w:eastAsia="Times New Roman" w:cs="Times New Roman"/>
                <w:spacing w:val="11"/>
              </w:rPr>
              <w:t>□</w:t>
            </w:r>
            <w:r>
              <w:rPr>
                <w:spacing w:val="11"/>
              </w:rPr>
              <w:t xml:space="preserve">;秋季 </w:t>
            </w:r>
            <w:r>
              <w:rPr>
                <w:rFonts w:ascii="Times New Roman" w:hAnsi="Times New Roman" w:eastAsia="Times New Roman" w:cs="Times New Roman"/>
                <w:spacing w:val="11"/>
              </w:rPr>
              <w:t>□</w:t>
            </w:r>
            <w:r>
              <w:rPr>
                <w:spacing w:val="11"/>
              </w:rPr>
              <w:t>;冬季</w:t>
            </w:r>
            <w:r>
              <w:rPr>
                <w:spacing w:val="39"/>
              </w:rPr>
              <w:t xml:space="preserve"> </w:t>
            </w:r>
            <w:r>
              <w:rPr>
                <w:rFonts w:ascii="Times New Roman" w:hAnsi="Times New Roman" w:eastAsia="Times New Roman" w:cs="Times New Roman"/>
                <w:spacing w:val="11"/>
              </w:rPr>
              <w:t>□</w:t>
            </w:r>
            <w:r>
              <w:rPr>
                <w:spacing w:val="11"/>
              </w:rPr>
              <w:t xml:space="preserve">设计水文条件 </w:t>
            </w:r>
            <w:r>
              <w:rPr>
                <w:rFonts w:ascii="Times New Roman" w:hAnsi="Times New Roman" w:eastAsia="Times New Roman" w:cs="Times New Roman"/>
                <w:spacing w:val="1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7" w:type="dxa"/>
            <w:vMerge w:val="continue"/>
            <w:tcBorders>
              <w:top w:val="nil"/>
              <w:bottom w:val="nil"/>
            </w:tcBorders>
            <w:textDirection w:val="tbRlV"/>
            <w:vAlign w:val="top"/>
          </w:tcPr>
          <w:p>
            <w:pPr>
              <w:rPr>
                <w:rFonts w:ascii="Arial"/>
                <w:sz w:val="21"/>
              </w:rPr>
            </w:pPr>
          </w:p>
        </w:tc>
        <w:tc>
          <w:tcPr>
            <w:tcW w:w="947" w:type="dxa"/>
            <w:vAlign w:val="top"/>
          </w:tcPr>
          <w:p>
            <w:pPr>
              <w:pStyle w:val="6"/>
              <w:spacing w:before="55" w:line="247" w:lineRule="auto"/>
              <w:ind w:left="373" w:right="155" w:hanging="210"/>
            </w:pPr>
            <w:r>
              <w:rPr>
                <w:spacing w:val="-3"/>
              </w:rPr>
              <w:t>预测情</w:t>
            </w:r>
            <w:r>
              <w:rPr>
                <w:spacing w:val="1"/>
              </w:rPr>
              <w:t xml:space="preserve"> </w:t>
            </w:r>
            <w:r>
              <w:t>景</w:t>
            </w:r>
          </w:p>
        </w:tc>
        <w:tc>
          <w:tcPr>
            <w:tcW w:w="7718" w:type="dxa"/>
            <w:gridSpan w:val="4"/>
            <w:vAlign w:val="top"/>
          </w:tcPr>
          <w:p>
            <w:pPr>
              <w:pStyle w:val="6"/>
              <w:spacing w:before="60" w:line="239" w:lineRule="auto"/>
              <w:ind w:left="113" w:right="977"/>
              <w:rPr>
                <w:rFonts w:ascii="Times New Roman" w:hAnsi="Times New Roman" w:eastAsia="Times New Roman" w:cs="Times New Roman"/>
              </w:rPr>
            </w:pPr>
            <w:r>
              <w:rPr>
                <w:spacing w:val="2"/>
              </w:rPr>
              <w:t xml:space="preserve">建设期 </w:t>
            </w:r>
            <w:r>
              <w:rPr>
                <w:rFonts w:ascii="Segoe UI Symbol" w:hAnsi="Segoe UI Symbol" w:eastAsia="Segoe UI Symbol" w:cs="Segoe UI Symbol"/>
                <w:spacing w:val="2"/>
              </w:rPr>
              <w:t>☑</w:t>
            </w:r>
            <w:r>
              <w:rPr>
                <w:spacing w:val="2"/>
              </w:rPr>
              <w:t xml:space="preserve">;生产运行期 </w:t>
            </w:r>
            <w:r>
              <w:rPr>
                <w:rFonts w:ascii="Segoe UI Symbol" w:hAnsi="Segoe UI Symbol" w:eastAsia="Segoe UI Symbol" w:cs="Segoe UI Symbol"/>
                <w:spacing w:val="2"/>
              </w:rPr>
              <w:t>☑</w:t>
            </w:r>
            <w:r>
              <w:rPr>
                <w:spacing w:val="2"/>
              </w:rPr>
              <w:t>;</w:t>
            </w:r>
            <w:r>
              <w:rPr>
                <w:spacing w:val="56"/>
              </w:rPr>
              <w:t xml:space="preserve"> </w:t>
            </w:r>
            <w:r>
              <w:rPr>
                <w:spacing w:val="2"/>
              </w:rPr>
              <w:t xml:space="preserve">服务期满后 </w:t>
            </w:r>
            <w:r>
              <w:rPr>
                <w:rFonts w:ascii="Times New Roman" w:hAnsi="Times New Roman" w:eastAsia="Times New Roman" w:cs="Times New Roman"/>
                <w:spacing w:val="2"/>
              </w:rPr>
              <w:t>□</w:t>
            </w:r>
            <w:r>
              <w:rPr>
                <w:spacing w:val="2"/>
              </w:rPr>
              <w:t>正常工况</w:t>
            </w:r>
            <w:r>
              <w:rPr>
                <w:spacing w:val="17"/>
              </w:rPr>
              <w:t xml:space="preserve"> </w:t>
            </w:r>
            <w:r>
              <w:rPr>
                <w:rFonts w:ascii="Segoe UI Symbol" w:hAnsi="Segoe UI Symbol" w:eastAsia="Segoe UI Symbol" w:cs="Segoe UI Symbol"/>
                <w:spacing w:val="2"/>
              </w:rPr>
              <w:t>☑</w:t>
            </w:r>
            <w:r>
              <w:rPr>
                <w:spacing w:val="2"/>
              </w:rPr>
              <w:t>;非正常工况</w:t>
            </w:r>
            <w:r>
              <w:rPr>
                <w:spacing w:val="14"/>
              </w:rPr>
              <w:t xml:space="preserve"> </w:t>
            </w:r>
            <w:r>
              <w:rPr>
                <w:rFonts w:ascii="Times New Roman" w:hAnsi="Times New Roman" w:eastAsia="Times New Roman" w:cs="Times New Roman"/>
                <w:spacing w:val="1"/>
              </w:rPr>
              <w:t>□</w:t>
            </w:r>
            <w:r>
              <w:rPr>
                <w:spacing w:val="1"/>
              </w:rPr>
              <w:t>;</w:t>
            </w:r>
            <w:r>
              <w:t xml:space="preserve"> </w:t>
            </w:r>
            <w:r>
              <w:rPr>
                <w:spacing w:val="3"/>
              </w:rPr>
              <w:t xml:space="preserve">污染控制和减缓措施方案 </w:t>
            </w:r>
            <w:r>
              <w:rPr>
                <w:rFonts w:ascii="Times New Roman" w:hAnsi="Times New Roman" w:eastAsia="Times New Roman" w:cs="Times New Roman"/>
                <w:spacing w:val="3"/>
              </w:rPr>
              <w:t>□</w:t>
            </w:r>
            <w:r>
              <w:rPr>
                <w:spacing w:val="3"/>
              </w:rPr>
              <w:t xml:space="preserve">;区（流）域环境质量改善目标要求情景 </w:t>
            </w:r>
            <w:r>
              <w:rPr>
                <w:rFonts w:ascii="Times New Roman" w:hAnsi="Times New Roman" w:eastAsia="Times New Roman" w:cs="Times New Roman"/>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7" w:type="dxa"/>
            <w:vMerge w:val="continue"/>
            <w:tcBorders>
              <w:top w:val="nil"/>
            </w:tcBorders>
            <w:textDirection w:val="tbRlV"/>
            <w:vAlign w:val="top"/>
          </w:tcPr>
          <w:p>
            <w:pPr>
              <w:rPr>
                <w:rFonts w:ascii="Arial"/>
                <w:sz w:val="21"/>
              </w:rPr>
            </w:pPr>
          </w:p>
        </w:tc>
        <w:tc>
          <w:tcPr>
            <w:tcW w:w="947" w:type="dxa"/>
            <w:vAlign w:val="top"/>
          </w:tcPr>
          <w:p>
            <w:pPr>
              <w:pStyle w:val="6"/>
              <w:spacing w:before="53" w:line="248" w:lineRule="auto"/>
              <w:ind w:left="370" w:right="155" w:hanging="207"/>
            </w:pPr>
            <w:r>
              <w:rPr>
                <w:spacing w:val="-3"/>
              </w:rPr>
              <w:t>预测方</w:t>
            </w:r>
            <w:r>
              <w:rPr>
                <w:spacing w:val="1"/>
              </w:rPr>
              <w:t xml:space="preserve"> </w:t>
            </w:r>
            <w:r>
              <w:t>法</w:t>
            </w:r>
          </w:p>
        </w:tc>
        <w:tc>
          <w:tcPr>
            <w:tcW w:w="7718" w:type="dxa"/>
            <w:gridSpan w:val="4"/>
            <w:vAlign w:val="top"/>
          </w:tcPr>
          <w:p>
            <w:pPr>
              <w:pStyle w:val="6"/>
              <w:spacing w:before="54" w:line="319" w:lineRule="exact"/>
              <w:ind w:left="113"/>
              <w:rPr>
                <w:rFonts w:ascii="Times New Roman" w:hAnsi="Times New Roman" w:eastAsia="Times New Roman" w:cs="Times New Roman"/>
              </w:rPr>
            </w:pPr>
            <w:r>
              <w:rPr>
                <w:spacing w:val="6"/>
                <w:position w:val="7"/>
              </w:rPr>
              <w:t xml:space="preserve">数值解 </w:t>
            </w:r>
            <w:r>
              <w:rPr>
                <w:rFonts w:ascii="Times New Roman" w:hAnsi="Times New Roman" w:eastAsia="Times New Roman" w:cs="Times New Roman"/>
                <w:spacing w:val="6"/>
                <w:position w:val="7"/>
              </w:rPr>
              <w:t>□</w:t>
            </w:r>
            <w:r>
              <w:rPr>
                <w:spacing w:val="6"/>
                <w:position w:val="7"/>
              </w:rPr>
              <w:t xml:space="preserve">：解析解 </w:t>
            </w:r>
            <w:r>
              <w:rPr>
                <w:rFonts w:ascii="Times New Roman" w:hAnsi="Times New Roman" w:eastAsia="Times New Roman" w:cs="Times New Roman"/>
                <w:spacing w:val="6"/>
                <w:position w:val="7"/>
              </w:rPr>
              <w:t>□</w:t>
            </w:r>
            <w:r>
              <w:rPr>
                <w:spacing w:val="6"/>
                <w:position w:val="7"/>
              </w:rPr>
              <w:t>;其他</w:t>
            </w:r>
            <w:r>
              <w:rPr>
                <w:spacing w:val="22"/>
                <w:position w:val="7"/>
              </w:rPr>
              <w:t xml:space="preserve"> </w:t>
            </w:r>
            <w:r>
              <w:rPr>
                <w:rFonts w:ascii="Times New Roman" w:hAnsi="Times New Roman" w:eastAsia="Times New Roman" w:cs="Times New Roman"/>
                <w:spacing w:val="6"/>
                <w:position w:val="7"/>
              </w:rPr>
              <w:t>□</w:t>
            </w:r>
          </w:p>
          <w:p>
            <w:pPr>
              <w:pStyle w:val="6"/>
              <w:spacing w:before="1" w:line="202" w:lineRule="auto"/>
              <w:ind w:left="117"/>
              <w:rPr>
                <w:rFonts w:ascii="Segoe UI Symbol" w:hAnsi="Segoe UI Symbol" w:eastAsia="Segoe UI Symbol" w:cs="Segoe UI Symbol"/>
              </w:rPr>
            </w:pPr>
            <w:r>
              <w:rPr>
                <w:spacing w:val="-1"/>
              </w:rPr>
              <w:t xml:space="preserve">导则推荐模式 </w:t>
            </w:r>
            <w:r>
              <w:rPr>
                <w:rFonts w:ascii="Times New Roman" w:hAnsi="Times New Roman" w:eastAsia="Times New Roman" w:cs="Times New Roman"/>
                <w:spacing w:val="-1"/>
              </w:rPr>
              <w:t>□</w:t>
            </w:r>
            <w:r>
              <w:rPr>
                <w:spacing w:val="-1"/>
              </w:rPr>
              <w:t>：其他</w:t>
            </w:r>
            <w:r>
              <w:rPr>
                <w:spacing w:val="15"/>
              </w:rPr>
              <w:t xml:space="preserve"> </w:t>
            </w:r>
            <w:r>
              <w:rPr>
                <w:rFonts w:ascii="Segoe UI Symbol" w:hAnsi="Segoe UI Symbol" w:eastAsia="Segoe UI Symbol" w:cs="Segoe UI Symbol"/>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37" w:type="dxa"/>
            <w:vMerge w:val="restart"/>
            <w:tcBorders>
              <w:bottom w:val="nil"/>
            </w:tcBorders>
            <w:textDirection w:val="tbRlV"/>
            <w:vAlign w:val="top"/>
          </w:tcPr>
          <w:p>
            <w:pPr>
              <w:pStyle w:val="6"/>
              <w:spacing w:before="113" w:line="208" w:lineRule="auto"/>
              <w:ind w:left="2561"/>
            </w:pPr>
            <w:r>
              <w:t>影 响</w:t>
            </w:r>
            <w:r>
              <w:rPr>
                <w:spacing w:val="-5"/>
              </w:rPr>
              <w:t xml:space="preserve"> </w:t>
            </w:r>
            <w:r>
              <w:t>评</w:t>
            </w:r>
            <w:r>
              <w:rPr>
                <w:spacing w:val="-4"/>
              </w:rPr>
              <w:t xml:space="preserve"> </w:t>
            </w:r>
            <w:r>
              <w:t>价</w:t>
            </w:r>
          </w:p>
        </w:tc>
        <w:tc>
          <w:tcPr>
            <w:tcW w:w="947" w:type="dxa"/>
            <w:vAlign w:val="top"/>
          </w:tcPr>
          <w:p>
            <w:pPr>
              <w:pStyle w:val="6"/>
              <w:spacing w:before="58" w:line="266" w:lineRule="auto"/>
              <w:ind w:left="160" w:right="155" w:firstLine="3"/>
              <w:jc w:val="both"/>
            </w:pPr>
            <w:r>
              <w:rPr>
                <w:spacing w:val="-3"/>
              </w:rPr>
              <w:t>水污染</w:t>
            </w:r>
            <w:r>
              <w:t xml:space="preserve"> </w:t>
            </w:r>
            <w:r>
              <w:rPr>
                <w:spacing w:val="-2"/>
              </w:rPr>
              <w:t>控制和</w:t>
            </w:r>
            <w:r>
              <w:rPr>
                <w:spacing w:val="1"/>
              </w:rPr>
              <w:t xml:space="preserve"> </w:t>
            </w:r>
            <w:r>
              <w:rPr>
                <w:spacing w:val="-2"/>
              </w:rPr>
              <w:t>水环境</w:t>
            </w:r>
            <w:r>
              <w:rPr>
                <w:spacing w:val="1"/>
              </w:rPr>
              <w:t xml:space="preserve"> </w:t>
            </w:r>
            <w:r>
              <w:rPr>
                <w:spacing w:val="-2"/>
              </w:rPr>
              <w:t>影响减</w:t>
            </w:r>
            <w:r>
              <w:rPr>
                <w:spacing w:val="1"/>
              </w:rPr>
              <w:t xml:space="preserve"> </w:t>
            </w:r>
            <w:r>
              <w:rPr>
                <w:spacing w:val="-2"/>
              </w:rPr>
              <w:t>缓措施</w:t>
            </w:r>
            <w:r>
              <w:rPr>
                <w:spacing w:val="1"/>
              </w:rPr>
              <w:t xml:space="preserve"> </w:t>
            </w:r>
            <w:r>
              <w:rPr>
                <w:spacing w:val="-2"/>
              </w:rPr>
              <w:t>有效性</w:t>
            </w:r>
            <w:r>
              <w:rPr>
                <w:spacing w:val="1"/>
              </w:rPr>
              <w:t xml:space="preserve"> </w:t>
            </w:r>
            <w:r>
              <w:rPr>
                <w:spacing w:val="50"/>
              </w:rPr>
              <w:t>评价</w:t>
            </w:r>
          </w:p>
        </w:tc>
        <w:tc>
          <w:tcPr>
            <w:tcW w:w="7718" w:type="dxa"/>
            <w:gridSpan w:val="4"/>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8" w:line="233" w:lineRule="auto"/>
              <w:ind w:left="127"/>
              <w:rPr>
                <w:rFonts w:ascii="Times New Roman" w:hAnsi="Times New Roman" w:eastAsia="Times New Roman" w:cs="Times New Roman"/>
              </w:rPr>
            </w:pPr>
            <w:r>
              <w:rPr>
                <w:spacing w:val="-3"/>
              </w:rPr>
              <w:t xml:space="preserve">区（流）域水环境质量改善目标 </w:t>
            </w:r>
            <w:r>
              <w:rPr>
                <w:rFonts w:ascii="Times New Roman" w:hAnsi="Times New Roman" w:eastAsia="Times New Roman" w:cs="Times New Roman"/>
                <w:spacing w:val="-3"/>
              </w:rPr>
              <w:t>□</w:t>
            </w:r>
            <w:r>
              <w:rPr>
                <w:spacing w:val="-3"/>
              </w:rPr>
              <w:t>;</w:t>
            </w:r>
            <w:r>
              <w:rPr>
                <w:spacing w:val="67"/>
              </w:rPr>
              <w:t xml:space="preserve"> </w:t>
            </w:r>
            <w:r>
              <w:rPr>
                <w:spacing w:val="-3"/>
              </w:rPr>
              <w:t xml:space="preserve">替代削减源 </w:t>
            </w:r>
            <w:r>
              <w:rPr>
                <w:rFonts w:ascii="Times New Roman" w:hAnsi="Times New Roman" w:eastAsia="Times New Roman" w:cs="Times New Roman"/>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8" w:hRule="atLeast"/>
        </w:trPr>
        <w:tc>
          <w:tcPr>
            <w:tcW w:w="437" w:type="dxa"/>
            <w:vMerge w:val="continue"/>
            <w:tcBorders>
              <w:top w:val="nil"/>
              <w:bottom w:val="nil"/>
            </w:tcBorders>
            <w:textDirection w:val="tbRlV"/>
            <w:vAlign w:val="top"/>
          </w:tcPr>
          <w:p>
            <w:pPr>
              <w:rPr>
                <w:rFonts w:ascii="Arial"/>
                <w:sz w:val="21"/>
              </w:rPr>
            </w:pPr>
          </w:p>
        </w:tc>
        <w:tc>
          <w:tcPr>
            <w:tcW w:w="947"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9" w:line="221" w:lineRule="auto"/>
              <w:ind w:left="163"/>
            </w:pPr>
            <w:r>
              <w:rPr>
                <w:spacing w:val="-2"/>
              </w:rPr>
              <w:t>水环境</w:t>
            </w:r>
          </w:p>
          <w:p>
            <w:pPr>
              <w:pStyle w:val="6"/>
              <w:spacing w:before="61" w:line="221" w:lineRule="auto"/>
              <w:ind w:left="161"/>
            </w:pPr>
            <w:r>
              <w:rPr>
                <w:spacing w:val="-2"/>
              </w:rPr>
              <w:t>影响评</w:t>
            </w:r>
          </w:p>
          <w:p>
            <w:pPr>
              <w:pStyle w:val="6"/>
              <w:spacing w:before="60" w:line="219" w:lineRule="auto"/>
              <w:ind w:left="371"/>
            </w:pPr>
            <w:r>
              <w:t>价</w:t>
            </w:r>
          </w:p>
        </w:tc>
        <w:tc>
          <w:tcPr>
            <w:tcW w:w="7718" w:type="dxa"/>
            <w:gridSpan w:val="4"/>
            <w:vAlign w:val="top"/>
          </w:tcPr>
          <w:p>
            <w:pPr>
              <w:pStyle w:val="6"/>
              <w:spacing w:before="56" w:line="234" w:lineRule="auto"/>
              <w:ind w:left="111"/>
              <w:rPr>
                <w:rFonts w:ascii="Times New Roman" w:hAnsi="Times New Roman" w:eastAsia="Times New Roman" w:cs="Times New Roman"/>
              </w:rPr>
            </w:pPr>
            <w:r>
              <w:t xml:space="preserve">排放口混合区外满足水环境管理要求 </w:t>
            </w:r>
            <w:r>
              <w:rPr>
                <w:rFonts w:ascii="Times New Roman" w:hAnsi="Times New Roman" w:eastAsia="Times New Roman" w:cs="Times New Roman"/>
              </w:rPr>
              <w:t>□</w:t>
            </w:r>
          </w:p>
          <w:p>
            <w:pPr>
              <w:pStyle w:val="6"/>
              <w:spacing w:before="45" w:line="320" w:lineRule="exact"/>
              <w:ind w:left="114"/>
              <w:rPr>
                <w:rFonts w:ascii="Times New Roman" w:hAnsi="Times New Roman" w:eastAsia="Times New Roman" w:cs="Times New Roman"/>
              </w:rPr>
            </w:pPr>
            <w:r>
              <w:rPr>
                <w:position w:val="7"/>
              </w:rPr>
              <w:t xml:space="preserve">水环境功能区或水功能区、近岸海域环境功能区水质达标 </w:t>
            </w:r>
            <w:r>
              <w:rPr>
                <w:rFonts w:ascii="Times New Roman" w:hAnsi="Times New Roman" w:eastAsia="Times New Roman" w:cs="Times New Roman"/>
                <w:position w:val="7"/>
              </w:rPr>
              <w:t>□</w:t>
            </w:r>
          </w:p>
          <w:p>
            <w:pPr>
              <w:pStyle w:val="6"/>
              <w:spacing w:before="1" w:line="220" w:lineRule="auto"/>
              <w:ind w:left="111"/>
              <w:rPr>
                <w:rFonts w:ascii="Segoe UI Symbol" w:hAnsi="Segoe UI Symbol" w:eastAsia="Segoe UI Symbol" w:cs="Segoe UI Symbol"/>
              </w:rPr>
            </w:pPr>
            <w:r>
              <w:t xml:space="preserve">满足水环境保护目标水域水环境质量要求 </w:t>
            </w:r>
            <w:r>
              <w:rPr>
                <w:rFonts w:ascii="Segoe UI Symbol" w:hAnsi="Segoe UI Symbol" w:eastAsia="Segoe UI Symbol" w:cs="Segoe UI Symbol"/>
              </w:rPr>
              <w:t>☑</w:t>
            </w:r>
          </w:p>
          <w:p>
            <w:pPr>
              <w:pStyle w:val="6"/>
              <w:spacing w:before="39" w:line="234" w:lineRule="auto"/>
              <w:ind w:left="114"/>
              <w:rPr>
                <w:rFonts w:ascii="Times New Roman" w:hAnsi="Times New Roman" w:eastAsia="Times New Roman" w:cs="Times New Roman"/>
              </w:rPr>
            </w:pPr>
            <w:r>
              <w:t xml:space="preserve">水环境控制单元或断面水质达标 </w:t>
            </w:r>
            <w:r>
              <w:rPr>
                <w:rFonts w:ascii="Times New Roman" w:hAnsi="Times New Roman" w:eastAsia="Times New Roman" w:cs="Times New Roman"/>
              </w:rPr>
              <w:t>□</w:t>
            </w:r>
          </w:p>
          <w:p>
            <w:pPr>
              <w:pStyle w:val="6"/>
              <w:spacing w:before="44" w:line="254" w:lineRule="auto"/>
              <w:ind w:left="114" w:right="103" w:hanging="3"/>
              <w:rPr>
                <w:rFonts w:ascii="Times New Roman" w:hAnsi="Times New Roman" w:eastAsia="Times New Roman" w:cs="Times New Roman"/>
              </w:rPr>
            </w:pPr>
            <w:r>
              <w:rPr>
                <w:spacing w:val="-2"/>
              </w:rPr>
              <w:t>满足重点水污染物排放总量控制指标要求，重点行业建设项目，主要污染物排放满</w:t>
            </w:r>
            <w:r>
              <w:rPr>
                <w:spacing w:val="8"/>
              </w:rPr>
              <w:t xml:space="preserve"> </w:t>
            </w:r>
            <w:r>
              <w:t xml:space="preserve">足等量或减量替代要求 </w:t>
            </w:r>
            <w:r>
              <w:rPr>
                <w:rFonts w:ascii="Times New Roman" w:hAnsi="Times New Roman" w:eastAsia="Times New Roman" w:cs="Times New Roman"/>
              </w:rPr>
              <w:t>□</w:t>
            </w:r>
          </w:p>
          <w:p>
            <w:pPr>
              <w:pStyle w:val="6"/>
              <w:spacing w:before="47" w:line="234" w:lineRule="auto"/>
              <w:ind w:left="111"/>
              <w:rPr>
                <w:rFonts w:ascii="Times New Roman" w:hAnsi="Times New Roman" w:eastAsia="Times New Roman" w:cs="Times New Roman"/>
              </w:rPr>
            </w:pPr>
            <w:r>
              <w:t xml:space="preserve">满足区（流）域水环境质量改善目标要求 </w:t>
            </w:r>
            <w:r>
              <w:rPr>
                <w:rFonts w:ascii="Times New Roman" w:hAnsi="Times New Roman" w:eastAsia="Times New Roman" w:cs="Times New Roman"/>
              </w:rPr>
              <w:t>□</w:t>
            </w:r>
          </w:p>
          <w:p>
            <w:pPr>
              <w:pStyle w:val="6"/>
              <w:spacing w:before="44" w:line="254" w:lineRule="auto"/>
              <w:ind w:left="112" w:right="112" w:firstLine="1"/>
              <w:rPr>
                <w:rFonts w:ascii="Times New Roman" w:hAnsi="Times New Roman" w:eastAsia="Times New Roman" w:cs="Times New Roman"/>
              </w:rPr>
            </w:pPr>
            <w:r>
              <w:rPr>
                <w:spacing w:val="4"/>
              </w:rPr>
              <w:t>水文要素影响型建设项目同时应包括水文情势变化评价、主要水文</w:t>
            </w:r>
            <w:r>
              <w:rPr>
                <w:spacing w:val="3"/>
              </w:rPr>
              <w:t>特征值影响评</w:t>
            </w:r>
            <w:r>
              <w:t xml:space="preserve"> 价、生态流量符合性评价 </w:t>
            </w:r>
            <w:r>
              <w:rPr>
                <w:rFonts w:ascii="Times New Roman" w:hAnsi="Times New Roman" w:eastAsia="Times New Roman" w:cs="Times New Roman"/>
              </w:rPr>
              <w:t>□</w:t>
            </w:r>
          </w:p>
          <w:p>
            <w:pPr>
              <w:pStyle w:val="6"/>
              <w:spacing w:before="46" w:line="254" w:lineRule="auto"/>
              <w:ind w:left="111" w:right="101"/>
              <w:rPr>
                <w:rFonts w:ascii="Times New Roman" w:hAnsi="Times New Roman" w:eastAsia="Times New Roman" w:cs="Times New Roman"/>
              </w:rPr>
            </w:pPr>
            <w:r>
              <w:rPr>
                <w:spacing w:val="-2"/>
              </w:rPr>
              <w:t>对于新设或调整入河（湖库、近岸海域）排放口的建设项目，应包括排放口设置的</w:t>
            </w:r>
            <w:r>
              <w:rPr>
                <w:spacing w:val="11"/>
              </w:rPr>
              <w:t xml:space="preserve"> </w:t>
            </w:r>
            <w:r>
              <w:rPr>
                <w:spacing w:val="1"/>
              </w:rPr>
              <w:t xml:space="preserve">环境合理性评价 </w:t>
            </w:r>
            <w:r>
              <w:rPr>
                <w:rFonts w:ascii="Times New Roman" w:hAnsi="Times New Roman" w:eastAsia="Times New Roman" w:cs="Times New Roman"/>
                <w:spacing w:val="1"/>
              </w:rPr>
              <w:t>□</w:t>
            </w:r>
          </w:p>
          <w:p>
            <w:pPr>
              <w:pStyle w:val="6"/>
              <w:spacing w:before="55" w:line="201" w:lineRule="auto"/>
              <w:ind w:left="111"/>
              <w:rPr>
                <w:rFonts w:ascii="Segoe UI Symbol" w:hAnsi="Segoe UI Symbol" w:eastAsia="Segoe UI Symbol" w:cs="Segoe UI Symbol"/>
              </w:rPr>
            </w:pPr>
            <w:r>
              <w:t xml:space="preserve">满足生态保护红线、水环境质量底线、资源利用上线和环境准入清单管理要求 </w:t>
            </w:r>
            <w:r>
              <w:rPr>
                <w:rFonts w:ascii="Segoe UI Symbol" w:hAnsi="Segoe UI Symbol" w:eastAsia="Segoe UI Symbol" w:cs="Segoe UI Symbo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37" w:type="dxa"/>
            <w:vMerge w:val="continue"/>
            <w:tcBorders>
              <w:top w:val="nil"/>
            </w:tcBorders>
            <w:textDirection w:val="tbRlV"/>
            <w:vAlign w:val="top"/>
          </w:tcPr>
          <w:p>
            <w:pPr>
              <w:rPr>
                <w:rFonts w:ascii="Arial"/>
                <w:sz w:val="21"/>
              </w:rPr>
            </w:pPr>
          </w:p>
        </w:tc>
        <w:tc>
          <w:tcPr>
            <w:tcW w:w="947" w:type="dxa"/>
            <w:vAlign w:val="top"/>
          </w:tcPr>
          <w:p>
            <w:pPr>
              <w:pStyle w:val="6"/>
              <w:spacing w:before="59" w:line="221" w:lineRule="auto"/>
              <w:ind w:left="163"/>
            </w:pPr>
            <w:r>
              <w:rPr>
                <w:spacing w:val="-2"/>
              </w:rPr>
              <w:t>污染源</w:t>
            </w:r>
          </w:p>
        </w:tc>
        <w:tc>
          <w:tcPr>
            <w:tcW w:w="2342" w:type="dxa"/>
            <w:vAlign w:val="top"/>
          </w:tcPr>
          <w:p>
            <w:pPr>
              <w:pStyle w:val="6"/>
              <w:spacing w:before="59" w:line="221" w:lineRule="auto"/>
              <w:ind w:left="651"/>
            </w:pPr>
            <w:r>
              <w:rPr>
                <w:spacing w:val="-2"/>
              </w:rPr>
              <w:t>污染物名称</w:t>
            </w:r>
          </w:p>
        </w:tc>
        <w:tc>
          <w:tcPr>
            <w:tcW w:w="3083" w:type="dxa"/>
            <w:vAlign w:val="top"/>
          </w:tcPr>
          <w:p>
            <w:pPr>
              <w:pStyle w:val="6"/>
              <w:spacing w:before="59" w:line="224" w:lineRule="auto"/>
              <w:ind w:left="888"/>
            </w:pPr>
            <w:r>
              <w:rPr>
                <w:spacing w:val="-1"/>
              </w:rPr>
              <w:t>排放量</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t/a</w:t>
            </w:r>
            <w:r>
              <w:rPr>
                <w:spacing w:val="-1"/>
              </w:rPr>
              <w:t>）</w:t>
            </w:r>
          </w:p>
        </w:tc>
        <w:tc>
          <w:tcPr>
            <w:tcW w:w="2293" w:type="dxa"/>
            <w:gridSpan w:val="2"/>
            <w:vAlign w:val="top"/>
          </w:tcPr>
          <w:p>
            <w:pPr>
              <w:pStyle w:val="6"/>
              <w:spacing w:before="60" w:line="213" w:lineRule="auto"/>
              <w:ind w:left="263"/>
            </w:pPr>
            <w:r>
              <w:rPr>
                <w:spacing w:val="-1"/>
              </w:rPr>
              <w:t>排放浓度</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mg/L</w:t>
            </w:r>
            <w:r>
              <w:rPr>
                <w:spacing w:val="-1"/>
              </w:rPr>
              <w:t>）</w:t>
            </w:r>
          </w:p>
        </w:tc>
      </w:tr>
    </w:tbl>
    <w:p>
      <w:pPr>
        <w:pStyle w:val="2"/>
      </w:pPr>
    </w:p>
    <w:p>
      <w:pPr>
        <w:sectPr>
          <w:footerReference r:id="rId393" w:type="default"/>
          <w:pgSz w:w="11907" w:h="16839"/>
          <w:pgMar w:top="1118" w:right="1399" w:bottom="1177" w:left="1399" w:header="879" w:footer="1013" w:gutter="0"/>
          <w:cols w:space="720" w:num="1"/>
        </w:sectPr>
      </w:pPr>
    </w:p>
    <w:p>
      <w:pPr>
        <w:spacing w:before="80"/>
      </w:pPr>
    </w:p>
    <w:tbl>
      <w:tblPr>
        <w:tblStyle w:val="5"/>
        <w:tblW w:w="91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7"/>
        <w:gridCol w:w="947"/>
        <w:gridCol w:w="1197"/>
        <w:gridCol w:w="1144"/>
        <w:gridCol w:w="1699"/>
        <w:gridCol w:w="273"/>
        <w:gridCol w:w="1111"/>
        <w:gridCol w:w="1138"/>
        <w:gridCol w:w="11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37" w:type="dxa"/>
            <w:vMerge w:val="restart"/>
            <w:tcBorders>
              <w:bottom w:val="nil"/>
            </w:tcBorders>
            <w:vAlign w:val="top"/>
          </w:tcPr>
          <w:p>
            <w:pPr>
              <w:rPr>
                <w:rFonts w:ascii="Arial"/>
                <w:sz w:val="21"/>
              </w:rPr>
            </w:pPr>
          </w:p>
        </w:tc>
        <w:tc>
          <w:tcPr>
            <w:tcW w:w="947" w:type="dxa"/>
            <w:vAlign w:val="top"/>
          </w:tcPr>
          <w:p>
            <w:pPr>
              <w:pStyle w:val="6"/>
              <w:spacing w:before="56" w:line="222" w:lineRule="auto"/>
              <w:ind w:left="161"/>
            </w:pPr>
            <w:r>
              <w:rPr>
                <w:spacing w:val="-2"/>
              </w:rPr>
              <w:t>排放量</w:t>
            </w:r>
          </w:p>
          <w:p>
            <w:pPr>
              <w:pStyle w:val="6"/>
              <w:spacing w:before="59" w:line="220" w:lineRule="auto"/>
              <w:ind w:left="269"/>
            </w:pPr>
            <w:r>
              <w:rPr>
                <w:spacing w:val="-3"/>
              </w:rPr>
              <w:t>核算</w:t>
            </w:r>
          </w:p>
        </w:tc>
        <w:tc>
          <w:tcPr>
            <w:tcW w:w="2341" w:type="dxa"/>
            <w:gridSpan w:val="2"/>
            <w:vAlign w:val="top"/>
          </w:tcPr>
          <w:p>
            <w:pPr>
              <w:rPr>
                <w:rFonts w:ascii="Arial"/>
                <w:sz w:val="21"/>
              </w:rPr>
            </w:pPr>
          </w:p>
        </w:tc>
        <w:tc>
          <w:tcPr>
            <w:tcW w:w="3083" w:type="dxa"/>
            <w:gridSpan w:val="3"/>
            <w:vAlign w:val="top"/>
          </w:tcPr>
          <w:p>
            <w:pPr>
              <w:rPr>
                <w:rFonts w:ascii="Arial"/>
                <w:sz w:val="21"/>
              </w:rPr>
            </w:pPr>
          </w:p>
        </w:tc>
        <w:tc>
          <w:tcPr>
            <w:tcW w:w="229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7" w:type="dxa"/>
            <w:vMerge w:val="continue"/>
            <w:tcBorders>
              <w:top w:val="nil"/>
              <w:bottom w:val="nil"/>
            </w:tcBorders>
            <w:vAlign w:val="top"/>
          </w:tcPr>
          <w:p>
            <w:pPr>
              <w:rPr>
                <w:rFonts w:ascii="Arial"/>
                <w:sz w:val="21"/>
              </w:rPr>
            </w:pPr>
          </w:p>
        </w:tc>
        <w:tc>
          <w:tcPr>
            <w:tcW w:w="947" w:type="dxa"/>
            <w:vMerge w:val="restart"/>
            <w:tcBorders>
              <w:bottom w:val="nil"/>
            </w:tcBorders>
            <w:vAlign w:val="top"/>
          </w:tcPr>
          <w:p>
            <w:pPr>
              <w:pStyle w:val="6"/>
              <w:spacing w:before="56" w:line="219" w:lineRule="auto"/>
              <w:ind w:left="170"/>
            </w:pPr>
            <w:r>
              <w:rPr>
                <w:spacing w:val="-4"/>
              </w:rPr>
              <w:t>替代源</w:t>
            </w:r>
          </w:p>
          <w:p>
            <w:pPr>
              <w:pStyle w:val="6"/>
              <w:spacing w:before="63" w:line="221" w:lineRule="auto"/>
              <w:ind w:left="161"/>
            </w:pPr>
            <w:r>
              <w:rPr>
                <w:spacing w:val="-2"/>
              </w:rPr>
              <w:t>排放情</w:t>
            </w:r>
          </w:p>
          <w:p>
            <w:pPr>
              <w:pStyle w:val="6"/>
              <w:spacing w:before="60" w:line="221" w:lineRule="auto"/>
              <w:ind w:left="371"/>
            </w:pPr>
            <w:r>
              <w:t>况</w:t>
            </w:r>
          </w:p>
        </w:tc>
        <w:tc>
          <w:tcPr>
            <w:tcW w:w="2341" w:type="dxa"/>
            <w:gridSpan w:val="2"/>
            <w:vAlign w:val="top"/>
          </w:tcPr>
          <w:p>
            <w:pPr>
              <w:pStyle w:val="6"/>
              <w:spacing w:before="208" w:line="221" w:lineRule="auto"/>
              <w:ind w:left="651"/>
            </w:pPr>
            <w:r>
              <w:rPr>
                <w:spacing w:val="-2"/>
              </w:rPr>
              <w:t>污染源名称</w:t>
            </w:r>
          </w:p>
        </w:tc>
        <w:tc>
          <w:tcPr>
            <w:tcW w:w="1699" w:type="dxa"/>
            <w:vAlign w:val="top"/>
          </w:tcPr>
          <w:p>
            <w:pPr>
              <w:pStyle w:val="6"/>
              <w:spacing w:before="207" w:line="221" w:lineRule="auto"/>
              <w:ind w:left="118"/>
            </w:pPr>
            <w:r>
              <w:rPr>
                <w:spacing w:val="-1"/>
              </w:rPr>
              <w:t>排污许可证编号</w:t>
            </w:r>
          </w:p>
        </w:tc>
        <w:tc>
          <w:tcPr>
            <w:tcW w:w="1384" w:type="dxa"/>
            <w:gridSpan w:val="2"/>
            <w:vAlign w:val="top"/>
          </w:tcPr>
          <w:p>
            <w:pPr>
              <w:pStyle w:val="6"/>
              <w:spacing w:before="208" w:line="221" w:lineRule="auto"/>
              <w:ind w:left="176"/>
            </w:pPr>
            <w:r>
              <w:rPr>
                <w:spacing w:val="-2"/>
              </w:rPr>
              <w:t>污染物名称</w:t>
            </w:r>
          </w:p>
        </w:tc>
        <w:tc>
          <w:tcPr>
            <w:tcW w:w="1138" w:type="dxa"/>
            <w:vAlign w:val="top"/>
          </w:tcPr>
          <w:p>
            <w:pPr>
              <w:pStyle w:val="6"/>
              <w:spacing w:before="51" w:line="249" w:lineRule="auto"/>
              <w:ind w:left="268" w:right="217" w:hanging="37"/>
            </w:pPr>
            <w:r>
              <w:rPr>
                <w:spacing w:val="-1"/>
              </w:rPr>
              <w:t>排放量</w:t>
            </w:r>
            <w:r>
              <w:rPr>
                <w:rFonts w:ascii="Times New Roman" w:hAnsi="Times New Roman" w:eastAsia="Times New Roman" w:cs="Times New Roman"/>
                <w:spacing w:val="-1"/>
              </w:rPr>
              <w:t>/</w:t>
            </w:r>
            <w:r>
              <w:rPr>
                <w:rFonts w:ascii="Times New Roman" w:hAnsi="Times New Roman" w:eastAsia="Times New Roman" w:cs="Times New Roman"/>
              </w:rPr>
              <w:t xml:space="preserve"> </w:t>
            </w:r>
            <w:r>
              <w:rPr>
                <w:spacing w:val="-3"/>
              </w:rPr>
              <w:t>（</w:t>
            </w:r>
            <w:r>
              <w:rPr>
                <w:rFonts w:ascii="Times New Roman" w:hAnsi="Times New Roman" w:eastAsia="Times New Roman" w:cs="Times New Roman"/>
                <w:spacing w:val="-3"/>
              </w:rPr>
              <w:t>t/a</w:t>
            </w:r>
            <w:r>
              <w:rPr>
                <w:spacing w:val="-3"/>
              </w:rPr>
              <w:t>）</w:t>
            </w:r>
          </w:p>
        </w:tc>
        <w:tc>
          <w:tcPr>
            <w:tcW w:w="1156" w:type="dxa"/>
            <w:vAlign w:val="top"/>
          </w:tcPr>
          <w:p>
            <w:pPr>
              <w:pStyle w:val="6"/>
              <w:spacing w:before="51" w:line="244" w:lineRule="auto"/>
              <w:ind w:left="149" w:right="122" w:hanging="15"/>
            </w:pPr>
            <w:r>
              <w:rPr>
                <w:spacing w:val="-2"/>
              </w:rPr>
              <w:t>排放浓度</w:t>
            </w:r>
            <w:r>
              <w:rPr>
                <w:rFonts w:ascii="Times New Roman" w:hAnsi="Times New Roman" w:eastAsia="Times New Roman" w:cs="Times New Roman"/>
                <w:spacing w:val="-2"/>
              </w:rPr>
              <w:t>/</w:t>
            </w:r>
            <w:r>
              <w:rPr>
                <w:rFonts w:ascii="Times New Roman" w:hAnsi="Times New Roman" w:eastAsia="Times New Roman" w:cs="Times New Roman"/>
                <w:spacing w:val="3"/>
              </w:rPr>
              <w:t xml:space="preserve"> </w:t>
            </w:r>
            <w:r>
              <w:rPr>
                <w:spacing w:val="-3"/>
              </w:rPr>
              <w:t>（</w:t>
            </w:r>
            <w:r>
              <w:rPr>
                <w:rFonts w:ascii="Times New Roman" w:hAnsi="Times New Roman" w:eastAsia="Times New Roman" w:cs="Times New Roman"/>
                <w:spacing w:val="-3"/>
              </w:rPr>
              <w:t>mg/L</w:t>
            </w:r>
            <w:r>
              <w:rPr>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37" w:type="dxa"/>
            <w:vMerge w:val="continue"/>
            <w:tcBorders>
              <w:top w:val="nil"/>
              <w:bottom w:val="nil"/>
            </w:tcBorders>
            <w:vAlign w:val="top"/>
          </w:tcPr>
          <w:p>
            <w:pPr>
              <w:rPr>
                <w:rFonts w:ascii="Arial"/>
                <w:sz w:val="21"/>
              </w:rPr>
            </w:pPr>
          </w:p>
        </w:tc>
        <w:tc>
          <w:tcPr>
            <w:tcW w:w="947" w:type="dxa"/>
            <w:vMerge w:val="continue"/>
            <w:tcBorders>
              <w:top w:val="nil"/>
            </w:tcBorders>
            <w:vAlign w:val="top"/>
          </w:tcPr>
          <w:p>
            <w:pPr>
              <w:rPr>
                <w:rFonts w:ascii="Arial"/>
                <w:sz w:val="21"/>
              </w:rPr>
            </w:pPr>
          </w:p>
        </w:tc>
        <w:tc>
          <w:tcPr>
            <w:tcW w:w="2341" w:type="dxa"/>
            <w:gridSpan w:val="2"/>
            <w:vAlign w:val="top"/>
          </w:tcPr>
          <w:p>
            <w:pPr>
              <w:rPr>
                <w:rFonts w:ascii="Arial"/>
                <w:sz w:val="21"/>
              </w:rPr>
            </w:pPr>
          </w:p>
        </w:tc>
        <w:tc>
          <w:tcPr>
            <w:tcW w:w="1699" w:type="dxa"/>
            <w:vAlign w:val="top"/>
          </w:tcPr>
          <w:p>
            <w:pPr>
              <w:rPr>
                <w:rFonts w:ascii="Arial"/>
                <w:sz w:val="21"/>
              </w:rPr>
            </w:pPr>
          </w:p>
        </w:tc>
        <w:tc>
          <w:tcPr>
            <w:tcW w:w="1384" w:type="dxa"/>
            <w:gridSpan w:val="2"/>
            <w:vAlign w:val="top"/>
          </w:tcPr>
          <w:p>
            <w:pPr>
              <w:rPr>
                <w:rFonts w:ascii="Arial"/>
                <w:sz w:val="21"/>
              </w:rPr>
            </w:pPr>
          </w:p>
        </w:tc>
        <w:tc>
          <w:tcPr>
            <w:tcW w:w="1138" w:type="dxa"/>
            <w:vAlign w:val="top"/>
          </w:tcPr>
          <w:p>
            <w:pPr>
              <w:rPr>
                <w:rFonts w:ascii="Arial"/>
                <w:sz w:val="21"/>
              </w:rPr>
            </w:pPr>
          </w:p>
        </w:tc>
        <w:tc>
          <w:tcPr>
            <w:tcW w:w="115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37" w:type="dxa"/>
            <w:vMerge w:val="continue"/>
            <w:tcBorders>
              <w:top w:val="nil"/>
            </w:tcBorders>
            <w:vAlign w:val="top"/>
          </w:tcPr>
          <w:p>
            <w:pPr>
              <w:rPr>
                <w:rFonts w:ascii="Arial"/>
                <w:sz w:val="21"/>
              </w:rPr>
            </w:pPr>
          </w:p>
        </w:tc>
        <w:tc>
          <w:tcPr>
            <w:tcW w:w="947" w:type="dxa"/>
            <w:vAlign w:val="top"/>
          </w:tcPr>
          <w:p>
            <w:pPr>
              <w:pStyle w:val="6"/>
              <w:spacing w:before="55" w:line="248" w:lineRule="auto"/>
              <w:ind w:left="161" w:right="155" w:firstLine="1"/>
            </w:pPr>
            <w:r>
              <w:rPr>
                <w:spacing w:val="-3"/>
              </w:rPr>
              <w:t>生态流</w:t>
            </w:r>
            <w:r>
              <w:rPr>
                <w:spacing w:val="1"/>
              </w:rPr>
              <w:t xml:space="preserve"> </w:t>
            </w:r>
            <w:r>
              <w:rPr>
                <w:spacing w:val="-2"/>
              </w:rPr>
              <w:t>量确定</w:t>
            </w:r>
          </w:p>
        </w:tc>
        <w:tc>
          <w:tcPr>
            <w:tcW w:w="7718" w:type="dxa"/>
            <w:gridSpan w:val="7"/>
            <w:vAlign w:val="top"/>
          </w:tcPr>
          <w:p>
            <w:pPr>
              <w:pStyle w:val="6"/>
              <w:spacing w:before="55" w:line="232" w:lineRule="auto"/>
              <w:ind w:left="113"/>
              <w:rPr>
                <w:rFonts w:ascii="Times New Roman" w:hAnsi="Times New Roman" w:eastAsia="Times New Roman" w:cs="Times New Roman"/>
              </w:rPr>
            </w:pPr>
            <w:r>
              <w:rPr>
                <w:spacing w:val="-4"/>
              </w:rPr>
              <w:t>生态流量： 一般水期</w:t>
            </w:r>
            <w:r>
              <w:rPr>
                <w:spacing w:val="-27"/>
              </w:rPr>
              <w:t>（）</w:t>
            </w:r>
            <w:r>
              <w:rPr>
                <w:spacing w:val="-43"/>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/s</w:t>
            </w:r>
            <w:r>
              <w:rPr>
                <w:spacing w:val="-4"/>
              </w:rPr>
              <w:t>；鱼类繁殖期</w:t>
            </w:r>
            <w:r>
              <w:rPr>
                <w:spacing w:val="-27"/>
              </w:rPr>
              <w:t>（）</w:t>
            </w:r>
            <w:r>
              <w:rPr>
                <w:spacing w:val="-43"/>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/s</w:t>
            </w:r>
            <w:r>
              <w:rPr>
                <w:spacing w:val="-4"/>
              </w:rPr>
              <w:t>；其他</w:t>
            </w:r>
            <w:r>
              <w:rPr>
                <w:spacing w:val="-27"/>
              </w:rPr>
              <w:t>（）</w:t>
            </w:r>
            <w:r>
              <w:rPr>
                <w:spacing w:val="-39"/>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/s</w:t>
            </w:r>
          </w:p>
          <w:p>
            <w:pPr>
              <w:pStyle w:val="6"/>
              <w:spacing w:before="47" w:line="223" w:lineRule="auto"/>
              <w:ind w:left="113"/>
              <w:rPr>
                <w:rFonts w:ascii="Times New Roman" w:hAnsi="Times New Roman" w:eastAsia="Times New Roman" w:cs="Times New Roman"/>
              </w:rPr>
            </w:pPr>
            <w:r>
              <w:rPr>
                <w:spacing w:val="-8"/>
              </w:rPr>
              <w:t>生态水位： 一般水期</w:t>
            </w:r>
            <w:r>
              <w:rPr>
                <w:spacing w:val="-13"/>
              </w:rPr>
              <w:t>（）</w:t>
            </w:r>
            <w:r>
              <w:rPr>
                <w:spacing w:val="-42"/>
              </w:rPr>
              <w:t xml:space="preserve"> </w:t>
            </w:r>
            <w:r>
              <w:rPr>
                <w:rFonts w:ascii="Times New Roman" w:hAnsi="Times New Roman" w:eastAsia="Times New Roman" w:cs="Times New Roman"/>
                <w:spacing w:val="-8"/>
              </w:rPr>
              <w:t>m</w:t>
            </w:r>
            <w:r>
              <w:rPr>
                <w:spacing w:val="-8"/>
              </w:rPr>
              <w:t>；鱼类繁殖期</w:t>
            </w:r>
            <w:r>
              <w:rPr>
                <w:spacing w:val="-13"/>
              </w:rPr>
              <w:t>（）</w:t>
            </w:r>
            <w:r>
              <w:rPr>
                <w:rFonts w:ascii="Times New Roman" w:hAnsi="Times New Roman" w:eastAsia="Times New Roman" w:cs="Times New Roman"/>
                <w:spacing w:val="-8"/>
              </w:rPr>
              <w:t>m</w:t>
            </w:r>
            <w:r>
              <w:rPr>
                <w:spacing w:val="-8"/>
              </w:rPr>
              <w:t>；其他</w:t>
            </w:r>
            <w:r>
              <w:rPr>
                <w:spacing w:val="-13"/>
              </w:rPr>
              <w:t>（）</w:t>
            </w:r>
            <w:r>
              <w:rPr>
                <w:spacing w:val="-23"/>
              </w:rPr>
              <w:t xml:space="preserve"> </w:t>
            </w:r>
            <w:r>
              <w:rPr>
                <w:rFonts w:ascii="Times New Roman" w:hAnsi="Times New Roman" w:eastAsia="Times New Roman" w:cs="Times New Roman"/>
                <w:spacing w:val="-8"/>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7" w:type="dxa"/>
            <w:vMerge w:val="restart"/>
            <w:tcBorders>
              <w:bottom w:val="nil"/>
            </w:tcBorders>
            <w:textDirection w:val="tbRlV"/>
            <w:vAlign w:val="top"/>
          </w:tcPr>
          <w:p>
            <w:pPr>
              <w:pStyle w:val="6"/>
              <w:spacing w:before="113" w:line="210" w:lineRule="auto"/>
              <w:ind w:left="1013"/>
            </w:pPr>
            <w:r>
              <w:rPr>
                <w:spacing w:val="-1"/>
              </w:rPr>
              <w:t>防 治 措</w:t>
            </w:r>
            <w:r>
              <w:rPr>
                <w:spacing w:val="-3"/>
              </w:rPr>
              <w:t xml:space="preserve"> </w:t>
            </w:r>
            <w:r>
              <w:rPr>
                <w:spacing w:val="-1"/>
              </w:rPr>
              <w:t>施</w:t>
            </w:r>
          </w:p>
        </w:tc>
        <w:tc>
          <w:tcPr>
            <w:tcW w:w="947" w:type="dxa"/>
            <w:vAlign w:val="top"/>
          </w:tcPr>
          <w:p>
            <w:pPr>
              <w:pStyle w:val="6"/>
              <w:spacing w:before="53" w:line="248" w:lineRule="auto"/>
              <w:ind w:left="368" w:right="155" w:hanging="207"/>
            </w:pPr>
            <w:r>
              <w:rPr>
                <w:spacing w:val="-2"/>
              </w:rPr>
              <w:t>环保措</w:t>
            </w:r>
            <w:r>
              <w:t xml:space="preserve"> 施</w:t>
            </w:r>
          </w:p>
        </w:tc>
        <w:tc>
          <w:tcPr>
            <w:tcW w:w="7718" w:type="dxa"/>
            <w:gridSpan w:val="7"/>
            <w:vAlign w:val="top"/>
          </w:tcPr>
          <w:p>
            <w:pPr>
              <w:pStyle w:val="6"/>
              <w:spacing w:before="61" w:line="232" w:lineRule="auto"/>
              <w:ind w:left="113" w:right="898"/>
              <w:rPr>
                <w:rFonts w:ascii="Times New Roman" w:hAnsi="Times New Roman" w:eastAsia="Times New Roman" w:cs="Times New Roman"/>
              </w:rPr>
            </w:pPr>
            <w:r>
              <w:rPr>
                <w:spacing w:val="-2"/>
              </w:rPr>
              <w:t xml:space="preserve">污水处理设施 </w:t>
            </w:r>
            <w:r>
              <w:rPr>
                <w:rFonts w:ascii="Segoe UI Symbol" w:hAnsi="Segoe UI Symbol" w:eastAsia="Segoe UI Symbol" w:cs="Segoe UI Symbol"/>
                <w:spacing w:val="-2"/>
              </w:rPr>
              <w:t>☑</w:t>
            </w:r>
            <w:r>
              <w:rPr>
                <w:spacing w:val="-2"/>
              </w:rPr>
              <w:t>;</w:t>
            </w:r>
            <w:r>
              <w:rPr>
                <w:spacing w:val="59"/>
              </w:rPr>
              <w:t xml:space="preserve"> </w:t>
            </w:r>
            <w:r>
              <w:rPr>
                <w:spacing w:val="-2"/>
              </w:rPr>
              <w:t xml:space="preserve">水文减缓设施 </w:t>
            </w:r>
            <w:r>
              <w:rPr>
                <w:rFonts w:ascii="Times New Roman" w:hAnsi="Times New Roman" w:eastAsia="Times New Roman" w:cs="Times New Roman"/>
                <w:spacing w:val="-2"/>
              </w:rPr>
              <w:t>□</w:t>
            </w:r>
            <w:r>
              <w:rPr>
                <w:spacing w:val="-2"/>
              </w:rPr>
              <w:t>;</w:t>
            </w:r>
            <w:r>
              <w:rPr>
                <w:spacing w:val="57"/>
              </w:rPr>
              <w:t xml:space="preserve"> </w:t>
            </w:r>
            <w:r>
              <w:rPr>
                <w:spacing w:val="-2"/>
              </w:rPr>
              <w:t>生态流</w:t>
            </w:r>
            <w:r>
              <w:rPr>
                <w:spacing w:val="-3"/>
              </w:rPr>
              <w:t xml:space="preserve">量保障设施 </w:t>
            </w:r>
            <w:r>
              <w:rPr>
                <w:rFonts w:ascii="Times New Roman" w:hAnsi="Times New Roman" w:eastAsia="Times New Roman" w:cs="Times New Roman"/>
                <w:spacing w:val="-3"/>
              </w:rPr>
              <w:t>□</w:t>
            </w:r>
            <w:r>
              <w:rPr>
                <w:spacing w:val="-3"/>
              </w:rPr>
              <w:t>;区域削减</w:t>
            </w:r>
            <w:r>
              <w:rPr>
                <w:spacing w:val="16"/>
              </w:rPr>
              <w:t xml:space="preserve"> </w:t>
            </w:r>
            <w:r>
              <w:rPr>
                <w:rFonts w:ascii="Times New Roman" w:hAnsi="Times New Roman" w:eastAsia="Times New Roman" w:cs="Times New Roman"/>
                <w:spacing w:val="-3"/>
              </w:rPr>
              <w:t>□</w:t>
            </w:r>
            <w:r>
              <w:rPr>
                <w:spacing w:val="-3"/>
              </w:rPr>
              <w:t>;</w:t>
            </w:r>
            <w:r>
              <w:t xml:space="preserve"> </w:t>
            </w:r>
            <w:r>
              <w:rPr>
                <w:spacing w:val="6"/>
              </w:rPr>
              <w:t xml:space="preserve">依托其他工程措施 </w:t>
            </w:r>
            <w:r>
              <w:rPr>
                <w:rFonts w:ascii="Segoe UI Symbol" w:hAnsi="Segoe UI Symbol" w:eastAsia="Segoe UI Symbol" w:cs="Segoe UI Symbol"/>
                <w:spacing w:val="6"/>
              </w:rPr>
              <w:t>☑</w:t>
            </w:r>
            <w:r>
              <w:rPr>
                <w:spacing w:val="6"/>
              </w:rPr>
              <w:t>;其他</w:t>
            </w:r>
            <w:r>
              <w:rPr>
                <w:spacing w:val="27"/>
              </w:rPr>
              <w:t xml:space="preserve"> </w:t>
            </w:r>
            <w:r>
              <w:rPr>
                <w:rFonts w:ascii="Times New Roman" w:hAnsi="Times New Roman" w:eastAsia="Times New Roman" w:cs="Times New Roman"/>
                <w:spacing w:val="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37" w:type="dxa"/>
            <w:vMerge w:val="continue"/>
            <w:tcBorders>
              <w:top w:val="nil"/>
              <w:bottom w:val="nil"/>
            </w:tcBorders>
            <w:textDirection w:val="tbRlV"/>
            <w:vAlign w:val="top"/>
          </w:tcPr>
          <w:p>
            <w:pPr>
              <w:rPr>
                <w:rFonts w:ascii="Arial"/>
                <w:sz w:val="21"/>
              </w:rPr>
            </w:pPr>
          </w:p>
        </w:tc>
        <w:tc>
          <w:tcPr>
            <w:tcW w:w="947" w:type="dxa"/>
            <w:vMerge w:val="restart"/>
            <w:tcBorders>
              <w:bottom w:val="nil"/>
            </w:tcBorders>
            <w:vAlign w:val="top"/>
          </w:tcPr>
          <w:p>
            <w:pPr>
              <w:spacing w:line="464" w:lineRule="auto"/>
              <w:rPr>
                <w:rFonts w:ascii="Arial"/>
                <w:sz w:val="21"/>
              </w:rPr>
            </w:pPr>
          </w:p>
          <w:p>
            <w:pPr>
              <w:pStyle w:val="6"/>
              <w:spacing w:before="68" w:line="249" w:lineRule="auto"/>
              <w:ind w:left="369" w:right="155" w:hanging="207"/>
            </w:pPr>
            <w:r>
              <w:rPr>
                <w:spacing w:val="-2"/>
              </w:rPr>
              <w:t>监测计</w:t>
            </w:r>
            <w:r>
              <w:t xml:space="preserve"> 划</w:t>
            </w:r>
          </w:p>
        </w:tc>
        <w:tc>
          <w:tcPr>
            <w:tcW w:w="1197" w:type="dxa"/>
            <w:vAlign w:val="top"/>
          </w:tcPr>
          <w:p>
            <w:pPr>
              <w:spacing w:before="88" w:line="216" w:lineRule="auto"/>
              <w:ind w:left="56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116" w:type="dxa"/>
            <w:gridSpan w:val="3"/>
            <w:vAlign w:val="top"/>
          </w:tcPr>
          <w:p>
            <w:pPr>
              <w:pStyle w:val="6"/>
              <w:spacing w:before="54" w:line="221" w:lineRule="auto"/>
              <w:ind w:left="1142"/>
            </w:pPr>
            <w:r>
              <w:rPr>
                <w:spacing w:val="-2"/>
              </w:rPr>
              <w:t>环境质量</w:t>
            </w:r>
          </w:p>
        </w:tc>
        <w:tc>
          <w:tcPr>
            <w:tcW w:w="3405" w:type="dxa"/>
            <w:gridSpan w:val="3"/>
            <w:vAlign w:val="top"/>
          </w:tcPr>
          <w:p>
            <w:pPr>
              <w:pStyle w:val="6"/>
              <w:spacing w:before="54" w:line="221" w:lineRule="auto"/>
              <w:ind w:left="1391"/>
            </w:pPr>
            <w:r>
              <w:rPr>
                <w:spacing w:val="-2"/>
              </w:rPr>
              <w:t>污染源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37" w:type="dxa"/>
            <w:vMerge w:val="continue"/>
            <w:tcBorders>
              <w:top w:val="nil"/>
              <w:bottom w:val="nil"/>
            </w:tcBorders>
            <w:textDirection w:val="tbRlV"/>
            <w:vAlign w:val="top"/>
          </w:tcPr>
          <w:p>
            <w:pPr>
              <w:rPr>
                <w:rFonts w:ascii="Arial"/>
                <w:sz w:val="21"/>
              </w:rPr>
            </w:pPr>
          </w:p>
        </w:tc>
        <w:tc>
          <w:tcPr>
            <w:tcW w:w="947" w:type="dxa"/>
            <w:vMerge w:val="continue"/>
            <w:tcBorders>
              <w:top w:val="nil"/>
              <w:bottom w:val="nil"/>
            </w:tcBorders>
            <w:vAlign w:val="top"/>
          </w:tcPr>
          <w:p>
            <w:pPr>
              <w:rPr>
                <w:rFonts w:ascii="Arial"/>
                <w:sz w:val="21"/>
              </w:rPr>
            </w:pPr>
          </w:p>
        </w:tc>
        <w:tc>
          <w:tcPr>
            <w:tcW w:w="1197" w:type="dxa"/>
            <w:tcBorders>
              <w:bottom w:val="single" w:color="000000" w:sz="4" w:space="0"/>
            </w:tcBorders>
            <w:vAlign w:val="top"/>
          </w:tcPr>
          <w:p>
            <w:pPr>
              <w:pStyle w:val="6"/>
              <w:spacing w:before="54" w:line="220" w:lineRule="auto"/>
              <w:ind w:left="184"/>
            </w:pPr>
            <w:r>
              <w:rPr>
                <w:spacing w:val="-2"/>
              </w:rPr>
              <w:t>监测方式</w:t>
            </w:r>
          </w:p>
        </w:tc>
        <w:tc>
          <w:tcPr>
            <w:tcW w:w="3116" w:type="dxa"/>
            <w:gridSpan w:val="3"/>
            <w:tcBorders>
              <w:bottom w:val="single" w:color="000000" w:sz="4" w:space="0"/>
            </w:tcBorders>
            <w:vAlign w:val="top"/>
          </w:tcPr>
          <w:p>
            <w:pPr>
              <w:pStyle w:val="6"/>
              <w:spacing w:before="61" w:line="204" w:lineRule="auto"/>
              <w:ind w:left="242"/>
              <w:rPr>
                <w:rFonts w:ascii="Times New Roman" w:hAnsi="Times New Roman" w:eastAsia="Times New Roman" w:cs="Times New Roman"/>
              </w:rPr>
            </w:pPr>
            <w:r>
              <w:rPr>
                <w:spacing w:val="-15"/>
              </w:rPr>
              <w:t>手动</w:t>
            </w:r>
            <w:r>
              <w:rPr>
                <w:spacing w:val="27"/>
              </w:rPr>
              <w:t xml:space="preserve"> </w:t>
            </w:r>
            <w:r>
              <w:rPr>
                <w:rFonts w:ascii="Segoe UI Symbol" w:hAnsi="Segoe UI Symbol" w:eastAsia="Segoe UI Symbol" w:cs="Segoe UI Symbol"/>
                <w:spacing w:val="-15"/>
              </w:rPr>
              <w:t>☑</w:t>
            </w:r>
            <w:r>
              <w:rPr>
                <w:spacing w:val="-15"/>
              </w:rPr>
              <w:t>;  自动</w:t>
            </w:r>
            <w:r>
              <w:rPr>
                <w:spacing w:val="13"/>
              </w:rPr>
              <w:t xml:space="preserve"> </w:t>
            </w:r>
            <w:r>
              <w:rPr>
                <w:rFonts w:ascii="Times New Roman" w:hAnsi="Times New Roman" w:eastAsia="Times New Roman" w:cs="Times New Roman"/>
                <w:spacing w:val="-15"/>
              </w:rPr>
              <w:t>□</w:t>
            </w:r>
            <w:r>
              <w:rPr>
                <w:spacing w:val="-15"/>
              </w:rPr>
              <w:t>;</w:t>
            </w:r>
            <w:r>
              <w:rPr>
                <w:spacing w:val="57"/>
              </w:rPr>
              <w:t xml:space="preserve"> </w:t>
            </w:r>
            <w:r>
              <w:rPr>
                <w:spacing w:val="-15"/>
              </w:rPr>
              <w:t>无监测</w:t>
            </w:r>
            <w:r>
              <w:rPr>
                <w:spacing w:val="14"/>
              </w:rPr>
              <w:t xml:space="preserve"> </w:t>
            </w:r>
            <w:r>
              <w:rPr>
                <w:rFonts w:ascii="Times New Roman" w:hAnsi="Times New Roman" w:eastAsia="Times New Roman" w:cs="Times New Roman"/>
                <w:spacing w:val="-15"/>
              </w:rPr>
              <w:t>□</w:t>
            </w:r>
          </w:p>
        </w:tc>
        <w:tc>
          <w:tcPr>
            <w:tcW w:w="3405" w:type="dxa"/>
            <w:gridSpan w:val="3"/>
            <w:tcBorders>
              <w:bottom w:val="single" w:color="000000" w:sz="4" w:space="0"/>
            </w:tcBorders>
            <w:vAlign w:val="top"/>
          </w:tcPr>
          <w:p>
            <w:pPr>
              <w:pStyle w:val="6"/>
              <w:spacing w:before="61" w:line="204" w:lineRule="auto"/>
              <w:ind w:left="386"/>
              <w:rPr>
                <w:rFonts w:ascii="Times New Roman" w:hAnsi="Times New Roman" w:eastAsia="Times New Roman" w:cs="Times New Roman"/>
              </w:rPr>
            </w:pPr>
            <w:r>
              <w:rPr>
                <w:spacing w:val="-15"/>
              </w:rPr>
              <w:t>手动</w:t>
            </w:r>
            <w:r>
              <w:rPr>
                <w:spacing w:val="27"/>
              </w:rPr>
              <w:t xml:space="preserve"> </w:t>
            </w:r>
            <w:r>
              <w:rPr>
                <w:rFonts w:ascii="Segoe UI Symbol" w:hAnsi="Segoe UI Symbol" w:eastAsia="Segoe UI Symbol" w:cs="Segoe UI Symbol"/>
                <w:spacing w:val="-15"/>
              </w:rPr>
              <w:t>☑</w:t>
            </w:r>
            <w:r>
              <w:rPr>
                <w:spacing w:val="-15"/>
              </w:rPr>
              <w:t>;  自动</w:t>
            </w:r>
            <w:r>
              <w:rPr>
                <w:spacing w:val="13"/>
              </w:rPr>
              <w:t xml:space="preserve"> </w:t>
            </w:r>
            <w:r>
              <w:rPr>
                <w:rFonts w:ascii="Times New Roman" w:hAnsi="Times New Roman" w:eastAsia="Times New Roman" w:cs="Times New Roman"/>
                <w:spacing w:val="-15"/>
              </w:rPr>
              <w:t>□</w:t>
            </w:r>
            <w:r>
              <w:rPr>
                <w:spacing w:val="-15"/>
              </w:rPr>
              <w:t>;</w:t>
            </w:r>
            <w:r>
              <w:rPr>
                <w:spacing w:val="58"/>
              </w:rPr>
              <w:t xml:space="preserve"> </w:t>
            </w:r>
            <w:r>
              <w:rPr>
                <w:spacing w:val="-15"/>
              </w:rPr>
              <w:t>无监测</w:t>
            </w:r>
            <w:r>
              <w:rPr>
                <w:spacing w:val="13"/>
              </w:rPr>
              <w:t xml:space="preserve"> </w:t>
            </w:r>
            <w:r>
              <w:rPr>
                <w:rFonts w:ascii="Times New Roman" w:hAnsi="Times New Roman" w:eastAsia="Times New Roman" w:cs="Times New Roman"/>
                <w:spacing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437" w:type="dxa"/>
            <w:vMerge w:val="continue"/>
            <w:tcBorders>
              <w:top w:val="nil"/>
              <w:bottom w:val="nil"/>
            </w:tcBorders>
            <w:textDirection w:val="tbRlV"/>
            <w:vAlign w:val="top"/>
          </w:tcPr>
          <w:p>
            <w:pPr>
              <w:rPr>
                <w:rFonts w:ascii="Arial"/>
                <w:sz w:val="21"/>
              </w:rPr>
            </w:pPr>
          </w:p>
        </w:tc>
        <w:tc>
          <w:tcPr>
            <w:tcW w:w="947" w:type="dxa"/>
            <w:vMerge w:val="continue"/>
            <w:tcBorders>
              <w:top w:val="nil"/>
              <w:bottom w:val="nil"/>
            </w:tcBorders>
            <w:vAlign w:val="top"/>
          </w:tcPr>
          <w:p>
            <w:pPr>
              <w:rPr>
                <w:rFonts w:ascii="Arial"/>
                <w:sz w:val="21"/>
              </w:rPr>
            </w:pPr>
          </w:p>
        </w:tc>
        <w:tc>
          <w:tcPr>
            <w:tcW w:w="1197" w:type="dxa"/>
            <w:tcBorders>
              <w:top w:val="single" w:color="000000" w:sz="4" w:space="0"/>
            </w:tcBorders>
            <w:vAlign w:val="top"/>
          </w:tcPr>
          <w:p>
            <w:pPr>
              <w:pStyle w:val="6"/>
              <w:spacing w:before="49" w:line="221" w:lineRule="auto"/>
              <w:ind w:left="184"/>
            </w:pPr>
            <w:r>
              <w:rPr>
                <w:spacing w:val="-2"/>
              </w:rPr>
              <w:t>监测点位</w:t>
            </w:r>
          </w:p>
        </w:tc>
        <w:tc>
          <w:tcPr>
            <w:tcW w:w="3116" w:type="dxa"/>
            <w:gridSpan w:val="3"/>
            <w:tcBorders>
              <w:top w:val="single" w:color="000000" w:sz="4" w:space="0"/>
            </w:tcBorders>
            <w:vAlign w:val="top"/>
          </w:tcPr>
          <w:p>
            <w:pPr>
              <w:rPr>
                <w:rFonts w:ascii="Arial"/>
                <w:sz w:val="21"/>
              </w:rPr>
            </w:pPr>
          </w:p>
        </w:tc>
        <w:tc>
          <w:tcPr>
            <w:tcW w:w="3405" w:type="dxa"/>
            <w:gridSpan w:val="3"/>
            <w:tcBorders>
              <w:top w:val="single" w:color="000000" w:sz="4" w:space="0"/>
            </w:tcBorders>
            <w:vAlign w:val="top"/>
          </w:tcPr>
          <w:p>
            <w:pPr>
              <w:pStyle w:val="6"/>
              <w:spacing w:before="49" w:line="221" w:lineRule="auto"/>
              <w:ind w:left="114"/>
            </w:pPr>
            <w:r>
              <w:rPr>
                <w:spacing w:val="-2"/>
              </w:rPr>
              <w:t>污水处理设施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7" w:type="dxa"/>
            <w:vMerge w:val="continue"/>
            <w:tcBorders>
              <w:top w:val="nil"/>
              <w:bottom w:val="nil"/>
            </w:tcBorders>
            <w:textDirection w:val="tbRlV"/>
            <w:vAlign w:val="top"/>
          </w:tcPr>
          <w:p>
            <w:pPr>
              <w:rPr>
                <w:rFonts w:ascii="Arial"/>
                <w:sz w:val="21"/>
              </w:rPr>
            </w:pPr>
          </w:p>
        </w:tc>
        <w:tc>
          <w:tcPr>
            <w:tcW w:w="947" w:type="dxa"/>
            <w:vMerge w:val="continue"/>
            <w:tcBorders>
              <w:top w:val="nil"/>
            </w:tcBorders>
            <w:vAlign w:val="top"/>
          </w:tcPr>
          <w:p>
            <w:pPr>
              <w:rPr>
                <w:rFonts w:ascii="Arial"/>
                <w:sz w:val="21"/>
              </w:rPr>
            </w:pPr>
          </w:p>
        </w:tc>
        <w:tc>
          <w:tcPr>
            <w:tcW w:w="1197" w:type="dxa"/>
            <w:vAlign w:val="top"/>
          </w:tcPr>
          <w:p>
            <w:pPr>
              <w:pStyle w:val="6"/>
              <w:spacing w:before="210" w:line="221" w:lineRule="auto"/>
              <w:ind w:left="184"/>
            </w:pPr>
            <w:r>
              <w:rPr>
                <w:spacing w:val="-2"/>
              </w:rPr>
              <w:t>监测因子</w:t>
            </w:r>
          </w:p>
        </w:tc>
        <w:tc>
          <w:tcPr>
            <w:tcW w:w="3116" w:type="dxa"/>
            <w:gridSpan w:val="3"/>
            <w:vAlign w:val="top"/>
          </w:tcPr>
          <w:p>
            <w:pPr>
              <w:rPr>
                <w:rFonts w:ascii="Arial"/>
                <w:sz w:val="21"/>
              </w:rPr>
            </w:pPr>
          </w:p>
        </w:tc>
        <w:tc>
          <w:tcPr>
            <w:tcW w:w="3405" w:type="dxa"/>
            <w:gridSpan w:val="3"/>
            <w:vAlign w:val="top"/>
          </w:tcPr>
          <w:p>
            <w:pPr>
              <w:pStyle w:val="6"/>
              <w:spacing w:before="55" w:line="247" w:lineRule="auto"/>
              <w:ind w:left="116" w:right="115" w:firstLine="2"/>
            </w:pPr>
            <w:r>
              <w:rPr>
                <w:spacing w:val="-8"/>
              </w:rPr>
              <w:t>（</w:t>
            </w:r>
            <w:r>
              <w:rPr>
                <w:rFonts w:ascii="Times New Roman" w:hAnsi="Times New Roman" w:eastAsia="Times New Roman" w:cs="Times New Roman"/>
                <w:spacing w:val="-8"/>
              </w:rPr>
              <w:t>pH</w:t>
            </w:r>
            <w:r>
              <w:rPr>
                <w:rFonts w:ascii="Times New Roman" w:hAnsi="Times New Roman" w:eastAsia="Times New Roman" w:cs="Times New Roman"/>
                <w:spacing w:val="-13"/>
              </w:rPr>
              <w:t xml:space="preserve"> </w:t>
            </w:r>
            <w:r>
              <w:rPr>
                <w:spacing w:val="-8"/>
              </w:rPr>
              <w:t>、</w:t>
            </w:r>
            <w:r>
              <w:rPr>
                <w:rFonts w:ascii="Times New Roman" w:hAnsi="Times New Roman" w:eastAsia="Times New Roman" w:cs="Times New Roman"/>
                <w:spacing w:val="-8"/>
              </w:rPr>
              <w:t>COD</w:t>
            </w:r>
            <w:r>
              <w:rPr>
                <w:rFonts w:ascii="Times New Roman" w:hAnsi="Times New Roman" w:eastAsia="Times New Roman" w:cs="Times New Roman"/>
                <w:spacing w:val="-28"/>
              </w:rPr>
              <w:t xml:space="preserve"> </w:t>
            </w:r>
            <w:r>
              <w:rPr>
                <w:spacing w:val="-8"/>
              </w:rPr>
              <w:t>、</w:t>
            </w:r>
            <w:r>
              <w:rPr>
                <w:rFonts w:ascii="Times New Roman" w:hAnsi="Times New Roman" w:eastAsia="Times New Roman" w:cs="Times New Roman"/>
                <w:spacing w:val="-8"/>
              </w:rPr>
              <w:t>SS</w:t>
            </w:r>
            <w:r>
              <w:rPr>
                <w:spacing w:val="-8"/>
              </w:rPr>
              <w:t>、氨氮、总磷、石</w:t>
            </w:r>
            <w:r>
              <w:t xml:space="preserve"> </w:t>
            </w:r>
            <w:r>
              <w:rPr>
                <w:spacing w:val="-4"/>
              </w:rPr>
              <w:t>油类）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437" w:type="dxa"/>
            <w:vMerge w:val="continue"/>
            <w:tcBorders>
              <w:top w:val="nil"/>
            </w:tcBorders>
            <w:textDirection w:val="tbRlV"/>
            <w:vAlign w:val="top"/>
          </w:tcPr>
          <w:p>
            <w:pPr>
              <w:rPr>
                <w:rFonts w:ascii="Arial"/>
                <w:sz w:val="21"/>
              </w:rPr>
            </w:pPr>
          </w:p>
        </w:tc>
        <w:tc>
          <w:tcPr>
            <w:tcW w:w="947" w:type="dxa"/>
            <w:vAlign w:val="top"/>
          </w:tcPr>
          <w:p>
            <w:pPr>
              <w:pStyle w:val="6"/>
              <w:spacing w:before="57" w:line="221" w:lineRule="auto"/>
              <w:ind w:left="163"/>
            </w:pPr>
            <w:r>
              <w:rPr>
                <w:spacing w:val="-2"/>
              </w:rPr>
              <w:t>污染物</w:t>
            </w:r>
          </w:p>
          <w:p>
            <w:pPr>
              <w:pStyle w:val="6"/>
              <w:spacing w:before="60" w:line="221" w:lineRule="auto"/>
              <w:ind w:left="161"/>
            </w:pPr>
            <w:r>
              <w:rPr>
                <w:spacing w:val="-2"/>
              </w:rPr>
              <w:t>排放清</w:t>
            </w:r>
          </w:p>
          <w:p>
            <w:pPr>
              <w:pStyle w:val="6"/>
              <w:spacing w:before="59" w:line="221" w:lineRule="auto"/>
              <w:ind w:left="371"/>
            </w:pPr>
            <w:r>
              <w:t>单</w:t>
            </w:r>
          </w:p>
        </w:tc>
        <w:tc>
          <w:tcPr>
            <w:tcW w:w="7718"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84" w:type="dxa"/>
            <w:gridSpan w:val="2"/>
            <w:vAlign w:val="top"/>
          </w:tcPr>
          <w:p>
            <w:pPr>
              <w:pStyle w:val="6"/>
              <w:spacing w:before="55" w:line="219" w:lineRule="auto"/>
              <w:ind w:left="275"/>
            </w:pPr>
            <w:r>
              <w:rPr>
                <w:spacing w:val="-1"/>
              </w:rPr>
              <w:t>评价结论</w:t>
            </w:r>
          </w:p>
        </w:tc>
        <w:tc>
          <w:tcPr>
            <w:tcW w:w="7718" w:type="dxa"/>
            <w:gridSpan w:val="7"/>
            <w:vAlign w:val="top"/>
          </w:tcPr>
          <w:p>
            <w:pPr>
              <w:pStyle w:val="6"/>
              <w:spacing w:before="62" w:line="202" w:lineRule="auto"/>
              <w:ind w:left="113"/>
              <w:rPr>
                <w:rFonts w:ascii="Times New Roman" w:hAnsi="Times New Roman" w:eastAsia="Times New Roman" w:cs="Times New Roman"/>
              </w:rPr>
            </w:pPr>
            <w:r>
              <w:rPr>
                <w:spacing w:val="-6"/>
              </w:rPr>
              <w:t xml:space="preserve">可以接受 </w:t>
            </w:r>
            <w:r>
              <w:rPr>
                <w:rFonts w:ascii="Segoe UI Symbol" w:hAnsi="Segoe UI Symbol" w:eastAsia="Segoe UI Symbol" w:cs="Segoe UI Symbol"/>
                <w:spacing w:val="-6"/>
              </w:rPr>
              <w:t>☑</w:t>
            </w:r>
            <w:r>
              <w:rPr>
                <w:spacing w:val="-6"/>
              </w:rPr>
              <w:t>;</w:t>
            </w:r>
            <w:r>
              <w:rPr>
                <w:spacing w:val="70"/>
              </w:rPr>
              <w:t xml:space="preserve"> </w:t>
            </w:r>
            <w:r>
              <w:rPr>
                <w:spacing w:val="-6"/>
              </w:rPr>
              <w:t>不可以接受</w:t>
            </w:r>
            <w:r>
              <w:rPr>
                <w:spacing w:val="12"/>
              </w:rPr>
              <w:t xml:space="preserve"> </w:t>
            </w:r>
            <w:r>
              <w:rPr>
                <w:rFonts w:ascii="Times New Roman" w:hAnsi="Times New Roman" w:eastAsia="Times New Roman" w:cs="Times New Roman"/>
                <w:spacing w:val="-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02" w:type="dxa"/>
            <w:gridSpan w:val="9"/>
            <w:vAlign w:val="top"/>
          </w:tcPr>
          <w:p>
            <w:pPr>
              <w:pStyle w:val="6"/>
              <w:spacing w:before="42" w:line="226" w:lineRule="auto"/>
              <w:ind w:left="116"/>
            </w:pPr>
            <w:r>
              <w:rPr>
                <w:spacing w:val="-9"/>
              </w:rPr>
              <w:t>注：</w:t>
            </w:r>
            <w:r>
              <w:rPr>
                <w:spacing w:val="-24"/>
              </w:rPr>
              <w:t xml:space="preserve"> </w:t>
            </w:r>
            <w:r>
              <w:rPr>
                <w:rFonts w:ascii="Times New Roman" w:hAnsi="Times New Roman" w:eastAsia="Times New Roman" w:cs="Times New Roman"/>
                <w:spacing w:val="-9"/>
              </w:rPr>
              <w:t>ℼ</w:t>
            </w:r>
            <w:r>
              <w:rPr>
                <w:rFonts w:ascii="Times New Roman" w:hAnsi="Times New Roman" w:eastAsia="Times New Roman" w:cs="Times New Roman"/>
                <w:spacing w:val="15"/>
                <w:w w:val="101"/>
              </w:rPr>
              <w:t xml:space="preserve"> </w:t>
            </w:r>
            <w:r>
              <w:rPr>
                <w:rFonts w:ascii="Times New Roman" w:hAnsi="Times New Roman" w:eastAsia="Times New Roman" w:cs="Times New Roman"/>
                <w:spacing w:val="-9"/>
              </w:rPr>
              <w:t>□”</w:t>
            </w:r>
            <w:r>
              <w:rPr>
                <w:spacing w:val="-9"/>
              </w:rPr>
              <w:t>为勾选项， 可</w:t>
            </w:r>
            <w:r>
              <w:rPr>
                <w:rFonts w:ascii="Times New Roman" w:hAnsi="Times New Roman" w:eastAsia="Times New Roman" w:cs="Times New Roman"/>
                <w:spacing w:val="-9"/>
              </w:rPr>
              <w:t>√</w:t>
            </w:r>
            <w:r>
              <w:rPr>
                <w:rFonts w:ascii="Times New Roman" w:hAnsi="Times New Roman" w:eastAsia="Times New Roman" w:cs="Times New Roman"/>
                <w:spacing w:val="-27"/>
              </w:rPr>
              <w:t xml:space="preserve"> </w:t>
            </w:r>
            <w:r>
              <w:rPr>
                <w:spacing w:val="-9"/>
              </w:rPr>
              <w:t>;</w:t>
            </w:r>
            <w:r>
              <w:rPr>
                <w:spacing w:val="54"/>
              </w:rPr>
              <w:t xml:space="preserve"> </w:t>
            </w:r>
            <w:r>
              <w:rPr>
                <w:rFonts w:ascii="Times New Roman" w:hAnsi="Times New Roman" w:eastAsia="Times New Roman" w:cs="Times New Roman"/>
                <w:spacing w:val="-9"/>
              </w:rPr>
              <w:t xml:space="preserve">ℼ  </w:t>
            </w:r>
            <w:r>
              <w:rPr>
                <w:spacing w:val="-9"/>
              </w:rPr>
              <w:t>()</w:t>
            </w:r>
            <w:r>
              <w:rPr>
                <w:spacing w:val="22"/>
              </w:rPr>
              <w:t xml:space="preserve"> </w:t>
            </w:r>
            <w:r>
              <w:rPr>
                <w:rFonts w:ascii="Times New Roman" w:hAnsi="Times New Roman" w:eastAsia="Times New Roman" w:cs="Times New Roman"/>
                <w:spacing w:val="-9"/>
              </w:rPr>
              <w:t>ℽ</w:t>
            </w:r>
            <w:r>
              <w:rPr>
                <w:spacing w:val="-9"/>
              </w:rPr>
              <w:t>为内容填写项；</w:t>
            </w:r>
            <w:r>
              <w:rPr>
                <w:rFonts w:ascii="Times New Roman" w:hAnsi="Times New Roman" w:eastAsia="Times New Roman" w:cs="Times New Roman"/>
                <w:spacing w:val="-9"/>
              </w:rPr>
              <w:t>“</w:t>
            </w:r>
            <w:r>
              <w:rPr>
                <w:spacing w:val="-9"/>
              </w:rPr>
              <w:t>备注</w:t>
            </w:r>
            <w:r>
              <w:rPr>
                <w:rFonts w:ascii="Times New Roman" w:hAnsi="Times New Roman" w:eastAsia="Times New Roman" w:cs="Times New Roman"/>
                <w:spacing w:val="-9"/>
              </w:rPr>
              <w:t>”</w:t>
            </w:r>
            <w:r>
              <w:rPr>
                <w:spacing w:val="-9"/>
              </w:rPr>
              <w:t>为其他补充内容。</w:t>
            </w:r>
          </w:p>
        </w:tc>
      </w:tr>
    </w:tbl>
    <w:p>
      <w:pPr>
        <w:pStyle w:val="2"/>
      </w:pPr>
    </w:p>
    <w:p>
      <w:pPr>
        <w:sectPr>
          <w:footerReference r:id="rId394" w:type="default"/>
          <w:pgSz w:w="11907" w:h="16839"/>
          <w:pgMar w:top="1118" w:right="1399" w:bottom="1177" w:left="1399" w:header="879" w:footer="1013" w:gutter="0"/>
          <w:cols w:space="720" w:num="1"/>
        </w:sectPr>
      </w:pPr>
    </w:p>
    <w:p>
      <w:pPr>
        <w:pStyle w:val="2"/>
        <w:spacing w:line="278" w:lineRule="auto"/>
      </w:pPr>
    </w:p>
    <w:p>
      <w:pPr>
        <w:spacing w:before="78" w:line="218" w:lineRule="auto"/>
        <w:ind w:left="2675"/>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大气环境影响评价自查表</w:t>
      </w:r>
    </w:p>
    <w:p>
      <w:pPr>
        <w:spacing w:line="148"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1274"/>
        <w:gridCol w:w="1281"/>
        <w:gridCol w:w="336"/>
        <w:gridCol w:w="552"/>
        <w:gridCol w:w="806"/>
        <w:gridCol w:w="852"/>
        <w:gridCol w:w="177"/>
        <w:gridCol w:w="725"/>
        <w:gridCol w:w="91"/>
        <w:gridCol w:w="796"/>
        <w:gridCol w:w="6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233" w:type="dxa"/>
            <w:gridSpan w:val="2"/>
            <w:vAlign w:val="top"/>
          </w:tcPr>
          <w:p>
            <w:pPr>
              <w:pStyle w:val="6"/>
              <w:spacing w:before="67" w:line="221" w:lineRule="auto"/>
              <w:ind w:left="704"/>
            </w:pPr>
            <w:r>
              <w:rPr>
                <w:spacing w:val="-2"/>
              </w:rPr>
              <w:t>工作内容</w:t>
            </w:r>
          </w:p>
        </w:tc>
        <w:tc>
          <w:tcPr>
            <w:tcW w:w="6295" w:type="dxa"/>
            <w:gridSpan w:val="10"/>
            <w:vAlign w:val="top"/>
          </w:tcPr>
          <w:p>
            <w:pPr>
              <w:pStyle w:val="6"/>
              <w:spacing w:before="68" w:line="221" w:lineRule="auto"/>
              <w:ind w:left="2766"/>
            </w:pPr>
            <w:r>
              <w:rPr>
                <w:spacing w:val="-10"/>
              </w:rPr>
              <w:t>自查项目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restart"/>
            <w:tcBorders>
              <w:bottom w:val="nil"/>
            </w:tcBorders>
            <w:vAlign w:val="top"/>
          </w:tcPr>
          <w:p>
            <w:pPr>
              <w:pStyle w:val="6"/>
              <w:spacing w:before="31" w:line="219" w:lineRule="auto"/>
              <w:ind w:left="167"/>
            </w:pPr>
            <w:r>
              <w:rPr>
                <w:spacing w:val="-1"/>
              </w:rPr>
              <w:t>评价等</w:t>
            </w:r>
          </w:p>
          <w:p>
            <w:pPr>
              <w:pStyle w:val="6"/>
              <w:spacing w:before="21" w:line="223" w:lineRule="auto"/>
              <w:ind w:left="172"/>
            </w:pPr>
            <w:r>
              <w:rPr>
                <w:spacing w:val="-2"/>
              </w:rPr>
              <w:t>级与范</w:t>
            </w:r>
          </w:p>
          <w:p>
            <w:pPr>
              <w:pStyle w:val="6"/>
              <w:spacing w:before="17" w:line="209" w:lineRule="auto"/>
              <w:ind w:left="398"/>
            </w:pPr>
            <w:r>
              <w:t>围</w:t>
            </w:r>
          </w:p>
        </w:tc>
        <w:tc>
          <w:tcPr>
            <w:tcW w:w="1274" w:type="dxa"/>
            <w:vAlign w:val="top"/>
          </w:tcPr>
          <w:p>
            <w:pPr>
              <w:pStyle w:val="6"/>
              <w:spacing w:before="65" w:line="219" w:lineRule="auto"/>
              <w:ind w:left="219"/>
            </w:pPr>
            <w:r>
              <w:rPr>
                <w:spacing w:val="-1"/>
              </w:rPr>
              <w:t>评价等级</w:t>
            </w:r>
          </w:p>
        </w:tc>
        <w:tc>
          <w:tcPr>
            <w:tcW w:w="1617" w:type="dxa"/>
            <w:gridSpan w:val="2"/>
            <w:vAlign w:val="top"/>
          </w:tcPr>
          <w:p>
            <w:pPr>
              <w:pStyle w:val="6"/>
              <w:spacing w:before="64" w:line="237" w:lineRule="auto"/>
              <w:ind w:left="543"/>
              <w:rPr>
                <w:rFonts w:ascii="Times New Roman" w:hAnsi="Times New Roman" w:eastAsia="Times New Roman" w:cs="Times New Roman"/>
              </w:rPr>
            </w:pPr>
            <w:r>
              <w:rPr>
                <w:spacing w:val="-3"/>
              </w:rPr>
              <w:t>一级</w:t>
            </w:r>
            <w:r>
              <w:rPr>
                <w:rFonts w:ascii="Times New Roman" w:hAnsi="Times New Roman" w:eastAsia="Times New Roman" w:cs="Times New Roman"/>
                <w:spacing w:val="-3"/>
              </w:rPr>
              <w:t>□</w:t>
            </w:r>
          </w:p>
        </w:tc>
        <w:tc>
          <w:tcPr>
            <w:tcW w:w="3203" w:type="dxa"/>
            <w:gridSpan w:val="6"/>
            <w:vAlign w:val="top"/>
          </w:tcPr>
          <w:p>
            <w:pPr>
              <w:pStyle w:val="6"/>
              <w:spacing w:before="64" w:line="237" w:lineRule="auto"/>
              <w:ind w:left="1334"/>
              <w:rPr>
                <w:rFonts w:ascii="Times New Roman" w:hAnsi="Times New Roman" w:eastAsia="Times New Roman" w:cs="Times New Roman"/>
              </w:rPr>
            </w:pPr>
            <w:r>
              <w:rPr>
                <w:spacing w:val="-3"/>
              </w:rPr>
              <w:t>二级</w:t>
            </w:r>
            <w:r>
              <w:rPr>
                <w:rFonts w:ascii="Times New Roman" w:hAnsi="Times New Roman" w:eastAsia="Times New Roman" w:cs="Times New Roman"/>
                <w:spacing w:val="-3"/>
              </w:rPr>
              <w:t>□</w:t>
            </w:r>
          </w:p>
        </w:tc>
        <w:tc>
          <w:tcPr>
            <w:tcW w:w="1475" w:type="dxa"/>
            <w:gridSpan w:val="2"/>
            <w:vAlign w:val="top"/>
          </w:tcPr>
          <w:p>
            <w:pPr>
              <w:pStyle w:val="6"/>
              <w:spacing w:before="64" w:line="237" w:lineRule="auto"/>
              <w:ind w:left="468"/>
              <w:rPr>
                <w:rFonts w:ascii="Times New Roman" w:hAnsi="Times New Roman" w:eastAsia="Times New Roman" w:cs="Times New Roman"/>
              </w:rPr>
            </w:pPr>
            <w:r>
              <w:rPr>
                <w:spacing w:val="-2"/>
              </w:rPr>
              <w:t>三级</w:t>
            </w:r>
            <w:r>
              <w:rPr>
                <w:rFonts w:ascii="Times New Roman" w:hAnsi="Times New Roman" w:eastAsia="Times New Roman" w:cs="Times New Roman"/>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9" w:type="dxa"/>
            <w:vMerge w:val="continue"/>
            <w:tcBorders>
              <w:top w:val="nil"/>
            </w:tcBorders>
            <w:vAlign w:val="top"/>
          </w:tcPr>
          <w:p>
            <w:pPr>
              <w:rPr>
                <w:rFonts w:ascii="Arial"/>
                <w:sz w:val="21"/>
              </w:rPr>
            </w:pPr>
          </w:p>
        </w:tc>
        <w:tc>
          <w:tcPr>
            <w:tcW w:w="1274" w:type="dxa"/>
            <w:vAlign w:val="top"/>
          </w:tcPr>
          <w:p>
            <w:pPr>
              <w:pStyle w:val="6"/>
              <w:spacing w:before="128" w:line="219" w:lineRule="auto"/>
              <w:ind w:left="219"/>
            </w:pPr>
            <w:r>
              <w:rPr>
                <w:spacing w:val="-1"/>
              </w:rPr>
              <w:t>评价范围</w:t>
            </w:r>
          </w:p>
        </w:tc>
        <w:tc>
          <w:tcPr>
            <w:tcW w:w="1617" w:type="dxa"/>
            <w:gridSpan w:val="2"/>
            <w:vAlign w:val="top"/>
          </w:tcPr>
          <w:p>
            <w:pPr>
              <w:pStyle w:val="6"/>
              <w:spacing w:before="128" w:line="224" w:lineRule="auto"/>
              <w:ind w:left="239"/>
              <w:rPr>
                <w:rFonts w:ascii="Times New Roman" w:hAnsi="Times New Roman" w:eastAsia="Times New Roman" w:cs="Times New Roman"/>
              </w:rPr>
            </w:pPr>
            <w:r>
              <w:rPr>
                <w:spacing w:val="-1"/>
              </w:rPr>
              <w:t>边长</w:t>
            </w:r>
            <w:r>
              <w:rPr>
                <w:rFonts w:ascii="Times New Roman" w:hAnsi="Times New Roman" w:eastAsia="Times New Roman" w:cs="Times New Roman"/>
                <w:spacing w:val="-1"/>
              </w:rPr>
              <w:t>=50km□</w:t>
            </w:r>
          </w:p>
        </w:tc>
        <w:tc>
          <w:tcPr>
            <w:tcW w:w="3203" w:type="dxa"/>
            <w:gridSpan w:val="6"/>
            <w:vAlign w:val="top"/>
          </w:tcPr>
          <w:p>
            <w:pPr>
              <w:pStyle w:val="6"/>
              <w:spacing w:before="128" w:line="224" w:lineRule="auto"/>
              <w:ind w:left="955"/>
              <w:rPr>
                <w:rFonts w:ascii="Times New Roman" w:hAnsi="Times New Roman" w:eastAsia="Times New Roman" w:cs="Times New Roman"/>
              </w:rPr>
            </w:pPr>
            <w:r>
              <w:rPr>
                <w:spacing w:val="-2"/>
              </w:rPr>
              <w:t>边长</w:t>
            </w:r>
            <w:r>
              <w:rPr>
                <w:spacing w:val="-41"/>
              </w:rPr>
              <w:t xml:space="preserve"> </w:t>
            </w:r>
            <w:r>
              <w:rPr>
                <w:rFonts w:ascii="Times New Roman" w:hAnsi="Times New Roman" w:eastAsia="Times New Roman" w:cs="Times New Roman"/>
                <w:spacing w:val="-2"/>
              </w:rPr>
              <w:t>5~50km□</w:t>
            </w:r>
          </w:p>
        </w:tc>
        <w:tc>
          <w:tcPr>
            <w:tcW w:w="1475" w:type="dxa"/>
            <w:gridSpan w:val="2"/>
            <w:vAlign w:val="top"/>
          </w:tcPr>
          <w:p>
            <w:pPr>
              <w:pStyle w:val="6"/>
              <w:spacing w:before="128" w:line="224" w:lineRule="auto"/>
              <w:ind w:left="222"/>
              <w:rPr>
                <w:rFonts w:ascii="Times New Roman" w:hAnsi="Times New Roman" w:eastAsia="Times New Roman" w:cs="Times New Roman"/>
              </w:rPr>
            </w:pPr>
            <w:r>
              <w:rPr>
                <w:spacing w:val="-1"/>
              </w:rPr>
              <w:t>边长</w:t>
            </w:r>
            <w:r>
              <w:rPr>
                <w:rFonts w:ascii="Times New Roman" w:hAnsi="Times New Roman" w:eastAsia="Times New Roman" w:cs="Times New Roman"/>
                <w:spacing w:val="-1"/>
              </w:rPr>
              <w:t>=5km□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959" w:type="dxa"/>
            <w:vMerge w:val="restart"/>
            <w:tcBorders>
              <w:bottom w:val="nil"/>
            </w:tcBorders>
            <w:vAlign w:val="top"/>
          </w:tcPr>
          <w:p>
            <w:pPr>
              <w:pStyle w:val="6"/>
              <w:spacing w:before="291" w:line="231" w:lineRule="auto"/>
              <w:ind w:left="379" w:right="159" w:hanging="212"/>
            </w:pPr>
            <w:r>
              <w:rPr>
                <w:spacing w:val="-2"/>
              </w:rPr>
              <w:t>评价因</w:t>
            </w:r>
            <w:r>
              <w:rPr>
                <w:spacing w:val="1"/>
              </w:rPr>
              <w:t xml:space="preserve"> </w:t>
            </w:r>
            <w:r>
              <w:t>子</w:t>
            </w:r>
          </w:p>
        </w:tc>
        <w:tc>
          <w:tcPr>
            <w:tcW w:w="1274" w:type="dxa"/>
            <w:vAlign w:val="top"/>
          </w:tcPr>
          <w:p>
            <w:pPr>
              <w:pStyle w:val="6"/>
              <w:spacing w:before="53" w:line="212" w:lineRule="auto"/>
              <w:ind w:left="322" w:right="203" w:hanging="112"/>
            </w:pP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1"/>
              </w:rPr>
              <w:t>+NOx</w:t>
            </w:r>
            <w:r>
              <w:rPr>
                <w:rFonts w:ascii="Times New Roman" w:hAnsi="Times New Roman" w:eastAsia="Times New Roman" w:cs="Times New Roman"/>
              </w:rPr>
              <w:t xml:space="preserve"> </w:t>
            </w:r>
            <w:r>
              <w:rPr>
                <w:spacing w:val="-2"/>
              </w:rPr>
              <w:t>排放量</w:t>
            </w:r>
          </w:p>
        </w:tc>
        <w:tc>
          <w:tcPr>
            <w:tcW w:w="1617" w:type="dxa"/>
            <w:gridSpan w:val="2"/>
            <w:vAlign w:val="top"/>
          </w:tcPr>
          <w:p>
            <w:pPr>
              <w:spacing w:before="185" w:line="219" w:lineRule="auto"/>
              <w:ind w:left="3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≥2000t/a□</w:t>
            </w:r>
          </w:p>
        </w:tc>
        <w:tc>
          <w:tcPr>
            <w:tcW w:w="3203" w:type="dxa"/>
            <w:gridSpan w:val="6"/>
            <w:vAlign w:val="top"/>
          </w:tcPr>
          <w:p>
            <w:pPr>
              <w:spacing w:before="185" w:line="190" w:lineRule="auto"/>
              <w:ind w:left="10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500~2000t/a□</w:t>
            </w:r>
          </w:p>
        </w:tc>
        <w:tc>
          <w:tcPr>
            <w:tcW w:w="1475" w:type="dxa"/>
            <w:gridSpan w:val="2"/>
            <w:vAlign w:val="top"/>
          </w:tcPr>
          <w:p>
            <w:pPr>
              <w:pStyle w:val="6"/>
              <w:spacing w:before="150" w:line="237" w:lineRule="auto"/>
              <w:ind w:left="328"/>
              <w:rPr>
                <w:rFonts w:ascii="Times New Roman" w:hAnsi="Times New Roman" w:eastAsia="Times New Roman" w:cs="Times New Roman"/>
              </w:rPr>
            </w:pPr>
            <w:r>
              <w:rPr>
                <w:spacing w:val="-3"/>
              </w:rPr>
              <w:t>＜</w:t>
            </w:r>
            <w:r>
              <w:rPr>
                <w:rFonts w:ascii="Times New Roman" w:hAnsi="Times New Roman" w:eastAsia="Times New Roman" w:cs="Times New Roman"/>
                <w:spacing w:val="-3"/>
              </w:rPr>
              <w:t>500t/a□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59" w:type="dxa"/>
            <w:vMerge w:val="continue"/>
            <w:tcBorders>
              <w:top w:val="nil"/>
            </w:tcBorders>
            <w:vAlign w:val="top"/>
          </w:tcPr>
          <w:p>
            <w:pPr>
              <w:rPr>
                <w:rFonts w:ascii="Arial"/>
                <w:sz w:val="21"/>
              </w:rPr>
            </w:pPr>
          </w:p>
        </w:tc>
        <w:tc>
          <w:tcPr>
            <w:tcW w:w="1274" w:type="dxa"/>
            <w:vAlign w:val="top"/>
          </w:tcPr>
          <w:p>
            <w:pPr>
              <w:pStyle w:val="6"/>
              <w:spacing w:before="167" w:line="219" w:lineRule="auto"/>
              <w:ind w:left="219"/>
            </w:pPr>
            <w:r>
              <w:rPr>
                <w:spacing w:val="-1"/>
              </w:rPr>
              <w:t>评价因子</w:t>
            </w:r>
          </w:p>
        </w:tc>
        <w:tc>
          <w:tcPr>
            <w:tcW w:w="2975" w:type="dxa"/>
            <w:gridSpan w:val="4"/>
            <w:vAlign w:val="top"/>
          </w:tcPr>
          <w:p>
            <w:pPr>
              <w:pStyle w:val="6"/>
              <w:spacing w:before="30" w:line="220" w:lineRule="auto"/>
              <w:ind w:left="319"/>
            </w:pPr>
            <w:r>
              <w:rPr>
                <w:spacing w:val="-1"/>
              </w:rPr>
              <w:t>基本污染物（</w:t>
            </w:r>
            <w:r>
              <w:rPr>
                <w:rFonts w:ascii="Times New Roman" w:hAnsi="Times New Roman" w:eastAsia="Times New Roman" w:cs="Times New Roman"/>
                <w:spacing w:val="-1"/>
              </w:rPr>
              <w:t>CO</w:t>
            </w:r>
            <w:r>
              <w:rPr>
                <w:rFonts w:ascii="仿宋" w:hAnsi="仿宋" w:eastAsia="仿宋" w:cs="仿宋"/>
                <w:spacing w:val="-1"/>
              </w:rPr>
              <w:t>、</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3"/>
                <w:szCs w:val="13"/>
              </w:rPr>
              <w:t>2</w:t>
            </w:r>
            <w:r>
              <w:rPr>
                <w:spacing w:val="-1"/>
              </w:rPr>
              <w:t>）</w:t>
            </w:r>
          </w:p>
          <w:p>
            <w:pPr>
              <w:pStyle w:val="6"/>
              <w:spacing w:before="24" w:line="206" w:lineRule="auto"/>
              <w:ind w:left="757"/>
            </w:pPr>
            <w:r>
              <w:rPr>
                <w:spacing w:val="12"/>
              </w:rPr>
              <w:t>其他污染物()</w:t>
            </w:r>
          </w:p>
        </w:tc>
        <w:tc>
          <w:tcPr>
            <w:tcW w:w="3320" w:type="dxa"/>
            <w:gridSpan w:val="6"/>
            <w:vAlign w:val="top"/>
          </w:tcPr>
          <w:p>
            <w:pPr>
              <w:pStyle w:val="6"/>
              <w:spacing w:before="30" w:line="241" w:lineRule="auto"/>
              <w:ind w:left="870"/>
              <w:rPr>
                <w:rFonts w:ascii="Times New Roman" w:hAnsi="Times New Roman" w:eastAsia="Times New Roman" w:cs="Times New Roman"/>
              </w:rPr>
            </w:pPr>
            <w:r>
              <w:rPr>
                <w:spacing w:val="-1"/>
              </w:rPr>
              <w:t>包括二次</w:t>
            </w:r>
            <w:r>
              <w:rPr>
                <w:spacing w:val="-47"/>
              </w:rPr>
              <w:t xml:space="preserve"> </w:t>
            </w:r>
            <w:r>
              <w:rPr>
                <w:rFonts w:ascii="Times New Roman" w:hAnsi="Times New Roman" w:eastAsia="Times New Roman" w:cs="Times New Roman"/>
                <w:spacing w:val="-1"/>
              </w:rPr>
              <w:t>PM2.5□</w:t>
            </w:r>
          </w:p>
          <w:p>
            <w:pPr>
              <w:pStyle w:val="6"/>
              <w:spacing w:line="206" w:lineRule="auto"/>
              <w:ind w:left="739"/>
            </w:pPr>
            <w:r>
              <w:rPr>
                <w:spacing w:val="-2"/>
              </w:rPr>
              <w:t>不包括二次</w:t>
            </w:r>
            <w:r>
              <w:rPr>
                <w:spacing w:val="-43"/>
              </w:rPr>
              <w:t xml:space="preserve"> </w:t>
            </w:r>
            <w:r>
              <w:rPr>
                <w:rFonts w:ascii="Times New Roman" w:hAnsi="Times New Roman" w:eastAsia="Times New Roman" w:cs="Times New Roman"/>
                <w:spacing w:val="-2"/>
              </w:rPr>
              <w:t>PM2.5</w:t>
            </w:r>
            <w:r>
              <w:drawing>
                <wp:inline distT="0" distB="0" distL="0" distR="0">
                  <wp:extent cx="113665" cy="10414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496"/>
                          <a:stretch>
                            <a:fillRect/>
                          </a:stretch>
                        </pic:blipFill>
                        <pic:spPr>
                          <a:xfrm>
                            <a:off x="0" y="0"/>
                            <a:ext cx="114189" cy="10420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59" w:type="dxa"/>
            <w:vAlign w:val="top"/>
          </w:tcPr>
          <w:p>
            <w:pPr>
              <w:pStyle w:val="6"/>
              <w:spacing w:before="33" w:line="222" w:lineRule="auto"/>
              <w:ind w:left="380" w:right="159" w:hanging="213"/>
            </w:pPr>
            <w:r>
              <w:rPr>
                <w:spacing w:val="-2"/>
              </w:rPr>
              <w:t>评价标</w:t>
            </w:r>
            <w:r>
              <w:rPr>
                <w:spacing w:val="1"/>
              </w:rPr>
              <w:t xml:space="preserve"> </w:t>
            </w:r>
            <w:r>
              <w:t>准</w:t>
            </w:r>
          </w:p>
        </w:tc>
        <w:tc>
          <w:tcPr>
            <w:tcW w:w="1274" w:type="dxa"/>
            <w:vAlign w:val="top"/>
          </w:tcPr>
          <w:p>
            <w:pPr>
              <w:pStyle w:val="6"/>
              <w:spacing w:before="167" w:line="219" w:lineRule="auto"/>
              <w:ind w:left="219"/>
            </w:pPr>
            <w:r>
              <w:rPr>
                <w:spacing w:val="-1"/>
              </w:rPr>
              <w:t>评价标准</w:t>
            </w:r>
          </w:p>
        </w:tc>
        <w:tc>
          <w:tcPr>
            <w:tcW w:w="1617" w:type="dxa"/>
            <w:gridSpan w:val="2"/>
            <w:vAlign w:val="top"/>
          </w:tcPr>
          <w:p>
            <w:pPr>
              <w:pStyle w:val="6"/>
              <w:spacing w:before="168" w:line="221" w:lineRule="auto"/>
              <w:ind w:left="294"/>
            </w:pPr>
            <w:r>
              <w:rPr>
                <w:spacing w:val="-7"/>
              </w:rPr>
              <w:t>国家标准</w:t>
            </w:r>
            <w:r>
              <w:rPr>
                <w:spacing w:val="-37"/>
              </w:rPr>
              <w:t xml:space="preserve"> </w:t>
            </w:r>
            <w:r>
              <w:drawing>
                <wp:inline distT="0" distB="0" distL="0" distR="0">
                  <wp:extent cx="104140" cy="10414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497"/>
                          <a:stretch>
                            <a:fillRect/>
                          </a:stretch>
                        </pic:blipFill>
                        <pic:spPr>
                          <a:xfrm>
                            <a:off x="0" y="0"/>
                            <a:ext cx="104473" cy="104205"/>
                          </a:xfrm>
                          <a:prstGeom prst="rect">
                            <a:avLst/>
                          </a:prstGeom>
                        </pic:spPr>
                      </pic:pic>
                    </a:graphicData>
                  </a:graphic>
                </wp:inline>
              </w:drawing>
            </w:r>
          </w:p>
        </w:tc>
        <w:tc>
          <w:tcPr>
            <w:tcW w:w="1358" w:type="dxa"/>
            <w:gridSpan w:val="2"/>
            <w:vAlign w:val="top"/>
          </w:tcPr>
          <w:p>
            <w:pPr>
              <w:pStyle w:val="6"/>
              <w:spacing w:before="168" w:line="235" w:lineRule="auto"/>
              <w:ind w:left="200"/>
              <w:rPr>
                <w:rFonts w:ascii="Times New Roman" w:hAnsi="Times New Roman" w:eastAsia="Times New Roman" w:cs="Times New Roman"/>
              </w:rPr>
            </w:pPr>
            <w:r>
              <w:rPr>
                <w:spacing w:val="-1"/>
              </w:rPr>
              <w:t>地方标准</w:t>
            </w:r>
            <w:r>
              <w:rPr>
                <w:rFonts w:ascii="Times New Roman" w:hAnsi="Times New Roman" w:eastAsia="Times New Roman" w:cs="Times New Roman"/>
                <w:spacing w:val="-1"/>
              </w:rPr>
              <w:t>□</w:t>
            </w:r>
          </w:p>
        </w:tc>
        <w:tc>
          <w:tcPr>
            <w:tcW w:w="1845" w:type="dxa"/>
            <w:gridSpan w:val="4"/>
            <w:vAlign w:val="top"/>
          </w:tcPr>
          <w:p>
            <w:pPr>
              <w:pStyle w:val="6"/>
              <w:spacing w:before="167" w:line="220" w:lineRule="auto"/>
              <w:ind w:left="567"/>
              <w:rPr>
                <w:rFonts w:ascii="Times New Roman" w:hAnsi="Times New Roman" w:eastAsia="Times New Roman" w:cs="Times New Roman"/>
              </w:rPr>
            </w:pPr>
            <w:r>
              <w:rPr>
                <w:spacing w:val="-6"/>
              </w:rPr>
              <w:t>附录</w:t>
            </w:r>
            <w:r>
              <w:rPr>
                <w:spacing w:val="-51"/>
              </w:rPr>
              <w:t xml:space="preserve"> </w:t>
            </w:r>
            <w:r>
              <w:rPr>
                <w:rFonts w:ascii="Times New Roman" w:hAnsi="Times New Roman" w:eastAsia="Times New Roman" w:cs="Times New Roman"/>
                <w:spacing w:val="-6"/>
              </w:rPr>
              <w:t>D□</w:t>
            </w:r>
          </w:p>
        </w:tc>
        <w:tc>
          <w:tcPr>
            <w:tcW w:w="1475" w:type="dxa"/>
            <w:gridSpan w:val="2"/>
            <w:vAlign w:val="top"/>
          </w:tcPr>
          <w:p>
            <w:pPr>
              <w:pStyle w:val="6"/>
              <w:spacing w:before="168" w:line="235" w:lineRule="auto"/>
              <w:ind w:left="260"/>
              <w:rPr>
                <w:rFonts w:ascii="Times New Roman" w:hAnsi="Times New Roman" w:eastAsia="Times New Roman" w:cs="Times New Roman"/>
              </w:rPr>
            </w:pPr>
            <w:r>
              <w:rPr>
                <w:spacing w:val="-2"/>
              </w:rPr>
              <w:t>其他标准</w:t>
            </w:r>
            <w:r>
              <w:rPr>
                <w:rFonts w:ascii="Times New Roman" w:hAnsi="Times New Roman" w:eastAsia="Times New Roman" w:cs="Times New Roman"/>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959"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8" w:line="229" w:lineRule="auto"/>
              <w:ind w:left="380" w:right="159" w:hanging="210"/>
            </w:pPr>
            <w:r>
              <w:rPr>
                <w:spacing w:val="-3"/>
              </w:rPr>
              <w:t>现状评</w:t>
            </w:r>
            <w:r>
              <w:rPr>
                <w:spacing w:val="1"/>
              </w:rPr>
              <w:t xml:space="preserve"> </w:t>
            </w:r>
            <w:r>
              <w:t>价</w:t>
            </w:r>
          </w:p>
        </w:tc>
        <w:tc>
          <w:tcPr>
            <w:tcW w:w="1274" w:type="dxa"/>
            <w:vAlign w:val="top"/>
          </w:tcPr>
          <w:p>
            <w:pPr>
              <w:pStyle w:val="6"/>
              <w:spacing w:before="169" w:line="221" w:lineRule="auto"/>
              <w:ind w:left="114"/>
            </w:pPr>
            <w:r>
              <w:rPr>
                <w:spacing w:val="-1"/>
              </w:rPr>
              <w:t>环境功能区</w:t>
            </w:r>
          </w:p>
        </w:tc>
        <w:tc>
          <w:tcPr>
            <w:tcW w:w="1617" w:type="dxa"/>
            <w:gridSpan w:val="2"/>
            <w:vAlign w:val="top"/>
          </w:tcPr>
          <w:p>
            <w:pPr>
              <w:pStyle w:val="6"/>
              <w:spacing w:before="169" w:line="234" w:lineRule="auto"/>
              <w:ind w:left="438"/>
              <w:rPr>
                <w:rFonts w:ascii="Times New Roman" w:hAnsi="Times New Roman" w:eastAsia="Times New Roman" w:cs="Times New Roman"/>
              </w:rPr>
            </w:pPr>
            <w:r>
              <w:rPr>
                <w:spacing w:val="-3"/>
              </w:rPr>
              <w:t>一类区</w:t>
            </w:r>
            <w:r>
              <w:rPr>
                <w:rFonts w:ascii="Times New Roman" w:hAnsi="Times New Roman" w:eastAsia="Times New Roman" w:cs="Times New Roman"/>
                <w:spacing w:val="-3"/>
              </w:rPr>
              <w:t>□</w:t>
            </w:r>
          </w:p>
        </w:tc>
        <w:tc>
          <w:tcPr>
            <w:tcW w:w="3203" w:type="dxa"/>
            <w:gridSpan w:val="6"/>
            <w:vAlign w:val="top"/>
          </w:tcPr>
          <w:p>
            <w:pPr>
              <w:pStyle w:val="6"/>
              <w:spacing w:before="178" w:line="221" w:lineRule="auto"/>
              <w:ind w:left="1202"/>
              <w:rPr>
                <w:rFonts w:ascii="Segoe UI Symbol" w:hAnsi="Segoe UI Symbol" w:eastAsia="Segoe UI Symbol" w:cs="Segoe UI Symbol"/>
              </w:rPr>
            </w:pPr>
            <w:r>
              <w:rPr>
                <w:spacing w:val="-3"/>
              </w:rPr>
              <w:t>二类区</w:t>
            </w:r>
            <w:r>
              <w:rPr>
                <w:rFonts w:ascii="Segoe UI Symbol" w:hAnsi="Segoe UI Symbol" w:eastAsia="Segoe UI Symbol" w:cs="Segoe UI Symbol"/>
                <w:spacing w:val="-3"/>
              </w:rPr>
              <w:t>☑</w:t>
            </w:r>
          </w:p>
        </w:tc>
        <w:tc>
          <w:tcPr>
            <w:tcW w:w="1475" w:type="dxa"/>
            <w:gridSpan w:val="2"/>
            <w:vAlign w:val="top"/>
          </w:tcPr>
          <w:p>
            <w:pPr>
              <w:pStyle w:val="6"/>
              <w:spacing w:before="34" w:line="223" w:lineRule="auto"/>
              <w:ind w:left="467" w:right="208" w:hanging="248"/>
              <w:rPr>
                <w:rFonts w:ascii="Times New Roman" w:hAnsi="Times New Roman" w:eastAsia="Times New Roman" w:cs="Times New Roman"/>
              </w:rPr>
            </w:pPr>
            <w:r>
              <w:rPr>
                <w:spacing w:val="-2"/>
              </w:rPr>
              <w:t>一类区和二</w:t>
            </w:r>
            <w:r>
              <w:rPr>
                <w:spacing w:val="1"/>
              </w:rPr>
              <w:t xml:space="preserve"> </w:t>
            </w:r>
            <w:r>
              <w:rPr>
                <w:spacing w:val="-2"/>
              </w:rPr>
              <w:t>类区</w:t>
            </w:r>
            <w:r>
              <w:rPr>
                <w:rFonts w:ascii="Times New Roman" w:hAnsi="Times New Roman" w:eastAsia="Times New Roman" w:cs="Times New Roman"/>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59" w:type="dxa"/>
            <w:vMerge w:val="continue"/>
            <w:tcBorders>
              <w:top w:val="nil"/>
              <w:bottom w:val="nil"/>
            </w:tcBorders>
            <w:vAlign w:val="top"/>
          </w:tcPr>
          <w:p>
            <w:pPr>
              <w:rPr>
                <w:rFonts w:ascii="Arial"/>
                <w:sz w:val="21"/>
              </w:rPr>
            </w:pPr>
          </w:p>
        </w:tc>
        <w:tc>
          <w:tcPr>
            <w:tcW w:w="1274" w:type="dxa"/>
            <w:vAlign w:val="top"/>
          </w:tcPr>
          <w:p>
            <w:pPr>
              <w:pStyle w:val="6"/>
              <w:spacing w:before="65" w:line="219" w:lineRule="auto"/>
              <w:ind w:left="113"/>
            </w:pPr>
            <w:r>
              <w:rPr>
                <w:spacing w:val="-1"/>
              </w:rPr>
              <w:t>评价基准年</w:t>
            </w:r>
          </w:p>
        </w:tc>
        <w:tc>
          <w:tcPr>
            <w:tcW w:w="6295" w:type="dxa"/>
            <w:gridSpan w:val="10"/>
            <w:vAlign w:val="top"/>
          </w:tcPr>
          <w:p>
            <w:pPr>
              <w:pStyle w:val="6"/>
              <w:spacing w:before="64" w:line="221" w:lineRule="auto"/>
              <w:ind w:left="2632"/>
            </w:pPr>
            <w:r>
              <w:rPr>
                <w:spacing w:val="-3"/>
              </w:rPr>
              <w:t>（</w:t>
            </w:r>
            <w:r>
              <w:rPr>
                <w:rFonts w:ascii="Times New Roman" w:hAnsi="Times New Roman" w:eastAsia="Times New Roman" w:cs="Times New Roman"/>
                <w:spacing w:val="-3"/>
              </w:rPr>
              <w:t>2021</w:t>
            </w:r>
            <w:r>
              <w:rPr>
                <w:spacing w:val="-3"/>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59" w:type="dxa"/>
            <w:vMerge w:val="continue"/>
            <w:tcBorders>
              <w:top w:val="nil"/>
              <w:bottom w:val="nil"/>
            </w:tcBorders>
            <w:vAlign w:val="top"/>
          </w:tcPr>
          <w:p>
            <w:pPr>
              <w:rPr>
                <w:rFonts w:ascii="Arial"/>
                <w:sz w:val="21"/>
              </w:rPr>
            </w:pPr>
          </w:p>
        </w:tc>
        <w:tc>
          <w:tcPr>
            <w:tcW w:w="1274" w:type="dxa"/>
            <w:vAlign w:val="top"/>
          </w:tcPr>
          <w:p>
            <w:pPr>
              <w:pStyle w:val="6"/>
              <w:spacing w:before="34" w:line="221" w:lineRule="auto"/>
              <w:ind w:left="114"/>
            </w:pPr>
            <w:r>
              <w:rPr>
                <w:spacing w:val="-1"/>
              </w:rPr>
              <w:t>环境空气质</w:t>
            </w:r>
          </w:p>
          <w:p>
            <w:pPr>
              <w:pStyle w:val="6"/>
              <w:spacing w:before="18" w:line="221" w:lineRule="auto"/>
              <w:ind w:left="114"/>
            </w:pPr>
            <w:r>
              <w:rPr>
                <w:spacing w:val="-1"/>
              </w:rPr>
              <w:t>量现状调差</w:t>
            </w:r>
          </w:p>
          <w:p>
            <w:pPr>
              <w:pStyle w:val="6"/>
              <w:spacing w:before="22" w:line="206" w:lineRule="auto"/>
              <w:ind w:left="221"/>
            </w:pPr>
            <w:r>
              <w:rPr>
                <w:spacing w:val="-2"/>
              </w:rPr>
              <w:t>数据来源</w:t>
            </w:r>
          </w:p>
        </w:tc>
        <w:tc>
          <w:tcPr>
            <w:tcW w:w="1617" w:type="dxa"/>
            <w:gridSpan w:val="2"/>
            <w:vAlign w:val="top"/>
          </w:tcPr>
          <w:p>
            <w:pPr>
              <w:pStyle w:val="6"/>
              <w:spacing w:before="167" w:line="238" w:lineRule="auto"/>
              <w:ind w:left="541" w:right="174" w:hanging="358"/>
              <w:rPr>
                <w:rFonts w:ascii="Times New Roman" w:hAnsi="Times New Roman" w:eastAsia="Times New Roman" w:cs="Times New Roman"/>
              </w:rPr>
            </w:pPr>
            <w:r>
              <w:rPr>
                <w:spacing w:val="-2"/>
              </w:rPr>
              <w:t>长期例行监测</w:t>
            </w:r>
            <w:r>
              <w:rPr>
                <w:spacing w:val="4"/>
              </w:rPr>
              <w:t xml:space="preserve"> </w:t>
            </w:r>
            <w:r>
              <w:rPr>
                <w:spacing w:val="-3"/>
              </w:rPr>
              <w:t>数据</w:t>
            </w:r>
            <w:r>
              <w:rPr>
                <w:rFonts w:ascii="Times New Roman" w:hAnsi="Times New Roman" w:eastAsia="Times New Roman" w:cs="Times New Roman"/>
                <w:spacing w:val="-3"/>
              </w:rPr>
              <w:t>□</w:t>
            </w:r>
          </w:p>
        </w:tc>
        <w:tc>
          <w:tcPr>
            <w:tcW w:w="3203" w:type="dxa"/>
            <w:gridSpan w:val="6"/>
            <w:vAlign w:val="top"/>
          </w:tcPr>
          <w:p>
            <w:pPr>
              <w:pStyle w:val="6"/>
              <w:spacing w:before="168" w:line="241" w:lineRule="auto"/>
              <w:ind w:left="871"/>
            </w:pPr>
            <w:r>
              <w:rPr>
                <w:spacing w:val="-1"/>
              </w:rPr>
              <w:t>主管部门发布的</w:t>
            </w:r>
          </w:p>
          <w:p>
            <w:pPr>
              <w:pStyle w:val="6"/>
              <w:spacing w:line="220" w:lineRule="auto"/>
              <w:ind w:left="1277"/>
            </w:pPr>
            <w:r>
              <w:rPr>
                <w:spacing w:val="-4"/>
              </w:rPr>
              <w:t>数据</w:t>
            </w:r>
            <w:r>
              <w:rPr>
                <w:spacing w:val="-37"/>
              </w:rPr>
              <w:t xml:space="preserve"> </w:t>
            </w:r>
            <w:r>
              <w:drawing>
                <wp:inline distT="0" distB="0" distL="0" distR="0">
                  <wp:extent cx="104140" cy="10414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494"/>
                          <a:stretch>
                            <a:fillRect/>
                          </a:stretch>
                        </pic:blipFill>
                        <pic:spPr>
                          <a:xfrm>
                            <a:off x="0" y="0"/>
                            <a:ext cx="104473" cy="104205"/>
                          </a:xfrm>
                          <a:prstGeom prst="rect">
                            <a:avLst/>
                          </a:prstGeom>
                        </pic:spPr>
                      </pic:pic>
                    </a:graphicData>
                  </a:graphic>
                </wp:inline>
              </w:drawing>
            </w:r>
          </w:p>
        </w:tc>
        <w:tc>
          <w:tcPr>
            <w:tcW w:w="1475" w:type="dxa"/>
            <w:gridSpan w:val="2"/>
            <w:vAlign w:val="top"/>
          </w:tcPr>
          <w:p>
            <w:pPr>
              <w:pStyle w:val="6"/>
              <w:spacing w:before="169" w:line="238" w:lineRule="auto"/>
              <w:ind w:left="574" w:right="208" w:hanging="356"/>
              <w:rPr>
                <w:rFonts w:ascii="Times New Roman" w:hAnsi="Times New Roman" w:eastAsia="Times New Roman" w:cs="Times New Roman"/>
              </w:rPr>
            </w:pPr>
            <w:r>
              <w:rPr>
                <w:spacing w:val="-2"/>
              </w:rPr>
              <w:t>现状补充监</w:t>
            </w:r>
            <w:r>
              <w:rPr>
                <w:spacing w:val="2"/>
              </w:rPr>
              <w:t xml:space="preserve"> </w:t>
            </w:r>
            <w:r>
              <w:rPr>
                <w:spacing w:val="-4"/>
              </w:rPr>
              <w:t>测</w:t>
            </w:r>
            <w:r>
              <w:rPr>
                <w:rFonts w:ascii="Times New Roman" w:hAnsi="Times New Roman" w:eastAsia="Times New Roman" w:cs="Times New Roman"/>
                <w:spacing w:val="-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tcBorders>
            <w:vAlign w:val="top"/>
          </w:tcPr>
          <w:p>
            <w:pPr>
              <w:rPr>
                <w:rFonts w:ascii="Arial"/>
                <w:sz w:val="21"/>
              </w:rPr>
            </w:pPr>
          </w:p>
        </w:tc>
        <w:tc>
          <w:tcPr>
            <w:tcW w:w="1274" w:type="dxa"/>
            <w:vAlign w:val="top"/>
          </w:tcPr>
          <w:p>
            <w:pPr>
              <w:pStyle w:val="6"/>
              <w:spacing w:before="65" w:line="219" w:lineRule="auto"/>
              <w:ind w:left="221"/>
            </w:pPr>
            <w:r>
              <w:rPr>
                <w:spacing w:val="-2"/>
              </w:rPr>
              <w:t>现状评价</w:t>
            </w:r>
          </w:p>
        </w:tc>
        <w:tc>
          <w:tcPr>
            <w:tcW w:w="2975" w:type="dxa"/>
            <w:gridSpan w:val="4"/>
            <w:vAlign w:val="top"/>
          </w:tcPr>
          <w:p>
            <w:pPr>
              <w:pStyle w:val="6"/>
              <w:spacing w:before="75" w:line="216" w:lineRule="auto"/>
              <w:ind w:left="1086"/>
              <w:rPr>
                <w:rFonts w:ascii="Segoe UI Symbol" w:hAnsi="Segoe UI Symbol" w:eastAsia="Segoe UI Symbol" w:cs="Segoe UI Symbol"/>
              </w:rPr>
            </w:pPr>
            <w:r>
              <w:rPr>
                <w:spacing w:val="-1"/>
              </w:rPr>
              <w:t>达标区</w:t>
            </w:r>
            <w:r>
              <w:rPr>
                <w:rFonts w:ascii="Segoe UI Symbol" w:hAnsi="Segoe UI Symbol" w:eastAsia="Segoe UI Symbol" w:cs="Segoe UI Symbol"/>
                <w:spacing w:val="-1"/>
              </w:rPr>
              <w:t>☑</w:t>
            </w:r>
          </w:p>
        </w:tc>
        <w:tc>
          <w:tcPr>
            <w:tcW w:w="3320" w:type="dxa"/>
            <w:gridSpan w:val="6"/>
            <w:vAlign w:val="top"/>
          </w:tcPr>
          <w:p>
            <w:pPr>
              <w:pStyle w:val="6"/>
              <w:spacing w:before="65" w:line="235" w:lineRule="auto"/>
              <w:ind w:left="1183"/>
              <w:rPr>
                <w:rFonts w:ascii="Times New Roman" w:hAnsi="Times New Roman" w:eastAsia="Times New Roman" w:cs="Times New Roman"/>
              </w:rPr>
            </w:pPr>
            <w:r>
              <w:rPr>
                <w:spacing w:val="-2"/>
              </w:rPr>
              <w:t>不达标区</w:t>
            </w:r>
            <w:r>
              <w:rPr>
                <w:rFonts w:ascii="Times New Roman" w:hAnsi="Times New Roman" w:eastAsia="Times New Roman" w:cs="Times New Roman"/>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959" w:type="dxa"/>
            <w:vAlign w:val="top"/>
          </w:tcPr>
          <w:p>
            <w:pPr>
              <w:pStyle w:val="6"/>
              <w:spacing w:before="289" w:line="221" w:lineRule="auto"/>
              <w:ind w:left="170"/>
            </w:pPr>
            <w:r>
              <w:rPr>
                <w:spacing w:val="-2"/>
              </w:rPr>
              <w:t>污染源</w:t>
            </w:r>
          </w:p>
          <w:p>
            <w:pPr>
              <w:pStyle w:val="6"/>
              <w:spacing w:before="21" w:line="223" w:lineRule="auto"/>
              <w:ind w:left="276"/>
            </w:pPr>
            <w:r>
              <w:rPr>
                <w:spacing w:val="-2"/>
              </w:rPr>
              <w:t>调查</w:t>
            </w:r>
          </w:p>
        </w:tc>
        <w:tc>
          <w:tcPr>
            <w:tcW w:w="1274" w:type="dxa"/>
            <w:vAlign w:val="top"/>
          </w:tcPr>
          <w:p>
            <w:pPr>
              <w:spacing w:line="354" w:lineRule="auto"/>
              <w:rPr>
                <w:rFonts w:ascii="Arial"/>
                <w:sz w:val="21"/>
              </w:rPr>
            </w:pPr>
          </w:p>
          <w:p>
            <w:pPr>
              <w:pStyle w:val="6"/>
              <w:spacing w:before="69" w:line="221" w:lineRule="auto"/>
              <w:ind w:left="221"/>
            </w:pPr>
            <w:r>
              <w:rPr>
                <w:spacing w:val="-2"/>
              </w:rPr>
              <w:t>调查内容</w:t>
            </w:r>
          </w:p>
        </w:tc>
        <w:tc>
          <w:tcPr>
            <w:tcW w:w="2169" w:type="dxa"/>
            <w:gridSpan w:val="3"/>
            <w:vAlign w:val="top"/>
          </w:tcPr>
          <w:p>
            <w:pPr>
              <w:pStyle w:val="6"/>
              <w:spacing w:before="32" w:line="220" w:lineRule="auto"/>
              <w:ind w:left="130"/>
            </w:pPr>
            <w:r>
              <w:rPr>
                <w:spacing w:val="-1"/>
              </w:rPr>
              <w:t>本项目正常排放源</w:t>
            </w:r>
            <w:r>
              <w:rPr>
                <w:spacing w:val="-37"/>
              </w:rPr>
              <w:t xml:space="preserve"> </w:t>
            </w:r>
            <w:r>
              <w:drawing>
                <wp:inline distT="0" distB="0" distL="0" distR="0">
                  <wp:extent cx="104140" cy="10414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496"/>
                          <a:stretch>
                            <a:fillRect/>
                          </a:stretch>
                        </pic:blipFill>
                        <pic:spPr>
                          <a:xfrm>
                            <a:off x="0" y="0"/>
                            <a:ext cx="104473" cy="104204"/>
                          </a:xfrm>
                          <a:prstGeom prst="rect">
                            <a:avLst/>
                          </a:prstGeom>
                        </pic:spPr>
                      </pic:pic>
                    </a:graphicData>
                  </a:graphic>
                </wp:inline>
              </w:drawing>
            </w:r>
          </w:p>
          <w:p>
            <w:pPr>
              <w:pStyle w:val="6"/>
              <w:spacing w:before="20" w:line="220" w:lineRule="auto"/>
              <w:ind w:left="145"/>
            </w:pPr>
            <w:r>
              <w:rPr>
                <w:spacing w:val="-1"/>
              </w:rPr>
              <w:t>本项目非正常排放源</w:t>
            </w:r>
          </w:p>
          <w:p>
            <w:pPr>
              <w:spacing w:before="44" w:line="220" w:lineRule="auto"/>
              <w:ind w:left="103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p>
            <w:pPr>
              <w:pStyle w:val="6"/>
              <w:spacing w:line="205" w:lineRule="auto"/>
              <w:ind w:left="503"/>
              <w:rPr>
                <w:rFonts w:ascii="Times New Roman" w:hAnsi="Times New Roman" w:eastAsia="Times New Roman" w:cs="Times New Roman"/>
              </w:rPr>
            </w:pPr>
            <w:r>
              <w:rPr>
                <w:spacing w:val="-2"/>
              </w:rPr>
              <w:t>现有污染源</w:t>
            </w:r>
            <w:r>
              <w:rPr>
                <w:rFonts w:ascii="Times New Roman" w:hAnsi="Times New Roman" w:eastAsia="Times New Roman" w:cs="Times New Roman"/>
                <w:spacing w:val="-2"/>
              </w:rPr>
              <w:t>□</w:t>
            </w:r>
          </w:p>
        </w:tc>
        <w:tc>
          <w:tcPr>
            <w:tcW w:w="1835" w:type="dxa"/>
            <w:gridSpan w:val="3"/>
            <w:vAlign w:val="top"/>
          </w:tcPr>
          <w:p>
            <w:pPr>
              <w:spacing w:line="355" w:lineRule="auto"/>
              <w:rPr>
                <w:rFonts w:ascii="Arial"/>
                <w:sz w:val="21"/>
              </w:rPr>
            </w:pPr>
          </w:p>
          <w:p>
            <w:pPr>
              <w:pStyle w:val="6"/>
              <w:spacing w:before="68" w:line="234" w:lineRule="auto"/>
              <w:ind w:left="123"/>
              <w:rPr>
                <w:rFonts w:ascii="Times New Roman" w:hAnsi="Times New Roman" w:eastAsia="Times New Roman" w:cs="Times New Roman"/>
              </w:rPr>
            </w:pPr>
            <w:r>
              <w:rPr>
                <w:spacing w:val="-1"/>
              </w:rPr>
              <w:t>拟替代的污染源</w:t>
            </w:r>
            <w:r>
              <w:rPr>
                <w:rFonts w:ascii="Times New Roman" w:hAnsi="Times New Roman" w:eastAsia="Times New Roman" w:cs="Times New Roman"/>
                <w:spacing w:val="-1"/>
              </w:rPr>
              <w:t>□</w:t>
            </w:r>
          </w:p>
        </w:tc>
        <w:tc>
          <w:tcPr>
            <w:tcW w:w="1612" w:type="dxa"/>
            <w:gridSpan w:val="3"/>
            <w:vAlign w:val="top"/>
          </w:tcPr>
          <w:p>
            <w:pPr>
              <w:pStyle w:val="6"/>
              <w:spacing w:before="288" w:line="220" w:lineRule="auto"/>
              <w:ind w:left="113"/>
            </w:pPr>
            <w:r>
              <w:rPr>
                <w:spacing w:val="-12"/>
              </w:rPr>
              <w:t>其他在建、拟建</w:t>
            </w:r>
          </w:p>
          <w:p>
            <w:pPr>
              <w:pStyle w:val="6"/>
              <w:spacing w:before="23" w:line="235" w:lineRule="auto"/>
              <w:ind w:left="226"/>
              <w:rPr>
                <w:rFonts w:ascii="Times New Roman" w:hAnsi="Times New Roman" w:eastAsia="Times New Roman" w:cs="Times New Roman"/>
              </w:rPr>
            </w:pPr>
            <w:r>
              <w:rPr>
                <w:spacing w:val="-2"/>
              </w:rPr>
              <w:t>项目污染源</w:t>
            </w:r>
            <w:r>
              <w:rPr>
                <w:rFonts w:ascii="Times New Roman" w:hAnsi="Times New Roman" w:eastAsia="Times New Roman" w:cs="Times New Roman"/>
                <w:spacing w:val="-2"/>
              </w:rPr>
              <w:t>□</w:t>
            </w:r>
          </w:p>
        </w:tc>
        <w:tc>
          <w:tcPr>
            <w:tcW w:w="679" w:type="dxa"/>
            <w:vAlign w:val="top"/>
          </w:tcPr>
          <w:p>
            <w:pPr>
              <w:pStyle w:val="6"/>
              <w:spacing w:before="151" w:line="239" w:lineRule="auto"/>
              <w:ind w:left="135" w:right="126" w:firstLine="13"/>
              <w:jc w:val="both"/>
              <w:rPr>
                <w:rFonts w:ascii="Times New Roman" w:hAnsi="Times New Roman" w:eastAsia="Times New Roman" w:cs="Times New Roman"/>
              </w:rPr>
            </w:pPr>
            <w:r>
              <w:rPr>
                <w:spacing w:val="-11"/>
              </w:rPr>
              <w:t>区域</w:t>
            </w:r>
            <w:r>
              <w:t xml:space="preserve"> </w:t>
            </w:r>
            <w:r>
              <w:rPr>
                <w:spacing w:val="-4"/>
              </w:rPr>
              <w:t>污染</w:t>
            </w:r>
            <w:r>
              <w:t xml:space="preserve"> </w:t>
            </w:r>
            <w:r>
              <w:rPr>
                <w:spacing w:val="17"/>
              </w:rPr>
              <w:t>源</w:t>
            </w:r>
            <w:r>
              <w:rPr>
                <w:rFonts w:ascii="Times New Roman" w:hAnsi="Times New Roman" w:eastAsia="Times New Roman" w:cs="Times New Roman"/>
                <w:spacing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959"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8" w:line="236" w:lineRule="auto"/>
              <w:ind w:left="115" w:right="104" w:firstLine="56"/>
              <w:jc w:val="both"/>
            </w:pPr>
            <w:r>
              <w:rPr>
                <w:spacing w:val="-3"/>
              </w:rPr>
              <w:t>大气环</w:t>
            </w:r>
            <w:r>
              <w:t xml:space="preserve"> </w:t>
            </w:r>
            <w:r>
              <w:rPr>
                <w:spacing w:val="16"/>
              </w:rPr>
              <w:t>境影响</w:t>
            </w:r>
            <w:r>
              <w:t xml:space="preserve"> </w:t>
            </w:r>
            <w:r>
              <w:rPr>
                <w:spacing w:val="16"/>
              </w:rPr>
              <w:t>预测与</w:t>
            </w:r>
            <w:r>
              <w:t xml:space="preserve"> </w:t>
            </w:r>
            <w:r>
              <w:rPr>
                <w:spacing w:val="-27"/>
              </w:rPr>
              <w:t>评价（不</w:t>
            </w:r>
            <w:r>
              <w:rPr>
                <w:spacing w:val="1"/>
              </w:rPr>
              <w:t xml:space="preserve"> </w:t>
            </w:r>
            <w:r>
              <w:rPr>
                <w:spacing w:val="11"/>
              </w:rPr>
              <w:t>涉及）</w:t>
            </w:r>
          </w:p>
        </w:tc>
        <w:tc>
          <w:tcPr>
            <w:tcW w:w="1274" w:type="dxa"/>
            <w:vAlign w:val="top"/>
          </w:tcPr>
          <w:p>
            <w:pPr>
              <w:spacing w:line="309" w:lineRule="auto"/>
              <w:rPr>
                <w:rFonts w:ascii="Arial"/>
                <w:sz w:val="21"/>
              </w:rPr>
            </w:pPr>
          </w:p>
          <w:p>
            <w:pPr>
              <w:pStyle w:val="6"/>
              <w:spacing w:before="69" w:line="221" w:lineRule="auto"/>
              <w:ind w:left="221"/>
            </w:pPr>
            <w:r>
              <w:rPr>
                <w:spacing w:val="-2"/>
              </w:rPr>
              <w:t>预测模型</w:t>
            </w:r>
          </w:p>
        </w:tc>
        <w:tc>
          <w:tcPr>
            <w:tcW w:w="1281" w:type="dxa"/>
            <w:vAlign w:val="top"/>
          </w:tcPr>
          <w:p>
            <w:pPr>
              <w:spacing w:before="296" w:line="237" w:lineRule="auto"/>
              <w:ind w:left="587" w:right="184" w:hanging="4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AERMOD</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w:t>
            </w:r>
          </w:p>
        </w:tc>
        <w:tc>
          <w:tcPr>
            <w:tcW w:w="888" w:type="dxa"/>
            <w:gridSpan w:val="2"/>
            <w:vAlign w:val="top"/>
          </w:tcPr>
          <w:p>
            <w:pPr>
              <w:spacing w:before="296" w:line="237" w:lineRule="auto"/>
              <w:ind w:left="391" w:right="136" w:hanging="253"/>
              <w:rPr>
                <w:rFonts w:ascii="Times New Roman" w:hAnsi="Times New Roman" w:eastAsia="Times New Roman" w:cs="Times New Roman"/>
                <w:sz w:val="21"/>
                <w:szCs w:val="21"/>
              </w:rPr>
            </w:pPr>
            <w:r>
              <w:rPr>
                <w:rFonts w:ascii="Times New Roman" w:hAnsi="Times New Roman" w:eastAsia="Times New Roman" w:cs="Times New Roman"/>
                <w:sz w:val="21"/>
                <w:szCs w:val="21"/>
              </w:rPr>
              <w:t>ADMS □</w:t>
            </w:r>
          </w:p>
        </w:tc>
        <w:tc>
          <w:tcPr>
            <w:tcW w:w="806" w:type="dxa"/>
            <w:vAlign w:val="top"/>
          </w:tcPr>
          <w:p>
            <w:pPr>
              <w:spacing w:before="56" w:line="187" w:lineRule="auto"/>
              <w:ind w:left="134"/>
              <w:rPr>
                <w:rFonts w:ascii="Times New Roman" w:hAnsi="Times New Roman" w:eastAsia="Times New Roman" w:cs="Times New Roman"/>
                <w:sz w:val="21"/>
                <w:szCs w:val="21"/>
              </w:rPr>
            </w:pPr>
            <w:r>
              <w:rPr>
                <w:rFonts w:ascii="Times New Roman" w:hAnsi="Times New Roman" w:eastAsia="Times New Roman" w:cs="Times New Roman"/>
                <w:sz w:val="21"/>
                <w:szCs w:val="21"/>
              </w:rPr>
              <w:t>AUST</w:t>
            </w:r>
          </w:p>
          <w:p>
            <w:pPr>
              <w:spacing w:before="52" w:line="214" w:lineRule="auto"/>
              <w:ind w:left="300" w:right="155" w:hanging="145"/>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AL20 </w:t>
            </w:r>
            <w:r>
              <w:rPr>
                <w:rFonts w:ascii="Times New Roman" w:hAnsi="Times New Roman" w:eastAsia="Times New Roman" w:cs="Times New Roman"/>
                <w:spacing w:val="-2"/>
                <w:sz w:val="21"/>
                <w:szCs w:val="21"/>
              </w:rPr>
              <w:t>00</w:t>
            </w:r>
          </w:p>
          <w:p>
            <w:pPr>
              <w:spacing w:before="50" w:line="183" w:lineRule="auto"/>
              <w:ind w:left="35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2" w:type="dxa"/>
            <w:vAlign w:val="top"/>
          </w:tcPr>
          <w:p>
            <w:pPr>
              <w:spacing w:before="176" w:line="187" w:lineRule="auto"/>
              <w:ind w:left="1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EDMS</w:t>
            </w:r>
          </w:p>
          <w:p>
            <w:pPr>
              <w:spacing w:before="51" w:line="190" w:lineRule="auto"/>
              <w:ind w:left="11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z w:val="21"/>
                <w:szCs w:val="21"/>
              </w:rPr>
              <w:t>AEDT</w:t>
            </w:r>
          </w:p>
          <w:p>
            <w:pPr>
              <w:spacing w:before="48" w:line="236" w:lineRule="auto"/>
              <w:ind w:left="37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3" w:type="dxa"/>
            <w:gridSpan w:val="3"/>
            <w:vAlign w:val="top"/>
          </w:tcPr>
          <w:p>
            <w:pPr>
              <w:spacing w:before="176" w:line="214" w:lineRule="auto"/>
              <w:ind w:left="380" w:right="148" w:hanging="2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CALPU</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FF</w:t>
            </w:r>
          </w:p>
          <w:p>
            <w:pPr>
              <w:spacing w:before="48" w:line="236" w:lineRule="auto"/>
              <w:ind w:left="44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96" w:type="dxa"/>
            <w:vAlign w:val="top"/>
          </w:tcPr>
          <w:p>
            <w:pPr>
              <w:pStyle w:val="6"/>
              <w:spacing w:before="122" w:line="221" w:lineRule="auto"/>
              <w:ind w:left="213"/>
            </w:pPr>
            <w:r>
              <w:rPr>
                <w:spacing w:val="-6"/>
              </w:rPr>
              <w:t>网格</w:t>
            </w:r>
          </w:p>
          <w:p>
            <w:pPr>
              <w:pStyle w:val="6"/>
              <w:spacing w:before="20" w:line="221" w:lineRule="auto"/>
              <w:ind w:left="196"/>
            </w:pPr>
            <w:r>
              <w:rPr>
                <w:spacing w:val="-2"/>
              </w:rPr>
              <w:t>模型</w:t>
            </w:r>
          </w:p>
          <w:p>
            <w:pPr>
              <w:spacing w:before="40" w:line="236" w:lineRule="auto"/>
              <w:ind w:left="35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79" w:type="dxa"/>
            <w:vAlign w:val="top"/>
          </w:tcPr>
          <w:p>
            <w:pPr>
              <w:pStyle w:val="6"/>
              <w:spacing w:before="258" w:line="248" w:lineRule="auto"/>
              <w:ind w:left="286" w:right="126" w:hanging="152"/>
              <w:rPr>
                <w:rFonts w:ascii="Times New Roman" w:hAnsi="Times New Roman" w:eastAsia="Times New Roman" w:cs="Times New Roman"/>
              </w:rPr>
            </w:pPr>
            <w:r>
              <w:rPr>
                <w:spacing w:val="-4"/>
              </w:rPr>
              <w:t>其他</w:t>
            </w:r>
            <w:r>
              <w:t xml:space="preserve"> </w:t>
            </w:r>
            <w:r>
              <w:rPr>
                <w:rFonts w:ascii="Times New Roman" w:hAnsi="Times New Roman" w:eastAsia="Times New Roman"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pPr>
              <w:rPr>
                <w:rFonts w:ascii="Arial"/>
                <w:sz w:val="21"/>
              </w:rPr>
            </w:pPr>
          </w:p>
        </w:tc>
        <w:tc>
          <w:tcPr>
            <w:tcW w:w="1274" w:type="dxa"/>
            <w:vAlign w:val="top"/>
          </w:tcPr>
          <w:p>
            <w:pPr>
              <w:pStyle w:val="6"/>
              <w:spacing w:before="66" w:line="221" w:lineRule="auto"/>
              <w:ind w:left="221"/>
            </w:pPr>
            <w:r>
              <w:rPr>
                <w:spacing w:val="-2"/>
              </w:rPr>
              <w:t>预测范围</w:t>
            </w:r>
          </w:p>
        </w:tc>
        <w:tc>
          <w:tcPr>
            <w:tcW w:w="1617" w:type="dxa"/>
            <w:gridSpan w:val="2"/>
            <w:vAlign w:val="top"/>
          </w:tcPr>
          <w:p>
            <w:pPr>
              <w:pStyle w:val="6"/>
              <w:spacing w:before="65" w:line="237" w:lineRule="auto"/>
              <w:ind w:left="241"/>
              <w:rPr>
                <w:rFonts w:ascii="Times New Roman" w:hAnsi="Times New Roman" w:eastAsia="Times New Roman" w:cs="Times New Roman"/>
              </w:rPr>
            </w:pPr>
            <w:r>
              <w:rPr>
                <w:spacing w:val="-1"/>
              </w:rPr>
              <w:t>边长</w:t>
            </w:r>
            <w:r>
              <w:rPr>
                <w:rFonts w:ascii="Times New Roman" w:hAnsi="Times New Roman" w:eastAsia="Times New Roman" w:cs="Times New Roman"/>
                <w:spacing w:val="-1"/>
              </w:rPr>
              <w:t>≥50km□</w:t>
            </w:r>
          </w:p>
        </w:tc>
        <w:tc>
          <w:tcPr>
            <w:tcW w:w="3203" w:type="dxa"/>
            <w:gridSpan w:val="6"/>
            <w:vAlign w:val="top"/>
          </w:tcPr>
          <w:p>
            <w:pPr>
              <w:pStyle w:val="6"/>
              <w:spacing w:before="66" w:line="224" w:lineRule="auto"/>
              <w:ind w:left="955"/>
              <w:rPr>
                <w:rFonts w:ascii="Times New Roman" w:hAnsi="Times New Roman" w:eastAsia="Times New Roman" w:cs="Times New Roman"/>
              </w:rPr>
            </w:pPr>
            <w:r>
              <w:rPr>
                <w:spacing w:val="-2"/>
              </w:rPr>
              <w:t>边长</w:t>
            </w:r>
            <w:r>
              <w:rPr>
                <w:spacing w:val="-41"/>
              </w:rPr>
              <w:t xml:space="preserve"> </w:t>
            </w:r>
            <w:r>
              <w:rPr>
                <w:rFonts w:ascii="Times New Roman" w:hAnsi="Times New Roman" w:eastAsia="Times New Roman" w:cs="Times New Roman"/>
                <w:spacing w:val="-2"/>
              </w:rPr>
              <w:t>5~50km□</w:t>
            </w:r>
          </w:p>
        </w:tc>
        <w:tc>
          <w:tcPr>
            <w:tcW w:w="1475" w:type="dxa"/>
            <w:gridSpan w:val="2"/>
            <w:vAlign w:val="top"/>
          </w:tcPr>
          <w:p>
            <w:pPr>
              <w:pStyle w:val="6"/>
              <w:spacing w:before="66" w:line="224" w:lineRule="auto"/>
              <w:ind w:left="222"/>
              <w:rPr>
                <w:rFonts w:ascii="Times New Roman" w:hAnsi="Times New Roman" w:eastAsia="Times New Roman" w:cs="Times New Roman"/>
              </w:rPr>
            </w:pPr>
            <w:r>
              <w:rPr>
                <w:spacing w:val="-1"/>
              </w:rPr>
              <w:t>边长</w:t>
            </w:r>
            <w:r>
              <w:rPr>
                <w:rFonts w:ascii="Times New Roman" w:hAnsi="Times New Roman" w:eastAsia="Times New Roman" w:cs="Times New Roman"/>
                <w:spacing w:val="-1"/>
              </w:rPr>
              <w:t>=5km□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59" w:type="dxa"/>
            <w:vMerge w:val="continue"/>
            <w:tcBorders>
              <w:top w:val="nil"/>
              <w:bottom w:val="nil"/>
            </w:tcBorders>
            <w:vAlign w:val="top"/>
          </w:tcPr>
          <w:p>
            <w:pPr>
              <w:rPr>
                <w:rFonts w:ascii="Arial"/>
                <w:sz w:val="21"/>
              </w:rPr>
            </w:pPr>
          </w:p>
        </w:tc>
        <w:tc>
          <w:tcPr>
            <w:tcW w:w="1274" w:type="dxa"/>
            <w:vAlign w:val="top"/>
          </w:tcPr>
          <w:p>
            <w:pPr>
              <w:pStyle w:val="6"/>
              <w:spacing w:before="167" w:line="221" w:lineRule="auto"/>
              <w:ind w:left="221"/>
            </w:pPr>
            <w:r>
              <w:rPr>
                <w:spacing w:val="-2"/>
              </w:rPr>
              <w:t>预测因子</w:t>
            </w:r>
          </w:p>
        </w:tc>
        <w:tc>
          <w:tcPr>
            <w:tcW w:w="2975" w:type="dxa"/>
            <w:gridSpan w:val="4"/>
            <w:vAlign w:val="top"/>
          </w:tcPr>
          <w:p>
            <w:pPr>
              <w:pStyle w:val="6"/>
              <w:spacing w:before="167" w:line="221" w:lineRule="auto"/>
              <w:ind w:left="863"/>
            </w:pPr>
            <w:r>
              <w:rPr>
                <w:spacing w:val="13"/>
              </w:rPr>
              <w:t>预测因子()</w:t>
            </w:r>
          </w:p>
        </w:tc>
        <w:tc>
          <w:tcPr>
            <w:tcW w:w="3320" w:type="dxa"/>
            <w:gridSpan w:val="6"/>
            <w:vAlign w:val="top"/>
          </w:tcPr>
          <w:p>
            <w:pPr>
              <w:pStyle w:val="6"/>
              <w:spacing w:before="33" w:line="238" w:lineRule="auto"/>
              <w:ind w:left="870"/>
              <w:rPr>
                <w:rFonts w:ascii="Times New Roman" w:hAnsi="Times New Roman" w:eastAsia="Times New Roman" w:cs="Times New Roman"/>
              </w:rPr>
            </w:pPr>
            <w:r>
              <w:rPr>
                <w:spacing w:val="-1"/>
              </w:rPr>
              <w:t>包括二次</w:t>
            </w:r>
            <w:r>
              <w:rPr>
                <w:spacing w:val="-47"/>
              </w:rPr>
              <w:t xml:space="preserve"> </w:t>
            </w:r>
            <w:r>
              <w:rPr>
                <w:rFonts w:ascii="Times New Roman" w:hAnsi="Times New Roman" w:eastAsia="Times New Roman" w:cs="Times New Roman"/>
                <w:spacing w:val="-1"/>
              </w:rPr>
              <w:t>PM2.5□</w:t>
            </w:r>
          </w:p>
          <w:p>
            <w:pPr>
              <w:pStyle w:val="6"/>
              <w:spacing w:line="206" w:lineRule="auto"/>
              <w:ind w:left="770"/>
              <w:rPr>
                <w:rFonts w:ascii="Times New Roman" w:hAnsi="Times New Roman" w:eastAsia="Times New Roman" w:cs="Times New Roman"/>
              </w:rPr>
            </w:pPr>
            <w:r>
              <w:rPr>
                <w:spacing w:val="-2"/>
              </w:rPr>
              <w:t>不包括二次</w:t>
            </w:r>
            <w:r>
              <w:rPr>
                <w:spacing w:val="-40"/>
              </w:rPr>
              <w:t xml:space="preserve"> </w:t>
            </w:r>
            <w:r>
              <w:rPr>
                <w:rFonts w:ascii="Times New Roman" w:hAnsi="Times New Roman" w:eastAsia="Times New Roman" w:cs="Times New Roman"/>
                <w:spacing w:val="-2"/>
              </w:rPr>
              <w:t>PM2.5□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59" w:type="dxa"/>
            <w:vMerge w:val="continue"/>
            <w:tcBorders>
              <w:top w:val="nil"/>
              <w:bottom w:val="nil"/>
            </w:tcBorders>
            <w:vAlign w:val="top"/>
          </w:tcPr>
          <w:p>
            <w:pPr>
              <w:rPr>
                <w:rFonts w:ascii="Arial"/>
                <w:sz w:val="21"/>
              </w:rPr>
            </w:pPr>
          </w:p>
        </w:tc>
        <w:tc>
          <w:tcPr>
            <w:tcW w:w="1274" w:type="dxa"/>
            <w:vAlign w:val="top"/>
          </w:tcPr>
          <w:p>
            <w:pPr>
              <w:pStyle w:val="6"/>
              <w:spacing w:before="33" w:line="221" w:lineRule="auto"/>
              <w:ind w:left="118"/>
            </w:pPr>
            <w:r>
              <w:rPr>
                <w:spacing w:val="-2"/>
              </w:rPr>
              <w:t>正常排放短</w:t>
            </w:r>
          </w:p>
          <w:p>
            <w:pPr>
              <w:pStyle w:val="6"/>
              <w:spacing w:before="19" w:line="221" w:lineRule="auto"/>
              <w:ind w:left="117"/>
            </w:pPr>
            <w:r>
              <w:rPr>
                <w:spacing w:val="-2"/>
              </w:rPr>
              <w:t>期浓度贡献</w:t>
            </w:r>
          </w:p>
          <w:p>
            <w:pPr>
              <w:pStyle w:val="6"/>
              <w:spacing w:before="21" w:line="204" w:lineRule="auto"/>
              <w:ind w:left="534"/>
            </w:pPr>
            <w:r>
              <w:t>值</w:t>
            </w:r>
          </w:p>
        </w:tc>
        <w:tc>
          <w:tcPr>
            <w:tcW w:w="2975" w:type="dxa"/>
            <w:gridSpan w:val="4"/>
            <w:vAlign w:val="top"/>
          </w:tcPr>
          <w:p>
            <w:pPr>
              <w:pStyle w:val="6"/>
              <w:spacing w:before="304" w:line="234" w:lineRule="auto"/>
              <w:ind w:left="189"/>
              <w:rPr>
                <w:rFonts w:ascii="Times New Roman" w:hAnsi="Times New Roman" w:eastAsia="Times New Roman" w:cs="Times New Roman"/>
              </w:rPr>
            </w:pPr>
            <w:r>
              <w:rPr>
                <w:rFonts w:ascii="Times New Roman" w:hAnsi="Times New Roman" w:eastAsia="Times New Roman" w:cs="Times New Roman"/>
                <w:spacing w:val="-1"/>
              </w:rPr>
              <w:t xml:space="preserve">C </w:t>
            </w:r>
            <w:r>
              <w:rPr>
                <w:spacing w:val="-1"/>
              </w:rPr>
              <w:t>本项目最大占标率</w:t>
            </w:r>
            <w:r>
              <w:rPr>
                <w:rFonts w:ascii="Times New Roman" w:hAnsi="Times New Roman" w:eastAsia="Times New Roman" w:cs="Times New Roman"/>
                <w:spacing w:val="-1"/>
              </w:rPr>
              <w:t>≤100%□</w:t>
            </w:r>
          </w:p>
        </w:tc>
        <w:tc>
          <w:tcPr>
            <w:tcW w:w="3320" w:type="dxa"/>
            <w:gridSpan w:val="6"/>
            <w:vAlign w:val="top"/>
          </w:tcPr>
          <w:p>
            <w:pPr>
              <w:pStyle w:val="6"/>
              <w:spacing w:before="304" w:line="220" w:lineRule="auto"/>
              <w:ind w:left="313"/>
              <w:rPr>
                <w:rFonts w:ascii="Times New Roman" w:hAnsi="Times New Roman" w:eastAsia="Times New Roman" w:cs="Times New Roman"/>
              </w:rPr>
            </w:pPr>
            <w:r>
              <w:rPr>
                <w:rFonts w:ascii="Times New Roman" w:hAnsi="Times New Roman" w:eastAsia="Times New Roman" w:cs="Times New Roman"/>
                <w:spacing w:val="-1"/>
              </w:rPr>
              <w:t xml:space="preserve">C </w:t>
            </w:r>
            <w:r>
              <w:rPr>
                <w:spacing w:val="-1"/>
              </w:rPr>
              <w:t>本项目最大占标率＞</w:t>
            </w:r>
            <w:r>
              <w:rPr>
                <w:rFonts w:ascii="Times New Roman" w:hAnsi="Times New Roman" w:eastAsia="Times New Roman" w:cs="Times New Roman"/>
                <w:spacing w:val="-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59" w:type="dxa"/>
            <w:vMerge w:val="continue"/>
            <w:tcBorders>
              <w:top w:val="nil"/>
              <w:bottom w:val="nil"/>
            </w:tcBorders>
            <w:vAlign w:val="top"/>
          </w:tcPr>
          <w:p>
            <w:pPr>
              <w:rPr>
                <w:rFonts w:ascii="Arial"/>
                <w:sz w:val="21"/>
              </w:rPr>
            </w:pPr>
          </w:p>
        </w:tc>
        <w:tc>
          <w:tcPr>
            <w:tcW w:w="1274" w:type="dxa"/>
            <w:vMerge w:val="restart"/>
            <w:tcBorders>
              <w:bottom w:val="nil"/>
            </w:tcBorders>
            <w:vAlign w:val="top"/>
          </w:tcPr>
          <w:p>
            <w:pPr>
              <w:pStyle w:val="6"/>
              <w:spacing w:before="174" w:line="221" w:lineRule="auto"/>
              <w:ind w:left="118"/>
            </w:pPr>
            <w:r>
              <w:rPr>
                <w:spacing w:val="-2"/>
              </w:rPr>
              <w:t>正常排放年</w:t>
            </w:r>
          </w:p>
          <w:p>
            <w:pPr>
              <w:pStyle w:val="6"/>
              <w:spacing w:before="23" w:line="221" w:lineRule="auto"/>
              <w:ind w:left="115"/>
            </w:pPr>
            <w:r>
              <w:rPr>
                <w:spacing w:val="-2"/>
              </w:rPr>
              <w:t>均浓度贡献</w:t>
            </w:r>
          </w:p>
          <w:p>
            <w:pPr>
              <w:pStyle w:val="6"/>
              <w:spacing w:before="18" w:line="221" w:lineRule="auto"/>
              <w:ind w:left="534"/>
            </w:pPr>
            <w:r>
              <w:t>值</w:t>
            </w:r>
          </w:p>
        </w:tc>
        <w:tc>
          <w:tcPr>
            <w:tcW w:w="1281" w:type="dxa"/>
            <w:vAlign w:val="top"/>
          </w:tcPr>
          <w:p>
            <w:pPr>
              <w:pStyle w:val="6"/>
              <w:spacing w:before="170" w:line="221" w:lineRule="auto"/>
              <w:ind w:left="332"/>
            </w:pPr>
            <w:r>
              <w:rPr>
                <w:spacing w:val="-3"/>
              </w:rPr>
              <w:t>一类区</w:t>
            </w:r>
          </w:p>
        </w:tc>
        <w:tc>
          <w:tcPr>
            <w:tcW w:w="1694" w:type="dxa"/>
            <w:gridSpan w:val="3"/>
            <w:vAlign w:val="top"/>
          </w:tcPr>
          <w:p>
            <w:pPr>
              <w:pStyle w:val="6"/>
              <w:spacing w:before="33" w:line="222" w:lineRule="auto"/>
              <w:ind w:left="330" w:right="114" w:hanging="203"/>
              <w:rPr>
                <w:rFonts w:ascii="Times New Roman" w:hAnsi="Times New Roman" w:eastAsia="Times New Roman" w:cs="Times New Roman"/>
              </w:rPr>
            </w:pPr>
            <w:r>
              <w:rPr>
                <w:rFonts w:ascii="Times New Roman" w:hAnsi="Times New Roman" w:eastAsia="Times New Roman" w:cs="Times New Roman"/>
                <w:spacing w:val="-1"/>
              </w:rPr>
              <w:t xml:space="preserve">C </w:t>
            </w:r>
            <w:r>
              <w:rPr>
                <w:spacing w:val="-1"/>
              </w:rPr>
              <w:t>本项目最大占</w:t>
            </w:r>
            <w:r>
              <w:rPr>
                <w:spacing w:val="1"/>
              </w:rPr>
              <w:t xml:space="preserve"> </w:t>
            </w:r>
            <w:r>
              <w:rPr>
                <w:spacing w:val="-1"/>
              </w:rPr>
              <w:t>标率</w:t>
            </w:r>
            <w:r>
              <w:rPr>
                <w:rFonts w:ascii="Times New Roman" w:hAnsi="Times New Roman" w:eastAsia="Times New Roman" w:cs="Times New Roman"/>
                <w:spacing w:val="-1"/>
              </w:rPr>
              <w:t>≤10%□</w:t>
            </w:r>
          </w:p>
        </w:tc>
        <w:tc>
          <w:tcPr>
            <w:tcW w:w="3320" w:type="dxa"/>
            <w:gridSpan w:val="6"/>
            <w:vAlign w:val="top"/>
          </w:tcPr>
          <w:p>
            <w:pPr>
              <w:pStyle w:val="6"/>
              <w:spacing w:before="170" w:line="220" w:lineRule="auto"/>
              <w:ind w:left="365"/>
              <w:rPr>
                <w:rFonts w:ascii="Times New Roman" w:hAnsi="Times New Roman" w:eastAsia="Times New Roman" w:cs="Times New Roman"/>
              </w:rPr>
            </w:pPr>
            <w:r>
              <w:rPr>
                <w:rFonts w:ascii="Times New Roman" w:hAnsi="Times New Roman" w:eastAsia="Times New Roman" w:cs="Times New Roman"/>
                <w:spacing w:val="-1"/>
              </w:rPr>
              <w:t xml:space="preserve">C </w:t>
            </w:r>
            <w:r>
              <w:rPr>
                <w:spacing w:val="-1"/>
              </w:rPr>
              <w:t>本项目最大占标率＞</w:t>
            </w:r>
            <w:r>
              <w:rPr>
                <w:rFonts w:ascii="Times New Roman" w:hAnsi="Times New Roman" w:eastAsia="Times New Roman" w:cs="Times New Roman"/>
                <w:spacing w:val="-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59" w:type="dxa"/>
            <w:vMerge w:val="continue"/>
            <w:tcBorders>
              <w:top w:val="nil"/>
              <w:bottom w:val="nil"/>
            </w:tcBorders>
            <w:vAlign w:val="top"/>
          </w:tcPr>
          <w:p>
            <w:pPr>
              <w:rPr>
                <w:rFonts w:ascii="Arial"/>
                <w:sz w:val="21"/>
              </w:rPr>
            </w:pPr>
          </w:p>
        </w:tc>
        <w:tc>
          <w:tcPr>
            <w:tcW w:w="1274" w:type="dxa"/>
            <w:vMerge w:val="continue"/>
            <w:tcBorders>
              <w:top w:val="nil"/>
            </w:tcBorders>
            <w:vAlign w:val="top"/>
          </w:tcPr>
          <w:p>
            <w:pPr>
              <w:rPr>
                <w:rFonts w:ascii="Arial"/>
                <w:sz w:val="21"/>
              </w:rPr>
            </w:pPr>
          </w:p>
        </w:tc>
        <w:tc>
          <w:tcPr>
            <w:tcW w:w="1281" w:type="dxa"/>
            <w:vAlign w:val="top"/>
          </w:tcPr>
          <w:p>
            <w:pPr>
              <w:pStyle w:val="6"/>
              <w:spacing w:before="170" w:line="221" w:lineRule="auto"/>
              <w:ind w:left="332"/>
            </w:pPr>
            <w:r>
              <w:rPr>
                <w:spacing w:val="-2"/>
              </w:rPr>
              <w:t>二类区</w:t>
            </w:r>
          </w:p>
        </w:tc>
        <w:tc>
          <w:tcPr>
            <w:tcW w:w="1694" w:type="dxa"/>
            <w:gridSpan w:val="3"/>
            <w:vAlign w:val="top"/>
          </w:tcPr>
          <w:p>
            <w:pPr>
              <w:pStyle w:val="6"/>
              <w:spacing w:before="37" w:line="221" w:lineRule="auto"/>
              <w:ind w:left="330" w:right="114" w:hanging="203"/>
              <w:rPr>
                <w:rFonts w:ascii="Times New Roman" w:hAnsi="Times New Roman" w:eastAsia="Times New Roman" w:cs="Times New Roman"/>
              </w:rPr>
            </w:pPr>
            <w:r>
              <w:rPr>
                <w:rFonts w:ascii="Times New Roman" w:hAnsi="Times New Roman" w:eastAsia="Times New Roman" w:cs="Times New Roman"/>
                <w:spacing w:val="-1"/>
              </w:rPr>
              <w:t xml:space="preserve">C </w:t>
            </w:r>
            <w:r>
              <w:rPr>
                <w:spacing w:val="-1"/>
              </w:rPr>
              <w:t>本项目最大占</w:t>
            </w:r>
            <w:r>
              <w:rPr>
                <w:spacing w:val="1"/>
              </w:rPr>
              <w:t xml:space="preserve"> </w:t>
            </w:r>
            <w:r>
              <w:rPr>
                <w:spacing w:val="-1"/>
              </w:rPr>
              <w:t>标率</w:t>
            </w:r>
            <w:r>
              <w:rPr>
                <w:rFonts w:ascii="Times New Roman" w:hAnsi="Times New Roman" w:eastAsia="Times New Roman" w:cs="Times New Roman"/>
                <w:spacing w:val="-1"/>
              </w:rPr>
              <w:t>≤30%□</w:t>
            </w:r>
          </w:p>
        </w:tc>
        <w:tc>
          <w:tcPr>
            <w:tcW w:w="3320" w:type="dxa"/>
            <w:gridSpan w:val="6"/>
            <w:vAlign w:val="top"/>
          </w:tcPr>
          <w:p>
            <w:pPr>
              <w:pStyle w:val="6"/>
              <w:spacing w:before="170" w:line="220" w:lineRule="auto"/>
              <w:ind w:left="365"/>
              <w:rPr>
                <w:rFonts w:ascii="Times New Roman" w:hAnsi="Times New Roman" w:eastAsia="Times New Roman" w:cs="Times New Roman"/>
              </w:rPr>
            </w:pPr>
            <w:r>
              <w:rPr>
                <w:rFonts w:ascii="Times New Roman" w:hAnsi="Times New Roman" w:eastAsia="Times New Roman" w:cs="Times New Roman"/>
                <w:spacing w:val="-1"/>
              </w:rPr>
              <w:t xml:space="preserve">C </w:t>
            </w:r>
            <w:r>
              <w:rPr>
                <w:spacing w:val="-1"/>
              </w:rPr>
              <w:t>本项目最大占标率＞</w:t>
            </w:r>
            <w:r>
              <w:rPr>
                <w:rFonts w:ascii="Times New Roman" w:hAnsi="Times New Roman" w:eastAsia="Times New Roman" w:cs="Times New Roman"/>
                <w:spacing w:val="-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59" w:type="dxa"/>
            <w:vMerge w:val="continue"/>
            <w:tcBorders>
              <w:top w:val="nil"/>
              <w:bottom w:val="nil"/>
            </w:tcBorders>
            <w:vAlign w:val="top"/>
          </w:tcPr>
          <w:p>
            <w:pPr>
              <w:rPr>
                <w:rFonts w:ascii="Arial"/>
                <w:sz w:val="21"/>
              </w:rPr>
            </w:pPr>
          </w:p>
        </w:tc>
        <w:tc>
          <w:tcPr>
            <w:tcW w:w="1274" w:type="dxa"/>
            <w:vAlign w:val="top"/>
          </w:tcPr>
          <w:p>
            <w:pPr>
              <w:pStyle w:val="6"/>
              <w:spacing w:before="36" w:line="221" w:lineRule="auto"/>
              <w:ind w:left="117"/>
            </w:pPr>
            <w:r>
              <w:rPr>
                <w:spacing w:val="-2"/>
              </w:rPr>
              <w:t>非正常排放</w:t>
            </w:r>
          </w:p>
          <w:p>
            <w:pPr>
              <w:pStyle w:val="6"/>
              <w:spacing w:before="19" w:line="221" w:lineRule="auto"/>
              <w:ind w:left="210"/>
            </w:pPr>
            <w:r>
              <w:rPr>
                <w:rFonts w:ascii="Times New Roman" w:hAnsi="Times New Roman" w:eastAsia="Times New Roman" w:cs="Times New Roman"/>
                <w:spacing w:val="-7"/>
              </w:rPr>
              <w:t>1h</w:t>
            </w:r>
            <w:r>
              <w:rPr>
                <w:rFonts w:ascii="Times New Roman" w:hAnsi="Times New Roman" w:eastAsia="Times New Roman" w:cs="Times New Roman"/>
                <w:spacing w:val="12"/>
              </w:rPr>
              <w:t xml:space="preserve"> </w:t>
            </w:r>
            <w:r>
              <w:rPr>
                <w:spacing w:val="-7"/>
              </w:rPr>
              <w:t>浓度贡</w:t>
            </w:r>
          </w:p>
          <w:p>
            <w:pPr>
              <w:pStyle w:val="6"/>
              <w:spacing w:before="21" w:line="204" w:lineRule="auto"/>
              <w:ind w:left="429"/>
            </w:pPr>
            <w:r>
              <w:rPr>
                <w:spacing w:val="-2"/>
              </w:rPr>
              <w:t>献值</w:t>
            </w:r>
          </w:p>
        </w:tc>
        <w:tc>
          <w:tcPr>
            <w:tcW w:w="1281" w:type="dxa"/>
            <w:vAlign w:val="top"/>
          </w:tcPr>
          <w:p>
            <w:pPr>
              <w:pStyle w:val="6"/>
              <w:spacing w:before="170" w:line="239" w:lineRule="auto"/>
              <w:ind w:left="129" w:right="110" w:hanging="6"/>
              <w:rPr>
                <w:rFonts w:ascii="Times New Roman" w:hAnsi="Times New Roman" w:eastAsia="Times New Roman" w:cs="Times New Roman"/>
              </w:rPr>
            </w:pPr>
            <w:r>
              <w:rPr>
                <w:spacing w:val="-2"/>
              </w:rPr>
              <w:t>非正常持续</w:t>
            </w:r>
            <w:r>
              <w:rPr>
                <w:spacing w:val="1"/>
              </w:rPr>
              <w:t xml:space="preserve"> </w:t>
            </w:r>
            <w:r>
              <w:rPr>
                <w:spacing w:val="-11"/>
              </w:rPr>
              <w:t>时长</w:t>
            </w:r>
            <w:r>
              <w:rPr>
                <w:spacing w:val="-22"/>
              </w:rPr>
              <w:t>（</w:t>
            </w:r>
            <w:r>
              <w:rPr>
                <w:spacing w:val="61"/>
              </w:rPr>
              <w:t xml:space="preserve"> </w:t>
            </w:r>
            <w:r>
              <w:rPr>
                <w:spacing w:val="-22"/>
              </w:rPr>
              <w:t>）</w:t>
            </w:r>
            <w:r>
              <w:rPr>
                <w:rFonts w:ascii="Times New Roman" w:hAnsi="Times New Roman" w:eastAsia="Times New Roman" w:cs="Times New Roman"/>
                <w:spacing w:val="-11"/>
              </w:rPr>
              <w:t>h</w:t>
            </w:r>
          </w:p>
        </w:tc>
        <w:tc>
          <w:tcPr>
            <w:tcW w:w="3448" w:type="dxa"/>
            <w:gridSpan w:val="6"/>
            <w:vAlign w:val="top"/>
          </w:tcPr>
          <w:p>
            <w:pPr>
              <w:pStyle w:val="6"/>
              <w:spacing w:before="308" w:line="234" w:lineRule="auto"/>
              <w:ind w:left="636"/>
              <w:rPr>
                <w:rFonts w:ascii="Times New Roman" w:hAnsi="Times New Roman" w:eastAsia="Times New Roman" w:cs="Times New Roman"/>
              </w:rPr>
            </w:pPr>
            <w:r>
              <w:rPr>
                <w:rFonts w:ascii="Times New Roman" w:hAnsi="Times New Roman" w:eastAsia="Times New Roman" w:cs="Times New Roman"/>
                <w:spacing w:val="-2"/>
              </w:rPr>
              <w:t>C</w:t>
            </w:r>
            <w:r>
              <w:rPr>
                <w:rFonts w:ascii="Times New Roman" w:hAnsi="Times New Roman" w:eastAsia="Times New Roman" w:cs="Times New Roman"/>
                <w:spacing w:val="20"/>
              </w:rPr>
              <w:t xml:space="preserve"> </w:t>
            </w:r>
            <w:r>
              <w:rPr>
                <w:spacing w:val="-2"/>
              </w:rPr>
              <w:t>非正常占标率</w:t>
            </w:r>
            <w:r>
              <w:rPr>
                <w:rFonts w:ascii="Times New Roman" w:hAnsi="Times New Roman" w:eastAsia="Times New Roman" w:cs="Times New Roman"/>
                <w:spacing w:val="-2"/>
              </w:rPr>
              <w:t>≤100%□</w:t>
            </w:r>
          </w:p>
        </w:tc>
        <w:tc>
          <w:tcPr>
            <w:tcW w:w="1566" w:type="dxa"/>
            <w:gridSpan w:val="3"/>
            <w:vAlign w:val="top"/>
          </w:tcPr>
          <w:p>
            <w:pPr>
              <w:pStyle w:val="6"/>
              <w:spacing w:before="169" w:line="231" w:lineRule="auto"/>
              <w:ind w:left="270" w:right="157" w:hanging="105"/>
              <w:rPr>
                <w:rFonts w:ascii="Times New Roman" w:hAnsi="Times New Roman" w:eastAsia="Times New Roman" w:cs="Times New Roman"/>
              </w:rPr>
            </w:pPr>
            <w:r>
              <w:rPr>
                <w:rFonts w:ascii="Times New Roman" w:hAnsi="Times New Roman" w:eastAsia="Times New Roman" w:cs="Times New Roman"/>
                <w:spacing w:val="-3"/>
              </w:rPr>
              <w:t>C</w:t>
            </w:r>
            <w:r>
              <w:rPr>
                <w:rFonts w:ascii="Times New Roman" w:hAnsi="Times New Roman" w:eastAsia="Times New Roman" w:cs="Times New Roman"/>
                <w:spacing w:val="12"/>
              </w:rPr>
              <w:t xml:space="preserve"> </w:t>
            </w:r>
            <w:r>
              <w:rPr>
                <w:spacing w:val="-3"/>
              </w:rPr>
              <w:t>非正常占标</w:t>
            </w:r>
            <w:r>
              <w:t xml:space="preserve"> </w:t>
            </w:r>
            <w:r>
              <w:rPr>
                <w:spacing w:val="-1"/>
              </w:rPr>
              <w:t>率＞</w:t>
            </w:r>
            <w:r>
              <w:rPr>
                <w:rFonts w:ascii="Times New Roman" w:hAnsi="Times New Roman" w:eastAsia="Times New Roman" w:cs="Times New Roman"/>
                <w:spacing w:val="-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959" w:type="dxa"/>
            <w:vMerge w:val="continue"/>
            <w:tcBorders>
              <w:top w:val="nil"/>
              <w:bottom w:val="nil"/>
            </w:tcBorders>
            <w:vAlign w:val="top"/>
          </w:tcPr>
          <w:p>
            <w:pPr>
              <w:rPr>
                <w:rFonts w:ascii="Arial"/>
                <w:sz w:val="21"/>
              </w:rPr>
            </w:pPr>
          </w:p>
        </w:tc>
        <w:tc>
          <w:tcPr>
            <w:tcW w:w="1274" w:type="dxa"/>
            <w:vAlign w:val="top"/>
          </w:tcPr>
          <w:p>
            <w:pPr>
              <w:pStyle w:val="6"/>
              <w:spacing w:before="33" w:line="221" w:lineRule="auto"/>
              <w:ind w:left="115"/>
            </w:pPr>
            <w:r>
              <w:rPr>
                <w:spacing w:val="-2"/>
              </w:rPr>
              <w:t>保证率日平</w:t>
            </w:r>
          </w:p>
          <w:p>
            <w:pPr>
              <w:pStyle w:val="6"/>
              <w:spacing w:before="22" w:line="221" w:lineRule="auto"/>
              <w:ind w:left="115"/>
            </w:pPr>
            <w:r>
              <w:rPr>
                <w:spacing w:val="-2"/>
              </w:rPr>
              <w:t>均浓度和年</w:t>
            </w:r>
          </w:p>
          <w:p>
            <w:pPr>
              <w:pStyle w:val="6"/>
              <w:spacing w:before="20" w:line="221" w:lineRule="auto"/>
              <w:ind w:left="113"/>
            </w:pPr>
            <w:r>
              <w:rPr>
                <w:spacing w:val="-1"/>
              </w:rPr>
              <w:t>平均浓度叠</w:t>
            </w:r>
          </w:p>
          <w:p>
            <w:pPr>
              <w:pStyle w:val="6"/>
              <w:spacing w:before="22" w:line="203" w:lineRule="auto"/>
              <w:ind w:left="428"/>
            </w:pPr>
            <w:r>
              <w:rPr>
                <w:spacing w:val="-2"/>
              </w:rPr>
              <w:t>加值</w:t>
            </w:r>
          </w:p>
        </w:tc>
        <w:tc>
          <w:tcPr>
            <w:tcW w:w="2975" w:type="dxa"/>
            <w:gridSpan w:val="4"/>
            <w:vAlign w:val="top"/>
          </w:tcPr>
          <w:p>
            <w:pPr>
              <w:spacing w:line="371" w:lineRule="auto"/>
              <w:rPr>
                <w:rFonts w:ascii="Arial"/>
                <w:sz w:val="21"/>
              </w:rPr>
            </w:pPr>
          </w:p>
          <w:p>
            <w:pPr>
              <w:pStyle w:val="6"/>
              <w:spacing w:before="69" w:line="235" w:lineRule="auto"/>
              <w:ind w:left="911"/>
              <w:rPr>
                <w:rFonts w:ascii="Times New Roman" w:hAnsi="Times New Roman" w:eastAsia="Times New Roman" w:cs="Times New Roman"/>
              </w:rPr>
            </w:pPr>
            <w:r>
              <w:rPr>
                <w:rFonts w:ascii="Times New Roman" w:hAnsi="Times New Roman" w:eastAsia="Times New Roman" w:cs="Times New Roman"/>
                <w:spacing w:val="-4"/>
              </w:rPr>
              <w:t>C</w:t>
            </w:r>
            <w:r>
              <w:rPr>
                <w:rFonts w:ascii="Times New Roman" w:hAnsi="Times New Roman" w:eastAsia="Times New Roman" w:cs="Times New Roman"/>
                <w:spacing w:val="17"/>
                <w:w w:val="101"/>
              </w:rPr>
              <w:t xml:space="preserve"> </w:t>
            </w:r>
            <w:r>
              <w:rPr>
                <w:spacing w:val="-4"/>
              </w:rPr>
              <w:t>叠加达标</w:t>
            </w:r>
            <w:r>
              <w:rPr>
                <w:rFonts w:ascii="Times New Roman" w:hAnsi="Times New Roman" w:eastAsia="Times New Roman" w:cs="Times New Roman"/>
                <w:spacing w:val="-4"/>
              </w:rPr>
              <w:t>□</w:t>
            </w:r>
          </w:p>
        </w:tc>
        <w:tc>
          <w:tcPr>
            <w:tcW w:w="3320" w:type="dxa"/>
            <w:gridSpan w:val="6"/>
            <w:vAlign w:val="top"/>
          </w:tcPr>
          <w:p>
            <w:pPr>
              <w:spacing w:line="371" w:lineRule="auto"/>
              <w:rPr>
                <w:rFonts w:ascii="Arial"/>
                <w:sz w:val="21"/>
              </w:rPr>
            </w:pPr>
          </w:p>
          <w:p>
            <w:pPr>
              <w:pStyle w:val="6"/>
              <w:spacing w:before="69" w:line="235" w:lineRule="auto"/>
              <w:ind w:left="977"/>
              <w:rPr>
                <w:rFonts w:ascii="Times New Roman" w:hAnsi="Times New Roman" w:eastAsia="Times New Roman" w:cs="Times New Roman"/>
              </w:rPr>
            </w:pPr>
            <w:r>
              <w:rPr>
                <w:rFonts w:ascii="Times New Roman" w:hAnsi="Times New Roman" w:eastAsia="Times New Roman" w:cs="Times New Roman"/>
                <w:spacing w:val="-3"/>
              </w:rPr>
              <w:t>C</w:t>
            </w:r>
            <w:r>
              <w:rPr>
                <w:rFonts w:ascii="Times New Roman" w:hAnsi="Times New Roman" w:eastAsia="Times New Roman" w:cs="Times New Roman"/>
                <w:spacing w:val="16"/>
                <w:w w:val="101"/>
              </w:rPr>
              <w:t xml:space="preserve"> </w:t>
            </w:r>
            <w:r>
              <w:rPr>
                <w:spacing w:val="-3"/>
              </w:rPr>
              <w:t>叠加不达标</w:t>
            </w:r>
            <w:r>
              <w:rPr>
                <w:rFonts w:ascii="Times New Roman" w:hAnsi="Times New Roman" w:eastAsia="Times New Roman" w:cs="Times New Roman"/>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59" w:type="dxa"/>
            <w:vMerge w:val="continue"/>
            <w:tcBorders>
              <w:top w:val="nil"/>
            </w:tcBorders>
            <w:vAlign w:val="top"/>
          </w:tcPr>
          <w:p>
            <w:pPr>
              <w:rPr>
                <w:rFonts w:ascii="Arial"/>
                <w:sz w:val="21"/>
              </w:rPr>
            </w:pPr>
          </w:p>
        </w:tc>
        <w:tc>
          <w:tcPr>
            <w:tcW w:w="1274" w:type="dxa"/>
            <w:vAlign w:val="top"/>
          </w:tcPr>
          <w:p>
            <w:pPr>
              <w:pStyle w:val="6"/>
              <w:spacing w:before="34" w:line="221" w:lineRule="auto"/>
              <w:ind w:left="130"/>
            </w:pPr>
            <w:r>
              <w:rPr>
                <w:spacing w:val="-5"/>
              </w:rPr>
              <w:t>区域环境质</w:t>
            </w:r>
          </w:p>
          <w:p>
            <w:pPr>
              <w:pStyle w:val="6"/>
              <w:spacing w:before="21" w:line="222" w:lineRule="auto"/>
              <w:ind w:left="114"/>
            </w:pPr>
            <w:r>
              <w:rPr>
                <w:spacing w:val="-1"/>
              </w:rPr>
              <w:t>量的整体变</w:t>
            </w:r>
          </w:p>
          <w:p>
            <w:pPr>
              <w:pStyle w:val="6"/>
              <w:spacing w:before="18" w:line="206" w:lineRule="auto"/>
              <w:ind w:left="324"/>
            </w:pPr>
            <w:r>
              <w:rPr>
                <w:spacing w:val="-2"/>
              </w:rPr>
              <w:t>化情况</w:t>
            </w:r>
          </w:p>
        </w:tc>
        <w:tc>
          <w:tcPr>
            <w:tcW w:w="2975" w:type="dxa"/>
            <w:gridSpan w:val="4"/>
            <w:vAlign w:val="top"/>
          </w:tcPr>
          <w:p>
            <w:pPr>
              <w:spacing w:line="281" w:lineRule="auto"/>
              <w:rPr>
                <w:rFonts w:ascii="Arial"/>
                <w:sz w:val="21"/>
              </w:rPr>
            </w:pPr>
          </w:p>
          <w:p>
            <w:pPr>
              <w:spacing w:before="60" w:line="219" w:lineRule="auto"/>
              <w:ind w:left="10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 ≤</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pacing w:val="-1"/>
                <w:sz w:val="21"/>
                <w:szCs w:val="21"/>
              </w:rPr>
              <w:t>-20%□</w:t>
            </w:r>
          </w:p>
        </w:tc>
        <w:tc>
          <w:tcPr>
            <w:tcW w:w="3320" w:type="dxa"/>
            <w:gridSpan w:val="6"/>
            <w:vAlign w:val="top"/>
          </w:tcPr>
          <w:p>
            <w:pPr>
              <w:pStyle w:val="6"/>
              <w:spacing w:before="307" w:line="283" w:lineRule="exact"/>
              <w:ind w:left="1104"/>
              <w:rPr>
                <w:rFonts w:ascii="Times New Roman" w:hAnsi="Times New Roman" w:eastAsia="Times New Roman" w:cs="Times New Roman"/>
              </w:rPr>
            </w:pPr>
            <w:r>
              <w:rPr>
                <w:rFonts w:ascii="Times New Roman" w:hAnsi="Times New Roman" w:eastAsia="Times New Roman" w:cs="Times New Roman"/>
                <w:spacing w:val="-6"/>
                <w:position w:val="1"/>
              </w:rPr>
              <w:t>k</w:t>
            </w:r>
            <w:r>
              <w:rPr>
                <w:rFonts w:ascii="Times New Roman" w:hAnsi="Times New Roman" w:eastAsia="Times New Roman" w:cs="Times New Roman"/>
                <w:spacing w:val="16"/>
                <w:position w:val="1"/>
              </w:rPr>
              <w:t xml:space="preserve">  </w:t>
            </w:r>
            <w:r>
              <w:rPr>
                <w:spacing w:val="-6"/>
                <w:position w:val="1"/>
              </w:rPr>
              <w:t>＞</w:t>
            </w:r>
            <w:r>
              <w:rPr>
                <w:spacing w:val="10"/>
                <w:position w:val="1"/>
              </w:rPr>
              <w:t xml:space="preserve"> </w:t>
            </w:r>
            <w:r>
              <w:rPr>
                <w:rFonts w:ascii="Times New Roman" w:hAnsi="Times New Roman" w:eastAsia="Times New Roman" w:cs="Times New Roman"/>
                <w:spacing w:val="-6"/>
                <w:position w:val="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59" w:type="dxa"/>
            <w:vMerge w:val="restart"/>
            <w:tcBorders>
              <w:bottom w:val="nil"/>
            </w:tcBorders>
            <w:vAlign w:val="top"/>
          </w:tcPr>
          <w:p>
            <w:pPr>
              <w:pStyle w:val="6"/>
              <w:spacing w:before="210" w:line="230" w:lineRule="auto"/>
              <w:ind w:left="168" w:right="159"/>
            </w:pPr>
            <w:r>
              <w:rPr>
                <w:spacing w:val="-2"/>
              </w:rPr>
              <w:t>环境监</w:t>
            </w:r>
            <w:r>
              <w:t xml:space="preserve"> </w:t>
            </w:r>
            <w:r>
              <w:rPr>
                <w:spacing w:val="-2"/>
              </w:rPr>
              <w:t>测计划</w:t>
            </w:r>
          </w:p>
        </w:tc>
        <w:tc>
          <w:tcPr>
            <w:tcW w:w="1274" w:type="dxa"/>
            <w:vAlign w:val="top"/>
          </w:tcPr>
          <w:p>
            <w:pPr>
              <w:pStyle w:val="6"/>
              <w:spacing w:before="171" w:line="221" w:lineRule="auto"/>
              <w:ind w:left="116"/>
            </w:pPr>
            <w:r>
              <w:rPr>
                <w:spacing w:val="-2"/>
              </w:rPr>
              <w:t>污染源监测</w:t>
            </w:r>
          </w:p>
        </w:tc>
        <w:tc>
          <w:tcPr>
            <w:tcW w:w="1617" w:type="dxa"/>
            <w:gridSpan w:val="2"/>
            <w:vAlign w:val="top"/>
          </w:tcPr>
          <w:p>
            <w:pPr>
              <w:pStyle w:val="6"/>
              <w:spacing w:before="171" w:line="221" w:lineRule="auto"/>
              <w:ind w:left="114"/>
            </w:pPr>
            <w:r>
              <w:rPr>
                <w:spacing w:val="-13"/>
              </w:rPr>
              <w:t>监测因子：  ()</w:t>
            </w:r>
          </w:p>
        </w:tc>
        <w:tc>
          <w:tcPr>
            <w:tcW w:w="3203" w:type="dxa"/>
            <w:gridSpan w:val="6"/>
            <w:vAlign w:val="top"/>
          </w:tcPr>
          <w:p>
            <w:pPr>
              <w:pStyle w:val="6"/>
              <w:spacing w:before="34" w:line="238" w:lineRule="auto"/>
              <w:ind w:left="809"/>
              <w:rPr>
                <w:rFonts w:ascii="Times New Roman" w:hAnsi="Times New Roman" w:eastAsia="Times New Roman" w:cs="Times New Roman"/>
              </w:rPr>
            </w:pPr>
            <w:r>
              <w:rPr>
                <w:spacing w:val="-1"/>
              </w:rPr>
              <w:t>无组织废气监测</w:t>
            </w:r>
            <w:r>
              <w:rPr>
                <w:rFonts w:ascii="Times New Roman" w:hAnsi="Times New Roman" w:eastAsia="Times New Roman" w:cs="Times New Roman"/>
                <w:spacing w:val="-1"/>
              </w:rPr>
              <w:t>□</w:t>
            </w:r>
          </w:p>
          <w:p>
            <w:pPr>
              <w:pStyle w:val="6"/>
              <w:spacing w:line="205" w:lineRule="auto"/>
              <w:ind w:left="808"/>
              <w:rPr>
                <w:rFonts w:ascii="Times New Roman" w:hAnsi="Times New Roman" w:eastAsia="Times New Roman" w:cs="Times New Roman"/>
              </w:rPr>
            </w:pPr>
            <w:r>
              <w:rPr>
                <w:spacing w:val="-1"/>
              </w:rPr>
              <w:t>有组织废气监测</w:t>
            </w:r>
            <w:r>
              <w:rPr>
                <w:rFonts w:ascii="Times New Roman" w:hAnsi="Times New Roman" w:eastAsia="Times New Roman" w:cs="Times New Roman"/>
                <w:spacing w:val="-1"/>
              </w:rPr>
              <w:t>□</w:t>
            </w:r>
          </w:p>
        </w:tc>
        <w:tc>
          <w:tcPr>
            <w:tcW w:w="1475" w:type="dxa"/>
            <w:gridSpan w:val="2"/>
            <w:vAlign w:val="top"/>
          </w:tcPr>
          <w:p>
            <w:pPr>
              <w:pStyle w:val="6"/>
              <w:spacing w:before="171" w:line="235" w:lineRule="auto"/>
              <w:ind w:left="367"/>
              <w:rPr>
                <w:rFonts w:ascii="Times New Roman" w:hAnsi="Times New Roman" w:eastAsia="Times New Roman" w:cs="Times New Roman"/>
              </w:rPr>
            </w:pPr>
            <w:r>
              <w:rPr>
                <w:spacing w:val="-2"/>
              </w:rPr>
              <w:t>无监测</w:t>
            </w:r>
            <w:r>
              <w:rPr>
                <w:rFonts w:ascii="Times New Roman" w:hAnsi="Times New Roman" w:eastAsia="Times New Roman" w:cs="Times New Roman"/>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59" w:type="dxa"/>
            <w:vMerge w:val="continue"/>
            <w:tcBorders>
              <w:top w:val="nil"/>
            </w:tcBorders>
            <w:vAlign w:val="top"/>
          </w:tcPr>
          <w:p>
            <w:pPr>
              <w:rPr>
                <w:rFonts w:ascii="Arial"/>
                <w:sz w:val="21"/>
              </w:rPr>
            </w:pPr>
          </w:p>
        </w:tc>
        <w:tc>
          <w:tcPr>
            <w:tcW w:w="1274" w:type="dxa"/>
            <w:vAlign w:val="top"/>
          </w:tcPr>
          <w:p>
            <w:pPr>
              <w:pStyle w:val="6"/>
              <w:spacing w:before="69" w:line="221" w:lineRule="auto"/>
              <w:ind w:left="114"/>
            </w:pPr>
            <w:r>
              <w:rPr>
                <w:spacing w:val="-1"/>
              </w:rPr>
              <w:t>环境质量监</w:t>
            </w:r>
          </w:p>
        </w:tc>
        <w:tc>
          <w:tcPr>
            <w:tcW w:w="1617" w:type="dxa"/>
            <w:gridSpan w:val="2"/>
            <w:vAlign w:val="top"/>
          </w:tcPr>
          <w:p>
            <w:pPr>
              <w:pStyle w:val="6"/>
              <w:spacing w:before="69" w:line="221" w:lineRule="auto"/>
              <w:ind w:left="114"/>
            </w:pPr>
            <w:r>
              <w:rPr>
                <w:spacing w:val="-8"/>
              </w:rPr>
              <w:t>监测因子：</w:t>
            </w:r>
            <w:r>
              <w:rPr>
                <w:spacing w:val="-52"/>
              </w:rPr>
              <w:t xml:space="preserve"> </w:t>
            </w:r>
            <w:r>
              <w:rPr>
                <w:spacing w:val="-8"/>
              </w:rPr>
              <w:t>(</w:t>
            </w:r>
            <w:r>
              <w:rPr>
                <w:spacing w:val="61"/>
              </w:rPr>
              <w:t xml:space="preserve"> </w:t>
            </w:r>
            <w:r>
              <w:rPr>
                <w:spacing w:val="-8"/>
              </w:rPr>
              <w:t>)</w:t>
            </w:r>
          </w:p>
        </w:tc>
        <w:tc>
          <w:tcPr>
            <w:tcW w:w="3203" w:type="dxa"/>
            <w:gridSpan w:val="6"/>
            <w:vAlign w:val="top"/>
          </w:tcPr>
          <w:p>
            <w:pPr>
              <w:pStyle w:val="6"/>
              <w:spacing w:before="68" w:line="221" w:lineRule="auto"/>
              <w:ind w:left="556"/>
            </w:pPr>
            <w:r>
              <w:rPr>
                <w:spacing w:val="9"/>
              </w:rPr>
              <w:t>监测点位数(</w:t>
            </w:r>
            <w:r>
              <w:rPr>
                <w:spacing w:val="10"/>
              </w:rPr>
              <w:t xml:space="preserve">      </w:t>
            </w:r>
            <w:r>
              <w:rPr>
                <w:spacing w:val="9"/>
              </w:rPr>
              <w:t>)</w:t>
            </w:r>
          </w:p>
        </w:tc>
        <w:tc>
          <w:tcPr>
            <w:tcW w:w="1475" w:type="dxa"/>
            <w:gridSpan w:val="2"/>
            <w:vAlign w:val="top"/>
          </w:tcPr>
          <w:p>
            <w:pPr>
              <w:pStyle w:val="6"/>
              <w:spacing w:before="69" w:line="235" w:lineRule="auto"/>
              <w:ind w:left="367"/>
              <w:rPr>
                <w:rFonts w:ascii="Times New Roman" w:hAnsi="Times New Roman" w:eastAsia="Times New Roman" w:cs="Times New Roman"/>
              </w:rPr>
            </w:pPr>
            <w:r>
              <w:rPr>
                <w:spacing w:val="-2"/>
              </w:rPr>
              <w:t>无监测</w:t>
            </w:r>
            <w:r>
              <w:rPr>
                <w:rFonts w:ascii="Times New Roman" w:hAnsi="Times New Roman" w:eastAsia="Times New Roman" w:cs="Times New Roman"/>
                <w:spacing w:val="-2"/>
              </w:rPr>
              <w:t>□</w:t>
            </w:r>
          </w:p>
        </w:tc>
      </w:tr>
    </w:tbl>
    <w:p>
      <w:pPr>
        <w:pStyle w:val="2"/>
      </w:pPr>
    </w:p>
    <w:p>
      <w:pPr>
        <w:sectPr>
          <w:headerReference r:id="rId395" w:type="default"/>
          <w:footerReference r:id="rId396" w:type="default"/>
          <w:pgSz w:w="11907" w:h="16839"/>
          <w:pgMar w:top="1118" w:right="1685" w:bottom="1177" w:left="1687" w:header="879" w:footer="1013" w:gutter="0"/>
          <w:cols w:space="720" w:num="1"/>
        </w:sectPr>
      </w:pPr>
    </w:p>
    <w:p>
      <w:pPr>
        <w:spacing w:before="80"/>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1274"/>
        <w:gridCol w:w="1281"/>
        <w:gridCol w:w="336"/>
        <w:gridCol w:w="1358"/>
        <w:gridCol w:w="1845"/>
        <w:gridCol w:w="367"/>
        <w:gridCol w:w="11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59" w:type="dxa"/>
            <w:vAlign w:val="top"/>
          </w:tcPr>
          <w:p>
            <w:pPr>
              <w:rPr>
                <w:rFonts w:ascii="Arial"/>
                <w:sz w:val="21"/>
              </w:rPr>
            </w:pPr>
          </w:p>
        </w:tc>
        <w:tc>
          <w:tcPr>
            <w:tcW w:w="1274" w:type="dxa"/>
            <w:vAlign w:val="top"/>
          </w:tcPr>
          <w:p>
            <w:pPr>
              <w:pStyle w:val="6"/>
              <w:spacing w:before="34" w:line="222" w:lineRule="auto"/>
              <w:ind w:left="535"/>
            </w:pPr>
            <w:r>
              <w:t>测</w:t>
            </w:r>
          </w:p>
        </w:tc>
        <w:tc>
          <w:tcPr>
            <w:tcW w:w="1617" w:type="dxa"/>
            <w:gridSpan w:val="2"/>
            <w:vAlign w:val="top"/>
          </w:tcPr>
          <w:p>
            <w:pPr>
              <w:rPr>
                <w:rFonts w:ascii="Arial"/>
                <w:sz w:val="21"/>
              </w:rPr>
            </w:pPr>
          </w:p>
        </w:tc>
        <w:tc>
          <w:tcPr>
            <w:tcW w:w="3203" w:type="dxa"/>
            <w:gridSpan w:val="2"/>
            <w:vAlign w:val="top"/>
          </w:tcPr>
          <w:p>
            <w:pPr>
              <w:rPr>
                <w:rFonts w:ascii="Arial"/>
                <w:sz w:val="21"/>
              </w:rPr>
            </w:pPr>
          </w:p>
        </w:tc>
        <w:tc>
          <w:tcPr>
            <w:tcW w:w="147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9" w:type="dxa"/>
            <w:vMerge w:val="restart"/>
            <w:tcBorders>
              <w:bottom w:val="nil"/>
            </w:tcBorders>
            <w:vAlign w:val="top"/>
          </w:tcPr>
          <w:p>
            <w:pPr>
              <w:spacing w:line="410" w:lineRule="auto"/>
              <w:rPr>
                <w:rFonts w:ascii="Arial"/>
                <w:sz w:val="21"/>
              </w:rPr>
            </w:pPr>
          </w:p>
          <w:p>
            <w:pPr>
              <w:pStyle w:val="6"/>
              <w:spacing w:before="69" w:line="234" w:lineRule="auto"/>
              <w:ind w:left="380" w:right="159" w:hanging="213"/>
            </w:pPr>
            <w:r>
              <w:rPr>
                <w:spacing w:val="-2"/>
              </w:rPr>
              <w:t>评价结</w:t>
            </w:r>
            <w:r>
              <w:rPr>
                <w:spacing w:val="1"/>
              </w:rPr>
              <w:t xml:space="preserve"> </w:t>
            </w:r>
            <w:r>
              <w:t>论</w:t>
            </w:r>
          </w:p>
        </w:tc>
        <w:tc>
          <w:tcPr>
            <w:tcW w:w="1274" w:type="dxa"/>
            <w:vAlign w:val="top"/>
          </w:tcPr>
          <w:p>
            <w:pPr>
              <w:pStyle w:val="6"/>
              <w:spacing w:before="64" w:line="221" w:lineRule="auto"/>
              <w:ind w:left="220"/>
            </w:pPr>
            <w:r>
              <w:rPr>
                <w:spacing w:val="-2"/>
              </w:rPr>
              <w:t>环境影响</w:t>
            </w:r>
          </w:p>
        </w:tc>
        <w:tc>
          <w:tcPr>
            <w:tcW w:w="6295" w:type="dxa"/>
            <w:gridSpan w:val="6"/>
            <w:vAlign w:val="top"/>
          </w:tcPr>
          <w:p>
            <w:pPr>
              <w:pStyle w:val="6"/>
              <w:spacing w:before="73" w:line="217" w:lineRule="auto"/>
              <w:ind w:left="114"/>
              <w:rPr>
                <w:rFonts w:ascii="Times New Roman" w:hAnsi="Times New Roman" w:eastAsia="Times New Roman" w:cs="Times New Roman"/>
              </w:rPr>
            </w:pPr>
            <w:r>
              <w:rPr>
                <w:spacing w:val="-1"/>
              </w:rPr>
              <w:t>可以接受</w:t>
            </w:r>
            <w:r>
              <w:rPr>
                <w:rFonts w:ascii="Segoe UI Symbol" w:hAnsi="Segoe UI Symbol" w:eastAsia="Segoe UI Symbol" w:cs="Segoe UI Symbol"/>
                <w:spacing w:val="-1"/>
              </w:rPr>
              <w:t xml:space="preserve">☑      </w:t>
            </w:r>
            <w:r>
              <w:rPr>
                <w:spacing w:val="-1"/>
              </w:rPr>
              <w:t>不可以接受</w:t>
            </w:r>
            <w:r>
              <w:rPr>
                <w:rFonts w:ascii="Times New Roman" w:hAnsi="Times New Roman" w:eastAsia="Times New Roman" w:cs="Times New Roman"/>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59" w:type="dxa"/>
            <w:vMerge w:val="continue"/>
            <w:tcBorders>
              <w:top w:val="nil"/>
              <w:bottom w:val="nil"/>
            </w:tcBorders>
            <w:vAlign w:val="top"/>
          </w:tcPr>
          <w:p>
            <w:pPr>
              <w:rPr>
                <w:rFonts w:ascii="Arial"/>
                <w:sz w:val="21"/>
              </w:rPr>
            </w:pPr>
          </w:p>
        </w:tc>
        <w:tc>
          <w:tcPr>
            <w:tcW w:w="1274" w:type="dxa"/>
            <w:vAlign w:val="top"/>
          </w:tcPr>
          <w:p>
            <w:pPr>
              <w:pStyle w:val="6"/>
              <w:spacing w:before="30" w:line="223" w:lineRule="auto"/>
              <w:ind w:left="324" w:right="109" w:hanging="207"/>
            </w:pPr>
            <w:r>
              <w:rPr>
                <w:spacing w:val="-2"/>
              </w:rPr>
              <w:t>大气环境防</w:t>
            </w:r>
            <w:r>
              <w:rPr>
                <w:spacing w:val="1"/>
              </w:rPr>
              <w:t xml:space="preserve"> </w:t>
            </w:r>
            <w:r>
              <w:rPr>
                <w:spacing w:val="-2"/>
              </w:rPr>
              <w:t>护距离</w:t>
            </w:r>
          </w:p>
        </w:tc>
        <w:tc>
          <w:tcPr>
            <w:tcW w:w="6295" w:type="dxa"/>
            <w:gridSpan w:val="6"/>
            <w:vAlign w:val="top"/>
          </w:tcPr>
          <w:p>
            <w:pPr>
              <w:pStyle w:val="6"/>
              <w:spacing w:before="168" w:line="234" w:lineRule="auto"/>
              <w:ind w:left="1597"/>
              <w:rPr>
                <w:rFonts w:ascii="Times New Roman" w:hAnsi="Times New Roman" w:eastAsia="Times New Roman" w:cs="Times New Roman"/>
              </w:rPr>
            </w:pPr>
            <w:r>
              <w:rPr>
                <w:spacing w:val="-7"/>
              </w:rPr>
              <w:t>距</w:t>
            </w:r>
            <w:r>
              <w:rPr>
                <w:spacing w:val="-21"/>
              </w:rPr>
              <w:t>（</w:t>
            </w:r>
            <w:r>
              <w:rPr>
                <w:spacing w:val="12"/>
              </w:rPr>
              <w:t xml:space="preserve">     </w:t>
            </w:r>
            <w:r>
              <w:rPr>
                <w:spacing w:val="-21"/>
              </w:rPr>
              <w:t>）</w:t>
            </w:r>
            <w:r>
              <w:rPr>
                <w:spacing w:val="-7"/>
              </w:rPr>
              <w:t>厂界最远</w:t>
            </w:r>
            <w:r>
              <w:rPr>
                <w:spacing w:val="-21"/>
              </w:rPr>
              <w:t>（</w:t>
            </w:r>
            <w:r>
              <w:rPr>
                <w:spacing w:val="12"/>
              </w:rPr>
              <w:t xml:space="preserve">     </w:t>
            </w:r>
            <w:r>
              <w:rPr>
                <w:spacing w:val="-21"/>
              </w:rPr>
              <w:t>）</w:t>
            </w:r>
            <w:r>
              <w:rPr>
                <w:rFonts w:ascii="Times New Roman" w:hAnsi="Times New Roman" w:eastAsia="Times New Roman" w:cs="Times New Roman"/>
                <w:spacing w:val="-7"/>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59" w:type="dxa"/>
            <w:vMerge w:val="continue"/>
            <w:tcBorders>
              <w:top w:val="nil"/>
            </w:tcBorders>
            <w:vAlign w:val="top"/>
          </w:tcPr>
          <w:p>
            <w:pPr>
              <w:rPr>
                <w:rFonts w:ascii="Arial"/>
                <w:sz w:val="21"/>
              </w:rPr>
            </w:pPr>
          </w:p>
        </w:tc>
        <w:tc>
          <w:tcPr>
            <w:tcW w:w="1274" w:type="dxa"/>
            <w:vAlign w:val="top"/>
          </w:tcPr>
          <w:p>
            <w:pPr>
              <w:pStyle w:val="6"/>
              <w:spacing w:before="32" w:line="222" w:lineRule="auto"/>
              <w:ind w:left="428" w:right="109" w:hanging="312"/>
            </w:pPr>
            <w:r>
              <w:rPr>
                <w:spacing w:val="-2"/>
              </w:rPr>
              <w:t>污染源年排</w:t>
            </w:r>
            <w:r>
              <w:rPr>
                <w:spacing w:val="2"/>
              </w:rPr>
              <w:t xml:space="preserve"> </w:t>
            </w:r>
            <w:r>
              <w:rPr>
                <w:spacing w:val="-2"/>
              </w:rPr>
              <w:t>放量</w:t>
            </w:r>
          </w:p>
        </w:tc>
        <w:tc>
          <w:tcPr>
            <w:tcW w:w="1281" w:type="dxa"/>
            <w:vAlign w:val="top"/>
          </w:tcPr>
          <w:p>
            <w:pPr>
              <w:pStyle w:val="6"/>
              <w:spacing w:before="47" w:line="229" w:lineRule="auto"/>
              <w:ind w:left="534" w:right="213" w:hanging="416"/>
              <w:rPr>
                <w:rFonts w:ascii="Times New Roman" w:hAnsi="Times New Roman" w:eastAsia="Times New Roman" w:cs="Times New Roman"/>
              </w:rPr>
            </w:pP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pacing w:val="-4"/>
                <w:position w:val="-1"/>
                <w:sz w:val="13"/>
                <w:szCs w:val="13"/>
              </w:rPr>
              <w:t xml:space="preserve"> </w:t>
            </w:r>
            <w:r>
              <w:rPr>
                <w:spacing w:val="-1"/>
              </w:rPr>
              <w:t>：(</w:t>
            </w:r>
            <w:r>
              <w:rPr>
                <w:spacing w:val="62"/>
              </w:rPr>
              <w:t xml:space="preserve"> </w:t>
            </w:r>
            <w:r>
              <w:rPr>
                <w:spacing w:val="-1"/>
              </w:rPr>
              <w:t>)</w:t>
            </w:r>
            <w:r>
              <w:t xml:space="preserve"> </w:t>
            </w:r>
            <w:r>
              <w:rPr>
                <w:rFonts w:ascii="Times New Roman" w:hAnsi="Times New Roman" w:eastAsia="Times New Roman" w:cs="Times New Roman"/>
                <w:spacing w:val="-1"/>
              </w:rPr>
              <w:t>t/a</w:t>
            </w:r>
          </w:p>
        </w:tc>
        <w:tc>
          <w:tcPr>
            <w:tcW w:w="1694" w:type="dxa"/>
            <w:gridSpan w:val="2"/>
            <w:vAlign w:val="top"/>
          </w:tcPr>
          <w:p>
            <w:pPr>
              <w:pStyle w:val="6"/>
              <w:spacing w:before="169" w:line="281" w:lineRule="exact"/>
              <w:ind w:left="218"/>
              <w:rPr>
                <w:rFonts w:ascii="Times New Roman" w:hAnsi="Times New Roman" w:eastAsia="Times New Roman" w:cs="Times New Roman"/>
              </w:rPr>
            </w:pPr>
            <w:r>
              <w:rPr>
                <w:rFonts w:ascii="Times New Roman" w:hAnsi="Times New Roman" w:eastAsia="Times New Roman" w:cs="Times New Roman"/>
                <w:position w:val="1"/>
              </w:rPr>
              <w:t>NOx</w:t>
            </w:r>
            <w:r>
              <w:rPr>
                <w:spacing w:val="1"/>
                <w:position w:val="1"/>
              </w:rPr>
              <w:t>：（）</w:t>
            </w:r>
            <w:r>
              <w:rPr>
                <w:rFonts w:ascii="Times New Roman" w:hAnsi="Times New Roman" w:eastAsia="Times New Roman" w:cs="Times New Roman"/>
                <w:position w:val="1"/>
              </w:rPr>
              <w:t>t/a</w:t>
            </w:r>
          </w:p>
        </w:tc>
        <w:tc>
          <w:tcPr>
            <w:tcW w:w="2212" w:type="dxa"/>
            <w:gridSpan w:val="2"/>
            <w:vAlign w:val="top"/>
          </w:tcPr>
          <w:p>
            <w:pPr>
              <w:pStyle w:val="6"/>
              <w:spacing w:before="170" w:line="235" w:lineRule="auto"/>
              <w:ind w:left="375"/>
              <w:rPr>
                <w:rFonts w:ascii="Times New Roman" w:hAnsi="Times New Roman" w:eastAsia="Times New Roman" w:cs="Times New Roman"/>
              </w:rPr>
            </w:pPr>
            <w:r>
              <w:rPr>
                <w:spacing w:val="-1"/>
              </w:rPr>
              <w:t>颗粒物</w:t>
            </w:r>
            <w:r>
              <w:t>：（）</w:t>
            </w:r>
            <w:r>
              <w:rPr>
                <w:rFonts w:ascii="Times New Roman" w:hAnsi="Times New Roman" w:eastAsia="Times New Roman" w:cs="Times New Roman"/>
                <w:spacing w:val="-1"/>
              </w:rPr>
              <w:t>t/a</w:t>
            </w:r>
          </w:p>
        </w:tc>
        <w:tc>
          <w:tcPr>
            <w:tcW w:w="1108" w:type="dxa"/>
            <w:vAlign w:val="top"/>
          </w:tcPr>
          <w:p>
            <w:pPr>
              <w:pStyle w:val="6"/>
              <w:spacing w:before="47" w:line="229" w:lineRule="auto"/>
              <w:ind w:left="447" w:right="118" w:hanging="338"/>
              <w:rPr>
                <w:rFonts w:ascii="Times New Roman" w:hAnsi="Times New Roman" w:eastAsia="Times New Roman" w:cs="Times New Roman"/>
              </w:rPr>
            </w:pPr>
            <w:r>
              <w:rPr>
                <w:rFonts w:ascii="Times New Roman" w:hAnsi="Times New Roman" w:eastAsia="Times New Roman" w:cs="Times New Roman"/>
                <w:spacing w:val="-11"/>
              </w:rPr>
              <w:t>VOCs</w:t>
            </w:r>
            <w:r>
              <w:rPr>
                <w:spacing w:val="-11"/>
              </w:rPr>
              <w:t>：()</w:t>
            </w:r>
            <w:r>
              <w:rPr>
                <w:spacing w:val="5"/>
              </w:rPr>
              <w:t xml:space="preserve"> </w:t>
            </w:r>
            <w:r>
              <w:rPr>
                <w:rFonts w:ascii="Times New Roman" w:hAnsi="Times New Roman" w:eastAsia="Times New Roman" w:cs="Times New Roman"/>
                <w:spacing w:val="-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528" w:type="dxa"/>
            <w:gridSpan w:val="8"/>
            <w:vAlign w:val="top"/>
          </w:tcPr>
          <w:p>
            <w:pPr>
              <w:pStyle w:val="6"/>
              <w:spacing w:before="53" w:line="226" w:lineRule="auto"/>
              <w:ind w:left="116"/>
            </w:pPr>
            <w:r>
              <w:rPr>
                <w:spacing w:val="-11"/>
              </w:rPr>
              <w:t xml:space="preserve">注： </w:t>
            </w:r>
            <w:r>
              <w:rPr>
                <w:rFonts w:ascii="Times New Roman" w:hAnsi="Times New Roman" w:eastAsia="Times New Roman" w:cs="Times New Roman"/>
                <w:spacing w:val="-11"/>
              </w:rPr>
              <w:t>ℼ□”</w:t>
            </w:r>
            <w:r>
              <w:rPr>
                <w:spacing w:val="-11"/>
              </w:rPr>
              <w:t>为勾选项，填</w:t>
            </w:r>
            <w:r>
              <w:rPr>
                <w:rFonts w:ascii="Times New Roman" w:hAnsi="Times New Roman" w:eastAsia="Times New Roman" w:cs="Times New Roman"/>
                <w:spacing w:val="-11"/>
              </w:rPr>
              <w:t>“√”</w:t>
            </w:r>
            <w:r>
              <w:rPr>
                <w:rFonts w:ascii="Times New Roman" w:hAnsi="Times New Roman" w:eastAsia="Times New Roman" w:cs="Times New Roman"/>
                <w:spacing w:val="-29"/>
              </w:rPr>
              <w:t xml:space="preserve"> </w:t>
            </w:r>
            <w:r>
              <w:rPr>
                <w:spacing w:val="-11"/>
              </w:rPr>
              <w:t>;</w:t>
            </w:r>
            <w:r>
              <w:rPr>
                <w:spacing w:val="57"/>
              </w:rPr>
              <w:t xml:space="preserve"> </w:t>
            </w:r>
            <w:r>
              <w:rPr>
                <w:rFonts w:ascii="Times New Roman" w:hAnsi="Times New Roman" w:eastAsia="Times New Roman" w:cs="Times New Roman"/>
                <w:spacing w:val="-11"/>
              </w:rPr>
              <w:t xml:space="preserve">ℼ  </w:t>
            </w:r>
            <w:r>
              <w:rPr>
                <w:spacing w:val="-12"/>
              </w:rPr>
              <w:t>(</w:t>
            </w:r>
            <w:r>
              <w:rPr>
                <w:spacing w:val="30"/>
              </w:rPr>
              <w:t xml:space="preserve">  </w:t>
            </w:r>
            <w:r>
              <w:rPr>
                <w:spacing w:val="-12"/>
              </w:rPr>
              <w:t>)</w:t>
            </w:r>
            <w:r>
              <w:rPr>
                <w:spacing w:val="21"/>
              </w:rPr>
              <w:t xml:space="preserve"> </w:t>
            </w:r>
            <w:r>
              <w:rPr>
                <w:rFonts w:ascii="Times New Roman" w:hAnsi="Times New Roman" w:eastAsia="Times New Roman" w:cs="Times New Roman"/>
                <w:spacing w:val="-12"/>
              </w:rPr>
              <w:t>ℽ</w:t>
            </w:r>
            <w:r>
              <w:rPr>
                <w:spacing w:val="-12"/>
              </w:rPr>
              <w:t>为内容填写项</w:t>
            </w:r>
          </w:p>
        </w:tc>
      </w:tr>
    </w:tbl>
    <w:p>
      <w:pPr>
        <w:pStyle w:val="2"/>
      </w:pPr>
    </w:p>
    <w:p>
      <w:pPr>
        <w:sectPr>
          <w:footerReference r:id="rId397" w:type="default"/>
          <w:pgSz w:w="11907" w:h="16839"/>
          <w:pgMar w:top="1118" w:right="1685" w:bottom="1177" w:left="1687" w:header="879" w:footer="1013" w:gutter="0"/>
          <w:cols w:space="720" w:num="1"/>
        </w:sectPr>
      </w:pPr>
    </w:p>
    <w:p>
      <w:pPr>
        <w:pStyle w:val="2"/>
        <w:spacing w:line="433" w:lineRule="auto"/>
      </w:pPr>
    </w:p>
    <w:p>
      <w:pPr>
        <w:spacing w:before="78" w:line="218" w:lineRule="auto"/>
        <w:ind w:left="2594"/>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声环境影响评价自查表</w:t>
      </w:r>
    </w:p>
    <w:p>
      <w:pPr>
        <w:spacing w:line="148" w:lineRule="exact"/>
      </w:pPr>
    </w:p>
    <w:tbl>
      <w:tblPr>
        <w:tblStyle w:val="5"/>
        <w:tblW w:w="852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1463"/>
        <w:gridCol w:w="995"/>
        <w:gridCol w:w="84"/>
        <w:gridCol w:w="639"/>
        <w:gridCol w:w="89"/>
        <w:gridCol w:w="148"/>
        <w:gridCol w:w="237"/>
        <w:gridCol w:w="361"/>
        <w:gridCol w:w="203"/>
        <w:gridCol w:w="129"/>
        <w:gridCol w:w="67"/>
        <w:gridCol w:w="682"/>
        <w:gridCol w:w="96"/>
        <w:gridCol w:w="334"/>
        <w:gridCol w:w="157"/>
        <w:gridCol w:w="596"/>
        <w:gridCol w:w="122"/>
        <w:gridCol w:w="10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537" w:type="dxa"/>
            <w:gridSpan w:val="2"/>
            <w:tcBorders>
              <w:top w:val="single" w:color="000000" w:sz="10" w:space="0"/>
              <w:left w:val="single" w:color="000000" w:sz="10" w:space="0"/>
            </w:tcBorders>
            <w:vAlign w:val="top"/>
          </w:tcPr>
          <w:p>
            <w:pPr>
              <w:pStyle w:val="6"/>
              <w:spacing w:before="54" w:line="221" w:lineRule="auto"/>
              <w:ind w:left="844"/>
            </w:pPr>
            <w:r>
              <w:rPr>
                <w:spacing w:val="-2"/>
              </w:rPr>
              <w:t>工作内容</w:t>
            </w:r>
          </w:p>
        </w:tc>
        <w:tc>
          <w:tcPr>
            <w:tcW w:w="5990" w:type="dxa"/>
            <w:gridSpan w:val="17"/>
            <w:tcBorders>
              <w:top w:val="single" w:color="000000" w:sz="10" w:space="0"/>
              <w:right w:val="single" w:color="000000" w:sz="10" w:space="0"/>
            </w:tcBorders>
            <w:vAlign w:val="top"/>
          </w:tcPr>
          <w:p>
            <w:pPr>
              <w:pStyle w:val="6"/>
              <w:spacing w:before="55" w:line="221" w:lineRule="auto"/>
              <w:ind w:left="2608"/>
            </w:pPr>
            <w:r>
              <w:rPr>
                <w:spacing w:val="-10"/>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074" w:type="dxa"/>
            <w:vMerge w:val="restart"/>
            <w:tcBorders>
              <w:left w:val="single" w:color="000000" w:sz="10" w:space="0"/>
              <w:bottom w:val="nil"/>
            </w:tcBorders>
            <w:vAlign w:val="top"/>
          </w:tcPr>
          <w:p>
            <w:pPr>
              <w:pStyle w:val="6"/>
              <w:spacing w:before="56" w:line="219" w:lineRule="auto"/>
              <w:ind w:left="107"/>
            </w:pPr>
            <w:r>
              <w:rPr>
                <w:spacing w:val="-1"/>
              </w:rPr>
              <w:t>评价等级</w:t>
            </w:r>
          </w:p>
          <w:p>
            <w:pPr>
              <w:pStyle w:val="6"/>
              <w:spacing w:before="63" w:line="221" w:lineRule="auto"/>
              <w:ind w:left="217"/>
            </w:pPr>
            <w:r>
              <w:rPr>
                <w:spacing w:val="-2"/>
              </w:rPr>
              <w:t>与范围</w:t>
            </w:r>
          </w:p>
        </w:tc>
        <w:tc>
          <w:tcPr>
            <w:tcW w:w="1463" w:type="dxa"/>
            <w:vAlign w:val="top"/>
          </w:tcPr>
          <w:p>
            <w:pPr>
              <w:pStyle w:val="6"/>
              <w:spacing w:before="49" w:line="219" w:lineRule="auto"/>
              <w:ind w:left="305"/>
            </w:pPr>
            <w:r>
              <w:rPr>
                <w:spacing w:val="-1"/>
              </w:rPr>
              <w:t>评价等级</w:t>
            </w:r>
          </w:p>
        </w:tc>
        <w:tc>
          <w:tcPr>
            <w:tcW w:w="5990" w:type="dxa"/>
            <w:gridSpan w:val="17"/>
            <w:tcBorders>
              <w:right w:val="single" w:color="000000" w:sz="10" w:space="0"/>
            </w:tcBorders>
            <w:vAlign w:val="top"/>
          </w:tcPr>
          <w:p>
            <w:pPr>
              <w:pStyle w:val="6"/>
              <w:spacing w:before="56" w:line="206" w:lineRule="auto"/>
              <w:ind w:left="1960"/>
              <w:rPr>
                <w:rFonts w:ascii="Times New Roman" w:hAnsi="Times New Roman" w:eastAsia="Times New Roman" w:cs="Times New Roman"/>
              </w:rPr>
            </w:pPr>
            <w:r>
              <w:rPr>
                <w:spacing w:val="-2"/>
              </w:rPr>
              <w:t>一级</w:t>
            </w:r>
            <w:r>
              <w:rPr>
                <w:rFonts w:ascii="Segoe UI Symbol" w:hAnsi="Segoe UI Symbol" w:eastAsia="Segoe UI Symbol" w:cs="Segoe UI Symbol"/>
                <w:spacing w:val="-2"/>
              </w:rPr>
              <w:t xml:space="preserve">☑   </w:t>
            </w:r>
            <w:r>
              <w:rPr>
                <w:spacing w:val="-2"/>
              </w:rPr>
              <w:t>二级</w:t>
            </w:r>
            <w:r>
              <w:rPr>
                <w:rFonts w:ascii="Times New Roman" w:hAnsi="Times New Roman" w:eastAsia="Times New Roman" w:cs="Times New Roman"/>
                <w:spacing w:val="-2"/>
              </w:rPr>
              <w:t>□</w:t>
            </w:r>
            <w:r>
              <w:rPr>
                <w:rFonts w:ascii="Times New Roman" w:hAnsi="Times New Roman" w:eastAsia="Times New Roman" w:cs="Times New Roman"/>
                <w:spacing w:val="2"/>
              </w:rPr>
              <w:t xml:space="preserve">    </w:t>
            </w:r>
            <w:r>
              <w:rPr>
                <w:spacing w:val="-2"/>
              </w:rPr>
              <w:t>三级</w:t>
            </w:r>
            <w:r>
              <w:rPr>
                <w:rFonts w:ascii="Times New Roman" w:hAnsi="Times New Roman" w:eastAsia="Times New Roman" w:cs="Times New Roman"/>
                <w:spacing w:val="-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74" w:type="dxa"/>
            <w:vMerge w:val="continue"/>
            <w:tcBorders>
              <w:top w:val="nil"/>
              <w:left w:val="single" w:color="000000" w:sz="10" w:space="0"/>
            </w:tcBorders>
            <w:vAlign w:val="top"/>
          </w:tcPr>
          <w:p>
            <w:pPr>
              <w:rPr>
                <w:rFonts w:ascii="Arial"/>
                <w:sz w:val="21"/>
              </w:rPr>
            </w:pPr>
          </w:p>
        </w:tc>
        <w:tc>
          <w:tcPr>
            <w:tcW w:w="1463" w:type="dxa"/>
            <w:vAlign w:val="top"/>
          </w:tcPr>
          <w:p>
            <w:pPr>
              <w:pStyle w:val="6"/>
              <w:spacing w:before="53" w:line="219" w:lineRule="auto"/>
              <w:ind w:left="305"/>
            </w:pPr>
            <w:r>
              <w:rPr>
                <w:spacing w:val="-1"/>
              </w:rPr>
              <w:t>评价范围</w:t>
            </w:r>
          </w:p>
        </w:tc>
        <w:tc>
          <w:tcPr>
            <w:tcW w:w="5990" w:type="dxa"/>
            <w:gridSpan w:val="17"/>
            <w:tcBorders>
              <w:right w:val="single" w:color="000000" w:sz="10" w:space="0"/>
            </w:tcBorders>
            <w:vAlign w:val="top"/>
          </w:tcPr>
          <w:p>
            <w:pPr>
              <w:pStyle w:val="6"/>
              <w:spacing w:before="52" w:line="170" w:lineRule="auto"/>
              <w:ind w:left="1338"/>
              <w:rPr>
                <w:rFonts w:ascii="Times New Roman" w:hAnsi="Times New Roman" w:eastAsia="Times New Roman" w:cs="Times New Roman"/>
              </w:rPr>
            </w:pPr>
            <w:r>
              <w:rPr>
                <w:rFonts w:ascii="Times New Roman" w:hAnsi="Times New Roman" w:eastAsia="Times New Roman" w:cs="Times New Roman"/>
                <w:spacing w:val="-3"/>
              </w:rPr>
              <w:t>200m</w:t>
            </w:r>
            <w:r>
              <w:drawing>
                <wp:inline distT="0" distB="0" distL="0" distR="0">
                  <wp:extent cx="107315" cy="9842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498"/>
                          <a:stretch>
                            <a:fillRect/>
                          </a:stretch>
                        </pic:blipFill>
                        <pic:spPr>
                          <a:xfrm>
                            <a:off x="0" y="0"/>
                            <a:ext cx="107774" cy="98438"/>
                          </a:xfrm>
                          <a:prstGeom prst="rect">
                            <a:avLst/>
                          </a:prstGeom>
                        </pic:spPr>
                      </pic:pic>
                    </a:graphicData>
                  </a:graphic>
                </wp:inline>
              </w:drawing>
            </w:r>
            <w:r>
              <w:rPr>
                <w:rFonts w:ascii="Times New Roman" w:hAnsi="Times New Roman" w:eastAsia="Times New Roman" w:cs="Times New Roman"/>
                <w:spacing w:val="6"/>
              </w:rPr>
              <w:t xml:space="preserve">    </w:t>
            </w:r>
            <w:r>
              <w:rPr>
                <w:spacing w:val="-3"/>
              </w:rPr>
              <w:t>大于</w:t>
            </w:r>
            <w:r>
              <w:rPr>
                <w:spacing w:val="-48"/>
              </w:rPr>
              <w:t xml:space="preserve"> </w:t>
            </w:r>
            <w:r>
              <w:rPr>
                <w:rFonts w:ascii="Times New Roman" w:hAnsi="Times New Roman" w:eastAsia="Times New Roman" w:cs="Times New Roman"/>
                <w:spacing w:val="-3"/>
              </w:rPr>
              <w:t>200m</w:t>
            </w:r>
            <w:r>
              <w:rPr>
                <w:rFonts w:ascii="微软雅黑" w:hAnsi="微软雅黑" w:eastAsia="微软雅黑" w:cs="微软雅黑"/>
                <w:spacing w:val="-3"/>
              </w:rPr>
              <w:t>区</w:t>
            </w:r>
            <w:r>
              <w:rPr>
                <w:rFonts w:ascii="微软雅黑" w:hAnsi="微软雅黑" w:eastAsia="微软雅黑" w:cs="微软雅黑"/>
                <w:spacing w:val="12"/>
              </w:rPr>
              <w:t xml:space="preserve">   </w:t>
            </w:r>
            <w:r>
              <w:rPr>
                <w:spacing w:val="-3"/>
              </w:rPr>
              <w:t>小于</w:t>
            </w:r>
            <w:r>
              <w:rPr>
                <w:spacing w:val="-45"/>
              </w:rPr>
              <w:t xml:space="preserve"> </w:t>
            </w:r>
            <w:r>
              <w:rPr>
                <w:rFonts w:ascii="Times New Roman" w:hAnsi="Times New Roman" w:eastAsia="Times New Roman" w:cs="Times New Roman"/>
                <w:spacing w:val="-3"/>
              </w:rPr>
              <w:t>200m□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074" w:type="dxa"/>
            <w:tcBorders>
              <w:left w:val="single" w:color="000000" w:sz="10" w:space="0"/>
            </w:tcBorders>
            <w:vAlign w:val="top"/>
          </w:tcPr>
          <w:p>
            <w:pPr>
              <w:pStyle w:val="6"/>
              <w:spacing w:before="207" w:line="219" w:lineRule="auto"/>
              <w:ind w:left="107"/>
            </w:pPr>
            <w:r>
              <w:rPr>
                <w:spacing w:val="-1"/>
              </w:rPr>
              <w:t>评价因子</w:t>
            </w:r>
          </w:p>
        </w:tc>
        <w:tc>
          <w:tcPr>
            <w:tcW w:w="1463" w:type="dxa"/>
            <w:vAlign w:val="top"/>
          </w:tcPr>
          <w:p>
            <w:pPr>
              <w:pStyle w:val="6"/>
              <w:spacing w:before="207" w:line="219" w:lineRule="auto"/>
              <w:ind w:left="305"/>
            </w:pPr>
            <w:r>
              <w:rPr>
                <w:spacing w:val="-1"/>
              </w:rPr>
              <w:t>评价因子</w:t>
            </w:r>
          </w:p>
        </w:tc>
        <w:tc>
          <w:tcPr>
            <w:tcW w:w="1807" w:type="dxa"/>
            <w:gridSpan w:val="4"/>
            <w:tcBorders>
              <w:right w:val="nil"/>
            </w:tcBorders>
            <w:vAlign w:val="top"/>
          </w:tcPr>
          <w:p>
            <w:pPr>
              <w:pStyle w:val="6"/>
              <w:spacing w:before="58" w:line="221" w:lineRule="auto"/>
              <w:ind w:right="3"/>
              <w:jc w:val="right"/>
              <w:rPr>
                <w:rFonts w:ascii="Segoe UI Symbol" w:hAnsi="Segoe UI Symbol" w:eastAsia="Segoe UI Symbol" w:cs="Segoe UI Symbol"/>
              </w:rPr>
            </w:pPr>
            <w:r>
              <w:rPr>
                <w:spacing w:val="-1"/>
              </w:rPr>
              <w:t>等效连续</w:t>
            </w:r>
            <w:r>
              <w:rPr>
                <w:spacing w:val="-52"/>
              </w:rPr>
              <w:t xml:space="preserve"> </w:t>
            </w:r>
            <w:r>
              <w:rPr>
                <w:rFonts w:ascii="Times New Roman" w:hAnsi="Times New Roman" w:eastAsia="Times New Roman" w:cs="Times New Roman"/>
                <w:spacing w:val="-1"/>
              </w:rPr>
              <w:t xml:space="preserve">A </w:t>
            </w:r>
            <w:r>
              <w:rPr>
                <w:spacing w:val="-1"/>
              </w:rPr>
              <w:t>声级</w:t>
            </w:r>
            <w:r>
              <w:rPr>
                <w:rFonts w:ascii="Segoe UI Symbol" w:hAnsi="Segoe UI Symbol" w:eastAsia="Segoe UI Symbol" w:cs="Segoe UI Symbol"/>
                <w:spacing w:val="-1"/>
              </w:rPr>
              <w:t>☑</w:t>
            </w:r>
          </w:p>
        </w:tc>
        <w:tc>
          <w:tcPr>
            <w:tcW w:w="1827" w:type="dxa"/>
            <w:gridSpan w:val="7"/>
            <w:tcBorders>
              <w:left w:val="nil"/>
              <w:right w:val="nil"/>
            </w:tcBorders>
            <w:vAlign w:val="top"/>
          </w:tcPr>
          <w:p>
            <w:pPr>
              <w:pStyle w:val="6"/>
              <w:spacing w:before="59" w:line="245" w:lineRule="auto"/>
              <w:ind w:left="1026" w:right="271" w:hanging="684"/>
              <w:rPr>
                <w:rFonts w:ascii="Times New Roman" w:hAnsi="Times New Roman" w:eastAsia="Times New Roman" w:cs="Times New Roman"/>
              </w:rPr>
            </w:pPr>
            <w:r>
              <w:rPr>
                <w:spacing w:val="-4"/>
              </w:rPr>
              <w:t>最大</w:t>
            </w:r>
            <w:r>
              <w:rPr>
                <w:spacing w:val="-53"/>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13"/>
                <w:w w:val="101"/>
              </w:rPr>
              <w:t xml:space="preserve"> </w:t>
            </w:r>
            <w:r>
              <w:rPr>
                <w:spacing w:val="-4"/>
              </w:rPr>
              <w:t>声级</w:t>
            </w:r>
            <w:r>
              <w:rPr>
                <w:rFonts w:ascii="Times New Roman" w:hAnsi="Times New Roman" w:eastAsia="Times New Roman" w:cs="Times New Roman"/>
                <w:spacing w:val="-4"/>
              </w:rPr>
              <w:t>□</w:t>
            </w:r>
            <w:r>
              <w:rPr>
                <w:rFonts w:ascii="Times New Roman" w:hAnsi="Times New Roman" w:eastAsia="Times New Roman" w:cs="Times New Roman"/>
              </w:rPr>
              <w:t xml:space="preserve"> </w:t>
            </w:r>
            <w:r>
              <w:rPr>
                <w:spacing w:val="-5"/>
              </w:rPr>
              <w:t>级</w:t>
            </w:r>
            <w:r>
              <w:rPr>
                <w:rFonts w:ascii="Times New Roman" w:hAnsi="Times New Roman" w:eastAsia="Times New Roman" w:cs="Times New Roman"/>
                <w:spacing w:val="-5"/>
              </w:rPr>
              <w:t>□</w:t>
            </w:r>
          </w:p>
        </w:tc>
        <w:tc>
          <w:tcPr>
            <w:tcW w:w="2356" w:type="dxa"/>
            <w:gridSpan w:val="6"/>
            <w:tcBorders>
              <w:left w:val="nil"/>
              <w:right w:val="single" w:color="000000" w:sz="10" w:space="0"/>
            </w:tcBorders>
            <w:vAlign w:val="top"/>
          </w:tcPr>
          <w:p>
            <w:pPr>
              <w:pStyle w:val="6"/>
              <w:spacing w:before="58" w:line="221" w:lineRule="auto"/>
              <w:ind w:left="156"/>
            </w:pPr>
            <w:r>
              <w:rPr>
                <w:spacing w:val="-1"/>
              </w:rPr>
              <w:t>计权等效连续感觉噪声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074" w:type="dxa"/>
            <w:tcBorders>
              <w:left w:val="single" w:color="000000" w:sz="10" w:space="0"/>
            </w:tcBorders>
            <w:vAlign w:val="top"/>
          </w:tcPr>
          <w:p>
            <w:pPr>
              <w:pStyle w:val="6"/>
              <w:spacing w:before="53" w:line="219" w:lineRule="auto"/>
              <w:ind w:left="107"/>
            </w:pPr>
            <w:r>
              <w:rPr>
                <w:spacing w:val="-1"/>
              </w:rPr>
              <w:t>评价标准</w:t>
            </w:r>
          </w:p>
        </w:tc>
        <w:tc>
          <w:tcPr>
            <w:tcW w:w="1463" w:type="dxa"/>
            <w:vAlign w:val="top"/>
          </w:tcPr>
          <w:p>
            <w:pPr>
              <w:pStyle w:val="6"/>
              <w:spacing w:before="53" w:line="219" w:lineRule="auto"/>
              <w:ind w:left="305"/>
            </w:pPr>
            <w:r>
              <w:rPr>
                <w:spacing w:val="-1"/>
              </w:rPr>
              <w:t>评价标准</w:t>
            </w:r>
          </w:p>
        </w:tc>
        <w:tc>
          <w:tcPr>
            <w:tcW w:w="5990" w:type="dxa"/>
            <w:gridSpan w:val="17"/>
            <w:tcBorders>
              <w:right w:val="single" w:color="000000" w:sz="10" w:space="0"/>
            </w:tcBorders>
            <w:vAlign w:val="top"/>
          </w:tcPr>
          <w:p>
            <w:pPr>
              <w:pStyle w:val="6"/>
              <w:spacing w:before="60" w:line="203" w:lineRule="auto"/>
              <w:ind w:left="1401"/>
              <w:rPr>
                <w:rFonts w:ascii="Times New Roman" w:hAnsi="Times New Roman" w:eastAsia="Times New Roman" w:cs="Times New Roman"/>
              </w:rPr>
            </w:pPr>
            <w:r>
              <w:rPr>
                <w:spacing w:val="-4"/>
              </w:rPr>
              <w:t>国家标准</w:t>
            </w:r>
            <w:r>
              <w:rPr>
                <w:rFonts w:ascii="Segoe UI Symbol" w:hAnsi="Segoe UI Symbol" w:eastAsia="Segoe UI Symbol" w:cs="Segoe UI Symbol"/>
                <w:spacing w:val="-4"/>
              </w:rPr>
              <w:t xml:space="preserve">☑   </w:t>
            </w:r>
            <w:r>
              <w:rPr>
                <w:spacing w:val="-4"/>
              </w:rPr>
              <w:t>地方标准</w:t>
            </w:r>
            <w:r>
              <w:rPr>
                <w:rFonts w:ascii="Times New Roman" w:hAnsi="Times New Roman" w:eastAsia="Times New Roman" w:cs="Times New Roman"/>
                <w:spacing w:val="-4"/>
              </w:rPr>
              <w:t>□</w:t>
            </w:r>
            <w:r>
              <w:rPr>
                <w:rFonts w:ascii="Times New Roman" w:hAnsi="Times New Roman" w:eastAsia="Times New Roman" w:cs="Times New Roman"/>
                <w:spacing w:val="20"/>
                <w:w w:val="101"/>
              </w:rPr>
              <w:t xml:space="preserve">  </w:t>
            </w:r>
            <w:r>
              <w:rPr>
                <w:spacing w:val="-4"/>
              </w:rPr>
              <w:t>国外标准</w:t>
            </w:r>
            <w:r>
              <w:rPr>
                <w:rFonts w:ascii="Times New Roman" w:hAnsi="Times New Roman" w:eastAsia="Times New Roman" w:cs="Times New Roman"/>
                <w:spacing w:val="-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074" w:type="dxa"/>
            <w:vMerge w:val="restart"/>
            <w:tcBorders>
              <w:left w:val="single" w:color="000000" w:sz="10" w:space="0"/>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8" w:line="219" w:lineRule="auto"/>
              <w:ind w:left="109"/>
            </w:pPr>
            <w:r>
              <w:rPr>
                <w:spacing w:val="-2"/>
              </w:rPr>
              <w:t>现状评价</w:t>
            </w:r>
          </w:p>
        </w:tc>
        <w:tc>
          <w:tcPr>
            <w:tcW w:w="1463" w:type="dxa"/>
            <w:vAlign w:val="top"/>
          </w:tcPr>
          <w:p>
            <w:pPr>
              <w:pStyle w:val="6"/>
              <w:spacing w:before="210" w:line="221" w:lineRule="auto"/>
              <w:ind w:left="200"/>
            </w:pPr>
            <w:r>
              <w:rPr>
                <w:spacing w:val="-1"/>
              </w:rPr>
              <w:t>环境功能区</w:t>
            </w:r>
          </w:p>
        </w:tc>
        <w:tc>
          <w:tcPr>
            <w:tcW w:w="995" w:type="dxa"/>
            <w:vAlign w:val="top"/>
          </w:tcPr>
          <w:p>
            <w:pPr>
              <w:pStyle w:val="6"/>
              <w:spacing w:before="211" w:line="234" w:lineRule="auto"/>
              <w:ind w:left="146"/>
              <w:rPr>
                <w:rFonts w:ascii="Times New Roman" w:hAnsi="Times New Roman" w:eastAsia="Times New Roman" w:cs="Times New Roman"/>
              </w:rPr>
            </w:pPr>
            <w:r>
              <w:rPr>
                <w:rFonts w:ascii="Times New Roman" w:hAnsi="Times New Roman" w:eastAsia="Times New Roman" w:cs="Times New Roman"/>
                <w:spacing w:val="-4"/>
              </w:rPr>
              <w:t>0</w:t>
            </w:r>
            <w:r>
              <w:rPr>
                <w:rFonts w:ascii="Times New Roman" w:hAnsi="Times New Roman" w:eastAsia="Times New Roman" w:cs="Times New Roman"/>
                <w:spacing w:val="10"/>
              </w:rPr>
              <w:t xml:space="preserve"> </w:t>
            </w:r>
            <w:r>
              <w:rPr>
                <w:spacing w:val="-4"/>
              </w:rPr>
              <w:t>类区</w:t>
            </w:r>
            <w:r>
              <w:rPr>
                <w:rFonts w:ascii="Times New Roman" w:hAnsi="Times New Roman" w:eastAsia="Times New Roman" w:cs="Times New Roman"/>
                <w:spacing w:val="-4"/>
              </w:rPr>
              <w:t>□</w:t>
            </w:r>
          </w:p>
        </w:tc>
        <w:tc>
          <w:tcPr>
            <w:tcW w:w="960" w:type="dxa"/>
            <w:gridSpan w:val="4"/>
            <w:vAlign w:val="top"/>
          </w:tcPr>
          <w:p>
            <w:pPr>
              <w:pStyle w:val="6"/>
              <w:spacing w:before="211" w:line="234" w:lineRule="auto"/>
              <w:ind w:left="145"/>
              <w:rPr>
                <w:rFonts w:ascii="Times New Roman" w:hAnsi="Times New Roman" w:eastAsia="Times New Roman" w:cs="Times New Roman"/>
              </w:rPr>
            </w:pPr>
            <w:r>
              <w:rPr>
                <w:rFonts w:ascii="Times New Roman" w:hAnsi="Times New Roman" w:eastAsia="Times New Roman" w:cs="Times New Roman"/>
                <w:spacing w:val="-8"/>
              </w:rPr>
              <w:t>1</w:t>
            </w:r>
            <w:r>
              <w:rPr>
                <w:rFonts w:ascii="Times New Roman" w:hAnsi="Times New Roman" w:eastAsia="Times New Roman" w:cs="Times New Roman"/>
                <w:spacing w:val="9"/>
              </w:rPr>
              <w:t xml:space="preserve"> </w:t>
            </w:r>
            <w:r>
              <w:rPr>
                <w:spacing w:val="-8"/>
              </w:rPr>
              <w:t>类区</w:t>
            </w:r>
            <w:r>
              <w:rPr>
                <w:rFonts w:ascii="Times New Roman" w:hAnsi="Times New Roman" w:eastAsia="Times New Roman" w:cs="Times New Roman"/>
                <w:spacing w:val="-8"/>
              </w:rPr>
              <w:t>□</w:t>
            </w:r>
          </w:p>
        </w:tc>
        <w:tc>
          <w:tcPr>
            <w:tcW w:w="930" w:type="dxa"/>
            <w:gridSpan w:val="4"/>
            <w:vAlign w:val="top"/>
          </w:tcPr>
          <w:p>
            <w:pPr>
              <w:pStyle w:val="6"/>
              <w:spacing w:before="55" w:line="244" w:lineRule="auto"/>
              <w:ind w:left="389" w:right="165" w:hanging="211"/>
              <w:rPr>
                <w:rFonts w:ascii="Segoe UI Symbol" w:hAnsi="Segoe UI Symbol" w:eastAsia="Segoe UI Symbol" w:cs="Segoe UI Symbol"/>
              </w:rPr>
            </w:pPr>
            <w:r>
              <w:rPr>
                <w:rFonts w:ascii="Times New Roman" w:hAnsi="Times New Roman" w:eastAsia="Times New Roman" w:cs="Times New Roman"/>
                <w:spacing w:val="-4"/>
              </w:rPr>
              <w:t>2</w:t>
            </w:r>
            <w:r>
              <w:rPr>
                <w:rFonts w:ascii="Times New Roman" w:hAnsi="Times New Roman" w:eastAsia="Times New Roman" w:cs="Times New Roman"/>
                <w:spacing w:val="9"/>
              </w:rPr>
              <w:t xml:space="preserve"> </w:t>
            </w:r>
            <w:r>
              <w:rPr>
                <w:spacing w:val="-4"/>
              </w:rPr>
              <w:t>类区</w:t>
            </w:r>
            <w:r>
              <w:t xml:space="preserve"> </w:t>
            </w:r>
            <w:r>
              <w:rPr>
                <w:rFonts w:ascii="Segoe UI Symbol" w:hAnsi="Segoe UI Symbol" w:eastAsia="Segoe UI Symbol" w:cs="Segoe UI Symbol"/>
              </w:rPr>
              <w:t>☑</w:t>
            </w:r>
          </w:p>
        </w:tc>
        <w:tc>
          <w:tcPr>
            <w:tcW w:w="845" w:type="dxa"/>
            <w:gridSpan w:val="3"/>
            <w:vAlign w:val="top"/>
          </w:tcPr>
          <w:p>
            <w:pPr>
              <w:pStyle w:val="6"/>
              <w:spacing w:before="55" w:line="262" w:lineRule="auto"/>
              <w:ind w:left="373" w:right="119" w:hanging="231"/>
              <w:rPr>
                <w:rFonts w:ascii="Times New Roman" w:hAnsi="Times New Roman" w:eastAsia="Times New Roman" w:cs="Times New Roman"/>
              </w:rPr>
            </w:pPr>
            <w:r>
              <w:rPr>
                <w:rFonts w:ascii="Times New Roman" w:hAnsi="Times New Roman" w:eastAsia="Times New Roman" w:cs="Times New Roman"/>
                <w:spacing w:val="-5"/>
              </w:rPr>
              <w:t>3</w:t>
            </w:r>
            <w:r>
              <w:rPr>
                <w:rFonts w:ascii="Times New Roman" w:hAnsi="Times New Roman" w:eastAsia="Times New Roman" w:cs="Times New Roman"/>
                <w:spacing w:val="8"/>
              </w:rPr>
              <w:t xml:space="preserve"> </w:t>
            </w:r>
            <w:r>
              <w:rPr>
                <w:spacing w:val="-5"/>
              </w:rPr>
              <w:t>类区</w:t>
            </w:r>
            <w:r>
              <w:t xml:space="preserve"> </w:t>
            </w:r>
            <w:r>
              <w:rPr>
                <w:rFonts w:ascii="Times New Roman" w:hAnsi="Times New Roman" w:eastAsia="Times New Roman" w:cs="Times New Roman"/>
              </w:rPr>
              <w:t>□</w:t>
            </w:r>
          </w:p>
        </w:tc>
        <w:tc>
          <w:tcPr>
            <w:tcW w:w="1087" w:type="dxa"/>
            <w:gridSpan w:val="3"/>
            <w:vAlign w:val="top"/>
          </w:tcPr>
          <w:p>
            <w:pPr>
              <w:pStyle w:val="6"/>
              <w:spacing w:before="217" w:line="221" w:lineRule="auto"/>
              <w:ind w:left="125"/>
              <w:rPr>
                <w:rFonts w:ascii="Segoe UI Symbol" w:hAnsi="Segoe UI Symbol" w:eastAsia="Segoe UI Symbol" w:cs="Segoe UI Symbol"/>
              </w:rPr>
            </w:pPr>
            <w:r>
              <w:rPr>
                <w:rFonts w:ascii="Times New Roman" w:hAnsi="Times New Roman" w:eastAsia="Times New Roman" w:cs="Times New Roman"/>
                <w:spacing w:val="-2"/>
              </w:rPr>
              <w:t>4a</w:t>
            </w:r>
            <w:r>
              <w:rPr>
                <w:rFonts w:ascii="Times New Roman" w:hAnsi="Times New Roman" w:eastAsia="Times New Roman" w:cs="Times New Roman"/>
                <w:spacing w:val="8"/>
              </w:rPr>
              <w:t xml:space="preserve"> </w:t>
            </w:r>
            <w:r>
              <w:rPr>
                <w:spacing w:val="-2"/>
              </w:rPr>
              <w:t>类区</w:t>
            </w:r>
            <w:r>
              <w:rPr>
                <w:rFonts w:ascii="Segoe UI Symbol" w:hAnsi="Segoe UI Symbol" w:eastAsia="Segoe UI Symbol" w:cs="Segoe UI Symbol"/>
                <w:spacing w:val="-2"/>
              </w:rPr>
              <w:t>☑</w:t>
            </w:r>
          </w:p>
        </w:tc>
        <w:tc>
          <w:tcPr>
            <w:tcW w:w="1173" w:type="dxa"/>
            <w:gridSpan w:val="2"/>
            <w:tcBorders>
              <w:right w:val="single" w:color="000000" w:sz="10" w:space="0"/>
            </w:tcBorders>
            <w:vAlign w:val="top"/>
          </w:tcPr>
          <w:p>
            <w:pPr>
              <w:pStyle w:val="6"/>
              <w:spacing w:before="211" w:line="234" w:lineRule="auto"/>
              <w:ind w:left="183"/>
              <w:rPr>
                <w:rFonts w:ascii="Times New Roman" w:hAnsi="Times New Roman" w:eastAsia="Times New Roman" w:cs="Times New Roman"/>
              </w:rPr>
            </w:pPr>
            <w:r>
              <w:rPr>
                <w:rFonts w:ascii="Times New Roman" w:hAnsi="Times New Roman" w:eastAsia="Times New Roman" w:cs="Times New Roman"/>
                <w:spacing w:val="-2"/>
              </w:rPr>
              <w:t>4b</w:t>
            </w:r>
            <w:r>
              <w:rPr>
                <w:rFonts w:ascii="Times New Roman" w:hAnsi="Times New Roman" w:eastAsia="Times New Roman" w:cs="Times New Roman"/>
                <w:spacing w:val="8"/>
              </w:rPr>
              <w:t xml:space="preserve"> </w:t>
            </w:r>
            <w:r>
              <w:rPr>
                <w:spacing w:val="-2"/>
              </w:rPr>
              <w:t>类区</w:t>
            </w:r>
            <w:r>
              <w:rPr>
                <w:rFonts w:ascii="Times New Roman" w:hAnsi="Times New Roman" w:eastAsia="Times New Roman" w:cs="Times New Roman"/>
                <w:spacing w:val="-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74" w:type="dxa"/>
            <w:vMerge w:val="continue"/>
            <w:tcBorders>
              <w:top w:val="nil"/>
              <w:left w:val="single" w:color="000000" w:sz="10" w:space="0"/>
              <w:bottom w:val="nil"/>
            </w:tcBorders>
            <w:vAlign w:val="top"/>
          </w:tcPr>
          <w:p>
            <w:pPr>
              <w:rPr>
                <w:rFonts w:ascii="Arial"/>
                <w:sz w:val="21"/>
              </w:rPr>
            </w:pPr>
          </w:p>
        </w:tc>
        <w:tc>
          <w:tcPr>
            <w:tcW w:w="1463" w:type="dxa"/>
            <w:vAlign w:val="top"/>
          </w:tcPr>
          <w:p>
            <w:pPr>
              <w:pStyle w:val="6"/>
              <w:spacing w:before="58" w:line="219" w:lineRule="auto"/>
              <w:ind w:left="305"/>
            </w:pPr>
            <w:r>
              <w:rPr>
                <w:spacing w:val="-1"/>
              </w:rPr>
              <w:t>评价年度</w:t>
            </w:r>
          </w:p>
        </w:tc>
        <w:tc>
          <w:tcPr>
            <w:tcW w:w="1718" w:type="dxa"/>
            <w:gridSpan w:val="3"/>
            <w:vAlign w:val="top"/>
          </w:tcPr>
          <w:p>
            <w:pPr>
              <w:pStyle w:val="6"/>
              <w:spacing w:before="58" w:line="219" w:lineRule="auto"/>
              <w:ind w:left="585"/>
              <w:rPr>
                <w:rFonts w:ascii="Times New Roman" w:hAnsi="Times New Roman" w:eastAsia="Times New Roman" w:cs="Times New Roman"/>
              </w:rPr>
            </w:pPr>
            <w:r>
              <w:rPr>
                <w:spacing w:val="-2"/>
              </w:rPr>
              <w:t>初期</w:t>
            </w:r>
            <w:r>
              <w:rPr>
                <w:rFonts w:ascii="Times New Roman" w:hAnsi="Times New Roman" w:eastAsia="Times New Roman" w:cs="Times New Roman"/>
                <w:spacing w:val="-2"/>
              </w:rPr>
              <w:t>□</w:t>
            </w:r>
          </w:p>
        </w:tc>
        <w:tc>
          <w:tcPr>
            <w:tcW w:w="1167" w:type="dxa"/>
            <w:gridSpan w:val="6"/>
            <w:vAlign w:val="top"/>
          </w:tcPr>
          <w:p>
            <w:pPr>
              <w:pStyle w:val="6"/>
              <w:spacing w:before="65" w:line="201" w:lineRule="auto"/>
              <w:ind w:left="288"/>
              <w:rPr>
                <w:rFonts w:ascii="Segoe UI Symbol" w:hAnsi="Segoe UI Symbol" w:eastAsia="Segoe UI Symbol" w:cs="Segoe UI Symbol"/>
              </w:rPr>
            </w:pPr>
            <w:r>
              <w:rPr>
                <w:spacing w:val="-2"/>
              </w:rPr>
              <w:t>近期</w:t>
            </w:r>
            <w:r>
              <w:rPr>
                <w:rFonts w:ascii="Segoe UI Symbol" w:hAnsi="Segoe UI Symbol" w:eastAsia="Segoe UI Symbol" w:cs="Segoe UI Symbol"/>
                <w:spacing w:val="-2"/>
              </w:rPr>
              <w:t>☑</w:t>
            </w:r>
          </w:p>
        </w:tc>
        <w:tc>
          <w:tcPr>
            <w:tcW w:w="1336" w:type="dxa"/>
            <w:gridSpan w:val="5"/>
            <w:vAlign w:val="top"/>
          </w:tcPr>
          <w:p>
            <w:pPr>
              <w:pStyle w:val="6"/>
              <w:spacing w:before="65" w:line="201" w:lineRule="auto"/>
              <w:ind w:left="397"/>
              <w:rPr>
                <w:rFonts w:ascii="Segoe UI Symbol" w:hAnsi="Segoe UI Symbol" w:eastAsia="Segoe UI Symbol" w:cs="Segoe UI Symbol"/>
              </w:rPr>
            </w:pPr>
            <w:r>
              <w:rPr>
                <w:spacing w:val="-9"/>
              </w:rPr>
              <w:t>中期</w:t>
            </w:r>
            <w:r>
              <w:rPr>
                <w:rFonts w:ascii="Segoe UI Symbol" w:hAnsi="Segoe UI Symbol" w:eastAsia="Segoe UI Symbol" w:cs="Segoe UI Symbol"/>
                <w:spacing w:val="-9"/>
              </w:rPr>
              <w:t>☑</w:t>
            </w:r>
          </w:p>
        </w:tc>
        <w:tc>
          <w:tcPr>
            <w:tcW w:w="1769" w:type="dxa"/>
            <w:gridSpan w:val="3"/>
            <w:tcBorders>
              <w:right w:val="single" w:color="000000" w:sz="10" w:space="0"/>
            </w:tcBorders>
            <w:vAlign w:val="top"/>
          </w:tcPr>
          <w:p>
            <w:pPr>
              <w:pStyle w:val="6"/>
              <w:spacing w:before="65" w:line="201" w:lineRule="auto"/>
              <w:ind w:left="590"/>
              <w:rPr>
                <w:rFonts w:ascii="Segoe UI Symbol" w:hAnsi="Segoe UI Symbol" w:eastAsia="Segoe UI Symbol" w:cs="Segoe UI Symbol"/>
              </w:rPr>
            </w:pPr>
            <w:r>
              <w:rPr>
                <w:spacing w:val="-2"/>
              </w:rPr>
              <w:t>远期</w:t>
            </w:r>
            <w:r>
              <w:rPr>
                <w:rFonts w:ascii="Segoe UI Symbol" w:hAnsi="Segoe UI Symbol" w:eastAsia="Segoe UI Symbol" w:cs="Segoe UI Symbol"/>
                <w:spacing w:val="-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074" w:type="dxa"/>
            <w:vMerge w:val="continue"/>
            <w:tcBorders>
              <w:top w:val="nil"/>
              <w:left w:val="single" w:color="000000" w:sz="10" w:space="0"/>
              <w:bottom w:val="nil"/>
            </w:tcBorders>
            <w:vAlign w:val="top"/>
          </w:tcPr>
          <w:p>
            <w:pPr>
              <w:rPr>
                <w:rFonts w:ascii="Arial"/>
                <w:sz w:val="21"/>
              </w:rPr>
            </w:pPr>
          </w:p>
        </w:tc>
        <w:tc>
          <w:tcPr>
            <w:tcW w:w="1463" w:type="dxa"/>
            <w:vAlign w:val="top"/>
          </w:tcPr>
          <w:p>
            <w:pPr>
              <w:pStyle w:val="6"/>
              <w:spacing w:before="57" w:line="246" w:lineRule="auto"/>
              <w:ind w:left="621" w:right="206" w:hanging="419"/>
            </w:pPr>
            <w:r>
              <w:rPr>
                <w:spacing w:val="-2"/>
              </w:rPr>
              <w:t>现状调查方</w:t>
            </w:r>
            <w:r>
              <w:rPr>
                <w:spacing w:val="2"/>
              </w:rPr>
              <w:t xml:space="preserve"> </w:t>
            </w:r>
            <w:r>
              <w:t>法</w:t>
            </w:r>
          </w:p>
        </w:tc>
        <w:tc>
          <w:tcPr>
            <w:tcW w:w="1718" w:type="dxa"/>
            <w:gridSpan w:val="3"/>
            <w:vAlign w:val="top"/>
          </w:tcPr>
          <w:p>
            <w:pPr>
              <w:pStyle w:val="6"/>
              <w:spacing w:before="220" w:line="222" w:lineRule="auto"/>
              <w:ind w:left="244"/>
              <w:rPr>
                <w:rFonts w:ascii="Segoe UI Symbol" w:hAnsi="Segoe UI Symbol" w:eastAsia="Segoe UI Symbol" w:cs="Segoe UI Symbol"/>
              </w:rPr>
            </w:pPr>
            <w:r>
              <w:rPr>
                <w:spacing w:val="-2"/>
              </w:rPr>
              <w:t>现场实测法</w:t>
            </w:r>
            <w:r>
              <w:rPr>
                <w:rFonts w:ascii="Segoe UI Symbol" w:hAnsi="Segoe UI Symbol" w:eastAsia="Segoe UI Symbol" w:cs="Segoe UI Symbol"/>
                <w:spacing w:val="-2"/>
              </w:rPr>
              <w:t>☑</w:t>
            </w:r>
          </w:p>
        </w:tc>
        <w:tc>
          <w:tcPr>
            <w:tcW w:w="2346" w:type="dxa"/>
            <w:gridSpan w:val="10"/>
            <w:vAlign w:val="top"/>
          </w:tcPr>
          <w:p>
            <w:pPr>
              <w:pStyle w:val="6"/>
              <w:spacing w:before="57" w:line="243" w:lineRule="auto"/>
              <w:ind w:left="1116" w:right="93" w:hanging="967"/>
              <w:rPr>
                <w:rFonts w:ascii="Segoe UI Symbol" w:hAnsi="Segoe UI Symbol" w:eastAsia="Segoe UI Symbol" w:cs="Segoe UI Symbol"/>
              </w:rPr>
            </w:pPr>
            <w:r>
              <w:rPr>
                <w:spacing w:val="-1"/>
              </w:rPr>
              <w:t>现场实测加模型计算法</w:t>
            </w:r>
            <w:r>
              <w:rPr>
                <w:spacing w:val="1"/>
              </w:rPr>
              <w:t xml:space="preserve"> </w:t>
            </w:r>
            <w:r>
              <w:rPr>
                <w:rFonts w:ascii="Segoe UI Symbol" w:hAnsi="Segoe UI Symbol" w:eastAsia="Segoe UI Symbol" w:cs="Segoe UI Symbol"/>
              </w:rPr>
              <w:t>☑</w:t>
            </w:r>
          </w:p>
        </w:tc>
        <w:tc>
          <w:tcPr>
            <w:tcW w:w="1926" w:type="dxa"/>
            <w:gridSpan w:val="4"/>
            <w:tcBorders>
              <w:right w:val="single" w:color="000000" w:sz="10" w:space="0"/>
            </w:tcBorders>
            <w:vAlign w:val="top"/>
          </w:tcPr>
          <w:p>
            <w:pPr>
              <w:pStyle w:val="6"/>
              <w:spacing w:before="213" w:line="234" w:lineRule="auto"/>
              <w:ind w:left="509"/>
              <w:rPr>
                <w:rFonts w:ascii="Times New Roman" w:hAnsi="Times New Roman" w:eastAsia="Times New Roman" w:cs="Times New Roman"/>
              </w:rPr>
            </w:pPr>
            <w:r>
              <w:rPr>
                <w:spacing w:val="-3"/>
              </w:rPr>
              <w:t>收集资料</w:t>
            </w:r>
            <w:r>
              <w:rPr>
                <w:rFonts w:ascii="Times New Roman" w:hAnsi="Times New Roman" w:eastAsia="Times New Roman" w:cs="Times New Roman"/>
                <w:spacing w:val="-3"/>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074" w:type="dxa"/>
            <w:vMerge w:val="continue"/>
            <w:tcBorders>
              <w:top w:val="nil"/>
              <w:left w:val="single" w:color="000000" w:sz="10" w:space="0"/>
            </w:tcBorders>
            <w:vAlign w:val="top"/>
          </w:tcPr>
          <w:p>
            <w:pPr>
              <w:rPr>
                <w:rFonts w:ascii="Arial"/>
                <w:sz w:val="21"/>
              </w:rPr>
            </w:pPr>
          </w:p>
        </w:tc>
        <w:tc>
          <w:tcPr>
            <w:tcW w:w="1463" w:type="dxa"/>
            <w:vAlign w:val="top"/>
          </w:tcPr>
          <w:p>
            <w:pPr>
              <w:pStyle w:val="6"/>
              <w:spacing w:before="59" w:line="216" w:lineRule="auto"/>
              <w:ind w:left="307"/>
            </w:pPr>
            <w:r>
              <w:rPr>
                <w:spacing w:val="-2"/>
              </w:rPr>
              <w:t>现状评价</w:t>
            </w:r>
          </w:p>
        </w:tc>
        <w:tc>
          <w:tcPr>
            <w:tcW w:w="1718" w:type="dxa"/>
            <w:gridSpan w:val="3"/>
            <w:vAlign w:val="top"/>
          </w:tcPr>
          <w:p>
            <w:pPr>
              <w:pStyle w:val="6"/>
              <w:spacing w:before="59" w:line="216" w:lineRule="auto"/>
              <w:ind w:left="333"/>
            </w:pPr>
            <w:r>
              <w:rPr>
                <w:spacing w:val="-1"/>
              </w:rPr>
              <w:t>达标百分比</w:t>
            </w:r>
          </w:p>
        </w:tc>
        <w:tc>
          <w:tcPr>
            <w:tcW w:w="4272" w:type="dxa"/>
            <w:gridSpan w:val="14"/>
            <w:tcBorders>
              <w:right w:val="single" w:color="000000" w:sz="10" w:space="0"/>
            </w:tcBorders>
            <w:vAlign w:val="top"/>
          </w:tcPr>
          <w:p>
            <w:pPr>
              <w:spacing w:before="97" w:line="187" w:lineRule="auto"/>
              <w:ind w:left="190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074" w:type="dxa"/>
            <w:tcBorders>
              <w:left w:val="single" w:color="000000" w:sz="10" w:space="0"/>
            </w:tcBorders>
            <w:vAlign w:val="top"/>
          </w:tcPr>
          <w:p>
            <w:pPr>
              <w:pStyle w:val="6"/>
              <w:spacing w:before="59" w:line="245" w:lineRule="auto"/>
              <w:ind w:left="423" w:right="114" w:hanging="306"/>
            </w:pPr>
            <w:r>
              <w:rPr>
                <w:spacing w:val="-4"/>
              </w:rPr>
              <w:t>噪声源调</w:t>
            </w:r>
            <w:r>
              <w:t xml:space="preserve"> 查</w:t>
            </w:r>
          </w:p>
        </w:tc>
        <w:tc>
          <w:tcPr>
            <w:tcW w:w="1463" w:type="dxa"/>
            <w:vAlign w:val="top"/>
          </w:tcPr>
          <w:p>
            <w:pPr>
              <w:pStyle w:val="6"/>
              <w:spacing w:before="59" w:line="245" w:lineRule="auto"/>
              <w:ind w:left="517" w:right="206" w:hanging="307"/>
            </w:pPr>
            <w:r>
              <w:rPr>
                <w:spacing w:val="-3"/>
              </w:rPr>
              <w:t>噪声源调查</w:t>
            </w:r>
            <w:r>
              <w:t xml:space="preserve"> </w:t>
            </w:r>
            <w:r>
              <w:rPr>
                <w:spacing w:val="-2"/>
              </w:rPr>
              <w:t>方法</w:t>
            </w:r>
          </w:p>
        </w:tc>
        <w:tc>
          <w:tcPr>
            <w:tcW w:w="2192" w:type="dxa"/>
            <w:gridSpan w:val="6"/>
            <w:vAlign w:val="top"/>
          </w:tcPr>
          <w:p>
            <w:pPr>
              <w:pStyle w:val="6"/>
              <w:spacing w:before="222" w:line="222" w:lineRule="auto"/>
              <w:ind w:left="587"/>
              <w:rPr>
                <w:rFonts w:ascii="Segoe UI Symbol" w:hAnsi="Segoe UI Symbol" w:eastAsia="Segoe UI Symbol" w:cs="Segoe UI Symbol"/>
              </w:rPr>
            </w:pPr>
            <w:r>
              <w:rPr>
                <w:spacing w:val="-2"/>
              </w:rPr>
              <w:t>现场实测</w:t>
            </w:r>
            <w:r>
              <w:rPr>
                <w:rFonts w:ascii="Segoe UI Symbol" w:hAnsi="Segoe UI Symbol" w:eastAsia="Segoe UI Symbol" w:cs="Segoe UI Symbol"/>
                <w:spacing w:val="-2"/>
              </w:rPr>
              <w:t>☑</w:t>
            </w:r>
          </w:p>
        </w:tc>
        <w:tc>
          <w:tcPr>
            <w:tcW w:w="1442" w:type="dxa"/>
            <w:gridSpan w:val="5"/>
            <w:vAlign w:val="top"/>
          </w:tcPr>
          <w:p>
            <w:pPr>
              <w:pStyle w:val="6"/>
              <w:spacing w:before="216" w:line="235" w:lineRule="auto"/>
              <w:ind w:left="268"/>
              <w:rPr>
                <w:rFonts w:ascii="Times New Roman" w:hAnsi="Times New Roman" w:eastAsia="Times New Roman" w:cs="Times New Roman"/>
              </w:rPr>
            </w:pPr>
            <w:r>
              <w:rPr>
                <w:spacing w:val="-6"/>
              </w:rPr>
              <w:t>已有资料</w:t>
            </w:r>
            <w:r>
              <w:rPr>
                <w:rFonts w:ascii="Times New Roman" w:hAnsi="Times New Roman" w:eastAsia="Times New Roman" w:cs="Times New Roman"/>
                <w:spacing w:val="-6"/>
              </w:rPr>
              <w:t>□</w:t>
            </w:r>
          </w:p>
        </w:tc>
        <w:tc>
          <w:tcPr>
            <w:tcW w:w="2356" w:type="dxa"/>
            <w:gridSpan w:val="6"/>
            <w:tcBorders>
              <w:right w:val="single" w:color="000000" w:sz="10" w:space="0"/>
            </w:tcBorders>
            <w:vAlign w:val="top"/>
          </w:tcPr>
          <w:p>
            <w:pPr>
              <w:pStyle w:val="6"/>
              <w:spacing w:before="223" w:line="220" w:lineRule="auto"/>
              <w:ind w:left="673"/>
              <w:rPr>
                <w:rFonts w:ascii="Segoe UI Symbol" w:hAnsi="Segoe UI Symbol" w:eastAsia="Segoe UI Symbol" w:cs="Segoe UI Symbol"/>
              </w:rPr>
            </w:pPr>
            <w:r>
              <w:rPr>
                <w:spacing w:val="-2"/>
              </w:rPr>
              <w:t>研究成果</w:t>
            </w:r>
            <w:r>
              <w:rPr>
                <w:rFonts w:ascii="Segoe UI Symbol" w:hAnsi="Segoe UI Symbol" w:eastAsia="Segoe UI Symbol" w:cs="Segoe UI Symbol"/>
                <w:spacing w:val="-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74" w:type="dxa"/>
            <w:vMerge w:val="restart"/>
            <w:tcBorders>
              <w:left w:val="single" w:color="000000" w:sz="10" w:space="0"/>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9" w:line="221" w:lineRule="auto"/>
              <w:ind w:left="112"/>
            </w:pPr>
            <w:r>
              <w:rPr>
                <w:spacing w:val="-3"/>
              </w:rPr>
              <w:t>声环境影</w:t>
            </w:r>
          </w:p>
          <w:p>
            <w:pPr>
              <w:pStyle w:val="6"/>
              <w:spacing w:before="60" w:line="221" w:lineRule="auto"/>
              <w:ind w:left="118"/>
            </w:pPr>
            <w:r>
              <w:rPr>
                <w:spacing w:val="-4"/>
              </w:rPr>
              <w:t>响预测与</w:t>
            </w:r>
          </w:p>
          <w:p>
            <w:pPr>
              <w:pStyle w:val="6"/>
              <w:spacing w:before="60" w:line="219" w:lineRule="auto"/>
              <w:ind w:left="318"/>
            </w:pPr>
            <w:r>
              <w:rPr>
                <w:spacing w:val="-2"/>
              </w:rPr>
              <w:t>评价</w:t>
            </w:r>
          </w:p>
        </w:tc>
        <w:tc>
          <w:tcPr>
            <w:tcW w:w="1463" w:type="dxa"/>
            <w:vAlign w:val="top"/>
          </w:tcPr>
          <w:p>
            <w:pPr>
              <w:pStyle w:val="6"/>
              <w:spacing w:before="63" w:line="215" w:lineRule="auto"/>
              <w:ind w:left="307"/>
            </w:pPr>
            <w:r>
              <w:rPr>
                <w:spacing w:val="-2"/>
              </w:rPr>
              <w:t>预测模型</w:t>
            </w:r>
          </w:p>
        </w:tc>
        <w:tc>
          <w:tcPr>
            <w:tcW w:w="5990" w:type="dxa"/>
            <w:gridSpan w:val="17"/>
            <w:tcBorders>
              <w:right w:val="single" w:color="000000" w:sz="10" w:space="0"/>
            </w:tcBorders>
            <w:vAlign w:val="top"/>
          </w:tcPr>
          <w:p>
            <w:pPr>
              <w:pStyle w:val="6"/>
              <w:spacing w:before="71" w:line="196" w:lineRule="auto"/>
              <w:ind w:left="111"/>
              <w:rPr>
                <w:rFonts w:ascii="Times New Roman" w:hAnsi="Times New Roman" w:eastAsia="Times New Roman" w:cs="Times New Roman"/>
              </w:rPr>
            </w:pPr>
            <w:r>
              <w:rPr>
                <w:spacing w:val="-1"/>
              </w:rPr>
              <w:t>导则推荐模型</w:t>
            </w:r>
            <w:r>
              <w:rPr>
                <w:rFonts w:ascii="Segoe UI Symbol" w:hAnsi="Segoe UI Symbol" w:eastAsia="Segoe UI Symbol" w:cs="Segoe UI Symbol"/>
                <w:spacing w:val="-1"/>
              </w:rPr>
              <w:t xml:space="preserve">☑                            </w:t>
            </w:r>
            <w:r>
              <w:rPr>
                <w:spacing w:val="-1"/>
              </w:rPr>
              <w:t>其他</w:t>
            </w:r>
            <w:r>
              <w:rPr>
                <w:rFonts w:ascii="Times New Roman" w:hAnsi="Times New Roman" w:eastAsia="Times New Roman" w:cs="Times New Roman"/>
                <w:spacing w:val="-1"/>
              </w:rPr>
              <w:t>□</w:t>
            </w:r>
            <w:r>
              <w:rPr>
                <w:rFonts w:ascii="Times New Roman" w:hAnsi="Times New Roman" w:eastAsia="Times New Roman" w:cs="Times New Roman"/>
                <w:spacing w:val="-1"/>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074" w:type="dxa"/>
            <w:vMerge w:val="continue"/>
            <w:tcBorders>
              <w:top w:val="nil"/>
              <w:left w:val="single" w:color="000000" w:sz="10" w:space="0"/>
              <w:bottom w:val="nil"/>
            </w:tcBorders>
            <w:vAlign w:val="top"/>
          </w:tcPr>
          <w:p>
            <w:pPr>
              <w:rPr>
                <w:rFonts w:ascii="Arial"/>
                <w:sz w:val="21"/>
              </w:rPr>
            </w:pPr>
          </w:p>
        </w:tc>
        <w:tc>
          <w:tcPr>
            <w:tcW w:w="1463" w:type="dxa"/>
            <w:vAlign w:val="top"/>
          </w:tcPr>
          <w:p>
            <w:pPr>
              <w:pStyle w:val="6"/>
              <w:spacing w:before="62" w:line="213" w:lineRule="auto"/>
              <w:ind w:left="307"/>
            </w:pPr>
            <w:r>
              <w:rPr>
                <w:spacing w:val="-2"/>
              </w:rPr>
              <w:t>预测范围</w:t>
            </w:r>
          </w:p>
        </w:tc>
        <w:tc>
          <w:tcPr>
            <w:tcW w:w="2192" w:type="dxa"/>
            <w:gridSpan w:val="6"/>
            <w:vAlign w:val="top"/>
          </w:tcPr>
          <w:p>
            <w:pPr>
              <w:spacing w:before="100" w:line="176" w:lineRule="auto"/>
              <w:ind w:left="762"/>
              <w:rPr>
                <w:rFonts w:ascii="Segoe UI Symbol" w:hAnsi="Segoe UI Symbol" w:eastAsia="Segoe UI Symbol" w:cs="Segoe UI Symbol"/>
                <w:sz w:val="21"/>
                <w:szCs w:val="21"/>
              </w:rPr>
            </w:pPr>
            <w:r>
              <w:rPr>
                <w:rFonts w:ascii="Times New Roman" w:hAnsi="Times New Roman" w:eastAsia="Times New Roman" w:cs="Times New Roman"/>
                <w:spacing w:val="-1"/>
                <w:sz w:val="21"/>
                <w:szCs w:val="21"/>
              </w:rPr>
              <w:t>200m</w:t>
            </w:r>
            <w:r>
              <w:rPr>
                <w:rFonts w:ascii="Segoe UI Symbol" w:hAnsi="Segoe UI Symbol" w:eastAsia="Segoe UI Symbol" w:cs="Segoe UI Symbol"/>
                <w:spacing w:val="-1"/>
                <w:sz w:val="21"/>
                <w:szCs w:val="21"/>
              </w:rPr>
              <w:t>☑</w:t>
            </w:r>
          </w:p>
        </w:tc>
        <w:tc>
          <w:tcPr>
            <w:tcW w:w="1442" w:type="dxa"/>
            <w:gridSpan w:val="5"/>
            <w:vAlign w:val="top"/>
          </w:tcPr>
          <w:p>
            <w:pPr>
              <w:pStyle w:val="6"/>
              <w:spacing w:before="62" w:line="213" w:lineRule="auto"/>
              <w:ind w:left="192"/>
              <w:rPr>
                <w:rFonts w:ascii="Times New Roman" w:hAnsi="Times New Roman" w:eastAsia="Times New Roman" w:cs="Times New Roman"/>
              </w:rPr>
            </w:pPr>
            <w:r>
              <w:rPr>
                <w:spacing w:val="-2"/>
              </w:rPr>
              <w:t>大于</w:t>
            </w:r>
            <w:r>
              <w:rPr>
                <w:spacing w:val="-48"/>
              </w:rPr>
              <w:t xml:space="preserve"> </w:t>
            </w:r>
            <w:r>
              <w:rPr>
                <w:rFonts w:ascii="Times New Roman" w:hAnsi="Times New Roman" w:eastAsia="Times New Roman" w:cs="Times New Roman"/>
                <w:spacing w:val="-2"/>
              </w:rPr>
              <w:t>200m□</w:t>
            </w:r>
          </w:p>
        </w:tc>
        <w:tc>
          <w:tcPr>
            <w:tcW w:w="2356" w:type="dxa"/>
            <w:gridSpan w:val="6"/>
            <w:tcBorders>
              <w:right w:val="single" w:color="000000" w:sz="10" w:space="0"/>
            </w:tcBorders>
            <w:vAlign w:val="top"/>
          </w:tcPr>
          <w:p>
            <w:pPr>
              <w:pStyle w:val="6"/>
              <w:spacing w:before="62" w:line="213" w:lineRule="auto"/>
              <w:ind w:left="650"/>
              <w:rPr>
                <w:rFonts w:ascii="Times New Roman" w:hAnsi="Times New Roman" w:eastAsia="Times New Roman" w:cs="Times New Roman"/>
              </w:rPr>
            </w:pPr>
            <w:r>
              <w:rPr>
                <w:spacing w:val="-3"/>
              </w:rPr>
              <w:t>小于</w:t>
            </w:r>
            <w:r>
              <w:rPr>
                <w:spacing w:val="-44"/>
              </w:rPr>
              <w:t xml:space="preserve"> </w:t>
            </w:r>
            <w:r>
              <w:rPr>
                <w:rFonts w:ascii="Times New Roman" w:hAnsi="Times New Roman" w:eastAsia="Times New Roman" w:cs="Times New Roman"/>
                <w:spacing w:val="-3"/>
              </w:rPr>
              <w:t>200m□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074" w:type="dxa"/>
            <w:vMerge w:val="continue"/>
            <w:tcBorders>
              <w:top w:val="nil"/>
              <w:left w:val="single" w:color="000000" w:sz="10" w:space="0"/>
              <w:bottom w:val="nil"/>
            </w:tcBorders>
            <w:vAlign w:val="top"/>
          </w:tcPr>
          <w:p>
            <w:pPr>
              <w:rPr>
                <w:rFonts w:ascii="Arial"/>
                <w:sz w:val="21"/>
              </w:rPr>
            </w:pPr>
          </w:p>
        </w:tc>
        <w:tc>
          <w:tcPr>
            <w:tcW w:w="1463" w:type="dxa"/>
            <w:vAlign w:val="top"/>
          </w:tcPr>
          <w:p>
            <w:pPr>
              <w:pStyle w:val="6"/>
              <w:spacing w:before="63" w:line="212" w:lineRule="auto"/>
              <w:ind w:left="307"/>
            </w:pPr>
            <w:r>
              <w:rPr>
                <w:spacing w:val="-2"/>
              </w:rPr>
              <w:t>预测因子</w:t>
            </w:r>
          </w:p>
        </w:tc>
        <w:tc>
          <w:tcPr>
            <w:tcW w:w="5990" w:type="dxa"/>
            <w:gridSpan w:val="17"/>
            <w:tcBorders>
              <w:right w:val="single" w:color="000000" w:sz="10" w:space="0"/>
            </w:tcBorders>
            <w:vAlign w:val="top"/>
          </w:tcPr>
          <w:p>
            <w:pPr>
              <w:pStyle w:val="6"/>
              <w:spacing w:before="70" w:line="194" w:lineRule="auto"/>
              <w:ind w:left="170"/>
              <w:rPr>
                <w:rFonts w:ascii="Times New Roman" w:hAnsi="Times New Roman" w:eastAsia="Times New Roman" w:cs="Times New Roman"/>
              </w:rPr>
            </w:pPr>
            <w:r>
              <w:rPr>
                <w:spacing w:val="-1"/>
              </w:rPr>
              <w:t>等效连续</w:t>
            </w:r>
            <w:r>
              <w:rPr>
                <w:spacing w:val="-53"/>
              </w:rPr>
              <w:t xml:space="preserve"> </w:t>
            </w:r>
            <w:r>
              <w:rPr>
                <w:rFonts w:ascii="Times New Roman" w:hAnsi="Times New Roman" w:eastAsia="Times New Roman" w:cs="Times New Roman"/>
                <w:spacing w:val="-1"/>
              </w:rPr>
              <w:t xml:space="preserve">A </w:t>
            </w:r>
            <w:r>
              <w:rPr>
                <w:spacing w:val="-1"/>
              </w:rPr>
              <w:t>声级</w:t>
            </w:r>
            <w:r>
              <w:rPr>
                <w:rFonts w:ascii="Segoe UI Symbol" w:hAnsi="Segoe UI Symbol" w:eastAsia="Segoe UI Symbol" w:cs="Segoe UI Symbol"/>
                <w:spacing w:val="-1"/>
              </w:rPr>
              <w:t>☑</w:t>
            </w:r>
            <w:r>
              <w:rPr>
                <w:rFonts w:ascii="Segoe UI Symbol" w:hAnsi="Segoe UI Symbol" w:eastAsia="Segoe UI Symbol" w:cs="Segoe UI Symbol"/>
                <w:spacing w:val="37"/>
                <w:w w:val="101"/>
              </w:rPr>
              <w:t xml:space="preserve"> </w:t>
            </w:r>
            <w:r>
              <w:rPr>
                <w:spacing w:val="-1"/>
              </w:rPr>
              <w:t>最大</w:t>
            </w:r>
            <w:r>
              <w:rPr>
                <w:spacing w:val="-53"/>
              </w:rPr>
              <w:t xml:space="preserve"> </w:t>
            </w:r>
            <w:r>
              <w:rPr>
                <w:rFonts w:ascii="Times New Roman" w:hAnsi="Times New Roman" w:eastAsia="Times New Roman" w:cs="Times New Roman"/>
                <w:spacing w:val="-1"/>
              </w:rPr>
              <w:t>A</w:t>
            </w:r>
            <w:r>
              <w:rPr>
                <w:rFonts w:ascii="Times New Roman" w:hAnsi="Times New Roman" w:eastAsia="Times New Roman" w:cs="Times New Roman"/>
                <w:spacing w:val="13"/>
                <w:w w:val="101"/>
              </w:rPr>
              <w:t xml:space="preserve"> </w:t>
            </w:r>
            <w:r>
              <w:rPr>
                <w:spacing w:val="-1"/>
              </w:rPr>
              <w:t>声级</w:t>
            </w:r>
            <w:r>
              <w:rPr>
                <w:rFonts w:ascii="Times New Roman" w:hAnsi="Times New Roman" w:eastAsia="Times New Roman" w:cs="Times New Roman"/>
                <w:spacing w:val="-1"/>
              </w:rPr>
              <w:t xml:space="preserve">□    </w:t>
            </w:r>
            <w:r>
              <w:rPr>
                <w:spacing w:val="-1"/>
              </w:rPr>
              <w:t>计权等效连续感觉噪声级</w:t>
            </w:r>
            <w:r>
              <w:rPr>
                <w:rFonts w:ascii="Times New Roman" w:hAnsi="Times New Roman" w:eastAsia="Times New Roman" w:cs="Times New Roman"/>
                <w:spacing w:val="-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074" w:type="dxa"/>
            <w:vMerge w:val="continue"/>
            <w:tcBorders>
              <w:top w:val="nil"/>
              <w:left w:val="single" w:color="000000" w:sz="10" w:space="0"/>
              <w:bottom w:val="nil"/>
            </w:tcBorders>
            <w:vAlign w:val="top"/>
          </w:tcPr>
          <w:p>
            <w:pPr>
              <w:rPr>
                <w:rFonts w:ascii="Arial"/>
                <w:sz w:val="21"/>
              </w:rPr>
            </w:pPr>
          </w:p>
        </w:tc>
        <w:tc>
          <w:tcPr>
            <w:tcW w:w="1463" w:type="dxa"/>
            <w:vAlign w:val="top"/>
          </w:tcPr>
          <w:p>
            <w:pPr>
              <w:pStyle w:val="6"/>
              <w:spacing w:before="64" w:line="243" w:lineRule="auto"/>
              <w:ind w:left="518" w:right="206" w:hanging="315"/>
            </w:pPr>
            <w:r>
              <w:rPr>
                <w:spacing w:val="-2"/>
              </w:rPr>
              <w:t>厂界噪声贡</w:t>
            </w:r>
            <w:r>
              <w:rPr>
                <w:spacing w:val="1"/>
              </w:rPr>
              <w:t xml:space="preserve"> </w:t>
            </w:r>
            <w:r>
              <w:rPr>
                <w:spacing w:val="-2"/>
              </w:rPr>
              <w:t>献值</w:t>
            </w:r>
          </w:p>
        </w:tc>
        <w:tc>
          <w:tcPr>
            <w:tcW w:w="2952" w:type="dxa"/>
            <w:gridSpan w:val="10"/>
            <w:vAlign w:val="top"/>
          </w:tcPr>
          <w:p>
            <w:pPr>
              <w:pStyle w:val="6"/>
              <w:spacing w:before="221" w:line="235" w:lineRule="auto"/>
              <w:ind w:left="1204"/>
              <w:rPr>
                <w:rFonts w:ascii="Times New Roman" w:hAnsi="Times New Roman" w:eastAsia="Times New Roman" w:cs="Times New Roman"/>
              </w:rPr>
            </w:pPr>
            <w:r>
              <w:rPr>
                <w:spacing w:val="-2"/>
              </w:rPr>
              <w:t>达标</w:t>
            </w:r>
            <w:r>
              <w:rPr>
                <w:rFonts w:ascii="Times New Roman" w:hAnsi="Times New Roman" w:eastAsia="Times New Roman" w:cs="Times New Roman"/>
                <w:spacing w:val="-2"/>
              </w:rPr>
              <w:t>□</w:t>
            </w:r>
          </w:p>
        </w:tc>
        <w:tc>
          <w:tcPr>
            <w:tcW w:w="3038" w:type="dxa"/>
            <w:gridSpan w:val="7"/>
            <w:tcBorders>
              <w:right w:val="single" w:color="000000" w:sz="10" w:space="0"/>
            </w:tcBorders>
            <w:vAlign w:val="top"/>
          </w:tcPr>
          <w:p>
            <w:pPr>
              <w:pStyle w:val="6"/>
              <w:spacing w:before="221" w:line="235" w:lineRule="auto"/>
              <w:ind w:left="1149"/>
              <w:rPr>
                <w:rFonts w:ascii="Times New Roman" w:hAnsi="Times New Roman" w:eastAsia="Times New Roman" w:cs="Times New Roman"/>
              </w:rPr>
            </w:pPr>
            <w:r>
              <w:rPr>
                <w:spacing w:val="-3"/>
              </w:rPr>
              <w:t>不达标</w:t>
            </w:r>
            <w:r>
              <w:rPr>
                <w:rFonts w:ascii="Times New Roman" w:hAnsi="Times New Roman" w:eastAsia="Times New Roman" w:cs="Times New Roman"/>
                <w:spacing w:val="-3"/>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1074" w:type="dxa"/>
            <w:vMerge w:val="continue"/>
            <w:tcBorders>
              <w:top w:val="nil"/>
              <w:left w:val="single" w:color="000000" w:sz="10" w:space="0"/>
            </w:tcBorders>
            <w:vAlign w:val="top"/>
          </w:tcPr>
          <w:p>
            <w:pPr>
              <w:rPr>
                <w:rFonts w:ascii="Arial"/>
                <w:sz w:val="21"/>
              </w:rPr>
            </w:pPr>
          </w:p>
        </w:tc>
        <w:tc>
          <w:tcPr>
            <w:tcW w:w="1463" w:type="dxa"/>
            <w:vAlign w:val="top"/>
          </w:tcPr>
          <w:p>
            <w:pPr>
              <w:pStyle w:val="6"/>
              <w:spacing w:before="69" w:line="221" w:lineRule="auto"/>
              <w:ind w:left="204"/>
            </w:pPr>
            <w:r>
              <w:rPr>
                <w:spacing w:val="-2"/>
              </w:rPr>
              <w:t>声环境保护</w:t>
            </w:r>
          </w:p>
          <w:p>
            <w:pPr>
              <w:pStyle w:val="6"/>
              <w:spacing w:before="60" w:line="221" w:lineRule="auto"/>
              <w:ind w:left="240"/>
            </w:pPr>
            <w:r>
              <w:rPr>
                <w:spacing w:val="-9"/>
              </w:rPr>
              <w:t>目标处噪声</w:t>
            </w:r>
          </w:p>
          <w:p>
            <w:pPr>
              <w:pStyle w:val="6"/>
              <w:spacing w:before="60" w:line="209" w:lineRule="auto"/>
              <w:ind w:left="620"/>
            </w:pPr>
            <w:r>
              <w:t>值</w:t>
            </w:r>
          </w:p>
        </w:tc>
        <w:tc>
          <w:tcPr>
            <w:tcW w:w="2952" w:type="dxa"/>
            <w:gridSpan w:val="10"/>
            <w:vAlign w:val="top"/>
          </w:tcPr>
          <w:p>
            <w:pPr>
              <w:spacing w:line="316" w:lineRule="auto"/>
              <w:rPr>
                <w:rFonts w:ascii="Arial"/>
                <w:sz w:val="21"/>
              </w:rPr>
            </w:pPr>
          </w:p>
          <w:p>
            <w:pPr>
              <w:pStyle w:val="6"/>
              <w:spacing w:before="70" w:line="221" w:lineRule="auto"/>
              <w:ind w:left="547"/>
            </w:pPr>
            <w:r>
              <w:rPr>
                <w:spacing w:val="-1"/>
              </w:rPr>
              <w:t>达标</w:t>
            </w:r>
            <w:r>
              <w:rPr>
                <w:rFonts w:ascii="Segoe UI Symbol" w:hAnsi="Segoe UI Symbol" w:eastAsia="Segoe UI Symbol" w:cs="Segoe UI Symbol"/>
                <w:spacing w:val="-1"/>
              </w:rPr>
              <w:t>☑</w:t>
            </w:r>
            <w:r>
              <w:rPr>
                <w:spacing w:val="-1"/>
              </w:rPr>
              <w:t>（室内达标）</w:t>
            </w:r>
          </w:p>
        </w:tc>
        <w:tc>
          <w:tcPr>
            <w:tcW w:w="3038" w:type="dxa"/>
            <w:gridSpan w:val="7"/>
            <w:tcBorders>
              <w:right w:val="single" w:color="000000" w:sz="10" w:space="0"/>
            </w:tcBorders>
            <w:vAlign w:val="top"/>
          </w:tcPr>
          <w:p>
            <w:pPr>
              <w:spacing w:line="311" w:lineRule="auto"/>
              <w:rPr>
                <w:rFonts w:ascii="Arial"/>
                <w:sz w:val="21"/>
              </w:rPr>
            </w:pPr>
          </w:p>
          <w:p>
            <w:pPr>
              <w:pStyle w:val="6"/>
              <w:spacing w:before="68" w:line="235" w:lineRule="auto"/>
              <w:ind w:left="1149"/>
              <w:rPr>
                <w:rFonts w:ascii="Times New Roman" w:hAnsi="Times New Roman" w:eastAsia="Times New Roman" w:cs="Times New Roman"/>
              </w:rPr>
            </w:pPr>
            <w:r>
              <w:rPr>
                <w:spacing w:val="-3"/>
              </w:rPr>
              <w:t>不达标</w:t>
            </w:r>
            <w:r>
              <w:rPr>
                <w:rFonts w:ascii="Times New Roman" w:hAnsi="Times New Roman" w:eastAsia="Times New Roman" w:cs="Times New Roman"/>
                <w:spacing w:val="-3"/>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074" w:type="dxa"/>
            <w:vMerge w:val="restart"/>
            <w:tcBorders>
              <w:left w:val="single" w:color="000000" w:sz="10" w:space="0"/>
              <w:bottom w:val="nil"/>
            </w:tcBorders>
            <w:vAlign w:val="top"/>
          </w:tcPr>
          <w:p>
            <w:pPr>
              <w:spacing w:line="473" w:lineRule="auto"/>
              <w:rPr>
                <w:rFonts w:ascii="Arial"/>
                <w:sz w:val="21"/>
              </w:rPr>
            </w:pPr>
          </w:p>
          <w:p>
            <w:pPr>
              <w:pStyle w:val="6"/>
              <w:spacing w:before="68" w:line="248" w:lineRule="auto"/>
              <w:ind w:left="319" w:right="114" w:hanging="211"/>
            </w:pPr>
            <w:r>
              <w:rPr>
                <w:spacing w:val="-2"/>
              </w:rPr>
              <w:t>环境监测</w:t>
            </w:r>
            <w:r>
              <w:rPr>
                <w:spacing w:val="1"/>
              </w:rPr>
              <w:t xml:space="preserve"> </w:t>
            </w:r>
            <w:r>
              <w:rPr>
                <w:spacing w:val="-2"/>
              </w:rPr>
              <w:t>计划</w:t>
            </w:r>
          </w:p>
        </w:tc>
        <w:tc>
          <w:tcPr>
            <w:tcW w:w="1463" w:type="dxa"/>
            <w:vAlign w:val="top"/>
          </w:tcPr>
          <w:p>
            <w:pPr>
              <w:pStyle w:val="6"/>
              <w:spacing w:before="224" w:line="222" w:lineRule="auto"/>
              <w:ind w:left="306"/>
            </w:pPr>
            <w:r>
              <w:rPr>
                <w:spacing w:val="-2"/>
              </w:rPr>
              <w:t>排放监测</w:t>
            </w:r>
          </w:p>
        </w:tc>
        <w:tc>
          <w:tcPr>
            <w:tcW w:w="1079" w:type="dxa"/>
            <w:gridSpan w:val="2"/>
            <w:vAlign w:val="top"/>
          </w:tcPr>
          <w:p>
            <w:pPr>
              <w:pStyle w:val="6"/>
              <w:spacing w:before="68" w:line="256" w:lineRule="auto"/>
              <w:ind w:left="482" w:right="114" w:hanging="359"/>
              <w:rPr>
                <w:rFonts w:ascii="Times New Roman" w:hAnsi="Times New Roman" w:eastAsia="Times New Roman" w:cs="Times New Roman"/>
              </w:rPr>
            </w:pPr>
            <w:r>
              <w:rPr>
                <w:spacing w:val="-3"/>
              </w:rPr>
              <w:t>厂界监测</w:t>
            </w:r>
            <w:r>
              <w:rPr>
                <w:spacing w:val="2"/>
              </w:rPr>
              <w:t xml:space="preserve"> </w:t>
            </w:r>
            <w:r>
              <w:rPr>
                <w:rFonts w:ascii="Times New Roman" w:hAnsi="Times New Roman" w:eastAsia="Times New Roman" w:cs="Times New Roman"/>
              </w:rPr>
              <w:t>□</w:t>
            </w:r>
          </w:p>
        </w:tc>
        <w:tc>
          <w:tcPr>
            <w:tcW w:w="1474" w:type="dxa"/>
            <w:gridSpan w:val="5"/>
            <w:vAlign w:val="top"/>
          </w:tcPr>
          <w:p>
            <w:pPr>
              <w:pStyle w:val="6"/>
              <w:spacing w:before="69" w:line="238" w:lineRule="auto"/>
              <w:ind w:left="658" w:right="100" w:hanging="531"/>
              <w:rPr>
                <w:rFonts w:ascii="Segoe UI Symbol" w:hAnsi="Segoe UI Symbol" w:eastAsia="Segoe UI Symbol" w:cs="Segoe UI Symbol"/>
              </w:rPr>
            </w:pPr>
            <w:r>
              <w:rPr>
                <w:spacing w:val="-4"/>
              </w:rPr>
              <w:t>固定位置监测</w:t>
            </w:r>
            <w:r>
              <w:t xml:space="preserve"> </w:t>
            </w:r>
            <w:r>
              <w:rPr>
                <w:rFonts w:ascii="Segoe UI Symbol" w:hAnsi="Segoe UI Symbol" w:eastAsia="Segoe UI Symbol" w:cs="Segoe UI Symbol"/>
              </w:rPr>
              <w:t>☑</w:t>
            </w:r>
          </w:p>
        </w:tc>
        <w:tc>
          <w:tcPr>
            <w:tcW w:w="1177" w:type="dxa"/>
            <w:gridSpan w:val="5"/>
            <w:vAlign w:val="top"/>
          </w:tcPr>
          <w:p>
            <w:pPr>
              <w:pStyle w:val="6"/>
              <w:spacing w:before="68" w:line="256" w:lineRule="auto"/>
              <w:ind w:left="538" w:right="155" w:hanging="327"/>
              <w:rPr>
                <w:rFonts w:ascii="Times New Roman" w:hAnsi="Times New Roman" w:eastAsia="Times New Roman" w:cs="Times New Roman"/>
              </w:rPr>
            </w:pPr>
            <w:r>
              <w:rPr>
                <w:spacing w:val="-11"/>
              </w:rPr>
              <w:t>自动监测</w:t>
            </w:r>
            <w:r>
              <w:rPr>
                <w:spacing w:val="2"/>
              </w:rPr>
              <w:t xml:space="preserve"> </w:t>
            </w:r>
            <w:r>
              <w:rPr>
                <w:rFonts w:ascii="Times New Roman" w:hAnsi="Times New Roman" w:eastAsia="Times New Roman" w:cs="Times New Roman"/>
              </w:rPr>
              <w:t>□</w:t>
            </w:r>
          </w:p>
        </w:tc>
        <w:tc>
          <w:tcPr>
            <w:tcW w:w="1209" w:type="dxa"/>
            <w:gridSpan w:val="4"/>
            <w:vAlign w:val="top"/>
          </w:tcPr>
          <w:p>
            <w:pPr>
              <w:pStyle w:val="6"/>
              <w:spacing w:before="69" w:line="238" w:lineRule="auto"/>
              <w:ind w:left="535" w:right="167" w:hanging="338"/>
              <w:rPr>
                <w:rFonts w:ascii="Segoe UI Symbol" w:hAnsi="Segoe UI Symbol" w:eastAsia="Segoe UI Symbol" w:cs="Segoe UI Symbol"/>
              </w:rPr>
            </w:pPr>
            <w:r>
              <w:rPr>
                <w:spacing w:val="-2"/>
              </w:rPr>
              <w:t>手动监测</w:t>
            </w:r>
            <w:r>
              <w:rPr>
                <w:spacing w:val="1"/>
              </w:rPr>
              <w:t xml:space="preserve"> </w:t>
            </w:r>
            <w:r>
              <w:rPr>
                <w:rFonts w:ascii="Segoe UI Symbol" w:hAnsi="Segoe UI Symbol" w:eastAsia="Segoe UI Symbol" w:cs="Segoe UI Symbol"/>
              </w:rPr>
              <w:t>☑</w:t>
            </w:r>
          </w:p>
        </w:tc>
        <w:tc>
          <w:tcPr>
            <w:tcW w:w="1051" w:type="dxa"/>
            <w:tcBorders>
              <w:right w:val="single" w:color="000000" w:sz="10" w:space="0"/>
            </w:tcBorders>
            <w:vAlign w:val="top"/>
          </w:tcPr>
          <w:p>
            <w:pPr>
              <w:pStyle w:val="6"/>
              <w:spacing w:before="225" w:line="235" w:lineRule="auto"/>
              <w:ind w:left="157"/>
              <w:rPr>
                <w:rFonts w:ascii="Times New Roman" w:hAnsi="Times New Roman" w:eastAsia="Times New Roman" w:cs="Times New Roman"/>
              </w:rPr>
            </w:pPr>
            <w:r>
              <w:rPr>
                <w:spacing w:val="-2"/>
              </w:rPr>
              <w:t>无监测</w:t>
            </w:r>
            <w:r>
              <w:rPr>
                <w:rFonts w:ascii="Times New Roman" w:hAnsi="Times New Roman" w:eastAsia="Times New Roman" w:cs="Times New Roman"/>
                <w:spacing w:val="-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074" w:type="dxa"/>
            <w:vMerge w:val="continue"/>
            <w:tcBorders>
              <w:top w:val="nil"/>
              <w:left w:val="single" w:color="000000" w:sz="10" w:space="0"/>
            </w:tcBorders>
            <w:vAlign w:val="top"/>
          </w:tcPr>
          <w:p>
            <w:pPr>
              <w:rPr>
                <w:rFonts w:ascii="Arial"/>
                <w:sz w:val="21"/>
              </w:rPr>
            </w:pPr>
          </w:p>
        </w:tc>
        <w:tc>
          <w:tcPr>
            <w:tcW w:w="1463" w:type="dxa"/>
            <w:vAlign w:val="top"/>
          </w:tcPr>
          <w:p>
            <w:pPr>
              <w:pStyle w:val="6"/>
              <w:spacing w:before="70" w:line="221" w:lineRule="auto"/>
              <w:ind w:left="204"/>
            </w:pPr>
            <w:r>
              <w:rPr>
                <w:spacing w:val="-2"/>
              </w:rPr>
              <w:t>声环境保护</w:t>
            </w:r>
          </w:p>
          <w:p>
            <w:pPr>
              <w:pStyle w:val="6"/>
              <w:spacing w:before="60" w:line="221" w:lineRule="auto"/>
              <w:ind w:left="240"/>
            </w:pPr>
            <w:r>
              <w:rPr>
                <w:spacing w:val="-9"/>
              </w:rPr>
              <w:t>目标处噪声</w:t>
            </w:r>
          </w:p>
          <w:p>
            <w:pPr>
              <w:pStyle w:val="6"/>
              <w:spacing w:before="59" w:line="206" w:lineRule="auto"/>
              <w:ind w:left="518"/>
            </w:pPr>
            <w:r>
              <w:rPr>
                <w:spacing w:val="-2"/>
              </w:rPr>
              <w:t>监测</w:t>
            </w:r>
          </w:p>
        </w:tc>
        <w:tc>
          <w:tcPr>
            <w:tcW w:w="1807" w:type="dxa"/>
            <w:gridSpan w:val="4"/>
            <w:vAlign w:val="top"/>
          </w:tcPr>
          <w:p>
            <w:pPr>
              <w:pStyle w:val="6"/>
              <w:spacing w:before="226" w:line="244" w:lineRule="auto"/>
              <w:ind w:left="275" w:right="280" w:firstLine="102"/>
            </w:pPr>
            <w:r>
              <w:rPr>
                <w:spacing w:val="-11"/>
              </w:rPr>
              <w:t>监测因子：</w:t>
            </w:r>
            <w:r>
              <w:t xml:space="preserve">  </w:t>
            </w:r>
            <w:r>
              <w:rPr>
                <w:spacing w:val="-3"/>
              </w:rPr>
              <w:t xml:space="preserve">（  </w:t>
            </w:r>
            <w:r>
              <w:rPr>
                <w:rFonts w:ascii="Times New Roman" w:hAnsi="Times New Roman" w:eastAsia="Times New Roman" w:cs="Times New Roman"/>
                <w:spacing w:val="-3"/>
              </w:rPr>
              <w:t>L</w:t>
            </w:r>
            <w:r>
              <w:rPr>
                <w:rFonts w:ascii="Times New Roman" w:hAnsi="Times New Roman" w:eastAsia="Times New Roman" w:cs="Times New Roman"/>
                <w:spacing w:val="-3"/>
                <w:position w:val="-1"/>
                <w:sz w:val="13"/>
                <w:szCs w:val="13"/>
              </w:rPr>
              <w:t>A</w:t>
            </w:r>
            <w:r>
              <w:rPr>
                <w:rFonts w:ascii="Times New Roman" w:hAnsi="Times New Roman" w:eastAsia="Times New Roman" w:cs="Times New Roman"/>
                <w:spacing w:val="-3"/>
              </w:rPr>
              <w:t>eq</w:t>
            </w:r>
            <w:r>
              <w:rPr>
                <w:rFonts w:ascii="Times New Roman" w:hAnsi="Times New Roman" w:eastAsia="Times New Roman" w:cs="Times New Roman"/>
                <w:spacing w:val="18"/>
                <w:w w:val="101"/>
              </w:rPr>
              <w:t xml:space="preserve">   </w:t>
            </w:r>
            <w:r>
              <w:rPr>
                <w:spacing w:val="-3"/>
              </w:rPr>
              <w:t>）</w:t>
            </w:r>
          </w:p>
        </w:tc>
        <w:tc>
          <w:tcPr>
            <w:tcW w:w="2257" w:type="dxa"/>
            <w:gridSpan w:val="9"/>
            <w:vAlign w:val="top"/>
          </w:tcPr>
          <w:p>
            <w:pPr>
              <w:spacing w:line="311" w:lineRule="auto"/>
              <w:rPr>
                <w:rFonts w:ascii="Arial"/>
                <w:sz w:val="21"/>
              </w:rPr>
            </w:pPr>
          </w:p>
          <w:p>
            <w:pPr>
              <w:pStyle w:val="6"/>
              <w:spacing w:before="68" w:line="221" w:lineRule="auto"/>
              <w:ind w:left="112"/>
            </w:pPr>
            <w:r>
              <w:rPr>
                <w:spacing w:val="-4"/>
              </w:rPr>
              <w:t>监测点位数</w:t>
            </w:r>
            <w:r>
              <w:rPr>
                <w:spacing w:val="-46"/>
                <w:w w:val="82"/>
              </w:rPr>
              <w:t>：（</w:t>
            </w:r>
            <w:r>
              <w:rPr>
                <w:spacing w:val="57"/>
              </w:rPr>
              <w:t xml:space="preserve"> </w:t>
            </w:r>
            <w:r>
              <w:rPr>
                <w:rFonts w:ascii="Times New Roman" w:hAnsi="Times New Roman" w:eastAsia="Times New Roman" w:cs="Times New Roman"/>
                <w:spacing w:val="-4"/>
              </w:rPr>
              <w:t xml:space="preserve">17 </w:t>
            </w:r>
            <w:r>
              <w:rPr>
                <w:spacing w:val="-4"/>
              </w:rPr>
              <w:t>个）</w:t>
            </w:r>
          </w:p>
        </w:tc>
        <w:tc>
          <w:tcPr>
            <w:tcW w:w="1926" w:type="dxa"/>
            <w:gridSpan w:val="4"/>
            <w:tcBorders>
              <w:right w:val="single" w:color="000000" w:sz="10" w:space="0"/>
            </w:tcBorders>
            <w:vAlign w:val="top"/>
          </w:tcPr>
          <w:p>
            <w:pPr>
              <w:spacing w:line="312" w:lineRule="auto"/>
              <w:rPr>
                <w:rFonts w:ascii="Arial"/>
                <w:sz w:val="21"/>
              </w:rPr>
            </w:pPr>
          </w:p>
          <w:p>
            <w:pPr>
              <w:pStyle w:val="6"/>
              <w:spacing w:before="68" w:line="235" w:lineRule="auto"/>
              <w:ind w:left="573"/>
              <w:rPr>
                <w:rFonts w:ascii="Times New Roman" w:hAnsi="Times New Roman" w:eastAsia="Times New Roman" w:cs="Times New Roman"/>
              </w:rPr>
            </w:pPr>
            <w:r>
              <w:rPr>
                <w:spacing w:val="-2"/>
              </w:rPr>
              <w:t>无监测</w:t>
            </w:r>
            <w:r>
              <w:rPr>
                <w:rFonts w:ascii="Times New Roman" w:hAnsi="Times New Roman" w:eastAsia="Times New Roman" w:cs="Times New Roman"/>
                <w:spacing w:val="-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074" w:type="dxa"/>
            <w:tcBorders>
              <w:left w:val="single" w:color="000000" w:sz="10" w:space="0"/>
            </w:tcBorders>
            <w:vAlign w:val="top"/>
          </w:tcPr>
          <w:p>
            <w:pPr>
              <w:pStyle w:val="6"/>
              <w:spacing w:before="72" w:line="205" w:lineRule="auto"/>
              <w:ind w:left="107"/>
            </w:pPr>
            <w:r>
              <w:rPr>
                <w:spacing w:val="-1"/>
              </w:rPr>
              <w:t>评价结论</w:t>
            </w:r>
          </w:p>
        </w:tc>
        <w:tc>
          <w:tcPr>
            <w:tcW w:w="1463" w:type="dxa"/>
            <w:vAlign w:val="top"/>
          </w:tcPr>
          <w:p>
            <w:pPr>
              <w:pStyle w:val="6"/>
              <w:spacing w:before="72" w:line="205" w:lineRule="auto"/>
              <w:ind w:left="306"/>
            </w:pPr>
            <w:r>
              <w:rPr>
                <w:spacing w:val="-2"/>
              </w:rPr>
              <w:t>环境影响</w:t>
            </w:r>
          </w:p>
        </w:tc>
        <w:tc>
          <w:tcPr>
            <w:tcW w:w="2756" w:type="dxa"/>
            <w:gridSpan w:val="8"/>
            <w:vAlign w:val="top"/>
          </w:tcPr>
          <w:p>
            <w:pPr>
              <w:pStyle w:val="6"/>
              <w:spacing w:before="80" w:line="187" w:lineRule="auto"/>
              <w:ind w:left="1082"/>
              <w:rPr>
                <w:rFonts w:ascii="Segoe UI Symbol" w:hAnsi="Segoe UI Symbol" w:eastAsia="Segoe UI Symbol" w:cs="Segoe UI Symbol"/>
              </w:rPr>
            </w:pPr>
            <w:r>
              <w:rPr>
                <w:spacing w:val="-3"/>
              </w:rPr>
              <w:t>可行</w:t>
            </w:r>
            <w:r>
              <w:rPr>
                <w:rFonts w:ascii="Segoe UI Symbol" w:hAnsi="Segoe UI Symbol" w:eastAsia="Segoe UI Symbol" w:cs="Segoe UI Symbol"/>
                <w:spacing w:val="-3"/>
              </w:rPr>
              <w:t>☑</w:t>
            </w:r>
          </w:p>
        </w:tc>
        <w:tc>
          <w:tcPr>
            <w:tcW w:w="3234" w:type="dxa"/>
            <w:gridSpan w:val="9"/>
            <w:tcBorders>
              <w:right w:val="single" w:color="000000" w:sz="10" w:space="0"/>
            </w:tcBorders>
            <w:vAlign w:val="top"/>
          </w:tcPr>
          <w:p>
            <w:pPr>
              <w:pStyle w:val="6"/>
              <w:spacing w:before="72" w:line="205" w:lineRule="auto"/>
              <w:ind w:left="1246"/>
              <w:rPr>
                <w:rFonts w:ascii="Times New Roman" w:hAnsi="Times New Roman" w:eastAsia="Times New Roman" w:cs="Times New Roman"/>
              </w:rPr>
            </w:pPr>
            <w:r>
              <w:rPr>
                <w:spacing w:val="-3"/>
              </w:rPr>
              <w:t>不可行</w:t>
            </w:r>
            <w:r>
              <w:rPr>
                <w:rFonts w:ascii="Times New Roman" w:hAnsi="Times New Roman" w:eastAsia="Times New Roman" w:cs="Times New Roman"/>
                <w:spacing w:val="-3"/>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27" w:type="dxa"/>
            <w:gridSpan w:val="19"/>
            <w:tcBorders>
              <w:left w:val="single" w:color="000000" w:sz="10" w:space="0"/>
              <w:bottom w:val="single" w:color="000000" w:sz="10" w:space="0"/>
              <w:right w:val="single" w:color="000000" w:sz="10" w:space="0"/>
            </w:tcBorders>
            <w:vAlign w:val="top"/>
          </w:tcPr>
          <w:p>
            <w:pPr>
              <w:pStyle w:val="6"/>
              <w:spacing w:before="58" w:line="226" w:lineRule="auto"/>
              <w:ind w:left="105"/>
            </w:pPr>
            <w:r>
              <w:rPr>
                <w:spacing w:val="-12"/>
              </w:rPr>
              <w:t xml:space="preserve">注： </w:t>
            </w:r>
            <w:r>
              <w:rPr>
                <w:rFonts w:ascii="Times New Roman" w:hAnsi="Times New Roman" w:eastAsia="Times New Roman" w:cs="Times New Roman"/>
                <w:spacing w:val="-12"/>
              </w:rPr>
              <w:t>ℼ□”</w:t>
            </w:r>
            <w:r>
              <w:rPr>
                <w:spacing w:val="-12"/>
              </w:rPr>
              <w:t>为勾选项，可</w:t>
            </w:r>
            <w:r>
              <w:rPr>
                <w:rFonts w:ascii="Times New Roman" w:hAnsi="Times New Roman" w:eastAsia="Times New Roman" w:cs="Times New Roman"/>
                <w:spacing w:val="-12"/>
              </w:rPr>
              <w:t>√</w:t>
            </w:r>
            <w:r>
              <w:rPr>
                <w:rFonts w:ascii="Times New Roman" w:hAnsi="Times New Roman" w:eastAsia="Times New Roman" w:cs="Times New Roman"/>
                <w:spacing w:val="-29"/>
              </w:rPr>
              <w:t xml:space="preserve"> </w:t>
            </w:r>
            <w:r>
              <w:rPr>
                <w:spacing w:val="-12"/>
              </w:rPr>
              <w:t>;</w:t>
            </w:r>
            <w:r>
              <w:rPr>
                <w:spacing w:val="27"/>
              </w:rPr>
              <w:t xml:space="preserve">  </w:t>
            </w:r>
            <w:r>
              <w:rPr>
                <w:rFonts w:ascii="Times New Roman" w:hAnsi="Times New Roman" w:eastAsia="Times New Roman" w:cs="Times New Roman"/>
                <w:spacing w:val="-12"/>
              </w:rPr>
              <w:t xml:space="preserve">ℼ  </w:t>
            </w:r>
            <w:r>
              <w:rPr>
                <w:spacing w:val="-12"/>
              </w:rPr>
              <w:t>(</w:t>
            </w:r>
            <w:r>
              <w:rPr>
                <w:spacing w:val="30"/>
              </w:rPr>
              <w:t xml:space="preserve">  </w:t>
            </w:r>
            <w:r>
              <w:rPr>
                <w:spacing w:val="-12"/>
              </w:rPr>
              <w:t>)</w:t>
            </w:r>
            <w:r>
              <w:rPr>
                <w:spacing w:val="23"/>
              </w:rPr>
              <w:t xml:space="preserve"> </w:t>
            </w:r>
            <w:r>
              <w:rPr>
                <w:rFonts w:ascii="Times New Roman" w:hAnsi="Times New Roman" w:eastAsia="Times New Roman" w:cs="Times New Roman"/>
                <w:spacing w:val="-12"/>
              </w:rPr>
              <w:t>ℽ</w:t>
            </w:r>
            <w:r>
              <w:rPr>
                <w:spacing w:val="-12"/>
              </w:rPr>
              <w:t>为</w:t>
            </w:r>
            <w:r>
              <w:rPr>
                <w:spacing w:val="-13"/>
              </w:rPr>
              <w:t>内容填写项。</w:t>
            </w:r>
          </w:p>
        </w:tc>
      </w:tr>
    </w:tbl>
    <w:p>
      <w:pPr>
        <w:pStyle w:val="2"/>
      </w:pPr>
    </w:p>
    <w:p>
      <w:pPr>
        <w:sectPr>
          <w:headerReference r:id="rId398" w:type="default"/>
          <w:footerReference r:id="rId399" w:type="default"/>
          <w:pgSz w:w="11907" w:h="16839"/>
          <w:pgMar w:top="1118" w:right="1675" w:bottom="1177" w:left="1678" w:header="879" w:footer="1013" w:gutter="0"/>
          <w:cols w:space="720" w:num="1"/>
        </w:sectPr>
      </w:pPr>
    </w:p>
    <w:p>
      <w:pPr>
        <w:pStyle w:val="2"/>
        <w:spacing w:line="278" w:lineRule="auto"/>
      </w:pPr>
    </w:p>
    <w:p>
      <w:pPr>
        <w:spacing w:before="78" w:line="218" w:lineRule="auto"/>
        <w:ind w:left="2802"/>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生态影响评价自查表</w:t>
      </w:r>
    </w:p>
    <w:p>
      <w:pPr>
        <w:spacing w:line="148" w:lineRule="exact"/>
      </w:pPr>
    </w:p>
    <w:tbl>
      <w:tblPr>
        <w:tblStyle w:val="5"/>
        <w:tblW w:w="8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9"/>
        <w:gridCol w:w="1483"/>
        <w:gridCol w:w="61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622" w:type="dxa"/>
            <w:gridSpan w:val="2"/>
            <w:vAlign w:val="top"/>
          </w:tcPr>
          <w:p>
            <w:pPr>
              <w:pStyle w:val="6"/>
              <w:spacing w:before="127" w:line="221" w:lineRule="auto"/>
              <w:ind w:left="118"/>
            </w:pPr>
            <w:r>
              <w:rPr>
                <w:spacing w:val="-2"/>
              </w:rPr>
              <w:t>工作内容</w:t>
            </w:r>
          </w:p>
        </w:tc>
        <w:tc>
          <w:tcPr>
            <w:tcW w:w="6103" w:type="dxa"/>
            <w:vAlign w:val="top"/>
          </w:tcPr>
          <w:p>
            <w:pPr>
              <w:pStyle w:val="6"/>
              <w:spacing w:before="128" w:line="221" w:lineRule="auto"/>
              <w:ind w:left="253"/>
            </w:pPr>
            <w:r>
              <w:rPr>
                <w:spacing w:val="-11"/>
              </w:rPr>
              <w:t>自查项目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139"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9" w:line="269" w:lineRule="auto"/>
              <w:ind w:left="367" w:right="145" w:hanging="211"/>
            </w:pPr>
            <w:r>
              <w:rPr>
                <w:spacing w:val="-2"/>
              </w:rPr>
              <w:t>生态影响</w:t>
            </w:r>
            <w:r>
              <w:t xml:space="preserve"> </w:t>
            </w:r>
            <w:r>
              <w:rPr>
                <w:spacing w:val="-2"/>
              </w:rPr>
              <w:t>识别</w:t>
            </w:r>
          </w:p>
        </w:tc>
        <w:tc>
          <w:tcPr>
            <w:tcW w:w="1483" w:type="dxa"/>
            <w:vAlign w:val="top"/>
          </w:tcPr>
          <w:p>
            <w:pPr>
              <w:spacing w:line="438" w:lineRule="auto"/>
              <w:rPr>
                <w:rFonts w:ascii="Arial"/>
                <w:sz w:val="21"/>
              </w:rPr>
            </w:pPr>
          </w:p>
          <w:p>
            <w:pPr>
              <w:pStyle w:val="6"/>
              <w:spacing w:before="69" w:line="221" w:lineRule="auto"/>
              <w:ind w:left="116"/>
            </w:pPr>
            <w:r>
              <w:rPr>
                <w:spacing w:val="-2"/>
              </w:rPr>
              <w:t>生态保护目标</w:t>
            </w:r>
          </w:p>
        </w:tc>
        <w:tc>
          <w:tcPr>
            <w:tcW w:w="6103" w:type="dxa"/>
            <w:vAlign w:val="top"/>
          </w:tcPr>
          <w:p>
            <w:pPr>
              <w:pStyle w:val="6"/>
              <w:spacing w:before="150" w:line="271" w:lineRule="auto"/>
              <w:ind w:left="112" w:right="113"/>
              <w:jc w:val="both"/>
              <w:rPr>
                <w:rFonts w:ascii="Segoe UI Symbol" w:hAnsi="Segoe UI Symbol" w:eastAsia="Segoe UI Symbol" w:cs="Segoe UI Symbol"/>
                <w:sz w:val="24"/>
                <w:szCs w:val="24"/>
              </w:rPr>
            </w:pPr>
            <w:r>
              <w:rPr>
                <w:spacing w:val="-11"/>
              </w:rPr>
              <w:t>重要物种</w:t>
            </w:r>
            <w:r>
              <w:rPr>
                <w:rFonts w:ascii="Times New Roman" w:hAnsi="Times New Roman" w:eastAsia="Times New Roman" w:cs="Times New Roman"/>
                <w:spacing w:val="-11"/>
              </w:rPr>
              <w:t>□</w:t>
            </w:r>
            <w:r>
              <w:rPr>
                <w:spacing w:val="-11"/>
              </w:rPr>
              <w:t>;</w:t>
            </w:r>
            <w:r>
              <w:rPr>
                <w:spacing w:val="55"/>
              </w:rPr>
              <w:t xml:space="preserve"> </w:t>
            </w:r>
            <w:r>
              <w:rPr>
                <w:spacing w:val="-11"/>
              </w:rPr>
              <w:t>国家公园</w:t>
            </w:r>
            <w:r>
              <w:rPr>
                <w:rFonts w:ascii="Times New Roman" w:hAnsi="Times New Roman" w:eastAsia="Times New Roman" w:cs="Times New Roman"/>
                <w:spacing w:val="-11"/>
              </w:rPr>
              <w:t>□</w:t>
            </w:r>
            <w:r>
              <w:rPr>
                <w:spacing w:val="-11"/>
              </w:rPr>
              <w:t>;</w:t>
            </w:r>
            <w:r>
              <w:rPr>
                <w:spacing w:val="69"/>
              </w:rPr>
              <w:t xml:space="preserve"> </w:t>
            </w:r>
            <w:r>
              <w:rPr>
                <w:spacing w:val="-11"/>
              </w:rPr>
              <w:t>自然保护区</w:t>
            </w:r>
            <w:r>
              <w:rPr>
                <w:rFonts w:ascii="Times New Roman" w:hAnsi="Times New Roman" w:eastAsia="Times New Roman" w:cs="Times New Roman"/>
                <w:spacing w:val="-11"/>
              </w:rPr>
              <w:t>□</w:t>
            </w:r>
            <w:r>
              <w:rPr>
                <w:spacing w:val="-11"/>
              </w:rPr>
              <w:t>;</w:t>
            </w:r>
            <w:r>
              <w:rPr>
                <w:spacing w:val="72"/>
              </w:rPr>
              <w:t xml:space="preserve"> </w:t>
            </w:r>
            <w:r>
              <w:rPr>
                <w:spacing w:val="-11"/>
              </w:rPr>
              <w:t>自然公园</w:t>
            </w:r>
            <w:r>
              <w:rPr>
                <w:rFonts w:ascii="Times New Roman" w:hAnsi="Times New Roman" w:eastAsia="Times New Roman" w:cs="Times New Roman"/>
                <w:spacing w:val="-11"/>
              </w:rPr>
              <w:t>□</w:t>
            </w:r>
            <w:r>
              <w:rPr>
                <w:spacing w:val="-11"/>
              </w:rPr>
              <w:t>;</w:t>
            </w:r>
            <w:r>
              <w:rPr>
                <w:spacing w:val="36"/>
              </w:rPr>
              <w:t xml:space="preserve"> </w:t>
            </w:r>
            <w:r>
              <w:rPr>
                <w:spacing w:val="-11"/>
              </w:rPr>
              <w:t>世界自然遗</w:t>
            </w:r>
            <w:r>
              <w:t xml:space="preserve"> </w:t>
            </w:r>
            <w:r>
              <w:rPr>
                <w:spacing w:val="-1"/>
              </w:rPr>
              <w:t>产</w:t>
            </w:r>
            <w:r>
              <w:rPr>
                <w:rFonts w:ascii="Times New Roman" w:hAnsi="Times New Roman" w:eastAsia="Times New Roman" w:cs="Times New Roman"/>
                <w:spacing w:val="-1"/>
              </w:rPr>
              <w:t>□</w:t>
            </w:r>
            <w:r>
              <w:rPr>
                <w:spacing w:val="-1"/>
              </w:rPr>
              <w:t>;</w:t>
            </w:r>
            <w:r>
              <w:rPr>
                <w:spacing w:val="62"/>
              </w:rPr>
              <w:t xml:space="preserve"> </w:t>
            </w:r>
            <w:r>
              <w:rPr>
                <w:spacing w:val="-1"/>
              </w:rPr>
              <w:t>生态保护红线</w:t>
            </w:r>
            <w:r>
              <w:rPr>
                <w:rFonts w:ascii="Times New Roman" w:hAnsi="Times New Roman" w:eastAsia="Times New Roman" w:cs="Times New Roman"/>
                <w:spacing w:val="-1"/>
                <w:sz w:val="24"/>
                <w:szCs w:val="24"/>
              </w:rPr>
              <w:t>□</w:t>
            </w:r>
            <w:r>
              <w:rPr>
                <w:spacing w:val="-1"/>
              </w:rPr>
              <w:t>;</w:t>
            </w:r>
            <w:r>
              <w:rPr>
                <w:spacing w:val="57"/>
              </w:rPr>
              <w:t xml:space="preserve"> </w:t>
            </w:r>
            <w:r>
              <w:rPr>
                <w:spacing w:val="-1"/>
              </w:rPr>
              <w:t>重要生境</w:t>
            </w:r>
            <w:r>
              <w:rPr>
                <w:rFonts w:ascii="Times New Roman" w:hAnsi="Times New Roman" w:eastAsia="Times New Roman" w:cs="Times New Roman"/>
                <w:spacing w:val="-1"/>
                <w:sz w:val="24"/>
                <w:szCs w:val="24"/>
              </w:rPr>
              <w:t>□</w:t>
            </w:r>
            <w:r>
              <w:rPr>
                <w:spacing w:val="-1"/>
              </w:rPr>
              <w:t>;其他具有重要生态功能、对</w:t>
            </w:r>
            <w:r>
              <w:t xml:space="preserve"> </w:t>
            </w:r>
            <w:r>
              <w:rPr>
                <w:spacing w:val="-3"/>
              </w:rPr>
              <w:t>保护生物多样性具有重要意义的区域</w:t>
            </w:r>
            <w:r>
              <w:rPr>
                <w:rFonts w:ascii="Times New Roman" w:hAnsi="Times New Roman" w:eastAsia="Times New Roman" w:cs="Times New Roman"/>
                <w:spacing w:val="-3"/>
              </w:rPr>
              <w:t>□</w:t>
            </w:r>
            <w:r>
              <w:rPr>
                <w:spacing w:val="-3"/>
              </w:rPr>
              <w:t>;</w:t>
            </w:r>
            <w:r>
              <w:rPr>
                <w:spacing w:val="58"/>
              </w:rPr>
              <w:t xml:space="preserve"> </w:t>
            </w:r>
            <w:r>
              <w:rPr>
                <w:spacing w:val="-3"/>
              </w:rPr>
              <w:t>其他</w:t>
            </w:r>
            <w:r>
              <w:rPr>
                <w:rFonts w:ascii="Segoe UI Symbol" w:hAnsi="Segoe UI Symbol" w:eastAsia="Segoe UI Symbol" w:cs="Segoe UI Symbol"/>
                <w:spacing w:val="-3"/>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139" w:type="dxa"/>
            <w:vMerge w:val="continue"/>
            <w:tcBorders>
              <w:top w:val="nil"/>
              <w:bottom w:val="nil"/>
            </w:tcBorders>
            <w:vAlign w:val="top"/>
          </w:tcPr>
          <w:p>
            <w:pPr>
              <w:rPr>
                <w:rFonts w:ascii="Arial"/>
                <w:sz w:val="21"/>
              </w:rPr>
            </w:pPr>
          </w:p>
        </w:tc>
        <w:tc>
          <w:tcPr>
            <w:tcW w:w="1483" w:type="dxa"/>
            <w:vAlign w:val="top"/>
          </w:tcPr>
          <w:p>
            <w:pPr>
              <w:pStyle w:val="6"/>
              <w:spacing w:before="123" w:line="222" w:lineRule="auto"/>
              <w:ind w:left="325"/>
            </w:pPr>
            <w:r>
              <w:rPr>
                <w:spacing w:val="-2"/>
              </w:rPr>
              <w:t>影响方式</w:t>
            </w:r>
          </w:p>
        </w:tc>
        <w:tc>
          <w:tcPr>
            <w:tcW w:w="6103" w:type="dxa"/>
            <w:vAlign w:val="top"/>
          </w:tcPr>
          <w:p>
            <w:pPr>
              <w:pStyle w:val="6"/>
              <w:spacing w:before="123" w:line="200" w:lineRule="auto"/>
              <w:ind w:left="115"/>
              <w:rPr>
                <w:rFonts w:ascii="Times New Roman" w:hAnsi="Times New Roman" w:eastAsia="Times New Roman" w:cs="Times New Roman"/>
              </w:rPr>
            </w:pPr>
            <w:r>
              <w:rPr>
                <w:spacing w:val="6"/>
              </w:rPr>
              <w:t>工程占用</w:t>
            </w:r>
            <w:r>
              <w:rPr>
                <w:rFonts w:ascii="Segoe UI Symbol" w:hAnsi="Segoe UI Symbol" w:eastAsia="Segoe UI Symbol" w:cs="Segoe UI Symbol"/>
                <w:spacing w:val="6"/>
                <w:sz w:val="24"/>
                <w:szCs w:val="24"/>
              </w:rPr>
              <w:t>☑</w:t>
            </w:r>
            <w:r>
              <w:rPr>
                <w:spacing w:val="6"/>
              </w:rPr>
              <w:t>;</w:t>
            </w:r>
            <w:r>
              <w:rPr>
                <w:spacing w:val="55"/>
              </w:rPr>
              <w:t xml:space="preserve"> </w:t>
            </w:r>
            <w:r>
              <w:rPr>
                <w:spacing w:val="6"/>
              </w:rPr>
              <w:t>施工活动干扰</w:t>
            </w:r>
            <w:r>
              <w:rPr>
                <w:rFonts w:ascii="Segoe UI Symbol" w:hAnsi="Segoe UI Symbol" w:eastAsia="Segoe UI Symbol" w:cs="Segoe UI Symbol"/>
                <w:spacing w:val="6"/>
                <w:sz w:val="24"/>
                <w:szCs w:val="24"/>
              </w:rPr>
              <w:t>☑</w:t>
            </w:r>
            <w:r>
              <w:rPr>
                <w:spacing w:val="6"/>
              </w:rPr>
              <w:t>;改变环境条件</w:t>
            </w:r>
            <w:r>
              <w:rPr>
                <w:rFonts w:ascii="Times New Roman" w:hAnsi="Times New Roman" w:eastAsia="Times New Roman" w:cs="Times New Roman"/>
                <w:spacing w:val="6"/>
                <w:sz w:val="24"/>
                <w:szCs w:val="24"/>
              </w:rPr>
              <w:t>□</w:t>
            </w:r>
            <w:r>
              <w:rPr>
                <w:spacing w:val="5"/>
              </w:rPr>
              <w:t>;其他</w:t>
            </w:r>
            <w:r>
              <w:rPr>
                <w:rFonts w:ascii="Times New Roman" w:hAnsi="Times New Roman" w:eastAsia="Times New Roman" w:cs="Times New Roman"/>
                <w:spacing w:val="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1" w:hRule="atLeast"/>
        </w:trPr>
        <w:tc>
          <w:tcPr>
            <w:tcW w:w="1139" w:type="dxa"/>
            <w:vMerge w:val="continue"/>
            <w:tcBorders>
              <w:top w:val="nil"/>
            </w:tcBorders>
            <w:vAlign w:val="top"/>
          </w:tcPr>
          <w:p>
            <w:pPr>
              <w:rPr>
                <w:rFonts w:ascii="Arial"/>
                <w:sz w:val="21"/>
              </w:rPr>
            </w:pPr>
          </w:p>
        </w:tc>
        <w:tc>
          <w:tcPr>
            <w:tcW w:w="148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8" w:line="219" w:lineRule="auto"/>
              <w:ind w:left="324"/>
            </w:pPr>
            <w:r>
              <w:rPr>
                <w:spacing w:val="-1"/>
              </w:rPr>
              <w:t>评价因子</w:t>
            </w:r>
          </w:p>
        </w:tc>
        <w:tc>
          <w:tcPr>
            <w:tcW w:w="6103" w:type="dxa"/>
            <w:vAlign w:val="top"/>
          </w:tcPr>
          <w:p>
            <w:pPr>
              <w:pStyle w:val="6"/>
              <w:spacing w:before="236" w:line="235" w:lineRule="auto"/>
              <w:ind w:left="112"/>
            </w:pPr>
            <w:r>
              <w:rPr>
                <w:spacing w:val="10"/>
              </w:rPr>
              <w:t>物种</w:t>
            </w:r>
            <w:r>
              <w:rPr>
                <w:rFonts w:ascii="Times New Roman" w:hAnsi="Times New Roman" w:eastAsia="Times New Roman" w:cs="Times New Roman"/>
                <w:spacing w:val="10"/>
              </w:rPr>
              <w:t>□</w:t>
            </w:r>
            <w:r>
              <w:rPr>
                <w:spacing w:val="10"/>
              </w:rPr>
              <w:t xml:space="preserve">(                                  </w:t>
            </w:r>
            <w:r>
              <w:rPr>
                <w:spacing w:val="9"/>
              </w:rPr>
              <w:t xml:space="preserve">      )</w:t>
            </w:r>
          </w:p>
          <w:p>
            <w:pPr>
              <w:pStyle w:val="6"/>
              <w:spacing w:before="92" w:line="235" w:lineRule="auto"/>
              <w:ind w:left="114"/>
            </w:pPr>
            <w:r>
              <w:rPr>
                <w:spacing w:val="10"/>
              </w:rPr>
              <w:t>生境</w:t>
            </w:r>
            <w:r>
              <w:rPr>
                <w:rFonts w:ascii="Times New Roman" w:hAnsi="Times New Roman" w:eastAsia="Times New Roman" w:cs="Times New Roman"/>
                <w:spacing w:val="10"/>
              </w:rPr>
              <w:t>□</w:t>
            </w:r>
            <w:r>
              <w:rPr>
                <w:spacing w:val="10"/>
              </w:rPr>
              <w:t xml:space="preserve">(                                </w:t>
            </w:r>
            <w:r>
              <w:rPr>
                <w:spacing w:val="9"/>
              </w:rPr>
              <w:t xml:space="preserve">        )</w:t>
            </w:r>
          </w:p>
          <w:p>
            <w:pPr>
              <w:pStyle w:val="6"/>
              <w:spacing w:before="92" w:line="221" w:lineRule="auto"/>
              <w:ind w:left="114"/>
            </w:pPr>
            <w:r>
              <w:rPr>
                <w:spacing w:val="9"/>
              </w:rPr>
              <w:t>生物群落</w:t>
            </w:r>
            <w:r>
              <w:rPr>
                <w:rFonts w:ascii="Segoe UI Symbol" w:hAnsi="Segoe UI Symbol" w:eastAsia="Segoe UI Symbol" w:cs="Segoe UI Symbol"/>
                <w:spacing w:val="9"/>
              </w:rPr>
              <w:t>☑</w:t>
            </w:r>
            <w:r>
              <w:rPr>
                <w:spacing w:val="9"/>
              </w:rPr>
              <w:t>(</w:t>
            </w:r>
            <w:r>
              <w:rPr>
                <w:spacing w:val="2"/>
              </w:rPr>
              <w:t xml:space="preserve">                      </w:t>
            </w:r>
            <w:r>
              <w:rPr>
                <w:spacing w:val="1"/>
              </w:rPr>
              <w:t xml:space="preserve">                 </w:t>
            </w:r>
            <w:r>
              <w:rPr>
                <w:spacing w:val="9"/>
              </w:rPr>
              <w:t>)</w:t>
            </w:r>
          </w:p>
          <w:p>
            <w:pPr>
              <w:pStyle w:val="6"/>
              <w:spacing w:before="95" w:line="222" w:lineRule="auto"/>
              <w:ind w:left="114"/>
            </w:pPr>
            <w:r>
              <w:rPr>
                <w:spacing w:val="9"/>
              </w:rPr>
              <w:t>生态系统</w:t>
            </w:r>
            <w:r>
              <w:rPr>
                <w:rFonts w:ascii="Segoe UI Symbol" w:hAnsi="Segoe UI Symbol" w:eastAsia="Segoe UI Symbol" w:cs="Segoe UI Symbol"/>
                <w:spacing w:val="9"/>
              </w:rPr>
              <w:t>☑</w:t>
            </w:r>
            <w:r>
              <w:rPr>
                <w:spacing w:val="9"/>
              </w:rPr>
              <w:t>(</w:t>
            </w:r>
            <w:r>
              <w:rPr>
                <w:spacing w:val="2"/>
              </w:rPr>
              <w:t xml:space="preserve">                      </w:t>
            </w:r>
            <w:r>
              <w:rPr>
                <w:spacing w:val="1"/>
              </w:rPr>
              <w:t xml:space="preserve">                 </w:t>
            </w:r>
            <w:r>
              <w:rPr>
                <w:spacing w:val="9"/>
              </w:rPr>
              <w:t>)</w:t>
            </w:r>
          </w:p>
          <w:p>
            <w:pPr>
              <w:pStyle w:val="6"/>
              <w:spacing w:before="93" w:line="221" w:lineRule="auto"/>
              <w:ind w:left="114"/>
            </w:pPr>
            <w:r>
              <w:rPr>
                <w:spacing w:val="8"/>
              </w:rPr>
              <w:t>生物多样性</w:t>
            </w:r>
            <w:r>
              <w:rPr>
                <w:rFonts w:ascii="Segoe UI Symbol" w:hAnsi="Segoe UI Symbol" w:eastAsia="Segoe UI Symbol" w:cs="Segoe UI Symbol"/>
                <w:spacing w:val="8"/>
              </w:rPr>
              <w:t>☑</w:t>
            </w:r>
            <w:r>
              <w:rPr>
                <w:spacing w:val="8"/>
              </w:rPr>
              <w:t>(</w:t>
            </w:r>
            <w:r>
              <w:rPr>
                <w:spacing w:val="2"/>
              </w:rPr>
              <w:t xml:space="preserve">                       </w:t>
            </w:r>
            <w:r>
              <w:rPr>
                <w:spacing w:val="1"/>
              </w:rPr>
              <w:t xml:space="preserve">              </w:t>
            </w:r>
            <w:r>
              <w:rPr>
                <w:spacing w:val="8"/>
              </w:rPr>
              <w:t>)</w:t>
            </w:r>
          </w:p>
          <w:p>
            <w:pPr>
              <w:pStyle w:val="6"/>
              <w:spacing w:before="95" w:line="234" w:lineRule="auto"/>
              <w:ind w:left="114"/>
            </w:pPr>
            <w:r>
              <w:rPr>
                <w:spacing w:val="8"/>
              </w:rPr>
              <w:t>生态敏感区</w:t>
            </w:r>
            <w:r>
              <w:rPr>
                <w:rFonts w:ascii="Times New Roman" w:hAnsi="Times New Roman" w:eastAsia="Times New Roman" w:cs="Times New Roman"/>
                <w:spacing w:val="8"/>
              </w:rPr>
              <w:t>□</w:t>
            </w:r>
            <w:r>
              <w:rPr>
                <w:spacing w:val="8"/>
              </w:rPr>
              <w:t>(</w:t>
            </w:r>
            <w:r>
              <w:rPr>
                <w:spacing w:val="2"/>
              </w:rPr>
              <w:t xml:space="preserve">                        </w:t>
            </w:r>
            <w:r>
              <w:rPr>
                <w:spacing w:val="1"/>
              </w:rPr>
              <w:t xml:space="preserve">             </w:t>
            </w:r>
            <w:r>
              <w:rPr>
                <w:spacing w:val="8"/>
              </w:rPr>
              <w:t>)</w:t>
            </w:r>
          </w:p>
          <w:p>
            <w:pPr>
              <w:pStyle w:val="6"/>
              <w:spacing w:before="94" w:line="234" w:lineRule="auto"/>
              <w:ind w:left="147"/>
            </w:pPr>
            <w:r>
              <w:rPr>
                <w:spacing w:val="4"/>
              </w:rPr>
              <w:t>自然景观</w:t>
            </w:r>
            <w:r>
              <w:rPr>
                <w:rFonts w:ascii="Times New Roman" w:hAnsi="Times New Roman" w:eastAsia="Times New Roman" w:cs="Times New Roman"/>
                <w:spacing w:val="4"/>
              </w:rPr>
              <w:t>□</w:t>
            </w:r>
            <w:r>
              <w:rPr>
                <w:spacing w:val="4"/>
              </w:rPr>
              <w:t>(</w:t>
            </w:r>
            <w:r>
              <w:rPr>
                <w:spacing w:val="2"/>
              </w:rPr>
              <w:t xml:space="preserve">                         </w:t>
            </w:r>
            <w:r>
              <w:rPr>
                <w:spacing w:val="1"/>
              </w:rPr>
              <w:t xml:space="preserve">              </w:t>
            </w:r>
            <w:r>
              <w:rPr>
                <w:spacing w:val="4"/>
              </w:rPr>
              <w:t>)</w:t>
            </w:r>
          </w:p>
          <w:p>
            <w:pPr>
              <w:pStyle w:val="6"/>
              <w:spacing w:before="93" w:line="235" w:lineRule="auto"/>
              <w:ind w:left="147"/>
            </w:pPr>
            <w:r>
              <w:rPr>
                <w:spacing w:val="4"/>
              </w:rPr>
              <w:t>自然遗迹</w:t>
            </w:r>
            <w:r>
              <w:rPr>
                <w:rFonts w:ascii="Times New Roman" w:hAnsi="Times New Roman" w:eastAsia="Times New Roman" w:cs="Times New Roman"/>
                <w:spacing w:val="4"/>
              </w:rPr>
              <w:t>□</w:t>
            </w:r>
            <w:r>
              <w:rPr>
                <w:spacing w:val="4"/>
              </w:rPr>
              <w:t>(</w:t>
            </w:r>
            <w:r>
              <w:rPr>
                <w:spacing w:val="2"/>
              </w:rPr>
              <w:t xml:space="preserve">                         </w:t>
            </w:r>
            <w:r>
              <w:rPr>
                <w:spacing w:val="1"/>
              </w:rPr>
              <w:t xml:space="preserve">              </w:t>
            </w:r>
            <w:r>
              <w:rPr>
                <w:spacing w:val="4"/>
              </w:rPr>
              <w:t>)</w:t>
            </w:r>
          </w:p>
          <w:p>
            <w:pPr>
              <w:pStyle w:val="6"/>
              <w:spacing w:before="92" w:line="269" w:lineRule="auto"/>
              <w:ind w:left="131" w:right="204" w:hanging="18"/>
            </w:pPr>
            <w:r>
              <w:rPr>
                <w:spacing w:val="-1"/>
              </w:rPr>
              <w:t>其他</w:t>
            </w:r>
            <w:r>
              <w:rPr>
                <w:rFonts w:ascii="Times New Roman" w:hAnsi="Times New Roman" w:eastAsia="Times New Roman" w:cs="Times New Roman"/>
                <w:spacing w:val="-1"/>
              </w:rPr>
              <w:t>□</w:t>
            </w:r>
            <w:r>
              <w:rPr>
                <w:spacing w:val="-1"/>
              </w:rPr>
              <w:t>（古树名木、重点保护植物、生态工艺林、风景名胜区外</w:t>
            </w:r>
            <w:r>
              <w:rPr>
                <w:spacing w:val="9"/>
              </w:rPr>
              <w:t xml:space="preserve"> </w:t>
            </w:r>
            <w:r>
              <w:rPr>
                <w:spacing w:val="-4"/>
              </w:rPr>
              <w:t>围保护地带</w:t>
            </w:r>
            <w:r>
              <w:rPr>
                <w:spacing w:val="5"/>
              </w:rPr>
              <w:t xml:space="preserve">                    </w:t>
            </w:r>
            <w:r>
              <w:rPr>
                <w:spacing w:val="-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622" w:type="dxa"/>
            <w:gridSpan w:val="2"/>
            <w:vAlign w:val="top"/>
          </w:tcPr>
          <w:p>
            <w:pPr>
              <w:pStyle w:val="6"/>
              <w:spacing w:before="127" w:line="219" w:lineRule="auto"/>
              <w:ind w:left="895"/>
            </w:pPr>
            <w:r>
              <w:rPr>
                <w:spacing w:val="-1"/>
              </w:rPr>
              <w:t>评价等级</w:t>
            </w:r>
          </w:p>
        </w:tc>
        <w:tc>
          <w:tcPr>
            <w:tcW w:w="6103" w:type="dxa"/>
            <w:vAlign w:val="top"/>
          </w:tcPr>
          <w:p>
            <w:pPr>
              <w:pStyle w:val="6"/>
              <w:spacing w:before="127" w:line="197" w:lineRule="auto"/>
              <w:ind w:left="116"/>
              <w:rPr>
                <w:rFonts w:ascii="Times New Roman" w:hAnsi="Times New Roman" w:eastAsia="Times New Roman" w:cs="Times New Roman"/>
              </w:rPr>
            </w:pPr>
            <w:r>
              <w:rPr>
                <w:spacing w:val="-1"/>
              </w:rPr>
              <w:t>一级</w:t>
            </w:r>
            <w:r>
              <w:rPr>
                <w:rFonts w:ascii="Times New Roman" w:hAnsi="Times New Roman" w:eastAsia="Times New Roman" w:cs="Times New Roman"/>
                <w:spacing w:val="-1"/>
              </w:rPr>
              <w:t xml:space="preserve">□          </w:t>
            </w:r>
            <w:r>
              <w:rPr>
                <w:spacing w:val="-1"/>
              </w:rPr>
              <w:t>二级</w:t>
            </w:r>
            <w:r>
              <w:rPr>
                <w:rFonts w:ascii="Times New Roman" w:hAnsi="Times New Roman" w:eastAsia="Times New Roman" w:cs="Times New Roman"/>
                <w:spacing w:val="-1"/>
                <w:sz w:val="24"/>
                <w:szCs w:val="24"/>
              </w:rPr>
              <w:t xml:space="preserve">□       </w:t>
            </w:r>
            <w:r>
              <w:rPr>
                <w:spacing w:val="-1"/>
              </w:rPr>
              <w:t>三级</w:t>
            </w:r>
            <w:r>
              <w:rPr>
                <w:rFonts w:ascii="Segoe UI Symbol" w:hAnsi="Segoe UI Symbol" w:eastAsia="Segoe UI Symbol" w:cs="Segoe UI Symbol"/>
                <w:spacing w:val="-1"/>
                <w:sz w:val="24"/>
                <w:szCs w:val="24"/>
              </w:rPr>
              <w:t>☑</w:t>
            </w:r>
            <w:r>
              <w:rPr>
                <w:rFonts w:ascii="Segoe UI Symbol" w:hAnsi="Segoe UI Symbol" w:eastAsia="Segoe UI Symbol" w:cs="Segoe UI Symbol"/>
                <w:spacing w:val="9"/>
                <w:sz w:val="24"/>
                <w:szCs w:val="24"/>
              </w:rPr>
              <w:t xml:space="preserve">      </w:t>
            </w:r>
            <w:r>
              <w:rPr>
                <w:spacing w:val="-1"/>
              </w:rPr>
              <w:t>生态影响简单分析</w:t>
            </w:r>
            <w:r>
              <w:rPr>
                <w:rFonts w:ascii="Times New Roman" w:hAnsi="Times New Roman" w:eastAsia="Times New Roman" w:cs="Times New Roman"/>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622" w:type="dxa"/>
            <w:gridSpan w:val="2"/>
            <w:vAlign w:val="top"/>
          </w:tcPr>
          <w:p>
            <w:pPr>
              <w:pStyle w:val="6"/>
              <w:spacing w:before="125" w:line="219" w:lineRule="auto"/>
              <w:ind w:left="895"/>
            </w:pPr>
            <w:r>
              <w:rPr>
                <w:spacing w:val="-1"/>
              </w:rPr>
              <w:t>评价范围</w:t>
            </w:r>
          </w:p>
        </w:tc>
        <w:tc>
          <w:tcPr>
            <w:tcW w:w="6103" w:type="dxa"/>
            <w:vAlign w:val="top"/>
          </w:tcPr>
          <w:p>
            <w:pPr>
              <w:pStyle w:val="6"/>
              <w:spacing w:before="125" w:line="233" w:lineRule="auto"/>
              <w:ind w:left="123"/>
              <w:rPr>
                <w:rFonts w:ascii="Times New Roman" w:hAnsi="Times New Roman" w:eastAsia="Times New Roman" w:cs="Times New Roman"/>
                <w:sz w:val="13"/>
                <w:szCs w:val="13"/>
              </w:rPr>
            </w:pPr>
            <w:r>
              <w:rPr>
                <w:spacing w:val="-5"/>
              </w:rPr>
              <w:t>陆域面积</w:t>
            </w:r>
            <w:r>
              <w:rPr>
                <w:spacing w:val="-18"/>
              </w:rPr>
              <w:t>：</w:t>
            </w:r>
            <w:r>
              <w:rPr>
                <w:spacing w:val="-27"/>
              </w:rPr>
              <w:t xml:space="preserve"> </w:t>
            </w:r>
            <w:r>
              <w:rPr>
                <w:spacing w:val="-18"/>
              </w:rPr>
              <w:t>（</w:t>
            </w:r>
            <w:r>
              <w:rPr>
                <w:rFonts w:ascii="Times New Roman" w:hAnsi="Times New Roman" w:eastAsia="Times New Roman" w:cs="Times New Roman"/>
                <w:spacing w:val="-5"/>
              </w:rPr>
              <w:t>5.54</w:t>
            </w:r>
            <w:r>
              <w:rPr>
                <w:spacing w:val="-5"/>
              </w:rPr>
              <w:t>）</w:t>
            </w:r>
            <w:r>
              <w:rPr>
                <w:rFonts w:ascii="Times New Roman" w:hAnsi="Times New Roman" w:eastAsia="Times New Roman" w:cs="Times New Roman"/>
                <w:spacing w:val="-5"/>
              </w:rPr>
              <w:t>km</w:t>
            </w:r>
            <w:r>
              <w:rPr>
                <w:rFonts w:ascii="Times New Roman" w:hAnsi="Times New Roman" w:eastAsia="Times New Roman" w:cs="Times New Roman"/>
                <w:spacing w:val="-5"/>
                <w:position w:val="6"/>
                <w:sz w:val="13"/>
                <w:szCs w:val="13"/>
              </w:rPr>
              <w:t xml:space="preserve">2 </w:t>
            </w:r>
            <w:r>
              <w:rPr>
                <w:spacing w:val="-15"/>
              </w:rPr>
              <w:t>；水域面积</w:t>
            </w:r>
            <w:r>
              <w:rPr>
                <w:spacing w:val="-18"/>
              </w:rPr>
              <w:t>：</w:t>
            </w:r>
            <w:r>
              <w:rPr>
                <w:spacing w:val="-30"/>
              </w:rPr>
              <w:t xml:space="preserve"> </w:t>
            </w:r>
            <w:r>
              <w:rPr>
                <w:spacing w:val="-18"/>
              </w:rPr>
              <w:t>（</w:t>
            </w:r>
            <w:r>
              <w:rPr>
                <w:spacing w:val="30"/>
              </w:rPr>
              <w:t xml:space="preserve">  </w:t>
            </w:r>
            <w:r>
              <w:rPr>
                <w:spacing w:val="-18"/>
              </w:rPr>
              <w:t>）</w:t>
            </w:r>
            <w:r>
              <w:rPr>
                <w:rFonts w:ascii="Times New Roman" w:hAnsi="Times New Roman" w:eastAsia="Times New Roman" w:cs="Times New Roman"/>
                <w:spacing w:val="-15"/>
              </w:rPr>
              <w:t>km</w:t>
            </w:r>
            <w:r>
              <w:rPr>
                <w:rFonts w:ascii="Times New Roman" w:hAnsi="Times New Roman" w:eastAsia="Times New Roman" w:cs="Times New Roman"/>
                <w:spacing w:val="7"/>
                <w:position w:val="6"/>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39" w:type="dxa"/>
            <w:vMerge w:val="restart"/>
            <w:tcBorders>
              <w:bottom w:val="nil"/>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8" w:line="221" w:lineRule="auto"/>
              <w:ind w:left="156"/>
            </w:pPr>
            <w:r>
              <w:rPr>
                <w:spacing w:val="-2"/>
              </w:rPr>
              <w:t>生态现状</w:t>
            </w:r>
          </w:p>
          <w:p>
            <w:pPr>
              <w:pStyle w:val="6"/>
              <w:spacing w:before="109" w:line="221" w:lineRule="auto"/>
              <w:ind w:left="156"/>
            </w:pPr>
            <w:r>
              <w:rPr>
                <w:spacing w:val="-2"/>
              </w:rPr>
              <w:t>调查与评</w:t>
            </w:r>
          </w:p>
          <w:p>
            <w:pPr>
              <w:pStyle w:val="6"/>
              <w:spacing w:before="108" w:line="219" w:lineRule="auto"/>
              <w:ind w:left="469"/>
            </w:pPr>
            <w:r>
              <w:t>价</w:t>
            </w:r>
          </w:p>
        </w:tc>
        <w:tc>
          <w:tcPr>
            <w:tcW w:w="1483" w:type="dxa"/>
            <w:vAlign w:val="top"/>
          </w:tcPr>
          <w:p>
            <w:pPr>
              <w:spacing w:line="247" w:lineRule="auto"/>
              <w:rPr>
                <w:rFonts w:ascii="Arial"/>
                <w:sz w:val="21"/>
              </w:rPr>
            </w:pPr>
          </w:p>
          <w:p>
            <w:pPr>
              <w:pStyle w:val="6"/>
              <w:spacing w:before="68" w:line="222" w:lineRule="auto"/>
              <w:ind w:left="327"/>
            </w:pPr>
            <w:r>
              <w:rPr>
                <w:spacing w:val="-2"/>
              </w:rPr>
              <w:t>调查方法</w:t>
            </w:r>
          </w:p>
        </w:tc>
        <w:tc>
          <w:tcPr>
            <w:tcW w:w="6103" w:type="dxa"/>
            <w:vAlign w:val="top"/>
          </w:tcPr>
          <w:p>
            <w:pPr>
              <w:pStyle w:val="6"/>
              <w:spacing w:before="136" w:line="248" w:lineRule="auto"/>
              <w:ind w:left="113" w:right="154" w:firstLine="8"/>
              <w:rPr>
                <w:rFonts w:ascii="Times New Roman" w:hAnsi="Times New Roman" w:eastAsia="Times New Roman" w:cs="Times New Roman"/>
              </w:rPr>
            </w:pPr>
            <w:r>
              <w:rPr>
                <w:spacing w:val="-10"/>
              </w:rPr>
              <w:t>资料收集</w:t>
            </w:r>
            <w:r>
              <w:rPr>
                <w:rFonts w:ascii="Segoe UI Symbol" w:hAnsi="Segoe UI Symbol" w:eastAsia="Segoe UI Symbol" w:cs="Segoe UI Symbol"/>
                <w:spacing w:val="-10"/>
                <w:sz w:val="24"/>
                <w:szCs w:val="24"/>
              </w:rPr>
              <w:t>☑</w:t>
            </w:r>
            <w:r>
              <w:rPr>
                <w:spacing w:val="-10"/>
              </w:rPr>
              <w:t>;</w:t>
            </w:r>
            <w:r>
              <w:rPr>
                <w:spacing w:val="52"/>
              </w:rPr>
              <w:t xml:space="preserve"> </w:t>
            </w:r>
            <w:r>
              <w:rPr>
                <w:spacing w:val="-10"/>
              </w:rPr>
              <w:t>遥感调查</w:t>
            </w:r>
            <w:r>
              <w:rPr>
                <w:rFonts w:ascii="Times New Roman" w:hAnsi="Times New Roman" w:eastAsia="Times New Roman" w:cs="Times New Roman"/>
                <w:spacing w:val="-10"/>
              </w:rPr>
              <w:t>□</w:t>
            </w:r>
            <w:r>
              <w:rPr>
                <w:spacing w:val="-10"/>
              </w:rPr>
              <w:t>;</w:t>
            </w:r>
            <w:r>
              <w:rPr>
                <w:spacing w:val="36"/>
              </w:rPr>
              <w:t xml:space="preserve"> </w:t>
            </w:r>
            <w:r>
              <w:rPr>
                <w:spacing w:val="-10"/>
              </w:rPr>
              <w:t>调查样方、样线</w:t>
            </w:r>
            <w:r>
              <w:rPr>
                <w:rFonts w:ascii="Segoe UI Symbol" w:hAnsi="Segoe UI Symbol" w:eastAsia="Segoe UI Symbol" w:cs="Segoe UI Symbol"/>
                <w:spacing w:val="-10"/>
              </w:rPr>
              <w:t>☑</w:t>
            </w:r>
            <w:r>
              <w:rPr>
                <w:spacing w:val="-10"/>
              </w:rPr>
              <w:t>;</w:t>
            </w:r>
            <w:r>
              <w:rPr>
                <w:spacing w:val="36"/>
              </w:rPr>
              <w:t xml:space="preserve"> </w:t>
            </w:r>
            <w:r>
              <w:rPr>
                <w:spacing w:val="-10"/>
              </w:rPr>
              <w:t>调查点位、断面</w:t>
            </w:r>
            <w:r>
              <w:rPr>
                <w:rFonts w:ascii="Times New Roman" w:hAnsi="Times New Roman" w:eastAsia="Times New Roman" w:cs="Times New Roman"/>
                <w:spacing w:val="-10"/>
              </w:rPr>
              <w:t>□</w:t>
            </w:r>
            <w:r>
              <w:rPr>
                <w:spacing w:val="-10"/>
              </w:rPr>
              <w:t>;</w:t>
            </w:r>
            <w:r>
              <w:t xml:space="preserve"> </w:t>
            </w:r>
            <w:r>
              <w:rPr>
                <w:spacing w:val="7"/>
              </w:rPr>
              <w:t>专家和公众咨询法</w:t>
            </w:r>
            <w:r>
              <w:rPr>
                <w:rFonts w:ascii="Segoe UI Symbol" w:hAnsi="Segoe UI Symbol" w:eastAsia="Segoe UI Symbol" w:cs="Segoe UI Symbol"/>
                <w:spacing w:val="7"/>
              </w:rPr>
              <w:t>☑</w:t>
            </w:r>
            <w:r>
              <w:rPr>
                <w:spacing w:val="7"/>
              </w:rPr>
              <w:t>;其他</w:t>
            </w:r>
            <w:r>
              <w:rPr>
                <w:rFonts w:ascii="Times New Roman" w:hAnsi="Times New Roman" w:eastAsia="Times New Roman" w:cs="Times New Roman"/>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39" w:type="dxa"/>
            <w:vMerge w:val="continue"/>
            <w:tcBorders>
              <w:top w:val="nil"/>
              <w:bottom w:val="nil"/>
            </w:tcBorders>
            <w:vAlign w:val="top"/>
          </w:tcPr>
          <w:p>
            <w:pPr>
              <w:rPr>
                <w:rFonts w:ascii="Arial"/>
                <w:sz w:val="21"/>
              </w:rPr>
            </w:pPr>
          </w:p>
        </w:tc>
        <w:tc>
          <w:tcPr>
            <w:tcW w:w="1483" w:type="dxa"/>
            <w:vAlign w:val="top"/>
          </w:tcPr>
          <w:p>
            <w:pPr>
              <w:spacing w:line="250" w:lineRule="auto"/>
              <w:rPr>
                <w:rFonts w:ascii="Arial"/>
                <w:sz w:val="21"/>
              </w:rPr>
            </w:pPr>
          </w:p>
          <w:p>
            <w:pPr>
              <w:pStyle w:val="6"/>
              <w:spacing w:before="68" w:line="223" w:lineRule="auto"/>
              <w:ind w:left="327"/>
            </w:pPr>
            <w:r>
              <w:rPr>
                <w:spacing w:val="-2"/>
              </w:rPr>
              <w:t>调查时间</w:t>
            </w:r>
          </w:p>
        </w:tc>
        <w:tc>
          <w:tcPr>
            <w:tcW w:w="6103" w:type="dxa"/>
            <w:vAlign w:val="top"/>
          </w:tcPr>
          <w:p>
            <w:pPr>
              <w:pStyle w:val="6"/>
              <w:spacing w:before="140" w:line="360" w:lineRule="exact"/>
              <w:ind w:left="112"/>
              <w:rPr>
                <w:rFonts w:ascii="Times New Roman" w:hAnsi="Times New Roman" w:eastAsia="Times New Roman" w:cs="Times New Roman"/>
              </w:rPr>
            </w:pPr>
            <w:r>
              <w:rPr>
                <w:spacing w:val="-2"/>
                <w:position w:val="10"/>
              </w:rPr>
              <w:t>春季</w:t>
            </w:r>
            <w:r>
              <w:rPr>
                <w:rFonts w:ascii="Segoe UI Symbol" w:hAnsi="Segoe UI Symbol" w:eastAsia="Segoe UI Symbol" w:cs="Segoe UI Symbol"/>
                <w:spacing w:val="-2"/>
                <w:position w:val="10"/>
              </w:rPr>
              <w:t>☑</w:t>
            </w:r>
            <w:r>
              <w:rPr>
                <w:spacing w:val="-2"/>
                <w:position w:val="10"/>
              </w:rPr>
              <w:t>;</w:t>
            </w:r>
            <w:r>
              <w:rPr>
                <w:spacing w:val="69"/>
                <w:position w:val="10"/>
              </w:rPr>
              <w:t xml:space="preserve"> </w:t>
            </w:r>
            <w:r>
              <w:rPr>
                <w:spacing w:val="-2"/>
                <w:position w:val="10"/>
              </w:rPr>
              <w:t>夏季</w:t>
            </w:r>
            <w:r>
              <w:rPr>
                <w:rFonts w:ascii="Times New Roman" w:hAnsi="Times New Roman" w:eastAsia="Times New Roman" w:cs="Times New Roman"/>
                <w:spacing w:val="-2"/>
                <w:position w:val="10"/>
              </w:rPr>
              <w:t>□</w:t>
            </w:r>
            <w:r>
              <w:rPr>
                <w:spacing w:val="-2"/>
                <w:position w:val="10"/>
              </w:rPr>
              <w:t>;秋季</w:t>
            </w:r>
            <w:r>
              <w:rPr>
                <w:rFonts w:ascii="Segoe UI Symbol" w:hAnsi="Segoe UI Symbol" w:eastAsia="Segoe UI Symbol" w:cs="Segoe UI Symbol"/>
                <w:spacing w:val="-2"/>
                <w:position w:val="10"/>
                <w:sz w:val="24"/>
                <w:szCs w:val="24"/>
              </w:rPr>
              <w:t>☑</w:t>
            </w:r>
            <w:r>
              <w:rPr>
                <w:spacing w:val="-2"/>
                <w:position w:val="10"/>
              </w:rPr>
              <w:t>;</w:t>
            </w:r>
            <w:r>
              <w:rPr>
                <w:spacing w:val="61"/>
                <w:position w:val="10"/>
              </w:rPr>
              <w:t xml:space="preserve"> </w:t>
            </w:r>
            <w:r>
              <w:rPr>
                <w:spacing w:val="-2"/>
                <w:position w:val="10"/>
              </w:rPr>
              <w:t>冬季</w:t>
            </w:r>
            <w:r>
              <w:rPr>
                <w:rFonts w:ascii="Times New Roman" w:hAnsi="Times New Roman" w:eastAsia="Times New Roman" w:cs="Times New Roman"/>
                <w:spacing w:val="-2"/>
                <w:position w:val="10"/>
              </w:rPr>
              <w:t>□</w:t>
            </w:r>
          </w:p>
          <w:p>
            <w:pPr>
              <w:pStyle w:val="6"/>
              <w:spacing w:line="227" w:lineRule="auto"/>
              <w:ind w:left="113"/>
              <w:rPr>
                <w:rFonts w:ascii="Times New Roman" w:hAnsi="Times New Roman" w:eastAsia="Times New Roman" w:cs="Times New Roman"/>
                <w:sz w:val="24"/>
                <w:szCs w:val="24"/>
              </w:rPr>
            </w:pPr>
            <w:r>
              <w:rPr>
                <w:spacing w:val="14"/>
              </w:rPr>
              <w:t>丰水期</w:t>
            </w:r>
            <w:r>
              <w:rPr>
                <w:rFonts w:ascii="Segoe UI Symbol" w:hAnsi="Segoe UI Symbol" w:eastAsia="Segoe UI Symbol" w:cs="Segoe UI Symbol"/>
                <w:spacing w:val="14"/>
              </w:rPr>
              <w:t>☑</w:t>
            </w:r>
            <w:r>
              <w:rPr>
                <w:spacing w:val="14"/>
              </w:rPr>
              <w:t>;枯水期</w:t>
            </w:r>
            <w:r>
              <w:rPr>
                <w:rFonts w:ascii="Times New Roman" w:hAnsi="Times New Roman" w:eastAsia="Times New Roman" w:cs="Times New Roman"/>
                <w:spacing w:val="14"/>
              </w:rPr>
              <w:t>□</w:t>
            </w:r>
            <w:r>
              <w:rPr>
                <w:spacing w:val="14"/>
              </w:rPr>
              <w:t>;平水期</w:t>
            </w:r>
            <w:r>
              <w:rPr>
                <w:rFonts w:ascii="Times New Roman" w:hAnsi="Times New Roman" w:eastAsia="Times New Roman" w:cs="Times New Roman"/>
                <w:spacing w:val="14"/>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39" w:type="dxa"/>
            <w:vMerge w:val="continue"/>
            <w:tcBorders>
              <w:top w:val="nil"/>
              <w:bottom w:val="nil"/>
            </w:tcBorders>
            <w:vAlign w:val="top"/>
          </w:tcPr>
          <w:p>
            <w:pPr>
              <w:rPr>
                <w:rFonts w:ascii="Arial"/>
                <w:sz w:val="21"/>
              </w:rPr>
            </w:pPr>
          </w:p>
        </w:tc>
        <w:tc>
          <w:tcPr>
            <w:tcW w:w="1483" w:type="dxa"/>
            <w:vAlign w:val="top"/>
          </w:tcPr>
          <w:p>
            <w:pPr>
              <w:pStyle w:val="6"/>
              <w:spacing w:before="140" w:line="270" w:lineRule="auto"/>
              <w:ind w:left="428" w:right="109" w:hanging="314"/>
            </w:pPr>
            <w:r>
              <w:rPr>
                <w:spacing w:val="-1"/>
              </w:rPr>
              <w:t>所在区域的生</w:t>
            </w:r>
            <w:r>
              <w:t xml:space="preserve"> </w:t>
            </w:r>
            <w:r>
              <w:rPr>
                <w:spacing w:val="-2"/>
              </w:rPr>
              <w:t>态问题</w:t>
            </w:r>
          </w:p>
        </w:tc>
        <w:tc>
          <w:tcPr>
            <w:tcW w:w="6103" w:type="dxa"/>
            <w:vAlign w:val="top"/>
          </w:tcPr>
          <w:p>
            <w:pPr>
              <w:pStyle w:val="6"/>
              <w:spacing w:before="141" w:line="269" w:lineRule="auto"/>
              <w:ind w:left="116" w:right="115" w:hanging="1"/>
              <w:rPr>
                <w:rFonts w:ascii="Times New Roman" w:hAnsi="Times New Roman" w:eastAsia="Times New Roman" w:cs="Times New Roman"/>
              </w:rPr>
            </w:pPr>
            <w:r>
              <w:rPr>
                <w:spacing w:val="-11"/>
              </w:rPr>
              <w:t>水土流失</w:t>
            </w:r>
            <w:r>
              <w:rPr>
                <w:rFonts w:ascii="Segoe UI Symbol" w:hAnsi="Segoe UI Symbol" w:eastAsia="Segoe UI Symbol" w:cs="Segoe UI Symbol"/>
                <w:spacing w:val="-11"/>
              </w:rPr>
              <w:t>☑</w:t>
            </w:r>
            <w:r>
              <w:rPr>
                <w:spacing w:val="-11"/>
              </w:rPr>
              <w:t>;</w:t>
            </w:r>
            <w:r>
              <w:rPr>
                <w:spacing w:val="61"/>
              </w:rPr>
              <w:t xml:space="preserve"> </w:t>
            </w:r>
            <w:r>
              <w:rPr>
                <w:spacing w:val="-11"/>
              </w:rPr>
              <w:t>沙漠化</w:t>
            </w:r>
            <w:r>
              <w:rPr>
                <w:rFonts w:ascii="Times New Roman" w:hAnsi="Times New Roman" w:eastAsia="Times New Roman" w:cs="Times New Roman"/>
                <w:spacing w:val="-11"/>
              </w:rPr>
              <w:t>□</w:t>
            </w:r>
            <w:r>
              <w:rPr>
                <w:spacing w:val="-11"/>
              </w:rPr>
              <w:t>;</w:t>
            </w:r>
            <w:r>
              <w:rPr>
                <w:spacing w:val="47"/>
              </w:rPr>
              <w:t xml:space="preserve"> </w:t>
            </w:r>
            <w:r>
              <w:rPr>
                <w:spacing w:val="-11"/>
              </w:rPr>
              <w:t>石漠化</w:t>
            </w:r>
            <w:r>
              <w:rPr>
                <w:rFonts w:ascii="Times New Roman" w:hAnsi="Times New Roman" w:eastAsia="Times New Roman" w:cs="Times New Roman"/>
                <w:spacing w:val="-11"/>
              </w:rPr>
              <w:t>□</w:t>
            </w:r>
            <w:r>
              <w:rPr>
                <w:spacing w:val="-11"/>
              </w:rPr>
              <w:t>;</w:t>
            </w:r>
            <w:r>
              <w:rPr>
                <w:spacing w:val="48"/>
              </w:rPr>
              <w:t xml:space="preserve"> </w:t>
            </w:r>
            <w:r>
              <w:rPr>
                <w:spacing w:val="-11"/>
              </w:rPr>
              <w:t>盐渍化</w:t>
            </w:r>
            <w:r>
              <w:rPr>
                <w:rFonts w:ascii="Times New Roman" w:hAnsi="Times New Roman" w:eastAsia="Times New Roman" w:cs="Times New Roman"/>
                <w:spacing w:val="-11"/>
              </w:rPr>
              <w:t>□</w:t>
            </w:r>
            <w:r>
              <w:rPr>
                <w:spacing w:val="-11"/>
              </w:rPr>
              <w:t>;</w:t>
            </w:r>
            <w:r>
              <w:rPr>
                <w:spacing w:val="51"/>
              </w:rPr>
              <w:t xml:space="preserve"> </w:t>
            </w:r>
            <w:r>
              <w:rPr>
                <w:spacing w:val="-11"/>
              </w:rPr>
              <w:t>生物入侵</w:t>
            </w:r>
            <w:r>
              <w:rPr>
                <w:rFonts w:ascii="Times New Roman" w:hAnsi="Times New Roman" w:eastAsia="Times New Roman" w:cs="Times New Roman"/>
                <w:spacing w:val="-11"/>
              </w:rPr>
              <w:t>□</w:t>
            </w:r>
            <w:r>
              <w:rPr>
                <w:spacing w:val="-11"/>
              </w:rPr>
              <w:t>;</w:t>
            </w:r>
            <w:r>
              <w:rPr>
                <w:spacing w:val="50"/>
              </w:rPr>
              <w:t xml:space="preserve"> </w:t>
            </w:r>
            <w:r>
              <w:rPr>
                <w:spacing w:val="-11"/>
              </w:rPr>
              <w:t>污染危</w:t>
            </w:r>
            <w:r>
              <w:t xml:space="preserve"> </w:t>
            </w:r>
            <w:r>
              <w:rPr>
                <w:spacing w:val="-11"/>
              </w:rPr>
              <w:t>害</w:t>
            </w:r>
            <w:r>
              <w:rPr>
                <w:rFonts w:ascii="Times New Roman" w:hAnsi="Times New Roman" w:eastAsia="Times New Roman" w:cs="Times New Roman"/>
                <w:spacing w:val="-11"/>
              </w:rPr>
              <w:t>□</w:t>
            </w:r>
            <w:r>
              <w:rPr>
                <w:spacing w:val="-11"/>
              </w:rPr>
              <w:t>;</w:t>
            </w:r>
            <w:r>
              <w:rPr>
                <w:spacing w:val="56"/>
              </w:rPr>
              <w:t xml:space="preserve"> </w:t>
            </w:r>
            <w:r>
              <w:rPr>
                <w:spacing w:val="-11"/>
              </w:rPr>
              <w:t>其他</w:t>
            </w:r>
            <w:r>
              <w:rPr>
                <w:rFonts w:ascii="Times New Roman" w:hAnsi="Times New Roman" w:eastAsia="Times New Roman" w:cs="Times New Roman"/>
                <w:spacing w:val="-1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139" w:type="dxa"/>
            <w:vMerge w:val="continue"/>
            <w:tcBorders>
              <w:top w:val="nil"/>
            </w:tcBorders>
            <w:vAlign w:val="top"/>
          </w:tcPr>
          <w:p>
            <w:pPr>
              <w:rPr>
                <w:rFonts w:ascii="Arial"/>
                <w:sz w:val="21"/>
              </w:rPr>
            </w:pPr>
          </w:p>
        </w:tc>
        <w:tc>
          <w:tcPr>
            <w:tcW w:w="1483" w:type="dxa"/>
            <w:vAlign w:val="top"/>
          </w:tcPr>
          <w:p>
            <w:pPr>
              <w:spacing w:line="251" w:lineRule="auto"/>
              <w:rPr>
                <w:rFonts w:ascii="Arial"/>
                <w:sz w:val="21"/>
              </w:rPr>
            </w:pPr>
          </w:p>
          <w:p>
            <w:pPr>
              <w:pStyle w:val="6"/>
              <w:spacing w:before="69" w:line="219" w:lineRule="auto"/>
              <w:ind w:left="324"/>
            </w:pPr>
            <w:r>
              <w:rPr>
                <w:spacing w:val="-1"/>
              </w:rPr>
              <w:t>评价内容</w:t>
            </w:r>
          </w:p>
        </w:tc>
        <w:tc>
          <w:tcPr>
            <w:tcW w:w="6103" w:type="dxa"/>
            <w:vAlign w:val="top"/>
          </w:tcPr>
          <w:p>
            <w:pPr>
              <w:pStyle w:val="6"/>
              <w:spacing w:before="141" w:line="265" w:lineRule="auto"/>
              <w:ind w:left="113" w:right="177"/>
              <w:rPr>
                <w:rFonts w:ascii="Times New Roman" w:hAnsi="Times New Roman" w:eastAsia="Times New Roman" w:cs="Times New Roman"/>
                <w:sz w:val="24"/>
                <w:szCs w:val="24"/>
              </w:rPr>
            </w:pPr>
            <w:r>
              <w:rPr>
                <w:spacing w:val="14"/>
              </w:rPr>
              <w:t>植被</w:t>
            </w:r>
            <w:r>
              <w:rPr>
                <w:rFonts w:ascii="Times New Roman" w:hAnsi="Times New Roman" w:eastAsia="Times New Roman" w:cs="Times New Roman"/>
                <w:spacing w:val="14"/>
              </w:rPr>
              <w:t>/</w:t>
            </w:r>
            <w:r>
              <w:rPr>
                <w:spacing w:val="14"/>
              </w:rPr>
              <w:t>植物群落</w:t>
            </w:r>
            <w:r>
              <w:rPr>
                <w:rFonts w:ascii="Segoe UI Symbol" w:hAnsi="Segoe UI Symbol" w:eastAsia="Segoe UI Symbol" w:cs="Segoe UI Symbol"/>
                <w:spacing w:val="14"/>
              </w:rPr>
              <w:t>☑</w:t>
            </w:r>
            <w:r>
              <w:rPr>
                <w:spacing w:val="14"/>
              </w:rPr>
              <w:t>;土地利用</w:t>
            </w:r>
            <w:r>
              <w:rPr>
                <w:rFonts w:ascii="Segoe UI Symbol" w:hAnsi="Segoe UI Symbol" w:eastAsia="Segoe UI Symbol" w:cs="Segoe UI Symbol"/>
                <w:spacing w:val="14"/>
              </w:rPr>
              <w:t>☑</w:t>
            </w:r>
            <w:r>
              <w:rPr>
                <w:spacing w:val="14"/>
              </w:rPr>
              <w:t>;生态系统</w:t>
            </w:r>
            <w:r>
              <w:rPr>
                <w:rFonts w:ascii="Segoe UI Symbol" w:hAnsi="Segoe UI Symbol" w:eastAsia="Segoe UI Symbol" w:cs="Segoe UI Symbol"/>
                <w:spacing w:val="14"/>
              </w:rPr>
              <w:t>☑</w:t>
            </w:r>
            <w:r>
              <w:rPr>
                <w:spacing w:val="14"/>
              </w:rPr>
              <w:t>;生物多样性</w:t>
            </w:r>
            <w:r>
              <w:rPr>
                <w:rFonts w:ascii="Segoe UI Symbol" w:hAnsi="Segoe UI Symbol" w:eastAsia="Segoe UI Symbol" w:cs="Segoe UI Symbol"/>
                <w:spacing w:val="13"/>
              </w:rPr>
              <w:t>☑</w:t>
            </w:r>
            <w:r>
              <w:rPr>
                <w:spacing w:val="13"/>
              </w:rPr>
              <w:t>;重</w:t>
            </w:r>
            <w:r>
              <w:t xml:space="preserve"> </w:t>
            </w:r>
            <w:r>
              <w:rPr>
                <w:spacing w:val="2"/>
              </w:rPr>
              <w:t>要物种</w:t>
            </w:r>
            <w:r>
              <w:rPr>
                <w:rFonts w:ascii="Segoe UI Symbol" w:hAnsi="Segoe UI Symbol" w:eastAsia="Segoe UI Symbol" w:cs="Segoe UI Symbol"/>
                <w:spacing w:val="2"/>
              </w:rPr>
              <w:t>☑</w:t>
            </w:r>
            <w:r>
              <w:rPr>
                <w:spacing w:val="2"/>
              </w:rPr>
              <w:t>;生态敏感区</w:t>
            </w:r>
            <w:r>
              <w:rPr>
                <w:rFonts w:ascii="Times New Roman" w:hAnsi="Times New Roman" w:eastAsia="Times New Roman" w:cs="Times New Roman"/>
                <w:spacing w:val="2"/>
              </w:rPr>
              <w:t>□</w:t>
            </w:r>
            <w:r>
              <w:rPr>
                <w:spacing w:val="2"/>
              </w:rPr>
              <w:t>;</w:t>
            </w:r>
            <w:r>
              <w:rPr>
                <w:spacing w:val="67"/>
              </w:rPr>
              <w:t xml:space="preserve"> </w:t>
            </w:r>
            <w:r>
              <w:rPr>
                <w:spacing w:val="2"/>
              </w:rPr>
              <w:t>其他</w:t>
            </w:r>
            <w:r>
              <w:rPr>
                <w:rFonts w:ascii="Times New Roman" w:hAnsi="Times New Roman" w:eastAsia="Times New Roman" w:cs="Times New Roman"/>
                <w:spacing w:val="2"/>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139" w:type="dxa"/>
            <w:vMerge w:val="restart"/>
            <w:tcBorders>
              <w:bottom w:val="nil"/>
            </w:tcBorders>
            <w:vAlign w:val="top"/>
          </w:tcPr>
          <w:p>
            <w:pPr>
              <w:pStyle w:val="6"/>
              <w:spacing w:before="163" w:line="223" w:lineRule="auto"/>
              <w:ind w:left="156"/>
            </w:pPr>
            <w:r>
              <w:rPr>
                <w:spacing w:val="-2"/>
              </w:rPr>
              <w:t>生态影响</w:t>
            </w:r>
          </w:p>
          <w:p>
            <w:pPr>
              <w:pStyle w:val="6"/>
              <w:spacing w:before="106" w:line="221" w:lineRule="auto"/>
              <w:ind w:left="156"/>
            </w:pPr>
            <w:r>
              <w:rPr>
                <w:spacing w:val="-2"/>
              </w:rPr>
              <w:t>预测与评</w:t>
            </w:r>
          </w:p>
          <w:p>
            <w:pPr>
              <w:pStyle w:val="6"/>
              <w:spacing w:before="108" w:line="219" w:lineRule="auto"/>
              <w:ind w:left="469"/>
            </w:pPr>
            <w:r>
              <w:t>价</w:t>
            </w:r>
          </w:p>
        </w:tc>
        <w:tc>
          <w:tcPr>
            <w:tcW w:w="1483" w:type="dxa"/>
            <w:vAlign w:val="top"/>
          </w:tcPr>
          <w:p>
            <w:pPr>
              <w:pStyle w:val="6"/>
              <w:spacing w:before="129" w:line="219" w:lineRule="auto"/>
              <w:ind w:left="324"/>
            </w:pPr>
            <w:r>
              <w:rPr>
                <w:spacing w:val="-1"/>
              </w:rPr>
              <w:t>评价方法</w:t>
            </w:r>
          </w:p>
        </w:tc>
        <w:tc>
          <w:tcPr>
            <w:tcW w:w="6103" w:type="dxa"/>
            <w:vAlign w:val="top"/>
          </w:tcPr>
          <w:p>
            <w:pPr>
              <w:pStyle w:val="6"/>
              <w:spacing w:before="130" w:line="216" w:lineRule="auto"/>
              <w:ind w:left="118"/>
              <w:rPr>
                <w:rFonts w:ascii="Times New Roman" w:hAnsi="Times New Roman" w:eastAsia="Times New Roman" w:cs="Times New Roman"/>
              </w:rPr>
            </w:pPr>
            <w:r>
              <w:rPr>
                <w:spacing w:val="-8"/>
              </w:rPr>
              <w:t>定性</w:t>
            </w:r>
            <w:r>
              <w:rPr>
                <w:rFonts w:ascii="Segoe UI Symbol" w:hAnsi="Segoe UI Symbol" w:eastAsia="Segoe UI Symbol" w:cs="Segoe UI Symbol"/>
                <w:spacing w:val="-8"/>
              </w:rPr>
              <w:t>☑</w:t>
            </w:r>
            <w:r>
              <w:rPr>
                <w:spacing w:val="-8"/>
              </w:rPr>
              <w:t>;</w:t>
            </w:r>
            <w:r>
              <w:rPr>
                <w:spacing w:val="68"/>
              </w:rPr>
              <w:t xml:space="preserve"> </w:t>
            </w:r>
            <w:r>
              <w:rPr>
                <w:spacing w:val="-8"/>
              </w:rPr>
              <w:t>定性和定量</w:t>
            </w:r>
            <w:r>
              <w:rPr>
                <w:rFonts w:ascii="Times New Roman" w:hAnsi="Times New Roman" w:eastAsia="Times New Roman" w:cs="Times New Roman"/>
                <w:spacing w:val="-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39" w:type="dxa"/>
            <w:vMerge w:val="continue"/>
            <w:tcBorders>
              <w:top w:val="nil"/>
            </w:tcBorders>
            <w:vAlign w:val="top"/>
          </w:tcPr>
          <w:p>
            <w:pPr>
              <w:rPr>
                <w:rFonts w:ascii="Arial"/>
                <w:sz w:val="21"/>
              </w:rPr>
            </w:pPr>
          </w:p>
        </w:tc>
        <w:tc>
          <w:tcPr>
            <w:tcW w:w="1483" w:type="dxa"/>
            <w:vAlign w:val="top"/>
          </w:tcPr>
          <w:p>
            <w:pPr>
              <w:spacing w:line="252" w:lineRule="auto"/>
              <w:rPr>
                <w:rFonts w:ascii="Arial"/>
                <w:sz w:val="21"/>
              </w:rPr>
            </w:pPr>
          </w:p>
          <w:p>
            <w:pPr>
              <w:pStyle w:val="6"/>
              <w:spacing w:before="68" w:line="219" w:lineRule="auto"/>
              <w:ind w:left="324"/>
            </w:pPr>
            <w:r>
              <w:rPr>
                <w:spacing w:val="-1"/>
              </w:rPr>
              <w:t>评价内容</w:t>
            </w:r>
          </w:p>
        </w:tc>
        <w:tc>
          <w:tcPr>
            <w:tcW w:w="6103" w:type="dxa"/>
            <w:vAlign w:val="top"/>
          </w:tcPr>
          <w:p>
            <w:pPr>
              <w:pStyle w:val="6"/>
              <w:spacing w:before="142" w:line="264" w:lineRule="auto"/>
              <w:ind w:left="113" w:right="177"/>
              <w:rPr>
                <w:rFonts w:ascii="Times New Roman" w:hAnsi="Times New Roman" w:eastAsia="Times New Roman" w:cs="Times New Roman"/>
                <w:sz w:val="24"/>
                <w:szCs w:val="24"/>
              </w:rPr>
            </w:pPr>
            <w:r>
              <w:rPr>
                <w:spacing w:val="14"/>
              </w:rPr>
              <w:t>植被</w:t>
            </w:r>
            <w:r>
              <w:rPr>
                <w:rFonts w:ascii="Times New Roman" w:hAnsi="Times New Roman" w:eastAsia="Times New Roman" w:cs="Times New Roman"/>
                <w:spacing w:val="14"/>
              </w:rPr>
              <w:t>/</w:t>
            </w:r>
            <w:r>
              <w:rPr>
                <w:spacing w:val="14"/>
              </w:rPr>
              <w:t>植物群落</w:t>
            </w:r>
            <w:r>
              <w:rPr>
                <w:rFonts w:ascii="Segoe UI Symbol" w:hAnsi="Segoe UI Symbol" w:eastAsia="Segoe UI Symbol" w:cs="Segoe UI Symbol"/>
                <w:spacing w:val="14"/>
              </w:rPr>
              <w:t>☑</w:t>
            </w:r>
            <w:r>
              <w:rPr>
                <w:spacing w:val="14"/>
              </w:rPr>
              <w:t>;土地利用</w:t>
            </w:r>
            <w:r>
              <w:rPr>
                <w:rFonts w:ascii="Segoe UI Symbol" w:hAnsi="Segoe UI Symbol" w:eastAsia="Segoe UI Symbol" w:cs="Segoe UI Symbol"/>
                <w:spacing w:val="14"/>
              </w:rPr>
              <w:t>☑</w:t>
            </w:r>
            <w:r>
              <w:rPr>
                <w:spacing w:val="14"/>
              </w:rPr>
              <w:t>;生态系统</w:t>
            </w:r>
            <w:r>
              <w:rPr>
                <w:rFonts w:ascii="Segoe UI Symbol" w:hAnsi="Segoe UI Symbol" w:eastAsia="Segoe UI Symbol" w:cs="Segoe UI Symbol"/>
                <w:spacing w:val="14"/>
              </w:rPr>
              <w:t>☑</w:t>
            </w:r>
            <w:r>
              <w:rPr>
                <w:spacing w:val="14"/>
              </w:rPr>
              <w:t>;生物多样性</w:t>
            </w:r>
            <w:r>
              <w:rPr>
                <w:rFonts w:ascii="Segoe UI Symbol" w:hAnsi="Segoe UI Symbol" w:eastAsia="Segoe UI Symbol" w:cs="Segoe UI Symbol"/>
                <w:spacing w:val="13"/>
              </w:rPr>
              <w:t>☑</w:t>
            </w:r>
            <w:r>
              <w:rPr>
                <w:spacing w:val="13"/>
              </w:rPr>
              <w:t>;重</w:t>
            </w:r>
            <w:r>
              <w:t xml:space="preserve"> </w:t>
            </w:r>
            <w:r>
              <w:rPr>
                <w:spacing w:val="6"/>
              </w:rPr>
              <w:t>要物种</w:t>
            </w:r>
            <w:r>
              <w:rPr>
                <w:rFonts w:ascii="Segoe UI Symbol" w:hAnsi="Segoe UI Symbol" w:eastAsia="Segoe UI Symbol" w:cs="Segoe UI Symbol"/>
                <w:spacing w:val="6"/>
              </w:rPr>
              <w:t>☑</w:t>
            </w:r>
            <w:r>
              <w:rPr>
                <w:spacing w:val="6"/>
              </w:rPr>
              <w:t>;生态敏感区</w:t>
            </w:r>
            <w:r>
              <w:rPr>
                <w:rFonts w:ascii="Times New Roman" w:hAnsi="Times New Roman" w:eastAsia="Times New Roman" w:cs="Times New Roman"/>
                <w:spacing w:val="6"/>
              </w:rPr>
              <w:t>□</w:t>
            </w:r>
            <w:r>
              <w:rPr>
                <w:spacing w:val="6"/>
              </w:rPr>
              <w:t>;</w:t>
            </w:r>
            <w:r>
              <w:rPr>
                <w:spacing w:val="63"/>
              </w:rPr>
              <w:t xml:space="preserve"> </w:t>
            </w:r>
            <w:r>
              <w:rPr>
                <w:spacing w:val="6"/>
              </w:rPr>
              <w:t>生物入侵风险</w:t>
            </w:r>
            <w:r>
              <w:rPr>
                <w:rFonts w:ascii="Times New Roman" w:hAnsi="Times New Roman" w:eastAsia="Times New Roman" w:cs="Times New Roman"/>
                <w:spacing w:val="6"/>
              </w:rPr>
              <w:t>□</w:t>
            </w:r>
            <w:r>
              <w:rPr>
                <w:spacing w:val="6"/>
              </w:rPr>
              <w:t>;其他</w:t>
            </w:r>
            <w:r>
              <w:rPr>
                <w:rFonts w:ascii="Times New Roman" w:hAnsi="Times New Roman" w:eastAsia="Times New Roman" w:cs="Times New Roman"/>
                <w:spacing w:val="6"/>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139" w:type="dxa"/>
            <w:vMerge w:val="restart"/>
            <w:tcBorders>
              <w:bottom w:val="nil"/>
            </w:tcBorders>
            <w:vAlign w:val="top"/>
          </w:tcPr>
          <w:p>
            <w:pPr>
              <w:spacing w:line="286" w:lineRule="auto"/>
              <w:rPr>
                <w:rFonts w:ascii="Arial"/>
                <w:sz w:val="21"/>
              </w:rPr>
            </w:pPr>
          </w:p>
          <w:p>
            <w:pPr>
              <w:pStyle w:val="6"/>
              <w:spacing w:before="68" w:line="269" w:lineRule="auto"/>
              <w:ind w:left="153" w:right="145" w:firstLine="2"/>
            </w:pPr>
            <w:r>
              <w:rPr>
                <w:spacing w:val="-2"/>
              </w:rPr>
              <w:t>生态保护</w:t>
            </w:r>
            <w:r>
              <w:t xml:space="preserve"> </w:t>
            </w:r>
            <w:r>
              <w:rPr>
                <w:spacing w:val="-2"/>
              </w:rPr>
              <w:t>对策措施</w:t>
            </w:r>
          </w:p>
        </w:tc>
        <w:tc>
          <w:tcPr>
            <w:tcW w:w="1483" w:type="dxa"/>
            <w:vAlign w:val="top"/>
          </w:tcPr>
          <w:p>
            <w:pPr>
              <w:pStyle w:val="6"/>
              <w:spacing w:before="131" w:line="221" w:lineRule="auto"/>
              <w:ind w:left="324"/>
            </w:pPr>
            <w:r>
              <w:rPr>
                <w:spacing w:val="-1"/>
              </w:rPr>
              <w:t>对策措施</w:t>
            </w:r>
          </w:p>
        </w:tc>
        <w:tc>
          <w:tcPr>
            <w:tcW w:w="6103" w:type="dxa"/>
            <w:vAlign w:val="top"/>
          </w:tcPr>
          <w:p>
            <w:pPr>
              <w:pStyle w:val="6"/>
              <w:spacing w:before="131" w:line="215" w:lineRule="auto"/>
              <w:ind w:left="111"/>
              <w:rPr>
                <w:rFonts w:ascii="Times New Roman" w:hAnsi="Times New Roman" w:eastAsia="Times New Roman" w:cs="Times New Roman"/>
              </w:rPr>
            </w:pPr>
            <w:r>
              <w:rPr>
                <w:spacing w:val="1"/>
              </w:rPr>
              <w:t>避让</w:t>
            </w:r>
            <w:r>
              <w:rPr>
                <w:rFonts w:ascii="Segoe UI Symbol" w:hAnsi="Segoe UI Symbol" w:eastAsia="Segoe UI Symbol" w:cs="Segoe UI Symbol"/>
                <w:spacing w:val="1"/>
              </w:rPr>
              <w:t>☑</w:t>
            </w:r>
            <w:r>
              <w:rPr>
                <w:spacing w:val="1"/>
              </w:rPr>
              <w:t>;</w:t>
            </w:r>
            <w:r>
              <w:rPr>
                <w:spacing w:val="62"/>
              </w:rPr>
              <w:t xml:space="preserve"> </w:t>
            </w:r>
            <w:r>
              <w:rPr>
                <w:spacing w:val="1"/>
              </w:rPr>
              <w:t>减缓</w:t>
            </w:r>
            <w:r>
              <w:rPr>
                <w:rFonts w:ascii="Segoe UI Symbol" w:hAnsi="Segoe UI Symbol" w:eastAsia="Segoe UI Symbol" w:cs="Segoe UI Symbol"/>
                <w:spacing w:val="1"/>
              </w:rPr>
              <w:t>☑</w:t>
            </w:r>
            <w:r>
              <w:rPr>
                <w:spacing w:val="1"/>
              </w:rPr>
              <w:t>;</w:t>
            </w:r>
            <w:r>
              <w:rPr>
                <w:spacing w:val="58"/>
              </w:rPr>
              <w:t xml:space="preserve"> </w:t>
            </w:r>
            <w:r>
              <w:rPr>
                <w:spacing w:val="1"/>
              </w:rPr>
              <w:t>生态修复</w:t>
            </w:r>
            <w:r>
              <w:rPr>
                <w:rFonts w:ascii="Times New Roman" w:hAnsi="Times New Roman" w:eastAsia="Times New Roman" w:cs="Times New Roman"/>
                <w:spacing w:val="1"/>
              </w:rPr>
              <w:t>□</w:t>
            </w:r>
            <w:r>
              <w:rPr>
                <w:spacing w:val="1"/>
              </w:rPr>
              <w:t>;</w:t>
            </w:r>
            <w:r>
              <w:rPr>
                <w:spacing w:val="57"/>
              </w:rPr>
              <w:t xml:space="preserve"> </w:t>
            </w:r>
            <w:r>
              <w:rPr>
                <w:spacing w:val="1"/>
              </w:rPr>
              <w:t>生态补偿</w:t>
            </w:r>
            <w:r>
              <w:rPr>
                <w:rFonts w:ascii="Times New Roman" w:hAnsi="Times New Roman" w:eastAsia="Times New Roman" w:cs="Times New Roman"/>
                <w:spacing w:val="1"/>
              </w:rPr>
              <w:t>□</w:t>
            </w:r>
            <w:r>
              <w:rPr>
                <w:spacing w:val="1"/>
              </w:rPr>
              <w:t>;科研</w:t>
            </w:r>
            <w:r>
              <w:rPr>
                <w:rFonts w:ascii="Times New Roman" w:hAnsi="Times New Roman" w:eastAsia="Times New Roman" w:cs="Times New Roman"/>
                <w:spacing w:val="1"/>
              </w:rPr>
              <w:t>□</w:t>
            </w:r>
            <w:r>
              <w:rPr>
                <w:spacing w:val="1"/>
              </w:rPr>
              <w:t>;其他</w:t>
            </w:r>
            <w:r>
              <w:rPr>
                <w:rFonts w:ascii="Times New Roman" w:hAnsi="Times New Roman" w:eastAsia="Times New Roman" w:cs="Times New Roman"/>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139" w:type="dxa"/>
            <w:vMerge w:val="continue"/>
            <w:tcBorders>
              <w:top w:val="nil"/>
              <w:bottom w:val="nil"/>
            </w:tcBorders>
            <w:vAlign w:val="top"/>
          </w:tcPr>
          <w:p>
            <w:pPr>
              <w:rPr>
                <w:rFonts w:ascii="Arial"/>
                <w:sz w:val="21"/>
              </w:rPr>
            </w:pPr>
          </w:p>
        </w:tc>
        <w:tc>
          <w:tcPr>
            <w:tcW w:w="1483" w:type="dxa"/>
            <w:vAlign w:val="top"/>
          </w:tcPr>
          <w:p>
            <w:pPr>
              <w:pStyle w:val="6"/>
              <w:spacing w:before="131" w:line="222" w:lineRule="auto"/>
              <w:ind w:left="116"/>
            </w:pPr>
            <w:r>
              <w:rPr>
                <w:spacing w:val="-2"/>
              </w:rPr>
              <w:t>生态监测计划</w:t>
            </w:r>
          </w:p>
        </w:tc>
        <w:tc>
          <w:tcPr>
            <w:tcW w:w="6103" w:type="dxa"/>
            <w:vAlign w:val="top"/>
          </w:tcPr>
          <w:p>
            <w:pPr>
              <w:pStyle w:val="6"/>
              <w:spacing w:before="131" w:line="216" w:lineRule="auto"/>
              <w:ind w:left="112"/>
              <w:rPr>
                <w:rFonts w:ascii="Times New Roman" w:hAnsi="Times New Roman" w:eastAsia="Times New Roman" w:cs="Times New Roman"/>
              </w:rPr>
            </w:pPr>
            <w:r>
              <w:rPr>
                <w:spacing w:val="7"/>
              </w:rPr>
              <w:t>全生命周期</w:t>
            </w:r>
            <w:r>
              <w:rPr>
                <w:rFonts w:ascii="Times New Roman" w:hAnsi="Times New Roman" w:eastAsia="Times New Roman" w:cs="Times New Roman"/>
                <w:spacing w:val="7"/>
              </w:rPr>
              <w:t>□</w:t>
            </w:r>
            <w:r>
              <w:rPr>
                <w:spacing w:val="7"/>
              </w:rPr>
              <w:t>;</w:t>
            </w:r>
            <w:r>
              <w:rPr>
                <w:spacing w:val="72"/>
              </w:rPr>
              <w:t xml:space="preserve"> </w:t>
            </w:r>
            <w:r>
              <w:rPr>
                <w:spacing w:val="7"/>
              </w:rPr>
              <w:t>长期跟踪</w:t>
            </w:r>
            <w:r>
              <w:rPr>
                <w:rFonts w:ascii="Times New Roman" w:hAnsi="Times New Roman" w:eastAsia="Times New Roman" w:cs="Times New Roman"/>
                <w:spacing w:val="7"/>
              </w:rPr>
              <w:t>□</w:t>
            </w:r>
            <w:r>
              <w:rPr>
                <w:spacing w:val="7"/>
              </w:rPr>
              <w:t>;常规</w:t>
            </w:r>
            <w:r>
              <w:rPr>
                <w:rFonts w:ascii="Segoe UI Symbol" w:hAnsi="Segoe UI Symbol" w:eastAsia="Segoe UI Symbol" w:cs="Segoe UI Symbol"/>
                <w:spacing w:val="7"/>
              </w:rPr>
              <w:t>☑</w:t>
            </w:r>
            <w:r>
              <w:rPr>
                <w:spacing w:val="7"/>
              </w:rPr>
              <w:t>;无</w:t>
            </w:r>
            <w:r>
              <w:rPr>
                <w:rFonts w:ascii="Times New Roman" w:hAnsi="Times New Roman" w:eastAsia="Times New Roman" w:cs="Times New Roman"/>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139" w:type="dxa"/>
            <w:vMerge w:val="continue"/>
            <w:tcBorders>
              <w:top w:val="nil"/>
            </w:tcBorders>
            <w:vAlign w:val="top"/>
          </w:tcPr>
          <w:p>
            <w:pPr>
              <w:rPr>
                <w:rFonts w:ascii="Arial"/>
                <w:sz w:val="21"/>
              </w:rPr>
            </w:pPr>
          </w:p>
        </w:tc>
        <w:tc>
          <w:tcPr>
            <w:tcW w:w="1483" w:type="dxa"/>
            <w:vAlign w:val="top"/>
          </w:tcPr>
          <w:p>
            <w:pPr>
              <w:pStyle w:val="6"/>
              <w:spacing w:before="128" w:line="221" w:lineRule="auto"/>
              <w:ind w:left="325"/>
            </w:pPr>
            <w:r>
              <w:rPr>
                <w:spacing w:val="-2"/>
              </w:rPr>
              <w:t>环境管理</w:t>
            </w:r>
          </w:p>
        </w:tc>
        <w:tc>
          <w:tcPr>
            <w:tcW w:w="6103" w:type="dxa"/>
            <w:vAlign w:val="top"/>
          </w:tcPr>
          <w:p>
            <w:pPr>
              <w:pStyle w:val="6"/>
              <w:spacing w:before="128" w:line="197" w:lineRule="auto"/>
              <w:ind w:left="112"/>
              <w:rPr>
                <w:rFonts w:ascii="Segoe UI Symbol" w:hAnsi="Segoe UI Symbol" w:eastAsia="Segoe UI Symbol" w:cs="Segoe UI Symbol"/>
                <w:sz w:val="24"/>
                <w:szCs w:val="24"/>
              </w:rPr>
            </w:pPr>
            <w:r>
              <w:rPr>
                <w:spacing w:val="2"/>
              </w:rPr>
              <w:t>环境监理</w:t>
            </w:r>
            <w:r>
              <w:rPr>
                <w:rFonts w:ascii="Times New Roman" w:hAnsi="Times New Roman" w:eastAsia="Times New Roman" w:cs="Times New Roman"/>
                <w:spacing w:val="2"/>
              </w:rPr>
              <w:t>□</w:t>
            </w:r>
            <w:r>
              <w:rPr>
                <w:spacing w:val="2"/>
              </w:rPr>
              <w:t>;环境影响后评价</w:t>
            </w:r>
            <w:r>
              <w:rPr>
                <w:rFonts w:ascii="Times New Roman" w:hAnsi="Times New Roman" w:eastAsia="Times New Roman" w:cs="Times New Roman"/>
                <w:spacing w:val="2"/>
              </w:rPr>
              <w:t>□</w:t>
            </w:r>
            <w:r>
              <w:rPr>
                <w:spacing w:val="2"/>
              </w:rPr>
              <w:t>;</w:t>
            </w:r>
            <w:r>
              <w:rPr>
                <w:spacing w:val="62"/>
              </w:rPr>
              <w:t xml:space="preserve"> </w:t>
            </w:r>
            <w:r>
              <w:rPr>
                <w:spacing w:val="2"/>
              </w:rPr>
              <w:t>其他</w:t>
            </w:r>
            <w:r>
              <w:rPr>
                <w:rFonts w:ascii="Segoe UI Symbol" w:hAnsi="Segoe UI Symbol" w:eastAsia="Segoe UI Symbol" w:cs="Segoe UI Symbol"/>
                <w:spacing w:val="2"/>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139" w:type="dxa"/>
            <w:vAlign w:val="top"/>
          </w:tcPr>
          <w:p>
            <w:pPr>
              <w:pStyle w:val="6"/>
              <w:spacing w:before="128" w:line="219" w:lineRule="auto"/>
              <w:ind w:left="153"/>
            </w:pPr>
            <w:r>
              <w:rPr>
                <w:spacing w:val="-1"/>
              </w:rPr>
              <w:t>评价结论</w:t>
            </w:r>
          </w:p>
        </w:tc>
        <w:tc>
          <w:tcPr>
            <w:tcW w:w="1483" w:type="dxa"/>
            <w:vAlign w:val="top"/>
          </w:tcPr>
          <w:p>
            <w:pPr>
              <w:pStyle w:val="6"/>
              <w:spacing w:before="128" w:line="223" w:lineRule="auto"/>
              <w:ind w:left="327"/>
            </w:pPr>
            <w:r>
              <w:rPr>
                <w:spacing w:val="-2"/>
              </w:rPr>
              <w:t>生态影响</w:t>
            </w:r>
          </w:p>
        </w:tc>
        <w:tc>
          <w:tcPr>
            <w:tcW w:w="6103" w:type="dxa"/>
            <w:vAlign w:val="top"/>
          </w:tcPr>
          <w:p>
            <w:pPr>
              <w:pStyle w:val="6"/>
              <w:spacing w:before="127" w:line="195" w:lineRule="auto"/>
              <w:ind w:left="114"/>
              <w:rPr>
                <w:rFonts w:ascii="Times New Roman" w:hAnsi="Times New Roman" w:eastAsia="Times New Roman" w:cs="Times New Roman"/>
              </w:rPr>
            </w:pPr>
            <w:r>
              <w:rPr>
                <w:spacing w:val="-9"/>
              </w:rPr>
              <w:t>可行</w:t>
            </w:r>
            <w:r>
              <w:rPr>
                <w:rFonts w:ascii="Segoe UI Symbol" w:hAnsi="Segoe UI Symbol" w:eastAsia="Segoe UI Symbol" w:cs="Segoe UI Symbol"/>
                <w:spacing w:val="-9"/>
                <w:sz w:val="24"/>
                <w:szCs w:val="24"/>
              </w:rPr>
              <w:t>☑</w:t>
            </w:r>
            <w:r>
              <w:rPr>
                <w:spacing w:val="-9"/>
              </w:rPr>
              <w:t>;</w:t>
            </w:r>
            <w:r>
              <w:rPr>
                <w:spacing w:val="63"/>
              </w:rPr>
              <w:t xml:space="preserve"> </w:t>
            </w:r>
            <w:r>
              <w:rPr>
                <w:spacing w:val="-9"/>
              </w:rPr>
              <w:t>不可行</w:t>
            </w:r>
            <w:r>
              <w:rPr>
                <w:rFonts w:ascii="Times New Roman" w:hAnsi="Times New Roman" w:eastAsia="Times New Roman" w:cs="Times New Roman"/>
                <w:spacing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725" w:type="dxa"/>
            <w:gridSpan w:val="3"/>
            <w:vAlign w:val="top"/>
          </w:tcPr>
          <w:p>
            <w:pPr>
              <w:pStyle w:val="6"/>
              <w:spacing w:before="123" w:line="226" w:lineRule="auto"/>
              <w:ind w:left="1486"/>
            </w:pPr>
            <w:r>
              <w:rPr>
                <w:spacing w:val="-11"/>
              </w:rPr>
              <w:t xml:space="preserve">注：   </w:t>
            </w:r>
            <w:r>
              <w:rPr>
                <w:rFonts w:ascii="Times New Roman" w:hAnsi="Times New Roman" w:eastAsia="Times New Roman" w:cs="Times New Roman"/>
                <w:spacing w:val="-11"/>
              </w:rPr>
              <w:t xml:space="preserve">ℼ□”    </w:t>
            </w:r>
            <w:r>
              <w:rPr>
                <w:spacing w:val="-11"/>
              </w:rPr>
              <w:t>为勾选项</w:t>
            </w:r>
            <w:r>
              <w:rPr>
                <w:spacing w:val="13"/>
              </w:rPr>
              <w:t xml:space="preserve">  </w:t>
            </w:r>
            <w:r>
              <w:rPr>
                <w:spacing w:val="-11"/>
              </w:rPr>
              <w:t>，可</w:t>
            </w:r>
            <w:r>
              <w:rPr>
                <w:rFonts w:ascii="Times New Roman" w:hAnsi="Times New Roman" w:eastAsia="Times New Roman" w:cs="Times New Roman"/>
                <w:spacing w:val="-11"/>
              </w:rPr>
              <w:t xml:space="preserve">√     </w:t>
            </w:r>
            <w:r>
              <w:rPr>
                <w:spacing w:val="-11"/>
              </w:rPr>
              <w:t>;</w:t>
            </w:r>
            <w:r>
              <w:rPr>
                <w:spacing w:val="55"/>
              </w:rPr>
              <w:t xml:space="preserve"> </w:t>
            </w:r>
            <w:r>
              <w:rPr>
                <w:rFonts w:ascii="Times New Roman" w:hAnsi="Times New Roman" w:eastAsia="Times New Roman" w:cs="Times New Roman"/>
                <w:spacing w:val="-11"/>
              </w:rPr>
              <w:t>ℼ</w:t>
            </w:r>
            <w:r>
              <w:rPr>
                <w:rFonts w:ascii="Times New Roman" w:hAnsi="Times New Roman" w:eastAsia="Times New Roman" w:cs="Times New Roman"/>
                <w:spacing w:val="7"/>
              </w:rPr>
              <w:t xml:space="preserve">  </w:t>
            </w:r>
            <w:r>
              <w:rPr>
                <w:spacing w:val="-11"/>
              </w:rPr>
              <w:t>(    )</w:t>
            </w:r>
            <w:r>
              <w:rPr>
                <w:spacing w:val="22"/>
              </w:rPr>
              <w:t xml:space="preserve"> </w:t>
            </w:r>
            <w:r>
              <w:rPr>
                <w:rFonts w:ascii="Times New Roman" w:hAnsi="Times New Roman" w:eastAsia="Times New Roman" w:cs="Times New Roman"/>
                <w:spacing w:val="-11"/>
              </w:rPr>
              <w:t xml:space="preserve">ℽ     </w:t>
            </w:r>
            <w:r>
              <w:rPr>
                <w:spacing w:val="-11"/>
              </w:rPr>
              <w:t>为内容填写项。</w:t>
            </w:r>
          </w:p>
        </w:tc>
      </w:tr>
    </w:tbl>
    <w:p>
      <w:pPr>
        <w:pStyle w:val="2"/>
      </w:pPr>
    </w:p>
    <w:sectPr>
      <w:headerReference r:id="rId400" w:type="default"/>
      <w:footerReference r:id="rId401" w:type="default"/>
      <w:pgSz w:w="11907" w:h="16839"/>
      <w:pgMar w:top="1118" w:right="1586" w:bottom="1177" w:left="1589" w:header="879" w:footer="101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6" w:lineRule="auto"/>
      <w:ind w:left="4143"/>
      <w:rPr>
        <w:sz w:val="18"/>
        <w:szCs w:val="18"/>
      </w:rPr>
    </w:pPr>
    <w:r>
      <w:rPr>
        <w:sz w:val="18"/>
        <w:szCs w:val="18"/>
      </w:rPr>
      <w:t>7</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693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119</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692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120</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692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121</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692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122</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123</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124</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125</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126</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127</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7"/>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129</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130</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131</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132</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133</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134</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135</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136</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137</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139</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140</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141</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142</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143</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144</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145</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146</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147</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5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149</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150</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151</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152</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153</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154</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3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155</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156</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157</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5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3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159</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160</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3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161</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7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162</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7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163</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3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164</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3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165</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166</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1066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167</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1066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7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1066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169</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1066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170</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695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171</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695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172</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173</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174</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175</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176</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177</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6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179</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180</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181</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182</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183</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184</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185</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186</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187</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3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189</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190</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191</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691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192</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691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193</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677"/>
      <w:rPr>
        <w:sz w:val="18"/>
        <w:szCs w:val="18"/>
      </w:rPr>
    </w:pPr>
    <w:r>
      <w:rPr>
        <w:spacing w:val="-7"/>
        <w:sz w:val="18"/>
        <w:szCs w:val="18"/>
      </w:rPr>
      <w:t>194</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677"/>
      <w:rPr>
        <w:sz w:val="18"/>
        <w:szCs w:val="18"/>
      </w:rPr>
    </w:pPr>
    <w:r>
      <w:rPr>
        <w:spacing w:val="-7"/>
        <w:sz w:val="18"/>
        <w:szCs w:val="18"/>
      </w:rPr>
      <w:t>195</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761"/>
      <w:rPr>
        <w:sz w:val="18"/>
        <w:szCs w:val="18"/>
      </w:rPr>
    </w:pPr>
    <w:r>
      <w:rPr>
        <w:spacing w:val="-7"/>
        <w:sz w:val="18"/>
        <w:szCs w:val="18"/>
      </w:rPr>
      <w:t>196</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677"/>
      <w:rPr>
        <w:sz w:val="18"/>
        <w:szCs w:val="18"/>
      </w:rPr>
    </w:pPr>
    <w:r>
      <w:rPr>
        <w:spacing w:val="-7"/>
        <w:sz w:val="18"/>
        <w:szCs w:val="18"/>
      </w:rPr>
      <w:t>197</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10999"/>
      <w:rPr>
        <w:sz w:val="18"/>
        <w:szCs w:val="18"/>
      </w:rPr>
    </w:pPr>
    <w:r>
      <w:rPr>
        <w:spacing w:val="-7"/>
        <w:sz w:val="18"/>
        <w:szCs w:val="18"/>
      </w:rPr>
      <w:t>198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4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10999"/>
      <w:rPr>
        <w:sz w:val="18"/>
        <w:szCs w:val="18"/>
      </w:rPr>
    </w:pPr>
    <w:r>
      <w:rPr>
        <w:spacing w:val="-7"/>
        <w:sz w:val="18"/>
        <w:szCs w:val="18"/>
      </w:rPr>
      <w:t>199</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10995"/>
      <w:rPr>
        <w:sz w:val="18"/>
        <w:szCs w:val="18"/>
      </w:rPr>
    </w:pPr>
    <w:r>
      <w:rPr>
        <w:spacing w:val="-6"/>
        <w:sz w:val="18"/>
        <w:szCs w:val="18"/>
      </w:rPr>
      <w:t>200</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10995"/>
      <w:rPr>
        <w:sz w:val="18"/>
        <w:szCs w:val="18"/>
      </w:rPr>
    </w:pPr>
    <w:r>
      <w:rPr>
        <w:spacing w:val="-6"/>
        <w:sz w:val="18"/>
        <w:szCs w:val="18"/>
      </w:rPr>
      <w:t>201</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390"/>
      <w:rPr>
        <w:sz w:val="18"/>
        <w:szCs w:val="18"/>
      </w:rPr>
    </w:pPr>
    <w:r>
      <w:rPr>
        <w:spacing w:val="-6"/>
        <w:sz w:val="18"/>
        <w:szCs w:val="18"/>
      </w:rPr>
      <w:t>202</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390"/>
      <w:rPr>
        <w:sz w:val="18"/>
        <w:szCs w:val="18"/>
      </w:rPr>
    </w:pPr>
    <w:r>
      <w:rPr>
        <w:spacing w:val="-6"/>
        <w:sz w:val="18"/>
        <w:szCs w:val="18"/>
      </w:rPr>
      <w:t>203</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390"/>
      <w:rPr>
        <w:sz w:val="18"/>
        <w:szCs w:val="18"/>
      </w:rPr>
    </w:pPr>
    <w:r>
      <w:rPr>
        <w:spacing w:val="-6"/>
        <w:sz w:val="18"/>
        <w:szCs w:val="18"/>
      </w:rPr>
      <w:t>204</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390"/>
      <w:rPr>
        <w:sz w:val="18"/>
        <w:szCs w:val="18"/>
      </w:rPr>
    </w:pPr>
    <w:r>
      <w:rPr>
        <w:spacing w:val="-6"/>
        <w:sz w:val="18"/>
        <w:szCs w:val="18"/>
      </w:rPr>
      <w:t>205</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390"/>
      <w:rPr>
        <w:sz w:val="18"/>
        <w:szCs w:val="18"/>
      </w:rPr>
    </w:pPr>
    <w:r>
      <w:rPr>
        <w:spacing w:val="-6"/>
        <w:sz w:val="18"/>
        <w:szCs w:val="18"/>
      </w:rPr>
      <w:t>206</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390"/>
      <w:rPr>
        <w:sz w:val="18"/>
        <w:szCs w:val="18"/>
      </w:rPr>
    </w:pPr>
    <w:r>
      <w:rPr>
        <w:spacing w:val="-6"/>
        <w:sz w:val="18"/>
        <w:szCs w:val="18"/>
      </w:rPr>
      <w:t>207</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390"/>
      <w:rPr>
        <w:sz w:val="18"/>
        <w:szCs w:val="18"/>
      </w:rPr>
    </w:pPr>
    <w:r>
      <w:rPr>
        <w:spacing w:val="-6"/>
        <w:sz w:val="18"/>
        <w:szCs w:val="18"/>
      </w:rPr>
      <w:t>208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5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390"/>
      <w:rPr>
        <w:sz w:val="18"/>
        <w:szCs w:val="18"/>
      </w:rPr>
    </w:pPr>
    <w:r>
      <w:rPr>
        <w:spacing w:val="-6"/>
        <w:sz w:val="18"/>
        <w:szCs w:val="18"/>
      </w:rPr>
      <w:t>209</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390"/>
      <w:rPr>
        <w:sz w:val="18"/>
        <w:szCs w:val="18"/>
      </w:rPr>
    </w:pPr>
    <w:r>
      <w:rPr>
        <w:spacing w:val="-6"/>
        <w:sz w:val="18"/>
        <w:szCs w:val="18"/>
      </w:rPr>
      <w:t>210</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211</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212</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213</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214</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215</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216</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217</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6" w:lineRule="auto"/>
      <w:ind w:left="4140"/>
      <w:rPr>
        <w:sz w:val="18"/>
        <w:szCs w:val="18"/>
      </w:rPr>
    </w:pPr>
    <w:r>
      <w:rPr>
        <w:spacing w:val="-7"/>
        <w:sz w:val="18"/>
        <w:szCs w:val="18"/>
      </w:rPr>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5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219</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220</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221</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222</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051"/>
      <w:rPr>
        <w:sz w:val="18"/>
        <w:szCs w:val="18"/>
      </w:rPr>
    </w:pPr>
    <w:r>
      <w:rPr>
        <w:spacing w:val="-6"/>
        <w:sz w:val="18"/>
        <w:szCs w:val="18"/>
      </w:rPr>
      <w:t>223</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8" w:lineRule="exact"/>
      <w:ind w:left="4051"/>
      <w:rPr>
        <w:rFonts w:ascii="微软雅黑" w:hAnsi="微软雅黑" w:eastAsia="微软雅黑" w:cs="微软雅黑"/>
        <w:sz w:val="18"/>
        <w:szCs w:val="18"/>
      </w:rPr>
    </w:pPr>
    <w:r>
      <w:rPr>
        <w:rFonts w:ascii="微软雅黑" w:hAnsi="微软雅黑" w:eastAsia="微软雅黑" w:cs="微软雅黑"/>
        <w:spacing w:val="-9"/>
        <w:position w:val="-1"/>
        <w:sz w:val="18"/>
        <w:szCs w:val="18"/>
      </w:rPr>
      <w:t>224</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051"/>
      <w:rPr>
        <w:sz w:val="18"/>
        <w:szCs w:val="18"/>
      </w:rPr>
    </w:pPr>
    <w:r>
      <w:rPr>
        <w:spacing w:val="-6"/>
        <w:sz w:val="18"/>
        <w:szCs w:val="18"/>
      </w:rPr>
      <w:t>225</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051"/>
      <w:rPr>
        <w:sz w:val="18"/>
        <w:szCs w:val="18"/>
      </w:rPr>
    </w:pPr>
    <w:r>
      <w:rPr>
        <w:spacing w:val="-6"/>
        <w:sz w:val="18"/>
        <w:szCs w:val="18"/>
      </w:rPr>
      <w:t>226</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8" w:lineRule="auto"/>
      <w:ind w:left="4051"/>
      <w:rPr>
        <w:sz w:val="18"/>
        <w:szCs w:val="18"/>
      </w:rPr>
    </w:pPr>
    <w:r>
      <w:rPr>
        <w:spacing w:val="-6"/>
        <w:sz w:val="18"/>
        <w:szCs w:val="18"/>
      </w:rPr>
      <w:t>227</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138"/>
      <w:rPr>
        <w:sz w:val="18"/>
        <w:szCs w:val="18"/>
      </w:rPr>
    </w:pPr>
    <w:r>
      <w:rPr>
        <w:spacing w:val="-6"/>
        <w:sz w:val="18"/>
        <w:szCs w:val="18"/>
      </w:rPr>
      <w:t>228</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138"/>
      <w:rPr>
        <w:sz w:val="18"/>
        <w:szCs w:val="18"/>
      </w:rPr>
    </w:pPr>
    <w:r>
      <w:rPr>
        <w:spacing w:val="-6"/>
        <w:sz w:val="18"/>
        <w:szCs w:val="18"/>
      </w:rPr>
      <w:t>229</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138"/>
      <w:rPr>
        <w:sz w:val="18"/>
        <w:szCs w:val="18"/>
      </w:rPr>
    </w:pPr>
    <w:r>
      <w:rPr>
        <w:spacing w:val="-6"/>
        <w:sz w:val="18"/>
        <w:szCs w:val="18"/>
      </w:rPr>
      <w:t>230</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138"/>
      <w:rPr>
        <w:sz w:val="18"/>
        <w:szCs w:val="18"/>
      </w:rPr>
    </w:pPr>
    <w:r>
      <w:rPr>
        <w:spacing w:val="-6"/>
        <w:sz w:val="18"/>
        <w:szCs w:val="18"/>
      </w:rPr>
      <w:t>231</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051"/>
      <w:rPr>
        <w:sz w:val="18"/>
        <w:szCs w:val="18"/>
      </w:rPr>
    </w:pPr>
    <w:r>
      <w:rPr>
        <w:spacing w:val="-6"/>
        <w:sz w:val="18"/>
        <w:szCs w:val="18"/>
      </w:rPr>
      <w:t>232</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423"/>
      <w:rPr>
        <w:sz w:val="18"/>
        <w:szCs w:val="18"/>
      </w:rPr>
    </w:pPr>
    <w:r>
      <w:rPr>
        <w:spacing w:val="-6"/>
        <w:sz w:val="18"/>
        <w:szCs w:val="18"/>
      </w:rPr>
      <w:t>233</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423"/>
      <w:rPr>
        <w:sz w:val="18"/>
        <w:szCs w:val="18"/>
      </w:rPr>
    </w:pPr>
    <w:r>
      <w:rPr>
        <w:spacing w:val="-6"/>
        <w:sz w:val="18"/>
        <w:szCs w:val="18"/>
      </w:rPr>
      <w:t>234</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423"/>
      <w:rPr>
        <w:sz w:val="18"/>
        <w:szCs w:val="18"/>
      </w:rPr>
    </w:pPr>
    <w:r>
      <w:rPr>
        <w:spacing w:val="-6"/>
        <w:sz w:val="18"/>
        <w:szCs w:val="18"/>
      </w:rPr>
      <w:t>235</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135"/>
      <w:rPr>
        <w:sz w:val="18"/>
        <w:szCs w:val="18"/>
      </w:rPr>
    </w:pPr>
    <w:r>
      <w:rPr>
        <w:spacing w:val="-6"/>
        <w:sz w:val="18"/>
        <w:szCs w:val="18"/>
      </w:rPr>
      <w:t>236</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135"/>
      <w:rPr>
        <w:sz w:val="18"/>
        <w:szCs w:val="18"/>
      </w:rPr>
    </w:pPr>
    <w:r>
      <w:rPr>
        <w:spacing w:val="-6"/>
        <w:sz w:val="18"/>
        <w:szCs w:val="18"/>
      </w:rPr>
      <w:t>237</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145"/>
      <w:rPr>
        <w:sz w:val="18"/>
        <w:szCs w:val="18"/>
      </w:rPr>
    </w:pPr>
    <w:r>
      <w:rPr>
        <w:spacing w:val="-6"/>
        <w:sz w:val="18"/>
        <w:szCs w:val="18"/>
      </w:rPr>
      <w:t>238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23"/>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234"/>
      <w:rPr>
        <w:sz w:val="18"/>
        <w:szCs w:val="18"/>
      </w:rPr>
    </w:pPr>
    <w:r>
      <w:rPr>
        <w:spacing w:val="-6"/>
        <w:sz w:val="18"/>
        <w:szCs w:val="18"/>
      </w:rPr>
      <w:t>239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23"/>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23"/>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63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6" w:lineRule="auto"/>
      <w:ind w:left="4140"/>
      <w:rPr>
        <w:sz w:val="18"/>
        <w:szCs w:val="18"/>
      </w:rPr>
    </w:pPr>
    <w:r>
      <w:rPr>
        <w:sz w:val="18"/>
        <w:szCs w:val="18"/>
      </w:rPr>
      <w:t>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76"/>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72"/>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6966"/>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8"/>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6" w:lineRule="auto"/>
      <w:ind w:left="4147"/>
      <w:rPr>
        <w:sz w:val="18"/>
        <w:szCs w:val="18"/>
      </w:rPr>
    </w:pPr>
    <w:r>
      <w:rPr>
        <w:sz w:val="18"/>
        <w:szCs w:val="18"/>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8"/>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92"/>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1063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10637"/>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2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267"/>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34"/>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718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144"/>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74"/>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8" w:lineRule="auto"/>
      <w:ind w:left="4143"/>
      <w:rPr>
        <w:sz w:val="18"/>
        <w:szCs w:val="18"/>
      </w:rPr>
    </w:pPr>
    <w:r>
      <w:rPr>
        <w:sz w:val="18"/>
        <w:szCs w:val="18"/>
      </w:rPr>
      <w:t>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97"/>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26"/>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61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555"/>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141"/>
      <w:rPr>
        <w:sz w:val="18"/>
        <w:szCs w:val="18"/>
      </w:rPr>
    </w:pPr>
    <w:r>
      <w:rPr>
        <w:sz w:val="18"/>
        <w:szCs w:val="18"/>
      </w:rPr>
      <w:t>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53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665"/>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142"/>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142"/>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142"/>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61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615"/>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8"/>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59"/>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40"/>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6" w:lineRule="auto"/>
      <w:ind w:left="4137"/>
      <w:rPr>
        <w:sz w:val="18"/>
        <w:szCs w:val="18"/>
      </w:rPr>
    </w:pPr>
    <w:r>
      <w:rPr>
        <w:sz w:val="18"/>
        <w:szCs w:val="18"/>
      </w:rPr>
      <w:t>4</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7"/>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7"/>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7"/>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7"/>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055"/>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44"/>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5" w:lineRule="auto"/>
      <w:ind w:left="4143"/>
      <w:rPr>
        <w:sz w:val="18"/>
        <w:szCs w:val="18"/>
      </w:rPr>
    </w:pPr>
    <w:r>
      <w:rPr>
        <w:sz w:val="18"/>
        <w:szCs w:val="18"/>
      </w:rPr>
      <w:t>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27"/>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4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5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390"/>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104</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105</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82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106</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107</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7" w:lineRule="auto"/>
      <w:ind w:left="4143"/>
      <w:rPr>
        <w:sz w:val="18"/>
        <w:szCs w:val="18"/>
      </w:rPr>
    </w:pPr>
    <w:r>
      <w:rPr>
        <w:sz w:val="18"/>
        <w:szCs w:val="18"/>
      </w:rPr>
      <w:t>6</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109</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02"/>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7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111</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5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112</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7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113</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5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114</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5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115</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22"/>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116</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7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117</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7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57" o:spid="_x0000_s2057" style="position:absolute;left:0pt;margin-left:88.55pt;margin-top:55.2pt;height:0.75pt;width:418.3pt;mso-position-horizontal-relative:page;mso-position-vertical-relative:page;z-index:25166848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66"/>
      <w:rPr>
        <w:rFonts w:ascii="宋体" w:hAnsi="宋体" w:eastAsia="宋体" w:cs="宋体"/>
        <w:sz w:val="18"/>
        <w:szCs w:val="18"/>
      </w:rPr>
    </w:pPr>
    <w:r>
      <w:pict>
        <v:shape id="_x0000_s2147" o:spid="_x0000_s2147" style="position:absolute;left:0pt;margin-left:83.65pt;margin-top:63.7pt;height:0.75pt;width:428.15pt;mso-position-horizontal-relative:page;mso-position-vertical-relative:page;z-index:251736064;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48" o:spid="_x0000_s2148" style="position:absolute;left:0pt;margin-left:83.65pt;margin-top:63.7pt;height:0.75pt;width:428.15pt;mso-position-horizontal-relative:page;mso-position-vertical-relative:page;z-index:251731968;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49" o:spid="_x0000_s2149" style="position:absolute;left:0pt;margin-left:83.65pt;margin-top:63.7pt;height:0.75pt;width:428.15pt;mso-position-horizontal-relative:page;mso-position-vertical-relative:page;z-index:251737088;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96"/>
      <w:rPr>
        <w:rFonts w:ascii="宋体" w:hAnsi="宋体" w:eastAsia="宋体" w:cs="宋体"/>
        <w:sz w:val="18"/>
        <w:szCs w:val="18"/>
      </w:rPr>
    </w:pPr>
    <w:r>
      <w:pict>
        <v:shape id="_x0000_s2150" o:spid="_x0000_s2150" style="position:absolute;left:0pt;margin-left:83.65pt;margin-top:63.7pt;height:0.75pt;width:428.15pt;mso-position-horizontal-relative:page;mso-position-vertical-relative:page;z-index:251738112;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51" o:spid="_x0000_s2151" style="position:absolute;left:0pt;margin-left:83.65pt;margin-top:63.7pt;height:0.75pt;width:428.15pt;mso-position-horizontal-relative:page;mso-position-vertical-relative:page;z-index:251732992;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52" o:spid="_x0000_s2152" style="position:absolute;left:0pt;margin-left:83.65pt;margin-top:63.7pt;height:0.75pt;width:428.15pt;mso-position-horizontal-relative:page;mso-position-vertical-relative:page;z-index:251739136;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53" o:spid="_x0000_s2153" style="position:absolute;left:0pt;margin-left:83.65pt;margin-top:63.7pt;height:0.75pt;width:428.15pt;mso-position-horizontal-relative:page;mso-position-vertical-relative:page;z-index:251740160;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54" o:spid="_x0000_s2154" style="position:absolute;left:0pt;margin-left:83.65pt;margin-top:63.7pt;height:0.75pt;width:428.15pt;mso-position-horizontal-relative:page;mso-position-vertical-relative:page;z-index:251734016;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95"/>
      <w:rPr>
        <w:rFonts w:ascii="宋体" w:hAnsi="宋体" w:eastAsia="宋体" w:cs="宋体"/>
        <w:sz w:val="18"/>
        <w:szCs w:val="18"/>
      </w:rPr>
    </w:pPr>
    <w:r>
      <w:pict>
        <v:shape id="_x0000_s2155" o:spid="_x0000_s2155" style="position:absolute;left:0pt;margin-left:69.35pt;margin-top:55.2pt;height:0.75pt;width:456.55pt;mso-position-horizontal-relative:page;mso-position-vertical-relative:page;z-index:251741184;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95"/>
      <w:rPr>
        <w:rFonts w:ascii="宋体" w:hAnsi="宋体" w:eastAsia="宋体" w:cs="宋体"/>
        <w:sz w:val="18"/>
        <w:szCs w:val="18"/>
      </w:rPr>
    </w:pPr>
    <w:r>
      <w:pict>
        <v:shape id="_x0000_s2156" o:spid="_x0000_s2156" style="position:absolute;left:0pt;margin-left:69.35pt;margin-top:55.2pt;height:0.75pt;width:456.55pt;mso-position-horizontal-relative:page;mso-position-vertical-relative:page;z-index:251742208;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58" o:spid="_x0000_s2058" style="position:absolute;left:0pt;margin-left:88.55pt;margin-top:55.2pt;height:0.75pt;width:418.3pt;mso-position-horizontal-relative:page;mso-position-vertical-relative:page;z-index:25166950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95"/>
      <w:rPr>
        <w:rFonts w:ascii="宋体" w:hAnsi="宋体" w:eastAsia="宋体" w:cs="宋体"/>
        <w:sz w:val="18"/>
        <w:szCs w:val="18"/>
      </w:rPr>
    </w:pPr>
    <w:r>
      <w:pict>
        <v:shape id="_x0000_s2157" o:spid="_x0000_s2157" style="position:absolute;left:0pt;margin-left:69.35pt;margin-top:55.2pt;height:0.75pt;width:456.55pt;mso-position-horizontal-relative:page;mso-position-vertical-relative:page;z-index:251743232;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95"/>
      <w:rPr>
        <w:rFonts w:ascii="宋体" w:hAnsi="宋体" w:eastAsia="宋体" w:cs="宋体"/>
        <w:sz w:val="18"/>
        <w:szCs w:val="18"/>
      </w:rPr>
    </w:pPr>
    <w:r>
      <w:pict>
        <v:shape id="_x0000_s2158" o:spid="_x0000_s2158" style="position:absolute;left:0pt;margin-left:69.35pt;margin-top:55.2pt;height:0.75pt;width:456.55pt;mso-position-horizontal-relative:page;mso-position-vertical-relative:page;z-index:251744256;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279"/>
      <w:rPr>
        <w:rFonts w:ascii="宋体" w:hAnsi="宋体" w:eastAsia="宋体" w:cs="宋体"/>
        <w:sz w:val="18"/>
        <w:szCs w:val="18"/>
      </w:rPr>
    </w:pPr>
    <w:r>
      <w:pict>
        <v:shape id="_x0000_s2159" o:spid="_x0000_s2159" style="position:absolute;left:0pt;margin-left:69.35pt;margin-top:55.2pt;height:0.75pt;width:456.55pt;mso-position-horizontal-relative:page;mso-position-vertical-relative:page;z-index:251745280;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95"/>
      <w:rPr>
        <w:rFonts w:ascii="宋体" w:hAnsi="宋体" w:eastAsia="宋体" w:cs="宋体"/>
        <w:sz w:val="18"/>
        <w:szCs w:val="18"/>
      </w:rPr>
    </w:pPr>
    <w:r>
      <w:pict>
        <v:shape id="_x0000_s2160" o:spid="_x0000_s2160" style="position:absolute;left:0pt;margin-left:69.35pt;margin-top:55.2pt;height:0.75pt;width:456.55pt;mso-position-horizontal-relative:page;mso-position-vertical-relative:page;z-index:251746304;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95"/>
      <w:rPr>
        <w:rFonts w:ascii="宋体" w:hAnsi="宋体" w:eastAsia="宋体" w:cs="宋体"/>
        <w:sz w:val="18"/>
        <w:szCs w:val="18"/>
      </w:rPr>
    </w:pPr>
    <w:r>
      <w:pict>
        <v:shape id="_x0000_s2161" o:spid="_x0000_s2161" style="position:absolute;left:0pt;margin-left:69.35pt;margin-top:55.2pt;height:0.75pt;width:456.55pt;mso-position-horizontal-relative:page;mso-position-vertical-relative:page;z-index:251741184;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95"/>
      <w:rPr>
        <w:rFonts w:ascii="宋体" w:hAnsi="宋体" w:eastAsia="宋体" w:cs="宋体"/>
        <w:sz w:val="18"/>
        <w:szCs w:val="18"/>
      </w:rPr>
    </w:pPr>
    <w:r>
      <w:pict>
        <v:shape id="_x0000_s2162" o:spid="_x0000_s2162" style="position:absolute;left:0pt;margin-left:69.35pt;margin-top:55.2pt;height:0.75pt;width:456.55pt;mso-position-horizontal-relative:page;mso-position-vertical-relative:page;z-index:251747328;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279"/>
      <w:rPr>
        <w:rFonts w:ascii="宋体" w:hAnsi="宋体" w:eastAsia="宋体" w:cs="宋体"/>
        <w:sz w:val="18"/>
        <w:szCs w:val="18"/>
      </w:rPr>
    </w:pPr>
    <w:r>
      <w:pict>
        <v:shape id="_x0000_s2163" o:spid="_x0000_s2163" style="position:absolute;left:0pt;margin-left:69.35pt;margin-top:55.2pt;height:0.75pt;width:456.55pt;mso-position-horizontal-relative:page;mso-position-vertical-relative:page;z-index:251748352;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95"/>
      <w:rPr>
        <w:rFonts w:ascii="宋体" w:hAnsi="宋体" w:eastAsia="宋体" w:cs="宋体"/>
        <w:sz w:val="18"/>
        <w:szCs w:val="18"/>
      </w:rPr>
    </w:pPr>
    <w:r>
      <w:pict>
        <v:shape id="_x0000_s2164" o:spid="_x0000_s2164" style="position:absolute;left:0pt;margin-left:69.35pt;margin-top:55.2pt;height:0.75pt;width:456.55pt;mso-position-horizontal-relative:page;mso-position-vertical-relative:page;z-index:251749376;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279"/>
      <w:rPr>
        <w:rFonts w:ascii="宋体" w:hAnsi="宋体" w:eastAsia="宋体" w:cs="宋体"/>
        <w:sz w:val="18"/>
        <w:szCs w:val="18"/>
      </w:rPr>
    </w:pPr>
    <w:r>
      <w:pict>
        <v:shape id="_x0000_s2165" o:spid="_x0000_s2165" style="position:absolute;left:0pt;margin-left:69.35pt;margin-top:55.2pt;height:0.75pt;width:456.55pt;mso-position-horizontal-relative:page;mso-position-vertical-relative:page;z-index:251750400;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214"/>
      <w:rPr>
        <w:rFonts w:ascii="宋体" w:hAnsi="宋体" w:eastAsia="宋体" w:cs="宋体"/>
        <w:sz w:val="18"/>
        <w:szCs w:val="18"/>
      </w:rPr>
    </w:pPr>
    <w:r>
      <w:pict>
        <v:shape id="_x0000_s2166" o:spid="_x0000_s2166" style="position:absolute;left:0pt;margin-left:69.35pt;margin-top:55.2pt;height:0.75pt;width:456.55pt;mso-position-horizontal-relative:page;mso-position-vertical-relative:page;z-index:251751424;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59" o:spid="_x0000_s2059" style="position:absolute;left:0pt;margin-left:88.55pt;margin-top:55.2pt;height:0.75pt;width:418.3pt;mso-position-horizontal-relative:page;mso-position-vertical-relative:page;z-index:25167052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214"/>
      <w:rPr>
        <w:rFonts w:ascii="宋体" w:hAnsi="宋体" w:eastAsia="宋体" w:cs="宋体"/>
        <w:sz w:val="18"/>
        <w:szCs w:val="18"/>
      </w:rPr>
    </w:pPr>
    <w:r>
      <w:pict>
        <v:shape id="_x0000_s2167" o:spid="_x0000_s2167" style="position:absolute;left:0pt;margin-left:69.35pt;margin-top:55.2pt;height:0.75pt;width:456.55pt;mso-position-horizontal-relative:page;mso-position-vertical-relative:page;z-index:251752448;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279"/>
      <w:rPr>
        <w:rFonts w:ascii="宋体" w:hAnsi="宋体" w:eastAsia="宋体" w:cs="宋体"/>
        <w:sz w:val="18"/>
        <w:szCs w:val="18"/>
      </w:rPr>
    </w:pPr>
    <w:r>
      <w:pict>
        <v:shape id="_x0000_s2168" o:spid="_x0000_s2168" style="position:absolute;left:0pt;margin-left:69.35pt;margin-top:55.2pt;height:0.75pt;width:456.55pt;mso-position-horizontal-relative:page;mso-position-vertical-relative:page;z-index:251750400;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95"/>
      <w:rPr>
        <w:rFonts w:ascii="宋体" w:hAnsi="宋体" w:eastAsia="宋体" w:cs="宋体"/>
        <w:sz w:val="18"/>
        <w:szCs w:val="18"/>
      </w:rPr>
    </w:pPr>
    <w:r>
      <w:pict>
        <v:shape id="_x0000_s2169" o:spid="_x0000_s2169" style="position:absolute;left:0pt;margin-left:69.35pt;margin-top:55.2pt;height:0.75pt;width:456.55pt;mso-position-horizontal-relative:page;mso-position-vertical-relative:page;z-index:251741184;mso-width-relative:page;mso-height-relative:page;" fillcolor="#000000" filled="t" stroked="f" coordsize="9130,15" o:allowincell="f" path="m0,14l9130,14,9130,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7410"/>
      <w:rPr>
        <w:rFonts w:ascii="宋体" w:hAnsi="宋体" w:eastAsia="宋体" w:cs="宋体"/>
        <w:sz w:val="18"/>
        <w:szCs w:val="18"/>
      </w:rPr>
    </w:pPr>
    <w:r>
      <w:pict>
        <v:shape id="_x0000_s2170" o:spid="_x0000_s2170" style="position:absolute;left:0pt;margin-left:56.4pt;margin-top:52.4pt;height:0.75pt;width:1077.85pt;mso-position-horizontal-relative:page;mso-position-vertical-relative:page;z-index:251753472;mso-width-relative:page;mso-height-relative:page;" fillcolor="#000000" filled="t" stroked="f" coordsize="21556,15" o:allowincell="f" path="m0,14l21556,14,21556,0,0,0,0,14xe">
          <v:path/>
          <v:fill on="t" focussize="0,0"/>
          <v:stroke on="f"/>
          <v:imagedata o:title=""/>
          <o:lock v:ext="edit"/>
        </v:shape>
      </w:pict>
    </w:r>
    <w:r>
      <w:rPr>
        <w:rFonts w:ascii="宋体" w:hAnsi="宋体" w:eastAsia="宋体" w:cs="宋体"/>
        <w:sz w:val="18"/>
        <w:szCs w:val="18"/>
      </w:rPr>
      <w:t>溧阳至宁德高速公路（G4012）浙江景宁至文成段工程西坑互通连接</w:t>
    </w:r>
    <w:r>
      <w:rPr>
        <w:rFonts w:ascii="宋体" w:hAnsi="宋体" w:eastAsia="宋体" w:cs="宋体"/>
        <w:spacing w:val="-1"/>
        <w:sz w:val="18"/>
        <w:szCs w:val="18"/>
      </w:rPr>
      <w:t>线环境影响报告书</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699"/>
      <w:rPr>
        <w:rFonts w:ascii="宋体" w:hAnsi="宋体" w:eastAsia="宋体" w:cs="宋体"/>
        <w:sz w:val="18"/>
        <w:szCs w:val="18"/>
      </w:rPr>
    </w:pPr>
    <w:r>
      <w:pict>
        <v:shape id="_x0000_s2171" o:spid="_x0000_s2171" style="position:absolute;left:0pt;margin-left:70.55pt;margin-top:52.4pt;height:0.75pt;width:700.95pt;mso-position-horizontal-relative:page;mso-position-vertical-relative:page;z-index:251754496;mso-width-relative:page;mso-height-relative:page;" fillcolor="#000000" filled="t" stroked="f" coordsize="14019,15" o:allowincell="f" path="m0,14l14018,14,14018,0,0,0,0,14xe">
          <v:path/>
          <v:fill on="t" focussize="0,0"/>
          <v:stroke on="f"/>
          <v:imagedata o:title=""/>
          <o:lock v:ext="edit"/>
        </v:shape>
      </w:pict>
    </w:r>
    <w:r>
      <w:rPr>
        <w:rFonts w:ascii="宋体" w:hAnsi="宋体" w:eastAsia="宋体" w:cs="宋体"/>
        <w:sz w:val="18"/>
        <w:szCs w:val="18"/>
      </w:rPr>
      <w:t>溧阳至宁德高速公路（G4012）浙江景宁至文成段工程西坑互通连接</w:t>
    </w:r>
    <w:r>
      <w:rPr>
        <w:rFonts w:ascii="宋体" w:hAnsi="宋体" w:eastAsia="宋体" w:cs="宋体"/>
        <w:spacing w:val="-1"/>
        <w:sz w:val="18"/>
        <w:szCs w:val="18"/>
      </w:rPr>
      <w:t>线环境影响报告书</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72" o:spid="_x0000_s2172"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73" o:spid="_x0000_s2173" style="position:absolute;left:0pt;margin-left:88.55pt;margin-top:55.2pt;height:0.75pt;width:418.3pt;mso-position-horizontal-relative:page;mso-position-vertical-relative:page;z-index:25175552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74" o:spid="_x0000_s2174" style="position:absolute;left:0pt;margin-left:88.55pt;margin-top:55.2pt;height:0.75pt;width:418.3pt;mso-position-horizontal-relative:page;mso-position-vertical-relative:page;z-index:25168179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75" o:spid="_x0000_s2175" style="position:absolute;left:0pt;margin-left:88.55pt;margin-top:55.2pt;height:0.75pt;width:418.3pt;mso-position-horizontal-relative:page;mso-position-vertical-relative:page;z-index:25171148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76" o:spid="_x0000_s2176" style="position:absolute;left:0pt;margin-left:88.55pt;margin-top:55.2pt;height:0.75pt;width:418.3pt;mso-position-horizontal-relative:page;mso-position-vertical-relative:page;z-index:25166848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28"/>
      <w:rPr>
        <w:rFonts w:ascii="宋体" w:hAnsi="宋体" w:eastAsia="宋体" w:cs="宋体"/>
        <w:sz w:val="18"/>
        <w:szCs w:val="18"/>
      </w:rPr>
    </w:pPr>
    <w:r>
      <w:pict>
        <v:shape id="_x0000_s2060" o:spid="_x0000_s2060" style="position:absolute;left:0pt;margin-left:88.55pt;margin-top:55.2pt;height:0.75pt;width:418.3pt;mso-position-horizontal-relative:page;mso-position-vertical-relative:page;z-index:25167155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177" o:spid="_x0000_s2177" style="position:absolute;left:0pt;margin-left:88.55pt;margin-top:55.2pt;height:0.75pt;width:418.3pt;mso-position-horizontal-relative:page;mso-position-vertical-relative:page;z-index:25167564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78" o:spid="_x0000_s2178" style="position:absolute;left:0pt;margin-left:88.55pt;margin-top:55.2pt;height:0.75pt;width:418.3pt;mso-position-horizontal-relative:page;mso-position-vertical-relative:page;z-index:25166643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79" o:spid="_x0000_s2179" style="position:absolute;left:0pt;margin-left:88.55pt;margin-top:55.2pt;height:0.75pt;width:418.3pt;mso-position-horizontal-relative:page;mso-position-vertical-relative:page;z-index:25166336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80" o:spid="_x0000_s2180" style="position:absolute;left:0pt;margin-left:88.55pt;margin-top:55.2pt;height:0.75pt;width:418.3pt;mso-position-horizontal-relative:page;mso-position-vertical-relative:page;z-index:25166950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81" o:spid="_x0000_s2181" style="position:absolute;left:0pt;margin-left:88.55pt;margin-top:55.2pt;height:0.75pt;width:418.3pt;mso-position-horizontal-relative:page;mso-position-vertical-relative:page;z-index:25166336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82" o:spid="_x0000_s2182"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183" o:spid="_x0000_s2183" style="position:absolute;left:0pt;margin-left:88.55pt;margin-top:55.2pt;height:0.75pt;width:418.3pt;mso-position-horizontal-relative:page;mso-position-vertical-relative:page;z-index:25175654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84" o:spid="_x0000_s2184"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185" o:spid="_x0000_s2185" style="position:absolute;left:0pt;margin-left:88.55pt;margin-top:55.2pt;height:0.75pt;width:418.3pt;mso-position-horizontal-relative:page;mso-position-vertical-relative:page;z-index:25167872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86" o:spid="_x0000_s2186" style="position:absolute;left:0pt;margin-left:88.55pt;margin-top:55.2pt;height:0.75pt;width:418.3pt;mso-position-horizontal-relative:page;mso-position-vertical-relative:page;z-index:25168691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23"/>
      <w:rPr>
        <w:rFonts w:ascii="宋体" w:hAnsi="宋体" w:eastAsia="宋体" w:cs="宋体"/>
        <w:sz w:val="18"/>
        <w:szCs w:val="18"/>
      </w:rPr>
    </w:pPr>
    <w:r>
      <w:pict>
        <v:shape id="_x0000_s2061" o:spid="_x0000_s2061" style="position:absolute;left:0pt;margin-left:88.55pt;margin-top:55.2pt;height:0.75pt;width:418.3pt;mso-position-horizontal-relative:page;mso-position-vertical-relative:page;z-index:25167257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187" o:spid="_x0000_s2187" style="position:absolute;left:0pt;margin-left:88.55pt;margin-top:55.2pt;height:0.75pt;width:418.3pt;mso-position-horizontal-relative:page;mso-position-vertical-relative:page;z-index:25175756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88" o:spid="_x0000_s2188" style="position:absolute;left:0pt;margin-left:88.55pt;margin-top:55.2pt;height:0.75pt;width:418.3pt;mso-position-horizontal-relative:page;mso-position-vertical-relative:page;z-index:25175859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89" o:spid="_x0000_s2189" style="position:absolute;left:0pt;margin-left:88.55pt;margin-top:55.2pt;height:0.75pt;width:418.3pt;mso-position-horizontal-relative:page;mso-position-vertical-relative:page;z-index:25168486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666"/>
      <w:rPr>
        <w:rFonts w:ascii="宋体" w:hAnsi="宋体" w:eastAsia="宋体" w:cs="宋体"/>
        <w:sz w:val="18"/>
        <w:szCs w:val="18"/>
      </w:rPr>
    </w:pPr>
    <w:r>
      <w:pict>
        <v:shape id="_x0000_s2190" o:spid="_x0000_s2190" style="position:absolute;left:0pt;margin-left:70.55pt;margin-top:55.15pt;height:0.75pt;width:700.95pt;mso-position-horizontal-relative:page;mso-position-vertical-relative:page;z-index:251759616;mso-width-relative:page;mso-height-relative:page;" fillcolor="#000000" filled="t" stroked="f" coordsize="14019,15" o:allowincell="f" path="m0,14l14018,14,14018,0,0,0,0,14xe">
          <v:path/>
          <v:fill on="t" focussize="0,0"/>
          <v:stroke on="f"/>
          <v:imagedata o:title=""/>
          <o:lock v:ext="edit"/>
        </v:shape>
      </w:pict>
    </w:r>
    <w:r>
      <w:rPr>
        <w:rFonts w:ascii="宋体" w:hAnsi="宋体" w:eastAsia="宋体" w:cs="宋体"/>
        <w:sz w:val="18"/>
        <w:szCs w:val="18"/>
      </w:rPr>
      <w:t>溧阳至宁德高速公路（G4012）浙江景宁至文成段工程西坑互通连接</w:t>
    </w:r>
    <w:r>
      <w:rPr>
        <w:rFonts w:ascii="宋体" w:hAnsi="宋体" w:eastAsia="宋体" w:cs="宋体"/>
        <w:spacing w:val="-1"/>
        <w:sz w:val="18"/>
        <w:szCs w:val="18"/>
      </w:rPr>
      <w:t>线环境影响报告书</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95"/>
      <w:rPr>
        <w:rFonts w:ascii="宋体" w:hAnsi="宋体" w:eastAsia="宋体" w:cs="宋体"/>
        <w:sz w:val="18"/>
        <w:szCs w:val="18"/>
      </w:rPr>
    </w:pPr>
    <w:r>
      <w:pict>
        <v:shape id="_x0000_s2191" o:spid="_x0000_s2191" style="position:absolute;left:0pt;margin-left:69.5pt;margin-top:55.2pt;height:0.75pt;width:456.45pt;mso-position-horizontal-relative:page;mso-position-vertical-relative:page;z-index:251760640;mso-width-relative:page;mso-height-relative:page;" fillcolor="#000000" filled="t" stroked="f" coordsize="9129,15" o:allowincell="f" path="m0,14l9128,14,9128,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95"/>
      <w:rPr>
        <w:rFonts w:ascii="宋体" w:hAnsi="宋体" w:eastAsia="宋体" w:cs="宋体"/>
        <w:sz w:val="18"/>
        <w:szCs w:val="18"/>
      </w:rPr>
    </w:pPr>
    <w:r>
      <w:pict>
        <v:shape id="_x0000_s2192" o:spid="_x0000_s2192" style="position:absolute;left:0pt;margin-left:69.5pt;margin-top:55.2pt;height:0.75pt;width:456.45pt;mso-position-horizontal-relative:page;mso-position-vertical-relative:page;z-index:251761664;mso-width-relative:page;mso-height-relative:page;" fillcolor="#000000" filled="t" stroked="f" coordsize="9129,15" o:allowincell="f" path="m0,14l9128,14,9128,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279"/>
      <w:rPr>
        <w:rFonts w:ascii="宋体" w:hAnsi="宋体" w:eastAsia="宋体" w:cs="宋体"/>
        <w:sz w:val="18"/>
        <w:szCs w:val="18"/>
      </w:rPr>
    </w:pPr>
    <w:r>
      <w:pict>
        <v:shape id="_x0000_s2193" o:spid="_x0000_s2193" style="position:absolute;left:0pt;margin-left:69.5pt;margin-top:55.2pt;height:0.75pt;width:456.45pt;mso-position-horizontal-relative:page;mso-position-vertical-relative:page;z-index:251762688;mso-width-relative:page;mso-height-relative:page;" fillcolor="#000000" filled="t" stroked="f" coordsize="9129,15" o:allowincell="f" path="m0,14l9128,14,9128,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95"/>
      <w:rPr>
        <w:rFonts w:ascii="宋体" w:hAnsi="宋体" w:eastAsia="宋体" w:cs="宋体"/>
        <w:sz w:val="18"/>
        <w:szCs w:val="18"/>
      </w:rPr>
    </w:pPr>
    <w:r>
      <w:pict>
        <v:shape id="_x0000_s2194" o:spid="_x0000_s2194" style="position:absolute;left:0pt;margin-left:69.5pt;margin-top:55.2pt;height:0.75pt;width:456.45pt;mso-position-horizontal-relative:page;mso-position-vertical-relative:page;z-index:251763712;mso-width-relative:page;mso-height-relative:page;" fillcolor="#000000" filled="t" stroked="f" coordsize="9129,15" o:allowincell="f" path="m0,14l9128,14,9128,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7515"/>
      <w:rPr>
        <w:rFonts w:ascii="宋体" w:hAnsi="宋体" w:eastAsia="宋体" w:cs="宋体"/>
        <w:sz w:val="18"/>
        <w:szCs w:val="18"/>
      </w:rPr>
    </w:pPr>
    <w:r>
      <w:pict>
        <v:shape id="_x0000_s2195" o:spid="_x0000_s2195" style="position:absolute;left:0pt;margin-left:55.2pt;margin-top:55.2pt;height:0.75pt;width:1080.15pt;mso-position-horizontal-relative:page;mso-position-vertical-relative:page;z-index:251764736;mso-width-relative:page;mso-height-relative:page;" fillcolor="#000000" filled="t" stroked="f" coordsize="21603,15" o:allowincell="f" path="m0,14l21602,14,21602,0,0,0,0,14xe">
          <v:path/>
          <v:fill on="t" focussize="0,0"/>
          <v:stroke on="f"/>
          <v:imagedata o:title=""/>
          <o:lock v:ext="edit"/>
        </v:shape>
      </w:pict>
    </w:r>
    <w:r>
      <w:rPr>
        <w:rFonts w:ascii="宋体" w:hAnsi="宋体" w:eastAsia="宋体" w:cs="宋体"/>
        <w:sz w:val="18"/>
        <w:szCs w:val="18"/>
      </w:rPr>
      <w:t>溧阳至宁德高速公路（G4012）浙江景宁至文成段工程西坑互通连接</w:t>
    </w:r>
    <w:r>
      <w:rPr>
        <w:rFonts w:ascii="宋体" w:hAnsi="宋体" w:eastAsia="宋体" w:cs="宋体"/>
        <w:spacing w:val="-1"/>
        <w:sz w:val="18"/>
        <w:szCs w:val="18"/>
      </w:rPr>
      <w:t>线环境影响报告书</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96" o:spid="_x0000_s2196" style="position:absolute;left:0pt;margin-left:83.65pt;margin-top:55.2pt;height:0.75pt;width:428.15pt;mso-position-horizontal-relative:page;mso-position-vertical-relative:page;z-index:251765760;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96"/>
      <w:rPr>
        <w:rFonts w:ascii="宋体" w:hAnsi="宋体" w:eastAsia="宋体" w:cs="宋体"/>
        <w:sz w:val="18"/>
        <w:szCs w:val="18"/>
      </w:rPr>
    </w:pPr>
    <w:r>
      <w:pict>
        <v:shape id="_x0000_s2062" o:spid="_x0000_s2062" style="position:absolute;left:0pt;margin-left:88.55pt;margin-top:55.2pt;height:0.75pt;width:418.3pt;mso-position-horizontal-relative:page;mso-position-vertical-relative:page;z-index:25167360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97" o:spid="_x0000_s2197" style="position:absolute;left:0pt;margin-left:83.65pt;margin-top:55.2pt;height:0.75pt;width:428.15pt;mso-position-horizontal-relative:page;mso-position-vertical-relative:page;z-index:251766784;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98" o:spid="_x0000_s2198" style="position:absolute;left:0pt;margin-left:83.65pt;margin-top:55.2pt;height:0.75pt;width:428.15pt;mso-position-horizontal-relative:page;mso-position-vertical-relative:page;z-index:251767808;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99" o:spid="_x0000_s2199" style="position:absolute;left:0pt;margin-left:83.65pt;margin-top:55.2pt;height:0.75pt;width:428.15pt;mso-position-horizontal-relative:page;mso-position-vertical-relative:page;z-index:251765760;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200" o:spid="_x0000_s2200" style="position:absolute;left:0pt;margin-left:83.65pt;margin-top:55.2pt;height:0.75pt;width:428.15pt;mso-position-horizontal-relative:page;mso-position-vertical-relative:page;z-index:251768832;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201" o:spid="_x0000_s2201" style="position:absolute;left:0pt;margin-left:83.65pt;margin-top:55.2pt;height:0.75pt;width:428.15pt;mso-position-horizontal-relative:page;mso-position-vertical-relative:page;z-index:251769856;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202" o:spid="_x0000_s2202" style="position:absolute;left:0pt;margin-left:83.65pt;margin-top:55.2pt;height:0.75pt;width:428.15pt;mso-position-horizontal-relative:page;mso-position-vertical-relative:page;z-index:251770880;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203" o:spid="_x0000_s2203" style="position:absolute;left:0pt;margin-left:83.65pt;margin-top:55.2pt;height:0.75pt;width:428.15pt;mso-position-horizontal-relative:page;mso-position-vertical-relative:page;z-index:251765760;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00"/>
      <w:rPr>
        <w:rFonts w:ascii="宋体" w:hAnsi="宋体" w:eastAsia="宋体" w:cs="宋体"/>
        <w:sz w:val="18"/>
        <w:szCs w:val="18"/>
      </w:rPr>
    </w:pPr>
    <w:r>
      <w:pict>
        <v:shape id="_x0000_s2204" o:spid="_x0000_s2204" style="position:absolute;left:0pt;margin-left:88.55pt;margin-top:55.2pt;height:0.75pt;width:418.3pt;mso-position-horizontal-relative:page;mso-position-vertical-relative:page;z-index:25177190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205" o:spid="_x0000_s2205" style="position:absolute;left:0pt;margin-left:88.55pt;margin-top:55.2pt;height:0.75pt;width:418.3pt;mso-position-horizontal-relative:page;mso-position-vertical-relative:page;z-index:25167872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094"/>
      <w:rPr>
        <w:rFonts w:ascii="宋体" w:hAnsi="宋体" w:eastAsia="宋体" w:cs="宋体"/>
        <w:sz w:val="18"/>
        <w:szCs w:val="18"/>
      </w:rPr>
    </w:pPr>
    <w:r>
      <w:pict>
        <v:shape id="_x0000_s2206" o:spid="_x0000_s2206" style="position:absolute;left:0pt;margin-left:88.55pt;margin-top:55.2pt;height:0.75pt;width:418.3pt;mso-position-horizontal-relative:page;mso-position-vertical-relative:page;z-index:25177292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063" o:spid="_x0000_s2063" style="position:absolute;left:0pt;margin-left:88.55pt;margin-top:55.2pt;height:0.75pt;width:418.3pt;mso-position-horizontal-relative:page;mso-position-vertical-relative:page;z-index:25167564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41"/>
      <w:rPr>
        <w:rFonts w:ascii="宋体" w:hAnsi="宋体" w:eastAsia="宋体" w:cs="宋体"/>
        <w:sz w:val="18"/>
        <w:szCs w:val="18"/>
      </w:rPr>
    </w:pPr>
    <w:r>
      <w:pict>
        <v:shape id="_x0000_s2207" o:spid="_x0000_s2207" style="position:absolute;left:0pt;margin-left:88.55pt;margin-top:55.2pt;height:0.75pt;width:418.3pt;mso-position-horizontal-relative:page;mso-position-vertical-relative:page;z-index:25177395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8"/>
      <w:rPr>
        <w:rFonts w:ascii="宋体" w:hAnsi="宋体" w:eastAsia="宋体" w:cs="宋体"/>
        <w:sz w:val="18"/>
        <w:szCs w:val="18"/>
      </w:rPr>
    </w:pPr>
    <w:r>
      <w:pict>
        <v:shape id="_x0000_s2208" o:spid="_x0000_s2208" style="position:absolute;left:0pt;margin-left:88.55pt;margin-top:55.2pt;height:0.75pt;width:418.3pt;mso-position-horizontal-relative:page;mso-position-vertical-relative:page;z-index:25177497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209" o:spid="_x0000_s2209" style="position:absolute;left:0pt;margin-left:88.55pt;margin-top:55.2pt;height:0.75pt;width:418.3pt;mso-position-horizontal-relative:page;mso-position-vertical-relative:page;z-index:25177600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210" o:spid="_x0000_s2210" style="position:absolute;left:0pt;margin-left:88.55pt;margin-top:55.2pt;height:0.75pt;width:418.3pt;mso-position-horizontal-relative:page;mso-position-vertical-relative:page;z-index:25172377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211" o:spid="_x0000_s2211" style="position:absolute;left:0pt;margin-left:88.55pt;margin-top:55.2pt;height:0.75pt;width:418.3pt;mso-position-horizontal-relative:page;mso-position-vertical-relative:page;z-index:25177702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00"/>
      <w:rPr>
        <w:rFonts w:ascii="宋体" w:hAnsi="宋体" w:eastAsia="宋体" w:cs="宋体"/>
        <w:sz w:val="18"/>
        <w:szCs w:val="18"/>
      </w:rPr>
    </w:pPr>
    <w:r>
      <w:pict>
        <v:shape id="_x0000_s2212" o:spid="_x0000_s2212" style="position:absolute;left:0pt;margin-left:88.55pt;margin-top:55.2pt;height:0.75pt;width:418.3pt;mso-position-horizontal-relative:page;mso-position-vertical-relative:page;z-index:25177804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213" o:spid="_x0000_s2213" style="position:absolute;left:0pt;margin-left:88.55pt;margin-top:55.2pt;height:0.75pt;width:418.3pt;mso-position-horizontal-relative:page;mso-position-vertical-relative:page;z-index:25166336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214" o:spid="_x0000_s2214" style="position:absolute;left:0pt;margin-left:88.55pt;margin-top:55.2pt;height:0.75pt;width:418.3pt;mso-position-horizontal-relative:page;mso-position-vertical-relative:page;z-index:25169920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215" o:spid="_x0000_s2215" style="position:absolute;left:0pt;margin-left:88.55pt;margin-top:55.2pt;height:0.75pt;width:418.3pt;mso-position-horizontal-relative:page;mso-position-vertical-relative:page;z-index:25177907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216" o:spid="_x0000_s2216" style="position:absolute;left:0pt;margin-left:88.55pt;margin-top:55.2pt;height:0.75pt;width:418.3pt;mso-position-horizontal-relative:page;mso-position-vertical-relative:page;z-index:25167769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64" o:spid="_x0000_s2064" style="position:absolute;left:0pt;margin-left:88.55pt;margin-top:55.2pt;height:0.75pt;width:418.3pt;mso-position-horizontal-relative:page;mso-position-vertical-relative:page;z-index:25167667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217" o:spid="_x0000_s2217" style="position:absolute;left:0pt;margin-left:88.55pt;margin-top:55.2pt;height:0.75pt;width:418.3pt;mso-position-horizontal-relative:page;mso-position-vertical-relative:page;z-index:25178009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218" o:spid="_x0000_s2218" style="position:absolute;left:0pt;margin-left:88.55pt;margin-top:55.2pt;height:0.75pt;width:418.3pt;mso-position-horizontal-relative:page;mso-position-vertical-relative:page;z-index:25166643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00"/>
      <w:rPr>
        <w:rFonts w:ascii="宋体" w:hAnsi="宋体" w:eastAsia="宋体" w:cs="宋体"/>
        <w:sz w:val="18"/>
        <w:szCs w:val="18"/>
      </w:rPr>
    </w:pPr>
    <w:r>
      <w:pict>
        <v:shape id="_x0000_s2219" o:spid="_x0000_s2219" style="position:absolute;left:0pt;margin-left:88.55pt;margin-top:55.2pt;height:0.75pt;width:418.3pt;mso-position-horizontal-relative:page;mso-position-vertical-relative:page;z-index:25177190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220" o:spid="_x0000_s2220" style="position:absolute;left:0pt;margin-left:88.55pt;margin-top:55.2pt;height:0.75pt;width:418.3pt;mso-position-horizontal-relative:page;mso-position-vertical-relative:page;z-index:25166643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186"/>
      <w:rPr>
        <w:rFonts w:ascii="宋体" w:hAnsi="宋体" w:eastAsia="宋体" w:cs="宋体"/>
        <w:sz w:val="18"/>
        <w:szCs w:val="18"/>
      </w:rPr>
    </w:pPr>
    <w:r>
      <w:pict>
        <v:shape id="_x0000_s2221" o:spid="_x0000_s2221" style="position:absolute;left:0pt;margin-left:88.55pt;margin-top:55.2pt;height:0.75pt;width:418.3pt;mso-position-horizontal-relative:page;mso-position-vertical-relative:page;z-index:25178112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222" o:spid="_x0000_s2222" style="position:absolute;left:0pt;margin-left:88.55pt;margin-top:55.2pt;height:0.75pt;width:418.3pt;mso-position-horizontal-relative:page;mso-position-vertical-relative:page;z-index:25167872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07"/>
      <w:rPr>
        <w:rFonts w:ascii="宋体" w:hAnsi="宋体" w:eastAsia="宋体" w:cs="宋体"/>
        <w:sz w:val="18"/>
        <w:szCs w:val="18"/>
      </w:rPr>
    </w:pPr>
    <w:r>
      <w:pict>
        <v:shape id="_x0000_s2223" o:spid="_x0000_s2223" style="position:absolute;left:0pt;margin-left:88.55pt;margin-top:55.2pt;height:0.75pt;width:418.3pt;mso-position-horizontal-relative:page;mso-position-vertical-relative:page;z-index:25171046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96"/>
      <w:rPr>
        <w:rFonts w:ascii="宋体" w:hAnsi="宋体" w:eastAsia="宋体" w:cs="宋体"/>
        <w:sz w:val="18"/>
        <w:szCs w:val="18"/>
      </w:rPr>
    </w:pPr>
    <w:r>
      <w:pict>
        <v:shape id="_x0000_s2224" o:spid="_x0000_s2224" style="position:absolute;left:0pt;margin-left:88.55pt;margin-top:55.2pt;height:0.75pt;width:418.3pt;mso-position-horizontal-relative:page;mso-position-vertical-relative:page;z-index:25167360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65" o:spid="_x0000_s2065" style="position:absolute;left:0pt;margin-left:88.55pt;margin-top:55.2pt;height:0.75pt;width:418.3pt;mso-position-horizontal-relative:page;mso-position-vertical-relative:page;z-index:25167769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66" o:spid="_x0000_s2066" style="position:absolute;left:0pt;margin-left:88.55pt;margin-top:55.2pt;height:0.75pt;width:418.3pt;mso-position-horizontal-relative:page;mso-position-vertical-relative:page;z-index:25166336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49" o:spid="_x0000_s2049" style="position:absolute;left:0pt;margin-left:88.55pt;margin-top:55.2pt;height:0.75pt;width:418.3pt;mso-position-horizontal-relative:page;mso-position-vertical-relative:page;z-index:25166028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067" o:spid="_x0000_s2067" style="position:absolute;left:0pt;margin-left:88.55pt;margin-top:55.2pt;height:0.75pt;width:418.3pt;mso-position-horizontal-relative:page;mso-position-vertical-relative:page;z-index:25167872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068" o:spid="_x0000_s2068" style="position:absolute;left:0pt;margin-left:88.55pt;margin-top:55.2pt;height:0.75pt;width:418.3pt;mso-position-horizontal-relative:page;mso-position-vertical-relative:page;z-index:25167974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069" o:spid="_x0000_s2069" style="position:absolute;left:0pt;margin-left:88.55pt;margin-top:55.2pt;height:0.75pt;width:418.3pt;mso-position-horizontal-relative:page;mso-position-vertical-relative:page;z-index:25167872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306"/>
      <w:rPr>
        <w:rFonts w:ascii="宋体" w:hAnsi="宋体" w:eastAsia="宋体" w:cs="宋体"/>
        <w:sz w:val="18"/>
        <w:szCs w:val="18"/>
      </w:rPr>
    </w:pPr>
    <w:r>
      <w:pict>
        <v:shape id="_x0000_s2070" o:spid="_x0000_s2070" style="position:absolute;left:0pt;margin-left:88.55pt;margin-top:55.2pt;height:0.75pt;width:418.3pt;mso-position-horizontal-relative:page;mso-position-vertical-relative:page;z-index:25168076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71" o:spid="_x0000_s2071" style="position:absolute;left:0pt;margin-left:88.55pt;margin-top:55.2pt;height:0.75pt;width:418.3pt;mso-position-horizontal-relative:page;mso-position-vertical-relative:page;z-index:25168179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72" o:spid="_x0000_s2072" style="position:absolute;left:0pt;margin-left:88.55pt;margin-top:55.2pt;height:0.75pt;width:418.3pt;mso-position-horizontal-relative:page;mso-position-vertical-relative:page;z-index:25167769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30"/>
      <w:rPr>
        <w:rFonts w:ascii="宋体" w:hAnsi="宋体" w:eastAsia="宋体" w:cs="宋体"/>
        <w:sz w:val="18"/>
        <w:szCs w:val="18"/>
      </w:rPr>
    </w:pPr>
    <w:r>
      <w:pict>
        <v:shape id="_x0000_s2073" o:spid="_x0000_s2073" style="position:absolute;left:0pt;margin-left:88.55pt;margin-top:55.2pt;height:0.75pt;width:418.3pt;mso-position-horizontal-relative:page;mso-position-vertical-relative:page;z-index:25168281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74" o:spid="_x0000_s2074"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75" o:spid="_x0000_s2075" style="position:absolute;left:0pt;margin-left:88.55pt;margin-top:55.2pt;height:0.75pt;width:418.3pt;mso-position-horizontal-relative:page;mso-position-vertical-relative:page;z-index:25168384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76" o:spid="_x0000_s2076" style="position:absolute;left:0pt;margin-left:88.55pt;margin-top:55.2pt;height:0.75pt;width:418.3pt;mso-position-horizontal-relative:page;mso-position-vertical-relative:page;z-index:25168486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50" o:spid="_x0000_s2050" style="position:absolute;left:0pt;margin-left:88.55pt;margin-top:55.2pt;height:0.75pt;width:418.3pt;mso-position-horizontal-relative:page;mso-position-vertical-relative:page;z-index:25166131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77" o:spid="_x0000_s2077" style="position:absolute;left:0pt;margin-left:88.55pt;margin-top:55.2pt;height:0.75pt;width:418.3pt;mso-position-horizontal-relative:page;mso-position-vertical-relative:page;z-index:25168588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78" o:spid="_x0000_s2078" style="position:absolute;left:0pt;margin-left:88.55pt;margin-top:55.2pt;height:0.75pt;width:418.3pt;mso-position-horizontal-relative:page;mso-position-vertical-relative:page;z-index:25168691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79" o:spid="_x0000_s2079" style="position:absolute;left:0pt;margin-left:88.55pt;margin-top:55.2pt;height:0.75pt;width:418.3pt;mso-position-horizontal-relative:page;mso-position-vertical-relative:page;z-index:25168793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80" o:spid="_x0000_s2080" style="position:absolute;left:0pt;margin-left:88.55pt;margin-top:55.2pt;height:0.75pt;width:418.3pt;mso-position-horizontal-relative:page;mso-position-vertical-relative:page;z-index:25168896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745"/>
      <w:rPr>
        <w:rFonts w:ascii="宋体" w:hAnsi="宋体" w:eastAsia="宋体" w:cs="宋体"/>
        <w:sz w:val="18"/>
        <w:szCs w:val="18"/>
      </w:rPr>
    </w:pPr>
    <w:r>
      <w:pict>
        <v:shape id="_x0000_s2081" o:spid="_x0000_s2081" style="position:absolute;left:0pt;margin-left:70.55pt;margin-top:55.15pt;height:0.75pt;width:700.95pt;mso-position-horizontal-relative:page;mso-position-vertical-relative:page;z-index:251689984;mso-width-relative:page;mso-height-relative:page;" fillcolor="#000000" filled="t" stroked="f" coordsize="14019,15" o:allowincell="f" path="m0,14l14018,14,14018,0,0,0,0,14xe">
          <v:path/>
          <v:fill on="t" focussize="0,0"/>
          <v:stroke on="f"/>
          <v:imagedata o:title=""/>
          <o:lock v:ext="edit"/>
        </v:shape>
      </w:pict>
    </w:r>
    <w:r>
      <w:rPr>
        <w:rFonts w:ascii="宋体" w:hAnsi="宋体" w:eastAsia="宋体" w:cs="宋体"/>
        <w:sz w:val="18"/>
        <w:szCs w:val="18"/>
      </w:rPr>
      <w:t>溧阳至宁德高速公路（G4012）浙江景宁至文成段工程西坑互通连接</w:t>
    </w:r>
    <w:r>
      <w:rPr>
        <w:rFonts w:ascii="宋体" w:hAnsi="宋体" w:eastAsia="宋体" w:cs="宋体"/>
        <w:spacing w:val="-1"/>
        <w:sz w:val="18"/>
        <w:szCs w:val="18"/>
      </w:rPr>
      <w:t>线环境影响报告书</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639"/>
      <w:rPr>
        <w:rFonts w:ascii="宋体" w:hAnsi="宋体" w:eastAsia="宋体" w:cs="宋体"/>
        <w:sz w:val="18"/>
        <w:szCs w:val="18"/>
      </w:rPr>
    </w:pPr>
    <w:r>
      <w:pict>
        <v:shape id="_x0000_s2082" o:spid="_x0000_s2082" style="position:absolute;left:0pt;margin-left:70.55pt;margin-top:49.55pt;height:0.75pt;width:700.95pt;mso-position-horizontal-relative:page;mso-position-vertical-relative:page;z-index:251691008;mso-width-relative:page;mso-height-relative:page;" fillcolor="#000000" filled="t" stroked="f" coordsize="14019,15" o:allowincell="f" path="m0,14l14018,14,14018,0,0,0,0,14xe">
          <v:path/>
          <v:fill on="t" focussize="0,0"/>
          <v:stroke on="f"/>
          <v:imagedata o:title=""/>
          <o:lock v:ext="edit"/>
        </v:shape>
      </w:pict>
    </w:r>
    <w:r>
      <w:rPr>
        <w:rFonts w:ascii="宋体" w:hAnsi="宋体" w:eastAsia="宋体" w:cs="宋体"/>
        <w:sz w:val="18"/>
        <w:szCs w:val="18"/>
      </w:rPr>
      <w:t>溧阳至宁德高速公路（G4012）浙江景宁至文成段工程西坑互通连接</w:t>
    </w:r>
    <w:r>
      <w:rPr>
        <w:rFonts w:ascii="宋体" w:hAnsi="宋体" w:eastAsia="宋体" w:cs="宋体"/>
        <w:spacing w:val="-1"/>
        <w:sz w:val="18"/>
        <w:szCs w:val="18"/>
      </w:rPr>
      <w:t>线环境影响报告书</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83" o:spid="_x0000_s2083" style="position:absolute;left:0pt;margin-left:88.55pt;margin-top:55.2pt;height:0.75pt;width:418.3pt;mso-position-horizontal-relative:page;mso-position-vertical-relative:page;z-index:25169203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84" o:spid="_x0000_s2084"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7"/>
      <w:rPr>
        <w:rFonts w:ascii="宋体" w:hAnsi="宋体" w:eastAsia="宋体" w:cs="宋体"/>
        <w:sz w:val="18"/>
        <w:szCs w:val="18"/>
      </w:rPr>
    </w:pPr>
    <w:r>
      <w:pict>
        <v:shape id="_x0000_s2085" o:spid="_x0000_s2085" style="position:absolute;left:0pt;margin-left:88.55pt;margin-top:55.2pt;height:0.75pt;width:418.3pt;mso-position-horizontal-relative:page;mso-position-vertical-relative:page;z-index:2516930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7304"/>
      <w:rPr>
        <w:rFonts w:ascii="宋体" w:hAnsi="宋体" w:eastAsia="宋体" w:cs="宋体"/>
        <w:sz w:val="18"/>
        <w:szCs w:val="18"/>
      </w:rPr>
    </w:pPr>
    <w:r>
      <w:pict>
        <v:shape id="_x0000_s2086" o:spid="_x0000_s2086" style="position:absolute;left:0pt;margin-left:70.55pt;margin-top:55.2pt;height:0.75pt;width:1049.65pt;mso-position-horizontal-relative:page;mso-position-vertical-relative:page;z-index:251694080;mso-width-relative:page;mso-height-relative:page;" fillcolor="#000000" filled="t" stroked="f" coordsize="20993,15" o:allowincell="f" path="m0,14l20992,14,20992,0,0,0,0,14xe">
          <v:path/>
          <v:fill on="t" focussize="0,0"/>
          <v:stroke on="f"/>
          <v:imagedata o:title=""/>
          <o:lock v:ext="edit"/>
        </v:shape>
      </w:pict>
    </w:r>
    <w:r>
      <w:rPr>
        <w:rFonts w:ascii="宋体" w:hAnsi="宋体" w:eastAsia="宋体" w:cs="宋体"/>
        <w:sz w:val="18"/>
        <w:szCs w:val="18"/>
      </w:rPr>
      <w:t>溧阳至宁德高速公路（G4012）浙江景宁至文成段工程西坑互通连接</w:t>
    </w:r>
    <w:r>
      <w:rPr>
        <w:rFonts w:ascii="宋体" w:hAnsi="宋体" w:eastAsia="宋体" w:cs="宋体"/>
        <w:spacing w:val="-1"/>
        <w:sz w:val="18"/>
        <w:szCs w:val="18"/>
      </w:rPr>
      <w:t>线环境影响报告书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51" o:spid="_x0000_s2051" style="position:absolute;left:0pt;margin-left:88.55pt;margin-top:55.2pt;height:0.75pt;width:418.3pt;mso-position-horizontal-relative:page;mso-position-vertical-relative:page;z-index:25166233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090"/>
      <w:rPr>
        <w:rFonts w:ascii="宋体" w:hAnsi="宋体" w:eastAsia="宋体" w:cs="宋体"/>
        <w:sz w:val="18"/>
        <w:szCs w:val="18"/>
      </w:rPr>
    </w:pPr>
    <w:r>
      <w:pict>
        <v:shape id="_x0000_s2087" o:spid="_x0000_s2087" style="position:absolute;left:0pt;margin-left:88.55pt;margin-top:55.2pt;height:0.75pt;width:418.3pt;mso-position-horizontal-relative:page;mso-position-vertical-relative:page;z-index:25169510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36"/>
      <w:rPr>
        <w:rFonts w:ascii="宋体" w:hAnsi="宋体" w:eastAsia="宋体" w:cs="宋体"/>
        <w:sz w:val="18"/>
        <w:szCs w:val="18"/>
      </w:rPr>
    </w:pPr>
    <w:r>
      <w:pict>
        <v:shape id="_x0000_s2088" o:spid="_x0000_s2088" style="position:absolute;left:0pt;margin-left:88.55pt;margin-top:55.2pt;height:0.75pt;width:418.3pt;mso-position-horizontal-relative:page;mso-position-vertical-relative:page;z-index:25169612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003"/>
      <w:rPr>
        <w:rFonts w:ascii="宋体" w:hAnsi="宋体" w:eastAsia="宋体" w:cs="宋体"/>
        <w:sz w:val="18"/>
        <w:szCs w:val="18"/>
      </w:rPr>
    </w:pPr>
    <w:r>
      <w:pict>
        <v:shape id="_x0000_s2089" o:spid="_x0000_s2089" style="position:absolute;left:0pt;margin-left:88.55pt;margin-top:55.2pt;height:0.75pt;width:418.3pt;mso-position-horizontal-relative:page;mso-position-vertical-relative:page;z-index:25169715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855"/>
      <w:rPr>
        <w:rFonts w:ascii="宋体" w:hAnsi="宋体" w:eastAsia="宋体" w:cs="宋体"/>
        <w:sz w:val="18"/>
        <w:szCs w:val="18"/>
      </w:rPr>
    </w:pPr>
    <w:r>
      <w:pict>
        <v:shape id="_x0000_s2090" o:spid="_x0000_s2090" style="position:absolute;left:0pt;margin-left:70.55pt;margin-top:55.15pt;height:0.75pt;width:700.95pt;mso-position-horizontal-relative:page;mso-position-vertical-relative:page;z-index:251698176;mso-width-relative:page;mso-height-relative:page;" fillcolor="#000000" filled="t" stroked="f" coordsize="14019,15" o:allowincell="f" path="m0,14l14018,14,14018,0,0,0,0,14xe">
          <v:path/>
          <v:fill on="t" focussize="0,0"/>
          <v:stroke on="f"/>
          <v:imagedata o:title=""/>
          <o:lock v:ext="edit"/>
        </v:shape>
      </w:pict>
    </w:r>
    <w:r>
      <w:rPr>
        <w:rFonts w:ascii="宋体" w:hAnsi="宋体" w:eastAsia="宋体" w:cs="宋体"/>
        <w:sz w:val="18"/>
        <w:szCs w:val="18"/>
      </w:rPr>
      <w:t>溧阳至宁德高速公路（G4012）浙江景宁至文成段工程西坑互通连接</w:t>
    </w:r>
    <w:r>
      <w:rPr>
        <w:rFonts w:ascii="宋体" w:hAnsi="宋体" w:eastAsia="宋体" w:cs="宋体"/>
        <w:spacing w:val="-1"/>
        <w:sz w:val="18"/>
        <w:szCs w:val="18"/>
      </w:rPr>
      <w:t>线环境影响报告书</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91" o:spid="_x0000_s2091" style="position:absolute;left:0pt;margin-left:88.55pt;margin-top:55.2pt;height:0.75pt;width:418.3pt;mso-position-horizontal-relative:page;mso-position-vertical-relative:page;z-index:25169920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044"/>
      <w:rPr>
        <w:rFonts w:ascii="宋体" w:hAnsi="宋体" w:eastAsia="宋体" w:cs="宋体"/>
        <w:sz w:val="18"/>
        <w:szCs w:val="18"/>
      </w:rPr>
    </w:pPr>
    <w:r>
      <w:pict>
        <v:shape id="_x0000_s2092" o:spid="_x0000_s2092" style="position:absolute;left:0pt;margin-left:88.55pt;margin-top:55.2pt;height:0.75pt;width:418.3pt;mso-position-horizontal-relative:page;mso-position-vertical-relative:page;z-index:25170022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93" o:spid="_x0000_s2093"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94" o:spid="_x0000_s2094" style="position:absolute;left:0pt;margin-left:88.55pt;margin-top:55.2pt;height:0.75pt;width:418.3pt;mso-position-horizontal-relative:page;mso-position-vertical-relative:page;z-index:25170124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95" o:spid="_x0000_s2095" style="position:absolute;left:0pt;margin-left:88.55pt;margin-top:55.2pt;height:0.75pt;width:418.3pt;mso-position-horizontal-relative:page;mso-position-vertical-relative:page;z-index:25170227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7"/>
      <w:rPr>
        <w:rFonts w:ascii="宋体" w:hAnsi="宋体" w:eastAsia="宋体" w:cs="宋体"/>
        <w:sz w:val="18"/>
        <w:szCs w:val="18"/>
      </w:rPr>
    </w:pPr>
    <w:r>
      <w:pict>
        <v:shape id="_x0000_s2096" o:spid="_x0000_s2096" style="position:absolute;left:0pt;margin-left:88.55pt;margin-top:55.2pt;height:0.75pt;width:418.3pt;mso-position-horizontal-relative:page;mso-position-vertical-relative:page;z-index:2516930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52" o:spid="_x0000_s2052" style="position:absolute;left:0pt;margin-left:88.55pt;margin-top:55.2pt;height:0.75pt;width:418.3pt;mso-position-horizontal-relative:page;mso-position-vertical-relative:page;z-index:25166336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96"/>
      <w:rPr>
        <w:rFonts w:ascii="宋体" w:hAnsi="宋体" w:eastAsia="宋体" w:cs="宋体"/>
        <w:sz w:val="18"/>
        <w:szCs w:val="18"/>
      </w:rPr>
    </w:pPr>
    <w:r>
      <w:pict>
        <v:shape id="_x0000_s2097" o:spid="_x0000_s2097" style="position:absolute;left:0pt;margin-left:88.55pt;margin-top:55.2pt;height:0.75pt;width:418.3pt;mso-position-horizontal-relative:page;mso-position-vertical-relative:page;z-index:25170329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98" o:spid="_x0000_s2098" style="position:absolute;left:0pt;margin-left:88.55pt;margin-top:55.2pt;height:0.75pt;width:418.3pt;mso-position-horizontal-relative:page;mso-position-vertical-relative:page;z-index:25170432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99" o:spid="_x0000_s2099" style="position:absolute;left:0pt;margin-left:88.55pt;margin-top:55.2pt;height:0.75pt;width:418.3pt;mso-position-horizontal-relative:page;mso-position-vertical-relative:page;z-index:25167769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00" o:spid="_x0000_s2100" style="position:absolute;left:0pt;margin-left:88.55pt;margin-top:55.2pt;height:0.75pt;width:418.3pt;mso-position-horizontal-relative:page;mso-position-vertical-relative:page;z-index:25168588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282"/>
      <w:rPr>
        <w:rFonts w:ascii="宋体" w:hAnsi="宋体" w:eastAsia="宋体" w:cs="宋体"/>
        <w:sz w:val="18"/>
        <w:szCs w:val="18"/>
      </w:rPr>
    </w:pPr>
    <w:r>
      <w:pict>
        <v:shape id="_x0000_s2101" o:spid="_x0000_s2101" style="position:absolute;left:0pt;margin-left:88.55pt;margin-top:55.2pt;height:0.75pt;width:418.3pt;mso-position-horizontal-relative:page;mso-position-vertical-relative:page;z-index:25170534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226"/>
      <w:rPr>
        <w:rFonts w:ascii="宋体" w:hAnsi="宋体" w:eastAsia="宋体" w:cs="宋体"/>
        <w:sz w:val="18"/>
        <w:szCs w:val="18"/>
      </w:rPr>
    </w:pPr>
    <w:r>
      <w:pict>
        <v:shape id="_x0000_s2102" o:spid="_x0000_s2102" style="position:absolute;left:0pt;margin-left:88.55pt;margin-top:55.2pt;height:0.75pt;width:418.3pt;mso-position-horizontal-relative:page;mso-position-vertical-relative:page;z-index:25170636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210"/>
      <w:rPr>
        <w:rFonts w:ascii="宋体" w:hAnsi="宋体" w:eastAsia="宋体" w:cs="宋体"/>
        <w:sz w:val="18"/>
        <w:szCs w:val="18"/>
      </w:rPr>
    </w:pPr>
    <w:r>
      <w:pict>
        <v:shape id="_x0000_s2103" o:spid="_x0000_s2103" style="position:absolute;left:0pt;margin-left:88.55pt;margin-top:55.2pt;height:0.75pt;width:418.3pt;mso-position-horizontal-relative:page;mso-position-vertical-relative:page;z-index:25170739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337"/>
      <w:rPr>
        <w:rFonts w:ascii="宋体" w:hAnsi="宋体" w:eastAsia="宋体" w:cs="宋体"/>
        <w:sz w:val="18"/>
        <w:szCs w:val="18"/>
      </w:rPr>
    </w:pPr>
    <w:r>
      <w:pict>
        <v:shape id="_x0000_s2104" o:spid="_x0000_s2104" style="position:absolute;left:0pt;margin-left:88.55pt;margin-top:55.2pt;height:0.75pt;width:418.3pt;mso-position-horizontal-relative:page;mso-position-vertical-relative:page;z-index:25170841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05" o:spid="_x0000_s2105"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06" o:spid="_x0000_s2106" style="position:absolute;left:0pt;margin-left:88.55pt;margin-top:55.2pt;height:0.75pt;width:418.3pt;mso-position-horizontal-relative:page;mso-position-vertical-relative:page;z-index:25170124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53" o:spid="_x0000_s2053" style="position:absolute;left:0pt;margin-left:88.55pt;margin-top:55.2pt;height:0.75pt;width:418.3pt;mso-position-horizontal-relative:page;mso-position-vertical-relative:page;z-index:25166438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07" o:spid="_x0000_s2107"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282"/>
      <w:rPr>
        <w:rFonts w:ascii="宋体" w:hAnsi="宋体" w:eastAsia="宋体" w:cs="宋体"/>
        <w:sz w:val="18"/>
        <w:szCs w:val="18"/>
      </w:rPr>
    </w:pPr>
    <w:r>
      <w:pict>
        <v:shape id="_x0000_s2108" o:spid="_x0000_s2108" style="position:absolute;left:0pt;margin-left:88.55pt;margin-top:55.2pt;height:0.75pt;width:418.3pt;mso-position-horizontal-relative:page;mso-position-vertical-relative:page;z-index:25170534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015"/>
      <w:rPr>
        <w:rFonts w:ascii="宋体" w:hAnsi="宋体" w:eastAsia="宋体" w:cs="宋体"/>
        <w:sz w:val="18"/>
        <w:szCs w:val="18"/>
      </w:rPr>
    </w:pPr>
    <w:r>
      <w:pict>
        <v:shape id="_x0000_s2109" o:spid="_x0000_s2109" style="position:absolute;left:0pt;margin-left:88.55pt;margin-top:55.2pt;height:0.75pt;width:418.3pt;mso-position-horizontal-relative:page;mso-position-vertical-relative:page;z-index:25170944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226"/>
      <w:rPr>
        <w:rFonts w:ascii="宋体" w:hAnsi="宋体" w:eastAsia="宋体" w:cs="宋体"/>
        <w:sz w:val="18"/>
        <w:szCs w:val="18"/>
      </w:rPr>
    </w:pPr>
    <w:r>
      <w:pict>
        <v:shape id="_x0000_s2110" o:spid="_x0000_s2110" style="position:absolute;left:0pt;margin-left:88.55pt;margin-top:55.2pt;height:0.75pt;width:418.3pt;mso-position-horizontal-relative:page;mso-position-vertical-relative:page;z-index:25170636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07"/>
      <w:rPr>
        <w:rFonts w:ascii="宋体" w:hAnsi="宋体" w:eastAsia="宋体" w:cs="宋体"/>
        <w:sz w:val="18"/>
        <w:szCs w:val="18"/>
      </w:rPr>
    </w:pPr>
    <w:r>
      <w:pict>
        <v:shape id="_x0000_s2111" o:spid="_x0000_s2111" style="position:absolute;left:0pt;margin-left:88.55pt;margin-top:55.2pt;height:0.75pt;width:418.3pt;mso-position-horizontal-relative:page;mso-position-vertical-relative:page;z-index:25171046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12" o:spid="_x0000_s2112" style="position:absolute;left:0pt;margin-left:88.55pt;margin-top:55.2pt;height:0.75pt;width:418.3pt;mso-position-horizontal-relative:page;mso-position-vertical-relative:page;z-index:25171148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13" o:spid="_x0000_s2113" style="position:absolute;left:0pt;margin-left:88.55pt;margin-top:55.2pt;height:0.75pt;width:418.3pt;mso-position-horizontal-relative:page;mso-position-vertical-relative:page;z-index:25168588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14" o:spid="_x0000_s2114" style="position:absolute;left:0pt;margin-left:88.55pt;margin-top:55.2pt;height:0.75pt;width:418.3pt;mso-position-horizontal-relative:page;mso-position-vertical-relative:page;z-index:25166540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15" o:spid="_x0000_s2115"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16" o:spid="_x0000_s2116" style="position:absolute;left:0pt;margin-left:88.55pt;margin-top:55.2pt;height:0.75pt;width:418.3pt;mso-position-horizontal-relative:page;mso-position-vertical-relative:page;z-index:25166336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54" o:spid="_x0000_s2054" style="position:absolute;left:0pt;margin-left:88.55pt;margin-top:55.2pt;height:0.75pt;width:418.3pt;mso-position-horizontal-relative:page;mso-position-vertical-relative:page;z-index:25166540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17" o:spid="_x0000_s2117" style="position:absolute;left:0pt;margin-left:88.55pt;margin-top:55.2pt;height:0.75pt;width:418.3pt;mso-position-horizontal-relative:page;mso-position-vertical-relative:page;z-index:25171558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18" o:spid="_x0000_s2118" style="position:absolute;left:0pt;margin-left:88.55pt;margin-top:55.2pt;height:0.75pt;width:418.3pt;mso-position-horizontal-relative:page;mso-position-vertical-relative:page;z-index:25166950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19" o:spid="_x0000_s2119"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723"/>
      <w:rPr>
        <w:rFonts w:ascii="宋体" w:hAnsi="宋体" w:eastAsia="宋体" w:cs="宋体"/>
        <w:sz w:val="18"/>
        <w:szCs w:val="18"/>
      </w:rPr>
    </w:pPr>
    <w:r>
      <w:pict>
        <v:shape id="_x0000_s2120" o:spid="_x0000_s2120" style="position:absolute;left:0pt;margin-left:70.55pt;margin-top:55.15pt;height:0.75pt;width:700.95pt;mso-position-horizontal-relative:page;mso-position-vertical-relative:page;z-index:251717632;mso-width-relative:page;mso-height-relative:page;" fillcolor="#000000" filled="t" stroked="f" coordsize="14019,15" o:allowincell="f" path="m0,14l14018,14,14018,0,0,0,0,14xe">
          <v:path/>
          <v:fill on="t" focussize="0,0"/>
          <v:stroke on="f"/>
          <v:imagedata o:title=""/>
          <o:lock v:ext="edit"/>
        </v:shape>
      </w:pict>
    </w:r>
    <w:r>
      <w:rPr>
        <w:rFonts w:ascii="宋体" w:hAnsi="宋体" w:eastAsia="宋体" w:cs="宋体"/>
        <w:sz w:val="18"/>
        <w:szCs w:val="18"/>
      </w:rPr>
      <w:t>溧阳至宁德高速公路（G4012）浙江景宁至文成段工程西坑互通连接</w:t>
    </w:r>
    <w:r>
      <w:rPr>
        <w:rFonts w:ascii="宋体" w:hAnsi="宋体" w:eastAsia="宋体" w:cs="宋体"/>
        <w:spacing w:val="-1"/>
        <w:sz w:val="18"/>
        <w:szCs w:val="18"/>
      </w:rPr>
      <w:t>线环境影响报告书</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015"/>
      <w:rPr>
        <w:rFonts w:ascii="宋体" w:hAnsi="宋体" w:eastAsia="宋体" w:cs="宋体"/>
        <w:sz w:val="18"/>
        <w:szCs w:val="18"/>
      </w:rPr>
    </w:pPr>
    <w:r>
      <w:pict>
        <v:shape id="_x0000_s2121" o:spid="_x0000_s2121" style="position:absolute;left:0pt;margin-left:88.55pt;margin-top:55.2pt;height:0.75pt;width:418.3pt;mso-position-horizontal-relative:page;mso-position-vertical-relative:page;z-index:25170944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22" o:spid="_x0000_s2122" style="position:absolute;left:0pt;margin-left:88.55pt;margin-top:55.2pt;height:0.75pt;width:418.3pt;mso-position-horizontal-relative:page;mso-position-vertical-relative:page;z-index:2517186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123" o:spid="_x0000_s2123" style="position:absolute;left:0pt;margin-left:88.55pt;margin-top:55.2pt;height:0.75pt;width:418.3pt;mso-position-horizontal-relative:page;mso-position-vertical-relative:page;z-index:25167872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24" o:spid="_x0000_s2124" style="position:absolute;left:0pt;margin-left:88.55pt;margin-top:55.2pt;height:0.75pt;width:418.3pt;mso-position-horizontal-relative:page;mso-position-vertical-relative:page;z-index:25166336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45"/>
      <w:rPr>
        <w:rFonts w:ascii="宋体" w:hAnsi="宋体" w:eastAsia="宋体" w:cs="宋体"/>
        <w:sz w:val="18"/>
        <w:szCs w:val="18"/>
      </w:rPr>
    </w:pPr>
    <w:r>
      <w:pict>
        <v:shape id="_x0000_s2125" o:spid="_x0000_s2125" style="position:absolute;left:0pt;margin-left:70.55pt;margin-top:63.7pt;height:0.75pt;width:700.95pt;mso-position-horizontal-relative:page;mso-position-vertical-relative:page;z-index:251719680;mso-width-relative:page;mso-height-relative:page;" fillcolor="#000000" filled="t" stroked="f" coordsize="14019,15" o:allowincell="f" path="m0,14l14018,14,14018,0,0,0,0,14xe">
          <v:path/>
          <v:fill on="t" focussize="0,0"/>
          <v:stroke on="f"/>
          <v:imagedata o:title=""/>
          <o:lock v:ext="edit"/>
        </v:shape>
      </w:pict>
    </w:r>
    <w:r>
      <w:rPr>
        <w:rFonts w:ascii="宋体" w:hAnsi="宋体" w:eastAsia="宋体" w:cs="宋体"/>
        <w:sz w:val="18"/>
        <w:szCs w:val="18"/>
      </w:rPr>
      <w:t>溧阳至宁德高速公路（G4012）浙江景宁至文成段工程西坑互通连接</w:t>
    </w:r>
    <w:r>
      <w:rPr>
        <w:rFonts w:ascii="宋体" w:hAnsi="宋体" w:eastAsia="宋体" w:cs="宋体"/>
        <w:spacing w:val="-1"/>
        <w:sz w:val="18"/>
        <w:szCs w:val="18"/>
      </w:rPr>
      <w:t>线环境影响报告书</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26" o:spid="_x0000_s2126" style="position:absolute;left:0pt;margin-left:83.65pt;margin-top:69.35pt;height:0.75pt;width:428.15pt;mso-position-horizontal-relative:page;mso-position-vertical-relative:page;z-index:251720704;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55" o:spid="_x0000_s2055" style="position:absolute;left:0pt;margin-left:88.55pt;margin-top:55.2pt;height:0.75pt;width:418.3pt;mso-position-horizontal-relative:page;mso-position-vertical-relative:page;z-index:25166643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27" o:spid="_x0000_s2127" style="position:absolute;left:0pt;margin-left:83.65pt;margin-top:69.35pt;height:0.75pt;width:428.15pt;mso-position-horizontal-relative:page;mso-position-vertical-relative:page;z-index:251721728;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572"/>
      <w:rPr>
        <w:rFonts w:ascii="宋体" w:hAnsi="宋体" w:eastAsia="宋体" w:cs="宋体"/>
        <w:sz w:val="18"/>
        <w:szCs w:val="18"/>
      </w:rPr>
    </w:pPr>
    <w:r>
      <w:pict>
        <v:shape id="_x0000_s2128" o:spid="_x0000_s2128" style="position:absolute;left:0pt;margin-left:88.55pt;margin-top:55.2pt;height:0.75pt;width:418.3pt;mso-position-horizontal-relative:page;mso-position-vertical-relative:page;z-index:25172275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29" o:spid="_x0000_s2129" style="position:absolute;left:0pt;margin-left:88.55pt;margin-top:55.2pt;height:0.75pt;width:418.3pt;mso-position-horizontal-relative:page;mso-position-vertical-relative:page;z-index:25166336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30" o:spid="_x0000_s2130" style="position:absolute;left:0pt;margin-left:88.55pt;margin-top:55.2pt;height:0.75pt;width:418.3pt;mso-position-horizontal-relative:page;mso-position-vertical-relative:page;z-index:25172377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31" o:spid="_x0000_s2131"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46"/>
      <w:rPr>
        <w:rFonts w:ascii="宋体" w:hAnsi="宋体" w:eastAsia="宋体" w:cs="宋体"/>
        <w:sz w:val="18"/>
        <w:szCs w:val="18"/>
      </w:rPr>
    </w:pPr>
    <w:r>
      <w:pict>
        <v:shape id="_x0000_s2132" o:spid="_x0000_s2132" style="position:absolute;left:0pt;margin-left:88.55pt;margin-top:55.2pt;height:0.75pt;width:418.3pt;mso-position-horizontal-relative:page;mso-position-vertical-relative:page;z-index:25172480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33" o:spid="_x0000_s2133" style="position:absolute;left:0pt;margin-left:88.55pt;margin-top:55.2pt;height:0.75pt;width:418.3pt;mso-position-horizontal-relative:page;mso-position-vertical-relative:page;z-index:251725824;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134" o:spid="_x0000_s2134" style="position:absolute;left:0pt;margin-left:88.55pt;margin-top:55.2pt;height:0.75pt;width:418.3pt;mso-position-horizontal-relative:page;mso-position-vertical-relative:page;z-index:25167872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35" o:spid="_x0000_s2135"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136" o:spid="_x0000_s2136" style="position:absolute;left:0pt;margin-left:88.55pt;margin-top:55.2pt;height:0.75pt;width:418.3pt;mso-position-horizontal-relative:page;mso-position-vertical-relative:page;z-index:251726848;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056" o:spid="_x0000_s2056"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98"/>
      <w:rPr>
        <w:rFonts w:ascii="宋体" w:hAnsi="宋体" w:eastAsia="宋体" w:cs="宋体"/>
        <w:sz w:val="18"/>
        <w:szCs w:val="18"/>
      </w:rPr>
    </w:pPr>
    <w:r>
      <w:pict>
        <v:shape id="_x0000_s2137" o:spid="_x0000_s2137" style="position:absolute;left:0pt;margin-left:88.55pt;margin-top:55.2pt;height:0.75pt;width:418.3pt;mso-position-horizontal-relative:page;mso-position-vertical-relative:page;z-index:251678720;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066"/>
      <w:rPr>
        <w:rFonts w:ascii="宋体" w:hAnsi="宋体" w:eastAsia="宋体" w:cs="宋体"/>
        <w:sz w:val="18"/>
        <w:szCs w:val="18"/>
      </w:rPr>
    </w:pPr>
    <w:r>
      <w:pict>
        <v:shape id="_x0000_s2138" o:spid="_x0000_s2138" style="position:absolute;left:0pt;margin-left:88.55pt;margin-top:55.2pt;height:0.75pt;width:418.3pt;mso-position-horizontal-relative:page;mso-position-vertical-relative:page;z-index:251727872;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39" o:spid="_x0000_s2139" style="position:absolute;left:0pt;margin-left:88.55pt;margin-top:55.2pt;height:0.75pt;width:418.3pt;mso-position-horizontal-relative:page;mso-position-vertical-relative:page;z-index:2517186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814"/>
      <w:rPr>
        <w:rFonts w:ascii="宋体" w:hAnsi="宋体" w:eastAsia="宋体" w:cs="宋体"/>
        <w:sz w:val="18"/>
        <w:szCs w:val="18"/>
      </w:rPr>
    </w:pPr>
    <w:r>
      <w:pict>
        <v:shape id="_x0000_s2140" o:spid="_x0000_s2140" style="position:absolute;left:0pt;margin-left:88.55pt;margin-top:55.2pt;height:0.75pt;width:418.3pt;mso-position-horizontal-relative:page;mso-position-vertical-relative:page;z-index:251667456;mso-width-relative:page;mso-height-relative:page;" fillcolor="#000000" filled="t" stroked="f" coordsize="8365,15" o:allowincell="f" path="m0,14l8365,14,8365,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675"/>
      <w:rPr>
        <w:rFonts w:ascii="宋体" w:hAnsi="宋体" w:eastAsia="宋体" w:cs="宋体"/>
        <w:sz w:val="18"/>
        <w:szCs w:val="18"/>
      </w:rPr>
    </w:pPr>
    <w:r>
      <w:pict>
        <v:shape id="_x0000_s2141" o:spid="_x0000_s2141" style="position:absolute;left:0pt;margin-left:70.55pt;margin-top:62.3pt;height:0.75pt;width:700.95pt;mso-position-horizontal-relative:page;mso-position-vertical-relative:page;z-index:251728896;mso-width-relative:page;mso-height-relative:page;" fillcolor="#000000" filled="t" stroked="f" coordsize="14019,15" o:allowincell="f" path="m0,14l14018,14,14018,0,0,0,0,14xe">
          <v:path/>
          <v:fill on="t" focussize="0,0"/>
          <v:stroke on="f"/>
          <v:imagedata o:title=""/>
          <o:lock v:ext="edit"/>
        </v:shape>
      </w:pict>
    </w:r>
    <w:r>
      <w:rPr>
        <w:rFonts w:ascii="宋体" w:hAnsi="宋体" w:eastAsia="宋体" w:cs="宋体"/>
        <w:sz w:val="18"/>
        <w:szCs w:val="18"/>
      </w:rPr>
      <w:t>溧阳至宁德高速公路（G4012）浙江景宁至文成段工程西坑互通连接</w:t>
    </w:r>
    <w:r>
      <w:rPr>
        <w:rFonts w:ascii="宋体" w:hAnsi="宋体" w:eastAsia="宋体" w:cs="宋体"/>
        <w:spacing w:val="-1"/>
        <w:sz w:val="18"/>
        <w:szCs w:val="18"/>
      </w:rPr>
      <w:t>线环境影响报告书</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767"/>
      <w:rPr>
        <w:rFonts w:ascii="宋体" w:hAnsi="宋体" w:eastAsia="宋体" w:cs="宋体"/>
        <w:sz w:val="18"/>
        <w:szCs w:val="18"/>
      </w:rPr>
    </w:pPr>
    <w:r>
      <w:pict>
        <v:shape id="_x0000_s2142" o:spid="_x0000_s2142" style="position:absolute;left:0pt;margin-left:70.55pt;margin-top:62.3pt;height:0.75pt;width:700.95pt;mso-position-horizontal-relative:page;mso-position-vertical-relative:page;z-index:251730944;mso-width-relative:page;mso-height-relative:page;" fillcolor="#000000" filled="t" stroked="f" coordsize="14019,15" o:allowincell="f" path="m0,14l14018,14,14018,0,0,0,0,14xe">
          <v:path/>
          <v:fill on="t" focussize="0,0"/>
          <v:stroke on="f"/>
          <v:imagedata o:title=""/>
          <o:lock v:ext="edit"/>
        </v:shape>
      </w:pict>
    </w:r>
    <w:r>
      <w:rPr>
        <w:rFonts w:ascii="宋体" w:hAnsi="宋体" w:eastAsia="宋体" w:cs="宋体"/>
        <w:sz w:val="18"/>
        <w:szCs w:val="18"/>
      </w:rPr>
      <w:t>溧阳至宁德高速公路（G4012）浙江景宁至文成段工程西坑互通连接</w:t>
    </w:r>
    <w:r>
      <w:rPr>
        <w:rFonts w:ascii="宋体" w:hAnsi="宋体" w:eastAsia="宋体" w:cs="宋体"/>
        <w:spacing w:val="-1"/>
        <w:sz w:val="18"/>
        <w:szCs w:val="18"/>
      </w:rPr>
      <w:t>线环境影响报告书</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43" o:spid="_x0000_s2143" style="position:absolute;left:0pt;margin-left:83.65pt;margin-top:63.7pt;height:0.75pt;width:428.15pt;mso-position-horizontal-relative:page;mso-position-vertical-relative:page;z-index:251731968;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44" o:spid="_x0000_s2144" style="position:absolute;left:0pt;margin-left:83.65pt;margin-top:63.7pt;height:0.75pt;width:428.15pt;mso-position-horizontal-relative:page;mso-position-vertical-relative:page;z-index:251732992;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12"/>
      <w:rPr>
        <w:rFonts w:ascii="宋体" w:hAnsi="宋体" w:eastAsia="宋体" w:cs="宋体"/>
        <w:sz w:val="18"/>
        <w:szCs w:val="18"/>
      </w:rPr>
    </w:pPr>
    <w:r>
      <w:pict>
        <v:shape id="_x0000_s2145" o:spid="_x0000_s2145" style="position:absolute;left:0pt;margin-left:83.65pt;margin-top:63.7pt;height:0.75pt;width:428.15pt;mso-position-horizontal-relative:page;mso-position-vertical-relative:page;z-index:251734016;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96"/>
      <w:rPr>
        <w:rFonts w:ascii="宋体" w:hAnsi="宋体" w:eastAsia="宋体" w:cs="宋体"/>
        <w:sz w:val="18"/>
        <w:szCs w:val="18"/>
      </w:rPr>
    </w:pPr>
    <w:r>
      <w:pict>
        <v:shape id="_x0000_s2146" o:spid="_x0000_s2146" style="position:absolute;left:0pt;margin-left:83.65pt;margin-top:63.7pt;height:0.75pt;width:428.15pt;mso-position-horizontal-relative:page;mso-position-vertical-relative:page;z-index:251735040;mso-width-relative:page;mso-height-relative:page;" fillcolor="#000000" filled="t" stroked="f" coordsize="8562,15" o:allowincell="f" path="m0,14l8562,14,8562,0,0,0,0,14xe">
          <v:path/>
          <v:fill on="t" focussize="0,0"/>
          <v:stroke on="f"/>
          <v:imagedata o:title=""/>
          <o:lock v:ext="edit"/>
        </v:shape>
      </w:pict>
    </w:r>
    <w:r>
      <w:rPr>
        <w:rFonts w:ascii="宋体" w:hAnsi="宋体" w:eastAsia="宋体" w:cs="宋体"/>
        <w:sz w:val="18"/>
        <w:szCs w:val="18"/>
      </w:rPr>
      <w:t>溧阳至宁德高速公路（G4012）浙江景宁至文成段工程西坑互通连接线</w:t>
    </w:r>
    <w:r>
      <w:rPr>
        <w:rFonts w:ascii="宋体" w:hAnsi="宋体" w:eastAsia="宋体" w:cs="宋体"/>
        <w:spacing w:val="-1"/>
        <w:sz w:val="18"/>
        <w:szCs w:val="18"/>
      </w:rPr>
      <w:t>环境影响报告书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TJhZjk1YzExOGQxODA3NTMzNGY0ZTE1MjRlMGJjYmQifQ=="/>
  </w:docVars>
  <w:rsids>
    <w:rsidRoot w:val="00000000"/>
    <w:rsid w:val="2D696FD2"/>
    <w:rsid w:val="448925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table" w:customStyle="1" w:styleId="5">
    <w:name w:val="Table Normal"/>
    <w:autoRedefine/>
    <w:semiHidden/>
    <w:unhideWhenUsed/>
    <w:qFormat/>
    <w:uiPriority w:val="0"/>
    <w:tblPr>
      <w:tblCellMar>
        <w:top w:w="0" w:type="dxa"/>
        <w:left w:w="0" w:type="dxa"/>
        <w:bottom w:w="0" w:type="dxa"/>
        <w:right w:w="0" w:type="dxa"/>
      </w:tblCellMar>
    </w:tblPr>
  </w:style>
  <w:style w:type="paragraph" w:customStyle="1" w:styleId="6">
    <w:name w:val="Table Text"/>
    <w:basedOn w:val="1"/>
    <w:autoRedefine/>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46.xml"/><Relationship Id="rId98" Type="http://schemas.openxmlformats.org/officeDocument/2006/relationships/footer" Target="footer49.xml"/><Relationship Id="rId97" Type="http://schemas.openxmlformats.org/officeDocument/2006/relationships/header" Target="header45.xml"/><Relationship Id="rId96" Type="http://schemas.openxmlformats.org/officeDocument/2006/relationships/footer" Target="footer48.xml"/><Relationship Id="rId95" Type="http://schemas.openxmlformats.org/officeDocument/2006/relationships/header" Target="header44.xml"/><Relationship Id="rId94" Type="http://schemas.openxmlformats.org/officeDocument/2006/relationships/footer" Target="footer47.xml"/><Relationship Id="rId93" Type="http://schemas.openxmlformats.org/officeDocument/2006/relationships/header" Target="header43.xml"/><Relationship Id="rId92" Type="http://schemas.openxmlformats.org/officeDocument/2006/relationships/footer" Target="footer46.xml"/><Relationship Id="rId91" Type="http://schemas.openxmlformats.org/officeDocument/2006/relationships/header" Target="header42.xml"/><Relationship Id="rId90" Type="http://schemas.openxmlformats.org/officeDocument/2006/relationships/footer" Target="footer45.xml"/><Relationship Id="rId9" Type="http://schemas.openxmlformats.org/officeDocument/2006/relationships/header" Target="header2.xml"/><Relationship Id="rId89" Type="http://schemas.openxmlformats.org/officeDocument/2006/relationships/header" Target="header41.xml"/><Relationship Id="rId88" Type="http://schemas.openxmlformats.org/officeDocument/2006/relationships/footer" Target="footer44.xml"/><Relationship Id="rId87" Type="http://schemas.openxmlformats.org/officeDocument/2006/relationships/header" Target="header40.xml"/><Relationship Id="rId86" Type="http://schemas.openxmlformats.org/officeDocument/2006/relationships/footer" Target="footer43.xml"/><Relationship Id="rId85" Type="http://schemas.openxmlformats.org/officeDocument/2006/relationships/footer" Target="footer42.xml"/><Relationship Id="rId84" Type="http://schemas.openxmlformats.org/officeDocument/2006/relationships/header" Target="header39.xml"/><Relationship Id="rId83" Type="http://schemas.openxmlformats.org/officeDocument/2006/relationships/footer" Target="footer41.xml"/><Relationship Id="rId82" Type="http://schemas.openxmlformats.org/officeDocument/2006/relationships/header" Target="header38.xml"/><Relationship Id="rId81" Type="http://schemas.openxmlformats.org/officeDocument/2006/relationships/footer" Target="footer40.xml"/><Relationship Id="rId80" Type="http://schemas.openxmlformats.org/officeDocument/2006/relationships/header" Target="header37.xml"/><Relationship Id="rId8" Type="http://schemas.openxmlformats.org/officeDocument/2006/relationships/footer" Target="footer3.xml"/><Relationship Id="rId79" Type="http://schemas.openxmlformats.org/officeDocument/2006/relationships/footer" Target="footer39.xml"/><Relationship Id="rId78" Type="http://schemas.openxmlformats.org/officeDocument/2006/relationships/header" Target="header36.xml"/><Relationship Id="rId77" Type="http://schemas.openxmlformats.org/officeDocument/2006/relationships/footer" Target="footer38.xml"/><Relationship Id="rId76" Type="http://schemas.openxmlformats.org/officeDocument/2006/relationships/header" Target="header35.xml"/><Relationship Id="rId75" Type="http://schemas.openxmlformats.org/officeDocument/2006/relationships/footer" Target="footer37.xml"/><Relationship Id="rId74" Type="http://schemas.openxmlformats.org/officeDocument/2006/relationships/footer" Target="footer36.xml"/><Relationship Id="rId73" Type="http://schemas.openxmlformats.org/officeDocument/2006/relationships/header" Target="header34.xml"/><Relationship Id="rId72" Type="http://schemas.openxmlformats.org/officeDocument/2006/relationships/footer" Target="footer35.xml"/><Relationship Id="rId71" Type="http://schemas.openxmlformats.org/officeDocument/2006/relationships/header" Target="header33.xml"/><Relationship Id="rId70" Type="http://schemas.openxmlformats.org/officeDocument/2006/relationships/footer" Target="footer34.xml"/><Relationship Id="rId7" Type="http://schemas.openxmlformats.org/officeDocument/2006/relationships/footer" Target="footer2.xml"/><Relationship Id="rId69" Type="http://schemas.openxmlformats.org/officeDocument/2006/relationships/header" Target="header32.xml"/><Relationship Id="rId68" Type="http://schemas.openxmlformats.org/officeDocument/2006/relationships/footer" Target="footer33.xml"/><Relationship Id="rId67" Type="http://schemas.openxmlformats.org/officeDocument/2006/relationships/header" Target="header31.xml"/><Relationship Id="rId66" Type="http://schemas.openxmlformats.org/officeDocument/2006/relationships/footer" Target="footer32.xml"/><Relationship Id="rId65" Type="http://schemas.openxmlformats.org/officeDocument/2006/relationships/header" Target="header30.xml"/><Relationship Id="rId64" Type="http://schemas.openxmlformats.org/officeDocument/2006/relationships/footer" Target="footer31.xml"/><Relationship Id="rId63" Type="http://schemas.openxmlformats.org/officeDocument/2006/relationships/header" Target="header29.xml"/><Relationship Id="rId62" Type="http://schemas.openxmlformats.org/officeDocument/2006/relationships/footer" Target="footer30.xml"/><Relationship Id="rId61" Type="http://schemas.openxmlformats.org/officeDocument/2006/relationships/header" Target="header28.xml"/><Relationship Id="rId60" Type="http://schemas.openxmlformats.org/officeDocument/2006/relationships/footer" Target="footer29.xml"/><Relationship Id="rId6" Type="http://schemas.openxmlformats.org/officeDocument/2006/relationships/footer" Target="footer1.xml"/><Relationship Id="rId59" Type="http://schemas.openxmlformats.org/officeDocument/2006/relationships/header" Target="header27.xml"/><Relationship Id="rId58" Type="http://schemas.openxmlformats.org/officeDocument/2006/relationships/footer" Target="footer28.xml"/><Relationship Id="rId57" Type="http://schemas.openxmlformats.org/officeDocument/2006/relationships/header" Target="header26.xml"/><Relationship Id="rId56" Type="http://schemas.openxmlformats.org/officeDocument/2006/relationships/footer" Target="footer27.xml"/><Relationship Id="rId55" Type="http://schemas.openxmlformats.org/officeDocument/2006/relationships/header" Target="header25.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header" Target="header23.xml"/><Relationship Id="rId500" Type="http://schemas.openxmlformats.org/officeDocument/2006/relationships/fontTable" Target="fontTable.xml"/><Relationship Id="rId50" Type="http://schemas.openxmlformats.org/officeDocument/2006/relationships/footer" Target="footer24.xml"/><Relationship Id="rId5" Type="http://schemas.openxmlformats.org/officeDocument/2006/relationships/header" Target="header1.xml"/><Relationship Id="rId499" Type="http://schemas.openxmlformats.org/officeDocument/2006/relationships/customXml" Target="../customXml/item1.xml"/><Relationship Id="rId498" Type="http://schemas.openxmlformats.org/officeDocument/2006/relationships/image" Target="media/image96.png"/><Relationship Id="rId497" Type="http://schemas.openxmlformats.org/officeDocument/2006/relationships/image" Target="media/image95.png"/><Relationship Id="rId496" Type="http://schemas.openxmlformats.org/officeDocument/2006/relationships/image" Target="media/image94.png"/><Relationship Id="rId495" Type="http://schemas.openxmlformats.org/officeDocument/2006/relationships/image" Target="media/image93.png"/><Relationship Id="rId494" Type="http://schemas.openxmlformats.org/officeDocument/2006/relationships/image" Target="media/image92.png"/><Relationship Id="rId493" Type="http://schemas.openxmlformats.org/officeDocument/2006/relationships/image" Target="media/image91.png"/><Relationship Id="rId492" Type="http://schemas.openxmlformats.org/officeDocument/2006/relationships/image" Target="media/image90.jpeg"/><Relationship Id="rId491" Type="http://schemas.openxmlformats.org/officeDocument/2006/relationships/image" Target="media/image89.jpeg"/><Relationship Id="rId490" Type="http://schemas.openxmlformats.org/officeDocument/2006/relationships/image" Target="media/image88.jpeg"/><Relationship Id="rId49" Type="http://schemas.openxmlformats.org/officeDocument/2006/relationships/header" Target="header22.xml"/><Relationship Id="rId489" Type="http://schemas.openxmlformats.org/officeDocument/2006/relationships/image" Target="media/image87.jpeg"/><Relationship Id="rId488" Type="http://schemas.openxmlformats.org/officeDocument/2006/relationships/image" Target="media/image86.jpeg"/><Relationship Id="rId487" Type="http://schemas.openxmlformats.org/officeDocument/2006/relationships/image" Target="media/image85.jpeg"/><Relationship Id="rId486" Type="http://schemas.openxmlformats.org/officeDocument/2006/relationships/image" Target="media/image84.jpeg"/><Relationship Id="rId485" Type="http://schemas.openxmlformats.org/officeDocument/2006/relationships/image" Target="media/image83.jpeg"/><Relationship Id="rId484" Type="http://schemas.openxmlformats.org/officeDocument/2006/relationships/image" Target="media/image82.jpeg"/><Relationship Id="rId483" Type="http://schemas.openxmlformats.org/officeDocument/2006/relationships/image" Target="media/image81.jpeg"/><Relationship Id="rId482" Type="http://schemas.openxmlformats.org/officeDocument/2006/relationships/image" Target="media/image80.jpeg"/><Relationship Id="rId481" Type="http://schemas.openxmlformats.org/officeDocument/2006/relationships/image" Target="media/image79.jpeg"/><Relationship Id="rId480" Type="http://schemas.openxmlformats.org/officeDocument/2006/relationships/image" Target="media/image78.jpeg"/><Relationship Id="rId48" Type="http://schemas.openxmlformats.org/officeDocument/2006/relationships/footer" Target="footer23.xml"/><Relationship Id="rId479" Type="http://schemas.openxmlformats.org/officeDocument/2006/relationships/image" Target="media/image77.jpeg"/><Relationship Id="rId478" Type="http://schemas.openxmlformats.org/officeDocument/2006/relationships/image" Target="media/image76.jpeg"/><Relationship Id="rId477" Type="http://schemas.openxmlformats.org/officeDocument/2006/relationships/image" Target="media/image75.jpeg"/><Relationship Id="rId476" Type="http://schemas.openxmlformats.org/officeDocument/2006/relationships/image" Target="media/image74.jpeg"/><Relationship Id="rId475" Type="http://schemas.openxmlformats.org/officeDocument/2006/relationships/image" Target="media/image73.jpeg"/><Relationship Id="rId474" Type="http://schemas.openxmlformats.org/officeDocument/2006/relationships/image" Target="media/image72.jpeg"/><Relationship Id="rId473" Type="http://schemas.openxmlformats.org/officeDocument/2006/relationships/image" Target="media/image71.png"/><Relationship Id="rId472" Type="http://schemas.openxmlformats.org/officeDocument/2006/relationships/image" Target="media/image70.png"/><Relationship Id="rId471" Type="http://schemas.openxmlformats.org/officeDocument/2006/relationships/image" Target="media/image69.jpeg"/><Relationship Id="rId470" Type="http://schemas.openxmlformats.org/officeDocument/2006/relationships/image" Target="media/image68.jpeg"/><Relationship Id="rId47" Type="http://schemas.openxmlformats.org/officeDocument/2006/relationships/header" Target="header21.xml"/><Relationship Id="rId469" Type="http://schemas.openxmlformats.org/officeDocument/2006/relationships/image" Target="media/image67.png"/><Relationship Id="rId468" Type="http://schemas.openxmlformats.org/officeDocument/2006/relationships/image" Target="media/image66.png"/><Relationship Id="rId467" Type="http://schemas.openxmlformats.org/officeDocument/2006/relationships/image" Target="media/image65.png"/><Relationship Id="rId466" Type="http://schemas.openxmlformats.org/officeDocument/2006/relationships/image" Target="media/image64.jpeg"/><Relationship Id="rId465" Type="http://schemas.openxmlformats.org/officeDocument/2006/relationships/image" Target="media/image63.png"/><Relationship Id="rId464" Type="http://schemas.openxmlformats.org/officeDocument/2006/relationships/image" Target="media/image62.png"/><Relationship Id="rId463" Type="http://schemas.openxmlformats.org/officeDocument/2006/relationships/image" Target="media/image61.png"/><Relationship Id="rId462" Type="http://schemas.openxmlformats.org/officeDocument/2006/relationships/image" Target="media/image60.png"/><Relationship Id="rId461" Type="http://schemas.openxmlformats.org/officeDocument/2006/relationships/image" Target="media/image59.jpeg"/><Relationship Id="rId460" Type="http://schemas.openxmlformats.org/officeDocument/2006/relationships/image" Target="media/image58.png"/><Relationship Id="rId46" Type="http://schemas.openxmlformats.org/officeDocument/2006/relationships/footer" Target="footer22.xml"/><Relationship Id="rId459" Type="http://schemas.openxmlformats.org/officeDocument/2006/relationships/image" Target="media/image57.png"/><Relationship Id="rId458" Type="http://schemas.openxmlformats.org/officeDocument/2006/relationships/image" Target="media/image56.png"/><Relationship Id="rId457" Type="http://schemas.openxmlformats.org/officeDocument/2006/relationships/image" Target="media/image55.png"/><Relationship Id="rId456" Type="http://schemas.openxmlformats.org/officeDocument/2006/relationships/image" Target="media/image54.png"/><Relationship Id="rId455" Type="http://schemas.openxmlformats.org/officeDocument/2006/relationships/image" Target="media/image53.jpeg"/><Relationship Id="rId454" Type="http://schemas.openxmlformats.org/officeDocument/2006/relationships/image" Target="media/image52.jpeg"/><Relationship Id="rId453" Type="http://schemas.openxmlformats.org/officeDocument/2006/relationships/image" Target="media/image51.jpeg"/><Relationship Id="rId452" Type="http://schemas.openxmlformats.org/officeDocument/2006/relationships/image" Target="media/image50.jpeg"/><Relationship Id="rId451" Type="http://schemas.openxmlformats.org/officeDocument/2006/relationships/image" Target="media/image49.jpeg"/><Relationship Id="rId450" Type="http://schemas.openxmlformats.org/officeDocument/2006/relationships/image" Target="media/image48.jpeg"/><Relationship Id="rId45" Type="http://schemas.openxmlformats.org/officeDocument/2006/relationships/header" Target="header20.xml"/><Relationship Id="rId449" Type="http://schemas.openxmlformats.org/officeDocument/2006/relationships/image" Target="media/image47.jpeg"/><Relationship Id="rId448" Type="http://schemas.openxmlformats.org/officeDocument/2006/relationships/image" Target="media/image46.jpeg"/><Relationship Id="rId447" Type="http://schemas.openxmlformats.org/officeDocument/2006/relationships/image" Target="media/image45.jpeg"/><Relationship Id="rId446" Type="http://schemas.openxmlformats.org/officeDocument/2006/relationships/image" Target="media/image44.jpeg"/><Relationship Id="rId445" Type="http://schemas.openxmlformats.org/officeDocument/2006/relationships/image" Target="media/image43.jpeg"/><Relationship Id="rId444" Type="http://schemas.openxmlformats.org/officeDocument/2006/relationships/image" Target="media/image42.jpeg"/><Relationship Id="rId443" Type="http://schemas.openxmlformats.org/officeDocument/2006/relationships/image" Target="media/image41.jpeg"/><Relationship Id="rId442" Type="http://schemas.openxmlformats.org/officeDocument/2006/relationships/image" Target="media/image40.jpeg"/><Relationship Id="rId441" Type="http://schemas.openxmlformats.org/officeDocument/2006/relationships/image" Target="media/image39.jpeg"/><Relationship Id="rId440" Type="http://schemas.openxmlformats.org/officeDocument/2006/relationships/image" Target="media/image38.jpeg"/><Relationship Id="rId44" Type="http://schemas.openxmlformats.org/officeDocument/2006/relationships/footer" Target="footer21.xml"/><Relationship Id="rId439" Type="http://schemas.openxmlformats.org/officeDocument/2006/relationships/image" Target="media/image37.jpeg"/><Relationship Id="rId438" Type="http://schemas.openxmlformats.org/officeDocument/2006/relationships/image" Target="media/image36.jpeg"/><Relationship Id="rId437" Type="http://schemas.openxmlformats.org/officeDocument/2006/relationships/image" Target="media/image35.jpeg"/><Relationship Id="rId436" Type="http://schemas.openxmlformats.org/officeDocument/2006/relationships/image" Target="media/image34.jpeg"/><Relationship Id="rId435" Type="http://schemas.openxmlformats.org/officeDocument/2006/relationships/image" Target="media/image33.jpeg"/><Relationship Id="rId434" Type="http://schemas.openxmlformats.org/officeDocument/2006/relationships/image" Target="media/image32.jpeg"/><Relationship Id="rId433" Type="http://schemas.openxmlformats.org/officeDocument/2006/relationships/image" Target="media/image31.jpeg"/><Relationship Id="rId432" Type="http://schemas.openxmlformats.org/officeDocument/2006/relationships/image" Target="media/image30.jpeg"/><Relationship Id="rId431" Type="http://schemas.openxmlformats.org/officeDocument/2006/relationships/image" Target="media/image29.jpeg"/><Relationship Id="rId430" Type="http://schemas.openxmlformats.org/officeDocument/2006/relationships/image" Target="media/image28.jpeg"/><Relationship Id="rId43" Type="http://schemas.openxmlformats.org/officeDocument/2006/relationships/header" Target="header19.xml"/><Relationship Id="rId429" Type="http://schemas.openxmlformats.org/officeDocument/2006/relationships/image" Target="media/image27.jpeg"/><Relationship Id="rId428" Type="http://schemas.openxmlformats.org/officeDocument/2006/relationships/image" Target="media/image26.jpeg"/><Relationship Id="rId427" Type="http://schemas.openxmlformats.org/officeDocument/2006/relationships/image" Target="media/image25.jpeg"/><Relationship Id="rId426" Type="http://schemas.openxmlformats.org/officeDocument/2006/relationships/image" Target="media/image24.jpeg"/><Relationship Id="rId425" Type="http://schemas.openxmlformats.org/officeDocument/2006/relationships/image" Target="media/image23.jpeg"/><Relationship Id="rId424" Type="http://schemas.openxmlformats.org/officeDocument/2006/relationships/image" Target="media/image22.jpeg"/><Relationship Id="rId423" Type="http://schemas.openxmlformats.org/officeDocument/2006/relationships/image" Target="media/image21.jpeg"/><Relationship Id="rId422" Type="http://schemas.openxmlformats.org/officeDocument/2006/relationships/image" Target="media/image20.jpeg"/><Relationship Id="rId421" Type="http://schemas.openxmlformats.org/officeDocument/2006/relationships/image" Target="media/image19.jpeg"/><Relationship Id="rId420" Type="http://schemas.openxmlformats.org/officeDocument/2006/relationships/image" Target="media/image18.jpeg"/><Relationship Id="rId42" Type="http://schemas.openxmlformats.org/officeDocument/2006/relationships/footer" Target="footer20.xml"/><Relationship Id="rId419" Type="http://schemas.openxmlformats.org/officeDocument/2006/relationships/image" Target="media/image17.jpeg"/><Relationship Id="rId418" Type="http://schemas.openxmlformats.org/officeDocument/2006/relationships/image" Target="media/image16.jpeg"/><Relationship Id="rId417" Type="http://schemas.openxmlformats.org/officeDocument/2006/relationships/image" Target="media/image15.jpeg"/><Relationship Id="rId416" Type="http://schemas.openxmlformats.org/officeDocument/2006/relationships/image" Target="media/image14.jpeg"/><Relationship Id="rId415" Type="http://schemas.openxmlformats.org/officeDocument/2006/relationships/image" Target="media/image13.jpeg"/><Relationship Id="rId414" Type="http://schemas.openxmlformats.org/officeDocument/2006/relationships/image" Target="media/image12.jpeg"/><Relationship Id="rId413" Type="http://schemas.openxmlformats.org/officeDocument/2006/relationships/image" Target="media/image11.jpeg"/><Relationship Id="rId412" Type="http://schemas.openxmlformats.org/officeDocument/2006/relationships/image" Target="media/image10.jpeg"/><Relationship Id="rId411" Type="http://schemas.openxmlformats.org/officeDocument/2006/relationships/image" Target="media/image9.jpeg"/><Relationship Id="rId410" Type="http://schemas.openxmlformats.org/officeDocument/2006/relationships/image" Target="media/image8.jpeg"/><Relationship Id="rId41" Type="http://schemas.openxmlformats.org/officeDocument/2006/relationships/header" Target="header18.xml"/><Relationship Id="rId409" Type="http://schemas.openxmlformats.org/officeDocument/2006/relationships/image" Target="media/image7.jpeg"/><Relationship Id="rId408" Type="http://schemas.openxmlformats.org/officeDocument/2006/relationships/image" Target="media/image6.jpeg"/><Relationship Id="rId407" Type="http://schemas.openxmlformats.org/officeDocument/2006/relationships/image" Target="media/image5.jpeg"/><Relationship Id="rId406" Type="http://schemas.openxmlformats.org/officeDocument/2006/relationships/image" Target="media/image4.jpeg"/><Relationship Id="rId405" Type="http://schemas.openxmlformats.org/officeDocument/2006/relationships/image" Target="media/image3.jpeg"/><Relationship Id="rId404" Type="http://schemas.openxmlformats.org/officeDocument/2006/relationships/image" Target="media/image2.png"/><Relationship Id="rId403" Type="http://schemas.openxmlformats.org/officeDocument/2006/relationships/image" Target="media/image1.jpeg"/><Relationship Id="rId402" Type="http://schemas.openxmlformats.org/officeDocument/2006/relationships/theme" Target="theme/theme1.xml"/><Relationship Id="rId401" Type="http://schemas.openxmlformats.org/officeDocument/2006/relationships/footer" Target="footer220.xml"/><Relationship Id="rId400" Type="http://schemas.openxmlformats.org/officeDocument/2006/relationships/header" Target="header177.xml"/><Relationship Id="rId40" Type="http://schemas.openxmlformats.org/officeDocument/2006/relationships/footer" Target="footer19.xml"/><Relationship Id="rId4" Type="http://schemas.openxmlformats.org/officeDocument/2006/relationships/endnotes" Target="endnotes.xml"/><Relationship Id="rId399" Type="http://schemas.openxmlformats.org/officeDocument/2006/relationships/footer" Target="footer219.xml"/><Relationship Id="rId398" Type="http://schemas.openxmlformats.org/officeDocument/2006/relationships/header" Target="header176.xml"/><Relationship Id="rId397" Type="http://schemas.openxmlformats.org/officeDocument/2006/relationships/footer" Target="footer218.xml"/><Relationship Id="rId396" Type="http://schemas.openxmlformats.org/officeDocument/2006/relationships/footer" Target="footer217.xml"/><Relationship Id="rId395" Type="http://schemas.openxmlformats.org/officeDocument/2006/relationships/header" Target="header175.xml"/><Relationship Id="rId394" Type="http://schemas.openxmlformats.org/officeDocument/2006/relationships/footer" Target="footer216.xml"/><Relationship Id="rId393" Type="http://schemas.openxmlformats.org/officeDocument/2006/relationships/footer" Target="footer215.xml"/><Relationship Id="rId392" Type="http://schemas.openxmlformats.org/officeDocument/2006/relationships/footer" Target="footer214.xml"/><Relationship Id="rId391" Type="http://schemas.openxmlformats.org/officeDocument/2006/relationships/header" Target="header174.xml"/><Relationship Id="rId390" Type="http://schemas.openxmlformats.org/officeDocument/2006/relationships/footer" Target="footer213.xml"/><Relationship Id="rId39" Type="http://schemas.openxmlformats.org/officeDocument/2006/relationships/header" Target="header17.xml"/><Relationship Id="rId389" Type="http://schemas.openxmlformats.org/officeDocument/2006/relationships/header" Target="header173.xml"/><Relationship Id="rId388" Type="http://schemas.openxmlformats.org/officeDocument/2006/relationships/footer" Target="footer212.xml"/><Relationship Id="rId387" Type="http://schemas.openxmlformats.org/officeDocument/2006/relationships/footer" Target="footer211.xml"/><Relationship Id="rId386" Type="http://schemas.openxmlformats.org/officeDocument/2006/relationships/footer" Target="footer210.xml"/><Relationship Id="rId385" Type="http://schemas.openxmlformats.org/officeDocument/2006/relationships/footer" Target="footer209.xml"/><Relationship Id="rId384" Type="http://schemas.openxmlformats.org/officeDocument/2006/relationships/header" Target="header172.xml"/><Relationship Id="rId383" Type="http://schemas.openxmlformats.org/officeDocument/2006/relationships/footer" Target="footer208.xml"/><Relationship Id="rId382" Type="http://schemas.openxmlformats.org/officeDocument/2006/relationships/header" Target="header171.xml"/><Relationship Id="rId381" Type="http://schemas.openxmlformats.org/officeDocument/2006/relationships/footer" Target="footer207.xml"/><Relationship Id="rId380" Type="http://schemas.openxmlformats.org/officeDocument/2006/relationships/header" Target="header170.xml"/><Relationship Id="rId38" Type="http://schemas.openxmlformats.org/officeDocument/2006/relationships/footer" Target="footer18.xml"/><Relationship Id="rId379" Type="http://schemas.openxmlformats.org/officeDocument/2006/relationships/footer" Target="footer206.xml"/><Relationship Id="rId378" Type="http://schemas.openxmlformats.org/officeDocument/2006/relationships/header" Target="header169.xml"/><Relationship Id="rId377" Type="http://schemas.openxmlformats.org/officeDocument/2006/relationships/footer" Target="footer205.xml"/><Relationship Id="rId376" Type="http://schemas.openxmlformats.org/officeDocument/2006/relationships/header" Target="header168.xml"/><Relationship Id="rId375" Type="http://schemas.openxmlformats.org/officeDocument/2006/relationships/footer" Target="footer204.xml"/><Relationship Id="rId374" Type="http://schemas.openxmlformats.org/officeDocument/2006/relationships/header" Target="header167.xml"/><Relationship Id="rId373" Type="http://schemas.openxmlformats.org/officeDocument/2006/relationships/footer" Target="footer203.xml"/><Relationship Id="rId372" Type="http://schemas.openxmlformats.org/officeDocument/2006/relationships/header" Target="header166.xml"/><Relationship Id="rId371" Type="http://schemas.openxmlformats.org/officeDocument/2006/relationships/footer" Target="footer202.xml"/><Relationship Id="rId370" Type="http://schemas.openxmlformats.org/officeDocument/2006/relationships/header" Target="header165.xml"/><Relationship Id="rId37" Type="http://schemas.openxmlformats.org/officeDocument/2006/relationships/header" Target="header16.xml"/><Relationship Id="rId369" Type="http://schemas.openxmlformats.org/officeDocument/2006/relationships/footer" Target="footer201.xml"/><Relationship Id="rId368" Type="http://schemas.openxmlformats.org/officeDocument/2006/relationships/header" Target="header164.xml"/><Relationship Id="rId367" Type="http://schemas.openxmlformats.org/officeDocument/2006/relationships/footer" Target="footer200.xml"/><Relationship Id="rId366" Type="http://schemas.openxmlformats.org/officeDocument/2006/relationships/header" Target="header163.xml"/><Relationship Id="rId365" Type="http://schemas.openxmlformats.org/officeDocument/2006/relationships/footer" Target="footer199.xml"/><Relationship Id="rId364" Type="http://schemas.openxmlformats.org/officeDocument/2006/relationships/header" Target="header162.xml"/><Relationship Id="rId363" Type="http://schemas.openxmlformats.org/officeDocument/2006/relationships/footer" Target="footer198.xml"/><Relationship Id="rId362" Type="http://schemas.openxmlformats.org/officeDocument/2006/relationships/header" Target="header161.xml"/><Relationship Id="rId361" Type="http://schemas.openxmlformats.org/officeDocument/2006/relationships/footer" Target="footer197.xml"/><Relationship Id="rId360" Type="http://schemas.openxmlformats.org/officeDocument/2006/relationships/footer" Target="footer196.xml"/><Relationship Id="rId36" Type="http://schemas.openxmlformats.org/officeDocument/2006/relationships/footer" Target="footer17.xml"/><Relationship Id="rId359" Type="http://schemas.openxmlformats.org/officeDocument/2006/relationships/header" Target="header160.xml"/><Relationship Id="rId358" Type="http://schemas.openxmlformats.org/officeDocument/2006/relationships/footer" Target="footer195.xml"/><Relationship Id="rId357" Type="http://schemas.openxmlformats.org/officeDocument/2006/relationships/header" Target="header159.xml"/><Relationship Id="rId356" Type="http://schemas.openxmlformats.org/officeDocument/2006/relationships/footer" Target="footer194.xml"/><Relationship Id="rId355" Type="http://schemas.openxmlformats.org/officeDocument/2006/relationships/header" Target="header158.xml"/><Relationship Id="rId354" Type="http://schemas.openxmlformats.org/officeDocument/2006/relationships/footer" Target="footer193.xml"/><Relationship Id="rId353" Type="http://schemas.openxmlformats.org/officeDocument/2006/relationships/footer" Target="footer192.xml"/><Relationship Id="rId352" Type="http://schemas.openxmlformats.org/officeDocument/2006/relationships/header" Target="header157.xml"/><Relationship Id="rId351" Type="http://schemas.openxmlformats.org/officeDocument/2006/relationships/footer" Target="footer191.xml"/><Relationship Id="rId350" Type="http://schemas.openxmlformats.org/officeDocument/2006/relationships/header" Target="header156.xml"/><Relationship Id="rId35" Type="http://schemas.openxmlformats.org/officeDocument/2006/relationships/header" Target="header15.xml"/><Relationship Id="rId349" Type="http://schemas.openxmlformats.org/officeDocument/2006/relationships/footer" Target="footer190.xml"/><Relationship Id="rId348" Type="http://schemas.openxmlformats.org/officeDocument/2006/relationships/header" Target="header155.xml"/><Relationship Id="rId347" Type="http://schemas.openxmlformats.org/officeDocument/2006/relationships/footer" Target="footer189.xml"/><Relationship Id="rId346" Type="http://schemas.openxmlformats.org/officeDocument/2006/relationships/header" Target="header154.xml"/><Relationship Id="rId345" Type="http://schemas.openxmlformats.org/officeDocument/2006/relationships/footer" Target="footer188.xml"/><Relationship Id="rId344" Type="http://schemas.openxmlformats.org/officeDocument/2006/relationships/header" Target="header153.xml"/><Relationship Id="rId343" Type="http://schemas.openxmlformats.org/officeDocument/2006/relationships/footer" Target="footer187.xml"/><Relationship Id="rId342" Type="http://schemas.openxmlformats.org/officeDocument/2006/relationships/header" Target="header152.xml"/><Relationship Id="rId341" Type="http://schemas.openxmlformats.org/officeDocument/2006/relationships/footer" Target="footer186.xml"/><Relationship Id="rId340" Type="http://schemas.openxmlformats.org/officeDocument/2006/relationships/header" Target="header151.xml"/><Relationship Id="rId34" Type="http://schemas.openxmlformats.org/officeDocument/2006/relationships/footer" Target="footer16.xml"/><Relationship Id="rId339" Type="http://schemas.openxmlformats.org/officeDocument/2006/relationships/footer" Target="footer185.xml"/><Relationship Id="rId338" Type="http://schemas.openxmlformats.org/officeDocument/2006/relationships/header" Target="header150.xml"/><Relationship Id="rId337" Type="http://schemas.openxmlformats.org/officeDocument/2006/relationships/footer" Target="footer184.xml"/><Relationship Id="rId336" Type="http://schemas.openxmlformats.org/officeDocument/2006/relationships/footer" Target="footer183.xml"/><Relationship Id="rId335" Type="http://schemas.openxmlformats.org/officeDocument/2006/relationships/header" Target="header149.xml"/><Relationship Id="rId334" Type="http://schemas.openxmlformats.org/officeDocument/2006/relationships/footer" Target="footer182.xml"/><Relationship Id="rId333" Type="http://schemas.openxmlformats.org/officeDocument/2006/relationships/footer" Target="footer181.xml"/><Relationship Id="rId332" Type="http://schemas.openxmlformats.org/officeDocument/2006/relationships/footer" Target="footer180.xml"/><Relationship Id="rId331" Type="http://schemas.openxmlformats.org/officeDocument/2006/relationships/footer" Target="footer179.xml"/><Relationship Id="rId330" Type="http://schemas.openxmlformats.org/officeDocument/2006/relationships/header" Target="header148.xml"/><Relationship Id="rId33" Type="http://schemas.openxmlformats.org/officeDocument/2006/relationships/header" Target="header14.xml"/><Relationship Id="rId329" Type="http://schemas.openxmlformats.org/officeDocument/2006/relationships/footer" Target="footer178.xml"/><Relationship Id="rId328" Type="http://schemas.openxmlformats.org/officeDocument/2006/relationships/header" Target="header147.xml"/><Relationship Id="rId327" Type="http://schemas.openxmlformats.org/officeDocument/2006/relationships/footer" Target="footer177.xml"/><Relationship Id="rId326" Type="http://schemas.openxmlformats.org/officeDocument/2006/relationships/header" Target="header146.xml"/><Relationship Id="rId325" Type="http://schemas.openxmlformats.org/officeDocument/2006/relationships/footer" Target="footer176.xml"/><Relationship Id="rId324" Type="http://schemas.openxmlformats.org/officeDocument/2006/relationships/header" Target="header145.xml"/><Relationship Id="rId323" Type="http://schemas.openxmlformats.org/officeDocument/2006/relationships/footer" Target="footer175.xml"/><Relationship Id="rId322" Type="http://schemas.openxmlformats.org/officeDocument/2006/relationships/header" Target="header144.xml"/><Relationship Id="rId321" Type="http://schemas.openxmlformats.org/officeDocument/2006/relationships/footer" Target="footer174.xml"/><Relationship Id="rId320" Type="http://schemas.openxmlformats.org/officeDocument/2006/relationships/footer" Target="footer173.xml"/><Relationship Id="rId32" Type="http://schemas.openxmlformats.org/officeDocument/2006/relationships/footer" Target="footer15.xml"/><Relationship Id="rId319" Type="http://schemas.openxmlformats.org/officeDocument/2006/relationships/header" Target="header143.xml"/><Relationship Id="rId318" Type="http://schemas.openxmlformats.org/officeDocument/2006/relationships/footer" Target="footer172.xml"/><Relationship Id="rId317" Type="http://schemas.openxmlformats.org/officeDocument/2006/relationships/header" Target="header142.xml"/><Relationship Id="rId316" Type="http://schemas.openxmlformats.org/officeDocument/2006/relationships/footer" Target="footer171.xml"/><Relationship Id="rId315" Type="http://schemas.openxmlformats.org/officeDocument/2006/relationships/header" Target="header141.xml"/><Relationship Id="rId314" Type="http://schemas.openxmlformats.org/officeDocument/2006/relationships/footer" Target="footer170.xml"/><Relationship Id="rId313" Type="http://schemas.openxmlformats.org/officeDocument/2006/relationships/header" Target="header140.xml"/><Relationship Id="rId312" Type="http://schemas.openxmlformats.org/officeDocument/2006/relationships/footer" Target="footer169.xml"/><Relationship Id="rId311" Type="http://schemas.openxmlformats.org/officeDocument/2006/relationships/header" Target="header139.xml"/><Relationship Id="rId310" Type="http://schemas.openxmlformats.org/officeDocument/2006/relationships/footer" Target="footer168.xml"/><Relationship Id="rId31" Type="http://schemas.openxmlformats.org/officeDocument/2006/relationships/header" Target="header13.xml"/><Relationship Id="rId309" Type="http://schemas.openxmlformats.org/officeDocument/2006/relationships/header" Target="header138.xml"/><Relationship Id="rId308" Type="http://schemas.openxmlformats.org/officeDocument/2006/relationships/footer" Target="footer167.xml"/><Relationship Id="rId307" Type="http://schemas.openxmlformats.org/officeDocument/2006/relationships/header" Target="header137.xml"/><Relationship Id="rId306" Type="http://schemas.openxmlformats.org/officeDocument/2006/relationships/footer" Target="footer166.xml"/><Relationship Id="rId305" Type="http://schemas.openxmlformats.org/officeDocument/2006/relationships/header" Target="header136.xml"/><Relationship Id="rId304" Type="http://schemas.openxmlformats.org/officeDocument/2006/relationships/footer" Target="footer165.xml"/><Relationship Id="rId303" Type="http://schemas.openxmlformats.org/officeDocument/2006/relationships/header" Target="header135.xml"/><Relationship Id="rId302" Type="http://schemas.openxmlformats.org/officeDocument/2006/relationships/footer" Target="footer164.xml"/><Relationship Id="rId301" Type="http://schemas.openxmlformats.org/officeDocument/2006/relationships/header" Target="header134.xml"/><Relationship Id="rId300" Type="http://schemas.openxmlformats.org/officeDocument/2006/relationships/footer" Target="footer163.xml"/><Relationship Id="rId30" Type="http://schemas.openxmlformats.org/officeDocument/2006/relationships/footer" Target="footer14.xml"/><Relationship Id="rId3" Type="http://schemas.openxmlformats.org/officeDocument/2006/relationships/footnotes" Target="footnotes.xml"/><Relationship Id="rId299" Type="http://schemas.openxmlformats.org/officeDocument/2006/relationships/header" Target="header133.xml"/><Relationship Id="rId298" Type="http://schemas.openxmlformats.org/officeDocument/2006/relationships/footer" Target="footer162.xml"/><Relationship Id="rId297" Type="http://schemas.openxmlformats.org/officeDocument/2006/relationships/header" Target="header132.xml"/><Relationship Id="rId296" Type="http://schemas.openxmlformats.org/officeDocument/2006/relationships/footer" Target="footer161.xml"/><Relationship Id="rId295" Type="http://schemas.openxmlformats.org/officeDocument/2006/relationships/header" Target="header131.xml"/><Relationship Id="rId294" Type="http://schemas.openxmlformats.org/officeDocument/2006/relationships/footer" Target="footer160.xml"/><Relationship Id="rId293" Type="http://schemas.openxmlformats.org/officeDocument/2006/relationships/header" Target="header130.xml"/><Relationship Id="rId292" Type="http://schemas.openxmlformats.org/officeDocument/2006/relationships/footer" Target="footer159.xml"/><Relationship Id="rId291" Type="http://schemas.openxmlformats.org/officeDocument/2006/relationships/header" Target="header129.xml"/><Relationship Id="rId290" Type="http://schemas.openxmlformats.org/officeDocument/2006/relationships/footer" Target="footer158.xml"/><Relationship Id="rId29" Type="http://schemas.openxmlformats.org/officeDocument/2006/relationships/header" Target="header12.xml"/><Relationship Id="rId289" Type="http://schemas.openxmlformats.org/officeDocument/2006/relationships/header" Target="header128.xml"/><Relationship Id="rId288" Type="http://schemas.openxmlformats.org/officeDocument/2006/relationships/footer" Target="footer157.xml"/><Relationship Id="rId287" Type="http://schemas.openxmlformats.org/officeDocument/2006/relationships/footer" Target="footer156.xml"/><Relationship Id="rId286" Type="http://schemas.openxmlformats.org/officeDocument/2006/relationships/header" Target="header127.xml"/><Relationship Id="rId285" Type="http://schemas.openxmlformats.org/officeDocument/2006/relationships/footer" Target="footer155.xml"/><Relationship Id="rId284" Type="http://schemas.openxmlformats.org/officeDocument/2006/relationships/header" Target="header126.xml"/><Relationship Id="rId283" Type="http://schemas.openxmlformats.org/officeDocument/2006/relationships/footer" Target="footer154.xml"/><Relationship Id="rId282" Type="http://schemas.openxmlformats.org/officeDocument/2006/relationships/header" Target="header125.xml"/><Relationship Id="rId281" Type="http://schemas.openxmlformats.org/officeDocument/2006/relationships/footer" Target="footer153.xml"/><Relationship Id="rId280" Type="http://schemas.openxmlformats.org/officeDocument/2006/relationships/footer" Target="footer152.xml"/><Relationship Id="rId28" Type="http://schemas.openxmlformats.org/officeDocument/2006/relationships/footer" Target="footer13.xml"/><Relationship Id="rId279" Type="http://schemas.openxmlformats.org/officeDocument/2006/relationships/header" Target="header124.xml"/><Relationship Id="rId278" Type="http://schemas.openxmlformats.org/officeDocument/2006/relationships/footer" Target="footer151.xml"/><Relationship Id="rId277" Type="http://schemas.openxmlformats.org/officeDocument/2006/relationships/footer" Target="footer150.xml"/><Relationship Id="rId276" Type="http://schemas.openxmlformats.org/officeDocument/2006/relationships/footer" Target="footer149.xml"/><Relationship Id="rId275" Type="http://schemas.openxmlformats.org/officeDocument/2006/relationships/footer" Target="footer148.xml"/><Relationship Id="rId274" Type="http://schemas.openxmlformats.org/officeDocument/2006/relationships/header" Target="header123.xml"/><Relationship Id="rId273" Type="http://schemas.openxmlformats.org/officeDocument/2006/relationships/footer" Target="footer147.xml"/><Relationship Id="rId272" Type="http://schemas.openxmlformats.org/officeDocument/2006/relationships/header" Target="header122.xml"/><Relationship Id="rId271" Type="http://schemas.openxmlformats.org/officeDocument/2006/relationships/footer" Target="footer146.xml"/><Relationship Id="rId270" Type="http://schemas.openxmlformats.org/officeDocument/2006/relationships/footer" Target="footer145.xml"/><Relationship Id="rId27" Type="http://schemas.openxmlformats.org/officeDocument/2006/relationships/header" Target="header11.xml"/><Relationship Id="rId269" Type="http://schemas.openxmlformats.org/officeDocument/2006/relationships/header" Target="header121.xml"/><Relationship Id="rId268" Type="http://schemas.openxmlformats.org/officeDocument/2006/relationships/footer" Target="footer144.xml"/><Relationship Id="rId267" Type="http://schemas.openxmlformats.org/officeDocument/2006/relationships/header" Target="header120.xml"/><Relationship Id="rId266" Type="http://schemas.openxmlformats.org/officeDocument/2006/relationships/footer" Target="footer143.xml"/><Relationship Id="rId265" Type="http://schemas.openxmlformats.org/officeDocument/2006/relationships/header" Target="header119.xml"/><Relationship Id="rId264" Type="http://schemas.openxmlformats.org/officeDocument/2006/relationships/footer" Target="footer142.xml"/><Relationship Id="rId263" Type="http://schemas.openxmlformats.org/officeDocument/2006/relationships/header" Target="header118.xml"/><Relationship Id="rId262" Type="http://schemas.openxmlformats.org/officeDocument/2006/relationships/footer" Target="footer141.xml"/><Relationship Id="rId261" Type="http://schemas.openxmlformats.org/officeDocument/2006/relationships/header" Target="header117.xml"/><Relationship Id="rId260" Type="http://schemas.openxmlformats.org/officeDocument/2006/relationships/footer" Target="footer140.xml"/><Relationship Id="rId26" Type="http://schemas.openxmlformats.org/officeDocument/2006/relationships/footer" Target="footer12.xml"/><Relationship Id="rId259" Type="http://schemas.openxmlformats.org/officeDocument/2006/relationships/header" Target="header116.xml"/><Relationship Id="rId258" Type="http://schemas.openxmlformats.org/officeDocument/2006/relationships/footer" Target="footer139.xml"/><Relationship Id="rId257" Type="http://schemas.openxmlformats.org/officeDocument/2006/relationships/header" Target="header115.xml"/><Relationship Id="rId256" Type="http://schemas.openxmlformats.org/officeDocument/2006/relationships/footer" Target="footer138.xml"/><Relationship Id="rId255" Type="http://schemas.openxmlformats.org/officeDocument/2006/relationships/header" Target="header114.xml"/><Relationship Id="rId254" Type="http://schemas.openxmlformats.org/officeDocument/2006/relationships/footer" Target="footer137.xml"/><Relationship Id="rId253" Type="http://schemas.openxmlformats.org/officeDocument/2006/relationships/header" Target="header113.xml"/><Relationship Id="rId252" Type="http://schemas.openxmlformats.org/officeDocument/2006/relationships/footer" Target="footer136.xml"/><Relationship Id="rId251" Type="http://schemas.openxmlformats.org/officeDocument/2006/relationships/header" Target="header112.xml"/><Relationship Id="rId250" Type="http://schemas.openxmlformats.org/officeDocument/2006/relationships/footer" Target="footer135.xml"/><Relationship Id="rId25" Type="http://schemas.openxmlformats.org/officeDocument/2006/relationships/header" Target="header10.xml"/><Relationship Id="rId249" Type="http://schemas.openxmlformats.org/officeDocument/2006/relationships/header" Target="header111.xml"/><Relationship Id="rId248" Type="http://schemas.openxmlformats.org/officeDocument/2006/relationships/footer" Target="footer134.xml"/><Relationship Id="rId247" Type="http://schemas.openxmlformats.org/officeDocument/2006/relationships/header" Target="header110.xml"/><Relationship Id="rId246" Type="http://schemas.openxmlformats.org/officeDocument/2006/relationships/footer" Target="footer133.xml"/><Relationship Id="rId245" Type="http://schemas.openxmlformats.org/officeDocument/2006/relationships/header" Target="header109.xml"/><Relationship Id="rId244" Type="http://schemas.openxmlformats.org/officeDocument/2006/relationships/footer" Target="footer132.xml"/><Relationship Id="rId243" Type="http://schemas.openxmlformats.org/officeDocument/2006/relationships/header" Target="header108.xml"/><Relationship Id="rId242" Type="http://schemas.openxmlformats.org/officeDocument/2006/relationships/footer" Target="footer131.xml"/><Relationship Id="rId241" Type="http://schemas.openxmlformats.org/officeDocument/2006/relationships/footer" Target="footer130.xml"/><Relationship Id="rId240" Type="http://schemas.openxmlformats.org/officeDocument/2006/relationships/footer" Target="footer129.xml"/><Relationship Id="rId24" Type="http://schemas.openxmlformats.org/officeDocument/2006/relationships/footer" Target="footer11.xml"/><Relationship Id="rId239" Type="http://schemas.openxmlformats.org/officeDocument/2006/relationships/footer" Target="footer128.xml"/><Relationship Id="rId238" Type="http://schemas.openxmlformats.org/officeDocument/2006/relationships/header" Target="header107.xml"/><Relationship Id="rId237" Type="http://schemas.openxmlformats.org/officeDocument/2006/relationships/footer" Target="footer127.xml"/><Relationship Id="rId236" Type="http://schemas.openxmlformats.org/officeDocument/2006/relationships/header" Target="header106.xml"/><Relationship Id="rId235" Type="http://schemas.openxmlformats.org/officeDocument/2006/relationships/footer" Target="footer126.xml"/><Relationship Id="rId234" Type="http://schemas.openxmlformats.org/officeDocument/2006/relationships/header" Target="header105.xml"/><Relationship Id="rId233" Type="http://schemas.openxmlformats.org/officeDocument/2006/relationships/footer" Target="footer125.xml"/><Relationship Id="rId232" Type="http://schemas.openxmlformats.org/officeDocument/2006/relationships/header" Target="header104.xml"/><Relationship Id="rId231" Type="http://schemas.openxmlformats.org/officeDocument/2006/relationships/footer" Target="footer124.xml"/><Relationship Id="rId230" Type="http://schemas.openxmlformats.org/officeDocument/2006/relationships/header" Target="header103.xml"/><Relationship Id="rId23" Type="http://schemas.openxmlformats.org/officeDocument/2006/relationships/header" Target="header9.xml"/><Relationship Id="rId229" Type="http://schemas.openxmlformats.org/officeDocument/2006/relationships/footer" Target="footer123.xml"/><Relationship Id="rId228" Type="http://schemas.openxmlformats.org/officeDocument/2006/relationships/header" Target="header102.xml"/><Relationship Id="rId227" Type="http://schemas.openxmlformats.org/officeDocument/2006/relationships/footer" Target="footer122.xml"/><Relationship Id="rId226" Type="http://schemas.openxmlformats.org/officeDocument/2006/relationships/header" Target="header101.xml"/><Relationship Id="rId225" Type="http://schemas.openxmlformats.org/officeDocument/2006/relationships/footer" Target="footer121.xml"/><Relationship Id="rId224" Type="http://schemas.openxmlformats.org/officeDocument/2006/relationships/header" Target="header100.xml"/><Relationship Id="rId223" Type="http://schemas.openxmlformats.org/officeDocument/2006/relationships/footer" Target="footer120.xml"/><Relationship Id="rId222" Type="http://schemas.openxmlformats.org/officeDocument/2006/relationships/header" Target="header99.xml"/><Relationship Id="rId221" Type="http://schemas.openxmlformats.org/officeDocument/2006/relationships/footer" Target="footer119.xml"/><Relationship Id="rId220" Type="http://schemas.openxmlformats.org/officeDocument/2006/relationships/header" Target="header98.xml"/><Relationship Id="rId22" Type="http://schemas.openxmlformats.org/officeDocument/2006/relationships/footer" Target="footer10.xml"/><Relationship Id="rId219" Type="http://schemas.openxmlformats.org/officeDocument/2006/relationships/footer" Target="footer118.xml"/><Relationship Id="rId218" Type="http://schemas.openxmlformats.org/officeDocument/2006/relationships/header" Target="header97.xml"/><Relationship Id="rId217" Type="http://schemas.openxmlformats.org/officeDocument/2006/relationships/footer" Target="footer117.xml"/><Relationship Id="rId216" Type="http://schemas.openxmlformats.org/officeDocument/2006/relationships/header" Target="header96.xml"/><Relationship Id="rId215" Type="http://schemas.openxmlformats.org/officeDocument/2006/relationships/footer" Target="footer116.xml"/><Relationship Id="rId214" Type="http://schemas.openxmlformats.org/officeDocument/2006/relationships/footer" Target="footer115.xml"/><Relationship Id="rId213" Type="http://schemas.openxmlformats.org/officeDocument/2006/relationships/footer" Target="footer114.xml"/><Relationship Id="rId212" Type="http://schemas.openxmlformats.org/officeDocument/2006/relationships/footer" Target="footer113.xml"/><Relationship Id="rId211" Type="http://schemas.openxmlformats.org/officeDocument/2006/relationships/footer" Target="footer112.xml"/><Relationship Id="rId210" Type="http://schemas.openxmlformats.org/officeDocument/2006/relationships/footer" Target="footer111.xml"/><Relationship Id="rId21" Type="http://schemas.openxmlformats.org/officeDocument/2006/relationships/header" Target="header8.xml"/><Relationship Id="rId209" Type="http://schemas.openxmlformats.org/officeDocument/2006/relationships/footer" Target="footer110.xml"/><Relationship Id="rId208" Type="http://schemas.openxmlformats.org/officeDocument/2006/relationships/footer" Target="footer109.xml"/><Relationship Id="rId207" Type="http://schemas.openxmlformats.org/officeDocument/2006/relationships/footer" Target="footer108.xml"/><Relationship Id="rId206" Type="http://schemas.openxmlformats.org/officeDocument/2006/relationships/footer" Target="footer107.xml"/><Relationship Id="rId205" Type="http://schemas.openxmlformats.org/officeDocument/2006/relationships/footer" Target="footer106.xml"/><Relationship Id="rId204" Type="http://schemas.openxmlformats.org/officeDocument/2006/relationships/footer" Target="footer105.xml"/><Relationship Id="rId203" Type="http://schemas.openxmlformats.org/officeDocument/2006/relationships/footer" Target="footer104.xml"/><Relationship Id="rId202" Type="http://schemas.openxmlformats.org/officeDocument/2006/relationships/header" Target="header95.xml"/><Relationship Id="rId201" Type="http://schemas.openxmlformats.org/officeDocument/2006/relationships/footer" Target="footer103.xml"/><Relationship Id="rId200" Type="http://schemas.openxmlformats.org/officeDocument/2006/relationships/footer" Target="footer102.xml"/><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footer" Target="footer101.xml"/><Relationship Id="rId198" Type="http://schemas.openxmlformats.org/officeDocument/2006/relationships/footer" Target="footer100.xml"/><Relationship Id="rId197" Type="http://schemas.openxmlformats.org/officeDocument/2006/relationships/header" Target="header94.xml"/><Relationship Id="rId196" Type="http://schemas.openxmlformats.org/officeDocument/2006/relationships/footer" Target="footer99.xml"/><Relationship Id="rId195" Type="http://schemas.openxmlformats.org/officeDocument/2006/relationships/header" Target="header93.xml"/><Relationship Id="rId194" Type="http://schemas.openxmlformats.org/officeDocument/2006/relationships/footer" Target="footer98.xml"/><Relationship Id="rId193" Type="http://schemas.openxmlformats.org/officeDocument/2006/relationships/header" Target="header92.xml"/><Relationship Id="rId192" Type="http://schemas.openxmlformats.org/officeDocument/2006/relationships/footer" Target="footer97.xml"/><Relationship Id="rId191" Type="http://schemas.openxmlformats.org/officeDocument/2006/relationships/header" Target="header91.xml"/><Relationship Id="rId190" Type="http://schemas.openxmlformats.org/officeDocument/2006/relationships/footer" Target="footer96.xml"/><Relationship Id="rId19" Type="http://schemas.openxmlformats.org/officeDocument/2006/relationships/header" Target="header7.xml"/><Relationship Id="rId189" Type="http://schemas.openxmlformats.org/officeDocument/2006/relationships/header" Target="header90.xml"/><Relationship Id="rId188" Type="http://schemas.openxmlformats.org/officeDocument/2006/relationships/footer" Target="footer95.xml"/><Relationship Id="rId187" Type="http://schemas.openxmlformats.org/officeDocument/2006/relationships/header" Target="header89.xml"/><Relationship Id="rId186" Type="http://schemas.openxmlformats.org/officeDocument/2006/relationships/footer" Target="footer94.xml"/><Relationship Id="rId185" Type="http://schemas.openxmlformats.org/officeDocument/2006/relationships/header" Target="header88.xml"/><Relationship Id="rId184" Type="http://schemas.openxmlformats.org/officeDocument/2006/relationships/footer" Target="footer93.xml"/><Relationship Id="rId183" Type="http://schemas.openxmlformats.org/officeDocument/2006/relationships/header" Target="header87.xml"/><Relationship Id="rId182" Type="http://schemas.openxmlformats.org/officeDocument/2006/relationships/footer" Target="footer92.xml"/><Relationship Id="rId181" Type="http://schemas.openxmlformats.org/officeDocument/2006/relationships/header" Target="header86.xml"/><Relationship Id="rId180" Type="http://schemas.openxmlformats.org/officeDocument/2006/relationships/footer" Target="footer91.xml"/><Relationship Id="rId18" Type="http://schemas.openxmlformats.org/officeDocument/2006/relationships/footer" Target="footer8.xml"/><Relationship Id="rId179" Type="http://schemas.openxmlformats.org/officeDocument/2006/relationships/header" Target="header85.xml"/><Relationship Id="rId178" Type="http://schemas.openxmlformats.org/officeDocument/2006/relationships/footer" Target="footer90.xml"/><Relationship Id="rId177" Type="http://schemas.openxmlformats.org/officeDocument/2006/relationships/header" Target="header84.xml"/><Relationship Id="rId176" Type="http://schemas.openxmlformats.org/officeDocument/2006/relationships/footer" Target="footer89.xml"/><Relationship Id="rId175" Type="http://schemas.openxmlformats.org/officeDocument/2006/relationships/header" Target="header83.xml"/><Relationship Id="rId174" Type="http://schemas.openxmlformats.org/officeDocument/2006/relationships/footer" Target="footer88.xml"/><Relationship Id="rId173" Type="http://schemas.openxmlformats.org/officeDocument/2006/relationships/header" Target="header82.xml"/><Relationship Id="rId172" Type="http://schemas.openxmlformats.org/officeDocument/2006/relationships/footer" Target="footer87.xml"/><Relationship Id="rId171" Type="http://schemas.openxmlformats.org/officeDocument/2006/relationships/header" Target="header81.xml"/><Relationship Id="rId170" Type="http://schemas.openxmlformats.org/officeDocument/2006/relationships/footer" Target="footer86.xml"/><Relationship Id="rId17" Type="http://schemas.openxmlformats.org/officeDocument/2006/relationships/header" Target="header6.xml"/><Relationship Id="rId169" Type="http://schemas.openxmlformats.org/officeDocument/2006/relationships/header" Target="header80.xml"/><Relationship Id="rId168" Type="http://schemas.openxmlformats.org/officeDocument/2006/relationships/footer" Target="footer85.xml"/><Relationship Id="rId167" Type="http://schemas.openxmlformats.org/officeDocument/2006/relationships/header" Target="header79.xml"/><Relationship Id="rId166" Type="http://schemas.openxmlformats.org/officeDocument/2006/relationships/footer" Target="footer84.xml"/><Relationship Id="rId165" Type="http://schemas.openxmlformats.org/officeDocument/2006/relationships/header" Target="header78.xml"/><Relationship Id="rId164" Type="http://schemas.openxmlformats.org/officeDocument/2006/relationships/footer" Target="footer83.xml"/><Relationship Id="rId163" Type="http://schemas.openxmlformats.org/officeDocument/2006/relationships/header" Target="header77.xml"/><Relationship Id="rId162" Type="http://schemas.openxmlformats.org/officeDocument/2006/relationships/footer" Target="footer82.xml"/><Relationship Id="rId161" Type="http://schemas.openxmlformats.org/officeDocument/2006/relationships/footer" Target="footer81.xml"/><Relationship Id="rId160" Type="http://schemas.openxmlformats.org/officeDocument/2006/relationships/header" Target="header76.xml"/><Relationship Id="rId16" Type="http://schemas.openxmlformats.org/officeDocument/2006/relationships/footer" Target="footer7.xml"/><Relationship Id="rId159" Type="http://schemas.openxmlformats.org/officeDocument/2006/relationships/footer" Target="footer80.xml"/><Relationship Id="rId158" Type="http://schemas.openxmlformats.org/officeDocument/2006/relationships/header" Target="header75.xml"/><Relationship Id="rId157" Type="http://schemas.openxmlformats.org/officeDocument/2006/relationships/footer" Target="footer79.xml"/><Relationship Id="rId156" Type="http://schemas.openxmlformats.org/officeDocument/2006/relationships/header" Target="header74.xml"/><Relationship Id="rId155" Type="http://schemas.openxmlformats.org/officeDocument/2006/relationships/footer" Target="footer78.xml"/><Relationship Id="rId154" Type="http://schemas.openxmlformats.org/officeDocument/2006/relationships/header" Target="header73.xml"/><Relationship Id="rId153" Type="http://schemas.openxmlformats.org/officeDocument/2006/relationships/footer" Target="footer77.xml"/><Relationship Id="rId152" Type="http://schemas.openxmlformats.org/officeDocument/2006/relationships/header" Target="header72.xml"/><Relationship Id="rId151" Type="http://schemas.openxmlformats.org/officeDocument/2006/relationships/footer" Target="footer76.xml"/><Relationship Id="rId150" Type="http://schemas.openxmlformats.org/officeDocument/2006/relationships/header" Target="header71.xml"/><Relationship Id="rId15" Type="http://schemas.openxmlformats.org/officeDocument/2006/relationships/header" Target="header5.xml"/><Relationship Id="rId149" Type="http://schemas.openxmlformats.org/officeDocument/2006/relationships/footer" Target="footer75.xml"/><Relationship Id="rId148" Type="http://schemas.openxmlformats.org/officeDocument/2006/relationships/header" Target="header70.xml"/><Relationship Id="rId147" Type="http://schemas.openxmlformats.org/officeDocument/2006/relationships/footer" Target="footer74.xml"/><Relationship Id="rId146" Type="http://schemas.openxmlformats.org/officeDocument/2006/relationships/header" Target="header69.xml"/><Relationship Id="rId145" Type="http://schemas.openxmlformats.org/officeDocument/2006/relationships/footer" Target="footer73.xml"/><Relationship Id="rId144" Type="http://schemas.openxmlformats.org/officeDocument/2006/relationships/header" Target="header68.xml"/><Relationship Id="rId143" Type="http://schemas.openxmlformats.org/officeDocument/2006/relationships/footer" Target="footer72.xml"/><Relationship Id="rId142" Type="http://schemas.openxmlformats.org/officeDocument/2006/relationships/header" Target="header67.xml"/><Relationship Id="rId141" Type="http://schemas.openxmlformats.org/officeDocument/2006/relationships/footer" Target="footer71.xml"/><Relationship Id="rId140" Type="http://schemas.openxmlformats.org/officeDocument/2006/relationships/header" Target="header66.xml"/><Relationship Id="rId14" Type="http://schemas.openxmlformats.org/officeDocument/2006/relationships/footer" Target="footer6.xml"/><Relationship Id="rId139" Type="http://schemas.openxmlformats.org/officeDocument/2006/relationships/footer" Target="footer70.xml"/><Relationship Id="rId138" Type="http://schemas.openxmlformats.org/officeDocument/2006/relationships/header" Target="header65.xml"/><Relationship Id="rId137" Type="http://schemas.openxmlformats.org/officeDocument/2006/relationships/footer" Target="footer69.xml"/><Relationship Id="rId136" Type="http://schemas.openxmlformats.org/officeDocument/2006/relationships/header" Target="header64.xml"/><Relationship Id="rId135" Type="http://schemas.openxmlformats.org/officeDocument/2006/relationships/footer" Target="footer68.xml"/><Relationship Id="rId134" Type="http://schemas.openxmlformats.org/officeDocument/2006/relationships/header" Target="header63.xml"/><Relationship Id="rId133" Type="http://schemas.openxmlformats.org/officeDocument/2006/relationships/footer" Target="footer67.xml"/><Relationship Id="rId132" Type="http://schemas.openxmlformats.org/officeDocument/2006/relationships/header" Target="header62.xml"/><Relationship Id="rId131" Type="http://schemas.openxmlformats.org/officeDocument/2006/relationships/footer" Target="footer66.xml"/><Relationship Id="rId130" Type="http://schemas.openxmlformats.org/officeDocument/2006/relationships/footer" Target="footer65.xml"/><Relationship Id="rId13" Type="http://schemas.openxmlformats.org/officeDocument/2006/relationships/header" Target="header4.xml"/><Relationship Id="rId129" Type="http://schemas.openxmlformats.org/officeDocument/2006/relationships/header" Target="header61.xml"/><Relationship Id="rId128" Type="http://schemas.openxmlformats.org/officeDocument/2006/relationships/footer" Target="footer64.xml"/><Relationship Id="rId127" Type="http://schemas.openxmlformats.org/officeDocument/2006/relationships/header" Target="header60.xml"/><Relationship Id="rId126" Type="http://schemas.openxmlformats.org/officeDocument/2006/relationships/footer" Target="footer63.xml"/><Relationship Id="rId125" Type="http://schemas.openxmlformats.org/officeDocument/2006/relationships/header" Target="header59.xml"/><Relationship Id="rId124" Type="http://schemas.openxmlformats.org/officeDocument/2006/relationships/footer" Target="footer62.xml"/><Relationship Id="rId123" Type="http://schemas.openxmlformats.org/officeDocument/2006/relationships/header" Target="header58.xml"/><Relationship Id="rId122" Type="http://schemas.openxmlformats.org/officeDocument/2006/relationships/footer" Target="footer61.xml"/><Relationship Id="rId121" Type="http://schemas.openxmlformats.org/officeDocument/2006/relationships/header" Target="header57.xml"/><Relationship Id="rId120" Type="http://schemas.openxmlformats.org/officeDocument/2006/relationships/footer" Target="footer60.xml"/><Relationship Id="rId12" Type="http://schemas.openxmlformats.org/officeDocument/2006/relationships/footer" Target="footer5.xml"/><Relationship Id="rId119" Type="http://schemas.openxmlformats.org/officeDocument/2006/relationships/header" Target="header56.xml"/><Relationship Id="rId118" Type="http://schemas.openxmlformats.org/officeDocument/2006/relationships/footer" Target="footer59.xml"/><Relationship Id="rId117" Type="http://schemas.openxmlformats.org/officeDocument/2006/relationships/header" Target="header55.xml"/><Relationship Id="rId116" Type="http://schemas.openxmlformats.org/officeDocument/2006/relationships/footer" Target="footer58.xml"/><Relationship Id="rId115" Type="http://schemas.openxmlformats.org/officeDocument/2006/relationships/header" Target="header54.xml"/><Relationship Id="rId114" Type="http://schemas.openxmlformats.org/officeDocument/2006/relationships/footer" Target="footer57.xml"/><Relationship Id="rId113" Type="http://schemas.openxmlformats.org/officeDocument/2006/relationships/header" Target="header53.xml"/><Relationship Id="rId112" Type="http://schemas.openxmlformats.org/officeDocument/2006/relationships/footer" Target="footer56.xml"/><Relationship Id="rId111" Type="http://schemas.openxmlformats.org/officeDocument/2006/relationships/header" Target="header52.xml"/><Relationship Id="rId110" Type="http://schemas.openxmlformats.org/officeDocument/2006/relationships/footer" Target="footer55.xml"/><Relationship Id="rId11" Type="http://schemas.openxmlformats.org/officeDocument/2006/relationships/header" Target="header3.xml"/><Relationship Id="rId109" Type="http://schemas.openxmlformats.org/officeDocument/2006/relationships/header" Target="header51.xml"/><Relationship Id="rId108" Type="http://schemas.openxmlformats.org/officeDocument/2006/relationships/footer" Target="footer54.xml"/><Relationship Id="rId107" Type="http://schemas.openxmlformats.org/officeDocument/2006/relationships/header" Target="header50.xml"/><Relationship Id="rId106" Type="http://schemas.openxmlformats.org/officeDocument/2006/relationships/footer" Target="footer53.xml"/><Relationship Id="rId105" Type="http://schemas.openxmlformats.org/officeDocument/2006/relationships/header" Target="header49.xml"/><Relationship Id="rId104" Type="http://schemas.openxmlformats.org/officeDocument/2006/relationships/footer" Target="footer52.xml"/><Relationship Id="rId103" Type="http://schemas.openxmlformats.org/officeDocument/2006/relationships/header" Target="header48.xml"/><Relationship Id="rId102" Type="http://schemas.openxmlformats.org/officeDocument/2006/relationships/footer" Target="footer51.xml"/><Relationship Id="rId101" Type="http://schemas.openxmlformats.org/officeDocument/2006/relationships/header" Target="header47.xml"/><Relationship Id="rId100" Type="http://schemas.openxmlformats.org/officeDocument/2006/relationships/footer" Target="footer50.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1028"/>
    <customShpInfo spid="_x0000_s1029"/>
    <customShpInfo spid="_x0000_s1027"/>
    <customShpInfo spid="_x0000_s1030"/>
    <customShpInfo spid="_x0000_s1026"/>
    <customShpInfo spid="_x0000_s1031"/>
    <customShpInfo spid="_x0000_s1032"/>
    <customShpInfo spid="_x0000_s1033"/>
    <customShpInfo spid="_x0000_s1034"/>
    <customShpInfo spid="_x0000_s1035"/>
    <customShpInfo spid="_x0000_s1036"/>
    <customShpInfo spid="_x0000_s1037"/>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244</Pages>
  <TotalTime>1</TotalTime>
  <ScaleCrop>false</ScaleCrop>
  <LinksUpToDate>false</LinksUpToDate>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2024-04-23T11:27:00Z</dcterms:created>
  <dc:creator>dell</dc:creator>
  <cp:lastModifiedBy>dell</cp:lastModifiedBy>
  <dcterms:modified xsi:type="dcterms:W3CDTF">2024-04-24T06:51:37Z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2024-04-23T14:42:59Z</vt:filetime>
  </property>
  <property fmtid="{D5CDD505-2E9C-101B-9397-08002B2CF9AE}" pid="4" name="KSOProductBuildVer">
    <vt:lpwstr>2052-12.1.0.16729</vt:lpwstr>
  </property>
  <property fmtid="{D5CDD505-2E9C-101B-9397-08002B2CF9AE}" pid="5" name="ICV">
    <vt:lpwstr>C32573BED46A421789803F1B4D1147FB_12</vt:lpwstr>
  </property>
</Properties>
</file>